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B91" w:rsidRPr="00302F74" w:rsidRDefault="00D93B91" w:rsidP="00FA6CCE">
      <w:pPr>
        <w:spacing w:line="360" w:lineRule="auto"/>
        <w:rPr>
          <w:rFonts w:ascii="Book Antiqua" w:eastAsia="Times New Roman" w:hAnsi="Book Antiqua" w:cs="宋体"/>
          <w:i/>
          <w:sz w:val="24"/>
          <w:szCs w:val="24"/>
        </w:rPr>
      </w:pPr>
      <w:r w:rsidRPr="00302F74">
        <w:rPr>
          <w:rFonts w:ascii="Book Antiqua" w:eastAsia="Times New Roman" w:hAnsi="Book Antiqua" w:cs="宋体"/>
          <w:b/>
          <w:sz w:val="24"/>
          <w:szCs w:val="24"/>
        </w:rPr>
        <w:t xml:space="preserve">Name of Journal: </w:t>
      </w:r>
      <w:r w:rsidR="00C9325C" w:rsidRPr="00302F74">
        <w:rPr>
          <w:rFonts w:ascii="Book Antiqua" w:eastAsia="Times New Roman" w:hAnsi="Book Antiqua" w:cs="宋体"/>
          <w:b/>
          <w:i/>
          <w:sz w:val="24"/>
          <w:szCs w:val="24"/>
        </w:rPr>
        <w:t>World Journal of Hepatology</w:t>
      </w:r>
    </w:p>
    <w:p w:rsidR="00D93B91" w:rsidRPr="00302F74" w:rsidRDefault="00D93B91" w:rsidP="00FA6CCE">
      <w:pPr>
        <w:spacing w:line="360" w:lineRule="auto"/>
        <w:rPr>
          <w:rFonts w:ascii="Book Antiqua" w:hAnsi="Book Antiqua" w:cs="Arial"/>
          <w:b/>
          <w:sz w:val="24"/>
          <w:szCs w:val="24"/>
          <w:lang w:val="en" w:eastAsia="zh-CN"/>
        </w:rPr>
      </w:pPr>
      <w:r w:rsidRPr="00302F74">
        <w:rPr>
          <w:rFonts w:ascii="Book Antiqua" w:hAnsi="Book Antiqua" w:cs="Arial"/>
          <w:b/>
          <w:sz w:val="24"/>
          <w:szCs w:val="24"/>
          <w:lang w:val="en"/>
        </w:rPr>
        <w:t xml:space="preserve">ESPS Manuscript NO: </w:t>
      </w:r>
      <w:r w:rsidR="006D5504" w:rsidRPr="00302F74">
        <w:rPr>
          <w:rFonts w:ascii="Book Antiqua" w:hAnsi="Book Antiqua" w:cs="Arial"/>
          <w:b/>
          <w:sz w:val="24"/>
          <w:szCs w:val="24"/>
          <w:lang w:val="en" w:eastAsia="zh-CN"/>
        </w:rPr>
        <w:t>22919</w:t>
      </w:r>
    </w:p>
    <w:p w:rsidR="00D93B91" w:rsidRPr="00302F74" w:rsidRDefault="00D93B91" w:rsidP="00FA6CCE">
      <w:pPr>
        <w:spacing w:line="360" w:lineRule="auto"/>
        <w:rPr>
          <w:rFonts w:ascii="Book Antiqua" w:eastAsia="幼圆" w:hAnsi="Book Antiqua"/>
          <w:b/>
          <w:sz w:val="24"/>
          <w:szCs w:val="24"/>
          <w:lang w:eastAsia="zh-CN"/>
        </w:rPr>
      </w:pPr>
      <w:r w:rsidRPr="00302F74">
        <w:rPr>
          <w:rFonts w:ascii="Book Antiqua" w:hAnsi="Book Antiqua"/>
          <w:b/>
          <w:sz w:val="24"/>
          <w:szCs w:val="24"/>
        </w:rPr>
        <w:t xml:space="preserve">Manuscript Type: </w:t>
      </w:r>
      <w:r w:rsidR="008F1232" w:rsidRPr="00302F74">
        <w:rPr>
          <w:rFonts w:ascii="Book Antiqua" w:eastAsia="幼圆" w:hAnsi="Book Antiqua"/>
          <w:b/>
          <w:sz w:val="24"/>
          <w:szCs w:val="24"/>
        </w:rPr>
        <w:t>Systematic Reviews</w:t>
      </w:r>
    </w:p>
    <w:p w:rsidR="006D5504" w:rsidRPr="00302F74" w:rsidRDefault="006D5504" w:rsidP="00FA6CCE">
      <w:pPr>
        <w:spacing w:line="360" w:lineRule="auto"/>
        <w:rPr>
          <w:rFonts w:ascii="Book Antiqua" w:hAnsi="Book Antiqua"/>
          <w:b/>
          <w:sz w:val="24"/>
          <w:szCs w:val="24"/>
          <w:lang w:eastAsia="zh-CN"/>
        </w:rPr>
      </w:pPr>
    </w:p>
    <w:p w:rsidR="00991178" w:rsidRPr="00302F74" w:rsidRDefault="00991178" w:rsidP="00FA6CCE">
      <w:pPr>
        <w:widowControl w:val="0"/>
        <w:spacing w:line="360" w:lineRule="auto"/>
        <w:jc w:val="both"/>
        <w:rPr>
          <w:rFonts w:ascii="Book Antiqua" w:hAnsi="Book Antiqua" w:cs="Times New Roman"/>
          <w:b/>
          <w:sz w:val="24"/>
          <w:szCs w:val="24"/>
        </w:rPr>
      </w:pPr>
      <w:r w:rsidRPr="00302F74">
        <w:rPr>
          <w:rFonts w:ascii="Book Antiqua" w:hAnsi="Book Antiqua" w:cs="Times New Roman"/>
          <w:b/>
          <w:sz w:val="24"/>
          <w:szCs w:val="24"/>
        </w:rPr>
        <w:t>Portal hypertensive gastropathy: A systematic review of the pathophysiology, clinica</w:t>
      </w:r>
      <w:r w:rsidR="000D34EA" w:rsidRPr="00302F74">
        <w:rPr>
          <w:rFonts w:ascii="Book Antiqua" w:hAnsi="Book Antiqua" w:cs="Times New Roman"/>
          <w:b/>
          <w:sz w:val="24"/>
          <w:szCs w:val="24"/>
        </w:rPr>
        <w:t>l presentation, natural history</w:t>
      </w:r>
      <w:r w:rsidRPr="00302F74">
        <w:rPr>
          <w:rFonts w:ascii="Book Antiqua" w:hAnsi="Book Antiqua" w:cs="Times New Roman"/>
          <w:b/>
          <w:sz w:val="24"/>
          <w:szCs w:val="24"/>
        </w:rPr>
        <w:t xml:space="preserve"> and therapy</w:t>
      </w:r>
    </w:p>
    <w:p w:rsidR="006D5504" w:rsidRPr="00302F74" w:rsidRDefault="006D5504" w:rsidP="00FA6CCE">
      <w:pPr>
        <w:widowControl w:val="0"/>
        <w:spacing w:line="360" w:lineRule="auto"/>
        <w:jc w:val="both"/>
        <w:rPr>
          <w:rFonts w:ascii="Book Antiqua" w:hAnsi="Book Antiqua" w:cs="Times New Roman"/>
          <w:sz w:val="24"/>
          <w:szCs w:val="24"/>
          <w:lang w:eastAsia="zh-CN"/>
        </w:rPr>
      </w:pPr>
    </w:p>
    <w:p w:rsidR="006D5504" w:rsidRPr="00302F74" w:rsidRDefault="00F6536E"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sz w:val="24"/>
          <w:szCs w:val="24"/>
        </w:rPr>
        <w:t xml:space="preserve">Gjeorgjievski </w:t>
      </w:r>
      <w:r w:rsidRPr="00302F74">
        <w:rPr>
          <w:rFonts w:ascii="Book Antiqua" w:hAnsi="Book Antiqua" w:cs="Times New Roman"/>
          <w:sz w:val="24"/>
          <w:szCs w:val="24"/>
          <w:lang w:eastAsia="zh-CN"/>
        </w:rPr>
        <w:t xml:space="preserve">M </w:t>
      </w:r>
      <w:r w:rsidRPr="00302F74">
        <w:rPr>
          <w:rFonts w:ascii="Book Antiqua" w:hAnsi="Book Antiqua" w:cs="Times New Roman"/>
          <w:i/>
          <w:sz w:val="24"/>
          <w:szCs w:val="24"/>
          <w:lang w:eastAsia="zh-CN"/>
        </w:rPr>
        <w:t>et al</w:t>
      </w:r>
      <w:r w:rsidRPr="00302F74">
        <w:rPr>
          <w:rFonts w:ascii="Book Antiqua" w:hAnsi="Book Antiqua" w:cs="Times New Roman"/>
          <w:sz w:val="24"/>
          <w:szCs w:val="24"/>
          <w:lang w:eastAsia="zh-CN"/>
        </w:rPr>
        <w:t xml:space="preserve">. </w:t>
      </w:r>
      <w:r w:rsidR="006D5504" w:rsidRPr="00302F74">
        <w:rPr>
          <w:rFonts w:ascii="Book Antiqua" w:hAnsi="Book Antiqua" w:cs="Times New Roman"/>
          <w:sz w:val="24"/>
          <w:szCs w:val="24"/>
        </w:rPr>
        <w:t xml:space="preserve">Portal hypertensive gastropathy </w:t>
      </w:r>
    </w:p>
    <w:p w:rsidR="006D5504" w:rsidRPr="00302F74" w:rsidRDefault="006D5504" w:rsidP="00FA6CCE">
      <w:pPr>
        <w:widowControl w:val="0"/>
        <w:spacing w:line="360" w:lineRule="auto"/>
        <w:jc w:val="both"/>
        <w:rPr>
          <w:rFonts w:ascii="Book Antiqua" w:hAnsi="Book Antiqua" w:cs="Times New Roman"/>
          <w:sz w:val="24"/>
          <w:szCs w:val="24"/>
          <w:lang w:eastAsia="zh-CN"/>
        </w:rPr>
      </w:pPr>
    </w:p>
    <w:p w:rsidR="009C3BD2" w:rsidRPr="00302F74" w:rsidRDefault="009C3BD2" w:rsidP="00FA6CCE">
      <w:pPr>
        <w:widowControl w:val="0"/>
        <w:spacing w:line="360" w:lineRule="auto"/>
        <w:jc w:val="both"/>
        <w:rPr>
          <w:rFonts w:ascii="Book Antiqua" w:hAnsi="Book Antiqua" w:cs="Times New Roman"/>
          <w:b/>
          <w:sz w:val="24"/>
          <w:szCs w:val="24"/>
          <w:lang w:eastAsia="zh-CN"/>
        </w:rPr>
      </w:pPr>
      <w:r w:rsidRPr="00302F74">
        <w:rPr>
          <w:rFonts w:ascii="Book Antiqua" w:hAnsi="Book Antiqua" w:cs="Times New Roman"/>
          <w:b/>
          <w:sz w:val="24"/>
          <w:szCs w:val="24"/>
          <w:lang w:eastAsia="zh-CN"/>
        </w:rPr>
        <w:t>Mihajlo Gjeorgjievski, Mitchell S Cappell</w:t>
      </w:r>
    </w:p>
    <w:p w:rsidR="009C3BD2" w:rsidRPr="00302F74" w:rsidRDefault="009C3BD2" w:rsidP="00FA6CCE">
      <w:pPr>
        <w:widowControl w:val="0"/>
        <w:spacing w:line="360" w:lineRule="auto"/>
        <w:jc w:val="both"/>
        <w:rPr>
          <w:rFonts w:ascii="Book Antiqua" w:hAnsi="Book Antiqua" w:cs="Times New Roman"/>
          <w:sz w:val="24"/>
          <w:szCs w:val="24"/>
          <w:lang w:eastAsia="zh-CN"/>
        </w:rPr>
      </w:pPr>
    </w:p>
    <w:p w:rsidR="00C9325C" w:rsidRPr="00302F74" w:rsidRDefault="00A91B2E"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b/>
          <w:sz w:val="24"/>
          <w:szCs w:val="24"/>
        </w:rPr>
        <w:t xml:space="preserve">Mihajlo Gjeorgjievski, </w:t>
      </w:r>
      <w:r w:rsidR="007254A6" w:rsidRPr="00302F74">
        <w:rPr>
          <w:rFonts w:ascii="Book Antiqua" w:hAnsi="Book Antiqua" w:cs="Times New Roman"/>
          <w:b/>
          <w:sz w:val="24"/>
          <w:szCs w:val="24"/>
        </w:rPr>
        <w:t>Mitchell S</w:t>
      </w:r>
      <w:r w:rsidR="007254A6" w:rsidRPr="00302F74">
        <w:rPr>
          <w:rFonts w:ascii="Book Antiqua" w:hAnsi="Book Antiqua" w:cs="Times New Roman"/>
          <w:b/>
          <w:sz w:val="24"/>
          <w:szCs w:val="24"/>
          <w:lang w:eastAsia="zh-CN"/>
        </w:rPr>
        <w:t xml:space="preserve"> </w:t>
      </w:r>
      <w:r w:rsidR="007254A6" w:rsidRPr="00302F74">
        <w:rPr>
          <w:rFonts w:ascii="Book Antiqua" w:hAnsi="Book Antiqua" w:cs="Times New Roman"/>
          <w:b/>
          <w:sz w:val="24"/>
          <w:szCs w:val="24"/>
        </w:rPr>
        <w:t>Cappell,</w:t>
      </w:r>
      <w:r w:rsidR="007254A6" w:rsidRPr="00302F74">
        <w:rPr>
          <w:rFonts w:ascii="Book Antiqua" w:hAnsi="Book Antiqua" w:cs="Times New Roman"/>
          <w:b/>
          <w:sz w:val="24"/>
          <w:szCs w:val="24"/>
          <w:lang w:eastAsia="zh-CN"/>
        </w:rPr>
        <w:t xml:space="preserve"> </w:t>
      </w:r>
      <w:r w:rsidR="00C9325C" w:rsidRPr="00302F74">
        <w:rPr>
          <w:rFonts w:ascii="Book Antiqua" w:hAnsi="Book Antiqua" w:cs="Times New Roman"/>
          <w:sz w:val="24"/>
          <w:szCs w:val="24"/>
        </w:rPr>
        <w:t xml:space="preserve">Division of Gastroenterology </w:t>
      </w:r>
      <w:r w:rsidR="0069191F" w:rsidRPr="00302F74">
        <w:rPr>
          <w:rFonts w:ascii="Book Antiqua" w:hAnsi="Book Antiqua" w:cs="Times New Roman"/>
          <w:sz w:val="24"/>
          <w:szCs w:val="24"/>
          <w:lang w:eastAsia="zh-CN"/>
        </w:rPr>
        <w:t>and</w:t>
      </w:r>
      <w:r w:rsidR="00C9325C" w:rsidRPr="00302F74">
        <w:rPr>
          <w:rFonts w:ascii="Book Antiqua" w:hAnsi="Book Antiqua" w:cs="Times New Roman"/>
          <w:sz w:val="24"/>
          <w:szCs w:val="24"/>
        </w:rPr>
        <w:t xml:space="preserve"> Hepatology, William Beaumont Hospital, Royal Oak, M</w:t>
      </w:r>
      <w:r w:rsidR="0069191F" w:rsidRPr="00302F74">
        <w:rPr>
          <w:rFonts w:ascii="Book Antiqua" w:hAnsi="Book Antiqua" w:cs="Times New Roman"/>
          <w:sz w:val="24"/>
          <w:szCs w:val="24"/>
          <w:lang w:eastAsia="zh-CN"/>
        </w:rPr>
        <w:t>I</w:t>
      </w:r>
      <w:r w:rsidR="00C9325C" w:rsidRPr="00302F74">
        <w:rPr>
          <w:rFonts w:ascii="Book Antiqua" w:hAnsi="Book Antiqua" w:cs="Times New Roman"/>
          <w:sz w:val="24"/>
          <w:szCs w:val="24"/>
        </w:rPr>
        <w:t xml:space="preserve"> </w:t>
      </w:r>
      <w:r w:rsidR="0069191F" w:rsidRPr="00302F74">
        <w:rPr>
          <w:rFonts w:ascii="Book Antiqua" w:hAnsi="Book Antiqua" w:cs="Times New Roman"/>
          <w:sz w:val="24"/>
          <w:szCs w:val="24"/>
        </w:rPr>
        <w:t>48073</w:t>
      </w:r>
      <w:r w:rsidR="0069191F" w:rsidRPr="00302F74">
        <w:rPr>
          <w:rFonts w:ascii="Book Antiqua" w:hAnsi="Book Antiqua" w:cs="Times New Roman"/>
          <w:sz w:val="24"/>
          <w:szCs w:val="24"/>
          <w:lang w:eastAsia="zh-CN"/>
        </w:rPr>
        <w:t xml:space="preserve">, </w:t>
      </w:r>
      <w:r w:rsidR="00C9325C" w:rsidRPr="00302F74">
        <w:rPr>
          <w:rFonts w:ascii="Book Antiqua" w:hAnsi="Book Antiqua" w:cs="Times New Roman"/>
          <w:sz w:val="24"/>
          <w:szCs w:val="24"/>
        </w:rPr>
        <w:t xml:space="preserve">United States </w:t>
      </w:r>
    </w:p>
    <w:p w:rsidR="0069191F" w:rsidRPr="00302F74" w:rsidRDefault="0069191F" w:rsidP="00FA6CCE">
      <w:pPr>
        <w:widowControl w:val="0"/>
        <w:spacing w:line="360" w:lineRule="auto"/>
        <w:jc w:val="both"/>
        <w:rPr>
          <w:rFonts w:ascii="Book Antiqua" w:hAnsi="Book Antiqua" w:cs="Times New Roman"/>
          <w:sz w:val="24"/>
          <w:szCs w:val="24"/>
          <w:lang w:eastAsia="zh-CN"/>
        </w:rPr>
      </w:pPr>
    </w:p>
    <w:p w:rsidR="006D5504" w:rsidRPr="00302F74" w:rsidRDefault="00A91B2E"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b/>
          <w:sz w:val="24"/>
          <w:szCs w:val="24"/>
        </w:rPr>
        <w:t>Mitchell S</w:t>
      </w:r>
      <w:r w:rsidR="007254A6" w:rsidRPr="00302F74">
        <w:rPr>
          <w:rFonts w:ascii="Book Antiqua" w:hAnsi="Book Antiqua" w:cs="Times New Roman"/>
          <w:b/>
          <w:sz w:val="24"/>
          <w:szCs w:val="24"/>
          <w:lang w:eastAsia="zh-CN"/>
        </w:rPr>
        <w:t xml:space="preserve"> </w:t>
      </w:r>
      <w:r w:rsidRPr="00302F74">
        <w:rPr>
          <w:rFonts w:ascii="Book Antiqua" w:hAnsi="Book Antiqua" w:cs="Times New Roman"/>
          <w:b/>
          <w:sz w:val="24"/>
          <w:szCs w:val="24"/>
        </w:rPr>
        <w:t>Cappell,</w:t>
      </w:r>
      <w:r w:rsidRPr="00302F74">
        <w:rPr>
          <w:rFonts w:ascii="Book Antiqua" w:hAnsi="Book Antiqua" w:cs="Times New Roman"/>
          <w:sz w:val="24"/>
          <w:szCs w:val="24"/>
        </w:rPr>
        <w:t xml:space="preserve"> </w:t>
      </w:r>
      <w:r w:rsidR="00C9325C" w:rsidRPr="00302F74">
        <w:rPr>
          <w:rFonts w:ascii="Book Antiqua" w:hAnsi="Book Antiqua" w:cs="Times New Roman"/>
          <w:sz w:val="24"/>
          <w:szCs w:val="24"/>
        </w:rPr>
        <w:t xml:space="preserve">Oakland University William Beaumont School of Medicine, </w:t>
      </w:r>
      <w:r w:rsidR="007254A6" w:rsidRPr="00302F74">
        <w:rPr>
          <w:rFonts w:ascii="Book Antiqua" w:hAnsi="Book Antiqua" w:cs="Times New Roman"/>
          <w:sz w:val="24"/>
          <w:szCs w:val="24"/>
        </w:rPr>
        <w:t>Royal Oak, M</w:t>
      </w:r>
      <w:r w:rsidR="007254A6" w:rsidRPr="00302F74">
        <w:rPr>
          <w:rFonts w:ascii="Book Antiqua" w:hAnsi="Book Antiqua" w:cs="Times New Roman"/>
          <w:sz w:val="24"/>
          <w:szCs w:val="24"/>
          <w:lang w:eastAsia="zh-CN"/>
        </w:rPr>
        <w:t>I</w:t>
      </w:r>
      <w:r w:rsidR="007254A6" w:rsidRPr="00302F74">
        <w:rPr>
          <w:rFonts w:ascii="Book Antiqua" w:hAnsi="Book Antiqua" w:cs="Times New Roman"/>
          <w:sz w:val="24"/>
          <w:szCs w:val="24"/>
        </w:rPr>
        <w:t xml:space="preserve"> 48073</w:t>
      </w:r>
      <w:r w:rsidR="007254A6" w:rsidRPr="00302F74">
        <w:rPr>
          <w:rFonts w:ascii="Book Antiqua" w:hAnsi="Book Antiqua" w:cs="Times New Roman"/>
          <w:sz w:val="24"/>
          <w:szCs w:val="24"/>
          <w:lang w:eastAsia="zh-CN"/>
        </w:rPr>
        <w:t xml:space="preserve">, </w:t>
      </w:r>
      <w:r w:rsidR="007254A6" w:rsidRPr="00302F74">
        <w:rPr>
          <w:rFonts w:ascii="Book Antiqua" w:hAnsi="Book Antiqua" w:cs="Times New Roman"/>
          <w:sz w:val="24"/>
          <w:szCs w:val="24"/>
        </w:rPr>
        <w:t>United States</w:t>
      </w:r>
    </w:p>
    <w:p w:rsidR="00587725" w:rsidRPr="00302F74" w:rsidRDefault="00587725" w:rsidP="00FA6CCE">
      <w:pPr>
        <w:widowControl w:val="0"/>
        <w:spacing w:line="360" w:lineRule="auto"/>
        <w:jc w:val="both"/>
        <w:rPr>
          <w:rFonts w:ascii="Book Antiqua" w:hAnsi="Book Antiqua" w:cs="Times New Roman"/>
          <w:sz w:val="24"/>
          <w:szCs w:val="24"/>
          <w:lang w:eastAsia="zh-CN"/>
        </w:rPr>
      </w:pPr>
    </w:p>
    <w:p w:rsidR="00587725" w:rsidRPr="00302F74" w:rsidRDefault="00587725"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b/>
          <w:sz w:val="24"/>
          <w:szCs w:val="24"/>
        </w:rPr>
        <w:t>Author contributions:</w:t>
      </w:r>
      <w:r w:rsidR="001D38B2" w:rsidRPr="00302F74">
        <w:rPr>
          <w:rFonts w:ascii="Book Antiqua" w:hAnsi="Book Antiqua"/>
          <w:b/>
          <w:sz w:val="24"/>
          <w:szCs w:val="24"/>
          <w:lang w:eastAsia="zh-CN"/>
        </w:rPr>
        <w:t xml:space="preserve"> </w:t>
      </w:r>
      <w:r w:rsidR="00C9325C" w:rsidRPr="00302F74">
        <w:rPr>
          <w:rFonts w:ascii="Book Antiqua" w:hAnsi="Book Antiqua"/>
          <w:sz w:val="24"/>
          <w:szCs w:val="24"/>
        </w:rPr>
        <w:t xml:space="preserve">Gjeorgjievski </w:t>
      </w:r>
      <w:r w:rsidR="001D38B2" w:rsidRPr="00302F74">
        <w:rPr>
          <w:rFonts w:ascii="Book Antiqua" w:hAnsi="Book Antiqua"/>
          <w:sz w:val="24"/>
          <w:szCs w:val="24"/>
          <w:lang w:eastAsia="zh-CN"/>
        </w:rPr>
        <w:t xml:space="preserve">M </w:t>
      </w:r>
      <w:r w:rsidR="00C9325C" w:rsidRPr="00302F74">
        <w:rPr>
          <w:rFonts w:ascii="Book Antiqua" w:hAnsi="Book Antiqua"/>
          <w:sz w:val="24"/>
          <w:szCs w:val="24"/>
        </w:rPr>
        <w:t xml:space="preserve">and Cappell </w:t>
      </w:r>
      <w:r w:rsidR="001D38B2" w:rsidRPr="00302F74">
        <w:rPr>
          <w:rFonts w:ascii="Book Antiqua" w:hAnsi="Book Antiqua"/>
          <w:sz w:val="24"/>
          <w:szCs w:val="24"/>
          <w:lang w:eastAsia="zh-CN"/>
        </w:rPr>
        <w:t xml:space="preserve">MS </w:t>
      </w:r>
      <w:r w:rsidR="00C9325C" w:rsidRPr="00302F74">
        <w:rPr>
          <w:rFonts w:ascii="Book Antiqua" w:hAnsi="Book Antiqua"/>
          <w:sz w:val="24"/>
          <w:szCs w:val="24"/>
        </w:rPr>
        <w:t>are equal authors. They contributed equally to conceiving and planning this project, to performing the systematic review, to retrieving and analyzing the data from the literature, to writing the manuscript, and to editing of the final manuscript.</w:t>
      </w:r>
      <w:r w:rsidR="00C9325C" w:rsidRPr="00302F74">
        <w:rPr>
          <w:rFonts w:ascii="Book Antiqua" w:hAnsi="Book Antiqua"/>
          <w:b/>
          <w:sz w:val="24"/>
          <w:szCs w:val="24"/>
        </w:rPr>
        <w:t xml:space="preserve"> </w:t>
      </w:r>
    </w:p>
    <w:p w:rsidR="006D5504" w:rsidRPr="00302F74" w:rsidRDefault="006D5504" w:rsidP="00FA6CCE">
      <w:pPr>
        <w:widowControl w:val="0"/>
        <w:spacing w:line="360" w:lineRule="auto"/>
        <w:jc w:val="both"/>
        <w:rPr>
          <w:rFonts w:ascii="Book Antiqua" w:hAnsi="Book Antiqua" w:cs="Times New Roman"/>
          <w:sz w:val="24"/>
          <w:szCs w:val="24"/>
          <w:lang w:eastAsia="zh-CN"/>
        </w:rPr>
      </w:pPr>
    </w:p>
    <w:p w:rsidR="00E5415D" w:rsidRPr="00122388" w:rsidRDefault="00587725" w:rsidP="00FA6CCE">
      <w:pPr>
        <w:widowControl w:val="0"/>
        <w:spacing w:line="360" w:lineRule="auto"/>
        <w:jc w:val="both"/>
        <w:rPr>
          <w:rFonts w:ascii="Book Antiqua" w:hAnsi="Book Antiqua" w:cs="TimesNewRomanPS-BoldItalicMT"/>
          <w:bCs/>
          <w:iCs/>
          <w:sz w:val="24"/>
          <w:szCs w:val="24"/>
          <w:lang w:eastAsia="zh-CN"/>
        </w:rPr>
      </w:pPr>
      <w:r w:rsidRPr="00302F74">
        <w:rPr>
          <w:rFonts w:ascii="Book Antiqua" w:hAnsi="Book Antiqua" w:cs="TimesNewRomanPS-BoldItalicMT"/>
          <w:b/>
          <w:bCs/>
          <w:iCs/>
          <w:sz w:val="24"/>
          <w:szCs w:val="24"/>
        </w:rPr>
        <w:t>Conflict-of-interest</w:t>
      </w:r>
      <w:r w:rsidRPr="00302F74">
        <w:rPr>
          <w:rFonts w:ascii="Book Antiqua" w:hAnsi="Book Antiqua"/>
          <w:sz w:val="24"/>
          <w:szCs w:val="24"/>
        </w:rPr>
        <w:t xml:space="preserve"> </w:t>
      </w:r>
      <w:r w:rsidRPr="00302F74">
        <w:rPr>
          <w:rFonts w:ascii="Book Antiqua" w:hAnsi="Book Antiqua" w:cs="TimesNewRomanPS-BoldItalicMT"/>
          <w:b/>
          <w:bCs/>
          <w:iCs/>
          <w:sz w:val="24"/>
          <w:szCs w:val="24"/>
        </w:rPr>
        <w:t>statement:</w:t>
      </w:r>
      <w:r w:rsidR="00963345">
        <w:rPr>
          <w:rFonts w:ascii="Book Antiqua" w:hAnsi="Book Antiqua" w:cs="TimesNewRomanPS-BoldItalicMT"/>
          <w:b/>
          <w:bCs/>
          <w:iCs/>
          <w:sz w:val="24"/>
          <w:szCs w:val="24"/>
        </w:rPr>
        <w:t xml:space="preserve"> </w:t>
      </w:r>
      <w:r w:rsidR="00C9325C" w:rsidRPr="00302F74">
        <w:rPr>
          <w:rFonts w:ascii="Book Antiqua" w:hAnsi="Book Antiqua" w:cs="TimesNewRomanPS-BoldItalicMT"/>
          <w:bCs/>
          <w:iCs/>
          <w:sz w:val="24"/>
          <w:szCs w:val="24"/>
        </w:rPr>
        <w:t xml:space="preserve">None for all authors. This paper does not discuss any confidential pharmaceutical industry data reviewed by </w:t>
      </w:r>
      <w:r w:rsidR="00FA6CCE" w:rsidRPr="00302F74">
        <w:rPr>
          <w:rFonts w:ascii="Book Antiqua" w:hAnsi="Book Antiqua"/>
          <w:sz w:val="24"/>
          <w:szCs w:val="24"/>
        </w:rPr>
        <w:t xml:space="preserve">Cappell </w:t>
      </w:r>
      <w:r w:rsidR="00FA6CCE" w:rsidRPr="00302F74">
        <w:rPr>
          <w:rFonts w:ascii="Book Antiqua" w:hAnsi="Book Antiqua"/>
          <w:sz w:val="24"/>
          <w:szCs w:val="24"/>
          <w:lang w:eastAsia="zh-CN"/>
        </w:rPr>
        <w:t>MS</w:t>
      </w:r>
      <w:r w:rsidR="00C9325C" w:rsidRPr="00302F74">
        <w:rPr>
          <w:rFonts w:ascii="Book Antiqua" w:hAnsi="Book Antiqua" w:cs="TimesNewRomanPS-BoldItalicMT"/>
          <w:bCs/>
          <w:iCs/>
          <w:sz w:val="24"/>
          <w:szCs w:val="24"/>
        </w:rPr>
        <w:t xml:space="preserve"> as a consultant for the United States Food </w:t>
      </w:r>
      <w:r w:rsidR="0077433A" w:rsidRPr="00302F74">
        <w:rPr>
          <w:rFonts w:ascii="Book Antiqua" w:hAnsi="Book Antiqua" w:cs="TimesNewRomanPS-BoldItalicMT"/>
          <w:bCs/>
          <w:iCs/>
          <w:sz w:val="24"/>
          <w:szCs w:val="24"/>
          <w:lang w:eastAsia="zh-CN"/>
        </w:rPr>
        <w:t>and</w:t>
      </w:r>
      <w:r w:rsidR="00C9325C" w:rsidRPr="00302F74">
        <w:rPr>
          <w:rFonts w:ascii="Book Antiqua" w:hAnsi="Book Antiqua" w:cs="TimesNewRomanPS-BoldItalicMT"/>
          <w:bCs/>
          <w:iCs/>
          <w:sz w:val="24"/>
          <w:szCs w:val="24"/>
        </w:rPr>
        <w:t xml:space="preserve"> Drug Administration (FDA) Advisory Committee on Gastrointestinal Drugs. </w:t>
      </w:r>
      <w:r w:rsidR="00FA6CCE" w:rsidRPr="00302F74">
        <w:rPr>
          <w:rFonts w:ascii="Book Antiqua" w:hAnsi="Book Antiqua"/>
          <w:sz w:val="24"/>
          <w:szCs w:val="24"/>
        </w:rPr>
        <w:t xml:space="preserve">Cappell </w:t>
      </w:r>
      <w:r w:rsidR="00FA6CCE" w:rsidRPr="00302F74">
        <w:rPr>
          <w:rFonts w:ascii="Book Antiqua" w:hAnsi="Book Antiqua"/>
          <w:sz w:val="24"/>
          <w:szCs w:val="24"/>
          <w:lang w:eastAsia="zh-CN"/>
        </w:rPr>
        <w:t>MS</w:t>
      </w:r>
      <w:r w:rsidR="00C9325C" w:rsidRPr="00302F74">
        <w:rPr>
          <w:rFonts w:ascii="Book Antiqua" w:hAnsi="Book Antiqua" w:cs="TimesNewRomanPS-BoldItalicMT"/>
          <w:bCs/>
          <w:iCs/>
          <w:sz w:val="24"/>
          <w:szCs w:val="24"/>
        </w:rPr>
        <w:t xml:space="preserve"> is a member of the speaker’s bureau for AstraZeneca. This paper does not discuss any drug manufactured or marketed by AstraZeneca.</w:t>
      </w:r>
    </w:p>
    <w:p w:rsidR="008F1232" w:rsidRPr="008F1232" w:rsidRDefault="008F1232" w:rsidP="008F1232">
      <w:pPr>
        <w:pStyle w:val="Default"/>
        <w:spacing w:line="360" w:lineRule="auto"/>
        <w:jc w:val="both"/>
        <w:rPr>
          <w:rFonts w:ascii="Book Antiqua" w:hAnsi="Book Antiqua"/>
        </w:rPr>
      </w:pPr>
    </w:p>
    <w:p w:rsidR="008F1232" w:rsidRPr="008F1232" w:rsidRDefault="008F1232" w:rsidP="008F1232">
      <w:pPr>
        <w:pStyle w:val="Default"/>
        <w:spacing w:line="360" w:lineRule="auto"/>
        <w:jc w:val="both"/>
        <w:rPr>
          <w:rFonts w:ascii="Book Antiqua" w:hAnsi="Book Antiqua"/>
          <w:lang w:eastAsia="zh-CN"/>
        </w:rPr>
      </w:pPr>
      <w:r w:rsidRPr="008F1232">
        <w:rPr>
          <w:rFonts w:ascii="Book Antiqua" w:hAnsi="Book Antiqua"/>
          <w:b/>
        </w:rPr>
        <w:t xml:space="preserve"> Data </w:t>
      </w:r>
      <w:r w:rsidRPr="008F1232">
        <w:rPr>
          <w:rFonts w:ascii="Book Antiqua" w:hAnsi="Book Antiqua" w:hint="eastAsia"/>
          <w:b/>
          <w:lang w:eastAsia="zh-CN"/>
        </w:rPr>
        <w:t>s</w:t>
      </w:r>
      <w:r w:rsidRPr="008F1232">
        <w:rPr>
          <w:rFonts w:ascii="Book Antiqua" w:hAnsi="Book Antiqua"/>
          <w:b/>
        </w:rPr>
        <w:t xml:space="preserve">haring </w:t>
      </w:r>
      <w:r w:rsidRPr="008F1232">
        <w:rPr>
          <w:rFonts w:ascii="Book Antiqua" w:hAnsi="Book Antiqua" w:hint="eastAsia"/>
          <w:b/>
          <w:lang w:eastAsia="zh-CN"/>
        </w:rPr>
        <w:t>s</w:t>
      </w:r>
      <w:r w:rsidRPr="008F1232">
        <w:rPr>
          <w:rFonts w:ascii="Book Antiqua" w:hAnsi="Book Antiqua"/>
          <w:b/>
        </w:rPr>
        <w:t>tatement:</w:t>
      </w:r>
      <w:r w:rsidRPr="008F1232">
        <w:rPr>
          <w:rFonts w:ascii="Book Antiqua" w:hAnsi="Book Antiqua"/>
        </w:rPr>
        <w:t xml:space="preserve"> The paper entitled “Portal hypertensive gastropathy: </w:t>
      </w:r>
      <w:r w:rsidRPr="008F1232">
        <w:rPr>
          <w:rFonts w:ascii="Book Antiqua" w:hAnsi="Book Antiqua"/>
        </w:rPr>
        <w:lastRenderedPageBreak/>
        <w:t>Pathophysiology, clinical presentation, natural history, and thera</w:t>
      </w:r>
      <w:r w:rsidR="00122388">
        <w:rPr>
          <w:rFonts w:ascii="Book Antiqua" w:hAnsi="Book Antiqua"/>
        </w:rPr>
        <w:t>py” by Mihajlo Gjeorgjievski, M</w:t>
      </w:r>
      <w:r w:rsidRPr="008F1232">
        <w:rPr>
          <w:rFonts w:ascii="Book Antiqua" w:hAnsi="Book Antiqua"/>
        </w:rPr>
        <w:t>D,  Mitchell S</w:t>
      </w:r>
      <w:r w:rsidR="00122388">
        <w:rPr>
          <w:rFonts w:ascii="Book Antiqua" w:hAnsi="Book Antiqua"/>
        </w:rPr>
        <w:t xml:space="preserve"> Cappell, M</w:t>
      </w:r>
      <w:r w:rsidRPr="008F1232">
        <w:rPr>
          <w:rFonts w:ascii="Book Antiqua" w:hAnsi="Book Antiqua"/>
        </w:rPr>
        <w:t>D</w:t>
      </w:r>
      <w:r w:rsidR="00122388">
        <w:rPr>
          <w:rFonts w:ascii="Book Antiqua" w:hAnsi="Book Antiqua"/>
        </w:rPr>
        <w:t>, PhD</w:t>
      </w:r>
      <w:r w:rsidR="00122388">
        <w:rPr>
          <w:rFonts w:ascii="Book Antiqua" w:hAnsi="Book Antiqua" w:hint="eastAsia"/>
          <w:lang w:eastAsia="zh-CN"/>
        </w:rPr>
        <w:t>,</w:t>
      </w:r>
      <w:r w:rsidRPr="008F1232">
        <w:rPr>
          <w:rFonts w:ascii="Book Antiqua" w:hAnsi="Book Antiqua"/>
        </w:rPr>
        <w:t xml:space="preserve"> submitted as manuscript # 22919 to the </w:t>
      </w:r>
      <w:r w:rsidRPr="00122388">
        <w:rPr>
          <w:rFonts w:ascii="Book Antiqua" w:hAnsi="Book Antiqua"/>
          <w:i/>
        </w:rPr>
        <w:t>World Journal of Hepatology</w:t>
      </w:r>
      <w:r w:rsidRPr="008F1232">
        <w:rPr>
          <w:rFonts w:ascii="Book Antiqua" w:hAnsi="Book Antiqua"/>
        </w:rPr>
        <w:t xml:space="preserve"> is a systematic review with no original data or original statistics presented. No additional data are, therefore, available.</w:t>
      </w:r>
    </w:p>
    <w:p w:rsidR="008F1232" w:rsidRPr="008F1232" w:rsidRDefault="008F1232" w:rsidP="008F1232">
      <w:pPr>
        <w:widowControl w:val="0"/>
        <w:spacing w:line="360" w:lineRule="auto"/>
        <w:jc w:val="both"/>
        <w:rPr>
          <w:rFonts w:ascii="Book Antiqua" w:hAnsi="Book Antiqua" w:cs="TimesNewRomanPS-BoldItalicMT"/>
          <w:bCs/>
          <w:iCs/>
          <w:sz w:val="24"/>
          <w:szCs w:val="24"/>
          <w:lang w:eastAsia="zh-CN"/>
        </w:rPr>
      </w:pPr>
    </w:p>
    <w:p w:rsidR="00A63A1A" w:rsidRPr="00302F74" w:rsidRDefault="00A63A1A" w:rsidP="00A63A1A">
      <w:pPr>
        <w:spacing w:line="360" w:lineRule="auto"/>
        <w:jc w:val="both"/>
        <w:rPr>
          <w:rFonts w:ascii="Book Antiqua" w:hAnsi="Book Antiqua" w:cs="宋体"/>
          <w:sz w:val="24"/>
          <w:szCs w:val="24"/>
        </w:rPr>
      </w:pPr>
      <w:bookmarkStart w:id="0" w:name="OLE_LINK195"/>
      <w:bookmarkStart w:id="1" w:name="OLE_LINK196"/>
      <w:bookmarkStart w:id="2" w:name="OLE_LINK272"/>
      <w:bookmarkStart w:id="3" w:name="OLE_LINK1847"/>
      <w:bookmarkStart w:id="4" w:name="OLE_LINK381"/>
      <w:bookmarkStart w:id="5" w:name="OLE_LINK416"/>
      <w:r w:rsidRPr="00302F74">
        <w:rPr>
          <w:rFonts w:ascii="Book Antiqua" w:hAnsi="Book Antiqua"/>
          <w:b/>
          <w:sz w:val="24"/>
          <w:szCs w:val="24"/>
        </w:rPr>
        <w:t xml:space="preserve">Open-Access: </w:t>
      </w:r>
      <w:bookmarkStart w:id="6" w:name="OLE_LINK479"/>
      <w:bookmarkStart w:id="7" w:name="OLE_LINK496"/>
      <w:bookmarkStart w:id="8" w:name="OLE_LINK506"/>
      <w:bookmarkStart w:id="9" w:name="OLE_LINK507"/>
      <w:bookmarkStart w:id="10" w:name="OLE_LINK498"/>
      <w:r w:rsidRPr="00302F7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02F74">
          <w:rPr>
            <w:rStyle w:val="Hyperlink"/>
            <w:rFonts w:ascii="Book Antiqua" w:hAnsi="Book Antiqua"/>
            <w:color w:val="auto"/>
            <w:sz w:val="24"/>
            <w:szCs w:val="24"/>
            <w:u w:val="none"/>
          </w:rPr>
          <w:t>http://creativecommons.org/licenses/by-nc/4.0/</w:t>
        </w:r>
      </w:hyperlink>
      <w:bookmarkEnd w:id="6"/>
      <w:bookmarkEnd w:id="7"/>
      <w:bookmarkEnd w:id="8"/>
      <w:bookmarkEnd w:id="9"/>
    </w:p>
    <w:bookmarkEnd w:id="0"/>
    <w:bookmarkEnd w:id="1"/>
    <w:bookmarkEnd w:id="2"/>
    <w:bookmarkEnd w:id="3"/>
    <w:bookmarkEnd w:id="4"/>
    <w:bookmarkEnd w:id="5"/>
    <w:bookmarkEnd w:id="10"/>
    <w:p w:rsidR="00FA6CCE" w:rsidRPr="00302F74" w:rsidRDefault="00FA6CCE" w:rsidP="00FA6CCE">
      <w:pPr>
        <w:widowControl w:val="0"/>
        <w:spacing w:line="360" w:lineRule="auto"/>
        <w:jc w:val="both"/>
        <w:rPr>
          <w:rFonts w:ascii="Book Antiqua" w:hAnsi="Book Antiqua" w:cs="TimesNewRomanPS-BoldItalicMT"/>
          <w:bCs/>
          <w:iCs/>
          <w:sz w:val="24"/>
          <w:szCs w:val="24"/>
          <w:lang w:eastAsia="zh-CN"/>
        </w:rPr>
      </w:pPr>
    </w:p>
    <w:p w:rsidR="00C0447D" w:rsidRPr="00302F74" w:rsidRDefault="00607F51"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b/>
          <w:bCs/>
          <w:sz w:val="24"/>
          <w:szCs w:val="24"/>
          <w:lang w:eastAsia="it-IT"/>
        </w:rPr>
        <w:t>Correspond</w:t>
      </w:r>
      <w:r w:rsidRPr="00302F74">
        <w:rPr>
          <w:rFonts w:ascii="Book Antiqua" w:hAnsi="Book Antiqua"/>
          <w:b/>
          <w:bCs/>
          <w:sz w:val="24"/>
          <w:szCs w:val="24"/>
          <w:lang w:eastAsia="zh-CN"/>
        </w:rPr>
        <w:t>ence to</w:t>
      </w:r>
      <w:r w:rsidRPr="00302F74">
        <w:rPr>
          <w:rFonts w:ascii="Book Antiqua" w:hAnsi="Book Antiqua"/>
          <w:b/>
          <w:bCs/>
          <w:sz w:val="24"/>
          <w:szCs w:val="24"/>
          <w:lang w:eastAsia="it-IT"/>
        </w:rPr>
        <w:t>:</w:t>
      </w:r>
      <w:r w:rsidRPr="00302F74">
        <w:rPr>
          <w:rFonts w:ascii="Book Antiqua" w:hAnsi="Book Antiqua"/>
          <w:b/>
          <w:bCs/>
          <w:sz w:val="24"/>
          <w:szCs w:val="24"/>
          <w:lang w:eastAsia="zh-CN"/>
        </w:rPr>
        <w:t xml:space="preserve"> </w:t>
      </w:r>
      <w:r w:rsidRPr="00302F74">
        <w:rPr>
          <w:rFonts w:ascii="Book Antiqua" w:hAnsi="Book Antiqua" w:cs="Times New Roman"/>
          <w:b/>
          <w:sz w:val="24"/>
          <w:szCs w:val="24"/>
        </w:rPr>
        <w:t>Mitchell S Cappell, MD, PhD</w:t>
      </w:r>
      <w:r w:rsidRPr="00302F74">
        <w:rPr>
          <w:rFonts w:ascii="Book Antiqua" w:hAnsi="Book Antiqua" w:cs="Times New Roman"/>
          <w:b/>
          <w:sz w:val="24"/>
          <w:szCs w:val="24"/>
          <w:lang w:eastAsia="zh-CN"/>
        </w:rPr>
        <w:t xml:space="preserve">, </w:t>
      </w:r>
      <w:r w:rsidR="00C0447D" w:rsidRPr="00302F74">
        <w:rPr>
          <w:rFonts w:ascii="Book Antiqua" w:hAnsi="Book Antiqua" w:cs="Times New Roman"/>
          <w:b/>
          <w:sz w:val="24"/>
          <w:szCs w:val="24"/>
        </w:rPr>
        <w:t xml:space="preserve">Chief, </w:t>
      </w:r>
      <w:r w:rsidR="00C0447D" w:rsidRPr="00302F74">
        <w:rPr>
          <w:rFonts w:ascii="Book Antiqua" w:hAnsi="Book Antiqua" w:cs="Times New Roman"/>
          <w:sz w:val="24"/>
          <w:szCs w:val="24"/>
        </w:rPr>
        <w:t xml:space="preserve">Division of Gastroenterology </w:t>
      </w:r>
      <w:r w:rsidR="00351C59" w:rsidRPr="00302F74">
        <w:rPr>
          <w:rFonts w:ascii="Book Antiqua" w:hAnsi="Book Antiqua" w:cs="Times New Roman"/>
          <w:sz w:val="24"/>
          <w:szCs w:val="24"/>
          <w:lang w:eastAsia="zh-CN"/>
        </w:rPr>
        <w:t>and</w:t>
      </w:r>
      <w:r w:rsidR="00C0447D" w:rsidRPr="00302F74">
        <w:rPr>
          <w:rFonts w:ascii="Book Antiqua" w:hAnsi="Book Antiqua" w:cs="Times New Roman"/>
          <w:sz w:val="24"/>
          <w:szCs w:val="24"/>
        </w:rPr>
        <w:t xml:space="preserve"> Hepatology</w:t>
      </w:r>
      <w:r w:rsidR="00351C59" w:rsidRPr="00302F74">
        <w:rPr>
          <w:rFonts w:ascii="Book Antiqua" w:hAnsi="Book Antiqua" w:cs="Times New Roman"/>
          <w:sz w:val="24"/>
          <w:szCs w:val="24"/>
          <w:lang w:eastAsia="zh-CN"/>
        </w:rPr>
        <w:t xml:space="preserve">, </w:t>
      </w:r>
      <w:r w:rsidR="00C0447D" w:rsidRPr="00302F74">
        <w:rPr>
          <w:rFonts w:ascii="Book Antiqua" w:hAnsi="Book Antiqua" w:cs="Times New Roman"/>
          <w:sz w:val="24"/>
          <w:szCs w:val="24"/>
        </w:rPr>
        <w:t>Will</w:t>
      </w:r>
      <w:r w:rsidR="00351C59" w:rsidRPr="00302F74">
        <w:rPr>
          <w:rFonts w:ascii="Book Antiqua" w:hAnsi="Book Antiqua" w:cs="Times New Roman"/>
          <w:sz w:val="24"/>
          <w:szCs w:val="24"/>
        </w:rPr>
        <w:t>iam Beaumont Hospital, MOB #602</w:t>
      </w:r>
      <w:r w:rsidR="00351C59" w:rsidRPr="00302F74">
        <w:rPr>
          <w:rFonts w:ascii="Book Antiqua" w:hAnsi="Book Antiqua" w:cs="Times New Roman"/>
          <w:sz w:val="24"/>
          <w:szCs w:val="24"/>
          <w:lang w:eastAsia="zh-CN"/>
        </w:rPr>
        <w:t xml:space="preserve">, </w:t>
      </w:r>
      <w:r w:rsidR="00C0447D" w:rsidRPr="00302F74">
        <w:rPr>
          <w:rFonts w:ascii="Book Antiqua" w:hAnsi="Book Antiqua" w:cs="Times New Roman"/>
          <w:sz w:val="24"/>
          <w:szCs w:val="24"/>
        </w:rPr>
        <w:t>3535 West Thirteen Mile Road</w:t>
      </w:r>
      <w:r w:rsidR="00351C59" w:rsidRPr="00302F74">
        <w:rPr>
          <w:rFonts w:ascii="Book Antiqua" w:hAnsi="Book Antiqua" w:cs="Times New Roman"/>
          <w:sz w:val="24"/>
          <w:szCs w:val="24"/>
          <w:lang w:eastAsia="zh-CN"/>
        </w:rPr>
        <w:t xml:space="preserve">, </w:t>
      </w:r>
      <w:r w:rsidR="00C0447D" w:rsidRPr="00302F74">
        <w:rPr>
          <w:rFonts w:ascii="Book Antiqua" w:hAnsi="Book Antiqua" w:cs="Times New Roman"/>
          <w:sz w:val="24"/>
          <w:szCs w:val="24"/>
        </w:rPr>
        <w:t>Royal Oak, M</w:t>
      </w:r>
      <w:r w:rsidR="00351C59" w:rsidRPr="00302F74">
        <w:rPr>
          <w:rFonts w:ascii="Book Antiqua" w:hAnsi="Book Antiqua" w:cs="Times New Roman"/>
          <w:sz w:val="24"/>
          <w:szCs w:val="24"/>
        </w:rPr>
        <w:t>I</w:t>
      </w:r>
      <w:r w:rsidR="00C0447D" w:rsidRPr="00302F74">
        <w:rPr>
          <w:rFonts w:ascii="Book Antiqua" w:hAnsi="Book Antiqua" w:cs="Times New Roman"/>
          <w:sz w:val="24"/>
          <w:szCs w:val="24"/>
        </w:rPr>
        <w:t xml:space="preserve"> 48073</w:t>
      </w:r>
      <w:r w:rsidR="00351C59" w:rsidRPr="00302F74">
        <w:rPr>
          <w:rFonts w:ascii="Book Antiqua" w:hAnsi="Book Antiqua" w:cs="Times New Roman"/>
          <w:sz w:val="24"/>
          <w:szCs w:val="24"/>
          <w:lang w:eastAsia="zh-CN"/>
        </w:rPr>
        <w:t>,</w:t>
      </w:r>
      <w:r w:rsidR="00C0447D" w:rsidRPr="00302F74">
        <w:rPr>
          <w:rFonts w:ascii="Book Antiqua" w:hAnsi="Book Antiqua" w:cs="Times New Roman"/>
          <w:sz w:val="24"/>
          <w:szCs w:val="24"/>
        </w:rPr>
        <w:t xml:space="preserve"> U</w:t>
      </w:r>
      <w:r w:rsidR="00FC7D54" w:rsidRPr="00302F74">
        <w:rPr>
          <w:rFonts w:ascii="Book Antiqua" w:hAnsi="Book Antiqua" w:cs="Times New Roman"/>
          <w:sz w:val="24"/>
          <w:szCs w:val="24"/>
        </w:rPr>
        <w:t>nited States</w:t>
      </w:r>
      <w:r w:rsidR="00351C59" w:rsidRPr="00302F74">
        <w:rPr>
          <w:rFonts w:ascii="Book Antiqua" w:hAnsi="Book Antiqua" w:cs="Times New Roman"/>
          <w:sz w:val="24"/>
          <w:szCs w:val="24"/>
          <w:lang w:eastAsia="zh-CN"/>
        </w:rPr>
        <w:t xml:space="preserve">. </w:t>
      </w:r>
      <w:hyperlink r:id="rId10" w:history="1">
        <w:r w:rsidR="00632F67" w:rsidRPr="00302F74">
          <w:rPr>
            <w:rStyle w:val="Hyperlink"/>
            <w:rFonts w:ascii="Book Antiqua" w:hAnsi="Book Antiqua" w:cs="Times New Roman"/>
            <w:color w:val="auto"/>
            <w:sz w:val="24"/>
            <w:szCs w:val="24"/>
            <w:u w:val="none"/>
          </w:rPr>
          <w:t>mscappell@yahoo.com</w:t>
        </w:r>
      </w:hyperlink>
    </w:p>
    <w:p w:rsidR="00632F67" w:rsidRPr="00302F74" w:rsidRDefault="00632F67"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b/>
          <w:bCs/>
          <w:sz w:val="24"/>
          <w:szCs w:val="24"/>
          <w:lang w:eastAsia="zh-CN"/>
        </w:rPr>
        <w:t>Telephone:</w:t>
      </w:r>
      <w:r w:rsidRPr="00302F74">
        <w:rPr>
          <w:rFonts w:ascii="Book Antiqua" w:hAnsi="Book Antiqua"/>
          <w:bCs/>
          <w:sz w:val="24"/>
          <w:szCs w:val="24"/>
          <w:lang w:eastAsia="zh-CN"/>
        </w:rPr>
        <w:t xml:space="preserve"> +1-</w:t>
      </w:r>
      <w:r w:rsidRPr="00302F74">
        <w:rPr>
          <w:rFonts w:ascii="Book Antiqua" w:hAnsi="Book Antiqua" w:cs="Times New Roman"/>
          <w:sz w:val="24"/>
          <w:szCs w:val="24"/>
        </w:rPr>
        <w:t>248-5511227</w:t>
      </w:r>
    </w:p>
    <w:p w:rsidR="00632F67" w:rsidRPr="00302F74" w:rsidRDefault="00632F67"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b/>
          <w:sz w:val="24"/>
          <w:szCs w:val="24"/>
        </w:rPr>
        <w:t>Fax:</w:t>
      </w:r>
      <w:r w:rsidRPr="00302F74">
        <w:rPr>
          <w:rFonts w:ascii="Book Antiqua" w:hAnsi="Book Antiqua" w:cs="Times New Roman"/>
          <w:sz w:val="24"/>
          <w:szCs w:val="24"/>
        </w:rPr>
        <w:t xml:space="preserve"> </w:t>
      </w:r>
      <w:r w:rsidRPr="00302F74">
        <w:rPr>
          <w:rFonts w:ascii="Book Antiqua" w:hAnsi="Book Antiqua"/>
          <w:bCs/>
          <w:sz w:val="24"/>
          <w:szCs w:val="24"/>
          <w:lang w:eastAsia="zh-CN"/>
        </w:rPr>
        <w:t>+1-</w:t>
      </w:r>
      <w:r w:rsidRPr="00302F74">
        <w:rPr>
          <w:rFonts w:ascii="Book Antiqua" w:hAnsi="Book Antiqua" w:cs="Times New Roman"/>
          <w:sz w:val="24"/>
          <w:szCs w:val="24"/>
        </w:rPr>
        <w:t>248-551758</w:t>
      </w:r>
    </w:p>
    <w:p w:rsidR="00E646BE" w:rsidRPr="00302F74" w:rsidRDefault="00E646BE" w:rsidP="00FA6CCE">
      <w:pPr>
        <w:widowControl w:val="0"/>
        <w:spacing w:line="360" w:lineRule="auto"/>
        <w:jc w:val="both"/>
        <w:rPr>
          <w:rFonts w:ascii="Book Antiqua" w:hAnsi="Book Antiqua" w:cs="Times New Roman"/>
          <w:sz w:val="24"/>
          <w:szCs w:val="24"/>
          <w:lang w:eastAsia="zh-CN"/>
        </w:rPr>
      </w:pPr>
    </w:p>
    <w:p w:rsidR="00E646BE" w:rsidRPr="00302F74" w:rsidRDefault="00E646BE" w:rsidP="00E646BE">
      <w:pPr>
        <w:spacing w:line="360" w:lineRule="auto"/>
        <w:rPr>
          <w:rFonts w:ascii="Book Antiqua" w:hAnsi="Book Antiqua"/>
          <w:b/>
          <w:sz w:val="24"/>
          <w:szCs w:val="24"/>
        </w:rPr>
      </w:pPr>
      <w:bookmarkStart w:id="11" w:name="OLE_LINK108"/>
      <w:bookmarkStart w:id="12" w:name="OLE_LINK175"/>
      <w:bookmarkStart w:id="13" w:name="OLE_LINK177"/>
      <w:bookmarkStart w:id="14" w:name="OLE_LINK223"/>
      <w:bookmarkStart w:id="15" w:name="OLE_LINK261"/>
      <w:r w:rsidRPr="00302F74">
        <w:rPr>
          <w:rFonts w:ascii="Book Antiqua" w:hAnsi="Book Antiqua"/>
          <w:b/>
          <w:sz w:val="24"/>
          <w:szCs w:val="24"/>
        </w:rPr>
        <w:t>Received:</w:t>
      </w:r>
      <w:r w:rsidR="00DE6217" w:rsidRPr="00302F74">
        <w:rPr>
          <w:rFonts w:ascii="Book Antiqua" w:hAnsi="Book Antiqua"/>
          <w:sz w:val="24"/>
          <w:szCs w:val="24"/>
        </w:rPr>
        <w:t xml:space="preserve"> October</w:t>
      </w:r>
      <w:r w:rsidR="00DE6217" w:rsidRPr="00302F74">
        <w:rPr>
          <w:rFonts w:ascii="Book Antiqua" w:hAnsi="Book Antiqua"/>
          <w:sz w:val="24"/>
          <w:szCs w:val="24"/>
          <w:lang w:eastAsia="zh-CN"/>
        </w:rPr>
        <w:t xml:space="preserve"> 2,</w:t>
      </w:r>
      <w:r w:rsidRPr="00302F74">
        <w:rPr>
          <w:rFonts w:ascii="Book Antiqua" w:hAnsi="Book Antiqua"/>
          <w:sz w:val="24"/>
          <w:szCs w:val="24"/>
        </w:rPr>
        <w:t xml:space="preserve"> 2015</w:t>
      </w:r>
    </w:p>
    <w:p w:rsidR="00E646BE" w:rsidRPr="00302F74" w:rsidRDefault="00E646BE" w:rsidP="00E646BE">
      <w:pPr>
        <w:spacing w:line="360" w:lineRule="auto"/>
        <w:rPr>
          <w:rFonts w:ascii="Book Antiqua" w:hAnsi="Book Antiqua"/>
          <w:b/>
          <w:sz w:val="24"/>
          <w:szCs w:val="24"/>
        </w:rPr>
      </w:pPr>
      <w:r w:rsidRPr="00302F74">
        <w:rPr>
          <w:rFonts w:ascii="Book Antiqua" w:hAnsi="Book Antiqua"/>
          <w:b/>
          <w:sz w:val="24"/>
          <w:szCs w:val="24"/>
        </w:rPr>
        <w:t xml:space="preserve">Peer-review started: </w:t>
      </w:r>
      <w:r w:rsidRPr="00302F74">
        <w:rPr>
          <w:rFonts w:ascii="Book Antiqua" w:hAnsi="Book Antiqua"/>
          <w:sz w:val="24"/>
          <w:szCs w:val="24"/>
        </w:rPr>
        <w:t xml:space="preserve">October </w:t>
      </w:r>
      <w:r w:rsidR="00DE6217" w:rsidRPr="00302F74">
        <w:rPr>
          <w:rFonts w:ascii="Book Antiqua" w:hAnsi="Book Antiqua"/>
          <w:sz w:val="24"/>
          <w:szCs w:val="24"/>
          <w:lang w:eastAsia="zh-CN"/>
        </w:rPr>
        <w:t>4</w:t>
      </w:r>
      <w:r w:rsidRPr="00302F74">
        <w:rPr>
          <w:rFonts w:ascii="Book Antiqua" w:hAnsi="Book Antiqua"/>
          <w:sz w:val="24"/>
          <w:szCs w:val="24"/>
        </w:rPr>
        <w:t>, 2015</w:t>
      </w:r>
    </w:p>
    <w:p w:rsidR="00E646BE" w:rsidRPr="00302F74" w:rsidRDefault="00E646BE" w:rsidP="00E646BE">
      <w:pPr>
        <w:spacing w:line="360" w:lineRule="auto"/>
        <w:rPr>
          <w:rFonts w:ascii="Book Antiqua" w:hAnsi="Book Antiqua"/>
          <w:b/>
          <w:sz w:val="24"/>
          <w:szCs w:val="24"/>
        </w:rPr>
      </w:pPr>
      <w:r w:rsidRPr="00302F74">
        <w:rPr>
          <w:rFonts w:ascii="Book Antiqua" w:hAnsi="Book Antiqua"/>
          <w:b/>
          <w:sz w:val="24"/>
          <w:szCs w:val="24"/>
        </w:rPr>
        <w:t xml:space="preserve">First decision: </w:t>
      </w:r>
      <w:r w:rsidRPr="00302F74">
        <w:rPr>
          <w:rFonts w:ascii="Book Antiqua" w:hAnsi="Book Antiqua"/>
          <w:sz w:val="24"/>
          <w:szCs w:val="24"/>
        </w:rPr>
        <w:t>November 4, 2015</w:t>
      </w:r>
    </w:p>
    <w:p w:rsidR="00E646BE" w:rsidRPr="00302F74" w:rsidRDefault="00E646BE" w:rsidP="00E646BE">
      <w:pPr>
        <w:spacing w:line="360" w:lineRule="auto"/>
        <w:rPr>
          <w:rFonts w:ascii="Book Antiqua" w:hAnsi="Book Antiqua"/>
          <w:b/>
          <w:sz w:val="24"/>
          <w:szCs w:val="24"/>
        </w:rPr>
      </w:pPr>
      <w:r w:rsidRPr="00302F74">
        <w:rPr>
          <w:rFonts w:ascii="Book Antiqua" w:hAnsi="Book Antiqua"/>
          <w:b/>
          <w:sz w:val="24"/>
          <w:szCs w:val="24"/>
        </w:rPr>
        <w:t xml:space="preserve">Revised: </w:t>
      </w:r>
      <w:r w:rsidRPr="00302F74">
        <w:rPr>
          <w:rFonts w:ascii="Book Antiqua" w:hAnsi="Book Antiqua"/>
          <w:sz w:val="24"/>
          <w:szCs w:val="24"/>
        </w:rPr>
        <w:t xml:space="preserve">November </w:t>
      </w:r>
      <w:r w:rsidR="00DE6217" w:rsidRPr="00302F74">
        <w:rPr>
          <w:rFonts w:ascii="Book Antiqua" w:hAnsi="Book Antiqua"/>
          <w:sz w:val="24"/>
          <w:szCs w:val="24"/>
          <w:lang w:eastAsia="zh-CN"/>
        </w:rPr>
        <w:t>30</w:t>
      </w:r>
      <w:r w:rsidRPr="00302F74">
        <w:rPr>
          <w:rFonts w:ascii="Book Antiqua" w:hAnsi="Book Antiqua"/>
          <w:sz w:val="24"/>
          <w:szCs w:val="24"/>
        </w:rPr>
        <w:t>, 2015</w:t>
      </w:r>
    </w:p>
    <w:p w:rsidR="00FC1E74" w:rsidRDefault="00E646BE" w:rsidP="00E646BE">
      <w:pPr>
        <w:spacing w:line="360" w:lineRule="auto"/>
        <w:rPr>
          <w:rFonts w:ascii="Book Antiqua" w:hAnsi="Book Antiqua"/>
          <w:b/>
          <w:sz w:val="24"/>
          <w:szCs w:val="24"/>
        </w:rPr>
      </w:pPr>
      <w:r w:rsidRPr="00302F74">
        <w:rPr>
          <w:rFonts w:ascii="Book Antiqua" w:hAnsi="Book Antiqua"/>
          <w:b/>
          <w:sz w:val="24"/>
          <w:szCs w:val="24"/>
        </w:rPr>
        <w:t xml:space="preserve">Accepted: </w:t>
      </w:r>
      <w:r w:rsidR="00FC1E74" w:rsidRPr="00FC1E74">
        <w:rPr>
          <w:rFonts w:ascii="Book Antiqua" w:hAnsi="Book Antiqua"/>
          <w:sz w:val="24"/>
          <w:szCs w:val="24"/>
        </w:rPr>
        <w:t>January 16, 2016</w:t>
      </w:r>
    </w:p>
    <w:p w:rsidR="00E646BE" w:rsidRPr="00302F74" w:rsidRDefault="00E646BE" w:rsidP="00E646BE">
      <w:pPr>
        <w:spacing w:line="360" w:lineRule="auto"/>
        <w:rPr>
          <w:rFonts w:ascii="Book Antiqua" w:hAnsi="Book Antiqua"/>
          <w:b/>
          <w:sz w:val="24"/>
          <w:szCs w:val="24"/>
        </w:rPr>
      </w:pPr>
      <w:r w:rsidRPr="00302F74">
        <w:rPr>
          <w:rFonts w:ascii="Book Antiqua" w:hAnsi="Book Antiqua"/>
          <w:b/>
          <w:sz w:val="24"/>
          <w:szCs w:val="24"/>
        </w:rPr>
        <w:t>Article in press:</w:t>
      </w:r>
      <w:r w:rsidRPr="00302F74">
        <w:rPr>
          <w:rFonts w:ascii="Book Antiqua" w:hAnsi="Book Antiqua"/>
          <w:sz w:val="24"/>
          <w:szCs w:val="24"/>
        </w:rPr>
        <w:t xml:space="preserve"> </w:t>
      </w:r>
    </w:p>
    <w:p w:rsidR="00E646BE" w:rsidRPr="00302F74" w:rsidRDefault="00E646BE" w:rsidP="00E646BE">
      <w:pPr>
        <w:spacing w:line="360" w:lineRule="auto"/>
        <w:rPr>
          <w:rFonts w:ascii="Book Antiqua" w:hAnsi="Book Antiqua"/>
          <w:b/>
          <w:sz w:val="24"/>
          <w:szCs w:val="24"/>
        </w:rPr>
      </w:pPr>
      <w:r w:rsidRPr="00302F74">
        <w:rPr>
          <w:rFonts w:ascii="Book Antiqua" w:hAnsi="Book Antiqua"/>
          <w:b/>
          <w:sz w:val="24"/>
          <w:szCs w:val="24"/>
        </w:rPr>
        <w:t xml:space="preserve">Published online: </w:t>
      </w:r>
    </w:p>
    <w:bookmarkEnd w:id="11"/>
    <w:bookmarkEnd w:id="12"/>
    <w:bookmarkEnd w:id="13"/>
    <w:bookmarkEnd w:id="14"/>
    <w:bookmarkEnd w:id="15"/>
    <w:p w:rsidR="00E646BE" w:rsidRPr="00302F74" w:rsidRDefault="00E646BE" w:rsidP="00FA6CCE">
      <w:pPr>
        <w:widowControl w:val="0"/>
        <w:spacing w:line="360" w:lineRule="auto"/>
        <w:jc w:val="both"/>
        <w:rPr>
          <w:rFonts w:ascii="Book Antiqua" w:hAnsi="Book Antiqua" w:cs="Times New Roman"/>
          <w:sz w:val="24"/>
          <w:szCs w:val="24"/>
          <w:lang w:eastAsia="zh-CN"/>
        </w:rPr>
      </w:pPr>
    </w:p>
    <w:p w:rsidR="00C0447D" w:rsidRPr="00302F74" w:rsidRDefault="00C0447D" w:rsidP="00FA6CCE">
      <w:pPr>
        <w:widowControl w:val="0"/>
        <w:spacing w:line="360" w:lineRule="auto"/>
        <w:jc w:val="both"/>
        <w:rPr>
          <w:rFonts w:ascii="Book Antiqua" w:hAnsi="Book Antiqua" w:cs="Times New Roman"/>
          <w:sz w:val="24"/>
          <w:szCs w:val="24"/>
          <w:lang w:eastAsia="zh-CN"/>
        </w:rPr>
      </w:pPr>
    </w:p>
    <w:p w:rsidR="006049FD" w:rsidRPr="00302F74" w:rsidRDefault="001505DA" w:rsidP="00FA6CCE">
      <w:pPr>
        <w:widowControl w:val="0"/>
        <w:spacing w:line="360" w:lineRule="auto"/>
        <w:jc w:val="both"/>
        <w:rPr>
          <w:rFonts w:ascii="Book Antiqua" w:hAnsi="Book Antiqua" w:cs="Times New Roman"/>
          <w:b/>
          <w:sz w:val="24"/>
          <w:szCs w:val="24"/>
        </w:rPr>
      </w:pPr>
      <w:r w:rsidRPr="00302F74">
        <w:rPr>
          <w:rFonts w:ascii="Book Antiqua" w:hAnsi="Book Antiqua" w:cs="Times New Roman"/>
          <w:b/>
          <w:sz w:val="24"/>
          <w:szCs w:val="24"/>
        </w:rPr>
        <w:t>A</w:t>
      </w:r>
      <w:r w:rsidR="00306810" w:rsidRPr="00302F74">
        <w:rPr>
          <w:rFonts w:ascii="Book Antiqua" w:hAnsi="Book Antiqua" w:cs="Times New Roman"/>
          <w:b/>
          <w:sz w:val="24"/>
          <w:szCs w:val="24"/>
        </w:rPr>
        <w:t>bstract</w:t>
      </w:r>
    </w:p>
    <w:p w:rsidR="00FC7D54" w:rsidRPr="00302F74" w:rsidRDefault="00FC7D54"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b/>
          <w:sz w:val="24"/>
          <w:szCs w:val="24"/>
        </w:rPr>
        <w:t>AIM</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To describe the pathophysiology, clinical presentation, natural history, and </w:t>
      </w:r>
      <w:r w:rsidRPr="00302F74">
        <w:rPr>
          <w:rFonts w:ascii="Book Antiqua" w:hAnsi="Book Antiqua" w:cs="Times New Roman"/>
          <w:sz w:val="24"/>
          <w:szCs w:val="24"/>
        </w:rPr>
        <w:lastRenderedPageBreak/>
        <w:t>therapy of p</w:t>
      </w:r>
      <w:r w:rsidR="0061287B" w:rsidRPr="00302F74">
        <w:rPr>
          <w:rFonts w:ascii="Book Antiqua" w:hAnsi="Book Antiqua" w:cs="Times New Roman"/>
          <w:sz w:val="24"/>
          <w:szCs w:val="24"/>
        </w:rPr>
        <w:t xml:space="preserve">ortal hypertensive gastropathy (PHG) </w:t>
      </w:r>
      <w:r w:rsidRPr="00302F74">
        <w:rPr>
          <w:rFonts w:ascii="Book Antiqua" w:hAnsi="Book Antiqua" w:cs="Times New Roman"/>
          <w:sz w:val="24"/>
          <w:szCs w:val="24"/>
        </w:rPr>
        <w:t xml:space="preserve">based on a systematic </w:t>
      </w:r>
      <w:r w:rsidR="00F45714" w:rsidRPr="00302F74">
        <w:rPr>
          <w:rFonts w:ascii="Book Antiqua" w:hAnsi="Book Antiqua" w:cs="Times New Roman"/>
          <w:sz w:val="24"/>
          <w:szCs w:val="24"/>
        </w:rPr>
        <w:t xml:space="preserve">literature </w:t>
      </w:r>
      <w:r w:rsidRPr="00302F74">
        <w:rPr>
          <w:rFonts w:ascii="Book Antiqua" w:hAnsi="Book Antiqua" w:cs="Times New Roman"/>
          <w:sz w:val="24"/>
          <w:szCs w:val="24"/>
        </w:rPr>
        <w:t>review.</w:t>
      </w:r>
    </w:p>
    <w:p w:rsidR="00ED2DDD" w:rsidRPr="00302F74" w:rsidRDefault="00ED2DDD" w:rsidP="00FA6CCE">
      <w:pPr>
        <w:widowControl w:val="0"/>
        <w:spacing w:line="360" w:lineRule="auto"/>
        <w:jc w:val="both"/>
        <w:rPr>
          <w:rFonts w:ascii="Book Antiqua" w:hAnsi="Book Antiqua" w:cs="Times New Roman"/>
          <w:sz w:val="24"/>
          <w:szCs w:val="24"/>
          <w:lang w:eastAsia="zh-CN"/>
        </w:rPr>
      </w:pPr>
    </w:p>
    <w:p w:rsidR="00FC7D54" w:rsidRPr="00302F74" w:rsidRDefault="00DF79FD" w:rsidP="00FA6CCE">
      <w:pPr>
        <w:widowControl w:val="0"/>
        <w:spacing w:line="360" w:lineRule="auto"/>
        <w:jc w:val="both"/>
        <w:rPr>
          <w:rFonts w:ascii="Book Antiqua" w:hAnsi="Book Antiqua" w:cs="Times New Roman"/>
          <w:iCs/>
          <w:sz w:val="24"/>
          <w:szCs w:val="24"/>
          <w:lang w:eastAsia="zh-CN"/>
        </w:rPr>
      </w:pPr>
      <w:r w:rsidRPr="00302F74">
        <w:rPr>
          <w:rFonts w:ascii="Book Antiqua" w:hAnsi="Book Antiqua" w:cs="Times New Roman"/>
          <w:b/>
          <w:sz w:val="24"/>
          <w:szCs w:val="24"/>
        </w:rPr>
        <w:t>METHODS:</w:t>
      </w:r>
      <w:r w:rsidR="00963345">
        <w:rPr>
          <w:rFonts w:ascii="Book Antiqua" w:hAnsi="Book Antiqua" w:cs="Times New Roman"/>
          <w:b/>
          <w:sz w:val="24"/>
          <w:szCs w:val="24"/>
        </w:rPr>
        <w:t xml:space="preserve"> </w:t>
      </w:r>
      <w:r w:rsidRPr="00302F74">
        <w:rPr>
          <w:rFonts w:ascii="Book Antiqua" w:hAnsi="Book Antiqua" w:cs="Times New Roman"/>
          <w:sz w:val="24"/>
          <w:szCs w:val="24"/>
        </w:rPr>
        <w:t xml:space="preserve">Computerized search of the literature was performed </w:t>
      </w:r>
      <w:r w:rsidRPr="00302F74">
        <w:rPr>
          <w:rFonts w:ascii="Book Antiqua" w:hAnsi="Book Antiqua" w:cs="Times New Roman"/>
          <w:i/>
          <w:sz w:val="24"/>
          <w:szCs w:val="24"/>
        </w:rPr>
        <w:t>via</w:t>
      </w:r>
      <w:r w:rsidRPr="00302F74">
        <w:rPr>
          <w:rFonts w:ascii="Book Antiqua" w:hAnsi="Book Antiqua" w:cs="Times New Roman"/>
          <w:sz w:val="24"/>
          <w:szCs w:val="24"/>
        </w:rPr>
        <w:t xml:space="preserve"> PubMed using the following medical subject headings or keywords: “portal” and “gastropathy”; or “portal” and “hypertensive”; or “congestive” and “gastropathy”; or “congestive” and “gastroenteropathy”.</w:t>
      </w:r>
      <w:r w:rsidR="00302355">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The following criteria were applied for study inclusion: publication in peer-reviewed journals, and publication since 1980.</w:t>
      </w:r>
      <w:r w:rsidR="00963345">
        <w:rPr>
          <w:rFonts w:ascii="Book Antiqua" w:hAnsi="Book Antiqua" w:cs="Times New Roman"/>
          <w:sz w:val="24"/>
          <w:szCs w:val="24"/>
        </w:rPr>
        <w:t xml:space="preserve"> </w:t>
      </w:r>
      <w:r w:rsidRPr="00302F74">
        <w:rPr>
          <w:rFonts w:ascii="Book Antiqua" w:hAnsi="Book Antiqua" w:cs="Times New Roman"/>
          <w:iCs/>
          <w:sz w:val="24"/>
          <w:szCs w:val="24"/>
        </w:rPr>
        <w:t>Articles were independently evaluated by each author and selected for inclusion by consensus after discussion based on the following criteria: well-designed, prospective trials; recent studies; large study populations; and study emphasis on PHG.</w:t>
      </w:r>
      <w:r w:rsidR="00963345">
        <w:rPr>
          <w:rFonts w:ascii="Book Antiqua" w:hAnsi="Book Antiqua" w:cs="Times New Roman"/>
          <w:iCs/>
          <w:sz w:val="24"/>
          <w:szCs w:val="24"/>
        </w:rPr>
        <w:t xml:space="preserve"> </w:t>
      </w:r>
    </w:p>
    <w:p w:rsidR="00ED2DDD" w:rsidRPr="00302F74" w:rsidRDefault="00ED2DDD" w:rsidP="00FA6CCE">
      <w:pPr>
        <w:widowControl w:val="0"/>
        <w:spacing w:line="360" w:lineRule="auto"/>
        <w:jc w:val="both"/>
        <w:rPr>
          <w:rFonts w:ascii="Book Antiqua" w:hAnsi="Book Antiqua" w:cs="Times New Roman"/>
          <w:sz w:val="24"/>
          <w:szCs w:val="24"/>
          <w:lang w:eastAsia="zh-CN"/>
        </w:rPr>
      </w:pPr>
    </w:p>
    <w:p w:rsidR="009A5584" w:rsidRDefault="00F45714"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b/>
          <w:sz w:val="24"/>
          <w:szCs w:val="24"/>
        </w:rPr>
        <w:t>RESULTS</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PHG is diagnosed by characteristic endoscopic findings of small polygonal areas of variable erythema surrounded by a pale, reticular border in a mosaic pattern in the gastric fundus</w:t>
      </w:r>
      <w:r w:rsidR="004D76D5" w:rsidRPr="00302F74">
        <w:rPr>
          <w:rFonts w:ascii="Book Antiqua" w:hAnsi="Book Antiqua" w:cs="Times New Roman"/>
          <w:sz w:val="24"/>
          <w:szCs w:val="24"/>
        </w:rPr>
        <w:t>/</w:t>
      </w:r>
      <w:r w:rsidR="009A5584" w:rsidRPr="00302F74">
        <w:rPr>
          <w:rFonts w:ascii="Book Antiqua" w:hAnsi="Book Antiqua" w:cs="Times New Roman"/>
          <w:sz w:val="24"/>
          <w:szCs w:val="24"/>
        </w:rPr>
        <w:t>body in a patient with cirrhotic or non-cirrhotic portal hypertension.</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Histologic findings include capillary and venule dilatation, congestion, and tortuosity</w:t>
      </w:r>
      <w:r w:rsidR="00236F7C" w:rsidRPr="00302F74">
        <w:rPr>
          <w:rFonts w:ascii="Book Antiqua" w:hAnsi="Book Antiqua" w:cs="Times New Roman"/>
          <w:sz w:val="24"/>
          <w:szCs w:val="24"/>
        </w:rPr>
        <w:t>,</w:t>
      </w:r>
      <w:r w:rsidR="009A5584" w:rsidRPr="00302F74">
        <w:rPr>
          <w:rFonts w:ascii="Book Antiqua" w:hAnsi="Book Antiqua" w:cs="Times New Roman"/>
          <w:sz w:val="24"/>
          <w:szCs w:val="24"/>
        </w:rPr>
        <w:t xml:space="preserve"> without vascular fibrin thrombi or inflammatory cells in gastric submucosa.</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 xml:space="preserve">PHG </w:t>
      </w:r>
      <w:r w:rsidR="004D76D5" w:rsidRPr="00302F74">
        <w:rPr>
          <w:rFonts w:ascii="Book Antiqua" w:hAnsi="Book Antiqua" w:cs="Times New Roman"/>
          <w:sz w:val="24"/>
          <w:szCs w:val="24"/>
        </w:rPr>
        <w:t>is</w:t>
      </w:r>
      <w:r w:rsidR="009A5584" w:rsidRPr="00302F74">
        <w:rPr>
          <w:rFonts w:ascii="Book Antiqua" w:hAnsi="Book Antiqua" w:cs="Times New Roman"/>
          <w:sz w:val="24"/>
          <w:szCs w:val="24"/>
        </w:rPr>
        <w:t xml:space="preserve"> </w:t>
      </w:r>
      <w:r w:rsidR="004D76D5" w:rsidRPr="00302F74">
        <w:rPr>
          <w:rFonts w:ascii="Book Antiqua" w:hAnsi="Book Antiqua" w:cs="Times New Roman"/>
          <w:sz w:val="24"/>
          <w:szCs w:val="24"/>
        </w:rPr>
        <w:t>d</w:t>
      </w:r>
      <w:r w:rsidR="009A5584" w:rsidRPr="00302F74">
        <w:rPr>
          <w:rFonts w:ascii="Book Antiqua" w:hAnsi="Book Antiqua" w:cs="Times New Roman"/>
          <w:sz w:val="24"/>
          <w:szCs w:val="24"/>
        </w:rPr>
        <w:t xml:space="preserve">ifferentiated from gastric antral vascular ectasia </w:t>
      </w:r>
      <w:r w:rsidR="004D76D5" w:rsidRPr="00302F74">
        <w:rPr>
          <w:rFonts w:ascii="Book Antiqua" w:hAnsi="Book Antiqua" w:cs="Times New Roman"/>
          <w:sz w:val="24"/>
          <w:szCs w:val="24"/>
        </w:rPr>
        <w:t xml:space="preserve">by </w:t>
      </w:r>
      <w:r w:rsidR="009A5584" w:rsidRPr="00302F74">
        <w:rPr>
          <w:rFonts w:ascii="Book Antiqua" w:hAnsi="Book Antiqua" w:cs="Times New Roman"/>
          <w:sz w:val="24"/>
          <w:szCs w:val="24"/>
        </w:rPr>
        <w:t>a different endoscopic appearance.</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The etiology of PHG is inadequately understood.</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 xml:space="preserve">Portal hypertension is necessary but </w:t>
      </w:r>
      <w:r w:rsidR="00236F7C" w:rsidRPr="00302F74">
        <w:rPr>
          <w:rFonts w:ascii="Book Antiqua" w:hAnsi="Book Antiqua" w:cs="Times New Roman"/>
          <w:sz w:val="24"/>
          <w:szCs w:val="24"/>
        </w:rPr>
        <w:t>in</w:t>
      </w:r>
      <w:r w:rsidR="009A5584" w:rsidRPr="00302F74">
        <w:rPr>
          <w:rFonts w:ascii="Book Antiqua" w:hAnsi="Book Antiqua" w:cs="Times New Roman"/>
          <w:sz w:val="24"/>
          <w:szCs w:val="24"/>
        </w:rPr>
        <w:t>sufficient to develop PHG because many patients have portal hypertension without PHG.</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PHG increases in frequency with more severe portal hypertension, advanced liver disease, longer liver disease duration, presence of esophageal varices, and endoscopic variceal obliteration. PHG pathogenesis is related to a hyperdynamic circulation, induced by portal hypertension, characterized by increased intrahepatic resistance to flow, increased splanchnic flow, increased total gastric flow, and most likely decreased gastric mucosal flow.</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Gastric mucosa in PHG shows increased susceptibility to gastrotoxic chemicals and poor wound healing.</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Nitrous oxide, free radicals, tumor necrosis factor-alpha, and glucagon may contribute to PHG development.</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Acute and chronic gastrointestinal bleeding are the only clinical complications.</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Bleeding is typically mild-to-moderate.</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 xml:space="preserve">Endoscopic therapy is rarely useful because the bleeding is </w:t>
      </w:r>
      <w:r w:rsidR="009A5584" w:rsidRPr="00302F74">
        <w:rPr>
          <w:rFonts w:ascii="Book Antiqua" w:hAnsi="Book Antiqua" w:cs="Times New Roman"/>
          <w:sz w:val="24"/>
          <w:szCs w:val="24"/>
        </w:rPr>
        <w:lastRenderedPageBreak/>
        <w:t>typically diffuse.</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 xml:space="preserve">Acute bleeding is primarily treated with octreotide, often with concomitant proton pump inhibitor therapy, or secondarily </w:t>
      </w:r>
      <w:r w:rsidR="00236F7C" w:rsidRPr="00302F74">
        <w:rPr>
          <w:rFonts w:ascii="Book Antiqua" w:hAnsi="Book Antiqua" w:cs="Times New Roman"/>
          <w:sz w:val="24"/>
          <w:szCs w:val="24"/>
        </w:rPr>
        <w:t xml:space="preserve">treated with </w:t>
      </w:r>
      <w:r w:rsidR="009A5584" w:rsidRPr="00302F74">
        <w:rPr>
          <w:rFonts w:ascii="Book Antiqua" w:hAnsi="Book Antiqua" w:cs="Times New Roman"/>
          <w:sz w:val="24"/>
          <w:szCs w:val="24"/>
        </w:rPr>
        <w:t>vasopressin or terlipressin.</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 xml:space="preserve">Nonselective </w:t>
      </w:r>
      <w:r w:rsidR="009A5584" w:rsidRPr="00302F74">
        <w:rPr>
          <w:rFonts w:ascii="Book Antiqua" w:hAnsi="Book Antiqua" w:cs="Times New Roman"/>
          <w:bCs/>
          <w:sz w:val="24"/>
          <w:szCs w:val="24"/>
        </w:rPr>
        <w:t xml:space="preserve">β-adrenergic </w:t>
      </w:r>
      <w:r w:rsidR="009A5584" w:rsidRPr="00302F74">
        <w:rPr>
          <w:rFonts w:ascii="Book Antiqua" w:hAnsi="Book Antiqua" w:cs="Times New Roman"/>
          <w:sz w:val="24"/>
          <w:szCs w:val="24"/>
        </w:rPr>
        <w:t>receptor antagonists, particularly propranolol, are used to prevent bleeding after an acute episode or for chronic bleeding.</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Iron deficiency anemia from chronic bleeding may require iron replacement therapy.</w:t>
      </w:r>
      <w:r w:rsidR="00963345">
        <w:rPr>
          <w:rFonts w:ascii="Book Antiqua" w:hAnsi="Book Antiqua" w:cs="Times New Roman"/>
          <w:sz w:val="24"/>
          <w:szCs w:val="24"/>
        </w:rPr>
        <w:t xml:space="preserve"> </w:t>
      </w:r>
      <w:r w:rsidR="009A5584" w:rsidRPr="00302F74">
        <w:rPr>
          <w:rFonts w:ascii="Book Antiqua" w:hAnsi="Book Antiqua" w:cs="Times New Roman"/>
          <w:sz w:val="24"/>
          <w:szCs w:val="24"/>
        </w:rPr>
        <w:t xml:space="preserve">Transjugular-intrahepatic-portosystemic-shunt or liver transplantation </w:t>
      </w:r>
      <w:r w:rsidR="00302355">
        <w:rPr>
          <w:rFonts w:ascii="Book Antiqua" w:hAnsi="Book Antiqua" w:cs="Times New Roman" w:hint="eastAsia"/>
          <w:sz w:val="24"/>
          <w:szCs w:val="24"/>
          <w:lang w:eastAsia="zh-CN"/>
        </w:rPr>
        <w:t>is</w:t>
      </w:r>
      <w:r w:rsidR="009A5584" w:rsidRPr="00302F74">
        <w:rPr>
          <w:rFonts w:ascii="Book Antiqua" w:hAnsi="Book Antiqua" w:cs="Times New Roman"/>
          <w:sz w:val="24"/>
          <w:szCs w:val="24"/>
        </w:rPr>
        <w:t xml:space="preserve"> highly successful ultimate therapies because they reduce the underlying portal hypertension.</w:t>
      </w:r>
    </w:p>
    <w:p w:rsidR="00302355" w:rsidRPr="00302F74" w:rsidRDefault="00302355" w:rsidP="00FA6CCE">
      <w:pPr>
        <w:widowControl w:val="0"/>
        <w:spacing w:line="360" w:lineRule="auto"/>
        <w:jc w:val="both"/>
        <w:rPr>
          <w:rFonts w:ascii="Book Antiqua" w:hAnsi="Book Antiqua" w:cs="Times New Roman"/>
          <w:sz w:val="24"/>
          <w:szCs w:val="24"/>
          <w:lang w:eastAsia="zh-CN"/>
        </w:rPr>
      </w:pPr>
    </w:p>
    <w:p w:rsidR="00F45714" w:rsidRPr="00302F74" w:rsidRDefault="00F45714"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b/>
          <w:sz w:val="24"/>
          <w:szCs w:val="24"/>
        </w:rPr>
        <w:t>CONCLUSION</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PHG is important to recognize in patients with cirrhotic or non-cirrhotic portal hypertension because it can cause acute or chronic GI bleeding that often requires pharmacologic therapy.</w:t>
      </w:r>
    </w:p>
    <w:p w:rsidR="00302355" w:rsidRDefault="00302355" w:rsidP="00FA6CCE">
      <w:pPr>
        <w:widowControl w:val="0"/>
        <w:spacing w:line="360" w:lineRule="auto"/>
        <w:jc w:val="both"/>
        <w:rPr>
          <w:rFonts w:ascii="Book Antiqua" w:hAnsi="Book Antiqua" w:cs="Times New Roman"/>
          <w:sz w:val="24"/>
          <w:szCs w:val="24"/>
          <w:lang w:eastAsia="zh-CN"/>
        </w:rPr>
      </w:pPr>
    </w:p>
    <w:p w:rsidR="00C0447D" w:rsidRDefault="00C0447D"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b/>
          <w:sz w:val="24"/>
          <w:szCs w:val="24"/>
        </w:rPr>
        <w:t>Key words</w:t>
      </w:r>
      <w:r w:rsidRPr="00302F74">
        <w:rPr>
          <w:rFonts w:ascii="Book Antiqua" w:hAnsi="Book Antiqua" w:cs="Times New Roman"/>
          <w:sz w:val="24"/>
          <w:szCs w:val="24"/>
        </w:rPr>
        <w:t xml:space="preserve">: </w:t>
      </w:r>
      <w:r w:rsidR="00302355" w:rsidRPr="00302F74">
        <w:rPr>
          <w:rFonts w:ascii="Book Antiqua" w:hAnsi="Book Antiqua" w:cs="Times New Roman"/>
          <w:sz w:val="24"/>
          <w:szCs w:val="24"/>
        </w:rPr>
        <w:t>P</w:t>
      </w:r>
      <w:r w:rsidRPr="00302F74">
        <w:rPr>
          <w:rFonts w:ascii="Book Antiqua" w:hAnsi="Book Antiqua" w:cs="Times New Roman"/>
          <w:sz w:val="24"/>
          <w:szCs w:val="24"/>
        </w:rPr>
        <w:t xml:space="preserve">ortal hypertensive gastropathy; </w:t>
      </w:r>
      <w:r w:rsidR="00302355" w:rsidRPr="00302F74">
        <w:rPr>
          <w:rFonts w:ascii="Book Antiqua" w:hAnsi="Book Antiqua" w:cs="Times New Roman"/>
          <w:sz w:val="24"/>
          <w:szCs w:val="24"/>
        </w:rPr>
        <w:t>C</w:t>
      </w:r>
      <w:r w:rsidRPr="00302F74">
        <w:rPr>
          <w:rFonts w:ascii="Book Antiqua" w:hAnsi="Book Antiqua" w:cs="Times New Roman"/>
          <w:sz w:val="24"/>
          <w:szCs w:val="24"/>
        </w:rPr>
        <w:t xml:space="preserve">ongestive gastropathy; </w:t>
      </w:r>
      <w:r w:rsidR="00302355" w:rsidRPr="00302F74">
        <w:rPr>
          <w:rFonts w:ascii="Book Antiqua" w:hAnsi="Book Antiqua" w:cs="Times New Roman"/>
          <w:sz w:val="24"/>
          <w:szCs w:val="24"/>
        </w:rPr>
        <w:t>P</w:t>
      </w:r>
      <w:r w:rsidRPr="00302F74">
        <w:rPr>
          <w:rFonts w:ascii="Book Antiqua" w:hAnsi="Book Antiqua" w:cs="Times New Roman"/>
          <w:sz w:val="24"/>
          <w:szCs w:val="24"/>
        </w:rPr>
        <w:t xml:space="preserve">ortal hypertension; </w:t>
      </w:r>
      <w:r w:rsidR="00302355" w:rsidRPr="00302F74">
        <w:rPr>
          <w:rFonts w:ascii="Book Antiqua" w:hAnsi="Book Antiqua" w:cs="Times New Roman"/>
          <w:sz w:val="24"/>
          <w:szCs w:val="24"/>
        </w:rPr>
        <w:t>C</w:t>
      </w:r>
      <w:r w:rsidRPr="00302F74">
        <w:rPr>
          <w:rFonts w:ascii="Book Antiqua" w:hAnsi="Book Antiqua" w:cs="Times New Roman"/>
          <w:sz w:val="24"/>
          <w:szCs w:val="24"/>
        </w:rPr>
        <w:t xml:space="preserve">irrhosis; </w:t>
      </w:r>
      <w:r w:rsidR="00302355" w:rsidRPr="00302F74">
        <w:rPr>
          <w:rFonts w:ascii="Book Antiqua" w:hAnsi="Book Antiqua" w:cs="Times New Roman"/>
          <w:sz w:val="24"/>
          <w:szCs w:val="24"/>
        </w:rPr>
        <w:t>C</w:t>
      </w:r>
      <w:r w:rsidRPr="00302F74">
        <w:rPr>
          <w:rFonts w:ascii="Book Antiqua" w:hAnsi="Book Antiqua" w:cs="Times New Roman"/>
          <w:sz w:val="24"/>
          <w:szCs w:val="24"/>
        </w:rPr>
        <w:t xml:space="preserve">irrhotic; </w:t>
      </w:r>
      <w:r w:rsidR="00302355" w:rsidRPr="00302F74">
        <w:rPr>
          <w:rFonts w:ascii="Book Antiqua" w:hAnsi="Book Antiqua" w:cs="Times New Roman"/>
          <w:sz w:val="24"/>
          <w:szCs w:val="24"/>
        </w:rPr>
        <w:t>H</w:t>
      </w:r>
      <w:r w:rsidRPr="00302F74">
        <w:rPr>
          <w:rFonts w:ascii="Book Antiqua" w:hAnsi="Book Antiqua" w:cs="Times New Roman"/>
          <w:sz w:val="24"/>
          <w:szCs w:val="24"/>
        </w:rPr>
        <w:t xml:space="preserve">epatic fibrosis; </w:t>
      </w:r>
      <w:r w:rsidR="00302355" w:rsidRPr="00302F74">
        <w:rPr>
          <w:rFonts w:ascii="Book Antiqua" w:hAnsi="Book Antiqua" w:cs="Times New Roman"/>
          <w:sz w:val="24"/>
          <w:szCs w:val="24"/>
        </w:rPr>
        <w:t>C</w:t>
      </w:r>
      <w:r w:rsidRPr="00302F74">
        <w:rPr>
          <w:rFonts w:ascii="Book Antiqua" w:hAnsi="Book Antiqua" w:cs="Times New Roman"/>
          <w:sz w:val="24"/>
          <w:szCs w:val="24"/>
        </w:rPr>
        <w:t xml:space="preserve">hronic liver disease; </w:t>
      </w:r>
      <w:r w:rsidR="00302355" w:rsidRPr="00302F74">
        <w:rPr>
          <w:rFonts w:ascii="Book Antiqua" w:hAnsi="Book Antiqua" w:cs="Times New Roman"/>
          <w:sz w:val="24"/>
          <w:szCs w:val="24"/>
        </w:rPr>
        <w:t>N</w:t>
      </w:r>
      <w:r w:rsidRPr="00302F74">
        <w:rPr>
          <w:rFonts w:ascii="Book Antiqua" w:hAnsi="Book Antiqua" w:cs="Times New Roman"/>
          <w:sz w:val="24"/>
          <w:szCs w:val="24"/>
        </w:rPr>
        <w:t xml:space="preserve">onvariceal upper gastrointestinal bleeding; </w:t>
      </w:r>
      <w:r w:rsidR="00302355" w:rsidRPr="00302F74">
        <w:rPr>
          <w:rFonts w:ascii="Book Antiqua" w:hAnsi="Book Antiqua" w:cs="Times New Roman"/>
          <w:sz w:val="24"/>
          <w:szCs w:val="24"/>
        </w:rPr>
        <w:t>E</w:t>
      </w:r>
      <w:r w:rsidRPr="00302F74">
        <w:rPr>
          <w:rFonts w:ascii="Book Antiqua" w:hAnsi="Book Antiqua" w:cs="Times New Roman"/>
          <w:sz w:val="24"/>
          <w:szCs w:val="24"/>
        </w:rPr>
        <w:t xml:space="preserve">sophageal varices </w:t>
      </w:r>
    </w:p>
    <w:p w:rsidR="00302355" w:rsidRPr="00302F74" w:rsidRDefault="00302355" w:rsidP="00FA6CCE">
      <w:pPr>
        <w:widowControl w:val="0"/>
        <w:spacing w:line="360" w:lineRule="auto"/>
        <w:jc w:val="both"/>
        <w:rPr>
          <w:rFonts w:ascii="Book Antiqua" w:hAnsi="Book Antiqua" w:cs="Times New Roman"/>
          <w:sz w:val="24"/>
          <w:szCs w:val="24"/>
          <w:lang w:eastAsia="zh-CN"/>
        </w:rPr>
      </w:pPr>
    </w:p>
    <w:p w:rsidR="00302355" w:rsidRPr="00AD7614" w:rsidRDefault="00302355" w:rsidP="00302355">
      <w:pPr>
        <w:adjustRightInd w:val="0"/>
        <w:snapToGrid w:val="0"/>
        <w:spacing w:line="360" w:lineRule="auto"/>
        <w:jc w:val="both"/>
        <w:rPr>
          <w:rFonts w:ascii="Book Antiqua" w:eastAsia="Times New Roman" w:hAnsi="Book Antiqua"/>
          <w:sz w:val="24"/>
          <w:szCs w:val="24"/>
        </w:rPr>
      </w:pPr>
      <w:bookmarkStart w:id="16" w:name="OLE_LINK55"/>
      <w:bookmarkStart w:id="17" w:name="OLE_LINK56"/>
      <w:r w:rsidRPr="00AD7614">
        <w:rPr>
          <w:rFonts w:ascii="Book Antiqua" w:hAnsi="Book Antiqua"/>
          <w:b/>
          <w:sz w:val="24"/>
          <w:szCs w:val="24"/>
        </w:rPr>
        <w:t>©</w:t>
      </w:r>
      <w:bookmarkEnd w:id="16"/>
      <w:bookmarkEnd w:id="17"/>
      <w:r w:rsidRPr="00AD7614">
        <w:rPr>
          <w:rFonts w:ascii="Book Antiqua" w:hAnsi="Book Antiqua" w:cs="Arial"/>
          <w:b/>
          <w:sz w:val="24"/>
          <w:szCs w:val="24"/>
        </w:rPr>
        <w:t>The Author(s) 201</w:t>
      </w:r>
      <w:r w:rsidR="009F3233">
        <w:rPr>
          <w:rFonts w:ascii="Book Antiqua" w:hAnsi="Book Antiqua" w:cs="Arial" w:hint="eastAsia"/>
          <w:b/>
          <w:sz w:val="24"/>
          <w:szCs w:val="24"/>
          <w:lang w:eastAsia="zh-CN"/>
        </w:rPr>
        <w:t>6</w:t>
      </w:r>
      <w:r w:rsidRPr="00AD7614">
        <w:rPr>
          <w:rFonts w:ascii="Book Antiqua" w:hAnsi="Book Antiqua" w:cs="Arial"/>
          <w:b/>
          <w:sz w:val="24"/>
          <w:szCs w:val="24"/>
        </w:rPr>
        <w:t>.</w:t>
      </w:r>
      <w:r w:rsidRPr="00AD7614">
        <w:rPr>
          <w:rFonts w:ascii="Book Antiqua" w:hAnsi="Book Antiqua" w:cs="Arial" w:hint="eastAsia"/>
          <w:b/>
          <w:sz w:val="24"/>
          <w:szCs w:val="24"/>
          <w:lang w:eastAsia="zh-CN"/>
        </w:rPr>
        <w:t xml:space="preserve"> </w:t>
      </w:r>
      <w:r w:rsidRPr="00AD7614">
        <w:rPr>
          <w:rFonts w:ascii="Book Antiqua" w:hAnsi="Book Antiqua" w:cs="Arial"/>
          <w:sz w:val="24"/>
          <w:szCs w:val="24"/>
        </w:rPr>
        <w:t>Published by Baishideng Publishing Group Inc. All rights reserved.</w:t>
      </w:r>
    </w:p>
    <w:p w:rsidR="009A5584" w:rsidRPr="00302F74" w:rsidRDefault="009A5584" w:rsidP="00FA6CCE">
      <w:pPr>
        <w:widowControl w:val="0"/>
        <w:spacing w:line="360" w:lineRule="auto"/>
        <w:jc w:val="both"/>
        <w:rPr>
          <w:rFonts w:ascii="Book Antiqua" w:hAnsi="Book Antiqua" w:cs="Times New Roman"/>
          <w:b/>
          <w:sz w:val="24"/>
          <w:szCs w:val="24"/>
          <w:lang w:eastAsia="zh-CN"/>
        </w:rPr>
      </w:pPr>
    </w:p>
    <w:p w:rsidR="00DF79FD" w:rsidRPr="00302F74" w:rsidRDefault="004C54AC" w:rsidP="00FA6CCE">
      <w:pPr>
        <w:widowControl w:val="0"/>
        <w:spacing w:line="360" w:lineRule="auto"/>
        <w:jc w:val="both"/>
        <w:rPr>
          <w:rFonts w:ascii="Book Antiqua" w:eastAsia="Times New Roman" w:hAnsi="Book Antiqua" w:cs="Times New Roman"/>
          <w:bCs/>
          <w:sz w:val="24"/>
          <w:szCs w:val="24"/>
        </w:rPr>
      </w:pPr>
      <w:r w:rsidRPr="00302F74">
        <w:rPr>
          <w:rFonts w:ascii="Book Antiqua" w:hAnsi="Book Antiqua" w:cs="Times New Roman"/>
          <w:b/>
          <w:sz w:val="24"/>
          <w:szCs w:val="24"/>
        </w:rPr>
        <w:t>C</w:t>
      </w:r>
      <w:r w:rsidR="00302355" w:rsidRPr="00302F74">
        <w:rPr>
          <w:rFonts w:ascii="Book Antiqua" w:hAnsi="Book Antiqua" w:cs="Times New Roman"/>
          <w:b/>
          <w:sz w:val="24"/>
          <w:szCs w:val="24"/>
        </w:rPr>
        <w:t>ore tip</w:t>
      </w:r>
      <w:r w:rsidRPr="00302F74">
        <w:rPr>
          <w:rFonts w:ascii="Book Antiqua" w:hAnsi="Book Antiqua" w:cs="Times New Roman"/>
          <w:b/>
          <w:sz w:val="24"/>
          <w:szCs w:val="24"/>
        </w:rPr>
        <w:t>:</w:t>
      </w:r>
      <w:r w:rsidR="00963345">
        <w:rPr>
          <w:rFonts w:ascii="Book Antiqua" w:hAnsi="Book Antiqua" w:cs="Times New Roman"/>
          <w:b/>
          <w:sz w:val="24"/>
          <w:szCs w:val="24"/>
        </w:rPr>
        <w:t xml:space="preserve"> </w:t>
      </w:r>
      <w:r w:rsidR="00DF79FD" w:rsidRPr="00302F74">
        <w:rPr>
          <w:rFonts w:ascii="Book Antiqua" w:eastAsia="Times New Roman" w:hAnsi="Book Antiqua" w:cs="Times New Roman"/>
          <w:bCs/>
          <w:sz w:val="24"/>
          <w:szCs w:val="24"/>
        </w:rPr>
        <w:t>Portal hypertensive gastropathy (PHG) is diagnosed by characteristic endoscopic findings of variably erythematous, small, polygonal areas surrounded by a whitish, reticular border in a mosaic pattern in the gastric fundus/body in a patient with portal hypertension of any etiology.</w:t>
      </w:r>
      <w:r w:rsidR="00963345">
        <w:rPr>
          <w:rFonts w:ascii="Book Antiqua" w:eastAsia="Times New Roman" w:hAnsi="Book Antiqua" w:cs="Times New Roman"/>
          <w:bCs/>
          <w:sz w:val="24"/>
          <w:szCs w:val="24"/>
        </w:rPr>
        <w:t xml:space="preserve"> </w:t>
      </w:r>
      <w:r w:rsidR="00DF79FD" w:rsidRPr="00302F74">
        <w:rPr>
          <w:rFonts w:ascii="Book Antiqua" w:eastAsia="Times New Roman" w:hAnsi="Book Antiqua" w:cs="Times New Roman"/>
          <w:bCs/>
          <w:sz w:val="24"/>
          <w:szCs w:val="24"/>
        </w:rPr>
        <w:t>The pathophysiology of PHG is inadequately understood.</w:t>
      </w:r>
      <w:r w:rsidR="00963345">
        <w:rPr>
          <w:rFonts w:ascii="Book Antiqua" w:eastAsia="Times New Roman" w:hAnsi="Book Antiqua" w:cs="Times New Roman"/>
          <w:bCs/>
          <w:sz w:val="24"/>
          <w:szCs w:val="24"/>
        </w:rPr>
        <w:t xml:space="preserve"> </w:t>
      </w:r>
      <w:r w:rsidR="00DF79FD" w:rsidRPr="00302F74">
        <w:rPr>
          <w:rFonts w:ascii="Book Antiqua" w:eastAsia="Times New Roman" w:hAnsi="Book Antiqua" w:cs="Times New Roman"/>
          <w:bCs/>
          <w:sz w:val="24"/>
          <w:szCs w:val="24"/>
        </w:rPr>
        <w:t>Portal hypertension is a prerequisite to develop PHG. PHG increases in frequency with increasing portal hypertension, liver disease progression, duration of liver disease, presence of esophageal varices, and endoscopic variceal obliteration.</w:t>
      </w:r>
      <w:r w:rsidR="00963345">
        <w:rPr>
          <w:rFonts w:ascii="Book Antiqua" w:eastAsia="Times New Roman" w:hAnsi="Book Antiqua" w:cs="Times New Roman"/>
          <w:bCs/>
          <w:sz w:val="24"/>
          <w:szCs w:val="24"/>
        </w:rPr>
        <w:t xml:space="preserve"> </w:t>
      </w:r>
      <w:r w:rsidR="00DF79FD" w:rsidRPr="00302F74">
        <w:rPr>
          <w:rFonts w:ascii="Book Antiqua" w:eastAsia="Times New Roman" w:hAnsi="Book Antiqua" w:cs="Times New Roman"/>
          <w:bCs/>
          <w:sz w:val="24"/>
          <w:szCs w:val="24"/>
        </w:rPr>
        <w:t>Pathogenesis is related to a hyperdynamic circulation induced by portal hypertension.</w:t>
      </w:r>
      <w:r w:rsidR="00963345">
        <w:rPr>
          <w:rFonts w:ascii="Book Antiqua" w:eastAsia="Times New Roman" w:hAnsi="Book Antiqua" w:cs="Times New Roman"/>
          <w:bCs/>
          <w:sz w:val="24"/>
          <w:szCs w:val="24"/>
        </w:rPr>
        <w:t xml:space="preserve"> </w:t>
      </w:r>
      <w:r w:rsidR="00DF79FD" w:rsidRPr="00302F74">
        <w:rPr>
          <w:rFonts w:ascii="Book Antiqua" w:eastAsia="Times New Roman" w:hAnsi="Book Antiqua" w:cs="Times New Roman"/>
          <w:bCs/>
          <w:sz w:val="24"/>
          <w:szCs w:val="24"/>
        </w:rPr>
        <w:t>Gastric mucosa in PHG exhibits greater susceptibility to gastrotoxic chemicals and poor wound healing. Acute or chronic gastrointestinal bleeding are the only clinical complications.</w:t>
      </w:r>
      <w:r w:rsidR="00963345">
        <w:rPr>
          <w:rFonts w:ascii="Book Antiqua" w:eastAsia="Times New Roman" w:hAnsi="Book Antiqua" w:cs="Times New Roman"/>
          <w:bCs/>
          <w:sz w:val="24"/>
          <w:szCs w:val="24"/>
        </w:rPr>
        <w:t xml:space="preserve"> </w:t>
      </w:r>
      <w:r w:rsidR="00DF79FD" w:rsidRPr="00302F74">
        <w:rPr>
          <w:rFonts w:ascii="Book Antiqua" w:eastAsia="Times New Roman" w:hAnsi="Book Antiqua" w:cs="Times New Roman"/>
          <w:bCs/>
          <w:sz w:val="24"/>
          <w:szCs w:val="24"/>
        </w:rPr>
        <w:t>Bleeding is typically mild-to-moderate and rarely fatal.</w:t>
      </w:r>
      <w:r w:rsidR="00963345">
        <w:rPr>
          <w:rFonts w:ascii="Book Antiqua" w:eastAsia="Times New Roman" w:hAnsi="Book Antiqua" w:cs="Times New Roman"/>
          <w:bCs/>
          <w:sz w:val="24"/>
          <w:szCs w:val="24"/>
        </w:rPr>
        <w:t xml:space="preserve"> </w:t>
      </w:r>
      <w:r w:rsidR="00DF79FD" w:rsidRPr="00302F74">
        <w:rPr>
          <w:rFonts w:ascii="Book Antiqua" w:eastAsia="Times New Roman" w:hAnsi="Book Antiqua" w:cs="Times New Roman"/>
          <w:bCs/>
          <w:sz w:val="24"/>
          <w:szCs w:val="24"/>
        </w:rPr>
        <w:t xml:space="preserve">Endoscopic </w:t>
      </w:r>
      <w:r w:rsidR="00DF79FD" w:rsidRPr="00302F74">
        <w:rPr>
          <w:rFonts w:ascii="Book Antiqua" w:eastAsia="Times New Roman" w:hAnsi="Book Antiqua" w:cs="Times New Roman"/>
          <w:bCs/>
          <w:sz w:val="24"/>
          <w:szCs w:val="24"/>
        </w:rPr>
        <w:lastRenderedPageBreak/>
        <w:t>therapy is rarely useful. Pharmacotherapy for acute bleeding includes octreotide with concomitant proton-pump-inhibitor therapy, or alternatively vasopressin.</w:t>
      </w:r>
      <w:r w:rsidR="00963345">
        <w:rPr>
          <w:rFonts w:ascii="Book Antiqua" w:eastAsia="Times New Roman" w:hAnsi="Book Antiqua" w:cs="Times New Roman"/>
          <w:bCs/>
          <w:sz w:val="24"/>
          <w:szCs w:val="24"/>
        </w:rPr>
        <w:t xml:space="preserve"> </w:t>
      </w:r>
      <w:r w:rsidR="00DF79FD" w:rsidRPr="00302F74">
        <w:rPr>
          <w:rFonts w:ascii="Book Antiqua" w:eastAsia="Times New Roman" w:hAnsi="Book Antiqua" w:cs="Times New Roman"/>
          <w:bCs/>
          <w:sz w:val="24"/>
          <w:szCs w:val="24"/>
        </w:rPr>
        <w:t>Nonselective β-adrenergic receptor antagonists, particularly propranolol, are used to prevent re-bleeding after acute bleeding or for chronic bleeding.</w:t>
      </w:r>
      <w:r w:rsidR="00963345">
        <w:rPr>
          <w:rFonts w:ascii="Book Antiqua" w:eastAsia="Times New Roman" w:hAnsi="Book Antiqua" w:cs="Times New Roman"/>
          <w:bCs/>
          <w:sz w:val="24"/>
          <w:szCs w:val="24"/>
        </w:rPr>
        <w:t xml:space="preserve"> </w:t>
      </w:r>
      <w:r w:rsidR="00DF79FD" w:rsidRPr="00302F74">
        <w:rPr>
          <w:rFonts w:ascii="Book Antiqua" w:eastAsia="Times New Roman" w:hAnsi="Book Antiqua" w:cs="Times New Roman"/>
          <w:bCs/>
          <w:sz w:val="24"/>
          <w:szCs w:val="24"/>
        </w:rPr>
        <w:t xml:space="preserve">Transjugular-intrahepatic-portosystemic-shunt or liver transplantation </w:t>
      </w:r>
      <w:r w:rsidR="009D3B6B">
        <w:rPr>
          <w:rFonts w:ascii="Book Antiqua" w:hAnsi="Book Antiqua" w:cs="Times New Roman" w:hint="eastAsia"/>
          <w:bCs/>
          <w:sz w:val="24"/>
          <w:szCs w:val="24"/>
          <w:lang w:eastAsia="zh-CN"/>
        </w:rPr>
        <w:t>is</w:t>
      </w:r>
      <w:r w:rsidR="00DF79FD" w:rsidRPr="00302F74">
        <w:rPr>
          <w:rFonts w:ascii="Book Antiqua" w:eastAsia="Times New Roman" w:hAnsi="Book Antiqua" w:cs="Times New Roman"/>
          <w:bCs/>
          <w:sz w:val="24"/>
          <w:szCs w:val="24"/>
        </w:rPr>
        <w:t xml:space="preserve"> ultimate therapies because they treat the underlying portal hypertension.</w:t>
      </w:r>
    </w:p>
    <w:p w:rsidR="0005272D" w:rsidRPr="009D3B6B" w:rsidRDefault="0005272D" w:rsidP="00FA6CCE">
      <w:pPr>
        <w:widowControl w:val="0"/>
        <w:spacing w:line="360" w:lineRule="auto"/>
        <w:jc w:val="both"/>
        <w:rPr>
          <w:rFonts w:ascii="Book Antiqua" w:hAnsi="Book Antiqua" w:cs="Times New Roman"/>
          <w:b/>
          <w:bCs/>
          <w:sz w:val="24"/>
          <w:szCs w:val="24"/>
          <w:lang w:eastAsia="zh-CN"/>
        </w:rPr>
      </w:pPr>
    </w:p>
    <w:p w:rsidR="009D3B6B" w:rsidRPr="009D3B6B" w:rsidRDefault="009D3B6B" w:rsidP="009D3B6B">
      <w:pPr>
        <w:widowControl w:val="0"/>
        <w:spacing w:line="360" w:lineRule="auto"/>
        <w:jc w:val="both"/>
        <w:rPr>
          <w:rFonts w:ascii="Book Antiqua" w:hAnsi="Book Antiqua" w:cs="Times New Roman"/>
          <w:bCs/>
          <w:sz w:val="24"/>
          <w:szCs w:val="24"/>
          <w:lang w:eastAsia="zh-CN"/>
        </w:rPr>
      </w:pPr>
      <w:r w:rsidRPr="009D3B6B">
        <w:rPr>
          <w:rFonts w:ascii="Book Antiqua" w:eastAsia="Times New Roman" w:hAnsi="Book Antiqua" w:cs="Times New Roman"/>
          <w:bCs/>
          <w:sz w:val="24"/>
          <w:szCs w:val="24"/>
        </w:rPr>
        <w:t>Gjeorgjievski M</w:t>
      </w:r>
      <w:r w:rsidRPr="009D3B6B">
        <w:rPr>
          <w:rFonts w:ascii="Book Antiqua" w:hAnsi="Book Antiqua" w:cs="Times New Roman" w:hint="eastAsia"/>
          <w:bCs/>
          <w:sz w:val="24"/>
          <w:szCs w:val="24"/>
          <w:lang w:eastAsia="zh-CN"/>
        </w:rPr>
        <w:t xml:space="preserve">, </w:t>
      </w:r>
      <w:r w:rsidRPr="009D3B6B">
        <w:rPr>
          <w:rFonts w:ascii="Book Antiqua" w:eastAsia="Times New Roman" w:hAnsi="Book Antiqua" w:cs="Times New Roman"/>
          <w:bCs/>
          <w:sz w:val="24"/>
          <w:szCs w:val="24"/>
        </w:rPr>
        <w:t>Cappell MS</w:t>
      </w:r>
      <w:r w:rsidRPr="009D3B6B">
        <w:rPr>
          <w:rFonts w:ascii="Book Antiqua" w:hAnsi="Book Antiqua" w:cs="Times New Roman" w:hint="eastAsia"/>
          <w:bCs/>
          <w:sz w:val="24"/>
          <w:szCs w:val="24"/>
          <w:lang w:eastAsia="zh-CN"/>
        </w:rPr>
        <w:t xml:space="preserve">. </w:t>
      </w:r>
      <w:r w:rsidRPr="009D3B6B">
        <w:rPr>
          <w:rFonts w:ascii="Book Antiqua" w:eastAsia="Times New Roman" w:hAnsi="Book Antiqua" w:cs="Times New Roman"/>
          <w:bCs/>
          <w:sz w:val="24"/>
          <w:szCs w:val="24"/>
        </w:rPr>
        <w:t>Portal hypertensive gastropathy: A systematic review of the pathophysiology, clinical presentation, natural history and therapy</w:t>
      </w:r>
      <w:r>
        <w:rPr>
          <w:rFonts w:ascii="Book Antiqua" w:hAnsi="Book Antiqua" w:cs="Times New Roman" w:hint="eastAsia"/>
          <w:bCs/>
          <w:sz w:val="24"/>
          <w:szCs w:val="24"/>
          <w:lang w:eastAsia="zh-CN"/>
        </w:rPr>
        <w:t xml:space="preserve">. </w:t>
      </w:r>
      <w:bookmarkStart w:id="18" w:name="OLE_LINK130"/>
      <w:r w:rsidRPr="00125820">
        <w:rPr>
          <w:rFonts w:ascii="Book Antiqua" w:hAnsi="Book Antiqua"/>
          <w:i/>
          <w:iCs/>
          <w:sz w:val="24"/>
          <w:szCs w:val="24"/>
        </w:rPr>
        <w:t>World J Hepatol</w:t>
      </w:r>
      <w:bookmarkEnd w:id="18"/>
      <w:r>
        <w:rPr>
          <w:rFonts w:ascii="Book Antiqua" w:hAnsi="Book Antiqua" w:hint="eastAsia"/>
          <w:i/>
          <w:iCs/>
          <w:sz w:val="24"/>
          <w:szCs w:val="24"/>
        </w:rPr>
        <w:t xml:space="preserve"> </w:t>
      </w:r>
      <w:r>
        <w:rPr>
          <w:rFonts w:ascii="Book Antiqua" w:hAnsi="Book Antiqua" w:hint="eastAsia"/>
          <w:iCs/>
          <w:sz w:val="24"/>
          <w:szCs w:val="24"/>
        </w:rPr>
        <w:t>201</w:t>
      </w:r>
      <w:r w:rsidR="00122388">
        <w:rPr>
          <w:rFonts w:ascii="Book Antiqua" w:hAnsi="Book Antiqua" w:hint="eastAsia"/>
          <w:iCs/>
          <w:sz w:val="24"/>
          <w:szCs w:val="24"/>
          <w:lang w:eastAsia="zh-CN"/>
        </w:rPr>
        <w:t>6</w:t>
      </w:r>
      <w:r>
        <w:rPr>
          <w:rFonts w:ascii="Book Antiqua" w:hAnsi="Book Antiqua" w:hint="eastAsia"/>
          <w:iCs/>
          <w:sz w:val="24"/>
          <w:szCs w:val="24"/>
        </w:rPr>
        <w:t xml:space="preserve">; </w:t>
      </w:r>
      <w:proofErr w:type="gramStart"/>
      <w:r>
        <w:rPr>
          <w:rFonts w:ascii="Book Antiqua" w:hAnsi="Book Antiqua" w:hint="eastAsia"/>
          <w:iCs/>
          <w:sz w:val="24"/>
          <w:szCs w:val="24"/>
        </w:rPr>
        <w:t>In</w:t>
      </w:r>
      <w:proofErr w:type="gramEnd"/>
      <w:r>
        <w:rPr>
          <w:rFonts w:ascii="Book Antiqua" w:hAnsi="Book Antiqua" w:hint="eastAsia"/>
          <w:iCs/>
          <w:sz w:val="24"/>
          <w:szCs w:val="24"/>
        </w:rPr>
        <w:t xml:space="preserve"> press</w:t>
      </w:r>
    </w:p>
    <w:p w:rsidR="0005272D" w:rsidRPr="00302F74" w:rsidRDefault="0005272D" w:rsidP="00FA6CCE">
      <w:pPr>
        <w:widowControl w:val="0"/>
        <w:spacing w:line="360" w:lineRule="auto"/>
        <w:jc w:val="both"/>
        <w:rPr>
          <w:rFonts w:ascii="Book Antiqua" w:eastAsia="Times New Roman" w:hAnsi="Book Antiqua" w:cs="Times New Roman"/>
          <w:b/>
          <w:bCs/>
          <w:sz w:val="24"/>
          <w:szCs w:val="24"/>
        </w:rPr>
        <w:sectPr w:rsidR="0005272D" w:rsidRPr="00302F74">
          <w:footerReference w:type="default" r:id="rId11"/>
          <w:pgSz w:w="12240" w:h="15840"/>
          <w:pgMar w:top="1440" w:right="1440" w:bottom="1440" w:left="1440" w:header="720" w:footer="720" w:gutter="0"/>
          <w:cols w:space="720"/>
          <w:docGrid w:linePitch="360"/>
        </w:sectPr>
      </w:pPr>
    </w:p>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b/>
          <w:sz w:val="24"/>
          <w:szCs w:val="24"/>
        </w:rPr>
        <w:lastRenderedPageBreak/>
        <w:t>INTRODUCTION</w:t>
      </w:r>
    </w:p>
    <w:p w:rsidR="00C9325C" w:rsidRDefault="00C9325C" w:rsidP="00866BB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sz w:val="24"/>
          <w:szCs w:val="24"/>
        </w:rPr>
        <w:t>Portal hypertensive gastropathy (PHG) is an important, but underappreciated, cause of morbidity in patients with cirrhotic or non-cirrhotic portal hypertension.</w:t>
      </w:r>
      <w:r w:rsidR="00963345">
        <w:rPr>
          <w:rFonts w:ascii="Book Antiqua" w:hAnsi="Book Antiqua" w:cs="Times New Roman"/>
          <w:sz w:val="24"/>
          <w:szCs w:val="24"/>
        </w:rPr>
        <w:t xml:space="preserve"> </w:t>
      </w:r>
      <w:r w:rsidRPr="00302F74">
        <w:rPr>
          <w:rFonts w:ascii="Book Antiqua" w:hAnsi="Book Antiqua" w:cs="Times New Roman"/>
          <w:sz w:val="24"/>
          <w:szCs w:val="24"/>
        </w:rPr>
        <w:t>Researchers have recently intensely focused on this inadequately understood disease.</w:t>
      </w:r>
      <w:r w:rsidR="00963345">
        <w:rPr>
          <w:rFonts w:ascii="Book Antiqua" w:hAnsi="Book Antiqua" w:cs="Times New Roman"/>
          <w:sz w:val="24"/>
          <w:szCs w:val="24"/>
        </w:rPr>
        <w:t xml:space="preserve"> </w:t>
      </w:r>
      <w:r w:rsidRPr="00302F74">
        <w:rPr>
          <w:rFonts w:ascii="Book Antiqua" w:hAnsi="Book Antiqua" w:cs="Times New Roman"/>
          <w:sz w:val="24"/>
          <w:szCs w:val="24"/>
        </w:rPr>
        <w:t>However, the research studies have been published in a wide spectrum of journals including basic or biomedical journals not readily accessible to clinicians and a review incorporating the recent basic and clinical advances in this rapidly evolving subject is needed.</w:t>
      </w:r>
      <w:r w:rsidR="00963345">
        <w:rPr>
          <w:rFonts w:ascii="Book Antiqua" w:hAnsi="Book Antiqua" w:cs="Times New Roman"/>
          <w:sz w:val="24"/>
          <w:szCs w:val="24"/>
        </w:rPr>
        <w:t xml:space="preserve"> </w:t>
      </w:r>
      <w:r w:rsidRPr="00302F74">
        <w:rPr>
          <w:rFonts w:ascii="Book Antiqua" w:hAnsi="Book Antiqua" w:cs="Times New Roman"/>
          <w:sz w:val="24"/>
          <w:szCs w:val="24"/>
        </w:rPr>
        <w:t>This work systematically reviews this entity including pathophysiology, clinical presentation, natural history, and established, evolving, or experimental therapy, with a focus on data relevant to clinicians and an emphasis on recent data.</w:t>
      </w:r>
      <w:r w:rsidR="00963345">
        <w:rPr>
          <w:rFonts w:ascii="Book Antiqua" w:hAnsi="Book Antiqua" w:cs="Times New Roman"/>
          <w:sz w:val="24"/>
          <w:szCs w:val="24"/>
        </w:rPr>
        <w:t xml:space="preserve"> </w:t>
      </w:r>
      <w:r w:rsidRPr="00302F74">
        <w:rPr>
          <w:rFonts w:ascii="Book Antiqua" w:hAnsi="Book Antiqua" w:cs="Times New Roman"/>
          <w:sz w:val="24"/>
          <w:szCs w:val="24"/>
        </w:rPr>
        <w:t>This work aims to describe what is known about the disease and to expose gaps, requiring further research, in our current understanding of this disease.</w:t>
      </w:r>
    </w:p>
    <w:p w:rsidR="00866BBE" w:rsidRPr="00302F74" w:rsidRDefault="00866BBE" w:rsidP="00866BBE">
      <w:pPr>
        <w:widowControl w:val="0"/>
        <w:spacing w:line="360" w:lineRule="auto"/>
        <w:jc w:val="both"/>
        <w:rPr>
          <w:rFonts w:ascii="Book Antiqua" w:hAnsi="Book Antiqua" w:cs="Times New Roman"/>
          <w:sz w:val="24"/>
          <w:szCs w:val="24"/>
          <w:lang w:eastAsia="zh-CN"/>
        </w:rPr>
      </w:pPr>
    </w:p>
    <w:p w:rsidR="00866BBE" w:rsidRDefault="00866BBE" w:rsidP="00866BBE">
      <w:pPr>
        <w:widowControl w:val="0"/>
        <w:spacing w:line="360" w:lineRule="auto"/>
        <w:jc w:val="both"/>
        <w:rPr>
          <w:rFonts w:ascii="Book Antiqua" w:hAnsi="Book Antiqua" w:cs="Times New Roman"/>
          <w:sz w:val="24"/>
          <w:szCs w:val="24"/>
          <w:lang w:eastAsia="zh-CN"/>
        </w:rPr>
      </w:pPr>
      <w:r w:rsidRPr="00AD7614">
        <w:rPr>
          <w:rFonts w:ascii="Book Antiqua" w:hAnsi="Book Antiqua"/>
          <w:b/>
          <w:bCs/>
          <w:sz w:val="24"/>
          <w:szCs w:val="24"/>
        </w:rPr>
        <w:t>MATERIALS AND METHODS</w:t>
      </w:r>
      <w:r w:rsidRPr="00302F74">
        <w:rPr>
          <w:rFonts w:ascii="Book Antiqua" w:hAnsi="Book Antiqua" w:cs="Times New Roman"/>
          <w:sz w:val="24"/>
          <w:szCs w:val="24"/>
        </w:rPr>
        <w:t xml:space="preserve"> </w:t>
      </w:r>
    </w:p>
    <w:p w:rsidR="00866BBE" w:rsidRDefault="00C9325C" w:rsidP="00866BBE">
      <w:pPr>
        <w:widowControl w:val="0"/>
        <w:spacing w:line="360" w:lineRule="auto"/>
        <w:jc w:val="both"/>
        <w:rPr>
          <w:rFonts w:ascii="Book Antiqua" w:hAnsi="Book Antiqua" w:cs="Times New Roman"/>
          <w:iCs/>
          <w:sz w:val="24"/>
          <w:szCs w:val="24"/>
          <w:lang w:eastAsia="zh-CN"/>
        </w:rPr>
      </w:pPr>
      <w:r w:rsidRPr="00302F74">
        <w:rPr>
          <w:rFonts w:ascii="Book Antiqua" w:hAnsi="Book Antiqua" w:cs="Times New Roman"/>
          <w:sz w:val="24"/>
          <w:szCs w:val="24"/>
        </w:rPr>
        <w:t xml:space="preserve">Computerized search of the literature was performed </w:t>
      </w:r>
      <w:r w:rsidR="00ED2DDD" w:rsidRPr="00302F74">
        <w:rPr>
          <w:rFonts w:ascii="Book Antiqua" w:hAnsi="Book Antiqua" w:cs="Times New Roman"/>
          <w:i/>
          <w:sz w:val="24"/>
          <w:szCs w:val="24"/>
        </w:rPr>
        <w:t>via</w:t>
      </w:r>
      <w:r w:rsidRPr="00302F74">
        <w:rPr>
          <w:rFonts w:ascii="Book Antiqua" w:hAnsi="Book Antiqua" w:cs="Times New Roman"/>
          <w:sz w:val="24"/>
          <w:szCs w:val="24"/>
        </w:rPr>
        <w:t xml:space="preserve"> PubMed using the following medical subject headings (MeSH) or keywords: “portal” and “gastropathy”; or “portal” and “hypertensive”; or “congestive” and “gastropathy”; or “congestive” and “gastroenteropathy”. The following criteria were applied for study inclusion: publication in peer-reviewed journals, and publication since 1980, except for publications from 1957-1980 of historical significance reviewed in the history section.</w:t>
      </w:r>
      <w:r w:rsidR="00963345">
        <w:rPr>
          <w:rFonts w:ascii="Book Antiqua" w:hAnsi="Book Antiqua" w:cs="Times New Roman"/>
          <w:sz w:val="24"/>
          <w:szCs w:val="24"/>
        </w:rPr>
        <w:t xml:space="preserve"> </w:t>
      </w:r>
      <w:r w:rsidRPr="00302F74">
        <w:rPr>
          <w:rFonts w:ascii="Book Antiqua" w:hAnsi="Book Antiqua" w:cs="Times New Roman"/>
          <w:iCs/>
          <w:sz w:val="24"/>
          <w:szCs w:val="24"/>
        </w:rPr>
        <w:t>Articles were independently evaluated by each author and selected for inclusion by consensus after a thorough discussion based on the following criteria: well-designed, prospective trials; recent studies; large study populations; and study emphasis on PHG.</w:t>
      </w:r>
      <w:r w:rsidR="00963345">
        <w:rPr>
          <w:rFonts w:ascii="Book Antiqua" w:hAnsi="Book Antiqua" w:cs="Times New Roman"/>
          <w:iCs/>
          <w:sz w:val="24"/>
          <w:szCs w:val="24"/>
        </w:rPr>
        <w:t xml:space="preserve"> </w:t>
      </w:r>
      <w:r w:rsidRPr="00302F74">
        <w:rPr>
          <w:rFonts w:ascii="Book Antiqua" w:hAnsi="Book Antiqua" w:cs="Times New Roman"/>
          <w:iCs/>
          <w:sz w:val="24"/>
          <w:szCs w:val="24"/>
        </w:rPr>
        <w:t xml:space="preserve">However, data from retrospective series, reviews from internationally recognized authorities, and even case reports were included when prospective trials were unavailable. </w:t>
      </w:r>
    </w:p>
    <w:p w:rsidR="00C9325C" w:rsidRDefault="00C9325C" w:rsidP="00866BBE">
      <w:pPr>
        <w:widowControl w:val="0"/>
        <w:spacing w:line="360" w:lineRule="auto"/>
        <w:jc w:val="both"/>
        <w:rPr>
          <w:rFonts w:ascii="Book Antiqua" w:hAnsi="Book Antiqua" w:cs="Times New Roman"/>
          <w:iCs/>
          <w:sz w:val="24"/>
          <w:szCs w:val="24"/>
          <w:lang w:eastAsia="zh-CN"/>
        </w:rPr>
      </w:pPr>
      <w:r w:rsidRPr="00302F74">
        <w:rPr>
          <w:rFonts w:ascii="Book Antiqua" w:hAnsi="Book Antiqua" w:cs="Times New Roman"/>
          <w:iCs/>
          <w:sz w:val="24"/>
          <w:szCs w:val="24"/>
        </w:rPr>
        <w:t xml:space="preserve"> </w:t>
      </w:r>
    </w:p>
    <w:p w:rsidR="00B419C1" w:rsidRPr="00302F74" w:rsidRDefault="00B419C1" w:rsidP="00866BBE">
      <w:pPr>
        <w:widowControl w:val="0"/>
        <w:spacing w:line="360" w:lineRule="auto"/>
        <w:jc w:val="both"/>
        <w:rPr>
          <w:rFonts w:ascii="Book Antiqua" w:hAnsi="Book Antiqua" w:cs="Times New Roman"/>
          <w:iCs/>
          <w:sz w:val="24"/>
          <w:szCs w:val="24"/>
          <w:lang w:eastAsia="zh-CN"/>
        </w:rPr>
      </w:pPr>
      <w:r w:rsidRPr="006E477D">
        <w:rPr>
          <w:rFonts w:ascii="Book Antiqua" w:hAnsi="Book Antiqua"/>
          <w:b/>
          <w:bCs/>
          <w:sz w:val="24"/>
          <w:szCs w:val="24"/>
        </w:rPr>
        <w:t>RESULTS</w:t>
      </w:r>
    </w:p>
    <w:p w:rsidR="00C9325C" w:rsidRPr="00B419C1" w:rsidRDefault="00C9325C" w:rsidP="00FA6CCE">
      <w:pPr>
        <w:widowControl w:val="0"/>
        <w:spacing w:line="360" w:lineRule="auto"/>
        <w:jc w:val="both"/>
        <w:rPr>
          <w:rFonts w:ascii="Book Antiqua" w:hAnsi="Book Antiqua" w:cs="Times New Roman"/>
          <w:i/>
          <w:sz w:val="24"/>
          <w:szCs w:val="24"/>
        </w:rPr>
      </w:pPr>
      <w:r w:rsidRPr="00B419C1">
        <w:rPr>
          <w:rFonts w:ascii="Book Antiqua" w:hAnsi="Book Antiqua" w:cs="Times New Roman"/>
          <w:b/>
          <w:i/>
          <w:sz w:val="24"/>
          <w:szCs w:val="24"/>
        </w:rPr>
        <w:t>H</w:t>
      </w:r>
      <w:r w:rsidR="00B419C1" w:rsidRPr="00B419C1">
        <w:rPr>
          <w:rFonts w:ascii="Book Antiqua" w:hAnsi="Book Antiqua" w:cs="Times New Roman"/>
          <w:b/>
          <w:i/>
          <w:sz w:val="24"/>
          <w:szCs w:val="24"/>
        </w:rPr>
        <w:t>istory</w:t>
      </w:r>
    </w:p>
    <w:p w:rsidR="00C9325C" w:rsidRDefault="00C9325C" w:rsidP="00866BB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sz w:val="24"/>
          <w:szCs w:val="24"/>
        </w:rPr>
        <w:t xml:space="preserve">Palmer, in 1957, proposed that the pathogenesis of erosive gastritis in cirrhotic patients </w:t>
      </w:r>
      <w:r w:rsidRPr="00302F74">
        <w:rPr>
          <w:rFonts w:ascii="Book Antiqua" w:hAnsi="Book Antiqua" w:cs="Times New Roman"/>
          <w:sz w:val="24"/>
          <w:szCs w:val="24"/>
        </w:rPr>
        <w:lastRenderedPageBreak/>
        <w:t xml:space="preserve">was different than that in non-cirrhotic patients and that erosive gastritis in cirrhotic patients resulted from mechanical venous back-pressure from portal hypertension, rather than a circulating, mucosal, or intraluminal toxic </w:t>
      </w:r>
      <w:proofErr w:type="gramStart"/>
      <w:r w:rsidRPr="00302F74">
        <w:rPr>
          <w:rFonts w:ascii="Book Antiqua" w:hAnsi="Book Antiqua" w:cs="Times New Roman"/>
          <w:sz w:val="24"/>
          <w:szCs w:val="24"/>
        </w:rPr>
        <w:t>factor</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1]</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This proposal was supported by successful reversal of erosive gastritis in cirrhotic patients with portal decompression by surgical shunts</w:t>
      </w:r>
      <w:r w:rsidRPr="00302F74">
        <w:rPr>
          <w:rFonts w:ascii="Book Antiqua" w:hAnsi="Book Antiqua" w:cs="Times New Roman"/>
          <w:sz w:val="24"/>
          <w:szCs w:val="24"/>
          <w:vertAlign w:val="superscript"/>
        </w:rPr>
        <w:t>[1]</w:t>
      </w:r>
      <w:r w:rsidR="00866BBE">
        <w:rPr>
          <w:rFonts w:ascii="Book Antiqua" w:hAnsi="Book Antiqua" w:cs="Times New Roman"/>
          <w:sz w:val="24"/>
          <w:szCs w:val="24"/>
        </w:rPr>
        <w:t>.</w:t>
      </w:r>
      <w:r w:rsidR="00963345">
        <w:rPr>
          <w:rFonts w:ascii="Book Antiqua" w:hAnsi="Book Antiqua" w:cs="Times New Roman"/>
          <w:sz w:val="24"/>
          <w:szCs w:val="24"/>
        </w:rPr>
        <w:t xml:space="preserve"> </w:t>
      </w:r>
      <w:r w:rsidR="00866BBE">
        <w:rPr>
          <w:rFonts w:ascii="Book Antiqua" w:hAnsi="Book Antiqua" w:cs="Times New Roman"/>
          <w:sz w:val="24"/>
          <w:szCs w:val="24"/>
        </w:rPr>
        <w:t xml:space="preserve">In 1984, Sarfeh </w:t>
      </w:r>
      <w:r w:rsidR="00866BBE" w:rsidRPr="00866BBE">
        <w:rPr>
          <w:rFonts w:ascii="Book Antiqua" w:hAnsi="Book Antiqua" w:cs="Times New Roman"/>
          <w:i/>
          <w:sz w:val="24"/>
          <w:szCs w:val="24"/>
        </w:rPr>
        <w:t>et al</w:t>
      </w:r>
      <w:r w:rsidRPr="00302F74">
        <w:rPr>
          <w:rFonts w:ascii="Book Antiqua" w:hAnsi="Book Antiqua" w:cs="Times New Roman"/>
          <w:sz w:val="24"/>
          <w:szCs w:val="24"/>
          <w:vertAlign w:val="superscript"/>
        </w:rPr>
        <w:t>[2]</w:t>
      </w:r>
      <w:r w:rsidRPr="00302F74">
        <w:rPr>
          <w:rFonts w:ascii="Book Antiqua" w:hAnsi="Book Antiqua" w:cs="Times New Roman"/>
          <w:sz w:val="24"/>
          <w:szCs w:val="24"/>
        </w:rPr>
        <w:t xml:space="preserve"> recognized a distinct form of gastric mucosal hemorrhage in patients who had portal hypertension, demonstrated by cirrhosis and gastroesophageal varices, which they called "portal hypertensive gastritis".</w:t>
      </w:r>
      <w:r w:rsidR="00963345">
        <w:rPr>
          <w:rFonts w:ascii="Book Antiqua" w:hAnsi="Book Antiqua" w:cs="Times New Roman"/>
          <w:sz w:val="24"/>
          <w:szCs w:val="24"/>
        </w:rPr>
        <w:t xml:space="preserve"> </w:t>
      </w:r>
      <w:r w:rsidRPr="00302F74">
        <w:rPr>
          <w:rFonts w:ascii="Book Antiqua" w:hAnsi="Book Antiqua" w:cs="Times New Roman"/>
          <w:sz w:val="24"/>
          <w:szCs w:val="24"/>
        </w:rPr>
        <w:t>They proposed that gastric mucosa in portal hypertension reacts differently from gastric mucosa without portal hypertension and th</w:t>
      </w:r>
      <w:r w:rsidR="00266A72">
        <w:rPr>
          <w:rFonts w:ascii="Book Antiqua" w:hAnsi="Book Antiqua" w:cs="Times New Roman" w:hint="eastAsia"/>
          <w:sz w:val="24"/>
          <w:szCs w:val="24"/>
          <w:lang w:eastAsia="zh-CN"/>
        </w:rPr>
        <w:t>ese</w:t>
      </w:r>
      <w:r w:rsidRPr="00302F74">
        <w:rPr>
          <w:rFonts w:ascii="Book Antiqua" w:hAnsi="Book Antiqua" w:cs="Times New Roman"/>
          <w:sz w:val="24"/>
          <w:szCs w:val="24"/>
        </w:rPr>
        <w:t xml:space="preserve"> patients with portal hypertension may benefit from portal decompressive surgery.</w:t>
      </w:r>
      <w:r w:rsidR="00963345">
        <w:rPr>
          <w:rFonts w:ascii="Book Antiqua" w:hAnsi="Book Antiqua" w:cs="Times New Roman"/>
          <w:sz w:val="24"/>
          <w:szCs w:val="24"/>
        </w:rPr>
        <w:t xml:space="preserve"> </w:t>
      </w:r>
      <w:r w:rsidR="00866BBE">
        <w:rPr>
          <w:rFonts w:ascii="Book Antiqua" w:hAnsi="Book Antiqua" w:cs="Times New Roman"/>
          <w:sz w:val="24"/>
          <w:szCs w:val="24"/>
        </w:rPr>
        <w:t xml:space="preserve">One year later, McCormack </w:t>
      </w:r>
      <w:r w:rsidR="00866BBE" w:rsidRPr="00866BBE">
        <w:rPr>
          <w:rFonts w:ascii="Book Antiqua" w:hAnsi="Book Antiqua" w:cs="Times New Roman"/>
          <w:i/>
          <w:sz w:val="24"/>
          <w:szCs w:val="24"/>
        </w:rPr>
        <w:t>et al</w:t>
      </w:r>
      <w:r w:rsidRPr="00302F74">
        <w:rPr>
          <w:rFonts w:ascii="Book Antiqua" w:hAnsi="Book Antiqua" w:cs="Times New Roman"/>
          <w:sz w:val="24"/>
          <w:szCs w:val="24"/>
          <w:vertAlign w:val="superscript"/>
        </w:rPr>
        <w:t>[3]</w:t>
      </w:r>
      <w:r w:rsidRPr="00302F74">
        <w:rPr>
          <w:rFonts w:ascii="Book Antiqua" w:hAnsi="Book Antiqua" w:cs="Times New Roman"/>
          <w:sz w:val="24"/>
          <w:szCs w:val="24"/>
        </w:rPr>
        <w:t xml:space="preserve"> reported that the gastritis in patients with portal hypertension differed from that in patients without portal hypertension in mucosal histology, nonresponse to standard therapy for conventional gastritis, and in occasionally having very similar histological changes in other gastrointestinal (GI) organs such as the colon.</w:t>
      </w:r>
      <w:r w:rsidR="00963345">
        <w:rPr>
          <w:rFonts w:ascii="Book Antiqua" w:hAnsi="Book Antiqua" w:cs="Times New Roman"/>
          <w:sz w:val="24"/>
          <w:szCs w:val="24"/>
        </w:rPr>
        <w:t xml:space="preserve"> </w:t>
      </w:r>
      <w:r w:rsidRPr="00302F74">
        <w:rPr>
          <w:rFonts w:ascii="Book Antiqua" w:hAnsi="Book Antiqua" w:cs="Times New Roman"/>
          <w:sz w:val="24"/>
          <w:szCs w:val="24"/>
        </w:rPr>
        <w:t>They called these gastritis-like changes in patients with portal hypertension “congestive gastropathy”</w:t>
      </w:r>
      <w:r w:rsidRPr="00302F74">
        <w:rPr>
          <w:rFonts w:ascii="Book Antiqua" w:hAnsi="Book Antiqua" w:cs="Times New Roman"/>
          <w:sz w:val="24"/>
          <w:szCs w:val="24"/>
          <w:vertAlign w:val="superscript"/>
        </w:rPr>
        <w:t>[3]</w:t>
      </w:r>
      <w:r w:rsidRPr="00302F74">
        <w:rPr>
          <w:rFonts w:ascii="Book Antiqua" w:hAnsi="Book Antiqua" w:cs="Times New Roman"/>
          <w:sz w:val="24"/>
          <w:szCs w:val="24"/>
        </w:rPr>
        <w:t xml:space="preserve">, and classified it as "mild" or “severe”, using criteria described by Taor </w:t>
      </w:r>
      <w:r w:rsidRPr="00266A72">
        <w:rPr>
          <w:rFonts w:ascii="Book Antiqua" w:hAnsi="Book Antiqua" w:cs="Times New Roman"/>
          <w:i/>
          <w:sz w:val="24"/>
          <w:szCs w:val="24"/>
        </w:rPr>
        <w:t>et al</w:t>
      </w:r>
      <w:r w:rsidRPr="00302F74">
        <w:rPr>
          <w:rFonts w:ascii="Book Antiqua" w:hAnsi="Book Antiqua" w:cs="Times New Roman"/>
          <w:sz w:val="24"/>
          <w:szCs w:val="24"/>
          <w:vertAlign w:val="superscript"/>
        </w:rPr>
        <w:t>[4]</w:t>
      </w:r>
      <w:r w:rsidRPr="00302F74">
        <w:rPr>
          <w:rFonts w:ascii="Book Antiqua" w:hAnsi="Book Antiqua" w:cs="Times New Roman"/>
          <w:sz w:val="24"/>
          <w:szCs w:val="24"/>
        </w:rPr>
        <w:t>.</w:t>
      </w:r>
    </w:p>
    <w:p w:rsidR="00266A72" w:rsidRPr="00302F74" w:rsidRDefault="00266A72" w:rsidP="00866BBE">
      <w:pPr>
        <w:widowControl w:val="0"/>
        <w:spacing w:line="360" w:lineRule="auto"/>
        <w:jc w:val="both"/>
        <w:rPr>
          <w:rFonts w:ascii="Book Antiqua" w:hAnsi="Book Antiqua" w:cs="Times New Roman"/>
          <w:b/>
          <w:sz w:val="24"/>
          <w:szCs w:val="24"/>
          <w:lang w:eastAsia="zh-CN"/>
        </w:rPr>
      </w:pPr>
    </w:p>
    <w:p w:rsidR="00C9325C" w:rsidRPr="00642A3E" w:rsidRDefault="00C9325C" w:rsidP="00FA6CCE">
      <w:pPr>
        <w:widowControl w:val="0"/>
        <w:spacing w:line="360" w:lineRule="auto"/>
        <w:jc w:val="both"/>
        <w:rPr>
          <w:rFonts w:ascii="Book Antiqua" w:hAnsi="Book Antiqua" w:cs="Times New Roman"/>
          <w:b/>
          <w:i/>
          <w:sz w:val="24"/>
          <w:szCs w:val="24"/>
        </w:rPr>
      </w:pPr>
      <w:r w:rsidRPr="00642A3E">
        <w:rPr>
          <w:rFonts w:ascii="Book Antiqua" w:hAnsi="Book Antiqua" w:cs="Times New Roman"/>
          <w:b/>
          <w:i/>
          <w:sz w:val="24"/>
          <w:szCs w:val="24"/>
        </w:rPr>
        <w:t>E</w:t>
      </w:r>
      <w:r w:rsidR="00642A3E" w:rsidRPr="00642A3E">
        <w:rPr>
          <w:rFonts w:ascii="Book Antiqua" w:hAnsi="Book Antiqua" w:cs="Times New Roman"/>
          <w:b/>
          <w:i/>
          <w:sz w:val="24"/>
          <w:szCs w:val="24"/>
        </w:rPr>
        <w:t>pidemiology</w:t>
      </w:r>
    </w:p>
    <w:p w:rsidR="00C9325C" w:rsidRPr="00062893" w:rsidRDefault="00C9325C" w:rsidP="00266A72">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PH</w:t>
      </w:r>
      <w:r w:rsidRPr="00062893">
        <w:rPr>
          <w:rFonts w:ascii="Book Antiqua" w:hAnsi="Book Antiqua" w:cs="Times New Roman"/>
          <w:sz w:val="24"/>
          <w:szCs w:val="24"/>
        </w:rPr>
        <w:t xml:space="preserve">G can present at any age, including pediatric or adult patients. The reported prevalence of PHG varies greatly from 20% to 75% in patients with portal hypertension (Table </w:t>
      </w:r>
      <w:r w:rsidR="000C0235">
        <w:rPr>
          <w:rFonts w:ascii="Book Antiqua" w:hAnsi="Book Antiqua" w:cs="Times New Roman" w:hint="eastAsia"/>
          <w:sz w:val="24"/>
          <w:szCs w:val="24"/>
          <w:lang w:eastAsia="zh-CN"/>
        </w:rPr>
        <w:t>1</w:t>
      </w:r>
      <w:r w:rsidRPr="00062893">
        <w:rPr>
          <w:rFonts w:ascii="Book Antiqua" w:hAnsi="Book Antiqua" w:cs="Times New Roman"/>
          <w:sz w:val="24"/>
          <w:szCs w:val="24"/>
        </w:rPr>
        <w:t>)</w:t>
      </w:r>
      <w:r w:rsidRPr="00062893">
        <w:rPr>
          <w:rFonts w:ascii="Book Antiqua" w:hAnsi="Book Antiqua" w:cs="Times New Roman"/>
          <w:sz w:val="24"/>
          <w:szCs w:val="24"/>
          <w:vertAlign w:val="superscript"/>
        </w:rPr>
        <w:t>[3,5-23]</w:t>
      </w:r>
      <w:r w:rsidRPr="00062893">
        <w:rPr>
          <w:rFonts w:ascii="Book Antiqua" w:hAnsi="Book Antiqua" w:cs="Times New Roman"/>
          <w:sz w:val="24"/>
          <w:szCs w:val="24"/>
        </w:rPr>
        <w:t xml:space="preserve">, and varies greatly from about 35% to </w:t>
      </w:r>
      <w:r w:rsidR="003B66FD">
        <w:rPr>
          <w:rFonts w:ascii="Book Antiqua" w:hAnsi="Book Antiqua" w:cs="Times New Roman"/>
          <w:sz w:val="24"/>
          <w:szCs w:val="24"/>
        </w:rPr>
        <w:t xml:space="preserve">80% in patients with cirrhosis </w:t>
      </w:r>
      <w:r w:rsidR="003B66FD">
        <w:rPr>
          <w:rFonts w:ascii="Book Antiqua" w:hAnsi="Book Antiqua" w:cs="Times New Roman" w:hint="eastAsia"/>
          <w:sz w:val="24"/>
          <w:szCs w:val="24"/>
          <w:lang w:eastAsia="zh-CN"/>
        </w:rPr>
        <w:t>(</w:t>
      </w:r>
      <w:r w:rsidRPr="00062893">
        <w:rPr>
          <w:rFonts w:ascii="Book Antiqua" w:hAnsi="Book Antiqua" w:cs="Times New Roman"/>
          <w:sz w:val="24"/>
          <w:szCs w:val="24"/>
        </w:rPr>
        <w:t xml:space="preserve">Table </w:t>
      </w:r>
      <w:r w:rsidR="000C0235">
        <w:rPr>
          <w:rFonts w:ascii="Book Antiqua" w:hAnsi="Book Antiqua" w:cs="Times New Roman" w:hint="eastAsia"/>
          <w:sz w:val="24"/>
          <w:szCs w:val="24"/>
          <w:lang w:eastAsia="zh-CN"/>
        </w:rPr>
        <w:t>2</w:t>
      </w:r>
      <w:r w:rsidRPr="00062893">
        <w:rPr>
          <w:rFonts w:ascii="Book Antiqua" w:hAnsi="Book Antiqua" w:cs="Times New Roman"/>
          <w:sz w:val="24"/>
          <w:szCs w:val="24"/>
        </w:rPr>
        <w:t>)</w:t>
      </w:r>
      <w:r w:rsidRPr="00062893">
        <w:rPr>
          <w:rFonts w:ascii="Book Antiqua" w:hAnsi="Book Antiqua" w:cs="Times New Roman"/>
          <w:sz w:val="24"/>
          <w:szCs w:val="24"/>
          <w:vertAlign w:val="superscript"/>
        </w:rPr>
        <w:t>[21,23-68]</w:t>
      </w:r>
      <w:r w:rsidRPr="00062893">
        <w:rPr>
          <w:rFonts w:ascii="Book Antiqua" w:hAnsi="Book Antiqua" w:cs="Times New Roman"/>
          <w:sz w:val="24"/>
          <w:szCs w:val="24"/>
        </w:rPr>
        <w:t>.</w:t>
      </w:r>
      <w:r w:rsidR="00963345">
        <w:rPr>
          <w:rFonts w:ascii="Book Antiqua" w:hAnsi="Book Antiqua" w:cs="Times New Roman"/>
          <w:sz w:val="24"/>
          <w:szCs w:val="24"/>
        </w:rPr>
        <w:t xml:space="preserve"> </w:t>
      </w:r>
      <w:r w:rsidRPr="00062893">
        <w:rPr>
          <w:rFonts w:ascii="Book Antiqua" w:hAnsi="Book Antiqua" w:cs="Times New Roman"/>
          <w:sz w:val="24"/>
          <w:szCs w:val="24"/>
        </w:rPr>
        <w:t>For example, in a study of 373 cirrhotic patients, 299 (80.2%) had PHG</w:t>
      </w:r>
      <w:r w:rsidRPr="00062893">
        <w:rPr>
          <w:rFonts w:ascii="Book Antiqua" w:hAnsi="Book Antiqua" w:cs="Times New Roman"/>
          <w:sz w:val="24"/>
          <w:szCs w:val="24"/>
          <w:vertAlign w:val="superscript"/>
        </w:rPr>
        <w:t>[34]</w:t>
      </w:r>
      <w:r w:rsidRPr="00062893">
        <w:rPr>
          <w:rFonts w:ascii="Book Antiqua" w:hAnsi="Book Antiqua" w:cs="Times New Roman"/>
          <w:sz w:val="24"/>
          <w:szCs w:val="24"/>
        </w:rPr>
        <w:t>. In the HALT-C trial, 374 (37%) of 1011 patients with biopsy-proven cirrhosis or bridging fibrosis from hepatitis C had PHG</w:t>
      </w:r>
      <w:r w:rsidRPr="00062893">
        <w:rPr>
          <w:rFonts w:ascii="Book Antiqua" w:hAnsi="Book Antiqua" w:cs="Times New Roman"/>
          <w:sz w:val="24"/>
          <w:szCs w:val="24"/>
          <w:vertAlign w:val="superscript"/>
        </w:rPr>
        <w:t>[69]</w:t>
      </w:r>
      <w:r w:rsidRPr="00062893">
        <w:rPr>
          <w:rFonts w:ascii="Book Antiqua" w:hAnsi="Book Antiqua" w:cs="Times New Roman"/>
          <w:sz w:val="24"/>
          <w:szCs w:val="24"/>
        </w:rPr>
        <w:t>.</w:t>
      </w:r>
      <w:r w:rsidR="00963345">
        <w:rPr>
          <w:rFonts w:ascii="Book Antiqua" w:hAnsi="Book Antiqua" w:cs="Times New Roman"/>
          <w:sz w:val="24"/>
          <w:szCs w:val="24"/>
        </w:rPr>
        <w:t xml:space="preserve"> </w:t>
      </w:r>
      <w:r w:rsidRPr="00062893">
        <w:rPr>
          <w:rFonts w:ascii="Book Antiqua" w:hAnsi="Book Antiqua" w:cs="Times New Roman"/>
          <w:sz w:val="24"/>
          <w:szCs w:val="24"/>
        </w:rPr>
        <w:t>This wide variability likely reflects variability in classification criteria, interpretation of endoscopic lesions, study populations, and natural history of PHG</w:t>
      </w:r>
      <w:r w:rsidRPr="00062893">
        <w:rPr>
          <w:rFonts w:ascii="Book Antiqua" w:hAnsi="Book Antiqua" w:cs="Times New Roman"/>
          <w:sz w:val="24"/>
          <w:szCs w:val="24"/>
          <w:vertAlign w:val="superscript"/>
        </w:rPr>
        <w:t>[10,70,71]</w:t>
      </w:r>
      <w:r w:rsidRPr="00062893">
        <w:rPr>
          <w:rFonts w:ascii="Book Antiqua" w:hAnsi="Book Antiqua" w:cs="Times New Roman"/>
          <w:sz w:val="24"/>
          <w:szCs w:val="24"/>
        </w:rPr>
        <w:t>.</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rPr>
        <w:t>PHG is usually mild</w:t>
      </w:r>
      <w:r w:rsidR="000C0235">
        <w:rPr>
          <w:rFonts w:ascii="Book Antiqua" w:hAnsi="Book Antiqua" w:cs="Times New Roman"/>
          <w:sz w:val="24"/>
          <w:szCs w:val="24"/>
        </w:rPr>
        <w:t xml:space="preserve"> as reported by McCormack </w:t>
      </w:r>
      <w:r w:rsidR="000C0235" w:rsidRPr="000C0235">
        <w:rPr>
          <w:rFonts w:ascii="Book Antiqua" w:hAnsi="Book Antiqua" w:cs="Times New Roman" w:hint="eastAsia"/>
          <w:i/>
          <w:sz w:val="24"/>
          <w:szCs w:val="24"/>
          <w:lang w:eastAsia="zh-CN"/>
        </w:rPr>
        <w:t>e</w:t>
      </w:r>
      <w:r w:rsidR="000C0235" w:rsidRPr="000C0235">
        <w:rPr>
          <w:rFonts w:ascii="Book Antiqua" w:hAnsi="Book Antiqua" w:cs="Times New Roman"/>
          <w:i/>
          <w:sz w:val="24"/>
          <w:szCs w:val="24"/>
        </w:rPr>
        <w:t>t al</w:t>
      </w:r>
      <w:r w:rsidRPr="00302F74">
        <w:rPr>
          <w:rFonts w:ascii="Book Antiqua" w:hAnsi="Book Antiqua" w:cs="Times New Roman"/>
          <w:sz w:val="24"/>
          <w:szCs w:val="24"/>
          <w:vertAlign w:val="superscript"/>
        </w:rPr>
        <w:t>[</w:t>
      </w:r>
      <w:r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rPr>
        <w:t xml:space="preserve"> or in the NIEC study</w:t>
      </w:r>
      <w:r w:rsidRPr="00302F74">
        <w:rPr>
          <w:rFonts w:ascii="Book Antiqua" w:hAnsi="Book Antiqua" w:cs="Times New Roman"/>
          <w:sz w:val="24"/>
          <w:szCs w:val="24"/>
          <w:vertAlign w:val="superscript"/>
        </w:rPr>
        <w:t>[</w:t>
      </w:r>
      <w:r w:rsidRPr="00302F74">
        <w:rPr>
          <w:rFonts w:ascii="Book Antiqua" w:hAnsi="Book Antiqua" w:cs="Times New Roman"/>
          <w:sz w:val="24"/>
          <w:szCs w:val="24"/>
          <w:vertAlign w:val="superscript"/>
          <w:lang w:val="en"/>
        </w:rPr>
        <w:t>32,70]</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The prevalence of mild PHG in patients with portal hypertension ranges from 29%-57%, and of severe PHG ranges from 9%-46%</w:t>
      </w:r>
      <w:r w:rsidRPr="00302F74">
        <w:rPr>
          <w:rFonts w:ascii="Book Antiqua" w:hAnsi="Book Antiqua" w:cs="Times New Roman"/>
          <w:sz w:val="24"/>
          <w:szCs w:val="24"/>
          <w:vertAlign w:val="superscript"/>
        </w:rPr>
        <w:t>[71]</w:t>
      </w:r>
      <w:r w:rsidRPr="00302F74">
        <w:rPr>
          <w:rFonts w:ascii="Book Antiqua" w:hAnsi="Book Antiqua" w:cs="Times New Roman"/>
          <w:sz w:val="24"/>
          <w:szCs w:val="24"/>
        </w:rPr>
        <w:t>.</w:t>
      </w:r>
    </w:p>
    <w:p w:rsidR="00AA1922" w:rsidRPr="00302F74" w:rsidRDefault="00AA1922" w:rsidP="00FA6CCE">
      <w:pPr>
        <w:widowControl w:val="0"/>
        <w:spacing w:line="360" w:lineRule="auto"/>
        <w:ind w:firstLine="720"/>
        <w:jc w:val="both"/>
        <w:rPr>
          <w:rFonts w:ascii="Book Antiqua" w:hAnsi="Book Antiqua" w:cs="Times New Roman"/>
          <w:sz w:val="24"/>
          <w:szCs w:val="24"/>
          <w:lang w:eastAsia="zh-CN"/>
        </w:rPr>
      </w:pPr>
    </w:p>
    <w:p w:rsidR="00C9325C" w:rsidRPr="00AA1922" w:rsidRDefault="00C9325C" w:rsidP="00FA6CCE">
      <w:pPr>
        <w:widowControl w:val="0"/>
        <w:spacing w:line="360" w:lineRule="auto"/>
        <w:jc w:val="both"/>
        <w:rPr>
          <w:rFonts w:ascii="Book Antiqua" w:hAnsi="Book Antiqua" w:cs="Times New Roman"/>
          <w:b/>
          <w:i/>
          <w:sz w:val="24"/>
          <w:szCs w:val="24"/>
        </w:rPr>
      </w:pPr>
      <w:r w:rsidRPr="00AA1922">
        <w:rPr>
          <w:rFonts w:ascii="Book Antiqua" w:hAnsi="Book Antiqua" w:cs="Times New Roman"/>
          <w:b/>
          <w:i/>
          <w:sz w:val="24"/>
          <w:szCs w:val="24"/>
        </w:rPr>
        <w:t>R</w:t>
      </w:r>
      <w:r w:rsidR="00AA1922" w:rsidRPr="00AA1922">
        <w:rPr>
          <w:rFonts w:ascii="Book Antiqua" w:hAnsi="Book Antiqua" w:cs="Times New Roman"/>
          <w:b/>
          <w:i/>
          <w:sz w:val="24"/>
          <w:szCs w:val="24"/>
        </w:rPr>
        <w:t>isk factors for PHG</w:t>
      </w:r>
    </w:p>
    <w:p w:rsidR="00C9325C" w:rsidRDefault="00C9325C" w:rsidP="000C0235">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sz w:val="24"/>
          <w:szCs w:val="24"/>
        </w:rPr>
        <w:t xml:space="preserve">The main predictors of PHG are portal hypertension and severe liver </w:t>
      </w:r>
      <w:proofErr w:type="gramStart"/>
      <w:r w:rsidRPr="00302F74">
        <w:rPr>
          <w:rFonts w:ascii="Book Antiqua" w:hAnsi="Book Antiqua" w:cs="Times New Roman"/>
          <w:sz w:val="24"/>
          <w:szCs w:val="24"/>
        </w:rPr>
        <w:t>disease</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72]</w:t>
      </w:r>
      <w:r w:rsidRPr="00302F74">
        <w:rPr>
          <w:rFonts w:ascii="Book Antiqua" w:hAnsi="Book Antiqua" w:cs="Times New Roman"/>
          <w:sz w:val="24"/>
          <w:szCs w:val="24"/>
        </w:rPr>
        <w:t>.</w:t>
      </w:r>
    </w:p>
    <w:p w:rsidR="000C0235" w:rsidRPr="000C0235" w:rsidRDefault="000C0235" w:rsidP="000C0235">
      <w:pPr>
        <w:widowControl w:val="0"/>
        <w:spacing w:line="360" w:lineRule="auto"/>
        <w:jc w:val="both"/>
        <w:rPr>
          <w:rFonts w:ascii="Book Antiqua" w:hAnsi="Book Antiqua" w:cs="Times New Roman"/>
          <w:sz w:val="24"/>
          <w:szCs w:val="24"/>
          <w:lang w:eastAsia="zh-CN"/>
        </w:rPr>
      </w:pPr>
    </w:p>
    <w:p w:rsidR="00C9325C" w:rsidRPr="00AA1922" w:rsidRDefault="00C9325C" w:rsidP="000C0235">
      <w:pPr>
        <w:widowControl w:val="0"/>
        <w:spacing w:line="360" w:lineRule="auto"/>
        <w:jc w:val="both"/>
        <w:rPr>
          <w:rFonts w:ascii="Book Antiqua" w:hAnsi="Book Antiqua" w:cs="Times New Roman"/>
          <w:sz w:val="24"/>
          <w:szCs w:val="24"/>
        </w:rPr>
      </w:pPr>
      <w:r w:rsidRPr="00AA1922">
        <w:rPr>
          <w:rFonts w:ascii="Book Antiqua" w:hAnsi="Book Antiqua" w:cs="Times New Roman"/>
          <w:b/>
          <w:sz w:val="24"/>
          <w:szCs w:val="24"/>
        </w:rPr>
        <w:t>Portal hypertension</w:t>
      </w:r>
      <w:r w:rsidR="00AA1922">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Most studies show that the frequency and severity of PHG is strongly correlated with the severity of portal hypertension, </w:t>
      </w:r>
      <w:r w:rsidRPr="00302F74">
        <w:rPr>
          <w:rFonts w:ascii="Book Antiqua" w:hAnsi="Book Antiqua" w:cs="Times New Roman"/>
          <w:sz w:val="24"/>
          <w:szCs w:val="24"/>
          <w:lang w:val="en"/>
        </w:rPr>
        <w:t>as indicated by multiple parameters, including hepatic venous pressure gradient (HVPG)</w:t>
      </w:r>
      <w:r w:rsidRPr="00302F74">
        <w:rPr>
          <w:rFonts w:ascii="Book Antiqua" w:hAnsi="Book Antiqua" w:cs="Times New Roman"/>
          <w:sz w:val="24"/>
          <w:szCs w:val="24"/>
          <w:vertAlign w:val="superscript"/>
          <w:lang w:val="en"/>
        </w:rPr>
        <w:t>[36,57]</w:t>
      </w:r>
      <w:r w:rsidRPr="00302F74">
        <w:rPr>
          <w:rFonts w:ascii="Book Antiqua" w:hAnsi="Book Antiqua" w:cs="Times New Roman"/>
          <w:sz w:val="24"/>
          <w:szCs w:val="24"/>
          <w:lang w:val="en"/>
        </w:rPr>
        <w:t>, esophageal intravariceal pressure</w:t>
      </w:r>
      <w:r w:rsidRPr="00302F74">
        <w:rPr>
          <w:rFonts w:ascii="Book Antiqua" w:hAnsi="Book Antiqua" w:cs="Times New Roman"/>
          <w:sz w:val="24"/>
          <w:szCs w:val="24"/>
          <w:vertAlign w:val="superscript"/>
          <w:lang w:val="en"/>
        </w:rPr>
        <w:t>[29]</w:t>
      </w:r>
      <w:r w:rsidRPr="00302F74">
        <w:rPr>
          <w:rFonts w:ascii="Book Antiqua" w:hAnsi="Book Antiqua" w:cs="Times New Roman"/>
          <w:sz w:val="24"/>
          <w:szCs w:val="24"/>
          <w:lang w:val="en"/>
        </w:rPr>
        <w:t>, and presence or size of esophageal varices</w:t>
      </w:r>
      <w:r w:rsidRPr="00302F74">
        <w:rPr>
          <w:rFonts w:ascii="Book Antiqua" w:hAnsi="Book Antiqua" w:cs="Times New Roman"/>
          <w:sz w:val="24"/>
          <w:szCs w:val="24"/>
          <w:vertAlign w:val="superscript"/>
          <w:lang w:val="en"/>
        </w:rPr>
        <w:t>[34,42,57,62,73]</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003D1CD0">
        <w:rPr>
          <w:rFonts w:ascii="Book Antiqua" w:hAnsi="Book Antiqua" w:cs="Times New Roman"/>
          <w:sz w:val="24"/>
          <w:szCs w:val="24"/>
        </w:rPr>
        <w:t xml:space="preserve">Merkel </w:t>
      </w:r>
      <w:r w:rsidR="003D1CD0" w:rsidRPr="003D1CD0">
        <w:rPr>
          <w:rFonts w:ascii="Book Antiqua" w:hAnsi="Book Antiqua" w:cs="Times New Roman"/>
          <w:i/>
          <w:sz w:val="24"/>
          <w:szCs w:val="24"/>
        </w:rPr>
        <w:t>et al</w:t>
      </w:r>
      <w:r w:rsidRPr="00302F74">
        <w:rPr>
          <w:rFonts w:ascii="Book Antiqua" w:hAnsi="Book Antiqua" w:cs="Times New Roman"/>
          <w:sz w:val="24"/>
          <w:szCs w:val="24"/>
          <w:vertAlign w:val="superscript"/>
        </w:rPr>
        <w:t>[36]</w:t>
      </w:r>
      <w:r w:rsidRPr="00302F74">
        <w:rPr>
          <w:rFonts w:ascii="Book Antiqua" w:hAnsi="Book Antiqua" w:cs="Times New Roman"/>
          <w:sz w:val="24"/>
          <w:szCs w:val="24"/>
        </w:rPr>
        <w:t xml:space="preserve"> reported that the severity of PHG was correlated with the severity of portal hypertension as determined by HVPG, but this correlation was significant only for severe PHG (HVPG</w:t>
      </w:r>
      <w:r w:rsidR="00963345">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963345">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20.5 + 4.0 mmHg)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no PHG (HVPG=17.4 + 5.2 mmHg,</w:t>
      </w:r>
      <w:r w:rsidRPr="00302F74">
        <w:rPr>
          <w:rFonts w:ascii="Book Antiqua" w:hAnsi="Book Antiqua" w:cs="Times New Roman"/>
          <w:i/>
          <w:sz w:val="24"/>
          <w:szCs w:val="24"/>
        </w:rPr>
        <w:t xml:space="preserve"> </w:t>
      </w:r>
      <w:r w:rsidR="00616C8C" w:rsidRPr="00302F74">
        <w:rPr>
          <w:rFonts w:ascii="Book Antiqua" w:hAnsi="Book Antiqua" w:cs="Times New Roman"/>
          <w:i/>
          <w:sz w:val="24"/>
          <w:szCs w:val="24"/>
        </w:rPr>
        <w:t>P</w:t>
      </w:r>
      <w:r w:rsidR="00616C8C">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w:t>
      </w:r>
      <w:r w:rsidR="00616C8C">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0.0004), and not for mild PHG (HVPG</w:t>
      </w:r>
      <w:r w:rsidR="00616C8C">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616C8C">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16.1 + 3.2 mmHg)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no PHG (17.4 + 5.2 mmHg, NS).</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In a prospective study of 33</w:t>
      </w:r>
      <w:r w:rsidR="00616C8C">
        <w:rPr>
          <w:rFonts w:ascii="Book Antiqua" w:hAnsi="Book Antiqua" w:cs="Times New Roman"/>
          <w:sz w:val="24"/>
          <w:szCs w:val="24"/>
          <w:lang w:val="en"/>
        </w:rPr>
        <w:t xml:space="preserve">1 cirrhotic patients, Kim </w:t>
      </w:r>
      <w:r w:rsidR="00616C8C" w:rsidRPr="00616C8C">
        <w:rPr>
          <w:rFonts w:ascii="Book Antiqua" w:hAnsi="Book Antiqua" w:cs="Times New Roman"/>
          <w:i/>
          <w:sz w:val="24"/>
          <w:szCs w:val="24"/>
          <w:lang w:val="en"/>
        </w:rPr>
        <w:t>et al</w:t>
      </w:r>
      <w:r w:rsidRPr="00302F74">
        <w:rPr>
          <w:rFonts w:ascii="Book Antiqua" w:hAnsi="Book Antiqua" w:cs="Times New Roman"/>
          <w:sz w:val="24"/>
          <w:szCs w:val="24"/>
          <w:vertAlign w:val="superscript"/>
          <w:lang w:val="en"/>
        </w:rPr>
        <w:t>[57]</w:t>
      </w:r>
      <w:r w:rsidRPr="00302F74">
        <w:rPr>
          <w:rFonts w:ascii="Book Antiqua" w:hAnsi="Book Antiqua" w:cs="Times New Roman"/>
          <w:sz w:val="24"/>
          <w:szCs w:val="24"/>
          <w:lang w:val="en"/>
        </w:rPr>
        <w:t xml:space="preserve"> found that patients with severe PHG had significantly higher HVPG (15.6 ± 4.6 mmHg) than patients with mild PHG (10.7 ± 4.1 mmHg) or no PHG (4.9 ± 1.7 mmHg)(</w:t>
      </w:r>
      <w:r w:rsidR="00963345" w:rsidRPr="00302F74">
        <w:rPr>
          <w:rFonts w:ascii="Book Antiqua" w:hAnsi="Book Antiqua" w:cs="Times New Roman"/>
          <w:i/>
          <w:sz w:val="24"/>
          <w:szCs w:val="24"/>
          <w:lang w:val="en"/>
        </w:rPr>
        <w:t>P</w:t>
      </w:r>
      <w:r w:rsidR="00963345">
        <w:rPr>
          <w:rFonts w:ascii="Book Antiqua" w:hAnsi="Book Antiqua" w:cs="Times New Roman" w:hint="eastAsia"/>
          <w:i/>
          <w:sz w:val="24"/>
          <w:szCs w:val="24"/>
          <w:lang w:val="en" w:eastAsia="zh-CN"/>
        </w:rPr>
        <w:t xml:space="preserve"> </w:t>
      </w:r>
      <w:r w:rsidRPr="00302F74">
        <w:rPr>
          <w:rFonts w:ascii="Book Antiqua" w:hAnsi="Book Antiqua" w:cs="Times New Roman"/>
          <w:sz w:val="24"/>
          <w:szCs w:val="24"/>
          <w:lang w:val="en"/>
        </w:rPr>
        <w:t>&lt;</w:t>
      </w:r>
      <w:r w:rsidR="00963345">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0.001).</w:t>
      </w:r>
      <w:r w:rsidR="00963345">
        <w:rPr>
          <w:rFonts w:ascii="Book Antiqua" w:hAnsi="Book Antiqua" w:cs="Times New Roman"/>
          <w:b/>
          <w:sz w:val="24"/>
          <w:szCs w:val="24"/>
          <w:lang w:val="en"/>
        </w:rPr>
        <w:t xml:space="preserve"> </w:t>
      </w:r>
      <w:r w:rsidR="00616C8C">
        <w:rPr>
          <w:rFonts w:ascii="Book Antiqua" w:hAnsi="Book Antiqua" w:cs="Times New Roman"/>
          <w:sz w:val="24"/>
          <w:szCs w:val="24"/>
        </w:rPr>
        <w:t xml:space="preserve">Merkel </w:t>
      </w:r>
      <w:r w:rsidR="00616C8C" w:rsidRPr="00616C8C">
        <w:rPr>
          <w:rFonts w:ascii="Book Antiqua" w:hAnsi="Book Antiqua" w:cs="Times New Roman"/>
          <w:i/>
          <w:sz w:val="24"/>
          <w:szCs w:val="24"/>
        </w:rPr>
        <w:t>et al</w:t>
      </w:r>
      <w:r w:rsidRPr="00302F74">
        <w:rPr>
          <w:rFonts w:ascii="Book Antiqua" w:hAnsi="Book Antiqua" w:cs="Times New Roman"/>
          <w:sz w:val="24"/>
          <w:szCs w:val="24"/>
          <w:vertAlign w:val="superscript"/>
        </w:rPr>
        <w:t>[36]</w:t>
      </w:r>
      <w:r w:rsidRPr="00302F74">
        <w:rPr>
          <w:rFonts w:ascii="Book Antiqua" w:hAnsi="Book Antiqua" w:cs="Times New Roman"/>
          <w:sz w:val="24"/>
          <w:szCs w:val="24"/>
        </w:rPr>
        <w:t xml:space="preserve"> similarly reported in a small study that HVPG was significantly higher in patients with severe PHG as compared to mild or no PHG. </w:t>
      </w:r>
    </w:p>
    <w:p w:rsidR="00C9325C" w:rsidRPr="00302F74" w:rsidRDefault="00616C8C" w:rsidP="00FA6CCE">
      <w:pPr>
        <w:widowControl w:val="0"/>
        <w:spacing w:line="360" w:lineRule="auto"/>
        <w:ind w:firstLine="720"/>
        <w:jc w:val="both"/>
        <w:rPr>
          <w:rFonts w:ascii="Book Antiqua" w:hAnsi="Book Antiqua" w:cs="Times New Roman"/>
          <w:sz w:val="24"/>
          <w:szCs w:val="24"/>
          <w:lang w:val="en"/>
        </w:rPr>
      </w:pPr>
      <w:r>
        <w:rPr>
          <w:rFonts w:ascii="Book Antiqua" w:hAnsi="Book Antiqua" w:cs="Times New Roman"/>
          <w:sz w:val="24"/>
          <w:szCs w:val="24"/>
        </w:rPr>
        <w:t xml:space="preserve">Primignani </w:t>
      </w:r>
      <w:r w:rsidRPr="00616C8C">
        <w:rPr>
          <w:rFonts w:ascii="Book Antiqua" w:hAnsi="Book Antiqua" w:cs="Times New Roman"/>
          <w:i/>
          <w:sz w:val="24"/>
          <w:szCs w:val="24"/>
        </w:rPr>
        <w:t>et al</w:t>
      </w:r>
      <w:r w:rsidR="00C9325C" w:rsidRPr="00302F74">
        <w:rPr>
          <w:rFonts w:ascii="Book Antiqua" w:hAnsi="Book Antiqua" w:cs="Times New Roman"/>
          <w:sz w:val="24"/>
          <w:szCs w:val="24"/>
          <w:vertAlign w:val="superscript"/>
        </w:rPr>
        <w:t>[34]</w:t>
      </w:r>
      <w:r w:rsidR="00C9325C" w:rsidRPr="00302F74">
        <w:rPr>
          <w:rFonts w:ascii="Book Antiqua" w:hAnsi="Book Antiqua" w:cs="Times New Roman"/>
          <w:sz w:val="24"/>
          <w:szCs w:val="24"/>
        </w:rPr>
        <w:t xml:space="preserve"> confirmed the correlation of PHG with severity of portal hypertension, by correlating PHG with presence and size of esophageal varices.</w:t>
      </w:r>
      <w:r w:rsidR="00963345">
        <w:rPr>
          <w:rFonts w:ascii="Book Antiqua" w:hAnsi="Book Antiqua" w:cs="Times New Roman"/>
          <w:sz w:val="24"/>
          <w:szCs w:val="24"/>
        </w:rPr>
        <w:t xml:space="preserve"> </w:t>
      </w:r>
      <w:r w:rsidR="00C9325C" w:rsidRPr="00302F74">
        <w:rPr>
          <w:rFonts w:ascii="Book Antiqua" w:hAnsi="Book Antiqua" w:cs="Times New Roman"/>
          <w:sz w:val="24"/>
          <w:szCs w:val="24"/>
        </w:rPr>
        <w:t>The rate of PHG was significantly higher in patien</w:t>
      </w:r>
      <w:r>
        <w:rPr>
          <w:rFonts w:ascii="Book Antiqua" w:hAnsi="Book Antiqua" w:cs="Times New Roman"/>
          <w:sz w:val="24"/>
          <w:szCs w:val="24"/>
        </w:rPr>
        <w:t>ts with esophageal varices (80 76.9%</w:t>
      </w:r>
      <w:r w:rsidR="00C9325C" w:rsidRPr="00302F74">
        <w:rPr>
          <w:rFonts w:ascii="Book Antiqua" w:hAnsi="Book Antiqua" w:cs="Times New Roman"/>
          <w:sz w:val="24"/>
          <w:szCs w:val="24"/>
        </w:rPr>
        <w:t xml:space="preserve"> of 104 patients) than in patients </w:t>
      </w:r>
      <w:r>
        <w:rPr>
          <w:rFonts w:ascii="Book Antiqua" w:hAnsi="Book Antiqua" w:cs="Times New Roman"/>
          <w:sz w:val="24"/>
          <w:szCs w:val="24"/>
        </w:rPr>
        <w:t>without esophageal varices (51 60.7%</w:t>
      </w:r>
      <w:r w:rsidR="00C9325C" w:rsidRPr="00302F74">
        <w:rPr>
          <w:rFonts w:ascii="Book Antiqua" w:hAnsi="Book Antiqua" w:cs="Times New Roman"/>
          <w:sz w:val="24"/>
          <w:szCs w:val="24"/>
        </w:rPr>
        <w:t xml:space="preserve"> of 84, </w:t>
      </w:r>
      <w:r w:rsidR="00E878B6">
        <w:rPr>
          <w:rFonts w:ascii="Book Antiqua" w:hAnsi="Book Antiqua" w:cs="Times New Roman"/>
          <w:i/>
          <w:sz w:val="24"/>
          <w:szCs w:val="24"/>
        </w:rPr>
        <w:t>P &lt;</w:t>
      </w:r>
      <w:r>
        <w:rPr>
          <w:rFonts w:ascii="Book Antiqua" w:hAnsi="Book Antiqua" w:cs="Times New Roman" w:hint="eastAsia"/>
          <w:i/>
          <w:sz w:val="24"/>
          <w:szCs w:val="24"/>
          <w:lang w:eastAsia="zh-CN"/>
        </w:rPr>
        <w:t xml:space="preserve"> </w:t>
      </w:r>
      <w:r w:rsidR="00C9325C" w:rsidRPr="00302F74">
        <w:rPr>
          <w:rFonts w:ascii="Book Antiqua" w:hAnsi="Book Antiqua" w:cs="Times New Roman"/>
          <w:sz w:val="24"/>
          <w:szCs w:val="24"/>
        </w:rPr>
        <w:t>0.007). The rate of PHG also significantly increased with increasing variceal size (</w:t>
      </w:r>
      <w:r w:rsidRPr="00737727">
        <w:rPr>
          <w:rFonts w:ascii="Book Antiqua" w:hAnsi="Book Antiqua"/>
          <w:i/>
        </w:rPr>
        <w:t>χ</w:t>
      </w:r>
      <w:r w:rsidRPr="00737727">
        <w:rPr>
          <w:rFonts w:ascii="Book Antiqua" w:hAnsi="Book Antiqua"/>
          <w:i/>
          <w:vertAlign w:val="superscript"/>
        </w:rPr>
        <w:t>2</w:t>
      </w:r>
      <w:r>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13.2; df</w:t>
      </w:r>
      <w:r>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1,</w:t>
      </w:r>
      <w:r w:rsidRPr="00302F74">
        <w:rPr>
          <w:rFonts w:ascii="Book Antiqua" w:hAnsi="Book Antiqua" w:cs="Times New Roman"/>
          <w:sz w:val="24"/>
          <w:szCs w:val="24"/>
        </w:rPr>
        <w:t xml:space="preserve"> </w:t>
      </w:r>
      <w:r w:rsidRPr="00302F74">
        <w:rPr>
          <w:rFonts w:ascii="Book Antiqua" w:hAnsi="Book Antiqua" w:cs="Times New Roman"/>
          <w:i/>
          <w:sz w:val="24"/>
          <w:szCs w:val="24"/>
        </w:rPr>
        <w:t>P</w:t>
      </w:r>
      <w:r>
        <w:rPr>
          <w:rFonts w:ascii="Book Antiqua" w:hAnsi="Book Antiqua" w:cs="Times New Roman" w:hint="eastAsia"/>
          <w:i/>
          <w:sz w:val="24"/>
          <w:szCs w:val="24"/>
          <w:lang w:eastAsia="zh-CN"/>
        </w:rPr>
        <w:t xml:space="preserve"> </w:t>
      </w:r>
      <w:r w:rsidR="00C9325C" w:rsidRPr="00302F74">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0.0003).</w:t>
      </w:r>
      <w:r w:rsidR="00963345">
        <w:rPr>
          <w:rFonts w:ascii="Book Antiqua" w:hAnsi="Book Antiqua" w:cs="Times New Roman"/>
          <w:b/>
          <w:sz w:val="24"/>
          <w:szCs w:val="24"/>
        </w:rPr>
        <w:t xml:space="preserve"> </w:t>
      </w:r>
      <w:r w:rsidR="00C9325C" w:rsidRPr="00302F74">
        <w:rPr>
          <w:rFonts w:ascii="Book Antiqua" w:hAnsi="Book Antiqua" w:cs="Times New Roman"/>
          <w:sz w:val="24"/>
          <w:szCs w:val="24"/>
          <w:lang w:val="en"/>
        </w:rPr>
        <w:t>A</w:t>
      </w:r>
      <w:r w:rsidR="004F5E97">
        <w:rPr>
          <w:rFonts w:ascii="Book Antiqua" w:hAnsi="Book Antiqua" w:cs="Times New Roman"/>
          <w:sz w:val="24"/>
          <w:szCs w:val="24"/>
          <w:lang w:val="en"/>
        </w:rPr>
        <w:t xml:space="preserve">bbasi </w:t>
      </w:r>
      <w:r w:rsidR="004F5E97" w:rsidRPr="004F5E97">
        <w:rPr>
          <w:rFonts w:ascii="Book Antiqua" w:hAnsi="Book Antiqua" w:cs="Times New Roman"/>
          <w:i/>
          <w:sz w:val="24"/>
          <w:szCs w:val="24"/>
          <w:lang w:val="en"/>
        </w:rPr>
        <w:t>et al</w:t>
      </w:r>
      <w:r w:rsidR="00C9325C" w:rsidRPr="00302F74">
        <w:rPr>
          <w:rFonts w:ascii="Book Antiqua" w:hAnsi="Book Antiqua" w:cs="Times New Roman"/>
          <w:sz w:val="24"/>
          <w:szCs w:val="24"/>
          <w:vertAlign w:val="superscript"/>
          <w:lang w:val="en"/>
        </w:rPr>
        <w:t>[62]</w:t>
      </w:r>
      <w:r w:rsidR="00C9325C" w:rsidRPr="00302F74">
        <w:rPr>
          <w:rFonts w:ascii="Book Antiqua" w:hAnsi="Book Antiqua" w:cs="Times New Roman"/>
          <w:sz w:val="24"/>
          <w:szCs w:val="24"/>
          <w:lang w:val="en"/>
        </w:rPr>
        <w:t xml:space="preserve"> reported a significantly positive correlation between esophageal variceal size and rate of PHG (r</w:t>
      </w:r>
      <w:r w:rsidR="004F5E97">
        <w:rPr>
          <w:rFonts w:ascii="Book Antiqua" w:hAnsi="Book Antiqua" w:cs="Times New Roman" w:hint="eastAsia"/>
          <w:sz w:val="24"/>
          <w:szCs w:val="24"/>
          <w:lang w:val="en" w:eastAsia="zh-CN"/>
        </w:rPr>
        <w:t xml:space="preserve"> </w:t>
      </w:r>
      <w:r w:rsidR="00C9325C" w:rsidRPr="00302F74">
        <w:rPr>
          <w:rFonts w:ascii="Book Antiqua" w:hAnsi="Book Antiqua" w:cs="Times New Roman"/>
          <w:sz w:val="24"/>
          <w:szCs w:val="24"/>
          <w:lang w:val="en"/>
        </w:rPr>
        <w:t>=</w:t>
      </w:r>
      <w:r w:rsidR="004F5E97">
        <w:rPr>
          <w:rFonts w:ascii="Book Antiqua" w:hAnsi="Book Antiqua" w:cs="Times New Roman" w:hint="eastAsia"/>
          <w:sz w:val="24"/>
          <w:szCs w:val="24"/>
          <w:lang w:val="en" w:eastAsia="zh-CN"/>
        </w:rPr>
        <w:t xml:space="preserve"> </w:t>
      </w:r>
      <w:r w:rsidR="00C9325C" w:rsidRPr="00302F74">
        <w:rPr>
          <w:rFonts w:ascii="Book Antiqua" w:hAnsi="Book Antiqua" w:cs="Times New Roman"/>
          <w:sz w:val="24"/>
          <w:szCs w:val="24"/>
          <w:lang w:val="en"/>
        </w:rPr>
        <w:t>0.46</w:t>
      </w:r>
      <w:r w:rsidR="004F5E97">
        <w:rPr>
          <w:rFonts w:ascii="Book Antiqua" w:hAnsi="Book Antiqua" w:cs="Times New Roman" w:hint="eastAsia"/>
          <w:sz w:val="24"/>
          <w:szCs w:val="24"/>
          <w:lang w:val="en" w:eastAsia="zh-CN"/>
        </w:rPr>
        <w:t>;</w:t>
      </w:r>
      <w:r w:rsidR="00C9325C" w:rsidRPr="00302F74">
        <w:rPr>
          <w:rFonts w:ascii="Book Antiqua" w:hAnsi="Book Antiqua" w:cs="Times New Roman"/>
          <w:sz w:val="24"/>
          <w:szCs w:val="24"/>
          <w:lang w:val="en"/>
        </w:rPr>
        <w:t xml:space="preserve"> </w:t>
      </w:r>
      <w:r w:rsidR="00E878B6">
        <w:rPr>
          <w:rFonts w:ascii="Book Antiqua" w:hAnsi="Book Antiqua" w:cs="Times New Roman"/>
          <w:i/>
          <w:sz w:val="24"/>
          <w:szCs w:val="24"/>
          <w:lang w:val="en"/>
        </w:rPr>
        <w:t>P &lt;</w:t>
      </w:r>
      <w:r w:rsidR="004F5E97">
        <w:rPr>
          <w:rFonts w:ascii="Book Antiqua" w:hAnsi="Book Antiqua" w:cs="Times New Roman" w:hint="eastAsia"/>
          <w:i/>
          <w:sz w:val="24"/>
          <w:szCs w:val="24"/>
          <w:lang w:val="en" w:eastAsia="zh-CN"/>
        </w:rPr>
        <w:t xml:space="preserve"> </w:t>
      </w:r>
      <w:r w:rsidR="00C9325C" w:rsidRPr="00302F74">
        <w:rPr>
          <w:rFonts w:ascii="Book Antiqua" w:hAnsi="Book Antiqua" w:cs="Times New Roman"/>
          <w:sz w:val="24"/>
          <w:szCs w:val="24"/>
          <w:lang w:val="en"/>
        </w:rPr>
        <w:t>0.001).</w:t>
      </w:r>
      <w:r w:rsidR="004F5E97">
        <w:rPr>
          <w:rFonts w:ascii="Book Antiqua" w:hAnsi="Book Antiqua" w:cs="Times New Roman"/>
          <w:sz w:val="24"/>
          <w:szCs w:val="24"/>
        </w:rPr>
        <w:t xml:space="preserve"> Taranto </w:t>
      </w:r>
      <w:r w:rsidR="004F5E97" w:rsidRPr="004F5E97">
        <w:rPr>
          <w:rFonts w:ascii="Book Antiqua" w:hAnsi="Book Antiqua" w:cs="Times New Roman"/>
          <w:i/>
          <w:sz w:val="24"/>
          <w:szCs w:val="24"/>
        </w:rPr>
        <w:t>et al</w:t>
      </w:r>
      <w:r w:rsidR="00C9325C" w:rsidRPr="00302F74">
        <w:rPr>
          <w:rFonts w:ascii="Book Antiqua" w:hAnsi="Book Antiqua" w:cs="Times New Roman"/>
          <w:sz w:val="24"/>
          <w:szCs w:val="24"/>
          <w:vertAlign w:val="superscript"/>
        </w:rPr>
        <w:t>[29]</w:t>
      </w:r>
      <w:r w:rsidR="00C9325C" w:rsidRPr="00302F74">
        <w:rPr>
          <w:rFonts w:ascii="Book Antiqua" w:hAnsi="Book Antiqua" w:cs="Times New Roman"/>
          <w:sz w:val="24"/>
          <w:szCs w:val="24"/>
        </w:rPr>
        <w:t xml:space="preserve"> reported more severe PHG in cirrhotic patients with more severe portal hypertension, as measured by esophageal intravariceal pressure.</w:t>
      </w:r>
      <w:r w:rsidR="00963345">
        <w:rPr>
          <w:rFonts w:ascii="Book Antiqua" w:hAnsi="Book Antiqua" w:cs="Times New Roman"/>
          <w:sz w:val="24"/>
          <w:szCs w:val="24"/>
        </w:rPr>
        <w:t xml:space="preserve"> </w:t>
      </w:r>
      <w:r w:rsidR="00C9325C" w:rsidRPr="00302F74">
        <w:rPr>
          <w:rFonts w:ascii="Book Antiqua" w:hAnsi="Book Antiqua" w:cs="Times New Roman"/>
          <w:sz w:val="24"/>
          <w:szCs w:val="24"/>
        </w:rPr>
        <w:t xml:space="preserve">Iwao </w:t>
      </w:r>
      <w:r w:rsidR="004F5E97" w:rsidRPr="004F5E97">
        <w:rPr>
          <w:rFonts w:ascii="Book Antiqua" w:hAnsi="Book Antiqua" w:cs="Times New Roman"/>
          <w:i/>
          <w:sz w:val="24"/>
          <w:szCs w:val="24"/>
        </w:rPr>
        <w:t>et al</w:t>
      </w:r>
      <w:r w:rsidR="00C9325C" w:rsidRPr="00302F74">
        <w:rPr>
          <w:rFonts w:ascii="Book Antiqua" w:hAnsi="Book Antiqua" w:cs="Times New Roman"/>
          <w:sz w:val="24"/>
          <w:szCs w:val="24"/>
          <w:vertAlign w:val="superscript"/>
        </w:rPr>
        <w:t>[28]</w:t>
      </w:r>
      <w:r w:rsidR="00C9325C" w:rsidRPr="00302F74">
        <w:rPr>
          <w:rFonts w:ascii="Book Antiqua" w:hAnsi="Book Antiqua" w:cs="Times New Roman"/>
          <w:sz w:val="24"/>
          <w:szCs w:val="24"/>
        </w:rPr>
        <w:t xml:space="preserve"> reported that patients with severe PHG had elevated HVPG, high hepatic sinusoidal resistance, and low hepatic blood flow, all markers of severe portal hypertension.</w:t>
      </w:r>
      <w:r w:rsidR="00963345">
        <w:rPr>
          <w:rFonts w:ascii="Book Antiqua" w:hAnsi="Book Antiqua" w:cs="Times New Roman"/>
          <w:sz w:val="24"/>
          <w:szCs w:val="24"/>
        </w:rPr>
        <w:t xml:space="preserve"> </w:t>
      </w:r>
      <w:r w:rsidR="00C9325C" w:rsidRPr="00302F74">
        <w:rPr>
          <w:rFonts w:ascii="Book Antiqua" w:hAnsi="Book Antiqua" w:cs="Times New Roman"/>
          <w:sz w:val="24"/>
          <w:szCs w:val="24"/>
        </w:rPr>
        <w:t>For example, patients without PHG had hepati</w:t>
      </w:r>
      <w:r w:rsidR="002058A9">
        <w:rPr>
          <w:rFonts w:ascii="Book Antiqua" w:hAnsi="Book Antiqua" w:cs="Times New Roman"/>
          <w:sz w:val="24"/>
          <w:szCs w:val="24"/>
        </w:rPr>
        <w:t>c sinusoidal resistance of 1</w:t>
      </w:r>
      <w:r w:rsidR="00C9325C" w:rsidRPr="00302F74">
        <w:rPr>
          <w:rFonts w:ascii="Book Antiqua" w:hAnsi="Book Antiqua" w:cs="Times New Roman"/>
          <w:sz w:val="24"/>
          <w:szCs w:val="24"/>
        </w:rPr>
        <w:t xml:space="preserve">218 + 528 dyne </w:t>
      </w:r>
      <w:bookmarkStart w:id="19" w:name="OLE_LINK137"/>
      <w:bookmarkStart w:id="20" w:name="OLE_LINK138"/>
      <w:bookmarkStart w:id="21" w:name="OLE_LINK166"/>
      <w:r w:rsidR="004F5E97" w:rsidRPr="00B01D72">
        <w:rPr>
          <w:rFonts w:ascii="Book Antiqua" w:hAnsi="Book Antiqua" w:cs="Times New Roman"/>
          <w:color w:val="000000"/>
          <w:sz w:val="24"/>
          <w:szCs w:val="24"/>
        </w:rPr>
        <w:t>×</w:t>
      </w:r>
      <w:bookmarkEnd w:id="19"/>
      <w:bookmarkEnd w:id="20"/>
      <w:bookmarkEnd w:id="21"/>
      <w:r w:rsidR="00C9325C" w:rsidRPr="00302F74">
        <w:rPr>
          <w:rFonts w:ascii="Book Antiqua" w:hAnsi="Book Antiqua" w:cs="Times New Roman"/>
          <w:sz w:val="24"/>
          <w:szCs w:val="24"/>
        </w:rPr>
        <w:t xml:space="preserve"> s</w:t>
      </w:r>
      <w:r w:rsidR="00C9325C" w:rsidRPr="00302F74">
        <w:rPr>
          <w:rFonts w:ascii="Book Antiqua" w:hAnsi="Book Antiqua" w:cs="Times New Roman"/>
          <w:sz w:val="24"/>
          <w:szCs w:val="24"/>
          <w:vertAlign w:val="superscript"/>
        </w:rPr>
        <w:t>-1</w:t>
      </w:r>
      <w:r w:rsidR="00C9325C" w:rsidRPr="00302F74">
        <w:rPr>
          <w:rFonts w:ascii="Book Antiqua" w:hAnsi="Book Antiqua" w:cs="Times New Roman"/>
          <w:sz w:val="24"/>
          <w:szCs w:val="24"/>
        </w:rPr>
        <w:t xml:space="preserve"> x cm</w:t>
      </w:r>
      <w:r w:rsidR="00C9325C" w:rsidRPr="00302F74">
        <w:rPr>
          <w:rFonts w:ascii="Book Antiqua" w:hAnsi="Book Antiqua" w:cs="Times New Roman"/>
          <w:sz w:val="24"/>
          <w:szCs w:val="24"/>
          <w:vertAlign w:val="superscript"/>
        </w:rPr>
        <w:t>-5</w:t>
      </w:r>
      <w:r w:rsidR="00C9325C" w:rsidRPr="00302F74">
        <w:rPr>
          <w:rFonts w:ascii="Book Antiqua" w:hAnsi="Book Antiqua" w:cs="Times New Roman"/>
          <w:sz w:val="24"/>
          <w:szCs w:val="24"/>
        </w:rPr>
        <w:t xml:space="preserve">, patients with </w:t>
      </w:r>
      <w:r w:rsidR="002058A9">
        <w:rPr>
          <w:rFonts w:ascii="Book Antiqua" w:hAnsi="Book Antiqua" w:cs="Times New Roman"/>
          <w:sz w:val="24"/>
          <w:szCs w:val="24"/>
        </w:rPr>
        <w:t>mild PHG had resistance of 1</w:t>
      </w:r>
      <w:r w:rsidR="00C9325C" w:rsidRPr="00302F74">
        <w:rPr>
          <w:rFonts w:ascii="Book Antiqua" w:hAnsi="Book Antiqua" w:cs="Times New Roman"/>
          <w:sz w:val="24"/>
          <w:szCs w:val="24"/>
        </w:rPr>
        <w:t xml:space="preserve">968 + 944 dyne </w:t>
      </w:r>
      <w:r w:rsidR="002058A9" w:rsidRPr="00B01D72">
        <w:rPr>
          <w:rFonts w:ascii="Book Antiqua" w:hAnsi="Book Antiqua" w:cs="Times New Roman"/>
          <w:color w:val="000000"/>
          <w:sz w:val="24"/>
          <w:szCs w:val="24"/>
        </w:rPr>
        <w:t>×</w:t>
      </w:r>
      <w:r w:rsidR="002058A9">
        <w:rPr>
          <w:rFonts w:ascii="Book Antiqua" w:hAnsi="Book Antiqua" w:cs="Times New Roman"/>
          <w:sz w:val="24"/>
          <w:szCs w:val="24"/>
        </w:rPr>
        <w:t xml:space="preserve"> s</w:t>
      </w:r>
      <w:r w:rsidR="00C9325C" w:rsidRPr="00302F74">
        <w:rPr>
          <w:rFonts w:ascii="Book Antiqua" w:hAnsi="Book Antiqua" w:cs="Times New Roman"/>
          <w:sz w:val="24"/>
          <w:szCs w:val="24"/>
          <w:vertAlign w:val="superscript"/>
        </w:rPr>
        <w:t>-1</w:t>
      </w:r>
      <w:r w:rsidR="00C9325C" w:rsidRPr="00302F74">
        <w:rPr>
          <w:rFonts w:ascii="Book Antiqua" w:hAnsi="Book Antiqua" w:cs="Times New Roman"/>
          <w:sz w:val="24"/>
          <w:szCs w:val="24"/>
        </w:rPr>
        <w:t xml:space="preserve"> </w:t>
      </w:r>
      <w:r w:rsidR="002058A9" w:rsidRPr="00B01D72">
        <w:rPr>
          <w:rFonts w:ascii="Book Antiqua" w:hAnsi="Book Antiqua" w:cs="Times New Roman"/>
          <w:color w:val="000000"/>
          <w:sz w:val="24"/>
          <w:szCs w:val="24"/>
        </w:rPr>
        <w:t>×</w:t>
      </w:r>
      <w:r w:rsidR="00C9325C" w:rsidRPr="00302F74">
        <w:rPr>
          <w:rFonts w:ascii="Book Antiqua" w:hAnsi="Book Antiqua" w:cs="Times New Roman"/>
          <w:sz w:val="24"/>
          <w:szCs w:val="24"/>
        </w:rPr>
        <w:t xml:space="preserve"> cm</w:t>
      </w:r>
      <w:r w:rsidR="00C9325C" w:rsidRPr="00302F74">
        <w:rPr>
          <w:rFonts w:ascii="Book Antiqua" w:hAnsi="Book Antiqua" w:cs="Times New Roman"/>
          <w:sz w:val="24"/>
          <w:szCs w:val="24"/>
          <w:vertAlign w:val="superscript"/>
        </w:rPr>
        <w:t>-5</w:t>
      </w:r>
      <w:r w:rsidR="00C9325C" w:rsidRPr="00302F74">
        <w:rPr>
          <w:rFonts w:ascii="Book Antiqua" w:hAnsi="Book Antiqua" w:cs="Times New Roman"/>
          <w:sz w:val="24"/>
          <w:szCs w:val="24"/>
        </w:rPr>
        <w:t xml:space="preserve"> (</w:t>
      </w:r>
      <w:r w:rsidR="00E878B6">
        <w:rPr>
          <w:rFonts w:ascii="Book Antiqua" w:hAnsi="Book Antiqua" w:cs="Times New Roman"/>
          <w:i/>
          <w:sz w:val="24"/>
          <w:szCs w:val="24"/>
        </w:rPr>
        <w:t>P &lt;</w:t>
      </w:r>
      <w:r w:rsidR="00E878B6">
        <w:rPr>
          <w:rFonts w:ascii="Book Antiqua" w:hAnsi="Book Antiqua" w:cs="Times New Roman" w:hint="eastAsia"/>
          <w:i/>
          <w:sz w:val="24"/>
          <w:szCs w:val="24"/>
          <w:lang w:eastAsia="zh-CN"/>
        </w:rPr>
        <w:t xml:space="preserve"> </w:t>
      </w:r>
      <w:r w:rsidR="00C9325C" w:rsidRPr="00302F74">
        <w:rPr>
          <w:rFonts w:ascii="Book Antiqua" w:hAnsi="Book Antiqua" w:cs="Times New Roman"/>
          <w:sz w:val="24"/>
          <w:szCs w:val="24"/>
        </w:rPr>
        <w:t>0.05), and patients with</w:t>
      </w:r>
      <w:r w:rsidR="002058A9">
        <w:rPr>
          <w:rFonts w:ascii="Book Antiqua" w:hAnsi="Book Antiqua" w:cs="Times New Roman"/>
          <w:sz w:val="24"/>
          <w:szCs w:val="24"/>
        </w:rPr>
        <w:t xml:space="preserve"> </w:t>
      </w:r>
      <w:r w:rsidR="002058A9">
        <w:rPr>
          <w:rFonts w:ascii="Book Antiqua" w:hAnsi="Book Antiqua" w:cs="Times New Roman"/>
          <w:sz w:val="24"/>
          <w:szCs w:val="24"/>
        </w:rPr>
        <w:lastRenderedPageBreak/>
        <w:t>severe PHG had resistance of 2</w:t>
      </w:r>
      <w:r w:rsidR="00C9325C" w:rsidRPr="00302F74">
        <w:rPr>
          <w:rFonts w:ascii="Book Antiqua" w:hAnsi="Book Antiqua" w:cs="Times New Roman"/>
          <w:sz w:val="24"/>
          <w:szCs w:val="24"/>
        </w:rPr>
        <w:t xml:space="preserve">082 + 672 dyne </w:t>
      </w:r>
      <w:r w:rsidR="002058A9" w:rsidRPr="00B01D72">
        <w:rPr>
          <w:rFonts w:ascii="Book Antiqua" w:hAnsi="Book Antiqua" w:cs="Times New Roman"/>
          <w:color w:val="000000"/>
          <w:sz w:val="24"/>
          <w:szCs w:val="24"/>
        </w:rPr>
        <w:t>×</w:t>
      </w:r>
      <w:r w:rsidR="002058A9">
        <w:rPr>
          <w:rFonts w:ascii="Book Antiqua" w:hAnsi="Book Antiqua" w:cs="Times New Roman"/>
          <w:sz w:val="24"/>
          <w:szCs w:val="24"/>
        </w:rPr>
        <w:t xml:space="preserve"> s</w:t>
      </w:r>
      <w:r w:rsidR="00C9325C" w:rsidRPr="00302F74">
        <w:rPr>
          <w:rFonts w:ascii="Book Antiqua" w:hAnsi="Book Antiqua" w:cs="Times New Roman"/>
          <w:sz w:val="24"/>
          <w:szCs w:val="24"/>
          <w:vertAlign w:val="superscript"/>
        </w:rPr>
        <w:t>-1</w:t>
      </w:r>
      <w:r w:rsidR="00C9325C" w:rsidRPr="00302F74">
        <w:rPr>
          <w:rFonts w:ascii="Book Antiqua" w:hAnsi="Book Antiqua" w:cs="Times New Roman"/>
          <w:sz w:val="24"/>
          <w:szCs w:val="24"/>
        </w:rPr>
        <w:t xml:space="preserve"> </w:t>
      </w:r>
      <w:r w:rsidR="002058A9" w:rsidRPr="00B01D72">
        <w:rPr>
          <w:rFonts w:ascii="Book Antiqua" w:hAnsi="Book Antiqua" w:cs="Times New Roman"/>
          <w:color w:val="000000"/>
          <w:sz w:val="24"/>
          <w:szCs w:val="24"/>
        </w:rPr>
        <w:t>×</w:t>
      </w:r>
      <w:r w:rsidR="00C9325C" w:rsidRPr="00302F74">
        <w:rPr>
          <w:rFonts w:ascii="Book Antiqua" w:hAnsi="Book Antiqua" w:cs="Times New Roman"/>
          <w:sz w:val="24"/>
          <w:szCs w:val="24"/>
        </w:rPr>
        <w:t xml:space="preserve"> cm</w:t>
      </w:r>
      <w:r w:rsidR="00C9325C" w:rsidRPr="00302F74">
        <w:rPr>
          <w:rFonts w:ascii="Book Antiqua" w:hAnsi="Book Antiqua" w:cs="Times New Roman"/>
          <w:sz w:val="24"/>
          <w:szCs w:val="24"/>
          <w:vertAlign w:val="superscript"/>
        </w:rPr>
        <w:t>-5</w:t>
      </w:r>
      <w:r w:rsidR="00C9325C" w:rsidRPr="00302F74">
        <w:rPr>
          <w:rFonts w:ascii="Book Antiqua" w:hAnsi="Book Antiqua" w:cs="Times New Roman"/>
          <w:sz w:val="24"/>
          <w:szCs w:val="24"/>
        </w:rPr>
        <w:t xml:space="preserve"> (</w:t>
      </w:r>
      <w:r w:rsidR="00E878B6">
        <w:rPr>
          <w:rFonts w:ascii="Book Antiqua" w:hAnsi="Book Antiqua" w:cs="Times New Roman"/>
          <w:i/>
          <w:sz w:val="24"/>
          <w:szCs w:val="24"/>
        </w:rPr>
        <w:t>P &lt;</w:t>
      </w:r>
      <w:r w:rsidR="00E878B6">
        <w:rPr>
          <w:rFonts w:ascii="Book Antiqua" w:hAnsi="Book Antiqua" w:cs="Times New Roman" w:hint="eastAsia"/>
          <w:i/>
          <w:sz w:val="24"/>
          <w:szCs w:val="24"/>
          <w:lang w:eastAsia="zh-CN"/>
        </w:rPr>
        <w:t xml:space="preserve"> </w:t>
      </w:r>
      <w:r w:rsidR="00C9325C" w:rsidRPr="00302F74">
        <w:rPr>
          <w:rFonts w:ascii="Book Antiqua" w:hAnsi="Book Antiqua" w:cs="Times New Roman"/>
          <w:sz w:val="24"/>
          <w:szCs w:val="24"/>
        </w:rPr>
        <w:t>0.01).</w:t>
      </w:r>
      <w:r w:rsidR="00963345">
        <w:rPr>
          <w:rFonts w:ascii="Book Antiqua" w:hAnsi="Book Antiqua" w:cs="Times New Roman"/>
          <w:sz w:val="24"/>
          <w:szCs w:val="24"/>
          <w:lang w:val="en"/>
        </w:rPr>
        <w:t xml:space="preserve"> </w:t>
      </w:r>
      <w:r w:rsidR="00C9325C" w:rsidRPr="00302F74">
        <w:rPr>
          <w:rFonts w:ascii="Book Antiqua" w:hAnsi="Book Antiqua" w:cs="Times New Roman"/>
          <w:sz w:val="24"/>
          <w:szCs w:val="24"/>
          <w:lang w:val="en"/>
        </w:rPr>
        <w:t>Presence of PHG was independent of patient age, sex, or cirrhosis etiology</w:t>
      </w:r>
      <w:r w:rsidR="00C9325C" w:rsidRPr="00302F74">
        <w:rPr>
          <w:rFonts w:ascii="Book Antiqua" w:hAnsi="Book Antiqua" w:cs="Times New Roman"/>
          <w:sz w:val="24"/>
          <w:szCs w:val="24"/>
          <w:vertAlign w:val="superscript"/>
          <w:lang w:val="en"/>
        </w:rPr>
        <w:t>[28]</w:t>
      </w:r>
      <w:r w:rsidR="00C9325C" w:rsidRPr="00302F74">
        <w:rPr>
          <w:rFonts w:ascii="Book Antiqua" w:hAnsi="Book Antiqua" w:cs="Times New Roman"/>
          <w:sz w:val="24"/>
          <w:szCs w:val="24"/>
          <w:lang w:val="en"/>
        </w:rPr>
        <w:t>.</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rPr>
        <w:t>As discussed below, other data supporting an association between PHG and portal hypertension include resolution of PHG after intervention to decrease portal hypertension, including pharmacotherapy</w:t>
      </w:r>
      <w:r w:rsidRPr="00302F74">
        <w:rPr>
          <w:rFonts w:ascii="Book Antiqua" w:hAnsi="Book Antiqua" w:cs="Times New Roman"/>
          <w:sz w:val="24"/>
          <w:szCs w:val="24"/>
          <w:vertAlign w:val="superscript"/>
          <w:lang w:val="en"/>
        </w:rPr>
        <w:t>[74-78]</w:t>
      </w:r>
      <w:r w:rsidRPr="00302F74">
        <w:rPr>
          <w:rFonts w:ascii="Book Antiqua" w:hAnsi="Book Antiqua" w:cs="Times New Roman"/>
          <w:sz w:val="24"/>
          <w:szCs w:val="24"/>
          <w:lang w:val="en"/>
        </w:rPr>
        <w:t xml:space="preserve">, </w:t>
      </w:r>
      <w:r w:rsidRPr="00302F74">
        <w:rPr>
          <w:rFonts w:ascii="Book Antiqua" w:hAnsi="Book Antiqua" w:cs="Times New Roman"/>
          <w:sz w:val="24"/>
          <w:szCs w:val="24"/>
        </w:rPr>
        <w:t xml:space="preserve">transjugular intrahepatic portosystemic shunt (TIPS), </w:t>
      </w:r>
      <w:r w:rsidRPr="00302F74">
        <w:rPr>
          <w:rFonts w:ascii="Book Antiqua" w:hAnsi="Book Antiqua" w:cs="Times New Roman"/>
          <w:sz w:val="24"/>
          <w:szCs w:val="24"/>
          <w:lang w:val="en"/>
        </w:rPr>
        <w:t>or liver transplantation</w:t>
      </w:r>
      <w:r w:rsidRPr="00302F74">
        <w:rPr>
          <w:rFonts w:ascii="Book Antiqua" w:hAnsi="Book Antiqua" w:cs="Times New Roman"/>
          <w:sz w:val="24"/>
          <w:szCs w:val="24"/>
          <w:vertAlign w:val="superscript"/>
        </w:rPr>
        <w:t>[74]</w:t>
      </w:r>
      <w:r w:rsidRPr="00302F74">
        <w:rPr>
          <w:rFonts w:ascii="Book Antiqua" w:hAnsi="Book Antiqua" w:cs="Times New Roman"/>
          <w:sz w:val="24"/>
          <w:szCs w:val="24"/>
        </w:rPr>
        <w:t>.</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rPr>
        <w:t>Contrariwise, a decided minority of studies showed no significant association between severity of portal hypertension and rate of PHG</w:t>
      </w:r>
      <w:r w:rsidRPr="00302F74">
        <w:rPr>
          <w:rFonts w:ascii="Book Antiqua" w:hAnsi="Book Antiqua" w:cs="Times New Roman"/>
          <w:sz w:val="24"/>
          <w:szCs w:val="24"/>
          <w:vertAlign w:val="superscript"/>
          <w:lang w:val="en"/>
        </w:rPr>
        <w:t>[8,9,16,26,28,30,31,47,54,67]</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rPr>
        <w:t xml:space="preserve">Curvelo </w:t>
      </w:r>
      <w:r w:rsidR="002058A9"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[54]</w:t>
      </w:r>
      <w:r w:rsidRPr="00302F74">
        <w:rPr>
          <w:rFonts w:ascii="Book Antiqua" w:hAnsi="Book Antiqua" w:cs="Times New Roman"/>
          <w:sz w:val="24"/>
          <w:szCs w:val="24"/>
        </w:rPr>
        <w:t xml:space="preserve"> found no significant difference in HVPG in cirrhotic patients with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without PHG.</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Bellis </w:t>
      </w:r>
      <w:r w:rsidR="002058A9"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[47]</w:t>
      </w:r>
      <w:r w:rsidRPr="00302F74">
        <w:rPr>
          <w:rFonts w:ascii="Book Antiqua" w:hAnsi="Book Antiqua" w:cs="Times New Roman"/>
          <w:sz w:val="24"/>
          <w:szCs w:val="24"/>
        </w:rPr>
        <w:t xml:space="preserve"> demonstrated similar findings. Among patients with portal hypertension from cirrhosis without esophageal varices, Zardi </w:t>
      </w:r>
      <w:r w:rsidR="002058A9"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[67]</w:t>
      </w:r>
      <w:r w:rsidRPr="00302F74">
        <w:rPr>
          <w:rFonts w:ascii="Book Antiqua" w:hAnsi="Book Antiqua" w:cs="Times New Roman"/>
          <w:sz w:val="24"/>
          <w:szCs w:val="24"/>
        </w:rPr>
        <w:t xml:space="preserve"> reported that patients with PHG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patients without PHG had similar mean portal vein diameter, splenic vein diameter, and portal flow volume, all markers of severity of portal hypertension.</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Erden </w:t>
      </w:r>
      <w:r w:rsidR="002058A9"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[16]</w:t>
      </w:r>
      <w:r w:rsidRPr="00302F74">
        <w:rPr>
          <w:rFonts w:ascii="Book Antiqua" w:hAnsi="Book Antiqua" w:cs="Times New Roman"/>
          <w:sz w:val="24"/>
          <w:szCs w:val="24"/>
        </w:rPr>
        <w:t xml:space="preserve"> showed that the mean diameters of the left gastric, paraesophageal, and azygos veins, which are markers of portal hypertension, were not significantly different between patients with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without PHG.</w:t>
      </w:r>
      <w:r w:rsidR="00963345">
        <w:rPr>
          <w:rFonts w:ascii="Book Antiqua" w:hAnsi="Book Antiqua" w:cs="Times New Roman"/>
          <w:sz w:val="24"/>
          <w:szCs w:val="24"/>
        </w:rPr>
        <w:t xml:space="preserve"> </w:t>
      </w:r>
      <w:r w:rsidRPr="00302F74">
        <w:rPr>
          <w:rFonts w:ascii="Book Antiqua" w:hAnsi="Book Antiqua" w:cs="Times New Roman"/>
          <w:sz w:val="24"/>
          <w:szCs w:val="24"/>
        </w:rPr>
        <w:t>The preponderance of data strongly suggest that the severity of portal hypertension is associated with the severity or frequency of PHG.</w:t>
      </w:r>
    </w:p>
    <w:p w:rsidR="002058A9" w:rsidRPr="00302F74" w:rsidRDefault="002058A9" w:rsidP="00FA6CCE">
      <w:pPr>
        <w:widowControl w:val="0"/>
        <w:spacing w:line="360" w:lineRule="auto"/>
        <w:ind w:firstLine="720"/>
        <w:jc w:val="both"/>
        <w:rPr>
          <w:rFonts w:ascii="Book Antiqua" w:hAnsi="Book Antiqua" w:cs="Times New Roman"/>
          <w:sz w:val="24"/>
          <w:szCs w:val="24"/>
          <w:lang w:eastAsia="zh-CN"/>
        </w:rPr>
      </w:pPr>
    </w:p>
    <w:p w:rsidR="00C9325C" w:rsidRPr="00826553" w:rsidRDefault="00C9325C" w:rsidP="002058A9">
      <w:pPr>
        <w:widowControl w:val="0"/>
        <w:spacing w:line="360" w:lineRule="auto"/>
        <w:jc w:val="both"/>
        <w:rPr>
          <w:rFonts w:ascii="Book Antiqua" w:hAnsi="Book Antiqua" w:cs="Times New Roman"/>
          <w:b/>
          <w:i/>
          <w:sz w:val="24"/>
          <w:szCs w:val="24"/>
          <w:lang w:val="en"/>
        </w:rPr>
      </w:pPr>
      <w:r w:rsidRPr="00826553">
        <w:rPr>
          <w:rFonts w:ascii="Book Antiqua" w:hAnsi="Book Antiqua" w:cs="Times New Roman"/>
          <w:b/>
          <w:sz w:val="24"/>
          <w:szCs w:val="24"/>
          <w:lang w:val="en"/>
        </w:rPr>
        <w:t>Cirrhoti</w:t>
      </w:r>
      <w:r w:rsidRPr="002058A9">
        <w:rPr>
          <w:rFonts w:ascii="Book Antiqua" w:hAnsi="Book Antiqua" w:cs="Times New Roman"/>
          <w:b/>
          <w:i/>
          <w:sz w:val="24"/>
          <w:szCs w:val="24"/>
          <w:lang w:val="en"/>
        </w:rPr>
        <w:t xml:space="preserve">c </w:t>
      </w:r>
      <w:r w:rsidR="00F34508" w:rsidRPr="00F34508">
        <w:rPr>
          <w:rFonts w:ascii="Book Antiqua" w:hAnsi="Book Antiqua" w:cs="Times New Roman" w:hint="eastAsia"/>
          <w:i/>
          <w:sz w:val="24"/>
          <w:szCs w:val="24"/>
          <w:lang w:eastAsia="zh-CN"/>
        </w:rPr>
        <w:t>vs</w:t>
      </w:r>
      <w:r w:rsidRPr="002058A9">
        <w:rPr>
          <w:rFonts w:ascii="Book Antiqua" w:hAnsi="Book Antiqua" w:cs="Times New Roman"/>
          <w:b/>
          <w:i/>
          <w:sz w:val="24"/>
          <w:szCs w:val="24"/>
          <w:lang w:val="en"/>
        </w:rPr>
        <w:t xml:space="preserve"> </w:t>
      </w:r>
      <w:r w:rsidRPr="00826553">
        <w:rPr>
          <w:rFonts w:ascii="Book Antiqua" w:hAnsi="Book Antiqua" w:cs="Times New Roman"/>
          <w:b/>
          <w:sz w:val="24"/>
          <w:szCs w:val="24"/>
          <w:lang w:val="en"/>
        </w:rPr>
        <w:t>non-cirrhotic portal hypertension</w:t>
      </w:r>
      <w:r w:rsidR="00826553">
        <w:rPr>
          <w:rFonts w:ascii="Book Antiqua" w:hAnsi="Book Antiqua" w:cs="Times New Roman" w:hint="eastAsia"/>
          <w:b/>
          <w:i/>
          <w:sz w:val="24"/>
          <w:szCs w:val="24"/>
          <w:lang w:val="en" w:eastAsia="zh-CN"/>
        </w:rPr>
        <w:t xml:space="preserve">: </w:t>
      </w:r>
      <w:r w:rsidRPr="00302F74">
        <w:rPr>
          <w:rFonts w:ascii="Book Antiqua" w:hAnsi="Book Antiqua" w:cs="Times New Roman"/>
          <w:sz w:val="24"/>
          <w:szCs w:val="24"/>
          <w:lang w:val="en"/>
        </w:rPr>
        <w:t>Primary liver disease usually occurs in PHG, but is not a prerequisite for PHG provided another cause of portal hypertension exists. PHG can occur among patients with non-cirrhotic portal fibrosis (NCPF), extrahepatic portal vein obstruction (EHPVO), hepatic veno-occlusive disease, and schistosomiasis</w:t>
      </w:r>
      <w:r w:rsidR="002058A9">
        <w:rPr>
          <w:rFonts w:ascii="Book Antiqua" w:hAnsi="Book Antiqua" w:cs="Times New Roman"/>
          <w:sz w:val="24"/>
          <w:szCs w:val="24"/>
          <w:vertAlign w:val="superscript"/>
          <w:lang w:val="en"/>
        </w:rPr>
        <w:t>[8,14,35,75,</w:t>
      </w:r>
      <w:r w:rsidRPr="00302F74">
        <w:rPr>
          <w:rFonts w:ascii="Book Antiqua" w:hAnsi="Book Antiqua" w:cs="Times New Roman"/>
          <w:sz w:val="24"/>
          <w:szCs w:val="24"/>
          <w:vertAlign w:val="superscript"/>
          <w:lang w:val="en"/>
        </w:rPr>
        <w:t>79]</w:t>
      </w:r>
      <w:r w:rsidRPr="00302F74">
        <w:rPr>
          <w:rFonts w:ascii="Book Antiqua" w:hAnsi="Book Antiqua" w:cs="Times New Roman"/>
          <w:sz w:val="24"/>
          <w:szCs w:val="24"/>
          <w:lang w:val="en"/>
        </w:rPr>
        <w:t>.</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302F74">
        <w:rPr>
          <w:rFonts w:ascii="Book Antiqua" w:hAnsi="Book Antiqua" w:cs="Times New Roman"/>
          <w:sz w:val="24"/>
          <w:szCs w:val="24"/>
          <w:lang w:val="en"/>
        </w:rPr>
        <w:t>The frequency of PHG appears to be higher in portal hypertension with cirrhosis than in portal hypertension without cirrhosis.</w:t>
      </w:r>
      <w:r w:rsidR="00963345">
        <w:rPr>
          <w:rFonts w:ascii="Book Antiqua" w:hAnsi="Book Antiqua" w:cs="Times New Roman"/>
          <w:sz w:val="24"/>
          <w:szCs w:val="24"/>
          <w:lang w:val="en"/>
        </w:rPr>
        <w:t xml:space="preserve"> </w:t>
      </w:r>
      <w:r w:rsidRPr="00302F74">
        <w:rPr>
          <w:rFonts w:ascii="Book Antiqua" w:hAnsi="Book Antiqua" w:cs="Times New Roman"/>
          <w:sz w:val="24"/>
          <w:szCs w:val="24"/>
        </w:rPr>
        <w:t xml:space="preserve">Sarin </w:t>
      </w:r>
      <w:r w:rsidR="002058A9"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8]</w:t>
      </w:r>
      <w:r w:rsidRPr="00302F74">
        <w:rPr>
          <w:rFonts w:ascii="Book Antiqua" w:hAnsi="Book Antiqua" w:cs="Times New Roman"/>
          <w:sz w:val="24"/>
          <w:szCs w:val="24"/>
        </w:rPr>
        <w:t xml:space="preserve"> reported that patients with cirrhosis had a significantly higher frequency of PHG (37.1%) than that in patients with NCPF (16.7%; </w:t>
      </w:r>
      <w:r w:rsidR="00E878B6">
        <w:rPr>
          <w:rFonts w:ascii="Book Antiqua" w:hAnsi="Book Antiqua" w:cs="Times New Roman"/>
          <w:i/>
          <w:sz w:val="24"/>
          <w:szCs w:val="24"/>
        </w:rPr>
        <w:t>P &lt;</w:t>
      </w:r>
      <w:r w:rsidR="002058A9">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 xml:space="preserve">0.05), or non-cirrhotic EHPVO (8.7%; </w:t>
      </w:r>
      <w:r w:rsidR="00E878B6">
        <w:rPr>
          <w:rFonts w:ascii="Book Antiqua" w:hAnsi="Book Antiqua" w:cs="Times New Roman"/>
          <w:i/>
          <w:sz w:val="24"/>
          <w:szCs w:val="24"/>
        </w:rPr>
        <w:t>P &lt;</w:t>
      </w:r>
      <w:r w:rsidR="002058A9">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0.01) and had a more aggressive course of PHG with progression to more severe PHG with time.</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These phenomena are attributed to the worse liver function in patients with cirrhosis as </w:t>
      </w:r>
      <w:r w:rsidRPr="00302F74">
        <w:rPr>
          <w:rFonts w:ascii="Book Antiqua" w:hAnsi="Book Antiqua" w:cs="Times New Roman"/>
          <w:sz w:val="24"/>
          <w:szCs w:val="24"/>
        </w:rPr>
        <w:lastRenderedPageBreak/>
        <w:t>compared to patients with NCPF or EHPVO</w:t>
      </w:r>
      <w:r w:rsidRPr="00302F74">
        <w:rPr>
          <w:rFonts w:ascii="Book Antiqua" w:hAnsi="Book Antiqua" w:cs="Times New Roman"/>
          <w:sz w:val="24"/>
          <w:szCs w:val="24"/>
          <w:vertAlign w:val="superscript"/>
        </w:rPr>
        <w:t>[8]</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Misra </w:t>
      </w:r>
      <w:r w:rsidR="002058A9"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[35,80]</w:t>
      </w:r>
      <w:r w:rsidRPr="00302F74">
        <w:rPr>
          <w:rFonts w:ascii="Book Antiqua" w:hAnsi="Book Antiqua" w:cs="Times New Roman"/>
          <w:sz w:val="24"/>
          <w:szCs w:val="24"/>
        </w:rPr>
        <w:t xml:space="preserve"> similarly reported a higher incidence of PHG in patients with cirrhosis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patients with portal hypertension from etiologies including schistosomiasis or postsinusoidal hypertension. Chaves </w:t>
      </w:r>
      <w:r w:rsidR="002058A9"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[35]</w:t>
      </w:r>
      <w:r w:rsidRPr="00302F74">
        <w:rPr>
          <w:rFonts w:ascii="Book Antiqua" w:hAnsi="Book Antiqua" w:cs="Times New Roman"/>
          <w:sz w:val="24"/>
          <w:szCs w:val="24"/>
        </w:rPr>
        <w:t xml:space="preserve"> reported that PHG occurred in 18 (81.8%) of 22 patients with cirrhosis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only 7 (33.3%) of 21 patients with portal hypertension from schistosomiasis (</w:t>
      </w:r>
      <w:r w:rsidR="00E878B6">
        <w:rPr>
          <w:rFonts w:ascii="Book Antiqua" w:hAnsi="Book Antiqua" w:cs="Times New Roman"/>
          <w:i/>
          <w:sz w:val="24"/>
          <w:szCs w:val="24"/>
        </w:rPr>
        <w:t>P &lt;</w:t>
      </w:r>
      <w:r w:rsidR="002058A9">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Parikh </w:t>
      </w:r>
      <w:r w:rsidR="002058A9"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[9]</w:t>
      </w:r>
      <w:r w:rsidRPr="00302F74">
        <w:rPr>
          <w:rFonts w:ascii="Book Antiqua" w:hAnsi="Book Antiqua" w:cs="Times New Roman"/>
          <w:sz w:val="24"/>
          <w:szCs w:val="24"/>
        </w:rPr>
        <w:t xml:space="preserve"> reported a non-significant trend of more frequent PHG in p</w:t>
      </w:r>
      <w:r w:rsidR="002058A9">
        <w:rPr>
          <w:rFonts w:ascii="Book Antiqua" w:hAnsi="Book Antiqua" w:cs="Times New Roman"/>
          <w:sz w:val="24"/>
          <w:szCs w:val="24"/>
        </w:rPr>
        <w:t>atients with cirrhosis (64 63%</w:t>
      </w:r>
      <w:r w:rsidRPr="00302F74">
        <w:rPr>
          <w:rFonts w:ascii="Book Antiqua" w:hAnsi="Book Antiqua" w:cs="Times New Roman"/>
          <w:sz w:val="24"/>
          <w:szCs w:val="24"/>
        </w:rPr>
        <w:t xml:space="preserve"> o</w:t>
      </w:r>
      <w:r w:rsidR="002058A9">
        <w:rPr>
          <w:rFonts w:ascii="Book Antiqua" w:hAnsi="Book Antiqua" w:cs="Times New Roman"/>
          <w:sz w:val="24"/>
          <w:szCs w:val="24"/>
        </w:rPr>
        <w:t xml:space="preserve">f 102 patients) </w:t>
      </w:r>
      <w:r w:rsidR="00F34508" w:rsidRPr="00F34508">
        <w:rPr>
          <w:rFonts w:ascii="Book Antiqua" w:hAnsi="Book Antiqua" w:cs="Times New Roman" w:hint="eastAsia"/>
          <w:i/>
          <w:sz w:val="24"/>
          <w:szCs w:val="24"/>
          <w:lang w:eastAsia="zh-CN"/>
        </w:rPr>
        <w:t>vs</w:t>
      </w:r>
      <w:r w:rsidR="002058A9">
        <w:rPr>
          <w:rFonts w:ascii="Book Antiqua" w:hAnsi="Book Antiqua" w:cs="Times New Roman"/>
          <w:sz w:val="24"/>
          <w:szCs w:val="24"/>
        </w:rPr>
        <w:t xml:space="preserve"> NCPF (7 44%</w:t>
      </w:r>
      <w:r w:rsidRPr="00302F74">
        <w:rPr>
          <w:rFonts w:ascii="Book Antiqua" w:hAnsi="Book Antiqua" w:cs="Times New Roman"/>
          <w:sz w:val="24"/>
          <w:szCs w:val="24"/>
        </w:rPr>
        <w:t xml:space="preserve"> of 16 patients), but the lack of statistical significance may have resulted from the small number of patients with NCPF.</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rPr>
        <w:t xml:space="preserve">Chaves </w:t>
      </w:r>
      <w:r w:rsidR="004F4D30"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[35]</w:t>
      </w:r>
      <w:r w:rsidRPr="00302F74">
        <w:rPr>
          <w:rFonts w:ascii="Book Antiqua" w:hAnsi="Book Antiqua" w:cs="Times New Roman"/>
          <w:sz w:val="24"/>
          <w:szCs w:val="24"/>
        </w:rPr>
        <w:t xml:space="preserve"> reported that the mosaic pattern was significantly more prevalent </w:t>
      </w:r>
      <w:r w:rsidR="004F4D30">
        <w:rPr>
          <w:rFonts w:ascii="Book Antiqua" w:hAnsi="Book Antiqua" w:cs="Times New Roman"/>
          <w:sz w:val="24"/>
          <w:szCs w:val="24"/>
        </w:rPr>
        <w:t>in patients with cirrhosis (12 54.5%</w:t>
      </w:r>
      <w:r w:rsidRPr="00302F74">
        <w:rPr>
          <w:rFonts w:ascii="Book Antiqua" w:hAnsi="Book Antiqua" w:cs="Times New Roman"/>
          <w:sz w:val="24"/>
          <w:szCs w:val="24"/>
        </w:rPr>
        <w:t xml:space="preserve"> of 22) than in patients with</w:t>
      </w:r>
      <w:r w:rsidR="004F4D30">
        <w:rPr>
          <w:rFonts w:ascii="Book Antiqua" w:hAnsi="Book Antiqua" w:cs="Times New Roman"/>
          <w:sz w:val="24"/>
          <w:szCs w:val="24"/>
        </w:rPr>
        <w:t xml:space="preserve"> schistosomiasis (2 9.5%</w:t>
      </w:r>
      <w:r w:rsidRPr="00302F74">
        <w:rPr>
          <w:rFonts w:ascii="Book Antiqua" w:hAnsi="Book Antiqua" w:cs="Times New Roman"/>
          <w:sz w:val="24"/>
          <w:szCs w:val="24"/>
        </w:rPr>
        <w:t xml:space="preserve"> of 21; </w:t>
      </w:r>
      <w:r w:rsidR="00E878B6">
        <w:rPr>
          <w:rFonts w:ascii="Book Antiqua" w:hAnsi="Book Antiqua" w:cs="Times New Roman"/>
          <w:i/>
          <w:sz w:val="24"/>
          <w:szCs w:val="24"/>
        </w:rPr>
        <w:t>P &lt;</w:t>
      </w:r>
      <w:r w:rsidR="004F4D30">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 xml:space="preserve">0.05). Misra </w:t>
      </w:r>
      <w:r w:rsidR="004F4D30"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[80]</w:t>
      </w:r>
      <w:r w:rsidRPr="00302F74">
        <w:rPr>
          <w:rFonts w:ascii="Book Antiqua" w:hAnsi="Book Antiqua" w:cs="Times New Roman"/>
          <w:sz w:val="24"/>
          <w:szCs w:val="24"/>
        </w:rPr>
        <w:t xml:space="preserve"> in a study of 50 patients with portal hypertension from various etiologies undergoing endoscopy, reported 6 (16.6%) of 36 patients with underlying cirrhosis had a mosaic pattern of PHG, whereas only 1 (8.5%) of 12 patients with EHPVO had a mosaic pattern of HPG (</w:t>
      </w:r>
      <w:r w:rsidRPr="004F4D30">
        <w:rPr>
          <w:rFonts w:ascii="Book Antiqua" w:hAnsi="Book Antiqua" w:cs="Times New Roman"/>
          <w:sz w:val="24"/>
          <w:szCs w:val="24"/>
        </w:rPr>
        <w:t>NS</w:t>
      </w:r>
      <w:r w:rsidRPr="00302F74">
        <w:rPr>
          <w:rFonts w:ascii="Book Antiqua" w:hAnsi="Book Antiqua" w:cs="Times New Roman"/>
          <w:sz w:val="24"/>
          <w:szCs w:val="24"/>
        </w:rPr>
        <w:t>).</w:t>
      </w:r>
    </w:p>
    <w:p w:rsidR="004F4D30" w:rsidRPr="00302F74" w:rsidRDefault="004F4D30" w:rsidP="00FA6CCE">
      <w:pPr>
        <w:widowControl w:val="0"/>
        <w:spacing w:line="360" w:lineRule="auto"/>
        <w:ind w:firstLine="720"/>
        <w:jc w:val="both"/>
        <w:rPr>
          <w:rFonts w:ascii="Book Antiqua" w:hAnsi="Book Antiqua" w:cs="Times New Roman"/>
          <w:sz w:val="24"/>
          <w:szCs w:val="24"/>
          <w:lang w:eastAsia="zh-CN"/>
        </w:rPr>
      </w:pPr>
    </w:p>
    <w:p w:rsidR="00C9325C" w:rsidRPr="00302F74" w:rsidRDefault="00C9325C" w:rsidP="004F4D30">
      <w:pPr>
        <w:widowControl w:val="0"/>
        <w:spacing w:line="360" w:lineRule="auto"/>
        <w:jc w:val="both"/>
        <w:rPr>
          <w:rFonts w:ascii="Book Antiqua" w:hAnsi="Book Antiqua" w:cs="Times New Roman"/>
          <w:sz w:val="24"/>
          <w:szCs w:val="24"/>
        </w:rPr>
      </w:pPr>
      <w:r w:rsidRPr="00826553">
        <w:rPr>
          <w:rFonts w:ascii="Book Antiqua" w:hAnsi="Book Antiqua" w:cs="Times New Roman"/>
          <w:b/>
          <w:sz w:val="24"/>
          <w:szCs w:val="24"/>
        </w:rPr>
        <w:t>Cirrhosis etiology</w:t>
      </w:r>
      <w:r w:rsidR="00826553">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Several research groups reported that the underlying etiology of cirrhosis did not affect PHG frequency or </w:t>
      </w:r>
      <w:proofErr w:type="gramStart"/>
      <w:r w:rsidRPr="00302F74">
        <w:rPr>
          <w:rFonts w:ascii="Book Antiqua" w:hAnsi="Book Antiqua" w:cs="Times New Roman"/>
          <w:sz w:val="24"/>
          <w:szCs w:val="24"/>
        </w:rPr>
        <w:t>severity</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13,71]</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For example, Abbasi </w:t>
      </w:r>
      <w:r w:rsidR="004F4D30"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[62]</w:t>
      </w:r>
      <w:r w:rsidRPr="00302F74">
        <w:rPr>
          <w:rFonts w:ascii="Book Antiqua" w:hAnsi="Book Antiqua" w:cs="Times New Roman"/>
          <w:sz w:val="24"/>
          <w:szCs w:val="24"/>
        </w:rPr>
        <w:t xml:space="preserve"> reported among 217 patients with cirrhosis that PHG was unassociated with cirrhosis etiology (r</w:t>
      </w:r>
      <w:r w:rsidR="004F4D3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F4D3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0.056</w:t>
      </w:r>
      <w:r w:rsidR="004F4D30">
        <w:rPr>
          <w:rFonts w:ascii="Book Antiqua" w:hAnsi="Book Antiqua" w:cs="Times New Roman" w:hint="eastAsia"/>
          <w:sz w:val="24"/>
          <w:szCs w:val="24"/>
          <w:lang w:eastAsia="zh-CN"/>
        </w:rPr>
        <w:t>;</w:t>
      </w:r>
      <w:r w:rsidRPr="00302F74">
        <w:rPr>
          <w:rFonts w:ascii="Book Antiqua" w:hAnsi="Book Antiqua" w:cs="Times New Roman"/>
          <w:sz w:val="24"/>
          <w:szCs w:val="24"/>
        </w:rPr>
        <w:t xml:space="preserve"> </w:t>
      </w:r>
      <w:r w:rsidR="004F4D30" w:rsidRPr="00302F74">
        <w:rPr>
          <w:rFonts w:ascii="Book Antiqua" w:hAnsi="Book Antiqua" w:cs="Times New Roman"/>
          <w:i/>
          <w:sz w:val="24"/>
          <w:szCs w:val="24"/>
        </w:rPr>
        <w:t>P</w:t>
      </w:r>
      <w:r w:rsidR="004F4D30">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w:t>
      </w:r>
      <w:r w:rsidR="004F4D3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0.414), among 144 patients with hepatitis C, 36 patients with hepatitis B, 21 patients with cryptogenic cirrhosis, 15 patients with hepatitis C and hepatitis B coinfection, and 1 patient with hepatitis B and hepatitis D coinfection.</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Kim </w:t>
      </w:r>
      <w:r w:rsidR="004F4D30"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[57]</w:t>
      </w:r>
      <w:r w:rsidRPr="00302F74">
        <w:rPr>
          <w:rFonts w:ascii="Book Antiqua" w:hAnsi="Book Antiqua" w:cs="Times New Roman"/>
          <w:sz w:val="24"/>
          <w:szCs w:val="24"/>
        </w:rPr>
        <w:t xml:space="preserve"> similarly did not find a correlation between cirrhosis etiology and severity of PHG in a prospective study of 331 patients with cirrhosis, including cirrhosis etiologies of alcohol in 250, hepatitis B in 68, hepatitis C in 15, and cryptogenic cirrhosis in 8.</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Gupta </w:t>
      </w:r>
      <w:r w:rsidR="004F4D30"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[30]</w:t>
      </w:r>
      <w:r w:rsidRPr="00302F74">
        <w:rPr>
          <w:rFonts w:ascii="Book Antiqua" w:hAnsi="Book Antiqua" w:cs="Times New Roman"/>
          <w:sz w:val="24"/>
          <w:szCs w:val="24"/>
        </w:rPr>
        <w:t xml:space="preserve"> in a study of 230 patients with cirrhosis and esophageal varices found no significant difference in the rate of PHG between patients with cirr</w:t>
      </w:r>
      <w:r w:rsidR="004F4D30">
        <w:rPr>
          <w:rFonts w:ascii="Book Antiqua" w:hAnsi="Book Antiqua" w:cs="Times New Roman"/>
          <w:sz w:val="24"/>
          <w:szCs w:val="24"/>
        </w:rPr>
        <w:t>hosis from alcohol (32 62%</w:t>
      </w:r>
      <w:r w:rsidRPr="00302F74">
        <w:rPr>
          <w:rFonts w:ascii="Book Antiqua" w:hAnsi="Book Antiqua" w:cs="Times New Roman"/>
          <w:sz w:val="24"/>
          <w:szCs w:val="24"/>
        </w:rPr>
        <w:t xml:space="preserve"> of 52)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cirrhosis from </w:t>
      </w:r>
      <w:r w:rsidR="004F4D30">
        <w:rPr>
          <w:rFonts w:ascii="Book Antiqua" w:hAnsi="Book Antiqua" w:cs="Times New Roman"/>
          <w:sz w:val="24"/>
          <w:szCs w:val="24"/>
        </w:rPr>
        <w:t>other causes (110 62%</w:t>
      </w:r>
      <w:r w:rsidR="004F4D3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of 178, </w:t>
      </w:r>
      <w:r w:rsidR="004F4D30" w:rsidRPr="00302F74">
        <w:rPr>
          <w:rFonts w:ascii="Book Antiqua" w:hAnsi="Book Antiqua" w:cs="Times New Roman"/>
          <w:i/>
          <w:sz w:val="24"/>
          <w:szCs w:val="24"/>
        </w:rPr>
        <w:t>P</w:t>
      </w:r>
      <w:r w:rsidR="004F4D30">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w:t>
      </w:r>
      <w:r w:rsidR="004F4D30">
        <w:rPr>
          <w:rFonts w:ascii="Book Antiqua" w:hAnsi="Book Antiqua" w:cs="Times New Roman" w:hint="eastAsia"/>
          <w:sz w:val="24"/>
          <w:szCs w:val="24"/>
          <w:lang w:eastAsia="zh-CN"/>
        </w:rPr>
        <w:t xml:space="preserve"> </w:t>
      </w:r>
      <w:r w:rsidRPr="00302F74">
        <w:rPr>
          <w:rFonts w:ascii="Book Antiqua" w:hAnsi="Book Antiqua" w:cs="Times New Roman"/>
          <w:i/>
          <w:sz w:val="24"/>
          <w:szCs w:val="24"/>
        </w:rPr>
        <w:t>NS</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Iwao </w:t>
      </w:r>
      <w:r w:rsidR="004F4D30"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[31]</w:t>
      </w:r>
      <w:r w:rsidRPr="00302F74">
        <w:rPr>
          <w:rFonts w:ascii="Book Antiqua" w:hAnsi="Book Antiqua" w:cs="Times New Roman"/>
          <w:sz w:val="24"/>
          <w:szCs w:val="24"/>
        </w:rPr>
        <w:t xml:space="preserve"> in an endoscopic study of 47 patients with histologically-proven cirrhosis reported no significant differences in etiology of cirrhosis between patients without PHG, with mild PHG, and with severe PHG.</w:t>
      </w:r>
    </w:p>
    <w:p w:rsidR="00C9325C" w:rsidRDefault="00C9325C" w:rsidP="00FA6CCE">
      <w:pPr>
        <w:widowControl w:val="0"/>
        <w:spacing w:line="360" w:lineRule="auto"/>
        <w:ind w:firstLine="720"/>
        <w:jc w:val="both"/>
        <w:rPr>
          <w:rFonts w:ascii="Book Antiqua" w:hAnsi="Book Antiqua" w:cs="Times New Roman"/>
          <w:bCs/>
          <w:sz w:val="24"/>
          <w:szCs w:val="24"/>
          <w:lang w:eastAsia="zh-CN"/>
        </w:rPr>
      </w:pPr>
      <w:r w:rsidRPr="00302F74">
        <w:rPr>
          <w:rFonts w:ascii="Book Antiqua" w:hAnsi="Book Antiqua" w:cs="Times New Roman"/>
          <w:bCs/>
          <w:sz w:val="24"/>
          <w:szCs w:val="24"/>
        </w:rPr>
        <w:lastRenderedPageBreak/>
        <w:t xml:space="preserve">Iwao </w:t>
      </w:r>
      <w:r w:rsidR="004F4D30" w:rsidRPr="002058A9">
        <w:rPr>
          <w:rFonts w:ascii="Book Antiqua" w:hAnsi="Book Antiqua" w:cs="Times New Roman"/>
          <w:i/>
          <w:sz w:val="24"/>
          <w:szCs w:val="24"/>
        </w:rPr>
        <w:t>et al</w:t>
      </w:r>
      <w:r w:rsidRPr="00302F74">
        <w:rPr>
          <w:rFonts w:ascii="Book Antiqua" w:hAnsi="Book Antiqua" w:cs="Times New Roman"/>
          <w:bCs/>
          <w:sz w:val="24"/>
          <w:szCs w:val="24"/>
          <w:vertAlign w:val="superscript"/>
        </w:rPr>
        <w:t>[31]</w:t>
      </w:r>
      <w:r w:rsidRPr="00302F74">
        <w:rPr>
          <w:rFonts w:ascii="Book Antiqua" w:hAnsi="Book Antiqua" w:cs="Times New Roman"/>
          <w:bCs/>
          <w:sz w:val="24"/>
          <w:szCs w:val="24"/>
        </w:rPr>
        <w:t xml:space="preserve"> reported no association between etiology of cirrhosis and PHG severity.</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The etiologies of cirrhosis in this study included 7 from alcoholism </w:t>
      </w:r>
      <w:r w:rsidR="00963345" w:rsidRPr="00963345">
        <w:rPr>
          <w:rFonts w:ascii="Book Antiqua" w:hAnsi="Book Antiqua" w:cs="Times New Roman" w:hint="eastAsia"/>
          <w:i/>
          <w:sz w:val="24"/>
          <w:szCs w:val="24"/>
          <w:lang w:eastAsia="zh-CN"/>
        </w:rPr>
        <w:t>vs</w:t>
      </w:r>
      <w:r w:rsidRPr="00302F74">
        <w:rPr>
          <w:rFonts w:ascii="Book Antiqua" w:hAnsi="Book Antiqua" w:cs="Times New Roman"/>
          <w:bCs/>
          <w:sz w:val="24"/>
          <w:szCs w:val="24"/>
        </w:rPr>
        <w:t xml:space="preserve"> 8 from chronic hepatitis in patients without PHG, 5 from alcoholism </w:t>
      </w:r>
      <w:r w:rsidR="00963345" w:rsidRPr="00963345">
        <w:rPr>
          <w:rFonts w:ascii="Book Antiqua" w:hAnsi="Book Antiqua" w:cs="Times New Roman" w:hint="eastAsia"/>
          <w:i/>
          <w:sz w:val="24"/>
          <w:szCs w:val="24"/>
          <w:lang w:eastAsia="zh-CN"/>
        </w:rPr>
        <w:t>vs</w:t>
      </w:r>
      <w:r w:rsidRPr="00302F74">
        <w:rPr>
          <w:rFonts w:ascii="Book Antiqua" w:hAnsi="Book Antiqua" w:cs="Times New Roman"/>
          <w:bCs/>
          <w:sz w:val="24"/>
          <w:szCs w:val="24"/>
        </w:rPr>
        <w:t xml:space="preserve"> 10 from chronic hepatitis in patients with mild PHG, and 8 from alcoholism </w:t>
      </w:r>
      <w:r w:rsidR="00963345" w:rsidRPr="00963345">
        <w:rPr>
          <w:rFonts w:ascii="Book Antiqua" w:hAnsi="Book Antiqua" w:cs="Times New Roman" w:hint="eastAsia"/>
          <w:i/>
          <w:sz w:val="24"/>
          <w:szCs w:val="24"/>
          <w:lang w:eastAsia="zh-CN"/>
        </w:rPr>
        <w:t>vs</w:t>
      </w:r>
      <w:r w:rsidRPr="00302F74">
        <w:rPr>
          <w:rFonts w:ascii="Book Antiqua" w:hAnsi="Book Antiqua" w:cs="Times New Roman"/>
          <w:bCs/>
          <w:sz w:val="24"/>
          <w:szCs w:val="24"/>
        </w:rPr>
        <w:t xml:space="preserve"> 9 from chronic hepatitis in patients with severe PHG</w:t>
      </w:r>
      <w:r w:rsidRPr="004F4D30">
        <w:rPr>
          <w:rFonts w:ascii="Book Antiqua" w:hAnsi="Book Antiqua" w:cs="Times New Roman"/>
          <w:bCs/>
          <w:sz w:val="24"/>
          <w:szCs w:val="24"/>
        </w:rPr>
        <w:t xml:space="preserve"> (NS).</w:t>
      </w:r>
    </w:p>
    <w:p w:rsidR="004F4D30" w:rsidRPr="00302F74" w:rsidRDefault="004F4D30" w:rsidP="00FA6CCE">
      <w:pPr>
        <w:widowControl w:val="0"/>
        <w:spacing w:line="360" w:lineRule="auto"/>
        <w:ind w:firstLine="720"/>
        <w:jc w:val="both"/>
        <w:rPr>
          <w:rFonts w:ascii="Book Antiqua" w:hAnsi="Book Antiqua" w:cs="Times New Roman"/>
          <w:sz w:val="24"/>
          <w:szCs w:val="24"/>
          <w:lang w:eastAsia="zh-CN"/>
        </w:rPr>
      </w:pPr>
    </w:p>
    <w:p w:rsidR="00C9325C" w:rsidRPr="00826553" w:rsidRDefault="00C9325C" w:rsidP="004F4D30">
      <w:pPr>
        <w:widowControl w:val="0"/>
        <w:spacing w:line="360" w:lineRule="auto"/>
        <w:jc w:val="both"/>
        <w:rPr>
          <w:rFonts w:ascii="Book Antiqua" w:hAnsi="Book Antiqua" w:cs="Times New Roman"/>
          <w:b/>
          <w:sz w:val="24"/>
          <w:szCs w:val="24"/>
        </w:rPr>
      </w:pPr>
      <w:r w:rsidRPr="00826553">
        <w:rPr>
          <w:rFonts w:ascii="Book Antiqua" w:hAnsi="Book Antiqua" w:cs="Times New Roman"/>
          <w:b/>
          <w:sz w:val="24"/>
          <w:szCs w:val="24"/>
        </w:rPr>
        <w:t>Liver disease duration</w:t>
      </w:r>
      <w:r w:rsidR="00826553">
        <w:rPr>
          <w:rFonts w:ascii="Book Antiqua" w:hAnsi="Book Antiqua" w:cs="Times New Roman" w:hint="eastAsia"/>
          <w:b/>
          <w:sz w:val="24"/>
          <w:szCs w:val="24"/>
          <w:lang w:eastAsia="zh-CN"/>
        </w:rPr>
        <w:t xml:space="preserve">: </w:t>
      </w:r>
      <w:r w:rsidRPr="00302F74">
        <w:rPr>
          <w:rFonts w:ascii="Book Antiqua" w:hAnsi="Book Antiqua" w:cs="Times New Roman"/>
          <w:sz w:val="24"/>
          <w:szCs w:val="24"/>
        </w:rPr>
        <w:t xml:space="preserve">Generally, duration of liver disease positively correlates with development of </w:t>
      </w:r>
      <w:proofErr w:type="gramStart"/>
      <w:r w:rsidRPr="00302F74">
        <w:rPr>
          <w:rFonts w:ascii="Book Antiqua" w:hAnsi="Book Antiqua" w:cs="Times New Roman"/>
          <w:sz w:val="24"/>
          <w:szCs w:val="24"/>
        </w:rPr>
        <w:t>PHG</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5]</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 xml:space="preserve">Merli </w:t>
      </w:r>
      <w:r w:rsidR="004F4D30" w:rsidRPr="002058A9">
        <w:rPr>
          <w:rFonts w:ascii="Book Antiqua" w:hAnsi="Book Antiqua" w:cs="Times New Roman"/>
          <w:i/>
          <w:sz w:val="24"/>
          <w:szCs w:val="24"/>
        </w:rPr>
        <w:t>et al</w:t>
      </w:r>
      <w:r w:rsidRPr="00302F74">
        <w:rPr>
          <w:rFonts w:ascii="Book Antiqua" w:hAnsi="Book Antiqua" w:cs="Times New Roman"/>
          <w:sz w:val="24"/>
          <w:szCs w:val="24"/>
          <w:vertAlign w:val="superscript"/>
          <w:lang w:val="en"/>
        </w:rPr>
        <w:t>[37]</w:t>
      </w:r>
      <w:r w:rsidRPr="00302F74">
        <w:rPr>
          <w:rFonts w:ascii="Book Antiqua" w:hAnsi="Book Antiqua" w:cs="Times New Roman"/>
          <w:sz w:val="24"/>
          <w:szCs w:val="24"/>
          <w:lang w:val="en"/>
        </w:rPr>
        <w:t xml:space="preserve"> reported a cumulative incidence of 3% at 1 year, 10% at 2 years, and 24% at 3 years. Most cases were mild, with only 10% of cases reported as severe PHG in cirrhotic patients undergoing EGD to screen for esophageal varices.</w:t>
      </w:r>
      <w:r w:rsidR="00963345">
        <w:rPr>
          <w:rFonts w:ascii="Book Antiqua" w:hAnsi="Book Antiqua" w:cs="Times New Roman"/>
          <w:sz w:val="24"/>
          <w:szCs w:val="24"/>
          <w:lang w:val="en"/>
        </w:rPr>
        <w:t xml:space="preserve"> </w:t>
      </w:r>
      <w:r w:rsidRPr="00302F74">
        <w:rPr>
          <w:rFonts w:ascii="Book Antiqua" w:hAnsi="Book Antiqua" w:cs="Times New Roman"/>
          <w:sz w:val="24"/>
          <w:szCs w:val="24"/>
        </w:rPr>
        <w:t xml:space="preserve">Primignani </w:t>
      </w:r>
      <w:r w:rsidR="004F4D30" w:rsidRPr="002058A9">
        <w:rPr>
          <w:rFonts w:ascii="Book Antiqua" w:hAnsi="Book Antiqua" w:cs="Times New Roman"/>
          <w:i/>
          <w:sz w:val="24"/>
          <w:szCs w:val="24"/>
        </w:rPr>
        <w:t>et al</w:t>
      </w:r>
      <w:r w:rsidRPr="00302F74">
        <w:rPr>
          <w:rFonts w:ascii="Book Antiqua" w:hAnsi="Book Antiqua" w:cs="Times New Roman"/>
          <w:sz w:val="24"/>
          <w:szCs w:val="24"/>
          <w:vertAlign w:val="superscript"/>
        </w:rPr>
        <w:t>[34]</w:t>
      </w:r>
      <w:r w:rsidRPr="00302F74">
        <w:rPr>
          <w:rFonts w:ascii="Book Antiqua" w:hAnsi="Book Antiqua" w:cs="Times New Roman"/>
          <w:sz w:val="24"/>
          <w:szCs w:val="24"/>
        </w:rPr>
        <w:t xml:space="preserve"> reported that the prevalence of PHG was only 56% in patients with newly diagnosed cirrhosis, rose to 75% in patients with previously diagnosed cirrhosis and no prior variceal bleeding, and rose further to 91% in patients with previously diagnosed cirrhosis and prior variceal bleeding treated with sclerotherapy (</w:t>
      </w:r>
      <w:r w:rsidR="004F4D30" w:rsidRPr="00737727">
        <w:rPr>
          <w:rFonts w:ascii="Book Antiqua" w:hAnsi="Book Antiqua"/>
          <w:i/>
        </w:rPr>
        <w:t>χ</w:t>
      </w:r>
      <w:r w:rsidR="004F4D30" w:rsidRPr="00737727">
        <w:rPr>
          <w:rFonts w:ascii="Book Antiqua" w:hAnsi="Book Antiqua"/>
          <w:i/>
          <w:vertAlign w:val="superscript"/>
        </w:rPr>
        <w:t>2</w:t>
      </w:r>
      <w:r w:rsidR="004F4D3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F4D3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34.25; df</w:t>
      </w:r>
      <w:r w:rsidR="004F4D3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F4D3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1; </w:t>
      </w:r>
      <w:r w:rsidR="00E878B6">
        <w:rPr>
          <w:rFonts w:ascii="Book Antiqua" w:hAnsi="Book Antiqua" w:cs="Times New Roman"/>
          <w:i/>
          <w:sz w:val="24"/>
          <w:szCs w:val="24"/>
        </w:rPr>
        <w:t>P &lt;</w:t>
      </w:r>
      <w:r w:rsidR="004F4D30">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0.0001).</w:t>
      </w:r>
      <w:r w:rsidR="00963345">
        <w:rPr>
          <w:rFonts w:ascii="Book Antiqua" w:hAnsi="Book Antiqua" w:cs="Times New Roman"/>
          <w:sz w:val="24"/>
          <w:szCs w:val="24"/>
        </w:rPr>
        <w:t xml:space="preserve"> </w:t>
      </w:r>
      <w:r w:rsidRPr="00302F74">
        <w:rPr>
          <w:rFonts w:ascii="Book Antiqua" w:hAnsi="Book Antiqua" w:cs="Times New Roman"/>
          <w:sz w:val="24"/>
          <w:szCs w:val="24"/>
        </w:rPr>
        <w:t>The frequency of PHG increased by 46% after 5 years of follow-up in patients with cirrhosis</w:t>
      </w:r>
      <w:r w:rsidRPr="00302F74">
        <w:rPr>
          <w:rFonts w:ascii="Book Antiqua" w:hAnsi="Book Antiqua" w:cs="Times New Roman"/>
          <w:sz w:val="24"/>
          <w:szCs w:val="24"/>
          <w:vertAlign w:val="superscript"/>
        </w:rPr>
        <w:t>[34]</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In 30%-60% of cases, preexistent PHG remained stable with time</w:t>
      </w:r>
      <w:r w:rsidRPr="00302F74">
        <w:rPr>
          <w:rFonts w:ascii="Book Antiqua" w:hAnsi="Book Antiqua" w:cs="Times New Roman"/>
          <w:sz w:val="24"/>
          <w:szCs w:val="24"/>
          <w:vertAlign w:val="superscript"/>
          <w:lang w:val="en"/>
        </w:rPr>
        <w:t>[72]</w:t>
      </w:r>
      <w:r w:rsidRPr="00302F74">
        <w:rPr>
          <w:rFonts w:ascii="Book Antiqua" w:hAnsi="Book Antiqua" w:cs="Times New Roman"/>
          <w:sz w:val="24"/>
          <w:szCs w:val="24"/>
          <w:lang w:val="en"/>
        </w:rPr>
        <w:t>, but it can fluctuate in severity with time, with progression in 30%, and regression in 20% of cases</w:t>
      </w:r>
      <w:r w:rsidRPr="00302F74">
        <w:rPr>
          <w:rFonts w:ascii="Book Antiqua" w:hAnsi="Book Antiqua" w:cs="Times New Roman"/>
          <w:sz w:val="24"/>
          <w:szCs w:val="24"/>
          <w:vertAlign w:val="superscript"/>
          <w:lang w:val="en"/>
        </w:rPr>
        <w:t>[25,34,37]</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Child-Pugh stage C cirrhosis was associated with faster progression of PHG</w:t>
      </w:r>
      <w:r w:rsidRPr="00302F74">
        <w:rPr>
          <w:rFonts w:ascii="Book Antiqua" w:hAnsi="Book Antiqua" w:cs="Times New Roman"/>
          <w:sz w:val="24"/>
          <w:szCs w:val="24"/>
          <w:vertAlign w:val="superscript"/>
          <w:lang w:val="en"/>
        </w:rPr>
        <w:t>[34]</w:t>
      </w:r>
      <w:r w:rsidRPr="00302F74">
        <w:rPr>
          <w:rFonts w:ascii="Book Antiqua" w:hAnsi="Book Antiqua" w:cs="Times New Roman"/>
          <w:sz w:val="24"/>
          <w:szCs w:val="24"/>
          <w:lang w:val="en"/>
        </w:rPr>
        <w:t>.</w:t>
      </w:r>
    </w:p>
    <w:p w:rsidR="00946FD7" w:rsidRPr="00302F74" w:rsidRDefault="00946FD7" w:rsidP="004F4D30">
      <w:pPr>
        <w:widowControl w:val="0"/>
        <w:spacing w:line="360" w:lineRule="auto"/>
        <w:jc w:val="both"/>
        <w:rPr>
          <w:rFonts w:ascii="Book Antiqua" w:hAnsi="Book Antiqua" w:cs="Times New Roman"/>
          <w:b/>
          <w:sz w:val="24"/>
          <w:szCs w:val="24"/>
          <w:lang w:eastAsia="zh-CN"/>
        </w:rPr>
      </w:pPr>
    </w:p>
    <w:p w:rsidR="00C9325C" w:rsidRPr="00302F74" w:rsidRDefault="00C9325C" w:rsidP="00946FD7">
      <w:pPr>
        <w:widowControl w:val="0"/>
        <w:spacing w:line="360" w:lineRule="auto"/>
        <w:jc w:val="both"/>
        <w:rPr>
          <w:rFonts w:ascii="Book Antiqua" w:hAnsi="Book Antiqua" w:cs="Times New Roman"/>
          <w:b/>
          <w:sz w:val="24"/>
          <w:szCs w:val="24"/>
        </w:rPr>
      </w:pPr>
      <w:r w:rsidRPr="0076717C">
        <w:rPr>
          <w:rFonts w:ascii="Book Antiqua" w:hAnsi="Book Antiqua" w:cs="Times New Roman"/>
          <w:b/>
          <w:sz w:val="24"/>
          <w:szCs w:val="24"/>
        </w:rPr>
        <w:t>Liver disease severity</w:t>
      </w:r>
      <w:r w:rsidR="0076717C">
        <w:rPr>
          <w:rFonts w:ascii="Book Antiqua" w:hAnsi="Book Antiqua" w:cs="Times New Roman" w:hint="eastAsia"/>
          <w:b/>
          <w:sz w:val="24"/>
          <w:szCs w:val="24"/>
          <w:lang w:eastAsia="zh-CN"/>
        </w:rPr>
        <w:t xml:space="preserve">: </w:t>
      </w:r>
      <w:r w:rsidRPr="00302F74">
        <w:rPr>
          <w:rFonts w:ascii="Book Antiqua" w:hAnsi="Book Antiqua" w:cs="Times New Roman"/>
          <w:sz w:val="24"/>
          <w:szCs w:val="24"/>
        </w:rPr>
        <w:t xml:space="preserve">Numerous studies reported PHG is correlated with liver disease severity, as measured by Child-Pugh </w:t>
      </w:r>
      <w:proofErr w:type="gramStart"/>
      <w:r w:rsidRPr="00302F74">
        <w:rPr>
          <w:rFonts w:ascii="Book Antiqua" w:hAnsi="Book Antiqua" w:cs="Times New Roman"/>
          <w:sz w:val="24"/>
          <w:szCs w:val="24"/>
        </w:rPr>
        <w:t>stage</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8,9,29,35,37,55,57,67]</w:t>
      </w:r>
      <w:r w:rsidRPr="00302F74">
        <w:rPr>
          <w:rFonts w:ascii="Book Antiqua" w:hAnsi="Book Antiqua" w:cs="Times New Roman"/>
          <w:sz w:val="24"/>
          <w:szCs w:val="24"/>
        </w:rPr>
        <w:t>. The reported strength of this correlation is variable. Some studies showed correlation between all stages of cirrhosis and PHG, whereas other studies showed correlation only for specific stages of cirrhosis.</w:t>
      </w:r>
      <w:r w:rsidR="00963345">
        <w:rPr>
          <w:rFonts w:ascii="Book Antiqua" w:hAnsi="Book Antiqua" w:cs="Times New Roman"/>
          <w:sz w:val="24"/>
          <w:szCs w:val="24"/>
        </w:rPr>
        <w:t xml:space="preserve"> </w:t>
      </w:r>
      <w:r w:rsidR="00946FD7">
        <w:rPr>
          <w:rFonts w:ascii="Book Antiqua" w:hAnsi="Book Antiqua" w:cs="Times New Roman"/>
          <w:sz w:val="24"/>
          <w:szCs w:val="24"/>
        </w:rPr>
        <w:t xml:space="preserve">Sarin </w:t>
      </w:r>
      <w:r w:rsidR="00946FD7" w:rsidRPr="00946FD7">
        <w:rPr>
          <w:rFonts w:ascii="Book Antiqua" w:hAnsi="Book Antiqua" w:cs="Times New Roman"/>
          <w:i/>
          <w:sz w:val="24"/>
          <w:szCs w:val="24"/>
        </w:rPr>
        <w:t>et al</w:t>
      </w:r>
      <w:r w:rsidRPr="00302F74">
        <w:rPr>
          <w:rFonts w:ascii="Book Antiqua" w:hAnsi="Book Antiqua" w:cs="Times New Roman"/>
          <w:sz w:val="24"/>
          <w:szCs w:val="24"/>
          <w:vertAlign w:val="superscript"/>
        </w:rPr>
        <w:t>[8]</w:t>
      </w:r>
      <w:r w:rsidRPr="00302F74">
        <w:rPr>
          <w:rFonts w:ascii="Book Antiqua" w:hAnsi="Book Antiqua" w:cs="Times New Roman"/>
          <w:sz w:val="24"/>
          <w:szCs w:val="24"/>
        </w:rPr>
        <w:t xml:space="preserve"> reported an 87% prevalence of PHG in patients with Child-Pugh stage C,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only 13% prevalence in patients with Child-Pugh stage A. Another study reported that only Child-Pugh stage C was ind</w:t>
      </w:r>
      <w:r w:rsidR="00EB12E6">
        <w:rPr>
          <w:rFonts w:ascii="Book Antiqua" w:hAnsi="Book Antiqua" w:cs="Times New Roman"/>
          <w:sz w:val="24"/>
          <w:szCs w:val="24"/>
        </w:rPr>
        <w:t>ependently associated with PHG OR</w:t>
      </w:r>
      <w:r w:rsidR="00EB12E6">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EB12E6">
        <w:rPr>
          <w:rFonts w:ascii="Book Antiqua" w:hAnsi="Book Antiqua" w:cs="Times New Roman" w:hint="eastAsia"/>
          <w:sz w:val="24"/>
          <w:szCs w:val="24"/>
          <w:lang w:eastAsia="zh-CN"/>
        </w:rPr>
        <w:t xml:space="preserve"> </w:t>
      </w:r>
      <w:r w:rsidR="00EB12E6">
        <w:rPr>
          <w:rFonts w:ascii="Book Antiqua" w:hAnsi="Book Antiqua" w:cs="Times New Roman"/>
          <w:sz w:val="24"/>
          <w:szCs w:val="24"/>
        </w:rPr>
        <w:t>2.68; 95%</w:t>
      </w:r>
      <w:r w:rsidRPr="00302F74">
        <w:rPr>
          <w:rFonts w:ascii="Book Antiqua" w:hAnsi="Book Antiqua" w:cs="Times New Roman"/>
          <w:sz w:val="24"/>
          <w:szCs w:val="24"/>
        </w:rPr>
        <w:t xml:space="preserve">CI: 1.16–6.20, </w:t>
      </w:r>
      <w:r w:rsidR="00EB12E6" w:rsidRPr="00302F74">
        <w:rPr>
          <w:rFonts w:ascii="Book Antiqua" w:hAnsi="Book Antiqua" w:cs="Times New Roman"/>
          <w:i/>
          <w:sz w:val="24"/>
          <w:szCs w:val="24"/>
        </w:rPr>
        <w:t>P</w:t>
      </w:r>
      <w:r w:rsidR="00EB12E6">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w:t>
      </w:r>
      <w:r w:rsidR="00EB12E6">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0.021)</w:t>
      </w:r>
      <w:r w:rsidRPr="00302F74">
        <w:rPr>
          <w:rFonts w:ascii="Book Antiqua" w:hAnsi="Book Antiqua" w:cs="Times New Roman"/>
          <w:sz w:val="24"/>
          <w:szCs w:val="24"/>
          <w:vertAlign w:val="superscript"/>
        </w:rPr>
        <w:t>[56]</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00E1496B">
        <w:rPr>
          <w:rFonts w:ascii="Book Antiqua" w:hAnsi="Book Antiqua" w:cs="Times New Roman"/>
          <w:sz w:val="24"/>
          <w:szCs w:val="24"/>
        </w:rPr>
        <w:t xml:space="preserve">Merli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[37]</w:t>
      </w:r>
      <w:r w:rsidRPr="00302F74">
        <w:rPr>
          <w:rFonts w:ascii="Book Antiqua" w:hAnsi="Book Antiqua" w:cs="Times New Roman"/>
          <w:sz w:val="24"/>
          <w:szCs w:val="24"/>
        </w:rPr>
        <w:t xml:space="preserve"> reported, in a study of 48 patients with PHG among 222 patients with cirrhosis, that Child-Pugh stage B or C, and presence of esophageal varices were independent risk factors for developing PHG.</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De Lisi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[58]</w:t>
      </w:r>
      <w:r w:rsidRPr="00302F74">
        <w:rPr>
          <w:rFonts w:ascii="Book Antiqua" w:hAnsi="Book Antiqua" w:cs="Times New Roman"/>
          <w:sz w:val="24"/>
          <w:szCs w:val="24"/>
        </w:rPr>
        <w:t xml:space="preserve"> </w:t>
      </w:r>
      <w:r w:rsidRPr="00302F74">
        <w:rPr>
          <w:rFonts w:ascii="Book Antiqua" w:hAnsi="Book Antiqua" w:cs="Times New Roman"/>
          <w:sz w:val="24"/>
          <w:szCs w:val="24"/>
        </w:rPr>
        <w:lastRenderedPageBreak/>
        <w:t>reported a significantly higher prevalence of PHG in Child-Pugh stages B or C, as compared to stage A.</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Zardi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[67]</w:t>
      </w:r>
      <w:r w:rsidRPr="00302F74">
        <w:rPr>
          <w:rFonts w:ascii="Book Antiqua" w:hAnsi="Book Antiqua" w:cs="Times New Roman"/>
          <w:sz w:val="24"/>
          <w:szCs w:val="24"/>
        </w:rPr>
        <w:t xml:space="preserve"> reported that cirrhotic patients without esophageal varices with severe PHG had significantly more frequently Child-Pugh stage C than patients with mild PHG. In another study, the MELD (model for end-stage liver disease) score was significantly correlated with PHG severity (mean MELD score in patients without PHG</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7.6 + 1.7, in patients with mild PHG</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10.2 + 4.0, and in patients with severe PHG</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11.3 + 3.5; </w:t>
      </w:r>
      <w:r w:rsidR="00E878B6">
        <w:rPr>
          <w:rFonts w:ascii="Book Antiqua" w:hAnsi="Book Antiqua" w:cs="Times New Roman"/>
          <w:i/>
          <w:sz w:val="24"/>
          <w:szCs w:val="24"/>
        </w:rPr>
        <w:t>P &lt;</w:t>
      </w:r>
      <w:r w:rsidR="00E1496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0.001)</w:t>
      </w:r>
      <w:r w:rsidRPr="00302F74">
        <w:rPr>
          <w:rFonts w:ascii="Book Antiqua" w:hAnsi="Book Antiqua" w:cs="Times New Roman"/>
          <w:sz w:val="24"/>
          <w:szCs w:val="24"/>
          <w:vertAlign w:val="superscript"/>
        </w:rPr>
        <w:t>[57]</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In the HALT-C trial, hypoalbuminemia and hyperbilirubinemia, biochemical markers of advanced liver disease, were independent predictors of PHG in a logistic regression model (OR</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E1496B">
        <w:rPr>
          <w:rFonts w:ascii="Book Antiqua" w:hAnsi="Book Antiqua" w:cs="Times New Roman" w:hint="eastAsia"/>
          <w:sz w:val="24"/>
          <w:szCs w:val="24"/>
          <w:lang w:eastAsia="zh-CN"/>
        </w:rPr>
        <w:t xml:space="preserve"> </w:t>
      </w:r>
      <w:r w:rsidR="00E1496B">
        <w:rPr>
          <w:rFonts w:ascii="Book Antiqua" w:hAnsi="Book Antiqua" w:cs="Times New Roman"/>
          <w:sz w:val="24"/>
          <w:szCs w:val="24"/>
        </w:rPr>
        <w:t>0.53, 95%</w:t>
      </w:r>
      <w:r w:rsidRPr="00302F74">
        <w:rPr>
          <w:rFonts w:ascii="Book Antiqua" w:hAnsi="Book Antiqua" w:cs="Times New Roman"/>
          <w:sz w:val="24"/>
          <w:szCs w:val="24"/>
        </w:rPr>
        <w:t>CI: 0.37-0.76 for hypoalbuminemia; OR</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1.</w:t>
      </w:r>
      <w:r w:rsidR="00E1496B">
        <w:rPr>
          <w:rFonts w:ascii="Book Antiqua" w:hAnsi="Book Antiqua" w:cs="Times New Roman"/>
          <w:sz w:val="24"/>
          <w:szCs w:val="24"/>
        </w:rPr>
        <w:t>77, 95%</w:t>
      </w:r>
      <w:r w:rsidRPr="00302F74">
        <w:rPr>
          <w:rFonts w:ascii="Book Antiqua" w:hAnsi="Book Antiqua" w:cs="Times New Roman"/>
          <w:sz w:val="24"/>
          <w:szCs w:val="24"/>
        </w:rPr>
        <w:t>CI: 1.25-2.51, for hyperbilirubinemia). Markers of portal hypertension (thrombocytopenia) and of insulin resistance (hyperglycemia) were also significant independent predictors of PHG.</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rPr>
        <w:t>Contrariwise, a minority of studies found no correlation between liver disease severity, as determined by Child-Pugh stage, and presence or severity of PHG</w:t>
      </w:r>
      <w:r w:rsidRPr="00302F74">
        <w:rPr>
          <w:rFonts w:ascii="Book Antiqua" w:hAnsi="Book Antiqua" w:cs="Times New Roman"/>
          <w:sz w:val="24"/>
          <w:szCs w:val="24"/>
          <w:vertAlign w:val="superscript"/>
        </w:rPr>
        <w:t>[34,36,40,47,54,62,70,79]</w:t>
      </w:r>
      <w:r w:rsidRPr="00302F74">
        <w:rPr>
          <w:rFonts w:ascii="Book Antiqua" w:hAnsi="Book Antiqua" w:cs="Times New Roman"/>
          <w:sz w:val="24"/>
          <w:szCs w:val="24"/>
        </w:rPr>
        <w:t xml:space="preserve">. For example, Primignani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[34]</w:t>
      </w:r>
      <w:r w:rsidRPr="00302F74">
        <w:rPr>
          <w:rFonts w:ascii="Book Antiqua" w:hAnsi="Book Antiqua" w:cs="Times New Roman"/>
          <w:sz w:val="24"/>
          <w:szCs w:val="24"/>
        </w:rPr>
        <w:t xml:space="preserve"> reported the prevalence of severe PHG was lowest in Child-Pugh stage C. In the NIEC study, patients with Child-Pugh stage B had a higher prevalence of PHG than patients with stages A or C.</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Zardi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[67]</w:t>
      </w:r>
      <w:r w:rsidRPr="00302F74">
        <w:rPr>
          <w:rFonts w:ascii="Book Antiqua" w:hAnsi="Book Antiqua" w:cs="Times New Roman"/>
          <w:sz w:val="24"/>
          <w:szCs w:val="24"/>
        </w:rPr>
        <w:t xml:space="preserve"> reported no significant differences in Child-Pugh stage or in MELD score among cirrhotic patients with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without PHG.</w:t>
      </w:r>
      <w:r w:rsidR="00963345">
        <w:rPr>
          <w:rFonts w:ascii="Book Antiqua" w:hAnsi="Book Antiqua" w:cs="Times New Roman"/>
          <w:sz w:val="24"/>
          <w:szCs w:val="24"/>
        </w:rPr>
        <w:t xml:space="preserve"> </w:t>
      </w:r>
      <w:r w:rsidRPr="00302F74">
        <w:rPr>
          <w:rFonts w:ascii="Book Antiqua" w:hAnsi="Book Antiqua" w:cs="Times New Roman"/>
          <w:sz w:val="24"/>
          <w:szCs w:val="24"/>
        </w:rPr>
        <w:t>The preponderance of the data, however, suggest that severity of cirrhosis, as measured by Child-Pugh score, is correlated with frequency of PHG.</w:t>
      </w:r>
    </w:p>
    <w:p w:rsidR="00E1496B" w:rsidRPr="00302F74" w:rsidRDefault="00E1496B" w:rsidP="00FA6CCE">
      <w:pPr>
        <w:widowControl w:val="0"/>
        <w:spacing w:line="360" w:lineRule="auto"/>
        <w:ind w:firstLine="720"/>
        <w:jc w:val="both"/>
        <w:rPr>
          <w:rFonts w:ascii="Book Antiqua" w:hAnsi="Book Antiqua" w:cs="Times New Roman"/>
          <w:sz w:val="24"/>
          <w:szCs w:val="24"/>
          <w:lang w:eastAsia="zh-CN"/>
        </w:rPr>
      </w:pPr>
    </w:p>
    <w:p w:rsidR="00C9325C" w:rsidRPr="00302F74" w:rsidRDefault="00C9325C" w:rsidP="00E1496B">
      <w:pPr>
        <w:widowControl w:val="0"/>
        <w:spacing w:line="360" w:lineRule="auto"/>
        <w:jc w:val="both"/>
        <w:rPr>
          <w:rFonts w:ascii="Book Antiqua" w:hAnsi="Book Antiqua" w:cs="Times New Roman"/>
          <w:sz w:val="24"/>
          <w:szCs w:val="24"/>
        </w:rPr>
      </w:pPr>
      <w:r w:rsidRPr="00CA2010">
        <w:rPr>
          <w:rFonts w:ascii="Book Antiqua" w:hAnsi="Book Antiqua" w:cs="Times New Roman"/>
          <w:b/>
          <w:sz w:val="24"/>
          <w:szCs w:val="24"/>
        </w:rPr>
        <w:t>Correlation with varices</w:t>
      </w:r>
      <w:r w:rsidR="00CA2010">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Many studies report a correlation between the presence and size of esophageal varices and severity of PHG.</w:t>
      </w:r>
      <w:r w:rsidR="00963345">
        <w:rPr>
          <w:rFonts w:ascii="Book Antiqua" w:hAnsi="Book Antiqua" w:cs="Times New Roman"/>
          <w:sz w:val="24"/>
          <w:szCs w:val="24"/>
        </w:rPr>
        <w:t xml:space="preserve"> </w:t>
      </w:r>
      <w:r w:rsidRPr="00302F74">
        <w:rPr>
          <w:rFonts w:ascii="Book Antiqua" w:hAnsi="Book Antiqua" w:cs="Times New Roman"/>
          <w:sz w:val="24"/>
          <w:szCs w:val="24"/>
        </w:rPr>
        <w:t>For example, among the 188 of 373 patients with cirrhosis not undergoing variceal sclerotherapy in the NIEC study, the prevalence of PHG was significantly higher in patien</w:t>
      </w:r>
      <w:r w:rsidR="00E1496B">
        <w:rPr>
          <w:rFonts w:ascii="Book Antiqua" w:hAnsi="Book Antiqua" w:cs="Times New Roman"/>
          <w:sz w:val="24"/>
          <w:szCs w:val="24"/>
        </w:rPr>
        <w:t>ts with esophageal varices (80 77%</w:t>
      </w:r>
      <w:r w:rsidRPr="00302F74">
        <w:rPr>
          <w:rFonts w:ascii="Book Antiqua" w:hAnsi="Book Antiqua" w:cs="Times New Roman"/>
          <w:sz w:val="24"/>
          <w:szCs w:val="24"/>
        </w:rPr>
        <w:t xml:space="preserve"> of 104 patients) than in patients without esophag</w:t>
      </w:r>
      <w:r w:rsidR="00E1496B">
        <w:rPr>
          <w:rFonts w:ascii="Book Antiqua" w:hAnsi="Book Antiqua" w:cs="Times New Roman"/>
          <w:sz w:val="24"/>
          <w:szCs w:val="24"/>
        </w:rPr>
        <w:t>eal varices (51 61%</w:t>
      </w:r>
      <w:r w:rsidRPr="00302F74">
        <w:rPr>
          <w:rFonts w:ascii="Book Antiqua" w:hAnsi="Book Antiqua" w:cs="Times New Roman"/>
          <w:sz w:val="24"/>
          <w:szCs w:val="24"/>
        </w:rPr>
        <w:t xml:space="preserve"> of 84; </w:t>
      </w:r>
      <w:r w:rsidR="00E1496B" w:rsidRPr="00302F74">
        <w:rPr>
          <w:rFonts w:ascii="Book Antiqua" w:hAnsi="Book Antiqua" w:cs="Times New Roman"/>
          <w:i/>
          <w:sz w:val="24"/>
          <w:szCs w:val="24"/>
        </w:rPr>
        <w:t>P</w:t>
      </w:r>
      <w:r w:rsidR="00E1496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0.007); and the prevalence of PHG significantly increased with increasing variceal size (</w:t>
      </w:r>
      <w:r w:rsidR="004F4D30" w:rsidRPr="00737727">
        <w:rPr>
          <w:rFonts w:ascii="Book Antiqua" w:hAnsi="Book Antiqua"/>
          <w:i/>
        </w:rPr>
        <w:t>χ</w:t>
      </w:r>
      <w:r w:rsidR="004F4D30" w:rsidRPr="00737727">
        <w:rPr>
          <w:rFonts w:ascii="Book Antiqua" w:hAnsi="Book Antiqua"/>
          <w:i/>
          <w:vertAlign w:val="superscript"/>
        </w:rPr>
        <w:t>2</w:t>
      </w:r>
      <w:r w:rsidR="00E1496B">
        <w:rPr>
          <w:rFonts w:ascii="Book Antiqua" w:hAnsi="Book Antiqua" w:hint="eastAsia"/>
          <w:i/>
          <w:vertAlign w:val="superscript"/>
          <w:lang w:eastAsia="zh-CN"/>
        </w:rPr>
        <w:t xml:space="preserve"> </w:t>
      </w:r>
      <w:r w:rsidRPr="00302F74">
        <w:rPr>
          <w:rFonts w:ascii="Book Antiqua" w:hAnsi="Book Antiqua" w:cs="Times New Roman"/>
          <w:sz w:val="24"/>
          <w:szCs w:val="24"/>
        </w:rPr>
        <w:t>=</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13.2; </w:t>
      </w:r>
      <w:r w:rsidR="00E878B6">
        <w:rPr>
          <w:rFonts w:ascii="Book Antiqua" w:hAnsi="Book Antiqua" w:cs="Times New Roman"/>
          <w:i/>
          <w:sz w:val="24"/>
          <w:szCs w:val="24"/>
        </w:rPr>
        <w:t>P &lt;</w:t>
      </w:r>
      <w:r w:rsidR="00946FD7">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0.0003)</w:t>
      </w:r>
      <w:r w:rsidRPr="00302F74">
        <w:rPr>
          <w:rFonts w:ascii="Book Antiqua" w:hAnsi="Book Antiqua" w:cs="Times New Roman"/>
          <w:sz w:val="24"/>
          <w:szCs w:val="24"/>
          <w:vertAlign w:val="superscript"/>
        </w:rPr>
        <w:t>[34]</w:t>
      </w:r>
      <w:r w:rsidRPr="00302F74">
        <w:rPr>
          <w:rFonts w:ascii="Book Antiqua" w:hAnsi="Book Antiqua" w:cs="Times New Roman"/>
          <w:sz w:val="24"/>
          <w:szCs w:val="24"/>
        </w:rPr>
        <w:t>.</w:t>
      </w:r>
      <w:r w:rsidRPr="00302F74">
        <w:rPr>
          <w:rFonts w:ascii="Book Antiqua" w:hAnsi="Book Antiqua" w:cs="Times New Roman"/>
          <w:b/>
          <w:sz w:val="24"/>
          <w:szCs w:val="24"/>
        </w:rPr>
        <w:t xml:space="preserve"> </w:t>
      </w:r>
      <w:r w:rsidRPr="00302F74">
        <w:rPr>
          <w:rFonts w:ascii="Book Antiqua" w:hAnsi="Book Antiqua" w:cs="Times New Roman"/>
          <w:sz w:val="24"/>
          <w:szCs w:val="24"/>
        </w:rPr>
        <w:t xml:space="preserve">Numerous other studies also demonstrated significant correlation between presence of esophageal varices and PHG, and several studies also </w:t>
      </w:r>
      <w:r w:rsidRPr="00302F74">
        <w:rPr>
          <w:rFonts w:ascii="Book Antiqua" w:hAnsi="Book Antiqua" w:cs="Times New Roman"/>
          <w:sz w:val="24"/>
          <w:szCs w:val="24"/>
        </w:rPr>
        <w:lastRenderedPageBreak/>
        <w:t>demonstrated significant correlations between variceal size and PHG</w:t>
      </w:r>
      <w:r w:rsidRPr="00302F74">
        <w:rPr>
          <w:rFonts w:ascii="Book Antiqua" w:hAnsi="Book Antiqua" w:cs="Times New Roman"/>
          <w:sz w:val="24"/>
          <w:szCs w:val="24"/>
          <w:vertAlign w:val="superscript"/>
        </w:rPr>
        <w:t>[9,13,29,42,56,57,62]</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0062622A">
        <w:rPr>
          <w:rFonts w:ascii="Book Antiqua" w:hAnsi="Book Antiqua" w:cs="Times New Roman"/>
          <w:sz w:val="24"/>
          <w:szCs w:val="24"/>
        </w:rPr>
        <w:t xml:space="preserve">For example, Abbasi </w:t>
      </w:r>
      <w:r w:rsidR="0062622A" w:rsidRPr="0062622A">
        <w:rPr>
          <w:rFonts w:ascii="Book Antiqua" w:hAnsi="Book Antiqua" w:cs="Times New Roman"/>
          <w:i/>
          <w:sz w:val="24"/>
          <w:szCs w:val="24"/>
        </w:rPr>
        <w:t>et al</w:t>
      </w:r>
      <w:r w:rsidRPr="00302F74">
        <w:rPr>
          <w:rFonts w:ascii="Book Antiqua" w:hAnsi="Book Antiqua" w:cs="Times New Roman"/>
          <w:sz w:val="24"/>
          <w:szCs w:val="24"/>
          <w:vertAlign w:val="superscript"/>
        </w:rPr>
        <w:t>[62]</w:t>
      </w:r>
      <w:r w:rsidRPr="00302F74">
        <w:rPr>
          <w:rFonts w:ascii="Book Antiqua" w:hAnsi="Book Antiqua" w:cs="Times New Roman"/>
          <w:sz w:val="24"/>
          <w:szCs w:val="24"/>
        </w:rPr>
        <w:t xml:space="preserve"> reported that esophageal variceal size was significantly correlated with PHG frequency among 217 cirrhotic patients (r</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0.46</w:t>
      </w:r>
      <w:r w:rsidR="00E1496B">
        <w:rPr>
          <w:rFonts w:ascii="Book Antiqua" w:hAnsi="Book Antiqua" w:cs="Times New Roman" w:hint="eastAsia"/>
          <w:sz w:val="24"/>
          <w:szCs w:val="24"/>
          <w:lang w:eastAsia="zh-CN"/>
        </w:rPr>
        <w:t>;</w:t>
      </w:r>
      <w:r w:rsidRPr="00302F74">
        <w:rPr>
          <w:rFonts w:ascii="Book Antiqua" w:hAnsi="Book Antiqua" w:cs="Times New Roman"/>
          <w:sz w:val="24"/>
          <w:szCs w:val="24"/>
        </w:rPr>
        <w:t xml:space="preserve"> </w:t>
      </w:r>
      <w:r w:rsidR="00E878B6">
        <w:rPr>
          <w:rFonts w:ascii="Book Antiqua" w:hAnsi="Book Antiqua" w:cs="Times New Roman"/>
          <w:i/>
          <w:sz w:val="24"/>
          <w:szCs w:val="24"/>
        </w:rPr>
        <w:t>P &lt;</w:t>
      </w:r>
      <w:r w:rsidR="00E1496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0.001).</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rPr>
        <w:t>However, a few studies showed no correlation between presence or size of varices and PHG</w:t>
      </w:r>
      <w:r w:rsidRPr="00302F74">
        <w:rPr>
          <w:rFonts w:ascii="Book Antiqua" w:hAnsi="Book Antiqua" w:cs="Times New Roman"/>
          <w:sz w:val="24"/>
          <w:szCs w:val="24"/>
          <w:vertAlign w:val="superscript"/>
        </w:rPr>
        <w:t>[26,28,30,47]</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All these negative studies but one were relatively small.</w:t>
      </w:r>
      <w:r w:rsidR="00222DD9">
        <w:rPr>
          <w:rFonts w:ascii="Book Antiqua" w:hAnsi="Book Antiqua" w:cs="Times New Roman"/>
          <w:sz w:val="24"/>
          <w:szCs w:val="24"/>
        </w:rPr>
        <w:t xml:space="preserve"> </w:t>
      </w:r>
      <w:r w:rsidRPr="00302F74">
        <w:rPr>
          <w:rFonts w:ascii="Book Antiqua" w:hAnsi="Book Antiqua" w:cs="Times New Roman"/>
          <w:sz w:val="24"/>
          <w:szCs w:val="24"/>
        </w:rPr>
        <w:t xml:space="preserve">Gupta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[30]</w:t>
      </w:r>
      <w:r w:rsidRPr="00302F74">
        <w:rPr>
          <w:rFonts w:ascii="Book Antiqua" w:hAnsi="Book Antiqua" w:cs="Times New Roman"/>
          <w:sz w:val="24"/>
          <w:szCs w:val="24"/>
        </w:rPr>
        <w:t xml:space="preserve"> reported no significant association between frequency of PHG and size of esophageal varices among 230 cirrhotic patients.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Similarly, in a study of 59 patients with cirrhosis, Bellis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[47]</w:t>
      </w:r>
      <w:r w:rsidRPr="00302F74">
        <w:rPr>
          <w:rFonts w:ascii="Book Antiqua" w:hAnsi="Book Antiqua" w:cs="Times New Roman"/>
          <w:sz w:val="24"/>
          <w:szCs w:val="24"/>
        </w:rPr>
        <w:t xml:space="preserve"> showed a non-significant trend towards more severe PHG in patients with large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small varices.</w:t>
      </w:r>
      <w:r w:rsidR="00963345">
        <w:rPr>
          <w:rFonts w:ascii="Book Antiqua" w:hAnsi="Book Antiqua" w:cs="Times New Roman"/>
          <w:sz w:val="24"/>
          <w:szCs w:val="24"/>
        </w:rPr>
        <w:t xml:space="preserve"> </w:t>
      </w:r>
      <w:r w:rsidRPr="00302F74">
        <w:rPr>
          <w:rFonts w:ascii="Book Antiqua" w:hAnsi="Book Antiqua" w:cs="Times New Roman"/>
          <w:sz w:val="24"/>
          <w:szCs w:val="24"/>
        </w:rPr>
        <w:t>For example, three (50%) of 6 patients without esophageal varices had PHG, 6 (60%) of 10 patients with small varices had PHG, 19 (76%) of 25 patients with medium-sized varices had PHG, and 16 (89%) of 18 patients with large varices had PHG (</w:t>
      </w:r>
      <w:r w:rsidRPr="00302F74">
        <w:rPr>
          <w:rFonts w:ascii="Book Antiqua" w:hAnsi="Book Antiqua" w:cs="Times New Roman"/>
          <w:i/>
          <w:sz w:val="24"/>
          <w:szCs w:val="24"/>
        </w:rPr>
        <w:t>NS</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Iwao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[28]</w:t>
      </w:r>
      <w:r w:rsidRPr="00302F74">
        <w:rPr>
          <w:rFonts w:ascii="Book Antiqua" w:hAnsi="Book Antiqua" w:cs="Times New Roman"/>
          <w:sz w:val="24"/>
          <w:szCs w:val="24"/>
        </w:rPr>
        <w:t xml:space="preserve"> further reported that the frequency of PHG was not correlated with esophageal variceal size.</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The mean grade of gastroesophageal varices was 1.4 + 0.9 for no PHG, 2.0 + 0.9 for mild PHG, and 1.9 + 1.0 for severe PHG (all </w:t>
      </w:r>
      <w:r w:rsidRPr="00E1496B">
        <w:rPr>
          <w:rFonts w:ascii="Book Antiqua" w:hAnsi="Book Antiqua" w:cs="Times New Roman"/>
          <w:sz w:val="24"/>
          <w:szCs w:val="24"/>
        </w:rPr>
        <w:t>NS</w:t>
      </w:r>
      <w:r w:rsidRPr="00302F74">
        <w:rPr>
          <w:rFonts w:ascii="Book Antiqua" w:hAnsi="Book Antiqua" w:cs="Times New Roman"/>
          <w:sz w:val="24"/>
          <w:szCs w:val="24"/>
        </w:rPr>
        <w:t xml:space="preserve">), and the mean grade of gastric varices was 0.5 + 0.8 for no PHG, 1.3 + 1.3 for mild PHG, and 0.9 + 1.2 for severe PHG (all </w:t>
      </w:r>
      <w:r w:rsidRPr="00E1496B">
        <w:rPr>
          <w:rFonts w:ascii="Book Antiqua" w:hAnsi="Book Antiqua" w:cs="Times New Roman"/>
          <w:sz w:val="24"/>
          <w:szCs w:val="24"/>
        </w:rPr>
        <w:t>NS</w:t>
      </w:r>
      <w:r w:rsidRPr="00302F74">
        <w:rPr>
          <w:rFonts w:ascii="Book Antiqua" w:hAnsi="Book Antiqua" w:cs="Times New Roman"/>
          <w:sz w:val="24"/>
          <w:szCs w:val="24"/>
        </w:rPr>
        <w:t>).</w:t>
      </w:r>
    </w:p>
    <w:p w:rsidR="00E1496B" w:rsidRPr="00302F74" w:rsidRDefault="00E1496B" w:rsidP="00FA6CCE">
      <w:pPr>
        <w:widowControl w:val="0"/>
        <w:spacing w:line="360" w:lineRule="auto"/>
        <w:ind w:firstLine="720"/>
        <w:jc w:val="both"/>
        <w:rPr>
          <w:rFonts w:ascii="Book Antiqua" w:hAnsi="Book Antiqua" w:cs="Times New Roman"/>
          <w:sz w:val="24"/>
          <w:szCs w:val="24"/>
          <w:lang w:eastAsia="zh-CN"/>
        </w:rPr>
      </w:pPr>
    </w:p>
    <w:p w:rsidR="00C9325C" w:rsidRPr="00DD10FC" w:rsidRDefault="00C9325C" w:rsidP="00E1496B">
      <w:pPr>
        <w:widowControl w:val="0"/>
        <w:spacing w:line="360" w:lineRule="auto"/>
        <w:jc w:val="both"/>
        <w:rPr>
          <w:rFonts w:ascii="Book Antiqua" w:hAnsi="Book Antiqua" w:cs="Times New Roman"/>
          <w:b/>
          <w:sz w:val="24"/>
          <w:szCs w:val="24"/>
        </w:rPr>
      </w:pPr>
      <w:r w:rsidRPr="00DD10FC">
        <w:rPr>
          <w:rFonts w:ascii="Book Antiqua" w:hAnsi="Book Antiqua" w:cs="Times New Roman"/>
          <w:b/>
          <w:sz w:val="24"/>
          <w:szCs w:val="24"/>
        </w:rPr>
        <w:t>Location of varices</w:t>
      </w:r>
      <w:r w:rsidR="00DD10FC">
        <w:rPr>
          <w:rFonts w:ascii="Book Antiqua" w:hAnsi="Book Antiqua" w:cs="Times New Roman" w:hint="eastAsia"/>
          <w:b/>
          <w:sz w:val="24"/>
          <w:szCs w:val="24"/>
          <w:lang w:eastAsia="zh-CN"/>
        </w:rPr>
        <w:t xml:space="preserve">: </w:t>
      </w:r>
      <w:r w:rsidRPr="00302F74">
        <w:rPr>
          <w:rFonts w:ascii="Book Antiqua" w:hAnsi="Book Antiqua" w:cs="Times New Roman"/>
          <w:sz w:val="24"/>
          <w:szCs w:val="24"/>
        </w:rPr>
        <w:t xml:space="preserve">Regarding variceal location, Sarin </w:t>
      </w:r>
      <w:r w:rsidR="00E1496B" w:rsidRPr="00E1496B">
        <w:rPr>
          <w:rFonts w:ascii="Book Antiqua" w:hAnsi="Book Antiqua" w:cs="Times New Roman"/>
          <w:i/>
          <w:sz w:val="24"/>
          <w:szCs w:val="24"/>
        </w:rPr>
        <w:t xml:space="preserve">et </w:t>
      </w:r>
      <w:proofErr w:type="gramStart"/>
      <w:r w:rsidR="00E1496B" w:rsidRPr="00E1496B">
        <w:rPr>
          <w:rFonts w:ascii="Book Antiqua" w:hAnsi="Book Antiqua" w:cs="Times New Roman"/>
          <w:i/>
          <w:sz w:val="24"/>
          <w:szCs w:val="24"/>
        </w:rPr>
        <w:t>al</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8]</w:t>
      </w:r>
      <w:r w:rsidRPr="00302F74">
        <w:rPr>
          <w:rFonts w:ascii="Book Antiqua" w:hAnsi="Book Antiqua" w:cs="Times New Roman"/>
          <w:sz w:val="24"/>
          <w:szCs w:val="24"/>
        </w:rPr>
        <w:t xml:space="preserve"> reported in a study of 107 patients with cirrhosis, NCPF or EHPVO, that PHG was significantly more common in patients with coexistent gastric and esophageal varices as compared to solely esophageal varices. PHG occurred in 15 (42%) of 36 patients with concomitant esophageal and gastric varices, but occurred in only 8 (11%) of 71 patients with solely esophageal varices (</w:t>
      </w:r>
      <w:r w:rsidR="00E878B6">
        <w:rPr>
          <w:rFonts w:ascii="Book Antiqua" w:hAnsi="Book Antiqua" w:cs="Times New Roman"/>
          <w:i/>
          <w:sz w:val="24"/>
          <w:szCs w:val="24"/>
        </w:rPr>
        <w:t>P &lt;</w:t>
      </w:r>
      <w:r w:rsidR="00E1496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0.01).</w:t>
      </w:r>
      <w:r w:rsidR="00222DD9">
        <w:rPr>
          <w:rFonts w:ascii="Book Antiqua" w:hAnsi="Book Antiqua" w:cs="Times New Roman"/>
          <w:sz w:val="24"/>
          <w:szCs w:val="24"/>
        </w:rPr>
        <w:t xml:space="preserve"> </w:t>
      </w:r>
      <w:r w:rsidRPr="00302F74">
        <w:rPr>
          <w:rFonts w:ascii="Book Antiqua" w:hAnsi="Book Antiqua" w:cs="Times New Roman"/>
          <w:sz w:val="24"/>
          <w:szCs w:val="24"/>
        </w:rPr>
        <w:t xml:space="preserve">Likewise, Gupta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[30]</w:t>
      </w:r>
      <w:r w:rsidRPr="00302F74">
        <w:rPr>
          <w:rFonts w:ascii="Book Antiqua" w:hAnsi="Book Antiqua" w:cs="Times New Roman"/>
          <w:sz w:val="24"/>
          <w:szCs w:val="24"/>
        </w:rPr>
        <w:t xml:space="preserve"> reported a significantly higher prevalence of PHG in patients with esop</w:t>
      </w:r>
      <w:r w:rsidR="00E1496B">
        <w:rPr>
          <w:rFonts w:ascii="Book Antiqua" w:hAnsi="Book Antiqua" w:cs="Times New Roman"/>
          <w:sz w:val="24"/>
          <w:szCs w:val="24"/>
        </w:rPr>
        <w:t>hageal and gastric varices (74 69%</w:t>
      </w:r>
      <w:r w:rsidRPr="00302F74">
        <w:rPr>
          <w:rFonts w:ascii="Book Antiqua" w:hAnsi="Book Antiqua" w:cs="Times New Roman"/>
          <w:sz w:val="24"/>
          <w:szCs w:val="24"/>
        </w:rPr>
        <w:t xml:space="preserve"> of 107) compared to solely esophageal va</w:t>
      </w:r>
      <w:r w:rsidR="00E1496B">
        <w:rPr>
          <w:rFonts w:ascii="Book Antiqua" w:hAnsi="Book Antiqua" w:cs="Times New Roman"/>
          <w:sz w:val="24"/>
          <w:szCs w:val="24"/>
        </w:rPr>
        <w:t>rices (68 55%</w:t>
      </w:r>
      <w:r w:rsidR="00E1496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of 123, </w:t>
      </w:r>
      <w:r w:rsidR="00E878B6">
        <w:rPr>
          <w:rFonts w:ascii="Book Antiqua" w:hAnsi="Book Antiqua" w:cs="Times New Roman"/>
          <w:i/>
          <w:sz w:val="24"/>
          <w:szCs w:val="24"/>
        </w:rPr>
        <w:t>P &lt;</w:t>
      </w:r>
      <w:r w:rsidR="00E1496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rPr>
        <w:t xml:space="preserve">Iwao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[31]</w:t>
      </w:r>
      <w:r w:rsidRPr="00302F74">
        <w:rPr>
          <w:rFonts w:ascii="Book Antiqua" w:hAnsi="Book Antiqua" w:cs="Times New Roman"/>
          <w:sz w:val="24"/>
          <w:szCs w:val="24"/>
        </w:rPr>
        <w:t xml:space="preserve"> reported a significantly higher incidence of PHG in cirrhotic patients with esophageal varices as compared to fundal gastric varices.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Merkel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[36]</w:t>
      </w:r>
      <w:r w:rsidRPr="00302F74">
        <w:rPr>
          <w:rFonts w:ascii="Book Antiqua" w:hAnsi="Book Antiqua" w:cs="Times New Roman"/>
          <w:sz w:val="24"/>
          <w:szCs w:val="24"/>
        </w:rPr>
        <w:t xml:space="preserve"> reported that patients with severe PHG localized to the gastric body or fundus had significantly higher HVPG than patients with severe PHG localized to the gastric antrum.</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302F74">
        <w:rPr>
          <w:rFonts w:ascii="Book Antiqua" w:hAnsi="Book Antiqua" w:cs="Times New Roman"/>
          <w:sz w:val="24"/>
          <w:szCs w:val="24"/>
        </w:rPr>
        <w:t xml:space="preserve">Portal hypertension is usually associated with portosystemic collateral </w:t>
      </w:r>
      <w:r w:rsidRPr="00302F74">
        <w:rPr>
          <w:rFonts w:ascii="Book Antiqua" w:hAnsi="Book Antiqua" w:cs="Times New Roman"/>
          <w:sz w:val="24"/>
          <w:szCs w:val="24"/>
        </w:rPr>
        <w:lastRenderedPageBreak/>
        <w:t xml:space="preserve">circulation, commonly including esophageal varices, gastric varices, and abdominal or umbilical or hemorrhoidal vein dilatation; and uncommonly including splenorenal, gastric, renal, retroperitoneal, or cardiac angle venous shunts. Wu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[68]</w:t>
      </w:r>
      <w:r w:rsidRPr="00302F74">
        <w:rPr>
          <w:rFonts w:ascii="Book Antiqua" w:hAnsi="Book Antiqua" w:cs="Times New Roman"/>
          <w:sz w:val="24"/>
          <w:szCs w:val="24"/>
        </w:rPr>
        <w:t xml:space="preserve"> reported that the rate of moderate or severe PHG was higher in patients with</w:t>
      </w:r>
      <w:r w:rsidR="00E1496B">
        <w:rPr>
          <w:rFonts w:ascii="Book Antiqua" w:hAnsi="Book Antiqua" w:cs="Times New Roman"/>
          <w:sz w:val="24"/>
          <w:szCs w:val="24"/>
        </w:rPr>
        <w:t xml:space="preserve"> common collaterals (296 67.4%</w:t>
      </w:r>
      <w:r w:rsidRPr="00302F74">
        <w:rPr>
          <w:rFonts w:ascii="Book Antiqua" w:hAnsi="Book Antiqua" w:cs="Times New Roman"/>
          <w:sz w:val="24"/>
          <w:szCs w:val="24"/>
        </w:rPr>
        <w:t xml:space="preserve"> of 439 patients) </w:t>
      </w:r>
      <w:r w:rsidR="00F34508" w:rsidRPr="00F34508">
        <w:rPr>
          <w:rFonts w:ascii="Book Antiqua" w:hAnsi="Book Antiqua" w:cs="Times New Roman" w:hint="eastAsia"/>
          <w:i/>
          <w:sz w:val="24"/>
          <w:szCs w:val="24"/>
          <w:lang w:eastAsia="zh-CN"/>
        </w:rPr>
        <w:t>vs</w:t>
      </w:r>
      <w:r w:rsidR="00E1496B">
        <w:rPr>
          <w:rFonts w:ascii="Book Antiqua" w:hAnsi="Book Antiqua" w:cs="Times New Roman"/>
          <w:sz w:val="24"/>
          <w:szCs w:val="24"/>
        </w:rPr>
        <w:t xml:space="preserve"> uncommon collaterals (70 59.3%</w:t>
      </w:r>
      <w:r w:rsidRPr="00302F74">
        <w:rPr>
          <w:rFonts w:ascii="Book Antiqua" w:hAnsi="Book Antiqua" w:cs="Times New Roman"/>
          <w:sz w:val="24"/>
          <w:szCs w:val="24"/>
        </w:rPr>
        <w:t xml:space="preserve"> of 118 patients), but this difference was not statistically significant.</w:t>
      </w:r>
    </w:p>
    <w:p w:rsidR="00C9325C" w:rsidRDefault="00C9325C" w:rsidP="00FA6CCE">
      <w:pPr>
        <w:widowControl w:val="0"/>
        <w:spacing w:line="360" w:lineRule="auto"/>
        <w:ind w:firstLine="720"/>
        <w:jc w:val="both"/>
        <w:rPr>
          <w:rFonts w:ascii="Book Antiqua" w:hAnsi="Book Antiqua" w:cs="Times New Roman"/>
          <w:sz w:val="24"/>
          <w:szCs w:val="24"/>
          <w:lang w:val="en" w:eastAsia="zh-CN"/>
        </w:rPr>
      </w:pPr>
      <w:r w:rsidRPr="00302F74">
        <w:rPr>
          <w:rFonts w:ascii="Book Antiqua" w:hAnsi="Book Antiqua" w:cs="Times New Roman"/>
          <w:sz w:val="24"/>
          <w:szCs w:val="24"/>
          <w:lang w:val="en"/>
        </w:rPr>
        <w:t xml:space="preserve">In 2007, Zardi </w:t>
      </w:r>
      <w:r w:rsidR="00E1496B"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[45]</w:t>
      </w:r>
      <w:r w:rsidRPr="00302F74">
        <w:rPr>
          <w:rFonts w:ascii="Book Antiqua" w:hAnsi="Book Antiqua" w:cs="Times New Roman"/>
          <w:sz w:val="24"/>
          <w:szCs w:val="24"/>
          <w:lang w:val="en"/>
        </w:rPr>
        <w:t xml:space="preserve"> proposed that PHG is promoted by minimal collateral circulation because a significant collateral circulation would otherwise reduce portal pressure and gastric mucosal congestion. They found that the portal vein diameter in cirrhotic patients was larger in patients with PHG and no esophageal varices (13.0 + 2.6 mm) than in patients with F1 esophageal varices (12.6 + 2.3 mm) or F2 esophageal varices (12.9 + 2.0 mm)(</w:t>
      </w:r>
      <w:r w:rsidRPr="00E1496B">
        <w:rPr>
          <w:rFonts w:ascii="Book Antiqua" w:hAnsi="Book Antiqua" w:cs="Times New Roman"/>
          <w:sz w:val="24"/>
          <w:szCs w:val="24"/>
          <w:lang w:val="en"/>
        </w:rPr>
        <w:t>NS</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They further supported this concept by finding that patients with portal vein diameter &lt;</w:t>
      </w:r>
      <w:r w:rsidR="00E1496B">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12 mm have a significantly higher prevalence of F1 and F2 esophageal varices than patients with a portal diameter between 12-13 mm, and argued that the absence of hepatofugal collateral circulation created by flow inversion, in patients without esophageal varices, left the entire pressure gradient over the portal vein</w:t>
      </w:r>
      <w:r w:rsidRPr="00302F74">
        <w:rPr>
          <w:rFonts w:ascii="Book Antiqua" w:hAnsi="Book Antiqua" w:cs="Times New Roman"/>
          <w:sz w:val="24"/>
          <w:szCs w:val="24"/>
          <w:vertAlign w:val="superscript"/>
          <w:lang w:val="en"/>
        </w:rPr>
        <w:t>[45]</w:t>
      </w:r>
      <w:r w:rsidRPr="00302F74">
        <w:rPr>
          <w:rFonts w:ascii="Book Antiqua" w:hAnsi="Book Antiqua" w:cs="Times New Roman"/>
          <w:sz w:val="24"/>
          <w:szCs w:val="24"/>
          <w:lang w:val="en"/>
        </w:rPr>
        <w:t>.</w:t>
      </w:r>
    </w:p>
    <w:p w:rsidR="00E1496B" w:rsidRPr="00145447" w:rsidRDefault="00E1496B" w:rsidP="00FA6CCE">
      <w:pPr>
        <w:widowControl w:val="0"/>
        <w:spacing w:line="360" w:lineRule="auto"/>
        <w:ind w:firstLine="720"/>
        <w:jc w:val="both"/>
        <w:rPr>
          <w:rFonts w:ascii="Book Antiqua" w:hAnsi="Book Antiqua" w:cs="Times New Roman"/>
          <w:sz w:val="24"/>
          <w:szCs w:val="24"/>
          <w:lang w:val="en" w:eastAsia="zh-CN"/>
        </w:rPr>
      </w:pPr>
    </w:p>
    <w:p w:rsidR="00C9325C" w:rsidRPr="00145447" w:rsidRDefault="00C9325C" w:rsidP="00E1496B">
      <w:pPr>
        <w:widowControl w:val="0"/>
        <w:spacing w:line="360" w:lineRule="auto"/>
        <w:jc w:val="both"/>
        <w:rPr>
          <w:rFonts w:ascii="Book Antiqua" w:hAnsi="Book Antiqua" w:cs="Times New Roman"/>
          <w:b/>
          <w:sz w:val="24"/>
          <w:szCs w:val="24"/>
        </w:rPr>
      </w:pPr>
      <w:r w:rsidRPr="00145447">
        <w:rPr>
          <w:rFonts w:ascii="Book Antiqua" w:hAnsi="Book Antiqua" w:cs="Times New Roman"/>
          <w:b/>
          <w:sz w:val="24"/>
          <w:szCs w:val="24"/>
        </w:rPr>
        <w:t>Esophageal variceal eradication</w:t>
      </w:r>
      <w:r w:rsidR="00145447">
        <w:rPr>
          <w:rFonts w:ascii="Book Antiqua" w:hAnsi="Book Antiqua" w:cs="Times New Roman" w:hint="eastAsia"/>
          <w:b/>
          <w:sz w:val="24"/>
          <w:szCs w:val="24"/>
          <w:lang w:eastAsia="zh-CN"/>
        </w:rPr>
        <w:t xml:space="preserve">: </w:t>
      </w:r>
      <w:r w:rsidRPr="00302F74">
        <w:rPr>
          <w:rFonts w:ascii="Book Antiqua" w:hAnsi="Book Antiqua" w:cs="Times New Roman"/>
          <w:sz w:val="24"/>
          <w:szCs w:val="24"/>
        </w:rPr>
        <w:t>Numerous studies demonstrated that PHG increased in incidence and that preexistent PHG increased i</w:t>
      </w:r>
      <w:r w:rsidRPr="00E1496B">
        <w:rPr>
          <w:rFonts w:ascii="Book Antiqua" w:hAnsi="Book Antiqua" w:cs="Times New Roman"/>
          <w:sz w:val="24"/>
          <w:szCs w:val="24"/>
        </w:rPr>
        <w:t xml:space="preserve">n severity after eradication of esophageal varices by either endoscopic variceal ligation (Table </w:t>
      </w:r>
      <w:r w:rsidR="004626AB">
        <w:rPr>
          <w:rFonts w:ascii="Book Antiqua" w:hAnsi="Book Antiqua" w:cs="Times New Roman" w:hint="eastAsia"/>
          <w:sz w:val="24"/>
          <w:szCs w:val="24"/>
          <w:lang w:eastAsia="zh-CN"/>
        </w:rPr>
        <w:t>3</w:t>
      </w:r>
      <w:r w:rsidRPr="00E1496B">
        <w:rPr>
          <w:rFonts w:ascii="Book Antiqua" w:hAnsi="Book Antiqua" w:cs="Times New Roman"/>
          <w:sz w:val="24"/>
          <w:szCs w:val="24"/>
        </w:rPr>
        <w:t>)</w:t>
      </w:r>
      <w:r w:rsidRPr="00E1496B">
        <w:rPr>
          <w:rFonts w:ascii="Book Antiqua" w:hAnsi="Book Antiqua" w:cs="Times New Roman"/>
          <w:sz w:val="24"/>
          <w:szCs w:val="24"/>
          <w:vertAlign w:val="superscript"/>
        </w:rPr>
        <w:t>[41,73,80-82]</w:t>
      </w:r>
      <w:r w:rsidRPr="00E1496B">
        <w:rPr>
          <w:rFonts w:ascii="Book Antiqua" w:hAnsi="Book Antiqua" w:cs="Times New Roman"/>
          <w:sz w:val="24"/>
          <w:szCs w:val="24"/>
        </w:rPr>
        <w:t xml:space="preserve">. or endoscopic variceal sclerotherapy (Table </w:t>
      </w:r>
      <w:r w:rsidR="004626AB">
        <w:rPr>
          <w:rFonts w:ascii="Book Antiqua" w:hAnsi="Book Antiqua" w:cs="Times New Roman" w:hint="eastAsia"/>
          <w:sz w:val="24"/>
          <w:szCs w:val="24"/>
          <w:lang w:eastAsia="zh-CN"/>
        </w:rPr>
        <w:t>4</w:t>
      </w:r>
      <w:r w:rsidRPr="00E1496B">
        <w:rPr>
          <w:rFonts w:ascii="Book Antiqua" w:hAnsi="Book Antiqua" w:cs="Times New Roman"/>
          <w:sz w:val="24"/>
          <w:szCs w:val="24"/>
        </w:rPr>
        <w:t>)</w:t>
      </w:r>
      <w:r w:rsidRPr="00E1496B">
        <w:rPr>
          <w:rFonts w:ascii="Book Antiqua" w:hAnsi="Book Antiqua" w:cs="Times New Roman"/>
          <w:sz w:val="24"/>
          <w:szCs w:val="24"/>
          <w:vertAlign w:val="superscript"/>
        </w:rPr>
        <w:t>[8,10,11,25,30,41,73,</w:t>
      </w:r>
      <w:r w:rsidR="00FE2E78" w:rsidRPr="00E1496B">
        <w:rPr>
          <w:rFonts w:ascii="Book Antiqua" w:hAnsi="Book Antiqua" w:cs="Times New Roman"/>
          <w:sz w:val="24"/>
          <w:szCs w:val="24"/>
          <w:vertAlign w:val="superscript"/>
        </w:rPr>
        <w:t>81</w:t>
      </w:r>
      <w:r w:rsidR="00AE79EC" w:rsidRPr="00E1496B">
        <w:rPr>
          <w:rFonts w:ascii="Book Antiqua" w:hAnsi="Book Antiqua" w:cs="Times New Roman"/>
          <w:sz w:val="24"/>
          <w:szCs w:val="24"/>
          <w:vertAlign w:val="superscript"/>
        </w:rPr>
        <w:t>-</w:t>
      </w:r>
      <w:r w:rsidRPr="00E1496B">
        <w:rPr>
          <w:rFonts w:ascii="Book Antiqua" w:hAnsi="Book Antiqua" w:cs="Times New Roman"/>
          <w:sz w:val="24"/>
          <w:szCs w:val="24"/>
          <w:vertAlign w:val="superscript"/>
        </w:rPr>
        <w:t>8</w:t>
      </w:r>
      <w:r w:rsidR="00AE79EC" w:rsidRPr="00E1496B">
        <w:rPr>
          <w:rFonts w:ascii="Book Antiqua" w:hAnsi="Book Antiqua" w:cs="Times New Roman"/>
          <w:sz w:val="24"/>
          <w:szCs w:val="24"/>
          <w:vertAlign w:val="superscript"/>
        </w:rPr>
        <w:t>3</w:t>
      </w:r>
      <w:r w:rsidRPr="00E1496B">
        <w:rPr>
          <w:rFonts w:ascii="Book Antiqua" w:hAnsi="Book Antiqua" w:cs="Times New Roman"/>
          <w:sz w:val="24"/>
          <w:szCs w:val="24"/>
          <w:vertAlign w:val="superscript"/>
          <w:lang w:val="en"/>
        </w:rPr>
        <w:t>]</w:t>
      </w:r>
      <w:r w:rsidRPr="00E1496B">
        <w:rPr>
          <w:rFonts w:ascii="Book Antiqua" w:hAnsi="Book Antiqua" w:cs="Times New Roman"/>
          <w:sz w:val="24"/>
          <w:szCs w:val="24"/>
        </w:rPr>
        <w:t xml:space="preserve"> in cirrhotic patients with portal hypertension</w:t>
      </w:r>
      <w:r w:rsidRPr="00E1496B">
        <w:rPr>
          <w:rFonts w:ascii="Book Antiqua" w:hAnsi="Book Antiqua" w:cs="Times New Roman"/>
          <w:sz w:val="24"/>
          <w:szCs w:val="24"/>
          <w:lang w:val="en"/>
        </w:rPr>
        <w:t xml:space="preserve">. </w:t>
      </w:r>
      <w:r w:rsidRPr="00E1496B">
        <w:rPr>
          <w:rFonts w:ascii="Book Antiqua" w:hAnsi="Book Antiqua" w:cs="Times New Roman"/>
          <w:sz w:val="24"/>
          <w:szCs w:val="24"/>
        </w:rPr>
        <w:t>Both phenomena also occurred after endoscopic variceal eradication in patients with non-cirrhotic portal hypertension, as shown in two studies in pediatric patients with EHPVO.</w:t>
      </w:r>
      <w:r w:rsidR="00963345" w:rsidRPr="00E1496B">
        <w:rPr>
          <w:rFonts w:ascii="Book Antiqua" w:hAnsi="Book Antiqua" w:cs="Times New Roman"/>
          <w:sz w:val="24"/>
          <w:szCs w:val="24"/>
        </w:rPr>
        <w:t xml:space="preserve"> </w:t>
      </w:r>
      <w:r w:rsidRPr="00E1496B">
        <w:rPr>
          <w:rFonts w:ascii="Book Antiqua" w:hAnsi="Book Antiqua" w:cs="Times New Roman"/>
          <w:sz w:val="24"/>
          <w:szCs w:val="24"/>
        </w:rPr>
        <w:t xml:space="preserve">For example, Poddar </w:t>
      </w:r>
      <w:r w:rsidR="004626AB" w:rsidRPr="00E1496B">
        <w:rPr>
          <w:rFonts w:ascii="Book Antiqua" w:hAnsi="Book Antiqua" w:cs="Times New Roman"/>
          <w:i/>
          <w:sz w:val="24"/>
          <w:szCs w:val="24"/>
        </w:rPr>
        <w:t>et al</w:t>
      </w:r>
      <w:r w:rsidRPr="00E1496B">
        <w:rPr>
          <w:rFonts w:ascii="Book Antiqua" w:hAnsi="Book Antiqua" w:cs="Times New Roman"/>
          <w:sz w:val="24"/>
          <w:szCs w:val="24"/>
          <w:vertAlign w:val="superscript"/>
        </w:rPr>
        <w:t>[8</w:t>
      </w:r>
      <w:r w:rsidR="00FE2E78" w:rsidRPr="00E1496B">
        <w:rPr>
          <w:rFonts w:ascii="Book Antiqua" w:hAnsi="Book Antiqua" w:cs="Times New Roman"/>
          <w:sz w:val="24"/>
          <w:szCs w:val="24"/>
          <w:vertAlign w:val="superscript"/>
        </w:rPr>
        <w:t>3</w:t>
      </w:r>
      <w:r w:rsidRPr="00E1496B">
        <w:rPr>
          <w:rFonts w:ascii="Book Antiqua" w:hAnsi="Book Antiqua" w:cs="Times New Roman"/>
          <w:sz w:val="24"/>
          <w:szCs w:val="24"/>
          <w:vertAlign w:val="superscript"/>
        </w:rPr>
        <w:t>,8</w:t>
      </w:r>
      <w:r w:rsidR="00FE2E78" w:rsidRPr="00E1496B">
        <w:rPr>
          <w:rFonts w:ascii="Book Antiqua" w:hAnsi="Book Antiqua" w:cs="Times New Roman"/>
          <w:sz w:val="24"/>
          <w:szCs w:val="24"/>
          <w:vertAlign w:val="superscript"/>
        </w:rPr>
        <w:t>4</w:t>
      </w:r>
      <w:r w:rsidRPr="00E1496B">
        <w:rPr>
          <w:rFonts w:ascii="Book Antiqua" w:hAnsi="Book Antiqua" w:cs="Times New Roman"/>
          <w:sz w:val="24"/>
          <w:szCs w:val="24"/>
          <w:vertAlign w:val="superscript"/>
        </w:rPr>
        <w:t>]</w:t>
      </w:r>
      <w:r w:rsidRPr="00E1496B">
        <w:rPr>
          <w:rFonts w:ascii="Book Antiqua" w:hAnsi="Book Antiqua" w:cs="Times New Roman"/>
          <w:sz w:val="24"/>
          <w:szCs w:val="24"/>
        </w:rPr>
        <w:t xml:space="preserve"> reported in a prospective study of 274 children undergoing surveillance EGD after endoscopic sclerotherapy for EHPVO that the number of patients with PHG increased from 46 (24.7%) at baseline to 95 (51.6%) after sclerotherapy among 186 patients completing the study (</w:t>
      </w:r>
      <w:r w:rsidR="00E878B6" w:rsidRPr="00E1496B">
        <w:rPr>
          <w:rFonts w:ascii="Book Antiqua" w:hAnsi="Book Antiqua" w:cs="Times New Roman"/>
          <w:i/>
          <w:sz w:val="24"/>
          <w:szCs w:val="24"/>
        </w:rPr>
        <w:t>P &lt;</w:t>
      </w:r>
      <w:r w:rsidR="004626AB">
        <w:rPr>
          <w:rFonts w:ascii="Book Antiqua" w:hAnsi="Book Antiqua" w:cs="Times New Roman" w:hint="eastAsia"/>
          <w:i/>
          <w:sz w:val="24"/>
          <w:szCs w:val="24"/>
          <w:lang w:eastAsia="zh-CN"/>
        </w:rPr>
        <w:t xml:space="preserve"> </w:t>
      </w:r>
      <w:r w:rsidRPr="00E1496B">
        <w:rPr>
          <w:rFonts w:ascii="Book Antiqua" w:hAnsi="Book Antiqua" w:cs="Times New Roman"/>
          <w:sz w:val="24"/>
          <w:szCs w:val="24"/>
        </w:rPr>
        <w:t xml:space="preserve">0.001). Likewise, Itha </w:t>
      </w:r>
      <w:r w:rsidR="004626A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[11]</w:t>
      </w:r>
      <w:r w:rsidRPr="00302F74">
        <w:rPr>
          <w:rFonts w:ascii="Book Antiqua" w:hAnsi="Book Antiqua" w:cs="Times New Roman"/>
          <w:sz w:val="24"/>
          <w:szCs w:val="24"/>
        </w:rPr>
        <w:t xml:space="preserve"> reported that the rate of PHG increased from 12% to 41% after endoscopic sclerotherapy (</w:t>
      </w:r>
      <w:r w:rsidR="00E878B6">
        <w:rPr>
          <w:rFonts w:ascii="Book Antiqua" w:hAnsi="Book Antiqua" w:cs="Times New Roman"/>
          <w:i/>
          <w:sz w:val="24"/>
          <w:szCs w:val="24"/>
        </w:rPr>
        <w:t>P &lt;</w:t>
      </w:r>
      <w:r w:rsidR="004F4D30">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 xml:space="preserve">0.001) in a prospective study of 163 </w:t>
      </w:r>
      <w:r w:rsidRPr="00302F74">
        <w:rPr>
          <w:rFonts w:ascii="Book Antiqua" w:hAnsi="Book Antiqua" w:cs="Times New Roman"/>
          <w:sz w:val="24"/>
          <w:szCs w:val="24"/>
        </w:rPr>
        <w:lastRenderedPageBreak/>
        <w:t>children undergoing surveillance EGD at 3 and 6 mo after endoscopic sclerotherapy.</w:t>
      </w:r>
      <w:r w:rsidR="00963345">
        <w:rPr>
          <w:rFonts w:ascii="Book Antiqua" w:hAnsi="Book Antiqua" w:cs="Times New Roman"/>
          <w:b/>
          <w:sz w:val="24"/>
          <w:szCs w:val="24"/>
          <w:lang w:val="en"/>
        </w:rPr>
        <w:t xml:space="preserve"> </w:t>
      </w:r>
      <w:r w:rsidR="00963345">
        <w:rPr>
          <w:rFonts w:ascii="Book Antiqua" w:hAnsi="Book Antiqua" w:cs="Times New Roman"/>
          <w:sz w:val="24"/>
          <w:szCs w:val="24"/>
        </w:rPr>
        <w:t xml:space="preserve">In the study by Sarin </w:t>
      </w:r>
      <w:r w:rsidR="00963345" w:rsidRPr="00963345">
        <w:rPr>
          <w:rFonts w:ascii="Book Antiqua" w:hAnsi="Book Antiqua" w:cs="Times New Roman"/>
          <w:i/>
          <w:sz w:val="24"/>
          <w:szCs w:val="24"/>
        </w:rPr>
        <w:t>et al</w:t>
      </w:r>
      <w:r w:rsidRPr="00302F74">
        <w:rPr>
          <w:rFonts w:ascii="Book Antiqua" w:hAnsi="Book Antiqua" w:cs="Times New Roman"/>
          <w:sz w:val="24"/>
          <w:szCs w:val="24"/>
          <w:vertAlign w:val="superscript"/>
        </w:rPr>
        <w:t>[10]</w:t>
      </w:r>
      <w:r w:rsidRPr="00302F74">
        <w:rPr>
          <w:rFonts w:ascii="Book Antiqua" w:hAnsi="Book Antiqua" w:cs="Times New Roman"/>
          <w:sz w:val="24"/>
          <w:szCs w:val="24"/>
        </w:rPr>
        <w:t>, 86 (9%) of 967 patients with prior variceal bleeding treated with endoscopic sclerotherapy, had PHG at EGD, of whom 22 (26%) had PHG before variceal eradication and 64 (74%) developed PHG after variceal eradication.</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302F74">
        <w:rPr>
          <w:rFonts w:ascii="Book Antiqua" w:hAnsi="Book Antiqua" w:cs="Times New Roman"/>
          <w:sz w:val="24"/>
          <w:szCs w:val="24"/>
        </w:rPr>
        <w:t>PHG also increases in frequency after angiographic variceal obliteration.</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Duan </w:t>
      </w:r>
      <w:r w:rsidR="004626A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[8</w:t>
      </w:r>
      <w:r w:rsidR="00FE2E78" w:rsidRPr="00302F74">
        <w:rPr>
          <w:rFonts w:ascii="Book Antiqua" w:hAnsi="Book Antiqua" w:cs="Times New Roman"/>
          <w:sz w:val="24"/>
          <w:szCs w:val="24"/>
          <w:vertAlign w:val="superscript"/>
        </w:rPr>
        <w:t>5</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report</w:t>
      </w:r>
      <w:r w:rsidR="004626AB">
        <w:rPr>
          <w:rFonts w:ascii="Book Antiqua" w:hAnsi="Book Antiqua" w:cs="Times New Roman"/>
          <w:sz w:val="24"/>
          <w:szCs w:val="24"/>
        </w:rPr>
        <w:t>ed de novo PHG developed in 13 38%</w:t>
      </w:r>
      <w:r w:rsidRPr="00302F74">
        <w:rPr>
          <w:rFonts w:ascii="Book Antiqua" w:hAnsi="Book Antiqua" w:cs="Times New Roman"/>
          <w:sz w:val="24"/>
          <w:szCs w:val="24"/>
        </w:rPr>
        <w:t xml:space="preserve"> of 34 patients after percutaneous transhepatic variceal embolization (PTVE) for massive esophagogastric variceal hemorrhage.</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t>These phenomena are attributed to increased portal pressure and flow after eradication of esophageal varices because of redistribution of residual blood flow that had passed through the previously patent varices</w:t>
      </w:r>
      <w:r w:rsidRPr="00302F74">
        <w:rPr>
          <w:rFonts w:ascii="Book Antiqua" w:hAnsi="Book Antiqua" w:cs="Times New Roman"/>
          <w:sz w:val="24"/>
          <w:szCs w:val="24"/>
          <w:vertAlign w:val="superscript"/>
          <w:lang w:val="en"/>
        </w:rPr>
        <w:t>[5,41,45,8</w:t>
      </w:r>
      <w:r w:rsidR="00FE2E78"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,8</w:t>
      </w:r>
      <w:r w:rsidR="00FE2E78"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-9</w:t>
      </w:r>
      <w:r w:rsidR="00FE2E78"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Itha </w:t>
      </w:r>
      <w:r w:rsidR="004626AB"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[11]</w:t>
      </w:r>
      <w:r w:rsidRPr="00302F74">
        <w:rPr>
          <w:rFonts w:ascii="Book Antiqua" w:hAnsi="Book Antiqua" w:cs="Times New Roman"/>
          <w:sz w:val="24"/>
          <w:szCs w:val="24"/>
          <w:lang w:val="en"/>
        </w:rPr>
        <w:t xml:space="preserve"> concluded that the significant increase in frequency and severity of PHG after variceal eradication resulted from decreasing collateral blood flow through esophageal varices causing increasing PHG from gastric mucosal congestion. This mechanism is supported by finding that gastric mucosal blood flow increases after variceal ligation</w:t>
      </w:r>
      <w:r w:rsidRPr="00302F74">
        <w:rPr>
          <w:rFonts w:ascii="Book Antiqua" w:hAnsi="Book Antiqua" w:cs="Times New Roman"/>
          <w:sz w:val="24"/>
          <w:szCs w:val="24"/>
          <w:vertAlign w:val="superscript"/>
          <w:lang w:val="en"/>
        </w:rPr>
        <w:t>[9</w:t>
      </w:r>
      <w:r w:rsidR="00FE2E78"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Another theory is that delayed gastric emptying after sclerotherapy from extravasation of sclerosant, may cause development of PHG</w:t>
      </w:r>
      <w:r w:rsidRPr="00302F74">
        <w:rPr>
          <w:rFonts w:ascii="Book Antiqua" w:hAnsi="Book Antiqua" w:cs="Times New Roman"/>
          <w:sz w:val="24"/>
          <w:szCs w:val="24"/>
          <w:vertAlign w:val="superscript"/>
          <w:lang w:val="en"/>
        </w:rPr>
        <w:t>[69]</w:t>
      </w:r>
      <w:r w:rsidRPr="00302F74">
        <w:rPr>
          <w:rFonts w:ascii="Book Antiqua" w:hAnsi="Book Antiqua" w:cs="Times New Roman"/>
          <w:sz w:val="24"/>
          <w:szCs w:val="24"/>
          <w:lang w:val="en"/>
        </w:rPr>
        <w:t>. No direct evidence exists for delayed gastric emptying in PHG</w:t>
      </w:r>
      <w:r w:rsidRPr="00302F74">
        <w:rPr>
          <w:rFonts w:ascii="Book Antiqua" w:hAnsi="Book Antiqua" w:cs="Times New Roman"/>
          <w:sz w:val="24"/>
          <w:szCs w:val="24"/>
          <w:vertAlign w:val="superscript"/>
          <w:lang w:val="en"/>
        </w:rPr>
        <w:t>[71]</w:t>
      </w:r>
      <w:r w:rsidRPr="00302F74">
        <w:rPr>
          <w:rFonts w:ascii="Book Antiqua" w:hAnsi="Book Antiqua" w:cs="Times New Roman"/>
          <w:sz w:val="24"/>
          <w:szCs w:val="24"/>
          <w:lang w:val="en"/>
        </w:rPr>
        <w:t xml:space="preserve">. </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302F74">
        <w:rPr>
          <w:rFonts w:ascii="Book Antiqua" w:hAnsi="Book Antiqua" w:cs="Times New Roman"/>
          <w:sz w:val="24"/>
          <w:szCs w:val="24"/>
        </w:rPr>
        <w:t>Data on which technique of endoscopic variceal eradication leads to quantitatively more de novo PHG is contradictory.</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Most studies showed no differences in frequency or severity of PHG after variceal ligation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sclerotherapy</w:t>
      </w:r>
      <w:r w:rsidRPr="00302F74">
        <w:rPr>
          <w:rFonts w:ascii="Book Antiqua" w:hAnsi="Book Antiqua" w:cs="Times New Roman"/>
          <w:sz w:val="24"/>
          <w:szCs w:val="24"/>
          <w:vertAlign w:val="superscript"/>
        </w:rPr>
        <w:t>[19,34,41,73,9</w:t>
      </w:r>
      <w:r w:rsidR="00FE2E78" w:rsidRPr="00302F74">
        <w:rPr>
          <w:rFonts w:ascii="Book Antiqua" w:hAnsi="Book Antiqua" w:cs="Times New Roman"/>
          <w:sz w:val="24"/>
          <w:szCs w:val="24"/>
          <w:vertAlign w:val="superscript"/>
        </w:rPr>
        <w:t>3</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but some studies showed worse outcomes after variceal ligation</w:t>
      </w:r>
      <w:r w:rsidRPr="00302F74">
        <w:rPr>
          <w:rFonts w:ascii="Book Antiqua" w:hAnsi="Book Antiqua" w:cs="Times New Roman"/>
          <w:sz w:val="24"/>
          <w:szCs w:val="24"/>
          <w:vertAlign w:val="superscript"/>
        </w:rPr>
        <w:t>[82,9</w:t>
      </w:r>
      <w:r w:rsidR="00FE2E78" w:rsidRPr="00302F74">
        <w:rPr>
          <w:rFonts w:ascii="Book Antiqua" w:hAnsi="Book Antiqua" w:cs="Times New Roman"/>
          <w:sz w:val="24"/>
          <w:szCs w:val="24"/>
          <w:vertAlign w:val="superscript"/>
        </w:rPr>
        <w:t>3</w:t>
      </w:r>
      <w:r w:rsidRPr="00302F74">
        <w:rPr>
          <w:rFonts w:ascii="Book Antiqua" w:hAnsi="Book Antiqua" w:cs="Times New Roman"/>
          <w:sz w:val="24"/>
          <w:szCs w:val="24"/>
          <w:vertAlign w:val="superscript"/>
        </w:rPr>
        <w:t>,9</w:t>
      </w:r>
      <w:r w:rsidR="00FE2E78" w:rsidRPr="00302F74">
        <w:rPr>
          <w:rFonts w:ascii="Book Antiqua" w:hAnsi="Book Antiqua" w:cs="Times New Roman"/>
          <w:sz w:val="24"/>
          <w:szCs w:val="24"/>
          <w:vertAlign w:val="superscript"/>
        </w:rPr>
        <w:t>4</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while some other studies showed worse outcomes after sclerotherapy</w:t>
      </w:r>
      <w:r w:rsidRPr="00302F74">
        <w:rPr>
          <w:rFonts w:ascii="Book Antiqua" w:hAnsi="Book Antiqua" w:cs="Times New Roman"/>
          <w:sz w:val="24"/>
          <w:szCs w:val="24"/>
          <w:vertAlign w:val="superscript"/>
        </w:rPr>
        <w:t>[9</w:t>
      </w:r>
      <w:r w:rsidR="00FE2E78" w:rsidRPr="00302F74">
        <w:rPr>
          <w:rFonts w:ascii="Book Antiqua" w:hAnsi="Book Antiqua" w:cs="Times New Roman"/>
          <w:sz w:val="24"/>
          <w:szCs w:val="24"/>
          <w:vertAlign w:val="superscript"/>
        </w:rPr>
        <w:t>5</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122388">
        <w:rPr>
          <w:rFonts w:ascii="Book Antiqua" w:hAnsi="Book Antiqua" w:cs="Times New Roman"/>
          <w:i/>
          <w:sz w:val="24"/>
          <w:szCs w:val="24"/>
        </w:rPr>
        <w:t>De novo</w:t>
      </w:r>
      <w:r w:rsidRPr="00302F74">
        <w:rPr>
          <w:rFonts w:ascii="Book Antiqua" w:hAnsi="Book Antiqua" w:cs="Times New Roman"/>
          <w:sz w:val="24"/>
          <w:szCs w:val="24"/>
        </w:rPr>
        <w:t xml:space="preserve"> PHG after variceal obliteration is often transitory and less severe than PHG that predated the variceal </w:t>
      </w:r>
      <w:proofErr w:type="gramStart"/>
      <w:r w:rsidRPr="00302F74">
        <w:rPr>
          <w:rFonts w:ascii="Book Antiqua" w:hAnsi="Book Antiqua" w:cs="Times New Roman"/>
          <w:sz w:val="24"/>
          <w:szCs w:val="24"/>
        </w:rPr>
        <w:t>obliteration</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10,73]</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 xml:space="preserve">For example, Sarin </w:t>
      </w:r>
      <w:r w:rsidR="004626AB"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[10]</w:t>
      </w:r>
      <w:r w:rsidRPr="00302F74">
        <w:rPr>
          <w:rFonts w:ascii="Book Antiqua" w:hAnsi="Book Antiqua" w:cs="Times New Roman"/>
          <w:sz w:val="24"/>
          <w:szCs w:val="24"/>
          <w:lang w:val="en"/>
        </w:rPr>
        <w:t xml:space="preserve"> reported in a study of 84</w:t>
      </w:r>
      <w:r w:rsidRPr="00302F74">
        <w:rPr>
          <w:rFonts w:ascii="Book Antiqua" w:hAnsi="Book Antiqua" w:cs="Times New Roman"/>
          <w:b/>
          <w:sz w:val="24"/>
          <w:szCs w:val="24"/>
          <w:lang w:val="en"/>
        </w:rPr>
        <w:t xml:space="preserve"> </w:t>
      </w:r>
      <w:r w:rsidRPr="00302F74">
        <w:rPr>
          <w:rFonts w:ascii="Book Antiqua" w:hAnsi="Book Antiqua" w:cs="Times New Roman"/>
          <w:sz w:val="24"/>
          <w:szCs w:val="24"/>
          <w:lang w:val="en"/>
        </w:rPr>
        <w:t>patients</w:t>
      </w:r>
      <w:r w:rsidRPr="00302F74">
        <w:rPr>
          <w:rFonts w:ascii="Book Antiqua" w:hAnsi="Book Antiqua" w:cs="Times New Roman"/>
          <w:b/>
          <w:sz w:val="24"/>
          <w:szCs w:val="24"/>
          <w:lang w:val="en"/>
        </w:rPr>
        <w:t xml:space="preserve"> </w:t>
      </w:r>
      <w:r w:rsidRPr="00302F74">
        <w:rPr>
          <w:rFonts w:ascii="Book Antiqua" w:hAnsi="Book Antiqua" w:cs="Times New Roman"/>
          <w:sz w:val="24"/>
          <w:szCs w:val="24"/>
          <w:lang w:val="en"/>
        </w:rPr>
        <w:t xml:space="preserve">followed for a mean of 25 + 14 mo that </w:t>
      </w:r>
      <w:r w:rsidRPr="00302F74">
        <w:rPr>
          <w:rFonts w:ascii="Book Antiqua" w:hAnsi="Book Antiqua" w:cs="Times New Roman"/>
          <w:sz w:val="24"/>
          <w:szCs w:val="24"/>
        </w:rPr>
        <w:t>PHG resolved in</w:t>
      </w:r>
      <w:r w:rsidRPr="00302F74">
        <w:rPr>
          <w:rFonts w:ascii="Book Antiqua" w:hAnsi="Book Antiqua" w:cs="Times New Roman"/>
          <w:b/>
          <w:sz w:val="24"/>
          <w:szCs w:val="24"/>
        </w:rPr>
        <w:t xml:space="preserve"> </w:t>
      </w:r>
      <w:r w:rsidRPr="00302F74">
        <w:rPr>
          <w:rFonts w:ascii="Book Antiqua" w:hAnsi="Book Antiqua" w:cs="Times New Roman"/>
          <w:sz w:val="24"/>
          <w:szCs w:val="24"/>
        </w:rPr>
        <w:t xml:space="preserve">28 (44%) of 64 </w:t>
      </w:r>
      <w:r w:rsidRPr="00302F74">
        <w:rPr>
          <w:rFonts w:ascii="Book Antiqua" w:hAnsi="Book Antiqua" w:cs="Times New Roman"/>
          <w:sz w:val="24"/>
          <w:szCs w:val="24"/>
          <w:lang w:val="en"/>
        </w:rPr>
        <w:t xml:space="preserve">patients who developed PHG after sclerotherapy, but resolved in only </w:t>
      </w:r>
      <w:r w:rsidRPr="00302F74">
        <w:rPr>
          <w:rFonts w:ascii="Book Antiqua" w:hAnsi="Book Antiqua" w:cs="Times New Roman"/>
          <w:sz w:val="24"/>
          <w:szCs w:val="24"/>
        </w:rPr>
        <w:t>2 (9%) of 22</w:t>
      </w:r>
      <w:r w:rsidRPr="00302F74">
        <w:rPr>
          <w:rFonts w:ascii="Book Antiqua" w:hAnsi="Book Antiqua" w:cs="Times New Roman"/>
          <w:sz w:val="24"/>
          <w:szCs w:val="24"/>
          <w:lang w:val="en"/>
        </w:rPr>
        <w:t xml:space="preserve"> patients who had PHG present before sclerotherapy (</w:t>
      </w:r>
      <w:r w:rsidR="00E878B6">
        <w:rPr>
          <w:rFonts w:ascii="Book Antiqua" w:hAnsi="Book Antiqua" w:cs="Times New Roman"/>
          <w:i/>
          <w:sz w:val="24"/>
          <w:szCs w:val="24"/>
        </w:rPr>
        <w:t>P &lt;</w:t>
      </w:r>
      <w:r w:rsidR="004626A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rPr>
        <w:t xml:space="preserve">Hou </w:t>
      </w:r>
      <w:r w:rsidR="004626A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[73]</w:t>
      </w:r>
      <w:r w:rsidRPr="00302F74">
        <w:rPr>
          <w:rFonts w:ascii="Book Antiqua" w:hAnsi="Book Antiqua" w:cs="Times New Roman"/>
          <w:sz w:val="24"/>
          <w:szCs w:val="24"/>
        </w:rPr>
        <w:t xml:space="preserve"> similarly reported that the increased severity of PHG after variceal obliteration was generally transitory and returned to baseline status.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The return to baseline severity of PHG was </w:t>
      </w:r>
      <w:r w:rsidRPr="00302F74">
        <w:rPr>
          <w:rFonts w:ascii="Book Antiqua" w:hAnsi="Book Antiqua" w:cs="Times New Roman"/>
          <w:sz w:val="24"/>
          <w:szCs w:val="24"/>
        </w:rPr>
        <w:lastRenderedPageBreak/>
        <w:t>significantly faster after variceal ligation than after sclerotherapy (</w:t>
      </w:r>
      <w:r w:rsidR="004626AB" w:rsidRPr="00302F74">
        <w:rPr>
          <w:rFonts w:ascii="Book Antiqua" w:hAnsi="Book Antiqua" w:cs="Times New Roman"/>
          <w:i/>
          <w:sz w:val="24"/>
          <w:szCs w:val="24"/>
        </w:rPr>
        <w:t>P</w:t>
      </w:r>
      <w:r w:rsidR="004626A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0.03), attributed to ligation achieving subtotal variceal obliteration and permitting faster redistribution of blood flow</w:t>
      </w:r>
      <w:r w:rsidRPr="00302F74">
        <w:rPr>
          <w:rFonts w:ascii="Book Antiqua" w:hAnsi="Book Antiqua" w:cs="Times New Roman"/>
          <w:sz w:val="24"/>
          <w:szCs w:val="24"/>
          <w:vertAlign w:val="superscript"/>
        </w:rPr>
        <w:t>[10]</w:t>
      </w:r>
      <w:r w:rsidRPr="00302F74">
        <w:rPr>
          <w:rFonts w:ascii="Book Antiqua" w:hAnsi="Book Antiqua" w:cs="Times New Roman"/>
          <w:sz w:val="24"/>
          <w:szCs w:val="24"/>
        </w:rPr>
        <w:t>.</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lang w:val="en"/>
        </w:rPr>
        <w:t xml:space="preserve">Some investigators believe the higher rate of PHG in patients undergoing endoscopic variceal sclerotherapy merely reflects a longer duration of portal hypertension, more advanced liver disease, or more severe portal hypertension in patients selected to undergo variceal sclerotherapy compared to controls </w:t>
      </w:r>
      <w:r w:rsidRPr="00302F74">
        <w:rPr>
          <w:rFonts w:ascii="Book Antiqua" w:hAnsi="Book Antiqua" w:cs="Times New Roman"/>
          <w:sz w:val="24"/>
          <w:szCs w:val="24"/>
        </w:rPr>
        <w:t xml:space="preserve">rather than the performance of sclerotherapy </w:t>
      </w:r>
      <w:r w:rsidRPr="00302F74">
        <w:rPr>
          <w:rFonts w:ascii="Book Antiqua" w:hAnsi="Book Antiqua" w:cs="Times New Roman"/>
          <w:i/>
          <w:sz w:val="24"/>
          <w:szCs w:val="24"/>
        </w:rPr>
        <w:t>per se</w:t>
      </w:r>
      <w:r w:rsidRPr="00302F74">
        <w:rPr>
          <w:rFonts w:ascii="Book Antiqua" w:hAnsi="Book Antiqua" w:cs="Times New Roman"/>
          <w:sz w:val="24"/>
          <w:szCs w:val="24"/>
          <w:vertAlign w:val="superscript"/>
          <w:lang w:val="en"/>
        </w:rPr>
        <w:t>[34,78,9</w:t>
      </w:r>
      <w:r w:rsidR="00FE2E78"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w:t>
      </w:r>
      <w:r w:rsidRPr="00302F74">
        <w:rPr>
          <w:rFonts w:ascii="Book Antiqua" w:hAnsi="Book Antiqua" w:cs="Times New Roman"/>
          <w:sz w:val="24"/>
          <w:szCs w:val="24"/>
        </w:rPr>
        <w:t xml:space="preserve">Primignani </w:t>
      </w:r>
      <w:r w:rsidR="004626AB" w:rsidRPr="00E1496B">
        <w:rPr>
          <w:rFonts w:ascii="Book Antiqua" w:hAnsi="Book Antiqua" w:cs="Times New Roman"/>
          <w:i/>
          <w:sz w:val="24"/>
          <w:szCs w:val="24"/>
        </w:rPr>
        <w:t>et al</w:t>
      </w:r>
      <w:r w:rsidRPr="00302F74">
        <w:rPr>
          <w:rFonts w:ascii="Book Antiqua" w:hAnsi="Book Antiqua" w:cs="Times New Roman"/>
          <w:sz w:val="24"/>
          <w:szCs w:val="24"/>
          <w:vertAlign w:val="superscript"/>
        </w:rPr>
        <w:t>[34,9</w:t>
      </w:r>
      <w:r w:rsidR="00FE2E78" w:rsidRPr="00302F74">
        <w:rPr>
          <w:rFonts w:ascii="Book Antiqua" w:hAnsi="Book Antiqua" w:cs="Times New Roman"/>
          <w:sz w:val="24"/>
          <w:szCs w:val="24"/>
          <w:vertAlign w:val="superscript"/>
        </w:rPr>
        <w:t>7</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demonstrated an almost identical increase in frequency of PHG with time in patients undergoing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not undergoing sclerotherapy, and suggested that PHG evolved identically with time regardless of performance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nonperformance of sclerotherapy.</w:t>
      </w:r>
    </w:p>
    <w:p w:rsidR="004626AB" w:rsidRPr="00302F74" w:rsidRDefault="004626AB" w:rsidP="00FA6CCE">
      <w:pPr>
        <w:widowControl w:val="0"/>
        <w:spacing w:line="360" w:lineRule="auto"/>
        <w:ind w:firstLine="720"/>
        <w:jc w:val="both"/>
        <w:rPr>
          <w:rFonts w:ascii="Book Antiqua" w:hAnsi="Book Antiqua" w:cs="Times New Roman"/>
          <w:sz w:val="24"/>
          <w:szCs w:val="24"/>
          <w:lang w:eastAsia="zh-CN"/>
        </w:rPr>
      </w:pPr>
    </w:p>
    <w:p w:rsidR="00C9325C" w:rsidRPr="00145447" w:rsidRDefault="00C9325C" w:rsidP="004626AB">
      <w:pPr>
        <w:widowControl w:val="0"/>
        <w:spacing w:line="360" w:lineRule="auto"/>
        <w:jc w:val="both"/>
        <w:rPr>
          <w:rFonts w:ascii="Book Antiqua" w:hAnsi="Book Antiqua" w:cs="Times New Roman"/>
          <w:b/>
          <w:sz w:val="24"/>
          <w:szCs w:val="24"/>
        </w:rPr>
      </w:pPr>
      <w:r w:rsidRPr="00145447">
        <w:rPr>
          <w:rFonts w:ascii="Book Antiqua" w:hAnsi="Book Antiqua" w:cs="Times New Roman"/>
          <w:b/>
          <w:sz w:val="24"/>
          <w:szCs w:val="24"/>
        </w:rPr>
        <w:t>Additional risk factors</w:t>
      </w:r>
      <w:r w:rsidR="00145447">
        <w:rPr>
          <w:rFonts w:ascii="Book Antiqua" w:hAnsi="Book Antiqua" w:cs="Times New Roman" w:hint="eastAsia"/>
          <w:b/>
          <w:sz w:val="24"/>
          <w:szCs w:val="24"/>
          <w:lang w:eastAsia="zh-CN"/>
        </w:rPr>
        <w:t xml:space="preserve">: </w:t>
      </w:r>
      <w:r w:rsidRPr="00302F74">
        <w:rPr>
          <w:rFonts w:ascii="Book Antiqua" w:hAnsi="Book Antiqua" w:cs="Times New Roman"/>
          <w:sz w:val="24"/>
          <w:szCs w:val="24"/>
        </w:rPr>
        <w:t xml:space="preserve">PHG severity is significantly associated with thrombocytopenia or </w:t>
      </w:r>
      <w:proofErr w:type="gramStart"/>
      <w:r w:rsidRPr="00302F74">
        <w:rPr>
          <w:rFonts w:ascii="Book Antiqua" w:hAnsi="Book Antiqua" w:cs="Times New Roman"/>
          <w:sz w:val="24"/>
          <w:szCs w:val="24"/>
        </w:rPr>
        <w:t>splenomegaly</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42,57,58]</w:t>
      </w:r>
      <w:r w:rsidRPr="00302F74">
        <w:rPr>
          <w:rFonts w:ascii="Book Antiqua" w:hAnsi="Book Antiqua" w:cs="Times New Roman"/>
          <w:sz w:val="24"/>
          <w:szCs w:val="24"/>
        </w:rPr>
        <w:t>. In a prospective study of 331 cirrhotic patients performed in South Korea, PHG severity was correlated with splenic diameter: splenic diameter with severe PHG</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13.1 ± 2.4 cm, diameter with mild PHG</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12.2 ± 2.5 cm, and diameter with no PHG</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10.7 ± 2.9 cm, </w:t>
      </w:r>
      <w:r w:rsidR="00E878B6">
        <w:rPr>
          <w:rFonts w:ascii="Book Antiqua" w:hAnsi="Book Antiqua" w:cs="Times New Roman"/>
          <w:i/>
          <w:sz w:val="24"/>
          <w:szCs w:val="24"/>
        </w:rPr>
        <w:t>P &lt;</w:t>
      </w:r>
      <w:r w:rsidR="004626A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0.001)</w:t>
      </w:r>
      <w:r w:rsidRPr="00302F74">
        <w:rPr>
          <w:rFonts w:ascii="Book Antiqua" w:hAnsi="Book Antiqua" w:cs="Times New Roman"/>
          <w:sz w:val="24"/>
          <w:szCs w:val="24"/>
          <w:vertAlign w:val="superscript"/>
        </w:rPr>
        <w:t>[57]</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In this study, PHG severity was inversely correlated with platelet count: count with no PHG</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626AB">
        <w:rPr>
          <w:rFonts w:ascii="Book Antiqua" w:hAnsi="Book Antiqua" w:cs="Times New Roman" w:hint="eastAsia"/>
          <w:sz w:val="24"/>
          <w:szCs w:val="24"/>
          <w:lang w:eastAsia="zh-CN"/>
        </w:rPr>
        <w:t xml:space="preserve"> </w:t>
      </w:r>
      <w:r w:rsidR="004626AB">
        <w:rPr>
          <w:rFonts w:ascii="Book Antiqua" w:hAnsi="Book Antiqua" w:cs="Times New Roman"/>
          <w:sz w:val="24"/>
          <w:szCs w:val="24"/>
        </w:rPr>
        <w:t>174600 ± 109</w:t>
      </w:r>
      <w:r w:rsidRPr="00302F74">
        <w:rPr>
          <w:rFonts w:ascii="Book Antiqua" w:hAnsi="Book Antiqua" w:cs="Times New Roman"/>
          <w:sz w:val="24"/>
          <w:szCs w:val="24"/>
        </w:rPr>
        <w:t>400 platelets/mm</w:t>
      </w:r>
      <w:r w:rsidRPr="00302F74">
        <w:rPr>
          <w:rFonts w:ascii="Book Antiqua" w:hAnsi="Book Antiqua" w:cs="Times New Roman"/>
          <w:sz w:val="24"/>
          <w:szCs w:val="24"/>
          <w:vertAlign w:val="superscript"/>
        </w:rPr>
        <w:t>3</w:t>
      </w:r>
      <w:r w:rsidRPr="00302F74">
        <w:rPr>
          <w:rFonts w:ascii="Book Antiqua" w:hAnsi="Book Antiqua" w:cs="Times New Roman"/>
          <w:sz w:val="24"/>
          <w:szCs w:val="24"/>
        </w:rPr>
        <w:t>, count with mild PHG</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626AB">
        <w:rPr>
          <w:rFonts w:ascii="Book Antiqua" w:hAnsi="Book Antiqua" w:cs="Times New Roman" w:hint="eastAsia"/>
          <w:sz w:val="24"/>
          <w:szCs w:val="24"/>
          <w:lang w:eastAsia="zh-CN"/>
        </w:rPr>
        <w:t xml:space="preserve"> </w:t>
      </w:r>
      <w:r w:rsidR="004626AB">
        <w:rPr>
          <w:rFonts w:ascii="Book Antiqua" w:hAnsi="Book Antiqua" w:cs="Times New Roman"/>
          <w:sz w:val="24"/>
          <w:szCs w:val="24"/>
        </w:rPr>
        <w:t>132000 ± 100</w:t>
      </w:r>
      <w:r w:rsidRPr="00302F74">
        <w:rPr>
          <w:rFonts w:ascii="Book Antiqua" w:hAnsi="Book Antiqua" w:cs="Times New Roman"/>
          <w:sz w:val="24"/>
          <w:szCs w:val="24"/>
        </w:rPr>
        <w:t>700 platelets/mm</w:t>
      </w:r>
      <w:r w:rsidRPr="00302F74">
        <w:rPr>
          <w:rFonts w:ascii="Book Antiqua" w:hAnsi="Book Antiqua" w:cs="Times New Roman"/>
          <w:sz w:val="24"/>
          <w:szCs w:val="24"/>
          <w:vertAlign w:val="superscript"/>
        </w:rPr>
        <w:t>3</w:t>
      </w:r>
      <w:r w:rsidR="004626AB">
        <w:rPr>
          <w:rFonts w:ascii="Book Antiqua" w:hAnsi="Book Antiqua" w:cs="Times New Roman"/>
          <w:sz w:val="24"/>
          <w:szCs w:val="24"/>
        </w:rPr>
        <w:t>, count with severe PHG</w:t>
      </w:r>
      <w:r w:rsidR="002E4936">
        <w:rPr>
          <w:rFonts w:ascii="Book Antiqua" w:hAnsi="Book Antiqua" w:cs="Times New Roman" w:hint="eastAsia"/>
          <w:sz w:val="24"/>
          <w:szCs w:val="24"/>
          <w:lang w:eastAsia="zh-CN"/>
        </w:rPr>
        <w:t xml:space="preserve"> </w:t>
      </w:r>
      <w:r w:rsidR="004626AB">
        <w:rPr>
          <w:rFonts w:ascii="Book Antiqua" w:hAnsi="Book Antiqua" w:cs="Times New Roman"/>
          <w:sz w:val="24"/>
          <w:szCs w:val="24"/>
        </w:rPr>
        <w:t>=</w:t>
      </w:r>
      <w:r w:rsidR="002E4936">
        <w:rPr>
          <w:rFonts w:ascii="Book Antiqua" w:hAnsi="Book Antiqua" w:cs="Times New Roman" w:hint="eastAsia"/>
          <w:sz w:val="24"/>
          <w:szCs w:val="24"/>
          <w:lang w:eastAsia="zh-CN"/>
        </w:rPr>
        <w:t xml:space="preserve"> </w:t>
      </w:r>
      <w:r w:rsidR="004626AB">
        <w:rPr>
          <w:rFonts w:ascii="Book Antiqua" w:hAnsi="Book Antiqua" w:cs="Times New Roman"/>
          <w:sz w:val="24"/>
          <w:szCs w:val="24"/>
        </w:rPr>
        <w:t>102800 ± 68</w:t>
      </w:r>
      <w:r w:rsidRPr="00302F74">
        <w:rPr>
          <w:rFonts w:ascii="Book Antiqua" w:hAnsi="Book Antiqua" w:cs="Times New Roman"/>
          <w:sz w:val="24"/>
          <w:szCs w:val="24"/>
        </w:rPr>
        <w:t>800 platelets/mm</w:t>
      </w:r>
      <w:r w:rsidRPr="00302F74">
        <w:rPr>
          <w:rFonts w:ascii="Book Antiqua" w:hAnsi="Book Antiqua" w:cs="Times New Roman"/>
          <w:sz w:val="24"/>
          <w:szCs w:val="24"/>
          <w:vertAlign w:val="superscript"/>
        </w:rPr>
        <w:t xml:space="preserve">3 </w:t>
      </w:r>
      <w:r w:rsidRPr="00302F74">
        <w:rPr>
          <w:rFonts w:ascii="Book Antiqua" w:hAnsi="Book Antiqua" w:cs="Times New Roman"/>
          <w:sz w:val="24"/>
          <w:szCs w:val="24"/>
        </w:rPr>
        <w:t>(</w:t>
      </w:r>
      <w:r w:rsidR="00E878B6">
        <w:rPr>
          <w:rFonts w:ascii="Book Antiqua" w:hAnsi="Book Antiqua" w:cs="Times New Roman"/>
          <w:i/>
          <w:sz w:val="24"/>
          <w:szCs w:val="24"/>
        </w:rPr>
        <w:t>P &lt;</w:t>
      </w:r>
      <w:r w:rsidR="004626A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0.001).</w:t>
      </w:r>
      <w:r w:rsidRPr="00302F74">
        <w:rPr>
          <w:rFonts w:ascii="Book Antiqua" w:hAnsi="Book Antiqua" w:cs="Times New Roman"/>
          <w:b/>
          <w:sz w:val="24"/>
          <w:szCs w:val="24"/>
        </w:rPr>
        <w:t xml:space="preserve"> </w:t>
      </w:r>
      <w:r w:rsidR="004626AB">
        <w:rPr>
          <w:rFonts w:ascii="Book Antiqua" w:hAnsi="Book Antiqua" w:cs="Times New Roman"/>
          <w:sz w:val="24"/>
          <w:szCs w:val="24"/>
        </w:rPr>
        <w:t>Among 1</w:t>
      </w:r>
      <w:r w:rsidRPr="00302F74">
        <w:rPr>
          <w:rFonts w:ascii="Book Antiqua" w:hAnsi="Book Antiqua" w:cs="Times New Roman"/>
          <w:sz w:val="24"/>
          <w:szCs w:val="24"/>
        </w:rPr>
        <w:t>016 patients with bridging fibrosis or compensated cirrhosis undergoing EGD in the HALT-C trial, including 374 (37%) with PHG, PHG was negatively correlated with platelet count in a logistic regression model (negative estimate: -0.00407, OR</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0.99, 9</w:t>
      </w:r>
      <w:r w:rsidR="004626AB">
        <w:rPr>
          <w:rFonts w:ascii="Book Antiqua" w:hAnsi="Book Antiqua" w:cs="Times New Roman"/>
          <w:sz w:val="24"/>
          <w:szCs w:val="24"/>
        </w:rPr>
        <w:t>5%</w:t>
      </w:r>
      <w:r w:rsidRPr="00302F74">
        <w:rPr>
          <w:rFonts w:ascii="Book Antiqua" w:hAnsi="Book Antiqua" w:cs="Times New Roman"/>
          <w:sz w:val="24"/>
          <w:szCs w:val="24"/>
        </w:rPr>
        <w:t xml:space="preserve">CI: 0.99-0.998; </w:t>
      </w:r>
      <w:r w:rsidR="004626AB" w:rsidRPr="00302F74">
        <w:rPr>
          <w:rFonts w:ascii="Book Antiqua" w:hAnsi="Book Antiqua" w:cs="Times New Roman"/>
          <w:i/>
          <w:sz w:val="24"/>
          <w:szCs w:val="24"/>
        </w:rPr>
        <w:t>P</w:t>
      </w:r>
      <w:r w:rsidR="004626A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w:t>
      </w:r>
      <w:r w:rsidR="004626A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0.0007)</w:t>
      </w:r>
      <w:r w:rsidRPr="00302F74">
        <w:rPr>
          <w:rFonts w:ascii="Book Antiqua" w:hAnsi="Book Antiqua" w:cs="Times New Roman"/>
          <w:sz w:val="24"/>
          <w:szCs w:val="24"/>
          <w:vertAlign w:val="superscript"/>
        </w:rPr>
        <w:t>[42]</w:t>
      </w:r>
      <w:r w:rsidRPr="00302F74">
        <w:rPr>
          <w:rFonts w:ascii="Book Antiqua" w:hAnsi="Book Antiqua" w:cs="Times New Roman"/>
          <w:sz w:val="24"/>
          <w:szCs w:val="24"/>
        </w:rPr>
        <w:t>.</w:t>
      </w:r>
    </w:p>
    <w:p w:rsidR="00C9325C" w:rsidRDefault="00C9325C" w:rsidP="00FA6CCE">
      <w:pPr>
        <w:widowControl w:val="0"/>
        <w:spacing w:line="360" w:lineRule="auto"/>
        <w:ind w:firstLine="720"/>
        <w:jc w:val="both"/>
        <w:rPr>
          <w:rFonts w:ascii="Book Antiqua" w:hAnsi="Book Antiqua" w:cs="Times New Roman"/>
          <w:bCs/>
          <w:sz w:val="24"/>
          <w:szCs w:val="24"/>
          <w:lang w:val="en" w:eastAsia="zh-CN"/>
        </w:rPr>
      </w:pPr>
      <w:r w:rsidRPr="00302F74">
        <w:rPr>
          <w:rFonts w:ascii="Book Antiqua" w:hAnsi="Book Antiqua" w:cs="Times New Roman"/>
          <w:sz w:val="24"/>
          <w:szCs w:val="24"/>
        </w:rPr>
        <w:t>In one study, PHG in patients with chronic liver disease was correlated with increasing thickness of the lesser omentum, and presence of a splenorenal shunt</w:t>
      </w:r>
      <w:r w:rsidRPr="00302F74">
        <w:rPr>
          <w:rFonts w:ascii="Book Antiqua" w:hAnsi="Book Antiqua" w:cs="Times New Roman"/>
          <w:sz w:val="24"/>
          <w:szCs w:val="24"/>
          <w:vertAlign w:val="superscript"/>
        </w:rPr>
        <w:t>[22]</w:t>
      </w:r>
      <w:r w:rsidRPr="00302F74">
        <w:rPr>
          <w:rFonts w:ascii="Book Antiqua" w:hAnsi="Book Antiqua" w:cs="Times New Roman"/>
          <w:sz w:val="24"/>
          <w:szCs w:val="24"/>
        </w:rPr>
        <w:t>. This study found that PHG frequency was not associated with severity of hypersplenism</w:t>
      </w:r>
      <w:r w:rsidRPr="00302F74">
        <w:rPr>
          <w:rFonts w:ascii="Book Antiqua" w:hAnsi="Book Antiqua" w:cs="Times New Roman"/>
          <w:sz w:val="24"/>
          <w:szCs w:val="24"/>
          <w:vertAlign w:val="superscript"/>
        </w:rPr>
        <w:t>[62]</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The HALT-C trial showed no association between prevalence or severity of PHG and lifetime alcohol consumption, nonsteroidal anti-inflammatory drugs (NSAIDs) use, COX- (</w:t>
      </w:r>
      <w:r w:rsidRPr="00302F74">
        <w:rPr>
          <w:rFonts w:ascii="Book Antiqua" w:hAnsi="Book Antiqua" w:cs="Times New Roman"/>
          <w:sz w:val="24"/>
          <w:szCs w:val="24"/>
          <w:lang w:val="en"/>
        </w:rPr>
        <w:t xml:space="preserve">cyclooxygenase-) </w:t>
      </w:r>
      <w:r w:rsidRPr="00302F74">
        <w:rPr>
          <w:rFonts w:ascii="Book Antiqua" w:hAnsi="Book Antiqua" w:cs="Times New Roman"/>
          <w:sz w:val="24"/>
          <w:szCs w:val="24"/>
        </w:rPr>
        <w:t>2 inhibitor use, or smoking</w:t>
      </w:r>
      <w:r w:rsidRPr="00302F74">
        <w:rPr>
          <w:rFonts w:ascii="Book Antiqua" w:hAnsi="Book Antiqua" w:cs="Times New Roman"/>
          <w:sz w:val="24"/>
          <w:szCs w:val="24"/>
          <w:vertAlign w:val="superscript"/>
        </w:rPr>
        <w:t>[42]</w:t>
      </w:r>
      <w:r w:rsidRPr="00302F74">
        <w:rPr>
          <w:rFonts w:ascii="Book Antiqua" w:hAnsi="Book Antiqua" w:cs="Times New Roman"/>
          <w:sz w:val="24"/>
          <w:szCs w:val="24"/>
        </w:rPr>
        <w:t xml:space="preserve">. The lack of association with alcoholism may reflect the need for near abstinence from alcohol to have enrolled in the </w:t>
      </w:r>
      <w:r w:rsidRPr="00302F74">
        <w:rPr>
          <w:rFonts w:ascii="Book Antiqua" w:hAnsi="Book Antiqua" w:cs="Times New Roman"/>
          <w:sz w:val="24"/>
          <w:szCs w:val="24"/>
        </w:rPr>
        <w:lastRenderedPageBreak/>
        <w:t>clinical trial; at study enro</w:t>
      </w:r>
      <w:r w:rsidRPr="00056093">
        <w:rPr>
          <w:rFonts w:ascii="Book Antiqua" w:hAnsi="Book Antiqua" w:cs="Times New Roman"/>
          <w:sz w:val="24"/>
          <w:szCs w:val="24"/>
        </w:rPr>
        <w:t>llment 86% of patients reported abstinence and 14% reported minimal drinking of alcohol.</w:t>
      </w:r>
      <w:r w:rsidR="00963345" w:rsidRPr="00056093">
        <w:rPr>
          <w:rFonts w:ascii="Book Antiqua" w:hAnsi="Book Antiqua" w:cs="Times New Roman"/>
          <w:sz w:val="24"/>
          <w:szCs w:val="24"/>
        </w:rPr>
        <w:t xml:space="preserve"> </w:t>
      </w:r>
      <w:r w:rsidRPr="00056093">
        <w:rPr>
          <w:rFonts w:ascii="Book Antiqua" w:hAnsi="Book Antiqua" w:cs="Times New Roman"/>
          <w:bCs/>
          <w:sz w:val="24"/>
          <w:szCs w:val="24"/>
          <w:lang w:val="en"/>
        </w:rPr>
        <w:t xml:space="preserve">Table </w:t>
      </w:r>
      <w:r w:rsidR="003B66FD">
        <w:rPr>
          <w:rFonts w:ascii="Book Antiqua" w:hAnsi="Book Antiqua" w:cs="Times New Roman" w:hint="eastAsia"/>
          <w:bCs/>
          <w:sz w:val="24"/>
          <w:szCs w:val="24"/>
          <w:lang w:val="en" w:eastAsia="zh-CN"/>
        </w:rPr>
        <w:t>5</w:t>
      </w:r>
      <w:r w:rsidRPr="00056093">
        <w:rPr>
          <w:rFonts w:ascii="Book Antiqua" w:hAnsi="Book Antiqua" w:cs="Times New Roman"/>
          <w:sz w:val="24"/>
          <w:szCs w:val="24"/>
          <w:vertAlign w:val="superscript"/>
        </w:rPr>
        <w:t>[8,9,11,14,34,41,55,62,67,71,8</w:t>
      </w:r>
      <w:r w:rsidR="00FE2E78" w:rsidRPr="00056093">
        <w:rPr>
          <w:rFonts w:ascii="Book Antiqua" w:hAnsi="Book Antiqua" w:cs="Times New Roman"/>
          <w:sz w:val="24"/>
          <w:szCs w:val="24"/>
          <w:vertAlign w:val="superscript"/>
        </w:rPr>
        <w:t>3</w:t>
      </w:r>
      <w:r w:rsidRPr="00056093">
        <w:rPr>
          <w:rFonts w:ascii="Book Antiqua" w:hAnsi="Book Antiqua" w:cs="Times New Roman"/>
          <w:sz w:val="24"/>
          <w:szCs w:val="24"/>
          <w:vertAlign w:val="superscript"/>
        </w:rPr>
        <w:t>,8</w:t>
      </w:r>
      <w:r w:rsidR="00FE2E78" w:rsidRPr="00056093">
        <w:rPr>
          <w:rFonts w:ascii="Book Antiqua" w:hAnsi="Book Antiqua" w:cs="Times New Roman"/>
          <w:sz w:val="24"/>
          <w:szCs w:val="24"/>
          <w:vertAlign w:val="superscript"/>
        </w:rPr>
        <w:t>5</w:t>
      </w:r>
      <w:r w:rsidRPr="00056093">
        <w:rPr>
          <w:rFonts w:ascii="Book Antiqua" w:hAnsi="Book Antiqua" w:cs="Times New Roman"/>
          <w:sz w:val="24"/>
          <w:szCs w:val="24"/>
          <w:vertAlign w:val="superscript"/>
        </w:rPr>
        <w:t>]</w:t>
      </w:r>
      <w:r w:rsidRPr="00056093">
        <w:rPr>
          <w:rFonts w:ascii="Book Antiqua" w:hAnsi="Book Antiqua" w:cs="Times New Roman"/>
          <w:bCs/>
          <w:sz w:val="24"/>
          <w:szCs w:val="24"/>
          <w:lang w:val="en"/>
        </w:rPr>
        <w:t xml:space="preserve"> lists well-established risk factors for PHG; Table </w:t>
      </w:r>
      <w:r w:rsidR="0079197B">
        <w:rPr>
          <w:rFonts w:ascii="Book Antiqua" w:hAnsi="Book Antiqua" w:cs="Times New Roman" w:hint="eastAsia"/>
          <w:bCs/>
          <w:sz w:val="24"/>
          <w:szCs w:val="24"/>
          <w:lang w:val="en" w:eastAsia="zh-CN"/>
        </w:rPr>
        <w:t>6</w:t>
      </w:r>
      <w:r w:rsidRPr="00056093">
        <w:rPr>
          <w:rFonts w:ascii="Book Antiqua" w:hAnsi="Book Antiqua" w:cs="Times New Roman"/>
          <w:sz w:val="24"/>
          <w:szCs w:val="24"/>
          <w:vertAlign w:val="superscript"/>
        </w:rPr>
        <w:t>[11,41,44,55,75-77,8</w:t>
      </w:r>
      <w:r w:rsidR="00FE2E78" w:rsidRPr="00056093">
        <w:rPr>
          <w:rFonts w:ascii="Book Antiqua" w:hAnsi="Book Antiqua" w:cs="Times New Roman"/>
          <w:sz w:val="24"/>
          <w:szCs w:val="24"/>
          <w:vertAlign w:val="superscript"/>
        </w:rPr>
        <w:t>3</w:t>
      </w:r>
      <w:r w:rsidRPr="00056093">
        <w:rPr>
          <w:rFonts w:ascii="Book Antiqua" w:hAnsi="Book Antiqua" w:cs="Times New Roman"/>
          <w:sz w:val="24"/>
          <w:szCs w:val="24"/>
          <w:vertAlign w:val="superscript"/>
        </w:rPr>
        <w:t>,8</w:t>
      </w:r>
      <w:r w:rsidR="00FE2E78" w:rsidRPr="00056093">
        <w:rPr>
          <w:rFonts w:ascii="Book Antiqua" w:hAnsi="Book Antiqua" w:cs="Times New Roman"/>
          <w:sz w:val="24"/>
          <w:szCs w:val="24"/>
          <w:vertAlign w:val="superscript"/>
        </w:rPr>
        <w:t>5</w:t>
      </w:r>
      <w:r w:rsidRPr="00056093">
        <w:rPr>
          <w:rFonts w:ascii="Book Antiqua" w:hAnsi="Book Antiqua" w:cs="Times New Roman"/>
          <w:sz w:val="24"/>
          <w:szCs w:val="24"/>
          <w:vertAlign w:val="superscript"/>
        </w:rPr>
        <w:t>,9</w:t>
      </w:r>
      <w:r w:rsidR="00FE2E78" w:rsidRPr="00056093">
        <w:rPr>
          <w:rFonts w:ascii="Book Antiqua" w:hAnsi="Book Antiqua" w:cs="Times New Roman"/>
          <w:sz w:val="24"/>
          <w:szCs w:val="24"/>
          <w:vertAlign w:val="superscript"/>
        </w:rPr>
        <w:t>8</w:t>
      </w:r>
      <w:r w:rsidRPr="00056093">
        <w:rPr>
          <w:rFonts w:ascii="Book Antiqua" w:hAnsi="Book Antiqua" w:cs="Times New Roman"/>
          <w:sz w:val="24"/>
          <w:szCs w:val="24"/>
          <w:vertAlign w:val="superscript"/>
        </w:rPr>
        <w:t>-10</w:t>
      </w:r>
      <w:r w:rsidR="00FE2E78" w:rsidRPr="00056093">
        <w:rPr>
          <w:rFonts w:ascii="Book Antiqua" w:hAnsi="Book Antiqua" w:cs="Times New Roman"/>
          <w:sz w:val="24"/>
          <w:szCs w:val="24"/>
          <w:vertAlign w:val="superscript"/>
        </w:rPr>
        <w:t>7</w:t>
      </w:r>
      <w:r w:rsidRPr="00056093">
        <w:rPr>
          <w:rFonts w:ascii="Book Antiqua" w:hAnsi="Book Antiqua" w:cs="Times New Roman"/>
          <w:sz w:val="24"/>
          <w:szCs w:val="24"/>
          <w:vertAlign w:val="superscript"/>
        </w:rPr>
        <w:t>]</w:t>
      </w:r>
      <w:r w:rsidRPr="00056093">
        <w:rPr>
          <w:rFonts w:ascii="Book Antiqua" w:hAnsi="Book Antiqua" w:cs="Times New Roman"/>
          <w:bCs/>
          <w:sz w:val="24"/>
          <w:szCs w:val="24"/>
          <w:lang w:val="en"/>
        </w:rPr>
        <w:t xml:space="preserve"> lists therapies that affect the severity of PHG or the risk of bleeding from PHG, and Table </w:t>
      </w:r>
      <w:r w:rsidR="0079197B">
        <w:rPr>
          <w:rFonts w:ascii="Book Antiqua" w:hAnsi="Book Antiqua" w:cs="Times New Roman" w:hint="eastAsia"/>
          <w:bCs/>
          <w:sz w:val="24"/>
          <w:szCs w:val="24"/>
          <w:lang w:val="en" w:eastAsia="zh-CN"/>
        </w:rPr>
        <w:t>7</w:t>
      </w:r>
      <w:r w:rsidRPr="00056093">
        <w:rPr>
          <w:rFonts w:ascii="Book Antiqua" w:hAnsi="Book Antiqua" w:cs="Times New Roman"/>
          <w:sz w:val="24"/>
          <w:szCs w:val="24"/>
          <w:vertAlign w:val="superscript"/>
        </w:rPr>
        <w:t>[8,14,28,.30,35,42,8</w:t>
      </w:r>
      <w:r w:rsidR="00FE2E78" w:rsidRPr="00056093">
        <w:rPr>
          <w:rFonts w:ascii="Book Antiqua" w:hAnsi="Book Antiqua" w:cs="Times New Roman"/>
          <w:sz w:val="24"/>
          <w:szCs w:val="24"/>
          <w:vertAlign w:val="superscript"/>
        </w:rPr>
        <w:t>4</w:t>
      </w:r>
      <w:r w:rsidRPr="00056093">
        <w:rPr>
          <w:rFonts w:ascii="Book Antiqua" w:hAnsi="Book Antiqua" w:cs="Times New Roman"/>
          <w:sz w:val="24"/>
          <w:szCs w:val="24"/>
          <w:vertAlign w:val="superscript"/>
        </w:rPr>
        <w:t>,10</w:t>
      </w:r>
      <w:r w:rsidR="00FE2E78" w:rsidRPr="00056093">
        <w:rPr>
          <w:rFonts w:ascii="Book Antiqua" w:hAnsi="Book Antiqua" w:cs="Times New Roman"/>
          <w:sz w:val="24"/>
          <w:szCs w:val="24"/>
          <w:vertAlign w:val="superscript"/>
        </w:rPr>
        <w:t>8</w:t>
      </w:r>
      <w:r w:rsidRPr="00056093">
        <w:rPr>
          <w:rFonts w:ascii="Book Antiqua" w:hAnsi="Book Antiqua" w:cs="Times New Roman"/>
          <w:sz w:val="24"/>
          <w:szCs w:val="24"/>
          <w:vertAlign w:val="superscript"/>
        </w:rPr>
        <w:t>-11</w:t>
      </w:r>
      <w:r w:rsidR="00FE2E78" w:rsidRPr="00056093">
        <w:rPr>
          <w:rFonts w:ascii="Book Antiqua" w:hAnsi="Book Antiqua" w:cs="Times New Roman"/>
          <w:sz w:val="24"/>
          <w:szCs w:val="24"/>
          <w:vertAlign w:val="superscript"/>
        </w:rPr>
        <w:t>0</w:t>
      </w:r>
      <w:r w:rsidRPr="00056093">
        <w:rPr>
          <w:rFonts w:ascii="Book Antiqua" w:hAnsi="Book Antiqua" w:cs="Times New Roman"/>
          <w:sz w:val="24"/>
          <w:szCs w:val="24"/>
          <w:vertAlign w:val="superscript"/>
        </w:rPr>
        <w:t>]</w:t>
      </w:r>
      <w:r w:rsidRPr="00056093">
        <w:rPr>
          <w:rFonts w:ascii="Book Antiqua" w:hAnsi="Book Antiqua" w:cs="Times New Roman"/>
          <w:bCs/>
          <w:sz w:val="24"/>
          <w:szCs w:val="24"/>
          <w:lang w:val="en"/>
        </w:rPr>
        <w:t xml:space="preserve"> lists the factors that do not affect the risk of PGH.</w:t>
      </w:r>
    </w:p>
    <w:p w:rsidR="0079197B" w:rsidRPr="0079197B" w:rsidRDefault="0079197B" w:rsidP="00FA6CCE">
      <w:pPr>
        <w:widowControl w:val="0"/>
        <w:spacing w:line="360" w:lineRule="auto"/>
        <w:ind w:firstLine="720"/>
        <w:jc w:val="both"/>
        <w:rPr>
          <w:rFonts w:ascii="Book Antiqua" w:hAnsi="Book Antiqua" w:cs="Times New Roman"/>
          <w:bCs/>
          <w:sz w:val="24"/>
          <w:szCs w:val="24"/>
          <w:lang w:val="en" w:eastAsia="zh-CN"/>
        </w:rPr>
      </w:pPr>
    </w:p>
    <w:p w:rsidR="00C9325C" w:rsidRPr="00145447" w:rsidRDefault="00C9325C" w:rsidP="00FA6CCE">
      <w:pPr>
        <w:widowControl w:val="0"/>
        <w:spacing w:line="360" w:lineRule="auto"/>
        <w:jc w:val="both"/>
        <w:rPr>
          <w:rFonts w:ascii="Book Antiqua" w:hAnsi="Book Antiqua" w:cs="Times New Roman"/>
          <w:b/>
          <w:i/>
          <w:sz w:val="24"/>
          <w:szCs w:val="24"/>
          <w:lang w:val="en"/>
        </w:rPr>
      </w:pPr>
      <w:r w:rsidRPr="00145447">
        <w:rPr>
          <w:rFonts w:ascii="Book Antiqua" w:hAnsi="Book Antiqua" w:cs="Times New Roman"/>
          <w:b/>
          <w:i/>
          <w:sz w:val="24"/>
          <w:szCs w:val="24"/>
          <w:lang w:val="en"/>
        </w:rPr>
        <w:t>P</w:t>
      </w:r>
      <w:r w:rsidR="00145447" w:rsidRPr="00145447">
        <w:rPr>
          <w:rFonts w:ascii="Book Antiqua" w:hAnsi="Book Antiqua" w:cs="Times New Roman"/>
          <w:b/>
          <w:i/>
          <w:sz w:val="24"/>
          <w:szCs w:val="24"/>
          <w:lang w:val="en"/>
        </w:rPr>
        <w:t>athogenesis</w:t>
      </w:r>
    </w:p>
    <w:p w:rsidR="00C9325C" w:rsidRPr="00145447" w:rsidRDefault="00C9325C" w:rsidP="0079197B">
      <w:pPr>
        <w:widowControl w:val="0"/>
        <w:spacing w:line="360" w:lineRule="auto"/>
        <w:jc w:val="both"/>
        <w:rPr>
          <w:rFonts w:ascii="Book Antiqua" w:hAnsi="Book Antiqua" w:cs="Times New Roman"/>
          <w:b/>
          <w:bCs/>
          <w:sz w:val="24"/>
          <w:szCs w:val="24"/>
          <w:lang w:val="en"/>
        </w:rPr>
      </w:pPr>
      <w:r w:rsidRPr="00145447">
        <w:rPr>
          <w:rFonts w:ascii="Book Antiqua" w:hAnsi="Book Antiqua" w:cs="Times New Roman"/>
          <w:b/>
          <w:sz w:val="24"/>
          <w:szCs w:val="24"/>
          <w:lang w:val="en"/>
        </w:rPr>
        <w:t>Hemodynamic changes</w:t>
      </w:r>
      <w:r w:rsidR="00145447">
        <w:rPr>
          <w:rFonts w:ascii="Book Antiqua" w:hAnsi="Book Antiqua" w:cs="Times New Roman" w:hint="eastAsia"/>
          <w:b/>
          <w:bCs/>
          <w:sz w:val="24"/>
          <w:szCs w:val="24"/>
          <w:lang w:val="en" w:eastAsia="zh-CN"/>
        </w:rPr>
        <w:t xml:space="preserve">: </w:t>
      </w:r>
      <w:r w:rsidRPr="00302F74">
        <w:rPr>
          <w:rFonts w:ascii="Book Antiqua" w:hAnsi="Book Antiqua" w:cs="Times New Roman"/>
          <w:sz w:val="24"/>
          <w:szCs w:val="24"/>
          <w:lang w:val="en"/>
        </w:rPr>
        <w:t>The pathogenesis of PHG is inadequately understood</w:t>
      </w:r>
      <w:r w:rsidRPr="00302F74">
        <w:rPr>
          <w:rFonts w:ascii="Book Antiqua" w:hAnsi="Book Antiqua" w:cs="Times New Roman"/>
          <w:sz w:val="24"/>
          <w:szCs w:val="24"/>
          <w:vertAlign w:val="superscript"/>
          <w:lang w:val="en"/>
        </w:rPr>
        <w:t>[9</w:t>
      </w:r>
      <w:r w:rsidR="00FE2E78"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Hemodynamic changes, especially increased portal pressure, are the suspected underlying cause because PHG develops only with established portal hypertension</w:t>
      </w:r>
      <w:r w:rsidRPr="00302F74">
        <w:rPr>
          <w:rFonts w:ascii="Book Antiqua" w:hAnsi="Book Antiqua" w:cs="Times New Roman"/>
          <w:sz w:val="24"/>
          <w:szCs w:val="24"/>
          <w:vertAlign w:val="superscript"/>
          <w:lang w:val="en"/>
        </w:rPr>
        <w:t>[72]</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However, portal hypertension cannot be the sole factor because many patients with portal hypertension do not develop PHG</w:t>
      </w:r>
      <w:r w:rsidRPr="00302F74">
        <w:rPr>
          <w:rFonts w:ascii="Book Antiqua" w:hAnsi="Book Antiqua" w:cs="Times New Roman"/>
          <w:sz w:val="24"/>
          <w:szCs w:val="24"/>
          <w:vertAlign w:val="superscript"/>
          <w:lang w:val="en"/>
        </w:rPr>
        <w:t>[36,11</w:t>
      </w:r>
      <w:r w:rsidR="00FE2E78"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Hemodynamic changes in patients with portal hypertension lead to hyperdynamic congestion with a change in gastric mucosal blood flow</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that leads to activation of cytokines, growth factors, and hormones that perpetuate this hyperdynamic gastric circulation</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Vascular congestion in PHG alters the gastric microcirculation, but the nature and extent of this alteration is somewhat controversial.</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 hyperdynamic circulation of portal hypertension is characterized by increased intrahepatic vascular resistance, generalized splanchnic vasodilatation, decreased mean arterial pressure, decreased systemic vascular resistance, increased gastric blood flow, and most likely decreased gastric mucosal flow</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Hashizume </w:t>
      </w:r>
      <w:r w:rsidR="00E209EE"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that cirrhotic patients have dilated small gastric blood vessels, including arterioles, precapillaries, capillaries, submucosal veins, and subserosal veins, with decreased arteriovenous resistance and straightening of arterioles.</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t>This hyperdynamic circulation impairs gastric mucosal defense mechanisms</w:t>
      </w:r>
      <w:r w:rsidRPr="00302F74">
        <w:rPr>
          <w:rFonts w:ascii="Book Antiqua" w:hAnsi="Book Antiqua" w:cs="Times New Roman"/>
          <w:sz w:val="24"/>
          <w:szCs w:val="24"/>
        </w:rPr>
        <w:t xml:space="preserve">, causes release of proinflammatory mediators, and inhibits growth factors which </w:t>
      </w:r>
      <w:r w:rsidRPr="00302F74">
        <w:rPr>
          <w:rFonts w:ascii="Book Antiqua" w:hAnsi="Book Antiqua" w:cs="Times New Roman"/>
          <w:sz w:val="24"/>
          <w:szCs w:val="24"/>
          <w:lang w:val="en"/>
        </w:rPr>
        <w:t>render gastric mucosa more susceptible to injury</w:t>
      </w:r>
      <w:r w:rsidRPr="00302F74">
        <w:rPr>
          <w:rFonts w:ascii="Book Antiqua" w:hAnsi="Book Antiqua" w:cs="Times New Roman"/>
          <w:sz w:val="24"/>
          <w:szCs w:val="24"/>
          <w:vertAlign w:val="superscript"/>
          <w:lang w:val="en"/>
        </w:rPr>
        <w:t>[67,11</w:t>
      </w:r>
      <w:r w:rsidR="00FE2E78"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and impair </w:t>
      </w:r>
      <w:r w:rsidRPr="00302F74">
        <w:rPr>
          <w:rFonts w:ascii="Book Antiqua" w:hAnsi="Book Antiqua" w:cs="Times New Roman"/>
          <w:sz w:val="24"/>
          <w:szCs w:val="24"/>
          <w:lang w:val="en"/>
        </w:rPr>
        <w:t>mucosal healing</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,1</w:t>
      </w:r>
      <w:r w:rsidR="00FE2E78" w:rsidRPr="00302F74">
        <w:rPr>
          <w:rFonts w:ascii="Book Antiqua" w:hAnsi="Book Antiqua" w:cs="Times New Roman"/>
          <w:sz w:val="24"/>
          <w:szCs w:val="24"/>
          <w:vertAlign w:val="superscript"/>
          <w:lang w:val="en"/>
        </w:rPr>
        <w:t>19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This vulnerable mucosa becomes predisposed to bleeding</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,12</w:t>
      </w:r>
      <w:r w:rsidR="00FE2E78"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Decreased gastric mucosal perfusion may explain the increased rate of erosions, ulcers, and bleeding in PHG</w:t>
      </w:r>
      <w:r w:rsidRPr="00302F74">
        <w:rPr>
          <w:rFonts w:ascii="Book Antiqua" w:hAnsi="Book Antiqua" w:cs="Times New Roman"/>
          <w:sz w:val="24"/>
          <w:szCs w:val="24"/>
          <w:vertAlign w:val="superscript"/>
          <w:lang w:val="en"/>
        </w:rPr>
        <w:t>[11</w:t>
      </w:r>
      <w:r w:rsidR="00FE2E78"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Abnormal regulation of the gastric microcirculation in PHG may render gastric mucosa more vulnerable to hypoxia</w:t>
      </w:r>
      <w:r w:rsidRPr="00302F74">
        <w:rPr>
          <w:rFonts w:ascii="Book Antiqua" w:hAnsi="Book Antiqua" w:cs="Times New Roman"/>
          <w:sz w:val="24"/>
          <w:szCs w:val="24"/>
          <w:vertAlign w:val="superscript"/>
          <w:lang w:val="en"/>
        </w:rPr>
        <w:t>[1</w:t>
      </w:r>
      <w:r w:rsidR="00FE2E78"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2,12</w:t>
      </w:r>
      <w:r w:rsidR="00FE2E78"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and more susceptible to noxious </w:t>
      </w:r>
      <w:r w:rsidRPr="00302F74">
        <w:rPr>
          <w:rFonts w:ascii="Book Antiqua" w:hAnsi="Book Antiqua" w:cs="Times New Roman"/>
          <w:sz w:val="24"/>
          <w:szCs w:val="24"/>
          <w:lang w:val="en"/>
        </w:rPr>
        <w:lastRenderedPageBreak/>
        <w:t>gastric factors, such as aspirin and ethanol</w:t>
      </w:r>
      <w:r w:rsidRPr="00302F74">
        <w:rPr>
          <w:rFonts w:ascii="Book Antiqua" w:hAnsi="Book Antiqua" w:cs="Times New Roman"/>
          <w:sz w:val="24"/>
          <w:szCs w:val="24"/>
          <w:vertAlign w:val="superscript"/>
          <w:lang w:val="en"/>
        </w:rPr>
        <w:t>[12</w:t>
      </w:r>
      <w:r w:rsidR="00FE2E78"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-12</w:t>
      </w:r>
      <w:r w:rsidR="00FE2E78"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Misra </w:t>
      </w:r>
      <w:r w:rsidR="00E209EE"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[12</w:t>
      </w:r>
      <w:r w:rsidR="00FE2E78"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showed that gastric mucosal capillaries, obtained by endoscopic mucosal biopsies, have a much thicker wall in patients with cirrhosis than in healthy volunteers.</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Ichikawa </w:t>
      </w:r>
      <w:r w:rsidR="00E209EE"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[12</w:t>
      </w:r>
      <w:r w:rsidR="00F2695D"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a narrower diameter in gastric mucosal capillaries and less capillary angiogenesis, measured as percentage of buds in microvessels, after exposure to ethanol in individuals with PHG as compared to healthy controls.</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Tarnawski </w:t>
      </w:r>
      <w:r w:rsidR="00E209EE"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[12</w:t>
      </w:r>
      <w:r w:rsidR="00F2695D"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w:t>
      </w:r>
      <w:r w:rsidRPr="00302F74">
        <w:rPr>
          <w:rFonts w:ascii="Book Antiqua" w:hAnsi="Book Antiqua" w:cs="Times New Roman"/>
          <w:sz w:val="24"/>
          <w:szCs w:val="24"/>
          <w:lang w:val="en"/>
        </w:rPr>
        <w:t>reported prominent cytoplasm in endothelial cells of mucosal microvessels, that narrowed the capillary lumina, in rats with PHG.</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This finding was confirmed by electron microscopy which showed significantly larger cytoplasmic and pinocytic vesicular areas and increased capillary basement membrane thickness. Additionally, there was arterialization of submucosal veins and thickening of arterioles in the muscularis mucosae and submucosa</w:t>
      </w:r>
      <w:r w:rsidRPr="00302F74">
        <w:rPr>
          <w:rFonts w:ascii="Book Antiqua" w:hAnsi="Book Antiqua" w:cs="Times New Roman"/>
          <w:sz w:val="24"/>
          <w:szCs w:val="24"/>
          <w:vertAlign w:val="superscript"/>
          <w:lang w:val="en"/>
        </w:rPr>
        <w:t>[12</w:t>
      </w:r>
      <w:r w:rsidR="00F2695D"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t>The level of gastric mucosal blood flow in PHG is controversial.</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Most studies reported decreased mucosal blood flow in patients with PHG</w:t>
      </w:r>
      <w:r w:rsidRPr="00302F74">
        <w:rPr>
          <w:rFonts w:ascii="Book Antiqua" w:hAnsi="Book Antiqua" w:cs="Times New Roman"/>
          <w:sz w:val="24"/>
          <w:szCs w:val="24"/>
          <w:vertAlign w:val="superscript"/>
          <w:lang w:val="en"/>
        </w:rPr>
        <w:t>[76,12</w:t>
      </w:r>
      <w:r w:rsidR="00F2695D"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-13</w:t>
      </w:r>
      <w:r w:rsidR="00F2695D"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whereas several studies reported increased gastric mucosal blood flow in experimental animals and in humans with PHG</w:t>
      </w:r>
      <w:r w:rsidRPr="00302F74">
        <w:rPr>
          <w:rFonts w:ascii="Book Antiqua" w:hAnsi="Book Antiqua" w:cs="Times New Roman"/>
          <w:sz w:val="24"/>
          <w:szCs w:val="24"/>
          <w:vertAlign w:val="superscript"/>
          <w:lang w:val="en"/>
        </w:rPr>
        <w:t>[13</w:t>
      </w:r>
      <w:r w:rsidR="00F2695D"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-13</w:t>
      </w:r>
      <w:r w:rsidR="00F2695D"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Makhija </w:t>
      </w:r>
      <w:r w:rsidR="00E209EE"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[11</w:t>
      </w:r>
      <w:r w:rsidR="00F2695D"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w:t>
      </w:r>
      <w:r w:rsidRPr="00302F74">
        <w:rPr>
          <w:rFonts w:ascii="Book Antiqua" w:hAnsi="Book Antiqua" w:cs="Times New Roman"/>
          <w:b/>
          <w:sz w:val="24"/>
          <w:szCs w:val="24"/>
          <w:lang w:val="en"/>
        </w:rPr>
        <w:t xml:space="preserve"> </w:t>
      </w:r>
      <w:r w:rsidRPr="00302F74">
        <w:rPr>
          <w:rFonts w:ascii="Book Antiqua" w:hAnsi="Book Antiqua" w:cs="Times New Roman"/>
          <w:sz w:val="24"/>
          <w:szCs w:val="24"/>
          <w:lang w:val="en"/>
        </w:rPr>
        <w:t>described in PHG a decrease in gastric mucosal blood flow, an increase in the submucosal and muscular layer blood flow, and a net increase in total gastric blood flow.</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Mezawa </w:t>
      </w:r>
      <w:r w:rsidR="00E209EE"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[76]</w:t>
      </w:r>
      <w:r w:rsidRPr="00302F74">
        <w:rPr>
          <w:rFonts w:ascii="Book Antiqua" w:hAnsi="Book Antiqua" w:cs="Times New Roman"/>
          <w:sz w:val="24"/>
          <w:szCs w:val="24"/>
          <w:lang w:val="en"/>
        </w:rPr>
        <w:t xml:space="preserve"> using a laser Doppler flowmeter to measure gastric mucosal blood flow and near-infrared endoscopy to measure total gastric blood flow, reported decreased mucosal blood flow and increased total blood flow in patients with PHG.</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These results reversed after undergoing TIPS, with an increase in mucosal blood flow and a decrease in total blood flow.</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These finding support the hypothesis of decreased mucosal blood flow in patients with PHG.</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Ohta </w:t>
      </w:r>
      <w:r w:rsidR="00E209EE"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[11</w:t>
      </w:r>
      <w:r w:rsidR="00F2695D"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a decrease in superficial mucosal blood flow rendering mucosa more susceptible to injury, but noted a net increase in total gastric blood flow.</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Variability in study results arise from study biases including chronic anemia in some patients, variable measurement techniques, different techniques of applying endoscopic probes in laser-Doppler flowmetry, and differences in gastric mucosal angioarchitecture</w:t>
      </w:r>
      <w:r w:rsidRPr="00302F74">
        <w:rPr>
          <w:rFonts w:ascii="Book Antiqua" w:hAnsi="Book Antiqua" w:cs="Times New Roman"/>
          <w:sz w:val="24"/>
          <w:szCs w:val="24"/>
          <w:vertAlign w:val="superscript"/>
          <w:lang w:val="en"/>
        </w:rPr>
        <w:t>[11</w:t>
      </w:r>
      <w:r w:rsidR="00F2695D"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Laser-Doppler flowmetry, moreover, has limited utility in clinical practice</w:t>
      </w:r>
      <w:r w:rsidRPr="00302F74">
        <w:rPr>
          <w:rFonts w:ascii="Book Antiqua" w:hAnsi="Book Antiqua" w:cs="Times New Roman"/>
          <w:sz w:val="24"/>
          <w:szCs w:val="24"/>
          <w:vertAlign w:val="superscript"/>
          <w:lang w:val="en"/>
        </w:rPr>
        <w:t>[13</w:t>
      </w:r>
      <w:r w:rsidR="00F2695D"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,13</w:t>
      </w:r>
      <w:r w:rsidR="00F2695D"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lastRenderedPageBreak/>
        <w:t>Portal hypertension increases the splenic circulation</w:t>
      </w:r>
      <w:r w:rsidRPr="00302F74">
        <w:rPr>
          <w:rFonts w:ascii="Book Antiqua" w:hAnsi="Book Antiqua" w:cs="Times New Roman"/>
          <w:sz w:val="24"/>
          <w:szCs w:val="24"/>
          <w:vertAlign w:val="superscript"/>
          <w:lang w:val="en"/>
        </w:rPr>
        <w:t>[1</w:t>
      </w:r>
      <w:r w:rsidR="00F2695D" w:rsidRPr="00302F74">
        <w:rPr>
          <w:rFonts w:ascii="Book Antiqua" w:hAnsi="Book Antiqua" w:cs="Times New Roman"/>
          <w:sz w:val="24"/>
          <w:szCs w:val="24"/>
          <w:vertAlign w:val="superscript"/>
          <w:lang w:val="en"/>
        </w:rPr>
        <w:t>39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Pan </w:t>
      </w:r>
      <w:r w:rsidR="00E209EE"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[79]</w:t>
      </w:r>
      <w:r w:rsidRPr="00302F74">
        <w:rPr>
          <w:rFonts w:ascii="Book Antiqua" w:hAnsi="Book Antiqua" w:cs="Times New Roman"/>
          <w:sz w:val="24"/>
          <w:szCs w:val="24"/>
          <w:lang w:val="en"/>
        </w:rPr>
        <w:t xml:space="preserve"> reported that PHG severity was strongly correlated with hypersplenism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0.003)</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However, Abbasi </w:t>
      </w:r>
      <w:r w:rsidR="00410F62" w:rsidRPr="00E1496B">
        <w:rPr>
          <w:rFonts w:ascii="Book Antiqua" w:hAnsi="Book Antiqua" w:cs="Times New Roman"/>
          <w:i/>
          <w:sz w:val="24"/>
          <w:szCs w:val="24"/>
        </w:rPr>
        <w:t>et al</w:t>
      </w:r>
      <w:r w:rsidRPr="00302F74">
        <w:rPr>
          <w:rFonts w:ascii="Book Antiqua" w:hAnsi="Book Antiqua" w:cs="Times New Roman"/>
          <w:sz w:val="24"/>
          <w:szCs w:val="24"/>
          <w:vertAlign w:val="superscript"/>
          <w:lang w:val="en"/>
        </w:rPr>
        <w:t>[62]</w:t>
      </w:r>
      <w:r w:rsidRPr="00302F74">
        <w:rPr>
          <w:rFonts w:ascii="Book Antiqua" w:hAnsi="Book Antiqua" w:cs="Times New Roman"/>
          <w:sz w:val="24"/>
          <w:szCs w:val="24"/>
          <w:lang w:val="en"/>
        </w:rPr>
        <w:t xml:space="preserve"> did not show this correlation.</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 difference between these studies may reflect use of different classifications for PHG.</w:t>
      </w:r>
      <w:r w:rsidR="00963345">
        <w:rPr>
          <w:rFonts w:ascii="Book Antiqua" w:hAnsi="Book Antiqua" w:cs="Times New Roman"/>
          <w:sz w:val="24"/>
          <w:szCs w:val="24"/>
          <w:lang w:val="en"/>
        </w:rPr>
        <w:t xml:space="preserve"> </w:t>
      </w:r>
      <w:r w:rsidRPr="00E209EE">
        <w:rPr>
          <w:rFonts w:ascii="Book Antiqua" w:hAnsi="Book Antiqua" w:cs="Times New Roman"/>
          <w:sz w:val="24"/>
          <w:szCs w:val="24"/>
          <w:lang w:val="en"/>
        </w:rPr>
        <w:t xml:space="preserve">Figure 1 </w:t>
      </w:r>
      <w:r w:rsidRPr="00302F74">
        <w:rPr>
          <w:rFonts w:ascii="Book Antiqua" w:hAnsi="Book Antiqua" w:cs="Times New Roman"/>
          <w:sz w:val="24"/>
          <w:szCs w:val="24"/>
          <w:lang w:val="en"/>
        </w:rPr>
        <w:t>describes the hypothesized pathophysiology of PHG.</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This current mechanism is currently sketchy and likely incomplete.</w:t>
      </w:r>
    </w:p>
    <w:p w:rsidR="00C9325C" w:rsidRDefault="00C9325C" w:rsidP="00FA6CCE">
      <w:pPr>
        <w:widowControl w:val="0"/>
        <w:spacing w:line="360" w:lineRule="auto"/>
        <w:ind w:firstLine="720"/>
        <w:jc w:val="both"/>
        <w:rPr>
          <w:rFonts w:ascii="Book Antiqua" w:hAnsi="Book Antiqua" w:cs="Times New Roman"/>
          <w:sz w:val="24"/>
          <w:szCs w:val="24"/>
          <w:lang w:val="en" w:eastAsia="zh-CN"/>
        </w:rPr>
      </w:pPr>
      <w:r w:rsidRPr="00302F74">
        <w:rPr>
          <w:rFonts w:ascii="Book Antiqua" w:hAnsi="Book Antiqua" w:cs="Times New Roman"/>
          <w:sz w:val="24"/>
          <w:szCs w:val="24"/>
          <w:lang w:val="en"/>
        </w:rPr>
        <w:t>Patients with secondary polycythemia A have decreased blood flow and oxygen carrying capacity because of sluggish movement of viscous blood; this phenomenon produced endoscopic and histopathologic findings of congestive gastropathy similar to those in PHG that reversed after the patient underwent serial phlebotomies to reverse the polycythemia</w:t>
      </w:r>
      <w:r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766DAB" w:rsidRPr="00302F74" w:rsidRDefault="00766DAB" w:rsidP="00FA6CCE">
      <w:pPr>
        <w:widowControl w:val="0"/>
        <w:spacing w:line="360" w:lineRule="auto"/>
        <w:ind w:firstLine="720"/>
        <w:jc w:val="both"/>
        <w:rPr>
          <w:rFonts w:ascii="Book Antiqua" w:hAnsi="Book Antiqua" w:cs="Times New Roman"/>
          <w:sz w:val="24"/>
          <w:szCs w:val="24"/>
          <w:lang w:val="en" w:eastAsia="zh-CN"/>
        </w:rPr>
      </w:pPr>
    </w:p>
    <w:p w:rsidR="00C9325C" w:rsidRPr="00145447" w:rsidRDefault="00C9325C" w:rsidP="00FA6CCE">
      <w:pPr>
        <w:widowControl w:val="0"/>
        <w:spacing w:line="360" w:lineRule="auto"/>
        <w:jc w:val="both"/>
        <w:rPr>
          <w:rFonts w:ascii="Book Antiqua" w:hAnsi="Book Antiqua" w:cs="Times New Roman"/>
          <w:b/>
          <w:bCs/>
          <w:sz w:val="24"/>
          <w:szCs w:val="24"/>
          <w:lang w:val="en"/>
        </w:rPr>
      </w:pPr>
      <w:r w:rsidRPr="00145447">
        <w:rPr>
          <w:rFonts w:ascii="Book Antiqua" w:hAnsi="Book Antiqua" w:cs="Times New Roman"/>
          <w:b/>
          <w:bCs/>
          <w:sz w:val="24"/>
          <w:szCs w:val="24"/>
          <w:lang w:val="en"/>
        </w:rPr>
        <w:t xml:space="preserve">Molecular </w:t>
      </w:r>
      <w:r w:rsidR="00766DAB" w:rsidRPr="00145447">
        <w:rPr>
          <w:rFonts w:ascii="Book Antiqua" w:hAnsi="Book Antiqua" w:cs="Times New Roman"/>
          <w:b/>
          <w:bCs/>
          <w:sz w:val="24"/>
          <w:szCs w:val="24"/>
          <w:lang w:val="en"/>
        </w:rPr>
        <w:t>m</w:t>
      </w:r>
      <w:r w:rsidRPr="00145447">
        <w:rPr>
          <w:rFonts w:ascii="Book Antiqua" w:hAnsi="Book Antiqua" w:cs="Times New Roman"/>
          <w:b/>
          <w:bCs/>
          <w:sz w:val="24"/>
          <w:szCs w:val="24"/>
          <w:lang w:val="en"/>
        </w:rPr>
        <w:t>echanisms</w:t>
      </w:r>
      <w:r w:rsidR="00145447">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lang w:val="en"/>
        </w:rPr>
        <w:t>Numerous molecular and cellular mechanisms have been investigated regarding the pathogenesis of PHG.</w:t>
      </w:r>
    </w:p>
    <w:p w:rsidR="00766DAB" w:rsidRPr="00302F74" w:rsidRDefault="00766DAB" w:rsidP="00FA6CCE">
      <w:pPr>
        <w:widowControl w:val="0"/>
        <w:spacing w:line="360" w:lineRule="auto"/>
        <w:jc w:val="both"/>
        <w:rPr>
          <w:rFonts w:ascii="Book Antiqua" w:hAnsi="Book Antiqua" w:cs="Times New Roman"/>
          <w:bCs/>
          <w:sz w:val="24"/>
          <w:szCs w:val="24"/>
          <w:lang w:val="en" w:eastAsia="zh-CN"/>
        </w:rPr>
      </w:pPr>
    </w:p>
    <w:p w:rsidR="00C9325C" w:rsidRPr="00145447" w:rsidRDefault="00C9325C" w:rsidP="00766DAB">
      <w:pPr>
        <w:widowControl w:val="0"/>
        <w:spacing w:line="360" w:lineRule="auto"/>
        <w:jc w:val="both"/>
        <w:rPr>
          <w:rFonts w:ascii="Book Antiqua" w:hAnsi="Book Antiqua" w:cs="Times New Roman"/>
          <w:b/>
          <w:bCs/>
          <w:sz w:val="24"/>
          <w:szCs w:val="24"/>
          <w:lang w:val="en"/>
        </w:rPr>
      </w:pPr>
      <w:r w:rsidRPr="00145447">
        <w:rPr>
          <w:rFonts w:ascii="Book Antiqua" w:hAnsi="Book Antiqua" w:cs="Times New Roman"/>
          <w:b/>
          <w:bCs/>
          <w:sz w:val="24"/>
          <w:szCs w:val="24"/>
          <w:lang w:val="en"/>
        </w:rPr>
        <w:t>Apoptosis</w:t>
      </w:r>
      <w:r w:rsidR="00145447">
        <w:rPr>
          <w:rFonts w:ascii="Book Antiqua" w:hAnsi="Book Antiqua" w:cs="Times New Roman" w:hint="eastAsia"/>
          <w:b/>
          <w:bCs/>
          <w:sz w:val="24"/>
          <w:szCs w:val="24"/>
          <w:lang w:val="en" w:eastAsia="zh-CN"/>
        </w:rPr>
        <w:t xml:space="preserve">: </w:t>
      </w:r>
      <w:r w:rsidRPr="00302F74">
        <w:rPr>
          <w:rFonts w:ascii="Book Antiqua" w:hAnsi="Book Antiqua" w:cs="Times New Roman"/>
          <w:sz w:val="24"/>
          <w:szCs w:val="24"/>
          <w:lang w:val="en"/>
        </w:rPr>
        <w:t xml:space="preserve">Wu </w:t>
      </w:r>
      <w:r w:rsidRPr="00766DAB">
        <w:rPr>
          <w:rFonts w:ascii="Book Antiqua" w:hAnsi="Book Antiqua" w:cs="Times New Roman"/>
          <w:i/>
          <w:sz w:val="24"/>
          <w:szCs w:val="24"/>
          <w:lang w:val="en"/>
        </w:rPr>
        <w:t>et al</w:t>
      </w:r>
      <w:r w:rsidRPr="00302F74">
        <w:rPr>
          <w:rFonts w:ascii="Book Antiqua" w:hAnsi="Book Antiqua" w:cs="Times New Roman"/>
          <w:sz w:val="24"/>
          <w:szCs w:val="24"/>
          <w:vertAlign w:val="superscript"/>
          <w:lang w:val="en"/>
        </w:rPr>
        <w:t>[1</w:t>
      </w:r>
      <w:r w:rsidR="00F2695D" w:rsidRPr="00302F74">
        <w:rPr>
          <w:rFonts w:ascii="Book Antiqua" w:hAnsi="Book Antiqua" w:cs="Times New Roman"/>
          <w:sz w:val="24"/>
          <w:szCs w:val="24"/>
          <w:vertAlign w:val="superscript"/>
          <w:lang w:val="en"/>
        </w:rPr>
        <w:t>41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showed that rats with PHG had increased gastric mucosal apoptosis and decreased mucosal proliferation. Recently, a p53-upregulated modulator of apoptosis (PUMA) was reported markedly induced in gastric mucosa in patients or mouse models of PHG. PUMA is modulated by ER- (endoplasmic reticulum-) stress-induced mucosal epithelial apoptosis in PHG</w:t>
      </w:r>
      <w:r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This effect could promote mucosal injury in PHG.</w:t>
      </w:r>
    </w:p>
    <w:p w:rsidR="00766DAB" w:rsidRPr="00302F74" w:rsidRDefault="00766DAB" w:rsidP="00766DAB">
      <w:pPr>
        <w:widowControl w:val="0"/>
        <w:spacing w:line="360" w:lineRule="auto"/>
        <w:jc w:val="both"/>
        <w:rPr>
          <w:rFonts w:ascii="Book Antiqua" w:hAnsi="Book Antiqua" w:cs="Times New Roman"/>
          <w:sz w:val="24"/>
          <w:szCs w:val="24"/>
          <w:lang w:val="en" w:eastAsia="zh-CN"/>
        </w:rPr>
      </w:pPr>
    </w:p>
    <w:p w:rsidR="00C9325C" w:rsidRDefault="00C9325C" w:rsidP="00766DAB">
      <w:pPr>
        <w:widowControl w:val="0"/>
        <w:spacing w:line="360" w:lineRule="auto"/>
        <w:jc w:val="both"/>
        <w:rPr>
          <w:rFonts w:ascii="Book Antiqua" w:hAnsi="Book Antiqua" w:cs="Times New Roman"/>
          <w:sz w:val="24"/>
          <w:szCs w:val="24"/>
          <w:lang w:val="en"/>
        </w:rPr>
      </w:pPr>
      <w:r w:rsidRPr="00145447">
        <w:rPr>
          <w:rFonts w:ascii="Book Antiqua" w:hAnsi="Book Antiqua" w:cs="Times New Roman"/>
          <w:b/>
          <w:bCs/>
          <w:sz w:val="24"/>
          <w:szCs w:val="24"/>
          <w:lang w:val="en"/>
        </w:rPr>
        <w:t xml:space="preserve">Free radicals </w:t>
      </w:r>
      <w:r w:rsidR="00766DAB" w:rsidRPr="00145447">
        <w:rPr>
          <w:rFonts w:ascii="Book Antiqua" w:hAnsi="Book Antiqua" w:cs="Times New Roman" w:hint="eastAsia"/>
          <w:b/>
          <w:bCs/>
          <w:sz w:val="24"/>
          <w:szCs w:val="24"/>
          <w:lang w:val="en" w:eastAsia="zh-CN"/>
        </w:rPr>
        <w:t>and</w:t>
      </w:r>
      <w:r w:rsidRPr="00145447">
        <w:rPr>
          <w:rFonts w:ascii="Book Antiqua" w:hAnsi="Book Antiqua" w:cs="Times New Roman"/>
          <w:b/>
          <w:bCs/>
          <w:sz w:val="24"/>
          <w:szCs w:val="24"/>
          <w:lang w:val="en"/>
        </w:rPr>
        <w:t xml:space="preserve"> antioxidants</w:t>
      </w:r>
      <w:r w:rsidR="00145447">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 xml:space="preserve">Kaur </w:t>
      </w:r>
      <w:r w:rsidR="00766DAB" w:rsidRPr="00766DAB">
        <w:rPr>
          <w:rFonts w:ascii="Book Antiqua" w:hAnsi="Book Antiqua" w:cs="Times New Roman"/>
          <w:i/>
          <w:sz w:val="24"/>
          <w:szCs w:val="24"/>
          <w:lang w:val="en"/>
        </w:rPr>
        <w:t>et al</w:t>
      </w:r>
      <w:r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showed elevated levels of injurious free radicals and lysosomal enzymes and decreased levels of protective antioxidant enzymes in gastric mucosal homogenates from rats with portal hypertension. Kawanaka </w:t>
      </w:r>
      <w:r w:rsidR="00766DAB" w:rsidRPr="00766DAB">
        <w:rPr>
          <w:rFonts w:ascii="Book Antiqua" w:hAnsi="Book Antiqua" w:cs="Times New Roman"/>
          <w:i/>
          <w:sz w:val="24"/>
          <w:szCs w:val="24"/>
          <w:lang w:val="en"/>
        </w:rPr>
        <w:t>et al</w:t>
      </w:r>
      <w:r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showed impaired ERK2 (endoplasmic reticulum </w:t>
      </w:r>
      <w:r w:rsidRPr="00302F74">
        <w:rPr>
          <w:rFonts w:ascii="Book Antiqua" w:hAnsi="Book Antiqua" w:cs="Times New Roman"/>
          <w:sz w:val="24"/>
          <w:szCs w:val="24"/>
        </w:rPr>
        <w:t>serine/threonine kinase-2)</w:t>
      </w:r>
      <w:r w:rsidRPr="00302F74">
        <w:rPr>
          <w:rFonts w:ascii="Book Antiqua" w:hAnsi="Book Antiqua" w:cs="Times New Roman"/>
          <w:b/>
          <w:sz w:val="24"/>
          <w:szCs w:val="24"/>
        </w:rPr>
        <w:t xml:space="preserve"> </w:t>
      </w:r>
      <w:r w:rsidRPr="00302F74">
        <w:rPr>
          <w:rFonts w:ascii="Book Antiqua" w:hAnsi="Book Antiqua" w:cs="Times New Roman"/>
          <w:sz w:val="24"/>
          <w:szCs w:val="24"/>
          <w:lang w:val="en"/>
        </w:rPr>
        <w:t>activation after oxidative stress in rat gastric mucosa; ERK2 normally protects against cellular stress by inducing cell proliferation in gastric mucosa.</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Kinjo </w:t>
      </w:r>
      <w:r w:rsidR="00766DAB" w:rsidRPr="00766DAB">
        <w:rPr>
          <w:rFonts w:ascii="Book Antiqua" w:hAnsi="Book Antiqua" w:cs="Times New Roman"/>
          <w:i/>
          <w:sz w:val="24"/>
          <w:szCs w:val="24"/>
          <w:lang w:val="en"/>
        </w:rPr>
        <w:t>et al</w:t>
      </w:r>
      <w:r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showed that enhanced nitration of ERK by peroxynitrite is involved in impaired MAPK (ERK) signaling in PHG, which impairs mucosal healing and promotes mucosal injury. The </w:t>
      </w:r>
      <w:r w:rsidRPr="00302F74">
        <w:rPr>
          <w:rFonts w:ascii="Book Antiqua" w:hAnsi="Book Antiqua" w:cs="Times New Roman"/>
          <w:sz w:val="24"/>
          <w:szCs w:val="24"/>
          <w:lang w:val="en"/>
        </w:rPr>
        <w:lastRenderedPageBreak/>
        <w:t>levels of lipid peroxide and nitrotyrosine that tend to promote gastric injury increased significantly in rats with PHG as compared to controls.</w:t>
      </w:r>
    </w:p>
    <w:p w:rsidR="00766DAB" w:rsidRPr="00302F74" w:rsidRDefault="00766DAB" w:rsidP="00766DAB">
      <w:pPr>
        <w:widowControl w:val="0"/>
        <w:spacing w:line="360" w:lineRule="auto"/>
        <w:jc w:val="both"/>
        <w:rPr>
          <w:rFonts w:ascii="Book Antiqua" w:hAnsi="Book Antiqua" w:cs="Times New Roman"/>
          <w:sz w:val="24"/>
          <w:szCs w:val="24"/>
          <w:lang w:val="en" w:eastAsia="zh-CN"/>
        </w:rPr>
      </w:pPr>
    </w:p>
    <w:p w:rsidR="00C9325C" w:rsidRDefault="00C9325C" w:rsidP="00766DAB">
      <w:pPr>
        <w:widowControl w:val="0"/>
        <w:spacing w:line="360" w:lineRule="auto"/>
        <w:jc w:val="both"/>
        <w:rPr>
          <w:rFonts w:ascii="Book Antiqua" w:hAnsi="Book Antiqua" w:cs="Times New Roman"/>
          <w:sz w:val="24"/>
          <w:szCs w:val="24"/>
          <w:lang w:val="en"/>
        </w:rPr>
      </w:pPr>
      <w:r w:rsidRPr="00145447">
        <w:rPr>
          <w:rFonts w:ascii="Book Antiqua" w:hAnsi="Book Antiqua" w:cs="Times New Roman"/>
          <w:b/>
          <w:bCs/>
          <w:sz w:val="24"/>
          <w:szCs w:val="24"/>
          <w:lang w:val="en"/>
        </w:rPr>
        <w:t>Mucin</w:t>
      </w:r>
      <w:r w:rsidR="00145447">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 xml:space="preserve">Wang </w:t>
      </w:r>
      <w:r w:rsidR="00766DAB" w:rsidRPr="00766DAB">
        <w:rPr>
          <w:rFonts w:ascii="Book Antiqua" w:hAnsi="Book Antiqua" w:cs="Times New Roman"/>
          <w:i/>
          <w:sz w:val="24"/>
          <w:szCs w:val="24"/>
          <w:lang w:val="en"/>
        </w:rPr>
        <w:t>et al</w:t>
      </w:r>
      <w:r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significantly reduced expression of mucin mRNA in rat models of portal hypertension induced by partial portal vein ligation. Decreased mucin production may impair gastric mucosal protection.</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Rats with portal hypertension had significantly greater injury to gastric mucosa than healthy controls after exposure to gastrotoxic compounds. Tomikawa </w:t>
      </w:r>
      <w:r w:rsidR="00766DAB" w:rsidRPr="00766DAB">
        <w:rPr>
          <w:rFonts w:ascii="Book Antiqua" w:hAnsi="Book Antiqua" w:cs="Times New Roman"/>
          <w:i/>
          <w:sz w:val="24"/>
          <w:szCs w:val="24"/>
          <w:lang w:val="en"/>
        </w:rPr>
        <w:t>et al</w:t>
      </w:r>
      <w:r w:rsidRPr="00302F74">
        <w:rPr>
          <w:rFonts w:ascii="Book Antiqua" w:hAnsi="Book Antiqua" w:cs="Times New Roman"/>
          <w:sz w:val="24"/>
          <w:szCs w:val="24"/>
          <w:vertAlign w:val="superscript"/>
          <w:lang w:val="en"/>
        </w:rPr>
        <w:t>[13</w:t>
      </w:r>
      <w:r w:rsidR="00F2695D"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decreased mucosal gel layer thickness, surface epithelial cell intracellular pH, and oxygenation of gastric mucosal surface in rats with PHG.</w:t>
      </w:r>
    </w:p>
    <w:p w:rsidR="00766DAB" w:rsidRPr="00302F74" w:rsidRDefault="00766DAB" w:rsidP="00766DAB">
      <w:pPr>
        <w:widowControl w:val="0"/>
        <w:spacing w:line="360" w:lineRule="auto"/>
        <w:jc w:val="both"/>
        <w:rPr>
          <w:rFonts w:ascii="Book Antiqua" w:hAnsi="Book Antiqua" w:cs="Times New Roman"/>
          <w:sz w:val="24"/>
          <w:szCs w:val="24"/>
          <w:lang w:val="en" w:eastAsia="zh-CN"/>
        </w:rPr>
      </w:pPr>
    </w:p>
    <w:p w:rsidR="00C9325C" w:rsidRDefault="00C9325C" w:rsidP="00766DAB">
      <w:pPr>
        <w:widowControl w:val="0"/>
        <w:spacing w:line="360" w:lineRule="auto"/>
        <w:jc w:val="both"/>
        <w:rPr>
          <w:rFonts w:ascii="Book Antiqua" w:hAnsi="Book Antiqua" w:cs="Times New Roman"/>
          <w:sz w:val="24"/>
          <w:szCs w:val="24"/>
          <w:lang w:val="en"/>
        </w:rPr>
      </w:pPr>
      <w:r w:rsidRPr="00145447">
        <w:rPr>
          <w:rFonts w:ascii="Book Antiqua" w:hAnsi="Book Antiqua" w:cs="Times New Roman"/>
          <w:b/>
          <w:bCs/>
          <w:sz w:val="24"/>
          <w:szCs w:val="24"/>
          <w:lang w:val="en"/>
        </w:rPr>
        <w:t>Angiogenesis</w:t>
      </w:r>
      <w:r w:rsidR="00145447">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As aforementioned, the number of angiogenic buds decreased after injury to PHG mucosa.</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This phenomenon may decrease the reparative capacity of PHG mucosa</w:t>
      </w:r>
      <w:r w:rsidRPr="00302F74">
        <w:rPr>
          <w:rFonts w:ascii="Book Antiqua" w:hAnsi="Book Antiqua" w:cs="Times New Roman"/>
          <w:sz w:val="24"/>
          <w:szCs w:val="24"/>
          <w:vertAlign w:val="superscript"/>
          <w:lang w:val="en"/>
        </w:rPr>
        <w:t>[12</w:t>
      </w:r>
      <w:r w:rsidR="00F2695D"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However, Tsugawa </w:t>
      </w:r>
      <w:r w:rsidR="00766DAB" w:rsidRPr="00766DAB">
        <w:rPr>
          <w:rFonts w:ascii="Book Antiqua" w:hAnsi="Book Antiqua" w:cs="Times New Roman"/>
          <w:i/>
          <w:sz w:val="24"/>
          <w:szCs w:val="24"/>
          <w:lang w:val="en"/>
        </w:rPr>
        <w:t>et al</w:t>
      </w:r>
      <w:r w:rsidRPr="00302F74">
        <w:rPr>
          <w:rFonts w:ascii="Book Antiqua" w:hAnsi="Book Antiqua" w:cs="Times New Roman"/>
          <w:sz w:val="24"/>
          <w:szCs w:val="24"/>
          <w:vertAlign w:val="superscript"/>
          <w:lang w:val="en"/>
        </w:rPr>
        <w:t>[13</w:t>
      </w:r>
      <w:r w:rsidR="00F2695D"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humans with PHG had increased vascular endothelial growth factor (VEGF), a potent angiogenic factor. Additionally, rats with PHG had a significant decrease in the SaO2 and PaO2 of the arterial blood gas, and increased levels of VEGF, PCNA expression, and gastric mucosal blood flow in gastric mucosa. They proposed that gastric mucosal hypoxia in portal hypertension and elevation in VEGF and PCNA might accelerate mucosal angiogenesis and increase blood flow</w:t>
      </w:r>
      <w:r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p>
    <w:p w:rsidR="00766DAB" w:rsidRPr="00302F74" w:rsidRDefault="00766DAB" w:rsidP="00766DAB">
      <w:pPr>
        <w:widowControl w:val="0"/>
        <w:spacing w:line="360" w:lineRule="auto"/>
        <w:jc w:val="both"/>
        <w:rPr>
          <w:rFonts w:ascii="Book Antiqua" w:hAnsi="Book Antiqua" w:cs="Times New Roman"/>
          <w:bCs/>
          <w:sz w:val="24"/>
          <w:szCs w:val="24"/>
          <w:lang w:val="en" w:eastAsia="zh-CN"/>
        </w:rPr>
      </w:pPr>
    </w:p>
    <w:p w:rsidR="00C9325C" w:rsidRPr="00145447" w:rsidRDefault="00C9325C" w:rsidP="00766DAB">
      <w:pPr>
        <w:widowControl w:val="0"/>
        <w:spacing w:line="360" w:lineRule="auto"/>
        <w:jc w:val="both"/>
        <w:rPr>
          <w:rFonts w:ascii="Book Antiqua" w:hAnsi="Book Antiqua" w:cs="Times New Roman"/>
          <w:sz w:val="24"/>
          <w:szCs w:val="24"/>
          <w:lang w:val="en"/>
        </w:rPr>
      </w:pPr>
      <w:r w:rsidRPr="00145447">
        <w:rPr>
          <w:rFonts w:ascii="Book Antiqua" w:hAnsi="Book Antiqua" w:cs="Times New Roman"/>
          <w:b/>
          <w:bCs/>
          <w:sz w:val="24"/>
          <w:szCs w:val="24"/>
          <w:lang w:val="en"/>
        </w:rPr>
        <w:t>Tumor necrosis factor alpha</w:t>
      </w:r>
      <w:r w:rsidR="00145447">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Tumor necrosis factor alpha (TNF-α) may directly contribute to the hyperdynamic circulation in PHG.</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Patients and animal models with portal hypertension had an elevated TNF-α level which stimulated release of nitric oxide (NO) and prostacyclin, important mediators of a hyperdynamic circulation</w:t>
      </w:r>
      <w:r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For example, in one study, 96 healthy rats were injected with either anti-TNF-α polyclonal antibodies or placebo before surgically creating portal vein stenosis (PVS) to induce portal hypertension and 4 d after in the short-term inhibition group and 1, 4, 7 and 10 d </w:t>
      </w:r>
      <w:r w:rsidRPr="00302F74">
        <w:rPr>
          <w:rFonts w:ascii="Book Antiqua" w:hAnsi="Book Antiqua" w:cs="Times New Roman"/>
          <w:sz w:val="24"/>
          <w:szCs w:val="24"/>
        </w:rPr>
        <w:t xml:space="preserve">after PVS in the long </w:t>
      </w:r>
      <w:r w:rsidRPr="00302F74">
        <w:rPr>
          <w:rFonts w:ascii="Book Antiqua" w:hAnsi="Book Antiqua" w:cs="Times New Roman"/>
          <w:sz w:val="24"/>
          <w:szCs w:val="24"/>
          <w:lang w:val="en"/>
        </w:rPr>
        <w:t xml:space="preserve">term-inhibition group. Anti-TNF-α treated PVS rats exhibited lower serum levels of TNF-α, which normally stimulates the synthesis of NO </w:t>
      </w:r>
      <w:r w:rsidRPr="00302F74">
        <w:rPr>
          <w:rFonts w:ascii="Book Antiqua" w:hAnsi="Book Antiqua" w:cs="Times New Roman"/>
          <w:sz w:val="24"/>
          <w:szCs w:val="24"/>
          <w:lang w:val="en"/>
        </w:rPr>
        <w:lastRenderedPageBreak/>
        <w:t>and prostacyclin, and exhibited lower serum levels of nitrates and nitrites and of 6-keto-PGF</w:t>
      </w:r>
      <w:r w:rsidRPr="00302F74">
        <w:rPr>
          <w:rFonts w:ascii="Book Antiqua" w:hAnsi="Book Antiqua" w:cs="Times New Roman"/>
          <w:sz w:val="24"/>
          <w:szCs w:val="24"/>
          <w:vertAlign w:val="subscript"/>
          <w:lang w:val="en"/>
        </w:rPr>
        <w:t>1α</w:t>
      </w:r>
      <w:r w:rsidRPr="00302F74">
        <w:rPr>
          <w:rFonts w:ascii="Book Antiqua" w:hAnsi="Book Antiqua" w:cs="Times New Roman"/>
          <w:sz w:val="24"/>
          <w:szCs w:val="24"/>
          <w:lang w:val="en"/>
        </w:rPr>
        <w:t xml:space="preserve"> (6-keto-PGF-1-alpha), used to monitor NO and prostacyclin release, respectively.</w:t>
      </w:r>
      <w:r w:rsidRPr="00302F74">
        <w:rPr>
          <w:rFonts w:ascii="Book Antiqua" w:hAnsi="Book Antiqua" w:cs="Times New Roman"/>
          <w:bCs/>
          <w:sz w:val="24"/>
          <w:szCs w:val="24"/>
          <w:lang w:val="en"/>
        </w:rPr>
        <w:t xml:space="preserve"> The combined nitrate and nitrite level was significantly reduced from 68 + 9 nmol/m</w:t>
      </w:r>
      <w:r w:rsidR="00766DAB" w:rsidRPr="00302F74">
        <w:rPr>
          <w:rFonts w:ascii="Book Antiqua" w:hAnsi="Book Antiqua" w:cs="Times New Roman"/>
          <w:bCs/>
          <w:sz w:val="24"/>
          <w:szCs w:val="24"/>
          <w:lang w:val="en"/>
        </w:rPr>
        <w:t>L</w:t>
      </w:r>
      <w:r w:rsidRPr="00302F74">
        <w:rPr>
          <w:rFonts w:ascii="Book Antiqua" w:hAnsi="Book Antiqua" w:cs="Times New Roman"/>
          <w:bCs/>
          <w:sz w:val="24"/>
          <w:szCs w:val="24"/>
          <w:lang w:val="en"/>
        </w:rPr>
        <w:t xml:space="preserve"> in controls to 42 + 8 nmol</w:t>
      </w:r>
      <w:r w:rsidR="00766DAB" w:rsidRPr="00302F74">
        <w:rPr>
          <w:rFonts w:ascii="Book Antiqua" w:hAnsi="Book Antiqua" w:cs="Times New Roman"/>
          <w:bCs/>
          <w:sz w:val="24"/>
          <w:szCs w:val="24"/>
          <w:lang w:val="en"/>
        </w:rPr>
        <w:t>/mL</w:t>
      </w:r>
      <w:r w:rsidRPr="00302F74">
        <w:rPr>
          <w:rFonts w:ascii="Book Antiqua" w:hAnsi="Book Antiqua" w:cs="Times New Roman"/>
          <w:bCs/>
          <w:sz w:val="24"/>
          <w:szCs w:val="24"/>
          <w:lang w:val="en"/>
        </w:rPr>
        <w:t xml:space="preserve"> in the short-term inhibition group (</w:t>
      </w:r>
      <w:r w:rsidR="00E878B6">
        <w:rPr>
          <w:rFonts w:ascii="Book Antiqua" w:hAnsi="Book Antiqua" w:cs="Times New Roman"/>
          <w:bCs/>
          <w:i/>
          <w:sz w:val="24"/>
          <w:szCs w:val="24"/>
          <w:lang w:val="en"/>
        </w:rPr>
        <w:t>P &lt;</w:t>
      </w:r>
      <w:r w:rsidR="00766DAB">
        <w:rPr>
          <w:rFonts w:ascii="Book Antiqua" w:hAnsi="Book Antiqua" w:cs="Times New Roman" w:hint="eastAsia"/>
          <w:bCs/>
          <w:i/>
          <w:sz w:val="24"/>
          <w:szCs w:val="24"/>
          <w:lang w:val="en" w:eastAsia="zh-CN"/>
        </w:rPr>
        <w:t xml:space="preserve"> </w:t>
      </w:r>
      <w:r w:rsidRPr="00302F74">
        <w:rPr>
          <w:rFonts w:ascii="Book Antiqua" w:hAnsi="Book Antiqua" w:cs="Times New Roman"/>
          <w:bCs/>
          <w:sz w:val="24"/>
          <w:szCs w:val="24"/>
          <w:lang w:val="en"/>
        </w:rPr>
        <w:t>0.05), and from 66 + 6 nmol</w:t>
      </w:r>
      <w:r w:rsidR="00766DAB" w:rsidRPr="00302F74">
        <w:rPr>
          <w:rFonts w:ascii="Book Antiqua" w:hAnsi="Book Antiqua" w:cs="Times New Roman"/>
          <w:bCs/>
          <w:sz w:val="24"/>
          <w:szCs w:val="24"/>
          <w:lang w:val="en"/>
        </w:rPr>
        <w:t>/mL</w:t>
      </w:r>
      <w:r w:rsidRPr="00302F74">
        <w:rPr>
          <w:rFonts w:ascii="Book Antiqua" w:hAnsi="Book Antiqua" w:cs="Times New Roman"/>
          <w:bCs/>
          <w:sz w:val="24"/>
          <w:szCs w:val="24"/>
          <w:lang w:val="en"/>
        </w:rPr>
        <w:t xml:space="preserve"> in controls to 44 + 4 nmol</w:t>
      </w:r>
      <w:r w:rsidR="00766DAB" w:rsidRPr="00302F74">
        <w:rPr>
          <w:rFonts w:ascii="Book Antiqua" w:hAnsi="Book Antiqua" w:cs="Times New Roman"/>
          <w:bCs/>
          <w:sz w:val="24"/>
          <w:szCs w:val="24"/>
          <w:lang w:val="en"/>
        </w:rPr>
        <w:t>/mL</w:t>
      </w:r>
      <w:r w:rsidRPr="00302F74">
        <w:rPr>
          <w:rFonts w:ascii="Book Antiqua" w:hAnsi="Book Antiqua" w:cs="Times New Roman"/>
          <w:bCs/>
          <w:sz w:val="24"/>
          <w:szCs w:val="24"/>
          <w:lang w:val="en"/>
        </w:rPr>
        <w:t xml:space="preserve"> in the long-term inhibition group (</w:t>
      </w:r>
      <w:r w:rsidR="00E878B6">
        <w:rPr>
          <w:rFonts w:ascii="Book Antiqua" w:hAnsi="Book Antiqua" w:cs="Times New Roman"/>
          <w:bCs/>
          <w:i/>
          <w:sz w:val="24"/>
          <w:szCs w:val="24"/>
          <w:lang w:val="en"/>
        </w:rPr>
        <w:t>P &lt;</w:t>
      </w:r>
      <w:r w:rsidR="00FA4E58">
        <w:rPr>
          <w:rFonts w:ascii="Book Antiqua" w:hAnsi="Book Antiqua" w:cs="Times New Roman" w:hint="eastAsia"/>
          <w:bCs/>
          <w:i/>
          <w:sz w:val="24"/>
          <w:szCs w:val="24"/>
          <w:lang w:val="en" w:eastAsia="zh-CN"/>
        </w:rPr>
        <w:t xml:space="preserve"> </w:t>
      </w:r>
      <w:r w:rsidRPr="00302F74">
        <w:rPr>
          <w:rFonts w:ascii="Book Antiqua" w:hAnsi="Book Antiqua" w:cs="Times New Roman"/>
          <w:bCs/>
          <w:sz w:val="24"/>
          <w:szCs w:val="24"/>
          <w:lang w:val="en"/>
        </w:rPr>
        <w:t>0.05).</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Similarly the 6-keto-PGF</w:t>
      </w:r>
      <w:r w:rsidRPr="00302F74">
        <w:rPr>
          <w:rFonts w:ascii="Book Antiqua" w:hAnsi="Book Antiqua" w:cs="Times New Roman"/>
          <w:bCs/>
          <w:sz w:val="24"/>
          <w:szCs w:val="24"/>
          <w:vertAlign w:val="subscript"/>
          <w:lang w:val="en"/>
        </w:rPr>
        <w:t xml:space="preserve">1α </w:t>
      </w:r>
      <w:r w:rsidRPr="00302F74">
        <w:rPr>
          <w:rFonts w:ascii="Book Antiqua" w:hAnsi="Book Antiqua" w:cs="Times New Roman"/>
          <w:bCs/>
          <w:sz w:val="24"/>
          <w:szCs w:val="24"/>
          <w:lang w:val="en"/>
        </w:rPr>
        <w:t>was significantly reduced from 484 + 92 pg</w:t>
      </w:r>
      <w:r w:rsidR="00766DAB" w:rsidRPr="00302F74">
        <w:rPr>
          <w:rFonts w:ascii="Book Antiqua" w:hAnsi="Book Antiqua" w:cs="Times New Roman"/>
          <w:bCs/>
          <w:sz w:val="24"/>
          <w:szCs w:val="24"/>
          <w:lang w:val="en"/>
        </w:rPr>
        <w:t>/mL</w:t>
      </w:r>
      <w:r w:rsidRPr="00302F74">
        <w:rPr>
          <w:rFonts w:ascii="Book Antiqua" w:hAnsi="Book Antiqua" w:cs="Times New Roman"/>
          <w:bCs/>
          <w:sz w:val="24"/>
          <w:szCs w:val="24"/>
          <w:lang w:val="en"/>
        </w:rPr>
        <w:t xml:space="preserve"> in the controls to 174 + 12 pg</w:t>
      </w:r>
      <w:r w:rsidR="00766DAB" w:rsidRPr="00302F74">
        <w:rPr>
          <w:rFonts w:ascii="Book Antiqua" w:hAnsi="Book Antiqua" w:cs="Times New Roman"/>
          <w:bCs/>
          <w:sz w:val="24"/>
          <w:szCs w:val="24"/>
          <w:lang w:val="en"/>
        </w:rPr>
        <w:t>/mL</w:t>
      </w:r>
      <w:r w:rsidRPr="00302F74">
        <w:rPr>
          <w:rFonts w:ascii="Book Antiqua" w:hAnsi="Book Antiqua" w:cs="Times New Roman"/>
          <w:bCs/>
          <w:sz w:val="24"/>
          <w:szCs w:val="24"/>
          <w:lang w:val="en"/>
        </w:rPr>
        <w:t xml:space="preserve"> in the short-term inhibition group (</w:t>
      </w:r>
      <w:r w:rsidR="00E878B6">
        <w:rPr>
          <w:rFonts w:ascii="Book Antiqua" w:hAnsi="Book Antiqua" w:cs="Times New Roman"/>
          <w:bCs/>
          <w:i/>
          <w:sz w:val="24"/>
          <w:szCs w:val="24"/>
          <w:lang w:val="en"/>
        </w:rPr>
        <w:t>P &lt;</w:t>
      </w:r>
      <w:r w:rsidR="00FA4E58">
        <w:rPr>
          <w:rFonts w:ascii="Book Antiqua" w:hAnsi="Book Antiqua" w:cs="Times New Roman" w:hint="eastAsia"/>
          <w:bCs/>
          <w:i/>
          <w:sz w:val="24"/>
          <w:szCs w:val="24"/>
          <w:lang w:val="en" w:eastAsia="zh-CN"/>
        </w:rPr>
        <w:t xml:space="preserve"> </w:t>
      </w:r>
      <w:r w:rsidRPr="00302F74">
        <w:rPr>
          <w:rFonts w:ascii="Book Antiqua" w:hAnsi="Book Antiqua" w:cs="Times New Roman"/>
          <w:bCs/>
          <w:sz w:val="24"/>
          <w:szCs w:val="24"/>
          <w:lang w:val="en"/>
        </w:rPr>
        <w:t>0.05), and from 522 + 98 pg</w:t>
      </w:r>
      <w:r w:rsidR="00766DAB" w:rsidRPr="00302F74">
        <w:rPr>
          <w:rFonts w:ascii="Book Antiqua" w:hAnsi="Book Antiqua" w:cs="Times New Roman"/>
          <w:bCs/>
          <w:sz w:val="24"/>
          <w:szCs w:val="24"/>
          <w:lang w:val="en"/>
        </w:rPr>
        <w:t>/mL</w:t>
      </w:r>
      <w:r w:rsidRPr="00302F74">
        <w:rPr>
          <w:rFonts w:ascii="Book Antiqua" w:hAnsi="Book Antiqua" w:cs="Times New Roman"/>
          <w:bCs/>
          <w:sz w:val="24"/>
          <w:szCs w:val="24"/>
          <w:lang w:val="en"/>
        </w:rPr>
        <w:t xml:space="preserve"> in the controls to 169 + 18 pg</w:t>
      </w:r>
      <w:r w:rsidR="00766DAB" w:rsidRPr="00302F74">
        <w:rPr>
          <w:rFonts w:ascii="Book Antiqua" w:hAnsi="Book Antiqua" w:cs="Times New Roman"/>
          <w:bCs/>
          <w:sz w:val="24"/>
          <w:szCs w:val="24"/>
          <w:lang w:val="en"/>
        </w:rPr>
        <w:t>/mL</w:t>
      </w:r>
      <w:r w:rsidRPr="00302F74">
        <w:rPr>
          <w:rFonts w:ascii="Book Antiqua" w:hAnsi="Book Antiqua" w:cs="Times New Roman"/>
          <w:bCs/>
          <w:sz w:val="24"/>
          <w:szCs w:val="24"/>
          <w:lang w:val="en"/>
        </w:rPr>
        <w:t xml:space="preserve"> in the long-term inhibition group (</w:t>
      </w:r>
      <w:r w:rsidR="00E878B6">
        <w:rPr>
          <w:rFonts w:ascii="Book Antiqua" w:hAnsi="Book Antiqua" w:cs="Times New Roman"/>
          <w:bCs/>
          <w:i/>
          <w:sz w:val="24"/>
          <w:szCs w:val="24"/>
          <w:lang w:val="en"/>
        </w:rPr>
        <w:t>P &lt;</w:t>
      </w:r>
      <w:r w:rsidRPr="00302F74">
        <w:rPr>
          <w:rFonts w:ascii="Book Antiqua" w:hAnsi="Book Antiqua" w:cs="Times New Roman"/>
          <w:bCs/>
          <w:sz w:val="24"/>
          <w:szCs w:val="24"/>
          <w:lang w:val="en"/>
        </w:rPr>
        <w:t>0.05).</w:t>
      </w:r>
      <w:r w:rsidR="00963345">
        <w:rPr>
          <w:rFonts w:ascii="Book Antiqua" w:hAnsi="Book Antiqua" w:cs="Times New Roman"/>
          <w:b/>
          <w:bCs/>
          <w:sz w:val="24"/>
          <w:szCs w:val="24"/>
          <w:lang w:val="en"/>
        </w:rPr>
        <w:t xml:space="preserve"> </w:t>
      </w:r>
      <w:r w:rsidR="00FA4E58">
        <w:rPr>
          <w:rFonts w:ascii="Book Antiqua" w:hAnsi="Book Antiqua" w:cs="Times New Roman"/>
          <w:bCs/>
          <w:sz w:val="24"/>
          <w:szCs w:val="24"/>
          <w:lang w:val="en"/>
        </w:rPr>
        <w:t xml:space="preserve">Kaviani </w:t>
      </w:r>
      <w:r w:rsidR="00FA4E58" w:rsidRPr="00FA4E58">
        <w:rPr>
          <w:rFonts w:ascii="Book Antiqua" w:hAnsi="Book Antiqua" w:cs="Times New Roman"/>
          <w:bCs/>
          <w:i/>
          <w:sz w:val="24"/>
          <w:szCs w:val="24"/>
          <w:lang w:val="en"/>
        </w:rPr>
        <w:t>et al</w:t>
      </w:r>
      <w:r w:rsidRPr="00302F74">
        <w:rPr>
          <w:rFonts w:ascii="Book Antiqua" w:hAnsi="Book Antiqua" w:cs="Times New Roman"/>
          <w:bCs/>
          <w:sz w:val="24"/>
          <w:szCs w:val="24"/>
          <w:vertAlign w:val="superscript"/>
          <w:lang w:val="en"/>
        </w:rPr>
        <w:t>[1</w:t>
      </w:r>
      <w:r w:rsidR="00F2695D" w:rsidRPr="00302F74">
        <w:rPr>
          <w:rFonts w:ascii="Book Antiqua" w:hAnsi="Book Antiqua" w:cs="Times New Roman"/>
          <w:bCs/>
          <w:sz w:val="24"/>
          <w:szCs w:val="24"/>
          <w:vertAlign w:val="superscript"/>
          <w:lang w:val="en"/>
        </w:rPr>
        <w:t>49</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xml:space="preserve"> reported that TNF-α increased by 50% and inducible nitric oxide synthase (iNOS) mRNA levels increased by 300% in gastric strips after ligating the portal vein in rats (</w:t>
      </w:r>
      <w:r w:rsidR="00E878B6">
        <w:rPr>
          <w:rFonts w:ascii="Book Antiqua" w:hAnsi="Book Antiqua" w:cs="Times New Roman"/>
          <w:bCs/>
          <w:i/>
          <w:sz w:val="24"/>
          <w:szCs w:val="24"/>
          <w:lang w:val="en"/>
        </w:rPr>
        <w:t>P &lt;</w:t>
      </w:r>
      <w:r w:rsidR="00FA4E58">
        <w:rPr>
          <w:rFonts w:ascii="Book Antiqua" w:hAnsi="Book Antiqua" w:cs="Times New Roman" w:hint="eastAsia"/>
          <w:bCs/>
          <w:i/>
          <w:sz w:val="24"/>
          <w:szCs w:val="24"/>
          <w:lang w:val="en" w:eastAsia="zh-CN"/>
        </w:rPr>
        <w:t xml:space="preserve"> </w:t>
      </w:r>
      <w:r w:rsidRPr="00302F74">
        <w:rPr>
          <w:rFonts w:ascii="Book Antiqua" w:hAnsi="Book Antiqua" w:cs="Times New Roman"/>
          <w:bCs/>
          <w:sz w:val="24"/>
          <w:szCs w:val="24"/>
          <w:lang w:val="en"/>
        </w:rPr>
        <w:t>0.01 for both).</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 xml:space="preserve">These data are consistent with TNF-α playing a role in the hyperdynamic circulation in PHG </w:t>
      </w:r>
      <w:r w:rsidR="00ED2DDD" w:rsidRPr="00302F74">
        <w:rPr>
          <w:rFonts w:ascii="Book Antiqua" w:hAnsi="Book Antiqua" w:cs="Times New Roman"/>
          <w:i/>
          <w:sz w:val="24"/>
          <w:szCs w:val="24"/>
        </w:rPr>
        <w:t>via</w:t>
      </w:r>
      <w:r w:rsidRPr="00302F74">
        <w:rPr>
          <w:rFonts w:ascii="Book Antiqua" w:hAnsi="Book Antiqua" w:cs="Times New Roman"/>
          <w:bCs/>
          <w:sz w:val="24"/>
          <w:szCs w:val="24"/>
          <w:lang w:val="en"/>
        </w:rPr>
        <w:t xml:space="preserve"> NO and prostacyclin.</w:t>
      </w:r>
      <w:r w:rsidRPr="00302F74">
        <w:rPr>
          <w:rFonts w:ascii="Book Antiqua" w:hAnsi="Book Antiqua" w:cs="Times New Roman"/>
          <w:b/>
          <w:bCs/>
          <w:sz w:val="24"/>
          <w:szCs w:val="24"/>
          <w:lang w:val="en"/>
        </w:rPr>
        <w:t xml:space="preserve"> </w:t>
      </w:r>
    </w:p>
    <w:p w:rsidR="00C9325C" w:rsidRDefault="00C9325C" w:rsidP="00FA6CCE">
      <w:pPr>
        <w:widowControl w:val="0"/>
        <w:spacing w:line="360" w:lineRule="auto"/>
        <w:ind w:firstLine="720"/>
        <w:jc w:val="both"/>
        <w:rPr>
          <w:rFonts w:ascii="Book Antiqua" w:hAnsi="Book Antiqua" w:cs="Times New Roman"/>
          <w:sz w:val="24"/>
          <w:szCs w:val="24"/>
          <w:lang w:val="en" w:eastAsia="zh-CN"/>
        </w:rPr>
      </w:pPr>
      <w:r w:rsidRPr="00302F74">
        <w:rPr>
          <w:rFonts w:ascii="Book Antiqua" w:hAnsi="Book Antiqua" w:cs="Times New Roman"/>
          <w:sz w:val="24"/>
          <w:szCs w:val="24"/>
          <w:lang w:val="en"/>
        </w:rPr>
        <w:t>Baseline constitutional nitrous oxide synthase (cNOS) mRNA expression increased by 75% in the PHG group as compared to placebo (</w:t>
      </w:r>
      <w:r w:rsidR="00E878B6">
        <w:rPr>
          <w:rFonts w:ascii="Book Antiqua" w:hAnsi="Book Antiqua" w:cs="Times New Roman"/>
          <w:i/>
          <w:sz w:val="24"/>
          <w:szCs w:val="24"/>
          <w:lang w:val="en"/>
        </w:rPr>
        <w:t>P &lt;</w:t>
      </w:r>
      <w:r w:rsidR="00FA4E58">
        <w:rPr>
          <w:rFonts w:ascii="Book Antiqua" w:hAnsi="Book Antiqua" w:cs="Times New Roman" w:hint="eastAsia"/>
          <w:i/>
          <w:sz w:val="24"/>
          <w:szCs w:val="24"/>
          <w:lang w:val="en" w:eastAsia="zh-CN"/>
        </w:rPr>
        <w:t xml:space="preserve"> </w:t>
      </w:r>
      <w:r w:rsidRPr="00302F74">
        <w:rPr>
          <w:rFonts w:ascii="Book Antiqua" w:hAnsi="Book Antiqua" w:cs="Times New Roman"/>
          <w:sz w:val="24"/>
          <w:szCs w:val="24"/>
          <w:lang w:val="en"/>
        </w:rPr>
        <w:t>0.01)</w:t>
      </w:r>
      <w:r w:rsidRPr="00302F74">
        <w:rPr>
          <w:rFonts w:ascii="Book Antiqua" w:hAnsi="Book Antiqua" w:cs="Times New Roman"/>
          <w:sz w:val="24"/>
          <w:szCs w:val="24"/>
          <w:vertAlign w:val="superscript"/>
          <w:lang w:val="en"/>
        </w:rPr>
        <w:t>[1</w:t>
      </w:r>
      <w:r w:rsidR="00F2695D" w:rsidRPr="00302F74">
        <w:rPr>
          <w:rFonts w:ascii="Book Antiqua" w:hAnsi="Book Antiqua" w:cs="Times New Roman"/>
          <w:sz w:val="24"/>
          <w:szCs w:val="24"/>
          <w:vertAlign w:val="superscript"/>
          <w:lang w:val="en"/>
        </w:rPr>
        <w:t>49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NOS was significantly reduced after injecting a TNF-α neutralizing antibody </w:t>
      </w:r>
      <w:r w:rsidRPr="00302F74">
        <w:rPr>
          <w:rFonts w:ascii="Book Antiqua" w:hAnsi="Book Antiqua" w:cs="Times New Roman"/>
          <w:bCs/>
          <w:sz w:val="24"/>
          <w:szCs w:val="24"/>
          <w:lang w:val="en"/>
        </w:rPr>
        <w:t>during incubation of mucosal strips from portal hypertensive rats; t</w:t>
      </w:r>
      <w:r w:rsidRPr="00302F74">
        <w:rPr>
          <w:rFonts w:ascii="Book Antiqua" w:hAnsi="Book Antiqua" w:cs="Times New Roman"/>
          <w:sz w:val="24"/>
          <w:szCs w:val="24"/>
          <w:lang w:val="en"/>
        </w:rPr>
        <w:t>he expression of inducible NOS mRNA levels was incrementally decreased by 40%, 70% and 80% after 1, 2, and 6 h of incubation, respectively (</w:t>
      </w:r>
      <w:r w:rsidR="00E878B6">
        <w:rPr>
          <w:rFonts w:ascii="Book Antiqua" w:hAnsi="Book Antiqua" w:cs="Times New Roman"/>
          <w:i/>
          <w:sz w:val="24"/>
          <w:szCs w:val="24"/>
          <w:lang w:val="en"/>
        </w:rPr>
        <w:t>P &lt;</w:t>
      </w:r>
      <w:r w:rsidR="00FA4E58">
        <w:rPr>
          <w:rFonts w:ascii="Book Antiqua" w:hAnsi="Book Antiqua" w:cs="Times New Roman" w:hint="eastAsia"/>
          <w:i/>
          <w:sz w:val="24"/>
          <w:szCs w:val="24"/>
          <w:lang w:val="en" w:eastAsia="zh-CN"/>
        </w:rPr>
        <w:t xml:space="preserve"> </w:t>
      </w:r>
      <w:r w:rsidRPr="00302F74">
        <w:rPr>
          <w:rFonts w:ascii="Book Antiqua" w:hAnsi="Book Antiqua" w:cs="Times New Roman"/>
          <w:sz w:val="24"/>
          <w:szCs w:val="24"/>
          <w:lang w:val="en"/>
        </w:rPr>
        <w:t>0.05)</w:t>
      </w:r>
      <w:r w:rsidRPr="00302F74">
        <w:rPr>
          <w:rFonts w:ascii="Book Antiqua" w:hAnsi="Book Antiqua" w:cs="Times New Roman"/>
          <w:sz w:val="24"/>
          <w:szCs w:val="24"/>
          <w:vertAlign w:val="superscript"/>
          <w:lang w:val="en"/>
        </w:rPr>
        <w:t>[1</w:t>
      </w:r>
      <w:r w:rsidR="00F2695D" w:rsidRPr="00302F74">
        <w:rPr>
          <w:rFonts w:ascii="Book Antiqua" w:hAnsi="Book Antiqua" w:cs="Times New Roman"/>
          <w:sz w:val="24"/>
          <w:szCs w:val="24"/>
          <w:vertAlign w:val="superscript"/>
          <w:lang w:val="en"/>
        </w:rPr>
        <w:t>49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Ohta </w:t>
      </w:r>
      <w:r w:rsidR="00FA4E58"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similarly successfully used TNF-α antibody to normalize gastric mucosal blood flow in rats with PHG and to significantly reverse overexpression of gastric NOS isoform 3.</w:t>
      </w:r>
      <w:r w:rsidR="00963345">
        <w:rPr>
          <w:rFonts w:ascii="Book Antiqua" w:hAnsi="Book Antiqua" w:cs="Times New Roman"/>
          <w:sz w:val="24"/>
          <w:szCs w:val="24"/>
          <w:lang w:val="en"/>
        </w:rPr>
        <w:t xml:space="preserve"> </w:t>
      </w:r>
      <w:r w:rsidRPr="00302F74">
        <w:rPr>
          <w:rFonts w:ascii="Book Antiqua" w:hAnsi="Book Antiqua" w:cs="Times New Roman"/>
          <w:bCs/>
          <w:sz w:val="24"/>
          <w:szCs w:val="24"/>
          <w:lang w:val="en"/>
        </w:rPr>
        <w:t>In PHG rats, treatment with TNF-α antibody significantly reduced the elevated NOS isoform 3 mRNA expression by 48% (</w:t>
      </w:r>
      <w:r w:rsidR="00E878B6">
        <w:rPr>
          <w:rFonts w:ascii="Book Antiqua" w:hAnsi="Book Antiqua" w:cs="Times New Roman"/>
          <w:bCs/>
          <w:i/>
          <w:sz w:val="24"/>
          <w:szCs w:val="24"/>
          <w:lang w:val="en"/>
        </w:rPr>
        <w:t>P &lt;</w:t>
      </w:r>
      <w:r w:rsidR="00FA4E58">
        <w:rPr>
          <w:rFonts w:ascii="Book Antiqua" w:hAnsi="Book Antiqua" w:cs="Times New Roman" w:hint="eastAsia"/>
          <w:bCs/>
          <w:i/>
          <w:sz w:val="24"/>
          <w:szCs w:val="24"/>
          <w:lang w:val="en" w:eastAsia="zh-CN"/>
        </w:rPr>
        <w:t xml:space="preserve"> </w:t>
      </w:r>
      <w:r w:rsidRPr="00302F74">
        <w:rPr>
          <w:rFonts w:ascii="Book Antiqua" w:hAnsi="Book Antiqua" w:cs="Times New Roman"/>
          <w:bCs/>
          <w:sz w:val="24"/>
          <w:szCs w:val="24"/>
          <w:lang w:val="en"/>
        </w:rPr>
        <w:t>0.01).</w:t>
      </w:r>
      <w:r w:rsidR="00963345">
        <w:rPr>
          <w:rFonts w:ascii="Book Antiqua" w:hAnsi="Book Antiqua" w:cs="Times New Roman"/>
          <w:bCs/>
          <w:sz w:val="24"/>
          <w:szCs w:val="24"/>
          <w:lang w:val="en"/>
        </w:rPr>
        <w:t xml:space="preserve"> </w:t>
      </w:r>
      <w:r w:rsidRPr="00302F74">
        <w:rPr>
          <w:rFonts w:ascii="Book Antiqua" w:hAnsi="Book Antiqua" w:cs="Times New Roman"/>
          <w:sz w:val="24"/>
          <w:szCs w:val="24"/>
          <w:lang w:val="en"/>
        </w:rPr>
        <w:t>Moreover, administration of thalidomide, which enhances TNF-α mRNA degradation, decreased levels of TNF-α and NOS in animals with portal hypertension produced by partial portal vein ligation</w:t>
      </w:r>
      <w:r w:rsidRPr="00302F74">
        <w:rPr>
          <w:rFonts w:ascii="Book Antiqua" w:hAnsi="Book Antiqua" w:cs="Times New Roman"/>
          <w:sz w:val="24"/>
          <w:szCs w:val="24"/>
          <w:vertAlign w:val="superscript"/>
          <w:lang w:val="en"/>
        </w:rPr>
        <w:t>[11</w:t>
      </w:r>
      <w:r w:rsidR="00F2695D"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FA4E58" w:rsidRPr="00302F74" w:rsidRDefault="00FA4E58" w:rsidP="00FA6CCE">
      <w:pPr>
        <w:widowControl w:val="0"/>
        <w:spacing w:line="360" w:lineRule="auto"/>
        <w:ind w:firstLine="720"/>
        <w:jc w:val="both"/>
        <w:rPr>
          <w:rFonts w:ascii="Book Antiqua" w:hAnsi="Book Antiqua" w:cs="Times New Roman"/>
          <w:sz w:val="24"/>
          <w:szCs w:val="24"/>
          <w:lang w:val="en" w:eastAsia="zh-CN"/>
        </w:rPr>
      </w:pPr>
    </w:p>
    <w:p w:rsidR="00C9325C" w:rsidRPr="00302F74" w:rsidRDefault="00145447" w:rsidP="00FA4E58">
      <w:pPr>
        <w:widowControl w:val="0"/>
        <w:spacing w:line="360" w:lineRule="auto"/>
        <w:jc w:val="both"/>
        <w:rPr>
          <w:rFonts w:ascii="Book Antiqua" w:hAnsi="Book Antiqua" w:cs="Times New Roman"/>
          <w:sz w:val="24"/>
          <w:szCs w:val="24"/>
          <w:lang w:val="en"/>
        </w:rPr>
      </w:pPr>
      <w:r>
        <w:rPr>
          <w:rFonts w:ascii="Book Antiqua" w:hAnsi="Book Antiqua" w:cs="Times New Roman"/>
          <w:b/>
          <w:bCs/>
          <w:sz w:val="24"/>
          <w:szCs w:val="24"/>
          <w:lang w:val="en"/>
        </w:rPr>
        <w:t>Nitric oxide</w:t>
      </w:r>
      <w:r>
        <w:rPr>
          <w:rFonts w:ascii="Book Antiqua" w:hAnsi="Book Antiqua" w:cs="Times New Roman" w:hint="eastAsia"/>
          <w:sz w:val="24"/>
          <w:szCs w:val="24"/>
          <w:lang w:val="en" w:eastAsia="zh-CN"/>
        </w:rPr>
        <w:t xml:space="preserve">: </w:t>
      </w:r>
      <w:r w:rsidR="00C9325C" w:rsidRPr="00302F74">
        <w:rPr>
          <w:rFonts w:ascii="Book Antiqua" w:hAnsi="Book Antiqua" w:cs="Times New Roman"/>
          <w:sz w:val="24"/>
          <w:szCs w:val="24"/>
          <w:lang w:val="en"/>
        </w:rPr>
        <w:t>Patients with portal hypertension and PHG have increased serum levels of NO, a potent vasodilator released by endothelial cells.</w:t>
      </w:r>
      <w:r w:rsidR="00963345">
        <w:rPr>
          <w:rFonts w:ascii="Book Antiqua" w:hAnsi="Book Antiqua" w:cs="Times New Roman"/>
          <w:sz w:val="24"/>
          <w:szCs w:val="24"/>
          <w:lang w:val="en"/>
        </w:rPr>
        <w:t xml:space="preserve"> </w:t>
      </w:r>
      <w:r w:rsidR="00C9325C" w:rsidRPr="00302F74">
        <w:rPr>
          <w:rFonts w:ascii="Book Antiqua" w:hAnsi="Book Antiqua" w:cs="Times New Roman"/>
          <w:sz w:val="24"/>
          <w:szCs w:val="24"/>
          <w:lang w:val="en"/>
        </w:rPr>
        <w:t xml:space="preserve">Ohta </w:t>
      </w:r>
      <w:r w:rsidR="007370A1" w:rsidRPr="00FA4E58">
        <w:rPr>
          <w:rFonts w:ascii="Book Antiqua" w:hAnsi="Book Antiqua" w:cs="Times New Roman"/>
          <w:bCs/>
          <w:i/>
          <w:sz w:val="24"/>
          <w:szCs w:val="24"/>
          <w:lang w:val="en"/>
        </w:rPr>
        <w:t>et al</w:t>
      </w:r>
      <w:r w:rsidR="00C9325C"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1</w:t>
      </w:r>
      <w:r w:rsidR="00C9325C" w:rsidRPr="00302F74">
        <w:rPr>
          <w:rFonts w:ascii="Book Antiqua" w:hAnsi="Book Antiqua" w:cs="Times New Roman"/>
          <w:sz w:val="24"/>
          <w:szCs w:val="24"/>
          <w:vertAlign w:val="superscript"/>
          <w:lang w:val="en"/>
        </w:rPr>
        <w:t>]</w:t>
      </w:r>
      <w:r w:rsidR="00C9325C" w:rsidRPr="00302F74">
        <w:rPr>
          <w:rFonts w:ascii="Book Antiqua" w:hAnsi="Book Antiqua" w:cs="Times New Roman"/>
          <w:bCs/>
          <w:sz w:val="24"/>
          <w:szCs w:val="24"/>
          <w:lang w:val="en"/>
        </w:rPr>
        <w:t xml:space="preserve"> </w:t>
      </w:r>
      <w:r w:rsidR="00C9325C" w:rsidRPr="00302F74">
        <w:rPr>
          <w:rFonts w:ascii="Book Antiqua" w:hAnsi="Book Antiqua" w:cs="Times New Roman"/>
          <w:sz w:val="24"/>
          <w:szCs w:val="24"/>
          <w:lang w:val="en"/>
        </w:rPr>
        <w:t>demonstrated gastric cNOS significantly increased, by 67%, in portal hypertensive rats, experimentally produced by portal vein and splenic vein occlusion, as compared to sham-operated rats at 14 d after surgery (</w:t>
      </w:r>
      <w:r w:rsidR="00E878B6">
        <w:rPr>
          <w:rFonts w:ascii="Book Antiqua" w:hAnsi="Book Antiqua" w:cs="Times New Roman"/>
          <w:i/>
          <w:sz w:val="24"/>
          <w:szCs w:val="24"/>
          <w:lang w:val="en"/>
        </w:rPr>
        <w:t>P &lt;</w:t>
      </w:r>
      <w:r w:rsidR="007370A1">
        <w:rPr>
          <w:rFonts w:ascii="Book Antiqua" w:hAnsi="Book Antiqua" w:cs="Times New Roman" w:hint="eastAsia"/>
          <w:i/>
          <w:sz w:val="24"/>
          <w:szCs w:val="24"/>
          <w:lang w:val="en" w:eastAsia="zh-CN"/>
        </w:rPr>
        <w:t xml:space="preserve"> </w:t>
      </w:r>
      <w:r w:rsidR="00C9325C" w:rsidRPr="00302F74">
        <w:rPr>
          <w:rFonts w:ascii="Book Antiqua" w:hAnsi="Book Antiqua" w:cs="Times New Roman"/>
          <w:sz w:val="24"/>
          <w:szCs w:val="24"/>
          <w:lang w:val="en"/>
        </w:rPr>
        <w:t xml:space="preserve">0.05). In portal hypertensive rats, cNOS fluorescence intensity </w:t>
      </w:r>
      <w:r w:rsidR="00C9325C" w:rsidRPr="00302F74">
        <w:rPr>
          <w:rFonts w:ascii="Book Antiqua" w:hAnsi="Book Antiqua" w:cs="Times New Roman"/>
          <w:sz w:val="24"/>
          <w:szCs w:val="24"/>
          <w:lang w:val="en"/>
        </w:rPr>
        <w:lastRenderedPageBreak/>
        <w:t xml:space="preserve">was significantly higher in endothelia of submucosal veins (96.2 + 5.9 U) as compared to endothelia of mucosal collecting veins (69.5 + 1.7 U, </w:t>
      </w:r>
      <w:r w:rsidR="00E878B6">
        <w:rPr>
          <w:rFonts w:ascii="Book Antiqua" w:hAnsi="Book Antiqua" w:cs="Times New Roman"/>
          <w:i/>
          <w:sz w:val="24"/>
          <w:szCs w:val="24"/>
          <w:lang w:val="en"/>
        </w:rPr>
        <w:t>P &lt;</w:t>
      </w:r>
      <w:r w:rsidR="007370A1">
        <w:rPr>
          <w:rFonts w:ascii="Book Antiqua" w:hAnsi="Book Antiqua" w:cs="Times New Roman" w:hint="eastAsia"/>
          <w:i/>
          <w:sz w:val="24"/>
          <w:szCs w:val="24"/>
          <w:lang w:val="en" w:eastAsia="zh-CN"/>
        </w:rPr>
        <w:t xml:space="preserve"> </w:t>
      </w:r>
      <w:r w:rsidR="00C9325C" w:rsidRPr="00302F74">
        <w:rPr>
          <w:rFonts w:ascii="Book Antiqua" w:hAnsi="Book Antiqua" w:cs="Times New Roman"/>
          <w:sz w:val="24"/>
          <w:szCs w:val="24"/>
          <w:lang w:val="en"/>
        </w:rPr>
        <w:t xml:space="preserve">0.01), or endothelia of veins of muscularis mucosae (55.7 + 10.0 U, </w:t>
      </w:r>
      <w:r w:rsidR="00E878B6">
        <w:rPr>
          <w:rFonts w:ascii="Book Antiqua" w:hAnsi="Book Antiqua" w:cs="Times New Roman"/>
          <w:i/>
          <w:sz w:val="24"/>
          <w:szCs w:val="24"/>
          <w:lang w:val="en"/>
        </w:rPr>
        <w:t>P &lt;</w:t>
      </w:r>
      <w:r w:rsidR="007370A1">
        <w:rPr>
          <w:rFonts w:ascii="Book Antiqua" w:hAnsi="Book Antiqua" w:cs="Times New Roman" w:hint="eastAsia"/>
          <w:i/>
          <w:sz w:val="24"/>
          <w:szCs w:val="24"/>
          <w:lang w:val="en" w:eastAsia="zh-CN"/>
        </w:rPr>
        <w:t xml:space="preserve"> </w:t>
      </w:r>
      <w:r w:rsidR="00C9325C" w:rsidRPr="00302F74">
        <w:rPr>
          <w:rFonts w:ascii="Book Antiqua" w:hAnsi="Book Antiqua" w:cs="Times New Roman"/>
          <w:sz w:val="24"/>
          <w:szCs w:val="24"/>
          <w:lang w:val="en"/>
        </w:rPr>
        <w:t>0.01).</w:t>
      </w:r>
      <w:r w:rsidR="00963345">
        <w:rPr>
          <w:rFonts w:ascii="Book Antiqua" w:hAnsi="Book Antiqua" w:cs="Times New Roman"/>
          <w:sz w:val="24"/>
          <w:szCs w:val="24"/>
          <w:lang w:val="en"/>
        </w:rPr>
        <w:t xml:space="preserve"> </w:t>
      </w:r>
      <w:r w:rsidR="00C9325C" w:rsidRPr="00302F74">
        <w:rPr>
          <w:rFonts w:ascii="Book Antiqua" w:hAnsi="Book Antiqua" w:cs="Times New Roman"/>
          <w:sz w:val="24"/>
          <w:szCs w:val="24"/>
          <w:lang w:val="en"/>
        </w:rPr>
        <w:t>The average fluorescence area in submucosal vein endothelia was significantly higher in portal hypertensive rats than in normal controls (1038.5 + 459.5 µm</w:t>
      </w:r>
      <w:r w:rsidR="00C9325C" w:rsidRPr="00302F74">
        <w:rPr>
          <w:rFonts w:ascii="Book Antiqua" w:hAnsi="Book Antiqua" w:cs="Times New Roman"/>
          <w:sz w:val="24"/>
          <w:szCs w:val="24"/>
          <w:vertAlign w:val="superscript"/>
          <w:lang w:val="en"/>
        </w:rPr>
        <w:t>2</w:t>
      </w:r>
      <w:r w:rsidR="00C9325C" w:rsidRPr="00302F74">
        <w:rPr>
          <w:rFonts w:ascii="Book Antiqua" w:hAnsi="Book Antiqua" w:cs="Times New Roman"/>
          <w:sz w:val="24"/>
          <w:szCs w:val="24"/>
          <w:lang w:val="en"/>
        </w:rPr>
        <w:t xml:space="preserve"> </w:t>
      </w:r>
      <w:r w:rsidR="00963345" w:rsidRPr="00963345">
        <w:rPr>
          <w:rFonts w:ascii="Book Antiqua" w:hAnsi="Book Antiqua" w:cs="Times New Roman" w:hint="eastAsia"/>
          <w:i/>
          <w:sz w:val="24"/>
          <w:szCs w:val="24"/>
          <w:lang w:eastAsia="zh-CN"/>
        </w:rPr>
        <w:t>vs</w:t>
      </w:r>
      <w:r w:rsidR="00C9325C" w:rsidRPr="00302F74">
        <w:rPr>
          <w:rFonts w:ascii="Book Antiqua" w:hAnsi="Book Antiqua" w:cs="Times New Roman"/>
          <w:sz w:val="24"/>
          <w:szCs w:val="24"/>
          <w:lang w:val="en"/>
        </w:rPr>
        <w:t xml:space="preserve"> 372.4 + 180.3 µm</w:t>
      </w:r>
      <w:r w:rsidR="00C9325C" w:rsidRPr="00302F74">
        <w:rPr>
          <w:rFonts w:ascii="Book Antiqua" w:hAnsi="Book Antiqua" w:cs="Times New Roman"/>
          <w:sz w:val="24"/>
          <w:szCs w:val="24"/>
          <w:vertAlign w:val="superscript"/>
          <w:lang w:val="en"/>
        </w:rPr>
        <w:t>2</w:t>
      </w:r>
      <w:r w:rsidR="00C9325C" w:rsidRPr="00302F74">
        <w:rPr>
          <w:rFonts w:ascii="Book Antiqua" w:hAnsi="Book Antiqua" w:cs="Times New Roman"/>
          <w:sz w:val="24"/>
          <w:szCs w:val="24"/>
          <w:lang w:val="en"/>
        </w:rPr>
        <w:t xml:space="preserve">, </w:t>
      </w:r>
      <w:r w:rsidR="00E878B6">
        <w:rPr>
          <w:rFonts w:ascii="Book Antiqua" w:hAnsi="Book Antiqua" w:cs="Times New Roman"/>
          <w:i/>
          <w:sz w:val="24"/>
          <w:szCs w:val="24"/>
          <w:lang w:val="en"/>
        </w:rPr>
        <w:t>P &lt;</w:t>
      </w:r>
      <w:r w:rsidR="007370A1">
        <w:rPr>
          <w:rFonts w:ascii="Book Antiqua" w:hAnsi="Book Antiqua" w:cs="Times New Roman" w:hint="eastAsia"/>
          <w:i/>
          <w:sz w:val="24"/>
          <w:szCs w:val="24"/>
          <w:lang w:val="en" w:eastAsia="zh-CN"/>
        </w:rPr>
        <w:t xml:space="preserve"> </w:t>
      </w:r>
      <w:r w:rsidR="00C9325C" w:rsidRPr="00302F74">
        <w:rPr>
          <w:rFonts w:ascii="Book Antiqua" w:hAnsi="Book Antiqua" w:cs="Times New Roman"/>
          <w:sz w:val="24"/>
          <w:szCs w:val="24"/>
          <w:lang w:val="en"/>
        </w:rPr>
        <w:t>0.01).</w:t>
      </w:r>
      <w:r w:rsidR="00C9325C" w:rsidRPr="00302F74">
        <w:rPr>
          <w:rFonts w:ascii="Book Antiqua" w:hAnsi="Book Antiqua" w:cs="Times New Roman"/>
          <w:b/>
          <w:sz w:val="24"/>
          <w:szCs w:val="24"/>
          <w:lang w:val="en"/>
        </w:rPr>
        <w:t xml:space="preserve"> </w:t>
      </w:r>
      <w:r w:rsidR="00C9325C" w:rsidRPr="00302F74">
        <w:rPr>
          <w:rFonts w:ascii="Book Antiqua" w:hAnsi="Book Antiqua" w:cs="Times New Roman"/>
          <w:sz w:val="24"/>
          <w:szCs w:val="24"/>
          <w:lang w:val="en"/>
        </w:rPr>
        <w:t xml:space="preserve">This finding may provide a molecular mechanism for submucosal vascular dilation in the hyperdynamic circulation in PHG. In another study, gastric mucosal cNOS levels were significantly </w:t>
      </w:r>
      <w:r w:rsidR="00C9325C" w:rsidRPr="00302F74">
        <w:rPr>
          <w:rFonts w:ascii="Book Antiqua" w:hAnsi="Book Antiqua" w:cs="Times New Roman"/>
          <w:sz w:val="24"/>
          <w:szCs w:val="24"/>
        </w:rPr>
        <w:t xml:space="preserve">higher in patients with cirrhosis and severe PHG compared to healthy controls (125.4 + 4.3 </w:t>
      </w:r>
      <w:r w:rsidR="00963345" w:rsidRPr="00963345">
        <w:rPr>
          <w:rFonts w:ascii="Book Antiqua" w:hAnsi="Book Antiqua" w:cs="Times New Roman" w:hint="eastAsia"/>
          <w:i/>
          <w:sz w:val="24"/>
          <w:szCs w:val="24"/>
          <w:lang w:eastAsia="zh-CN"/>
        </w:rPr>
        <w:t>vs</w:t>
      </w:r>
      <w:r w:rsidR="00C9325C" w:rsidRPr="00302F74">
        <w:rPr>
          <w:rFonts w:ascii="Book Antiqua" w:hAnsi="Book Antiqua" w:cs="Times New Roman"/>
          <w:sz w:val="24"/>
          <w:szCs w:val="24"/>
        </w:rPr>
        <w:t xml:space="preserve"> 88 + 8.6</w:t>
      </w:r>
      <w:r w:rsidR="00C9325C" w:rsidRPr="00302F74">
        <w:rPr>
          <w:rFonts w:ascii="Book Antiqua" w:hAnsi="Book Antiqua" w:cs="Times New Roman"/>
          <w:bCs/>
          <w:sz w:val="24"/>
          <w:szCs w:val="24"/>
        </w:rPr>
        <w:t xml:space="preserve"> pmol/mg protein/minute,</w:t>
      </w:r>
      <w:r w:rsidR="00C9325C" w:rsidRPr="00302F74">
        <w:rPr>
          <w:rFonts w:ascii="Book Antiqua" w:hAnsi="Book Antiqua" w:cs="Times New Roman"/>
          <w:sz w:val="24"/>
          <w:szCs w:val="24"/>
        </w:rPr>
        <w:t xml:space="preserve"> </w:t>
      </w:r>
      <w:r w:rsidR="00E878B6">
        <w:rPr>
          <w:rFonts w:ascii="Book Antiqua" w:hAnsi="Book Antiqua" w:cs="Times New Roman"/>
          <w:i/>
          <w:sz w:val="24"/>
          <w:szCs w:val="24"/>
        </w:rPr>
        <w:t>P &lt;</w:t>
      </w:r>
      <w:r w:rsidR="007370A1">
        <w:rPr>
          <w:rFonts w:ascii="Book Antiqua" w:hAnsi="Book Antiqua" w:cs="Times New Roman" w:hint="eastAsia"/>
          <w:i/>
          <w:sz w:val="24"/>
          <w:szCs w:val="24"/>
          <w:lang w:eastAsia="zh-CN"/>
        </w:rPr>
        <w:t xml:space="preserve"> </w:t>
      </w:r>
      <w:r w:rsidR="00C9325C" w:rsidRPr="00302F74">
        <w:rPr>
          <w:rFonts w:ascii="Book Antiqua" w:hAnsi="Book Antiqua" w:cs="Times New Roman"/>
          <w:sz w:val="24"/>
          <w:szCs w:val="24"/>
        </w:rPr>
        <w:t>0.002).</w:t>
      </w:r>
      <w:r w:rsidR="00963345">
        <w:rPr>
          <w:rFonts w:ascii="Book Antiqua" w:hAnsi="Book Antiqua" w:cs="Times New Roman"/>
          <w:sz w:val="24"/>
          <w:szCs w:val="24"/>
        </w:rPr>
        <w:t xml:space="preserve"> </w:t>
      </w:r>
      <w:r w:rsidR="00C9325C" w:rsidRPr="00302F74">
        <w:rPr>
          <w:rFonts w:ascii="Book Antiqua" w:hAnsi="Book Antiqua" w:cs="Times New Roman"/>
          <w:sz w:val="24"/>
          <w:szCs w:val="24"/>
        </w:rPr>
        <w:t>Likewise, gastric mucosal iNOS levels were significantly higher in patients with cirrhosis and severe PHG than in healthy controls (</w:t>
      </w:r>
      <w:r w:rsidR="00C9325C" w:rsidRPr="00302F74">
        <w:rPr>
          <w:rFonts w:ascii="Book Antiqua" w:hAnsi="Book Antiqua" w:cs="Times New Roman"/>
          <w:bCs/>
          <w:sz w:val="24"/>
          <w:szCs w:val="24"/>
        </w:rPr>
        <w:t xml:space="preserve">259.7 + 5.5 </w:t>
      </w:r>
      <w:r w:rsidR="00963345" w:rsidRPr="00963345">
        <w:rPr>
          <w:rFonts w:ascii="Book Antiqua" w:hAnsi="Book Antiqua" w:cs="Times New Roman" w:hint="eastAsia"/>
          <w:i/>
          <w:sz w:val="24"/>
          <w:szCs w:val="24"/>
          <w:lang w:eastAsia="zh-CN"/>
        </w:rPr>
        <w:t>vs</w:t>
      </w:r>
      <w:r w:rsidR="00C9325C" w:rsidRPr="00302F74">
        <w:rPr>
          <w:rFonts w:ascii="Book Antiqua" w:hAnsi="Book Antiqua" w:cs="Times New Roman"/>
          <w:sz w:val="24"/>
          <w:szCs w:val="24"/>
        </w:rPr>
        <w:t xml:space="preserve"> 130.8 + 6.6 pmol/mg protein/min, </w:t>
      </w:r>
      <w:r w:rsidR="00E878B6">
        <w:rPr>
          <w:rFonts w:ascii="Book Antiqua" w:hAnsi="Book Antiqua" w:cs="Times New Roman"/>
          <w:i/>
          <w:sz w:val="24"/>
          <w:szCs w:val="24"/>
        </w:rPr>
        <w:t>P &lt;</w:t>
      </w:r>
      <w:r w:rsidR="007370A1">
        <w:rPr>
          <w:rFonts w:ascii="Book Antiqua" w:hAnsi="Book Antiqua" w:cs="Times New Roman" w:hint="eastAsia"/>
          <w:i/>
          <w:sz w:val="24"/>
          <w:szCs w:val="24"/>
          <w:lang w:eastAsia="zh-CN"/>
        </w:rPr>
        <w:t xml:space="preserve"> </w:t>
      </w:r>
      <w:r w:rsidR="00C9325C" w:rsidRPr="00302F74">
        <w:rPr>
          <w:rFonts w:ascii="Book Antiqua" w:hAnsi="Book Antiqua" w:cs="Times New Roman"/>
          <w:sz w:val="24"/>
          <w:szCs w:val="24"/>
        </w:rPr>
        <w:t>0.0001)</w:t>
      </w:r>
      <w:r w:rsidR="00C9325C" w:rsidRPr="00302F74">
        <w:rPr>
          <w:rFonts w:ascii="Book Antiqua" w:hAnsi="Book Antiqua" w:cs="Times New Roman"/>
          <w:sz w:val="24"/>
          <w:szCs w:val="24"/>
          <w:vertAlign w:val="superscript"/>
        </w:rPr>
        <w:t>[15</w:t>
      </w:r>
      <w:r w:rsidR="00F2695D" w:rsidRPr="00302F74">
        <w:rPr>
          <w:rFonts w:ascii="Book Antiqua" w:hAnsi="Book Antiqua" w:cs="Times New Roman"/>
          <w:sz w:val="24"/>
          <w:szCs w:val="24"/>
          <w:vertAlign w:val="superscript"/>
        </w:rPr>
        <w:t>2</w:t>
      </w:r>
      <w:r w:rsidR="00C9325C" w:rsidRPr="00302F74">
        <w:rPr>
          <w:rFonts w:ascii="Book Antiqua" w:hAnsi="Book Antiqua" w:cs="Times New Roman"/>
          <w:sz w:val="24"/>
          <w:szCs w:val="24"/>
          <w:vertAlign w:val="superscript"/>
        </w:rPr>
        <w:t>]</w:t>
      </w:r>
      <w:r w:rsidR="00C9325C" w:rsidRPr="00302F74">
        <w:rPr>
          <w:rFonts w:ascii="Book Antiqua" w:hAnsi="Book Antiqua" w:cs="Times New Roman"/>
          <w:sz w:val="24"/>
          <w:szCs w:val="24"/>
        </w:rPr>
        <w:t>. Serum nitrate/nitrite levels were 30.1 + 3.2 nmol</w:t>
      </w:r>
      <w:r w:rsidR="00766DAB" w:rsidRPr="00302F74">
        <w:rPr>
          <w:rFonts w:ascii="Book Antiqua" w:hAnsi="Book Antiqua" w:cs="Times New Roman"/>
          <w:bCs/>
          <w:sz w:val="24"/>
          <w:szCs w:val="24"/>
          <w:lang w:val="en"/>
        </w:rPr>
        <w:t>/mL</w:t>
      </w:r>
      <w:r w:rsidR="00C9325C" w:rsidRPr="00302F74">
        <w:rPr>
          <w:rFonts w:ascii="Book Antiqua" w:hAnsi="Book Antiqua" w:cs="Times New Roman"/>
          <w:sz w:val="24"/>
          <w:szCs w:val="24"/>
        </w:rPr>
        <w:t xml:space="preserve"> in the first group </w:t>
      </w:r>
      <w:r w:rsidR="00963345" w:rsidRPr="00963345">
        <w:rPr>
          <w:rFonts w:ascii="Book Antiqua" w:hAnsi="Book Antiqua" w:cs="Times New Roman" w:hint="eastAsia"/>
          <w:i/>
          <w:sz w:val="24"/>
          <w:szCs w:val="24"/>
          <w:lang w:eastAsia="zh-CN"/>
        </w:rPr>
        <w:t>vs</w:t>
      </w:r>
      <w:r w:rsidR="00C9325C" w:rsidRPr="00302F74">
        <w:rPr>
          <w:rFonts w:ascii="Book Antiqua" w:hAnsi="Book Antiqua" w:cs="Times New Roman"/>
          <w:sz w:val="24"/>
          <w:szCs w:val="24"/>
        </w:rPr>
        <w:t xml:space="preserve"> 15.5 + 0.09 nmol</w:t>
      </w:r>
      <w:r w:rsidR="00766DAB" w:rsidRPr="00302F74">
        <w:rPr>
          <w:rFonts w:ascii="Book Antiqua" w:hAnsi="Book Antiqua" w:cs="Times New Roman"/>
          <w:bCs/>
          <w:sz w:val="24"/>
          <w:szCs w:val="24"/>
          <w:lang w:val="en"/>
        </w:rPr>
        <w:t>/mL</w:t>
      </w:r>
      <w:r w:rsidR="00C9325C" w:rsidRPr="00302F74">
        <w:rPr>
          <w:rFonts w:ascii="Book Antiqua" w:hAnsi="Book Antiqua" w:cs="Times New Roman"/>
          <w:sz w:val="24"/>
          <w:szCs w:val="24"/>
        </w:rPr>
        <w:t xml:space="preserve"> in the second group (</w:t>
      </w:r>
      <w:r w:rsidR="00E878B6">
        <w:rPr>
          <w:rFonts w:ascii="Book Antiqua" w:hAnsi="Book Antiqua" w:cs="Times New Roman"/>
          <w:i/>
          <w:sz w:val="24"/>
          <w:szCs w:val="24"/>
        </w:rPr>
        <w:t>P &lt;</w:t>
      </w:r>
      <w:r w:rsidR="007370A1">
        <w:rPr>
          <w:rFonts w:ascii="Book Antiqua" w:hAnsi="Book Antiqua" w:cs="Times New Roman" w:hint="eastAsia"/>
          <w:i/>
          <w:sz w:val="24"/>
          <w:szCs w:val="24"/>
          <w:lang w:eastAsia="zh-CN"/>
        </w:rPr>
        <w:t xml:space="preserve"> </w:t>
      </w:r>
      <w:r w:rsidR="00C9325C" w:rsidRPr="00302F74">
        <w:rPr>
          <w:rFonts w:ascii="Book Antiqua" w:hAnsi="Book Antiqua" w:cs="Times New Roman"/>
          <w:sz w:val="24"/>
          <w:szCs w:val="24"/>
        </w:rPr>
        <w:t>0.001)</w:t>
      </w:r>
      <w:r w:rsidR="00C9325C" w:rsidRPr="00302F74">
        <w:rPr>
          <w:rFonts w:ascii="Book Antiqua" w:hAnsi="Book Antiqua" w:cs="Times New Roman"/>
          <w:sz w:val="24"/>
          <w:szCs w:val="24"/>
          <w:vertAlign w:val="superscript"/>
        </w:rPr>
        <w:t>[15</w:t>
      </w:r>
      <w:r w:rsidR="00F2695D" w:rsidRPr="00302F74">
        <w:rPr>
          <w:rFonts w:ascii="Book Antiqua" w:hAnsi="Book Antiqua" w:cs="Times New Roman"/>
          <w:sz w:val="24"/>
          <w:szCs w:val="24"/>
          <w:vertAlign w:val="superscript"/>
        </w:rPr>
        <w:t>2</w:t>
      </w:r>
      <w:r w:rsidR="00C9325C" w:rsidRPr="00302F74">
        <w:rPr>
          <w:rFonts w:ascii="Book Antiqua" w:hAnsi="Book Antiqua" w:cs="Times New Roman"/>
          <w:sz w:val="24"/>
          <w:szCs w:val="24"/>
          <w:vertAlign w:val="superscript"/>
        </w:rPr>
        <w:t>]</w:t>
      </w:r>
      <w:r w:rsidR="00C9325C" w:rsidRPr="00302F74">
        <w:rPr>
          <w:rFonts w:ascii="Book Antiqua" w:hAnsi="Book Antiqua" w:cs="Times New Roman"/>
          <w:sz w:val="24"/>
          <w:szCs w:val="24"/>
        </w:rPr>
        <w:t>.</w:t>
      </w:r>
      <w:r w:rsidR="00C9325C" w:rsidRPr="00302F74">
        <w:rPr>
          <w:rFonts w:ascii="Book Antiqua" w:hAnsi="Book Antiqua" w:cs="Times New Roman"/>
          <w:sz w:val="24"/>
          <w:szCs w:val="24"/>
          <w:lang w:val="en"/>
        </w:rPr>
        <w:t xml:space="preserve"> In another study, iNOS and cNOS levels were also higher in gastric mucosa of patients with PHG than in controls</w:t>
      </w:r>
      <w:r w:rsidR="00C9325C"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3</w:t>
      </w:r>
      <w:r w:rsidR="00C9325C" w:rsidRPr="00302F74">
        <w:rPr>
          <w:rFonts w:ascii="Book Antiqua" w:hAnsi="Book Antiqua" w:cs="Times New Roman"/>
          <w:sz w:val="24"/>
          <w:szCs w:val="24"/>
          <w:vertAlign w:val="superscript"/>
          <w:lang w:val="en"/>
        </w:rPr>
        <w:t>]</w:t>
      </w:r>
      <w:r w:rsidR="00C9325C" w:rsidRPr="00302F74">
        <w:rPr>
          <w:rFonts w:ascii="Book Antiqua" w:hAnsi="Book Antiqua" w:cs="Times New Roman"/>
          <w:sz w:val="24"/>
          <w:szCs w:val="24"/>
          <w:lang w:val="en"/>
        </w:rPr>
        <w:t>, and were significantly higher in patients with severe PHG as compared to patients with mild or no PHG</w:t>
      </w:r>
      <w:r w:rsidR="00C9325C"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4</w:t>
      </w:r>
      <w:r w:rsidR="00C9325C" w:rsidRPr="00302F74">
        <w:rPr>
          <w:rFonts w:ascii="Book Antiqua" w:hAnsi="Book Antiqua" w:cs="Times New Roman"/>
          <w:sz w:val="24"/>
          <w:szCs w:val="24"/>
          <w:vertAlign w:val="superscript"/>
          <w:lang w:val="en"/>
        </w:rPr>
        <w:t>]</w:t>
      </w:r>
      <w:r w:rsidR="00C9325C" w:rsidRPr="00302F74">
        <w:rPr>
          <w:rFonts w:ascii="Book Antiqua" w:hAnsi="Book Antiqua" w:cs="Times New Roman"/>
          <w:sz w:val="24"/>
          <w:szCs w:val="24"/>
          <w:lang w:val="en"/>
        </w:rPr>
        <w:t>. Nitrous oxide may underlie the gastric vascular dilation</w:t>
      </w:r>
      <w:r w:rsidR="00C9325C" w:rsidRPr="00302F74">
        <w:rPr>
          <w:rFonts w:ascii="Book Antiqua" w:hAnsi="Book Antiqua" w:cs="Times New Roman"/>
          <w:sz w:val="24"/>
          <w:szCs w:val="24"/>
          <w:vertAlign w:val="superscript"/>
          <w:lang w:val="en"/>
        </w:rPr>
        <w:t>[15</w:t>
      </w:r>
      <w:r w:rsidR="00115A1D" w:rsidRPr="00302F74">
        <w:rPr>
          <w:rFonts w:ascii="Book Antiqua" w:hAnsi="Book Antiqua" w:cs="Times New Roman"/>
          <w:sz w:val="24"/>
          <w:szCs w:val="24"/>
          <w:vertAlign w:val="superscript"/>
          <w:lang w:val="en"/>
        </w:rPr>
        <w:t>2</w:t>
      </w:r>
      <w:r w:rsidR="00C9325C" w:rsidRPr="00302F74">
        <w:rPr>
          <w:rFonts w:ascii="Book Antiqua" w:hAnsi="Book Antiqua" w:cs="Times New Roman"/>
          <w:sz w:val="24"/>
          <w:szCs w:val="24"/>
          <w:vertAlign w:val="superscript"/>
          <w:lang w:val="en"/>
        </w:rPr>
        <w:t>]</w:t>
      </w:r>
      <w:r w:rsidR="00C9325C" w:rsidRPr="00302F74">
        <w:rPr>
          <w:rFonts w:ascii="Book Antiqua" w:hAnsi="Book Antiqua" w:cs="Times New Roman"/>
          <w:sz w:val="24"/>
          <w:szCs w:val="24"/>
          <w:lang w:val="en"/>
        </w:rPr>
        <w:t>, and hyperdynamic circulation in PHG</w:t>
      </w:r>
      <w:r w:rsidR="00C9325C" w:rsidRPr="00302F74">
        <w:rPr>
          <w:rFonts w:ascii="Book Antiqua" w:hAnsi="Book Antiqua" w:cs="Times New Roman"/>
          <w:sz w:val="24"/>
          <w:szCs w:val="24"/>
          <w:vertAlign w:val="superscript"/>
          <w:lang w:val="en"/>
        </w:rPr>
        <w:t>[14</w:t>
      </w:r>
      <w:r w:rsidR="00F2695D" w:rsidRPr="00302F74">
        <w:rPr>
          <w:rFonts w:ascii="Book Antiqua" w:hAnsi="Book Antiqua" w:cs="Times New Roman"/>
          <w:sz w:val="24"/>
          <w:szCs w:val="24"/>
          <w:vertAlign w:val="superscript"/>
          <w:lang w:val="en"/>
        </w:rPr>
        <w:t>8</w:t>
      </w:r>
      <w:r w:rsidR="00C9325C" w:rsidRPr="00302F74">
        <w:rPr>
          <w:rFonts w:ascii="Book Antiqua" w:hAnsi="Book Antiqua" w:cs="Times New Roman"/>
          <w:sz w:val="24"/>
          <w:szCs w:val="24"/>
          <w:vertAlign w:val="superscript"/>
          <w:lang w:val="en"/>
        </w:rPr>
        <w:t>]</w:t>
      </w:r>
      <w:r w:rsidR="00C9325C" w:rsidRPr="00302F74">
        <w:rPr>
          <w:rFonts w:ascii="Book Antiqua" w:hAnsi="Book Antiqua" w:cs="Times New Roman"/>
          <w:sz w:val="24"/>
          <w:szCs w:val="24"/>
          <w:lang w:val="en"/>
        </w:rPr>
        <w:t>.</w:t>
      </w:r>
    </w:p>
    <w:p w:rsidR="00C9325C" w:rsidRDefault="00C9325C" w:rsidP="00FA6CCE">
      <w:pPr>
        <w:widowControl w:val="0"/>
        <w:spacing w:line="360" w:lineRule="auto"/>
        <w:ind w:firstLine="720"/>
        <w:jc w:val="both"/>
        <w:rPr>
          <w:rFonts w:ascii="Book Antiqua" w:hAnsi="Book Antiqua" w:cs="Times New Roman"/>
          <w:bCs/>
          <w:sz w:val="24"/>
          <w:szCs w:val="24"/>
          <w:lang w:val="en" w:eastAsia="zh-CN"/>
        </w:rPr>
      </w:pPr>
      <w:r w:rsidRPr="00302F74">
        <w:rPr>
          <w:rFonts w:ascii="Book Antiqua" w:hAnsi="Book Antiqua" w:cs="Times New Roman"/>
          <w:sz w:val="24"/>
          <w:szCs w:val="24"/>
          <w:lang w:val="en"/>
        </w:rPr>
        <w:t xml:space="preserve">However, Lee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administration of aminoguanidine, an iNOS inhibitor, successfully corrected the hyperdynamic circulation without affecting PHG, suggesting that iNOS and NO are important in the hyperdynamic circulation in portal hypertension, but play a limited role in PHG development. They argued that PHG should be treated by reducing portal pressure rather than reversing the hyperdynamic circulation</w:t>
      </w:r>
      <w:r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bCs/>
          <w:sz w:val="24"/>
          <w:szCs w:val="24"/>
          <w:lang w:val="en"/>
        </w:rPr>
        <w:t>.</w:t>
      </w:r>
    </w:p>
    <w:p w:rsidR="007370A1" w:rsidRPr="00302F74" w:rsidRDefault="007370A1" w:rsidP="00FA6CCE">
      <w:pPr>
        <w:widowControl w:val="0"/>
        <w:spacing w:line="360" w:lineRule="auto"/>
        <w:ind w:firstLine="720"/>
        <w:jc w:val="both"/>
        <w:rPr>
          <w:rFonts w:ascii="Book Antiqua" w:hAnsi="Book Antiqua" w:cs="Times New Roman"/>
          <w:b/>
          <w:bCs/>
          <w:sz w:val="24"/>
          <w:szCs w:val="24"/>
          <w:lang w:val="en" w:eastAsia="zh-CN"/>
        </w:rPr>
      </w:pPr>
    </w:p>
    <w:p w:rsidR="00C9325C" w:rsidRPr="00145447" w:rsidRDefault="00C9325C" w:rsidP="007370A1">
      <w:pPr>
        <w:widowControl w:val="0"/>
        <w:spacing w:line="360" w:lineRule="auto"/>
        <w:jc w:val="both"/>
        <w:rPr>
          <w:rFonts w:ascii="Book Antiqua" w:hAnsi="Book Antiqua" w:cs="Times New Roman"/>
          <w:b/>
          <w:bCs/>
          <w:sz w:val="24"/>
          <w:szCs w:val="24"/>
          <w:lang w:val="en"/>
        </w:rPr>
      </w:pPr>
      <w:r w:rsidRPr="00145447">
        <w:rPr>
          <w:rFonts w:ascii="Book Antiqua" w:hAnsi="Book Antiqua" w:cs="Times New Roman"/>
          <w:b/>
          <w:bCs/>
          <w:sz w:val="24"/>
          <w:szCs w:val="24"/>
          <w:lang w:val="en"/>
        </w:rPr>
        <w:t>Glucagon</w:t>
      </w:r>
      <w:r w:rsidR="00145447">
        <w:rPr>
          <w:rFonts w:ascii="Book Antiqua" w:hAnsi="Book Antiqua" w:cs="Times New Roman" w:hint="eastAsia"/>
          <w:b/>
          <w:bCs/>
          <w:sz w:val="24"/>
          <w:szCs w:val="24"/>
          <w:lang w:val="en" w:eastAsia="zh-CN"/>
        </w:rPr>
        <w:t xml:space="preserve">: </w:t>
      </w:r>
      <w:r w:rsidRPr="00302F74">
        <w:rPr>
          <w:rFonts w:ascii="Book Antiqua" w:hAnsi="Book Antiqua" w:cs="Times New Roman"/>
          <w:sz w:val="24"/>
          <w:szCs w:val="24"/>
          <w:lang w:val="en"/>
        </w:rPr>
        <w:t>Glucagon levels are elevated in patients with portal hypertension</w:t>
      </w:r>
      <w:r w:rsidRPr="00302F74">
        <w:rPr>
          <w:rFonts w:ascii="Book Antiqua" w:hAnsi="Book Antiqua" w:cs="Times New Roman"/>
          <w:sz w:val="24"/>
          <w:szCs w:val="24"/>
          <w:vertAlign w:val="superscript"/>
          <w:lang w:val="en"/>
        </w:rPr>
        <w:t>[11</w:t>
      </w:r>
      <w:r w:rsidR="00F2695D"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Curvelo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[54]</w:t>
      </w:r>
      <w:r w:rsidRPr="00302F74">
        <w:rPr>
          <w:rFonts w:ascii="Book Antiqua" w:hAnsi="Book Antiqua" w:cs="Times New Roman"/>
          <w:sz w:val="24"/>
          <w:szCs w:val="24"/>
        </w:rPr>
        <w:t xml:space="preserve"> found in 43 patients with PHG from portal hypertension with cirrhosis, that the mean serum glucagon level after an overnight fast was significantly higher than the level in healthy controls.</w:t>
      </w:r>
      <w:r w:rsidR="00963345">
        <w:rPr>
          <w:rFonts w:ascii="Book Antiqua" w:hAnsi="Book Antiqua" w:cs="Times New Roman"/>
          <w:sz w:val="24"/>
          <w:szCs w:val="24"/>
        </w:rPr>
        <w:t xml:space="preserve"> </w:t>
      </w:r>
      <w:r w:rsidRPr="00302F74">
        <w:rPr>
          <w:rFonts w:ascii="Book Antiqua" w:hAnsi="Book Antiqua" w:cs="Times New Roman"/>
          <w:sz w:val="24"/>
          <w:szCs w:val="24"/>
        </w:rPr>
        <w:t>Serum glucagon levels were significantly correlated with high SVRI (systemic vascular resistance index)(r</w:t>
      </w:r>
      <w:r w:rsidR="007370A1">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7370A1">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-0.523;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00410F62"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007370A1">
        <w:rPr>
          <w:rFonts w:ascii="Book Antiqua" w:hAnsi="Book Antiqua" w:cs="Times New Roman" w:hint="eastAsia"/>
          <w:sz w:val="24"/>
          <w:szCs w:val="24"/>
          <w:lang w:eastAsia="zh-CN"/>
        </w:rPr>
        <w:t>0</w:t>
      </w:r>
      <w:r w:rsidRPr="00302F74">
        <w:rPr>
          <w:rFonts w:ascii="Book Antiqua" w:hAnsi="Book Antiqua" w:cs="Times New Roman"/>
          <w:sz w:val="24"/>
          <w:szCs w:val="24"/>
        </w:rPr>
        <w:t>) and HVPG (r</w:t>
      </w:r>
      <w:r w:rsidR="007370A1">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7370A1">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0.34;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00410F62"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0.019). </w:t>
      </w:r>
      <w:r w:rsidRPr="00302F74">
        <w:rPr>
          <w:rFonts w:ascii="Book Antiqua" w:hAnsi="Book Antiqua" w:cs="Times New Roman"/>
          <w:sz w:val="24"/>
          <w:szCs w:val="24"/>
          <w:lang w:val="en"/>
        </w:rPr>
        <w:t>Glucagon significantly increases portal pressure</w:t>
      </w:r>
      <w:r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-1</w:t>
      </w:r>
      <w:r w:rsidR="00F2695D" w:rsidRPr="00302F74">
        <w:rPr>
          <w:rFonts w:ascii="Book Antiqua" w:hAnsi="Book Antiqua" w:cs="Times New Roman"/>
          <w:sz w:val="24"/>
          <w:szCs w:val="24"/>
          <w:vertAlign w:val="superscript"/>
          <w:lang w:val="en"/>
        </w:rPr>
        <w:t>59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and causes splanchnic </w:t>
      </w:r>
      <w:r w:rsidRPr="00302F74">
        <w:rPr>
          <w:rFonts w:ascii="Book Antiqua" w:hAnsi="Book Antiqua" w:cs="Times New Roman"/>
          <w:sz w:val="24"/>
          <w:szCs w:val="24"/>
          <w:lang w:val="en"/>
        </w:rPr>
        <w:lastRenderedPageBreak/>
        <w:t>vasodilation</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vertAlign w:val="superscript"/>
        </w:rPr>
        <w:t>14</w:t>
      </w:r>
      <w:r w:rsidR="00F2695D" w:rsidRPr="00302F74">
        <w:rPr>
          <w:rFonts w:ascii="Book Antiqua" w:hAnsi="Book Antiqua" w:cs="Times New Roman"/>
          <w:sz w:val="24"/>
          <w:szCs w:val="24"/>
          <w:vertAlign w:val="superscript"/>
        </w:rPr>
        <w:t>8</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Geraghty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w:t>
      </w:r>
      <w:r w:rsidRPr="00302F74">
        <w:rPr>
          <w:rFonts w:ascii="Book Antiqua" w:hAnsi="Book Antiqua" w:cs="Times New Roman"/>
          <w:sz w:val="24"/>
          <w:szCs w:val="24"/>
          <w:vertAlign w:val="superscript"/>
          <w:lang w:val="en"/>
        </w:rPr>
        <w:t>15</w:t>
      </w:r>
      <w:r w:rsidR="00F2695D"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rPr>
        <w:t xml:space="preserve"> found a strong correlation between portal pressure and glucagon levels (r</w:t>
      </w:r>
      <w:r w:rsidR="007370A1">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7370A1">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0.85). Tsui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[16</w:t>
      </w:r>
      <w:r w:rsidR="007516D1" w:rsidRPr="00302F74">
        <w:rPr>
          <w:rFonts w:ascii="Book Antiqua" w:hAnsi="Book Antiqua" w:cs="Times New Roman"/>
          <w:sz w:val="24"/>
          <w:szCs w:val="24"/>
          <w:vertAlign w:val="superscript"/>
        </w:rPr>
        <w:t>0</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reported that glucagon significantly increased portal pressure in rats with portal vein ligation, but did not alter portal pressure in sham-operated rats. The effect of glucagon occurred only in rats with preexisting portal hypertension. Exogenous glucagon rendered gastric mucosa more susceptible to injury from toxins, such as ethanol, which was attenuated by somatostatin</w:t>
      </w:r>
      <w:r w:rsidRPr="00302F74">
        <w:rPr>
          <w:rFonts w:ascii="Book Antiqua" w:hAnsi="Book Antiqua" w:cs="Times New Roman"/>
          <w:sz w:val="24"/>
          <w:szCs w:val="24"/>
          <w:vertAlign w:val="superscript"/>
        </w:rPr>
        <w:t>[16</w:t>
      </w:r>
      <w:r w:rsidR="007516D1" w:rsidRPr="00302F74">
        <w:rPr>
          <w:rFonts w:ascii="Book Antiqua" w:hAnsi="Book Antiqua" w:cs="Times New Roman"/>
          <w:sz w:val="24"/>
          <w:szCs w:val="24"/>
          <w:vertAlign w:val="superscript"/>
        </w:rPr>
        <w:t>0</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For example, the </w:t>
      </w:r>
      <w:r w:rsidRPr="00302F74">
        <w:rPr>
          <w:rFonts w:ascii="Book Antiqua" w:hAnsi="Book Antiqua" w:cs="Times New Roman"/>
          <w:bCs/>
          <w:sz w:val="24"/>
          <w:szCs w:val="24"/>
        </w:rPr>
        <w:t>lesion area was significantly higher at &gt;</w:t>
      </w:r>
      <w:r w:rsidR="007370A1">
        <w:rPr>
          <w:rFonts w:ascii="Book Antiqua" w:hAnsi="Book Antiqua" w:cs="Times New Roman" w:hint="eastAsia"/>
          <w:bCs/>
          <w:sz w:val="24"/>
          <w:szCs w:val="24"/>
          <w:lang w:eastAsia="zh-CN"/>
        </w:rPr>
        <w:t xml:space="preserve"> </w:t>
      </w:r>
      <w:r w:rsidRPr="00302F74">
        <w:rPr>
          <w:rFonts w:ascii="Book Antiqua" w:hAnsi="Book Antiqua" w:cs="Times New Roman"/>
          <w:bCs/>
          <w:sz w:val="24"/>
          <w:szCs w:val="24"/>
        </w:rPr>
        <w:t>60% of gastric mucosa after glucagon administration, compared to somatostatin or glucagon and somatostatin administration (</w:t>
      </w:r>
      <w:r w:rsidR="00E878B6">
        <w:rPr>
          <w:rFonts w:ascii="Book Antiqua" w:hAnsi="Book Antiqua" w:cs="Times New Roman"/>
          <w:bCs/>
          <w:i/>
          <w:sz w:val="24"/>
          <w:szCs w:val="24"/>
        </w:rPr>
        <w:t>P &lt;</w:t>
      </w:r>
      <w:r w:rsidR="007370A1">
        <w:rPr>
          <w:rFonts w:ascii="Book Antiqua" w:hAnsi="Book Antiqua" w:cs="Times New Roman" w:hint="eastAsia"/>
          <w:bCs/>
          <w:i/>
          <w:sz w:val="24"/>
          <w:szCs w:val="24"/>
          <w:lang w:eastAsia="zh-CN"/>
        </w:rPr>
        <w:t xml:space="preserve"> </w:t>
      </w:r>
      <w:r w:rsidRPr="00302F74">
        <w:rPr>
          <w:rFonts w:ascii="Book Antiqua" w:hAnsi="Book Antiqua" w:cs="Times New Roman"/>
          <w:bCs/>
          <w:sz w:val="24"/>
          <w:szCs w:val="24"/>
        </w:rPr>
        <w:t>0.05, ANOVA)</w:t>
      </w:r>
      <w:r w:rsidRPr="00302F74">
        <w:rPr>
          <w:rFonts w:ascii="Book Antiqua" w:hAnsi="Book Antiqua" w:cs="Times New Roman"/>
          <w:bCs/>
          <w:sz w:val="24"/>
          <w:szCs w:val="24"/>
          <w:vertAlign w:val="superscript"/>
        </w:rPr>
        <w:t>[16</w:t>
      </w:r>
      <w:r w:rsidR="007516D1"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p>
    <w:p w:rsidR="007370A1" w:rsidRPr="00302F74" w:rsidRDefault="007370A1" w:rsidP="007370A1">
      <w:pPr>
        <w:widowControl w:val="0"/>
        <w:spacing w:line="360" w:lineRule="auto"/>
        <w:jc w:val="both"/>
        <w:rPr>
          <w:rFonts w:ascii="Book Antiqua" w:hAnsi="Book Antiqua" w:cs="Times New Roman"/>
          <w:bCs/>
          <w:sz w:val="24"/>
          <w:szCs w:val="24"/>
          <w:lang w:val="en" w:eastAsia="zh-CN"/>
        </w:rPr>
      </w:pPr>
    </w:p>
    <w:p w:rsidR="00C9325C" w:rsidRPr="00145447" w:rsidRDefault="00C9325C" w:rsidP="007370A1">
      <w:pPr>
        <w:widowControl w:val="0"/>
        <w:spacing w:line="360" w:lineRule="auto"/>
        <w:jc w:val="both"/>
        <w:rPr>
          <w:rFonts w:ascii="Book Antiqua" w:hAnsi="Book Antiqua" w:cs="Times New Roman"/>
          <w:sz w:val="24"/>
          <w:szCs w:val="24"/>
          <w:lang w:val="en"/>
        </w:rPr>
      </w:pPr>
      <w:r w:rsidRPr="00145447">
        <w:rPr>
          <w:rFonts w:ascii="Book Antiqua" w:hAnsi="Book Antiqua" w:cs="Times New Roman"/>
          <w:b/>
          <w:bCs/>
          <w:sz w:val="24"/>
          <w:szCs w:val="24"/>
          <w:lang w:val="en"/>
        </w:rPr>
        <w:t>Prostaglandins</w:t>
      </w:r>
      <w:r w:rsidR="00145447">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Studies in patients or animal models with portal hypertension failed to show significant differences in prostaglandin E2 (PGE2) levels as compared to healthy controls</w:t>
      </w:r>
      <w:r w:rsidRPr="00302F74">
        <w:rPr>
          <w:rFonts w:ascii="Book Antiqua" w:hAnsi="Book Antiqua" w:cs="Times New Roman"/>
          <w:sz w:val="24"/>
          <w:szCs w:val="24"/>
          <w:vertAlign w:val="superscript"/>
          <w:lang w:val="en"/>
        </w:rPr>
        <w:t>[12</w:t>
      </w:r>
      <w:r w:rsidR="007516D1"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,14</w:t>
      </w:r>
      <w:r w:rsidR="007516D1"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,16</w:t>
      </w:r>
      <w:r w:rsidR="007516D1"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-16</w:t>
      </w:r>
      <w:r w:rsidR="007516D1"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Low prostaglandin levels significantly decreased gastric perfusion velocity in cirrhotic rats, whereas misoprostol, a PGE2 analogue, significantly increased gastric perfusion in cirrhotic rats as compared to controls</w:t>
      </w:r>
      <w:r w:rsidRPr="00302F74">
        <w:rPr>
          <w:rFonts w:ascii="Book Antiqua" w:hAnsi="Book Antiqua" w:cs="Times New Roman"/>
          <w:sz w:val="24"/>
          <w:szCs w:val="24"/>
          <w:vertAlign w:val="superscript"/>
          <w:lang w:val="en"/>
        </w:rPr>
        <w:t>[12</w:t>
      </w:r>
      <w:r w:rsidR="007516D1"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For example, </w:t>
      </w:r>
      <w:r w:rsidRPr="00302F74">
        <w:rPr>
          <w:rFonts w:ascii="Book Antiqua" w:hAnsi="Book Antiqua" w:cs="Times New Roman"/>
          <w:sz w:val="24"/>
          <w:szCs w:val="24"/>
        </w:rPr>
        <w:t xml:space="preserve">Beck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[12</w:t>
      </w:r>
      <w:r w:rsidR="007516D1" w:rsidRPr="00302F74">
        <w:rPr>
          <w:rFonts w:ascii="Book Antiqua" w:hAnsi="Book Antiqua" w:cs="Times New Roman"/>
          <w:sz w:val="24"/>
          <w:szCs w:val="24"/>
          <w:vertAlign w:val="superscript"/>
        </w:rPr>
        <w:t>5</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found that administration of indomethacin did not affect gastric perfusion velocity in healthy control rats, despite reducing gastric PGE2 synthesis by &gt;</w:t>
      </w:r>
      <w:r w:rsidR="007370A1">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95%, but reduced gastric perfusion velocity by 30% within 10 minutes in cirrhotic rats achieved by ligating the common bile duct (</w:t>
      </w:r>
      <w:r w:rsidR="00E878B6">
        <w:rPr>
          <w:rFonts w:ascii="Book Antiqua" w:hAnsi="Book Antiqua" w:cs="Times New Roman"/>
          <w:i/>
          <w:sz w:val="24"/>
          <w:szCs w:val="24"/>
        </w:rPr>
        <w:t>P &lt;</w:t>
      </w:r>
      <w:r w:rsidR="007370A1">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 xml:space="preserve">0.05). The hyperemic response to application of ethanol was significantly reduced in cirrhotic rats compared to healthy rats (56.3% + 21.7%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66.1% + 17.1% increase, </w:t>
      </w:r>
      <w:r w:rsidR="00E878B6">
        <w:rPr>
          <w:rFonts w:ascii="Book Antiqua" w:hAnsi="Book Antiqua" w:cs="Times New Roman"/>
          <w:i/>
          <w:sz w:val="24"/>
          <w:szCs w:val="24"/>
        </w:rPr>
        <w:t>P &lt;</w:t>
      </w:r>
      <w:r w:rsidR="007370A1">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 Misoprostol applied to gastric mucosa caused concentration-dependent increase in perfusion velocity, with a significantly greater increase in perfusion velocity in cirrhotic rats with concentrations of misoprostol &gt;</w:t>
      </w:r>
      <w:r w:rsidR="00145447">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0.8 mcg</w:t>
      </w:r>
      <w:r w:rsidR="00766DAB" w:rsidRPr="00302F74">
        <w:rPr>
          <w:rFonts w:ascii="Book Antiqua" w:hAnsi="Book Antiqua" w:cs="Times New Roman"/>
          <w:bCs/>
          <w:sz w:val="24"/>
          <w:szCs w:val="24"/>
          <w:lang w:val="en"/>
        </w:rPr>
        <w:t>/mL</w:t>
      </w:r>
      <w:r w:rsidRPr="00302F74">
        <w:rPr>
          <w:rFonts w:ascii="Book Antiqua" w:hAnsi="Book Antiqua" w:cs="Times New Roman"/>
          <w:sz w:val="24"/>
          <w:szCs w:val="24"/>
        </w:rPr>
        <w:t xml:space="preserve"> (</w:t>
      </w:r>
      <w:r w:rsidR="00E878B6">
        <w:rPr>
          <w:rFonts w:ascii="Book Antiqua" w:hAnsi="Book Antiqua" w:cs="Times New Roman"/>
          <w:i/>
          <w:sz w:val="24"/>
          <w:szCs w:val="24"/>
        </w:rPr>
        <w:t>P &lt;</w:t>
      </w:r>
      <w:r w:rsidR="007370A1">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w:t>
      </w:r>
    </w:p>
    <w:p w:rsidR="00C9325C" w:rsidRPr="00302F74" w:rsidRDefault="00963345" w:rsidP="00FA6CCE">
      <w:pPr>
        <w:widowControl w:val="0"/>
        <w:spacing w:line="360" w:lineRule="auto"/>
        <w:ind w:firstLine="720"/>
        <w:jc w:val="both"/>
        <w:rPr>
          <w:rFonts w:ascii="Book Antiqua" w:hAnsi="Book Antiqua" w:cs="Times New Roman"/>
          <w:bCs/>
          <w:sz w:val="24"/>
          <w:szCs w:val="24"/>
          <w:lang w:val="en"/>
        </w:rPr>
      </w:pPr>
      <w:r>
        <w:rPr>
          <w:rFonts w:ascii="Book Antiqua" w:hAnsi="Book Antiqua" w:cs="Times New Roman"/>
          <w:bCs/>
          <w:sz w:val="24"/>
          <w:szCs w:val="24"/>
          <w:lang w:val="en"/>
        </w:rPr>
        <w:t xml:space="preserve">Beck </w:t>
      </w:r>
      <w:r w:rsidRPr="00963345">
        <w:rPr>
          <w:rFonts w:ascii="Book Antiqua" w:hAnsi="Book Antiqua" w:cs="Times New Roman"/>
          <w:bCs/>
          <w:i/>
          <w:sz w:val="24"/>
          <w:szCs w:val="24"/>
          <w:lang w:val="en"/>
        </w:rPr>
        <w:t>et al</w:t>
      </w:r>
      <w:r w:rsidR="00C9325C" w:rsidRPr="00302F74">
        <w:rPr>
          <w:rFonts w:ascii="Book Antiqua" w:hAnsi="Book Antiqua" w:cs="Times New Roman"/>
          <w:bCs/>
          <w:sz w:val="24"/>
          <w:szCs w:val="24"/>
          <w:vertAlign w:val="superscript"/>
          <w:lang w:val="en"/>
        </w:rPr>
        <w:t>[16</w:t>
      </w:r>
      <w:r w:rsidR="007516D1" w:rsidRPr="00302F74">
        <w:rPr>
          <w:rFonts w:ascii="Book Antiqua" w:hAnsi="Book Antiqua" w:cs="Times New Roman"/>
          <w:bCs/>
          <w:sz w:val="24"/>
          <w:szCs w:val="24"/>
          <w:vertAlign w:val="superscript"/>
          <w:lang w:val="en"/>
        </w:rPr>
        <w:t>4</w:t>
      </w:r>
      <w:r w:rsidR="00C9325C" w:rsidRPr="00302F74">
        <w:rPr>
          <w:rFonts w:ascii="Book Antiqua" w:hAnsi="Book Antiqua" w:cs="Times New Roman"/>
          <w:bCs/>
          <w:sz w:val="24"/>
          <w:szCs w:val="24"/>
          <w:vertAlign w:val="superscript"/>
          <w:lang w:val="en"/>
        </w:rPr>
        <w:t>]</w:t>
      </w:r>
      <w:r w:rsidR="00C9325C" w:rsidRPr="00302F74">
        <w:rPr>
          <w:rFonts w:ascii="Book Antiqua" w:hAnsi="Book Antiqua" w:cs="Times New Roman"/>
          <w:bCs/>
          <w:sz w:val="24"/>
          <w:szCs w:val="24"/>
          <w:lang w:val="en"/>
        </w:rPr>
        <w:t xml:space="preserve"> further reported that administration of misoprostol to cirrhotic rats for 1 mo restored </w:t>
      </w:r>
      <w:r w:rsidR="00C9325C" w:rsidRPr="00302F74">
        <w:rPr>
          <w:rFonts w:ascii="Book Antiqua" w:hAnsi="Book Antiqua" w:cs="Times New Roman"/>
          <w:bCs/>
          <w:sz w:val="24"/>
          <w:szCs w:val="24"/>
        </w:rPr>
        <w:t xml:space="preserve">the hyperemia in response to ethanol that sham-operated, non-cirrhotic rats showed, whereas placebo-treated cirrhotic rats failed to increase gastric blood flow in response to ethanol. PGE2-treated cirrhotic rats exhibited significantly less spontaneous gastric mucosal damage (0.2% + 0.07%) than placebo-treated cirrhotic rats (3.0% + 0.8%; </w:t>
      </w:r>
      <w:r w:rsidR="00E878B6">
        <w:rPr>
          <w:rFonts w:ascii="Book Antiqua" w:hAnsi="Book Antiqua" w:cs="Times New Roman"/>
          <w:bCs/>
          <w:i/>
          <w:sz w:val="24"/>
          <w:szCs w:val="24"/>
        </w:rPr>
        <w:t>P &lt;</w:t>
      </w:r>
      <w:r w:rsidR="007370A1">
        <w:rPr>
          <w:rFonts w:ascii="Book Antiqua" w:hAnsi="Book Antiqua" w:cs="Times New Roman" w:hint="eastAsia"/>
          <w:bCs/>
          <w:i/>
          <w:sz w:val="24"/>
          <w:szCs w:val="24"/>
          <w:lang w:eastAsia="zh-CN"/>
        </w:rPr>
        <w:t xml:space="preserve"> </w:t>
      </w:r>
      <w:r w:rsidR="00C9325C" w:rsidRPr="00302F74">
        <w:rPr>
          <w:rFonts w:ascii="Book Antiqua" w:hAnsi="Book Antiqua" w:cs="Times New Roman"/>
          <w:bCs/>
          <w:sz w:val="24"/>
          <w:szCs w:val="24"/>
        </w:rPr>
        <w:t xml:space="preserve">0.05). The mean microscopic gastric injury score was significantly </w:t>
      </w:r>
      <w:r w:rsidR="00C9325C" w:rsidRPr="00302F74">
        <w:rPr>
          <w:rFonts w:ascii="Book Antiqua" w:hAnsi="Book Antiqua" w:cs="Times New Roman"/>
          <w:bCs/>
          <w:sz w:val="24"/>
          <w:szCs w:val="24"/>
        </w:rPr>
        <w:lastRenderedPageBreak/>
        <w:t xml:space="preserve">less in PGE2-treated cirrhotic rats (0.7 + 0.3) than in placebo-treated cirrhotic rats (2.1 + 0.4; </w:t>
      </w:r>
      <w:r w:rsidR="00E878B6">
        <w:rPr>
          <w:rFonts w:ascii="Book Antiqua" w:hAnsi="Book Antiqua" w:cs="Times New Roman"/>
          <w:bCs/>
          <w:i/>
          <w:sz w:val="24"/>
          <w:szCs w:val="24"/>
        </w:rPr>
        <w:t>P &lt;</w:t>
      </w:r>
      <w:r w:rsidR="007370A1">
        <w:rPr>
          <w:rFonts w:ascii="Book Antiqua" w:hAnsi="Book Antiqua" w:cs="Times New Roman" w:hint="eastAsia"/>
          <w:bCs/>
          <w:i/>
          <w:sz w:val="24"/>
          <w:szCs w:val="24"/>
          <w:lang w:eastAsia="zh-CN"/>
        </w:rPr>
        <w:t xml:space="preserve"> </w:t>
      </w:r>
      <w:r w:rsidR="00C9325C" w:rsidRPr="00302F74">
        <w:rPr>
          <w:rFonts w:ascii="Book Antiqua" w:hAnsi="Book Antiqua" w:cs="Times New Roman"/>
          <w:bCs/>
          <w:sz w:val="24"/>
          <w:szCs w:val="24"/>
        </w:rPr>
        <w:t>0.05).</w:t>
      </w:r>
    </w:p>
    <w:p w:rsidR="00C9325C" w:rsidRDefault="00C9325C" w:rsidP="00FA6CCE">
      <w:pPr>
        <w:widowControl w:val="0"/>
        <w:spacing w:line="360" w:lineRule="auto"/>
        <w:ind w:firstLine="720"/>
        <w:jc w:val="both"/>
        <w:rPr>
          <w:rFonts w:ascii="Book Antiqua" w:hAnsi="Book Antiqua" w:cs="Times New Roman"/>
          <w:bCs/>
          <w:sz w:val="24"/>
          <w:szCs w:val="24"/>
          <w:lang w:val="en" w:eastAsia="zh-CN"/>
        </w:rPr>
      </w:pPr>
      <w:r w:rsidRPr="00302F74">
        <w:rPr>
          <w:rFonts w:ascii="Book Antiqua" w:hAnsi="Book Antiqua" w:cs="Times New Roman"/>
          <w:sz w:val="24"/>
          <w:szCs w:val="24"/>
          <w:lang w:val="en"/>
        </w:rPr>
        <w:t>Rats with PHG exhibited suppression of gastric mucosal COX-1 levels, but exhibited normal COX-2 levels compared to healthy controls</w:t>
      </w:r>
      <w:r w:rsidRPr="00302F74">
        <w:rPr>
          <w:rFonts w:ascii="Book Antiqua" w:hAnsi="Book Antiqua" w:cs="Times New Roman"/>
          <w:sz w:val="24"/>
          <w:szCs w:val="24"/>
          <w:vertAlign w:val="superscript"/>
          <w:lang w:val="en"/>
        </w:rPr>
        <w:t>[14</w:t>
      </w:r>
      <w:r w:rsidR="007516D1"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Nonselective COX inhibitors, such as aspirin, decrease PGE2 levels resulting in more apoptosis of cells.</w:t>
      </w:r>
      <w:r w:rsidR="00963345">
        <w:rPr>
          <w:rFonts w:ascii="Book Antiqua" w:hAnsi="Book Antiqua" w:cs="Times New Roman"/>
          <w:b/>
          <w:sz w:val="24"/>
          <w:szCs w:val="24"/>
          <w:lang w:val="en"/>
        </w:rPr>
        <w:t xml:space="preserve"> </w:t>
      </w:r>
      <w:r w:rsidRPr="00302F74">
        <w:rPr>
          <w:rFonts w:ascii="Book Antiqua" w:hAnsi="Book Antiqua" w:cs="Times New Roman"/>
          <w:sz w:val="24"/>
          <w:szCs w:val="24"/>
          <w:lang w:val="en"/>
        </w:rPr>
        <w:t xml:space="preserve">Payen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[12</w:t>
      </w:r>
      <w:r w:rsidR="007516D1"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that gastric mucosal potential difference, an index of mucosal integrity, decreased with increasing severity of PHG, suggesting greater vulnerability of gastric mucosa in patients with PHG.</w:t>
      </w:r>
      <w:r w:rsidR="00963345">
        <w:rPr>
          <w:rFonts w:ascii="Book Antiqua" w:hAnsi="Book Antiqua" w:cs="Times New Roman"/>
          <w:sz w:val="24"/>
          <w:szCs w:val="24"/>
          <w:lang w:val="en"/>
        </w:rPr>
        <w:t xml:space="preserve"> </w:t>
      </w:r>
      <w:r w:rsidRPr="00302F74">
        <w:rPr>
          <w:rFonts w:ascii="Book Antiqua" w:hAnsi="Book Antiqua" w:cs="Times New Roman"/>
          <w:bCs/>
          <w:sz w:val="24"/>
          <w:szCs w:val="24"/>
          <w:lang w:val="en"/>
        </w:rPr>
        <w:t xml:space="preserve">Payen </w:t>
      </w:r>
      <w:r w:rsidR="007370A1" w:rsidRPr="00FA4E58">
        <w:rPr>
          <w:rFonts w:ascii="Book Antiqua" w:hAnsi="Book Antiqua" w:cs="Times New Roman"/>
          <w:bCs/>
          <w:i/>
          <w:sz w:val="24"/>
          <w:szCs w:val="24"/>
          <w:lang w:val="en"/>
        </w:rPr>
        <w:t>et al</w:t>
      </w:r>
      <w:r w:rsidRPr="00302F74">
        <w:rPr>
          <w:rFonts w:ascii="Book Antiqua" w:hAnsi="Book Antiqua" w:cs="Times New Roman"/>
          <w:bCs/>
          <w:sz w:val="24"/>
          <w:szCs w:val="24"/>
          <w:vertAlign w:val="superscript"/>
          <w:lang w:val="en"/>
        </w:rPr>
        <w:t>[1</w:t>
      </w:r>
      <w:r w:rsidR="007516D1" w:rsidRPr="00302F74">
        <w:rPr>
          <w:rFonts w:ascii="Book Antiqua" w:hAnsi="Book Antiqua" w:cs="Times New Roman"/>
          <w:bCs/>
          <w:sz w:val="24"/>
          <w:szCs w:val="24"/>
          <w:vertAlign w:val="superscript"/>
          <w:lang w:val="en"/>
        </w:rPr>
        <w:t>23</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xml:space="preserve"> further reported a significantly greater decline of potential difference after aspirin administration of 11.1 + 3.6</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 xml:space="preserve">mV in 9 patients with severe PHG, </w:t>
      </w:r>
      <w:r w:rsidR="00F34508" w:rsidRPr="00F34508">
        <w:rPr>
          <w:rFonts w:ascii="Book Antiqua" w:hAnsi="Book Antiqua" w:cs="Times New Roman" w:hint="eastAsia"/>
          <w:i/>
          <w:sz w:val="24"/>
          <w:szCs w:val="24"/>
          <w:lang w:eastAsia="zh-CN"/>
        </w:rPr>
        <w:t>vs</w:t>
      </w:r>
      <w:r w:rsidRPr="00302F74">
        <w:rPr>
          <w:rFonts w:ascii="Book Antiqua" w:hAnsi="Book Antiqua" w:cs="Times New Roman"/>
          <w:bCs/>
          <w:sz w:val="24"/>
          <w:szCs w:val="24"/>
          <w:lang w:val="en"/>
        </w:rPr>
        <w:t xml:space="preserve"> 9.2 + 3.6 mV in 21 patients with moderate PHG (</w:t>
      </w:r>
      <w:r w:rsidR="00E878B6">
        <w:rPr>
          <w:rFonts w:ascii="Book Antiqua" w:hAnsi="Book Antiqua" w:cs="Times New Roman"/>
          <w:bCs/>
          <w:i/>
          <w:sz w:val="24"/>
          <w:szCs w:val="24"/>
          <w:lang w:val="en"/>
        </w:rPr>
        <w:t>P &lt;</w:t>
      </w:r>
      <w:r w:rsidR="007370A1">
        <w:rPr>
          <w:rFonts w:ascii="Book Antiqua" w:hAnsi="Book Antiqua" w:cs="Times New Roman" w:hint="eastAsia"/>
          <w:bCs/>
          <w:i/>
          <w:sz w:val="24"/>
          <w:szCs w:val="24"/>
          <w:lang w:val="en" w:eastAsia="zh-CN"/>
        </w:rPr>
        <w:t xml:space="preserve"> </w:t>
      </w:r>
      <w:r w:rsidR="007370A1" w:rsidRPr="007370A1">
        <w:rPr>
          <w:rFonts w:ascii="Book Antiqua" w:hAnsi="Book Antiqua" w:cs="Times New Roman" w:hint="eastAsia"/>
          <w:bCs/>
          <w:sz w:val="24"/>
          <w:szCs w:val="24"/>
          <w:lang w:val="en" w:eastAsia="zh-CN"/>
        </w:rPr>
        <w:t>0</w:t>
      </w:r>
      <w:r w:rsidRPr="00302F74">
        <w:rPr>
          <w:rFonts w:ascii="Book Antiqua" w:hAnsi="Book Antiqua" w:cs="Times New Roman"/>
          <w:bCs/>
          <w:sz w:val="24"/>
          <w:szCs w:val="24"/>
          <w:lang w:val="en"/>
        </w:rPr>
        <w:t xml:space="preserve">.05), and </w:t>
      </w:r>
      <w:r w:rsidR="00F34508" w:rsidRPr="00F34508">
        <w:rPr>
          <w:rFonts w:ascii="Book Antiqua" w:hAnsi="Book Antiqua" w:cs="Times New Roman" w:hint="eastAsia"/>
          <w:i/>
          <w:sz w:val="24"/>
          <w:szCs w:val="24"/>
          <w:lang w:eastAsia="zh-CN"/>
        </w:rPr>
        <w:t>vs</w:t>
      </w:r>
      <w:r w:rsidRPr="00302F74">
        <w:rPr>
          <w:rFonts w:ascii="Book Antiqua" w:hAnsi="Book Antiqua" w:cs="Times New Roman"/>
          <w:bCs/>
          <w:sz w:val="24"/>
          <w:szCs w:val="24"/>
          <w:lang w:val="en"/>
        </w:rPr>
        <w:t xml:space="preserve"> 6.4 + 1.9 mV in 10 healthy controls (</w:t>
      </w:r>
      <w:r w:rsidR="00E878B6">
        <w:rPr>
          <w:rFonts w:ascii="Book Antiqua" w:hAnsi="Book Antiqua" w:cs="Times New Roman"/>
          <w:bCs/>
          <w:i/>
          <w:sz w:val="24"/>
          <w:szCs w:val="24"/>
          <w:lang w:val="en"/>
        </w:rPr>
        <w:t>P &lt;</w:t>
      </w:r>
      <w:r w:rsidR="007370A1">
        <w:rPr>
          <w:rFonts w:ascii="Book Antiqua" w:hAnsi="Book Antiqua" w:cs="Times New Roman" w:hint="eastAsia"/>
          <w:bCs/>
          <w:i/>
          <w:sz w:val="24"/>
          <w:szCs w:val="24"/>
          <w:lang w:val="en" w:eastAsia="zh-CN"/>
        </w:rPr>
        <w:t xml:space="preserve"> </w:t>
      </w:r>
      <w:r w:rsidRPr="00302F74">
        <w:rPr>
          <w:rFonts w:ascii="Book Antiqua" w:hAnsi="Book Antiqua" w:cs="Times New Roman"/>
          <w:bCs/>
          <w:sz w:val="24"/>
          <w:szCs w:val="24"/>
          <w:lang w:val="en"/>
        </w:rPr>
        <w:t>0.05).</w:t>
      </w:r>
      <w:r w:rsidR="00963345">
        <w:rPr>
          <w:rFonts w:ascii="Book Antiqua" w:hAnsi="Book Antiqua" w:cs="Times New Roman"/>
          <w:b/>
          <w:bCs/>
          <w:sz w:val="24"/>
          <w:szCs w:val="24"/>
          <w:lang w:val="en"/>
        </w:rPr>
        <w:t xml:space="preserve"> </w:t>
      </w:r>
      <w:r w:rsidRPr="00302F74">
        <w:rPr>
          <w:rFonts w:ascii="Book Antiqua" w:hAnsi="Book Antiqua" w:cs="Times New Roman"/>
          <w:bCs/>
          <w:sz w:val="24"/>
          <w:szCs w:val="24"/>
          <w:lang w:val="en"/>
        </w:rPr>
        <w:t xml:space="preserve">Also, PGE2 administration suppressed the increased apoptosis which occurred in rats with PHG. </w:t>
      </w:r>
    </w:p>
    <w:p w:rsidR="007370A1" w:rsidRPr="00302F74" w:rsidRDefault="007370A1" w:rsidP="00FA6CCE">
      <w:pPr>
        <w:widowControl w:val="0"/>
        <w:spacing w:line="360" w:lineRule="auto"/>
        <w:ind w:firstLine="720"/>
        <w:jc w:val="both"/>
        <w:rPr>
          <w:rFonts w:ascii="Book Antiqua" w:hAnsi="Book Antiqua" w:cs="Times New Roman"/>
          <w:bCs/>
          <w:sz w:val="24"/>
          <w:szCs w:val="24"/>
          <w:lang w:val="en" w:eastAsia="zh-CN"/>
        </w:rPr>
      </w:pPr>
    </w:p>
    <w:p w:rsidR="00C9325C" w:rsidRPr="0030725D" w:rsidRDefault="00C9325C" w:rsidP="007370A1">
      <w:pPr>
        <w:widowControl w:val="0"/>
        <w:spacing w:line="360" w:lineRule="auto"/>
        <w:jc w:val="both"/>
        <w:rPr>
          <w:rFonts w:ascii="Book Antiqua" w:hAnsi="Book Antiqua" w:cs="Times New Roman"/>
          <w:b/>
          <w:bCs/>
          <w:sz w:val="24"/>
          <w:szCs w:val="24"/>
        </w:rPr>
      </w:pPr>
      <w:r w:rsidRPr="0030725D">
        <w:rPr>
          <w:rFonts w:ascii="Book Antiqua" w:hAnsi="Book Antiqua" w:cs="Times New Roman"/>
          <w:b/>
          <w:bCs/>
          <w:sz w:val="24"/>
          <w:szCs w:val="24"/>
        </w:rPr>
        <w:t>Prostacyclin</w:t>
      </w:r>
      <w:r w:rsidR="0030725D">
        <w:rPr>
          <w:rFonts w:ascii="Book Antiqua" w:hAnsi="Book Antiqua" w:cs="Times New Roman" w:hint="eastAsia"/>
          <w:b/>
          <w:bCs/>
          <w:sz w:val="24"/>
          <w:szCs w:val="24"/>
          <w:lang w:eastAsia="zh-CN"/>
        </w:rPr>
        <w:t xml:space="preserve">: </w:t>
      </w:r>
      <w:r w:rsidRPr="00302F74">
        <w:rPr>
          <w:rFonts w:ascii="Book Antiqua" w:hAnsi="Book Antiqua" w:cs="Times New Roman"/>
          <w:sz w:val="24"/>
          <w:szCs w:val="24"/>
          <w:lang w:val="en"/>
        </w:rPr>
        <w:t xml:space="preserve">Prostacyclin, a vasodilator that inhibits gastric acid secretion, has been proposed as a mediator of the hyperdynamic circulation in PHG from portal </w:t>
      </w:r>
      <w:proofErr w:type="gramStart"/>
      <w:r w:rsidRPr="00302F74">
        <w:rPr>
          <w:rFonts w:ascii="Book Antiqua" w:hAnsi="Book Antiqua" w:cs="Times New Roman"/>
          <w:sz w:val="24"/>
          <w:szCs w:val="24"/>
          <w:lang w:val="en"/>
        </w:rPr>
        <w:t>hypertension</w:t>
      </w:r>
      <w:r w:rsidRPr="00302F74">
        <w:rPr>
          <w:rFonts w:ascii="Book Antiqua" w:hAnsi="Book Antiqua" w:cs="Times New Roman"/>
          <w:sz w:val="24"/>
          <w:szCs w:val="24"/>
          <w:vertAlign w:val="superscript"/>
          <w:lang w:val="en"/>
        </w:rPr>
        <w:t>[</w:t>
      </w:r>
      <w:proofErr w:type="gramEnd"/>
      <w:r w:rsidRPr="00302F74">
        <w:rPr>
          <w:rFonts w:ascii="Book Antiqua" w:hAnsi="Book Antiqua" w:cs="Times New Roman"/>
          <w:sz w:val="24"/>
          <w:szCs w:val="24"/>
          <w:vertAlign w:val="superscript"/>
          <w:lang w:val="en"/>
        </w:rPr>
        <w:t>14</w:t>
      </w:r>
      <w:r w:rsidR="007516D1"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,16</w:t>
      </w:r>
      <w:r w:rsidR="007516D1"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Ohta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w:t>
      </w:r>
      <w:r w:rsidR="007516D1" w:rsidRPr="00302F74">
        <w:rPr>
          <w:rFonts w:ascii="Book Antiqua" w:hAnsi="Book Antiqua" w:cs="Times New Roman"/>
          <w:sz w:val="24"/>
          <w:szCs w:val="24"/>
          <w:vertAlign w:val="superscript"/>
          <w:lang w:val="en"/>
        </w:rPr>
        <w:t>61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found significantly elevated serum levels of 6-keto-PGF</w:t>
      </w:r>
      <w:r w:rsidRPr="00302F74">
        <w:rPr>
          <w:rFonts w:ascii="Book Antiqua" w:hAnsi="Book Antiqua" w:cs="Times New Roman"/>
          <w:sz w:val="24"/>
          <w:szCs w:val="24"/>
          <w:vertAlign w:val="subscript"/>
          <w:lang w:val="en"/>
        </w:rPr>
        <w:t>1α</w:t>
      </w:r>
      <w:r w:rsidRPr="00302F74">
        <w:rPr>
          <w:rFonts w:ascii="Book Antiqua" w:hAnsi="Book Antiqua" w:cs="Times New Roman"/>
          <w:sz w:val="24"/>
          <w:szCs w:val="24"/>
          <w:lang w:val="en"/>
        </w:rPr>
        <w:t>, a metabolite of prostacyclin, in cirrhotic patients with PHG. They also reported that these patients had significantly elevated levels of 6-keto-PGF</w:t>
      </w:r>
      <w:r w:rsidRPr="00302F74">
        <w:rPr>
          <w:rFonts w:ascii="Book Antiqua" w:hAnsi="Book Antiqua" w:cs="Times New Roman"/>
          <w:sz w:val="24"/>
          <w:szCs w:val="24"/>
          <w:vertAlign w:val="subscript"/>
          <w:lang w:val="en"/>
        </w:rPr>
        <w:t>1α</w:t>
      </w:r>
      <w:r w:rsidR="00963345">
        <w:rPr>
          <w:rFonts w:ascii="Book Antiqua" w:hAnsi="Book Antiqua" w:cs="Times New Roman"/>
          <w:sz w:val="24"/>
          <w:szCs w:val="24"/>
          <w:vertAlign w:val="subscript"/>
          <w:lang w:val="en"/>
        </w:rPr>
        <w:t xml:space="preserve"> </w:t>
      </w:r>
      <w:r w:rsidRPr="00302F74">
        <w:rPr>
          <w:rFonts w:ascii="Book Antiqua" w:hAnsi="Book Antiqua" w:cs="Times New Roman"/>
          <w:sz w:val="24"/>
          <w:szCs w:val="24"/>
          <w:lang w:val="en"/>
        </w:rPr>
        <w:t xml:space="preserve">in the mucosa of the gastric fundus. </w:t>
      </w:r>
    </w:p>
    <w:p w:rsidR="007370A1" w:rsidRPr="0030725D" w:rsidRDefault="007370A1" w:rsidP="007370A1">
      <w:pPr>
        <w:widowControl w:val="0"/>
        <w:spacing w:line="360" w:lineRule="auto"/>
        <w:jc w:val="both"/>
        <w:rPr>
          <w:rFonts w:ascii="Book Antiqua" w:hAnsi="Book Antiqua" w:cs="Times New Roman"/>
          <w:sz w:val="24"/>
          <w:szCs w:val="24"/>
          <w:lang w:eastAsia="zh-CN"/>
        </w:rPr>
      </w:pPr>
    </w:p>
    <w:p w:rsidR="00C9325C" w:rsidRPr="0030725D" w:rsidRDefault="00C9325C" w:rsidP="007370A1">
      <w:pPr>
        <w:widowControl w:val="0"/>
        <w:spacing w:line="360" w:lineRule="auto"/>
        <w:jc w:val="both"/>
        <w:rPr>
          <w:rFonts w:ascii="Book Antiqua" w:hAnsi="Book Antiqua" w:cs="Times New Roman"/>
          <w:b/>
          <w:bCs/>
          <w:sz w:val="24"/>
          <w:szCs w:val="24"/>
        </w:rPr>
      </w:pPr>
      <w:r w:rsidRPr="0030725D">
        <w:rPr>
          <w:rFonts w:ascii="Book Antiqua" w:hAnsi="Book Antiqua" w:cs="Times New Roman"/>
          <w:b/>
          <w:bCs/>
          <w:sz w:val="24"/>
          <w:szCs w:val="24"/>
        </w:rPr>
        <w:t xml:space="preserve">Other cytokines </w:t>
      </w:r>
      <w:r w:rsidR="007370A1" w:rsidRPr="0030725D">
        <w:rPr>
          <w:rFonts w:ascii="Book Antiqua" w:hAnsi="Book Antiqua" w:cs="Times New Roman" w:hint="eastAsia"/>
          <w:b/>
          <w:bCs/>
          <w:sz w:val="24"/>
          <w:szCs w:val="24"/>
          <w:lang w:eastAsia="zh-CN"/>
        </w:rPr>
        <w:t>and</w:t>
      </w:r>
      <w:r w:rsidRPr="0030725D">
        <w:rPr>
          <w:rFonts w:ascii="Book Antiqua" w:hAnsi="Book Antiqua" w:cs="Times New Roman"/>
          <w:b/>
          <w:bCs/>
          <w:sz w:val="24"/>
          <w:szCs w:val="24"/>
        </w:rPr>
        <w:t xml:space="preserve"> growth factors</w:t>
      </w:r>
      <w:r w:rsidR="0030725D">
        <w:rPr>
          <w:rFonts w:ascii="Book Antiqua" w:hAnsi="Book Antiqua" w:cs="Times New Roman" w:hint="eastAsia"/>
          <w:b/>
          <w:bCs/>
          <w:sz w:val="24"/>
          <w:szCs w:val="24"/>
          <w:lang w:eastAsia="zh-CN"/>
        </w:rPr>
        <w:t xml:space="preserve">: </w:t>
      </w:r>
      <w:r w:rsidRPr="00302F74">
        <w:rPr>
          <w:rFonts w:ascii="Book Antiqua" w:hAnsi="Book Antiqua" w:cs="Times New Roman"/>
          <w:sz w:val="24"/>
          <w:szCs w:val="24"/>
        </w:rPr>
        <w:t xml:space="preserve">Several studies have analyzed the roles of endothelin-1, VEGF, and other cytokines in PHG, but further research is </w:t>
      </w:r>
      <w:proofErr w:type="gramStart"/>
      <w:r w:rsidRPr="00302F74">
        <w:rPr>
          <w:rFonts w:ascii="Book Antiqua" w:hAnsi="Book Antiqua" w:cs="Times New Roman"/>
          <w:sz w:val="24"/>
          <w:szCs w:val="24"/>
        </w:rPr>
        <w:t>required</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16</w:t>
      </w:r>
      <w:r w:rsidR="007516D1" w:rsidRPr="00302F74">
        <w:rPr>
          <w:rFonts w:ascii="Book Antiqua" w:hAnsi="Book Antiqua" w:cs="Times New Roman"/>
          <w:sz w:val="24"/>
          <w:szCs w:val="24"/>
          <w:vertAlign w:val="superscript"/>
        </w:rPr>
        <w:t>5</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The gastric concentrations of EGF (epidermal growth factor) were comparable between patients with and without PHG, and its significance in PHG remains unclear</w:t>
      </w:r>
      <w:r w:rsidRPr="00302F74">
        <w:rPr>
          <w:rFonts w:ascii="Book Antiqua" w:hAnsi="Book Antiqua" w:cs="Times New Roman"/>
          <w:sz w:val="24"/>
          <w:szCs w:val="24"/>
          <w:vertAlign w:val="superscript"/>
        </w:rPr>
        <w:t>[16</w:t>
      </w:r>
      <w:r w:rsidR="007516D1"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bCs/>
          <w:sz w:val="24"/>
          <w:szCs w:val="24"/>
        </w:rPr>
        <w:t>A high serum level of autotaxin, involved in liver fibrosis, was associated with advanced stage of cirrhosis, presence of esophageal varices, and PHG</w:t>
      </w:r>
      <w:r w:rsidRPr="00302F74">
        <w:rPr>
          <w:rFonts w:ascii="Book Antiqua" w:hAnsi="Book Antiqua" w:cs="Times New Roman"/>
          <w:bCs/>
          <w:sz w:val="24"/>
          <w:szCs w:val="24"/>
          <w:vertAlign w:val="superscript"/>
        </w:rPr>
        <w:t>[16</w:t>
      </w:r>
      <w:r w:rsidR="007516D1" w:rsidRPr="00302F74">
        <w:rPr>
          <w:rFonts w:ascii="Book Antiqua" w:hAnsi="Book Antiqua" w:cs="Times New Roman"/>
          <w:bCs/>
          <w:sz w:val="24"/>
          <w:szCs w:val="24"/>
          <w:vertAlign w:val="superscript"/>
        </w:rPr>
        <w:t>7</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p>
    <w:p w:rsidR="007370A1" w:rsidRDefault="007370A1" w:rsidP="00FA6CCE">
      <w:pPr>
        <w:widowControl w:val="0"/>
        <w:spacing w:line="360" w:lineRule="auto"/>
        <w:jc w:val="both"/>
        <w:rPr>
          <w:rFonts w:ascii="Book Antiqua" w:hAnsi="Book Antiqua" w:cs="Times New Roman"/>
          <w:b/>
          <w:bCs/>
          <w:sz w:val="24"/>
          <w:szCs w:val="24"/>
          <w:lang w:val="en" w:eastAsia="zh-CN"/>
        </w:rPr>
      </w:pPr>
    </w:p>
    <w:p w:rsidR="00C9325C" w:rsidRDefault="00C9325C" w:rsidP="007370A1">
      <w:pPr>
        <w:widowControl w:val="0"/>
        <w:spacing w:line="360" w:lineRule="auto"/>
        <w:jc w:val="both"/>
        <w:rPr>
          <w:rFonts w:ascii="Book Antiqua" w:hAnsi="Book Antiqua" w:cs="Times New Roman"/>
          <w:sz w:val="24"/>
          <w:szCs w:val="24"/>
          <w:lang w:val="en"/>
        </w:rPr>
      </w:pPr>
      <w:r w:rsidRPr="00302F74">
        <w:rPr>
          <w:rFonts w:ascii="Book Antiqua" w:hAnsi="Book Antiqua" w:cs="Times New Roman"/>
          <w:b/>
          <w:bCs/>
          <w:sz w:val="24"/>
          <w:szCs w:val="24"/>
          <w:lang w:val="en"/>
        </w:rPr>
        <w:t>Helicobacter pylori</w:t>
      </w:r>
      <w:r w:rsidR="0030725D">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 xml:space="preserve">Numerous studies demonstrated that </w:t>
      </w:r>
      <w:r w:rsidRPr="00302F74">
        <w:rPr>
          <w:rFonts w:ascii="Book Antiqua" w:hAnsi="Book Antiqua" w:cs="Times New Roman"/>
          <w:i/>
          <w:sz w:val="24"/>
          <w:szCs w:val="24"/>
          <w:lang w:val="en"/>
        </w:rPr>
        <w:t>Helicobacter</w:t>
      </w:r>
      <w:r w:rsidRPr="00302F74">
        <w:rPr>
          <w:rFonts w:ascii="Book Antiqua" w:hAnsi="Book Antiqua" w:cs="Times New Roman"/>
          <w:sz w:val="24"/>
          <w:szCs w:val="24"/>
          <w:lang w:val="en"/>
        </w:rPr>
        <w:t xml:space="preserve"> </w:t>
      </w:r>
      <w:r w:rsidRPr="00302F74">
        <w:rPr>
          <w:rFonts w:ascii="Book Antiqua" w:hAnsi="Book Antiqua" w:cs="Times New Roman"/>
          <w:i/>
          <w:sz w:val="24"/>
          <w:szCs w:val="24"/>
          <w:lang w:val="en"/>
        </w:rPr>
        <w:t>pylori</w:t>
      </w:r>
      <w:r w:rsidRPr="00302F74">
        <w:rPr>
          <w:rFonts w:ascii="Book Antiqua" w:hAnsi="Book Antiqua" w:cs="Times New Roman"/>
          <w:sz w:val="24"/>
          <w:szCs w:val="24"/>
          <w:lang w:val="en"/>
        </w:rPr>
        <w:t xml:space="preserve"> infection is not associated with PHG</w:t>
      </w:r>
      <w:r w:rsidRPr="00302F74">
        <w:rPr>
          <w:rFonts w:ascii="Book Antiqua" w:hAnsi="Book Antiqua" w:cs="Times New Roman"/>
          <w:sz w:val="24"/>
          <w:szCs w:val="24"/>
          <w:vertAlign w:val="superscript"/>
          <w:lang w:val="en"/>
        </w:rPr>
        <w:t>[7,9,25,79,1</w:t>
      </w:r>
      <w:r w:rsidR="007516D1" w:rsidRPr="00302F74">
        <w:rPr>
          <w:rFonts w:ascii="Book Antiqua" w:hAnsi="Book Antiqua" w:cs="Times New Roman"/>
          <w:sz w:val="24"/>
          <w:szCs w:val="24"/>
          <w:vertAlign w:val="superscript"/>
          <w:lang w:val="en"/>
        </w:rPr>
        <w:t>09</w:t>
      </w:r>
      <w:r w:rsidRPr="00302F74">
        <w:rPr>
          <w:rFonts w:ascii="Book Antiqua" w:hAnsi="Book Antiqua" w:cs="Times New Roman"/>
          <w:sz w:val="24"/>
          <w:szCs w:val="24"/>
          <w:vertAlign w:val="superscript"/>
          <w:lang w:val="en"/>
        </w:rPr>
        <w:t>,11</w:t>
      </w:r>
      <w:r w:rsidR="007516D1"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,15</w:t>
      </w:r>
      <w:r w:rsidR="007516D1"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,16</w:t>
      </w:r>
      <w:r w:rsidR="007516D1"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-17</w:t>
      </w:r>
      <w:r w:rsidR="007516D1"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Indeed, several studies reported that patients with PHG less frequently have </w:t>
      </w:r>
      <w:r w:rsidRPr="00302F74">
        <w:rPr>
          <w:rFonts w:ascii="Book Antiqua" w:hAnsi="Book Antiqua" w:cs="Times New Roman"/>
          <w:i/>
          <w:sz w:val="24"/>
          <w:szCs w:val="24"/>
          <w:lang w:val="en"/>
        </w:rPr>
        <w:t>H</w:t>
      </w:r>
      <w:r w:rsidRPr="00302F74">
        <w:rPr>
          <w:rFonts w:ascii="Book Antiqua" w:hAnsi="Book Antiqua" w:cs="Times New Roman"/>
          <w:sz w:val="24"/>
          <w:szCs w:val="24"/>
          <w:lang w:val="en"/>
        </w:rPr>
        <w:t xml:space="preserve">. </w:t>
      </w:r>
      <w:r w:rsidRPr="00302F74">
        <w:rPr>
          <w:rFonts w:ascii="Book Antiqua" w:hAnsi="Book Antiqua" w:cs="Times New Roman"/>
          <w:i/>
          <w:sz w:val="24"/>
          <w:szCs w:val="24"/>
          <w:lang w:val="en"/>
        </w:rPr>
        <w:t xml:space="preserve">pylori </w:t>
      </w:r>
      <w:r w:rsidRPr="00302F74">
        <w:rPr>
          <w:rFonts w:ascii="Book Antiqua" w:hAnsi="Book Antiqua" w:cs="Times New Roman"/>
          <w:sz w:val="24"/>
          <w:szCs w:val="24"/>
          <w:lang w:val="en"/>
        </w:rPr>
        <w:t>infection than controls.</w:t>
      </w:r>
      <w:r w:rsidR="00963345">
        <w:rPr>
          <w:rFonts w:ascii="Book Antiqua" w:hAnsi="Book Antiqua" w:cs="Times New Roman"/>
          <w:sz w:val="24"/>
          <w:szCs w:val="24"/>
          <w:lang w:val="en"/>
        </w:rPr>
        <w:t xml:space="preserve"> </w:t>
      </w:r>
      <w:r w:rsidRPr="00302F74">
        <w:rPr>
          <w:rFonts w:ascii="Book Antiqua" w:hAnsi="Book Antiqua" w:cs="Times New Roman"/>
          <w:i/>
          <w:sz w:val="24"/>
          <w:szCs w:val="24"/>
          <w:lang w:val="en"/>
        </w:rPr>
        <w:t>H</w:t>
      </w:r>
      <w:r w:rsidRPr="00302F74">
        <w:rPr>
          <w:rFonts w:ascii="Book Antiqua" w:hAnsi="Book Antiqua" w:cs="Times New Roman"/>
          <w:sz w:val="24"/>
          <w:szCs w:val="24"/>
          <w:lang w:val="en"/>
        </w:rPr>
        <w:t xml:space="preserve">. </w:t>
      </w:r>
      <w:r w:rsidRPr="00302F74">
        <w:rPr>
          <w:rFonts w:ascii="Book Antiqua" w:hAnsi="Book Antiqua" w:cs="Times New Roman"/>
          <w:i/>
          <w:sz w:val="24"/>
          <w:szCs w:val="24"/>
          <w:lang w:val="en"/>
        </w:rPr>
        <w:t>pylori</w:t>
      </w:r>
      <w:r w:rsidRPr="00302F74">
        <w:rPr>
          <w:rFonts w:ascii="Book Antiqua" w:hAnsi="Book Antiqua" w:cs="Times New Roman"/>
          <w:sz w:val="24"/>
          <w:szCs w:val="24"/>
          <w:lang w:val="en"/>
        </w:rPr>
        <w:t xml:space="preserve"> does </w:t>
      </w:r>
      <w:r w:rsidRPr="00302F74">
        <w:rPr>
          <w:rFonts w:ascii="Book Antiqua" w:hAnsi="Book Antiqua" w:cs="Times New Roman"/>
          <w:sz w:val="24"/>
          <w:szCs w:val="24"/>
          <w:lang w:val="en"/>
        </w:rPr>
        <w:lastRenderedPageBreak/>
        <w:t>not appear to play a pathogenic role in ulcers associated with PHG</w:t>
      </w:r>
      <w:r w:rsidRPr="00302F74">
        <w:rPr>
          <w:rFonts w:ascii="Book Antiqua" w:hAnsi="Book Antiqua" w:cs="Times New Roman"/>
          <w:sz w:val="24"/>
          <w:szCs w:val="24"/>
          <w:vertAlign w:val="superscript"/>
          <w:lang w:val="en"/>
        </w:rPr>
        <w:t>[17</w:t>
      </w:r>
      <w:r w:rsidR="007516D1"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Contrariwise, Sathar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[17</w:t>
      </w:r>
      <w:r w:rsidR="007516D1"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an association between </w:t>
      </w:r>
      <w:r w:rsidRPr="00302F74">
        <w:rPr>
          <w:rFonts w:ascii="Book Antiqua" w:hAnsi="Book Antiqua" w:cs="Times New Roman"/>
          <w:i/>
          <w:sz w:val="24"/>
          <w:szCs w:val="24"/>
          <w:lang w:val="en"/>
        </w:rPr>
        <w:t>H</w:t>
      </w:r>
      <w:r w:rsidRPr="00302F74">
        <w:rPr>
          <w:rFonts w:ascii="Book Antiqua" w:hAnsi="Book Antiqua" w:cs="Times New Roman"/>
          <w:sz w:val="24"/>
          <w:szCs w:val="24"/>
          <w:lang w:val="en"/>
        </w:rPr>
        <w:t xml:space="preserve">. </w:t>
      </w:r>
      <w:r w:rsidRPr="00302F74">
        <w:rPr>
          <w:rFonts w:ascii="Book Antiqua" w:hAnsi="Book Antiqua" w:cs="Times New Roman"/>
          <w:i/>
          <w:sz w:val="24"/>
          <w:szCs w:val="24"/>
          <w:lang w:val="en"/>
        </w:rPr>
        <w:t>pylori</w:t>
      </w:r>
      <w:r w:rsidRPr="00302F74">
        <w:rPr>
          <w:rFonts w:ascii="Book Antiqua" w:hAnsi="Book Antiqua" w:cs="Times New Roman"/>
          <w:sz w:val="24"/>
          <w:szCs w:val="24"/>
          <w:lang w:val="en"/>
        </w:rPr>
        <w:t xml:space="preserve"> infection and PHG in cirrhotic patients, but this study apparently had limitations, including low specificity and low sensitivity of </w:t>
      </w:r>
      <w:r w:rsidRPr="00302F74">
        <w:rPr>
          <w:rFonts w:ascii="Book Antiqua" w:hAnsi="Book Antiqua" w:cs="Times New Roman"/>
          <w:i/>
          <w:sz w:val="24"/>
          <w:szCs w:val="24"/>
          <w:lang w:val="en"/>
        </w:rPr>
        <w:t>H</w:t>
      </w:r>
      <w:r w:rsidRPr="00302F74">
        <w:rPr>
          <w:rFonts w:ascii="Book Antiqua" w:hAnsi="Book Antiqua" w:cs="Times New Roman"/>
          <w:sz w:val="24"/>
          <w:szCs w:val="24"/>
          <w:lang w:val="en"/>
        </w:rPr>
        <w:t xml:space="preserve">. </w:t>
      </w:r>
      <w:r w:rsidRPr="00302F74">
        <w:rPr>
          <w:rFonts w:ascii="Book Antiqua" w:hAnsi="Book Antiqua" w:cs="Times New Roman"/>
          <w:i/>
          <w:sz w:val="24"/>
          <w:szCs w:val="24"/>
          <w:lang w:val="en"/>
        </w:rPr>
        <w:t>pylori</w:t>
      </w:r>
      <w:r w:rsidRPr="00302F74">
        <w:rPr>
          <w:rFonts w:ascii="Book Antiqua" w:hAnsi="Book Antiqua" w:cs="Times New Roman"/>
          <w:sz w:val="24"/>
          <w:szCs w:val="24"/>
          <w:lang w:val="en"/>
        </w:rPr>
        <w:t xml:space="preserve"> serology in cirrhotic patients, potential selection bias, and underreporting of </w:t>
      </w:r>
      <w:r w:rsidRPr="00302F74">
        <w:rPr>
          <w:rFonts w:ascii="Book Antiqua" w:hAnsi="Book Antiqua" w:cs="Times New Roman"/>
          <w:i/>
          <w:sz w:val="24"/>
          <w:szCs w:val="24"/>
          <w:lang w:val="en"/>
        </w:rPr>
        <w:t>H</w:t>
      </w:r>
      <w:r w:rsidRPr="00302F74">
        <w:rPr>
          <w:rFonts w:ascii="Book Antiqua" w:hAnsi="Book Antiqua" w:cs="Times New Roman"/>
          <w:sz w:val="24"/>
          <w:szCs w:val="24"/>
          <w:lang w:val="en"/>
        </w:rPr>
        <w:t xml:space="preserve">. </w:t>
      </w:r>
      <w:r w:rsidRPr="00302F74">
        <w:rPr>
          <w:rFonts w:ascii="Book Antiqua" w:hAnsi="Book Antiqua" w:cs="Times New Roman"/>
          <w:i/>
          <w:sz w:val="24"/>
          <w:szCs w:val="24"/>
          <w:lang w:val="en"/>
        </w:rPr>
        <w:t>pylori</w:t>
      </w:r>
      <w:r w:rsidRPr="00302F74">
        <w:rPr>
          <w:rFonts w:ascii="Book Antiqua" w:hAnsi="Book Antiqua" w:cs="Times New Roman"/>
          <w:sz w:val="24"/>
          <w:szCs w:val="24"/>
          <w:lang w:val="en"/>
        </w:rPr>
        <w:t xml:space="preserve"> seroprevalence</w:t>
      </w:r>
      <w:r w:rsidRPr="00302F74">
        <w:rPr>
          <w:rFonts w:ascii="Book Antiqua" w:hAnsi="Book Antiqua" w:cs="Times New Roman"/>
          <w:sz w:val="24"/>
          <w:szCs w:val="24"/>
          <w:vertAlign w:val="superscript"/>
          <w:lang w:val="en"/>
        </w:rPr>
        <w:t>[17</w:t>
      </w:r>
      <w:r w:rsidR="007516D1"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-17</w:t>
      </w:r>
      <w:r w:rsidR="007516D1"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7370A1" w:rsidRPr="00302F74" w:rsidRDefault="007370A1" w:rsidP="007370A1">
      <w:pPr>
        <w:widowControl w:val="0"/>
        <w:spacing w:line="360" w:lineRule="auto"/>
        <w:jc w:val="both"/>
        <w:rPr>
          <w:rFonts w:ascii="Book Antiqua" w:hAnsi="Book Antiqua" w:cs="Times New Roman"/>
          <w:sz w:val="24"/>
          <w:szCs w:val="24"/>
          <w:lang w:val="en" w:eastAsia="zh-CN"/>
        </w:rPr>
      </w:pPr>
    </w:p>
    <w:p w:rsidR="00C9325C" w:rsidRPr="0030725D" w:rsidRDefault="00C9325C" w:rsidP="00FA6CCE">
      <w:pPr>
        <w:widowControl w:val="0"/>
        <w:spacing w:line="360" w:lineRule="auto"/>
        <w:jc w:val="both"/>
        <w:rPr>
          <w:rFonts w:ascii="Book Antiqua" w:hAnsi="Book Antiqua" w:cs="Times New Roman"/>
          <w:b/>
          <w:bCs/>
          <w:i/>
          <w:sz w:val="24"/>
          <w:szCs w:val="24"/>
          <w:lang w:val="en"/>
        </w:rPr>
      </w:pPr>
      <w:r w:rsidRPr="0030725D">
        <w:rPr>
          <w:rFonts w:ascii="Book Antiqua" w:hAnsi="Book Antiqua" w:cs="Times New Roman"/>
          <w:b/>
          <w:bCs/>
          <w:i/>
          <w:sz w:val="24"/>
          <w:szCs w:val="24"/>
          <w:lang w:val="en"/>
        </w:rPr>
        <w:t>D</w:t>
      </w:r>
      <w:r w:rsidR="0030725D" w:rsidRPr="0030725D">
        <w:rPr>
          <w:rFonts w:ascii="Book Antiqua" w:hAnsi="Book Antiqua" w:cs="Times New Roman"/>
          <w:b/>
          <w:bCs/>
          <w:i/>
          <w:sz w:val="24"/>
          <w:szCs w:val="24"/>
          <w:lang w:val="en"/>
        </w:rPr>
        <w:t>iagnosis</w:t>
      </w:r>
    </w:p>
    <w:p w:rsidR="00C9325C" w:rsidRPr="0030725D" w:rsidRDefault="00C9325C" w:rsidP="007370A1">
      <w:pPr>
        <w:widowControl w:val="0"/>
        <w:spacing w:line="360" w:lineRule="auto"/>
        <w:jc w:val="both"/>
        <w:rPr>
          <w:rFonts w:ascii="Book Antiqua" w:hAnsi="Book Antiqua" w:cs="Times New Roman"/>
          <w:b/>
          <w:bCs/>
          <w:sz w:val="24"/>
          <w:szCs w:val="24"/>
          <w:lang w:val="en"/>
        </w:rPr>
      </w:pPr>
      <w:r w:rsidRPr="0030725D">
        <w:rPr>
          <w:rFonts w:ascii="Book Antiqua" w:hAnsi="Book Antiqua" w:cs="Times New Roman"/>
          <w:b/>
          <w:bCs/>
          <w:sz w:val="24"/>
          <w:szCs w:val="24"/>
          <w:lang w:val="en"/>
        </w:rPr>
        <w:t>Endoscopy</w:t>
      </w:r>
      <w:r w:rsidR="0030725D">
        <w:rPr>
          <w:rFonts w:ascii="Book Antiqua" w:hAnsi="Book Antiqua" w:cs="Times New Roman" w:hint="eastAsia"/>
          <w:b/>
          <w:bCs/>
          <w:sz w:val="24"/>
          <w:szCs w:val="24"/>
          <w:lang w:val="en" w:eastAsia="zh-CN"/>
        </w:rPr>
        <w:t xml:space="preserve">: </w:t>
      </w:r>
      <w:r w:rsidRPr="00302F74">
        <w:rPr>
          <w:rFonts w:ascii="Book Antiqua" w:hAnsi="Book Antiqua" w:cs="Times New Roman"/>
          <w:sz w:val="24"/>
          <w:szCs w:val="24"/>
          <w:lang w:val="en"/>
        </w:rPr>
        <w:t>PHG is diagnosed by esophagogastroduodenoscopy (EGD)</w:t>
      </w:r>
      <w:r w:rsidRPr="00302F74">
        <w:rPr>
          <w:rFonts w:ascii="Book Antiqua" w:hAnsi="Book Antiqua" w:cs="Times New Roman"/>
          <w:sz w:val="24"/>
          <w:szCs w:val="24"/>
          <w:vertAlign w:val="superscript"/>
          <w:lang w:val="en"/>
        </w:rPr>
        <w:t>[72]</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 characteristic endoscopic appearance is a mosaic-like pattern or a diffuse, erythematous and reticular cobblestone pattern of gastric mucosa consisting of small polygonal areas, with superimposed red punctate lesions, &gt;</w:t>
      </w:r>
      <w:r w:rsidR="007370A1">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2 mm in diameter and a depressed white border</w:t>
      </w:r>
      <w:r w:rsidRPr="00302F74">
        <w:rPr>
          <w:rFonts w:ascii="Book Antiqua" w:hAnsi="Book Antiqua" w:cs="Times New Roman"/>
          <w:sz w:val="24"/>
          <w:szCs w:val="24"/>
          <w:vertAlign w:val="superscript"/>
          <w:lang w:val="en"/>
        </w:rPr>
        <w:t>[78,9</w:t>
      </w:r>
      <w:r w:rsidR="007516D1"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,17</w:t>
      </w:r>
      <w:r w:rsidR="007516D1"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 red lesions vary in size and in color depending on PHG severity.</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 lesions range from pink speckled lesions within a mosaic or snakeskin pattern in mild cases, to localized small areas of intense erythema, resembling a scarlatina rash, in severe cases</w:t>
      </w:r>
      <w:r w:rsidRPr="00302F74">
        <w:rPr>
          <w:rFonts w:ascii="Book Antiqua" w:hAnsi="Book Antiqua" w:cs="Times New Roman"/>
          <w:sz w:val="24"/>
          <w:szCs w:val="24"/>
          <w:vertAlign w:val="superscript"/>
          <w:lang w:val="en"/>
        </w:rPr>
        <w:t>[70,71,11</w:t>
      </w:r>
      <w:r w:rsidR="007516D1"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,1</w:t>
      </w:r>
      <w:r w:rsidR="007516D1" w:rsidRPr="00302F74">
        <w:rPr>
          <w:rFonts w:ascii="Book Antiqua" w:hAnsi="Book Antiqua" w:cs="Times New Roman"/>
          <w:sz w:val="24"/>
          <w:szCs w:val="24"/>
          <w:vertAlign w:val="superscript"/>
          <w:lang w:val="en"/>
        </w:rPr>
        <w:t>39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These findings occur predominantly in the gastric body and fundus, and rarely in the antrum</w:t>
      </w:r>
      <w:r w:rsidRPr="00302F74">
        <w:rPr>
          <w:rFonts w:ascii="Book Antiqua" w:hAnsi="Book Antiqua" w:cs="Times New Roman"/>
          <w:sz w:val="24"/>
          <w:szCs w:val="24"/>
          <w:vertAlign w:val="superscript"/>
          <w:lang w:val="en"/>
        </w:rPr>
        <w:t>[71,72,1</w:t>
      </w:r>
      <w:r w:rsidR="007516D1" w:rsidRPr="00302F74">
        <w:rPr>
          <w:rFonts w:ascii="Book Antiqua" w:hAnsi="Book Antiqua" w:cs="Times New Roman"/>
          <w:sz w:val="24"/>
          <w:szCs w:val="24"/>
          <w:vertAlign w:val="superscript"/>
          <w:lang w:val="en"/>
        </w:rPr>
        <w:t>39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sidRPr="007370A1">
        <w:rPr>
          <w:rFonts w:ascii="Book Antiqua" w:hAnsi="Book Antiqua" w:cs="Times New Roman"/>
          <w:sz w:val="24"/>
          <w:szCs w:val="24"/>
          <w:lang w:val="en"/>
        </w:rPr>
        <w:t xml:space="preserve"> </w:t>
      </w:r>
      <w:r w:rsidRPr="007370A1">
        <w:rPr>
          <w:rFonts w:ascii="Book Antiqua" w:hAnsi="Book Antiqua" w:cs="Times New Roman"/>
          <w:sz w:val="24"/>
          <w:szCs w:val="24"/>
          <w:lang w:val="en"/>
        </w:rPr>
        <w:t xml:space="preserve">Figure 2 </w:t>
      </w:r>
      <w:r w:rsidRPr="00302F74">
        <w:rPr>
          <w:rFonts w:ascii="Book Antiqua" w:hAnsi="Book Antiqua" w:cs="Times New Roman"/>
          <w:sz w:val="24"/>
          <w:szCs w:val="24"/>
          <w:lang w:val="en"/>
        </w:rPr>
        <w:t>illustrates a patient with classic endoscopic findings of portal hypertensive gastropathy.</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Toyonaga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[17</w:t>
      </w:r>
      <w:r w:rsidR="007516D1"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in a meta-analysis of 6 studies that the mosaic-like pattern had high specificity at 98%; (range: 93%-100%), but low sensitivity at 38% (range: 7%-94%) for PHG, with an accuracy of 78% (range: 63%-98%).</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In severe PHG numerous petechiae and bleeding spots present as a diffuse hemorrhagic gastropathy</w:t>
      </w:r>
      <w:r w:rsidRPr="00302F74">
        <w:rPr>
          <w:rFonts w:ascii="Book Antiqua" w:hAnsi="Book Antiqua" w:cs="Times New Roman"/>
          <w:sz w:val="24"/>
          <w:szCs w:val="24"/>
          <w:vertAlign w:val="superscript"/>
          <w:lang w:val="en"/>
        </w:rPr>
        <w:t>[11</w:t>
      </w:r>
      <w:r w:rsidR="007516D1"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,1</w:t>
      </w:r>
      <w:r w:rsidR="007516D1" w:rsidRPr="00302F74">
        <w:rPr>
          <w:rFonts w:ascii="Book Antiqua" w:hAnsi="Book Antiqua" w:cs="Times New Roman"/>
          <w:sz w:val="24"/>
          <w:szCs w:val="24"/>
          <w:vertAlign w:val="superscript"/>
          <w:lang w:val="en"/>
        </w:rPr>
        <w:t>39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w:t>
      </w:r>
    </w:p>
    <w:p w:rsidR="007370A1" w:rsidRPr="00302F74" w:rsidRDefault="007370A1" w:rsidP="007370A1">
      <w:pPr>
        <w:widowControl w:val="0"/>
        <w:spacing w:line="360" w:lineRule="auto"/>
        <w:jc w:val="both"/>
        <w:rPr>
          <w:rFonts w:ascii="Book Antiqua" w:hAnsi="Book Antiqua" w:cs="Times New Roman"/>
          <w:sz w:val="24"/>
          <w:szCs w:val="24"/>
          <w:lang w:val="en" w:eastAsia="zh-CN"/>
        </w:rPr>
      </w:pPr>
    </w:p>
    <w:p w:rsidR="00C9325C" w:rsidRPr="0030725D" w:rsidRDefault="00C9325C" w:rsidP="00FA6CCE">
      <w:pPr>
        <w:widowControl w:val="0"/>
        <w:spacing w:line="360" w:lineRule="auto"/>
        <w:jc w:val="both"/>
        <w:rPr>
          <w:rFonts w:ascii="Book Antiqua" w:hAnsi="Book Antiqua" w:cs="Times New Roman"/>
          <w:b/>
          <w:bCs/>
          <w:sz w:val="24"/>
          <w:szCs w:val="24"/>
          <w:lang w:val="en"/>
        </w:rPr>
      </w:pPr>
      <w:r w:rsidRPr="0030725D">
        <w:rPr>
          <w:rFonts w:ascii="Book Antiqua" w:hAnsi="Book Antiqua" w:cs="Times New Roman"/>
          <w:b/>
          <w:bCs/>
          <w:sz w:val="24"/>
          <w:szCs w:val="24"/>
          <w:lang w:val="en"/>
        </w:rPr>
        <w:t xml:space="preserve">Endoscopic </w:t>
      </w:r>
      <w:r w:rsidR="007370A1" w:rsidRPr="0030725D">
        <w:rPr>
          <w:rFonts w:ascii="Book Antiqua" w:hAnsi="Book Antiqua" w:cs="Times New Roman"/>
          <w:b/>
          <w:bCs/>
          <w:sz w:val="24"/>
          <w:szCs w:val="24"/>
          <w:lang w:val="en"/>
        </w:rPr>
        <w:t>c</w:t>
      </w:r>
      <w:r w:rsidRPr="0030725D">
        <w:rPr>
          <w:rFonts w:ascii="Book Antiqua" w:hAnsi="Book Antiqua" w:cs="Times New Roman"/>
          <w:b/>
          <w:bCs/>
          <w:sz w:val="24"/>
          <w:szCs w:val="24"/>
          <w:lang w:val="en"/>
        </w:rPr>
        <w:t>lassification</w:t>
      </w:r>
      <w:r w:rsidR="0030725D">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lang w:val="en"/>
        </w:rPr>
        <w:t>Endoscopic classification of PHG severity is clinically important because severity is correlated with bleeding risk</w:t>
      </w:r>
      <w:r w:rsidRPr="00302F74">
        <w:rPr>
          <w:rFonts w:ascii="Book Antiqua" w:hAnsi="Book Antiqua" w:cs="Times New Roman"/>
          <w:bCs/>
          <w:sz w:val="24"/>
          <w:szCs w:val="24"/>
          <w:vertAlign w:val="superscript"/>
          <w:lang w:val="en"/>
        </w:rPr>
        <w:t>[31,71,72,1</w:t>
      </w:r>
      <w:r w:rsidR="008F5BFB" w:rsidRPr="00302F74">
        <w:rPr>
          <w:rFonts w:ascii="Book Antiqua" w:hAnsi="Book Antiqua" w:cs="Times New Roman"/>
          <w:bCs/>
          <w:sz w:val="24"/>
          <w:szCs w:val="24"/>
          <w:vertAlign w:val="superscript"/>
          <w:lang w:val="en"/>
        </w:rPr>
        <w:t>79</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PHG can be simply categorized as mild with a mosaic-like pattern without red spots, or as severe, with s</w:t>
      </w:r>
      <w:r w:rsidR="007370A1">
        <w:rPr>
          <w:rFonts w:ascii="Book Antiqua" w:hAnsi="Book Antiqua" w:cs="Times New Roman"/>
          <w:bCs/>
          <w:sz w:val="24"/>
          <w:szCs w:val="24"/>
          <w:lang w:val="en"/>
        </w:rPr>
        <w:t>uperimposed red lesions present</w:t>
      </w:r>
      <w:r w:rsidRPr="00302F74">
        <w:rPr>
          <w:rFonts w:ascii="Book Antiqua" w:hAnsi="Book Antiqua" w:cs="Times New Roman"/>
          <w:bCs/>
          <w:sz w:val="24"/>
          <w:szCs w:val="24"/>
          <w:vertAlign w:val="superscript"/>
          <w:lang w:val="en"/>
        </w:rPr>
        <w:t>[78,9</w:t>
      </w:r>
      <w:r w:rsidR="008F5BFB" w:rsidRPr="00302F74">
        <w:rPr>
          <w:rFonts w:ascii="Book Antiqua" w:hAnsi="Book Antiqua" w:cs="Times New Roman"/>
          <w:bCs/>
          <w:sz w:val="24"/>
          <w:szCs w:val="24"/>
          <w:vertAlign w:val="superscript"/>
          <w:lang w:val="en"/>
        </w:rPr>
        <w:t>6</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 xml:space="preserve">Multiple formal </w:t>
      </w:r>
      <w:r w:rsidRPr="00302F74">
        <w:rPr>
          <w:rFonts w:ascii="Book Antiqua" w:hAnsi="Book Antiqua" w:cs="Times New Roman"/>
          <w:sz w:val="24"/>
          <w:szCs w:val="24"/>
          <w:lang w:val="en"/>
        </w:rPr>
        <w:t>endoscopic classifications exist (</w:t>
      </w:r>
      <w:r w:rsidRPr="007370A1">
        <w:rPr>
          <w:rFonts w:ascii="Book Antiqua" w:hAnsi="Book Antiqua" w:cs="Times New Roman"/>
          <w:sz w:val="24"/>
          <w:szCs w:val="24"/>
          <w:lang w:val="en"/>
        </w:rPr>
        <w:t xml:space="preserve">Table </w:t>
      </w:r>
      <w:r w:rsidR="007370A1" w:rsidRPr="007370A1">
        <w:rPr>
          <w:rFonts w:ascii="Book Antiqua" w:hAnsi="Book Antiqua" w:cs="Times New Roman" w:hint="eastAsia"/>
          <w:sz w:val="24"/>
          <w:szCs w:val="24"/>
          <w:lang w:val="en" w:eastAsia="zh-CN"/>
        </w:rPr>
        <w:t>8</w:t>
      </w:r>
      <w:r w:rsidRPr="00302F74">
        <w:rPr>
          <w:rFonts w:ascii="Book Antiqua" w:hAnsi="Book Antiqua" w:cs="Times New Roman"/>
          <w:sz w:val="24"/>
          <w:szCs w:val="24"/>
          <w:vertAlign w:val="superscript"/>
          <w:lang w:val="en"/>
        </w:rPr>
        <w:t>[3,7,8,70,18</w:t>
      </w:r>
      <w:r w:rsidR="008F5BFB"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rPr>
        <w:t>]</w:t>
      </w:r>
      <w:r w:rsidRPr="00302F74">
        <w:rPr>
          <w:rFonts w:ascii="Book Antiqua" w:hAnsi="Book Antiqua" w:cs="Times New Roman"/>
          <w:sz w:val="24"/>
          <w:szCs w:val="24"/>
          <w:lang w:val="en"/>
        </w:rPr>
        <w:t>), with no consensus as to which classification is the best</w:t>
      </w:r>
      <w:r w:rsidRPr="00302F74">
        <w:rPr>
          <w:rFonts w:ascii="Book Antiqua" w:hAnsi="Book Antiqua" w:cs="Times New Roman"/>
          <w:sz w:val="24"/>
          <w:szCs w:val="24"/>
          <w:vertAlign w:val="superscript"/>
          <w:lang w:val="en"/>
        </w:rPr>
        <w:t>[5,18</w:t>
      </w:r>
      <w:r w:rsidR="008F5BFB"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The following classifications are commonly used: </w:t>
      </w:r>
      <w:r w:rsidR="007370A1" w:rsidRPr="00302F74">
        <w:rPr>
          <w:rFonts w:ascii="Book Antiqua" w:hAnsi="Book Antiqua" w:cs="Times New Roman"/>
          <w:sz w:val="24"/>
          <w:szCs w:val="24"/>
          <w:lang w:val="en"/>
        </w:rPr>
        <w:t>C</w:t>
      </w:r>
      <w:r w:rsidRPr="00302F74">
        <w:rPr>
          <w:rFonts w:ascii="Book Antiqua" w:hAnsi="Book Antiqua" w:cs="Times New Roman"/>
          <w:sz w:val="24"/>
          <w:szCs w:val="24"/>
          <w:lang w:val="en"/>
        </w:rPr>
        <w:t xml:space="preserve">lassifications by McCormak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lang w:val="en"/>
        </w:rPr>
        <w:t xml:space="preserve">, Tanoue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the New Italian Endoscopic Classification (NIEC)</w:t>
      </w:r>
      <w:r w:rsidRPr="00302F74">
        <w:rPr>
          <w:rFonts w:ascii="Book Antiqua" w:hAnsi="Book Antiqua" w:cs="Times New Roman"/>
          <w:sz w:val="24"/>
          <w:szCs w:val="24"/>
          <w:vertAlign w:val="superscript"/>
          <w:lang w:val="en"/>
        </w:rPr>
        <w:t>[70]</w:t>
      </w:r>
      <w:r w:rsidRPr="00302F74">
        <w:rPr>
          <w:rFonts w:ascii="Book Antiqua" w:hAnsi="Book Antiqua" w:cs="Times New Roman"/>
          <w:sz w:val="24"/>
          <w:szCs w:val="24"/>
          <w:lang w:val="en"/>
        </w:rPr>
        <w:t>, and the Baveno scoring system</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lastRenderedPageBreak/>
        <w:t xml:space="preserve">In 1985, McCormack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lang w:val="en"/>
        </w:rPr>
        <w:t xml:space="preserve"> classified PHG according to presence of red spots into mild and severe disease. </w:t>
      </w:r>
      <w:r w:rsidRPr="00302F74">
        <w:rPr>
          <w:rFonts w:ascii="Book Antiqua" w:hAnsi="Book Antiqua" w:cs="Times New Roman"/>
          <w:sz w:val="24"/>
          <w:szCs w:val="24"/>
        </w:rPr>
        <w:t xml:space="preserve">In 1991, McCormick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[7]</w:t>
      </w:r>
      <w:r w:rsidRPr="00302F74">
        <w:rPr>
          <w:rFonts w:ascii="Book Antiqua" w:hAnsi="Book Antiqua" w:cs="Times New Roman"/>
          <w:sz w:val="24"/>
          <w:szCs w:val="24"/>
        </w:rPr>
        <w:t xml:space="preserve"> divided the prior single category of mild PHG into mild and moderate PHG based on absence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presence of erythema, respectively. This moderate category is infrequently used</w:t>
      </w:r>
      <w:r w:rsidRPr="00302F74">
        <w:rPr>
          <w:rFonts w:ascii="Book Antiqua" w:hAnsi="Book Antiqua" w:cs="Times New Roman"/>
          <w:sz w:val="24"/>
          <w:szCs w:val="24"/>
          <w:vertAlign w:val="superscript"/>
        </w:rPr>
        <w:t>[7]</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I</w:t>
      </w:r>
      <w:r w:rsidRPr="00302F74">
        <w:rPr>
          <w:rFonts w:ascii="Book Antiqua" w:hAnsi="Book Antiqua" w:cs="Times New Roman"/>
          <w:sz w:val="24"/>
          <w:szCs w:val="24"/>
          <w:lang w:val="en"/>
        </w:rPr>
        <w:t xml:space="preserve">n 1992 Tanoue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also expanded the scoring system by providing a grade between mild and severe.</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This classification is rendered cumbersome by a lack of sharply defined differences between the added intermediate category and the original categories</w:t>
      </w:r>
      <w:r w:rsidRPr="00302F74">
        <w:rPr>
          <w:rFonts w:ascii="Book Antiqua" w:hAnsi="Book Antiqua" w:cs="Times New Roman"/>
          <w:sz w:val="24"/>
          <w:szCs w:val="24"/>
          <w:vertAlign w:val="superscript"/>
          <w:lang w:val="en"/>
        </w:rPr>
        <w:t>[71]</w:t>
      </w:r>
      <w:r w:rsidRPr="00302F74">
        <w:rPr>
          <w:rFonts w:ascii="Book Antiqua" w:hAnsi="Book Antiqua" w:cs="Times New Roman"/>
          <w:sz w:val="24"/>
          <w:szCs w:val="24"/>
          <w:lang w:val="en"/>
        </w:rPr>
        <w:t>. This system is, however, simple and can help predict bleeding risk</w:t>
      </w:r>
      <w:r w:rsidRPr="00302F74">
        <w:rPr>
          <w:rFonts w:ascii="Book Antiqua" w:hAnsi="Book Antiqua" w:cs="Times New Roman"/>
          <w:sz w:val="24"/>
          <w:szCs w:val="24"/>
          <w:vertAlign w:val="superscript"/>
          <w:lang w:val="en"/>
        </w:rPr>
        <w:t>[71,18</w:t>
      </w:r>
      <w:r w:rsidR="008F5BFB"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Iwao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vertAlign w:val="superscript"/>
        </w:rPr>
        <w:t>18</w:t>
      </w:r>
      <w:r w:rsidR="008F5BFB"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lang w:val="en"/>
        </w:rPr>
        <w:t xml:space="preserve"> found McCormack's classification was accurate for fine pink speckling in 54%, for snakeskin pattern in 76%, and for cherry-red spots in 64%</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The NIEC produced a better definition in 1992 of mild and severe HPG</w:t>
      </w:r>
      <w:r w:rsidRPr="00302F74">
        <w:rPr>
          <w:rFonts w:ascii="Book Antiqua" w:hAnsi="Book Antiqua" w:cs="Times New Roman"/>
          <w:sz w:val="24"/>
          <w:szCs w:val="24"/>
          <w:vertAlign w:val="superscript"/>
          <w:lang w:val="en"/>
        </w:rPr>
        <w:t>[32,34,70]</w:t>
      </w:r>
      <w:r w:rsidRPr="00302F74">
        <w:rPr>
          <w:rFonts w:ascii="Book Antiqua" w:hAnsi="Book Antiqua" w:cs="Times New Roman"/>
          <w:sz w:val="24"/>
          <w:szCs w:val="24"/>
          <w:lang w:val="en"/>
        </w:rPr>
        <w:t>.</w:t>
      </w:r>
      <w:r w:rsidR="00963345">
        <w:rPr>
          <w:rFonts w:ascii="Book Antiqua" w:hAnsi="Book Antiqua" w:cs="Times New Roman"/>
          <w:b/>
          <w:sz w:val="24"/>
          <w:szCs w:val="24"/>
          <w:lang w:val="en"/>
        </w:rPr>
        <w:t xml:space="preserve"> </w:t>
      </w:r>
      <w:r w:rsidRPr="00302F74">
        <w:rPr>
          <w:rFonts w:ascii="Book Antiqua" w:hAnsi="Book Antiqua" w:cs="Times New Roman"/>
          <w:sz w:val="24"/>
          <w:szCs w:val="24"/>
          <w:lang w:val="en"/>
        </w:rPr>
        <w:t>Elementary lesions of PHG according to the NIEC classification include: (1) mosaic-like pattern (MLP) defined as small, polygonal areas surrounded by a whitish-yellow, depressed border. This mosaic pattern is mild when the areola is uniformly pink, moderate if the center is red, and severe if the areola is uniformly red, (2) red-point lesions defined as small, flat, 1-mm-wide, punctate, red lesions, (3) cherry-red spots defined as red, 2-mm-wide, round lesions which protrude slightly into the gastric lumen, and (4) black-brown spots defined as irregularly shaped flat black or brown spots from intramucosal hemorrhage that remain after endoscopic irrigation.</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PHG is defined as mild when only a mosaic-like pattern of any degree was present, and severe when red-point lesions, cherry red spots, or black-brown spots were present.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Due to variable data on the classification systems, Hashizume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proposed a simplified classification that divides PHG into three stages by presence of: non-specific redness, a mosaic pattern, and red spots. </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Yoo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demonstrated substantial limitations in intra-observer and inter-observer reproducibility in the most common 2-scoring and 3-scoring systems.</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Nevertheless, the 2-scoring system by McCormack </w:t>
      </w:r>
      <w:r w:rsidR="007370A1"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[3,7]</w:t>
      </w:r>
      <w:r w:rsidRPr="00302F74">
        <w:rPr>
          <w:rFonts w:ascii="Book Antiqua" w:hAnsi="Book Antiqua" w:cs="Times New Roman"/>
          <w:sz w:val="24"/>
          <w:szCs w:val="24"/>
          <w:lang w:val="en"/>
        </w:rPr>
        <w:t xml:space="preserve"> produced better and more reproducible results than the 3-scoring system by Tanoue </w:t>
      </w:r>
      <w:r w:rsidR="00B95010"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The mean inter-observer kappa value was 32% higher and mean intra-observer kappa value was 15% higher for the 2-scoring system compared with the 3-scoring system. However, both inter-observer and intra-observer kappa values in both classification systems were </w:t>
      </w:r>
      <w:r w:rsidRPr="00302F74">
        <w:rPr>
          <w:rFonts w:ascii="Book Antiqua" w:hAnsi="Book Antiqua" w:cs="Times New Roman"/>
          <w:sz w:val="24"/>
          <w:szCs w:val="24"/>
          <w:lang w:val="en"/>
        </w:rPr>
        <w:lastRenderedPageBreak/>
        <w:t>below the desirable value of &gt;</w:t>
      </w:r>
      <w:r w:rsidR="00B95010">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0.75</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Kappa values represent the degree of agreement as compared with that expected by chance alone, with one being perfect agreement, and zero being no greater agreement than expected by chance alone</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t>The Baveno scoring system uses point calculations to define PHG as mild (≤</w:t>
      </w:r>
      <w:r w:rsidR="00B95010">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 xml:space="preserve">3 points)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lang w:val="en"/>
        </w:rPr>
        <w:t xml:space="preserve"> severe (≥</w:t>
      </w:r>
      <w:r w:rsidR="00B95010">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4 points)</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This system adds GAVE into the classification</w:t>
      </w:r>
      <w:r w:rsidRPr="00302F74">
        <w:rPr>
          <w:rFonts w:ascii="Book Antiqua" w:hAnsi="Book Antiqua" w:cs="Times New Roman"/>
          <w:sz w:val="24"/>
          <w:szCs w:val="24"/>
          <w:vertAlign w:val="superscript"/>
          <w:lang w:val="en"/>
        </w:rPr>
        <w:t>[1</w:t>
      </w:r>
      <w:r w:rsidR="008F5BFB" w:rsidRPr="00302F74">
        <w:rPr>
          <w:rFonts w:ascii="Book Antiqua" w:hAnsi="Book Antiqua" w:cs="Times New Roman"/>
          <w:sz w:val="24"/>
          <w:szCs w:val="24"/>
          <w:vertAlign w:val="superscript"/>
          <w:lang w:val="en"/>
        </w:rPr>
        <w:t>79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Stewart </w:t>
      </w:r>
      <w:r w:rsidR="00B95010"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w:t>
      </w:r>
      <w:r w:rsidR="008F5BFB" w:rsidRPr="00302F74">
        <w:rPr>
          <w:rFonts w:ascii="Book Antiqua" w:hAnsi="Book Antiqua" w:cs="Times New Roman"/>
          <w:sz w:val="24"/>
          <w:szCs w:val="24"/>
          <w:vertAlign w:val="superscript"/>
          <w:lang w:val="en"/>
        </w:rPr>
        <w:t>79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showed that this scoring system was reproducible and accurately reflected the risk of PHG-related bleeding in cirrhotic patients. Kappa values for mucosal mosaic pattern, red marks, and GAVE were &gt;</w:t>
      </w:r>
      <w:r w:rsidR="00B95010">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0.75, indicating good reproducibility. Kappa values for lesion severity were lower, attributed to loss of details in endoscopic photographs.</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De Macedo </w:t>
      </w:r>
      <w:r w:rsidR="00B95010"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proposed analyzing binary criteria such as presence </w:t>
      </w:r>
      <w:r w:rsidR="00F34508" w:rsidRPr="00F34508">
        <w:rPr>
          <w:rFonts w:ascii="Book Antiqua" w:hAnsi="Book Antiqua" w:cs="Times New Roman" w:hint="eastAsia"/>
          <w:i/>
          <w:sz w:val="24"/>
          <w:szCs w:val="24"/>
          <w:lang w:eastAsia="zh-CN"/>
        </w:rPr>
        <w:t>vs</w:t>
      </w:r>
      <w:r w:rsidRPr="00302F74">
        <w:rPr>
          <w:rFonts w:ascii="Book Antiqua" w:hAnsi="Book Antiqua" w:cs="Times New Roman"/>
          <w:sz w:val="24"/>
          <w:szCs w:val="24"/>
          <w:lang w:val="en"/>
        </w:rPr>
        <w:t xml:space="preserve"> absence of mosaic-like pattern, red punctate lesions, and cherry-red spots, without subdivisions or classification systems. These binary criteria were associated with high inter-observer reliability and accuracy (94%, 81%, and 83% respectively). Mosaic-like pattern was associated with high sensitivity (100%). The previously used classifications and subdivisions showed unsatisfactory reliability and low inter-observer agreement. </w:t>
      </w:r>
    </w:p>
    <w:p w:rsidR="00C9325C" w:rsidRDefault="00C9325C" w:rsidP="00FA6CCE">
      <w:pPr>
        <w:widowControl w:val="0"/>
        <w:spacing w:line="360" w:lineRule="auto"/>
        <w:ind w:firstLine="720"/>
        <w:jc w:val="both"/>
        <w:rPr>
          <w:rFonts w:ascii="Book Antiqua" w:hAnsi="Book Antiqua" w:cs="Times New Roman"/>
          <w:sz w:val="24"/>
          <w:szCs w:val="24"/>
          <w:lang w:val="en" w:eastAsia="zh-CN"/>
        </w:rPr>
      </w:pPr>
      <w:r w:rsidRPr="00302F74">
        <w:rPr>
          <w:rFonts w:ascii="Book Antiqua" w:hAnsi="Book Antiqua" w:cs="Times New Roman"/>
          <w:sz w:val="24"/>
          <w:szCs w:val="24"/>
          <w:lang w:val="en"/>
        </w:rPr>
        <w:t>Current classification systems are suboptimal.</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 ideal classification system should be simple, clinically useful, accurate, and reproducible with high levels of intra-observer and inter-observer agreement</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The </w:t>
      </w:r>
      <w:r w:rsidRPr="00302F74">
        <w:rPr>
          <w:rFonts w:ascii="Book Antiqua" w:hAnsi="Book Antiqua" w:cs="Times New Roman"/>
          <w:sz w:val="24"/>
          <w:szCs w:val="24"/>
          <w:lang w:val="en"/>
        </w:rPr>
        <w:t>2-scoring system is most commonly used due to relative simplicity and reasonable reproducibility</w:t>
      </w:r>
      <w:r w:rsidRPr="00302F74">
        <w:rPr>
          <w:rFonts w:ascii="Book Antiqua" w:hAnsi="Book Antiqua" w:cs="Times New Roman"/>
          <w:sz w:val="24"/>
          <w:szCs w:val="24"/>
          <w:vertAlign w:val="superscript"/>
          <w:lang w:val="en"/>
        </w:rPr>
        <w:t>[71]</w:t>
      </w:r>
      <w:r w:rsidRPr="00302F74">
        <w:rPr>
          <w:rFonts w:ascii="Book Antiqua" w:hAnsi="Book Antiqua" w:cs="Times New Roman"/>
          <w:sz w:val="24"/>
          <w:szCs w:val="24"/>
          <w:lang w:val="en"/>
        </w:rPr>
        <w:t>.</w:t>
      </w:r>
    </w:p>
    <w:p w:rsidR="00B95010" w:rsidRPr="00302F74" w:rsidRDefault="00B95010" w:rsidP="00FA6CCE">
      <w:pPr>
        <w:widowControl w:val="0"/>
        <w:spacing w:line="360" w:lineRule="auto"/>
        <w:ind w:firstLine="720"/>
        <w:jc w:val="both"/>
        <w:rPr>
          <w:rFonts w:ascii="Book Antiqua" w:hAnsi="Book Antiqua" w:cs="Times New Roman"/>
          <w:sz w:val="24"/>
          <w:szCs w:val="24"/>
          <w:lang w:val="en" w:eastAsia="zh-CN"/>
        </w:rPr>
      </w:pPr>
    </w:p>
    <w:p w:rsidR="00C9325C" w:rsidRPr="0030725D" w:rsidRDefault="00C9325C" w:rsidP="00B95010">
      <w:pPr>
        <w:widowControl w:val="0"/>
        <w:spacing w:line="360" w:lineRule="auto"/>
        <w:jc w:val="both"/>
        <w:rPr>
          <w:rFonts w:ascii="Book Antiqua" w:hAnsi="Book Antiqua" w:cs="Times New Roman"/>
          <w:b/>
          <w:sz w:val="24"/>
          <w:szCs w:val="24"/>
          <w:lang w:val="en"/>
        </w:rPr>
      </w:pPr>
      <w:r w:rsidRPr="0030725D">
        <w:rPr>
          <w:rFonts w:ascii="Book Antiqua" w:hAnsi="Book Antiqua" w:cs="Times New Roman"/>
          <w:b/>
          <w:sz w:val="24"/>
          <w:szCs w:val="24"/>
          <w:lang w:val="en"/>
        </w:rPr>
        <w:t>Capsule endoscopy</w:t>
      </w:r>
      <w:r w:rsidR="0030725D">
        <w:rPr>
          <w:rFonts w:ascii="Book Antiqua" w:hAnsi="Book Antiqua" w:cs="Times New Roman" w:hint="eastAsia"/>
          <w:b/>
          <w:sz w:val="24"/>
          <w:szCs w:val="24"/>
          <w:lang w:val="en" w:eastAsia="zh-CN"/>
        </w:rPr>
        <w:t xml:space="preserve">: </w:t>
      </w:r>
      <w:r w:rsidRPr="00302F74">
        <w:rPr>
          <w:rFonts w:ascii="Book Antiqua" w:hAnsi="Book Antiqua" w:cs="Times New Roman"/>
          <w:sz w:val="24"/>
          <w:szCs w:val="24"/>
          <w:lang w:val="en"/>
        </w:rPr>
        <w:t>Several studies evaluated the diagnostic accuracy of capsule endoscopy.</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In a study using the PillCam ESO capsule, capsule endoscopy had an overall concordance with EGD of 90.6% for PHG</w:t>
      </w:r>
      <w:r w:rsidRPr="00302F74">
        <w:rPr>
          <w:rFonts w:ascii="Book Antiqua" w:hAnsi="Book Antiqua" w:cs="Times New Roman"/>
          <w:sz w:val="24"/>
          <w:szCs w:val="24"/>
          <w:vertAlign w:val="superscript"/>
          <w:lang w:val="en"/>
        </w:rPr>
        <w:t>[18</w:t>
      </w:r>
      <w:r w:rsidR="008F5BFB" w:rsidRPr="00302F74">
        <w:rPr>
          <w:rFonts w:ascii="Book Antiqua" w:hAnsi="Book Antiqua" w:cs="Times New Roman"/>
          <w:sz w:val="24"/>
          <w:szCs w:val="24"/>
          <w:vertAlign w:val="superscript"/>
          <w:lang w:val="en"/>
        </w:rPr>
        <w:t>8</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This study included only 32 patients of whom 19 had PHG, and a large trial is underway to confirm these findings. In another study, PHG was identified by capsule endoscopy in 13 (68.4%) of 19 patients with cirrhosis, portal hypertension, and chronic anemia, but the 19 patients did not undergo EGD to determine capsule endoscopy test sensitivity and specificity</w:t>
      </w:r>
      <w:r w:rsidRPr="00302F74">
        <w:rPr>
          <w:rFonts w:ascii="Book Antiqua" w:hAnsi="Book Antiqua" w:cs="Times New Roman"/>
          <w:sz w:val="24"/>
          <w:szCs w:val="24"/>
          <w:vertAlign w:val="superscript"/>
          <w:lang w:val="en"/>
        </w:rPr>
        <w:t>[49]</w:t>
      </w:r>
      <w:r w:rsidRPr="00302F74">
        <w:rPr>
          <w:rFonts w:ascii="Book Antiqua" w:hAnsi="Book Antiqua" w:cs="Times New Roman"/>
          <w:sz w:val="24"/>
          <w:szCs w:val="24"/>
          <w:lang w:val="en"/>
        </w:rPr>
        <w:t xml:space="preserve">. In a study of 50 patients with cirrhosis undergoing both EGD and capsule endoscopy for screening or surveillance of esophageal varices, capsule endoscopy had an accuracy of </w:t>
      </w:r>
      <w:r w:rsidRPr="00302F74">
        <w:rPr>
          <w:rFonts w:ascii="Book Antiqua" w:hAnsi="Book Antiqua" w:cs="Times New Roman"/>
          <w:sz w:val="24"/>
          <w:szCs w:val="24"/>
          <w:lang w:val="en"/>
        </w:rPr>
        <w:lastRenderedPageBreak/>
        <w:t>57%, sensitivity of 96%, and specificity of 17% compared to EGD.</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Inter-observer reliability was 0.61. The researchers concluded that more data are required to assess accuracy of capsule endoscopy for diagnosis and staging of PHG</w:t>
      </w:r>
      <w:r w:rsidRPr="00302F74">
        <w:rPr>
          <w:rFonts w:ascii="Book Antiqua" w:hAnsi="Book Antiqua" w:cs="Times New Roman"/>
          <w:sz w:val="24"/>
          <w:szCs w:val="24"/>
          <w:vertAlign w:val="superscript"/>
          <w:lang w:val="en"/>
        </w:rPr>
        <w:t>[52]</w:t>
      </w:r>
      <w:r w:rsidRPr="00302F74">
        <w:rPr>
          <w:rFonts w:ascii="Book Antiqua" w:hAnsi="Book Antiqua" w:cs="Times New Roman"/>
          <w:sz w:val="24"/>
          <w:szCs w:val="24"/>
          <w:lang w:val="en"/>
        </w:rPr>
        <w:t>. In another study of 50 patients with portal hypertension undergoing EGD and capsule endoscopy, only 24 of 35 patients with PHG diagnosed by EGD had PHG detected by capsule endoscopy (sensitivity</w:t>
      </w:r>
      <w:r w:rsidR="00B95010">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w:t>
      </w:r>
      <w:r w:rsidR="00B95010">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69%)</w:t>
      </w:r>
      <w:r w:rsidRPr="00302F74">
        <w:rPr>
          <w:rFonts w:ascii="Book Antiqua" w:hAnsi="Book Antiqua" w:cs="Times New Roman"/>
          <w:sz w:val="24"/>
          <w:szCs w:val="24"/>
          <w:vertAlign w:val="superscript"/>
          <w:lang w:val="en"/>
        </w:rPr>
        <w:t>[23]</w:t>
      </w:r>
      <w:r w:rsidRPr="00302F74">
        <w:rPr>
          <w:rFonts w:ascii="Book Antiqua" w:hAnsi="Book Antiqua" w:cs="Times New Roman"/>
          <w:sz w:val="24"/>
          <w:szCs w:val="24"/>
          <w:lang w:val="en"/>
        </w:rPr>
        <w:t xml:space="preserve">. Capsule endoscopy was somewhat more sensitive at detecting severe than mild PHG (82%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lang w:val="en"/>
        </w:rPr>
        <w:t xml:space="preserve"> 63%), but this difference was not significant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00410F62"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Pr="00302F74">
        <w:rPr>
          <w:rFonts w:ascii="Book Antiqua" w:hAnsi="Book Antiqua" w:cs="Times New Roman"/>
          <w:sz w:val="24"/>
          <w:szCs w:val="24"/>
          <w:lang w:val="en"/>
        </w:rPr>
        <w:t>0.44). The accuracy was significantly higher in diagnosing PHG in the gastric body (100%) than the fundus (48%)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00410F62"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Pr="00302F74">
        <w:rPr>
          <w:rFonts w:ascii="Book Antiqua" w:hAnsi="Book Antiqua" w:cs="Times New Roman"/>
          <w:sz w:val="24"/>
          <w:szCs w:val="24"/>
          <w:lang w:val="en"/>
        </w:rPr>
        <w:t>0.0009).</w:t>
      </w:r>
    </w:p>
    <w:p w:rsidR="00B95010" w:rsidRPr="0030725D" w:rsidRDefault="00B95010" w:rsidP="00B95010">
      <w:pPr>
        <w:widowControl w:val="0"/>
        <w:spacing w:line="360" w:lineRule="auto"/>
        <w:jc w:val="both"/>
        <w:rPr>
          <w:rFonts w:ascii="Book Antiqua" w:hAnsi="Book Antiqua" w:cs="Times New Roman"/>
          <w:sz w:val="24"/>
          <w:szCs w:val="24"/>
          <w:lang w:val="en" w:eastAsia="zh-CN"/>
        </w:rPr>
      </w:pPr>
    </w:p>
    <w:p w:rsidR="00C9325C" w:rsidRPr="0030725D" w:rsidRDefault="00C9325C" w:rsidP="00B95010">
      <w:pPr>
        <w:widowControl w:val="0"/>
        <w:spacing w:line="360" w:lineRule="auto"/>
        <w:jc w:val="both"/>
        <w:rPr>
          <w:rFonts w:ascii="Book Antiqua" w:hAnsi="Book Antiqua" w:cs="Times New Roman"/>
          <w:b/>
          <w:sz w:val="24"/>
          <w:szCs w:val="24"/>
          <w:lang w:val="en"/>
        </w:rPr>
      </w:pPr>
      <w:r w:rsidRPr="0030725D">
        <w:rPr>
          <w:rFonts w:ascii="Book Antiqua" w:hAnsi="Book Antiqua" w:cs="Times New Roman"/>
          <w:b/>
          <w:sz w:val="24"/>
          <w:szCs w:val="24"/>
          <w:lang w:val="en"/>
        </w:rPr>
        <w:t>Dynamic CT</w:t>
      </w:r>
      <w:r w:rsidR="0030725D">
        <w:rPr>
          <w:rFonts w:ascii="Book Antiqua" w:hAnsi="Book Antiqua" w:cs="Times New Roman" w:hint="eastAsia"/>
          <w:b/>
          <w:sz w:val="24"/>
          <w:szCs w:val="24"/>
          <w:lang w:val="en" w:eastAsia="zh-CN"/>
        </w:rPr>
        <w:t xml:space="preserve">: </w:t>
      </w:r>
      <w:r w:rsidRPr="00302F74">
        <w:rPr>
          <w:rFonts w:ascii="Book Antiqua" w:hAnsi="Book Antiqua" w:cs="Times New Roman"/>
          <w:sz w:val="24"/>
          <w:szCs w:val="24"/>
          <w:lang w:val="en"/>
        </w:rPr>
        <w:t xml:space="preserve">Kim </w:t>
      </w:r>
      <w:r w:rsidR="00B95010"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[50]</w:t>
      </w:r>
      <w:r w:rsidRPr="00302F74">
        <w:rPr>
          <w:rFonts w:ascii="Book Antiqua" w:hAnsi="Book Antiqua" w:cs="Times New Roman"/>
          <w:sz w:val="24"/>
          <w:szCs w:val="24"/>
          <w:lang w:val="en"/>
        </w:rPr>
        <w:t xml:space="preserve"> proposed using dynamic CT to diagnose PHG by demonstrating the transient perfusion defect sign, defined as the presence of transient segmental or subsegmental hypo-attenuating mucosa in the gastric fundus or body during hepatic arterial imaging that returns to normal attenuation on portal venous or equilibrium-phase imaging. This sign had a sensitivity of 75%, specificity of 88.6%, positive predictive value of 90%, and negative predictive value of 72.1% for diagnosing PHG in patients with cirrhosis. Further prospective trials are required to validate this diagnostic modality. </w:t>
      </w:r>
    </w:p>
    <w:p w:rsidR="00C9325C" w:rsidRDefault="00C9325C" w:rsidP="00FA6CCE">
      <w:pPr>
        <w:widowControl w:val="0"/>
        <w:spacing w:line="360" w:lineRule="auto"/>
        <w:ind w:firstLine="720"/>
        <w:jc w:val="both"/>
        <w:rPr>
          <w:rFonts w:ascii="Book Antiqua" w:hAnsi="Book Antiqua" w:cs="Times New Roman"/>
          <w:sz w:val="24"/>
          <w:szCs w:val="24"/>
          <w:lang w:val="en" w:eastAsia="zh-CN"/>
        </w:rPr>
      </w:pPr>
      <w:r w:rsidRPr="00302F74">
        <w:rPr>
          <w:rFonts w:ascii="Book Antiqua" w:hAnsi="Book Antiqua" w:cs="Times New Roman"/>
          <w:sz w:val="24"/>
          <w:szCs w:val="24"/>
          <w:lang w:val="en"/>
        </w:rPr>
        <w:t>Screening for PHG is currently not recommended in patients with liver disease</w:t>
      </w:r>
      <w:r w:rsidRPr="00302F74">
        <w:rPr>
          <w:rFonts w:ascii="Book Antiqua" w:hAnsi="Book Antiqua" w:cs="Times New Roman"/>
          <w:sz w:val="24"/>
          <w:szCs w:val="24"/>
          <w:vertAlign w:val="superscript"/>
          <w:lang w:val="en"/>
        </w:rPr>
        <w:t>[1</w:t>
      </w:r>
      <w:r w:rsidR="008F5BFB" w:rsidRPr="00302F74">
        <w:rPr>
          <w:rFonts w:ascii="Book Antiqua" w:hAnsi="Book Antiqua" w:cs="Times New Roman"/>
          <w:sz w:val="24"/>
          <w:szCs w:val="24"/>
          <w:vertAlign w:val="superscript"/>
          <w:lang w:val="en"/>
        </w:rPr>
        <w:t>89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To identify predictors of PHG and varices noninvasively in patients with chronic liver disease to increase the cost-benefits of EGD, Min </w:t>
      </w:r>
      <w:r w:rsidR="00B95010"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[19</w:t>
      </w:r>
      <w:r w:rsidR="008F5BFB"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combined three independent parameters in a multivariate analysis into a </w:t>
      </w:r>
      <w:r w:rsidR="00B95010">
        <w:rPr>
          <w:rFonts w:ascii="Book Antiqua" w:hAnsi="Book Antiqua" w:cs="Times New Roman"/>
          <w:sz w:val="24"/>
          <w:szCs w:val="24"/>
          <w:lang w:val="en" w:eastAsia="zh-CN"/>
        </w:rPr>
        <w:t>“</w:t>
      </w:r>
      <w:r w:rsidRPr="00302F74">
        <w:rPr>
          <w:rFonts w:ascii="Book Antiqua" w:hAnsi="Book Antiqua" w:cs="Times New Roman"/>
          <w:sz w:val="24"/>
          <w:szCs w:val="24"/>
          <w:lang w:val="en"/>
        </w:rPr>
        <w:t>Varices and PHG</w:t>
      </w:r>
      <w:r w:rsidR="00B95010">
        <w:rPr>
          <w:rFonts w:ascii="Book Antiqua" w:hAnsi="Book Antiqua" w:cs="Times New Roman"/>
          <w:sz w:val="24"/>
          <w:szCs w:val="24"/>
          <w:lang w:val="en" w:eastAsia="zh-CN"/>
        </w:rPr>
        <w:t>”</w:t>
      </w:r>
      <w:r w:rsidRPr="00302F74">
        <w:rPr>
          <w:rFonts w:ascii="Book Antiqua" w:hAnsi="Book Antiqua" w:cs="Times New Roman"/>
          <w:sz w:val="24"/>
          <w:szCs w:val="24"/>
          <w:lang w:val="en"/>
        </w:rPr>
        <w:t xml:space="preserve"> (VAP) score.</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 score</w:t>
      </w:r>
      <w:r w:rsidR="00B95010">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w:t>
      </w:r>
      <w:r w:rsidR="00B95010">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platelets/mm</w:t>
      </w:r>
      <w:r w:rsidRPr="00302F74">
        <w:rPr>
          <w:rFonts w:ascii="Book Antiqua" w:hAnsi="Book Antiqua" w:cs="Times New Roman"/>
          <w:sz w:val="24"/>
          <w:szCs w:val="24"/>
          <w:vertAlign w:val="superscript"/>
          <w:lang w:val="en"/>
        </w:rPr>
        <w:t xml:space="preserve">3 </w:t>
      </w:r>
      <w:r w:rsidR="00B95010">
        <w:rPr>
          <w:rFonts w:ascii="Book Antiqua" w:hAnsi="Book Antiqua" w:cs="Times New Roman"/>
          <w:sz w:val="24"/>
          <w:szCs w:val="24"/>
          <w:lang w:val="en"/>
        </w:rPr>
        <w:t>× albumin in g/dL/</w:t>
      </w:r>
      <w:r w:rsidRPr="00302F74">
        <w:rPr>
          <w:rFonts w:ascii="Book Antiqua" w:hAnsi="Book Antiqua" w:cs="Times New Roman"/>
          <w:sz w:val="24"/>
          <w:szCs w:val="24"/>
          <w:lang w:val="en"/>
        </w:rPr>
        <w:t>M-Index in cm</w:t>
      </w:r>
      <w:r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rPr>
        <w:t xml:space="preserve">The M-Index (multidimensional index for spleen volume) calculated from spleen length, width, and thickness, as determined by helical computerized tomography. is designed to reflect splenomegaly as a predictor of esophageal varices and PHG. </w:t>
      </w:r>
      <w:r w:rsidRPr="00302F74">
        <w:rPr>
          <w:rFonts w:ascii="Book Antiqua" w:hAnsi="Book Antiqua" w:cs="Times New Roman"/>
          <w:sz w:val="24"/>
          <w:szCs w:val="24"/>
          <w:lang w:val="en"/>
        </w:rPr>
        <w:t>A VAP cut-off value of 861 had a sensitivity of 85%, positive likelihood ratio of 3.17, and negative predictive value of 86%. This scoring system requires prospective validation</w:t>
      </w:r>
      <w:r w:rsidRPr="00302F74">
        <w:rPr>
          <w:rFonts w:ascii="Book Antiqua" w:hAnsi="Book Antiqua" w:cs="Times New Roman"/>
          <w:sz w:val="24"/>
          <w:szCs w:val="24"/>
          <w:vertAlign w:val="superscript"/>
          <w:lang w:val="en"/>
        </w:rPr>
        <w:t>[19</w:t>
      </w:r>
      <w:r w:rsidR="008F5BFB"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B95010" w:rsidRPr="0030725D" w:rsidRDefault="00B95010" w:rsidP="00FA6CCE">
      <w:pPr>
        <w:widowControl w:val="0"/>
        <w:spacing w:line="360" w:lineRule="auto"/>
        <w:ind w:firstLine="720"/>
        <w:jc w:val="both"/>
        <w:rPr>
          <w:rFonts w:ascii="Book Antiqua" w:hAnsi="Book Antiqua" w:cs="Times New Roman"/>
          <w:sz w:val="24"/>
          <w:szCs w:val="24"/>
          <w:lang w:val="en" w:eastAsia="zh-CN"/>
        </w:rPr>
      </w:pPr>
    </w:p>
    <w:p w:rsidR="00C9325C" w:rsidRPr="0030725D" w:rsidRDefault="00C9325C" w:rsidP="00B95010">
      <w:pPr>
        <w:widowControl w:val="0"/>
        <w:spacing w:line="360" w:lineRule="auto"/>
        <w:jc w:val="both"/>
        <w:rPr>
          <w:rFonts w:ascii="Book Antiqua" w:hAnsi="Book Antiqua" w:cs="Times New Roman"/>
          <w:b/>
          <w:bCs/>
          <w:sz w:val="24"/>
          <w:szCs w:val="24"/>
          <w:lang w:val="en"/>
        </w:rPr>
      </w:pPr>
      <w:r w:rsidRPr="0030725D">
        <w:rPr>
          <w:rFonts w:ascii="Book Antiqua" w:hAnsi="Book Antiqua" w:cs="Times New Roman"/>
          <w:b/>
          <w:bCs/>
          <w:sz w:val="24"/>
          <w:szCs w:val="24"/>
          <w:lang w:val="en"/>
        </w:rPr>
        <w:t>Differentiation from GAVE</w:t>
      </w:r>
      <w:r w:rsidR="0030725D">
        <w:rPr>
          <w:rFonts w:ascii="Book Antiqua" w:hAnsi="Book Antiqua" w:cs="Times New Roman" w:hint="eastAsia"/>
          <w:b/>
          <w:bCs/>
          <w:sz w:val="24"/>
          <w:szCs w:val="24"/>
          <w:lang w:val="en" w:eastAsia="zh-CN"/>
        </w:rPr>
        <w:t xml:space="preserve">: </w:t>
      </w:r>
      <w:r w:rsidRPr="00302F74">
        <w:rPr>
          <w:rFonts w:ascii="Book Antiqua" w:hAnsi="Book Antiqua" w:cs="Times New Roman"/>
          <w:sz w:val="24"/>
          <w:szCs w:val="24"/>
          <w:lang w:val="en"/>
        </w:rPr>
        <w:t xml:space="preserve">Differentiation of PHG from GAVE is important because </w:t>
      </w:r>
      <w:r w:rsidRPr="00302F74">
        <w:rPr>
          <w:rFonts w:ascii="Book Antiqua" w:hAnsi="Book Antiqua" w:cs="Times New Roman"/>
          <w:sz w:val="24"/>
          <w:szCs w:val="24"/>
          <w:lang w:val="en"/>
        </w:rPr>
        <w:lastRenderedPageBreak/>
        <w:t>they have distinct pathologic, clinical, and endoscopic characteristics, and different therapies (</w:t>
      </w:r>
      <w:r w:rsidRPr="00B95010">
        <w:rPr>
          <w:rFonts w:ascii="Book Antiqua" w:hAnsi="Book Antiqua" w:cs="Times New Roman"/>
          <w:sz w:val="24"/>
          <w:szCs w:val="24"/>
          <w:lang w:val="en"/>
        </w:rPr>
        <w:t xml:space="preserve">Table </w:t>
      </w:r>
      <w:r w:rsidR="00B95010" w:rsidRPr="00B95010">
        <w:rPr>
          <w:rFonts w:ascii="Book Antiqua" w:hAnsi="Book Antiqua" w:cs="Times New Roman" w:hint="eastAsia"/>
          <w:sz w:val="24"/>
          <w:szCs w:val="24"/>
          <w:lang w:val="en" w:eastAsia="zh-CN"/>
        </w:rPr>
        <w:t>9</w:t>
      </w:r>
      <w:r w:rsidRPr="00302F74">
        <w:rPr>
          <w:rFonts w:ascii="Book Antiqua" w:hAnsi="Book Antiqua" w:cs="Times New Roman"/>
          <w:sz w:val="24"/>
          <w:szCs w:val="24"/>
          <w:lang w:val="en"/>
        </w:rPr>
        <w:t>)</w:t>
      </w:r>
      <w:r w:rsidR="0030725D" w:rsidRPr="00302F74">
        <w:rPr>
          <w:rFonts w:ascii="Book Antiqua" w:hAnsi="Book Antiqua" w:cs="Times New Roman"/>
          <w:sz w:val="24"/>
          <w:szCs w:val="24"/>
          <w:vertAlign w:val="superscript"/>
          <w:lang w:val="en"/>
        </w:rPr>
        <w:t>[34,37,71,72,75,77,103,106,191-213]</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Treatments that reduce portal pressure are effective for PHG but ineffective for GAVE</w:t>
      </w:r>
      <w:r w:rsidRPr="00302F74">
        <w:rPr>
          <w:rFonts w:ascii="Book Antiqua" w:hAnsi="Book Antiqua" w:cs="Times New Roman"/>
          <w:sz w:val="24"/>
          <w:szCs w:val="24"/>
          <w:vertAlign w:val="superscript"/>
          <w:lang w:val="en"/>
        </w:rPr>
        <w:t>[19</w:t>
      </w:r>
      <w:r w:rsidR="008A7CE2"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PHG and GAVE also affect different gastric locations.</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PHG generally affects the proximal stomach, whereas GAVE generally affects the distal stomach</w:t>
      </w:r>
      <w:r w:rsidRPr="00302F74">
        <w:rPr>
          <w:rFonts w:ascii="Book Antiqua" w:hAnsi="Book Antiqua" w:cs="Times New Roman"/>
          <w:sz w:val="24"/>
          <w:szCs w:val="24"/>
          <w:vertAlign w:val="superscript"/>
          <w:lang w:val="en"/>
        </w:rPr>
        <w:t>[1</w:t>
      </w:r>
      <w:r w:rsidR="008A7CE2" w:rsidRPr="00302F74">
        <w:rPr>
          <w:rFonts w:ascii="Book Antiqua" w:hAnsi="Book Antiqua" w:cs="Times New Roman"/>
          <w:sz w:val="24"/>
          <w:szCs w:val="24"/>
          <w:vertAlign w:val="superscript"/>
          <w:lang w:val="en"/>
        </w:rPr>
        <w:t>39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A mosaic-like pattern surrounding polygonal areas of erythema is typical for PHG, but GAVE has erythema most commonly arranged linearly along folds in the antrum, less commonly arranged as diffuse erythema in the antrum, and least commonly arranged as diffuse gastric erythema</w:t>
      </w:r>
      <w:r w:rsidRPr="00302F74">
        <w:rPr>
          <w:rFonts w:ascii="Book Antiqua" w:hAnsi="Book Antiqua" w:cs="Times New Roman"/>
          <w:sz w:val="24"/>
          <w:szCs w:val="24"/>
          <w:vertAlign w:val="superscript"/>
          <w:lang w:val="en"/>
        </w:rPr>
        <w:t>[75,78,9</w:t>
      </w:r>
      <w:r w:rsidR="008A7CE2"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lang w:val="en"/>
        </w:rPr>
        <w:t>PHG is usually diagnosed by endoscopic criteria. When endoscopic features are uncertain, histologic analysis of gastric biopsies is useful</w:t>
      </w:r>
      <w:r w:rsidR="00361EEA">
        <w:rPr>
          <w:rFonts w:ascii="Book Antiqua" w:hAnsi="Book Antiqua" w:cs="Times New Roman"/>
          <w:sz w:val="24"/>
          <w:szCs w:val="24"/>
          <w:lang w:val="en"/>
        </w:rPr>
        <w:t xml:space="preserve"> to differentiate PHG from GAVE</w:t>
      </w:r>
      <w:r w:rsidRPr="00302F74">
        <w:rPr>
          <w:rFonts w:ascii="Book Antiqua" w:hAnsi="Book Antiqua" w:cs="Times New Roman"/>
          <w:sz w:val="24"/>
          <w:szCs w:val="24"/>
          <w:vertAlign w:val="superscript"/>
          <w:lang w:val="en"/>
        </w:rPr>
        <w:t>[8</w:t>
      </w:r>
      <w:r w:rsidR="008A7CE2"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,18</w:t>
      </w:r>
      <w:r w:rsidR="008A7CE2"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,19</w:t>
      </w:r>
      <w:r w:rsidR="008A7CE2"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,21</w:t>
      </w:r>
      <w:r w:rsidR="008A7CE2"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Superficial mucosal biopsies are frequently falsely negative because the lesions of PHG are generally submucosal</w:t>
      </w:r>
      <w:r w:rsidRPr="00302F74">
        <w:rPr>
          <w:rFonts w:ascii="Book Antiqua" w:hAnsi="Book Antiqua" w:cs="Times New Roman"/>
          <w:sz w:val="24"/>
          <w:szCs w:val="24"/>
          <w:vertAlign w:val="superscript"/>
          <w:lang w:val="en"/>
        </w:rPr>
        <w:t>[21</w:t>
      </w:r>
      <w:r w:rsidR="008A7CE2"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,21</w:t>
      </w:r>
      <w:r w:rsidR="008A7CE2"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Endoscopists are reluctant to perform deep biopsies in patients with known portal hypertension or suspected PHG because of increased risks of bleeding because of a coagulopathy from underlying cirrhosis or a bleeding diathesis from underlying portal hypertension</w:t>
      </w:r>
      <w:r w:rsidRPr="00302F74">
        <w:rPr>
          <w:rFonts w:ascii="Book Antiqua" w:hAnsi="Book Antiqua" w:cs="Times New Roman"/>
          <w:sz w:val="24"/>
          <w:szCs w:val="24"/>
          <w:vertAlign w:val="superscript"/>
          <w:lang w:val="en"/>
        </w:rPr>
        <w:t>[13</w:t>
      </w:r>
      <w:r w:rsidR="008A7CE2"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,18</w:t>
      </w:r>
      <w:r w:rsidR="008A7CE2"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However, deep biopsies may be necessary for the histologic diagnosis of PHG.</w:t>
      </w:r>
    </w:p>
    <w:p w:rsidR="00C9325C" w:rsidRDefault="00C9325C" w:rsidP="00FA6CCE">
      <w:pPr>
        <w:widowControl w:val="0"/>
        <w:spacing w:line="360" w:lineRule="auto"/>
        <w:ind w:firstLine="720"/>
        <w:jc w:val="both"/>
        <w:rPr>
          <w:rFonts w:ascii="Book Antiqua" w:hAnsi="Book Antiqua" w:cs="Times New Roman"/>
          <w:bCs/>
          <w:sz w:val="24"/>
          <w:szCs w:val="24"/>
          <w:lang w:val="en" w:eastAsia="zh-CN"/>
        </w:rPr>
      </w:pPr>
      <w:r w:rsidRPr="00302F74">
        <w:rPr>
          <w:rFonts w:ascii="Book Antiqua" w:hAnsi="Book Antiqua" w:cs="Times New Roman"/>
          <w:sz w:val="24"/>
          <w:szCs w:val="24"/>
          <w:lang w:val="en"/>
        </w:rPr>
        <w:t>Characteristic histologic findings of PHG include capillary and venule dilatation, and markedly congested and tortuous submucosal venules</w:t>
      </w:r>
      <w:r w:rsidRPr="00302F74">
        <w:rPr>
          <w:rFonts w:ascii="Book Antiqua" w:hAnsi="Book Antiqua" w:cs="Times New Roman"/>
          <w:sz w:val="24"/>
          <w:szCs w:val="24"/>
          <w:vertAlign w:val="superscript"/>
          <w:lang w:val="en"/>
        </w:rPr>
        <w:t>[13</w:t>
      </w:r>
      <w:r w:rsidR="008A7CE2"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Stromal fibrosis and edema of lamina propria can occur</w:t>
      </w:r>
      <w:r w:rsidRPr="00302F74">
        <w:rPr>
          <w:rFonts w:ascii="Book Antiqua" w:hAnsi="Book Antiqua" w:cs="Times New Roman"/>
          <w:sz w:val="24"/>
          <w:szCs w:val="24"/>
          <w:vertAlign w:val="superscript"/>
          <w:lang w:val="en"/>
        </w:rPr>
        <w:t>[13</w:t>
      </w:r>
      <w:r w:rsidR="008A7CE2" w:rsidRPr="00302F74">
        <w:rPr>
          <w:rFonts w:ascii="Book Antiqua" w:hAnsi="Book Antiqua" w:cs="Times New Roman"/>
          <w:sz w:val="24"/>
          <w:szCs w:val="24"/>
          <w:vertAlign w:val="superscript"/>
          <w:lang w:val="en"/>
        </w:rPr>
        <w:t>7</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Inflammatory cells and fibrin thrombi are generally absent</w:t>
      </w:r>
      <w:r w:rsidRPr="00302F74">
        <w:rPr>
          <w:rFonts w:ascii="Book Antiqua" w:hAnsi="Book Antiqua" w:cs="Times New Roman"/>
          <w:sz w:val="24"/>
          <w:szCs w:val="24"/>
          <w:vertAlign w:val="superscript"/>
          <w:lang w:val="en"/>
        </w:rPr>
        <w:t>[3,1</w:t>
      </w:r>
      <w:r w:rsidR="008A7CE2" w:rsidRPr="00302F74">
        <w:rPr>
          <w:rFonts w:ascii="Book Antiqua" w:hAnsi="Book Antiqua" w:cs="Times New Roman"/>
          <w:sz w:val="24"/>
          <w:szCs w:val="24"/>
          <w:vertAlign w:val="superscript"/>
          <w:lang w:val="en"/>
        </w:rPr>
        <w:t>39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Characteristic histologic features of GAVE include presence of fibrin thrombi in dilated capillaries and fibromuscular proliferation within the lamina propria</w:t>
      </w:r>
      <w:r w:rsidRPr="00302F74">
        <w:rPr>
          <w:rFonts w:ascii="Book Antiqua" w:hAnsi="Book Antiqua" w:cs="Times New Roman"/>
          <w:sz w:val="24"/>
          <w:szCs w:val="24"/>
          <w:vertAlign w:val="superscript"/>
          <w:lang w:val="en"/>
        </w:rPr>
        <w:t>[9</w:t>
      </w:r>
      <w:r w:rsidR="008A7CE2"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,21</w:t>
      </w:r>
      <w:r w:rsidR="008A7CE2" w:rsidRPr="00302F74">
        <w:rPr>
          <w:rFonts w:ascii="Book Antiqua" w:hAnsi="Book Antiqua" w:cs="Times New Roman"/>
          <w:sz w:val="24"/>
          <w:szCs w:val="24"/>
          <w:vertAlign w:val="superscript"/>
          <w:lang w:val="en"/>
        </w:rPr>
        <w:t>6</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p>
    <w:p w:rsidR="00361EEA" w:rsidRPr="00302F74" w:rsidRDefault="00361EEA" w:rsidP="00FA6CCE">
      <w:pPr>
        <w:widowControl w:val="0"/>
        <w:spacing w:line="360" w:lineRule="auto"/>
        <w:ind w:firstLine="720"/>
        <w:jc w:val="both"/>
        <w:rPr>
          <w:rFonts w:ascii="Book Antiqua" w:hAnsi="Book Antiqua" w:cs="Times New Roman"/>
          <w:bCs/>
          <w:sz w:val="24"/>
          <w:szCs w:val="24"/>
          <w:lang w:val="en" w:eastAsia="zh-CN"/>
        </w:rPr>
      </w:pPr>
    </w:p>
    <w:p w:rsidR="00C9325C" w:rsidRDefault="00C9325C" w:rsidP="00361EEA">
      <w:pPr>
        <w:widowControl w:val="0"/>
        <w:spacing w:line="360" w:lineRule="auto"/>
        <w:jc w:val="both"/>
        <w:rPr>
          <w:rFonts w:ascii="Book Antiqua" w:hAnsi="Book Antiqua" w:cs="Times New Roman"/>
          <w:b/>
          <w:bCs/>
          <w:sz w:val="24"/>
          <w:szCs w:val="24"/>
          <w:lang w:val="en"/>
        </w:rPr>
      </w:pPr>
      <w:r w:rsidRPr="00F63BBD">
        <w:rPr>
          <w:rFonts w:ascii="Book Antiqua" w:hAnsi="Book Antiqua" w:cs="Times New Roman"/>
          <w:b/>
          <w:bCs/>
          <w:sz w:val="24"/>
          <w:szCs w:val="24"/>
          <w:lang w:val="en"/>
        </w:rPr>
        <w:t>Differentiating GI bleeding from varices</w:t>
      </w:r>
      <w:r w:rsidRPr="00F63BBD">
        <w:rPr>
          <w:rFonts w:ascii="Book Antiqua" w:hAnsi="Book Antiqua" w:cs="Times New Roman"/>
          <w:b/>
          <w:bCs/>
          <w:i/>
          <w:sz w:val="24"/>
          <w:szCs w:val="24"/>
          <w:lang w:val="en"/>
        </w:rPr>
        <w:t xml:space="preserve"> </w:t>
      </w:r>
      <w:r w:rsidR="00F34508" w:rsidRPr="00F63BBD">
        <w:rPr>
          <w:rFonts w:ascii="Book Antiqua" w:hAnsi="Book Antiqua" w:cs="Times New Roman" w:hint="eastAsia"/>
          <w:i/>
          <w:sz w:val="24"/>
          <w:szCs w:val="24"/>
          <w:lang w:eastAsia="zh-CN"/>
        </w:rPr>
        <w:t>vs</w:t>
      </w:r>
      <w:r w:rsidRPr="00F63BBD">
        <w:rPr>
          <w:rFonts w:ascii="Book Antiqua" w:hAnsi="Book Antiqua" w:cs="Times New Roman"/>
          <w:b/>
          <w:bCs/>
          <w:sz w:val="24"/>
          <w:szCs w:val="24"/>
          <w:lang w:val="en"/>
        </w:rPr>
        <w:t xml:space="preserve"> PHG</w:t>
      </w:r>
      <w:r w:rsidR="00F63BBD">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rPr>
        <w:t>PHG may occasionally resemble gastric varices at EGD.</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PHG can be prominent on gastric rugae in the gastric body and fundus.</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The intraluminal linear projections of gastric rugae might superficially resemble that of gastric varices.</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However, gastric varices tend to be more serpiginous than linear and tend to be grayish due to the presence of deoxygenated venous blood within varices, whereas the lesions of PHG on gastric rugae tend to be erythematous and surrounded by a prominent mosaic pattern. It is also important to distinguish between </w:t>
      </w:r>
      <w:r w:rsidRPr="00302F74">
        <w:rPr>
          <w:rFonts w:ascii="Book Antiqua" w:hAnsi="Book Antiqua" w:cs="Times New Roman"/>
          <w:bCs/>
          <w:sz w:val="24"/>
          <w:szCs w:val="24"/>
        </w:rPr>
        <w:lastRenderedPageBreak/>
        <w:t xml:space="preserve">GI bleeding from esophageal varices </w:t>
      </w:r>
      <w:r w:rsidR="00F34508" w:rsidRPr="00F34508">
        <w:rPr>
          <w:rFonts w:ascii="Book Antiqua" w:hAnsi="Book Antiqua" w:cs="Times New Roman" w:hint="eastAsia"/>
          <w:i/>
          <w:sz w:val="24"/>
          <w:szCs w:val="24"/>
          <w:lang w:eastAsia="zh-CN"/>
        </w:rPr>
        <w:t>vs</w:t>
      </w:r>
      <w:r w:rsidRPr="00302F74">
        <w:rPr>
          <w:rFonts w:ascii="Book Antiqua" w:hAnsi="Book Antiqua" w:cs="Times New Roman"/>
          <w:bCs/>
          <w:sz w:val="24"/>
          <w:szCs w:val="24"/>
        </w:rPr>
        <w:t xml:space="preserve"> PHG in patients having both lesions.</w:t>
      </w:r>
      <w:r w:rsidR="00963345">
        <w:rPr>
          <w:rFonts w:ascii="Book Antiqua" w:hAnsi="Book Antiqua" w:cs="Times New Roman"/>
          <w:bCs/>
          <w:sz w:val="24"/>
          <w:szCs w:val="24"/>
        </w:rPr>
        <w:t xml:space="preserve"> </w:t>
      </w:r>
      <w:r w:rsidRPr="00361EEA">
        <w:rPr>
          <w:rFonts w:ascii="Book Antiqua" w:hAnsi="Book Antiqua" w:cs="Times New Roman"/>
          <w:bCs/>
          <w:sz w:val="24"/>
          <w:szCs w:val="24"/>
        </w:rPr>
        <w:t xml:space="preserve">Table </w:t>
      </w:r>
      <w:r w:rsidR="00361EEA" w:rsidRPr="00361EEA">
        <w:rPr>
          <w:rFonts w:ascii="Book Antiqua" w:hAnsi="Book Antiqua" w:cs="Times New Roman" w:hint="eastAsia"/>
          <w:bCs/>
          <w:sz w:val="24"/>
          <w:szCs w:val="24"/>
          <w:lang w:eastAsia="zh-CN"/>
        </w:rPr>
        <w:t>10</w:t>
      </w:r>
      <w:r w:rsidRPr="00302F74">
        <w:rPr>
          <w:rFonts w:ascii="Book Antiqua" w:hAnsi="Book Antiqua" w:cs="Times New Roman"/>
          <w:bCs/>
          <w:sz w:val="24"/>
          <w:szCs w:val="24"/>
        </w:rPr>
        <w:t xml:space="preserve"> outlines differences in GI bleeding from </w:t>
      </w:r>
      <w:r w:rsidRPr="00302F74">
        <w:rPr>
          <w:rFonts w:ascii="Book Antiqua" w:hAnsi="Book Antiqua" w:cs="Times New Roman"/>
          <w:bCs/>
          <w:sz w:val="24"/>
          <w:szCs w:val="24"/>
          <w:lang w:val="en"/>
        </w:rPr>
        <w:t xml:space="preserve">PGH </w:t>
      </w:r>
      <w:r w:rsidR="00F34508" w:rsidRPr="00F34508">
        <w:rPr>
          <w:rFonts w:ascii="Book Antiqua" w:hAnsi="Book Antiqua" w:cs="Times New Roman" w:hint="eastAsia"/>
          <w:i/>
          <w:sz w:val="24"/>
          <w:szCs w:val="24"/>
          <w:lang w:eastAsia="zh-CN"/>
        </w:rPr>
        <w:t>vs</w:t>
      </w:r>
      <w:r w:rsidRPr="00302F74">
        <w:rPr>
          <w:rFonts w:ascii="Book Antiqua" w:hAnsi="Book Antiqua" w:cs="Times New Roman"/>
          <w:bCs/>
          <w:sz w:val="24"/>
          <w:szCs w:val="24"/>
          <w:lang w:val="en"/>
        </w:rPr>
        <w:t xml:space="preserve"> esophageal varices.</w:t>
      </w:r>
      <w:r w:rsidRPr="00302F74">
        <w:rPr>
          <w:rFonts w:ascii="Book Antiqua" w:hAnsi="Book Antiqua" w:cs="Times New Roman"/>
          <w:b/>
          <w:bCs/>
          <w:sz w:val="24"/>
          <w:szCs w:val="24"/>
          <w:lang w:val="en"/>
        </w:rPr>
        <w:t xml:space="preserve"> </w:t>
      </w:r>
    </w:p>
    <w:p w:rsidR="001F3D57" w:rsidRPr="00F63BBD" w:rsidRDefault="001F3D57" w:rsidP="00361EEA">
      <w:pPr>
        <w:widowControl w:val="0"/>
        <w:spacing w:line="360" w:lineRule="auto"/>
        <w:jc w:val="both"/>
        <w:rPr>
          <w:rFonts w:ascii="Book Antiqua" w:hAnsi="Book Antiqua" w:cs="Times New Roman"/>
          <w:b/>
          <w:bCs/>
          <w:i/>
          <w:sz w:val="24"/>
          <w:szCs w:val="24"/>
          <w:lang w:val="en" w:eastAsia="zh-CN"/>
        </w:rPr>
      </w:pPr>
    </w:p>
    <w:p w:rsidR="00C9325C" w:rsidRPr="00F63BBD" w:rsidRDefault="00C9325C" w:rsidP="00FA6CCE">
      <w:pPr>
        <w:widowControl w:val="0"/>
        <w:spacing w:line="360" w:lineRule="auto"/>
        <w:jc w:val="both"/>
        <w:rPr>
          <w:rFonts w:ascii="Book Antiqua" w:hAnsi="Book Antiqua" w:cs="Times New Roman"/>
          <w:b/>
          <w:bCs/>
          <w:i/>
          <w:sz w:val="24"/>
          <w:szCs w:val="24"/>
          <w:lang w:val="en"/>
        </w:rPr>
      </w:pPr>
      <w:r w:rsidRPr="00F63BBD">
        <w:rPr>
          <w:rFonts w:ascii="Book Antiqua" w:hAnsi="Book Antiqua" w:cs="Times New Roman"/>
          <w:b/>
          <w:bCs/>
          <w:i/>
          <w:sz w:val="24"/>
          <w:szCs w:val="24"/>
          <w:lang w:val="en"/>
        </w:rPr>
        <w:t>C</w:t>
      </w:r>
      <w:r w:rsidR="00F63BBD" w:rsidRPr="00F63BBD">
        <w:rPr>
          <w:rFonts w:ascii="Book Antiqua" w:hAnsi="Book Antiqua" w:cs="Times New Roman"/>
          <w:b/>
          <w:bCs/>
          <w:i/>
          <w:sz w:val="24"/>
          <w:szCs w:val="24"/>
          <w:lang w:val="en"/>
        </w:rPr>
        <w:t>linical presentation</w:t>
      </w:r>
    </w:p>
    <w:p w:rsidR="00C9325C" w:rsidRPr="00F63BBD" w:rsidRDefault="00C9325C" w:rsidP="001F3D57">
      <w:pPr>
        <w:widowControl w:val="0"/>
        <w:spacing w:line="360" w:lineRule="auto"/>
        <w:jc w:val="both"/>
        <w:rPr>
          <w:rFonts w:ascii="Book Antiqua" w:hAnsi="Book Antiqua" w:cs="Times New Roman"/>
          <w:b/>
          <w:bCs/>
          <w:sz w:val="24"/>
          <w:szCs w:val="24"/>
          <w:lang w:val="en"/>
        </w:rPr>
      </w:pPr>
      <w:r w:rsidRPr="00F63BBD">
        <w:rPr>
          <w:rFonts w:ascii="Book Antiqua" w:hAnsi="Book Antiqua" w:cs="Times New Roman"/>
          <w:b/>
          <w:bCs/>
          <w:sz w:val="24"/>
          <w:szCs w:val="24"/>
          <w:lang w:val="en"/>
        </w:rPr>
        <w:t>Acute GI bleeding</w:t>
      </w:r>
      <w:r w:rsidR="00F63BBD">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lang w:val="en"/>
        </w:rPr>
        <w:t>GI bleeding is the only known clinically relevant complication of PHG. PHG is responsible for &lt;</w:t>
      </w:r>
      <w:r w:rsidR="00D74A26">
        <w:rPr>
          <w:rFonts w:ascii="Book Antiqua" w:hAnsi="Book Antiqua" w:cs="Times New Roman" w:hint="eastAsia"/>
          <w:bCs/>
          <w:sz w:val="24"/>
          <w:szCs w:val="24"/>
          <w:lang w:val="en" w:eastAsia="zh-CN"/>
        </w:rPr>
        <w:t xml:space="preserve"> </w:t>
      </w:r>
      <w:r w:rsidRPr="00302F74">
        <w:rPr>
          <w:rFonts w:ascii="Book Antiqua" w:hAnsi="Book Antiqua" w:cs="Times New Roman"/>
          <w:bCs/>
          <w:sz w:val="24"/>
          <w:szCs w:val="24"/>
          <w:lang w:val="en"/>
        </w:rPr>
        <w:t>1% of upper GI bleeding in the general population, and for about 8% of non-variceal upper GI bleeding in patients with liver disease</w:t>
      </w:r>
      <w:r w:rsidRPr="00302F74">
        <w:rPr>
          <w:rFonts w:ascii="Book Antiqua" w:hAnsi="Book Antiqua" w:cs="Times New Roman"/>
          <w:bCs/>
          <w:sz w:val="24"/>
          <w:szCs w:val="24"/>
          <w:vertAlign w:val="superscript"/>
          <w:lang w:val="en"/>
        </w:rPr>
        <w:t>[21</w:t>
      </w:r>
      <w:r w:rsidR="008A7CE2" w:rsidRPr="00302F74">
        <w:rPr>
          <w:rFonts w:ascii="Book Antiqua" w:hAnsi="Book Antiqua" w:cs="Times New Roman"/>
          <w:bCs/>
          <w:sz w:val="24"/>
          <w:szCs w:val="24"/>
          <w:vertAlign w:val="superscript"/>
          <w:lang w:val="en"/>
        </w:rPr>
        <w:t>7</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rPr>
        <w:t xml:space="preserve">The reported frequency of acute upper GI bleeding in patients with PHG </w:t>
      </w:r>
      <w:r w:rsidRPr="00302F74">
        <w:rPr>
          <w:rFonts w:ascii="Book Antiqua" w:hAnsi="Book Antiqua" w:cs="Times New Roman"/>
          <w:bCs/>
          <w:sz w:val="24"/>
          <w:szCs w:val="24"/>
          <w:lang w:val="en"/>
        </w:rPr>
        <w:t xml:space="preserve">ranges in incidence from 2%-20% </w:t>
      </w:r>
      <w:r w:rsidRPr="00302F74">
        <w:rPr>
          <w:rFonts w:ascii="Book Antiqua" w:hAnsi="Book Antiqua" w:cs="Times New Roman"/>
          <w:bCs/>
          <w:sz w:val="24"/>
          <w:szCs w:val="24"/>
        </w:rPr>
        <w:t>(</w:t>
      </w:r>
      <w:r w:rsidRPr="00D74A26">
        <w:rPr>
          <w:rFonts w:ascii="Book Antiqua" w:hAnsi="Book Antiqua" w:cs="Times New Roman"/>
          <w:bCs/>
          <w:sz w:val="24"/>
          <w:szCs w:val="24"/>
        </w:rPr>
        <w:t xml:space="preserve">Table </w:t>
      </w:r>
      <w:r w:rsidR="00D74A26">
        <w:rPr>
          <w:rFonts w:ascii="Book Antiqua" w:hAnsi="Book Antiqua" w:cs="Times New Roman" w:hint="eastAsia"/>
          <w:bCs/>
          <w:sz w:val="24"/>
          <w:szCs w:val="24"/>
          <w:lang w:eastAsia="zh-CN"/>
        </w:rPr>
        <w:t>11</w:t>
      </w:r>
      <w:r w:rsidRPr="00302F74">
        <w:rPr>
          <w:rFonts w:ascii="Book Antiqua" w:hAnsi="Book Antiqua" w:cs="Times New Roman"/>
          <w:bCs/>
          <w:sz w:val="24"/>
          <w:szCs w:val="24"/>
          <w:vertAlign w:val="superscript"/>
        </w:rPr>
        <w:t>[3,8,25,34,37,10</w:t>
      </w:r>
      <w:r w:rsidR="008A7CE2"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,21</w:t>
      </w:r>
      <w:r w:rsidR="008A7CE2" w:rsidRPr="00302F74">
        <w:rPr>
          <w:rFonts w:ascii="Book Antiqua" w:hAnsi="Book Antiqua" w:cs="Times New Roman"/>
          <w:bCs/>
          <w:sz w:val="24"/>
          <w:szCs w:val="24"/>
          <w:vertAlign w:val="superscript"/>
        </w:rPr>
        <w:t>7</w:t>
      </w:r>
      <w:r w:rsidRPr="00302F74">
        <w:rPr>
          <w:rFonts w:ascii="Book Antiqua" w:hAnsi="Book Antiqua" w:cs="Times New Roman"/>
          <w:bCs/>
          <w:sz w:val="24"/>
          <w:szCs w:val="24"/>
          <w:vertAlign w:val="superscript"/>
        </w:rPr>
        <w:t>,21</w:t>
      </w:r>
      <w:r w:rsidR="008A7CE2"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rPr>
        <w:t xml:space="preserve">Primignani </w:t>
      </w:r>
      <w:r w:rsidR="00D74A26" w:rsidRPr="00FA4E58">
        <w:rPr>
          <w:rFonts w:ascii="Book Antiqua" w:hAnsi="Book Antiqua" w:cs="Times New Roman"/>
          <w:bCs/>
          <w:i/>
          <w:sz w:val="24"/>
          <w:szCs w:val="24"/>
          <w:lang w:val="en"/>
        </w:rPr>
        <w:t>et al</w:t>
      </w:r>
      <w:r w:rsidRPr="00302F74">
        <w:rPr>
          <w:rFonts w:ascii="Book Antiqua" w:hAnsi="Book Antiqua" w:cs="Times New Roman"/>
          <w:bCs/>
          <w:sz w:val="24"/>
          <w:szCs w:val="24"/>
          <w:vertAlign w:val="superscript"/>
          <w:lang w:val="en"/>
        </w:rPr>
        <w:t>[34]</w:t>
      </w:r>
      <w:r w:rsidRPr="00302F74">
        <w:rPr>
          <w:rFonts w:ascii="Book Antiqua" w:hAnsi="Book Antiqua" w:cs="Times New Roman"/>
          <w:bCs/>
          <w:sz w:val="24"/>
          <w:szCs w:val="24"/>
          <w:lang w:val="en"/>
        </w:rPr>
        <w:t xml:space="preserve"> </w:t>
      </w:r>
      <w:r w:rsidRPr="00302F74">
        <w:rPr>
          <w:rFonts w:ascii="Book Antiqua" w:hAnsi="Book Antiqua" w:cs="Times New Roman"/>
          <w:bCs/>
          <w:sz w:val="24"/>
          <w:szCs w:val="24"/>
        </w:rPr>
        <w:t xml:space="preserve">reported </w:t>
      </w:r>
      <w:r w:rsidRPr="00302F74">
        <w:rPr>
          <w:rFonts w:ascii="Book Antiqua" w:hAnsi="Book Antiqua" w:cs="Times New Roman"/>
          <w:bCs/>
          <w:sz w:val="24"/>
          <w:szCs w:val="24"/>
          <w:lang w:val="en"/>
        </w:rPr>
        <w:t xml:space="preserve">acute GI bleeding in 2.7% of patients with PHG, whereas Stewart </w:t>
      </w:r>
      <w:r w:rsidR="00D74A26" w:rsidRPr="00FA4E58">
        <w:rPr>
          <w:rFonts w:ascii="Book Antiqua" w:hAnsi="Book Antiqua" w:cs="Times New Roman"/>
          <w:bCs/>
          <w:i/>
          <w:sz w:val="24"/>
          <w:szCs w:val="24"/>
          <w:lang w:val="en"/>
        </w:rPr>
        <w:t>et al</w:t>
      </w:r>
      <w:r w:rsidRPr="00302F74">
        <w:rPr>
          <w:rFonts w:ascii="Book Antiqua" w:hAnsi="Book Antiqua" w:cs="Times New Roman"/>
          <w:bCs/>
          <w:sz w:val="24"/>
          <w:szCs w:val="24"/>
          <w:vertAlign w:val="superscript"/>
          <w:lang w:val="en"/>
        </w:rPr>
        <w:t>[1</w:t>
      </w:r>
      <w:r w:rsidR="008A7CE2" w:rsidRPr="00302F74">
        <w:rPr>
          <w:rFonts w:ascii="Book Antiqua" w:hAnsi="Book Antiqua" w:cs="Times New Roman"/>
          <w:bCs/>
          <w:sz w:val="24"/>
          <w:szCs w:val="24"/>
          <w:vertAlign w:val="superscript"/>
          <w:lang w:val="en"/>
        </w:rPr>
        <w:t>79</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xml:space="preserve"> reported a 20% incidence of acute bleeding in patients with PHG.</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 xml:space="preserve">McCormack </w:t>
      </w:r>
      <w:r w:rsidR="00D74A26" w:rsidRPr="00FA4E58">
        <w:rPr>
          <w:rFonts w:ascii="Book Antiqua" w:hAnsi="Book Antiqua" w:cs="Times New Roman"/>
          <w:bCs/>
          <w:i/>
          <w:sz w:val="24"/>
          <w:szCs w:val="24"/>
          <w:lang w:val="en"/>
        </w:rPr>
        <w:t>et al</w:t>
      </w:r>
      <w:r w:rsidRPr="00302F74">
        <w:rPr>
          <w:rFonts w:ascii="Book Antiqua" w:hAnsi="Book Antiqua" w:cs="Times New Roman"/>
          <w:bCs/>
          <w:sz w:val="24"/>
          <w:szCs w:val="24"/>
          <w:vertAlign w:val="superscript"/>
          <w:lang w:val="en"/>
        </w:rPr>
        <w:t>[3]</w:t>
      </w:r>
      <w:r w:rsidRPr="00302F74">
        <w:rPr>
          <w:rFonts w:ascii="Book Antiqua" w:hAnsi="Book Antiqua" w:cs="Times New Roman"/>
          <w:bCs/>
          <w:sz w:val="24"/>
          <w:szCs w:val="24"/>
          <w:lang w:val="en"/>
        </w:rPr>
        <w:t xml:space="preserve"> reported that 29 (44.6%) of 65 patients with PHG bled from this lesion.</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In this study, PHG was the second most common cause of GI bleeding, after esophageal varices</w:t>
      </w:r>
      <w:r w:rsidRPr="00302F74">
        <w:rPr>
          <w:rFonts w:ascii="Book Antiqua" w:hAnsi="Book Antiqua" w:cs="Times New Roman"/>
          <w:bCs/>
          <w:sz w:val="24"/>
          <w:szCs w:val="24"/>
          <w:vertAlign w:val="superscript"/>
          <w:lang w:val="en"/>
        </w:rPr>
        <w:t>[3]</w:t>
      </w:r>
      <w:r w:rsidRPr="00302F74">
        <w:rPr>
          <w:rFonts w:ascii="Book Antiqua" w:hAnsi="Book Antiqua" w:cs="Times New Roman"/>
          <w:bCs/>
          <w:sz w:val="24"/>
          <w:szCs w:val="24"/>
          <w:lang w:val="en"/>
        </w:rPr>
        <w:t>. The reported variability is partly due to inaccuracies in the endoscopic diagnosis of PHG and in the endoscopic diagnosis of PHG as the cause of bleeding</w:t>
      </w:r>
      <w:r w:rsidRPr="00302F74">
        <w:rPr>
          <w:rFonts w:ascii="Book Antiqua" w:hAnsi="Book Antiqua" w:cs="Times New Roman"/>
          <w:bCs/>
          <w:sz w:val="24"/>
          <w:szCs w:val="24"/>
          <w:vertAlign w:val="superscript"/>
          <w:lang w:val="en"/>
        </w:rPr>
        <w:t>[71]</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Diagnosis of PHG as the cause of bleeding can be challenging if a bleeding point is not visualized at EGD</w:t>
      </w:r>
      <w:r w:rsidRPr="00302F74">
        <w:rPr>
          <w:rFonts w:ascii="Book Antiqua" w:hAnsi="Book Antiqua" w:cs="Times New Roman"/>
          <w:bCs/>
          <w:sz w:val="24"/>
          <w:szCs w:val="24"/>
          <w:vertAlign w:val="superscript"/>
          <w:lang w:val="en"/>
        </w:rPr>
        <w:t>[71]</w:t>
      </w:r>
      <w:r w:rsidRPr="00302F74">
        <w:rPr>
          <w:rFonts w:ascii="Book Antiqua" w:hAnsi="Book Antiqua" w:cs="Times New Roman"/>
          <w:bCs/>
          <w:sz w:val="24"/>
          <w:szCs w:val="24"/>
          <w:lang w:val="en"/>
        </w:rPr>
        <w:t>.</w:t>
      </w:r>
    </w:p>
    <w:p w:rsidR="00C9325C" w:rsidRDefault="00C9325C" w:rsidP="00FA6CCE">
      <w:pPr>
        <w:widowControl w:val="0"/>
        <w:spacing w:line="360" w:lineRule="auto"/>
        <w:ind w:firstLine="720"/>
        <w:jc w:val="both"/>
        <w:rPr>
          <w:rFonts w:ascii="Book Antiqua" w:hAnsi="Book Antiqua" w:cs="Times New Roman"/>
          <w:bCs/>
          <w:sz w:val="24"/>
          <w:szCs w:val="24"/>
          <w:lang w:eastAsia="zh-CN"/>
        </w:rPr>
      </w:pPr>
      <w:r w:rsidRPr="00302F74">
        <w:rPr>
          <w:rFonts w:ascii="Book Antiqua" w:hAnsi="Book Antiqua" w:cs="Times New Roman"/>
          <w:bCs/>
          <w:sz w:val="24"/>
          <w:szCs w:val="24"/>
          <w:lang w:val="en"/>
        </w:rPr>
        <w:t>Major risk factors for bleeding from PHG are increasing PHG duration, extent, and severity</w:t>
      </w:r>
      <w:r w:rsidRPr="00302F74">
        <w:rPr>
          <w:rFonts w:ascii="Book Antiqua" w:hAnsi="Book Antiqua" w:cs="Times New Roman"/>
          <w:bCs/>
          <w:sz w:val="24"/>
          <w:szCs w:val="24"/>
          <w:vertAlign w:val="superscript"/>
          <w:lang w:val="en"/>
        </w:rPr>
        <w:t>[72,1</w:t>
      </w:r>
      <w:r w:rsidR="008A7CE2" w:rsidRPr="00302F74">
        <w:rPr>
          <w:rFonts w:ascii="Book Antiqua" w:hAnsi="Book Antiqua" w:cs="Times New Roman"/>
          <w:bCs/>
          <w:sz w:val="24"/>
          <w:szCs w:val="24"/>
          <w:vertAlign w:val="superscript"/>
          <w:lang w:val="en"/>
        </w:rPr>
        <w:t>79</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
          <w:bCs/>
          <w:sz w:val="24"/>
          <w:szCs w:val="24"/>
        </w:rPr>
        <w:t xml:space="preserve"> </w:t>
      </w:r>
      <w:r w:rsidRPr="00302F74">
        <w:rPr>
          <w:rFonts w:ascii="Book Antiqua" w:hAnsi="Book Antiqua" w:cs="Times New Roman"/>
          <w:bCs/>
          <w:sz w:val="24"/>
          <w:szCs w:val="24"/>
          <w:lang w:val="en"/>
        </w:rPr>
        <w:t>For example,</w:t>
      </w:r>
      <w:r w:rsidRPr="00302F74">
        <w:rPr>
          <w:rFonts w:ascii="Book Antiqua" w:hAnsi="Book Antiqua" w:cs="Times New Roman"/>
          <w:b/>
          <w:bCs/>
          <w:sz w:val="24"/>
          <w:szCs w:val="24"/>
          <w:lang w:val="en"/>
        </w:rPr>
        <w:t xml:space="preserve"> &gt;</w:t>
      </w:r>
      <w:r w:rsidR="00D74A26">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lang w:val="en"/>
        </w:rPr>
        <w:t>90% of acute bleeding occurs with severe PHG</w:t>
      </w:r>
      <w:r w:rsidRPr="00302F74">
        <w:rPr>
          <w:rFonts w:ascii="Book Antiqua" w:hAnsi="Book Antiqua" w:cs="Times New Roman"/>
          <w:bCs/>
          <w:sz w:val="24"/>
          <w:szCs w:val="24"/>
          <w:vertAlign w:val="superscript"/>
          <w:lang w:val="en"/>
        </w:rPr>
        <w:t>[10,35,71,72]</w:t>
      </w:r>
      <w:r w:rsidRPr="00302F74">
        <w:rPr>
          <w:rFonts w:ascii="Book Antiqua" w:hAnsi="Book Antiqua" w:cs="Times New Roman"/>
          <w:bCs/>
          <w:sz w:val="24"/>
          <w:szCs w:val="24"/>
          <w:lang w:val="en"/>
        </w:rPr>
        <w:t>, and &lt;</w:t>
      </w:r>
      <w:r w:rsidR="00D74A26">
        <w:rPr>
          <w:rFonts w:ascii="Book Antiqua" w:hAnsi="Book Antiqua" w:cs="Times New Roman" w:hint="eastAsia"/>
          <w:bCs/>
          <w:sz w:val="24"/>
          <w:szCs w:val="24"/>
          <w:lang w:val="en" w:eastAsia="zh-CN"/>
        </w:rPr>
        <w:t xml:space="preserve"> </w:t>
      </w:r>
      <w:r w:rsidRPr="00302F74">
        <w:rPr>
          <w:rFonts w:ascii="Book Antiqua" w:hAnsi="Book Antiqua" w:cs="Times New Roman"/>
          <w:bCs/>
          <w:sz w:val="24"/>
          <w:szCs w:val="24"/>
          <w:lang w:val="en"/>
        </w:rPr>
        <w:t>10% of acute bleeding occurs with mild PHG</w:t>
      </w:r>
      <w:r w:rsidRPr="00302F74">
        <w:rPr>
          <w:rFonts w:ascii="Book Antiqua" w:hAnsi="Book Antiqua" w:cs="Times New Roman"/>
          <w:bCs/>
          <w:sz w:val="24"/>
          <w:szCs w:val="24"/>
          <w:vertAlign w:val="superscript"/>
          <w:lang w:val="en"/>
        </w:rPr>
        <w:t>[11</w:t>
      </w:r>
      <w:r w:rsidR="008A7CE2" w:rsidRPr="00302F74">
        <w:rPr>
          <w:rFonts w:ascii="Book Antiqua" w:hAnsi="Book Antiqua" w:cs="Times New Roman"/>
          <w:bCs/>
          <w:sz w:val="24"/>
          <w:szCs w:val="24"/>
          <w:vertAlign w:val="superscript"/>
          <w:lang w:val="en"/>
        </w:rPr>
        <w:t>2</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Other risk factors for bleeding from PHG include advanced cirrhosis, and prior endoscopic eradication of esophageal varies</w:t>
      </w:r>
      <w:r w:rsidRPr="00302F74">
        <w:rPr>
          <w:rFonts w:ascii="Book Antiqua" w:hAnsi="Book Antiqua" w:cs="Times New Roman"/>
          <w:bCs/>
          <w:sz w:val="24"/>
          <w:szCs w:val="24"/>
          <w:vertAlign w:val="superscript"/>
          <w:lang w:val="en"/>
        </w:rPr>
        <w:t>[3,5,10,8</w:t>
      </w:r>
      <w:r w:rsidR="008A7CE2" w:rsidRPr="00302F74">
        <w:rPr>
          <w:rFonts w:ascii="Book Antiqua" w:hAnsi="Book Antiqua" w:cs="Times New Roman"/>
          <w:bCs/>
          <w:sz w:val="24"/>
          <w:szCs w:val="24"/>
          <w:vertAlign w:val="superscript"/>
          <w:lang w:val="en"/>
        </w:rPr>
        <w:t>1</w:t>
      </w:r>
      <w:r w:rsidRPr="00302F74">
        <w:rPr>
          <w:rFonts w:ascii="Book Antiqua" w:hAnsi="Book Antiqua" w:cs="Times New Roman"/>
          <w:bCs/>
          <w:sz w:val="24"/>
          <w:szCs w:val="24"/>
          <w:vertAlign w:val="superscript"/>
          <w:lang w:val="en"/>
        </w:rPr>
        <w:t>,1</w:t>
      </w:r>
      <w:r w:rsidR="008A7CE2" w:rsidRPr="00302F74">
        <w:rPr>
          <w:rFonts w:ascii="Book Antiqua" w:hAnsi="Book Antiqua" w:cs="Times New Roman"/>
          <w:bCs/>
          <w:sz w:val="24"/>
          <w:szCs w:val="24"/>
          <w:vertAlign w:val="superscript"/>
          <w:lang w:val="en"/>
        </w:rPr>
        <w:t>79</w:t>
      </w:r>
      <w:r w:rsidRPr="00302F74">
        <w:rPr>
          <w:rFonts w:ascii="Book Antiqua" w:hAnsi="Book Antiqua" w:cs="Times New Roman"/>
          <w:bCs/>
          <w:sz w:val="24"/>
          <w:szCs w:val="24"/>
          <w:vertAlign w:val="superscript"/>
          <w:lang w:val="en"/>
        </w:rPr>
        <w:t>,18</w:t>
      </w:r>
      <w:r w:rsidR="008A7CE2" w:rsidRPr="00302F74">
        <w:rPr>
          <w:rFonts w:ascii="Book Antiqua" w:hAnsi="Book Antiqua" w:cs="Times New Roman"/>
          <w:bCs/>
          <w:sz w:val="24"/>
          <w:szCs w:val="24"/>
          <w:vertAlign w:val="superscript"/>
          <w:lang w:val="en"/>
        </w:rPr>
        <w:t>0</w:t>
      </w:r>
      <w:r w:rsidRPr="00302F74">
        <w:rPr>
          <w:rFonts w:ascii="Book Antiqua" w:hAnsi="Book Antiqua" w:cs="Times New Roman"/>
          <w:bCs/>
          <w:sz w:val="24"/>
          <w:szCs w:val="24"/>
          <w:vertAlign w:val="superscript"/>
          <w:lang w:val="en"/>
        </w:rPr>
        <w:t>,2</w:t>
      </w:r>
      <w:r w:rsidR="008A7CE2" w:rsidRPr="00302F74">
        <w:rPr>
          <w:rFonts w:ascii="Book Antiqua" w:hAnsi="Book Antiqua" w:cs="Times New Roman"/>
          <w:bCs/>
          <w:sz w:val="24"/>
          <w:szCs w:val="24"/>
          <w:vertAlign w:val="superscript"/>
          <w:lang w:val="en"/>
        </w:rPr>
        <w:t>19</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sz w:val="24"/>
          <w:szCs w:val="24"/>
          <w:lang w:val="en"/>
        </w:rPr>
        <w:t xml:space="preserve">Unlike bleeding from GAVE, </w:t>
      </w:r>
      <w:r w:rsidRPr="00302F74">
        <w:rPr>
          <w:rFonts w:ascii="Book Antiqua" w:hAnsi="Book Antiqua" w:cs="Times New Roman"/>
          <w:bCs/>
          <w:sz w:val="24"/>
          <w:szCs w:val="24"/>
          <w:lang w:val="en"/>
        </w:rPr>
        <w:t>acute bleeding from PHG is rarely severe, very rarely fatal, and typically requires transfusion of only one-to-two units of packed erythrocytes or less</w:t>
      </w:r>
      <w:r w:rsidRPr="00302F74">
        <w:rPr>
          <w:rFonts w:ascii="Book Antiqua" w:hAnsi="Book Antiqua" w:cs="Times New Roman"/>
          <w:bCs/>
          <w:sz w:val="24"/>
          <w:szCs w:val="24"/>
          <w:vertAlign w:val="superscript"/>
          <w:lang w:val="en"/>
        </w:rPr>
        <w:t>[34,71,72,1</w:t>
      </w:r>
      <w:r w:rsidR="008A7CE2" w:rsidRPr="00302F74">
        <w:rPr>
          <w:rFonts w:ascii="Book Antiqua" w:hAnsi="Book Antiqua" w:cs="Times New Roman"/>
          <w:bCs/>
          <w:sz w:val="24"/>
          <w:szCs w:val="24"/>
          <w:vertAlign w:val="superscript"/>
          <w:lang w:val="en"/>
        </w:rPr>
        <w:t>39</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p>
    <w:p w:rsidR="00D74A26" w:rsidRPr="00D74A26" w:rsidRDefault="00D74A26" w:rsidP="00FA6CCE">
      <w:pPr>
        <w:widowControl w:val="0"/>
        <w:spacing w:line="360" w:lineRule="auto"/>
        <w:ind w:firstLine="720"/>
        <w:jc w:val="both"/>
        <w:rPr>
          <w:rFonts w:ascii="Book Antiqua" w:hAnsi="Book Antiqua" w:cs="Times New Roman"/>
          <w:bCs/>
          <w:i/>
          <w:sz w:val="24"/>
          <w:szCs w:val="24"/>
          <w:lang w:eastAsia="zh-CN"/>
        </w:rPr>
      </w:pPr>
    </w:p>
    <w:p w:rsidR="00C9325C" w:rsidRPr="00F63BBD" w:rsidRDefault="00C9325C" w:rsidP="00D74A26">
      <w:pPr>
        <w:widowControl w:val="0"/>
        <w:spacing w:line="360" w:lineRule="auto"/>
        <w:jc w:val="both"/>
        <w:rPr>
          <w:rFonts w:ascii="Book Antiqua" w:hAnsi="Book Antiqua" w:cs="Times New Roman"/>
          <w:sz w:val="24"/>
          <w:szCs w:val="24"/>
        </w:rPr>
      </w:pPr>
      <w:r w:rsidRPr="00F63BBD">
        <w:rPr>
          <w:rFonts w:ascii="Book Antiqua" w:hAnsi="Book Antiqua" w:cs="Times New Roman"/>
          <w:b/>
          <w:bCs/>
          <w:sz w:val="24"/>
          <w:szCs w:val="24"/>
        </w:rPr>
        <w:t>Chronic bleeding</w:t>
      </w:r>
      <w:r w:rsidR="00F63BBD">
        <w:rPr>
          <w:rFonts w:ascii="Book Antiqua" w:hAnsi="Book Antiqua" w:cs="Times New Roman" w:hint="eastAsia"/>
          <w:sz w:val="24"/>
          <w:szCs w:val="24"/>
          <w:lang w:eastAsia="zh-CN"/>
        </w:rPr>
        <w:t xml:space="preserve">: </w:t>
      </w:r>
      <w:r w:rsidRPr="00302F74">
        <w:rPr>
          <w:rFonts w:ascii="Book Antiqua" w:hAnsi="Book Antiqua" w:cs="Times New Roman"/>
          <w:bCs/>
          <w:sz w:val="24"/>
          <w:szCs w:val="24"/>
          <w:lang w:val="en"/>
        </w:rPr>
        <w:t>The frequency of chronic bleeding ranges from 3%-26%</w:t>
      </w:r>
      <w:r w:rsidRPr="00302F74">
        <w:rPr>
          <w:rFonts w:ascii="Book Antiqua" w:hAnsi="Book Antiqua" w:cs="Times New Roman"/>
          <w:bCs/>
          <w:sz w:val="24"/>
          <w:szCs w:val="24"/>
          <w:vertAlign w:val="superscript"/>
          <w:lang w:val="en"/>
        </w:rPr>
        <w:t>[25,34,37]</w:t>
      </w:r>
      <w:r w:rsidRPr="00302F74">
        <w:rPr>
          <w:rFonts w:ascii="Book Antiqua" w:hAnsi="Book Antiqua" w:cs="Times New Roman"/>
          <w:bCs/>
          <w:sz w:val="24"/>
          <w:szCs w:val="24"/>
          <w:lang w:val="en"/>
        </w:rPr>
        <w:t>.</w:t>
      </w:r>
      <w:r w:rsidRPr="00302F74">
        <w:rPr>
          <w:rFonts w:ascii="Book Antiqua" w:hAnsi="Book Antiqua" w:cs="Times New Roman"/>
          <w:bCs/>
          <w:sz w:val="24"/>
          <w:szCs w:val="24"/>
        </w:rPr>
        <w:t xml:space="preserve"> </w:t>
      </w:r>
      <w:r w:rsidRPr="00302F74">
        <w:rPr>
          <w:rFonts w:ascii="Book Antiqua" w:hAnsi="Book Antiqua" w:cs="Times New Roman"/>
          <w:bCs/>
          <w:sz w:val="24"/>
          <w:szCs w:val="24"/>
          <w:lang w:val="en"/>
        </w:rPr>
        <w:t xml:space="preserve">Stewart </w:t>
      </w:r>
      <w:r w:rsidR="0062622A" w:rsidRPr="0062622A">
        <w:rPr>
          <w:rFonts w:ascii="Book Antiqua" w:hAnsi="Book Antiqua" w:cs="Times New Roman"/>
          <w:i/>
          <w:sz w:val="24"/>
          <w:szCs w:val="24"/>
        </w:rPr>
        <w:t>et al</w:t>
      </w:r>
      <w:r w:rsidRPr="00302F74">
        <w:rPr>
          <w:rFonts w:ascii="Book Antiqua" w:hAnsi="Book Antiqua" w:cs="Times New Roman"/>
          <w:bCs/>
          <w:sz w:val="24"/>
          <w:szCs w:val="24"/>
          <w:vertAlign w:val="superscript"/>
          <w:lang w:val="en"/>
        </w:rPr>
        <w:t>[1</w:t>
      </w:r>
      <w:r w:rsidR="008A7CE2" w:rsidRPr="00302F74">
        <w:rPr>
          <w:rFonts w:ascii="Book Antiqua" w:hAnsi="Book Antiqua" w:cs="Times New Roman"/>
          <w:bCs/>
          <w:sz w:val="24"/>
          <w:szCs w:val="24"/>
          <w:vertAlign w:val="superscript"/>
          <w:lang w:val="en"/>
        </w:rPr>
        <w:t>79</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xml:space="preserve"> reported a 6% incidence of chronic bleeding from PHG, whereas</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rPr>
        <w:t xml:space="preserve">Primignani </w:t>
      </w:r>
      <w:r w:rsidR="0062622A" w:rsidRPr="0062622A">
        <w:rPr>
          <w:rFonts w:ascii="Book Antiqua" w:hAnsi="Book Antiqua" w:cs="Times New Roman"/>
          <w:i/>
          <w:sz w:val="24"/>
          <w:szCs w:val="24"/>
        </w:rPr>
        <w:t>et al</w:t>
      </w:r>
      <w:r w:rsidRPr="00302F74">
        <w:rPr>
          <w:rFonts w:ascii="Book Antiqua" w:hAnsi="Book Antiqua" w:cs="Times New Roman"/>
          <w:bCs/>
          <w:sz w:val="24"/>
          <w:szCs w:val="24"/>
          <w:vertAlign w:val="superscript"/>
          <w:lang w:val="en"/>
        </w:rPr>
        <w:t>[34]</w:t>
      </w:r>
      <w:r w:rsidRPr="00302F74">
        <w:rPr>
          <w:rFonts w:ascii="Book Antiqua" w:hAnsi="Book Antiqua" w:cs="Times New Roman"/>
          <w:bCs/>
          <w:sz w:val="24"/>
          <w:szCs w:val="24"/>
          <w:lang w:val="en"/>
        </w:rPr>
        <w:t xml:space="preserve"> </w:t>
      </w:r>
      <w:r w:rsidRPr="00302F74">
        <w:rPr>
          <w:rFonts w:ascii="Book Antiqua" w:hAnsi="Book Antiqua" w:cs="Times New Roman"/>
          <w:bCs/>
          <w:sz w:val="24"/>
          <w:szCs w:val="24"/>
        </w:rPr>
        <w:t xml:space="preserve">reported chronic </w:t>
      </w:r>
      <w:r w:rsidRPr="00302F74">
        <w:rPr>
          <w:rFonts w:ascii="Book Antiqua" w:hAnsi="Book Antiqua" w:cs="Times New Roman"/>
          <w:bCs/>
          <w:sz w:val="24"/>
          <w:szCs w:val="24"/>
          <w:lang w:val="en"/>
        </w:rPr>
        <w:t>bleeding in 11% of patients with PHG (</w:t>
      </w:r>
      <w:r w:rsidRPr="00D74A26">
        <w:rPr>
          <w:rFonts w:ascii="Book Antiqua" w:hAnsi="Book Antiqua" w:cs="Times New Roman"/>
          <w:bCs/>
          <w:sz w:val="24"/>
          <w:szCs w:val="24"/>
          <w:lang w:val="en"/>
        </w:rPr>
        <w:t xml:space="preserve">Table </w:t>
      </w:r>
      <w:r w:rsidR="00D74A26" w:rsidRPr="00D74A26">
        <w:rPr>
          <w:rFonts w:ascii="Book Antiqua" w:hAnsi="Book Antiqua" w:cs="Times New Roman" w:hint="eastAsia"/>
          <w:bCs/>
          <w:sz w:val="24"/>
          <w:szCs w:val="24"/>
          <w:lang w:val="en" w:eastAsia="zh-CN"/>
        </w:rPr>
        <w:t>11</w:t>
      </w:r>
      <w:r w:rsidRPr="00302F74">
        <w:rPr>
          <w:rFonts w:ascii="Book Antiqua" w:hAnsi="Book Antiqua" w:cs="Times New Roman"/>
          <w:bCs/>
          <w:sz w:val="24"/>
          <w:szCs w:val="24"/>
          <w:vertAlign w:val="superscript"/>
        </w:rPr>
        <w:t>[3,8,25,34,37,10</w:t>
      </w:r>
      <w:r w:rsidR="008A7CE2"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,21</w:t>
      </w:r>
      <w:r w:rsidR="008A7CE2" w:rsidRPr="00302F74">
        <w:rPr>
          <w:rFonts w:ascii="Book Antiqua" w:hAnsi="Book Antiqua" w:cs="Times New Roman"/>
          <w:bCs/>
          <w:sz w:val="24"/>
          <w:szCs w:val="24"/>
          <w:vertAlign w:val="superscript"/>
        </w:rPr>
        <w:t>7</w:t>
      </w:r>
      <w:r w:rsidRPr="00302F74">
        <w:rPr>
          <w:rFonts w:ascii="Book Antiqua" w:hAnsi="Book Antiqua" w:cs="Times New Roman"/>
          <w:bCs/>
          <w:sz w:val="24"/>
          <w:szCs w:val="24"/>
          <w:vertAlign w:val="superscript"/>
        </w:rPr>
        <w:t>,21</w:t>
      </w:r>
      <w:r w:rsidR="008A7CE2"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lang w:val="en"/>
        </w:rPr>
        <w:t>).</w:t>
      </w:r>
    </w:p>
    <w:p w:rsidR="00C9325C" w:rsidRPr="00302F74" w:rsidRDefault="00C9325C" w:rsidP="00FA6CCE">
      <w:pPr>
        <w:widowControl w:val="0"/>
        <w:spacing w:line="360" w:lineRule="auto"/>
        <w:ind w:firstLine="720"/>
        <w:jc w:val="both"/>
        <w:rPr>
          <w:rFonts w:ascii="Book Antiqua" w:hAnsi="Book Antiqua" w:cs="Times New Roman"/>
          <w:bCs/>
          <w:sz w:val="24"/>
          <w:szCs w:val="24"/>
          <w:lang w:val="en"/>
        </w:rPr>
      </w:pPr>
      <w:r w:rsidRPr="00302F74">
        <w:rPr>
          <w:rFonts w:ascii="Book Antiqua" w:hAnsi="Book Antiqua" w:cs="Times New Roman"/>
          <w:bCs/>
          <w:sz w:val="24"/>
          <w:szCs w:val="24"/>
          <w:lang w:val="en"/>
        </w:rPr>
        <w:t>The incidence of chronic GI bleeding from PHG is difficult to determine precisely because of variable definitions of chronic GI bleeding</w:t>
      </w:r>
      <w:r w:rsidRPr="00302F74">
        <w:rPr>
          <w:rFonts w:ascii="Book Antiqua" w:hAnsi="Book Antiqua" w:cs="Times New Roman"/>
          <w:bCs/>
          <w:sz w:val="24"/>
          <w:szCs w:val="24"/>
          <w:vertAlign w:val="superscript"/>
          <w:lang w:val="en"/>
        </w:rPr>
        <w:t>[67,68]</w:t>
      </w:r>
      <w:r w:rsidRPr="00302F74">
        <w:rPr>
          <w:rFonts w:ascii="Book Antiqua" w:hAnsi="Book Antiqua" w:cs="Times New Roman"/>
          <w:bCs/>
          <w:sz w:val="24"/>
          <w:szCs w:val="24"/>
          <w:lang w:val="en"/>
        </w:rPr>
        <w:t xml:space="preserve">. Common definitions include: </w:t>
      </w:r>
      <w:r w:rsidR="00D74A26">
        <w:rPr>
          <w:rFonts w:ascii="Book Antiqua" w:hAnsi="Book Antiqua" w:cs="Times New Roman" w:hint="eastAsia"/>
          <w:bCs/>
          <w:sz w:val="24"/>
          <w:szCs w:val="24"/>
          <w:lang w:val="en" w:eastAsia="zh-CN"/>
        </w:rPr>
        <w:lastRenderedPageBreak/>
        <w:t>(</w:t>
      </w:r>
      <w:r w:rsidRPr="00302F74">
        <w:rPr>
          <w:rFonts w:ascii="Book Antiqua" w:hAnsi="Book Antiqua" w:cs="Times New Roman"/>
          <w:bCs/>
          <w:sz w:val="24"/>
          <w:szCs w:val="24"/>
          <w:lang w:val="en"/>
        </w:rPr>
        <w:t>1) &gt;</w:t>
      </w:r>
      <w:r w:rsidR="00963345">
        <w:rPr>
          <w:rFonts w:ascii="Book Antiqua" w:hAnsi="Book Antiqua" w:cs="Times New Roman" w:hint="eastAsia"/>
          <w:bCs/>
          <w:sz w:val="24"/>
          <w:szCs w:val="24"/>
          <w:lang w:val="en" w:eastAsia="zh-CN"/>
        </w:rPr>
        <w:t xml:space="preserve"> </w:t>
      </w:r>
      <w:r w:rsidRPr="00302F74">
        <w:rPr>
          <w:rFonts w:ascii="Book Antiqua" w:hAnsi="Book Antiqua" w:cs="Times New Roman"/>
          <w:bCs/>
          <w:sz w:val="24"/>
          <w:szCs w:val="24"/>
          <w:lang w:val="en"/>
        </w:rPr>
        <w:t>2g/d</w:t>
      </w:r>
      <w:r w:rsidR="00963345" w:rsidRPr="00302F74">
        <w:rPr>
          <w:rFonts w:ascii="Book Antiqua" w:hAnsi="Book Antiqua" w:cs="Times New Roman"/>
          <w:bCs/>
          <w:sz w:val="24"/>
          <w:szCs w:val="24"/>
          <w:lang w:val="en"/>
        </w:rPr>
        <w:t>L</w:t>
      </w:r>
      <w:r w:rsidRPr="00302F74">
        <w:rPr>
          <w:rFonts w:ascii="Book Antiqua" w:hAnsi="Book Antiqua" w:cs="Times New Roman"/>
          <w:bCs/>
          <w:sz w:val="24"/>
          <w:szCs w:val="24"/>
          <w:lang w:val="en"/>
        </w:rPr>
        <w:t xml:space="preserve"> decrease in hemoglobin level during &gt;</w:t>
      </w:r>
      <w:r w:rsidR="00963345">
        <w:rPr>
          <w:rFonts w:ascii="Book Antiqua" w:hAnsi="Book Antiqua" w:cs="Times New Roman" w:hint="eastAsia"/>
          <w:bCs/>
          <w:sz w:val="24"/>
          <w:szCs w:val="24"/>
          <w:lang w:val="en" w:eastAsia="zh-CN"/>
        </w:rPr>
        <w:t xml:space="preserve"> </w:t>
      </w:r>
      <w:r w:rsidRPr="00302F74">
        <w:rPr>
          <w:rFonts w:ascii="Book Antiqua" w:hAnsi="Book Antiqua" w:cs="Times New Roman"/>
          <w:bCs/>
          <w:sz w:val="24"/>
          <w:szCs w:val="24"/>
          <w:lang w:val="en"/>
        </w:rPr>
        <w:t>6 mo</w:t>
      </w:r>
      <w:r w:rsidR="00963345">
        <w:rPr>
          <w:rFonts w:ascii="Book Antiqua" w:hAnsi="Book Antiqua" w:cs="Times New Roman" w:hint="eastAsia"/>
          <w:bCs/>
          <w:sz w:val="24"/>
          <w:szCs w:val="24"/>
          <w:lang w:val="en" w:eastAsia="zh-CN"/>
        </w:rPr>
        <w:t xml:space="preserve"> </w:t>
      </w:r>
      <w:r w:rsidRPr="00302F74">
        <w:rPr>
          <w:rFonts w:ascii="Book Antiqua" w:hAnsi="Book Antiqua" w:cs="Times New Roman"/>
          <w:bCs/>
          <w:sz w:val="24"/>
          <w:szCs w:val="24"/>
          <w:lang w:val="en"/>
        </w:rPr>
        <w:t xml:space="preserve">in patients without acute GI bleeding and not receiving NSAID therapy; </w:t>
      </w:r>
      <w:r w:rsidR="00D74A26">
        <w:rPr>
          <w:rFonts w:ascii="Book Antiqua" w:hAnsi="Book Antiqua" w:cs="Times New Roman" w:hint="eastAsia"/>
          <w:bCs/>
          <w:sz w:val="24"/>
          <w:szCs w:val="24"/>
          <w:lang w:val="en" w:eastAsia="zh-CN"/>
        </w:rPr>
        <w:t>(</w:t>
      </w:r>
      <w:r w:rsidRPr="00302F74">
        <w:rPr>
          <w:rFonts w:ascii="Book Antiqua" w:hAnsi="Book Antiqua" w:cs="Times New Roman"/>
          <w:bCs/>
          <w:sz w:val="24"/>
          <w:szCs w:val="24"/>
          <w:lang w:val="en"/>
        </w:rPr>
        <w:t xml:space="preserve">2) presence of anemia in patients with cirrhosis; and </w:t>
      </w:r>
      <w:r w:rsidR="00D74A26">
        <w:rPr>
          <w:rFonts w:ascii="Book Antiqua" w:hAnsi="Book Antiqua" w:cs="Times New Roman" w:hint="eastAsia"/>
          <w:bCs/>
          <w:sz w:val="24"/>
          <w:szCs w:val="24"/>
          <w:lang w:val="en" w:eastAsia="zh-CN"/>
        </w:rPr>
        <w:t>(</w:t>
      </w:r>
      <w:r w:rsidRPr="00302F74">
        <w:rPr>
          <w:rFonts w:ascii="Book Antiqua" w:hAnsi="Book Antiqua" w:cs="Times New Roman"/>
          <w:bCs/>
          <w:sz w:val="24"/>
          <w:szCs w:val="24"/>
          <w:lang w:val="en"/>
        </w:rPr>
        <w:t>3) positive fecal occult blood (Baveno II)</w:t>
      </w:r>
      <w:r w:rsidRPr="00302F74">
        <w:rPr>
          <w:rFonts w:ascii="Book Antiqua" w:hAnsi="Book Antiqua" w:cs="Times New Roman"/>
          <w:bCs/>
          <w:sz w:val="24"/>
          <w:szCs w:val="24"/>
          <w:vertAlign w:val="superscript"/>
          <w:lang w:val="en"/>
        </w:rPr>
        <w:t>[18</w:t>
      </w:r>
      <w:r w:rsidR="008A7CE2" w:rsidRPr="00302F74">
        <w:rPr>
          <w:rFonts w:ascii="Book Antiqua" w:hAnsi="Book Antiqua" w:cs="Times New Roman"/>
          <w:bCs/>
          <w:sz w:val="24"/>
          <w:szCs w:val="24"/>
          <w:vertAlign w:val="superscript"/>
          <w:lang w:val="en"/>
        </w:rPr>
        <w:t>1</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Moreover, chronic GI bleeding can be overestimated if hemoglobin decline is solely used for the diagnosis. Patients with chronic liver disease frequently have anemia without GI bleeding, from causes including alcoholism, chronic kidney disease, hypersplenism, or bone marrow suppression. No studies have objectively quantified chronic blood loss from PHG.</w:t>
      </w:r>
    </w:p>
    <w:p w:rsidR="00C9325C" w:rsidRDefault="00C9325C" w:rsidP="00FA6CCE">
      <w:pPr>
        <w:widowControl w:val="0"/>
        <w:spacing w:line="360" w:lineRule="auto"/>
        <w:ind w:firstLine="720"/>
        <w:jc w:val="both"/>
        <w:rPr>
          <w:rFonts w:ascii="Book Antiqua" w:hAnsi="Book Antiqua" w:cs="Times New Roman"/>
          <w:bCs/>
          <w:sz w:val="24"/>
          <w:szCs w:val="24"/>
          <w:lang w:eastAsia="zh-CN"/>
        </w:rPr>
      </w:pPr>
      <w:r w:rsidRPr="00302F74">
        <w:rPr>
          <w:rFonts w:ascii="Book Antiqua" w:hAnsi="Book Antiqua" w:cs="Times New Roman"/>
          <w:bCs/>
          <w:sz w:val="24"/>
          <w:szCs w:val="24"/>
          <w:lang w:val="en"/>
        </w:rPr>
        <w:t>Chronic bleeding from PHG is usually mild to moderate but occasionally severe</w:t>
      </w:r>
      <w:r w:rsidRPr="00302F74">
        <w:rPr>
          <w:rFonts w:ascii="Book Antiqua" w:hAnsi="Book Antiqua" w:cs="Times New Roman"/>
          <w:bCs/>
          <w:sz w:val="24"/>
          <w:szCs w:val="24"/>
          <w:vertAlign w:val="superscript"/>
          <w:lang w:val="en"/>
        </w:rPr>
        <w:t>[37,1</w:t>
      </w:r>
      <w:r w:rsidR="008A7CE2" w:rsidRPr="00302F74">
        <w:rPr>
          <w:rFonts w:ascii="Book Antiqua" w:hAnsi="Book Antiqua" w:cs="Times New Roman"/>
          <w:bCs/>
          <w:sz w:val="24"/>
          <w:szCs w:val="24"/>
          <w:vertAlign w:val="superscript"/>
          <w:lang w:val="en"/>
        </w:rPr>
        <w:t>39</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Patients after endoscopic variceal obliteration have a higher incidence of chronic GI bleeding from PHG</w:t>
      </w:r>
      <w:r w:rsidRPr="00302F74">
        <w:rPr>
          <w:rFonts w:ascii="Book Antiqua" w:hAnsi="Book Antiqua" w:cs="Times New Roman"/>
          <w:bCs/>
          <w:sz w:val="24"/>
          <w:szCs w:val="24"/>
          <w:vertAlign w:val="superscript"/>
          <w:lang w:val="en"/>
        </w:rPr>
        <w:t>[10,25,72]</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rPr>
        <w:t>Chronic GI bleeding from PHG can cause iron deficiency anemia</w:t>
      </w:r>
      <w:r w:rsidRPr="00302F74">
        <w:rPr>
          <w:rFonts w:ascii="Book Antiqua" w:hAnsi="Book Antiqua" w:cs="Times New Roman"/>
          <w:bCs/>
          <w:sz w:val="24"/>
          <w:szCs w:val="24"/>
          <w:vertAlign w:val="superscript"/>
        </w:rPr>
        <w:t>[22</w:t>
      </w:r>
      <w:r w:rsidR="0001224E"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rPr>
        <w:t>,22</w:t>
      </w:r>
      <w:r w:rsidR="0001224E" w:rsidRPr="00302F74">
        <w:rPr>
          <w:rFonts w:ascii="Book Antiqua" w:hAnsi="Book Antiqua" w:cs="Times New Roman"/>
          <w:bCs/>
          <w:sz w:val="24"/>
          <w:szCs w:val="24"/>
          <w:vertAlign w:val="superscript"/>
        </w:rPr>
        <w:t>1</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p>
    <w:p w:rsidR="00D74A26" w:rsidRPr="00302F74" w:rsidRDefault="00D74A26" w:rsidP="00FA6CCE">
      <w:pPr>
        <w:widowControl w:val="0"/>
        <w:spacing w:line="360" w:lineRule="auto"/>
        <w:ind w:firstLine="720"/>
        <w:jc w:val="both"/>
        <w:rPr>
          <w:rFonts w:ascii="Book Antiqua" w:hAnsi="Book Antiqua" w:cs="Times New Roman"/>
          <w:sz w:val="24"/>
          <w:szCs w:val="24"/>
          <w:lang w:val="en" w:eastAsia="zh-CN"/>
        </w:rPr>
      </w:pPr>
    </w:p>
    <w:p w:rsidR="00C9325C" w:rsidRPr="00F63BBD" w:rsidRDefault="00C9325C" w:rsidP="00FA6CCE">
      <w:pPr>
        <w:widowControl w:val="0"/>
        <w:spacing w:line="360" w:lineRule="auto"/>
        <w:jc w:val="both"/>
        <w:rPr>
          <w:rFonts w:ascii="Book Antiqua" w:hAnsi="Book Antiqua" w:cs="Times New Roman"/>
          <w:i/>
          <w:sz w:val="24"/>
          <w:szCs w:val="24"/>
        </w:rPr>
      </w:pPr>
      <w:r w:rsidRPr="00F63BBD">
        <w:rPr>
          <w:rFonts w:ascii="Book Antiqua" w:hAnsi="Book Antiqua" w:cs="Times New Roman"/>
          <w:b/>
          <w:bCs/>
          <w:i/>
          <w:sz w:val="24"/>
          <w:szCs w:val="24"/>
        </w:rPr>
        <w:t>P</w:t>
      </w:r>
      <w:r w:rsidR="00F63BBD" w:rsidRPr="00F63BBD">
        <w:rPr>
          <w:rFonts w:ascii="Book Antiqua" w:hAnsi="Book Antiqua" w:cs="Times New Roman"/>
          <w:b/>
          <w:bCs/>
          <w:i/>
          <w:sz w:val="24"/>
          <w:szCs w:val="24"/>
        </w:rPr>
        <w:t>harmacotherapy for</w:t>
      </w:r>
      <w:r w:rsidRPr="00F63BBD">
        <w:rPr>
          <w:rFonts w:ascii="Book Antiqua" w:hAnsi="Book Antiqua" w:cs="Times New Roman"/>
          <w:b/>
          <w:bCs/>
          <w:i/>
          <w:sz w:val="24"/>
          <w:szCs w:val="24"/>
        </w:rPr>
        <w:t xml:space="preserve"> PHG</w:t>
      </w:r>
    </w:p>
    <w:p w:rsidR="00C9325C" w:rsidRDefault="00C9325C" w:rsidP="00D74A26">
      <w:pPr>
        <w:widowControl w:val="0"/>
        <w:spacing w:line="360" w:lineRule="auto"/>
        <w:jc w:val="both"/>
        <w:rPr>
          <w:rFonts w:ascii="Book Antiqua" w:hAnsi="Book Antiqua" w:cs="Times New Roman"/>
          <w:bCs/>
          <w:sz w:val="24"/>
          <w:szCs w:val="24"/>
          <w:lang w:eastAsia="zh-CN"/>
        </w:rPr>
      </w:pPr>
      <w:r w:rsidRPr="00302F74">
        <w:rPr>
          <w:rFonts w:ascii="Book Antiqua" w:hAnsi="Book Antiqua" w:cs="Times New Roman"/>
          <w:bCs/>
          <w:sz w:val="24"/>
          <w:szCs w:val="24"/>
        </w:rPr>
        <w:t xml:space="preserve">Current pharmacologic therapies aim to reduce portal pressure to decrease bleeding from </w:t>
      </w:r>
      <w:proofErr w:type="gramStart"/>
      <w:r w:rsidRPr="00302F74">
        <w:rPr>
          <w:rFonts w:ascii="Book Antiqua" w:hAnsi="Book Antiqua" w:cs="Times New Roman"/>
          <w:bCs/>
          <w:sz w:val="24"/>
          <w:szCs w:val="24"/>
        </w:rPr>
        <w:t>PHG</w:t>
      </w:r>
      <w:r w:rsidRPr="00302F74">
        <w:rPr>
          <w:rFonts w:ascii="Book Antiqua" w:hAnsi="Book Antiqua" w:cs="Times New Roman"/>
          <w:bCs/>
          <w:sz w:val="24"/>
          <w:szCs w:val="24"/>
          <w:vertAlign w:val="superscript"/>
        </w:rPr>
        <w:t>[</w:t>
      </w:r>
      <w:proofErr w:type="gramEnd"/>
      <w:r w:rsidRPr="00302F74">
        <w:rPr>
          <w:rFonts w:ascii="Book Antiqua" w:hAnsi="Book Antiqua" w:cs="Times New Roman"/>
          <w:bCs/>
          <w:sz w:val="24"/>
          <w:szCs w:val="24"/>
          <w:vertAlign w:val="superscript"/>
        </w:rPr>
        <w:t>19</w:t>
      </w:r>
      <w:r w:rsidR="0001224E" w:rsidRPr="00302F74">
        <w:rPr>
          <w:rFonts w:ascii="Book Antiqua" w:hAnsi="Book Antiqua" w:cs="Times New Roman"/>
          <w:bCs/>
          <w:sz w:val="24"/>
          <w:szCs w:val="24"/>
          <w:vertAlign w:val="superscript"/>
        </w:rPr>
        <w:t>1</w:t>
      </w:r>
      <w:r w:rsidRPr="00302F74">
        <w:rPr>
          <w:rFonts w:ascii="Book Antiqua" w:hAnsi="Book Antiqua" w:cs="Times New Roman"/>
          <w:bCs/>
          <w:sz w:val="24"/>
          <w:szCs w:val="24"/>
          <w:vertAlign w:val="superscript"/>
        </w:rPr>
        <w:t>,21</w:t>
      </w:r>
      <w:r w:rsidR="0001224E" w:rsidRPr="00302F74">
        <w:rPr>
          <w:rFonts w:ascii="Book Antiqua" w:hAnsi="Book Antiqua" w:cs="Times New Roman"/>
          <w:bCs/>
          <w:sz w:val="24"/>
          <w:szCs w:val="24"/>
          <w:vertAlign w:val="superscript"/>
        </w:rPr>
        <w:t>4</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xml:space="preserve">. </w:t>
      </w:r>
    </w:p>
    <w:p w:rsidR="00D74A26" w:rsidRPr="00D74A26" w:rsidRDefault="00D74A26" w:rsidP="00D74A26">
      <w:pPr>
        <w:widowControl w:val="0"/>
        <w:spacing w:line="360" w:lineRule="auto"/>
        <w:jc w:val="both"/>
        <w:rPr>
          <w:rFonts w:ascii="Book Antiqua" w:hAnsi="Book Antiqua" w:cs="Times New Roman"/>
          <w:bCs/>
          <w:i/>
          <w:sz w:val="24"/>
          <w:szCs w:val="24"/>
          <w:lang w:eastAsia="zh-CN"/>
        </w:rPr>
      </w:pPr>
    </w:p>
    <w:p w:rsidR="00C9325C" w:rsidRPr="00F63BBD" w:rsidRDefault="00C9325C" w:rsidP="00D74A26">
      <w:pPr>
        <w:widowControl w:val="0"/>
        <w:spacing w:line="360" w:lineRule="auto"/>
        <w:jc w:val="both"/>
        <w:rPr>
          <w:rFonts w:ascii="Book Antiqua" w:hAnsi="Book Antiqua" w:cs="Times New Roman"/>
          <w:sz w:val="24"/>
          <w:szCs w:val="24"/>
          <w:lang w:val="en"/>
        </w:rPr>
      </w:pPr>
      <w:r w:rsidRPr="00F63BBD">
        <w:rPr>
          <w:rFonts w:ascii="Book Antiqua" w:hAnsi="Book Antiqua" w:cs="Times New Roman"/>
          <w:b/>
          <w:bCs/>
          <w:sz w:val="24"/>
          <w:szCs w:val="24"/>
        </w:rPr>
        <w:t>β</w:t>
      </w:r>
      <w:r w:rsidRPr="00F63BBD">
        <w:rPr>
          <w:rFonts w:ascii="Book Antiqua" w:hAnsi="Book Antiqua" w:cs="Times New Roman"/>
          <w:b/>
          <w:bCs/>
          <w:sz w:val="24"/>
          <w:szCs w:val="24"/>
          <w:lang w:val="en"/>
        </w:rPr>
        <w:t>-adrenergic receptor antagonists</w:t>
      </w:r>
      <w:r w:rsidR="00F63BBD">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 xml:space="preserve">Nonselective </w:t>
      </w:r>
      <w:r w:rsidRPr="00302F74">
        <w:rPr>
          <w:rFonts w:ascii="Book Antiqua" w:hAnsi="Book Antiqua" w:cs="Times New Roman"/>
          <w:bCs/>
          <w:sz w:val="24"/>
          <w:szCs w:val="24"/>
        </w:rPr>
        <w:t>β</w:t>
      </w:r>
      <w:r w:rsidRPr="00302F74">
        <w:rPr>
          <w:rFonts w:ascii="Book Antiqua" w:hAnsi="Book Antiqua" w:cs="Times New Roman"/>
          <w:sz w:val="24"/>
          <w:szCs w:val="24"/>
          <w:lang w:val="en"/>
        </w:rPr>
        <w:t xml:space="preserve">-adrenergic receptor antagonists reduce portal pressure and gastric mucosal blood flow, and thereby reduce bleeding from </w:t>
      </w:r>
      <w:proofErr w:type="gramStart"/>
      <w:r w:rsidRPr="00302F74">
        <w:rPr>
          <w:rFonts w:ascii="Book Antiqua" w:hAnsi="Book Antiqua" w:cs="Times New Roman"/>
          <w:sz w:val="24"/>
          <w:szCs w:val="24"/>
          <w:lang w:val="en"/>
        </w:rPr>
        <w:t>PHG</w:t>
      </w:r>
      <w:r w:rsidRPr="00302F74">
        <w:rPr>
          <w:rFonts w:ascii="Book Antiqua" w:hAnsi="Book Antiqua" w:cs="Times New Roman"/>
          <w:sz w:val="24"/>
          <w:szCs w:val="24"/>
          <w:vertAlign w:val="superscript"/>
          <w:lang w:val="en"/>
        </w:rPr>
        <w:t>[</w:t>
      </w:r>
      <w:proofErr w:type="gramEnd"/>
      <w:r w:rsidRPr="00302F74">
        <w:rPr>
          <w:rFonts w:ascii="Book Antiqua" w:hAnsi="Book Antiqua" w:cs="Times New Roman"/>
          <w:sz w:val="24"/>
          <w:szCs w:val="24"/>
          <w:vertAlign w:val="superscript"/>
          <w:lang w:val="en"/>
        </w:rPr>
        <w:t>10</w:t>
      </w:r>
      <w:r w:rsidR="0001224E" w:rsidRPr="00302F74">
        <w:rPr>
          <w:rFonts w:ascii="Book Antiqua" w:hAnsi="Book Antiqua" w:cs="Times New Roman"/>
          <w:sz w:val="24"/>
          <w:szCs w:val="24"/>
          <w:vertAlign w:val="superscript"/>
          <w:lang w:val="en"/>
        </w:rPr>
        <w:t>3</w:t>
      </w:r>
      <w:r w:rsidRPr="00302F74">
        <w:rPr>
          <w:rFonts w:ascii="Book Antiqua" w:hAnsi="Book Antiqua" w:cs="Times New Roman"/>
          <w:sz w:val="24"/>
          <w:szCs w:val="24"/>
          <w:vertAlign w:val="superscript"/>
          <w:lang w:val="en"/>
        </w:rPr>
        <w:t>,10</w:t>
      </w:r>
      <w:r w:rsidR="0001224E"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,13</w:t>
      </w:r>
      <w:r w:rsidR="0001224E"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,19</w:t>
      </w:r>
      <w:r w:rsidR="0001224E" w:rsidRPr="00302F74">
        <w:rPr>
          <w:rFonts w:ascii="Book Antiqua" w:hAnsi="Book Antiqua" w:cs="Times New Roman"/>
          <w:sz w:val="24"/>
          <w:szCs w:val="24"/>
          <w:vertAlign w:val="superscript"/>
          <w:lang w:val="en"/>
        </w:rPr>
        <w:t>1</w:t>
      </w:r>
      <w:r w:rsidRPr="00302F74">
        <w:rPr>
          <w:rFonts w:ascii="Book Antiqua" w:hAnsi="Book Antiqua" w:cs="Times New Roman"/>
          <w:sz w:val="24"/>
          <w:szCs w:val="24"/>
          <w:vertAlign w:val="superscript"/>
          <w:lang w:val="en"/>
        </w:rPr>
        <w:t>,22</w:t>
      </w:r>
      <w:r w:rsidR="0001224E"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-22</w:t>
      </w:r>
      <w:r w:rsidR="0001224E"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rPr>
        <w:t>]</w:t>
      </w:r>
      <w:r w:rsidRPr="00302F74">
        <w:rPr>
          <w:rFonts w:ascii="Book Antiqua" w:hAnsi="Book Antiqua" w:cs="Times New Roman"/>
          <w:sz w:val="24"/>
          <w:szCs w:val="24"/>
          <w:lang w:val="en"/>
        </w:rPr>
        <w:t xml:space="preserve">. </w:t>
      </w:r>
      <w:r w:rsidRPr="00302F74">
        <w:rPr>
          <w:rFonts w:ascii="Book Antiqua" w:hAnsi="Book Antiqua" w:cs="Times New Roman"/>
          <w:sz w:val="24"/>
          <w:szCs w:val="24"/>
        </w:rPr>
        <w:t>Several studies evaluated the efficacy of propranolol, a nonselective</w:t>
      </w:r>
      <w:r w:rsidRPr="00302F74">
        <w:rPr>
          <w:rFonts w:ascii="Book Antiqua" w:hAnsi="Book Antiqua" w:cs="Times New Roman"/>
          <w:sz w:val="24"/>
          <w:szCs w:val="24"/>
          <w:lang w:val="en"/>
        </w:rPr>
        <w:t xml:space="preserve"> </w:t>
      </w:r>
      <w:r w:rsidRPr="00302F74">
        <w:rPr>
          <w:rFonts w:ascii="Book Antiqua" w:hAnsi="Book Antiqua" w:cs="Times New Roman"/>
          <w:bCs/>
          <w:sz w:val="24"/>
          <w:szCs w:val="24"/>
        </w:rPr>
        <w:t>β</w:t>
      </w:r>
      <w:r w:rsidRPr="00302F74">
        <w:rPr>
          <w:rFonts w:ascii="Book Antiqua" w:hAnsi="Book Antiqua" w:cs="Times New Roman"/>
          <w:sz w:val="24"/>
          <w:szCs w:val="24"/>
          <w:lang w:val="en"/>
        </w:rPr>
        <w:t xml:space="preserve">-adrenergic receptor antagonist </w:t>
      </w:r>
      <w:r w:rsidRPr="00302F74">
        <w:rPr>
          <w:rFonts w:ascii="Book Antiqua" w:hAnsi="Book Antiqua" w:cs="Times New Roman"/>
          <w:sz w:val="24"/>
          <w:szCs w:val="24"/>
        </w:rPr>
        <w:t>in primary and secondary prevention of bleeding from PHG</w:t>
      </w:r>
      <w:r w:rsidRPr="00302F74">
        <w:rPr>
          <w:rFonts w:ascii="Book Antiqua" w:hAnsi="Book Antiqua" w:cs="Times New Roman"/>
          <w:sz w:val="24"/>
          <w:szCs w:val="24"/>
          <w:vertAlign w:val="superscript"/>
        </w:rPr>
        <w:t>[1</w:t>
      </w:r>
      <w:r w:rsidR="00115A1D" w:rsidRPr="00302F74">
        <w:rPr>
          <w:rFonts w:ascii="Book Antiqua" w:hAnsi="Book Antiqua" w:cs="Times New Roman"/>
          <w:sz w:val="24"/>
          <w:szCs w:val="24"/>
          <w:vertAlign w:val="superscript"/>
        </w:rPr>
        <w:t>0</w:t>
      </w:r>
      <w:r w:rsidRPr="00302F74">
        <w:rPr>
          <w:rFonts w:ascii="Book Antiqua" w:hAnsi="Book Antiqua" w:cs="Times New Roman"/>
          <w:sz w:val="24"/>
          <w:szCs w:val="24"/>
          <w:vertAlign w:val="superscript"/>
        </w:rPr>
        <w:t>4,10</w:t>
      </w:r>
      <w:r w:rsidR="0001224E" w:rsidRPr="00302F74">
        <w:rPr>
          <w:rFonts w:ascii="Book Antiqua" w:hAnsi="Book Antiqua" w:cs="Times New Roman"/>
          <w:sz w:val="24"/>
          <w:szCs w:val="24"/>
          <w:vertAlign w:val="superscript"/>
        </w:rPr>
        <w:t>4</w:t>
      </w:r>
      <w:r w:rsidRPr="00302F74">
        <w:rPr>
          <w:rFonts w:ascii="Book Antiqua" w:hAnsi="Book Antiqua" w:cs="Times New Roman"/>
          <w:sz w:val="24"/>
          <w:szCs w:val="24"/>
          <w:vertAlign w:val="superscript"/>
        </w:rPr>
        <w:t>,22</w:t>
      </w:r>
      <w:r w:rsidR="0001224E" w:rsidRPr="00302F74">
        <w:rPr>
          <w:rFonts w:ascii="Book Antiqua" w:hAnsi="Book Antiqua" w:cs="Times New Roman"/>
          <w:sz w:val="24"/>
          <w:szCs w:val="24"/>
          <w:vertAlign w:val="superscript"/>
        </w:rPr>
        <w:t>5</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Perez-</w:t>
      </w:r>
      <w:r w:rsidRPr="00302F74">
        <w:rPr>
          <w:rFonts w:ascii="Book Antiqua" w:hAnsi="Book Antiqua" w:cs="Times New Roman"/>
          <w:sz w:val="24"/>
          <w:szCs w:val="24"/>
        </w:rPr>
        <w:t xml:space="preserve">Ayuso </w:t>
      </w:r>
      <w:r w:rsidR="00D74A26"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3</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reported in a multi-center, randomized, controlled trial of 57 patients with acute or chronic bleeding from severe PHG with cirrhosis that the 26 patients administered propranolol at 20-160 mg twice daily rebled significantly less frequently than the 31 controls receiving only iron therapy as needed at 12 mo (38%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65%; </w:t>
      </w:r>
      <w:r w:rsidR="00E878B6">
        <w:rPr>
          <w:rFonts w:ascii="Book Antiqua" w:hAnsi="Book Antiqua" w:cs="Times New Roman"/>
          <w:i/>
          <w:sz w:val="24"/>
          <w:szCs w:val="24"/>
        </w:rPr>
        <w:t>P &lt;</w:t>
      </w:r>
      <w:r w:rsidR="00D74A26">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 xml:space="preserve">0.05), and at 30 mo follow-up (7%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52%, </w:t>
      </w:r>
      <w:r w:rsidR="00E878B6">
        <w:rPr>
          <w:rFonts w:ascii="Book Antiqua" w:hAnsi="Book Antiqua" w:cs="Times New Roman"/>
          <w:i/>
          <w:sz w:val="24"/>
          <w:szCs w:val="24"/>
        </w:rPr>
        <w:t>P &lt;</w:t>
      </w:r>
      <w:r w:rsidR="00D74A26">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Patients receiving propranolol were transfused less units of packed erythrocytes than the controls, but this difference was not statistically significant (0.10 + 0.06 units/mo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0.60 + 0.20 units/mo,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00410F62"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0.08).</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302F74">
        <w:rPr>
          <w:rFonts w:ascii="Book Antiqua" w:hAnsi="Book Antiqua" w:cs="Times New Roman"/>
          <w:sz w:val="24"/>
          <w:szCs w:val="24"/>
          <w:lang w:val="en"/>
        </w:rPr>
        <w:t>Propranolol</w:t>
      </w:r>
      <w:r w:rsidRPr="00302F74">
        <w:rPr>
          <w:rFonts w:ascii="Book Antiqua" w:hAnsi="Book Antiqua" w:cs="Times New Roman"/>
          <w:sz w:val="24"/>
          <w:szCs w:val="24"/>
        </w:rPr>
        <w:t xml:space="preserve"> also reduced the risk of developing PHG after esophageal variceal eradication</w:t>
      </w:r>
      <w:r w:rsidRPr="00302F74">
        <w:rPr>
          <w:rFonts w:ascii="Book Antiqua" w:hAnsi="Book Antiqua" w:cs="Times New Roman"/>
          <w:sz w:val="24"/>
          <w:szCs w:val="24"/>
          <w:vertAlign w:val="superscript"/>
        </w:rPr>
        <w:t>[8</w:t>
      </w:r>
      <w:r w:rsidR="0001224E" w:rsidRPr="00302F74">
        <w:rPr>
          <w:rFonts w:ascii="Book Antiqua" w:hAnsi="Book Antiqua" w:cs="Times New Roman"/>
          <w:sz w:val="24"/>
          <w:szCs w:val="24"/>
          <w:vertAlign w:val="superscript"/>
        </w:rPr>
        <w:t>1</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Lo </w:t>
      </w:r>
      <w:r w:rsidR="00D74A26"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[8</w:t>
      </w:r>
      <w:r w:rsidR="0001224E" w:rsidRPr="00302F74">
        <w:rPr>
          <w:rFonts w:ascii="Book Antiqua" w:hAnsi="Book Antiqua" w:cs="Times New Roman"/>
          <w:sz w:val="24"/>
          <w:szCs w:val="24"/>
          <w:vertAlign w:val="superscript"/>
        </w:rPr>
        <w:t>1</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reported in a randomized, controlled trial that 40 patients </w:t>
      </w:r>
      <w:r w:rsidRPr="00302F74">
        <w:rPr>
          <w:rFonts w:ascii="Book Antiqua" w:hAnsi="Book Antiqua" w:cs="Times New Roman"/>
          <w:sz w:val="24"/>
          <w:szCs w:val="24"/>
        </w:rPr>
        <w:lastRenderedPageBreak/>
        <w:t>receiving placebo had a significant increase in PHG severity after variceal ligation (</w:t>
      </w:r>
      <w:r w:rsidR="00E878B6">
        <w:rPr>
          <w:rFonts w:ascii="Book Antiqua" w:hAnsi="Book Antiqua" w:cs="Times New Roman"/>
          <w:i/>
          <w:sz w:val="24"/>
          <w:szCs w:val="24"/>
        </w:rPr>
        <w:t>P &lt;</w:t>
      </w:r>
      <w:r w:rsidR="00D74A26">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0.01, ANOVA), but the 37 patients receiving propranolol (mean dose</w:t>
      </w:r>
      <w:r w:rsidR="00D74A26">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w:t>
      </w:r>
      <w:r w:rsidR="00D74A26">
        <w:rPr>
          <w:rFonts w:ascii="Book Antiqua" w:hAnsi="Book Antiqua" w:cs="Times New Roman" w:hint="eastAsia"/>
          <w:sz w:val="24"/>
          <w:szCs w:val="24"/>
          <w:lang w:eastAsia="zh-CN"/>
        </w:rPr>
        <w:t xml:space="preserve"> </w:t>
      </w:r>
      <w:r w:rsidR="00D74A26">
        <w:rPr>
          <w:rFonts w:ascii="Book Antiqua" w:hAnsi="Book Antiqua" w:cs="Times New Roman"/>
          <w:sz w:val="24"/>
          <w:szCs w:val="24"/>
        </w:rPr>
        <w:t>96 + 20 mg/d</w:t>
      </w:r>
      <w:r w:rsidRPr="00302F74">
        <w:rPr>
          <w:rFonts w:ascii="Book Antiqua" w:hAnsi="Book Antiqua" w:cs="Times New Roman"/>
          <w:sz w:val="24"/>
          <w:szCs w:val="24"/>
        </w:rPr>
        <w:t xml:space="preserve">) had no significant increase in PHG severity. The frequency of PHG 6 mo after variceal ligation was significantly less in patients receiving propranolol than in the controls (48%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85%,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00410F62"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0.002).</w:t>
      </w:r>
      <w:r w:rsidR="00963345">
        <w:rPr>
          <w:rFonts w:ascii="Book Antiqua" w:hAnsi="Book Antiqua" w:cs="Times New Roman"/>
          <w:sz w:val="24"/>
          <w:szCs w:val="24"/>
        </w:rPr>
        <w:t xml:space="preserve"> </w:t>
      </w:r>
      <w:r w:rsidRPr="00302F74">
        <w:rPr>
          <w:rFonts w:ascii="Book Antiqua" w:hAnsi="Book Antiqua" w:cs="Times New Roman"/>
          <w:sz w:val="24"/>
          <w:szCs w:val="24"/>
        </w:rPr>
        <w:t>This difference gradually decreased over time and became not significant at 12 mo. Also, the mean PHG severity score was lower in patients receiving propranolol than in the controls at 6 mo after variceal ligation (</w:t>
      </w:r>
      <w:r w:rsidR="00E878B6">
        <w:rPr>
          <w:rFonts w:ascii="Book Antiqua" w:hAnsi="Book Antiqua" w:cs="Times New Roman"/>
          <w:i/>
          <w:sz w:val="24"/>
          <w:szCs w:val="24"/>
        </w:rPr>
        <w:t>P &lt;</w:t>
      </w:r>
      <w:r w:rsidR="00D74A26">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302F74">
        <w:rPr>
          <w:rFonts w:ascii="Book Antiqua" w:hAnsi="Book Antiqua" w:cs="Times New Roman"/>
          <w:sz w:val="24"/>
          <w:szCs w:val="24"/>
        </w:rPr>
        <w:t>Propranolol at 240</w:t>
      </w:r>
      <w:r w:rsidR="00D74A26">
        <w:rPr>
          <w:rFonts w:ascii="Book Antiqua" w:hAnsi="Book Antiqua" w:cs="Times New Roman" w:hint="eastAsia"/>
          <w:sz w:val="24"/>
          <w:szCs w:val="24"/>
          <w:lang w:eastAsia="zh-CN"/>
        </w:rPr>
        <w:t>-</w:t>
      </w:r>
      <w:r w:rsidRPr="00302F74">
        <w:rPr>
          <w:rFonts w:ascii="Book Antiqua" w:hAnsi="Book Antiqua" w:cs="Times New Roman"/>
          <w:sz w:val="24"/>
          <w:szCs w:val="24"/>
        </w:rPr>
        <w:t>480 mg/d</w:t>
      </w:r>
      <w:r w:rsidR="00D74A26">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has been used to arrest acute bleeding from PHG. Bleeding stopped within 3 d in 13 (93%) of 14 patients with portal hypertension administered propranolol in one study</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1</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None of these patients rebled while receiving propranolol during a median of 23 mo of follow-up, but 4 out of 7 patients rebled after electively discontinuing propranolol therapy</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4</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 xml:space="preserve">Nonresponse to </w:t>
      </w:r>
      <w:r w:rsidRPr="00302F74">
        <w:rPr>
          <w:rFonts w:ascii="Book Antiqua" w:hAnsi="Book Antiqua" w:cs="Times New Roman"/>
          <w:sz w:val="24"/>
          <w:szCs w:val="24"/>
        </w:rPr>
        <w:t>β</w:t>
      </w:r>
      <w:r w:rsidRPr="00302F74">
        <w:rPr>
          <w:rFonts w:ascii="Book Antiqua" w:hAnsi="Book Antiqua" w:cs="Times New Roman"/>
          <w:sz w:val="24"/>
          <w:szCs w:val="24"/>
          <w:lang w:val="en"/>
        </w:rPr>
        <w:t>-adrenergic receptor antagonists, defined as continued bleeding despite this therapy and transfusion-dependency despite iron replacement therapy, should prompt consideration of interventional therapies</w:t>
      </w:r>
      <w:r w:rsidRPr="00302F74">
        <w:rPr>
          <w:rFonts w:ascii="Book Antiqua" w:hAnsi="Book Antiqua" w:cs="Times New Roman"/>
          <w:sz w:val="24"/>
          <w:szCs w:val="24"/>
          <w:vertAlign w:val="superscript"/>
          <w:lang w:val="en"/>
        </w:rPr>
        <w:t>[21</w:t>
      </w:r>
      <w:r w:rsidR="0001224E"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rPr>
        <w:t xml:space="preserve">Nonspecific β-adrenergic receptor antagonists </w:t>
      </w:r>
      <w:r w:rsidRPr="00302F74">
        <w:rPr>
          <w:rFonts w:ascii="Book Antiqua" w:hAnsi="Book Antiqua" w:cs="Times New Roman"/>
          <w:sz w:val="24"/>
          <w:szCs w:val="24"/>
          <w:lang w:val="en"/>
        </w:rPr>
        <w:t xml:space="preserve">are a first line therapy for </w:t>
      </w:r>
      <w:r w:rsidRPr="00302F74">
        <w:rPr>
          <w:rFonts w:ascii="Book Antiqua" w:hAnsi="Book Antiqua" w:cs="Times New Roman"/>
          <w:sz w:val="24"/>
          <w:szCs w:val="24"/>
        </w:rPr>
        <w:t>secondary prophylaxis of PHG bleeding</w:t>
      </w:r>
      <w:r w:rsidRPr="00302F74">
        <w:rPr>
          <w:rFonts w:ascii="Book Antiqua" w:hAnsi="Book Antiqua" w:cs="Times New Roman"/>
          <w:sz w:val="24"/>
          <w:szCs w:val="24"/>
          <w:vertAlign w:val="superscript"/>
        </w:rPr>
        <w:t>[19</w:t>
      </w:r>
      <w:r w:rsidR="0001224E" w:rsidRPr="00302F74">
        <w:rPr>
          <w:rFonts w:ascii="Book Antiqua" w:hAnsi="Book Antiqua" w:cs="Times New Roman"/>
          <w:sz w:val="24"/>
          <w:szCs w:val="24"/>
          <w:vertAlign w:val="superscript"/>
        </w:rPr>
        <w:t>1</w:t>
      </w:r>
      <w:r w:rsidRPr="00302F74">
        <w:rPr>
          <w:rFonts w:ascii="Book Antiqua" w:hAnsi="Book Antiqua" w:cs="Times New Roman"/>
          <w:sz w:val="24"/>
          <w:szCs w:val="24"/>
          <w:vertAlign w:val="superscript"/>
        </w:rPr>
        <w:t>,20</w:t>
      </w:r>
      <w:r w:rsidR="0001224E" w:rsidRPr="00302F74">
        <w:rPr>
          <w:rFonts w:ascii="Book Antiqua" w:hAnsi="Book Antiqua" w:cs="Times New Roman"/>
          <w:sz w:val="24"/>
          <w:szCs w:val="24"/>
          <w:vertAlign w:val="superscript"/>
        </w:rPr>
        <w:t>8</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Nadolol alone was as effective as nadolol with isosorbide mononitrate in preventing the first episode of PHG bleeding</w:t>
      </w:r>
      <w:r w:rsidRPr="00302F74">
        <w:rPr>
          <w:rFonts w:ascii="Book Antiqua" w:hAnsi="Book Antiqua" w:cs="Times New Roman"/>
          <w:sz w:val="24"/>
          <w:szCs w:val="24"/>
          <w:vertAlign w:val="superscript"/>
        </w:rPr>
        <w:t>[22</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 xml:space="preserve">No studies have analyzed </w:t>
      </w:r>
      <w:r w:rsidRPr="00302F74">
        <w:rPr>
          <w:rFonts w:ascii="Book Antiqua" w:hAnsi="Book Antiqua" w:cs="Times New Roman"/>
          <w:sz w:val="24"/>
          <w:szCs w:val="24"/>
        </w:rPr>
        <w:t>the efficacy of carvedilol, another nonspecific β</w:t>
      </w:r>
      <w:r w:rsidRPr="00302F74">
        <w:rPr>
          <w:rFonts w:ascii="Book Antiqua" w:hAnsi="Book Antiqua" w:cs="Times New Roman"/>
          <w:sz w:val="24"/>
          <w:szCs w:val="24"/>
          <w:lang w:val="en"/>
        </w:rPr>
        <w:t>-adrenergic receptor antagonist,</w:t>
      </w:r>
      <w:r w:rsidRPr="00302F74">
        <w:rPr>
          <w:rFonts w:ascii="Book Antiqua" w:hAnsi="Book Antiqua" w:cs="Times New Roman"/>
          <w:sz w:val="24"/>
          <w:szCs w:val="24"/>
        </w:rPr>
        <w:t xml:space="preserve"> in controlling bleeding from PHG</w:t>
      </w:r>
      <w:r w:rsidRPr="00302F74">
        <w:rPr>
          <w:rFonts w:ascii="Book Antiqua" w:hAnsi="Book Antiqua" w:cs="Times New Roman"/>
          <w:sz w:val="24"/>
          <w:szCs w:val="24"/>
          <w:vertAlign w:val="superscript"/>
        </w:rPr>
        <w:t>[22</w:t>
      </w:r>
      <w:r w:rsidR="0001224E" w:rsidRPr="00302F74">
        <w:rPr>
          <w:rFonts w:ascii="Book Antiqua" w:hAnsi="Book Antiqua" w:cs="Times New Roman"/>
          <w:sz w:val="24"/>
          <w:szCs w:val="24"/>
          <w:vertAlign w:val="superscript"/>
        </w:rPr>
        <w:t>7</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p>
    <w:p w:rsidR="00D74A26" w:rsidRPr="00302F74" w:rsidRDefault="00D74A26" w:rsidP="00FA6CCE">
      <w:pPr>
        <w:widowControl w:val="0"/>
        <w:spacing w:line="360" w:lineRule="auto"/>
        <w:ind w:firstLine="720"/>
        <w:jc w:val="both"/>
        <w:rPr>
          <w:rFonts w:ascii="Book Antiqua" w:hAnsi="Book Antiqua" w:cs="Times New Roman"/>
          <w:sz w:val="24"/>
          <w:szCs w:val="24"/>
          <w:lang w:eastAsia="zh-CN"/>
        </w:rPr>
      </w:pPr>
    </w:p>
    <w:p w:rsidR="00C9325C" w:rsidRPr="00F63BBD" w:rsidRDefault="00C9325C" w:rsidP="00D74A26">
      <w:pPr>
        <w:widowControl w:val="0"/>
        <w:spacing w:line="360" w:lineRule="auto"/>
        <w:jc w:val="both"/>
        <w:rPr>
          <w:rFonts w:ascii="Book Antiqua" w:hAnsi="Book Antiqua" w:cs="Times New Roman"/>
          <w:b/>
          <w:sz w:val="24"/>
          <w:szCs w:val="24"/>
        </w:rPr>
      </w:pPr>
      <w:r w:rsidRPr="00302F74">
        <w:rPr>
          <w:rFonts w:ascii="Book Antiqua" w:hAnsi="Book Antiqua" w:cs="Times New Roman"/>
          <w:b/>
          <w:bCs/>
          <w:sz w:val="24"/>
          <w:szCs w:val="24"/>
          <w:lang w:val="en"/>
        </w:rPr>
        <w:t xml:space="preserve">Somatostatin </w:t>
      </w:r>
      <w:r w:rsidR="00D74A26">
        <w:rPr>
          <w:rFonts w:ascii="Book Antiqua" w:hAnsi="Book Antiqua" w:cs="Times New Roman" w:hint="eastAsia"/>
          <w:b/>
          <w:sz w:val="24"/>
          <w:szCs w:val="24"/>
          <w:lang w:eastAsia="zh-CN"/>
        </w:rPr>
        <w:t>and</w:t>
      </w:r>
      <w:r w:rsidRPr="00302F74">
        <w:rPr>
          <w:rFonts w:ascii="Book Antiqua" w:hAnsi="Book Antiqua" w:cs="Times New Roman"/>
          <w:b/>
          <w:sz w:val="24"/>
          <w:szCs w:val="24"/>
        </w:rPr>
        <w:t xml:space="preserve"> octreotide</w:t>
      </w:r>
      <w:r w:rsidR="00F63BBD">
        <w:rPr>
          <w:rFonts w:ascii="Book Antiqua" w:hAnsi="Book Antiqua" w:cs="Times New Roman" w:hint="eastAsia"/>
          <w:b/>
          <w:sz w:val="24"/>
          <w:szCs w:val="24"/>
          <w:lang w:eastAsia="zh-CN"/>
        </w:rPr>
        <w:t xml:space="preserve">: </w:t>
      </w:r>
      <w:r w:rsidRPr="00302F74">
        <w:rPr>
          <w:rFonts w:ascii="Book Antiqua" w:hAnsi="Book Antiqua" w:cs="Times New Roman"/>
          <w:sz w:val="24"/>
          <w:szCs w:val="24"/>
        </w:rPr>
        <w:t>Somatostatin and octreotide, a synthetic somatostatin analogue, cause splanchnic vasoconstriction, reduce portal pressure, reduce portal blood flow, and decrease gastric perfusion in animal models and in patients with PHG</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5</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,16</w:t>
      </w:r>
      <w:r w:rsidR="0001224E" w:rsidRPr="00302F74">
        <w:rPr>
          <w:rFonts w:ascii="Book Antiqua" w:hAnsi="Book Antiqua" w:cs="Times New Roman"/>
          <w:sz w:val="24"/>
          <w:szCs w:val="24"/>
          <w:vertAlign w:val="superscript"/>
        </w:rPr>
        <w:t>0</w:t>
      </w:r>
      <w:r w:rsidRPr="00302F74">
        <w:rPr>
          <w:rFonts w:ascii="Book Antiqua" w:hAnsi="Book Antiqua" w:cs="Times New Roman"/>
          <w:sz w:val="24"/>
          <w:szCs w:val="24"/>
          <w:vertAlign w:val="superscript"/>
        </w:rPr>
        <w:t>,22</w:t>
      </w:r>
      <w:r w:rsidR="0001224E" w:rsidRPr="00302F74">
        <w:rPr>
          <w:rFonts w:ascii="Book Antiqua" w:hAnsi="Book Antiqua" w:cs="Times New Roman"/>
          <w:sz w:val="24"/>
          <w:szCs w:val="24"/>
          <w:vertAlign w:val="superscript"/>
        </w:rPr>
        <w:t>8</w:t>
      </w:r>
      <w:r w:rsidRPr="00302F74">
        <w:rPr>
          <w:rFonts w:ascii="Book Antiqua" w:hAnsi="Book Antiqua" w:cs="Times New Roman"/>
          <w:sz w:val="24"/>
          <w:szCs w:val="24"/>
          <w:vertAlign w:val="superscript"/>
        </w:rPr>
        <w:t>-23</w:t>
      </w:r>
      <w:r w:rsidR="0001224E" w:rsidRPr="00302F74">
        <w:rPr>
          <w:rFonts w:ascii="Book Antiqua" w:hAnsi="Book Antiqua" w:cs="Times New Roman"/>
          <w:sz w:val="24"/>
          <w:szCs w:val="24"/>
          <w:vertAlign w:val="superscript"/>
        </w:rPr>
        <w:t>1</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rPr>
        <w:t xml:space="preserve">. For example, Chan </w:t>
      </w:r>
      <w:r w:rsidR="00D74A26"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[22</w:t>
      </w:r>
      <w:r w:rsidR="0001224E" w:rsidRPr="00302F74">
        <w:rPr>
          <w:rFonts w:ascii="Book Antiqua" w:hAnsi="Book Antiqua" w:cs="Times New Roman"/>
          <w:sz w:val="24"/>
          <w:szCs w:val="24"/>
          <w:vertAlign w:val="superscript"/>
        </w:rPr>
        <w:t>8</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found octreotide infusion, compared to placebo, significantly increased systemic vascular resistance (3.4 + 0.2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2.7 + 0.2 mmHg</w:t>
      </w:r>
      <w:r w:rsidR="00766DAB" w:rsidRPr="00302F74">
        <w:rPr>
          <w:rFonts w:ascii="Book Antiqua" w:hAnsi="Book Antiqua" w:cs="Times New Roman"/>
          <w:bCs/>
          <w:sz w:val="24"/>
          <w:szCs w:val="24"/>
          <w:lang w:val="en"/>
        </w:rPr>
        <w:t>/mL</w:t>
      </w:r>
      <w:r w:rsidR="00766DAB">
        <w:rPr>
          <w:rFonts w:ascii="Book Antiqua" w:hAnsi="Book Antiqua" w:cs="Times New Roman" w:hint="eastAsia"/>
          <w:sz w:val="24"/>
          <w:szCs w:val="24"/>
          <w:lang w:eastAsia="zh-CN"/>
        </w:rPr>
        <w:t xml:space="preserve"> </w:t>
      </w:r>
      <w:r w:rsidR="00D74A26">
        <w:rPr>
          <w:rFonts w:ascii="Book Antiqua" w:hAnsi="Book Antiqua" w:cs="Times New Roman" w:hint="eastAsia"/>
          <w:sz w:val="24"/>
          <w:szCs w:val="24"/>
          <w:lang w:eastAsia="zh-CN"/>
        </w:rPr>
        <w:t xml:space="preserve">per </w:t>
      </w:r>
      <w:r w:rsidR="00D74A26">
        <w:rPr>
          <w:rFonts w:ascii="Book Antiqua" w:hAnsi="Book Antiqua" w:cs="Times New Roman"/>
          <w:sz w:val="24"/>
          <w:szCs w:val="24"/>
        </w:rPr>
        <w:t>min</w:t>
      </w:r>
      <w:r w:rsidR="00D74A26">
        <w:rPr>
          <w:rFonts w:ascii="Book Antiqua" w:hAnsi="Book Antiqua" w:cs="Times New Roman" w:hint="eastAsia"/>
          <w:sz w:val="24"/>
          <w:szCs w:val="24"/>
          <w:lang w:eastAsia="zh-CN"/>
        </w:rPr>
        <w:t xml:space="preserve">ute per </w:t>
      </w:r>
      <w:r w:rsidR="00D74A26">
        <w:rPr>
          <w:rFonts w:ascii="Book Antiqua" w:hAnsi="Book Antiqua" w:cs="Times New Roman"/>
          <w:sz w:val="24"/>
          <w:szCs w:val="24"/>
        </w:rPr>
        <w:t>100 g</w:t>
      </w:r>
      <w:r w:rsidR="00D74A26">
        <w:rPr>
          <w:rFonts w:ascii="Book Antiqua" w:hAnsi="Book Antiqua" w:cs="Times New Roman" w:hint="eastAsia"/>
          <w:sz w:val="24"/>
          <w:szCs w:val="24"/>
          <w:lang w:eastAsia="zh-CN"/>
        </w:rPr>
        <w:t>,</w:t>
      </w:r>
      <w:r w:rsidRPr="00302F74">
        <w:rPr>
          <w:rFonts w:ascii="Book Antiqua" w:hAnsi="Book Antiqua" w:cs="Times New Roman"/>
          <w:sz w:val="24"/>
          <w:szCs w:val="24"/>
        </w:rPr>
        <w:t xml:space="preserve"> </w:t>
      </w:r>
      <w:r w:rsidR="00E878B6">
        <w:rPr>
          <w:rFonts w:ascii="Book Antiqua" w:hAnsi="Book Antiqua" w:cs="Times New Roman"/>
          <w:i/>
          <w:sz w:val="24"/>
          <w:szCs w:val="24"/>
        </w:rPr>
        <w:t>P &lt;</w:t>
      </w:r>
      <w:r w:rsidR="00D74A26">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 xml:space="preserve">0.05), and significantly decreased portal pressure (9.9 + 0.5 mmHg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12.5 + 1.2 mmHg, </w:t>
      </w:r>
      <w:r w:rsidR="00E878B6">
        <w:rPr>
          <w:rFonts w:ascii="Book Antiqua" w:hAnsi="Book Antiqua" w:cs="Times New Roman"/>
          <w:i/>
          <w:sz w:val="24"/>
          <w:szCs w:val="24"/>
        </w:rPr>
        <w:t>P &lt;</w:t>
      </w:r>
      <w:r w:rsidR="00766DAB">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 in cirrhotic rats.</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Another study found that somatostatin only modestly reduced portal pressure in PHG</w:t>
      </w:r>
      <w:r w:rsidRPr="00302F74">
        <w:rPr>
          <w:rFonts w:ascii="Book Antiqua" w:hAnsi="Book Antiqua" w:cs="Times New Roman"/>
          <w:sz w:val="24"/>
          <w:szCs w:val="24"/>
          <w:vertAlign w:val="superscript"/>
          <w:lang w:val="en"/>
        </w:rPr>
        <w:t>[23</w:t>
      </w:r>
      <w:r w:rsidR="0001224E"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rPr>
        <w:t xml:space="preserve">Octreotide treatment also significantly reduced mean cross-sectional area of gastric mucosal </w:t>
      </w:r>
      <w:r w:rsidRPr="00302F74">
        <w:rPr>
          <w:rFonts w:ascii="Book Antiqua" w:hAnsi="Book Antiqua" w:cs="Times New Roman"/>
          <w:sz w:val="24"/>
          <w:szCs w:val="24"/>
        </w:rPr>
        <w:lastRenderedPageBreak/>
        <w:t xml:space="preserve">vessels compared to placebo (1810 + 101 microns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2290 + 145 microns, </w:t>
      </w:r>
      <w:r w:rsidR="00E878B6">
        <w:rPr>
          <w:rFonts w:ascii="Book Antiqua" w:hAnsi="Book Antiqua" w:cs="Times New Roman"/>
          <w:i/>
          <w:sz w:val="24"/>
          <w:szCs w:val="24"/>
        </w:rPr>
        <w:t>P &lt;</w:t>
      </w:r>
      <w:r w:rsidR="00EC276E">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 and significantly inhibited release of several vasoactive gastrointestinal polypeptides, gastric acid, and pepsinogen</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,23</w:t>
      </w:r>
      <w:r w:rsidR="0001224E" w:rsidRPr="00302F74">
        <w:rPr>
          <w:rFonts w:ascii="Book Antiqua" w:hAnsi="Book Antiqua" w:cs="Times New Roman"/>
          <w:sz w:val="24"/>
          <w:szCs w:val="24"/>
          <w:vertAlign w:val="superscript"/>
        </w:rPr>
        <w:t>3</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In the stomach, somatostatin</w:t>
      </w:r>
      <w:r w:rsidRPr="00302F74">
        <w:rPr>
          <w:rFonts w:ascii="Book Antiqua" w:hAnsi="Book Antiqua" w:cs="Times New Roman"/>
          <w:sz w:val="24"/>
          <w:szCs w:val="24"/>
          <w:lang w:val="en"/>
        </w:rPr>
        <w:t xml:space="preserve"> activates K+-ATP channels (adenosine triphosphate-dependent potassium channels) which normally protect against gastric mucosal injury in the presence of portal hypertension, and antagonizes the portal hypertensive and injury-promoting effects of glucagon</w:t>
      </w:r>
      <w:r w:rsidRPr="00302F74">
        <w:rPr>
          <w:rFonts w:ascii="Book Antiqua" w:hAnsi="Book Antiqua" w:cs="Times New Roman"/>
          <w:sz w:val="24"/>
          <w:szCs w:val="24"/>
          <w:vertAlign w:val="superscript"/>
          <w:lang w:val="en"/>
        </w:rPr>
        <w:t>[16</w:t>
      </w:r>
      <w:r w:rsidR="0001224E"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302F74">
        <w:rPr>
          <w:rFonts w:ascii="Book Antiqua" w:hAnsi="Book Antiqua" w:cs="Times New Roman"/>
          <w:sz w:val="24"/>
          <w:szCs w:val="24"/>
        </w:rPr>
        <w:t>Octreotide is a first-line treatment for acute bleeding from PHG.</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In a randomized controlled trial, octreotide, at 100 mcg bolus followed by infusion of 25 mcg/min for the first 24 </w:t>
      </w:r>
      <w:r w:rsidR="00AD6572" w:rsidRPr="00302F74">
        <w:rPr>
          <w:rFonts w:ascii="Book Antiqua" w:hAnsi="Book Antiqua" w:cs="Times New Roman"/>
          <w:sz w:val="24"/>
          <w:szCs w:val="24"/>
          <w:lang w:val="en"/>
        </w:rPr>
        <w:t>h</w:t>
      </w:r>
      <w:r w:rsidRPr="00302F74">
        <w:rPr>
          <w:rFonts w:ascii="Book Antiqua" w:hAnsi="Book Antiqua" w:cs="Times New Roman"/>
          <w:sz w:val="24"/>
          <w:szCs w:val="24"/>
        </w:rPr>
        <w:t xml:space="preserve"> and then 20 mcg/min for the second 24 </w:t>
      </w:r>
      <w:r w:rsidR="00AD6572" w:rsidRPr="00302F74">
        <w:rPr>
          <w:rFonts w:ascii="Book Antiqua" w:hAnsi="Book Antiqua" w:cs="Times New Roman"/>
          <w:sz w:val="24"/>
          <w:szCs w:val="24"/>
          <w:lang w:val="en"/>
        </w:rPr>
        <w:t>h</w:t>
      </w:r>
      <w:r w:rsidRPr="00302F74">
        <w:rPr>
          <w:rFonts w:ascii="Book Antiqua" w:hAnsi="Book Antiqua" w:cs="Times New Roman"/>
          <w:sz w:val="24"/>
          <w:szCs w:val="24"/>
        </w:rPr>
        <w:t xml:space="preserve">, controlled bleeding from PHG in 20 (83%) of 24 patients at 24 </w:t>
      </w:r>
      <w:r w:rsidR="00AD6572" w:rsidRPr="00302F74">
        <w:rPr>
          <w:rFonts w:ascii="Book Antiqua" w:hAnsi="Book Antiqua" w:cs="Times New Roman"/>
          <w:sz w:val="24"/>
          <w:szCs w:val="24"/>
          <w:lang w:val="en"/>
        </w:rPr>
        <w:t>h</w:t>
      </w:r>
      <w:r w:rsidRPr="00302F74">
        <w:rPr>
          <w:rFonts w:ascii="Book Antiqua" w:hAnsi="Book Antiqua" w:cs="Times New Roman"/>
          <w:sz w:val="24"/>
          <w:szCs w:val="24"/>
        </w:rPr>
        <w:t xml:space="preserve"> and in 24 (100%) of 24 patients at 48 </w:t>
      </w:r>
      <w:r w:rsidR="00AD6572" w:rsidRPr="00302F74">
        <w:rPr>
          <w:rFonts w:ascii="Book Antiqua" w:hAnsi="Book Antiqua" w:cs="Times New Roman"/>
          <w:sz w:val="24"/>
          <w:szCs w:val="24"/>
          <w:lang w:val="en"/>
        </w:rPr>
        <w:t>h</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Octreotide significantly more frequently controlled the bleeding than vasopressin (64%, </w:t>
      </w:r>
      <w:r w:rsidR="00E878B6">
        <w:rPr>
          <w:rFonts w:ascii="Book Antiqua" w:hAnsi="Book Antiqua" w:cs="Times New Roman"/>
          <w:i/>
          <w:sz w:val="24"/>
          <w:szCs w:val="24"/>
        </w:rPr>
        <w:t>P &lt;</w:t>
      </w:r>
      <w:r w:rsidR="00AD6572">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 xml:space="preserve">0.005), or omeprazole (59%, </w:t>
      </w:r>
      <w:r w:rsidR="00E878B6">
        <w:rPr>
          <w:rFonts w:ascii="Book Antiqua" w:hAnsi="Book Antiqua" w:cs="Times New Roman"/>
          <w:i/>
          <w:sz w:val="24"/>
          <w:szCs w:val="24"/>
        </w:rPr>
        <w:t>P &lt;</w:t>
      </w:r>
      <w:r w:rsidR="00AD6572">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 xml:space="preserve">0.005), and tended to be more effective than both vasopressin and omeprazole (88%, </w:t>
      </w:r>
      <w:r w:rsidRPr="00AD6572">
        <w:rPr>
          <w:rFonts w:ascii="Book Antiqua" w:hAnsi="Book Antiqua" w:cs="Times New Roman"/>
          <w:sz w:val="24"/>
          <w:szCs w:val="24"/>
        </w:rPr>
        <w:t>NS</w:t>
      </w:r>
      <w:r w:rsidRPr="00302F74">
        <w:rPr>
          <w:rFonts w:ascii="Book Antiqua" w:hAnsi="Book Antiqua" w:cs="Times New Roman"/>
          <w:sz w:val="24"/>
          <w:szCs w:val="24"/>
        </w:rPr>
        <w:t>)</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Octreotide also controlled the bleeding significantly faster and required significantly less transfusions of packed erythrocytes than vasopressin or omeprazole</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b/>
          <w:sz w:val="24"/>
          <w:szCs w:val="24"/>
        </w:rPr>
        <w:t xml:space="preserve"> </w:t>
      </w:r>
      <w:r w:rsidRPr="00302F74">
        <w:rPr>
          <w:rFonts w:ascii="Book Antiqua" w:hAnsi="Book Antiqua" w:cs="Times New Roman"/>
          <w:sz w:val="24"/>
          <w:szCs w:val="24"/>
        </w:rPr>
        <w:t xml:space="preserve">Octreotide even successfully stopped bleeding within 48 </w:t>
      </w:r>
      <w:r w:rsidR="00AD6572" w:rsidRPr="00302F74">
        <w:rPr>
          <w:rFonts w:ascii="Book Antiqua" w:hAnsi="Book Antiqua" w:cs="Times New Roman"/>
          <w:sz w:val="24"/>
          <w:szCs w:val="24"/>
          <w:lang w:val="en"/>
        </w:rPr>
        <w:t>h</w:t>
      </w:r>
      <w:r w:rsidRPr="00302F74">
        <w:rPr>
          <w:rFonts w:ascii="Book Antiqua" w:hAnsi="Book Antiqua" w:cs="Times New Roman"/>
          <w:sz w:val="24"/>
          <w:szCs w:val="24"/>
        </w:rPr>
        <w:t xml:space="preserve"> in the patients with bleeding refractory to vasopressin and omeprazole therapy.</w:t>
      </w:r>
    </w:p>
    <w:p w:rsidR="00C9325C" w:rsidRPr="00302F74" w:rsidRDefault="00C9325C" w:rsidP="00FA6CCE">
      <w:pPr>
        <w:widowControl w:val="0"/>
        <w:spacing w:line="360" w:lineRule="auto"/>
        <w:ind w:firstLine="720"/>
        <w:jc w:val="both"/>
        <w:rPr>
          <w:rFonts w:ascii="Book Antiqua" w:hAnsi="Book Antiqua" w:cs="Times New Roman"/>
          <w:sz w:val="24"/>
          <w:szCs w:val="24"/>
          <w:lang w:val="en"/>
        </w:rPr>
      </w:pPr>
      <w:r w:rsidRPr="00302F74">
        <w:rPr>
          <w:rFonts w:ascii="Book Antiqua" w:hAnsi="Book Antiqua" w:cs="Times New Roman"/>
          <w:sz w:val="24"/>
          <w:szCs w:val="24"/>
        </w:rPr>
        <w:t xml:space="preserve">Kouroumalis </w:t>
      </w:r>
      <w:r w:rsidR="00AD6572"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rPr>
        <w:t>[</w:t>
      </w:r>
      <w:r w:rsidRPr="00302F74">
        <w:rPr>
          <w:rFonts w:ascii="Book Antiqua" w:hAnsi="Book Antiqua" w:cs="Times New Roman"/>
          <w:sz w:val="24"/>
          <w:szCs w:val="24"/>
          <w:vertAlign w:val="superscript"/>
          <w:lang w:val="en"/>
        </w:rPr>
        <w:t>10</w:t>
      </w:r>
      <w:r w:rsidR="0001224E"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that </w:t>
      </w:r>
      <w:r w:rsidRPr="00302F74">
        <w:rPr>
          <w:rFonts w:ascii="Book Antiqua" w:hAnsi="Book Antiqua" w:cs="Times New Roman"/>
          <w:sz w:val="24"/>
          <w:szCs w:val="24"/>
        </w:rPr>
        <w:t>somatostatin or octreotide infusion for 3 d stopped severe bleeding from PHG in all 26 study patients.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Only 3 patients experienced recurrent bleeding which stopped after retreatment with somatostatin, and only one patient required gastrectomy for refractory bleeding. </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lang w:val="en"/>
        </w:rPr>
        <w:t>Somatostatin and octreotide only temporarily reduce portal pressure.</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Escorsell</w:t>
      </w:r>
      <w:r w:rsidR="00AD6572" w:rsidRPr="00AD6572">
        <w:rPr>
          <w:rFonts w:ascii="Book Antiqua" w:hAnsi="Book Antiqua" w:cs="Times New Roman"/>
          <w:bCs/>
          <w:i/>
          <w:sz w:val="24"/>
          <w:szCs w:val="24"/>
          <w:lang w:val="en"/>
        </w:rPr>
        <w:t xml:space="preserve"> </w:t>
      </w:r>
      <w:r w:rsidR="00AD6572" w:rsidRPr="00FA4E58">
        <w:rPr>
          <w:rFonts w:ascii="Book Antiqua" w:hAnsi="Book Antiqua" w:cs="Times New Roman"/>
          <w:bCs/>
          <w:i/>
          <w:sz w:val="24"/>
          <w:szCs w:val="24"/>
          <w:lang w:val="en"/>
        </w:rPr>
        <w:t>et al</w:t>
      </w:r>
      <w:r w:rsidRPr="00302F74">
        <w:rPr>
          <w:rFonts w:ascii="Book Antiqua" w:hAnsi="Book Antiqua" w:cs="Times New Roman"/>
          <w:sz w:val="24"/>
          <w:szCs w:val="24"/>
          <w:vertAlign w:val="superscript"/>
          <w:lang w:val="en"/>
        </w:rPr>
        <w:t>[23</w:t>
      </w:r>
      <w:r w:rsidR="0001224E" w:rsidRPr="00302F74">
        <w:rPr>
          <w:rFonts w:ascii="Book Antiqua" w:hAnsi="Book Antiqua" w:cs="Times New Roman"/>
          <w:sz w:val="24"/>
          <w:szCs w:val="24"/>
          <w:vertAlign w:val="superscript"/>
          <w:lang w:val="en"/>
        </w:rPr>
        <w:t>2</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rapid desensitization to the effects of octreotide with prolonged administration in cirrhotic patients with portal hypertension. Therefore somatostatin and octreotide are useful for acute bleeding but not for preventing chronic bleeding from PHG.</w:t>
      </w:r>
      <w:r w:rsidR="00963345">
        <w:rPr>
          <w:rFonts w:ascii="Book Antiqua" w:hAnsi="Book Antiqua" w:cs="Times New Roman"/>
          <w:sz w:val="24"/>
          <w:szCs w:val="24"/>
          <w:lang w:val="en"/>
        </w:rPr>
        <w:t xml:space="preserve"> </w:t>
      </w:r>
      <w:r w:rsidRPr="00302F74">
        <w:rPr>
          <w:rFonts w:ascii="Book Antiqua" w:hAnsi="Book Antiqua" w:cs="Times New Roman"/>
          <w:sz w:val="24"/>
          <w:szCs w:val="24"/>
        </w:rPr>
        <w:t>Octreotide did not significantly change the severity of PHG at endoscopy.</w:t>
      </w:r>
    </w:p>
    <w:p w:rsidR="00AD6572" w:rsidRPr="00302F74" w:rsidRDefault="00AD6572" w:rsidP="00FA6CCE">
      <w:pPr>
        <w:widowControl w:val="0"/>
        <w:spacing w:line="360" w:lineRule="auto"/>
        <w:ind w:firstLine="720"/>
        <w:jc w:val="both"/>
        <w:rPr>
          <w:rFonts w:ascii="Book Antiqua" w:hAnsi="Book Antiqua" w:cs="Times New Roman"/>
          <w:sz w:val="24"/>
          <w:szCs w:val="24"/>
          <w:lang w:val="en" w:eastAsia="zh-CN"/>
        </w:rPr>
      </w:pPr>
    </w:p>
    <w:p w:rsidR="00C9325C" w:rsidRPr="00302F74" w:rsidRDefault="00C9325C" w:rsidP="00AD6572">
      <w:pPr>
        <w:widowControl w:val="0"/>
        <w:spacing w:line="360" w:lineRule="auto"/>
        <w:jc w:val="both"/>
        <w:rPr>
          <w:rFonts w:ascii="Book Antiqua" w:hAnsi="Book Antiqua" w:cs="Times New Roman"/>
          <w:sz w:val="24"/>
          <w:szCs w:val="24"/>
        </w:rPr>
      </w:pPr>
      <w:r w:rsidRPr="00F63BBD">
        <w:rPr>
          <w:rFonts w:ascii="Book Antiqua" w:hAnsi="Book Antiqua" w:cs="Times New Roman"/>
          <w:b/>
          <w:bCs/>
          <w:sz w:val="24"/>
          <w:szCs w:val="24"/>
        </w:rPr>
        <w:t>Vasopressin and terlipressin</w:t>
      </w:r>
      <w:r w:rsidR="00F63BBD">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 xml:space="preserve">Vasopressin, a systemic vasoconstrictor, reduces splanchnic blood flow, lowers portal pressure, and decreases gastric mucosal blood </w:t>
      </w:r>
      <w:proofErr w:type="gramStart"/>
      <w:r w:rsidRPr="00302F74">
        <w:rPr>
          <w:rFonts w:ascii="Book Antiqua" w:hAnsi="Book Antiqua" w:cs="Times New Roman"/>
          <w:sz w:val="24"/>
          <w:szCs w:val="24"/>
        </w:rPr>
        <w:t>flow</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In a randomized, controlled trial, vasopressin</w:t>
      </w:r>
      <w:r w:rsidRPr="00302F74">
        <w:rPr>
          <w:rFonts w:ascii="Book Antiqua" w:hAnsi="Book Antiqua" w:cs="Times New Roman"/>
          <w:sz w:val="24"/>
          <w:szCs w:val="24"/>
          <w:lang w:val="en"/>
        </w:rPr>
        <w:t xml:space="preserve">, administered intravenously (IV) at a rate of 1 unit/min for the first 10 min, followed by continuous infusion at 0.1 </w:t>
      </w:r>
      <w:r w:rsidRPr="00302F74">
        <w:rPr>
          <w:rFonts w:ascii="Book Antiqua" w:hAnsi="Book Antiqua" w:cs="Times New Roman"/>
          <w:sz w:val="24"/>
          <w:szCs w:val="24"/>
          <w:lang w:val="en"/>
        </w:rPr>
        <w:lastRenderedPageBreak/>
        <w:t xml:space="preserve">unit/min for 48 </w:t>
      </w:r>
      <w:r w:rsidR="00AD6572" w:rsidRPr="00302F74">
        <w:rPr>
          <w:rFonts w:ascii="Book Antiqua" w:hAnsi="Book Antiqua" w:cs="Times New Roman"/>
          <w:sz w:val="24"/>
          <w:szCs w:val="24"/>
          <w:lang w:val="en"/>
        </w:rPr>
        <w:t>h</w:t>
      </w:r>
      <w:r w:rsidRPr="00302F74">
        <w:rPr>
          <w:rFonts w:ascii="Book Antiqua" w:hAnsi="Book Antiqua" w:cs="Times New Roman"/>
          <w:sz w:val="24"/>
          <w:szCs w:val="24"/>
          <w:lang w:val="en"/>
        </w:rPr>
        <w:t>, arrested bleeding from PHG in 14 (64%) of 22 patients</w:t>
      </w:r>
      <w:r w:rsidRPr="00302F74">
        <w:rPr>
          <w:rFonts w:ascii="Book Antiqua" w:hAnsi="Book Antiqua" w:cs="Times New Roman"/>
          <w:sz w:val="24"/>
          <w:szCs w:val="24"/>
          <w:vertAlign w:val="superscript"/>
          <w:lang w:val="en"/>
        </w:rPr>
        <w:t>[10</w:t>
      </w:r>
      <w:r w:rsidR="0001224E" w:rsidRPr="00302F74">
        <w:rPr>
          <w:rFonts w:ascii="Book Antiqua" w:hAnsi="Book Antiqua" w:cs="Times New Roman"/>
          <w:sz w:val="24"/>
          <w:szCs w:val="24"/>
          <w:vertAlign w:val="superscript"/>
          <w:lang w:val="en"/>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rPr>
        <w:t>. However, as aforementioned, this result was inferior to that achieved by octreotide, possibly because vasopressin does not inhibit release of peptides, including glucagon and vasoactive intestinal polypeptide (VIP), and does not inhibit gastric acid secretion</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Concomitant omeprazole therapy may modestly increase vasopressin efficacy</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Vasopressin is considered an alternative therapy to octreotide.</w:t>
      </w:r>
    </w:p>
    <w:p w:rsidR="00C9325C" w:rsidRDefault="00C9325C" w:rsidP="00FA6CCE">
      <w:pPr>
        <w:widowControl w:val="0"/>
        <w:spacing w:line="360" w:lineRule="auto"/>
        <w:ind w:firstLine="720"/>
        <w:jc w:val="both"/>
        <w:rPr>
          <w:rFonts w:ascii="Book Antiqua" w:hAnsi="Book Antiqua" w:cs="Times New Roman"/>
          <w:sz w:val="24"/>
          <w:szCs w:val="24"/>
          <w:lang w:eastAsia="zh-CN"/>
        </w:rPr>
      </w:pPr>
      <w:r w:rsidRPr="00302F74">
        <w:rPr>
          <w:rFonts w:ascii="Book Antiqua" w:hAnsi="Book Antiqua" w:cs="Times New Roman"/>
          <w:sz w:val="24"/>
          <w:szCs w:val="24"/>
          <w:lang w:val="en"/>
        </w:rPr>
        <w:t>Vasopressin causes significantly more frequent side effects (41%) than octreotide, especially abdominal pain</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Vasopressin reduces oxygen saturation of gastric mucosa, but this reduction can be partly reversed by administering supplemental oxygen</w:t>
      </w:r>
      <w:r w:rsidRPr="00302F74">
        <w:rPr>
          <w:rFonts w:ascii="Book Antiqua" w:hAnsi="Book Antiqua" w:cs="Times New Roman"/>
          <w:sz w:val="24"/>
          <w:szCs w:val="24"/>
          <w:vertAlign w:val="superscript"/>
        </w:rPr>
        <w:t>[23</w:t>
      </w:r>
      <w:r w:rsidR="0001224E" w:rsidRPr="00302F74">
        <w:rPr>
          <w:rFonts w:ascii="Book Antiqua" w:hAnsi="Book Antiqua" w:cs="Times New Roman"/>
          <w:sz w:val="24"/>
          <w:szCs w:val="24"/>
          <w:vertAlign w:val="superscript"/>
        </w:rPr>
        <w:t>4</w:t>
      </w:r>
      <w:r w:rsidRPr="00302F74">
        <w:rPr>
          <w:rFonts w:ascii="Book Antiqua" w:hAnsi="Book Antiqua" w:cs="Times New Roman"/>
          <w:sz w:val="24"/>
          <w:szCs w:val="24"/>
          <w:vertAlign w:val="superscript"/>
        </w:rPr>
        <w:t>,23</w:t>
      </w:r>
      <w:r w:rsidR="0001224E" w:rsidRPr="00302F74">
        <w:rPr>
          <w:rFonts w:ascii="Book Antiqua" w:hAnsi="Book Antiqua" w:cs="Times New Roman"/>
          <w:sz w:val="24"/>
          <w:szCs w:val="24"/>
          <w:vertAlign w:val="superscript"/>
        </w:rPr>
        <w:t>5</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Two analogues of vasopressin have been studied.</w:t>
      </w:r>
      <w:r w:rsidR="00963345">
        <w:rPr>
          <w:rFonts w:ascii="Book Antiqua" w:hAnsi="Book Antiqua" w:cs="Times New Roman"/>
          <w:sz w:val="24"/>
          <w:szCs w:val="24"/>
        </w:rPr>
        <w:t xml:space="preserve"> </w:t>
      </w:r>
      <w:r w:rsidRPr="00302F74">
        <w:rPr>
          <w:rFonts w:ascii="Book Antiqua" w:hAnsi="Book Antiqua" w:cs="Times New Roman"/>
          <w:sz w:val="24"/>
          <w:szCs w:val="24"/>
        </w:rPr>
        <w:t>Glypressin showed similar reduction in gastric mucosal perfusion as vasopressin by laser-Doppler flowmetry, but less impairment in gastric mucosal oxygenation</w:t>
      </w:r>
      <w:r w:rsidRPr="00302F74">
        <w:rPr>
          <w:rFonts w:ascii="Book Antiqua" w:hAnsi="Book Antiqua" w:cs="Times New Roman"/>
          <w:sz w:val="24"/>
          <w:szCs w:val="24"/>
          <w:vertAlign w:val="superscript"/>
        </w:rPr>
        <w:t>[23</w:t>
      </w:r>
      <w:r w:rsidR="0001224E" w:rsidRPr="00302F74">
        <w:rPr>
          <w:rFonts w:ascii="Book Antiqua" w:hAnsi="Book Antiqua" w:cs="Times New Roman"/>
          <w:sz w:val="24"/>
          <w:szCs w:val="24"/>
          <w:vertAlign w:val="superscript"/>
        </w:rPr>
        <w:t>5</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Terlipressin may be useful in controlling acute bleeding from PHG, especially when used at a dose of 1 mg IV every 4 </w:t>
      </w:r>
      <w:r w:rsidR="00AD6572" w:rsidRPr="00302F74">
        <w:rPr>
          <w:rFonts w:ascii="Book Antiqua" w:hAnsi="Book Antiqua" w:cs="Times New Roman"/>
          <w:sz w:val="24"/>
          <w:szCs w:val="24"/>
          <w:lang w:val="en"/>
        </w:rPr>
        <w:t>h</w:t>
      </w:r>
      <w:r w:rsidRPr="00302F74">
        <w:rPr>
          <w:rFonts w:ascii="Book Antiqua" w:hAnsi="Book Antiqua" w:cs="Times New Roman"/>
          <w:sz w:val="24"/>
          <w:szCs w:val="24"/>
        </w:rPr>
        <w:t xml:space="preserve"> for 5 d</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3</w:t>
      </w:r>
      <w:r w:rsidRPr="00302F74">
        <w:rPr>
          <w:rFonts w:ascii="Book Antiqua" w:hAnsi="Book Antiqua" w:cs="Times New Roman"/>
          <w:sz w:val="24"/>
          <w:szCs w:val="24"/>
          <w:vertAlign w:val="superscript"/>
        </w:rPr>
        <w:t>,10</w:t>
      </w:r>
      <w:r w:rsidR="0001224E" w:rsidRPr="00302F74">
        <w:rPr>
          <w:rFonts w:ascii="Book Antiqua" w:hAnsi="Book Antiqua" w:cs="Times New Roman"/>
          <w:sz w:val="24"/>
          <w:szCs w:val="24"/>
          <w:vertAlign w:val="superscript"/>
        </w:rPr>
        <w:t>7</w:t>
      </w:r>
      <w:r w:rsidRPr="00302F74">
        <w:rPr>
          <w:rFonts w:ascii="Book Antiqua" w:hAnsi="Book Antiqua" w:cs="Times New Roman"/>
          <w:sz w:val="24"/>
          <w:szCs w:val="24"/>
          <w:vertAlign w:val="superscript"/>
        </w:rPr>
        <w:t>,19</w:t>
      </w:r>
      <w:r w:rsidR="0001224E" w:rsidRPr="00302F74">
        <w:rPr>
          <w:rFonts w:ascii="Book Antiqua" w:hAnsi="Book Antiqua" w:cs="Times New Roman"/>
          <w:sz w:val="24"/>
          <w:szCs w:val="24"/>
          <w:vertAlign w:val="superscript"/>
        </w:rPr>
        <w:t>2</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p>
    <w:p w:rsidR="00AD6572" w:rsidRPr="00F63BBD" w:rsidRDefault="00AD6572" w:rsidP="00FA6CCE">
      <w:pPr>
        <w:widowControl w:val="0"/>
        <w:spacing w:line="360" w:lineRule="auto"/>
        <w:ind w:firstLine="720"/>
        <w:jc w:val="both"/>
        <w:rPr>
          <w:rFonts w:ascii="Book Antiqua" w:hAnsi="Book Antiqua" w:cs="Times New Roman"/>
          <w:sz w:val="24"/>
          <w:szCs w:val="24"/>
          <w:lang w:eastAsia="zh-CN"/>
        </w:rPr>
      </w:pPr>
    </w:p>
    <w:p w:rsidR="00C9325C" w:rsidRPr="00F63BBD" w:rsidRDefault="00C9325C" w:rsidP="00AD6572">
      <w:pPr>
        <w:widowControl w:val="0"/>
        <w:spacing w:line="360" w:lineRule="auto"/>
        <w:jc w:val="both"/>
        <w:rPr>
          <w:rFonts w:ascii="Book Antiqua" w:hAnsi="Book Antiqua" w:cs="Times New Roman"/>
          <w:i/>
          <w:sz w:val="24"/>
          <w:szCs w:val="24"/>
          <w:lang w:val="en"/>
        </w:rPr>
      </w:pPr>
      <w:r w:rsidRPr="00F63BBD">
        <w:rPr>
          <w:rFonts w:ascii="Book Antiqua" w:hAnsi="Book Antiqua" w:cs="Times New Roman"/>
          <w:b/>
          <w:bCs/>
          <w:sz w:val="24"/>
          <w:szCs w:val="24"/>
          <w:lang w:val="en"/>
        </w:rPr>
        <w:t>Antioxidants</w:t>
      </w:r>
      <w:r w:rsidR="00F63BBD" w:rsidRPr="00F63BBD">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rPr>
        <w:t>Antioxidants help in free radical scavenging and in reversing impairment of oxidative stress-induced ERK2 activation. They may decrease susceptibility of PHG gastric mucosa to alcoholic injury, as demonstrated by administration of vitamin E, an antioxidant</w:t>
      </w:r>
      <w:r w:rsidRPr="00302F74">
        <w:rPr>
          <w:rFonts w:ascii="Book Antiqua" w:hAnsi="Book Antiqua" w:cs="Times New Roman"/>
          <w:sz w:val="24"/>
          <w:szCs w:val="24"/>
          <w:vertAlign w:val="superscript"/>
        </w:rPr>
        <w:t>[14</w:t>
      </w:r>
      <w:r w:rsidR="00371E01" w:rsidRPr="00302F74">
        <w:rPr>
          <w:rFonts w:ascii="Book Antiqua" w:hAnsi="Book Antiqua" w:cs="Times New Roman"/>
          <w:sz w:val="24"/>
          <w:szCs w:val="24"/>
          <w:vertAlign w:val="superscript"/>
        </w:rPr>
        <w:t>4</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Vitamin E reduced oxidative state, normalized MKP-1 expression, and reversed impairment of oxidative stress-induced ERK2 activation</w:t>
      </w:r>
      <w:r w:rsidRPr="00302F74">
        <w:rPr>
          <w:rFonts w:ascii="Book Antiqua" w:hAnsi="Book Antiqua" w:cs="Times New Roman"/>
          <w:sz w:val="24"/>
          <w:szCs w:val="24"/>
          <w:vertAlign w:val="superscript"/>
        </w:rPr>
        <w:t>[</w:t>
      </w:r>
      <w:r w:rsidRPr="00302F74">
        <w:rPr>
          <w:rFonts w:ascii="Book Antiqua" w:hAnsi="Book Antiqua" w:cs="Times New Roman"/>
          <w:sz w:val="24"/>
          <w:szCs w:val="24"/>
          <w:vertAlign w:val="superscript"/>
          <w:lang w:val="en"/>
        </w:rPr>
        <w:t>14</w:t>
      </w:r>
      <w:r w:rsidR="00371E01" w:rsidRPr="00302F74">
        <w:rPr>
          <w:rFonts w:ascii="Book Antiqua" w:hAnsi="Book Antiqua" w:cs="Times New Roman"/>
          <w:sz w:val="24"/>
          <w:szCs w:val="24"/>
          <w:vertAlign w:val="superscript"/>
          <w:lang w:val="en"/>
        </w:rPr>
        <w:t>4</w:t>
      </w:r>
      <w:r w:rsidRPr="00302F74">
        <w:rPr>
          <w:rFonts w:ascii="Book Antiqua" w:hAnsi="Book Antiqua" w:cs="Times New Roman"/>
          <w:sz w:val="24"/>
          <w:szCs w:val="24"/>
          <w:vertAlign w:val="superscript"/>
          <w:lang w:val="en"/>
        </w:rPr>
        <w:t>]</w:t>
      </w:r>
      <w:r w:rsidRPr="00302F74">
        <w:rPr>
          <w:rFonts w:ascii="Book Antiqua" w:hAnsi="Book Antiqua" w:cs="Times New Roman"/>
          <w:b/>
          <w:sz w:val="24"/>
          <w:szCs w:val="24"/>
          <w:lang w:val="en"/>
        </w:rPr>
        <w:t>.</w:t>
      </w:r>
      <w:r w:rsidR="00963345">
        <w:rPr>
          <w:rFonts w:ascii="Book Antiqua" w:hAnsi="Book Antiqua" w:cs="Times New Roman"/>
          <w:b/>
          <w:sz w:val="24"/>
          <w:szCs w:val="24"/>
          <w:lang w:val="en"/>
        </w:rPr>
        <w:t xml:space="preserve"> </w:t>
      </w:r>
      <w:r w:rsidRPr="00302F74">
        <w:rPr>
          <w:rFonts w:ascii="Book Antiqua" w:hAnsi="Book Antiqua" w:cs="Times New Roman"/>
          <w:sz w:val="24"/>
          <w:szCs w:val="24"/>
        </w:rPr>
        <w:t>Vitamin E helped reduce gastric injury from alcohol exposure in rats with PHG</w:t>
      </w:r>
      <w:r w:rsidRPr="00302F74">
        <w:rPr>
          <w:rFonts w:ascii="Book Antiqua" w:hAnsi="Book Antiqua" w:cs="Times New Roman"/>
          <w:sz w:val="24"/>
          <w:szCs w:val="24"/>
          <w:vertAlign w:val="superscript"/>
        </w:rPr>
        <w:t>[71]</w:t>
      </w:r>
      <w:r w:rsidRPr="00302F74">
        <w:rPr>
          <w:rFonts w:ascii="Book Antiqua" w:hAnsi="Book Antiqua" w:cs="Times New Roman"/>
          <w:sz w:val="24"/>
          <w:szCs w:val="24"/>
        </w:rPr>
        <w:t>.</w:t>
      </w:r>
      <w:r w:rsidRPr="00302F74">
        <w:rPr>
          <w:rFonts w:ascii="Book Antiqua" w:hAnsi="Book Antiqua" w:cs="Times New Roman"/>
          <w:b/>
          <w:sz w:val="24"/>
          <w:szCs w:val="24"/>
        </w:rPr>
        <w:t xml:space="preserve"> </w:t>
      </w:r>
    </w:p>
    <w:p w:rsidR="00C9325C" w:rsidRPr="00302F74" w:rsidRDefault="00C9325C" w:rsidP="00FA6CCE">
      <w:pPr>
        <w:widowControl w:val="0"/>
        <w:spacing w:line="360" w:lineRule="auto"/>
        <w:ind w:firstLine="720"/>
        <w:jc w:val="both"/>
        <w:rPr>
          <w:rFonts w:ascii="Book Antiqua" w:hAnsi="Book Antiqua" w:cs="Times New Roman"/>
          <w:sz w:val="24"/>
          <w:szCs w:val="24"/>
        </w:rPr>
      </w:pPr>
      <w:r w:rsidRPr="00302F74">
        <w:rPr>
          <w:rFonts w:ascii="Book Antiqua" w:hAnsi="Book Antiqua" w:cs="Times New Roman"/>
          <w:sz w:val="24"/>
          <w:szCs w:val="24"/>
          <w:lang w:val="en"/>
        </w:rPr>
        <w:t>Vitamin E administration decreased mucosal lipid peroxidation, decreased lysosomal enzymes, and increased levels of antioxidants.</w:t>
      </w:r>
      <w:r w:rsidR="00963345">
        <w:rPr>
          <w:rFonts w:ascii="Book Antiqua" w:hAnsi="Book Antiqua" w:cs="Times New Roman"/>
          <w:sz w:val="24"/>
          <w:szCs w:val="24"/>
          <w:lang w:val="en"/>
        </w:rPr>
        <w:t xml:space="preserve"> </w:t>
      </w:r>
      <w:r w:rsidR="00D11694">
        <w:rPr>
          <w:rFonts w:ascii="Book Antiqua" w:hAnsi="Book Antiqua" w:cs="Times New Roman"/>
          <w:sz w:val="24"/>
          <w:szCs w:val="24"/>
        </w:rPr>
        <w:t xml:space="preserve">Kaur </w:t>
      </w:r>
      <w:r w:rsidR="00D11694" w:rsidRPr="00D11694">
        <w:rPr>
          <w:rFonts w:ascii="Book Antiqua" w:hAnsi="Book Antiqua" w:cs="Times New Roman"/>
          <w:i/>
          <w:sz w:val="24"/>
          <w:szCs w:val="24"/>
        </w:rPr>
        <w:t>et al</w:t>
      </w:r>
      <w:r w:rsidRPr="00302F74">
        <w:rPr>
          <w:rFonts w:ascii="Book Antiqua" w:hAnsi="Book Antiqua" w:cs="Times New Roman"/>
          <w:sz w:val="24"/>
          <w:szCs w:val="24"/>
          <w:vertAlign w:val="superscript"/>
        </w:rPr>
        <w:t>[14</w:t>
      </w:r>
      <w:r w:rsidR="00371E01" w:rsidRPr="00302F74">
        <w:rPr>
          <w:rFonts w:ascii="Book Antiqua" w:hAnsi="Book Antiqua" w:cs="Times New Roman"/>
          <w:sz w:val="24"/>
          <w:szCs w:val="24"/>
          <w:vertAlign w:val="superscript"/>
        </w:rPr>
        <w:t>3</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administered vitamin E 240 mg subcutaneously to rats with common bile duct ligation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sham surgery.</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Seven days after ligation or sham surgery, the level of thiobarbituric acid reactive substances (TBA-RS) in gastric mucosa was significantly higher in ligated rats not receiving vitamin E (0.78 + 0.22 nmoles of malondialdehyde formed/mg protein) as compared to sham surgery rats administered vitamin E (0.56 + 0.07 nmoles of malondialdehyde formed/mg protein, </w:t>
      </w:r>
      <w:r w:rsidR="00E878B6">
        <w:rPr>
          <w:rFonts w:ascii="Book Antiqua" w:hAnsi="Book Antiqua" w:cs="Times New Roman"/>
          <w:i/>
          <w:sz w:val="24"/>
          <w:szCs w:val="24"/>
        </w:rPr>
        <w:t>P &lt;</w:t>
      </w:r>
      <w:r w:rsidR="00AD6572">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0.01).</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These data suggest that vitamin E decreased mucosal lipid peroxidation. In the ligation group vitamin E administered </w:t>
      </w:r>
      <w:r w:rsidRPr="00302F74">
        <w:rPr>
          <w:rFonts w:ascii="Book Antiqua" w:hAnsi="Book Antiqua" w:cs="Times New Roman"/>
          <w:sz w:val="24"/>
          <w:szCs w:val="24"/>
        </w:rPr>
        <w:lastRenderedPageBreak/>
        <w:t>preoperatively significantly reduced the levels of β-glucuronidase as compared to untreated or post-operatively-treated groups (</w:t>
      </w:r>
      <w:r w:rsidR="00E878B6">
        <w:rPr>
          <w:rFonts w:ascii="Book Antiqua" w:hAnsi="Book Antiqua" w:cs="Times New Roman"/>
          <w:i/>
          <w:sz w:val="24"/>
          <w:szCs w:val="24"/>
        </w:rPr>
        <w:t>P &lt;</w:t>
      </w:r>
      <w:r w:rsidR="00AD6572">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0.01). Preoperative vitamin E therapy significantly lowered levels of acid phosphatase as compared to untreated or postoperatively treated groups (</w:t>
      </w:r>
      <w:r w:rsidR="00E878B6">
        <w:rPr>
          <w:rFonts w:ascii="Book Antiqua" w:hAnsi="Book Antiqua" w:cs="Times New Roman"/>
          <w:i/>
          <w:sz w:val="24"/>
          <w:szCs w:val="24"/>
        </w:rPr>
        <w:t>P &lt;</w:t>
      </w:r>
      <w:r w:rsidR="00AD6572">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0.01). Preoperative administration of vitamin E in the ligation group led to significantly increased levels of the three major antioxidant enzymes, including superoxide dismutase (</w:t>
      </w:r>
      <w:r w:rsidR="00E878B6">
        <w:rPr>
          <w:rFonts w:ascii="Book Antiqua" w:hAnsi="Book Antiqua" w:cs="Times New Roman"/>
          <w:i/>
          <w:sz w:val="24"/>
          <w:szCs w:val="24"/>
        </w:rPr>
        <w:t>P &lt;</w:t>
      </w:r>
      <w:r w:rsidR="00D11694">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0.005), glutathione peroxidase (</w:t>
      </w:r>
      <w:r w:rsidR="00E878B6">
        <w:rPr>
          <w:rFonts w:ascii="Book Antiqua" w:hAnsi="Book Antiqua" w:cs="Times New Roman"/>
          <w:i/>
          <w:sz w:val="24"/>
          <w:szCs w:val="24"/>
        </w:rPr>
        <w:t>P &lt;</w:t>
      </w:r>
      <w:r w:rsidR="00D11694">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0.01), and catalase (</w:t>
      </w:r>
      <w:r w:rsidR="00E878B6">
        <w:rPr>
          <w:rFonts w:ascii="Book Antiqua" w:hAnsi="Book Antiqua" w:cs="Times New Roman"/>
          <w:i/>
          <w:sz w:val="24"/>
          <w:szCs w:val="24"/>
        </w:rPr>
        <w:t>P &lt;</w:t>
      </w:r>
      <w:r w:rsidR="00D11694">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 when compared to the levels of these antioxidant enzymes in untreated groups or in groups treated postoperatively with vitamin E. These data provide a theoretical basis that vitamin E administration may potentially improve PHG.</w:t>
      </w:r>
    </w:p>
    <w:p w:rsidR="00C9325C" w:rsidRDefault="00C9325C" w:rsidP="00FA6CCE">
      <w:pPr>
        <w:widowControl w:val="0"/>
        <w:spacing w:line="360" w:lineRule="auto"/>
        <w:ind w:firstLine="720"/>
        <w:jc w:val="both"/>
        <w:rPr>
          <w:rFonts w:ascii="Book Antiqua" w:hAnsi="Book Antiqua" w:cs="Times New Roman"/>
          <w:sz w:val="24"/>
          <w:szCs w:val="24"/>
          <w:lang w:val="en" w:eastAsia="zh-CN"/>
        </w:rPr>
      </w:pPr>
      <w:r w:rsidRPr="00302F74">
        <w:rPr>
          <w:rFonts w:ascii="Book Antiqua" w:hAnsi="Book Antiqua" w:cs="Times New Roman"/>
          <w:sz w:val="24"/>
          <w:szCs w:val="24"/>
          <w:lang w:val="en"/>
        </w:rPr>
        <w:t xml:space="preserve">Kawanaka </w:t>
      </w:r>
      <w:r w:rsidR="00D11694" w:rsidRPr="00D11694">
        <w:rPr>
          <w:rFonts w:ascii="Book Antiqua" w:hAnsi="Book Antiqua" w:cs="Times New Roman"/>
          <w:i/>
          <w:sz w:val="24"/>
          <w:szCs w:val="24"/>
        </w:rPr>
        <w:t>et al</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vertAlign w:val="superscript"/>
        </w:rPr>
        <w:t>14</w:t>
      </w:r>
      <w:r w:rsidR="00371E01" w:rsidRPr="00302F74">
        <w:rPr>
          <w:rFonts w:ascii="Book Antiqua" w:hAnsi="Book Antiqua" w:cs="Times New Roman"/>
          <w:sz w:val="24"/>
          <w:szCs w:val="24"/>
          <w:vertAlign w:val="superscript"/>
        </w:rPr>
        <w:t>4</w:t>
      </w:r>
      <w:r w:rsidRPr="00302F74">
        <w:rPr>
          <w:rFonts w:ascii="Book Antiqua" w:hAnsi="Book Antiqua" w:cs="Times New Roman"/>
          <w:sz w:val="24"/>
          <w:szCs w:val="24"/>
          <w:vertAlign w:val="superscript"/>
        </w:rPr>
        <w:t>]</w:t>
      </w:r>
      <w:r w:rsidRPr="00302F74">
        <w:rPr>
          <w:rFonts w:ascii="Book Antiqua" w:hAnsi="Book Antiqua" w:cs="Times New Roman"/>
          <w:b/>
          <w:sz w:val="24"/>
          <w:szCs w:val="24"/>
        </w:rPr>
        <w:t xml:space="preserve"> </w:t>
      </w:r>
      <w:r w:rsidRPr="00302F74">
        <w:rPr>
          <w:rFonts w:ascii="Book Antiqua" w:hAnsi="Book Antiqua" w:cs="Times New Roman"/>
          <w:sz w:val="24"/>
          <w:szCs w:val="24"/>
          <w:lang w:val="en"/>
        </w:rPr>
        <w:t xml:space="preserve">administered vitamin E or saline for 13 d in rats with PHG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lang w:val="en"/>
        </w:rPr>
        <w:t xml:space="preserve"> sham-operated rats used as a control.</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Rats with PHG had a 2.3-fold increased area of gastric mucosal necrosis after gastric exposure to ethanol than sham-operated rats (</w:t>
      </w:r>
      <w:r w:rsidR="00E878B6">
        <w:rPr>
          <w:rFonts w:ascii="Book Antiqua" w:hAnsi="Book Antiqua" w:cs="Times New Roman"/>
          <w:i/>
          <w:sz w:val="24"/>
          <w:szCs w:val="24"/>
          <w:lang w:val="en"/>
        </w:rPr>
        <w:t>P &lt;</w:t>
      </w:r>
      <w:r w:rsidR="00AD6572">
        <w:rPr>
          <w:rFonts w:ascii="Book Antiqua" w:hAnsi="Book Antiqua" w:cs="Times New Roman" w:hint="eastAsia"/>
          <w:i/>
          <w:sz w:val="24"/>
          <w:szCs w:val="24"/>
          <w:lang w:val="en" w:eastAsia="zh-CN"/>
        </w:rPr>
        <w:t xml:space="preserve"> </w:t>
      </w:r>
      <w:r w:rsidRPr="00302F74">
        <w:rPr>
          <w:rFonts w:ascii="Book Antiqua" w:hAnsi="Book Antiqua" w:cs="Times New Roman"/>
          <w:sz w:val="24"/>
          <w:szCs w:val="24"/>
          <w:lang w:val="en"/>
        </w:rPr>
        <w:t>0.05), but vitamin E treatment in rats with PHG almost completely reversed this increased necrosis compared to controls (</w:t>
      </w:r>
      <w:r w:rsidR="00E878B6">
        <w:rPr>
          <w:rFonts w:ascii="Book Antiqua" w:hAnsi="Book Antiqua" w:cs="Times New Roman"/>
          <w:i/>
          <w:sz w:val="24"/>
          <w:szCs w:val="24"/>
          <w:lang w:val="en"/>
        </w:rPr>
        <w:t>P &lt;</w:t>
      </w:r>
      <w:r w:rsidR="00AD6572">
        <w:rPr>
          <w:rFonts w:ascii="Book Antiqua" w:hAnsi="Book Antiqua" w:cs="Times New Roman" w:hint="eastAsia"/>
          <w:i/>
          <w:sz w:val="24"/>
          <w:szCs w:val="24"/>
          <w:lang w:val="en" w:eastAsia="zh-CN"/>
        </w:rPr>
        <w:t xml:space="preserve"> </w:t>
      </w:r>
      <w:r w:rsidRPr="00302F74">
        <w:rPr>
          <w:rFonts w:ascii="Book Antiqua" w:hAnsi="Book Antiqua" w:cs="Times New Roman"/>
          <w:sz w:val="24"/>
          <w:szCs w:val="24"/>
          <w:lang w:val="en"/>
        </w:rPr>
        <w:t>0.05).</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Vitamin E treatment did not significantly change portal pressure or gastric mucosal blood flow in PHG gastric mucosa.</w:t>
      </w:r>
    </w:p>
    <w:p w:rsidR="00D11694" w:rsidRPr="00302F74" w:rsidRDefault="00D11694" w:rsidP="00FA6CCE">
      <w:pPr>
        <w:widowControl w:val="0"/>
        <w:spacing w:line="360" w:lineRule="auto"/>
        <w:ind w:firstLine="720"/>
        <w:jc w:val="both"/>
        <w:rPr>
          <w:rFonts w:ascii="Book Antiqua" w:hAnsi="Book Antiqua" w:cs="Times New Roman"/>
          <w:sz w:val="24"/>
          <w:szCs w:val="24"/>
          <w:lang w:val="en" w:eastAsia="zh-CN"/>
        </w:rPr>
      </w:pPr>
    </w:p>
    <w:p w:rsidR="00C9325C" w:rsidRDefault="00C9325C" w:rsidP="00D11694">
      <w:pPr>
        <w:widowControl w:val="0"/>
        <w:spacing w:line="360" w:lineRule="auto"/>
        <w:jc w:val="both"/>
        <w:rPr>
          <w:rFonts w:ascii="Book Antiqua" w:hAnsi="Book Antiqua" w:cs="Times New Roman"/>
          <w:sz w:val="24"/>
          <w:szCs w:val="24"/>
          <w:lang w:val="en"/>
        </w:rPr>
      </w:pPr>
      <w:r w:rsidRPr="00F63BBD">
        <w:rPr>
          <w:rFonts w:ascii="Book Antiqua" w:hAnsi="Book Antiqua" w:cs="Times New Roman"/>
          <w:b/>
          <w:sz w:val="24"/>
          <w:szCs w:val="24"/>
          <w:lang w:val="en"/>
        </w:rPr>
        <w:t>Rebamipide</w:t>
      </w:r>
      <w:r w:rsidR="00F63BBD">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Rebamipide, an antiulcer medication, protects against oxygen-derived production of free radicals by scavenging free radicals. Intragastric administration ameliorates oxidative stress, reduces nitration of tyrosine residues of ERK, and reverses delayed mucosal healing occurring in PHG. It reversed the increased susceptibility to ethanol-induced injury and reversed the delayed healing after gastric injury in rats with PHG</w:t>
      </w:r>
      <w:r w:rsidRPr="00302F74">
        <w:rPr>
          <w:rFonts w:ascii="Book Antiqua" w:hAnsi="Book Antiqua" w:cs="Times New Roman"/>
          <w:sz w:val="24"/>
          <w:szCs w:val="24"/>
          <w:vertAlign w:val="superscript"/>
          <w:lang w:val="en"/>
        </w:rPr>
        <w:t>[14</w:t>
      </w:r>
      <w:r w:rsidR="00371E01"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Kinjo </w:t>
      </w:r>
      <w:r w:rsidR="00D11694" w:rsidRPr="00D11694">
        <w:rPr>
          <w:rFonts w:ascii="Book Antiqua" w:hAnsi="Book Antiqua" w:cs="Times New Roman"/>
          <w:i/>
          <w:sz w:val="24"/>
          <w:szCs w:val="24"/>
        </w:rPr>
        <w:t>et al</w:t>
      </w:r>
      <w:r w:rsidRPr="00302F74">
        <w:rPr>
          <w:rFonts w:ascii="Book Antiqua" w:hAnsi="Book Antiqua" w:cs="Times New Roman"/>
          <w:sz w:val="24"/>
          <w:szCs w:val="24"/>
          <w:vertAlign w:val="superscript"/>
          <w:lang w:val="en"/>
        </w:rPr>
        <w:t>[14</w:t>
      </w:r>
      <w:r w:rsidR="00371E01" w:rsidRPr="00302F74">
        <w:rPr>
          <w:rFonts w:ascii="Book Antiqua" w:hAnsi="Book Antiqua" w:cs="Times New Roman"/>
          <w:sz w:val="24"/>
          <w:szCs w:val="24"/>
          <w:vertAlign w:val="superscript"/>
          <w:lang w:val="en"/>
        </w:rPr>
        <w:t>5</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reported that administration of rebamipide in rats with PHG, significantly decreased lipid peroxide and nitrotyrosine and nitration of ERK by peroxynitrite in PHG mucosa, therefore normalizing ERK activation and restoring normal gastric mucosal healing after ethanol injury. Rebamipide requires further study as a therapy for PHG</w:t>
      </w:r>
      <w:r w:rsidRPr="00302F74">
        <w:rPr>
          <w:rFonts w:ascii="Book Antiqua" w:hAnsi="Book Antiqua" w:cs="Times New Roman"/>
          <w:sz w:val="24"/>
          <w:szCs w:val="24"/>
          <w:vertAlign w:val="superscript"/>
          <w:lang w:val="en"/>
        </w:rPr>
        <w:t>[1</w:t>
      </w:r>
      <w:r w:rsidR="00371E01" w:rsidRPr="00302F74">
        <w:rPr>
          <w:rFonts w:ascii="Book Antiqua" w:hAnsi="Book Antiqua" w:cs="Times New Roman"/>
          <w:sz w:val="24"/>
          <w:szCs w:val="24"/>
          <w:vertAlign w:val="superscript"/>
          <w:lang w:val="en"/>
        </w:rPr>
        <w:t>19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xml:space="preserve">. </w:t>
      </w:r>
    </w:p>
    <w:p w:rsidR="00D11694" w:rsidRPr="00302F74" w:rsidRDefault="00D11694" w:rsidP="00D11694">
      <w:pPr>
        <w:widowControl w:val="0"/>
        <w:spacing w:line="360" w:lineRule="auto"/>
        <w:jc w:val="both"/>
        <w:rPr>
          <w:rFonts w:ascii="Book Antiqua" w:hAnsi="Book Antiqua" w:cs="Times New Roman"/>
          <w:sz w:val="24"/>
          <w:szCs w:val="24"/>
          <w:lang w:val="en" w:eastAsia="zh-CN"/>
        </w:rPr>
      </w:pPr>
    </w:p>
    <w:p w:rsidR="00C9325C" w:rsidRPr="00F63BBD" w:rsidRDefault="00C9325C" w:rsidP="00D11694">
      <w:pPr>
        <w:widowControl w:val="0"/>
        <w:spacing w:line="360" w:lineRule="auto"/>
        <w:jc w:val="both"/>
        <w:rPr>
          <w:rFonts w:ascii="Book Antiqua" w:hAnsi="Book Antiqua" w:cs="Times New Roman"/>
          <w:sz w:val="24"/>
          <w:szCs w:val="24"/>
          <w:lang w:val="en"/>
        </w:rPr>
      </w:pPr>
      <w:r w:rsidRPr="00F63BBD">
        <w:rPr>
          <w:rFonts w:ascii="Book Antiqua" w:hAnsi="Book Antiqua" w:cs="Times New Roman"/>
          <w:b/>
          <w:bCs/>
          <w:sz w:val="24"/>
          <w:szCs w:val="24"/>
          <w:lang w:val="en"/>
        </w:rPr>
        <w:t>Estrogen and progesterone</w:t>
      </w:r>
      <w:r w:rsidR="00F63BBD">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rPr>
        <w:t xml:space="preserve">Estrogen and progesterone therapy reduced gastric mucosal blood flow, portal pressure, and porto-collateral resistance in rats with </w:t>
      </w:r>
      <w:r w:rsidRPr="00302F74">
        <w:rPr>
          <w:rFonts w:ascii="Book Antiqua" w:hAnsi="Book Antiqua" w:cs="Times New Roman"/>
          <w:sz w:val="24"/>
          <w:szCs w:val="24"/>
        </w:rPr>
        <w:lastRenderedPageBreak/>
        <w:t>surgically-induced portal hypertension</w:t>
      </w:r>
      <w:r w:rsidRPr="00302F74">
        <w:rPr>
          <w:rFonts w:ascii="Book Antiqua" w:hAnsi="Book Antiqua" w:cs="Times New Roman"/>
          <w:sz w:val="24"/>
          <w:szCs w:val="24"/>
          <w:vertAlign w:val="superscript"/>
        </w:rPr>
        <w:t>[23</w:t>
      </w:r>
      <w:r w:rsidR="00371E01"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007F7ED7">
        <w:rPr>
          <w:rFonts w:ascii="Book Antiqua" w:hAnsi="Book Antiqua" w:cs="Times New Roman"/>
          <w:sz w:val="24"/>
          <w:szCs w:val="24"/>
        </w:rPr>
        <w:t xml:space="preserve">Panes </w:t>
      </w:r>
      <w:r w:rsidR="007F7ED7" w:rsidRPr="00D11694">
        <w:rPr>
          <w:rFonts w:ascii="Book Antiqua" w:hAnsi="Book Antiqua" w:cs="Times New Roman"/>
          <w:i/>
          <w:sz w:val="24"/>
          <w:szCs w:val="24"/>
        </w:rPr>
        <w:t>et al</w:t>
      </w:r>
      <w:r w:rsidRPr="00302F74">
        <w:rPr>
          <w:rFonts w:ascii="Book Antiqua" w:hAnsi="Book Antiqua" w:cs="Times New Roman"/>
          <w:sz w:val="24"/>
          <w:szCs w:val="24"/>
          <w:vertAlign w:val="superscript"/>
        </w:rPr>
        <w:t>[23</w:t>
      </w:r>
      <w:r w:rsidR="00371E01"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reported that treatment with estradiol, dihydroxyprogesterone, or low dose combination estradiol-dihydroxyprogesterone significantly decreased gastric mucosal blood flow in rats that underwent portal vein ligation as compared to placebo (56 + 3.5 m</w:t>
      </w:r>
      <w:r w:rsidR="007F7ED7" w:rsidRPr="00302F74">
        <w:rPr>
          <w:rFonts w:ascii="Book Antiqua" w:hAnsi="Book Antiqua" w:cs="Times New Roman"/>
          <w:sz w:val="24"/>
          <w:szCs w:val="24"/>
        </w:rPr>
        <w:t>L</w:t>
      </w:r>
      <w:r w:rsidRPr="00302F74">
        <w:rPr>
          <w:rFonts w:ascii="Book Antiqua" w:hAnsi="Book Antiqua" w:cs="Times New Roman"/>
          <w:sz w:val="24"/>
          <w:szCs w:val="24"/>
        </w:rPr>
        <w:t>/min</w:t>
      </w:r>
      <w:r w:rsidR="007F7ED7">
        <w:rPr>
          <w:rFonts w:ascii="Book Antiqua" w:hAnsi="Book Antiqua" w:cs="Times New Roman" w:hint="eastAsia"/>
          <w:sz w:val="24"/>
          <w:szCs w:val="24"/>
          <w:lang w:eastAsia="zh-CN"/>
        </w:rPr>
        <w:t xml:space="preserve"> per </w:t>
      </w:r>
      <w:r w:rsidRPr="00302F74">
        <w:rPr>
          <w:rFonts w:ascii="Book Antiqua" w:hAnsi="Book Antiqua" w:cs="Times New Roman"/>
          <w:sz w:val="24"/>
          <w:szCs w:val="24"/>
        </w:rPr>
        <w:t>100 gm for placebo; 43 + 3.4 m</w:t>
      </w:r>
      <w:r w:rsidR="007F7ED7" w:rsidRPr="00302F74">
        <w:rPr>
          <w:rFonts w:ascii="Book Antiqua" w:hAnsi="Book Antiqua" w:cs="Times New Roman"/>
          <w:sz w:val="24"/>
          <w:szCs w:val="24"/>
        </w:rPr>
        <w:t>L</w:t>
      </w:r>
      <w:r w:rsidRPr="00302F74">
        <w:rPr>
          <w:rFonts w:ascii="Book Antiqua" w:hAnsi="Book Antiqua" w:cs="Times New Roman"/>
          <w:sz w:val="24"/>
          <w:szCs w:val="24"/>
        </w:rPr>
        <w:t>/min</w:t>
      </w:r>
      <w:r w:rsidR="007F7ED7">
        <w:rPr>
          <w:rFonts w:ascii="Book Antiqua" w:hAnsi="Book Antiqua" w:cs="Times New Roman" w:hint="eastAsia"/>
          <w:sz w:val="24"/>
          <w:szCs w:val="24"/>
          <w:lang w:eastAsia="zh-CN"/>
        </w:rPr>
        <w:t xml:space="preserve"> per </w:t>
      </w:r>
      <w:r w:rsidRPr="00302F74">
        <w:rPr>
          <w:rFonts w:ascii="Book Antiqua" w:hAnsi="Book Antiqua" w:cs="Times New Roman"/>
          <w:sz w:val="24"/>
          <w:szCs w:val="24"/>
        </w:rPr>
        <w:t>100 gm for estrogen; 32 + 2.6 m</w:t>
      </w:r>
      <w:r w:rsidR="007F7ED7" w:rsidRPr="00302F74">
        <w:rPr>
          <w:rFonts w:ascii="Book Antiqua" w:hAnsi="Book Antiqua" w:cs="Times New Roman"/>
          <w:sz w:val="24"/>
          <w:szCs w:val="24"/>
        </w:rPr>
        <w:t>L</w:t>
      </w:r>
      <w:r w:rsidRPr="00302F74">
        <w:rPr>
          <w:rFonts w:ascii="Book Antiqua" w:hAnsi="Book Antiqua" w:cs="Times New Roman"/>
          <w:sz w:val="24"/>
          <w:szCs w:val="24"/>
        </w:rPr>
        <w:t>/min</w:t>
      </w:r>
      <w:r w:rsidR="007F7ED7">
        <w:rPr>
          <w:rFonts w:ascii="Book Antiqua" w:hAnsi="Book Antiqua" w:cs="Times New Roman" w:hint="eastAsia"/>
          <w:sz w:val="24"/>
          <w:szCs w:val="24"/>
          <w:lang w:eastAsia="zh-CN"/>
        </w:rPr>
        <w:t xml:space="preserve"> per </w:t>
      </w:r>
      <w:r w:rsidRPr="00302F74">
        <w:rPr>
          <w:rFonts w:ascii="Book Antiqua" w:hAnsi="Book Antiqua" w:cs="Times New Roman"/>
          <w:sz w:val="24"/>
          <w:szCs w:val="24"/>
        </w:rPr>
        <w:t>100 gm for dihydroxyprogesterone, and 42 + 6.1 m</w:t>
      </w:r>
      <w:r w:rsidR="007F7ED7" w:rsidRPr="00302F74">
        <w:rPr>
          <w:rFonts w:ascii="Book Antiqua" w:hAnsi="Book Antiqua" w:cs="Times New Roman"/>
          <w:sz w:val="24"/>
          <w:szCs w:val="24"/>
        </w:rPr>
        <w:t>L</w:t>
      </w:r>
      <w:r w:rsidRPr="00302F74">
        <w:rPr>
          <w:rFonts w:ascii="Book Antiqua" w:hAnsi="Book Antiqua" w:cs="Times New Roman"/>
          <w:sz w:val="24"/>
          <w:szCs w:val="24"/>
        </w:rPr>
        <w:t>/min</w:t>
      </w:r>
      <w:r w:rsidR="007F7ED7">
        <w:rPr>
          <w:rFonts w:ascii="Book Antiqua" w:hAnsi="Book Antiqua" w:cs="Times New Roman" w:hint="eastAsia"/>
          <w:sz w:val="24"/>
          <w:szCs w:val="24"/>
          <w:lang w:eastAsia="zh-CN"/>
        </w:rPr>
        <w:t xml:space="preserve"> per </w:t>
      </w:r>
      <w:r w:rsidRPr="00302F74">
        <w:rPr>
          <w:rFonts w:ascii="Book Antiqua" w:hAnsi="Book Antiqua" w:cs="Times New Roman"/>
          <w:sz w:val="24"/>
          <w:szCs w:val="24"/>
        </w:rPr>
        <w:t xml:space="preserve">100 gm for low dose estrogen/dihydroxyprogesterone, </w:t>
      </w:r>
      <w:r w:rsidR="00E878B6">
        <w:rPr>
          <w:rFonts w:ascii="Book Antiqua" w:hAnsi="Book Antiqua" w:cs="Times New Roman"/>
          <w:i/>
          <w:sz w:val="24"/>
          <w:szCs w:val="24"/>
        </w:rPr>
        <w:t>P &lt;</w:t>
      </w:r>
      <w:r w:rsidR="007F7ED7">
        <w:rPr>
          <w:rFonts w:ascii="Book Antiqua" w:hAnsi="Book Antiqua" w:cs="Times New Roman" w:hint="eastAsia"/>
          <w:i/>
          <w:sz w:val="24"/>
          <w:szCs w:val="24"/>
          <w:lang w:eastAsia="zh-CN"/>
        </w:rPr>
        <w:t xml:space="preserve"> </w:t>
      </w:r>
      <w:r w:rsidRPr="00302F74">
        <w:rPr>
          <w:rFonts w:ascii="Book Antiqua" w:hAnsi="Book Antiqua" w:cs="Times New Roman"/>
          <w:sz w:val="24"/>
          <w:szCs w:val="24"/>
        </w:rPr>
        <w:t>0.05). Estrogen and progesterone have not been studied in patients with PHG.</w:t>
      </w:r>
    </w:p>
    <w:p w:rsidR="007F7ED7" w:rsidRPr="00302F74" w:rsidRDefault="007F7ED7" w:rsidP="00D11694">
      <w:pPr>
        <w:widowControl w:val="0"/>
        <w:spacing w:line="360" w:lineRule="auto"/>
        <w:jc w:val="both"/>
        <w:rPr>
          <w:rFonts w:ascii="Book Antiqua" w:hAnsi="Book Antiqua" w:cs="Times New Roman"/>
          <w:sz w:val="24"/>
          <w:szCs w:val="24"/>
          <w:lang w:eastAsia="zh-CN"/>
        </w:rPr>
      </w:pPr>
    </w:p>
    <w:p w:rsidR="00C9325C" w:rsidRPr="00F63BBD" w:rsidRDefault="00C9325C" w:rsidP="007F7ED7">
      <w:pPr>
        <w:widowControl w:val="0"/>
        <w:spacing w:line="360" w:lineRule="auto"/>
        <w:jc w:val="both"/>
        <w:rPr>
          <w:rFonts w:ascii="Book Antiqua" w:hAnsi="Book Antiqua" w:cs="Times New Roman"/>
          <w:sz w:val="24"/>
          <w:szCs w:val="24"/>
          <w:lang w:val="en"/>
        </w:rPr>
      </w:pPr>
      <w:r w:rsidRPr="00F63BBD">
        <w:rPr>
          <w:rFonts w:ascii="Book Antiqua" w:hAnsi="Book Antiqua" w:cs="Times New Roman"/>
          <w:b/>
          <w:bCs/>
          <w:sz w:val="24"/>
          <w:szCs w:val="24"/>
          <w:lang w:val="en"/>
        </w:rPr>
        <w:t>Thalidomide</w:t>
      </w:r>
      <w:r w:rsidR="00F63BBD">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rPr>
        <w:t>Thalidomide blunts development of a hyperdynamic circulation and decreases portal pressure by reducing NO production</w:t>
      </w:r>
      <w:r w:rsidRPr="00302F74">
        <w:rPr>
          <w:rFonts w:ascii="Book Antiqua" w:hAnsi="Book Antiqua" w:cs="Times New Roman"/>
          <w:sz w:val="24"/>
          <w:szCs w:val="24"/>
          <w:vertAlign w:val="superscript"/>
        </w:rPr>
        <w:t>[11</w:t>
      </w:r>
      <w:r w:rsidR="00371E01" w:rsidRPr="00302F74">
        <w:rPr>
          <w:rFonts w:ascii="Book Antiqua" w:hAnsi="Book Antiqua" w:cs="Times New Roman"/>
          <w:sz w:val="24"/>
          <w:szCs w:val="24"/>
          <w:vertAlign w:val="superscript"/>
        </w:rPr>
        <w:t>4</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Thalidomide, at a low dose of 100 mg daily, was successful as a last resort therapy in one case report of bleeding from PHG caused by neoplastic invasion of the portal vein</w:t>
      </w:r>
      <w:r w:rsidRPr="00302F74">
        <w:rPr>
          <w:rFonts w:ascii="Book Antiqua" w:hAnsi="Book Antiqua" w:cs="Times New Roman"/>
          <w:sz w:val="24"/>
          <w:szCs w:val="24"/>
          <w:vertAlign w:val="superscript"/>
        </w:rPr>
        <w:t>[23</w:t>
      </w:r>
      <w:r w:rsidR="00371E01" w:rsidRPr="00302F74">
        <w:rPr>
          <w:rFonts w:ascii="Book Antiqua" w:hAnsi="Book Antiqua" w:cs="Times New Roman"/>
          <w:sz w:val="24"/>
          <w:szCs w:val="24"/>
          <w:vertAlign w:val="superscript"/>
        </w:rPr>
        <w:t>7</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Before thalidomide therapy, the patient had required transfusion of 30 units of packed erythrocytes during 35 d while treated with propranolol and terlipressin.</w:t>
      </w:r>
    </w:p>
    <w:p w:rsidR="000350A5" w:rsidRPr="00302F74" w:rsidRDefault="000350A5" w:rsidP="007F7ED7">
      <w:pPr>
        <w:widowControl w:val="0"/>
        <w:spacing w:line="360" w:lineRule="auto"/>
        <w:jc w:val="both"/>
        <w:rPr>
          <w:rFonts w:ascii="Book Antiqua" w:hAnsi="Book Antiqua" w:cs="Times New Roman"/>
          <w:b/>
          <w:bCs/>
          <w:sz w:val="24"/>
          <w:szCs w:val="24"/>
          <w:lang w:eastAsia="zh-CN"/>
        </w:rPr>
      </w:pPr>
    </w:p>
    <w:p w:rsidR="00C9325C" w:rsidRPr="00F63BBD" w:rsidRDefault="00C9325C" w:rsidP="000350A5">
      <w:pPr>
        <w:widowControl w:val="0"/>
        <w:spacing w:line="360" w:lineRule="auto"/>
        <w:jc w:val="both"/>
        <w:rPr>
          <w:rFonts w:ascii="Book Antiqua" w:hAnsi="Book Antiqua" w:cs="Times New Roman"/>
          <w:b/>
          <w:bCs/>
          <w:sz w:val="24"/>
          <w:szCs w:val="24"/>
        </w:rPr>
      </w:pPr>
      <w:r w:rsidRPr="00F63BBD">
        <w:rPr>
          <w:rFonts w:ascii="Book Antiqua" w:hAnsi="Book Antiqua" w:cs="Times New Roman"/>
          <w:b/>
          <w:bCs/>
          <w:sz w:val="24"/>
          <w:szCs w:val="24"/>
        </w:rPr>
        <w:t>Corticosteroids</w:t>
      </w:r>
      <w:r w:rsidR="00F63BBD">
        <w:rPr>
          <w:rFonts w:ascii="Book Antiqua" w:hAnsi="Book Antiqua" w:cs="Times New Roman" w:hint="eastAsia"/>
          <w:b/>
          <w:bCs/>
          <w:sz w:val="24"/>
          <w:szCs w:val="24"/>
          <w:lang w:eastAsia="zh-CN"/>
        </w:rPr>
        <w:t xml:space="preserve">: </w:t>
      </w:r>
      <w:r w:rsidRPr="00302F74">
        <w:rPr>
          <w:rFonts w:ascii="Book Antiqua" w:hAnsi="Book Antiqua" w:cs="Times New Roman"/>
          <w:sz w:val="24"/>
          <w:szCs w:val="24"/>
        </w:rPr>
        <w:t xml:space="preserve">There is one case report of cessation of PHG bleeding with corticosteroid therapy, using prednisolone 20 mg/d, after being admitted for five times during 5 </w:t>
      </w:r>
      <w:proofErr w:type="gramStart"/>
      <w:r w:rsidRPr="00302F74">
        <w:rPr>
          <w:rFonts w:ascii="Book Antiqua" w:hAnsi="Book Antiqua" w:cs="Times New Roman"/>
          <w:sz w:val="24"/>
          <w:szCs w:val="24"/>
        </w:rPr>
        <w:t>mo</w:t>
      </w:r>
      <w:proofErr w:type="gramEnd"/>
      <w:r w:rsidRPr="00302F74">
        <w:rPr>
          <w:rFonts w:ascii="Book Antiqua" w:hAnsi="Book Antiqua" w:cs="Times New Roman"/>
          <w:sz w:val="24"/>
          <w:szCs w:val="24"/>
        </w:rPr>
        <w:t xml:space="preserve"> with severe iron deficiency anemia from chronic GI bleeding from PHG that was refractory to propranolol therapy.</w:t>
      </w:r>
      <w:r w:rsidR="00963345">
        <w:rPr>
          <w:rFonts w:ascii="Book Antiqua" w:hAnsi="Book Antiqua" w:cs="Times New Roman"/>
          <w:sz w:val="24"/>
          <w:szCs w:val="24"/>
        </w:rPr>
        <w:t xml:space="preserve"> </w:t>
      </w:r>
      <w:r w:rsidRPr="00302F74">
        <w:rPr>
          <w:rFonts w:ascii="Book Antiqua" w:hAnsi="Book Antiqua" w:cs="Times New Roman"/>
          <w:sz w:val="24"/>
          <w:szCs w:val="24"/>
        </w:rPr>
        <w:t>At 2 mo follow-up the hemoglobin was rising and at 4 mo follow-up repeat EGD showed an improved endoscopic appearance of PHG</w:t>
      </w:r>
      <w:r w:rsidRPr="00302F74">
        <w:rPr>
          <w:rFonts w:ascii="Book Antiqua" w:hAnsi="Book Antiqua" w:cs="Times New Roman"/>
          <w:sz w:val="24"/>
          <w:szCs w:val="24"/>
          <w:vertAlign w:val="superscript"/>
        </w:rPr>
        <w:t>[23</w:t>
      </w:r>
      <w:r w:rsidR="00371E01" w:rsidRPr="00302F74">
        <w:rPr>
          <w:rFonts w:ascii="Book Antiqua" w:hAnsi="Book Antiqua" w:cs="Times New Roman"/>
          <w:sz w:val="24"/>
          <w:szCs w:val="24"/>
          <w:vertAlign w:val="superscript"/>
        </w:rPr>
        <w:t>8</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The patient was stable during 3-years of follow-up using 15mg prednisolone every other day, with no recurrence of the anemia.</w:t>
      </w:r>
    </w:p>
    <w:p w:rsidR="000350A5" w:rsidRPr="00F63BBD" w:rsidRDefault="000350A5" w:rsidP="000350A5">
      <w:pPr>
        <w:widowControl w:val="0"/>
        <w:spacing w:line="360" w:lineRule="auto"/>
        <w:jc w:val="both"/>
        <w:rPr>
          <w:rFonts w:ascii="Book Antiqua" w:hAnsi="Book Antiqua" w:cs="Times New Roman"/>
          <w:sz w:val="24"/>
          <w:szCs w:val="24"/>
          <w:lang w:eastAsia="zh-CN"/>
        </w:rPr>
      </w:pPr>
    </w:p>
    <w:p w:rsidR="00C9325C" w:rsidRPr="00F63BBD" w:rsidRDefault="00C9325C" w:rsidP="000350A5">
      <w:pPr>
        <w:widowControl w:val="0"/>
        <w:spacing w:line="360" w:lineRule="auto"/>
        <w:jc w:val="both"/>
        <w:rPr>
          <w:rFonts w:ascii="Book Antiqua" w:hAnsi="Book Antiqua" w:cs="Times New Roman"/>
          <w:b/>
          <w:bCs/>
          <w:sz w:val="24"/>
          <w:szCs w:val="24"/>
          <w:lang w:val="en"/>
        </w:rPr>
      </w:pPr>
      <w:r w:rsidRPr="00F63BBD">
        <w:rPr>
          <w:rFonts w:ascii="Book Antiqua" w:hAnsi="Book Antiqua" w:cs="Times New Roman"/>
          <w:b/>
          <w:bCs/>
          <w:sz w:val="24"/>
          <w:szCs w:val="24"/>
          <w:lang w:val="en"/>
        </w:rPr>
        <w:t>Losartan</w:t>
      </w:r>
      <w:r w:rsidR="00F63BBD">
        <w:rPr>
          <w:rFonts w:ascii="Book Antiqua" w:hAnsi="Book Antiqua" w:cs="Times New Roman" w:hint="eastAsia"/>
          <w:b/>
          <w:bCs/>
          <w:sz w:val="24"/>
          <w:szCs w:val="24"/>
          <w:lang w:val="en" w:eastAsia="zh-CN"/>
        </w:rPr>
        <w:t xml:space="preserve">: </w:t>
      </w:r>
      <w:r w:rsidRPr="00302F74">
        <w:rPr>
          <w:rFonts w:ascii="Book Antiqua" w:hAnsi="Book Antiqua" w:cs="Times New Roman"/>
          <w:sz w:val="24"/>
          <w:szCs w:val="24"/>
        </w:rPr>
        <w:t>Hepatic stellate cells help modulate sinusoidal resistance and the sinusoidal microcirculation.</w:t>
      </w:r>
      <w:r w:rsidR="00963345">
        <w:rPr>
          <w:rFonts w:ascii="Book Antiqua" w:hAnsi="Book Antiqua" w:cs="Times New Roman"/>
          <w:sz w:val="24"/>
          <w:szCs w:val="24"/>
        </w:rPr>
        <w:t xml:space="preserve"> </w:t>
      </w:r>
      <w:r w:rsidRPr="00302F74">
        <w:rPr>
          <w:rFonts w:ascii="Book Antiqua" w:hAnsi="Book Antiqua" w:cs="Times New Roman"/>
          <w:sz w:val="24"/>
          <w:szCs w:val="24"/>
        </w:rPr>
        <w:t>These cells are influenced by vasoconstrictors such as endothelin and angiotensin II. The angiotensin II receptor antagonist, losartan, lowers portal pressure by inhibiting stellate cell contraction and by reducing sinusoidal resistance</w:t>
      </w:r>
      <w:r w:rsidRPr="00302F74">
        <w:rPr>
          <w:rFonts w:ascii="Book Antiqua" w:hAnsi="Book Antiqua" w:cs="Times New Roman"/>
          <w:sz w:val="24"/>
          <w:szCs w:val="24"/>
          <w:vertAlign w:val="superscript"/>
        </w:rPr>
        <w:t>[2</w:t>
      </w:r>
      <w:r w:rsidR="00371E01" w:rsidRPr="00302F74">
        <w:rPr>
          <w:rFonts w:ascii="Book Antiqua" w:hAnsi="Book Antiqua" w:cs="Times New Roman"/>
          <w:sz w:val="24"/>
          <w:szCs w:val="24"/>
          <w:vertAlign w:val="superscript"/>
        </w:rPr>
        <w:t>39</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lang w:val="en"/>
        </w:rPr>
        <w:t>Administration of losartan at 25 mg or 50 mg per day resulted in improvement of PHG in 9 (56.3</w:t>
      </w:r>
      <w:r w:rsidR="00963345">
        <w:rPr>
          <w:rFonts w:ascii="Book Antiqua" w:hAnsi="Book Antiqua" w:cs="Times New Roman"/>
          <w:sz w:val="24"/>
          <w:szCs w:val="24"/>
          <w:lang w:val="en"/>
        </w:rPr>
        <w:t>%) of 16 patients during 4 wk</w:t>
      </w:r>
      <w:r w:rsidRPr="00302F74">
        <w:rPr>
          <w:rFonts w:ascii="Book Antiqua" w:hAnsi="Book Antiqua" w:cs="Times New Roman"/>
          <w:sz w:val="24"/>
          <w:szCs w:val="24"/>
          <w:lang w:val="en"/>
        </w:rPr>
        <w:t xml:space="preserve"> of follow-up. The higher dose had greater </w:t>
      </w:r>
      <w:r w:rsidRPr="00302F74">
        <w:rPr>
          <w:rFonts w:ascii="Book Antiqua" w:hAnsi="Book Antiqua" w:cs="Times New Roman"/>
          <w:sz w:val="24"/>
          <w:szCs w:val="24"/>
          <w:lang w:val="en"/>
        </w:rPr>
        <w:lastRenderedPageBreak/>
        <w:t>efficacy.</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There was also evidence of decreased portal pressure. Further studies are needed to evaluate the effect of losartan on PHG</w:t>
      </w:r>
      <w:r w:rsidRPr="00302F74">
        <w:rPr>
          <w:rFonts w:ascii="Book Antiqua" w:hAnsi="Book Antiqua" w:cs="Times New Roman"/>
          <w:sz w:val="24"/>
          <w:szCs w:val="24"/>
          <w:vertAlign w:val="superscript"/>
          <w:lang w:val="en"/>
        </w:rPr>
        <w:t>[2</w:t>
      </w:r>
      <w:r w:rsidR="005D5BBC" w:rsidRPr="00302F74">
        <w:rPr>
          <w:rFonts w:ascii="Book Antiqua" w:hAnsi="Book Antiqua" w:cs="Times New Roman"/>
          <w:sz w:val="24"/>
          <w:szCs w:val="24"/>
          <w:vertAlign w:val="superscript"/>
          <w:lang w:val="en"/>
        </w:rPr>
        <w:t>39</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p>
    <w:p w:rsidR="000350A5" w:rsidRPr="00302F74" w:rsidRDefault="000350A5" w:rsidP="000350A5">
      <w:pPr>
        <w:widowControl w:val="0"/>
        <w:spacing w:line="360" w:lineRule="auto"/>
        <w:jc w:val="both"/>
        <w:rPr>
          <w:rFonts w:ascii="Book Antiqua" w:hAnsi="Book Antiqua" w:cs="Times New Roman"/>
          <w:b/>
          <w:bCs/>
          <w:sz w:val="24"/>
          <w:szCs w:val="24"/>
          <w:lang w:val="en" w:eastAsia="zh-CN"/>
        </w:rPr>
      </w:pPr>
    </w:p>
    <w:p w:rsidR="00C9325C" w:rsidRPr="00F63BBD" w:rsidRDefault="00C9325C" w:rsidP="000350A5">
      <w:pPr>
        <w:widowControl w:val="0"/>
        <w:spacing w:line="360" w:lineRule="auto"/>
        <w:jc w:val="both"/>
        <w:rPr>
          <w:rFonts w:ascii="Book Antiqua" w:hAnsi="Book Antiqua" w:cs="Times New Roman"/>
          <w:sz w:val="24"/>
          <w:szCs w:val="24"/>
          <w:lang w:val="en"/>
        </w:rPr>
      </w:pPr>
      <w:r w:rsidRPr="00302F74">
        <w:rPr>
          <w:rFonts w:ascii="Book Antiqua" w:hAnsi="Book Antiqua" w:cs="Times New Roman"/>
          <w:b/>
          <w:bCs/>
          <w:sz w:val="24"/>
          <w:szCs w:val="24"/>
          <w:lang w:val="en"/>
        </w:rPr>
        <w:t xml:space="preserve">Sucralfate </w:t>
      </w:r>
      <w:r w:rsidR="000350A5">
        <w:rPr>
          <w:rFonts w:ascii="Book Antiqua" w:hAnsi="Book Antiqua" w:cs="Times New Roman" w:hint="eastAsia"/>
          <w:b/>
          <w:bCs/>
          <w:sz w:val="24"/>
          <w:szCs w:val="24"/>
          <w:lang w:val="en" w:eastAsia="zh-CN"/>
        </w:rPr>
        <w:t>and</w:t>
      </w:r>
      <w:r w:rsidRPr="00302F74">
        <w:rPr>
          <w:rFonts w:ascii="Book Antiqua" w:hAnsi="Book Antiqua" w:cs="Times New Roman"/>
          <w:b/>
          <w:bCs/>
          <w:sz w:val="24"/>
          <w:szCs w:val="24"/>
          <w:lang w:val="en"/>
        </w:rPr>
        <w:t xml:space="preserve"> acid-suppressing medications</w:t>
      </w:r>
      <w:r w:rsidR="00F63BBD">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rPr>
        <w:t>Proton pump inhibitors, sucralfate</w:t>
      </w:r>
      <w:r w:rsidRPr="00302F74">
        <w:rPr>
          <w:rFonts w:ascii="Book Antiqua" w:hAnsi="Book Antiqua" w:cs="Times New Roman"/>
          <w:sz w:val="24"/>
          <w:szCs w:val="24"/>
          <w:vertAlign w:val="superscript"/>
        </w:rPr>
        <w:t>[74]</w:t>
      </w:r>
      <w:r w:rsidRPr="00302F74">
        <w:rPr>
          <w:rFonts w:ascii="Book Antiqua" w:hAnsi="Book Antiqua" w:cs="Times New Roman"/>
          <w:sz w:val="24"/>
          <w:szCs w:val="24"/>
        </w:rPr>
        <w:t>, and histamine-2 receptor antagonists are not very effective at reducing bleeding from PHG because most patients with PHG already have hypochlorhydria</w:t>
      </w:r>
      <w:r w:rsidRPr="00302F74">
        <w:rPr>
          <w:rFonts w:ascii="Book Antiqua" w:hAnsi="Book Antiqua" w:cs="Times New Roman"/>
          <w:sz w:val="24"/>
          <w:szCs w:val="24"/>
          <w:vertAlign w:val="superscript"/>
        </w:rPr>
        <w:t>[79,10</w:t>
      </w:r>
      <w:r w:rsidR="005D5BBC"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,24</w:t>
      </w:r>
      <w:r w:rsidR="005D5BBC" w:rsidRPr="00302F74">
        <w:rPr>
          <w:rFonts w:ascii="Book Antiqua" w:hAnsi="Book Antiqua" w:cs="Times New Roman"/>
          <w:sz w:val="24"/>
          <w:szCs w:val="24"/>
          <w:vertAlign w:val="superscript"/>
        </w:rPr>
        <w:t>0</w:t>
      </w:r>
      <w:r w:rsidRPr="00302F74">
        <w:rPr>
          <w:rFonts w:ascii="Book Antiqua" w:hAnsi="Book Antiqua" w:cs="Times New Roman"/>
          <w:sz w:val="24"/>
          <w:szCs w:val="24"/>
          <w:vertAlign w:val="superscript"/>
        </w:rPr>
        <w:t>-24</w:t>
      </w:r>
      <w:r w:rsidR="005D5BBC" w:rsidRPr="00302F74">
        <w:rPr>
          <w:rFonts w:ascii="Book Antiqua" w:hAnsi="Book Antiqua" w:cs="Times New Roman"/>
          <w:sz w:val="24"/>
          <w:szCs w:val="24"/>
          <w:vertAlign w:val="superscript"/>
        </w:rPr>
        <w:t>2</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However, proton pump inhibitors may indirectly stop bleeding from the stomach by raising intraluminal gastric pH and thereby stabilizing blood clots</w:t>
      </w:r>
      <w:r w:rsidRPr="00302F74">
        <w:rPr>
          <w:rFonts w:ascii="Book Antiqua" w:hAnsi="Book Antiqua" w:cs="Times New Roman"/>
          <w:sz w:val="24"/>
          <w:szCs w:val="24"/>
          <w:vertAlign w:val="superscript"/>
        </w:rPr>
        <w:t>[24</w:t>
      </w:r>
      <w:r w:rsidR="005D5BBC" w:rsidRPr="00302F74">
        <w:rPr>
          <w:rFonts w:ascii="Book Antiqua" w:hAnsi="Book Antiqua" w:cs="Times New Roman"/>
          <w:sz w:val="24"/>
          <w:szCs w:val="24"/>
          <w:vertAlign w:val="superscript"/>
        </w:rPr>
        <w:t>3</w:t>
      </w:r>
      <w:r w:rsidRPr="00302F74">
        <w:rPr>
          <w:rFonts w:ascii="Book Antiqua" w:hAnsi="Book Antiqua" w:cs="Times New Roman"/>
          <w:sz w:val="24"/>
          <w:szCs w:val="24"/>
          <w:vertAlign w:val="superscript"/>
        </w:rPr>
        <w:t>,24</w:t>
      </w:r>
      <w:r w:rsidR="005D5BBC" w:rsidRPr="00302F74">
        <w:rPr>
          <w:rFonts w:ascii="Book Antiqua" w:hAnsi="Book Antiqua" w:cs="Times New Roman"/>
          <w:sz w:val="24"/>
          <w:szCs w:val="24"/>
          <w:vertAlign w:val="superscript"/>
        </w:rPr>
        <w:t>4</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Zhou </w:t>
      </w:r>
      <w:r w:rsidR="00B31B65" w:rsidRPr="00B31B65">
        <w:rPr>
          <w:rFonts w:ascii="Book Antiqua" w:hAnsi="Book Antiqua" w:cs="Times New Roman"/>
          <w:i/>
          <w:sz w:val="24"/>
          <w:szCs w:val="24"/>
        </w:rPr>
        <w:t>et al</w:t>
      </w:r>
      <w:r w:rsidRPr="00302F74">
        <w:rPr>
          <w:rFonts w:ascii="Book Antiqua" w:hAnsi="Book Antiqua" w:cs="Times New Roman"/>
          <w:sz w:val="24"/>
          <w:szCs w:val="24"/>
          <w:vertAlign w:val="superscript"/>
        </w:rPr>
        <w:t>[10</w:t>
      </w:r>
      <w:r w:rsidR="005D5BBC"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rPr>
        <w:t>]</w:t>
      </w:r>
      <w:r w:rsidRPr="00302F74">
        <w:rPr>
          <w:rFonts w:ascii="Book Antiqua" w:hAnsi="Book Antiqua" w:cs="Times New Roman"/>
          <w:sz w:val="24"/>
          <w:szCs w:val="24"/>
        </w:rPr>
        <w:t xml:space="preserve"> reported that omeprazole at 40 mg IV bolus every 12 </w:t>
      </w:r>
      <w:r w:rsidR="00AD6572" w:rsidRPr="00302F74">
        <w:rPr>
          <w:rFonts w:ascii="Book Antiqua" w:hAnsi="Book Antiqua" w:cs="Times New Roman"/>
          <w:sz w:val="24"/>
          <w:szCs w:val="24"/>
          <w:lang w:val="en"/>
        </w:rPr>
        <w:t>h</w:t>
      </w:r>
      <w:r w:rsidRPr="00302F74">
        <w:rPr>
          <w:rFonts w:ascii="Book Antiqua" w:hAnsi="Book Antiqua" w:cs="Times New Roman"/>
          <w:sz w:val="24"/>
          <w:szCs w:val="24"/>
        </w:rPr>
        <w:t xml:space="preserve"> for 48</w:t>
      </w:r>
      <w:r w:rsidR="00AD6572">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h successfully stopped bleeding in 59% of patients with PHG bleeding. Additionally, patients whose bleeding was refractory to vasopressin, benefited from omeprazole co-administration and vice versa.</w:t>
      </w:r>
    </w:p>
    <w:p w:rsidR="00B31B65" w:rsidRPr="00302F74" w:rsidRDefault="00B31B65" w:rsidP="000350A5">
      <w:pPr>
        <w:widowControl w:val="0"/>
        <w:spacing w:line="360" w:lineRule="auto"/>
        <w:jc w:val="both"/>
        <w:rPr>
          <w:rFonts w:ascii="Book Antiqua" w:hAnsi="Book Antiqua" w:cs="Times New Roman"/>
          <w:sz w:val="24"/>
          <w:szCs w:val="24"/>
          <w:lang w:eastAsia="zh-CN"/>
        </w:rPr>
      </w:pPr>
    </w:p>
    <w:p w:rsidR="00C9325C" w:rsidRPr="00F63BBD" w:rsidRDefault="00C9325C" w:rsidP="00B31B65">
      <w:pPr>
        <w:widowControl w:val="0"/>
        <w:spacing w:line="360" w:lineRule="auto"/>
        <w:jc w:val="both"/>
        <w:rPr>
          <w:rFonts w:ascii="Book Antiqua" w:hAnsi="Book Antiqua" w:cs="Times New Roman"/>
          <w:b/>
          <w:bCs/>
          <w:sz w:val="24"/>
          <w:szCs w:val="24"/>
        </w:rPr>
      </w:pPr>
      <w:r w:rsidRPr="00F63BBD">
        <w:rPr>
          <w:rFonts w:ascii="Book Antiqua" w:hAnsi="Book Antiqua" w:cs="Times New Roman"/>
          <w:b/>
          <w:bCs/>
          <w:sz w:val="24"/>
          <w:szCs w:val="24"/>
        </w:rPr>
        <w:t>Teprenone</w:t>
      </w:r>
      <w:r w:rsidR="00F63BBD">
        <w:rPr>
          <w:rFonts w:ascii="Book Antiqua" w:hAnsi="Book Antiqua" w:cs="Times New Roman" w:hint="eastAsia"/>
          <w:b/>
          <w:bCs/>
          <w:sz w:val="24"/>
          <w:szCs w:val="24"/>
          <w:lang w:eastAsia="zh-CN"/>
        </w:rPr>
        <w:t xml:space="preserve">: </w:t>
      </w:r>
      <w:r w:rsidRPr="00302F74">
        <w:rPr>
          <w:rFonts w:ascii="Book Antiqua" w:hAnsi="Book Antiqua" w:cs="Times New Roman"/>
          <w:bCs/>
          <w:sz w:val="24"/>
          <w:szCs w:val="24"/>
        </w:rPr>
        <w:t>In a controlled clinical trial, teprenone</w:t>
      </w:r>
      <w:r w:rsidRPr="00302F74">
        <w:rPr>
          <w:rFonts w:ascii="Book Antiqua" w:hAnsi="Book Antiqua" w:cs="Times New Roman"/>
          <w:b/>
          <w:bCs/>
          <w:sz w:val="24"/>
          <w:szCs w:val="24"/>
        </w:rPr>
        <w:t xml:space="preserve"> </w:t>
      </w:r>
      <w:r w:rsidRPr="00302F74">
        <w:rPr>
          <w:rFonts w:ascii="Book Antiqua" w:hAnsi="Book Antiqua" w:cs="Times New Roman"/>
          <w:sz w:val="24"/>
          <w:szCs w:val="24"/>
        </w:rPr>
        <w:t xml:space="preserve">(geranylgeranyl acetone) administered to 15 patients with PHG decreased VEGF and hexosamine content in the gastric antrum, and thereby significantly decreased the severity of </w:t>
      </w:r>
      <w:proofErr w:type="gramStart"/>
      <w:r w:rsidRPr="00302F74">
        <w:rPr>
          <w:rFonts w:ascii="Book Antiqua" w:hAnsi="Book Antiqua" w:cs="Times New Roman"/>
          <w:sz w:val="24"/>
          <w:szCs w:val="24"/>
        </w:rPr>
        <w:t>PHG</w:t>
      </w:r>
      <w:r w:rsidRPr="00302F74">
        <w:rPr>
          <w:rFonts w:ascii="Book Antiqua" w:hAnsi="Book Antiqua" w:cs="Times New Roman"/>
          <w:sz w:val="24"/>
          <w:szCs w:val="24"/>
          <w:vertAlign w:val="superscript"/>
        </w:rPr>
        <w:t>[</w:t>
      </w:r>
      <w:proofErr w:type="gramEnd"/>
      <w:r w:rsidRPr="00302F74">
        <w:rPr>
          <w:rFonts w:ascii="Book Antiqua" w:hAnsi="Book Antiqua" w:cs="Times New Roman"/>
          <w:sz w:val="24"/>
          <w:szCs w:val="24"/>
          <w:vertAlign w:val="superscript"/>
        </w:rPr>
        <w:t>13</w:t>
      </w:r>
      <w:r w:rsidR="005D5BBC" w:rsidRPr="00302F74">
        <w:rPr>
          <w:rFonts w:ascii="Book Antiqua" w:hAnsi="Book Antiqua" w:cs="Times New Roman"/>
          <w:sz w:val="24"/>
          <w:szCs w:val="24"/>
          <w:vertAlign w:val="superscript"/>
        </w:rPr>
        <w:t>6</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Among these 15 treated patients, one patient decreased from severe to moderate PHG and another patient decreased from moderate to mild PHG</w:t>
      </w:r>
      <w:r w:rsidRPr="00302F74">
        <w:rPr>
          <w:rFonts w:ascii="Book Antiqua" w:hAnsi="Book Antiqua" w:cs="Times New Roman"/>
          <w:sz w:val="24"/>
          <w:szCs w:val="24"/>
          <w:vertAlign w:val="superscript"/>
          <w:lang w:val="en"/>
        </w:rPr>
        <w:t>[18</w:t>
      </w:r>
      <w:r w:rsidR="005D5BBC" w:rsidRPr="00302F74">
        <w:rPr>
          <w:rFonts w:ascii="Book Antiqua" w:hAnsi="Book Antiqua" w:cs="Times New Roman"/>
          <w:sz w:val="24"/>
          <w:szCs w:val="24"/>
          <w:vertAlign w:val="superscript"/>
          <w:lang w:val="en"/>
        </w:rPr>
        <w:t>0</w:t>
      </w:r>
      <w:r w:rsidRPr="00302F74">
        <w:rPr>
          <w:rFonts w:ascii="Book Antiqua" w:hAnsi="Book Antiqua" w:cs="Times New Roman"/>
          <w:sz w:val="24"/>
          <w:szCs w:val="24"/>
          <w:vertAlign w:val="superscript"/>
          <w:lang w:val="en"/>
        </w:rPr>
        <w:t>]</w:t>
      </w:r>
      <w:r w:rsidRPr="00302F74">
        <w:rPr>
          <w:rFonts w:ascii="Book Antiqua" w:hAnsi="Book Antiqua" w:cs="Times New Roman"/>
          <w:sz w:val="24"/>
          <w:szCs w:val="24"/>
          <w:lang w:val="en"/>
        </w:rPr>
        <w:t>. Contrariwise, all 15 patients receiving placebo experienced no change in PHG severity.</w:t>
      </w:r>
    </w:p>
    <w:p w:rsidR="00B31B65" w:rsidRPr="00F63BBD" w:rsidRDefault="00B31B65" w:rsidP="00B31B65">
      <w:pPr>
        <w:widowControl w:val="0"/>
        <w:spacing w:line="360" w:lineRule="auto"/>
        <w:jc w:val="both"/>
        <w:rPr>
          <w:rFonts w:ascii="Book Antiqua" w:hAnsi="Book Antiqua" w:cs="Times New Roman"/>
          <w:sz w:val="24"/>
          <w:szCs w:val="24"/>
          <w:lang w:val="en" w:eastAsia="zh-CN"/>
        </w:rPr>
      </w:pPr>
    </w:p>
    <w:p w:rsidR="00C9325C" w:rsidRPr="00F63BBD" w:rsidRDefault="00C9325C" w:rsidP="00B31B65">
      <w:pPr>
        <w:widowControl w:val="0"/>
        <w:spacing w:line="360" w:lineRule="auto"/>
        <w:jc w:val="both"/>
        <w:rPr>
          <w:rFonts w:ascii="Book Antiqua" w:hAnsi="Book Antiqua" w:cs="Times New Roman"/>
          <w:b/>
          <w:bCs/>
          <w:sz w:val="24"/>
          <w:szCs w:val="24"/>
          <w:lang w:val="en"/>
        </w:rPr>
      </w:pPr>
      <w:r w:rsidRPr="00F63BBD">
        <w:rPr>
          <w:rFonts w:ascii="Book Antiqua" w:hAnsi="Book Antiqua" w:cs="Times New Roman"/>
          <w:b/>
          <w:bCs/>
          <w:sz w:val="24"/>
          <w:szCs w:val="24"/>
          <w:lang w:val="en"/>
        </w:rPr>
        <w:t>Endoscopic therapies</w:t>
      </w:r>
      <w:r w:rsidR="00F63BBD">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lang w:val="en"/>
        </w:rPr>
        <w:t>Endoscopic therapies play a minor role in PHG bleeding because the bleeding is typically diffuse and obscure.</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Little data exist on efficacy of endoscopic therapy for PHG bleeding</w:t>
      </w:r>
      <w:r w:rsidRPr="00302F74">
        <w:rPr>
          <w:rFonts w:ascii="Book Antiqua" w:hAnsi="Book Antiqua" w:cs="Times New Roman"/>
          <w:bCs/>
          <w:sz w:val="24"/>
          <w:szCs w:val="24"/>
          <w:vertAlign w:val="superscript"/>
          <w:lang w:val="en"/>
        </w:rPr>
        <w:t>[71,24</w:t>
      </w:r>
      <w:r w:rsidR="005D5BBC" w:rsidRPr="00302F74">
        <w:rPr>
          <w:rFonts w:ascii="Book Antiqua" w:hAnsi="Book Antiqua" w:cs="Times New Roman"/>
          <w:bCs/>
          <w:sz w:val="24"/>
          <w:szCs w:val="24"/>
          <w:vertAlign w:val="superscript"/>
          <w:lang w:val="en"/>
        </w:rPr>
        <w:t>5</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xml:space="preserve">. </w:t>
      </w:r>
      <w:r w:rsidRPr="00302F74">
        <w:rPr>
          <w:rFonts w:ascii="Book Antiqua" w:hAnsi="Book Antiqua" w:cs="Times New Roman"/>
          <w:bCs/>
          <w:sz w:val="24"/>
          <w:szCs w:val="24"/>
        </w:rPr>
        <w:t>No single predominant site of bleeding is identified that can be locally treated at endoscopy.</w:t>
      </w:r>
      <w:r w:rsidR="00963345">
        <w:rPr>
          <w:rFonts w:ascii="Book Antiqua" w:hAnsi="Book Antiqua" w:cs="Times New Roman"/>
          <w:bCs/>
          <w:sz w:val="24"/>
          <w:szCs w:val="24"/>
        </w:rPr>
        <w:t xml:space="preserve"> </w:t>
      </w:r>
      <w:r w:rsidRPr="00302F74">
        <w:rPr>
          <w:rFonts w:ascii="Book Antiqua" w:hAnsi="Book Antiqua" w:cs="Times New Roman"/>
          <w:bCs/>
          <w:sz w:val="24"/>
          <w:szCs w:val="24"/>
          <w:lang w:val="en"/>
        </w:rPr>
        <w:t>The role of endoscopic therapy is l</w:t>
      </w:r>
      <w:r w:rsidR="00CC0DCE">
        <w:rPr>
          <w:rFonts w:ascii="Book Antiqua" w:hAnsi="Book Antiqua" w:cs="Times New Roman"/>
          <w:bCs/>
          <w:sz w:val="24"/>
          <w:szCs w:val="24"/>
          <w:lang w:val="en"/>
        </w:rPr>
        <w:t xml:space="preserve">imited to rare circumstances </w:t>
      </w:r>
      <w:r w:rsidRPr="00302F74">
        <w:rPr>
          <w:rFonts w:ascii="Book Antiqua" w:hAnsi="Book Antiqua" w:cs="Times New Roman"/>
          <w:bCs/>
          <w:sz w:val="24"/>
          <w:szCs w:val="24"/>
          <w:lang w:val="en"/>
        </w:rPr>
        <w:t>which a single active bleeding si</w:t>
      </w:r>
      <w:r w:rsidR="00CC0DCE">
        <w:rPr>
          <w:rFonts w:ascii="Book Antiqua" w:hAnsi="Book Antiqua" w:cs="Times New Roman"/>
          <w:bCs/>
          <w:sz w:val="24"/>
          <w:szCs w:val="24"/>
          <w:lang w:val="en"/>
        </w:rPr>
        <w:t>te</w:t>
      </w:r>
      <w:r w:rsidRPr="00302F74">
        <w:rPr>
          <w:rFonts w:ascii="Book Antiqua" w:hAnsi="Book Antiqua" w:cs="Times New Roman"/>
          <w:bCs/>
          <w:sz w:val="24"/>
          <w:szCs w:val="24"/>
          <w:lang w:val="en"/>
        </w:rPr>
        <w:t xml:space="preserve"> identified that is amenable to point therapy such as cauterization or sclerotherapy. </w:t>
      </w:r>
    </w:p>
    <w:p w:rsidR="00C9325C" w:rsidRPr="00302F74" w:rsidRDefault="00C9325C" w:rsidP="00FA6CCE">
      <w:pPr>
        <w:widowControl w:val="0"/>
        <w:spacing w:line="360" w:lineRule="auto"/>
        <w:ind w:firstLine="720"/>
        <w:jc w:val="both"/>
        <w:rPr>
          <w:rFonts w:ascii="Book Antiqua" w:hAnsi="Book Antiqua" w:cs="Times New Roman"/>
          <w:bCs/>
          <w:sz w:val="24"/>
          <w:szCs w:val="24"/>
        </w:rPr>
      </w:pPr>
      <w:r w:rsidRPr="00302F74">
        <w:rPr>
          <w:rFonts w:ascii="Book Antiqua" w:hAnsi="Book Antiqua" w:cs="Times New Roman"/>
          <w:bCs/>
          <w:sz w:val="24"/>
          <w:szCs w:val="24"/>
        </w:rPr>
        <w:t>Argon plasma coagulation (APC) or hemospray, a rapid hemostatic agent, are experimental endoscopic therapies for PHG.</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These therapies can treat a larger bleeding surface area than cauterization or sclerotherapy.</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Nine (81%) of 11 patients undergoing APC for PHG bleeding achieved hemostasis, with a significant rise in hematocrit from </w:t>
      </w:r>
      <w:r w:rsidRPr="00302F74">
        <w:rPr>
          <w:rFonts w:ascii="Book Antiqua" w:hAnsi="Book Antiqua" w:cs="Times New Roman"/>
          <w:bCs/>
          <w:sz w:val="24"/>
          <w:szCs w:val="24"/>
        </w:rPr>
        <w:lastRenderedPageBreak/>
        <w:t>baseline values after a mean of 2.2 + 2.0 endoscopic therapy sessions. The other two treated patients required fewer blood transfusions after APC therapy</w:t>
      </w:r>
      <w:r w:rsidRPr="00302F74">
        <w:rPr>
          <w:rFonts w:ascii="Book Antiqua" w:hAnsi="Book Antiqua" w:cs="Times New Roman"/>
          <w:bCs/>
          <w:sz w:val="24"/>
          <w:szCs w:val="24"/>
          <w:vertAlign w:val="superscript"/>
        </w:rPr>
        <w:t>[20</w:t>
      </w:r>
      <w:r w:rsidR="005D5BBC" w:rsidRPr="00302F74">
        <w:rPr>
          <w:rFonts w:ascii="Book Antiqua" w:hAnsi="Book Antiqua" w:cs="Times New Roman"/>
          <w:bCs/>
          <w:sz w:val="24"/>
          <w:szCs w:val="24"/>
          <w:vertAlign w:val="superscript"/>
        </w:rPr>
        <w:t>2</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p>
    <w:p w:rsidR="00C9325C" w:rsidRPr="00302F74" w:rsidRDefault="00C9325C" w:rsidP="00FA6CCE">
      <w:pPr>
        <w:widowControl w:val="0"/>
        <w:spacing w:line="360" w:lineRule="auto"/>
        <w:ind w:firstLine="720"/>
        <w:jc w:val="both"/>
        <w:rPr>
          <w:rFonts w:ascii="Book Antiqua" w:hAnsi="Book Antiqua" w:cs="Times New Roman"/>
          <w:bCs/>
          <w:sz w:val="24"/>
          <w:szCs w:val="24"/>
        </w:rPr>
      </w:pPr>
      <w:r w:rsidRPr="00302F74">
        <w:rPr>
          <w:rFonts w:ascii="Book Antiqua" w:hAnsi="Book Antiqua" w:cs="Times New Roman"/>
          <w:bCs/>
          <w:sz w:val="24"/>
          <w:szCs w:val="24"/>
        </w:rPr>
        <w:t>Hemospray has recently shown promise in halting active PHG bleeding while long-term therapy is being initiated</w:t>
      </w:r>
      <w:r w:rsidRPr="00302F74">
        <w:rPr>
          <w:rFonts w:ascii="Book Antiqua" w:hAnsi="Book Antiqua" w:cs="Times New Roman"/>
          <w:bCs/>
          <w:sz w:val="24"/>
          <w:szCs w:val="24"/>
          <w:vertAlign w:val="superscript"/>
        </w:rPr>
        <w:t>[20</w:t>
      </w:r>
      <w:r w:rsidR="005D5BBC"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,24</w:t>
      </w:r>
      <w:r w:rsidR="005D5BBC" w:rsidRPr="00302F74">
        <w:rPr>
          <w:rFonts w:ascii="Book Antiqua" w:hAnsi="Book Antiqua" w:cs="Times New Roman"/>
          <w:bCs/>
          <w:sz w:val="24"/>
          <w:szCs w:val="24"/>
          <w:vertAlign w:val="superscript"/>
        </w:rPr>
        <w:t>6</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xml:space="preserve">. Ibrahim </w:t>
      </w:r>
      <w:r w:rsidR="00941769" w:rsidRPr="00B31B65">
        <w:rPr>
          <w:rFonts w:ascii="Book Antiqua" w:hAnsi="Book Antiqua" w:cs="Times New Roman"/>
          <w:i/>
          <w:sz w:val="24"/>
          <w:szCs w:val="24"/>
        </w:rPr>
        <w:t>et al</w:t>
      </w:r>
      <w:r w:rsidRPr="00302F74">
        <w:rPr>
          <w:rFonts w:ascii="Book Antiqua" w:hAnsi="Book Antiqua" w:cs="Times New Roman"/>
          <w:bCs/>
          <w:sz w:val="24"/>
          <w:szCs w:val="24"/>
          <w:vertAlign w:val="superscript"/>
        </w:rPr>
        <w:t>[24</w:t>
      </w:r>
      <w:r w:rsidR="005D5BBC" w:rsidRPr="00302F74">
        <w:rPr>
          <w:rFonts w:ascii="Book Antiqua" w:hAnsi="Book Antiqua" w:cs="Times New Roman"/>
          <w:bCs/>
          <w:sz w:val="24"/>
          <w:szCs w:val="24"/>
          <w:vertAlign w:val="superscript"/>
        </w:rPr>
        <w:t>6</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xml:space="preserve"> reported complete cessation of diffuse bleeding from severe PHG after spraying hemospray TC-325 </w:t>
      </w:r>
      <w:r w:rsidR="00941769">
        <w:rPr>
          <w:rFonts w:ascii="Book Antiqua" w:hAnsi="Book Antiqua" w:cs="Times New Roman"/>
          <w:bCs/>
          <w:sz w:val="24"/>
          <w:szCs w:val="24"/>
        </w:rPr>
        <w:t>(a nanopowder hemostatic agent</w:t>
      </w:r>
      <w:r w:rsidRPr="00302F74">
        <w:rPr>
          <w:rFonts w:ascii="Book Antiqua" w:hAnsi="Book Antiqua" w:cs="Times New Roman"/>
          <w:bCs/>
          <w:sz w:val="24"/>
          <w:szCs w:val="24"/>
          <w:vertAlign w:val="superscript"/>
        </w:rPr>
        <w:t>[24</w:t>
      </w:r>
      <w:r w:rsidR="005D5BBC" w:rsidRPr="00302F74">
        <w:rPr>
          <w:rFonts w:ascii="Book Antiqua" w:hAnsi="Book Antiqua" w:cs="Times New Roman"/>
          <w:bCs/>
          <w:sz w:val="24"/>
          <w:szCs w:val="24"/>
          <w:vertAlign w:val="superscript"/>
        </w:rPr>
        <w:t>7</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xml:space="preserve">) in a 41-year-old woman who presented with a hemoglobin of 8.8 g/dL. No active bleeding was seen on follow-up endoscopy performed 24 </w:t>
      </w:r>
      <w:r w:rsidR="00AD6572" w:rsidRPr="00302F74">
        <w:rPr>
          <w:rFonts w:ascii="Book Antiqua" w:hAnsi="Book Antiqua" w:cs="Times New Roman"/>
          <w:sz w:val="24"/>
          <w:szCs w:val="24"/>
          <w:lang w:val="en"/>
        </w:rPr>
        <w:t>h</w:t>
      </w:r>
      <w:r w:rsidRPr="00302F74">
        <w:rPr>
          <w:rFonts w:ascii="Book Antiqua" w:hAnsi="Book Antiqua" w:cs="Times New Roman"/>
          <w:bCs/>
          <w:sz w:val="24"/>
          <w:szCs w:val="24"/>
        </w:rPr>
        <w:t xml:space="preserve"> later. In another study, however, one of four patients treated with hemospray for bleeding from PHG expired from GI perforation</w:t>
      </w:r>
      <w:r w:rsidRPr="00302F74">
        <w:rPr>
          <w:rFonts w:ascii="Book Antiqua" w:hAnsi="Book Antiqua" w:cs="Times New Roman"/>
          <w:bCs/>
          <w:sz w:val="24"/>
          <w:szCs w:val="24"/>
          <w:vertAlign w:val="superscript"/>
        </w:rPr>
        <w:t>[20</w:t>
      </w:r>
      <w:r w:rsidR="005D5BBC"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p>
    <w:p w:rsidR="00C9325C" w:rsidRDefault="00C9325C" w:rsidP="00FA6CCE">
      <w:pPr>
        <w:widowControl w:val="0"/>
        <w:spacing w:line="360" w:lineRule="auto"/>
        <w:ind w:firstLine="720"/>
        <w:jc w:val="both"/>
        <w:rPr>
          <w:rFonts w:ascii="Book Antiqua" w:hAnsi="Book Antiqua" w:cs="Times New Roman"/>
          <w:bCs/>
          <w:sz w:val="24"/>
          <w:szCs w:val="24"/>
          <w:lang w:eastAsia="zh-CN"/>
        </w:rPr>
      </w:pPr>
      <w:r w:rsidRPr="00302F74">
        <w:rPr>
          <w:rFonts w:ascii="Book Antiqua" w:hAnsi="Book Antiqua" w:cs="Times New Roman"/>
          <w:bCs/>
          <w:sz w:val="24"/>
          <w:szCs w:val="24"/>
        </w:rPr>
        <w:t xml:space="preserve">Endoscopic cryotherapy has been used for PHG bleeding after all other modalities failed. In one patient salvage cryotherapy was successful after failed TIPS and APC, with normal hemoglobin </w:t>
      </w:r>
      <w:r w:rsidR="00963345">
        <w:rPr>
          <w:rFonts w:ascii="Book Antiqua" w:hAnsi="Book Antiqua" w:cs="Times New Roman"/>
          <w:bCs/>
          <w:sz w:val="24"/>
          <w:szCs w:val="24"/>
        </w:rPr>
        <w:t>levels maintained during 4 wk</w:t>
      </w:r>
      <w:r w:rsidRPr="00302F74">
        <w:rPr>
          <w:rFonts w:ascii="Book Antiqua" w:hAnsi="Book Antiqua" w:cs="Times New Roman"/>
          <w:bCs/>
          <w:sz w:val="24"/>
          <w:szCs w:val="24"/>
        </w:rPr>
        <w:t xml:space="preserve"> of follow-up</w:t>
      </w:r>
      <w:r w:rsidRPr="00302F74">
        <w:rPr>
          <w:rFonts w:ascii="Book Antiqua" w:hAnsi="Book Antiqua" w:cs="Times New Roman"/>
          <w:bCs/>
          <w:sz w:val="24"/>
          <w:szCs w:val="24"/>
          <w:vertAlign w:val="superscript"/>
        </w:rPr>
        <w:t>[24</w:t>
      </w:r>
      <w:r w:rsidR="005D5BBC"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p>
    <w:p w:rsidR="00941769" w:rsidRPr="00302F74" w:rsidRDefault="00941769" w:rsidP="00FA6CCE">
      <w:pPr>
        <w:widowControl w:val="0"/>
        <w:spacing w:line="360" w:lineRule="auto"/>
        <w:ind w:firstLine="720"/>
        <w:jc w:val="both"/>
        <w:rPr>
          <w:rFonts w:ascii="Book Antiqua" w:hAnsi="Book Antiqua" w:cs="Times New Roman"/>
          <w:bCs/>
          <w:sz w:val="24"/>
          <w:szCs w:val="24"/>
          <w:lang w:eastAsia="zh-CN"/>
        </w:rPr>
      </w:pPr>
    </w:p>
    <w:p w:rsidR="00C9325C" w:rsidRPr="00F63BBD" w:rsidRDefault="00C9325C" w:rsidP="00941769">
      <w:pPr>
        <w:widowControl w:val="0"/>
        <w:spacing w:line="360" w:lineRule="auto"/>
        <w:jc w:val="both"/>
        <w:rPr>
          <w:rFonts w:ascii="Book Antiqua" w:hAnsi="Book Antiqua" w:cs="Times New Roman"/>
          <w:b/>
          <w:bCs/>
          <w:sz w:val="24"/>
          <w:szCs w:val="24"/>
          <w:lang w:val="en"/>
        </w:rPr>
      </w:pPr>
      <w:r w:rsidRPr="00F63BBD">
        <w:rPr>
          <w:rFonts w:ascii="Book Antiqua" w:hAnsi="Book Antiqua" w:cs="Times New Roman"/>
          <w:b/>
          <w:bCs/>
          <w:sz w:val="24"/>
          <w:szCs w:val="24"/>
          <w:lang w:val="en"/>
        </w:rPr>
        <w:t>TIPS</w:t>
      </w:r>
      <w:r w:rsidR="00F63BBD">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rPr>
        <w:t>TIPS increases gastric mucosal blood flow while decreasing total gastric blood flow due to decreasing portal hypertension</w:t>
      </w:r>
      <w:r w:rsidRPr="00302F74">
        <w:rPr>
          <w:rFonts w:ascii="Book Antiqua" w:hAnsi="Book Antiqua" w:cs="Times New Roman"/>
          <w:bCs/>
          <w:sz w:val="24"/>
          <w:szCs w:val="24"/>
          <w:vertAlign w:val="superscript"/>
        </w:rPr>
        <w:t>[76]</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TIPS reduces the frequency and severity of PHG because it lowers portal pressure</w:t>
      </w:r>
      <w:r w:rsidRPr="00302F74">
        <w:rPr>
          <w:rFonts w:ascii="Book Antiqua" w:hAnsi="Book Antiqua" w:cs="Times New Roman"/>
          <w:bCs/>
          <w:sz w:val="24"/>
          <w:szCs w:val="24"/>
          <w:vertAlign w:val="superscript"/>
          <w:lang w:val="en"/>
        </w:rPr>
        <w:t>[76]</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PHG can sometimes resolve completely after TIPS</w:t>
      </w:r>
      <w:r w:rsidRPr="00302F74">
        <w:rPr>
          <w:rFonts w:ascii="Book Antiqua" w:hAnsi="Book Antiqua" w:cs="Times New Roman"/>
          <w:bCs/>
          <w:sz w:val="24"/>
          <w:szCs w:val="24"/>
          <w:vertAlign w:val="superscript"/>
        </w:rPr>
        <w:t>[75-77,2</w:t>
      </w:r>
      <w:r w:rsidR="005D5BBC" w:rsidRPr="00302F74">
        <w:rPr>
          <w:rFonts w:ascii="Book Antiqua" w:hAnsi="Book Antiqua" w:cs="Times New Roman"/>
          <w:bCs/>
          <w:sz w:val="24"/>
          <w:szCs w:val="24"/>
          <w:vertAlign w:val="superscript"/>
        </w:rPr>
        <w:t>49</w:t>
      </w:r>
      <w:r w:rsidRPr="00302F74">
        <w:rPr>
          <w:rFonts w:ascii="Book Antiqua" w:hAnsi="Book Antiqua" w:cs="Times New Roman"/>
          <w:bCs/>
          <w:sz w:val="24"/>
          <w:szCs w:val="24"/>
          <w:vertAlign w:val="superscript"/>
        </w:rPr>
        <w:t>-25</w:t>
      </w:r>
      <w:r w:rsidR="005D5BBC"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Urata </w:t>
      </w:r>
      <w:r w:rsidR="00A67BBD" w:rsidRPr="00B31B65">
        <w:rPr>
          <w:rFonts w:ascii="Book Antiqua" w:hAnsi="Book Antiqua" w:cs="Times New Roman"/>
          <w:i/>
          <w:sz w:val="24"/>
          <w:szCs w:val="24"/>
        </w:rPr>
        <w:t>et al</w:t>
      </w:r>
      <w:r w:rsidRPr="00302F74">
        <w:rPr>
          <w:rFonts w:ascii="Book Antiqua" w:hAnsi="Book Antiqua" w:cs="Times New Roman"/>
          <w:bCs/>
          <w:sz w:val="24"/>
          <w:szCs w:val="24"/>
          <w:vertAlign w:val="superscript"/>
        </w:rPr>
        <w:t>[77]</w:t>
      </w:r>
      <w:r w:rsidRPr="00302F74">
        <w:rPr>
          <w:rFonts w:ascii="Book Antiqua" w:hAnsi="Book Antiqua" w:cs="Times New Roman"/>
          <w:bCs/>
          <w:sz w:val="24"/>
          <w:szCs w:val="24"/>
        </w:rPr>
        <w:t xml:space="preserve"> reported in a prospective study of 12 Japanese patients undergoing TIPS for portal hypertension that portal pressure declined from 25.1 + 8.8 mmHg before TIPS to 17.1 + 6.2 mmHg after TIPS (</w:t>
      </w:r>
      <w:r w:rsidR="00E878B6">
        <w:rPr>
          <w:rFonts w:ascii="Book Antiqua" w:hAnsi="Book Antiqua" w:cs="Times New Roman"/>
          <w:bCs/>
          <w:i/>
          <w:sz w:val="24"/>
          <w:szCs w:val="24"/>
        </w:rPr>
        <w:t>P &lt;</w:t>
      </w:r>
      <w:r w:rsidR="00A67BBD">
        <w:rPr>
          <w:rFonts w:ascii="Book Antiqua" w:hAnsi="Book Antiqua" w:cs="Times New Roman" w:hint="eastAsia"/>
          <w:bCs/>
          <w:i/>
          <w:sz w:val="24"/>
          <w:szCs w:val="24"/>
          <w:lang w:eastAsia="zh-CN"/>
        </w:rPr>
        <w:t xml:space="preserve"> </w:t>
      </w:r>
      <w:r w:rsidRPr="00302F74">
        <w:rPr>
          <w:rFonts w:ascii="Book Antiqua" w:hAnsi="Book Antiqua" w:cs="Times New Roman"/>
          <w:bCs/>
          <w:sz w:val="24"/>
          <w:szCs w:val="24"/>
        </w:rPr>
        <w:t>0.005).</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This decline in portal pressure was correlated with a significant decrease in PHG severity after TIPS (</w:t>
      </w:r>
      <w:r w:rsidR="00E878B6">
        <w:rPr>
          <w:rFonts w:ascii="Book Antiqua" w:hAnsi="Book Antiqua" w:cs="Times New Roman"/>
          <w:bCs/>
          <w:i/>
          <w:sz w:val="24"/>
          <w:szCs w:val="24"/>
        </w:rPr>
        <w:t>P &lt;</w:t>
      </w:r>
      <w:r w:rsidR="00A67BBD">
        <w:rPr>
          <w:rFonts w:ascii="Book Antiqua" w:hAnsi="Book Antiqua" w:cs="Times New Roman" w:hint="eastAsia"/>
          <w:bCs/>
          <w:i/>
          <w:sz w:val="24"/>
          <w:szCs w:val="24"/>
          <w:lang w:eastAsia="zh-CN"/>
        </w:rPr>
        <w:t xml:space="preserve"> </w:t>
      </w:r>
      <w:r w:rsidRPr="00302F74">
        <w:rPr>
          <w:rFonts w:ascii="Book Antiqua" w:hAnsi="Book Antiqua" w:cs="Times New Roman"/>
          <w:bCs/>
          <w:sz w:val="24"/>
          <w:szCs w:val="24"/>
        </w:rPr>
        <w:t xml:space="preserve">0.01), and a significant decrease in number of patients with PHG (10 before </w:t>
      </w:r>
      <w:r w:rsidR="00963345" w:rsidRPr="00963345">
        <w:rPr>
          <w:rFonts w:ascii="Book Antiqua" w:hAnsi="Book Antiqua" w:cs="Times New Roman" w:hint="eastAsia"/>
          <w:i/>
          <w:sz w:val="24"/>
          <w:szCs w:val="24"/>
          <w:lang w:eastAsia="zh-CN"/>
        </w:rPr>
        <w:t>vs</w:t>
      </w:r>
      <w:r w:rsidRPr="00302F74">
        <w:rPr>
          <w:rFonts w:ascii="Book Antiqua" w:hAnsi="Book Antiqua" w:cs="Times New Roman"/>
          <w:bCs/>
          <w:sz w:val="24"/>
          <w:szCs w:val="24"/>
        </w:rPr>
        <w:t xml:space="preserve"> 4 after TIPS, </w:t>
      </w:r>
      <w:r w:rsidR="00E878B6">
        <w:rPr>
          <w:rFonts w:ascii="Book Antiqua" w:hAnsi="Book Antiqua" w:cs="Times New Roman"/>
          <w:bCs/>
          <w:i/>
          <w:sz w:val="24"/>
          <w:szCs w:val="24"/>
        </w:rPr>
        <w:t>P &lt;</w:t>
      </w:r>
      <w:r w:rsidR="00A67BBD">
        <w:rPr>
          <w:rFonts w:ascii="Book Antiqua" w:hAnsi="Book Antiqua" w:cs="Times New Roman" w:hint="eastAsia"/>
          <w:bCs/>
          <w:i/>
          <w:sz w:val="24"/>
          <w:szCs w:val="24"/>
          <w:lang w:eastAsia="zh-CN"/>
        </w:rPr>
        <w:t xml:space="preserve"> </w:t>
      </w:r>
      <w:r w:rsidRPr="00302F74">
        <w:rPr>
          <w:rFonts w:ascii="Book Antiqua" w:hAnsi="Book Antiqua" w:cs="Times New Roman"/>
          <w:bCs/>
          <w:sz w:val="24"/>
          <w:szCs w:val="24"/>
        </w:rPr>
        <w:t>0.01).</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In particular, PHG disappeared in 2 of 5 patients who had severe PHG before TIPS.</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Mezawa </w:t>
      </w:r>
      <w:r w:rsidR="00A67BBD" w:rsidRPr="00B31B65">
        <w:rPr>
          <w:rFonts w:ascii="Book Antiqua" w:hAnsi="Book Antiqua" w:cs="Times New Roman"/>
          <w:i/>
          <w:sz w:val="24"/>
          <w:szCs w:val="24"/>
        </w:rPr>
        <w:t>et al</w:t>
      </w:r>
      <w:r w:rsidRPr="00302F74">
        <w:rPr>
          <w:rFonts w:ascii="Book Antiqua" w:hAnsi="Book Antiqua" w:cs="Times New Roman"/>
          <w:bCs/>
          <w:sz w:val="24"/>
          <w:szCs w:val="24"/>
          <w:vertAlign w:val="superscript"/>
        </w:rPr>
        <w:t>[76]</w:t>
      </w:r>
      <w:r w:rsidRPr="00302F74">
        <w:rPr>
          <w:rFonts w:ascii="Book Antiqua" w:hAnsi="Book Antiqua" w:cs="Times New Roman"/>
          <w:bCs/>
          <w:sz w:val="24"/>
          <w:szCs w:val="24"/>
        </w:rPr>
        <w:t>, likewise, reported that mean portal pressure declined from 23.4 mmHg to 14.0 mmHg in 16 cirrhotic patients after TIPS (</w:t>
      </w:r>
      <w:r w:rsidR="00E878B6">
        <w:rPr>
          <w:rFonts w:ascii="Book Antiqua" w:hAnsi="Book Antiqua" w:cs="Times New Roman"/>
          <w:bCs/>
          <w:i/>
          <w:sz w:val="24"/>
          <w:szCs w:val="24"/>
        </w:rPr>
        <w:t>P &lt;</w:t>
      </w:r>
      <w:r w:rsidR="00A67BBD">
        <w:rPr>
          <w:rFonts w:ascii="Book Antiqua" w:hAnsi="Book Antiqua" w:cs="Times New Roman" w:hint="eastAsia"/>
          <w:bCs/>
          <w:i/>
          <w:sz w:val="24"/>
          <w:szCs w:val="24"/>
          <w:lang w:eastAsia="zh-CN"/>
        </w:rPr>
        <w:t xml:space="preserve"> </w:t>
      </w:r>
      <w:r w:rsidRPr="00302F74">
        <w:rPr>
          <w:rFonts w:ascii="Book Antiqua" w:hAnsi="Book Antiqua" w:cs="Times New Roman"/>
          <w:bCs/>
          <w:sz w:val="24"/>
          <w:szCs w:val="24"/>
        </w:rPr>
        <w:t>0.01).</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All four patients with severe PHG before TIPS, had significant improvement in PHG severity after lowering portal pressure with TIPS, and five of 12 patients with mild PHG had resolution of PHG after TIPS.</w:t>
      </w:r>
      <w:r w:rsidR="00963345">
        <w:rPr>
          <w:rFonts w:ascii="Book Antiqua" w:hAnsi="Book Antiqua" w:cs="Times New Roman"/>
          <w:bCs/>
          <w:sz w:val="24"/>
          <w:szCs w:val="24"/>
        </w:rPr>
        <w:t xml:space="preserve"> </w:t>
      </w:r>
      <w:r w:rsidRPr="00302F74">
        <w:rPr>
          <w:rFonts w:ascii="Book Antiqua" w:hAnsi="Book Antiqua" w:cs="Times New Roman"/>
          <w:bCs/>
          <w:sz w:val="24"/>
          <w:szCs w:val="24"/>
          <w:lang w:val="en"/>
        </w:rPr>
        <w:t>In contrast, GAVE does not resolve after lowering portal pressure with TIPS, and GAVE is, therefore, likely related to hepatic dysfunction rather than portal hypertension</w:t>
      </w:r>
      <w:r w:rsidRPr="00302F74">
        <w:rPr>
          <w:rFonts w:ascii="Book Antiqua" w:hAnsi="Book Antiqua" w:cs="Times New Roman"/>
          <w:bCs/>
          <w:sz w:val="24"/>
          <w:szCs w:val="24"/>
          <w:vertAlign w:val="superscript"/>
          <w:lang w:val="en"/>
        </w:rPr>
        <w:t>[78]</w:t>
      </w:r>
      <w:r w:rsidRPr="00302F74">
        <w:rPr>
          <w:rFonts w:ascii="Book Antiqua" w:hAnsi="Book Antiqua" w:cs="Times New Roman"/>
          <w:bCs/>
          <w:sz w:val="24"/>
          <w:szCs w:val="24"/>
          <w:lang w:val="en"/>
        </w:rPr>
        <w:t>.</w:t>
      </w:r>
    </w:p>
    <w:p w:rsidR="00C9325C" w:rsidRDefault="00C9325C" w:rsidP="00FA6CCE">
      <w:pPr>
        <w:widowControl w:val="0"/>
        <w:spacing w:line="360" w:lineRule="auto"/>
        <w:ind w:firstLine="720"/>
        <w:jc w:val="both"/>
        <w:rPr>
          <w:rFonts w:ascii="Book Antiqua" w:hAnsi="Book Antiqua" w:cs="Times New Roman"/>
          <w:bCs/>
          <w:sz w:val="24"/>
          <w:szCs w:val="24"/>
          <w:lang w:eastAsia="zh-CN"/>
        </w:rPr>
      </w:pPr>
      <w:r w:rsidRPr="00302F74">
        <w:rPr>
          <w:rFonts w:ascii="Book Antiqua" w:hAnsi="Book Antiqua" w:cs="Times New Roman"/>
          <w:bCs/>
          <w:sz w:val="24"/>
          <w:szCs w:val="24"/>
        </w:rPr>
        <w:t>TIPS also decreased the risk of PHG bleeding</w:t>
      </w:r>
      <w:r w:rsidRPr="00302F74">
        <w:rPr>
          <w:rFonts w:ascii="Book Antiqua" w:hAnsi="Book Antiqua" w:cs="Times New Roman"/>
          <w:bCs/>
          <w:sz w:val="24"/>
          <w:szCs w:val="24"/>
          <w:vertAlign w:val="superscript"/>
        </w:rPr>
        <w:t>[75-77,10</w:t>
      </w:r>
      <w:r w:rsidR="005D5BBC"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rPr>
        <w:t>,2</w:t>
      </w:r>
      <w:r w:rsidR="005D5BBC" w:rsidRPr="00302F74">
        <w:rPr>
          <w:rFonts w:ascii="Book Antiqua" w:hAnsi="Book Antiqua" w:cs="Times New Roman"/>
          <w:bCs/>
          <w:sz w:val="24"/>
          <w:szCs w:val="24"/>
          <w:vertAlign w:val="superscript"/>
        </w:rPr>
        <w:t>49</w:t>
      </w:r>
      <w:r w:rsidRPr="00302F74">
        <w:rPr>
          <w:rFonts w:ascii="Book Antiqua" w:hAnsi="Book Antiqua" w:cs="Times New Roman"/>
          <w:bCs/>
          <w:sz w:val="24"/>
          <w:szCs w:val="24"/>
          <w:vertAlign w:val="superscript"/>
        </w:rPr>
        <w:t>-25</w:t>
      </w:r>
      <w:r w:rsidR="005D5BBC"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w:t>
      </w:r>
      <w:r w:rsidRPr="00302F74">
        <w:rPr>
          <w:rFonts w:ascii="Book Antiqua" w:hAnsi="Book Antiqua" w:cs="Times New Roman"/>
          <w:sz w:val="24"/>
          <w:szCs w:val="24"/>
        </w:rPr>
        <w:t>.</w:t>
      </w:r>
      <w:r w:rsidR="00963345">
        <w:rPr>
          <w:rFonts w:ascii="Book Antiqua" w:hAnsi="Book Antiqua" w:cs="Times New Roman"/>
          <w:sz w:val="24"/>
          <w:szCs w:val="24"/>
        </w:rPr>
        <w:t xml:space="preserve"> </w:t>
      </w:r>
      <w:r w:rsidRPr="00302F74">
        <w:rPr>
          <w:rFonts w:ascii="Book Antiqua" w:hAnsi="Book Antiqua" w:cs="Times New Roman"/>
          <w:bCs/>
          <w:sz w:val="24"/>
          <w:szCs w:val="24"/>
        </w:rPr>
        <w:t xml:space="preserve">For example, Kamath </w:t>
      </w:r>
      <w:r w:rsidR="00A67BBD" w:rsidRPr="00B31B65">
        <w:rPr>
          <w:rFonts w:ascii="Book Antiqua" w:hAnsi="Book Antiqua" w:cs="Times New Roman"/>
          <w:i/>
          <w:sz w:val="24"/>
          <w:szCs w:val="24"/>
        </w:rPr>
        <w:lastRenderedPageBreak/>
        <w:t>et al</w:t>
      </w:r>
      <w:r w:rsidRPr="00302F74">
        <w:rPr>
          <w:rFonts w:ascii="Book Antiqua" w:hAnsi="Book Antiqua" w:cs="Times New Roman"/>
          <w:bCs/>
          <w:sz w:val="24"/>
          <w:szCs w:val="24"/>
          <w:vertAlign w:val="superscript"/>
        </w:rPr>
        <w:t>[75]</w:t>
      </w:r>
      <w:r w:rsidRPr="00302F74">
        <w:rPr>
          <w:rFonts w:ascii="Book Antiqua" w:hAnsi="Book Antiqua" w:cs="Times New Roman"/>
          <w:bCs/>
          <w:sz w:val="24"/>
          <w:szCs w:val="24"/>
        </w:rPr>
        <w:t xml:space="preserve"> reported TIPS led to improvement or resolution of PHG findings and decreased transfusion requirements from 2.9 + 2.0 units/mo of packed erythrocytes before TIPS to 0.6 + 0.8 units/mo after TIPS performed for severe PHG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00410F62"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Pr="00302F74">
        <w:rPr>
          <w:rFonts w:ascii="Book Antiqua" w:hAnsi="Book Antiqua" w:cs="Times New Roman"/>
          <w:bCs/>
          <w:sz w:val="24"/>
          <w:szCs w:val="24"/>
        </w:rPr>
        <w:t>0.04).</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Ashraf </w:t>
      </w:r>
      <w:r w:rsidR="00A67BBD" w:rsidRPr="00B31B65">
        <w:rPr>
          <w:rFonts w:ascii="Book Antiqua" w:hAnsi="Book Antiqua" w:cs="Times New Roman"/>
          <w:i/>
          <w:sz w:val="24"/>
          <w:szCs w:val="24"/>
        </w:rPr>
        <w:t>et al</w:t>
      </w:r>
      <w:r w:rsidRPr="00302F74">
        <w:rPr>
          <w:rFonts w:ascii="Book Antiqua" w:hAnsi="Book Antiqua" w:cs="Times New Roman"/>
          <w:bCs/>
          <w:sz w:val="24"/>
          <w:szCs w:val="24"/>
          <w:vertAlign w:val="superscript"/>
        </w:rPr>
        <w:t>[9</w:t>
      </w:r>
      <w:r w:rsidR="005D5BBC"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xml:space="preserve"> reported one patient with chronic liver disease from hepatitis C who presented with chronic bleeding from PHG that required transfusions of 28 units of packed erythrocytes during the prior 6 mo. The bleeding ceased after TIPS with marked improvement in the severity of PHG. Contrariwise, GAVE does not respond to TIPS or other measures that lower portal pressure. </w:t>
      </w:r>
    </w:p>
    <w:p w:rsidR="00A67BBD" w:rsidRPr="00302F74" w:rsidRDefault="00A67BBD" w:rsidP="00FA6CCE">
      <w:pPr>
        <w:widowControl w:val="0"/>
        <w:spacing w:line="360" w:lineRule="auto"/>
        <w:ind w:firstLine="720"/>
        <w:jc w:val="both"/>
        <w:rPr>
          <w:rFonts w:ascii="Book Antiqua" w:hAnsi="Book Antiqua" w:cs="Times New Roman"/>
          <w:bCs/>
          <w:sz w:val="24"/>
          <w:szCs w:val="24"/>
          <w:lang w:eastAsia="zh-CN"/>
        </w:rPr>
      </w:pPr>
    </w:p>
    <w:p w:rsidR="00C9325C" w:rsidRPr="00F63BBD" w:rsidRDefault="00C9325C" w:rsidP="00A67BBD">
      <w:pPr>
        <w:widowControl w:val="0"/>
        <w:spacing w:line="360" w:lineRule="auto"/>
        <w:jc w:val="both"/>
        <w:rPr>
          <w:rFonts w:ascii="Book Antiqua" w:hAnsi="Book Antiqua" w:cs="Times New Roman"/>
          <w:b/>
          <w:bCs/>
          <w:sz w:val="24"/>
          <w:szCs w:val="24"/>
        </w:rPr>
      </w:pPr>
      <w:r w:rsidRPr="00F63BBD">
        <w:rPr>
          <w:rFonts w:ascii="Book Antiqua" w:hAnsi="Book Antiqua" w:cs="Times New Roman"/>
          <w:b/>
          <w:bCs/>
          <w:sz w:val="24"/>
          <w:szCs w:val="24"/>
        </w:rPr>
        <w:t>Shunt surgery</w:t>
      </w:r>
      <w:r w:rsidR="00F63BBD">
        <w:rPr>
          <w:rFonts w:ascii="Book Antiqua" w:hAnsi="Book Antiqua" w:cs="Times New Roman" w:hint="eastAsia"/>
          <w:b/>
          <w:bCs/>
          <w:sz w:val="24"/>
          <w:szCs w:val="24"/>
          <w:lang w:eastAsia="zh-CN"/>
        </w:rPr>
        <w:t xml:space="preserve">: </w:t>
      </w:r>
      <w:r w:rsidRPr="00302F74">
        <w:rPr>
          <w:rFonts w:ascii="Book Antiqua" w:hAnsi="Book Antiqua" w:cs="Times New Roman"/>
          <w:bCs/>
          <w:sz w:val="24"/>
          <w:szCs w:val="24"/>
        </w:rPr>
        <w:t>Shunt surgery decreases portal hypertension, decreases PHG severity, decreases risk of PHG bleeding, and may sometimes completely resolve the endoscopic features of PHG</w:t>
      </w:r>
      <w:r w:rsidRPr="00302F74">
        <w:rPr>
          <w:rFonts w:ascii="Book Antiqua" w:hAnsi="Book Antiqua" w:cs="Times New Roman"/>
          <w:bCs/>
          <w:sz w:val="24"/>
          <w:szCs w:val="24"/>
          <w:vertAlign w:val="superscript"/>
        </w:rPr>
        <w:t>[10</w:t>
      </w:r>
      <w:r w:rsidR="005D5BBC"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Shunt surgery is rarely used today to control bleeding because TIPS is preferred because of less invasiveness</w:t>
      </w:r>
      <w:r w:rsidRPr="00302F74">
        <w:rPr>
          <w:rFonts w:ascii="Book Antiqua" w:hAnsi="Book Antiqua" w:cs="Times New Roman"/>
          <w:bCs/>
          <w:sz w:val="24"/>
          <w:szCs w:val="24"/>
          <w:vertAlign w:val="superscript"/>
          <w:lang w:val="en"/>
        </w:rPr>
        <w:t>[10</w:t>
      </w:r>
      <w:r w:rsidR="003746E8" w:rsidRPr="00302F74">
        <w:rPr>
          <w:rFonts w:ascii="Book Antiqua" w:hAnsi="Book Antiqua" w:cs="Times New Roman"/>
          <w:bCs/>
          <w:sz w:val="24"/>
          <w:szCs w:val="24"/>
          <w:vertAlign w:val="superscript"/>
          <w:lang w:val="en"/>
        </w:rPr>
        <w:t>0</w:t>
      </w:r>
      <w:r w:rsidRPr="00302F74">
        <w:rPr>
          <w:rFonts w:ascii="Book Antiqua" w:hAnsi="Book Antiqua" w:cs="Times New Roman"/>
          <w:bCs/>
          <w:sz w:val="24"/>
          <w:szCs w:val="24"/>
          <w:vertAlign w:val="superscript"/>
          <w:lang w:val="en"/>
        </w:rPr>
        <w:t>,10</w:t>
      </w:r>
      <w:r w:rsidR="003746E8" w:rsidRPr="00302F74">
        <w:rPr>
          <w:rFonts w:ascii="Book Antiqua" w:hAnsi="Book Antiqua" w:cs="Times New Roman"/>
          <w:bCs/>
          <w:sz w:val="24"/>
          <w:szCs w:val="24"/>
          <w:vertAlign w:val="superscript"/>
          <w:lang w:val="en"/>
        </w:rPr>
        <w:t>1</w:t>
      </w:r>
      <w:r w:rsidRPr="00302F74">
        <w:rPr>
          <w:rFonts w:ascii="Book Antiqua" w:hAnsi="Book Antiqua" w:cs="Times New Roman"/>
          <w:bCs/>
          <w:sz w:val="24"/>
          <w:szCs w:val="24"/>
          <w:vertAlign w:val="superscript"/>
          <w:lang w:val="en"/>
        </w:rPr>
        <w:t>,23</w:t>
      </w:r>
      <w:r w:rsidR="003746E8" w:rsidRPr="00302F74">
        <w:rPr>
          <w:rFonts w:ascii="Book Antiqua" w:hAnsi="Book Antiqua" w:cs="Times New Roman"/>
          <w:bCs/>
          <w:sz w:val="24"/>
          <w:szCs w:val="24"/>
          <w:vertAlign w:val="superscript"/>
          <w:lang w:val="en"/>
        </w:rPr>
        <w:t>8</w:t>
      </w:r>
      <w:r w:rsidRPr="00302F74">
        <w:rPr>
          <w:rFonts w:ascii="Book Antiqua" w:hAnsi="Book Antiqua" w:cs="Times New Roman"/>
          <w:bCs/>
          <w:sz w:val="24"/>
          <w:szCs w:val="24"/>
          <w:vertAlign w:val="superscript"/>
          <w:lang w:val="en"/>
        </w:rPr>
        <w:t>,25</w:t>
      </w:r>
      <w:r w:rsidR="003746E8" w:rsidRPr="00302F74">
        <w:rPr>
          <w:rFonts w:ascii="Book Antiqua" w:hAnsi="Book Antiqua" w:cs="Times New Roman"/>
          <w:bCs/>
          <w:sz w:val="24"/>
          <w:szCs w:val="24"/>
          <w:vertAlign w:val="superscript"/>
          <w:lang w:val="en"/>
        </w:rPr>
        <w:t>4</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p>
    <w:p w:rsidR="00C9325C" w:rsidRDefault="00C9325C" w:rsidP="00FA6CCE">
      <w:pPr>
        <w:widowControl w:val="0"/>
        <w:spacing w:line="360" w:lineRule="auto"/>
        <w:ind w:firstLine="720"/>
        <w:jc w:val="both"/>
        <w:rPr>
          <w:rFonts w:ascii="Book Antiqua" w:hAnsi="Book Antiqua" w:cs="Times New Roman"/>
          <w:bCs/>
          <w:sz w:val="24"/>
          <w:szCs w:val="24"/>
          <w:lang w:val="en" w:eastAsia="zh-CN"/>
        </w:rPr>
      </w:pPr>
      <w:r w:rsidRPr="00302F74">
        <w:rPr>
          <w:rFonts w:ascii="Book Antiqua" w:hAnsi="Book Antiqua" w:cs="Times New Roman"/>
          <w:bCs/>
          <w:sz w:val="24"/>
          <w:szCs w:val="24"/>
        </w:rPr>
        <w:t>TIPS and shunt surgery are therapies of last resort for patients who fail other therapies for PHG because they entail more morbidity and mortality than pharmacologic therapy</w:t>
      </w:r>
      <w:r w:rsidRPr="00302F74">
        <w:rPr>
          <w:rFonts w:ascii="Book Antiqua" w:hAnsi="Book Antiqua" w:cs="Times New Roman"/>
          <w:bCs/>
          <w:sz w:val="24"/>
          <w:szCs w:val="24"/>
          <w:vertAlign w:val="superscript"/>
          <w:lang w:val="en"/>
        </w:rPr>
        <w:t>[71]</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TIPS, however, is very useful for refractory bleeding from esophageal varices from portal hypertension</w:t>
      </w:r>
      <w:r w:rsidRPr="00302F74">
        <w:rPr>
          <w:rFonts w:ascii="Book Antiqua" w:hAnsi="Book Antiqua" w:cs="Times New Roman"/>
          <w:bCs/>
          <w:sz w:val="24"/>
          <w:szCs w:val="24"/>
          <w:vertAlign w:val="superscript"/>
          <w:lang w:val="en"/>
        </w:rPr>
        <w:t>[25</w:t>
      </w:r>
      <w:r w:rsidR="003746E8" w:rsidRPr="00302F74">
        <w:rPr>
          <w:rFonts w:ascii="Book Antiqua" w:hAnsi="Book Antiqua" w:cs="Times New Roman"/>
          <w:bCs/>
          <w:sz w:val="24"/>
          <w:szCs w:val="24"/>
          <w:vertAlign w:val="superscript"/>
          <w:lang w:val="en"/>
        </w:rPr>
        <w:t>5</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xml:space="preserve">, and is a reasonable option in patients having recurrent severe bleeding from PHG despite administration of </w:t>
      </w:r>
      <w:r w:rsidRPr="00302F74">
        <w:rPr>
          <w:rFonts w:ascii="Book Antiqua" w:hAnsi="Book Antiqua" w:cs="Times New Roman"/>
          <w:bCs/>
          <w:sz w:val="24"/>
          <w:szCs w:val="24"/>
        </w:rPr>
        <w:t>β-</w:t>
      </w:r>
      <w:r w:rsidRPr="00302F74">
        <w:rPr>
          <w:rFonts w:ascii="Book Antiqua" w:hAnsi="Book Antiqua" w:cs="Times New Roman"/>
          <w:bCs/>
          <w:sz w:val="24"/>
          <w:szCs w:val="24"/>
          <w:lang w:val="en"/>
        </w:rPr>
        <w:t>adrenergic receptor antagonists</w:t>
      </w:r>
      <w:r w:rsidRPr="00302F74">
        <w:rPr>
          <w:rFonts w:ascii="Book Antiqua" w:hAnsi="Book Antiqua" w:cs="Times New Roman"/>
          <w:bCs/>
          <w:sz w:val="24"/>
          <w:szCs w:val="24"/>
          <w:vertAlign w:val="superscript"/>
          <w:lang w:val="en"/>
        </w:rPr>
        <w:t>[10</w:t>
      </w:r>
      <w:r w:rsidR="003746E8" w:rsidRPr="00302F74">
        <w:rPr>
          <w:rFonts w:ascii="Book Antiqua" w:hAnsi="Book Antiqua" w:cs="Times New Roman"/>
          <w:bCs/>
          <w:sz w:val="24"/>
          <w:szCs w:val="24"/>
          <w:vertAlign w:val="superscript"/>
          <w:lang w:val="en"/>
        </w:rPr>
        <w:t>2</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p>
    <w:p w:rsidR="000D57AF" w:rsidRPr="00302F74" w:rsidRDefault="000D57AF" w:rsidP="00FA6CCE">
      <w:pPr>
        <w:widowControl w:val="0"/>
        <w:spacing w:line="360" w:lineRule="auto"/>
        <w:ind w:firstLine="720"/>
        <w:jc w:val="both"/>
        <w:rPr>
          <w:rFonts w:ascii="Book Antiqua" w:hAnsi="Book Antiqua" w:cs="Times New Roman"/>
          <w:bCs/>
          <w:sz w:val="24"/>
          <w:szCs w:val="24"/>
          <w:lang w:val="en" w:eastAsia="zh-CN"/>
        </w:rPr>
      </w:pPr>
    </w:p>
    <w:p w:rsidR="00C9325C" w:rsidRPr="00F63BBD" w:rsidRDefault="00C9325C" w:rsidP="000D57AF">
      <w:pPr>
        <w:widowControl w:val="0"/>
        <w:spacing w:line="360" w:lineRule="auto"/>
        <w:jc w:val="both"/>
        <w:rPr>
          <w:rFonts w:ascii="Book Antiqua" w:hAnsi="Book Antiqua" w:cs="Times New Roman"/>
          <w:b/>
          <w:bCs/>
          <w:sz w:val="24"/>
          <w:szCs w:val="24"/>
          <w:lang w:val="en"/>
        </w:rPr>
      </w:pPr>
      <w:r w:rsidRPr="00F63BBD">
        <w:rPr>
          <w:rFonts w:ascii="Book Antiqua" w:hAnsi="Book Antiqua" w:cs="Times New Roman"/>
          <w:b/>
          <w:bCs/>
          <w:sz w:val="24"/>
          <w:szCs w:val="24"/>
          <w:lang w:val="en"/>
        </w:rPr>
        <w:t>Other invasive therapies</w:t>
      </w:r>
      <w:r w:rsidR="00F63BBD">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rPr>
        <w:t>Liver transplantation is the ultimate therapy for PHG</w:t>
      </w:r>
      <w:r w:rsidRPr="00302F74">
        <w:rPr>
          <w:rFonts w:ascii="Book Antiqua" w:hAnsi="Book Antiqua" w:cs="Times New Roman"/>
          <w:bCs/>
          <w:sz w:val="24"/>
          <w:szCs w:val="24"/>
          <w:vertAlign w:val="superscript"/>
        </w:rPr>
        <w:t>[11</w:t>
      </w:r>
      <w:r w:rsidR="003746E8"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In a study of 29 patients undergoing living donor liver transplantation for end stage liver disease, PHG resolved in all 19 patients who had PHG before transplantation</w:t>
      </w:r>
      <w:r w:rsidRPr="00302F74">
        <w:rPr>
          <w:rFonts w:ascii="Book Antiqua" w:hAnsi="Book Antiqua" w:cs="Times New Roman"/>
          <w:bCs/>
          <w:sz w:val="24"/>
          <w:szCs w:val="24"/>
          <w:vertAlign w:val="superscript"/>
        </w:rPr>
        <w:t>[44]</w:t>
      </w:r>
      <w:r w:rsidRPr="00302F74">
        <w:rPr>
          <w:rFonts w:ascii="Book Antiqua" w:hAnsi="Book Antiqua" w:cs="Times New Roman"/>
          <w:bCs/>
          <w:sz w:val="24"/>
          <w:szCs w:val="24"/>
        </w:rPr>
        <w:t xml:space="preserve">. </w:t>
      </w:r>
    </w:p>
    <w:p w:rsidR="00C9325C" w:rsidRPr="00302F74" w:rsidRDefault="00C9325C" w:rsidP="00FA6CCE">
      <w:pPr>
        <w:widowControl w:val="0"/>
        <w:spacing w:line="360" w:lineRule="auto"/>
        <w:ind w:firstLine="720"/>
        <w:jc w:val="both"/>
        <w:rPr>
          <w:rFonts w:ascii="Book Antiqua" w:hAnsi="Book Antiqua" w:cs="Times New Roman"/>
          <w:bCs/>
          <w:sz w:val="24"/>
          <w:szCs w:val="24"/>
          <w:lang w:val="en"/>
        </w:rPr>
      </w:pPr>
      <w:r w:rsidRPr="00302F74">
        <w:rPr>
          <w:rFonts w:ascii="Book Antiqua" w:hAnsi="Book Antiqua" w:cs="Times New Roman"/>
          <w:bCs/>
          <w:sz w:val="24"/>
          <w:szCs w:val="24"/>
        </w:rPr>
        <w:t xml:space="preserve">Kimura </w:t>
      </w:r>
      <w:r w:rsidR="000D57AF" w:rsidRPr="00B31B65">
        <w:rPr>
          <w:rFonts w:ascii="Book Antiqua" w:hAnsi="Book Antiqua" w:cs="Times New Roman"/>
          <w:i/>
          <w:sz w:val="24"/>
          <w:szCs w:val="24"/>
        </w:rPr>
        <w:t>et al</w:t>
      </w:r>
      <w:r w:rsidRPr="00302F74">
        <w:rPr>
          <w:rFonts w:ascii="Book Antiqua" w:hAnsi="Book Antiqua" w:cs="Times New Roman"/>
          <w:bCs/>
          <w:sz w:val="24"/>
          <w:szCs w:val="24"/>
          <w:vertAlign w:val="superscript"/>
        </w:rPr>
        <w:t>[21</w:t>
      </w:r>
      <w:r w:rsidR="003746E8"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xml:space="preserve"> </w:t>
      </w:r>
      <w:r w:rsidRPr="00302F74">
        <w:rPr>
          <w:rFonts w:ascii="Book Antiqua" w:hAnsi="Book Antiqua" w:cs="Times New Roman"/>
          <w:bCs/>
          <w:sz w:val="24"/>
          <w:szCs w:val="24"/>
        </w:rPr>
        <w:t>retrospectively examined the 19 patients experiencing gross Gl bleeding, defined as gross melena or hematemesis, within 3 mo after liver transplantation among 297 patients undergoing living donor liver transplantation.</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The etiologies included PHG in 2 patients, varices in 1, anastomotic ulcer in 13, and other in 3.</w:t>
      </w:r>
    </w:p>
    <w:p w:rsidR="00C9325C" w:rsidRPr="00302F74" w:rsidRDefault="00C9325C" w:rsidP="00FA6CCE">
      <w:pPr>
        <w:widowControl w:val="0"/>
        <w:spacing w:line="360" w:lineRule="auto"/>
        <w:ind w:firstLine="720"/>
        <w:jc w:val="both"/>
        <w:rPr>
          <w:rFonts w:ascii="Book Antiqua" w:hAnsi="Book Antiqua" w:cs="Times New Roman"/>
          <w:bCs/>
          <w:sz w:val="24"/>
          <w:szCs w:val="24"/>
          <w:lang w:val="en"/>
        </w:rPr>
      </w:pPr>
      <w:r w:rsidRPr="00302F74">
        <w:rPr>
          <w:rFonts w:ascii="Book Antiqua" w:hAnsi="Book Antiqua" w:cs="Times New Roman"/>
          <w:bCs/>
          <w:sz w:val="24"/>
          <w:szCs w:val="24"/>
          <w:lang w:val="en"/>
        </w:rPr>
        <w:t>Splenic embolization, by transcatheter splenic arterial embolization, significantly improves PHG in patients with hypersplenism as compared to controls</w:t>
      </w:r>
      <w:r w:rsidRPr="00302F74">
        <w:rPr>
          <w:rFonts w:ascii="Book Antiqua" w:hAnsi="Book Antiqua" w:cs="Times New Roman"/>
          <w:bCs/>
          <w:sz w:val="24"/>
          <w:szCs w:val="24"/>
          <w:vertAlign w:val="superscript"/>
          <w:lang w:val="en"/>
        </w:rPr>
        <w:t>[</w:t>
      </w:r>
      <w:r w:rsidR="003746E8" w:rsidRPr="00302F74">
        <w:rPr>
          <w:rFonts w:ascii="Book Antiqua" w:hAnsi="Book Antiqua" w:cs="Times New Roman"/>
          <w:bCs/>
          <w:sz w:val="24"/>
          <w:szCs w:val="24"/>
          <w:vertAlign w:val="superscript"/>
          <w:lang w:val="en"/>
        </w:rPr>
        <w:t>99</w:t>
      </w:r>
      <w:r w:rsidRPr="00302F74">
        <w:rPr>
          <w:rFonts w:ascii="Book Antiqua" w:hAnsi="Book Antiqua" w:cs="Times New Roman"/>
          <w:bCs/>
          <w:sz w:val="24"/>
          <w:szCs w:val="24"/>
          <w:vertAlign w:val="superscript"/>
          <w:lang w:val="en"/>
        </w:rPr>
        <w:t>,25</w:t>
      </w:r>
      <w:r w:rsidR="003746E8" w:rsidRPr="00302F74">
        <w:rPr>
          <w:rFonts w:ascii="Book Antiqua" w:hAnsi="Book Antiqua" w:cs="Times New Roman"/>
          <w:bCs/>
          <w:sz w:val="24"/>
          <w:szCs w:val="24"/>
          <w:vertAlign w:val="superscript"/>
          <w:lang w:val="en"/>
        </w:rPr>
        <w:t>5</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rPr>
        <w:t xml:space="preserve">Ohmagari </w:t>
      </w:r>
      <w:r w:rsidR="000D57AF" w:rsidRPr="00B31B65">
        <w:rPr>
          <w:rFonts w:ascii="Book Antiqua" w:hAnsi="Book Antiqua" w:cs="Times New Roman"/>
          <w:i/>
          <w:sz w:val="24"/>
          <w:szCs w:val="24"/>
        </w:rPr>
        <w:lastRenderedPageBreak/>
        <w:t>et al</w:t>
      </w:r>
      <w:r w:rsidRPr="00302F74">
        <w:rPr>
          <w:rFonts w:ascii="Book Antiqua" w:hAnsi="Book Antiqua" w:cs="Times New Roman"/>
          <w:bCs/>
          <w:sz w:val="24"/>
          <w:szCs w:val="24"/>
          <w:vertAlign w:val="superscript"/>
        </w:rPr>
        <w:t>[</w:t>
      </w:r>
      <w:r w:rsidR="003746E8" w:rsidRPr="00302F74">
        <w:rPr>
          <w:rFonts w:ascii="Book Antiqua" w:hAnsi="Book Antiqua" w:cs="Times New Roman"/>
          <w:bCs/>
          <w:sz w:val="24"/>
          <w:szCs w:val="24"/>
          <w:vertAlign w:val="superscript"/>
        </w:rPr>
        <w:t>99</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xml:space="preserve"> evaluated 30 patients with hypersplenism who underwent transcatheter splenic arterial embolization in 17 </w:t>
      </w:r>
      <w:r w:rsidR="00963345" w:rsidRPr="00963345">
        <w:rPr>
          <w:rFonts w:ascii="Book Antiqua" w:hAnsi="Book Antiqua" w:cs="Times New Roman" w:hint="eastAsia"/>
          <w:i/>
          <w:sz w:val="24"/>
          <w:szCs w:val="24"/>
          <w:lang w:eastAsia="zh-CN"/>
        </w:rPr>
        <w:t>vs</w:t>
      </w:r>
      <w:r w:rsidRPr="00302F74">
        <w:rPr>
          <w:rFonts w:ascii="Book Antiqua" w:hAnsi="Book Antiqua" w:cs="Times New Roman"/>
          <w:bCs/>
          <w:sz w:val="24"/>
          <w:szCs w:val="24"/>
        </w:rPr>
        <w:t xml:space="preserve"> no interventional therapy in 13 patients. Splenic embolization significantly reduced the frequency of PHG (reduction of 71% </w:t>
      </w:r>
      <w:r w:rsidR="00963345" w:rsidRPr="00963345">
        <w:rPr>
          <w:rFonts w:ascii="Book Antiqua" w:hAnsi="Book Antiqua" w:cs="Times New Roman" w:hint="eastAsia"/>
          <w:i/>
          <w:sz w:val="24"/>
          <w:szCs w:val="24"/>
          <w:lang w:eastAsia="zh-CN"/>
        </w:rPr>
        <w:t>vs</w:t>
      </w:r>
      <w:r w:rsidRPr="00302F74">
        <w:rPr>
          <w:rFonts w:ascii="Book Antiqua" w:hAnsi="Book Antiqua" w:cs="Times New Roman"/>
          <w:bCs/>
          <w:sz w:val="24"/>
          <w:szCs w:val="24"/>
        </w:rPr>
        <w:t xml:space="preserve"> 8%, </w:t>
      </w:r>
      <w:r w:rsidR="00E878B6">
        <w:rPr>
          <w:rFonts w:ascii="Book Antiqua" w:hAnsi="Book Antiqua" w:cs="Times New Roman"/>
          <w:bCs/>
          <w:i/>
          <w:sz w:val="24"/>
          <w:szCs w:val="24"/>
        </w:rPr>
        <w:t>P &lt;</w:t>
      </w:r>
      <w:r w:rsidR="000D57AF">
        <w:rPr>
          <w:rFonts w:ascii="Book Antiqua" w:hAnsi="Book Antiqua" w:cs="Times New Roman" w:hint="eastAsia"/>
          <w:bCs/>
          <w:i/>
          <w:sz w:val="24"/>
          <w:szCs w:val="24"/>
          <w:lang w:eastAsia="zh-CN"/>
        </w:rPr>
        <w:t xml:space="preserve"> </w:t>
      </w:r>
      <w:r w:rsidRPr="00302F74">
        <w:rPr>
          <w:rFonts w:ascii="Book Antiqua" w:hAnsi="Book Antiqua" w:cs="Times New Roman"/>
          <w:bCs/>
          <w:sz w:val="24"/>
          <w:szCs w:val="24"/>
        </w:rPr>
        <w:t>0.05).</w:t>
      </w:r>
      <w:r w:rsidR="00963345">
        <w:rPr>
          <w:rFonts w:ascii="Book Antiqua" w:hAnsi="Book Antiqua" w:cs="Times New Roman"/>
          <w:bCs/>
          <w:sz w:val="24"/>
          <w:szCs w:val="24"/>
        </w:rPr>
        <w:t xml:space="preserve"> </w:t>
      </w:r>
      <w:r w:rsidRPr="00302F74">
        <w:rPr>
          <w:rFonts w:ascii="Book Antiqua" w:hAnsi="Book Antiqua" w:cs="Times New Roman"/>
          <w:bCs/>
          <w:sz w:val="24"/>
          <w:szCs w:val="24"/>
          <w:lang w:val="en"/>
        </w:rPr>
        <w:t>Partial splenic embolization also successfully controlled PHG bleeding in one case report</w:t>
      </w:r>
      <w:r w:rsidRPr="00302F74">
        <w:rPr>
          <w:rFonts w:ascii="Book Antiqua" w:hAnsi="Book Antiqua" w:cs="Times New Roman"/>
          <w:bCs/>
          <w:sz w:val="24"/>
          <w:szCs w:val="24"/>
          <w:vertAlign w:val="superscript"/>
          <w:lang w:val="en"/>
        </w:rPr>
        <w:t>[25</w:t>
      </w:r>
      <w:r w:rsidR="003746E8" w:rsidRPr="00302F74">
        <w:rPr>
          <w:rFonts w:ascii="Book Antiqua" w:hAnsi="Book Antiqua" w:cs="Times New Roman"/>
          <w:bCs/>
          <w:sz w:val="24"/>
          <w:szCs w:val="24"/>
          <w:vertAlign w:val="superscript"/>
          <w:lang w:val="en"/>
        </w:rPr>
        <w:t>6</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p>
    <w:p w:rsidR="00C9325C" w:rsidRDefault="00C9325C" w:rsidP="00FA6CCE">
      <w:pPr>
        <w:widowControl w:val="0"/>
        <w:spacing w:line="360" w:lineRule="auto"/>
        <w:ind w:firstLine="720"/>
        <w:jc w:val="both"/>
        <w:rPr>
          <w:rFonts w:ascii="Book Antiqua" w:hAnsi="Book Antiqua" w:cs="Times New Roman"/>
          <w:bCs/>
          <w:sz w:val="24"/>
          <w:szCs w:val="24"/>
          <w:lang w:eastAsia="zh-CN"/>
        </w:rPr>
      </w:pPr>
      <w:r w:rsidRPr="00302F74">
        <w:rPr>
          <w:rFonts w:ascii="Book Antiqua" w:hAnsi="Book Antiqua" w:cs="Times New Roman"/>
          <w:bCs/>
          <w:sz w:val="24"/>
          <w:szCs w:val="24"/>
          <w:lang w:val="en"/>
        </w:rPr>
        <w:t>Laparoscopic splenectomy, for various indications, was reported to decrease PHG severity</w:t>
      </w:r>
      <w:r w:rsidRPr="00302F74">
        <w:rPr>
          <w:rFonts w:ascii="Book Antiqua" w:hAnsi="Book Antiqua" w:cs="Times New Roman"/>
          <w:bCs/>
          <w:sz w:val="24"/>
          <w:szCs w:val="24"/>
          <w:vertAlign w:val="superscript"/>
          <w:lang w:val="en"/>
        </w:rPr>
        <w:t>[55</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Anegawa </w:t>
      </w:r>
      <w:r w:rsidR="000D57AF" w:rsidRPr="00B31B65">
        <w:rPr>
          <w:rFonts w:ascii="Book Antiqua" w:hAnsi="Book Antiqua" w:cs="Times New Roman"/>
          <w:i/>
          <w:sz w:val="24"/>
          <w:szCs w:val="24"/>
        </w:rPr>
        <w:t>et al</w:t>
      </w:r>
      <w:r w:rsidRPr="00302F74">
        <w:rPr>
          <w:rFonts w:ascii="Book Antiqua" w:hAnsi="Book Antiqua" w:cs="Times New Roman"/>
          <w:bCs/>
          <w:sz w:val="24"/>
          <w:szCs w:val="24"/>
          <w:vertAlign w:val="superscript"/>
        </w:rPr>
        <w:t>[55]</w:t>
      </w:r>
      <w:r w:rsidRPr="00302F74">
        <w:rPr>
          <w:rFonts w:ascii="Book Antiqua" w:hAnsi="Book Antiqua" w:cs="Times New Roman"/>
          <w:bCs/>
          <w:sz w:val="24"/>
          <w:szCs w:val="24"/>
        </w:rPr>
        <w:t xml:space="preserve"> prospectively analyzed the effect of laparoscopic splenectomy on preexistent PHG in 70 patients with liver cirrhosis from various etiologies. All patients underwent EGD before and 1 mo after splenectomy.</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Splenectomy was performed for indications of bleeding diathesis, interferon induction, hepatocellular cancer treatment, and sclerotherapy-resistant varices.</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Before splenectomy, 49 of 70 patients had PHG, including mild PHG in 32 and severe PHG in 17 patients. After splenectomy, PHG resolved completely in 7 patients with prior severe PHG, resolved completely in 12 patients with mild PHG, and was reduced from severe to mild PHG in 9 patients (</w:t>
      </w:r>
      <w:r w:rsidR="00E878B6">
        <w:rPr>
          <w:rFonts w:ascii="Book Antiqua" w:hAnsi="Book Antiqua" w:cs="Times New Roman"/>
          <w:bCs/>
          <w:i/>
          <w:sz w:val="24"/>
          <w:szCs w:val="24"/>
        </w:rPr>
        <w:t>P &lt;</w:t>
      </w:r>
      <w:r w:rsidR="000D57AF">
        <w:rPr>
          <w:rFonts w:ascii="Book Antiqua" w:hAnsi="Book Antiqua" w:cs="Times New Roman" w:hint="eastAsia"/>
          <w:bCs/>
          <w:i/>
          <w:sz w:val="24"/>
          <w:szCs w:val="24"/>
          <w:lang w:eastAsia="zh-CN"/>
        </w:rPr>
        <w:t xml:space="preserve"> </w:t>
      </w:r>
      <w:r w:rsidRPr="00302F74">
        <w:rPr>
          <w:rFonts w:ascii="Book Antiqua" w:hAnsi="Book Antiqua" w:cs="Times New Roman"/>
          <w:bCs/>
          <w:sz w:val="24"/>
          <w:szCs w:val="24"/>
        </w:rPr>
        <w:t>0.0001).</w:t>
      </w:r>
    </w:p>
    <w:p w:rsidR="000D57AF" w:rsidRPr="00302F74" w:rsidRDefault="000D57AF" w:rsidP="00FA6CCE">
      <w:pPr>
        <w:widowControl w:val="0"/>
        <w:spacing w:line="360" w:lineRule="auto"/>
        <w:ind w:firstLine="720"/>
        <w:jc w:val="both"/>
        <w:rPr>
          <w:rFonts w:ascii="Book Antiqua" w:hAnsi="Book Antiqua" w:cs="Times New Roman"/>
          <w:bCs/>
          <w:sz w:val="24"/>
          <w:szCs w:val="24"/>
          <w:lang w:eastAsia="zh-CN"/>
        </w:rPr>
      </w:pPr>
    </w:p>
    <w:p w:rsidR="00C9325C" w:rsidRPr="00F63BBD" w:rsidRDefault="00C9325C" w:rsidP="00FA6CCE">
      <w:pPr>
        <w:widowControl w:val="0"/>
        <w:spacing w:line="360" w:lineRule="auto"/>
        <w:jc w:val="both"/>
        <w:rPr>
          <w:rFonts w:ascii="Book Antiqua" w:hAnsi="Book Antiqua" w:cs="Times New Roman"/>
          <w:b/>
          <w:bCs/>
          <w:i/>
          <w:sz w:val="24"/>
          <w:szCs w:val="24"/>
          <w:lang w:val="en"/>
        </w:rPr>
      </w:pPr>
      <w:r w:rsidRPr="00F63BBD">
        <w:rPr>
          <w:rFonts w:ascii="Book Antiqua" w:hAnsi="Book Antiqua" w:cs="Times New Roman"/>
          <w:b/>
          <w:bCs/>
          <w:i/>
          <w:sz w:val="24"/>
          <w:szCs w:val="24"/>
          <w:lang w:val="en"/>
        </w:rPr>
        <w:t>S</w:t>
      </w:r>
      <w:r w:rsidR="00F63BBD" w:rsidRPr="00F63BBD">
        <w:rPr>
          <w:rFonts w:ascii="Book Antiqua" w:hAnsi="Book Antiqua" w:cs="Times New Roman"/>
          <w:b/>
          <w:bCs/>
          <w:i/>
          <w:sz w:val="24"/>
          <w:szCs w:val="24"/>
          <w:lang w:val="en"/>
        </w:rPr>
        <w:t>ummary of clinical treatment</w:t>
      </w:r>
    </w:p>
    <w:p w:rsidR="00C9325C" w:rsidRPr="00F63BBD" w:rsidRDefault="00C9325C" w:rsidP="000D57AF">
      <w:pPr>
        <w:widowControl w:val="0"/>
        <w:spacing w:line="360" w:lineRule="auto"/>
        <w:jc w:val="both"/>
        <w:rPr>
          <w:rFonts w:ascii="Book Antiqua" w:hAnsi="Book Antiqua" w:cs="Times New Roman"/>
          <w:b/>
          <w:bCs/>
          <w:sz w:val="24"/>
          <w:szCs w:val="24"/>
          <w:lang w:val="en"/>
        </w:rPr>
      </w:pPr>
      <w:r w:rsidRPr="00F63BBD">
        <w:rPr>
          <w:rFonts w:ascii="Book Antiqua" w:hAnsi="Book Antiqua" w:cs="Times New Roman"/>
          <w:b/>
          <w:bCs/>
          <w:sz w:val="24"/>
          <w:szCs w:val="24"/>
          <w:lang w:val="en"/>
        </w:rPr>
        <w:t>Acute bleeding</w:t>
      </w:r>
      <w:r w:rsidR="00F63BBD">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rPr>
        <w:t>Variceal bleeding must be excluded by performing EGD before initiating treatment for PHG</w:t>
      </w:r>
      <w:r w:rsidRPr="00302F74">
        <w:rPr>
          <w:rFonts w:ascii="Book Antiqua" w:hAnsi="Book Antiqua" w:cs="Times New Roman"/>
          <w:bCs/>
          <w:sz w:val="24"/>
          <w:szCs w:val="24"/>
          <w:vertAlign w:val="superscript"/>
        </w:rPr>
        <w:t>[25</w:t>
      </w:r>
      <w:r w:rsidR="003746E8"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lang w:val="en"/>
        </w:rPr>
        <w:t>General measures for patients presenting with acute bleeding from PHG include volume resuscitation and cautious transfusion of packed erythrocytes, as necessary, to maintain the hemoglobin level at 8 g/dL</w:t>
      </w:r>
      <w:r w:rsidRPr="00302F74">
        <w:rPr>
          <w:rFonts w:ascii="Book Antiqua" w:hAnsi="Book Antiqua" w:cs="Times New Roman"/>
          <w:bCs/>
          <w:sz w:val="24"/>
          <w:szCs w:val="24"/>
          <w:vertAlign w:val="superscript"/>
        </w:rPr>
        <w:t>[19</w:t>
      </w:r>
      <w:r w:rsidR="003746E8" w:rsidRPr="00302F74">
        <w:rPr>
          <w:rFonts w:ascii="Book Antiqua" w:hAnsi="Book Antiqua" w:cs="Times New Roman"/>
          <w:bCs/>
          <w:sz w:val="24"/>
          <w:szCs w:val="24"/>
          <w:vertAlign w:val="superscript"/>
        </w:rPr>
        <w:t>2</w:t>
      </w:r>
      <w:r w:rsidRPr="00302F74">
        <w:rPr>
          <w:rFonts w:ascii="Book Antiqua" w:hAnsi="Book Antiqua" w:cs="Times New Roman"/>
          <w:bCs/>
          <w:sz w:val="24"/>
          <w:szCs w:val="24"/>
          <w:vertAlign w:val="superscript"/>
        </w:rPr>
        <w:t>,2</w:t>
      </w:r>
      <w:r w:rsidR="003746E8" w:rsidRPr="00302F74">
        <w:rPr>
          <w:rFonts w:ascii="Book Antiqua" w:hAnsi="Book Antiqua" w:cs="Times New Roman"/>
          <w:bCs/>
          <w:sz w:val="24"/>
          <w:szCs w:val="24"/>
          <w:vertAlign w:val="superscript"/>
        </w:rPr>
        <w:t>59</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Over-transfusion to a higher hemoglobin level could promote bleeding from PHG by raising portal pressure, as reported for bleeding from esophageal varices</w:t>
      </w:r>
      <w:r w:rsidRPr="00302F74">
        <w:rPr>
          <w:rFonts w:ascii="Book Antiqua" w:hAnsi="Book Antiqua" w:cs="Times New Roman"/>
          <w:sz w:val="24"/>
          <w:szCs w:val="24"/>
          <w:vertAlign w:val="superscript"/>
        </w:rPr>
        <w:t>[</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1</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2</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However, patients with cardiopulmonary disease or severe other comorbidities may require a hemoglobin level of 9-10 g/dL</w:t>
      </w:r>
      <w:r w:rsidRPr="00302F74">
        <w:rPr>
          <w:rFonts w:ascii="Book Antiqua" w:hAnsi="Book Antiqua" w:cs="Times New Roman"/>
          <w:sz w:val="24"/>
          <w:szCs w:val="24"/>
          <w:vertAlign w:val="superscript"/>
        </w:rPr>
        <w:t>[</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Antibiotic</w:t>
      </w:r>
      <w:r w:rsidRPr="00302F74">
        <w:rPr>
          <w:rFonts w:ascii="Book Antiqua" w:hAnsi="Book Antiqua" w:cs="Times New Roman"/>
          <w:bCs/>
          <w:sz w:val="24"/>
          <w:szCs w:val="24"/>
          <w:lang w:val="en"/>
        </w:rPr>
        <w:t xml:space="preserve"> prophylaxis is generally recommended for bleeding from PHG</w:t>
      </w:r>
      <w:r w:rsidRPr="00302F74">
        <w:rPr>
          <w:rFonts w:ascii="Book Antiqua" w:hAnsi="Book Antiqua" w:cs="Times New Roman"/>
          <w:bCs/>
          <w:sz w:val="24"/>
          <w:szCs w:val="24"/>
          <w:vertAlign w:val="superscript"/>
          <w:lang w:val="en"/>
        </w:rPr>
        <w:t>[2</w:t>
      </w:r>
      <w:r w:rsidR="003746E8" w:rsidRPr="00302F74">
        <w:rPr>
          <w:rFonts w:ascii="Book Antiqua" w:hAnsi="Book Antiqua" w:cs="Times New Roman"/>
          <w:bCs/>
          <w:sz w:val="24"/>
          <w:szCs w:val="24"/>
          <w:vertAlign w:val="superscript"/>
          <w:lang w:val="en"/>
        </w:rPr>
        <w:t>14</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 just as it is recommended for esophageal variceal bleeding in cirrhotic patients</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vertAlign w:val="superscript"/>
        </w:rPr>
        <w:t>1</w:t>
      </w:r>
      <w:r w:rsidR="003746E8" w:rsidRPr="00302F74">
        <w:rPr>
          <w:rFonts w:ascii="Book Antiqua" w:hAnsi="Book Antiqua" w:cs="Times New Roman"/>
          <w:bCs/>
          <w:sz w:val="24"/>
          <w:szCs w:val="24"/>
          <w:vertAlign w:val="superscript"/>
        </w:rPr>
        <w:t>89</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4</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6</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lang w:val="en"/>
        </w:rPr>
        <w:t xml:space="preserve"> because of an increased risk of systemic infections, particularly spontaneous bacterial peritonitis, in cirrhotic patients with GI bleeding</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7</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p>
    <w:p w:rsidR="00C9325C" w:rsidRPr="00302F74" w:rsidRDefault="00C9325C" w:rsidP="00FA6CCE">
      <w:pPr>
        <w:widowControl w:val="0"/>
        <w:spacing w:line="360" w:lineRule="auto"/>
        <w:ind w:firstLine="720"/>
        <w:jc w:val="both"/>
        <w:rPr>
          <w:rFonts w:ascii="Book Antiqua" w:hAnsi="Book Antiqua" w:cs="Times New Roman"/>
          <w:bCs/>
          <w:sz w:val="24"/>
          <w:szCs w:val="24"/>
          <w:lang w:val="en"/>
        </w:rPr>
      </w:pPr>
      <w:r w:rsidRPr="00302F74">
        <w:rPr>
          <w:rFonts w:ascii="Book Antiqua" w:hAnsi="Book Antiqua" w:cs="Times New Roman"/>
          <w:bCs/>
          <w:sz w:val="24"/>
          <w:szCs w:val="24"/>
          <w:lang w:val="en"/>
        </w:rPr>
        <w:t>Bleeding from PHG may be exacerbated by a coagulopathy with an elevated international normalized ratio from advanced liver disease.</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 xml:space="preserve">This coagulopathy may </w:t>
      </w:r>
      <w:r w:rsidRPr="00302F74">
        <w:rPr>
          <w:rFonts w:ascii="Book Antiqua" w:hAnsi="Book Antiqua" w:cs="Times New Roman"/>
          <w:bCs/>
          <w:sz w:val="24"/>
          <w:szCs w:val="24"/>
          <w:lang w:val="en"/>
        </w:rPr>
        <w:lastRenderedPageBreak/>
        <w:t>require transfusion of fresh frozen plasma.</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Severe thrombocytopenia may occur from bone marrow suppression in alcoholic cirrhosis and from hypersplenism with portal hypertension in any cirrhotic patient.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Platelet transfusion may be necessary for severe thrombocytopenia in the setting of active bleeding from PGH.</w:t>
      </w:r>
    </w:p>
    <w:p w:rsidR="00C9325C" w:rsidRDefault="00C9325C" w:rsidP="00FA6CCE">
      <w:pPr>
        <w:widowControl w:val="0"/>
        <w:spacing w:line="360" w:lineRule="auto"/>
        <w:ind w:firstLine="720"/>
        <w:jc w:val="both"/>
        <w:rPr>
          <w:rFonts w:ascii="Book Antiqua" w:hAnsi="Book Antiqua" w:cs="Times New Roman"/>
          <w:bCs/>
          <w:sz w:val="24"/>
          <w:szCs w:val="24"/>
          <w:lang w:eastAsia="zh-CN"/>
        </w:rPr>
      </w:pPr>
      <w:r w:rsidRPr="00302F74">
        <w:rPr>
          <w:rFonts w:ascii="Book Antiqua" w:hAnsi="Book Antiqua" w:cs="Times New Roman"/>
          <w:bCs/>
          <w:sz w:val="24"/>
          <w:szCs w:val="24"/>
        </w:rPr>
        <w:t>Somatostatin or octreotide are first line therapies.</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Vasopressin or terlipressin are second-line therapies for acute bleeding</w:t>
      </w:r>
      <w:r w:rsidRPr="00302F74">
        <w:rPr>
          <w:rFonts w:ascii="Book Antiqua" w:hAnsi="Book Antiqua" w:cs="Times New Roman"/>
          <w:bCs/>
          <w:sz w:val="24"/>
          <w:szCs w:val="24"/>
          <w:vertAlign w:val="superscript"/>
        </w:rPr>
        <w:t>[10</w:t>
      </w:r>
      <w:r w:rsidR="003746E8" w:rsidRPr="00302F74">
        <w:rPr>
          <w:rFonts w:ascii="Book Antiqua" w:hAnsi="Book Antiqua" w:cs="Times New Roman"/>
          <w:bCs/>
          <w:sz w:val="24"/>
          <w:szCs w:val="24"/>
          <w:vertAlign w:val="superscript"/>
        </w:rPr>
        <w:t>6</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Once the acute bleeding is controlled and the patient is hemodynamically stable, a nonselective β-adrenergic receptor antagonist is instituted for secondary prevention of PHG bleeding</w:t>
      </w:r>
      <w:r w:rsidRPr="00302F74">
        <w:rPr>
          <w:rFonts w:ascii="Book Antiqua" w:hAnsi="Book Antiqua" w:cs="Times New Roman"/>
          <w:bCs/>
          <w:sz w:val="24"/>
          <w:szCs w:val="24"/>
          <w:vertAlign w:val="superscript"/>
        </w:rPr>
        <w:t>[10</w:t>
      </w:r>
      <w:r w:rsidR="003746E8"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,25</w:t>
      </w:r>
      <w:r w:rsidR="003746E8"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Propranolol is the recommended drug in this class because it has been the most studied.</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Propranolol should be started at a dose of 20 mg twice daily and gradually escalated to 160 twice daily or the maximum tolerated dose, maintaining it as long as the portal hypertension is present</w:t>
      </w:r>
      <w:r w:rsidRPr="00302F74">
        <w:rPr>
          <w:rFonts w:ascii="Book Antiqua" w:hAnsi="Book Antiqua" w:cs="Times New Roman"/>
          <w:bCs/>
          <w:sz w:val="24"/>
          <w:szCs w:val="24"/>
          <w:vertAlign w:val="superscript"/>
        </w:rPr>
        <w:t>[21</w:t>
      </w:r>
      <w:r w:rsidR="003746E8" w:rsidRPr="00302F74">
        <w:rPr>
          <w:rFonts w:ascii="Book Antiqua" w:hAnsi="Book Antiqua" w:cs="Times New Roman"/>
          <w:bCs/>
          <w:sz w:val="24"/>
          <w:szCs w:val="24"/>
          <w:vertAlign w:val="superscript"/>
        </w:rPr>
        <w:t>4</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The dose is titrated to slow the pulse to 60 beats/min.</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This class of drugs is not used in the acute setting because it can blunt the physiologic tachycardia to restore end-organ perfusion in response to hypovolemia and </w:t>
      </w:r>
      <w:r w:rsidRPr="00302F74">
        <w:rPr>
          <w:rFonts w:ascii="Book Antiqua" w:hAnsi="Book Antiqua" w:cs="Times New Roman"/>
          <w:bCs/>
          <w:sz w:val="24"/>
          <w:szCs w:val="24"/>
          <w:lang w:val="en"/>
        </w:rPr>
        <w:t>requires gradual dose titration to achieve an adequate response</w:t>
      </w:r>
      <w:r w:rsidRPr="00302F74">
        <w:rPr>
          <w:rFonts w:ascii="Book Antiqua" w:hAnsi="Book Antiqua" w:cs="Times New Roman"/>
          <w:bCs/>
          <w:sz w:val="24"/>
          <w:szCs w:val="24"/>
          <w:vertAlign w:val="superscript"/>
          <w:lang w:val="en"/>
        </w:rPr>
        <w:t>[21</w:t>
      </w:r>
      <w:r w:rsidR="003746E8" w:rsidRPr="00302F74">
        <w:rPr>
          <w:rFonts w:ascii="Book Antiqua" w:hAnsi="Book Antiqua" w:cs="Times New Roman"/>
          <w:bCs/>
          <w:sz w:val="24"/>
          <w:szCs w:val="24"/>
          <w:vertAlign w:val="superscript"/>
          <w:lang w:val="en"/>
        </w:rPr>
        <w:t>4</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rPr>
        <w:t>This class of drugs also prevents bleeding from concomitant esophageal varices.</w:t>
      </w:r>
    </w:p>
    <w:p w:rsidR="000D57AF" w:rsidRPr="00F63BBD" w:rsidRDefault="000D57AF" w:rsidP="00FA6CCE">
      <w:pPr>
        <w:widowControl w:val="0"/>
        <w:spacing w:line="360" w:lineRule="auto"/>
        <w:ind w:firstLine="720"/>
        <w:jc w:val="both"/>
        <w:rPr>
          <w:rFonts w:ascii="Book Antiqua" w:hAnsi="Book Antiqua" w:cs="Times New Roman"/>
          <w:bCs/>
          <w:sz w:val="24"/>
          <w:szCs w:val="24"/>
          <w:lang w:val="en" w:eastAsia="zh-CN"/>
        </w:rPr>
      </w:pPr>
    </w:p>
    <w:p w:rsidR="00C9325C" w:rsidRPr="00F63BBD" w:rsidRDefault="00C9325C" w:rsidP="000D57AF">
      <w:pPr>
        <w:widowControl w:val="0"/>
        <w:spacing w:line="360" w:lineRule="auto"/>
        <w:jc w:val="both"/>
        <w:rPr>
          <w:rFonts w:ascii="Book Antiqua" w:hAnsi="Book Antiqua" w:cs="Times New Roman"/>
          <w:b/>
          <w:bCs/>
          <w:sz w:val="24"/>
          <w:szCs w:val="24"/>
        </w:rPr>
      </w:pPr>
      <w:r w:rsidRPr="00F63BBD">
        <w:rPr>
          <w:rFonts w:ascii="Book Antiqua" w:hAnsi="Book Antiqua" w:cs="Times New Roman"/>
          <w:b/>
          <w:bCs/>
          <w:sz w:val="24"/>
          <w:szCs w:val="24"/>
        </w:rPr>
        <w:t>Treatment of chronic bleeding</w:t>
      </w:r>
      <w:r w:rsidR="00F63BBD">
        <w:rPr>
          <w:rFonts w:ascii="Book Antiqua" w:hAnsi="Book Antiqua" w:cs="Times New Roman" w:hint="eastAsia"/>
          <w:b/>
          <w:bCs/>
          <w:sz w:val="24"/>
          <w:szCs w:val="24"/>
          <w:lang w:eastAsia="zh-CN"/>
        </w:rPr>
        <w:t xml:space="preserve">: </w:t>
      </w:r>
      <w:r w:rsidRPr="00302F74">
        <w:rPr>
          <w:rFonts w:ascii="Book Antiqua" w:hAnsi="Book Antiqua" w:cs="Times New Roman"/>
          <w:bCs/>
          <w:sz w:val="24"/>
          <w:szCs w:val="24"/>
        </w:rPr>
        <w:t xml:space="preserve">Scant data exist regarding management of chronic bleeding from </w:t>
      </w:r>
      <w:proofErr w:type="gramStart"/>
      <w:r w:rsidRPr="00302F74">
        <w:rPr>
          <w:rFonts w:ascii="Book Antiqua" w:hAnsi="Book Antiqua" w:cs="Times New Roman"/>
          <w:bCs/>
          <w:sz w:val="24"/>
          <w:szCs w:val="24"/>
        </w:rPr>
        <w:t>PHG</w:t>
      </w:r>
      <w:r w:rsidRPr="00302F74">
        <w:rPr>
          <w:rFonts w:ascii="Book Antiqua" w:hAnsi="Book Antiqua" w:cs="Times New Roman"/>
          <w:bCs/>
          <w:sz w:val="24"/>
          <w:szCs w:val="24"/>
          <w:vertAlign w:val="superscript"/>
        </w:rPr>
        <w:t>[</w:t>
      </w:r>
      <w:proofErr w:type="gramEnd"/>
      <w:r w:rsidRPr="00302F74">
        <w:rPr>
          <w:rFonts w:ascii="Book Antiqua" w:hAnsi="Book Antiqua" w:cs="Times New Roman"/>
          <w:bCs/>
          <w:sz w:val="24"/>
          <w:szCs w:val="24"/>
          <w:vertAlign w:val="superscript"/>
        </w:rPr>
        <w:t>72]</w:t>
      </w:r>
      <w:r w:rsidRPr="00302F74">
        <w:rPr>
          <w:rFonts w:ascii="Book Antiqua" w:hAnsi="Book Antiqua" w:cs="Times New Roman"/>
          <w:bCs/>
          <w:sz w:val="24"/>
          <w:szCs w:val="24"/>
        </w:rPr>
        <w:t>. In patients with suspected chronic bleeding from PHG, after excluding other etiologies, iron replacement therapy should be initiated to avoid depleting iron reserves</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Propranolol is the primary therapy to reduce portal pressure and prevent chronic bleeding</w:t>
      </w:r>
      <w:r w:rsidRPr="00302F74">
        <w:rPr>
          <w:rFonts w:ascii="Book Antiqua" w:hAnsi="Book Antiqua" w:cs="Times New Roman"/>
          <w:bCs/>
          <w:sz w:val="24"/>
          <w:szCs w:val="24"/>
          <w:vertAlign w:val="superscript"/>
        </w:rPr>
        <w:t>[72,21</w:t>
      </w:r>
      <w:r w:rsidR="003746E8" w:rsidRPr="00302F74">
        <w:rPr>
          <w:rFonts w:ascii="Book Antiqua" w:hAnsi="Book Antiqua" w:cs="Times New Roman"/>
          <w:bCs/>
          <w:sz w:val="24"/>
          <w:szCs w:val="24"/>
          <w:vertAlign w:val="superscript"/>
        </w:rPr>
        <w:t>4</w:t>
      </w:r>
      <w:r w:rsidRPr="00302F74">
        <w:rPr>
          <w:rFonts w:ascii="Book Antiqua" w:hAnsi="Book Antiqua" w:cs="Times New Roman"/>
          <w:bCs/>
          <w:sz w:val="24"/>
          <w:szCs w:val="24"/>
          <w:vertAlign w:val="superscript"/>
        </w:rPr>
        <w:t>,26</w:t>
      </w:r>
      <w:r w:rsidR="003746E8"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However, propranolol was not superior to placebo in one study, as determined by percentage of patients free from chronic GI bleeding during long term follow-up</w:t>
      </w:r>
      <w:r w:rsidRPr="00302F74">
        <w:rPr>
          <w:rFonts w:ascii="Book Antiqua" w:hAnsi="Book Antiqua" w:cs="Times New Roman"/>
          <w:bCs/>
          <w:sz w:val="24"/>
          <w:szCs w:val="24"/>
          <w:vertAlign w:val="superscript"/>
        </w:rPr>
        <w:t>[10</w:t>
      </w:r>
      <w:r w:rsidR="003746E8"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p>
    <w:p w:rsidR="00C9325C" w:rsidRDefault="00C9325C" w:rsidP="00FA6CCE">
      <w:pPr>
        <w:widowControl w:val="0"/>
        <w:spacing w:line="360" w:lineRule="auto"/>
        <w:ind w:firstLine="720"/>
        <w:jc w:val="both"/>
        <w:rPr>
          <w:rFonts w:ascii="Book Antiqua" w:hAnsi="Book Antiqua" w:cs="Times New Roman"/>
          <w:bCs/>
          <w:sz w:val="24"/>
          <w:szCs w:val="24"/>
          <w:lang w:eastAsia="zh-CN"/>
        </w:rPr>
      </w:pPr>
      <w:r w:rsidRPr="00302F74">
        <w:rPr>
          <w:rFonts w:ascii="Book Antiqua" w:hAnsi="Book Antiqua" w:cs="Times New Roman"/>
          <w:bCs/>
          <w:sz w:val="24"/>
          <w:szCs w:val="24"/>
        </w:rPr>
        <w:t>Liver transplantation is an option in patients with decompensated cirrhosis and PHG bleeding.</w:t>
      </w:r>
      <w:r w:rsidR="00963345">
        <w:rPr>
          <w:rFonts w:ascii="Book Antiqua" w:hAnsi="Book Antiqua" w:cs="Times New Roman"/>
          <w:bCs/>
          <w:sz w:val="24"/>
          <w:szCs w:val="24"/>
        </w:rPr>
        <w:t xml:space="preserve"> </w:t>
      </w:r>
      <w:r w:rsidRPr="000D57AF">
        <w:rPr>
          <w:rFonts w:ascii="Book Antiqua" w:hAnsi="Book Antiqua" w:cs="Times New Roman"/>
          <w:bCs/>
          <w:sz w:val="24"/>
          <w:szCs w:val="24"/>
        </w:rPr>
        <w:t xml:space="preserve">Table </w:t>
      </w:r>
      <w:r w:rsidR="000D57AF" w:rsidRPr="000D57AF">
        <w:rPr>
          <w:rFonts w:ascii="Book Antiqua" w:hAnsi="Book Antiqua" w:cs="Times New Roman" w:hint="eastAsia"/>
          <w:bCs/>
          <w:sz w:val="24"/>
          <w:szCs w:val="24"/>
          <w:lang w:eastAsia="zh-CN"/>
        </w:rPr>
        <w:t>12</w:t>
      </w:r>
      <w:r w:rsidRPr="00302F74">
        <w:rPr>
          <w:rFonts w:ascii="Book Antiqua" w:hAnsi="Book Antiqua" w:cs="Times New Roman"/>
          <w:bCs/>
          <w:sz w:val="24"/>
          <w:szCs w:val="24"/>
        </w:rPr>
        <w:t xml:space="preserve"> summarizes the recommendations for the treatment of acute and chronic bleeding from PHG.</w:t>
      </w:r>
    </w:p>
    <w:p w:rsidR="000D57AF" w:rsidRPr="00302F74" w:rsidRDefault="000D57AF" w:rsidP="00FA6CCE">
      <w:pPr>
        <w:widowControl w:val="0"/>
        <w:spacing w:line="360" w:lineRule="auto"/>
        <w:ind w:firstLine="720"/>
        <w:jc w:val="both"/>
        <w:rPr>
          <w:rFonts w:ascii="Book Antiqua" w:hAnsi="Book Antiqua" w:cs="Times New Roman"/>
          <w:bCs/>
          <w:sz w:val="24"/>
          <w:szCs w:val="24"/>
          <w:lang w:eastAsia="zh-CN"/>
        </w:rPr>
      </w:pPr>
    </w:p>
    <w:p w:rsidR="00C9325C" w:rsidRPr="00F63BBD" w:rsidRDefault="00C9325C" w:rsidP="00FA6CCE">
      <w:pPr>
        <w:widowControl w:val="0"/>
        <w:spacing w:line="360" w:lineRule="auto"/>
        <w:jc w:val="both"/>
        <w:rPr>
          <w:rFonts w:ascii="Book Antiqua" w:hAnsi="Book Antiqua" w:cs="Times New Roman"/>
          <w:b/>
          <w:bCs/>
          <w:i/>
          <w:sz w:val="24"/>
          <w:szCs w:val="24"/>
          <w:lang w:val="en"/>
        </w:rPr>
      </w:pPr>
      <w:r w:rsidRPr="00F63BBD">
        <w:rPr>
          <w:rFonts w:ascii="Book Antiqua" w:hAnsi="Book Antiqua" w:cs="Times New Roman"/>
          <w:b/>
          <w:bCs/>
          <w:i/>
          <w:sz w:val="24"/>
          <w:szCs w:val="24"/>
          <w:lang w:val="en"/>
        </w:rPr>
        <w:t>P</w:t>
      </w:r>
      <w:r w:rsidR="00F63BBD" w:rsidRPr="00F63BBD">
        <w:rPr>
          <w:rFonts w:ascii="Book Antiqua" w:hAnsi="Book Antiqua" w:cs="Times New Roman"/>
          <w:b/>
          <w:bCs/>
          <w:i/>
          <w:sz w:val="24"/>
          <w:szCs w:val="24"/>
          <w:lang w:val="en"/>
        </w:rPr>
        <w:t xml:space="preserve">revention </w:t>
      </w:r>
    </w:p>
    <w:p w:rsidR="00C9325C" w:rsidRPr="00302F74" w:rsidRDefault="00C9325C" w:rsidP="000D57AF">
      <w:pPr>
        <w:widowControl w:val="0"/>
        <w:spacing w:line="360" w:lineRule="auto"/>
        <w:jc w:val="both"/>
        <w:rPr>
          <w:rFonts w:ascii="Book Antiqua" w:hAnsi="Book Antiqua" w:cs="Times New Roman"/>
          <w:bCs/>
          <w:sz w:val="24"/>
          <w:szCs w:val="24"/>
        </w:rPr>
      </w:pPr>
      <w:r w:rsidRPr="00302F74">
        <w:rPr>
          <w:rFonts w:ascii="Book Antiqua" w:hAnsi="Book Antiqua" w:cs="Times New Roman"/>
          <w:bCs/>
          <w:sz w:val="24"/>
          <w:szCs w:val="24"/>
        </w:rPr>
        <w:t>The risk of bleeding from mild PHG is low.</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Primary prophylaxis is, therefore, not </w:t>
      </w:r>
      <w:r w:rsidRPr="00302F74">
        <w:rPr>
          <w:rFonts w:ascii="Book Antiqua" w:hAnsi="Book Antiqua" w:cs="Times New Roman"/>
          <w:bCs/>
          <w:sz w:val="24"/>
          <w:szCs w:val="24"/>
        </w:rPr>
        <w:lastRenderedPageBreak/>
        <w:t>recommended for patients with mild PHG</w:t>
      </w:r>
      <w:r w:rsidRPr="00302F74">
        <w:rPr>
          <w:rFonts w:ascii="Book Antiqua" w:hAnsi="Book Antiqua" w:cs="Times New Roman"/>
          <w:bCs/>
          <w:sz w:val="24"/>
          <w:szCs w:val="24"/>
          <w:vertAlign w:val="superscript"/>
        </w:rPr>
        <w:t>[72,19</w:t>
      </w:r>
      <w:r w:rsidR="003746E8" w:rsidRPr="00302F74">
        <w:rPr>
          <w:rFonts w:ascii="Book Antiqua" w:hAnsi="Book Antiqua" w:cs="Times New Roman"/>
          <w:bCs/>
          <w:sz w:val="24"/>
          <w:szCs w:val="24"/>
          <w:vertAlign w:val="superscript"/>
        </w:rPr>
        <w:t>1</w:t>
      </w:r>
      <w:r w:rsidRPr="00302F74">
        <w:rPr>
          <w:rFonts w:ascii="Book Antiqua" w:hAnsi="Book Antiqua" w:cs="Times New Roman"/>
          <w:bCs/>
          <w:sz w:val="24"/>
          <w:szCs w:val="24"/>
          <w:vertAlign w:val="superscript"/>
        </w:rPr>
        <w:t>,2</w:t>
      </w:r>
      <w:r w:rsidR="003746E8" w:rsidRPr="00302F74">
        <w:rPr>
          <w:rFonts w:ascii="Book Antiqua" w:hAnsi="Book Antiqua" w:cs="Times New Roman"/>
          <w:bCs/>
          <w:sz w:val="24"/>
          <w:szCs w:val="24"/>
          <w:vertAlign w:val="superscript"/>
        </w:rPr>
        <w:t>69</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Propranolol can be used for primary prophylaxis for severe PHG, and can significantly reduce the risk of bleeding. However, scant evidence exists that this reduction will affect the risk of a primary bleeding episode in PHG patients</w:t>
      </w:r>
      <w:r w:rsidRPr="00302F74">
        <w:rPr>
          <w:rFonts w:ascii="Book Antiqua" w:hAnsi="Book Antiqua" w:cs="Times New Roman"/>
          <w:bCs/>
          <w:sz w:val="24"/>
          <w:szCs w:val="24"/>
          <w:vertAlign w:val="superscript"/>
        </w:rPr>
        <w:t>[72,10</w:t>
      </w:r>
      <w:r w:rsidR="003746E8"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,10</w:t>
      </w:r>
      <w:r w:rsidR="003746E8" w:rsidRPr="00302F74">
        <w:rPr>
          <w:rFonts w:ascii="Book Antiqua" w:hAnsi="Book Antiqua" w:cs="Times New Roman"/>
          <w:bCs/>
          <w:sz w:val="24"/>
          <w:szCs w:val="24"/>
          <w:vertAlign w:val="superscript"/>
        </w:rPr>
        <w:t>4</w:t>
      </w:r>
      <w:r w:rsidRPr="00302F74">
        <w:rPr>
          <w:rFonts w:ascii="Book Antiqua" w:hAnsi="Book Antiqua" w:cs="Times New Roman"/>
          <w:bCs/>
          <w:sz w:val="24"/>
          <w:szCs w:val="24"/>
          <w:vertAlign w:val="superscript"/>
        </w:rPr>
        <w:t>,2</w:t>
      </w:r>
      <w:r w:rsidR="00960639" w:rsidRPr="00302F74">
        <w:rPr>
          <w:rFonts w:ascii="Book Antiqua" w:hAnsi="Book Antiqua" w:cs="Times New Roman"/>
          <w:bCs/>
          <w:sz w:val="24"/>
          <w:szCs w:val="24"/>
          <w:vertAlign w:val="superscript"/>
        </w:rPr>
        <w:t>69</w:t>
      </w:r>
      <w:r w:rsidRPr="00302F74">
        <w:rPr>
          <w:rFonts w:ascii="Book Antiqua" w:hAnsi="Book Antiqua" w:cs="Times New Roman"/>
          <w:bCs/>
          <w:sz w:val="24"/>
          <w:szCs w:val="24"/>
          <w:vertAlign w:val="superscript"/>
        </w:rPr>
        <w:t>,27</w:t>
      </w:r>
      <w:r w:rsidR="00960639"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222DD9">
        <w:rPr>
          <w:rFonts w:ascii="Book Antiqua" w:hAnsi="Book Antiqua" w:cs="Times New Roman"/>
          <w:bCs/>
          <w:sz w:val="24"/>
          <w:szCs w:val="24"/>
        </w:rPr>
        <w:t xml:space="preserve"> </w:t>
      </w:r>
      <w:r w:rsidRPr="00302F74">
        <w:rPr>
          <w:rFonts w:ascii="Book Antiqua" w:hAnsi="Book Antiqua" w:cs="Times New Roman"/>
          <w:bCs/>
          <w:sz w:val="24"/>
          <w:szCs w:val="24"/>
        </w:rPr>
        <w:t>Propranolol is recommended regardless of the severity or presence of PHG in patients with esophageal varices because it treats both entities by reducing portal pressure</w:t>
      </w:r>
      <w:r w:rsidRPr="00302F74">
        <w:rPr>
          <w:rFonts w:ascii="Book Antiqua" w:hAnsi="Book Antiqua" w:cs="Times New Roman"/>
          <w:bCs/>
          <w:sz w:val="24"/>
          <w:szCs w:val="24"/>
          <w:vertAlign w:val="superscript"/>
        </w:rPr>
        <w:t>[10</w:t>
      </w:r>
      <w:r w:rsidR="00960639" w:rsidRPr="00302F74">
        <w:rPr>
          <w:rFonts w:ascii="Book Antiqua" w:hAnsi="Book Antiqua" w:cs="Times New Roman"/>
          <w:bCs/>
          <w:sz w:val="24"/>
          <w:szCs w:val="24"/>
          <w:vertAlign w:val="superscript"/>
        </w:rPr>
        <w:t>5</w:t>
      </w:r>
      <w:r w:rsidRPr="00302F74">
        <w:rPr>
          <w:rFonts w:ascii="Book Antiqua" w:hAnsi="Book Antiqua" w:cs="Times New Roman"/>
          <w:bCs/>
          <w:sz w:val="24"/>
          <w:szCs w:val="24"/>
          <w:vertAlign w:val="superscript"/>
        </w:rPr>
        <w:t>-10</w:t>
      </w:r>
      <w:r w:rsidR="00960639" w:rsidRPr="00302F74">
        <w:rPr>
          <w:rFonts w:ascii="Book Antiqua" w:hAnsi="Book Antiqua" w:cs="Times New Roman"/>
          <w:bCs/>
          <w:sz w:val="24"/>
          <w:szCs w:val="24"/>
          <w:vertAlign w:val="superscript"/>
        </w:rPr>
        <w:t>7</w:t>
      </w:r>
      <w:r w:rsidRPr="00302F74">
        <w:rPr>
          <w:rFonts w:ascii="Book Antiqua" w:hAnsi="Book Antiqua" w:cs="Times New Roman"/>
          <w:bCs/>
          <w:sz w:val="24"/>
          <w:szCs w:val="24"/>
          <w:vertAlign w:val="superscript"/>
        </w:rPr>
        <w:t>,19</w:t>
      </w:r>
      <w:r w:rsidR="00960639" w:rsidRPr="00302F74">
        <w:rPr>
          <w:rFonts w:ascii="Book Antiqua" w:hAnsi="Book Antiqua" w:cs="Times New Roman"/>
          <w:bCs/>
          <w:sz w:val="24"/>
          <w:szCs w:val="24"/>
          <w:vertAlign w:val="superscript"/>
        </w:rPr>
        <w:t>8</w:t>
      </w:r>
      <w:r w:rsidRPr="00302F74">
        <w:rPr>
          <w:rFonts w:ascii="Book Antiqua" w:hAnsi="Book Antiqua" w:cs="Times New Roman"/>
          <w:bCs/>
          <w:sz w:val="24"/>
          <w:szCs w:val="24"/>
          <w:vertAlign w:val="superscript"/>
        </w:rPr>
        <w:t>,27</w:t>
      </w:r>
      <w:r w:rsidR="00960639" w:rsidRPr="00302F74">
        <w:rPr>
          <w:rFonts w:ascii="Book Antiqua" w:hAnsi="Book Antiqua" w:cs="Times New Roman"/>
          <w:bCs/>
          <w:sz w:val="24"/>
          <w:szCs w:val="24"/>
          <w:vertAlign w:val="superscript"/>
        </w:rPr>
        <w:t>1</w:t>
      </w:r>
      <w:r w:rsidRPr="00302F74">
        <w:rPr>
          <w:rFonts w:ascii="Book Antiqua" w:hAnsi="Book Antiqua" w:cs="Times New Roman"/>
          <w:bCs/>
          <w:sz w:val="24"/>
          <w:szCs w:val="24"/>
          <w:vertAlign w:val="superscript"/>
        </w:rPr>
        <w:t>,27</w:t>
      </w:r>
      <w:r w:rsidR="00960639" w:rsidRPr="00302F74">
        <w:rPr>
          <w:rFonts w:ascii="Book Antiqua" w:hAnsi="Book Antiqua" w:cs="Times New Roman"/>
          <w:bCs/>
          <w:sz w:val="24"/>
          <w:szCs w:val="24"/>
          <w:vertAlign w:val="superscript"/>
        </w:rPr>
        <w:t>2</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p>
    <w:p w:rsidR="00C9325C" w:rsidRPr="00302F74" w:rsidRDefault="00C9325C" w:rsidP="00FA6CCE">
      <w:pPr>
        <w:widowControl w:val="0"/>
        <w:spacing w:line="360" w:lineRule="auto"/>
        <w:ind w:firstLine="720"/>
        <w:jc w:val="both"/>
        <w:rPr>
          <w:rFonts w:ascii="Book Antiqua" w:hAnsi="Book Antiqua" w:cs="Times New Roman"/>
          <w:bCs/>
          <w:sz w:val="24"/>
          <w:szCs w:val="24"/>
          <w:lang w:val="en"/>
        </w:rPr>
      </w:pPr>
      <w:r w:rsidRPr="00302F74">
        <w:rPr>
          <w:rFonts w:ascii="Book Antiqua" w:hAnsi="Book Antiqua" w:cs="Times New Roman"/>
          <w:bCs/>
          <w:sz w:val="24"/>
          <w:szCs w:val="24"/>
        </w:rPr>
        <w:t>Prophylaxis of bleeding from PHG is not recommended</w:t>
      </w:r>
      <w:r w:rsidRPr="00302F74">
        <w:rPr>
          <w:rFonts w:ascii="Book Antiqua" w:hAnsi="Book Antiqua" w:cs="Times New Roman"/>
          <w:bCs/>
          <w:sz w:val="24"/>
          <w:szCs w:val="24"/>
          <w:vertAlign w:val="superscript"/>
        </w:rPr>
        <w:t>[26</w:t>
      </w:r>
      <w:r w:rsidR="00960639" w:rsidRPr="00302F74">
        <w:rPr>
          <w:rFonts w:ascii="Book Antiqua" w:hAnsi="Book Antiqua" w:cs="Times New Roman"/>
          <w:bCs/>
          <w:sz w:val="24"/>
          <w:szCs w:val="24"/>
          <w:vertAlign w:val="superscript"/>
        </w:rPr>
        <w:t>0</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xml:space="preserve">. </w:t>
      </w:r>
      <w:r w:rsidRPr="00302F74">
        <w:rPr>
          <w:rFonts w:ascii="Book Antiqua" w:hAnsi="Book Antiqua" w:cs="Times New Roman"/>
          <w:bCs/>
          <w:sz w:val="24"/>
          <w:szCs w:val="24"/>
          <w:lang w:val="en"/>
        </w:rPr>
        <w:t>Current guidelines do not recommend endoscopic surveillance in patients with cirrhosis who have asymptomatic PHG, without evident esophageal varices, other than the standard surveillance for development of esophageal varices in these patients</w:t>
      </w:r>
      <w:r w:rsidRPr="00302F74">
        <w:rPr>
          <w:rFonts w:ascii="Book Antiqua" w:hAnsi="Book Antiqua" w:cs="Times New Roman"/>
          <w:bCs/>
          <w:sz w:val="24"/>
          <w:szCs w:val="24"/>
          <w:vertAlign w:val="superscript"/>
          <w:lang w:val="en"/>
        </w:rPr>
        <w:t>[1</w:t>
      </w:r>
      <w:r w:rsidR="00960639" w:rsidRPr="00302F74">
        <w:rPr>
          <w:rFonts w:ascii="Book Antiqua" w:hAnsi="Book Antiqua" w:cs="Times New Roman"/>
          <w:bCs/>
          <w:sz w:val="24"/>
          <w:szCs w:val="24"/>
          <w:vertAlign w:val="superscript"/>
          <w:lang w:val="en"/>
        </w:rPr>
        <w:t>89</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p>
    <w:p w:rsidR="000D57AF" w:rsidRDefault="000D57AF" w:rsidP="00FA6CCE">
      <w:pPr>
        <w:widowControl w:val="0"/>
        <w:spacing w:line="360" w:lineRule="auto"/>
        <w:jc w:val="both"/>
        <w:rPr>
          <w:rFonts w:ascii="Book Antiqua" w:hAnsi="Book Antiqua" w:cs="Times New Roman"/>
          <w:b/>
          <w:bCs/>
          <w:sz w:val="24"/>
          <w:szCs w:val="24"/>
          <w:lang w:val="en" w:eastAsia="zh-CN"/>
        </w:rPr>
      </w:pPr>
    </w:p>
    <w:p w:rsidR="00C9325C" w:rsidRPr="00F63BBD" w:rsidRDefault="00C9325C" w:rsidP="000D57AF">
      <w:pPr>
        <w:widowControl w:val="0"/>
        <w:spacing w:line="360" w:lineRule="auto"/>
        <w:jc w:val="both"/>
        <w:rPr>
          <w:rFonts w:ascii="Book Antiqua" w:hAnsi="Book Antiqua" w:cs="Times New Roman"/>
          <w:b/>
          <w:bCs/>
          <w:sz w:val="24"/>
          <w:szCs w:val="24"/>
          <w:lang w:val="en"/>
        </w:rPr>
      </w:pPr>
      <w:r w:rsidRPr="00F63BBD">
        <w:rPr>
          <w:rFonts w:ascii="Book Antiqua" w:hAnsi="Book Antiqua" w:cs="Times New Roman"/>
          <w:b/>
          <w:bCs/>
          <w:sz w:val="24"/>
          <w:szCs w:val="24"/>
          <w:lang w:val="en"/>
        </w:rPr>
        <w:t>Mortality</w:t>
      </w:r>
      <w:r w:rsidR="00F63BBD">
        <w:rPr>
          <w:rFonts w:ascii="Book Antiqua" w:hAnsi="Book Antiqua" w:cs="Times New Roman" w:hint="eastAsia"/>
          <w:b/>
          <w:bCs/>
          <w:sz w:val="24"/>
          <w:szCs w:val="24"/>
          <w:lang w:val="en" w:eastAsia="zh-CN"/>
        </w:rPr>
        <w:t xml:space="preserve">: </w:t>
      </w:r>
      <w:r w:rsidRPr="00302F74">
        <w:rPr>
          <w:rFonts w:ascii="Book Antiqua" w:hAnsi="Book Antiqua" w:cs="Times New Roman"/>
          <w:bCs/>
          <w:sz w:val="24"/>
          <w:szCs w:val="24"/>
        </w:rPr>
        <w:t>Limited data exist on mortality from bleeding from PHG, but this bleeding is rarely fatal</w:t>
      </w:r>
      <w:r w:rsidRPr="00302F74">
        <w:rPr>
          <w:rFonts w:ascii="Book Antiqua" w:hAnsi="Book Antiqua" w:cs="Times New Roman"/>
          <w:bCs/>
          <w:sz w:val="24"/>
          <w:szCs w:val="24"/>
          <w:vertAlign w:val="superscript"/>
        </w:rPr>
        <w:t>[72]</w:t>
      </w:r>
      <w:r w:rsidRPr="00302F74">
        <w:rPr>
          <w:rFonts w:ascii="Book Antiqua" w:hAnsi="Book Antiqua" w:cs="Times New Roman"/>
          <w:bCs/>
          <w:sz w:val="24"/>
          <w:szCs w:val="24"/>
        </w:rPr>
        <w:t xml:space="preserve">. </w:t>
      </w:r>
      <w:r w:rsidRPr="00302F74">
        <w:rPr>
          <w:rFonts w:ascii="Book Antiqua" w:hAnsi="Book Antiqua" w:cs="Times New Roman"/>
          <w:bCs/>
          <w:sz w:val="24"/>
          <w:szCs w:val="24"/>
          <w:lang w:val="en"/>
        </w:rPr>
        <w:t>It contributes little to overall morbidity and mortality from portal hypertension, especially in comparison to variceal bleeding</w:t>
      </w:r>
      <w:r w:rsidRPr="00302F74">
        <w:rPr>
          <w:rFonts w:ascii="Book Antiqua" w:hAnsi="Book Antiqua" w:cs="Times New Roman"/>
          <w:bCs/>
          <w:sz w:val="24"/>
          <w:szCs w:val="24"/>
          <w:vertAlign w:val="superscript"/>
          <w:lang w:val="en"/>
        </w:rPr>
        <w:t>[11</w:t>
      </w:r>
      <w:r w:rsidR="00960639" w:rsidRPr="00302F74">
        <w:rPr>
          <w:rFonts w:ascii="Book Antiqua" w:hAnsi="Book Antiqua" w:cs="Times New Roman"/>
          <w:bCs/>
          <w:sz w:val="24"/>
          <w:szCs w:val="24"/>
          <w:vertAlign w:val="superscript"/>
          <w:lang w:val="en"/>
        </w:rPr>
        <w:t>8</w:t>
      </w:r>
      <w:r w:rsidRPr="00302F74">
        <w:rPr>
          <w:rFonts w:ascii="Book Antiqua" w:hAnsi="Book Antiqua" w:cs="Times New Roman"/>
          <w:bCs/>
          <w:sz w:val="24"/>
          <w:szCs w:val="24"/>
          <w:vertAlign w:val="superscript"/>
          <w:lang w:val="en"/>
        </w:rPr>
        <w:t>]</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It represents a minor cause (&lt;</w:t>
      </w:r>
      <w:r w:rsidR="000D57AF">
        <w:rPr>
          <w:rFonts w:ascii="Book Antiqua" w:hAnsi="Book Antiqua" w:cs="Times New Roman" w:hint="eastAsia"/>
          <w:bCs/>
          <w:sz w:val="24"/>
          <w:szCs w:val="24"/>
          <w:lang w:val="en" w:eastAsia="zh-CN"/>
        </w:rPr>
        <w:t xml:space="preserve"> </w:t>
      </w:r>
      <w:r w:rsidRPr="00302F74">
        <w:rPr>
          <w:rFonts w:ascii="Book Antiqua" w:hAnsi="Book Antiqua" w:cs="Times New Roman"/>
          <w:bCs/>
          <w:sz w:val="24"/>
          <w:szCs w:val="24"/>
          <w:lang w:val="en"/>
        </w:rPr>
        <w:t>1%) of mortality in cirrhotic patients because the bleeding is typically mild</w:t>
      </w:r>
      <w:r w:rsidRPr="00302F74">
        <w:rPr>
          <w:rFonts w:ascii="Book Antiqua" w:hAnsi="Book Antiqua" w:cs="Times New Roman"/>
          <w:bCs/>
          <w:sz w:val="24"/>
          <w:szCs w:val="24"/>
          <w:vertAlign w:val="superscript"/>
          <w:lang w:val="en"/>
        </w:rPr>
        <w:t>[25,34,37,71]</w:t>
      </w:r>
      <w:r w:rsidRPr="00302F74">
        <w:rPr>
          <w:rFonts w:ascii="Book Antiqua" w:hAnsi="Book Antiqua" w:cs="Times New Roman"/>
          <w:bCs/>
          <w:sz w:val="24"/>
          <w:szCs w:val="24"/>
          <w:lang w:val="en"/>
        </w:rPr>
        <w:t>.</w:t>
      </w:r>
      <w:r w:rsidR="00963345">
        <w:rPr>
          <w:rFonts w:ascii="Book Antiqua" w:hAnsi="Book Antiqua" w:cs="Times New Roman"/>
          <w:bCs/>
          <w:sz w:val="24"/>
          <w:szCs w:val="24"/>
          <w:lang w:val="en"/>
        </w:rPr>
        <w:t xml:space="preserve"> </w:t>
      </w:r>
      <w:r w:rsidRPr="00302F74">
        <w:rPr>
          <w:rFonts w:ascii="Book Antiqua" w:hAnsi="Book Antiqua" w:cs="Times New Roman"/>
          <w:bCs/>
          <w:sz w:val="24"/>
          <w:szCs w:val="24"/>
          <w:lang w:val="en"/>
        </w:rPr>
        <w:t>Only</w:t>
      </w:r>
      <w:r w:rsidRPr="00302F74">
        <w:rPr>
          <w:rFonts w:ascii="Book Antiqua" w:hAnsi="Book Antiqua" w:cs="Times New Roman"/>
          <w:bCs/>
          <w:sz w:val="24"/>
          <w:szCs w:val="24"/>
        </w:rPr>
        <w:t xml:space="preserve"> one patient expired from PHG in one series of 38 deaths among 373 study patients with cirrhosis</w:t>
      </w:r>
      <w:r w:rsidRPr="00302F74">
        <w:rPr>
          <w:rFonts w:ascii="Book Antiqua" w:hAnsi="Book Antiqua" w:cs="Times New Roman"/>
          <w:bCs/>
          <w:sz w:val="24"/>
          <w:szCs w:val="24"/>
          <w:vertAlign w:val="superscript"/>
        </w:rPr>
        <w:t>[34]</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Bleeding-related morta</w:t>
      </w:r>
      <w:r w:rsidR="000D57AF">
        <w:rPr>
          <w:rFonts w:ascii="Book Antiqua" w:hAnsi="Book Antiqua" w:cs="Times New Roman"/>
          <w:bCs/>
          <w:sz w:val="24"/>
          <w:szCs w:val="24"/>
        </w:rPr>
        <w:t>lity was much lower for PHG (1 12.5%</w:t>
      </w:r>
      <w:r w:rsidRPr="00302F74">
        <w:rPr>
          <w:rFonts w:ascii="Book Antiqua" w:hAnsi="Book Antiqua" w:cs="Times New Roman"/>
          <w:bCs/>
          <w:sz w:val="24"/>
          <w:szCs w:val="24"/>
        </w:rPr>
        <w:t xml:space="preserve"> of 8) than </w:t>
      </w:r>
      <w:r w:rsidR="000D57AF">
        <w:rPr>
          <w:rFonts w:ascii="Book Antiqua" w:hAnsi="Book Antiqua" w:cs="Times New Roman"/>
          <w:bCs/>
          <w:sz w:val="24"/>
          <w:szCs w:val="24"/>
        </w:rPr>
        <w:t>that for esophageal varices (9 45%</w:t>
      </w:r>
      <w:r w:rsidRPr="00302F74">
        <w:rPr>
          <w:rFonts w:ascii="Book Antiqua" w:hAnsi="Book Antiqua" w:cs="Times New Roman"/>
          <w:bCs/>
          <w:sz w:val="24"/>
          <w:szCs w:val="24"/>
        </w:rPr>
        <w:t xml:space="preserve"> of 20)</w:t>
      </w:r>
      <w:r w:rsidRPr="00302F74">
        <w:rPr>
          <w:rFonts w:ascii="Book Antiqua" w:hAnsi="Book Antiqua" w:cs="Times New Roman"/>
          <w:bCs/>
          <w:sz w:val="24"/>
          <w:szCs w:val="24"/>
          <w:vertAlign w:val="superscript"/>
        </w:rPr>
        <w:t>[34]</w:t>
      </w:r>
      <w:r w:rsidRPr="00302F74">
        <w:rPr>
          <w:rFonts w:ascii="Book Antiqua" w:hAnsi="Book Antiqua" w:cs="Times New Roman"/>
          <w:bCs/>
          <w:sz w:val="24"/>
          <w:szCs w:val="24"/>
        </w:rPr>
        <w:t>.</w:t>
      </w:r>
    </w:p>
    <w:p w:rsidR="000D57AF" w:rsidRPr="00302F74" w:rsidRDefault="000D57AF" w:rsidP="000D57AF">
      <w:pPr>
        <w:widowControl w:val="0"/>
        <w:spacing w:line="360" w:lineRule="auto"/>
        <w:jc w:val="both"/>
        <w:rPr>
          <w:rFonts w:ascii="Book Antiqua" w:hAnsi="Book Antiqua" w:cs="Times New Roman"/>
          <w:bCs/>
          <w:sz w:val="24"/>
          <w:szCs w:val="24"/>
          <w:lang w:eastAsia="zh-CN"/>
        </w:rPr>
      </w:pPr>
    </w:p>
    <w:p w:rsidR="00C9325C" w:rsidRPr="00F63BBD" w:rsidRDefault="00C9325C" w:rsidP="000D57AF">
      <w:pPr>
        <w:widowControl w:val="0"/>
        <w:spacing w:line="360" w:lineRule="auto"/>
        <w:jc w:val="both"/>
        <w:rPr>
          <w:rFonts w:ascii="Book Antiqua" w:hAnsi="Book Antiqua" w:cs="Times New Roman"/>
          <w:b/>
          <w:bCs/>
          <w:sz w:val="24"/>
          <w:szCs w:val="24"/>
        </w:rPr>
      </w:pPr>
      <w:r w:rsidRPr="00F63BBD">
        <w:rPr>
          <w:rFonts w:ascii="Book Antiqua" w:hAnsi="Book Antiqua" w:cs="Times New Roman"/>
          <w:b/>
          <w:bCs/>
          <w:sz w:val="24"/>
          <w:szCs w:val="24"/>
        </w:rPr>
        <w:t>Lesions resembling PHG in other gastrointestinal regions</w:t>
      </w:r>
      <w:r w:rsidR="00F63BBD">
        <w:rPr>
          <w:rFonts w:ascii="Book Antiqua" w:hAnsi="Book Antiqua" w:cs="Times New Roman" w:hint="eastAsia"/>
          <w:b/>
          <w:bCs/>
          <w:sz w:val="24"/>
          <w:szCs w:val="24"/>
          <w:lang w:eastAsia="zh-CN"/>
        </w:rPr>
        <w:t xml:space="preserve">: </w:t>
      </w:r>
      <w:r w:rsidRPr="00302F74">
        <w:rPr>
          <w:rFonts w:ascii="Book Antiqua" w:hAnsi="Book Antiqua" w:cs="Times New Roman"/>
          <w:bCs/>
          <w:sz w:val="24"/>
          <w:szCs w:val="24"/>
        </w:rPr>
        <w:t xml:space="preserve">PHG-like lesions can occur in other parts of the GI tract and are named according to the involved segment as portal hypertensive </w:t>
      </w:r>
      <w:proofErr w:type="gramStart"/>
      <w:r w:rsidRPr="00302F74">
        <w:rPr>
          <w:rFonts w:ascii="Book Antiqua" w:hAnsi="Book Antiqua" w:cs="Times New Roman"/>
          <w:bCs/>
          <w:sz w:val="24"/>
          <w:szCs w:val="24"/>
        </w:rPr>
        <w:t>duodenopathy</w:t>
      </w:r>
      <w:r w:rsidRPr="00302F74">
        <w:rPr>
          <w:rFonts w:ascii="Book Antiqua" w:hAnsi="Book Antiqua" w:cs="Times New Roman"/>
          <w:bCs/>
          <w:sz w:val="24"/>
          <w:szCs w:val="24"/>
          <w:vertAlign w:val="superscript"/>
        </w:rPr>
        <w:t>[</w:t>
      </w:r>
      <w:proofErr w:type="gramEnd"/>
      <w:r w:rsidRPr="00302F74">
        <w:rPr>
          <w:rFonts w:ascii="Book Antiqua" w:hAnsi="Book Antiqua" w:cs="Times New Roman"/>
          <w:bCs/>
          <w:sz w:val="24"/>
          <w:szCs w:val="24"/>
          <w:vertAlign w:val="superscript"/>
        </w:rPr>
        <w:t>40]</w:t>
      </w:r>
      <w:r w:rsidRPr="00302F74">
        <w:rPr>
          <w:rFonts w:ascii="Book Antiqua" w:hAnsi="Book Antiqua" w:cs="Times New Roman"/>
          <w:bCs/>
          <w:sz w:val="24"/>
          <w:szCs w:val="24"/>
        </w:rPr>
        <w:t>, portal hypertensive biliopathy, small intestinal vasculopathy</w:t>
      </w:r>
      <w:r w:rsidRPr="00302F74">
        <w:rPr>
          <w:rFonts w:ascii="Book Antiqua" w:hAnsi="Book Antiqua" w:cs="Times New Roman"/>
          <w:bCs/>
          <w:sz w:val="24"/>
          <w:szCs w:val="24"/>
          <w:vertAlign w:val="superscript"/>
        </w:rPr>
        <w:t>[1</w:t>
      </w:r>
      <w:r w:rsidR="00BF354D" w:rsidRPr="00302F74">
        <w:rPr>
          <w:rFonts w:ascii="Book Antiqua" w:hAnsi="Book Antiqua" w:cs="Times New Roman"/>
          <w:bCs/>
          <w:sz w:val="24"/>
          <w:szCs w:val="24"/>
          <w:vertAlign w:val="superscript"/>
        </w:rPr>
        <w:t>39</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and portal hypertensive colopathy</w:t>
      </w:r>
      <w:r w:rsidRPr="00302F74">
        <w:rPr>
          <w:rFonts w:ascii="Book Antiqua" w:hAnsi="Book Antiqua" w:cs="Times New Roman"/>
          <w:bCs/>
          <w:sz w:val="24"/>
          <w:szCs w:val="24"/>
          <w:vertAlign w:val="superscript"/>
        </w:rPr>
        <w:t>[9</w:t>
      </w:r>
      <w:r w:rsidR="00960639" w:rsidRPr="00302F74">
        <w:rPr>
          <w:rFonts w:ascii="Book Antiqua" w:hAnsi="Book Antiqua" w:cs="Times New Roman"/>
          <w:bCs/>
          <w:sz w:val="24"/>
          <w:szCs w:val="24"/>
          <w:vertAlign w:val="superscript"/>
        </w:rPr>
        <w:t>6</w:t>
      </w:r>
      <w:r w:rsidRPr="00302F74">
        <w:rPr>
          <w:rFonts w:ascii="Book Antiqua" w:hAnsi="Book Antiqua" w:cs="Times New Roman"/>
          <w:bCs/>
          <w:sz w:val="24"/>
          <w:szCs w:val="24"/>
          <w:vertAlign w:val="superscript"/>
        </w:rPr>
        <w:t>,1</w:t>
      </w:r>
      <w:r w:rsidR="00960639" w:rsidRPr="00302F74">
        <w:rPr>
          <w:rFonts w:ascii="Book Antiqua" w:hAnsi="Book Antiqua" w:cs="Times New Roman"/>
          <w:bCs/>
          <w:sz w:val="24"/>
          <w:szCs w:val="24"/>
          <w:vertAlign w:val="superscript"/>
        </w:rPr>
        <w:t>39</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These uncommon extragastric lesions occur particularly in patients with extrahepatic portal hypertension</w:t>
      </w:r>
      <w:r w:rsidRPr="00302F74">
        <w:rPr>
          <w:rFonts w:ascii="Book Antiqua" w:hAnsi="Book Antiqua" w:cs="Times New Roman"/>
          <w:bCs/>
          <w:sz w:val="24"/>
          <w:szCs w:val="24"/>
          <w:vertAlign w:val="superscript"/>
        </w:rPr>
        <w:t>[71]</w:t>
      </w:r>
      <w:r w:rsidRPr="00302F74">
        <w:rPr>
          <w:rFonts w:ascii="Book Antiqua" w:hAnsi="Book Antiqua" w:cs="Times New Roman"/>
          <w:bCs/>
          <w:sz w:val="24"/>
          <w:szCs w:val="24"/>
        </w:rPr>
        <w:t>. Portal hypertensive duodenopathy has been defined as the endoscopic appearance of patchy or diffuse congestion of duodenal mucosa associated with portal hypertension</w:t>
      </w:r>
      <w:r w:rsidRPr="00302F74">
        <w:rPr>
          <w:rFonts w:ascii="Book Antiqua" w:hAnsi="Book Antiqua" w:cs="Times New Roman"/>
          <w:bCs/>
          <w:sz w:val="24"/>
          <w:szCs w:val="24"/>
          <w:vertAlign w:val="superscript"/>
        </w:rPr>
        <w:t>[40]</w:t>
      </w:r>
      <w:r w:rsidRPr="00302F74">
        <w:rPr>
          <w:rFonts w:ascii="Book Antiqua" w:hAnsi="Book Antiqua" w:cs="Times New Roman"/>
          <w:bCs/>
          <w:sz w:val="24"/>
          <w:szCs w:val="24"/>
        </w:rPr>
        <w:t>, but a consensus definition is not established</w:t>
      </w:r>
      <w:r w:rsidRPr="00302F74">
        <w:rPr>
          <w:rFonts w:ascii="Book Antiqua" w:hAnsi="Book Antiqua" w:cs="Times New Roman"/>
          <w:bCs/>
          <w:sz w:val="24"/>
          <w:szCs w:val="24"/>
          <w:vertAlign w:val="superscript"/>
        </w:rPr>
        <w:t>[27</w:t>
      </w:r>
      <w:r w:rsidR="00960639" w:rsidRPr="00302F74">
        <w:rPr>
          <w:rFonts w:ascii="Book Antiqua" w:hAnsi="Book Antiqua" w:cs="Times New Roman"/>
          <w:bCs/>
          <w:sz w:val="24"/>
          <w:szCs w:val="24"/>
          <w:vertAlign w:val="superscript"/>
        </w:rPr>
        <w:t>3</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Histologically, vascular changes predominate, including capillary angiogenesis, dilatation and congestion, as well as fibrous proliferation and apoptosis</w:t>
      </w:r>
      <w:r w:rsidRPr="00302F74">
        <w:rPr>
          <w:rFonts w:ascii="Book Antiqua" w:hAnsi="Book Antiqua" w:cs="Times New Roman"/>
          <w:bCs/>
          <w:sz w:val="24"/>
          <w:szCs w:val="24"/>
          <w:vertAlign w:val="superscript"/>
        </w:rPr>
        <w:t>[46]</w:t>
      </w:r>
      <w:r w:rsidRPr="00302F74">
        <w:rPr>
          <w:rFonts w:ascii="Book Antiqua" w:hAnsi="Book Antiqua" w:cs="Times New Roman"/>
          <w:bCs/>
          <w:sz w:val="24"/>
          <w:szCs w:val="24"/>
        </w:rPr>
        <w:t xml:space="preserve">. This duodenopathy is significantly more severe in patients having severe than mild PHG (56.8% </w:t>
      </w:r>
      <w:r w:rsidR="00963345" w:rsidRPr="00963345">
        <w:rPr>
          <w:rFonts w:ascii="Book Antiqua" w:hAnsi="Book Antiqua" w:cs="Times New Roman" w:hint="eastAsia"/>
          <w:i/>
          <w:sz w:val="24"/>
          <w:szCs w:val="24"/>
          <w:lang w:eastAsia="zh-CN"/>
        </w:rPr>
        <w:t>vs</w:t>
      </w:r>
      <w:r w:rsidRPr="00302F74">
        <w:rPr>
          <w:rFonts w:ascii="Book Antiqua" w:hAnsi="Book Antiqua" w:cs="Times New Roman"/>
          <w:bCs/>
          <w:sz w:val="24"/>
          <w:szCs w:val="24"/>
        </w:rPr>
        <w:t xml:space="preserve"> 23.5%, </w:t>
      </w:r>
      <w:r w:rsidR="00E878B6" w:rsidRPr="000D57AF">
        <w:rPr>
          <w:rFonts w:ascii="Book Antiqua" w:hAnsi="Book Antiqua" w:cs="Times New Roman"/>
          <w:bCs/>
          <w:i/>
          <w:sz w:val="24"/>
          <w:szCs w:val="24"/>
        </w:rPr>
        <w:t xml:space="preserve">P </w:t>
      </w:r>
      <w:r w:rsidR="00E878B6">
        <w:rPr>
          <w:rFonts w:ascii="Book Antiqua" w:hAnsi="Book Antiqua" w:cs="Times New Roman"/>
          <w:bCs/>
          <w:sz w:val="24"/>
          <w:szCs w:val="24"/>
        </w:rPr>
        <w:t>&lt;</w:t>
      </w:r>
      <w:r w:rsidR="000D57AF">
        <w:rPr>
          <w:rFonts w:ascii="Book Antiqua" w:hAnsi="Book Antiqua" w:cs="Times New Roman" w:hint="eastAsia"/>
          <w:bCs/>
          <w:sz w:val="24"/>
          <w:szCs w:val="24"/>
          <w:lang w:eastAsia="zh-CN"/>
        </w:rPr>
        <w:t xml:space="preserve"> </w:t>
      </w:r>
      <w:r w:rsidRPr="00302F74">
        <w:rPr>
          <w:rFonts w:ascii="Book Antiqua" w:hAnsi="Book Antiqua" w:cs="Times New Roman"/>
          <w:bCs/>
          <w:sz w:val="24"/>
          <w:szCs w:val="24"/>
        </w:rPr>
        <w:lastRenderedPageBreak/>
        <w:t>0.05)</w:t>
      </w:r>
      <w:r w:rsidRPr="00302F74">
        <w:rPr>
          <w:rFonts w:ascii="Book Antiqua" w:hAnsi="Book Antiqua" w:cs="Times New Roman"/>
          <w:bCs/>
          <w:sz w:val="24"/>
          <w:szCs w:val="24"/>
          <w:vertAlign w:val="superscript"/>
        </w:rPr>
        <w:t>[46]</w:t>
      </w:r>
      <w:r w:rsidRPr="00302F74">
        <w:rPr>
          <w:rFonts w:ascii="Book Antiqua" w:hAnsi="Book Antiqua" w:cs="Times New Roman"/>
          <w:bCs/>
          <w:sz w:val="24"/>
          <w:szCs w:val="24"/>
        </w:rPr>
        <w:t>.</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Portal congestive jejunopathy is defined histologically by the presence of ectatic capillaries and venules in the villi, with an increase in the number of vessels to &gt;</w:t>
      </w:r>
      <w:r w:rsidR="000D57AF">
        <w:rPr>
          <w:rFonts w:ascii="Book Antiqua" w:hAnsi="Book Antiqua" w:cs="Times New Roman" w:hint="eastAsia"/>
          <w:bCs/>
          <w:sz w:val="24"/>
          <w:szCs w:val="24"/>
          <w:lang w:eastAsia="zh-CN"/>
        </w:rPr>
        <w:t xml:space="preserve"> </w:t>
      </w:r>
      <w:r w:rsidRPr="00302F74">
        <w:rPr>
          <w:rFonts w:ascii="Book Antiqua" w:hAnsi="Book Antiqua" w:cs="Times New Roman"/>
          <w:bCs/>
          <w:sz w:val="24"/>
          <w:szCs w:val="24"/>
        </w:rPr>
        <w:t>6 per villus</w:t>
      </w:r>
      <w:r w:rsidRPr="00302F74">
        <w:rPr>
          <w:rFonts w:ascii="Book Antiqua" w:hAnsi="Book Antiqua" w:cs="Times New Roman"/>
          <w:bCs/>
          <w:sz w:val="24"/>
          <w:szCs w:val="24"/>
          <w:vertAlign w:val="superscript"/>
        </w:rPr>
        <w:t>[27</w:t>
      </w:r>
      <w:r w:rsidR="00960639" w:rsidRPr="00302F74">
        <w:rPr>
          <w:rFonts w:ascii="Book Antiqua" w:hAnsi="Book Antiqua" w:cs="Times New Roman"/>
          <w:bCs/>
          <w:sz w:val="24"/>
          <w:szCs w:val="24"/>
          <w:vertAlign w:val="superscript"/>
        </w:rPr>
        <w:t>4</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Portal hypertensive ileopathy</w:t>
      </w:r>
      <w:r w:rsidRPr="00302F74">
        <w:rPr>
          <w:rFonts w:ascii="Book Antiqua" w:hAnsi="Book Antiqua" w:cs="Times New Roman"/>
          <w:bCs/>
          <w:sz w:val="24"/>
          <w:szCs w:val="24"/>
          <w:vertAlign w:val="superscript"/>
        </w:rPr>
        <w:t>[27</w:t>
      </w:r>
      <w:r w:rsidR="00960639" w:rsidRPr="00302F74">
        <w:rPr>
          <w:rFonts w:ascii="Book Antiqua" w:hAnsi="Book Antiqua" w:cs="Times New Roman"/>
          <w:bCs/>
          <w:sz w:val="24"/>
          <w:szCs w:val="24"/>
          <w:vertAlign w:val="superscript"/>
        </w:rPr>
        <w:t>5</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and portal hypertensive colopathy</w:t>
      </w:r>
      <w:r w:rsidRPr="00302F74">
        <w:rPr>
          <w:rFonts w:ascii="Book Antiqua" w:hAnsi="Book Antiqua" w:cs="Times New Roman"/>
          <w:bCs/>
          <w:sz w:val="24"/>
          <w:szCs w:val="24"/>
          <w:vertAlign w:val="superscript"/>
        </w:rPr>
        <w:t>[38,27</w:t>
      </w:r>
      <w:r w:rsidR="00960639" w:rsidRPr="00302F74">
        <w:rPr>
          <w:rFonts w:ascii="Book Antiqua" w:hAnsi="Book Antiqua" w:cs="Times New Roman"/>
          <w:bCs/>
          <w:sz w:val="24"/>
          <w:szCs w:val="24"/>
          <w:vertAlign w:val="superscript"/>
        </w:rPr>
        <w:t>6</w:t>
      </w:r>
      <w:r w:rsidRPr="00302F74">
        <w:rPr>
          <w:rFonts w:ascii="Book Antiqua" w:hAnsi="Book Antiqua" w:cs="Times New Roman"/>
          <w:bCs/>
          <w:sz w:val="24"/>
          <w:szCs w:val="24"/>
          <w:vertAlign w:val="superscript"/>
        </w:rPr>
        <w:t>]</w:t>
      </w:r>
      <w:r w:rsidRPr="00302F74">
        <w:rPr>
          <w:rFonts w:ascii="Book Antiqua" w:hAnsi="Book Antiqua" w:cs="Times New Roman"/>
          <w:bCs/>
          <w:sz w:val="24"/>
          <w:szCs w:val="24"/>
        </w:rPr>
        <w:t xml:space="preserve"> are also associated with portal hypertension.</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 xml:space="preserve">The colopathy histologically appears as dilatation of mucosal blood vessels and is classified into four different types by Ito </w:t>
      </w:r>
      <w:r w:rsidR="000D57AF" w:rsidRPr="00B31B65">
        <w:rPr>
          <w:rFonts w:ascii="Book Antiqua" w:hAnsi="Book Antiqua" w:cs="Times New Roman"/>
          <w:i/>
          <w:sz w:val="24"/>
          <w:szCs w:val="24"/>
        </w:rPr>
        <w:t>et al</w:t>
      </w:r>
      <w:r w:rsidRPr="00302F74">
        <w:rPr>
          <w:rFonts w:ascii="Book Antiqua" w:hAnsi="Book Antiqua" w:cs="Times New Roman"/>
          <w:bCs/>
          <w:sz w:val="24"/>
          <w:szCs w:val="24"/>
          <w:vertAlign w:val="superscript"/>
        </w:rPr>
        <w:t>[38]</w:t>
      </w:r>
      <w:r w:rsidRPr="00302F74">
        <w:rPr>
          <w:rFonts w:ascii="Book Antiqua" w:hAnsi="Book Antiqua" w:cs="Times New Roman"/>
          <w:bCs/>
          <w:sz w:val="24"/>
          <w:szCs w:val="24"/>
        </w:rPr>
        <w:t xml:space="preserve">, including solitary vascular ectasias, diffuse vascular ectasias, erythema, and blue vein. </w:t>
      </w:r>
    </w:p>
    <w:p w:rsidR="000D57AF" w:rsidRPr="00302F74" w:rsidRDefault="000D57AF" w:rsidP="000D57AF">
      <w:pPr>
        <w:widowControl w:val="0"/>
        <w:spacing w:line="360" w:lineRule="auto"/>
        <w:jc w:val="both"/>
        <w:rPr>
          <w:rFonts w:ascii="Book Antiqua" w:hAnsi="Book Antiqua" w:cs="Times New Roman"/>
          <w:bCs/>
          <w:sz w:val="24"/>
          <w:szCs w:val="24"/>
          <w:lang w:eastAsia="zh-CN"/>
        </w:rPr>
      </w:pPr>
    </w:p>
    <w:p w:rsidR="00F63BBD" w:rsidRDefault="00F63BBD" w:rsidP="00FA6CCE">
      <w:pPr>
        <w:widowControl w:val="0"/>
        <w:spacing w:line="360" w:lineRule="auto"/>
        <w:jc w:val="both"/>
        <w:rPr>
          <w:rFonts w:ascii="Book Antiqua" w:hAnsi="Book Antiqua" w:cs="Times New Roman"/>
          <w:bCs/>
          <w:sz w:val="24"/>
          <w:szCs w:val="24"/>
          <w:lang w:eastAsia="zh-CN"/>
        </w:rPr>
      </w:pPr>
      <w:r w:rsidRPr="006E477D">
        <w:rPr>
          <w:rFonts w:ascii="Book Antiqua" w:hAnsi="Book Antiqua"/>
          <w:b/>
          <w:bCs/>
          <w:sz w:val="24"/>
          <w:szCs w:val="24"/>
        </w:rPr>
        <w:t>DISCUSSION</w:t>
      </w:r>
      <w:r w:rsidRPr="00302F74">
        <w:rPr>
          <w:rFonts w:ascii="Book Antiqua" w:hAnsi="Book Antiqua" w:cs="Times New Roman"/>
          <w:bCs/>
          <w:sz w:val="24"/>
          <w:szCs w:val="24"/>
        </w:rPr>
        <w:t xml:space="preserve"> </w:t>
      </w:r>
    </w:p>
    <w:p w:rsidR="00C9325C" w:rsidRPr="00302F74" w:rsidRDefault="00C9325C" w:rsidP="00FA6CCE">
      <w:pPr>
        <w:widowControl w:val="0"/>
        <w:spacing w:line="360" w:lineRule="auto"/>
        <w:jc w:val="both"/>
        <w:rPr>
          <w:rFonts w:ascii="Book Antiqua" w:hAnsi="Book Antiqua" w:cs="Times New Roman"/>
          <w:bCs/>
          <w:sz w:val="24"/>
          <w:szCs w:val="24"/>
        </w:rPr>
      </w:pPr>
      <w:r w:rsidRPr="00302F74">
        <w:rPr>
          <w:rFonts w:ascii="Book Antiqua" w:hAnsi="Book Antiqua" w:cs="Times New Roman"/>
          <w:bCs/>
          <w:sz w:val="24"/>
          <w:szCs w:val="24"/>
        </w:rPr>
        <w:t>The pathophysiology of PHG is not well understood.</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Portal hypertension plays a central role in the pathogenesis, and liver disease a subsidiary role in the disease, but a hyperdynamic circulation likely also plays an important role.</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However, the precise nature and pathophysiology of the hyperdynamic circulation must be further elucidated.</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The pathophysiology of more severe gastric mucosal injury and blunted reparative response after exposure to toxic substances in PHG must be clarified in terms of molecular mediators and histopathology.</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In particular, the pathophysiologic basis of decreased superficial mucosal perfusion in PHG must be better characterized in terms of its molecular mechanisms.</w:t>
      </w:r>
    </w:p>
    <w:p w:rsidR="00E036C3" w:rsidRDefault="00C9325C" w:rsidP="00FA6CCE">
      <w:pPr>
        <w:widowControl w:val="0"/>
        <w:spacing w:line="360" w:lineRule="auto"/>
        <w:jc w:val="both"/>
        <w:rPr>
          <w:rFonts w:ascii="Book Antiqua" w:hAnsi="Book Antiqua" w:cs="Times New Roman"/>
          <w:bCs/>
          <w:sz w:val="24"/>
          <w:szCs w:val="24"/>
        </w:rPr>
      </w:pPr>
      <w:r w:rsidRPr="00302F74">
        <w:rPr>
          <w:rFonts w:ascii="Book Antiqua" w:hAnsi="Book Antiqua" w:cs="Times New Roman"/>
          <w:bCs/>
          <w:sz w:val="24"/>
          <w:szCs w:val="24"/>
        </w:rPr>
        <w:tab/>
        <w:t>The current pharmacotherapy for bleeding from PHG focuses on decreasing portal pressure because portal hypertension is a prerequisite for developing PHG.</w:t>
      </w:r>
      <w:r w:rsidR="00963345">
        <w:rPr>
          <w:rFonts w:ascii="Book Antiqua" w:hAnsi="Book Antiqua" w:cs="Times New Roman"/>
          <w:bCs/>
          <w:sz w:val="24"/>
          <w:szCs w:val="24"/>
        </w:rPr>
        <w:t xml:space="preserve"> </w:t>
      </w:r>
      <w:r w:rsidRPr="00302F74">
        <w:rPr>
          <w:rFonts w:ascii="Book Antiqua" w:hAnsi="Book Antiqua" w:cs="Times New Roman"/>
          <w:bCs/>
          <w:sz w:val="24"/>
          <w:szCs w:val="24"/>
        </w:rPr>
        <w:t>Understanding the molecular mechanisms of this disease may permit development of better targeted and more effective pharmacotherapies.</w:t>
      </w:r>
    </w:p>
    <w:p w:rsidR="00E036C3" w:rsidRPr="00D623CD" w:rsidRDefault="00E036C3" w:rsidP="00E036C3">
      <w:pPr>
        <w:spacing w:line="360" w:lineRule="auto"/>
        <w:jc w:val="both"/>
        <w:rPr>
          <w:rFonts w:ascii="Book Antiqua" w:hAnsi="Book Antiqua" w:cs="Times New Roman"/>
          <w:b/>
          <w:sz w:val="24"/>
          <w:szCs w:val="24"/>
          <w:lang w:eastAsia="zh-CN"/>
        </w:rPr>
      </w:pPr>
      <w:r w:rsidRPr="00302F74">
        <w:rPr>
          <w:rFonts w:ascii="Book Antiqua" w:hAnsi="Book Antiqua" w:cs="Times New Roman"/>
          <w:b/>
          <w:sz w:val="24"/>
          <w:szCs w:val="24"/>
        </w:rPr>
        <w:t>COMMENTS</w:t>
      </w:r>
    </w:p>
    <w:p w:rsidR="00E036C3" w:rsidRPr="00D623CD" w:rsidRDefault="00E036C3" w:rsidP="00E036C3">
      <w:pPr>
        <w:spacing w:line="360" w:lineRule="auto"/>
        <w:jc w:val="both"/>
        <w:rPr>
          <w:rFonts w:ascii="Book Antiqua" w:hAnsi="Book Antiqua" w:cs="Times New Roman"/>
          <w:b/>
          <w:i/>
          <w:sz w:val="24"/>
          <w:szCs w:val="24"/>
        </w:rPr>
      </w:pPr>
      <w:r w:rsidRPr="00D623CD">
        <w:rPr>
          <w:rFonts w:ascii="Book Antiqua" w:hAnsi="Book Antiqua" w:cs="Times New Roman"/>
          <w:b/>
          <w:i/>
          <w:sz w:val="24"/>
          <w:szCs w:val="24"/>
        </w:rPr>
        <w:t>Background</w:t>
      </w:r>
    </w:p>
    <w:p w:rsidR="00E036C3" w:rsidRPr="00302F74" w:rsidRDefault="00E036C3" w:rsidP="00E036C3">
      <w:pPr>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hypertensive gastropathy (PHG) is characterized at endoscopy by characteristic lesions present in the proximal stomach; characterized pathophysiologically by a hyperdynamic circulation induced by portal hypertension by inadequately understood mechanisms; and characterized clinically by mild-to-moderate acute or chronic gastrointestinal bleeding from the endoscopically identified lesions.</w:t>
      </w:r>
      <w:r>
        <w:rPr>
          <w:rFonts w:ascii="Book Antiqua" w:hAnsi="Book Antiqua" w:cs="Times New Roman"/>
          <w:sz w:val="24"/>
          <w:szCs w:val="24"/>
        </w:rPr>
        <w:t xml:space="preserve"> </w:t>
      </w:r>
      <w:r w:rsidRPr="00302F74">
        <w:rPr>
          <w:rFonts w:ascii="Book Antiqua" w:hAnsi="Book Antiqua" w:cs="Times New Roman"/>
          <w:sz w:val="24"/>
          <w:szCs w:val="24"/>
        </w:rPr>
        <w:t>However, much about the pathophysiology and clinical therapy of PHG is inadequately understood.</w:t>
      </w:r>
      <w:r>
        <w:rPr>
          <w:rFonts w:ascii="Book Antiqua" w:hAnsi="Book Antiqua" w:cs="Times New Roman"/>
          <w:sz w:val="24"/>
          <w:szCs w:val="24"/>
        </w:rPr>
        <w:t xml:space="preserve"> </w:t>
      </w:r>
      <w:r w:rsidRPr="00302F74">
        <w:rPr>
          <w:rFonts w:ascii="Book Antiqua" w:hAnsi="Book Antiqua" w:cs="Times New Roman"/>
          <w:sz w:val="24"/>
          <w:szCs w:val="24"/>
        </w:rPr>
        <w:lastRenderedPageBreak/>
        <w:t>This work systematically reviews the literature on the pathophysiology, natural history and therapy of PHG to report what is known and what is not known or controversial about PHG.</w:t>
      </w:r>
      <w:r>
        <w:rPr>
          <w:rFonts w:ascii="Book Antiqua" w:hAnsi="Book Antiqua" w:cs="Times New Roman"/>
          <w:sz w:val="24"/>
          <w:szCs w:val="24"/>
        </w:rPr>
        <w:t xml:space="preserve"> </w:t>
      </w:r>
    </w:p>
    <w:p w:rsidR="00E036C3" w:rsidRPr="00302F74" w:rsidRDefault="00E036C3" w:rsidP="00E036C3">
      <w:pPr>
        <w:spacing w:line="360" w:lineRule="auto"/>
        <w:jc w:val="both"/>
        <w:rPr>
          <w:rFonts w:ascii="Book Antiqua" w:hAnsi="Book Antiqua" w:cs="Times New Roman"/>
          <w:sz w:val="24"/>
          <w:szCs w:val="24"/>
        </w:rPr>
      </w:pPr>
    </w:p>
    <w:p w:rsidR="00E036C3" w:rsidRPr="006D5489" w:rsidRDefault="00E036C3" w:rsidP="00E036C3">
      <w:pPr>
        <w:spacing w:line="360" w:lineRule="auto"/>
        <w:jc w:val="both"/>
        <w:rPr>
          <w:rFonts w:ascii="Book Antiqua" w:hAnsi="Book Antiqua" w:cs="Times New Roman"/>
          <w:b/>
          <w:i/>
          <w:sz w:val="24"/>
          <w:szCs w:val="24"/>
        </w:rPr>
      </w:pPr>
      <w:r w:rsidRPr="006D5489">
        <w:rPr>
          <w:rFonts w:ascii="Book Antiqua" w:hAnsi="Book Antiqua" w:cs="Times New Roman"/>
          <w:b/>
          <w:i/>
          <w:sz w:val="24"/>
          <w:szCs w:val="24"/>
        </w:rPr>
        <w:t>Research frontiers</w:t>
      </w:r>
    </w:p>
    <w:p w:rsidR="00E036C3" w:rsidRPr="00302F74" w:rsidRDefault="00E036C3" w:rsidP="00E036C3">
      <w:pPr>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This work systematically reviews gaps or controversies in the current understanding of </w:t>
      </w:r>
      <w:r>
        <w:rPr>
          <w:rFonts w:ascii="Book Antiqua" w:hAnsi="Book Antiqua" w:cs="Times New Roman"/>
          <w:sz w:val="24"/>
          <w:szCs w:val="24"/>
        </w:rPr>
        <w:t>(PHG</w:t>
      </w:r>
      <w:r w:rsidRPr="00302F74">
        <w:rPr>
          <w:rFonts w:ascii="Book Antiqua" w:hAnsi="Book Antiqua" w:cs="Times New Roman"/>
          <w:sz w:val="24"/>
          <w:szCs w:val="24"/>
        </w:rPr>
        <w:t>.</w:t>
      </w:r>
      <w:r>
        <w:rPr>
          <w:rFonts w:ascii="Book Antiqua" w:hAnsi="Book Antiqua" w:cs="Times New Roman"/>
          <w:sz w:val="24"/>
          <w:szCs w:val="24"/>
        </w:rPr>
        <w:t xml:space="preserve"> </w:t>
      </w:r>
      <w:r w:rsidRPr="00302F74">
        <w:rPr>
          <w:rFonts w:ascii="Book Antiqua" w:hAnsi="Book Antiqua" w:cs="Times New Roman"/>
          <w:sz w:val="24"/>
          <w:szCs w:val="24"/>
        </w:rPr>
        <w:t>First, this work exposes gaps in the current understanding of the pathophysiology.</w:t>
      </w:r>
      <w:r>
        <w:rPr>
          <w:rFonts w:ascii="Book Antiqua" w:hAnsi="Book Antiqua" w:cs="Times New Roman"/>
          <w:sz w:val="24"/>
          <w:szCs w:val="24"/>
        </w:rPr>
        <w:t xml:space="preserve"> </w:t>
      </w:r>
      <w:r w:rsidRPr="00302F74">
        <w:rPr>
          <w:rFonts w:ascii="Book Antiqua" w:hAnsi="Book Antiqua" w:cs="Times New Roman"/>
          <w:sz w:val="24"/>
          <w:szCs w:val="24"/>
        </w:rPr>
        <w:t>Portal hypertension is necessary but insufficient to develop PHG because many patients have portal hypertension without PHG.</w:t>
      </w:r>
      <w:r>
        <w:rPr>
          <w:rFonts w:ascii="Book Antiqua" w:hAnsi="Book Antiqua" w:cs="Times New Roman"/>
          <w:sz w:val="24"/>
          <w:szCs w:val="24"/>
        </w:rPr>
        <w:t xml:space="preserve"> </w:t>
      </w:r>
      <w:r w:rsidRPr="00302F74">
        <w:rPr>
          <w:rFonts w:ascii="Book Antiqua" w:hAnsi="Book Antiqua" w:cs="Times New Roman"/>
          <w:sz w:val="24"/>
          <w:szCs w:val="24"/>
        </w:rPr>
        <w:t>The pathogenesis is related to a hyperdynamic circulation, induced by portal hypertension, characterized by increased intrahepatic resistance to flow, increased splanchnic flow, increased total gastric flow, and most likely decreased gastric mucosal flow.</w:t>
      </w:r>
      <w:r>
        <w:rPr>
          <w:rFonts w:ascii="Book Antiqua" w:hAnsi="Book Antiqua" w:cs="Times New Roman"/>
          <w:sz w:val="24"/>
          <w:szCs w:val="24"/>
        </w:rPr>
        <w:t xml:space="preserve"> </w:t>
      </w:r>
      <w:r w:rsidRPr="00302F74">
        <w:rPr>
          <w:rFonts w:ascii="Book Antiqua" w:hAnsi="Book Antiqua" w:cs="Times New Roman"/>
          <w:sz w:val="24"/>
          <w:szCs w:val="24"/>
        </w:rPr>
        <w:t>However, this review shows that the cellular and molecular mechanisms for this hyperdynamic circulation are inadequately characterized.</w:t>
      </w:r>
      <w:r>
        <w:rPr>
          <w:rFonts w:ascii="Book Antiqua" w:hAnsi="Book Antiqua" w:cs="Times New Roman"/>
          <w:sz w:val="24"/>
          <w:szCs w:val="24"/>
        </w:rPr>
        <w:t xml:space="preserve"> </w:t>
      </w:r>
      <w:r w:rsidRPr="00302F74">
        <w:rPr>
          <w:rFonts w:ascii="Book Antiqua" w:hAnsi="Book Antiqua" w:cs="Times New Roman"/>
          <w:sz w:val="24"/>
          <w:szCs w:val="24"/>
        </w:rPr>
        <w:t>Nitrous oxide, free radicals, tumor necrosis factor-alpha, and glucagon may be important mediators of PHG.</w:t>
      </w:r>
      <w:r>
        <w:rPr>
          <w:rFonts w:ascii="Book Antiqua" w:hAnsi="Book Antiqua" w:cs="Times New Roman"/>
          <w:sz w:val="24"/>
          <w:szCs w:val="24"/>
        </w:rPr>
        <w:t xml:space="preserve"> </w:t>
      </w:r>
      <w:r w:rsidRPr="00302F74">
        <w:rPr>
          <w:rFonts w:ascii="Book Antiqua" w:hAnsi="Book Antiqua" w:cs="Times New Roman"/>
          <w:sz w:val="24"/>
          <w:szCs w:val="24"/>
        </w:rPr>
        <w:t>Second, this work reports the inadequacies of the current recommended therapies for PHG and for bleeding from PHG based on the currently inadequate understanding of the pathophysiology.</w:t>
      </w:r>
      <w:r>
        <w:rPr>
          <w:rFonts w:ascii="Book Antiqua" w:hAnsi="Book Antiqua" w:cs="Times New Roman"/>
          <w:sz w:val="24"/>
          <w:szCs w:val="24"/>
        </w:rPr>
        <w:t xml:space="preserve"> </w:t>
      </w:r>
      <w:r w:rsidRPr="00302F74">
        <w:rPr>
          <w:rFonts w:ascii="Book Antiqua" w:hAnsi="Book Antiqua" w:cs="Times New Roman"/>
          <w:sz w:val="24"/>
          <w:szCs w:val="24"/>
        </w:rPr>
        <w:t>This work should be useful to clinicians, clinical researchers, and basic researchers by describing what is known, controversial, or unknown about the pathophysiology, natural history, and therapy of PHG.</w:t>
      </w:r>
      <w:r>
        <w:rPr>
          <w:rFonts w:ascii="Book Antiqua" w:hAnsi="Book Antiqua" w:cs="Times New Roman"/>
          <w:sz w:val="24"/>
          <w:szCs w:val="24"/>
        </w:rPr>
        <w:t xml:space="preserve"> </w:t>
      </w:r>
      <w:r w:rsidRPr="00302F74">
        <w:rPr>
          <w:rFonts w:ascii="Book Antiqua" w:hAnsi="Book Antiqua" w:cs="Times New Roman"/>
          <w:sz w:val="24"/>
          <w:szCs w:val="24"/>
        </w:rPr>
        <w:t>It is hoped that this work stimulates further research in this field by exposing gaps in the current understanding of PHG.</w:t>
      </w:r>
    </w:p>
    <w:p w:rsidR="00E036C3" w:rsidRPr="00302F74" w:rsidRDefault="00E036C3" w:rsidP="00E036C3">
      <w:pPr>
        <w:spacing w:line="360" w:lineRule="auto"/>
        <w:jc w:val="both"/>
        <w:rPr>
          <w:rFonts w:ascii="Book Antiqua" w:hAnsi="Book Antiqua" w:cs="Times New Roman"/>
          <w:sz w:val="24"/>
          <w:szCs w:val="24"/>
        </w:rPr>
      </w:pPr>
    </w:p>
    <w:p w:rsidR="00E036C3" w:rsidRPr="006D5489" w:rsidRDefault="00E036C3" w:rsidP="00E036C3">
      <w:pPr>
        <w:spacing w:line="360" w:lineRule="auto"/>
        <w:jc w:val="both"/>
        <w:rPr>
          <w:rFonts w:ascii="Book Antiqua" w:hAnsi="Book Antiqua" w:cs="Times New Roman"/>
          <w:b/>
          <w:i/>
          <w:sz w:val="24"/>
          <w:szCs w:val="24"/>
        </w:rPr>
      </w:pPr>
      <w:r w:rsidRPr="006D5489">
        <w:rPr>
          <w:rFonts w:ascii="Book Antiqua" w:hAnsi="Book Antiqua" w:cs="Times New Roman"/>
          <w:b/>
          <w:i/>
          <w:sz w:val="24"/>
          <w:szCs w:val="24"/>
        </w:rPr>
        <w:t>Innovations and breakthroughs</w:t>
      </w:r>
    </w:p>
    <w:p w:rsidR="00E036C3" w:rsidRPr="00302F74" w:rsidRDefault="00E036C3" w:rsidP="00E036C3">
      <w:pPr>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This systematic review extensively reviews what is known and what is not known or controversial about </w:t>
      </w:r>
      <w:r>
        <w:rPr>
          <w:rFonts w:ascii="Book Antiqua" w:hAnsi="Book Antiqua" w:cs="Times New Roman"/>
          <w:sz w:val="24"/>
          <w:szCs w:val="24"/>
        </w:rPr>
        <w:t>PHG</w:t>
      </w:r>
      <w:r w:rsidRPr="00302F74">
        <w:rPr>
          <w:rFonts w:ascii="Book Antiqua" w:hAnsi="Book Antiqua" w:cs="Times New Roman"/>
          <w:sz w:val="24"/>
          <w:szCs w:val="24"/>
        </w:rPr>
        <w:t>.</w:t>
      </w:r>
      <w:r>
        <w:rPr>
          <w:rFonts w:ascii="Book Antiqua" w:hAnsi="Book Antiqua" w:cs="Times New Roman"/>
          <w:sz w:val="24"/>
          <w:szCs w:val="24"/>
        </w:rPr>
        <w:t xml:space="preserve"> </w:t>
      </w:r>
      <w:r w:rsidRPr="00302F74">
        <w:rPr>
          <w:rFonts w:ascii="Book Antiqua" w:hAnsi="Book Antiqua" w:cs="Times New Roman"/>
          <w:sz w:val="24"/>
          <w:szCs w:val="24"/>
        </w:rPr>
        <w:t>This work is particularly helpful to clinicians in reporting the current recommended therapy for PHG, the clinical trials supporting the current recommendations, and the limitations of the current therapies.</w:t>
      </w:r>
      <w:r>
        <w:rPr>
          <w:rFonts w:ascii="Book Antiqua" w:hAnsi="Book Antiqua" w:cs="Times New Roman"/>
          <w:sz w:val="24"/>
          <w:szCs w:val="24"/>
        </w:rPr>
        <w:t xml:space="preserve"> </w:t>
      </w:r>
      <w:r w:rsidRPr="00302F74">
        <w:rPr>
          <w:rFonts w:ascii="Book Antiqua" w:hAnsi="Book Antiqua" w:cs="Times New Roman"/>
          <w:sz w:val="24"/>
          <w:szCs w:val="24"/>
        </w:rPr>
        <w:t>This is also helpful to clinical and basic researchers in systematically reviewing the current state of knowledge about its pathophysiology, including gaps, uncertainties, and controversies in the current understanding of the pathophysiology.</w:t>
      </w:r>
      <w:r w:rsidR="00222DD9">
        <w:rPr>
          <w:rFonts w:ascii="Book Antiqua" w:hAnsi="Book Antiqua" w:cs="Times New Roman"/>
          <w:sz w:val="24"/>
          <w:szCs w:val="24"/>
        </w:rPr>
        <w:t xml:space="preserve"> </w:t>
      </w:r>
    </w:p>
    <w:p w:rsidR="00E036C3" w:rsidRPr="00302F74" w:rsidRDefault="00E036C3" w:rsidP="00E036C3">
      <w:pPr>
        <w:spacing w:line="360" w:lineRule="auto"/>
        <w:jc w:val="both"/>
        <w:rPr>
          <w:rFonts w:ascii="Book Antiqua" w:hAnsi="Book Antiqua" w:cs="Times New Roman"/>
          <w:sz w:val="24"/>
          <w:szCs w:val="24"/>
        </w:rPr>
      </w:pPr>
    </w:p>
    <w:p w:rsidR="00E036C3" w:rsidRPr="006D5489" w:rsidRDefault="00E036C3" w:rsidP="00E036C3">
      <w:pPr>
        <w:spacing w:line="360" w:lineRule="auto"/>
        <w:jc w:val="both"/>
        <w:rPr>
          <w:rFonts w:ascii="Book Antiqua" w:hAnsi="Book Antiqua" w:cs="Times New Roman"/>
          <w:b/>
          <w:i/>
          <w:sz w:val="24"/>
          <w:szCs w:val="24"/>
        </w:rPr>
      </w:pPr>
      <w:r w:rsidRPr="006D5489">
        <w:rPr>
          <w:rFonts w:ascii="Book Antiqua" w:hAnsi="Book Antiqua" w:cs="Times New Roman"/>
          <w:b/>
          <w:i/>
          <w:sz w:val="24"/>
          <w:szCs w:val="24"/>
        </w:rPr>
        <w:t>Applications</w:t>
      </w:r>
    </w:p>
    <w:p w:rsidR="00E036C3" w:rsidRPr="00302F74" w:rsidRDefault="00E036C3" w:rsidP="00E036C3">
      <w:pPr>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This systematic review extensively reviews what is known and what is not known or controversial about </w:t>
      </w:r>
      <w:r>
        <w:rPr>
          <w:rFonts w:ascii="Book Antiqua" w:hAnsi="Book Antiqua" w:cs="Times New Roman"/>
          <w:sz w:val="24"/>
          <w:szCs w:val="24"/>
        </w:rPr>
        <w:t>PHG</w:t>
      </w:r>
      <w:r w:rsidRPr="00302F74">
        <w:rPr>
          <w:rFonts w:ascii="Book Antiqua" w:hAnsi="Book Antiqua" w:cs="Times New Roman"/>
          <w:sz w:val="24"/>
          <w:szCs w:val="24"/>
        </w:rPr>
        <w:t>.</w:t>
      </w:r>
      <w:r>
        <w:rPr>
          <w:rFonts w:ascii="Book Antiqua" w:hAnsi="Book Antiqua" w:cs="Times New Roman"/>
          <w:sz w:val="24"/>
          <w:szCs w:val="24"/>
        </w:rPr>
        <w:t xml:space="preserve"> </w:t>
      </w:r>
      <w:r w:rsidRPr="00302F74">
        <w:rPr>
          <w:rFonts w:ascii="Book Antiqua" w:hAnsi="Book Antiqua" w:cs="Times New Roman"/>
          <w:sz w:val="24"/>
          <w:szCs w:val="24"/>
        </w:rPr>
        <w:t>First, this work exposes gaps in the understanding of the pathophysiology.</w:t>
      </w:r>
      <w:r>
        <w:rPr>
          <w:rFonts w:ascii="Book Antiqua" w:hAnsi="Book Antiqua" w:cs="Times New Roman"/>
          <w:sz w:val="24"/>
          <w:szCs w:val="24"/>
        </w:rPr>
        <w:t xml:space="preserve"> </w:t>
      </w:r>
      <w:r w:rsidRPr="00302F74">
        <w:rPr>
          <w:rFonts w:ascii="Book Antiqua" w:hAnsi="Book Antiqua" w:cs="Times New Roman"/>
          <w:sz w:val="24"/>
          <w:szCs w:val="24"/>
        </w:rPr>
        <w:t>Portal hypertension is necessary but insufficient to develop PHG because many patients have portal hypertension without PHG.</w:t>
      </w:r>
      <w:r>
        <w:rPr>
          <w:rFonts w:ascii="Book Antiqua" w:hAnsi="Book Antiqua" w:cs="Times New Roman"/>
          <w:sz w:val="24"/>
          <w:szCs w:val="24"/>
        </w:rPr>
        <w:t xml:space="preserve"> </w:t>
      </w:r>
      <w:r w:rsidRPr="00302F74">
        <w:rPr>
          <w:rFonts w:ascii="Book Antiqua" w:hAnsi="Book Antiqua" w:cs="Times New Roman"/>
          <w:sz w:val="24"/>
          <w:szCs w:val="24"/>
        </w:rPr>
        <w:t>The pathogenesis is related to a hyperdynamic circulation, induced by portal hypertension, characterized by increased intrahepatic resistance to flow, increased splanchnic flow, increased total gastric flow, and most likely decreased gastric mucosal flow.</w:t>
      </w:r>
      <w:r>
        <w:rPr>
          <w:rFonts w:ascii="Book Antiqua" w:hAnsi="Book Antiqua" w:cs="Times New Roman"/>
          <w:sz w:val="24"/>
          <w:szCs w:val="24"/>
        </w:rPr>
        <w:t xml:space="preserve"> </w:t>
      </w:r>
      <w:r w:rsidRPr="00302F74">
        <w:rPr>
          <w:rFonts w:ascii="Book Antiqua" w:hAnsi="Book Antiqua" w:cs="Times New Roman"/>
          <w:sz w:val="24"/>
          <w:szCs w:val="24"/>
        </w:rPr>
        <w:t>However, this review shows that the cellular and molecular mechanisms for this hyperdynamic circulation are inadequately characterized.</w:t>
      </w:r>
      <w:r>
        <w:rPr>
          <w:rFonts w:ascii="Book Antiqua" w:hAnsi="Book Antiqua" w:cs="Times New Roman"/>
          <w:sz w:val="24"/>
          <w:szCs w:val="24"/>
        </w:rPr>
        <w:t xml:space="preserve"> </w:t>
      </w:r>
      <w:r w:rsidRPr="00302F74">
        <w:rPr>
          <w:rFonts w:ascii="Book Antiqua" w:hAnsi="Book Antiqua" w:cs="Times New Roman"/>
          <w:sz w:val="24"/>
          <w:szCs w:val="24"/>
        </w:rPr>
        <w:t>Nitrous oxide, free radicals, tumor necrosis factor-alpha, and glucagon may be important mediators of PHG development.</w:t>
      </w:r>
      <w:r>
        <w:rPr>
          <w:rFonts w:ascii="Book Antiqua" w:hAnsi="Book Antiqua" w:cs="Times New Roman"/>
          <w:sz w:val="24"/>
          <w:szCs w:val="24"/>
        </w:rPr>
        <w:t xml:space="preserve"> </w:t>
      </w:r>
      <w:r w:rsidRPr="00302F74">
        <w:rPr>
          <w:rFonts w:ascii="Book Antiqua" w:hAnsi="Book Antiqua" w:cs="Times New Roman"/>
          <w:sz w:val="24"/>
          <w:szCs w:val="24"/>
        </w:rPr>
        <w:t>Second, this work describes the natural history of PHG.</w:t>
      </w:r>
      <w:r>
        <w:rPr>
          <w:rFonts w:ascii="Book Antiqua" w:hAnsi="Book Antiqua" w:cs="Times New Roman"/>
          <w:sz w:val="24"/>
          <w:szCs w:val="24"/>
        </w:rPr>
        <w:t xml:space="preserve"> </w:t>
      </w:r>
      <w:r w:rsidRPr="00302F74">
        <w:rPr>
          <w:rFonts w:ascii="Book Antiqua" w:hAnsi="Book Antiqua" w:cs="Times New Roman"/>
          <w:sz w:val="24"/>
          <w:szCs w:val="24"/>
        </w:rPr>
        <w:t>PHG increases in frequency with more severe portal hypertension, advanced liver disease, longer liver disease duration, presence of esophageal varices, and endoscopic variceal obliteration.</w:t>
      </w:r>
      <w:r>
        <w:rPr>
          <w:rFonts w:ascii="Book Antiqua" w:hAnsi="Book Antiqua" w:cs="Times New Roman"/>
          <w:sz w:val="24"/>
          <w:szCs w:val="24"/>
        </w:rPr>
        <w:t xml:space="preserve"> </w:t>
      </w:r>
      <w:r w:rsidRPr="00302F74">
        <w:rPr>
          <w:rFonts w:ascii="Book Antiqua" w:hAnsi="Book Antiqua" w:cs="Times New Roman"/>
          <w:sz w:val="24"/>
          <w:szCs w:val="24"/>
        </w:rPr>
        <w:t>Acute and chronic gastrointestinal bleeding are the only clinical complications.</w:t>
      </w:r>
      <w:r>
        <w:rPr>
          <w:rFonts w:ascii="Book Antiqua" w:hAnsi="Book Antiqua" w:cs="Times New Roman"/>
          <w:sz w:val="24"/>
          <w:szCs w:val="24"/>
        </w:rPr>
        <w:t xml:space="preserve"> </w:t>
      </w:r>
      <w:r w:rsidRPr="00302F74">
        <w:rPr>
          <w:rFonts w:ascii="Book Antiqua" w:hAnsi="Book Antiqua" w:cs="Times New Roman"/>
          <w:sz w:val="24"/>
          <w:szCs w:val="24"/>
        </w:rPr>
        <w:t>Bleeding is typically mild-to-moderate.</w:t>
      </w:r>
      <w:r>
        <w:rPr>
          <w:rFonts w:ascii="Book Antiqua" w:hAnsi="Book Antiqua" w:cs="Times New Roman"/>
          <w:sz w:val="24"/>
          <w:szCs w:val="24"/>
        </w:rPr>
        <w:t xml:space="preserve"> </w:t>
      </w:r>
      <w:r w:rsidRPr="00302F74">
        <w:rPr>
          <w:rFonts w:ascii="Book Antiqua" w:hAnsi="Book Antiqua" w:cs="Times New Roman"/>
          <w:sz w:val="24"/>
          <w:szCs w:val="24"/>
        </w:rPr>
        <w:t>Third, this work reports the current therapies for PHG and for bleeding from PHG and characterizes their inadequacies based on the currently inadequate understanding of the pathophysiology.</w:t>
      </w:r>
      <w:r>
        <w:rPr>
          <w:rFonts w:ascii="Book Antiqua" w:hAnsi="Book Antiqua" w:cs="Times New Roman"/>
          <w:sz w:val="24"/>
          <w:szCs w:val="24"/>
        </w:rPr>
        <w:t xml:space="preserve"> </w:t>
      </w:r>
      <w:r w:rsidRPr="00302F74">
        <w:rPr>
          <w:rFonts w:ascii="Book Antiqua" w:hAnsi="Book Antiqua" w:cs="Times New Roman"/>
          <w:sz w:val="24"/>
          <w:szCs w:val="24"/>
        </w:rPr>
        <w:t xml:space="preserve">In particular, this work reviews clinical trials of the therapeutic efficacy of octreotide; proton pump inhibitors; nonselective </w:t>
      </w:r>
      <w:r w:rsidRPr="00302F74">
        <w:rPr>
          <w:rFonts w:ascii="Book Antiqua" w:hAnsi="Book Antiqua" w:cs="Times New Roman"/>
          <w:bCs/>
          <w:sz w:val="24"/>
          <w:szCs w:val="24"/>
        </w:rPr>
        <w:t xml:space="preserve">β-adrenergic </w:t>
      </w:r>
      <w:r w:rsidRPr="00302F74">
        <w:rPr>
          <w:rFonts w:ascii="Book Antiqua" w:hAnsi="Book Antiqua" w:cs="Times New Roman"/>
          <w:sz w:val="24"/>
          <w:szCs w:val="24"/>
        </w:rPr>
        <w:t>receptor antagonists, particularly propranolol; and vasopressin or terlipressin.</w:t>
      </w:r>
      <w:r>
        <w:rPr>
          <w:rFonts w:ascii="Book Antiqua" w:hAnsi="Book Antiqua" w:cs="Times New Roman"/>
          <w:sz w:val="24"/>
          <w:szCs w:val="24"/>
        </w:rPr>
        <w:t xml:space="preserve"> </w:t>
      </w:r>
      <w:r w:rsidRPr="00302F74">
        <w:rPr>
          <w:rFonts w:ascii="Book Antiqua" w:hAnsi="Book Antiqua" w:cs="Times New Roman"/>
          <w:sz w:val="24"/>
          <w:szCs w:val="24"/>
        </w:rPr>
        <w:t>This work should be useful to clinicians, clinical researchers, and basic researchers by describing what is known, controversial, and uncertain about the pathophysiology, natural history, and therapy of PHG.</w:t>
      </w:r>
      <w:r w:rsidR="00222DD9">
        <w:rPr>
          <w:rFonts w:ascii="Book Antiqua" w:hAnsi="Book Antiqua" w:cs="Times New Roman"/>
          <w:sz w:val="24"/>
          <w:szCs w:val="24"/>
        </w:rPr>
        <w:t xml:space="preserve"> </w:t>
      </w:r>
    </w:p>
    <w:p w:rsidR="00E036C3" w:rsidRPr="00302F74" w:rsidRDefault="00E036C3" w:rsidP="00E036C3">
      <w:pPr>
        <w:spacing w:line="360" w:lineRule="auto"/>
        <w:jc w:val="both"/>
        <w:rPr>
          <w:rFonts w:ascii="Book Antiqua" w:hAnsi="Book Antiqua" w:cs="Times New Roman"/>
          <w:sz w:val="24"/>
          <w:szCs w:val="24"/>
        </w:rPr>
      </w:pPr>
    </w:p>
    <w:p w:rsidR="00E036C3" w:rsidRPr="006D5489" w:rsidRDefault="00E036C3" w:rsidP="00E036C3">
      <w:pPr>
        <w:spacing w:line="360" w:lineRule="auto"/>
        <w:jc w:val="both"/>
        <w:rPr>
          <w:rFonts w:ascii="Book Antiqua" w:hAnsi="Book Antiqua" w:cs="Times New Roman"/>
          <w:b/>
          <w:i/>
          <w:sz w:val="24"/>
          <w:szCs w:val="24"/>
        </w:rPr>
      </w:pPr>
      <w:r w:rsidRPr="006D5489">
        <w:rPr>
          <w:rFonts w:ascii="Book Antiqua" w:hAnsi="Book Antiqua" w:cs="Times New Roman"/>
          <w:b/>
          <w:i/>
          <w:sz w:val="24"/>
          <w:szCs w:val="24"/>
        </w:rPr>
        <w:t>Terminology</w:t>
      </w:r>
    </w:p>
    <w:p w:rsidR="00E036C3" w:rsidRPr="00302F74" w:rsidRDefault="00E036C3" w:rsidP="00E036C3">
      <w:pPr>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This work systematically reviews portal hypertensive gastropathy, characterized at endoscopy by characteristic lesions present in the proximal stomach; characterized pathophysiologically by a hyperdynamic circulation induced by portal hypertension by </w:t>
      </w:r>
      <w:r w:rsidRPr="00302F74">
        <w:rPr>
          <w:rFonts w:ascii="Book Antiqua" w:hAnsi="Book Antiqua" w:cs="Times New Roman"/>
          <w:sz w:val="24"/>
          <w:szCs w:val="24"/>
        </w:rPr>
        <w:lastRenderedPageBreak/>
        <w:t>inadequately understood mechanisms, and characterized clinically by mild-to-moderate acute or chronic gastrointestinal bleeding from the endoscopically identified lesions.</w:t>
      </w:r>
    </w:p>
    <w:p w:rsidR="00E036C3" w:rsidRPr="00302F74" w:rsidRDefault="00E036C3" w:rsidP="00E036C3">
      <w:pPr>
        <w:spacing w:line="360" w:lineRule="auto"/>
        <w:jc w:val="both"/>
        <w:rPr>
          <w:rFonts w:ascii="Book Antiqua" w:hAnsi="Book Antiqua" w:cs="Times New Roman"/>
          <w:sz w:val="24"/>
          <w:szCs w:val="24"/>
        </w:rPr>
      </w:pPr>
    </w:p>
    <w:p w:rsidR="00E036C3" w:rsidRPr="006D5489" w:rsidRDefault="00E036C3" w:rsidP="00E036C3">
      <w:pPr>
        <w:spacing w:line="360" w:lineRule="auto"/>
        <w:jc w:val="both"/>
        <w:rPr>
          <w:rFonts w:ascii="Book Antiqua" w:hAnsi="Book Antiqua" w:cs="Times New Roman"/>
          <w:b/>
          <w:i/>
          <w:sz w:val="24"/>
          <w:szCs w:val="24"/>
        </w:rPr>
      </w:pPr>
      <w:r w:rsidRPr="006D5489">
        <w:rPr>
          <w:rFonts w:ascii="Book Antiqua" w:hAnsi="Book Antiqua" w:cs="Times New Roman"/>
          <w:b/>
          <w:i/>
          <w:sz w:val="24"/>
          <w:szCs w:val="24"/>
        </w:rPr>
        <w:t>Peer</w:t>
      </w:r>
      <w:r>
        <w:rPr>
          <w:rFonts w:ascii="Book Antiqua" w:hAnsi="Book Antiqua" w:cs="Times New Roman" w:hint="eastAsia"/>
          <w:b/>
          <w:i/>
          <w:sz w:val="24"/>
          <w:szCs w:val="24"/>
          <w:lang w:eastAsia="zh-CN"/>
        </w:rPr>
        <w:t>-</w:t>
      </w:r>
      <w:r w:rsidRPr="006D5489">
        <w:rPr>
          <w:rFonts w:ascii="Book Antiqua" w:hAnsi="Book Antiqua" w:cs="Times New Roman"/>
          <w:b/>
          <w:i/>
          <w:sz w:val="24"/>
          <w:szCs w:val="24"/>
        </w:rPr>
        <w:t>review</w:t>
      </w:r>
    </w:p>
    <w:p w:rsidR="0062622A" w:rsidRDefault="00E036C3" w:rsidP="00E036C3">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The authors thank the peer reviewers for their thoughtful and inciteful comments on the submitted manuscript and for the consequent improvement in the final, revised manuscript.</w:t>
      </w:r>
    </w:p>
    <w:p w:rsidR="0062622A" w:rsidRDefault="0062622A">
      <w:pPr>
        <w:spacing w:line="276" w:lineRule="auto"/>
        <w:jc w:val="both"/>
        <w:rPr>
          <w:rFonts w:ascii="Book Antiqua" w:hAnsi="Book Antiqua" w:cs="Times New Roman"/>
          <w:sz w:val="24"/>
          <w:szCs w:val="24"/>
        </w:rPr>
      </w:pPr>
      <w:r>
        <w:rPr>
          <w:rFonts w:ascii="Book Antiqua" w:hAnsi="Book Antiqua" w:cs="Times New Roman"/>
          <w:sz w:val="24"/>
          <w:szCs w:val="24"/>
        </w:rPr>
        <w:br w:type="page"/>
      </w:r>
    </w:p>
    <w:p w:rsidR="0062622A" w:rsidRPr="0062622A" w:rsidRDefault="0062622A" w:rsidP="0062622A">
      <w:pPr>
        <w:spacing w:line="360" w:lineRule="auto"/>
        <w:jc w:val="both"/>
        <w:rPr>
          <w:rFonts w:ascii="Book Antiqua" w:eastAsia="宋体" w:hAnsi="Book Antiqua" w:cs="Times New Roman"/>
          <w:b/>
          <w:sz w:val="24"/>
          <w:szCs w:val="24"/>
          <w:lang w:eastAsia="zh-CN"/>
        </w:rPr>
      </w:pPr>
      <w:bookmarkStart w:id="22" w:name="OLE_LINK23"/>
      <w:bookmarkStart w:id="23" w:name="OLE_LINK24"/>
      <w:bookmarkStart w:id="24" w:name="OLE_LINK1"/>
      <w:bookmarkStart w:id="25" w:name="OLE_LINK2"/>
      <w:r w:rsidRPr="0062622A">
        <w:rPr>
          <w:rFonts w:ascii="Book Antiqua" w:eastAsia="宋体" w:hAnsi="Book Antiqua" w:cs="Times New Roman" w:hint="eastAsia"/>
          <w:b/>
          <w:sz w:val="24"/>
          <w:szCs w:val="24"/>
          <w:lang w:eastAsia="zh-CN"/>
        </w:rPr>
        <w:lastRenderedPageBreak/>
        <w:t>REFERENCE</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1 </w:t>
      </w:r>
      <w:r w:rsidRPr="0062622A">
        <w:rPr>
          <w:rFonts w:ascii="Book Antiqua" w:eastAsia="宋体" w:hAnsi="Book Antiqua" w:cs="Times New Roman"/>
          <w:b/>
          <w:bCs/>
          <w:sz w:val="24"/>
          <w:szCs w:val="24"/>
          <w:lang w:eastAsia="zh-CN"/>
        </w:rPr>
        <w:t>Palmer ED</w:t>
      </w:r>
      <w:r w:rsidRPr="0062622A">
        <w:rPr>
          <w:rFonts w:ascii="Book Antiqua" w:eastAsia="宋体" w:hAnsi="Book Antiqua" w:cs="Times New Roman"/>
          <w:sz w:val="24"/>
          <w:szCs w:val="24"/>
          <w:lang w:eastAsia="zh-CN"/>
        </w:rPr>
        <w:t>. Erosive gastritis in cirrhosis; influence of portal hypertension on the gastric mucosa. </w:t>
      </w:r>
      <w:r w:rsidRPr="0062622A">
        <w:rPr>
          <w:rFonts w:ascii="Book Antiqua" w:eastAsia="宋体" w:hAnsi="Book Antiqua" w:cs="Times New Roman"/>
          <w:i/>
          <w:iCs/>
          <w:sz w:val="24"/>
          <w:szCs w:val="24"/>
          <w:lang w:eastAsia="zh-CN"/>
        </w:rPr>
        <w:t>Am J Dig Dis</w:t>
      </w:r>
      <w:r w:rsidRPr="0062622A">
        <w:rPr>
          <w:rFonts w:ascii="Book Antiqua" w:eastAsia="宋体" w:hAnsi="Book Antiqua" w:cs="Times New Roman"/>
          <w:sz w:val="24"/>
          <w:szCs w:val="24"/>
          <w:lang w:eastAsia="zh-CN"/>
        </w:rPr>
        <w:t> 1957; </w:t>
      </w:r>
      <w:r w:rsidRPr="0062622A">
        <w:rPr>
          <w:rFonts w:ascii="Book Antiqua" w:eastAsia="宋体" w:hAnsi="Book Antiqua" w:cs="Times New Roman"/>
          <w:b/>
          <w:bCs/>
          <w:sz w:val="24"/>
          <w:szCs w:val="24"/>
          <w:lang w:eastAsia="zh-CN"/>
        </w:rPr>
        <w:t>2</w:t>
      </w:r>
      <w:r w:rsidRPr="0062622A">
        <w:rPr>
          <w:rFonts w:ascii="Book Antiqua" w:eastAsia="宋体" w:hAnsi="Book Antiqua" w:cs="Times New Roman"/>
          <w:sz w:val="24"/>
          <w:szCs w:val="24"/>
          <w:lang w:eastAsia="zh-CN"/>
        </w:rPr>
        <w:t>: 31-36 [PMID: 13394564</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10.1007/BF02232594]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2 </w:t>
      </w:r>
      <w:r w:rsidRPr="0062622A">
        <w:rPr>
          <w:rFonts w:ascii="Book Antiqua" w:eastAsia="宋体" w:hAnsi="Book Antiqua" w:cs="Times New Roman"/>
          <w:b/>
          <w:bCs/>
          <w:sz w:val="24"/>
          <w:szCs w:val="24"/>
          <w:lang w:eastAsia="zh-CN"/>
        </w:rPr>
        <w:t>Sarfeh IJ</w:t>
      </w:r>
      <w:r w:rsidRPr="0062622A">
        <w:rPr>
          <w:rFonts w:ascii="Book Antiqua" w:eastAsia="宋体" w:hAnsi="Book Antiqua" w:cs="Times New Roman"/>
          <w:sz w:val="24"/>
          <w:szCs w:val="24"/>
          <w:lang w:eastAsia="zh-CN"/>
        </w:rPr>
        <w:t>, Tarnawski A. Portal hypertensive gastritis.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1984; </w:t>
      </w:r>
      <w:r w:rsidRPr="0062622A">
        <w:rPr>
          <w:rFonts w:ascii="Book Antiqua" w:eastAsia="宋体" w:hAnsi="Book Antiqua" w:cs="Times New Roman"/>
          <w:b/>
          <w:bCs/>
          <w:sz w:val="24"/>
          <w:szCs w:val="24"/>
          <w:lang w:eastAsia="zh-CN"/>
        </w:rPr>
        <w:t>86</w:t>
      </w:r>
      <w:r w:rsidRPr="0062622A">
        <w:rPr>
          <w:rFonts w:ascii="Book Antiqua" w:eastAsia="宋体" w:hAnsi="Book Antiqua" w:cs="Times New Roman"/>
          <w:sz w:val="24"/>
          <w:szCs w:val="24"/>
          <w:lang w:eastAsia="zh-CN"/>
        </w:rPr>
        <w:t>: 592 [PMID: 6607188]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3 </w:t>
      </w:r>
      <w:r w:rsidRPr="0062622A">
        <w:rPr>
          <w:rFonts w:ascii="Book Antiqua" w:eastAsia="宋体" w:hAnsi="Book Antiqua" w:cs="Times New Roman"/>
          <w:b/>
          <w:bCs/>
          <w:sz w:val="24"/>
          <w:szCs w:val="24"/>
          <w:lang w:eastAsia="zh-CN"/>
        </w:rPr>
        <w:t>McCormack TT</w:t>
      </w:r>
      <w:r w:rsidRPr="0062622A">
        <w:rPr>
          <w:rFonts w:ascii="Book Antiqua" w:eastAsia="宋体" w:hAnsi="Book Antiqua" w:cs="Times New Roman"/>
          <w:sz w:val="24"/>
          <w:szCs w:val="24"/>
          <w:lang w:eastAsia="zh-CN"/>
        </w:rPr>
        <w:t>, Sims J, Eyre-Brook I, Kennedy H, Goepel J, Johnson AG, Triger DR. Gastric lesions in portal hypertension: inflammatory gastritis or congestive gastropathy? </w:t>
      </w:r>
      <w:r w:rsidRPr="0062622A">
        <w:rPr>
          <w:rFonts w:ascii="Book Antiqua" w:eastAsia="宋体" w:hAnsi="Book Antiqua" w:cs="Times New Roman"/>
          <w:i/>
          <w:iCs/>
          <w:sz w:val="24"/>
          <w:szCs w:val="24"/>
          <w:lang w:eastAsia="zh-CN"/>
        </w:rPr>
        <w:t>Gut</w:t>
      </w:r>
      <w:r w:rsidRPr="0062622A">
        <w:rPr>
          <w:rFonts w:ascii="Book Antiqua" w:eastAsia="宋体" w:hAnsi="Book Antiqua" w:cs="Times New Roman"/>
          <w:sz w:val="24"/>
          <w:szCs w:val="24"/>
          <w:lang w:eastAsia="zh-CN"/>
        </w:rPr>
        <w:t> 1985; </w:t>
      </w:r>
      <w:r w:rsidRPr="0062622A">
        <w:rPr>
          <w:rFonts w:ascii="Book Antiqua" w:eastAsia="宋体" w:hAnsi="Book Antiqua" w:cs="Times New Roman"/>
          <w:b/>
          <w:bCs/>
          <w:sz w:val="24"/>
          <w:szCs w:val="24"/>
          <w:lang w:eastAsia="zh-CN"/>
        </w:rPr>
        <w:t>26</w:t>
      </w:r>
      <w:r w:rsidRPr="0062622A">
        <w:rPr>
          <w:rFonts w:ascii="Book Antiqua" w:eastAsia="宋体" w:hAnsi="Book Antiqua" w:cs="Times New Roman"/>
          <w:sz w:val="24"/>
          <w:szCs w:val="24"/>
          <w:lang w:eastAsia="zh-CN"/>
        </w:rPr>
        <w:t>: 1226-1232 [PMID: 3877665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10.1136/gut.26.11.1226]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w:t>
      </w:r>
      <w:r w:rsidRPr="0062622A">
        <w:rPr>
          <w:rFonts w:ascii="Book Antiqua" w:eastAsia="宋体" w:hAnsi="Book Antiqua" w:cs="Times New Roman" w:hint="eastAsia"/>
          <w:sz w:val="24"/>
          <w:szCs w:val="24"/>
          <w:lang w:eastAsia="zh-CN"/>
        </w:rPr>
        <w:t xml:space="preserve"> </w:t>
      </w:r>
      <w:r w:rsidRPr="0062622A">
        <w:rPr>
          <w:rFonts w:ascii="Book Antiqua" w:eastAsia="宋体" w:hAnsi="Book Antiqua" w:cs="Times New Roman"/>
          <w:b/>
          <w:sz w:val="24"/>
          <w:szCs w:val="24"/>
          <w:lang w:eastAsia="zh-CN"/>
        </w:rPr>
        <w:t>Taor RE</w:t>
      </w:r>
      <w:r w:rsidRPr="0062622A">
        <w:rPr>
          <w:rFonts w:ascii="Book Antiqua" w:eastAsia="宋体" w:hAnsi="Book Antiqua" w:cs="Times New Roman"/>
          <w:sz w:val="24"/>
          <w:szCs w:val="24"/>
          <w:lang w:eastAsia="zh-CN"/>
        </w:rPr>
        <w:t xml:space="preserve">, Fox B, Ware J, Johnson AG. Gastritis: gastroscopic and microscopic. </w:t>
      </w:r>
      <w:r w:rsidRPr="0062622A">
        <w:rPr>
          <w:rFonts w:ascii="Book Antiqua" w:eastAsia="宋体" w:hAnsi="Book Antiqua" w:cs="Times New Roman"/>
          <w:i/>
          <w:sz w:val="24"/>
          <w:szCs w:val="24"/>
          <w:lang w:eastAsia="zh-CN"/>
        </w:rPr>
        <w:t>Endoscopy</w:t>
      </w:r>
      <w:r w:rsidRPr="0062622A">
        <w:rPr>
          <w:rFonts w:ascii="Book Antiqua" w:eastAsia="宋体" w:hAnsi="Book Antiqua" w:cs="Times New Roman"/>
          <w:sz w:val="24"/>
          <w:szCs w:val="24"/>
          <w:lang w:eastAsia="zh-CN"/>
        </w:rPr>
        <w:t xml:space="preserve"> 1975; </w:t>
      </w:r>
      <w:r w:rsidRPr="0062622A">
        <w:rPr>
          <w:rFonts w:ascii="Book Antiqua" w:eastAsia="宋体" w:hAnsi="Book Antiqua" w:cs="Times New Roman"/>
          <w:b/>
          <w:sz w:val="24"/>
          <w:szCs w:val="24"/>
          <w:lang w:eastAsia="zh-CN"/>
        </w:rPr>
        <w:t>7</w:t>
      </w:r>
      <w:r w:rsidRPr="0062622A">
        <w:rPr>
          <w:rFonts w:ascii="Book Antiqua" w:eastAsia="宋体" w:hAnsi="Book Antiqua" w:cs="Times New Roman"/>
          <w:sz w:val="24"/>
          <w:szCs w:val="24"/>
          <w:lang w:eastAsia="zh-CN"/>
        </w:rPr>
        <w:t>: 209-15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10.1055/s-0028-1098575</w:t>
      </w:r>
      <w:r w:rsidRPr="0062622A">
        <w:rPr>
          <w:rFonts w:ascii="Book Antiqua" w:eastAsia="宋体" w:hAnsi="Book Antiqua" w:cs="Times New Roman" w:hint="eastAsia"/>
          <w:sz w:val="24"/>
          <w:szCs w:val="24"/>
          <w:lang w:eastAsia="zh-CN"/>
        </w:rPr>
        <w:t>]</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5 </w:t>
      </w:r>
      <w:r w:rsidRPr="0062622A">
        <w:rPr>
          <w:rFonts w:ascii="Book Antiqua" w:eastAsia="宋体" w:hAnsi="Book Antiqua" w:cs="Times New Roman"/>
          <w:b/>
          <w:bCs/>
          <w:sz w:val="24"/>
          <w:szCs w:val="24"/>
          <w:lang w:eastAsia="zh-CN"/>
        </w:rPr>
        <w:t>Sarin SK</w:t>
      </w:r>
      <w:r w:rsidRPr="0062622A">
        <w:rPr>
          <w:rFonts w:ascii="Book Antiqua" w:eastAsia="宋体" w:hAnsi="Book Antiqua" w:cs="Times New Roman"/>
          <w:sz w:val="24"/>
          <w:szCs w:val="24"/>
          <w:lang w:eastAsia="zh-CN"/>
        </w:rPr>
        <w:t>, Misra SP, Singal A, Thorat V, Broor SL. Evaluation of the incidence and significance of the "mosaic pattern" in patients with cirrhosis, noncirrhotic portal fibrosis, and extrahepatic obstruction.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1988; </w:t>
      </w:r>
      <w:r w:rsidRPr="0062622A">
        <w:rPr>
          <w:rFonts w:ascii="Book Antiqua" w:eastAsia="宋体" w:hAnsi="Book Antiqua" w:cs="Times New Roman"/>
          <w:b/>
          <w:bCs/>
          <w:sz w:val="24"/>
          <w:szCs w:val="24"/>
          <w:lang w:eastAsia="zh-CN"/>
        </w:rPr>
        <w:t>83</w:t>
      </w:r>
      <w:r w:rsidRPr="0062622A">
        <w:rPr>
          <w:rFonts w:ascii="Book Antiqua" w:eastAsia="宋体" w:hAnsi="Book Antiqua" w:cs="Times New Roman"/>
          <w:sz w:val="24"/>
          <w:szCs w:val="24"/>
          <w:lang w:eastAsia="zh-CN"/>
        </w:rPr>
        <w:t>: 1235-1239 [PMID: 3263791]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6 </w:t>
      </w:r>
      <w:r w:rsidRPr="0062622A">
        <w:rPr>
          <w:rFonts w:ascii="Book Antiqua" w:eastAsia="宋体" w:hAnsi="Book Antiqua" w:cs="Times New Roman"/>
          <w:b/>
          <w:bCs/>
          <w:sz w:val="24"/>
          <w:szCs w:val="24"/>
          <w:lang w:eastAsia="zh-CN"/>
        </w:rPr>
        <w:t>DeWeert TM</w:t>
      </w:r>
      <w:r w:rsidRPr="0062622A">
        <w:rPr>
          <w:rFonts w:ascii="Book Antiqua" w:eastAsia="宋体" w:hAnsi="Book Antiqua" w:cs="Times New Roman"/>
          <w:sz w:val="24"/>
          <w:szCs w:val="24"/>
          <w:lang w:eastAsia="zh-CN"/>
        </w:rPr>
        <w:t>, Gostout CJ, Wiesner RH. Congestive gastropathy and other upper endoscopic findings in 81 consecutive patients undergoing orthotopic liver transplantation.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1990; </w:t>
      </w:r>
      <w:r w:rsidRPr="0062622A">
        <w:rPr>
          <w:rFonts w:ascii="Book Antiqua" w:eastAsia="宋体" w:hAnsi="Book Antiqua" w:cs="Times New Roman"/>
          <w:b/>
          <w:bCs/>
          <w:sz w:val="24"/>
          <w:szCs w:val="24"/>
          <w:lang w:eastAsia="zh-CN"/>
        </w:rPr>
        <w:t>85</w:t>
      </w:r>
      <w:r w:rsidRPr="0062622A">
        <w:rPr>
          <w:rFonts w:ascii="Book Antiqua" w:eastAsia="宋体" w:hAnsi="Book Antiqua" w:cs="Times New Roman"/>
          <w:sz w:val="24"/>
          <w:szCs w:val="24"/>
          <w:lang w:eastAsia="zh-CN"/>
        </w:rPr>
        <w:t>: 573-576 [PMID: 2186617</w:t>
      </w:r>
      <w:bookmarkStart w:id="26" w:name="_GoBack"/>
      <w:bookmarkEnd w:id="26"/>
      <w:r w:rsidRPr="0062622A">
        <w:rPr>
          <w:rFonts w:ascii="Book Antiqua" w:eastAsia="宋体" w:hAnsi="Book Antiqua" w:cs="Times New Roman"/>
          <w:sz w:val="24"/>
          <w:szCs w:val="24"/>
          <w:lang w:eastAsia="zh-CN"/>
        </w:rPr>
        <w:t>]</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7 </w:t>
      </w:r>
      <w:r w:rsidRPr="0062622A">
        <w:rPr>
          <w:rFonts w:ascii="Book Antiqua" w:eastAsia="宋体" w:hAnsi="Book Antiqua" w:cs="Times New Roman"/>
          <w:b/>
          <w:bCs/>
          <w:sz w:val="24"/>
          <w:szCs w:val="24"/>
          <w:lang w:eastAsia="zh-CN"/>
        </w:rPr>
        <w:t>McCormick PA</w:t>
      </w:r>
      <w:r w:rsidRPr="0062622A">
        <w:rPr>
          <w:rFonts w:ascii="Book Antiqua" w:eastAsia="宋体" w:hAnsi="Book Antiqua" w:cs="Times New Roman"/>
          <w:sz w:val="24"/>
          <w:szCs w:val="24"/>
          <w:lang w:eastAsia="zh-CN"/>
        </w:rPr>
        <w:t>, Sankey EA, Cardin F, Dhillon AP, McIntyre N, Burroughs AK. Congestive gastropathy and Helicobacter pylori: an endoscopic and morphometric study. </w:t>
      </w:r>
      <w:r w:rsidRPr="0062622A">
        <w:rPr>
          <w:rFonts w:ascii="Book Antiqua" w:eastAsia="宋体" w:hAnsi="Book Antiqua" w:cs="Times New Roman"/>
          <w:i/>
          <w:iCs/>
          <w:sz w:val="24"/>
          <w:szCs w:val="24"/>
          <w:lang w:eastAsia="zh-CN"/>
        </w:rPr>
        <w:t>Gut</w:t>
      </w:r>
      <w:r w:rsidRPr="0062622A">
        <w:rPr>
          <w:rFonts w:ascii="Book Antiqua" w:eastAsia="宋体" w:hAnsi="Book Antiqua" w:cs="Times New Roman"/>
          <w:sz w:val="24"/>
          <w:szCs w:val="24"/>
          <w:lang w:eastAsia="zh-CN"/>
        </w:rPr>
        <w:t> 1991; </w:t>
      </w:r>
      <w:r w:rsidRPr="0062622A">
        <w:rPr>
          <w:rFonts w:ascii="Book Antiqua" w:eastAsia="宋体" w:hAnsi="Book Antiqua" w:cs="Times New Roman"/>
          <w:b/>
          <w:bCs/>
          <w:sz w:val="24"/>
          <w:szCs w:val="24"/>
          <w:lang w:eastAsia="zh-CN"/>
        </w:rPr>
        <w:t>32</w:t>
      </w:r>
      <w:r w:rsidRPr="0062622A">
        <w:rPr>
          <w:rFonts w:ascii="Book Antiqua" w:eastAsia="宋体" w:hAnsi="Book Antiqua" w:cs="Times New Roman"/>
          <w:sz w:val="24"/>
          <w:szCs w:val="24"/>
          <w:lang w:eastAsia="zh-CN"/>
        </w:rPr>
        <w:t>: 351-354 [PMID: 2026332</w:t>
      </w:r>
      <w:r w:rsidRPr="0062622A">
        <w:rPr>
          <w:rFonts w:ascii="Times New Roman" w:eastAsia="宋体" w:hAnsi="Times New Roman" w:cs="Times New Roman"/>
          <w:sz w:val="24"/>
          <w:szCs w:val="24"/>
          <w:lang w:val="fr-FR" w:eastAsia="fr-FR"/>
        </w:rPr>
        <w:t xml:space="preserve"> </w:t>
      </w:r>
      <w:r w:rsidRPr="0062622A">
        <w:rPr>
          <w:rFonts w:ascii="Times New Roman" w:eastAsia="宋体" w:hAnsi="Times New Roman" w:cs="Times New Roman" w:hint="eastAsia"/>
          <w:sz w:val="24"/>
          <w:szCs w:val="24"/>
          <w:lang w:val="fr-FR" w:eastAsia="zh-CN"/>
        </w:rPr>
        <w:t>DOI</w:t>
      </w:r>
      <w:r w:rsidRPr="0062622A">
        <w:rPr>
          <w:rFonts w:ascii="Times New Roman" w:eastAsia="宋体" w:hAnsi="Times New Roman" w:cs="Times New Roman"/>
          <w:sz w:val="24"/>
          <w:szCs w:val="24"/>
          <w:lang w:val="fr-FR" w:eastAsia="zh-CN"/>
        </w:rPr>
        <w:t> </w:t>
      </w:r>
      <w:r w:rsidRPr="0062622A">
        <w:rPr>
          <w:rFonts w:ascii="Times New Roman" w:eastAsia="宋体" w:hAnsi="Times New Roman" w:cs="Times New Roman" w:hint="eastAsia"/>
          <w:sz w:val="24"/>
          <w:szCs w:val="24"/>
          <w:lang w:val="fr-FR" w:eastAsia="zh-CN"/>
        </w:rPr>
        <w:t xml:space="preserve">: </w:t>
      </w:r>
      <w:r w:rsidRPr="0062622A">
        <w:rPr>
          <w:rFonts w:ascii="Book Antiqua" w:eastAsia="宋体" w:hAnsi="Book Antiqua" w:cs="Times New Roman"/>
          <w:sz w:val="24"/>
          <w:szCs w:val="24"/>
          <w:lang w:eastAsia="zh-CN"/>
        </w:rPr>
        <w:t>10.1136/gut.32.4.351]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8 </w:t>
      </w:r>
      <w:r w:rsidRPr="0062622A">
        <w:rPr>
          <w:rFonts w:ascii="Book Antiqua" w:eastAsia="宋体" w:hAnsi="Book Antiqua" w:cs="Times New Roman"/>
          <w:b/>
          <w:bCs/>
          <w:sz w:val="24"/>
          <w:szCs w:val="24"/>
          <w:lang w:eastAsia="zh-CN"/>
        </w:rPr>
        <w:t>Sarin SK</w:t>
      </w:r>
      <w:r w:rsidRPr="0062622A">
        <w:rPr>
          <w:rFonts w:ascii="Book Antiqua" w:eastAsia="宋体" w:hAnsi="Book Antiqua" w:cs="Times New Roman"/>
          <w:sz w:val="24"/>
          <w:szCs w:val="24"/>
          <w:lang w:eastAsia="zh-CN"/>
        </w:rPr>
        <w:t>, Sreenivas DV, Lahoti D, Saraya A. Factors influencing development of portal hypertensive gastropathy in patients with portal hypertension.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1992; </w:t>
      </w:r>
      <w:r w:rsidRPr="0062622A">
        <w:rPr>
          <w:rFonts w:ascii="Book Antiqua" w:eastAsia="宋体" w:hAnsi="Book Antiqua" w:cs="Times New Roman"/>
          <w:b/>
          <w:bCs/>
          <w:sz w:val="24"/>
          <w:szCs w:val="24"/>
          <w:lang w:eastAsia="zh-CN"/>
        </w:rPr>
        <w:t>102</w:t>
      </w:r>
      <w:r w:rsidRPr="0062622A">
        <w:rPr>
          <w:rFonts w:ascii="Book Antiqua" w:eastAsia="宋体" w:hAnsi="Book Antiqua" w:cs="Times New Roman"/>
          <w:sz w:val="24"/>
          <w:szCs w:val="24"/>
          <w:lang w:eastAsia="zh-CN"/>
        </w:rPr>
        <w:t>: 994-999 [PMID: 1537536]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9 </w:t>
      </w:r>
      <w:r w:rsidRPr="0062622A">
        <w:rPr>
          <w:rFonts w:ascii="Book Antiqua" w:eastAsia="宋体" w:hAnsi="Book Antiqua" w:cs="Times New Roman"/>
          <w:b/>
          <w:bCs/>
          <w:sz w:val="24"/>
          <w:szCs w:val="24"/>
          <w:lang w:eastAsia="zh-CN"/>
        </w:rPr>
        <w:t>Parikh SS</w:t>
      </w:r>
      <w:r w:rsidRPr="0062622A">
        <w:rPr>
          <w:rFonts w:ascii="Book Antiqua" w:eastAsia="宋体" w:hAnsi="Book Antiqua" w:cs="Times New Roman"/>
          <w:sz w:val="24"/>
          <w:szCs w:val="24"/>
          <w:lang w:eastAsia="zh-CN"/>
        </w:rPr>
        <w:t>, Desai SB, Prabhu SR, Trivedi MH, Shankaran K, Bhukhanwala FA, Kalro RH, Desai HG. Congestive gastropathy: factors influencing development, endoscopic features, Helicobacter pylori infection, and microvessel changes.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89</w:t>
      </w:r>
      <w:r w:rsidRPr="0062622A">
        <w:rPr>
          <w:rFonts w:ascii="Book Antiqua" w:eastAsia="宋体" w:hAnsi="Book Antiqua" w:cs="Times New Roman"/>
          <w:sz w:val="24"/>
          <w:szCs w:val="24"/>
          <w:lang w:eastAsia="zh-CN"/>
        </w:rPr>
        <w:t>: 1036-1042 [PMID: 8017362]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10 </w:t>
      </w:r>
      <w:r w:rsidRPr="0062622A">
        <w:rPr>
          <w:rFonts w:ascii="Book Antiqua" w:eastAsia="宋体" w:hAnsi="Book Antiqua" w:cs="Times New Roman"/>
          <w:b/>
          <w:bCs/>
          <w:sz w:val="24"/>
          <w:szCs w:val="24"/>
          <w:lang w:eastAsia="zh-CN"/>
        </w:rPr>
        <w:t>Sarin SK</w:t>
      </w:r>
      <w:r w:rsidRPr="0062622A">
        <w:rPr>
          <w:rFonts w:ascii="Book Antiqua" w:eastAsia="宋体" w:hAnsi="Book Antiqua" w:cs="Times New Roman"/>
          <w:sz w:val="24"/>
          <w:szCs w:val="24"/>
          <w:lang w:eastAsia="zh-CN"/>
        </w:rPr>
        <w:t>, Shahi HM, Jain M, Jain AK, Issar SK, Murthy NS. The natural history of portal hypertensive gastropathy: influence of variceal eradication.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2000; </w:t>
      </w:r>
      <w:r w:rsidRPr="0062622A">
        <w:rPr>
          <w:rFonts w:ascii="Book Antiqua" w:eastAsia="宋体" w:hAnsi="Book Antiqua" w:cs="Times New Roman"/>
          <w:b/>
          <w:bCs/>
          <w:sz w:val="24"/>
          <w:szCs w:val="24"/>
          <w:lang w:eastAsia="zh-CN"/>
        </w:rPr>
        <w:t>95</w:t>
      </w:r>
      <w:r w:rsidRPr="0062622A">
        <w:rPr>
          <w:rFonts w:ascii="Book Antiqua" w:eastAsia="宋体" w:hAnsi="Book Antiqua" w:cs="Times New Roman"/>
          <w:sz w:val="24"/>
          <w:szCs w:val="24"/>
          <w:lang w:eastAsia="zh-CN"/>
        </w:rPr>
        <w:t>: 2888-2893 [PMID: 11051364</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10.1111/j.1572-0241.2000.03200.x]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11 </w:t>
      </w:r>
      <w:r w:rsidRPr="0062622A">
        <w:rPr>
          <w:rFonts w:ascii="Book Antiqua" w:eastAsia="宋体" w:hAnsi="Book Antiqua" w:cs="Times New Roman"/>
          <w:b/>
          <w:bCs/>
          <w:sz w:val="24"/>
          <w:szCs w:val="24"/>
          <w:lang w:eastAsia="zh-CN"/>
        </w:rPr>
        <w:t>Itha S</w:t>
      </w:r>
      <w:r w:rsidRPr="0062622A">
        <w:rPr>
          <w:rFonts w:ascii="Book Antiqua" w:eastAsia="宋体" w:hAnsi="Book Antiqua" w:cs="Times New Roman"/>
          <w:sz w:val="24"/>
          <w:szCs w:val="24"/>
          <w:lang w:eastAsia="zh-CN"/>
        </w:rPr>
        <w:t>, Yachha SK. Endoscopic outcome beyond esophageal variceal eradication in children with extrahepatic portal venous obstruction. </w:t>
      </w:r>
      <w:r w:rsidRPr="0062622A">
        <w:rPr>
          <w:rFonts w:ascii="Book Antiqua" w:eastAsia="宋体" w:hAnsi="Book Antiqua" w:cs="Times New Roman"/>
          <w:i/>
          <w:iCs/>
          <w:sz w:val="24"/>
          <w:szCs w:val="24"/>
          <w:lang w:eastAsia="zh-CN"/>
        </w:rPr>
        <w:t>J Pediatr Gastroenterol Nutr</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42</w:t>
      </w:r>
      <w:r w:rsidRPr="0062622A">
        <w:rPr>
          <w:rFonts w:ascii="Book Antiqua" w:eastAsia="宋体" w:hAnsi="Book Antiqua" w:cs="Times New Roman"/>
          <w:sz w:val="24"/>
          <w:szCs w:val="24"/>
          <w:lang w:eastAsia="zh-CN"/>
        </w:rPr>
        <w:t>: 196-200 [PMID: 16456415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10.1097/01.mpg.0000189351.55666.45]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12 </w:t>
      </w:r>
      <w:r w:rsidRPr="0062622A">
        <w:rPr>
          <w:rFonts w:ascii="Book Antiqua" w:eastAsia="宋体" w:hAnsi="Book Antiqua" w:cs="Times New Roman"/>
          <w:b/>
          <w:bCs/>
          <w:sz w:val="24"/>
          <w:szCs w:val="24"/>
          <w:lang w:eastAsia="zh-CN"/>
        </w:rPr>
        <w:t>Rana SS</w:t>
      </w:r>
      <w:r w:rsidRPr="0062622A">
        <w:rPr>
          <w:rFonts w:ascii="Book Antiqua" w:eastAsia="宋体" w:hAnsi="Book Antiqua" w:cs="Times New Roman"/>
          <w:sz w:val="24"/>
          <w:szCs w:val="24"/>
          <w:lang w:eastAsia="zh-CN"/>
        </w:rPr>
        <w:t>, Bhasin DK, Jahagirdar S, Raja K, Nada R, Kochhar R, Joshi K. Is there ileopathy in portal hypertension?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21</w:t>
      </w:r>
      <w:r w:rsidRPr="0062622A">
        <w:rPr>
          <w:rFonts w:ascii="Book Antiqua" w:eastAsia="宋体" w:hAnsi="Book Antiqua" w:cs="Times New Roman"/>
          <w:sz w:val="24"/>
          <w:szCs w:val="24"/>
          <w:lang w:eastAsia="zh-CN"/>
        </w:rPr>
        <w:t>: 392-397 [PMID: 16509864</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10.1111/j.1440-1746.2005.04037.x]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13 </w:t>
      </w:r>
      <w:r w:rsidRPr="0062622A">
        <w:rPr>
          <w:rFonts w:ascii="Book Antiqua" w:eastAsia="宋体" w:hAnsi="Book Antiqua" w:cs="Times New Roman"/>
          <w:b/>
          <w:bCs/>
          <w:sz w:val="24"/>
          <w:szCs w:val="24"/>
          <w:lang w:eastAsia="zh-CN"/>
        </w:rPr>
        <w:t>El-Rifai N</w:t>
      </w:r>
      <w:r w:rsidRPr="0062622A">
        <w:rPr>
          <w:rFonts w:ascii="Book Antiqua" w:eastAsia="宋体" w:hAnsi="Book Antiqua" w:cs="Times New Roman"/>
          <w:sz w:val="24"/>
          <w:szCs w:val="24"/>
          <w:lang w:eastAsia="zh-CN"/>
        </w:rPr>
        <w:t>, Mention K, Guimber D, Michaud L, Boman F, Turck D, Gottrand F. Gastropathy and gastritis in children with portal hypertension. </w:t>
      </w:r>
      <w:r w:rsidRPr="0062622A">
        <w:rPr>
          <w:rFonts w:ascii="Book Antiqua" w:eastAsia="宋体" w:hAnsi="Book Antiqua" w:cs="Times New Roman"/>
          <w:i/>
          <w:iCs/>
          <w:sz w:val="24"/>
          <w:szCs w:val="24"/>
          <w:lang w:eastAsia="zh-CN"/>
        </w:rPr>
        <w:t>J Pediatr Gastroenterol Nutr</w:t>
      </w:r>
      <w:r w:rsidRPr="0062622A">
        <w:rPr>
          <w:rFonts w:ascii="Book Antiqua" w:eastAsia="宋体" w:hAnsi="Book Antiqua" w:cs="Times New Roman"/>
          <w:sz w:val="24"/>
          <w:szCs w:val="24"/>
          <w:lang w:eastAsia="zh-CN"/>
        </w:rPr>
        <w:t> 2007; </w:t>
      </w:r>
      <w:r w:rsidRPr="0062622A">
        <w:rPr>
          <w:rFonts w:ascii="Book Antiqua" w:eastAsia="宋体" w:hAnsi="Book Antiqua" w:cs="Times New Roman"/>
          <w:b/>
          <w:bCs/>
          <w:sz w:val="24"/>
          <w:szCs w:val="24"/>
          <w:lang w:eastAsia="zh-CN"/>
        </w:rPr>
        <w:t>45</w:t>
      </w:r>
      <w:r w:rsidRPr="0062622A">
        <w:rPr>
          <w:rFonts w:ascii="Book Antiqua" w:eastAsia="宋体" w:hAnsi="Book Antiqua" w:cs="Times New Roman"/>
          <w:sz w:val="24"/>
          <w:szCs w:val="24"/>
          <w:lang w:eastAsia="zh-CN"/>
        </w:rPr>
        <w:t>: 137-140 [PMID: 17592382</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10.1097/MPG.0b013e318049cbe2]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14 </w:t>
      </w:r>
      <w:r w:rsidRPr="0062622A">
        <w:rPr>
          <w:rFonts w:ascii="Book Antiqua" w:eastAsia="宋体" w:hAnsi="Book Antiqua" w:cs="Times New Roman"/>
          <w:b/>
          <w:bCs/>
          <w:sz w:val="24"/>
          <w:szCs w:val="24"/>
          <w:lang w:eastAsia="zh-CN"/>
        </w:rPr>
        <w:t>Sogaard KK</w:t>
      </w:r>
      <w:r w:rsidRPr="0062622A">
        <w:rPr>
          <w:rFonts w:ascii="Book Antiqua" w:eastAsia="宋体" w:hAnsi="Book Antiqua" w:cs="Times New Roman"/>
          <w:sz w:val="24"/>
          <w:szCs w:val="24"/>
          <w:lang w:eastAsia="zh-CN"/>
        </w:rPr>
        <w:t>, Astrup LB, Vilstrup H, Gronbaek H. Portal vein thrombosis; risk factors, clinical presentation and treatment. </w:t>
      </w:r>
      <w:r w:rsidRPr="0062622A">
        <w:rPr>
          <w:rFonts w:ascii="Book Antiqua" w:eastAsia="宋体" w:hAnsi="Book Antiqua" w:cs="Times New Roman"/>
          <w:i/>
          <w:iCs/>
          <w:sz w:val="24"/>
          <w:szCs w:val="24"/>
          <w:lang w:eastAsia="zh-CN"/>
        </w:rPr>
        <w:t>BMC Gastroenterol</w:t>
      </w:r>
      <w:r w:rsidRPr="0062622A">
        <w:rPr>
          <w:rFonts w:ascii="Book Antiqua" w:eastAsia="宋体" w:hAnsi="Book Antiqua" w:cs="Times New Roman"/>
          <w:sz w:val="24"/>
          <w:szCs w:val="24"/>
          <w:lang w:eastAsia="zh-CN"/>
        </w:rPr>
        <w:t> 2007; </w:t>
      </w:r>
      <w:r w:rsidRPr="0062622A">
        <w:rPr>
          <w:rFonts w:ascii="Book Antiqua" w:eastAsia="宋体" w:hAnsi="Book Antiqua" w:cs="Times New Roman"/>
          <w:b/>
          <w:bCs/>
          <w:sz w:val="24"/>
          <w:szCs w:val="24"/>
          <w:lang w:eastAsia="zh-CN"/>
        </w:rPr>
        <w:t>7</w:t>
      </w:r>
      <w:r w:rsidRPr="0062622A">
        <w:rPr>
          <w:rFonts w:ascii="Book Antiqua" w:eastAsia="宋体" w:hAnsi="Book Antiqua" w:cs="Times New Roman"/>
          <w:sz w:val="24"/>
          <w:szCs w:val="24"/>
          <w:lang w:eastAsia="zh-CN"/>
        </w:rPr>
        <w:t>: 34 [PMID: 17697371</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10.1186/1471-230X-7-34]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15 </w:t>
      </w:r>
      <w:r w:rsidRPr="0062622A">
        <w:rPr>
          <w:rFonts w:ascii="Book Antiqua" w:eastAsia="宋体" w:hAnsi="Book Antiqua" w:cs="Times New Roman"/>
          <w:b/>
          <w:bCs/>
          <w:sz w:val="24"/>
          <w:szCs w:val="24"/>
          <w:lang w:eastAsia="zh-CN"/>
        </w:rPr>
        <w:t>Figueiredo P</w:t>
      </w:r>
      <w:r w:rsidRPr="0062622A">
        <w:rPr>
          <w:rFonts w:ascii="Book Antiqua" w:eastAsia="宋体" w:hAnsi="Book Antiqua" w:cs="Times New Roman"/>
          <w:sz w:val="24"/>
          <w:szCs w:val="24"/>
          <w:lang w:eastAsia="zh-CN"/>
        </w:rPr>
        <w:t>, Almeida N, Lérias C, Lopes S, Gouveia H, Leitão MC, Freitas D. Effect of portal hypertension in the small bowel: an endoscopic approach.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53</w:t>
      </w:r>
      <w:r w:rsidRPr="0062622A">
        <w:rPr>
          <w:rFonts w:ascii="Book Antiqua" w:eastAsia="宋体" w:hAnsi="Book Antiqua" w:cs="Times New Roman"/>
          <w:sz w:val="24"/>
          <w:szCs w:val="24"/>
          <w:lang w:eastAsia="zh-CN"/>
        </w:rPr>
        <w:t>: 2144-2150 [PMID: 18026837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10.1007/s10620-007-0111-z]</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16 </w:t>
      </w:r>
      <w:r w:rsidRPr="0062622A">
        <w:rPr>
          <w:rFonts w:ascii="Book Antiqua" w:eastAsia="宋体" w:hAnsi="Book Antiqua" w:cs="Times New Roman"/>
          <w:b/>
          <w:bCs/>
          <w:sz w:val="24"/>
          <w:szCs w:val="24"/>
          <w:lang w:eastAsia="zh-CN"/>
        </w:rPr>
        <w:t>Erden A</w:t>
      </w:r>
      <w:r w:rsidRPr="0062622A">
        <w:rPr>
          <w:rFonts w:ascii="Book Antiqua" w:eastAsia="宋体" w:hAnsi="Book Antiqua" w:cs="Times New Roman"/>
          <w:sz w:val="24"/>
          <w:szCs w:val="24"/>
          <w:lang w:eastAsia="zh-CN"/>
        </w:rPr>
        <w:t>, Idilman R, Erden I, Ozden A. Veins around the esophagus and the stomach: do their calibrations provide a diagnostic clue for portal hypertensive gastropathy? </w:t>
      </w:r>
      <w:r w:rsidRPr="0062622A">
        <w:rPr>
          <w:rFonts w:ascii="Book Antiqua" w:eastAsia="宋体" w:hAnsi="Book Antiqua" w:cs="Times New Roman"/>
          <w:i/>
          <w:iCs/>
          <w:sz w:val="24"/>
          <w:szCs w:val="24"/>
          <w:lang w:eastAsia="zh-CN"/>
        </w:rPr>
        <w:t>Clin Imaging</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2009</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33</w:t>
      </w:r>
      <w:r w:rsidRPr="0062622A">
        <w:rPr>
          <w:rFonts w:ascii="Book Antiqua" w:eastAsia="宋体" w:hAnsi="Book Antiqua" w:cs="Times New Roman"/>
          <w:sz w:val="24"/>
          <w:szCs w:val="24"/>
          <w:lang w:eastAsia="zh-CN"/>
        </w:rPr>
        <w:t>: 22-24 [PMID: 19135925 DOI: 10.1016/j.clinimag.2008.06.023]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17 </w:t>
      </w:r>
      <w:r w:rsidRPr="0062622A">
        <w:rPr>
          <w:rFonts w:ascii="Book Antiqua" w:eastAsia="宋体" w:hAnsi="Book Antiqua" w:cs="Times New Roman"/>
          <w:b/>
          <w:bCs/>
          <w:sz w:val="24"/>
          <w:szCs w:val="24"/>
          <w:lang w:eastAsia="zh-CN"/>
        </w:rPr>
        <w:t>Duché M</w:t>
      </w:r>
      <w:r w:rsidRPr="0062622A">
        <w:rPr>
          <w:rFonts w:ascii="Book Antiqua" w:eastAsia="宋体" w:hAnsi="Book Antiqua" w:cs="Times New Roman"/>
          <w:sz w:val="24"/>
          <w:szCs w:val="24"/>
          <w:lang w:eastAsia="zh-CN"/>
        </w:rPr>
        <w:t>, Ducot B, Tournay E, Fabre M, Cohen J, Jacquemin E, Bernard O. Prognostic value of endoscopy in children with biliary atresia at risk for early development of varices and bleeding.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139</w:t>
      </w:r>
      <w:r w:rsidRPr="0062622A">
        <w:rPr>
          <w:rFonts w:ascii="Book Antiqua" w:eastAsia="宋体" w:hAnsi="Book Antiqua" w:cs="Times New Roman"/>
          <w:sz w:val="24"/>
          <w:szCs w:val="24"/>
          <w:lang w:eastAsia="zh-CN"/>
        </w:rPr>
        <w:t>: 1952-1960 [PMID: 20637201 DOI: 10.1053/j.gastro.2010.07.004]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18 </w:t>
      </w:r>
      <w:r w:rsidRPr="0062622A">
        <w:rPr>
          <w:rFonts w:ascii="Book Antiqua" w:eastAsia="宋体" w:hAnsi="Book Antiqua" w:cs="Times New Roman"/>
          <w:b/>
          <w:bCs/>
          <w:sz w:val="24"/>
          <w:szCs w:val="24"/>
          <w:lang w:eastAsia="zh-CN"/>
        </w:rPr>
        <w:t>Aydoğan A</w:t>
      </w:r>
      <w:r w:rsidRPr="0062622A">
        <w:rPr>
          <w:rFonts w:ascii="Book Antiqua" w:eastAsia="宋体" w:hAnsi="Book Antiqua" w:cs="Times New Roman"/>
          <w:sz w:val="24"/>
          <w:szCs w:val="24"/>
          <w:lang w:eastAsia="zh-CN"/>
        </w:rPr>
        <w:t>, Güllüoğlu M, Onder SY, Gökçe S, Celtik C, Durmaz O. Portal gastropathy and duodenopathy in children with extrahepatic and intrahepatic portal hypertension: endoscopic diagnosis and histologic scoring. </w:t>
      </w:r>
      <w:r w:rsidRPr="0062622A">
        <w:rPr>
          <w:rFonts w:ascii="Book Antiqua" w:eastAsia="宋体" w:hAnsi="Book Antiqua" w:cs="Times New Roman"/>
          <w:i/>
          <w:iCs/>
          <w:sz w:val="24"/>
          <w:szCs w:val="24"/>
          <w:lang w:eastAsia="zh-CN"/>
        </w:rPr>
        <w:t>J Pediatr Gastroenterol Nutr</w:t>
      </w:r>
      <w:r w:rsidRPr="0062622A">
        <w:rPr>
          <w:rFonts w:ascii="Book Antiqua" w:eastAsia="宋体" w:hAnsi="Book Antiqua" w:cs="Times New Roman"/>
          <w:sz w:val="24"/>
          <w:szCs w:val="24"/>
          <w:lang w:eastAsia="zh-CN"/>
        </w:rPr>
        <w:t> 2011; </w:t>
      </w:r>
      <w:r w:rsidRPr="0062622A">
        <w:rPr>
          <w:rFonts w:ascii="Book Antiqua" w:eastAsia="宋体" w:hAnsi="Book Antiqua" w:cs="Times New Roman"/>
          <w:b/>
          <w:bCs/>
          <w:sz w:val="24"/>
          <w:szCs w:val="24"/>
          <w:lang w:eastAsia="zh-CN"/>
        </w:rPr>
        <w:t>52</w:t>
      </w:r>
      <w:r w:rsidRPr="0062622A">
        <w:rPr>
          <w:rFonts w:ascii="Book Antiqua" w:eastAsia="宋体" w:hAnsi="Book Antiqua" w:cs="Times New Roman"/>
          <w:sz w:val="24"/>
          <w:szCs w:val="24"/>
          <w:lang w:eastAsia="zh-CN"/>
        </w:rPr>
        <w:t>: 612-616 [PMID: 21464749 DOI: 10.1097/MPG.0b013e3182125e7c]</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19 </w:t>
      </w:r>
      <w:r w:rsidRPr="0062622A">
        <w:rPr>
          <w:rFonts w:ascii="Book Antiqua" w:eastAsia="宋体" w:hAnsi="Book Antiqua" w:cs="Times New Roman"/>
          <w:b/>
          <w:bCs/>
          <w:sz w:val="24"/>
          <w:szCs w:val="24"/>
          <w:lang w:eastAsia="zh-CN"/>
        </w:rPr>
        <w:t>dos Santos JM</w:t>
      </w:r>
      <w:r w:rsidRPr="0062622A">
        <w:rPr>
          <w:rFonts w:ascii="Book Antiqua" w:eastAsia="宋体" w:hAnsi="Book Antiqua" w:cs="Times New Roman"/>
          <w:sz w:val="24"/>
          <w:szCs w:val="24"/>
          <w:lang w:eastAsia="zh-CN"/>
        </w:rPr>
        <w:t xml:space="preserve">, Ferreira AR, Fagundes ED, Ferreira AP, Ferreira LS, Magalhães MC, Bittencourt PF, Carvalho SD, Figueiredo Filho PP, Penna FJ. Endoscopic and pharmacological secondary prophylaxis in children and adolescents with esophageal </w:t>
      </w:r>
      <w:r w:rsidRPr="0062622A">
        <w:rPr>
          <w:rFonts w:ascii="Book Antiqua" w:eastAsia="宋体" w:hAnsi="Book Antiqua" w:cs="Times New Roman"/>
          <w:sz w:val="24"/>
          <w:szCs w:val="24"/>
          <w:lang w:eastAsia="zh-CN"/>
        </w:rPr>
        <w:lastRenderedPageBreak/>
        <w:t>varices. </w:t>
      </w:r>
      <w:r w:rsidRPr="0062622A">
        <w:rPr>
          <w:rFonts w:ascii="Book Antiqua" w:eastAsia="宋体" w:hAnsi="Book Antiqua" w:cs="Times New Roman"/>
          <w:i/>
          <w:iCs/>
          <w:sz w:val="24"/>
          <w:szCs w:val="24"/>
          <w:lang w:eastAsia="zh-CN"/>
        </w:rPr>
        <w:t>J Pediatr Gastroenterol Nutr</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56</w:t>
      </w:r>
      <w:r w:rsidRPr="0062622A">
        <w:rPr>
          <w:rFonts w:ascii="Book Antiqua" w:eastAsia="宋体" w:hAnsi="Book Antiqua" w:cs="Times New Roman"/>
          <w:sz w:val="24"/>
          <w:szCs w:val="24"/>
          <w:lang w:eastAsia="zh-CN"/>
        </w:rPr>
        <w:t>: 93-98 [PMID: 22785415 DOI: 10.1097/MPG.0b013e318267c334]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20 </w:t>
      </w:r>
      <w:r w:rsidRPr="0062622A">
        <w:rPr>
          <w:rFonts w:ascii="Book Antiqua" w:eastAsia="宋体" w:hAnsi="Book Antiqua" w:cs="Times New Roman"/>
          <w:b/>
          <w:bCs/>
          <w:sz w:val="24"/>
          <w:szCs w:val="24"/>
          <w:lang w:eastAsia="zh-CN"/>
        </w:rPr>
        <w:t>Pantham G</w:t>
      </w:r>
      <w:r w:rsidRPr="0062622A">
        <w:rPr>
          <w:rFonts w:ascii="Book Antiqua" w:eastAsia="宋体" w:hAnsi="Book Antiqua" w:cs="Times New Roman"/>
          <w:sz w:val="24"/>
          <w:szCs w:val="24"/>
          <w:lang w:eastAsia="zh-CN"/>
        </w:rPr>
        <w:t>, Waghray N, Einstadter D, Finkelhor RS, Mullen KD. Bleeding risk in patients with esophageal varices undergoing transesophageal echocardiography. </w:t>
      </w:r>
      <w:r w:rsidRPr="0062622A">
        <w:rPr>
          <w:rFonts w:ascii="Book Antiqua" w:eastAsia="宋体" w:hAnsi="Book Antiqua" w:cs="Times New Roman"/>
          <w:i/>
          <w:iCs/>
          <w:sz w:val="24"/>
          <w:szCs w:val="24"/>
          <w:lang w:eastAsia="zh-CN"/>
        </w:rPr>
        <w:t>Echocardiography</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30</w:t>
      </w:r>
      <w:r w:rsidRPr="0062622A">
        <w:rPr>
          <w:rFonts w:ascii="Book Antiqua" w:eastAsia="宋体" w:hAnsi="Book Antiqua" w:cs="Times New Roman"/>
          <w:sz w:val="24"/>
          <w:szCs w:val="24"/>
          <w:lang w:eastAsia="zh-CN"/>
        </w:rPr>
        <w:t>: 1152-1155 [PMID: 23742625 DOI: 10.1111/echo.12274]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21 </w:t>
      </w:r>
      <w:r w:rsidRPr="0062622A">
        <w:rPr>
          <w:rFonts w:ascii="Book Antiqua" w:eastAsia="宋体" w:hAnsi="Book Antiqua" w:cs="Times New Roman"/>
          <w:b/>
          <w:bCs/>
          <w:sz w:val="24"/>
          <w:szCs w:val="24"/>
          <w:lang w:eastAsia="zh-CN"/>
        </w:rPr>
        <w:t>Abdollahi MR</w:t>
      </w:r>
      <w:r w:rsidRPr="0062622A">
        <w:rPr>
          <w:rFonts w:ascii="Book Antiqua" w:eastAsia="宋体" w:hAnsi="Book Antiqua" w:cs="Times New Roman"/>
          <w:sz w:val="24"/>
          <w:szCs w:val="24"/>
          <w:lang w:eastAsia="zh-CN"/>
        </w:rPr>
        <w:t>, Somi MH, Faraji E. Role of international criteria in the diagnosis of autoimmune hepatitis. </w:t>
      </w:r>
      <w:r w:rsidRPr="0062622A">
        <w:rPr>
          <w:rFonts w:ascii="Book Antiqua" w:eastAsia="宋体" w:hAnsi="Book Antiqua" w:cs="Times New Roman"/>
          <w:i/>
          <w:iCs/>
          <w:sz w:val="24"/>
          <w:szCs w:val="24"/>
          <w:lang w:eastAsia="zh-CN"/>
        </w:rPr>
        <w:t>World J Gastroenterol</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19</w:t>
      </w:r>
      <w:r w:rsidRPr="0062622A">
        <w:rPr>
          <w:rFonts w:ascii="Book Antiqua" w:eastAsia="宋体" w:hAnsi="Book Antiqua" w:cs="Times New Roman"/>
          <w:sz w:val="24"/>
          <w:szCs w:val="24"/>
          <w:lang w:eastAsia="zh-CN"/>
        </w:rPr>
        <w:t>: 3629-3633 [PMID: 23801865 DOI: 10.3748/wjg.v19.i23.3629]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22 </w:t>
      </w:r>
      <w:r w:rsidRPr="0062622A">
        <w:rPr>
          <w:rFonts w:ascii="Book Antiqua" w:eastAsia="宋体" w:hAnsi="Book Antiqua" w:cs="Times New Roman"/>
          <w:b/>
          <w:bCs/>
          <w:sz w:val="24"/>
          <w:szCs w:val="24"/>
          <w:lang w:eastAsia="zh-CN"/>
        </w:rPr>
        <w:t>de Alcantara RV</w:t>
      </w:r>
      <w:r w:rsidRPr="0062622A">
        <w:rPr>
          <w:rFonts w:ascii="Book Antiqua" w:eastAsia="宋体" w:hAnsi="Book Antiqua" w:cs="Times New Roman"/>
          <w:sz w:val="24"/>
          <w:szCs w:val="24"/>
          <w:lang w:eastAsia="zh-CN"/>
        </w:rPr>
        <w:t>, Yamada RM, Cardoso SR, de Fátima M, Servidoni CP, Hessel G. Ultrasonographic predictors of esophageal varices. </w:t>
      </w:r>
      <w:r w:rsidRPr="0062622A">
        <w:rPr>
          <w:rFonts w:ascii="Book Antiqua" w:eastAsia="宋体" w:hAnsi="Book Antiqua" w:cs="Times New Roman"/>
          <w:i/>
          <w:iCs/>
          <w:sz w:val="24"/>
          <w:szCs w:val="24"/>
          <w:lang w:eastAsia="zh-CN"/>
        </w:rPr>
        <w:t>J Pediatr Gastroenterol Nutr</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57</w:t>
      </w:r>
      <w:r w:rsidRPr="0062622A">
        <w:rPr>
          <w:rFonts w:ascii="Book Antiqua" w:eastAsia="宋体" w:hAnsi="Book Antiqua" w:cs="Times New Roman"/>
          <w:sz w:val="24"/>
          <w:szCs w:val="24"/>
          <w:lang w:eastAsia="zh-CN"/>
        </w:rPr>
        <w:t>: 700-703 [PMID: 23941999 DOI: 10.1097/MPG.0b013e3182a7bc2e]</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23 </w:t>
      </w:r>
      <w:r w:rsidRPr="0062622A">
        <w:rPr>
          <w:rFonts w:ascii="Book Antiqua" w:eastAsia="宋体" w:hAnsi="Book Antiqua" w:cs="Times New Roman"/>
          <w:b/>
          <w:bCs/>
          <w:sz w:val="24"/>
          <w:szCs w:val="24"/>
          <w:lang w:eastAsia="zh-CN"/>
        </w:rPr>
        <w:t>Aoyama T</w:t>
      </w:r>
      <w:r w:rsidRPr="0062622A">
        <w:rPr>
          <w:rFonts w:ascii="Book Antiqua" w:eastAsia="宋体" w:hAnsi="Book Antiqua" w:cs="Times New Roman"/>
          <w:sz w:val="24"/>
          <w:szCs w:val="24"/>
          <w:lang w:eastAsia="zh-CN"/>
        </w:rPr>
        <w:t>, Oka S, Aikata H, Nakano M, Watari I, Naeshiro N, Yoshida S, Tanaka S, Chayama K. Is small-bowel capsule endoscopy effective for diagnosis of esophagogastric lesions related to portal hypertension?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29</w:t>
      </w:r>
      <w:r w:rsidRPr="0062622A">
        <w:rPr>
          <w:rFonts w:ascii="Book Antiqua" w:eastAsia="宋体" w:hAnsi="Book Antiqua" w:cs="Times New Roman"/>
          <w:sz w:val="24"/>
          <w:szCs w:val="24"/>
          <w:lang w:eastAsia="zh-CN"/>
        </w:rPr>
        <w:t>: 511-516 [PMID: 23981241 DOI: 10.1111/jgh.12372]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24 </w:t>
      </w:r>
      <w:r w:rsidRPr="0062622A">
        <w:rPr>
          <w:rFonts w:ascii="Book Antiqua" w:eastAsia="宋体" w:hAnsi="Book Antiqua" w:cs="Times New Roman"/>
          <w:b/>
          <w:bCs/>
          <w:sz w:val="24"/>
          <w:szCs w:val="24"/>
          <w:lang w:eastAsia="zh-CN"/>
        </w:rPr>
        <w:t>Sacchetti C</w:t>
      </w:r>
      <w:r w:rsidRPr="0062622A">
        <w:rPr>
          <w:rFonts w:ascii="Book Antiqua" w:eastAsia="宋体" w:hAnsi="Book Antiqua" w:cs="Times New Roman"/>
          <w:sz w:val="24"/>
          <w:szCs w:val="24"/>
          <w:lang w:eastAsia="zh-CN"/>
        </w:rPr>
        <w:t>, Capello M, Rebecchi P, Roncucci L, Zanghieri G, Tripodi A, Ponz de Leon M. Frequency of upper gastrointestinal lesions in patients with liver cirrhosis.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1988; </w:t>
      </w:r>
      <w:r w:rsidRPr="0062622A">
        <w:rPr>
          <w:rFonts w:ascii="Book Antiqua" w:eastAsia="宋体" w:hAnsi="Book Antiqua" w:cs="Times New Roman"/>
          <w:b/>
          <w:bCs/>
          <w:sz w:val="24"/>
          <w:szCs w:val="24"/>
          <w:lang w:eastAsia="zh-CN"/>
        </w:rPr>
        <w:t>33</w:t>
      </w:r>
      <w:r w:rsidRPr="0062622A">
        <w:rPr>
          <w:rFonts w:ascii="Book Antiqua" w:eastAsia="宋体" w:hAnsi="Book Antiqua" w:cs="Times New Roman"/>
          <w:sz w:val="24"/>
          <w:szCs w:val="24"/>
          <w:lang w:eastAsia="zh-CN"/>
        </w:rPr>
        <w:t>: 1218-1222 [PMID: 3168693</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10.1007/BF01536669]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25 </w:t>
      </w:r>
      <w:r w:rsidRPr="0062622A">
        <w:rPr>
          <w:rFonts w:ascii="Book Antiqua" w:eastAsia="宋体" w:hAnsi="Book Antiqua" w:cs="Times New Roman"/>
          <w:b/>
          <w:bCs/>
          <w:sz w:val="24"/>
          <w:szCs w:val="24"/>
          <w:lang w:eastAsia="zh-CN"/>
        </w:rPr>
        <w:t>D'Amico G</w:t>
      </w:r>
      <w:r w:rsidRPr="0062622A">
        <w:rPr>
          <w:rFonts w:ascii="Book Antiqua" w:eastAsia="宋体" w:hAnsi="Book Antiqua" w:cs="Times New Roman"/>
          <w:sz w:val="24"/>
          <w:szCs w:val="24"/>
          <w:lang w:eastAsia="zh-CN"/>
        </w:rPr>
        <w:t>, Montalbano L, Traina M, Pisa R, Menozzi M, Spanò C, Pagliaro L. Natural history of congestive gastropathy in cirrhosis. The Liver Study Group of V. Cervello Hospital.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1990; </w:t>
      </w:r>
      <w:r w:rsidRPr="0062622A">
        <w:rPr>
          <w:rFonts w:ascii="Book Antiqua" w:eastAsia="宋体" w:hAnsi="Book Antiqua" w:cs="Times New Roman"/>
          <w:b/>
          <w:bCs/>
          <w:sz w:val="24"/>
          <w:szCs w:val="24"/>
          <w:lang w:eastAsia="zh-CN"/>
        </w:rPr>
        <w:t>99</w:t>
      </w:r>
      <w:r w:rsidRPr="0062622A">
        <w:rPr>
          <w:rFonts w:ascii="Book Antiqua" w:eastAsia="宋体" w:hAnsi="Book Antiqua" w:cs="Times New Roman"/>
          <w:sz w:val="24"/>
          <w:szCs w:val="24"/>
          <w:lang w:eastAsia="zh-CN"/>
        </w:rPr>
        <w:t>: 1558-1564 [PMID: 2227271]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26 </w:t>
      </w:r>
      <w:r w:rsidRPr="0062622A">
        <w:rPr>
          <w:rFonts w:ascii="Book Antiqua" w:eastAsia="宋体" w:hAnsi="Book Antiqua" w:cs="Times New Roman"/>
          <w:b/>
          <w:bCs/>
          <w:sz w:val="24"/>
          <w:szCs w:val="24"/>
          <w:lang w:eastAsia="zh-CN"/>
        </w:rPr>
        <w:t>Calès P</w:t>
      </w:r>
      <w:r w:rsidRPr="0062622A">
        <w:rPr>
          <w:rFonts w:ascii="Book Antiqua" w:eastAsia="宋体" w:hAnsi="Book Antiqua" w:cs="Times New Roman"/>
          <w:sz w:val="24"/>
          <w:szCs w:val="24"/>
          <w:lang w:eastAsia="zh-CN"/>
        </w:rPr>
        <w:t>, Zabotto B, Meskens C, Caucanas JP, Vinel JP, Desmorat H, Fermanian J, Pascal JP. Gastroesophageal endoscopic features in cirrhosis. Observer variability, interassociations, and relationship to hepatic dysfunction.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1990; </w:t>
      </w:r>
      <w:r w:rsidRPr="0062622A">
        <w:rPr>
          <w:rFonts w:ascii="Book Antiqua" w:eastAsia="宋体" w:hAnsi="Book Antiqua" w:cs="Times New Roman"/>
          <w:b/>
          <w:bCs/>
          <w:sz w:val="24"/>
          <w:szCs w:val="24"/>
          <w:lang w:eastAsia="zh-CN"/>
        </w:rPr>
        <w:t>98</w:t>
      </w:r>
      <w:r w:rsidRPr="0062622A">
        <w:rPr>
          <w:rFonts w:ascii="Book Antiqua" w:eastAsia="宋体" w:hAnsi="Book Antiqua" w:cs="Times New Roman"/>
          <w:sz w:val="24"/>
          <w:szCs w:val="24"/>
          <w:lang w:eastAsia="zh-CN"/>
        </w:rPr>
        <w:t>: 156-162 [PMID: 2293575]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27 </w:t>
      </w:r>
      <w:r w:rsidRPr="0062622A">
        <w:rPr>
          <w:rFonts w:ascii="Book Antiqua" w:eastAsia="宋体" w:hAnsi="Book Antiqua" w:cs="Times New Roman"/>
          <w:b/>
          <w:bCs/>
          <w:sz w:val="24"/>
          <w:szCs w:val="24"/>
          <w:lang w:eastAsia="zh-CN"/>
        </w:rPr>
        <w:t>Rabinovitz M</w:t>
      </w:r>
      <w:r w:rsidRPr="0062622A">
        <w:rPr>
          <w:rFonts w:ascii="Book Antiqua" w:eastAsia="宋体" w:hAnsi="Book Antiqua" w:cs="Times New Roman"/>
          <w:sz w:val="24"/>
          <w:szCs w:val="24"/>
          <w:lang w:eastAsia="zh-CN"/>
        </w:rPr>
        <w:t>, Yoo YK, Schade RR, Dindzans VJ, Van Thiel DH, Gavaler JS. Prevalence of endoscopic findings in 510 consecutive individuals with cirrhosis evaluated prospectively.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1990; </w:t>
      </w:r>
      <w:r w:rsidRPr="0062622A">
        <w:rPr>
          <w:rFonts w:ascii="Book Antiqua" w:eastAsia="宋体" w:hAnsi="Book Antiqua" w:cs="Times New Roman"/>
          <w:b/>
          <w:bCs/>
          <w:sz w:val="24"/>
          <w:szCs w:val="24"/>
          <w:lang w:eastAsia="zh-CN"/>
        </w:rPr>
        <w:t>35</w:t>
      </w:r>
      <w:r w:rsidRPr="0062622A">
        <w:rPr>
          <w:rFonts w:ascii="Book Antiqua" w:eastAsia="宋体" w:hAnsi="Book Antiqua" w:cs="Times New Roman"/>
          <w:sz w:val="24"/>
          <w:szCs w:val="24"/>
          <w:lang w:eastAsia="zh-CN"/>
        </w:rPr>
        <w:t>: 705-710 [PMID: 2344804</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10.1007/BF01540171]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28 </w:t>
      </w:r>
      <w:r w:rsidRPr="0062622A">
        <w:rPr>
          <w:rFonts w:ascii="Book Antiqua" w:eastAsia="宋体" w:hAnsi="Book Antiqua" w:cs="Times New Roman"/>
          <w:b/>
          <w:bCs/>
          <w:sz w:val="24"/>
          <w:szCs w:val="24"/>
          <w:lang w:eastAsia="zh-CN"/>
        </w:rPr>
        <w:t>Iwao T</w:t>
      </w:r>
      <w:r w:rsidRPr="0062622A">
        <w:rPr>
          <w:rFonts w:ascii="Book Antiqua" w:eastAsia="宋体" w:hAnsi="Book Antiqua" w:cs="Times New Roman"/>
          <w:sz w:val="24"/>
          <w:szCs w:val="24"/>
          <w:lang w:eastAsia="zh-CN"/>
        </w:rPr>
        <w:t>, Toyonaga A, Sumino M, Takagi K, Oho K, Nishizono M, Ohkubo K, Inoue R, Sasaki E, Tanikawa K. Portal hypertensive gastropathy in patients with cirrhosis.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1992; </w:t>
      </w:r>
      <w:r w:rsidRPr="0062622A">
        <w:rPr>
          <w:rFonts w:ascii="Book Antiqua" w:eastAsia="宋体" w:hAnsi="Book Antiqua" w:cs="Times New Roman"/>
          <w:b/>
          <w:bCs/>
          <w:sz w:val="24"/>
          <w:szCs w:val="24"/>
          <w:lang w:eastAsia="zh-CN"/>
        </w:rPr>
        <w:t>102</w:t>
      </w:r>
      <w:r w:rsidRPr="0062622A">
        <w:rPr>
          <w:rFonts w:ascii="Book Antiqua" w:eastAsia="宋体" w:hAnsi="Book Antiqua" w:cs="Times New Roman"/>
          <w:sz w:val="24"/>
          <w:szCs w:val="24"/>
          <w:lang w:eastAsia="zh-CN"/>
        </w:rPr>
        <w:t>: 2060-2065 [PMID: 1587424]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29 </w:t>
      </w:r>
      <w:r w:rsidRPr="0062622A">
        <w:rPr>
          <w:rFonts w:ascii="Book Antiqua" w:eastAsia="宋体" w:hAnsi="Book Antiqua" w:cs="Times New Roman"/>
          <w:b/>
          <w:bCs/>
          <w:sz w:val="24"/>
          <w:szCs w:val="24"/>
          <w:lang w:eastAsia="zh-CN"/>
        </w:rPr>
        <w:t>Taranto D</w:t>
      </w:r>
      <w:r w:rsidRPr="0062622A">
        <w:rPr>
          <w:rFonts w:ascii="Book Antiqua" w:eastAsia="宋体" w:hAnsi="Book Antiqua" w:cs="Times New Roman"/>
          <w:sz w:val="24"/>
          <w:szCs w:val="24"/>
          <w:lang w:eastAsia="zh-CN"/>
        </w:rPr>
        <w:t>, Suozzo R, Romano M, di Sapio M, Caporaso N, Del Vecchio Blanco C, Coltorti M. Gastric endoscopic features in patients with liver cirrhosis: correlation with esophageal varices, intra-variceal pressure, and liver dysfunction. </w:t>
      </w:r>
      <w:r w:rsidRPr="0062622A">
        <w:rPr>
          <w:rFonts w:ascii="Book Antiqua" w:eastAsia="宋体" w:hAnsi="Book Antiqua" w:cs="Times New Roman"/>
          <w:i/>
          <w:iCs/>
          <w:sz w:val="24"/>
          <w:szCs w:val="24"/>
          <w:lang w:eastAsia="zh-CN"/>
        </w:rPr>
        <w:t>Digestion</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55</w:t>
      </w:r>
      <w:r w:rsidRPr="0062622A">
        <w:rPr>
          <w:rFonts w:ascii="Book Antiqua" w:eastAsia="宋体" w:hAnsi="Book Antiqua" w:cs="Times New Roman"/>
          <w:sz w:val="24"/>
          <w:szCs w:val="24"/>
          <w:lang w:eastAsia="zh-CN"/>
        </w:rPr>
        <w:t>: 115-120 [PMID: 8187974</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10.1159/000201135]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30 </w:t>
      </w:r>
      <w:r w:rsidRPr="0062622A">
        <w:rPr>
          <w:rFonts w:ascii="Book Antiqua" w:eastAsia="宋体" w:hAnsi="Book Antiqua" w:cs="Times New Roman"/>
          <w:b/>
          <w:bCs/>
          <w:sz w:val="24"/>
          <w:szCs w:val="24"/>
          <w:lang w:eastAsia="zh-CN"/>
        </w:rPr>
        <w:t>Gupta R</w:t>
      </w:r>
      <w:r w:rsidRPr="0062622A">
        <w:rPr>
          <w:rFonts w:ascii="Book Antiqua" w:eastAsia="宋体" w:hAnsi="Book Antiqua" w:cs="Times New Roman"/>
          <w:sz w:val="24"/>
          <w:szCs w:val="24"/>
          <w:lang w:eastAsia="zh-CN"/>
        </w:rPr>
        <w:t>, Saraswat VA, Kumar M, Naik SR, Pandey R. Frequency and factors influencing portal hypertensive gastropathy and duodenopathy in cirrhotic portal hypertension.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11</w:t>
      </w:r>
      <w:r w:rsidRPr="0062622A">
        <w:rPr>
          <w:rFonts w:ascii="Book Antiqua" w:eastAsia="宋体" w:hAnsi="Book Antiqua" w:cs="Times New Roman"/>
          <w:sz w:val="24"/>
          <w:szCs w:val="24"/>
          <w:lang w:eastAsia="zh-CN"/>
        </w:rPr>
        <w:t>: 728-733 [PMID: 8872769</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10.1111/j.1440-1746.1996.tb00322.x]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31 </w:t>
      </w:r>
      <w:r w:rsidRPr="0062622A">
        <w:rPr>
          <w:rFonts w:ascii="Book Antiqua" w:eastAsia="宋体" w:hAnsi="Book Antiqua" w:cs="Times New Roman"/>
          <w:b/>
          <w:bCs/>
          <w:sz w:val="24"/>
          <w:szCs w:val="24"/>
          <w:lang w:eastAsia="zh-CN"/>
        </w:rPr>
        <w:t>Iwao T</w:t>
      </w:r>
      <w:r w:rsidRPr="0062622A">
        <w:rPr>
          <w:rFonts w:ascii="Book Antiqua" w:eastAsia="宋体" w:hAnsi="Book Antiqua" w:cs="Times New Roman"/>
          <w:sz w:val="24"/>
          <w:szCs w:val="24"/>
          <w:lang w:eastAsia="zh-CN"/>
        </w:rPr>
        <w:t>, Toyonaga A, Oho K, Sakai T, Tayama C, Masumoto H, Sato M, Nakahara K, Tanikawa K. Portal-hypertensive gastropathy develops less in patients with cirrhosis and fundal varices.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1997; </w:t>
      </w:r>
      <w:r w:rsidRPr="0062622A">
        <w:rPr>
          <w:rFonts w:ascii="Book Antiqua" w:eastAsia="宋体" w:hAnsi="Book Antiqua" w:cs="Times New Roman"/>
          <w:b/>
          <w:bCs/>
          <w:sz w:val="24"/>
          <w:szCs w:val="24"/>
          <w:lang w:eastAsia="zh-CN"/>
        </w:rPr>
        <w:t>26</w:t>
      </w:r>
      <w:r w:rsidRPr="0062622A">
        <w:rPr>
          <w:rFonts w:ascii="Book Antiqua" w:eastAsia="宋体" w:hAnsi="Book Antiqua" w:cs="Times New Roman"/>
          <w:sz w:val="24"/>
          <w:szCs w:val="24"/>
          <w:lang w:eastAsia="zh-CN"/>
        </w:rPr>
        <w:t>: 1235-1241 [PMID: 9210609</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10.1016/S0168-8278(97)80457-6]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32 </w:t>
      </w:r>
      <w:r w:rsidRPr="0062622A">
        <w:rPr>
          <w:rFonts w:ascii="Book Antiqua" w:eastAsia="宋体" w:hAnsi="Book Antiqua" w:cs="Times New Roman"/>
          <w:b/>
          <w:bCs/>
          <w:sz w:val="24"/>
          <w:szCs w:val="24"/>
          <w:lang w:eastAsia="zh-CN"/>
        </w:rPr>
        <w:t>Carpinelli L</w:t>
      </w:r>
      <w:r w:rsidRPr="0062622A">
        <w:rPr>
          <w:rFonts w:ascii="Book Antiqua" w:eastAsia="宋体" w:hAnsi="Book Antiqua" w:cs="Times New Roman"/>
          <w:sz w:val="24"/>
          <w:szCs w:val="24"/>
          <w:lang w:eastAsia="zh-CN"/>
        </w:rPr>
        <w:t>, Primignani M, Preatoni P, Angeli P, Battaglia G, Beretta L, Bortoli A, Capria A, Cestari R, Cosentino F, Crotta S, Gerunda G, Lorenzini I, Maiolo P, Merighi A, Rossi A, Sangiovanni A, de Franchis R. Portal hypertensive gastropathy: reproducibility of a classification, prevalence of elementary lesions, sensitivity and specificity in the diagnosis of cirrhosis of the liver. A NIEC multicentre study. New Italian Endoscopic Club. </w:t>
      </w:r>
      <w:r w:rsidRPr="0062622A">
        <w:rPr>
          <w:rFonts w:ascii="Book Antiqua" w:eastAsia="宋体" w:hAnsi="Book Antiqua" w:cs="Times New Roman"/>
          <w:i/>
          <w:iCs/>
          <w:sz w:val="24"/>
          <w:szCs w:val="24"/>
          <w:lang w:eastAsia="zh-CN"/>
        </w:rPr>
        <w:t>Ital J Gastroenterol Hepatol</w:t>
      </w:r>
      <w:r w:rsidRPr="0062622A">
        <w:rPr>
          <w:rFonts w:ascii="Book Antiqua" w:eastAsia="宋体" w:hAnsi="Book Antiqua" w:cs="Times New Roman"/>
          <w:sz w:val="24"/>
          <w:szCs w:val="24"/>
          <w:lang w:eastAsia="zh-CN"/>
        </w:rPr>
        <w:t> 1997; </w:t>
      </w:r>
      <w:r w:rsidRPr="0062622A">
        <w:rPr>
          <w:rFonts w:ascii="Book Antiqua" w:eastAsia="宋体" w:hAnsi="Book Antiqua" w:cs="Times New Roman"/>
          <w:b/>
          <w:bCs/>
          <w:sz w:val="24"/>
          <w:szCs w:val="24"/>
          <w:lang w:eastAsia="zh-CN"/>
        </w:rPr>
        <w:t>29</w:t>
      </w:r>
      <w:r w:rsidRPr="0062622A">
        <w:rPr>
          <w:rFonts w:ascii="Book Antiqua" w:eastAsia="宋体" w:hAnsi="Book Antiqua" w:cs="Times New Roman"/>
          <w:sz w:val="24"/>
          <w:szCs w:val="24"/>
          <w:lang w:eastAsia="zh-CN"/>
        </w:rPr>
        <w:t>: 533-540 [PMID: 9513828]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33 </w:t>
      </w:r>
      <w:r w:rsidRPr="0062622A">
        <w:rPr>
          <w:rFonts w:ascii="Book Antiqua" w:eastAsia="宋体" w:hAnsi="Book Antiqua" w:cs="Times New Roman"/>
          <w:b/>
          <w:bCs/>
          <w:sz w:val="24"/>
          <w:szCs w:val="24"/>
          <w:lang w:eastAsia="zh-CN"/>
        </w:rPr>
        <w:t>Zaman A</w:t>
      </w:r>
      <w:r w:rsidRPr="0062622A">
        <w:rPr>
          <w:rFonts w:ascii="Book Antiqua" w:eastAsia="宋体" w:hAnsi="Book Antiqua" w:cs="Times New Roman"/>
          <w:sz w:val="24"/>
          <w:szCs w:val="24"/>
          <w:lang w:eastAsia="zh-CN"/>
        </w:rPr>
        <w:t>, Hapke R, Flora K, Rosen H, Benner K. Prevalence of upper and lower gastrointestinal tract findings in liver transplant candidates undergoing screening endoscopic evaluation.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1999; </w:t>
      </w:r>
      <w:r w:rsidRPr="0062622A">
        <w:rPr>
          <w:rFonts w:ascii="Book Antiqua" w:eastAsia="宋体" w:hAnsi="Book Antiqua" w:cs="Times New Roman"/>
          <w:b/>
          <w:bCs/>
          <w:sz w:val="24"/>
          <w:szCs w:val="24"/>
          <w:lang w:eastAsia="zh-CN"/>
        </w:rPr>
        <w:t>94</w:t>
      </w:r>
      <w:r w:rsidRPr="0062622A">
        <w:rPr>
          <w:rFonts w:ascii="Book Antiqua" w:eastAsia="宋体" w:hAnsi="Book Antiqua" w:cs="Times New Roman"/>
          <w:sz w:val="24"/>
          <w:szCs w:val="24"/>
          <w:lang w:eastAsia="zh-CN"/>
        </w:rPr>
        <w:t>: 895-899 [PMID: 10201453</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hint="eastAsia"/>
          <w:sz w:val="24"/>
          <w:szCs w:val="24"/>
          <w:lang w:eastAsia="zh-CN"/>
        </w:rPr>
        <w:t xml:space="preserve">DOI: </w:t>
      </w:r>
      <w:r w:rsidRPr="0062622A">
        <w:rPr>
          <w:rFonts w:ascii="Book Antiqua" w:eastAsia="宋体" w:hAnsi="Book Antiqua" w:cs="Times New Roman"/>
          <w:sz w:val="24"/>
          <w:szCs w:val="24"/>
          <w:lang w:eastAsia="zh-CN"/>
        </w:rPr>
        <w:t>10.1111/j.1572-0241.1999.984_g.x]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34 </w:t>
      </w:r>
      <w:r w:rsidRPr="0062622A">
        <w:rPr>
          <w:rFonts w:ascii="Book Antiqua" w:eastAsia="宋体" w:hAnsi="Book Antiqua" w:cs="Times New Roman"/>
          <w:b/>
          <w:bCs/>
          <w:sz w:val="24"/>
          <w:szCs w:val="24"/>
          <w:lang w:eastAsia="zh-CN"/>
        </w:rPr>
        <w:t>Primignani M</w:t>
      </w:r>
      <w:r w:rsidRPr="0062622A">
        <w:rPr>
          <w:rFonts w:ascii="Book Antiqua" w:eastAsia="宋体" w:hAnsi="Book Antiqua" w:cs="Times New Roman"/>
          <w:sz w:val="24"/>
          <w:szCs w:val="24"/>
          <w:lang w:eastAsia="zh-CN"/>
        </w:rPr>
        <w:t xml:space="preserve">, Carpinelli L, Preatoni P, Battaglia G, Carta A, Prada A, Cestari R, Angeli P, Gatta A, Rossi A, Spinzi G, De Franchis R. Natural history of portal hypertensive gastropathy in patients with liver cirrhosis. The New Italian Endoscopic Club for the study and treatment of esophageal varices </w:t>
      </w:r>
      <w:r w:rsidRPr="0062622A">
        <w:rPr>
          <w:rFonts w:ascii="Book Antiqua" w:eastAsia="宋体" w:hAnsi="Book Antiqua" w:cs="Times New Roman"/>
          <w:sz w:val="24"/>
          <w:szCs w:val="24"/>
          <w:lang w:eastAsia="zh-CN"/>
        </w:rPr>
        <w:lastRenderedPageBreak/>
        <w:t>(NIEC).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2000; </w:t>
      </w:r>
      <w:r w:rsidRPr="0062622A">
        <w:rPr>
          <w:rFonts w:ascii="Book Antiqua" w:eastAsia="宋体" w:hAnsi="Book Antiqua" w:cs="Times New Roman"/>
          <w:b/>
          <w:bCs/>
          <w:sz w:val="24"/>
          <w:szCs w:val="24"/>
          <w:lang w:eastAsia="zh-CN"/>
        </w:rPr>
        <w:t>119</w:t>
      </w:r>
      <w:r w:rsidRPr="0062622A">
        <w:rPr>
          <w:rFonts w:ascii="Book Antiqua" w:eastAsia="宋体" w:hAnsi="Book Antiqua" w:cs="Times New Roman"/>
          <w:sz w:val="24"/>
          <w:szCs w:val="24"/>
          <w:lang w:eastAsia="zh-CN"/>
        </w:rPr>
        <w:t>: 181-187 [PMID: 10889167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10.1053/gast.2000.8555]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35 </w:t>
      </w:r>
      <w:r w:rsidRPr="0062622A">
        <w:rPr>
          <w:rFonts w:ascii="Book Antiqua" w:eastAsia="宋体" w:hAnsi="Book Antiqua" w:cs="Times New Roman"/>
          <w:b/>
          <w:bCs/>
          <w:sz w:val="24"/>
          <w:szCs w:val="24"/>
          <w:lang w:eastAsia="zh-CN"/>
        </w:rPr>
        <w:t>Chaves DM</w:t>
      </w:r>
      <w:r w:rsidRPr="0062622A">
        <w:rPr>
          <w:rFonts w:ascii="Book Antiqua" w:eastAsia="宋体" w:hAnsi="Book Antiqua" w:cs="Times New Roman"/>
          <w:sz w:val="24"/>
          <w:szCs w:val="24"/>
          <w:lang w:eastAsia="zh-CN"/>
        </w:rPr>
        <w:t>, Sakai P, Mucenic M, Iriya K, Iriya Y, Ishioka S. Comparative study of portal hypertensive gastropathy in schistosomiasis and hepatic cirrhosis. </w:t>
      </w:r>
      <w:r w:rsidRPr="0062622A">
        <w:rPr>
          <w:rFonts w:ascii="Book Antiqua" w:eastAsia="宋体" w:hAnsi="Book Antiqua" w:cs="Times New Roman"/>
          <w:i/>
          <w:iCs/>
          <w:sz w:val="24"/>
          <w:szCs w:val="24"/>
          <w:lang w:eastAsia="zh-CN"/>
        </w:rPr>
        <w:t>Endoscopy</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34</w:t>
      </w:r>
      <w:r w:rsidRPr="0062622A">
        <w:rPr>
          <w:rFonts w:ascii="Book Antiqua" w:eastAsia="宋体" w:hAnsi="Book Antiqua" w:cs="Times New Roman"/>
          <w:sz w:val="24"/>
          <w:szCs w:val="24"/>
          <w:lang w:eastAsia="zh-CN"/>
        </w:rPr>
        <w:t>: 199-202 [PMID: 11870569]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36 </w:t>
      </w:r>
      <w:r w:rsidRPr="0062622A">
        <w:rPr>
          <w:rFonts w:ascii="Book Antiqua" w:eastAsia="宋体" w:hAnsi="Book Antiqua" w:cs="Times New Roman"/>
          <w:b/>
          <w:bCs/>
          <w:sz w:val="24"/>
          <w:szCs w:val="24"/>
          <w:lang w:eastAsia="zh-CN"/>
        </w:rPr>
        <w:t>Merkel C</w:t>
      </w:r>
      <w:r w:rsidRPr="0062622A">
        <w:rPr>
          <w:rFonts w:ascii="Book Antiqua" w:eastAsia="宋体" w:hAnsi="Book Antiqua" w:cs="Times New Roman"/>
          <w:sz w:val="24"/>
          <w:szCs w:val="24"/>
          <w:lang w:eastAsia="zh-CN"/>
        </w:rPr>
        <w:t>, Schipilliti M, Bighin R, Bellini B, Angeli P, Bolognesi M, Vescovi F, Gatta A. Portal hypertension and portal hypertensive gastropathy in patients with liver cirrhosis: a haemodynamic study. </w:t>
      </w:r>
      <w:r w:rsidRPr="0062622A">
        <w:rPr>
          <w:rFonts w:ascii="Book Antiqua" w:eastAsia="宋体" w:hAnsi="Book Antiqua" w:cs="Times New Roman"/>
          <w:i/>
          <w:iCs/>
          <w:sz w:val="24"/>
          <w:szCs w:val="24"/>
          <w:lang w:eastAsia="zh-CN"/>
        </w:rPr>
        <w:t>Dig Liver Dis</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35</w:t>
      </w:r>
      <w:r w:rsidRPr="0062622A">
        <w:rPr>
          <w:rFonts w:ascii="Book Antiqua" w:eastAsia="宋体" w:hAnsi="Book Antiqua" w:cs="Times New Roman"/>
          <w:sz w:val="24"/>
          <w:szCs w:val="24"/>
          <w:lang w:eastAsia="zh-CN"/>
        </w:rPr>
        <w:t>: 269-274 [PMID: 12801039</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10.1016/S1590-8658(03)00064-1]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37 </w:t>
      </w:r>
      <w:r w:rsidRPr="0062622A">
        <w:rPr>
          <w:rFonts w:ascii="Book Antiqua" w:eastAsia="宋体" w:hAnsi="Book Antiqua" w:cs="Times New Roman"/>
          <w:b/>
          <w:bCs/>
          <w:sz w:val="24"/>
          <w:szCs w:val="24"/>
          <w:lang w:eastAsia="zh-CN"/>
        </w:rPr>
        <w:t>Merli M</w:t>
      </w:r>
      <w:r w:rsidRPr="0062622A">
        <w:rPr>
          <w:rFonts w:ascii="Book Antiqua" w:eastAsia="宋体" w:hAnsi="Book Antiqua" w:cs="Times New Roman"/>
          <w:sz w:val="24"/>
          <w:szCs w:val="24"/>
          <w:lang w:eastAsia="zh-CN"/>
        </w:rPr>
        <w:t>, Nicolini G, Angeloni S, Gentili F, Attili AF, Riggio O. The natural history of portal hypertensive gastropathy in patients with liver cirrhosis and mild portal hypertension.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2004; </w:t>
      </w:r>
      <w:r w:rsidRPr="0062622A">
        <w:rPr>
          <w:rFonts w:ascii="Book Antiqua" w:eastAsia="宋体" w:hAnsi="Book Antiqua" w:cs="Times New Roman"/>
          <w:b/>
          <w:bCs/>
          <w:sz w:val="24"/>
          <w:szCs w:val="24"/>
          <w:lang w:eastAsia="zh-CN"/>
        </w:rPr>
        <w:t>99</w:t>
      </w:r>
      <w:r w:rsidRPr="0062622A">
        <w:rPr>
          <w:rFonts w:ascii="Book Antiqua" w:eastAsia="宋体" w:hAnsi="Book Antiqua" w:cs="Times New Roman"/>
          <w:sz w:val="24"/>
          <w:szCs w:val="24"/>
          <w:lang w:eastAsia="zh-CN"/>
        </w:rPr>
        <w:t>: 1959-1965 [PMID: 15447756</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10.1111/j.1572-0241.2004.40246.x]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38 </w:t>
      </w:r>
      <w:r w:rsidRPr="0062622A">
        <w:rPr>
          <w:rFonts w:ascii="Book Antiqua" w:eastAsia="宋体" w:hAnsi="Book Antiqua" w:cs="Times New Roman"/>
          <w:b/>
          <w:bCs/>
          <w:sz w:val="24"/>
          <w:szCs w:val="24"/>
          <w:lang w:eastAsia="zh-CN"/>
        </w:rPr>
        <w:t>Ito K</w:t>
      </w:r>
      <w:r w:rsidRPr="0062622A">
        <w:rPr>
          <w:rFonts w:ascii="Book Antiqua" w:eastAsia="宋体" w:hAnsi="Book Antiqua" w:cs="Times New Roman"/>
          <w:sz w:val="24"/>
          <w:szCs w:val="24"/>
          <w:lang w:eastAsia="zh-CN"/>
        </w:rPr>
        <w:t>, Shiraki K, Sakai T, Yoshimura H, Nakano T. Portal hypertensive colopathy in patients with liver cirrhosis. </w:t>
      </w:r>
      <w:r w:rsidRPr="0062622A">
        <w:rPr>
          <w:rFonts w:ascii="Book Antiqua" w:eastAsia="宋体" w:hAnsi="Book Antiqua" w:cs="Times New Roman"/>
          <w:i/>
          <w:iCs/>
          <w:sz w:val="24"/>
          <w:szCs w:val="24"/>
          <w:lang w:eastAsia="zh-CN"/>
        </w:rPr>
        <w:t>World J Gastroenterol</w:t>
      </w:r>
      <w:r w:rsidRPr="0062622A">
        <w:rPr>
          <w:rFonts w:ascii="Book Antiqua" w:eastAsia="宋体" w:hAnsi="Book Antiqua" w:cs="Times New Roman"/>
          <w:sz w:val="24"/>
          <w:szCs w:val="24"/>
          <w:lang w:eastAsia="zh-CN"/>
        </w:rPr>
        <w:t> 2005; </w:t>
      </w:r>
      <w:r w:rsidRPr="0062622A">
        <w:rPr>
          <w:rFonts w:ascii="Book Antiqua" w:eastAsia="宋体" w:hAnsi="Book Antiqua" w:cs="Times New Roman"/>
          <w:b/>
          <w:bCs/>
          <w:sz w:val="24"/>
          <w:szCs w:val="24"/>
          <w:lang w:eastAsia="zh-CN"/>
        </w:rPr>
        <w:t>11</w:t>
      </w:r>
      <w:r w:rsidRPr="0062622A">
        <w:rPr>
          <w:rFonts w:ascii="Book Antiqua" w:eastAsia="宋体" w:hAnsi="Book Antiqua" w:cs="Times New Roman"/>
          <w:sz w:val="24"/>
          <w:szCs w:val="24"/>
          <w:lang w:eastAsia="zh-CN"/>
        </w:rPr>
        <w:t>: 3127-3130 [PMID: 15918202</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10.3748/wjg.v11.i20.3127]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39 </w:t>
      </w:r>
      <w:r w:rsidRPr="0062622A">
        <w:rPr>
          <w:rFonts w:ascii="Book Antiqua" w:eastAsia="宋体" w:hAnsi="Book Antiqua" w:cs="Times New Roman"/>
          <w:b/>
          <w:bCs/>
          <w:sz w:val="24"/>
          <w:szCs w:val="24"/>
          <w:lang w:eastAsia="zh-CN"/>
        </w:rPr>
        <w:t>De Palma GD</w:t>
      </w:r>
      <w:r w:rsidRPr="0062622A">
        <w:rPr>
          <w:rFonts w:ascii="Book Antiqua" w:eastAsia="宋体" w:hAnsi="Book Antiqua" w:cs="Times New Roman"/>
          <w:sz w:val="24"/>
          <w:szCs w:val="24"/>
          <w:lang w:eastAsia="zh-CN"/>
        </w:rPr>
        <w:t>, Rega M, Masone S, Persico F, Siciliano S, Patrone F, Matantuono L, Persico G. Mucosal abnormalities of the small bowel in patients with cirrhosis and portal hypertension: a capsule endoscopy study.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2005; </w:t>
      </w:r>
      <w:r w:rsidRPr="0062622A">
        <w:rPr>
          <w:rFonts w:ascii="Book Antiqua" w:eastAsia="宋体" w:hAnsi="Book Antiqua" w:cs="Times New Roman"/>
          <w:b/>
          <w:bCs/>
          <w:sz w:val="24"/>
          <w:szCs w:val="24"/>
          <w:lang w:eastAsia="zh-CN"/>
        </w:rPr>
        <w:t>62</w:t>
      </w:r>
      <w:r w:rsidRPr="0062622A">
        <w:rPr>
          <w:rFonts w:ascii="Book Antiqua" w:eastAsia="宋体" w:hAnsi="Book Antiqua" w:cs="Times New Roman"/>
          <w:sz w:val="24"/>
          <w:szCs w:val="24"/>
          <w:lang w:eastAsia="zh-CN"/>
        </w:rPr>
        <w:t>: 529-534 [PMID: 16185966</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10.1016/S0016-5107(05)01588-9]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40 </w:t>
      </w:r>
      <w:r w:rsidRPr="0062622A">
        <w:rPr>
          <w:rFonts w:ascii="Book Antiqua" w:eastAsia="宋体" w:hAnsi="Book Antiqua" w:cs="Times New Roman"/>
          <w:b/>
          <w:bCs/>
          <w:sz w:val="24"/>
          <w:szCs w:val="24"/>
          <w:lang w:eastAsia="zh-CN"/>
        </w:rPr>
        <w:t>Menchén L</w:t>
      </w:r>
      <w:r w:rsidRPr="0062622A">
        <w:rPr>
          <w:rFonts w:ascii="Book Antiqua" w:eastAsia="宋体" w:hAnsi="Book Antiqua" w:cs="Times New Roman"/>
          <w:sz w:val="24"/>
          <w:szCs w:val="24"/>
          <w:lang w:eastAsia="zh-CN"/>
        </w:rPr>
        <w:t>, Ripoll C, Marín-Jiménez I, Colón A, Gómez-Camarero J, González-Asanza C, Menchén P, Cos E, Bañares R. Prevalence of portal hypertensive duodenopathy in cirrhosis: clinical and haemodynamic features. </w:t>
      </w:r>
      <w:r w:rsidRPr="0062622A">
        <w:rPr>
          <w:rFonts w:ascii="Book Antiqua" w:eastAsia="宋体" w:hAnsi="Book Antiqua" w:cs="Times New Roman"/>
          <w:i/>
          <w:iCs/>
          <w:sz w:val="24"/>
          <w:szCs w:val="24"/>
          <w:lang w:eastAsia="zh-CN"/>
        </w:rPr>
        <w:t>Eur J Gastroenterol Hepatol</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18</w:t>
      </w:r>
      <w:r w:rsidRPr="0062622A">
        <w:rPr>
          <w:rFonts w:ascii="Book Antiqua" w:eastAsia="宋体" w:hAnsi="Book Antiqua" w:cs="Times New Roman"/>
          <w:sz w:val="24"/>
          <w:szCs w:val="24"/>
          <w:lang w:eastAsia="zh-CN"/>
        </w:rPr>
        <w:t>: 649-653 [PMID: 16702855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10.1097/00042737-200606000-00012]</w:t>
      </w:r>
    </w:p>
    <w:bookmarkEnd w:id="22"/>
    <w:bookmarkEnd w:id="23"/>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41 </w:t>
      </w:r>
      <w:r w:rsidRPr="0062622A">
        <w:rPr>
          <w:rFonts w:ascii="Book Antiqua" w:eastAsia="宋体" w:hAnsi="Book Antiqua" w:cs="Times New Roman"/>
          <w:b/>
          <w:bCs/>
          <w:sz w:val="24"/>
          <w:szCs w:val="24"/>
          <w:lang w:eastAsia="zh-CN"/>
        </w:rPr>
        <w:t>Yüksel O</w:t>
      </w:r>
      <w:r w:rsidRPr="0062622A">
        <w:rPr>
          <w:rFonts w:ascii="Book Antiqua" w:eastAsia="宋体" w:hAnsi="Book Antiqua" w:cs="Times New Roman"/>
          <w:sz w:val="24"/>
          <w:szCs w:val="24"/>
          <w:lang w:eastAsia="zh-CN"/>
        </w:rPr>
        <w:t>, Köklü S, Arhan M, Yolcu OF, Ertuğrul I, Odemiş B, Altiparmak E, Sahin B. Effects of esophageal varice eradication on portal hypertensive gastropathy and fundal varices: a retrospective and comparative study.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51</w:t>
      </w:r>
      <w:r w:rsidRPr="0062622A">
        <w:rPr>
          <w:rFonts w:ascii="Book Antiqua" w:eastAsia="宋体" w:hAnsi="Book Antiqua" w:cs="Times New Roman"/>
          <w:sz w:val="24"/>
          <w:szCs w:val="24"/>
          <w:lang w:eastAsia="zh-CN"/>
        </w:rPr>
        <w:t>: 27-30 [PMID: 16416205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10.1007/s10620-006-3078-2]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42 </w:t>
      </w:r>
      <w:r w:rsidRPr="0062622A">
        <w:rPr>
          <w:rFonts w:ascii="Book Antiqua" w:eastAsia="宋体" w:hAnsi="Book Antiqua" w:cs="Times New Roman"/>
          <w:b/>
          <w:bCs/>
          <w:sz w:val="24"/>
          <w:szCs w:val="24"/>
          <w:lang w:eastAsia="zh-CN"/>
        </w:rPr>
        <w:t>Fontana RJ</w:t>
      </w:r>
      <w:r w:rsidRPr="0062622A">
        <w:rPr>
          <w:rFonts w:ascii="Book Antiqua" w:eastAsia="宋体" w:hAnsi="Book Antiqua" w:cs="Times New Roman"/>
          <w:sz w:val="24"/>
          <w:szCs w:val="24"/>
          <w:lang w:eastAsia="zh-CN"/>
        </w:rPr>
        <w:t xml:space="preserve">, Sanyal AJ, Mehta S, Doherty MC, Neuschwander-Tetri BA, Everson GT, Kahn JA, Malet PF, Sheikh MY, Chung RT, Ghany MG, Gretch DR. Portal hypertensive </w:t>
      </w:r>
      <w:r w:rsidRPr="0062622A">
        <w:rPr>
          <w:rFonts w:ascii="Book Antiqua" w:eastAsia="宋体" w:hAnsi="Book Antiqua" w:cs="Times New Roman"/>
          <w:sz w:val="24"/>
          <w:szCs w:val="24"/>
          <w:lang w:eastAsia="zh-CN"/>
        </w:rPr>
        <w:lastRenderedPageBreak/>
        <w:t>gastropathy in chronic hepatitis C patients with bridging fibrosis and compensated cirrhosis: results from the HALT-C trial.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101</w:t>
      </w:r>
      <w:r w:rsidRPr="0062622A">
        <w:rPr>
          <w:rFonts w:ascii="Book Antiqua" w:eastAsia="宋体" w:hAnsi="Book Antiqua" w:cs="Times New Roman"/>
          <w:sz w:val="24"/>
          <w:szCs w:val="24"/>
          <w:lang w:eastAsia="zh-CN"/>
        </w:rPr>
        <w:t>: 983-992 [PMID: 16573786</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10.1111/j.1572-0241.2006.00461.x]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43 </w:t>
      </w:r>
      <w:r w:rsidRPr="0062622A">
        <w:rPr>
          <w:rFonts w:ascii="Book Antiqua" w:eastAsia="宋体" w:hAnsi="Book Antiqua" w:cs="Times New Roman"/>
          <w:b/>
          <w:bCs/>
          <w:sz w:val="24"/>
          <w:szCs w:val="24"/>
          <w:lang w:eastAsia="zh-CN"/>
        </w:rPr>
        <w:t>Bresci G</w:t>
      </w:r>
      <w:r w:rsidRPr="0062622A">
        <w:rPr>
          <w:rFonts w:ascii="Book Antiqua" w:eastAsia="宋体" w:hAnsi="Book Antiqua" w:cs="Times New Roman"/>
          <w:sz w:val="24"/>
          <w:szCs w:val="24"/>
          <w:lang w:eastAsia="zh-CN"/>
        </w:rPr>
        <w:t>, Parisi G, Capria A. Clinical relevance of colonic lesions in cirrhotic patients with portal hypertension. </w:t>
      </w:r>
      <w:r w:rsidRPr="0062622A">
        <w:rPr>
          <w:rFonts w:ascii="Book Antiqua" w:eastAsia="宋体" w:hAnsi="Book Antiqua" w:cs="Times New Roman"/>
          <w:i/>
          <w:iCs/>
          <w:sz w:val="24"/>
          <w:szCs w:val="24"/>
          <w:lang w:eastAsia="zh-CN"/>
        </w:rPr>
        <w:t>Endoscopy</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38</w:t>
      </w:r>
      <w:r w:rsidRPr="0062622A">
        <w:rPr>
          <w:rFonts w:ascii="Book Antiqua" w:eastAsia="宋体" w:hAnsi="Book Antiqua" w:cs="Times New Roman"/>
          <w:sz w:val="24"/>
          <w:szCs w:val="24"/>
          <w:lang w:eastAsia="zh-CN"/>
        </w:rPr>
        <w:t>: 830-835 [PMID: 17001574</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10.1055/s-2006-944629]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44 </w:t>
      </w:r>
      <w:r w:rsidRPr="0062622A">
        <w:rPr>
          <w:rFonts w:ascii="Book Antiqua" w:eastAsia="宋体" w:hAnsi="Book Antiqua" w:cs="Times New Roman"/>
          <w:b/>
          <w:bCs/>
          <w:sz w:val="24"/>
          <w:szCs w:val="24"/>
          <w:lang w:eastAsia="zh-CN"/>
        </w:rPr>
        <w:t>Akatsu T</w:t>
      </w:r>
      <w:r w:rsidRPr="0062622A">
        <w:rPr>
          <w:rFonts w:ascii="Book Antiqua" w:eastAsia="宋体" w:hAnsi="Book Antiqua" w:cs="Times New Roman"/>
          <w:sz w:val="24"/>
          <w:szCs w:val="24"/>
          <w:lang w:eastAsia="zh-CN"/>
        </w:rPr>
        <w:t>, Yoshida M, Kawachi S, Tanabe M, Shimazu M, Kumai K, Kitajima M. Consequences of living-donor liver transplantation for upper gastrointestinal lesions: high incidence of reflux esophagitis.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51</w:t>
      </w:r>
      <w:r w:rsidRPr="0062622A">
        <w:rPr>
          <w:rFonts w:ascii="Book Antiqua" w:eastAsia="宋体" w:hAnsi="Book Antiqua" w:cs="Times New Roman"/>
          <w:sz w:val="24"/>
          <w:szCs w:val="24"/>
          <w:lang w:eastAsia="zh-CN"/>
        </w:rPr>
        <w:t>: 2018-2022 [PMID: 17024572</w:t>
      </w:r>
      <w:r w:rsidRPr="0062622A">
        <w:rPr>
          <w:rFonts w:ascii="Book Antiqua" w:eastAsia="宋体" w:hAnsi="Book Antiqua" w:cs="Times New Roman" w:hint="eastAsia"/>
          <w:sz w:val="24"/>
          <w:szCs w:val="24"/>
          <w:lang w:eastAsia="zh-CN"/>
        </w:rPr>
        <w:t xml:space="preserve"> DOI:</w:t>
      </w:r>
      <w:r w:rsidRPr="0062622A">
        <w:rPr>
          <w:rFonts w:ascii="Book Antiqua" w:eastAsia="宋体" w:hAnsi="Book Antiqua" w:cs="Times New Roman"/>
          <w:sz w:val="24"/>
          <w:szCs w:val="24"/>
          <w:lang w:eastAsia="zh-CN"/>
        </w:rPr>
        <w:t xml:space="preserve"> 10.1007/s10620-006-9362-3]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45 </w:t>
      </w:r>
      <w:r w:rsidRPr="0062622A">
        <w:rPr>
          <w:rFonts w:ascii="Book Antiqua" w:eastAsia="宋体" w:hAnsi="Book Antiqua" w:cs="Times New Roman"/>
          <w:b/>
          <w:bCs/>
          <w:sz w:val="24"/>
          <w:szCs w:val="24"/>
          <w:lang w:eastAsia="zh-CN"/>
        </w:rPr>
        <w:t>Zardi EM</w:t>
      </w:r>
      <w:r w:rsidRPr="0062622A">
        <w:rPr>
          <w:rFonts w:ascii="Book Antiqua" w:eastAsia="宋体" w:hAnsi="Book Antiqua" w:cs="Times New Roman"/>
          <w:sz w:val="24"/>
          <w:szCs w:val="24"/>
          <w:lang w:eastAsia="zh-CN"/>
        </w:rPr>
        <w:t>, Uwechie V, Gentilucci UV, Dobrina A, Petitti T, Laghi V, Picardi A, Afeltra A. Portal diameter in the diagnosis of esophageal varices in 266 cirrhotic patients: which role? </w:t>
      </w:r>
      <w:r w:rsidRPr="0062622A">
        <w:rPr>
          <w:rFonts w:ascii="Book Antiqua" w:eastAsia="宋体" w:hAnsi="Book Antiqua" w:cs="Times New Roman"/>
          <w:i/>
          <w:iCs/>
          <w:sz w:val="24"/>
          <w:szCs w:val="24"/>
          <w:lang w:eastAsia="zh-CN"/>
        </w:rPr>
        <w:t>Ultrasound Med Biol</w:t>
      </w:r>
      <w:r w:rsidRPr="0062622A">
        <w:rPr>
          <w:rFonts w:ascii="Book Antiqua" w:eastAsia="宋体" w:hAnsi="Book Antiqua" w:cs="Times New Roman"/>
          <w:sz w:val="24"/>
          <w:szCs w:val="24"/>
          <w:lang w:eastAsia="zh-CN"/>
        </w:rPr>
        <w:t> 2007; </w:t>
      </w:r>
      <w:r w:rsidRPr="0062622A">
        <w:rPr>
          <w:rFonts w:ascii="Book Antiqua" w:eastAsia="宋体" w:hAnsi="Book Antiqua" w:cs="Times New Roman"/>
          <w:b/>
          <w:bCs/>
          <w:sz w:val="24"/>
          <w:szCs w:val="24"/>
          <w:lang w:eastAsia="zh-CN"/>
        </w:rPr>
        <w:t>33</w:t>
      </w:r>
      <w:r w:rsidRPr="0062622A">
        <w:rPr>
          <w:rFonts w:ascii="Book Antiqua" w:eastAsia="宋体" w:hAnsi="Book Antiqua" w:cs="Times New Roman"/>
          <w:sz w:val="24"/>
          <w:szCs w:val="24"/>
          <w:lang w:eastAsia="zh-CN"/>
        </w:rPr>
        <w:t>: 506-511 [PMID: 17337112</w:t>
      </w:r>
      <w:r w:rsidRPr="0062622A">
        <w:rPr>
          <w:rFonts w:ascii="Book Antiqua" w:eastAsia="宋体" w:hAnsi="Book Antiqua" w:cs="Times New Roman" w:hint="eastAsia"/>
          <w:sz w:val="24"/>
          <w:szCs w:val="24"/>
          <w:lang w:eastAsia="zh-CN"/>
        </w:rPr>
        <w:t xml:space="preserve"> DOI:</w:t>
      </w:r>
      <w:r w:rsidRPr="0062622A">
        <w:rPr>
          <w:rFonts w:ascii="Book Antiqua" w:eastAsia="宋体" w:hAnsi="Book Antiqua" w:cs="Times New Roman"/>
          <w:sz w:val="24"/>
          <w:szCs w:val="24"/>
          <w:lang w:eastAsia="zh-CN"/>
        </w:rPr>
        <w:t xml:space="preserve"> 10.1016/j.ultrasmedbio.2006.10.002]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46 </w:t>
      </w:r>
      <w:r w:rsidRPr="0062622A">
        <w:rPr>
          <w:rFonts w:ascii="Book Antiqua" w:eastAsia="宋体" w:hAnsi="Book Antiqua" w:cs="Times New Roman"/>
          <w:b/>
          <w:bCs/>
          <w:sz w:val="24"/>
          <w:szCs w:val="24"/>
          <w:lang w:eastAsia="zh-CN"/>
        </w:rPr>
        <w:t>Barakat M</w:t>
      </w:r>
      <w:r w:rsidRPr="0062622A">
        <w:rPr>
          <w:rFonts w:ascii="Book Antiqua" w:eastAsia="宋体" w:hAnsi="Book Antiqua" w:cs="Times New Roman"/>
          <w:sz w:val="24"/>
          <w:szCs w:val="24"/>
          <w:lang w:eastAsia="zh-CN"/>
        </w:rPr>
        <w:t>, Mostafa M, Mahran Z, Soliman AG. Portal hypertensive duodenopathy: clinical, endoscopic, and histopathologic profiles.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2007; </w:t>
      </w:r>
      <w:r w:rsidRPr="0062622A">
        <w:rPr>
          <w:rFonts w:ascii="Book Antiqua" w:eastAsia="宋体" w:hAnsi="Book Antiqua" w:cs="Times New Roman"/>
          <w:b/>
          <w:bCs/>
          <w:sz w:val="24"/>
          <w:szCs w:val="24"/>
          <w:lang w:eastAsia="zh-CN"/>
        </w:rPr>
        <w:t>102</w:t>
      </w:r>
      <w:r w:rsidRPr="0062622A">
        <w:rPr>
          <w:rFonts w:ascii="Book Antiqua" w:eastAsia="宋体" w:hAnsi="Book Antiqua" w:cs="Times New Roman"/>
          <w:sz w:val="24"/>
          <w:szCs w:val="24"/>
          <w:lang w:eastAsia="zh-CN"/>
        </w:rPr>
        <w:t>: 2793-2802 [PMID: 17900330</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10.1111/j.1572-0241.2007.01536.x]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47 </w:t>
      </w:r>
      <w:r w:rsidRPr="0062622A">
        <w:rPr>
          <w:rFonts w:ascii="Book Antiqua" w:eastAsia="宋体" w:hAnsi="Book Antiqua" w:cs="Times New Roman"/>
          <w:b/>
          <w:bCs/>
          <w:sz w:val="24"/>
          <w:szCs w:val="24"/>
          <w:lang w:eastAsia="zh-CN"/>
        </w:rPr>
        <w:t>Bellis L</w:t>
      </w:r>
      <w:r w:rsidRPr="0062622A">
        <w:rPr>
          <w:rFonts w:ascii="Book Antiqua" w:eastAsia="宋体" w:hAnsi="Book Antiqua" w:cs="Times New Roman"/>
          <w:sz w:val="24"/>
          <w:szCs w:val="24"/>
          <w:lang w:eastAsia="zh-CN"/>
        </w:rPr>
        <w:t>, Nicodemo S, Galossi A, Guarisco R, Spilabotti L, Durola L, Dell'Unto O, Puoti C. Hepatic venous pressure gradient does not correlate with the presence and the severity of portal hypertensive gastropathy in patients with liver cirrhosis. </w:t>
      </w:r>
      <w:r w:rsidRPr="0062622A">
        <w:rPr>
          <w:rFonts w:ascii="Book Antiqua" w:eastAsia="宋体" w:hAnsi="Book Antiqua" w:cs="Times New Roman"/>
          <w:i/>
          <w:iCs/>
          <w:sz w:val="24"/>
          <w:szCs w:val="24"/>
          <w:lang w:eastAsia="zh-CN"/>
        </w:rPr>
        <w:t>J Gastrointestin Liver Dis</w:t>
      </w:r>
      <w:r w:rsidRPr="0062622A">
        <w:rPr>
          <w:rFonts w:ascii="Book Antiqua" w:eastAsia="宋体" w:hAnsi="Book Antiqua" w:cs="Times New Roman"/>
          <w:sz w:val="24"/>
          <w:szCs w:val="24"/>
          <w:lang w:eastAsia="zh-CN"/>
        </w:rPr>
        <w:t> 2007; </w:t>
      </w:r>
      <w:r w:rsidRPr="0062622A">
        <w:rPr>
          <w:rFonts w:ascii="Book Antiqua" w:eastAsia="宋体" w:hAnsi="Book Antiqua" w:cs="Times New Roman"/>
          <w:b/>
          <w:bCs/>
          <w:sz w:val="24"/>
          <w:szCs w:val="24"/>
          <w:lang w:eastAsia="zh-CN"/>
        </w:rPr>
        <w:t>16</w:t>
      </w:r>
      <w:r w:rsidRPr="0062622A">
        <w:rPr>
          <w:rFonts w:ascii="Book Antiqua" w:eastAsia="宋体" w:hAnsi="Book Antiqua" w:cs="Times New Roman"/>
          <w:sz w:val="24"/>
          <w:szCs w:val="24"/>
          <w:lang w:eastAsia="zh-CN"/>
        </w:rPr>
        <w:t>: 273-277 [PMID: 17925921]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48 </w:t>
      </w:r>
      <w:r w:rsidRPr="0062622A">
        <w:rPr>
          <w:rFonts w:ascii="Book Antiqua" w:eastAsia="宋体" w:hAnsi="Book Antiqua" w:cs="Times New Roman"/>
          <w:b/>
          <w:bCs/>
          <w:sz w:val="24"/>
          <w:szCs w:val="24"/>
          <w:lang w:eastAsia="zh-CN"/>
        </w:rPr>
        <w:t>Gravante G</w:t>
      </w:r>
      <w:r w:rsidRPr="0062622A">
        <w:rPr>
          <w:rFonts w:ascii="Book Antiqua" w:eastAsia="宋体" w:hAnsi="Book Antiqua" w:cs="Times New Roman"/>
          <w:sz w:val="24"/>
          <w:szCs w:val="24"/>
          <w:lang w:eastAsia="zh-CN"/>
        </w:rPr>
        <w:t>, Delogu D, Venditti D. Upper and lower gastrointestinal diseases in liver transplant candidates. </w:t>
      </w:r>
      <w:r w:rsidRPr="0062622A">
        <w:rPr>
          <w:rFonts w:ascii="Book Antiqua" w:eastAsia="宋体" w:hAnsi="Book Antiqua" w:cs="Times New Roman"/>
          <w:i/>
          <w:iCs/>
          <w:sz w:val="24"/>
          <w:szCs w:val="24"/>
          <w:lang w:eastAsia="zh-CN"/>
        </w:rPr>
        <w:t>Int J Colorectal Dis</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23</w:t>
      </w:r>
      <w:r w:rsidRPr="0062622A">
        <w:rPr>
          <w:rFonts w:ascii="Book Antiqua" w:eastAsia="宋体" w:hAnsi="Book Antiqua" w:cs="Times New Roman"/>
          <w:sz w:val="24"/>
          <w:szCs w:val="24"/>
          <w:lang w:eastAsia="zh-CN"/>
        </w:rPr>
        <w:t>: 201-206 [PMID: 17932680</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10.1007/s00384-007-0386-8]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49 </w:t>
      </w:r>
      <w:r w:rsidRPr="0062622A">
        <w:rPr>
          <w:rFonts w:ascii="Book Antiqua" w:eastAsia="宋体" w:hAnsi="Book Antiqua" w:cs="Times New Roman"/>
          <w:b/>
          <w:bCs/>
          <w:sz w:val="24"/>
          <w:szCs w:val="24"/>
          <w:lang w:eastAsia="zh-CN"/>
        </w:rPr>
        <w:t>Canlas KR</w:t>
      </w:r>
      <w:r w:rsidRPr="0062622A">
        <w:rPr>
          <w:rFonts w:ascii="Book Antiqua" w:eastAsia="宋体" w:hAnsi="Book Antiqua" w:cs="Times New Roman"/>
          <w:sz w:val="24"/>
          <w:szCs w:val="24"/>
          <w:lang w:eastAsia="zh-CN"/>
        </w:rPr>
        <w:t>, Dobozi BM, Lin S, Smith AD, Rockey DC, Muir AJ, Agrawal NM, Poleski MH, Patel K, McHutchison JG. Using capsule endoscopy to identify GI tract lesions in cirrhotic patients with portal hypertension and chronic anemia. </w:t>
      </w:r>
      <w:r w:rsidRPr="0062622A">
        <w:rPr>
          <w:rFonts w:ascii="Book Antiqua" w:eastAsia="宋体" w:hAnsi="Book Antiqua" w:cs="Times New Roman"/>
          <w:i/>
          <w:iCs/>
          <w:sz w:val="24"/>
          <w:szCs w:val="24"/>
          <w:lang w:eastAsia="zh-CN"/>
        </w:rPr>
        <w:t>J Clin Gastroenterol</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42</w:t>
      </w:r>
      <w:r w:rsidRPr="0062622A">
        <w:rPr>
          <w:rFonts w:ascii="Book Antiqua" w:eastAsia="宋体" w:hAnsi="Book Antiqua" w:cs="Times New Roman"/>
          <w:sz w:val="24"/>
          <w:szCs w:val="24"/>
          <w:lang w:eastAsia="zh-CN"/>
        </w:rPr>
        <w:t>: 844-848 [PMID: 18277884 DOI: 10.1097/MCG.0b013e318038d312]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50 </w:t>
      </w:r>
      <w:r w:rsidRPr="0062622A">
        <w:rPr>
          <w:rFonts w:ascii="Book Antiqua" w:eastAsia="宋体" w:hAnsi="Book Antiqua" w:cs="Times New Roman"/>
          <w:b/>
          <w:bCs/>
          <w:sz w:val="24"/>
          <w:szCs w:val="24"/>
          <w:lang w:eastAsia="zh-CN"/>
        </w:rPr>
        <w:t>Kim TU</w:t>
      </w:r>
      <w:r w:rsidRPr="0062622A">
        <w:rPr>
          <w:rFonts w:ascii="Book Antiqua" w:eastAsia="宋体" w:hAnsi="Book Antiqua" w:cs="Times New Roman"/>
          <w:sz w:val="24"/>
          <w:szCs w:val="24"/>
          <w:lang w:eastAsia="zh-CN"/>
        </w:rPr>
        <w:t>, Kim S, Woo SK, Lee JW, Lee TH, Jeong YJ, Heo J. Dynamic CT of portal hypertensive gastropathy: significance of transient gastric perfusion defect sign. </w:t>
      </w:r>
      <w:r w:rsidRPr="0062622A">
        <w:rPr>
          <w:rFonts w:ascii="Book Antiqua" w:eastAsia="宋体" w:hAnsi="Book Antiqua" w:cs="Times New Roman"/>
          <w:i/>
          <w:iCs/>
          <w:sz w:val="24"/>
          <w:szCs w:val="24"/>
          <w:lang w:eastAsia="zh-CN"/>
        </w:rPr>
        <w:t>Clin Radiol</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63</w:t>
      </w:r>
      <w:r w:rsidRPr="0062622A">
        <w:rPr>
          <w:rFonts w:ascii="Book Antiqua" w:eastAsia="宋体" w:hAnsi="Book Antiqua" w:cs="Times New Roman"/>
          <w:sz w:val="24"/>
          <w:szCs w:val="24"/>
          <w:lang w:eastAsia="zh-CN"/>
        </w:rPr>
        <w:t>: 783-790 [PMID: 18555036 DOI: 10.1016/j.crad.2008.02.003]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51 </w:t>
      </w:r>
      <w:r w:rsidRPr="0062622A">
        <w:rPr>
          <w:rFonts w:ascii="Book Antiqua" w:eastAsia="宋体" w:hAnsi="Book Antiqua" w:cs="Times New Roman"/>
          <w:b/>
          <w:bCs/>
          <w:sz w:val="24"/>
          <w:szCs w:val="24"/>
          <w:lang w:eastAsia="zh-CN"/>
        </w:rPr>
        <w:t>Higaki N</w:t>
      </w:r>
      <w:r w:rsidRPr="0062622A">
        <w:rPr>
          <w:rFonts w:ascii="Book Antiqua" w:eastAsia="宋体" w:hAnsi="Book Antiqua" w:cs="Times New Roman"/>
          <w:sz w:val="24"/>
          <w:szCs w:val="24"/>
          <w:lang w:eastAsia="zh-CN"/>
        </w:rPr>
        <w:t>, Matsui H, Imaoka H, Ikeda Y, Murakami H, Hiasa Y, Matsuura B, Onji M. Characteristic endoscopic features of portal hypertensive enteropathy. </w:t>
      </w:r>
      <w:r w:rsidRPr="0062622A">
        <w:rPr>
          <w:rFonts w:ascii="Book Antiqua" w:eastAsia="宋体" w:hAnsi="Book Antiqua" w:cs="Times New Roman"/>
          <w:i/>
          <w:iCs/>
          <w:sz w:val="24"/>
          <w:szCs w:val="24"/>
          <w:lang w:eastAsia="zh-CN"/>
        </w:rPr>
        <w:t>J Gastroenterol</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43</w:t>
      </w:r>
      <w:r w:rsidRPr="0062622A">
        <w:rPr>
          <w:rFonts w:ascii="Book Antiqua" w:eastAsia="宋体" w:hAnsi="Book Antiqua" w:cs="Times New Roman"/>
          <w:sz w:val="24"/>
          <w:szCs w:val="24"/>
          <w:lang w:eastAsia="zh-CN"/>
        </w:rPr>
        <w:t>: 327-331 [PMID: 18592149 DOI: 10.1007/s00535-008-2166-9]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52 </w:t>
      </w:r>
      <w:r w:rsidRPr="0062622A">
        <w:rPr>
          <w:rFonts w:ascii="Book Antiqua" w:eastAsia="宋体" w:hAnsi="Book Antiqua" w:cs="Times New Roman"/>
          <w:b/>
          <w:bCs/>
          <w:sz w:val="24"/>
          <w:szCs w:val="24"/>
          <w:lang w:eastAsia="zh-CN"/>
        </w:rPr>
        <w:t>Frenette CT</w:t>
      </w:r>
      <w:r w:rsidRPr="0062622A">
        <w:rPr>
          <w:rFonts w:ascii="Book Antiqua" w:eastAsia="宋体" w:hAnsi="Book Antiqua" w:cs="Times New Roman"/>
          <w:sz w:val="24"/>
          <w:szCs w:val="24"/>
          <w:lang w:eastAsia="zh-CN"/>
        </w:rPr>
        <w:t>, Kuldau JG, Hillebrand DJ, Lane J, Pockros PJ. Comparison of esophageal capsule endoscopy and esophagogastroduodenoscopy for diagnosis of esophageal varices. </w:t>
      </w:r>
      <w:r w:rsidRPr="0062622A">
        <w:rPr>
          <w:rFonts w:ascii="Book Antiqua" w:eastAsia="宋体" w:hAnsi="Book Antiqua" w:cs="Times New Roman"/>
          <w:i/>
          <w:iCs/>
          <w:sz w:val="24"/>
          <w:szCs w:val="24"/>
          <w:lang w:eastAsia="zh-CN"/>
        </w:rPr>
        <w:t>World J Gastroenterol</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14</w:t>
      </w:r>
      <w:r w:rsidRPr="0062622A">
        <w:rPr>
          <w:rFonts w:ascii="Book Antiqua" w:eastAsia="宋体" w:hAnsi="Book Antiqua" w:cs="Times New Roman"/>
          <w:sz w:val="24"/>
          <w:szCs w:val="24"/>
          <w:lang w:eastAsia="zh-CN"/>
        </w:rPr>
        <w:t>: 4480-4485 [PMID: 18680226</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10.3748/wjg.14.4480]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53 </w:t>
      </w:r>
      <w:r w:rsidRPr="0062622A">
        <w:rPr>
          <w:rFonts w:ascii="Book Antiqua" w:eastAsia="宋体" w:hAnsi="Book Antiqua" w:cs="Times New Roman"/>
          <w:b/>
          <w:bCs/>
          <w:sz w:val="24"/>
          <w:szCs w:val="24"/>
          <w:lang w:eastAsia="zh-CN"/>
        </w:rPr>
        <w:t>Tarantino G</w:t>
      </w:r>
      <w:r w:rsidRPr="0062622A">
        <w:rPr>
          <w:rFonts w:ascii="Book Antiqua" w:eastAsia="宋体" w:hAnsi="Book Antiqua" w:cs="Times New Roman"/>
          <w:sz w:val="24"/>
          <w:szCs w:val="24"/>
          <w:lang w:eastAsia="zh-CN"/>
        </w:rPr>
        <w:t>, Citro V, Esposito P, Giaquinto S, de Leone A, Milan G, Tripodi FS, Cirillo M, Lobello R. Blood ammonia levels in liver cirrhosis: a clue for the presence of portosystemic collateral veins. </w:t>
      </w:r>
      <w:r w:rsidRPr="0062622A">
        <w:rPr>
          <w:rFonts w:ascii="Book Antiqua" w:eastAsia="宋体" w:hAnsi="Book Antiqua" w:cs="Times New Roman"/>
          <w:i/>
          <w:iCs/>
          <w:sz w:val="24"/>
          <w:szCs w:val="24"/>
          <w:lang w:eastAsia="zh-CN"/>
        </w:rPr>
        <w:t>BMC Gastroenterol</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9</w:t>
      </w:r>
      <w:r w:rsidRPr="0062622A">
        <w:rPr>
          <w:rFonts w:ascii="Book Antiqua" w:eastAsia="宋体" w:hAnsi="Book Antiqua" w:cs="Times New Roman"/>
          <w:sz w:val="24"/>
          <w:szCs w:val="24"/>
          <w:lang w:eastAsia="zh-CN"/>
        </w:rPr>
        <w:t>: 21 [PMID: 19292923 DOI: 10.1186/1471-230X-9-21]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54 </w:t>
      </w:r>
      <w:r w:rsidRPr="0062622A">
        <w:rPr>
          <w:rFonts w:ascii="Book Antiqua" w:eastAsia="宋体" w:hAnsi="Book Antiqua" w:cs="Times New Roman"/>
          <w:b/>
          <w:bCs/>
          <w:sz w:val="24"/>
          <w:szCs w:val="24"/>
          <w:lang w:eastAsia="zh-CN"/>
        </w:rPr>
        <w:t>Curvêlo LA</w:t>
      </w:r>
      <w:r w:rsidRPr="0062622A">
        <w:rPr>
          <w:rFonts w:ascii="Book Antiqua" w:eastAsia="宋体" w:hAnsi="Book Antiqua" w:cs="Times New Roman"/>
          <w:sz w:val="24"/>
          <w:szCs w:val="24"/>
          <w:lang w:eastAsia="zh-CN"/>
        </w:rPr>
        <w:t>, Brabosa W, Rhor R, Lanzoni V, Parise ER, Ferrari AP, Kondo M. Underlying mechanism of portal hypertensive gastropathy in cirrhosis: a hemodynamic and morphological approach.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24</w:t>
      </w:r>
      <w:r w:rsidRPr="0062622A">
        <w:rPr>
          <w:rFonts w:ascii="Book Antiqua" w:eastAsia="宋体" w:hAnsi="Book Antiqua" w:cs="Times New Roman"/>
          <w:sz w:val="24"/>
          <w:szCs w:val="24"/>
          <w:lang w:eastAsia="zh-CN"/>
        </w:rPr>
        <w:t>: 1541-1546 [PMID: 19743998 DOI: 10.1111/j.1440-1746.2009.05871.x]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55 </w:t>
      </w:r>
      <w:r w:rsidRPr="0062622A">
        <w:rPr>
          <w:rFonts w:ascii="Book Antiqua" w:eastAsia="宋体" w:hAnsi="Book Antiqua" w:cs="Times New Roman"/>
          <w:b/>
          <w:bCs/>
          <w:sz w:val="24"/>
          <w:szCs w:val="24"/>
          <w:lang w:eastAsia="zh-CN"/>
        </w:rPr>
        <w:t>Anegawa G</w:t>
      </w:r>
      <w:r w:rsidRPr="0062622A">
        <w:rPr>
          <w:rFonts w:ascii="Book Antiqua" w:eastAsia="宋体" w:hAnsi="Book Antiqua" w:cs="Times New Roman"/>
          <w:sz w:val="24"/>
          <w:szCs w:val="24"/>
          <w:lang w:eastAsia="zh-CN"/>
        </w:rPr>
        <w:t>, Kawanaka H, Uehara H, Akahoshi T, Konishi K, Yoshida D, Kinjo N, Hashimoto N, Tomikawa M, Hashizume M, Maehara Y. Effect of laparoscopic splenectomy on portal hypertensive gastropathy in cirrhotic patients with portal hypertension.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24</w:t>
      </w:r>
      <w:r w:rsidRPr="0062622A">
        <w:rPr>
          <w:rFonts w:ascii="Book Antiqua" w:eastAsia="宋体" w:hAnsi="Book Antiqua" w:cs="Times New Roman"/>
          <w:sz w:val="24"/>
          <w:szCs w:val="24"/>
          <w:lang w:eastAsia="zh-CN"/>
        </w:rPr>
        <w:t>: 1554-1558 [PMID: 19743999 DOI: 10.1111/j.1440-1746.2009.05906.x]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56 </w:t>
      </w:r>
      <w:r w:rsidRPr="0062622A">
        <w:rPr>
          <w:rFonts w:ascii="Book Antiqua" w:eastAsia="宋体" w:hAnsi="Book Antiqua" w:cs="Times New Roman"/>
          <w:b/>
          <w:bCs/>
          <w:sz w:val="24"/>
          <w:szCs w:val="24"/>
          <w:lang w:eastAsia="zh-CN"/>
        </w:rPr>
        <w:t>Kumar A</w:t>
      </w:r>
      <w:r w:rsidRPr="0062622A">
        <w:rPr>
          <w:rFonts w:ascii="Book Antiqua" w:eastAsia="宋体" w:hAnsi="Book Antiqua" w:cs="Times New Roman"/>
          <w:sz w:val="24"/>
          <w:szCs w:val="24"/>
          <w:lang w:eastAsia="zh-CN"/>
        </w:rPr>
        <w:t>, Mishra SR, Sharma P, Sharma BC, Sarin SK. Clinical, laboratory, and hemodynamic parameters in portal hypertensive gastropathy: a study of 254 cirrhotics. </w:t>
      </w:r>
      <w:r w:rsidRPr="0062622A">
        <w:rPr>
          <w:rFonts w:ascii="Book Antiqua" w:eastAsia="宋体" w:hAnsi="Book Antiqua" w:cs="Times New Roman"/>
          <w:i/>
          <w:iCs/>
          <w:sz w:val="24"/>
          <w:szCs w:val="24"/>
          <w:lang w:eastAsia="zh-CN"/>
        </w:rPr>
        <w:t>J Clin Gastroenterol</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44</w:t>
      </w:r>
      <w:r w:rsidRPr="0062622A">
        <w:rPr>
          <w:rFonts w:ascii="Book Antiqua" w:eastAsia="宋体" w:hAnsi="Book Antiqua" w:cs="Times New Roman"/>
          <w:sz w:val="24"/>
          <w:szCs w:val="24"/>
          <w:lang w:eastAsia="zh-CN"/>
        </w:rPr>
        <w:t>: 294-300 [PMID: 19730114 DOI: 10.1097/MCG.0b013e3181b37ea1]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57 </w:t>
      </w:r>
      <w:r w:rsidRPr="0062622A">
        <w:rPr>
          <w:rFonts w:ascii="Book Antiqua" w:eastAsia="宋体" w:hAnsi="Book Antiqua" w:cs="Times New Roman"/>
          <w:b/>
          <w:bCs/>
          <w:sz w:val="24"/>
          <w:szCs w:val="24"/>
          <w:lang w:eastAsia="zh-CN"/>
        </w:rPr>
        <w:t>Kim MY</w:t>
      </w:r>
      <w:r w:rsidRPr="0062622A">
        <w:rPr>
          <w:rFonts w:ascii="Book Antiqua" w:eastAsia="宋体" w:hAnsi="Book Antiqua" w:cs="Times New Roman"/>
          <w:sz w:val="24"/>
          <w:szCs w:val="24"/>
          <w:lang w:eastAsia="zh-CN"/>
        </w:rPr>
        <w:t xml:space="preserve">, Choi H, Baik SK, Yea CJ, Won CS, Byun JW, Park SY, Kwon YH, Kim JW, Kim HS, Kwon SO, Kim YJ, Cha SH, Chang SJ. Portal hypertensive gastropathy: </w:t>
      </w:r>
      <w:r w:rsidRPr="0062622A">
        <w:rPr>
          <w:rFonts w:ascii="Book Antiqua" w:eastAsia="宋体" w:hAnsi="Book Antiqua" w:cs="Times New Roman"/>
          <w:sz w:val="24"/>
          <w:szCs w:val="24"/>
          <w:lang w:eastAsia="zh-CN"/>
        </w:rPr>
        <w:lastRenderedPageBreak/>
        <w:t>correlation with portal hypertension and prognosis in cirrhosis.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55</w:t>
      </w:r>
      <w:r w:rsidRPr="0062622A">
        <w:rPr>
          <w:rFonts w:ascii="Book Antiqua" w:eastAsia="宋体" w:hAnsi="Book Antiqua" w:cs="Times New Roman"/>
          <w:sz w:val="24"/>
          <w:szCs w:val="24"/>
          <w:lang w:eastAsia="zh-CN"/>
        </w:rPr>
        <w:t>: 3561-3567 [PMID: 20407828</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10.1007/s10620-010-1221-6]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58 </w:t>
      </w:r>
      <w:r w:rsidRPr="0062622A">
        <w:rPr>
          <w:rFonts w:ascii="Book Antiqua" w:eastAsia="宋体" w:hAnsi="Book Antiqua" w:cs="Times New Roman"/>
          <w:b/>
          <w:bCs/>
          <w:sz w:val="24"/>
          <w:szCs w:val="24"/>
          <w:lang w:eastAsia="zh-CN"/>
        </w:rPr>
        <w:t>De Lisi S</w:t>
      </w:r>
      <w:r w:rsidRPr="0062622A">
        <w:rPr>
          <w:rFonts w:ascii="Book Antiqua" w:eastAsia="宋体" w:hAnsi="Book Antiqua" w:cs="Times New Roman"/>
          <w:sz w:val="24"/>
          <w:szCs w:val="24"/>
          <w:lang w:eastAsia="zh-CN"/>
        </w:rPr>
        <w:t>, Peralta S, Arini A, Simone F, Craxì A. Oesophagogastroduodenoscopy in patients with cirrhosis: Extending the range of detection beyond portal hypertension. </w:t>
      </w:r>
      <w:r w:rsidRPr="0062622A">
        <w:rPr>
          <w:rFonts w:ascii="Book Antiqua" w:eastAsia="宋体" w:hAnsi="Book Antiqua" w:cs="Times New Roman"/>
          <w:i/>
          <w:iCs/>
          <w:sz w:val="24"/>
          <w:szCs w:val="24"/>
          <w:lang w:eastAsia="zh-CN"/>
        </w:rPr>
        <w:t>Dig Liver Dis</w:t>
      </w:r>
      <w:r w:rsidRPr="0062622A">
        <w:rPr>
          <w:rFonts w:ascii="Book Antiqua" w:eastAsia="宋体" w:hAnsi="Book Antiqua" w:cs="Times New Roman"/>
          <w:sz w:val="24"/>
          <w:szCs w:val="24"/>
          <w:lang w:eastAsia="zh-CN"/>
        </w:rPr>
        <w:t> 2011; </w:t>
      </w:r>
      <w:r w:rsidRPr="0062622A">
        <w:rPr>
          <w:rFonts w:ascii="Book Antiqua" w:eastAsia="宋体" w:hAnsi="Book Antiqua" w:cs="Times New Roman"/>
          <w:b/>
          <w:bCs/>
          <w:sz w:val="24"/>
          <w:szCs w:val="24"/>
          <w:lang w:eastAsia="zh-CN"/>
        </w:rPr>
        <w:t>43</w:t>
      </w:r>
      <w:r w:rsidRPr="0062622A">
        <w:rPr>
          <w:rFonts w:ascii="Book Antiqua" w:eastAsia="宋体" w:hAnsi="Book Antiqua" w:cs="Times New Roman"/>
          <w:sz w:val="24"/>
          <w:szCs w:val="24"/>
          <w:lang w:eastAsia="zh-CN"/>
        </w:rPr>
        <w:t>: 48-53 [PMID: 20471338 DOI: 10.1016/j.dld.2010.04.004]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59 </w:t>
      </w:r>
      <w:r w:rsidRPr="0062622A">
        <w:rPr>
          <w:rFonts w:ascii="Book Antiqua" w:eastAsia="宋体" w:hAnsi="Book Antiqua" w:cs="Times New Roman"/>
          <w:b/>
          <w:bCs/>
          <w:sz w:val="24"/>
          <w:szCs w:val="24"/>
          <w:lang w:eastAsia="zh-CN"/>
        </w:rPr>
        <w:t>Abbasi A</w:t>
      </w:r>
      <w:r w:rsidRPr="0062622A">
        <w:rPr>
          <w:rFonts w:ascii="Book Antiqua" w:eastAsia="宋体" w:hAnsi="Book Antiqua" w:cs="Times New Roman"/>
          <w:sz w:val="24"/>
          <w:szCs w:val="24"/>
          <w:lang w:eastAsia="zh-CN"/>
        </w:rPr>
        <w:t>, Butt N, Bhutto AR, Munir SM. Correlation of thrombocytopenia with grading of esophageal varices in chronic liver disease patients. </w:t>
      </w:r>
      <w:r w:rsidRPr="0062622A">
        <w:rPr>
          <w:rFonts w:ascii="Book Antiqua" w:eastAsia="宋体" w:hAnsi="Book Antiqua" w:cs="Times New Roman"/>
          <w:i/>
          <w:iCs/>
          <w:sz w:val="24"/>
          <w:szCs w:val="24"/>
          <w:lang w:eastAsia="zh-CN"/>
        </w:rPr>
        <w:t>J Coll Physicians Surg Pak</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20</w:t>
      </w:r>
      <w:r w:rsidRPr="0062622A">
        <w:rPr>
          <w:rFonts w:ascii="Book Antiqua" w:eastAsia="宋体" w:hAnsi="Book Antiqua" w:cs="Times New Roman"/>
          <w:sz w:val="24"/>
          <w:szCs w:val="24"/>
          <w:lang w:eastAsia="zh-CN"/>
        </w:rPr>
        <w:t>: 369-372 [PMID: 20642964 DOI: 06.2010/JCPSP.369372]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60 </w:t>
      </w:r>
      <w:r w:rsidRPr="0062622A">
        <w:rPr>
          <w:rFonts w:ascii="Book Antiqua" w:eastAsia="宋体" w:hAnsi="Book Antiqua" w:cs="Times New Roman"/>
          <w:b/>
          <w:bCs/>
          <w:sz w:val="24"/>
          <w:szCs w:val="24"/>
          <w:lang w:eastAsia="zh-CN"/>
        </w:rPr>
        <w:t>Ahmed S</w:t>
      </w:r>
      <w:r w:rsidRPr="0062622A">
        <w:rPr>
          <w:rFonts w:ascii="Book Antiqua" w:eastAsia="宋体" w:hAnsi="Book Antiqua" w:cs="Times New Roman"/>
          <w:sz w:val="24"/>
          <w:szCs w:val="24"/>
          <w:lang w:eastAsia="zh-CN"/>
        </w:rPr>
        <w:t>, Mumtaz K, Ahmed US, Shah HA, Abid S, Hamid S, Jafri W. Frequency and characteristic features of portal hypertensive gastropathy in patients with viral cirrhosis. </w:t>
      </w:r>
      <w:r w:rsidRPr="0062622A">
        <w:rPr>
          <w:rFonts w:ascii="Book Antiqua" w:eastAsia="宋体" w:hAnsi="Book Antiqua" w:cs="Times New Roman"/>
          <w:i/>
          <w:iCs/>
          <w:sz w:val="24"/>
          <w:szCs w:val="24"/>
          <w:lang w:eastAsia="zh-CN"/>
        </w:rPr>
        <w:t>J Coll Physicians Surg Pak</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20</w:t>
      </w:r>
      <w:r w:rsidRPr="0062622A">
        <w:rPr>
          <w:rFonts w:ascii="Book Antiqua" w:eastAsia="宋体" w:hAnsi="Book Antiqua" w:cs="Times New Roman"/>
          <w:sz w:val="24"/>
          <w:szCs w:val="24"/>
          <w:lang w:eastAsia="zh-CN"/>
        </w:rPr>
        <w:t>: 714-718 [PMID: 21078242 DOI: 11.2010/JCPSP.714718]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61 </w:t>
      </w:r>
      <w:r w:rsidRPr="0062622A">
        <w:rPr>
          <w:rFonts w:ascii="Book Antiqua" w:eastAsia="宋体" w:hAnsi="Book Antiqua" w:cs="Times New Roman"/>
          <w:b/>
          <w:bCs/>
          <w:sz w:val="24"/>
          <w:szCs w:val="24"/>
          <w:lang w:eastAsia="zh-CN"/>
        </w:rPr>
        <w:t>Garcia-Saenz-de-Sicilia M</w:t>
      </w:r>
      <w:r w:rsidRPr="0062622A">
        <w:rPr>
          <w:rFonts w:ascii="Book Antiqua" w:eastAsia="宋体" w:hAnsi="Book Antiqua" w:cs="Times New Roman"/>
          <w:sz w:val="24"/>
          <w:szCs w:val="24"/>
          <w:lang w:eastAsia="zh-CN"/>
        </w:rPr>
        <w:t>, Sanchez-Avila F, Chavez-Tapia NC, Lopez-Arce G, Garcia-Osogobio S, Ruiz-Cordero R, Tellez-Avila FI. PPIs are not associated with a lower incidence of portal-hypertension-related bleeding in cirrhosis. </w:t>
      </w:r>
      <w:r w:rsidRPr="0062622A">
        <w:rPr>
          <w:rFonts w:ascii="Book Antiqua" w:eastAsia="宋体" w:hAnsi="Book Antiqua" w:cs="Times New Roman"/>
          <w:i/>
          <w:iCs/>
          <w:sz w:val="24"/>
          <w:szCs w:val="24"/>
          <w:lang w:eastAsia="zh-CN"/>
        </w:rPr>
        <w:t>World J Gastroenterol</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16</w:t>
      </w:r>
      <w:r w:rsidRPr="0062622A">
        <w:rPr>
          <w:rFonts w:ascii="Book Antiqua" w:eastAsia="宋体" w:hAnsi="Book Antiqua" w:cs="Times New Roman"/>
          <w:sz w:val="24"/>
          <w:szCs w:val="24"/>
          <w:lang w:eastAsia="zh-CN"/>
        </w:rPr>
        <w:t>: 5869-5873 [PMID: 21155009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10.3748/wjg.v16.i46.5869]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62 </w:t>
      </w:r>
      <w:r w:rsidRPr="0062622A">
        <w:rPr>
          <w:rFonts w:ascii="Book Antiqua" w:eastAsia="宋体" w:hAnsi="Book Antiqua" w:cs="Times New Roman"/>
          <w:b/>
          <w:bCs/>
          <w:sz w:val="24"/>
          <w:szCs w:val="24"/>
          <w:lang w:eastAsia="zh-CN"/>
        </w:rPr>
        <w:t>Abbasi A</w:t>
      </w:r>
      <w:r w:rsidRPr="0062622A">
        <w:rPr>
          <w:rFonts w:ascii="Book Antiqua" w:eastAsia="宋体" w:hAnsi="Book Antiqua" w:cs="Times New Roman"/>
          <w:sz w:val="24"/>
          <w:szCs w:val="24"/>
          <w:lang w:eastAsia="zh-CN"/>
        </w:rPr>
        <w:t>, Bhutto AR, Butt N, Munir SM, Dhillo AK. Frequency of portal hypertensive gastropathy and its relationship with biochemical, haematological and endoscopic features in cirrhosis. </w:t>
      </w:r>
      <w:r w:rsidRPr="0062622A">
        <w:rPr>
          <w:rFonts w:ascii="Book Antiqua" w:eastAsia="宋体" w:hAnsi="Book Antiqua" w:cs="Times New Roman"/>
          <w:i/>
          <w:iCs/>
          <w:sz w:val="24"/>
          <w:szCs w:val="24"/>
          <w:lang w:eastAsia="zh-CN"/>
        </w:rPr>
        <w:t>J Coll Physicians Surg Pak</w:t>
      </w:r>
      <w:r w:rsidRPr="0062622A">
        <w:rPr>
          <w:rFonts w:ascii="Book Antiqua" w:eastAsia="宋体" w:hAnsi="Book Antiqua" w:cs="Times New Roman"/>
          <w:sz w:val="24"/>
          <w:szCs w:val="24"/>
          <w:lang w:eastAsia="zh-CN"/>
        </w:rPr>
        <w:t> 2011; </w:t>
      </w:r>
      <w:r w:rsidRPr="0062622A">
        <w:rPr>
          <w:rFonts w:ascii="Book Antiqua" w:eastAsia="宋体" w:hAnsi="Book Antiqua" w:cs="Times New Roman"/>
          <w:b/>
          <w:bCs/>
          <w:sz w:val="24"/>
          <w:szCs w:val="24"/>
          <w:lang w:eastAsia="zh-CN"/>
        </w:rPr>
        <w:t>21</w:t>
      </w:r>
      <w:r w:rsidRPr="0062622A">
        <w:rPr>
          <w:rFonts w:ascii="Book Antiqua" w:eastAsia="宋体" w:hAnsi="Book Antiqua" w:cs="Times New Roman"/>
          <w:sz w:val="24"/>
          <w:szCs w:val="24"/>
          <w:lang w:eastAsia="zh-CN"/>
        </w:rPr>
        <w:t>: 723-726 [PMID: 22166690 DOI: 12.2011/JCPSP.723726]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63 </w:t>
      </w:r>
      <w:r w:rsidRPr="0062622A">
        <w:rPr>
          <w:rFonts w:ascii="Book Antiqua" w:eastAsia="宋体" w:hAnsi="Book Antiqua" w:cs="Times New Roman"/>
          <w:b/>
          <w:bCs/>
          <w:sz w:val="24"/>
          <w:szCs w:val="24"/>
          <w:lang w:eastAsia="zh-CN"/>
        </w:rPr>
        <w:t>Aoyama T</w:t>
      </w:r>
      <w:r w:rsidRPr="0062622A">
        <w:rPr>
          <w:rFonts w:ascii="Book Antiqua" w:eastAsia="宋体" w:hAnsi="Book Antiqua" w:cs="Times New Roman"/>
          <w:sz w:val="24"/>
          <w:szCs w:val="24"/>
          <w:lang w:eastAsia="zh-CN"/>
        </w:rPr>
        <w:t>, Oka S, Aikata H, Nakano M, Watari I, Naeshiro N, Yoshida S, Tanaka S, Chayama K. Small bowel abnormalities in patients with compensated liver cirrhosis.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58</w:t>
      </w:r>
      <w:r w:rsidRPr="0062622A">
        <w:rPr>
          <w:rFonts w:ascii="Book Antiqua" w:eastAsia="宋体" w:hAnsi="Book Antiqua" w:cs="Times New Roman"/>
          <w:sz w:val="24"/>
          <w:szCs w:val="24"/>
          <w:lang w:eastAsia="zh-CN"/>
        </w:rPr>
        <w:t>: 1390-1396 [PMID: 23247799 DOI: 10.1007/s10620-012-2502-z]</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64 </w:t>
      </w:r>
      <w:r w:rsidRPr="0062622A">
        <w:rPr>
          <w:rFonts w:ascii="Book Antiqua" w:eastAsia="宋体" w:hAnsi="Book Antiqua" w:cs="Times New Roman"/>
          <w:b/>
          <w:bCs/>
          <w:sz w:val="24"/>
          <w:szCs w:val="24"/>
          <w:lang w:eastAsia="zh-CN"/>
        </w:rPr>
        <w:t>Laleman W</w:t>
      </w:r>
      <w:r w:rsidRPr="0062622A">
        <w:rPr>
          <w:rFonts w:ascii="Book Antiqua" w:eastAsia="宋体" w:hAnsi="Book Antiqua" w:cs="Times New Roman"/>
          <w:sz w:val="24"/>
          <w:szCs w:val="24"/>
          <w:lang w:eastAsia="zh-CN"/>
        </w:rPr>
        <w:t>, Simon-Talero M, Maleux G, Perez M, Ameloot K, Soriano G, Villalba J, Garcia-Pagan JC, Barrufet M, Jalan R, Brookes J, Thalassinos E, Burroughs AK, Cordoba J, Nevens F. Embolization of large spontaneous portosystemic shunts for refractory hepatic encephalopathy: a multicenter survey on safety and efficacy.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57</w:t>
      </w:r>
      <w:r w:rsidRPr="0062622A">
        <w:rPr>
          <w:rFonts w:ascii="Book Antiqua" w:eastAsia="宋体" w:hAnsi="Book Antiqua" w:cs="Times New Roman"/>
          <w:sz w:val="24"/>
          <w:szCs w:val="24"/>
          <w:lang w:eastAsia="zh-CN"/>
        </w:rPr>
        <w:t>: 2448-2457 [PMID: 23401201 DOI: 10.1002/hep.26314]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65 </w:t>
      </w:r>
      <w:r w:rsidRPr="0062622A">
        <w:rPr>
          <w:rFonts w:ascii="Book Antiqua" w:eastAsia="宋体" w:hAnsi="Book Antiqua" w:cs="Times New Roman"/>
          <w:b/>
          <w:bCs/>
          <w:sz w:val="24"/>
          <w:szCs w:val="24"/>
          <w:lang w:eastAsia="zh-CN"/>
        </w:rPr>
        <w:t>Giannini EG</w:t>
      </w:r>
      <w:r w:rsidRPr="0062622A">
        <w:rPr>
          <w:rFonts w:ascii="Book Antiqua" w:eastAsia="宋体" w:hAnsi="Book Antiqua" w:cs="Times New Roman"/>
          <w:sz w:val="24"/>
          <w:szCs w:val="24"/>
          <w:lang w:eastAsia="zh-CN"/>
        </w:rPr>
        <w:t>, Savarino V, Farinati F, Ciccarese F, Rapaccini G, Marco MD, Benvegnù L, Zoli M, Borzio F, Caturelli E, Chiaramonte M, Trevisani F. Influence of clinically significant portal hypertension on survival after hepatic resection for hepatocellular carcinoma in cirrhotic patients. </w:t>
      </w:r>
      <w:r w:rsidRPr="0062622A">
        <w:rPr>
          <w:rFonts w:ascii="Book Antiqua" w:eastAsia="宋体" w:hAnsi="Book Antiqua" w:cs="Times New Roman"/>
          <w:i/>
          <w:iCs/>
          <w:sz w:val="24"/>
          <w:szCs w:val="24"/>
          <w:lang w:eastAsia="zh-CN"/>
        </w:rPr>
        <w:t>Liver Int</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33</w:t>
      </w:r>
      <w:r w:rsidRPr="0062622A">
        <w:rPr>
          <w:rFonts w:ascii="Book Antiqua" w:eastAsia="宋体" w:hAnsi="Book Antiqua" w:cs="Times New Roman"/>
          <w:sz w:val="24"/>
          <w:szCs w:val="24"/>
          <w:lang w:eastAsia="zh-CN"/>
        </w:rPr>
        <w:t>: 1594-1600 [PMID: 23654354 DOI: 10.1111/liv.12199]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66 </w:t>
      </w:r>
      <w:r w:rsidRPr="0062622A">
        <w:rPr>
          <w:rFonts w:ascii="Book Antiqua" w:eastAsia="宋体" w:hAnsi="Book Antiqua" w:cs="Times New Roman"/>
          <w:b/>
          <w:bCs/>
          <w:sz w:val="24"/>
          <w:szCs w:val="24"/>
          <w:lang w:eastAsia="zh-CN"/>
        </w:rPr>
        <w:t>Aoyama T</w:t>
      </w:r>
      <w:r w:rsidRPr="0062622A">
        <w:rPr>
          <w:rFonts w:ascii="Book Antiqua" w:eastAsia="宋体" w:hAnsi="Book Antiqua" w:cs="Times New Roman"/>
          <w:sz w:val="24"/>
          <w:szCs w:val="24"/>
          <w:lang w:eastAsia="zh-CN"/>
        </w:rPr>
        <w:t>, Oka S, Aikata H, Igawa A, Nakano M, Naeshiro N, Yoshida S, Tanaka S, Chayama K. Major predictors of portal hypertensive enteropathy in patients with liver cirrhosis.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2015; </w:t>
      </w:r>
      <w:r w:rsidRPr="0062622A">
        <w:rPr>
          <w:rFonts w:ascii="Book Antiqua" w:eastAsia="宋体" w:hAnsi="Book Antiqua" w:cs="Times New Roman"/>
          <w:b/>
          <w:bCs/>
          <w:sz w:val="24"/>
          <w:szCs w:val="24"/>
          <w:lang w:eastAsia="zh-CN"/>
        </w:rPr>
        <w:t>30</w:t>
      </w:r>
      <w:r w:rsidRPr="0062622A">
        <w:rPr>
          <w:rFonts w:ascii="Book Antiqua" w:eastAsia="宋体" w:hAnsi="Book Antiqua" w:cs="Times New Roman"/>
          <w:sz w:val="24"/>
          <w:szCs w:val="24"/>
          <w:lang w:eastAsia="zh-CN"/>
        </w:rPr>
        <w:t>: 124-130 [PMID: 24988903 DOI: 10.1111/jgh.12658]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67 </w:t>
      </w:r>
      <w:r w:rsidRPr="0062622A">
        <w:rPr>
          <w:rFonts w:ascii="Book Antiqua" w:eastAsia="宋体" w:hAnsi="Book Antiqua" w:cs="Times New Roman"/>
          <w:b/>
          <w:bCs/>
          <w:sz w:val="24"/>
          <w:szCs w:val="24"/>
          <w:lang w:eastAsia="zh-CN"/>
        </w:rPr>
        <w:t>Zardi EM</w:t>
      </w:r>
      <w:r w:rsidRPr="0062622A">
        <w:rPr>
          <w:rFonts w:ascii="Book Antiqua" w:eastAsia="宋体" w:hAnsi="Book Antiqua" w:cs="Times New Roman"/>
          <w:sz w:val="24"/>
          <w:szCs w:val="24"/>
          <w:lang w:eastAsia="zh-CN"/>
        </w:rPr>
        <w:t>, Ghittoni G, Margiotta D, Viera FT, Di Matteo F, Rossi S. Portal hypertensive gastropathy in cirrhotics without varices: a case-control study. </w:t>
      </w:r>
      <w:r w:rsidRPr="0062622A">
        <w:rPr>
          <w:rFonts w:ascii="Book Antiqua" w:eastAsia="宋体" w:hAnsi="Book Antiqua" w:cs="Times New Roman"/>
          <w:i/>
          <w:iCs/>
          <w:sz w:val="24"/>
          <w:szCs w:val="24"/>
          <w:lang w:eastAsia="zh-CN"/>
        </w:rPr>
        <w:t>Eur J Gastroenterol Hepatol</w:t>
      </w:r>
      <w:r w:rsidRPr="0062622A">
        <w:rPr>
          <w:rFonts w:ascii="Book Antiqua" w:eastAsia="宋体" w:hAnsi="Book Antiqua" w:cs="Times New Roman"/>
          <w:sz w:val="24"/>
          <w:szCs w:val="24"/>
          <w:lang w:eastAsia="zh-CN"/>
        </w:rPr>
        <w:t> 2015; </w:t>
      </w:r>
      <w:r w:rsidRPr="0062622A">
        <w:rPr>
          <w:rFonts w:ascii="Book Antiqua" w:eastAsia="宋体" w:hAnsi="Book Antiqua" w:cs="Times New Roman"/>
          <w:b/>
          <w:bCs/>
          <w:sz w:val="24"/>
          <w:szCs w:val="24"/>
          <w:lang w:eastAsia="zh-CN"/>
        </w:rPr>
        <w:t>27</w:t>
      </w:r>
      <w:r w:rsidRPr="0062622A">
        <w:rPr>
          <w:rFonts w:ascii="Book Antiqua" w:eastAsia="宋体" w:hAnsi="Book Antiqua" w:cs="Times New Roman"/>
          <w:sz w:val="24"/>
          <w:szCs w:val="24"/>
          <w:lang w:eastAsia="zh-CN"/>
        </w:rPr>
        <w:t>: 91-96 [PMID: 25386762 DOI: 10.1097/MEG.0000000000000234]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 xml:space="preserve">68 </w:t>
      </w:r>
      <w:r w:rsidRPr="0062622A">
        <w:rPr>
          <w:rFonts w:ascii="Book Antiqua" w:eastAsia="宋体" w:hAnsi="Book Antiqua" w:cs="Times New Roman"/>
          <w:b/>
          <w:sz w:val="24"/>
          <w:szCs w:val="24"/>
          <w:lang w:val="fr-FR" w:eastAsia="fr-FR"/>
        </w:rPr>
        <w:t>Wu Q</w:t>
      </w:r>
      <w:r w:rsidRPr="0062622A">
        <w:rPr>
          <w:rFonts w:ascii="Book Antiqua" w:eastAsia="宋体" w:hAnsi="Book Antiqua" w:cs="Times New Roman"/>
          <w:sz w:val="24"/>
          <w:szCs w:val="24"/>
          <w:lang w:val="fr-FR" w:eastAsia="fr-FR"/>
        </w:rPr>
        <w:t>, Shen L, Chu J, Ma X, Jin B, Meng F, Chen J, Wang Y, Wu L, Han J, Zhang W, Ma W, Wang H, Li H.</w:t>
      </w:r>
      <w:r w:rsidRPr="0062622A">
        <w:rPr>
          <w:rFonts w:ascii="Book Antiqua" w:eastAsia="宋体" w:hAnsi="Book Antiqua" w:cs="Times New Roman"/>
          <w:sz w:val="24"/>
          <w:szCs w:val="24"/>
          <w:lang w:eastAsia="zh-CN"/>
        </w:rPr>
        <w:t xml:space="preserve"> Characterization of uncommon portosystemic collateral circulations in patients with hepatic cirrhosis. </w:t>
      </w:r>
      <w:r w:rsidRPr="0062622A">
        <w:rPr>
          <w:rFonts w:ascii="Book Antiqua" w:eastAsia="宋体" w:hAnsi="Book Antiqua" w:cs="Times New Roman"/>
          <w:i/>
          <w:iCs/>
          <w:sz w:val="24"/>
          <w:szCs w:val="24"/>
          <w:lang w:eastAsia="zh-CN"/>
        </w:rPr>
        <w:t>Oncol Lett</w:t>
      </w:r>
      <w:r w:rsidRPr="0062622A">
        <w:rPr>
          <w:rFonts w:ascii="Book Antiqua" w:eastAsia="宋体" w:hAnsi="Book Antiqua" w:cs="Times New Roman"/>
          <w:sz w:val="24"/>
          <w:szCs w:val="24"/>
          <w:lang w:eastAsia="zh-CN"/>
        </w:rPr>
        <w:t> 2015; </w:t>
      </w:r>
      <w:r w:rsidRPr="0062622A">
        <w:rPr>
          <w:rFonts w:ascii="Book Antiqua" w:eastAsia="宋体" w:hAnsi="Book Antiqua" w:cs="Times New Roman"/>
          <w:b/>
          <w:bCs/>
          <w:sz w:val="24"/>
          <w:szCs w:val="24"/>
          <w:lang w:eastAsia="zh-CN"/>
        </w:rPr>
        <w:t>9</w:t>
      </w:r>
      <w:r w:rsidRPr="0062622A">
        <w:rPr>
          <w:rFonts w:ascii="Book Antiqua" w:eastAsia="宋体" w:hAnsi="Book Antiqua" w:cs="Times New Roman"/>
          <w:sz w:val="24"/>
          <w:szCs w:val="24"/>
          <w:lang w:eastAsia="zh-CN"/>
        </w:rPr>
        <w:t>: 347-350 [PMID: 25435990]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69 </w:t>
      </w:r>
      <w:r w:rsidRPr="0062622A">
        <w:rPr>
          <w:rFonts w:ascii="Book Antiqua" w:eastAsia="宋体" w:hAnsi="Book Antiqua" w:cs="Times New Roman"/>
          <w:b/>
          <w:bCs/>
          <w:sz w:val="24"/>
          <w:szCs w:val="24"/>
          <w:lang w:eastAsia="zh-CN"/>
        </w:rPr>
        <w:t>Fontana RJ</w:t>
      </w:r>
      <w:r w:rsidRPr="0062622A">
        <w:rPr>
          <w:rFonts w:ascii="Book Antiqua" w:eastAsia="宋体" w:hAnsi="Book Antiqua" w:cs="Times New Roman"/>
          <w:sz w:val="24"/>
          <w:szCs w:val="24"/>
          <w:lang w:eastAsia="zh-CN"/>
        </w:rPr>
        <w:t>, Sanyal AJ, Ghany MG, Bonkovsky HL, Morgan TR, Litman HJ, Reid AE, Lee WM, Naishadham D. Development and progression of portal hypertensive gastropathy in patients with chronic hepatitis C.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2011; </w:t>
      </w:r>
      <w:r w:rsidRPr="0062622A">
        <w:rPr>
          <w:rFonts w:ascii="Book Antiqua" w:eastAsia="宋体" w:hAnsi="Book Antiqua" w:cs="Times New Roman"/>
          <w:b/>
          <w:bCs/>
          <w:sz w:val="24"/>
          <w:szCs w:val="24"/>
          <w:lang w:eastAsia="zh-CN"/>
        </w:rPr>
        <w:t>106</w:t>
      </w:r>
      <w:r w:rsidRPr="0062622A">
        <w:rPr>
          <w:rFonts w:ascii="Book Antiqua" w:eastAsia="宋体" w:hAnsi="Book Antiqua" w:cs="Times New Roman"/>
          <w:sz w:val="24"/>
          <w:szCs w:val="24"/>
          <w:lang w:eastAsia="zh-CN"/>
        </w:rPr>
        <w:t>: 884-893 [PMID: 21139575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10.1038/ajg.2010.456]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70 </w:t>
      </w:r>
      <w:r w:rsidRPr="0062622A">
        <w:rPr>
          <w:rFonts w:ascii="Book Antiqua" w:eastAsia="宋体" w:hAnsi="Book Antiqua" w:cs="Times New Roman"/>
          <w:b/>
          <w:bCs/>
          <w:sz w:val="24"/>
          <w:szCs w:val="24"/>
          <w:lang w:eastAsia="zh-CN"/>
        </w:rPr>
        <w:t>Spina GP</w:t>
      </w:r>
      <w:r w:rsidRPr="0062622A">
        <w:rPr>
          <w:rFonts w:ascii="Book Antiqua" w:eastAsia="宋体" w:hAnsi="Book Antiqua" w:cs="Times New Roman"/>
          <w:sz w:val="24"/>
          <w:szCs w:val="24"/>
          <w:lang w:eastAsia="zh-CN"/>
        </w:rPr>
        <w:t>, Arcidiacono R, Bosch J, Pagliaro L, Burroughs AK, Santambrogio R, Rossi A. Gastric endoscopic features in portal hypertension: final report of a consensus conference, Milan, Italy, September 19, 1992.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21</w:t>
      </w:r>
      <w:r w:rsidRPr="0062622A">
        <w:rPr>
          <w:rFonts w:ascii="Book Antiqua" w:eastAsia="宋体" w:hAnsi="Book Antiqua" w:cs="Times New Roman"/>
          <w:sz w:val="24"/>
          <w:szCs w:val="24"/>
          <w:lang w:eastAsia="zh-CN"/>
        </w:rPr>
        <w:t>: 461-467 [PMID: 7836719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10.1016/S0168-8278(05)80329-0]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71 </w:t>
      </w:r>
      <w:r w:rsidRPr="0062622A">
        <w:rPr>
          <w:rFonts w:ascii="Book Antiqua" w:eastAsia="宋体" w:hAnsi="Book Antiqua" w:cs="Times New Roman"/>
          <w:b/>
          <w:bCs/>
          <w:sz w:val="24"/>
          <w:szCs w:val="24"/>
          <w:lang w:eastAsia="zh-CN"/>
        </w:rPr>
        <w:t>Thuluvath PJ</w:t>
      </w:r>
      <w:r w:rsidRPr="0062622A">
        <w:rPr>
          <w:rFonts w:ascii="Book Antiqua" w:eastAsia="宋体" w:hAnsi="Book Antiqua" w:cs="Times New Roman"/>
          <w:sz w:val="24"/>
          <w:szCs w:val="24"/>
          <w:lang w:eastAsia="zh-CN"/>
        </w:rPr>
        <w:t>, Yoo HY. Portal Hypertensive gastropathy.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97</w:t>
      </w:r>
      <w:r w:rsidRPr="0062622A">
        <w:rPr>
          <w:rFonts w:ascii="Book Antiqua" w:eastAsia="宋体" w:hAnsi="Book Antiqua" w:cs="Times New Roman"/>
          <w:sz w:val="24"/>
          <w:szCs w:val="24"/>
          <w:lang w:eastAsia="zh-CN"/>
        </w:rPr>
        <w:t>: 2973-2978 [PMID: 12492178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10.1111/j.1572-0241.2002.07094.x]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72 </w:t>
      </w:r>
      <w:r w:rsidRPr="0062622A">
        <w:rPr>
          <w:rFonts w:ascii="Book Antiqua" w:eastAsia="宋体" w:hAnsi="Book Antiqua" w:cs="Times New Roman"/>
          <w:b/>
          <w:bCs/>
          <w:sz w:val="24"/>
          <w:szCs w:val="24"/>
          <w:lang w:eastAsia="zh-CN"/>
        </w:rPr>
        <w:t>Cubillas R</w:t>
      </w:r>
      <w:r w:rsidRPr="0062622A">
        <w:rPr>
          <w:rFonts w:ascii="Book Antiqua" w:eastAsia="宋体" w:hAnsi="Book Antiqua" w:cs="Times New Roman"/>
          <w:sz w:val="24"/>
          <w:szCs w:val="24"/>
          <w:lang w:eastAsia="zh-CN"/>
        </w:rPr>
        <w:t>, Rockey DC. Portal hypertensive gastropathy: a review. </w:t>
      </w:r>
      <w:r w:rsidRPr="0062622A">
        <w:rPr>
          <w:rFonts w:ascii="Book Antiqua" w:eastAsia="宋体" w:hAnsi="Book Antiqua" w:cs="Times New Roman"/>
          <w:i/>
          <w:iCs/>
          <w:sz w:val="24"/>
          <w:szCs w:val="24"/>
          <w:lang w:eastAsia="zh-CN"/>
        </w:rPr>
        <w:t>Liver Int</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30</w:t>
      </w:r>
      <w:r w:rsidRPr="0062622A">
        <w:rPr>
          <w:rFonts w:ascii="Book Antiqua" w:eastAsia="宋体" w:hAnsi="Book Antiqua" w:cs="Times New Roman"/>
          <w:sz w:val="24"/>
          <w:szCs w:val="24"/>
          <w:lang w:eastAsia="zh-CN"/>
        </w:rPr>
        <w:t>: 1094-1102 [PMID: 20536720 DOI: 10.1111/j.1478-3231.2010.02286.x]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73 </w:t>
      </w:r>
      <w:r w:rsidRPr="0062622A">
        <w:rPr>
          <w:rFonts w:ascii="Book Antiqua" w:eastAsia="宋体" w:hAnsi="Book Antiqua" w:cs="Times New Roman"/>
          <w:b/>
          <w:bCs/>
          <w:sz w:val="24"/>
          <w:szCs w:val="24"/>
          <w:lang w:eastAsia="zh-CN"/>
        </w:rPr>
        <w:t>Hou MC</w:t>
      </w:r>
      <w:r w:rsidRPr="0062622A">
        <w:rPr>
          <w:rFonts w:ascii="Book Antiqua" w:eastAsia="宋体" w:hAnsi="Book Antiqua" w:cs="Times New Roman"/>
          <w:sz w:val="24"/>
          <w:szCs w:val="24"/>
          <w:lang w:eastAsia="zh-CN"/>
        </w:rPr>
        <w:t>, Lin HC, Chen CH, Kuo BI, Perng CL, Lee FY, Lee SD. Changes in portal hypertensive gastropathy after endoscopic variceal sclerotherapy or ligation: an endoscopic observation.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42</w:t>
      </w:r>
      <w:r w:rsidRPr="0062622A">
        <w:rPr>
          <w:rFonts w:ascii="Book Antiqua" w:eastAsia="宋体" w:hAnsi="Book Antiqua" w:cs="Times New Roman"/>
          <w:sz w:val="24"/>
          <w:szCs w:val="24"/>
          <w:lang w:eastAsia="zh-CN"/>
        </w:rPr>
        <w:t>: 139-144 [PMID: 7590049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10.1016/S0016-5107(95)70070-6]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74 </w:t>
      </w:r>
      <w:r w:rsidRPr="0062622A">
        <w:rPr>
          <w:rFonts w:ascii="Book Antiqua" w:eastAsia="宋体" w:hAnsi="Book Antiqua" w:cs="Times New Roman"/>
          <w:b/>
          <w:bCs/>
          <w:sz w:val="24"/>
          <w:szCs w:val="24"/>
          <w:lang w:eastAsia="zh-CN"/>
        </w:rPr>
        <w:t>Trevino HH</w:t>
      </w:r>
      <w:r w:rsidRPr="0062622A">
        <w:rPr>
          <w:rFonts w:ascii="Book Antiqua" w:eastAsia="宋体" w:hAnsi="Book Antiqua" w:cs="Times New Roman"/>
          <w:sz w:val="24"/>
          <w:szCs w:val="24"/>
          <w:lang w:eastAsia="zh-CN"/>
        </w:rPr>
        <w:t>, Brady CE, Schenker S. Portal hypertensive gastropathy. </w:t>
      </w:r>
      <w:r w:rsidRPr="0062622A">
        <w:rPr>
          <w:rFonts w:ascii="Book Antiqua" w:eastAsia="宋体" w:hAnsi="Book Antiqua" w:cs="Times New Roman"/>
          <w:i/>
          <w:iCs/>
          <w:sz w:val="24"/>
          <w:szCs w:val="24"/>
          <w:lang w:eastAsia="zh-CN"/>
        </w:rPr>
        <w:t>Dig Dis</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1996</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14</w:t>
      </w:r>
      <w:r w:rsidRPr="0062622A">
        <w:rPr>
          <w:rFonts w:ascii="Book Antiqua" w:eastAsia="宋体" w:hAnsi="Book Antiqua" w:cs="Times New Roman"/>
          <w:sz w:val="24"/>
          <w:szCs w:val="24"/>
          <w:lang w:eastAsia="zh-CN"/>
        </w:rPr>
        <w:t>: 258-270 [PMID: 8843981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10.1159/000171557]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75 </w:t>
      </w:r>
      <w:r w:rsidRPr="0062622A">
        <w:rPr>
          <w:rFonts w:ascii="Book Antiqua" w:eastAsia="宋体" w:hAnsi="Book Antiqua" w:cs="Times New Roman"/>
          <w:b/>
          <w:bCs/>
          <w:sz w:val="24"/>
          <w:szCs w:val="24"/>
          <w:lang w:eastAsia="zh-CN"/>
        </w:rPr>
        <w:t>Kamath PS</w:t>
      </w:r>
      <w:r w:rsidRPr="0062622A">
        <w:rPr>
          <w:rFonts w:ascii="Book Antiqua" w:eastAsia="宋体" w:hAnsi="Book Antiqua" w:cs="Times New Roman"/>
          <w:sz w:val="24"/>
          <w:szCs w:val="24"/>
          <w:lang w:eastAsia="zh-CN"/>
        </w:rPr>
        <w:t>, Lacerda M, Ahlquist DA, McKusick MA, Andrews JC, Nagorney DA. Gastric mucosal responses to intrahepatic portosystemic shunting in patients with cirrhosis.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2000; </w:t>
      </w:r>
      <w:r w:rsidRPr="0062622A">
        <w:rPr>
          <w:rFonts w:ascii="Book Antiqua" w:eastAsia="宋体" w:hAnsi="Book Antiqua" w:cs="Times New Roman"/>
          <w:b/>
          <w:bCs/>
          <w:sz w:val="24"/>
          <w:szCs w:val="24"/>
          <w:lang w:eastAsia="zh-CN"/>
        </w:rPr>
        <w:t>118</w:t>
      </w:r>
      <w:r w:rsidRPr="0062622A">
        <w:rPr>
          <w:rFonts w:ascii="Book Antiqua" w:eastAsia="宋体" w:hAnsi="Book Antiqua" w:cs="Times New Roman"/>
          <w:sz w:val="24"/>
          <w:szCs w:val="24"/>
          <w:lang w:eastAsia="zh-CN"/>
        </w:rPr>
        <w:t>: 905-911 [PMID: 10784589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10.1016/S0016-5085(00)70176-4]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76 </w:t>
      </w:r>
      <w:r w:rsidRPr="0062622A">
        <w:rPr>
          <w:rFonts w:ascii="Book Antiqua" w:eastAsia="宋体" w:hAnsi="Book Antiqua" w:cs="Times New Roman"/>
          <w:b/>
          <w:bCs/>
          <w:sz w:val="24"/>
          <w:szCs w:val="24"/>
          <w:lang w:eastAsia="zh-CN"/>
        </w:rPr>
        <w:t>Mezawa S</w:t>
      </w:r>
      <w:r w:rsidRPr="0062622A">
        <w:rPr>
          <w:rFonts w:ascii="Book Antiqua" w:eastAsia="宋体" w:hAnsi="Book Antiqua" w:cs="Times New Roman"/>
          <w:sz w:val="24"/>
          <w:szCs w:val="24"/>
          <w:lang w:eastAsia="zh-CN"/>
        </w:rPr>
        <w:t>, Homma H, Ohta H, Masuko E, Doi T, Miyanishi K, Takada K, Kukitsu T, Sato T, Niitsu Y. Effect of transjugular intrahepatic portosystemic shunt formation on portal hypertensive gastropathy and gastric circulation.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2001; </w:t>
      </w:r>
      <w:r w:rsidRPr="0062622A">
        <w:rPr>
          <w:rFonts w:ascii="Book Antiqua" w:eastAsia="宋体" w:hAnsi="Book Antiqua" w:cs="Times New Roman"/>
          <w:b/>
          <w:bCs/>
          <w:sz w:val="24"/>
          <w:szCs w:val="24"/>
          <w:lang w:eastAsia="zh-CN"/>
        </w:rPr>
        <w:t>96</w:t>
      </w:r>
      <w:r w:rsidRPr="0062622A">
        <w:rPr>
          <w:rFonts w:ascii="Book Antiqua" w:eastAsia="宋体" w:hAnsi="Book Antiqua" w:cs="Times New Roman"/>
          <w:sz w:val="24"/>
          <w:szCs w:val="24"/>
          <w:lang w:eastAsia="zh-CN"/>
        </w:rPr>
        <w:t>: 1155-1159 [PMID: 11316163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10.1111/j.1572-0241.2001.03694.x]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77 </w:t>
      </w:r>
      <w:r w:rsidRPr="0062622A">
        <w:rPr>
          <w:rFonts w:ascii="Book Antiqua" w:eastAsia="宋体" w:hAnsi="Book Antiqua" w:cs="Times New Roman"/>
          <w:b/>
          <w:bCs/>
          <w:sz w:val="24"/>
          <w:szCs w:val="24"/>
          <w:lang w:eastAsia="zh-CN"/>
        </w:rPr>
        <w:t>Urata J</w:t>
      </w:r>
      <w:r w:rsidRPr="0062622A">
        <w:rPr>
          <w:rFonts w:ascii="Book Antiqua" w:eastAsia="宋体" w:hAnsi="Book Antiqua" w:cs="Times New Roman"/>
          <w:sz w:val="24"/>
          <w:szCs w:val="24"/>
          <w:lang w:eastAsia="zh-CN"/>
        </w:rPr>
        <w:t>, Yamashita Y, Tsuchigame T, Hatanaka Y, Matsukawa T, Sumi S, Matsuno Y, Takahashi M. The effects of transjugular intrahepatic portosystemic shunt on portal hypertensive gastropathy.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13</w:t>
      </w:r>
      <w:r w:rsidRPr="0062622A">
        <w:rPr>
          <w:rFonts w:ascii="Book Antiqua" w:eastAsia="宋体" w:hAnsi="Book Antiqua" w:cs="Times New Roman"/>
          <w:sz w:val="24"/>
          <w:szCs w:val="24"/>
          <w:lang w:eastAsia="zh-CN"/>
        </w:rPr>
        <w:t>: 1061-1067 [PMID: 9835325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10.1111/j.1440-1746.1998.tb00571.x]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 xml:space="preserve">78 </w:t>
      </w:r>
      <w:r w:rsidRPr="0062622A">
        <w:rPr>
          <w:rFonts w:ascii="Book Antiqua" w:eastAsia="宋体" w:hAnsi="Book Antiqua" w:cs="Times New Roman"/>
          <w:b/>
          <w:sz w:val="24"/>
          <w:szCs w:val="24"/>
          <w:lang w:eastAsia="zh-CN"/>
        </w:rPr>
        <w:t>Kamath PS</w:t>
      </w:r>
      <w:r w:rsidRPr="0062622A">
        <w:rPr>
          <w:rFonts w:ascii="Book Antiqua" w:eastAsia="宋体" w:hAnsi="Book Antiqua" w:cs="Times New Roman"/>
          <w:sz w:val="24"/>
          <w:szCs w:val="24"/>
          <w:lang w:eastAsia="zh-CN"/>
        </w:rPr>
        <w:t>, Shah VH. Portal hypertension and bleeding esophageal varices. In: Boyer TD, Manns MP, Sanyal AJ</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w:t>
      </w:r>
      <w:r w:rsidRPr="0062622A">
        <w:rPr>
          <w:rFonts w:ascii="Book Antiqua" w:eastAsia="宋体" w:hAnsi="Book Antiqua" w:cs="Times New Roman" w:hint="eastAsia"/>
          <w:sz w:val="24"/>
          <w:szCs w:val="24"/>
          <w:lang w:eastAsia="zh-CN"/>
        </w:rPr>
        <w:t>In:</w:t>
      </w:r>
      <w:r w:rsidRPr="0062622A">
        <w:rPr>
          <w:rFonts w:ascii="Book Antiqua" w:eastAsia="宋体" w:hAnsi="Book Antiqua" w:cs="Times New Roman"/>
          <w:sz w:val="24"/>
          <w:szCs w:val="24"/>
          <w:lang w:eastAsia="zh-CN"/>
        </w:rPr>
        <w:t xml:space="preserve"> Zakim</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Boyer</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Hepatology: A textbook of liver disease. </w:t>
      </w:r>
      <w:r w:rsidRPr="0062622A">
        <w:rPr>
          <w:rFonts w:ascii="Book Antiqua" w:eastAsia="宋体" w:hAnsi="Book Antiqua" w:cs="Times New Roman" w:hint="eastAsia"/>
          <w:sz w:val="24"/>
          <w:szCs w:val="24"/>
          <w:lang w:eastAsia="zh-CN"/>
        </w:rPr>
        <w:t>6</w:t>
      </w:r>
      <w:r w:rsidRPr="0062622A">
        <w:rPr>
          <w:rFonts w:ascii="Book Antiqua" w:eastAsia="宋体" w:hAnsi="Book Antiqua" w:cs="Times New Roman"/>
          <w:sz w:val="24"/>
          <w:szCs w:val="24"/>
          <w:lang w:eastAsia="zh-CN"/>
        </w:rPr>
        <w:t>th ed. Philadelphia</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Elsevier Saunders, 2012</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296-326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79 </w:t>
      </w:r>
      <w:r w:rsidRPr="0062622A">
        <w:rPr>
          <w:rFonts w:ascii="Book Antiqua" w:eastAsia="宋体" w:hAnsi="Book Antiqua" w:cs="Times New Roman"/>
          <w:b/>
          <w:bCs/>
          <w:sz w:val="24"/>
          <w:szCs w:val="24"/>
          <w:lang w:eastAsia="zh-CN"/>
        </w:rPr>
        <w:t>Pan WD</w:t>
      </w:r>
      <w:r w:rsidRPr="0062622A">
        <w:rPr>
          <w:rFonts w:ascii="Book Antiqua" w:eastAsia="宋体" w:hAnsi="Book Antiqua" w:cs="Times New Roman"/>
          <w:sz w:val="24"/>
          <w:szCs w:val="24"/>
          <w:lang w:eastAsia="zh-CN"/>
        </w:rPr>
        <w:t>, Xun RY, Chen YM. Correlations of portal hypertensive gastropathy of hepatitis B cirrhosis with other factors. </w:t>
      </w:r>
      <w:r w:rsidRPr="0062622A">
        <w:rPr>
          <w:rFonts w:ascii="Book Antiqua" w:eastAsia="宋体" w:hAnsi="Book Antiqua" w:cs="Times New Roman"/>
          <w:i/>
          <w:iCs/>
          <w:sz w:val="24"/>
          <w:szCs w:val="24"/>
          <w:lang w:eastAsia="zh-CN"/>
        </w:rPr>
        <w:t>Hepatobiliary Pancreat Dis Int</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1</w:t>
      </w:r>
      <w:r w:rsidRPr="0062622A">
        <w:rPr>
          <w:rFonts w:ascii="Book Antiqua" w:eastAsia="宋体" w:hAnsi="Book Antiqua" w:cs="Times New Roman"/>
          <w:sz w:val="24"/>
          <w:szCs w:val="24"/>
          <w:lang w:eastAsia="zh-CN"/>
        </w:rPr>
        <w:t>: 527-531 [PMID: 14607680]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80 </w:t>
      </w:r>
      <w:r w:rsidRPr="0062622A">
        <w:rPr>
          <w:rFonts w:ascii="Book Antiqua" w:eastAsia="宋体" w:hAnsi="Book Antiqua" w:cs="Times New Roman"/>
          <w:b/>
          <w:bCs/>
          <w:sz w:val="24"/>
          <w:szCs w:val="24"/>
          <w:lang w:eastAsia="zh-CN"/>
        </w:rPr>
        <w:t>Lahbabi M</w:t>
      </w:r>
      <w:r w:rsidRPr="0062622A">
        <w:rPr>
          <w:rFonts w:ascii="Book Antiqua" w:eastAsia="宋体" w:hAnsi="Book Antiqua" w:cs="Times New Roman"/>
          <w:sz w:val="24"/>
          <w:szCs w:val="24"/>
          <w:lang w:eastAsia="zh-CN"/>
        </w:rPr>
        <w:t>, Mellouki I, Aqodad N, Elabkari M, Elyousfi M, Ibrahimi SA, Benajah DA. Esophageal variceal ligation in the secondary prevention of variceal bleeding: Result of long term follow-up. </w:t>
      </w:r>
      <w:r w:rsidRPr="0062622A">
        <w:rPr>
          <w:rFonts w:ascii="Book Antiqua" w:eastAsia="宋体" w:hAnsi="Book Antiqua" w:cs="Times New Roman"/>
          <w:i/>
          <w:iCs/>
          <w:sz w:val="24"/>
          <w:szCs w:val="24"/>
          <w:lang w:eastAsia="zh-CN"/>
        </w:rPr>
        <w:t>Pan Afr Med J</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15</w:t>
      </w:r>
      <w:r w:rsidRPr="0062622A">
        <w:rPr>
          <w:rFonts w:ascii="Book Antiqua" w:eastAsia="宋体" w:hAnsi="Book Antiqua" w:cs="Times New Roman"/>
          <w:sz w:val="24"/>
          <w:szCs w:val="24"/>
          <w:lang w:eastAsia="zh-CN"/>
        </w:rPr>
        <w:t>: 3 [PMID: 23847700 DOI: 10.11604/pamj.2013.15.3.2098]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81 </w:t>
      </w:r>
      <w:r w:rsidRPr="0062622A">
        <w:rPr>
          <w:rFonts w:ascii="Book Antiqua" w:eastAsia="宋体" w:hAnsi="Book Antiqua" w:cs="Times New Roman"/>
          <w:b/>
          <w:bCs/>
          <w:sz w:val="24"/>
          <w:szCs w:val="24"/>
          <w:lang w:eastAsia="zh-CN"/>
        </w:rPr>
        <w:t>Lo GH</w:t>
      </w:r>
      <w:r w:rsidRPr="0062622A">
        <w:rPr>
          <w:rFonts w:ascii="Book Antiqua" w:eastAsia="宋体" w:hAnsi="Book Antiqua" w:cs="Times New Roman"/>
          <w:sz w:val="24"/>
          <w:szCs w:val="24"/>
          <w:lang w:eastAsia="zh-CN"/>
        </w:rPr>
        <w:t xml:space="preserve">, Lai KH, Cheng JS, Hsu PI, Chen TA, Wang EM, Lin CK, Chiang HT. The effects of endoscopic variceal ligation and propranolol on portal hypertensive </w:t>
      </w:r>
      <w:r w:rsidRPr="0062622A">
        <w:rPr>
          <w:rFonts w:ascii="Book Antiqua" w:eastAsia="宋体" w:hAnsi="Book Antiqua" w:cs="Times New Roman"/>
          <w:sz w:val="24"/>
          <w:szCs w:val="24"/>
          <w:lang w:eastAsia="zh-CN"/>
        </w:rPr>
        <w:lastRenderedPageBreak/>
        <w:t>gastropathy: a prospective, controlled trial.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2001; </w:t>
      </w:r>
      <w:r w:rsidRPr="0062622A">
        <w:rPr>
          <w:rFonts w:ascii="Book Antiqua" w:eastAsia="宋体" w:hAnsi="Book Antiqua" w:cs="Times New Roman"/>
          <w:b/>
          <w:bCs/>
          <w:sz w:val="24"/>
          <w:szCs w:val="24"/>
          <w:lang w:eastAsia="zh-CN"/>
        </w:rPr>
        <w:t>53</w:t>
      </w:r>
      <w:r w:rsidRPr="0062622A">
        <w:rPr>
          <w:rFonts w:ascii="Book Antiqua" w:eastAsia="宋体" w:hAnsi="Book Antiqua" w:cs="Times New Roman"/>
          <w:sz w:val="24"/>
          <w:szCs w:val="24"/>
          <w:lang w:eastAsia="zh-CN"/>
        </w:rPr>
        <w:t>: 579-584 [PMID: 11323582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10.1067/mge.2001.114062]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82 </w:t>
      </w:r>
      <w:r w:rsidRPr="0062622A">
        <w:rPr>
          <w:rFonts w:ascii="Book Antiqua" w:eastAsia="宋体" w:hAnsi="Book Antiqua" w:cs="Times New Roman"/>
          <w:b/>
          <w:bCs/>
          <w:sz w:val="24"/>
          <w:szCs w:val="24"/>
          <w:lang w:eastAsia="zh-CN"/>
        </w:rPr>
        <w:t>de la Peña J</w:t>
      </w:r>
      <w:r w:rsidRPr="0062622A">
        <w:rPr>
          <w:rFonts w:ascii="Book Antiqua" w:eastAsia="宋体" w:hAnsi="Book Antiqua" w:cs="Times New Roman"/>
          <w:sz w:val="24"/>
          <w:szCs w:val="24"/>
          <w:lang w:eastAsia="zh-CN"/>
        </w:rPr>
        <w:t>, Rivero M, Sanchez E, Fábrega E, Crespo J, Pons-Romero F. Variceal ligation compared with endoscopic sclerotherapy for variceal hemorrhage: prospective randomized trial.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1999; </w:t>
      </w:r>
      <w:r w:rsidRPr="0062622A">
        <w:rPr>
          <w:rFonts w:ascii="Book Antiqua" w:eastAsia="宋体" w:hAnsi="Book Antiqua" w:cs="Times New Roman"/>
          <w:b/>
          <w:bCs/>
          <w:sz w:val="24"/>
          <w:szCs w:val="24"/>
          <w:lang w:eastAsia="zh-CN"/>
        </w:rPr>
        <w:t>49</w:t>
      </w:r>
      <w:r w:rsidRPr="0062622A">
        <w:rPr>
          <w:rFonts w:ascii="Book Antiqua" w:eastAsia="宋体" w:hAnsi="Book Antiqua" w:cs="Times New Roman"/>
          <w:sz w:val="24"/>
          <w:szCs w:val="24"/>
          <w:lang w:eastAsia="zh-CN"/>
        </w:rPr>
        <w:t>: 417-423 [PMID: 10202052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10.1016/S0016-5107(99)70036-2]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83 </w:t>
      </w:r>
      <w:r w:rsidRPr="0062622A">
        <w:rPr>
          <w:rFonts w:ascii="Book Antiqua" w:eastAsia="宋体" w:hAnsi="Book Antiqua" w:cs="Times New Roman"/>
          <w:b/>
          <w:bCs/>
          <w:sz w:val="24"/>
          <w:szCs w:val="24"/>
          <w:lang w:eastAsia="zh-CN"/>
        </w:rPr>
        <w:t>Poddar U</w:t>
      </w:r>
      <w:r w:rsidRPr="0062622A">
        <w:rPr>
          <w:rFonts w:ascii="Book Antiqua" w:eastAsia="宋体" w:hAnsi="Book Antiqua" w:cs="Times New Roman"/>
          <w:sz w:val="24"/>
          <w:szCs w:val="24"/>
          <w:lang w:eastAsia="zh-CN"/>
        </w:rPr>
        <w:t>, Bhatnagar S, Yachha SK. Endoscopic band ligation followed by sclerotherapy: Is it superior to sclerotherapy in children with extrahepatic portal venous obstruction?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2011; </w:t>
      </w:r>
      <w:r w:rsidRPr="0062622A">
        <w:rPr>
          <w:rFonts w:ascii="Book Antiqua" w:eastAsia="宋体" w:hAnsi="Book Antiqua" w:cs="Times New Roman"/>
          <w:b/>
          <w:bCs/>
          <w:sz w:val="24"/>
          <w:szCs w:val="24"/>
          <w:lang w:eastAsia="zh-CN"/>
        </w:rPr>
        <w:t>26</w:t>
      </w:r>
      <w:r w:rsidRPr="0062622A">
        <w:rPr>
          <w:rFonts w:ascii="Book Antiqua" w:eastAsia="宋体" w:hAnsi="Book Antiqua" w:cs="Times New Roman"/>
          <w:sz w:val="24"/>
          <w:szCs w:val="24"/>
          <w:lang w:eastAsia="zh-CN"/>
        </w:rPr>
        <w:t>: 255-259 [PMID: 21261713 DOI: 10.1111/j.1440-1746.2010.06397.x]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84 </w:t>
      </w:r>
      <w:r w:rsidRPr="0062622A">
        <w:rPr>
          <w:rFonts w:ascii="Book Antiqua" w:eastAsia="宋体" w:hAnsi="Book Antiqua" w:cs="Times New Roman"/>
          <w:b/>
          <w:bCs/>
          <w:sz w:val="24"/>
          <w:szCs w:val="24"/>
          <w:lang w:eastAsia="zh-CN"/>
        </w:rPr>
        <w:t>Poddar U</w:t>
      </w:r>
      <w:r w:rsidRPr="0062622A">
        <w:rPr>
          <w:rFonts w:ascii="Book Antiqua" w:eastAsia="宋体" w:hAnsi="Book Antiqua" w:cs="Times New Roman"/>
          <w:sz w:val="24"/>
          <w:szCs w:val="24"/>
          <w:lang w:eastAsia="zh-CN"/>
        </w:rPr>
        <w:t>, Thapa BR, Singh K. Frequency of gastropathy and gastric varices in children with extrahepatic portal venous obstruction treated with sclerotherapy.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2004; </w:t>
      </w:r>
      <w:r w:rsidRPr="0062622A">
        <w:rPr>
          <w:rFonts w:ascii="Book Antiqua" w:eastAsia="宋体" w:hAnsi="Book Antiqua" w:cs="Times New Roman"/>
          <w:b/>
          <w:bCs/>
          <w:sz w:val="24"/>
          <w:szCs w:val="24"/>
          <w:lang w:eastAsia="zh-CN"/>
        </w:rPr>
        <w:t>19</w:t>
      </w:r>
      <w:r w:rsidRPr="0062622A">
        <w:rPr>
          <w:rFonts w:ascii="Book Antiqua" w:eastAsia="宋体" w:hAnsi="Book Antiqua" w:cs="Times New Roman"/>
          <w:sz w:val="24"/>
          <w:szCs w:val="24"/>
          <w:lang w:eastAsia="zh-CN"/>
        </w:rPr>
        <w:t>: 1253-1256 [PMID: 15482531 DOI:</w:t>
      </w:r>
      <w:r w:rsidRPr="0062622A">
        <w:rPr>
          <w:rFonts w:ascii="Book Antiqua" w:eastAsia="宋体" w:hAnsi="Book Antiqua" w:cs="Times New Roman" w:hint="eastAsia"/>
          <w:sz w:val="24"/>
          <w:szCs w:val="24"/>
          <w:lang w:eastAsia="zh-CN"/>
        </w:rPr>
        <w:t xml:space="preserve"> </w:t>
      </w:r>
      <w:r w:rsidRPr="0062622A">
        <w:rPr>
          <w:rFonts w:ascii="Book Antiqua" w:eastAsia="宋体" w:hAnsi="Book Antiqua" w:cs="Times New Roman"/>
          <w:sz w:val="24"/>
          <w:szCs w:val="24"/>
          <w:lang w:eastAsia="zh-CN"/>
        </w:rPr>
        <w:t>10.1111/j.1440-1746.2004.03470.x]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85 </w:t>
      </w:r>
      <w:r w:rsidRPr="0062622A">
        <w:rPr>
          <w:rFonts w:ascii="Book Antiqua" w:eastAsia="宋体" w:hAnsi="Book Antiqua" w:cs="Times New Roman"/>
          <w:b/>
          <w:bCs/>
          <w:sz w:val="24"/>
          <w:szCs w:val="24"/>
          <w:lang w:eastAsia="zh-CN"/>
        </w:rPr>
        <w:t>Duan X</w:t>
      </w:r>
      <w:r w:rsidRPr="0062622A">
        <w:rPr>
          <w:rFonts w:ascii="Book Antiqua" w:eastAsia="宋体" w:hAnsi="Book Antiqua" w:cs="Times New Roman"/>
          <w:sz w:val="24"/>
          <w:szCs w:val="24"/>
          <w:lang w:eastAsia="zh-CN"/>
        </w:rPr>
        <w:t>, Zhang K, Han X, Ren J, Xu M, Huang G, Zhang M. Comparison of percutaneous transhepatic variceal embolization (PTVE) followed by partial splenic embolization versus PTVE alone for the treatment of acute esophagogastric variceal massive hemorrhage. </w:t>
      </w:r>
      <w:r w:rsidRPr="0062622A">
        <w:rPr>
          <w:rFonts w:ascii="Book Antiqua" w:eastAsia="宋体" w:hAnsi="Book Antiqua" w:cs="Times New Roman"/>
          <w:i/>
          <w:iCs/>
          <w:sz w:val="24"/>
          <w:szCs w:val="24"/>
          <w:lang w:eastAsia="zh-CN"/>
        </w:rPr>
        <w:t>J Vasc Interv Radiol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25</w:t>
      </w:r>
      <w:r w:rsidRPr="0062622A">
        <w:rPr>
          <w:rFonts w:ascii="Book Antiqua" w:eastAsia="宋体" w:hAnsi="Book Antiqua" w:cs="Times New Roman"/>
          <w:sz w:val="24"/>
          <w:szCs w:val="24"/>
          <w:lang w:eastAsia="zh-CN"/>
        </w:rPr>
        <w:t>: 1858-1865 [PMID: 25311969 DOI: 10.1016/j.jvir.2014.08.019]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86 </w:t>
      </w:r>
      <w:r w:rsidRPr="0062622A">
        <w:rPr>
          <w:rFonts w:ascii="Book Antiqua" w:eastAsia="宋体" w:hAnsi="Book Antiqua" w:cs="Times New Roman"/>
          <w:b/>
          <w:bCs/>
          <w:sz w:val="24"/>
          <w:szCs w:val="24"/>
          <w:lang w:eastAsia="zh-CN"/>
        </w:rPr>
        <w:t>Lo GH</w:t>
      </w:r>
      <w:r w:rsidRPr="0062622A">
        <w:rPr>
          <w:rFonts w:ascii="Book Antiqua" w:eastAsia="宋体" w:hAnsi="Book Antiqua" w:cs="Times New Roman"/>
          <w:sz w:val="24"/>
          <w:szCs w:val="24"/>
          <w:lang w:eastAsia="zh-CN"/>
        </w:rPr>
        <w:t>, Liang HL, Lai KH, Chang CF, Hwu JH, Chen SM, Lin CK, Chiang HT. The impact of endoscopic variceal ligation on the pressure of the portal venous system.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24</w:t>
      </w:r>
      <w:r w:rsidRPr="0062622A">
        <w:rPr>
          <w:rFonts w:ascii="Book Antiqua" w:eastAsia="宋体" w:hAnsi="Book Antiqua" w:cs="Times New Roman"/>
          <w:sz w:val="24"/>
          <w:szCs w:val="24"/>
          <w:lang w:eastAsia="zh-CN"/>
        </w:rPr>
        <w:t>: 74-80 [PMID: 8834028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10.1016/S0168-8278(96)80189-9]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87 </w:t>
      </w:r>
      <w:r w:rsidRPr="0062622A">
        <w:rPr>
          <w:rFonts w:ascii="Book Antiqua" w:eastAsia="宋体" w:hAnsi="Book Antiqua" w:cs="Times New Roman"/>
          <w:b/>
          <w:bCs/>
          <w:sz w:val="24"/>
          <w:szCs w:val="24"/>
          <w:lang w:eastAsia="zh-CN"/>
        </w:rPr>
        <w:t>Korula J</w:t>
      </w:r>
      <w:r w:rsidRPr="0062622A">
        <w:rPr>
          <w:rFonts w:ascii="Book Antiqua" w:eastAsia="宋体" w:hAnsi="Book Antiqua" w:cs="Times New Roman"/>
          <w:sz w:val="24"/>
          <w:szCs w:val="24"/>
          <w:lang w:eastAsia="zh-CN"/>
        </w:rPr>
        <w:t>, Ralls P. The effects of chronic endoscopic variceal sclerotherapy on portal pressure in cirrhotics.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1991; </w:t>
      </w:r>
      <w:r w:rsidRPr="0062622A">
        <w:rPr>
          <w:rFonts w:ascii="Book Antiqua" w:eastAsia="宋体" w:hAnsi="Book Antiqua" w:cs="Times New Roman"/>
          <w:b/>
          <w:bCs/>
          <w:sz w:val="24"/>
          <w:szCs w:val="24"/>
          <w:lang w:eastAsia="zh-CN"/>
        </w:rPr>
        <w:t>101</w:t>
      </w:r>
      <w:r w:rsidRPr="0062622A">
        <w:rPr>
          <w:rFonts w:ascii="Book Antiqua" w:eastAsia="宋体" w:hAnsi="Book Antiqua" w:cs="Times New Roman"/>
          <w:sz w:val="24"/>
          <w:szCs w:val="24"/>
          <w:lang w:eastAsia="zh-CN"/>
        </w:rPr>
        <w:t>: 800-805 [PMID: 1860642]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88 </w:t>
      </w:r>
      <w:r w:rsidRPr="0062622A">
        <w:rPr>
          <w:rFonts w:ascii="Book Antiqua" w:eastAsia="宋体" w:hAnsi="Book Antiqua" w:cs="Times New Roman"/>
          <w:b/>
          <w:bCs/>
          <w:sz w:val="24"/>
          <w:szCs w:val="24"/>
          <w:lang w:eastAsia="zh-CN"/>
        </w:rPr>
        <w:t>Kimura K</w:t>
      </w:r>
      <w:r w:rsidRPr="0062622A">
        <w:rPr>
          <w:rFonts w:ascii="Book Antiqua" w:eastAsia="宋体" w:hAnsi="Book Antiqua" w:cs="Times New Roman"/>
          <w:sz w:val="24"/>
          <w:szCs w:val="24"/>
          <w:lang w:eastAsia="zh-CN"/>
        </w:rPr>
        <w:t>, Ohto M, Matsutani S, Furuse J, Hoshino K, Okuda K. Relative frequencies of portosystemic pathways and renal shunt formation through the "posterior" gastric vein: portographic study in 460 patients.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1990; </w:t>
      </w:r>
      <w:r w:rsidRPr="0062622A">
        <w:rPr>
          <w:rFonts w:ascii="Book Antiqua" w:eastAsia="宋体" w:hAnsi="Book Antiqua" w:cs="Times New Roman"/>
          <w:b/>
          <w:bCs/>
          <w:sz w:val="24"/>
          <w:szCs w:val="24"/>
          <w:lang w:eastAsia="zh-CN"/>
        </w:rPr>
        <w:t>12</w:t>
      </w:r>
      <w:r w:rsidRPr="0062622A">
        <w:rPr>
          <w:rFonts w:ascii="Book Antiqua" w:eastAsia="宋体" w:hAnsi="Book Antiqua" w:cs="Times New Roman"/>
          <w:sz w:val="24"/>
          <w:szCs w:val="24"/>
          <w:lang w:eastAsia="zh-CN"/>
        </w:rPr>
        <w:t>: 725-728 [PMID: 2210674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10.1002/hep.1840120417]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89 </w:t>
      </w:r>
      <w:r w:rsidRPr="0062622A">
        <w:rPr>
          <w:rFonts w:ascii="Book Antiqua" w:eastAsia="宋体" w:hAnsi="Book Antiqua" w:cs="Times New Roman"/>
          <w:b/>
          <w:bCs/>
          <w:sz w:val="24"/>
          <w:szCs w:val="24"/>
          <w:lang w:eastAsia="zh-CN"/>
        </w:rPr>
        <w:t>Smith-Laing G</w:t>
      </w:r>
      <w:r w:rsidRPr="0062622A">
        <w:rPr>
          <w:rFonts w:ascii="Book Antiqua" w:eastAsia="宋体" w:hAnsi="Book Antiqua" w:cs="Times New Roman"/>
          <w:sz w:val="24"/>
          <w:szCs w:val="24"/>
          <w:lang w:eastAsia="zh-CN"/>
        </w:rPr>
        <w:t xml:space="preserve">, Camilo ME, Dick R, Sherlock S. Percutaneous transhepatic portography in the assessment of portal hypertension. Clinical correlations and </w:t>
      </w:r>
      <w:r w:rsidRPr="0062622A">
        <w:rPr>
          <w:rFonts w:ascii="Book Antiqua" w:eastAsia="宋体" w:hAnsi="Book Antiqua" w:cs="Times New Roman"/>
          <w:sz w:val="24"/>
          <w:szCs w:val="24"/>
          <w:lang w:eastAsia="zh-CN"/>
        </w:rPr>
        <w:lastRenderedPageBreak/>
        <w:t>comparison of radiographic techniques.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1980; </w:t>
      </w:r>
      <w:r w:rsidRPr="0062622A">
        <w:rPr>
          <w:rFonts w:ascii="Book Antiqua" w:eastAsia="宋体" w:hAnsi="Book Antiqua" w:cs="Times New Roman"/>
          <w:b/>
          <w:bCs/>
          <w:sz w:val="24"/>
          <w:szCs w:val="24"/>
          <w:lang w:eastAsia="zh-CN"/>
        </w:rPr>
        <w:t>78</w:t>
      </w:r>
      <w:r w:rsidRPr="0062622A">
        <w:rPr>
          <w:rFonts w:ascii="Book Antiqua" w:eastAsia="宋体" w:hAnsi="Book Antiqua" w:cs="Times New Roman"/>
          <w:sz w:val="24"/>
          <w:szCs w:val="24"/>
          <w:lang w:eastAsia="zh-CN"/>
        </w:rPr>
        <w:t>: 197-205 [PMID: 6965281]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90 </w:t>
      </w:r>
      <w:r w:rsidRPr="0062622A">
        <w:rPr>
          <w:rFonts w:ascii="Book Antiqua" w:eastAsia="宋体" w:hAnsi="Book Antiqua" w:cs="Times New Roman"/>
          <w:b/>
          <w:bCs/>
          <w:sz w:val="24"/>
          <w:szCs w:val="24"/>
          <w:lang w:eastAsia="zh-CN"/>
        </w:rPr>
        <w:t>Watanabe K</w:t>
      </w:r>
      <w:r w:rsidRPr="0062622A">
        <w:rPr>
          <w:rFonts w:ascii="Book Antiqua" w:eastAsia="宋体" w:hAnsi="Book Antiqua" w:cs="Times New Roman"/>
          <w:sz w:val="24"/>
          <w:szCs w:val="24"/>
          <w:lang w:eastAsia="zh-CN"/>
        </w:rPr>
        <w:t>, Kimura K, Matsutani S, Ohto M, Okuda K. Portal hemodynamics in patients with gastric varices. A study in 230 patients with esophageal and/or gastric varices using portal vein catheterization.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1988; </w:t>
      </w:r>
      <w:r w:rsidRPr="0062622A">
        <w:rPr>
          <w:rFonts w:ascii="Book Antiqua" w:eastAsia="宋体" w:hAnsi="Book Antiqua" w:cs="Times New Roman"/>
          <w:b/>
          <w:bCs/>
          <w:sz w:val="24"/>
          <w:szCs w:val="24"/>
          <w:lang w:eastAsia="zh-CN"/>
        </w:rPr>
        <w:t>95</w:t>
      </w:r>
      <w:r w:rsidRPr="0062622A">
        <w:rPr>
          <w:rFonts w:ascii="Book Antiqua" w:eastAsia="宋体" w:hAnsi="Book Antiqua" w:cs="Times New Roman"/>
          <w:sz w:val="24"/>
          <w:szCs w:val="24"/>
          <w:lang w:eastAsia="zh-CN"/>
        </w:rPr>
        <w:t>: 434-440 [PMID: 3391371]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91 </w:t>
      </w:r>
      <w:r w:rsidRPr="0062622A">
        <w:rPr>
          <w:rFonts w:ascii="Book Antiqua" w:eastAsia="宋体" w:hAnsi="Book Antiqua" w:cs="Times New Roman"/>
          <w:b/>
          <w:bCs/>
          <w:sz w:val="24"/>
          <w:szCs w:val="24"/>
          <w:lang w:eastAsia="zh-CN"/>
        </w:rPr>
        <w:t>Yoshikawa I</w:t>
      </w:r>
      <w:r w:rsidRPr="0062622A">
        <w:rPr>
          <w:rFonts w:ascii="Book Antiqua" w:eastAsia="宋体" w:hAnsi="Book Antiqua" w:cs="Times New Roman"/>
          <w:sz w:val="24"/>
          <w:szCs w:val="24"/>
          <w:lang w:eastAsia="zh-CN"/>
        </w:rPr>
        <w:t>, Murata I, Nakano S, Otsuki M. Effects of endoscopic variceal ligation on portal hypertensive gastropathy and gastric mucosal blood flow.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93</w:t>
      </w:r>
      <w:r w:rsidRPr="0062622A">
        <w:rPr>
          <w:rFonts w:ascii="Book Antiqua" w:eastAsia="宋体" w:hAnsi="Book Antiqua" w:cs="Times New Roman"/>
          <w:sz w:val="24"/>
          <w:szCs w:val="24"/>
          <w:lang w:eastAsia="zh-CN"/>
        </w:rPr>
        <w:t>: 71-74 [PMID: 9448178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10.1111/j.1572-0241.1998.071_c.x]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92 </w:t>
      </w:r>
      <w:r w:rsidRPr="0062622A">
        <w:rPr>
          <w:rFonts w:ascii="Book Antiqua" w:eastAsia="宋体" w:hAnsi="Book Antiqua" w:cs="Times New Roman"/>
          <w:b/>
          <w:bCs/>
          <w:sz w:val="24"/>
          <w:szCs w:val="24"/>
          <w:lang w:eastAsia="zh-CN"/>
        </w:rPr>
        <w:t>Balan KK</w:t>
      </w:r>
      <w:r w:rsidRPr="0062622A">
        <w:rPr>
          <w:rFonts w:ascii="Book Antiqua" w:eastAsia="宋体" w:hAnsi="Book Antiqua" w:cs="Times New Roman"/>
          <w:sz w:val="24"/>
          <w:szCs w:val="24"/>
          <w:lang w:eastAsia="zh-CN"/>
        </w:rPr>
        <w:t>, Grime JS, Sutton R, Critchley M, Jenkins SA. Do alterations in the rate of gastric emptying after injection sclerotherapy for oesophageal varices play any role in the development of portal hypertensive gastropathy? </w:t>
      </w:r>
      <w:r w:rsidRPr="0062622A">
        <w:rPr>
          <w:rFonts w:ascii="Book Antiqua" w:eastAsia="宋体" w:hAnsi="Book Antiqua" w:cs="Times New Roman"/>
          <w:i/>
          <w:iCs/>
          <w:sz w:val="24"/>
          <w:szCs w:val="24"/>
          <w:lang w:eastAsia="zh-CN"/>
        </w:rPr>
        <w:t>HPB Surg</w:t>
      </w:r>
      <w:r w:rsidRPr="0062622A">
        <w:rPr>
          <w:rFonts w:ascii="Book Antiqua" w:eastAsia="宋体" w:hAnsi="Book Antiqua" w:cs="Times New Roman"/>
          <w:sz w:val="24"/>
          <w:szCs w:val="24"/>
          <w:lang w:eastAsia="zh-CN"/>
        </w:rPr>
        <w:t> 1999; </w:t>
      </w:r>
      <w:r w:rsidRPr="0062622A">
        <w:rPr>
          <w:rFonts w:ascii="Book Antiqua" w:eastAsia="宋体" w:hAnsi="Book Antiqua" w:cs="Times New Roman"/>
          <w:b/>
          <w:bCs/>
          <w:sz w:val="24"/>
          <w:szCs w:val="24"/>
          <w:lang w:eastAsia="zh-CN"/>
        </w:rPr>
        <w:t>11</w:t>
      </w:r>
      <w:r w:rsidRPr="0062622A">
        <w:rPr>
          <w:rFonts w:ascii="Book Antiqua" w:eastAsia="宋体" w:hAnsi="Book Antiqua" w:cs="Times New Roman"/>
          <w:sz w:val="24"/>
          <w:szCs w:val="24"/>
          <w:lang w:eastAsia="zh-CN"/>
        </w:rPr>
        <w:t>: 141-18; discussion 141-18; [PMID: 10371058]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93 </w:t>
      </w:r>
      <w:r w:rsidRPr="0062622A">
        <w:rPr>
          <w:rFonts w:ascii="Book Antiqua" w:eastAsia="宋体" w:hAnsi="Book Antiqua" w:cs="Times New Roman"/>
          <w:b/>
          <w:bCs/>
          <w:sz w:val="24"/>
          <w:szCs w:val="24"/>
          <w:lang w:eastAsia="zh-CN"/>
        </w:rPr>
        <w:t>Sarwar S</w:t>
      </w:r>
      <w:r w:rsidRPr="0062622A">
        <w:rPr>
          <w:rFonts w:ascii="Book Antiqua" w:eastAsia="宋体" w:hAnsi="Book Antiqua" w:cs="Times New Roman"/>
          <w:sz w:val="24"/>
          <w:szCs w:val="24"/>
          <w:lang w:eastAsia="zh-CN"/>
        </w:rPr>
        <w:t>, Khan AA, Alam A, Butt AK, Shafqat F, Malik K, Ahmad I, Niazi AK. Effect of band ligation on portal hypertensive gastropathy and development of fundal varices. </w:t>
      </w:r>
      <w:r w:rsidRPr="0062622A">
        <w:rPr>
          <w:rFonts w:ascii="Book Antiqua" w:eastAsia="宋体" w:hAnsi="Book Antiqua" w:cs="Times New Roman"/>
          <w:i/>
          <w:iCs/>
          <w:sz w:val="24"/>
          <w:szCs w:val="24"/>
          <w:lang w:eastAsia="zh-CN"/>
        </w:rPr>
        <w:t>J Ayub Med Coll Abbottabad</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2006</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18</w:t>
      </w:r>
      <w:r w:rsidRPr="0062622A">
        <w:rPr>
          <w:rFonts w:ascii="Book Antiqua" w:eastAsia="宋体" w:hAnsi="Book Antiqua" w:cs="Times New Roman"/>
          <w:sz w:val="24"/>
          <w:szCs w:val="24"/>
          <w:lang w:eastAsia="zh-CN"/>
        </w:rPr>
        <w:t>: 32-35 [PMID: 16773966]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94 </w:t>
      </w:r>
      <w:r w:rsidRPr="0062622A">
        <w:rPr>
          <w:rFonts w:ascii="Book Antiqua" w:eastAsia="宋体" w:hAnsi="Book Antiqua" w:cs="Times New Roman"/>
          <w:b/>
          <w:bCs/>
          <w:sz w:val="24"/>
          <w:szCs w:val="24"/>
          <w:lang w:eastAsia="zh-CN"/>
        </w:rPr>
        <w:t>Lo GH</w:t>
      </w:r>
      <w:r w:rsidRPr="0062622A">
        <w:rPr>
          <w:rFonts w:ascii="Book Antiqua" w:eastAsia="宋体" w:hAnsi="Book Antiqua" w:cs="Times New Roman"/>
          <w:sz w:val="24"/>
          <w:szCs w:val="24"/>
          <w:lang w:eastAsia="zh-CN"/>
        </w:rPr>
        <w:t>, Lai KH, Cheng JS, Hwu JH, Chang CF, Chen SM, Chiang HT. A prospective, randomized trial of sclerotherapy versus ligation in the management of bleeding esophageal varices.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22</w:t>
      </w:r>
      <w:r w:rsidRPr="0062622A">
        <w:rPr>
          <w:rFonts w:ascii="Book Antiqua" w:eastAsia="宋体" w:hAnsi="Book Antiqua" w:cs="Times New Roman"/>
          <w:sz w:val="24"/>
          <w:szCs w:val="24"/>
          <w:lang w:eastAsia="zh-CN"/>
        </w:rPr>
        <w:t>: 466-471 [PMID: 7635414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10.1002/hep.1840220215]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95 </w:t>
      </w:r>
      <w:r w:rsidRPr="0062622A">
        <w:rPr>
          <w:rFonts w:ascii="Book Antiqua" w:eastAsia="宋体" w:hAnsi="Book Antiqua" w:cs="Times New Roman"/>
          <w:b/>
          <w:bCs/>
          <w:sz w:val="24"/>
          <w:szCs w:val="24"/>
          <w:lang w:eastAsia="zh-CN"/>
        </w:rPr>
        <w:t>Sarin SK</w:t>
      </w:r>
      <w:r w:rsidRPr="0062622A">
        <w:rPr>
          <w:rFonts w:ascii="Book Antiqua" w:eastAsia="宋体" w:hAnsi="Book Antiqua" w:cs="Times New Roman"/>
          <w:sz w:val="24"/>
          <w:szCs w:val="24"/>
          <w:lang w:eastAsia="zh-CN"/>
        </w:rPr>
        <w:t>, Govil A, Jain AK, Guptan RC, Issar SK, Jain M, Murthy NS. Prospective randomized trial of endoscopic sclerotherapy versus variceal band ligation for esophageal varices: influence on gastropathy, gastric varices and variceal recurrence.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1997; </w:t>
      </w:r>
      <w:r w:rsidRPr="0062622A">
        <w:rPr>
          <w:rFonts w:ascii="Book Antiqua" w:eastAsia="宋体" w:hAnsi="Book Antiqua" w:cs="Times New Roman"/>
          <w:b/>
          <w:bCs/>
          <w:sz w:val="24"/>
          <w:szCs w:val="24"/>
          <w:lang w:eastAsia="zh-CN"/>
        </w:rPr>
        <w:t>26</w:t>
      </w:r>
      <w:r w:rsidRPr="0062622A">
        <w:rPr>
          <w:rFonts w:ascii="Book Antiqua" w:eastAsia="宋体" w:hAnsi="Book Antiqua" w:cs="Times New Roman"/>
          <w:sz w:val="24"/>
          <w:szCs w:val="24"/>
          <w:lang w:eastAsia="zh-CN"/>
        </w:rPr>
        <w:t>: 826-832 [PMID: 9126795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10.1016/S0168-8278(97)80248-6]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w:t>
      </w:r>
      <w:r w:rsidRPr="0062622A">
        <w:rPr>
          <w:rFonts w:ascii="Book Antiqua" w:eastAsia="宋体" w:hAnsi="Book Antiqua" w:cs="Times New Roman" w:hint="eastAsia"/>
          <w:sz w:val="24"/>
          <w:szCs w:val="24"/>
          <w:lang w:eastAsia="zh-CN"/>
        </w:rPr>
        <w:t>6</w:t>
      </w:r>
      <w:r w:rsidRPr="0062622A">
        <w:rPr>
          <w:rFonts w:ascii="Book Antiqua" w:eastAsia="宋体" w:hAnsi="Book Antiqua" w:cs="Times New Roman"/>
          <w:sz w:val="24"/>
          <w:szCs w:val="24"/>
          <w:lang w:eastAsia="zh-CN"/>
        </w:rPr>
        <w:t xml:space="preserve"> </w:t>
      </w:r>
      <w:r w:rsidRPr="0062622A">
        <w:rPr>
          <w:rFonts w:ascii="Book Antiqua" w:eastAsia="宋体" w:hAnsi="Book Antiqua" w:cs="Times New Roman"/>
          <w:b/>
          <w:sz w:val="24"/>
          <w:szCs w:val="24"/>
          <w:lang w:eastAsia="zh-CN"/>
        </w:rPr>
        <w:t>Feldman M</w:t>
      </w:r>
      <w:r w:rsidRPr="0062622A">
        <w:rPr>
          <w:rFonts w:ascii="Book Antiqua" w:eastAsia="宋体" w:hAnsi="Book Antiqua" w:cs="Times New Roman"/>
          <w:sz w:val="24"/>
          <w:szCs w:val="24"/>
          <w:lang w:eastAsia="zh-CN"/>
        </w:rPr>
        <w:t>, Lee EL. Gastritis. In: Sleisenger</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Fordtran</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Gastrointestinal and Liver Disease: Pathophysiology, Diagnosis, Management. 10th ed. Philadelphia</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Elsevier Saunders, 2010</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868-883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 xml:space="preserve">97 </w:t>
      </w:r>
      <w:r w:rsidRPr="0062622A">
        <w:rPr>
          <w:rFonts w:ascii="Book Antiqua" w:eastAsia="宋体" w:hAnsi="Book Antiqua" w:cs="Times New Roman"/>
          <w:b/>
          <w:sz w:val="24"/>
          <w:szCs w:val="24"/>
          <w:lang w:eastAsia="zh-CN"/>
        </w:rPr>
        <w:t>Primignani M</w:t>
      </w:r>
      <w:r w:rsidRPr="0062622A">
        <w:rPr>
          <w:rFonts w:ascii="Book Antiqua" w:eastAsia="宋体" w:hAnsi="Book Antiqua" w:cs="Times New Roman"/>
          <w:sz w:val="24"/>
          <w:szCs w:val="24"/>
          <w:lang w:eastAsia="zh-CN"/>
        </w:rPr>
        <w:t xml:space="preserve">, Materia M, Preatoni P, Carta A, Morbin T. Does endoscopic treatment of esophageal varices with sclerotherapy (ES) or ligation (EL) influence the evolution of </w:t>
      </w:r>
      <w:r w:rsidRPr="0062622A">
        <w:rPr>
          <w:rFonts w:ascii="Book Antiqua" w:eastAsia="宋体" w:hAnsi="Book Antiqua" w:cs="Times New Roman"/>
          <w:sz w:val="24"/>
          <w:szCs w:val="24"/>
          <w:lang w:eastAsia="zh-CN"/>
        </w:rPr>
        <w:lastRenderedPageBreak/>
        <w:t xml:space="preserve">portal hypertensive gastropathy (PHG) in cirrhotic patients? </w:t>
      </w:r>
      <w:r w:rsidRPr="0062622A">
        <w:rPr>
          <w:rFonts w:ascii="Book Antiqua" w:eastAsia="宋体" w:hAnsi="Book Antiqua" w:cs="Times New Roman"/>
          <w:i/>
          <w:sz w:val="24"/>
          <w:szCs w:val="24"/>
          <w:lang w:eastAsia="zh-CN"/>
        </w:rPr>
        <w:t>Gastroenterology</w:t>
      </w:r>
      <w:r w:rsidRPr="0062622A">
        <w:rPr>
          <w:rFonts w:ascii="Book Antiqua" w:eastAsia="宋体" w:hAnsi="Book Antiqua" w:cs="Times New Roman"/>
          <w:sz w:val="24"/>
          <w:szCs w:val="24"/>
          <w:lang w:eastAsia="zh-CN"/>
        </w:rPr>
        <w:t xml:space="preserve"> 1998; </w:t>
      </w:r>
      <w:r w:rsidRPr="0062622A">
        <w:rPr>
          <w:rFonts w:ascii="Book Antiqua" w:eastAsia="宋体" w:hAnsi="Book Antiqua" w:cs="Times New Roman"/>
          <w:b/>
          <w:sz w:val="24"/>
          <w:szCs w:val="24"/>
          <w:lang w:eastAsia="zh-CN"/>
        </w:rPr>
        <w:t>114</w:t>
      </w:r>
      <w:r w:rsidRPr="0062622A">
        <w:rPr>
          <w:rFonts w:ascii="Book Antiqua" w:eastAsia="宋体" w:hAnsi="Book Antiqua" w:cs="Times New Roman"/>
          <w:sz w:val="24"/>
          <w:szCs w:val="24"/>
          <w:lang w:eastAsia="zh-CN"/>
        </w:rPr>
        <w:t>; A1324 [DOI: 10.1016/S0016-5085(98)85375-4]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98 </w:t>
      </w:r>
      <w:r w:rsidRPr="0062622A">
        <w:rPr>
          <w:rFonts w:ascii="Book Antiqua" w:eastAsia="宋体" w:hAnsi="Book Antiqua" w:cs="Times New Roman"/>
          <w:b/>
          <w:bCs/>
          <w:sz w:val="24"/>
          <w:szCs w:val="24"/>
          <w:lang w:eastAsia="zh-CN"/>
        </w:rPr>
        <w:t>Ashraf P</w:t>
      </w:r>
      <w:r w:rsidRPr="0062622A">
        <w:rPr>
          <w:rFonts w:ascii="Book Antiqua" w:eastAsia="宋体" w:hAnsi="Book Antiqua" w:cs="Times New Roman"/>
          <w:sz w:val="24"/>
          <w:szCs w:val="24"/>
          <w:lang w:eastAsia="zh-CN"/>
        </w:rPr>
        <w:t>, Shah GM, Shaikh H, Manan A, Kumar M. Transjugular intrahepatic portosystemic stenting in Portal Hypertensive Gastropathy. </w:t>
      </w:r>
      <w:r w:rsidRPr="0062622A">
        <w:rPr>
          <w:rFonts w:ascii="Book Antiqua" w:eastAsia="宋体" w:hAnsi="Book Antiqua" w:cs="Times New Roman"/>
          <w:i/>
          <w:iCs/>
          <w:sz w:val="24"/>
          <w:szCs w:val="24"/>
          <w:lang w:eastAsia="zh-CN"/>
        </w:rPr>
        <w:t>J Coll Physicians Surg Pak</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19</w:t>
      </w:r>
      <w:r w:rsidRPr="0062622A">
        <w:rPr>
          <w:rFonts w:ascii="Book Antiqua" w:eastAsia="宋体" w:hAnsi="Book Antiqua" w:cs="Times New Roman"/>
          <w:sz w:val="24"/>
          <w:szCs w:val="24"/>
          <w:lang w:eastAsia="zh-CN"/>
        </w:rPr>
        <w:t>: 584-585 [PMID: 19728947 DOI: 09.2009/JCPSP.584585]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99 </w:t>
      </w:r>
      <w:r w:rsidRPr="0062622A">
        <w:rPr>
          <w:rFonts w:ascii="Book Antiqua" w:eastAsia="宋体" w:hAnsi="Book Antiqua" w:cs="Times New Roman"/>
          <w:b/>
          <w:bCs/>
          <w:sz w:val="24"/>
          <w:szCs w:val="24"/>
          <w:lang w:eastAsia="zh-CN"/>
        </w:rPr>
        <w:t>Ohmagari K</w:t>
      </w:r>
      <w:r w:rsidRPr="0062622A">
        <w:rPr>
          <w:rFonts w:ascii="Book Antiqua" w:eastAsia="宋体" w:hAnsi="Book Antiqua" w:cs="Times New Roman"/>
          <w:sz w:val="24"/>
          <w:szCs w:val="24"/>
          <w:lang w:eastAsia="zh-CN"/>
        </w:rPr>
        <w:t>, Toyonaga A, Tanikawa K. Effects of transcatheter splenic arterial embolization on portal hypertensive gastric mucosa.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1993; </w:t>
      </w:r>
      <w:r w:rsidRPr="0062622A">
        <w:rPr>
          <w:rFonts w:ascii="Book Antiqua" w:eastAsia="宋体" w:hAnsi="Book Antiqua" w:cs="Times New Roman"/>
          <w:b/>
          <w:bCs/>
          <w:sz w:val="24"/>
          <w:szCs w:val="24"/>
          <w:lang w:eastAsia="zh-CN"/>
        </w:rPr>
        <w:t>88</w:t>
      </w:r>
      <w:r w:rsidRPr="0062622A">
        <w:rPr>
          <w:rFonts w:ascii="Book Antiqua" w:eastAsia="宋体" w:hAnsi="Book Antiqua" w:cs="Times New Roman"/>
          <w:sz w:val="24"/>
          <w:szCs w:val="24"/>
          <w:lang w:eastAsia="zh-CN"/>
        </w:rPr>
        <w:t>: 1837-1841 [PMID: 8237929]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100 </w:t>
      </w:r>
      <w:r w:rsidRPr="0062622A">
        <w:rPr>
          <w:rFonts w:ascii="Book Antiqua" w:eastAsia="宋体" w:hAnsi="Book Antiqua" w:cs="Times New Roman"/>
          <w:b/>
          <w:bCs/>
          <w:sz w:val="24"/>
          <w:szCs w:val="24"/>
          <w:lang w:eastAsia="zh-CN"/>
        </w:rPr>
        <w:t>Orloff MJ</w:t>
      </w:r>
      <w:r w:rsidRPr="0062622A">
        <w:rPr>
          <w:rFonts w:ascii="Book Antiqua" w:eastAsia="宋体" w:hAnsi="Book Antiqua" w:cs="Times New Roman"/>
          <w:sz w:val="24"/>
          <w:szCs w:val="24"/>
          <w:lang w:eastAsia="zh-CN"/>
        </w:rPr>
        <w:t>, Orloff MS, Orloff SL, Haynes KS. Treatment of bleeding from portal hypertensive gastropathy by portacaval shunt.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21</w:t>
      </w:r>
      <w:r w:rsidRPr="0062622A">
        <w:rPr>
          <w:rFonts w:ascii="Book Antiqua" w:eastAsia="宋体" w:hAnsi="Book Antiqua" w:cs="Times New Roman"/>
          <w:sz w:val="24"/>
          <w:szCs w:val="24"/>
          <w:lang w:eastAsia="zh-CN"/>
        </w:rPr>
        <w:t>: 1011-1017 [PMID: 7705773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10.1016/0270-9139(95)90248-1]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101 </w:t>
      </w:r>
      <w:r w:rsidRPr="0062622A">
        <w:rPr>
          <w:rFonts w:ascii="Book Antiqua" w:eastAsia="宋体" w:hAnsi="Book Antiqua" w:cs="Times New Roman"/>
          <w:b/>
          <w:bCs/>
          <w:sz w:val="24"/>
          <w:szCs w:val="24"/>
          <w:lang w:eastAsia="zh-CN"/>
        </w:rPr>
        <w:t>Soin AS</w:t>
      </w:r>
      <w:r w:rsidRPr="0062622A">
        <w:rPr>
          <w:rFonts w:ascii="Book Antiqua" w:eastAsia="宋体" w:hAnsi="Book Antiqua" w:cs="Times New Roman"/>
          <w:sz w:val="24"/>
          <w:szCs w:val="24"/>
          <w:lang w:eastAsia="zh-CN"/>
        </w:rPr>
        <w:t>, Acharya SK, Mathur M, Sahni P, Nundy S. Portal hypertensive gastropathy in noncirrhotic patients. The effect of lienorenal shunts. </w:t>
      </w:r>
      <w:r w:rsidRPr="0062622A">
        <w:rPr>
          <w:rFonts w:ascii="Book Antiqua" w:eastAsia="宋体" w:hAnsi="Book Antiqua" w:cs="Times New Roman"/>
          <w:i/>
          <w:iCs/>
          <w:sz w:val="24"/>
          <w:szCs w:val="24"/>
          <w:lang w:eastAsia="zh-CN"/>
        </w:rPr>
        <w:t>J Clin Gastroenterol</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26</w:t>
      </w:r>
      <w:r w:rsidRPr="0062622A">
        <w:rPr>
          <w:rFonts w:ascii="Book Antiqua" w:eastAsia="宋体" w:hAnsi="Book Antiqua" w:cs="Times New Roman"/>
          <w:sz w:val="24"/>
          <w:szCs w:val="24"/>
          <w:lang w:eastAsia="zh-CN"/>
        </w:rPr>
        <w:t>: 64-7; discussion 68 [PMID: 9492868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10.1097/00004836-199801000-00017]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102 </w:t>
      </w:r>
      <w:r w:rsidRPr="0062622A">
        <w:rPr>
          <w:rFonts w:ascii="Book Antiqua" w:eastAsia="宋体" w:hAnsi="Book Antiqua" w:cs="Times New Roman"/>
          <w:b/>
          <w:bCs/>
          <w:sz w:val="24"/>
          <w:szCs w:val="24"/>
          <w:lang w:eastAsia="zh-CN"/>
        </w:rPr>
        <w:t>Boyer TD</w:t>
      </w:r>
      <w:r w:rsidRPr="0062622A">
        <w:rPr>
          <w:rFonts w:ascii="Book Antiqua" w:eastAsia="宋体" w:hAnsi="Book Antiqua" w:cs="Times New Roman"/>
          <w:sz w:val="24"/>
          <w:szCs w:val="24"/>
          <w:lang w:eastAsia="zh-CN"/>
        </w:rPr>
        <w:t>, Haskal ZJ. The role of transjugular intrahepatic portosystemic shunt in the management of portal hypertension.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2005; </w:t>
      </w:r>
      <w:r w:rsidRPr="0062622A">
        <w:rPr>
          <w:rFonts w:ascii="Book Antiqua" w:eastAsia="宋体" w:hAnsi="Book Antiqua" w:cs="Times New Roman"/>
          <w:b/>
          <w:bCs/>
          <w:sz w:val="24"/>
          <w:szCs w:val="24"/>
          <w:lang w:eastAsia="zh-CN"/>
        </w:rPr>
        <w:t>41</w:t>
      </w:r>
      <w:r w:rsidRPr="0062622A">
        <w:rPr>
          <w:rFonts w:ascii="Book Antiqua" w:eastAsia="宋体" w:hAnsi="Book Antiqua" w:cs="Times New Roman"/>
          <w:sz w:val="24"/>
          <w:szCs w:val="24"/>
          <w:lang w:eastAsia="zh-CN"/>
        </w:rPr>
        <w:t>: 386-400 [PMID: 15660434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10.1002/hep.20559]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103 </w:t>
      </w:r>
      <w:r w:rsidRPr="0062622A">
        <w:rPr>
          <w:rFonts w:ascii="Book Antiqua" w:eastAsia="宋体" w:hAnsi="Book Antiqua" w:cs="Times New Roman"/>
          <w:b/>
          <w:bCs/>
          <w:sz w:val="24"/>
          <w:szCs w:val="24"/>
          <w:lang w:eastAsia="zh-CN"/>
        </w:rPr>
        <w:t>Pérez-Ayuso RM</w:t>
      </w:r>
      <w:r w:rsidRPr="0062622A">
        <w:rPr>
          <w:rFonts w:ascii="Book Antiqua" w:eastAsia="宋体" w:hAnsi="Book Antiqua" w:cs="Times New Roman"/>
          <w:sz w:val="24"/>
          <w:szCs w:val="24"/>
          <w:lang w:eastAsia="zh-CN"/>
        </w:rPr>
        <w:t>, Piqué JM, Bosch J, Panés J, González A, Pérez R, Rigau J, Quintero E, Valderrama R, Viver J. Propranolol in prevention of recurrent bleeding from severe portal hypertensive gastropathy in cirrhosis. </w:t>
      </w:r>
      <w:r w:rsidRPr="0062622A">
        <w:rPr>
          <w:rFonts w:ascii="Book Antiqua" w:eastAsia="宋体" w:hAnsi="Book Antiqua" w:cs="Times New Roman"/>
          <w:i/>
          <w:iCs/>
          <w:sz w:val="24"/>
          <w:szCs w:val="24"/>
          <w:lang w:eastAsia="zh-CN"/>
        </w:rPr>
        <w:t>Lancet</w:t>
      </w:r>
      <w:r w:rsidRPr="0062622A">
        <w:rPr>
          <w:rFonts w:ascii="Book Antiqua" w:eastAsia="宋体" w:hAnsi="Book Antiqua" w:cs="Times New Roman"/>
          <w:sz w:val="24"/>
          <w:szCs w:val="24"/>
          <w:lang w:eastAsia="zh-CN"/>
        </w:rPr>
        <w:t> 1991; </w:t>
      </w:r>
      <w:r w:rsidRPr="0062622A">
        <w:rPr>
          <w:rFonts w:ascii="Book Antiqua" w:eastAsia="宋体" w:hAnsi="Book Antiqua" w:cs="Times New Roman"/>
          <w:b/>
          <w:bCs/>
          <w:sz w:val="24"/>
          <w:szCs w:val="24"/>
          <w:lang w:eastAsia="zh-CN"/>
        </w:rPr>
        <w:t>337</w:t>
      </w:r>
      <w:r w:rsidRPr="0062622A">
        <w:rPr>
          <w:rFonts w:ascii="Book Antiqua" w:eastAsia="宋体" w:hAnsi="Book Antiqua" w:cs="Times New Roman"/>
          <w:sz w:val="24"/>
          <w:szCs w:val="24"/>
          <w:lang w:eastAsia="zh-CN"/>
        </w:rPr>
        <w:t>: 1431-1434 [PMID: 1675316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10.1016/0140-6736(91)93125-S]</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104 </w:t>
      </w:r>
      <w:r w:rsidRPr="0062622A">
        <w:rPr>
          <w:rFonts w:ascii="Book Antiqua" w:eastAsia="宋体" w:hAnsi="Book Antiqua" w:cs="Times New Roman"/>
          <w:b/>
          <w:bCs/>
          <w:sz w:val="24"/>
          <w:szCs w:val="24"/>
          <w:lang w:eastAsia="zh-CN"/>
        </w:rPr>
        <w:t>Hosking SW</w:t>
      </w:r>
      <w:r w:rsidRPr="0062622A">
        <w:rPr>
          <w:rFonts w:ascii="Book Antiqua" w:eastAsia="宋体" w:hAnsi="Book Antiqua" w:cs="Times New Roman"/>
          <w:sz w:val="24"/>
          <w:szCs w:val="24"/>
          <w:lang w:eastAsia="zh-CN"/>
        </w:rPr>
        <w:t>, Kennedy HJ, Seddon I, Triger DR. The role of propranolol in congestive gastropathy of portal hypertension.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1997</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7</w:t>
      </w:r>
      <w:r w:rsidRPr="0062622A">
        <w:rPr>
          <w:rFonts w:ascii="Book Antiqua" w:eastAsia="宋体" w:hAnsi="Book Antiqua" w:cs="Times New Roman"/>
          <w:sz w:val="24"/>
          <w:szCs w:val="24"/>
          <w:lang w:eastAsia="zh-CN"/>
        </w:rPr>
        <w:t>: 437-441 [PMID: 3552921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10.1002/hep.1840070304]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105 </w:t>
      </w:r>
      <w:r w:rsidRPr="0062622A">
        <w:rPr>
          <w:rFonts w:ascii="Book Antiqua" w:eastAsia="宋体" w:hAnsi="Book Antiqua" w:cs="Times New Roman"/>
          <w:b/>
          <w:bCs/>
          <w:sz w:val="24"/>
          <w:szCs w:val="24"/>
          <w:lang w:eastAsia="zh-CN"/>
        </w:rPr>
        <w:t>Kouroumalis EA</w:t>
      </w:r>
      <w:r w:rsidRPr="0062622A">
        <w:rPr>
          <w:rFonts w:ascii="Book Antiqua" w:eastAsia="宋体" w:hAnsi="Book Antiqua" w:cs="Times New Roman"/>
          <w:sz w:val="24"/>
          <w:szCs w:val="24"/>
          <w:lang w:eastAsia="zh-CN"/>
        </w:rPr>
        <w:t>, Koutroubakis IE, Manousos ON. Somatostatin for acute severe bleeding from portal hypertensive gastropathy. </w:t>
      </w:r>
      <w:r w:rsidRPr="0062622A">
        <w:rPr>
          <w:rFonts w:ascii="Book Antiqua" w:eastAsia="宋体" w:hAnsi="Book Antiqua" w:cs="Times New Roman"/>
          <w:i/>
          <w:iCs/>
          <w:sz w:val="24"/>
          <w:szCs w:val="24"/>
          <w:lang w:eastAsia="zh-CN"/>
        </w:rPr>
        <w:t>Eur J Gastroenterol Hepatol</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10</w:t>
      </w:r>
      <w:r w:rsidRPr="0062622A">
        <w:rPr>
          <w:rFonts w:ascii="Book Antiqua" w:eastAsia="宋体" w:hAnsi="Book Antiqua" w:cs="Times New Roman"/>
          <w:sz w:val="24"/>
          <w:szCs w:val="24"/>
          <w:lang w:eastAsia="zh-CN"/>
        </w:rPr>
        <w:t>: 509-512 [PMID: 9855068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10.1097/00042737-199806000-00013]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106 </w:t>
      </w:r>
      <w:r w:rsidRPr="0062622A">
        <w:rPr>
          <w:rFonts w:ascii="Book Antiqua" w:eastAsia="宋体" w:hAnsi="Book Antiqua" w:cs="Times New Roman"/>
          <w:b/>
          <w:bCs/>
          <w:sz w:val="24"/>
          <w:szCs w:val="24"/>
          <w:lang w:eastAsia="zh-CN"/>
        </w:rPr>
        <w:t>Zhou Y</w:t>
      </w:r>
      <w:r w:rsidRPr="0062622A">
        <w:rPr>
          <w:rFonts w:ascii="Book Antiqua" w:eastAsia="宋体" w:hAnsi="Book Antiqua" w:cs="Times New Roman"/>
          <w:sz w:val="24"/>
          <w:szCs w:val="24"/>
          <w:lang w:eastAsia="zh-CN"/>
        </w:rPr>
        <w:t xml:space="preserve">, Qiao L, Wu J, Hu H, Xu C. Comparison of the efficacy of octreotide, vasopressin, and omeprazole in the control of acute bleeding in patients with portal </w:t>
      </w:r>
      <w:r w:rsidRPr="0062622A">
        <w:rPr>
          <w:rFonts w:ascii="Book Antiqua" w:eastAsia="宋体" w:hAnsi="Book Antiqua" w:cs="Times New Roman"/>
          <w:sz w:val="24"/>
          <w:szCs w:val="24"/>
          <w:lang w:eastAsia="zh-CN"/>
        </w:rPr>
        <w:lastRenderedPageBreak/>
        <w:t>hypertensive gastropathy: a controlled study.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17</w:t>
      </w:r>
      <w:r w:rsidRPr="0062622A">
        <w:rPr>
          <w:rFonts w:ascii="Book Antiqua" w:eastAsia="宋体" w:hAnsi="Book Antiqua" w:cs="Times New Roman"/>
          <w:sz w:val="24"/>
          <w:szCs w:val="24"/>
          <w:lang w:eastAsia="zh-CN"/>
        </w:rPr>
        <w:t>: 973-979 [PMID: 12167118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10.1046/j.1440-1746.2002.02775.x]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107 </w:t>
      </w:r>
      <w:r w:rsidRPr="0062622A">
        <w:rPr>
          <w:rFonts w:ascii="Book Antiqua" w:eastAsia="宋体" w:hAnsi="Book Antiqua" w:cs="Times New Roman"/>
          <w:b/>
          <w:bCs/>
          <w:sz w:val="24"/>
          <w:szCs w:val="24"/>
          <w:lang w:eastAsia="zh-CN"/>
        </w:rPr>
        <w:t>Bruha R</w:t>
      </w:r>
      <w:r w:rsidRPr="0062622A">
        <w:rPr>
          <w:rFonts w:ascii="Book Antiqua" w:eastAsia="宋体" w:hAnsi="Book Antiqua" w:cs="Times New Roman"/>
          <w:sz w:val="24"/>
          <w:szCs w:val="24"/>
          <w:lang w:eastAsia="zh-CN"/>
        </w:rPr>
        <w:t>, Marecek Z, Spicak J, Hulek P, Lata J, Petrtyl J, Urbanek P, Taimr P, Volfova M, Dite P. Double-blind randomized, comparative multicenter study of the effect of terlipressin in the treatment of acute esophageal variceal and/or hypertensive gastropathy bleeding. </w:t>
      </w:r>
      <w:r w:rsidRPr="0062622A">
        <w:rPr>
          <w:rFonts w:ascii="Book Antiqua" w:eastAsia="宋体" w:hAnsi="Book Antiqua" w:cs="Times New Roman"/>
          <w:i/>
          <w:iCs/>
          <w:sz w:val="24"/>
          <w:szCs w:val="24"/>
          <w:lang w:eastAsia="zh-CN"/>
        </w:rPr>
        <w:t>Hepatogastroenterology</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2002</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49</w:t>
      </w:r>
      <w:r w:rsidRPr="0062622A">
        <w:rPr>
          <w:rFonts w:ascii="Book Antiqua" w:eastAsia="宋体" w:hAnsi="Book Antiqua" w:cs="Times New Roman"/>
          <w:sz w:val="24"/>
          <w:szCs w:val="24"/>
          <w:lang w:eastAsia="zh-CN"/>
        </w:rPr>
        <w:t>: 1161-1166 [PMID: 12143227]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108 </w:t>
      </w:r>
      <w:r w:rsidRPr="0062622A">
        <w:rPr>
          <w:rFonts w:ascii="Book Antiqua" w:eastAsia="宋体" w:hAnsi="Book Antiqua" w:cs="Times New Roman"/>
          <w:b/>
          <w:bCs/>
          <w:sz w:val="24"/>
          <w:szCs w:val="24"/>
          <w:lang w:eastAsia="zh-CN"/>
        </w:rPr>
        <w:t>Mori T</w:t>
      </w:r>
      <w:r w:rsidRPr="0062622A">
        <w:rPr>
          <w:rFonts w:ascii="Book Antiqua" w:eastAsia="宋体" w:hAnsi="Book Antiqua" w:cs="Times New Roman"/>
          <w:sz w:val="24"/>
          <w:szCs w:val="24"/>
          <w:lang w:eastAsia="zh-CN"/>
        </w:rPr>
        <w:t>, Aisa Y, Yajima T, Shimizu T, Kato J, Nakazato T, Hibi T, Ikeda Y, Okamoto S. Esophageal varices and portal hypertensive gastropathy associated with hepatic veno-occlusive disease after allogeneic hematopoietic stem cell transplantation. </w:t>
      </w:r>
      <w:r w:rsidRPr="0062622A">
        <w:rPr>
          <w:rFonts w:ascii="Book Antiqua" w:eastAsia="宋体" w:hAnsi="Book Antiqua" w:cs="Times New Roman"/>
          <w:i/>
          <w:iCs/>
          <w:sz w:val="24"/>
          <w:szCs w:val="24"/>
          <w:lang w:eastAsia="zh-CN"/>
        </w:rPr>
        <w:t>Int J Hematol</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87</w:t>
      </w:r>
      <w:r w:rsidRPr="0062622A">
        <w:rPr>
          <w:rFonts w:ascii="Book Antiqua" w:eastAsia="宋体" w:hAnsi="Book Antiqua" w:cs="Times New Roman"/>
          <w:sz w:val="24"/>
          <w:szCs w:val="24"/>
          <w:lang w:eastAsia="zh-CN"/>
        </w:rPr>
        <w:t>: 231-232 [PMID: 18256788 DOI: 10.1007/s12185-008-0023-5]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109 </w:t>
      </w:r>
      <w:r w:rsidRPr="0062622A">
        <w:rPr>
          <w:rFonts w:ascii="Book Antiqua" w:eastAsia="宋体" w:hAnsi="Book Antiqua" w:cs="Times New Roman"/>
          <w:b/>
          <w:bCs/>
          <w:sz w:val="24"/>
          <w:szCs w:val="24"/>
          <w:lang w:eastAsia="zh-CN"/>
        </w:rPr>
        <w:t>Urso G</w:t>
      </w:r>
      <w:r w:rsidRPr="0062622A">
        <w:rPr>
          <w:rFonts w:ascii="Book Antiqua" w:eastAsia="宋体" w:hAnsi="Book Antiqua" w:cs="Times New Roman"/>
          <w:sz w:val="24"/>
          <w:szCs w:val="24"/>
          <w:lang w:eastAsia="zh-CN"/>
        </w:rPr>
        <w:t>, Interlandi D, Puglisi M, Abate G, Bertino G, Raciti C, Sciacca C, Bruno M, Panarello A, Di Prima P, La Rosa G. Role of Helicobacter pylori in patients with portal hypertensive gastropathy by liver cirrhosis hepatitis C virus-related. </w:t>
      </w:r>
      <w:r w:rsidRPr="0062622A">
        <w:rPr>
          <w:rFonts w:ascii="Book Antiqua" w:eastAsia="宋体" w:hAnsi="Book Antiqua" w:cs="Times New Roman"/>
          <w:i/>
          <w:iCs/>
          <w:sz w:val="24"/>
          <w:szCs w:val="24"/>
          <w:lang w:eastAsia="zh-CN"/>
        </w:rPr>
        <w:t>Minerva Gastroenterol Dietol</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52</w:t>
      </w:r>
      <w:r w:rsidRPr="0062622A">
        <w:rPr>
          <w:rFonts w:ascii="Book Antiqua" w:eastAsia="宋体" w:hAnsi="Book Antiqua" w:cs="Times New Roman"/>
          <w:sz w:val="24"/>
          <w:szCs w:val="24"/>
          <w:lang w:eastAsia="zh-CN"/>
        </w:rPr>
        <w:t>: 303-308 [PMID: 16971874]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110 </w:t>
      </w:r>
      <w:r w:rsidRPr="0062622A">
        <w:rPr>
          <w:rFonts w:ascii="Book Antiqua" w:eastAsia="宋体" w:hAnsi="Book Antiqua" w:cs="Times New Roman"/>
          <w:b/>
          <w:bCs/>
          <w:sz w:val="24"/>
          <w:szCs w:val="24"/>
          <w:lang w:eastAsia="zh-CN"/>
        </w:rPr>
        <w:t>Al Mofleh IA</w:t>
      </w:r>
      <w:r w:rsidRPr="0062622A">
        <w:rPr>
          <w:rFonts w:ascii="Book Antiqua" w:eastAsia="宋体" w:hAnsi="Book Antiqua" w:cs="Times New Roman"/>
          <w:sz w:val="24"/>
          <w:szCs w:val="24"/>
          <w:lang w:eastAsia="zh-CN"/>
        </w:rPr>
        <w:t>. Does Helicobacter pylori affect portal hypertensive gastropathy? </w:t>
      </w:r>
      <w:r w:rsidRPr="0062622A">
        <w:rPr>
          <w:rFonts w:ascii="Book Antiqua" w:eastAsia="宋体" w:hAnsi="Book Antiqua" w:cs="Times New Roman"/>
          <w:i/>
          <w:iCs/>
          <w:sz w:val="24"/>
          <w:szCs w:val="24"/>
          <w:lang w:eastAsia="zh-CN"/>
        </w:rPr>
        <w:t>Saudi J Gastroenterol</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2007</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13</w:t>
      </w:r>
      <w:r w:rsidRPr="0062622A">
        <w:rPr>
          <w:rFonts w:ascii="Book Antiqua" w:eastAsia="宋体" w:hAnsi="Book Antiqua" w:cs="Times New Roman"/>
          <w:sz w:val="24"/>
          <w:szCs w:val="24"/>
          <w:lang w:eastAsia="zh-CN"/>
        </w:rPr>
        <w:t>: 95-97 [PMID: 19858622 DOI: 10.4103/1319-3767.32186]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111 </w:t>
      </w:r>
      <w:r w:rsidRPr="0062622A">
        <w:rPr>
          <w:rFonts w:ascii="Book Antiqua" w:eastAsia="宋体" w:hAnsi="Book Antiqua" w:cs="Times New Roman"/>
          <w:b/>
          <w:bCs/>
          <w:sz w:val="24"/>
          <w:szCs w:val="24"/>
          <w:lang w:eastAsia="zh-CN"/>
        </w:rPr>
        <w:t>Bayraktar Y</w:t>
      </w:r>
      <w:r w:rsidRPr="0062622A">
        <w:rPr>
          <w:rFonts w:ascii="Book Antiqua" w:eastAsia="宋体" w:hAnsi="Book Antiqua" w:cs="Times New Roman"/>
          <w:sz w:val="24"/>
          <w:szCs w:val="24"/>
          <w:lang w:eastAsia="zh-CN"/>
        </w:rPr>
        <w:t>, Balkanci F, Uzunalimoglu B, Gokoz A, Koseoglu T, Batman F, Gurakar A, Van Thiel DH, Kayhan B. Is portal hypertension due to liver cirrhosis a major factor in the development of portal hypertensive gastropathy?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91</w:t>
      </w:r>
      <w:r w:rsidRPr="0062622A">
        <w:rPr>
          <w:rFonts w:ascii="Book Antiqua" w:eastAsia="宋体" w:hAnsi="Book Antiqua" w:cs="Times New Roman"/>
          <w:sz w:val="24"/>
          <w:szCs w:val="24"/>
          <w:lang w:eastAsia="zh-CN"/>
        </w:rPr>
        <w:t>: 554-558 [PMID: 8633508]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 xml:space="preserve">112 </w:t>
      </w:r>
      <w:r w:rsidRPr="0062622A">
        <w:rPr>
          <w:rFonts w:ascii="Book Antiqua" w:eastAsia="宋体" w:hAnsi="Book Antiqua" w:cs="Times New Roman"/>
          <w:b/>
          <w:sz w:val="24"/>
          <w:szCs w:val="24"/>
          <w:lang w:eastAsia="zh-CN"/>
        </w:rPr>
        <w:t>Thuluvath PJ</w:t>
      </w:r>
      <w:r w:rsidRPr="0062622A">
        <w:rPr>
          <w:rFonts w:ascii="Book Antiqua" w:eastAsia="宋体" w:hAnsi="Book Antiqua" w:cs="Times New Roman"/>
          <w:sz w:val="24"/>
          <w:szCs w:val="24"/>
          <w:lang w:eastAsia="zh-CN"/>
        </w:rPr>
        <w:t xml:space="preserve">. Management of upper gastrointestinal hemorrhage related to portal hypertension. In: Yamada T, Alpers DH, Kalloo AN, Kaplowitz N, Owyang C, Powell DW, eds. Textbook of Gastroenterology. </w:t>
      </w:r>
      <w:r w:rsidRPr="0062622A">
        <w:rPr>
          <w:rFonts w:ascii="Book Antiqua" w:eastAsia="宋体" w:hAnsi="Book Antiqua" w:cs="Times New Roman" w:hint="eastAsia"/>
          <w:sz w:val="24"/>
          <w:szCs w:val="24"/>
          <w:lang w:eastAsia="zh-CN"/>
        </w:rPr>
        <w:t>5</w:t>
      </w:r>
      <w:r w:rsidRPr="0062622A">
        <w:rPr>
          <w:rFonts w:ascii="Book Antiqua" w:eastAsia="宋体" w:hAnsi="Book Antiqua" w:cs="Times New Roman"/>
          <w:sz w:val="24"/>
          <w:szCs w:val="24"/>
          <w:lang w:eastAsia="zh-CN"/>
        </w:rPr>
        <w:t>th ed. Wiley-Blackwell</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2009</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2897-3017</w:t>
      </w:r>
      <w:r w:rsidRPr="0062622A">
        <w:rPr>
          <w:rFonts w:ascii="Book Antiqua" w:eastAsia="宋体" w:hAnsi="Book Antiqua" w:cs="Times New Roman" w:hint="eastAsia"/>
          <w:sz w:val="24"/>
          <w:szCs w:val="24"/>
          <w:lang w:eastAsia="zh-CN"/>
        </w:rPr>
        <w:t xml:space="preserve"> [DOI: </w:t>
      </w:r>
      <w:r w:rsidRPr="0062622A">
        <w:rPr>
          <w:rFonts w:ascii="Book Antiqua" w:eastAsia="宋体" w:hAnsi="Book Antiqua" w:cs="Times New Roman"/>
          <w:sz w:val="24"/>
          <w:szCs w:val="24"/>
          <w:lang w:eastAsia="zh-CN"/>
        </w:rPr>
        <w:t>10.1002/9781444303414.ch89</w:t>
      </w:r>
      <w:r w:rsidRPr="0062622A">
        <w:rPr>
          <w:rFonts w:ascii="Book Antiqua" w:eastAsia="宋体" w:hAnsi="Book Antiqua" w:cs="Times New Roman" w:hint="eastAsia"/>
          <w:sz w:val="24"/>
          <w:szCs w:val="24"/>
          <w:lang w:eastAsia="zh-CN"/>
        </w:rPr>
        <w:t>]</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113 </w:t>
      </w:r>
      <w:r w:rsidRPr="0062622A">
        <w:rPr>
          <w:rFonts w:ascii="Book Antiqua" w:eastAsia="宋体" w:hAnsi="Book Antiqua" w:cs="Times New Roman"/>
          <w:b/>
          <w:bCs/>
          <w:sz w:val="24"/>
          <w:szCs w:val="24"/>
          <w:lang w:eastAsia="zh-CN"/>
        </w:rPr>
        <w:t>Ohta M</w:t>
      </w:r>
      <w:r w:rsidRPr="0062622A">
        <w:rPr>
          <w:rFonts w:ascii="Book Antiqua" w:eastAsia="宋体" w:hAnsi="Book Antiqua" w:cs="Times New Roman"/>
          <w:sz w:val="24"/>
          <w:szCs w:val="24"/>
          <w:lang w:eastAsia="zh-CN"/>
        </w:rPr>
        <w:t>, Yamaguchi S, Gotoh N, Tomikawa M. Pathogenesis of portal hypertensive gastropathy: a clinical and experimental review. </w:t>
      </w:r>
      <w:r w:rsidRPr="0062622A">
        <w:rPr>
          <w:rFonts w:ascii="Book Antiqua" w:eastAsia="宋体" w:hAnsi="Book Antiqua" w:cs="Times New Roman"/>
          <w:i/>
          <w:iCs/>
          <w:sz w:val="24"/>
          <w:szCs w:val="24"/>
          <w:lang w:eastAsia="zh-CN"/>
        </w:rPr>
        <w:t>Surgery</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131</w:t>
      </w:r>
      <w:r w:rsidRPr="0062622A">
        <w:rPr>
          <w:rFonts w:ascii="Book Antiqua" w:eastAsia="宋体" w:hAnsi="Book Antiqua" w:cs="Times New Roman"/>
          <w:sz w:val="24"/>
          <w:szCs w:val="24"/>
          <w:lang w:eastAsia="zh-CN"/>
        </w:rPr>
        <w:t>: S165-S170 [PMID: 11821805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10.1067/msy.2002.119499]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114 </w:t>
      </w:r>
      <w:r w:rsidRPr="0062622A">
        <w:rPr>
          <w:rFonts w:ascii="Book Antiqua" w:eastAsia="宋体" w:hAnsi="Book Antiqua" w:cs="Times New Roman"/>
          <w:b/>
          <w:bCs/>
          <w:sz w:val="24"/>
          <w:szCs w:val="24"/>
          <w:lang w:eastAsia="zh-CN"/>
        </w:rPr>
        <w:t>Lopez-Talavera JC</w:t>
      </w:r>
      <w:r w:rsidRPr="0062622A">
        <w:rPr>
          <w:rFonts w:ascii="Book Antiqua" w:eastAsia="宋体" w:hAnsi="Book Antiqua" w:cs="Times New Roman"/>
          <w:sz w:val="24"/>
          <w:szCs w:val="24"/>
          <w:lang w:eastAsia="zh-CN"/>
        </w:rPr>
        <w:t xml:space="preserve">, Cadelina G, Olchowski J, Merrill W, Groszmann RJ. Thalidomide inhibits tumor necrosis factor alpha, decreases nitric oxide synthesis, and </w:t>
      </w:r>
      <w:r w:rsidRPr="0062622A">
        <w:rPr>
          <w:rFonts w:ascii="Book Antiqua" w:eastAsia="宋体" w:hAnsi="Book Antiqua" w:cs="Times New Roman"/>
          <w:sz w:val="24"/>
          <w:szCs w:val="24"/>
          <w:lang w:eastAsia="zh-CN"/>
        </w:rPr>
        <w:lastRenderedPageBreak/>
        <w:t>ameliorates the hyperdynamic circulatory syndrome in portal-hypertensive rats.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23</w:t>
      </w:r>
      <w:r w:rsidRPr="0062622A">
        <w:rPr>
          <w:rFonts w:ascii="Book Antiqua" w:eastAsia="宋体" w:hAnsi="Book Antiqua" w:cs="Times New Roman"/>
          <w:sz w:val="24"/>
          <w:szCs w:val="24"/>
          <w:lang w:eastAsia="zh-CN"/>
        </w:rPr>
        <w:t>: 1616-1621 [PMID: 8675185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10.1053/jhep.1996.v23.pm0008675185]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115 </w:t>
      </w:r>
      <w:r w:rsidRPr="0062622A">
        <w:rPr>
          <w:rFonts w:ascii="Book Antiqua" w:eastAsia="宋体" w:hAnsi="Book Antiqua" w:cs="Times New Roman"/>
          <w:b/>
          <w:bCs/>
          <w:sz w:val="24"/>
          <w:szCs w:val="24"/>
          <w:lang w:eastAsia="zh-CN"/>
        </w:rPr>
        <w:t>Blendis L</w:t>
      </w:r>
      <w:r w:rsidRPr="0062622A">
        <w:rPr>
          <w:rFonts w:ascii="Book Antiqua" w:eastAsia="宋体" w:hAnsi="Book Antiqua" w:cs="Times New Roman"/>
          <w:sz w:val="24"/>
          <w:szCs w:val="24"/>
          <w:lang w:eastAsia="zh-CN"/>
        </w:rPr>
        <w:t>, Wong F. The hyperdynamic circulation in cirrhosis: an overview. </w:t>
      </w:r>
      <w:r w:rsidRPr="0062622A">
        <w:rPr>
          <w:rFonts w:ascii="Book Antiqua" w:eastAsia="宋体" w:hAnsi="Book Antiqua" w:cs="Times New Roman"/>
          <w:i/>
          <w:iCs/>
          <w:sz w:val="24"/>
          <w:szCs w:val="24"/>
          <w:lang w:eastAsia="zh-CN"/>
        </w:rPr>
        <w:t>Pharmacol Ther</w:t>
      </w:r>
      <w:r w:rsidRPr="0062622A">
        <w:rPr>
          <w:rFonts w:ascii="Book Antiqua" w:eastAsia="宋体" w:hAnsi="Book Antiqua" w:cs="Times New Roman"/>
          <w:sz w:val="24"/>
          <w:szCs w:val="24"/>
          <w:lang w:eastAsia="zh-CN"/>
        </w:rPr>
        <w:t> 2001; </w:t>
      </w:r>
      <w:r w:rsidRPr="0062622A">
        <w:rPr>
          <w:rFonts w:ascii="Book Antiqua" w:eastAsia="宋体" w:hAnsi="Book Antiqua" w:cs="Times New Roman"/>
          <w:b/>
          <w:bCs/>
          <w:sz w:val="24"/>
          <w:szCs w:val="24"/>
          <w:lang w:eastAsia="zh-CN"/>
        </w:rPr>
        <w:t>89</w:t>
      </w:r>
      <w:r w:rsidRPr="0062622A">
        <w:rPr>
          <w:rFonts w:ascii="Book Antiqua" w:eastAsia="宋体" w:hAnsi="Book Antiqua" w:cs="Times New Roman"/>
          <w:sz w:val="24"/>
          <w:szCs w:val="24"/>
          <w:lang w:eastAsia="zh-CN"/>
        </w:rPr>
        <w:t>: 221-231 [PMID: 11516477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10.1016/S0163-7258(01)00124-3]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116 </w:t>
      </w:r>
      <w:r w:rsidRPr="0062622A">
        <w:rPr>
          <w:rFonts w:ascii="Book Antiqua" w:eastAsia="宋体" w:hAnsi="Book Antiqua" w:cs="Times New Roman"/>
          <w:b/>
          <w:bCs/>
          <w:sz w:val="24"/>
          <w:szCs w:val="24"/>
          <w:lang w:eastAsia="zh-CN"/>
        </w:rPr>
        <w:t>Hashizume M</w:t>
      </w:r>
      <w:r w:rsidRPr="0062622A">
        <w:rPr>
          <w:rFonts w:ascii="Book Antiqua" w:eastAsia="宋体" w:hAnsi="Book Antiqua" w:cs="Times New Roman"/>
          <w:sz w:val="24"/>
          <w:szCs w:val="24"/>
          <w:lang w:eastAsia="zh-CN"/>
        </w:rPr>
        <w:t>, Tanaka K, Inokuchi K. Morphology of gastric microcirculation in cirrhosis.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1993</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3</w:t>
      </w:r>
      <w:r w:rsidRPr="0062622A">
        <w:rPr>
          <w:rFonts w:ascii="Book Antiqua" w:eastAsia="宋体" w:hAnsi="Book Antiqua" w:cs="Times New Roman"/>
          <w:sz w:val="24"/>
          <w:szCs w:val="24"/>
          <w:lang w:eastAsia="zh-CN"/>
        </w:rPr>
        <w:t>: 1008-1012 [PMID: 6629315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10.1002/hep.1840030619]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117 </w:t>
      </w:r>
      <w:r w:rsidRPr="0062622A">
        <w:rPr>
          <w:rFonts w:ascii="Book Antiqua" w:eastAsia="宋体" w:hAnsi="Book Antiqua" w:cs="Times New Roman"/>
          <w:b/>
          <w:bCs/>
          <w:sz w:val="24"/>
          <w:szCs w:val="24"/>
          <w:lang w:eastAsia="zh-CN"/>
        </w:rPr>
        <w:t>Perini RF</w:t>
      </w:r>
      <w:r w:rsidRPr="0062622A">
        <w:rPr>
          <w:rFonts w:ascii="Book Antiqua" w:eastAsia="宋体" w:hAnsi="Book Antiqua" w:cs="Times New Roman"/>
          <w:sz w:val="24"/>
          <w:szCs w:val="24"/>
          <w:lang w:eastAsia="zh-CN"/>
        </w:rPr>
        <w:t>, Camara PR, Ferraz JG. Pathogenesis of portal hypertensive gastropathy: translating basic research into clinical practice. </w:t>
      </w:r>
      <w:r w:rsidRPr="0062622A">
        <w:rPr>
          <w:rFonts w:ascii="Book Antiqua" w:eastAsia="宋体" w:hAnsi="Book Antiqua" w:cs="Times New Roman"/>
          <w:i/>
          <w:iCs/>
          <w:sz w:val="24"/>
          <w:szCs w:val="24"/>
          <w:lang w:eastAsia="zh-CN"/>
        </w:rPr>
        <w:t>Nat Clin Pract Gastroenterol Hepatol</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6</w:t>
      </w:r>
      <w:r w:rsidRPr="0062622A">
        <w:rPr>
          <w:rFonts w:ascii="Book Antiqua" w:eastAsia="宋体" w:hAnsi="Book Antiqua" w:cs="Times New Roman"/>
          <w:sz w:val="24"/>
          <w:szCs w:val="24"/>
          <w:lang w:eastAsia="zh-CN"/>
        </w:rPr>
        <w:t>: 150-158 [PMID: 19190600 DOI: 10.1038/ncpgasthep1356]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 xml:space="preserve">118 </w:t>
      </w:r>
      <w:r w:rsidRPr="0062622A">
        <w:rPr>
          <w:rFonts w:ascii="Book Antiqua" w:eastAsia="宋体" w:hAnsi="Book Antiqua" w:cs="Times New Roman"/>
          <w:b/>
          <w:sz w:val="24"/>
          <w:szCs w:val="24"/>
          <w:lang w:eastAsia="zh-CN"/>
        </w:rPr>
        <w:t>Makhija S</w:t>
      </w:r>
      <w:r w:rsidRPr="0062622A">
        <w:rPr>
          <w:rFonts w:ascii="Book Antiqua" w:eastAsia="宋体" w:hAnsi="Book Antiqua" w:cs="Times New Roman"/>
          <w:sz w:val="24"/>
          <w:szCs w:val="24"/>
          <w:lang w:eastAsia="zh-CN"/>
        </w:rPr>
        <w:t>, Burak K, Beck PL. Portal hypertensive gastropathy and gastric antral vascular ectasia. In: Helmy A, editor. Portal hypertension: pathogenesis and management. New York: Nova Science Publishers Inc</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2006</w:t>
      </w:r>
      <w:r w:rsidRPr="0062622A">
        <w:rPr>
          <w:rFonts w:ascii="Book Antiqua" w:eastAsia="宋体" w:hAnsi="Book Antiqua" w:cs="Times New Roman" w:hint="eastAsia"/>
          <w:sz w:val="24"/>
          <w:szCs w:val="24"/>
          <w:lang w:eastAsia="zh-CN"/>
        </w:rPr>
        <w:t xml:space="preserve">: </w:t>
      </w:r>
      <w:r w:rsidRPr="0062622A">
        <w:rPr>
          <w:rFonts w:ascii="Book Antiqua" w:eastAsia="宋体" w:hAnsi="Book Antiqua" w:cs="Times New Roman"/>
          <w:sz w:val="24"/>
          <w:szCs w:val="24"/>
          <w:lang w:eastAsia="zh-CN"/>
        </w:rPr>
        <w:t>137-166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119 </w:t>
      </w:r>
      <w:r w:rsidRPr="0062622A">
        <w:rPr>
          <w:rFonts w:ascii="Book Antiqua" w:eastAsia="宋体" w:hAnsi="Book Antiqua" w:cs="Times New Roman"/>
          <w:b/>
          <w:bCs/>
          <w:sz w:val="24"/>
          <w:szCs w:val="24"/>
          <w:lang w:eastAsia="zh-CN"/>
        </w:rPr>
        <w:t>Nayeb-Hashemi H</w:t>
      </w:r>
      <w:r w:rsidRPr="0062622A">
        <w:rPr>
          <w:rFonts w:ascii="Book Antiqua" w:eastAsia="宋体" w:hAnsi="Book Antiqua" w:cs="Times New Roman"/>
          <w:sz w:val="24"/>
          <w:szCs w:val="24"/>
          <w:lang w:eastAsia="zh-CN"/>
        </w:rPr>
        <w:t>, Kaunitz JD. Gastroduodenal mucosal defense. </w:t>
      </w:r>
      <w:r w:rsidRPr="0062622A">
        <w:rPr>
          <w:rFonts w:ascii="Book Antiqua" w:eastAsia="宋体" w:hAnsi="Book Antiqua" w:cs="Times New Roman"/>
          <w:i/>
          <w:iCs/>
          <w:sz w:val="24"/>
          <w:szCs w:val="24"/>
          <w:lang w:eastAsia="zh-CN"/>
        </w:rPr>
        <w:t>Curr Opin Gastroenterol</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25</w:t>
      </w:r>
      <w:r w:rsidRPr="0062622A">
        <w:rPr>
          <w:rFonts w:ascii="Book Antiqua" w:eastAsia="宋体" w:hAnsi="Book Antiqua" w:cs="Times New Roman"/>
          <w:sz w:val="24"/>
          <w:szCs w:val="24"/>
          <w:lang w:eastAsia="zh-CN"/>
        </w:rPr>
        <w:t>: 537-543 [PMID: 19654540 DOI: 10.1097/MOG.0b013e328330da7b]</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120 </w:t>
      </w:r>
      <w:r w:rsidRPr="0062622A">
        <w:rPr>
          <w:rFonts w:ascii="Book Antiqua" w:eastAsia="宋体" w:hAnsi="Book Antiqua" w:cs="Times New Roman"/>
          <w:b/>
          <w:bCs/>
          <w:sz w:val="24"/>
          <w:szCs w:val="24"/>
          <w:lang w:eastAsia="zh-CN"/>
        </w:rPr>
        <w:t>Ferraz JG</w:t>
      </w:r>
      <w:r w:rsidRPr="0062622A">
        <w:rPr>
          <w:rFonts w:ascii="Book Antiqua" w:eastAsia="宋体" w:hAnsi="Book Antiqua" w:cs="Times New Roman"/>
          <w:sz w:val="24"/>
          <w:szCs w:val="24"/>
          <w:lang w:eastAsia="zh-CN"/>
        </w:rPr>
        <w:t>, Wallace JL. Underlying mechanisms of portal hypertensive gastropathy. </w:t>
      </w:r>
      <w:r w:rsidRPr="0062622A">
        <w:rPr>
          <w:rFonts w:ascii="Book Antiqua" w:eastAsia="宋体" w:hAnsi="Book Antiqua" w:cs="Times New Roman"/>
          <w:i/>
          <w:iCs/>
          <w:sz w:val="24"/>
          <w:szCs w:val="24"/>
          <w:lang w:eastAsia="zh-CN"/>
        </w:rPr>
        <w:t>J Clin Gastroenterol</w:t>
      </w:r>
      <w:r w:rsidRPr="0062622A">
        <w:rPr>
          <w:rFonts w:ascii="Book Antiqua" w:eastAsia="宋体" w:hAnsi="Book Antiqua" w:cs="Times New Roman"/>
          <w:sz w:val="24"/>
          <w:szCs w:val="24"/>
          <w:lang w:eastAsia="zh-CN"/>
        </w:rPr>
        <w:t> 1997; </w:t>
      </w:r>
      <w:r w:rsidRPr="0062622A">
        <w:rPr>
          <w:rFonts w:ascii="Book Antiqua" w:eastAsia="宋体" w:hAnsi="Book Antiqua" w:cs="Times New Roman"/>
          <w:b/>
          <w:bCs/>
          <w:sz w:val="24"/>
          <w:szCs w:val="24"/>
          <w:lang w:eastAsia="zh-CN"/>
        </w:rPr>
        <w:t xml:space="preserve">25 </w:t>
      </w:r>
      <w:r w:rsidRPr="0062622A">
        <w:rPr>
          <w:rFonts w:ascii="Book Antiqua" w:eastAsia="宋体" w:hAnsi="Book Antiqua" w:cs="Times New Roman"/>
          <w:bCs/>
          <w:sz w:val="24"/>
          <w:szCs w:val="24"/>
          <w:lang w:eastAsia="zh-CN"/>
        </w:rPr>
        <w:t>Suppl 1</w:t>
      </w:r>
      <w:r w:rsidRPr="0062622A">
        <w:rPr>
          <w:rFonts w:ascii="Book Antiqua" w:eastAsia="宋体" w:hAnsi="Book Antiqua" w:cs="Times New Roman"/>
          <w:sz w:val="24"/>
          <w:szCs w:val="24"/>
          <w:lang w:eastAsia="zh-CN"/>
        </w:rPr>
        <w:t>: S73-S78 [PMID: 9479629</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10.1097/00004836-199700001-00012]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121 </w:t>
      </w:r>
      <w:r w:rsidRPr="0062622A">
        <w:rPr>
          <w:rFonts w:ascii="Book Antiqua" w:eastAsia="宋体" w:hAnsi="Book Antiqua" w:cs="Times New Roman"/>
          <w:b/>
          <w:bCs/>
          <w:sz w:val="24"/>
          <w:szCs w:val="24"/>
          <w:lang w:eastAsia="zh-CN"/>
        </w:rPr>
        <w:t>Tarnawski AS</w:t>
      </w:r>
      <w:r w:rsidRPr="0062622A">
        <w:rPr>
          <w:rFonts w:ascii="Book Antiqua" w:eastAsia="宋体" w:hAnsi="Book Antiqua" w:cs="Times New Roman"/>
          <w:sz w:val="24"/>
          <w:szCs w:val="24"/>
          <w:lang w:eastAsia="zh-CN"/>
        </w:rPr>
        <w:t>, Sarfeh IJ, Stachura J, Hajduczek A, Bui HX, Dabros W, Gergely H. Microvascular abnormalities of the portal hypertensive gastric mucosa.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1988</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8</w:t>
      </w:r>
      <w:r w:rsidRPr="0062622A">
        <w:rPr>
          <w:rFonts w:ascii="Book Antiqua" w:eastAsia="宋体" w:hAnsi="Book Antiqua" w:cs="Times New Roman"/>
          <w:sz w:val="24"/>
          <w:szCs w:val="24"/>
          <w:lang w:eastAsia="zh-CN"/>
        </w:rPr>
        <w:t>: 1488-1494 [PMID: 3192161</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10.1002/hep.1840080604]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122 </w:t>
      </w:r>
      <w:r w:rsidRPr="0062622A">
        <w:rPr>
          <w:rFonts w:ascii="Book Antiqua" w:eastAsia="宋体" w:hAnsi="Book Antiqua" w:cs="Times New Roman"/>
          <w:b/>
          <w:bCs/>
          <w:sz w:val="24"/>
          <w:szCs w:val="24"/>
          <w:lang w:eastAsia="zh-CN"/>
        </w:rPr>
        <w:t>Albillos A</w:t>
      </w:r>
      <w:r w:rsidRPr="0062622A">
        <w:rPr>
          <w:rFonts w:ascii="Book Antiqua" w:eastAsia="宋体" w:hAnsi="Book Antiqua" w:cs="Times New Roman"/>
          <w:sz w:val="24"/>
          <w:szCs w:val="24"/>
          <w:lang w:eastAsia="zh-CN"/>
        </w:rPr>
        <w:t>, Colombato LA, Enriquez R, Ng OC, Sikuler E, Groszmann RJ. Sequence of morphological and hemodynamic changes of gastric microvessels in portal hypertension.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1992; </w:t>
      </w:r>
      <w:r w:rsidRPr="0062622A">
        <w:rPr>
          <w:rFonts w:ascii="Book Antiqua" w:eastAsia="宋体" w:hAnsi="Book Antiqua" w:cs="Times New Roman"/>
          <w:b/>
          <w:bCs/>
          <w:sz w:val="24"/>
          <w:szCs w:val="24"/>
          <w:lang w:eastAsia="zh-CN"/>
        </w:rPr>
        <w:t>102</w:t>
      </w:r>
      <w:r w:rsidRPr="0062622A">
        <w:rPr>
          <w:rFonts w:ascii="Book Antiqua" w:eastAsia="宋体" w:hAnsi="Book Antiqua" w:cs="Times New Roman"/>
          <w:sz w:val="24"/>
          <w:szCs w:val="24"/>
          <w:lang w:eastAsia="zh-CN"/>
        </w:rPr>
        <w:t>: 2066-2070 [PMID: 1587425]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123 </w:t>
      </w:r>
      <w:r w:rsidRPr="0062622A">
        <w:rPr>
          <w:rFonts w:ascii="Book Antiqua" w:eastAsia="宋体" w:hAnsi="Book Antiqua" w:cs="Times New Roman"/>
          <w:b/>
          <w:bCs/>
          <w:sz w:val="24"/>
          <w:szCs w:val="24"/>
          <w:lang w:eastAsia="zh-CN"/>
        </w:rPr>
        <w:t>Payen JL</w:t>
      </w:r>
      <w:r w:rsidRPr="0062622A">
        <w:rPr>
          <w:rFonts w:ascii="Book Antiqua" w:eastAsia="宋体" w:hAnsi="Book Antiqua" w:cs="Times New Roman"/>
          <w:sz w:val="24"/>
          <w:szCs w:val="24"/>
          <w:lang w:eastAsia="zh-CN"/>
        </w:rPr>
        <w:t>, Cales P, Pienkowski P, Sozzani P, Kervran A, Frexinos J, Pascal JP. Weakness of mucosal barrier in portal hypertensive gastropathy of alcoholic cirrhosis. Effects of propranolol and enprostil.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23</w:t>
      </w:r>
      <w:r w:rsidRPr="0062622A">
        <w:rPr>
          <w:rFonts w:ascii="Book Antiqua" w:eastAsia="宋体" w:hAnsi="Book Antiqua" w:cs="Times New Roman"/>
          <w:sz w:val="24"/>
          <w:szCs w:val="24"/>
          <w:lang w:eastAsia="zh-CN"/>
        </w:rPr>
        <w:t>: 689-696 [PMID: 8750168</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10.1016/0168-8278(95)80035-2]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124 </w:t>
      </w:r>
      <w:r w:rsidRPr="0062622A">
        <w:rPr>
          <w:rFonts w:ascii="Book Antiqua" w:eastAsia="宋体" w:hAnsi="Book Antiqua" w:cs="Times New Roman"/>
          <w:b/>
          <w:bCs/>
          <w:sz w:val="24"/>
          <w:szCs w:val="24"/>
          <w:lang w:eastAsia="zh-CN"/>
        </w:rPr>
        <w:t>Beck PL</w:t>
      </w:r>
      <w:r w:rsidRPr="0062622A">
        <w:rPr>
          <w:rFonts w:ascii="Book Antiqua" w:eastAsia="宋体" w:hAnsi="Book Antiqua" w:cs="Times New Roman"/>
          <w:sz w:val="24"/>
          <w:szCs w:val="24"/>
          <w:lang w:eastAsia="zh-CN"/>
        </w:rPr>
        <w:t>, Lee SS, McKnight GW, Wallace JL. Characterization of spontaneous and ethanol-induced gastric damage in cirrhotic rats.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1992; </w:t>
      </w:r>
      <w:r w:rsidRPr="0062622A">
        <w:rPr>
          <w:rFonts w:ascii="Book Antiqua" w:eastAsia="宋体" w:hAnsi="Book Antiqua" w:cs="Times New Roman"/>
          <w:b/>
          <w:bCs/>
          <w:sz w:val="24"/>
          <w:szCs w:val="24"/>
          <w:lang w:eastAsia="zh-CN"/>
        </w:rPr>
        <w:t>103</w:t>
      </w:r>
      <w:r w:rsidRPr="0062622A">
        <w:rPr>
          <w:rFonts w:ascii="Book Antiqua" w:eastAsia="宋体" w:hAnsi="Book Antiqua" w:cs="Times New Roman"/>
          <w:sz w:val="24"/>
          <w:szCs w:val="24"/>
          <w:lang w:eastAsia="zh-CN"/>
        </w:rPr>
        <w:t>: 1048-1055 [PMID: 1499905]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125 </w:t>
      </w:r>
      <w:r w:rsidRPr="0062622A">
        <w:rPr>
          <w:rFonts w:ascii="Book Antiqua" w:eastAsia="宋体" w:hAnsi="Book Antiqua" w:cs="Times New Roman"/>
          <w:b/>
          <w:bCs/>
          <w:sz w:val="24"/>
          <w:szCs w:val="24"/>
          <w:lang w:eastAsia="zh-CN"/>
        </w:rPr>
        <w:t>Beck PL</w:t>
      </w:r>
      <w:r w:rsidRPr="0062622A">
        <w:rPr>
          <w:rFonts w:ascii="Book Antiqua" w:eastAsia="宋体" w:hAnsi="Book Antiqua" w:cs="Times New Roman"/>
          <w:sz w:val="24"/>
          <w:szCs w:val="24"/>
          <w:lang w:eastAsia="zh-CN"/>
        </w:rPr>
        <w:t>, McKnight W, Lee SS, Wallace JL. Prostaglandin modulation of the gastric vasculature and mucosal integrity in cirrhotic rats. </w:t>
      </w:r>
      <w:r w:rsidRPr="0062622A">
        <w:rPr>
          <w:rFonts w:ascii="Book Antiqua" w:eastAsia="宋体" w:hAnsi="Book Antiqua" w:cs="Times New Roman"/>
          <w:i/>
          <w:iCs/>
          <w:sz w:val="24"/>
          <w:szCs w:val="24"/>
          <w:lang w:eastAsia="zh-CN"/>
        </w:rPr>
        <w:t>Am J Physiol</w:t>
      </w:r>
      <w:r w:rsidRPr="0062622A">
        <w:rPr>
          <w:rFonts w:ascii="Book Antiqua" w:eastAsia="宋体" w:hAnsi="Book Antiqua" w:cs="Times New Roman"/>
          <w:sz w:val="24"/>
          <w:szCs w:val="24"/>
          <w:lang w:eastAsia="zh-CN"/>
        </w:rPr>
        <w:t> 1993; </w:t>
      </w:r>
      <w:r w:rsidRPr="0062622A">
        <w:rPr>
          <w:rFonts w:ascii="Book Antiqua" w:eastAsia="宋体" w:hAnsi="Book Antiqua" w:cs="Times New Roman"/>
          <w:b/>
          <w:bCs/>
          <w:sz w:val="24"/>
          <w:szCs w:val="24"/>
          <w:lang w:eastAsia="zh-CN"/>
        </w:rPr>
        <w:t>265</w:t>
      </w:r>
      <w:r w:rsidRPr="0062622A">
        <w:rPr>
          <w:rFonts w:ascii="Book Antiqua" w:eastAsia="宋体" w:hAnsi="Book Antiqua" w:cs="Times New Roman"/>
          <w:sz w:val="24"/>
          <w:szCs w:val="24"/>
          <w:lang w:eastAsia="zh-CN"/>
        </w:rPr>
        <w:t>: G453-G458 [PMID: 8214067]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126 </w:t>
      </w:r>
      <w:r w:rsidRPr="0062622A">
        <w:rPr>
          <w:rFonts w:ascii="Book Antiqua" w:eastAsia="宋体" w:hAnsi="Book Antiqua" w:cs="Times New Roman"/>
          <w:b/>
          <w:bCs/>
          <w:sz w:val="24"/>
          <w:szCs w:val="24"/>
          <w:lang w:eastAsia="zh-CN"/>
        </w:rPr>
        <w:t>Misra V</w:t>
      </w:r>
      <w:r w:rsidRPr="0062622A">
        <w:rPr>
          <w:rFonts w:ascii="Book Antiqua" w:eastAsia="宋体" w:hAnsi="Book Antiqua" w:cs="Times New Roman"/>
          <w:sz w:val="24"/>
          <w:szCs w:val="24"/>
          <w:lang w:eastAsia="zh-CN"/>
        </w:rPr>
        <w:t>, Misra SP, Dwivedi M. Thickened gastric mucosal capillary wall: a histological marker for portal hypertension. </w:t>
      </w:r>
      <w:r w:rsidRPr="0062622A">
        <w:rPr>
          <w:rFonts w:ascii="Book Antiqua" w:eastAsia="宋体" w:hAnsi="Book Antiqua" w:cs="Times New Roman"/>
          <w:i/>
          <w:iCs/>
          <w:sz w:val="24"/>
          <w:szCs w:val="24"/>
          <w:lang w:eastAsia="zh-CN"/>
        </w:rPr>
        <w:t>Pathology</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30</w:t>
      </w:r>
      <w:r w:rsidRPr="0062622A">
        <w:rPr>
          <w:rFonts w:ascii="Book Antiqua" w:eastAsia="宋体" w:hAnsi="Book Antiqua" w:cs="Times New Roman"/>
          <w:sz w:val="24"/>
          <w:szCs w:val="24"/>
          <w:lang w:eastAsia="zh-CN"/>
        </w:rPr>
        <w:t>: 10-13 [PMID: 9534201</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10.1080/00313029800169595]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127 </w:t>
      </w:r>
      <w:r w:rsidRPr="0062622A">
        <w:rPr>
          <w:rFonts w:ascii="Book Antiqua" w:eastAsia="宋体" w:hAnsi="Book Antiqua" w:cs="Times New Roman"/>
          <w:b/>
          <w:bCs/>
          <w:sz w:val="24"/>
          <w:szCs w:val="24"/>
          <w:lang w:eastAsia="zh-CN"/>
        </w:rPr>
        <w:t>Ichikawa Y</w:t>
      </w:r>
      <w:r w:rsidRPr="0062622A">
        <w:rPr>
          <w:rFonts w:ascii="Book Antiqua" w:eastAsia="宋体" w:hAnsi="Book Antiqua" w:cs="Times New Roman"/>
          <w:sz w:val="24"/>
          <w:szCs w:val="24"/>
          <w:lang w:eastAsia="zh-CN"/>
        </w:rPr>
        <w:t>, Tarnawski A, Sarfeh IJ, Ishikawa T, Shimada H. Distorted microangioarchitecture and impaired angiogenesis in gastric mucosa of portal hypertensive rats.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106</w:t>
      </w:r>
      <w:r w:rsidRPr="0062622A">
        <w:rPr>
          <w:rFonts w:ascii="Book Antiqua" w:eastAsia="宋体" w:hAnsi="Book Antiqua" w:cs="Times New Roman"/>
          <w:sz w:val="24"/>
          <w:szCs w:val="24"/>
          <w:lang w:eastAsia="zh-CN"/>
        </w:rPr>
        <w:t>: 702-708 [PMID: 7509763]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128 </w:t>
      </w:r>
      <w:r w:rsidRPr="0062622A">
        <w:rPr>
          <w:rFonts w:ascii="Book Antiqua" w:eastAsia="宋体" w:hAnsi="Book Antiqua" w:cs="Times New Roman"/>
          <w:b/>
          <w:bCs/>
          <w:sz w:val="24"/>
          <w:szCs w:val="24"/>
          <w:lang w:eastAsia="zh-CN"/>
        </w:rPr>
        <w:t>Gupta R</w:t>
      </w:r>
      <w:r w:rsidRPr="0062622A">
        <w:rPr>
          <w:rFonts w:ascii="Book Antiqua" w:eastAsia="宋体" w:hAnsi="Book Antiqua" w:cs="Times New Roman"/>
          <w:sz w:val="24"/>
          <w:szCs w:val="24"/>
          <w:lang w:eastAsia="zh-CN"/>
        </w:rPr>
        <w:t>, Sawant P, Parameshwar RV, Lele VR, Kulhalli PM, Mahajani SS. Gastric mucosal blood flow and hepatic perfusion index in patients with portal hypertensive gastropathy.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13</w:t>
      </w:r>
      <w:r w:rsidRPr="0062622A">
        <w:rPr>
          <w:rFonts w:ascii="Book Antiqua" w:eastAsia="宋体" w:hAnsi="Book Antiqua" w:cs="Times New Roman"/>
          <w:sz w:val="24"/>
          <w:szCs w:val="24"/>
          <w:lang w:eastAsia="zh-CN"/>
        </w:rPr>
        <w:t>: 921-926 [PMID: 9794191</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10.1111/j.1440-1746.1998.tb00762.x]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129 </w:t>
      </w:r>
      <w:r w:rsidRPr="0062622A">
        <w:rPr>
          <w:rFonts w:ascii="Book Antiqua" w:eastAsia="宋体" w:hAnsi="Book Antiqua" w:cs="Times New Roman"/>
          <w:b/>
          <w:bCs/>
          <w:sz w:val="24"/>
          <w:szCs w:val="24"/>
          <w:lang w:eastAsia="zh-CN"/>
        </w:rPr>
        <w:t>Iwao T</w:t>
      </w:r>
      <w:r w:rsidRPr="0062622A">
        <w:rPr>
          <w:rFonts w:ascii="Book Antiqua" w:eastAsia="宋体" w:hAnsi="Book Antiqua" w:cs="Times New Roman"/>
          <w:sz w:val="24"/>
          <w:szCs w:val="24"/>
          <w:lang w:eastAsia="zh-CN"/>
        </w:rPr>
        <w:t>, Toyonaga A, Ikegami M, Oho K, Sumino M, Harada H, Sakaki M, Shigemori H, Aoki T, Tanikawa K. Reduced gastric mucosal blood flow in patients with portal-hypertensive gastropathy.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1993; </w:t>
      </w:r>
      <w:r w:rsidRPr="0062622A">
        <w:rPr>
          <w:rFonts w:ascii="Book Antiqua" w:eastAsia="宋体" w:hAnsi="Book Antiqua" w:cs="Times New Roman"/>
          <w:b/>
          <w:bCs/>
          <w:sz w:val="24"/>
          <w:szCs w:val="24"/>
          <w:lang w:eastAsia="zh-CN"/>
        </w:rPr>
        <w:t>18</w:t>
      </w:r>
      <w:r w:rsidRPr="0062622A">
        <w:rPr>
          <w:rFonts w:ascii="Book Antiqua" w:eastAsia="宋体" w:hAnsi="Book Antiqua" w:cs="Times New Roman"/>
          <w:sz w:val="24"/>
          <w:szCs w:val="24"/>
          <w:lang w:eastAsia="zh-CN"/>
        </w:rPr>
        <w:t>: 36-40 [PMID: 8325619</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10.1002/hep.1840180107]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130 </w:t>
      </w:r>
      <w:r w:rsidRPr="0062622A">
        <w:rPr>
          <w:rFonts w:ascii="Book Antiqua" w:eastAsia="宋体" w:hAnsi="Book Antiqua" w:cs="Times New Roman"/>
          <w:b/>
          <w:bCs/>
          <w:sz w:val="24"/>
          <w:szCs w:val="24"/>
          <w:lang w:eastAsia="zh-CN"/>
        </w:rPr>
        <w:t>Kotzampassi K</w:t>
      </w:r>
      <w:r w:rsidRPr="0062622A">
        <w:rPr>
          <w:rFonts w:ascii="Book Antiqua" w:eastAsia="宋体" w:hAnsi="Book Antiqua" w:cs="Times New Roman"/>
          <w:sz w:val="24"/>
          <w:szCs w:val="24"/>
          <w:lang w:eastAsia="zh-CN"/>
        </w:rPr>
        <w:t>, Eleftheriadis E, Aletras H. Gastric mucosal blood flow in portal hypertension patients--a laser Doppler flowmetry study. </w:t>
      </w:r>
      <w:r w:rsidRPr="0062622A">
        <w:rPr>
          <w:rFonts w:ascii="Book Antiqua" w:eastAsia="宋体" w:hAnsi="Book Antiqua" w:cs="Times New Roman"/>
          <w:i/>
          <w:iCs/>
          <w:sz w:val="24"/>
          <w:szCs w:val="24"/>
          <w:lang w:eastAsia="zh-CN"/>
        </w:rPr>
        <w:t>Hepatogastroenterology</w:t>
      </w:r>
      <w:r w:rsidRPr="0062622A">
        <w:rPr>
          <w:rFonts w:ascii="Book Antiqua" w:eastAsia="宋体" w:hAnsi="Book Antiqua" w:cs="Times New Roman"/>
          <w:sz w:val="24"/>
          <w:szCs w:val="24"/>
          <w:lang w:eastAsia="zh-CN"/>
        </w:rPr>
        <w:t> 1992; </w:t>
      </w:r>
      <w:r w:rsidRPr="0062622A">
        <w:rPr>
          <w:rFonts w:ascii="Book Antiqua" w:eastAsia="宋体" w:hAnsi="Book Antiqua" w:cs="Times New Roman"/>
          <w:b/>
          <w:bCs/>
          <w:sz w:val="24"/>
          <w:szCs w:val="24"/>
          <w:lang w:eastAsia="zh-CN"/>
        </w:rPr>
        <w:t>39</w:t>
      </w:r>
      <w:r w:rsidRPr="0062622A">
        <w:rPr>
          <w:rFonts w:ascii="Book Antiqua" w:eastAsia="宋体" w:hAnsi="Book Antiqua" w:cs="Times New Roman"/>
          <w:sz w:val="24"/>
          <w:szCs w:val="24"/>
          <w:lang w:eastAsia="zh-CN"/>
        </w:rPr>
        <w:t>: 39-42 [PMID: 1533200]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131 </w:t>
      </w:r>
      <w:r w:rsidRPr="0062622A">
        <w:rPr>
          <w:rFonts w:ascii="Book Antiqua" w:eastAsia="宋体" w:hAnsi="Book Antiqua" w:cs="Times New Roman"/>
          <w:b/>
          <w:bCs/>
          <w:sz w:val="24"/>
          <w:szCs w:val="24"/>
          <w:lang w:eastAsia="zh-CN"/>
        </w:rPr>
        <w:t>Vyas K</w:t>
      </w:r>
      <w:r w:rsidRPr="0062622A">
        <w:rPr>
          <w:rFonts w:ascii="Book Antiqua" w:eastAsia="宋体" w:hAnsi="Book Antiqua" w:cs="Times New Roman"/>
          <w:sz w:val="24"/>
          <w:szCs w:val="24"/>
          <w:lang w:eastAsia="zh-CN"/>
        </w:rPr>
        <w:t>, Gala B, Sawant P, Das HS, Kulhalli PM, Mahajan SS. Assessment of portal hemodynamics by ultrasound color Doppler and laser Doppler velocimetry in liver cirrhosis. </w:t>
      </w:r>
      <w:r w:rsidRPr="0062622A">
        <w:rPr>
          <w:rFonts w:ascii="Book Antiqua" w:eastAsia="宋体" w:hAnsi="Book Antiqua" w:cs="Times New Roman"/>
          <w:i/>
          <w:iCs/>
          <w:sz w:val="24"/>
          <w:szCs w:val="24"/>
          <w:lang w:eastAsia="zh-CN"/>
        </w:rPr>
        <w:t>Indian J Gastroenterol</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2002</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21</w:t>
      </w:r>
      <w:r w:rsidRPr="0062622A">
        <w:rPr>
          <w:rFonts w:ascii="Book Antiqua" w:eastAsia="宋体" w:hAnsi="Book Antiqua" w:cs="Times New Roman"/>
          <w:sz w:val="24"/>
          <w:szCs w:val="24"/>
          <w:lang w:eastAsia="zh-CN"/>
        </w:rPr>
        <w:t>: 176-178 [PMID: 12416745]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132 </w:t>
      </w:r>
      <w:r w:rsidRPr="0062622A">
        <w:rPr>
          <w:rFonts w:ascii="Book Antiqua" w:eastAsia="宋体" w:hAnsi="Book Antiqua" w:cs="Times New Roman"/>
          <w:b/>
          <w:bCs/>
          <w:sz w:val="24"/>
          <w:szCs w:val="24"/>
          <w:lang w:eastAsia="zh-CN"/>
        </w:rPr>
        <w:t>Shigemori H</w:t>
      </w:r>
      <w:r w:rsidRPr="0062622A">
        <w:rPr>
          <w:rFonts w:ascii="Book Antiqua" w:eastAsia="宋体" w:hAnsi="Book Antiqua" w:cs="Times New Roman"/>
          <w:sz w:val="24"/>
          <w:szCs w:val="24"/>
          <w:lang w:eastAsia="zh-CN"/>
        </w:rPr>
        <w:t>, Iwao T, Ikegami M, Toyonaga A, Tanikawa K. Effects of propranolol on gastric mucosal perfusion and serum gastrin level in cirrhotic patients with portal hypertensive gastropathy.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39</w:t>
      </w:r>
      <w:r w:rsidRPr="0062622A">
        <w:rPr>
          <w:rFonts w:ascii="Book Antiqua" w:eastAsia="宋体" w:hAnsi="Book Antiqua" w:cs="Times New Roman"/>
          <w:sz w:val="24"/>
          <w:szCs w:val="24"/>
          <w:lang w:eastAsia="zh-CN"/>
        </w:rPr>
        <w:t>: 2433-2438 [PMID: 7956612</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10.1007/BF02087662]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133 </w:t>
      </w:r>
      <w:r w:rsidRPr="0062622A">
        <w:rPr>
          <w:rFonts w:ascii="Book Antiqua" w:eastAsia="宋体" w:hAnsi="Book Antiqua" w:cs="Times New Roman"/>
          <w:b/>
          <w:bCs/>
          <w:sz w:val="24"/>
          <w:szCs w:val="24"/>
          <w:lang w:eastAsia="zh-CN"/>
        </w:rPr>
        <w:t>Ohta M</w:t>
      </w:r>
      <w:r w:rsidRPr="0062622A">
        <w:rPr>
          <w:rFonts w:ascii="Book Antiqua" w:eastAsia="宋体" w:hAnsi="Book Antiqua" w:cs="Times New Roman"/>
          <w:sz w:val="24"/>
          <w:szCs w:val="24"/>
          <w:lang w:eastAsia="zh-CN"/>
        </w:rPr>
        <w:t>, Hashizume M, Higashi H, Ueno K, Tomikawa M, Kishihara F, Kawanaka H, Tanoue K, Sugimachi K. Portal and gastric mucosal hemodynamics in cirrhotic patients with portal-hypertensive gastropathy.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20</w:t>
      </w:r>
      <w:r w:rsidRPr="0062622A">
        <w:rPr>
          <w:rFonts w:ascii="Book Antiqua" w:eastAsia="宋体" w:hAnsi="Book Antiqua" w:cs="Times New Roman"/>
          <w:sz w:val="24"/>
          <w:szCs w:val="24"/>
          <w:lang w:eastAsia="zh-CN"/>
        </w:rPr>
        <w:t>: 1432-1436 [PMID: 7982641</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10.1002/hep.1840200609]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134 </w:t>
      </w:r>
      <w:r w:rsidRPr="0062622A">
        <w:rPr>
          <w:rFonts w:ascii="Book Antiqua" w:eastAsia="宋体" w:hAnsi="Book Antiqua" w:cs="Times New Roman"/>
          <w:b/>
          <w:bCs/>
          <w:sz w:val="24"/>
          <w:szCs w:val="24"/>
          <w:lang w:eastAsia="zh-CN"/>
        </w:rPr>
        <w:t>Chung RS</w:t>
      </w:r>
      <w:r w:rsidRPr="0062622A">
        <w:rPr>
          <w:rFonts w:ascii="Book Antiqua" w:eastAsia="宋体" w:hAnsi="Book Antiqua" w:cs="Times New Roman"/>
          <w:sz w:val="24"/>
          <w:szCs w:val="24"/>
          <w:lang w:eastAsia="zh-CN"/>
        </w:rPr>
        <w:t>, Bruch D, Dearlove J. Endoscopic measurement of gastric mucosal blood flow by laser Doppler velocimetry: effect of chronic esophageal variceal sclerosis. </w:t>
      </w:r>
      <w:r w:rsidRPr="0062622A">
        <w:rPr>
          <w:rFonts w:ascii="Book Antiqua" w:eastAsia="宋体" w:hAnsi="Book Antiqua" w:cs="Times New Roman"/>
          <w:i/>
          <w:iCs/>
          <w:sz w:val="24"/>
          <w:szCs w:val="24"/>
          <w:lang w:eastAsia="zh-CN"/>
        </w:rPr>
        <w:t>Am Surg</w:t>
      </w:r>
      <w:r w:rsidRPr="0062622A">
        <w:rPr>
          <w:rFonts w:ascii="Book Antiqua" w:eastAsia="宋体" w:hAnsi="Book Antiqua" w:cs="Times New Roman"/>
          <w:sz w:val="24"/>
          <w:szCs w:val="24"/>
          <w:lang w:eastAsia="zh-CN"/>
        </w:rPr>
        <w:t> 1988; </w:t>
      </w:r>
      <w:r w:rsidRPr="0062622A">
        <w:rPr>
          <w:rFonts w:ascii="Book Antiqua" w:eastAsia="宋体" w:hAnsi="Book Antiqua" w:cs="Times New Roman"/>
          <w:b/>
          <w:bCs/>
          <w:sz w:val="24"/>
          <w:szCs w:val="24"/>
          <w:lang w:eastAsia="zh-CN"/>
        </w:rPr>
        <w:t>54</w:t>
      </w:r>
      <w:r w:rsidRPr="0062622A">
        <w:rPr>
          <w:rFonts w:ascii="Book Antiqua" w:eastAsia="宋体" w:hAnsi="Book Antiqua" w:cs="Times New Roman"/>
          <w:sz w:val="24"/>
          <w:szCs w:val="24"/>
          <w:lang w:eastAsia="zh-CN"/>
        </w:rPr>
        <w:t>: 116-120 [PMID: 2963569]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135 </w:t>
      </w:r>
      <w:r w:rsidRPr="0062622A">
        <w:rPr>
          <w:rFonts w:ascii="Book Antiqua" w:eastAsia="宋体" w:hAnsi="Book Antiqua" w:cs="Times New Roman"/>
          <w:b/>
          <w:bCs/>
          <w:sz w:val="24"/>
          <w:szCs w:val="24"/>
          <w:lang w:eastAsia="zh-CN"/>
        </w:rPr>
        <w:t>Tomikawa M</w:t>
      </w:r>
      <w:r w:rsidRPr="0062622A">
        <w:rPr>
          <w:rFonts w:ascii="Book Antiqua" w:eastAsia="宋体" w:hAnsi="Book Antiqua" w:cs="Times New Roman"/>
          <w:sz w:val="24"/>
          <w:szCs w:val="24"/>
          <w:lang w:eastAsia="zh-CN"/>
        </w:rPr>
        <w:t>, Akiba Y, Kaunitz JD, Kawanaka H, Sugimachi K, Sarfeh IJ, Tarnawski AS. New insights into impairment of mucosal defense in portal hypertensive gastric mucosa. </w:t>
      </w:r>
      <w:r w:rsidRPr="0062622A">
        <w:rPr>
          <w:rFonts w:ascii="Book Antiqua" w:eastAsia="宋体" w:hAnsi="Book Antiqua" w:cs="Times New Roman"/>
          <w:i/>
          <w:iCs/>
          <w:sz w:val="24"/>
          <w:szCs w:val="24"/>
          <w:lang w:eastAsia="zh-CN"/>
        </w:rPr>
        <w:t>J Gastrointest Surg</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2000</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4</w:t>
      </w:r>
      <w:r w:rsidRPr="0062622A">
        <w:rPr>
          <w:rFonts w:ascii="Book Antiqua" w:eastAsia="宋体" w:hAnsi="Book Antiqua" w:cs="Times New Roman"/>
          <w:sz w:val="24"/>
          <w:szCs w:val="24"/>
          <w:lang w:eastAsia="zh-CN"/>
        </w:rPr>
        <w:t>: 458-463 [PMID: 11077319</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10.1016/S1091-255X(00)80086-4]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136 </w:t>
      </w:r>
      <w:r w:rsidRPr="0062622A">
        <w:rPr>
          <w:rFonts w:ascii="Book Antiqua" w:eastAsia="宋体" w:hAnsi="Book Antiqua" w:cs="Times New Roman"/>
          <w:b/>
          <w:bCs/>
          <w:sz w:val="24"/>
          <w:szCs w:val="24"/>
          <w:lang w:eastAsia="zh-CN"/>
        </w:rPr>
        <w:t>Tsugawa K</w:t>
      </w:r>
      <w:r w:rsidRPr="0062622A">
        <w:rPr>
          <w:rFonts w:ascii="Book Antiqua" w:eastAsia="宋体" w:hAnsi="Book Antiqua" w:cs="Times New Roman"/>
          <w:sz w:val="24"/>
          <w:szCs w:val="24"/>
          <w:lang w:eastAsia="zh-CN"/>
        </w:rPr>
        <w:t>, Hashizume M, Migou S, Kishihara F, Kawanaka H, Tomikawa M, Sugimachi K. Role of vascular endothelial growth factor in portal hypertensive gastropathy. </w:t>
      </w:r>
      <w:r w:rsidRPr="0062622A">
        <w:rPr>
          <w:rFonts w:ascii="Book Antiqua" w:eastAsia="宋体" w:hAnsi="Book Antiqua" w:cs="Times New Roman"/>
          <w:i/>
          <w:iCs/>
          <w:sz w:val="24"/>
          <w:szCs w:val="24"/>
          <w:lang w:eastAsia="zh-CN"/>
        </w:rPr>
        <w:t>Digestion</w:t>
      </w:r>
      <w:r w:rsidRPr="0062622A">
        <w:rPr>
          <w:rFonts w:ascii="Book Antiqua" w:eastAsia="宋体" w:hAnsi="Book Antiqua" w:cs="Times New Roman"/>
          <w:sz w:val="24"/>
          <w:szCs w:val="24"/>
          <w:lang w:eastAsia="zh-CN"/>
        </w:rPr>
        <w:t> 2000; </w:t>
      </w:r>
      <w:r w:rsidRPr="0062622A">
        <w:rPr>
          <w:rFonts w:ascii="Book Antiqua" w:eastAsia="宋体" w:hAnsi="Book Antiqua" w:cs="Times New Roman"/>
          <w:b/>
          <w:bCs/>
          <w:sz w:val="24"/>
          <w:szCs w:val="24"/>
          <w:lang w:eastAsia="zh-CN"/>
        </w:rPr>
        <w:t>61</w:t>
      </w:r>
      <w:r w:rsidRPr="0062622A">
        <w:rPr>
          <w:rFonts w:ascii="Book Antiqua" w:eastAsia="宋体" w:hAnsi="Book Antiqua" w:cs="Times New Roman"/>
          <w:sz w:val="24"/>
          <w:szCs w:val="24"/>
          <w:lang w:eastAsia="zh-CN"/>
        </w:rPr>
        <w:t>: 98-106 [PMID: 10705173</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10.1159/000007741]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137 </w:t>
      </w:r>
      <w:r w:rsidRPr="0062622A">
        <w:rPr>
          <w:rFonts w:ascii="Book Antiqua" w:eastAsia="宋体" w:hAnsi="Book Antiqua" w:cs="Times New Roman"/>
          <w:b/>
          <w:bCs/>
          <w:sz w:val="24"/>
          <w:szCs w:val="24"/>
          <w:lang w:eastAsia="zh-CN"/>
        </w:rPr>
        <w:t>De BK</w:t>
      </w:r>
      <w:r w:rsidRPr="0062622A">
        <w:rPr>
          <w:rFonts w:ascii="Book Antiqua" w:eastAsia="宋体" w:hAnsi="Book Antiqua" w:cs="Times New Roman"/>
          <w:sz w:val="24"/>
          <w:szCs w:val="24"/>
          <w:lang w:eastAsia="zh-CN"/>
        </w:rPr>
        <w:t>, Das TK. Color Doppler and laser velocimetry studies in the assessment of portal hemodynamics and severity of chronic liver disease. </w:t>
      </w:r>
      <w:r w:rsidRPr="0062622A">
        <w:rPr>
          <w:rFonts w:ascii="Book Antiqua" w:eastAsia="宋体" w:hAnsi="Book Antiqua" w:cs="Times New Roman"/>
          <w:i/>
          <w:iCs/>
          <w:sz w:val="24"/>
          <w:szCs w:val="24"/>
          <w:lang w:eastAsia="zh-CN"/>
        </w:rPr>
        <w:t>Indian J Gastroenterol</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2002</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21</w:t>
      </w:r>
      <w:r w:rsidRPr="0062622A">
        <w:rPr>
          <w:rFonts w:ascii="Book Antiqua" w:eastAsia="宋体" w:hAnsi="Book Antiqua" w:cs="Times New Roman"/>
          <w:sz w:val="24"/>
          <w:szCs w:val="24"/>
          <w:lang w:eastAsia="zh-CN"/>
        </w:rPr>
        <w:t>: 173-175 [PMID: 12416744]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138 </w:t>
      </w:r>
      <w:r w:rsidRPr="0062622A">
        <w:rPr>
          <w:rFonts w:ascii="Book Antiqua" w:eastAsia="宋体" w:hAnsi="Book Antiqua" w:cs="Times New Roman"/>
          <w:b/>
          <w:bCs/>
          <w:sz w:val="24"/>
          <w:szCs w:val="24"/>
          <w:lang w:eastAsia="zh-CN"/>
        </w:rPr>
        <w:t>Casadevall M</w:t>
      </w:r>
      <w:r w:rsidRPr="0062622A">
        <w:rPr>
          <w:rFonts w:ascii="Book Antiqua" w:eastAsia="宋体" w:hAnsi="Book Antiqua" w:cs="Times New Roman"/>
          <w:sz w:val="24"/>
          <w:szCs w:val="24"/>
          <w:lang w:eastAsia="zh-CN"/>
        </w:rPr>
        <w:t>, Panés J, Piqué JM, Bosch J, Terés J, Rodés J. Limitations of laser-Doppler velocimetry and reflectance spectrophotometry in estimating gastric mucosal blood flow. </w:t>
      </w:r>
      <w:r w:rsidRPr="0062622A">
        <w:rPr>
          <w:rFonts w:ascii="Book Antiqua" w:eastAsia="宋体" w:hAnsi="Book Antiqua" w:cs="Times New Roman"/>
          <w:i/>
          <w:iCs/>
          <w:sz w:val="24"/>
          <w:szCs w:val="24"/>
          <w:lang w:eastAsia="zh-CN"/>
        </w:rPr>
        <w:t>Am J Physiol</w:t>
      </w:r>
      <w:r w:rsidRPr="0062622A">
        <w:rPr>
          <w:rFonts w:ascii="Book Antiqua" w:eastAsia="宋体" w:hAnsi="Book Antiqua" w:cs="Times New Roman"/>
          <w:sz w:val="24"/>
          <w:szCs w:val="24"/>
          <w:lang w:eastAsia="zh-CN"/>
        </w:rPr>
        <w:t> 1992; </w:t>
      </w:r>
      <w:r w:rsidRPr="0062622A">
        <w:rPr>
          <w:rFonts w:ascii="Book Antiqua" w:eastAsia="宋体" w:hAnsi="Book Antiqua" w:cs="Times New Roman"/>
          <w:b/>
          <w:bCs/>
          <w:sz w:val="24"/>
          <w:szCs w:val="24"/>
          <w:lang w:eastAsia="zh-CN"/>
        </w:rPr>
        <w:t>263</w:t>
      </w:r>
      <w:r w:rsidRPr="0062622A">
        <w:rPr>
          <w:rFonts w:ascii="Book Antiqua" w:eastAsia="宋体" w:hAnsi="Book Antiqua" w:cs="Times New Roman"/>
          <w:sz w:val="24"/>
          <w:szCs w:val="24"/>
          <w:lang w:eastAsia="zh-CN"/>
        </w:rPr>
        <w:t>: G810-G815 [PMID: 1443154]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 xml:space="preserve">139 </w:t>
      </w:r>
      <w:r w:rsidRPr="0062622A">
        <w:rPr>
          <w:rFonts w:ascii="Book Antiqua" w:eastAsia="宋体" w:hAnsi="Book Antiqua" w:cs="Times New Roman"/>
          <w:b/>
          <w:sz w:val="24"/>
          <w:szCs w:val="24"/>
          <w:lang w:eastAsia="zh-CN"/>
        </w:rPr>
        <w:t>Bhattacharya B</w:t>
      </w:r>
      <w:r w:rsidRPr="0062622A">
        <w:rPr>
          <w:rFonts w:ascii="Book Antiqua" w:eastAsia="宋体" w:hAnsi="Book Antiqua" w:cs="Times New Roman"/>
          <w:sz w:val="24"/>
          <w:szCs w:val="24"/>
          <w:lang w:eastAsia="zh-CN"/>
        </w:rPr>
        <w:t xml:space="preserve">. Non-neoplastic disorders of the stomach. In: Iacobuzio-Donahue CA. Montgomery E, Goldblum JR, eds. Gastrointestinal and liver pathology. </w:t>
      </w:r>
      <w:r w:rsidRPr="0062622A">
        <w:rPr>
          <w:rFonts w:ascii="Book Antiqua" w:eastAsia="宋体" w:hAnsi="Book Antiqua" w:cs="Times New Roman" w:hint="eastAsia"/>
          <w:sz w:val="24"/>
          <w:szCs w:val="24"/>
          <w:lang w:eastAsia="zh-CN"/>
        </w:rPr>
        <w:t>2</w:t>
      </w:r>
      <w:r w:rsidRPr="0062622A">
        <w:rPr>
          <w:rFonts w:ascii="Book Antiqua" w:eastAsia="宋体" w:hAnsi="Book Antiqua" w:cs="Times New Roman"/>
          <w:sz w:val="24"/>
          <w:szCs w:val="24"/>
          <w:lang w:eastAsia="zh-CN"/>
        </w:rPr>
        <w:t>nd ed. Philadelphia</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Elsevier Saunders, 2012</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65-141</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10.1016/b978-1-4377-0925-4.00012-2</w:t>
      </w:r>
      <w:r w:rsidRPr="0062622A">
        <w:rPr>
          <w:rFonts w:ascii="Book Antiqua" w:eastAsia="宋体" w:hAnsi="Book Antiqua" w:cs="Times New Roman" w:hint="eastAsia"/>
          <w:sz w:val="24"/>
          <w:szCs w:val="24"/>
          <w:lang w:eastAsia="zh-CN"/>
        </w:rPr>
        <w:t>]</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140 </w:t>
      </w:r>
      <w:r w:rsidRPr="0062622A">
        <w:rPr>
          <w:rFonts w:ascii="Book Antiqua" w:eastAsia="宋体" w:hAnsi="Book Antiqua" w:cs="Times New Roman"/>
          <w:b/>
          <w:bCs/>
          <w:sz w:val="24"/>
          <w:szCs w:val="24"/>
          <w:lang w:eastAsia="zh-CN"/>
        </w:rPr>
        <w:t>Misra SP</w:t>
      </w:r>
      <w:r w:rsidRPr="0062622A">
        <w:rPr>
          <w:rFonts w:ascii="Book Antiqua" w:eastAsia="宋体" w:hAnsi="Book Antiqua" w:cs="Times New Roman"/>
          <w:sz w:val="24"/>
          <w:szCs w:val="24"/>
          <w:lang w:eastAsia="zh-CN"/>
        </w:rPr>
        <w:t>, Dwivedi M, Misra V, Barthwal R. Portal-hypertensive-gastropathy-like changes in a patient with secondary polycythemia: reversal of endoscopic and histopathologic changes with phlebotomy.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2004; </w:t>
      </w:r>
      <w:r w:rsidRPr="0062622A">
        <w:rPr>
          <w:rFonts w:ascii="Book Antiqua" w:eastAsia="宋体" w:hAnsi="Book Antiqua" w:cs="Times New Roman"/>
          <w:b/>
          <w:bCs/>
          <w:sz w:val="24"/>
          <w:szCs w:val="24"/>
          <w:lang w:eastAsia="zh-CN"/>
        </w:rPr>
        <w:t>59</w:t>
      </w:r>
      <w:r w:rsidRPr="0062622A">
        <w:rPr>
          <w:rFonts w:ascii="Book Antiqua" w:eastAsia="宋体" w:hAnsi="Book Antiqua" w:cs="Times New Roman"/>
          <w:sz w:val="24"/>
          <w:szCs w:val="24"/>
          <w:lang w:eastAsia="zh-CN"/>
        </w:rPr>
        <w:t>: 916-919 [PMID: 15173815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10.1016/S0016-5107(04)00338-4]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141 </w:t>
      </w:r>
      <w:r w:rsidRPr="0062622A">
        <w:rPr>
          <w:rFonts w:ascii="Book Antiqua" w:eastAsia="宋体" w:hAnsi="Book Antiqua" w:cs="Times New Roman"/>
          <w:b/>
          <w:bCs/>
          <w:sz w:val="24"/>
          <w:szCs w:val="24"/>
          <w:lang w:eastAsia="zh-CN"/>
        </w:rPr>
        <w:t>Wu B</w:t>
      </w:r>
      <w:r w:rsidRPr="0062622A">
        <w:rPr>
          <w:rFonts w:ascii="Book Antiqua" w:eastAsia="宋体" w:hAnsi="Book Antiqua" w:cs="Times New Roman"/>
          <w:sz w:val="24"/>
          <w:szCs w:val="24"/>
          <w:lang w:eastAsia="zh-CN"/>
        </w:rPr>
        <w:t>, Zeng L, Lin Y, Wen Z, Chen G, Iwakiri R, Fujimoto K. Downregulation of cyclooxygenase-1 is involved in gastric mucosal apoptosis via death signaling in portal hypertensive rats. </w:t>
      </w:r>
      <w:r w:rsidRPr="0062622A">
        <w:rPr>
          <w:rFonts w:ascii="Book Antiqua" w:eastAsia="宋体" w:hAnsi="Book Antiqua" w:cs="Times New Roman"/>
          <w:i/>
          <w:iCs/>
          <w:sz w:val="24"/>
          <w:szCs w:val="24"/>
          <w:lang w:eastAsia="zh-CN"/>
        </w:rPr>
        <w:t>Cell Res</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19</w:t>
      </w:r>
      <w:r w:rsidRPr="0062622A">
        <w:rPr>
          <w:rFonts w:ascii="Book Antiqua" w:eastAsia="宋体" w:hAnsi="Book Antiqua" w:cs="Times New Roman"/>
          <w:sz w:val="24"/>
          <w:szCs w:val="24"/>
          <w:lang w:eastAsia="zh-CN"/>
        </w:rPr>
        <w:t>: 1269-1278 [PMID: 19668263 DOI: 10.1038/cr.2009.97]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142 </w:t>
      </w:r>
      <w:r w:rsidRPr="0062622A">
        <w:rPr>
          <w:rFonts w:ascii="Book Antiqua" w:eastAsia="宋体" w:hAnsi="Book Antiqua" w:cs="Times New Roman"/>
          <w:b/>
          <w:bCs/>
          <w:sz w:val="24"/>
          <w:szCs w:val="24"/>
          <w:lang w:eastAsia="zh-CN"/>
        </w:rPr>
        <w:t>Tan S</w:t>
      </w:r>
      <w:r w:rsidRPr="0062622A">
        <w:rPr>
          <w:rFonts w:ascii="Book Antiqua" w:eastAsia="宋体" w:hAnsi="Book Antiqua" w:cs="Times New Roman"/>
          <w:sz w:val="24"/>
          <w:szCs w:val="24"/>
          <w:lang w:eastAsia="zh-CN"/>
        </w:rPr>
        <w:t>, Wei X, Song M, Tao J, Yang Y, Khatoon S, Liu H, Jiang J, Wu B. PUMA mediates ER stress-induced apoptosis in portal hypertensive gastropathy. </w:t>
      </w:r>
      <w:r w:rsidRPr="0062622A">
        <w:rPr>
          <w:rFonts w:ascii="Book Antiqua" w:eastAsia="宋体" w:hAnsi="Book Antiqua" w:cs="Times New Roman"/>
          <w:i/>
          <w:iCs/>
          <w:sz w:val="24"/>
          <w:szCs w:val="24"/>
          <w:lang w:eastAsia="zh-CN"/>
        </w:rPr>
        <w:t>Cell Death Dis</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5</w:t>
      </w:r>
      <w:r w:rsidRPr="0062622A">
        <w:rPr>
          <w:rFonts w:ascii="Book Antiqua" w:eastAsia="宋体" w:hAnsi="Book Antiqua" w:cs="Times New Roman"/>
          <w:sz w:val="24"/>
          <w:szCs w:val="24"/>
          <w:lang w:eastAsia="zh-CN"/>
        </w:rPr>
        <w:t>: e1128 [PMID: 24625987 DOI: 10.1038/cddis.2014.95]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143 </w:t>
      </w:r>
      <w:r w:rsidRPr="0062622A">
        <w:rPr>
          <w:rFonts w:ascii="Book Antiqua" w:eastAsia="宋体" w:hAnsi="Book Antiqua" w:cs="Times New Roman"/>
          <w:b/>
          <w:bCs/>
          <w:sz w:val="24"/>
          <w:szCs w:val="24"/>
          <w:lang w:eastAsia="zh-CN"/>
        </w:rPr>
        <w:t>Kaur S</w:t>
      </w:r>
      <w:r w:rsidRPr="0062622A">
        <w:rPr>
          <w:rFonts w:ascii="Book Antiqua" w:eastAsia="宋体" w:hAnsi="Book Antiqua" w:cs="Times New Roman"/>
          <w:sz w:val="24"/>
          <w:szCs w:val="24"/>
          <w:lang w:eastAsia="zh-CN"/>
        </w:rPr>
        <w:t>, Kaur U, Tandon C, Dhawan V, Ganguly NK, Majumdar S. Gastropathy and defense mechanisms in common bile duct ligated portal hypertensive rats. </w:t>
      </w:r>
      <w:r w:rsidRPr="0062622A">
        <w:rPr>
          <w:rFonts w:ascii="Book Antiqua" w:eastAsia="宋体" w:hAnsi="Book Antiqua" w:cs="Times New Roman"/>
          <w:i/>
          <w:iCs/>
          <w:sz w:val="24"/>
          <w:szCs w:val="24"/>
          <w:lang w:eastAsia="zh-CN"/>
        </w:rPr>
        <w:t>Mol Cell Biochem</w:t>
      </w:r>
      <w:r w:rsidRPr="0062622A">
        <w:rPr>
          <w:rFonts w:ascii="Book Antiqua" w:eastAsia="宋体" w:hAnsi="Book Antiqua" w:cs="Times New Roman"/>
          <w:sz w:val="24"/>
          <w:szCs w:val="24"/>
          <w:lang w:eastAsia="zh-CN"/>
        </w:rPr>
        <w:t> 2000; </w:t>
      </w:r>
      <w:r w:rsidRPr="0062622A">
        <w:rPr>
          <w:rFonts w:ascii="Book Antiqua" w:eastAsia="宋体" w:hAnsi="Book Antiqua" w:cs="Times New Roman"/>
          <w:b/>
          <w:bCs/>
          <w:sz w:val="24"/>
          <w:szCs w:val="24"/>
          <w:lang w:eastAsia="zh-CN"/>
        </w:rPr>
        <w:t>203</w:t>
      </w:r>
      <w:r w:rsidRPr="0062622A">
        <w:rPr>
          <w:rFonts w:ascii="Book Antiqua" w:eastAsia="宋体" w:hAnsi="Book Antiqua" w:cs="Times New Roman"/>
          <w:sz w:val="24"/>
          <w:szCs w:val="24"/>
          <w:lang w:eastAsia="zh-CN"/>
        </w:rPr>
        <w:t>: 79-85 [PMID: 10724335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10.1023/A:1007090205886]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144 </w:t>
      </w:r>
      <w:r w:rsidRPr="0062622A">
        <w:rPr>
          <w:rFonts w:ascii="Book Antiqua" w:eastAsia="宋体" w:hAnsi="Book Antiqua" w:cs="Times New Roman"/>
          <w:b/>
          <w:bCs/>
          <w:sz w:val="24"/>
          <w:szCs w:val="24"/>
          <w:lang w:eastAsia="zh-CN"/>
        </w:rPr>
        <w:t>Kawanaka H</w:t>
      </w:r>
      <w:r w:rsidRPr="0062622A">
        <w:rPr>
          <w:rFonts w:ascii="Book Antiqua" w:eastAsia="宋体" w:hAnsi="Book Antiqua" w:cs="Times New Roman"/>
          <w:sz w:val="24"/>
          <w:szCs w:val="24"/>
          <w:lang w:eastAsia="zh-CN"/>
        </w:rPr>
        <w:t>, Tomikawa M, Jones MK, Szabo IL, Pai R, Baatar D, Tsugawa K, Sugimachi K, Sarfeh IJ, Tarnawski AS. Defective mitogen-activated protein kinase (ERK2) signaling in gastric mucosa of portal hypertensive rats: potential therapeutic implications.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2001; </w:t>
      </w:r>
      <w:r w:rsidRPr="0062622A">
        <w:rPr>
          <w:rFonts w:ascii="Book Antiqua" w:eastAsia="宋体" w:hAnsi="Book Antiqua" w:cs="Times New Roman"/>
          <w:b/>
          <w:bCs/>
          <w:sz w:val="24"/>
          <w:szCs w:val="24"/>
          <w:lang w:eastAsia="zh-CN"/>
        </w:rPr>
        <w:t>34</w:t>
      </w:r>
      <w:r w:rsidRPr="0062622A">
        <w:rPr>
          <w:rFonts w:ascii="Book Antiqua" w:eastAsia="宋体" w:hAnsi="Book Antiqua" w:cs="Times New Roman"/>
          <w:sz w:val="24"/>
          <w:szCs w:val="24"/>
          <w:lang w:eastAsia="zh-CN"/>
        </w:rPr>
        <w:t>: 990-999 [PMID: 11679970</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10.1053/jhep.2001.28507]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145 </w:t>
      </w:r>
      <w:r w:rsidRPr="0062622A">
        <w:rPr>
          <w:rFonts w:ascii="Book Antiqua" w:eastAsia="宋体" w:hAnsi="Book Antiqua" w:cs="Times New Roman"/>
          <w:b/>
          <w:bCs/>
          <w:sz w:val="24"/>
          <w:szCs w:val="24"/>
          <w:lang w:eastAsia="zh-CN"/>
        </w:rPr>
        <w:t>Kinjo N</w:t>
      </w:r>
      <w:r w:rsidRPr="0062622A">
        <w:rPr>
          <w:rFonts w:ascii="Book Antiqua" w:eastAsia="宋体" w:hAnsi="Book Antiqua" w:cs="Times New Roman"/>
          <w:sz w:val="24"/>
          <w:szCs w:val="24"/>
          <w:lang w:eastAsia="zh-CN"/>
        </w:rPr>
        <w:t>, Kawanaka H, Akahoshi T, Yamaguchi S, Yoshida D, Anegawa G, Konishi K, Tomikawa M, Tanoue K, Tarnawski A, Hashizume M, Maehara Y. Significance of ERK nitration in portal hypertensive gastropathy and its therapeutic implications. </w:t>
      </w:r>
      <w:r w:rsidRPr="0062622A">
        <w:rPr>
          <w:rFonts w:ascii="Book Antiqua" w:eastAsia="宋体" w:hAnsi="Book Antiqua" w:cs="Times New Roman"/>
          <w:i/>
          <w:iCs/>
          <w:sz w:val="24"/>
          <w:szCs w:val="24"/>
          <w:lang w:eastAsia="zh-CN"/>
        </w:rPr>
        <w:t>Am J Physiol Gastrointest Liver Physiol</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295</w:t>
      </w:r>
      <w:r w:rsidRPr="0062622A">
        <w:rPr>
          <w:rFonts w:ascii="Book Antiqua" w:eastAsia="宋体" w:hAnsi="Book Antiqua" w:cs="Times New Roman"/>
          <w:sz w:val="24"/>
          <w:szCs w:val="24"/>
          <w:lang w:eastAsia="zh-CN"/>
        </w:rPr>
        <w:t>: G1016-G1024 [PMID: 18787063 DOI: 10.1152/ajpgi.90329.2008]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146 </w:t>
      </w:r>
      <w:r w:rsidRPr="0062622A">
        <w:rPr>
          <w:rFonts w:ascii="Book Antiqua" w:eastAsia="宋体" w:hAnsi="Book Antiqua" w:cs="Times New Roman"/>
          <w:b/>
          <w:bCs/>
          <w:sz w:val="24"/>
          <w:szCs w:val="24"/>
          <w:lang w:eastAsia="zh-CN"/>
        </w:rPr>
        <w:t>Wang JY</w:t>
      </w:r>
      <w:r w:rsidRPr="0062622A">
        <w:rPr>
          <w:rFonts w:ascii="Book Antiqua" w:eastAsia="宋体" w:hAnsi="Book Antiqua" w:cs="Times New Roman"/>
          <w:sz w:val="24"/>
          <w:szCs w:val="24"/>
          <w:lang w:eastAsia="zh-CN"/>
        </w:rPr>
        <w:t>, Hsieh JS, Lin SR, Huang TJ. The effect of portal hypertension on expression of gastric mucin mRNA in rats. </w:t>
      </w:r>
      <w:r w:rsidRPr="0062622A">
        <w:rPr>
          <w:rFonts w:ascii="Book Antiqua" w:eastAsia="宋体" w:hAnsi="Book Antiqua" w:cs="Times New Roman"/>
          <w:i/>
          <w:iCs/>
          <w:sz w:val="24"/>
          <w:szCs w:val="24"/>
          <w:lang w:eastAsia="zh-CN"/>
        </w:rPr>
        <w:t>Hepatogastroenterology</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2001</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48</w:t>
      </w:r>
      <w:r w:rsidRPr="0062622A">
        <w:rPr>
          <w:rFonts w:ascii="Book Antiqua" w:eastAsia="宋体" w:hAnsi="Book Antiqua" w:cs="Times New Roman"/>
          <w:sz w:val="24"/>
          <w:szCs w:val="24"/>
          <w:lang w:eastAsia="zh-CN"/>
        </w:rPr>
        <w:t>: 667-671 [PMID: 11462898]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147 </w:t>
      </w:r>
      <w:r w:rsidRPr="0062622A">
        <w:rPr>
          <w:rFonts w:ascii="Book Antiqua" w:eastAsia="宋体" w:hAnsi="Book Antiqua" w:cs="Times New Roman"/>
          <w:b/>
          <w:bCs/>
          <w:sz w:val="24"/>
          <w:szCs w:val="24"/>
          <w:lang w:eastAsia="zh-CN"/>
        </w:rPr>
        <w:t>Tsugawa K</w:t>
      </w:r>
      <w:r w:rsidRPr="0062622A">
        <w:rPr>
          <w:rFonts w:ascii="Book Antiqua" w:eastAsia="宋体" w:hAnsi="Book Antiqua" w:cs="Times New Roman"/>
          <w:sz w:val="24"/>
          <w:szCs w:val="24"/>
          <w:lang w:eastAsia="zh-CN"/>
        </w:rPr>
        <w:t>, Hashizume M, Tomikawa M, Migou S, Kawanaka H, Shiraishi S, Sueishi K, Sugimachi K. Immunohistochemical localization of vascular endothelial growth factor in the rat portal hypertensive gastropathy.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2001; </w:t>
      </w:r>
      <w:r w:rsidRPr="0062622A">
        <w:rPr>
          <w:rFonts w:ascii="Book Antiqua" w:eastAsia="宋体" w:hAnsi="Book Antiqua" w:cs="Times New Roman"/>
          <w:b/>
          <w:bCs/>
          <w:sz w:val="24"/>
          <w:szCs w:val="24"/>
          <w:lang w:eastAsia="zh-CN"/>
        </w:rPr>
        <w:t>16</w:t>
      </w:r>
      <w:r w:rsidRPr="0062622A">
        <w:rPr>
          <w:rFonts w:ascii="Book Antiqua" w:eastAsia="宋体" w:hAnsi="Book Antiqua" w:cs="Times New Roman"/>
          <w:sz w:val="24"/>
          <w:szCs w:val="24"/>
          <w:lang w:eastAsia="zh-CN"/>
        </w:rPr>
        <w:t>: 429-437 [PMID: 11354282</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10.1046/j.1440-1746.2001.02452.x]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148 </w:t>
      </w:r>
      <w:r w:rsidRPr="0062622A">
        <w:rPr>
          <w:rFonts w:ascii="Book Antiqua" w:eastAsia="宋体" w:hAnsi="Book Antiqua" w:cs="Times New Roman"/>
          <w:b/>
          <w:bCs/>
          <w:sz w:val="24"/>
          <w:szCs w:val="24"/>
          <w:lang w:eastAsia="zh-CN"/>
        </w:rPr>
        <w:t>Muñoz J</w:t>
      </w:r>
      <w:r w:rsidRPr="0062622A">
        <w:rPr>
          <w:rFonts w:ascii="Book Antiqua" w:eastAsia="宋体" w:hAnsi="Book Antiqua" w:cs="Times New Roman"/>
          <w:sz w:val="24"/>
          <w:szCs w:val="24"/>
          <w:lang w:eastAsia="zh-CN"/>
        </w:rPr>
        <w:t>, Albillos A, Pérez-Páramo M, Rossi I, Alvarez-Mon M. Factors mediating the hemodynamic effects of tumor necrosis factor-alpha in portal hypertensive rats. </w:t>
      </w:r>
      <w:r w:rsidRPr="0062622A">
        <w:rPr>
          <w:rFonts w:ascii="Book Antiqua" w:eastAsia="宋体" w:hAnsi="Book Antiqua" w:cs="Times New Roman"/>
          <w:i/>
          <w:iCs/>
          <w:sz w:val="24"/>
          <w:szCs w:val="24"/>
          <w:lang w:eastAsia="zh-CN"/>
        </w:rPr>
        <w:t>Am J Physiol</w:t>
      </w:r>
      <w:r w:rsidRPr="0062622A">
        <w:rPr>
          <w:rFonts w:ascii="Book Antiqua" w:eastAsia="宋体" w:hAnsi="Book Antiqua" w:cs="Times New Roman"/>
          <w:sz w:val="24"/>
          <w:szCs w:val="24"/>
          <w:lang w:eastAsia="zh-CN"/>
        </w:rPr>
        <w:t> 1999; </w:t>
      </w:r>
      <w:r w:rsidRPr="0062622A">
        <w:rPr>
          <w:rFonts w:ascii="Book Antiqua" w:eastAsia="宋体" w:hAnsi="Book Antiqua" w:cs="Times New Roman"/>
          <w:b/>
          <w:bCs/>
          <w:sz w:val="24"/>
          <w:szCs w:val="24"/>
          <w:lang w:eastAsia="zh-CN"/>
        </w:rPr>
        <w:t>276</w:t>
      </w:r>
      <w:r w:rsidRPr="0062622A">
        <w:rPr>
          <w:rFonts w:ascii="Book Antiqua" w:eastAsia="宋体" w:hAnsi="Book Antiqua" w:cs="Times New Roman"/>
          <w:sz w:val="24"/>
          <w:szCs w:val="24"/>
          <w:lang w:eastAsia="zh-CN"/>
        </w:rPr>
        <w:t>: G687-G693 [PMID: 10070045]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149 </w:t>
      </w:r>
      <w:r w:rsidRPr="0062622A">
        <w:rPr>
          <w:rFonts w:ascii="Book Antiqua" w:eastAsia="宋体" w:hAnsi="Book Antiqua" w:cs="Times New Roman"/>
          <w:b/>
          <w:bCs/>
          <w:sz w:val="24"/>
          <w:szCs w:val="24"/>
          <w:lang w:eastAsia="zh-CN"/>
        </w:rPr>
        <w:t>Kaviani A</w:t>
      </w:r>
      <w:r w:rsidRPr="0062622A">
        <w:rPr>
          <w:rFonts w:ascii="Book Antiqua" w:eastAsia="宋体" w:hAnsi="Book Antiqua" w:cs="Times New Roman"/>
          <w:sz w:val="24"/>
          <w:szCs w:val="24"/>
          <w:lang w:eastAsia="zh-CN"/>
        </w:rPr>
        <w:t>, Ohta M, Itani R, Sander F, Tarnawski AS, Sarfeh IJ. Tumor necrosis factor-alpha regulates inducible nitric oxide synthase gene expression in the portal hypertensive gastric mucosa of the rat. </w:t>
      </w:r>
      <w:r w:rsidRPr="0062622A">
        <w:rPr>
          <w:rFonts w:ascii="Book Antiqua" w:eastAsia="宋体" w:hAnsi="Book Antiqua" w:cs="Times New Roman"/>
          <w:i/>
          <w:iCs/>
          <w:sz w:val="24"/>
          <w:szCs w:val="24"/>
          <w:lang w:eastAsia="zh-CN"/>
        </w:rPr>
        <w:t>J Gastrointest Surg</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1997</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1</w:t>
      </w:r>
      <w:r w:rsidRPr="0062622A">
        <w:rPr>
          <w:rFonts w:ascii="Book Antiqua" w:eastAsia="宋体" w:hAnsi="Book Antiqua" w:cs="Times New Roman"/>
          <w:sz w:val="24"/>
          <w:szCs w:val="24"/>
          <w:lang w:eastAsia="zh-CN"/>
        </w:rPr>
        <w:t>: 371-376 [PMID: 9834372</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10.1016/S1091-255X(97)80059-5]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150 </w:t>
      </w:r>
      <w:r w:rsidRPr="0062622A">
        <w:rPr>
          <w:rFonts w:ascii="Book Antiqua" w:eastAsia="宋体" w:hAnsi="Book Antiqua" w:cs="Times New Roman"/>
          <w:b/>
          <w:bCs/>
          <w:sz w:val="24"/>
          <w:szCs w:val="24"/>
          <w:lang w:eastAsia="zh-CN"/>
        </w:rPr>
        <w:t>Ohta M</w:t>
      </w:r>
      <w:r w:rsidRPr="0062622A">
        <w:rPr>
          <w:rFonts w:ascii="Book Antiqua" w:eastAsia="宋体" w:hAnsi="Book Antiqua" w:cs="Times New Roman"/>
          <w:sz w:val="24"/>
          <w:szCs w:val="24"/>
          <w:lang w:eastAsia="zh-CN"/>
        </w:rPr>
        <w:t>, Tarnawski AS, Itani R, Pai R, Tomikawa M, Sugimachi K, Sarfeh IJ. Tumor necrosis factor alpha regulates nitric oxide synthase expression in portal hypertensive gastric mucosa of rats.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27</w:t>
      </w:r>
      <w:r w:rsidRPr="0062622A">
        <w:rPr>
          <w:rFonts w:ascii="Book Antiqua" w:eastAsia="宋体" w:hAnsi="Book Antiqua" w:cs="Times New Roman"/>
          <w:sz w:val="24"/>
          <w:szCs w:val="24"/>
          <w:lang w:eastAsia="zh-CN"/>
        </w:rPr>
        <w:t>: 906-913 [PMID: 9537427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10.1002/hep.510270403]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151 </w:t>
      </w:r>
      <w:r w:rsidRPr="0062622A">
        <w:rPr>
          <w:rFonts w:ascii="Book Antiqua" w:eastAsia="宋体" w:hAnsi="Book Antiqua" w:cs="Times New Roman"/>
          <w:b/>
          <w:bCs/>
          <w:sz w:val="24"/>
          <w:szCs w:val="24"/>
          <w:lang w:eastAsia="zh-CN"/>
        </w:rPr>
        <w:t>Ohta M</w:t>
      </w:r>
      <w:r w:rsidRPr="0062622A">
        <w:rPr>
          <w:rFonts w:ascii="Book Antiqua" w:eastAsia="宋体" w:hAnsi="Book Antiqua" w:cs="Times New Roman"/>
          <w:sz w:val="24"/>
          <w:szCs w:val="24"/>
          <w:lang w:eastAsia="zh-CN"/>
        </w:rPr>
        <w:t>, Tanoue K, Tarnawski AS, Pai R, Itani RM, Sander FC, Sugimachi K, Sarfeh IJ. Overexpressed nitric oxide synthase in portal-hypertensive stomach of rat: a key to increased susceptibility to damage?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1997; </w:t>
      </w:r>
      <w:r w:rsidRPr="0062622A">
        <w:rPr>
          <w:rFonts w:ascii="Book Antiqua" w:eastAsia="宋体" w:hAnsi="Book Antiqua" w:cs="Times New Roman"/>
          <w:b/>
          <w:bCs/>
          <w:sz w:val="24"/>
          <w:szCs w:val="24"/>
          <w:lang w:eastAsia="zh-CN"/>
        </w:rPr>
        <w:t>112</w:t>
      </w:r>
      <w:r w:rsidRPr="0062622A">
        <w:rPr>
          <w:rFonts w:ascii="Book Antiqua" w:eastAsia="宋体" w:hAnsi="Book Antiqua" w:cs="Times New Roman"/>
          <w:sz w:val="24"/>
          <w:szCs w:val="24"/>
          <w:lang w:eastAsia="zh-CN"/>
        </w:rPr>
        <w:t>: 1920-1930 [PMID: 9178684</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10.1053/gast.1997.v112.pm9178684]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152 </w:t>
      </w:r>
      <w:r w:rsidRPr="0062622A">
        <w:rPr>
          <w:rFonts w:ascii="Book Antiqua" w:eastAsia="宋体" w:hAnsi="Book Antiqua" w:cs="Times New Roman"/>
          <w:b/>
          <w:bCs/>
          <w:sz w:val="24"/>
          <w:szCs w:val="24"/>
          <w:lang w:eastAsia="zh-CN"/>
        </w:rPr>
        <w:t>El-Newihi HM</w:t>
      </w:r>
      <w:r w:rsidRPr="0062622A">
        <w:rPr>
          <w:rFonts w:ascii="Book Antiqua" w:eastAsia="宋体" w:hAnsi="Book Antiqua" w:cs="Times New Roman"/>
          <w:sz w:val="24"/>
          <w:szCs w:val="24"/>
          <w:lang w:eastAsia="zh-CN"/>
        </w:rPr>
        <w:t>, Kanji VK, Mihas AA. Activity of gastric mucosal nitric oxide synthase in portal hypertensive gastropathy.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91</w:t>
      </w:r>
      <w:r w:rsidRPr="0062622A">
        <w:rPr>
          <w:rFonts w:ascii="Book Antiqua" w:eastAsia="宋体" w:hAnsi="Book Antiqua" w:cs="Times New Roman"/>
          <w:sz w:val="24"/>
          <w:szCs w:val="24"/>
          <w:lang w:eastAsia="zh-CN"/>
        </w:rPr>
        <w:t>: 535-538 [PMID: 8633504]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153 </w:t>
      </w:r>
      <w:r w:rsidRPr="0062622A">
        <w:rPr>
          <w:rFonts w:ascii="Book Antiqua" w:eastAsia="宋体" w:hAnsi="Book Antiqua" w:cs="Times New Roman"/>
          <w:b/>
          <w:bCs/>
          <w:sz w:val="24"/>
          <w:szCs w:val="24"/>
          <w:lang w:eastAsia="zh-CN"/>
        </w:rPr>
        <w:t>Hartleb M</w:t>
      </w:r>
      <w:r w:rsidRPr="0062622A">
        <w:rPr>
          <w:rFonts w:ascii="Book Antiqua" w:eastAsia="宋体" w:hAnsi="Book Antiqua" w:cs="Times New Roman"/>
          <w:sz w:val="24"/>
          <w:szCs w:val="24"/>
          <w:lang w:eastAsia="zh-CN"/>
        </w:rPr>
        <w:t>, Michielsen PP, Dziurkowska-Marek A. The role of nitric oxide in portal hypertensive systemic and portal vascular pathology. </w:t>
      </w:r>
      <w:r w:rsidRPr="0062622A">
        <w:rPr>
          <w:rFonts w:ascii="Book Antiqua" w:eastAsia="宋体" w:hAnsi="Book Antiqua" w:cs="Times New Roman"/>
          <w:i/>
          <w:iCs/>
          <w:sz w:val="24"/>
          <w:szCs w:val="24"/>
          <w:lang w:eastAsia="zh-CN"/>
        </w:rPr>
        <w:t>Acta Gastroenterol Belg</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1997</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60</w:t>
      </w:r>
      <w:r w:rsidRPr="0062622A">
        <w:rPr>
          <w:rFonts w:ascii="Book Antiqua" w:eastAsia="宋体" w:hAnsi="Book Antiqua" w:cs="Times New Roman"/>
          <w:sz w:val="24"/>
          <w:szCs w:val="24"/>
          <w:lang w:eastAsia="zh-CN"/>
        </w:rPr>
        <w:t>: 222-232 [PMID: 9396180]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154 </w:t>
      </w:r>
      <w:r w:rsidRPr="0062622A">
        <w:rPr>
          <w:rFonts w:ascii="Book Antiqua" w:eastAsia="宋体" w:hAnsi="Book Antiqua" w:cs="Times New Roman"/>
          <w:b/>
          <w:bCs/>
          <w:sz w:val="24"/>
          <w:szCs w:val="24"/>
          <w:lang w:eastAsia="zh-CN"/>
        </w:rPr>
        <w:t>Arafa UA</w:t>
      </w:r>
      <w:r w:rsidRPr="0062622A">
        <w:rPr>
          <w:rFonts w:ascii="Book Antiqua" w:eastAsia="宋体" w:hAnsi="Book Antiqua" w:cs="Times New Roman"/>
          <w:sz w:val="24"/>
          <w:szCs w:val="24"/>
          <w:lang w:eastAsia="zh-CN"/>
        </w:rPr>
        <w:t>, Fujiwara Y, Higuchi K, Shiba M, Uchida T, Watanabe T, Tominaga K, Oshitani N, Matsumoto T, Arakawa T. No additive effect between Helicobacter pylori infection and portal hypertensive gastropathy on inducible nitric oxide synthase expression in gastric mucosa of cirrhotic patients.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48</w:t>
      </w:r>
      <w:r w:rsidRPr="0062622A">
        <w:rPr>
          <w:rFonts w:ascii="Book Antiqua" w:eastAsia="宋体" w:hAnsi="Book Antiqua" w:cs="Times New Roman"/>
          <w:sz w:val="24"/>
          <w:szCs w:val="24"/>
          <w:lang w:eastAsia="zh-CN"/>
        </w:rPr>
        <w:t>: 162-168 [PMID: 12645804</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10.1023/A:1021707103590]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155 </w:t>
      </w:r>
      <w:r w:rsidRPr="0062622A">
        <w:rPr>
          <w:rFonts w:ascii="Book Antiqua" w:eastAsia="宋体" w:hAnsi="Book Antiqua" w:cs="Times New Roman"/>
          <w:b/>
          <w:bCs/>
          <w:sz w:val="24"/>
          <w:szCs w:val="24"/>
          <w:lang w:eastAsia="zh-CN"/>
        </w:rPr>
        <w:t>Lee FY</w:t>
      </w:r>
      <w:r w:rsidRPr="0062622A">
        <w:rPr>
          <w:rFonts w:ascii="Book Antiqua" w:eastAsia="宋体" w:hAnsi="Book Antiqua" w:cs="Times New Roman"/>
          <w:sz w:val="24"/>
          <w:szCs w:val="24"/>
          <w:lang w:eastAsia="zh-CN"/>
        </w:rPr>
        <w:t>, Wang SS, Tsai YT, Lin HJ, Lin HC, Chu CJ, Wu SL, Tai CC, Lee SD. Aminoguanidine corrects hyperdynamic circulation without ameliorating portal hypertension and portal hypertensive gastropathy in anesthetized portal hypertensive rats.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1997; </w:t>
      </w:r>
      <w:r w:rsidRPr="0062622A">
        <w:rPr>
          <w:rFonts w:ascii="Book Antiqua" w:eastAsia="宋体" w:hAnsi="Book Antiqua" w:cs="Times New Roman"/>
          <w:b/>
          <w:bCs/>
          <w:sz w:val="24"/>
          <w:szCs w:val="24"/>
          <w:lang w:eastAsia="zh-CN"/>
        </w:rPr>
        <w:t>26</w:t>
      </w:r>
      <w:r w:rsidRPr="0062622A">
        <w:rPr>
          <w:rFonts w:ascii="Book Antiqua" w:eastAsia="宋体" w:hAnsi="Book Antiqua" w:cs="Times New Roman"/>
          <w:sz w:val="24"/>
          <w:szCs w:val="24"/>
          <w:lang w:eastAsia="zh-CN"/>
        </w:rPr>
        <w:t>: 687-693 [PMID: 9075678</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10.1016/S0168-8278(97)80436-9]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156 </w:t>
      </w:r>
      <w:r w:rsidRPr="0062622A">
        <w:rPr>
          <w:rFonts w:ascii="Book Antiqua" w:eastAsia="宋体" w:hAnsi="Book Antiqua" w:cs="Times New Roman"/>
          <w:b/>
          <w:bCs/>
          <w:sz w:val="24"/>
          <w:szCs w:val="24"/>
          <w:lang w:eastAsia="zh-CN"/>
        </w:rPr>
        <w:t>Chu CJ</w:t>
      </w:r>
      <w:r w:rsidRPr="0062622A">
        <w:rPr>
          <w:rFonts w:ascii="Book Antiqua" w:eastAsia="宋体" w:hAnsi="Book Antiqua" w:cs="Times New Roman"/>
          <w:sz w:val="24"/>
          <w:szCs w:val="24"/>
          <w:lang w:eastAsia="zh-CN"/>
        </w:rPr>
        <w:t>, Lee FY, Wang SS, Chang FY, Lin HC, Hou MC, Wu SL, Tai CC, Chan CC, Lee SD. Aminoguanidine ameliorates splanchnic hyposensitivity to glypressin in a haemorrhage-transfused rat model of portal hypertension. </w:t>
      </w:r>
      <w:r w:rsidRPr="0062622A">
        <w:rPr>
          <w:rFonts w:ascii="Book Antiqua" w:eastAsia="宋体" w:hAnsi="Book Antiqua" w:cs="Times New Roman"/>
          <w:i/>
          <w:iCs/>
          <w:sz w:val="24"/>
          <w:szCs w:val="24"/>
          <w:lang w:eastAsia="zh-CN"/>
        </w:rPr>
        <w:t>Clin Sci (Lond)</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95</w:t>
      </w:r>
      <w:r w:rsidRPr="0062622A">
        <w:rPr>
          <w:rFonts w:ascii="Book Antiqua" w:eastAsia="宋体" w:hAnsi="Book Antiqua" w:cs="Times New Roman"/>
          <w:sz w:val="24"/>
          <w:szCs w:val="24"/>
          <w:lang w:eastAsia="zh-CN"/>
        </w:rPr>
        <w:t>: 629-636 [PMID: 9791050</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10.1042/cs0950629]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157 </w:t>
      </w:r>
      <w:r w:rsidRPr="0062622A">
        <w:rPr>
          <w:rFonts w:ascii="Book Antiqua" w:eastAsia="宋体" w:hAnsi="Book Antiqua" w:cs="Times New Roman"/>
          <w:b/>
          <w:bCs/>
          <w:sz w:val="24"/>
          <w:szCs w:val="24"/>
          <w:lang w:eastAsia="zh-CN"/>
        </w:rPr>
        <w:t>Silva G</w:t>
      </w:r>
      <w:r w:rsidRPr="0062622A">
        <w:rPr>
          <w:rFonts w:ascii="Book Antiqua" w:eastAsia="宋体" w:hAnsi="Book Antiqua" w:cs="Times New Roman"/>
          <w:sz w:val="24"/>
          <w:szCs w:val="24"/>
          <w:lang w:eastAsia="zh-CN"/>
        </w:rPr>
        <w:t>, Navasa M, Bosch J, Chesta J, Pilar Pizcueta M, Casamitjana R, Rivera F, Rodés J. Hemodynamic effects of glucagon in portal hypertension.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1990; </w:t>
      </w:r>
      <w:r w:rsidRPr="0062622A">
        <w:rPr>
          <w:rFonts w:ascii="Book Antiqua" w:eastAsia="宋体" w:hAnsi="Book Antiqua" w:cs="Times New Roman"/>
          <w:b/>
          <w:bCs/>
          <w:sz w:val="24"/>
          <w:szCs w:val="24"/>
          <w:lang w:eastAsia="zh-CN"/>
        </w:rPr>
        <w:t>11</w:t>
      </w:r>
      <w:r w:rsidRPr="0062622A">
        <w:rPr>
          <w:rFonts w:ascii="Book Antiqua" w:eastAsia="宋体" w:hAnsi="Book Antiqua" w:cs="Times New Roman"/>
          <w:sz w:val="24"/>
          <w:szCs w:val="24"/>
          <w:lang w:eastAsia="zh-CN"/>
        </w:rPr>
        <w:t>: 668-673 [PMID: 2328958</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10.1002/hep.1840110421]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158 </w:t>
      </w:r>
      <w:r w:rsidRPr="0062622A">
        <w:rPr>
          <w:rFonts w:ascii="Book Antiqua" w:eastAsia="宋体" w:hAnsi="Book Antiqua" w:cs="Times New Roman"/>
          <w:b/>
          <w:bCs/>
          <w:sz w:val="24"/>
          <w:szCs w:val="24"/>
          <w:lang w:eastAsia="zh-CN"/>
        </w:rPr>
        <w:t>Geraghty JG</w:t>
      </w:r>
      <w:r w:rsidRPr="0062622A">
        <w:rPr>
          <w:rFonts w:ascii="Book Antiqua" w:eastAsia="宋体" w:hAnsi="Book Antiqua" w:cs="Times New Roman"/>
          <w:sz w:val="24"/>
          <w:szCs w:val="24"/>
          <w:lang w:eastAsia="zh-CN"/>
        </w:rPr>
        <w:t>, Angerson WJ, Carter DC. Splanchnic haemodynamics and vasoactive agents in experimental cirrhosis. </w:t>
      </w:r>
      <w:r w:rsidRPr="0062622A">
        <w:rPr>
          <w:rFonts w:ascii="Book Antiqua" w:eastAsia="宋体" w:hAnsi="Book Antiqua" w:cs="Times New Roman"/>
          <w:i/>
          <w:iCs/>
          <w:sz w:val="24"/>
          <w:szCs w:val="24"/>
          <w:lang w:eastAsia="zh-CN"/>
        </w:rPr>
        <w:t>HPB Surg</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8</w:t>
      </w:r>
      <w:r w:rsidRPr="0062622A">
        <w:rPr>
          <w:rFonts w:ascii="Book Antiqua" w:eastAsia="宋体" w:hAnsi="Book Antiqua" w:cs="Times New Roman"/>
          <w:sz w:val="24"/>
          <w:szCs w:val="24"/>
          <w:lang w:eastAsia="zh-CN"/>
        </w:rPr>
        <w:t>: 83-7; discussion 87-8 [PMID: 7880777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10.1155/1994/52975]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159 </w:t>
      </w:r>
      <w:r w:rsidRPr="0062622A">
        <w:rPr>
          <w:rFonts w:ascii="Book Antiqua" w:eastAsia="宋体" w:hAnsi="Book Antiqua" w:cs="Times New Roman"/>
          <w:b/>
          <w:bCs/>
          <w:sz w:val="24"/>
          <w:szCs w:val="24"/>
          <w:lang w:eastAsia="zh-CN"/>
        </w:rPr>
        <w:t>Benoit JN</w:t>
      </w:r>
      <w:r w:rsidRPr="0062622A">
        <w:rPr>
          <w:rFonts w:ascii="Book Antiqua" w:eastAsia="宋体" w:hAnsi="Book Antiqua" w:cs="Times New Roman"/>
          <w:sz w:val="24"/>
          <w:szCs w:val="24"/>
          <w:lang w:eastAsia="zh-CN"/>
        </w:rPr>
        <w:t>, Zimmerman B, Premen AJ, Go VL, Granger DN. Role of glucagon in splanchnic hyperemia of chronic portal hypertension. </w:t>
      </w:r>
      <w:r w:rsidRPr="0062622A">
        <w:rPr>
          <w:rFonts w:ascii="Book Antiqua" w:eastAsia="宋体" w:hAnsi="Book Antiqua" w:cs="Times New Roman"/>
          <w:i/>
          <w:iCs/>
          <w:sz w:val="24"/>
          <w:szCs w:val="24"/>
          <w:lang w:eastAsia="zh-CN"/>
        </w:rPr>
        <w:t>Am J Physiol</w:t>
      </w:r>
      <w:r w:rsidRPr="0062622A">
        <w:rPr>
          <w:rFonts w:ascii="Book Antiqua" w:eastAsia="宋体" w:hAnsi="Book Antiqua" w:cs="Times New Roman"/>
          <w:sz w:val="24"/>
          <w:szCs w:val="24"/>
          <w:lang w:eastAsia="zh-CN"/>
        </w:rPr>
        <w:t> 1986; </w:t>
      </w:r>
      <w:r w:rsidRPr="0062622A">
        <w:rPr>
          <w:rFonts w:ascii="Book Antiqua" w:eastAsia="宋体" w:hAnsi="Book Antiqua" w:cs="Times New Roman"/>
          <w:b/>
          <w:bCs/>
          <w:sz w:val="24"/>
          <w:szCs w:val="24"/>
          <w:lang w:eastAsia="zh-CN"/>
        </w:rPr>
        <w:t>251</w:t>
      </w:r>
      <w:r w:rsidRPr="0062622A">
        <w:rPr>
          <w:rFonts w:ascii="Book Antiqua" w:eastAsia="宋体" w:hAnsi="Book Antiqua" w:cs="Times New Roman"/>
          <w:sz w:val="24"/>
          <w:szCs w:val="24"/>
          <w:lang w:eastAsia="zh-CN"/>
        </w:rPr>
        <w:t>: G674-G677 [PMID: 3777172]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160 </w:t>
      </w:r>
      <w:r w:rsidRPr="0062622A">
        <w:rPr>
          <w:rFonts w:ascii="Book Antiqua" w:eastAsia="宋体" w:hAnsi="Book Antiqua" w:cs="Times New Roman"/>
          <w:b/>
          <w:bCs/>
          <w:sz w:val="24"/>
          <w:szCs w:val="24"/>
          <w:lang w:eastAsia="zh-CN"/>
        </w:rPr>
        <w:t>Tsui CP</w:t>
      </w:r>
      <w:r w:rsidRPr="0062622A">
        <w:rPr>
          <w:rFonts w:ascii="Book Antiqua" w:eastAsia="宋体" w:hAnsi="Book Antiqua" w:cs="Times New Roman"/>
          <w:sz w:val="24"/>
          <w:szCs w:val="24"/>
          <w:lang w:eastAsia="zh-CN"/>
        </w:rPr>
        <w:t>, Sung JJ, Leung FW. Role of acute elevation of portal venous pressure by exogenous glucagon on gastric mucosal injury in rats with portal hypertension. </w:t>
      </w:r>
      <w:r w:rsidRPr="0062622A">
        <w:rPr>
          <w:rFonts w:ascii="Book Antiqua" w:eastAsia="宋体" w:hAnsi="Book Antiqua" w:cs="Times New Roman"/>
          <w:i/>
          <w:iCs/>
          <w:sz w:val="24"/>
          <w:szCs w:val="24"/>
          <w:lang w:eastAsia="zh-CN"/>
        </w:rPr>
        <w:t>Life Sci</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73</w:t>
      </w:r>
      <w:r w:rsidRPr="0062622A">
        <w:rPr>
          <w:rFonts w:ascii="Book Antiqua" w:eastAsia="宋体" w:hAnsi="Book Antiqua" w:cs="Times New Roman"/>
          <w:sz w:val="24"/>
          <w:szCs w:val="24"/>
          <w:lang w:eastAsia="zh-CN"/>
        </w:rPr>
        <w:t>: 1115-1129 [PMID: 12818720</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10.1016/S0024-3205(03)00413-2]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161 </w:t>
      </w:r>
      <w:r w:rsidRPr="0062622A">
        <w:rPr>
          <w:rFonts w:ascii="Book Antiqua" w:eastAsia="宋体" w:hAnsi="Book Antiqua" w:cs="Times New Roman"/>
          <w:b/>
          <w:bCs/>
          <w:sz w:val="24"/>
          <w:szCs w:val="24"/>
          <w:lang w:eastAsia="zh-CN"/>
        </w:rPr>
        <w:t>Ohta M</w:t>
      </w:r>
      <w:r w:rsidRPr="0062622A">
        <w:rPr>
          <w:rFonts w:ascii="Book Antiqua" w:eastAsia="宋体" w:hAnsi="Book Antiqua" w:cs="Times New Roman"/>
          <w:sz w:val="24"/>
          <w:szCs w:val="24"/>
          <w:lang w:eastAsia="zh-CN"/>
        </w:rPr>
        <w:t>, Kishihara F, Hashizume M, Kawanaka H, Tomikawa M, Higashi H, Tanoue K, Sugimachi K. Increased prostacyclin content in gastric mucosa of cirrhotic patients with portal hypertensive gastropathy. </w:t>
      </w:r>
      <w:r w:rsidRPr="0062622A">
        <w:rPr>
          <w:rFonts w:ascii="Book Antiqua" w:eastAsia="宋体" w:hAnsi="Book Antiqua" w:cs="Times New Roman"/>
          <w:i/>
          <w:iCs/>
          <w:sz w:val="24"/>
          <w:szCs w:val="24"/>
          <w:lang w:eastAsia="zh-CN"/>
        </w:rPr>
        <w:t>Prostaglandins Leukot Essent Fatty Acids</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53</w:t>
      </w:r>
      <w:r w:rsidRPr="0062622A">
        <w:rPr>
          <w:rFonts w:ascii="Book Antiqua" w:eastAsia="宋体" w:hAnsi="Book Antiqua" w:cs="Times New Roman"/>
          <w:sz w:val="24"/>
          <w:szCs w:val="24"/>
          <w:lang w:eastAsia="zh-CN"/>
        </w:rPr>
        <w:t>: 41-45 [PMID: 7675821</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10.1016/0952-3278(95)90081-0]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162 </w:t>
      </w:r>
      <w:r w:rsidRPr="0062622A">
        <w:rPr>
          <w:rFonts w:ascii="Book Antiqua" w:eastAsia="宋体" w:hAnsi="Book Antiqua" w:cs="Times New Roman"/>
          <w:b/>
          <w:bCs/>
          <w:sz w:val="24"/>
          <w:szCs w:val="24"/>
          <w:lang w:eastAsia="zh-CN"/>
        </w:rPr>
        <w:t>Weiler H</w:t>
      </w:r>
      <w:r w:rsidRPr="0062622A">
        <w:rPr>
          <w:rFonts w:ascii="Book Antiqua" w:eastAsia="宋体" w:hAnsi="Book Antiqua" w:cs="Times New Roman"/>
          <w:sz w:val="24"/>
          <w:szCs w:val="24"/>
          <w:lang w:eastAsia="zh-CN"/>
        </w:rPr>
        <w:t>, Weiler C, Gerok W. Gastric mucosal prostaglandin E2 levels in cirrhosis and portal hypertension.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1990; </w:t>
      </w:r>
      <w:r w:rsidRPr="0062622A">
        <w:rPr>
          <w:rFonts w:ascii="Book Antiqua" w:eastAsia="宋体" w:hAnsi="Book Antiqua" w:cs="Times New Roman"/>
          <w:b/>
          <w:bCs/>
          <w:sz w:val="24"/>
          <w:szCs w:val="24"/>
          <w:lang w:eastAsia="zh-CN"/>
        </w:rPr>
        <w:t>11</w:t>
      </w:r>
      <w:r w:rsidRPr="0062622A">
        <w:rPr>
          <w:rFonts w:ascii="Book Antiqua" w:eastAsia="宋体" w:hAnsi="Book Antiqua" w:cs="Times New Roman"/>
          <w:sz w:val="24"/>
          <w:szCs w:val="24"/>
          <w:lang w:eastAsia="zh-CN"/>
        </w:rPr>
        <w:t>: 58-64 [PMID: 2398267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10.1016/0168-8278(90)90272-S]</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163 </w:t>
      </w:r>
      <w:r w:rsidRPr="0062622A">
        <w:rPr>
          <w:rFonts w:ascii="Book Antiqua" w:eastAsia="宋体" w:hAnsi="Book Antiqua" w:cs="Times New Roman"/>
          <w:b/>
          <w:bCs/>
          <w:sz w:val="24"/>
          <w:szCs w:val="24"/>
          <w:lang w:eastAsia="zh-CN"/>
        </w:rPr>
        <w:t>Arakawa T</w:t>
      </w:r>
      <w:r w:rsidRPr="0062622A">
        <w:rPr>
          <w:rFonts w:ascii="Book Antiqua" w:eastAsia="宋体" w:hAnsi="Book Antiqua" w:cs="Times New Roman"/>
          <w:sz w:val="24"/>
          <w:szCs w:val="24"/>
          <w:lang w:eastAsia="zh-CN"/>
        </w:rPr>
        <w:t>, Satoh H, Fukuda T, Nakamura H, Kobayashi K. Endogenous prostaglandin E2 in gastric mucosa of patients with alcoholic cirrhosis and portal hypertension.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1987; </w:t>
      </w:r>
      <w:r w:rsidRPr="0062622A">
        <w:rPr>
          <w:rFonts w:ascii="Book Antiqua" w:eastAsia="宋体" w:hAnsi="Book Antiqua" w:cs="Times New Roman"/>
          <w:b/>
          <w:bCs/>
          <w:sz w:val="24"/>
          <w:szCs w:val="24"/>
          <w:lang w:eastAsia="zh-CN"/>
        </w:rPr>
        <w:t>93</w:t>
      </w:r>
      <w:r w:rsidRPr="0062622A">
        <w:rPr>
          <w:rFonts w:ascii="Book Antiqua" w:eastAsia="宋体" w:hAnsi="Book Antiqua" w:cs="Times New Roman"/>
          <w:sz w:val="24"/>
          <w:szCs w:val="24"/>
          <w:lang w:eastAsia="zh-CN"/>
        </w:rPr>
        <w:t>: 135-140 [PMID: 3472989]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164 </w:t>
      </w:r>
      <w:r w:rsidRPr="0062622A">
        <w:rPr>
          <w:rFonts w:ascii="Book Antiqua" w:eastAsia="宋体" w:hAnsi="Book Antiqua" w:cs="Times New Roman"/>
          <w:b/>
          <w:bCs/>
          <w:sz w:val="24"/>
          <w:szCs w:val="24"/>
          <w:lang w:eastAsia="zh-CN"/>
        </w:rPr>
        <w:t>Beck PL</w:t>
      </w:r>
      <w:r w:rsidRPr="0062622A">
        <w:rPr>
          <w:rFonts w:ascii="Book Antiqua" w:eastAsia="宋体" w:hAnsi="Book Antiqua" w:cs="Times New Roman"/>
          <w:sz w:val="24"/>
          <w:szCs w:val="24"/>
          <w:lang w:eastAsia="zh-CN"/>
        </w:rPr>
        <w:t>, McKnight GW, Kelly JK, Wallace JL, Lee SS. Hepatic and gastric cytoprotective effects of long-term prostaglandin E1 administration in cirrhotic rats.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1993; </w:t>
      </w:r>
      <w:r w:rsidRPr="0062622A">
        <w:rPr>
          <w:rFonts w:ascii="Book Antiqua" w:eastAsia="宋体" w:hAnsi="Book Antiqua" w:cs="Times New Roman"/>
          <w:b/>
          <w:bCs/>
          <w:sz w:val="24"/>
          <w:szCs w:val="24"/>
          <w:lang w:eastAsia="zh-CN"/>
        </w:rPr>
        <w:t>105</w:t>
      </w:r>
      <w:r w:rsidRPr="0062622A">
        <w:rPr>
          <w:rFonts w:ascii="Book Antiqua" w:eastAsia="宋体" w:hAnsi="Book Antiqua" w:cs="Times New Roman"/>
          <w:sz w:val="24"/>
          <w:szCs w:val="24"/>
          <w:lang w:eastAsia="zh-CN"/>
        </w:rPr>
        <w:t>: 1483-1489 [PMID: 8224652</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10.1016/0016-5085(93)90155-6]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165 </w:t>
      </w:r>
      <w:r w:rsidRPr="0062622A">
        <w:rPr>
          <w:rFonts w:ascii="Book Antiqua" w:eastAsia="宋体" w:hAnsi="Book Antiqua" w:cs="Times New Roman"/>
          <w:b/>
          <w:bCs/>
          <w:sz w:val="24"/>
          <w:szCs w:val="24"/>
          <w:lang w:eastAsia="zh-CN"/>
        </w:rPr>
        <w:t>Migoh S</w:t>
      </w:r>
      <w:r w:rsidRPr="0062622A">
        <w:rPr>
          <w:rFonts w:ascii="Book Antiqua" w:eastAsia="宋体" w:hAnsi="Book Antiqua" w:cs="Times New Roman"/>
          <w:sz w:val="24"/>
          <w:szCs w:val="24"/>
          <w:lang w:eastAsia="zh-CN"/>
        </w:rPr>
        <w:t>, Hashizume M, Tsugawa K, Tanoue K, Sugimachi K. Role of endothelin-1 in congestive gastropathy in portal hypertensive rats.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2000; </w:t>
      </w:r>
      <w:r w:rsidRPr="0062622A">
        <w:rPr>
          <w:rFonts w:ascii="Book Antiqua" w:eastAsia="宋体" w:hAnsi="Book Antiqua" w:cs="Times New Roman"/>
          <w:b/>
          <w:bCs/>
          <w:sz w:val="24"/>
          <w:szCs w:val="24"/>
          <w:lang w:eastAsia="zh-CN"/>
        </w:rPr>
        <w:t>15</w:t>
      </w:r>
      <w:r w:rsidRPr="0062622A">
        <w:rPr>
          <w:rFonts w:ascii="Book Antiqua" w:eastAsia="宋体" w:hAnsi="Book Antiqua" w:cs="Times New Roman"/>
          <w:sz w:val="24"/>
          <w:szCs w:val="24"/>
          <w:lang w:eastAsia="zh-CN"/>
        </w:rPr>
        <w:t>: 142-147 [PMID: 10735537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10.1046/j.1440-1746.2000.02061.x]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166 </w:t>
      </w:r>
      <w:r w:rsidRPr="0062622A">
        <w:rPr>
          <w:rFonts w:ascii="Book Antiqua" w:eastAsia="宋体" w:hAnsi="Book Antiqua" w:cs="Times New Roman"/>
          <w:b/>
          <w:bCs/>
          <w:sz w:val="24"/>
          <w:szCs w:val="24"/>
          <w:lang w:eastAsia="zh-CN"/>
        </w:rPr>
        <w:t>Romano M</w:t>
      </w:r>
      <w:r w:rsidRPr="0062622A">
        <w:rPr>
          <w:rFonts w:ascii="Book Antiqua" w:eastAsia="宋体" w:hAnsi="Book Antiqua" w:cs="Times New Roman"/>
          <w:sz w:val="24"/>
          <w:szCs w:val="24"/>
          <w:lang w:eastAsia="zh-CN"/>
        </w:rPr>
        <w:t>, Meise KS, Suozzo R, Sessa G, Persico M, Coffey RJ. Regional distribution of transforming growth factor-alpha and epidermal growth factor in normal and portal hypertensive gastric mucosa in humans.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40</w:t>
      </w:r>
      <w:r w:rsidRPr="0062622A">
        <w:rPr>
          <w:rFonts w:ascii="Book Antiqua" w:eastAsia="宋体" w:hAnsi="Book Antiqua" w:cs="Times New Roman"/>
          <w:sz w:val="24"/>
          <w:szCs w:val="24"/>
          <w:lang w:eastAsia="zh-CN"/>
        </w:rPr>
        <w:t>: 263-267 [PMID: 7851187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10.1007/BF02065407]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167 </w:t>
      </w:r>
      <w:r w:rsidRPr="0062622A">
        <w:rPr>
          <w:rFonts w:ascii="Book Antiqua" w:eastAsia="宋体" w:hAnsi="Book Antiqua" w:cs="Times New Roman"/>
          <w:b/>
          <w:bCs/>
          <w:sz w:val="24"/>
          <w:szCs w:val="24"/>
          <w:lang w:eastAsia="zh-CN"/>
        </w:rPr>
        <w:t>Pleli T</w:t>
      </w:r>
      <w:r w:rsidRPr="0062622A">
        <w:rPr>
          <w:rFonts w:ascii="Book Antiqua" w:eastAsia="宋体" w:hAnsi="Book Antiqua" w:cs="Times New Roman"/>
          <w:sz w:val="24"/>
          <w:szCs w:val="24"/>
          <w:lang w:eastAsia="zh-CN"/>
        </w:rPr>
        <w:t>, Martin D, Kronenberger B, Brunner F, Köberle V, Grammatikos G, Farnik H, Martinez Y, Finkelmeier F, Labocha S, Ferreirós N, Zeuzem S, Piiper A, Waidmann O. Serum autotaxin is a parameter for the severity of liver cirrhosis and overall survival in patients with liver cirrhosis--a prospective cohort study. </w:t>
      </w:r>
      <w:r w:rsidRPr="0062622A">
        <w:rPr>
          <w:rFonts w:ascii="Book Antiqua" w:eastAsia="宋体" w:hAnsi="Book Antiqua" w:cs="Times New Roman"/>
          <w:i/>
          <w:iCs/>
          <w:sz w:val="24"/>
          <w:szCs w:val="24"/>
          <w:lang w:eastAsia="zh-CN"/>
        </w:rPr>
        <w:t>PLoS One</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9</w:t>
      </w:r>
      <w:r w:rsidRPr="0062622A">
        <w:rPr>
          <w:rFonts w:ascii="Book Antiqua" w:eastAsia="宋体" w:hAnsi="Book Antiqua" w:cs="Times New Roman"/>
          <w:sz w:val="24"/>
          <w:szCs w:val="24"/>
          <w:lang w:eastAsia="zh-CN"/>
        </w:rPr>
        <w:t>: e103532 [PMID: 25062038</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10.1371/journal.pone.0103532]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168 </w:t>
      </w:r>
      <w:r w:rsidRPr="0062622A">
        <w:rPr>
          <w:rFonts w:ascii="Book Antiqua" w:eastAsia="宋体" w:hAnsi="Book Antiqua" w:cs="Times New Roman"/>
          <w:b/>
          <w:bCs/>
          <w:sz w:val="24"/>
          <w:szCs w:val="24"/>
          <w:lang w:eastAsia="zh-CN"/>
        </w:rPr>
        <w:t>Misra SP</w:t>
      </w:r>
      <w:r w:rsidRPr="0062622A">
        <w:rPr>
          <w:rFonts w:ascii="Book Antiqua" w:eastAsia="宋体" w:hAnsi="Book Antiqua" w:cs="Times New Roman"/>
          <w:sz w:val="24"/>
          <w:szCs w:val="24"/>
          <w:lang w:eastAsia="zh-CN"/>
        </w:rPr>
        <w:t>, Dwivedi M, Misra V, Agarwal SK, Gupta R, Gupta SC, Mital VP. Endoscopic and histologic appearance of the gastric mucosa in patients with portal hypertension.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1990</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36</w:t>
      </w:r>
      <w:r w:rsidRPr="0062622A">
        <w:rPr>
          <w:rFonts w:ascii="Book Antiqua" w:eastAsia="宋体" w:hAnsi="Book Antiqua" w:cs="Times New Roman"/>
          <w:sz w:val="24"/>
          <w:szCs w:val="24"/>
          <w:lang w:eastAsia="zh-CN"/>
        </w:rPr>
        <w:t>: 575-579 [PMID: 2279646</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10.1016/S0016-5107(90)71167-4]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169 </w:t>
      </w:r>
      <w:r w:rsidRPr="0062622A">
        <w:rPr>
          <w:rFonts w:ascii="Book Antiqua" w:eastAsia="宋体" w:hAnsi="Book Antiqua" w:cs="Times New Roman"/>
          <w:b/>
          <w:bCs/>
          <w:sz w:val="24"/>
          <w:szCs w:val="24"/>
          <w:lang w:eastAsia="zh-CN"/>
        </w:rPr>
        <w:t>Dong L</w:t>
      </w:r>
      <w:r w:rsidRPr="0062622A">
        <w:rPr>
          <w:rFonts w:ascii="Book Antiqua" w:eastAsia="宋体" w:hAnsi="Book Antiqua" w:cs="Times New Roman"/>
          <w:sz w:val="24"/>
          <w:szCs w:val="24"/>
          <w:lang w:eastAsia="zh-CN"/>
        </w:rPr>
        <w:t>, Zhang ZN, Fang P, Ma SY. Portal hypertensive gastropathy and its interrelated factors. </w:t>
      </w:r>
      <w:r w:rsidRPr="0062622A">
        <w:rPr>
          <w:rFonts w:ascii="Book Antiqua" w:eastAsia="宋体" w:hAnsi="Book Antiqua" w:cs="Times New Roman"/>
          <w:i/>
          <w:iCs/>
          <w:sz w:val="24"/>
          <w:szCs w:val="24"/>
          <w:lang w:eastAsia="zh-CN"/>
        </w:rPr>
        <w:t>Hepatobiliary Pancreat Dis Int</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2</w:t>
      </w:r>
      <w:r w:rsidRPr="0062622A">
        <w:rPr>
          <w:rFonts w:ascii="Book Antiqua" w:eastAsia="宋体" w:hAnsi="Book Antiqua" w:cs="Times New Roman"/>
          <w:sz w:val="24"/>
          <w:szCs w:val="24"/>
          <w:lang w:eastAsia="zh-CN"/>
        </w:rPr>
        <w:t>: 226-229 [PMID: 14599974]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170 </w:t>
      </w:r>
      <w:r w:rsidRPr="0062622A">
        <w:rPr>
          <w:rFonts w:ascii="Book Antiqua" w:eastAsia="宋体" w:hAnsi="Book Antiqua" w:cs="Times New Roman"/>
          <w:b/>
          <w:bCs/>
          <w:sz w:val="24"/>
          <w:szCs w:val="24"/>
          <w:lang w:eastAsia="zh-CN"/>
        </w:rPr>
        <w:t>Giofré MR</w:t>
      </w:r>
      <w:r w:rsidRPr="0062622A">
        <w:rPr>
          <w:rFonts w:ascii="Book Antiqua" w:eastAsia="宋体" w:hAnsi="Book Antiqua" w:cs="Times New Roman"/>
          <w:sz w:val="24"/>
          <w:szCs w:val="24"/>
          <w:lang w:eastAsia="zh-CN"/>
        </w:rPr>
        <w:t>, Meduri G, Pallio S, Calandra S, Magnano A, Niceforo D, Cinquegrani M, di Leo V, Mazzon E, Sturniolo GC, Longo G, Fries W. Gastric permeability to sucrose is increased in portal hypertensive gastropathy. </w:t>
      </w:r>
      <w:r w:rsidRPr="0062622A">
        <w:rPr>
          <w:rFonts w:ascii="Book Antiqua" w:eastAsia="宋体" w:hAnsi="Book Antiqua" w:cs="Times New Roman"/>
          <w:i/>
          <w:iCs/>
          <w:sz w:val="24"/>
          <w:szCs w:val="24"/>
          <w:lang w:eastAsia="zh-CN"/>
        </w:rPr>
        <w:t>Eur J Gastroenterol Hepatol</w:t>
      </w:r>
      <w:r w:rsidRPr="0062622A">
        <w:rPr>
          <w:rFonts w:ascii="Book Antiqua" w:eastAsia="宋体" w:hAnsi="Book Antiqua" w:cs="Times New Roman"/>
          <w:sz w:val="24"/>
          <w:szCs w:val="24"/>
          <w:lang w:eastAsia="zh-CN"/>
        </w:rPr>
        <w:t> 2000; </w:t>
      </w:r>
      <w:r w:rsidRPr="0062622A">
        <w:rPr>
          <w:rFonts w:ascii="Book Antiqua" w:eastAsia="宋体" w:hAnsi="Book Antiqua" w:cs="Times New Roman"/>
          <w:b/>
          <w:bCs/>
          <w:sz w:val="24"/>
          <w:szCs w:val="24"/>
          <w:lang w:eastAsia="zh-CN"/>
        </w:rPr>
        <w:t>12</w:t>
      </w:r>
      <w:r w:rsidRPr="0062622A">
        <w:rPr>
          <w:rFonts w:ascii="Book Antiqua" w:eastAsia="宋体" w:hAnsi="Book Antiqua" w:cs="Times New Roman"/>
          <w:sz w:val="24"/>
          <w:szCs w:val="24"/>
          <w:lang w:eastAsia="zh-CN"/>
        </w:rPr>
        <w:t>: 529-533 [PMID: 10833096</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10.1097/00042737-200012050-00009]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171 </w:t>
      </w:r>
      <w:r w:rsidRPr="0062622A">
        <w:rPr>
          <w:rFonts w:ascii="Book Antiqua" w:eastAsia="宋体" w:hAnsi="Book Antiqua" w:cs="Times New Roman"/>
          <w:b/>
          <w:bCs/>
          <w:sz w:val="24"/>
          <w:szCs w:val="24"/>
          <w:lang w:eastAsia="zh-CN"/>
        </w:rPr>
        <w:t>Bahnacy A</w:t>
      </w:r>
      <w:r w:rsidRPr="0062622A">
        <w:rPr>
          <w:rFonts w:ascii="Book Antiqua" w:eastAsia="宋体" w:hAnsi="Book Antiqua" w:cs="Times New Roman"/>
          <w:sz w:val="24"/>
          <w:szCs w:val="24"/>
          <w:lang w:eastAsia="zh-CN"/>
        </w:rPr>
        <w:t>, Kupcsulik P, Elés ZS, Jàray B, Flautner L. Helicobacter pylori and congestive gastropathy. </w:t>
      </w:r>
      <w:r w:rsidRPr="0062622A">
        <w:rPr>
          <w:rFonts w:ascii="Book Antiqua" w:eastAsia="宋体" w:hAnsi="Book Antiqua" w:cs="Times New Roman"/>
          <w:i/>
          <w:iCs/>
          <w:sz w:val="24"/>
          <w:szCs w:val="24"/>
          <w:lang w:eastAsia="zh-CN"/>
        </w:rPr>
        <w:t>Z Gastroenterol</w:t>
      </w:r>
      <w:r w:rsidRPr="0062622A">
        <w:rPr>
          <w:rFonts w:ascii="Book Antiqua" w:eastAsia="宋体" w:hAnsi="Book Antiqua" w:cs="Times New Roman"/>
          <w:sz w:val="24"/>
          <w:szCs w:val="24"/>
          <w:lang w:eastAsia="zh-CN"/>
        </w:rPr>
        <w:t> 1997; </w:t>
      </w:r>
      <w:r w:rsidRPr="0062622A">
        <w:rPr>
          <w:rFonts w:ascii="Book Antiqua" w:eastAsia="宋体" w:hAnsi="Book Antiqua" w:cs="Times New Roman"/>
          <w:b/>
          <w:bCs/>
          <w:sz w:val="24"/>
          <w:szCs w:val="24"/>
          <w:lang w:eastAsia="zh-CN"/>
        </w:rPr>
        <w:t>35</w:t>
      </w:r>
      <w:r w:rsidRPr="0062622A">
        <w:rPr>
          <w:rFonts w:ascii="Book Antiqua" w:eastAsia="宋体" w:hAnsi="Book Antiqua" w:cs="Times New Roman"/>
          <w:sz w:val="24"/>
          <w:szCs w:val="24"/>
          <w:lang w:eastAsia="zh-CN"/>
        </w:rPr>
        <w:t>: 109-112 [PMID: 9066100]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172 </w:t>
      </w:r>
      <w:r w:rsidRPr="0062622A">
        <w:rPr>
          <w:rFonts w:ascii="Book Antiqua" w:eastAsia="宋体" w:hAnsi="Book Antiqua" w:cs="Times New Roman"/>
          <w:b/>
          <w:bCs/>
          <w:sz w:val="24"/>
          <w:szCs w:val="24"/>
          <w:lang w:eastAsia="zh-CN"/>
        </w:rPr>
        <w:t>Balan KK</w:t>
      </w:r>
      <w:r w:rsidRPr="0062622A">
        <w:rPr>
          <w:rFonts w:ascii="Book Antiqua" w:eastAsia="宋体" w:hAnsi="Book Antiqua" w:cs="Times New Roman"/>
          <w:sz w:val="24"/>
          <w:szCs w:val="24"/>
          <w:lang w:eastAsia="zh-CN"/>
        </w:rPr>
        <w:t>, Jones AT, Roberts NB, Pearson JP, Critchley M, Jenkins SA. The effects of Helicobacter pylori colonization on gastric function and the incidence of portal hypertensive gastropathy in patients with cirrhosis of the liver.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91</w:t>
      </w:r>
      <w:r w:rsidRPr="0062622A">
        <w:rPr>
          <w:rFonts w:ascii="Book Antiqua" w:eastAsia="宋体" w:hAnsi="Book Antiqua" w:cs="Times New Roman"/>
          <w:sz w:val="24"/>
          <w:szCs w:val="24"/>
          <w:lang w:eastAsia="zh-CN"/>
        </w:rPr>
        <w:t>: 1400-1406 [PMID: 8678003]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173 </w:t>
      </w:r>
      <w:r w:rsidRPr="0062622A">
        <w:rPr>
          <w:rFonts w:ascii="Book Antiqua" w:eastAsia="宋体" w:hAnsi="Book Antiqua" w:cs="Times New Roman"/>
          <w:b/>
          <w:bCs/>
          <w:sz w:val="24"/>
          <w:szCs w:val="24"/>
          <w:lang w:eastAsia="zh-CN"/>
        </w:rPr>
        <w:t>Auroux J</w:t>
      </w:r>
      <w:r w:rsidRPr="0062622A">
        <w:rPr>
          <w:rFonts w:ascii="Book Antiqua" w:eastAsia="宋体" w:hAnsi="Book Antiqua" w:cs="Times New Roman"/>
          <w:sz w:val="24"/>
          <w:szCs w:val="24"/>
          <w:lang w:eastAsia="zh-CN"/>
        </w:rPr>
        <w:t>, Lamarque D, Roudot-Thoraval F, Deforges L, Chaumette MT, Richardet JP, Delchier JC. Gastroduodenal ulcer and erosions are related to portal hypertensive gastropathy and recent alcohol intake in cirrhotic patients.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48</w:t>
      </w:r>
      <w:r w:rsidRPr="0062622A">
        <w:rPr>
          <w:rFonts w:ascii="Book Antiqua" w:eastAsia="宋体" w:hAnsi="Book Antiqua" w:cs="Times New Roman"/>
          <w:sz w:val="24"/>
          <w:szCs w:val="24"/>
          <w:lang w:eastAsia="zh-CN"/>
        </w:rPr>
        <w:t>: 1118-1123 [PMID: 12822873</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10.1023/A:1023772930681]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 xml:space="preserve">174 </w:t>
      </w:r>
      <w:r w:rsidRPr="0062622A">
        <w:rPr>
          <w:rFonts w:ascii="Book Antiqua" w:eastAsia="宋体" w:hAnsi="Book Antiqua" w:cs="Times New Roman"/>
          <w:b/>
          <w:sz w:val="24"/>
          <w:szCs w:val="24"/>
          <w:lang w:val="fr-FR" w:eastAsia="fr-FR"/>
        </w:rPr>
        <w:t>Sathar SA</w:t>
      </w:r>
      <w:r w:rsidRPr="0062622A">
        <w:rPr>
          <w:rFonts w:ascii="Book Antiqua" w:eastAsia="宋体" w:hAnsi="Book Antiqua" w:cs="Times New Roman"/>
          <w:sz w:val="24"/>
          <w:szCs w:val="24"/>
          <w:lang w:val="fr-FR" w:eastAsia="fr-FR"/>
        </w:rPr>
        <w:t xml:space="preserve">, Kunnathuparambil SG, Sreesh S, Narayanan P, Vinayakumar KR. </w:t>
      </w:r>
      <w:r w:rsidRPr="0062622A">
        <w:rPr>
          <w:rFonts w:ascii="Book Antiqua" w:eastAsia="宋体" w:hAnsi="Book Antiqua" w:cs="Times New Roman"/>
          <w:sz w:val="24"/>
          <w:szCs w:val="24"/>
          <w:lang w:eastAsia="zh-CN"/>
        </w:rPr>
        <w:t>Helicobacter pylori infection in patients with liver cirrhosis: prevalence and association with portal hypertensive gastropathy. </w:t>
      </w:r>
      <w:r w:rsidRPr="0062622A">
        <w:rPr>
          <w:rFonts w:ascii="Book Antiqua" w:eastAsia="宋体" w:hAnsi="Book Antiqua" w:cs="Times New Roman"/>
          <w:i/>
          <w:iCs/>
          <w:sz w:val="24"/>
          <w:szCs w:val="24"/>
          <w:lang w:eastAsia="zh-CN"/>
        </w:rPr>
        <w:t>Ann Gastroenterol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27</w:t>
      </w:r>
      <w:r w:rsidRPr="0062622A">
        <w:rPr>
          <w:rFonts w:ascii="Book Antiqua" w:eastAsia="宋体" w:hAnsi="Book Antiqua" w:cs="Times New Roman"/>
          <w:sz w:val="24"/>
          <w:szCs w:val="24"/>
          <w:lang w:eastAsia="zh-CN"/>
        </w:rPr>
        <w:t>: 48-52 [PMID: 24714519]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 xml:space="preserve">175 </w:t>
      </w:r>
      <w:r w:rsidRPr="0062622A">
        <w:rPr>
          <w:rFonts w:ascii="Book Antiqua" w:eastAsia="宋体" w:hAnsi="Book Antiqua" w:cs="Times New Roman"/>
          <w:b/>
          <w:sz w:val="24"/>
          <w:szCs w:val="24"/>
          <w:lang w:val="fr-FR" w:eastAsia="fr-FR"/>
        </w:rPr>
        <w:t>Zullo A</w:t>
      </w:r>
      <w:r w:rsidRPr="0062622A">
        <w:rPr>
          <w:rFonts w:ascii="Book Antiqua" w:eastAsia="宋体" w:hAnsi="Book Antiqua" w:cs="Times New Roman"/>
          <w:sz w:val="24"/>
          <w:szCs w:val="24"/>
          <w:lang w:val="fr-FR" w:eastAsia="fr-FR"/>
        </w:rPr>
        <w:t>, Hassan C, Ridola L, Francesco VD.</w:t>
      </w:r>
      <w:r w:rsidRPr="0062622A">
        <w:rPr>
          <w:rFonts w:ascii="Book Antiqua" w:eastAsia="宋体" w:hAnsi="Book Antiqua" w:cs="Times New Roman"/>
          <w:sz w:val="24"/>
          <w:szCs w:val="24"/>
          <w:lang w:eastAsia="zh-CN"/>
        </w:rPr>
        <w:t xml:space="preserve"> Helicobacter pylori and portal hypertensive gastropathy: any new information? </w:t>
      </w:r>
      <w:r w:rsidRPr="0062622A">
        <w:rPr>
          <w:rFonts w:ascii="Book Antiqua" w:eastAsia="宋体" w:hAnsi="Book Antiqua" w:cs="Times New Roman"/>
          <w:i/>
          <w:iCs/>
          <w:sz w:val="24"/>
          <w:szCs w:val="24"/>
          <w:lang w:eastAsia="zh-CN"/>
        </w:rPr>
        <w:t>Ann Gastroenterol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27</w:t>
      </w:r>
      <w:r w:rsidRPr="0062622A">
        <w:rPr>
          <w:rFonts w:ascii="Book Antiqua" w:eastAsia="宋体" w:hAnsi="Book Antiqua" w:cs="Times New Roman"/>
          <w:sz w:val="24"/>
          <w:szCs w:val="24"/>
          <w:lang w:eastAsia="zh-CN"/>
        </w:rPr>
        <w:t>: 91 [PMID: 24714507]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176 </w:t>
      </w:r>
      <w:r w:rsidRPr="0062622A">
        <w:rPr>
          <w:rFonts w:ascii="Book Antiqua" w:eastAsia="宋体" w:hAnsi="Book Antiqua" w:cs="Times New Roman"/>
          <w:b/>
          <w:bCs/>
          <w:sz w:val="24"/>
          <w:szCs w:val="24"/>
          <w:lang w:eastAsia="zh-CN"/>
        </w:rPr>
        <w:t>Abbas Z</w:t>
      </w:r>
      <w:r w:rsidRPr="0062622A">
        <w:rPr>
          <w:rFonts w:ascii="Book Antiqua" w:eastAsia="宋体" w:hAnsi="Book Antiqua" w:cs="Times New Roman"/>
          <w:sz w:val="24"/>
          <w:szCs w:val="24"/>
          <w:lang w:eastAsia="zh-CN"/>
        </w:rPr>
        <w:t>, Yakoob J, Usman MW, Shakir T, Hamid S, Jafri W. Effect of Helicobacter pylori and its virulence factors on portal hypertensive gastropathy and interleukin (IL)-8, IL-10, and tumor necrosis factor-alpha levels. </w:t>
      </w:r>
      <w:r w:rsidRPr="0062622A">
        <w:rPr>
          <w:rFonts w:ascii="Book Antiqua" w:eastAsia="宋体" w:hAnsi="Book Antiqua" w:cs="Times New Roman"/>
          <w:i/>
          <w:iCs/>
          <w:sz w:val="24"/>
          <w:szCs w:val="24"/>
          <w:lang w:eastAsia="zh-CN"/>
        </w:rPr>
        <w:t>Saudi J Gastroenterol</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2014</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20</w:t>
      </w:r>
      <w:r w:rsidRPr="0062622A">
        <w:rPr>
          <w:rFonts w:ascii="Book Antiqua" w:eastAsia="宋体" w:hAnsi="Book Antiqua" w:cs="Times New Roman"/>
          <w:sz w:val="24"/>
          <w:szCs w:val="24"/>
          <w:lang w:eastAsia="zh-CN"/>
        </w:rPr>
        <w:t>: 120-127 [PMID: 24705150 DOI: 10.4103/1319-3767.129477]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177 </w:t>
      </w:r>
      <w:r w:rsidRPr="0062622A">
        <w:rPr>
          <w:rFonts w:ascii="Book Antiqua" w:eastAsia="宋体" w:hAnsi="Book Antiqua" w:cs="Times New Roman"/>
          <w:b/>
          <w:bCs/>
          <w:sz w:val="24"/>
          <w:szCs w:val="24"/>
          <w:lang w:eastAsia="zh-CN"/>
        </w:rPr>
        <w:t>Vigneri S</w:t>
      </w:r>
      <w:r w:rsidRPr="0062622A">
        <w:rPr>
          <w:rFonts w:ascii="Book Antiqua" w:eastAsia="宋体" w:hAnsi="Book Antiqua" w:cs="Times New Roman"/>
          <w:sz w:val="24"/>
          <w:szCs w:val="24"/>
          <w:lang w:eastAsia="zh-CN"/>
        </w:rPr>
        <w:t>, Termini R, Piraino A, Scialabba A, Pisciotta G, Fontana N. The stomach in liver cirrhosis. Endoscopic, morphological, and clinical correlations.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1991; </w:t>
      </w:r>
      <w:r w:rsidRPr="0062622A">
        <w:rPr>
          <w:rFonts w:ascii="Book Antiqua" w:eastAsia="宋体" w:hAnsi="Book Antiqua" w:cs="Times New Roman"/>
          <w:b/>
          <w:bCs/>
          <w:sz w:val="24"/>
          <w:szCs w:val="24"/>
          <w:lang w:eastAsia="zh-CN"/>
        </w:rPr>
        <w:t>101</w:t>
      </w:r>
      <w:r w:rsidRPr="0062622A">
        <w:rPr>
          <w:rFonts w:ascii="Book Antiqua" w:eastAsia="宋体" w:hAnsi="Book Antiqua" w:cs="Times New Roman"/>
          <w:sz w:val="24"/>
          <w:szCs w:val="24"/>
          <w:lang w:eastAsia="zh-CN"/>
        </w:rPr>
        <w:t>: 472-478 [PMID: 2065923]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178 </w:t>
      </w:r>
      <w:r w:rsidRPr="0062622A">
        <w:rPr>
          <w:rFonts w:ascii="Book Antiqua" w:eastAsia="宋体" w:hAnsi="Book Antiqua" w:cs="Times New Roman"/>
          <w:b/>
          <w:bCs/>
          <w:sz w:val="24"/>
          <w:szCs w:val="24"/>
          <w:lang w:eastAsia="zh-CN"/>
        </w:rPr>
        <w:t>Toyonaga A</w:t>
      </w:r>
      <w:r w:rsidRPr="0062622A">
        <w:rPr>
          <w:rFonts w:ascii="Book Antiqua" w:eastAsia="宋体" w:hAnsi="Book Antiqua" w:cs="Times New Roman"/>
          <w:sz w:val="24"/>
          <w:szCs w:val="24"/>
          <w:lang w:eastAsia="zh-CN"/>
        </w:rPr>
        <w:t>, Iwao T. Portal-hypertensive gastropathy.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13</w:t>
      </w:r>
      <w:r w:rsidRPr="0062622A">
        <w:rPr>
          <w:rFonts w:ascii="Book Antiqua" w:eastAsia="宋体" w:hAnsi="Book Antiqua" w:cs="Times New Roman"/>
          <w:sz w:val="24"/>
          <w:szCs w:val="24"/>
          <w:lang w:eastAsia="zh-CN"/>
        </w:rPr>
        <w:t>: 865-877 [PMID: 9794183</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10.1111/j.1440-1746.1998.tb00754.x]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179 </w:t>
      </w:r>
      <w:r w:rsidRPr="0062622A">
        <w:rPr>
          <w:rFonts w:ascii="Book Antiqua" w:eastAsia="宋体" w:hAnsi="Book Antiqua" w:cs="Times New Roman"/>
          <w:b/>
          <w:bCs/>
          <w:sz w:val="24"/>
          <w:szCs w:val="24"/>
          <w:lang w:eastAsia="zh-CN"/>
        </w:rPr>
        <w:t>Stewart CA</w:t>
      </w:r>
      <w:r w:rsidRPr="0062622A">
        <w:rPr>
          <w:rFonts w:ascii="Book Antiqua" w:eastAsia="宋体" w:hAnsi="Book Antiqua" w:cs="Times New Roman"/>
          <w:sz w:val="24"/>
          <w:szCs w:val="24"/>
          <w:lang w:eastAsia="zh-CN"/>
        </w:rPr>
        <w:t>, Sanyal AJ. Grading portal gastropathy: validation of a gastropathy scoring system.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98</w:t>
      </w:r>
      <w:r w:rsidRPr="0062622A">
        <w:rPr>
          <w:rFonts w:ascii="Book Antiqua" w:eastAsia="宋体" w:hAnsi="Book Antiqua" w:cs="Times New Roman"/>
          <w:sz w:val="24"/>
          <w:szCs w:val="24"/>
          <w:lang w:eastAsia="zh-CN"/>
        </w:rPr>
        <w:t>: 1758-1765 [PMID: 12907330</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10.1111/j.1572-0241.2003.07595.x]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180 </w:t>
      </w:r>
      <w:r w:rsidRPr="0062622A">
        <w:rPr>
          <w:rFonts w:ascii="Book Antiqua" w:eastAsia="宋体" w:hAnsi="Book Antiqua" w:cs="Times New Roman"/>
          <w:b/>
          <w:bCs/>
          <w:sz w:val="24"/>
          <w:szCs w:val="24"/>
          <w:lang w:eastAsia="zh-CN"/>
        </w:rPr>
        <w:t>Tanoue K</w:t>
      </w:r>
      <w:r w:rsidRPr="0062622A">
        <w:rPr>
          <w:rFonts w:ascii="Book Antiqua" w:eastAsia="宋体" w:hAnsi="Book Antiqua" w:cs="Times New Roman"/>
          <w:sz w:val="24"/>
          <w:szCs w:val="24"/>
          <w:lang w:eastAsia="zh-CN"/>
        </w:rPr>
        <w:t>, Hashizume M, Wada H, Ohta M, Kitano S, Sugimachi K. Effects of endoscopic injection sclerotherapy on portal hypertensive gastropathy: a prospective study.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1992</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38</w:t>
      </w:r>
      <w:r w:rsidRPr="0062622A">
        <w:rPr>
          <w:rFonts w:ascii="Book Antiqua" w:eastAsia="宋体" w:hAnsi="Book Antiqua" w:cs="Times New Roman"/>
          <w:sz w:val="24"/>
          <w:szCs w:val="24"/>
          <w:lang w:eastAsia="zh-CN"/>
        </w:rPr>
        <w:t>: 582-585 [PMID: 1397916</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10.1016/S0016-5107(92)70522-7]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 xml:space="preserve">181 </w:t>
      </w:r>
      <w:r w:rsidRPr="0062622A">
        <w:rPr>
          <w:rFonts w:ascii="Book Antiqua" w:eastAsia="宋体" w:hAnsi="Book Antiqua" w:cs="Times New Roman"/>
          <w:b/>
          <w:sz w:val="24"/>
          <w:szCs w:val="24"/>
          <w:lang w:eastAsia="zh-CN"/>
        </w:rPr>
        <w:t>Sarin, SK</w:t>
      </w:r>
      <w:r w:rsidRPr="0062622A">
        <w:rPr>
          <w:rFonts w:ascii="Book Antiqua" w:eastAsia="宋体" w:hAnsi="Book Antiqua" w:cs="Times New Roman"/>
          <w:sz w:val="24"/>
          <w:szCs w:val="24"/>
          <w:lang w:eastAsia="zh-CN"/>
        </w:rPr>
        <w:t>. Diagnostic issues: Portal hypertensive gastropathy and gastric varices. In: DeFranchis R, ed. Portal hypertension II. Proceedings of the second Baveno international consensus workshop on definitions, methodology and therapeutic strategies. Oxford</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Blackwell Science, 1996</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 xml:space="preserve"> 30</w:t>
      </w:r>
      <w:r w:rsidRPr="0062622A">
        <w:rPr>
          <w:rFonts w:ascii="Book Antiqua" w:eastAsia="宋体" w:hAnsi="Book Antiqua" w:cs="Times New Roman" w:hint="eastAsia"/>
          <w:sz w:val="24"/>
          <w:szCs w:val="24"/>
          <w:lang w:eastAsia="zh-CN"/>
        </w:rPr>
        <w:t>-</w:t>
      </w:r>
      <w:r w:rsidRPr="0062622A">
        <w:rPr>
          <w:rFonts w:ascii="Book Antiqua" w:eastAsia="宋体" w:hAnsi="Book Antiqua" w:cs="Times New Roman"/>
          <w:sz w:val="24"/>
          <w:szCs w:val="24"/>
          <w:lang w:eastAsia="zh-CN"/>
        </w:rPr>
        <w:t>55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182 </w:t>
      </w:r>
      <w:r w:rsidRPr="0062622A">
        <w:rPr>
          <w:rFonts w:ascii="Book Antiqua" w:eastAsia="宋体" w:hAnsi="Book Antiqua" w:cs="Times New Roman"/>
          <w:b/>
          <w:bCs/>
          <w:sz w:val="24"/>
          <w:szCs w:val="24"/>
          <w:lang w:eastAsia="zh-CN"/>
        </w:rPr>
        <w:t>Yoo HY</w:t>
      </w:r>
      <w:r w:rsidRPr="0062622A">
        <w:rPr>
          <w:rFonts w:ascii="Book Antiqua" w:eastAsia="宋体" w:hAnsi="Book Antiqua" w:cs="Times New Roman"/>
          <w:sz w:val="24"/>
          <w:szCs w:val="24"/>
          <w:lang w:eastAsia="zh-CN"/>
        </w:rPr>
        <w:t>, Eustace JA, Verma S, Zhang L, Harris M, Kantsevoy S, Lee LA, Kalloo AN, Ravich WJ, Thuluvath PJ. Accuracy and reliability of the endoscopic classification of portal hypertensive gastropathy.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56</w:t>
      </w:r>
      <w:r w:rsidRPr="0062622A">
        <w:rPr>
          <w:rFonts w:ascii="Book Antiqua" w:eastAsia="宋体" w:hAnsi="Book Antiqua" w:cs="Times New Roman"/>
          <w:sz w:val="24"/>
          <w:szCs w:val="24"/>
          <w:lang w:eastAsia="zh-CN"/>
        </w:rPr>
        <w:t>: 675-680 [PMID: 12397275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10.1016/S0016-5107(02)70116-8]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183 </w:t>
      </w:r>
      <w:r w:rsidRPr="0062622A">
        <w:rPr>
          <w:rFonts w:ascii="Book Antiqua" w:eastAsia="宋体" w:hAnsi="Book Antiqua" w:cs="Times New Roman"/>
          <w:b/>
          <w:bCs/>
          <w:sz w:val="24"/>
          <w:szCs w:val="24"/>
          <w:lang w:eastAsia="zh-CN"/>
        </w:rPr>
        <w:t>Burak KW</w:t>
      </w:r>
      <w:r w:rsidRPr="0062622A">
        <w:rPr>
          <w:rFonts w:ascii="Book Antiqua" w:eastAsia="宋体" w:hAnsi="Book Antiqua" w:cs="Times New Roman"/>
          <w:sz w:val="24"/>
          <w:szCs w:val="24"/>
          <w:lang w:eastAsia="zh-CN"/>
        </w:rPr>
        <w:t>, Beck PL. Diagnosis of portal hypertensive gastropathy. </w:t>
      </w:r>
      <w:r w:rsidRPr="0062622A">
        <w:rPr>
          <w:rFonts w:ascii="Book Antiqua" w:eastAsia="宋体" w:hAnsi="Book Antiqua" w:cs="Times New Roman"/>
          <w:i/>
          <w:iCs/>
          <w:sz w:val="24"/>
          <w:szCs w:val="24"/>
          <w:lang w:eastAsia="zh-CN"/>
        </w:rPr>
        <w:t>Curr Opin Gastroenterol</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19</w:t>
      </w:r>
      <w:r w:rsidRPr="0062622A">
        <w:rPr>
          <w:rFonts w:ascii="Book Antiqua" w:eastAsia="宋体" w:hAnsi="Book Antiqua" w:cs="Times New Roman"/>
          <w:sz w:val="24"/>
          <w:szCs w:val="24"/>
          <w:lang w:eastAsia="zh-CN"/>
        </w:rPr>
        <w:t>: 477-482 [PMID: 15703593</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10.1097/00001574-200309000-00008]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184 </w:t>
      </w:r>
      <w:r w:rsidRPr="0062622A">
        <w:rPr>
          <w:rFonts w:ascii="Book Antiqua" w:eastAsia="宋体" w:hAnsi="Book Antiqua" w:cs="Times New Roman"/>
          <w:b/>
          <w:bCs/>
          <w:sz w:val="24"/>
          <w:szCs w:val="24"/>
          <w:lang w:eastAsia="zh-CN"/>
        </w:rPr>
        <w:t>Hashizume M</w:t>
      </w:r>
      <w:r w:rsidRPr="0062622A">
        <w:rPr>
          <w:rFonts w:ascii="Book Antiqua" w:eastAsia="宋体" w:hAnsi="Book Antiqua" w:cs="Times New Roman"/>
          <w:sz w:val="24"/>
          <w:szCs w:val="24"/>
          <w:lang w:eastAsia="zh-CN"/>
        </w:rPr>
        <w:t>, Sugimachi K. Classification of gastric lesions associated with portal hypertension.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1995</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10</w:t>
      </w:r>
      <w:r w:rsidRPr="0062622A">
        <w:rPr>
          <w:rFonts w:ascii="Book Antiqua" w:eastAsia="宋体" w:hAnsi="Book Antiqua" w:cs="Times New Roman"/>
          <w:sz w:val="24"/>
          <w:szCs w:val="24"/>
          <w:lang w:eastAsia="zh-CN"/>
        </w:rPr>
        <w:t>: 339-343 [PMID: 7548815</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10.1111/j.1440-1746.1995.tb01105.x]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185 </w:t>
      </w:r>
      <w:r w:rsidRPr="0062622A">
        <w:rPr>
          <w:rFonts w:ascii="Book Antiqua" w:eastAsia="宋体" w:hAnsi="Book Antiqua" w:cs="Times New Roman"/>
          <w:b/>
          <w:bCs/>
          <w:sz w:val="24"/>
          <w:szCs w:val="24"/>
          <w:lang w:eastAsia="zh-CN"/>
        </w:rPr>
        <w:t>Parker DM</w:t>
      </w:r>
      <w:r w:rsidRPr="0062622A">
        <w:rPr>
          <w:rFonts w:ascii="Book Antiqua" w:eastAsia="宋体" w:hAnsi="Book Antiqua" w:cs="Times New Roman"/>
          <w:sz w:val="24"/>
          <w:szCs w:val="24"/>
          <w:lang w:eastAsia="zh-CN"/>
        </w:rPr>
        <w:t>, Wilsoncroft WE, Olshansky T. The relationship between life change and relative autonomic balance. </w:t>
      </w:r>
      <w:r w:rsidRPr="0062622A">
        <w:rPr>
          <w:rFonts w:ascii="Book Antiqua" w:eastAsia="宋体" w:hAnsi="Book Antiqua" w:cs="Times New Roman"/>
          <w:i/>
          <w:iCs/>
          <w:sz w:val="24"/>
          <w:szCs w:val="24"/>
          <w:lang w:eastAsia="zh-CN"/>
        </w:rPr>
        <w:t>J Clin Psychol</w:t>
      </w:r>
      <w:r w:rsidRPr="0062622A">
        <w:rPr>
          <w:rFonts w:ascii="Book Antiqua" w:eastAsia="宋体" w:hAnsi="Book Antiqua" w:cs="Times New Roman"/>
          <w:sz w:val="24"/>
          <w:szCs w:val="24"/>
          <w:lang w:eastAsia="zh-CN"/>
        </w:rPr>
        <w:t> 1976; </w:t>
      </w:r>
      <w:r w:rsidRPr="0062622A">
        <w:rPr>
          <w:rFonts w:ascii="Book Antiqua" w:eastAsia="宋体" w:hAnsi="Book Antiqua" w:cs="Times New Roman"/>
          <w:b/>
          <w:bCs/>
          <w:sz w:val="24"/>
          <w:szCs w:val="24"/>
          <w:lang w:eastAsia="zh-CN"/>
        </w:rPr>
        <w:t>32</w:t>
      </w:r>
      <w:r w:rsidRPr="0062622A">
        <w:rPr>
          <w:rFonts w:ascii="Book Antiqua" w:eastAsia="宋体" w:hAnsi="Book Antiqua" w:cs="Times New Roman"/>
          <w:sz w:val="24"/>
          <w:szCs w:val="24"/>
          <w:lang w:eastAsia="zh-CN"/>
        </w:rPr>
        <w:t>: 149-153 [PMID: 1249217</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10.1002/1097-4679(197601)32:1&lt;149::AID-JCLP2270320138&gt;3.0.CO;2-B]</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186 </w:t>
      </w:r>
      <w:r w:rsidRPr="0062622A">
        <w:rPr>
          <w:rFonts w:ascii="Book Antiqua" w:eastAsia="宋体" w:hAnsi="Book Antiqua" w:cs="Times New Roman"/>
          <w:b/>
          <w:bCs/>
          <w:sz w:val="24"/>
          <w:szCs w:val="24"/>
          <w:lang w:eastAsia="zh-CN"/>
        </w:rPr>
        <w:t>Iwao T</w:t>
      </w:r>
      <w:r w:rsidRPr="0062622A">
        <w:rPr>
          <w:rFonts w:ascii="Book Antiqua" w:eastAsia="宋体" w:hAnsi="Book Antiqua" w:cs="Times New Roman"/>
          <w:sz w:val="24"/>
          <w:szCs w:val="24"/>
          <w:lang w:eastAsia="zh-CN"/>
        </w:rPr>
        <w:t>, Toyonaga A, Ikegami M, Shigemori H, Oho K, Sumino M, Sakaki M, Nakayama M, Nishiyama T, Minetoma T. McCormack's endoscopic signs for diagnosing portal hypertension: comparison with gastroesophageal varices.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1994</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40</w:t>
      </w:r>
      <w:r w:rsidRPr="0062622A">
        <w:rPr>
          <w:rFonts w:ascii="Book Antiqua" w:eastAsia="宋体" w:hAnsi="Book Antiqua" w:cs="Times New Roman"/>
          <w:sz w:val="24"/>
          <w:szCs w:val="24"/>
          <w:lang w:eastAsia="zh-CN"/>
        </w:rPr>
        <w:t>: 470-473 [PMID: 7926538</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10.1016/S0016-5107(94)70212-8]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187 </w:t>
      </w:r>
      <w:r w:rsidRPr="0062622A">
        <w:rPr>
          <w:rFonts w:ascii="Book Antiqua" w:eastAsia="宋体" w:hAnsi="Book Antiqua" w:cs="Times New Roman"/>
          <w:b/>
          <w:bCs/>
          <w:sz w:val="24"/>
          <w:szCs w:val="24"/>
          <w:lang w:eastAsia="zh-CN"/>
        </w:rPr>
        <w:t>de Macedo GF</w:t>
      </w:r>
      <w:r w:rsidRPr="0062622A">
        <w:rPr>
          <w:rFonts w:ascii="Book Antiqua" w:eastAsia="宋体" w:hAnsi="Book Antiqua" w:cs="Times New Roman"/>
          <w:sz w:val="24"/>
          <w:szCs w:val="24"/>
          <w:lang w:eastAsia="zh-CN"/>
        </w:rPr>
        <w:t>, Ferreira FG, Ribeiro MA, Szutan LA, Assef MS, Rossini LG. Reliability in endoscopic diagnosis of portal hypertensive gastropathy. </w:t>
      </w:r>
      <w:r w:rsidRPr="0062622A">
        <w:rPr>
          <w:rFonts w:ascii="Book Antiqua" w:eastAsia="宋体" w:hAnsi="Book Antiqua" w:cs="Times New Roman"/>
          <w:i/>
          <w:iCs/>
          <w:sz w:val="24"/>
          <w:szCs w:val="24"/>
          <w:lang w:eastAsia="zh-CN"/>
        </w:rPr>
        <w:t>World J Gastrointest Endosc</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5</w:t>
      </w:r>
      <w:r w:rsidRPr="0062622A">
        <w:rPr>
          <w:rFonts w:ascii="Book Antiqua" w:eastAsia="宋体" w:hAnsi="Book Antiqua" w:cs="Times New Roman"/>
          <w:sz w:val="24"/>
          <w:szCs w:val="24"/>
          <w:lang w:eastAsia="zh-CN"/>
        </w:rPr>
        <w:t>: 323-331 [PMID: 23858376 DOI: 10.4253/wjge.v5.i7.323]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188 </w:t>
      </w:r>
      <w:r w:rsidRPr="0062622A">
        <w:rPr>
          <w:rFonts w:ascii="Book Antiqua" w:eastAsia="宋体" w:hAnsi="Book Antiqua" w:cs="Times New Roman"/>
          <w:b/>
          <w:bCs/>
          <w:sz w:val="24"/>
          <w:szCs w:val="24"/>
          <w:lang w:eastAsia="zh-CN"/>
        </w:rPr>
        <w:t>Eisen GM</w:t>
      </w:r>
      <w:r w:rsidRPr="0062622A">
        <w:rPr>
          <w:rFonts w:ascii="Book Antiqua" w:eastAsia="宋体" w:hAnsi="Book Antiqua" w:cs="Times New Roman"/>
          <w:sz w:val="24"/>
          <w:szCs w:val="24"/>
          <w:lang w:eastAsia="zh-CN"/>
        </w:rPr>
        <w:t>, Eliakim R, Zaman A, Schwartz J, Faigel D, Rondonotti E, Villa F, Weizman E, Yassin K, deFranchis R. The accuracy of PillCam ESO capsule endoscopy versus conventional upper endoscopy for the diagnosis of esophageal varices: a prospective three-center pilot study. </w:t>
      </w:r>
      <w:r w:rsidRPr="0062622A">
        <w:rPr>
          <w:rFonts w:ascii="Book Antiqua" w:eastAsia="宋体" w:hAnsi="Book Antiqua" w:cs="Times New Roman"/>
          <w:i/>
          <w:iCs/>
          <w:sz w:val="24"/>
          <w:szCs w:val="24"/>
          <w:lang w:eastAsia="zh-CN"/>
        </w:rPr>
        <w:t>Endoscopy</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38</w:t>
      </w:r>
      <w:r w:rsidRPr="0062622A">
        <w:rPr>
          <w:rFonts w:ascii="Book Antiqua" w:eastAsia="宋体" w:hAnsi="Book Antiqua" w:cs="Times New Roman"/>
          <w:sz w:val="24"/>
          <w:szCs w:val="24"/>
          <w:lang w:eastAsia="zh-CN"/>
        </w:rPr>
        <w:t>: 31-35 [PMID: 16429352</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10.1055/s-2005-921189]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189 </w:t>
      </w:r>
      <w:r w:rsidRPr="0062622A">
        <w:rPr>
          <w:rFonts w:ascii="Book Antiqua" w:eastAsia="宋体" w:hAnsi="Book Antiqua" w:cs="Times New Roman"/>
          <w:b/>
          <w:bCs/>
          <w:sz w:val="24"/>
          <w:szCs w:val="24"/>
          <w:lang w:eastAsia="zh-CN"/>
        </w:rPr>
        <w:t>Garcia-Tsao G</w:t>
      </w:r>
      <w:r w:rsidRPr="0062622A">
        <w:rPr>
          <w:rFonts w:ascii="Book Antiqua" w:eastAsia="宋体" w:hAnsi="Book Antiqua" w:cs="Times New Roman"/>
          <w:sz w:val="24"/>
          <w:szCs w:val="24"/>
          <w:lang w:eastAsia="zh-CN"/>
        </w:rPr>
        <w:t>, Sanyal AJ, Grace ND, Carey W. Prevention and management of gastroesophageal varices and variceal hemorrhage in cirrhosis.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2007; </w:t>
      </w:r>
      <w:r w:rsidRPr="0062622A">
        <w:rPr>
          <w:rFonts w:ascii="Book Antiqua" w:eastAsia="宋体" w:hAnsi="Book Antiqua" w:cs="Times New Roman"/>
          <w:b/>
          <w:bCs/>
          <w:sz w:val="24"/>
          <w:szCs w:val="24"/>
          <w:lang w:eastAsia="zh-CN"/>
        </w:rPr>
        <w:t>46</w:t>
      </w:r>
      <w:r w:rsidRPr="0062622A">
        <w:rPr>
          <w:rFonts w:ascii="Book Antiqua" w:eastAsia="宋体" w:hAnsi="Book Antiqua" w:cs="Times New Roman"/>
          <w:sz w:val="24"/>
          <w:szCs w:val="24"/>
          <w:lang w:eastAsia="zh-CN"/>
        </w:rPr>
        <w:t>: 922-938 [PMID: 17879356</w:t>
      </w:r>
      <w:r w:rsidRPr="0062622A">
        <w:rPr>
          <w:rFonts w:ascii="Book Antiqua" w:eastAsia="宋体" w:hAnsi="Book Antiqua" w:cs="Times New Roman" w:hint="eastAsia"/>
          <w:sz w:val="24"/>
          <w:szCs w:val="24"/>
          <w:lang w:eastAsia="zh-CN"/>
        </w:rPr>
        <w:t xml:space="preserve">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10.1002/hep.21907]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190 </w:t>
      </w:r>
      <w:r w:rsidRPr="0062622A">
        <w:rPr>
          <w:rFonts w:ascii="Book Antiqua" w:eastAsia="宋体" w:hAnsi="Book Antiqua" w:cs="Times New Roman"/>
          <w:b/>
          <w:bCs/>
          <w:sz w:val="24"/>
          <w:szCs w:val="24"/>
          <w:lang w:eastAsia="zh-CN"/>
        </w:rPr>
        <w:t>Min YW</w:t>
      </w:r>
      <w:r w:rsidRPr="0062622A">
        <w:rPr>
          <w:rFonts w:ascii="Book Antiqua" w:eastAsia="宋体" w:hAnsi="Book Antiqua" w:cs="Times New Roman"/>
          <w:sz w:val="24"/>
          <w:szCs w:val="24"/>
          <w:lang w:eastAsia="zh-CN"/>
        </w:rPr>
        <w:t>, Bae SY, Gwak GY, Paik YH, Choi MS, Lee JH, Paik SW, Yoo BC, Koh KC. A clinical predictor of varices and portal hypertensive gastropathy in patients with chronic liver disease. </w:t>
      </w:r>
      <w:r w:rsidRPr="0062622A">
        <w:rPr>
          <w:rFonts w:ascii="Book Antiqua" w:eastAsia="宋体" w:hAnsi="Book Antiqua" w:cs="Times New Roman"/>
          <w:i/>
          <w:iCs/>
          <w:sz w:val="24"/>
          <w:szCs w:val="24"/>
          <w:lang w:eastAsia="zh-CN"/>
        </w:rPr>
        <w:t>Clin Mol Hepatol</w:t>
      </w:r>
      <w:r w:rsidRPr="0062622A">
        <w:rPr>
          <w:rFonts w:ascii="Book Antiqua" w:eastAsia="宋体" w:hAnsi="Book Antiqua" w:cs="Times New Roman"/>
          <w:sz w:val="24"/>
          <w:szCs w:val="24"/>
          <w:lang w:eastAsia="zh-CN"/>
        </w:rPr>
        <w:t> 2012; </w:t>
      </w:r>
      <w:r w:rsidRPr="0062622A">
        <w:rPr>
          <w:rFonts w:ascii="Book Antiqua" w:eastAsia="宋体" w:hAnsi="Book Antiqua" w:cs="Times New Roman"/>
          <w:b/>
          <w:bCs/>
          <w:sz w:val="24"/>
          <w:szCs w:val="24"/>
          <w:lang w:eastAsia="zh-CN"/>
        </w:rPr>
        <w:t>18</w:t>
      </w:r>
      <w:r w:rsidRPr="0062622A">
        <w:rPr>
          <w:rFonts w:ascii="Book Antiqua" w:eastAsia="宋体" w:hAnsi="Book Antiqua" w:cs="Times New Roman"/>
          <w:sz w:val="24"/>
          <w:szCs w:val="24"/>
          <w:lang w:eastAsia="zh-CN"/>
        </w:rPr>
        <w:t>: 178-184 [PMID: 22893868 DOI: 10.3350/cmh.2012.18.2.178]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191 </w:t>
      </w:r>
      <w:r w:rsidRPr="0062622A">
        <w:rPr>
          <w:rFonts w:ascii="Book Antiqua" w:eastAsia="宋体" w:hAnsi="Book Antiqua" w:cs="Times New Roman"/>
          <w:b/>
          <w:bCs/>
          <w:sz w:val="24"/>
          <w:szCs w:val="24"/>
          <w:lang w:eastAsia="zh-CN"/>
        </w:rPr>
        <w:t>Patwardhan VR</w:t>
      </w:r>
      <w:r w:rsidRPr="0062622A">
        <w:rPr>
          <w:rFonts w:ascii="Book Antiqua" w:eastAsia="宋体" w:hAnsi="Book Antiqua" w:cs="Times New Roman"/>
          <w:sz w:val="24"/>
          <w:szCs w:val="24"/>
          <w:lang w:eastAsia="zh-CN"/>
        </w:rPr>
        <w:t>, Cardenas A. Review article: the management of portal hypertensive gastropathy and gastric antral vascular ectasia in cirrhosis. </w:t>
      </w:r>
      <w:r w:rsidRPr="0062622A">
        <w:rPr>
          <w:rFonts w:ascii="Book Antiqua" w:eastAsia="宋体" w:hAnsi="Book Antiqua" w:cs="Times New Roman"/>
          <w:i/>
          <w:iCs/>
          <w:sz w:val="24"/>
          <w:szCs w:val="24"/>
          <w:lang w:eastAsia="zh-CN"/>
        </w:rPr>
        <w:t>Aliment Pharmacol Ther</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40</w:t>
      </w:r>
      <w:r w:rsidRPr="0062622A">
        <w:rPr>
          <w:rFonts w:ascii="Book Antiqua" w:eastAsia="宋体" w:hAnsi="Book Antiqua" w:cs="Times New Roman"/>
          <w:sz w:val="24"/>
          <w:szCs w:val="24"/>
          <w:lang w:eastAsia="zh-CN"/>
        </w:rPr>
        <w:t>: 354-362 [PMID: 24889902 DOI: 10.1111/apt.12824]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192 </w:t>
      </w:r>
      <w:r w:rsidRPr="0062622A">
        <w:rPr>
          <w:rFonts w:ascii="Book Antiqua" w:eastAsia="宋体" w:hAnsi="Book Antiqua" w:cs="Times New Roman"/>
          <w:b/>
          <w:bCs/>
          <w:sz w:val="24"/>
          <w:szCs w:val="24"/>
          <w:lang w:eastAsia="zh-CN"/>
        </w:rPr>
        <w:t>Ripoll C</w:t>
      </w:r>
      <w:r w:rsidRPr="0062622A">
        <w:rPr>
          <w:rFonts w:ascii="Book Antiqua" w:eastAsia="宋体" w:hAnsi="Book Antiqua" w:cs="Times New Roman"/>
          <w:sz w:val="24"/>
          <w:szCs w:val="24"/>
          <w:lang w:eastAsia="zh-CN"/>
        </w:rPr>
        <w:t>, Garcia-Tsao G. Treatment of gastropathy and gastric antral vascular ectasia in patients with portal hypertension. </w:t>
      </w:r>
      <w:r w:rsidRPr="0062622A">
        <w:rPr>
          <w:rFonts w:ascii="Book Antiqua" w:eastAsia="宋体" w:hAnsi="Book Antiqua" w:cs="Times New Roman"/>
          <w:i/>
          <w:iCs/>
          <w:sz w:val="24"/>
          <w:szCs w:val="24"/>
          <w:lang w:eastAsia="zh-CN"/>
        </w:rPr>
        <w:t>Curr Treat Options Gastroenterol</w:t>
      </w:r>
      <w:r w:rsidRPr="0062622A">
        <w:rPr>
          <w:rFonts w:ascii="Book Antiqua" w:eastAsia="宋体" w:hAnsi="Book Antiqua" w:cs="Times New Roman"/>
          <w:sz w:val="24"/>
          <w:szCs w:val="24"/>
          <w:lang w:eastAsia="zh-CN"/>
        </w:rPr>
        <w:t> 2007; </w:t>
      </w:r>
      <w:r w:rsidRPr="0062622A">
        <w:rPr>
          <w:rFonts w:ascii="Book Antiqua" w:eastAsia="宋体" w:hAnsi="Book Antiqua" w:cs="Times New Roman"/>
          <w:b/>
          <w:bCs/>
          <w:sz w:val="24"/>
          <w:szCs w:val="24"/>
          <w:lang w:eastAsia="zh-CN"/>
        </w:rPr>
        <w:t>10</w:t>
      </w:r>
      <w:r w:rsidRPr="0062622A">
        <w:rPr>
          <w:rFonts w:ascii="Book Antiqua" w:eastAsia="宋体" w:hAnsi="Book Antiqua" w:cs="Times New Roman"/>
          <w:sz w:val="24"/>
          <w:szCs w:val="24"/>
          <w:lang w:eastAsia="zh-CN"/>
        </w:rPr>
        <w:t>: 483-494 [PMID: 18221609]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193 </w:t>
      </w:r>
      <w:r w:rsidRPr="0062622A">
        <w:rPr>
          <w:rFonts w:ascii="Book Antiqua" w:eastAsia="宋体" w:hAnsi="Book Antiqua" w:cs="Times New Roman"/>
          <w:b/>
          <w:bCs/>
          <w:sz w:val="24"/>
          <w:szCs w:val="24"/>
          <w:lang w:eastAsia="zh-CN"/>
        </w:rPr>
        <w:t>Burak KW</w:t>
      </w:r>
      <w:r w:rsidRPr="0062622A">
        <w:rPr>
          <w:rFonts w:ascii="Book Antiqua" w:eastAsia="宋体" w:hAnsi="Book Antiqua" w:cs="Times New Roman"/>
          <w:sz w:val="24"/>
          <w:szCs w:val="24"/>
          <w:lang w:eastAsia="zh-CN"/>
        </w:rPr>
        <w:t>, Lee SS, Beck PL. Portal hypertensive gastropathy and gastric antral vascular ectasia (GAVE) syndrome. </w:t>
      </w:r>
      <w:r w:rsidRPr="0062622A">
        <w:rPr>
          <w:rFonts w:ascii="Book Antiqua" w:eastAsia="宋体" w:hAnsi="Book Antiqua" w:cs="Times New Roman"/>
          <w:i/>
          <w:iCs/>
          <w:sz w:val="24"/>
          <w:szCs w:val="24"/>
          <w:lang w:eastAsia="zh-CN"/>
        </w:rPr>
        <w:t>Gut</w:t>
      </w:r>
      <w:r w:rsidRPr="0062622A">
        <w:rPr>
          <w:rFonts w:ascii="Book Antiqua" w:eastAsia="宋体" w:hAnsi="Book Antiqua" w:cs="Times New Roman"/>
          <w:sz w:val="24"/>
          <w:szCs w:val="24"/>
          <w:lang w:eastAsia="zh-CN"/>
        </w:rPr>
        <w:t> 2001; </w:t>
      </w:r>
      <w:r w:rsidRPr="0062622A">
        <w:rPr>
          <w:rFonts w:ascii="Book Antiqua" w:eastAsia="宋体" w:hAnsi="Book Antiqua" w:cs="Times New Roman"/>
          <w:b/>
          <w:bCs/>
          <w:sz w:val="24"/>
          <w:szCs w:val="24"/>
          <w:lang w:eastAsia="zh-CN"/>
        </w:rPr>
        <w:t>49</w:t>
      </w:r>
      <w:r w:rsidRPr="0062622A">
        <w:rPr>
          <w:rFonts w:ascii="Book Antiqua" w:eastAsia="宋体" w:hAnsi="Book Antiqua" w:cs="Times New Roman"/>
          <w:sz w:val="24"/>
          <w:szCs w:val="24"/>
          <w:lang w:eastAsia="zh-CN"/>
        </w:rPr>
        <w:t>: 866-872 [PMID: 11709525]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194 </w:t>
      </w:r>
      <w:r w:rsidRPr="0062622A">
        <w:rPr>
          <w:rFonts w:ascii="Book Antiqua" w:eastAsia="宋体" w:hAnsi="Book Antiqua" w:cs="Times New Roman"/>
          <w:b/>
          <w:bCs/>
          <w:sz w:val="24"/>
          <w:szCs w:val="24"/>
          <w:lang w:eastAsia="zh-CN"/>
        </w:rPr>
        <w:t>Dulai GS</w:t>
      </w:r>
      <w:r w:rsidRPr="0062622A">
        <w:rPr>
          <w:rFonts w:ascii="Book Antiqua" w:eastAsia="宋体" w:hAnsi="Book Antiqua" w:cs="Times New Roman"/>
          <w:sz w:val="24"/>
          <w:szCs w:val="24"/>
          <w:lang w:eastAsia="zh-CN"/>
        </w:rPr>
        <w:t>, Jensen DM, Kovacs TO, Gralnek IM, Jutabha R. Endoscopic treatment outcomes in watermelon stomach patients with and without portal hypertension. </w:t>
      </w:r>
      <w:r w:rsidRPr="0062622A">
        <w:rPr>
          <w:rFonts w:ascii="Book Antiqua" w:eastAsia="宋体" w:hAnsi="Book Antiqua" w:cs="Times New Roman"/>
          <w:i/>
          <w:iCs/>
          <w:sz w:val="24"/>
          <w:szCs w:val="24"/>
          <w:lang w:eastAsia="zh-CN"/>
        </w:rPr>
        <w:t>Endoscopy</w:t>
      </w:r>
      <w:r w:rsidRPr="0062622A">
        <w:rPr>
          <w:rFonts w:ascii="Book Antiqua" w:eastAsia="宋体" w:hAnsi="Book Antiqua" w:cs="Times New Roman"/>
          <w:sz w:val="24"/>
          <w:szCs w:val="24"/>
          <w:lang w:eastAsia="zh-CN"/>
        </w:rPr>
        <w:t> 2004; </w:t>
      </w:r>
      <w:r w:rsidRPr="0062622A">
        <w:rPr>
          <w:rFonts w:ascii="Book Antiqua" w:eastAsia="宋体" w:hAnsi="Book Antiqua" w:cs="Times New Roman"/>
          <w:b/>
          <w:bCs/>
          <w:sz w:val="24"/>
          <w:szCs w:val="24"/>
          <w:lang w:eastAsia="zh-CN"/>
        </w:rPr>
        <w:t>36</w:t>
      </w:r>
      <w:r w:rsidRPr="0062622A">
        <w:rPr>
          <w:rFonts w:ascii="Book Antiqua" w:eastAsia="宋体" w:hAnsi="Book Antiqua" w:cs="Times New Roman"/>
          <w:sz w:val="24"/>
          <w:szCs w:val="24"/>
          <w:lang w:eastAsia="zh-CN"/>
        </w:rPr>
        <w:t>: 68-72 [PMID: 14722858]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195 </w:t>
      </w:r>
      <w:r w:rsidRPr="0062622A">
        <w:rPr>
          <w:rFonts w:ascii="Book Antiqua" w:eastAsia="宋体" w:hAnsi="Book Antiqua" w:cs="Times New Roman"/>
          <w:b/>
          <w:bCs/>
          <w:sz w:val="24"/>
          <w:szCs w:val="24"/>
          <w:lang w:eastAsia="zh-CN"/>
        </w:rPr>
        <w:t>Urrunaga NH</w:t>
      </w:r>
      <w:r w:rsidRPr="0062622A">
        <w:rPr>
          <w:rFonts w:ascii="Book Antiqua" w:eastAsia="宋体" w:hAnsi="Book Antiqua" w:cs="Times New Roman"/>
          <w:sz w:val="24"/>
          <w:szCs w:val="24"/>
          <w:lang w:eastAsia="zh-CN"/>
        </w:rPr>
        <w:t>, Rockey DC. Portal hypertensive gastropathy and colopathy. </w:t>
      </w:r>
      <w:r w:rsidRPr="0062622A">
        <w:rPr>
          <w:rFonts w:ascii="Book Antiqua" w:eastAsia="宋体" w:hAnsi="Book Antiqua" w:cs="Times New Roman"/>
          <w:i/>
          <w:iCs/>
          <w:sz w:val="24"/>
          <w:szCs w:val="24"/>
          <w:lang w:eastAsia="zh-CN"/>
        </w:rPr>
        <w:t>Clin Liver Dis</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18</w:t>
      </w:r>
      <w:r w:rsidRPr="0062622A">
        <w:rPr>
          <w:rFonts w:ascii="Book Antiqua" w:eastAsia="宋体" w:hAnsi="Book Antiqua" w:cs="Times New Roman"/>
          <w:sz w:val="24"/>
          <w:szCs w:val="24"/>
          <w:lang w:eastAsia="zh-CN"/>
        </w:rPr>
        <w:t>: 389-406 [PMID: 24679502 DOI: 10.1016/j.cld.2014.01.008]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196 </w:t>
      </w:r>
      <w:r w:rsidRPr="0062622A">
        <w:rPr>
          <w:rFonts w:ascii="Book Antiqua" w:eastAsia="宋体" w:hAnsi="Book Antiqua" w:cs="Times New Roman"/>
          <w:b/>
          <w:bCs/>
          <w:sz w:val="24"/>
          <w:szCs w:val="24"/>
          <w:lang w:eastAsia="zh-CN"/>
        </w:rPr>
        <w:t>Naidu H</w:t>
      </w:r>
      <w:r w:rsidRPr="0062622A">
        <w:rPr>
          <w:rFonts w:ascii="Book Antiqua" w:eastAsia="宋体" w:hAnsi="Book Antiqua" w:cs="Times New Roman"/>
          <w:sz w:val="24"/>
          <w:szCs w:val="24"/>
          <w:lang w:eastAsia="zh-CN"/>
        </w:rPr>
        <w:t>, Huang Q, Mashimo H. Gastric antral vascular ectasia: the evolution of therapeutic modalities. </w:t>
      </w:r>
      <w:r w:rsidRPr="0062622A">
        <w:rPr>
          <w:rFonts w:ascii="Book Antiqua" w:eastAsia="宋体" w:hAnsi="Book Antiqua" w:cs="Times New Roman"/>
          <w:i/>
          <w:iCs/>
          <w:sz w:val="24"/>
          <w:szCs w:val="24"/>
          <w:lang w:eastAsia="zh-CN"/>
        </w:rPr>
        <w:t>Endosc Int Open</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2</w:t>
      </w:r>
      <w:r w:rsidRPr="0062622A">
        <w:rPr>
          <w:rFonts w:ascii="Book Antiqua" w:eastAsia="宋体" w:hAnsi="Book Antiqua" w:cs="Times New Roman"/>
          <w:sz w:val="24"/>
          <w:szCs w:val="24"/>
          <w:lang w:eastAsia="zh-CN"/>
        </w:rPr>
        <w:t>: E67-E73 [PMID: 26135263 DOI: 10.1055/s-0034-1365525]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197 </w:t>
      </w:r>
      <w:r w:rsidRPr="0062622A">
        <w:rPr>
          <w:rFonts w:ascii="Book Antiqua" w:eastAsia="宋体" w:hAnsi="Book Antiqua" w:cs="Times New Roman"/>
          <w:b/>
          <w:bCs/>
          <w:sz w:val="24"/>
          <w:szCs w:val="24"/>
          <w:lang w:eastAsia="zh-CN"/>
        </w:rPr>
        <w:t>Payen JL</w:t>
      </w:r>
      <w:r w:rsidRPr="0062622A">
        <w:rPr>
          <w:rFonts w:ascii="Book Antiqua" w:eastAsia="宋体" w:hAnsi="Book Antiqua" w:cs="Times New Roman"/>
          <w:sz w:val="24"/>
          <w:szCs w:val="24"/>
          <w:lang w:eastAsia="zh-CN"/>
        </w:rPr>
        <w:t>, Calès P, Voigt JJ, Barbe S, Pilette C, Dubuisson L, Desmorat H, Vinel JP, Kervran A, Chayvialle JA. Severe portal hypertensive gastropathy and antral vascular ectasia are distinct entities in patients with cirrhosis.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108</w:t>
      </w:r>
      <w:r w:rsidRPr="0062622A">
        <w:rPr>
          <w:rFonts w:ascii="Book Antiqua" w:eastAsia="宋体" w:hAnsi="Book Antiqua" w:cs="Times New Roman"/>
          <w:sz w:val="24"/>
          <w:szCs w:val="24"/>
          <w:lang w:eastAsia="zh-CN"/>
        </w:rPr>
        <w:t>: 138-144 [PMID: 7806035]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198 </w:t>
      </w:r>
      <w:r w:rsidRPr="0062622A">
        <w:rPr>
          <w:rFonts w:ascii="Book Antiqua" w:eastAsia="宋体" w:hAnsi="Book Antiqua" w:cs="Times New Roman"/>
          <w:b/>
          <w:bCs/>
          <w:sz w:val="24"/>
          <w:szCs w:val="24"/>
          <w:lang w:eastAsia="zh-CN"/>
        </w:rPr>
        <w:t>Siramolpiwat S</w:t>
      </w:r>
      <w:r w:rsidRPr="0062622A">
        <w:rPr>
          <w:rFonts w:ascii="Book Antiqua" w:eastAsia="宋体" w:hAnsi="Book Antiqua" w:cs="Times New Roman"/>
          <w:sz w:val="24"/>
          <w:szCs w:val="24"/>
          <w:lang w:eastAsia="zh-CN"/>
        </w:rPr>
        <w:t>. Transjugular intrahepatic portosystemic shunts and portal hypertension-related complications. </w:t>
      </w:r>
      <w:r w:rsidRPr="0062622A">
        <w:rPr>
          <w:rFonts w:ascii="Book Antiqua" w:eastAsia="宋体" w:hAnsi="Book Antiqua" w:cs="Times New Roman"/>
          <w:i/>
          <w:iCs/>
          <w:sz w:val="24"/>
          <w:szCs w:val="24"/>
          <w:lang w:eastAsia="zh-CN"/>
        </w:rPr>
        <w:t>World J Gastroenterol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20</w:t>
      </w:r>
      <w:r w:rsidRPr="0062622A">
        <w:rPr>
          <w:rFonts w:ascii="Book Antiqua" w:eastAsia="宋体" w:hAnsi="Book Antiqua" w:cs="Times New Roman"/>
          <w:sz w:val="24"/>
          <w:szCs w:val="24"/>
          <w:lang w:eastAsia="zh-CN"/>
        </w:rPr>
        <w:t>: 16996-17010 [PMID: 25493012 DOI: 10.3748/wjg.v20.i45.16996]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199 </w:t>
      </w:r>
      <w:r w:rsidRPr="0062622A">
        <w:rPr>
          <w:rFonts w:ascii="Book Antiqua" w:eastAsia="宋体" w:hAnsi="Book Antiqua" w:cs="Times New Roman"/>
          <w:b/>
          <w:bCs/>
          <w:sz w:val="24"/>
          <w:szCs w:val="24"/>
          <w:lang w:eastAsia="zh-CN"/>
        </w:rPr>
        <w:t>Tran A</w:t>
      </w:r>
      <w:r w:rsidRPr="0062622A">
        <w:rPr>
          <w:rFonts w:ascii="Book Antiqua" w:eastAsia="宋体" w:hAnsi="Book Antiqua" w:cs="Times New Roman"/>
          <w:sz w:val="24"/>
          <w:szCs w:val="24"/>
          <w:lang w:eastAsia="zh-CN"/>
        </w:rPr>
        <w:t>, Villeneuve JP, Bilodeau M, Willems B, Marleau D, Fenyves D, Parent R, Pomier-Layrargues G. Treatment of chronic bleeding from gastric antral vascular ectasia (GAVE) with estrogen-progesterone in cirrhotic patients: an open pilot study.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1999; </w:t>
      </w:r>
      <w:r w:rsidRPr="0062622A">
        <w:rPr>
          <w:rFonts w:ascii="Book Antiqua" w:eastAsia="宋体" w:hAnsi="Book Antiqua" w:cs="Times New Roman"/>
          <w:b/>
          <w:bCs/>
          <w:sz w:val="24"/>
          <w:szCs w:val="24"/>
          <w:lang w:eastAsia="zh-CN"/>
        </w:rPr>
        <w:t>94</w:t>
      </w:r>
      <w:r w:rsidRPr="0062622A">
        <w:rPr>
          <w:rFonts w:ascii="Book Antiqua" w:eastAsia="宋体" w:hAnsi="Book Antiqua" w:cs="Times New Roman"/>
          <w:sz w:val="24"/>
          <w:szCs w:val="24"/>
          <w:lang w:eastAsia="zh-CN"/>
        </w:rPr>
        <w:t>: 2909-2911 [PMID: 10520843]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200 </w:t>
      </w:r>
      <w:r w:rsidRPr="0062622A">
        <w:rPr>
          <w:rFonts w:ascii="Book Antiqua" w:eastAsia="宋体" w:hAnsi="Book Antiqua" w:cs="Times New Roman"/>
          <w:b/>
          <w:bCs/>
          <w:sz w:val="24"/>
          <w:szCs w:val="24"/>
          <w:lang w:eastAsia="zh-CN"/>
        </w:rPr>
        <w:t>Spahr L</w:t>
      </w:r>
      <w:r w:rsidRPr="0062622A">
        <w:rPr>
          <w:rFonts w:ascii="Book Antiqua" w:eastAsia="宋体" w:hAnsi="Book Antiqua" w:cs="Times New Roman"/>
          <w:sz w:val="24"/>
          <w:szCs w:val="24"/>
          <w:lang w:eastAsia="zh-CN"/>
        </w:rPr>
        <w:t>, Villeneuve JP, Dufresne MP, Tassé D, Bui B, Willems B, Fenyves D, Pomier-Layrargues G. Gastric antral vascular ectasia in cirrhotic patients: absence of relation with portal hypertension. </w:t>
      </w:r>
      <w:r w:rsidRPr="0062622A">
        <w:rPr>
          <w:rFonts w:ascii="Book Antiqua" w:eastAsia="宋体" w:hAnsi="Book Antiqua" w:cs="Times New Roman"/>
          <w:i/>
          <w:iCs/>
          <w:sz w:val="24"/>
          <w:szCs w:val="24"/>
          <w:lang w:eastAsia="zh-CN"/>
        </w:rPr>
        <w:t>Gut</w:t>
      </w:r>
      <w:r w:rsidRPr="0062622A">
        <w:rPr>
          <w:rFonts w:ascii="Book Antiqua" w:eastAsia="宋体" w:hAnsi="Book Antiqua" w:cs="Times New Roman"/>
          <w:sz w:val="24"/>
          <w:szCs w:val="24"/>
          <w:lang w:eastAsia="zh-CN"/>
        </w:rPr>
        <w:t> 1999; </w:t>
      </w:r>
      <w:r w:rsidRPr="0062622A">
        <w:rPr>
          <w:rFonts w:ascii="Book Antiqua" w:eastAsia="宋体" w:hAnsi="Book Antiqua" w:cs="Times New Roman"/>
          <w:b/>
          <w:bCs/>
          <w:sz w:val="24"/>
          <w:szCs w:val="24"/>
          <w:lang w:eastAsia="zh-CN"/>
        </w:rPr>
        <w:t>44</w:t>
      </w:r>
      <w:r w:rsidRPr="0062622A">
        <w:rPr>
          <w:rFonts w:ascii="Book Antiqua" w:eastAsia="宋体" w:hAnsi="Book Antiqua" w:cs="Times New Roman"/>
          <w:sz w:val="24"/>
          <w:szCs w:val="24"/>
          <w:lang w:eastAsia="zh-CN"/>
        </w:rPr>
        <w:t>: 739-742 [PMID: 10205216]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201 </w:t>
      </w:r>
      <w:r w:rsidRPr="0062622A">
        <w:rPr>
          <w:rFonts w:ascii="Book Antiqua" w:eastAsia="宋体" w:hAnsi="Book Antiqua" w:cs="Times New Roman"/>
          <w:b/>
          <w:bCs/>
          <w:sz w:val="24"/>
          <w:szCs w:val="24"/>
          <w:lang w:eastAsia="zh-CN"/>
        </w:rPr>
        <w:t>Barbara G</w:t>
      </w:r>
      <w:r w:rsidRPr="0062622A">
        <w:rPr>
          <w:rFonts w:ascii="Book Antiqua" w:eastAsia="宋体" w:hAnsi="Book Antiqua" w:cs="Times New Roman"/>
          <w:sz w:val="24"/>
          <w:szCs w:val="24"/>
          <w:lang w:eastAsia="zh-CN"/>
        </w:rPr>
        <w:t>, De Giorgio R, Salvioli B, Stanghellini V, Corinaldesi R. Unsuccessful octreotide treatment of the watermelon stomach. </w:t>
      </w:r>
      <w:r w:rsidRPr="0062622A">
        <w:rPr>
          <w:rFonts w:ascii="Book Antiqua" w:eastAsia="宋体" w:hAnsi="Book Antiqua" w:cs="Times New Roman"/>
          <w:i/>
          <w:iCs/>
          <w:sz w:val="24"/>
          <w:szCs w:val="24"/>
          <w:lang w:eastAsia="zh-CN"/>
        </w:rPr>
        <w:t>J Clin Gastroenterol</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26</w:t>
      </w:r>
      <w:r w:rsidRPr="0062622A">
        <w:rPr>
          <w:rFonts w:ascii="Book Antiqua" w:eastAsia="宋体" w:hAnsi="Book Antiqua" w:cs="Times New Roman"/>
          <w:sz w:val="24"/>
          <w:szCs w:val="24"/>
          <w:lang w:eastAsia="zh-CN"/>
        </w:rPr>
        <w:t>: 345-346 [PMID: 9649027]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202 </w:t>
      </w:r>
      <w:r w:rsidRPr="0062622A">
        <w:rPr>
          <w:rFonts w:ascii="Book Antiqua" w:eastAsia="宋体" w:hAnsi="Book Antiqua" w:cs="Times New Roman"/>
          <w:b/>
          <w:bCs/>
          <w:sz w:val="24"/>
          <w:szCs w:val="24"/>
          <w:lang w:eastAsia="zh-CN"/>
        </w:rPr>
        <w:t>Herrera S</w:t>
      </w:r>
      <w:r w:rsidRPr="0062622A">
        <w:rPr>
          <w:rFonts w:ascii="Book Antiqua" w:eastAsia="宋体" w:hAnsi="Book Antiqua" w:cs="Times New Roman"/>
          <w:sz w:val="24"/>
          <w:szCs w:val="24"/>
          <w:lang w:eastAsia="zh-CN"/>
        </w:rPr>
        <w:t>, Bordas JM, Llach J, Ginès A, Pellisé M, Fernández-Esparrach G, Mondelo F, Mata A, Cárdenas A, Castells A. The beneficial effects of argon plasma coagulation in the management of different types of gastric vascular ectasia lesions in patients admitted for GI hemorrhage.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68</w:t>
      </w:r>
      <w:r w:rsidRPr="0062622A">
        <w:rPr>
          <w:rFonts w:ascii="Book Antiqua" w:eastAsia="宋体" w:hAnsi="Book Antiqua" w:cs="Times New Roman"/>
          <w:sz w:val="24"/>
          <w:szCs w:val="24"/>
          <w:lang w:eastAsia="zh-CN"/>
        </w:rPr>
        <w:t>: 440-446 [PMID: 18423466 DOI: 10.1016/j.gie.2008.02.009]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203 </w:t>
      </w:r>
      <w:r w:rsidRPr="0062622A">
        <w:rPr>
          <w:rFonts w:ascii="Book Antiqua" w:eastAsia="宋体" w:hAnsi="Book Antiqua" w:cs="Times New Roman"/>
          <w:b/>
          <w:bCs/>
          <w:sz w:val="24"/>
          <w:szCs w:val="24"/>
          <w:lang w:eastAsia="zh-CN"/>
        </w:rPr>
        <w:t>Smith LA</w:t>
      </w:r>
      <w:r w:rsidRPr="0062622A">
        <w:rPr>
          <w:rFonts w:ascii="Book Antiqua" w:eastAsia="宋体" w:hAnsi="Book Antiqua" w:cs="Times New Roman"/>
          <w:sz w:val="24"/>
          <w:szCs w:val="24"/>
          <w:lang w:eastAsia="zh-CN"/>
        </w:rPr>
        <w:t>, Morris AJ, Stanley AJ. The use of hemospray in portal hypertensive bleeding; a case series.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60</w:t>
      </w:r>
      <w:r w:rsidRPr="0062622A">
        <w:rPr>
          <w:rFonts w:ascii="Book Antiqua" w:eastAsia="宋体" w:hAnsi="Book Antiqua" w:cs="Times New Roman"/>
          <w:sz w:val="24"/>
          <w:szCs w:val="24"/>
          <w:lang w:eastAsia="zh-CN"/>
        </w:rPr>
        <w:t>: 457-460 [PMID: 24140803 DOI: 10.1016/j.jhep.2013.10.008]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204 </w:t>
      </w:r>
      <w:r w:rsidRPr="0062622A">
        <w:rPr>
          <w:rFonts w:ascii="Book Antiqua" w:eastAsia="宋体" w:hAnsi="Book Antiqua" w:cs="Times New Roman"/>
          <w:b/>
          <w:bCs/>
          <w:sz w:val="24"/>
          <w:szCs w:val="24"/>
          <w:lang w:eastAsia="zh-CN"/>
        </w:rPr>
        <w:t>Probst A</w:t>
      </w:r>
      <w:r w:rsidRPr="0062622A">
        <w:rPr>
          <w:rFonts w:ascii="Book Antiqua" w:eastAsia="宋体" w:hAnsi="Book Antiqua" w:cs="Times New Roman"/>
          <w:sz w:val="24"/>
          <w:szCs w:val="24"/>
          <w:lang w:eastAsia="zh-CN"/>
        </w:rPr>
        <w:t>, Scheubel R, Wienbeck M. Treatment of watermelon stomach (GAVE syndrome) by means of endoscopic argon plasma coagulation (APC): long-term outcome. </w:t>
      </w:r>
      <w:r w:rsidRPr="0062622A">
        <w:rPr>
          <w:rFonts w:ascii="Book Antiqua" w:eastAsia="宋体" w:hAnsi="Book Antiqua" w:cs="Times New Roman"/>
          <w:i/>
          <w:iCs/>
          <w:sz w:val="24"/>
          <w:szCs w:val="24"/>
          <w:lang w:eastAsia="zh-CN"/>
        </w:rPr>
        <w:t>Z Gastroenterol</w:t>
      </w:r>
      <w:r w:rsidRPr="0062622A">
        <w:rPr>
          <w:rFonts w:ascii="Book Antiqua" w:eastAsia="宋体" w:hAnsi="Book Antiqua" w:cs="Times New Roman"/>
          <w:sz w:val="24"/>
          <w:szCs w:val="24"/>
          <w:lang w:eastAsia="zh-CN"/>
        </w:rPr>
        <w:t> 2001; </w:t>
      </w:r>
      <w:r w:rsidRPr="0062622A">
        <w:rPr>
          <w:rFonts w:ascii="Book Antiqua" w:eastAsia="宋体" w:hAnsi="Book Antiqua" w:cs="Times New Roman"/>
          <w:b/>
          <w:bCs/>
          <w:sz w:val="24"/>
          <w:szCs w:val="24"/>
          <w:lang w:eastAsia="zh-CN"/>
        </w:rPr>
        <w:t>39</w:t>
      </w:r>
      <w:r w:rsidRPr="0062622A">
        <w:rPr>
          <w:rFonts w:ascii="Book Antiqua" w:eastAsia="宋体" w:hAnsi="Book Antiqua" w:cs="Times New Roman"/>
          <w:sz w:val="24"/>
          <w:szCs w:val="24"/>
          <w:lang w:eastAsia="zh-CN"/>
        </w:rPr>
        <w:t>: 447-452 [PMID: 11474999]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205 </w:t>
      </w:r>
      <w:r w:rsidRPr="0062622A">
        <w:rPr>
          <w:rFonts w:ascii="Book Antiqua" w:eastAsia="宋体" w:hAnsi="Book Antiqua" w:cs="Times New Roman"/>
          <w:b/>
          <w:bCs/>
          <w:sz w:val="24"/>
          <w:szCs w:val="24"/>
          <w:lang w:eastAsia="zh-CN"/>
        </w:rPr>
        <w:t>Ng I</w:t>
      </w:r>
      <w:r w:rsidRPr="0062622A">
        <w:rPr>
          <w:rFonts w:ascii="Book Antiqua" w:eastAsia="宋体" w:hAnsi="Book Antiqua" w:cs="Times New Roman"/>
          <w:sz w:val="24"/>
          <w:szCs w:val="24"/>
          <w:lang w:eastAsia="zh-CN"/>
        </w:rPr>
        <w:t>, Lai KC, Ng M. Clinical and histological features of gastric antral vascular ectasia: successful treatment with endoscopic laser therapy.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11</w:t>
      </w:r>
      <w:r w:rsidRPr="0062622A">
        <w:rPr>
          <w:rFonts w:ascii="Book Antiqua" w:eastAsia="宋体" w:hAnsi="Book Antiqua" w:cs="Times New Roman"/>
          <w:sz w:val="24"/>
          <w:szCs w:val="24"/>
          <w:lang w:eastAsia="zh-CN"/>
        </w:rPr>
        <w:t>: 270-274 [PMID: 8742925]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206 </w:t>
      </w:r>
      <w:r w:rsidRPr="0062622A">
        <w:rPr>
          <w:rFonts w:ascii="Book Antiqua" w:eastAsia="宋体" w:hAnsi="Book Antiqua" w:cs="Times New Roman"/>
          <w:b/>
          <w:bCs/>
          <w:sz w:val="24"/>
          <w:szCs w:val="24"/>
          <w:lang w:eastAsia="zh-CN"/>
        </w:rPr>
        <w:t>Wells CD</w:t>
      </w:r>
      <w:r w:rsidRPr="0062622A">
        <w:rPr>
          <w:rFonts w:ascii="Book Antiqua" w:eastAsia="宋体" w:hAnsi="Book Antiqua" w:cs="Times New Roman"/>
          <w:sz w:val="24"/>
          <w:szCs w:val="24"/>
          <w:lang w:eastAsia="zh-CN"/>
        </w:rPr>
        <w:t>, Harrison ME, Gurudu SR, Crowell MD, Byrne TJ, Depetris G, Sharma VK. Treatment of gastric antral vascular ectasia (watermelon stomach) with endoscopic band ligation.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68</w:t>
      </w:r>
      <w:r w:rsidRPr="0062622A">
        <w:rPr>
          <w:rFonts w:ascii="Book Antiqua" w:eastAsia="宋体" w:hAnsi="Book Antiqua" w:cs="Times New Roman"/>
          <w:sz w:val="24"/>
          <w:szCs w:val="24"/>
          <w:lang w:eastAsia="zh-CN"/>
        </w:rPr>
        <w:t>: 231-236 [PMID: 18533150 DOI: 10.1016/j.gie.2008.02.021]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207 </w:t>
      </w:r>
      <w:r w:rsidRPr="0062622A">
        <w:rPr>
          <w:rFonts w:ascii="Book Antiqua" w:eastAsia="宋体" w:hAnsi="Book Antiqua" w:cs="Times New Roman"/>
          <w:b/>
          <w:bCs/>
          <w:sz w:val="24"/>
          <w:szCs w:val="24"/>
          <w:lang w:eastAsia="zh-CN"/>
        </w:rPr>
        <w:t>McGorisk T</w:t>
      </w:r>
      <w:r w:rsidRPr="0062622A">
        <w:rPr>
          <w:rFonts w:ascii="Book Antiqua" w:eastAsia="宋体" w:hAnsi="Book Antiqua" w:cs="Times New Roman"/>
          <w:sz w:val="24"/>
          <w:szCs w:val="24"/>
          <w:lang w:eastAsia="zh-CN"/>
        </w:rPr>
        <w:t>, Krishnan K, Keefer L, Komanduri S. Radiofrequency ablation for refractory gastric antral vascular ectasia (with video).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78</w:t>
      </w:r>
      <w:r w:rsidRPr="0062622A">
        <w:rPr>
          <w:rFonts w:ascii="Book Antiqua" w:eastAsia="宋体" w:hAnsi="Book Antiqua" w:cs="Times New Roman"/>
          <w:sz w:val="24"/>
          <w:szCs w:val="24"/>
          <w:lang w:eastAsia="zh-CN"/>
        </w:rPr>
        <w:t>: 584-588 [PMID: 23660565 DOI: 10.1016/j.gie.2013.04.173]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208 </w:t>
      </w:r>
      <w:r w:rsidRPr="0062622A">
        <w:rPr>
          <w:rFonts w:ascii="Book Antiqua" w:eastAsia="宋体" w:hAnsi="Book Antiqua" w:cs="Times New Roman"/>
          <w:b/>
          <w:bCs/>
          <w:sz w:val="24"/>
          <w:szCs w:val="24"/>
          <w:lang w:eastAsia="zh-CN"/>
        </w:rPr>
        <w:t>Turon F</w:t>
      </w:r>
      <w:r w:rsidRPr="0062622A">
        <w:rPr>
          <w:rFonts w:ascii="Book Antiqua" w:eastAsia="宋体" w:hAnsi="Book Antiqua" w:cs="Times New Roman"/>
          <w:sz w:val="24"/>
          <w:szCs w:val="24"/>
          <w:lang w:eastAsia="zh-CN"/>
        </w:rPr>
        <w:t>, Casu S, Hernández-Gea V, Garcia-Pagán JC. Variceal and other portal hypertension related bleeding. </w:t>
      </w:r>
      <w:r w:rsidRPr="0062622A">
        <w:rPr>
          <w:rFonts w:ascii="Book Antiqua" w:eastAsia="宋体" w:hAnsi="Book Antiqua" w:cs="Times New Roman"/>
          <w:i/>
          <w:iCs/>
          <w:sz w:val="24"/>
          <w:szCs w:val="24"/>
          <w:lang w:eastAsia="zh-CN"/>
        </w:rPr>
        <w:t>Best Pract Res Clin Gastroenterol</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27</w:t>
      </w:r>
      <w:r w:rsidRPr="0062622A">
        <w:rPr>
          <w:rFonts w:ascii="Book Antiqua" w:eastAsia="宋体" w:hAnsi="Book Antiqua" w:cs="Times New Roman"/>
          <w:sz w:val="24"/>
          <w:szCs w:val="24"/>
          <w:lang w:eastAsia="zh-CN"/>
        </w:rPr>
        <w:t>: 649-664 [PMID: 24160925 DOI: 10.1016/j.bpg.2013.08.004]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209 </w:t>
      </w:r>
      <w:r w:rsidRPr="0062622A">
        <w:rPr>
          <w:rFonts w:ascii="Book Antiqua" w:eastAsia="宋体" w:hAnsi="Book Antiqua" w:cs="Times New Roman"/>
          <w:b/>
          <w:bCs/>
          <w:sz w:val="24"/>
          <w:szCs w:val="24"/>
          <w:lang w:eastAsia="zh-CN"/>
        </w:rPr>
        <w:t>Vincent C</w:t>
      </w:r>
      <w:r w:rsidRPr="0062622A">
        <w:rPr>
          <w:rFonts w:ascii="Book Antiqua" w:eastAsia="宋体" w:hAnsi="Book Antiqua" w:cs="Times New Roman"/>
          <w:sz w:val="24"/>
          <w:szCs w:val="24"/>
          <w:lang w:eastAsia="zh-CN"/>
        </w:rPr>
        <w:t>, Pomier-Layrargues G, Dagenais M, Lapointe R, Létourneau R, Roy A, Paré P, Huet PM. Cure of gastric antral vascular ectasia by liver transplantation despite persistent portal hypertension: a clue for pathogenesis. </w:t>
      </w:r>
      <w:r w:rsidRPr="0062622A">
        <w:rPr>
          <w:rFonts w:ascii="Book Antiqua" w:eastAsia="宋体" w:hAnsi="Book Antiqua" w:cs="Times New Roman"/>
          <w:i/>
          <w:iCs/>
          <w:sz w:val="24"/>
          <w:szCs w:val="24"/>
          <w:lang w:eastAsia="zh-CN"/>
        </w:rPr>
        <w:t>Liver Transpl</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8</w:t>
      </w:r>
      <w:r w:rsidRPr="0062622A">
        <w:rPr>
          <w:rFonts w:ascii="Book Antiqua" w:eastAsia="宋体" w:hAnsi="Book Antiqua" w:cs="Times New Roman"/>
          <w:sz w:val="24"/>
          <w:szCs w:val="24"/>
          <w:lang w:eastAsia="zh-CN"/>
        </w:rPr>
        <w:t>: 717-720 [PMID: 12149766]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210 </w:t>
      </w:r>
      <w:r w:rsidRPr="0062622A">
        <w:rPr>
          <w:rFonts w:ascii="Book Antiqua" w:eastAsia="宋体" w:hAnsi="Book Antiqua" w:cs="Times New Roman"/>
          <w:b/>
          <w:bCs/>
          <w:sz w:val="24"/>
          <w:szCs w:val="24"/>
          <w:lang w:eastAsia="zh-CN"/>
        </w:rPr>
        <w:t>Novitsky YW</w:t>
      </w:r>
      <w:r w:rsidRPr="0062622A">
        <w:rPr>
          <w:rFonts w:ascii="Book Antiqua" w:eastAsia="宋体" w:hAnsi="Book Antiqua" w:cs="Times New Roman"/>
          <w:sz w:val="24"/>
          <w:szCs w:val="24"/>
          <w:lang w:eastAsia="zh-CN"/>
        </w:rPr>
        <w:t>, Kercher KW, Czerniach DR, Litwin DE. Watermelon stomach: pathophysiology, diagnosis, and management. </w:t>
      </w:r>
      <w:r w:rsidRPr="0062622A">
        <w:rPr>
          <w:rFonts w:ascii="Book Antiqua" w:eastAsia="宋体" w:hAnsi="Book Antiqua" w:cs="Times New Roman"/>
          <w:i/>
          <w:iCs/>
          <w:sz w:val="24"/>
          <w:szCs w:val="24"/>
          <w:lang w:eastAsia="zh-CN"/>
        </w:rPr>
        <w:t>J Gastrointest Surg</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2003</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7</w:t>
      </w:r>
      <w:r w:rsidRPr="0062622A">
        <w:rPr>
          <w:rFonts w:ascii="Book Antiqua" w:eastAsia="宋体" w:hAnsi="Book Antiqua" w:cs="Times New Roman"/>
          <w:sz w:val="24"/>
          <w:szCs w:val="24"/>
          <w:lang w:eastAsia="zh-CN"/>
        </w:rPr>
        <w:t>: 652-661 [PMID: 12850679]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211 </w:t>
      </w:r>
      <w:r w:rsidRPr="0062622A">
        <w:rPr>
          <w:rFonts w:ascii="Book Antiqua" w:eastAsia="宋体" w:hAnsi="Book Antiqua" w:cs="Times New Roman"/>
          <w:b/>
          <w:bCs/>
          <w:sz w:val="24"/>
          <w:szCs w:val="24"/>
          <w:lang w:eastAsia="zh-CN"/>
        </w:rPr>
        <w:t>Jin T</w:t>
      </w:r>
      <w:r w:rsidRPr="0062622A">
        <w:rPr>
          <w:rFonts w:ascii="Book Antiqua" w:eastAsia="宋体" w:hAnsi="Book Antiqua" w:cs="Times New Roman"/>
          <w:sz w:val="24"/>
          <w:szCs w:val="24"/>
          <w:lang w:eastAsia="zh-CN"/>
        </w:rPr>
        <w:t>, Fei BY, Zheng WH, Wang YX. Successful treatment of refractory gastric antral vascular ectasia by distal gastrectomy: a case report. </w:t>
      </w:r>
      <w:r w:rsidRPr="0062622A">
        <w:rPr>
          <w:rFonts w:ascii="Book Antiqua" w:eastAsia="宋体" w:hAnsi="Book Antiqua" w:cs="Times New Roman"/>
          <w:i/>
          <w:iCs/>
          <w:sz w:val="24"/>
          <w:szCs w:val="24"/>
          <w:lang w:eastAsia="zh-CN"/>
        </w:rPr>
        <w:t>World J Gastroenterol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20</w:t>
      </w:r>
      <w:r w:rsidRPr="0062622A">
        <w:rPr>
          <w:rFonts w:ascii="Book Antiqua" w:eastAsia="宋体" w:hAnsi="Book Antiqua" w:cs="Times New Roman"/>
          <w:sz w:val="24"/>
          <w:szCs w:val="24"/>
          <w:lang w:eastAsia="zh-CN"/>
        </w:rPr>
        <w:t>: 14073-14075 [PMID: 25320549 DOI: 10.3748/wjg.v20.i38.14073]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212 </w:t>
      </w:r>
      <w:r w:rsidRPr="0062622A">
        <w:rPr>
          <w:rFonts w:ascii="Book Antiqua" w:eastAsia="宋体" w:hAnsi="Book Antiqua" w:cs="Times New Roman"/>
          <w:b/>
          <w:bCs/>
          <w:sz w:val="24"/>
          <w:szCs w:val="24"/>
          <w:lang w:eastAsia="zh-CN"/>
        </w:rPr>
        <w:t>Fuccio L</w:t>
      </w:r>
      <w:r w:rsidRPr="0062622A">
        <w:rPr>
          <w:rFonts w:ascii="Book Antiqua" w:eastAsia="宋体" w:hAnsi="Book Antiqua" w:cs="Times New Roman"/>
          <w:sz w:val="24"/>
          <w:szCs w:val="24"/>
          <w:lang w:eastAsia="zh-CN"/>
        </w:rPr>
        <w:t>, Mussetto A, Laterza L, Eusebi LH, Bazzoli F. Diagnosis and management of gastric antral vascular ectasia. </w:t>
      </w:r>
      <w:r w:rsidRPr="0062622A">
        <w:rPr>
          <w:rFonts w:ascii="Book Antiqua" w:eastAsia="宋体" w:hAnsi="Book Antiqua" w:cs="Times New Roman"/>
          <w:i/>
          <w:iCs/>
          <w:sz w:val="24"/>
          <w:szCs w:val="24"/>
          <w:lang w:eastAsia="zh-CN"/>
        </w:rPr>
        <w:t>World J Gastrointest Endosc</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5</w:t>
      </w:r>
      <w:r w:rsidRPr="0062622A">
        <w:rPr>
          <w:rFonts w:ascii="Book Antiqua" w:eastAsia="宋体" w:hAnsi="Book Antiqua" w:cs="Times New Roman"/>
          <w:sz w:val="24"/>
          <w:szCs w:val="24"/>
          <w:lang w:eastAsia="zh-CN"/>
        </w:rPr>
        <w:t>: 6-13 [PMID: 23330048 DOI: 10.4253/wjge.v5.i1.6]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213 </w:t>
      </w:r>
      <w:r w:rsidRPr="0062622A">
        <w:rPr>
          <w:rFonts w:ascii="Book Antiqua" w:eastAsia="宋体" w:hAnsi="Book Antiqua" w:cs="Times New Roman"/>
          <w:b/>
          <w:bCs/>
          <w:sz w:val="24"/>
          <w:szCs w:val="24"/>
          <w:lang w:eastAsia="zh-CN"/>
        </w:rPr>
        <w:t>Calès P</w:t>
      </w:r>
      <w:r w:rsidRPr="0062622A">
        <w:rPr>
          <w:rFonts w:ascii="Book Antiqua" w:eastAsia="宋体" w:hAnsi="Book Antiqua" w:cs="Times New Roman"/>
          <w:sz w:val="24"/>
          <w:szCs w:val="24"/>
          <w:lang w:eastAsia="zh-CN"/>
        </w:rPr>
        <w:t>, Voigt JJ, Payen JL, Bloom E, Berg P, Vinel JP, Pradère B, Broussy P, Pascal JP. Diffuse vascular ectasia of the antrum, duodenum, and jejunum in a patient with nodular regenerative hyperplasia. Lack of response to portosystemic shunt or gastrectomy. </w:t>
      </w:r>
      <w:r w:rsidRPr="0062622A">
        <w:rPr>
          <w:rFonts w:ascii="Book Antiqua" w:eastAsia="宋体" w:hAnsi="Book Antiqua" w:cs="Times New Roman"/>
          <w:i/>
          <w:iCs/>
          <w:sz w:val="24"/>
          <w:szCs w:val="24"/>
          <w:lang w:eastAsia="zh-CN"/>
        </w:rPr>
        <w:t>Gut</w:t>
      </w:r>
      <w:r w:rsidRPr="0062622A">
        <w:rPr>
          <w:rFonts w:ascii="Book Antiqua" w:eastAsia="宋体" w:hAnsi="Book Antiqua" w:cs="Times New Roman"/>
          <w:sz w:val="24"/>
          <w:szCs w:val="24"/>
          <w:lang w:eastAsia="zh-CN"/>
        </w:rPr>
        <w:t> 1993; </w:t>
      </w:r>
      <w:r w:rsidRPr="0062622A">
        <w:rPr>
          <w:rFonts w:ascii="Book Antiqua" w:eastAsia="宋体" w:hAnsi="Book Antiqua" w:cs="Times New Roman"/>
          <w:b/>
          <w:bCs/>
          <w:sz w:val="24"/>
          <w:szCs w:val="24"/>
          <w:lang w:eastAsia="zh-CN"/>
        </w:rPr>
        <w:t>34</w:t>
      </w:r>
      <w:r w:rsidRPr="0062622A">
        <w:rPr>
          <w:rFonts w:ascii="Book Antiqua" w:eastAsia="宋体" w:hAnsi="Book Antiqua" w:cs="Times New Roman"/>
          <w:sz w:val="24"/>
          <w:szCs w:val="24"/>
          <w:lang w:eastAsia="zh-CN"/>
        </w:rPr>
        <w:t>: 558-561 [PMID: 8491407]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214 </w:t>
      </w:r>
      <w:r w:rsidRPr="0062622A">
        <w:rPr>
          <w:rFonts w:ascii="Book Antiqua" w:eastAsia="宋体" w:hAnsi="Book Antiqua" w:cs="Times New Roman"/>
          <w:b/>
          <w:bCs/>
          <w:sz w:val="24"/>
          <w:szCs w:val="24"/>
          <w:lang w:eastAsia="zh-CN"/>
        </w:rPr>
        <w:t>Ripoll C</w:t>
      </w:r>
      <w:r w:rsidRPr="0062622A">
        <w:rPr>
          <w:rFonts w:ascii="Book Antiqua" w:eastAsia="宋体" w:hAnsi="Book Antiqua" w:cs="Times New Roman"/>
          <w:sz w:val="24"/>
          <w:szCs w:val="24"/>
          <w:lang w:eastAsia="zh-CN"/>
        </w:rPr>
        <w:t>, Garcia-Tsao G. Management of gastropathy and gastric vascular ectasia in portal hypertension. </w:t>
      </w:r>
      <w:r w:rsidRPr="0062622A">
        <w:rPr>
          <w:rFonts w:ascii="Book Antiqua" w:eastAsia="宋体" w:hAnsi="Book Antiqua" w:cs="Times New Roman"/>
          <w:i/>
          <w:iCs/>
          <w:sz w:val="24"/>
          <w:szCs w:val="24"/>
          <w:lang w:eastAsia="zh-CN"/>
        </w:rPr>
        <w:t>Clin Liver Dis</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14</w:t>
      </w:r>
      <w:r w:rsidRPr="0062622A">
        <w:rPr>
          <w:rFonts w:ascii="Book Antiqua" w:eastAsia="宋体" w:hAnsi="Book Antiqua" w:cs="Times New Roman"/>
          <w:sz w:val="24"/>
          <w:szCs w:val="24"/>
          <w:lang w:eastAsia="zh-CN"/>
        </w:rPr>
        <w:t>: 281-295 [PMID: 20682235 DOI: 10.1016/j.cld.2010.03.013]</w:t>
      </w:r>
    </w:p>
    <w:p w:rsidR="0062622A" w:rsidRPr="0062622A" w:rsidRDefault="0062622A" w:rsidP="0062622A">
      <w:pPr>
        <w:spacing w:line="360" w:lineRule="auto"/>
        <w:jc w:val="both"/>
        <w:rPr>
          <w:rFonts w:ascii="Book Antiqua" w:eastAsia="宋体" w:hAnsi="Book Antiqua" w:cs="Times New Roman"/>
          <w:sz w:val="24"/>
          <w:szCs w:val="24"/>
          <w:lang w:val="fr-FR" w:eastAsia="zh-CN"/>
        </w:rPr>
      </w:pPr>
      <w:r w:rsidRPr="0062622A">
        <w:rPr>
          <w:rFonts w:ascii="Book Antiqua" w:eastAsia="宋体" w:hAnsi="Book Antiqua" w:cs="Times New Roman"/>
          <w:sz w:val="24"/>
          <w:szCs w:val="24"/>
          <w:lang w:eastAsia="zh-CN"/>
        </w:rPr>
        <w:t>21</w:t>
      </w:r>
      <w:r w:rsidRPr="0062622A">
        <w:rPr>
          <w:rFonts w:ascii="Book Antiqua" w:eastAsia="宋体" w:hAnsi="Book Antiqua" w:cs="Times New Roman" w:hint="eastAsia"/>
          <w:sz w:val="24"/>
          <w:szCs w:val="24"/>
          <w:lang w:eastAsia="zh-CN"/>
        </w:rPr>
        <w:t>5</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sz w:val="24"/>
          <w:szCs w:val="24"/>
          <w:lang w:val="fr-FR" w:eastAsia="fr-FR"/>
        </w:rPr>
        <w:t>Suit PF</w:t>
      </w:r>
      <w:r w:rsidRPr="0062622A">
        <w:rPr>
          <w:rFonts w:ascii="Book Antiqua" w:eastAsia="宋体" w:hAnsi="Book Antiqua" w:cs="Times New Roman"/>
          <w:sz w:val="24"/>
          <w:szCs w:val="24"/>
          <w:lang w:val="fr-FR" w:eastAsia="fr-FR"/>
        </w:rPr>
        <w:t xml:space="preserve">, Petras RE, Bauer TW, Petrini JL. Gastric antral vascular ectasia. A histologic and morphometric study of "the watermelon stomach". </w:t>
      </w:r>
      <w:r w:rsidRPr="0062622A">
        <w:rPr>
          <w:rFonts w:ascii="Book Antiqua" w:eastAsia="宋体" w:hAnsi="Book Antiqua" w:cs="Times New Roman"/>
          <w:i/>
          <w:sz w:val="24"/>
          <w:szCs w:val="24"/>
          <w:lang w:val="fr-FR" w:eastAsia="fr-FR"/>
        </w:rPr>
        <w:t>Am J Surg Pathol</w:t>
      </w:r>
      <w:r w:rsidRPr="0062622A">
        <w:rPr>
          <w:rFonts w:ascii="Book Antiqua" w:eastAsia="宋体" w:hAnsi="Book Antiqua" w:cs="Times New Roman"/>
          <w:sz w:val="24"/>
          <w:szCs w:val="24"/>
          <w:lang w:val="fr-FR" w:eastAsia="fr-FR"/>
        </w:rPr>
        <w:t xml:space="preserve"> 1987; </w:t>
      </w:r>
      <w:r w:rsidRPr="0062622A">
        <w:rPr>
          <w:rFonts w:ascii="Book Antiqua" w:eastAsia="宋体" w:hAnsi="Book Antiqua" w:cs="Times New Roman"/>
          <w:b/>
          <w:sz w:val="24"/>
          <w:szCs w:val="24"/>
          <w:lang w:val="fr-FR" w:eastAsia="fr-FR"/>
        </w:rPr>
        <w:t>11</w:t>
      </w:r>
      <w:r w:rsidRPr="0062622A">
        <w:rPr>
          <w:rFonts w:ascii="Book Antiqua" w:eastAsia="宋体" w:hAnsi="Book Antiqua" w:cs="Times New Roman"/>
          <w:sz w:val="24"/>
          <w:szCs w:val="24"/>
          <w:lang w:val="fr-FR" w:eastAsia="fr-FR"/>
        </w:rPr>
        <w:t>:</w:t>
      </w:r>
      <w:r w:rsidRPr="0062622A">
        <w:rPr>
          <w:rFonts w:ascii="Book Antiqua" w:eastAsia="宋体" w:hAnsi="Book Antiqua" w:cs="Times New Roman" w:hint="eastAsia"/>
          <w:sz w:val="24"/>
          <w:szCs w:val="24"/>
          <w:lang w:val="fr-FR" w:eastAsia="zh-CN"/>
        </w:rPr>
        <w:t xml:space="preserve"> </w:t>
      </w:r>
      <w:r w:rsidRPr="0062622A">
        <w:rPr>
          <w:rFonts w:ascii="Book Antiqua" w:eastAsia="宋体" w:hAnsi="Book Antiqua" w:cs="Times New Roman"/>
          <w:sz w:val="24"/>
          <w:szCs w:val="24"/>
          <w:lang w:val="fr-FR" w:eastAsia="fr-FR"/>
        </w:rPr>
        <w:t>750-</w:t>
      </w:r>
      <w:r w:rsidRPr="0062622A">
        <w:rPr>
          <w:rFonts w:ascii="Book Antiqua" w:eastAsia="宋体" w:hAnsi="Book Antiqua" w:cs="Times New Roman" w:hint="eastAsia"/>
          <w:sz w:val="24"/>
          <w:szCs w:val="24"/>
          <w:lang w:val="fr-FR" w:eastAsia="zh-CN"/>
        </w:rPr>
        <w:t>75</w:t>
      </w:r>
      <w:r w:rsidRPr="0062622A">
        <w:rPr>
          <w:rFonts w:ascii="Book Antiqua" w:eastAsia="宋体" w:hAnsi="Book Antiqua" w:cs="Times New Roman"/>
          <w:sz w:val="24"/>
          <w:szCs w:val="24"/>
          <w:lang w:val="fr-FR" w:eastAsia="fr-FR"/>
        </w:rPr>
        <w:t>7[PMID: 3499091]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216 </w:t>
      </w:r>
      <w:r w:rsidRPr="0062622A">
        <w:rPr>
          <w:rFonts w:ascii="Book Antiqua" w:eastAsia="宋体" w:hAnsi="Book Antiqua" w:cs="Times New Roman"/>
          <w:b/>
          <w:bCs/>
          <w:sz w:val="24"/>
          <w:szCs w:val="24"/>
          <w:lang w:eastAsia="zh-CN"/>
        </w:rPr>
        <w:t>Kar P</w:t>
      </w:r>
      <w:r w:rsidRPr="0062622A">
        <w:rPr>
          <w:rFonts w:ascii="Book Antiqua" w:eastAsia="宋体" w:hAnsi="Book Antiqua" w:cs="Times New Roman"/>
          <w:sz w:val="24"/>
          <w:szCs w:val="24"/>
          <w:lang w:eastAsia="zh-CN"/>
        </w:rPr>
        <w:t>, Mitra S, Resnick JM, Torbey CF. Gastric antral vascular ectasia: case report and review of the literature. </w:t>
      </w:r>
      <w:r w:rsidRPr="0062622A">
        <w:rPr>
          <w:rFonts w:ascii="Book Antiqua" w:eastAsia="宋体" w:hAnsi="Book Antiqua" w:cs="Times New Roman"/>
          <w:i/>
          <w:iCs/>
          <w:sz w:val="24"/>
          <w:szCs w:val="24"/>
          <w:lang w:eastAsia="zh-CN"/>
        </w:rPr>
        <w:t>Clin Med Res</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11</w:t>
      </w:r>
      <w:r w:rsidRPr="0062622A">
        <w:rPr>
          <w:rFonts w:ascii="Book Antiqua" w:eastAsia="宋体" w:hAnsi="Book Antiqua" w:cs="Times New Roman"/>
          <w:sz w:val="24"/>
          <w:szCs w:val="24"/>
          <w:lang w:eastAsia="zh-CN"/>
        </w:rPr>
        <w:t>: 80-85 [PMID: 23262190 DOI: 10.3121/cmr.2012.1036]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217 </w:t>
      </w:r>
      <w:r w:rsidRPr="0062622A">
        <w:rPr>
          <w:rFonts w:ascii="Book Antiqua" w:eastAsia="宋体" w:hAnsi="Book Antiqua" w:cs="Times New Roman"/>
          <w:b/>
          <w:bCs/>
          <w:sz w:val="24"/>
          <w:szCs w:val="24"/>
          <w:lang w:eastAsia="zh-CN"/>
        </w:rPr>
        <w:t>Gostout CJ</w:t>
      </w:r>
      <w:r w:rsidRPr="0062622A">
        <w:rPr>
          <w:rFonts w:ascii="Book Antiqua" w:eastAsia="宋体" w:hAnsi="Book Antiqua" w:cs="Times New Roman"/>
          <w:sz w:val="24"/>
          <w:szCs w:val="24"/>
          <w:lang w:eastAsia="zh-CN"/>
        </w:rPr>
        <w:t>, Viggiano TR, Balm RK. Acute gastrointestinal bleeding from portal hypertensive gastropathy: prevalence and clinical features.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1993; </w:t>
      </w:r>
      <w:r w:rsidRPr="0062622A">
        <w:rPr>
          <w:rFonts w:ascii="Book Antiqua" w:eastAsia="宋体" w:hAnsi="Book Antiqua" w:cs="Times New Roman"/>
          <w:b/>
          <w:bCs/>
          <w:sz w:val="24"/>
          <w:szCs w:val="24"/>
          <w:lang w:eastAsia="zh-CN"/>
        </w:rPr>
        <w:t>88</w:t>
      </w:r>
      <w:r w:rsidRPr="0062622A">
        <w:rPr>
          <w:rFonts w:ascii="Book Antiqua" w:eastAsia="宋体" w:hAnsi="Book Antiqua" w:cs="Times New Roman"/>
          <w:sz w:val="24"/>
          <w:szCs w:val="24"/>
          <w:lang w:eastAsia="zh-CN"/>
        </w:rPr>
        <w:t>: 2030-2033 [PMID: 8249969]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218 </w:t>
      </w:r>
      <w:r w:rsidRPr="0062622A">
        <w:rPr>
          <w:rFonts w:ascii="Book Antiqua" w:eastAsia="宋体" w:hAnsi="Book Antiqua" w:cs="Times New Roman"/>
          <w:b/>
          <w:bCs/>
          <w:sz w:val="24"/>
          <w:szCs w:val="24"/>
          <w:lang w:eastAsia="zh-CN"/>
        </w:rPr>
        <w:t>Kimura K</w:t>
      </w:r>
      <w:r w:rsidRPr="0062622A">
        <w:rPr>
          <w:rFonts w:ascii="Book Antiqua" w:eastAsia="宋体" w:hAnsi="Book Antiqua" w:cs="Times New Roman"/>
          <w:sz w:val="24"/>
          <w:szCs w:val="24"/>
          <w:lang w:eastAsia="zh-CN"/>
        </w:rPr>
        <w:t>, Ikegami T, Bekki Y, Ninomiya M, Yamashita Y, Yoshizumi T, Yoshiya S, Soejima Y, Harada N, Shirabe K, Maehara Y. Clinical significance of gastrointestinal bleeding after living donor liver transplantation. </w:t>
      </w:r>
      <w:r w:rsidRPr="0062622A">
        <w:rPr>
          <w:rFonts w:ascii="Book Antiqua" w:eastAsia="宋体" w:hAnsi="Book Antiqua" w:cs="Times New Roman"/>
          <w:i/>
          <w:iCs/>
          <w:sz w:val="24"/>
          <w:szCs w:val="24"/>
          <w:lang w:eastAsia="zh-CN"/>
        </w:rPr>
        <w:t>Transpl Int</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27</w:t>
      </w:r>
      <w:r w:rsidRPr="0062622A">
        <w:rPr>
          <w:rFonts w:ascii="Book Antiqua" w:eastAsia="宋体" w:hAnsi="Book Antiqua" w:cs="Times New Roman"/>
          <w:sz w:val="24"/>
          <w:szCs w:val="24"/>
          <w:lang w:eastAsia="zh-CN"/>
        </w:rPr>
        <w:t>: 705-711 [PMID: 24673842 DOI: 10.1111/tri.12325]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219 </w:t>
      </w:r>
      <w:r w:rsidRPr="0062622A">
        <w:rPr>
          <w:rFonts w:ascii="Book Antiqua" w:eastAsia="宋体" w:hAnsi="Book Antiqua" w:cs="Times New Roman"/>
          <w:b/>
          <w:bCs/>
          <w:sz w:val="24"/>
          <w:szCs w:val="24"/>
          <w:lang w:eastAsia="zh-CN"/>
        </w:rPr>
        <w:t>Kotzampassi K</w:t>
      </w:r>
      <w:r w:rsidRPr="0062622A">
        <w:rPr>
          <w:rFonts w:ascii="Book Antiqua" w:eastAsia="宋体" w:hAnsi="Book Antiqua" w:cs="Times New Roman"/>
          <w:sz w:val="24"/>
          <w:szCs w:val="24"/>
          <w:lang w:eastAsia="zh-CN"/>
        </w:rPr>
        <w:t>, Eleftheriadis E, Aletras H. The 'mosaic-like' pattern of portal hypertensive gastric mucosa after variceal eradication by sclerotherapy.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1990</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5</w:t>
      </w:r>
      <w:r w:rsidRPr="0062622A">
        <w:rPr>
          <w:rFonts w:ascii="Book Antiqua" w:eastAsia="宋体" w:hAnsi="Book Antiqua" w:cs="Times New Roman"/>
          <w:sz w:val="24"/>
          <w:szCs w:val="24"/>
          <w:lang w:eastAsia="zh-CN"/>
        </w:rPr>
        <w:t>: 659-663 [PMID: 2129836]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220 </w:t>
      </w:r>
      <w:r w:rsidRPr="0062622A">
        <w:rPr>
          <w:rFonts w:ascii="Book Antiqua" w:eastAsia="宋体" w:hAnsi="Book Antiqua" w:cs="Times New Roman"/>
          <w:b/>
          <w:bCs/>
          <w:sz w:val="24"/>
          <w:szCs w:val="24"/>
          <w:lang w:eastAsia="zh-CN"/>
        </w:rPr>
        <w:t>Qamar AA</w:t>
      </w:r>
      <w:r w:rsidRPr="0062622A">
        <w:rPr>
          <w:rFonts w:ascii="Book Antiqua" w:eastAsia="宋体" w:hAnsi="Book Antiqua" w:cs="Times New Roman"/>
          <w:sz w:val="24"/>
          <w:szCs w:val="24"/>
          <w:lang w:eastAsia="zh-CN"/>
        </w:rPr>
        <w:t>, Grace ND, Groszmann RJ, Garcia-Tsao G, Bosch J, Burroughs AK, Ripoll C, Maurer R, Planas R, Escorsell A, Garcia-Pagan JC, Patch D, Matloff DS, Makuch R, Rendon G. Incidence, prevalence, and clinical significance of abnormal hematologic indices in compensated cirrhosis. </w:t>
      </w:r>
      <w:r w:rsidRPr="0062622A">
        <w:rPr>
          <w:rFonts w:ascii="Book Antiqua" w:eastAsia="宋体" w:hAnsi="Book Antiqua" w:cs="Times New Roman"/>
          <w:i/>
          <w:iCs/>
          <w:sz w:val="24"/>
          <w:szCs w:val="24"/>
          <w:lang w:eastAsia="zh-CN"/>
        </w:rPr>
        <w:t>Clin Gastroenterol Hepatol</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7</w:t>
      </w:r>
      <w:r w:rsidRPr="0062622A">
        <w:rPr>
          <w:rFonts w:ascii="Book Antiqua" w:eastAsia="宋体" w:hAnsi="Book Antiqua" w:cs="Times New Roman"/>
          <w:sz w:val="24"/>
          <w:szCs w:val="24"/>
          <w:lang w:eastAsia="zh-CN"/>
        </w:rPr>
        <w:t>: 689-695 [PMID: 19281860 DOI: 10.1016/j.cgh.2009.02.021]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221 </w:t>
      </w:r>
      <w:r w:rsidRPr="0062622A">
        <w:rPr>
          <w:rFonts w:ascii="Book Antiqua" w:eastAsia="宋体" w:hAnsi="Book Antiqua" w:cs="Times New Roman"/>
          <w:b/>
          <w:bCs/>
          <w:sz w:val="24"/>
          <w:szCs w:val="24"/>
          <w:lang w:eastAsia="zh-CN"/>
        </w:rPr>
        <w:t>Mathurin SA</w:t>
      </w:r>
      <w:r w:rsidRPr="0062622A">
        <w:rPr>
          <w:rFonts w:ascii="Book Antiqua" w:eastAsia="宋体" w:hAnsi="Book Antiqua" w:cs="Times New Roman"/>
          <w:sz w:val="24"/>
          <w:szCs w:val="24"/>
          <w:lang w:eastAsia="zh-CN"/>
        </w:rPr>
        <w:t>, Agüero AP, Dascani NA, Prestera JA, Gianserra C, Londero E, Chiorra C. [Anemia in hospitalized patients with cirrhosis: prevalence, clinical relevance and predictive factors]. </w:t>
      </w:r>
      <w:r w:rsidRPr="0062622A">
        <w:rPr>
          <w:rFonts w:ascii="Book Antiqua" w:eastAsia="宋体" w:hAnsi="Book Antiqua" w:cs="Times New Roman"/>
          <w:i/>
          <w:iCs/>
          <w:sz w:val="24"/>
          <w:szCs w:val="24"/>
          <w:lang w:eastAsia="zh-CN"/>
        </w:rPr>
        <w:t>Acta Gastroenterol Latinoam</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b/>
          <w:bCs/>
          <w:sz w:val="24"/>
          <w:szCs w:val="24"/>
          <w:lang w:eastAsia="zh-CN"/>
        </w:rPr>
        <w:t>39</w:t>
      </w:r>
      <w:r w:rsidRPr="0062622A">
        <w:rPr>
          <w:rFonts w:ascii="Book Antiqua" w:eastAsia="宋体" w:hAnsi="Book Antiqua" w:cs="Times New Roman"/>
          <w:sz w:val="24"/>
          <w:szCs w:val="24"/>
          <w:lang w:eastAsia="zh-CN"/>
        </w:rPr>
        <w:t>: 103-111 [PMID: 19663083]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222 </w:t>
      </w:r>
      <w:r w:rsidRPr="0062622A">
        <w:rPr>
          <w:rFonts w:ascii="Book Antiqua" w:eastAsia="宋体" w:hAnsi="Book Antiqua" w:cs="Times New Roman"/>
          <w:b/>
          <w:bCs/>
          <w:sz w:val="24"/>
          <w:szCs w:val="24"/>
          <w:lang w:eastAsia="zh-CN"/>
        </w:rPr>
        <w:t>Pagliaro L</w:t>
      </w:r>
      <w:r w:rsidRPr="0062622A">
        <w:rPr>
          <w:rFonts w:ascii="Book Antiqua" w:eastAsia="宋体" w:hAnsi="Book Antiqua" w:cs="Times New Roman"/>
          <w:sz w:val="24"/>
          <w:szCs w:val="24"/>
          <w:lang w:eastAsia="zh-CN"/>
        </w:rPr>
        <w:t>. Lebrec D, Poynard T, Hillon P, Benhamou J-P. Propranolol for prevention of recurrent gastrointestinal bleeding in patients with cirrhosis. A controlled study [N Engl J Med 1981; 305: 1371-1374].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36</w:t>
      </w:r>
      <w:r w:rsidRPr="0062622A">
        <w:rPr>
          <w:rFonts w:ascii="Book Antiqua" w:eastAsia="宋体" w:hAnsi="Book Antiqua" w:cs="Times New Roman"/>
          <w:sz w:val="24"/>
          <w:szCs w:val="24"/>
          <w:lang w:eastAsia="zh-CN"/>
        </w:rPr>
        <w:t>: 148-150 [PMID: 11830324]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223 </w:t>
      </w:r>
      <w:r w:rsidRPr="0062622A">
        <w:rPr>
          <w:rFonts w:ascii="Book Antiqua" w:eastAsia="宋体" w:hAnsi="Book Antiqua" w:cs="Times New Roman"/>
          <w:b/>
          <w:bCs/>
          <w:sz w:val="24"/>
          <w:szCs w:val="24"/>
          <w:lang w:eastAsia="zh-CN"/>
        </w:rPr>
        <w:t>Panés J</w:t>
      </w:r>
      <w:r w:rsidRPr="0062622A">
        <w:rPr>
          <w:rFonts w:ascii="Book Antiqua" w:eastAsia="宋体" w:hAnsi="Book Antiqua" w:cs="Times New Roman"/>
          <w:sz w:val="24"/>
          <w:szCs w:val="24"/>
          <w:lang w:eastAsia="zh-CN"/>
        </w:rPr>
        <w:t>, Bordas JM, Piqué JM, García-Pagán JC, Feu F, Terés J, Bosch J, Rodés J. Effects of propranolol on gastric mucosal perfusion in cirrhotic patients with portal hypertensive gastropathy.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1993; </w:t>
      </w:r>
      <w:r w:rsidRPr="0062622A">
        <w:rPr>
          <w:rFonts w:ascii="Book Antiqua" w:eastAsia="宋体" w:hAnsi="Book Antiqua" w:cs="Times New Roman"/>
          <w:b/>
          <w:bCs/>
          <w:sz w:val="24"/>
          <w:szCs w:val="24"/>
          <w:lang w:eastAsia="zh-CN"/>
        </w:rPr>
        <w:t>17</w:t>
      </w:r>
      <w:r w:rsidRPr="0062622A">
        <w:rPr>
          <w:rFonts w:ascii="Book Antiqua" w:eastAsia="宋体" w:hAnsi="Book Antiqua" w:cs="Times New Roman"/>
          <w:sz w:val="24"/>
          <w:szCs w:val="24"/>
          <w:lang w:eastAsia="zh-CN"/>
        </w:rPr>
        <w:t>: 213-218 [PMID: 8428718]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224 </w:t>
      </w:r>
      <w:r w:rsidRPr="0062622A">
        <w:rPr>
          <w:rFonts w:ascii="Book Antiqua" w:eastAsia="宋体" w:hAnsi="Book Antiqua" w:cs="Times New Roman"/>
          <w:b/>
          <w:bCs/>
          <w:sz w:val="24"/>
          <w:szCs w:val="24"/>
          <w:lang w:eastAsia="zh-CN"/>
        </w:rPr>
        <w:t>Triantos C</w:t>
      </w:r>
      <w:r w:rsidRPr="0062622A">
        <w:rPr>
          <w:rFonts w:ascii="Book Antiqua" w:eastAsia="宋体" w:hAnsi="Book Antiqua" w:cs="Times New Roman"/>
          <w:sz w:val="24"/>
          <w:szCs w:val="24"/>
          <w:lang w:eastAsia="zh-CN"/>
        </w:rPr>
        <w:t>, Kalafateli M. Primary prevention of bleeding from esophageal varices in patients with liver cirrhosis. </w:t>
      </w:r>
      <w:r w:rsidRPr="0062622A">
        <w:rPr>
          <w:rFonts w:ascii="Book Antiqua" w:eastAsia="宋体" w:hAnsi="Book Antiqua" w:cs="Times New Roman"/>
          <w:i/>
          <w:iCs/>
          <w:sz w:val="24"/>
          <w:szCs w:val="24"/>
          <w:lang w:eastAsia="zh-CN"/>
        </w:rPr>
        <w:t>World J Hepatol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6</w:t>
      </w:r>
      <w:r w:rsidRPr="0062622A">
        <w:rPr>
          <w:rFonts w:ascii="Book Antiqua" w:eastAsia="宋体" w:hAnsi="Book Antiqua" w:cs="Times New Roman"/>
          <w:sz w:val="24"/>
          <w:szCs w:val="24"/>
          <w:lang w:eastAsia="zh-CN"/>
        </w:rPr>
        <w:t>: 363-369 [PMID: 25018847 DOI: 10.4254/wjh.v6.i6.363]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225 </w:t>
      </w:r>
      <w:r w:rsidRPr="0062622A">
        <w:rPr>
          <w:rFonts w:ascii="Book Antiqua" w:eastAsia="宋体" w:hAnsi="Book Antiqua" w:cs="Times New Roman"/>
          <w:b/>
          <w:bCs/>
          <w:sz w:val="24"/>
          <w:szCs w:val="24"/>
          <w:lang w:eastAsia="zh-CN"/>
        </w:rPr>
        <w:t>Lebrec D</w:t>
      </w:r>
      <w:r w:rsidRPr="0062622A">
        <w:rPr>
          <w:rFonts w:ascii="Book Antiqua" w:eastAsia="宋体" w:hAnsi="Book Antiqua" w:cs="Times New Roman"/>
          <w:sz w:val="24"/>
          <w:szCs w:val="24"/>
          <w:lang w:eastAsia="zh-CN"/>
        </w:rPr>
        <w:t>, Poynard T, Hillon P, Benhamou JP. Propranolol for prevention of recurrent gastrointestinal bleeding in patients with cirrhosis: a controlled study. </w:t>
      </w:r>
      <w:r w:rsidRPr="0062622A">
        <w:rPr>
          <w:rFonts w:ascii="Book Antiqua" w:eastAsia="宋体" w:hAnsi="Book Antiqua" w:cs="Times New Roman"/>
          <w:i/>
          <w:iCs/>
          <w:sz w:val="24"/>
          <w:szCs w:val="24"/>
          <w:lang w:eastAsia="zh-CN"/>
        </w:rPr>
        <w:t>N Engl J Med</w:t>
      </w:r>
      <w:r w:rsidRPr="0062622A">
        <w:rPr>
          <w:rFonts w:ascii="Book Antiqua" w:eastAsia="宋体" w:hAnsi="Book Antiqua" w:cs="Times New Roman"/>
          <w:sz w:val="24"/>
          <w:szCs w:val="24"/>
          <w:lang w:eastAsia="zh-CN"/>
        </w:rPr>
        <w:t> 1981; </w:t>
      </w:r>
      <w:r w:rsidRPr="0062622A">
        <w:rPr>
          <w:rFonts w:ascii="Book Antiqua" w:eastAsia="宋体" w:hAnsi="Book Antiqua" w:cs="Times New Roman"/>
          <w:b/>
          <w:bCs/>
          <w:sz w:val="24"/>
          <w:szCs w:val="24"/>
          <w:lang w:eastAsia="zh-CN"/>
        </w:rPr>
        <w:t>305</w:t>
      </w:r>
      <w:r w:rsidRPr="0062622A">
        <w:rPr>
          <w:rFonts w:ascii="Book Antiqua" w:eastAsia="宋体" w:hAnsi="Book Antiqua" w:cs="Times New Roman"/>
          <w:sz w:val="24"/>
          <w:szCs w:val="24"/>
          <w:lang w:eastAsia="zh-CN"/>
        </w:rPr>
        <w:t>: 1371-1374 [PMID: 7029276]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226 </w:t>
      </w:r>
      <w:r w:rsidRPr="0062622A">
        <w:rPr>
          <w:rFonts w:ascii="Book Antiqua" w:eastAsia="宋体" w:hAnsi="Book Antiqua" w:cs="Times New Roman"/>
          <w:b/>
          <w:bCs/>
          <w:sz w:val="24"/>
          <w:szCs w:val="24"/>
          <w:lang w:eastAsia="zh-CN"/>
        </w:rPr>
        <w:t>Merkel C</w:t>
      </w:r>
      <w:r w:rsidRPr="0062622A">
        <w:rPr>
          <w:rFonts w:ascii="Book Antiqua" w:eastAsia="宋体" w:hAnsi="Book Antiqua" w:cs="Times New Roman"/>
          <w:sz w:val="24"/>
          <w:szCs w:val="24"/>
          <w:lang w:eastAsia="zh-CN"/>
        </w:rPr>
        <w:t>, Marin R, Sacerdoti D, Donada C, Cavallarin G, Torboli P, Amodio P, Sebastianelli G, Bolognesi M, Felder M, Mazzaro C, Gatta A. Long-term results of a clinical trial of nadolol with or without isosorbide mononitrate for primary prophylaxis of variceal bleeding in cirrhosis.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2000; </w:t>
      </w:r>
      <w:r w:rsidRPr="0062622A">
        <w:rPr>
          <w:rFonts w:ascii="Book Antiqua" w:eastAsia="宋体" w:hAnsi="Book Antiqua" w:cs="Times New Roman"/>
          <w:b/>
          <w:bCs/>
          <w:sz w:val="24"/>
          <w:szCs w:val="24"/>
          <w:lang w:eastAsia="zh-CN"/>
        </w:rPr>
        <w:t>31</w:t>
      </w:r>
      <w:r w:rsidRPr="0062622A">
        <w:rPr>
          <w:rFonts w:ascii="Book Antiqua" w:eastAsia="宋体" w:hAnsi="Book Antiqua" w:cs="Times New Roman"/>
          <w:sz w:val="24"/>
          <w:szCs w:val="24"/>
          <w:lang w:eastAsia="zh-CN"/>
        </w:rPr>
        <w:t>: 324-329 [PMID: 10655253]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227 </w:t>
      </w:r>
      <w:r w:rsidRPr="0062622A">
        <w:rPr>
          <w:rFonts w:ascii="Book Antiqua" w:eastAsia="宋体" w:hAnsi="Book Antiqua" w:cs="Times New Roman"/>
          <w:b/>
          <w:bCs/>
          <w:sz w:val="24"/>
          <w:szCs w:val="24"/>
          <w:lang w:eastAsia="zh-CN"/>
        </w:rPr>
        <w:t>Abid S</w:t>
      </w:r>
      <w:r w:rsidRPr="0062622A">
        <w:rPr>
          <w:rFonts w:ascii="Book Antiqua" w:eastAsia="宋体" w:hAnsi="Book Antiqua" w:cs="Times New Roman"/>
          <w:sz w:val="24"/>
          <w:szCs w:val="24"/>
          <w:lang w:eastAsia="zh-CN"/>
        </w:rPr>
        <w:t>, Ali S, Baig MA, Waheed AA. Is it time to replace propranolol with carvedilol for portal hypertension? </w:t>
      </w:r>
      <w:r w:rsidRPr="0062622A">
        <w:rPr>
          <w:rFonts w:ascii="Book Antiqua" w:eastAsia="宋体" w:hAnsi="Book Antiqua" w:cs="Times New Roman"/>
          <w:i/>
          <w:iCs/>
          <w:sz w:val="24"/>
          <w:szCs w:val="24"/>
          <w:lang w:eastAsia="zh-CN"/>
        </w:rPr>
        <w:t>World J Gastrointest Endosc</w:t>
      </w:r>
      <w:r w:rsidRPr="0062622A">
        <w:rPr>
          <w:rFonts w:ascii="Book Antiqua" w:eastAsia="宋体" w:hAnsi="Book Antiqua" w:cs="Times New Roman"/>
          <w:sz w:val="24"/>
          <w:szCs w:val="24"/>
          <w:lang w:eastAsia="zh-CN"/>
        </w:rPr>
        <w:t> 2015; </w:t>
      </w:r>
      <w:r w:rsidRPr="0062622A">
        <w:rPr>
          <w:rFonts w:ascii="Book Antiqua" w:eastAsia="宋体" w:hAnsi="Book Antiqua" w:cs="Times New Roman"/>
          <w:b/>
          <w:bCs/>
          <w:sz w:val="24"/>
          <w:szCs w:val="24"/>
          <w:lang w:eastAsia="zh-CN"/>
        </w:rPr>
        <w:t>7</w:t>
      </w:r>
      <w:r w:rsidRPr="0062622A">
        <w:rPr>
          <w:rFonts w:ascii="Book Antiqua" w:eastAsia="宋体" w:hAnsi="Book Antiqua" w:cs="Times New Roman"/>
          <w:sz w:val="24"/>
          <w:szCs w:val="24"/>
          <w:lang w:eastAsia="zh-CN"/>
        </w:rPr>
        <w:t>: 532-539 [PMID: 25992192 DOI: 10.4253/wjge.v7.i5.532]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228 </w:t>
      </w:r>
      <w:r w:rsidRPr="0062622A">
        <w:rPr>
          <w:rFonts w:ascii="Book Antiqua" w:eastAsia="宋体" w:hAnsi="Book Antiqua" w:cs="Times New Roman"/>
          <w:b/>
          <w:bCs/>
          <w:sz w:val="24"/>
          <w:szCs w:val="24"/>
          <w:lang w:eastAsia="zh-CN"/>
        </w:rPr>
        <w:t>Chan CC</w:t>
      </w:r>
      <w:r w:rsidRPr="0062622A">
        <w:rPr>
          <w:rFonts w:ascii="Book Antiqua" w:eastAsia="宋体" w:hAnsi="Book Antiqua" w:cs="Times New Roman"/>
          <w:sz w:val="24"/>
          <w:szCs w:val="24"/>
          <w:lang w:eastAsia="zh-CN"/>
        </w:rPr>
        <w:t>, Lee FY, Wang SS, Chang FY, Lin HC, Lin HJ, Chu CJ, Wu SL, Tai CC, Lee SD. Chronic administration of octreotide ameliorates portal hypertension and portal hypertensive gastropathy in rats with cirrhosis. </w:t>
      </w:r>
      <w:r w:rsidRPr="0062622A">
        <w:rPr>
          <w:rFonts w:ascii="Book Antiqua" w:eastAsia="宋体" w:hAnsi="Book Antiqua" w:cs="Times New Roman"/>
          <w:i/>
          <w:iCs/>
          <w:sz w:val="24"/>
          <w:szCs w:val="24"/>
          <w:lang w:eastAsia="zh-CN"/>
        </w:rPr>
        <w:t>Clin Sci (Lond)</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94</w:t>
      </w:r>
      <w:r w:rsidRPr="0062622A">
        <w:rPr>
          <w:rFonts w:ascii="Book Antiqua" w:eastAsia="宋体" w:hAnsi="Book Antiqua" w:cs="Times New Roman"/>
          <w:sz w:val="24"/>
          <w:szCs w:val="24"/>
          <w:lang w:eastAsia="zh-CN"/>
        </w:rPr>
        <w:t>: 367-371 [PMID: 9640342]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229 </w:t>
      </w:r>
      <w:r w:rsidRPr="0062622A">
        <w:rPr>
          <w:rFonts w:ascii="Book Antiqua" w:eastAsia="宋体" w:hAnsi="Book Antiqua" w:cs="Times New Roman"/>
          <w:b/>
          <w:bCs/>
          <w:sz w:val="24"/>
          <w:szCs w:val="24"/>
          <w:lang w:eastAsia="zh-CN"/>
        </w:rPr>
        <w:t>Li MK</w:t>
      </w:r>
      <w:r w:rsidRPr="0062622A">
        <w:rPr>
          <w:rFonts w:ascii="Book Antiqua" w:eastAsia="宋体" w:hAnsi="Book Antiqua" w:cs="Times New Roman"/>
          <w:sz w:val="24"/>
          <w:szCs w:val="24"/>
          <w:lang w:eastAsia="zh-CN"/>
        </w:rPr>
        <w:t>, Sung JJ, Woo KS, Sanderson J, Leung NW, Yu LM, Tsui CP, Chung SC, Leung FW. Somatostatin reduces gastric mucosal blood flow in patients with portal hypertensive gastropathy: a randomized, double-blind crossover study.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41</w:t>
      </w:r>
      <w:r w:rsidRPr="0062622A">
        <w:rPr>
          <w:rFonts w:ascii="Book Antiqua" w:eastAsia="宋体" w:hAnsi="Book Antiqua" w:cs="Times New Roman"/>
          <w:sz w:val="24"/>
          <w:szCs w:val="24"/>
          <w:lang w:eastAsia="zh-CN"/>
        </w:rPr>
        <w:t>: 2440-2446 [PMID: 9011455]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230 </w:t>
      </w:r>
      <w:r w:rsidRPr="0062622A">
        <w:rPr>
          <w:rFonts w:ascii="Book Antiqua" w:eastAsia="宋体" w:hAnsi="Book Antiqua" w:cs="Times New Roman"/>
          <w:b/>
          <w:bCs/>
          <w:sz w:val="24"/>
          <w:szCs w:val="24"/>
          <w:lang w:eastAsia="zh-CN"/>
        </w:rPr>
        <w:t>Sung JJ</w:t>
      </w:r>
      <w:r w:rsidRPr="0062622A">
        <w:rPr>
          <w:rFonts w:ascii="Book Antiqua" w:eastAsia="宋体" w:hAnsi="Book Antiqua" w:cs="Times New Roman"/>
          <w:sz w:val="24"/>
          <w:szCs w:val="24"/>
          <w:lang w:eastAsia="zh-CN"/>
        </w:rPr>
        <w:t>, Tsui CP, Li MK, Leung FW. Somatostatin attenuates the hyperdynamic circulatory state in the gastric mucosa of rats with portal hypertension. </w:t>
      </w:r>
      <w:r w:rsidRPr="0062622A">
        <w:rPr>
          <w:rFonts w:ascii="Book Antiqua" w:eastAsia="宋体" w:hAnsi="Book Antiqua" w:cs="Times New Roman"/>
          <w:i/>
          <w:iCs/>
          <w:sz w:val="24"/>
          <w:szCs w:val="24"/>
          <w:lang w:eastAsia="zh-CN"/>
        </w:rPr>
        <w:t>Scand J Gastroenterol</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30</w:t>
      </w:r>
      <w:r w:rsidRPr="0062622A">
        <w:rPr>
          <w:rFonts w:ascii="Book Antiqua" w:eastAsia="宋体" w:hAnsi="Book Antiqua" w:cs="Times New Roman"/>
          <w:sz w:val="24"/>
          <w:szCs w:val="24"/>
          <w:lang w:eastAsia="zh-CN"/>
        </w:rPr>
        <w:t>: 921-926 [PMID: 8578194]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231 </w:t>
      </w:r>
      <w:r w:rsidRPr="0062622A">
        <w:rPr>
          <w:rFonts w:ascii="Book Antiqua" w:eastAsia="宋体" w:hAnsi="Book Antiqua" w:cs="Times New Roman"/>
          <w:b/>
          <w:bCs/>
          <w:sz w:val="24"/>
          <w:szCs w:val="24"/>
          <w:lang w:eastAsia="zh-CN"/>
        </w:rPr>
        <w:t>Panés J</w:t>
      </w:r>
      <w:r w:rsidRPr="0062622A">
        <w:rPr>
          <w:rFonts w:ascii="Book Antiqua" w:eastAsia="宋体" w:hAnsi="Book Antiqua" w:cs="Times New Roman"/>
          <w:sz w:val="24"/>
          <w:szCs w:val="24"/>
          <w:lang w:eastAsia="zh-CN"/>
        </w:rPr>
        <w:t>, Piqué JM, Bordas JM, Casadevall M, Terés J, Bosch J, Rodés J. Effect of bolus injection and continuous infusion of somatostatin on gastric perfusion in cirrhotic patients with portal-hypertensive gastropathy.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20</w:t>
      </w:r>
      <w:r w:rsidRPr="0062622A">
        <w:rPr>
          <w:rFonts w:ascii="Book Antiqua" w:eastAsia="宋体" w:hAnsi="Book Antiqua" w:cs="Times New Roman"/>
          <w:sz w:val="24"/>
          <w:szCs w:val="24"/>
          <w:lang w:eastAsia="zh-CN"/>
        </w:rPr>
        <w:t>: 336-341 [PMID: 7913906]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232 </w:t>
      </w:r>
      <w:r w:rsidRPr="0062622A">
        <w:rPr>
          <w:rFonts w:ascii="Book Antiqua" w:eastAsia="宋体" w:hAnsi="Book Antiqua" w:cs="Times New Roman"/>
          <w:b/>
          <w:bCs/>
          <w:sz w:val="24"/>
          <w:szCs w:val="24"/>
          <w:lang w:eastAsia="zh-CN"/>
        </w:rPr>
        <w:t>Escorsell A</w:t>
      </w:r>
      <w:r w:rsidRPr="0062622A">
        <w:rPr>
          <w:rFonts w:ascii="Book Antiqua" w:eastAsia="宋体" w:hAnsi="Book Antiqua" w:cs="Times New Roman"/>
          <w:sz w:val="24"/>
          <w:szCs w:val="24"/>
          <w:lang w:eastAsia="zh-CN"/>
        </w:rPr>
        <w:t>, Bandi JC, Andreu V, Moitinho E, García-Pagán JC, Bosch J, Rodés J. Desensitization to the effects of intravenous octreotide in cirrhotic patients with portal hypertension.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2001; </w:t>
      </w:r>
      <w:r w:rsidRPr="0062622A">
        <w:rPr>
          <w:rFonts w:ascii="Book Antiqua" w:eastAsia="宋体" w:hAnsi="Book Antiqua" w:cs="Times New Roman"/>
          <w:b/>
          <w:bCs/>
          <w:sz w:val="24"/>
          <w:szCs w:val="24"/>
          <w:lang w:eastAsia="zh-CN"/>
        </w:rPr>
        <w:t>120</w:t>
      </w:r>
      <w:r w:rsidRPr="0062622A">
        <w:rPr>
          <w:rFonts w:ascii="Book Antiqua" w:eastAsia="宋体" w:hAnsi="Book Antiqua" w:cs="Times New Roman"/>
          <w:sz w:val="24"/>
          <w:szCs w:val="24"/>
          <w:lang w:eastAsia="zh-CN"/>
        </w:rPr>
        <w:t>: 161-169 [PMID: 11208725]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233 </w:t>
      </w:r>
      <w:r w:rsidRPr="0062622A">
        <w:rPr>
          <w:rFonts w:ascii="Book Antiqua" w:eastAsia="宋体" w:hAnsi="Book Antiqua" w:cs="Times New Roman"/>
          <w:b/>
          <w:bCs/>
          <w:sz w:val="24"/>
          <w:szCs w:val="24"/>
          <w:lang w:eastAsia="zh-CN"/>
        </w:rPr>
        <w:t>Law AW</w:t>
      </w:r>
      <w:r w:rsidRPr="0062622A">
        <w:rPr>
          <w:rFonts w:ascii="Book Antiqua" w:eastAsia="宋体" w:hAnsi="Book Antiqua" w:cs="Times New Roman"/>
          <w:sz w:val="24"/>
          <w:szCs w:val="24"/>
          <w:lang w:eastAsia="zh-CN"/>
        </w:rPr>
        <w:t>, Gales MA. Octreotide or vasopressin for bleeding esophageal varices. </w:t>
      </w:r>
      <w:r w:rsidRPr="0062622A">
        <w:rPr>
          <w:rFonts w:ascii="Book Antiqua" w:eastAsia="宋体" w:hAnsi="Book Antiqua" w:cs="Times New Roman"/>
          <w:i/>
          <w:iCs/>
          <w:sz w:val="24"/>
          <w:szCs w:val="24"/>
          <w:lang w:eastAsia="zh-CN"/>
        </w:rPr>
        <w:t>Ann Pharmacother</w:t>
      </w:r>
      <w:r w:rsidRPr="0062622A">
        <w:rPr>
          <w:rFonts w:ascii="Book Antiqua" w:eastAsia="宋体" w:hAnsi="Book Antiqua" w:cs="Times New Roman"/>
          <w:sz w:val="24"/>
          <w:szCs w:val="24"/>
          <w:lang w:eastAsia="zh-CN"/>
        </w:rPr>
        <w:t> 1997; </w:t>
      </w:r>
      <w:r w:rsidRPr="0062622A">
        <w:rPr>
          <w:rFonts w:ascii="Book Antiqua" w:eastAsia="宋体" w:hAnsi="Book Antiqua" w:cs="Times New Roman"/>
          <w:b/>
          <w:bCs/>
          <w:sz w:val="24"/>
          <w:szCs w:val="24"/>
          <w:lang w:eastAsia="zh-CN"/>
        </w:rPr>
        <w:t>31</w:t>
      </w:r>
      <w:r w:rsidRPr="0062622A">
        <w:rPr>
          <w:rFonts w:ascii="Book Antiqua" w:eastAsia="宋体" w:hAnsi="Book Antiqua" w:cs="Times New Roman"/>
          <w:sz w:val="24"/>
          <w:szCs w:val="24"/>
          <w:lang w:eastAsia="zh-CN"/>
        </w:rPr>
        <w:t>: 237-238 [PMID: 9034426]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234 </w:t>
      </w:r>
      <w:r w:rsidRPr="0062622A">
        <w:rPr>
          <w:rFonts w:ascii="Book Antiqua" w:eastAsia="宋体" w:hAnsi="Book Antiqua" w:cs="Times New Roman"/>
          <w:b/>
          <w:bCs/>
          <w:sz w:val="24"/>
          <w:szCs w:val="24"/>
          <w:lang w:eastAsia="zh-CN"/>
        </w:rPr>
        <w:t>Iwao T</w:t>
      </w:r>
      <w:r w:rsidRPr="0062622A">
        <w:rPr>
          <w:rFonts w:ascii="Book Antiqua" w:eastAsia="宋体" w:hAnsi="Book Antiqua" w:cs="Times New Roman"/>
          <w:sz w:val="24"/>
          <w:szCs w:val="24"/>
          <w:lang w:eastAsia="zh-CN"/>
        </w:rPr>
        <w:t>, Toyonaga A, Shigemori H, Oho K, Sumino M, Sato M, Tanikawa K. Vasopressin plus oxygen vs vasopressin alone in cirrhotic patients with portal-hypertensive gastropathy: effects on gastric mucosal haemodynamics and oxygenation. </w:t>
      </w:r>
      <w:r w:rsidRPr="0062622A">
        <w:rPr>
          <w:rFonts w:ascii="Book Antiqua" w:eastAsia="宋体" w:hAnsi="Book Antiqua" w:cs="Times New Roman"/>
          <w:i/>
          <w:iCs/>
          <w:sz w:val="24"/>
          <w:szCs w:val="24"/>
          <w:lang w:eastAsia="zh-CN"/>
        </w:rPr>
        <w:t>J Gastroenterol Hepatol</w:t>
      </w:r>
      <w:r w:rsidRPr="0062622A">
        <w:rPr>
          <w:rFonts w:ascii="Book Antiqua" w:eastAsia="宋体" w:hAnsi="Book Antiqua" w:cs="Times New Roman"/>
          <w:sz w:val="24"/>
          <w:szCs w:val="24"/>
          <w:lang w:eastAsia="zh-CN"/>
        </w:rPr>
        <w:t> 1996; </w:t>
      </w:r>
      <w:r w:rsidRPr="0062622A">
        <w:rPr>
          <w:rFonts w:ascii="Book Antiqua" w:eastAsia="宋体" w:hAnsi="Book Antiqua" w:cs="Times New Roman"/>
          <w:b/>
          <w:bCs/>
          <w:sz w:val="24"/>
          <w:szCs w:val="24"/>
          <w:lang w:eastAsia="zh-CN"/>
        </w:rPr>
        <w:t>11</w:t>
      </w:r>
      <w:r w:rsidRPr="0062622A">
        <w:rPr>
          <w:rFonts w:ascii="Book Antiqua" w:eastAsia="宋体" w:hAnsi="Book Antiqua" w:cs="Times New Roman"/>
          <w:sz w:val="24"/>
          <w:szCs w:val="24"/>
          <w:lang w:eastAsia="zh-CN"/>
        </w:rPr>
        <w:t>: 216-222 [PMID: 8742916]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235 </w:t>
      </w:r>
      <w:r w:rsidRPr="0062622A">
        <w:rPr>
          <w:rFonts w:ascii="Book Antiqua" w:eastAsia="宋体" w:hAnsi="Book Antiqua" w:cs="Times New Roman"/>
          <w:b/>
          <w:bCs/>
          <w:sz w:val="24"/>
          <w:szCs w:val="24"/>
          <w:lang w:eastAsia="zh-CN"/>
        </w:rPr>
        <w:t>Panés J</w:t>
      </w:r>
      <w:r w:rsidRPr="0062622A">
        <w:rPr>
          <w:rFonts w:ascii="Book Antiqua" w:eastAsia="宋体" w:hAnsi="Book Antiqua" w:cs="Times New Roman"/>
          <w:sz w:val="24"/>
          <w:szCs w:val="24"/>
          <w:lang w:eastAsia="zh-CN"/>
        </w:rPr>
        <w:t>, Piqué JM, Bordas JM, Llach J, Bosch J, Terés J, Rodés J. Reduction of gastric hyperemia by glypressin and vasopressin administration in cirrhotic patients with portal hypertensive gastropathy.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19</w:t>
      </w:r>
      <w:r w:rsidRPr="0062622A">
        <w:rPr>
          <w:rFonts w:ascii="Book Antiqua" w:eastAsia="宋体" w:hAnsi="Book Antiqua" w:cs="Times New Roman"/>
          <w:sz w:val="24"/>
          <w:szCs w:val="24"/>
          <w:lang w:eastAsia="zh-CN"/>
        </w:rPr>
        <w:t>: 55-60 [PMID: 8276367]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236 </w:t>
      </w:r>
      <w:r w:rsidRPr="0062622A">
        <w:rPr>
          <w:rFonts w:ascii="Book Antiqua" w:eastAsia="宋体" w:hAnsi="Book Antiqua" w:cs="Times New Roman"/>
          <w:b/>
          <w:bCs/>
          <w:sz w:val="24"/>
          <w:szCs w:val="24"/>
          <w:lang w:eastAsia="zh-CN"/>
        </w:rPr>
        <w:t>Panés J</w:t>
      </w:r>
      <w:r w:rsidRPr="0062622A">
        <w:rPr>
          <w:rFonts w:ascii="Book Antiqua" w:eastAsia="宋体" w:hAnsi="Book Antiqua" w:cs="Times New Roman"/>
          <w:sz w:val="24"/>
          <w:szCs w:val="24"/>
          <w:lang w:eastAsia="zh-CN"/>
        </w:rPr>
        <w:t>, Casadevall M, Fernández M, Piqué JM, Bosch J, Casamitjana R, Cirera I, Bombí JA, Terés J, Rodés J. Gastric microcirculatory changes of portal-hypertensive rats can be attenuated by long-term estrogen-progestagen treatment.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1994; </w:t>
      </w:r>
      <w:r w:rsidRPr="0062622A">
        <w:rPr>
          <w:rFonts w:ascii="Book Antiqua" w:eastAsia="宋体" w:hAnsi="Book Antiqua" w:cs="Times New Roman"/>
          <w:b/>
          <w:bCs/>
          <w:sz w:val="24"/>
          <w:szCs w:val="24"/>
          <w:lang w:eastAsia="zh-CN"/>
        </w:rPr>
        <w:t>20</w:t>
      </w:r>
      <w:r w:rsidRPr="0062622A">
        <w:rPr>
          <w:rFonts w:ascii="Book Antiqua" w:eastAsia="宋体" w:hAnsi="Book Antiqua" w:cs="Times New Roman"/>
          <w:sz w:val="24"/>
          <w:szCs w:val="24"/>
          <w:lang w:eastAsia="zh-CN"/>
        </w:rPr>
        <w:t>: 1261-1270 [PMID: 7927261]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237 </w:t>
      </w:r>
      <w:r w:rsidRPr="0062622A">
        <w:rPr>
          <w:rFonts w:ascii="Book Antiqua" w:eastAsia="宋体" w:hAnsi="Book Antiqua" w:cs="Times New Roman"/>
          <w:b/>
          <w:bCs/>
          <w:sz w:val="24"/>
          <w:szCs w:val="24"/>
          <w:lang w:eastAsia="zh-CN"/>
        </w:rPr>
        <w:t>Karajeh MA</w:t>
      </w:r>
      <w:r w:rsidRPr="0062622A">
        <w:rPr>
          <w:rFonts w:ascii="Book Antiqua" w:eastAsia="宋体" w:hAnsi="Book Antiqua" w:cs="Times New Roman"/>
          <w:sz w:val="24"/>
          <w:szCs w:val="24"/>
          <w:lang w:eastAsia="zh-CN"/>
        </w:rPr>
        <w:t>, Hurlstone DP, Stephenson TJ, Ray-Chaudhuri D, Gleeson DC. Refractory bleeding from portal hypertensive gastropathy: a further novel role for thalidomide therapy? </w:t>
      </w:r>
      <w:r w:rsidRPr="0062622A">
        <w:rPr>
          <w:rFonts w:ascii="Book Antiqua" w:eastAsia="宋体" w:hAnsi="Book Antiqua" w:cs="Times New Roman"/>
          <w:i/>
          <w:iCs/>
          <w:sz w:val="24"/>
          <w:szCs w:val="24"/>
          <w:lang w:eastAsia="zh-CN"/>
        </w:rPr>
        <w:t>Eur J Gastroenterol Hepatol</w:t>
      </w:r>
      <w:r w:rsidRPr="0062622A">
        <w:rPr>
          <w:rFonts w:ascii="Book Antiqua" w:eastAsia="宋体" w:hAnsi="Book Antiqua" w:cs="Times New Roman"/>
          <w:sz w:val="24"/>
          <w:szCs w:val="24"/>
          <w:lang w:eastAsia="zh-CN"/>
        </w:rPr>
        <w:t> 2006; </w:t>
      </w:r>
      <w:r w:rsidRPr="0062622A">
        <w:rPr>
          <w:rFonts w:ascii="Book Antiqua" w:eastAsia="宋体" w:hAnsi="Book Antiqua" w:cs="Times New Roman"/>
          <w:b/>
          <w:bCs/>
          <w:sz w:val="24"/>
          <w:szCs w:val="24"/>
          <w:lang w:eastAsia="zh-CN"/>
        </w:rPr>
        <w:t>18</w:t>
      </w:r>
      <w:r w:rsidRPr="0062622A">
        <w:rPr>
          <w:rFonts w:ascii="Book Antiqua" w:eastAsia="宋体" w:hAnsi="Book Antiqua" w:cs="Times New Roman"/>
          <w:sz w:val="24"/>
          <w:szCs w:val="24"/>
          <w:lang w:eastAsia="zh-CN"/>
        </w:rPr>
        <w:t>: 545-548 [PMID: 16607153]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238 </w:t>
      </w:r>
      <w:r w:rsidRPr="0062622A">
        <w:rPr>
          <w:rFonts w:ascii="Book Antiqua" w:eastAsia="宋体" w:hAnsi="Book Antiqua" w:cs="Times New Roman"/>
          <w:b/>
          <w:bCs/>
          <w:sz w:val="24"/>
          <w:szCs w:val="24"/>
          <w:lang w:eastAsia="zh-CN"/>
        </w:rPr>
        <w:t>Cremers MI</w:t>
      </w:r>
      <w:r w:rsidRPr="0062622A">
        <w:rPr>
          <w:rFonts w:ascii="Book Antiqua" w:eastAsia="宋体" w:hAnsi="Book Antiqua" w:cs="Times New Roman"/>
          <w:sz w:val="24"/>
          <w:szCs w:val="24"/>
          <w:lang w:eastAsia="zh-CN"/>
        </w:rPr>
        <w:t>, Oliveira AP, Alves AL, Freitas J. Portal hypertensive gastropathy: treatment with corticosteroids. </w:t>
      </w:r>
      <w:r w:rsidRPr="0062622A">
        <w:rPr>
          <w:rFonts w:ascii="Book Antiqua" w:eastAsia="宋体" w:hAnsi="Book Antiqua" w:cs="Times New Roman"/>
          <w:i/>
          <w:iCs/>
          <w:sz w:val="24"/>
          <w:szCs w:val="24"/>
          <w:lang w:eastAsia="zh-CN"/>
        </w:rPr>
        <w:t>Endoscopy</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b/>
          <w:bCs/>
          <w:sz w:val="24"/>
          <w:szCs w:val="24"/>
          <w:lang w:eastAsia="zh-CN"/>
        </w:rPr>
        <w:t>34</w:t>
      </w:r>
      <w:r w:rsidRPr="0062622A">
        <w:rPr>
          <w:rFonts w:ascii="Book Antiqua" w:eastAsia="宋体" w:hAnsi="Book Antiqua" w:cs="Times New Roman"/>
          <w:sz w:val="24"/>
          <w:szCs w:val="24"/>
          <w:lang w:eastAsia="zh-CN"/>
        </w:rPr>
        <w:t>: 177 [PMID: 11822018]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239 </w:t>
      </w:r>
      <w:r w:rsidRPr="0062622A">
        <w:rPr>
          <w:rFonts w:ascii="Book Antiqua" w:eastAsia="宋体" w:hAnsi="Book Antiqua" w:cs="Times New Roman"/>
          <w:b/>
          <w:bCs/>
          <w:sz w:val="24"/>
          <w:szCs w:val="24"/>
          <w:lang w:eastAsia="zh-CN"/>
        </w:rPr>
        <w:t>Wagatsuma Y</w:t>
      </w:r>
      <w:r w:rsidRPr="0062622A">
        <w:rPr>
          <w:rFonts w:ascii="Book Antiqua" w:eastAsia="宋体" w:hAnsi="Book Antiqua" w:cs="Times New Roman"/>
          <w:sz w:val="24"/>
          <w:szCs w:val="24"/>
          <w:lang w:eastAsia="zh-CN"/>
        </w:rPr>
        <w:t>, Naritaka Y, Shimakawa T, Kanako H, Keiichiro I, Shunichi S, Konno S, Katsube T, Ogawa K. Clinical usefulness of the angiotensin II receptor antagonist losartan in patients with portal hypertensive gastropathy. </w:t>
      </w:r>
      <w:r w:rsidRPr="0062622A">
        <w:rPr>
          <w:rFonts w:ascii="Book Antiqua" w:eastAsia="宋体" w:hAnsi="Book Antiqua" w:cs="Times New Roman"/>
          <w:i/>
          <w:iCs/>
          <w:sz w:val="24"/>
          <w:szCs w:val="24"/>
          <w:lang w:eastAsia="zh-CN"/>
        </w:rPr>
        <w:t>Hepatogastroenterology</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2006</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53</w:t>
      </w:r>
      <w:r w:rsidRPr="0062622A">
        <w:rPr>
          <w:rFonts w:ascii="Book Antiqua" w:eastAsia="宋体" w:hAnsi="Book Antiqua" w:cs="Times New Roman"/>
          <w:sz w:val="24"/>
          <w:szCs w:val="24"/>
          <w:lang w:eastAsia="zh-CN"/>
        </w:rPr>
        <w:t>: 171-174 [PMID: 16608017]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240 </w:t>
      </w:r>
      <w:r w:rsidRPr="0062622A">
        <w:rPr>
          <w:rFonts w:ascii="Book Antiqua" w:eastAsia="宋体" w:hAnsi="Book Antiqua" w:cs="Times New Roman"/>
          <w:b/>
          <w:bCs/>
          <w:sz w:val="24"/>
          <w:szCs w:val="24"/>
          <w:lang w:eastAsia="zh-CN"/>
        </w:rPr>
        <w:t>Smart HL</w:t>
      </w:r>
      <w:r w:rsidRPr="0062622A">
        <w:rPr>
          <w:rFonts w:ascii="Book Antiqua" w:eastAsia="宋体" w:hAnsi="Book Antiqua" w:cs="Times New Roman"/>
          <w:sz w:val="24"/>
          <w:szCs w:val="24"/>
          <w:lang w:eastAsia="zh-CN"/>
        </w:rPr>
        <w:t>, Triger DR. Clinical features, pathophysiology and relevance of portal hypertensive gastropathy. </w:t>
      </w:r>
      <w:r w:rsidRPr="0062622A">
        <w:rPr>
          <w:rFonts w:ascii="Book Antiqua" w:eastAsia="宋体" w:hAnsi="Book Antiqua" w:cs="Times New Roman"/>
          <w:i/>
          <w:iCs/>
          <w:sz w:val="24"/>
          <w:szCs w:val="24"/>
          <w:lang w:eastAsia="zh-CN"/>
        </w:rPr>
        <w:t>Endoscopy</w:t>
      </w:r>
      <w:r w:rsidRPr="0062622A">
        <w:rPr>
          <w:rFonts w:ascii="Book Antiqua" w:eastAsia="宋体" w:hAnsi="Book Antiqua" w:cs="Times New Roman"/>
          <w:sz w:val="24"/>
          <w:szCs w:val="24"/>
          <w:lang w:eastAsia="zh-CN"/>
        </w:rPr>
        <w:t> 1991; </w:t>
      </w:r>
      <w:r w:rsidRPr="0062622A">
        <w:rPr>
          <w:rFonts w:ascii="Book Antiqua" w:eastAsia="宋体" w:hAnsi="Book Antiqua" w:cs="Times New Roman"/>
          <w:b/>
          <w:bCs/>
          <w:sz w:val="24"/>
          <w:szCs w:val="24"/>
          <w:lang w:eastAsia="zh-CN"/>
        </w:rPr>
        <w:t>23</w:t>
      </w:r>
      <w:r w:rsidRPr="0062622A">
        <w:rPr>
          <w:rFonts w:ascii="Book Antiqua" w:eastAsia="宋体" w:hAnsi="Book Antiqua" w:cs="Times New Roman"/>
          <w:sz w:val="24"/>
          <w:szCs w:val="24"/>
          <w:lang w:eastAsia="zh-CN"/>
        </w:rPr>
        <w:t>: 224-228 [PMID: 1915140]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241 </w:t>
      </w:r>
      <w:r w:rsidRPr="0062622A">
        <w:rPr>
          <w:rFonts w:ascii="Book Antiqua" w:eastAsia="宋体" w:hAnsi="Book Antiqua" w:cs="Times New Roman"/>
          <w:b/>
          <w:bCs/>
          <w:sz w:val="24"/>
          <w:szCs w:val="24"/>
          <w:lang w:eastAsia="zh-CN"/>
        </w:rPr>
        <w:t>Pique JM</w:t>
      </w:r>
      <w:r w:rsidRPr="0062622A">
        <w:rPr>
          <w:rFonts w:ascii="Book Antiqua" w:eastAsia="宋体" w:hAnsi="Book Antiqua" w:cs="Times New Roman"/>
          <w:sz w:val="24"/>
          <w:szCs w:val="24"/>
          <w:lang w:eastAsia="zh-CN"/>
        </w:rPr>
        <w:t>, Leung FW, Kitahora T, Sarfeh IJ, Tarnawski A, Guth PH. Gastric mucosal blood flow and acid secretion in portal hypertensive rats.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1988; </w:t>
      </w:r>
      <w:r w:rsidRPr="0062622A">
        <w:rPr>
          <w:rFonts w:ascii="Book Antiqua" w:eastAsia="宋体" w:hAnsi="Book Antiqua" w:cs="Times New Roman"/>
          <w:b/>
          <w:bCs/>
          <w:sz w:val="24"/>
          <w:szCs w:val="24"/>
          <w:lang w:eastAsia="zh-CN"/>
        </w:rPr>
        <w:t>95</w:t>
      </w:r>
      <w:r w:rsidRPr="0062622A">
        <w:rPr>
          <w:rFonts w:ascii="Book Antiqua" w:eastAsia="宋体" w:hAnsi="Book Antiqua" w:cs="Times New Roman"/>
          <w:sz w:val="24"/>
          <w:szCs w:val="24"/>
          <w:lang w:eastAsia="zh-CN"/>
        </w:rPr>
        <w:t>: 727-733 [PMID: 3165076]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242 </w:t>
      </w:r>
      <w:r w:rsidRPr="0062622A">
        <w:rPr>
          <w:rFonts w:ascii="Book Antiqua" w:eastAsia="宋体" w:hAnsi="Book Antiqua" w:cs="Times New Roman"/>
          <w:b/>
          <w:bCs/>
          <w:sz w:val="24"/>
          <w:szCs w:val="24"/>
          <w:lang w:eastAsia="zh-CN"/>
        </w:rPr>
        <w:t>Benoit JN</w:t>
      </w:r>
      <w:r w:rsidRPr="0062622A">
        <w:rPr>
          <w:rFonts w:ascii="Book Antiqua" w:eastAsia="宋体" w:hAnsi="Book Antiqua" w:cs="Times New Roman"/>
          <w:sz w:val="24"/>
          <w:szCs w:val="24"/>
          <w:lang w:eastAsia="zh-CN"/>
        </w:rPr>
        <w:t>, Barrowman JA, Harper SL, Kvietys PR, Granger DN. Role of humoral factors in the intestinal hyperemia associated with chronic portal hypertension. </w:t>
      </w:r>
      <w:r w:rsidRPr="0062622A">
        <w:rPr>
          <w:rFonts w:ascii="Book Antiqua" w:eastAsia="宋体" w:hAnsi="Book Antiqua" w:cs="Times New Roman"/>
          <w:i/>
          <w:iCs/>
          <w:sz w:val="24"/>
          <w:szCs w:val="24"/>
          <w:lang w:eastAsia="zh-CN"/>
        </w:rPr>
        <w:t>Am J Physiol</w:t>
      </w:r>
      <w:r w:rsidRPr="0062622A">
        <w:rPr>
          <w:rFonts w:ascii="Book Antiqua" w:eastAsia="宋体" w:hAnsi="Book Antiqua" w:cs="Times New Roman"/>
          <w:sz w:val="24"/>
          <w:szCs w:val="24"/>
          <w:lang w:eastAsia="zh-CN"/>
        </w:rPr>
        <w:t> 1984; </w:t>
      </w:r>
      <w:r w:rsidRPr="0062622A">
        <w:rPr>
          <w:rFonts w:ascii="Book Antiqua" w:eastAsia="宋体" w:hAnsi="Book Antiqua" w:cs="Times New Roman"/>
          <w:b/>
          <w:bCs/>
          <w:sz w:val="24"/>
          <w:szCs w:val="24"/>
          <w:lang w:eastAsia="zh-CN"/>
        </w:rPr>
        <w:t>247</w:t>
      </w:r>
      <w:r w:rsidRPr="0062622A">
        <w:rPr>
          <w:rFonts w:ascii="Book Antiqua" w:eastAsia="宋体" w:hAnsi="Book Antiqua" w:cs="Times New Roman"/>
          <w:sz w:val="24"/>
          <w:szCs w:val="24"/>
          <w:lang w:eastAsia="zh-CN"/>
        </w:rPr>
        <w:t>: G486-G493 [PMID: 6496739]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243 </w:t>
      </w:r>
      <w:r w:rsidRPr="0062622A">
        <w:rPr>
          <w:rFonts w:ascii="Book Antiqua" w:eastAsia="宋体" w:hAnsi="Book Antiqua" w:cs="Times New Roman"/>
          <w:b/>
          <w:bCs/>
          <w:sz w:val="24"/>
          <w:szCs w:val="24"/>
          <w:lang w:eastAsia="zh-CN"/>
        </w:rPr>
        <w:t>Yen HH</w:t>
      </w:r>
      <w:r w:rsidRPr="0062622A">
        <w:rPr>
          <w:rFonts w:ascii="Book Antiqua" w:eastAsia="宋体" w:hAnsi="Book Antiqua" w:cs="Times New Roman"/>
          <w:sz w:val="24"/>
          <w:szCs w:val="24"/>
          <w:lang w:eastAsia="zh-CN"/>
        </w:rPr>
        <w:t>, Yang CW, Su WW, Soon MS, Wu SS, Lin HJ. Oral versus intravenous proton pump inhibitors in preventing re-bleeding for patients with peptic ulcer bleeding after successful endoscopic therapy. </w:t>
      </w:r>
      <w:r w:rsidRPr="0062622A">
        <w:rPr>
          <w:rFonts w:ascii="Book Antiqua" w:eastAsia="宋体" w:hAnsi="Book Antiqua" w:cs="Times New Roman"/>
          <w:i/>
          <w:iCs/>
          <w:sz w:val="24"/>
          <w:szCs w:val="24"/>
          <w:lang w:eastAsia="zh-CN"/>
        </w:rPr>
        <w:t>BMC Gastroenterol</w:t>
      </w:r>
      <w:r w:rsidRPr="0062622A">
        <w:rPr>
          <w:rFonts w:ascii="Book Antiqua" w:eastAsia="宋体" w:hAnsi="Book Antiqua" w:cs="Times New Roman"/>
          <w:sz w:val="24"/>
          <w:szCs w:val="24"/>
          <w:lang w:eastAsia="zh-CN"/>
        </w:rPr>
        <w:t> 2012; </w:t>
      </w:r>
      <w:r w:rsidRPr="0062622A">
        <w:rPr>
          <w:rFonts w:ascii="Book Antiqua" w:eastAsia="宋体" w:hAnsi="Book Antiqua" w:cs="Times New Roman"/>
          <w:b/>
          <w:bCs/>
          <w:sz w:val="24"/>
          <w:szCs w:val="24"/>
          <w:lang w:eastAsia="zh-CN"/>
        </w:rPr>
        <w:t>12</w:t>
      </w:r>
      <w:r w:rsidRPr="0062622A">
        <w:rPr>
          <w:rFonts w:ascii="Book Antiqua" w:eastAsia="宋体" w:hAnsi="Book Antiqua" w:cs="Times New Roman"/>
          <w:sz w:val="24"/>
          <w:szCs w:val="24"/>
          <w:lang w:eastAsia="zh-CN"/>
        </w:rPr>
        <w:t>: 66 [PMID: 22681960 DOI: 10.1186/1471-230X-12-66]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244 </w:t>
      </w:r>
      <w:r w:rsidRPr="0062622A">
        <w:rPr>
          <w:rFonts w:ascii="Book Antiqua" w:eastAsia="宋体" w:hAnsi="Book Antiqua" w:cs="Times New Roman"/>
          <w:b/>
          <w:bCs/>
          <w:sz w:val="24"/>
          <w:szCs w:val="24"/>
          <w:lang w:eastAsia="zh-CN"/>
        </w:rPr>
        <w:t>Pang SH</w:t>
      </w:r>
      <w:r w:rsidRPr="0062622A">
        <w:rPr>
          <w:rFonts w:ascii="Book Antiqua" w:eastAsia="宋体" w:hAnsi="Book Antiqua" w:cs="Times New Roman"/>
          <w:sz w:val="24"/>
          <w:szCs w:val="24"/>
          <w:lang w:eastAsia="zh-CN"/>
        </w:rPr>
        <w:t>, Graham DY. A clinical guide to using intravenous proton-pump inhibitors in reflux and peptic ulcers. </w:t>
      </w:r>
      <w:r w:rsidRPr="0062622A">
        <w:rPr>
          <w:rFonts w:ascii="Book Antiqua" w:eastAsia="宋体" w:hAnsi="Book Antiqua" w:cs="Times New Roman"/>
          <w:i/>
          <w:iCs/>
          <w:sz w:val="24"/>
          <w:szCs w:val="24"/>
          <w:lang w:eastAsia="zh-CN"/>
        </w:rPr>
        <w:t>Therap Adv Gastroenterol</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3</w:t>
      </w:r>
      <w:r w:rsidRPr="0062622A">
        <w:rPr>
          <w:rFonts w:ascii="Book Antiqua" w:eastAsia="宋体" w:hAnsi="Book Antiqua" w:cs="Times New Roman"/>
          <w:sz w:val="24"/>
          <w:szCs w:val="24"/>
          <w:lang w:eastAsia="zh-CN"/>
        </w:rPr>
        <w:t>: 11-22 [PMID: 21180586 DOI: 10.1177/1756283X09352095]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245 </w:t>
      </w:r>
      <w:r w:rsidRPr="0062622A">
        <w:rPr>
          <w:rFonts w:ascii="Book Antiqua" w:eastAsia="宋体" w:hAnsi="Book Antiqua" w:cs="Times New Roman"/>
          <w:b/>
          <w:bCs/>
          <w:sz w:val="24"/>
          <w:szCs w:val="24"/>
          <w:lang w:eastAsia="zh-CN"/>
        </w:rPr>
        <w:t>Gostout CJ</w:t>
      </w:r>
      <w:r w:rsidRPr="0062622A">
        <w:rPr>
          <w:rFonts w:ascii="Book Antiqua" w:eastAsia="宋体" w:hAnsi="Book Antiqua" w:cs="Times New Roman"/>
          <w:sz w:val="24"/>
          <w:szCs w:val="24"/>
          <w:lang w:eastAsia="zh-CN"/>
        </w:rPr>
        <w:t>, Ahlquist DA, Radford CM, Viggiano TR, Bowyer BA, Balm RK. Endoscopic laser therapy for watermelon stomach.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1989; </w:t>
      </w:r>
      <w:r w:rsidRPr="0062622A">
        <w:rPr>
          <w:rFonts w:ascii="Book Antiqua" w:eastAsia="宋体" w:hAnsi="Book Antiqua" w:cs="Times New Roman"/>
          <w:b/>
          <w:bCs/>
          <w:sz w:val="24"/>
          <w:szCs w:val="24"/>
          <w:lang w:eastAsia="zh-CN"/>
        </w:rPr>
        <w:t>96</w:t>
      </w:r>
      <w:r w:rsidRPr="0062622A">
        <w:rPr>
          <w:rFonts w:ascii="Book Antiqua" w:eastAsia="宋体" w:hAnsi="Book Antiqua" w:cs="Times New Roman"/>
          <w:sz w:val="24"/>
          <w:szCs w:val="24"/>
          <w:lang w:eastAsia="zh-CN"/>
        </w:rPr>
        <w:t>: 1462-1465 [PMID: 2785467]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246 </w:t>
      </w:r>
      <w:r w:rsidRPr="0062622A">
        <w:rPr>
          <w:rFonts w:ascii="Book Antiqua" w:eastAsia="宋体" w:hAnsi="Book Antiqua" w:cs="Times New Roman"/>
          <w:b/>
          <w:bCs/>
          <w:sz w:val="24"/>
          <w:szCs w:val="24"/>
          <w:lang w:eastAsia="zh-CN"/>
        </w:rPr>
        <w:t>Ibrahim M</w:t>
      </w:r>
      <w:r w:rsidRPr="0062622A">
        <w:rPr>
          <w:rFonts w:ascii="Book Antiqua" w:eastAsia="宋体" w:hAnsi="Book Antiqua" w:cs="Times New Roman"/>
          <w:sz w:val="24"/>
          <w:szCs w:val="24"/>
          <w:lang w:eastAsia="zh-CN"/>
        </w:rPr>
        <w:t>, Degré D, Devière J. Active bleeding caused by portal hypertensive gastropathy.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80</w:t>
      </w:r>
      <w:r w:rsidRPr="0062622A">
        <w:rPr>
          <w:rFonts w:ascii="Book Antiqua" w:eastAsia="宋体" w:hAnsi="Book Antiqua" w:cs="Times New Roman"/>
          <w:sz w:val="24"/>
          <w:szCs w:val="24"/>
          <w:lang w:eastAsia="zh-CN"/>
        </w:rPr>
        <w:t>: 724 [PMID: 24576479 DOI: 10.1016/j.gie.2014.01.020]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247 </w:t>
      </w:r>
      <w:r w:rsidRPr="0062622A">
        <w:rPr>
          <w:rFonts w:ascii="Book Antiqua" w:eastAsia="宋体" w:hAnsi="Book Antiqua" w:cs="Times New Roman"/>
          <w:b/>
          <w:bCs/>
          <w:sz w:val="24"/>
          <w:szCs w:val="24"/>
          <w:lang w:eastAsia="zh-CN"/>
        </w:rPr>
        <w:t>Giday SA</w:t>
      </w:r>
      <w:r w:rsidRPr="0062622A">
        <w:rPr>
          <w:rFonts w:ascii="Book Antiqua" w:eastAsia="宋体" w:hAnsi="Book Antiqua" w:cs="Times New Roman"/>
          <w:sz w:val="24"/>
          <w:szCs w:val="24"/>
          <w:lang w:eastAsia="zh-CN"/>
        </w:rPr>
        <w:t>. Preliminary Data on the Nanopowder Hemostatic Agent TC-325 to Control Gastrointestinal Bleeding. </w:t>
      </w:r>
      <w:r w:rsidRPr="0062622A">
        <w:rPr>
          <w:rFonts w:ascii="Book Antiqua" w:eastAsia="宋体" w:hAnsi="Book Antiqua" w:cs="Times New Roman"/>
          <w:i/>
          <w:iCs/>
          <w:sz w:val="24"/>
          <w:szCs w:val="24"/>
          <w:lang w:eastAsia="zh-CN"/>
        </w:rPr>
        <w:t>Gastroenterol Hepatol (N Y)</w:t>
      </w:r>
      <w:r w:rsidRPr="0062622A">
        <w:rPr>
          <w:rFonts w:ascii="Book Antiqua" w:eastAsia="宋体" w:hAnsi="Book Antiqua" w:cs="Times New Roman"/>
          <w:sz w:val="24"/>
          <w:szCs w:val="24"/>
          <w:lang w:eastAsia="zh-CN"/>
        </w:rPr>
        <w:t> 2011; </w:t>
      </w:r>
      <w:r w:rsidRPr="0062622A">
        <w:rPr>
          <w:rFonts w:ascii="Book Antiqua" w:eastAsia="宋体" w:hAnsi="Book Antiqua" w:cs="Times New Roman"/>
          <w:b/>
          <w:bCs/>
          <w:sz w:val="24"/>
          <w:szCs w:val="24"/>
          <w:lang w:eastAsia="zh-CN"/>
        </w:rPr>
        <w:t>7</w:t>
      </w:r>
      <w:r w:rsidRPr="0062622A">
        <w:rPr>
          <w:rFonts w:ascii="Book Antiqua" w:eastAsia="宋体" w:hAnsi="Book Antiqua" w:cs="Times New Roman"/>
          <w:sz w:val="24"/>
          <w:szCs w:val="24"/>
          <w:lang w:eastAsia="zh-CN"/>
        </w:rPr>
        <w:t>: 620-622 [PMID: 22299002]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248 </w:t>
      </w:r>
      <w:r w:rsidRPr="0062622A">
        <w:rPr>
          <w:rFonts w:ascii="Book Antiqua" w:eastAsia="宋体" w:hAnsi="Book Antiqua" w:cs="Times New Roman"/>
          <w:b/>
          <w:bCs/>
          <w:sz w:val="24"/>
          <w:szCs w:val="24"/>
          <w:lang w:eastAsia="zh-CN"/>
        </w:rPr>
        <w:t>Patel J</w:t>
      </w:r>
      <w:r w:rsidRPr="0062622A">
        <w:rPr>
          <w:rFonts w:ascii="Book Antiqua" w:eastAsia="宋体" w:hAnsi="Book Antiqua" w:cs="Times New Roman"/>
          <w:sz w:val="24"/>
          <w:szCs w:val="24"/>
          <w:lang w:eastAsia="zh-CN"/>
        </w:rPr>
        <w:t>, Parra V, Kedia P, Sharaiha RZ, Kahaleh M. Salvage cryotherapy in portal hypertensive gastropathy.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2015; </w:t>
      </w:r>
      <w:r w:rsidRPr="0062622A">
        <w:rPr>
          <w:rFonts w:ascii="Book Antiqua" w:eastAsia="宋体" w:hAnsi="Book Antiqua" w:cs="Times New Roman"/>
          <w:b/>
          <w:bCs/>
          <w:sz w:val="24"/>
          <w:szCs w:val="24"/>
          <w:lang w:eastAsia="zh-CN"/>
        </w:rPr>
        <w:t>81</w:t>
      </w:r>
      <w:r w:rsidRPr="0062622A">
        <w:rPr>
          <w:rFonts w:ascii="Book Antiqua" w:eastAsia="宋体" w:hAnsi="Book Antiqua" w:cs="Times New Roman"/>
          <w:sz w:val="24"/>
          <w:szCs w:val="24"/>
          <w:lang w:eastAsia="zh-CN"/>
        </w:rPr>
        <w:t>: 1003 [PMID: 25028270 DOI: 10.1016/j.gie.2014.05.326]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249 </w:t>
      </w:r>
      <w:r w:rsidRPr="0062622A">
        <w:rPr>
          <w:rFonts w:ascii="Book Antiqua" w:eastAsia="宋体" w:hAnsi="Book Antiqua" w:cs="Times New Roman"/>
          <w:b/>
          <w:bCs/>
          <w:sz w:val="24"/>
          <w:szCs w:val="24"/>
          <w:lang w:eastAsia="zh-CN"/>
        </w:rPr>
        <w:t>Sezai S</w:t>
      </w:r>
      <w:r w:rsidRPr="0062622A">
        <w:rPr>
          <w:rFonts w:ascii="Book Antiqua" w:eastAsia="宋体" w:hAnsi="Book Antiqua" w:cs="Times New Roman"/>
          <w:sz w:val="24"/>
          <w:szCs w:val="24"/>
          <w:lang w:eastAsia="zh-CN"/>
        </w:rPr>
        <w:t>, Ito M, Sakurai Y, Kamisaka K, Abe T, Ikegami F, Yamamoto Y, Hirano M. Effects on gastric circulation of treatment for portal hypertension in cirrhosis. </w:t>
      </w:r>
      <w:r w:rsidRPr="0062622A">
        <w:rPr>
          <w:rFonts w:ascii="Book Antiqua" w:eastAsia="宋体" w:hAnsi="Book Antiqua" w:cs="Times New Roman"/>
          <w:i/>
          <w:iCs/>
          <w:sz w:val="24"/>
          <w:szCs w:val="24"/>
          <w:lang w:eastAsia="zh-CN"/>
        </w:rPr>
        <w:t>Dig Dis Sci</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43</w:t>
      </w:r>
      <w:r w:rsidRPr="0062622A">
        <w:rPr>
          <w:rFonts w:ascii="Book Antiqua" w:eastAsia="宋体" w:hAnsi="Book Antiqua" w:cs="Times New Roman"/>
          <w:sz w:val="24"/>
          <w:szCs w:val="24"/>
          <w:lang w:eastAsia="zh-CN"/>
        </w:rPr>
        <w:t>: 1302-1306 [PMID: 9635622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10.1023/A:1018872227652]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250 </w:t>
      </w:r>
      <w:r w:rsidRPr="0062622A">
        <w:rPr>
          <w:rFonts w:ascii="Book Antiqua" w:eastAsia="宋体" w:hAnsi="Book Antiqua" w:cs="Times New Roman"/>
          <w:b/>
          <w:bCs/>
          <w:sz w:val="24"/>
          <w:szCs w:val="24"/>
          <w:lang w:eastAsia="zh-CN"/>
        </w:rPr>
        <w:t>Hassoun Z</w:t>
      </w:r>
      <w:r w:rsidRPr="0062622A">
        <w:rPr>
          <w:rFonts w:ascii="Book Antiqua" w:eastAsia="宋体" w:hAnsi="Book Antiqua" w:cs="Times New Roman"/>
          <w:sz w:val="24"/>
          <w:szCs w:val="24"/>
          <w:lang w:eastAsia="zh-CN"/>
        </w:rPr>
        <w:t>, Pomier-Layrargues G. The transjugular intrahepatic portosystemic shunt in the treatment of portal hypertension. </w:t>
      </w:r>
      <w:r w:rsidRPr="0062622A">
        <w:rPr>
          <w:rFonts w:ascii="Book Antiqua" w:eastAsia="宋体" w:hAnsi="Book Antiqua" w:cs="Times New Roman"/>
          <w:i/>
          <w:iCs/>
          <w:sz w:val="24"/>
          <w:szCs w:val="24"/>
          <w:lang w:eastAsia="zh-CN"/>
        </w:rPr>
        <w:t>Eur J Gastroenterol Hepatol</w:t>
      </w:r>
      <w:r w:rsidRPr="0062622A">
        <w:rPr>
          <w:rFonts w:ascii="Book Antiqua" w:eastAsia="宋体" w:hAnsi="Book Antiqua" w:cs="Times New Roman"/>
          <w:sz w:val="24"/>
          <w:szCs w:val="24"/>
          <w:lang w:eastAsia="zh-CN"/>
        </w:rPr>
        <w:t> 2004; </w:t>
      </w:r>
      <w:r w:rsidRPr="0062622A">
        <w:rPr>
          <w:rFonts w:ascii="Book Antiqua" w:eastAsia="宋体" w:hAnsi="Book Antiqua" w:cs="Times New Roman"/>
          <w:b/>
          <w:bCs/>
          <w:sz w:val="24"/>
          <w:szCs w:val="24"/>
          <w:lang w:eastAsia="zh-CN"/>
        </w:rPr>
        <w:t>16</w:t>
      </w:r>
      <w:r w:rsidRPr="0062622A">
        <w:rPr>
          <w:rFonts w:ascii="Book Antiqua" w:eastAsia="宋体" w:hAnsi="Book Antiqua" w:cs="Times New Roman"/>
          <w:sz w:val="24"/>
          <w:szCs w:val="24"/>
          <w:lang w:eastAsia="zh-CN"/>
        </w:rPr>
        <w:t>: 1-4 [PMID: 15095845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10.1097/00042737-200401000-00001]</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251 </w:t>
      </w:r>
      <w:r w:rsidRPr="0062622A">
        <w:rPr>
          <w:rFonts w:ascii="Book Antiqua" w:eastAsia="宋体" w:hAnsi="Book Antiqua" w:cs="Times New Roman"/>
          <w:b/>
          <w:bCs/>
          <w:sz w:val="24"/>
          <w:szCs w:val="24"/>
          <w:lang w:eastAsia="zh-CN"/>
        </w:rPr>
        <w:t>Bosch J</w:t>
      </w:r>
      <w:r w:rsidRPr="0062622A">
        <w:rPr>
          <w:rFonts w:ascii="Book Antiqua" w:eastAsia="宋体" w:hAnsi="Book Antiqua" w:cs="Times New Roman"/>
          <w:sz w:val="24"/>
          <w:szCs w:val="24"/>
          <w:lang w:eastAsia="zh-CN"/>
        </w:rPr>
        <w:t>, Abraldes JG. Management of gastrointestinal bleeding in patients with cirrhosis of the liver. </w:t>
      </w:r>
      <w:r w:rsidRPr="0062622A">
        <w:rPr>
          <w:rFonts w:ascii="Book Antiqua" w:eastAsia="宋体" w:hAnsi="Book Antiqua" w:cs="Times New Roman"/>
          <w:i/>
          <w:iCs/>
          <w:sz w:val="24"/>
          <w:szCs w:val="24"/>
          <w:lang w:eastAsia="zh-CN"/>
        </w:rPr>
        <w:t>Semin Hematol</w:t>
      </w:r>
      <w:r w:rsidRPr="0062622A">
        <w:rPr>
          <w:rFonts w:ascii="Book Antiqua" w:eastAsia="宋体" w:hAnsi="Book Antiqua" w:cs="Times New Roman"/>
          <w:sz w:val="24"/>
          <w:szCs w:val="24"/>
          <w:lang w:eastAsia="zh-CN"/>
        </w:rPr>
        <w:t> 2004; </w:t>
      </w:r>
      <w:r w:rsidRPr="0062622A">
        <w:rPr>
          <w:rFonts w:ascii="Book Antiqua" w:eastAsia="宋体" w:hAnsi="Book Antiqua" w:cs="Times New Roman"/>
          <w:b/>
          <w:bCs/>
          <w:sz w:val="24"/>
          <w:szCs w:val="24"/>
          <w:lang w:eastAsia="zh-CN"/>
        </w:rPr>
        <w:t>41</w:t>
      </w:r>
      <w:r w:rsidRPr="0062622A">
        <w:rPr>
          <w:rFonts w:ascii="Book Antiqua" w:eastAsia="宋体" w:hAnsi="Book Antiqua" w:cs="Times New Roman"/>
          <w:sz w:val="24"/>
          <w:szCs w:val="24"/>
          <w:lang w:eastAsia="zh-CN"/>
        </w:rPr>
        <w:t>: 8-12 [PMID: 14872414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10.1053/j.seminhematol.2003.11.003]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252 </w:t>
      </w:r>
      <w:r w:rsidRPr="0062622A">
        <w:rPr>
          <w:rFonts w:ascii="Book Antiqua" w:eastAsia="宋体" w:hAnsi="Book Antiqua" w:cs="Times New Roman"/>
          <w:b/>
          <w:bCs/>
          <w:sz w:val="24"/>
          <w:szCs w:val="24"/>
          <w:lang w:eastAsia="zh-CN"/>
        </w:rPr>
        <w:t>Rosado B</w:t>
      </w:r>
      <w:r w:rsidRPr="0062622A">
        <w:rPr>
          <w:rFonts w:ascii="Book Antiqua" w:eastAsia="宋体" w:hAnsi="Book Antiqua" w:cs="Times New Roman"/>
          <w:sz w:val="24"/>
          <w:szCs w:val="24"/>
          <w:lang w:eastAsia="zh-CN"/>
        </w:rPr>
        <w:t>, Kamath PS. Transjugular intrahepatic portosystemic shunts: an update. </w:t>
      </w:r>
      <w:r w:rsidRPr="0062622A">
        <w:rPr>
          <w:rFonts w:ascii="Book Antiqua" w:eastAsia="宋体" w:hAnsi="Book Antiqua" w:cs="Times New Roman"/>
          <w:i/>
          <w:iCs/>
          <w:sz w:val="24"/>
          <w:szCs w:val="24"/>
          <w:lang w:eastAsia="zh-CN"/>
        </w:rPr>
        <w:t>Liver Transpl</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9</w:t>
      </w:r>
      <w:r w:rsidRPr="0062622A">
        <w:rPr>
          <w:rFonts w:ascii="Book Antiqua" w:eastAsia="宋体" w:hAnsi="Book Antiqua" w:cs="Times New Roman"/>
          <w:sz w:val="24"/>
          <w:szCs w:val="24"/>
          <w:lang w:eastAsia="zh-CN"/>
        </w:rPr>
        <w:t>: 207-217 [PMID: 12619016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10.1053/jlts.2003.50045]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253 </w:t>
      </w:r>
      <w:r w:rsidRPr="0062622A">
        <w:rPr>
          <w:rFonts w:ascii="Book Antiqua" w:eastAsia="宋体" w:hAnsi="Book Antiqua" w:cs="Times New Roman"/>
          <w:b/>
          <w:bCs/>
          <w:sz w:val="24"/>
          <w:szCs w:val="24"/>
          <w:lang w:eastAsia="zh-CN"/>
        </w:rPr>
        <w:t>McCashland TM</w:t>
      </w:r>
      <w:r w:rsidRPr="0062622A">
        <w:rPr>
          <w:rFonts w:ascii="Book Antiqua" w:eastAsia="宋体" w:hAnsi="Book Antiqua" w:cs="Times New Roman"/>
          <w:sz w:val="24"/>
          <w:szCs w:val="24"/>
          <w:lang w:eastAsia="zh-CN"/>
        </w:rPr>
        <w:t>. Current use of transjugular intrahepatic portosystemic shunts. </w:t>
      </w:r>
      <w:r w:rsidRPr="0062622A">
        <w:rPr>
          <w:rFonts w:ascii="Book Antiqua" w:eastAsia="宋体" w:hAnsi="Book Antiqua" w:cs="Times New Roman"/>
          <w:i/>
          <w:iCs/>
          <w:sz w:val="24"/>
          <w:szCs w:val="24"/>
          <w:lang w:eastAsia="zh-CN"/>
        </w:rPr>
        <w:t>Curr Gastroenterol Rep</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5</w:t>
      </w:r>
      <w:r w:rsidRPr="0062622A">
        <w:rPr>
          <w:rFonts w:ascii="Book Antiqua" w:eastAsia="宋体" w:hAnsi="Book Antiqua" w:cs="Times New Roman"/>
          <w:sz w:val="24"/>
          <w:szCs w:val="24"/>
          <w:lang w:eastAsia="zh-CN"/>
        </w:rPr>
        <w:t>: 31-38 [PMID: 12530946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10.1007/s11894-003-0007-9]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254 </w:t>
      </w:r>
      <w:r w:rsidRPr="0062622A">
        <w:rPr>
          <w:rFonts w:ascii="Book Antiqua" w:eastAsia="宋体" w:hAnsi="Book Antiqua" w:cs="Times New Roman"/>
          <w:b/>
          <w:bCs/>
          <w:sz w:val="24"/>
          <w:szCs w:val="24"/>
          <w:lang w:eastAsia="zh-CN"/>
        </w:rPr>
        <w:t>Babb RR</w:t>
      </w:r>
      <w:r w:rsidRPr="0062622A">
        <w:rPr>
          <w:rFonts w:ascii="Book Antiqua" w:eastAsia="宋体" w:hAnsi="Book Antiqua" w:cs="Times New Roman"/>
          <w:sz w:val="24"/>
          <w:szCs w:val="24"/>
          <w:lang w:eastAsia="zh-CN"/>
        </w:rPr>
        <w:t>, Mitchell RL. Persistent hemorrhagic gastritis in a patient with portal hypertension and esophagogastric varices: the role of portal decompressive surgery.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1988; </w:t>
      </w:r>
      <w:r w:rsidRPr="0062622A">
        <w:rPr>
          <w:rFonts w:ascii="Book Antiqua" w:eastAsia="宋体" w:hAnsi="Book Antiqua" w:cs="Times New Roman"/>
          <w:b/>
          <w:bCs/>
          <w:sz w:val="24"/>
          <w:szCs w:val="24"/>
          <w:lang w:eastAsia="zh-CN"/>
        </w:rPr>
        <w:t>83</w:t>
      </w:r>
      <w:r w:rsidRPr="0062622A">
        <w:rPr>
          <w:rFonts w:ascii="Book Antiqua" w:eastAsia="宋体" w:hAnsi="Book Antiqua" w:cs="Times New Roman"/>
          <w:sz w:val="24"/>
          <w:szCs w:val="24"/>
          <w:lang w:eastAsia="zh-CN"/>
        </w:rPr>
        <w:t>: 777-779 [PMID: 3260069]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255 </w:t>
      </w:r>
      <w:r w:rsidRPr="0062622A">
        <w:rPr>
          <w:rFonts w:ascii="Book Antiqua" w:eastAsia="宋体" w:hAnsi="Book Antiqua" w:cs="Times New Roman"/>
          <w:b/>
          <w:bCs/>
          <w:sz w:val="24"/>
          <w:szCs w:val="24"/>
          <w:lang w:eastAsia="zh-CN"/>
        </w:rPr>
        <w:t>Biecker E</w:t>
      </w:r>
      <w:r w:rsidRPr="0062622A">
        <w:rPr>
          <w:rFonts w:ascii="Book Antiqua" w:eastAsia="宋体" w:hAnsi="Book Antiqua" w:cs="Times New Roman"/>
          <w:sz w:val="24"/>
          <w:szCs w:val="24"/>
          <w:lang w:eastAsia="zh-CN"/>
        </w:rPr>
        <w:t>. Portal hypertension and gastrointestinal bleeding: diagnosis, prevention and management. </w:t>
      </w:r>
      <w:r w:rsidRPr="0062622A">
        <w:rPr>
          <w:rFonts w:ascii="Book Antiqua" w:eastAsia="宋体" w:hAnsi="Book Antiqua" w:cs="Times New Roman"/>
          <w:i/>
          <w:iCs/>
          <w:sz w:val="24"/>
          <w:szCs w:val="24"/>
          <w:lang w:eastAsia="zh-CN"/>
        </w:rPr>
        <w:t>World J Gastroenterol</w:t>
      </w:r>
      <w:r w:rsidRPr="0062622A">
        <w:rPr>
          <w:rFonts w:ascii="Book Antiqua" w:eastAsia="宋体" w:hAnsi="Book Antiqua" w:cs="Times New Roman"/>
          <w:sz w:val="24"/>
          <w:szCs w:val="24"/>
          <w:lang w:eastAsia="zh-CN"/>
        </w:rPr>
        <w:t> 2013; </w:t>
      </w:r>
      <w:r w:rsidRPr="0062622A">
        <w:rPr>
          <w:rFonts w:ascii="Book Antiqua" w:eastAsia="宋体" w:hAnsi="Book Antiqua" w:cs="Times New Roman"/>
          <w:b/>
          <w:bCs/>
          <w:sz w:val="24"/>
          <w:szCs w:val="24"/>
          <w:lang w:eastAsia="zh-CN"/>
        </w:rPr>
        <w:t>19</w:t>
      </w:r>
      <w:r w:rsidRPr="0062622A">
        <w:rPr>
          <w:rFonts w:ascii="Book Antiqua" w:eastAsia="宋体" w:hAnsi="Book Antiqua" w:cs="Times New Roman"/>
          <w:sz w:val="24"/>
          <w:szCs w:val="24"/>
          <w:lang w:eastAsia="zh-CN"/>
        </w:rPr>
        <w:t>: 5035-5050 [PMID: 23964137 DOI: 10.3748/wjg.v19.i31.5035]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256 </w:t>
      </w:r>
      <w:r w:rsidRPr="0062622A">
        <w:rPr>
          <w:rFonts w:ascii="Book Antiqua" w:eastAsia="宋体" w:hAnsi="Book Antiqua" w:cs="Times New Roman"/>
          <w:b/>
          <w:bCs/>
          <w:sz w:val="24"/>
          <w:szCs w:val="24"/>
          <w:lang w:eastAsia="zh-CN"/>
        </w:rPr>
        <w:t>Yoshida H</w:t>
      </w:r>
      <w:r w:rsidRPr="0062622A">
        <w:rPr>
          <w:rFonts w:ascii="Book Antiqua" w:eastAsia="宋体" w:hAnsi="Book Antiqua" w:cs="Times New Roman"/>
          <w:sz w:val="24"/>
          <w:szCs w:val="24"/>
          <w:lang w:eastAsia="zh-CN"/>
        </w:rPr>
        <w:t>, Mamada Y, Taniai N, Tajiri T. Partial splenic embolization. </w:t>
      </w:r>
      <w:r w:rsidRPr="0062622A">
        <w:rPr>
          <w:rFonts w:ascii="Book Antiqua" w:eastAsia="宋体" w:hAnsi="Book Antiqua" w:cs="Times New Roman"/>
          <w:i/>
          <w:iCs/>
          <w:sz w:val="24"/>
          <w:szCs w:val="24"/>
          <w:lang w:eastAsia="zh-CN"/>
        </w:rPr>
        <w:t>Hepatol Res</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38</w:t>
      </w:r>
      <w:r w:rsidRPr="0062622A">
        <w:rPr>
          <w:rFonts w:ascii="Book Antiqua" w:eastAsia="宋体" w:hAnsi="Book Antiqua" w:cs="Times New Roman"/>
          <w:sz w:val="24"/>
          <w:szCs w:val="24"/>
          <w:lang w:eastAsia="zh-CN"/>
        </w:rPr>
        <w:t>: 225-233 [PMID: 18034810]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257 </w:t>
      </w:r>
      <w:r w:rsidRPr="0062622A">
        <w:rPr>
          <w:rFonts w:ascii="Book Antiqua" w:eastAsia="宋体" w:hAnsi="Book Antiqua" w:cs="Times New Roman"/>
          <w:b/>
          <w:bCs/>
          <w:sz w:val="24"/>
          <w:szCs w:val="24"/>
          <w:lang w:eastAsia="zh-CN"/>
        </w:rPr>
        <w:t>Shimizu T</w:t>
      </w:r>
      <w:r w:rsidRPr="0062622A">
        <w:rPr>
          <w:rFonts w:ascii="Book Antiqua" w:eastAsia="宋体" w:hAnsi="Book Antiqua" w:cs="Times New Roman"/>
          <w:sz w:val="24"/>
          <w:szCs w:val="24"/>
          <w:lang w:eastAsia="zh-CN"/>
        </w:rPr>
        <w:t>, Onda M, Tajiri T, Yoshida H, Mamada Y, Taniai N, Aramaki T, Kumazaki T. Bleeding portal-hypertensive gastropathy managed successfully by partial splenic embolization. </w:t>
      </w:r>
      <w:r w:rsidRPr="0062622A">
        <w:rPr>
          <w:rFonts w:ascii="Book Antiqua" w:eastAsia="宋体" w:hAnsi="Book Antiqua" w:cs="Times New Roman"/>
          <w:i/>
          <w:iCs/>
          <w:sz w:val="24"/>
          <w:szCs w:val="24"/>
          <w:lang w:eastAsia="zh-CN"/>
        </w:rPr>
        <w:t>Hepatogastroenterology</w:t>
      </w:r>
      <w:r w:rsidRPr="0062622A">
        <w:rPr>
          <w:rFonts w:ascii="Book Antiqua" w:eastAsia="宋体" w:hAnsi="Book Antiqua" w:cs="Times New Roman"/>
          <w:sz w:val="24"/>
          <w:szCs w:val="24"/>
          <w:lang w:eastAsia="zh-CN"/>
        </w:rPr>
        <w:t> </w:t>
      </w:r>
      <w:r w:rsidRPr="0062622A">
        <w:rPr>
          <w:rFonts w:ascii="Book Antiqua" w:eastAsia="宋体" w:hAnsi="Book Antiqua" w:cs="Times New Roman" w:hint="eastAsia"/>
          <w:sz w:val="24"/>
          <w:szCs w:val="24"/>
          <w:lang w:eastAsia="zh-CN"/>
        </w:rPr>
        <w:t>2002</w:t>
      </w:r>
      <w:r w:rsidRPr="0062622A">
        <w:rPr>
          <w:rFonts w:ascii="Book Antiqua" w:eastAsia="宋体" w:hAnsi="Book Antiqua" w:cs="Times New Roman"/>
          <w:sz w:val="24"/>
          <w:szCs w:val="24"/>
          <w:lang w:eastAsia="zh-CN"/>
        </w:rPr>
        <w:t>; </w:t>
      </w:r>
      <w:r w:rsidRPr="0062622A">
        <w:rPr>
          <w:rFonts w:ascii="Book Antiqua" w:eastAsia="宋体" w:hAnsi="Book Antiqua" w:cs="Times New Roman"/>
          <w:b/>
          <w:bCs/>
          <w:sz w:val="24"/>
          <w:szCs w:val="24"/>
          <w:lang w:eastAsia="zh-CN"/>
        </w:rPr>
        <w:t>49</w:t>
      </w:r>
      <w:r w:rsidRPr="0062622A">
        <w:rPr>
          <w:rFonts w:ascii="Book Antiqua" w:eastAsia="宋体" w:hAnsi="Book Antiqua" w:cs="Times New Roman"/>
          <w:sz w:val="24"/>
          <w:szCs w:val="24"/>
          <w:lang w:eastAsia="zh-CN"/>
        </w:rPr>
        <w:t>: 947-949 [PMID: 12143250]</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258 </w:t>
      </w:r>
      <w:r w:rsidRPr="0062622A">
        <w:rPr>
          <w:rFonts w:ascii="Book Antiqua" w:eastAsia="宋体" w:hAnsi="Book Antiqua" w:cs="Times New Roman"/>
          <w:b/>
          <w:bCs/>
          <w:sz w:val="24"/>
          <w:szCs w:val="24"/>
          <w:lang w:eastAsia="zh-CN"/>
        </w:rPr>
        <w:t>Hosking SW</w:t>
      </w:r>
      <w:r w:rsidRPr="0062622A">
        <w:rPr>
          <w:rFonts w:ascii="Book Antiqua" w:eastAsia="宋体" w:hAnsi="Book Antiqua" w:cs="Times New Roman"/>
          <w:sz w:val="24"/>
          <w:szCs w:val="24"/>
          <w:lang w:eastAsia="zh-CN"/>
        </w:rPr>
        <w:t>. Congestive gastropathy in portal hypertension: variations in prevalence.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1989; </w:t>
      </w:r>
      <w:r w:rsidRPr="0062622A">
        <w:rPr>
          <w:rFonts w:ascii="Book Antiqua" w:eastAsia="宋体" w:hAnsi="Book Antiqua" w:cs="Times New Roman"/>
          <w:b/>
          <w:bCs/>
          <w:sz w:val="24"/>
          <w:szCs w:val="24"/>
          <w:lang w:eastAsia="zh-CN"/>
        </w:rPr>
        <w:t>10</w:t>
      </w:r>
      <w:r w:rsidRPr="0062622A">
        <w:rPr>
          <w:rFonts w:ascii="Book Antiqua" w:eastAsia="宋体" w:hAnsi="Book Antiqua" w:cs="Times New Roman"/>
          <w:sz w:val="24"/>
          <w:szCs w:val="24"/>
          <w:lang w:eastAsia="zh-CN"/>
        </w:rPr>
        <w:t>: 257-258 [PMID: 2663698]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259 </w:t>
      </w:r>
      <w:r w:rsidRPr="0062622A">
        <w:rPr>
          <w:rFonts w:ascii="Book Antiqua" w:eastAsia="宋体" w:hAnsi="Book Antiqua" w:cs="Times New Roman"/>
          <w:b/>
          <w:bCs/>
          <w:sz w:val="24"/>
          <w:szCs w:val="24"/>
          <w:lang w:eastAsia="zh-CN"/>
        </w:rPr>
        <w:t>Garcia-Tsao G</w:t>
      </w:r>
      <w:r w:rsidRPr="0062622A">
        <w:rPr>
          <w:rFonts w:ascii="Book Antiqua" w:eastAsia="宋体" w:hAnsi="Book Antiqua" w:cs="Times New Roman"/>
          <w:sz w:val="24"/>
          <w:szCs w:val="24"/>
          <w:lang w:eastAsia="zh-CN"/>
        </w:rPr>
        <w:t>, Bosch J. Management of varices and variceal hemorrhage in cirrhosis. </w:t>
      </w:r>
      <w:r w:rsidRPr="0062622A">
        <w:rPr>
          <w:rFonts w:ascii="Book Antiqua" w:eastAsia="宋体" w:hAnsi="Book Antiqua" w:cs="Times New Roman"/>
          <w:i/>
          <w:iCs/>
          <w:sz w:val="24"/>
          <w:szCs w:val="24"/>
          <w:lang w:eastAsia="zh-CN"/>
        </w:rPr>
        <w:t>N Engl J Med</w:t>
      </w:r>
      <w:r w:rsidRPr="0062622A">
        <w:rPr>
          <w:rFonts w:ascii="Book Antiqua" w:eastAsia="宋体" w:hAnsi="Book Antiqua" w:cs="Times New Roman"/>
          <w:sz w:val="24"/>
          <w:szCs w:val="24"/>
          <w:lang w:eastAsia="zh-CN"/>
        </w:rPr>
        <w:t> 2010; </w:t>
      </w:r>
      <w:r w:rsidRPr="0062622A">
        <w:rPr>
          <w:rFonts w:ascii="Book Antiqua" w:eastAsia="宋体" w:hAnsi="Book Antiqua" w:cs="Times New Roman"/>
          <w:b/>
          <w:bCs/>
          <w:sz w:val="24"/>
          <w:szCs w:val="24"/>
          <w:lang w:eastAsia="zh-CN"/>
        </w:rPr>
        <w:t>362</w:t>
      </w:r>
      <w:r w:rsidRPr="0062622A">
        <w:rPr>
          <w:rFonts w:ascii="Book Antiqua" w:eastAsia="宋体" w:hAnsi="Book Antiqua" w:cs="Times New Roman"/>
          <w:sz w:val="24"/>
          <w:szCs w:val="24"/>
          <w:lang w:eastAsia="zh-CN"/>
        </w:rPr>
        <w:t>: 823-832 [PMID: 20200386]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260 </w:t>
      </w:r>
      <w:r w:rsidRPr="0062622A">
        <w:rPr>
          <w:rFonts w:ascii="Book Antiqua" w:eastAsia="宋体" w:hAnsi="Book Antiqua" w:cs="Times New Roman"/>
          <w:b/>
          <w:bCs/>
          <w:sz w:val="24"/>
          <w:szCs w:val="24"/>
          <w:lang w:eastAsia="zh-CN"/>
        </w:rPr>
        <w:t>Ripoll C</w:t>
      </w:r>
      <w:r w:rsidRPr="0062622A">
        <w:rPr>
          <w:rFonts w:ascii="Book Antiqua" w:eastAsia="宋体" w:hAnsi="Book Antiqua" w:cs="Times New Roman"/>
          <w:sz w:val="24"/>
          <w:szCs w:val="24"/>
          <w:lang w:eastAsia="zh-CN"/>
        </w:rPr>
        <w:t>, Garcia-Tsao G. The management of portal hypertensive gastropathy and gastric antral vascular ectasia. </w:t>
      </w:r>
      <w:r w:rsidRPr="0062622A">
        <w:rPr>
          <w:rFonts w:ascii="Book Antiqua" w:eastAsia="宋体" w:hAnsi="Book Antiqua" w:cs="Times New Roman"/>
          <w:i/>
          <w:iCs/>
          <w:sz w:val="24"/>
          <w:szCs w:val="24"/>
          <w:lang w:eastAsia="zh-CN"/>
        </w:rPr>
        <w:t>Dig Liver Dis</w:t>
      </w:r>
      <w:r w:rsidRPr="0062622A">
        <w:rPr>
          <w:rFonts w:ascii="Book Antiqua" w:eastAsia="宋体" w:hAnsi="Book Antiqua" w:cs="Times New Roman"/>
          <w:sz w:val="24"/>
          <w:szCs w:val="24"/>
          <w:lang w:eastAsia="zh-CN"/>
        </w:rPr>
        <w:t> 2011; </w:t>
      </w:r>
      <w:r w:rsidRPr="0062622A">
        <w:rPr>
          <w:rFonts w:ascii="Book Antiqua" w:eastAsia="宋体" w:hAnsi="Book Antiqua" w:cs="Times New Roman"/>
          <w:b/>
          <w:bCs/>
          <w:sz w:val="24"/>
          <w:szCs w:val="24"/>
          <w:lang w:eastAsia="zh-CN"/>
        </w:rPr>
        <w:t>43</w:t>
      </w:r>
      <w:r w:rsidRPr="0062622A">
        <w:rPr>
          <w:rFonts w:ascii="Book Antiqua" w:eastAsia="宋体" w:hAnsi="Book Antiqua" w:cs="Times New Roman"/>
          <w:sz w:val="24"/>
          <w:szCs w:val="24"/>
          <w:lang w:eastAsia="zh-CN"/>
        </w:rPr>
        <w:t>: 345-351 [PMID: 21095166 DOI: 10.1016/j.dld.2010.10.006]</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261 </w:t>
      </w:r>
      <w:r w:rsidRPr="0062622A">
        <w:rPr>
          <w:rFonts w:ascii="Book Antiqua" w:eastAsia="宋体" w:hAnsi="Book Antiqua" w:cs="Times New Roman"/>
          <w:b/>
          <w:bCs/>
          <w:sz w:val="24"/>
          <w:szCs w:val="24"/>
          <w:lang w:eastAsia="zh-CN"/>
        </w:rPr>
        <w:t>Kravetz D</w:t>
      </w:r>
      <w:r w:rsidRPr="0062622A">
        <w:rPr>
          <w:rFonts w:ascii="Book Antiqua" w:eastAsia="宋体" w:hAnsi="Book Antiqua" w:cs="Times New Roman"/>
          <w:sz w:val="24"/>
          <w:szCs w:val="24"/>
          <w:lang w:eastAsia="zh-CN"/>
        </w:rPr>
        <w:t>, Sikuler E, Groszmann RJ. Splanchnic and systemic hemodynamics in portal hypertensive rats during hemorrhage and blood volume restitution.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1986; </w:t>
      </w:r>
      <w:r w:rsidRPr="0062622A">
        <w:rPr>
          <w:rFonts w:ascii="Book Antiqua" w:eastAsia="宋体" w:hAnsi="Book Antiqua" w:cs="Times New Roman"/>
          <w:b/>
          <w:bCs/>
          <w:sz w:val="24"/>
          <w:szCs w:val="24"/>
          <w:lang w:eastAsia="zh-CN"/>
        </w:rPr>
        <w:t>90</w:t>
      </w:r>
      <w:r w:rsidRPr="0062622A">
        <w:rPr>
          <w:rFonts w:ascii="Book Antiqua" w:eastAsia="宋体" w:hAnsi="Book Antiqua" w:cs="Times New Roman"/>
          <w:sz w:val="24"/>
          <w:szCs w:val="24"/>
          <w:lang w:eastAsia="zh-CN"/>
        </w:rPr>
        <w:t>: 1232-1240 [PMID: 3956942]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262 </w:t>
      </w:r>
      <w:r w:rsidRPr="0062622A">
        <w:rPr>
          <w:rFonts w:ascii="Book Antiqua" w:eastAsia="宋体" w:hAnsi="Book Antiqua" w:cs="Times New Roman"/>
          <w:b/>
          <w:bCs/>
          <w:sz w:val="24"/>
          <w:szCs w:val="24"/>
          <w:lang w:eastAsia="zh-CN"/>
        </w:rPr>
        <w:t>Toubia N</w:t>
      </w:r>
      <w:r w:rsidRPr="0062622A">
        <w:rPr>
          <w:rFonts w:ascii="Book Antiqua" w:eastAsia="宋体" w:hAnsi="Book Antiqua" w:cs="Times New Roman"/>
          <w:sz w:val="24"/>
          <w:szCs w:val="24"/>
          <w:lang w:eastAsia="zh-CN"/>
        </w:rPr>
        <w:t>, Sanyal AJ. Portal hypertension and variceal hemorrhage. </w:t>
      </w:r>
      <w:r w:rsidRPr="0062622A">
        <w:rPr>
          <w:rFonts w:ascii="Book Antiqua" w:eastAsia="宋体" w:hAnsi="Book Antiqua" w:cs="Times New Roman"/>
          <w:i/>
          <w:iCs/>
          <w:sz w:val="24"/>
          <w:szCs w:val="24"/>
          <w:lang w:eastAsia="zh-CN"/>
        </w:rPr>
        <w:t>Med Clin North Am</w:t>
      </w:r>
      <w:r w:rsidRPr="0062622A">
        <w:rPr>
          <w:rFonts w:ascii="Book Antiqua" w:eastAsia="宋体" w:hAnsi="Book Antiqua" w:cs="Times New Roman"/>
          <w:sz w:val="24"/>
          <w:szCs w:val="24"/>
          <w:lang w:eastAsia="zh-CN"/>
        </w:rPr>
        <w:t> 2008; </w:t>
      </w:r>
      <w:r w:rsidRPr="0062622A">
        <w:rPr>
          <w:rFonts w:ascii="Book Antiqua" w:eastAsia="宋体" w:hAnsi="Book Antiqua" w:cs="Times New Roman"/>
          <w:b/>
          <w:bCs/>
          <w:sz w:val="24"/>
          <w:szCs w:val="24"/>
          <w:lang w:eastAsia="zh-CN"/>
        </w:rPr>
        <w:t>92</w:t>
      </w:r>
      <w:r w:rsidRPr="0062622A">
        <w:rPr>
          <w:rFonts w:ascii="Book Antiqua" w:eastAsia="宋体" w:hAnsi="Book Antiqua" w:cs="Times New Roman"/>
          <w:sz w:val="24"/>
          <w:szCs w:val="24"/>
          <w:lang w:eastAsia="zh-CN"/>
        </w:rPr>
        <w:t>: 551-74, viii [PMID: 18387376 DOI: 10.1016/j.mcna.2007.12.003]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263 </w:t>
      </w:r>
      <w:r w:rsidRPr="0062622A">
        <w:rPr>
          <w:rFonts w:ascii="Book Antiqua" w:eastAsia="宋体" w:hAnsi="Book Antiqua" w:cs="Times New Roman"/>
          <w:b/>
          <w:bCs/>
          <w:sz w:val="24"/>
          <w:szCs w:val="24"/>
          <w:lang w:eastAsia="zh-CN"/>
        </w:rPr>
        <w:t>Hogue CW</w:t>
      </w:r>
      <w:r w:rsidRPr="0062622A">
        <w:rPr>
          <w:rFonts w:ascii="Book Antiqua" w:eastAsia="宋体" w:hAnsi="Book Antiqua" w:cs="Times New Roman"/>
          <w:sz w:val="24"/>
          <w:szCs w:val="24"/>
          <w:lang w:eastAsia="zh-CN"/>
        </w:rPr>
        <w:t>, Goodnough LT, Monk TG. Perioperative myocardial ischemic episodes are related to hematocrit level in patients undergoing radical prostatectomy. </w:t>
      </w:r>
      <w:r w:rsidRPr="0062622A">
        <w:rPr>
          <w:rFonts w:ascii="Book Antiqua" w:eastAsia="宋体" w:hAnsi="Book Antiqua" w:cs="Times New Roman"/>
          <w:i/>
          <w:iCs/>
          <w:sz w:val="24"/>
          <w:szCs w:val="24"/>
          <w:lang w:eastAsia="zh-CN"/>
        </w:rPr>
        <w:t>Transfusion</w:t>
      </w:r>
      <w:r w:rsidRPr="0062622A">
        <w:rPr>
          <w:rFonts w:ascii="Book Antiqua" w:eastAsia="宋体" w:hAnsi="Book Antiqua" w:cs="Times New Roman"/>
          <w:sz w:val="24"/>
          <w:szCs w:val="24"/>
          <w:lang w:eastAsia="zh-CN"/>
        </w:rPr>
        <w:t> 1998; </w:t>
      </w:r>
      <w:r w:rsidRPr="0062622A">
        <w:rPr>
          <w:rFonts w:ascii="Book Antiqua" w:eastAsia="宋体" w:hAnsi="Book Antiqua" w:cs="Times New Roman"/>
          <w:b/>
          <w:bCs/>
          <w:sz w:val="24"/>
          <w:szCs w:val="24"/>
          <w:lang w:eastAsia="zh-CN"/>
        </w:rPr>
        <w:t>38</w:t>
      </w:r>
      <w:r w:rsidRPr="0062622A">
        <w:rPr>
          <w:rFonts w:ascii="Book Antiqua" w:eastAsia="宋体" w:hAnsi="Book Antiqua" w:cs="Times New Roman"/>
          <w:sz w:val="24"/>
          <w:szCs w:val="24"/>
          <w:lang w:eastAsia="zh-CN"/>
        </w:rPr>
        <w:t>: 924-931 [PMID: 9767742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10.1046/j.1537-2995.1998.381098440856.x]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264 </w:t>
      </w:r>
      <w:r w:rsidRPr="0062622A">
        <w:rPr>
          <w:rFonts w:ascii="Book Antiqua" w:eastAsia="宋体" w:hAnsi="Book Antiqua" w:cs="Times New Roman"/>
          <w:b/>
          <w:bCs/>
          <w:sz w:val="24"/>
          <w:szCs w:val="24"/>
          <w:lang w:eastAsia="zh-CN"/>
        </w:rPr>
        <w:t>Hwang JH</w:t>
      </w:r>
      <w:r w:rsidRPr="0062622A">
        <w:rPr>
          <w:rFonts w:ascii="Book Antiqua" w:eastAsia="宋体" w:hAnsi="Book Antiqua" w:cs="Times New Roman"/>
          <w:sz w:val="24"/>
          <w:szCs w:val="24"/>
          <w:lang w:eastAsia="zh-CN"/>
        </w:rPr>
        <w:t>, Shergill AK, Acosta RD, Chandrasekhara V, Chathadi KV, Decker GA, Early DS, Evans JA, Fanelli RD, Fisher DA, Foley KQ, Fonkalsrud L, Jue T, Khashab MA, Lightdale JR, Muthusamy VR, Pasha SF, Saltzman JR, Sharaf R, Cash BD. The role of endoscopy in the management of variceal hemorrhage.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80</w:t>
      </w:r>
      <w:r w:rsidRPr="0062622A">
        <w:rPr>
          <w:rFonts w:ascii="Book Antiqua" w:eastAsia="宋体" w:hAnsi="Book Antiqua" w:cs="Times New Roman"/>
          <w:sz w:val="24"/>
          <w:szCs w:val="24"/>
          <w:lang w:eastAsia="zh-CN"/>
        </w:rPr>
        <w:t>: 221-227 [PMID: 25034836 DOI: 10.1016/j.gie.2013.07.023]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lastRenderedPageBreak/>
        <w:t>265 </w:t>
      </w:r>
      <w:r w:rsidRPr="0062622A">
        <w:rPr>
          <w:rFonts w:ascii="Book Antiqua" w:eastAsia="宋体" w:hAnsi="Book Antiqua" w:cs="Times New Roman"/>
          <w:b/>
          <w:bCs/>
          <w:sz w:val="24"/>
          <w:szCs w:val="24"/>
          <w:lang w:eastAsia="zh-CN"/>
        </w:rPr>
        <w:t>Soares-Weiser K</w:t>
      </w:r>
      <w:r w:rsidRPr="0062622A">
        <w:rPr>
          <w:rFonts w:ascii="Book Antiqua" w:eastAsia="宋体" w:hAnsi="Book Antiqua" w:cs="Times New Roman"/>
          <w:sz w:val="24"/>
          <w:szCs w:val="24"/>
          <w:lang w:eastAsia="zh-CN"/>
        </w:rPr>
        <w:t>, Brezis M, Tur-Kaspa R, Leibovici L. Antibiotic prophylaxis for cirrhotic patients with gastrointestinal bleeding. </w:t>
      </w:r>
      <w:r w:rsidRPr="0062622A">
        <w:rPr>
          <w:rFonts w:ascii="Book Antiqua" w:eastAsia="宋体" w:hAnsi="Book Antiqua" w:cs="Times New Roman"/>
          <w:i/>
          <w:iCs/>
          <w:sz w:val="24"/>
          <w:szCs w:val="24"/>
          <w:lang w:eastAsia="zh-CN"/>
        </w:rPr>
        <w:t>Cochrane Database Syst Rev</w:t>
      </w:r>
      <w:r w:rsidRPr="0062622A">
        <w:rPr>
          <w:rFonts w:ascii="Book Antiqua" w:eastAsia="宋体" w:hAnsi="Book Antiqua" w:cs="Times New Roman"/>
          <w:sz w:val="24"/>
          <w:szCs w:val="24"/>
          <w:lang w:eastAsia="zh-CN"/>
        </w:rPr>
        <w:t> 2002; </w:t>
      </w:r>
      <w:r w:rsidRPr="0062622A">
        <w:rPr>
          <w:rFonts w:ascii="Book Antiqua" w:eastAsia="宋体" w:hAnsi="Book Antiqua" w:cs="Times New Roman" w:hint="eastAsia"/>
          <w:b/>
          <w:sz w:val="24"/>
          <w:szCs w:val="24"/>
          <w:lang w:eastAsia="zh-CN"/>
        </w:rPr>
        <w:t>(2)</w:t>
      </w:r>
      <w:r w:rsidRPr="0062622A">
        <w:rPr>
          <w:rFonts w:ascii="Book Antiqua" w:eastAsia="宋体" w:hAnsi="Book Antiqua" w:cs="Times New Roman"/>
          <w:sz w:val="24"/>
          <w:szCs w:val="24"/>
          <w:lang w:eastAsia="zh-CN"/>
        </w:rPr>
        <w:t>: CD002907 [PMID: 12076458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10.1002/14651858.cd002907]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266 </w:t>
      </w:r>
      <w:r w:rsidRPr="0062622A">
        <w:rPr>
          <w:rFonts w:ascii="Book Antiqua" w:eastAsia="宋体" w:hAnsi="Book Antiqua" w:cs="Times New Roman"/>
          <w:b/>
          <w:bCs/>
          <w:sz w:val="24"/>
          <w:szCs w:val="24"/>
          <w:lang w:eastAsia="zh-CN"/>
        </w:rPr>
        <w:t>Soares-Weiser K</w:t>
      </w:r>
      <w:r w:rsidRPr="0062622A">
        <w:rPr>
          <w:rFonts w:ascii="Book Antiqua" w:eastAsia="宋体" w:hAnsi="Book Antiqua" w:cs="Times New Roman"/>
          <w:sz w:val="24"/>
          <w:szCs w:val="24"/>
          <w:lang w:eastAsia="zh-CN"/>
        </w:rPr>
        <w:t>, Brezis M, Tur-Kaspa R, Paul M, Yahav J, Leibovici L. Antibiotic prophylaxis of bacterial infections in cirrhotic inpatients: a meta-analysis of randomized controlled trials. </w:t>
      </w:r>
      <w:r w:rsidRPr="0062622A">
        <w:rPr>
          <w:rFonts w:ascii="Book Antiqua" w:eastAsia="宋体" w:hAnsi="Book Antiqua" w:cs="Times New Roman"/>
          <w:i/>
          <w:iCs/>
          <w:sz w:val="24"/>
          <w:szCs w:val="24"/>
          <w:lang w:eastAsia="zh-CN"/>
        </w:rPr>
        <w:t>Scand J Gastroenterol</w:t>
      </w:r>
      <w:r w:rsidRPr="0062622A">
        <w:rPr>
          <w:rFonts w:ascii="Book Antiqua" w:eastAsia="宋体" w:hAnsi="Book Antiqua" w:cs="Times New Roman"/>
          <w:sz w:val="24"/>
          <w:szCs w:val="24"/>
          <w:lang w:eastAsia="zh-CN"/>
        </w:rPr>
        <w:t> 2003; </w:t>
      </w:r>
      <w:r w:rsidRPr="0062622A">
        <w:rPr>
          <w:rFonts w:ascii="Book Antiqua" w:eastAsia="宋体" w:hAnsi="Book Antiqua" w:cs="Times New Roman"/>
          <w:b/>
          <w:bCs/>
          <w:sz w:val="24"/>
          <w:szCs w:val="24"/>
          <w:lang w:eastAsia="zh-CN"/>
        </w:rPr>
        <w:t>38</w:t>
      </w:r>
      <w:r w:rsidRPr="0062622A">
        <w:rPr>
          <w:rFonts w:ascii="Book Antiqua" w:eastAsia="宋体" w:hAnsi="Book Antiqua" w:cs="Times New Roman"/>
          <w:sz w:val="24"/>
          <w:szCs w:val="24"/>
          <w:lang w:eastAsia="zh-CN"/>
        </w:rPr>
        <w:t>: 193-200 [PMID: 12678337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10.1080/00365520310000690]</w:t>
      </w:r>
    </w:p>
    <w:p w:rsidR="0062622A" w:rsidRPr="0062622A" w:rsidRDefault="0062622A" w:rsidP="0062622A">
      <w:pPr>
        <w:spacing w:before="240"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267 </w:t>
      </w:r>
      <w:r w:rsidRPr="0062622A">
        <w:rPr>
          <w:rFonts w:ascii="Book Antiqua" w:eastAsia="宋体" w:hAnsi="Book Antiqua" w:cs="Times New Roman"/>
          <w:b/>
          <w:bCs/>
          <w:sz w:val="24"/>
          <w:szCs w:val="24"/>
          <w:lang w:eastAsia="zh-CN"/>
        </w:rPr>
        <w:t>Chavez-Tapia NC</w:t>
      </w:r>
      <w:r w:rsidRPr="0062622A">
        <w:rPr>
          <w:rFonts w:ascii="Book Antiqua" w:eastAsia="宋体" w:hAnsi="Book Antiqua" w:cs="Times New Roman"/>
          <w:sz w:val="24"/>
          <w:szCs w:val="24"/>
          <w:lang w:eastAsia="zh-CN"/>
        </w:rPr>
        <w:t>, Soares-Weiser K, Brezis M, Leibovici L. Antibiotics for spontaneous bacterial peritonitis in cirrhotic patients. </w:t>
      </w:r>
      <w:r w:rsidRPr="0062622A">
        <w:rPr>
          <w:rFonts w:ascii="Book Antiqua" w:eastAsia="宋体" w:hAnsi="Book Antiqua" w:cs="Times New Roman"/>
          <w:i/>
          <w:iCs/>
          <w:sz w:val="24"/>
          <w:szCs w:val="24"/>
          <w:lang w:eastAsia="zh-CN"/>
        </w:rPr>
        <w:t>Cochrane Database Syst Rev</w:t>
      </w:r>
      <w:r w:rsidRPr="0062622A">
        <w:rPr>
          <w:rFonts w:ascii="Book Antiqua" w:eastAsia="宋体" w:hAnsi="Book Antiqua" w:cs="Times New Roman"/>
          <w:sz w:val="24"/>
          <w:szCs w:val="24"/>
          <w:lang w:eastAsia="zh-CN"/>
        </w:rPr>
        <w:t> 2009; </w:t>
      </w:r>
      <w:r w:rsidRPr="0062622A">
        <w:rPr>
          <w:rFonts w:ascii="Book Antiqua" w:eastAsia="宋体" w:hAnsi="Book Antiqua" w:cs="Times New Roman" w:hint="eastAsia"/>
          <w:b/>
          <w:sz w:val="24"/>
          <w:szCs w:val="24"/>
          <w:lang w:eastAsia="zh-CN"/>
        </w:rPr>
        <w:t>(1)</w:t>
      </w:r>
      <w:r w:rsidRPr="0062622A">
        <w:rPr>
          <w:rFonts w:ascii="Book Antiqua" w:eastAsia="宋体" w:hAnsi="Book Antiqua" w:cs="Times New Roman"/>
          <w:sz w:val="24"/>
          <w:szCs w:val="24"/>
          <w:lang w:eastAsia="zh-CN"/>
        </w:rPr>
        <w:t>: CD002232 [PMID: 19160207 DOI: 10.1002/14651858.CD002232.pub2]</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268 </w:t>
      </w:r>
      <w:r w:rsidRPr="0062622A">
        <w:rPr>
          <w:rFonts w:ascii="Book Antiqua" w:eastAsia="宋体" w:hAnsi="Book Antiqua" w:cs="Times New Roman"/>
          <w:b/>
          <w:bCs/>
          <w:sz w:val="24"/>
          <w:szCs w:val="24"/>
          <w:lang w:eastAsia="zh-CN"/>
        </w:rPr>
        <w:t>de Franchis R</w:t>
      </w:r>
      <w:r w:rsidRPr="0062622A">
        <w:rPr>
          <w:rFonts w:ascii="Book Antiqua" w:eastAsia="宋体" w:hAnsi="Book Antiqua" w:cs="Times New Roman"/>
          <w:sz w:val="24"/>
          <w:szCs w:val="24"/>
          <w:lang w:eastAsia="zh-CN"/>
        </w:rPr>
        <w:t>. Evolving consensus in portal hypertension. Report of the Baveno IV consensus workshop on methodology of diagnosis and therapy in portal hypertension. </w:t>
      </w:r>
      <w:r w:rsidRPr="0062622A">
        <w:rPr>
          <w:rFonts w:ascii="Book Antiqua" w:eastAsia="宋体" w:hAnsi="Book Antiqua" w:cs="Times New Roman"/>
          <w:i/>
          <w:iCs/>
          <w:sz w:val="24"/>
          <w:szCs w:val="24"/>
          <w:lang w:eastAsia="zh-CN"/>
        </w:rPr>
        <w:t>J Hepatol</w:t>
      </w:r>
      <w:r w:rsidRPr="0062622A">
        <w:rPr>
          <w:rFonts w:ascii="Book Antiqua" w:eastAsia="宋体" w:hAnsi="Book Antiqua" w:cs="Times New Roman"/>
          <w:sz w:val="24"/>
          <w:szCs w:val="24"/>
          <w:lang w:eastAsia="zh-CN"/>
        </w:rPr>
        <w:t> 2005; </w:t>
      </w:r>
      <w:r w:rsidRPr="0062622A">
        <w:rPr>
          <w:rFonts w:ascii="Book Antiqua" w:eastAsia="宋体" w:hAnsi="Book Antiqua" w:cs="Times New Roman"/>
          <w:b/>
          <w:bCs/>
          <w:sz w:val="24"/>
          <w:szCs w:val="24"/>
          <w:lang w:eastAsia="zh-CN"/>
        </w:rPr>
        <w:t>43</w:t>
      </w:r>
      <w:r w:rsidRPr="0062622A">
        <w:rPr>
          <w:rFonts w:ascii="Book Antiqua" w:eastAsia="宋体" w:hAnsi="Book Antiqua" w:cs="Times New Roman"/>
          <w:sz w:val="24"/>
          <w:szCs w:val="24"/>
          <w:lang w:eastAsia="zh-CN"/>
        </w:rPr>
        <w:t>: 167-176 [PMID: 15925423]</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269 </w:t>
      </w:r>
      <w:r w:rsidRPr="0062622A">
        <w:rPr>
          <w:rFonts w:ascii="Book Antiqua" w:eastAsia="宋体" w:hAnsi="Book Antiqua" w:cs="Times New Roman"/>
          <w:b/>
          <w:bCs/>
          <w:sz w:val="24"/>
          <w:szCs w:val="24"/>
          <w:lang w:eastAsia="zh-CN"/>
        </w:rPr>
        <w:t>Cremers I</w:t>
      </w:r>
      <w:r w:rsidRPr="0062622A">
        <w:rPr>
          <w:rFonts w:ascii="Book Antiqua" w:eastAsia="宋体" w:hAnsi="Book Antiqua" w:cs="Times New Roman"/>
          <w:sz w:val="24"/>
          <w:szCs w:val="24"/>
          <w:lang w:eastAsia="zh-CN"/>
        </w:rPr>
        <w:t>, Ribeiro S. Management of variceal and nonvariceal upper gastrointestinal bleeding in patients with cirrhosis. </w:t>
      </w:r>
      <w:r w:rsidRPr="0062622A">
        <w:rPr>
          <w:rFonts w:ascii="Book Antiqua" w:eastAsia="宋体" w:hAnsi="Book Antiqua" w:cs="Times New Roman"/>
          <w:i/>
          <w:iCs/>
          <w:sz w:val="24"/>
          <w:szCs w:val="24"/>
          <w:lang w:eastAsia="zh-CN"/>
        </w:rPr>
        <w:t>Therap Adv Gastroenterol</w:t>
      </w:r>
      <w:r w:rsidRPr="0062622A">
        <w:rPr>
          <w:rFonts w:ascii="Book Antiqua" w:eastAsia="宋体" w:hAnsi="Book Antiqua" w:cs="Times New Roman"/>
          <w:sz w:val="24"/>
          <w:szCs w:val="24"/>
          <w:lang w:eastAsia="zh-CN"/>
        </w:rPr>
        <w:t> 2014; </w:t>
      </w:r>
      <w:r w:rsidRPr="0062622A">
        <w:rPr>
          <w:rFonts w:ascii="Book Antiqua" w:eastAsia="宋体" w:hAnsi="Book Antiqua" w:cs="Times New Roman"/>
          <w:b/>
          <w:bCs/>
          <w:sz w:val="24"/>
          <w:szCs w:val="24"/>
          <w:lang w:eastAsia="zh-CN"/>
        </w:rPr>
        <w:t>7</w:t>
      </w:r>
      <w:r w:rsidRPr="0062622A">
        <w:rPr>
          <w:rFonts w:ascii="Book Antiqua" w:eastAsia="宋体" w:hAnsi="Book Antiqua" w:cs="Times New Roman"/>
          <w:sz w:val="24"/>
          <w:szCs w:val="24"/>
          <w:lang w:eastAsia="zh-CN"/>
        </w:rPr>
        <w:t>: 206-216 [PMID: 25177367 DOI: 10.1177/1756283X14538688]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270 </w:t>
      </w:r>
      <w:r w:rsidRPr="0062622A">
        <w:rPr>
          <w:rFonts w:ascii="Book Antiqua" w:eastAsia="宋体" w:hAnsi="Book Antiqua" w:cs="Times New Roman"/>
          <w:b/>
          <w:bCs/>
          <w:sz w:val="24"/>
          <w:szCs w:val="24"/>
          <w:lang w:eastAsia="zh-CN"/>
        </w:rPr>
        <w:t>Snyder P</w:t>
      </w:r>
      <w:r w:rsidRPr="0062622A">
        <w:rPr>
          <w:rFonts w:ascii="Book Antiqua" w:eastAsia="宋体" w:hAnsi="Book Antiqua" w:cs="Times New Roman"/>
          <w:sz w:val="24"/>
          <w:szCs w:val="24"/>
          <w:lang w:eastAsia="zh-CN"/>
        </w:rPr>
        <w:t>, Ali R, Poles M, Gross SA. Portal hypertensive gastropathy with a focus on management. </w:t>
      </w:r>
      <w:r w:rsidRPr="0062622A">
        <w:rPr>
          <w:rFonts w:ascii="Book Antiqua" w:eastAsia="宋体" w:hAnsi="Book Antiqua" w:cs="Times New Roman"/>
          <w:i/>
          <w:iCs/>
          <w:sz w:val="24"/>
          <w:szCs w:val="24"/>
          <w:lang w:eastAsia="zh-CN"/>
        </w:rPr>
        <w:t>Expert Rev Gastroenterol Hepatol</w:t>
      </w:r>
      <w:r w:rsidRPr="0062622A">
        <w:rPr>
          <w:rFonts w:ascii="Book Antiqua" w:eastAsia="宋体" w:hAnsi="Book Antiqua" w:cs="Times New Roman"/>
          <w:sz w:val="24"/>
          <w:szCs w:val="24"/>
          <w:lang w:eastAsia="zh-CN"/>
        </w:rPr>
        <w:t> 2015; </w:t>
      </w:r>
      <w:r w:rsidRPr="0062622A">
        <w:rPr>
          <w:rFonts w:ascii="Book Antiqua" w:eastAsia="宋体" w:hAnsi="Book Antiqua" w:cs="Times New Roman"/>
          <w:b/>
          <w:bCs/>
          <w:sz w:val="24"/>
          <w:szCs w:val="24"/>
          <w:lang w:eastAsia="zh-CN"/>
        </w:rPr>
        <w:t>9</w:t>
      </w:r>
      <w:r w:rsidRPr="0062622A">
        <w:rPr>
          <w:rFonts w:ascii="Book Antiqua" w:eastAsia="宋体" w:hAnsi="Book Antiqua" w:cs="Times New Roman"/>
          <w:sz w:val="24"/>
          <w:szCs w:val="24"/>
          <w:lang w:eastAsia="zh-CN"/>
        </w:rPr>
        <w:t>: 1207-1216 [PMID: 26293979 DOI: 10.1586/17474124.2015.1059275]</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271 </w:t>
      </w:r>
      <w:r w:rsidRPr="0062622A">
        <w:rPr>
          <w:rFonts w:ascii="Book Antiqua" w:eastAsia="宋体" w:hAnsi="Book Antiqua" w:cs="Times New Roman"/>
          <w:b/>
          <w:bCs/>
          <w:sz w:val="24"/>
          <w:szCs w:val="24"/>
          <w:lang w:eastAsia="zh-CN"/>
        </w:rPr>
        <w:t>Cirera I</w:t>
      </w:r>
      <w:r w:rsidRPr="0062622A">
        <w:rPr>
          <w:rFonts w:ascii="Book Antiqua" w:eastAsia="宋体" w:hAnsi="Book Antiqua" w:cs="Times New Roman"/>
          <w:sz w:val="24"/>
          <w:szCs w:val="24"/>
          <w:lang w:eastAsia="zh-CN"/>
        </w:rPr>
        <w:t>, Feu F, Luca A, García-Pagán JC, Fernández M, Escorsell A, Bosch J, Rodés J. Effects of bolus injections and continuous infusions of somatostatin and placebo in patients with cirrhosis: a double-blind hemodynamic investigation. </w:t>
      </w:r>
      <w:r w:rsidRPr="0062622A">
        <w:rPr>
          <w:rFonts w:ascii="Book Antiqua" w:eastAsia="宋体" w:hAnsi="Book Antiqua" w:cs="Times New Roman"/>
          <w:i/>
          <w:iCs/>
          <w:sz w:val="24"/>
          <w:szCs w:val="24"/>
          <w:lang w:eastAsia="zh-CN"/>
        </w:rPr>
        <w:t>Hepatology</w:t>
      </w:r>
      <w:r w:rsidRPr="0062622A">
        <w:rPr>
          <w:rFonts w:ascii="Book Antiqua" w:eastAsia="宋体" w:hAnsi="Book Antiqua" w:cs="Times New Roman"/>
          <w:sz w:val="24"/>
          <w:szCs w:val="24"/>
          <w:lang w:eastAsia="zh-CN"/>
        </w:rPr>
        <w:t> 1995; </w:t>
      </w:r>
      <w:r w:rsidRPr="0062622A">
        <w:rPr>
          <w:rFonts w:ascii="Book Antiqua" w:eastAsia="宋体" w:hAnsi="Book Antiqua" w:cs="Times New Roman"/>
          <w:b/>
          <w:bCs/>
          <w:sz w:val="24"/>
          <w:szCs w:val="24"/>
          <w:lang w:eastAsia="zh-CN"/>
        </w:rPr>
        <w:t>22</w:t>
      </w:r>
      <w:r w:rsidRPr="0062622A">
        <w:rPr>
          <w:rFonts w:ascii="Book Antiqua" w:eastAsia="宋体" w:hAnsi="Book Antiqua" w:cs="Times New Roman"/>
          <w:sz w:val="24"/>
          <w:szCs w:val="24"/>
          <w:lang w:eastAsia="zh-CN"/>
        </w:rPr>
        <w:t>: 106-111 [PMID: 7601400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10.1016/0270-9139(95)90360-7]</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272 </w:t>
      </w:r>
      <w:r w:rsidRPr="0062622A">
        <w:rPr>
          <w:rFonts w:ascii="Book Antiqua" w:eastAsia="宋体" w:hAnsi="Book Antiqua" w:cs="Times New Roman"/>
          <w:b/>
          <w:bCs/>
          <w:sz w:val="24"/>
          <w:szCs w:val="24"/>
          <w:lang w:eastAsia="zh-CN"/>
        </w:rPr>
        <w:t>Villanueva C</w:t>
      </w:r>
      <w:r w:rsidRPr="0062622A">
        <w:rPr>
          <w:rFonts w:ascii="Book Antiqua" w:eastAsia="宋体" w:hAnsi="Book Antiqua" w:cs="Times New Roman"/>
          <w:sz w:val="24"/>
          <w:szCs w:val="24"/>
          <w:lang w:eastAsia="zh-CN"/>
        </w:rPr>
        <w:t>, Planella M, Aracil C, López-Balaguer JM, González B, Miñana J, Balanzó J. Hemodynamic effects of terlipressin and high somatostatin dose during acute variceal bleeding in nonresponders to the usual somatostatin dose. </w:t>
      </w:r>
      <w:r w:rsidRPr="0062622A">
        <w:rPr>
          <w:rFonts w:ascii="Book Antiqua" w:eastAsia="宋体" w:hAnsi="Book Antiqua" w:cs="Times New Roman"/>
          <w:i/>
          <w:iCs/>
          <w:sz w:val="24"/>
          <w:szCs w:val="24"/>
          <w:lang w:eastAsia="zh-CN"/>
        </w:rPr>
        <w:t>Am J Gastroenterol</w:t>
      </w:r>
      <w:r w:rsidRPr="0062622A">
        <w:rPr>
          <w:rFonts w:ascii="Book Antiqua" w:eastAsia="宋体" w:hAnsi="Book Antiqua" w:cs="Times New Roman"/>
          <w:sz w:val="24"/>
          <w:szCs w:val="24"/>
          <w:lang w:eastAsia="zh-CN"/>
        </w:rPr>
        <w:t> 2005; </w:t>
      </w:r>
      <w:r w:rsidRPr="0062622A">
        <w:rPr>
          <w:rFonts w:ascii="Book Antiqua" w:eastAsia="宋体" w:hAnsi="Book Antiqua" w:cs="Times New Roman"/>
          <w:b/>
          <w:bCs/>
          <w:sz w:val="24"/>
          <w:szCs w:val="24"/>
          <w:lang w:eastAsia="zh-CN"/>
        </w:rPr>
        <w:t>100</w:t>
      </w:r>
      <w:r w:rsidRPr="0062622A">
        <w:rPr>
          <w:rFonts w:ascii="Book Antiqua" w:eastAsia="宋体" w:hAnsi="Book Antiqua" w:cs="Times New Roman"/>
          <w:sz w:val="24"/>
          <w:szCs w:val="24"/>
          <w:lang w:eastAsia="zh-CN"/>
        </w:rPr>
        <w:t>: 624-630 [PMID: 15743361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10.1111/j.1572-0241.2004.40665.x]</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273 </w:t>
      </w:r>
      <w:r w:rsidRPr="0062622A">
        <w:rPr>
          <w:rFonts w:ascii="Book Antiqua" w:eastAsia="宋体" w:hAnsi="Book Antiqua" w:cs="Times New Roman"/>
          <w:b/>
          <w:bCs/>
          <w:sz w:val="24"/>
          <w:szCs w:val="24"/>
          <w:lang w:eastAsia="zh-CN"/>
        </w:rPr>
        <w:t>Oluyemi A</w:t>
      </w:r>
      <w:r w:rsidRPr="0062622A">
        <w:rPr>
          <w:rFonts w:ascii="Book Antiqua" w:eastAsia="宋体" w:hAnsi="Book Antiqua" w:cs="Times New Roman"/>
          <w:sz w:val="24"/>
          <w:szCs w:val="24"/>
          <w:lang w:eastAsia="zh-CN"/>
        </w:rPr>
        <w:t xml:space="preserve">, Amole A. Portal hypertensive duodenopathy manifesting as "kissing" duodenal ulcers in a nigerian with alcoholic cirrhosis: a case report and brief review of </w:t>
      </w:r>
      <w:r w:rsidRPr="0062622A">
        <w:rPr>
          <w:rFonts w:ascii="Book Antiqua" w:eastAsia="宋体" w:hAnsi="Book Antiqua" w:cs="Times New Roman"/>
          <w:sz w:val="24"/>
          <w:szCs w:val="24"/>
          <w:lang w:eastAsia="zh-CN"/>
        </w:rPr>
        <w:lastRenderedPageBreak/>
        <w:t>the literature. </w:t>
      </w:r>
      <w:r w:rsidRPr="0062622A">
        <w:rPr>
          <w:rFonts w:ascii="Book Antiqua" w:eastAsia="宋体" w:hAnsi="Book Antiqua" w:cs="Times New Roman"/>
          <w:i/>
          <w:iCs/>
          <w:sz w:val="24"/>
          <w:szCs w:val="24"/>
          <w:lang w:eastAsia="zh-CN"/>
        </w:rPr>
        <w:t>Case Rep Med</w:t>
      </w:r>
      <w:r w:rsidRPr="0062622A">
        <w:rPr>
          <w:rFonts w:ascii="Book Antiqua" w:eastAsia="宋体" w:hAnsi="Book Antiqua" w:cs="Times New Roman"/>
          <w:sz w:val="24"/>
          <w:szCs w:val="24"/>
          <w:lang w:eastAsia="zh-CN"/>
        </w:rPr>
        <w:t> 2012; </w:t>
      </w:r>
      <w:r w:rsidRPr="0062622A">
        <w:rPr>
          <w:rFonts w:ascii="Book Antiqua" w:eastAsia="宋体" w:hAnsi="Book Antiqua" w:cs="Times New Roman"/>
          <w:b/>
          <w:bCs/>
          <w:sz w:val="24"/>
          <w:szCs w:val="24"/>
          <w:lang w:eastAsia="zh-CN"/>
        </w:rPr>
        <w:t>2012</w:t>
      </w:r>
      <w:r w:rsidRPr="0062622A">
        <w:rPr>
          <w:rFonts w:ascii="Book Antiqua" w:eastAsia="宋体" w:hAnsi="Book Antiqua" w:cs="Times New Roman"/>
          <w:sz w:val="24"/>
          <w:szCs w:val="24"/>
          <w:lang w:eastAsia="zh-CN"/>
        </w:rPr>
        <w:t>: 618729 [PMID: 23118766 DOI: 10.1155/2012/618729]</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274 </w:t>
      </w:r>
      <w:r w:rsidRPr="0062622A">
        <w:rPr>
          <w:rFonts w:ascii="Book Antiqua" w:eastAsia="宋体" w:hAnsi="Book Antiqua" w:cs="Times New Roman"/>
          <w:b/>
          <w:bCs/>
          <w:sz w:val="24"/>
          <w:szCs w:val="24"/>
          <w:lang w:eastAsia="zh-CN"/>
        </w:rPr>
        <w:t>Nagral AS</w:t>
      </w:r>
      <w:r w:rsidRPr="0062622A">
        <w:rPr>
          <w:rFonts w:ascii="Book Antiqua" w:eastAsia="宋体" w:hAnsi="Book Antiqua" w:cs="Times New Roman"/>
          <w:sz w:val="24"/>
          <w:szCs w:val="24"/>
          <w:lang w:eastAsia="zh-CN"/>
        </w:rPr>
        <w:t>, Joshi AS, Bhatia SJ, Abraham P, Mistry FP, Vora IM. Congestive jejunopathy in portal hypertension. </w:t>
      </w:r>
      <w:r w:rsidRPr="0062622A">
        <w:rPr>
          <w:rFonts w:ascii="Book Antiqua" w:eastAsia="宋体" w:hAnsi="Book Antiqua" w:cs="Times New Roman"/>
          <w:i/>
          <w:iCs/>
          <w:sz w:val="24"/>
          <w:szCs w:val="24"/>
          <w:lang w:eastAsia="zh-CN"/>
        </w:rPr>
        <w:t>Gut</w:t>
      </w:r>
      <w:r w:rsidRPr="0062622A">
        <w:rPr>
          <w:rFonts w:ascii="Book Antiqua" w:eastAsia="宋体" w:hAnsi="Book Antiqua" w:cs="Times New Roman"/>
          <w:sz w:val="24"/>
          <w:szCs w:val="24"/>
          <w:lang w:eastAsia="zh-CN"/>
        </w:rPr>
        <w:t> 1993; </w:t>
      </w:r>
      <w:r w:rsidRPr="0062622A">
        <w:rPr>
          <w:rFonts w:ascii="Book Antiqua" w:eastAsia="宋体" w:hAnsi="Book Antiqua" w:cs="Times New Roman"/>
          <w:b/>
          <w:bCs/>
          <w:sz w:val="24"/>
          <w:szCs w:val="24"/>
          <w:lang w:eastAsia="zh-CN"/>
        </w:rPr>
        <w:t>34</w:t>
      </w:r>
      <w:r w:rsidRPr="0062622A">
        <w:rPr>
          <w:rFonts w:ascii="Book Antiqua" w:eastAsia="宋体" w:hAnsi="Book Antiqua" w:cs="Times New Roman"/>
          <w:sz w:val="24"/>
          <w:szCs w:val="24"/>
          <w:lang w:eastAsia="zh-CN"/>
        </w:rPr>
        <w:t>: 694-697 [PMID: 8504973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10.1136/gut.34.5.694]</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275 </w:t>
      </w:r>
      <w:r w:rsidRPr="0062622A">
        <w:rPr>
          <w:rFonts w:ascii="Book Antiqua" w:eastAsia="宋体" w:hAnsi="Book Antiqua" w:cs="Times New Roman"/>
          <w:b/>
          <w:bCs/>
          <w:sz w:val="24"/>
          <w:szCs w:val="24"/>
          <w:lang w:eastAsia="zh-CN"/>
        </w:rPr>
        <w:t>Misra SP</w:t>
      </w:r>
      <w:r w:rsidRPr="0062622A">
        <w:rPr>
          <w:rFonts w:ascii="Book Antiqua" w:eastAsia="宋体" w:hAnsi="Book Antiqua" w:cs="Times New Roman"/>
          <w:sz w:val="24"/>
          <w:szCs w:val="24"/>
          <w:lang w:eastAsia="zh-CN"/>
        </w:rPr>
        <w:t>, Dwivedi M, Misra V, Gupta M. Ileal varices and portal hypertensive ileopathy in patients with cirrhosis and portal hypertension. </w:t>
      </w:r>
      <w:r w:rsidRPr="0062622A">
        <w:rPr>
          <w:rFonts w:ascii="Book Antiqua" w:eastAsia="宋体" w:hAnsi="Book Antiqua" w:cs="Times New Roman"/>
          <w:i/>
          <w:iCs/>
          <w:sz w:val="24"/>
          <w:szCs w:val="24"/>
          <w:lang w:eastAsia="zh-CN"/>
        </w:rPr>
        <w:t>Gastrointest Endosc</w:t>
      </w:r>
      <w:r w:rsidRPr="0062622A">
        <w:rPr>
          <w:rFonts w:ascii="Book Antiqua" w:eastAsia="宋体" w:hAnsi="Book Antiqua" w:cs="Times New Roman"/>
          <w:sz w:val="24"/>
          <w:szCs w:val="24"/>
          <w:lang w:eastAsia="zh-CN"/>
        </w:rPr>
        <w:t> 2004; </w:t>
      </w:r>
      <w:r w:rsidRPr="0062622A">
        <w:rPr>
          <w:rFonts w:ascii="Book Antiqua" w:eastAsia="宋体" w:hAnsi="Book Antiqua" w:cs="Times New Roman"/>
          <w:b/>
          <w:bCs/>
          <w:sz w:val="24"/>
          <w:szCs w:val="24"/>
          <w:lang w:eastAsia="zh-CN"/>
        </w:rPr>
        <w:t>60</w:t>
      </w:r>
      <w:r w:rsidRPr="0062622A">
        <w:rPr>
          <w:rFonts w:ascii="Book Antiqua" w:eastAsia="宋体" w:hAnsi="Book Antiqua" w:cs="Times New Roman"/>
          <w:sz w:val="24"/>
          <w:szCs w:val="24"/>
          <w:lang w:eastAsia="zh-CN"/>
        </w:rPr>
        <w:t>: 778-783 [PMID: 15557954 DOI:</w:t>
      </w:r>
      <w:r w:rsidRPr="0062622A">
        <w:rPr>
          <w:rFonts w:ascii="Times New Roman" w:eastAsia="宋体" w:hAnsi="Times New Roman" w:cs="Times New Roman"/>
          <w:sz w:val="24"/>
          <w:szCs w:val="24"/>
          <w:lang w:val="fr-FR" w:eastAsia="fr-FR"/>
        </w:rPr>
        <w:t xml:space="preserve"> </w:t>
      </w:r>
      <w:r w:rsidRPr="0062622A">
        <w:rPr>
          <w:rFonts w:ascii="Book Antiqua" w:eastAsia="宋体" w:hAnsi="Book Antiqua" w:cs="Times New Roman"/>
          <w:sz w:val="24"/>
          <w:szCs w:val="24"/>
          <w:lang w:eastAsia="zh-CN"/>
        </w:rPr>
        <w:t>10.1016/S0016-5107(04)02049-8]</w:t>
      </w:r>
    </w:p>
    <w:p w:rsidR="0062622A" w:rsidRPr="0062622A" w:rsidRDefault="0062622A" w:rsidP="0062622A">
      <w:pPr>
        <w:spacing w:line="360" w:lineRule="auto"/>
        <w:jc w:val="both"/>
        <w:rPr>
          <w:rFonts w:ascii="Book Antiqua" w:eastAsia="宋体" w:hAnsi="Book Antiqua" w:cs="Times New Roman"/>
          <w:sz w:val="24"/>
          <w:szCs w:val="24"/>
          <w:lang w:eastAsia="zh-CN"/>
        </w:rPr>
      </w:pPr>
      <w:r w:rsidRPr="0062622A">
        <w:rPr>
          <w:rFonts w:ascii="Book Antiqua" w:eastAsia="宋体" w:hAnsi="Book Antiqua" w:cs="Times New Roman"/>
          <w:sz w:val="24"/>
          <w:szCs w:val="24"/>
          <w:lang w:eastAsia="zh-CN"/>
        </w:rPr>
        <w:t>276 </w:t>
      </w:r>
      <w:r w:rsidRPr="0062622A">
        <w:rPr>
          <w:rFonts w:ascii="Book Antiqua" w:eastAsia="宋体" w:hAnsi="Book Antiqua" w:cs="Times New Roman"/>
          <w:b/>
          <w:bCs/>
          <w:sz w:val="24"/>
          <w:szCs w:val="24"/>
          <w:lang w:eastAsia="zh-CN"/>
        </w:rPr>
        <w:t>Kozarek RA</w:t>
      </w:r>
      <w:r w:rsidRPr="0062622A">
        <w:rPr>
          <w:rFonts w:ascii="Book Antiqua" w:eastAsia="宋体" w:hAnsi="Book Antiqua" w:cs="Times New Roman"/>
          <w:sz w:val="24"/>
          <w:szCs w:val="24"/>
          <w:lang w:eastAsia="zh-CN"/>
        </w:rPr>
        <w:t>, Botoman VA, Bredfeldt JE, Roach JM, Patterson DJ, Ball TJ. Portal colopathy: prospective study of colonoscopy in patients with portal hypertension. </w:t>
      </w:r>
      <w:r w:rsidRPr="0062622A">
        <w:rPr>
          <w:rFonts w:ascii="Book Antiqua" w:eastAsia="宋体" w:hAnsi="Book Antiqua" w:cs="Times New Roman"/>
          <w:i/>
          <w:iCs/>
          <w:sz w:val="24"/>
          <w:szCs w:val="24"/>
          <w:lang w:eastAsia="zh-CN"/>
        </w:rPr>
        <w:t>Gastroenterology</w:t>
      </w:r>
      <w:r w:rsidRPr="0062622A">
        <w:rPr>
          <w:rFonts w:ascii="Book Antiqua" w:eastAsia="宋体" w:hAnsi="Book Antiqua" w:cs="Times New Roman"/>
          <w:sz w:val="24"/>
          <w:szCs w:val="24"/>
          <w:lang w:eastAsia="zh-CN"/>
        </w:rPr>
        <w:t> 1991; </w:t>
      </w:r>
      <w:r w:rsidRPr="0062622A">
        <w:rPr>
          <w:rFonts w:ascii="Book Antiqua" w:eastAsia="宋体" w:hAnsi="Book Antiqua" w:cs="Times New Roman"/>
          <w:b/>
          <w:bCs/>
          <w:sz w:val="24"/>
          <w:szCs w:val="24"/>
          <w:lang w:eastAsia="zh-CN"/>
        </w:rPr>
        <w:t>101</w:t>
      </w:r>
      <w:r w:rsidRPr="0062622A">
        <w:rPr>
          <w:rFonts w:ascii="Book Antiqua" w:eastAsia="宋体" w:hAnsi="Book Antiqua" w:cs="Times New Roman"/>
          <w:sz w:val="24"/>
          <w:szCs w:val="24"/>
          <w:lang w:eastAsia="zh-CN"/>
        </w:rPr>
        <w:t>: 1192-1197 [PMID: 1936789]</w:t>
      </w:r>
    </w:p>
    <w:p w:rsidR="0062622A" w:rsidRPr="0062622A" w:rsidRDefault="0062622A" w:rsidP="0062622A">
      <w:pPr>
        <w:spacing w:line="360" w:lineRule="auto"/>
        <w:jc w:val="both"/>
        <w:rPr>
          <w:rFonts w:ascii="Book Antiqua" w:eastAsia="宋体" w:hAnsi="Book Antiqua" w:cs="Times New Roman"/>
          <w:sz w:val="24"/>
          <w:szCs w:val="24"/>
          <w:lang w:eastAsia="zh-CN"/>
        </w:rPr>
      </w:pPr>
    </w:p>
    <w:p w:rsidR="0062622A" w:rsidRPr="0062622A" w:rsidRDefault="0062622A" w:rsidP="0062622A">
      <w:pPr>
        <w:widowControl w:val="0"/>
        <w:wordWrap w:val="0"/>
        <w:spacing w:line="360" w:lineRule="auto"/>
        <w:jc w:val="right"/>
        <w:rPr>
          <w:rFonts w:ascii="Book Antiqua" w:eastAsia="宋体" w:hAnsi="Book Antiqua" w:cs="Courier New"/>
          <w:b/>
          <w:kern w:val="2"/>
          <w:sz w:val="24"/>
          <w:szCs w:val="24"/>
          <w:lang w:eastAsia="zh-CN"/>
        </w:rPr>
      </w:pPr>
      <w:bookmarkStart w:id="27" w:name="OLE_LINK176"/>
      <w:bookmarkStart w:id="28" w:name="OLE_LINK187"/>
      <w:bookmarkStart w:id="29" w:name="OLE_LINK188"/>
      <w:r w:rsidRPr="0062622A">
        <w:rPr>
          <w:rFonts w:ascii="Book Antiqua" w:eastAsia="宋体" w:hAnsi="Book Antiqua" w:cs="Courier New"/>
          <w:b/>
          <w:kern w:val="2"/>
          <w:sz w:val="24"/>
          <w:szCs w:val="24"/>
          <w:lang w:eastAsia="zh-CN"/>
        </w:rPr>
        <w:t xml:space="preserve">P-Reviewer: </w:t>
      </w:r>
      <w:r w:rsidRPr="0062622A">
        <w:rPr>
          <w:rFonts w:ascii="Book Antiqua" w:eastAsia="宋体" w:hAnsi="Book Antiqua" w:cs="Courier New"/>
          <w:kern w:val="2"/>
          <w:sz w:val="24"/>
          <w:szCs w:val="24"/>
          <w:lang w:eastAsia="zh-CN"/>
        </w:rPr>
        <w:t>Dang</w:t>
      </w:r>
      <w:r w:rsidRPr="0062622A">
        <w:rPr>
          <w:rFonts w:ascii="Book Antiqua" w:eastAsia="宋体" w:hAnsi="Book Antiqua" w:cs="Courier New" w:hint="eastAsia"/>
          <w:kern w:val="2"/>
          <w:sz w:val="24"/>
          <w:szCs w:val="24"/>
          <w:lang w:eastAsia="zh-CN"/>
        </w:rPr>
        <w:t xml:space="preserve"> SS, </w:t>
      </w:r>
      <w:r w:rsidRPr="0062622A">
        <w:rPr>
          <w:rFonts w:ascii="Book Antiqua" w:eastAsia="宋体" w:hAnsi="Book Antiqua" w:cs="Courier New"/>
          <w:kern w:val="2"/>
          <w:sz w:val="24"/>
          <w:szCs w:val="24"/>
          <w:lang w:eastAsia="zh-CN"/>
        </w:rPr>
        <w:t>He</w:t>
      </w:r>
      <w:r w:rsidRPr="0062622A">
        <w:rPr>
          <w:rFonts w:ascii="Book Antiqua" w:eastAsia="宋体" w:hAnsi="Book Antiqua" w:cs="Courier New" w:hint="eastAsia"/>
          <w:kern w:val="2"/>
          <w:sz w:val="24"/>
          <w:szCs w:val="24"/>
          <w:lang w:eastAsia="zh-CN"/>
        </w:rPr>
        <w:t xml:space="preserve"> JY, </w:t>
      </w:r>
      <w:r w:rsidRPr="0062622A">
        <w:rPr>
          <w:rFonts w:ascii="Book Antiqua" w:eastAsia="宋体" w:hAnsi="Book Antiqua" w:cs="Courier New"/>
          <w:kern w:val="2"/>
          <w:sz w:val="24"/>
          <w:szCs w:val="24"/>
          <w:lang w:eastAsia="zh-CN"/>
        </w:rPr>
        <w:t>Mihaila</w:t>
      </w:r>
      <w:r w:rsidRPr="0062622A">
        <w:rPr>
          <w:rFonts w:ascii="Book Antiqua" w:eastAsia="宋体" w:hAnsi="Book Antiqua" w:cs="Courier New" w:hint="eastAsia"/>
          <w:kern w:val="2"/>
          <w:sz w:val="24"/>
          <w:szCs w:val="24"/>
          <w:lang w:eastAsia="zh-CN"/>
        </w:rPr>
        <w:t xml:space="preserve"> RG, </w:t>
      </w:r>
      <w:r w:rsidRPr="0062622A">
        <w:rPr>
          <w:rFonts w:ascii="Book Antiqua" w:eastAsia="宋体" w:hAnsi="Book Antiqua" w:cs="Courier New"/>
          <w:kern w:val="2"/>
          <w:sz w:val="24"/>
          <w:szCs w:val="24"/>
          <w:lang w:eastAsia="zh-CN"/>
        </w:rPr>
        <w:t>Pan</w:t>
      </w:r>
      <w:r w:rsidRPr="0062622A">
        <w:rPr>
          <w:rFonts w:ascii="Book Antiqua" w:eastAsia="宋体" w:hAnsi="Book Antiqua" w:cs="Courier New" w:hint="eastAsia"/>
          <w:kern w:val="2"/>
          <w:sz w:val="24"/>
          <w:szCs w:val="24"/>
          <w:lang w:eastAsia="zh-CN"/>
        </w:rPr>
        <w:t xml:space="preserve"> JJ, </w:t>
      </w:r>
      <w:r w:rsidRPr="0062622A">
        <w:rPr>
          <w:rFonts w:ascii="Book Antiqua" w:eastAsia="宋体" w:hAnsi="Book Antiqua" w:cs="Courier New"/>
          <w:kern w:val="2"/>
          <w:sz w:val="24"/>
          <w:szCs w:val="24"/>
          <w:lang w:eastAsia="zh-CN"/>
        </w:rPr>
        <w:t>Umit</w:t>
      </w:r>
      <w:r w:rsidRPr="0062622A">
        <w:rPr>
          <w:rFonts w:ascii="Book Antiqua" w:eastAsia="宋体" w:hAnsi="Book Antiqua" w:cs="Courier New" w:hint="eastAsia"/>
          <w:kern w:val="2"/>
          <w:sz w:val="24"/>
          <w:szCs w:val="24"/>
          <w:lang w:eastAsia="zh-CN"/>
        </w:rPr>
        <w:t xml:space="preserve"> A</w:t>
      </w:r>
      <w:r w:rsidRPr="0062622A">
        <w:rPr>
          <w:rFonts w:ascii="Book Antiqua" w:eastAsia="宋体" w:hAnsi="Book Antiqua" w:cs="Courier New"/>
          <w:kern w:val="2"/>
          <w:sz w:val="24"/>
          <w:szCs w:val="24"/>
          <w:lang w:eastAsia="zh-CN"/>
        </w:rPr>
        <w:t xml:space="preserve"> </w:t>
      </w:r>
      <w:r w:rsidRPr="0062622A">
        <w:rPr>
          <w:rFonts w:ascii="Book Antiqua" w:eastAsia="宋体" w:hAnsi="Book Antiqua" w:cs="Courier New"/>
          <w:b/>
          <w:kern w:val="2"/>
          <w:sz w:val="24"/>
          <w:szCs w:val="24"/>
          <w:lang w:eastAsia="zh-CN"/>
        </w:rPr>
        <w:t xml:space="preserve">S-Editor: </w:t>
      </w:r>
      <w:r w:rsidRPr="0062622A">
        <w:rPr>
          <w:rFonts w:ascii="Book Antiqua" w:eastAsia="宋体" w:hAnsi="Book Antiqua" w:cs="Courier New"/>
          <w:kern w:val="2"/>
          <w:sz w:val="24"/>
          <w:szCs w:val="24"/>
          <w:lang w:eastAsia="zh-CN"/>
        </w:rPr>
        <w:t>Qiu S</w:t>
      </w:r>
      <w:r w:rsidRPr="0062622A">
        <w:rPr>
          <w:rFonts w:ascii="Book Antiqua" w:eastAsia="宋体" w:hAnsi="Book Antiqua" w:cs="Courier New"/>
          <w:b/>
          <w:kern w:val="2"/>
          <w:sz w:val="24"/>
          <w:szCs w:val="24"/>
          <w:lang w:eastAsia="zh-CN"/>
        </w:rPr>
        <w:t xml:space="preserve"> L-Editor: E-Editor:</w:t>
      </w:r>
      <w:bookmarkEnd w:id="24"/>
      <w:bookmarkEnd w:id="25"/>
      <w:bookmarkEnd w:id="27"/>
      <w:bookmarkEnd w:id="28"/>
      <w:bookmarkEnd w:id="29"/>
    </w:p>
    <w:p w:rsidR="00C9325C" w:rsidRPr="00302F74" w:rsidRDefault="00C9325C" w:rsidP="00E036C3">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pPr>
    </w:p>
    <w:p w:rsidR="00C9325C" w:rsidRPr="00302F74" w:rsidRDefault="00C9325C" w:rsidP="00FA6CCE">
      <w:pPr>
        <w:widowControl w:val="0"/>
        <w:spacing w:line="360" w:lineRule="auto"/>
        <w:jc w:val="both"/>
        <w:rPr>
          <w:rFonts w:ascii="Book Antiqua" w:hAnsi="Book Antiqua" w:cs="Times New Roman"/>
          <w:b/>
          <w:bCs/>
          <w:sz w:val="24"/>
          <w:szCs w:val="24"/>
        </w:rPr>
        <w:sectPr w:rsidR="00C9325C" w:rsidRPr="00302F74">
          <w:footerReference w:type="default" r:id="rId12"/>
          <w:pgSz w:w="12240" w:h="15840"/>
          <w:pgMar w:top="1440" w:right="1440" w:bottom="1440" w:left="1440" w:header="720" w:footer="720" w:gutter="0"/>
          <w:cols w:space="720"/>
          <w:docGrid w:linePitch="360"/>
        </w:sectPr>
      </w:pPr>
    </w:p>
    <w:tbl>
      <w:tblPr>
        <w:tblStyle w:val="TableGrid1"/>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3690"/>
        <w:gridCol w:w="1530"/>
        <w:gridCol w:w="1922"/>
        <w:gridCol w:w="1531"/>
        <w:gridCol w:w="1425"/>
      </w:tblGrid>
      <w:tr w:rsidR="00632F67" w:rsidRPr="00302F74" w:rsidTr="003B66FD">
        <w:trPr>
          <w:trHeight w:val="285"/>
        </w:trPr>
        <w:tc>
          <w:tcPr>
            <w:tcW w:w="13176" w:type="dxa"/>
            <w:gridSpan w:val="6"/>
            <w:tcBorders>
              <w:bottom w:val="single" w:sz="4" w:space="0" w:color="auto"/>
            </w:tcBorders>
            <w:noWrap/>
          </w:tcPr>
          <w:p w:rsidR="00C9325C" w:rsidRPr="009122C7" w:rsidRDefault="00C9325C" w:rsidP="003B66FD">
            <w:pPr>
              <w:widowControl w:val="0"/>
              <w:spacing w:line="360" w:lineRule="auto"/>
              <w:jc w:val="both"/>
              <w:rPr>
                <w:rFonts w:ascii="Book Antiqua" w:hAnsi="Book Antiqua" w:cs="Times New Roman"/>
                <w:b/>
                <w:sz w:val="24"/>
                <w:szCs w:val="24"/>
              </w:rPr>
            </w:pPr>
            <w:r w:rsidRPr="009122C7">
              <w:rPr>
                <w:rFonts w:ascii="Book Antiqua" w:hAnsi="Book Antiqua" w:cs="Times New Roman"/>
                <w:b/>
                <w:sz w:val="24"/>
                <w:szCs w:val="24"/>
              </w:rPr>
              <w:lastRenderedPageBreak/>
              <w:t xml:space="preserve">Table </w:t>
            </w:r>
            <w:r w:rsidR="003B66FD" w:rsidRPr="009122C7">
              <w:rPr>
                <w:rFonts w:ascii="Book Antiqua" w:hAnsi="Book Antiqua" w:cs="Times New Roman" w:hint="eastAsia"/>
                <w:b/>
                <w:sz w:val="24"/>
                <w:szCs w:val="24"/>
                <w:lang w:eastAsia="zh-CN"/>
              </w:rPr>
              <w:t>1</w:t>
            </w:r>
            <w:r w:rsidRPr="009122C7">
              <w:rPr>
                <w:rFonts w:ascii="Book Antiqua" w:hAnsi="Book Antiqua" w:cs="Times New Roman"/>
                <w:b/>
                <w:sz w:val="24"/>
                <w:szCs w:val="24"/>
              </w:rPr>
              <w:t xml:space="preserve"> Rates of portal hypertensive gastropathy in patients with portal hypertension</w:t>
            </w:r>
          </w:p>
        </w:tc>
      </w:tr>
      <w:tr w:rsidR="00632F67" w:rsidRPr="00302F74" w:rsidTr="003B66FD">
        <w:trPr>
          <w:trHeight w:val="1655"/>
        </w:trPr>
        <w:tc>
          <w:tcPr>
            <w:tcW w:w="3078" w:type="dxa"/>
            <w:tcBorders>
              <w:top w:val="single" w:sz="4" w:space="0" w:color="auto"/>
              <w:bottom w:val="single" w:sz="4" w:space="0" w:color="auto"/>
            </w:tcBorders>
            <w:noWrap/>
            <w:hideMark/>
          </w:tcPr>
          <w:p w:rsidR="00C9325C" w:rsidRPr="00CF3786" w:rsidRDefault="00CF3786" w:rsidP="00CF3786">
            <w:pPr>
              <w:widowControl w:val="0"/>
              <w:spacing w:line="360" w:lineRule="auto"/>
              <w:jc w:val="both"/>
              <w:rPr>
                <w:rFonts w:ascii="Book Antiqua" w:hAnsi="Book Antiqua" w:cs="Times New Roman"/>
                <w:b/>
                <w:sz w:val="24"/>
                <w:szCs w:val="24"/>
                <w:lang w:eastAsia="zh-CN"/>
              </w:rPr>
            </w:pPr>
            <w:r w:rsidRPr="00CF3786">
              <w:rPr>
                <w:rFonts w:ascii="Book Antiqua" w:hAnsi="Book Antiqua" w:cs="Times New Roman"/>
                <w:b/>
                <w:sz w:val="24"/>
                <w:szCs w:val="24"/>
              </w:rPr>
              <w:t xml:space="preserve"> </w:t>
            </w:r>
            <w:r w:rsidR="00C9325C" w:rsidRPr="00CF3786">
              <w:rPr>
                <w:rFonts w:ascii="Book Antiqua" w:hAnsi="Book Antiqua" w:cs="Times New Roman"/>
                <w:b/>
                <w:sz w:val="24"/>
                <w:szCs w:val="24"/>
              </w:rPr>
              <w:t>Ref</w:t>
            </w:r>
            <w:r w:rsidRPr="00CF3786">
              <w:rPr>
                <w:rFonts w:ascii="Book Antiqua" w:hAnsi="Book Antiqua" w:cs="Times New Roman" w:hint="eastAsia"/>
                <w:b/>
                <w:sz w:val="24"/>
                <w:szCs w:val="24"/>
                <w:lang w:eastAsia="zh-CN"/>
              </w:rPr>
              <w:t>.</w:t>
            </w:r>
          </w:p>
        </w:tc>
        <w:tc>
          <w:tcPr>
            <w:tcW w:w="3690" w:type="dxa"/>
            <w:tcBorders>
              <w:top w:val="single" w:sz="4" w:space="0" w:color="auto"/>
              <w:bottom w:val="single" w:sz="4" w:space="0" w:color="auto"/>
            </w:tcBorders>
            <w:noWrap/>
            <w:hideMark/>
          </w:tcPr>
          <w:p w:rsidR="00C9325C" w:rsidRPr="00CF3786" w:rsidRDefault="00C9325C" w:rsidP="00FA6CCE">
            <w:pPr>
              <w:widowControl w:val="0"/>
              <w:spacing w:line="360" w:lineRule="auto"/>
              <w:jc w:val="both"/>
              <w:rPr>
                <w:rFonts w:ascii="Book Antiqua" w:hAnsi="Book Antiqua" w:cs="Times New Roman"/>
                <w:b/>
                <w:sz w:val="24"/>
                <w:szCs w:val="24"/>
              </w:rPr>
            </w:pPr>
            <w:r w:rsidRPr="00CF3786">
              <w:rPr>
                <w:rFonts w:ascii="Book Antiqua" w:hAnsi="Book Antiqua" w:cs="Times New Roman"/>
                <w:b/>
                <w:sz w:val="24"/>
                <w:szCs w:val="24"/>
              </w:rPr>
              <w:t xml:space="preserve">Analyzed </w:t>
            </w:r>
            <w:r w:rsidR="00CF3786" w:rsidRPr="00CF3786">
              <w:rPr>
                <w:rFonts w:ascii="Book Antiqua" w:hAnsi="Book Antiqua" w:cs="Times New Roman"/>
                <w:b/>
                <w:sz w:val="24"/>
                <w:szCs w:val="24"/>
              </w:rPr>
              <w:t>p</w:t>
            </w:r>
            <w:r w:rsidRPr="00CF3786">
              <w:rPr>
                <w:rFonts w:ascii="Book Antiqua" w:hAnsi="Book Antiqua" w:cs="Times New Roman"/>
                <w:b/>
                <w:sz w:val="24"/>
                <w:szCs w:val="24"/>
              </w:rPr>
              <w:t>atients</w:t>
            </w:r>
          </w:p>
        </w:tc>
        <w:tc>
          <w:tcPr>
            <w:tcW w:w="1530" w:type="dxa"/>
            <w:tcBorders>
              <w:top w:val="single" w:sz="4" w:space="0" w:color="auto"/>
              <w:bottom w:val="single" w:sz="4" w:space="0" w:color="auto"/>
            </w:tcBorders>
            <w:noWrap/>
            <w:hideMark/>
          </w:tcPr>
          <w:p w:rsidR="00C9325C" w:rsidRPr="00CF3786" w:rsidRDefault="00C9325C" w:rsidP="00FA6CCE">
            <w:pPr>
              <w:widowControl w:val="0"/>
              <w:spacing w:line="360" w:lineRule="auto"/>
              <w:jc w:val="both"/>
              <w:rPr>
                <w:rFonts w:ascii="Book Antiqua" w:hAnsi="Book Antiqua" w:cs="Times New Roman"/>
                <w:b/>
                <w:sz w:val="24"/>
                <w:szCs w:val="24"/>
              </w:rPr>
            </w:pPr>
            <w:r w:rsidRPr="00CF3786">
              <w:rPr>
                <w:rFonts w:ascii="Book Antiqua" w:hAnsi="Book Antiqua" w:cs="Times New Roman"/>
                <w:b/>
                <w:sz w:val="24"/>
                <w:szCs w:val="24"/>
              </w:rPr>
              <w:t xml:space="preserve">Total </w:t>
            </w:r>
            <w:r w:rsidR="00CF3786" w:rsidRPr="00CF3786">
              <w:rPr>
                <w:rFonts w:ascii="Book Antiqua" w:hAnsi="Book Antiqua" w:cs="Times New Roman"/>
                <w:b/>
                <w:sz w:val="24"/>
                <w:szCs w:val="24"/>
              </w:rPr>
              <w:t>n</w:t>
            </w:r>
            <w:r w:rsidRPr="00CF3786">
              <w:rPr>
                <w:rFonts w:ascii="Book Antiqua" w:hAnsi="Book Antiqua" w:cs="Times New Roman"/>
                <w:b/>
                <w:sz w:val="24"/>
                <w:szCs w:val="24"/>
              </w:rPr>
              <w:t>umber</w:t>
            </w:r>
          </w:p>
        </w:tc>
        <w:tc>
          <w:tcPr>
            <w:tcW w:w="1922" w:type="dxa"/>
            <w:tcBorders>
              <w:top w:val="single" w:sz="4" w:space="0" w:color="auto"/>
              <w:bottom w:val="single" w:sz="4" w:space="0" w:color="auto"/>
            </w:tcBorders>
            <w:noWrap/>
            <w:hideMark/>
          </w:tcPr>
          <w:p w:rsidR="00C9325C" w:rsidRPr="00CF3786" w:rsidRDefault="00C9325C" w:rsidP="00CF3786">
            <w:pPr>
              <w:widowControl w:val="0"/>
              <w:spacing w:line="360" w:lineRule="auto"/>
              <w:jc w:val="both"/>
              <w:rPr>
                <w:rFonts w:ascii="Book Antiqua" w:hAnsi="Book Antiqua" w:cs="Times New Roman"/>
                <w:b/>
                <w:sz w:val="24"/>
                <w:szCs w:val="24"/>
              </w:rPr>
            </w:pPr>
            <w:r w:rsidRPr="00CF3786">
              <w:rPr>
                <w:rFonts w:ascii="Book Antiqua" w:hAnsi="Book Antiqua" w:cs="Times New Roman"/>
                <w:b/>
                <w:sz w:val="24"/>
                <w:szCs w:val="24"/>
              </w:rPr>
              <w:t>N</w:t>
            </w:r>
            <w:r w:rsidR="00CF3786" w:rsidRPr="00CF3786">
              <w:rPr>
                <w:rFonts w:ascii="Book Antiqua" w:hAnsi="Book Antiqua" w:cs="Times New Roman" w:hint="eastAsia"/>
                <w:b/>
                <w:sz w:val="24"/>
                <w:szCs w:val="24"/>
                <w:lang w:eastAsia="zh-CN"/>
              </w:rPr>
              <w:t>O.</w:t>
            </w:r>
            <w:r w:rsidRPr="00CF3786">
              <w:rPr>
                <w:rFonts w:ascii="Book Antiqua" w:hAnsi="Book Antiqua" w:cs="Times New Roman"/>
                <w:b/>
                <w:sz w:val="24"/>
                <w:szCs w:val="24"/>
              </w:rPr>
              <w:t xml:space="preserve"> (%) with PHG</w:t>
            </w:r>
          </w:p>
        </w:tc>
        <w:tc>
          <w:tcPr>
            <w:tcW w:w="1531" w:type="dxa"/>
            <w:tcBorders>
              <w:top w:val="single" w:sz="4" w:space="0" w:color="auto"/>
              <w:bottom w:val="single" w:sz="4" w:space="0" w:color="auto"/>
            </w:tcBorders>
            <w:noWrap/>
            <w:hideMark/>
          </w:tcPr>
          <w:p w:rsidR="00C9325C" w:rsidRPr="00CF3786" w:rsidRDefault="00CF3786" w:rsidP="00FA6CCE">
            <w:pPr>
              <w:widowControl w:val="0"/>
              <w:spacing w:line="360" w:lineRule="auto"/>
              <w:jc w:val="both"/>
              <w:rPr>
                <w:rFonts w:ascii="Book Antiqua" w:hAnsi="Book Antiqua" w:cs="Times New Roman"/>
                <w:b/>
                <w:sz w:val="24"/>
                <w:szCs w:val="24"/>
              </w:rPr>
            </w:pPr>
            <w:r w:rsidRPr="00CF3786">
              <w:rPr>
                <w:rFonts w:ascii="Book Antiqua" w:hAnsi="Book Antiqua" w:cs="Times New Roman"/>
                <w:b/>
                <w:sz w:val="24"/>
                <w:szCs w:val="24"/>
              </w:rPr>
              <w:t>N</w:t>
            </w:r>
            <w:r w:rsidRPr="00CF3786">
              <w:rPr>
                <w:rFonts w:ascii="Book Antiqua" w:hAnsi="Book Antiqua" w:cs="Times New Roman" w:hint="eastAsia"/>
                <w:b/>
                <w:sz w:val="24"/>
                <w:szCs w:val="24"/>
                <w:lang w:eastAsia="zh-CN"/>
              </w:rPr>
              <w:t>O.</w:t>
            </w:r>
            <w:r w:rsidRPr="00CF3786">
              <w:rPr>
                <w:rFonts w:ascii="Book Antiqua" w:hAnsi="Book Antiqua" w:cs="Times New Roman"/>
                <w:b/>
                <w:sz w:val="24"/>
                <w:szCs w:val="24"/>
              </w:rPr>
              <w:t xml:space="preserve"> </w:t>
            </w:r>
            <w:r w:rsidR="00C9325C" w:rsidRPr="00CF3786">
              <w:rPr>
                <w:rFonts w:ascii="Book Antiqua" w:hAnsi="Book Antiqua" w:cs="Times New Roman"/>
                <w:b/>
                <w:sz w:val="24"/>
                <w:szCs w:val="24"/>
              </w:rPr>
              <w:t>(%) with mild PHG</w:t>
            </w:r>
          </w:p>
        </w:tc>
        <w:tc>
          <w:tcPr>
            <w:tcW w:w="1425" w:type="dxa"/>
            <w:tcBorders>
              <w:top w:val="single" w:sz="4" w:space="0" w:color="auto"/>
              <w:bottom w:val="single" w:sz="4" w:space="0" w:color="auto"/>
            </w:tcBorders>
            <w:noWrap/>
            <w:hideMark/>
          </w:tcPr>
          <w:p w:rsidR="00C9325C" w:rsidRPr="00CF3786" w:rsidRDefault="00CF3786" w:rsidP="00FA6CCE">
            <w:pPr>
              <w:widowControl w:val="0"/>
              <w:spacing w:line="360" w:lineRule="auto"/>
              <w:jc w:val="both"/>
              <w:rPr>
                <w:rFonts w:ascii="Book Antiqua" w:hAnsi="Book Antiqua" w:cs="Times New Roman"/>
                <w:b/>
                <w:sz w:val="24"/>
                <w:szCs w:val="24"/>
              </w:rPr>
            </w:pPr>
            <w:r w:rsidRPr="00CF3786">
              <w:rPr>
                <w:rFonts w:ascii="Book Antiqua" w:hAnsi="Book Antiqua" w:cs="Times New Roman"/>
                <w:b/>
                <w:sz w:val="24"/>
                <w:szCs w:val="24"/>
              </w:rPr>
              <w:t>N</w:t>
            </w:r>
            <w:r w:rsidRPr="00CF3786">
              <w:rPr>
                <w:rFonts w:ascii="Book Antiqua" w:hAnsi="Book Antiqua" w:cs="Times New Roman" w:hint="eastAsia"/>
                <w:b/>
                <w:sz w:val="24"/>
                <w:szCs w:val="24"/>
                <w:lang w:eastAsia="zh-CN"/>
              </w:rPr>
              <w:t>O.</w:t>
            </w:r>
            <w:r w:rsidR="00C9325C" w:rsidRPr="00CF3786">
              <w:rPr>
                <w:rFonts w:ascii="Book Antiqua" w:hAnsi="Book Antiqua" w:cs="Times New Roman"/>
                <w:b/>
                <w:sz w:val="24"/>
                <w:szCs w:val="24"/>
              </w:rPr>
              <w:t xml:space="preserve"> (%) with severe PHG</w:t>
            </w:r>
          </w:p>
        </w:tc>
      </w:tr>
      <w:tr w:rsidR="00632F67" w:rsidRPr="00302F74" w:rsidTr="003B66FD">
        <w:trPr>
          <w:trHeight w:val="285"/>
        </w:trPr>
        <w:tc>
          <w:tcPr>
            <w:tcW w:w="3078" w:type="dxa"/>
            <w:noWrap/>
            <w:hideMark/>
          </w:tcPr>
          <w:p w:rsidR="00C9325C" w:rsidRPr="00302F74" w:rsidRDefault="00C9325C" w:rsidP="00491D13">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McCormack </w:t>
            </w:r>
            <w:r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[3]</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127</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65 (51%)</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37 (29%)</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28 (22%)</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Sarin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[5]</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136</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 (7%)</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DeWeert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[6]</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Non-alcoholic liver disease</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81</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23 (28%)</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McCormick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[7]</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93 endoscopies in 74 patients</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85 endoscopies (91%)</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 (6%), moderate 61 (66%)</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18 (19%)</w:t>
            </w:r>
          </w:p>
        </w:tc>
      </w:tr>
      <w:tr w:rsidR="00632F67" w:rsidRPr="00302F74" w:rsidTr="003B66FD">
        <w:trPr>
          <w:trHeight w:val="287"/>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Sarin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[8]</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107</w:t>
            </w:r>
          </w:p>
        </w:tc>
        <w:tc>
          <w:tcPr>
            <w:tcW w:w="3453" w:type="dxa"/>
            <w:gridSpan w:val="2"/>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 (3.7%) (only cirrhotic)</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Parikh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[9]</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118</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71 (60%)</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41 (58%)</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30 (42%)</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Sarin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[10]</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 with prior variceal bleeding</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967</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86 (9%)</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56 (5.8%)</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30 (3.1%)</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Itha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[11]</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EHPVO in children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163</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Rana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[12]</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41</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27 (66%)</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 (46%)</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 (20%)</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El-Rifai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[13]</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24</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14 (58%)</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10 (42%) - </w:t>
            </w:r>
            <w:r w:rsidRPr="00302F74">
              <w:rPr>
                <w:rFonts w:ascii="Book Antiqua" w:hAnsi="Book Antiqua" w:cs="Times New Roman"/>
                <w:sz w:val="24"/>
                <w:szCs w:val="24"/>
              </w:rPr>
              <w:lastRenderedPageBreak/>
              <w:t>moderate</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4 (16%)</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 xml:space="preserve">Sogaard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[14]</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vein thrombosis</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67</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28 (42%)</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Figueiredo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[15]</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 cirrhosis</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36</w:t>
            </w:r>
          </w:p>
        </w:tc>
        <w:tc>
          <w:tcPr>
            <w:tcW w:w="3453" w:type="dxa"/>
            <w:gridSpan w:val="2"/>
            <w:noWrap/>
            <w:hideMark/>
          </w:tcPr>
          <w:p w:rsidR="00C9325C" w:rsidRPr="00302F74" w:rsidRDefault="00C9325C" w:rsidP="00222DD9">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27 (75%)</w:t>
            </w:r>
            <w:r w:rsidR="00222DD9">
              <w:rPr>
                <w:rFonts w:ascii="Book Antiqua" w:hAnsi="Book Antiqua" w:cs="Times New Roman" w:hint="eastAsia"/>
                <w:sz w:val="24"/>
                <w:szCs w:val="24"/>
                <w:lang w:eastAsia="zh-CN"/>
              </w:rPr>
              <w:t xml:space="preserve"> </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 (46%)</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Erden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[16]</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57</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15 (26.3%)</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Duche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[17]</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children, portal hypertension with biliary atresia</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125</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27 (21%)</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Aydogan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[18]</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51</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30 (58%)</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Dos Santos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[19]</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43</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22 (51%)</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Pantham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[20]</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esophageal varices undergoing TEE</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24</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 (50%)</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Abdollahi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[21]</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autoimmune hepatitis</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60</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27 (45%)</w:t>
            </w:r>
          </w:p>
        </w:tc>
        <w:tc>
          <w:tcPr>
            <w:tcW w:w="153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87"/>
        </w:trPr>
        <w:tc>
          <w:tcPr>
            <w:tcW w:w="3078"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de Alcantara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[22]</w:t>
            </w:r>
          </w:p>
        </w:tc>
        <w:tc>
          <w:tcPr>
            <w:tcW w:w="369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chronic liver disease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EHPVO</w:t>
            </w:r>
          </w:p>
        </w:tc>
        <w:tc>
          <w:tcPr>
            <w:tcW w:w="153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35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18</w:t>
            </w:r>
          </w:p>
        </w:tc>
        <w:tc>
          <w:tcPr>
            <w:tcW w:w="1922"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7 (20%)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8 (44.4%)</w:t>
            </w:r>
          </w:p>
        </w:tc>
        <w:tc>
          <w:tcPr>
            <w:tcW w:w="1531"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3B66FD">
        <w:trPr>
          <w:trHeight w:val="285"/>
        </w:trPr>
        <w:tc>
          <w:tcPr>
            <w:tcW w:w="3078" w:type="dxa"/>
            <w:tcBorders>
              <w:bottom w:val="single" w:sz="4" w:space="0" w:color="auto"/>
            </w:tcBorders>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Aoyama </w:t>
            </w:r>
            <w:r w:rsidR="00491D13" w:rsidRPr="00491D13">
              <w:rPr>
                <w:rFonts w:ascii="Book Antiqua" w:hAnsi="Book Antiqua" w:cs="Times New Roman"/>
                <w:i/>
                <w:sz w:val="24"/>
                <w:szCs w:val="24"/>
              </w:rPr>
              <w:t>et al</w:t>
            </w:r>
            <w:r w:rsidRPr="00302F74">
              <w:rPr>
                <w:rFonts w:ascii="Book Antiqua" w:hAnsi="Book Antiqua" w:cs="Times New Roman"/>
                <w:sz w:val="24"/>
                <w:szCs w:val="24"/>
                <w:vertAlign w:val="superscript"/>
              </w:rPr>
              <w:t>[23]</w:t>
            </w:r>
          </w:p>
        </w:tc>
        <w:tc>
          <w:tcPr>
            <w:tcW w:w="3690" w:type="dxa"/>
            <w:tcBorders>
              <w:bottom w:val="single" w:sz="4" w:space="0" w:color="auto"/>
            </w:tcBorders>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530" w:type="dxa"/>
            <w:tcBorders>
              <w:bottom w:val="single" w:sz="4" w:space="0" w:color="auto"/>
            </w:tcBorders>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119</w:t>
            </w:r>
          </w:p>
        </w:tc>
        <w:tc>
          <w:tcPr>
            <w:tcW w:w="1922" w:type="dxa"/>
            <w:tcBorders>
              <w:bottom w:val="single" w:sz="4" w:space="0" w:color="auto"/>
            </w:tcBorders>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35 (29%)</w:t>
            </w:r>
          </w:p>
        </w:tc>
        <w:tc>
          <w:tcPr>
            <w:tcW w:w="1531" w:type="dxa"/>
            <w:tcBorders>
              <w:bottom w:val="single" w:sz="4" w:space="0" w:color="auto"/>
            </w:tcBorders>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25" w:type="dxa"/>
            <w:tcBorders>
              <w:bottom w:val="single" w:sz="4" w:space="0" w:color="auto"/>
            </w:tcBorders>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bl>
    <w:p w:rsidR="00553DA6" w:rsidRDefault="00C9325C"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sz w:val="24"/>
          <w:szCs w:val="24"/>
          <w:lang w:val="en"/>
        </w:rPr>
        <w:br w:type="page"/>
      </w:r>
      <w:r w:rsidR="00553DA6" w:rsidRPr="00553DA6">
        <w:rPr>
          <w:rFonts w:ascii="Book Antiqua" w:hAnsi="Book Antiqua" w:cs="Times New Roman"/>
          <w:sz w:val="24"/>
          <w:szCs w:val="24"/>
        </w:rPr>
        <w:lastRenderedPageBreak/>
        <w:t>PHG</w:t>
      </w:r>
      <w:r w:rsidR="00553DA6" w:rsidRPr="00553DA6">
        <w:rPr>
          <w:rFonts w:ascii="Book Antiqua" w:hAnsi="Book Antiqua" w:cs="Times New Roman" w:hint="eastAsia"/>
          <w:sz w:val="24"/>
          <w:szCs w:val="24"/>
          <w:lang w:eastAsia="zh-CN"/>
        </w:rPr>
        <w:t xml:space="preserve">: </w:t>
      </w:r>
      <w:r w:rsidR="00553DA6" w:rsidRPr="00553DA6">
        <w:rPr>
          <w:rFonts w:ascii="Book Antiqua" w:hAnsi="Book Antiqua" w:cs="Times New Roman"/>
          <w:sz w:val="24"/>
          <w:szCs w:val="24"/>
        </w:rPr>
        <w:t>Portal hypertensive gastropathy</w:t>
      </w:r>
      <w:r w:rsidR="00553DA6" w:rsidRPr="00553DA6">
        <w:rPr>
          <w:rFonts w:ascii="Book Antiqua" w:hAnsi="Book Antiqua" w:cs="Times New Roman" w:hint="eastAsia"/>
          <w:sz w:val="24"/>
          <w:szCs w:val="24"/>
          <w:lang w:eastAsia="zh-CN"/>
        </w:rPr>
        <w:t>.</w:t>
      </w:r>
    </w:p>
    <w:p w:rsidR="00553DA6" w:rsidRDefault="00553DA6">
      <w:pPr>
        <w:spacing w:line="276" w:lineRule="auto"/>
        <w:jc w:val="both"/>
        <w:rPr>
          <w:rFonts w:ascii="Book Antiqua" w:hAnsi="Book Antiqua" w:cs="Times New Roman"/>
          <w:sz w:val="24"/>
          <w:szCs w:val="24"/>
          <w:lang w:eastAsia="zh-CN"/>
        </w:rPr>
      </w:pPr>
      <w:r>
        <w:rPr>
          <w:rFonts w:ascii="Book Antiqua" w:hAnsi="Book Antiqua" w:cs="Times New Roman"/>
          <w:sz w:val="24"/>
          <w:szCs w:val="24"/>
          <w:lang w:eastAsia="zh-CN"/>
        </w:rPr>
        <w:br w:type="page"/>
      </w:r>
    </w:p>
    <w:p w:rsidR="00C9325C" w:rsidRPr="00553DA6" w:rsidRDefault="00C9325C" w:rsidP="00FA6CCE">
      <w:pPr>
        <w:widowControl w:val="0"/>
        <w:spacing w:line="360" w:lineRule="auto"/>
        <w:jc w:val="both"/>
        <w:rPr>
          <w:rFonts w:ascii="Book Antiqua" w:hAnsi="Book Antiqua" w:cs="Times New Roman"/>
          <w:sz w:val="24"/>
          <w:szCs w:val="24"/>
          <w:lang w:val="en" w:eastAsia="zh-CN"/>
        </w:rPr>
      </w:pPr>
    </w:p>
    <w:tbl>
      <w:tblPr>
        <w:tblStyle w:val="TableGrid1"/>
        <w:tblW w:w="13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3191"/>
        <w:gridCol w:w="1449"/>
        <w:gridCol w:w="1800"/>
        <w:gridCol w:w="1566"/>
        <w:gridCol w:w="1457"/>
      </w:tblGrid>
      <w:tr w:rsidR="00632F67" w:rsidRPr="00302F74" w:rsidTr="00BD3FCC">
        <w:trPr>
          <w:trHeight w:val="285"/>
        </w:trPr>
        <w:tc>
          <w:tcPr>
            <w:tcW w:w="13174" w:type="dxa"/>
            <w:gridSpan w:val="6"/>
            <w:tcBorders>
              <w:bottom w:val="single" w:sz="4" w:space="0" w:color="auto"/>
            </w:tcBorders>
            <w:noWrap/>
          </w:tcPr>
          <w:p w:rsidR="00C9325C" w:rsidRPr="00D97FD9" w:rsidRDefault="00C9325C" w:rsidP="00553DA6">
            <w:pPr>
              <w:widowControl w:val="0"/>
              <w:spacing w:line="360" w:lineRule="auto"/>
              <w:jc w:val="both"/>
              <w:rPr>
                <w:rFonts w:ascii="Book Antiqua" w:hAnsi="Book Antiqua" w:cs="Times New Roman"/>
                <w:b/>
                <w:sz w:val="24"/>
                <w:szCs w:val="24"/>
              </w:rPr>
            </w:pPr>
            <w:r w:rsidRPr="00D97FD9">
              <w:rPr>
                <w:rFonts w:ascii="Book Antiqua" w:hAnsi="Book Antiqua" w:cs="Times New Roman"/>
                <w:b/>
                <w:sz w:val="24"/>
                <w:szCs w:val="24"/>
              </w:rPr>
              <w:t xml:space="preserve">Table </w:t>
            </w:r>
            <w:r w:rsidR="00553DA6" w:rsidRPr="00D97FD9">
              <w:rPr>
                <w:rFonts w:ascii="Book Antiqua" w:hAnsi="Book Antiqua" w:cs="Times New Roman" w:hint="eastAsia"/>
                <w:b/>
                <w:sz w:val="24"/>
                <w:szCs w:val="24"/>
                <w:lang w:eastAsia="zh-CN"/>
              </w:rPr>
              <w:t>2</w:t>
            </w:r>
            <w:r w:rsidR="00222DD9">
              <w:rPr>
                <w:rFonts w:ascii="Book Antiqua" w:hAnsi="Book Antiqua" w:cs="Times New Roman"/>
                <w:b/>
                <w:sz w:val="24"/>
                <w:szCs w:val="24"/>
              </w:rPr>
              <w:t xml:space="preserve"> </w:t>
            </w:r>
            <w:r w:rsidRPr="00D97FD9">
              <w:rPr>
                <w:rFonts w:ascii="Book Antiqua" w:hAnsi="Book Antiqua" w:cs="Times New Roman"/>
                <w:b/>
                <w:sz w:val="24"/>
                <w:szCs w:val="24"/>
              </w:rPr>
              <w:t>Rates of portal hypertensive gastropathy in patients with cirrhosis</w:t>
            </w:r>
          </w:p>
        </w:tc>
      </w:tr>
      <w:tr w:rsidR="00632F67" w:rsidRPr="00302F74" w:rsidTr="00BD3FCC">
        <w:trPr>
          <w:trHeight w:val="795"/>
        </w:trPr>
        <w:tc>
          <w:tcPr>
            <w:tcW w:w="3711" w:type="dxa"/>
            <w:tcBorders>
              <w:top w:val="single" w:sz="4" w:space="0" w:color="auto"/>
              <w:bottom w:val="single" w:sz="4" w:space="0" w:color="auto"/>
            </w:tcBorders>
            <w:noWrap/>
            <w:hideMark/>
          </w:tcPr>
          <w:p w:rsidR="00C9325C" w:rsidRPr="00D97FD9" w:rsidRDefault="00C9325C" w:rsidP="00D97FD9">
            <w:pPr>
              <w:widowControl w:val="0"/>
              <w:spacing w:line="360" w:lineRule="auto"/>
              <w:jc w:val="both"/>
              <w:rPr>
                <w:rFonts w:ascii="Book Antiqua" w:hAnsi="Book Antiqua" w:cs="Times New Roman"/>
                <w:b/>
                <w:sz w:val="24"/>
                <w:szCs w:val="24"/>
                <w:lang w:eastAsia="zh-CN"/>
              </w:rPr>
            </w:pPr>
            <w:r w:rsidRPr="00D97FD9">
              <w:rPr>
                <w:rFonts w:ascii="Book Antiqua" w:hAnsi="Book Antiqua" w:cs="Times New Roman"/>
                <w:b/>
                <w:sz w:val="24"/>
                <w:szCs w:val="24"/>
              </w:rPr>
              <w:t>Ref</w:t>
            </w:r>
            <w:r w:rsidR="00D97FD9" w:rsidRPr="00D97FD9">
              <w:rPr>
                <w:rFonts w:ascii="Book Antiqua" w:hAnsi="Book Antiqua" w:cs="Times New Roman" w:hint="eastAsia"/>
                <w:b/>
                <w:sz w:val="24"/>
                <w:szCs w:val="24"/>
                <w:lang w:eastAsia="zh-CN"/>
              </w:rPr>
              <w:t>.</w:t>
            </w:r>
          </w:p>
        </w:tc>
        <w:tc>
          <w:tcPr>
            <w:tcW w:w="3191" w:type="dxa"/>
            <w:tcBorders>
              <w:top w:val="single" w:sz="4" w:space="0" w:color="auto"/>
              <w:bottom w:val="single" w:sz="4" w:space="0" w:color="auto"/>
            </w:tcBorders>
            <w:noWrap/>
            <w:hideMark/>
          </w:tcPr>
          <w:p w:rsidR="00C9325C" w:rsidRPr="00D97FD9" w:rsidRDefault="00C9325C" w:rsidP="00FA6CCE">
            <w:pPr>
              <w:widowControl w:val="0"/>
              <w:spacing w:line="360" w:lineRule="auto"/>
              <w:jc w:val="both"/>
              <w:rPr>
                <w:rFonts w:ascii="Book Antiqua" w:hAnsi="Book Antiqua" w:cs="Times New Roman"/>
                <w:b/>
                <w:sz w:val="24"/>
                <w:szCs w:val="24"/>
              </w:rPr>
            </w:pPr>
            <w:r w:rsidRPr="00D97FD9">
              <w:rPr>
                <w:rFonts w:ascii="Book Antiqua" w:hAnsi="Book Antiqua" w:cs="Times New Roman"/>
                <w:b/>
                <w:sz w:val="24"/>
                <w:szCs w:val="24"/>
              </w:rPr>
              <w:t>P</w:t>
            </w:r>
            <w:r w:rsidR="00D97FD9" w:rsidRPr="00D97FD9">
              <w:rPr>
                <w:rFonts w:ascii="Book Antiqua" w:hAnsi="Book Antiqua" w:cs="Times New Roman"/>
                <w:b/>
                <w:sz w:val="24"/>
                <w:szCs w:val="24"/>
              </w:rPr>
              <w:t>atients</w:t>
            </w:r>
          </w:p>
        </w:tc>
        <w:tc>
          <w:tcPr>
            <w:tcW w:w="1449" w:type="dxa"/>
            <w:tcBorders>
              <w:top w:val="single" w:sz="4" w:space="0" w:color="auto"/>
              <w:bottom w:val="single" w:sz="4" w:space="0" w:color="auto"/>
            </w:tcBorders>
            <w:noWrap/>
            <w:hideMark/>
          </w:tcPr>
          <w:p w:rsidR="00C9325C" w:rsidRPr="00D97FD9" w:rsidRDefault="00C9325C" w:rsidP="00FA6CCE">
            <w:pPr>
              <w:widowControl w:val="0"/>
              <w:spacing w:line="360" w:lineRule="auto"/>
              <w:jc w:val="both"/>
              <w:rPr>
                <w:rFonts w:ascii="Book Antiqua" w:hAnsi="Book Antiqua" w:cs="Times New Roman"/>
                <w:b/>
                <w:sz w:val="24"/>
                <w:szCs w:val="24"/>
              </w:rPr>
            </w:pPr>
            <w:r w:rsidRPr="00D97FD9">
              <w:rPr>
                <w:rFonts w:ascii="Book Antiqua" w:hAnsi="Book Antiqua" w:cs="Times New Roman"/>
                <w:b/>
                <w:sz w:val="24"/>
                <w:szCs w:val="24"/>
              </w:rPr>
              <w:t>T</w:t>
            </w:r>
            <w:r w:rsidR="00D97FD9" w:rsidRPr="00D97FD9">
              <w:rPr>
                <w:rFonts w:ascii="Book Antiqua" w:hAnsi="Book Antiqua" w:cs="Times New Roman"/>
                <w:b/>
                <w:sz w:val="24"/>
                <w:szCs w:val="24"/>
              </w:rPr>
              <w:t>otal number</w:t>
            </w:r>
          </w:p>
        </w:tc>
        <w:tc>
          <w:tcPr>
            <w:tcW w:w="1800" w:type="dxa"/>
            <w:tcBorders>
              <w:top w:val="single" w:sz="4" w:space="0" w:color="auto"/>
              <w:bottom w:val="single" w:sz="4" w:space="0" w:color="auto"/>
            </w:tcBorders>
            <w:noWrap/>
            <w:hideMark/>
          </w:tcPr>
          <w:p w:rsidR="00C9325C" w:rsidRPr="00D97FD9" w:rsidRDefault="00C9325C" w:rsidP="00FA6CCE">
            <w:pPr>
              <w:widowControl w:val="0"/>
              <w:spacing w:line="360" w:lineRule="auto"/>
              <w:jc w:val="both"/>
              <w:rPr>
                <w:rFonts w:ascii="Book Antiqua" w:hAnsi="Book Antiqua" w:cs="Times New Roman"/>
                <w:b/>
                <w:sz w:val="24"/>
                <w:szCs w:val="24"/>
              </w:rPr>
            </w:pPr>
            <w:r w:rsidRPr="00D97FD9">
              <w:rPr>
                <w:rFonts w:ascii="Book Antiqua" w:hAnsi="Book Antiqua" w:cs="Times New Roman"/>
                <w:b/>
                <w:sz w:val="24"/>
                <w:szCs w:val="24"/>
              </w:rPr>
              <w:t>PHG</w:t>
            </w:r>
          </w:p>
        </w:tc>
        <w:tc>
          <w:tcPr>
            <w:tcW w:w="1566" w:type="dxa"/>
            <w:tcBorders>
              <w:top w:val="single" w:sz="4" w:space="0" w:color="auto"/>
              <w:bottom w:val="single" w:sz="4" w:space="0" w:color="auto"/>
            </w:tcBorders>
            <w:noWrap/>
            <w:hideMark/>
          </w:tcPr>
          <w:p w:rsidR="00C9325C" w:rsidRPr="00D97FD9" w:rsidRDefault="00C9325C" w:rsidP="00FA6CCE">
            <w:pPr>
              <w:widowControl w:val="0"/>
              <w:spacing w:line="360" w:lineRule="auto"/>
              <w:jc w:val="both"/>
              <w:rPr>
                <w:rFonts w:ascii="Book Antiqua" w:hAnsi="Book Antiqua" w:cs="Times New Roman"/>
                <w:b/>
                <w:sz w:val="24"/>
                <w:szCs w:val="24"/>
              </w:rPr>
            </w:pPr>
            <w:r w:rsidRPr="00D97FD9">
              <w:rPr>
                <w:rFonts w:ascii="Book Antiqua" w:hAnsi="Book Antiqua" w:cs="Times New Roman"/>
                <w:b/>
                <w:sz w:val="24"/>
                <w:szCs w:val="24"/>
              </w:rPr>
              <w:t>mild</w:t>
            </w:r>
          </w:p>
        </w:tc>
        <w:tc>
          <w:tcPr>
            <w:tcW w:w="1457" w:type="dxa"/>
            <w:tcBorders>
              <w:top w:val="single" w:sz="4" w:space="0" w:color="auto"/>
              <w:bottom w:val="single" w:sz="4" w:space="0" w:color="auto"/>
            </w:tcBorders>
            <w:noWrap/>
            <w:hideMark/>
          </w:tcPr>
          <w:p w:rsidR="00C9325C" w:rsidRPr="00D97FD9" w:rsidRDefault="00C9325C" w:rsidP="00FA6CCE">
            <w:pPr>
              <w:widowControl w:val="0"/>
              <w:spacing w:line="360" w:lineRule="auto"/>
              <w:jc w:val="both"/>
              <w:rPr>
                <w:rFonts w:ascii="Book Antiqua" w:hAnsi="Book Antiqua" w:cs="Times New Roman"/>
                <w:b/>
                <w:sz w:val="24"/>
                <w:szCs w:val="24"/>
              </w:rPr>
            </w:pPr>
            <w:r w:rsidRPr="00D97FD9">
              <w:rPr>
                <w:rFonts w:ascii="Book Antiqua" w:hAnsi="Book Antiqua" w:cs="Times New Roman"/>
                <w:b/>
                <w:sz w:val="24"/>
                <w:szCs w:val="24"/>
              </w:rPr>
              <w:t>severe</w:t>
            </w:r>
          </w:p>
        </w:tc>
      </w:tr>
      <w:tr w:rsidR="00632F67" w:rsidRPr="00302F74" w:rsidTr="00BD3FCC">
        <w:trPr>
          <w:trHeight w:val="285"/>
        </w:trPr>
        <w:tc>
          <w:tcPr>
            <w:tcW w:w="3711" w:type="dxa"/>
            <w:noWrap/>
            <w:hideMark/>
          </w:tcPr>
          <w:p w:rsidR="00C9325C" w:rsidRPr="00302F74" w:rsidRDefault="00C9325C" w:rsidP="00D97FD9">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Sacchetti </w:t>
            </w:r>
            <w:r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[24]</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142</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38 (27%)</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28 (20%)</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 (7%)</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D'Amico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[25]</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212</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130 (61%)</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110 (52%)</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20 (9%)</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Cales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[26]</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98 (98%)</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57 (57%)</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41 (41%)</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Rabinovitz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[27]</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510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 (43%)</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Iwao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[28]</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47</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32 (68%)</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15 (32%)</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17 (36%)</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Taranto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[29]</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394</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317 (80.5 %)</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Gupta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[30]</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230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(61%)</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(52%)</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Iwao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[31]</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476</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254 (53%)</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208 (43%)</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46 (9%)</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Carpinelli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[32]</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566</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362 (64%)</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192 (34%)</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170 (30%)</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Zaman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[33]</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74 (62%)</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47 (39%)</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27 (23%)</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Primignani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[34]</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373</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299 (80%)</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127 (34%)</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172 (46%)</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Chaves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[35]</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Cirrhosis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schistosomiasis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43</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18 (81%)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7 (33%)</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Merkel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[36]</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62</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49 (79%)</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29 (46%)</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20 (32%)</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Merli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[37]</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Cirrhosis, with mild portal </w:t>
            </w:r>
            <w:r w:rsidRPr="00302F74">
              <w:rPr>
                <w:rFonts w:ascii="Book Antiqua" w:hAnsi="Book Antiqua" w:cs="Times New Roman"/>
                <w:sz w:val="24"/>
                <w:szCs w:val="24"/>
              </w:rPr>
              <w:lastRenderedPageBreak/>
              <w:t>hypertension</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222</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48 (21%)</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43 (19%)</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 (2%)</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 xml:space="preserve">Ito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[38]</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47</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13 (27%)</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 (21%)</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 (6%)</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De Palma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[39]</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37</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23 (62%)</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Menchen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[40]</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549</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353 (64%)</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275 (50%)</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77 (14%)</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Yuksel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[41]</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114 total</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76 (66%)</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38 (33%)</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38 (33%)</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Fontana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[42]</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 or bridging fibrosis from hepatitis C</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1016</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374 (37%)</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345 (34%)</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29 (3%)</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Bresci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[43]</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85</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36 (42%)</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Akatsu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[44]</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End stage liver disease</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29</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 (65.5%)</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18 (62.1%)</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 (3.4%)</w:t>
            </w:r>
          </w:p>
        </w:tc>
      </w:tr>
      <w:tr w:rsidR="00632F67" w:rsidRPr="00302F74" w:rsidTr="00BD3FCC">
        <w:trPr>
          <w:trHeight w:val="285"/>
        </w:trPr>
        <w:tc>
          <w:tcPr>
            <w:tcW w:w="3711" w:type="dxa"/>
            <w:noWrap/>
            <w:hideMark/>
          </w:tcPr>
          <w:p w:rsidR="00C9325C" w:rsidRPr="00302F74" w:rsidRDefault="00D97FD9" w:rsidP="00FA6CCE">
            <w:pPr>
              <w:widowControl w:val="0"/>
              <w:spacing w:line="360" w:lineRule="auto"/>
              <w:jc w:val="both"/>
              <w:rPr>
                <w:rFonts w:ascii="Book Antiqua" w:hAnsi="Book Antiqua" w:cs="Times New Roman"/>
                <w:sz w:val="24"/>
                <w:szCs w:val="24"/>
              </w:rPr>
            </w:pPr>
            <w:r>
              <w:rPr>
                <w:rFonts w:ascii="Book Antiqua" w:hAnsi="Book Antiqua" w:cs="Times New Roman"/>
                <w:sz w:val="24"/>
                <w:szCs w:val="24"/>
              </w:rPr>
              <w:t>Zardi</w:t>
            </w:r>
            <w:r w:rsidRPr="00D97FD9">
              <w:rPr>
                <w:rFonts w:ascii="Book Antiqua" w:hAnsi="Book Antiqua" w:cs="Times New Roman"/>
                <w:i/>
                <w:sz w:val="24"/>
                <w:szCs w:val="24"/>
              </w:rPr>
              <w:t xml:space="preserve"> et al</w:t>
            </w:r>
            <w:r w:rsidR="00C9325C" w:rsidRPr="00302F74">
              <w:rPr>
                <w:rFonts w:ascii="Book Antiqua" w:hAnsi="Book Antiqua" w:cs="Times New Roman"/>
                <w:sz w:val="24"/>
                <w:szCs w:val="24"/>
                <w:vertAlign w:val="superscript"/>
              </w:rPr>
              <w:t>[45]</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266</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84 (31%)</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Barakat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[46]</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105</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105 (100??)</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17 (16.2%)</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88 (83.8%)</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Bellis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[47]</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59</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44 (76%)</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16 (27%)</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28 (47%)</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Gravante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[48]</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Liver transplant candidates with 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41 (51.2%)</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Canales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[49]</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13 (68.4%)</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Kim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[50]</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83</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48 (57.8%)</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 xml:space="preserve">Higaki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[51]</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21</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 (38%)</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Frenette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[52]</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45 (90%)</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28 (56%)</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17 (34%) moderate</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Tarantino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[53]</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153</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88 (57.5%)</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Curvelo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[54]</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46</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43 (93.4%)</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21 (45%)</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22 (47%)</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Anegawa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[55]</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49 (70%)</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32 (46%)</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17 (24%)</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Kumar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[56]</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254</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140 (55%)</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Kim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[57]</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331</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298 (90%)</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mild 84</w:t>
            </w:r>
            <w:r w:rsidR="00963345">
              <w:rPr>
                <w:rFonts w:ascii="Book Antiqua" w:hAnsi="Book Antiqua" w:cs="Times New Roman"/>
                <w:sz w:val="24"/>
                <w:szCs w:val="24"/>
              </w:rPr>
              <w:t xml:space="preserve"> </w:t>
            </w:r>
            <w:r w:rsidRPr="00302F74">
              <w:rPr>
                <w:rFonts w:ascii="Book Antiqua" w:hAnsi="Book Antiqua" w:cs="Times New Roman"/>
                <w:sz w:val="24"/>
                <w:szCs w:val="24"/>
              </w:rPr>
              <w:t>(25.4%)</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214 (64.7%)</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De Lisi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[58]</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611</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448 (73.3%)</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37.30%</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36%</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Abbasi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[59]</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102</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87 (85%)</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Ahmed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[60]</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 from hepatitis B or hepatitis C</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360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300 (83%)</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229 (64%)</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71 (20%)</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Garcia Saenz de Sicilia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[61]</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105</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72 (68.6%)</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Abbasi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[62]</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217</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172 (79.3%)</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56 (25.8%)</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116 (53.5%)</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Aoyama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[63]</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13 (22%)</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not </w:t>
            </w:r>
            <w:r w:rsidRPr="00302F74">
              <w:rPr>
                <w:rFonts w:ascii="Book Antiqua" w:hAnsi="Book Antiqua" w:cs="Times New Roman"/>
                <w:sz w:val="24"/>
                <w:szCs w:val="24"/>
              </w:rPr>
              <w:lastRenderedPageBreak/>
              <w:t>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 xml:space="preserve">Laleman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[64]</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 with refractory chronic hepatic encephalopathy</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36</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13 (36%)</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 (25%)</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 (11%)</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Giannini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[65]</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 and hepatocellular carcinoma, undergoing resection</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152</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23 (15.1%)</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Abdollahi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[21]</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Autoimmune hepatitis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60</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27 (45%)</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Aoyama</w:t>
            </w:r>
            <w:r w:rsidR="00D97FD9" w:rsidRPr="00D97FD9">
              <w:rPr>
                <w:rFonts w:ascii="Book Antiqua" w:hAnsi="Book Antiqua" w:cs="Times New Roman"/>
                <w:i/>
                <w:sz w:val="24"/>
                <w:szCs w:val="24"/>
              </w:rPr>
              <w:t xml:space="preserve"> et al</w:t>
            </w:r>
            <w:r w:rsidRPr="00302F74">
              <w:rPr>
                <w:rFonts w:ascii="Book Antiqua" w:hAnsi="Book Antiqua" w:cs="Times New Roman"/>
                <w:sz w:val="24"/>
                <w:szCs w:val="24"/>
                <w:vertAlign w:val="superscript"/>
              </w:rPr>
              <w:t>[23]</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119</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35 (29%)</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Aoyama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[66]</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134</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42 (31%)</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reported</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Zardi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[67]</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 without gastroesophageal varices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145</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75 (51%)</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45 (31%)</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30 (20%)</w:t>
            </w:r>
          </w:p>
        </w:tc>
      </w:tr>
      <w:tr w:rsidR="00632F67" w:rsidRPr="00302F74" w:rsidTr="00BD3FCC">
        <w:trPr>
          <w:trHeight w:val="285"/>
        </w:trPr>
        <w:tc>
          <w:tcPr>
            <w:tcW w:w="371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Wu </w:t>
            </w:r>
            <w:r w:rsidR="00D97FD9" w:rsidRPr="00D97FD9">
              <w:rPr>
                <w:rFonts w:ascii="Book Antiqua" w:hAnsi="Book Antiqua" w:cs="Times New Roman"/>
                <w:i/>
                <w:sz w:val="24"/>
                <w:szCs w:val="24"/>
              </w:rPr>
              <w:t>et al</w:t>
            </w:r>
            <w:r w:rsidRPr="00302F74">
              <w:rPr>
                <w:rFonts w:ascii="Book Antiqua" w:hAnsi="Book Antiqua" w:cs="Times New Roman"/>
                <w:sz w:val="24"/>
                <w:szCs w:val="24"/>
                <w:vertAlign w:val="superscript"/>
              </w:rPr>
              <w:t>[68]</w:t>
            </w:r>
          </w:p>
        </w:tc>
        <w:tc>
          <w:tcPr>
            <w:tcW w:w="3191"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Cirrhosis</w:t>
            </w:r>
          </w:p>
        </w:tc>
        <w:tc>
          <w:tcPr>
            <w:tcW w:w="1449"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700 </w:t>
            </w:r>
          </w:p>
        </w:tc>
        <w:tc>
          <w:tcPr>
            <w:tcW w:w="1800"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449 (64%)</w:t>
            </w:r>
          </w:p>
        </w:tc>
        <w:tc>
          <w:tcPr>
            <w:tcW w:w="1566"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Slight 208, moderate 160</w:t>
            </w:r>
          </w:p>
        </w:tc>
        <w:tc>
          <w:tcPr>
            <w:tcW w:w="1457"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Severe 81</w:t>
            </w:r>
          </w:p>
        </w:tc>
      </w:tr>
    </w:tbl>
    <w:p w:rsidR="00BD3FCC" w:rsidRDefault="00BD3FCC" w:rsidP="00FA6CCE">
      <w:pPr>
        <w:widowControl w:val="0"/>
        <w:spacing w:line="360" w:lineRule="auto"/>
        <w:jc w:val="both"/>
        <w:rPr>
          <w:rFonts w:ascii="Book Antiqua" w:hAnsi="Book Antiqua" w:cs="Times New Roman"/>
          <w:sz w:val="24"/>
          <w:szCs w:val="24"/>
          <w:lang w:val="en" w:eastAsia="zh-CN"/>
        </w:rPr>
      </w:pPr>
    </w:p>
    <w:tbl>
      <w:tblPr>
        <w:tblW w:w="0" w:type="auto"/>
        <w:tblInd w:w="-64" w:type="dxa"/>
        <w:tblBorders>
          <w:top w:val="single" w:sz="4" w:space="0" w:color="auto"/>
        </w:tblBorders>
        <w:tblLook w:val="0000" w:firstRow="0" w:lastRow="0" w:firstColumn="0" w:lastColumn="0" w:noHBand="0" w:noVBand="0"/>
      </w:tblPr>
      <w:tblGrid>
        <w:gridCol w:w="13229"/>
      </w:tblGrid>
      <w:tr w:rsidR="00BD3FCC" w:rsidTr="00BD3FCC">
        <w:trPr>
          <w:trHeight w:val="100"/>
        </w:trPr>
        <w:tc>
          <w:tcPr>
            <w:tcW w:w="13229" w:type="dxa"/>
          </w:tcPr>
          <w:p w:rsidR="00BD3FCC" w:rsidRDefault="00D97FD9" w:rsidP="00FA6CCE">
            <w:pPr>
              <w:widowControl w:val="0"/>
              <w:spacing w:line="360" w:lineRule="auto"/>
              <w:jc w:val="both"/>
              <w:rPr>
                <w:rFonts w:ascii="Book Antiqua" w:hAnsi="Book Antiqua" w:cs="Times New Roman"/>
                <w:sz w:val="24"/>
                <w:szCs w:val="24"/>
                <w:lang w:val="en"/>
              </w:rPr>
            </w:pPr>
            <w:r w:rsidRPr="00553DA6">
              <w:rPr>
                <w:rFonts w:ascii="Book Antiqua" w:hAnsi="Book Antiqua" w:cs="Times New Roman"/>
                <w:sz w:val="24"/>
                <w:szCs w:val="24"/>
              </w:rPr>
              <w:t>PHG</w:t>
            </w:r>
            <w:r w:rsidRPr="00553DA6">
              <w:rPr>
                <w:rFonts w:ascii="Book Antiqua" w:hAnsi="Book Antiqua" w:cs="Times New Roman" w:hint="eastAsia"/>
                <w:sz w:val="24"/>
                <w:szCs w:val="24"/>
                <w:lang w:eastAsia="zh-CN"/>
              </w:rPr>
              <w:t xml:space="preserve">: </w:t>
            </w:r>
            <w:r w:rsidRPr="00553DA6">
              <w:rPr>
                <w:rFonts w:ascii="Book Antiqua" w:hAnsi="Book Antiqua" w:cs="Times New Roman"/>
                <w:sz w:val="24"/>
                <w:szCs w:val="24"/>
              </w:rPr>
              <w:t>Portal hypertensive gastropathy</w:t>
            </w:r>
            <w:r w:rsidRPr="00553DA6">
              <w:rPr>
                <w:rFonts w:ascii="Book Antiqua" w:hAnsi="Book Antiqua" w:cs="Times New Roman" w:hint="eastAsia"/>
                <w:sz w:val="24"/>
                <w:szCs w:val="24"/>
                <w:lang w:eastAsia="zh-CN"/>
              </w:rPr>
              <w:t>.</w:t>
            </w:r>
          </w:p>
        </w:tc>
      </w:tr>
    </w:tbl>
    <w:p w:rsidR="00C9325C" w:rsidRPr="00302F74" w:rsidRDefault="00C9325C" w:rsidP="00FA6CCE">
      <w:pPr>
        <w:widowControl w:val="0"/>
        <w:spacing w:line="360" w:lineRule="auto"/>
        <w:jc w:val="both"/>
        <w:rPr>
          <w:rFonts w:ascii="Book Antiqua" w:hAnsi="Book Antiqua" w:cs="Times New Roman"/>
          <w:sz w:val="24"/>
          <w:szCs w:val="24"/>
          <w:lang w:val="en"/>
        </w:rPr>
      </w:pPr>
    </w:p>
    <w:p w:rsidR="00C9325C" w:rsidRPr="00302F74" w:rsidRDefault="00C9325C" w:rsidP="00FA6CCE">
      <w:pPr>
        <w:widowControl w:val="0"/>
        <w:spacing w:line="360" w:lineRule="auto"/>
        <w:jc w:val="both"/>
        <w:rPr>
          <w:rFonts w:ascii="Book Antiqua" w:hAnsi="Book Antiqua" w:cs="Times New Roman"/>
          <w:sz w:val="24"/>
          <w:szCs w:val="24"/>
          <w:lang w:val="en"/>
        </w:rPr>
      </w:pPr>
    </w:p>
    <w:p w:rsidR="00C9325C" w:rsidRPr="00302F74" w:rsidRDefault="00C9325C" w:rsidP="00FA6CCE">
      <w:pPr>
        <w:widowControl w:val="0"/>
        <w:spacing w:line="360" w:lineRule="auto"/>
        <w:jc w:val="both"/>
        <w:rPr>
          <w:rFonts w:ascii="Book Antiqua" w:hAnsi="Book Antiqua" w:cs="Times New Roman"/>
          <w:sz w:val="24"/>
          <w:szCs w:val="24"/>
          <w:lang w:val="en"/>
        </w:rPr>
      </w:pPr>
    </w:p>
    <w:p w:rsidR="00C9325C" w:rsidRPr="00302F74" w:rsidRDefault="00C9325C" w:rsidP="00FA6CCE">
      <w:pPr>
        <w:widowControl w:val="0"/>
        <w:spacing w:line="360" w:lineRule="auto"/>
        <w:jc w:val="both"/>
        <w:rPr>
          <w:rFonts w:ascii="Book Antiqua" w:hAnsi="Book Antiqua" w:cs="Times New Roman"/>
          <w:sz w:val="24"/>
          <w:szCs w:val="24"/>
          <w:lang w:val="en"/>
        </w:rPr>
      </w:pP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br w:type="page"/>
      </w:r>
    </w:p>
    <w:tbl>
      <w:tblPr>
        <w:tblStyle w:val="TableGrid1"/>
        <w:tblpPr w:leftFromText="180" w:rightFromText="180" w:vertAnchor="text" w:horzAnchor="margin" w:tblpXSpec="center" w:tblpY="-226"/>
        <w:tblW w:w="1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3831"/>
        <w:gridCol w:w="1662"/>
        <w:gridCol w:w="2647"/>
        <w:gridCol w:w="2946"/>
        <w:gridCol w:w="2168"/>
      </w:tblGrid>
      <w:tr w:rsidR="00632F67" w:rsidRPr="00302F74" w:rsidTr="003165B5">
        <w:trPr>
          <w:trHeight w:val="624"/>
        </w:trPr>
        <w:tc>
          <w:tcPr>
            <w:tcW w:w="14644" w:type="dxa"/>
            <w:gridSpan w:val="6"/>
            <w:tcBorders>
              <w:bottom w:val="single" w:sz="4" w:space="0" w:color="auto"/>
            </w:tcBorders>
          </w:tcPr>
          <w:p w:rsidR="00C9325C" w:rsidRPr="00135449" w:rsidRDefault="00C9325C" w:rsidP="003165B5">
            <w:pPr>
              <w:widowControl w:val="0"/>
              <w:spacing w:line="360" w:lineRule="auto"/>
              <w:jc w:val="both"/>
              <w:rPr>
                <w:rFonts w:ascii="Book Antiqua" w:hAnsi="Book Antiqua" w:cs="Times New Roman"/>
                <w:b/>
                <w:sz w:val="24"/>
                <w:szCs w:val="24"/>
              </w:rPr>
            </w:pPr>
          </w:p>
          <w:p w:rsidR="00C9325C" w:rsidRPr="00135449" w:rsidRDefault="00C9325C" w:rsidP="003165B5">
            <w:pPr>
              <w:widowControl w:val="0"/>
              <w:spacing w:line="360" w:lineRule="auto"/>
              <w:jc w:val="both"/>
              <w:rPr>
                <w:rFonts w:ascii="Book Antiqua" w:hAnsi="Book Antiqua" w:cs="Times New Roman"/>
                <w:b/>
                <w:sz w:val="24"/>
                <w:szCs w:val="24"/>
              </w:rPr>
            </w:pPr>
            <w:r w:rsidRPr="00135449">
              <w:rPr>
                <w:rFonts w:ascii="Book Antiqua" w:hAnsi="Book Antiqua" w:cs="Times New Roman"/>
                <w:b/>
                <w:sz w:val="24"/>
                <w:szCs w:val="24"/>
              </w:rPr>
              <w:t xml:space="preserve">Table </w:t>
            </w:r>
            <w:r w:rsidR="00553DA6" w:rsidRPr="00135449">
              <w:rPr>
                <w:rFonts w:ascii="Book Antiqua" w:hAnsi="Book Antiqua" w:cs="Times New Roman" w:hint="eastAsia"/>
                <w:b/>
                <w:sz w:val="24"/>
                <w:szCs w:val="24"/>
                <w:lang w:eastAsia="zh-CN"/>
              </w:rPr>
              <w:t>3</w:t>
            </w:r>
            <w:r w:rsidRPr="00135449">
              <w:rPr>
                <w:rFonts w:ascii="Book Antiqua" w:hAnsi="Book Antiqua" w:cs="Times New Roman"/>
                <w:b/>
                <w:sz w:val="24"/>
                <w:szCs w:val="24"/>
              </w:rPr>
              <w:t xml:space="preserve"> Effects of variceal ligation on frequency of portal hypertensive gastropathy</w:t>
            </w:r>
          </w:p>
        </w:tc>
      </w:tr>
      <w:tr w:rsidR="00632F67" w:rsidRPr="00302F74" w:rsidTr="003165B5">
        <w:trPr>
          <w:trHeight w:val="267"/>
        </w:trPr>
        <w:tc>
          <w:tcPr>
            <w:tcW w:w="1390" w:type="dxa"/>
            <w:tcBorders>
              <w:top w:val="single" w:sz="4" w:space="0" w:color="auto"/>
              <w:bottom w:val="single" w:sz="4" w:space="0" w:color="auto"/>
            </w:tcBorders>
            <w:hideMark/>
          </w:tcPr>
          <w:p w:rsidR="00C9325C" w:rsidRPr="00135449" w:rsidRDefault="00C9325C" w:rsidP="003165B5">
            <w:pPr>
              <w:widowControl w:val="0"/>
              <w:spacing w:line="360" w:lineRule="auto"/>
              <w:jc w:val="both"/>
              <w:rPr>
                <w:rFonts w:ascii="Book Antiqua" w:hAnsi="Book Antiqua" w:cs="Times New Roman"/>
                <w:b/>
                <w:sz w:val="24"/>
                <w:szCs w:val="24"/>
                <w:lang w:eastAsia="zh-CN"/>
              </w:rPr>
            </w:pPr>
            <w:r w:rsidRPr="00135449">
              <w:rPr>
                <w:rFonts w:ascii="Book Antiqua" w:hAnsi="Book Antiqua" w:cs="Times New Roman"/>
                <w:b/>
                <w:sz w:val="24"/>
                <w:szCs w:val="24"/>
              </w:rPr>
              <w:t>Ref</w:t>
            </w:r>
            <w:r w:rsidR="003165B5" w:rsidRPr="00135449">
              <w:rPr>
                <w:rFonts w:ascii="Book Antiqua" w:hAnsi="Book Antiqua" w:cs="Times New Roman" w:hint="eastAsia"/>
                <w:b/>
                <w:sz w:val="24"/>
                <w:szCs w:val="24"/>
                <w:lang w:eastAsia="zh-CN"/>
              </w:rPr>
              <w:t>.</w:t>
            </w:r>
          </w:p>
        </w:tc>
        <w:tc>
          <w:tcPr>
            <w:tcW w:w="3831" w:type="dxa"/>
            <w:tcBorders>
              <w:top w:val="single" w:sz="4" w:space="0" w:color="auto"/>
              <w:bottom w:val="single" w:sz="4" w:space="0" w:color="auto"/>
            </w:tcBorders>
            <w:hideMark/>
          </w:tcPr>
          <w:p w:rsidR="00C9325C" w:rsidRPr="00135449" w:rsidRDefault="00C9325C" w:rsidP="00135449">
            <w:pPr>
              <w:widowControl w:val="0"/>
              <w:spacing w:line="360" w:lineRule="auto"/>
              <w:jc w:val="both"/>
              <w:rPr>
                <w:rFonts w:ascii="Book Antiqua" w:hAnsi="Book Antiqua" w:cs="Times New Roman"/>
                <w:b/>
                <w:sz w:val="24"/>
                <w:szCs w:val="24"/>
              </w:rPr>
            </w:pPr>
            <w:r w:rsidRPr="00135449">
              <w:rPr>
                <w:rFonts w:ascii="Book Antiqua" w:hAnsi="Book Antiqua" w:cs="Times New Roman"/>
                <w:b/>
                <w:sz w:val="24"/>
                <w:szCs w:val="24"/>
              </w:rPr>
              <w:t>N</w:t>
            </w:r>
            <w:r w:rsidR="00135449" w:rsidRPr="00135449">
              <w:rPr>
                <w:rFonts w:ascii="Book Antiqua" w:hAnsi="Book Antiqua" w:cs="Times New Roman" w:hint="eastAsia"/>
                <w:b/>
                <w:sz w:val="24"/>
                <w:szCs w:val="24"/>
                <w:lang w:eastAsia="zh-CN"/>
              </w:rPr>
              <w:t>O.</w:t>
            </w:r>
            <w:r w:rsidRPr="00135449">
              <w:rPr>
                <w:rFonts w:ascii="Book Antiqua" w:hAnsi="Book Antiqua" w:cs="Times New Roman"/>
                <w:b/>
                <w:sz w:val="24"/>
                <w:szCs w:val="24"/>
              </w:rPr>
              <w:t xml:space="preserve"> of patients and etiology</w:t>
            </w:r>
          </w:p>
        </w:tc>
        <w:tc>
          <w:tcPr>
            <w:tcW w:w="1662" w:type="dxa"/>
            <w:tcBorders>
              <w:top w:val="single" w:sz="4" w:space="0" w:color="auto"/>
              <w:bottom w:val="single" w:sz="4" w:space="0" w:color="auto"/>
            </w:tcBorders>
            <w:hideMark/>
          </w:tcPr>
          <w:p w:rsidR="00C9325C" w:rsidRPr="00135449" w:rsidRDefault="00C9325C" w:rsidP="003165B5">
            <w:pPr>
              <w:widowControl w:val="0"/>
              <w:spacing w:line="360" w:lineRule="auto"/>
              <w:jc w:val="both"/>
              <w:rPr>
                <w:rFonts w:ascii="Book Antiqua" w:hAnsi="Book Antiqua" w:cs="Times New Roman"/>
                <w:b/>
                <w:sz w:val="24"/>
                <w:szCs w:val="24"/>
              </w:rPr>
            </w:pPr>
            <w:r w:rsidRPr="00135449">
              <w:rPr>
                <w:rFonts w:ascii="Book Antiqua" w:hAnsi="Book Antiqua" w:cs="Times New Roman"/>
                <w:b/>
                <w:sz w:val="24"/>
                <w:szCs w:val="24"/>
              </w:rPr>
              <w:t>Study type</w:t>
            </w:r>
          </w:p>
        </w:tc>
        <w:tc>
          <w:tcPr>
            <w:tcW w:w="2647" w:type="dxa"/>
            <w:tcBorders>
              <w:top w:val="single" w:sz="4" w:space="0" w:color="auto"/>
              <w:bottom w:val="single" w:sz="4" w:space="0" w:color="auto"/>
            </w:tcBorders>
            <w:hideMark/>
          </w:tcPr>
          <w:p w:rsidR="00C9325C" w:rsidRPr="00135449" w:rsidRDefault="00C9325C" w:rsidP="003165B5">
            <w:pPr>
              <w:widowControl w:val="0"/>
              <w:spacing w:line="360" w:lineRule="auto"/>
              <w:jc w:val="both"/>
              <w:rPr>
                <w:rFonts w:ascii="Book Antiqua" w:hAnsi="Book Antiqua" w:cs="Times New Roman"/>
                <w:b/>
                <w:sz w:val="24"/>
                <w:szCs w:val="24"/>
              </w:rPr>
            </w:pPr>
            <w:r w:rsidRPr="00135449">
              <w:rPr>
                <w:rFonts w:ascii="Book Antiqua" w:hAnsi="Book Antiqua" w:cs="Times New Roman"/>
                <w:b/>
                <w:sz w:val="24"/>
                <w:szCs w:val="24"/>
              </w:rPr>
              <w:t>PHG rate before variceal ligation</w:t>
            </w:r>
          </w:p>
        </w:tc>
        <w:tc>
          <w:tcPr>
            <w:tcW w:w="2946" w:type="dxa"/>
            <w:tcBorders>
              <w:top w:val="single" w:sz="4" w:space="0" w:color="auto"/>
              <w:bottom w:val="single" w:sz="4" w:space="0" w:color="auto"/>
            </w:tcBorders>
            <w:hideMark/>
          </w:tcPr>
          <w:p w:rsidR="00C9325C" w:rsidRPr="00135449" w:rsidRDefault="00C9325C" w:rsidP="003165B5">
            <w:pPr>
              <w:widowControl w:val="0"/>
              <w:spacing w:line="360" w:lineRule="auto"/>
              <w:jc w:val="both"/>
              <w:rPr>
                <w:rFonts w:ascii="Book Antiqua" w:hAnsi="Book Antiqua" w:cs="Times New Roman"/>
                <w:b/>
                <w:sz w:val="24"/>
                <w:szCs w:val="24"/>
              </w:rPr>
            </w:pPr>
            <w:r w:rsidRPr="00135449">
              <w:rPr>
                <w:rFonts w:ascii="Book Antiqua" w:hAnsi="Book Antiqua" w:cs="Times New Roman"/>
                <w:b/>
                <w:sz w:val="24"/>
                <w:szCs w:val="24"/>
              </w:rPr>
              <w:t>PHG aggravation after variceal ligation</w:t>
            </w:r>
          </w:p>
        </w:tc>
        <w:tc>
          <w:tcPr>
            <w:tcW w:w="2168" w:type="dxa"/>
            <w:tcBorders>
              <w:top w:val="single" w:sz="4" w:space="0" w:color="auto"/>
              <w:bottom w:val="single" w:sz="4" w:space="0" w:color="auto"/>
            </w:tcBorders>
            <w:hideMark/>
          </w:tcPr>
          <w:p w:rsidR="00C9325C" w:rsidRPr="00135449" w:rsidRDefault="00C9325C" w:rsidP="003165B5">
            <w:pPr>
              <w:widowControl w:val="0"/>
              <w:spacing w:line="360" w:lineRule="auto"/>
              <w:jc w:val="both"/>
              <w:rPr>
                <w:rFonts w:ascii="Book Antiqua" w:hAnsi="Book Antiqua" w:cs="Times New Roman"/>
                <w:b/>
                <w:sz w:val="24"/>
                <w:szCs w:val="24"/>
              </w:rPr>
            </w:pPr>
            <w:r w:rsidRPr="00135449">
              <w:rPr>
                <w:rFonts w:ascii="Book Antiqua" w:hAnsi="Book Antiqua" w:cs="Times New Roman"/>
                <w:b/>
                <w:i/>
                <w:sz w:val="24"/>
                <w:szCs w:val="24"/>
              </w:rPr>
              <w:t>p</w:t>
            </w:r>
            <w:r w:rsidRPr="00135449">
              <w:rPr>
                <w:rFonts w:ascii="Book Antiqua" w:hAnsi="Book Antiqua" w:cs="Times New Roman"/>
                <w:b/>
                <w:sz w:val="24"/>
                <w:szCs w:val="24"/>
              </w:rPr>
              <w:t xml:space="preserve"> value of pre</w:t>
            </w:r>
            <w:r w:rsidR="00963345" w:rsidRPr="00135449">
              <w:rPr>
                <w:rFonts w:ascii="Book Antiqua" w:hAnsi="Book Antiqua" w:cs="Times New Roman"/>
                <w:b/>
                <w:sz w:val="24"/>
                <w:szCs w:val="24"/>
              </w:rPr>
              <w:t xml:space="preserve"> </w:t>
            </w:r>
            <w:r w:rsidR="00963345" w:rsidRPr="00135449">
              <w:rPr>
                <w:rFonts w:ascii="Book Antiqua" w:hAnsi="Book Antiqua" w:cs="Times New Roman" w:hint="eastAsia"/>
                <w:b/>
                <w:i/>
                <w:sz w:val="24"/>
                <w:szCs w:val="24"/>
                <w:lang w:eastAsia="zh-CN"/>
              </w:rPr>
              <w:t>vs</w:t>
            </w:r>
            <w:r w:rsidR="00963345" w:rsidRPr="00135449">
              <w:rPr>
                <w:rFonts w:ascii="Book Antiqua" w:hAnsi="Book Antiqua" w:cs="Times New Roman"/>
                <w:b/>
                <w:sz w:val="24"/>
                <w:szCs w:val="24"/>
              </w:rPr>
              <w:t xml:space="preserve"> </w:t>
            </w:r>
            <w:r w:rsidRPr="00135449">
              <w:rPr>
                <w:rFonts w:ascii="Book Antiqua" w:hAnsi="Book Antiqua" w:cs="Times New Roman"/>
                <w:b/>
                <w:sz w:val="24"/>
                <w:szCs w:val="24"/>
              </w:rPr>
              <w:t>post EVL</w:t>
            </w:r>
          </w:p>
        </w:tc>
      </w:tr>
      <w:tr w:rsidR="00632F67" w:rsidRPr="00302F74" w:rsidTr="003165B5">
        <w:trPr>
          <w:trHeight w:val="1847"/>
        </w:trPr>
        <w:tc>
          <w:tcPr>
            <w:tcW w:w="1390" w:type="dxa"/>
            <w:tcBorders>
              <w:top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[73]</w:t>
            </w:r>
          </w:p>
        </w:tc>
        <w:tc>
          <w:tcPr>
            <w:tcW w:w="3831" w:type="dxa"/>
            <w:tcBorders>
              <w:top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90 patients with cirrhosis and recent variceal bleeding, 46 patients underwent EVL</w:t>
            </w:r>
          </w:p>
        </w:tc>
        <w:tc>
          <w:tcPr>
            <w:tcW w:w="1662" w:type="dxa"/>
            <w:tcBorders>
              <w:top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Randomized, controlled trial</w:t>
            </w:r>
          </w:p>
        </w:tc>
        <w:tc>
          <w:tcPr>
            <w:tcW w:w="2647" w:type="dxa"/>
            <w:tcBorders>
              <w:top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 PHG-4, mild PHG-33, severe-PHG-9</w:t>
            </w:r>
          </w:p>
        </w:tc>
        <w:tc>
          <w:tcPr>
            <w:tcW w:w="2946" w:type="dxa"/>
            <w:tcBorders>
              <w:top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 at eradication: 17/37</w:t>
            </w:r>
            <w:r w:rsidRPr="00302F74">
              <w:rPr>
                <w:rFonts w:ascii="Book Antiqua" w:hAnsi="Book Antiqua" w:cs="Times New Roman"/>
                <w:sz w:val="24"/>
                <w:szCs w:val="24"/>
              </w:rPr>
              <w:br/>
              <w:t>17/37 (45.9%) in EVL</w:t>
            </w:r>
            <w:r w:rsidRPr="00302F74">
              <w:rPr>
                <w:rFonts w:ascii="Book Antiqua" w:hAnsi="Book Antiqua" w:cs="Times New Roman"/>
                <w:sz w:val="24"/>
                <w:szCs w:val="24"/>
              </w:rPr>
              <w:br/>
              <w:t>at 3 mo: 17/30 (56.7%)</w:t>
            </w:r>
            <w:r w:rsidRPr="00302F74">
              <w:rPr>
                <w:rFonts w:ascii="Book Antiqua" w:hAnsi="Book Antiqua" w:cs="Times New Roman"/>
                <w:sz w:val="24"/>
                <w:szCs w:val="24"/>
              </w:rPr>
              <w:br/>
              <w:t>at 6 mo 18/29 (62.1%)</w:t>
            </w:r>
          </w:p>
        </w:tc>
        <w:tc>
          <w:tcPr>
            <w:tcW w:w="2168" w:type="dxa"/>
            <w:tcBorders>
              <w:top w:val="single" w:sz="4" w:space="0" w:color="auto"/>
            </w:tcBorders>
            <w:hideMark/>
          </w:tcPr>
          <w:p w:rsidR="00C9325C" w:rsidRPr="00302F74" w:rsidRDefault="004F3C1D"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i/>
                <w:sz w:val="24"/>
                <w:szCs w:val="24"/>
              </w:rPr>
              <w:t>P</w:t>
            </w:r>
            <w:r>
              <w:rPr>
                <w:rFonts w:ascii="Book Antiqua" w:hAnsi="Book Antiqua" w:cs="Times New Roman" w:hint="eastAsia"/>
                <w:i/>
                <w:sz w:val="24"/>
                <w:szCs w:val="24"/>
                <w:lang w:eastAsia="zh-CN"/>
              </w:rPr>
              <w:t xml:space="preserve"> </w:t>
            </w:r>
            <w:r w:rsidR="00C9325C" w:rsidRPr="00302F74">
              <w:rPr>
                <w:rFonts w:ascii="Book Antiqua" w:hAnsi="Book Antiqua" w:cs="Times New Roman"/>
                <w:sz w:val="24"/>
                <w:szCs w:val="24"/>
              </w:rPr>
              <w:t>&gt;</w:t>
            </w:r>
            <w:r>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0.05</w:t>
            </w:r>
          </w:p>
        </w:tc>
      </w:tr>
      <w:tr w:rsidR="00632F67" w:rsidRPr="00302F74" w:rsidTr="003165B5">
        <w:trPr>
          <w:trHeight w:val="535"/>
        </w:trPr>
        <w:tc>
          <w:tcPr>
            <w:tcW w:w="1390"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[80]</w:t>
            </w:r>
          </w:p>
        </w:tc>
        <w:tc>
          <w:tcPr>
            <w:tcW w:w="3831"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125 patients with upper GI bleeding undergoing variceal ligation, followed for mean of 31 mo</w:t>
            </w:r>
          </w:p>
        </w:tc>
        <w:tc>
          <w:tcPr>
            <w:tcW w:w="1662"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Retrospective study</w:t>
            </w:r>
          </w:p>
        </w:tc>
        <w:tc>
          <w:tcPr>
            <w:tcW w:w="2647"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22/125 (17.6%)</w:t>
            </w:r>
          </w:p>
        </w:tc>
        <w:tc>
          <w:tcPr>
            <w:tcW w:w="2946"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50/125 (50%)</w:t>
            </w:r>
          </w:p>
        </w:tc>
        <w:tc>
          <w:tcPr>
            <w:tcW w:w="2168" w:type="dxa"/>
            <w:hideMark/>
          </w:tcPr>
          <w:p w:rsidR="00C9325C" w:rsidRPr="00302F74" w:rsidRDefault="00E878B6" w:rsidP="003165B5">
            <w:pPr>
              <w:widowControl w:val="0"/>
              <w:spacing w:line="360" w:lineRule="auto"/>
              <w:jc w:val="both"/>
              <w:rPr>
                <w:rFonts w:ascii="Book Antiqua" w:hAnsi="Book Antiqua" w:cs="Times New Roman"/>
                <w:sz w:val="24"/>
                <w:szCs w:val="24"/>
              </w:rPr>
            </w:pPr>
            <w:r w:rsidRPr="004F3C1D">
              <w:rPr>
                <w:rFonts w:ascii="Book Antiqua" w:hAnsi="Book Antiqua" w:cs="Times New Roman"/>
                <w:i/>
                <w:sz w:val="24"/>
                <w:szCs w:val="24"/>
              </w:rPr>
              <w:t>P</w:t>
            </w:r>
            <w:r>
              <w:rPr>
                <w:rFonts w:ascii="Book Antiqua" w:hAnsi="Book Antiqua" w:cs="Times New Roman"/>
                <w:sz w:val="24"/>
                <w:szCs w:val="24"/>
              </w:rPr>
              <w:t xml:space="preserve"> &lt;</w:t>
            </w:r>
            <w:r w:rsidR="004F3C1D">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0.05</w:t>
            </w:r>
          </w:p>
        </w:tc>
      </w:tr>
      <w:tr w:rsidR="00632F67" w:rsidRPr="00302F74" w:rsidTr="003165B5">
        <w:trPr>
          <w:trHeight w:val="1973"/>
        </w:trPr>
        <w:tc>
          <w:tcPr>
            <w:tcW w:w="1390"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[41]</w:t>
            </w:r>
          </w:p>
        </w:tc>
        <w:tc>
          <w:tcPr>
            <w:tcW w:w="3831"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114 patients with cirrhosis and portal hypertension undergoing EVL in 85 patients</w:t>
            </w:r>
          </w:p>
        </w:tc>
        <w:tc>
          <w:tcPr>
            <w:tcW w:w="1662"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Retrospective study</w:t>
            </w:r>
          </w:p>
        </w:tc>
        <w:tc>
          <w:tcPr>
            <w:tcW w:w="2647"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27/85 (31.8%) none; 28/85 (32.9%) mild; 30/85 (35.3%) severe</w:t>
            </w:r>
          </w:p>
        </w:tc>
        <w:tc>
          <w:tcPr>
            <w:tcW w:w="2946"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14/85 (16.5%) none; 30/85 (35.3%) mild; 41/85 (48.2%) severe</w:t>
            </w:r>
          </w:p>
        </w:tc>
        <w:tc>
          <w:tcPr>
            <w:tcW w:w="2168" w:type="dxa"/>
            <w:hideMark/>
          </w:tcPr>
          <w:p w:rsidR="00C9325C" w:rsidRPr="00302F74" w:rsidRDefault="00E878B6" w:rsidP="003165B5">
            <w:pPr>
              <w:widowControl w:val="0"/>
              <w:spacing w:line="360" w:lineRule="auto"/>
              <w:jc w:val="both"/>
              <w:rPr>
                <w:rFonts w:ascii="Book Antiqua" w:hAnsi="Book Antiqua" w:cs="Times New Roman"/>
                <w:sz w:val="24"/>
                <w:szCs w:val="24"/>
              </w:rPr>
            </w:pPr>
            <w:r w:rsidRPr="004F3C1D">
              <w:rPr>
                <w:rFonts w:ascii="Book Antiqua" w:hAnsi="Book Antiqua" w:cs="Times New Roman"/>
                <w:i/>
                <w:sz w:val="24"/>
                <w:szCs w:val="24"/>
              </w:rPr>
              <w:t>P</w:t>
            </w:r>
            <w:r>
              <w:rPr>
                <w:rFonts w:ascii="Book Antiqua" w:hAnsi="Book Antiqua" w:cs="Times New Roman"/>
                <w:sz w:val="24"/>
                <w:szCs w:val="24"/>
              </w:rPr>
              <w:t xml:space="preserve"> &lt;</w:t>
            </w:r>
            <w:r w:rsidR="004F3C1D">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0.05</w:t>
            </w:r>
          </w:p>
        </w:tc>
      </w:tr>
      <w:tr w:rsidR="00632F67" w:rsidRPr="00302F74" w:rsidTr="003165B5">
        <w:trPr>
          <w:trHeight w:val="1973"/>
        </w:trPr>
        <w:tc>
          <w:tcPr>
            <w:tcW w:w="1390"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[81]</w:t>
            </w:r>
          </w:p>
        </w:tc>
        <w:tc>
          <w:tcPr>
            <w:tcW w:w="3831"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77 patients with bleeding from EV underwent variceal ligation and were randomized to receive propranolol (37/77) or control (40/77); patients with severe </w:t>
            </w:r>
            <w:r w:rsidRPr="00302F74">
              <w:rPr>
                <w:rFonts w:ascii="Book Antiqua" w:hAnsi="Book Antiqua" w:cs="Times New Roman"/>
                <w:sz w:val="24"/>
                <w:szCs w:val="24"/>
              </w:rPr>
              <w:lastRenderedPageBreak/>
              <w:t>PHG prior to treatment excluded from the study</w:t>
            </w:r>
          </w:p>
        </w:tc>
        <w:tc>
          <w:tcPr>
            <w:tcW w:w="1662"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Prospective, randomized, controlled trial</w:t>
            </w:r>
          </w:p>
        </w:tc>
        <w:tc>
          <w:tcPr>
            <w:tcW w:w="2647"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control group: 7/40 (17%) </w:t>
            </w:r>
            <w:r w:rsidRPr="00302F74">
              <w:rPr>
                <w:rFonts w:ascii="Book Antiqua" w:hAnsi="Book Antiqua" w:cs="Times New Roman"/>
                <w:sz w:val="24"/>
                <w:szCs w:val="24"/>
              </w:rPr>
              <w:br/>
              <w:t>propranolol group: 8/37 (22%)</w:t>
            </w:r>
          </w:p>
        </w:tc>
        <w:tc>
          <w:tcPr>
            <w:tcW w:w="2946"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at variceal ligation:</w:t>
            </w:r>
            <w:r w:rsidRPr="00302F74">
              <w:rPr>
                <w:rFonts w:ascii="Book Antiqua" w:hAnsi="Book Antiqua" w:cs="Times New Roman"/>
                <w:sz w:val="24"/>
                <w:szCs w:val="24"/>
              </w:rPr>
              <w:br/>
              <w:t>control group: 67% (does not state number)</w:t>
            </w:r>
            <w:r w:rsidRPr="00302F74">
              <w:rPr>
                <w:rFonts w:ascii="Book Antiqua" w:hAnsi="Book Antiqua" w:cs="Times New Roman"/>
                <w:sz w:val="24"/>
                <w:szCs w:val="24"/>
              </w:rPr>
              <w:br/>
              <w:t>propranolol group: 31% (does not state no)</w:t>
            </w:r>
            <w:r w:rsidRPr="00302F74">
              <w:rPr>
                <w:rFonts w:ascii="Book Antiqua" w:hAnsi="Book Antiqua" w:cs="Times New Roman"/>
                <w:sz w:val="24"/>
                <w:szCs w:val="24"/>
              </w:rPr>
              <w:br/>
            </w:r>
            <w:r w:rsidRPr="00302F74">
              <w:rPr>
                <w:rFonts w:ascii="Book Antiqua" w:hAnsi="Book Antiqua" w:cs="Times New Roman"/>
                <w:sz w:val="24"/>
                <w:szCs w:val="24"/>
              </w:rPr>
              <w:lastRenderedPageBreak/>
              <w:t>6 mo after treatment:</w:t>
            </w:r>
            <w:r w:rsidRPr="00302F74">
              <w:rPr>
                <w:rFonts w:ascii="Book Antiqua" w:hAnsi="Book Antiqua" w:cs="Times New Roman"/>
                <w:sz w:val="24"/>
                <w:szCs w:val="24"/>
              </w:rPr>
              <w:br/>
              <w:t>control group: 85% (number not stated)</w:t>
            </w:r>
            <w:r w:rsidRPr="00302F74">
              <w:rPr>
                <w:rFonts w:ascii="Book Antiqua" w:hAnsi="Book Antiqua" w:cs="Times New Roman"/>
                <w:sz w:val="24"/>
                <w:szCs w:val="24"/>
              </w:rPr>
              <w:br/>
              <w:t>propranolol group: 48% (number not stated)</w:t>
            </w:r>
          </w:p>
        </w:tc>
        <w:tc>
          <w:tcPr>
            <w:tcW w:w="2168" w:type="dxa"/>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pre</w:t>
            </w:r>
            <w:r w:rsidR="00963345">
              <w:rPr>
                <w:rFonts w:ascii="Book Antiqua" w:hAnsi="Book Antiqua" w:cs="Times New Roman"/>
                <w:sz w:val="24"/>
                <w:szCs w:val="24"/>
              </w:rPr>
              <w:t xml:space="preserve"> </w:t>
            </w:r>
            <w:r w:rsidR="00963345" w:rsidRPr="00963345">
              <w:rPr>
                <w:rFonts w:ascii="Book Antiqua" w:hAnsi="Book Antiqua" w:cs="Times New Roman" w:hint="eastAsia"/>
                <w:i/>
                <w:sz w:val="24"/>
                <w:szCs w:val="24"/>
                <w:lang w:eastAsia="zh-CN"/>
              </w:rPr>
              <w:t>vs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post ligation, both groups; </w:t>
            </w:r>
            <w:r w:rsidR="00E878B6" w:rsidRPr="004F3C1D">
              <w:rPr>
                <w:rFonts w:ascii="Book Antiqua" w:hAnsi="Book Antiqua" w:cs="Times New Roman"/>
                <w:i/>
                <w:sz w:val="24"/>
                <w:szCs w:val="24"/>
              </w:rPr>
              <w:t>P</w:t>
            </w:r>
            <w:r w:rsidR="00E878B6">
              <w:rPr>
                <w:rFonts w:ascii="Book Antiqua" w:hAnsi="Book Antiqua" w:cs="Times New Roman"/>
                <w:sz w:val="24"/>
                <w:szCs w:val="24"/>
              </w:rPr>
              <w:t xml:space="preserve"> &lt;</w:t>
            </w:r>
            <w:r w:rsidR="004F3C1D">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0.05</w:t>
            </w:r>
            <w:r w:rsidRPr="00302F74">
              <w:rPr>
                <w:rFonts w:ascii="Book Antiqua" w:hAnsi="Book Antiqua" w:cs="Times New Roman"/>
                <w:sz w:val="24"/>
                <w:szCs w:val="24"/>
              </w:rPr>
              <w:br/>
              <w:t xml:space="preserve">frequency of PHG significantly </w:t>
            </w:r>
            <w:r w:rsidRPr="00302F74">
              <w:rPr>
                <w:rFonts w:ascii="Book Antiqua" w:hAnsi="Book Antiqua" w:cs="Times New Roman"/>
                <w:sz w:val="24"/>
                <w:szCs w:val="24"/>
              </w:rPr>
              <w:lastRenderedPageBreak/>
              <w:t>higher in control group post ligation when compared to propranolol group;</w:t>
            </w:r>
            <w:r w:rsidR="00222DD9">
              <w:rPr>
                <w:rFonts w:ascii="Book Antiqua" w:hAnsi="Book Antiqua" w:cs="Times New Roman"/>
                <w:sz w:val="24"/>
                <w:szCs w:val="24"/>
              </w:rPr>
              <w:t xml:space="preserve"> </w:t>
            </w:r>
            <w:r w:rsidR="00410F62" w:rsidRPr="00302F74">
              <w:rPr>
                <w:rFonts w:ascii="Book Antiqua" w:hAnsi="Book Antiqua" w:cs="Times New Roman"/>
                <w:i/>
                <w:sz w:val="24"/>
                <w:szCs w:val="24"/>
                <w:lang w:val="en"/>
              </w:rPr>
              <w:t>P</w:t>
            </w:r>
            <w:r w:rsidR="00410F62">
              <w:rPr>
                <w:rFonts w:ascii="Book Antiqua" w:hAnsi="Book Antiqua" w:cs="Times New Roman" w:hint="eastAsia"/>
                <w:i/>
                <w:sz w:val="24"/>
                <w:szCs w:val="24"/>
                <w:lang w:val="en" w:eastAsia="zh-CN"/>
              </w:rPr>
              <w:t xml:space="preserve"> </w:t>
            </w:r>
            <w:r w:rsidR="00410F62" w:rsidRPr="00302F74">
              <w:rPr>
                <w:rFonts w:ascii="Book Antiqua" w:hAnsi="Book Antiqua" w:cs="Times New Roman"/>
                <w:sz w:val="24"/>
                <w:szCs w:val="24"/>
              </w:rPr>
              <w:t>=</w:t>
            </w:r>
            <w:r w:rsidR="00410F62">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0.002</w:t>
            </w:r>
          </w:p>
        </w:tc>
      </w:tr>
      <w:tr w:rsidR="00632F67" w:rsidRPr="00302F74" w:rsidTr="003165B5">
        <w:trPr>
          <w:trHeight w:val="3482"/>
        </w:trPr>
        <w:tc>
          <w:tcPr>
            <w:tcW w:w="1390" w:type="dxa"/>
            <w:tcBorders>
              <w:bottom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[82]</w:t>
            </w:r>
          </w:p>
        </w:tc>
        <w:tc>
          <w:tcPr>
            <w:tcW w:w="3831" w:type="dxa"/>
            <w:tcBorders>
              <w:bottom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93 patients with history of variceal hemorrhage and cirrhosis, randomized to receive either EVS (46/88) or EVL (42/88); 5 patients excluded due to diagnosis of hepatoma, non-cirrhotic portal hypertension or portal vein thrombosis</w:t>
            </w:r>
          </w:p>
        </w:tc>
        <w:tc>
          <w:tcPr>
            <w:tcW w:w="1662" w:type="dxa"/>
            <w:tcBorders>
              <w:bottom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Randomized, prospective study</w:t>
            </w:r>
          </w:p>
        </w:tc>
        <w:tc>
          <w:tcPr>
            <w:tcW w:w="2647" w:type="dxa"/>
            <w:tcBorders>
              <w:bottom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detailed</w:t>
            </w:r>
          </w:p>
        </w:tc>
        <w:tc>
          <w:tcPr>
            <w:tcW w:w="2946" w:type="dxa"/>
            <w:tcBorders>
              <w:bottom w:val="single" w:sz="4" w:space="0" w:color="auto"/>
            </w:tcBorders>
            <w:hideMark/>
          </w:tcPr>
          <w:p w:rsidR="00C9325C" w:rsidRPr="00302F74" w:rsidRDefault="00C9325C" w:rsidP="003165B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PHG significantly worsened in 23patients, including 17 patients undergoing EVL</w:t>
            </w:r>
          </w:p>
        </w:tc>
        <w:tc>
          <w:tcPr>
            <w:tcW w:w="2168" w:type="dxa"/>
            <w:tcBorders>
              <w:bottom w:val="single" w:sz="4" w:space="0" w:color="auto"/>
            </w:tcBorders>
            <w:hideMark/>
          </w:tcPr>
          <w:p w:rsidR="00C9325C" w:rsidRPr="00302F74" w:rsidRDefault="00E878B6" w:rsidP="003165B5">
            <w:pPr>
              <w:widowControl w:val="0"/>
              <w:spacing w:line="360" w:lineRule="auto"/>
              <w:jc w:val="both"/>
              <w:rPr>
                <w:rFonts w:ascii="Book Antiqua" w:hAnsi="Book Antiqua" w:cs="Times New Roman"/>
                <w:sz w:val="24"/>
                <w:szCs w:val="24"/>
              </w:rPr>
            </w:pPr>
            <w:r w:rsidRPr="004F3C1D">
              <w:rPr>
                <w:rFonts w:ascii="Book Antiqua" w:hAnsi="Book Antiqua" w:cs="Times New Roman"/>
                <w:i/>
                <w:sz w:val="24"/>
                <w:szCs w:val="24"/>
              </w:rPr>
              <w:t>P</w:t>
            </w:r>
            <w:r>
              <w:rPr>
                <w:rFonts w:ascii="Book Antiqua" w:hAnsi="Book Antiqua" w:cs="Times New Roman"/>
                <w:sz w:val="24"/>
                <w:szCs w:val="24"/>
              </w:rPr>
              <w:t xml:space="preserve"> &lt;</w:t>
            </w:r>
            <w:r w:rsidR="00410F62">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0.01</w:t>
            </w:r>
          </w:p>
        </w:tc>
      </w:tr>
      <w:tr w:rsidR="003165B5" w:rsidRPr="00302F74" w:rsidTr="003165B5">
        <w:trPr>
          <w:trHeight w:val="86"/>
        </w:trPr>
        <w:tc>
          <w:tcPr>
            <w:tcW w:w="1390" w:type="dxa"/>
            <w:tcBorders>
              <w:top w:val="single" w:sz="4" w:space="0" w:color="auto"/>
            </w:tcBorders>
          </w:tcPr>
          <w:p w:rsidR="003165B5" w:rsidRPr="00302F74" w:rsidRDefault="003165B5" w:rsidP="003165B5">
            <w:pPr>
              <w:widowControl w:val="0"/>
              <w:spacing w:line="360" w:lineRule="auto"/>
              <w:jc w:val="both"/>
              <w:rPr>
                <w:rFonts w:ascii="Book Antiqua" w:hAnsi="Book Antiqua" w:cs="Times New Roman"/>
                <w:sz w:val="24"/>
                <w:szCs w:val="24"/>
              </w:rPr>
            </w:pPr>
          </w:p>
        </w:tc>
        <w:tc>
          <w:tcPr>
            <w:tcW w:w="3831" w:type="dxa"/>
            <w:tcBorders>
              <w:top w:val="single" w:sz="4" w:space="0" w:color="auto"/>
            </w:tcBorders>
          </w:tcPr>
          <w:p w:rsidR="003165B5" w:rsidRPr="00302F74" w:rsidRDefault="003165B5" w:rsidP="003165B5">
            <w:pPr>
              <w:widowControl w:val="0"/>
              <w:spacing w:line="360" w:lineRule="auto"/>
              <w:jc w:val="both"/>
              <w:rPr>
                <w:rFonts w:ascii="Book Antiqua" w:hAnsi="Book Antiqua" w:cs="Times New Roman"/>
                <w:sz w:val="24"/>
                <w:szCs w:val="24"/>
              </w:rPr>
            </w:pPr>
          </w:p>
        </w:tc>
        <w:tc>
          <w:tcPr>
            <w:tcW w:w="1662" w:type="dxa"/>
            <w:tcBorders>
              <w:top w:val="single" w:sz="4" w:space="0" w:color="auto"/>
            </w:tcBorders>
          </w:tcPr>
          <w:p w:rsidR="003165B5" w:rsidRPr="00302F74" w:rsidRDefault="003165B5" w:rsidP="003165B5">
            <w:pPr>
              <w:widowControl w:val="0"/>
              <w:spacing w:line="360" w:lineRule="auto"/>
              <w:jc w:val="both"/>
              <w:rPr>
                <w:rFonts w:ascii="Book Antiqua" w:hAnsi="Book Antiqua" w:cs="Times New Roman"/>
                <w:sz w:val="24"/>
                <w:szCs w:val="24"/>
              </w:rPr>
            </w:pPr>
          </w:p>
        </w:tc>
        <w:tc>
          <w:tcPr>
            <w:tcW w:w="2647" w:type="dxa"/>
            <w:tcBorders>
              <w:top w:val="single" w:sz="4" w:space="0" w:color="auto"/>
            </w:tcBorders>
          </w:tcPr>
          <w:p w:rsidR="003165B5" w:rsidRPr="00302F74" w:rsidRDefault="003165B5" w:rsidP="003165B5">
            <w:pPr>
              <w:widowControl w:val="0"/>
              <w:spacing w:line="360" w:lineRule="auto"/>
              <w:jc w:val="both"/>
              <w:rPr>
                <w:rFonts w:ascii="Book Antiqua" w:hAnsi="Book Antiqua" w:cs="Times New Roman"/>
                <w:sz w:val="24"/>
                <w:szCs w:val="24"/>
              </w:rPr>
            </w:pPr>
          </w:p>
        </w:tc>
        <w:tc>
          <w:tcPr>
            <w:tcW w:w="2946" w:type="dxa"/>
            <w:tcBorders>
              <w:top w:val="single" w:sz="4" w:space="0" w:color="auto"/>
            </w:tcBorders>
          </w:tcPr>
          <w:p w:rsidR="003165B5" w:rsidRPr="00302F74" w:rsidRDefault="003165B5" w:rsidP="003165B5">
            <w:pPr>
              <w:widowControl w:val="0"/>
              <w:spacing w:line="360" w:lineRule="auto"/>
              <w:jc w:val="both"/>
              <w:rPr>
                <w:rFonts w:ascii="Book Antiqua" w:hAnsi="Book Antiqua" w:cs="Times New Roman"/>
                <w:sz w:val="24"/>
                <w:szCs w:val="24"/>
              </w:rPr>
            </w:pPr>
          </w:p>
        </w:tc>
        <w:tc>
          <w:tcPr>
            <w:tcW w:w="2168" w:type="dxa"/>
            <w:tcBorders>
              <w:top w:val="single" w:sz="4" w:space="0" w:color="auto"/>
            </w:tcBorders>
          </w:tcPr>
          <w:p w:rsidR="003165B5" w:rsidRDefault="003165B5" w:rsidP="003165B5">
            <w:pPr>
              <w:widowControl w:val="0"/>
              <w:spacing w:line="360" w:lineRule="auto"/>
              <w:jc w:val="both"/>
              <w:rPr>
                <w:rFonts w:ascii="Book Antiqua" w:hAnsi="Book Antiqua" w:cs="Times New Roman"/>
                <w:sz w:val="24"/>
                <w:szCs w:val="24"/>
              </w:rPr>
            </w:pPr>
          </w:p>
        </w:tc>
      </w:tr>
    </w:tbl>
    <w:p w:rsidR="00C9325C" w:rsidRPr="00302F74" w:rsidRDefault="004F3C1D" w:rsidP="00FA6CCE">
      <w:pPr>
        <w:widowControl w:val="0"/>
        <w:spacing w:line="360" w:lineRule="auto"/>
        <w:jc w:val="both"/>
        <w:rPr>
          <w:rFonts w:ascii="Book Antiqua" w:hAnsi="Book Antiqua" w:cs="Times New Roman"/>
          <w:sz w:val="24"/>
          <w:szCs w:val="24"/>
          <w:lang w:val="en"/>
        </w:rPr>
      </w:pPr>
      <w:r w:rsidRPr="00553DA6">
        <w:rPr>
          <w:rFonts w:ascii="Book Antiqua" w:hAnsi="Book Antiqua" w:cs="Times New Roman"/>
          <w:sz w:val="24"/>
          <w:szCs w:val="24"/>
        </w:rPr>
        <w:t>PHG</w:t>
      </w:r>
      <w:r w:rsidRPr="00553DA6">
        <w:rPr>
          <w:rFonts w:ascii="Book Antiqua" w:hAnsi="Book Antiqua" w:cs="Times New Roman" w:hint="eastAsia"/>
          <w:sz w:val="24"/>
          <w:szCs w:val="24"/>
          <w:lang w:eastAsia="zh-CN"/>
        </w:rPr>
        <w:t xml:space="preserve">: </w:t>
      </w:r>
      <w:r w:rsidRPr="00553DA6">
        <w:rPr>
          <w:rFonts w:ascii="Book Antiqua" w:hAnsi="Book Antiqua" w:cs="Times New Roman"/>
          <w:sz w:val="24"/>
          <w:szCs w:val="24"/>
        </w:rPr>
        <w:t>Portal hypertensive gastropathy</w:t>
      </w:r>
      <w:r>
        <w:rPr>
          <w:rFonts w:ascii="Book Antiqua" w:hAnsi="Book Antiqua" w:cs="Times New Roman" w:hint="eastAsia"/>
          <w:sz w:val="24"/>
          <w:szCs w:val="24"/>
          <w:lang w:eastAsia="zh-CN"/>
        </w:rPr>
        <w:t>; EVL:</w:t>
      </w:r>
      <w:r w:rsidRPr="004F3C1D">
        <w:t xml:space="preserve"> </w:t>
      </w:r>
      <w:r w:rsidRPr="004F3C1D">
        <w:rPr>
          <w:rFonts w:ascii="Book Antiqua" w:hAnsi="Book Antiqua" w:cs="Times New Roman"/>
          <w:sz w:val="24"/>
          <w:szCs w:val="24"/>
          <w:lang w:eastAsia="zh-CN"/>
        </w:rPr>
        <w:t>Endoscopic vricel ligtion</w:t>
      </w:r>
      <w:r>
        <w:rPr>
          <w:rFonts w:ascii="Book Antiqua" w:hAnsi="Book Antiqua" w:cs="Times New Roman" w:hint="eastAsia"/>
          <w:sz w:val="24"/>
          <w:szCs w:val="24"/>
          <w:lang w:eastAsia="zh-CN"/>
        </w:rPr>
        <w:t>.</w:t>
      </w:r>
    </w:p>
    <w:tbl>
      <w:tblPr>
        <w:tblStyle w:val="TableGrid1"/>
        <w:tblpPr w:leftFromText="180" w:rightFromText="180" w:vertAnchor="text" w:horzAnchor="margin" w:tblpXSpec="center" w:tblpY="-888"/>
        <w:tblW w:w="14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3984"/>
        <w:gridCol w:w="1596"/>
        <w:gridCol w:w="2711"/>
        <w:gridCol w:w="3036"/>
        <w:gridCol w:w="2208"/>
      </w:tblGrid>
      <w:tr w:rsidR="00632F67" w:rsidRPr="00302F74" w:rsidTr="0007006D">
        <w:trPr>
          <w:trHeight w:val="439"/>
        </w:trPr>
        <w:tc>
          <w:tcPr>
            <w:tcW w:w="14526" w:type="dxa"/>
            <w:gridSpan w:val="6"/>
            <w:tcBorders>
              <w:bottom w:val="single" w:sz="4" w:space="0" w:color="auto"/>
            </w:tcBorders>
          </w:tcPr>
          <w:p w:rsidR="00C9325C" w:rsidRPr="009672F0" w:rsidRDefault="00C9325C" w:rsidP="0007006D">
            <w:pPr>
              <w:widowControl w:val="0"/>
              <w:spacing w:line="360" w:lineRule="auto"/>
              <w:jc w:val="both"/>
              <w:rPr>
                <w:rFonts w:ascii="Book Antiqua" w:hAnsi="Book Antiqua" w:cs="Times New Roman"/>
                <w:b/>
                <w:sz w:val="24"/>
                <w:szCs w:val="24"/>
              </w:rPr>
            </w:pPr>
          </w:p>
          <w:p w:rsidR="00C9325C" w:rsidRPr="009672F0" w:rsidRDefault="00C9325C" w:rsidP="0007006D">
            <w:pPr>
              <w:widowControl w:val="0"/>
              <w:spacing w:line="360" w:lineRule="auto"/>
              <w:jc w:val="both"/>
              <w:rPr>
                <w:rFonts w:ascii="Book Antiqua" w:hAnsi="Book Antiqua" w:cs="Times New Roman"/>
                <w:b/>
                <w:sz w:val="24"/>
                <w:szCs w:val="24"/>
              </w:rPr>
            </w:pPr>
            <w:r w:rsidRPr="009672F0">
              <w:rPr>
                <w:rFonts w:ascii="Book Antiqua" w:hAnsi="Book Antiqua" w:cs="Times New Roman"/>
                <w:b/>
                <w:sz w:val="24"/>
                <w:szCs w:val="24"/>
              </w:rPr>
              <w:t xml:space="preserve">Table </w:t>
            </w:r>
            <w:r w:rsidR="00553DA6" w:rsidRPr="009672F0">
              <w:rPr>
                <w:rFonts w:ascii="Book Antiqua" w:hAnsi="Book Antiqua" w:cs="Times New Roman" w:hint="eastAsia"/>
                <w:b/>
                <w:sz w:val="24"/>
                <w:szCs w:val="24"/>
                <w:lang w:eastAsia="zh-CN"/>
              </w:rPr>
              <w:t>4</w:t>
            </w:r>
            <w:r w:rsidR="00963345" w:rsidRPr="009672F0">
              <w:rPr>
                <w:rFonts w:ascii="Book Antiqua" w:hAnsi="Book Antiqua" w:cs="Times New Roman"/>
                <w:b/>
                <w:sz w:val="24"/>
                <w:szCs w:val="24"/>
              </w:rPr>
              <w:t xml:space="preserve"> </w:t>
            </w:r>
            <w:r w:rsidRPr="009672F0">
              <w:rPr>
                <w:rFonts w:ascii="Book Antiqua" w:hAnsi="Book Antiqua" w:cs="Times New Roman"/>
                <w:b/>
                <w:sz w:val="24"/>
                <w:szCs w:val="24"/>
              </w:rPr>
              <w:t>Effects of variceal sclerotherapy on frequency of portal hypertensive gastropathy</w:t>
            </w:r>
          </w:p>
        </w:tc>
      </w:tr>
      <w:tr w:rsidR="00632F67" w:rsidRPr="00302F74" w:rsidTr="00572FC6">
        <w:trPr>
          <w:trHeight w:val="816"/>
        </w:trPr>
        <w:tc>
          <w:tcPr>
            <w:tcW w:w="991" w:type="dxa"/>
            <w:tcBorders>
              <w:top w:val="single" w:sz="4" w:space="0" w:color="auto"/>
              <w:bottom w:val="single" w:sz="4" w:space="0" w:color="auto"/>
            </w:tcBorders>
            <w:hideMark/>
          </w:tcPr>
          <w:p w:rsidR="00C9325C" w:rsidRPr="009672F0" w:rsidRDefault="00C9325C" w:rsidP="009672F0">
            <w:pPr>
              <w:widowControl w:val="0"/>
              <w:spacing w:line="360" w:lineRule="auto"/>
              <w:jc w:val="both"/>
              <w:rPr>
                <w:rFonts w:ascii="Book Antiqua" w:hAnsi="Book Antiqua" w:cs="Times New Roman"/>
                <w:b/>
                <w:sz w:val="24"/>
                <w:szCs w:val="24"/>
                <w:lang w:eastAsia="zh-CN"/>
              </w:rPr>
            </w:pPr>
            <w:r w:rsidRPr="009672F0">
              <w:rPr>
                <w:rFonts w:ascii="Book Antiqua" w:hAnsi="Book Antiqua" w:cs="Times New Roman"/>
                <w:b/>
                <w:sz w:val="24"/>
                <w:szCs w:val="24"/>
              </w:rPr>
              <w:t>Ref</w:t>
            </w:r>
            <w:r w:rsidR="009672F0" w:rsidRPr="009672F0">
              <w:rPr>
                <w:rFonts w:ascii="Book Antiqua" w:hAnsi="Book Antiqua" w:cs="Times New Roman" w:hint="eastAsia"/>
                <w:b/>
                <w:sz w:val="24"/>
                <w:szCs w:val="24"/>
                <w:lang w:eastAsia="zh-CN"/>
              </w:rPr>
              <w:t>.</w:t>
            </w:r>
          </w:p>
        </w:tc>
        <w:tc>
          <w:tcPr>
            <w:tcW w:w="3984" w:type="dxa"/>
            <w:tcBorders>
              <w:top w:val="single" w:sz="4" w:space="0" w:color="auto"/>
              <w:bottom w:val="single" w:sz="4" w:space="0" w:color="auto"/>
            </w:tcBorders>
            <w:hideMark/>
          </w:tcPr>
          <w:p w:rsidR="00C9325C" w:rsidRPr="009672F0" w:rsidRDefault="00C9325C" w:rsidP="009672F0">
            <w:pPr>
              <w:widowControl w:val="0"/>
              <w:spacing w:line="360" w:lineRule="auto"/>
              <w:jc w:val="both"/>
              <w:rPr>
                <w:rFonts w:ascii="Book Antiqua" w:hAnsi="Book Antiqua" w:cs="Times New Roman"/>
                <w:b/>
                <w:sz w:val="24"/>
                <w:szCs w:val="24"/>
              </w:rPr>
            </w:pPr>
            <w:r w:rsidRPr="009672F0">
              <w:rPr>
                <w:rFonts w:ascii="Book Antiqua" w:hAnsi="Book Antiqua" w:cs="Times New Roman"/>
                <w:b/>
                <w:sz w:val="24"/>
                <w:szCs w:val="24"/>
              </w:rPr>
              <w:t>N</w:t>
            </w:r>
            <w:r w:rsidR="009672F0" w:rsidRPr="009672F0">
              <w:rPr>
                <w:rFonts w:ascii="Book Antiqua" w:hAnsi="Book Antiqua" w:cs="Times New Roman" w:hint="eastAsia"/>
                <w:b/>
                <w:sz w:val="24"/>
                <w:szCs w:val="24"/>
                <w:lang w:eastAsia="zh-CN"/>
              </w:rPr>
              <w:t xml:space="preserve">O. </w:t>
            </w:r>
            <w:r w:rsidRPr="009672F0">
              <w:rPr>
                <w:rFonts w:ascii="Book Antiqua" w:hAnsi="Book Antiqua" w:cs="Times New Roman"/>
                <w:b/>
                <w:sz w:val="24"/>
                <w:szCs w:val="24"/>
              </w:rPr>
              <w:t>of patients and etiology</w:t>
            </w:r>
          </w:p>
        </w:tc>
        <w:tc>
          <w:tcPr>
            <w:tcW w:w="1596" w:type="dxa"/>
            <w:tcBorders>
              <w:top w:val="single" w:sz="4" w:space="0" w:color="auto"/>
              <w:bottom w:val="single" w:sz="4" w:space="0" w:color="auto"/>
            </w:tcBorders>
            <w:hideMark/>
          </w:tcPr>
          <w:p w:rsidR="00C9325C" w:rsidRPr="009672F0" w:rsidRDefault="009672F0" w:rsidP="0007006D">
            <w:pPr>
              <w:widowControl w:val="0"/>
              <w:spacing w:line="360" w:lineRule="auto"/>
              <w:jc w:val="both"/>
              <w:rPr>
                <w:rFonts w:ascii="Book Antiqua" w:hAnsi="Book Antiqua" w:cs="Times New Roman"/>
                <w:b/>
                <w:sz w:val="24"/>
                <w:szCs w:val="24"/>
              </w:rPr>
            </w:pPr>
            <w:r w:rsidRPr="009672F0">
              <w:rPr>
                <w:rFonts w:ascii="Book Antiqua" w:hAnsi="Book Antiqua" w:cs="Times New Roman"/>
                <w:b/>
                <w:sz w:val="24"/>
                <w:szCs w:val="24"/>
              </w:rPr>
              <w:t>S</w:t>
            </w:r>
            <w:r w:rsidR="00C9325C" w:rsidRPr="009672F0">
              <w:rPr>
                <w:rFonts w:ascii="Book Antiqua" w:hAnsi="Book Antiqua" w:cs="Times New Roman"/>
                <w:b/>
                <w:sz w:val="24"/>
                <w:szCs w:val="24"/>
              </w:rPr>
              <w:t>tudy type</w:t>
            </w:r>
          </w:p>
        </w:tc>
        <w:tc>
          <w:tcPr>
            <w:tcW w:w="2711" w:type="dxa"/>
            <w:tcBorders>
              <w:top w:val="single" w:sz="4" w:space="0" w:color="auto"/>
              <w:bottom w:val="single" w:sz="4" w:space="0" w:color="auto"/>
            </w:tcBorders>
            <w:hideMark/>
          </w:tcPr>
          <w:p w:rsidR="00C9325C" w:rsidRPr="009672F0" w:rsidRDefault="00C9325C" w:rsidP="0007006D">
            <w:pPr>
              <w:widowControl w:val="0"/>
              <w:spacing w:line="360" w:lineRule="auto"/>
              <w:jc w:val="both"/>
              <w:rPr>
                <w:rFonts w:ascii="Book Antiqua" w:hAnsi="Book Antiqua" w:cs="Times New Roman"/>
                <w:b/>
                <w:sz w:val="24"/>
                <w:szCs w:val="24"/>
              </w:rPr>
            </w:pPr>
            <w:r w:rsidRPr="009672F0">
              <w:rPr>
                <w:rFonts w:ascii="Book Antiqua" w:hAnsi="Book Antiqua" w:cs="Times New Roman"/>
                <w:b/>
                <w:sz w:val="24"/>
                <w:szCs w:val="24"/>
              </w:rPr>
              <w:t>PHG before procedure</w:t>
            </w:r>
          </w:p>
        </w:tc>
        <w:tc>
          <w:tcPr>
            <w:tcW w:w="3036" w:type="dxa"/>
            <w:tcBorders>
              <w:top w:val="single" w:sz="4" w:space="0" w:color="auto"/>
              <w:bottom w:val="single" w:sz="4" w:space="0" w:color="auto"/>
            </w:tcBorders>
            <w:hideMark/>
          </w:tcPr>
          <w:p w:rsidR="00C9325C" w:rsidRPr="009672F0" w:rsidRDefault="00C9325C" w:rsidP="0007006D">
            <w:pPr>
              <w:widowControl w:val="0"/>
              <w:spacing w:line="360" w:lineRule="auto"/>
              <w:jc w:val="both"/>
              <w:rPr>
                <w:rFonts w:ascii="Book Antiqua" w:hAnsi="Book Antiqua" w:cs="Times New Roman"/>
                <w:b/>
                <w:sz w:val="24"/>
                <w:szCs w:val="24"/>
              </w:rPr>
            </w:pPr>
            <w:r w:rsidRPr="009672F0">
              <w:rPr>
                <w:rFonts w:ascii="Book Antiqua" w:hAnsi="Book Antiqua" w:cs="Times New Roman"/>
                <w:b/>
                <w:sz w:val="24"/>
                <w:szCs w:val="24"/>
              </w:rPr>
              <w:t>PHG aggravation after procedure</w:t>
            </w:r>
          </w:p>
        </w:tc>
        <w:tc>
          <w:tcPr>
            <w:tcW w:w="2208" w:type="dxa"/>
            <w:tcBorders>
              <w:top w:val="single" w:sz="4" w:space="0" w:color="auto"/>
              <w:bottom w:val="single" w:sz="4" w:space="0" w:color="auto"/>
            </w:tcBorders>
            <w:hideMark/>
          </w:tcPr>
          <w:p w:rsidR="00C9325C" w:rsidRPr="009672F0" w:rsidRDefault="009672F0" w:rsidP="0007006D">
            <w:pPr>
              <w:widowControl w:val="0"/>
              <w:spacing w:line="360" w:lineRule="auto"/>
              <w:jc w:val="both"/>
              <w:rPr>
                <w:rFonts w:ascii="Book Antiqua" w:hAnsi="Book Antiqua" w:cs="Times New Roman"/>
                <w:b/>
                <w:sz w:val="24"/>
                <w:szCs w:val="24"/>
              </w:rPr>
            </w:pPr>
            <w:r w:rsidRPr="009672F0">
              <w:rPr>
                <w:rFonts w:ascii="Book Antiqua" w:hAnsi="Book Antiqua" w:cs="Times New Roman"/>
                <w:b/>
                <w:i/>
                <w:sz w:val="24"/>
                <w:szCs w:val="24"/>
              </w:rPr>
              <w:t>P</w:t>
            </w:r>
            <w:r w:rsidR="00C9325C" w:rsidRPr="009672F0">
              <w:rPr>
                <w:rFonts w:ascii="Book Antiqua" w:hAnsi="Book Antiqua" w:cs="Times New Roman"/>
                <w:b/>
                <w:sz w:val="24"/>
                <w:szCs w:val="24"/>
              </w:rPr>
              <w:t xml:space="preserve"> value</w:t>
            </w:r>
          </w:p>
        </w:tc>
      </w:tr>
      <w:tr w:rsidR="00632F67" w:rsidRPr="00302F74" w:rsidTr="00572FC6">
        <w:trPr>
          <w:trHeight w:val="1231"/>
        </w:trPr>
        <w:tc>
          <w:tcPr>
            <w:tcW w:w="99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[73]</w:t>
            </w:r>
          </w:p>
        </w:tc>
        <w:tc>
          <w:tcPr>
            <w:tcW w:w="3984"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90 cirrhotic patients with recent variceal bleeding; EVS 44, EVL 46</w:t>
            </w:r>
          </w:p>
        </w:tc>
        <w:tc>
          <w:tcPr>
            <w:tcW w:w="159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randomized, controlled trial</w:t>
            </w:r>
          </w:p>
        </w:tc>
        <w:tc>
          <w:tcPr>
            <w:tcW w:w="2711" w:type="dxa"/>
            <w:hideMark/>
          </w:tcPr>
          <w:p w:rsidR="00C9325C" w:rsidRPr="00302F74" w:rsidRDefault="00572FC6" w:rsidP="00572FC6">
            <w:pPr>
              <w:widowControl w:val="0"/>
              <w:spacing w:line="360" w:lineRule="auto"/>
              <w:jc w:val="both"/>
              <w:rPr>
                <w:rFonts w:ascii="Book Antiqua" w:hAnsi="Book Antiqua" w:cs="Times New Roman"/>
                <w:sz w:val="24"/>
                <w:szCs w:val="24"/>
              </w:rPr>
            </w:pPr>
            <w:r>
              <w:rPr>
                <w:rFonts w:ascii="Book Antiqua" w:hAnsi="Book Antiqua" w:cs="Times New Roman"/>
                <w:sz w:val="24"/>
                <w:szCs w:val="24"/>
              </w:rPr>
              <w:t>pre EVS group: 6 none/</w:t>
            </w:r>
            <w:r w:rsidR="00C9325C" w:rsidRPr="00302F74">
              <w:rPr>
                <w:rFonts w:ascii="Book Antiqua" w:hAnsi="Book Antiqua" w:cs="Times New Roman"/>
                <w:sz w:val="24"/>
                <w:szCs w:val="24"/>
              </w:rPr>
              <w:t xml:space="preserve">24 mild </w:t>
            </w:r>
            <w:r>
              <w:rPr>
                <w:rFonts w:ascii="Book Antiqua" w:hAnsi="Book Antiqua" w:cs="Times New Roman" w:hint="eastAsia"/>
                <w:sz w:val="24"/>
                <w:szCs w:val="24"/>
                <w:lang w:eastAsia="zh-CN"/>
              </w:rPr>
              <w:t>per</w:t>
            </w:r>
            <w:r w:rsidR="00C9325C" w:rsidRPr="00302F74">
              <w:rPr>
                <w:rFonts w:ascii="Book Antiqua" w:hAnsi="Book Antiqua" w:cs="Times New Roman"/>
                <w:sz w:val="24"/>
                <w:szCs w:val="24"/>
              </w:rPr>
              <w:t xml:space="preserve"> </w:t>
            </w:r>
            <w:r>
              <w:rPr>
                <w:rFonts w:ascii="Book Antiqua" w:hAnsi="Book Antiqua" w:cs="Times New Roman"/>
                <w:sz w:val="24"/>
                <w:szCs w:val="24"/>
              </w:rPr>
              <w:t>14 severe</w:t>
            </w:r>
            <w:r>
              <w:rPr>
                <w:rFonts w:ascii="Book Antiqua" w:hAnsi="Book Antiqua" w:cs="Times New Roman"/>
                <w:sz w:val="24"/>
                <w:szCs w:val="24"/>
              </w:rPr>
              <w:br/>
              <w:t>pre EVL group: 4 none/</w:t>
            </w:r>
            <w:r w:rsidR="00C9325C" w:rsidRPr="00302F74">
              <w:rPr>
                <w:rFonts w:ascii="Book Antiqua" w:hAnsi="Book Antiqua" w:cs="Times New Roman"/>
                <w:sz w:val="24"/>
                <w:szCs w:val="24"/>
              </w:rPr>
              <w:t>33 mild</w:t>
            </w:r>
            <w:r w:rsidR="00222DD9">
              <w:rPr>
                <w:rFonts w:ascii="Book Antiqua" w:hAnsi="Book Antiqua" w:cs="Times New Roman"/>
                <w:sz w:val="24"/>
                <w:szCs w:val="24"/>
              </w:rPr>
              <w:t xml:space="preserve"> </w:t>
            </w:r>
            <w:r>
              <w:rPr>
                <w:rFonts w:ascii="Book Antiqua" w:hAnsi="Book Antiqua" w:cs="Times New Roman" w:hint="eastAsia"/>
                <w:sz w:val="24"/>
                <w:szCs w:val="24"/>
                <w:lang w:eastAsia="zh-CN"/>
              </w:rPr>
              <w:t>per</w:t>
            </w:r>
            <w:r w:rsidR="00222DD9">
              <w:rPr>
                <w:rFonts w:ascii="Book Antiqua" w:hAnsi="Book Antiqua" w:cs="Times New Roman"/>
                <w:sz w:val="24"/>
                <w:szCs w:val="24"/>
              </w:rPr>
              <w:t xml:space="preserve"> </w:t>
            </w:r>
            <w:r>
              <w:rPr>
                <w:rFonts w:ascii="Book Antiqua" w:hAnsi="Book Antiqua" w:cs="Times New Roman"/>
                <w:sz w:val="24"/>
                <w:szCs w:val="24"/>
              </w:rPr>
              <w:t>9 severe</w:t>
            </w:r>
            <w:r>
              <w:rPr>
                <w:rFonts w:ascii="Book Antiqua" w:hAnsi="Book Antiqua" w:cs="Times New Roman"/>
                <w:sz w:val="24"/>
                <w:szCs w:val="24"/>
              </w:rPr>
              <w:br/>
              <w:t>total: 10 none/</w:t>
            </w:r>
            <w:r w:rsidR="00C9325C" w:rsidRPr="00302F74">
              <w:rPr>
                <w:rFonts w:ascii="Book Antiqua" w:hAnsi="Book Antiqua" w:cs="Times New Roman"/>
                <w:sz w:val="24"/>
                <w:szCs w:val="24"/>
              </w:rPr>
              <w:t>57 mild</w:t>
            </w:r>
            <w:r w:rsidR="00222DD9">
              <w:rPr>
                <w:rFonts w:ascii="Book Antiqua" w:hAnsi="Book Antiqua" w:cs="Times New Roman"/>
                <w:sz w:val="24"/>
                <w:szCs w:val="24"/>
              </w:rPr>
              <w:t xml:space="preserve"> </w:t>
            </w:r>
            <w:r>
              <w:rPr>
                <w:rFonts w:ascii="Book Antiqua" w:hAnsi="Book Antiqua" w:cs="Times New Roman" w:hint="eastAsia"/>
                <w:sz w:val="24"/>
                <w:szCs w:val="24"/>
                <w:lang w:eastAsia="zh-CN"/>
              </w:rPr>
              <w:t>per</w:t>
            </w:r>
            <w:r w:rsidRPr="00302F74">
              <w:rPr>
                <w:rFonts w:ascii="Book Antiqua" w:hAnsi="Book Antiqua" w:cs="Times New Roman"/>
                <w:sz w:val="24"/>
                <w:szCs w:val="24"/>
              </w:rPr>
              <w:t xml:space="preserve"> </w:t>
            </w:r>
            <w:r w:rsidR="00C9325C" w:rsidRPr="00302F74">
              <w:rPr>
                <w:rFonts w:ascii="Book Antiqua" w:hAnsi="Book Antiqua" w:cs="Times New Roman"/>
                <w:sz w:val="24"/>
                <w:szCs w:val="24"/>
              </w:rPr>
              <w:t>23 severe</w:t>
            </w:r>
          </w:p>
        </w:tc>
        <w:tc>
          <w:tcPr>
            <w:tcW w:w="303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 at eradication: </w:t>
            </w:r>
            <w:r w:rsidRPr="00302F74">
              <w:rPr>
                <w:rFonts w:ascii="Book Antiqua" w:hAnsi="Book Antiqua" w:cs="Times New Roman"/>
                <w:sz w:val="24"/>
                <w:szCs w:val="24"/>
              </w:rPr>
              <w:br/>
              <w:t>14/29 (48.3%) in EVS; 17/37 (45.9%) in EVL</w:t>
            </w:r>
            <w:r w:rsidRPr="00302F74">
              <w:rPr>
                <w:rFonts w:ascii="Book Antiqua" w:hAnsi="Book Antiqua" w:cs="Times New Roman"/>
                <w:sz w:val="24"/>
                <w:szCs w:val="24"/>
              </w:rPr>
              <w:br/>
              <w:t xml:space="preserve">at 3 mo: </w:t>
            </w:r>
            <w:r w:rsidRPr="00302F74">
              <w:rPr>
                <w:rFonts w:ascii="Book Antiqua" w:hAnsi="Book Antiqua" w:cs="Times New Roman"/>
                <w:sz w:val="24"/>
                <w:szCs w:val="24"/>
              </w:rPr>
              <w:br/>
              <w:t>15/26 (57.7%) in EVS; 17/30 (56.7%) in EVL</w:t>
            </w:r>
            <w:r w:rsidRPr="00302F74">
              <w:rPr>
                <w:rFonts w:ascii="Book Antiqua" w:hAnsi="Book Antiqua" w:cs="Times New Roman"/>
                <w:sz w:val="24"/>
                <w:szCs w:val="24"/>
              </w:rPr>
              <w:br/>
              <w:t>at 6 mo</w:t>
            </w:r>
            <w:r w:rsidRPr="00302F74">
              <w:rPr>
                <w:rFonts w:ascii="Book Antiqua" w:hAnsi="Book Antiqua" w:cs="Times New Roman"/>
                <w:sz w:val="24"/>
                <w:szCs w:val="24"/>
              </w:rPr>
              <w:br/>
              <w:t>15/25 (60%) in EVS; 18/29 (62.1%) in EVL</w:t>
            </w:r>
          </w:p>
        </w:tc>
        <w:tc>
          <w:tcPr>
            <w:tcW w:w="2208"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non-significant difference between PHG aggravation between EVS and EVL; </w:t>
            </w:r>
            <w:r w:rsidR="0002478B" w:rsidRPr="0002478B">
              <w:rPr>
                <w:rFonts w:ascii="Book Antiqua" w:hAnsi="Book Antiqua" w:cs="Times New Roman"/>
                <w:i/>
                <w:sz w:val="24"/>
                <w:szCs w:val="24"/>
              </w:rPr>
              <w:t>P</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&gt;</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0.05</w:t>
            </w:r>
          </w:p>
        </w:tc>
      </w:tr>
      <w:tr w:rsidR="00632F67" w:rsidRPr="00302F74" w:rsidTr="00572FC6">
        <w:trPr>
          <w:trHeight w:val="614"/>
        </w:trPr>
        <w:tc>
          <w:tcPr>
            <w:tcW w:w="99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w:t>
            </w:r>
          </w:p>
        </w:tc>
        <w:tc>
          <w:tcPr>
            <w:tcW w:w="3984"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163 children with extrahepatic portal vein obstruction presenting with variceal bleeding underwent endoscopic injection sclerotherapy</w:t>
            </w:r>
          </w:p>
        </w:tc>
        <w:tc>
          <w:tcPr>
            <w:tcW w:w="159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does not specify</w:t>
            </w:r>
          </w:p>
        </w:tc>
        <w:tc>
          <w:tcPr>
            <w:tcW w:w="271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 overall PHG (actual number not stated)</w:t>
            </w:r>
            <w:r w:rsidRPr="00302F74">
              <w:rPr>
                <w:rFonts w:ascii="Book Antiqua" w:hAnsi="Book Antiqua" w:cs="Times New Roman"/>
                <w:sz w:val="24"/>
                <w:szCs w:val="24"/>
              </w:rPr>
              <w:br/>
              <w:t>1 patient with severe PHG</w:t>
            </w:r>
          </w:p>
        </w:tc>
        <w:tc>
          <w:tcPr>
            <w:tcW w:w="303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41% overall PHG (actual number not stated)</w:t>
            </w:r>
            <w:r w:rsidRPr="00302F74">
              <w:rPr>
                <w:rFonts w:ascii="Book Antiqua" w:hAnsi="Book Antiqua" w:cs="Times New Roman"/>
                <w:sz w:val="24"/>
                <w:szCs w:val="24"/>
              </w:rPr>
              <w:br/>
              <w:t>12 patients with severe PHG</w:t>
            </w:r>
          </w:p>
        </w:tc>
        <w:tc>
          <w:tcPr>
            <w:tcW w:w="2208" w:type="dxa"/>
            <w:hideMark/>
          </w:tcPr>
          <w:p w:rsidR="00C9325C" w:rsidRPr="00302F74" w:rsidRDefault="00E878B6" w:rsidP="0007006D">
            <w:pPr>
              <w:widowControl w:val="0"/>
              <w:spacing w:line="360" w:lineRule="auto"/>
              <w:jc w:val="both"/>
              <w:rPr>
                <w:rFonts w:ascii="Book Antiqua" w:hAnsi="Book Antiqua" w:cs="Times New Roman"/>
                <w:sz w:val="24"/>
                <w:szCs w:val="24"/>
              </w:rPr>
            </w:pPr>
            <w:r w:rsidRPr="0002478B">
              <w:rPr>
                <w:rFonts w:ascii="Book Antiqua" w:hAnsi="Book Antiqua" w:cs="Times New Roman"/>
                <w:i/>
                <w:sz w:val="24"/>
                <w:szCs w:val="24"/>
              </w:rPr>
              <w:t>P</w:t>
            </w:r>
            <w:r>
              <w:rPr>
                <w:rFonts w:ascii="Book Antiqua" w:hAnsi="Book Antiqua" w:cs="Times New Roman"/>
                <w:sz w:val="24"/>
                <w:szCs w:val="24"/>
              </w:rPr>
              <w:t xml:space="preserve"> &lt;</w:t>
            </w:r>
            <w:r w:rsidR="0002478B">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0.001 for overall PHG</w:t>
            </w:r>
            <w:r w:rsidR="00C9325C" w:rsidRPr="00302F74">
              <w:rPr>
                <w:rFonts w:ascii="Book Antiqua" w:hAnsi="Book Antiqua" w:cs="Times New Roman"/>
                <w:sz w:val="24"/>
                <w:szCs w:val="24"/>
              </w:rPr>
              <w:br/>
            </w:r>
            <w:r w:rsidR="0002478B" w:rsidRPr="0002478B">
              <w:rPr>
                <w:rFonts w:ascii="Book Antiqua" w:hAnsi="Book Antiqua" w:cs="Times New Roman"/>
                <w:i/>
                <w:sz w:val="24"/>
                <w:szCs w:val="24"/>
              </w:rPr>
              <w:t xml:space="preserve"> P</w:t>
            </w:r>
            <w:r w:rsidR="00222DD9">
              <w:rPr>
                <w:rFonts w:ascii="Book Antiqua" w:hAnsi="Book Antiqua" w:cs="Times New Roman"/>
                <w:sz w:val="24"/>
                <w:szCs w:val="24"/>
              </w:rPr>
              <w:t xml:space="preserve"> </w:t>
            </w:r>
            <w:r>
              <w:rPr>
                <w:rFonts w:ascii="Book Antiqua" w:hAnsi="Book Antiqua" w:cs="Times New Roman"/>
                <w:sz w:val="24"/>
                <w:szCs w:val="24"/>
              </w:rPr>
              <w:t>&lt;</w:t>
            </w:r>
            <w:r w:rsidR="0002478B">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0.001 for severe PHG</w:t>
            </w:r>
          </w:p>
        </w:tc>
      </w:tr>
      <w:tr w:rsidR="00632F67" w:rsidRPr="00302F74" w:rsidTr="00572FC6">
        <w:trPr>
          <w:trHeight w:val="614"/>
        </w:trPr>
        <w:tc>
          <w:tcPr>
            <w:tcW w:w="99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w:t>
            </w:r>
            <w:r w:rsidR="00003DE9" w:rsidRPr="00302F74">
              <w:rPr>
                <w:rFonts w:ascii="Book Antiqua" w:hAnsi="Book Antiqua" w:cs="Times New Roman"/>
                <w:sz w:val="24"/>
                <w:szCs w:val="24"/>
              </w:rPr>
              <w:t>3</w:t>
            </w:r>
            <w:r w:rsidRPr="00302F74">
              <w:rPr>
                <w:rFonts w:ascii="Book Antiqua" w:hAnsi="Book Antiqua" w:cs="Times New Roman"/>
                <w:sz w:val="24"/>
                <w:szCs w:val="24"/>
              </w:rPr>
              <w:t>]</w:t>
            </w:r>
          </w:p>
        </w:tc>
        <w:tc>
          <w:tcPr>
            <w:tcW w:w="3984"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186 children with extrahepatic portal vein obstruction presenting with variceal bleeding undergoing endoscopic sclerotherapy, and mean follow up of 38 + 30 mo</w:t>
            </w:r>
          </w:p>
        </w:tc>
        <w:tc>
          <w:tcPr>
            <w:tcW w:w="159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retrospective study</w:t>
            </w:r>
          </w:p>
        </w:tc>
        <w:tc>
          <w:tcPr>
            <w:tcW w:w="271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PHG: 46/186 (24.7%)</w:t>
            </w:r>
            <w:r w:rsidRPr="00302F74">
              <w:rPr>
                <w:rFonts w:ascii="Book Antiqua" w:hAnsi="Book Antiqua" w:cs="Times New Roman"/>
                <w:sz w:val="24"/>
                <w:szCs w:val="24"/>
              </w:rPr>
              <w:br/>
              <w:t>severe PHG: 6/186 (3.2%)</w:t>
            </w:r>
          </w:p>
        </w:tc>
        <w:tc>
          <w:tcPr>
            <w:tcW w:w="303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PHG: 96/186 (51.6%)</w:t>
            </w:r>
            <w:r w:rsidRPr="00302F74">
              <w:rPr>
                <w:rFonts w:ascii="Book Antiqua" w:hAnsi="Book Antiqua" w:cs="Times New Roman"/>
                <w:sz w:val="24"/>
                <w:szCs w:val="24"/>
              </w:rPr>
              <w:br/>
              <w:t>severe PHG: 29/186 (15.6%)</w:t>
            </w:r>
          </w:p>
        </w:tc>
        <w:tc>
          <w:tcPr>
            <w:tcW w:w="2208" w:type="dxa"/>
            <w:hideMark/>
          </w:tcPr>
          <w:p w:rsidR="00C9325C" w:rsidRPr="00302F74" w:rsidRDefault="0002478B" w:rsidP="0007006D">
            <w:pPr>
              <w:widowControl w:val="0"/>
              <w:spacing w:line="360" w:lineRule="auto"/>
              <w:jc w:val="both"/>
              <w:rPr>
                <w:rFonts w:ascii="Book Antiqua" w:hAnsi="Book Antiqua" w:cs="Times New Roman"/>
                <w:sz w:val="24"/>
                <w:szCs w:val="24"/>
              </w:rPr>
            </w:pPr>
            <w:r w:rsidRPr="0002478B">
              <w:rPr>
                <w:rFonts w:ascii="Book Antiqua" w:hAnsi="Book Antiqua" w:cs="Times New Roman"/>
                <w:i/>
                <w:sz w:val="24"/>
                <w:szCs w:val="24"/>
              </w:rPr>
              <w:t>P</w:t>
            </w:r>
            <w:r w:rsidR="00222DD9">
              <w:rPr>
                <w:rFonts w:ascii="Book Antiqua" w:hAnsi="Book Antiqua" w:cs="Times New Roman"/>
                <w:sz w:val="24"/>
                <w:szCs w:val="24"/>
              </w:rPr>
              <w:t xml:space="preserve"> </w:t>
            </w:r>
            <w:r w:rsidR="00E878B6">
              <w:rPr>
                <w:rFonts w:ascii="Book Antiqua" w:hAnsi="Book Antiqua" w:cs="Times New Roman"/>
                <w:sz w:val="24"/>
                <w:szCs w:val="24"/>
              </w:rPr>
              <w:t>&lt;</w:t>
            </w:r>
            <w:r>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0.001 for overall PHG</w:t>
            </w:r>
            <w:r w:rsidR="00C9325C" w:rsidRPr="00302F74">
              <w:rPr>
                <w:rFonts w:ascii="Book Antiqua" w:hAnsi="Book Antiqua" w:cs="Times New Roman"/>
                <w:sz w:val="24"/>
                <w:szCs w:val="24"/>
              </w:rPr>
              <w:br/>
            </w:r>
            <w:r w:rsidRPr="0002478B">
              <w:rPr>
                <w:rFonts w:ascii="Book Antiqua" w:hAnsi="Book Antiqua" w:cs="Times New Roman"/>
                <w:i/>
                <w:sz w:val="24"/>
                <w:szCs w:val="24"/>
              </w:rPr>
              <w:t xml:space="preserve"> P</w:t>
            </w:r>
            <w:r w:rsidR="00E878B6">
              <w:rPr>
                <w:rFonts w:ascii="Book Antiqua" w:hAnsi="Book Antiqua" w:cs="Times New Roman"/>
                <w:sz w:val="24"/>
                <w:szCs w:val="24"/>
              </w:rPr>
              <w:t xml:space="preserve"> &lt;</w:t>
            </w:r>
            <w:r>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0.05 for severe PHG</w:t>
            </w:r>
          </w:p>
        </w:tc>
      </w:tr>
      <w:tr w:rsidR="00632F67" w:rsidRPr="00302F74" w:rsidTr="00572FC6">
        <w:trPr>
          <w:trHeight w:val="1026"/>
        </w:trPr>
        <w:tc>
          <w:tcPr>
            <w:tcW w:w="99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[41]</w:t>
            </w:r>
          </w:p>
        </w:tc>
        <w:tc>
          <w:tcPr>
            <w:tcW w:w="3984"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114 patients with cirrhosis and portal hypertension undergoing EVS (29/114) or EVL (85/114)</w:t>
            </w:r>
          </w:p>
        </w:tc>
        <w:tc>
          <w:tcPr>
            <w:tcW w:w="159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retrospective study</w:t>
            </w:r>
          </w:p>
        </w:tc>
        <w:tc>
          <w:tcPr>
            <w:tcW w:w="271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pre EVS group: 11/29 (37.9%) none; 10/29 (24.5%) mild; 8/29 (27.6%) severe</w:t>
            </w:r>
            <w:r w:rsidRPr="00302F74">
              <w:rPr>
                <w:rFonts w:ascii="Book Antiqua" w:hAnsi="Book Antiqua" w:cs="Times New Roman"/>
                <w:sz w:val="24"/>
                <w:szCs w:val="24"/>
              </w:rPr>
              <w:br/>
              <w:t>pre EVL group: 27/85 (31.8%) none; 28/85 (32.9%) mild; 30/85 (35.3%) severe</w:t>
            </w:r>
          </w:p>
        </w:tc>
        <w:tc>
          <w:tcPr>
            <w:tcW w:w="303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post EVS group: 4/29 (13.8%) none; 8/29 (27.6%) mild; 17/29 (58.6%) severe</w:t>
            </w:r>
            <w:r w:rsidRPr="00302F74">
              <w:rPr>
                <w:rFonts w:ascii="Book Antiqua" w:hAnsi="Book Antiqua" w:cs="Times New Roman"/>
                <w:sz w:val="24"/>
                <w:szCs w:val="24"/>
              </w:rPr>
              <w:br/>
              <w:t>post EVL group: 14/85 (16.5%) none; 30/85 (35.3%) mild; 41/85 (48.2%) severe</w:t>
            </w:r>
          </w:p>
        </w:tc>
        <w:tc>
          <w:tcPr>
            <w:tcW w:w="2208"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pre EVS</w:t>
            </w:r>
            <w:r w:rsidR="00963345">
              <w:rPr>
                <w:rFonts w:ascii="Book Antiqua" w:hAnsi="Book Antiqua" w:cs="Times New Roman"/>
                <w:sz w:val="24"/>
                <w:szCs w:val="24"/>
              </w:rPr>
              <w:t xml:space="preserve"> </w:t>
            </w:r>
            <w:r w:rsidR="00963345" w:rsidRPr="00963345">
              <w:rPr>
                <w:rFonts w:ascii="Book Antiqua" w:hAnsi="Book Antiqua" w:cs="Times New Roman" w:hint="eastAsia"/>
                <w:i/>
                <w:sz w:val="24"/>
                <w:szCs w:val="24"/>
                <w:lang w:eastAsia="zh-CN"/>
              </w:rPr>
              <w:t>vs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post EVS; </w:t>
            </w:r>
            <w:r w:rsidR="00E878B6" w:rsidRPr="0002478B">
              <w:rPr>
                <w:rFonts w:ascii="Book Antiqua" w:hAnsi="Book Antiqua" w:cs="Times New Roman"/>
                <w:i/>
                <w:sz w:val="24"/>
                <w:szCs w:val="24"/>
              </w:rPr>
              <w:t>P</w:t>
            </w:r>
            <w:r w:rsidR="00E878B6">
              <w:rPr>
                <w:rFonts w:ascii="Book Antiqua" w:hAnsi="Book Antiqua" w:cs="Times New Roman"/>
                <w:sz w:val="24"/>
                <w:szCs w:val="24"/>
              </w:rPr>
              <w:t xml:space="preserve"> &lt;</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0.05</w:t>
            </w:r>
            <w:r w:rsidRPr="00302F74">
              <w:rPr>
                <w:rFonts w:ascii="Book Antiqua" w:hAnsi="Book Antiqua" w:cs="Times New Roman"/>
                <w:sz w:val="24"/>
                <w:szCs w:val="24"/>
              </w:rPr>
              <w:br/>
              <w:t>pre EVL</w:t>
            </w:r>
            <w:r w:rsidR="00963345">
              <w:rPr>
                <w:rFonts w:ascii="Book Antiqua" w:hAnsi="Book Antiqua" w:cs="Times New Roman"/>
                <w:sz w:val="24"/>
                <w:szCs w:val="24"/>
              </w:rPr>
              <w:t xml:space="preserve"> </w:t>
            </w:r>
            <w:r w:rsidR="00963345" w:rsidRPr="00963345">
              <w:rPr>
                <w:rFonts w:ascii="Book Antiqua" w:hAnsi="Book Antiqua" w:cs="Times New Roman" w:hint="eastAsia"/>
                <w:i/>
                <w:sz w:val="24"/>
                <w:szCs w:val="24"/>
                <w:lang w:eastAsia="zh-CN"/>
              </w:rPr>
              <w:t>vs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post EVL; </w:t>
            </w:r>
            <w:r w:rsidR="00E878B6" w:rsidRPr="0002478B">
              <w:rPr>
                <w:rFonts w:ascii="Book Antiqua" w:hAnsi="Book Antiqua" w:cs="Times New Roman"/>
                <w:i/>
                <w:sz w:val="24"/>
                <w:szCs w:val="24"/>
              </w:rPr>
              <w:t>P</w:t>
            </w:r>
            <w:r w:rsidR="00E878B6">
              <w:rPr>
                <w:rFonts w:ascii="Book Antiqua" w:hAnsi="Book Antiqua" w:cs="Times New Roman"/>
                <w:sz w:val="24"/>
                <w:szCs w:val="24"/>
              </w:rPr>
              <w:t xml:space="preserve"> &lt;</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0.05</w:t>
            </w:r>
            <w:r w:rsidRPr="00302F74">
              <w:rPr>
                <w:rFonts w:ascii="Book Antiqua" w:hAnsi="Book Antiqua" w:cs="Times New Roman"/>
                <w:sz w:val="24"/>
                <w:szCs w:val="24"/>
              </w:rPr>
              <w:br/>
              <w:t>pre EVS</w:t>
            </w:r>
            <w:r w:rsidR="00963345">
              <w:rPr>
                <w:rFonts w:ascii="Book Antiqua" w:hAnsi="Book Antiqua" w:cs="Times New Roman"/>
                <w:sz w:val="24"/>
                <w:szCs w:val="24"/>
              </w:rPr>
              <w:t xml:space="preserve"> </w:t>
            </w:r>
            <w:r w:rsidR="00963345" w:rsidRPr="00963345">
              <w:rPr>
                <w:rFonts w:ascii="Book Antiqua" w:hAnsi="Book Antiqua" w:cs="Times New Roman" w:hint="eastAsia"/>
                <w:i/>
                <w:sz w:val="24"/>
                <w:szCs w:val="24"/>
                <w:lang w:eastAsia="zh-CN"/>
              </w:rPr>
              <w:t>vs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pre EVL; </w:t>
            </w:r>
            <w:r w:rsidRPr="0002478B">
              <w:rPr>
                <w:rFonts w:ascii="Book Antiqua" w:hAnsi="Book Antiqua" w:cs="Times New Roman"/>
                <w:i/>
                <w:sz w:val="24"/>
                <w:szCs w:val="24"/>
              </w:rPr>
              <w:t>P</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&gt;</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0.05</w:t>
            </w:r>
            <w:r w:rsidRPr="00302F74">
              <w:rPr>
                <w:rFonts w:ascii="Book Antiqua" w:hAnsi="Book Antiqua" w:cs="Times New Roman"/>
                <w:sz w:val="24"/>
                <w:szCs w:val="24"/>
              </w:rPr>
              <w:br/>
              <w:t>post EVS</w:t>
            </w:r>
            <w:r w:rsidR="00963345">
              <w:rPr>
                <w:rFonts w:ascii="Book Antiqua" w:hAnsi="Book Antiqua" w:cs="Times New Roman"/>
                <w:sz w:val="24"/>
                <w:szCs w:val="24"/>
              </w:rPr>
              <w:t xml:space="preserve"> </w:t>
            </w:r>
            <w:r w:rsidR="00963345" w:rsidRPr="00963345">
              <w:rPr>
                <w:rFonts w:ascii="Book Antiqua" w:hAnsi="Book Antiqua" w:cs="Times New Roman" w:hint="eastAsia"/>
                <w:i/>
                <w:sz w:val="24"/>
                <w:szCs w:val="24"/>
                <w:lang w:eastAsia="zh-CN"/>
              </w:rPr>
              <w:t>vs</w:t>
            </w:r>
            <w:r w:rsidR="00963345">
              <w:rPr>
                <w:rFonts w:ascii="Book Antiqua" w:hAnsi="Book Antiqua" w:cs="Times New Roman"/>
                <w:sz w:val="24"/>
                <w:szCs w:val="24"/>
              </w:rPr>
              <w:t xml:space="preserve"> </w:t>
            </w:r>
            <w:r w:rsidRPr="00302F74">
              <w:rPr>
                <w:rFonts w:ascii="Book Antiqua" w:hAnsi="Book Antiqua" w:cs="Times New Roman"/>
                <w:sz w:val="24"/>
                <w:szCs w:val="24"/>
              </w:rPr>
              <w:t xml:space="preserve">post EVL; </w:t>
            </w:r>
            <w:r w:rsidRPr="0002478B">
              <w:rPr>
                <w:rFonts w:ascii="Book Antiqua" w:hAnsi="Book Antiqua" w:cs="Times New Roman"/>
                <w:i/>
                <w:sz w:val="24"/>
                <w:szCs w:val="24"/>
              </w:rPr>
              <w:t>P</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&gt;</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0.05</w:t>
            </w:r>
          </w:p>
        </w:tc>
      </w:tr>
      <w:tr w:rsidR="00632F67" w:rsidRPr="00302F74" w:rsidTr="00572FC6">
        <w:trPr>
          <w:trHeight w:val="1231"/>
        </w:trPr>
        <w:tc>
          <w:tcPr>
            <w:tcW w:w="99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w:t>
            </w:r>
          </w:p>
        </w:tc>
        <w:tc>
          <w:tcPr>
            <w:tcW w:w="3984"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967 patients with variceal bleeding underwent endoscopic sclerotherapy; out of whom 88 patients who fulfilled inclusion criteria (including presence of endoscopic lesions consistent with PHG o</w:t>
            </w:r>
            <w:r w:rsidR="00963345">
              <w:rPr>
                <w:rFonts w:ascii="Book Antiqua" w:hAnsi="Book Antiqua" w:cs="Times New Roman"/>
                <w:sz w:val="24"/>
                <w:szCs w:val="24"/>
              </w:rPr>
              <w:t>r GAVE, before or within 4 wk</w:t>
            </w:r>
            <w:r w:rsidRPr="00302F74">
              <w:rPr>
                <w:rFonts w:ascii="Book Antiqua" w:hAnsi="Book Antiqua" w:cs="Times New Roman"/>
                <w:sz w:val="24"/>
                <w:szCs w:val="24"/>
              </w:rPr>
              <w:t xml:space="preserve"> after obliteration) were prospectively followed (out of whom 2 had only GAVE)</w:t>
            </w:r>
          </w:p>
        </w:tc>
        <w:tc>
          <w:tcPr>
            <w:tcW w:w="159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prospective study; </w:t>
            </w:r>
          </w:p>
        </w:tc>
        <w:tc>
          <w:tcPr>
            <w:tcW w:w="271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22 patients had PHG prior to EVS</w:t>
            </w:r>
            <w:r w:rsidRPr="00302F74">
              <w:rPr>
                <w:rFonts w:ascii="Book Antiqua" w:hAnsi="Book Antiqua" w:cs="Times New Roman"/>
                <w:sz w:val="24"/>
                <w:szCs w:val="24"/>
              </w:rPr>
              <w:br/>
              <w:t>2/22 transient (9%)</w:t>
            </w:r>
            <w:r w:rsidRPr="00302F74">
              <w:rPr>
                <w:rFonts w:ascii="Book Antiqua" w:hAnsi="Book Antiqua" w:cs="Times New Roman"/>
                <w:sz w:val="24"/>
                <w:szCs w:val="24"/>
              </w:rPr>
              <w:br/>
              <w:t>17/22 persistent (77%)</w:t>
            </w:r>
            <w:r w:rsidRPr="00302F74">
              <w:rPr>
                <w:rFonts w:ascii="Book Antiqua" w:hAnsi="Book Antiqua" w:cs="Times New Roman"/>
                <w:sz w:val="24"/>
                <w:szCs w:val="24"/>
              </w:rPr>
              <w:br/>
              <w:t>3/22 progressive (14%)</w:t>
            </w:r>
          </w:p>
        </w:tc>
        <w:tc>
          <w:tcPr>
            <w:tcW w:w="303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additional development in 64 patients post procedure</w:t>
            </w:r>
            <w:r w:rsidRPr="00302F74">
              <w:rPr>
                <w:rFonts w:ascii="Book Antiqua" w:hAnsi="Book Antiqua" w:cs="Times New Roman"/>
                <w:sz w:val="24"/>
                <w:szCs w:val="24"/>
              </w:rPr>
              <w:br/>
              <w:t>28/64 transient (44%)</w:t>
            </w:r>
            <w:r w:rsidRPr="00302F74">
              <w:rPr>
                <w:rFonts w:ascii="Book Antiqua" w:hAnsi="Book Antiqua" w:cs="Times New Roman"/>
                <w:sz w:val="24"/>
                <w:szCs w:val="24"/>
              </w:rPr>
              <w:br/>
              <w:t>31/64 persistent (48%)</w:t>
            </w:r>
            <w:r w:rsidRPr="00302F74">
              <w:rPr>
                <w:rFonts w:ascii="Book Antiqua" w:hAnsi="Book Antiqua" w:cs="Times New Roman"/>
                <w:sz w:val="24"/>
                <w:szCs w:val="24"/>
              </w:rPr>
              <w:br/>
              <w:t>5/64 progressive (8%)</w:t>
            </w:r>
          </w:p>
        </w:tc>
        <w:tc>
          <w:tcPr>
            <w:tcW w:w="2208"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only statistically significant difference was the transient PHG that disappeared in 28 (44%) of patients in the group that developed PHG post procedure; </w:t>
            </w:r>
            <w:r w:rsidR="00E878B6" w:rsidRPr="0002478B">
              <w:rPr>
                <w:rFonts w:ascii="Book Antiqua" w:hAnsi="Book Antiqua" w:cs="Times New Roman"/>
                <w:i/>
                <w:sz w:val="24"/>
                <w:szCs w:val="24"/>
              </w:rPr>
              <w:t>P</w:t>
            </w:r>
            <w:r w:rsidR="00E878B6">
              <w:rPr>
                <w:rFonts w:ascii="Book Antiqua" w:hAnsi="Book Antiqua" w:cs="Times New Roman"/>
                <w:sz w:val="24"/>
                <w:szCs w:val="24"/>
              </w:rPr>
              <w:t xml:space="preserve"> &lt;</w:t>
            </w:r>
            <w:r w:rsidR="0002478B">
              <w:rPr>
                <w:rFonts w:ascii="Book Antiqua" w:hAnsi="Book Antiqua" w:cs="Times New Roman" w:hint="eastAsia"/>
                <w:sz w:val="24"/>
                <w:szCs w:val="24"/>
                <w:lang w:eastAsia="zh-CN"/>
              </w:rPr>
              <w:t xml:space="preserve"> </w:t>
            </w:r>
            <w:r w:rsidRPr="00302F74">
              <w:rPr>
                <w:rFonts w:ascii="Book Antiqua" w:hAnsi="Book Antiqua" w:cs="Times New Roman"/>
                <w:sz w:val="24"/>
                <w:szCs w:val="24"/>
              </w:rPr>
              <w:t>0.05</w:t>
            </w:r>
          </w:p>
        </w:tc>
      </w:tr>
      <w:tr w:rsidR="00632F67" w:rsidRPr="00302F74" w:rsidTr="00572FC6">
        <w:trPr>
          <w:trHeight w:val="411"/>
        </w:trPr>
        <w:tc>
          <w:tcPr>
            <w:tcW w:w="99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[30]</w:t>
            </w:r>
          </w:p>
        </w:tc>
        <w:tc>
          <w:tcPr>
            <w:tcW w:w="3984"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230 patients with liver cirrhosis; out of which 44 underwent variceal </w:t>
            </w:r>
            <w:r w:rsidRPr="00302F74">
              <w:rPr>
                <w:rFonts w:ascii="Book Antiqua" w:hAnsi="Book Antiqua" w:cs="Times New Roman"/>
                <w:sz w:val="24"/>
                <w:szCs w:val="24"/>
              </w:rPr>
              <w:lastRenderedPageBreak/>
              <w:t>eradication with sclerotherapy</w:t>
            </w:r>
          </w:p>
        </w:tc>
        <w:tc>
          <w:tcPr>
            <w:tcW w:w="159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 xml:space="preserve">prospective study; </w:t>
            </w:r>
          </w:p>
        </w:tc>
        <w:tc>
          <w:tcPr>
            <w:tcW w:w="271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24/44 (54%)</w:t>
            </w:r>
          </w:p>
        </w:tc>
        <w:tc>
          <w:tcPr>
            <w:tcW w:w="303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33/44 (75%)</w:t>
            </w:r>
          </w:p>
        </w:tc>
        <w:tc>
          <w:tcPr>
            <w:tcW w:w="2208" w:type="dxa"/>
            <w:hideMark/>
          </w:tcPr>
          <w:p w:rsidR="00C9325C" w:rsidRPr="00302F74" w:rsidRDefault="00E878B6" w:rsidP="0007006D">
            <w:pPr>
              <w:widowControl w:val="0"/>
              <w:spacing w:line="360" w:lineRule="auto"/>
              <w:jc w:val="both"/>
              <w:rPr>
                <w:rFonts w:ascii="Book Antiqua" w:hAnsi="Book Antiqua" w:cs="Times New Roman"/>
                <w:sz w:val="24"/>
                <w:szCs w:val="24"/>
              </w:rPr>
            </w:pPr>
            <w:r w:rsidRPr="0002478B">
              <w:rPr>
                <w:rFonts w:ascii="Book Antiqua" w:hAnsi="Book Antiqua" w:cs="Times New Roman"/>
                <w:i/>
                <w:sz w:val="24"/>
                <w:szCs w:val="24"/>
              </w:rPr>
              <w:t>P</w:t>
            </w:r>
            <w:r>
              <w:rPr>
                <w:rFonts w:ascii="Book Antiqua" w:hAnsi="Book Antiqua" w:cs="Times New Roman"/>
                <w:sz w:val="24"/>
                <w:szCs w:val="24"/>
              </w:rPr>
              <w:t xml:space="preserve"> &lt;</w:t>
            </w:r>
            <w:r w:rsidR="0002478B">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0.05</w:t>
            </w:r>
          </w:p>
        </w:tc>
      </w:tr>
      <w:tr w:rsidR="00632F67" w:rsidRPr="00302F74" w:rsidTr="00572FC6">
        <w:trPr>
          <w:trHeight w:val="614"/>
        </w:trPr>
        <w:tc>
          <w:tcPr>
            <w:tcW w:w="99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[8]</w:t>
            </w:r>
          </w:p>
        </w:tc>
        <w:tc>
          <w:tcPr>
            <w:tcW w:w="3984"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107 patients with portal hypertension presenting with variceal bleeding that underwent sclerotherapy with mean follow up of 23.2 + 3.4 mo</w:t>
            </w:r>
          </w:p>
        </w:tc>
        <w:tc>
          <w:tcPr>
            <w:tcW w:w="159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prospective study; </w:t>
            </w:r>
          </w:p>
        </w:tc>
        <w:tc>
          <w:tcPr>
            <w:tcW w:w="271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4/107 (3.7%)</w:t>
            </w:r>
          </w:p>
        </w:tc>
        <w:tc>
          <w:tcPr>
            <w:tcW w:w="303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21 additional patients</w:t>
            </w:r>
            <w:r w:rsidRPr="00302F74">
              <w:rPr>
                <w:rFonts w:ascii="Book Antiqua" w:hAnsi="Book Antiqua" w:cs="Times New Roman"/>
                <w:sz w:val="24"/>
                <w:szCs w:val="24"/>
              </w:rPr>
              <w:br/>
              <w:t>25/107 (23%)</w:t>
            </w:r>
          </w:p>
        </w:tc>
        <w:tc>
          <w:tcPr>
            <w:tcW w:w="2208"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does not state if this was statistically significant</w:t>
            </w:r>
          </w:p>
        </w:tc>
      </w:tr>
      <w:tr w:rsidR="00632F67" w:rsidRPr="00302F74" w:rsidTr="00572FC6">
        <w:trPr>
          <w:trHeight w:val="1026"/>
        </w:trPr>
        <w:tc>
          <w:tcPr>
            <w:tcW w:w="99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[82]</w:t>
            </w:r>
          </w:p>
        </w:tc>
        <w:tc>
          <w:tcPr>
            <w:tcW w:w="3984"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93 patients with history of variceal hemorrhage and cirrhosis, randomized to receive either EVS (46/88) or EVL (42/88); 5 patients were excluded due to diagnosis of hematoma, non-cirrhotic portal hypertension or portal vein thrombosis</w:t>
            </w:r>
          </w:p>
        </w:tc>
        <w:tc>
          <w:tcPr>
            <w:tcW w:w="159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prospective study; </w:t>
            </w:r>
          </w:p>
        </w:tc>
        <w:tc>
          <w:tcPr>
            <w:tcW w:w="2711"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 data given</w:t>
            </w:r>
          </w:p>
        </w:tc>
        <w:tc>
          <w:tcPr>
            <w:tcW w:w="3036" w:type="dxa"/>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PHG worsened in 23 patients total; statistically significantly more in the in the EVL group than EVS group (17</w:t>
            </w:r>
            <w:r w:rsidR="00963345">
              <w:rPr>
                <w:rFonts w:ascii="Book Antiqua" w:hAnsi="Book Antiqua" w:cs="Times New Roman"/>
                <w:sz w:val="24"/>
                <w:szCs w:val="24"/>
              </w:rPr>
              <w:t xml:space="preserve"> </w:t>
            </w:r>
            <w:r w:rsidR="00963345" w:rsidRPr="00963345">
              <w:rPr>
                <w:rFonts w:ascii="Book Antiqua" w:hAnsi="Book Antiqua" w:cs="Times New Roman" w:hint="eastAsia"/>
                <w:i/>
                <w:sz w:val="24"/>
                <w:szCs w:val="24"/>
                <w:lang w:eastAsia="zh-CN"/>
              </w:rPr>
              <w:t>vs</w:t>
            </w:r>
            <w:r w:rsidR="00963345">
              <w:rPr>
                <w:rFonts w:ascii="Book Antiqua" w:hAnsi="Book Antiqua" w:cs="Times New Roman"/>
                <w:sz w:val="24"/>
                <w:szCs w:val="24"/>
              </w:rPr>
              <w:t xml:space="preserve"> </w:t>
            </w:r>
            <w:r w:rsidRPr="00302F74">
              <w:rPr>
                <w:rFonts w:ascii="Book Antiqua" w:hAnsi="Book Antiqua" w:cs="Times New Roman"/>
                <w:sz w:val="24"/>
                <w:szCs w:val="24"/>
              </w:rPr>
              <w:t>6 patients respectively)</w:t>
            </w:r>
          </w:p>
        </w:tc>
        <w:tc>
          <w:tcPr>
            <w:tcW w:w="2208" w:type="dxa"/>
            <w:hideMark/>
          </w:tcPr>
          <w:p w:rsidR="00C9325C" w:rsidRPr="00302F74" w:rsidRDefault="00E878B6" w:rsidP="0007006D">
            <w:pPr>
              <w:widowControl w:val="0"/>
              <w:spacing w:line="360" w:lineRule="auto"/>
              <w:jc w:val="both"/>
              <w:rPr>
                <w:rFonts w:ascii="Book Antiqua" w:hAnsi="Book Antiqua" w:cs="Times New Roman"/>
                <w:sz w:val="24"/>
                <w:szCs w:val="24"/>
              </w:rPr>
            </w:pPr>
            <w:r w:rsidRPr="0002478B">
              <w:rPr>
                <w:rFonts w:ascii="Book Antiqua" w:hAnsi="Book Antiqua" w:cs="Times New Roman"/>
                <w:i/>
                <w:sz w:val="24"/>
                <w:szCs w:val="24"/>
              </w:rPr>
              <w:t>P</w:t>
            </w:r>
            <w:r>
              <w:rPr>
                <w:rFonts w:ascii="Book Antiqua" w:hAnsi="Book Antiqua" w:cs="Times New Roman"/>
                <w:sz w:val="24"/>
                <w:szCs w:val="24"/>
              </w:rPr>
              <w:t xml:space="preserve"> &lt;</w:t>
            </w:r>
            <w:r w:rsidR="0002478B">
              <w:rPr>
                <w:rFonts w:ascii="Book Antiqua" w:hAnsi="Book Antiqua" w:cs="Times New Roman" w:hint="eastAsia"/>
                <w:sz w:val="24"/>
                <w:szCs w:val="24"/>
                <w:lang w:eastAsia="zh-CN"/>
              </w:rPr>
              <w:t xml:space="preserve"> </w:t>
            </w:r>
            <w:r w:rsidR="00C9325C" w:rsidRPr="00302F74">
              <w:rPr>
                <w:rFonts w:ascii="Book Antiqua" w:hAnsi="Book Antiqua" w:cs="Times New Roman"/>
                <w:sz w:val="24"/>
                <w:szCs w:val="24"/>
              </w:rPr>
              <w:t>0.01</w:t>
            </w:r>
          </w:p>
        </w:tc>
      </w:tr>
      <w:tr w:rsidR="00632F67" w:rsidRPr="00302F74" w:rsidTr="00572FC6">
        <w:trPr>
          <w:trHeight w:val="85"/>
        </w:trPr>
        <w:tc>
          <w:tcPr>
            <w:tcW w:w="991" w:type="dxa"/>
            <w:tcBorders>
              <w:bottom w:val="single" w:sz="4" w:space="0" w:color="auto"/>
            </w:tcBorders>
            <w:hideMark/>
          </w:tcPr>
          <w:p w:rsidR="00C9325C" w:rsidRPr="00FB3AC0" w:rsidRDefault="00C9325C" w:rsidP="0007006D">
            <w:pPr>
              <w:widowControl w:val="0"/>
              <w:spacing w:line="360" w:lineRule="auto"/>
              <w:jc w:val="both"/>
              <w:rPr>
                <w:rFonts w:ascii="Book Antiqua" w:hAnsi="Book Antiqua" w:cs="Times New Roman"/>
                <w:sz w:val="24"/>
                <w:szCs w:val="24"/>
              </w:rPr>
            </w:pPr>
            <w:r w:rsidRPr="00FB3AC0">
              <w:rPr>
                <w:rFonts w:ascii="Book Antiqua" w:hAnsi="Book Antiqua" w:cs="Times New Roman"/>
                <w:sz w:val="24"/>
                <w:szCs w:val="24"/>
              </w:rPr>
              <w:t>[25]</w:t>
            </w:r>
          </w:p>
        </w:tc>
        <w:tc>
          <w:tcPr>
            <w:tcW w:w="3984" w:type="dxa"/>
            <w:tcBorders>
              <w:bottom w:val="single" w:sz="4" w:space="0" w:color="auto"/>
            </w:tcBorders>
            <w:hideMark/>
          </w:tcPr>
          <w:p w:rsidR="00C9325C" w:rsidRPr="00FB3AC0" w:rsidRDefault="00C9325C" w:rsidP="0007006D">
            <w:pPr>
              <w:widowControl w:val="0"/>
              <w:spacing w:line="360" w:lineRule="auto"/>
              <w:jc w:val="both"/>
              <w:rPr>
                <w:rFonts w:ascii="Book Antiqua" w:hAnsi="Book Antiqua" w:cs="Times New Roman"/>
                <w:sz w:val="24"/>
                <w:szCs w:val="24"/>
              </w:rPr>
            </w:pPr>
            <w:r w:rsidRPr="00FB3AC0">
              <w:rPr>
                <w:rFonts w:ascii="Book Antiqua" w:hAnsi="Book Antiqua" w:cs="Times New Roman"/>
                <w:sz w:val="24"/>
                <w:szCs w:val="24"/>
              </w:rPr>
              <w:t>212 cirrhotic patients of which 75 had an episode of variceal bleeding and were treated with sclerotherapy; 137 without</w:t>
            </w:r>
            <w:r w:rsidR="00963345" w:rsidRPr="00FB3AC0">
              <w:rPr>
                <w:rFonts w:ascii="Book Antiqua" w:hAnsi="Book Antiqua" w:cs="Times New Roman"/>
                <w:sz w:val="24"/>
                <w:szCs w:val="24"/>
              </w:rPr>
              <w:t xml:space="preserve"> </w:t>
            </w:r>
            <w:r w:rsidRPr="00FB3AC0">
              <w:rPr>
                <w:rFonts w:ascii="Book Antiqua" w:hAnsi="Book Antiqua" w:cs="Times New Roman"/>
                <w:sz w:val="24"/>
                <w:szCs w:val="24"/>
              </w:rPr>
              <w:t>bleeding were not treated with sclerotherapy</w:t>
            </w:r>
          </w:p>
        </w:tc>
        <w:tc>
          <w:tcPr>
            <w:tcW w:w="1596" w:type="dxa"/>
            <w:tcBorders>
              <w:bottom w:val="single" w:sz="4" w:space="0" w:color="auto"/>
            </w:tcBorders>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prospective study; </w:t>
            </w:r>
          </w:p>
        </w:tc>
        <w:tc>
          <w:tcPr>
            <w:tcW w:w="2711" w:type="dxa"/>
            <w:tcBorders>
              <w:bottom w:val="single" w:sz="4" w:space="0" w:color="auto"/>
            </w:tcBorders>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 EVS group at admission: 104/137 (75%) none; 28/137 (20%) mild; 5/137 (4%) severe</w:t>
            </w:r>
            <w:r w:rsidRPr="00302F74">
              <w:rPr>
                <w:rFonts w:ascii="Book Antiqua" w:hAnsi="Book Antiqua" w:cs="Times New Roman"/>
                <w:sz w:val="24"/>
                <w:szCs w:val="24"/>
              </w:rPr>
              <w:br/>
              <w:t xml:space="preserve">EVS group at admission: 50/75 </w:t>
            </w:r>
            <w:r w:rsidRPr="00302F74">
              <w:rPr>
                <w:rFonts w:ascii="Book Antiqua" w:hAnsi="Book Antiqua" w:cs="Times New Roman"/>
                <w:sz w:val="24"/>
                <w:szCs w:val="24"/>
              </w:rPr>
              <w:lastRenderedPageBreak/>
              <w:t>(66%) none; 17/75 (22%) mild; 8/75 (11%) severe</w:t>
            </w:r>
          </w:p>
        </w:tc>
        <w:tc>
          <w:tcPr>
            <w:tcW w:w="3036" w:type="dxa"/>
            <w:tcBorders>
              <w:bottom w:val="single" w:sz="4" w:space="0" w:color="auto"/>
            </w:tcBorders>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no EVS group at end of study 69/137 (50%) none; 61/137 (45%) mild; 7/137 (5%) severe</w:t>
            </w:r>
            <w:r w:rsidRPr="00302F74">
              <w:rPr>
                <w:rFonts w:ascii="Book Antiqua" w:hAnsi="Book Antiqua" w:cs="Times New Roman"/>
                <w:sz w:val="24"/>
                <w:szCs w:val="24"/>
              </w:rPr>
              <w:br/>
              <w:t xml:space="preserve">EVS group at end of study: 13/75 (17%) none; 49/75 (65%) mild; 13/75 </w:t>
            </w:r>
            <w:r w:rsidRPr="00302F74">
              <w:rPr>
                <w:rFonts w:ascii="Book Antiqua" w:hAnsi="Book Antiqua" w:cs="Times New Roman"/>
                <w:sz w:val="24"/>
                <w:szCs w:val="24"/>
              </w:rPr>
              <w:lastRenderedPageBreak/>
              <w:t>(17%) severe</w:t>
            </w:r>
          </w:p>
        </w:tc>
        <w:tc>
          <w:tcPr>
            <w:tcW w:w="2208" w:type="dxa"/>
            <w:tcBorders>
              <w:bottom w:val="single" w:sz="4" w:space="0" w:color="auto"/>
            </w:tcBorders>
            <w:hideMark/>
          </w:tcPr>
          <w:p w:rsidR="00C9325C" w:rsidRPr="00302F74" w:rsidRDefault="00C9325C" w:rsidP="0007006D">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 xml:space="preserve">The conclusion was that sclerotherapy is a significant indicator of the risk of PHG at a multivariate </w:t>
            </w:r>
            <w:r w:rsidRPr="00302F74">
              <w:rPr>
                <w:rFonts w:ascii="Book Antiqua" w:hAnsi="Book Antiqua" w:cs="Times New Roman"/>
                <w:sz w:val="24"/>
                <w:szCs w:val="24"/>
              </w:rPr>
              <w:lastRenderedPageBreak/>
              <w:t>analysis (</w:t>
            </w:r>
            <w:r w:rsidR="0002478B" w:rsidRPr="0002478B">
              <w:rPr>
                <w:rFonts w:ascii="Book Antiqua" w:hAnsi="Book Antiqua" w:cs="Times New Roman"/>
                <w:i/>
                <w:sz w:val="24"/>
                <w:szCs w:val="24"/>
              </w:rPr>
              <w:t>P</w:t>
            </w:r>
            <w:r w:rsidRPr="00302F74">
              <w:rPr>
                <w:rFonts w:ascii="Book Antiqua" w:hAnsi="Book Antiqua" w:cs="Times New Roman"/>
                <w:sz w:val="24"/>
                <w:szCs w:val="24"/>
              </w:rPr>
              <w:t xml:space="preserve"> = 0.00032)</w:t>
            </w:r>
          </w:p>
        </w:tc>
      </w:tr>
    </w:tbl>
    <w:p w:rsidR="00C424FD" w:rsidRPr="00302F74" w:rsidRDefault="00C424FD" w:rsidP="00C424FD">
      <w:pPr>
        <w:widowControl w:val="0"/>
        <w:spacing w:line="360" w:lineRule="auto"/>
        <w:jc w:val="both"/>
        <w:rPr>
          <w:rFonts w:ascii="Book Antiqua" w:hAnsi="Book Antiqua" w:cs="Times New Roman"/>
          <w:sz w:val="24"/>
          <w:szCs w:val="24"/>
          <w:lang w:val="en"/>
        </w:rPr>
      </w:pPr>
      <w:r w:rsidRPr="00553DA6">
        <w:rPr>
          <w:rFonts w:ascii="Book Antiqua" w:hAnsi="Book Antiqua" w:cs="Times New Roman"/>
          <w:sz w:val="24"/>
          <w:szCs w:val="24"/>
        </w:rPr>
        <w:lastRenderedPageBreak/>
        <w:t>PHG</w:t>
      </w:r>
      <w:r w:rsidRPr="00553DA6">
        <w:rPr>
          <w:rFonts w:ascii="Book Antiqua" w:hAnsi="Book Antiqua" w:cs="Times New Roman" w:hint="eastAsia"/>
          <w:sz w:val="24"/>
          <w:szCs w:val="24"/>
          <w:lang w:eastAsia="zh-CN"/>
        </w:rPr>
        <w:t xml:space="preserve">: </w:t>
      </w:r>
      <w:r w:rsidRPr="00553DA6">
        <w:rPr>
          <w:rFonts w:ascii="Book Antiqua" w:hAnsi="Book Antiqua" w:cs="Times New Roman"/>
          <w:sz w:val="24"/>
          <w:szCs w:val="24"/>
        </w:rPr>
        <w:t>Portal hypertensive gastropathy</w:t>
      </w:r>
      <w:r>
        <w:rPr>
          <w:rFonts w:ascii="Book Antiqua" w:hAnsi="Book Antiqua" w:cs="Times New Roman" w:hint="eastAsia"/>
          <w:sz w:val="24"/>
          <w:szCs w:val="24"/>
          <w:lang w:eastAsia="zh-CN"/>
        </w:rPr>
        <w:t>; EVL:</w:t>
      </w:r>
      <w:r w:rsidRPr="004F3C1D">
        <w:t xml:space="preserve"> </w:t>
      </w:r>
      <w:r w:rsidRPr="004F3C1D">
        <w:rPr>
          <w:rFonts w:ascii="Book Antiqua" w:hAnsi="Book Antiqua" w:cs="Times New Roman"/>
          <w:sz w:val="24"/>
          <w:szCs w:val="24"/>
          <w:lang w:eastAsia="zh-CN"/>
        </w:rPr>
        <w:t>Endoscopic vricel ligtion</w:t>
      </w:r>
      <w:r>
        <w:rPr>
          <w:rFonts w:ascii="Book Antiqua" w:hAnsi="Book Antiqua" w:cs="Times New Roman" w:hint="eastAsia"/>
          <w:sz w:val="24"/>
          <w:szCs w:val="24"/>
          <w:lang w:eastAsia="zh-CN"/>
        </w:rPr>
        <w:t>.</w:t>
      </w:r>
    </w:p>
    <w:p w:rsidR="00C9325C" w:rsidRPr="00C424FD" w:rsidRDefault="00C9325C" w:rsidP="00FA6CCE">
      <w:pPr>
        <w:widowControl w:val="0"/>
        <w:spacing w:line="360" w:lineRule="auto"/>
        <w:jc w:val="both"/>
        <w:rPr>
          <w:rFonts w:ascii="Book Antiqua" w:hAnsi="Book Antiqua" w:cs="Times New Roman"/>
          <w:sz w:val="24"/>
          <w:szCs w:val="24"/>
          <w:lang w:val="en"/>
        </w:rPr>
        <w:sectPr w:rsidR="00C9325C" w:rsidRPr="00C424FD" w:rsidSect="00691554">
          <w:pgSz w:w="15840" w:h="12240" w:orient="landscape"/>
          <w:pgMar w:top="1440" w:right="1440" w:bottom="1440" w:left="1440" w:header="720" w:footer="720" w:gutter="0"/>
          <w:cols w:space="720"/>
          <w:docGrid w:linePitch="360"/>
        </w:sectPr>
      </w:pPr>
    </w:p>
    <w:tbl>
      <w:tblPr>
        <w:tblStyle w:val="TableGrid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4230"/>
      </w:tblGrid>
      <w:tr w:rsidR="00632F67" w:rsidRPr="00302F74" w:rsidTr="007109CF">
        <w:trPr>
          <w:trHeight w:val="593"/>
        </w:trPr>
        <w:tc>
          <w:tcPr>
            <w:tcW w:w="9828" w:type="dxa"/>
            <w:gridSpan w:val="2"/>
            <w:tcBorders>
              <w:bottom w:val="single" w:sz="4" w:space="0" w:color="auto"/>
            </w:tcBorders>
          </w:tcPr>
          <w:p w:rsidR="00C9325C" w:rsidRPr="007109CF" w:rsidRDefault="00C9325C" w:rsidP="00553DA6">
            <w:pPr>
              <w:widowControl w:val="0"/>
              <w:spacing w:line="360" w:lineRule="auto"/>
              <w:jc w:val="both"/>
              <w:rPr>
                <w:rFonts w:ascii="Book Antiqua" w:hAnsi="Book Antiqua" w:cs="Times New Roman"/>
                <w:b/>
                <w:sz w:val="24"/>
                <w:szCs w:val="24"/>
                <w:lang w:val="en"/>
              </w:rPr>
            </w:pPr>
            <w:r w:rsidRPr="007109CF">
              <w:rPr>
                <w:rFonts w:ascii="Book Antiqua" w:hAnsi="Book Antiqua" w:cs="Times New Roman"/>
                <w:b/>
                <w:sz w:val="24"/>
                <w:szCs w:val="24"/>
                <w:lang w:val="en"/>
              </w:rPr>
              <w:lastRenderedPageBreak/>
              <w:t xml:space="preserve">Table </w:t>
            </w:r>
            <w:r w:rsidR="00553DA6" w:rsidRPr="007109CF">
              <w:rPr>
                <w:rFonts w:ascii="Book Antiqua" w:hAnsi="Book Antiqua" w:cs="Times New Roman" w:hint="eastAsia"/>
                <w:b/>
                <w:sz w:val="24"/>
                <w:szCs w:val="24"/>
                <w:lang w:val="en" w:eastAsia="zh-CN"/>
              </w:rPr>
              <w:t>5</w:t>
            </w:r>
            <w:r w:rsidR="00963345" w:rsidRPr="007109CF">
              <w:rPr>
                <w:rFonts w:ascii="Book Antiqua" w:hAnsi="Book Antiqua" w:cs="Times New Roman"/>
                <w:b/>
                <w:sz w:val="24"/>
                <w:szCs w:val="24"/>
                <w:lang w:val="en"/>
              </w:rPr>
              <w:t xml:space="preserve"> </w:t>
            </w:r>
            <w:r w:rsidRPr="007109CF">
              <w:rPr>
                <w:rFonts w:ascii="Book Antiqua" w:hAnsi="Book Antiqua" w:cs="Times New Roman"/>
                <w:b/>
                <w:sz w:val="24"/>
                <w:szCs w:val="24"/>
                <w:lang w:val="en"/>
              </w:rPr>
              <w:t>Well-established, important risk factors for portal hypertensive gastropathy</w:t>
            </w:r>
          </w:p>
        </w:tc>
      </w:tr>
      <w:tr w:rsidR="00632F67" w:rsidRPr="00302F74" w:rsidTr="007109CF">
        <w:trPr>
          <w:trHeight w:val="397"/>
        </w:trPr>
        <w:tc>
          <w:tcPr>
            <w:tcW w:w="5598" w:type="dxa"/>
            <w:tcBorders>
              <w:top w:val="single" w:sz="4" w:space="0" w:color="auto"/>
              <w:bottom w:val="single" w:sz="4" w:space="0" w:color="auto"/>
            </w:tcBorders>
            <w:hideMark/>
          </w:tcPr>
          <w:p w:rsidR="00C9325C" w:rsidRPr="007109CF" w:rsidRDefault="00C9325C" w:rsidP="00FA6CCE">
            <w:pPr>
              <w:widowControl w:val="0"/>
              <w:spacing w:line="360" w:lineRule="auto"/>
              <w:jc w:val="both"/>
              <w:rPr>
                <w:rFonts w:ascii="Book Antiqua" w:hAnsi="Book Antiqua" w:cs="Times New Roman"/>
                <w:b/>
                <w:sz w:val="24"/>
                <w:szCs w:val="24"/>
                <w:lang w:val="en"/>
              </w:rPr>
            </w:pPr>
            <w:r w:rsidRPr="007109CF">
              <w:rPr>
                <w:rFonts w:ascii="Book Antiqua" w:hAnsi="Book Antiqua" w:cs="Times New Roman"/>
                <w:b/>
                <w:sz w:val="24"/>
                <w:szCs w:val="24"/>
                <w:lang w:val="en"/>
              </w:rPr>
              <w:t>Parameters</w:t>
            </w:r>
          </w:p>
        </w:tc>
        <w:tc>
          <w:tcPr>
            <w:tcW w:w="4230" w:type="dxa"/>
            <w:tcBorders>
              <w:top w:val="single" w:sz="4" w:space="0" w:color="auto"/>
              <w:bottom w:val="single" w:sz="4" w:space="0" w:color="auto"/>
            </w:tcBorders>
            <w:hideMark/>
          </w:tcPr>
          <w:p w:rsidR="00C9325C" w:rsidRPr="007109CF" w:rsidRDefault="005C219A" w:rsidP="005C219A">
            <w:pPr>
              <w:widowControl w:val="0"/>
              <w:spacing w:line="360" w:lineRule="auto"/>
              <w:jc w:val="both"/>
              <w:rPr>
                <w:rFonts w:ascii="Book Antiqua" w:hAnsi="Book Antiqua" w:cs="Times New Roman"/>
                <w:b/>
                <w:sz w:val="24"/>
                <w:szCs w:val="24"/>
                <w:lang w:val="en" w:eastAsia="zh-CN"/>
              </w:rPr>
            </w:pPr>
            <w:r w:rsidRPr="007109CF">
              <w:rPr>
                <w:rFonts w:ascii="Book Antiqua" w:hAnsi="Book Antiqua" w:cs="Times New Roman"/>
                <w:b/>
                <w:sz w:val="24"/>
                <w:szCs w:val="24"/>
                <w:lang w:val="en"/>
              </w:rPr>
              <w:t>R</w:t>
            </w:r>
            <w:r w:rsidR="00C9325C" w:rsidRPr="007109CF">
              <w:rPr>
                <w:rFonts w:ascii="Book Antiqua" w:hAnsi="Book Antiqua" w:cs="Times New Roman"/>
                <w:b/>
                <w:sz w:val="24"/>
                <w:szCs w:val="24"/>
                <w:lang w:val="en"/>
              </w:rPr>
              <w:t>ef</w:t>
            </w:r>
            <w:r>
              <w:rPr>
                <w:rFonts w:ascii="Book Antiqua" w:hAnsi="Book Antiqua" w:cs="Times New Roman" w:hint="eastAsia"/>
                <w:b/>
                <w:sz w:val="24"/>
                <w:szCs w:val="24"/>
                <w:lang w:val="en" w:eastAsia="zh-CN"/>
              </w:rPr>
              <w:t>.</w:t>
            </w:r>
          </w:p>
        </w:tc>
      </w:tr>
      <w:tr w:rsidR="00632F67" w:rsidRPr="00302F74" w:rsidTr="007109CF">
        <w:tc>
          <w:tcPr>
            <w:tcW w:w="5598" w:type="dxa"/>
            <w:hideMark/>
          </w:tcPr>
          <w:p w:rsidR="00C9325C" w:rsidRPr="005B3D70" w:rsidRDefault="00C9325C" w:rsidP="00FA6CCE">
            <w:pPr>
              <w:widowControl w:val="0"/>
              <w:spacing w:line="360" w:lineRule="auto"/>
              <w:jc w:val="both"/>
              <w:rPr>
                <w:rFonts w:ascii="Book Antiqua" w:hAnsi="Book Antiqua" w:cs="Times New Roman"/>
                <w:sz w:val="24"/>
                <w:szCs w:val="24"/>
                <w:lang w:val="en"/>
              </w:rPr>
            </w:pPr>
            <w:r w:rsidRPr="005B3D70">
              <w:rPr>
                <w:rFonts w:ascii="Book Antiqua" w:hAnsi="Book Antiqua" w:cs="Times New Roman"/>
                <w:sz w:val="24"/>
                <w:szCs w:val="24"/>
                <w:lang w:val="en"/>
              </w:rPr>
              <w:t>Portal hypertension</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7109CF">
        <w:tc>
          <w:tcPr>
            <w:tcW w:w="5598" w:type="dxa"/>
            <w:hideMark/>
          </w:tcPr>
          <w:p w:rsidR="00C9325C" w:rsidRPr="005B3D70"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5B3D70">
              <w:rPr>
                <w:rFonts w:ascii="Book Antiqua" w:hAnsi="Book Antiqua" w:cs="Times New Roman"/>
                <w:sz w:val="24"/>
                <w:szCs w:val="24"/>
                <w:lang w:val="en"/>
              </w:rPr>
              <w:t>Non-cirrhotic portal hypertension</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r w:rsidRPr="005C219A">
              <w:rPr>
                <w:rFonts w:ascii="Book Antiqua" w:hAnsi="Book Antiqua" w:cs="Times New Roman"/>
                <w:sz w:val="24"/>
                <w:szCs w:val="24"/>
                <w:lang w:val="en"/>
              </w:rPr>
              <w:t>[8,14]</w:t>
            </w:r>
          </w:p>
        </w:tc>
      </w:tr>
      <w:tr w:rsidR="00632F67" w:rsidRPr="00302F74" w:rsidTr="007109CF">
        <w:tc>
          <w:tcPr>
            <w:tcW w:w="5598" w:type="dxa"/>
          </w:tcPr>
          <w:p w:rsidR="00C9325C" w:rsidRPr="005B3D70"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5B3D70">
              <w:rPr>
                <w:rFonts w:ascii="Book Antiqua" w:hAnsi="Book Antiqua" w:cs="Times New Roman"/>
                <w:sz w:val="24"/>
                <w:szCs w:val="24"/>
                <w:lang w:val="en"/>
              </w:rPr>
              <w:t xml:space="preserve">Cirrhotic portal hypertension </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r w:rsidRPr="005C219A">
              <w:rPr>
                <w:rFonts w:ascii="Book Antiqua" w:hAnsi="Book Antiqua" w:cs="Times New Roman"/>
                <w:sz w:val="24"/>
                <w:szCs w:val="24"/>
              </w:rPr>
              <w:t>[8,9,34]</w:t>
            </w:r>
          </w:p>
        </w:tc>
      </w:tr>
      <w:tr w:rsidR="00632F67" w:rsidRPr="00302F74" w:rsidTr="007109CF">
        <w:tc>
          <w:tcPr>
            <w:tcW w:w="5598" w:type="dxa"/>
            <w:hideMark/>
          </w:tcPr>
          <w:p w:rsidR="005B3D70" w:rsidRPr="005B3D70" w:rsidRDefault="005B3D70" w:rsidP="00FA6CCE">
            <w:pPr>
              <w:widowControl w:val="0"/>
              <w:spacing w:line="360" w:lineRule="auto"/>
              <w:jc w:val="both"/>
              <w:rPr>
                <w:rFonts w:ascii="Book Antiqua" w:hAnsi="Book Antiqua" w:cs="Times New Roman"/>
                <w:sz w:val="24"/>
                <w:szCs w:val="24"/>
                <w:lang w:val="en" w:eastAsia="zh-CN"/>
              </w:rPr>
            </w:pPr>
          </w:p>
          <w:p w:rsidR="00C9325C" w:rsidRPr="005B3D70" w:rsidRDefault="00C9325C" w:rsidP="00FA6CCE">
            <w:pPr>
              <w:widowControl w:val="0"/>
              <w:spacing w:line="360" w:lineRule="auto"/>
              <w:jc w:val="both"/>
              <w:rPr>
                <w:rFonts w:ascii="Book Antiqua" w:hAnsi="Book Antiqua" w:cs="Times New Roman"/>
                <w:sz w:val="24"/>
                <w:szCs w:val="24"/>
                <w:lang w:val="en"/>
              </w:rPr>
            </w:pPr>
            <w:r w:rsidRPr="005B3D70">
              <w:rPr>
                <w:rFonts w:ascii="Book Antiqua" w:hAnsi="Book Antiqua" w:cs="Times New Roman"/>
                <w:sz w:val="24"/>
                <w:szCs w:val="24"/>
                <w:lang w:val="en"/>
              </w:rPr>
              <w:t>Cirrhosis</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7109CF">
        <w:tc>
          <w:tcPr>
            <w:tcW w:w="5598" w:type="dxa"/>
            <w:hideMark/>
          </w:tcPr>
          <w:p w:rsidR="00C9325C" w:rsidRPr="005B3D70"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963345" w:rsidRPr="005B3D70">
              <w:rPr>
                <w:rFonts w:ascii="Book Antiqua" w:hAnsi="Book Antiqua" w:cs="Times New Roman"/>
                <w:sz w:val="24"/>
                <w:szCs w:val="24"/>
                <w:lang w:val="en"/>
              </w:rPr>
              <w:t xml:space="preserve"> </w:t>
            </w:r>
            <w:r w:rsidR="00C9325C" w:rsidRPr="005B3D70">
              <w:rPr>
                <w:rFonts w:ascii="Book Antiqua" w:hAnsi="Book Antiqua" w:cs="Times New Roman"/>
                <w:sz w:val="24"/>
                <w:szCs w:val="24"/>
                <w:lang w:val="en"/>
              </w:rPr>
              <w:t>Longer duration of cirrhosis</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r w:rsidRPr="005C219A">
              <w:rPr>
                <w:rFonts w:ascii="Book Antiqua" w:hAnsi="Book Antiqua" w:cs="Times New Roman"/>
                <w:sz w:val="24"/>
                <w:szCs w:val="24"/>
              </w:rPr>
              <w:t>[34,71]</w:t>
            </w:r>
          </w:p>
        </w:tc>
      </w:tr>
      <w:tr w:rsidR="00632F67" w:rsidRPr="00302F74" w:rsidTr="007109CF">
        <w:tc>
          <w:tcPr>
            <w:tcW w:w="5598" w:type="dxa"/>
            <w:hideMark/>
          </w:tcPr>
          <w:p w:rsidR="00C9325C" w:rsidRPr="005B3D70"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963345" w:rsidRPr="005B3D70">
              <w:rPr>
                <w:rFonts w:ascii="Book Antiqua" w:hAnsi="Book Antiqua" w:cs="Times New Roman"/>
                <w:sz w:val="24"/>
                <w:szCs w:val="24"/>
                <w:lang w:val="en"/>
              </w:rPr>
              <w:t xml:space="preserve"> </w:t>
            </w:r>
            <w:r w:rsidR="00C9325C" w:rsidRPr="005B3D70">
              <w:rPr>
                <w:rFonts w:ascii="Book Antiqua" w:hAnsi="Book Antiqua" w:cs="Times New Roman"/>
                <w:sz w:val="24"/>
                <w:szCs w:val="24"/>
                <w:lang w:val="en"/>
              </w:rPr>
              <w:t>Greater severity of cirrhosis</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r w:rsidRPr="005C219A">
              <w:rPr>
                <w:rFonts w:ascii="Book Antiqua" w:hAnsi="Book Antiqua" w:cs="Times New Roman"/>
                <w:sz w:val="24"/>
                <w:szCs w:val="24"/>
              </w:rPr>
              <w:t>[55,67]</w:t>
            </w:r>
          </w:p>
        </w:tc>
      </w:tr>
      <w:tr w:rsidR="00632F67" w:rsidRPr="00302F74" w:rsidTr="007109CF">
        <w:tc>
          <w:tcPr>
            <w:tcW w:w="5598" w:type="dxa"/>
            <w:hideMark/>
          </w:tcPr>
          <w:p w:rsidR="00C9325C" w:rsidRPr="005B3D70"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963345" w:rsidRPr="005B3D70">
              <w:rPr>
                <w:rFonts w:ascii="Book Antiqua" w:hAnsi="Book Antiqua" w:cs="Times New Roman"/>
                <w:sz w:val="24"/>
                <w:szCs w:val="24"/>
                <w:lang w:val="en"/>
              </w:rPr>
              <w:t xml:space="preserve"> </w:t>
            </w:r>
            <w:r w:rsidR="00C9325C" w:rsidRPr="005B3D70">
              <w:rPr>
                <w:rFonts w:ascii="Book Antiqua" w:hAnsi="Book Antiqua" w:cs="Times New Roman"/>
                <w:sz w:val="24"/>
                <w:szCs w:val="24"/>
                <w:lang w:val="en"/>
              </w:rPr>
              <w:t>Greater size of esophageal varices</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r w:rsidRPr="005C219A">
              <w:rPr>
                <w:rFonts w:ascii="Book Antiqua" w:hAnsi="Book Antiqua" w:cs="Times New Roman"/>
                <w:sz w:val="24"/>
                <w:szCs w:val="24"/>
              </w:rPr>
              <w:t>[34,62]</w:t>
            </w:r>
          </w:p>
        </w:tc>
      </w:tr>
      <w:tr w:rsidR="00632F67" w:rsidRPr="00302F74" w:rsidTr="007109CF">
        <w:tc>
          <w:tcPr>
            <w:tcW w:w="5598" w:type="dxa"/>
            <w:hideMark/>
          </w:tcPr>
          <w:p w:rsidR="005B3D70" w:rsidRPr="005B3D70" w:rsidRDefault="005B3D70" w:rsidP="00FA6CCE">
            <w:pPr>
              <w:widowControl w:val="0"/>
              <w:spacing w:line="360" w:lineRule="auto"/>
              <w:jc w:val="both"/>
              <w:rPr>
                <w:rFonts w:ascii="Book Antiqua" w:hAnsi="Book Antiqua" w:cs="Times New Roman"/>
                <w:sz w:val="24"/>
                <w:szCs w:val="24"/>
                <w:lang w:val="en" w:eastAsia="zh-CN"/>
              </w:rPr>
            </w:pPr>
          </w:p>
          <w:p w:rsidR="00C9325C" w:rsidRPr="005B3D70" w:rsidRDefault="00C9325C" w:rsidP="00FA6CCE">
            <w:pPr>
              <w:widowControl w:val="0"/>
              <w:spacing w:line="360" w:lineRule="auto"/>
              <w:jc w:val="both"/>
              <w:rPr>
                <w:rFonts w:ascii="Book Antiqua" w:hAnsi="Book Antiqua" w:cs="Times New Roman"/>
                <w:sz w:val="24"/>
                <w:szCs w:val="24"/>
                <w:lang w:val="en"/>
              </w:rPr>
            </w:pPr>
            <w:r w:rsidRPr="005B3D70">
              <w:rPr>
                <w:rFonts w:ascii="Book Antiqua" w:hAnsi="Book Antiqua" w:cs="Times New Roman"/>
                <w:sz w:val="24"/>
                <w:szCs w:val="24"/>
                <w:lang w:val="en"/>
              </w:rPr>
              <w:t>Eradication of esophageal varices</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7109CF">
        <w:tc>
          <w:tcPr>
            <w:tcW w:w="5598" w:type="dxa"/>
            <w:hideMark/>
          </w:tcPr>
          <w:p w:rsidR="00C9325C" w:rsidRPr="005B3D70"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5B3D70">
              <w:rPr>
                <w:rFonts w:ascii="Book Antiqua" w:hAnsi="Book Antiqua" w:cs="Times New Roman"/>
                <w:sz w:val="24"/>
                <w:szCs w:val="24"/>
                <w:lang w:val="en"/>
              </w:rPr>
              <w:t>Endoscopic</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7109CF">
        <w:tc>
          <w:tcPr>
            <w:tcW w:w="5598" w:type="dxa"/>
            <w:hideMark/>
          </w:tcPr>
          <w:p w:rsidR="00C9325C" w:rsidRPr="005B3D70"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963345" w:rsidRPr="005B3D70">
              <w:rPr>
                <w:rFonts w:ascii="Book Antiqua" w:hAnsi="Book Antiqua" w:cs="Times New Roman"/>
                <w:sz w:val="24"/>
                <w:szCs w:val="24"/>
                <w:lang w:val="en"/>
              </w:rPr>
              <w:t xml:space="preserve"> </w:t>
            </w:r>
            <w:r w:rsidR="00C9325C" w:rsidRPr="005B3D70">
              <w:rPr>
                <w:rFonts w:ascii="Book Antiqua" w:hAnsi="Book Antiqua" w:cs="Times New Roman"/>
                <w:sz w:val="24"/>
                <w:szCs w:val="24"/>
                <w:lang w:val="en"/>
              </w:rPr>
              <w:t>Endoscopic variceal ligation</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r w:rsidRPr="005C219A">
              <w:rPr>
                <w:rFonts w:ascii="Book Antiqua" w:hAnsi="Book Antiqua" w:cs="Times New Roman"/>
                <w:sz w:val="24"/>
                <w:szCs w:val="24"/>
              </w:rPr>
              <w:t>[11,41]</w:t>
            </w:r>
          </w:p>
        </w:tc>
      </w:tr>
      <w:tr w:rsidR="00632F67" w:rsidRPr="00302F74" w:rsidTr="007109CF">
        <w:tc>
          <w:tcPr>
            <w:tcW w:w="5598" w:type="dxa"/>
            <w:hideMark/>
          </w:tcPr>
          <w:p w:rsidR="00C9325C" w:rsidRPr="005B3D70"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963345" w:rsidRPr="005B3D70">
              <w:rPr>
                <w:rFonts w:ascii="Book Antiqua" w:hAnsi="Book Antiqua" w:cs="Times New Roman"/>
                <w:sz w:val="24"/>
                <w:szCs w:val="24"/>
                <w:lang w:val="en"/>
              </w:rPr>
              <w:t xml:space="preserve"> </w:t>
            </w:r>
            <w:r w:rsidR="00C9325C" w:rsidRPr="005B3D70">
              <w:rPr>
                <w:rFonts w:ascii="Book Antiqua" w:hAnsi="Book Antiqua" w:cs="Times New Roman"/>
                <w:sz w:val="24"/>
                <w:szCs w:val="24"/>
                <w:lang w:val="en"/>
              </w:rPr>
              <w:t>Endoscopic sclerotherapy</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r w:rsidRPr="005C219A">
              <w:rPr>
                <w:rFonts w:ascii="Book Antiqua" w:hAnsi="Book Antiqua" w:cs="Times New Roman"/>
                <w:sz w:val="24"/>
                <w:szCs w:val="24"/>
              </w:rPr>
              <w:t>[11,8</w:t>
            </w:r>
            <w:r w:rsidR="00960639" w:rsidRPr="005C219A">
              <w:rPr>
                <w:rFonts w:ascii="Book Antiqua" w:hAnsi="Book Antiqua" w:cs="Times New Roman"/>
                <w:sz w:val="24"/>
                <w:szCs w:val="24"/>
              </w:rPr>
              <w:t>3</w:t>
            </w:r>
            <w:r w:rsidRPr="005C219A">
              <w:rPr>
                <w:rFonts w:ascii="Book Antiqua" w:hAnsi="Book Antiqua" w:cs="Times New Roman"/>
                <w:sz w:val="24"/>
                <w:szCs w:val="24"/>
              </w:rPr>
              <w:t>]</w:t>
            </w:r>
          </w:p>
        </w:tc>
      </w:tr>
      <w:tr w:rsidR="00632F67" w:rsidRPr="00302F74" w:rsidTr="007109CF">
        <w:tc>
          <w:tcPr>
            <w:tcW w:w="5598" w:type="dxa"/>
            <w:hideMark/>
          </w:tcPr>
          <w:p w:rsidR="005B3D70" w:rsidRPr="005B3D70" w:rsidRDefault="00963345" w:rsidP="00FA6CCE">
            <w:pPr>
              <w:widowControl w:val="0"/>
              <w:spacing w:line="360" w:lineRule="auto"/>
              <w:jc w:val="both"/>
              <w:rPr>
                <w:rFonts w:ascii="Book Antiqua" w:hAnsi="Book Antiqua" w:cs="Times New Roman"/>
                <w:sz w:val="24"/>
                <w:szCs w:val="24"/>
                <w:lang w:val="en" w:eastAsia="zh-CN"/>
              </w:rPr>
            </w:pPr>
            <w:r w:rsidRPr="005B3D70">
              <w:rPr>
                <w:rFonts w:ascii="Book Antiqua" w:hAnsi="Book Antiqua" w:cs="Times New Roman"/>
                <w:sz w:val="24"/>
                <w:szCs w:val="24"/>
                <w:lang w:val="en"/>
              </w:rPr>
              <w:t xml:space="preserve"> </w:t>
            </w:r>
          </w:p>
          <w:p w:rsidR="00C9325C" w:rsidRPr="005B3D70" w:rsidRDefault="00C9325C" w:rsidP="00FA6CCE">
            <w:pPr>
              <w:widowControl w:val="0"/>
              <w:spacing w:line="360" w:lineRule="auto"/>
              <w:jc w:val="both"/>
              <w:rPr>
                <w:rFonts w:ascii="Book Antiqua" w:hAnsi="Book Antiqua" w:cs="Times New Roman"/>
                <w:sz w:val="24"/>
                <w:szCs w:val="24"/>
                <w:lang w:val="en"/>
              </w:rPr>
            </w:pPr>
            <w:r w:rsidRPr="005B3D70">
              <w:rPr>
                <w:rFonts w:ascii="Book Antiqua" w:hAnsi="Book Antiqua" w:cs="Times New Roman"/>
                <w:sz w:val="24"/>
                <w:szCs w:val="24"/>
                <w:lang w:val="en"/>
              </w:rPr>
              <w:t xml:space="preserve"> Angiographic</w:t>
            </w:r>
          </w:p>
        </w:tc>
        <w:tc>
          <w:tcPr>
            <w:tcW w:w="4230" w:type="dxa"/>
          </w:tcPr>
          <w:p w:rsidR="00C9325C" w:rsidRPr="005C219A"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7109CF">
        <w:tc>
          <w:tcPr>
            <w:tcW w:w="5598" w:type="dxa"/>
            <w:tcBorders>
              <w:bottom w:val="single" w:sz="4" w:space="0" w:color="auto"/>
            </w:tcBorders>
            <w:hideMark/>
          </w:tcPr>
          <w:p w:rsidR="00C9325C" w:rsidRPr="005C219A"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963345" w:rsidRPr="005C219A">
              <w:rPr>
                <w:rFonts w:ascii="Book Antiqua" w:hAnsi="Book Antiqua" w:cs="Times New Roman"/>
                <w:sz w:val="24"/>
                <w:szCs w:val="24"/>
                <w:lang w:val="en"/>
              </w:rPr>
              <w:t xml:space="preserve"> </w:t>
            </w:r>
            <w:r w:rsidR="00C9325C" w:rsidRPr="005C219A">
              <w:rPr>
                <w:rFonts w:ascii="Book Antiqua" w:hAnsi="Book Antiqua" w:cs="Times New Roman"/>
                <w:sz w:val="24"/>
                <w:szCs w:val="24"/>
                <w:lang w:val="en"/>
              </w:rPr>
              <w:t>Percutaneous transhepatic variceal embolization</w:t>
            </w:r>
          </w:p>
        </w:tc>
        <w:tc>
          <w:tcPr>
            <w:tcW w:w="4230" w:type="dxa"/>
            <w:tcBorders>
              <w:bottom w:val="single" w:sz="4" w:space="0" w:color="auto"/>
            </w:tcBorders>
          </w:tcPr>
          <w:p w:rsidR="00C9325C" w:rsidRPr="005C219A" w:rsidRDefault="00C9325C" w:rsidP="00FA6CCE">
            <w:pPr>
              <w:widowControl w:val="0"/>
              <w:spacing w:line="360" w:lineRule="auto"/>
              <w:jc w:val="both"/>
              <w:rPr>
                <w:rFonts w:ascii="Book Antiqua" w:hAnsi="Book Antiqua" w:cs="Times New Roman"/>
                <w:sz w:val="24"/>
                <w:szCs w:val="24"/>
                <w:lang w:val="en"/>
              </w:rPr>
            </w:pPr>
            <w:r w:rsidRPr="005C219A">
              <w:rPr>
                <w:rFonts w:ascii="Book Antiqua" w:hAnsi="Book Antiqua" w:cs="Times New Roman"/>
                <w:sz w:val="24"/>
                <w:szCs w:val="24"/>
              </w:rPr>
              <w:t>[8</w:t>
            </w:r>
            <w:r w:rsidR="00960639" w:rsidRPr="005C219A">
              <w:rPr>
                <w:rFonts w:ascii="Book Antiqua" w:hAnsi="Book Antiqua" w:cs="Times New Roman"/>
                <w:sz w:val="24"/>
                <w:szCs w:val="24"/>
              </w:rPr>
              <w:t>5</w:t>
            </w:r>
            <w:r w:rsidRPr="005C219A">
              <w:rPr>
                <w:rFonts w:ascii="Book Antiqua" w:hAnsi="Book Antiqua" w:cs="Times New Roman"/>
                <w:sz w:val="24"/>
                <w:szCs w:val="24"/>
              </w:rPr>
              <w:t>]</w:t>
            </w:r>
          </w:p>
        </w:tc>
      </w:tr>
    </w:tbl>
    <w:p w:rsidR="00C9325C" w:rsidRPr="00302F74" w:rsidRDefault="00C9325C" w:rsidP="00FA6CCE">
      <w:pPr>
        <w:widowControl w:val="0"/>
        <w:spacing w:line="360" w:lineRule="auto"/>
        <w:jc w:val="both"/>
        <w:rPr>
          <w:rFonts w:ascii="Book Antiqua" w:hAnsi="Book Antiqua" w:cs="Times New Roman"/>
          <w:sz w:val="24"/>
          <w:szCs w:val="24"/>
          <w:lang w:val="en"/>
        </w:rPr>
      </w:pPr>
    </w:p>
    <w:p w:rsidR="00C9325C" w:rsidRPr="00302F74" w:rsidRDefault="00C9325C" w:rsidP="00FA6CCE">
      <w:pPr>
        <w:widowControl w:val="0"/>
        <w:spacing w:line="360" w:lineRule="auto"/>
        <w:jc w:val="both"/>
        <w:rPr>
          <w:rFonts w:ascii="Book Antiqua" w:hAnsi="Book Antiqua" w:cs="Times New Roman"/>
          <w:sz w:val="24"/>
          <w:szCs w:val="24"/>
          <w:lang w:val="en" w:eastAsia="zh-CN"/>
        </w:rPr>
      </w:pPr>
      <w:r w:rsidRPr="00302F74">
        <w:rPr>
          <w:rFonts w:ascii="Book Antiqua" w:hAnsi="Book Antiqua" w:cs="Times New Roman"/>
          <w:sz w:val="24"/>
          <w:szCs w:val="24"/>
          <w:lang w:val="en"/>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2234"/>
      </w:tblGrid>
      <w:tr w:rsidR="00632F67" w:rsidRPr="00302F74" w:rsidTr="00A3203B">
        <w:trPr>
          <w:trHeight w:val="1302"/>
        </w:trPr>
        <w:tc>
          <w:tcPr>
            <w:tcW w:w="9350" w:type="dxa"/>
            <w:gridSpan w:val="2"/>
            <w:tcBorders>
              <w:bottom w:val="single" w:sz="4" w:space="0" w:color="auto"/>
            </w:tcBorders>
          </w:tcPr>
          <w:p w:rsidR="00C9325C" w:rsidRPr="000A3890" w:rsidRDefault="00C9325C" w:rsidP="00553DA6">
            <w:pPr>
              <w:widowControl w:val="0"/>
              <w:spacing w:line="360" w:lineRule="auto"/>
              <w:jc w:val="both"/>
              <w:rPr>
                <w:rFonts w:ascii="Book Antiqua" w:hAnsi="Book Antiqua" w:cs="Times New Roman"/>
                <w:b/>
                <w:sz w:val="24"/>
                <w:szCs w:val="24"/>
                <w:lang w:val="en"/>
              </w:rPr>
            </w:pPr>
            <w:r w:rsidRPr="000A3890">
              <w:rPr>
                <w:rFonts w:ascii="Book Antiqua" w:hAnsi="Book Antiqua" w:cs="Times New Roman"/>
                <w:b/>
                <w:sz w:val="24"/>
                <w:szCs w:val="24"/>
                <w:lang w:val="en"/>
              </w:rPr>
              <w:lastRenderedPageBreak/>
              <w:t xml:space="preserve">Table </w:t>
            </w:r>
            <w:r w:rsidR="00553DA6" w:rsidRPr="000A3890">
              <w:rPr>
                <w:rFonts w:ascii="Book Antiqua" w:hAnsi="Book Antiqua" w:cs="Times New Roman" w:hint="eastAsia"/>
                <w:b/>
                <w:sz w:val="24"/>
                <w:szCs w:val="24"/>
                <w:lang w:val="en" w:eastAsia="zh-CN"/>
              </w:rPr>
              <w:t>6</w:t>
            </w:r>
            <w:r w:rsidR="00963345" w:rsidRPr="000A3890">
              <w:rPr>
                <w:rFonts w:ascii="Book Antiqua" w:hAnsi="Book Antiqua" w:cs="Times New Roman"/>
                <w:b/>
                <w:sz w:val="24"/>
                <w:szCs w:val="24"/>
                <w:lang w:val="en"/>
              </w:rPr>
              <w:t xml:space="preserve"> </w:t>
            </w:r>
            <w:r w:rsidRPr="000A3890">
              <w:rPr>
                <w:rFonts w:ascii="Book Antiqua" w:hAnsi="Book Antiqua" w:cs="Times New Roman"/>
                <w:b/>
                <w:sz w:val="24"/>
                <w:szCs w:val="24"/>
                <w:lang w:val="en"/>
              </w:rPr>
              <w:t>Therapies affecting the severity or the risk of bleeding from portal hypertensive gastropathy</w:t>
            </w:r>
          </w:p>
        </w:tc>
      </w:tr>
      <w:tr w:rsidR="00632F67" w:rsidRPr="00302F74" w:rsidTr="00A3203B">
        <w:tc>
          <w:tcPr>
            <w:tcW w:w="7116" w:type="dxa"/>
            <w:tcBorders>
              <w:top w:val="single" w:sz="4" w:space="0" w:color="auto"/>
              <w:bottom w:val="single" w:sz="4" w:space="0" w:color="auto"/>
            </w:tcBorders>
            <w:hideMark/>
          </w:tcPr>
          <w:p w:rsidR="00C9325C" w:rsidRPr="000A3890" w:rsidRDefault="00C9325C" w:rsidP="00FA6CCE">
            <w:pPr>
              <w:widowControl w:val="0"/>
              <w:spacing w:line="360" w:lineRule="auto"/>
              <w:jc w:val="both"/>
              <w:rPr>
                <w:rFonts w:ascii="Book Antiqua" w:hAnsi="Book Antiqua" w:cs="Times New Roman"/>
                <w:b/>
                <w:sz w:val="24"/>
                <w:szCs w:val="24"/>
                <w:lang w:val="en"/>
              </w:rPr>
            </w:pPr>
            <w:r w:rsidRPr="000A3890">
              <w:rPr>
                <w:rFonts w:ascii="Book Antiqua" w:hAnsi="Book Antiqua" w:cs="Times New Roman"/>
                <w:b/>
                <w:sz w:val="24"/>
                <w:szCs w:val="24"/>
                <w:lang w:val="en"/>
              </w:rPr>
              <w:t>Therapies reducing severity of PHG</w:t>
            </w:r>
          </w:p>
        </w:tc>
        <w:tc>
          <w:tcPr>
            <w:tcW w:w="2234" w:type="dxa"/>
            <w:tcBorders>
              <w:top w:val="single" w:sz="4" w:space="0" w:color="auto"/>
              <w:bottom w:val="single" w:sz="4" w:space="0" w:color="auto"/>
            </w:tcBorders>
            <w:hideMark/>
          </w:tcPr>
          <w:p w:rsidR="00C9325C" w:rsidRPr="000A3890" w:rsidRDefault="00C9325C" w:rsidP="000A3890">
            <w:pPr>
              <w:widowControl w:val="0"/>
              <w:spacing w:line="360" w:lineRule="auto"/>
              <w:jc w:val="both"/>
              <w:rPr>
                <w:rFonts w:ascii="Book Antiqua" w:hAnsi="Book Antiqua" w:cs="Times New Roman"/>
                <w:b/>
                <w:sz w:val="24"/>
                <w:szCs w:val="24"/>
                <w:lang w:val="en" w:eastAsia="zh-CN"/>
              </w:rPr>
            </w:pPr>
            <w:r w:rsidRPr="000A3890">
              <w:rPr>
                <w:rFonts w:ascii="Book Antiqua" w:hAnsi="Book Antiqua" w:cs="Times New Roman"/>
                <w:b/>
                <w:sz w:val="24"/>
                <w:szCs w:val="24"/>
                <w:lang w:val="en"/>
              </w:rPr>
              <w:t>Ref</w:t>
            </w:r>
            <w:r w:rsidR="000A3890" w:rsidRPr="000A3890">
              <w:rPr>
                <w:rFonts w:ascii="Book Antiqua" w:hAnsi="Book Antiqua" w:cs="Times New Roman" w:hint="eastAsia"/>
                <w:b/>
                <w:sz w:val="24"/>
                <w:szCs w:val="24"/>
                <w:lang w:val="en" w:eastAsia="zh-CN"/>
              </w:rPr>
              <w:t>.</w:t>
            </w:r>
          </w:p>
        </w:tc>
      </w:tr>
      <w:tr w:rsidR="00632F67" w:rsidRPr="00302F74" w:rsidTr="000A3890">
        <w:tc>
          <w:tcPr>
            <w:tcW w:w="7116" w:type="dxa"/>
            <w:tcBorders>
              <w:top w:val="single" w:sz="4" w:space="0" w:color="auto"/>
            </w:tcBorders>
            <w:hideMark/>
          </w:tcPr>
          <w:p w:rsidR="00C9325C" w:rsidRPr="008C6824" w:rsidRDefault="00C9325C" w:rsidP="008C6824">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TIPS</w:t>
            </w:r>
          </w:p>
        </w:tc>
        <w:tc>
          <w:tcPr>
            <w:tcW w:w="2234"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[76,77,9</w:t>
            </w:r>
            <w:r w:rsidR="00960639" w:rsidRPr="00302F74">
              <w:rPr>
                <w:rFonts w:ascii="Book Antiqua" w:hAnsi="Book Antiqua" w:cs="Times New Roman"/>
                <w:sz w:val="24"/>
                <w:szCs w:val="24"/>
              </w:rPr>
              <w:t>8</w:t>
            </w:r>
            <w:r w:rsidRPr="00302F74">
              <w:rPr>
                <w:rFonts w:ascii="Book Antiqua" w:hAnsi="Book Antiqua" w:cs="Times New Roman"/>
                <w:bCs/>
                <w:sz w:val="24"/>
                <w:szCs w:val="24"/>
              </w:rPr>
              <w:t>]</w:t>
            </w:r>
          </w:p>
        </w:tc>
      </w:tr>
      <w:tr w:rsidR="00632F67" w:rsidRPr="00302F74" w:rsidTr="000A3890">
        <w:tc>
          <w:tcPr>
            <w:tcW w:w="7116" w:type="dxa"/>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Transcatheter splenic arterial embolization</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bCs/>
                <w:sz w:val="24"/>
                <w:szCs w:val="24"/>
                <w:lang w:val="en"/>
              </w:rPr>
              <w:t>[</w:t>
            </w:r>
            <w:r w:rsidR="00960639" w:rsidRPr="00302F74">
              <w:rPr>
                <w:rFonts w:ascii="Book Antiqua" w:hAnsi="Book Antiqua" w:cs="Times New Roman"/>
                <w:bCs/>
                <w:sz w:val="24"/>
                <w:szCs w:val="24"/>
                <w:lang w:val="en"/>
              </w:rPr>
              <w:t>99</w:t>
            </w:r>
            <w:r w:rsidRPr="00302F74">
              <w:rPr>
                <w:rFonts w:ascii="Book Antiqua" w:hAnsi="Book Antiqua" w:cs="Times New Roman"/>
                <w:bCs/>
                <w:sz w:val="24"/>
                <w:szCs w:val="24"/>
                <w:lang w:val="en"/>
              </w:rPr>
              <w:t>]</w:t>
            </w:r>
          </w:p>
        </w:tc>
      </w:tr>
      <w:tr w:rsidR="00632F67" w:rsidRPr="00302F74" w:rsidTr="000A3890">
        <w:tc>
          <w:tcPr>
            <w:tcW w:w="7116" w:type="dxa"/>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Surgical shunt</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0A3890">
        <w:tc>
          <w:tcPr>
            <w:tcW w:w="7116" w:type="dxa"/>
            <w:hideMark/>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Portocaval shunt</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[10</w:t>
            </w:r>
            <w:r w:rsidR="00960639" w:rsidRPr="00302F74">
              <w:rPr>
                <w:rFonts w:ascii="Book Antiqua" w:hAnsi="Book Antiqua" w:cs="Times New Roman"/>
                <w:sz w:val="24"/>
                <w:szCs w:val="24"/>
                <w:lang w:val="en"/>
              </w:rPr>
              <w:t>0</w:t>
            </w:r>
            <w:r w:rsidRPr="00302F74">
              <w:rPr>
                <w:rFonts w:ascii="Book Antiqua" w:hAnsi="Book Antiqua" w:cs="Times New Roman"/>
                <w:sz w:val="24"/>
                <w:szCs w:val="24"/>
                <w:lang w:val="en"/>
              </w:rPr>
              <w:t>]</w:t>
            </w:r>
          </w:p>
        </w:tc>
      </w:tr>
      <w:tr w:rsidR="00632F67" w:rsidRPr="00302F74" w:rsidTr="000A3890">
        <w:tc>
          <w:tcPr>
            <w:tcW w:w="7116" w:type="dxa"/>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Central splenorenal shunt</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bCs/>
                <w:sz w:val="24"/>
                <w:szCs w:val="24"/>
                <w:lang w:val="en"/>
              </w:rPr>
              <w:t>[10</w:t>
            </w:r>
            <w:r w:rsidR="00960639" w:rsidRPr="00302F74">
              <w:rPr>
                <w:rFonts w:ascii="Book Antiqua" w:hAnsi="Book Antiqua" w:cs="Times New Roman"/>
                <w:bCs/>
                <w:sz w:val="24"/>
                <w:szCs w:val="24"/>
                <w:lang w:val="en"/>
              </w:rPr>
              <w:t>1</w:t>
            </w:r>
            <w:r w:rsidRPr="00302F74">
              <w:rPr>
                <w:rFonts w:ascii="Book Antiqua" w:hAnsi="Book Antiqua" w:cs="Times New Roman"/>
                <w:bCs/>
                <w:sz w:val="24"/>
                <w:szCs w:val="24"/>
                <w:lang w:val="en"/>
              </w:rPr>
              <w:t>]</w:t>
            </w:r>
          </w:p>
        </w:tc>
      </w:tr>
      <w:tr w:rsidR="00632F67" w:rsidRPr="00302F74" w:rsidTr="000A3890">
        <w:tc>
          <w:tcPr>
            <w:tcW w:w="7116" w:type="dxa"/>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rPr>
              <w:t>Laparoscopic splenectomy (in patients with hypersplenism)</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bCs/>
                <w:sz w:val="24"/>
                <w:szCs w:val="24"/>
              </w:rPr>
              <w:t>[55]</w:t>
            </w:r>
          </w:p>
        </w:tc>
      </w:tr>
      <w:tr w:rsidR="00632F67" w:rsidRPr="00302F74" w:rsidTr="000A3890">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Liver transplantation</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[44]</w:t>
            </w:r>
          </w:p>
        </w:tc>
      </w:tr>
      <w:tr w:rsidR="00632F67" w:rsidRPr="00302F74" w:rsidTr="000A3890">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Therapies reducing risk of bleeding from PHG</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0A3890">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TIPS</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[75,9</w:t>
            </w:r>
            <w:r w:rsidR="00960639" w:rsidRPr="00302F74">
              <w:rPr>
                <w:rFonts w:ascii="Book Antiqua" w:hAnsi="Book Antiqua" w:cs="Times New Roman"/>
                <w:sz w:val="24"/>
                <w:szCs w:val="24"/>
                <w:lang w:val="en"/>
              </w:rPr>
              <w:t>8</w:t>
            </w:r>
            <w:r w:rsidRPr="00302F74">
              <w:rPr>
                <w:rFonts w:ascii="Book Antiqua" w:hAnsi="Book Antiqua" w:cs="Times New Roman"/>
                <w:sz w:val="24"/>
                <w:szCs w:val="24"/>
                <w:lang w:val="en"/>
              </w:rPr>
              <w:t>,10</w:t>
            </w:r>
            <w:r w:rsidR="00960639" w:rsidRPr="00302F74">
              <w:rPr>
                <w:rFonts w:ascii="Book Antiqua" w:hAnsi="Book Antiqua" w:cs="Times New Roman"/>
                <w:sz w:val="24"/>
                <w:szCs w:val="24"/>
                <w:lang w:val="en"/>
              </w:rPr>
              <w:t>2</w:t>
            </w:r>
            <w:r w:rsidRPr="00302F74">
              <w:rPr>
                <w:rFonts w:ascii="Book Antiqua" w:hAnsi="Book Antiqua" w:cs="Times New Roman"/>
                <w:sz w:val="24"/>
                <w:szCs w:val="24"/>
              </w:rPr>
              <w:t>]</w:t>
            </w:r>
          </w:p>
        </w:tc>
      </w:tr>
      <w:tr w:rsidR="00632F67" w:rsidRPr="00302F74" w:rsidTr="000A3890">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Surgical shunt</w:t>
            </w:r>
            <w:r w:rsidRPr="008C6824">
              <w:rPr>
                <w:rFonts w:ascii="Book Antiqua" w:hAnsi="Book Antiqua" w:cs="Times New Roman"/>
                <w:bCs/>
                <w:sz w:val="24"/>
                <w:szCs w:val="24"/>
                <w:lang w:val="en"/>
              </w:rPr>
              <w:t xml:space="preserve"> (</w:t>
            </w:r>
            <w:r w:rsidRPr="008C6824">
              <w:rPr>
                <w:rFonts w:ascii="Book Antiqua" w:hAnsi="Book Antiqua" w:cs="Times New Roman"/>
                <w:sz w:val="24"/>
                <w:szCs w:val="24"/>
                <w:lang w:val="en"/>
              </w:rPr>
              <w:t>portocaval or splenorenal)</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[10</w:t>
            </w:r>
            <w:r w:rsidR="00960639" w:rsidRPr="00302F74">
              <w:rPr>
                <w:rFonts w:ascii="Book Antiqua" w:hAnsi="Book Antiqua" w:cs="Times New Roman"/>
                <w:sz w:val="24"/>
                <w:szCs w:val="24"/>
                <w:lang w:val="en"/>
              </w:rPr>
              <w:t>0</w:t>
            </w:r>
            <w:r w:rsidRPr="00302F74">
              <w:rPr>
                <w:rFonts w:ascii="Book Antiqua" w:hAnsi="Book Antiqua" w:cs="Times New Roman"/>
                <w:sz w:val="24"/>
                <w:szCs w:val="24"/>
                <w:lang w:val="en"/>
              </w:rPr>
              <w:t>,10</w:t>
            </w:r>
            <w:r w:rsidR="00960639" w:rsidRPr="00302F74">
              <w:rPr>
                <w:rFonts w:ascii="Book Antiqua" w:hAnsi="Book Antiqua" w:cs="Times New Roman"/>
                <w:sz w:val="24"/>
                <w:szCs w:val="24"/>
                <w:lang w:val="en"/>
              </w:rPr>
              <w:t>1</w:t>
            </w:r>
            <w:r w:rsidRPr="00302F74">
              <w:rPr>
                <w:rFonts w:ascii="Book Antiqua" w:hAnsi="Book Antiqua" w:cs="Times New Roman"/>
                <w:sz w:val="24"/>
                <w:szCs w:val="24"/>
                <w:lang w:val="en"/>
              </w:rPr>
              <w:t>]</w:t>
            </w:r>
          </w:p>
        </w:tc>
      </w:tr>
      <w:tr w:rsidR="00632F67" w:rsidRPr="00302F74" w:rsidTr="000A3890">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Nonselective b</w:t>
            </w:r>
            <w:r w:rsidRPr="008C6824">
              <w:rPr>
                <w:rFonts w:ascii="Book Antiqua" w:hAnsi="Book Antiqua" w:cs="Times New Roman"/>
                <w:bCs/>
                <w:sz w:val="24"/>
                <w:szCs w:val="24"/>
              </w:rPr>
              <w:t xml:space="preserve"> </w:t>
            </w:r>
            <w:r w:rsidRPr="008C6824">
              <w:rPr>
                <w:rFonts w:ascii="Book Antiqua" w:hAnsi="Book Antiqua" w:cs="Times New Roman"/>
                <w:sz w:val="24"/>
                <w:szCs w:val="24"/>
              </w:rPr>
              <w:t>β</w:t>
            </w:r>
            <w:r w:rsidRPr="008C6824">
              <w:rPr>
                <w:rFonts w:ascii="Book Antiqua" w:hAnsi="Book Antiqua" w:cs="Times New Roman"/>
                <w:sz w:val="24"/>
                <w:szCs w:val="24"/>
                <w:lang w:val="en"/>
              </w:rPr>
              <w:t>-adrenergic receptor antagonists (</w:t>
            </w:r>
            <w:r w:rsidRPr="0038204F">
              <w:rPr>
                <w:rFonts w:ascii="Book Antiqua" w:hAnsi="Book Antiqua" w:cs="Times New Roman"/>
                <w:i/>
                <w:sz w:val="24"/>
                <w:szCs w:val="24"/>
                <w:lang w:val="en"/>
              </w:rPr>
              <w:t>e.g.</w:t>
            </w:r>
            <w:r w:rsidR="0038204F" w:rsidRPr="0038204F">
              <w:rPr>
                <w:rFonts w:ascii="Book Antiqua" w:hAnsi="Book Antiqua" w:cs="Times New Roman" w:hint="eastAsia"/>
                <w:i/>
                <w:sz w:val="24"/>
                <w:szCs w:val="24"/>
                <w:lang w:val="en" w:eastAsia="zh-CN"/>
              </w:rPr>
              <w:t>,</w:t>
            </w:r>
            <w:r w:rsidRPr="008C6824">
              <w:rPr>
                <w:rFonts w:ascii="Book Antiqua" w:hAnsi="Book Antiqua" w:cs="Times New Roman"/>
                <w:sz w:val="24"/>
                <w:szCs w:val="24"/>
                <w:lang w:val="en"/>
              </w:rPr>
              <w:t xml:space="preserve"> propranolol)</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w:t>
            </w:r>
            <w:r w:rsidR="00960639" w:rsidRPr="00302F74">
              <w:rPr>
                <w:rFonts w:ascii="Book Antiqua" w:hAnsi="Book Antiqua" w:cs="Times New Roman"/>
                <w:sz w:val="24"/>
                <w:szCs w:val="24"/>
              </w:rPr>
              <w:t>3</w:t>
            </w:r>
            <w:r w:rsidRPr="00302F74">
              <w:rPr>
                <w:rFonts w:ascii="Book Antiqua" w:hAnsi="Book Antiqua" w:cs="Times New Roman"/>
                <w:sz w:val="24"/>
                <w:szCs w:val="24"/>
              </w:rPr>
              <w:t xml:space="preserve"> (in rats),10</w:t>
            </w:r>
            <w:r w:rsidR="00960639" w:rsidRPr="00302F74">
              <w:rPr>
                <w:rFonts w:ascii="Book Antiqua" w:hAnsi="Book Antiqua" w:cs="Times New Roman"/>
                <w:sz w:val="24"/>
                <w:szCs w:val="24"/>
              </w:rPr>
              <w:t>4</w:t>
            </w:r>
            <w:r w:rsidRPr="00302F74">
              <w:rPr>
                <w:rFonts w:ascii="Book Antiqua" w:hAnsi="Book Antiqua" w:cs="Times New Roman"/>
                <w:sz w:val="24"/>
                <w:szCs w:val="24"/>
              </w:rPr>
              <w:t>]</w:t>
            </w:r>
          </w:p>
        </w:tc>
      </w:tr>
      <w:tr w:rsidR="00632F67" w:rsidRPr="00302F74" w:rsidTr="000A3890">
        <w:trPr>
          <w:trHeight w:val="85"/>
        </w:trPr>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Somatostatin family of drugs</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0A3890">
        <w:tc>
          <w:tcPr>
            <w:tcW w:w="7116" w:type="dxa"/>
            <w:hideMark/>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Somatostatin</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[10</w:t>
            </w:r>
            <w:r w:rsidR="00960639" w:rsidRPr="00302F74">
              <w:rPr>
                <w:rFonts w:ascii="Book Antiqua" w:hAnsi="Book Antiqua" w:cs="Times New Roman"/>
                <w:sz w:val="24"/>
                <w:szCs w:val="24"/>
              </w:rPr>
              <w:t>5</w:t>
            </w:r>
            <w:r w:rsidRPr="00302F74">
              <w:rPr>
                <w:rFonts w:ascii="Book Antiqua" w:hAnsi="Book Antiqua" w:cs="Times New Roman"/>
                <w:sz w:val="24"/>
                <w:szCs w:val="24"/>
              </w:rPr>
              <w:t>]</w:t>
            </w:r>
          </w:p>
        </w:tc>
      </w:tr>
      <w:tr w:rsidR="00632F67" w:rsidRPr="00302F74" w:rsidTr="000A3890">
        <w:tc>
          <w:tcPr>
            <w:tcW w:w="7116" w:type="dxa"/>
            <w:hideMark/>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Octreotide</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[10</w:t>
            </w:r>
            <w:r w:rsidR="00960639" w:rsidRPr="00302F74">
              <w:rPr>
                <w:rFonts w:ascii="Book Antiqua" w:hAnsi="Book Antiqua" w:cs="Times New Roman"/>
                <w:sz w:val="24"/>
                <w:szCs w:val="24"/>
              </w:rPr>
              <w:t>6</w:t>
            </w:r>
            <w:r w:rsidRPr="00302F74">
              <w:rPr>
                <w:rFonts w:ascii="Book Antiqua" w:hAnsi="Book Antiqua" w:cs="Times New Roman"/>
                <w:sz w:val="24"/>
                <w:szCs w:val="24"/>
              </w:rPr>
              <w:t>]</w:t>
            </w:r>
          </w:p>
        </w:tc>
      </w:tr>
      <w:tr w:rsidR="00632F67" w:rsidRPr="00302F74" w:rsidTr="000A3890">
        <w:tc>
          <w:tcPr>
            <w:tcW w:w="7116" w:type="dxa"/>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Vasopressin family of drugs</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0A3890">
        <w:tc>
          <w:tcPr>
            <w:tcW w:w="7116" w:type="dxa"/>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Vasopressin</w:t>
            </w:r>
          </w:p>
        </w:tc>
        <w:tc>
          <w:tcPr>
            <w:tcW w:w="2234" w:type="dxa"/>
          </w:tcPr>
          <w:p w:rsidR="00C9325C" w:rsidRPr="00302F74" w:rsidRDefault="00C9325C" w:rsidP="00FA6CCE">
            <w:pPr>
              <w:widowControl w:val="0"/>
              <w:spacing w:line="360" w:lineRule="auto"/>
              <w:jc w:val="both"/>
              <w:rPr>
                <w:rFonts w:ascii="Book Antiqua" w:hAnsi="Book Antiqua" w:cs="Times New Roman"/>
                <w:b/>
                <w:sz w:val="24"/>
                <w:szCs w:val="24"/>
              </w:rPr>
            </w:pPr>
            <w:r w:rsidRPr="00302F74">
              <w:rPr>
                <w:rFonts w:ascii="Book Antiqua" w:hAnsi="Book Antiqua" w:cs="Times New Roman"/>
                <w:sz w:val="24"/>
                <w:szCs w:val="24"/>
              </w:rPr>
              <w:t>[10</w:t>
            </w:r>
            <w:r w:rsidR="00960639" w:rsidRPr="00302F74">
              <w:rPr>
                <w:rFonts w:ascii="Book Antiqua" w:hAnsi="Book Antiqua" w:cs="Times New Roman"/>
                <w:sz w:val="24"/>
                <w:szCs w:val="24"/>
              </w:rPr>
              <w:t>6</w:t>
            </w:r>
            <w:r w:rsidRPr="00302F74">
              <w:rPr>
                <w:rFonts w:ascii="Book Antiqua" w:hAnsi="Book Antiqua" w:cs="Times New Roman"/>
                <w:sz w:val="24"/>
                <w:szCs w:val="24"/>
              </w:rPr>
              <w:t>]</w:t>
            </w:r>
          </w:p>
        </w:tc>
      </w:tr>
      <w:tr w:rsidR="00632F67" w:rsidRPr="00302F74" w:rsidTr="000A3890">
        <w:tc>
          <w:tcPr>
            <w:tcW w:w="7116" w:type="dxa"/>
            <w:hideMark/>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Terlipressin</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[10</w:t>
            </w:r>
            <w:r w:rsidR="00960639" w:rsidRPr="00302F74">
              <w:rPr>
                <w:rFonts w:ascii="Book Antiqua" w:hAnsi="Book Antiqua" w:cs="Times New Roman"/>
                <w:sz w:val="24"/>
                <w:szCs w:val="24"/>
              </w:rPr>
              <w:t>7</w:t>
            </w:r>
            <w:r w:rsidRPr="00302F74">
              <w:rPr>
                <w:rFonts w:ascii="Book Antiqua" w:hAnsi="Book Antiqua" w:cs="Times New Roman"/>
                <w:sz w:val="24"/>
                <w:szCs w:val="24"/>
              </w:rPr>
              <w:t>]</w:t>
            </w:r>
          </w:p>
        </w:tc>
      </w:tr>
      <w:tr w:rsidR="00632F67" w:rsidRPr="00302F74" w:rsidTr="000A3890">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Therapies that increase incidence or risk of bleeding from PHG</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0A3890">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Endoscopic therapies for varices</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0A3890">
        <w:tc>
          <w:tcPr>
            <w:tcW w:w="7116" w:type="dxa"/>
            <w:hideMark/>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Variceal ligation</w:t>
            </w:r>
          </w:p>
        </w:tc>
        <w:tc>
          <w:tcPr>
            <w:tcW w:w="2234" w:type="dxa"/>
            <w:hideMark/>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[11,41]</w:t>
            </w:r>
          </w:p>
        </w:tc>
      </w:tr>
      <w:tr w:rsidR="00632F67" w:rsidRPr="00302F74" w:rsidTr="000A3890">
        <w:tc>
          <w:tcPr>
            <w:tcW w:w="7116" w:type="dxa"/>
            <w:hideMark/>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Variceal sclerotherapy</w:t>
            </w:r>
          </w:p>
        </w:tc>
        <w:tc>
          <w:tcPr>
            <w:tcW w:w="2234" w:type="dxa"/>
            <w:hideMark/>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[11,8</w:t>
            </w:r>
            <w:r w:rsidR="00960639" w:rsidRPr="00302F74">
              <w:rPr>
                <w:rFonts w:ascii="Book Antiqua" w:hAnsi="Book Antiqua" w:cs="Times New Roman"/>
                <w:sz w:val="24"/>
                <w:szCs w:val="24"/>
              </w:rPr>
              <w:t>3</w:t>
            </w:r>
            <w:r w:rsidRPr="00302F74">
              <w:rPr>
                <w:rFonts w:ascii="Book Antiqua" w:hAnsi="Book Antiqua" w:cs="Times New Roman"/>
                <w:sz w:val="24"/>
                <w:szCs w:val="24"/>
              </w:rPr>
              <w:t>]</w:t>
            </w:r>
          </w:p>
        </w:tc>
      </w:tr>
      <w:tr w:rsidR="00632F67" w:rsidRPr="00302F74" w:rsidTr="000A3890">
        <w:tc>
          <w:tcPr>
            <w:tcW w:w="7116" w:type="dxa"/>
            <w:hideMark/>
          </w:tcPr>
          <w:p w:rsidR="00C9325C" w:rsidRPr="008C6824" w:rsidRDefault="00C9325C" w:rsidP="00FA6CCE">
            <w:pPr>
              <w:widowControl w:val="0"/>
              <w:spacing w:line="360" w:lineRule="auto"/>
              <w:jc w:val="both"/>
              <w:rPr>
                <w:rFonts w:ascii="Book Antiqua" w:hAnsi="Book Antiqua" w:cs="Times New Roman"/>
                <w:sz w:val="24"/>
                <w:szCs w:val="24"/>
                <w:lang w:val="en"/>
              </w:rPr>
            </w:pPr>
            <w:r w:rsidRPr="008C6824">
              <w:rPr>
                <w:rFonts w:ascii="Book Antiqua" w:hAnsi="Book Antiqua" w:cs="Times New Roman"/>
                <w:sz w:val="24"/>
                <w:szCs w:val="24"/>
                <w:lang w:val="en"/>
              </w:rPr>
              <w:t>Interventional angiography</w:t>
            </w:r>
          </w:p>
        </w:tc>
        <w:tc>
          <w:tcPr>
            <w:tcW w:w="2234" w:type="dxa"/>
          </w:tcPr>
          <w:p w:rsidR="00C9325C" w:rsidRPr="00302F74"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0A3890">
        <w:trPr>
          <w:trHeight w:val="311"/>
        </w:trPr>
        <w:tc>
          <w:tcPr>
            <w:tcW w:w="7116" w:type="dxa"/>
            <w:tcBorders>
              <w:bottom w:val="single" w:sz="4" w:space="0" w:color="auto"/>
            </w:tcBorders>
            <w:hideMark/>
          </w:tcPr>
          <w:p w:rsidR="00C9325C" w:rsidRPr="008C6824" w:rsidRDefault="00222DD9" w:rsidP="00FA6CC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 </w:t>
            </w:r>
            <w:r w:rsidR="00C9325C" w:rsidRPr="008C6824">
              <w:rPr>
                <w:rFonts w:ascii="Book Antiqua" w:hAnsi="Book Antiqua" w:cs="Times New Roman"/>
                <w:sz w:val="24"/>
                <w:szCs w:val="24"/>
                <w:lang w:val="en"/>
              </w:rPr>
              <w:t>Percutaneous transhepatic variceal embolization</w:t>
            </w:r>
          </w:p>
        </w:tc>
        <w:tc>
          <w:tcPr>
            <w:tcW w:w="2234" w:type="dxa"/>
            <w:tcBorders>
              <w:bottom w:val="single" w:sz="4" w:space="0" w:color="auto"/>
            </w:tcBorders>
            <w:hideMark/>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[8</w:t>
            </w:r>
            <w:r w:rsidR="00960639" w:rsidRPr="00302F74">
              <w:rPr>
                <w:rFonts w:ascii="Book Antiqua" w:hAnsi="Book Antiqua" w:cs="Times New Roman"/>
                <w:sz w:val="24"/>
                <w:szCs w:val="24"/>
              </w:rPr>
              <w:t>5</w:t>
            </w:r>
            <w:r w:rsidRPr="00302F74">
              <w:rPr>
                <w:rFonts w:ascii="Book Antiqua" w:hAnsi="Book Antiqua" w:cs="Times New Roman"/>
                <w:sz w:val="24"/>
                <w:szCs w:val="24"/>
              </w:rPr>
              <w:t xml:space="preserve">] </w:t>
            </w:r>
          </w:p>
        </w:tc>
      </w:tr>
      <w:tr w:rsidR="000A3890" w:rsidRPr="00302F74" w:rsidTr="000A3890">
        <w:trPr>
          <w:trHeight w:val="140"/>
        </w:trPr>
        <w:tc>
          <w:tcPr>
            <w:tcW w:w="7116" w:type="dxa"/>
            <w:tcBorders>
              <w:top w:val="single" w:sz="4" w:space="0" w:color="auto"/>
            </w:tcBorders>
          </w:tcPr>
          <w:p w:rsidR="000A3890" w:rsidRDefault="000A3890" w:rsidP="008C6824">
            <w:pPr>
              <w:widowControl w:val="0"/>
              <w:spacing w:line="360" w:lineRule="auto"/>
              <w:jc w:val="both"/>
              <w:rPr>
                <w:rFonts w:ascii="Book Antiqua" w:hAnsi="Book Antiqua" w:cs="Times New Roman"/>
                <w:sz w:val="24"/>
                <w:szCs w:val="24"/>
                <w:lang w:val="en" w:eastAsia="zh-CN"/>
              </w:rPr>
            </w:pPr>
          </w:p>
        </w:tc>
        <w:tc>
          <w:tcPr>
            <w:tcW w:w="2234" w:type="dxa"/>
            <w:tcBorders>
              <w:top w:val="single" w:sz="4" w:space="0" w:color="auto"/>
            </w:tcBorders>
          </w:tcPr>
          <w:p w:rsidR="000A3890" w:rsidRPr="00302F74" w:rsidRDefault="000A3890" w:rsidP="00FA6CCE">
            <w:pPr>
              <w:widowControl w:val="0"/>
              <w:spacing w:line="360" w:lineRule="auto"/>
              <w:jc w:val="both"/>
              <w:rPr>
                <w:rFonts w:ascii="Book Antiqua" w:hAnsi="Book Antiqua" w:cs="Times New Roman"/>
                <w:sz w:val="24"/>
                <w:szCs w:val="24"/>
              </w:rPr>
            </w:pPr>
          </w:p>
        </w:tc>
      </w:tr>
    </w:tbl>
    <w:p w:rsidR="00A25567" w:rsidRDefault="008C6824" w:rsidP="00FA6CCE">
      <w:pPr>
        <w:widowControl w:val="0"/>
        <w:spacing w:line="360" w:lineRule="auto"/>
        <w:jc w:val="both"/>
        <w:rPr>
          <w:rFonts w:ascii="Book Antiqua" w:hAnsi="Book Antiqua" w:cs="Times New Roman"/>
          <w:sz w:val="24"/>
          <w:szCs w:val="24"/>
          <w:lang w:eastAsia="zh-CN"/>
        </w:rPr>
      </w:pPr>
      <w:r w:rsidRPr="008C6824">
        <w:rPr>
          <w:rFonts w:ascii="Book Antiqua" w:hAnsi="Book Antiqua" w:cs="Times New Roman"/>
          <w:sz w:val="24"/>
          <w:szCs w:val="24"/>
          <w:lang w:val="en"/>
        </w:rPr>
        <w:t>TIPS</w:t>
      </w:r>
      <w:r>
        <w:rPr>
          <w:rFonts w:ascii="Book Antiqua" w:hAnsi="Book Antiqua" w:cs="Times New Roman" w:hint="eastAsia"/>
          <w:sz w:val="24"/>
          <w:szCs w:val="24"/>
          <w:lang w:val="en" w:eastAsia="zh-CN"/>
        </w:rPr>
        <w:t xml:space="preserve">: </w:t>
      </w:r>
      <w:r w:rsidRPr="008C6824">
        <w:rPr>
          <w:rFonts w:ascii="Book Antiqua" w:hAnsi="Book Antiqua" w:cs="Times New Roman"/>
          <w:sz w:val="24"/>
          <w:szCs w:val="24"/>
          <w:lang w:val="en"/>
        </w:rPr>
        <w:t>Transjugular intrahepatic portosystemic shunt</w:t>
      </w:r>
      <w:r>
        <w:rPr>
          <w:rFonts w:ascii="Book Antiqua" w:hAnsi="Book Antiqua" w:cs="Times New Roman" w:hint="eastAsia"/>
          <w:sz w:val="24"/>
          <w:szCs w:val="24"/>
          <w:lang w:val="en" w:eastAsia="zh-CN"/>
        </w:rPr>
        <w:t>;</w:t>
      </w:r>
      <w:r w:rsidRPr="00553DA6">
        <w:rPr>
          <w:rFonts w:ascii="Book Antiqua" w:hAnsi="Book Antiqua" w:cs="Times New Roman"/>
          <w:sz w:val="24"/>
          <w:szCs w:val="24"/>
        </w:rPr>
        <w:t xml:space="preserve"> PHG</w:t>
      </w:r>
      <w:r w:rsidRPr="00553DA6">
        <w:rPr>
          <w:rFonts w:ascii="Book Antiqua" w:hAnsi="Book Antiqua" w:cs="Times New Roman" w:hint="eastAsia"/>
          <w:sz w:val="24"/>
          <w:szCs w:val="24"/>
          <w:lang w:eastAsia="zh-CN"/>
        </w:rPr>
        <w:t xml:space="preserve">: </w:t>
      </w:r>
      <w:r w:rsidRPr="00553DA6">
        <w:rPr>
          <w:rFonts w:ascii="Book Antiqua" w:hAnsi="Book Antiqua" w:cs="Times New Roman"/>
          <w:sz w:val="24"/>
          <w:szCs w:val="24"/>
        </w:rPr>
        <w:t xml:space="preserve">Portal hypertensive </w:t>
      </w:r>
      <w:r w:rsidRPr="00553DA6">
        <w:rPr>
          <w:rFonts w:ascii="Book Antiqua" w:hAnsi="Book Antiqua" w:cs="Times New Roman"/>
          <w:sz w:val="24"/>
          <w:szCs w:val="24"/>
        </w:rPr>
        <w:lastRenderedPageBreak/>
        <w:t>gastropathy</w:t>
      </w:r>
      <w:r>
        <w:rPr>
          <w:rFonts w:ascii="Book Antiqua" w:hAnsi="Book Antiqua" w:cs="Times New Roman" w:hint="eastAsia"/>
          <w:sz w:val="24"/>
          <w:szCs w:val="24"/>
          <w:lang w:eastAsia="zh-CN"/>
        </w:rPr>
        <w:t>.</w:t>
      </w:r>
    </w:p>
    <w:p w:rsidR="00A25567" w:rsidRDefault="00A25567">
      <w:pPr>
        <w:spacing w:line="276" w:lineRule="auto"/>
        <w:jc w:val="both"/>
        <w:rPr>
          <w:rFonts w:ascii="Book Antiqua" w:hAnsi="Book Antiqua" w:cs="Times New Roman"/>
          <w:sz w:val="24"/>
          <w:szCs w:val="24"/>
          <w:lang w:eastAsia="zh-CN"/>
        </w:rPr>
      </w:pPr>
      <w:r>
        <w:rPr>
          <w:rFonts w:ascii="Book Antiqua" w:hAnsi="Book Antiqua" w:cs="Times New Roman"/>
          <w:sz w:val="24"/>
          <w:szCs w:val="24"/>
          <w:lang w:eastAsia="zh-CN"/>
        </w:rPr>
        <w:br w:type="page"/>
      </w:r>
    </w:p>
    <w:tbl>
      <w:tblPr>
        <w:tblStyle w:val="TableGrid1"/>
        <w:tblpPr w:leftFromText="180" w:rightFromText="180" w:vertAnchor="text" w:horzAnchor="margin"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2672"/>
      </w:tblGrid>
      <w:tr w:rsidR="00A25567" w:rsidRPr="00302F74" w:rsidTr="00A25567">
        <w:trPr>
          <w:trHeight w:val="444"/>
        </w:trPr>
        <w:tc>
          <w:tcPr>
            <w:tcW w:w="9350" w:type="dxa"/>
            <w:gridSpan w:val="2"/>
            <w:tcBorders>
              <w:bottom w:val="single" w:sz="4" w:space="0" w:color="auto"/>
            </w:tcBorders>
          </w:tcPr>
          <w:p w:rsidR="00A25567" w:rsidRPr="00A25567" w:rsidRDefault="00A25567" w:rsidP="00A25567">
            <w:pPr>
              <w:widowControl w:val="0"/>
              <w:spacing w:line="360" w:lineRule="auto"/>
              <w:jc w:val="both"/>
              <w:rPr>
                <w:rFonts w:ascii="Book Antiqua" w:hAnsi="Book Antiqua" w:cs="Times New Roman"/>
                <w:b/>
                <w:sz w:val="24"/>
                <w:szCs w:val="24"/>
                <w:lang w:val="en"/>
              </w:rPr>
            </w:pPr>
            <w:r w:rsidRPr="00A25567">
              <w:rPr>
                <w:rFonts w:ascii="Book Antiqua" w:hAnsi="Book Antiqua" w:cs="Times New Roman"/>
                <w:b/>
                <w:sz w:val="24"/>
                <w:szCs w:val="24"/>
                <w:lang w:val="en"/>
              </w:rPr>
              <w:lastRenderedPageBreak/>
              <w:t xml:space="preserve">Table </w:t>
            </w:r>
            <w:r w:rsidRPr="00A25567">
              <w:rPr>
                <w:rFonts w:ascii="Book Antiqua" w:hAnsi="Book Antiqua" w:cs="Times New Roman" w:hint="eastAsia"/>
                <w:b/>
                <w:sz w:val="24"/>
                <w:szCs w:val="24"/>
                <w:lang w:val="en" w:eastAsia="zh-CN"/>
              </w:rPr>
              <w:t>7</w:t>
            </w:r>
            <w:r w:rsidRPr="00A25567">
              <w:rPr>
                <w:rFonts w:ascii="Book Antiqua" w:hAnsi="Book Antiqua" w:cs="Times New Roman"/>
                <w:b/>
                <w:sz w:val="24"/>
                <w:szCs w:val="24"/>
                <w:lang w:val="en"/>
              </w:rPr>
              <w:t xml:space="preserve"> Factors not affecting risk of portal hypertensive gastropathy</w:t>
            </w:r>
          </w:p>
        </w:tc>
      </w:tr>
      <w:tr w:rsidR="00A25567" w:rsidRPr="00302F74" w:rsidTr="00A25567">
        <w:tc>
          <w:tcPr>
            <w:tcW w:w="6678" w:type="dxa"/>
            <w:tcBorders>
              <w:top w:val="single" w:sz="4" w:space="0" w:color="auto"/>
              <w:bottom w:val="single" w:sz="4" w:space="0" w:color="auto"/>
            </w:tcBorders>
          </w:tcPr>
          <w:p w:rsidR="00A25567" w:rsidRPr="00A25567" w:rsidRDefault="00A25567" w:rsidP="00A25567">
            <w:pPr>
              <w:widowControl w:val="0"/>
              <w:spacing w:line="360" w:lineRule="auto"/>
              <w:jc w:val="both"/>
              <w:rPr>
                <w:rFonts w:ascii="Book Antiqua" w:hAnsi="Book Antiqua" w:cs="Times New Roman"/>
                <w:b/>
                <w:sz w:val="24"/>
                <w:szCs w:val="24"/>
                <w:lang w:val="en"/>
              </w:rPr>
            </w:pPr>
            <w:r w:rsidRPr="00A25567">
              <w:rPr>
                <w:rFonts w:ascii="Book Antiqua" w:hAnsi="Book Antiqua" w:cs="Times New Roman"/>
                <w:b/>
                <w:sz w:val="24"/>
                <w:szCs w:val="24"/>
                <w:lang w:val="en"/>
              </w:rPr>
              <w:t>Factors not affecting risk of portal hypertensive gastropathy</w:t>
            </w:r>
          </w:p>
        </w:tc>
        <w:tc>
          <w:tcPr>
            <w:tcW w:w="2672" w:type="dxa"/>
            <w:tcBorders>
              <w:top w:val="single" w:sz="4" w:space="0" w:color="auto"/>
              <w:bottom w:val="single" w:sz="4" w:space="0" w:color="auto"/>
            </w:tcBorders>
          </w:tcPr>
          <w:p w:rsidR="00A25567" w:rsidRPr="00A25567" w:rsidRDefault="00A25567" w:rsidP="00A25567">
            <w:pPr>
              <w:widowControl w:val="0"/>
              <w:spacing w:line="360" w:lineRule="auto"/>
              <w:jc w:val="both"/>
              <w:rPr>
                <w:rFonts w:ascii="Book Antiqua" w:hAnsi="Book Antiqua" w:cs="Times New Roman"/>
                <w:b/>
                <w:sz w:val="24"/>
                <w:szCs w:val="24"/>
                <w:lang w:val="en" w:eastAsia="zh-CN"/>
              </w:rPr>
            </w:pPr>
            <w:r w:rsidRPr="00A25567">
              <w:rPr>
                <w:rFonts w:ascii="Book Antiqua" w:hAnsi="Book Antiqua" w:cs="Times New Roman"/>
                <w:b/>
                <w:sz w:val="24"/>
                <w:szCs w:val="24"/>
                <w:lang w:val="en"/>
              </w:rPr>
              <w:t>Ref</w:t>
            </w:r>
            <w:r w:rsidRPr="00A25567">
              <w:rPr>
                <w:rFonts w:ascii="Book Antiqua" w:hAnsi="Book Antiqua" w:cs="Times New Roman" w:hint="eastAsia"/>
                <w:b/>
                <w:sz w:val="24"/>
                <w:szCs w:val="24"/>
                <w:lang w:val="en" w:eastAsia="zh-CN"/>
              </w:rPr>
              <w:t>.</w:t>
            </w:r>
          </w:p>
        </w:tc>
      </w:tr>
      <w:tr w:rsidR="00A25567" w:rsidRPr="00302F74" w:rsidTr="00A25567">
        <w:tc>
          <w:tcPr>
            <w:tcW w:w="6678" w:type="dxa"/>
            <w:tcBorders>
              <w:top w:val="single" w:sz="4" w:space="0" w:color="auto"/>
            </w:tcBorders>
          </w:tcPr>
          <w:p w:rsidR="00A25567" w:rsidRPr="00A25567" w:rsidRDefault="00A25567" w:rsidP="00A25567">
            <w:pPr>
              <w:widowControl w:val="0"/>
              <w:spacing w:line="360" w:lineRule="auto"/>
              <w:jc w:val="both"/>
              <w:rPr>
                <w:rFonts w:ascii="Book Antiqua" w:hAnsi="Book Antiqua" w:cs="Times New Roman"/>
                <w:sz w:val="24"/>
                <w:szCs w:val="24"/>
                <w:lang w:val="en"/>
              </w:rPr>
            </w:pPr>
            <w:r w:rsidRPr="00A25567">
              <w:rPr>
                <w:rFonts w:ascii="Book Antiqua" w:hAnsi="Book Antiqua" w:cs="Times New Roman"/>
                <w:sz w:val="24"/>
                <w:szCs w:val="24"/>
                <w:lang w:val="en"/>
              </w:rPr>
              <w:t>Etiology of cirrhosis</w:t>
            </w:r>
          </w:p>
        </w:tc>
        <w:tc>
          <w:tcPr>
            <w:tcW w:w="2672" w:type="dxa"/>
            <w:tcBorders>
              <w:top w:val="single" w:sz="4" w:space="0" w:color="auto"/>
            </w:tcBorders>
          </w:tcPr>
          <w:p w:rsidR="00A25567" w:rsidRPr="00302F74" w:rsidRDefault="00A25567" w:rsidP="00A25567">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[8,28,30</w:t>
            </w:r>
            <w:r w:rsidRPr="00302F74">
              <w:rPr>
                <w:rFonts w:ascii="Book Antiqua" w:hAnsi="Book Antiqua" w:cs="Times New Roman"/>
                <w:sz w:val="24"/>
                <w:szCs w:val="24"/>
              </w:rPr>
              <w:t>]</w:t>
            </w:r>
          </w:p>
        </w:tc>
      </w:tr>
      <w:tr w:rsidR="00A25567" w:rsidRPr="00302F74" w:rsidTr="00A25567">
        <w:tc>
          <w:tcPr>
            <w:tcW w:w="6678" w:type="dxa"/>
          </w:tcPr>
          <w:p w:rsidR="00A25567" w:rsidRPr="00A25567" w:rsidRDefault="00A25567" w:rsidP="00A25567">
            <w:pPr>
              <w:widowControl w:val="0"/>
              <w:spacing w:line="360" w:lineRule="auto"/>
              <w:jc w:val="both"/>
              <w:rPr>
                <w:rFonts w:ascii="Book Antiqua" w:hAnsi="Book Antiqua" w:cs="Times New Roman"/>
                <w:sz w:val="24"/>
                <w:szCs w:val="24"/>
                <w:lang w:val="en"/>
              </w:rPr>
            </w:pPr>
            <w:r w:rsidRPr="00A25567">
              <w:rPr>
                <w:rFonts w:ascii="Book Antiqua" w:hAnsi="Book Antiqua" w:cs="Times New Roman"/>
                <w:sz w:val="24"/>
                <w:szCs w:val="24"/>
                <w:lang w:val="en"/>
              </w:rPr>
              <w:t xml:space="preserve">Etiology of non-cirrhotic portal hypertension </w:t>
            </w:r>
          </w:p>
        </w:tc>
        <w:tc>
          <w:tcPr>
            <w:tcW w:w="2672" w:type="dxa"/>
          </w:tcPr>
          <w:p w:rsidR="00A25567" w:rsidRPr="00302F74" w:rsidRDefault="00A25567" w:rsidP="00A25567">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[8,14,35,83,108]</w:t>
            </w:r>
          </w:p>
        </w:tc>
      </w:tr>
      <w:tr w:rsidR="00A25567" w:rsidRPr="00302F74" w:rsidTr="00A25567">
        <w:tc>
          <w:tcPr>
            <w:tcW w:w="6678" w:type="dxa"/>
          </w:tcPr>
          <w:p w:rsidR="00A25567" w:rsidRPr="00A25567" w:rsidRDefault="00A25567" w:rsidP="00A25567">
            <w:pPr>
              <w:widowControl w:val="0"/>
              <w:spacing w:line="360" w:lineRule="auto"/>
              <w:jc w:val="both"/>
              <w:rPr>
                <w:rFonts w:ascii="Book Antiqua" w:hAnsi="Book Antiqua" w:cs="Times New Roman"/>
                <w:sz w:val="24"/>
                <w:szCs w:val="24"/>
                <w:lang w:val="en"/>
              </w:rPr>
            </w:pPr>
            <w:r w:rsidRPr="00A25567">
              <w:rPr>
                <w:rFonts w:ascii="Book Antiqua" w:hAnsi="Book Antiqua" w:cs="Times New Roman"/>
                <w:sz w:val="24"/>
                <w:szCs w:val="24"/>
                <w:lang w:val="en"/>
              </w:rPr>
              <w:t>Alcoholism</w:t>
            </w:r>
          </w:p>
        </w:tc>
        <w:tc>
          <w:tcPr>
            <w:tcW w:w="2672" w:type="dxa"/>
          </w:tcPr>
          <w:p w:rsidR="00A25567" w:rsidRPr="00302F74" w:rsidRDefault="00A25567" w:rsidP="00A25567">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 xml:space="preserve">[30,42] </w:t>
            </w:r>
          </w:p>
        </w:tc>
      </w:tr>
      <w:tr w:rsidR="00A25567" w:rsidRPr="00302F74" w:rsidTr="00A25567">
        <w:tc>
          <w:tcPr>
            <w:tcW w:w="6678" w:type="dxa"/>
          </w:tcPr>
          <w:p w:rsidR="00A25567" w:rsidRPr="00A25567" w:rsidRDefault="00A25567" w:rsidP="00A25567">
            <w:pPr>
              <w:widowControl w:val="0"/>
              <w:spacing w:line="360" w:lineRule="auto"/>
              <w:jc w:val="both"/>
              <w:rPr>
                <w:rFonts w:ascii="Book Antiqua" w:hAnsi="Book Antiqua" w:cs="Times New Roman"/>
                <w:sz w:val="24"/>
                <w:szCs w:val="24"/>
                <w:lang w:val="en"/>
              </w:rPr>
            </w:pPr>
            <w:r w:rsidRPr="00A25567">
              <w:rPr>
                <w:rFonts w:ascii="Book Antiqua" w:hAnsi="Book Antiqua" w:cs="Times New Roman"/>
                <w:sz w:val="24"/>
                <w:szCs w:val="24"/>
                <w:lang w:val="en"/>
              </w:rPr>
              <w:t>NSAID use</w:t>
            </w:r>
          </w:p>
        </w:tc>
        <w:tc>
          <w:tcPr>
            <w:tcW w:w="2672" w:type="dxa"/>
          </w:tcPr>
          <w:p w:rsidR="00A25567" w:rsidRPr="00302F74" w:rsidRDefault="00A25567" w:rsidP="00A25567">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[42]</w:t>
            </w:r>
            <w:r>
              <w:rPr>
                <w:rFonts w:ascii="Book Antiqua" w:hAnsi="Book Antiqua" w:cs="Times New Roman"/>
                <w:sz w:val="24"/>
                <w:szCs w:val="24"/>
              </w:rPr>
              <w:t xml:space="preserve"> </w:t>
            </w:r>
          </w:p>
        </w:tc>
      </w:tr>
      <w:tr w:rsidR="00A25567" w:rsidRPr="00302F74" w:rsidTr="00A25567">
        <w:tc>
          <w:tcPr>
            <w:tcW w:w="6678" w:type="dxa"/>
          </w:tcPr>
          <w:p w:rsidR="00A25567" w:rsidRPr="00A25567" w:rsidRDefault="00A25567" w:rsidP="00A25567">
            <w:pPr>
              <w:widowControl w:val="0"/>
              <w:spacing w:line="360" w:lineRule="auto"/>
              <w:jc w:val="both"/>
              <w:rPr>
                <w:rFonts w:ascii="Book Antiqua" w:hAnsi="Book Antiqua" w:cs="Times New Roman"/>
                <w:sz w:val="24"/>
                <w:szCs w:val="24"/>
                <w:lang w:val="en"/>
              </w:rPr>
            </w:pPr>
            <w:r w:rsidRPr="00A25567">
              <w:rPr>
                <w:rFonts w:ascii="Book Antiqua" w:hAnsi="Book Antiqua" w:cs="Times New Roman"/>
                <w:sz w:val="24"/>
                <w:szCs w:val="24"/>
                <w:lang w:val="en"/>
              </w:rPr>
              <w:t>Use of COX-II inhibitors</w:t>
            </w:r>
          </w:p>
        </w:tc>
        <w:tc>
          <w:tcPr>
            <w:tcW w:w="2672" w:type="dxa"/>
          </w:tcPr>
          <w:p w:rsidR="00A25567" w:rsidRPr="00302F74" w:rsidRDefault="00A25567" w:rsidP="00A25567">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[42]</w:t>
            </w:r>
            <w:r>
              <w:rPr>
                <w:rFonts w:ascii="Book Antiqua" w:hAnsi="Book Antiqua" w:cs="Times New Roman"/>
                <w:sz w:val="24"/>
                <w:szCs w:val="24"/>
              </w:rPr>
              <w:t xml:space="preserve"> </w:t>
            </w:r>
          </w:p>
        </w:tc>
      </w:tr>
      <w:tr w:rsidR="00A25567" w:rsidRPr="00302F74" w:rsidTr="00A25567">
        <w:tc>
          <w:tcPr>
            <w:tcW w:w="6678" w:type="dxa"/>
          </w:tcPr>
          <w:p w:rsidR="00A25567" w:rsidRPr="00A25567" w:rsidRDefault="00A25567" w:rsidP="00A25567">
            <w:pPr>
              <w:widowControl w:val="0"/>
              <w:spacing w:line="360" w:lineRule="auto"/>
              <w:jc w:val="both"/>
              <w:rPr>
                <w:rFonts w:ascii="Book Antiqua" w:hAnsi="Book Antiqua" w:cs="Times New Roman"/>
                <w:sz w:val="24"/>
                <w:szCs w:val="24"/>
                <w:lang w:val="en"/>
              </w:rPr>
            </w:pPr>
            <w:r w:rsidRPr="00A25567">
              <w:rPr>
                <w:rFonts w:ascii="Book Antiqua" w:hAnsi="Book Antiqua" w:cs="Times New Roman"/>
                <w:sz w:val="24"/>
                <w:szCs w:val="24"/>
                <w:lang w:val="en"/>
              </w:rPr>
              <w:t>Smoking tobacco</w:t>
            </w:r>
          </w:p>
        </w:tc>
        <w:tc>
          <w:tcPr>
            <w:tcW w:w="2672" w:type="dxa"/>
          </w:tcPr>
          <w:p w:rsidR="00A25567" w:rsidRPr="00302F74" w:rsidRDefault="00A25567" w:rsidP="00A25567">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rPr>
              <w:t>[42]</w:t>
            </w:r>
          </w:p>
        </w:tc>
      </w:tr>
      <w:tr w:rsidR="00A25567" w:rsidRPr="00302F74" w:rsidTr="00A25567">
        <w:tc>
          <w:tcPr>
            <w:tcW w:w="6678" w:type="dxa"/>
            <w:tcBorders>
              <w:bottom w:val="single" w:sz="4" w:space="0" w:color="auto"/>
            </w:tcBorders>
          </w:tcPr>
          <w:p w:rsidR="00A25567" w:rsidRPr="00A25567" w:rsidRDefault="00A25567" w:rsidP="00A25567">
            <w:pPr>
              <w:widowControl w:val="0"/>
              <w:spacing w:line="360" w:lineRule="auto"/>
              <w:jc w:val="both"/>
              <w:rPr>
                <w:rFonts w:ascii="Book Antiqua" w:hAnsi="Book Antiqua" w:cs="Times New Roman"/>
                <w:sz w:val="24"/>
                <w:szCs w:val="24"/>
                <w:lang w:val="en"/>
              </w:rPr>
            </w:pPr>
            <w:r w:rsidRPr="00A25567">
              <w:rPr>
                <w:rFonts w:ascii="Book Antiqua" w:hAnsi="Book Antiqua" w:cs="Times New Roman"/>
                <w:sz w:val="24"/>
                <w:szCs w:val="24"/>
                <w:lang w:val="en"/>
              </w:rPr>
              <w:t xml:space="preserve">Gastric infection with </w:t>
            </w:r>
            <w:r w:rsidRPr="00A25567">
              <w:rPr>
                <w:rFonts w:ascii="Book Antiqua" w:hAnsi="Book Antiqua" w:cs="Times New Roman"/>
                <w:i/>
                <w:sz w:val="24"/>
                <w:szCs w:val="24"/>
                <w:lang w:val="en"/>
              </w:rPr>
              <w:t>Helicobacter pylori</w:t>
            </w:r>
          </w:p>
        </w:tc>
        <w:tc>
          <w:tcPr>
            <w:tcW w:w="2672" w:type="dxa"/>
            <w:tcBorders>
              <w:bottom w:val="single" w:sz="4" w:space="0" w:color="auto"/>
            </w:tcBorders>
          </w:tcPr>
          <w:p w:rsidR="00A25567" w:rsidRPr="00302F74" w:rsidRDefault="00A25567" w:rsidP="00A25567">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[109,110] </w:t>
            </w:r>
          </w:p>
        </w:tc>
      </w:tr>
    </w:tbl>
    <w:p w:rsidR="00C9325C" w:rsidRPr="00302F74" w:rsidRDefault="00C9325C" w:rsidP="00FA6CCE">
      <w:pPr>
        <w:widowControl w:val="0"/>
        <w:spacing w:line="360" w:lineRule="auto"/>
        <w:jc w:val="both"/>
        <w:rPr>
          <w:rFonts w:ascii="Book Antiqua" w:hAnsi="Book Antiqua" w:cs="Times New Roman"/>
          <w:sz w:val="24"/>
          <w:szCs w:val="24"/>
          <w:lang w:val="en" w:eastAsia="zh-CN"/>
        </w:rPr>
      </w:pPr>
    </w:p>
    <w:p w:rsidR="00C9325C" w:rsidRPr="00302F74" w:rsidRDefault="00C9325C" w:rsidP="00FA6CCE">
      <w:pPr>
        <w:widowControl w:val="0"/>
        <w:spacing w:line="360" w:lineRule="auto"/>
        <w:jc w:val="both"/>
        <w:rPr>
          <w:rFonts w:ascii="Book Antiqua" w:hAnsi="Book Antiqua" w:cs="Times New Roman"/>
          <w:sz w:val="24"/>
          <w:szCs w:val="24"/>
          <w:lang w:eastAsia="zh-CN"/>
        </w:rPr>
      </w:pPr>
    </w:p>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br w:type="page"/>
      </w:r>
    </w:p>
    <w:tbl>
      <w:tblPr>
        <w:tblStyle w:val="TableGrid1"/>
        <w:tblpPr w:leftFromText="180" w:rightFromText="180" w:vertAnchor="text" w:horzAnchor="margin" w:tblpXSpec="center" w:tblpY="98"/>
        <w:tblW w:w="10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3931"/>
        <w:gridCol w:w="1989"/>
        <w:gridCol w:w="2959"/>
      </w:tblGrid>
      <w:tr w:rsidR="00324B7E" w:rsidRPr="00302F74" w:rsidTr="00324B7E">
        <w:trPr>
          <w:trHeight w:val="528"/>
        </w:trPr>
        <w:tc>
          <w:tcPr>
            <w:tcW w:w="10920" w:type="dxa"/>
            <w:gridSpan w:val="4"/>
            <w:tcBorders>
              <w:bottom w:val="single" w:sz="4" w:space="0" w:color="auto"/>
            </w:tcBorders>
          </w:tcPr>
          <w:p w:rsidR="00324B7E" w:rsidRPr="00324B7E" w:rsidRDefault="00324B7E" w:rsidP="00222DD9">
            <w:pPr>
              <w:widowControl w:val="0"/>
              <w:spacing w:line="360" w:lineRule="auto"/>
              <w:jc w:val="both"/>
              <w:rPr>
                <w:rFonts w:ascii="Book Antiqua" w:hAnsi="Book Antiqua" w:cs="Times New Roman"/>
                <w:b/>
                <w:sz w:val="24"/>
                <w:szCs w:val="24"/>
                <w:lang w:eastAsia="zh-CN"/>
              </w:rPr>
            </w:pPr>
            <w:r w:rsidRPr="00324B7E">
              <w:rPr>
                <w:rFonts w:ascii="Book Antiqua" w:hAnsi="Book Antiqua" w:cs="Times New Roman"/>
                <w:b/>
                <w:sz w:val="24"/>
                <w:szCs w:val="24"/>
                <w:lang w:val="en"/>
              </w:rPr>
              <w:lastRenderedPageBreak/>
              <w:t xml:space="preserve">Table </w:t>
            </w:r>
            <w:r w:rsidRPr="00324B7E">
              <w:rPr>
                <w:rFonts w:ascii="Book Antiqua" w:hAnsi="Book Antiqua" w:cs="Times New Roman" w:hint="eastAsia"/>
                <w:b/>
                <w:sz w:val="24"/>
                <w:szCs w:val="24"/>
                <w:lang w:val="en" w:eastAsia="zh-CN"/>
              </w:rPr>
              <w:t>8</w:t>
            </w:r>
            <w:r w:rsidRPr="00324B7E">
              <w:rPr>
                <w:rFonts w:ascii="Book Antiqua" w:hAnsi="Book Antiqua" w:cs="Times New Roman"/>
                <w:b/>
                <w:sz w:val="24"/>
                <w:szCs w:val="24"/>
                <w:lang w:val="en"/>
              </w:rPr>
              <w:t xml:space="preserve"> Different classification systems for portal hypertensive gastropathy</w:t>
            </w:r>
            <w:r w:rsidRPr="00324B7E">
              <w:rPr>
                <w:rFonts w:ascii="Book Antiqua" w:hAnsi="Book Antiqua" w:cs="Times New Roman"/>
                <w:b/>
                <w:sz w:val="24"/>
                <w:szCs w:val="24"/>
              </w:rPr>
              <w:t xml:space="preserve"> </w:t>
            </w:r>
          </w:p>
        </w:tc>
      </w:tr>
      <w:tr w:rsidR="00324B7E" w:rsidRPr="00302F74" w:rsidTr="00324B7E">
        <w:trPr>
          <w:trHeight w:val="826"/>
        </w:trPr>
        <w:tc>
          <w:tcPr>
            <w:tcW w:w="2041" w:type="dxa"/>
            <w:tcBorders>
              <w:top w:val="single" w:sz="4" w:space="0" w:color="auto"/>
              <w:bottom w:val="single" w:sz="4" w:space="0" w:color="auto"/>
            </w:tcBorders>
          </w:tcPr>
          <w:p w:rsidR="00324B7E" w:rsidRPr="00324B7E" w:rsidRDefault="00324B7E" w:rsidP="00324B7E">
            <w:pPr>
              <w:widowControl w:val="0"/>
              <w:spacing w:line="360" w:lineRule="auto"/>
              <w:jc w:val="both"/>
              <w:rPr>
                <w:rFonts w:ascii="Book Antiqua" w:hAnsi="Book Antiqua" w:cs="Times New Roman"/>
                <w:b/>
                <w:sz w:val="24"/>
                <w:szCs w:val="24"/>
                <w:lang w:val="en" w:eastAsia="zh-CN"/>
              </w:rPr>
            </w:pPr>
            <w:r w:rsidRPr="00324B7E">
              <w:rPr>
                <w:rFonts w:ascii="Book Antiqua" w:hAnsi="Book Antiqua" w:cs="Times New Roman"/>
                <w:b/>
                <w:sz w:val="24"/>
                <w:szCs w:val="24"/>
                <w:lang w:val="en"/>
              </w:rPr>
              <w:t>Ref</w:t>
            </w:r>
            <w:r>
              <w:rPr>
                <w:rFonts w:ascii="Book Antiqua" w:hAnsi="Book Antiqua" w:cs="Times New Roman" w:hint="eastAsia"/>
                <w:b/>
                <w:sz w:val="24"/>
                <w:szCs w:val="24"/>
                <w:lang w:val="en" w:eastAsia="zh-CN"/>
              </w:rPr>
              <w:t>.</w:t>
            </w:r>
          </w:p>
        </w:tc>
        <w:tc>
          <w:tcPr>
            <w:tcW w:w="3931" w:type="dxa"/>
            <w:tcBorders>
              <w:top w:val="single" w:sz="4" w:space="0" w:color="auto"/>
              <w:bottom w:val="single" w:sz="4" w:space="0" w:color="auto"/>
            </w:tcBorders>
          </w:tcPr>
          <w:p w:rsidR="00324B7E" w:rsidRPr="00324B7E" w:rsidRDefault="00324B7E" w:rsidP="00324B7E">
            <w:pPr>
              <w:widowControl w:val="0"/>
              <w:spacing w:line="360" w:lineRule="auto"/>
              <w:jc w:val="both"/>
              <w:rPr>
                <w:rFonts w:ascii="Book Antiqua" w:hAnsi="Book Antiqua" w:cs="Times New Roman"/>
                <w:b/>
                <w:sz w:val="24"/>
                <w:szCs w:val="24"/>
                <w:lang w:val="en"/>
              </w:rPr>
            </w:pPr>
            <w:r w:rsidRPr="00324B7E">
              <w:rPr>
                <w:rFonts w:ascii="Book Antiqua" w:hAnsi="Book Antiqua" w:cs="Times New Roman"/>
                <w:b/>
                <w:sz w:val="24"/>
                <w:szCs w:val="24"/>
                <w:lang w:val="en"/>
              </w:rPr>
              <w:t>Mild</w:t>
            </w:r>
          </w:p>
        </w:tc>
        <w:tc>
          <w:tcPr>
            <w:tcW w:w="1989" w:type="dxa"/>
            <w:tcBorders>
              <w:top w:val="single" w:sz="4" w:space="0" w:color="auto"/>
              <w:bottom w:val="single" w:sz="4" w:space="0" w:color="auto"/>
            </w:tcBorders>
          </w:tcPr>
          <w:p w:rsidR="00324B7E" w:rsidRPr="00302F74" w:rsidRDefault="00324B7E" w:rsidP="00324B7E">
            <w:pPr>
              <w:widowControl w:val="0"/>
              <w:spacing w:line="360" w:lineRule="auto"/>
              <w:jc w:val="both"/>
              <w:rPr>
                <w:rFonts w:ascii="Book Antiqua" w:hAnsi="Book Antiqua" w:cs="Times New Roman"/>
                <w:b/>
                <w:sz w:val="24"/>
                <w:szCs w:val="24"/>
                <w:lang w:val="en"/>
              </w:rPr>
            </w:pPr>
            <w:r w:rsidRPr="00302F74">
              <w:rPr>
                <w:rFonts w:ascii="Book Antiqua" w:hAnsi="Book Antiqua" w:cs="Times New Roman"/>
                <w:b/>
                <w:sz w:val="24"/>
                <w:szCs w:val="24"/>
                <w:lang w:val="en"/>
              </w:rPr>
              <w:t>Moderate</w:t>
            </w:r>
          </w:p>
        </w:tc>
        <w:tc>
          <w:tcPr>
            <w:tcW w:w="2959" w:type="dxa"/>
            <w:tcBorders>
              <w:top w:val="single" w:sz="4" w:space="0" w:color="auto"/>
              <w:bottom w:val="single" w:sz="4" w:space="0" w:color="auto"/>
            </w:tcBorders>
          </w:tcPr>
          <w:p w:rsidR="00324B7E" w:rsidRPr="00302F74" w:rsidRDefault="00324B7E" w:rsidP="00324B7E">
            <w:pPr>
              <w:widowControl w:val="0"/>
              <w:spacing w:line="360" w:lineRule="auto"/>
              <w:jc w:val="both"/>
              <w:rPr>
                <w:rFonts w:ascii="Book Antiqua" w:hAnsi="Book Antiqua" w:cs="Times New Roman"/>
                <w:b/>
                <w:sz w:val="24"/>
                <w:szCs w:val="24"/>
                <w:lang w:val="en"/>
              </w:rPr>
            </w:pPr>
            <w:r w:rsidRPr="00302F74">
              <w:rPr>
                <w:rFonts w:ascii="Book Antiqua" w:hAnsi="Book Antiqua" w:cs="Times New Roman"/>
                <w:b/>
                <w:sz w:val="24"/>
                <w:szCs w:val="24"/>
                <w:lang w:val="en"/>
              </w:rPr>
              <w:t>Severe</w:t>
            </w:r>
          </w:p>
        </w:tc>
      </w:tr>
      <w:tr w:rsidR="00324B7E" w:rsidRPr="00302F74" w:rsidTr="00324B7E">
        <w:trPr>
          <w:trHeight w:val="826"/>
        </w:trPr>
        <w:tc>
          <w:tcPr>
            <w:tcW w:w="2041" w:type="dxa"/>
            <w:tcBorders>
              <w:top w:val="single" w:sz="4" w:space="0" w:color="auto"/>
            </w:tcBorders>
          </w:tcPr>
          <w:p w:rsidR="00324B7E" w:rsidRPr="00302F74" w:rsidRDefault="00BA0252" w:rsidP="00324B7E">
            <w:pPr>
              <w:widowControl w:val="0"/>
              <w:spacing w:line="360" w:lineRule="auto"/>
              <w:jc w:val="both"/>
              <w:rPr>
                <w:rFonts w:ascii="Book Antiqua" w:hAnsi="Book Antiqua" w:cs="Times New Roman"/>
                <w:sz w:val="24"/>
                <w:szCs w:val="24"/>
                <w:lang w:val="en"/>
              </w:rPr>
            </w:pPr>
            <w:r>
              <w:rPr>
                <w:rFonts w:ascii="Book Antiqua" w:hAnsi="Book Antiqua" w:cs="Times New Roman"/>
                <w:sz w:val="24"/>
                <w:szCs w:val="24"/>
                <w:lang w:val="en"/>
              </w:rPr>
              <w:t xml:space="preserve">McComack </w:t>
            </w:r>
            <w:r w:rsidRPr="00BA0252">
              <w:rPr>
                <w:rFonts w:ascii="Book Antiqua" w:hAnsi="Book Antiqua" w:cs="Times New Roman"/>
                <w:i/>
                <w:sz w:val="24"/>
                <w:szCs w:val="24"/>
                <w:lang w:val="en"/>
              </w:rPr>
              <w:t>et al</w:t>
            </w:r>
            <w:r w:rsidR="00324B7E" w:rsidRPr="00BA0252">
              <w:rPr>
                <w:rFonts w:ascii="Book Antiqua" w:hAnsi="Book Antiqua" w:cs="Times New Roman"/>
                <w:sz w:val="24"/>
                <w:szCs w:val="24"/>
                <w:vertAlign w:val="superscript"/>
                <w:lang w:val="en"/>
              </w:rPr>
              <w:t>[3]</w:t>
            </w:r>
          </w:p>
        </w:tc>
        <w:tc>
          <w:tcPr>
            <w:tcW w:w="3931" w:type="dxa"/>
            <w:tcBorders>
              <w:top w:val="single" w:sz="4" w:space="0" w:color="auto"/>
            </w:tcBorders>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Fine pink speckling</w:t>
            </w:r>
            <w:r>
              <w:rPr>
                <w:rFonts w:ascii="Book Antiqua" w:hAnsi="Book Antiqua" w:cs="Times New Roman"/>
                <w:sz w:val="24"/>
                <w:szCs w:val="24"/>
                <w:lang w:val="en"/>
              </w:rPr>
              <w:t xml:space="preserve"> </w:t>
            </w:r>
            <w:r w:rsidRPr="00302F74">
              <w:rPr>
                <w:rFonts w:ascii="Book Antiqua" w:hAnsi="Book Antiqua" w:cs="Times New Roman"/>
                <w:sz w:val="24"/>
                <w:szCs w:val="24"/>
                <w:lang w:val="en"/>
              </w:rPr>
              <w:t>(scarlatina type rash)</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Superficial reddening, especially on rugal surface (striped appearance)</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Fine white reticular pattern</w:t>
            </w:r>
            <w:r>
              <w:rPr>
                <w:rFonts w:ascii="Book Antiqua" w:hAnsi="Book Antiqua" w:cs="Times New Roman"/>
                <w:sz w:val="24"/>
                <w:szCs w:val="24"/>
                <w:lang w:val="en"/>
              </w:rPr>
              <w:t xml:space="preserve"> </w:t>
            </w:r>
            <w:r w:rsidRPr="00302F74">
              <w:rPr>
                <w:rFonts w:ascii="Book Antiqua" w:hAnsi="Book Antiqua" w:cs="Times New Roman"/>
                <w:sz w:val="24"/>
                <w:szCs w:val="24"/>
                <w:lang w:val="en"/>
              </w:rPr>
              <w:t>separating areas of raised edematous mucosa (snake skin)</w:t>
            </w:r>
          </w:p>
        </w:tc>
        <w:tc>
          <w:tcPr>
            <w:tcW w:w="1989" w:type="dxa"/>
            <w:tcBorders>
              <w:top w:val="single" w:sz="4" w:space="0" w:color="auto"/>
            </w:tcBorders>
          </w:tcPr>
          <w:p w:rsidR="00324B7E" w:rsidRPr="00302F74" w:rsidRDefault="00324B7E" w:rsidP="00324B7E">
            <w:pPr>
              <w:widowControl w:val="0"/>
              <w:spacing w:line="360" w:lineRule="auto"/>
              <w:jc w:val="both"/>
              <w:rPr>
                <w:rFonts w:ascii="Book Antiqua" w:hAnsi="Book Antiqua" w:cs="Times New Roman"/>
                <w:sz w:val="24"/>
                <w:szCs w:val="24"/>
                <w:lang w:val="en"/>
              </w:rPr>
            </w:pPr>
          </w:p>
        </w:tc>
        <w:tc>
          <w:tcPr>
            <w:tcW w:w="2959" w:type="dxa"/>
            <w:tcBorders>
              <w:top w:val="single" w:sz="4" w:space="0" w:color="auto"/>
            </w:tcBorders>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Discrete red spots (analogous to cherry red spots in esophagus)</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Diffuse hemorrhagic gastritis</w:t>
            </w:r>
          </w:p>
        </w:tc>
      </w:tr>
      <w:tr w:rsidR="00324B7E" w:rsidRPr="00302F74" w:rsidTr="00324B7E">
        <w:trPr>
          <w:trHeight w:val="919"/>
        </w:trPr>
        <w:tc>
          <w:tcPr>
            <w:tcW w:w="204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McCormick</w:t>
            </w:r>
            <w:r w:rsidR="00222DD9">
              <w:rPr>
                <w:rFonts w:ascii="Book Antiqua" w:hAnsi="Book Antiqua" w:cs="Times New Roman"/>
                <w:sz w:val="24"/>
                <w:szCs w:val="24"/>
                <w:lang w:val="en"/>
              </w:rPr>
              <w:t xml:space="preserve"> </w:t>
            </w:r>
            <w:r w:rsidR="006E2DA9" w:rsidRPr="00BA0252">
              <w:rPr>
                <w:rFonts w:ascii="Book Antiqua" w:hAnsi="Book Antiqua" w:cs="Times New Roman"/>
                <w:i/>
                <w:sz w:val="24"/>
                <w:szCs w:val="24"/>
                <w:lang w:val="en"/>
              </w:rPr>
              <w:t>et al</w:t>
            </w:r>
            <w:r w:rsidR="006E2DA9">
              <w:rPr>
                <w:rFonts w:ascii="Book Antiqua" w:hAnsi="Book Antiqua" w:cs="Times New Roman"/>
                <w:sz w:val="24"/>
                <w:szCs w:val="24"/>
                <w:vertAlign w:val="superscript"/>
                <w:lang w:val="en"/>
              </w:rPr>
              <w:t>[</w:t>
            </w:r>
            <w:r w:rsidR="006E2DA9">
              <w:rPr>
                <w:rFonts w:ascii="Book Antiqua" w:hAnsi="Book Antiqua" w:cs="Times New Roman" w:hint="eastAsia"/>
                <w:sz w:val="24"/>
                <w:szCs w:val="24"/>
                <w:vertAlign w:val="superscript"/>
                <w:lang w:val="en" w:eastAsia="zh-CN"/>
              </w:rPr>
              <w:t>7</w:t>
            </w:r>
            <w:r w:rsidR="006E2DA9" w:rsidRPr="00BA0252">
              <w:rPr>
                <w:rFonts w:ascii="Book Antiqua" w:hAnsi="Book Antiqua" w:cs="Times New Roman"/>
                <w:sz w:val="24"/>
                <w:szCs w:val="24"/>
                <w:vertAlign w:val="superscript"/>
                <w:lang w:val="en"/>
              </w:rPr>
              <w:t>]</w:t>
            </w:r>
          </w:p>
        </w:tc>
        <w:tc>
          <w:tcPr>
            <w:tcW w:w="393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Mosaic or snake skin appearance</w:t>
            </w:r>
          </w:p>
        </w:tc>
        <w:tc>
          <w:tcPr>
            <w:tcW w:w="1989"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Presence of erythema</w:t>
            </w:r>
          </w:p>
        </w:tc>
        <w:tc>
          <w:tcPr>
            <w:tcW w:w="2959"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Presence of erosions or hemorrhagic gastritis</w:t>
            </w:r>
          </w:p>
        </w:tc>
      </w:tr>
      <w:tr w:rsidR="00324B7E" w:rsidRPr="00302F74" w:rsidTr="00324B7E">
        <w:trPr>
          <w:trHeight w:val="919"/>
        </w:trPr>
        <w:tc>
          <w:tcPr>
            <w:tcW w:w="204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Tanoue</w:t>
            </w:r>
            <w:r w:rsidR="00222DD9">
              <w:rPr>
                <w:rFonts w:ascii="Book Antiqua" w:hAnsi="Book Antiqua" w:cs="Times New Roman"/>
                <w:sz w:val="24"/>
                <w:szCs w:val="24"/>
                <w:lang w:val="en"/>
              </w:rPr>
              <w:t xml:space="preserve"> </w:t>
            </w:r>
            <w:r w:rsidR="006E2DA9" w:rsidRPr="00BA0252">
              <w:rPr>
                <w:rFonts w:ascii="Book Antiqua" w:hAnsi="Book Antiqua" w:cs="Times New Roman"/>
                <w:i/>
                <w:sz w:val="24"/>
                <w:szCs w:val="24"/>
                <w:lang w:val="en"/>
              </w:rPr>
              <w:t>et al</w:t>
            </w:r>
            <w:r w:rsidR="006E2DA9">
              <w:rPr>
                <w:rFonts w:ascii="Book Antiqua" w:hAnsi="Book Antiqua" w:cs="Times New Roman"/>
                <w:sz w:val="24"/>
                <w:szCs w:val="24"/>
                <w:vertAlign w:val="superscript"/>
                <w:lang w:val="en"/>
              </w:rPr>
              <w:t>[</w:t>
            </w:r>
            <w:r w:rsidR="006E2DA9">
              <w:rPr>
                <w:rFonts w:ascii="Book Antiqua" w:hAnsi="Book Antiqua" w:cs="Times New Roman" w:hint="eastAsia"/>
                <w:sz w:val="24"/>
                <w:szCs w:val="24"/>
                <w:vertAlign w:val="superscript"/>
                <w:lang w:val="en" w:eastAsia="zh-CN"/>
              </w:rPr>
              <w:t>180</w:t>
            </w:r>
            <w:r w:rsidR="006E2DA9" w:rsidRPr="00BA0252">
              <w:rPr>
                <w:rFonts w:ascii="Book Antiqua" w:hAnsi="Book Antiqua" w:cs="Times New Roman"/>
                <w:sz w:val="24"/>
                <w:szCs w:val="24"/>
                <w:vertAlign w:val="superscript"/>
                <w:lang w:val="en"/>
              </w:rPr>
              <w:t>]</w:t>
            </w:r>
          </w:p>
        </w:tc>
        <w:tc>
          <w:tcPr>
            <w:tcW w:w="393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Mild reddening, congestive mucosa, no mosaic - like pattern</w:t>
            </w:r>
          </w:p>
        </w:tc>
        <w:tc>
          <w:tcPr>
            <w:tcW w:w="1989"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Severe redness and a fine reticular pattern separating the areas of raised edematous mucosa (mosaic-like pattern) or a fine speckling</w:t>
            </w:r>
          </w:p>
        </w:tc>
        <w:tc>
          <w:tcPr>
            <w:tcW w:w="2959" w:type="dxa"/>
          </w:tcPr>
          <w:p w:rsidR="00324B7E" w:rsidRPr="00302F74" w:rsidRDefault="00324B7E" w:rsidP="00324B7E">
            <w:pPr>
              <w:widowControl w:val="0"/>
              <w:spacing w:line="360" w:lineRule="auto"/>
              <w:jc w:val="both"/>
              <w:rPr>
                <w:rFonts w:ascii="Book Antiqua" w:hAnsi="Book Antiqua" w:cs="Times New Roman"/>
                <w:sz w:val="24"/>
                <w:szCs w:val="24"/>
                <w:lang w:val="en"/>
              </w:rPr>
            </w:pPr>
          </w:p>
          <w:p w:rsidR="00324B7E" w:rsidRPr="00302F74" w:rsidRDefault="00324B7E" w:rsidP="00324B7E">
            <w:pPr>
              <w:widowControl w:val="0"/>
              <w:spacing w:line="360" w:lineRule="auto"/>
              <w:jc w:val="both"/>
              <w:rPr>
                <w:rFonts w:ascii="Book Antiqua" w:hAnsi="Book Antiqua" w:cs="Times New Roman"/>
                <w:sz w:val="24"/>
                <w:szCs w:val="24"/>
                <w:lang w:val="en"/>
              </w:rPr>
            </w:pP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GRADE III</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Point bleeding + grade II</w:t>
            </w:r>
          </w:p>
        </w:tc>
      </w:tr>
      <w:tr w:rsidR="00324B7E" w:rsidRPr="00302F74" w:rsidTr="00324B7E">
        <w:trPr>
          <w:trHeight w:val="919"/>
        </w:trPr>
        <w:tc>
          <w:tcPr>
            <w:tcW w:w="204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NIEC </w:t>
            </w:r>
          </w:p>
          <w:p w:rsidR="00324B7E" w:rsidRPr="00302F74" w:rsidRDefault="006E2DA9" w:rsidP="00324B7E">
            <w:pPr>
              <w:widowControl w:val="0"/>
              <w:spacing w:line="360" w:lineRule="auto"/>
              <w:jc w:val="both"/>
              <w:rPr>
                <w:rFonts w:ascii="Book Antiqua" w:hAnsi="Book Antiqua" w:cs="Times New Roman"/>
                <w:sz w:val="24"/>
                <w:szCs w:val="24"/>
                <w:lang w:val="en"/>
              </w:rPr>
            </w:pPr>
            <w:r w:rsidRPr="00BA0252">
              <w:rPr>
                <w:rFonts w:ascii="Book Antiqua" w:hAnsi="Book Antiqua" w:cs="Times New Roman"/>
                <w:i/>
                <w:sz w:val="24"/>
                <w:szCs w:val="24"/>
                <w:lang w:val="en"/>
              </w:rPr>
              <w:t>et al</w:t>
            </w:r>
            <w:r>
              <w:rPr>
                <w:rFonts w:ascii="Book Antiqua" w:hAnsi="Book Antiqua" w:cs="Times New Roman"/>
                <w:sz w:val="24"/>
                <w:szCs w:val="24"/>
                <w:vertAlign w:val="superscript"/>
                <w:lang w:val="en"/>
              </w:rPr>
              <w:t>[</w:t>
            </w:r>
            <w:r>
              <w:rPr>
                <w:rFonts w:ascii="Book Antiqua" w:hAnsi="Book Antiqua" w:cs="Times New Roman" w:hint="eastAsia"/>
                <w:sz w:val="24"/>
                <w:szCs w:val="24"/>
                <w:vertAlign w:val="superscript"/>
                <w:lang w:val="en" w:eastAsia="zh-CN"/>
              </w:rPr>
              <w:t>70</w:t>
            </w:r>
            <w:r w:rsidRPr="00BA0252">
              <w:rPr>
                <w:rFonts w:ascii="Book Antiqua" w:hAnsi="Book Antiqua" w:cs="Times New Roman"/>
                <w:sz w:val="24"/>
                <w:szCs w:val="24"/>
                <w:vertAlign w:val="superscript"/>
                <w:lang w:val="en"/>
              </w:rPr>
              <w:t>]</w:t>
            </w:r>
          </w:p>
        </w:tc>
        <w:tc>
          <w:tcPr>
            <w:tcW w:w="393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Mosaic-pattern: Presence of small,</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polygonal areas surrounded by a whitish-yellow depressed border</w:t>
            </w:r>
          </w:p>
        </w:tc>
        <w:tc>
          <w:tcPr>
            <w:tcW w:w="1989" w:type="dxa"/>
          </w:tcPr>
          <w:p w:rsidR="00324B7E" w:rsidRPr="00302F74" w:rsidRDefault="00324B7E" w:rsidP="00324B7E">
            <w:pPr>
              <w:widowControl w:val="0"/>
              <w:spacing w:line="360" w:lineRule="auto"/>
              <w:jc w:val="both"/>
              <w:rPr>
                <w:rFonts w:ascii="Book Antiqua" w:hAnsi="Book Antiqua" w:cs="Times New Roman"/>
                <w:sz w:val="24"/>
                <w:szCs w:val="24"/>
                <w:lang w:val="en"/>
              </w:rPr>
            </w:pPr>
          </w:p>
        </w:tc>
        <w:tc>
          <w:tcPr>
            <w:tcW w:w="2959"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Red point lesions (1mm in diameter, flat)</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Cherry-red spots (2mm, slight protrusion)</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Black-brown spots (irregularly shaped, </w:t>
            </w:r>
            <w:r w:rsidRPr="00302F74">
              <w:rPr>
                <w:rFonts w:ascii="Book Antiqua" w:hAnsi="Book Antiqua" w:cs="Times New Roman"/>
                <w:sz w:val="24"/>
                <w:szCs w:val="24"/>
                <w:lang w:val="en"/>
              </w:rPr>
              <w:lastRenderedPageBreak/>
              <w:t>persistently present after washing)</w:t>
            </w:r>
          </w:p>
        </w:tc>
      </w:tr>
      <w:tr w:rsidR="00324B7E" w:rsidRPr="00302F74" w:rsidTr="00324B7E">
        <w:trPr>
          <w:trHeight w:val="919"/>
        </w:trPr>
        <w:tc>
          <w:tcPr>
            <w:tcW w:w="204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lastRenderedPageBreak/>
              <w:t>Sarin</w:t>
            </w:r>
            <w:r w:rsidR="00222DD9">
              <w:rPr>
                <w:rFonts w:ascii="Book Antiqua" w:hAnsi="Book Antiqua" w:cs="Times New Roman"/>
                <w:sz w:val="24"/>
                <w:szCs w:val="24"/>
                <w:lang w:val="en"/>
              </w:rPr>
              <w:t xml:space="preserve"> </w:t>
            </w:r>
            <w:r w:rsidR="006E2DA9" w:rsidRPr="00BA0252">
              <w:rPr>
                <w:rFonts w:ascii="Book Antiqua" w:hAnsi="Book Antiqua" w:cs="Times New Roman"/>
                <w:i/>
                <w:sz w:val="24"/>
                <w:szCs w:val="24"/>
                <w:lang w:val="en"/>
              </w:rPr>
              <w:t>et al</w:t>
            </w:r>
            <w:r w:rsidR="006E2DA9">
              <w:rPr>
                <w:rFonts w:ascii="Book Antiqua" w:hAnsi="Book Antiqua" w:cs="Times New Roman"/>
                <w:sz w:val="24"/>
                <w:szCs w:val="24"/>
                <w:vertAlign w:val="superscript"/>
                <w:lang w:val="en"/>
              </w:rPr>
              <w:t>[</w:t>
            </w:r>
            <w:r w:rsidR="006E2DA9">
              <w:rPr>
                <w:rFonts w:ascii="Book Antiqua" w:hAnsi="Book Antiqua" w:cs="Times New Roman" w:hint="eastAsia"/>
                <w:sz w:val="24"/>
                <w:szCs w:val="24"/>
                <w:vertAlign w:val="superscript"/>
                <w:lang w:val="en" w:eastAsia="zh-CN"/>
              </w:rPr>
              <w:t>8</w:t>
            </w:r>
            <w:r w:rsidR="006E2DA9" w:rsidRPr="00BA0252">
              <w:rPr>
                <w:rFonts w:ascii="Book Antiqua" w:hAnsi="Book Antiqua" w:cs="Times New Roman"/>
                <w:sz w:val="24"/>
                <w:szCs w:val="24"/>
                <w:vertAlign w:val="superscript"/>
                <w:lang w:val="en"/>
              </w:rPr>
              <w:t>]</w:t>
            </w:r>
          </w:p>
        </w:tc>
        <w:tc>
          <w:tcPr>
            <w:tcW w:w="393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Discrete cherry red spots, with or without mosaic pattern</w:t>
            </w:r>
          </w:p>
        </w:tc>
        <w:tc>
          <w:tcPr>
            <w:tcW w:w="1989" w:type="dxa"/>
          </w:tcPr>
          <w:p w:rsidR="00324B7E" w:rsidRPr="00302F74" w:rsidRDefault="00324B7E" w:rsidP="00324B7E">
            <w:pPr>
              <w:widowControl w:val="0"/>
              <w:spacing w:line="360" w:lineRule="auto"/>
              <w:jc w:val="both"/>
              <w:rPr>
                <w:rFonts w:ascii="Book Antiqua" w:hAnsi="Book Antiqua" w:cs="Times New Roman"/>
                <w:sz w:val="24"/>
                <w:szCs w:val="24"/>
                <w:lang w:val="en"/>
              </w:rPr>
            </w:pPr>
          </w:p>
        </w:tc>
        <w:tc>
          <w:tcPr>
            <w:tcW w:w="2959"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Presence of confluent red spots, diffusely distributed in a large portion of the stomach</w:t>
            </w:r>
          </w:p>
        </w:tc>
      </w:tr>
      <w:tr w:rsidR="00324B7E" w:rsidRPr="00302F74" w:rsidTr="00324B7E">
        <w:trPr>
          <w:trHeight w:val="919"/>
        </w:trPr>
        <w:tc>
          <w:tcPr>
            <w:tcW w:w="204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Baveno II consensus* workshop</w:t>
            </w:r>
          </w:p>
          <w:p w:rsidR="00324B7E" w:rsidRPr="00302F74" w:rsidRDefault="006E2DA9" w:rsidP="00324B7E">
            <w:pPr>
              <w:widowControl w:val="0"/>
              <w:spacing w:line="360" w:lineRule="auto"/>
              <w:jc w:val="both"/>
              <w:rPr>
                <w:rFonts w:ascii="Book Antiqua" w:hAnsi="Book Antiqua" w:cs="Times New Roman"/>
                <w:sz w:val="24"/>
                <w:szCs w:val="24"/>
                <w:lang w:val="en"/>
              </w:rPr>
            </w:pPr>
            <w:r w:rsidRPr="00BA0252">
              <w:rPr>
                <w:rFonts w:ascii="Book Antiqua" w:hAnsi="Book Antiqua" w:cs="Times New Roman"/>
                <w:i/>
                <w:sz w:val="24"/>
                <w:szCs w:val="24"/>
                <w:lang w:val="en"/>
              </w:rPr>
              <w:t>et al</w:t>
            </w:r>
            <w:r>
              <w:rPr>
                <w:rFonts w:ascii="Book Antiqua" w:hAnsi="Book Antiqua" w:cs="Times New Roman"/>
                <w:sz w:val="24"/>
                <w:szCs w:val="24"/>
                <w:vertAlign w:val="superscript"/>
                <w:lang w:val="en"/>
              </w:rPr>
              <w:t>[</w:t>
            </w:r>
            <w:r>
              <w:rPr>
                <w:rFonts w:ascii="Book Antiqua" w:hAnsi="Book Antiqua" w:cs="Times New Roman" w:hint="eastAsia"/>
                <w:sz w:val="24"/>
                <w:szCs w:val="24"/>
                <w:vertAlign w:val="superscript"/>
                <w:lang w:val="en" w:eastAsia="zh-CN"/>
              </w:rPr>
              <w:t>181</w:t>
            </w:r>
            <w:r w:rsidRPr="00BA0252">
              <w:rPr>
                <w:rFonts w:ascii="Book Antiqua" w:hAnsi="Book Antiqua" w:cs="Times New Roman"/>
                <w:sz w:val="24"/>
                <w:szCs w:val="24"/>
                <w:vertAlign w:val="superscript"/>
                <w:lang w:val="en"/>
              </w:rPr>
              <w:t>]</w:t>
            </w:r>
          </w:p>
        </w:tc>
        <w:tc>
          <w:tcPr>
            <w:tcW w:w="393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Mild ≤ 3 points</w:t>
            </w:r>
          </w:p>
          <w:p w:rsidR="00324B7E" w:rsidRPr="00302F74" w:rsidRDefault="00324B7E" w:rsidP="00324B7E">
            <w:pPr>
              <w:widowControl w:val="0"/>
              <w:spacing w:line="360" w:lineRule="auto"/>
              <w:jc w:val="both"/>
              <w:rPr>
                <w:rFonts w:ascii="Book Antiqua" w:hAnsi="Book Antiqua" w:cs="Times New Roman"/>
                <w:sz w:val="24"/>
                <w:szCs w:val="24"/>
                <w:lang w:val="en"/>
              </w:rPr>
            </w:pPr>
          </w:p>
        </w:tc>
        <w:tc>
          <w:tcPr>
            <w:tcW w:w="1989" w:type="dxa"/>
          </w:tcPr>
          <w:p w:rsidR="00324B7E" w:rsidRPr="00302F74" w:rsidRDefault="00324B7E" w:rsidP="00324B7E">
            <w:pPr>
              <w:widowControl w:val="0"/>
              <w:spacing w:line="360" w:lineRule="auto"/>
              <w:jc w:val="both"/>
              <w:rPr>
                <w:rFonts w:ascii="Book Antiqua" w:hAnsi="Book Antiqua" w:cs="Times New Roman"/>
                <w:sz w:val="24"/>
                <w:szCs w:val="24"/>
                <w:lang w:val="en"/>
              </w:rPr>
            </w:pPr>
          </w:p>
          <w:p w:rsidR="00324B7E" w:rsidRPr="00302F74" w:rsidRDefault="00324B7E" w:rsidP="00324B7E">
            <w:pPr>
              <w:widowControl w:val="0"/>
              <w:spacing w:line="360" w:lineRule="auto"/>
              <w:jc w:val="both"/>
              <w:rPr>
                <w:rFonts w:ascii="Book Antiqua" w:hAnsi="Book Antiqua" w:cs="Times New Roman"/>
                <w:sz w:val="24"/>
                <w:szCs w:val="24"/>
                <w:lang w:val="en"/>
              </w:rPr>
            </w:pPr>
          </w:p>
        </w:tc>
        <w:tc>
          <w:tcPr>
            <w:tcW w:w="2959"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Severe ≥ 4 points</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Gastric antral ectasia</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Absent (0)</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Present (2)</w:t>
            </w:r>
          </w:p>
        </w:tc>
      </w:tr>
      <w:tr w:rsidR="00324B7E" w:rsidRPr="00302F74" w:rsidTr="00324B7E">
        <w:trPr>
          <w:trHeight w:val="919"/>
        </w:trPr>
        <w:tc>
          <w:tcPr>
            <w:tcW w:w="204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Yoo</w:t>
            </w:r>
            <w:r w:rsidR="00222DD9">
              <w:rPr>
                <w:rFonts w:ascii="Book Antiqua" w:hAnsi="Book Antiqua" w:cs="Times New Roman"/>
                <w:sz w:val="24"/>
                <w:szCs w:val="24"/>
                <w:lang w:val="en"/>
              </w:rPr>
              <w:t xml:space="preserve"> </w:t>
            </w:r>
            <w:r w:rsidR="006E2DA9" w:rsidRPr="00BA0252">
              <w:rPr>
                <w:rFonts w:ascii="Book Antiqua" w:hAnsi="Book Antiqua" w:cs="Times New Roman"/>
                <w:i/>
                <w:sz w:val="24"/>
                <w:szCs w:val="24"/>
                <w:lang w:val="en"/>
              </w:rPr>
              <w:t>et al</w:t>
            </w:r>
            <w:r w:rsidR="006E2DA9">
              <w:rPr>
                <w:rFonts w:ascii="Book Antiqua" w:hAnsi="Book Antiqua" w:cs="Times New Roman"/>
                <w:sz w:val="24"/>
                <w:szCs w:val="24"/>
                <w:vertAlign w:val="superscript"/>
                <w:lang w:val="en"/>
              </w:rPr>
              <w:t>[</w:t>
            </w:r>
            <w:r w:rsidR="006E2DA9">
              <w:rPr>
                <w:rFonts w:ascii="Book Antiqua" w:hAnsi="Book Antiqua" w:cs="Times New Roman" w:hint="eastAsia"/>
                <w:sz w:val="24"/>
                <w:szCs w:val="24"/>
                <w:vertAlign w:val="superscript"/>
                <w:lang w:val="en" w:eastAsia="zh-CN"/>
              </w:rPr>
              <w:t>182</w:t>
            </w:r>
            <w:r w:rsidR="006E2DA9" w:rsidRPr="00BA0252">
              <w:rPr>
                <w:rFonts w:ascii="Book Antiqua" w:hAnsi="Book Antiqua" w:cs="Times New Roman"/>
                <w:sz w:val="24"/>
                <w:szCs w:val="24"/>
                <w:vertAlign w:val="superscript"/>
                <w:lang w:val="en"/>
              </w:rPr>
              <w:t>]</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2-category classification</w:t>
            </w:r>
          </w:p>
          <w:p w:rsidR="00324B7E" w:rsidRPr="00302F74" w:rsidRDefault="00324B7E" w:rsidP="00324B7E">
            <w:pPr>
              <w:widowControl w:val="0"/>
              <w:spacing w:line="360" w:lineRule="auto"/>
              <w:jc w:val="both"/>
              <w:rPr>
                <w:rFonts w:ascii="Book Antiqua" w:hAnsi="Book Antiqua" w:cs="Times New Roman"/>
                <w:sz w:val="24"/>
                <w:szCs w:val="24"/>
                <w:lang w:val="en"/>
              </w:rPr>
            </w:pPr>
          </w:p>
        </w:tc>
        <w:tc>
          <w:tcPr>
            <w:tcW w:w="3931"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Fine pink speckling</w:t>
            </w:r>
            <w:r>
              <w:rPr>
                <w:rFonts w:ascii="Book Antiqua" w:hAnsi="Book Antiqua" w:cs="Times New Roman"/>
                <w:sz w:val="24"/>
                <w:szCs w:val="24"/>
                <w:lang w:val="en"/>
              </w:rPr>
              <w:t xml:space="preserve"> </w:t>
            </w:r>
            <w:r w:rsidRPr="00302F74">
              <w:rPr>
                <w:rFonts w:ascii="Book Antiqua" w:hAnsi="Book Antiqua" w:cs="Times New Roman"/>
                <w:sz w:val="24"/>
                <w:szCs w:val="24"/>
                <w:lang w:val="en"/>
              </w:rPr>
              <w:t>(scarlatina type rash)</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Superficial reddening</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Mosaic pattern</w:t>
            </w:r>
          </w:p>
        </w:tc>
        <w:tc>
          <w:tcPr>
            <w:tcW w:w="1989" w:type="dxa"/>
          </w:tcPr>
          <w:p w:rsidR="00324B7E" w:rsidRPr="00302F74" w:rsidRDefault="00324B7E" w:rsidP="00324B7E">
            <w:pPr>
              <w:widowControl w:val="0"/>
              <w:spacing w:line="360" w:lineRule="auto"/>
              <w:jc w:val="both"/>
              <w:rPr>
                <w:rFonts w:ascii="Book Antiqua" w:hAnsi="Book Antiqua" w:cs="Times New Roman"/>
                <w:sz w:val="24"/>
                <w:szCs w:val="24"/>
                <w:lang w:val="en"/>
              </w:rPr>
            </w:pPr>
          </w:p>
        </w:tc>
        <w:tc>
          <w:tcPr>
            <w:tcW w:w="2959" w:type="dxa"/>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Discrete red spots</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Diffuse hemorrhagic lesion</w:t>
            </w:r>
          </w:p>
        </w:tc>
      </w:tr>
      <w:tr w:rsidR="00324B7E" w:rsidRPr="00302F74" w:rsidTr="00324B7E">
        <w:trPr>
          <w:trHeight w:val="919"/>
        </w:trPr>
        <w:tc>
          <w:tcPr>
            <w:tcW w:w="2041" w:type="dxa"/>
            <w:tcBorders>
              <w:bottom w:val="single" w:sz="4" w:space="0" w:color="auto"/>
            </w:tcBorders>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Yoo</w:t>
            </w:r>
            <w:r w:rsidR="00222DD9">
              <w:rPr>
                <w:rFonts w:ascii="Book Antiqua" w:hAnsi="Book Antiqua" w:cs="Times New Roman"/>
                <w:sz w:val="24"/>
                <w:szCs w:val="24"/>
                <w:lang w:val="en"/>
              </w:rPr>
              <w:t xml:space="preserve"> </w:t>
            </w:r>
            <w:r w:rsidR="006E2DA9" w:rsidRPr="00BA0252">
              <w:rPr>
                <w:rFonts w:ascii="Book Antiqua" w:hAnsi="Book Antiqua" w:cs="Times New Roman"/>
                <w:i/>
                <w:sz w:val="24"/>
                <w:szCs w:val="24"/>
                <w:lang w:val="en"/>
              </w:rPr>
              <w:t>et al</w:t>
            </w:r>
            <w:r w:rsidR="006E2DA9">
              <w:rPr>
                <w:rFonts w:ascii="Book Antiqua" w:hAnsi="Book Antiqua" w:cs="Times New Roman"/>
                <w:sz w:val="24"/>
                <w:szCs w:val="24"/>
                <w:vertAlign w:val="superscript"/>
                <w:lang w:val="en"/>
              </w:rPr>
              <w:t>[</w:t>
            </w:r>
            <w:r w:rsidR="006E2DA9">
              <w:rPr>
                <w:rFonts w:ascii="Book Antiqua" w:hAnsi="Book Antiqua" w:cs="Times New Roman" w:hint="eastAsia"/>
                <w:sz w:val="24"/>
                <w:szCs w:val="24"/>
                <w:vertAlign w:val="superscript"/>
                <w:lang w:val="en" w:eastAsia="zh-CN"/>
              </w:rPr>
              <w:t>182</w:t>
            </w:r>
            <w:r w:rsidR="006E2DA9" w:rsidRPr="00BA0252">
              <w:rPr>
                <w:rFonts w:ascii="Book Antiqua" w:hAnsi="Book Antiqua" w:cs="Times New Roman"/>
                <w:sz w:val="24"/>
                <w:szCs w:val="24"/>
                <w:vertAlign w:val="superscript"/>
                <w:lang w:val="en"/>
              </w:rPr>
              <w:t>]</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3-category classification</w:t>
            </w:r>
          </w:p>
          <w:p w:rsidR="00324B7E" w:rsidRPr="00302F74" w:rsidRDefault="00324B7E" w:rsidP="00324B7E">
            <w:pPr>
              <w:widowControl w:val="0"/>
              <w:spacing w:line="360" w:lineRule="auto"/>
              <w:jc w:val="both"/>
              <w:rPr>
                <w:rFonts w:ascii="Book Antiqua" w:hAnsi="Book Antiqua" w:cs="Times New Roman"/>
                <w:sz w:val="24"/>
                <w:szCs w:val="24"/>
                <w:lang w:val="en"/>
              </w:rPr>
            </w:pPr>
          </w:p>
        </w:tc>
        <w:tc>
          <w:tcPr>
            <w:tcW w:w="3931" w:type="dxa"/>
            <w:tcBorders>
              <w:bottom w:val="single" w:sz="4" w:space="0" w:color="auto"/>
            </w:tcBorders>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Mild reddening</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Congestive mucosa</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Diffuse pink areola</w:t>
            </w:r>
          </w:p>
        </w:tc>
        <w:tc>
          <w:tcPr>
            <w:tcW w:w="1989" w:type="dxa"/>
            <w:tcBorders>
              <w:bottom w:val="single" w:sz="4" w:space="0" w:color="auto"/>
            </w:tcBorders>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Flat red spot in center of a pink areola</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Severe redness and a fine reticular pattern</w:t>
            </w:r>
          </w:p>
        </w:tc>
        <w:tc>
          <w:tcPr>
            <w:tcW w:w="2959" w:type="dxa"/>
            <w:tcBorders>
              <w:bottom w:val="single" w:sz="4" w:space="0" w:color="auto"/>
            </w:tcBorders>
          </w:tcPr>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Diffusely red areola</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Pinpoint bleeding</w:t>
            </w:r>
          </w:p>
          <w:p w:rsidR="00324B7E" w:rsidRPr="00302F74" w:rsidRDefault="00324B7E" w:rsidP="00324B7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Discrete or confluent red mark lesion</w:t>
            </w:r>
          </w:p>
        </w:tc>
      </w:tr>
    </w:tbl>
    <w:p w:rsidR="00C9325C" w:rsidRPr="00302F74" w:rsidRDefault="00C9325C" w:rsidP="00FA6CCE">
      <w:pPr>
        <w:widowControl w:val="0"/>
        <w:spacing w:line="360" w:lineRule="auto"/>
        <w:jc w:val="both"/>
        <w:rPr>
          <w:rFonts w:ascii="Book Antiqua" w:hAnsi="Book Antiqua" w:cs="Times New Roman"/>
          <w:sz w:val="24"/>
          <w:szCs w:val="24"/>
          <w:lang w:val="en"/>
        </w:rPr>
        <w:sectPr w:rsidR="00C9325C" w:rsidRPr="00302F74">
          <w:pgSz w:w="12240" w:h="15840"/>
          <w:pgMar w:top="1440" w:right="1440" w:bottom="1440" w:left="1440" w:header="720" w:footer="720" w:gutter="0"/>
          <w:cols w:space="720"/>
          <w:docGrid w:linePitch="360"/>
        </w:sectPr>
      </w:pPr>
      <w:r w:rsidRPr="00302F74">
        <w:rPr>
          <w:rFonts w:ascii="Book Antiqua" w:hAnsi="Book Antiqua" w:cs="Times New Roman"/>
          <w:sz w:val="24"/>
          <w:szCs w:val="24"/>
          <w:lang w:val="en"/>
        </w:rPr>
        <w:t xml:space="preserve">Points assigned for Baveno II consensus according to the following: </w:t>
      </w:r>
      <w:r w:rsidR="008D5256" w:rsidRPr="00302F74">
        <w:rPr>
          <w:rFonts w:ascii="Book Antiqua" w:hAnsi="Book Antiqua" w:cs="Times New Roman"/>
          <w:sz w:val="24"/>
          <w:szCs w:val="24"/>
          <w:lang w:val="en"/>
        </w:rPr>
        <w:t>M</w:t>
      </w:r>
      <w:r w:rsidRPr="00302F74">
        <w:rPr>
          <w:rFonts w:ascii="Book Antiqua" w:hAnsi="Book Antiqua" w:cs="Times New Roman"/>
          <w:sz w:val="24"/>
          <w:szCs w:val="24"/>
          <w:lang w:val="en"/>
        </w:rPr>
        <w:t>ild mucosal mosaic pattern</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1 point, severe mucosal mosaic pattern</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2 points; isolated red markings</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1 point, confluent red markings</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2 points; gastric antral ectasia present</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w:t>
      </w:r>
      <w:r w:rsidR="008D5256">
        <w:rPr>
          <w:rFonts w:ascii="Book Antiqua" w:hAnsi="Book Antiqua" w:cs="Times New Roman" w:hint="eastAsia"/>
          <w:sz w:val="24"/>
          <w:szCs w:val="24"/>
          <w:lang w:val="en" w:eastAsia="zh-CN"/>
        </w:rPr>
        <w:t xml:space="preserve"> </w:t>
      </w:r>
      <w:r w:rsidRPr="00302F74">
        <w:rPr>
          <w:rFonts w:ascii="Book Antiqua" w:hAnsi="Book Antiqua" w:cs="Times New Roman"/>
          <w:sz w:val="24"/>
          <w:szCs w:val="24"/>
          <w:lang w:val="en"/>
        </w:rPr>
        <w:t>2 points.</w:t>
      </w:r>
    </w:p>
    <w:tbl>
      <w:tblPr>
        <w:tblStyle w:val="TableGrid1"/>
        <w:tblpPr w:leftFromText="180" w:rightFromText="180" w:vertAnchor="text" w:horzAnchor="margin" w:tblpXSpec="center" w:tblpY="-756"/>
        <w:tblW w:w="1387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590"/>
        <w:gridCol w:w="5040"/>
        <w:gridCol w:w="1980"/>
      </w:tblGrid>
      <w:tr w:rsidR="00632F67" w:rsidRPr="00302F74" w:rsidTr="00C06256">
        <w:trPr>
          <w:trHeight w:val="548"/>
        </w:trPr>
        <w:tc>
          <w:tcPr>
            <w:tcW w:w="13878" w:type="dxa"/>
            <w:gridSpan w:val="4"/>
            <w:tcBorders>
              <w:bottom w:val="single" w:sz="4" w:space="0" w:color="auto"/>
            </w:tcBorders>
          </w:tcPr>
          <w:p w:rsidR="00C9325C" w:rsidRPr="00C06256" w:rsidRDefault="00C9325C" w:rsidP="00553DA6">
            <w:pPr>
              <w:widowControl w:val="0"/>
              <w:spacing w:line="360" w:lineRule="auto"/>
              <w:jc w:val="both"/>
              <w:rPr>
                <w:rFonts w:ascii="Book Antiqua" w:hAnsi="Book Antiqua" w:cs="Times New Roman"/>
                <w:b/>
                <w:sz w:val="24"/>
                <w:szCs w:val="24"/>
              </w:rPr>
            </w:pPr>
            <w:r w:rsidRPr="00C06256">
              <w:rPr>
                <w:rFonts w:ascii="Book Antiqua" w:hAnsi="Book Antiqua" w:cs="Times New Roman"/>
                <w:b/>
                <w:sz w:val="24"/>
                <w:szCs w:val="24"/>
              </w:rPr>
              <w:lastRenderedPageBreak/>
              <w:t xml:space="preserve">Table </w:t>
            </w:r>
            <w:r w:rsidR="00553DA6" w:rsidRPr="00C06256">
              <w:rPr>
                <w:rFonts w:ascii="Book Antiqua" w:hAnsi="Book Antiqua" w:cs="Times New Roman" w:hint="eastAsia"/>
                <w:b/>
                <w:sz w:val="24"/>
                <w:szCs w:val="24"/>
                <w:lang w:eastAsia="zh-CN"/>
              </w:rPr>
              <w:t>9</w:t>
            </w:r>
            <w:r w:rsidR="00963345" w:rsidRPr="00C06256">
              <w:rPr>
                <w:rFonts w:ascii="Book Antiqua" w:hAnsi="Book Antiqua" w:cs="Times New Roman"/>
                <w:b/>
                <w:sz w:val="24"/>
                <w:szCs w:val="24"/>
              </w:rPr>
              <w:t xml:space="preserve"> </w:t>
            </w:r>
            <w:r w:rsidRPr="00C06256">
              <w:rPr>
                <w:rFonts w:ascii="Book Antiqua" w:hAnsi="Book Antiqua" w:cs="Times New Roman"/>
                <w:b/>
                <w:sz w:val="24"/>
                <w:szCs w:val="24"/>
              </w:rPr>
              <w:t>Differences between portal hypertensive gastropathy and gastric antral vascular ectasia</w:t>
            </w:r>
          </w:p>
        </w:tc>
      </w:tr>
      <w:tr w:rsidR="00632F67" w:rsidRPr="00302F74" w:rsidTr="00C06256">
        <w:trPr>
          <w:trHeight w:val="617"/>
        </w:trPr>
        <w:tc>
          <w:tcPr>
            <w:tcW w:w="2268" w:type="dxa"/>
            <w:tcBorders>
              <w:top w:val="single" w:sz="4" w:space="0" w:color="auto"/>
              <w:bottom w:val="single" w:sz="4" w:space="0" w:color="auto"/>
            </w:tcBorders>
          </w:tcPr>
          <w:p w:rsidR="00C9325C" w:rsidRPr="00C06256" w:rsidRDefault="00C9325C" w:rsidP="00FA6CCE">
            <w:pPr>
              <w:widowControl w:val="0"/>
              <w:spacing w:line="360" w:lineRule="auto"/>
              <w:jc w:val="both"/>
              <w:rPr>
                <w:rFonts w:ascii="Book Antiqua" w:hAnsi="Book Antiqua" w:cs="Times New Roman"/>
                <w:b/>
                <w:sz w:val="24"/>
                <w:szCs w:val="24"/>
                <w:lang w:val="en"/>
              </w:rPr>
            </w:pPr>
            <w:r w:rsidRPr="00C06256">
              <w:rPr>
                <w:rFonts w:ascii="Book Antiqua" w:hAnsi="Book Antiqua" w:cs="Times New Roman"/>
                <w:b/>
                <w:sz w:val="24"/>
                <w:szCs w:val="24"/>
                <w:lang w:val="en"/>
              </w:rPr>
              <w:t>P</w:t>
            </w:r>
            <w:r w:rsidR="00C06256" w:rsidRPr="00C06256">
              <w:rPr>
                <w:rFonts w:ascii="Book Antiqua" w:hAnsi="Book Antiqua" w:cs="Times New Roman"/>
                <w:b/>
                <w:sz w:val="24"/>
                <w:szCs w:val="24"/>
                <w:lang w:val="en"/>
              </w:rPr>
              <w:t>arameter</w:t>
            </w:r>
          </w:p>
        </w:tc>
        <w:tc>
          <w:tcPr>
            <w:tcW w:w="4590" w:type="dxa"/>
            <w:tcBorders>
              <w:top w:val="single" w:sz="4" w:space="0" w:color="auto"/>
              <w:bottom w:val="single" w:sz="4" w:space="0" w:color="auto"/>
            </w:tcBorders>
          </w:tcPr>
          <w:p w:rsidR="00C9325C" w:rsidRPr="00C06256" w:rsidRDefault="00C9325C" w:rsidP="00FA6CCE">
            <w:pPr>
              <w:widowControl w:val="0"/>
              <w:spacing w:line="360" w:lineRule="auto"/>
              <w:jc w:val="both"/>
              <w:rPr>
                <w:rFonts w:ascii="Book Antiqua" w:hAnsi="Book Antiqua" w:cs="Times New Roman"/>
                <w:b/>
                <w:sz w:val="24"/>
                <w:szCs w:val="24"/>
                <w:lang w:val="en"/>
              </w:rPr>
            </w:pPr>
            <w:r w:rsidRPr="00C06256">
              <w:rPr>
                <w:rFonts w:ascii="Book Antiqua" w:hAnsi="Book Antiqua" w:cs="Times New Roman"/>
                <w:b/>
                <w:sz w:val="24"/>
                <w:szCs w:val="24"/>
                <w:lang w:val="en"/>
              </w:rPr>
              <w:t>P</w:t>
            </w:r>
            <w:r w:rsidR="00C06256" w:rsidRPr="00C06256">
              <w:rPr>
                <w:rFonts w:ascii="Book Antiqua" w:hAnsi="Book Antiqua" w:cs="Times New Roman"/>
                <w:b/>
                <w:sz w:val="24"/>
                <w:szCs w:val="24"/>
                <w:lang w:val="en"/>
              </w:rPr>
              <w:t>ortal hypertensive gastropathy</w:t>
            </w:r>
          </w:p>
        </w:tc>
        <w:tc>
          <w:tcPr>
            <w:tcW w:w="5040" w:type="dxa"/>
            <w:tcBorders>
              <w:top w:val="single" w:sz="4" w:space="0" w:color="auto"/>
              <w:bottom w:val="single" w:sz="4" w:space="0" w:color="auto"/>
            </w:tcBorders>
          </w:tcPr>
          <w:p w:rsidR="00C9325C" w:rsidRPr="00C06256" w:rsidRDefault="00C9325C" w:rsidP="00FA6CCE">
            <w:pPr>
              <w:widowControl w:val="0"/>
              <w:spacing w:line="360" w:lineRule="auto"/>
              <w:jc w:val="both"/>
              <w:rPr>
                <w:rFonts w:ascii="Book Antiqua" w:hAnsi="Book Antiqua" w:cs="Times New Roman"/>
                <w:b/>
                <w:sz w:val="24"/>
                <w:szCs w:val="24"/>
                <w:lang w:val="en"/>
              </w:rPr>
            </w:pPr>
            <w:r w:rsidRPr="00C06256">
              <w:rPr>
                <w:rFonts w:ascii="Book Antiqua" w:hAnsi="Book Antiqua" w:cs="Times New Roman"/>
                <w:b/>
                <w:sz w:val="24"/>
                <w:szCs w:val="24"/>
                <w:lang w:val="en"/>
              </w:rPr>
              <w:t>G</w:t>
            </w:r>
            <w:r w:rsidR="00C06256" w:rsidRPr="00C06256">
              <w:rPr>
                <w:rFonts w:ascii="Book Antiqua" w:hAnsi="Book Antiqua" w:cs="Times New Roman"/>
                <w:b/>
                <w:sz w:val="24"/>
                <w:szCs w:val="24"/>
                <w:lang w:val="en"/>
              </w:rPr>
              <w:t>astric antral vascular ectasia</w:t>
            </w:r>
          </w:p>
        </w:tc>
        <w:tc>
          <w:tcPr>
            <w:tcW w:w="1980" w:type="dxa"/>
            <w:tcBorders>
              <w:top w:val="single" w:sz="4" w:space="0" w:color="auto"/>
              <w:bottom w:val="single" w:sz="4" w:space="0" w:color="auto"/>
            </w:tcBorders>
          </w:tcPr>
          <w:p w:rsidR="00C9325C" w:rsidRPr="00C06256" w:rsidRDefault="00C9325C" w:rsidP="00C06256">
            <w:pPr>
              <w:widowControl w:val="0"/>
              <w:spacing w:line="360" w:lineRule="auto"/>
              <w:jc w:val="both"/>
              <w:rPr>
                <w:rFonts w:ascii="Book Antiqua" w:hAnsi="Book Antiqua" w:cs="Times New Roman"/>
                <w:b/>
                <w:sz w:val="24"/>
                <w:szCs w:val="24"/>
                <w:lang w:val="en" w:eastAsia="zh-CN"/>
              </w:rPr>
            </w:pPr>
            <w:r w:rsidRPr="00C06256">
              <w:rPr>
                <w:rFonts w:ascii="Book Antiqua" w:hAnsi="Book Antiqua" w:cs="Times New Roman"/>
                <w:b/>
                <w:sz w:val="24"/>
                <w:szCs w:val="24"/>
                <w:lang w:val="en"/>
              </w:rPr>
              <w:t>R</w:t>
            </w:r>
            <w:r w:rsidR="00C06256" w:rsidRPr="00C06256">
              <w:rPr>
                <w:rFonts w:ascii="Book Antiqua" w:hAnsi="Book Antiqua" w:cs="Times New Roman"/>
                <w:b/>
                <w:sz w:val="24"/>
                <w:szCs w:val="24"/>
                <w:lang w:val="en"/>
              </w:rPr>
              <w:t>ef</w:t>
            </w:r>
            <w:r w:rsidR="00C06256">
              <w:rPr>
                <w:rFonts w:ascii="Book Antiqua" w:hAnsi="Book Antiqua" w:cs="Times New Roman" w:hint="eastAsia"/>
                <w:b/>
                <w:sz w:val="24"/>
                <w:szCs w:val="24"/>
                <w:lang w:val="en" w:eastAsia="zh-CN"/>
              </w:rPr>
              <w:t>.</w:t>
            </w:r>
          </w:p>
        </w:tc>
      </w:tr>
      <w:tr w:rsidR="00632F67" w:rsidRPr="00302F74" w:rsidTr="00C06256">
        <w:trPr>
          <w:trHeight w:val="617"/>
        </w:trPr>
        <w:tc>
          <w:tcPr>
            <w:tcW w:w="2268"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Associated Conditions</w:t>
            </w:r>
          </w:p>
        </w:tc>
        <w:tc>
          <w:tcPr>
            <w:tcW w:w="4590"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Conditions associated with portal hypertension: cirrhotic or non-cirrhotic portal hypertension</w:t>
            </w:r>
          </w:p>
        </w:tc>
        <w:tc>
          <w:tcPr>
            <w:tcW w:w="5040"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Cirrhosis, autoimmune disorders, and connective tissue diseases (scleroderma, pernicious anemia, hypothyroidism)</w:t>
            </w:r>
          </w:p>
        </w:tc>
        <w:tc>
          <w:tcPr>
            <w:tcW w:w="1980"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lang w:val="en"/>
              </w:rPr>
              <w:t>[72]</w:t>
            </w: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Association with portal hypertension</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Strong association</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Only 30% of cases</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lang w:val="en"/>
              </w:rPr>
              <w:t>[19</w:t>
            </w:r>
            <w:r w:rsidR="00554560" w:rsidRPr="00302F74">
              <w:rPr>
                <w:rFonts w:ascii="Book Antiqua" w:hAnsi="Book Antiqua" w:cs="Times New Roman"/>
                <w:sz w:val="24"/>
                <w:szCs w:val="24"/>
                <w:lang w:val="en"/>
              </w:rPr>
              <w:t>1</w:t>
            </w:r>
            <w:r w:rsidRPr="00302F74">
              <w:rPr>
                <w:rFonts w:ascii="Book Antiqua" w:hAnsi="Book Antiqua" w:cs="Times New Roman"/>
                <w:sz w:val="24"/>
                <w:szCs w:val="24"/>
                <w:lang w:val="en"/>
              </w:rPr>
              <w:t>,19</w:t>
            </w:r>
            <w:r w:rsidR="00554560" w:rsidRPr="00302F74">
              <w:rPr>
                <w:rFonts w:ascii="Book Antiqua" w:hAnsi="Book Antiqua" w:cs="Times New Roman"/>
                <w:sz w:val="24"/>
                <w:szCs w:val="24"/>
                <w:lang w:val="en"/>
              </w:rPr>
              <w:t>2</w:t>
            </w:r>
            <w:r w:rsidRPr="00302F74">
              <w:rPr>
                <w:rFonts w:ascii="Book Antiqua" w:hAnsi="Book Antiqua" w:cs="Times New Roman"/>
                <w:sz w:val="24"/>
                <w:szCs w:val="24"/>
                <w:lang w:val="en"/>
              </w:rPr>
              <w:t>]</w:t>
            </w: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Sex</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Mildly more common in males (alcoholic cirrhosis more common in males than females)</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Much more common in females (80%)</w:t>
            </w:r>
          </w:p>
        </w:tc>
        <w:tc>
          <w:tcPr>
            <w:tcW w:w="1980" w:type="dxa"/>
          </w:tcPr>
          <w:p w:rsidR="00C9325C" w:rsidRPr="00302F74" w:rsidRDefault="00C9325C" w:rsidP="00FA6CCE">
            <w:pPr>
              <w:widowControl w:val="0"/>
              <w:spacing w:line="360" w:lineRule="auto"/>
              <w:jc w:val="both"/>
              <w:rPr>
                <w:rFonts w:ascii="Book Antiqua" w:hAnsi="Book Antiqua" w:cs="Times New Roman"/>
                <w:b/>
                <w:sz w:val="24"/>
                <w:szCs w:val="24"/>
                <w:lang w:val="en"/>
              </w:rPr>
            </w:pPr>
            <w:r w:rsidRPr="00302F74">
              <w:rPr>
                <w:rFonts w:ascii="Book Antiqua" w:hAnsi="Book Antiqua" w:cs="Times New Roman"/>
                <w:sz w:val="24"/>
                <w:szCs w:val="24"/>
              </w:rPr>
              <w:t>[19</w:t>
            </w:r>
            <w:r w:rsidR="00554560" w:rsidRPr="00302F74">
              <w:rPr>
                <w:rFonts w:ascii="Book Antiqua" w:hAnsi="Book Antiqua" w:cs="Times New Roman"/>
                <w:sz w:val="24"/>
                <w:szCs w:val="24"/>
              </w:rPr>
              <w:t>3</w:t>
            </w:r>
            <w:r w:rsidRPr="00302F74">
              <w:rPr>
                <w:rFonts w:ascii="Book Antiqua" w:hAnsi="Book Antiqua" w:cs="Times New Roman"/>
                <w:sz w:val="24"/>
                <w:szCs w:val="24"/>
              </w:rPr>
              <w:t>,19</w:t>
            </w:r>
            <w:r w:rsidR="00554560" w:rsidRPr="00302F74">
              <w:rPr>
                <w:rFonts w:ascii="Book Antiqua" w:hAnsi="Book Antiqua" w:cs="Times New Roman"/>
                <w:sz w:val="24"/>
                <w:szCs w:val="24"/>
              </w:rPr>
              <w:t>4</w:t>
            </w:r>
            <w:r w:rsidRPr="00302F74">
              <w:rPr>
                <w:rFonts w:ascii="Book Antiqua" w:hAnsi="Book Antiqua" w:cs="Times New Roman"/>
                <w:sz w:val="24"/>
                <w:szCs w:val="24"/>
              </w:rPr>
              <w:t>]</w:t>
            </w: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Age</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Can occur at any age in patients with portal hypertension or cirrhosis</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Typically elderly (average age &gt;70 years old)</w:t>
            </w:r>
          </w:p>
        </w:tc>
        <w:tc>
          <w:tcPr>
            <w:tcW w:w="1980" w:type="dxa"/>
          </w:tcPr>
          <w:p w:rsidR="00C9325C" w:rsidRPr="00302F74" w:rsidRDefault="00C9325C" w:rsidP="00FA6CCE">
            <w:pPr>
              <w:widowControl w:val="0"/>
              <w:spacing w:line="360" w:lineRule="auto"/>
              <w:jc w:val="both"/>
              <w:rPr>
                <w:rFonts w:ascii="Book Antiqua" w:hAnsi="Book Antiqua" w:cs="Times New Roman"/>
                <w:b/>
                <w:sz w:val="24"/>
                <w:szCs w:val="24"/>
                <w:lang w:val="en"/>
              </w:rPr>
            </w:pP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Location</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Proximal stomach: fundus, body</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Distal stomach: antrum</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lang w:val="en"/>
              </w:rPr>
              <w:t>[72,19</w:t>
            </w:r>
            <w:r w:rsidR="00554560" w:rsidRPr="00302F74">
              <w:rPr>
                <w:rFonts w:ascii="Book Antiqua" w:hAnsi="Book Antiqua" w:cs="Times New Roman"/>
                <w:sz w:val="24"/>
                <w:szCs w:val="24"/>
                <w:lang w:val="en"/>
              </w:rPr>
              <w:t>2</w:t>
            </w:r>
            <w:r w:rsidRPr="00302F74">
              <w:rPr>
                <w:rFonts w:ascii="Book Antiqua" w:hAnsi="Book Antiqua" w:cs="Times New Roman"/>
                <w:sz w:val="24"/>
                <w:szCs w:val="24"/>
                <w:lang w:val="en"/>
              </w:rPr>
              <w:t>]</w:t>
            </w: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Diagnosis</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Endoscopy (endoscopic biopsy sometimes useful).</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Radiologic imaging usually not helpful.</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Endoscopy (endoscopic biopsy sometimes useful)</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[72,19</w:t>
            </w:r>
            <w:r w:rsidR="00554560" w:rsidRPr="00302F74">
              <w:rPr>
                <w:rFonts w:ascii="Book Antiqua" w:hAnsi="Book Antiqua" w:cs="Times New Roman"/>
                <w:sz w:val="24"/>
                <w:szCs w:val="24"/>
                <w:lang w:val="en"/>
              </w:rPr>
              <w:t>5</w:t>
            </w:r>
            <w:r w:rsidRPr="00302F74">
              <w:rPr>
                <w:rFonts w:ascii="Book Antiqua" w:hAnsi="Book Antiqua" w:cs="Times New Roman"/>
                <w:sz w:val="24"/>
                <w:szCs w:val="24"/>
                <w:lang w:val="en"/>
              </w:rPr>
              <w:t>]</w:t>
            </w: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Appearance at endoscopy</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Mosaic/snakeskin mucosa with red or brown spots</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Tortuous columns of ectatic vessels in “watermelon” or diffuse pattern; erythematous or hemorrhagic</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[19</w:t>
            </w:r>
            <w:r w:rsidR="00554560" w:rsidRPr="00302F74">
              <w:rPr>
                <w:rFonts w:ascii="Book Antiqua" w:hAnsi="Book Antiqua" w:cs="Times New Roman"/>
                <w:sz w:val="24"/>
                <w:szCs w:val="24"/>
                <w:lang w:val="en"/>
              </w:rPr>
              <w:t>1</w:t>
            </w:r>
            <w:r w:rsidRPr="00302F74">
              <w:rPr>
                <w:rFonts w:ascii="Book Antiqua" w:hAnsi="Book Antiqua" w:cs="Times New Roman"/>
                <w:sz w:val="24"/>
                <w:szCs w:val="24"/>
                <w:lang w:val="en"/>
              </w:rPr>
              <w:t>]</w:t>
            </w:r>
          </w:p>
        </w:tc>
      </w:tr>
      <w:tr w:rsidR="00632F67" w:rsidRPr="00302F74" w:rsidTr="00C06256">
        <w:trPr>
          <w:trHeight w:val="617"/>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Histology</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Ectatic capillaries, mildly dilated mucosal and submucosal veins; no </w:t>
            </w:r>
            <w:r w:rsidRPr="00302F74">
              <w:rPr>
                <w:rFonts w:ascii="Book Antiqua" w:hAnsi="Book Antiqua" w:cs="Times New Roman"/>
                <w:sz w:val="24"/>
                <w:szCs w:val="24"/>
                <w:lang w:val="en"/>
              </w:rPr>
              <w:lastRenderedPageBreak/>
              <w:t>vascular inflammation, no vascular thrombi</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lastRenderedPageBreak/>
              <w:t xml:space="preserve">Marked dilation of capillaries and venules in gastric mucosa and submucosa with areas of </w:t>
            </w:r>
            <w:r w:rsidRPr="00302F74">
              <w:rPr>
                <w:rFonts w:ascii="Book Antiqua" w:hAnsi="Book Antiqua" w:cs="Times New Roman"/>
                <w:sz w:val="24"/>
                <w:szCs w:val="24"/>
                <w:lang w:val="en"/>
              </w:rPr>
              <w:lastRenderedPageBreak/>
              <w:t>intimal thickening, fibrin thrombi, fibromuscular hyperplasia and spindle cell proliferation</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lastRenderedPageBreak/>
              <w:t>[72,19</w:t>
            </w:r>
            <w:r w:rsidR="00554560" w:rsidRPr="00302F74">
              <w:rPr>
                <w:rFonts w:ascii="Book Antiqua" w:hAnsi="Book Antiqua" w:cs="Times New Roman"/>
                <w:sz w:val="24"/>
                <w:szCs w:val="24"/>
                <w:lang w:val="en"/>
              </w:rPr>
              <w:t>1</w:t>
            </w:r>
            <w:r w:rsidRPr="00302F74">
              <w:rPr>
                <w:rFonts w:ascii="Book Antiqua" w:hAnsi="Book Antiqua" w:cs="Times New Roman"/>
                <w:sz w:val="24"/>
                <w:szCs w:val="24"/>
                <w:lang w:val="en"/>
              </w:rPr>
              <w:t>,19</w:t>
            </w:r>
            <w:r w:rsidR="00554560" w:rsidRPr="00302F74">
              <w:rPr>
                <w:rFonts w:ascii="Book Antiqua" w:hAnsi="Book Antiqua" w:cs="Times New Roman"/>
                <w:sz w:val="24"/>
                <w:szCs w:val="24"/>
                <w:lang w:val="en"/>
              </w:rPr>
              <w:t>6</w:t>
            </w:r>
            <w:r w:rsidRPr="00302F74">
              <w:rPr>
                <w:rFonts w:ascii="Book Antiqua" w:hAnsi="Book Antiqua" w:cs="Times New Roman"/>
                <w:sz w:val="24"/>
                <w:szCs w:val="24"/>
                <w:lang w:val="en"/>
              </w:rPr>
              <w:t>,19</w:t>
            </w:r>
            <w:r w:rsidR="00554560" w:rsidRPr="00302F74">
              <w:rPr>
                <w:rFonts w:ascii="Book Antiqua" w:hAnsi="Book Antiqua" w:cs="Times New Roman"/>
                <w:sz w:val="24"/>
                <w:szCs w:val="24"/>
                <w:lang w:val="en"/>
              </w:rPr>
              <w:t>7</w:t>
            </w:r>
            <w:r w:rsidRPr="00302F74">
              <w:rPr>
                <w:rFonts w:ascii="Book Antiqua" w:hAnsi="Book Antiqua" w:cs="Times New Roman"/>
                <w:sz w:val="24"/>
                <w:szCs w:val="24"/>
                <w:lang w:val="en"/>
              </w:rPr>
              <w:t xml:space="preserve">] </w:t>
            </w: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lastRenderedPageBreak/>
              <w:t>Clinical presentation/ Complications</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Gastrointestinal bleeding: usually chronic, but sometimes acute</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Almost exclusively chronic GI bleeding with guaiac positive stools</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[37,19</w:t>
            </w:r>
            <w:r w:rsidR="00554560" w:rsidRPr="00302F74">
              <w:rPr>
                <w:rFonts w:ascii="Book Antiqua" w:hAnsi="Book Antiqua" w:cs="Times New Roman"/>
                <w:sz w:val="24"/>
                <w:szCs w:val="24"/>
                <w:lang w:val="en"/>
              </w:rPr>
              <w:t>3</w:t>
            </w:r>
            <w:r w:rsidRPr="00302F74">
              <w:rPr>
                <w:rFonts w:ascii="Book Antiqua" w:hAnsi="Book Antiqua" w:cs="Times New Roman"/>
                <w:sz w:val="24"/>
                <w:szCs w:val="24"/>
                <w:lang w:val="en"/>
              </w:rPr>
              <w:t>]</w:t>
            </w: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Primary prophylaxis</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Not indicated</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Not indicated (unless associated with large varices)</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[19</w:t>
            </w:r>
            <w:r w:rsidR="00554560" w:rsidRPr="00302F74">
              <w:rPr>
                <w:rFonts w:ascii="Book Antiqua" w:hAnsi="Book Antiqua" w:cs="Times New Roman"/>
                <w:sz w:val="24"/>
                <w:szCs w:val="24"/>
                <w:lang w:val="en"/>
              </w:rPr>
              <w:t>8</w:t>
            </w:r>
            <w:r w:rsidRPr="00302F74">
              <w:rPr>
                <w:rFonts w:ascii="Book Antiqua" w:hAnsi="Book Antiqua" w:cs="Times New Roman"/>
                <w:sz w:val="24"/>
                <w:szCs w:val="24"/>
                <w:lang w:val="en"/>
              </w:rPr>
              <w:t>]</w:t>
            </w:r>
          </w:p>
        </w:tc>
      </w:tr>
      <w:tr w:rsidR="00632F67" w:rsidRPr="00302F74" w:rsidTr="00C06256">
        <w:trPr>
          <w:trHeight w:val="548"/>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Medical therapy</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Non-selective </w:t>
            </w:r>
            <w:r w:rsidRPr="00302F74">
              <w:rPr>
                <w:rFonts w:ascii="Book Antiqua" w:hAnsi="Book Antiqua" w:cs="Times New Roman"/>
                <w:sz w:val="24"/>
                <w:szCs w:val="24"/>
              </w:rPr>
              <w:t>β</w:t>
            </w:r>
            <w:r w:rsidRPr="00302F74">
              <w:rPr>
                <w:rFonts w:ascii="Book Antiqua" w:hAnsi="Book Antiqua" w:cs="Times New Roman"/>
                <w:sz w:val="24"/>
                <w:szCs w:val="24"/>
                <w:lang w:val="en"/>
              </w:rPr>
              <w:t>-adrenergic receptor antagonists (propranolol), octreotide (for acute bleeding)</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 xml:space="preserve">No benefit of </w:t>
            </w:r>
            <w:r w:rsidRPr="00302F74">
              <w:rPr>
                <w:rFonts w:ascii="Book Antiqua" w:hAnsi="Book Antiqua" w:cs="Times New Roman"/>
                <w:sz w:val="24"/>
                <w:szCs w:val="24"/>
              </w:rPr>
              <w:t>β</w:t>
            </w:r>
            <w:r w:rsidRPr="00302F74">
              <w:rPr>
                <w:rFonts w:ascii="Book Antiqua" w:hAnsi="Book Antiqua" w:cs="Times New Roman"/>
                <w:sz w:val="24"/>
                <w:szCs w:val="24"/>
                <w:lang w:val="en"/>
              </w:rPr>
              <w:t>-adrenergic receptor antagonists</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Oral contraceptive pills to temporarily control bleeding</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Questionable benefit of octreotide</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[10</w:t>
            </w:r>
            <w:r w:rsidR="00554560" w:rsidRPr="00302F74">
              <w:rPr>
                <w:rFonts w:ascii="Book Antiqua" w:hAnsi="Book Antiqua" w:cs="Times New Roman"/>
                <w:sz w:val="24"/>
                <w:szCs w:val="24"/>
                <w:lang w:val="en"/>
              </w:rPr>
              <w:t>3</w:t>
            </w:r>
            <w:r w:rsidRPr="00302F74">
              <w:rPr>
                <w:rFonts w:ascii="Book Antiqua" w:hAnsi="Book Antiqua" w:cs="Times New Roman"/>
                <w:sz w:val="24"/>
                <w:szCs w:val="24"/>
                <w:lang w:val="en"/>
              </w:rPr>
              <w:t>,10</w:t>
            </w:r>
            <w:r w:rsidR="00554560" w:rsidRPr="00302F74">
              <w:rPr>
                <w:rFonts w:ascii="Book Antiqua" w:hAnsi="Book Antiqua" w:cs="Times New Roman"/>
                <w:sz w:val="24"/>
                <w:szCs w:val="24"/>
                <w:lang w:val="en"/>
              </w:rPr>
              <w:t>6</w:t>
            </w:r>
            <w:r w:rsidRPr="00302F74">
              <w:rPr>
                <w:rFonts w:ascii="Book Antiqua" w:hAnsi="Book Antiqua" w:cs="Times New Roman"/>
                <w:sz w:val="24"/>
                <w:szCs w:val="24"/>
                <w:lang w:val="en"/>
              </w:rPr>
              <w:t>,19</w:t>
            </w:r>
            <w:r w:rsidR="00554560" w:rsidRPr="00302F74">
              <w:rPr>
                <w:rFonts w:ascii="Book Antiqua" w:hAnsi="Book Antiqua" w:cs="Times New Roman"/>
                <w:sz w:val="24"/>
                <w:szCs w:val="24"/>
                <w:lang w:val="en"/>
              </w:rPr>
              <w:t>8</w:t>
            </w:r>
            <w:r w:rsidRPr="00302F74">
              <w:rPr>
                <w:rFonts w:ascii="Book Antiqua" w:hAnsi="Book Antiqua" w:cs="Times New Roman"/>
                <w:sz w:val="24"/>
                <w:szCs w:val="24"/>
                <w:lang w:val="en"/>
              </w:rPr>
              <w:t>-20</w:t>
            </w:r>
            <w:r w:rsidR="00554560" w:rsidRPr="00302F74">
              <w:rPr>
                <w:rFonts w:ascii="Book Antiqua" w:hAnsi="Book Antiqua" w:cs="Times New Roman"/>
                <w:sz w:val="24"/>
                <w:szCs w:val="24"/>
                <w:lang w:val="en"/>
              </w:rPr>
              <w:t>1</w:t>
            </w:r>
            <w:r w:rsidRPr="00302F74">
              <w:rPr>
                <w:rFonts w:ascii="Book Antiqua" w:hAnsi="Book Antiqua" w:cs="Times New Roman"/>
                <w:sz w:val="24"/>
                <w:szCs w:val="24"/>
                <w:lang w:val="en"/>
              </w:rPr>
              <w:t>]</w:t>
            </w:r>
          </w:p>
        </w:tc>
      </w:tr>
      <w:tr w:rsidR="00632F67" w:rsidRPr="00302F74" w:rsidTr="00C06256">
        <w:trPr>
          <w:trHeight w:val="617"/>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Endoscopic therapy</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Occasionally helpful (for focal bleeding).</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Argon plasma coagulation</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Local hemostasis with hemospray</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Very helpful at reducing risk of bleeding:</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Argon plasma coagulation</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EBL</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Radiofrequency ablation</w:t>
            </w:r>
          </w:p>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YAG laser therapy</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[20</w:t>
            </w:r>
            <w:r w:rsidR="00554560" w:rsidRPr="00302F74">
              <w:rPr>
                <w:rFonts w:ascii="Book Antiqua" w:hAnsi="Book Antiqua" w:cs="Times New Roman"/>
                <w:sz w:val="24"/>
                <w:szCs w:val="24"/>
                <w:lang w:val="en"/>
              </w:rPr>
              <w:t>2</w:t>
            </w:r>
            <w:r w:rsidRPr="00302F74">
              <w:rPr>
                <w:rFonts w:ascii="Book Antiqua" w:hAnsi="Book Antiqua" w:cs="Times New Roman"/>
                <w:sz w:val="24"/>
                <w:szCs w:val="24"/>
                <w:lang w:val="en"/>
              </w:rPr>
              <w:t>-20</w:t>
            </w:r>
            <w:r w:rsidR="00554560" w:rsidRPr="00302F74">
              <w:rPr>
                <w:rFonts w:ascii="Book Antiqua" w:hAnsi="Book Antiqua" w:cs="Times New Roman"/>
                <w:sz w:val="24"/>
                <w:szCs w:val="24"/>
                <w:lang w:val="en"/>
              </w:rPr>
              <w:t>7</w:t>
            </w:r>
            <w:r w:rsidRPr="00302F74">
              <w:rPr>
                <w:rFonts w:ascii="Book Antiqua" w:hAnsi="Book Antiqua" w:cs="Times New Roman"/>
                <w:sz w:val="24"/>
                <w:szCs w:val="24"/>
                <w:lang w:val="en"/>
              </w:rPr>
              <w:t>]</w:t>
            </w:r>
          </w:p>
          <w:p w:rsidR="00C9325C" w:rsidRPr="00302F74" w:rsidRDefault="00C9325C" w:rsidP="00FA6CCE">
            <w:pPr>
              <w:widowControl w:val="0"/>
              <w:spacing w:line="360" w:lineRule="auto"/>
              <w:jc w:val="both"/>
              <w:rPr>
                <w:rFonts w:ascii="Book Antiqua" w:hAnsi="Book Antiqua" w:cs="Times New Roman"/>
                <w:sz w:val="24"/>
                <w:szCs w:val="24"/>
                <w:lang w:val="en"/>
              </w:rPr>
            </w:pPr>
          </w:p>
        </w:tc>
      </w:tr>
      <w:tr w:rsidR="00632F67" w:rsidRPr="00302F74" w:rsidTr="00C06256">
        <w:trPr>
          <w:trHeight w:val="479"/>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TIPS</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Significantly reduces severity and risk of bleeding by reducing portal hypertension.</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Option for very severe </w:t>
            </w:r>
            <w:r w:rsidRPr="00302F74">
              <w:rPr>
                <w:rFonts w:ascii="Book Antiqua" w:hAnsi="Book Antiqua" w:cs="Times New Roman"/>
                <w:sz w:val="24"/>
                <w:szCs w:val="24"/>
                <w:lang w:val="en"/>
              </w:rPr>
              <w:lastRenderedPageBreak/>
              <w:t>bleeding from PHG or for moderate PHG in patients with variceal bleeding.</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lastRenderedPageBreak/>
              <w:t>Not recommended. Does not affect severity of GAVE or risk of bleeding.</w:t>
            </w:r>
            <w:r w:rsidR="00963345">
              <w:rPr>
                <w:rFonts w:ascii="Book Antiqua" w:hAnsi="Book Antiqua" w:cs="Times New Roman"/>
                <w:sz w:val="24"/>
                <w:szCs w:val="24"/>
                <w:lang w:val="en"/>
              </w:rPr>
              <w:t xml:space="preserve"> </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lang w:val="en"/>
              </w:rPr>
              <w:t>[75,77]</w:t>
            </w:r>
          </w:p>
          <w:p w:rsidR="00C9325C" w:rsidRPr="00302F74" w:rsidRDefault="00C9325C" w:rsidP="00FA6CCE">
            <w:pPr>
              <w:widowControl w:val="0"/>
              <w:spacing w:line="360" w:lineRule="auto"/>
              <w:jc w:val="both"/>
              <w:rPr>
                <w:rFonts w:ascii="Book Antiqua" w:hAnsi="Book Antiqua" w:cs="Times New Roman"/>
                <w:b/>
                <w:sz w:val="24"/>
                <w:szCs w:val="24"/>
              </w:rPr>
            </w:pPr>
          </w:p>
        </w:tc>
      </w:tr>
      <w:tr w:rsidR="00632F67" w:rsidRPr="00302F74" w:rsidTr="00C06256">
        <w:trPr>
          <w:trHeight w:val="479"/>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lastRenderedPageBreak/>
              <w:t>Liver transplantation</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Resolves.</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Ultimate therapy mostly reserved for patients with end-stage liver disease.</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Improves or resolves with liver transplantation.</w:t>
            </w:r>
          </w:p>
          <w:p w:rsidR="00C9325C" w:rsidRPr="00302F74" w:rsidRDefault="00C9325C" w:rsidP="00FA6CCE">
            <w:pPr>
              <w:widowControl w:val="0"/>
              <w:spacing w:line="360" w:lineRule="auto"/>
              <w:jc w:val="both"/>
              <w:rPr>
                <w:rFonts w:ascii="Book Antiqua" w:hAnsi="Book Antiqua" w:cs="Times New Roman"/>
                <w:sz w:val="24"/>
                <w:szCs w:val="24"/>
                <w:lang w:val="en"/>
              </w:rPr>
            </w:pPr>
          </w:p>
        </w:tc>
        <w:tc>
          <w:tcPr>
            <w:tcW w:w="1980" w:type="dxa"/>
          </w:tcPr>
          <w:p w:rsidR="00C9325C" w:rsidRPr="00302F74" w:rsidRDefault="00C9325C" w:rsidP="00FA6CCE">
            <w:pPr>
              <w:widowControl w:val="0"/>
              <w:spacing w:line="360" w:lineRule="auto"/>
              <w:jc w:val="both"/>
              <w:rPr>
                <w:rFonts w:ascii="Book Antiqua" w:hAnsi="Book Antiqua" w:cs="Times New Roman"/>
                <w:b/>
                <w:sz w:val="24"/>
                <w:szCs w:val="24"/>
              </w:rPr>
            </w:pPr>
            <w:r w:rsidRPr="00302F74">
              <w:rPr>
                <w:rFonts w:ascii="Book Antiqua" w:hAnsi="Book Antiqua" w:cs="Times New Roman"/>
                <w:sz w:val="24"/>
                <w:szCs w:val="24"/>
              </w:rPr>
              <w:t>[75,20</w:t>
            </w:r>
            <w:r w:rsidR="00554560" w:rsidRPr="00302F74">
              <w:rPr>
                <w:rFonts w:ascii="Book Antiqua" w:hAnsi="Book Antiqua" w:cs="Times New Roman"/>
                <w:sz w:val="24"/>
                <w:szCs w:val="24"/>
              </w:rPr>
              <w:t>0</w:t>
            </w:r>
            <w:r w:rsidRPr="00302F74">
              <w:rPr>
                <w:rFonts w:ascii="Book Antiqua" w:hAnsi="Book Antiqua" w:cs="Times New Roman"/>
                <w:sz w:val="24"/>
                <w:szCs w:val="24"/>
              </w:rPr>
              <w:t>,20</w:t>
            </w:r>
            <w:r w:rsidR="00554560" w:rsidRPr="00302F74">
              <w:rPr>
                <w:rFonts w:ascii="Book Antiqua" w:hAnsi="Book Antiqua" w:cs="Times New Roman"/>
                <w:sz w:val="24"/>
                <w:szCs w:val="24"/>
              </w:rPr>
              <w:t>8</w:t>
            </w:r>
            <w:r w:rsidRPr="00302F74">
              <w:rPr>
                <w:rFonts w:ascii="Book Antiqua" w:hAnsi="Book Antiqua" w:cs="Times New Roman"/>
                <w:sz w:val="24"/>
                <w:szCs w:val="24"/>
              </w:rPr>
              <w:t>-21</w:t>
            </w:r>
            <w:r w:rsidR="00554560" w:rsidRPr="00302F74">
              <w:rPr>
                <w:rFonts w:ascii="Book Antiqua" w:hAnsi="Book Antiqua" w:cs="Times New Roman"/>
                <w:sz w:val="24"/>
                <w:szCs w:val="24"/>
              </w:rPr>
              <w:t>0</w:t>
            </w:r>
            <w:r w:rsidRPr="00302F74">
              <w:rPr>
                <w:rFonts w:ascii="Book Antiqua" w:hAnsi="Book Antiqua" w:cs="Times New Roman"/>
                <w:sz w:val="24"/>
                <w:szCs w:val="24"/>
              </w:rPr>
              <w:t>]</w:t>
            </w:r>
          </w:p>
          <w:p w:rsidR="00C9325C" w:rsidRPr="00302F74" w:rsidRDefault="00C9325C" w:rsidP="00FA6CCE">
            <w:pPr>
              <w:widowControl w:val="0"/>
              <w:spacing w:line="360" w:lineRule="auto"/>
              <w:jc w:val="both"/>
              <w:rPr>
                <w:rFonts w:ascii="Book Antiqua" w:hAnsi="Book Antiqua" w:cs="Times New Roman"/>
                <w:b/>
                <w:sz w:val="24"/>
                <w:szCs w:val="24"/>
              </w:rPr>
            </w:pPr>
          </w:p>
        </w:tc>
      </w:tr>
      <w:tr w:rsidR="00632F67" w:rsidRPr="00302F74" w:rsidTr="00C06256">
        <w:trPr>
          <w:trHeight w:val="479"/>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Other surgery</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Usually resolves with shunt surgery that lowers portal pressure.</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 xml:space="preserve">Partial gastrectomy not recommended. </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Limited surgical resection (partial gastrectomy) recommended for refractory cases.</w:t>
            </w:r>
            <w:r w:rsidR="00963345">
              <w:rPr>
                <w:rFonts w:ascii="Book Antiqua" w:hAnsi="Book Antiqua" w:cs="Times New Roman"/>
                <w:sz w:val="24"/>
                <w:szCs w:val="24"/>
                <w:lang w:val="en"/>
              </w:rPr>
              <w:t xml:space="preserve"> </w:t>
            </w:r>
            <w:r w:rsidRPr="00302F74">
              <w:rPr>
                <w:rFonts w:ascii="Book Antiqua" w:hAnsi="Book Antiqua" w:cs="Times New Roman"/>
                <w:sz w:val="24"/>
                <w:szCs w:val="24"/>
                <w:lang w:val="en"/>
              </w:rPr>
              <w:t>Shunt surgery not recommended.</w:t>
            </w:r>
          </w:p>
        </w:tc>
        <w:tc>
          <w:tcPr>
            <w:tcW w:w="1980"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[75,20</w:t>
            </w:r>
            <w:r w:rsidR="00554560" w:rsidRPr="00302F74">
              <w:rPr>
                <w:rFonts w:ascii="Book Antiqua" w:hAnsi="Book Antiqua" w:cs="Times New Roman"/>
                <w:sz w:val="24"/>
                <w:szCs w:val="24"/>
              </w:rPr>
              <w:t>0</w:t>
            </w:r>
            <w:r w:rsidRPr="00302F74">
              <w:rPr>
                <w:rFonts w:ascii="Book Antiqua" w:hAnsi="Book Antiqua" w:cs="Times New Roman"/>
                <w:sz w:val="24"/>
                <w:szCs w:val="24"/>
              </w:rPr>
              <w:t>,21</w:t>
            </w:r>
            <w:r w:rsidR="00554560" w:rsidRPr="00302F74">
              <w:rPr>
                <w:rFonts w:ascii="Book Antiqua" w:hAnsi="Book Antiqua" w:cs="Times New Roman"/>
                <w:sz w:val="24"/>
                <w:szCs w:val="24"/>
              </w:rPr>
              <w:t>1</w:t>
            </w:r>
            <w:r w:rsidRPr="00302F74">
              <w:rPr>
                <w:rFonts w:ascii="Book Antiqua" w:hAnsi="Book Antiqua" w:cs="Times New Roman"/>
                <w:sz w:val="24"/>
                <w:szCs w:val="24"/>
              </w:rPr>
              <w:t>-21</w:t>
            </w:r>
            <w:r w:rsidR="00554560" w:rsidRPr="00302F74">
              <w:rPr>
                <w:rFonts w:ascii="Book Antiqua" w:hAnsi="Book Antiqua" w:cs="Times New Roman"/>
                <w:sz w:val="24"/>
                <w:szCs w:val="24"/>
              </w:rPr>
              <w:t>3</w:t>
            </w:r>
            <w:r w:rsidRPr="00302F74">
              <w:rPr>
                <w:rFonts w:ascii="Book Antiqua" w:hAnsi="Book Antiqua" w:cs="Times New Roman"/>
                <w:sz w:val="24"/>
                <w:szCs w:val="24"/>
              </w:rPr>
              <w:t>]</w:t>
            </w:r>
          </w:p>
        </w:tc>
      </w:tr>
      <w:tr w:rsidR="00632F67" w:rsidRPr="00302F74" w:rsidTr="00C06256">
        <w:trPr>
          <w:trHeight w:val="479"/>
        </w:trPr>
        <w:tc>
          <w:tcPr>
            <w:tcW w:w="2268"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Prognosis from bleeding</w:t>
            </w:r>
          </w:p>
        </w:tc>
        <w:tc>
          <w:tcPr>
            <w:tcW w:w="459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Bleeding rarely severe and very rarely fatal.</w:t>
            </w:r>
          </w:p>
        </w:tc>
        <w:tc>
          <w:tcPr>
            <w:tcW w:w="5040" w:type="dxa"/>
          </w:tcPr>
          <w:p w:rsidR="00C9325C" w:rsidRPr="00302F74" w:rsidRDefault="00C9325C" w:rsidP="00FA6CCE">
            <w:pPr>
              <w:widowControl w:val="0"/>
              <w:spacing w:line="360" w:lineRule="auto"/>
              <w:jc w:val="both"/>
              <w:rPr>
                <w:rFonts w:ascii="Book Antiqua" w:hAnsi="Book Antiqua" w:cs="Times New Roman"/>
                <w:sz w:val="24"/>
                <w:szCs w:val="24"/>
                <w:lang w:val="en"/>
              </w:rPr>
            </w:pPr>
            <w:r w:rsidRPr="00302F74">
              <w:rPr>
                <w:rFonts w:ascii="Book Antiqua" w:hAnsi="Book Antiqua" w:cs="Times New Roman"/>
                <w:sz w:val="24"/>
                <w:szCs w:val="24"/>
                <w:lang w:val="en"/>
              </w:rPr>
              <w:t>Bleeding occasionally severe.</w:t>
            </w:r>
          </w:p>
        </w:tc>
        <w:tc>
          <w:tcPr>
            <w:tcW w:w="1980" w:type="dxa"/>
          </w:tcPr>
          <w:p w:rsidR="00C9325C" w:rsidRPr="00302F74" w:rsidRDefault="00C9325C" w:rsidP="00FA6CCE">
            <w:pPr>
              <w:widowControl w:val="0"/>
              <w:spacing w:line="360" w:lineRule="auto"/>
              <w:jc w:val="both"/>
              <w:rPr>
                <w:rFonts w:ascii="Book Antiqua" w:hAnsi="Book Antiqua" w:cs="Times New Roman"/>
                <w:bCs/>
                <w:sz w:val="24"/>
                <w:szCs w:val="24"/>
              </w:rPr>
            </w:pPr>
            <w:r w:rsidRPr="00302F74">
              <w:rPr>
                <w:rFonts w:ascii="Book Antiqua" w:hAnsi="Book Antiqua" w:cs="Times New Roman"/>
                <w:sz w:val="24"/>
                <w:szCs w:val="24"/>
                <w:lang w:val="en"/>
              </w:rPr>
              <w:t>[34,71,72]</w:t>
            </w:r>
          </w:p>
          <w:p w:rsidR="00C9325C" w:rsidRPr="00302F74" w:rsidRDefault="00C9325C" w:rsidP="00FA6CCE">
            <w:pPr>
              <w:widowControl w:val="0"/>
              <w:spacing w:line="360" w:lineRule="auto"/>
              <w:jc w:val="both"/>
              <w:rPr>
                <w:rFonts w:ascii="Book Antiqua" w:hAnsi="Book Antiqua" w:cs="Times New Roman"/>
                <w:sz w:val="24"/>
                <w:szCs w:val="24"/>
              </w:rPr>
            </w:pPr>
          </w:p>
          <w:p w:rsidR="00C9325C" w:rsidRPr="00302F74" w:rsidRDefault="00C9325C" w:rsidP="00FA6CCE">
            <w:pPr>
              <w:widowControl w:val="0"/>
              <w:spacing w:line="360" w:lineRule="auto"/>
              <w:jc w:val="both"/>
              <w:rPr>
                <w:rFonts w:ascii="Book Antiqua" w:hAnsi="Book Antiqua" w:cs="Times New Roman"/>
                <w:b/>
                <w:sz w:val="24"/>
                <w:szCs w:val="24"/>
              </w:rPr>
            </w:pPr>
          </w:p>
        </w:tc>
      </w:tr>
    </w:tbl>
    <w:p w:rsidR="00C9325C" w:rsidRDefault="00C9325C" w:rsidP="00FA6CCE">
      <w:pPr>
        <w:widowControl w:val="0"/>
        <w:spacing w:line="360" w:lineRule="auto"/>
        <w:jc w:val="both"/>
        <w:rPr>
          <w:rFonts w:ascii="Book Antiqua" w:hAnsi="Book Antiqua" w:cs="Times New Roman"/>
          <w:sz w:val="24"/>
          <w:szCs w:val="24"/>
          <w:lang w:val="en" w:eastAsia="zh-CN"/>
        </w:rPr>
      </w:pPr>
      <w:r w:rsidRPr="00302F74">
        <w:rPr>
          <w:rFonts w:ascii="Book Antiqua" w:hAnsi="Book Antiqua" w:cs="Times New Roman"/>
          <w:sz w:val="24"/>
          <w:szCs w:val="24"/>
          <w:lang w:val="en"/>
        </w:rPr>
        <w:t>YAG</w:t>
      </w:r>
      <w:r w:rsidR="00C06256">
        <w:rPr>
          <w:rFonts w:ascii="Book Antiqua" w:hAnsi="Book Antiqua" w:cs="Times New Roman" w:hint="eastAsia"/>
          <w:sz w:val="24"/>
          <w:szCs w:val="24"/>
          <w:lang w:val="en" w:eastAsia="zh-CN"/>
        </w:rPr>
        <w:t>:</w:t>
      </w:r>
      <w:r w:rsidRPr="00302F74">
        <w:rPr>
          <w:rFonts w:ascii="Book Antiqua" w:hAnsi="Book Antiqua" w:cs="Times New Roman"/>
          <w:sz w:val="24"/>
          <w:szCs w:val="24"/>
          <w:lang w:val="en"/>
        </w:rPr>
        <w:t xml:space="preserve"> </w:t>
      </w:r>
      <w:r w:rsidR="00685316">
        <w:rPr>
          <w:rFonts w:ascii="Book Antiqua" w:hAnsi="Book Antiqua" w:cs="Times New Roman"/>
          <w:sz w:val="24"/>
          <w:szCs w:val="24"/>
        </w:rPr>
        <w:t>Yttrium aluminum garnet</w:t>
      </w:r>
      <w:r w:rsidR="00685316">
        <w:rPr>
          <w:rFonts w:ascii="Book Antiqua" w:hAnsi="Book Antiqua" w:cs="Times New Roman" w:hint="eastAsia"/>
          <w:sz w:val="24"/>
          <w:szCs w:val="24"/>
          <w:lang w:eastAsia="zh-CN"/>
        </w:rPr>
        <w:t xml:space="preserve">; </w:t>
      </w:r>
      <w:r w:rsidR="00685316" w:rsidRPr="008C6824">
        <w:rPr>
          <w:rFonts w:ascii="Book Antiqua" w:hAnsi="Book Antiqua" w:cs="Times New Roman"/>
          <w:sz w:val="24"/>
          <w:szCs w:val="24"/>
          <w:lang w:val="en"/>
        </w:rPr>
        <w:t>TIPS</w:t>
      </w:r>
      <w:r w:rsidR="00685316">
        <w:rPr>
          <w:rFonts w:ascii="Book Antiqua" w:hAnsi="Book Antiqua" w:cs="Times New Roman" w:hint="eastAsia"/>
          <w:sz w:val="24"/>
          <w:szCs w:val="24"/>
          <w:lang w:val="en" w:eastAsia="zh-CN"/>
        </w:rPr>
        <w:t xml:space="preserve">: </w:t>
      </w:r>
      <w:r w:rsidR="00685316" w:rsidRPr="008C6824">
        <w:rPr>
          <w:rFonts w:ascii="Book Antiqua" w:hAnsi="Book Antiqua" w:cs="Times New Roman"/>
          <w:sz w:val="24"/>
          <w:szCs w:val="24"/>
          <w:lang w:val="en"/>
        </w:rPr>
        <w:t>Transjugular intrahepatic portosystemic shunt</w:t>
      </w:r>
      <w:r w:rsidR="00685316">
        <w:rPr>
          <w:rFonts w:ascii="Book Antiqua" w:hAnsi="Book Antiqua" w:cs="Times New Roman" w:hint="eastAsia"/>
          <w:sz w:val="24"/>
          <w:szCs w:val="24"/>
          <w:lang w:val="en" w:eastAsia="zh-CN"/>
        </w:rPr>
        <w:t>.</w:t>
      </w:r>
    </w:p>
    <w:p w:rsidR="00685316" w:rsidRPr="00302F74" w:rsidRDefault="00685316" w:rsidP="00FA6CCE">
      <w:pPr>
        <w:widowControl w:val="0"/>
        <w:spacing w:line="360" w:lineRule="auto"/>
        <w:jc w:val="both"/>
        <w:rPr>
          <w:rFonts w:ascii="Book Antiqua" w:hAnsi="Book Antiqua" w:cs="Times New Roman"/>
          <w:sz w:val="24"/>
          <w:szCs w:val="24"/>
          <w:lang w:eastAsia="zh-CN"/>
        </w:rPr>
        <w:sectPr w:rsidR="00685316" w:rsidRPr="00302F74" w:rsidSect="002C0900">
          <w:footerReference w:type="default" r:id="rId13"/>
          <w:pgSz w:w="15840" w:h="12240" w:orient="landscape"/>
          <w:pgMar w:top="1440" w:right="1440" w:bottom="1440" w:left="1440" w:header="720" w:footer="720" w:gutter="0"/>
          <w:cols w:space="720"/>
          <w:docGrid w:linePitch="360"/>
        </w:sectPr>
      </w:pPr>
    </w:p>
    <w:tbl>
      <w:tblPr>
        <w:tblStyle w:val="TableGrid1"/>
        <w:tblW w:w="973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934"/>
        <w:gridCol w:w="3962"/>
      </w:tblGrid>
      <w:tr w:rsidR="00632F67" w:rsidRPr="00302F74" w:rsidTr="00685316">
        <w:trPr>
          <w:trHeight w:val="794"/>
        </w:trPr>
        <w:tc>
          <w:tcPr>
            <w:tcW w:w="9738" w:type="dxa"/>
            <w:gridSpan w:val="3"/>
            <w:tcBorders>
              <w:bottom w:val="single" w:sz="4" w:space="0" w:color="auto"/>
            </w:tcBorders>
          </w:tcPr>
          <w:p w:rsidR="00C9325C" w:rsidRPr="00685316" w:rsidRDefault="00C9325C" w:rsidP="00553DA6">
            <w:pPr>
              <w:widowControl w:val="0"/>
              <w:spacing w:line="360" w:lineRule="auto"/>
              <w:jc w:val="both"/>
              <w:rPr>
                <w:rFonts w:ascii="Book Antiqua" w:hAnsi="Book Antiqua" w:cs="Times New Roman"/>
                <w:b/>
                <w:sz w:val="24"/>
                <w:szCs w:val="24"/>
              </w:rPr>
            </w:pPr>
            <w:r w:rsidRPr="00685316">
              <w:rPr>
                <w:rFonts w:ascii="Book Antiqua" w:hAnsi="Book Antiqua" w:cs="Times New Roman"/>
                <w:b/>
                <w:sz w:val="24"/>
                <w:szCs w:val="24"/>
              </w:rPr>
              <w:lastRenderedPageBreak/>
              <w:t>T</w:t>
            </w:r>
            <w:r w:rsidR="00685316" w:rsidRPr="00685316">
              <w:rPr>
                <w:rFonts w:ascii="Book Antiqua" w:hAnsi="Book Antiqua" w:cs="Times New Roman"/>
                <w:b/>
                <w:sz w:val="24"/>
                <w:szCs w:val="24"/>
              </w:rPr>
              <w:t xml:space="preserve">able </w:t>
            </w:r>
            <w:r w:rsidR="00553DA6" w:rsidRPr="00685316">
              <w:rPr>
                <w:rFonts w:ascii="Book Antiqua" w:hAnsi="Book Antiqua" w:cs="Times New Roman" w:hint="eastAsia"/>
                <w:b/>
                <w:sz w:val="24"/>
                <w:szCs w:val="24"/>
                <w:lang w:eastAsia="zh-CN"/>
              </w:rPr>
              <w:t>10</w:t>
            </w:r>
            <w:r w:rsidR="00963345" w:rsidRPr="00685316">
              <w:rPr>
                <w:rFonts w:ascii="Book Antiqua" w:hAnsi="Book Antiqua" w:cs="Times New Roman"/>
                <w:b/>
                <w:sz w:val="24"/>
                <w:szCs w:val="24"/>
              </w:rPr>
              <w:t xml:space="preserve"> </w:t>
            </w:r>
            <w:r w:rsidRPr="00685316">
              <w:rPr>
                <w:rFonts w:ascii="Book Antiqua" w:hAnsi="Book Antiqua" w:cs="Times New Roman"/>
                <w:b/>
                <w:sz w:val="24"/>
                <w:szCs w:val="24"/>
              </w:rPr>
              <w:t xml:space="preserve">Differences in gastrointestinal bleeding from portal hypertensive gastropathy </w:t>
            </w:r>
            <w:r w:rsidR="00F34508" w:rsidRPr="00685316">
              <w:rPr>
                <w:rFonts w:ascii="Book Antiqua" w:hAnsi="Book Antiqua" w:cs="Times New Roman" w:hint="eastAsia"/>
                <w:b/>
                <w:i/>
                <w:sz w:val="24"/>
                <w:szCs w:val="24"/>
                <w:lang w:eastAsia="zh-CN"/>
              </w:rPr>
              <w:t>vs</w:t>
            </w:r>
            <w:r w:rsidRPr="00685316">
              <w:rPr>
                <w:rFonts w:ascii="Book Antiqua" w:hAnsi="Book Antiqua" w:cs="Times New Roman"/>
                <w:b/>
                <w:sz w:val="24"/>
                <w:szCs w:val="24"/>
              </w:rPr>
              <w:t xml:space="preserve"> esophageal varices</w:t>
            </w:r>
          </w:p>
        </w:tc>
      </w:tr>
      <w:tr w:rsidR="00632F67" w:rsidRPr="00302F74" w:rsidTr="00C82ABA">
        <w:trPr>
          <w:trHeight w:val="794"/>
        </w:trPr>
        <w:tc>
          <w:tcPr>
            <w:tcW w:w="1842" w:type="dxa"/>
            <w:tcBorders>
              <w:top w:val="single" w:sz="4" w:space="0" w:color="auto"/>
              <w:bottom w:val="single" w:sz="4" w:space="0" w:color="auto"/>
            </w:tcBorders>
          </w:tcPr>
          <w:p w:rsidR="00C9325C" w:rsidRPr="00685316" w:rsidRDefault="00C9325C" w:rsidP="00FA6CCE">
            <w:pPr>
              <w:widowControl w:val="0"/>
              <w:spacing w:line="360" w:lineRule="auto"/>
              <w:jc w:val="both"/>
              <w:rPr>
                <w:rFonts w:ascii="Book Antiqua" w:hAnsi="Book Antiqua" w:cs="Times New Roman"/>
                <w:b/>
                <w:sz w:val="24"/>
                <w:szCs w:val="24"/>
              </w:rPr>
            </w:pPr>
            <w:r w:rsidRPr="00685316">
              <w:rPr>
                <w:rFonts w:ascii="Book Antiqua" w:hAnsi="Book Antiqua" w:cs="Times New Roman"/>
                <w:b/>
                <w:sz w:val="24"/>
                <w:szCs w:val="24"/>
              </w:rPr>
              <w:t>Parameter</w:t>
            </w:r>
          </w:p>
        </w:tc>
        <w:tc>
          <w:tcPr>
            <w:tcW w:w="3934" w:type="dxa"/>
            <w:tcBorders>
              <w:top w:val="single" w:sz="4" w:space="0" w:color="auto"/>
              <w:bottom w:val="single" w:sz="4" w:space="0" w:color="auto"/>
            </w:tcBorders>
          </w:tcPr>
          <w:p w:rsidR="00C9325C" w:rsidRPr="00685316" w:rsidRDefault="00C9325C" w:rsidP="00FA6CCE">
            <w:pPr>
              <w:widowControl w:val="0"/>
              <w:spacing w:line="360" w:lineRule="auto"/>
              <w:jc w:val="both"/>
              <w:rPr>
                <w:rFonts w:ascii="Book Antiqua" w:hAnsi="Book Antiqua" w:cs="Times New Roman"/>
                <w:b/>
                <w:sz w:val="24"/>
                <w:szCs w:val="24"/>
              </w:rPr>
            </w:pPr>
            <w:r w:rsidRPr="00685316">
              <w:rPr>
                <w:rFonts w:ascii="Book Antiqua" w:hAnsi="Book Antiqua" w:cs="Times New Roman"/>
                <w:b/>
                <w:sz w:val="24"/>
                <w:szCs w:val="24"/>
              </w:rPr>
              <w:t xml:space="preserve">Portal </w:t>
            </w:r>
            <w:r w:rsidR="00E108BD" w:rsidRPr="00685316">
              <w:rPr>
                <w:rFonts w:ascii="Book Antiqua" w:hAnsi="Book Antiqua" w:cs="Times New Roman"/>
                <w:b/>
                <w:sz w:val="24"/>
                <w:szCs w:val="24"/>
              </w:rPr>
              <w:t>hypertensive g</w:t>
            </w:r>
            <w:r w:rsidRPr="00685316">
              <w:rPr>
                <w:rFonts w:ascii="Book Antiqua" w:hAnsi="Book Antiqua" w:cs="Times New Roman"/>
                <w:b/>
                <w:sz w:val="24"/>
                <w:szCs w:val="24"/>
              </w:rPr>
              <w:t>astropathy</w:t>
            </w:r>
          </w:p>
        </w:tc>
        <w:tc>
          <w:tcPr>
            <w:tcW w:w="3962" w:type="dxa"/>
            <w:tcBorders>
              <w:top w:val="single" w:sz="4" w:space="0" w:color="auto"/>
              <w:bottom w:val="single" w:sz="4" w:space="0" w:color="auto"/>
            </w:tcBorders>
          </w:tcPr>
          <w:p w:rsidR="00C9325C" w:rsidRPr="00685316" w:rsidRDefault="00C9325C" w:rsidP="00FA6CCE">
            <w:pPr>
              <w:widowControl w:val="0"/>
              <w:spacing w:line="360" w:lineRule="auto"/>
              <w:jc w:val="both"/>
              <w:rPr>
                <w:rFonts w:ascii="Book Antiqua" w:hAnsi="Book Antiqua" w:cs="Times New Roman"/>
                <w:b/>
                <w:sz w:val="24"/>
                <w:szCs w:val="24"/>
              </w:rPr>
            </w:pPr>
            <w:r w:rsidRPr="00685316">
              <w:rPr>
                <w:rFonts w:ascii="Book Antiqua" w:hAnsi="Book Antiqua" w:cs="Times New Roman"/>
                <w:b/>
                <w:sz w:val="24"/>
                <w:szCs w:val="24"/>
              </w:rPr>
              <w:t xml:space="preserve">Esophageal </w:t>
            </w:r>
            <w:r w:rsidR="00E108BD" w:rsidRPr="00685316">
              <w:rPr>
                <w:rFonts w:ascii="Book Antiqua" w:hAnsi="Book Antiqua" w:cs="Times New Roman"/>
                <w:b/>
                <w:sz w:val="24"/>
                <w:szCs w:val="24"/>
              </w:rPr>
              <w:t>v</w:t>
            </w:r>
            <w:r w:rsidRPr="00685316">
              <w:rPr>
                <w:rFonts w:ascii="Book Antiqua" w:hAnsi="Book Antiqua" w:cs="Times New Roman"/>
                <w:b/>
                <w:sz w:val="24"/>
                <w:szCs w:val="24"/>
              </w:rPr>
              <w:t>arices</w:t>
            </w:r>
          </w:p>
        </w:tc>
      </w:tr>
      <w:tr w:rsidR="00632F67" w:rsidRPr="00302F74" w:rsidTr="00C82ABA">
        <w:trPr>
          <w:trHeight w:val="874"/>
        </w:trPr>
        <w:tc>
          <w:tcPr>
            <w:tcW w:w="1842"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Etiology</w:t>
            </w:r>
          </w:p>
        </w:tc>
        <w:tc>
          <w:tcPr>
            <w:tcW w:w="3934"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 cirrhotic or non-cirrhotic</w:t>
            </w:r>
          </w:p>
        </w:tc>
        <w:tc>
          <w:tcPr>
            <w:tcW w:w="3962"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Portal hypertension: cirrhotic or non-cirrhotic</w:t>
            </w:r>
          </w:p>
        </w:tc>
      </w:tr>
      <w:tr w:rsidR="00632F67" w:rsidRPr="00302F74" w:rsidTr="00C82ABA">
        <w:trPr>
          <w:trHeight w:val="79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Concurrence</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Frequently occur simultaneously with esophageal varices because the two diseases share common risk factors</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Frequently occurs simultaneously with PGH because the two diseases have common risk factors</w:t>
            </w:r>
          </w:p>
        </w:tc>
      </w:tr>
      <w:tr w:rsidR="00632F67" w:rsidRPr="00302F74" w:rsidTr="00C82ABA">
        <w:trPr>
          <w:trHeight w:val="79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Location</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Stomach: predominantly fundus and body</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Distal esophagus: also can have gastric varices or ectopic varices in other gastrointestinal regions, particularly duodenum</w:t>
            </w:r>
          </w:p>
        </w:tc>
      </w:tr>
      <w:tr w:rsidR="00632F67" w:rsidRPr="00302F74" w:rsidTr="00C82ABA">
        <w:trPr>
          <w:trHeight w:val="79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Diagnosis</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Esophagogastroduodenoscopy</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Esophagogastroduodenoscopy</w:t>
            </w:r>
          </w:p>
        </w:tc>
      </w:tr>
      <w:tr w:rsidR="00632F67" w:rsidRPr="00302F74" w:rsidTr="00C82ABA">
        <w:trPr>
          <w:trHeight w:val="87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Endoscopic Appearance</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Erythematous small polygonal areas of mucosa surrounded by a fine, whitish, reticular p</w:t>
            </w:r>
            <w:r w:rsidR="00963345">
              <w:rPr>
                <w:rFonts w:ascii="Book Antiqua" w:hAnsi="Book Antiqua" w:cs="Times New Roman"/>
                <w:sz w:val="24"/>
                <w:szCs w:val="24"/>
              </w:rPr>
              <w:t xml:space="preserve"> </w:t>
            </w:r>
            <w:r w:rsidRPr="00302F74">
              <w:rPr>
                <w:rFonts w:ascii="Book Antiqua" w:hAnsi="Book Antiqua" w:cs="Times New Roman"/>
                <w:sz w:val="24"/>
                <w:szCs w:val="24"/>
              </w:rPr>
              <w:t>Mosaic/snakeskin mucosa with red or brown spots</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Serpiginous mucosal greyish liminal projections in distal esophagus</w:t>
            </w:r>
          </w:p>
        </w:tc>
      </w:tr>
      <w:tr w:rsidR="00632F67" w:rsidRPr="00302F74" w:rsidTr="00C82ABA">
        <w:trPr>
          <w:trHeight w:val="546"/>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Clinical presentation</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Mild acute or chronic bleeding</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Acute gastrointestinal bleeding-typically massive</w:t>
            </w:r>
          </w:p>
        </w:tc>
      </w:tr>
      <w:tr w:rsidR="00632F67" w:rsidRPr="00302F74" w:rsidTr="00C82ABA">
        <w:trPr>
          <w:trHeight w:val="79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Severity of bleeding</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Typically mild and not life-threatening</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Typically severe and life-threatening</w:t>
            </w:r>
          </w:p>
        </w:tc>
      </w:tr>
      <w:tr w:rsidR="00632F67" w:rsidRPr="00302F74" w:rsidTr="00C82ABA">
        <w:trPr>
          <w:trHeight w:val="447"/>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Histology</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biopsied at endoscopy</w:t>
            </w:r>
          </w:p>
        </w:tc>
      </w:tr>
      <w:tr w:rsidR="00632F67" w:rsidRPr="00302F74" w:rsidTr="00C82ABA">
        <w:trPr>
          <w:trHeight w:val="79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Endoscopic therapy</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Limited role</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sz w:val="24"/>
                <w:szCs w:val="24"/>
              </w:rPr>
              <w:t>Variceal ligation recommended initial therapy.</w:t>
            </w:r>
            <w:r w:rsidR="00963345">
              <w:rPr>
                <w:rFonts w:ascii="Book Antiqua" w:hAnsi="Book Antiqua" w:cs="Times New Roman"/>
                <w:sz w:val="24"/>
                <w:szCs w:val="24"/>
              </w:rPr>
              <w:t xml:space="preserve"> </w:t>
            </w:r>
            <w:r w:rsidRPr="00302F74">
              <w:rPr>
                <w:rFonts w:ascii="Book Antiqua" w:hAnsi="Book Antiqua" w:cs="Times New Roman"/>
                <w:sz w:val="24"/>
                <w:szCs w:val="24"/>
              </w:rPr>
              <w:t>Sclero</w:t>
            </w:r>
            <w:r w:rsidR="00E108BD">
              <w:rPr>
                <w:rFonts w:ascii="Book Antiqua" w:hAnsi="Book Antiqua" w:cs="Times New Roman"/>
                <w:sz w:val="24"/>
                <w:szCs w:val="24"/>
              </w:rPr>
              <w:t>therapy an alternative therapy.</w:t>
            </w:r>
          </w:p>
        </w:tc>
      </w:tr>
      <w:tr w:rsidR="00632F67" w:rsidRPr="00302F74" w:rsidTr="00C82ABA">
        <w:trPr>
          <w:trHeight w:val="87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Medical therapy</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Octreotide</w:t>
            </w:r>
          </w:p>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Propranolol</w:t>
            </w:r>
          </w:p>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Vasopressin or vasopressin analogues-infrequently recommended any more</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Octreotide</w:t>
            </w:r>
          </w:p>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Propranolol</w:t>
            </w:r>
          </w:p>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Vasopressin or vasopressin analogues-infrequently recommended any more</w:t>
            </w:r>
          </w:p>
        </w:tc>
      </w:tr>
      <w:tr w:rsidR="00632F67" w:rsidRPr="00302F74" w:rsidTr="00C82ABA">
        <w:trPr>
          <w:trHeight w:val="79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Blakemore tube</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Not recommended</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Sometimes used for refractory bleeding especially as a temporizing measure before performing more definitive therapy</w:t>
            </w:r>
          </w:p>
        </w:tc>
      </w:tr>
      <w:tr w:rsidR="00632F67" w:rsidRPr="00302F74" w:rsidTr="00C82ABA">
        <w:trPr>
          <w:trHeight w:val="79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Angiographic therapy</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TIPS used as a last resort</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Tips recommended if endoscopic therapy fails.</w:t>
            </w:r>
          </w:p>
        </w:tc>
      </w:tr>
      <w:tr w:rsidR="00632F67" w:rsidRPr="00302F74" w:rsidTr="00C82ABA">
        <w:trPr>
          <w:trHeight w:val="79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lastRenderedPageBreak/>
              <w:t>Transfusion of packed erythrocytes</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Transfuse only to hematocrit of about 28.</w:t>
            </w:r>
            <w:r w:rsidR="00963345">
              <w:rPr>
                <w:rFonts w:ascii="Book Antiqua" w:hAnsi="Book Antiqua" w:cs="Times New Roman"/>
                <w:sz w:val="24"/>
                <w:szCs w:val="24"/>
              </w:rPr>
              <w:t xml:space="preserve"> </w:t>
            </w:r>
            <w:r w:rsidRPr="00302F74">
              <w:rPr>
                <w:rFonts w:ascii="Book Antiqua" w:hAnsi="Book Antiqua" w:cs="Times New Roman"/>
                <w:sz w:val="24"/>
                <w:szCs w:val="24"/>
              </w:rPr>
              <w:t>Over-transfusion may increase portal pressure and induce greater bleeding.</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Transfuse only to hematocrit of about 28.</w:t>
            </w:r>
            <w:r w:rsidR="00963345">
              <w:rPr>
                <w:rFonts w:ascii="Book Antiqua" w:hAnsi="Book Antiqua" w:cs="Times New Roman"/>
                <w:sz w:val="24"/>
                <w:szCs w:val="24"/>
              </w:rPr>
              <w:t xml:space="preserve"> </w:t>
            </w:r>
            <w:r w:rsidRPr="00302F74">
              <w:rPr>
                <w:rFonts w:ascii="Book Antiqua" w:hAnsi="Book Antiqua" w:cs="Times New Roman"/>
                <w:sz w:val="24"/>
                <w:szCs w:val="24"/>
              </w:rPr>
              <w:t>Over-transfusion may increase portal pressure and induce greater bleeding.</w:t>
            </w:r>
          </w:p>
        </w:tc>
      </w:tr>
      <w:tr w:rsidR="00632F67" w:rsidRPr="00302F74" w:rsidTr="00C82ABA">
        <w:trPr>
          <w:trHeight w:val="87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Liver transplantation</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Improves or resolves with liver transplantation</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Improves or resolves with liver transplantation</w:t>
            </w:r>
          </w:p>
        </w:tc>
      </w:tr>
      <w:tr w:rsidR="00632F67" w:rsidRPr="00302F74" w:rsidTr="00C82ABA">
        <w:trPr>
          <w:trHeight w:val="714"/>
        </w:trPr>
        <w:tc>
          <w:tcPr>
            <w:tcW w:w="184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Prognosis</w:t>
            </w:r>
          </w:p>
        </w:tc>
        <w:tc>
          <w:tcPr>
            <w:tcW w:w="3934"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Rarely fatal</w:t>
            </w:r>
          </w:p>
        </w:tc>
        <w:tc>
          <w:tcPr>
            <w:tcW w:w="3962"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Frequently fatal</w:t>
            </w:r>
          </w:p>
        </w:tc>
      </w:tr>
    </w:tbl>
    <w:p w:rsidR="00C82ABA" w:rsidRDefault="00C82ABA" w:rsidP="00C82ABA">
      <w:pPr>
        <w:widowControl w:val="0"/>
        <w:spacing w:line="360" w:lineRule="auto"/>
        <w:jc w:val="both"/>
        <w:rPr>
          <w:rFonts w:ascii="Book Antiqua" w:hAnsi="Book Antiqua" w:cs="Times New Roman"/>
          <w:sz w:val="24"/>
          <w:szCs w:val="24"/>
          <w:lang w:eastAsia="zh-CN"/>
        </w:rPr>
      </w:pPr>
      <w:r w:rsidRPr="008C6824">
        <w:rPr>
          <w:rFonts w:ascii="Book Antiqua" w:hAnsi="Book Antiqua" w:cs="Times New Roman"/>
          <w:sz w:val="24"/>
          <w:szCs w:val="24"/>
          <w:lang w:val="en"/>
        </w:rPr>
        <w:t>TIPS</w:t>
      </w:r>
      <w:r>
        <w:rPr>
          <w:rFonts w:ascii="Book Antiqua" w:hAnsi="Book Antiqua" w:cs="Times New Roman" w:hint="eastAsia"/>
          <w:sz w:val="24"/>
          <w:szCs w:val="24"/>
          <w:lang w:val="en" w:eastAsia="zh-CN"/>
        </w:rPr>
        <w:t xml:space="preserve">: </w:t>
      </w:r>
      <w:r w:rsidRPr="008C6824">
        <w:rPr>
          <w:rFonts w:ascii="Book Antiqua" w:hAnsi="Book Antiqua" w:cs="Times New Roman"/>
          <w:sz w:val="24"/>
          <w:szCs w:val="24"/>
          <w:lang w:val="en"/>
        </w:rPr>
        <w:t>Transjugular intrahepatic portosystemic shunt</w:t>
      </w:r>
      <w:r>
        <w:rPr>
          <w:rFonts w:ascii="Book Antiqua" w:hAnsi="Book Antiqua" w:cs="Times New Roman" w:hint="eastAsia"/>
          <w:sz w:val="24"/>
          <w:szCs w:val="24"/>
          <w:lang w:val="en" w:eastAsia="zh-CN"/>
        </w:rPr>
        <w:t>;</w:t>
      </w:r>
      <w:r w:rsidRPr="00553DA6">
        <w:rPr>
          <w:rFonts w:ascii="Book Antiqua" w:hAnsi="Book Antiqua" w:cs="Times New Roman"/>
          <w:sz w:val="24"/>
          <w:szCs w:val="24"/>
        </w:rPr>
        <w:t xml:space="preserve"> PHG</w:t>
      </w:r>
      <w:r w:rsidRPr="00553DA6">
        <w:rPr>
          <w:rFonts w:ascii="Book Antiqua" w:hAnsi="Book Antiqua" w:cs="Times New Roman" w:hint="eastAsia"/>
          <w:sz w:val="24"/>
          <w:szCs w:val="24"/>
          <w:lang w:eastAsia="zh-CN"/>
        </w:rPr>
        <w:t xml:space="preserve">: </w:t>
      </w:r>
      <w:r w:rsidRPr="00553DA6">
        <w:rPr>
          <w:rFonts w:ascii="Book Antiqua" w:hAnsi="Book Antiqua" w:cs="Times New Roman"/>
          <w:sz w:val="24"/>
          <w:szCs w:val="24"/>
        </w:rPr>
        <w:t>Portal hypertensive gastropathy</w:t>
      </w:r>
      <w:r>
        <w:rPr>
          <w:rFonts w:ascii="Book Antiqua" w:hAnsi="Book Antiqua" w:cs="Times New Roman" w:hint="eastAsia"/>
          <w:sz w:val="24"/>
          <w:szCs w:val="24"/>
          <w:lang w:eastAsia="zh-CN"/>
        </w:rPr>
        <w:t>.</w:t>
      </w:r>
    </w:p>
    <w:p w:rsidR="00553DA6" w:rsidRDefault="00553DA6" w:rsidP="00FA6CCE">
      <w:pPr>
        <w:widowControl w:val="0"/>
        <w:spacing w:line="360" w:lineRule="auto"/>
        <w:jc w:val="both"/>
        <w:rPr>
          <w:rFonts w:ascii="Book Antiqua" w:hAnsi="Book Antiqua" w:cs="Times New Roman"/>
          <w:sz w:val="24"/>
          <w:szCs w:val="24"/>
          <w:lang w:val="en"/>
        </w:rPr>
      </w:pPr>
    </w:p>
    <w:p w:rsidR="00553DA6" w:rsidRDefault="00553DA6">
      <w:pPr>
        <w:spacing w:line="276" w:lineRule="auto"/>
        <w:jc w:val="both"/>
        <w:rPr>
          <w:rFonts w:ascii="Book Antiqua" w:hAnsi="Book Antiqua" w:cs="Times New Roman"/>
          <w:sz w:val="24"/>
          <w:szCs w:val="24"/>
          <w:lang w:val="en"/>
        </w:rPr>
      </w:pPr>
      <w:r>
        <w:rPr>
          <w:rFonts w:ascii="Book Antiqua" w:hAnsi="Book Antiqua" w:cs="Times New Roman"/>
          <w:sz w:val="24"/>
          <w:szCs w:val="24"/>
          <w:lang w:val="en"/>
        </w:rPr>
        <w:br w:type="page"/>
      </w:r>
    </w:p>
    <w:p w:rsidR="00C9325C" w:rsidRPr="00302F74" w:rsidRDefault="00C9325C" w:rsidP="00FA6CCE">
      <w:pPr>
        <w:widowControl w:val="0"/>
        <w:spacing w:line="360" w:lineRule="auto"/>
        <w:jc w:val="both"/>
        <w:rPr>
          <w:rFonts w:ascii="Book Antiqua" w:hAnsi="Book Antiqua" w:cs="Times New Roman"/>
          <w:sz w:val="24"/>
          <w:szCs w:val="24"/>
          <w:lang w:val="en"/>
        </w:rPr>
      </w:pPr>
    </w:p>
    <w:tbl>
      <w:tblPr>
        <w:tblStyle w:val="TableGrid1"/>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918"/>
        <w:gridCol w:w="3983"/>
        <w:gridCol w:w="5074"/>
        <w:gridCol w:w="1635"/>
      </w:tblGrid>
      <w:tr w:rsidR="00632F67" w:rsidRPr="00302F74" w:rsidTr="005D5D23">
        <w:tc>
          <w:tcPr>
            <w:tcW w:w="12960" w:type="dxa"/>
            <w:gridSpan w:val="5"/>
            <w:tcBorders>
              <w:bottom w:val="single" w:sz="4" w:space="0" w:color="auto"/>
            </w:tcBorders>
          </w:tcPr>
          <w:p w:rsidR="00C9325C" w:rsidRPr="005D5D23" w:rsidRDefault="00C9325C" w:rsidP="00553DA6">
            <w:pPr>
              <w:widowControl w:val="0"/>
              <w:spacing w:line="360" w:lineRule="auto"/>
              <w:jc w:val="both"/>
              <w:rPr>
                <w:rFonts w:ascii="Book Antiqua" w:hAnsi="Book Antiqua" w:cs="Times New Roman"/>
                <w:b/>
                <w:sz w:val="24"/>
                <w:szCs w:val="24"/>
              </w:rPr>
            </w:pPr>
            <w:r w:rsidRPr="005D5D23">
              <w:rPr>
                <w:rFonts w:ascii="Book Antiqua" w:hAnsi="Book Antiqua" w:cs="Times New Roman"/>
                <w:b/>
                <w:sz w:val="24"/>
                <w:szCs w:val="24"/>
              </w:rPr>
              <w:t xml:space="preserve">Table </w:t>
            </w:r>
            <w:r w:rsidR="00553DA6" w:rsidRPr="005D5D23">
              <w:rPr>
                <w:rFonts w:ascii="Book Antiqua" w:hAnsi="Book Antiqua" w:cs="Times New Roman" w:hint="eastAsia"/>
                <w:b/>
                <w:sz w:val="24"/>
                <w:szCs w:val="24"/>
                <w:lang w:eastAsia="zh-CN"/>
              </w:rPr>
              <w:t>11</w:t>
            </w:r>
            <w:r w:rsidR="00963345" w:rsidRPr="005D5D23">
              <w:rPr>
                <w:rFonts w:ascii="Book Antiqua" w:hAnsi="Book Antiqua" w:cs="Times New Roman"/>
                <w:b/>
                <w:sz w:val="24"/>
                <w:szCs w:val="24"/>
              </w:rPr>
              <w:t xml:space="preserve"> </w:t>
            </w:r>
            <w:r w:rsidRPr="005D5D23">
              <w:rPr>
                <w:rFonts w:ascii="Book Antiqua" w:hAnsi="Book Antiqua" w:cs="Times New Roman"/>
                <w:b/>
                <w:sz w:val="24"/>
                <w:szCs w:val="24"/>
              </w:rPr>
              <w:t>Rates of gastrointestinal bleeding from portal hypertensive gastropathy</w:t>
            </w:r>
          </w:p>
        </w:tc>
      </w:tr>
      <w:tr w:rsidR="00632F67" w:rsidRPr="00302F74" w:rsidTr="005D5D23">
        <w:tc>
          <w:tcPr>
            <w:tcW w:w="1350" w:type="dxa"/>
            <w:tcBorders>
              <w:top w:val="single" w:sz="4" w:space="0" w:color="auto"/>
              <w:bottom w:val="single" w:sz="4" w:space="0" w:color="auto"/>
            </w:tcBorders>
            <w:hideMark/>
          </w:tcPr>
          <w:p w:rsidR="00C9325C" w:rsidRPr="005D5D23" w:rsidRDefault="00C9325C" w:rsidP="005D5D23">
            <w:pPr>
              <w:widowControl w:val="0"/>
              <w:spacing w:line="360" w:lineRule="auto"/>
              <w:jc w:val="both"/>
              <w:rPr>
                <w:rFonts w:ascii="Book Antiqua" w:hAnsi="Book Antiqua" w:cs="Times New Roman"/>
                <w:b/>
                <w:sz w:val="24"/>
                <w:szCs w:val="24"/>
                <w:lang w:eastAsia="zh-CN"/>
              </w:rPr>
            </w:pPr>
            <w:r w:rsidRPr="005D5D23">
              <w:rPr>
                <w:rFonts w:ascii="Book Antiqua" w:hAnsi="Book Antiqua" w:cs="Times New Roman"/>
                <w:b/>
                <w:sz w:val="24"/>
                <w:szCs w:val="24"/>
              </w:rPr>
              <w:t>Ref</w:t>
            </w:r>
            <w:r w:rsidR="005D5D23" w:rsidRPr="005D5D23">
              <w:rPr>
                <w:rFonts w:ascii="Book Antiqua" w:hAnsi="Book Antiqua" w:cs="Times New Roman" w:hint="eastAsia"/>
                <w:b/>
                <w:sz w:val="24"/>
                <w:szCs w:val="24"/>
                <w:lang w:eastAsia="zh-CN"/>
              </w:rPr>
              <w:t>.</w:t>
            </w:r>
          </w:p>
        </w:tc>
        <w:tc>
          <w:tcPr>
            <w:tcW w:w="918" w:type="dxa"/>
            <w:tcBorders>
              <w:top w:val="single" w:sz="4" w:space="0" w:color="auto"/>
              <w:bottom w:val="single" w:sz="4" w:space="0" w:color="auto"/>
            </w:tcBorders>
            <w:hideMark/>
          </w:tcPr>
          <w:p w:rsidR="00C9325C" w:rsidRPr="005D5D23" w:rsidRDefault="00C9325C" w:rsidP="00FA6CCE">
            <w:pPr>
              <w:widowControl w:val="0"/>
              <w:spacing w:line="360" w:lineRule="auto"/>
              <w:jc w:val="both"/>
              <w:rPr>
                <w:rFonts w:ascii="Book Antiqua" w:hAnsi="Book Antiqua" w:cs="Times New Roman"/>
                <w:b/>
                <w:sz w:val="24"/>
                <w:szCs w:val="24"/>
              </w:rPr>
            </w:pPr>
            <w:r w:rsidRPr="005D5D23">
              <w:rPr>
                <w:rFonts w:ascii="Book Antiqua" w:hAnsi="Book Antiqua" w:cs="Times New Roman"/>
                <w:b/>
                <w:sz w:val="24"/>
                <w:szCs w:val="24"/>
              </w:rPr>
              <w:t>Year published</w:t>
            </w:r>
          </w:p>
        </w:tc>
        <w:tc>
          <w:tcPr>
            <w:tcW w:w="3983" w:type="dxa"/>
            <w:tcBorders>
              <w:top w:val="single" w:sz="4" w:space="0" w:color="auto"/>
              <w:bottom w:val="single" w:sz="4" w:space="0" w:color="auto"/>
            </w:tcBorders>
            <w:hideMark/>
          </w:tcPr>
          <w:p w:rsidR="00C9325C" w:rsidRPr="005D5D23" w:rsidRDefault="00C9325C" w:rsidP="00FA6CCE">
            <w:pPr>
              <w:widowControl w:val="0"/>
              <w:spacing w:line="360" w:lineRule="auto"/>
              <w:jc w:val="both"/>
              <w:rPr>
                <w:rFonts w:ascii="Book Antiqua" w:hAnsi="Book Antiqua" w:cs="Times New Roman"/>
                <w:b/>
                <w:sz w:val="24"/>
                <w:szCs w:val="24"/>
              </w:rPr>
            </w:pPr>
            <w:r w:rsidRPr="005D5D23">
              <w:rPr>
                <w:rFonts w:ascii="Book Antiqua" w:hAnsi="Book Antiqua" w:cs="Times New Roman"/>
                <w:b/>
                <w:sz w:val="24"/>
                <w:szCs w:val="24"/>
              </w:rPr>
              <w:t>Population</w:t>
            </w:r>
          </w:p>
        </w:tc>
        <w:tc>
          <w:tcPr>
            <w:tcW w:w="5074" w:type="dxa"/>
            <w:tcBorders>
              <w:top w:val="single" w:sz="4" w:space="0" w:color="auto"/>
              <w:bottom w:val="single" w:sz="4" w:space="0" w:color="auto"/>
            </w:tcBorders>
            <w:hideMark/>
          </w:tcPr>
          <w:p w:rsidR="00C9325C" w:rsidRPr="005D5D23" w:rsidRDefault="00C9325C" w:rsidP="00FA6CCE">
            <w:pPr>
              <w:widowControl w:val="0"/>
              <w:spacing w:line="360" w:lineRule="auto"/>
              <w:jc w:val="both"/>
              <w:rPr>
                <w:rFonts w:ascii="Book Antiqua" w:hAnsi="Book Antiqua" w:cs="Times New Roman"/>
                <w:b/>
                <w:sz w:val="24"/>
                <w:szCs w:val="24"/>
              </w:rPr>
            </w:pPr>
            <w:r w:rsidRPr="005D5D23">
              <w:rPr>
                <w:rFonts w:ascii="Book Antiqua" w:hAnsi="Book Antiqua" w:cs="Times New Roman"/>
                <w:b/>
                <w:sz w:val="24"/>
                <w:szCs w:val="24"/>
              </w:rPr>
              <w:t>Bleeding from PHG</w:t>
            </w:r>
          </w:p>
        </w:tc>
        <w:tc>
          <w:tcPr>
            <w:tcW w:w="1635" w:type="dxa"/>
            <w:tcBorders>
              <w:top w:val="single" w:sz="4" w:space="0" w:color="auto"/>
              <w:bottom w:val="single" w:sz="4" w:space="0" w:color="auto"/>
            </w:tcBorders>
            <w:hideMark/>
          </w:tcPr>
          <w:p w:rsidR="00C9325C" w:rsidRPr="00302F74" w:rsidRDefault="00C9325C" w:rsidP="00FA6CCE">
            <w:pPr>
              <w:widowControl w:val="0"/>
              <w:spacing w:line="360" w:lineRule="auto"/>
              <w:jc w:val="both"/>
              <w:rPr>
                <w:rFonts w:ascii="Book Antiqua" w:hAnsi="Book Antiqua" w:cs="Times New Roman"/>
                <w:b/>
                <w:sz w:val="24"/>
                <w:szCs w:val="24"/>
              </w:rPr>
            </w:pPr>
            <w:r w:rsidRPr="00302F74">
              <w:rPr>
                <w:rFonts w:ascii="Book Antiqua" w:hAnsi="Book Antiqua" w:cs="Times New Roman"/>
                <w:b/>
                <w:sz w:val="24"/>
                <w:szCs w:val="24"/>
              </w:rPr>
              <w:t>Transfusions required</w:t>
            </w:r>
          </w:p>
        </w:tc>
      </w:tr>
      <w:tr w:rsidR="00632F67" w:rsidRPr="00302F74" w:rsidTr="005D5D23">
        <w:trPr>
          <w:trHeight w:val="300"/>
        </w:trPr>
        <w:tc>
          <w:tcPr>
            <w:tcW w:w="1350" w:type="dxa"/>
            <w:tcBorders>
              <w:top w:val="single" w:sz="4" w:space="0" w:color="auto"/>
            </w:tcBorders>
            <w:hideMark/>
          </w:tcPr>
          <w:p w:rsidR="00C9325C" w:rsidRPr="005D5D23" w:rsidRDefault="00C9325C" w:rsidP="00FA6CCE">
            <w:pPr>
              <w:widowControl w:val="0"/>
              <w:spacing w:line="360" w:lineRule="auto"/>
              <w:jc w:val="both"/>
              <w:rPr>
                <w:rFonts w:ascii="Book Antiqua" w:hAnsi="Book Antiqua" w:cs="Times New Roman"/>
                <w:sz w:val="24"/>
                <w:szCs w:val="24"/>
              </w:rPr>
            </w:pPr>
            <w:r w:rsidRPr="005D5D23">
              <w:rPr>
                <w:rFonts w:ascii="Book Antiqua" w:hAnsi="Book Antiqua" w:cs="Times New Roman"/>
                <w:sz w:val="24"/>
                <w:szCs w:val="24"/>
              </w:rPr>
              <w:t>[3]</w:t>
            </w:r>
          </w:p>
        </w:tc>
        <w:tc>
          <w:tcPr>
            <w:tcW w:w="918" w:type="dxa"/>
            <w:tcBorders>
              <w:top w:val="single" w:sz="4" w:space="0" w:color="auto"/>
            </w:tcBorders>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1985</w:t>
            </w:r>
          </w:p>
        </w:tc>
        <w:tc>
          <w:tcPr>
            <w:tcW w:w="3983" w:type="dxa"/>
            <w:tcBorders>
              <w:top w:val="single" w:sz="4" w:space="0" w:color="auto"/>
            </w:tcBorders>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127 patients with portal hypertension of various etiologies</w:t>
            </w:r>
          </w:p>
        </w:tc>
        <w:tc>
          <w:tcPr>
            <w:tcW w:w="5074" w:type="dxa"/>
            <w:tcBorders>
              <w:top w:val="single" w:sz="4" w:space="0" w:color="auto"/>
            </w:tcBorders>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29 patients out of 65 with PHG, representing 25% of the total number of bleeds from all sources; 9 episodes presenting with bleeding; 71 episodes of subsequent bleeding</w:t>
            </w:r>
          </w:p>
        </w:tc>
        <w:tc>
          <w:tcPr>
            <w:tcW w:w="1635" w:type="dxa"/>
            <w:tcBorders>
              <w:top w:val="single" w:sz="4" w:space="0" w:color="auto"/>
            </w:tcBorders>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2 - 15 units required for 60 bleeds </w:t>
            </w:r>
          </w:p>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5D5D23">
        <w:trPr>
          <w:trHeight w:val="300"/>
        </w:trPr>
        <w:tc>
          <w:tcPr>
            <w:tcW w:w="1350" w:type="dxa"/>
            <w:hideMark/>
          </w:tcPr>
          <w:p w:rsidR="00C9325C" w:rsidRPr="005D5D23" w:rsidRDefault="00C9325C" w:rsidP="00FA6CCE">
            <w:pPr>
              <w:widowControl w:val="0"/>
              <w:spacing w:line="360" w:lineRule="auto"/>
              <w:jc w:val="both"/>
              <w:rPr>
                <w:rFonts w:ascii="Book Antiqua" w:hAnsi="Book Antiqua" w:cs="Times New Roman"/>
                <w:sz w:val="24"/>
                <w:szCs w:val="24"/>
              </w:rPr>
            </w:pPr>
            <w:r w:rsidRPr="005D5D23">
              <w:rPr>
                <w:rFonts w:ascii="Book Antiqua" w:hAnsi="Book Antiqua" w:cs="Times New Roman"/>
                <w:sz w:val="24"/>
                <w:szCs w:val="24"/>
              </w:rPr>
              <w:t>[25]</w:t>
            </w:r>
          </w:p>
        </w:tc>
        <w:tc>
          <w:tcPr>
            <w:tcW w:w="918"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1990</w:t>
            </w:r>
          </w:p>
        </w:tc>
        <w:tc>
          <w:tcPr>
            <w:tcW w:w="3983"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212 patients with cirrhosis; 75 being treated with sclerotherapy</w:t>
            </w:r>
          </w:p>
        </w:tc>
        <w:tc>
          <w:tcPr>
            <w:tcW w:w="5074" w:type="dxa"/>
            <w:noWrap/>
          </w:tcPr>
          <w:p w:rsidR="00C9325C" w:rsidRPr="00302F74" w:rsidRDefault="00C9325C" w:rsidP="00FA6CCE">
            <w:pPr>
              <w:widowControl w:val="0"/>
              <w:spacing w:line="360" w:lineRule="auto"/>
              <w:jc w:val="both"/>
              <w:rPr>
                <w:rFonts w:ascii="Book Antiqua" w:hAnsi="Book Antiqua" w:cs="Times New Roman"/>
                <w:sz w:val="24"/>
                <w:szCs w:val="24"/>
              </w:rPr>
            </w:pPr>
          </w:p>
        </w:tc>
        <w:tc>
          <w:tcPr>
            <w:tcW w:w="1635" w:type="dxa"/>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5D5D23">
        <w:trPr>
          <w:trHeight w:val="300"/>
        </w:trPr>
        <w:tc>
          <w:tcPr>
            <w:tcW w:w="1350" w:type="dxa"/>
            <w:hideMark/>
          </w:tcPr>
          <w:p w:rsidR="00C9325C" w:rsidRPr="005D5D23" w:rsidRDefault="00C9325C" w:rsidP="00FA6CCE">
            <w:pPr>
              <w:widowControl w:val="0"/>
              <w:spacing w:line="360" w:lineRule="auto"/>
              <w:jc w:val="both"/>
              <w:rPr>
                <w:rFonts w:ascii="Book Antiqua" w:hAnsi="Book Antiqua" w:cs="Times New Roman"/>
                <w:sz w:val="24"/>
                <w:szCs w:val="24"/>
              </w:rPr>
            </w:pPr>
            <w:r w:rsidRPr="005D5D23">
              <w:rPr>
                <w:rFonts w:ascii="Book Antiqua" w:hAnsi="Book Antiqua" w:cs="Times New Roman"/>
                <w:sz w:val="24"/>
                <w:szCs w:val="24"/>
              </w:rPr>
              <w:t>[8]</w:t>
            </w:r>
          </w:p>
        </w:tc>
        <w:tc>
          <w:tcPr>
            <w:tcW w:w="918"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1992</w:t>
            </w:r>
          </w:p>
        </w:tc>
        <w:tc>
          <w:tcPr>
            <w:tcW w:w="3983"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107 patients with portal hypertension presenting with variceal bleeding, undergoing sclerotherapy</w:t>
            </w:r>
          </w:p>
        </w:tc>
        <w:tc>
          <w:tcPr>
            <w:tcW w:w="5074"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No bleeding before sclerother</w:t>
            </w:r>
            <w:r w:rsidR="00550EB4">
              <w:rPr>
                <w:rFonts w:ascii="Book Antiqua" w:hAnsi="Book Antiqua" w:cs="Times New Roman"/>
                <w:sz w:val="24"/>
                <w:szCs w:val="24"/>
              </w:rPr>
              <w:t>apy from PHG (4/107 had PHG); 2</w:t>
            </w:r>
            <w:r w:rsidRPr="00302F74">
              <w:rPr>
                <w:rFonts w:ascii="Book Antiqua" w:hAnsi="Book Antiqua" w:cs="Times New Roman"/>
                <w:sz w:val="24"/>
                <w:szCs w:val="24"/>
              </w:rPr>
              <w:t>/13 post-sclerotherapy patients who developed PHG</w:t>
            </w:r>
          </w:p>
        </w:tc>
        <w:tc>
          <w:tcPr>
            <w:tcW w:w="1635" w:type="dxa"/>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average of 4 units per patient with range of 2-8 units</w:t>
            </w:r>
          </w:p>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5D5D23">
        <w:trPr>
          <w:trHeight w:val="300"/>
        </w:trPr>
        <w:tc>
          <w:tcPr>
            <w:tcW w:w="1350" w:type="dxa"/>
            <w:hideMark/>
          </w:tcPr>
          <w:p w:rsidR="00C9325C" w:rsidRPr="005D5D23" w:rsidRDefault="00C9325C" w:rsidP="00FA6CCE">
            <w:pPr>
              <w:widowControl w:val="0"/>
              <w:spacing w:line="360" w:lineRule="auto"/>
              <w:jc w:val="both"/>
              <w:rPr>
                <w:rFonts w:ascii="Book Antiqua" w:hAnsi="Book Antiqua" w:cs="Times New Roman"/>
                <w:sz w:val="24"/>
                <w:szCs w:val="24"/>
              </w:rPr>
            </w:pPr>
            <w:r w:rsidRPr="005D5D23">
              <w:rPr>
                <w:rFonts w:ascii="Book Antiqua" w:hAnsi="Book Antiqua" w:cs="Times New Roman"/>
                <w:sz w:val="24"/>
                <w:szCs w:val="24"/>
              </w:rPr>
              <w:t>[10</w:t>
            </w:r>
            <w:r w:rsidR="00554560" w:rsidRPr="005D5D23">
              <w:rPr>
                <w:rFonts w:ascii="Book Antiqua" w:hAnsi="Book Antiqua" w:cs="Times New Roman"/>
                <w:sz w:val="24"/>
                <w:szCs w:val="24"/>
              </w:rPr>
              <w:t>3</w:t>
            </w:r>
            <w:r w:rsidRPr="005D5D23">
              <w:rPr>
                <w:rFonts w:ascii="Book Antiqua" w:hAnsi="Book Antiqua" w:cs="Times New Roman"/>
                <w:sz w:val="24"/>
                <w:szCs w:val="24"/>
              </w:rPr>
              <w:t>]</w:t>
            </w:r>
          </w:p>
        </w:tc>
        <w:tc>
          <w:tcPr>
            <w:tcW w:w="918"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1991</w:t>
            </w:r>
          </w:p>
        </w:tc>
        <w:tc>
          <w:tcPr>
            <w:tcW w:w="3983"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54 cirrhotic patients with PHG, in a RCT to look for rebleeding; propranolol 26 </w:t>
            </w:r>
            <w:r w:rsidR="00963345" w:rsidRPr="00963345">
              <w:rPr>
                <w:rFonts w:ascii="Book Antiqua" w:hAnsi="Book Antiqua" w:cs="Times New Roman" w:hint="eastAsia"/>
                <w:i/>
                <w:sz w:val="24"/>
                <w:szCs w:val="24"/>
                <w:lang w:eastAsia="zh-CN"/>
              </w:rPr>
              <w:t>vs</w:t>
            </w:r>
            <w:r w:rsidRPr="00302F74">
              <w:rPr>
                <w:rFonts w:ascii="Book Antiqua" w:hAnsi="Book Antiqua" w:cs="Times New Roman"/>
                <w:sz w:val="24"/>
                <w:szCs w:val="24"/>
              </w:rPr>
              <w:t xml:space="preserve"> control 28</w:t>
            </w:r>
          </w:p>
        </w:tc>
        <w:tc>
          <w:tcPr>
            <w:tcW w:w="5074"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first hemorrhage acute/chronic; in propranolol group 12/14; in control 12/16</w:t>
            </w:r>
            <w:r w:rsidRPr="00302F74">
              <w:rPr>
                <w:rFonts w:ascii="Book Antiqua" w:hAnsi="Book Antiqua" w:cs="Times New Roman"/>
                <w:sz w:val="24"/>
                <w:szCs w:val="24"/>
              </w:rPr>
              <w:br/>
              <w:t>rebleeding acute/chronic; in propranolol 6/6; in control 10/12</w:t>
            </w:r>
          </w:p>
        </w:tc>
        <w:tc>
          <w:tcPr>
            <w:tcW w:w="1635" w:type="dxa"/>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5D5D23">
        <w:trPr>
          <w:trHeight w:val="300"/>
        </w:trPr>
        <w:tc>
          <w:tcPr>
            <w:tcW w:w="1350" w:type="dxa"/>
            <w:hideMark/>
          </w:tcPr>
          <w:p w:rsidR="00C9325C" w:rsidRPr="005D5D23" w:rsidRDefault="00C9325C" w:rsidP="00FA6CCE">
            <w:pPr>
              <w:widowControl w:val="0"/>
              <w:spacing w:line="360" w:lineRule="auto"/>
              <w:jc w:val="both"/>
              <w:rPr>
                <w:rFonts w:ascii="Book Antiqua" w:hAnsi="Book Antiqua" w:cs="Times New Roman"/>
                <w:sz w:val="24"/>
                <w:szCs w:val="24"/>
              </w:rPr>
            </w:pPr>
            <w:r w:rsidRPr="005D5D23">
              <w:rPr>
                <w:rFonts w:ascii="Book Antiqua" w:hAnsi="Book Antiqua" w:cs="Times New Roman"/>
                <w:sz w:val="24"/>
                <w:szCs w:val="24"/>
              </w:rPr>
              <w:lastRenderedPageBreak/>
              <w:t>[21</w:t>
            </w:r>
            <w:r w:rsidR="00554560" w:rsidRPr="005D5D23">
              <w:rPr>
                <w:rFonts w:ascii="Book Antiqua" w:hAnsi="Book Antiqua" w:cs="Times New Roman"/>
                <w:sz w:val="24"/>
                <w:szCs w:val="24"/>
              </w:rPr>
              <w:t>7</w:t>
            </w:r>
            <w:r w:rsidRPr="005D5D23">
              <w:rPr>
                <w:rFonts w:ascii="Book Antiqua" w:hAnsi="Book Antiqua" w:cs="Times New Roman"/>
                <w:sz w:val="24"/>
                <w:szCs w:val="24"/>
              </w:rPr>
              <w:t>]</w:t>
            </w:r>
          </w:p>
        </w:tc>
        <w:tc>
          <w:tcPr>
            <w:tcW w:w="918"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1993</w:t>
            </w:r>
          </w:p>
        </w:tc>
        <w:tc>
          <w:tcPr>
            <w:tcW w:w="3983"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Patients admitted for GI bleeding ((1496)</w:t>
            </w:r>
          </w:p>
        </w:tc>
        <w:tc>
          <w:tcPr>
            <w:tcW w:w="5074"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12 patients (0.8%), representing 8% of nonvariceal bleeding in patients with liver disease</w:t>
            </w:r>
          </w:p>
        </w:tc>
        <w:tc>
          <w:tcPr>
            <w:tcW w:w="1635" w:type="dxa"/>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5D5D23">
        <w:trPr>
          <w:trHeight w:val="300"/>
        </w:trPr>
        <w:tc>
          <w:tcPr>
            <w:tcW w:w="1350" w:type="dxa"/>
            <w:hideMark/>
          </w:tcPr>
          <w:p w:rsidR="00C9325C" w:rsidRPr="005D5D23" w:rsidRDefault="00C9325C" w:rsidP="00FA6CCE">
            <w:pPr>
              <w:widowControl w:val="0"/>
              <w:spacing w:line="360" w:lineRule="auto"/>
              <w:jc w:val="both"/>
              <w:rPr>
                <w:rFonts w:ascii="Book Antiqua" w:hAnsi="Book Antiqua" w:cs="Times New Roman"/>
                <w:sz w:val="24"/>
                <w:szCs w:val="24"/>
              </w:rPr>
            </w:pPr>
            <w:r w:rsidRPr="005D5D23">
              <w:rPr>
                <w:rFonts w:ascii="Book Antiqua" w:hAnsi="Book Antiqua" w:cs="Times New Roman"/>
                <w:sz w:val="24"/>
                <w:szCs w:val="24"/>
              </w:rPr>
              <w:t>[34]</w:t>
            </w:r>
          </w:p>
        </w:tc>
        <w:tc>
          <w:tcPr>
            <w:tcW w:w="918"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2000</w:t>
            </w:r>
          </w:p>
        </w:tc>
        <w:tc>
          <w:tcPr>
            <w:tcW w:w="3983"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373 patients with cirrhosis; PHG in 299 patients (80.1%)</w:t>
            </w:r>
          </w:p>
        </w:tc>
        <w:tc>
          <w:tcPr>
            <w:tcW w:w="5074"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8 PHG patients with acute bleeding; chronic bleeding in 34 patients</w:t>
            </w:r>
          </w:p>
        </w:tc>
        <w:tc>
          <w:tcPr>
            <w:tcW w:w="1635" w:type="dxa"/>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5D5D23">
        <w:trPr>
          <w:trHeight w:val="300"/>
        </w:trPr>
        <w:tc>
          <w:tcPr>
            <w:tcW w:w="1350" w:type="dxa"/>
            <w:hideMark/>
          </w:tcPr>
          <w:p w:rsidR="00C9325C" w:rsidRPr="005D5D23" w:rsidRDefault="00C9325C" w:rsidP="00FA6CCE">
            <w:pPr>
              <w:widowControl w:val="0"/>
              <w:spacing w:line="360" w:lineRule="auto"/>
              <w:jc w:val="both"/>
              <w:rPr>
                <w:rFonts w:ascii="Book Antiqua" w:hAnsi="Book Antiqua" w:cs="Times New Roman"/>
                <w:sz w:val="24"/>
                <w:szCs w:val="24"/>
              </w:rPr>
            </w:pPr>
            <w:r w:rsidRPr="005D5D23">
              <w:rPr>
                <w:rFonts w:ascii="Book Antiqua" w:hAnsi="Book Antiqua" w:cs="Times New Roman"/>
                <w:sz w:val="24"/>
                <w:szCs w:val="24"/>
              </w:rPr>
              <w:t>[37]</w:t>
            </w:r>
          </w:p>
        </w:tc>
        <w:tc>
          <w:tcPr>
            <w:tcW w:w="918"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2004</w:t>
            </w:r>
          </w:p>
        </w:tc>
        <w:tc>
          <w:tcPr>
            <w:tcW w:w="3983"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222 cirrhotic patients with portal hypertension; 48 patients with PHG on enrollment</w:t>
            </w:r>
          </w:p>
        </w:tc>
        <w:tc>
          <w:tcPr>
            <w:tcW w:w="5074" w:type="dxa"/>
            <w:noWrap/>
            <w:hideMark/>
          </w:tcPr>
          <w:p w:rsidR="00C9325C" w:rsidRPr="00302F74" w:rsidRDefault="00C9325C" w:rsidP="0096334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during follow up for 47 + 28 mo, acute bleeding 9, chronic 7 from PHG</w:t>
            </w:r>
          </w:p>
        </w:tc>
        <w:tc>
          <w:tcPr>
            <w:tcW w:w="1635" w:type="dxa"/>
          </w:tcPr>
          <w:p w:rsidR="00C9325C" w:rsidRPr="00302F74" w:rsidRDefault="00C9325C" w:rsidP="00FA6CCE">
            <w:pPr>
              <w:widowControl w:val="0"/>
              <w:spacing w:line="360" w:lineRule="auto"/>
              <w:jc w:val="both"/>
              <w:rPr>
                <w:rFonts w:ascii="Book Antiqua" w:hAnsi="Book Antiqua" w:cs="Times New Roman"/>
                <w:sz w:val="24"/>
                <w:szCs w:val="24"/>
              </w:rPr>
            </w:pPr>
          </w:p>
        </w:tc>
      </w:tr>
      <w:tr w:rsidR="00632F67" w:rsidRPr="00302F74" w:rsidTr="005D5D23">
        <w:trPr>
          <w:trHeight w:val="300"/>
        </w:trPr>
        <w:tc>
          <w:tcPr>
            <w:tcW w:w="1350" w:type="dxa"/>
            <w:hideMark/>
          </w:tcPr>
          <w:p w:rsidR="00C9325C" w:rsidRPr="005D5D23" w:rsidRDefault="00C9325C" w:rsidP="00FA6CCE">
            <w:pPr>
              <w:widowControl w:val="0"/>
              <w:spacing w:line="360" w:lineRule="auto"/>
              <w:jc w:val="both"/>
              <w:rPr>
                <w:rFonts w:ascii="Book Antiqua" w:hAnsi="Book Antiqua" w:cs="Times New Roman"/>
                <w:sz w:val="24"/>
                <w:szCs w:val="24"/>
              </w:rPr>
            </w:pPr>
            <w:r w:rsidRPr="005D5D23">
              <w:rPr>
                <w:rFonts w:ascii="Book Antiqua" w:hAnsi="Book Antiqua" w:cs="Times New Roman"/>
                <w:sz w:val="24"/>
                <w:szCs w:val="24"/>
              </w:rPr>
              <w:t>[21</w:t>
            </w:r>
            <w:r w:rsidR="00554560" w:rsidRPr="005D5D23">
              <w:rPr>
                <w:rFonts w:ascii="Book Antiqua" w:hAnsi="Book Antiqua" w:cs="Times New Roman"/>
                <w:sz w:val="24"/>
                <w:szCs w:val="24"/>
              </w:rPr>
              <w:t>8</w:t>
            </w:r>
            <w:r w:rsidRPr="005D5D23">
              <w:rPr>
                <w:rFonts w:ascii="Book Antiqua" w:hAnsi="Book Antiqua" w:cs="Times New Roman"/>
                <w:sz w:val="24"/>
                <w:szCs w:val="24"/>
              </w:rPr>
              <w:t>]</w:t>
            </w:r>
          </w:p>
        </w:tc>
        <w:tc>
          <w:tcPr>
            <w:tcW w:w="918"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2014</w:t>
            </w:r>
          </w:p>
        </w:tc>
        <w:tc>
          <w:tcPr>
            <w:tcW w:w="3983" w:type="dxa"/>
            <w:noWrap/>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297 patients with</w:t>
            </w:r>
            <w:r w:rsidR="00963345">
              <w:rPr>
                <w:rFonts w:ascii="Book Antiqua" w:hAnsi="Book Antiqua" w:cs="Times New Roman"/>
                <w:sz w:val="24"/>
                <w:szCs w:val="24"/>
              </w:rPr>
              <w:t xml:space="preserve"> </w:t>
            </w:r>
            <w:r w:rsidRPr="00302F74">
              <w:rPr>
                <w:rFonts w:ascii="Book Antiqua" w:hAnsi="Book Antiqua" w:cs="Times New Roman"/>
                <w:sz w:val="24"/>
                <w:szCs w:val="24"/>
              </w:rPr>
              <w:t>living donor liver transplantation; retrospective analysis</w:t>
            </w:r>
          </w:p>
        </w:tc>
        <w:tc>
          <w:tcPr>
            <w:tcW w:w="5074" w:type="dxa"/>
            <w:noWrap/>
            <w:hideMark/>
          </w:tcPr>
          <w:p w:rsidR="00C9325C" w:rsidRPr="00302F74" w:rsidRDefault="00C9325C" w:rsidP="00963345">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2 patients bled from PHG within 3 mo after transplantation</w:t>
            </w:r>
          </w:p>
        </w:tc>
        <w:tc>
          <w:tcPr>
            <w:tcW w:w="1635" w:type="dxa"/>
          </w:tcPr>
          <w:p w:rsidR="00C9325C" w:rsidRPr="00302F74" w:rsidRDefault="00C9325C" w:rsidP="00FA6CCE">
            <w:pPr>
              <w:widowControl w:val="0"/>
              <w:spacing w:line="360" w:lineRule="auto"/>
              <w:jc w:val="both"/>
              <w:rPr>
                <w:rFonts w:ascii="Book Antiqua" w:hAnsi="Book Antiqua" w:cs="Times New Roman"/>
                <w:sz w:val="24"/>
                <w:szCs w:val="24"/>
              </w:rPr>
            </w:pPr>
          </w:p>
        </w:tc>
      </w:tr>
    </w:tbl>
    <w:p w:rsidR="00550EB4" w:rsidRDefault="00550EB4" w:rsidP="00550EB4">
      <w:pPr>
        <w:widowControl w:val="0"/>
        <w:spacing w:line="360" w:lineRule="auto"/>
        <w:jc w:val="both"/>
        <w:rPr>
          <w:rFonts w:ascii="Book Antiqua" w:hAnsi="Book Antiqua" w:cs="Times New Roman"/>
          <w:sz w:val="24"/>
          <w:szCs w:val="24"/>
          <w:lang w:eastAsia="zh-CN"/>
        </w:rPr>
      </w:pPr>
      <w:r w:rsidRPr="00553DA6">
        <w:rPr>
          <w:rFonts w:ascii="Book Antiqua" w:hAnsi="Book Antiqua" w:cs="Times New Roman"/>
          <w:sz w:val="24"/>
          <w:szCs w:val="24"/>
        </w:rPr>
        <w:t>PHG</w:t>
      </w:r>
      <w:r w:rsidRPr="00553DA6">
        <w:rPr>
          <w:rFonts w:ascii="Book Antiqua" w:hAnsi="Book Antiqua" w:cs="Times New Roman" w:hint="eastAsia"/>
          <w:sz w:val="24"/>
          <w:szCs w:val="24"/>
          <w:lang w:eastAsia="zh-CN"/>
        </w:rPr>
        <w:t xml:space="preserve">: </w:t>
      </w:r>
      <w:r w:rsidRPr="00553DA6">
        <w:rPr>
          <w:rFonts w:ascii="Book Antiqua" w:hAnsi="Book Antiqua" w:cs="Times New Roman"/>
          <w:sz w:val="24"/>
          <w:szCs w:val="24"/>
        </w:rPr>
        <w:t>Portal hypertensive gastropathy</w:t>
      </w:r>
      <w:r>
        <w:rPr>
          <w:rFonts w:ascii="Book Antiqua" w:hAnsi="Book Antiqua" w:cs="Times New Roman" w:hint="eastAsia"/>
          <w:sz w:val="24"/>
          <w:szCs w:val="24"/>
          <w:lang w:eastAsia="zh-CN"/>
        </w:rPr>
        <w:t>.</w:t>
      </w:r>
    </w:p>
    <w:p w:rsidR="00C9325C" w:rsidRPr="00302F74" w:rsidRDefault="00C9325C" w:rsidP="00FA6CCE">
      <w:pPr>
        <w:widowControl w:val="0"/>
        <w:spacing w:line="360" w:lineRule="auto"/>
        <w:jc w:val="both"/>
        <w:rPr>
          <w:rFonts w:ascii="Book Antiqua" w:hAnsi="Book Antiqua" w:cs="Times New Roman"/>
          <w:sz w:val="24"/>
          <w:szCs w:val="24"/>
        </w:rPr>
      </w:pPr>
    </w:p>
    <w:p w:rsidR="00C9325C" w:rsidRPr="00302F74" w:rsidRDefault="00C9325C" w:rsidP="00FA6CCE">
      <w:pPr>
        <w:widowControl w:val="0"/>
        <w:spacing w:line="360" w:lineRule="auto"/>
        <w:jc w:val="both"/>
        <w:rPr>
          <w:rFonts w:ascii="Book Antiqua" w:hAnsi="Book Antiqua" w:cs="Times New Roman"/>
          <w:sz w:val="24"/>
          <w:szCs w:val="24"/>
        </w:rPr>
        <w:sectPr w:rsidR="00C9325C" w:rsidRPr="00302F74" w:rsidSect="002C0900">
          <w:pgSz w:w="15840" w:h="12240" w:orient="landscape"/>
          <w:pgMar w:top="1440" w:right="1440" w:bottom="1440" w:left="1440" w:header="720" w:footer="720" w:gutter="0"/>
          <w:cols w:space="720"/>
          <w:docGrid w:linePitch="360"/>
        </w:sectPr>
      </w:pPr>
    </w:p>
    <w:tbl>
      <w:tblPr>
        <w:tblStyle w:val="TableGrid1"/>
        <w:tblW w:w="104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0"/>
        <w:gridCol w:w="8700"/>
      </w:tblGrid>
      <w:tr w:rsidR="00632F67" w:rsidRPr="00302F74" w:rsidTr="00FD5A43">
        <w:trPr>
          <w:trHeight w:val="300"/>
        </w:trPr>
        <w:tc>
          <w:tcPr>
            <w:tcW w:w="10480" w:type="dxa"/>
            <w:gridSpan w:val="3"/>
            <w:tcBorders>
              <w:bottom w:val="single" w:sz="4" w:space="0" w:color="auto"/>
            </w:tcBorders>
            <w:hideMark/>
          </w:tcPr>
          <w:p w:rsidR="00C9325C" w:rsidRPr="003569C2" w:rsidRDefault="00C9325C" w:rsidP="00553DA6">
            <w:pPr>
              <w:widowControl w:val="0"/>
              <w:spacing w:line="360" w:lineRule="auto"/>
              <w:jc w:val="both"/>
              <w:rPr>
                <w:rFonts w:ascii="Book Antiqua" w:hAnsi="Book Antiqua" w:cs="Times New Roman"/>
                <w:b/>
                <w:sz w:val="24"/>
                <w:szCs w:val="24"/>
              </w:rPr>
            </w:pPr>
            <w:r w:rsidRPr="003569C2">
              <w:rPr>
                <w:rFonts w:ascii="Book Antiqua" w:hAnsi="Book Antiqua" w:cs="Times New Roman"/>
                <w:b/>
                <w:sz w:val="24"/>
                <w:szCs w:val="24"/>
              </w:rPr>
              <w:lastRenderedPageBreak/>
              <w:t xml:space="preserve">Table </w:t>
            </w:r>
            <w:r w:rsidR="00553DA6" w:rsidRPr="003569C2">
              <w:rPr>
                <w:rFonts w:ascii="Book Antiqua" w:hAnsi="Book Antiqua" w:cs="Times New Roman" w:hint="eastAsia"/>
                <w:b/>
                <w:sz w:val="24"/>
                <w:szCs w:val="24"/>
                <w:lang w:eastAsia="zh-CN"/>
              </w:rPr>
              <w:t>12</w:t>
            </w:r>
            <w:r w:rsidRPr="003569C2">
              <w:rPr>
                <w:rFonts w:ascii="Book Antiqua" w:hAnsi="Book Antiqua" w:cs="Times New Roman"/>
                <w:b/>
                <w:sz w:val="24"/>
                <w:szCs w:val="24"/>
              </w:rPr>
              <w:t xml:space="preserve"> Treatment of acute or chronic </w:t>
            </w:r>
            <w:r w:rsidR="003569C2" w:rsidRPr="003569C2">
              <w:rPr>
                <w:rFonts w:ascii="Book Antiqua" w:hAnsi="Book Antiqua" w:cs="Times New Roman"/>
                <w:b/>
                <w:sz w:val="24"/>
                <w:szCs w:val="24"/>
              </w:rPr>
              <w:t>glycemic index</w:t>
            </w:r>
            <w:r w:rsidRPr="003569C2">
              <w:rPr>
                <w:rFonts w:ascii="Book Antiqua" w:hAnsi="Book Antiqua" w:cs="Times New Roman"/>
                <w:b/>
                <w:sz w:val="24"/>
                <w:szCs w:val="24"/>
              </w:rPr>
              <w:t xml:space="preserve"> bleeding from portal hypertensive gastropathy</w:t>
            </w:r>
          </w:p>
        </w:tc>
      </w:tr>
      <w:tr w:rsidR="00632F67" w:rsidRPr="00302F74" w:rsidTr="00FD5A43">
        <w:trPr>
          <w:trHeight w:val="300"/>
        </w:trPr>
        <w:tc>
          <w:tcPr>
            <w:tcW w:w="10480" w:type="dxa"/>
            <w:gridSpan w:val="3"/>
            <w:tcBorders>
              <w:top w:val="single" w:sz="4" w:space="0" w:color="auto"/>
              <w:bottom w:val="nil"/>
            </w:tcBorders>
            <w:hideMark/>
          </w:tcPr>
          <w:p w:rsidR="00C9325C" w:rsidRPr="00FD5A43" w:rsidRDefault="00C9325C" w:rsidP="00FA6CCE">
            <w:pPr>
              <w:widowControl w:val="0"/>
              <w:spacing w:line="360" w:lineRule="auto"/>
              <w:jc w:val="both"/>
              <w:rPr>
                <w:rFonts w:ascii="Book Antiqua" w:hAnsi="Book Antiqua" w:cs="Times New Roman"/>
                <w:b/>
                <w:sz w:val="24"/>
                <w:szCs w:val="24"/>
              </w:rPr>
            </w:pPr>
            <w:r w:rsidRPr="00FD5A43">
              <w:rPr>
                <w:rFonts w:ascii="Book Antiqua" w:hAnsi="Book Antiqua" w:cs="Times New Roman"/>
                <w:b/>
                <w:sz w:val="24"/>
                <w:szCs w:val="24"/>
              </w:rPr>
              <w:t>Acute bleeding</w:t>
            </w:r>
          </w:p>
        </w:tc>
      </w:tr>
      <w:tr w:rsidR="00632F67" w:rsidRPr="00302F74" w:rsidTr="00FD5A43">
        <w:trPr>
          <w:trHeight w:val="300"/>
        </w:trPr>
        <w:tc>
          <w:tcPr>
            <w:tcW w:w="880" w:type="dxa"/>
            <w:tcBorders>
              <w:bottom w:val="single" w:sz="4" w:space="0" w:color="auto"/>
            </w:tcBorders>
            <w:hideMark/>
          </w:tcPr>
          <w:p w:rsidR="00C9325C" w:rsidRPr="00FD5A43" w:rsidRDefault="00C9325C" w:rsidP="00FA6CCE">
            <w:pPr>
              <w:widowControl w:val="0"/>
              <w:spacing w:line="360" w:lineRule="auto"/>
              <w:jc w:val="both"/>
              <w:rPr>
                <w:rFonts w:ascii="Book Antiqua" w:hAnsi="Book Antiqua" w:cs="Times New Roman"/>
                <w:b/>
                <w:sz w:val="24"/>
                <w:szCs w:val="24"/>
              </w:rPr>
            </w:pPr>
          </w:p>
        </w:tc>
        <w:tc>
          <w:tcPr>
            <w:tcW w:w="9600" w:type="dxa"/>
            <w:gridSpan w:val="2"/>
            <w:tcBorders>
              <w:bottom w:val="single" w:sz="4" w:space="0" w:color="auto"/>
            </w:tcBorders>
            <w:hideMark/>
          </w:tcPr>
          <w:p w:rsidR="00C9325C" w:rsidRPr="00FD5A43" w:rsidRDefault="00C9325C" w:rsidP="00FA6CCE">
            <w:pPr>
              <w:widowControl w:val="0"/>
              <w:spacing w:line="360" w:lineRule="auto"/>
              <w:jc w:val="both"/>
              <w:rPr>
                <w:rFonts w:ascii="Book Antiqua" w:hAnsi="Book Antiqua" w:cs="Times New Roman"/>
                <w:b/>
                <w:sz w:val="24"/>
                <w:szCs w:val="24"/>
              </w:rPr>
            </w:pPr>
            <w:r w:rsidRPr="00FD5A43">
              <w:rPr>
                <w:rFonts w:ascii="Book Antiqua" w:hAnsi="Book Antiqua" w:cs="Times New Roman"/>
                <w:b/>
                <w:sz w:val="24"/>
                <w:szCs w:val="24"/>
              </w:rPr>
              <w:t>Patient stabilization</w:t>
            </w:r>
          </w:p>
        </w:tc>
      </w:tr>
      <w:tr w:rsidR="00632F67" w:rsidRPr="00302F74" w:rsidTr="00FD5A43">
        <w:trPr>
          <w:trHeight w:val="300"/>
        </w:trPr>
        <w:tc>
          <w:tcPr>
            <w:tcW w:w="880" w:type="dxa"/>
            <w:tcBorders>
              <w:top w:val="single" w:sz="4" w:space="0" w:color="auto"/>
            </w:tcBorders>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tcBorders>
              <w:top w:val="single" w:sz="4" w:space="0" w:color="auto"/>
            </w:tcBorders>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tcBorders>
              <w:top w:val="single" w:sz="4" w:space="0" w:color="auto"/>
            </w:tcBorders>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Treat severe coagulopathy with highly elevated INR associated with cirrhosis with fresh frozen plasma</w:t>
            </w:r>
          </w:p>
        </w:tc>
      </w:tr>
      <w:tr w:rsidR="00632F67" w:rsidRPr="00302F74" w:rsidTr="00FD5A43">
        <w:trPr>
          <w:trHeight w:val="6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Treat severe thrombocytopenia associated with hypersplenism and bone marrow suppression from alcoholism with platelet transfusions</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Transfuse packed erythrocytes to main hemoglobin level at about 8 gm/dL</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600" w:type="dxa"/>
            <w:gridSpan w:val="2"/>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Consider antibiotic prophylaxis in patient with cirrhosis</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600" w:type="dxa"/>
            <w:gridSpan w:val="2"/>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Endoscopic therapy from bleeding-rarely used</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Consider argon plasma coagulation</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Hemospray - an experimental therapy</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600" w:type="dxa"/>
            <w:gridSpan w:val="2"/>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Pharmacotherapy</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 xml:space="preserve">Octreotide - first line therapy </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Vasopressin or terlipressin - second line therapy</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Proton pump inhibitor therapy - adjunct therapy</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Propranolol - can be instituted after bleeding controlled and patient stabilized</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600" w:type="dxa"/>
            <w:gridSpan w:val="2"/>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Interventional therapy</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TIPS - for uncontrolled hemorrhage or for bleeding from PHG associated with variceal bleeding</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Liver transplantation - for advanced end stage liver disease</w:t>
            </w:r>
          </w:p>
        </w:tc>
      </w:tr>
      <w:tr w:rsidR="00632F67" w:rsidRPr="00302F74" w:rsidTr="00FD5A43">
        <w:trPr>
          <w:trHeight w:val="300"/>
        </w:trPr>
        <w:tc>
          <w:tcPr>
            <w:tcW w:w="10480" w:type="dxa"/>
            <w:gridSpan w:val="3"/>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Chronic bleeding</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600" w:type="dxa"/>
            <w:gridSpan w:val="2"/>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Treatment of anemia</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Transfusions of packed erythrocytes as necessary</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Iron replacement therapy</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600" w:type="dxa"/>
            <w:gridSpan w:val="2"/>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Pharmacotherapy</w:t>
            </w:r>
          </w:p>
        </w:tc>
      </w:tr>
      <w:tr w:rsidR="00632F67" w:rsidRPr="00302F74" w:rsidTr="00FD5A43">
        <w:trPr>
          <w:trHeight w:val="300"/>
        </w:trPr>
        <w:tc>
          <w:tcPr>
            <w:tcW w:w="88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900" w:type="dxa"/>
            <w:hideMark/>
          </w:tcPr>
          <w:p w:rsidR="00C9325C" w:rsidRPr="00302F74" w:rsidRDefault="00C9325C" w:rsidP="00FA6CCE">
            <w:pPr>
              <w:widowControl w:val="0"/>
              <w:spacing w:line="360" w:lineRule="auto"/>
              <w:jc w:val="both"/>
              <w:rPr>
                <w:rFonts w:ascii="Book Antiqua" w:hAnsi="Book Antiqua" w:cs="Times New Roman"/>
                <w:sz w:val="24"/>
                <w:szCs w:val="24"/>
              </w:rPr>
            </w:pPr>
          </w:p>
        </w:tc>
        <w:tc>
          <w:tcPr>
            <w:tcW w:w="8700" w:type="dxa"/>
            <w:hideMark/>
          </w:tcPr>
          <w:p w:rsidR="00C9325C" w:rsidRPr="00302F74" w:rsidRDefault="00C9325C" w:rsidP="00FA6CCE">
            <w:pPr>
              <w:widowControl w:val="0"/>
              <w:spacing w:line="360" w:lineRule="auto"/>
              <w:jc w:val="both"/>
              <w:rPr>
                <w:rFonts w:ascii="Book Antiqua" w:hAnsi="Book Antiqua" w:cs="Times New Roman"/>
                <w:sz w:val="24"/>
                <w:szCs w:val="24"/>
              </w:rPr>
            </w:pPr>
            <w:r w:rsidRPr="00302F74">
              <w:rPr>
                <w:rFonts w:ascii="Book Antiqua" w:hAnsi="Book Antiqua" w:cs="Times New Roman"/>
                <w:sz w:val="24"/>
                <w:szCs w:val="24"/>
              </w:rPr>
              <w:t>Consider propranolol</w:t>
            </w:r>
          </w:p>
        </w:tc>
      </w:tr>
    </w:tbl>
    <w:p w:rsidR="00C9325C" w:rsidRPr="00302F74" w:rsidRDefault="0038204F" w:rsidP="00FA6CCE">
      <w:pPr>
        <w:widowControl w:val="0"/>
        <w:spacing w:line="360" w:lineRule="auto"/>
        <w:jc w:val="both"/>
        <w:rPr>
          <w:rFonts w:ascii="Book Antiqua" w:hAnsi="Book Antiqua" w:cs="Times New Roman"/>
          <w:sz w:val="24"/>
          <w:szCs w:val="24"/>
          <w:lang w:eastAsia="zh-CN"/>
        </w:rPr>
      </w:pPr>
      <w:r w:rsidRPr="008C6824">
        <w:rPr>
          <w:rFonts w:ascii="Book Antiqua" w:hAnsi="Book Antiqua" w:cs="Times New Roman"/>
          <w:sz w:val="24"/>
          <w:szCs w:val="24"/>
          <w:lang w:val="en"/>
        </w:rPr>
        <w:t>TIPS</w:t>
      </w:r>
      <w:r>
        <w:rPr>
          <w:rFonts w:ascii="Book Antiqua" w:hAnsi="Book Antiqua" w:cs="Times New Roman" w:hint="eastAsia"/>
          <w:sz w:val="24"/>
          <w:szCs w:val="24"/>
          <w:lang w:val="en" w:eastAsia="zh-CN"/>
        </w:rPr>
        <w:t xml:space="preserve">: </w:t>
      </w:r>
      <w:r w:rsidRPr="008C6824">
        <w:rPr>
          <w:rFonts w:ascii="Book Antiqua" w:hAnsi="Book Antiqua" w:cs="Times New Roman"/>
          <w:sz w:val="24"/>
          <w:szCs w:val="24"/>
          <w:lang w:val="en"/>
        </w:rPr>
        <w:t>Transjugular intrahepatic portosystemic shunt</w:t>
      </w:r>
      <w:r>
        <w:rPr>
          <w:rFonts w:ascii="Book Antiqua" w:hAnsi="Book Antiqua" w:cs="Times New Roman" w:hint="eastAsia"/>
          <w:sz w:val="24"/>
          <w:szCs w:val="24"/>
          <w:lang w:val="en" w:eastAsia="zh-CN"/>
        </w:rPr>
        <w:t>.</w:t>
      </w:r>
    </w:p>
    <w:p w:rsidR="00662667" w:rsidRDefault="00662667" w:rsidP="00FA6CCE">
      <w:pPr>
        <w:widowControl w:val="0"/>
        <w:spacing w:line="360" w:lineRule="auto"/>
        <w:jc w:val="both"/>
        <w:rPr>
          <w:rFonts w:ascii="Book Antiqua" w:hAnsi="Book Antiqua" w:cs="Times New Roman"/>
          <w:b/>
          <w:sz w:val="24"/>
          <w:szCs w:val="24"/>
          <w:lang w:eastAsia="zh-CN"/>
        </w:rPr>
      </w:pPr>
      <w:r w:rsidRPr="00302F74">
        <w:rPr>
          <w:rFonts w:ascii="Book Antiqua" w:hAnsi="Book Antiqua" w:cs="Times New Roman"/>
          <w:b/>
          <w:noProof/>
          <w:sz w:val="24"/>
          <w:szCs w:val="24"/>
        </w:rPr>
        <w:drawing>
          <wp:anchor distT="0" distB="0" distL="114300" distR="114300" simplePos="0" relativeHeight="251673600" behindDoc="1" locked="0" layoutInCell="1" allowOverlap="1" wp14:anchorId="0AEF5CE8" wp14:editId="1BCBDA78">
            <wp:simplePos x="0" y="0"/>
            <wp:positionH relativeFrom="column">
              <wp:posOffset>480695</wp:posOffset>
            </wp:positionH>
            <wp:positionV relativeFrom="paragraph">
              <wp:posOffset>-319405</wp:posOffset>
            </wp:positionV>
            <wp:extent cx="4859020" cy="8229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902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662667" w:rsidRDefault="00662667" w:rsidP="00FA6CCE">
      <w:pPr>
        <w:widowControl w:val="0"/>
        <w:spacing w:line="360" w:lineRule="auto"/>
        <w:jc w:val="both"/>
        <w:rPr>
          <w:rFonts w:ascii="Book Antiqua" w:hAnsi="Book Antiqua" w:cs="Times New Roman"/>
          <w:b/>
          <w:sz w:val="24"/>
          <w:szCs w:val="24"/>
          <w:lang w:eastAsia="zh-CN"/>
        </w:rPr>
      </w:pPr>
    </w:p>
    <w:p w:rsidR="00D52EFE" w:rsidRDefault="000E09FB" w:rsidP="00FA6CCE">
      <w:pPr>
        <w:widowControl w:val="0"/>
        <w:spacing w:line="360" w:lineRule="auto"/>
        <w:jc w:val="both"/>
        <w:rPr>
          <w:rFonts w:ascii="Book Antiqua" w:hAnsi="Book Antiqua" w:cs="Times New Roman"/>
          <w:sz w:val="24"/>
          <w:szCs w:val="24"/>
        </w:rPr>
      </w:pPr>
      <w:r w:rsidRPr="00310392">
        <w:rPr>
          <w:rFonts w:ascii="Book Antiqua" w:hAnsi="Book Antiqua" w:cs="Times New Roman"/>
          <w:b/>
          <w:sz w:val="24"/>
          <w:szCs w:val="24"/>
        </w:rPr>
        <w:t>Figure I</w:t>
      </w:r>
      <w:r w:rsidR="00310392" w:rsidRPr="00310392">
        <w:rPr>
          <w:rFonts w:ascii="Book Antiqua" w:hAnsi="Book Antiqua" w:cs="Times New Roman" w:hint="eastAsia"/>
          <w:b/>
          <w:sz w:val="24"/>
          <w:szCs w:val="24"/>
          <w:lang w:eastAsia="zh-CN"/>
        </w:rPr>
        <w:t xml:space="preserve"> </w:t>
      </w:r>
      <w:r w:rsidRPr="00310392">
        <w:rPr>
          <w:rFonts w:ascii="Book Antiqua" w:hAnsi="Book Antiqua" w:cs="Times New Roman"/>
          <w:b/>
          <w:sz w:val="24"/>
          <w:szCs w:val="24"/>
        </w:rPr>
        <w:t>Hypothesized mechanism of p</w:t>
      </w:r>
      <w:r w:rsidR="00310392" w:rsidRPr="00310392">
        <w:rPr>
          <w:rFonts w:ascii="Book Antiqua" w:hAnsi="Book Antiqua" w:cs="Times New Roman"/>
          <w:b/>
          <w:sz w:val="24"/>
          <w:szCs w:val="24"/>
        </w:rPr>
        <w:t>ortal hypertensive gastropathy.</w:t>
      </w:r>
      <w:r w:rsidR="00310392" w:rsidRPr="00310392">
        <w:rPr>
          <w:rFonts w:ascii="Book Antiqua" w:hAnsi="Book Antiqua" w:cs="Times New Roman" w:hint="eastAsia"/>
          <w:b/>
          <w:sz w:val="24"/>
          <w:szCs w:val="24"/>
          <w:lang w:eastAsia="zh-CN"/>
        </w:rPr>
        <w:t xml:space="preserve"> </w:t>
      </w:r>
      <w:r w:rsidRPr="00302F74">
        <w:rPr>
          <w:rFonts w:ascii="Book Antiqua" w:hAnsi="Book Antiqua" w:cs="Times New Roman"/>
          <w:sz w:val="24"/>
          <w:szCs w:val="24"/>
        </w:rPr>
        <w:t>*The finding of decreased gastric mucosal perfusion in PHG is somehat controversial (see text).</w:t>
      </w:r>
    </w:p>
    <w:p w:rsidR="00D52EFE" w:rsidRDefault="00D52EFE">
      <w:pPr>
        <w:spacing w:line="276" w:lineRule="auto"/>
        <w:jc w:val="both"/>
        <w:rPr>
          <w:rFonts w:ascii="Book Antiqua" w:hAnsi="Book Antiqua" w:cs="Times New Roman"/>
          <w:sz w:val="24"/>
          <w:szCs w:val="24"/>
        </w:rPr>
      </w:pPr>
      <w:r>
        <w:rPr>
          <w:rFonts w:ascii="Book Antiqua" w:hAnsi="Book Antiqua" w:cs="Times New Roman"/>
          <w:sz w:val="24"/>
          <w:szCs w:val="24"/>
        </w:rPr>
        <w:lastRenderedPageBreak/>
        <w:br w:type="page"/>
      </w:r>
    </w:p>
    <w:p w:rsidR="000E09FB" w:rsidRDefault="00D52EFE" w:rsidP="00FA6CCE">
      <w:pPr>
        <w:widowControl w:val="0"/>
        <w:spacing w:line="360" w:lineRule="auto"/>
        <w:jc w:val="both"/>
        <w:rPr>
          <w:rFonts w:ascii="Book Antiqua" w:hAnsi="Book Antiqua" w:cs="Times New Roman"/>
          <w:sz w:val="24"/>
          <w:szCs w:val="24"/>
          <w:lang w:eastAsia="zh-CN"/>
        </w:rPr>
      </w:pPr>
      <w:r w:rsidRPr="00302F74">
        <w:rPr>
          <w:rFonts w:ascii="Book Antiqua" w:hAnsi="Book Antiqua" w:cs="Times New Roman"/>
          <w:b/>
          <w:noProof/>
          <w:sz w:val="24"/>
          <w:szCs w:val="24"/>
        </w:rPr>
        <w:lastRenderedPageBreak/>
        <w:drawing>
          <wp:inline distT="0" distB="0" distL="0" distR="0" wp14:anchorId="587823E4" wp14:editId="1405D78B">
            <wp:extent cx="2565355" cy="2047164"/>
            <wp:effectExtent l="0" t="0" r="6985" b="0"/>
            <wp:docPr id="4" name="Picture 4" descr="C:\Users\dr2364\Desktop\Portalhypertensivegastropathy\Portal Hypertensive Gastropathy\PortalHypertensiveGastropathy 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r2364\Desktop\Portalhypertensivegastropathy\Portal Hypertensive Gastropathy\PortalHypertensiveGastropathy Figure 2A.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5501" cy="2047281"/>
                    </a:xfrm>
                    <a:prstGeom prst="rect">
                      <a:avLst/>
                    </a:prstGeom>
                    <a:noFill/>
                    <a:ln>
                      <a:noFill/>
                    </a:ln>
                  </pic:spPr>
                </pic:pic>
              </a:graphicData>
            </a:graphic>
          </wp:inline>
        </w:drawing>
      </w:r>
      <w:r>
        <w:rPr>
          <w:rFonts w:ascii="Book Antiqua" w:hAnsi="Book Antiqua" w:cs="Times New Roman" w:hint="eastAsia"/>
          <w:sz w:val="24"/>
          <w:szCs w:val="24"/>
          <w:lang w:eastAsia="zh-CN"/>
        </w:rPr>
        <w:t>A</w:t>
      </w:r>
    </w:p>
    <w:p w:rsidR="000E09FB" w:rsidRPr="00302F74" w:rsidRDefault="00D52EFE" w:rsidP="00FA6CCE">
      <w:pPr>
        <w:widowControl w:val="0"/>
        <w:spacing w:line="360" w:lineRule="auto"/>
        <w:jc w:val="both"/>
        <w:rPr>
          <w:rFonts w:ascii="Book Antiqua" w:hAnsi="Book Antiqua" w:cs="Times New Roman"/>
          <w:sz w:val="24"/>
          <w:szCs w:val="24"/>
          <w:lang w:eastAsia="zh-CN"/>
        </w:rPr>
      </w:pPr>
      <w:r>
        <w:rPr>
          <w:rFonts w:ascii="Book Antiqua" w:hAnsi="Book Antiqua" w:cs="Times New Roman"/>
          <w:noProof/>
          <w:sz w:val="24"/>
          <w:szCs w:val="24"/>
        </w:rPr>
        <w:drawing>
          <wp:inline distT="0" distB="0" distL="0" distR="0">
            <wp:extent cx="2480645" cy="1978925"/>
            <wp:effectExtent l="0" t="0" r="0" b="2540"/>
            <wp:docPr id="1" name="图片 1" descr="F:\修改后稿子\22919\PortalHypertensiveGastropathy 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2919\PortalHypertensiveGastropathy Figure 2B.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714" cy="1978980"/>
                    </a:xfrm>
                    <a:prstGeom prst="rect">
                      <a:avLst/>
                    </a:prstGeom>
                    <a:noFill/>
                    <a:ln>
                      <a:noFill/>
                    </a:ln>
                  </pic:spPr>
                </pic:pic>
              </a:graphicData>
            </a:graphic>
          </wp:inline>
        </w:drawing>
      </w:r>
      <w:r>
        <w:rPr>
          <w:rFonts w:ascii="Book Antiqua" w:hAnsi="Book Antiqua" w:cs="Times New Roman" w:hint="eastAsia"/>
          <w:sz w:val="24"/>
          <w:szCs w:val="24"/>
          <w:lang w:eastAsia="zh-CN"/>
        </w:rPr>
        <w:t>B</w:t>
      </w:r>
    </w:p>
    <w:p w:rsidR="00C12BA8" w:rsidRPr="00302F74" w:rsidRDefault="00662667" w:rsidP="00FA6CCE">
      <w:pPr>
        <w:spacing w:line="360" w:lineRule="auto"/>
        <w:jc w:val="both"/>
        <w:rPr>
          <w:rFonts w:ascii="Book Antiqua" w:hAnsi="Book Antiqua" w:cs="Times New Roman"/>
          <w:sz w:val="24"/>
          <w:szCs w:val="24"/>
        </w:rPr>
      </w:pPr>
      <w:r w:rsidRPr="00662667">
        <w:rPr>
          <w:rFonts w:ascii="Book Antiqua" w:hAnsi="Book Antiqua" w:cs="Times New Roman" w:hint="eastAsia"/>
          <w:b/>
          <w:sz w:val="24"/>
          <w:szCs w:val="24"/>
          <w:lang w:eastAsia="zh-CN"/>
        </w:rPr>
        <w:t>Figure 2</w:t>
      </w:r>
      <w:r>
        <w:rPr>
          <w:rFonts w:ascii="Book Antiqua" w:hAnsi="Book Antiqua" w:cs="Times New Roman" w:hint="eastAsia"/>
          <w:sz w:val="24"/>
          <w:szCs w:val="24"/>
          <w:lang w:eastAsia="zh-CN"/>
        </w:rPr>
        <w:t xml:space="preserve"> </w:t>
      </w:r>
      <w:r w:rsidR="000E09FB" w:rsidRPr="000328F1">
        <w:rPr>
          <w:rFonts w:ascii="Book Antiqua" w:hAnsi="Book Antiqua" w:cs="Times New Roman"/>
          <w:b/>
          <w:sz w:val="24"/>
          <w:szCs w:val="24"/>
        </w:rPr>
        <w:t xml:space="preserve">A 60-year-old man presented for routine endoscopic screening for esophageal varices due to a history of Child-Pugh class B cirrhosis, with a </w:t>
      </w:r>
      <w:r w:rsidR="006A355D" w:rsidRPr="000328F1">
        <w:rPr>
          <w:rFonts w:ascii="Book Antiqua" w:hAnsi="Book Antiqua" w:cs="Times New Roman"/>
          <w:b/>
          <w:sz w:val="24"/>
          <w:szCs w:val="24"/>
        </w:rPr>
        <w:t>mo</w:t>
      </w:r>
      <w:r w:rsidR="006A355D">
        <w:rPr>
          <w:rFonts w:ascii="Book Antiqua" w:hAnsi="Book Antiqua" w:cs="Times New Roman"/>
          <w:b/>
          <w:sz w:val="24"/>
          <w:szCs w:val="24"/>
        </w:rPr>
        <w:t>del for end-stage liver disease</w:t>
      </w:r>
      <w:r w:rsidR="000E09FB" w:rsidRPr="000328F1">
        <w:rPr>
          <w:rFonts w:ascii="Book Antiqua" w:hAnsi="Book Antiqua" w:cs="Times New Roman"/>
          <w:b/>
          <w:sz w:val="24"/>
          <w:szCs w:val="24"/>
        </w:rPr>
        <w:t xml:space="preserve"> score = 18, from hepatitis C secondary to former intravenous drug use.</w:t>
      </w:r>
      <w:r w:rsidR="00963345" w:rsidRPr="000328F1">
        <w:rPr>
          <w:rFonts w:ascii="Book Antiqua" w:hAnsi="Book Antiqua" w:cs="Times New Roman"/>
          <w:b/>
          <w:sz w:val="24"/>
          <w:szCs w:val="24"/>
        </w:rPr>
        <w:t xml:space="preserve"> </w:t>
      </w:r>
      <w:r w:rsidR="000E09FB" w:rsidRPr="00302F74">
        <w:rPr>
          <w:rFonts w:ascii="Book Antiqua" w:hAnsi="Book Antiqua" w:cs="Times New Roman"/>
          <w:sz w:val="24"/>
          <w:szCs w:val="24"/>
        </w:rPr>
        <w:t>The patient denied a history of gastrointestinal bleeding.</w:t>
      </w:r>
      <w:r w:rsidR="00963345">
        <w:rPr>
          <w:rFonts w:ascii="Book Antiqua" w:hAnsi="Book Antiqua" w:cs="Times New Roman"/>
          <w:sz w:val="24"/>
          <w:szCs w:val="24"/>
        </w:rPr>
        <w:t xml:space="preserve"> </w:t>
      </w:r>
      <w:r w:rsidR="000E09FB" w:rsidRPr="00302F74">
        <w:rPr>
          <w:rFonts w:ascii="Book Antiqua" w:hAnsi="Book Antiqua" w:cs="Times New Roman"/>
          <w:sz w:val="24"/>
          <w:szCs w:val="24"/>
        </w:rPr>
        <w:t>The hematocrit was 40.1%.</w:t>
      </w:r>
      <w:r w:rsidR="00963345">
        <w:rPr>
          <w:rFonts w:ascii="Book Antiqua" w:hAnsi="Book Antiqua" w:cs="Times New Roman"/>
          <w:sz w:val="24"/>
          <w:szCs w:val="24"/>
        </w:rPr>
        <w:t xml:space="preserve"> </w:t>
      </w:r>
      <w:r w:rsidR="000E09FB" w:rsidRPr="00302F74">
        <w:rPr>
          <w:rFonts w:ascii="Book Antiqua" w:hAnsi="Book Antiqua" w:cs="Times New Roman"/>
          <w:sz w:val="24"/>
          <w:szCs w:val="24"/>
        </w:rPr>
        <w:t>Esophagogastroduodenoscopy revealed the classic findings of portal hypertensive gastropathy, including a plae white reticular (mosaic) pattern surrounding small polygonal areas of mucosa, with variable erythema, in the entire stomach, but most prominently in the gastric fundus and body.</w:t>
      </w:r>
      <w:r w:rsidR="00963345">
        <w:rPr>
          <w:rFonts w:ascii="Book Antiqua" w:hAnsi="Book Antiqua" w:cs="Times New Roman"/>
          <w:sz w:val="24"/>
          <w:szCs w:val="24"/>
        </w:rPr>
        <w:t xml:space="preserve"> </w:t>
      </w:r>
      <w:r w:rsidR="000E09FB" w:rsidRPr="00302F74">
        <w:rPr>
          <w:rFonts w:ascii="Book Antiqua" w:hAnsi="Book Antiqua" w:cs="Times New Roman"/>
          <w:sz w:val="24"/>
          <w:szCs w:val="24"/>
        </w:rPr>
        <w:t>B is a relatively close-up view of the lesions seen in A.</w:t>
      </w:r>
    </w:p>
    <w:p w:rsidR="007B49D5" w:rsidRPr="00D52EFE" w:rsidRDefault="000E09FB" w:rsidP="00D52EFE">
      <w:pPr>
        <w:spacing w:line="360" w:lineRule="auto"/>
        <w:jc w:val="both"/>
        <w:rPr>
          <w:rFonts w:ascii="Book Antiqua" w:hAnsi="Book Antiqua" w:cs="Times New Roman"/>
          <w:sz w:val="24"/>
          <w:szCs w:val="24"/>
        </w:rPr>
      </w:pPr>
      <w:r w:rsidRPr="00302F74">
        <w:rPr>
          <w:rFonts w:ascii="Book Antiqua" w:hAnsi="Book Antiqua" w:cs="Times New Roman"/>
          <w:b/>
          <w:noProof/>
          <w:sz w:val="24"/>
          <w:szCs w:val="24"/>
        </w:rPr>
        <mc:AlternateContent>
          <mc:Choice Requires="wps">
            <w:drawing>
              <wp:anchor distT="0" distB="0" distL="114300" distR="114300" simplePos="0" relativeHeight="251665408" behindDoc="0" locked="0" layoutInCell="1" allowOverlap="1" wp14:anchorId="1C9BA3D5" wp14:editId="19E8E3F2">
                <wp:simplePos x="0" y="0"/>
                <wp:positionH relativeFrom="column">
                  <wp:posOffset>1090448</wp:posOffset>
                </wp:positionH>
                <wp:positionV relativeFrom="paragraph">
                  <wp:posOffset>2295241</wp:posOffset>
                </wp:positionV>
                <wp:extent cx="6239510" cy="7905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790575"/>
                        </a:xfrm>
                        <a:prstGeom prst="rect">
                          <a:avLst/>
                        </a:prstGeom>
                        <a:noFill/>
                        <a:ln w="9525">
                          <a:noFill/>
                          <a:miter lim="800000"/>
                          <a:headEnd/>
                          <a:tailEnd/>
                        </a:ln>
                      </wps:spPr>
                      <wps:txbx>
                        <w:txbxContent>
                          <w:p w:rsidR="00D1504A" w:rsidRPr="00832B62" w:rsidRDefault="00D1504A" w:rsidP="000E09FB">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85.85pt;margin-top:180.75pt;width:491.3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" filled="f" stroked="f">
                <v:textbox>
                  <w:txbxContent>
                    <w:p w:rsidR="00D1504A" w:rsidRPr="00832B62" w:rsidRDefault="00D1504A" w:rsidP="000E09FB">
                      <w:pPr>
                        <w:rPr>
                          <w:rFonts w:ascii="Times New Roman" w:hAnsi="Times New Roman" w:cs="Times New Roman"/>
                          <w:sz w:val="24"/>
                          <w:szCs w:val="24"/>
                        </w:rPr>
                      </w:pPr>
                    </w:p>
                  </w:txbxContent>
                </v:textbox>
              </v:shape>
            </w:pict>
          </mc:Fallback>
        </mc:AlternateContent>
      </w:r>
    </w:p>
    <w:sectPr w:rsidR="007B49D5" w:rsidRPr="00D52EFE" w:rsidSect="005F1A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D36" w:rsidRDefault="006C4D36" w:rsidP="00492312">
      <w:r>
        <w:separator/>
      </w:r>
    </w:p>
  </w:endnote>
  <w:endnote w:type="continuationSeparator" w:id="0">
    <w:p w:rsidR="006C4D36" w:rsidRDefault="006C4D36" w:rsidP="0049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幼圆">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510167"/>
      <w:docPartObj>
        <w:docPartGallery w:val="Page Numbers (Bottom of Page)"/>
        <w:docPartUnique/>
      </w:docPartObj>
    </w:sdtPr>
    <w:sdtEndPr>
      <w:rPr>
        <w:noProof/>
      </w:rPr>
    </w:sdtEndPr>
    <w:sdtContent>
      <w:p w:rsidR="00D1504A" w:rsidRDefault="00D1504A" w:rsidP="003932D0">
        <w:pPr>
          <w:pStyle w:val="Footer"/>
          <w:jc w:val="center"/>
        </w:pPr>
        <w:r>
          <w:fldChar w:fldCharType="begin"/>
        </w:r>
        <w:r>
          <w:instrText xml:space="preserve"> PAGE   \* MERGEFORMAT </w:instrText>
        </w:r>
        <w:r>
          <w:fldChar w:fldCharType="separate"/>
        </w:r>
        <w:r w:rsidR="00FC1E74">
          <w:rPr>
            <w:noProof/>
          </w:rPr>
          <w:t>5</w:t>
        </w:r>
        <w:r>
          <w:rPr>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799114"/>
      <w:docPartObj>
        <w:docPartGallery w:val="Page Numbers (Bottom of Page)"/>
        <w:docPartUnique/>
      </w:docPartObj>
    </w:sdtPr>
    <w:sdtEndPr>
      <w:rPr>
        <w:noProof/>
      </w:rPr>
    </w:sdtEndPr>
    <w:sdtContent>
      <w:p w:rsidR="00D1504A" w:rsidRDefault="00D1504A">
        <w:pPr>
          <w:pStyle w:val="Footer"/>
          <w:jc w:val="center"/>
        </w:pPr>
        <w:r>
          <w:fldChar w:fldCharType="begin"/>
        </w:r>
        <w:r>
          <w:instrText xml:space="preserve"> PAGE   \* MERGEFORMAT </w:instrText>
        </w:r>
        <w:r>
          <w:fldChar w:fldCharType="separate"/>
        </w:r>
        <w:r w:rsidR="00FC1E74">
          <w:rPr>
            <w:noProof/>
          </w:rPr>
          <w:t>99</w:t>
        </w:r>
        <w:r>
          <w:rPr>
            <w:noProof/>
          </w:rPr>
          <w:fldChar w:fldCharType="end"/>
        </w:r>
      </w:p>
    </w:sdtContent>
  </w:sdt>
  <w:p w:rsidR="00D1504A" w:rsidRDefault="00D1504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591353"/>
      <w:docPartObj>
        <w:docPartGallery w:val="Page Numbers (Bottom of Page)"/>
        <w:docPartUnique/>
      </w:docPartObj>
    </w:sdtPr>
    <w:sdtEndPr>
      <w:rPr>
        <w:noProof/>
      </w:rPr>
    </w:sdtEndPr>
    <w:sdtContent>
      <w:p w:rsidR="00D1504A" w:rsidRDefault="00D1504A">
        <w:pPr>
          <w:pStyle w:val="Footer"/>
          <w:jc w:val="center"/>
        </w:pPr>
        <w:r>
          <w:fldChar w:fldCharType="begin"/>
        </w:r>
        <w:r>
          <w:instrText xml:space="preserve"> PAGE   \* MERGEFORMAT </w:instrText>
        </w:r>
        <w:r>
          <w:fldChar w:fldCharType="separate"/>
        </w:r>
        <w:r w:rsidR="00FC1E74">
          <w:rPr>
            <w:noProof/>
          </w:rPr>
          <w:t>111</w:t>
        </w:r>
        <w:r>
          <w:rPr>
            <w:noProof/>
          </w:rPr>
          <w:fldChar w:fldCharType="end"/>
        </w:r>
      </w:p>
    </w:sdtContent>
  </w:sdt>
  <w:p w:rsidR="00D1504A" w:rsidRDefault="00D150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D36" w:rsidRDefault="006C4D36" w:rsidP="00492312">
      <w:r>
        <w:separator/>
      </w:r>
    </w:p>
  </w:footnote>
  <w:footnote w:type="continuationSeparator" w:id="0">
    <w:p w:rsidR="006C4D36" w:rsidRDefault="006C4D36" w:rsidP="004923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6C84"/>
    <w:multiLevelType w:val="hybridMultilevel"/>
    <w:tmpl w:val="C0B2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607A3A"/>
    <w:multiLevelType w:val="hybridMultilevel"/>
    <w:tmpl w:val="9CD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D11F5"/>
    <w:multiLevelType w:val="hybridMultilevel"/>
    <w:tmpl w:val="E3746C52"/>
    <w:lvl w:ilvl="0" w:tplc="EA10F3D6">
      <w:start w:val="1"/>
      <w:numFmt w:val="decimal"/>
      <w:lvlText w:val="%1."/>
      <w:lvlJc w:val="left"/>
      <w:pPr>
        <w:ind w:left="1080" w:hanging="72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54538"/>
    <w:multiLevelType w:val="multilevel"/>
    <w:tmpl w:val="6C545A04"/>
    <w:styleLink w:val="WW8Num2"/>
    <w:lvl w:ilvl="0">
      <w:start w:val="1"/>
      <w:numFmt w:val="decimal"/>
      <w:lvlText w:val="%1."/>
      <w:lvlJc w:val="left"/>
      <w:rPr>
        <w:rFonts w:ascii="Book Antiqua" w:hAnsi="Book Antiqua" w:cs="Book Antiqua"/>
        <w:bCs/>
        <w:color w:val="000000"/>
        <w:lang w:val="en-G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429135F"/>
    <w:multiLevelType w:val="multilevel"/>
    <w:tmpl w:val="B1B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ED026B"/>
    <w:multiLevelType w:val="hybridMultilevel"/>
    <w:tmpl w:val="BF12C6CC"/>
    <w:lvl w:ilvl="0" w:tplc="3CF2690C">
      <w:start w:val="1"/>
      <w:numFmt w:val="decimal"/>
      <w:lvlText w:val="%1"/>
      <w:lvlJc w:val="left"/>
      <w:pPr>
        <w:ind w:left="821" w:hanging="360"/>
        <w:jc w:val="right"/>
      </w:pPr>
      <w:rPr>
        <w:rFonts w:ascii="Book Antiqua" w:eastAsia="Book Antiqua" w:hAnsi="Book Antiqua" w:hint="default"/>
        <w:b/>
        <w:bCs/>
        <w:sz w:val="24"/>
        <w:szCs w:val="24"/>
      </w:rPr>
    </w:lvl>
    <w:lvl w:ilvl="1" w:tplc="48CC29BE">
      <w:start w:val="1"/>
      <w:numFmt w:val="bullet"/>
      <w:lvlText w:val="•"/>
      <w:lvlJc w:val="left"/>
      <w:pPr>
        <w:ind w:left="1696" w:hanging="360"/>
      </w:pPr>
      <w:rPr>
        <w:rFonts w:hint="default"/>
      </w:rPr>
    </w:lvl>
    <w:lvl w:ilvl="2" w:tplc="B0A2A5E0">
      <w:start w:val="1"/>
      <w:numFmt w:val="bullet"/>
      <w:lvlText w:val="•"/>
      <w:lvlJc w:val="left"/>
      <w:pPr>
        <w:ind w:left="2570" w:hanging="360"/>
      </w:pPr>
      <w:rPr>
        <w:rFonts w:hint="default"/>
      </w:rPr>
    </w:lvl>
    <w:lvl w:ilvl="3" w:tplc="F5E03252">
      <w:start w:val="1"/>
      <w:numFmt w:val="bullet"/>
      <w:lvlText w:val="•"/>
      <w:lvlJc w:val="left"/>
      <w:pPr>
        <w:ind w:left="3445" w:hanging="360"/>
      </w:pPr>
      <w:rPr>
        <w:rFonts w:hint="default"/>
      </w:rPr>
    </w:lvl>
    <w:lvl w:ilvl="4" w:tplc="F7564E0A">
      <w:start w:val="1"/>
      <w:numFmt w:val="bullet"/>
      <w:lvlText w:val="•"/>
      <w:lvlJc w:val="left"/>
      <w:pPr>
        <w:ind w:left="4319" w:hanging="360"/>
      </w:pPr>
      <w:rPr>
        <w:rFonts w:hint="default"/>
      </w:rPr>
    </w:lvl>
    <w:lvl w:ilvl="5" w:tplc="5EDECA1E">
      <w:start w:val="1"/>
      <w:numFmt w:val="bullet"/>
      <w:lvlText w:val="•"/>
      <w:lvlJc w:val="left"/>
      <w:pPr>
        <w:ind w:left="5194" w:hanging="360"/>
      </w:pPr>
      <w:rPr>
        <w:rFonts w:hint="default"/>
      </w:rPr>
    </w:lvl>
    <w:lvl w:ilvl="6" w:tplc="5970A806">
      <w:start w:val="1"/>
      <w:numFmt w:val="bullet"/>
      <w:lvlText w:val="•"/>
      <w:lvlJc w:val="left"/>
      <w:pPr>
        <w:ind w:left="6068" w:hanging="360"/>
      </w:pPr>
      <w:rPr>
        <w:rFonts w:hint="default"/>
      </w:rPr>
    </w:lvl>
    <w:lvl w:ilvl="7" w:tplc="78F4A3E8">
      <w:start w:val="1"/>
      <w:numFmt w:val="bullet"/>
      <w:lvlText w:val="•"/>
      <w:lvlJc w:val="left"/>
      <w:pPr>
        <w:ind w:left="6942" w:hanging="360"/>
      </w:pPr>
      <w:rPr>
        <w:rFonts w:hint="default"/>
      </w:rPr>
    </w:lvl>
    <w:lvl w:ilvl="8" w:tplc="6898FF90">
      <w:start w:val="1"/>
      <w:numFmt w:val="bullet"/>
      <w:lvlText w:val="•"/>
      <w:lvlJc w:val="left"/>
      <w:pPr>
        <w:ind w:left="7817" w:hanging="360"/>
      </w:pPr>
      <w:rPr>
        <w:rFonts w:hint="default"/>
      </w:rPr>
    </w:lvl>
  </w:abstractNum>
  <w:abstractNum w:abstractNumId="6">
    <w:nsid w:val="2F742746"/>
    <w:multiLevelType w:val="hybridMultilevel"/>
    <w:tmpl w:val="4412BD76"/>
    <w:lvl w:ilvl="0" w:tplc="0809000F">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8723CA"/>
    <w:multiLevelType w:val="multilevel"/>
    <w:tmpl w:val="4A3A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CA204A"/>
    <w:multiLevelType w:val="hybridMultilevel"/>
    <w:tmpl w:val="61D815C2"/>
    <w:lvl w:ilvl="0" w:tplc="FD8EC926">
      <w:start w:val="18"/>
      <w:numFmt w:val="decimal"/>
      <w:lvlText w:val="%1"/>
      <w:lvlJc w:val="left"/>
      <w:pPr>
        <w:ind w:left="360" w:hanging="360"/>
      </w:pPr>
      <w:rPr>
        <w:rFonts w:eastAsia="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CBB11AF"/>
    <w:multiLevelType w:val="hybridMultilevel"/>
    <w:tmpl w:val="A4944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73486D"/>
    <w:multiLevelType w:val="multilevel"/>
    <w:tmpl w:val="6AB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C20BC6"/>
    <w:multiLevelType w:val="hybridMultilevel"/>
    <w:tmpl w:val="9A8C7AD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46C960E7"/>
    <w:multiLevelType w:val="hybridMultilevel"/>
    <w:tmpl w:val="C0D8B2C6"/>
    <w:lvl w:ilvl="0" w:tplc="4ECC7BDE">
      <w:start w:val="1"/>
      <w:numFmt w:val="decimal"/>
      <w:lvlText w:val="%1."/>
      <w:lvlJc w:val="left"/>
      <w:pPr>
        <w:tabs>
          <w:tab w:val="num" w:pos="0"/>
        </w:tabs>
        <w:ind w:left="10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nsid w:val="4A875FBD"/>
    <w:multiLevelType w:val="multilevel"/>
    <w:tmpl w:val="E5069FE8"/>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F6D57AA"/>
    <w:multiLevelType w:val="hybridMultilevel"/>
    <w:tmpl w:val="9ADC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9F179F"/>
    <w:multiLevelType w:val="hybridMultilevel"/>
    <w:tmpl w:val="E004A5F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56A53769"/>
    <w:multiLevelType w:val="multilevel"/>
    <w:tmpl w:val="CADE1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342546"/>
    <w:multiLevelType w:val="hybridMultilevel"/>
    <w:tmpl w:val="4EFA29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D448A"/>
    <w:multiLevelType w:val="hybridMultilevel"/>
    <w:tmpl w:val="5C3CD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CF3A83"/>
    <w:multiLevelType w:val="hybridMultilevel"/>
    <w:tmpl w:val="E01E93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2547EA1"/>
    <w:multiLevelType w:val="hybridMultilevel"/>
    <w:tmpl w:val="720CCEAE"/>
    <w:lvl w:ilvl="0" w:tplc="34E6ABCE">
      <w:start w:val="1"/>
      <w:numFmt w:val="decimal"/>
      <w:lvlText w:val="%1."/>
      <w:lvlJc w:val="left"/>
      <w:pPr>
        <w:ind w:left="928"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4DB6B32"/>
    <w:multiLevelType w:val="hybridMultilevel"/>
    <w:tmpl w:val="75CA3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E25D83"/>
    <w:multiLevelType w:val="hybridMultilevel"/>
    <w:tmpl w:val="A56820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5F62714"/>
    <w:multiLevelType w:val="hybridMultilevel"/>
    <w:tmpl w:val="5C74441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7136541"/>
    <w:multiLevelType w:val="hybridMultilevel"/>
    <w:tmpl w:val="957C4BF6"/>
    <w:lvl w:ilvl="0" w:tplc="A8CE8B56">
      <w:start w:val="1"/>
      <w:numFmt w:val="upperLetter"/>
      <w:lvlText w:val="(%1)"/>
      <w:lvlJc w:val="left"/>
      <w:pPr>
        <w:tabs>
          <w:tab w:val="num" w:pos="720"/>
        </w:tabs>
        <w:ind w:left="720" w:hanging="360"/>
      </w:pPr>
    </w:lvl>
    <w:lvl w:ilvl="1" w:tplc="CA98D792" w:tentative="1">
      <w:start w:val="1"/>
      <w:numFmt w:val="upperLetter"/>
      <w:lvlText w:val="(%2)"/>
      <w:lvlJc w:val="left"/>
      <w:pPr>
        <w:tabs>
          <w:tab w:val="num" w:pos="1440"/>
        </w:tabs>
        <w:ind w:left="1440" w:hanging="360"/>
      </w:pPr>
    </w:lvl>
    <w:lvl w:ilvl="2" w:tplc="A97EDF4C" w:tentative="1">
      <w:start w:val="1"/>
      <w:numFmt w:val="upperLetter"/>
      <w:lvlText w:val="(%3)"/>
      <w:lvlJc w:val="left"/>
      <w:pPr>
        <w:tabs>
          <w:tab w:val="num" w:pos="2160"/>
        </w:tabs>
        <w:ind w:left="2160" w:hanging="360"/>
      </w:pPr>
    </w:lvl>
    <w:lvl w:ilvl="3" w:tplc="05B43346" w:tentative="1">
      <w:start w:val="1"/>
      <w:numFmt w:val="upperLetter"/>
      <w:lvlText w:val="(%4)"/>
      <w:lvlJc w:val="left"/>
      <w:pPr>
        <w:tabs>
          <w:tab w:val="num" w:pos="2880"/>
        </w:tabs>
        <w:ind w:left="2880" w:hanging="360"/>
      </w:pPr>
    </w:lvl>
    <w:lvl w:ilvl="4" w:tplc="82FA47DA" w:tentative="1">
      <w:start w:val="1"/>
      <w:numFmt w:val="upperLetter"/>
      <w:lvlText w:val="(%5)"/>
      <w:lvlJc w:val="left"/>
      <w:pPr>
        <w:tabs>
          <w:tab w:val="num" w:pos="3600"/>
        </w:tabs>
        <w:ind w:left="3600" w:hanging="360"/>
      </w:pPr>
    </w:lvl>
    <w:lvl w:ilvl="5" w:tplc="0BA06296" w:tentative="1">
      <w:start w:val="1"/>
      <w:numFmt w:val="upperLetter"/>
      <w:lvlText w:val="(%6)"/>
      <w:lvlJc w:val="left"/>
      <w:pPr>
        <w:tabs>
          <w:tab w:val="num" w:pos="4320"/>
        </w:tabs>
        <w:ind w:left="4320" w:hanging="360"/>
      </w:pPr>
    </w:lvl>
    <w:lvl w:ilvl="6" w:tplc="79960488" w:tentative="1">
      <w:start w:val="1"/>
      <w:numFmt w:val="upperLetter"/>
      <w:lvlText w:val="(%7)"/>
      <w:lvlJc w:val="left"/>
      <w:pPr>
        <w:tabs>
          <w:tab w:val="num" w:pos="5040"/>
        </w:tabs>
        <w:ind w:left="5040" w:hanging="360"/>
      </w:pPr>
    </w:lvl>
    <w:lvl w:ilvl="7" w:tplc="145C5636" w:tentative="1">
      <w:start w:val="1"/>
      <w:numFmt w:val="upperLetter"/>
      <w:lvlText w:val="(%8)"/>
      <w:lvlJc w:val="left"/>
      <w:pPr>
        <w:tabs>
          <w:tab w:val="num" w:pos="5760"/>
        </w:tabs>
        <w:ind w:left="5760" w:hanging="360"/>
      </w:pPr>
    </w:lvl>
    <w:lvl w:ilvl="8" w:tplc="CFF80352" w:tentative="1">
      <w:start w:val="1"/>
      <w:numFmt w:val="upperLetter"/>
      <w:lvlText w:val="(%9)"/>
      <w:lvlJc w:val="left"/>
      <w:pPr>
        <w:tabs>
          <w:tab w:val="num" w:pos="6480"/>
        </w:tabs>
        <w:ind w:left="6480" w:hanging="360"/>
      </w:pPr>
    </w:lvl>
  </w:abstractNum>
  <w:abstractNum w:abstractNumId="25">
    <w:nsid w:val="797D055F"/>
    <w:multiLevelType w:val="hybridMultilevel"/>
    <w:tmpl w:val="630C5F72"/>
    <w:lvl w:ilvl="0" w:tplc="BA84F81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3A40E7"/>
    <w:multiLevelType w:val="hybridMultilevel"/>
    <w:tmpl w:val="9AA64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DD35B36"/>
    <w:multiLevelType w:val="hybridMultilevel"/>
    <w:tmpl w:val="056C5F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22"/>
  </w:num>
  <w:num w:numId="5">
    <w:abstractNumId w:val="19"/>
  </w:num>
  <w:num w:numId="6">
    <w:abstractNumId w:val="8"/>
  </w:num>
  <w:num w:numId="7">
    <w:abstractNumId w:val="21"/>
  </w:num>
  <w:num w:numId="8">
    <w:abstractNumId w:val="20"/>
  </w:num>
  <w:num w:numId="9">
    <w:abstractNumId w:val="15"/>
  </w:num>
  <w:num w:numId="10">
    <w:abstractNumId w:val="11"/>
  </w:num>
  <w:num w:numId="11">
    <w:abstractNumId w:val="10"/>
  </w:num>
  <w:num w:numId="12">
    <w:abstractNumId w:val="4"/>
  </w:num>
  <w:num w:numId="13">
    <w:abstractNumId w:val="16"/>
  </w:num>
  <w:num w:numId="14">
    <w:abstractNumId w:val="18"/>
  </w:num>
  <w:num w:numId="15">
    <w:abstractNumId w:val="27"/>
  </w:num>
  <w:num w:numId="16">
    <w:abstractNumId w:val="13"/>
  </w:num>
  <w:num w:numId="17">
    <w:abstractNumId w:val="6"/>
  </w:num>
  <w:num w:numId="18">
    <w:abstractNumId w:val="17"/>
  </w:num>
  <w:num w:numId="19">
    <w:abstractNumId w:val="26"/>
  </w:num>
  <w:num w:numId="20">
    <w:abstractNumId w:val="23"/>
  </w:num>
  <w:num w:numId="21">
    <w:abstractNumId w:val="0"/>
  </w:num>
  <w:num w:numId="22">
    <w:abstractNumId w:val="24"/>
  </w:num>
  <w:num w:numId="23">
    <w:abstractNumId w:val="12"/>
  </w:num>
  <w:num w:numId="24">
    <w:abstractNumId w:val="25"/>
  </w:num>
  <w:num w:numId="25">
    <w:abstractNumId w:val="3"/>
    <w:lvlOverride w:ilvl="0">
      <w:lvl w:ilvl="0">
        <w:start w:val="1"/>
        <w:numFmt w:val="decimal"/>
        <w:lvlText w:val="%1."/>
        <w:lvlJc w:val="left"/>
        <w:rPr>
          <w:rFonts w:ascii="Book Antiqua" w:hAnsi="Book Antiqua" w:cs="Book Antiqua"/>
          <w:bCs/>
          <w:color w:val="000000"/>
          <w:lang w:val="en-GB"/>
        </w:rPr>
      </w:lvl>
    </w:lvlOverride>
  </w:num>
  <w:num w:numId="26">
    <w:abstractNumId w:val="3"/>
  </w:num>
  <w:num w:numId="27">
    <w:abstractNumId w:val="5"/>
  </w:num>
  <w:num w:numId="28">
    <w:abstractNumId w:val="1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9DA"/>
    <w:rsid w:val="000004AC"/>
    <w:rsid w:val="0000116D"/>
    <w:rsid w:val="00003245"/>
    <w:rsid w:val="00003DE9"/>
    <w:rsid w:val="0001224E"/>
    <w:rsid w:val="0001509D"/>
    <w:rsid w:val="00024088"/>
    <w:rsid w:val="0002478B"/>
    <w:rsid w:val="000261A2"/>
    <w:rsid w:val="000328F1"/>
    <w:rsid w:val="000350A5"/>
    <w:rsid w:val="00036557"/>
    <w:rsid w:val="00045727"/>
    <w:rsid w:val="000460F5"/>
    <w:rsid w:val="000505C6"/>
    <w:rsid w:val="0005272D"/>
    <w:rsid w:val="00054947"/>
    <w:rsid w:val="00055BDD"/>
    <w:rsid w:val="00056093"/>
    <w:rsid w:val="00057C83"/>
    <w:rsid w:val="00061E0C"/>
    <w:rsid w:val="00062893"/>
    <w:rsid w:val="00063DBF"/>
    <w:rsid w:val="00063E17"/>
    <w:rsid w:val="000649D6"/>
    <w:rsid w:val="0007006D"/>
    <w:rsid w:val="00080C3A"/>
    <w:rsid w:val="00081A54"/>
    <w:rsid w:val="00082B9F"/>
    <w:rsid w:val="00092F1B"/>
    <w:rsid w:val="00093F1B"/>
    <w:rsid w:val="00093F67"/>
    <w:rsid w:val="000A02E0"/>
    <w:rsid w:val="000A36F3"/>
    <w:rsid w:val="000A3890"/>
    <w:rsid w:val="000A49B0"/>
    <w:rsid w:val="000B0B24"/>
    <w:rsid w:val="000B25A7"/>
    <w:rsid w:val="000C0235"/>
    <w:rsid w:val="000C421F"/>
    <w:rsid w:val="000C4D45"/>
    <w:rsid w:val="000C635D"/>
    <w:rsid w:val="000C69D5"/>
    <w:rsid w:val="000D0AAA"/>
    <w:rsid w:val="000D34EA"/>
    <w:rsid w:val="000D382D"/>
    <w:rsid w:val="000D4C79"/>
    <w:rsid w:val="000D57AF"/>
    <w:rsid w:val="000E09FB"/>
    <w:rsid w:val="000E1CC6"/>
    <w:rsid w:val="000E4A57"/>
    <w:rsid w:val="000E4B68"/>
    <w:rsid w:val="000E75EC"/>
    <w:rsid w:val="000F2103"/>
    <w:rsid w:val="000F30BB"/>
    <w:rsid w:val="000F5AA1"/>
    <w:rsid w:val="000F5E7E"/>
    <w:rsid w:val="0010142D"/>
    <w:rsid w:val="001026E9"/>
    <w:rsid w:val="001045B2"/>
    <w:rsid w:val="00106B3C"/>
    <w:rsid w:val="00107935"/>
    <w:rsid w:val="00115A1D"/>
    <w:rsid w:val="00115F59"/>
    <w:rsid w:val="001209C3"/>
    <w:rsid w:val="00122343"/>
    <w:rsid w:val="00122388"/>
    <w:rsid w:val="0012677A"/>
    <w:rsid w:val="0013058A"/>
    <w:rsid w:val="00130ECC"/>
    <w:rsid w:val="001348D1"/>
    <w:rsid w:val="00135449"/>
    <w:rsid w:val="001366F1"/>
    <w:rsid w:val="00143160"/>
    <w:rsid w:val="00144842"/>
    <w:rsid w:val="00145447"/>
    <w:rsid w:val="001505DA"/>
    <w:rsid w:val="00153F1A"/>
    <w:rsid w:val="001542F5"/>
    <w:rsid w:val="0015469F"/>
    <w:rsid w:val="00157F81"/>
    <w:rsid w:val="001660B7"/>
    <w:rsid w:val="00173DBF"/>
    <w:rsid w:val="00175137"/>
    <w:rsid w:val="0017746B"/>
    <w:rsid w:val="00177848"/>
    <w:rsid w:val="00181A93"/>
    <w:rsid w:val="00181E8B"/>
    <w:rsid w:val="00182C58"/>
    <w:rsid w:val="001929CB"/>
    <w:rsid w:val="00194ADB"/>
    <w:rsid w:val="001A25D3"/>
    <w:rsid w:val="001B0EA0"/>
    <w:rsid w:val="001B167B"/>
    <w:rsid w:val="001B433A"/>
    <w:rsid w:val="001B58BD"/>
    <w:rsid w:val="001C6B9A"/>
    <w:rsid w:val="001D0436"/>
    <w:rsid w:val="001D336D"/>
    <w:rsid w:val="001D38B2"/>
    <w:rsid w:val="001D3E9A"/>
    <w:rsid w:val="001D668A"/>
    <w:rsid w:val="001E5544"/>
    <w:rsid w:val="001F1479"/>
    <w:rsid w:val="001F306C"/>
    <w:rsid w:val="001F32D9"/>
    <w:rsid w:val="001F3D57"/>
    <w:rsid w:val="001F4A37"/>
    <w:rsid w:val="00200328"/>
    <w:rsid w:val="002010D8"/>
    <w:rsid w:val="002018DE"/>
    <w:rsid w:val="002049DF"/>
    <w:rsid w:val="002058A9"/>
    <w:rsid w:val="00206675"/>
    <w:rsid w:val="00212CB6"/>
    <w:rsid w:val="002132EF"/>
    <w:rsid w:val="00216244"/>
    <w:rsid w:val="00221B20"/>
    <w:rsid w:val="00222DD9"/>
    <w:rsid w:val="0022453C"/>
    <w:rsid w:val="00230750"/>
    <w:rsid w:val="002329DD"/>
    <w:rsid w:val="0023374A"/>
    <w:rsid w:val="0023377B"/>
    <w:rsid w:val="00236F7C"/>
    <w:rsid w:val="00240BAA"/>
    <w:rsid w:val="002446E2"/>
    <w:rsid w:val="00246A1D"/>
    <w:rsid w:val="002513F3"/>
    <w:rsid w:val="002573F4"/>
    <w:rsid w:val="0026049F"/>
    <w:rsid w:val="0026137C"/>
    <w:rsid w:val="00261739"/>
    <w:rsid w:val="00266A72"/>
    <w:rsid w:val="002677AC"/>
    <w:rsid w:val="00272033"/>
    <w:rsid w:val="00273066"/>
    <w:rsid w:val="00275434"/>
    <w:rsid w:val="00282419"/>
    <w:rsid w:val="00282BEE"/>
    <w:rsid w:val="00292287"/>
    <w:rsid w:val="00294F64"/>
    <w:rsid w:val="002A0480"/>
    <w:rsid w:val="002A2410"/>
    <w:rsid w:val="002A3DAA"/>
    <w:rsid w:val="002A534A"/>
    <w:rsid w:val="002A7B48"/>
    <w:rsid w:val="002B52DA"/>
    <w:rsid w:val="002C02FC"/>
    <w:rsid w:val="002C0900"/>
    <w:rsid w:val="002C163D"/>
    <w:rsid w:val="002C1F51"/>
    <w:rsid w:val="002C2BA1"/>
    <w:rsid w:val="002C3BF6"/>
    <w:rsid w:val="002C56BC"/>
    <w:rsid w:val="002D29DA"/>
    <w:rsid w:val="002D3542"/>
    <w:rsid w:val="002D3971"/>
    <w:rsid w:val="002D4A42"/>
    <w:rsid w:val="002E09EA"/>
    <w:rsid w:val="002E0F97"/>
    <w:rsid w:val="002E3836"/>
    <w:rsid w:val="002E4936"/>
    <w:rsid w:val="002E6576"/>
    <w:rsid w:val="002F4AC1"/>
    <w:rsid w:val="002F54A5"/>
    <w:rsid w:val="002F6E75"/>
    <w:rsid w:val="003008FD"/>
    <w:rsid w:val="0030121E"/>
    <w:rsid w:val="00302355"/>
    <w:rsid w:val="00302F74"/>
    <w:rsid w:val="00306810"/>
    <w:rsid w:val="0030725D"/>
    <w:rsid w:val="00307598"/>
    <w:rsid w:val="00307DCB"/>
    <w:rsid w:val="0031009F"/>
    <w:rsid w:val="00310392"/>
    <w:rsid w:val="0031178C"/>
    <w:rsid w:val="00314A5B"/>
    <w:rsid w:val="003165B5"/>
    <w:rsid w:val="00324B7E"/>
    <w:rsid w:val="00324BE0"/>
    <w:rsid w:val="00325858"/>
    <w:rsid w:val="003320DF"/>
    <w:rsid w:val="00332D1A"/>
    <w:rsid w:val="0033587B"/>
    <w:rsid w:val="00336507"/>
    <w:rsid w:val="003369C1"/>
    <w:rsid w:val="003378BD"/>
    <w:rsid w:val="00341343"/>
    <w:rsid w:val="0034432E"/>
    <w:rsid w:val="0034563F"/>
    <w:rsid w:val="00345DC1"/>
    <w:rsid w:val="00346915"/>
    <w:rsid w:val="00347918"/>
    <w:rsid w:val="00351C59"/>
    <w:rsid w:val="003569C2"/>
    <w:rsid w:val="0036046D"/>
    <w:rsid w:val="003607F0"/>
    <w:rsid w:val="00361EEA"/>
    <w:rsid w:val="003622D2"/>
    <w:rsid w:val="003647B5"/>
    <w:rsid w:val="00366F06"/>
    <w:rsid w:val="00370B8B"/>
    <w:rsid w:val="00371E01"/>
    <w:rsid w:val="00372EA8"/>
    <w:rsid w:val="003746E8"/>
    <w:rsid w:val="00375859"/>
    <w:rsid w:val="003801E4"/>
    <w:rsid w:val="00381E45"/>
    <w:rsid w:val="0038204F"/>
    <w:rsid w:val="00391F19"/>
    <w:rsid w:val="003926EF"/>
    <w:rsid w:val="003932D0"/>
    <w:rsid w:val="0039747C"/>
    <w:rsid w:val="003A0DFD"/>
    <w:rsid w:val="003A4140"/>
    <w:rsid w:val="003B0D5D"/>
    <w:rsid w:val="003B2529"/>
    <w:rsid w:val="003B41CF"/>
    <w:rsid w:val="003B5527"/>
    <w:rsid w:val="003B638F"/>
    <w:rsid w:val="003B66FD"/>
    <w:rsid w:val="003B68ED"/>
    <w:rsid w:val="003B7142"/>
    <w:rsid w:val="003B74B6"/>
    <w:rsid w:val="003C70FF"/>
    <w:rsid w:val="003D1CD0"/>
    <w:rsid w:val="003D5C0E"/>
    <w:rsid w:val="003D7C4B"/>
    <w:rsid w:val="003E06C2"/>
    <w:rsid w:val="003E4AFD"/>
    <w:rsid w:val="003E6A0A"/>
    <w:rsid w:val="003F0252"/>
    <w:rsid w:val="003F0B3C"/>
    <w:rsid w:val="00400FCE"/>
    <w:rsid w:val="00401715"/>
    <w:rsid w:val="004022BC"/>
    <w:rsid w:val="00402DD1"/>
    <w:rsid w:val="00403004"/>
    <w:rsid w:val="00405DEC"/>
    <w:rsid w:val="004065A6"/>
    <w:rsid w:val="00407D3A"/>
    <w:rsid w:val="00410F62"/>
    <w:rsid w:val="00414DB4"/>
    <w:rsid w:val="00415420"/>
    <w:rsid w:val="00415BEE"/>
    <w:rsid w:val="00417B6C"/>
    <w:rsid w:val="00420934"/>
    <w:rsid w:val="0042186D"/>
    <w:rsid w:val="004321ED"/>
    <w:rsid w:val="00441ADB"/>
    <w:rsid w:val="00442848"/>
    <w:rsid w:val="0044385F"/>
    <w:rsid w:val="0044561C"/>
    <w:rsid w:val="004538FD"/>
    <w:rsid w:val="00455CE4"/>
    <w:rsid w:val="00456A85"/>
    <w:rsid w:val="00457DBF"/>
    <w:rsid w:val="004626AB"/>
    <w:rsid w:val="004651B8"/>
    <w:rsid w:val="00473DD3"/>
    <w:rsid w:val="0047492D"/>
    <w:rsid w:val="004765A1"/>
    <w:rsid w:val="00483EB8"/>
    <w:rsid w:val="00484B9A"/>
    <w:rsid w:val="004878BA"/>
    <w:rsid w:val="00491D13"/>
    <w:rsid w:val="00492312"/>
    <w:rsid w:val="00495F71"/>
    <w:rsid w:val="00495FE9"/>
    <w:rsid w:val="004A0AA4"/>
    <w:rsid w:val="004A243F"/>
    <w:rsid w:val="004A72FF"/>
    <w:rsid w:val="004B0287"/>
    <w:rsid w:val="004B0A2E"/>
    <w:rsid w:val="004C1BF2"/>
    <w:rsid w:val="004C4B72"/>
    <w:rsid w:val="004C54AC"/>
    <w:rsid w:val="004C57D3"/>
    <w:rsid w:val="004D7281"/>
    <w:rsid w:val="004D76D5"/>
    <w:rsid w:val="004D7D06"/>
    <w:rsid w:val="004E03EE"/>
    <w:rsid w:val="004E2D33"/>
    <w:rsid w:val="004E301E"/>
    <w:rsid w:val="004E4196"/>
    <w:rsid w:val="004E43BC"/>
    <w:rsid w:val="004E4728"/>
    <w:rsid w:val="004E47D1"/>
    <w:rsid w:val="004F2514"/>
    <w:rsid w:val="004F3C1D"/>
    <w:rsid w:val="004F4D30"/>
    <w:rsid w:val="004F5E97"/>
    <w:rsid w:val="0050138F"/>
    <w:rsid w:val="005021D4"/>
    <w:rsid w:val="00502577"/>
    <w:rsid w:val="005046BF"/>
    <w:rsid w:val="005126CF"/>
    <w:rsid w:val="00512A1C"/>
    <w:rsid w:val="00520887"/>
    <w:rsid w:val="00524BAD"/>
    <w:rsid w:val="0053196F"/>
    <w:rsid w:val="00532449"/>
    <w:rsid w:val="00532542"/>
    <w:rsid w:val="00534409"/>
    <w:rsid w:val="0054222C"/>
    <w:rsid w:val="00542323"/>
    <w:rsid w:val="005479C0"/>
    <w:rsid w:val="00550EB4"/>
    <w:rsid w:val="00551420"/>
    <w:rsid w:val="005528D1"/>
    <w:rsid w:val="00553529"/>
    <w:rsid w:val="00553DA6"/>
    <w:rsid w:val="00554560"/>
    <w:rsid w:val="00556C2A"/>
    <w:rsid w:val="00557287"/>
    <w:rsid w:val="0056100C"/>
    <w:rsid w:val="00561A11"/>
    <w:rsid w:val="005644C9"/>
    <w:rsid w:val="00566BFB"/>
    <w:rsid w:val="00567CFF"/>
    <w:rsid w:val="00570637"/>
    <w:rsid w:val="00571124"/>
    <w:rsid w:val="00571D8F"/>
    <w:rsid w:val="00572FC6"/>
    <w:rsid w:val="0058019C"/>
    <w:rsid w:val="0058402C"/>
    <w:rsid w:val="005857E5"/>
    <w:rsid w:val="00586578"/>
    <w:rsid w:val="005873EE"/>
    <w:rsid w:val="00587623"/>
    <w:rsid w:val="00587725"/>
    <w:rsid w:val="00587948"/>
    <w:rsid w:val="005927C2"/>
    <w:rsid w:val="00594CB8"/>
    <w:rsid w:val="005951FF"/>
    <w:rsid w:val="005A68DE"/>
    <w:rsid w:val="005B3B1A"/>
    <w:rsid w:val="005B3BB2"/>
    <w:rsid w:val="005B3D70"/>
    <w:rsid w:val="005B5E11"/>
    <w:rsid w:val="005C219A"/>
    <w:rsid w:val="005C37A7"/>
    <w:rsid w:val="005D3312"/>
    <w:rsid w:val="005D5BBC"/>
    <w:rsid w:val="005D5D23"/>
    <w:rsid w:val="005D65C1"/>
    <w:rsid w:val="005D6D66"/>
    <w:rsid w:val="005E1FE3"/>
    <w:rsid w:val="005E38E6"/>
    <w:rsid w:val="005F163D"/>
    <w:rsid w:val="005F1A43"/>
    <w:rsid w:val="005F39B7"/>
    <w:rsid w:val="005F416B"/>
    <w:rsid w:val="005F585F"/>
    <w:rsid w:val="00600858"/>
    <w:rsid w:val="006049FD"/>
    <w:rsid w:val="00605AE4"/>
    <w:rsid w:val="0060660B"/>
    <w:rsid w:val="006073A6"/>
    <w:rsid w:val="00607F51"/>
    <w:rsid w:val="0061020B"/>
    <w:rsid w:val="00610C10"/>
    <w:rsid w:val="0061287B"/>
    <w:rsid w:val="00613605"/>
    <w:rsid w:val="00613C2F"/>
    <w:rsid w:val="006165F8"/>
    <w:rsid w:val="00616AA8"/>
    <w:rsid w:val="00616C8C"/>
    <w:rsid w:val="00617313"/>
    <w:rsid w:val="00622052"/>
    <w:rsid w:val="00624C7A"/>
    <w:rsid w:val="0062622A"/>
    <w:rsid w:val="00632F67"/>
    <w:rsid w:val="00633199"/>
    <w:rsid w:val="00633E8D"/>
    <w:rsid w:val="00633ED1"/>
    <w:rsid w:val="006369A8"/>
    <w:rsid w:val="00637AE5"/>
    <w:rsid w:val="00642A3E"/>
    <w:rsid w:val="0064390E"/>
    <w:rsid w:val="00643FFD"/>
    <w:rsid w:val="00650A1A"/>
    <w:rsid w:val="00652AF1"/>
    <w:rsid w:val="0065539A"/>
    <w:rsid w:val="006603A2"/>
    <w:rsid w:val="00661EF6"/>
    <w:rsid w:val="00662667"/>
    <w:rsid w:val="0066656A"/>
    <w:rsid w:val="00670326"/>
    <w:rsid w:val="00671309"/>
    <w:rsid w:val="0067547F"/>
    <w:rsid w:val="006757AD"/>
    <w:rsid w:val="00680120"/>
    <w:rsid w:val="006816FF"/>
    <w:rsid w:val="00685316"/>
    <w:rsid w:val="00687A73"/>
    <w:rsid w:val="00687CC8"/>
    <w:rsid w:val="0069010E"/>
    <w:rsid w:val="00690707"/>
    <w:rsid w:val="00691554"/>
    <w:rsid w:val="0069191F"/>
    <w:rsid w:val="00696DC8"/>
    <w:rsid w:val="006A0295"/>
    <w:rsid w:val="006A14AE"/>
    <w:rsid w:val="006A355D"/>
    <w:rsid w:val="006A36FA"/>
    <w:rsid w:val="006A699C"/>
    <w:rsid w:val="006B0478"/>
    <w:rsid w:val="006B199D"/>
    <w:rsid w:val="006B314F"/>
    <w:rsid w:val="006B734E"/>
    <w:rsid w:val="006B7AA3"/>
    <w:rsid w:val="006C4D36"/>
    <w:rsid w:val="006D13F6"/>
    <w:rsid w:val="006D5489"/>
    <w:rsid w:val="006D5504"/>
    <w:rsid w:val="006D5E79"/>
    <w:rsid w:val="006D6D5F"/>
    <w:rsid w:val="006D7614"/>
    <w:rsid w:val="006E0E0B"/>
    <w:rsid w:val="006E2DA9"/>
    <w:rsid w:val="006E4321"/>
    <w:rsid w:val="006F0B90"/>
    <w:rsid w:val="006F4838"/>
    <w:rsid w:val="006F58D5"/>
    <w:rsid w:val="006F5C17"/>
    <w:rsid w:val="00701AA3"/>
    <w:rsid w:val="00702B32"/>
    <w:rsid w:val="00703C69"/>
    <w:rsid w:val="007109CF"/>
    <w:rsid w:val="00710DA1"/>
    <w:rsid w:val="00720C31"/>
    <w:rsid w:val="00724B3C"/>
    <w:rsid w:val="007254A6"/>
    <w:rsid w:val="00725F44"/>
    <w:rsid w:val="00727866"/>
    <w:rsid w:val="00727FEB"/>
    <w:rsid w:val="00734D9F"/>
    <w:rsid w:val="007370A1"/>
    <w:rsid w:val="0074286C"/>
    <w:rsid w:val="007442CA"/>
    <w:rsid w:val="00745482"/>
    <w:rsid w:val="007465E2"/>
    <w:rsid w:val="007516D1"/>
    <w:rsid w:val="0075181B"/>
    <w:rsid w:val="00752ED7"/>
    <w:rsid w:val="007533E9"/>
    <w:rsid w:val="00760719"/>
    <w:rsid w:val="00763606"/>
    <w:rsid w:val="00766AA7"/>
    <w:rsid w:val="00766DAB"/>
    <w:rsid w:val="0076717C"/>
    <w:rsid w:val="00772E6F"/>
    <w:rsid w:val="0077433A"/>
    <w:rsid w:val="007747B7"/>
    <w:rsid w:val="00776E4B"/>
    <w:rsid w:val="00777230"/>
    <w:rsid w:val="0077774B"/>
    <w:rsid w:val="007827BC"/>
    <w:rsid w:val="00790374"/>
    <w:rsid w:val="00790643"/>
    <w:rsid w:val="0079197B"/>
    <w:rsid w:val="007919F8"/>
    <w:rsid w:val="00792353"/>
    <w:rsid w:val="00792EA0"/>
    <w:rsid w:val="00793B4A"/>
    <w:rsid w:val="007A373A"/>
    <w:rsid w:val="007A6682"/>
    <w:rsid w:val="007A771C"/>
    <w:rsid w:val="007B0AC6"/>
    <w:rsid w:val="007B172D"/>
    <w:rsid w:val="007B29BC"/>
    <w:rsid w:val="007B2D18"/>
    <w:rsid w:val="007B3EC0"/>
    <w:rsid w:val="007B49D5"/>
    <w:rsid w:val="007B6036"/>
    <w:rsid w:val="007B65A9"/>
    <w:rsid w:val="007B7950"/>
    <w:rsid w:val="007B7F30"/>
    <w:rsid w:val="007C04A8"/>
    <w:rsid w:val="007C15C5"/>
    <w:rsid w:val="007C2A60"/>
    <w:rsid w:val="007C4CA2"/>
    <w:rsid w:val="007C7C81"/>
    <w:rsid w:val="007D0C85"/>
    <w:rsid w:val="007D22B0"/>
    <w:rsid w:val="007D2CDD"/>
    <w:rsid w:val="007D364A"/>
    <w:rsid w:val="007D3A0A"/>
    <w:rsid w:val="007D5A57"/>
    <w:rsid w:val="007D7E3F"/>
    <w:rsid w:val="007E25F3"/>
    <w:rsid w:val="007E2846"/>
    <w:rsid w:val="007E55C0"/>
    <w:rsid w:val="007F02FC"/>
    <w:rsid w:val="007F11BD"/>
    <w:rsid w:val="007F177C"/>
    <w:rsid w:val="007F44FE"/>
    <w:rsid w:val="007F7D41"/>
    <w:rsid w:val="007F7ED7"/>
    <w:rsid w:val="008066C7"/>
    <w:rsid w:val="00811E09"/>
    <w:rsid w:val="0082334A"/>
    <w:rsid w:val="008235F0"/>
    <w:rsid w:val="00826553"/>
    <w:rsid w:val="00831731"/>
    <w:rsid w:val="00836DDA"/>
    <w:rsid w:val="008420EB"/>
    <w:rsid w:val="00844125"/>
    <w:rsid w:val="008466FB"/>
    <w:rsid w:val="008504A5"/>
    <w:rsid w:val="00850B12"/>
    <w:rsid w:val="00850BDE"/>
    <w:rsid w:val="00851B75"/>
    <w:rsid w:val="008549B8"/>
    <w:rsid w:val="0085552A"/>
    <w:rsid w:val="00855BCE"/>
    <w:rsid w:val="00856FAC"/>
    <w:rsid w:val="00864123"/>
    <w:rsid w:val="00866BBE"/>
    <w:rsid w:val="0087014A"/>
    <w:rsid w:val="008717D4"/>
    <w:rsid w:val="008745B3"/>
    <w:rsid w:val="00875DF3"/>
    <w:rsid w:val="00880E15"/>
    <w:rsid w:val="00886A4E"/>
    <w:rsid w:val="00886C3A"/>
    <w:rsid w:val="0088773E"/>
    <w:rsid w:val="0089042E"/>
    <w:rsid w:val="00893E73"/>
    <w:rsid w:val="008948E3"/>
    <w:rsid w:val="008A6740"/>
    <w:rsid w:val="008A7CE2"/>
    <w:rsid w:val="008B72D6"/>
    <w:rsid w:val="008C0592"/>
    <w:rsid w:val="008C1C7E"/>
    <w:rsid w:val="008C3A22"/>
    <w:rsid w:val="008C6824"/>
    <w:rsid w:val="008D2929"/>
    <w:rsid w:val="008D5256"/>
    <w:rsid w:val="008D5A85"/>
    <w:rsid w:val="008D6437"/>
    <w:rsid w:val="008D72F2"/>
    <w:rsid w:val="008E0970"/>
    <w:rsid w:val="008E2D6F"/>
    <w:rsid w:val="008E49FC"/>
    <w:rsid w:val="008F0EB8"/>
    <w:rsid w:val="008F1232"/>
    <w:rsid w:val="008F5BFB"/>
    <w:rsid w:val="008F74D6"/>
    <w:rsid w:val="0090376E"/>
    <w:rsid w:val="00906BC7"/>
    <w:rsid w:val="009077E4"/>
    <w:rsid w:val="00910316"/>
    <w:rsid w:val="009112DB"/>
    <w:rsid w:val="009122C7"/>
    <w:rsid w:val="0091570E"/>
    <w:rsid w:val="00916EA3"/>
    <w:rsid w:val="00921A6C"/>
    <w:rsid w:val="0093032E"/>
    <w:rsid w:val="009322D9"/>
    <w:rsid w:val="00933479"/>
    <w:rsid w:val="00934804"/>
    <w:rsid w:val="00940F2F"/>
    <w:rsid w:val="00941769"/>
    <w:rsid w:val="00941DB5"/>
    <w:rsid w:val="00943924"/>
    <w:rsid w:val="00946FD7"/>
    <w:rsid w:val="00947474"/>
    <w:rsid w:val="009504D2"/>
    <w:rsid w:val="0095070C"/>
    <w:rsid w:val="00960639"/>
    <w:rsid w:val="0096107E"/>
    <w:rsid w:val="009626C2"/>
    <w:rsid w:val="00963345"/>
    <w:rsid w:val="009657F4"/>
    <w:rsid w:val="009665E5"/>
    <w:rsid w:val="00967234"/>
    <w:rsid w:val="009672F0"/>
    <w:rsid w:val="009728EC"/>
    <w:rsid w:val="0097419C"/>
    <w:rsid w:val="00974541"/>
    <w:rsid w:val="00976D85"/>
    <w:rsid w:val="00982EBF"/>
    <w:rsid w:val="00990F22"/>
    <w:rsid w:val="00991178"/>
    <w:rsid w:val="00992CB5"/>
    <w:rsid w:val="009944A1"/>
    <w:rsid w:val="0099457C"/>
    <w:rsid w:val="009A03DF"/>
    <w:rsid w:val="009A1505"/>
    <w:rsid w:val="009A5584"/>
    <w:rsid w:val="009A6646"/>
    <w:rsid w:val="009B13D6"/>
    <w:rsid w:val="009C17C7"/>
    <w:rsid w:val="009C3BD2"/>
    <w:rsid w:val="009C5A0B"/>
    <w:rsid w:val="009C5B91"/>
    <w:rsid w:val="009D1D85"/>
    <w:rsid w:val="009D3B6B"/>
    <w:rsid w:val="009D5996"/>
    <w:rsid w:val="009D7254"/>
    <w:rsid w:val="009E31C2"/>
    <w:rsid w:val="009F3233"/>
    <w:rsid w:val="00A02B93"/>
    <w:rsid w:val="00A030EA"/>
    <w:rsid w:val="00A047BA"/>
    <w:rsid w:val="00A1243B"/>
    <w:rsid w:val="00A135C8"/>
    <w:rsid w:val="00A17886"/>
    <w:rsid w:val="00A2144F"/>
    <w:rsid w:val="00A24BC8"/>
    <w:rsid w:val="00A25567"/>
    <w:rsid w:val="00A27A3A"/>
    <w:rsid w:val="00A309F9"/>
    <w:rsid w:val="00A3203B"/>
    <w:rsid w:val="00A33B6F"/>
    <w:rsid w:val="00A34526"/>
    <w:rsid w:val="00A3645D"/>
    <w:rsid w:val="00A41BE2"/>
    <w:rsid w:val="00A42AA7"/>
    <w:rsid w:val="00A443B4"/>
    <w:rsid w:val="00A44778"/>
    <w:rsid w:val="00A45CBF"/>
    <w:rsid w:val="00A47C27"/>
    <w:rsid w:val="00A530FD"/>
    <w:rsid w:val="00A63458"/>
    <w:rsid w:val="00A63A1A"/>
    <w:rsid w:val="00A65CF6"/>
    <w:rsid w:val="00A6712D"/>
    <w:rsid w:val="00A67BBD"/>
    <w:rsid w:val="00A74566"/>
    <w:rsid w:val="00A84D00"/>
    <w:rsid w:val="00A85231"/>
    <w:rsid w:val="00A91B2E"/>
    <w:rsid w:val="00A93F4C"/>
    <w:rsid w:val="00AA1922"/>
    <w:rsid w:val="00AA25F9"/>
    <w:rsid w:val="00AA776F"/>
    <w:rsid w:val="00AB451D"/>
    <w:rsid w:val="00AC086B"/>
    <w:rsid w:val="00AC12C8"/>
    <w:rsid w:val="00AC2E95"/>
    <w:rsid w:val="00AC3245"/>
    <w:rsid w:val="00AC4376"/>
    <w:rsid w:val="00AC44B4"/>
    <w:rsid w:val="00AC6033"/>
    <w:rsid w:val="00AD141C"/>
    <w:rsid w:val="00AD54DD"/>
    <w:rsid w:val="00AD56CE"/>
    <w:rsid w:val="00AD5A2F"/>
    <w:rsid w:val="00AD6572"/>
    <w:rsid w:val="00AD7D4C"/>
    <w:rsid w:val="00AE3ADA"/>
    <w:rsid w:val="00AE5C9C"/>
    <w:rsid w:val="00AE6228"/>
    <w:rsid w:val="00AE79EC"/>
    <w:rsid w:val="00AF2213"/>
    <w:rsid w:val="00AF600E"/>
    <w:rsid w:val="00B00309"/>
    <w:rsid w:val="00B009A6"/>
    <w:rsid w:val="00B017C1"/>
    <w:rsid w:val="00B01AA0"/>
    <w:rsid w:val="00B04914"/>
    <w:rsid w:val="00B05C92"/>
    <w:rsid w:val="00B05D9F"/>
    <w:rsid w:val="00B06979"/>
    <w:rsid w:val="00B073B2"/>
    <w:rsid w:val="00B14684"/>
    <w:rsid w:val="00B14BBD"/>
    <w:rsid w:val="00B22864"/>
    <w:rsid w:val="00B22B15"/>
    <w:rsid w:val="00B31B65"/>
    <w:rsid w:val="00B344F8"/>
    <w:rsid w:val="00B34EEF"/>
    <w:rsid w:val="00B355E7"/>
    <w:rsid w:val="00B41761"/>
    <w:rsid w:val="00B419C1"/>
    <w:rsid w:val="00B440E2"/>
    <w:rsid w:val="00B61CC0"/>
    <w:rsid w:val="00B65EF1"/>
    <w:rsid w:val="00B70AAB"/>
    <w:rsid w:val="00B73299"/>
    <w:rsid w:val="00B74B3C"/>
    <w:rsid w:val="00B800E4"/>
    <w:rsid w:val="00B82113"/>
    <w:rsid w:val="00B85219"/>
    <w:rsid w:val="00B867BA"/>
    <w:rsid w:val="00B91DF0"/>
    <w:rsid w:val="00B91EEF"/>
    <w:rsid w:val="00B95010"/>
    <w:rsid w:val="00B966EE"/>
    <w:rsid w:val="00BA0252"/>
    <w:rsid w:val="00BA124D"/>
    <w:rsid w:val="00BA1EBE"/>
    <w:rsid w:val="00BA4F2C"/>
    <w:rsid w:val="00BB1690"/>
    <w:rsid w:val="00BB1D8C"/>
    <w:rsid w:val="00BB69E2"/>
    <w:rsid w:val="00BB7F1D"/>
    <w:rsid w:val="00BC0B4C"/>
    <w:rsid w:val="00BC2F9B"/>
    <w:rsid w:val="00BC4184"/>
    <w:rsid w:val="00BC5C3E"/>
    <w:rsid w:val="00BD1678"/>
    <w:rsid w:val="00BD3FCC"/>
    <w:rsid w:val="00BD76A1"/>
    <w:rsid w:val="00BE31EF"/>
    <w:rsid w:val="00BE3FFE"/>
    <w:rsid w:val="00BE44F8"/>
    <w:rsid w:val="00BF1E2E"/>
    <w:rsid w:val="00BF21EB"/>
    <w:rsid w:val="00BF3356"/>
    <w:rsid w:val="00BF354D"/>
    <w:rsid w:val="00BF6263"/>
    <w:rsid w:val="00C0447D"/>
    <w:rsid w:val="00C06256"/>
    <w:rsid w:val="00C10027"/>
    <w:rsid w:val="00C12BA8"/>
    <w:rsid w:val="00C136DC"/>
    <w:rsid w:val="00C15F36"/>
    <w:rsid w:val="00C17B3C"/>
    <w:rsid w:val="00C21641"/>
    <w:rsid w:val="00C23C6D"/>
    <w:rsid w:val="00C24C71"/>
    <w:rsid w:val="00C25ADB"/>
    <w:rsid w:val="00C30609"/>
    <w:rsid w:val="00C30A90"/>
    <w:rsid w:val="00C30FDA"/>
    <w:rsid w:val="00C41580"/>
    <w:rsid w:val="00C415E8"/>
    <w:rsid w:val="00C424FD"/>
    <w:rsid w:val="00C433A5"/>
    <w:rsid w:val="00C549D4"/>
    <w:rsid w:val="00C558A1"/>
    <w:rsid w:val="00C559DD"/>
    <w:rsid w:val="00C60BDE"/>
    <w:rsid w:val="00C67E6A"/>
    <w:rsid w:val="00C75CC0"/>
    <w:rsid w:val="00C82ABA"/>
    <w:rsid w:val="00C9325C"/>
    <w:rsid w:val="00C93DA7"/>
    <w:rsid w:val="00C94955"/>
    <w:rsid w:val="00C94A98"/>
    <w:rsid w:val="00C968FF"/>
    <w:rsid w:val="00CA0160"/>
    <w:rsid w:val="00CA0FA1"/>
    <w:rsid w:val="00CA2010"/>
    <w:rsid w:val="00CB0CA0"/>
    <w:rsid w:val="00CB69C1"/>
    <w:rsid w:val="00CB7B8A"/>
    <w:rsid w:val="00CC0DCE"/>
    <w:rsid w:val="00CC5E1F"/>
    <w:rsid w:val="00CC7727"/>
    <w:rsid w:val="00CD030B"/>
    <w:rsid w:val="00CD149E"/>
    <w:rsid w:val="00CD170D"/>
    <w:rsid w:val="00CD2718"/>
    <w:rsid w:val="00CD3D60"/>
    <w:rsid w:val="00CD7945"/>
    <w:rsid w:val="00CF08CF"/>
    <w:rsid w:val="00CF3786"/>
    <w:rsid w:val="00CF4553"/>
    <w:rsid w:val="00D0274E"/>
    <w:rsid w:val="00D02951"/>
    <w:rsid w:val="00D02CD3"/>
    <w:rsid w:val="00D05A8A"/>
    <w:rsid w:val="00D05D3F"/>
    <w:rsid w:val="00D106E2"/>
    <w:rsid w:val="00D108EA"/>
    <w:rsid w:val="00D11694"/>
    <w:rsid w:val="00D12BD5"/>
    <w:rsid w:val="00D12CDE"/>
    <w:rsid w:val="00D1504A"/>
    <w:rsid w:val="00D171D9"/>
    <w:rsid w:val="00D2120F"/>
    <w:rsid w:val="00D23F97"/>
    <w:rsid w:val="00D24438"/>
    <w:rsid w:val="00D261D5"/>
    <w:rsid w:val="00D36ABD"/>
    <w:rsid w:val="00D370E2"/>
    <w:rsid w:val="00D40E2E"/>
    <w:rsid w:val="00D504C7"/>
    <w:rsid w:val="00D5091D"/>
    <w:rsid w:val="00D51584"/>
    <w:rsid w:val="00D52BF9"/>
    <w:rsid w:val="00D52EFE"/>
    <w:rsid w:val="00D558CA"/>
    <w:rsid w:val="00D57AE7"/>
    <w:rsid w:val="00D6058D"/>
    <w:rsid w:val="00D623CD"/>
    <w:rsid w:val="00D636DC"/>
    <w:rsid w:val="00D63B4D"/>
    <w:rsid w:val="00D63D76"/>
    <w:rsid w:val="00D666B0"/>
    <w:rsid w:val="00D67894"/>
    <w:rsid w:val="00D678BD"/>
    <w:rsid w:val="00D67A88"/>
    <w:rsid w:val="00D705EF"/>
    <w:rsid w:val="00D70982"/>
    <w:rsid w:val="00D74274"/>
    <w:rsid w:val="00D74A26"/>
    <w:rsid w:val="00D75C8F"/>
    <w:rsid w:val="00D766F0"/>
    <w:rsid w:val="00D90302"/>
    <w:rsid w:val="00D90A2F"/>
    <w:rsid w:val="00D93B91"/>
    <w:rsid w:val="00D97FD9"/>
    <w:rsid w:val="00DA1092"/>
    <w:rsid w:val="00DA2D99"/>
    <w:rsid w:val="00DA3C52"/>
    <w:rsid w:val="00DB0DB0"/>
    <w:rsid w:val="00DB147D"/>
    <w:rsid w:val="00DB6F5A"/>
    <w:rsid w:val="00DC3FF2"/>
    <w:rsid w:val="00DD10FC"/>
    <w:rsid w:val="00DD3716"/>
    <w:rsid w:val="00DD37FB"/>
    <w:rsid w:val="00DD452F"/>
    <w:rsid w:val="00DE34C1"/>
    <w:rsid w:val="00DE3E78"/>
    <w:rsid w:val="00DE6217"/>
    <w:rsid w:val="00DE75F0"/>
    <w:rsid w:val="00DE7DB7"/>
    <w:rsid w:val="00DF10B5"/>
    <w:rsid w:val="00DF11D3"/>
    <w:rsid w:val="00DF35E1"/>
    <w:rsid w:val="00DF398E"/>
    <w:rsid w:val="00DF5DE2"/>
    <w:rsid w:val="00DF79FD"/>
    <w:rsid w:val="00E010C1"/>
    <w:rsid w:val="00E036C3"/>
    <w:rsid w:val="00E04B4C"/>
    <w:rsid w:val="00E108BD"/>
    <w:rsid w:val="00E12CC5"/>
    <w:rsid w:val="00E1496B"/>
    <w:rsid w:val="00E165CD"/>
    <w:rsid w:val="00E209EE"/>
    <w:rsid w:val="00E24128"/>
    <w:rsid w:val="00E24610"/>
    <w:rsid w:val="00E24CE3"/>
    <w:rsid w:val="00E25021"/>
    <w:rsid w:val="00E25C95"/>
    <w:rsid w:val="00E2743E"/>
    <w:rsid w:val="00E35267"/>
    <w:rsid w:val="00E416E3"/>
    <w:rsid w:val="00E47E24"/>
    <w:rsid w:val="00E5376A"/>
    <w:rsid w:val="00E5415D"/>
    <w:rsid w:val="00E564F2"/>
    <w:rsid w:val="00E646BE"/>
    <w:rsid w:val="00E650EF"/>
    <w:rsid w:val="00E676FD"/>
    <w:rsid w:val="00E7093C"/>
    <w:rsid w:val="00E7305B"/>
    <w:rsid w:val="00E733C9"/>
    <w:rsid w:val="00E740F8"/>
    <w:rsid w:val="00E741A8"/>
    <w:rsid w:val="00E80B6D"/>
    <w:rsid w:val="00E81F87"/>
    <w:rsid w:val="00E83B88"/>
    <w:rsid w:val="00E83CF9"/>
    <w:rsid w:val="00E878B6"/>
    <w:rsid w:val="00E879CA"/>
    <w:rsid w:val="00E90D8C"/>
    <w:rsid w:val="00E962AE"/>
    <w:rsid w:val="00E979B0"/>
    <w:rsid w:val="00EA0C1C"/>
    <w:rsid w:val="00EA0FF7"/>
    <w:rsid w:val="00EA45D8"/>
    <w:rsid w:val="00EA664E"/>
    <w:rsid w:val="00EB12E6"/>
    <w:rsid w:val="00EB4690"/>
    <w:rsid w:val="00EC0B40"/>
    <w:rsid w:val="00EC257B"/>
    <w:rsid w:val="00EC276E"/>
    <w:rsid w:val="00EC7803"/>
    <w:rsid w:val="00ED1BB8"/>
    <w:rsid w:val="00ED2DDD"/>
    <w:rsid w:val="00ED75EC"/>
    <w:rsid w:val="00EE202B"/>
    <w:rsid w:val="00EE58C5"/>
    <w:rsid w:val="00EF3839"/>
    <w:rsid w:val="00EF5596"/>
    <w:rsid w:val="00EF73FE"/>
    <w:rsid w:val="00F04A41"/>
    <w:rsid w:val="00F05413"/>
    <w:rsid w:val="00F0616E"/>
    <w:rsid w:val="00F065D2"/>
    <w:rsid w:val="00F12587"/>
    <w:rsid w:val="00F1300F"/>
    <w:rsid w:val="00F23715"/>
    <w:rsid w:val="00F248E9"/>
    <w:rsid w:val="00F2695D"/>
    <w:rsid w:val="00F2739D"/>
    <w:rsid w:val="00F30D0F"/>
    <w:rsid w:val="00F321D0"/>
    <w:rsid w:val="00F34508"/>
    <w:rsid w:val="00F4387A"/>
    <w:rsid w:val="00F43BCB"/>
    <w:rsid w:val="00F45714"/>
    <w:rsid w:val="00F47435"/>
    <w:rsid w:val="00F47973"/>
    <w:rsid w:val="00F50172"/>
    <w:rsid w:val="00F5688F"/>
    <w:rsid w:val="00F628FF"/>
    <w:rsid w:val="00F6359D"/>
    <w:rsid w:val="00F6371C"/>
    <w:rsid w:val="00F63BBD"/>
    <w:rsid w:val="00F6536E"/>
    <w:rsid w:val="00F70184"/>
    <w:rsid w:val="00F764CF"/>
    <w:rsid w:val="00F84CB5"/>
    <w:rsid w:val="00F861C6"/>
    <w:rsid w:val="00F87052"/>
    <w:rsid w:val="00F9102F"/>
    <w:rsid w:val="00F92D15"/>
    <w:rsid w:val="00F94585"/>
    <w:rsid w:val="00F9479E"/>
    <w:rsid w:val="00FA004C"/>
    <w:rsid w:val="00FA13DF"/>
    <w:rsid w:val="00FA4E58"/>
    <w:rsid w:val="00FA4FB5"/>
    <w:rsid w:val="00FA5790"/>
    <w:rsid w:val="00FA5EF1"/>
    <w:rsid w:val="00FA6C0E"/>
    <w:rsid w:val="00FA6CCE"/>
    <w:rsid w:val="00FA7068"/>
    <w:rsid w:val="00FA70E5"/>
    <w:rsid w:val="00FB0633"/>
    <w:rsid w:val="00FB2224"/>
    <w:rsid w:val="00FB2B08"/>
    <w:rsid w:val="00FB3AC0"/>
    <w:rsid w:val="00FC1E74"/>
    <w:rsid w:val="00FC7D54"/>
    <w:rsid w:val="00FD071C"/>
    <w:rsid w:val="00FD2CCB"/>
    <w:rsid w:val="00FD5A43"/>
    <w:rsid w:val="00FE0FC0"/>
    <w:rsid w:val="00FE2E78"/>
    <w:rsid w:val="00FF1911"/>
    <w:rsid w:val="00FF224D"/>
    <w:rsid w:val="00FF3F54"/>
    <w:rsid w:val="00FF5382"/>
    <w:rsid w:val="00FF5C0B"/>
    <w:rsid w:val="00FF660B"/>
    <w:rsid w:val="00FF7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EB4"/>
    <w:pPr>
      <w:spacing w:line="240" w:lineRule="auto"/>
      <w:jc w:val="left"/>
    </w:pPr>
  </w:style>
  <w:style w:type="paragraph" w:styleId="Heading1">
    <w:name w:val="heading 1"/>
    <w:basedOn w:val="Normal"/>
    <w:next w:val="Normal"/>
    <w:link w:val="Heading1Char"/>
    <w:uiPriority w:val="9"/>
    <w:qFormat/>
    <w:rsid w:val="00C932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622A"/>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62622A"/>
    <w:pPr>
      <w:spacing w:before="100" w:beforeAutospacing="1" w:after="100" w:afterAutospacing="1"/>
      <w:outlineLvl w:val="2"/>
    </w:pPr>
    <w:rPr>
      <w:rFonts w:ascii="Times New Roman" w:eastAsia="宋体" w:hAnsi="Times New Roman" w:cs="Times New Roman"/>
      <w:b/>
      <w:bCs/>
      <w:sz w:val="27"/>
      <w:szCs w:val="27"/>
    </w:rPr>
  </w:style>
  <w:style w:type="paragraph" w:styleId="Heading4">
    <w:name w:val="heading 4"/>
    <w:basedOn w:val="Normal"/>
    <w:next w:val="Normal"/>
    <w:link w:val="Heading4Char"/>
    <w:uiPriority w:val="9"/>
    <w:semiHidden/>
    <w:unhideWhenUsed/>
    <w:qFormat/>
    <w:rsid w:val="0062622A"/>
    <w:pPr>
      <w:keepNext/>
      <w:keepLines/>
      <w:spacing w:before="280" w:after="290" w:line="376" w:lineRule="auto"/>
      <w:outlineLvl w:val="3"/>
    </w:pPr>
    <w:rPr>
      <w:rFonts w:eastAsia="宋体" w:cs="Times New Roman"/>
      <w:b/>
      <w:bCs/>
      <w:iCs/>
      <w:sz w:val="24"/>
      <w:lang w:val="en-GB"/>
    </w:rPr>
  </w:style>
  <w:style w:type="paragraph" w:styleId="Heading5">
    <w:name w:val="heading 5"/>
    <w:basedOn w:val="Normal"/>
    <w:next w:val="Normal"/>
    <w:link w:val="Heading5Char"/>
    <w:uiPriority w:val="9"/>
    <w:qFormat/>
    <w:rsid w:val="0062622A"/>
    <w:pPr>
      <w:spacing w:before="240" w:after="60"/>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62622A"/>
    <w:pPr>
      <w:keepNext/>
      <w:keepLines/>
      <w:spacing w:before="240" w:after="64" w:line="320" w:lineRule="auto"/>
      <w:outlineLvl w:val="5"/>
    </w:pPr>
    <w:rPr>
      <w:rFonts w:ascii="Cambria" w:eastAsia="宋体" w:hAnsi="Cambria" w:cs="Times New Roman"/>
      <w:i/>
      <w:iCs/>
      <w:color w:val="243F60"/>
      <w:lang w:val="en-GB"/>
    </w:rPr>
  </w:style>
  <w:style w:type="paragraph" w:styleId="Heading7">
    <w:name w:val="heading 7"/>
    <w:basedOn w:val="Normal"/>
    <w:next w:val="Normal"/>
    <w:link w:val="Heading7Char"/>
    <w:uiPriority w:val="9"/>
    <w:semiHidden/>
    <w:unhideWhenUsed/>
    <w:qFormat/>
    <w:rsid w:val="0062622A"/>
    <w:pPr>
      <w:keepNext/>
      <w:keepLines/>
      <w:spacing w:before="240" w:after="64" w:line="320" w:lineRule="auto"/>
      <w:outlineLvl w:val="6"/>
    </w:pPr>
    <w:rPr>
      <w:rFonts w:ascii="Cambria" w:eastAsia="宋体" w:hAnsi="Cambria" w:cs="Times New Roman"/>
      <w:i/>
      <w:iCs/>
      <w:color w:val="404040"/>
      <w:lang w:val="en-GB"/>
    </w:rPr>
  </w:style>
  <w:style w:type="paragraph" w:styleId="Heading8">
    <w:name w:val="heading 8"/>
    <w:basedOn w:val="Normal"/>
    <w:next w:val="Normal"/>
    <w:link w:val="Heading8Char"/>
    <w:uiPriority w:val="9"/>
    <w:semiHidden/>
    <w:unhideWhenUsed/>
    <w:qFormat/>
    <w:rsid w:val="0062622A"/>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62622A"/>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25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92312"/>
    <w:pPr>
      <w:tabs>
        <w:tab w:val="center" w:pos="4680"/>
        <w:tab w:val="right" w:pos="9360"/>
      </w:tabs>
    </w:pPr>
  </w:style>
  <w:style w:type="character" w:customStyle="1" w:styleId="HeaderChar">
    <w:name w:val="Header Char"/>
    <w:basedOn w:val="DefaultParagraphFont"/>
    <w:link w:val="Header"/>
    <w:uiPriority w:val="99"/>
    <w:rsid w:val="00492312"/>
  </w:style>
  <w:style w:type="paragraph" w:styleId="Footer">
    <w:name w:val="footer"/>
    <w:basedOn w:val="Normal"/>
    <w:link w:val="FooterChar"/>
    <w:uiPriority w:val="99"/>
    <w:unhideWhenUsed/>
    <w:rsid w:val="00492312"/>
    <w:pPr>
      <w:tabs>
        <w:tab w:val="center" w:pos="4680"/>
        <w:tab w:val="right" w:pos="9360"/>
      </w:tabs>
    </w:pPr>
  </w:style>
  <w:style w:type="character" w:customStyle="1" w:styleId="FooterChar">
    <w:name w:val="Footer Char"/>
    <w:basedOn w:val="DefaultParagraphFont"/>
    <w:link w:val="Footer"/>
    <w:uiPriority w:val="99"/>
    <w:rsid w:val="00492312"/>
  </w:style>
  <w:style w:type="table" w:styleId="TableGrid">
    <w:name w:val="Table Grid"/>
    <w:basedOn w:val="TableNormal"/>
    <w:uiPriority w:val="59"/>
    <w:rsid w:val="0067547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451D"/>
    <w:rPr>
      <w:rFonts w:ascii="Tahoma" w:hAnsi="Tahoma" w:cs="Tahoma"/>
      <w:sz w:val="16"/>
      <w:szCs w:val="16"/>
    </w:rPr>
  </w:style>
  <w:style w:type="character" w:customStyle="1" w:styleId="BalloonTextChar">
    <w:name w:val="Balloon Text Char"/>
    <w:basedOn w:val="DefaultParagraphFont"/>
    <w:link w:val="BalloonText"/>
    <w:uiPriority w:val="99"/>
    <w:semiHidden/>
    <w:rsid w:val="00AB451D"/>
    <w:rPr>
      <w:rFonts w:ascii="Tahoma" w:hAnsi="Tahoma" w:cs="Tahoma"/>
      <w:sz w:val="16"/>
      <w:szCs w:val="16"/>
    </w:rPr>
  </w:style>
  <w:style w:type="table" w:customStyle="1" w:styleId="PlainTable3">
    <w:name w:val="Plain Table 3"/>
    <w:basedOn w:val="TableNormal"/>
    <w:uiPriority w:val="43"/>
    <w:rsid w:val="00455CE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1">
    <w:name w:val="Plain Table 31"/>
    <w:basedOn w:val="TableNormal"/>
    <w:uiPriority w:val="43"/>
    <w:rsid w:val="002C0900"/>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2C0900"/>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E06C2"/>
    <w:rPr>
      <w:color w:val="0000FF" w:themeColor="hyperlink"/>
      <w:u w:val="single"/>
    </w:rPr>
  </w:style>
  <w:style w:type="table" w:customStyle="1" w:styleId="TableGrid1">
    <w:name w:val="Table Grid1"/>
    <w:basedOn w:val="TableNormal"/>
    <w:next w:val="TableGrid"/>
    <w:uiPriority w:val="39"/>
    <w:rsid w:val="007F7D41"/>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2">
    <w:name w:val="Plain Table 32"/>
    <w:basedOn w:val="TableNormal"/>
    <w:uiPriority w:val="43"/>
    <w:rsid w:val="006A36FA"/>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3">
    <w:name w:val="Plain Table 33"/>
    <w:basedOn w:val="TableNormal"/>
    <w:uiPriority w:val="43"/>
    <w:rsid w:val="006A36FA"/>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Accent3">
    <w:name w:val="Grid Table 6 Colorful Accent 3"/>
    <w:basedOn w:val="TableNormal"/>
    <w:uiPriority w:val="51"/>
    <w:rsid w:val="000E1CC6"/>
    <w:pPr>
      <w:spacing w:line="240" w:lineRule="auto"/>
      <w:jc w:val="left"/>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Paragraph">
    <w:name w:val="List Paragraph"/>
    <w:basedOn w:val="Normal"/>
    <w:uiPriority w:val="34"/>
    <w:qFormat/>
    <w:rsid w:val="00EA664E"/>
    <w:pPr>
      <w:ind w:left="720"/>
      <w:contextualSpacing/>
    </w:pPr>
  </w:style>
  <w:style w:type="character" w:styleId="CommentReference">
    <w:name w:val="annotation reference"/>
    <w:basedOn w:val="DefaultParagraphFont"/>
    <w:uiPriority w:val="99"/>
    <w:semiHidden/>
    <w:unhideWhenUsed/>
    <w:rsid w:val="00D93B91"/>
    <w:rPr>
      <w:sz w:val="21"/>
      <w:szCs w:val="21"/>
    </w:rPr>
  </w:style>
  <w:style w:type="paragraph" w:styleId="CommentText">
    <w:name w:val="annotation text"/>
    <w:basedOn w:val="Normal"/>
    <w:link w:val="CommentTextChar"/>
    <w:uiPriority w:val="99"/>
    <w:semiHidden/>
    <w:unhideWhenUsed/>
    <w:rsid w:val="00D93B91"/>
  </w:style>
  <w:style w:type="character" w:customStyle="1" w:styleId="CommentTextChar">
    <w:name w:val="Comment Text Char"/>
    <w:basedOn w:val="DefaultParagraphFont"/>
    <w:link w:val="CommentText"/>
    <w:uiPriority w:val="99"/>
    <w:semiHidden/>
    <w:rsid w:val="00D93B91"/>
  </w:style>
  <w:style w:type="paragraph" w:styleId="CommentSubject">
    <w:name w:val="annotation subject"/>
    <w:basedOn w:val="CommentText"/>
    <w:next w:val="CommentText"/>
    <w:link w:val="CommentSubjectChar"/>
    <w:uiPriority w:val="99"/>
    <w:semiHidden/>
    <w:unhideWhenUsed/>
    <w:rsid w:val="00D93B91"/>
    <w:rPr>
      <w:b/>
      <w:bCs/>
    </w:rPr>
  </w:style>
  <w:style w:type="character" w:customStyle="1" w:styleId="CommentSubjectChar">
    <w:name w:val="Comment Subject Char"/>
    <w:basedOn w:val="CommentTextChar"/>
    <w:link w:val="CommentSubject"/>
    <w:uiPriority w:val="99"/>
    <w:semiHidden/>
    <w:rsid w:val="00D93B91"/>
    <w:rPr>
      <w:b/>
      <w:bCs/>
    </w:rPr>
  </w:style>
  <w:style w:type="paragraph" w:styleId="Revision">
    <w:name w:val="Revision"/>
    <w:hidden/>
    <w:uiPriority w:val="99"/>
    <w:semiHidden/>
    <w:rsid w:val="00A93F4C"/>
    <w:pPr>
      <w:spacing w:line="240" w:lineRule="auto"/>
      <w:jc w:val="left"/>
    </w:pPr>
  </w:style>
  <w:style w:type="table" w:customStyle="1" w:styleId="PlainTable11">
    <w:name w:val="Plain Table 11"/>
    <w:basedOn w:val="TableNormal"/>
    <w:uiPriority w:val="41"/>
    <w:rsid w:val="00C9325C"/>
    <w:pPr>
      <w:spacing w:line="240" w:lineRule="auto"/>
    </w:pPr>
    <w:rPr>
      <w:rFonts w:eastAsiaTheme="minorHAns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1">
    <w:name w:val="标题 21"/>
    <w:basedOn w:val="Normal"/>
    <w:next w:val="Normal"/>
    <w:uiPriority w:val="9"/>
    <w:unhideWhenUsed/>
    <w:qFormat/>
    <w:rsid w:val="0062622A"/>
    <w:pPr>
      <w:keepNext/>
      <w:keepLines/>
      <w:spacing w:before="260" w:after="260" w:line="416" w:lineRule="auto"/>
      <w:outlineLvl w:val="1"/>
    </w:pPr>
    <w:rPr>
      <w:rFonts w:ascii="Cambria" w:eastAsia="宋体" w:hAnsi="Cambria" w:cs="Times New Roman"/>
      <w:b/>
      <w:bCs/>
      <w:sz w:val="32"/>
      <w:szCs w:val="32"/>
      <w:lang w:val="fr-FR" w:eastAsia="fr-FR"/>
    </w:rPr>
  </w:style>
  <w:style w:type="character" w:customStyle="1" w:styleId="Heading3Char">
    <w:name w:val="Heading 3 Char"/>
    <w:basedOn w:val="DefaultParagraphFont"/>
    <w:link w:val="Heading3"/>
    <w:uiPriority w:val="9"/>
    <w:rsid w:val="0062622A"/>
    <w:rPr>
      <w:rFonts w:ascii="Times New Roman" w:eastAsia="宋体" w:hAnsi="Times New Roman" w:cs="Times New Roman"/>
      <w:b/>
      <w:bCs/>
      <w:sz w:val="27"/>
      <w:szCs w:val="27"/>
    </w:rPr>
  </w:style>
  <w:style w:type="paragraph" w:customStyle="1" w:styleId="41">
    <w:name w:val="标题 41"/>
    <w:basedOn w:val="Normal"/>
    <w:next w:val="Normal"/>
    <w:uiPriority w:val="9"/>
    <w:unhideWhenUsed/>
    <w:qFormat/>
    <w:rsid w:val="0062622A"/>
    <w:pPr>
      <w:keepNext/>
      <w:keepLines/>
      <w:spacing w:before="200" w:line="276" w:lineRule="auto"/>
      <w:ind w:left="864" w:hanging="864"/>
      <w:outlineLvl w:val="3"/>
    </w:pPr>
    <w:rPr>
      <w:rFonts w:eastAsia="宋体" w:cs="Times New Roman"/>
      <w:b/>
      <w:bCs/>
      <w:iCs/>
      <w:sz w:val="24"/>
      <w:lang w:val="en-GB"/>
    </w:rPr>
  </w:style>
  <w:style w:type="character" w:customStyle="1" w:styleId="Heading5Char">
    <w:name w:val="Heading 5 Char"/>
    <w:basedOn w:val="DefaultParagraphFont"/>
    <w:link w:val="Heading5"/>
    <w:uiPriority w:val="9"/>
    <w:rsid w:val="0062622A"/>
    <w:rPr>
      <w:rFonts w:ascii="Times New Roman" w:eastAsia="宋体" w:hAnsi="Times New Roman" w:cs="Times New Roman"/>
      <w:b/>
      <w:bCs/>
      <w:i/>
      <w:iCs/>
      <w:sz w:val="26"/>
      <w:szCs w:val="26"/>
    </w:rPr>
  </w:style>
  <w:style w:type="paragraph" w:customStyle="1" w:styleId="61">
    <w:name w:val="标题 61"/>
    <w:basedOn w:val="Normal"/>
    <w:next w:val="Normal"/>
    <w:uiPriority w:val="9"/>
    <w:semiHidden/>
    <w:unhideWhenUsed/>
    <w:qFormat/>
    <w:rsid w:val="0062622A"/>
    <w:pPr>
      <w:keepNext/>
      <w:keepLines/>
      <w:spacing w:before="200" w:line="276" w:lineRule="auto"/>
      <w:ind w:left="1152" w:hanging="1152"/>
      <w:outlineLvl w:val="5"/>
    </w:pPr>
    <w:rPr>
      <w:rFonts w:ascii="Cambria" w:eastAsia="宋体" w:hAnsi="Cambria" w:cs="Times New Roman"/>
      <w:i/>
      <w:iCs/>
      <w:color w:val="243F60"/>
      <w:lang w:val="en-GB"/>
    </w:rPr>
  </w:style>
  <w:style w:type="paragraph" w:customStyle="1" w:styleId="71">
    <w:name w:val="标题 71"/>
    <w:basedOn w:val="Normal"/>
    <w:next w:val="Normal"/>
    <w:uiPriority w:val="9"/>
    <w:semiHidden/>
    <w:unhideWhenUsed/>
    <w:qFormat/>
    <w:rsid w:val="0062622A"/>
    <w:pPr>
      <w:keepNext/>
      <w:keepLines/>
      <w:spacing w:before="200" w:line="276" w:lineRule="auto"/>
      <w:ind w:left="1296" w:hanging="1296"/>
      <w:outlineLvl w:val="6"/>
    </w:pPr>
    <w:rPr>
      <w:rFonts w:ascii="Cambria" w:eastAsia="宋体" w:hAnsi="Cambria" w:cs="Times New Roman"/>
      <w:i/>
      <w:iCs/>
      <w:color w:val="404040"/>
      <w:lang w:val="en-GB"/>
    </w:rPr>
  </w:style>
  <w:style w:type="paragraph" w:customStyle="1" w:styleId="81">
    <w:name w:val="标题 81"/>
    <w:basedOn w:val="Normal"/>
    <w:next w:val="Normal"/>
    <w:uiPriority w:val="9"/>
    <w:semiHidden/>
    <w:unhideWhenUsed/>
    <w:qFormat/>
    <w:rsid w:val="0062622A"/>
    <w:pPr>
      <w:keepNext/>
      <w:keepLines/>
      <w:spacing w:before="200" w:line="276" w:lineRule="auto"/>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62622A"/>
    <w:pPr>
      <w:keepNext/>
      <w:keepLines/>
      <w:spacing w:before="200" w:line="276" w:lineRule="auto"/>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62622A"/>
  </w:style>
  <w:style w:type="character" w:customStyle="1" w:styleId="apple-converted-space">
    <w:name w:val="apple-converted-space"/>
    <w:basedOn w:val="DefaultParagraphFont"/>
    <w:rsid w:val="0062622A"/>
  </w:style>
  <w:style w:type="paragraph" w:customStyle="1" w:styleId="EndNoteBibliography">
    <w:name w:val="EndNote Bibliography"/>
    <w:basedOn w:val="Normal"/>
    <w:link w:val="EndNoteBibliographyChar"/>
    <w:rsid w:val="0062622A"/>
    <w:pPr>
      <w:spacing w:after="200"/>
    </w:pPr>
    <w:rPr>
      <w:rFonts w:ascii="Calibri" w:eastAsia="宋体" w:hAnsi="Calibri"/>
      <w:noProof/>
    </w:rPr>
  </w:style>
  <w:style w:type="character" w:customStyle="1" w:styleId="EndNoteBibliographyChar">
    <w:name w:val="EndNote Bibliography Char"/>
    <w:basedOn w:val="DefaultParagraphFont"/>
    <w:link w:val="EndNoteBibliography"/>
    <w:rsid w:val="0062622A"/>
    <w:rPr>
      <w:rFonts w:ascii="Calibri" w:eastAsia="宋体" w:hAnsi="Calibri"/>
      <w:noProof/>
    </w:rPr>
  </w:style>
  <w:style w:type="character" w:styleId="Emphasis">
    <w:name w:val="Emphasis"/>
    <w:qFormat/>
    <w:rsid w:val="0062622A"/>
    <w:rPr>
      <w:i/>
      <w:iCs/>
    </w:rPr>
  </w:style>
  <w:style w:type="character" w:customStyle="1" w:styleId="highlight">
    <w:name w:val="highlight"/>
    <w:basedOn w:val="DefaultParagraphFont"/>
    <w:rsid w:val="0062622A"/>
  </w:style>
  <w:style w:type="paragraph" w:styleId="NormalWeb">
    <w:name w:val="Normal (Web)"/>
    <w:basedOn w:val="Normal"/>
    <w:uiPriority w:val="99"/>
    <w:unhideWhenUsed/>
    <w:rsid w:val="0062622A"/>
    <w:pPr>
      <w:spacing w:before="100" w:beforeAutospacing="1" w:after="100" w:afterAutospacing="1"/>
    </w:pPr>
    <w:rPr>
      <w:rFonts w:ascii="Times New Roman" w:eastAsia="Times New Roman" w:hAnsi="Times New Roman" w:cs="Times New Roman"/>
      <w:sz w:val="24"/>
      <w:szCs w:val="24"/>
    </w:rPr>
  </w:style>
  <w:style w:type="paragraph" w:customStyle="1" w:styleId="Title1">
    <w:name w:val="Title1"/>
    <w:basedOn w:val="Normal"/>
    <w:rsid w:val="0062622A"/>
    <w:pPr>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Normal"/>
    <w:rsid w:val="0062622A"/>
    <w:pPr>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DefaultParagraphFont"/>
    <w:rsid w:val="0062622A"/>
  </w:style>
  <w:style w:type="paragraph" w:customStyle="1" w:styleId="Title2">
    <w:name w:val="Title2"/>
    <w:basedOn w:val="Normal"/>
    <w:rsid w:val="0062622A"/>
    <w:pPr>
      <w:spacing w:before="100" w:beforeAutospacing="1" w:after="100" w:afterAutospacing="1"/>
    </w:pPr>
    <w:rPr>
      <w:rFonts w:ascii="Times New Roman" w:eastAsia="Times New Roman" w:hAnsi="Times New Roman" w:cs="Times New Roman"/>
      <w:sz w:val="24"/>
      <w:szCs w:val="24"/>
    </w:rPr>
  </w:style>
  <w:style w:type="character" w:customStyle="1" w:styleId="mixed-citation">
    <w:name w:val="mixed-citation"/>
    <w:basedOn w:val="DefaultParagraphFont"/>
    <w:rsid w:val="0062622A"/>
  </w:style>
  <w:style w:type="character" w:customStyle="1" w:styleId="ref-title">
    <w:name w:val="ref-title"/>
    <w:basedOn w:val="DefaultParagraphFont"/>
    <w:rsid w:val="0062622A"/>
  </w:style>
  <w:style w:type="character" w:customStyle="1" w:styleId="ref-journal">
    <w:name w:val="ref-journal"/>
    <w:basedOn w:val="DefaultParagraphFont"/>
    <w:rsid w:val="0062622A"/>
  </w:style>
  <w:style w:type="character" w:customStyle="1" w:styleId="ref-vol">
    <w:name w:val="ref-vol"/>
    <w:basedOn w:val="DefaultParagraphFont"/>
    <w:rsid w:val="0062622A"/>
  </w:style>
  <w:style w:type="character" w:customStyle="1" w:styleId="nowrap">
    <w:name w:val="nowrap"/>
    <w:basedOn w:val="DefaultParagraphFont"/>
    <w:rsid w:val="0062622A"/>
  </w:style>
  <w:style w:type="character" w:customStyle="1" w:styleId="element-citation">
    <w:name w:val="element-citation"/>
    <w:basedOn w:val="DefaultParagraphFont"/>
    <w:rsid w:val="0062622A"/>
  </w:style>
  <w:style w:type="paragraph" w:customStyle="1" w:styleId="10">
    <w:name w:val="尾注文本1"/>
    <w:basedOn w:val="Normal"/>
    <w:next w:val="EndnoteText"/>
    <w:link w:val="Char"/>
    <w:uiPriority w:val="99"/>
    <w:unhideWhenUsed/>
    <w:rsid w:val="0062622A"/>
    <w:pPr>
      <w:spacing w:after="200" w:line="276" w:lineRule="auto"/>
    </w:pPr>
    <w:rPr>
      <w:rFonts w:ascii="Calibri" w:hAnsi="Calibri" w:cs="Times New Roman"/>
      <w:sz w:val="20"/>
      <w:szCs w:val="20"/>
      <w:lang w:val="en-IN"/>
    </w:rPr>
  </w:style>
  <w:style w:type="character" w:customStyle="1" w:styleId="Char">
    <w:name w:val="尾注文本 Char"/>
    <w:basedOn w:val="DefaultParagraphFont"/>
    <w:link w:val="10"/>
    <w:uiPriority w:val="99"/>
    <w:rsid w:val="0062622A"/>
    <w:rPr>
      <w:rFonts w:ascii="Calibri" w:hAnsi="Calibri" w:cs="Times New Roman"/>
      <w:kern w:val="0"/>
      <w:sz w:val="20"/>
      <w:szCs w:val="20"/>
      <w:lang w:val="en-IN" w:eastAsia="en-US"/>
    </w:rPr>
  </w:style>
  <w:style w:type="character" w:customStyle="1" w:styleId="Heading2Char">
    <w:name w:val="Heading 2 Char"/>
    <w:basedOn w:val="DefaultParagraphFont"/>
    <w:link w:val="Heading2"/>
    <w:uiPriority w:val="9"/>
    <w:rsid w:val="0062622A"/>
    <w:rPr>
      <w:rFonts w:ascii="Cambria" w:eastAsia="宋体" w:hAnsi="Cambria" w:cs="Times New Roman"/>
      <w:b/>
      <w:bCs/>
      <w:kern w:val="0"/>
      <w:sz w:val="32"/>
      <w:szCs w:val="32"/>
      <w:lang w:val="fr-FR" w:eastAsia="fr-FR"/>
    </w:rPr>
  </w:style>
  <w:style w:type="character" w:styleId="FollowedHyperlink">
    <w:name w:val="FollowedHyperlink"/>
    <w:rsid w:val="0062622A"/>
    <w:rPr>
      <w:color w:val="0000FF"/>
      <w:u w:val="single"/>
    </w:rPr>
  </w:style>
  <w:style w:type="character" w:customStyle="1" w:styleId="toctoggle">
    <w:name w:val="toctoggle"/>
    <w:basedOn w:val="DefaultParagraphFont"/>
    <w:rsid w:val="0062622A"/>
  </w:style>
  <w:style w:type="character" w:customStyle="1" w:styleId="tocnumber">
    <w:name w:val="tocnumber"/>
    <w:basedOn w:val="DefaultParagraphFont"/>
    <w:rsid w:val="0062622A"/>
  </w:style>
  <w:style w:type="character" w:customStyle="1" w:styleId="toctext">
    <w:name w:val="toctext"/>
    <w:basedOn w:val="DefaultParagraphFont"/>
    <w:rsid w:val="0062622A"/>
  </w:style>
  <w:style w:type="character" w:customStyle="1" w:styleId="mw-headline">
    <w:name w:val="mw-headline"/>
    <w:basedOn w:val="DefaultParagraphFont"/>
    <w:rsid w:val="0062622A"/>
  </w:style>
  <w:style w:type="character" w:customStyle="1" w:styleId="mw-editsection">
    <w:name w:val="mw-editsection"/>
    <w:basedOn w:val="DefaultParagraphFont"/>
    <w:rsid w:val="0062622A"/>
  </w:style>
  <w:style w:type="character" w:customStyle="1" w:styleId="mw-editsection-bracket">
    <w:name w:val="mw-editsection-bracket"/>
    <w:basedOn w:val="DefaultParagraphFont"/>
    <w:rsid w:val="0062622A"/>
  </w:style>
  <w:style w:type="character" w:customStyle="1" w:styleId="mbox-text-span">
    <w:name w:val="mbox-text-span"/>
    <w:basedOn w:val="DefaultParagraphFont"/>
    <w:rsid w:val="0062622A"/>
  </w:style>
  <w:style w:type="character" w:customStyle="1" w:styleId="hide-when-compact">
    <w:name w:val="hide-when-compact"/>
    <w:basedOn w:val="DefaultParagraphFont"/>
    <w:rsid w:val="0062622A"/>
  </w:style>
  <w:style w:type="character" w:customStyle="1" w:styleId="mw-cite-backlink">
    <w:name w:val="mw-cite-backlink"/>
    <w:basedOn w:val="DefaultParagraphFont"/>
    <w:rsid w:val="0062622A"/>
  </w:style>
  <w:style w:type="character" w:customStyle="1" w:styleId="cite-accessibility-label">
    <w:name w:val="cite-accessibility-label"/>
    <w:basedOn w:val="DefaultParagraphFont"/>
    <w:rsid w:val="0062622A"/>
  </w:style>
  <w:style w:type="character" w:customStyle="1" w:styleId="reference-text">
    <w:name w:val="reference-text"/>
    <w:basedOn w:val="DefaultParagraphFont"/>
    <w:rsid w:val="0062622A"/>
  </w:style>
  <w:style w:type="character" w:customStyle="1" w:styleId="citationweb">
    <w:name w:val="citation web"/>
    <w:basedOn w:val="DefaultParagraphFont"/>
    <w:rsid w:val="0062622A"/>
  </w:style>
  <w:style w:type="character" w:customStyle="1" w:styleId="reference-accessdate">
    <w:name w:val="reference-accessdate"/>
    <w:basedOn w:val="DefaultParagraphFont"/>
    <w:rsid w:val="0062622A"/>
  </w:style>
  <w:style w:type="character" w:customStyle="1" w:styleId="z3988">
    <w:name w:val="z3988"/>
    <w:basedOn w:val="DefaultParagraphFont"/>
    <w:rsid w:val="0062622A"/>
  </w:style>
  <w:style w:type="character" w:customStyle="1" w:styleId="citationnews">
    <w:name w:val="citation news"/>
    <w:basedOn w:val="DefaultParagraphFont"/>
    <w:rsid w:val="0062622A"/>
  </w:style>
  <w:style w:type="character" w:customStyle="1" w:styleId="citationjournal">
    <w:name w:val="citation journal"/>
    <w:basedOn w:val="DefaultParagraphFont"/>
    <w:rsid w:val="0062622A"/>
  </w:style>
  <w:style w:type="character" w:customStyle="1" w:styleId="plainlinksnoprint">
    <w:name w:val="plainlinks noprint"/>
    <w:basedOn w:val="DefaultParagraphFont"/>
    <w:rsid w:val="0062622A"/>
  </w:style>
  <w:style w:type="character" w:customStyle="1" w:styleId="languageicon">
    <w:name w:val="languageicon"/>
    <w:basedOn w:val="DefaultParagraphFont"/>
    <w:rsid w:val="0062622A"/>
  </w:style>
  <w:style w:type="paragraph" w:customStyle="1" w:styleId="articleref">
    <w:name w:val="articleref"/>
    <w:basedOn w:val="Normal"/>
    <w:rsid w:val="0062622A"/>
    <w:pPr>
      <w:spacing w:before="100" w:beforeAutospacing="1" w:after="100" w:afterAutospacing="1"/>
    </w:pPr>
    <w:rPr>
      <w:rFonts w:ascii="Times New Roman" w:eastAsia="宋体" w:hAnsi="Times New Roman" w:cs="Times New Roman"/>
      <w:sz w:val="24"/>
      <w:szCs w:val="24"/>
    </w:rPr>
  </w:style>
  <w:style w:type="paragraph" w:customStyle="1" w:styleId="articlecitation">
    <w:name w:val="articlecitation"/>
    <w:basedOn w:val="Normal"/>
    <w:rsid w:val="0062622A"/>
    <w:pPr>
      <w:spacing w:before="100" w:beforeAutospacing="1" w:after="100" w:afterAutospacing="1"/>
    </w:pPr>
    <w:rPr>
      <w:rFonts w:ascii="Times New Roman" w:eastAsia="宋体" w:hAnsi="Times New Roman" w:cs="Times New Roman"/>
      <w:sz w:val="24"/>
      <w:szCs w:val="24"/>
    </w:rPr>
  </w:style>
  <w:style w:type="paragraph" w:customStyle="1" w:styleId="articlecitationindent1">
    <w:name w:val="articlecitationindent1"/>
    <w:basedOn w:val="Normal"/>
    <w:rsid w:val="0062622A"/>
    <w:pPr>
      <w:spacing w:before="100" w:beforeAutospacing="1" w:after="100" w:afterAutospacing="1"/>
    </w:pPr>
    <w:rPr>
      <w:rFonts w:ascii="Times New Roman" w:eastAsia="宋体" w:hAnsi="Times New Roman" w:cs="Times New Roman"/>
      <w:sz w:val="24"/>
      <w:szCs w:val="24"/>
    </w:rPr>
  </w:style>
  <w:style w:type="character" w:customStyle="1" w:styleId="smallcaps">
    <w:name w:val="smallcaps"/>
    <w:basedOn w:val="DefaultParagraphFont"/>
    <w:rsid w:val="0062622A"/>
  </w:style>
  <w:style w:type="paragraph" w:customStyle="1" w:styleId="last">
    <w:name w:val="last"/>
    <w:basedOn w:val="Normal"/>
    <w:rsid w:val="0062622A"/>
    <w:pPr>
      <w:spacing w:before="100" w:beforeAutospacing="1" w:after="100" w:afterAutospacing="1"/>
    </w:pPr>
    <w:rPr>
      <w:rFonts w:ascii="Times New Roman" w:eastAsia="宋体" w:hAnsi="Times New Roman" w:cs="Times New Roman"/>
      <w:sz w:val="24"/>
      <w:szCs w:val="24"/>
    </w:rPr>
  </w:style>
  <w:style w:type="character" w:styleId="Strong">
    <w:name w:val="Strong"/>
    <w:qFormat/>
    <w:rsid w:val="0062622A"/>
    <w:rPr>
      <w:b/>
      <w:bCs/>
    </w:rPr>
  </w:style>
  <w:style w:type="character" w:customStyle="1" w:styleId="apple-style-span">
    <w:name w:val="apple-style-span"/>
    <w:basedOn w:val="DefaultParagraphFont"/>
    <w:rsid w:val="0062622A"/>
  </w:style>
  <w:style w:type="character" w:customStyle="1" w:styleId="author">
    <w:name w:val="author"/>
    <w:basedOn w:val="DefaultParagraphFont"/>
    <w:rsid w:val="0062622A"/>
  </w:style>
  <w:style w:type="character" w:customStyle="1" w:styleId="pubyear">
    <w:name w:val="pubyear"/>
    <w:basedOn w:val="DefaultParagraphFont"/>
    <w:rsid w:val="0062622A"/>
  </w:style>
  <w:style w:type="character" w:customStyle="1" w:styleId="articletitle">
    <w:name w:val="articletitle"/>
    <w:basedOn w:val="DefaultParagraphFont"/>
    <w:rsid w:val="0062622A"/>
  </w:style>
  <w:style w:type="character" w:customStyle="1" w:styleId="journaltitle">
    <w:name w:val="journaltitle"/>
    <w:basedOn w:val="DefaultParagraphFont"/>
    <w:rsid w:val="0062622A"/>
  </w:style>
  <w:style w:type="character" w:customStyle="1" w:styleId="vol">
    <w:name w:val="vol"/>
    <w:basedOn w:val="DefaultParagraphFont"/>
    <w:rsid w:val="0062622A"/>
  </w:style>
  <w:style w:type="character" w:customStyle="1" w:styleId="pagefirst">
    <w:name w:val="pagefirst"/>
    <w:basedOn w:val="DefaultParagraphFont"/>
    <w:rsid w:val="0062622A"/>
  </w:style>
  <w:style w:type="character" w:customStyle="1" w:styleId="pagelast">
    <w:name w:val="pagelast"/>
    <w:basedOn w:val="DefaultParagraphFont"/>
    <w:rsid w:val="0062622A"/>
  </w:style>
  <w:style w:type="paragraph" w:styleId="BodyTextIndent2">
    <w:name w:val="Body Text Indent 2"/>
    <w:basedOn w:val="Normal"/>
    <w:link w:val="BodyTextIndent2Char"/>
    <w:rsid w:val="0062622A"/>
    <w:pPr>
      <w:spacing w:after="120" w:line="480" w:lineRule="auto"/>
      <w:ind w:left="360"/>
    </w:pPr>
    <w:rPr>
      <w:rFonts w:ascii="Times New Roman" w:eastAsia="宋体" w:hAnsi="Times New Roman" w:cs="Times New Roman"/>
      <w:sz w:val="24"/>
      <w:szCs w:val="24"/>
    </w:rPr>
  </w:style>
  <w:style w:type="character" w:customStyle="1" w:styleId="BodyTextIndent2Char">
    <w:name w:val="Body Text Indent 2 Char"/>
    <w:basedOn w:val="DefaultParagraphFont"/>
    <w:link w:val="BodyTextIndent2"/>
    <w:rsid w:val="0062622A"/>
    <w:rPr>
      <w:rFonts w:ascii="Times New Roman" w:eastAsia="宋体" w:hAnsi="Times New Roman" w:cs="Times New Roman"/>
      <w:sz w:val="24"/>
      <w:szCs w:val="24"/>
    </w:rPr>
  </w:style>
  <w:style w:type="character" w:styleId="PageNumber">
    <w:name w:val="page number"/>
    <w:basedOn w:val="DefaultParagraphFont"/>
    <w:rsid w:val="0062622A"/>
  </w:style>
  <w:style w:type="character" w:customStyle="1" w:styleId="citation">
    <w:name w:val="citation"/>
    <w:basedOn w:val="DefaultParagraphFont"/>
    <w:rsid w:val="0062622A"/>
  </w:style>
  <w:style w:type="character" w:customStyle="1" w:styleId="11">
    <w:name w:val="标题1"/>
    <w:basedOn w:val="DefaultParagraphFont"/>
    <w:rsid w:val="0062622A"/>
  </w:style>
  <w:style w:type="character" w:customStyle="1" w:styleId="subbodytext">
    <w:name w:val="subbodytext"/>
    <w:basedOn w:val="DefaultParagraphFont"/>
    <w:rsid w:val="0062622A"/>
  </w:style>
  <w:style w:type="character" w:customStyle="1" w:styleId="citationbook">
    <w:name w:val="citation book"/>
    <w:basedOn w:val="DefaultParagraphFont"/>
    <w:rsid w:val="0062622A"/>
  </w:style>
  <w:style w:type="character" w:styleId="LineNumber">
    <w:name w:val="line number"/>
    <w:basedOn w:val="DefaultParagraphFont"/>
    <w:rsid w:val="0062622A"/>
  </w:style>
  <w:style w:type="paragraph" w:customStyle="1" w:styleId="12">
    <w:name w:val="列出段落1"/>
    <w:basedOn w:val="Normal"/>
    <w:qFormat/>
    <w:rsid w:val="0062622A"/>
    <w:pPr>
      <w:spacing w:after="200" w:line="276" w:lineRule="auto"/>
      <w:ind w:left="720"/>
      <w:contextualSpacing/>
    </w:pPr>
    <w:rPr>
      <w:rFonts w:ascii="Calibri" w:eastAsia="Calibri" w:hAnsi="Calibri" w:cs="Times New Roman"/>
    </w:rPr>
  </w:style>
  <w:style w:type="character" w:customStyle="1" w:styleId="cit">
    <w:name w:val="cit"/>
    <w:basedOn w:val="DefaultParagraphFont"/>
    <w:rsid w:val="0062622A"/>
  </w:style>
  <w:style w:type="character" w:customStyle="1" w:styleId="fm-vol-iss-date">
    <w:name w:val="fm-vol-iss-date"/>
    <w:basedOn w:val="DefaultParagraphFont"/>
    <w:rsid w:val="0062622A"/>
  </w:style>
  <w:style w:type="character" w:customStyle="1" w:styleId="doi">
    <w:name w:val="doi"/>
    <w:basedOn w:val="DefaultParagraphFont"/>
    <w:rsid w:val="0062622A"/>
  </w:style>
  <w:style w:type="character" w:customStyle="1" w:styleId="fm-citation-ids-label">
    <w:name w:val="fm-citation-ids-label"/>
    <w:basedOn w:val="DefaultParagraphFont"/>
    <w:rsid w:val="0062622A"/>
  </w:style>
  <w:style w:type="table" w:styleId="TableClassic1">
    <w:name w:val="Table Classic 1"/>
    <w:basedOn w:val="TableNormal"/>
    <w:rsid w:val="0062622A"/>
    <w:pPr>
      <w:spacing w:line="240" w:lineRule="auto"/>
      <w:jc w:val="left"/>
    </w:pPr>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rsid w:val="0062622A"/>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62622A"/>
    <w:rPr>
      <w:rFonts w:ascii="宋体" w:eastAsia="宋体" w:hAnsi="Courier New" w:cs="Courier New"/>
      <w:kern w:val="2"/>
      <w:sz w:val="21"/>
      <w:szCs w:val="21"/>
      <w:lang w:eastAsia="zh-CN"/>
    </w:rPr>
  </w:style>
  <w:style w:type="paragraph" w:styleId="HTMLPreformatted">
    <w:name w:val="HTML Preformatted"/>
    <w:basedOn w:val="Normal"/>
    <w:link w:val="HTMLPreformattedChar"/>
    <w:uiPriority w:val="99"/>
    <w:rsid w:val="00626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s-CL" w:eastAsia="ja-JP"/>
    </w:rPr>
  </w:style>
  <w:style w:type="character" w:customStyle="1" w:styleId="HTMLPreformattedChar">
    <w:name w:val="HTML Preformatted Char"/>
    <w:basedOn w:val="DefaultParagraphFont"/>
    <w:link w:val="HTMLPreformatted"/>
    <w:uiPriority w:val="99"/>
    <w:rsid w:val="0062622A"/>
    <w:rPr>
      <w:rFonts w:ascii="Courier New" w:eastAsia="MS Mincho" w:hAnsi="Courier New" w:cs="Courier New"/>
      <w:sz w:val="20"/>
      <w:szCs w:val="20"/>
      <w:lang w:val="es-CL" w:eastAsia="ja-JP"/>
    </w:rPr>
  </w:style>
  <w:style w:type="character" w:customStyle="1" w:styleId="highlight2">
    <w:name w:val="highlight2"/>
    <w:basedOn w:val="DefaultParagraphFont"/>
    <w:rsid w:val="0062622A"/>
  </w:style>
  <w:style w:type="paragraph" w:customStyle="1" w:styleId="desc2">
    <w:name w:val="desc2"/>
    <w:basedOn w:val="Normal"/>
    <w:rsid w:val="0062622A"/>
    <w:rPr>
      <w:rFonts w:ascii="Times New Roman" w:eastAsia="Times New Roman" w:hAnsi="Times New Roman" w:cs="Times New Roman"/>
      <w:sz w:val="26"/>
      <w:szCs w:val="26"/>
      <w:lang w:val="es-CL" w:eastAsia="es-CL"/>
    </w:rPr>
  </w:style>
  <w:style w:type="paragraph" w:customStyle="1" w:styleId="details1">
    <w:name w:val="details1"/>
    <w:basedOn w:val="Normal"/>
    <w:rsid w:val="0062622A"/>
    <w:rPr>
      <w:rFonts w:ascii="Times New Roman" w:eastAsia="Times New Roman" w:hAnsi="Times New Roman" w:cs="Times New Roman"/>
      <w:lang w:val="es-CL" w:eastAsia="es-CL"/>
    </w:rPr>
  </w:style>
  <w:style w:type="character" w:customStyle="1" w:styleId="Heading4Char">
    <w:name w:val="Heading 4 Char"/>
    <w:basedOn w:val="DefaultParagraphFont"/>
    <w:link w:val="Heading4"/>
    <w:uiPriority w:val="9"/>
    <w:rsid w:val="0062622A"/>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62622A"/>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62622A"/>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62622A"/>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62622A"/>
    <w:rPr>
      <w:rFonts w:ascii="Cambria" w:eastAsia="宋体" w:hAnsi="Cambria" w:cs="Times New Roman"/>
      <w:i/>
      <w:iCs/>
      <w:color w:val="404040"/>
      <w:kern w:val="0"/>
      <w:sz w:val="20"/>
      <w:szCs w:val="20"/>
      <w:lang w:val="en-GB" w:eastAsia="en-US"/>
    </w:rPr>
  </w:style>
  <w:style w:type="paragraph" w:customStyle="1" w:styleId="EndNoteBibliographyTitle">
    <w:name w:val="EndNote Bibliography Title"/>
    <w:basedOn w:val="Normal"/>
    <w:link w:val="EndNoteBibliographyTitleChar"/>
    <w:rsid w:val="0062622A"/>
    <w:pPr>
      <w:spacing w:line="276"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2622A"/>
    <w:rPr>
      <w:rFonts w:ascii="Calibri" w:hAnsi="Calibri" w:cs="Calibri"/>
      <w:noProof/>
    </w:rPr>
  </w:style>
  <w:style w:type="paragraph" w:customStyle="1" w:styleId="13">
    <w:name w:val="文档结构图1"/>
    <w:basedOn w:val="Normal"/>
    <w:next w:val="DocumentMap"/>
    <w:link w:val="Char0"/>
    <w:uiPriority w:val="99"/>
    <w:semiHidden/>
    <w:unhideWhenUsed/>
    <w:rsid w:val="0062622A"/>
    <w:rPr>
      <w:rFonts w:ascii="Tahoma" w:hAnsi="Tahoma" w:cs="Tahoma"/>
      <w:sz w:val="16"/>
      <w:szCs w:val="16"/>
      <w:lang w:val="en-GB"/>
    </w:rPr>
  </w:style>
  <w:style w:type="character" w:customStyle="1" w:styleId="Char0">
    <w:name w:val="文档结构图 Char"/>
    <w:basedOn w:val="DefaultParagraphFont"/>
    <w:link w:val="13"/>
    <w:uiPriority w:val="99"/>
    <w:semiHidden/>
    <w:rsid w:val="0062622A"/>
    <w:rPr>
      <w:rFonts w:ascii="Tahoma" w:hAnsi="Tahoma" w:cs="Tahoma"/>
      <w:kern w:val="0"/>
      <w:sz w:val="16"/>
      <w:szCs w:val="16"/>
      <w:lang w:val="en-GB" w:eastAsia="en-US"/>
    </w:rPr>
  </w:style>
  <w:style w:type="table" w:customStyle="1" w:styleId="14">
    <w:name w:val="网格型1"/>
    <w:basedOn w:val="TableNormal"/>
    <w:next w:val="TableGrid"/>
    <w:uiPriority w:val="59"/>
    <w:rsid w:val="0062622A"/>
    <w:pPr>
      <w:spacing w:line="240" w:lineRule="auto"/>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2622A"/>
  </w:style>
  <w:style w:type="paragraph" w:styleId="BodyText">
    <w:name w:val="Body Text"/>
    <w:basedOn w:val="Normal"/>
    <w:link w:val="BodyTextChar"/>
    <w:uiPriority w:val="99"/>
    <w:unhideWhenUsed/>
    <w:rsid w:val="0062622A"/>
    <w:pPr>
      <w:spacing w:after="120"/>
    </w:pPr>
    <w:rPr>
      <w:rFonts w:ascii="Times New Roman" w:eastAsia="宋体" w:hAnsi="Times New Roman" w:cs="Times New Roman"/>
      <w:sz w:val="24"/>
      <w:szCs w:val="24"/>
      <w:lang w:val="fr-FR" w:eastAsia="fr-FR"/>
    </w:rPr>
  </w:style>
  <w:style w:type="character" w:customStyle="1" w:styleId="BodyTextChar">
    <w:name w:val="Body Text Char"/>
    <w:basedOn w:val="DefaultParagraphFont"/>
    <w:link w:val="BodyText"/>
    <w:uiPriority w:val="99"/>
    <w:rsid w:val="0062622A"/>
    <w:rPr>
      <w:rFonts w:ascii="Times New Roman" w:eastAsia="宋体" w:hAnsi="Times New Roman" w:cs="Times New Roman"/>
      <w:sz w:val="24"/>
      <w:szCs w:val="24"/>
      <w:lang w:val="fr-FR" w:eastAsia="fr-FR"/>
    </w:rPr>
  </w:style>
  <w:style w:type="character" w:customStyle="1" w:styleId="pagecontents">
    <w:name w:val="pagecontents"/>
    <w:rsid w:val="0062622A"/>
  </w:style>
  <w:style w:type="character" w:customStyle="1" w:styleId="pagecontents1">
    <w:name w:val="pagecontents1"/>
    <w:rsid w:val="0062622A"/>
  </w:style>
  <w:style w:type="paragraph" w:customStyle="1" w:styleId="Standard">
    <w:name w:val="Standard"/>
    <w:rsid w:val="0062622A"/>
    <w:pPr>
      <w:widowControl w:val="0"/>
      <w:suppressAutoHyphens/>
      <w:autoSpaceDN w:val="0"/>
      <w:spacing w:line="240" w:lineRule="auto"/>
      <w:jc w:val="left"/>
      <w:textAlignment w:val="baseline"/>
    </w:pPr>
    <w:rPr>
      <w:rFonts w:ascii="Times New Roman" w:eastAsia="Arial Unicode MS" w:hAnsi="Times New Roman" w:cs="Mangal"/>
      <w:kern w:val="3"/>
      <w:sz w:val="24"/>
      <w:szCs w:val="24"/>
      <w:lang w:val="es-ES" w:eastAsia="zh-CN" w:bidi="hi-IN"/>
    </w:rPr>
  </w:style>
  <w:style w:type="numbering" w:customStyle="1" w:styleId="WW8Num2">
    <w:name w:val="WW8Num2"/>
    <w:basedOn w:val="NoList"/>
    <w:rsid w:val="0062622A"/>
    <w:pPr>
      <w:numPr>
        <w:numId w:val="26"/>
      </w:numPr>
    </w:pPr>
  </w:style>
  <w:style w:type="paragraph" w:styleId="EndnoteText">
    <w:name w:val="endnote text"/>
    <w:basedOn w:val="Normal"/>
    <w:link w:val="EndnoteTextChar"/>
    <w:uiPriority w:val="99"/>
    <w:semiHidden/>
    <w:unhideWhenUsed/>
    <w:rsid w:val="0062622A"/>
    <w:pPr>
      <w:snapToGrid w:val="0"/>
    </w:pPr>
  </w:style>
  <w:style w:type="character" w:customStyle="1" w:styleId="EndnoteTextChar">
    <w:name w:val="Endnote Text Char"/>
    <w:basedOn w:val="DefaultParagraphFont"/>
    <w:link w:val="EndnoteText"/>
    <w:uiPriority w:val="99"/>
    <w:semiHidden/>
    <w:rsid w:val="0062622A"/>
  </w:style>
  <w:style w:type="character" w:customStyle="1" w:styleId="2Char1">
    <w:name w:val="标题 2 Char1"/>
    <w:basedOn w:val="DefaultParagraphFont"/>
    <w:uiPriority w:val="9"/>
    <w:semiHidden/>
    <w:rsid w:val="0062622A"/>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62622A"/>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62622A"/>
    <w:rPr>
      <w:rFonts w:asciiTheme="majorHAnsi" w:eastAsiaTheme="majorEastAsia" w:hAnsiTheme="majorHAnsi" w:cstheme="majorBidi"/>
      <w:b/>
      <w:bCs/>
      <w:sz w:val="24"/>
      <w:szCs w:val="24"/>
    </w:rPr>
  </w:style>
  <w:style w:type="character" w:customStyle="1" w:styleId="7Char1">
    <w:name w:val="标题 7 Char1"/>
    <w:basedOn w:val="DefaultParagraphFont"/>
    <w:uiPriority w:val="9"/>
    <w:semiHidden/>
    <w:rsid w:val="0062622A"/>
    <w:rPr>
      <w:b/>
      <w:bCs/>
      <w:sz w:val="24"/>
      <w:szCs w:val="24"/>
    </w:rPr>
  </w:style>
  <w:style w:type="character" w:customStyle="1" w:styleId="8Char1">
    <w:name w:val="标题 8 Char1"/>
    <w:basedOn w:val="DefaultParagraphFont"/>
    <w:uiPriority w:val="9"/>
    <w:semiHidden/>
    <w:rsid w:val="0062622A"/>
    <w:rPr>
      <w:rFonts w:asciiTheme="majorHAnsi" w:eastAsiaTheme="majorEastAsia" w:hAnsiTheme="majorHAnsi" w:cstheme="majorBidi"/>
      <w:sz w:val="24"/>
      <w:szCs w:val="24"/>
    </w:rPr>
  </w:style>
  <w:style w:type="character" w:customStyle="1" w:styleId="9Char1">
    <w:name w:val="标题 9 Char1"/>
    <w:basedOn w:val="DefaultParagraphFont"/>
    <w:uiPriority w:val="9"/>
    <w:semiHidden/>
    <w:rsid w:val="0062622A"/>
    <w:rPr>
      <w:rFonts w:asciiTheme="majorHAnsi" w:eastAsiaTheme="majorEastAsia" w:hAnsiTheme="majorHAnsi" w:cstheme="majorBidi"/>
      <w:sz w:val="21"/>
      <w:szCs w:val="21"/>
    </w:rPr>
  </w:style>
  <w:style w:type="paragraph" w:styleId="DocumentMap">
    <w:name w:val="Document Map"/>
    <w:basedOn w:val="Normal"/>
    <w:link w:val="DocumentMapChar"/>
    <w:uiPriority w:val="99"/>
    <w:semiHidden/>
    <w:unhideWhenUsed/>
    <w:rsid w:val="0062622A"/>
    <w:rPr>
      <w:rFonts w:ascii="宋体" w:eastAsia="宋体"/>
      <w:sz w:val="18"/>
      <w:szCs w:val="18"/>
    </w:rPr>
  </w:style>
  <w:style w:type="character" w:customStyle="1" w:styleId="DocumentMapChar">
    <w:name w:val="Document Map Char"/>
    <w:basedOn w:val="DefaultParagraphFont"/>
    <w:link w:val="DocumentMap"/>
    <w:uiPriority w:val="99"/>
    <w:semiHidden/>
    <w:rsid w:val="0062622A"/>
    <w:rPr>
      <w:rFonts w:ascii="宋体" w:eastAsia="宋体"/>
      <w:sz w:val="18"/>
      <w:szCs w:val="18"/>
    </w:rPr>
  </w:style>
  <w:style w:type="paragraph" w:customStyle="1" w:styleId="Default">
    <w:name w:val="Default"/>
    <w:rsid w:val="008F1232"/>
    <w:pPr>
      <w:widowControl w:val="0"/>
      <w:autoSpaceDE w:val="0"/>
      <w:autoSpaceDN w:val="0"/>
      <w:adjustRightInd w:val="0"/>
      <w:spacing w:line="240" w:lineRule="auto"/>
      <w:jc w:val="left"/>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EB4"/>
    <w:pPr>
      <w:spacing w:line="240" w:lineRule="auto"/>
      <w:jc w:val="left"/>
    </w:pPr>
  </w:style>
  <w:style w:type="paragraph" w:styleId="Heading1">
    <w:name w:val="heading 1"/>
    <w:basedOn w:val="Normal"/>
    <w:next w:val="Normal"/>
    <w:link w:val="Heading1Char"/>
    <w:uiPriority w:val="9"/>
    <w:qFormat/>
    <w:rsid w:val="00C932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2622A"/>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62622A"/>
    <w:pPr>
      <w:spacing w:before="100" w:beforeAutospacing="1" w:after="100" w:afterAutospacing="1"/>
      <w:outlineLvl w:val="2"/>
    </w:pPr>
    <w:rPr>
      <w:rFonts w:ascii="Times New Roman" w:eastAsia="宋体" w:hAnsi="Times New Roman" w:cs="Times New Roman"/>
      <w:b/>
      <w:bCs/>
      <w:sz w:val="27"/>
      <w:szCs w:val="27"/>
    </w:rPr>
  </w:style>
  <w:style w:type="paragraph" w:styleId="Heading4">
    <w:name w:val="heading 4"/>
    <w:basedOn w:val="Normal"/>
    <w:next w:val="Normal"/>
    <w:link w:val="Heading4Char"/>
    <w:uiPriority w:val="9"/>
    <w:semiHidden/>
    <w:unhideWhenUsed/>
    <w:qFormat/>
    <w:rsid w:val="0062622A"/>
    <w:pPr>
      <w:keepNext/>
      <w:keepLines/>
      <w:spacing w:before="280" w:after="290" w:line="376" w:lineRule="auto"/>
      <w:outlineLvl w:val="3"/>
    </w:pPr>
    <w:rPr>
      <w:rFonts w:eastAsia="宋体" w:cs="Times New Roman"/>
      <w:b/>
      <w:bCs/>
      <w:iCs/>
      <w:sz w:val="24"/>
      <w:lang w:val="en-GB"/>
    </w:rPr>
  </w:style>
  <w:style w:type="paragraph" w:styleId="Heading5">
    <w:name w:val="heading 5"/>
    <w:basedOn w:val="Normal"/>
    <w:next w:val="Normal"/>
    <w:link w:val="Heading5Char"/>
    <w:uiPriority w:val="9"/>
    <w:qFormat/>
    <w:rsid w:val="0062622A"/>
    <w:pPr>
      <w:spacing w:before="240" w:after="60"/>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62622A"/>
    <w:pPr>
      <w:keepNext/>
      <w:keepLines/>
      <w:spacing w:before="240" w:after="64" w:line="320" w:lineRule="auto"/>
      <w:outlineLvl w:val="5"/>
    </w:pPr>
    <w:rPr>
      <w:rFonts w:ascii="Cambria" w:eastAsia="宋体" w:hAnsi="Cambria" w:cs="Times New Roman"/>
      <w:i/>
      <w:iCs/>
      <w:color w:val="243F60"/>
      <w:lang w:val="en-GB"/>
    </w:rPr>
  </w:style>
  <w:style w:type="paragraph" w:styleId="Heading7">
    <w:name w:val="heading 7"/>
    <w:basedOn w:val="Normal"/>
    <w:next w:val="Normal"/>
    <w:link w:val="Heading7Char"/>
    <w:uiPriority w:val="9"/>
    <w:semiHidden/>
    <w:unhideWhenUsed/>
    <w:qFormat/>
    <w:rsid w:val="0062622A"/>
    <w:pPr>
      <w:keepNext/>
      <w:keepLines/>
      <w:spacing w:before="240" w:after="64" w:line="320" w:lineRule="auto"/>
      <w:outlineLvl w:val="6"/>
    </w:pPr>
    <w:rPr>
      <w:rFonts w:ascii="Cambria" w:eastAsia="宋体" w:hAnsi="Cambria" w:cs="Times New Roman"/>
      <w:i/>
      <w:iCs/>
      <w:color w:val="404040"/>
      <w:lang w:val="en-GB"/>
    </w:rPr>
  </w:style>
  <w:style w:type="paragraph" w:styleId="Heading8">
    <w:name w:val="heading 8"/>
    <w:basedOn w:val="Normal"/>
    <w:next w:val="Normal"/>
    <w:link w:val="Heading8Char"/>
    <w:uiPriority w:val="9"/>
    <w:semiHidden/>
    <w:unhideWhenUsed/>
    <w:qFormat/>
    <w:rsid w:val="0062622A"/>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62622A"/>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25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92312"/>
    <w:pPr>
      <w:tabs>
        <w:tab w:val="center" w:pos="4680"/>
        <w:tab w:val="right" w:pos="9360"/>
      </w:tabs>
    </w:pPr>
  </w:style>
  <w:style w:type="character" w:customStyle="1" w:styleId="HeaderChar">
    <w:name w:val="Header Char"/>
    <w:basedOn w:val="DefaultParagraphFont"/>
    <w:link w:val="Header"/>
    <w:uiPriority w:val="99"/>
    <w:rsid w:val="00492312"/>
  </w:style>
  <w:style w:type="paragraph" w:styleId="Footer">
    <w:name w:val="footer"/>
    <w:basedOn w:val="Normal"/>
    <w:link w:val="FooterChar"/>
    <w:uiPriority w:val="99"/>
    <w:unhideWhenUsed/>
    <w:rsid w:val="00492312"/>
    <w:pPr>
      <w:tabs>
        <w:tab w:val="center" w:pos="4680"/>
        <w:tab w:val="right" w:pos="9360"/>
      </w:tabs>
    </w:pPr>
  </w:style>
  <w:style w:type="character" w:customStyle="1" w:styleId="FooterChar">
    <w:name w:val="Footer Char"/>
    <w:basedOn w:val="DefaultParagraphFont"/>
    <w:link w:val="Footer"/>
    <w:uiPriority w:val="99"/>
    <w:rsid w:val="00492312"/>
  </w:style>
  <w:style w:type="table" w:styleId="TableGrid">
    <w:name w:val="Table Grid"/>
    <w:basedOn w:val="TableNormal"/>
    <w:uiPriority w:val="59"/>
    <w:rsid w:val="0067547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451D"/>
    <w:rPr>
      <w:rFonts w:ascii="Tahoma" w:hAnsi="Tahoma" w:cs="Tahoma"/>
      <w:sz w:val="16"/>
      <w:szCs w:val="16"/>
    </w:rPr>
  </w:style>
  <w:style w:type="character" w:customStyle="1" w:styleId="BalloonTextChar">
    <w:name w:val="Balloon Text Char"/>
    <w:basedOn w:val="DefaultParagraphFont"/>
    <w:link w:val="BalloonText"/>
    <w:uiPriority w:val="99"/>
    <w:semiHidden/>
    <w:rsid w:val="00AB451D"/>
    <w:rPr>
      <w:rFonts w:ascii="Tahoma" w:hAnsi="Tahoma" w:cs="Tahoma"/>
      <w:sz w:val="16"/>
      <w:szCs w:val="16"/>
    </w:rPr>
  </w:style>
  <w:style w:type="table" w:customStyle="1" w:styleId="PlainTable3">
    <w:name w:val="Plain Table 3"/>
    <w:basedOn w:val="TableNormal"/>
    <w:uiPriority w:val="43"/>
    <w:rsid w:val="00455CE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1">
    <w:name w:val="Plain Table 31"/>
    <w:basedOn w:val="TableNormal"/>
    <w:uiPriority w:val="43"/>
    <w:rsid w:val="002C0900"/>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eNormal"/>
    <w:uiPriority w:val="41"/>
    <w:rsid w:val="002C0900"/>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E06C2"/>
    <w:rPr>
      <w:color w:val="0000FF" w:themeColor="hyperlink"/>
      <w:u w:val="single"/>
    </w:rPr>
  </w:style>
  <w:style w:type="table" w:customStyle="1" w:styleId="TableGrid1">
    <w:name w:val="Table Grid1"/>
    <w:basedOn w:val="TableNormal"/>
    <w:next w:val="TableGrid"/>
    <w:uiPriority w:val="39"/>
    <w:rsid w:val="007F7D41"/>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2">
    <w:name w:val="Plain Table 32"/>
    <w:basedOn w:val="TableNormal"/>
    <w:uiPriority w:val="43"/>
    <w:rsid w:val="006A36FA"/>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3">
    <w:name w:val="Plain Table 33"/>
    <w:basedOn w:val="TableNormal"/>
    <w:uiPriority w:val="43"/>
    <w:rsid w:val="006A36FA"/>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Accent3">
    <w:name w:val="Grid Table 6 Colorful Accent 3"/>
    <w:basedOn w:val="TableNormal"/>
    <w:uiPriority w:val="51"/>
    <w:rsid w:val="000E1CC6"/>
    <w:pPr>
      <w:spacing w:line="240" w:lineRule="auto"/>
      <w:jc w:val="left"/>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Paragraph">
    <w:name w:val="List Paragraph"/>
    <w:basedOn w:val="Normal"/>
    <w:uiPriority w:val="34"/>
    <w:qFormat/>
    <w:rsid w:val="00EA664E"/>
    <w:pPr>
      <w:ind w:left="720"/>
      <w:contextualSpacing/>
    </w:pPr>
  </w:style>
  <w:style w:type="character" w:styleId="CommentReference">
    <w:name w:val="annotation reference"/>
    <w:basedOn w:val="DefaultParagraphFont"/>
    <w:uiPriority w:val="99"/>
    <w:semiHidden/>
    <w:unhideWhenUsed/>
    <w:rsid w:val="00D93B91"/>
    <w:rPr>
      <w:sz w:val="21"/>
      <w:szCs w:val="21"/>
    </w:rPr>
  </w:style>
  <w:style w:type="paragraph" w:styleId="CommentText">
    <w:name w:val="annotation text"/>
    <w:basedOn w:val="Normal"/>
    <w:link w:val="CommentTextChar"/>
    <w:uiPriority w:val="99"/>
    <w:semiHidden/>
    <w:unhideWhenUsed/>
    <w:rsid w:val="00D93B91"/>
  </w:style>
  <w:style w:type="character" w:customStyle="1" w:styleId="CommentTextChar">
    <w:name w:val="Comment Text Char"/>
    <w:basedOn w:val="DefaultParagraphFont"/>
    <w:link w:val="CommentText"/>
    <w:uiPriority w:val="99"/>
    <w:semiHidden/>
    <w:rsid w:val="00D93B91"/>
  </w:style>
  <w:style w:type="paragraph" w:styleId="CommentSubject">
    <w:name w:val="annotation subject"/>
    <w:basedOn w:val="CommentText"/>
    <w:next w:val="CommentText"/>
    <w:link w:val="CommentSubjectChar"/>
    <w:uiPriority w:val="99"/>
    <w:semiHidden/>
    <w:unhideWhenUsed/>
    <w:rsid w:val="00D93B91"/>
    <w:rPr>
      <w:b/>
      <w:bCs/>
    </w:rPr>
  </w:style>
  <w:style w:type="character" w:customStyle="1" w:styleId="CommentSubjectChar">
    <w:name w:val="Comment Subject Char"/>
    <w:basedOn w:val="CommentTextChar"/>
    <w:link w:val="CommentSubject"/>
    <w:uiPriority w:val="99"/>
    <w:semiHidden/>
    <w:rsid w:val="00D93B91"/>
    <w:rPr>
      <w:b/>
      <w:bCs/>
    </w:rPr>
  </w:style>
  <w:style w:type="paragraph" w:styleId="Revision">
    <w:name w:val="Revision"/>
    <w:hidden/>
    <w:uiPriority w:val="99"/>
    <w:semiHidden/>
    <w:rsid w:val="00A93F4C"/>
    <w:pPr>
      <w:spacing w:line="240" w:lineRule="auto"/>
      <w:jc w:val="left"/>
    </w:pPr>
  </w:style>
  <w:style w:type="table" w:customStyle="1" w:styleId="PlainTable11">
    <w:name w:val="Plain Table 11"/>
    <w:basedOn w:val="TableNormal"/>
    <w:uiPriority w:val="41"/>
    <w:rsid w:val="00C9325C"/>
    <w:pPr>
      <w:spacing w:line="240" w:lineRule="auto"/>
    </w:pPr>
    <w:rPr>
      <w:rFonts w:eastAsiaTheme="minorHAns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1">
    <w:name w:val="标题 21"/>
    <w:basedOn w:val="Normal"/>
    <w:next w:val="Normal"/>
    <w:uiPriority w:val="9"/>
    <w:unhideWhenUsed/>
    <w:qFormat/>
    <w:rsid w:val="0062622A"/>
    <w:pPr>
      <w:keepNext/>
      <w:keepLines/>
      <w:spacing w:before="260" w:after="260" w:line="416" w:lineRule="auto"/>
      <w:outlineLvl w:val="1"/>
    </w:pPr>
    <w:rPr>
      <w:rFonts w:ascii="Cambria" w:eastAsia="宋体" w:hAnsi="Cambria" w:cs="Times New Roman"/>
      <w:b/>
      <w:bCs/>
      <w:sz w:val="32"/>
      <w:szCs w:val="32"/>
      <w:lang w:val="fr-FR" w:eastAsia="fr-FR"/>
    </w:rPr>
  </w:style>
  <w:style w:type="character" w:customStyle="1" w:styleId="Heading3Char">
    <w:name w:val="Heading 3 Char"/>
    <w:basedOn w:val="DefaultParagraphFont"/>
    <w:link w:val="Heading3"/>
    <w:uiPriority w:val="9"/>
    <w:rsid w:val="0062622A"/>
    <w:rPr>
      <w:rFonts w:ascii="Times New Roman" w:eastAsia="宋体" w:hAnsi="Times New Roman" w:cs="Times New Roman"/>
      <w:b/>
      <w:bCs/>
      <w:sz w:val="27"/>
      <w:szCs w:val="27"/>
    </w:rPr>
  </w:style>
  <w:style w:type="paragraph" w:customStyle="1" w:styleId="41">
    <w:name w:val="标题 41"/>
    <w:basedOn w:val="Normal"/>
    <w:next w:val="Normal"/>
    <w:uiPriority w:val="9"/>
    <w:unhideWhenUsed/>
    <w:qFormat/>
    <w:rsid w:val="0062622A"/>
    <w:pPr>
      <w:keepNext/>
      <w:keepLines/>
      <w:spacing w:before="200" w:line="276" w:lineRule="auto"/>
      <w:ind w:left="864" w:hanging="864"/>
      <w:outlineLvl w:val="3"/>
    </w:pPr>
    <w:rPr>
      <w:rFonts w:eastAsia="宋体" w:cs="Times New Roman"/>
      <w:b/>
      <w:bCs/>
      <w:iCs/>
      <w:sz w:val="24"/>
      <w:lang w:val="en-GB"/>
    </w:rPr>
  </w:style>
  <w:style w:type="character" w:customStyle="1" w:styleId="Heading5Char">
    <w:name w:val="Heading 5 Char"/>
    <w:basedOn w:val="DefaultParagraphFont"/>
    <w:link w:val="Heading5"/>
    <w:uiPriority w:val="9"/>
    <w:rsid w:val="0062622A"/>
    <w:rPr>
      <w:rFonts w:ascii="Times New Roman" w:eastAsia="宋体" w:hAnsi="Times New Roman" w:cs="Times New Roman"/>
      <w:b/>
      <w:bCs/>
      <w:i/>
      <w:iCs/>
      <w:sz w:val="26"/>
      <w:szCs w:val="26"/>
    </w:rPr>
  </w:style>
  <w:style w:type="paragraph" w:customStyle="1" w:styleId="61">
    <w:name w:val="标题 61"/>
    <w:basedOn w:val="Normal"/>
    <w:next w:val="Normal"/>
    <w:uiPriority w:val="9"/>
    <w:semiHidden/>
    <w:unhideWhenUsed/>
    <w:qFormat/>
    <w:rsid w:val="0062622A"/>
    <w:pPr>
      <w:keepNext/>
      <w:keepLines/>
      <w:spacing w:before="200" w:line="276" w:lineRule="auto"/>
      <w:ind w:left="1152" w:hanging="1152"/>
      <w:outlineLvl w:val="5"/>
    </w:pPr>
    <w:rPr>
      <w:rFonts w:ascii="Cambria" w:eastAsia="宋体" w:hAnsi="Cambria" w:cs="Times New Roman"/>
      <w:i/>
      <w:iCs/>
      <w:color w:val="243F60"/>
      <w:lang w:val="en-GB"/>
    </w:rPr>
  </w:style>
  <w:style w:type="paragraph" w:customStyle="1" w:styleId="71">
    <w:name w:val="标题 71"/>
    <w:basedOn w:val="Normal"/>
    <w:next w:val="Normal"/>
    <w:uiPriority w:val="9"/>
    <w:semiHidden/>
    <w:unhideWhenUsed/>
    <w:qFormat/>
    <w:rsid w:val="0062622A"/>
    <w:pPr>
      <w:keepNext/>
      <w:keepLines/>
      <w:spacing w:before="200" w:line="276" w:lineRule="auto"/>
      <w:ind w:left="1296" w:hanging="1296"/>
      <w:outlineLvl w:val="6"/>
    </w:pPr>
    <w:rPr>
      <w:rFonts w:ascii="Cambria" w:eastAsia="宋体" w:hAnsi="Cambria" w:cs="Times New Roman"/>
      <w:i/>
      <w:iCs/>
      <w:color w:val="404040"/>
      <w:lang w:val="en-GB"/>
    </w:rPr>
  </w:style>
  <w:style w:type="paragraph" w:customStyle="1" w:styleId="81">
    <w:name w:val="标题 81"/>
    <w:basedOn w:val="Normal"/>
    <w:next w:val="Normal"/>
    <w:uiPriority w:val="9"/>
    <w:semiHidden/>
    <w:unhideWhenUsed/>
    <w:qFormat/>
    <w:rsid w:val="0062622A"/>
    <w:pPr>
      <w:keepNext/>
      <w:keepLines/>
      <w:spacing w:before="200" w:line="276" w:lineRule="auto"/>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62622A"/>
    <w:pPr>
      <w:keepNext/>
      <w:keepLines/>
      <w:spacing w:before="200" w:line="276" w:lineRule="auto"/>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62622A"/>
  </w:style>
  <w:style w:type="character" w:customStyle="1" w:styleId="apple-converted-space">
    <w:name w:val="apple-converted-space"/>
    <w:basedOn w:val="DefaultParagraphFont"/>
    <w:rsid w:val="0062622A"/>
  </w:style>
  <w:style w:type="paragraph" w:customStyle="1" w:styleId="EndNoteBibliography">
    <w:name w:val="EndNote Bibliography"/>
    <w:basedOn w:val="Normal"/>
    <w:link w:val="EndNoteBibliographyChar"/>
    <w:rsid w:val="0062622A"/>
    <w:pPr>
      <w:spacing w:after="200"/>
    </w:pPr>
    <w:rPr>
      <w:rFonts w:ascii="Calibri" w:eastAsia="宋体" w:hAnsi="Calibri"/>
      <w:noProof/>
    </w:rPr>
  </w:style>
  <w:style w:type="character" w:customStyle="1" w:styleId="EndNoteBibliographyChar">
    <w:name w:val="EndNote Bibliography Char"/>
    <w:basedOn w:val="DefaultParagraphFont"/>
    <w:link w:val="EndNoteBibliography"/>
    <w:rsid w:val="0062622A"/>
    <w:rPr>
      <w:rFonts w:ascii="Calibri" w:eastAsia="宋体" w:hAnsi="Calibri"/>
      <w:noProof/>
    </w:rPr>
  </w:style>
  <w:style w:type="character" w:styleId="Emphasis">
    <w:name w:val="Emphasis"/>
    <w:qFormat/>
    <w:rsid w:val="0062622A"/>
    <w:rPr>
      <w:i/>
      <w:iCs/>
    </w:rPr>
  </w:style>
  <w:style w:type="character" w:customStyle="1" w:styleId="highlight">
    <w:name w:val="highlight"/>
    <w:basedOn w:val="DefaultParagraphFont"/>
    <w:rsid w:val="0062622A"/>
  </w:style>
  <w:style w:type="paragraph" w:styleId="NormalWeb">
    <w:name w:val="Normal (Web)"/>
    <w:basedOn w:val="Normal"/>
    <w:uiPriority w:val="99"/>
    <w:unhideWhenUsed/>
    <w:rsid w:val="0062622A"/>
    <w:pPr>
      <w:spacing w:before="100" w:beforeAutospacing="1" w:after="100" w:afterAutospacing="1"/>
    </w:pPr>
    <w:rPr>
      <w:rFonts w:ascii="Times New Roman" w:eastAsia="Times New Roman" w:hAnsi="Times New Roman" w:cs="Times New Roman"/>
      <w:sz w:val="24"/>
      <w:szCs w:val="24"/>
    </w:rPr>
  </w:style>
  <w:style w:type="paragraph" w:customStyle="1" w:styleId="Title1">
    <w:name w:val="Title1"/>
    <w:basedOn w:val="Normal"/>
    <w:rsid w:val="0062622A"/>
    <w:pPr>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Normal"/>
    <w:rsid w:val="0062622A"/>
    <w:pPr>
      <w:spacing w:before="100" w:beforeAutospacing="1" w:after="100" w:afterAutospacing="1"/>
    </w:pPr>
    <w:rPr>
      <w:rFonts w:ascii="Times New Roman" w:eastAsia="Times New Roman" w:hAnsi="Times New Roman" w:cs="Times New Roman"/>
      <w:sz w:val="24"/>
      <w:szCs w:val="24"/>
    </w:rPr>
  </w:style>
  <w:style w:type="character" w:customStyle="1" w:styleId="jrnl">
    <w:name w:val="jrnl"/>
    <w:basedOn w:val="DefaultParagraphFont"/>
    <w:rsid w:val="0062622A"/>
  </w:style>
  <w:style w:type="paragraph" w:customStyle="1" w:styleId="Title2">
    <w:name w:val="Title2"/>
    <w:basedOn w:val="Normal"/>
    <w:rsid w:val="0062622A"/>
    <w:pPr>
      <w:spacing w:before="100" w:beforeAutospacing="1" w:after="100" w:afterAutospacing="1"/>
    </w:pPr>
    <w:rPr>
      <w:rFonts w:ascii="Times New Roman" w:eastAsia="Times New Roman" w:hAnsi="Times New Roman" w:cs="Times New Roman"/>
      <w:sz w:val="24"/>
      <w:szCs w:val="24"/>
    </w:rPr>
  </w:style>
  <w:style w:type="character" w:customStyle="1" w:styleId="mixed-citation">
    <w:name w:val="mixed-citation"/>
    <w:basedOn w:val="DefaultParagraphFont"/>
    <w:rsid w:val="0062622A"/>
  </w:style>
  <w:style w:type="character" w:customStyle="1" w:styleId="ref-title">
    <w:name w:val="ref-title"/>
    <w:basedOn w:val="DefaultParagraphFont"/>
    <w:rsid w:val="0062622A"/>
  </w:style>
  <w:style w:type="character" w:customStyle="1" w:styleId="ref-journal">
    <w:name w:val="ref-journal"/>
    <w:basedOn w:val="DefaultParagraphFont"/>
    <w:rsid w:val="0062622A"/>
  </w:style>
  <w:style w:type="character" w:customStyle="1" w:styleId="ref-vol">
    <w:name w:val="ref-vol"/>
    <w:basedOn w:val="DefaultParagraphFont"/>
    <w:rsid w:val="0062622A"/>
  </w:style>
  <w:style w:type="character" w:customStyle="1" w:styleId="nowrap">
    <w:name w:val="nowrap"/>
    <w:basedOn w:val="DefaultParagraphFont"/>
    <w:rsid w:val="0062622A"/>
  </w:style>
  <w:style w:type="character" w:customStyle="1" w:styleId="element-citation">
    <w:name w:val="element-citation"/>
    <w:basedOn w:val="DefaultParagraphFont"/>
    <w:rsid w:val="0062622A"/>
  </w:style>
  <w:style w:type="paragraph" w:customStyle="1" w:styleId="10">
    <w:name w:val="尾注文本1"/>
    <w:basedOn w:val="Normal"/>
    <w:next w:val="EndnoteText"/>
    <w:link w:val="Char"/>
    <w:uiPriority w:val="99"/>
    <w:unhideWhenUsed/>
    <w:rsid w:val="0062622A"/>
    <w:pPr>
      <w:spacing w:after="200" w:line="276" w:lineRule="auto"/>
    </w:pPr>
    <w:rPr>
      <w:rFonts w:ascii="Calibri" w:hAnsi="Calibri" w:cs="Times New Roman"/>
      <w:sz w:val="20"/>
      <w:szCs w:val="20"/>
      <w:lang w:val="en-IN"/>
    </w:rPr>
  </w:style>
  <w:style w:type="character" w:customStyle="1" w:styleId="Char">
    <w:name w:val="尾注文本 Char"/>
    <w:basedOn w:val="DefaultParagraphFont"/>
    <w:link w:val="10"/>
    <w:uiPriority w:val="99"/>
    <w:rsid w:val="0062622A"/>
    <w:rPr>
      <w:rFonts w:ascii="Calibri" w:hAnsi="Calibri" w:cs="Times New Roman"/>
      <w:kern w:val="0"/>
      <w:sz w:val="20"/>
      <w:szCs w:val="20"/>
      <w:lang w:val="en-IN" w:eastAsia="en-US"/>
    </w:rPr>
  </w:style>
  <w:style w:type="character" w:customStyle="1" w:styleId="Heading2Char">
    <w:name w:val="Heading 2 Char"/>
    <w:basedOn w:val="DefaultParagraphFont"/>
    <w:link w:val="Heading2"/>
    <w:uiPriority w:val="9"/>
    <w:rsid w:val="0062622A"/>
    <w:rPr>
      <w:rFonts w:ascii="Cambria" w:eastAsia="宋体" w:hAnsi="Cambria" w:cs="Times New Roman"/>
      <w:b/>
      <w:bCs/>
      <w:kern w:val="0"/>
      <w:sz w:val="32"/>
      <w:szCs w:val="32"/>
      <w:lang w:val="fr-FR" w:eastAsia="fr-FR"/>
    </w:rPr>
  </w:style>
  <w:style w:type="character" w:styleId="FollowedHyperlink">
    <w:name w:val="FollowedHyperlink"/>
    <w:rsid w:val="0062622A"/>
    <w:rPr>
      <w:color w:val="0000FF"/>
      <w:u w:val="single"/>
    </w:rPr>
  </w:style>
  <w:style w:type="character" w:customStyle="1" w:styleId="toctoggle">
    <w:name w:val="toctoggle"/>
    <w:basedOn w:val="DefaultParagraphFont"/>
    <w:rsid w:val="0062622A"/>
  </w:style>
  <w:style w:type="character" w:customStyle="1" w:styleId="tocnumber">
    <w:name w:val="tocnumber"/>
    <w:basedOn w:val="DefaultParagraphFont"/>
    <w:rsid w:val="0062622A"/>
  </w:style>
  <w:style w:type="character" w:customStyle="1" w:styleId="toctext">
    <w:name w:val="toctext"/>
    <w:basedOn w:val="DefaultParagraphFont"/>
    <w:rsid w:val="0062622A"/>
  </w:style>
  <w:style w:type="character" w:customStyle="1" w:styleId="mw-headline">
    <w:name w:val="mw-headline"/>
    <w:basedOn w:val="DefaultParagraphFont"/>
    <w:rsid w:val="0062622A"/>
  </w:style>
  <w:style w:type="character" w:customStyle="1" w:styleId="mw-editsection">
    <w:name w:val="mw-editsection"/>
    <w:basedOn w:val="DefaultParagraphFont"/>
    <w:rsid w:val="0062622A"/>
  </w:style>
  <w:style w:type="character" w:customStyle="1" w:styleId="mw-editsection-bracket">
    <w:name w:val="mw-editsection-bracket"/>
    <w:basedOn w:val="DefaultParagraphFont"/>
    <w:rsid w:val="0062622A"/>
  </w:style>
  <w:style w:type="character" w:customStyle="1" w:styleId="mbox-text-span">
    <w:name w:val="mbox-text-span"/>
    <w:basedOn w:val="DefaultParagraphFont"/>
    <w:rsid w:val="0062622A"/>
  </w:style>
  <w:style w:type="character" w:customStyle="1" w:styleId="hide-when-compact">
    <w:name w:val="hide-when-compact"/>
    <w:basedOn w:val="DefaultParagraphFont"/>
    <w:rsid w:val="0062622A"/>
  </w:style>
  <w:style w:type="character" w:customStyle="1" w:styleId="mw-cite-backlink">
    <w:name w:val="mw-cite-backlink"/>
    <w:basedOn w:val="DefaultParagraphFont"/>
    <w:rsid w:val="0062622A"/>
  </w:style>
  <w:style w:type="character" w:customStyle="1" w:styleId="cite-accessibility-label">
    <w:name w:val="cite-accessibility-label"/>
    <w:basedOn w:val="DefaultParagraphFont"/>
    <w:rsid w:val="0062622A"/>
  </w:style>
  <w:style w:type="character" w:customStyle="1" w:styleId="reference-text">
    <w:name w:val="reference-text"/>
    <w:basedOn w:val="DefaultParagraphFont"/>
    <w:rsid w:val="0062622A"/>
  </w:style>
  <w:style w:type="character" w:customStyle="1" w:styleId="citationweb">
    <w:name w:val="citation web"/>
    <w:basedOn w:val="DefaultParagraphFont"/>
    <w:rsid w:val="0062622A"/>
  </w:style>
  <w:style w:type="character" w:customStyle="1" w:styleId="reference-accessdate">
    <w:name w:val="reference-accessdate"/>
    <w:basedOn w:val="DefaultParagraphFont"/>
    <w:rsid w:val="0062622A"/>
  </w:style>
  <w:style w:type="character" w:customStyle="1" w:styleId="z3988">
    <w:name w:val="z3988"/>
    <w:basedOn w:val="DefaultParagraphFont"/>
    <w:rsid w:val="0062622A"/>
  </w:style>
  <w:style w:type="character" w:customStyle="1" w:styleId="citationnews">
    <w:name w:val="citation news"/>
    <w:basedOn w:val="DefaultParagraphFont"/>
    <w:rsid w:val="0062622A"/>
  </w:style>
  <w:style w:type="character" w:customStyle="1" w:styleId="citationjournal">
    <w:name w:val="citation journal"/>
    <w:basedOn w:val="DefaultParagraphFont"/>
    <w:rsid w:val="0062622A"/>
  </w:style>
  <w:style w:type="character" w:customStyle="1" w:styleId="plainlinksnoprint">
    <w:name w:val="plainlinks noprint"/>
    <w:basedOn w:val="DefaultParagraphFont"/>
    <w:rsid w:val="0062622A"/>
  </w:style>
  <w:style w:type="character" w:customStyle="1" w:styleId="languageicon">
    <w:name w:val="languageicon"/>
    <w:basedOn w:val="DefaultParagraphFont"/>
    <w:rsid w:val="0062622A"/>
  </w:style>
  <w:style w:type="paragraph" w:customStyle="1" w:styleId="articleref">
    <w:name w:val="articleref"/>
    <w:basedOn w:val="Normal"/>
    <w:rsid w:val="0062622A"/>
    <w:pPr>
      <w:spacing w:before="100" w:beforeAutospacing="1" w:after="100" w:afterAutospacing="1"/>
    </w:pPr>
    <w:rPr>
      <w:rFonts w:ascii="Times New Roman" w:eastAsia="宋体" w:hAnsi="Times New Roman" w:cs="Times New Roman"/>
      <w:sz w:val="24"/>
      <w:szCs w:val="24"/>
    </w:rPr>
  </w:style>
  <w:style w:type="paragraph" w:customStyle="1" w:styleId="articlecitation">
    <w:name w:val="articlecitation"/>
    <w:basedOn w:val="Normal"/>
    <w:rsid w:val="0062622A"/>
    <w:pPr>
      <w:spacing w:before="100" w:beforeAutospacing="1" w:after="100" w:afterAutospacing="1"/>
    </w:pPr>
    <w:rPr>
      <w:rFonts w:ascii="Times New Roman" w:eastAsia="宋体" w:hAnsi="Times New Roman" w:cs="Times New Roman"/>
      <w:sz w:val="24"/>
      <w:szCs w:val="24"/>
    </w:rPr>
  </w:style>
  <w:style w:type="paragraph" w:customStyle="1" w:styleId="articlecitationindent1">
    <w:name w:val="articlecitationindent1"/>
    <w:basedOn w:val="Normal"/>
    <w:rsid w:val="0062622A"/>
    <w:pPr>
      <w:spacing w:before="100" w:beforeAutospacing="1" w:after="100" w:afterAutospacing="1"/>
    </w:pPr>
    <w:rPr>
      <w:rFonts w:ascii="Times New Roman" w:eastAsia="宋体" w:hAnsi="Times New Roman" w:cs="Times New Roman"/>
      <w:sz w:val="24"/>
      <w:szCs w:val="24"/>
    </w:rPr>
  </w:style>
  <w:style w:type="character" w:customStyle="1" w:styleId="smallcaps">
    <w:name w:val="smallcaps"/>
    <w:basedOn w:val="DefaultParagraphFont"/>
    <w:rsid w:val="0062622A"/>
  </w:style>
  <w:style w:type="paragraph" w:customStyle="1" w:styleId="last">
    <w:name w:val="last"/>
    <w:basedOn w:val="Normal"/>
    <w:rsid w:val="0062622A"/>
    <w:pPr>
      <w:spacing w:before="100" w:beforeAutospacing="1" w:after="100" w:afterAutospacing="1"/>
    </w:pPr>
    <w:rPr>
      <w:rFonts w:ascii="Times New Roman" w:eastAsia="宋体" w:hAnsi="Times New Roman" w:cs="Times New Roman"/>
      <w:sz w:val="24"/>
      <w:szCs w:val="24"/>
    </w:rPr>
  </w:style>
  <w:style w:type="character" w:styleId="Strong">
    <w:name w:val="Strong"/>
    <w:qFormat/>
    <w:rsid w:val="0062622A"/>
    <w:rPr>
      <w:b/>
      <w:bCs/>
    </w:rPr>
  </w:style>
  <w:style w:type="character" w:customStyle="1" w:styleId="apple-style-span">
    <w:name w:val="apple-style-span"/>
    <w:basedOn w:val="DefaultParagraphFont"/>
    <w:rsid w:val="0062622A"/>
  </w:style>
  <w:style w:type="character" w:customStyle="1" w:styleId="author">
    <w:name w:val="author"/>
    <w:basedOn w:val="DefaultParagraphFont"/>
    <w:rsid w:val="0062622A"/>
  </w:style>
  <w:style w:type="character" w:customStyle="1" w:styleId="pubyear">
    <w:name w:val="pubyear"/>
    <w:basedOn w:val="DefaultParagraphFont"/>
    <w:rsid w:val="0062622A"/>
  </w:style>
  <w:style w:type="character" w:customStyle="1" w:styleId="articletitle">
    <w:name w:val="articletitle"/>
    <w:basedOn w:val="DefaultParagraphFont"/>
    <w:rsid w:val="0062622A"/>
  </w:style>
  <w:style w:type="character" w:customStyle="1" w:styleId="journaltitle">
    <w:name w:val="journaltitle"/>
    <w:basedOn w:val="DefaultParagraphFont"/>
    <w:rsid w:val="0062622A"/>
  </w:style>
  <w:style w:type="character" w:customStyle="1" w:styleId="vol">
    <w:name w:val="vol"/>
    <w:basedOn w:val="DefaultParagraphFont"/>
    <w:rsid w:val="0062622A"/>
  </w:style>
  <w:style w:type="character" w:customStyle="1" w:styleId="pagefirst">
    <w:name w:val="pagefirst"/>
    <w:basedOn w:val="DefaultParagraphFont"/>
    <w:rsid w:val="0062622A"/>
  </w:style>
  <w:style w:type="character" w:customStyle="1" w:styleId="pagelast">
    <w:name w:val="pagelast"/>
    <w:basedOn w:val="DefaultParagraphFont"/>
    <w:rsid w:val="0062622A"/>
  </w:style>
  <w:style w:type="paragraph" w:styleId="BodyTextIndent2">
    <w:name w:val="Body Text Indent 2"/>
    <w:basedOn w:val="Normal"/>
    <w:link w:val="BodyTextIndent2Char"/>
    <w:rsid w:val="0062622A"/>
    <w:pPr>
      <w:spacing w:after="120" w:line="480" w:lineRule="auto"/>
      <w:ind w:left="360"/>
    </w:pPr>
    <w:rPr>
      <w:rFonts w:ascii="Times New Roman" w:eastAsia="宋体" w:hAnsi="Times New Roman" w:cs="Times New Roman"/>
      <w:sz w:val="24"/>
      <w:szCs w:val="24"/>
    </w:rPr>
  </w:style>
  <w:style w:type="character" w:customStyle="1" w:styleId="BodyTextIndent2Char">
    <w:name w:val="Body Text Indent 2 Char"/>
    <w:basedOn w:val="DefaultParagraphFont"/>
    <w:link w:val="BodyTextIndent2"/>
    <w:rsid w:val="0062622A"/>
    <w:rPr>
      <w:rFonts w:ascii="Times New Roman" w:eastAsia="宋体" w:hAnsi="Times New Roman" w:cs="Times New Roman"/>
      <w:sz w:val="24"/>
      <w:szCs w:val="24"/>
    </w:rPr>
  </w:style>
  <w:style w:type="character" w:styleId="PageNumber">
    <w:name w:val="page number"/>
    <w:basedOn w:val="DefaultParagraphFont"/>
    <w:rsid w:val="0062622A"/>
  </w:style>
  <w:style w:type="character" w:customStyle="1" w:styleId="citation">
    <w:name w:val="citation"/>
    <w:basedOn w:val="DefaultParagraphFont"/>
    <w:rsid w:val="0062622A"/>
  </w:style>
  <w:style w:type="character" w:customStyle="1" w:styleId="11">
    <w:name w:val="标题1"/>
    <w:basedOn w:val="DefaultParagraphFont"/>
    <w:rsid w:val="0062622A"/>
  </w:style>
  <w:style w:type="character" w:customStyle="1" w:styleId="subbodytext">
    <w:name w:val="subbodytext"/>
    <w:basedOn w:val="DefaultParagraphFont"/>
    <w:rsid w:val="0062622A"/>
  </w:style>
  <w:style w:type="character" w:customStyle="1" w:styleId="citationbook">
    <w:name w:val="citation book"/>
    <w:basedOn w:val="DefaultParagraphFont"/>
    <w:rsid w:val="0062622A"/>
  </w:style>
  <w:style w:type="character" w:styleId="LineNumber">
    <w:name w:val="line number"/>
    <w:basedOn w:val="DefaultParagraphFont"/>
    <w:rsid w:val="0062622A"/>
  </w:style>
  <w:style w:type="paragraph" w:customStyle="1" w:styleId="12">
    <w:name w:val="列出段落1"/>
    <w:basedOn w:val="Normal"/>
    <w:qFormat/>
    <w:rsid w:val="0062622A"/>
    <w:pPr>
      <w:spacing w:after="200" w:line="276" w:lineRule="auto"/>
      <w:ind w:left="720"/>
      <w:contextualSpacing/>
    </w:pPr>
    <w:rPr>
      <w:rFonts w:ascii="Calibri" w:eastAsia="Calibri" w:hAnsi="Calibri" w:cs="Times New Roman"/>
    </w:rPr>
  </w:style>
  <w:style w:type="character" w:customStyle="1" w:styleId="cit">
    <w:name w:val="cit"/>
    <w:basedOn w:val="DefaultParagraphFont"/>
    <w:rsid w:val="0062622A"/>
  </w:style>
  <w:style w:type="character" w:customStyle="1" w:styleId="fm-vol-iss-date">
    <w:name w:val="fm-vol-iss-date"/>
    <w:basedOn w:val="DefaultParagraphFont"/>
    <w:rsid w:val="0062622A"/>
  </w:style>
  <w:style w:type="character" w:customStyle="1" w:styleId="doi">
    <w:name w:val="doi"/>
    <w:basedOn w:val="DefaultParagraphFont"/>
    <w:rsid w:val="0062622A"/>
  </w:style>
  <w:style w:type="character" w:customStyle="1" w:styleId="fm-citation-ids-label">
    <w:name w:val="fm-citation-ids-label"/>
    <w:basedOn w:val="DefaultParagraphFont"/>
    <w:rsid w:val="0062622A"/>
  </w:style>
  <w:style w:type="table" w:styleId="TableClassic1">
    <w:name w:val="Table Classic 1"/>
    <w:basedOn w:val="TableNormal"/>
    <w:rsid w:val="0062622A"/>
    <w:pPr>
      <w:spacing w:line="240" w:lineRule="auto"/>
      <w:jc w:val="left"/>
    </w:pPr>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rsid w:val="0062622A"/>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62622A"/>
    <w:rPr>
      <w:rFonts w:ascii="宋体" w:eastAsia="宋体" w:hAnsi="Courier New" w:cs="Courier New"/>
      <w:kern w:val="2"/>
      <w:sz w:val="21"/>
      <w:szCs w:val="21"/>
      <w:lang w:eastAsia="zh-CN"/>
    </w:rPr>
  </w:style>
  <w:style w:type="paragraph" w:styleId="HTMLPreformatted">
    <w:name w:val="HTML Preformatted"/>
    <w:basedOn w:val="Normal"/>
    <w:link w:val="HTMLPreformattedChar"/>
    <w:uiPriority w:val="99"/>
    <w:rsid w:val="00626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s-CL" w:eastAsia="ja-JP"/>
    </w:rPr>
  </w:style>
  <w:style w:type="character" w:customStyle="1" w:styleId="HTMLPreformattedChar">
    <w:name w:val="HTML Preformatted Char"/>
    <w:basedOn w:val="DefaultParagraphFont"/>
    <w:link w:val="HTMLPreformatted"/>
    <w:uiPriority w:val="99"/>
    <w:rsid w:val="0062622A"/>
    <w:rPr>
      <w:rFonts w:ascii="Courier New" w:eastAsia="MS Mincho" w:hAnsi="Courier New" w:cs="Courier New"/>
      <w:sz w:val="20"/>
      <w:szCs w:val="20"/>
      <w:lang w:val="es-CL" w:eastAsia="ja-JP"/>
    </w:rPr>
  </w:style>
  <w:style w:type="character" w:customStyle="1" w:styleId="highlight2">
    <w:name w:val="highlight2"/>
    <w:basedOn w:val="DefaultParagraphFont"/>
    <w:rsid w:val="0062622A"/>
  </w:style>
  <w:style w:type="paragraph" w:customStyle="1" w:styleId="desc2">
    <w:name w:val="desc2"/>
    <w:basedOn w:val="Normal"/>
    <w:rsid w:val="0062622A"/>
    <w:rPr>
      <w:rFonts w:ascii="Times New Roman" w:eastAsia="Times New Roman" w:hAnsi="Times New Roman" w:cs="Times New Roman"/>
      <w:sz w:val="26"/>
      <w:szCs w:val="26"/>
      <w:lang w:val="es-CL" w:eastAsia="es-CL"/>
    </w:rPr>
  </w:style>
  <w:style w:type="paragraph" w:customStyle="1" w:styleId="details1">
    <w:name w:val="details1"/>
    <w:basedOn w:val="Normal"/>
    <w:rsid w:val="0062622A"/>
    <w:rPr>
      <w:rFonts w:ascii="Times New Roman" w:eastAsia="Times New Roman" w:hAnsi="Times New Roman" w:cs="Times New Roman"/>
      <w:lang w:val="es-CL" w:eastAsia="es-CL"/>
    </w:rPr>
  </w:style>
  <w:style w:type="character" w:customStyle="1" w:styleId="Heading4Char">
    <w:name w:val="Heading 4 Char"/>
    <w:basedOn w:val="DefaultParagraphFont"/>
    <w:link w:val="Heading4"/>
    <w:uiPriority w:val="9"/>
    <w:rsid w:val="0062622A"/>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62622A"/>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62622A"/>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62622A"/>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62622A"/>
    <w:rPr>
      <w:rFonts w:ascii="Cambria" w:eastAsia="宋体" w:hAnsi="Cambria" w:cs="Times New Roman"/>
      <w:i/>
      <w:iCs/>
      <w:color w:val="404040"/>
      <w:kern w:val="0"/>
      <w:sz w:val="20"/>
      <w:szCs w:val="20"/>
      <w:lang w:val="en-GB" w:eastAsia="en-US"/>
    </w:rPr>
  </w:style>
  <w:style w:type="paragraph" w:customStyle="1" w:styleId="EndNoteBibliographyTitle">
    <w:name w:val="EndNote Bibliography Title"/>
    <w:basedOn w:val="Normal"/>
    <w:link w:val="EndNoteBibliographyTitleChar"/>
    <w:rsid w:val="0062622A"/>
    <w:pPr>
      <w:spacing w:line="276"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2622A"/>
    <w:rPr>
      <w:rFonts w:ascii="Calibri" w:hAnsi="Calibri" w:cs="Calibri"/>
      <w:noProof/>
    </w:rPr>
  </w:style>
  <w:style w:type="paragraph" w:customStyle="1" w:styleId="13">
    <w:name w:val="文档结构图1"/>
    <w:basedOn w:val="Normal"/>
    <w:next w:val="DocumentMap"/>
    <w:link w:val="Char0"/>
    <w:uiPriority w:val="99"/>
    <w:semiHidden/>
    <w:unhideWhenUsed/>
    <w:rsid w:val="0062622A"/>
    <w:rPr>
      <w:rFonts w:ascii="Tahoma" w:hAnsi="Tahoma" w:cs="Tahoma"/>
      <w:sz w:val="16"/>
      <w:szCs w:val="16"/>
      <w:lang w:val="en-GB"/>
    </w:rPr>
  </w:style>
  <w:style w:type="character" w:customStyle="1" w:styleId="Char0">
    <w:name w:val="文档结构图 Char"/>
    <w:basedOn w:val="DefaultParagraphFont"/>
    <w:link w:val="13"/>
    <w:uiPriority w:val="99"/>
    <w:semiHidden/>
    <w:rsid w:val="0062622A"/>
    <w:rPr>
      <w:rFonts w:ascii="Tahoma" w:hAnsi="Tahoma" w:cs="Tahoma"/>
      <w:kern w:val="0"/>
      <w:sz w:val="16"/>
      <w:szCs w:val="16"/>
      <w:lang w:val="en-GB" w:eastAsia="en-US"/>
    </w:rPr>
  </w:style>
  <w:style w:type="table" w:customStyle="1" w:styleId="14">
    <w:name w:val="网格型1"/>
    <w:basedOn w:val="TableNormal"/>
    <w:next w:val="TableGrid"/>
    <w:uiPriority w:val="59"/>
    <w:rsid w:val="0062622A"/>
    <w:pPr>
      <w:spacing w:line="240" w:lineRule="auto"/>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2622A"/>
  </w:style>
  <w:style w:type="paragraph" w:styleId="BodyText">
    <w:name w:val="Body Text"/>
    <w:basedOn w:val="Normal"/>
    <w:link w:val="BodyTextChar"/>
    <w:uiPriority w:val="99"/>
    <w:unhideWhenUsed/>
    <w:rsid w:val="0062622A"/>
    <w:pPr>
      <w:spacing w:after="120"/>
    </w:pPr>
    <w:rPr>
      <w:rFonts w:ascii="Times New Roman" w:eastAsia="宋体" w:hAnsi="Times New Roman" w:cs="Times New Roman"/>
      <w:sz w:val="24"/>
      <w:szCs w:val="24"/>
      <w:lang w:val="fr-FR" w:eastAsia="fr-FR"/>
    </w:rPr>
  </w:style>
  <w:style w:type="character" w:customStyle="1" w:styleId="BodyTextChar">
    <w:name w:val="Body Text Char"/>
    <w:basedOn w:val="DefaultParagraphFont"/>
    <w:link w:val="BodyText"/>
    <w:uiPriority w:val="99"/>
    <w:rsid w:val="0062622A"/>
    <w:rPr>
      <w:rFonts w:ascii="Times New Roman" w:eastAsia="宋体" w:hAnsi="Times New Roman" w:cs="Times New Roman"/>
      <w:sz w:val="24"/>
      <w:szCs w:val="24"/>
      <w:lang w:val="fr-FR" w:eastAsia="fr-FR"/>
    </w:rPr>
  </w:style>
  <w:style w:type="character" w:customStyle="1" w:styleId="pagecontents">
    <w:name w:val="pagecontents"/>
    <w:rsid w:val="0062622A"/>
  </w:style>
  <w:style w:type="character" w:customStyle="1" w:styleId="pagecontents1">
    <w:name w:val="pagecontents1"/>
    <w:rsid w:val="0062622A"/>
  </w:style>
  <w:style w:type="paragraph" w:customStyle="1" w:styleId="Standard">
    <w:name w:val="Standard"/>
    <w:rsid w:val="0062622A"/>
    <w:pPr>
      <w:widowControl w:val="0"/>
      <w:suppressAutoHyphens/>
      <w:autoSpaceDN w:val="0"/>
      <w:spacing w:line="240" w:lineRule="auto"/>
      <w:jc w:val="left"/>
      <w:textAlignment w:val="baseline"/>
    </w:pPr>
    <w:rPr>
      <w:rFonts w:ascii="Times New Roman" w:eastAsia="Arial Unicode MS" w:hAnsi="Times New Roman" w:cs="Mangal"/>
      <w:kern w:val="3"/>
      <w:sz w:val="24"/>
      <w:szCs w:val="24"/>
      <w:lang w:val="es-ES" w:eastAsia="zh-CN" w:bidi="hi-IN"/>
    </w:rPr>
  </w:style>
  <w:style w:type="numbering" w:customStyle="1" w:styleId="WW8Num2">
    <w:name w:val="WW8Num2"/>
    <w:basedOn w:val="NoList"/>
    <w:rsid w:val="0062622A"/>
    <w:pPr>
      <w:numPr>
        <w:numId w:val="26"/>
      </w:numPr>
    </w:pPr>
  </w:style>
  <w:style w:type="paragraph" w:styleId="EndnoteText">
    <w:name w:val="endnote text"/>
    <w:basedOn w:val="Normal"/>
    <w:link w:val="EndnoteTextChar"/>
    <w:uiPriority w:val="99"/>
    <w:semiHidden/>
    <w:unhideWhenUsed/>
    <w:rsid w:val="0062622A"/>
    <w:pPr>
      <w:snapToGrid w:val="0"/>
    </w:pPr>
  </w:style>
  <w:style w:type="character" w:customStyle="1" w:styleId="EndnoteTextChar">
    <w:name w:val="Endnote Text Char"/>
    <w:basedOn w:val="DefaultParagraphFont"/>
    <w:link w:val="EndnoteText"/>
    <w:uiPriority w:val="99"/>
    <w:semiHidden/>
    <w:rsid w:val="0062622A"/>
  </w:style>
  <w:style w:type="character" w:customStyle="1" w:styleId="2Char1">
    <w:name w:val="标题 2 Char1"/>
    <w:basedOn w:val="DefaultParagraphFont"/>
    <w:uiPriority w:val="9"/>
    <w:semiHidden/>
    <w:rsid w:val="0062622A"/>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62622A"/>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62622A"/>
    <w:rPr>
      <w:rFonts w:asciiTheme="majorHAnsi" w:eastAsiaTheme="majorEastAsia" w:hAnsiTheme="majorHAnsi" w:cstheme="majorBidi"/>
      <w:b/>
      <w:bCs/>
      <w:sz w:val="24"/>
      <w:szCs w:val="24"/>
    </w:rPr>
  </w:style>
  <w:style w:type="character" w:customStyle="1" w:styleId="7Char1">
    <w:name w:val="标题 7 Char1"/>
    <w:basedOn w:val="DefaultParagraphFont"/>
    <w:uiPriority w:val="9"/>
    <w:semiHidden/>
    <w:rsid w:val="0062622A"/>
    <w:rPr>
      <w:b/>
      <w:bCs/>
      <w:sz w:val="24"/>
      <w:szCs w:val="24"/>
    </w:rPr>
  </w:style>
  <w:style w:type="character" w:customStyle="1" w:styleId="8Char1">
    <w:name w:val="标题 8 Char1"/>
    <w:basedOn w:val="DefaultParagraphFont"/>
    <w:uiPriority w:val="9"/>
    <w:semiHidden/>
    <w:rsid w:val="0062622A"/>
    <w:rPr>
      <w:rFonts w:asciiTheme="majorHAnsi" w:eastAsiaTheme="majorEastAsia" w:hAnsiTheme="majorHAnsi" w:cstheme="majorBidi"/>
      <w:sz w:val="24"/>
      <w:szCs w:val="24"/>
    </w:rPr>
  </w:style>
  <w:style w:type="character" w:customStyle="1" w:styleId="9Char1">
    <w:name w:val="标题 9 Char1"/>
    <w:basedOn w:val="DefaultParagraphFont"/>
    <w:uiPriority w:val="9"/>
    <w:semiHidden/>
    <w:rsid w:val="0062622A"/>
    <w:rPr>
      <w:rFonts w:asciiTheme="majorHAnsi" w:eastAsiaTheme="majorEastAsia" w:hAnsiTheme="majorHAnsi" w:cstheme="majorBidi"/>
      <w:sz w:val="21"/>
      <w:szCs w:val="21"/>
    </w:rPr>
  </w:style>
  <w:style w:type="paragraph" w:styleId="DocumentMap">
    <w:name w:val="Document Map"/>
    <w:basedOn w:val="Normal"/>
    <w:link w:val="DocumentMapChar"/>
    <w:uiPriority w:val="99"/>
    <w:semiHidden/>
    <w:unhideWhenUsed/>
    <w:rsid w:val="0062622A"/>
    <w:rPr>
      <w:rFonts w:ascii="宋体" w:eastAsia="宋体"/>
      <w:sz w:val="18"/>
      <w:szCs w:val="18"/>
    </w:rPr>
  </w:style>
  <w:style w:type="character" w:customStyle="1" w:styleId="DocumentMapChar">
    <w:name w:val="Document Map Char"/>
    <w:basedOn w:val="DefaultParagraphFont"/>
    <w:link w:val="DocumentMap"/>
    <w:uiPriority w:val="99"/>
    <w:semiHidden/>
    <w:rsid w:val="0062622A"/>
    <w:rPr>
      <w:rFonts w:ascii="宋体" w:eastAsia="宋体"/>
      <w:sz w:val="18"/>
      <w:szCs w:val="18"/>
    </w:rPr>
  </w:style>
  <w:style w:type="paragraph" w:customStyle="1" w:styleId="Default">
    <w:name w:val="Default"/>
    <w:rsid w:val="008F1232"/>
    <w:pPr>
      <w:widowControl w:val="0"/>
      <w:autoSpaceDE w:val="0"/>
      <w:autoSpaceDN w:val="0"/>
      <w:adjustRightInd w:val="0"/>
      <w:spacing w:line="240" w:lineRule="auto"/>
      <w:jc w:val="left"/>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9854">
      <w:bodyDiv w:val="1"/>
      <w:marLeft w:val="0"/>
      <w:marRight w:val="0"/>
      <w:marTop w:val="0"/>
      <w:marBottom w:val="0"/>
      <w:divBdr>
        <w:top w:val="none" w:sz="0" w:space="0" w:color="auto"/>
        <w:left w:val="none" w:sz="0" w:space="0" w:color="auto"/>
        <w:bottom w:val="none" w:sz="0" w:space="0" w:color="auto"/>
        <w:right w:val="none" w:sz="0" w:space="0" w:color="auto"/>
      </w:divBdr>
    </w:div>
    <w:div w:id="511068777">
      <w:bodyDiv w:val="1"/>
      <w:marLeft w:val="0"/>
      <w:marRight w:val="0"/>
      <w:marTop w:val="0"/>
      <w:marBottom w:val="0"/>
      <w:divBdr>
        <w:top w:val="none" w:sz="0" w:space="0" w:color="auto"/>
        <w:left w:val="none" w:sz="0" w:space="0" w:color="auto"/>
        <w:bottom w:val="none" w:sz="0" w:space="0" w:color="auto"/>
        <w:right w:val="none" w:sz="0" w:space="0" w:color="auto"/>
      </w:divBdr>
    </w:div>
    <w:div w:id="783304013">
      <w:bodyDiv w:val="1"/>
      <w:marLeft w:val="0"/>
      <w:marRight w:val="0"/>
      <w:marTop w:val="0"/>
      <w:marBottom w:val="0"/>
      <w:divBdr>
        <w:top w:val="none" w:sz="0" w:space="0" w:color="auto"/>
        <w:left w:val="none" w:sz="0" w:space="0" w:color="auto"/>
        <w:bottom w:val="none" w:sz="0" w:space="0" w:color="auto"/>
        <w:right w:val="none" w:sz="0" w:space="0" w:color="auto"/>
      </w:divBdr>
    </w:div>
    <w:div w:id="823088179">
      <w:bodyDiv w:val="1"/>
      <w:marLeft w:val="0"/>
      <w:marRight w:val="0"/>
      <w:marTop w:val="0"/>
      <w:marBottom w:val="0"/>
      <w:divBdr>
        <w:top w:val="none" w:sz="0" w:space="0" w:color="auto"/>
        <w:left w:val="none" w:sz="0" w:space="0" w:color="auto"/>
        <w:bottom w:val="none" w:sz="0" w:space="0" w:color="auto"/>
        <w:right w:val="none" w:sz="0" w:space="0" w:color="auto"/>
      </w:divBdr>
      <w:divsChild>
        <w:div w:id="1368262654">
          <w:marLeft w:val="0"/>
          <w:marRight w:val="1"/>
          <w:marTop w:val="0"/>
          <w:marBottom w:val="0"/>
          <w:divBdr>
            <w:top w:val="none" w:sz="0" w:space="0" w:color="auto"/>
            <w:left w:val="none" w:sz="0" w:space="0" w:color="auto"/>
            <w:bottom w:val="none" w:sz="0" w:space="0" w:color="auto"/>
            <w:right w:val="none" w:sz="0" w:space="0" w:color="auto"/>
          </w:divBdr>
          <w:divsChild>
            <w:div w:id="1445227483">
              <w:marLeft w:val="0"/>
              <w:marRight w:val="0"/>
              <w:marTop w:val="0"/>
              <w:marBottom w:val="0"/>
              <w:divBdr>
                <w:top w:val="none" w:sz="0" w:space="0" w:color="auto"/>
                <w:left w:val="none" w:sz="0" w:space="0" w:color="auto"/>
                <w:bottom w:val="none" w:sz="0" w:space="0" w:color="auto"/>
                <w:right w:val="none" w:sz="0" w:space="0" w:color="auto"/>
              </w:divBdr>
              <w:divsChild>
                <w:div w:id="620769786">
                  <w:marLeft w:val="0"/>
                  <w:marRight w:val="1"/>
                  <w:marTop w:val="0"/>
                  <w:marBottom w:val="0"/>
                  <w:divBdr>
                    <w:top w:val="none" w:sz="0" w:space="0" w:color="auto"/>
                    <w:left w:val="none" w:sz="0" w:space="0" w:color="auto"/>
                    <w:bottom w:val="none" w:sz="0" w:space="0" w:color="auto"/>
                    <w:right w:val="none" w:sz="0" w:space="0" w:color="auto"/>
                  </w:divBdr>
                  <w:divsChild>
                    <w:div w:id="604847249">
                      <w:marLeft w:val="0"/>
                      <w:marRight w:val="0"/>
                      <w:marTop w:val="0"/>
                      <w:marBottom w:val="0"/>
                      <w:divBdr>
                        <w:top w:val="none" w:sz="0" w:space="0" w:color="auto"/>
                        <w:left w:val="none" w:sz="0" w:space="0" w:color="auto"/>
                        <w:bottom w:val="none" w:sz="0" w:space="0" w:color="auto"/>
                        <w:right w:val="none" w:sz="0" w:space="0" w:color="auto"/>
                      </w:divBdr>
                      <w:divsChild>
                        <w:div w:id="2124959010">
                          <w:marLeft w:val="0"/>
                          <w:marRight w:val="0"/>
                          <w:marTop w:val="0"/>
                          <w:marBottom w:val="0"/>
                          <w:divBdr>
                            <w:top w:val="none" w:sz="0" w:space="0" w:color="auto"/>
                            <w:left w:val="none" w:sz="0" w:space="0" w:color="auto"/>
                            <w:bottom w:val="none" w:sz="0" w:space="0" w:color="auto"/>
                            <w:right w:val="none" w:sz="0" w:space="0" w:color="auto"/>
                          </w:divBdr>
                          <w:divsChild>
                            <w:div w:id="585193538">
                              <w:marLeft w:val="0"/>
                              <w:marRight w:val="0"/>
                              <w:marTop w:val="120"/>
                              <w:marBottom w:val="360"/>
                              <w:divBdr>
                                <w:top w:val="none" w:sz="0" w:space="0" w:color="auto"/>
                                <w:left w:val="none" w:sz="0" w:space="0" w:color="auto"/>
                                <w:bottom w:val="none" w:sz="0" w:space="0" w:color="auto"/>
                                <w:right w:val="none" w:sz="0" w:space="0" w:color="auto"/>
                              </w:divBdr>
                              <w:divsChild>
                                <w:div w:id="2136633973">
                                  <w:marLeft w:val="0"/>
                                  <w:marRight w:val="0"/>
                                  <w:marTop w:val="0"/>
                                  <w:marBottom w:val="0"/>
                                  <w:divBdr>
                                    <w:top w:val="none" w:sz="0" w:space="0" w:color="auto"/>
                                    <w:left w:val="none" w:sz="0" w:space="0" w:color="auto"/>
                                    <w:bottom w:val="none" w:sz="0" w:space="0" w:color="auto"/>
                                    <w:right w:val="none" w:sz="0" w:space="0" w:color="auto"/>
                                  </w:divBdr>
                                  <w:divsChild>
                                    <w:div w:id="15354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919750">
      <w:bodyDiv w:val="1"/>
      <w:marLeft w:val="0"/>
      <w:marRight w:val="0"/>
      <w:marTop w:val="0"/>
      <w:marBottom w:val="0"/>
      <w:divBdr>
        <w:top w:val="none" w:sz="0" w:space="0" w:color="auto"/>
        <w:left w:val="none" w:sz="0" w:space="0" w:color="auto"/>
        <w:bottom w:val="none" w:sz="0" w:space="0" w:color="auto"/>
        <w:right w:val="none" w:sz="0" w:space="0" w:color="auto"/>
      </w:divBdr>
    </w:div>
    <w:div w:id="891694946">
      <w:bodyDiv w:val="1"/>
      <w:marLeft w:val="0"/>
      <w:marRight w:val="0"/>
      <w:marTop w:val="0"/>
      <w:marBottom w:val="0"/>
      <w:divBdr>
        <w:top w:val="none" w:sz="0" w:space="0" w:color="auto"/>
        <w:left w:val="none" w:sz="0" w:space="0" w:color="auto"/>
        <w:bottom w:val="none" w:sz="0" w:space="0" w:color="auto"/>
        <w:right w:val="none" w:sz="0" w:space="0" w:color="auto"/>
      </w:divBdr>
    </w:div>
    <w:div w:id="943730202">
      <w:bodyDiv w:val="1"/>
      <w:marLeft w:val="0"/>
      <w:marRight w:val="0"/>
      <w:marTop w:val="0"/>
      <w:marBottom w:val="0"/>
      <w:divBdr>
        <w:top w:val="none" w:sz="0" w:space="0" w:color="auto"/>
        <w:left w:val="none" w:sz="0" w:space="0" w:color="auto"/>
        <w:bottom w:val="none" w:sz="0" w:space="0" w:color="auto"/>
        <w:right w:val="none" w:sz="0" w:space="0" w:color="auto"/>
      </w:divBdr>
      <w:divsChild>
        <w:div w:id="2036272918">
          <w:marLeft w:val="0"/>
          <w:marRight w:val="0"/>
          <w:marTop w:val="0"/>
          <w:marBottom w:val="0"/>
          <w:divBdr>
            <w:top w:val="none" w:sz="0" w:space="0" w:color="auto"/>
            <w:left w:val="none" w:sz="0" w:space="0" w:color="auto"/>
            <w:bottom w:val="none" w:sz="0" w:space="0" w:color="auto"/>
            <w:right w:val="none" w:sz="0" w:space="0" w:color="auto"/>
          </w:divBdr>
          <w:divsChild>
            <w:div w:id="232813099">
              <w:marLeft w:val="0"/>
              <w:marRight w:val="0"/>
              <w:marTop w:val="0"/>
              <w:marBottom w:val="0"/>
              <w:divBdr>
                <w:top w:val="none" w:sz="0" w:space="0" w:color="auto"/>
                <w:left w:val="none" w:sz="0" w:space="0" w:color="auto"/>
                <w:bottom w:val="none" w:sz="0" w:space="0" w:color="auto"/>
                <w:right w:val="none" w:sz="0" w:space="0" w:color="auto"/>
              </w:divBdr>
              <w:divsChild>
                <w:div w:id="580214801">
                  <w:marLeft w:val="0"/>
                  <w:marRight w:val="0"/>
                  <w:marTop w:val="0"/>
                  <w:marBottom w:val="0"/>
                  <w:divBdr>
                    <w:top w:val="single" w:sz="6" w:space="0" w:color="DDDDDD"/>
                    <w:left w:val="none" w:sz="0" w:space="0" w:color="auto"/>
                    <w:bottom w:val="none" w:sz="0" w:space="0" w:color="auto"/>
                    <w:right w:val="none" w:sz="0" w:space="0" w:color="auto"/>
                  </w:divBdr>
                  <w:divsChild>
                    <w:div w:id="648098807">
                      <w:marLeft w:val="345"/>
                      <w:marRight w:val="360"/>
                      <w:marTop w:val="375"/>
                      <w:marBottom w:val="330"/>
                      <w:divBdr>
                        <w:top w:val="none" w:sz="0" w:space="0" w:color="auto"/>
                        <w:left w:val="none" w:sz="0" w:space="0" w:color="auto"/>
                        <w:bottom w:val="none" w:sz="0" w:space="0" w:color="auto"/>
                        <w:right w:val="none" w:sz="0" w:space="0" w:color="auto"/>
                      </w:divBdr>
                      <w:divsChild>
                        <w:div w:id="19448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5263">
      <w:bodyDiv w:val="1"/>
      <w:marLeft w:val="0"/>
      <w:marRight w:val="0"/>
      <w:marTop w:val="0"/>
      <w:marBottom w:val="0"/>
      <w:divBdr>
        <w:top w:val="none" w:sz="0" w:space="0" w:color="auto"/>
        <w:left w:val="none" w:sz="0" w:space="0" w:color="auto"/>
        <w:bottom w:val="none" w:sz="0" w:space="0" w:color="auto"/>
        <w:right w:val="none" w:sz="0" w:space="0" w:color="auto"/>
      </w:divBdr>
      <w:divsChild>
        <w:div w:id="1939172104">
          <w:marLeft w:val="0"/>
          <w:marRight w:val="0"/>
          <w:marTop w:val="0"/>
          <w:marBottom w:val="0"/>
          <w:divBdr>
            <w:top w:val="none" w:sz="0" w:space="0" w:color="auto"/>
            <w:left w:val="none" w:sz="0" w:space="0" w:color="auto"/>
            <w:bottom w:val="none" w:sz="0" w:space="0" w:color="auto"/>
            <w:right w:val="none" w:sz="0" w:space="0" w:color="auto"/>
          </w:divBdr>
          <w:divsChild>
            <w:div w:id="1148941338">
              <w:marLeft w:val="0"/>
              <w:marRight w:val="0"/>
              <w:marTop w:val="0"/>
              <w:marBottom w:val="0"/>
              <w:divBdr>
                <w:top w:val="none" w:sz="0" w:space="0" w:color="auto"/>
                <w:left w:val="none" w:sz="0" w:space="0" w:color="auto"/>
                <w:bottom w:val="none" w:sz="0" w:space="0" w:color="auto"/>
                <w:right w:val="none" w:sz="0" w:space="0" w:color="auto"/>
              </w:divBdr>
              <w:divsChild>
                <w:div w:id="1654945278">
                  <w:marLeft w:val="0"/>
                  <w:marRight w:val="0"/>
                  <w:marTop w:val="0"/>
                  <w:marBottom w:val="0"/>
                  <w:divBdr>
                    <w:top w:val="single" w:sz="6" w:space="0" w:color="DDDDDD"/>
                    <w:left w:val="none" w:sz="0" w:space="0" w:color="auto"/>
                    <w:bottom w:val="none" w:sz="0" w:space="0" w:color="auto"/>
                    <w:right w:val="none" w:sz="0" w:space="0" w:color="auto"/>
                  </w:divBdr>
                  <w:divsChild>
                    <w:div w:id="1758792547">
                      <w:marLeft w:val="345"/>
                      <w:marRight w:val="360"/>
                      <w:marTop w:val="375"/>
                      <w:marBottom w:val="330"/>
                      <w:divBdr>
                        <w:top w:val="none" w:sz="0" w:space="0" w:color="auto"/>
                        <w:left w:val="none" w:sz="0" w:space="0" w:color="auto"/>
                        <w:bottom w:val="none" w:sz="0" w:space="0" w:color="auto"/>
                        <w:right w:val="none" w:sz="0" w:space="0" w:color="auto"/>
                      </w:divBdr>
                      <w:divsChild>
                        <w:div w:id="840968134">
                          <w:marLeft w:val="0"/>
                          <w:marRight w:val="0"/>
                          <w:marTop w:val="0"/>
                          <w:marBottom w:val="0"/>
                          <w:divBdr>
                            <w:top w:val="none" w:sz="0" w:space="0" w:color="auto"/>
                            <w:left w:val="none" w:sz="0" w:space="0" w:color="auto"/>
                            <w:bottom w:val="none" w:sz="0" w:space="0" w:color="auto"/>
                            <w:right w:val="none" w:sz="0" w:space="0" w:color="auto"/>
                          </w:divBdr>
                          <w:divsChild>
                            <w:div w:id="1927222555">
                              <w:marLeft w:val="0"/>
                              <w:marRight w:val="0"/>
                              <w:marTop w:val="0"/>
                              <w:marBottom w:val="0"/>
                              <w:divBdr>
                                <w:top w:val="none" w:sz="0" w:space="0" w:color="auto"/>
                                <w:left w:val="none" w:sz="0" w:space="0" w:color="auto"/>
                                <w:bottom w:val="none" w:sz="0" w:space="0" w:color="auto"/>
                                <w:right w:val="none" w:sz="0" w:space="0" w:color="auto"/>
                              </w:divBdr>
                              <w:divsChild>
                                <w:div w:id="1044872259">
                                  <w:marLeft w:val="0"/>
                                  <w:marRight w:val="0"/>
                                  <w:marTop w:val="0"/>
                                  <w:marBottom w:val="0"/>
                                  <w:divBdr>
                                    <w:top w:val="none" w:sz="0" w:space="0" w:color="auto"/>
                                    <w:left w:val="none" w:sz="0" w:space="0" w:color="auto"/>
                                    <w:bottom w:val="none" w:sz="0" w:space="0" w:color="auto"/>
                                    <w:right w:val="none" w:sz="0" w:space="0" w:color="auto"/>
                                  </w:divBdr>
                                </w:div>
                                <w:div w:id="951740709">
                                  <w:marLeft w:val="0"/>
                                  <w:marRight w:val="0"/>
                                  <w:marTop w:val="0"/>
                                  <w:marBottom w:val="0"/>
                                  <w:divBdr>
                                    <w:top w:val="none" w:sz="0" w:space="0" w:color="auto"/>
                                    <w:left w:val="none" w:sz="0" w:space="0" w:color="auto"/>
                                    <w:bottom w:val="none" w:sz="0" w:space="0" w:color="auto"/>
                                    <w:right w:val="none" w:sz="0" w:space="0" w:color="auto"/>
                                  </w:divBdr>
                                </w:div>
                                <w:div w:id="1784760373">
                                  <w:marLeft w:val="0"/>
                                  <w:marRight w:val="0"/>
                                  <w:marTop w:val="0"/>
                                  <w:marBottom w:val="0"/>
                                  <w:divBdr>
                                    <w:top w:val="none" w:sz="0" w:space="0" w:color="auto"/>
                                    <w:left w:val="none" w:sz="0" w:space="0" w:color="auto"/>
                                    <w:bottom w:val="none" w:sz="0" w:space="0" w:color="auto"/>
                                    <w:right w:val="none" w:sz="0" w:space="0" w:color="auto"/>
                                  </w:divBdr>
                                </w:div>
                                <w:div w:id="888347113">
                                  <w:marLeft w:val="0"/>
                                  <w:marRight w:val="0"/>
                                  <w:marTop w:val="0"/>
                                  <w:marBottom w:val="0"/>
                                  <w:divBdr>
                                    <w:top w:val="none" w:sz="0" w:space="0" w:color="auto"/>
                                    <w:left w:val="none" w:sz="0" w:space="0" w:color="auto"/>
                                    <w:bottom w:val="none" w:sz="0" w:space="0" w:color="auto"/>
                                    <w:right w:val="none" w:sz="0" w:space="0" w:color="auto"/>
                                  </w:divBdr>
                                </w:div>
                                <w:div w:id="295263901">
                                  <w:marLeft w:val="0"/>
                                  <w:marRight w:val="0"/>
                                  <w:marTop w:val="0"/>
                                  <w:marBottom w:val="0"/>
                                  <w:divBdr>
                                    <w:top w:val="none" w:sz="0" w:space="0" w:color="auto"/>
                                    <w:left w:val="none" w:sz="0" w:space="0" w:color="auto"/>
                                    <w:bottom w:val="none" w:sz="0" w:space="0" w:color="auto"/>
                                    <w:right w:val="none" w:sz="0" w:space="0" w:color="auto"/>
                                  </w:divBdr>
                                </w:div>
                                <w:div w:id="318702247">
                                  <w:marLeft w:val="0"/>
                                  <w:marRight w:val="0"/>
                                  <w:marTop w:val="0"/>
                                  <w:marBottom w:val="0"/>
                                  <w:divBdr>
                                    <w:top w:val="none" w:sz="0" w:space="0" w:color="auto"/>
                                    <w:left w:val="none" w:sz="0" w:space="0" w:color="auto"/>
                                    <w:bottom w:val="none" w:sz="0" w:space="0" w:color="auto"/>
                                    <w:right w:val="none" w:sz="0" w:space="0" w:color="auto"/>
                                  </w:divBdr>
                                  <w:divsChild>
                                    <w:div w:id="1522861724">
                                      <w:marLeft w:val="0"/>
                                      <w:marRight w:val="0"/>
                                      <w:marTop w:val="0"/>
                                      <w:marBottom w:val="0"/>
                                      <w:divBdr>
                                        <w:top w:val="none" w:sz="0" w:space="0" w:color="auto"/>
                                        <w:left w:val="none" w:sz="0" w:space="0" w:color="auto"/>
                                        <w:bottom w:val="none" w:sz="0" w:space="0" w:color="auto"/>
                                        <w:right w:val="none" w:sz="0" w:space="0" w:color="auto"/>
                                      </w:divBdr>
                                    </w:div>
                                    <w:div w:id="354498875">
                                      <w:marLeft w:val="0"/>
                                      <w:marRight w:val="0"/>
                                      <w:marTop w:val="0"/>
                                      <w:marBottom w:val="0"/>
                                      <w:divBdr>
                                        <w:top w:val="none" w:sz="0" w:space="0" w:color="auto"/>
                                        <w:left w:val="none" w:sz="0" w:space="0" w:color="auto"/>
                                        <w:bottom w:val="none" w:sz="0" w:space="0" w:color="auto"/>
                                        <w:right w:val="none" w:sz="0" w:space="0" w:color="auto"/>
                                      </w:divBdr>
                                    </w:div>
                                    <w:div w:id="618419990">
                                      <w:marLeft w:val="0"/>
                                      <w:marRight w:val="0"/>
                                      <w:marTop w:val="0"/>
                                      <w:marBottom w:val="0"/>
                                      <w:divBdr>
                                        <w:top w:val="none" w:sz="0" w:space="0" w:color="auto"/>
                                        <w:left w:val="none" w:sz="0" w:space="0" w:color="auto"/>
                                        <w:bottom w:val="none" w:sz="0" w:space="0" w:color="auto"/>
                                        <w:right w:val="none" w:sz="0" w:space="0" w:color="auto"/>
                                      </w:divBdr>
                                    </w:div>
                                  </w:divsChild>
                                </w:div>
                                <w:div w:id="14841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378156">
      <w:bodyDiv w:val="1"/>
      <w:marLeft w:val="0"/>
      <w:marRight w:val="0"/>
      <w:marTop w:val="0"/>
      <w:marBottom w:val="0"/>
      <w:divBdr>
        <w:top w:val="none" w:sz="0" w:space="0" w:color="auto"/>
        <w:left w:val="none" w:sz="0" w:space="0" w:color="auto"/>
        <w:bottom w:val="none" w:sz="0" w:space="0" w:color="auto"/>
        <w:right w:val="none" w:sz="0" w:space="0" w:color="auto"/>
      </w:divBdr>
      <w:divsChild>
        <w:div w:id="244806716">
          <w:marLeft w:val="0"/>
          <w:marRight w:val="1"/>
          <w:marTop w:val="0"/>
          <w:marBottom w:val="0"/>
          <w:divBdr>
            <w:top w:val="none" w:sz="0" w:space="0" w:color="auto"/>
            <w:left w:val="none" w:sz="0" w:space="0" w:color="auto"/>
            <w:bottom w:val="none" w:sz="0" w:space="0" w:color="auto"/>
            <w:right w:val="none" w:sz="0" w:space="0" w:color="auto"/>
          </w:divBdr>
          <w:divsChild>
            <w:div w:id="372270014">
              <w:marLeft w:val="0"/>
              <w:marRight w:val="0"/>
              <w:marTop w:val="0"/>
              <w:marBottom w:val="0"/>
              <w:divBdr>
                <w:top w:val="none" w:sz="0" w:space="0" w:color="auto"/>
                <w:left w:val="none" w:sz="0" w:space="0" w:color="auto"/>
                <w:bottom w:val="none" w:sz="0" w:space="0" w:color="auto"/>
                <w:right w:val="none" w:sz="0" w:space="0" w:color="auto"/>
              </w:divBdr>
              <w:divsChild>
                <w:div w:id="1155493192">
                  <w:marLeft w:val="0"/>
                  <w:marRight w:val="1"/>
                  <w:marTop w:val="0"/>
                  <w:marBottom w:val="0"/>
                  <w:divBdr>
                    <w:top w:val="none" w:sz="0" w:space="0" w:color="auto"/>
                    <w:left w:val="none" w:sz="0" w:space="0" w:color="auto"/>
                    <w:bottom w:val="none" w:sz="0" w:space="0" w:color="auto"/>
                    <w:right w:val="none" w:sz="0" w:space="0" w:color="auto"/>
                  </w:divBdr>
                  <w:divsChild>
                    <w:div w:id="558712905">
                      <w:marLeft w:val="0"/>
                      <w:marRight w:val="0"/>
                      <w:marTop w:val="0"/>
                      <w:marBottom w:val="0"/>
                      <w:divBdr>
                        <w:top w:val="none" w:sz="0" w:space="0" w:color="auto"/>
                        <w:left w:val="none" w:sz="0" w:space="0" w:color="auto"/>
                        <w:bottom w:val="none" w:sz="0" w:space="0" w:color="auto"/>
                        <w:right w:val="none" w:sz="0" w:space="0" w:color="auto"/>
                      </w:divBdr>
                      <w:divsChild>
                        <w:div w:id="1826973601">
                          <w:marLeft w:val="0"/>
                          <w:marRight w:val="0"/>
                          <w:marTop w:val="0"/>
                          <w:marBottom w:val="0"/>
                          <w:divBdr>
                            <w:top w:val="none" w:sz="0" w:space="0" w:color="auto"/>
                            <w:left w:val="none" w:sz="0" w:space="0" w:color="auto"/>
                            <w:bottom w:val="none" w:sz="0" w:space="0" w:color="auto"/>
                            <w:right w:val="none" w:sz="0" w:space="0" w:color="auto"/>
                          </w:divBdr>
                          <w:divsChild>
                            <w:div w:id="1900897440">
                              <w:marLeft w:val="0"/>
                              <w:marRight w:val="0"/>
                              <w:marTop w:val="120"/>
                              <w:marBottom w:val="360"/>
                              <w:divBdr>
                                <w:top w:val="none" w:sz="0" w:space="0" w:color="auto"/>
                                <w:left w:val="none" w:sz="0" w:space="0" w:color="auto"/>
                                <w:bottom w:val="none" w:sz="0" w:space="0" w:color="auto"/>
                                <w:right w:val="none" w:sz="0" w:space="0" w:color="auto"/>
                              </w:divBdr>
                              <w:divsChild>
                                <w:div w:id="1054544486">
                                  <w:marLeft w:val="0"/>
                                  <w:marRight w:val="0"/>
                                  <w:marTop w:val="0"/>
                                  <w:marBottom w:val="0"/>
                                  <w:divBdr>
                                    <w:top w:val="none" w:sz="0" w:space="0" w:color="auto"/>
                                    <w:left w:val="none" w:sz="0" w:space="0" w:color="auto"/>
                                    <w:bottom w:val="none" w:sz="0" w:space="0" w:color="auto"/>
                                    <w:right w:val="none" w:sz="0" w:space="0" w:color="auto"/>
                                  </w:divBdr>
                                  <w:divsChild>
                                    <w:div w:id="36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682820">
      <w:bodyDiv w:val="1"/>
      <w:marLeft w:val="0"/>
      <w:marRight w:val="0"/>
      <w:marTop w:val="0"/>
      <w:marBottom w:val="0"/>
      <w:divBdr>
        <w:top w:val="none" w:sz="0" w:space="0" w:color="auto"/>
        <w:left w:val="none" w:sz="0" w:space="0" w:color="auto"/>
        <w:bottom w:val="none" w:sz="0" w:space="0" w:color="auto"/>
        <w:right w:val="none" w:sz="0" w:space="0" w:color="auto"/>
      </w:divBdr>
    </w:div>
    <w:div w:id="1645310731">
      <w:bodyDiv w:val="1"/>
      <w:marLeft w:val="0"/>
      <w:marRight w:val="0"/>
      <w:marTop w:val="0"/>
      <w:marBottom w:val="0"/>
      <w:divBdr>
        <w:top w:val="none" w:sz="0" w:space="0" w:color="auto"/>
        <w:left w:val="none" w:sz="0" w:space="0" w:color="auto"/>
        <w:bottom w:val="none" w:sz="0" w:space="0" w:color="auto"/>
        <w:right w:val="none" w:sz="0" w:space="0" w:color="auto"/>
      </w:divBdr>
      <w:divsChild>
        <w:div w:id="1676106868">
          <w:marLeft w:val="0"/>
          <w:marRight w:val="1"/>
          <w:marTop w:val="0"/>
          <w:marBottom w:val="0"/>
          <w:divBdr>
            <w:top w:val="none" w:sz="0" w:space="0" w:color="auto"/>
            <w:left w:val="none" w:sz="0" w:space="0" w:color="auto"/>
            <w:bottom w:val="none" w:sz="0" w:space="0" w:color="auto"/>
            <w:right w:val="none" w:sz="0" w:space="0" w:color="auto"/>
          </w:divBdr>
          <w:divsChild>
            <w:div w:id="847410230">
              <w:marLeft w:val="0"/>
              <w:marRight w:val="0"/>
              <w:marTop w:val="0"/>
              <w:marBottom w:val="0"/>
              <w:divBdr>
                <w:top w:val="none" w:sz="0" w:space="0" w:color="auto"/>
                <w:left w:val="none" w:sz="0" w:space="0" w:color="auto"/>
                <w:bottom w:val="none" w:sz="0" w:space="0" w:color="auto"/>
                <w:right w:val="none" w:sz="0" w:space="0" w:color="auto"/>
              </w:divBdr>
              <w:divsChild>
                <w:div w:id="1611357405">
                  <w:marLeft w:val="0"/>
                  <w:marRight w:val="1"/>
                  <w:marTop w:val="0"/>
                  <w:marBottom w:val="0"/>
                  <w:divBdr>
                    <w:top w:val="none" w:sz="0" w:space="0" w:color="auto"/>
                    <w:left w:val="none" w:sz="0" w:space="0" w:color="auto"/>
                    <w:bottom w:val="none" w:sz="0" w:space="0" w:color="auto"/>
                    <w:right w:val="none" w:sz="0" w:space="0" w:color="auto"/>
                  </w:divBdr>
                  <w:divsChild>
                    <w:div w:id="1814326395">
                      <w:marLeft w:val="0"/>
                      <w:marRight w:val="0"/>
                      <w:marTop w:val="0"/>
                      <w:marBottom w:val="0"/>
                      <w:divBdr>
                        <w:top w:val="none" w:sz="0" w:space="0" w:color="auto"/>
                        <w:left w:val="none" w:sz="0" w:space="0" w:color="auto"/>
                        <w:bottom w:val="none" w:sz="0" w:space="0" w:color="auto"/>
                        <w:right w:val="none" w:sz="0" w:space="0" w:color="auto"/>
                      </w:divBdr>
                      <w:divsChild>
                        <w:div w:id="1361861748">
                          <w:marLeft w:val="0"/>
                          <w:marRight w:val="0"/>
                          <w:marTop w:val="0"/>
                          <w:marBottom w:val="0"/>
                          <w:divBdr>
                            <w:top w:val="none" w:sz="0" w:space="0" w:color="auto"/>
                            <w:left w:val="none" w:sz="0" w:space="0" w:color="auto"/>
                            <w:bottom w:val="none" w:sz="0" w:space="0" w:color="auto"/>
                            <w:right w:val="none" w:sz="0" w:space="0" w:color="auto"/>
                          </w:divBdr>
                          <w:divsChild>
                            <w:div w:id="1015574438">
                              <w:marLeft w:val="0"/>
                              <w:marRight w:val="0"/>
                              <w:marTop w:val="120"/>
                              <w:marBottom w:val="360"/>
                              <w:divBdr>
                                <w:top w:val="none" w:sz="0" w:space="0" w:color="auto"/>
                                <w:left w:val="none" w:sz="0" w:space="0" w:color="auto"/>
                                <w:bottom w:val="none" w:sz="0" w:space="0" w:color="auto"/>
                                <w:right w:val="none" w:sz="0" w:space="0" w:color="auto"/>
                              </w:divBdr>
                              <w:divsChild>
                                <w:div w:id="1779832421">
                                  <w:marLeft w:val="0"/>
                                  <w:marRight w:val="0"/>
                                  <w:marTop w:val="0"/>
                                  <w:marBottom w:val="0"/>
                                  <w:divBdr>
                                    <w:top w:val="none" w:sz="0" w:space="0" w:color="auto"/>
                                    <w:left w:val="none" w:sz="0" w:space="0" w:color="auto"/>
                                    <w:bottom w:val="none" w:sz="0" w:space="0" w:color="auto"/>
                                    <w:right w:val="none" w:sz="0" w:space="0" w:color="auto"/>
                                  </w:divBdr>
                                  <w:divsChild>
                                    <w:div w:id="11152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8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mscappell@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7877D-4789-7A4C-B333-BF7B18BA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111</Pages>
  <Words>28553</Words>
  <Characters>162753</Characters>
  <Application>Microsoft Macintosh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
    </vt:vector>
  </TitlesOfParts>
  <Company>Beaumont Health System</Company>
  <LinksUpToDate>false</LinksUpToDate>
  <CharactersWithSpaces>190925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Gjeorgjievski, Mihajlo, MD</dc:creator>
  <cp:lastModifiedBy>Na Ma</cp:lastModifiedBy>
  <cp:revision>2</cp:revision>
  <cp:lastPrinted>2015-11-29T23:07:00Z</cp:lastPrinted>
  <dcterms:created xsi:type="dcterms:W3CDTF">2016-01-17T05:21:00Z</dcterms:created>
  <dcterms:modified xsi:type="dcterms:W3CDTF">2016-01-17T05:21:00Z</dcterms:modified>
</cp:coreProperties>
</file>