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6AC0" w14:textId="77777777" w:rsidR="005A3EB4" w:rsidRPr="00814BF6" w:rsidRDefault="005A3EB4" w:rsidP="00814BF6">
      <w:pPr>
        <w:spacing w:after="0" w:line="360" w:lineRule="auto"/>
        <w:jc w:val="both"/>
        <w:rPr>
          <w:rFonts w:ascii="Book Antiqua" w:hAnsi="Book Antiqua" w:cs="Times New Roman"/>
          <w:b/>
          <w:sz w:val="24"/>
          <w:szCs w:val="24"/>
        </w:rPr>
      </w:pPr>
      <w:r w:rsidRPr="00814BF6">
        <w:rPr>
          <w:rFonts w:ascii="Book Antiqua" w:hAnsi="Book Antiqua" w:cs="Times New Roman"/>
          <w:b/>
          <w:sz w:val="24"/>
          <w:szCs w:val="24"/>
        </w:rPr>
        <w:t>Name of Journal:</w:t>
      </w:r>
      <w:r w:rsidRPr="00814BF6">
        <w:rPr>
          <w:rFonts w:ascii="Book Antiqua" w:hAnsi="Book Antiqua" w:cs="Times New Roman"/>
          <w:b/>
          <w:i/>
          <w:iCs/>
          <w:sz w:val="24"/>
          <w:szCs w:val="24"/>
        </w:rPr>
        <w:t xml:space="preserve"> World Journal of Gastrointestinal Oncology</w:t>
      </w:r>
    </w:p>
    <w:p w14:paraId="138F1501" w14:textId="77777777" w:rsidR="005A3EB4" w:rsidRPr="00814BF6" w:rsidRDefault="005A3EB4" w:rsidP="00814BF6">
      <w:pPr>
        <w:spacing w:after="0" w:line="360" w:lineRule="auto"/>
        <w:jc w:val="both"/>
        <w:rPr>
          <w:rFonts w:ascii="Book Antiqua" w:hAnsi="Book Antiqua" w:cs="Times New Roman"/>
          <w:b/>
          <w:sz w:val="24"/>
          <w:szCs w:val="24"/>
        </w:rPr>
      </w:pPr>
      <w:r w:rsidRPr="00814BF6">
        <w:rPr>
          <w:rFonts w:ascii="Book Antiqua" w:hAnsi="Book Antiqua" w:cs="Times New Roman"/>
          <w:b/>
          <w:sz w:val="24"/>
          <w:szCs w:val="24"/>
        </w:rPr>
        <w:t>ESPS Manuscript NO: 23083</w:t>
      </w:r>
    </w:p>
    <w:p w14:paraId="73258540" w14:textId="77777777" w:rsidR="005A3EB4" w:rsidRPr="00814BF6" w:rsidRDefault="005A3EB4" w:rsidP="00814BF6">
      <w:pPr>
        <w:autoSpaceDE w:val="0"/>
        <w:autoSpaceDN w:val="0"/>
        <w:adjustRightInd w:val="0"/>
        <w:spacing w:after="0" w:line="360" w:lineRule="auto"/>
        <w:jc w:val="both"/>
        <w:rPr>
          <w:rFonts w:ascii="Book Antiqua" w:hAnsi="Book Antiqua" w:cs="Times New Roman"/>
          <w:b/>
          <w:sz w:val="24"/>
          <w:szCs w:val="24"/>
        </w:rPr>
      </w:pPr>
      <w:r w:rsidRPr="00814BF6">
        <w:rPr>
          <w:rFonts w:ascii="Book Antiqua" w:hAnsi="Book Antiqua" w:cs="Times New Roman"/>
          <w:b/>
          <w:sz w:val="24"/>
          <w:szCs w:val="24"/>
        </w:rPr>
        <w:t xml:space="preserve">Manuscript Type: </w:t>
      </w:r>
      <w:r w:rsidR="006A2BCB" w:rsidRPr="00814BF6">
        <w:rPr>
          <w:rFonts w:ascii="Book Antiqua" w:hAnsi="Book Antiqua" w:cs="Times New Roman"/>
          <w:b/>
          <w:sz w:val="24"/>
          <w:szCs w:val="24"/>
        </w:rPr>
        <w:t>Original Article</w:t>
      </w:r>
    </w:p>
    <w:p w14:paraId="0175E9CE" w14:textId="77777777" w:rsidR="005A3EB4" w:rsidRPr="00814BF6" w:rsidRDefault="005A3EB4" w:rsidP="00814BF6">
      <w:pPr>
        <w:autoSpaceDE w:val="0"/>
        <w:autoSpaceDN w:val="0"/>
        <w:adjustRightInd w:val="0"/>
        <w:spacing w:after="0" w:line="360" w:lineRule="auto"/>
        <w:jc w:val="both"/>
        <w:rPr>
          <w:rFonts w:ascii="Book Antiqua" w:hAnsi="Book Antiqua" w:cs="Times New Roman"/>
          <w:b/>
          <w:sz w:val="24"/>
          <w:szCs w:val="24"/>
        </w:rPr>
      </w:pPr>
    </w:p>
    <w:p w14:paraId="23973990" w14:textId="77777777" w:rsidR="005A3EB4" w:rsidRPr="00814BF6" w:rsidRDefault="005A3EB4" w:rsidP="00814BF6">
      <w:pPr>
        <w:autoSpaceDE w:val="0"/>
        <w:autoSpaceDN w:val="0"/>
        <w:adjustRightInd w:val="0"/>
        <w:spacing w:after="0" w:line="360" w:lineRule="auto"/>
        <w:jc w:val="both"/>
        <w:rPr>
          <w:rFonts w:ascii="Book Antiqua" w:hAnsi="Book Antiqua" w:cs="Times New Roman"/>
          <w:b/>
          <w:i/>
          <w:sz w:val="24"/>
          <w:szCs w:val="24"/>
          <w:lang w:eastAsia="zh-CN"/>
        </w:rPr>
      </w:pPr>
      <w:r w:rsidRPr="00814BF6">
        <w:rPr>
          <w:rFonts w:ascii="Book Antiqua" w:hAnsi="Book Antiqua" w:cs="Times New Roman"/>
          <w:b/>
          <w:i/>
          <w:sz w:val="24"/>
          <w:szCs w:val="24"/>
        </w:rPr>
        <w:t xml:space="preserve">Retrospective Study </w:t>
      </w:r>
    </w:p>
    <w:p w14:paraId="7B8805DA" w14:textId="77777777" w:rsidR="00AC6619" w:rsidRPr="00814BF6" w:rsidRDefault="005A3EB4" w:rsidP="00814BF6">
      <w:pPr>
        <w:pStyle w:val="Heading2"/>
        <w:spacing w:before="0" w:line="360" w:lineRule="auto"/>
        <w:jc w:val="both"/>
        <w:rPr>
          <w:rFonts w:ascii="Book Antiqua" w:hAnsi="Book Antiqua" w:cs="Times New Roman"/>
          <w:color w:val="auto"/>
          <w:sz w:val="24"/>
          <w:szCs w:val="24"/>
        </w:rPr>
      </w:pPr>
      <w:r w:rsidRPr="00814BF6">
        <w:rPr>
          <w:rFonts w:ascii="Book Antiqua" w:hAnsi="Book Antiqua" w:cs="Times New Roman"/>
          <w:color w:val="auto"/>
          <w:sz w:val="24"/>
          <w:szCs w:val="24"/>
        </w:rPr>
        <w:t>Intensity modulated radiation therapy with simultaneous integrated boost based dose escalation on neoadjuvant chemoradiation therapy for locally advanced distal esophageal adenoca</w:t>
      </w:r>
      <w:r w:rsidR="00CF1599" w:rsidRPr="00814BF6">
        <w:rPr>
          <w:rFonts w:ascii="Book Antiqua" w:hAnsi="Book Antiqua" w:cs="Times New Roman"/>
          <w:color w:val="auto"/>
          <w:sz w:val="24"/>
          <w:szCs w:val="24"/>
        </w:rPr>
        <w:t>rcinoma</w:t>
      </w:r>
    </w:p>
    <w:p w14:paraId="2C557EE9" w14:textId="77777777" w:rsidR="009E1D0F" w:rsidRPr="00814BF6" w:rsidRDefault="009E1D0F" w:rsidP="00814BF6">
      <w:pPr>
        <w:pStyle w:val="Heading2"/>
        <w:spacing w:before="0" w:line="360" w:lineRule="auto"/>
        <w:jc w:val="both"/>
        <w:rPr>
          <w:rFonts w:ascii="Book Antiqua" w:hAnsi="Book Antiqua" w:cs="Times New Roman"/>
          <w:b w:val="0"/>
          <w:color w:val="auto"/>
          <w:sz w:val="24"/>
          <w:szCs w:val="24"/>
          <w:lang w:eastAsia="zh-CN"/>
        </w:rPr>
      </w:pPr>
    </w:p>
    <w:p w14:paraId="66F27281" w14:textId="77777777" w:rsidR="003B6BDC" w:rsidRPr="00814BF6" w:rsidRDefault="003B6BDC" w:rsidP="00814BF6">
      <w:pPr>
        <w:pStyle w:val="Heading2"/>
        <w:spacing w:before="0" w:line="360" w:lineRule="auto"/>
        <w:jc w:val="both"/>
        <w:rPr>
          <w:rFonts w:ascii="Book Antiqua" w:hAnsi="Book Antiqua" w:cs="Times New Roman"/>
          <w:b w:val="0"/>
          <w:color w:val="auto"/>
          <w:sz w:val="24"/>
          <w:szCs w:val="24"/>
        </w:rPr>
      </w:pPr>
      <w:r w:rsidRPr="00814BF6">
        <w:rPr>
          <w:rFonts w:ascii="Book Antiqua" w:hAnsi="Book Antiqua" w:cs="Times New Roman"/>
          <w:b w:val="0"/>
          <w:color w:val="auto"/>
          <w:sz w:val="24"/>
          <w:szCs w:val="24"/>
        </w:rPr>
        <w:t xml:space="preserve">Zeng </w:t>
      </w:r>
      <w:r w:rsidRPr="00814BF6">
        <w:rPr>
          <w:rFonts w:ascii="Book Antiqua" w:hAnsi="Book Antiqua" w:cs="Times New Roman"/>
          <w:b w:val="0"/>
          <w:color w:val="auto"/>
          <w:sz w:val="24"/>
          <w:szCs w:val="24"/>
          <w:lang w:eastAsia="zh-CN"/>
        </w:rPr>
        <w:t xml:space="preserve">M </w:t>
      </w:r>
      <w:r w:rsidRPr="00814BF6">
        <w:rPr>
          <w:rFonts w:ascii="Book Antiqua" w:hAnsi="Book Antiqua" w:cs="Times New Roman"/>
          <w:b w:val="0"/>
          <w:i/>
          <w:color w:val="auto"/>
          <w:sz w:val="24"/>
          <w:szCs w:val="24"/>
          <w:lang w:eastAsia="zh-CN"/>
        </w:rPr>
        <w:t xml:space="preserve">et al. </w:t>
      </w:r>
      <w:r w:rsidRPr="00814BF6">
        <w:rPr>
          <w:rFonts w:ascii="Book Antiqua" w:hAnsi="Book Antiqua" w:cs="Times New Roman"/>
          <w:b w:val="0"/>
          <w:color w:val="auto"/>
          <w:sz w:val="24"/>
          <w:szCs w:val="24"/>
        </w:rPr>
        <w:t>Radiation dose escalation for esophageal adenocarcinoma</w:t>
      </w:r>
    </w:p>
    <w:p w14:paraId="7E1FB219" w14:textId="77777777" w:rsidR="003B6BDC" w:rsidRPr="00814BF6" w:rsidRDefault="003B6BDC" w:rsidP="00814BF6">
      <w:pPr>
        <w:spacing w:after="0" w:line="360" w:lineRule="auto"/>
        <w:jc w:val="both"/>
        <w:rPr>
          <w:rFonts w:ascii="Book Antiqua" w:hAnsi="Book Antiqua"/>
          <w:sz w:val="24"/>
          <w:szCs w:val="24"/>
          <w:lang w:eastAsia="zh-CN"/>
        </w:rPr>
      </w:pPr>
    </w:p>
    <w:p w14:paraId="21007739" w14:textId="77777777" w:rsidR="005A3EB4" w:rsidRPr="00814BF6" w:rsidRDefault="005A3EB4" w:rsidP="00814BF6">
      <w:pPr>
        <w:spacing w:after="0" w:line="360" w:lineRule="auto"/>
        <w:contextualSpacing/>
        <w:jc w:val="both"/>
        <w:rPr>
          <w:rFonts w:ascii="Book Antiqua" w:hAnsi="Book Antiqua" w:cs="Times New Roman"/>
          <w:b/>
          <w:sz w:val="24"/>
          <w:szCs w:val="24"/>
        </w:rPr>
      </w:pPr>
      <w:r w:rsidRPr="00814BF6">
        <w:rPr>
          <w:rFonts w:ascii="Book Antiqua" w:hAnsi="Book Antiqua" w:cs="Times New Roman"/>
          <w:b/>
          <w:sz w:val="24"/>
          <w:szCs w:val="24"/>
        </w:rPr>
        <w:t>Ming Zeng, Fernando N Aguila,</w:t>
      </w:r>
      <w:r w:rsidRPr="00814BF6">
        <w:rPr>
          <w:rFonts w:ascii="Book Antiqua" w:hAnsi="Book Antiqua" w:cs="Times New Roman"/>
          <w:b/>
          <w:sz w:val="24"/>
          <w:szCs w:val="24"/>
          <w:vertAlign w:val="superscript"/>
        </w:rPr>
        <w:t xml:space="preserve"> </w:t>
      </w:r>
      <w:r w:rsidR="006E5262" w:rsidRPr="00814BF6">
        <w:rPr>
          <w:rFonts w:ascii="Book Antiqua" w:hAnsi="Book Antiqua" w:cs="Times New Roman"/>
          <w:b/>
          <w:sz w:val="24"/>
          <w:szCs w:val="24"/>
        </w:rPr>
        <w:t>Tara</w:t>
      </w:r>
      <w:r w:rsidRPr="00814BF6">
        <w:rPr>
          <w:rFonts w:ascii="Book Antiqua" w:hAnsi="Book Antiqua" w:cs="Times New Roman"/>
          <w:b/>
          <w:sz w:val="24"/>
          <w:szCs w:val="24"/>
        </w:rPr>
        <w:t xml:space="preserve"> Patel,</w:t>
      </w:r>
      <w:r w:rsidRPr="00814BF6">
        <w:rPr>
          <w:rFonts w:ascii="Book Antiqua" w:hAnsi="Book Antiqua" w:cs="Times New Roman"/>
          <w:b/>
          <w:sz w:val="24"/>
          <w:szCs w:val="24"/>
          <w:vertAlign w:val="superscript"/>
        </w:rPr>
        <w:t xml:space="preserve"> </w:t>
      </w:r>
      <w:r w:rsidRPr="00814BF6">
        <w:rPr>
          <w:rFonts w:ascii="Book Antiqua" w:hAnsi="Book Antiqua" w:cs="Times New Roman"/>
          <w:b/>
          <w:sz w:val="24"/>
          <w:szCs w:val="24"/>
        </w:rPr>
        <w:t>Mark Knapp, Xue</w:t>
      </w:r>
      <w:r w:rsidR="00D80EE7" w:rsidRPr="00814BF6">
        <w:rPr>
          <w:rFonts w:ascii="Book Antiqua" w:hAnsi="Book Antiqua" w:cs="Times New Roman"/>
          <w:b/>
          <w:sz w:val="24"/>
          <w:szCs w:val="24"/>
        </w:rPr>
        <w:t>q</w:t>
      </w:r>
      <w:r w:rsidRPr="00814BF6">
        <w:rPr>
          <w:rFonts w:ascii="Book Antiqua" w:hAnsi="Book Antiqua" w:cs="Times New Roman"/>
          <w:b/>
          <w:sz w:val="24"/>
          <w:szCs w:val="24"/>
        </w:rPr>
        <w:t>i</w:t>
      </w:r>
      <w:r w:rsidRPr="00814BF6">
        <w:rPr>
          <w:rFonts w:ascii="Book Antiqua" w:hAnsi="Book Antiqua" w:cs="Times New Roman"/>
          <w:b/>
          <w:sz w:val="24"/>
          <w:szCs w:val="24"/>
          <w:lang w:eastAsia="zh-CN"/>
        </w:rPr>
        <w:t>a</w:t>
      </w:r>
      <w:r w:rsidRPr="00814BF6">
        <w:rPr>
          <w:rFonts w:ascii="Book Antiqua" w:hAnsi="Book Antiqua" w:cs="Times New Roman"/>
          <w:b/>
          <w:sz w:val="24"/>
          <w:szCs w:val="24"/>
        </w:rPr>
        <w:t>ng</w:t>
      </w:r>
      <w:r w:rsidRPr="00814BF6">
        <w:rPr>
          <w:rFonts w:ascii="Book Antiqua" w:hAnsi="Book Antiqua" w:cs="Times New Roman"/>
          <w:b/>
          <w:sz w:val="24"/>
          <w:szCs w:val="24"/>
          <w:lang w:eastAsia="zh-CN"/>
        </w:rPr>
        <w:t xml:space="preserve"> </w:t>
      </w:r>
      <w:r w:rsidRPr="00814BF6">
        <w:rPr>
          <w:rFonts w:ascii="Book Antiqua" w:hAnsi="Book Antiqua" w:cs="Times New Roman"/>
          <w:b/>
          <w:sz w:val="24"/>
          <w:szCs w:val="24"/>
        </w:rPr>
        <w:t>Zhu</w:t>
      </w:r>
      <w:r w:rsidRPr="00814BF6">
        <w:rPr>
          <w:rFonts w:ascii="Book Antiqua" w:hAnsi="Book Antiqua" w:cs="Times New Roman"/>
          <w:b/>
          <w:sz w:val="24"/>
          <w:szCs w:val="24"/>
          <w:lang w:eastAsia="zh-CN"/>
        </w:rPr>
        <w:t>,</w:t>
      </w:r>
      <w:r w:rsidRPr="00814BF6">
        <w:rPr>
          <w:rFonts w:ascii="Book Antiqua" w:hAnsi="Book Antiqua" w:cs="Times New Roman"/>
          <w:b/>
          <w:sz w:val="24"/>
          <w:szCs w:val="24"/>
        </w:rPr>
        <w:t xml:space="preserve"> </w:t>
      </w:r>
      <w:r w:rsidRPr="00814BF6">
        <w:rPr>
          <w:rFonts w:ascii="Book Antiqua" w:eastAsia="Times New Roman" w:hAnsi="Book Antiqua" w:cs="Times New Roman"/>
          <w:b/>
          <w:sz w:val="24"/>
          <w:szCs w:val="24"/>
          <w:lang w:eastAsia="zh-CN"/>
        </w:rPr>
        <w:t>Xi</w:t>
      </w:r>
      <w:r w:rsidR="00D80EE7" w:rsidRPr="00814BF6">
        <w:rPr>
          <w:rFonts w:ascii="Book Antiqua" w:eastAsia="Times New Roman" w:hAnsi="Book Antiqua" w:cs="Times New Roman"/>
          <w:b/>
          <w:sz w:val="24"/>
          <w:szCs w:val="24"/>
          <w:lang w:eastAsia="zh-CN"/>
        </w:rPr>
        <w:t>l</w:t>
      </w:r>
      <w:r w:rsidRPr="00814BF6">
        <w:rPr>
          <w:rFonts w:ascii="Book Antiqua" w:eastAsia="Times New Roman" w:hAnsi="Book Antiqua" w:cs="Times New Roman"/>
          <w:b/>
          <w:sz w:val="24"/>
          <w:szCs w:val="24"/>
          <w:lang w:eastAsia="zh-CN"/>
        </w:rPr>
        <w:t>in Chen</w:t>
      </w:r>
      <w:r w:rsidR="00DD4871" w:rsidRPr="00814BF6">
        <w:rPr>
          <w:rFonts w:ascii="Book Antiqua" w:hAnsi="Book Antiqua" w:cs="Times New Roman"/>
          <w:b/>
          <w:sz w:val="24"/>
          <w:szCs w:val="24"/>
          <w:lang w:eastAsia="zh-CN"/>
        </w:rPr>
        <w:t xml:space="preserve">, </w:t>
      </w:r>
      <w:r w:rsidR="00DD4871" w:rsidRPr="00814BF6">
        <w:rPr>
          <w:rFonts w:ascii="Book Antiqua" w:eastAsia="Times New Roman" w:hAnsi="Book Antiqua" w:cs="Times New Roman"/>
          <w:b/>
          <w:sz w:val="24"/>
          <w:szCs w:val="24"/>
        </w:rPr>
        <w:t>Phillip D Price</w:t>
      </w:r>
    </w:p>
    <w:p w14:paraId="29EA8F37" w14:textId="77777777" w:rsidR="00970BDE" w:rsidRPr="00814BF6" w:rsidRDefault="00970BDE" w:rsidP="00814BF6">
      <w:pPr>
        <w:spacing w:after="0" w:line="360" w:lineRule="auto"/>
        <w:contextualSpacing/>
        <w:jc w:val="both"/>
        <w:rPr>
          <w:rFonts w:ascii="Book Antiqua" w:hAnsi="Book Antiqua" w:cs="Times New Roman"/>
          <w:sz w:val="24"/>
          <w:szCs w:val="24"/>
          <w:lang w:eastAsia="zh-CN"/>
        </w:rPr>
      </w:pPr>
    </w:p>
    <w:p w14:paraId="2684EBBA" w14:textId="77777777" w:rsidR="00970BDE" w:rsidRPr="00814BF6" w:rsidRDefault="00970BDE" w:rsidP="00814BF6">
      <w:pPr>
        <w:spacing w:after="0" w:line="360" w:lineRule="auto"/>
        <w:contextualSpacing/>
        <w:jc w:val="both"/>
        <w:rPr>
          <w:rFonts w:ascii="Book Antiqua" w:hAnsi="Book Antiqua" w:cs="Times New Roman"/>
          <w:b/>
          <w:sz w:val="24"/>
          <w:szCs w:val="24"/>
          <w:lang w:eastAsia="zh-CN"/>
        </w:rPr>
      </w:pPr>
      <w:r w:rsidRPr="00814BF6">
        <w:rPr>
          <w:rFonts w:ascii="Book Antiqua" w:hAnsi="Book Antiqua" w:cs="Times New Roman"/>
          <w:b/>
          <w:sz w:val="24"/>
          <w:szCs w:val="24"/>
        </w:rPr>
        <w:t>Ming Zeng, Fernando N Aguila,</w:t>
      </w:r>
      <w:r w:rsidRPr="00814BF6">
        <w:rPr>
          <w:rFonts w:ascii="Book Antiqua" w:hAnsi="Book Antiqua" w:cs="Times New Roman"/>
          <w:b/>
          <w:sz w:val="24"/>
          <w:szCs w:val="24"/>
          <w:vertAlign w:val="superscript"/>
        </w:rPr>
        <w:t xml:space="preserve"> </w:t>
      </w:r>
      <w:r w:rsidRPr="00814BF6">
        <w:rPr>
          <w:rFonts w:ascii="Book Antiqua" w:hAnsi="Book Antiqua" w:cs="Times New Roman"/>
          <w:b/>
          <w:sz w:val="24"/>
          <w:szCs w:val="24"/>
        </w:rPr>
        <w:t>Tara Patel,</w:t>
      </w:r>
      <w:r w:rsidRPr="00814BF6">
        <w:rPr>
          <w:rFonts w:ascii="Book Antiqua" w:hAnsi="Book Antiqua" w:cs="Times New Roman"/>
          <w:b/>
          <w:sz w:val="24"/>
          <w:szCs w:val="24"/>
          <w:vertAlign w:val="superscript"/>
        </w:rPr>
        <w:t xml:space="preserve"> </w:t>
      </w:r>
      <w:r w:rsidRPr="00814BF6">
        <w:rPr>
          <w:rFonts w:ascii="Book Antiqua" w:hAnsi="Book Antiqua" w:cs="Times New Roman"/>
          <w:b/>
          <w:sz w:val="24"/>
          <w:szCs w:val="24"/>
        </w:rPr>
        <w:t>Mark Knapp, Xue</w:t>
      </w:r>
      <w:r w:rsidR="00D80EE7" w:rsidRPr="00814BF6">
        <w:rPr>
          <w:rFonts w:ascii="Book Antiqua" w:hAnsi="Book Antiqua" w:cs="Times New Roman"/>
          <w:b/>
          <w:sz w:val="24"/>
          <w:szCs w:val="24"/>
        </w:rPr>
        <w:t>q</w:t>
      </w:r>
      <w:r w:rsidRPr="00814BF6">
        <w:rPr>
          <w:rFonts w:ascii="Book Antiqua" w:hAnsi="Book Antiqua" w:cs="Times New Roman"/>
          <w:b/>
          <w:sz w:val="24"/>
          <w:szCs w:val="24"/>
        </w:rPr>
        <w:t>i</w:t>
      </w:r>
      <w:r w:rsidRPr="00814BF6">
        <w:rPr>
          <w:rFonts w:ascii="Book Antiqua" w:hAnsi="Book Antiqua" w:cs="Times New Roman"/>
          <w:b/>
          <w:sz w:val="24"/>
          <w:szCs w:val="24"/>
          <w:lang w:eastAsia="zh-CN"/>
        </w:rPr>
        <w:t>a</w:t>
      </w:r>
      <w:r w:rsidRPr="00814BF6">
        <w:rPr>
          <w:rFonts w:ascii="Book Antiqua" w:hAnsi="Book Antiqua" w:cs="Times New Roman"/>
          <w:b/>
          <w:sz w:val="24"/>
          <w:szCs w:val="24"/>
        </w:rPr>
        <w:t>ng</w:t>
      </w:r>
      <w:r w:rsidRPr="00814BF6">
        <w:rPr>
          <w:rFonts w:ascii="Book Antiqua" w:hAnsi="Book Antiqua" w:cs="Times New Roman"/>
          <w:b/>
          <w:sz w:val="24"/>
          <w:szCs w:val="24"/>
          <w:lang w:eastAsia="zh-CN"/>
        </w:rPr>
        <w:t xml:space="preserve"> </w:t>
      </w:r>
      <w:r w:rsidRPr="00814BF6">
        <w:rPr>
          <w:rFonts w:ascii="Book Antiqua" w:hAnsi="Book Antiqua" w:cs="Times New Roman"/>
          <w:b/>
          <w:sz w:val="24"/>
          <w:szCs w:val="24"/>
        </w:rPr>
        <w:t>Zhu</w:t>
      </w:r>
      <w:r w:rsidRPr="00814BF6">
        <w:rPr>
          <w:rFonts w:ascii="Book Antiqua" w:hAnsi="Book Antiqua" w:cs="Times New Roman"/>
          <w:b/>
          <w:sz w:val="24"/>
          <w:szCs w:val="24"/>
          <w:lang w:eastAsia="zh-CN"/>
        </w:rPr>
        <w:t>,</w:t>
      </w:r>
      <w:r w:rsidRPr="00814BF6">
        <w:rPr>
          <w:rFonts w:ascii="Book Antiqua" w:hAnsi="Book Antiqua" w:cs="Times New Roman"/>
          <w:b/>
          <w:sz w:val="24"/>
          <w:szCs w:val="24"/>
        </w:rPr>
        <w:t xml:space="preserve"> </w:t>
      </w:r>
      <w:r w:rsidRPr="00814BF6">
        <w:rPr>
          <w:rFonts w:ascii="Book Antiqua" w:eastAsia="Times New Roman" w:hAnsi="Book Antiqua" w:cs="Times New Roman"/>
          <w:b/>
          <w:sz w:val="24"/>
          <w:szCs w:val="24"/>
          <w:lang w:eastAsia="zh-CN"/>
        </w:rPr>
        <w:t>Xi</w:t>
      </w:r>
      <w:r w:rsidR="00D80EE7" w:rsidRPr="00814BF6">
        <w:rPr>
          <w:rFonts w:ascii="Book Antiqua" w:eastAsia="Times New Roman" w:hAnsi="Book Antiqua" w:cs="Times New Roman"/>
          <w:b/>
          <w:sz w:val="24"/>
          <w:szCs w:val="24"/>
          <w:lang w:eastAsia="zh-CN"/>
        </w:rPr>
        <w:t>l</w:t>
      </w:r>
      <w:r w:rsidRPr="00814BF6">
        <w:rPr>
          <w:rFonts w:ascii="Book Antiqua" w:eastAsia="Times New Roman" w:hAnsi="Book Antiqua" w:cs="Times New Roman"/>
          <w:b/>
          <w:sz w:val="24"/>
          <w:szCs w:val="24"/>
          <w:lang w:eastAsia="zh-CN"/>
        </w:rPr>
        <w:t>in Chen</w:t>
      </w:r>
      <w:r w:rsidRPr="00814BF6">
        <w:rPr>
          <w:rFonts w:ascii="Book Antiqua" w:hAnsi="Book Antiqua" w:cs="Times New Roman"/>
          <w:b/>
          <w:sz w:val="24"/>
          <w:szCs w:val="24"/>
          <w:lang w:eastAsia="zh-CN"/>
        </w:rPr>
        <w:t xml:space="preserve">, </w:t>
      </w:r>
      <w:r w:rsidRPr="00814BF6">
        <w:rPr>
          <w:rFonts w:ascii="Book Antiqua" w:eastAsia="Times New Roman" w:hAnsi="Book Antiqua" w:cs="Times New Roman"/>
          <w:b/>
          <w:sz w:val="24"/>
          <w:szCs w:val="24"/>
        </w:rPr>
        <w:t>Phillip D Price</w:t>
      </w:r>
      <w:r w:rsidRPr="00814BF6">
        <w:rPr>
          <w:rFonts w:ascii="Book Antiqua" w:hAnsi="Book Antiqua" w:cs="Times New Roman"/>
          <w:b/>
          <w:sz w:val="24"/>
          <w:szCs w:val="24"/>
          <w:lang w:eastAsia="zh-CN"/>
        </w:rPr>
        <w:t xml:space="preserve"> </w:t>
      </w:r>
      <w:r w:rsidRPr="004701F9">
        <w:rPr>
          <w:rFonts w:ascii="Book Antiqua" w:hAnsi="Book Antiqua" w:cs="Times New Roman"/>
          <w:b/>
          <w:sz w:val="24"/>
          <w:szCs w:val="24"/>
          <w:lang w:eastAsia="zh-CN"/>
        </w:rPr>
        <w:t>(</w:t>
      </w:r>
      <w:r w:rsidRPr="004701F9">
        <w:rPr>
          <w:rFonts w:ascii="Book Antiqua" w:eastAsia="Times New Roman" w:hAnsi="Book Antiqua" w:cs="Times New Roman"/>
          <w:b/>
          <w:sz w:val="24"/>
          <w:szCs w:val="24"/>
        </w:rPr>
        <w:t>deceased</w:t>
      </w:r>
      <w:r w:rsidRPr="004701F9">
        <w:rPr>
          <w:rFonts w:ascii="Book Antiqua" w:hAnsi="Book Antiqua" w:cs="Times New Roman"/>
          <w:b/>
          <w:sz w:val="24"/>
          <w:szCs w:val="24"/>
          <w:lang w:eastAsia="zh-CN"/>
        </w:rPr>
        <w:t xml:space="preserve">), </w:t>
      </w:r>
      <w:r w:rsidRPr="00814BF6">
        <w:rPr>
          <w:rFonts w:ascii="Book Antiqua" w:eastAsia="Times New Roman" w:hAnsi="Book Antiqua" w:cs="Times New Roman"/>
          <w:sz w:val="24"/>
          <w:szCs w:val="24"/>
        </w:rPr>
        <w:t>Department of Radiation Oncology,</w:t>
      </w:r>
      <w:r w:rsidRPr="00814BF6">
        <w:rPr>
          <w:rFonts w:ascii="Book Antiqua" w:hAnsi="Book Antiqua" w:cs="Times New Roman"/>
          <w:sz w:val="24"/>
          <w:szCs w:val="24"/>
          <w:lang w:eastAsia="zh-CN"/>
        </w:rPr>
        <w:t xml:space="preserve"> </w:t>
      </w:r>
      <w:r w:rsidRPr="00814BF6">
        <w:rPr>
          <w:rFonts w:ascii="Book Antiqua" w:hAnsi="Book Antiqua" w:cs="Times New Roman"/>
          <w:sz w:val="24"/>
          <w:szCs w:val="24"/>
        </w:rPr>
        <w:t xml:space="preserve">Mount Carmel Health System, Columbus, </w:t>
      </w:r>
      <w:r w:rsidRPr="00814BF6">
        <w:rPr>
          <w:rFonts w:ascii="Book Antiqua" w:eastAsia="Times New Roman" w:hAnsi="Book Antiqua" w:cs="Times New Roman"/>
          <w:sz w:val="24"/>
          <w:szCs w:val="24"/>
        </w:rPr>
        <w:t>O</w:t>
      </w:r>
      <w:r w:rsidRPr="00814BF6">
        <w:rPr>
          <w:rFonts w:ascii="Book Antiqua" w:hAnsi="Book Antiqua" w:cs="Times New Roman"/>
          <w:sz w:val="24"/>
          <w:szCs w:val="24"/>
          <w:lang w:eastAsia="zh-CN"/>
        </w:rPr>
        <w:t>H 43219</w:t>
      </w:r>
      <w:r w:rsidRPr="00814BF6">
        <w:rPr>
          <w:rFonts w:ascii="Book Antiqua" w:eastAsia="Times New Roman" w:hAnsi="Book Antiqua" w:cs="Times New Roman"/>
          <w:sz w:val="24"/>
          <w:szCs w:val="24"/>
        </w:rPr>
        <w:t>, U</w:t>
      </w:r>
      <w:r w:rsidRPr="00814BF6">
        <w:rPr>
          <w:rFonts w:ascii="Book Antiqua" w:hAnsi="Book Antiqua" w:cs="Times New Roman"/>
          <w:sz w:val="24"/>
          <w:szCs w:val="24"/>
          <w:lang w:eastAsia="zh-CN"/>
        </w:rPr>
        <w:t xml:space="preserve">nited </w:t>
      </w:r>
      <w:r w:rsidRPr="00814BF6">
        <w:rPr>
          <w:rFonts w:ascii="Book Antiqua" w:eastAsia="Times New Roman" w:hAnsi="Book Antiqua" w:cs="Times New Roman"/>
          <w:sz w:val="24"/>
          <w:szCs w:val="24"/>
        </w:rPr>
        <w:t>S</w:t>
      </w:r>
      <w:r w:rsidRPr="00814BF6">
        <w:rPr>
          <w:rFonts w:ascii="Book Antiqua" w:hAnsi="Book Antiqua" w:cs="Times New Roman"/>
          <w:sz w:val="24"/>
          <w:szCs w:val="24"/>
          <w:lang w:eastAsia="zh-CN"/>
        </w:rPr>
        <w:t>tates</w:t>
      </w:r>
    </w:p>
    <w:p w14:paraId="545401A1" w14:textId="77777777" w:rsidR="00970BDE" w:rsidRPr="00814BF6" w:rsidRDefault="00970BDE" w:rsidP="00814BF6">
      <w:pPr>
        <w:spacing w:after="0" w:line="360" w:lineRule="auto"/>
        <w:contextualSpacing/>
        <w:jc w:val="both"/>
        <w:rPr>
          <w:rFonts w:ascii="Book Antiqua" w:hAnsi="Book Antiqua" w:cs="Times New Roman"/>
          <w:sz w:val="24"/>
          <w:szCs w:val="24"/>
          <w:vertAlign w:val="superscript"/>
          <w:lang w:eastAsia="zh-CN"/>
        </w:rPr>
      </w:pPr>
    </w:p>
    <w:p w14:paraId="35CF6D22" w14:textId="77777777" w:rsidR="00564689" w:rsidRPr="00814BF6" w:rsidRDefault="00970BDE" w:rsidP="00814BF6">
      <w:pPr>
        <w:spacing w:after="0" w:line="360" w:lineRule="auto"/>
        <w:contextualSpacing/>
        <w:jc w:val="both"/>
        <w:rPr>
          <w:rFonts w:ascii="Book Antiqua" w:hAnsi="Book Antiqua" w:cs="Times New Roman"/>
          <w:sz w:val="24"/>
          <w:szCs w:val="24"/>
          <w:lang w:eastAsia="zh-CN"/>
        </w:rPr>
      </w:pPr>
      <w:r w:rsidRPr="00814BF6">
        <w:rPr>
          <w:rFonts w:ascii="Book Antiqua" w:hAnsi="Book Antiqua" w:cs="Times New Roman"/>
          <w:b/>
          <w:sz w:val="24"/>
          <w:szCs w:val="24"/>
        </w:rPr>
        <w:t>Ming Zeng,</w:t>
      </w:r>
      <w:r w:rsidRPr="00814BF6">
        <w:rPr>
          <w:rFonts w:ascii="Book Antiqua" w:hAnsi="Book Antiqua" w:cs="Times New Roman"/>
          <w:b/>
          <w:sz w:val="24"/>
          <w:szCs w:val="24"/>
          <w:lang w:eastAsia="zh-CN"/>
        </w:rPr>
        <w:t xml:space="preserve"> </w:t>
      </w:r>
      <w:r w:rsidRPr="00814BF6">
        <w:rPr>
          <w:rFonts w:ascii="Book Antiqua" w:hAnsi="Book Antiqua" w:cs="Times New Roman"/>
          <w:b/>
          <w:sz w:val="24"/>
          <w:szCs w:val="24"/>
        </w:rPr>
        <w:t>Xue</w:t>
      </w:r>
      <w:r w:rsidR="00D80EE7" w:rsidRPr="00814BF6">
        <w:rPr>
          <w:rFonts w:ascii="Book Antiqua" w:hAnsi="Book Antiqua" w:cs="Times New Roman"/>
          <w:b/>
          <w:sz w:val="24"/>
          <w:szCs w:val="24"/>
        </w:rPr>
        <w:t>q</w:t>
      </w:r>
      <w:r w:rsidRPr="00814BF6">
        <w:rPr>
          <w:rFonts w:ascii="Book Antiqua" w:hAnsi="Book Antiqua" w:cs="Times New Roman"/>
          <w:b/>
          <w:sz w:val="24"/>
          <w:szCs w:val="24"/>
        </w:rPr>
        <w:t>i</w:t>
      </w:r>
      <w:r w:rsidRPr="00814BF6">
        <w:rPr>
          <w:rFonts w:ascii="Book Antiqua" w:hAnsi="Book Antiqua" w:cs="Times New Roman"/>
          <w:b/>
          <w:sz w:val="24"/>
          <w:szCs w:val="24"/>
          <w:lang w:eastAsia="zh-CN"/>
        </w:rPr>
        <w:t>a</w:t>
      </w:r>
      <w:r w:rsidRPr="00814BF6">
        <w:rPr>
          <w:rFonts w:ascii="Book Antiqua" w:hAnsi="Book Antiqua" w:cs="Times New Roman"/>
          <w:b/>
          <w:sz w:val="24"/>
          <w:szCs w:val="24"/>
        </w:rPr>
        <w:t>ng</w:t>
      </w:r>
      <w:r w:rsidRPr="00814BF6">
        <w:rPr>
          <w:rFonts w:ascii="Book Antiqua" w:hAnsi="Book Antiqua" w:cs="Times New Roman"/>
          <w:b/>
          <w:sz w:val="24"/>
          <w:szCs w:val="24"/>
          <w:lang w:eastAsia="zh-CN"/>
        </w:rPr>
        <w:t xml:space="preserve"> </w:t>
      </w:r>
      <w:r w:rsidRPr="00814BF6">
        <w:rPr>
          <w:rFonts w:ascii="Book Antiqua" w:hAnsi="Book Antiqua" w:cs="Times New Roman"/>
          <w:b/>
          <w:sz w:val="24"/>
          <w:szCs w:val="24"/>
        </w:rPr>
        <w:t>Zhu</w:t>
      </w:r>
      <w:r w:rsidRPr="00814BF6">
        <w:rPr>
          <w:rFonts w:ascii="Book Antiqua" w:hAnsi="Book Antiqua" w:cs="Times New Roman"/>
          <w:b/>
          <w:sz w:val="24"/>
          <w:szCs w:val="24"/>
          <w:lang w:eastAsia="zh-CN"/>
        </w:rPr>
        <w:t xml:space="preserve">, </w:t>
      </w:r>
      <w:r w:rsidR="0014384F" w:rsidRPr="00814BF6">
        <w:rPr>
          <w:rFonts w:ascii="Book Antiqua" w:eastAsia="Times New Roman" w:hAnsi="Book Antiqua" w:cs="Times New Roman"/>
          <w:sz w:val="24"/>
          <w:szCs w:val="24"/>
        </w:rPr>
        <w:t>Cancer Center</w:t>
      </w:r>
      <w:r w:rsidRPr="00814BF6">
        <w:rPr>
          <w:rFonts w:ascii="Book Antiqua" w:eastAsia="宋体" w:hAnsi="Book Antiqua" w:cs="Times New Roman"/>
          <w:sz w:val="24"/>
          <w:szCs w:val="24"/>
          <w:lang w:eastAsia="zh-CN"/>
        </w:rPr>
        <w:t>,</w:t>
      </w:r>
      <w:r w:rsidR="00564689" w:rsidRPr="00814BF6">
        <w:rPr>
          <w:rFonts w:ascii="Book Antiqua" w:eastAsia="Times New Roman" w:hAnsi="Book Antiqua" w:cs="Times New Roman"/>
          <w:sz w:val="24"/>
          <w:szCs w:val="24"/>
        </w:rPr>
        <w:t xml:space="preserve"> </w:t>
      </w:r>
      <w:r w:rsidR="00586F29" w:rsidRPr="00814BF6">
        <w:rPr>
          <w:rFonts w:ascii="Book Antiqua" w:eastAsia="Times New Roman" w:hAnsi="Book Antiqua" w:cs="Times New Roman"/>
          <w:sz w:val="24"/>
          <w:szCs w:val="24"/>
        </w:rPr>
        <w:t>Sichuan Academy of Medical Sciences</w:t>
      </w:r>
      <w:r w:rsidR="0014384F" w:rsidRPr="00814BF6">
        <w:rPr>
          <w:rFonts w:ascii="Book Antiqua" w:eastAsia="Times New Roman" w:hAnsi="Book Antiqua" w:cs="Times New Roman"/>
          <w:sz w:val="24"/>
          <w:szCs w:val="24"/>
        </w:rPr>
        <w:t>, Sichuan</w:t>
      </w:r>
      <w:r w:rsidR="00586F29" w:rsidRPr="00814BF6">
        <w:rPr>
          <w:rFonts w:ascii="Book Antiqua" w:eastAsia="Times New Roman" w:hAnsi="Book Antiqua" w:cs="Times New Roman"/>
          <w:sz w:val="24"/>
          <w:szCs w:val="24"/>
        </w:rPr>
        <w:t xml:space="preserve"> Provi</w:t>
      </w:r>
      <w:r w:rsidR="0014384F" w:rsidRPr="00814BF6">
        <w:rPr>
          <w:rFonts w:ascii="Book Antiqua" w:eastAsia="Times New Roman" w:hAnsi="Book Antiqua" w:cs="Times New Roman"/>
          <w:sz w:val="24"/>
          <w:szCs w:val="24"/>
        </w:rPr>
        <w:t>n</w:t>
      </w:r>
      <w:r w:rsidR="00586F29" w:rsidRPr="00814BF6">
        <w:rPr>
          <w:rFonts w:ascii="Book Antiqua" w:eastAsia="Times New Roman" w:hAnsi="Book Antiqua" w:cs="Times New Roman"/>
          <w:sz w:val="24"/>
          <w:szCs w:val="24"/>
        </w:rPr>
        <w:t>cial Hospital</w:t>
      </w:r>
      <w:r w:rsidR="00564689" w:rsidRPr="00814BF6">
        <w:rPr>
          <w:rFonts w:ascii="Book Antiqua" w:eastAsia="Times New Roman" w:hAnsi="Book Antiqua" w:cs="Times New Roman"/>
          <w:sz w:val="24"/>
          <w:szCs w:val="24"/>
        </w:rPr>
        <w:t xml:space="preserve"> Chengdu</w:t>
      </w:r>
      <w:r w:rsidR="00FB2B2A" w:rsidRPr="00814BF6">
        <w:rPr>
          <w:rFonts w:ascii="Book Antiqua" w:hAnsi="Book Antiqua" w:cs="Times New Roman"/>
          <w:sz w:val="24"/>
          <w:szCs w:val="24"/>
          <w:lang w:eastAsia="zh-CN"/>
        </w:rPr>
        <w:t xml:space="preserve"> </w:t>
      </w:r>
      <w:r w:rsidR="00FB2B2A" w:rsidRPr="00814BF6">
        <w:rPr>
          <w:rFonts w:ascii="Book Antiqua" w:eastAsia="Times New Roman" w:hAnsi="Book Antiqua" w:cs="Times New Roman"/>
          <w:sz w:val="24"/>
          <w:szCs w:val="24"/>
        </w:rPr>
        <w:t>610072</w:t>
      </w:r>
      <w:r w:rsidR="00564689" w:rsidRPr="00814BF6">
        <w:rPr>
          <w:rFonts w:ascii="Book Antiqua" w:eastAsia="Times New Roman" w:hAnsi="Book Antiqua" w:cs="Times New Roman"/>
          <w:sz w:val="24"/>
          <w:szCs w:val="24"/>
        </w:rPr>
        <w:t>, Sichuan</w:t>
      </w:r>
      <w:r w:rsidR="00FB2B2A" w:rsidRPr="00814BF6">
        <w:rPr>
          <w:rFonts w:ascii="Book Antiqua" w:hAnsi="Book Antiqua" w:cs="Times New Roman"/>
          <w:sz w:val="24"/>
          <w:szCs w:val="24"/>
          <w:lang w:eastAsia="zh-CN"/>
        </w:rPr>
        <w:t xml:space="preserve"> Province</w:t>
      </w:r>
      <w:r w:rsidR="00564689" w:rsidRPr="00814BF6">
        <w:rPr>
          <w:rFonts w:ascii="Book Antiqua" w:eastAsia="Times New Roman" w:hAnsi="Book Antiqua" w:cs="Times New Roman"/>
          <w:sz w:val="24"/>
          <w:szCs w:val="24"/>
        </w:rPr>
        <w:t>, China</w:t>
      </w:r>
    </w:p>
    <w:p w14:paraId="719A7D8D" w14:textId="77777777" w:rsidR="00970BDE" w:rsidRPr="00814BF6" w:rsidRDefault="00970BDE" w:rsidP="00814BF6">
      <w:pPr>
        <w:spacing w:after="0" w:line="360" w:lineRule="auto"/>
        <w:contextualSpacing/>
        <w:jc w:val="both"/>
        <w:rPr>
          <w:rFonts w:ascii="Book Antiqua" w:hAnsi="Book Antiqua" w:cs="Times New Roman"/>
          <w:sz w:val="24"/>
          <w:szCs w:val="24"/>
          <w:lang w:eastAsia="zh-CN"/>
        </w:rPr>
      </w:pPr>
    </w:p>
    <w:p w14:paraId="4ECF8002" w14:textId="77777777" w:rsidR="00970BDE" w:rsidRPr="00814BF6" w:rsidRDefault="00970BDE" w:rsidP="00814BF6">
      <w:pPr>
        <w:spacing w:after="0" w:line="360" w:lineRule="auto"/>
        <w:contextualSpacing/>
        <w:jc w:val="both"/>
        <w:rPr>
          <w:rFonts w:ascii="Book Antiqua" w:hAnsi="Book Antiqua" w:cs="Times New Roman"/>
          <w:sz w:val="24"/>
          <w:szCs w:val="24"/>
          <w:lang w:eastAsia="zh-CN"/>
        </w:rPr>
      </w:pPr>
      <w:r w:rsidRPr="00814BF6">
        <w:rPr>
          <w:rFonts w:ascii="Book Antiqua" w:hAnsi="Book Antiqua" w:cs="Times New Roman"/>
          <w:b/>
          <w:sz w:val="24"/>
          <w:szCs w:val="24"/>
        </w:rPr>
        <w:t>Ming Zeng,</w:t>
      </w:r>
      <w:r w:rsidRPr="00814BF6">
        <w:rPr>
          <w:rFonts w:ascii="Book Antiqua" w:hAnsi="Book Antiqua" w:cs="Times New Roman"/>
          <w:b/>
          <w:sz w:val="24"/>
          <w:szCs w:val="24"/>
          <w:lang w:eastAsia="zh-CN"/>
        </w:rPr>
        <w:t xml:space="preserve"> </w:t>
      </w:r>
      <w:r w:rsidRPr="00814BF6">
        <w:rPr>
          <w:rFonts w:ascii="Book Antiqua" w:eastAsia="Times New Roman" w:hAnsi="Book Antiqua" w:cs="Times New Roman"/>
          <w:b/>
          <w:sz w:val="24"/>
          <w:szCs w:val="24"/>
          <w:lang w:eastAsia="zh-CN"/>
        </w:rPr>
        <w:t>Xi</w:t>
      </w:r>
      <w:r w:rsidR="00D80EE7" w:rsidRPr="00814BF6">
        <w:rPr>
          <w:rFonts w:ascii="Book Antiqua" w:eastAsia="Times New Roman" w:hAnsi="Book Antiqua" w:cs="Times New Roman"/>
          <w:b/>
          <w:sz w:val="24"/>
          <w:szCs w:val="24"/>
          <w:lang w:eastAsia="zh-CN"/>
        </w:rPr>
        <w:t>l</w:t>
      </w:r>
      <w:r w:rsidRPr="00814BF6">
        <w:rPr>
          <w:rFonts w:ascii="Book Antiqua" w:eastAsia="Times New Roman" w:hAnsi="Book Antiqua" w:cs="Times New Roman"/>
          <w:b/>
          <w:sz w:val="24"/>
          <w:szCs w:val="24"/>
          <w:lang w:eastAsia="zh-CN"/>
        </w:rPr>
        <w:t>in Chen</w:t>
      </w:r>
      <w:r w:rsidRPr="00814BF6">
        <w:rPr>
          <w:rFonts w:ascii="Book Antiqua" w:hAnsi="Book Antiqua" w:cs="Times New Roman"/>
          <w:b/>
          <w:sz w:val="24"/>
          <w:szCs w:val="24"/>
          <w:lang w:eastAsia="zh-CN"/>
        </w:rPr>
        <w:t xml:space="preserve">, </w:t>
      </w:r>
      <w:r w:rsidRPr="00814BF6">
        <w:rPr>
          <w:rFonts w:ascii="Book Antiqua" w:eastAsia="Times New Roman" w:hAnsi="Book Antiqua" w:cs="Times New Roman"/>
          <w:sz w:val="24"/>
          <w:szCs w:val="24"/>
        </w:rPr>
        <w:t>Department of Radiation Oncology, Mount Carmel Health System, Columbus, O</w:t>
      </w:r>
      <w:r w:rsidRPr="00814BF6">
        <w:rPr>
          <w:rFonts w:ascii="Book Antiqua" w:hAnsi="Book Antiqua" w:cs="Times New Roman"/>
          <w:sz w:val="24"/>
          <w:szCs w:val="24"/>
          <w:lang w:eastAsia="zh-CN"/>
        </w:rPr>
        <w:t>H 43219</w:t>
      </w:r>
      <w:r w:rsidRPr="00814BF6">
        <w:rPr>
          <w:rFonts w:ascii="Book Antiqua" w:eastAsia="Times New Roman" w:hAnsi="Book Antiqua" w:cs="Times New Roman"/>
          <w:sz w:val="24"/>
          <w:szCs w:val="24"/>
        </w:rPr>
        <w:t>, U</w:t>
      </w:r>
      <w:r w:rsidRPr="00814BF6">
        <w:rPr>
          <w:rFonts w:ascii="Book Antiqua" w:hAnsi="Book Antiqua" w:cs="Times New Roman"/>
          <w:sz w:val="24"/>
          <w:szCs w:val="24"/>
          <w:lang w:eastAsia="zh-CN"/>
        </w:rPr>
        <w:t xml:space="preserve">nited </w:t>
      </w:r>
      <w:r w:rsidRPr="00814BF6">
        <w:rPr>
          <w:rFonts w:ascii="Book Antiqua" w:eastAsia="Times New Roman" w:hAnsi="Book Antiqua" w:cs="Times New Roman"/>
          <w:sz w:val="24"/>
          <w:szCs w:val="24"/>
        </w:rPr>
        <w:t>S</w:t>
      </w:r>
      <w:r w:rsidRPr="00814BF6">
        <w:rPr>
          <w:rFonts w:ascii="Book Antiqua" w:hAnsi="Book Antiqua" w:cs="Times New Roman"/>
          <w:sz w:val="24"/>
          <w:szCs w:val="24"/>
          <w:lang w:eastAsia="zh-CN"/>
        </w:rPr>
        <w:t>tates</w:t>
      </w:r>
    </w:p>
    <w:p w14:paraId="096EBB40" w14:textId="77777777" w:rsidR="00970BDE" w:rsidRPr="00814BF6" w:rsidRDefault="00970BDE" w:rsidP="00814BF6">
      <w:pPr>
        <w:spacing w:after="0" w:line="360" w:lineRule="auto"/>
        <w:contextualSpacing/>
        <w:jc w:val="both"/>
        <w:rPr>
          <w:rFonts w:ascii="Book Antiqua" w:eastAsia="Times New Roman" w:hAnsi="Book Antiqua" w:cs="Times New Roman"/>
          <w:sz w:val="24"/>
          <w:szCs w:val="24"/>
        </w:rPr>
      </w:pPr>
    </w:p>
    <w:p w14:paraId="781236A7" w14:textId="77777777" w:rsidR="00DD4871" w:rsidRPr="00814BF6" w:rsidRDefault="00970BDE" w:rsidP="00814BF6">
      <w:pPr>
        <w:spacing w:after="0" w:line="360" w:lineRule="auto"/>
        <w:contextualSpacing/>
        <w:jc w:val="both"/>
        <w:rPr>
          <w:rFonts w:ascii="Book Antiqua" w:hAnsi="Book Antiqua" w:cs="Times New Roman"/>
          <w:sz w:val="24"/>
          <w:szCs w:val="24"/>
          <w:lang w:eastAsia="zh-CN"/>
        </w:rPr>
      </w:pPr>
      <w:r w:rsidRPr="00814BF6">
        <w:rPr>
          <w:rFonts w:ascii="Book Antiqua" w:hAnsi="Book Antiqua" w:cs="Times New Roman"/>
          <w:b/>
          <w:sz w:val="24"/>
          <w:szCs w:val="24"/>
        </w:rPr>
        <w:t>Fernando N Aguila,</w:t>
      </w:r>
      <w:r w:rsidRPr="00814BF6">
        <w:rPr>
          <w:rFonts w:ascii="Book Antiqua" w:hAnsi="Book Antiqua" w:cs="Times New Roman"/>
          <w:b/>
          <w:sz w:val="24"/>
          <w:szCs w:val="24"/>
          <w:vertAlign w:val="superscript"/>
        </w:rPr>
        <w:t xml:space="preserve"> </w:t>
      </w:r>
      <w:r w:rsidR="00564689" w:rsidRPr="00814BF6">
        <w:rPr>
          <w:rFonts w:ascii="Book Antiqua" w:eastAsia="Times New Roman" w:hAnsi="Book Antiqua" w:cs="Times New Roman"/>
          <w:sz w:val="24"/>
          <w:szCs w:val="24"/>
        </w:rPr>
        <w:t xml:space="preserve">Central Ohio Surgical Associates, Inc., Columbus, </w:t>
      </w:r>
      <w:r w:rsidR="00FB2B2A" w:rsidRPr="00814BF6">
        <w:rPr>
          <w:rFonts w:ascii="Book Antiqua" w:eastAsia="Times New Roman" w:hAnsi="Book Antiqua" w:cs="Times New Roman"/>
          <w:sz w:val="24"/>
          <w:szCs w:val="24"/>
        </w:rPr>
        <w:t>O</w:t>
      </w:r>
      <w:r w:rsidR="00FB2B2A" w:rsidRPr="00814BF6">
        <w:rPr>
          <w:rFonts w:ascii="Book Antiqua" w:hAnsi="Book Antiqua" w:cs="Times New Roman"/>
          <w:sz w:val="24"/>
          <w:szCs w:val="24"/>
          <w:lang w:eastAsia="zh-CN"/>
        </w:rPr>
        <w:t>H 43219</w:t>
      </w:r>
      <w:r w:rsidR="00FB2B2A" w:rsidRPr="00814BF6">
        <w:rPr>
          <w:rFonts w:ascii="Book Antiqua" w:eastAsia="Times New Roman" w:hAnsi="Book Antiqua" w:cs="Times New Roman"/>
          <w:sz w:val="24"/>
          <w:szCs w:val="24"/>
        </w:rPr>
        <w:t>, U</w:t>
      </w:r>
      <w:r w:rsidR="00FB2B2A" w:rsidRPr="00814BF6">
        <w:rPr>
          <w:rFonts w:ascii="Book Antiqua" w:hAnsi="Book Antiqua" w:cs="Times New Roman"/>
          <w:sz w:val="24"/>
          <w:szCs w:val="24"/>
          <w:lang w:eastAsia="zh-CN"/>
        </w:rPr>
        <w:t xml:space="preserve">nited </w:t>
      </w:r>
      <w:r w:rsidR="00FB2B2A" w:rsidRPr="00814BF6">
        <w:rPr>
          <w:rFonts w:ascii="Book Antiqua" w:eastAsia="Times New Roman" w:hAnsi="Book Antiqua" w:cs="Times New Roman"/>
          <w:sz w:val="24"/>
          <w:szCs w:val="24"/>
        </w:rPr>
        <w:t>S</w:t>
      </w:r>
      <w:r w:rsidR="00FB2B2A" w:rsidRPr="00814BF6">
        <w:rPr>
          <w:rFonts w:ascii="Book Antiqua" w:hAnsi="Book Antiqua" w:cs="Times New Roman"/>
          <w:sz w:val="24"/>
          <w:szCs w:val="24"/>
          <w:lang w:eastAsia="zh-CN"/>
        </w:rPr>
        <w:t>tates</w:t>
      </w:r>
    </w:p>
    <w:p w14:paraId="6DC78B8B" w14:textId="77777777" w:rsidR="00970BDE" w:rsidRPr="00814BF6" w:rsidRDefault="00970BDE" w:rsidP="00814BF6">
      <w:pPr>
        <w:spacing w:after="0" w:line="360" w:lineRule="auto"/>
        <w:contextualSpacing/>
        <w:jc w:val="both"/>
        <w:rPr>
          <w:rFonts w:ascii="Book Antiqua" w:hAnsi="Book Antiqua" w:cs="Times New Roman"/>
          <w:sz w:val="24"/>
          <w:szCs w:val="24"/>
          <w:lang w:eastAsia="zh-CN"/>
        </w:rPr>
      </w:pPr>
    </w:p>
    <w:p w14:paraId="1B413C79" w14:textId="77777777" w:rsidR="00970BDE" w:rsidRPr="00814BF6" w:rsidRDefault="00970BDE" w:rsidP="00814BF6">
      <w:pPr>
        <w:spacing w:after="0" w:line="360" w:lineRule="auto"/>
        <w:contextualSpacing/>
        <w:jc w:val="both"/>
        <w:rPr>
          <w:rFonts w:ascii="Book Antiqua" w:hAnsi="Book Antiqua" w:cs="Times New Roman"/>
          <w:sz w:val="24"/>
          <w:szCs w:val="24"/>
          <w:lang w:eastAsia="zh-CN"/>
        </w:rPr>
      </w:pPr>
      <w:r w:rsidRPr="00814BF6">
        <w:rPr>
          <w:rFonts w:ascii="Book Antiqua" w:hAnsi="Book Antiqua" w:cs="Times New Roman"/>
          <w:b/>
          <w:sz w:val="24"/>
          <w:szCs w:val="24"/>
        </w:rPr>
        <w:t>Tara Patel,</w:t>
      </w:r>
      <w:r w:rsidRPr="00814BF6">
        <w:rPr>
          <w:rFonts w:ascii="Book Antiqua" w:hAnsi="Book Antiqua" w:cs="Times New Roman"/>
          <w:b/>
          <w:sz w:val="24"/>
          <w:szCs w:val="24"/>
          <w:vertAlign w:val="superscript"/>
        </w:rPr>
        <w:t xml:space="preserve"> </w:t>
      </w:r>
      <w:r w:rsidRPr="00814BF6">
        <w:rPr>
          <w:rFonts w:ascii="Book Antiqua" w:hAnsi="Book Antiqua" w:cs="Times New Roman"/>
          <w:b/>
          <w:sz w:val="24"/>
          <w:szCs w:val="24"/>
        </w:rPr>
        <w:t>Mark Knapp,</w:t>
      </w:r>
      <w:r w:rsidRPr="00814BF6">
        <w:rPr>
          <w:rFonts w:ascii="Book Antiqua" w:hAnsi="Book Antiqua" w:cs="Times New Roman"/>
          <w:b/>
          <w:sz w:val="24"/>
          <w:szCs w:val="24"/>
          <w:lang w:eastAsia="zh-CN"/>
        </w:rPr>
        <w:t xml:space="preserve"> </w:t>
      </w:r>
      <w:r w:rsidRPr="00814BF6">
        <w:rPr>
          <w:rFonts w:ascii="Book Antiqua" w:eastAsia="Times New Roman" w:hAnsi="Book Antiqua" w:cs="Times New Roman"/>
          <w:sz w:val="24"/>
          <w:szCs w:val="24"/>
        </w:rPr>
        <w:t>Department of Hematology and Oncology, Zangmeister Cancer Center, Mount Carmel Health System, Columbus, O</w:t>
      </w:r>
      <w:r w:rsidRPr="00814BF6">
        <w:rPr>
          <w:rFonts w:ascii="Book Antiqua" w:hAnsi="Book Antiqua" w:cs="Times New Roman"/>
          <w:sz w:val="24"/>
          <w:szCs w:val="24"/>
          <w:lang w:eastAsia="zh-CN"/>
        </w:rPr>
        <w:t>H 43219</w:t>
      </w:r>
      <w:r w:rsidRPr="00814BF6">
        <w:rPr>
          <w:rFonts w:ascii="Book Antiqua" w:eastAsia="Times New Roman" w:hAnsi="Book Antiqua" w:cs="Times New Roman"/>
          <w:sz w:val="24"/>
          <w:szCs w:val="24"/>
        </w:rPr>
        <w:t>, U</w:t>
      </w:r>
      <w:r w:rsidRPr="00814BF6">
        <w:rPr>
          <w:rFonts w:ascii="Book Antiqua" w:hAnsi="Book Antiqua" w:cs="Times New Roman"/>
          <w:sz w:val="24"/>
          <w:szCs w:val="24"/>
          <w:lang w:eastAsia="zh-CN"/>
        </w:rPr>
        <w:t xml:space="preserve">nited </w:t>
      </w:r>
      <w:r w:rsidRPr="00814BF6">
        <w:rPr>
          <w:rFonts w:ascii="Book Antiqua" w:eastAsia="Times New Roman" w:hAnsi="Book Antiqua" w:cs="Times New Roman"/>
          <w:sz w:val="24"/>
          <w:szCs w:val="24"/>
        </w:rPr>
        <w:t>S</w:t>
      </w:r>
      <w:r w:rsidRPr="00814BF6">
        <w:rPr>
          <w:rFonts w:ascii="Book Antiqua" w:hAnsi="Book Antiqua" w:cs="Times New Roman"/>
          <w:sz w:val="24"/>
          <w:szCs w:val="24"/>
          <w:lang w:eastAsia="zh-CN"/>
        </w:rPr>
        <w:t>tates</w:t>
      </w:r>
    </w:p>
    <w:p w14:paraId="30B9B3DE" w14:textId="77777777" w:rsidR="00970BDE" w:rsidRPr="00814BF6" w:rsidRDefault="00970BDE" w:rsidP="00814BF6">
      <w:pPr>
        <w:spacing w:after="0" w:line="360" w:lineRule="auto"/>
        <w:contextualSpacing/>
        <w:jc w:val="both"/>
        <w:rPr>
          <w:rFonts w:ascii="Book Antiqua" w:hAnsi="Book Antiqua" w:cs="Times New Roman"/>
          <w:sz w:val="24"/>
          <w:szCs w:val="24"/>
          <w:lang w:eastAsia="zh-CN"/>
        </w:rPr>
      </w:pPr>
    </w:p>
    <w:p w14:paraId="5F36112E" w14:textId="77777777" w:rsidR="00FC57A3" w:rsidRPr="00814BF6" w:rsidRDefault="00970BDE" w:rsidP="00814BF6">
      <w:pPr>
        <w:spacing w:after="0" w:line="360" w:lineRule="auto"/>
        <w:jc w:val="both"/>
        <w:rPr>
          <w:rFonts w:ascii="Book Antiqua" w:hAnsi="Book Antiqua" w:cs="Times New Roman"/>
          <w:sz w:val="24"/>
          <w:szCs w:val="24"/>
          <w:lang w:eastAsia="zh-CN"/>
        </w:rPr>
      </w:pPr>
      <w:r w:rsidRPr="00814BF6">
        <w:rPr>
          <w:rFonts w:ascii="Book Antiqua" w:eastAsia="Times New Roman" w:hAnsi="Book Antiqua" w:cs="Times New Roman"/>
          <w:b/>
          <w:sz w:val="24"/>
          <w:szCs w:val="24"/>
          <w:lang w:eastAsia="zh-CN"/>
        </w:rPr>
        <w:lastRenderedPageBreak/>
        <w:t>Xi</w:t>
      </w:r>
      <w:r w:rsidR="00814BF6" w:rsidRPr="00814BF6">
        <w:rPr>
          <w:rFonts w:ascii="Book Antiqua" w:eastAsia="Times New Roman" w:hAnsi="Book Antiqua" w:cs="Times New Roman"/>
          <w:b/>
          <w:sz w:val="24"/>
          <w:szCs w:val="24"/>
          <w:lang w:eastAsia="zh-CN"/>
        </w:rPr>
        <w:t>l</w:t>
      </w:r>
      <w:r w:rsidRPr="00814BF6">
        <w:rPr>
          <w:rFonts w:ascii="Book Antiqua" w:eastAsia="Times New Roman" w:hAnsi="Book Antiqua" w:cs="Times New Roman"/>
          <w:b/>
          <w:sz w:val="24"/>
          <w:szCs w:val="24"/>
          <w:lang w:eastAsia="zh-CN"/>
        </w:rPr>
        <w:t>in Chen</w:t>
      </w:r>
      <w:r w:rsidRPr="00814BF6">
        <w:rPr>
          <w:rFonts w:ascii="Book Antiqua" w:hAnsi="Book Antiqua" w:cs="Times New Roman"/>
          <w:b/>
          <w:sz w:val="24"/>
          <w:szCs w:val="24"/>
          <w:lang w:eastAsia="zh-CN"/>
        </w:rPr>
        <w:t xml:space="preserve">, </w:t>
      </w:r>
      <w:r w:rsidR="00FC57A3" w:rsidRPr="00814BF6">
        <w:rPr>
          <w:rFonts w:ascii="Book Antiqua" w:eastAsia="Times New Roman" w:hAnsi="Book Antiqua" w:cs="Times New Roman"/>
          <w:sz w:val="24"/>
          <w:szCs w:val="24"/>
          <w:lang w:eastAsia="zh-CN"/>
        </w:rPr>
        <w:t xml:space="preserve">Oncology Department, 307 </w:t>
      </w:r>
      <w:proofErr w:type="gramStart"/>
      <w:r w:rsidR="00FC57A3" w:rsidRPr="00814BF6">
        <w:rPr>
          <w:rFonts w:ascii="Book Antiqua" w:eastAsia="Times New Roman" w:hAnsi="Book Antiqua" w:cs="Times New Roman"/>
          <w:sz w:val="24"/>
          <w:szCs w:val="24"/>
          <w:lang w:eastAsia="zh-CN"/>
        </w:rPr>
        <w:t>Hospital</w:t>
      </w:r>
      <w:proofErr w:type="gramEnd"/>
      <w:r w:rsidR="00FC57A3" w:rsidRPr="00814BF6">
        <w:rPr>
          <w:rFonts w:ascii="Book Antiqua" w:eastAsia="Times New Roman" w:hAnsi="Book Antiqua" w:cs="Times New Roman"/>
          <w:sz w:val="24"/>
          <w:szCs w:val="24"/>
          <w:lang w:eastAsia="zh-CN"/>
        </w:rPr>
        <w:t>, Beijing 100071, China</w:t>
      </w:r>
    </w:p>
    <w:p w14:paraId="383E0121" w14:textId="77777777" w:rsidR="00970BDE" w:rsidRPr="00814BF6" w:rsidRDefault="00970BDE" w:rsidP="00814BF6">
      <w:pPr>
        <w:spacing w:after="0" w:line="360" w:lineRule="auto"/>
        <w:jc w:val="both"/>
        <w:rPr>
          <w:rFonts w:ascii="Book Antiqua" w:hAnsi="Book Antiqua" w:cs="Times New Roman"/>
          <w:sz w:val="24"/>
          <w:szCs w:val="24"/>
          <w:lang w:eastAsia="zh-CN"/>
        </w:rPr>
      </w:pPr>
    </w:p>
    <w:p w14:paraId="3DBE2CA6" w14:textId="77777777" w:rsidR="00D33FAA" w:rsidRPr="00814BF6" w:rsidRDefault="00CB4E88" w:rsidP="00814BF6">
      <w:pPr>
        <w:spacing w:after="0" w:line="360" w:lineRule="auto"/>
        <w:jc w:val="both"/>
        <w:rPr>
          <w:rFonts w:ascii="Book Antiqua" w:eastAsia="Times New Roman" w:hAnsi="Book Antiqua" w:cs="Times New Roman"/>
          <w:sz w:val="24"/>
          <w:szCs w:val="24"/>
        </w:rPr>
      </w:pPr>
      <w:r w:rsidRPr="00814BF6">
        <w:rPr>
          <w:rFonts w:ascii="Book Antiqua" w:hAnsi="Book Antiqua"/>
          <w:b/>
          <w:sz w:val="24"/>
          <w:szCs w:val="24"/>
        </w:rPr>
        <w:t>Author contributions:</w:t>
      </w:r>
      <w:r w:rsidR="00D33FAA" w:rsidRPr="00814BF6">
        <w:rPr>
          <w:rFonts w:ascii="Book Antiqua" w:eastAsia="Times New Roman" w:hAnsi="Book Antiqua" w:cs="Times New Roman"/>
          <w:sz w:val="24"/>
          <w:szCs w:val="24"/>
        </w:rPr>
        <w:t xml:space="preserve"> </w:t>
      </w:r>
      <w:r w:rsidRPr="00814BF6">
        <w:rPr>
          <w:rFonts w:ascii="Book Antiqua" w:hAnsi="Book Antiqua" w:cs="Times New Roman"/>
          <w:sz w:val="24"/>
          <w:szCs w:val="24"/>
        </w:rPr>
        <w:t>Zeng</w:t>
      </w:r>
      <w:r w:rsidRPr="00814BF6">
        <w:rPr>
          <w:rFonts w:ascii="Book Antiqua" w:eastAsia="Times New Roman" w:hAnsi="Book Antiqua" w:cs="Times New Roman"/>
          <w:sz w:val="24"/>
          <w:szCs w:val="24"/>
        </w:rPr>
        <w:t xml:space="preserve"> M</w:t>
      </w:r>
      <w:r w:rsidR="00D33FAA" w:rsidRPr="00814BF6">
        <w:rPr>
          <w:rFonts w:ascii="Book Antiqua" w:eastAsia="Times New Roman" w:hAnsi="Book Antiqua" w:cs="Times New Roman"/>
          <w:sz w:val="24"/>
          <w:szCs w:val="24"/>
        </w:rPr>
        <w:t xml:space="preserve">, </w:t>
      </w:r>
      <w:r w:rsidRPr="00814BF6">
        <w:rPr>
          <w:rFonts w:ascii="Book Antiqua" w:hAnsi="Book Antiqua" w:cs="Times New Roman"/>
          <w:sz w:val="24"/>
          <w:szCs w:val="24"/>
        </w:rPr>
        <w:t>Aguila</w:t>
      </w:r>
      <w:r w:rsidRPr="00814BF6">
        <w:rPr>
          <w:rFonts w:ascii="Book Antiqua" w:eastAsia="Times New Roman" w:hAnsi="Book Antiqua" w:cs="Times New Roman"/>
          <w:sz w:val="24"/>
          <w:szCs w:val="24"/>
        </w:rPr>
        <w:t xml:space="preserve"> </w:t>
      </w:r>
      <w:r w:rsidR="00D33FAA" w:rsidRPr="00814BF6">
        <w:rPr>
          <w:rFonts w:ascii="Book Antiqua" w:eastAsia="Times New Roman" w:hAnsi="Book Antiqua" w:cs="Times New Roman"/>
          <w:sz w:val="24"/>
          <w:szCs w:val="24"/>
        </w:rPr>
        <w:t>F</w:t>
      </w:r>
      <w:r w:rsidRPr="00814BF6">
        <w:rPr>
          <w:rFonts w:ascii="Book Antiqua" w:hAnsi="Book Antiqua" w:cs="Times New Roman"/>
          <w:sz w:val="24"/>
          <w:szCs w:val="24"/>
          <w:lang w:eastAsia="zh-CN"/>
        </w:rPr>
        <w:t>N</w:t>
      </w:r>
      <w:r w:rsidR="00D33FAA" w:rsidRPr="00814BF6">
        <w:rPr>
          <w:rFonts w:ascii="Book Antiqua" w:eastAsia="Times New Roman" w:hAnsi="Book Antiqua" w:cs="Times New Roman"/>
          <w:sz w:val="24"/>
          <w:szCs w:val="24"/>
        </w:rPr>
        <w:t xml:space="preserve">, </w:t>
      </w:r>
      <w:r w:rsidRPr="00814BF6">
        <w:rPr>
          <w:rFonts w:ascii="Book Antiqua" w:hAnsi="Book Antiqua" w:cs="Times New Roman"/>
          <w:sz w:val="24"/>
          <w:szCs w:val="24"/>
        </w:rPr>
        <w:t>Patel</w:t>
      </w:r>
      <w:r w:rsidRPr="00814BF6">
        <w:rPr>
          <w:rFonts w:ascii="Book Antiqua" w:eastAsia="Times New Roman" w:hAnsi="Book Antiqua" w:cs="Times New Roman"/>
          <w:sz w:val="24"/>
          <w:szCs w:val="24"/>
        </w:rPr>
        <w:t xml:space="preserve"> T</w:t>
      </w:r>
      <w:r w:rsidRPr="00814BF6">
        <w:rPr>
          <w:rFonts w:ascii="Book Antiqua" w:hAnsi="Book Antiqua" w:cs="Times New Roman"/>
          <w:sz w:val="24"/>
          <w:szCs w:val="24"/>
          <w:lang w:eastAsia="zh-CN"/>
        </w:rPr>
        <w:t xml:space="preserve"> and</w:t>
      </w:r>
      <w:r w:rsidR="00D33FAA" w:rsidRPr="00814BF6">
        <w:rPr>
          <w:rFonts w:ascii="Book Antiqua" w:eastAsia="Times New Roman" w:hAnsi="Book Antiqua" w:cs="Times New Roman"/>
          <w:sz w:val="24"/>
          <w:szCs w:val="24"/>
        </w:rPr>
        <w:t xml:space="preserve"> </w:t>
      </w:r>
      <w:r w:rsidRPr="00814BF6">
        <w:rPr>
          <w:rFonts w:ascii="Book Antiqua" w:hAnsi="Book Antiqua" w:cs="Times New Roman"/>
          <w:sz w:val="24"/>
          <w:szCs w:val="24"/>
        </w:rPr>
        <w:t>Knapp</w:t>
      </w:r>
      <w:r w:rsidRPr="00814BF6">
        <w:rPr>
          <w:rFonts w:ascii="Book Antiqua" w:eastAsia="Times New Roman" w:hAnsi="Book Antiqua" w:cs="Times New Roman"/>
          <w:sz w:val="24"/>
          <w:szCs w:val="24"/>
        </w:rPr>
        <w:t xml:space="preserve"> M</w:t>
      </w:r>
      <w:r w:rsidR="00D33FAA" w:rsidRPr="00814BF6">
        <w:rPr>
          <w:rFonts w:ascii="Book Antiqua" w:eastAsia="Times New Roman" w:hAnsi="Book Antiqua" w:cs="Times New Roman"/>
          <w:sz w:val="24"/>
          <w:szCs w:val="24"/>
        </w:rPr>
        <w:t xml:space="preserve"> involved the study protocol design</w:t>
      </w:r>
      <w:r w:rsidRPr="00814BF6">
        <w:rPr>
          <w:rFonts w:ascii="Book Antiqua" w:hAnsi="Book Antiqua" w:cs="Times New Roman"/>
          <w:sz w:val="24"/>
          <w:szCs w:val="24"/>
          <w:lang w:eastAsia="zh-CN"/>
        </w:rPr>
        <w:t>;</w:t>
      </w:r>
      <w:r w:rsidR="00D33FAA" w:rsidRPr="00814BF6">
        <w:rPr>
          <w:rFonts w:ascii="Book Antiqua" w:eastAsia="Times New Roman" w:hAnsi="Book Antiqua" w:cs="Times New Roman"/>
          <w:sz w:val="24"/>
          <w:szCs w:val="24"/>
        </w:rPr>
        <w:t xml:space="preserve"> </w:t>
      </w:r>
      <w:r w:rsidRPr="00814BF6">
        <w:rPr>
          <w:rFonts w:ascii="Book Antiqua" w:hAnsi="Book Antiqua" w:cs="Times New Roman"/>
          <w:sz w:val="24"/>
          <w:szCs w:val="24"/>
        </w:rPr>
        <w:t>Zhu</w:t>
      </w:r>
      <w:r w:rsidRPr="00814BF6">
        <w:rPr>
          <w:rFonts w:ascii="Book Antiqua" w:eastAsia="Times New Roman" w:hAnsi="Book Antiqua" w:cs="Times New Roman"/>
          <w:sz w:val="24"/>
          <w:szCs w:val="24"/>
        </w:rPr>
        <w:t xml:space="preserve"> </w:t>
      </w:r>
      <w:r w:rsidR="00D33FAA" w:rsidRPr="00814BF6">
        <w:rPr>
          <w:rFonts w:ascii="Book Antiqua" w:eastAsia="Times New Roman" w:hAnsi="Book Antiqua" w:cs="Times New Roman"/>
          <w:sz w:val="24"/>
          <w:szCs w:val="24"/>
        </w:rPr>
        <w:t xml:space="preserve">X and </w:t>
      </w:r>
      <w:r w:rsidRPr="00814BF6">
        <w:rPr>
          <w:rFonts w:ascii="Book Antiqua" w:eastAsia="Times New Roman" w:hAnsi="Book Antiqua" w:cs="Times New Roman"/>
          <w:sz w:val="24"/>
          <w:szCs w:val="24"/>
          <w:lang w:eastAsia="zh-CN"/>
        </w:rPr>
        <w:t>Chen</w:t>
      </w:r>
      <w:r w:rsidRPr="00814BF6">
        <w:rPr>
          <w:rFonts w:ascii="Book Antiqua" w:eastAsia="Times New Roman" w:hAnsi="Book Antiqua" w:cs="Times New Roman"/>
          <w:sz w:val="24"/>
          <w:szCs w:val="24"/>
        </w:rPr>
        <w:t xml:space="preserve"> </w:t>
      </w:r>
      <w:r w:rsidR="00D33FAA" w:rsidRPr="00814BF6">
        <w:rPr>
          <w:rFonts w:ascii="Book Antiqua" w:eastAsia="Times New Roman" w:hAnsi="Book Antiqua" w:cs="Times New Roman"/>
          <w:sz w:val="24"/>
          <w:szCs w:val="24"/>
        </w:rPr>
        <w:t>X collected and analyzed the data</w:t>
      </w:r>
      <w:r w:rsidRPr="00814BF6">
        <w:rPr>
          <w:rFonts w:ascii="Book Antiqua" w:hAnsi="Book Antiqua" w:cs="Times New Roman"/>
          <w:sz w:val="24"/>
          <w:szCs w:val="24"/>
          <w:lang w:eastAsia="zh-CN"/>
        </w:rPr>
        <w:t xml:space="preserve">; </w:t>
      </w:r>
      <w:r w:rsidRPr="00814BF6">
        <w:rPr>
          <w:rFonts w:ascii="Book Antiqua" w:hAnsi="Book Antiqua" w:cs="Times New Roman"/>
          <w:sz w:val="24"/>
          <w:szCs w:val="24"/>
        </w:rPr>
        <w:t>Zeng</w:t>
      </w:r>
      <w:r w:rsidRPr="00814BF6">
        <w:rPr>
          <w:rFonts w:ascii="Book Antiqua" w:eastAsia="Times New Roman" w:hAnsi="Book Antiqua" w:cs="Times New Roman"/>
          <w:sz w:val="24"/>
          <w:szCs w:val="24"/>
        </w:rPr>
        <w:t xml:space="preserve"> M</w:t>
      </w:r>
      <w:r w:rsidR="00D33FAA" w:rsidRPr="00814BF6">
        <w:rPr>
          <w:rFonts w:ascii="Book Antiqua" w:eastAsia="Times New Roman" w:hAnsi="Book Antiqua" w:cs="Times New Roman"/>
          <w:sz w:val="24"/>
          <w:szCs w:val="24"/>
        </w:rPr>
        <w:t xml:space="preserve">, </w:t>
      </w:r>
      <w:r w:rsidRPr="00814BF6">
        <w:rPr>
          <w:rFonts w:ascii="Book Antiqua" w:hAnsi="Book Antiqua" w:cs="Times New Roman"/>
          <w:sz w:val="24"/>
          <w:szCs w:val="24"/>
        </w:rPr>
        <w:t>Patel</w:t>
      </w:r>
      <w:r w:rsidRPr="00814BF6">
        <w:rPr>
          <w:rFonts w:ascii="Book Antiqua" w:eastAsia="Times New Roman" w:hAnsi="Book Antiqua" w:cs="Times New Roman"/>
          <w:sz w:val="24"/>
          <w:szCs w:val="24"/>
        </w:rPr>
        <w:t xml:space="preserve"> T</w:t>
      </w:r>
      <w:r w:rsidR="00D33FAA" w:rsidRPr="00814BF6">
        <w:rPr>
          <w:rFonts w:ascii="Book Antiqua" w:eastAsia="Times New Roman" w:hAnsi="Book Antiqua" w:cs="Times New Roman"/>
          <w:sz w:val="24"/>
          <w:szCs w:val="24"/>
        </w:rPr>
        <w:t xml:space="preserve"> and </w:t>
      </w:r>
      <w:r w:rsidRPr="00814BF6">
        <w:rPr>
          <w:rFonts w:ascii="Book Antiqua" w:eastAsia="Times New Roman" w:hAnsi="Book Antiqua" w:cs="Times New Roman"/>
          <w:sz w:val="24"/>
          <w:szCs w:val="24"/>
          <w:lang w:eastAsia="zh-CN"/>
        </w:rPr>
        <w:t>Chen</w:t>
      </w:r>
      <w:r w:rsidRPr="00814BF6">
        <w:rPr>
          <w:rFonts w:ascii="Book Antiqua" w:eastAsia="Times New Roman" w:hAnsi="Book Antiqua" w:cs="Times New Roman"/>
          <w:sz w:val="24"/>
          <w:szCs w:val="24"/>
        </w:rPr>
        <w:t xml:space="preserve"> X</w:t>
      </w:r>
      <w:r w:rsidR="00D33FAA" w:rsidRPr="00814BF6">
        <w:rPr>
          <w:rFonts w:ascii="Book Antiqua" w:eastAsia="Times New Roman" w:hAnsi="Book Antiqua" w:cs="Times New Roman"/>
          <w:sz w:val="24"/>
          <w:szCs w:val="24"/>
        </w:rPr>
        <w:t xml:space="preserve"> draft the manuscript.</w:t>
      </w:r>
    </w:p>
    <w:p w14:paraId="43C3B818" w14:textId="77777777" w:rsidR="00D33FAA" w:rsidRPr="00814BF6" w:rsidRDefault="00D33FAA" w:rsidP="00814BF6">
      <w:pPr>
        <w:spacing w:after="0" w:line="360" w:lineRule="auto"/>
        <w:jc w:val="both"/>
        <w:rPr>
          <w:rFonts w:ascii="Book Antiqua" w:hAnsi="Book Antiqua" w:cs="Times New Roman"/>
          <w:sz w:val="24"/>
          <w:szCs w:val="24"/>
          <w:lang w:eastAsia="zh-CN"/>
        </w:rPr>
      </w:pPr>
    </w:p>
    <w:p w14:paraId="467A37C0" w14:textId="77777777" w:rsidR="003847A7" w:rsidRPr="00814BF6" w:rsidRDefault="00D33FAA" w:rsidP="00814BF6">
      <w:pPr>
        <w:autoSpaceDE w:val="0"/>
        <w:autoSpaceDN w:val="0"/>
        <w:adjustRightInd w:val="0"/>
        <w:spacing w:after="0" w:line="360" w:lineRule="auto"/>
        <w:jc w:val="both"/>
        <w:rPr>
          <w:rFonts w:ascii="Book Antiqua" w:hAnsi="Book Antiqua"/>
          <w:bCs/>
          <w:iCs/>
          <w:sz w:val="24"/>
          <w:szCs w:val="24"/>
          <w:lang w:eastAsia="zh-CN"/>
        </w:rPr>
      </w:pPr>
      <w:r w:rsidRPr="00814BF6">
        <w:rPr>
          <w:rFonts w:ascii="Book Antiqua" w:hAnsi="Book Antiqua"/>
          <w:b/>
          <w:sz w:val="24"/>
          <w:szCs w:val="24"/>
        </w:rPr>
        <w:t>Institutional review board statement</w:t>
      </w:r>
      <w:r w:rsidRPr="00814BF6">
        <w:rPr>
          <w:rFonts w:ascii="Book Antiqua" w:hAnsi="Book Antiqua"/>
          <w:b/>
          <w:iCs/>
          <w:sz w:val="24"/>
          <w:szCs w:val="24"/>
        </w:rPr>
        <w:t>:</w:t>
      </w:r>
      <w:r w:rsidR="003847A7" w:rsidRPr="00814BF6">
        <w:rPr>
          <w:rFonts w:ascii="Book Antiqua" w:hAnsi="Book Antiqua"/>
          <w:bCs/>
          <w:iCs/>
          <w:sz w:val="24"/>
          <w:szCs w:val="24"/>
        </w:rPr>
        <w:t xml:space="preserve"> This study was reviewed and approved by Mt Carmel Hospital IRB.</w:t>
      </w:r>
    </w:p>
    <w:p w14:paraId="59B9A215" w14:textId="77777777" w:rsidR="00D33FAA" w:rsidRPr="00814BF6" w:rsidRDefault="00D33FAA" w:rsidP="00814BF6">
      <w:pPr>
        <w:autoSpaceDE w:val="0"/>
        <w:autoSpaceDN w:val="0"/>
        <w:adjustRightInd w:val="0"/>
        <w:spacing w:after="0" w:line="360" w:lineRule="auto"/>
        <w:jc w:val="both"/>
        <w:rPr>
          <w:rFonts w:ascii="Book Antiqua" w:hAnsi="Book Antiqua"/>
          <w:bCs/>
          <w:iCs/>
          <w:sz w:val="24"/>
          <w:szCs w:val="24"/>
          <w:lang w:eastAsia="zh-CN"/>
        </w:rPr>
      </w:pPr>
    </w:p>
    <w:p w14:paraId="418BD798" w14:textId="77777777" w:rsidR="003847A7" w:rsidRPr="00814BF6" w:rsidRDefault="00D33FAA" w:rsidP="00814BF6">
      <w:pPr>
        <w:spacing w:after="0" w:line="360" w:lineRule="auto"/>
        <w:jc w:val="both"/>
        <w:rPr>
          <w:rFonts w:ascii="Book Antiqua" w:hAnsi="Book Antiqua" w:cs="Times New Roman"/>
          <w:sz w:val="24"/>
          <w:szCs w:val="24"/>
          <w:lang w:eastAsia="zh-CN"/>
        </w:rPr>
      </w:pPr>
      <w:r w:rsidRPr="00814BF6">
        <w:rPr>
          <w:rFonts w:ascii="Book Antiqua" w:hAnsi="Book Antiqua"/>
          <w:b/>
          <w:sz w:val="24"/>
          <w:szCs w:val="24"/>
        </w:rPr>
        <w:t>Informed consent statement</w:t>
      </w:r>
      <w:r w:rsidRPr="00814BF6">
        <w:rPr>
          <w:rFonts w:ascii="Book Antiqua" w:hAnsi="Book Antiqua"/>
          <w:b/>
          <w:iCs/>
          <w:sz w:val="24"/>
          <w:szCs w:val="24"/>
        </w:rPr>
        <w:t>:</w:t>
      </w:r>
      <w:r w:rsidRPr="00814BF6">
        <w:rPr>
          <w:rFonts w:ascii="Book Antiqua" w:hAnsi="Book Antiqua"/>
          <w:b/>
          <w:iCs/>
          <w:sz w:val="24"/>
          <w:szCs w:val="24"/>
          <w:lang w:eastAsia="zh-CN"/>
        </w:rPr>
        <w:t xml:space="preserve"> </w:t>
      </w:r>
      <w:r w:rsidR="003847A7" w:rsidRPr="00814BF6">
        <w:rPr>
          <w:rFonts w:ascii="Book Antiqua" w:hAnsi="Book Antiqua" w:cs="Times New Roman"/>
          <w:sz w:val="24"/>
          <w:szCs w:val="24"/>
          <w:lang w:eastAsia="zh-CN"/>
        </w:rPr>
        <w:t>All subjects in this study provide radiation therapy consent</w:t>
      </w:r>
      <w:r w:rsidRPr="00814BF6">
        <w:rPr>
          <w:rFonts w:ascii="Book Antiqua" w:hAnsi="Book Antiqua" w:cs="Times New Roman"/>
          <w:sz w:val="24"/>
          <w:szCs w:val="24"/>
          <w:lang w:eastAsia="zh-CN"/>
        </w:rPr>
        <w:t>.</w:t>
      </w:r>
    </w:p>
    <w:p w14:paraId="2CDAC580" w14:textId="77777777" w:rsidR="00D33FAA" w:rsidRPr="00814BF6" w:rsidRDefault="00D33FAA" w:rsidP="00814BF6">
      <w:pPr>
        <w:spacing w:after="0" w:line="360" w:lineRule="auto"/>
        <w:jc w:val="both"/>
        <w:rPr>
          <w:rFonts w:ascii="Book Antiqua" w:hAnsi="Book Antiqua" w:cs="Times New Roman"/>
          <w:sz w:val="24"/>
          <w:szCs w:val="24"/>
          <w:lang w:eastAsia="zh-CN"/>
        </w:rPr>
      </w:pPr>
    </w:p>
    <w:p w14:paraId="5FD78CD3" w14:textId="77777777" w:rsidR="00564689" w:rsidRPr="00814BF6" w:rsidRDefault="00D33FAA" w:rsidP="00814BF6">
      <w:pPr>
        <w:spacing w:after="0" w:line="360" w:lineRule="auto"/>
        <w:jc w:val="both"/>
        <w:rPr>
          <w:rFonts w:ascii="Book Antiqua" w:hAnsi="Book Antiqua" w:cs="Times New Roman"/>
          <w:sz w:val="24"/>
          <w:szCs w:val="24"/>
          <w:lang w:eastAsia="zh-CN"/>
        </w:rPr>
      </w:pPr>
      <w:r w:rsidRPr="00814BF6">
        <w:rPr>
          <w:rFonts w:ascii="Book Antiqua" w:hAnsi="Book Antiqua"/>
          <w:b/>
          <w:sz w:val="24"/>
          <w:szCs w:val="24"/>
        </w:rPr>
        <w:t>Conflict-of-interest statement</w:t>
      </w:r>
      <w:r w:rsidRPr="00814BF6">
        <w:rPr>
          <w:rFonts w:ascii="Book Antiqua" w:hAnsi="Book Antiqua" w:cs="TimesNewRomanPS-BoldItalicMT"/>
          <w:b/>
          <w:iCs/>
          <w:sz w:val="24"/>
          <w:szCs w:val="24"/>
        </w:rPr>
        <w:t>:</w:t>
      </w:r>
      <w:r w:rsidRPr="00814BF6">
        <w:rPr>
          <w:rFonts w:ascii="Book Antiqua" w:hAnsi="Book Antiqua" w:cs="TimesNewRomanPS-BoldItalicMT"/>
          <w:b/>
          <w:iCs/>
          <w:sz w:val="24"/>
          <w:szCs w:val="24"/>
          <w:lang w:eastAsia="zh-CN"/>
        </w:rPr>
        <w:t xml:space="preserve"> </w:t>
      </w:r>
      <w:r w:rsidR="00B86D31" w:rsidRPr="00814BF6">
        <w:rPr>
          <w:rFonts w:ascii="Book Antiqua" w:eastAsia="Times New Roman" w:hAnsi="Book Antiqua" w:cs="Times New Roman"/>
          <w:sz w:val="24"/>
          <w:szCs w:val="24"/>
        </w:rPr>
        <w:t>Authors have no conflict of interest.</w:t>
      </w:r>
    </w:p>
    <w:p w14:paraId="6B4265DF" w14:textId="77777777" w:rsidR="00D33FAA" w:rsidRPr="00814BF6" w:rsidRDefault="00D33FAA" w:rsidP="00814BF6">
      <w:pPr>
        <w:spacing w:after="0" w:line="360" w:lineRule="auto"/>
        <w:jc w:val="both"/>
        <w:rPr>
          <w:rFonts w:ascii="Book Antiqua" w:hAnsi="Book Antiqua" w:cs="Times New Roman"/>
          <w:sz w:val="24"/>
          <w:szCs w:val="24"/>
          <w:lang w:eastAsia="zh-CN"/>
        </w:rPr>
      </w:pPr>
    </w:p>
    <w:p w14:paraId="6D4B1970" w14:textId="77777777" w:rsidR="00A855DA" w:rsidRPr="00814BF6" w:rsidRDefault="00D33FAA" w:rsidP="00814BF6">
      <w:pPr>
        <w:spacing w:after="0" w:line="360" w:lineRule="auto"/>
        <w:jc w:val="both"/>
        <w:rPr>
          <w:rFonts w:ascii="Book Antiqua" w:hAnsi="Book Antiqua" w:cs="Times New Roman"/>
          <w:sz w:val="24"/>
          <w:szCs w:val="24"/>
          <w:lang w:eastAsia="zh-CN"/>
        </w:rPr>
      </w:pPr>
      <w:r w:rsidRPr="00814BF6">
        <w:rPr>
          <w:rFonts w:ascii="Book Antiqua" w:hAnsi="Book Antiqua"/>
          <w:b/>
          <w:sz w:val="24"/>
          <w:szCs w:val="24"/>
        </w:rPr>
        <w:t>Data sharing statement</w:t>
      </w:r>
      <w:r w:rsidRPr="00814BF6">
        <w:rPr>
          <w:rFonts w:ascii="Book Antiqua" w:hAnsi="Book Antiqua" w:cs="TimesNewRomanPS-BoldItalicMT"/>
          <w:b/>
          <w:iCs/>
          <w:sz w:val="24"/>
          <w:szCs w:val="24"/>
        </w:rPr>
        <w:t>:</w:t>
      </w:r>
      <w:r w:rsidR="00286EF5">
        <w:rPr>
          <w:rFonts w:ascii="Book Antiqua" w:hAnsi="Book Antiqua"/>
          <w:b/>
          <w:sz w:val="24"/>
          <w:szCs w:val="24"/>
        </w:rPr>
        <w:t xml:space="preserve"> </w:t>
      </w:r>
      <w:r w:rsidR="00A855DA" w:rsidRPr="00814BF6">
        <w:rPr>
          <w:rFonts w:ascii="Book Antiqua" w:eastAsia="Times New Roman" w:hAnsi="Book Antiqua" w:cs="Times New Roman"/>
          <w:sz w:val="24"/>
          <w:szCs w:val="24"/>
        </w:rPr>
        <w:t>No data available.</w:t>
      </w:r>
    </w:p>
    <w:p w14:paraId="751BE096" w14:textId="77777777" w:rsidR="00DD4871" w:rsidRPr="00814BF6" w:rsidRDefault="00DD4871" w:rsidP="00814BF6">
      <w:pPr>
        <w:spacing w:after="0" w:line="360" w:lineRule="auto"/>
        <w:jc w:val="both"/>
        <w:rPr>
          <w:rFonts w:ascii="Book Antiqua" w:hAnsi="Book Antiqua" w:cs="Times New Roman"/>
          <w:sz w:val="24"/>
          <w:szCs w:val="24"/>
          <w:lang w:eastAsia="zh-CN"/>
        </w:rPr>
      </w:pPr>
    </w:p>
    <w:p w14:paraId="4983C0EB" w14:textId="77777777" w:rsidR="00CB4E88" w:rsidRPr="00814BF6" w:rsidRDefault="00CB4E88" w:rsidP="00814BF6">
      <w:pPr>
        <w:adjustRightInd w:val="0"/>
        <w:snapToGrid w:val="0"/>
        <w:spacing w:after="0" w:line="360" w:lineRule="auto"/>
        <w:jc w:val="both"/>
        <w:rPr>
          <w:rFonts w:ascii="Book Antiqua" w:hAnsi="Book Antiqua" w:cs="宋体"/>
          <w:sz w:val="24"/>
          <w:szCs w:val="24"/>
        </w:rPr>
      </w:pPr>
      <w:r w:rsidRPr="00814BF6">
        <w:rPr>
          <w:rFonts w:ascii="Book Antiqua" w:hAnsi="Book Antiqua"/>
          <w:b/>
          <w:sz w:val="24"/>
          <w:szCs w:val="24"/>
        </w:rPr>
        <w:t xml:space="preserve">Open-Access: </w:t>
      </w:r>
      <w:r w:rsidRPr="00814BF6">
        <w:rPr>
          <w:rFonts w:ascii="Book Antiqua" w:hAnsi="Book Antiqua"/>
          <w:sz w:val="24"/>
          <w:szCs w:val="24"/>
        </w:rPr>
        <w:t xml:space="preserve">This is an </w:t>
      </w:r>
      <w:r w:rsidRPr="00814BF6">
        <w:rPr>
          <w:rFonts w:ascii="Book Antiqua" w:hAnsi="Book Antiqua" w:cs="宋体"/>
          <w:sz w:val="24"/>
          <w:szCs w:val="24"/>
        </w:rPr>
        <w:t xml:space="preserve">open-access article that was </w:t>
      </w:r>
      <w:r w:rsidRPr="00814BF6">
        <w:rPr>
          <w:rFonts w:ascii="Book Antiqua" w:hAnsi="Book Antiqua"/>
          <w:sz w:val="24"/>
          <w:szCs w:val="24"/>
        </w:rPr>
        <w:t xml:space="preserve">selected by an in-house editor and fully peer-reviewed by external reviewers. It is </w:t>
      </w:r>
      <w:r w:rsidRPr="00814BF6">
        <w:rPr>
          <w:rFonts w:ascii="Book Antiqua" w:hAnsi="Book Antiqua" w:cs="宋体"/>
          <w:sz w:val="24"/>
          <w:szCs w:val="24"/>
        </w:rPr>
        <w:t xml:space="preserve">distributed in accordance with </w:t>
      </w:r>
      <w:r w:rsidRPr="00814BF6">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8CDCE6" w14:textId="77777777" w:rsidR="00CB4E88" w:rsidRPr="00814BF6" w:rsidRDefault="00CB4E88" w:rsidP="00814BF6">
      <w:pPr>
        <w:spacing w:after="0" w:line="360" w:lineRule="auto"/>
        <w:jc w:val="both"/>
        <w:rPr>
          <w:rFonts w:ascii="Book Antiqua" w:hAnsi="Book Antiqua" w:cs="Times New Roman"/>
          <w:sz w:val="24"/>
          <w:szCs w:val="24"/>
          <w:lang w:eastAsia="zh-CN"/>
        </w:rPr>
      </w:pPr>
    </w:p>
    <w:p w14:paraId="5D03421D" w14:textId="77777777" w:rsidR="00564689" w:rsidRDefault="00CB4E88" w:rsidP="00814BF6">
      <w:pPr>
        <w:spacing w:after="0" w:line="360" w:lineRule="auto"/>
        <w:jc w:val="both"/>
        <w:rPr>
          <w:rFonts w:ascii="Book Antiqua" w:eastAsia="Times New Roman" w:hAnsi="Book Antiqua" w:cs="Times New Roman"/>
          <w:sz w:val="24"/>
          <w:szCs w:val="24"/>
        </w:rPr>
      </w:pPr>
      <w:r w:rsidRPr="00814BF6">
        <w:rPr>
          <w:rFonts w:ascii="Book Antiqua" w:hAnsi="Book Antiqua"/>
          <w:b/>
          <w:sz w:val="24"/>
          <w:szCs w:val="24"/>
        </w:rPr>
        <w:t>Correspondence to:</w:t>
      </w:r>
      <w:r w:rsidRPr="00814BF6">
        <w:rPr>
          <w:rFonts w:ascii="Book Antiqua" w:hAnsi="Book Antiqua"/>
          <w:b/>
          <w:sz w:val="24"/>
          <w:szCs w:val="24"/>
          <w:lang w:eastAsia="zh-CN"/>
        </w:rPr>
        <w:t xml:space="preserve"> </w:t>
      </w:r>
      <w:r w:rsidRPr="00814BF6">
        <w:rPr>
          <w:rFonts w:ascii="Book Antiqua" w:hAnsi="Book Antiqua" w:cs="Times New Roman"/>
          <w:b/>
          <w:sz w:val="24"/>
          <w:szCs w:val="24"/>
        </w:rPr>
        <w:t>Ming Zeng,</w:t>
      </w:r>
      <w:r w:rsidRPr="00814BF6">
        <w:rPr>
          <w:rFonts w:ascii="Book Antiqua" w:hAnsi="Book Antiqua" w:cs="Times New Roman"/>
          <w:b/>
          <w:sz w:val="24"/>
          <w:szCs w:val="24"/>
          <w:lang w:eastAsia="zh-CN"/>
        </w:rPr>
        <w:t xml:space="preserve"> </w:t>
      </w:r>
      <w:r w:rsidRPr="00CF46DB">
        <w:rPr>
          <w:rFonts w:ascii="Book Antiqua" w:hAnsi="Book Antiqua" w:cs="Times New Roman"/>
          <w:b/>
          <w:sz w:val="24"/>
          <w:szCs w:val="24"/>
        </w:rPr>
        <w:t>MD, PhD</w:t>
      </w:r>
      <w:r w:rsidR="00564689" w:rsidRPr="00CF46DB">
        <w:rPr>
          <w:rFonts w:ascii="Book Antiqua" w:eastAsia="Times New Roman" w:hAnsi="Book Antiqua" w:cs="Times New Roman"/>
          <w:b/>
          <w:sz w:val="24"/>
          <w:szCs w:val="24"/>
        </w:rPr>
        <w:t xml:space="preserve">, </w:t>
      </w:r>
      <w:r w:rsidR="00564689" w:rsidRPr="00814BF6">
        <w:rPr>
          <w:rFonts w:ascii="Book Antiqua" w:eastAsia="Times New Roman" w:hAnsi="Book Antiqua" w:cs="Times New Roman"/>
          <w:sz w:val="24"/>
          <w:szCs w:val="24"/>
        </w:rPr>
        <w:t>Department of Radiation Oncology, Mount Carmel Health System</w:t>
      </w:r>
      <w:r w:rsidR="00FF0BE8" w:rsidRPr="00814BF6">
        <w:rPr>
          <w:rFonts w:ascii="Book Antiqua" w:eastAsia="Times New Roman" w:hAnsi="Book Antiqua" w:cs="Times New Roman"/>
          <w:sz w:val="24"/>
          <w:szCs w:val="24"/>
        </w:rPr>
        <w:t>,</w:t>
      </w:r>
      <w:r w:rsidR="00564689" w:rsidRPr="00814BF6">
        <w:rPr>
          <w:rFonts w:ascii="Book Antiqua" w:eastAsia="Times New Roman" w:hAnsi="Book Antiqua" w:cs="Times New Roman"/>
          <w:sz w:val="24"/>
          <w:szCs w:val="24"/>
        </w:rPr>
        <w:t xml:space="preserve"> </w:t>
      </w:r>
      <w:r w:rsidR="00134529" w:rsidRPr="00814BF6">
        <w:rPr>
          <w:rFonts w:ascii="Book Antiqua" w:hAnsi="Book Antiqua" w:cs="Times New Roman"/>
          <w:sz w:val="24"/>
          <w:szCs w:val="24"/>
          <w:lang w:eastAsia="zh-CN"/>
        </w:rPr>
        <w:t xml:space="preserve">3100 Plaza Properties Blvd, </w:t>
      </w:r>
      <w:r w:rsidR="00564689" w:rsidRPr="00814BF6">
        <w:rPr>
          <w:rFonts w:ascii="Book Antiqua" w:eastAsia="Times New Roman" w:hAnsi="Book Antiqua" w:cs="Times New Roman"/>
          <w:sz w:val="24"/>
          <w:szCs w:val="24"/>
        </w:rPr>
        <w:t>Columbus, O</w:t>
      </w:r>
      <w:r w:rsidRPr="00814BF6">
        <w:rPr>
          <w:rFonts w:ascii="Book Antiqua" w:hAnsi="Book Antiqua" w:cs="Times New Roman"/>
          <w:sz w:val="24"/>
          <w:szCs w:val="24"/>
          <w:lang w:eastAsia="zh-CN"/>
        </w:rPr>
        <w:t>H</w:t>
      </w:r>
      <w:r w:rsidR="00564689" w:rsidRPr="00814BF6">
        <w:rPr>
          <w:rFonts w:ascii="Book Antiqua" w:eastAsia="Times New Roman" w:hAnsi="Book Antiqua" w:cs="Times New Roman"/>
          <w:sz w:val="24"/>
          <w:szCs w:val="24"/>
        </w:rPr>
        <w:t xml:space="preserve"> 43219, </w:t>
      </w:r>
      <w:r w:rsidRPr="00814BF6">
        <w:rPr>
          <w:rFonts w:ascii="Book Antiqua" w:eastAsia="Times New Roman" w:hAnsi="Book Antiqua" w:cs="Times New Roman"/>
          <w:sz w:val="24"/>
          <w:szCs w:val="24"/>
        </w:rPr>
        <w:t>U</w:t>
      </w:r>
      <w:r w:rsidRPr="00814BF6">
        <w:rPr>
          <w:rFonts w:ascii="Book Antiqua" w:hAnsi="Book Antiqua" w:cs="Times New Roman"/>
          <w:sz w:val="24"/>
          <w:szCs w:val="24"/>
          <w:lang w:eastAsia="zh-CN"/>
        </w:rPr>
        <w:t xml:space="preserve">nited </w:t>
      </w:r>
      <w:r w:rsidRPr="00814BF6">
        <w:rPr>
          <w:rFonts w:ascii="Book Antiqua" w:eastAsia="Times New Roman" w:hAnsi="Book Antiqua" w:cs="Times New Roman"/>
          <w:sz w:val="24"/>
          <w:szCs w:val="24"/>
        </w:rPr>
        <w:t>S</w:t>
      </w:r>
      <w:r w:rsidRPr="00814BF6">
        <w:rPr>
          <w:rFonts w:ascii="Book Antiqua" w:hAnsi="Book Antiqua" w:cs="Times New Roman"/>
          <w:sz w:val="24"/>
          <w:szCs w:val="24"/>
          <w:lang w:eastAsia="zh-CN"/>
        </w:rPr>
        <w:t>tates.</w:t>
      </w:r>
      <w:r w:rsidR="00564689" w:rsidRPr="00814BF6">
        <w:rPr>
          <w:rFonts w:ascii="Book Antiqua" w:eastAsia="Times New Roman" w:hAnsi="Book Antiqua" w:cs="Times New Roman"/>
          <w:sz w:val="24"/>
          <w:szCs w:val="24"/>
        </w:rPr>
        <w:t xml:space="preserve"> </w:t>
      </w:r>
      <w:hyperlink r:id="rId9" w:history="1">
        <w:r w:rsidR="00564689" w:rsidRPr="00814BF6">
          <w:rPr>
            <w:rFonts w:ascii="Book Antiqua" w:eastAsia="Times New Roman" w:hAnsi="Book Antiqua" w:cs="Times New Roman"/>
            <w:sz w:val="24"/>
            <w:szCs w:val="24"/>
          </w:rPr>
          <w:t>miller2002@yahoo.com</w:t>
        </w:r>
      </w:hyperlink>
    </w:p>
    <w:p w14:paraId="610C3537" w14:textId="77777777" w:rsidR="00C14B22" w:rsidRPr="00814BF6" w:rsidRDefault="00C14B22" w:rsidP="00814BF6">
      <w:pPr>
        <w:spacing w:after="0" w:line="360" w:lineRule="auto"/>
        <w:jc w:val="both"/>
        <w:rPr>
          <w:rFonts w:ascii="Book Antiqua" w:eastAsia="Times New Roman" w:hAnsi="Book Antiqua" w:cs="Times New Roman"/>
          <w:sz w:val="24"/>
          <w:szCs w:val="24"/>
        </w:rPr>
      </w:pPr>
    </w:p>
    <w:p w14:paraId="2C62614A" w14:textId="77777777" w:rsidR="003847A7" w:rsidRPr="00814BF6" w:rsidRDefault="003847A7" w:rsidP="00814BF6">
      <w:pPr>
        <w:spacing w:after="0" w:line="360" w:lineRule="auto"/>
        <w:jc w:val="both"/>
        <w:rPr>
          <w:rFonts w:ascii="Book Antiqua" w:eastAsia="Times New Roman" w:hAnsi="Book Antiqua" w:cs="Times New Roman"/>
          <w:sz w:val="24"/>
          <w:szCs w:val="24"/>
        </w:rPr>
      </w:pPr>
      <w:r w:rsidRPr="00814BF6">
        <w:rPr>
          <w:rFonts w:ascii="Book Antiqua" w:eastAsia="Times New Roman" w:hAnsi="Book Antiqua" w:cs="Times New Roman"/>
          <w:b/>
          <w:sz w:val="24"/>
          <w:szCs w:val="24"/>
        </w:rPr>
        <w:t>Telephone</w:t>
      </w:r>
      <w:r w:rsidR="0099002B" w:rsidRPr="00814BF6">
        <w:rPr>
          <w:rFonts w:ascii="Book Antiqua" w:eastAsia="Times New Roman" w:hAnsi="Book Antiqua" w:cs="Times New Roman"/>
          <w:b/>
          <w:sz w:val="24"/>
          <w:szCs w:val="24"/>
        </w:rPr>
        <w:t>:</w:t>
      </w:r>
      <w:r w:rsidRPr="00814BF6">
        <w:rPr>
          <w:rFonts w:ascii="Book Antiqua" w:eastAsia="Times New Roman" w:hAnsi="Book Antiqua" w:cs="Times New Roman"/>
          <w:sz w:val="24"/>
          <w:szCs w:val="24"/>
        </w:rPr>
        <w:t xml:space="preserve"> </w:t>
      </w:r>
      <w:r w:rsidR="00CB4E88" w:rsidRPr="00814BF6">
        <w:rPr>
          <w:rFonts w:ascii="Book Antiqua" w:hAnsi="Book Antiqua" w:cs="Times New Roman"/>
          <w:sz w:val="24"/>
          <w:szCs w:val="24"/>
          <w:lang w:eastAsia="zh-CN"/>
        </w:rPr>
        <w:t>+</w:t>
      </w:r>
      <w:r w:rsidR="00CB4E88" w:rsidRPr="00814BF6">
        <w:rPr>
          <w:rFonts w:ascii="Book Antiqua" w:eastAsia="Times New Roman" w:hAnsi="Book Antiqua" w:cs="Times New Roman"/>
          <w:sz w:val="24"/>
          <w:szCs w:val="24"/>
        </w:rPr>
        <w:t>1-614-216</w:t>
      </w:r>
      <w:r w:rsidRPr="00814BF6">
        <w:rPr>
          <w:rFonts w:ascii="Book Antiqua" w:eastAsia="Times New Roman" w:hAnsi="Book Antiqua" w:cs="Times New Roman"/>
          <w:sz w:val="24"/>
          <w:szCs w:val="24"/>
        </w:rPr>
        <w:t>8721</w:t>
      </w:r>
    </w:p>
    <w:p w14:paraId="553B1359" w14:textId="77777777" w:rsidR="0056623B" w:rsidRPr="00814BF6" w:rsidRDefault="0056623B" w:rsidP="00814BF6">
      <w:pPr>
        <w:spacing w:after="0" w:line="360" w:lineRule="auto"/>
        <w:jc w:val="both"/>
        <w:rPr>
          <w:rFonts w:ascii="Book Antiqua" w:hAnsi="Book Antiqua" w:cs="Times New Roman"/>
          <w:sz w:val="24"/>
          <w:szCs w:val="24"/>
          <w:lang w:eastAsia="zh-CN"/>
        </w:rPr>
      </w:pPr>
    </w:p>
    <w:p w14:paraId="56621167" w14:textId="77777777" w:rsidR="00CB4E88" w:rsidRPr="00814BF6" w:rsidRDefault="00CB4E88" w:rsidP="00814BF6">
      <w:pPr>
        <w:spacing w:after="0" w:line="360" w:lineRule="auto"/>
        <w:jc w:val="both"/>
        <w:rPr>
          <w:rFonts w:ascii="Book Antiqua" w:hAnsi="Book Antiqua"/>
          <w:b/>
          <w:sz w:val="24"/>
          <w:szCs w:val="24"/>
        </w:rPr>
      </w:pPr>
      <w:r w:rsidRPr="00814BF6">
        <w:rPr>
          <w:rFonts w:ascii="Book Antiqua" w:hAnsi="Book Antiqua"/>
          <w:b/>
          <w:sz w:val="24"/>
          <w:szCs w:val="24"/>
        </w:rPr>
        <w:lastRenderedPageBreak/>
        <w:t xml:space="preserve">Received: </w:t>
      </w:r>
      <w:r w:rsidR="004C5E33" w:rsidRPr="00814BF6">
        <w:rPr>
          <w:rFonts w:ascii="Book Antiqua" w:hAnsi="Book Antiqua"/>
          <w:sz w:val="24"/>
          <w:szCs w:val="24"/>
          <w:lang w:eastAsia="zh-CN"/>
        </w:rPr>
        <w:t>October 18, 2015</w:t>
      </w:r>
      <w:r w:rsidR="00286EF5">
        <w:rPr>
          <w:rFonts w:ascii="Book Antiqua" w:hAnsi="Book Antiqua"/>
          <w:sz w:val="24"/>
          <w:szCs w:val="24"/>
        </w:rPr>
        <w:t xml:space="preserve"> </w:t>
      </w:r>
    </w:p>
    <w:p w14:paraId="0B426E9E" w14:textId="77777777" w:rsidR="00CB4E88" w:rsidRPr="00814BF6" w:rsidRDefault="00CB4E88" w:rsidP="00814BF6">
      <w:pPr>
        <w:spacing w:after="0" w:line="360" w:lineRule="auto"/>
        <w:jc w:val="both"/>
        <w:rPr>
          <w:rFonts w:ascii="Book Antiqua" w:hAnsi="Book Antiqua"/>
          <w:b/>
          <w:sz w:val="24"/>
          <w:szCs w:val="24"/>
        </w:rPr>
      </w:pPr>
      <w:r w:rsidRPr="00814BF6">
        <w:rPr>
          <w:rFonts w:ascii="Book Antiqua" w:hAnsi="Book Antiqua"/>
          <w:b/>
          <w:sz w:val="24"/>
          <w:szCs w:val="24"/>
        </w:rPr>
        <w:t>Peer-review started:</w:t>
      </w:r>
      <w:r w:rsidR="004C5E33" w:rsidRPr="00814BF6">
        <w:rPr>
          <w:rFonts w:ascii="Book Antiqua" w:hAnsi="Book Antiqua"/>
          <w:sz w:val="24"/>
          <w:szCs w:val="24"/>
          <w:lang w:eastAsia="zh-CN"/>
        </w:rPr>
        <w:t xml:space="preserve"> October 21, 2015</w:t>
      </w:r>
      <w:r w:rsidR="00286EF5">
        <w:rPr>
          <w:rFonts w:ascii="Book Antiqua" w:hAnsi="Book Antiqua"/>
          <w:sz w:val="24"/>
          <w:szCs w:val="24"/>
        </w:rPr>
        <w:t xml:space="preserve"> </w:t>
      </w:r>
    </w:p>
    <w:p w14:paraId="0E9A60D8" w14:textId="77777777" w:rsidR="00CB4E88" w:rsidRPr="00814BF6" w:rsidRDefault="00CB4E88" w:rsidP="00814BF6">
      <w:pPr>
        <w:spacing w:after="0" w:line="360" w:lineRule="auto"/>
        <w:jc w:val="both"/>
        <w:rPr>
          <w:rFonts w:ascii="Book Antiqua" w:hAnsi="Book Antiqua"/>
          <w:b/>
          <w:sz w:val="24"/>
          <w:szCs w:val="24"/>
          <w:lang w:eastAsia="zh-CN"/>
        </w:rPr>
      </w:pPr>
      <w:r w:rsidRPr="00814BF6">
        <w:rPr>
          <w:rFonts w:ascii="Book Antiqua" w:hAnsi="Book Antiqua"/>
          <w:b/>
          <w:sz w:val="24"/>
          <w:szCs w:val="24"/>
        </w:rPr>
        <w:t>First decision:</w:t>
      </w:r>
      <w:r w:rsidR="004C5E33" w:rsidRPr="00814BF6">
        <w:rPr>
          <w:rFonts w:ascii="Book Antiqua" w:hAnsi="Book Antiqua"/>
          <w:b/>
          <w:sz w:val="24"/>
          <w:szCs w:val="24"/>
          <w:lang w:eastAsia="zh-CN"/>
        </w:rPr>
        <w:t xml:space="preserve"> </w:t>
      </w:r>
      <w:r w:rsidR="004C5E33" w:rsidRPr="00814BF6">
        <w:rPr>
          <w:rFonts w:ascii="Book Antiqua" w:hAnsi="Book Antiqua"/>
          <w:sz w:val="24"/>
          <w:szCs w:val="24"/>
          <w:lang w:eastAsia="zh-CN"/>
        </w:rPr>
        <w:t>November 27, 2015</w:t>
      </w:r>
    </w:p>
    <w:p w14:paraId="5381EFD8" w14:textId="77777777" w:rsidR="00CB4E88" w:rsidRPr="00814BF6" w:rsidRDefault="00CB4E88" w:rsidP="00814BF6">
      <w:pPr>
        <w:spacing w:after="0" w:line="360" w:lineRule="auto"/>
        <w:jc w:val="both"/>
        <w:rPr>
          <w:rFonts w:ascii="Book Antiqua" w:hAnsi="Book Antiqua"/>
          <w:b/>
          <w:sz w:val="24"/>
          <w:szCs w:val="24"/>
        </w:rPr>
      </w:pPr>
      <w:r w:rsidRPr="00814BF6">
        <w:rPr>
          <w:rFonts w:ascii="Book Antiqua" w:hAnsi="Book Antiqua"/>
          <w:b/>
          <w:sz w:val="24"/>
          <w:szCs w:val="24"/>
        </w:rPr>
        <w:t xml:space="preserve">Revised: </w:t>
      </w:r>
      <w:r w:rsidR="004C5E33" w:rsidRPr="00814BF6">
        <w:rPr>
          <w:rFonts w:ascii="Book Antiqua" w:hAnsi="Book Antiqua"/>
          <w:sz w:val="24"/>
          <w:szCs w:val="24"/>
          <w:lang w:eastAsia="zh-CN"/>
        </w:rPr>
        <w:t>February 1, 2016</w:t>
      </w:r>
      <w:r w:rsidRPr="00814BF6">
        <w:rPr>
          <w:rFonts w:ascii="Book Antiqua" w:hAnsi="Book Antiqua"/>
          <w:sz w:val="24"/>
          <w:szCs w:val="24"/>
        </w:rPr>
        <w:t xml:space="preserve"> </w:t>
      </w:r>
    </w:p>
    <w:p w14:paraId="3ADB2635" w14:textId="77777777" w:rsidR="00CB4E88" w:rsidRPr="00814BF6" w:rsidRDefault="00CB4E88" w:rsidP="00814BF6">
      <w:pPr>
        <w:spacing w:after="0" w:line="360" w:lineRule="auto"/>
        <w:jc w:val="both"/>
        <w:rPr>
          <w:rFonts w:ascii="Book Antiqua" w:hAnsi="Book Antiqua"/>
          <w:b/>
          <w:sz w:val="24"/>
          <w:szCs w:val="24"/>
        </w:rPr>
      </w:pPr>
      <w:r w:rsidRPr="00814BF6">
        <w:rPr>
          <w:rFonts w:ascii="Book Antiqua" w:hAnsi="Book Antiqua"/>
          <w:b/>
          <w:sz w:val="24"/>
          <w:szCs w:val="24"/>
        </w:rPr>
        <w:t>Accepted:</w:t>
      </w:r>
      <w:r w:rsidR="00286EF5">
        <w:rPr>
          <w:rFonts w:ascii="Book Antiqua" w:hAnsi="Book Antiqua"/>
          <w:b/>
          <w:sz w:val="24"/>
          <w:szCs w:val="24"/>
        </w:rPr>
        <w:t xml:space="preserve"> </w:t>
      </w:r>
      <w:bookmarkStart w:id="0" w:name="_GoBack"/>
      <w:r w:rsidR="00DF125D" w:rsidRPr="00DF125D">
        <w:rPr>
          <w:rFonts w:ascii="Book Antiqua" w:hAnsi="Book Antiqua"/>
          <w:sz w:val="24"/>
          <w:szCs w:val="24"/>
        </w:rPr>
        <w:t>March 7, 2016</w:t>
      </w:r>
      <w:bookmarkEnd w:id="0"/>
    </w:p>
    <w:p w14:paraId="045598F2" w14:textId="77777777" w:rsidR="00CB4E88" w:rsidRPr="00814BF6" w:rsidRDefault="00CB4E88" w:rsidP="00814BF6">
      <w:pPr>
        <w:spacing w:after="0" w:line="360" w:lineRule="auto"/>
        <w:jc w:val="both"/>
        <w:rPr>
          <w:rFonts w:ascii="Book Antiqua" w:hAnsi="Book Antiqua"/>
          <w:b/>
          <w:sz w:val="24"/>
          <w:szCs w:val="24"/>
        </w:rPr>
      </w:pPr>
      <w:r w:rsidRPr="00814BF6">
        <w:rPr>
          <w:rFonts w:ascii="Book Antiqua" w:hAnsi="Book Antiqua"/>
          <w:b/>
          <w:sz w:val="24"/>
          <w:szCs w:val="24"/>
        </w:rPr>
        <w:t>Article in press:</w:t>
      </w:r>
      <w:r w:rsidR="00286EF5">
        <w:rPr>
          <w:rFonts w:ascii="Book Antiqua" w:hAnsi="Book Antiqua"/>
          <w:sz w:val="24"/>
          <w:szCs w:val="24"/>
        </w:rPr>
        <w:t xml:space="preserve"> </w:t>
      </w:r>
    </w:p>
    <w:p w14:paraId="62D93FA6" w14:textId="77777777" w:rsidR="00CB4E88" w:rsidRPr="00814BF6" w:rsidRDefault="00CB4E88" w:rsidP="00814BF6">
      <w:pPr>
        <w:spacing w:after="0" w:line="360" w:lineRule="auto"/>
        <w:jc w:val="both"/>
        <w:rPr>
          <w:rFonts w:ascii="Book Antiqua" w:hAnsi="Book Antiqua" w:cs="Times New Roman"/>
          <w:sz w:val="24"/>
          <w:szCs w:val="24"/>
          <w:lang w:eastAsia="zh-CN"/>
        </w:rPr>
      </w:pPr>
      <w:r w:rsidRPr="00814BF6">
        <w:rPr>
          <w:rFonts w:ascii="Book Antiqua" w:hAnsi="Book Antiqua"/>
          <w:b/>
          <w:sz w:val="24"/>
          <w:szCs w:val="24"/>
        </w:rPr>
        <w:t>Published online:</w:t>
      </w:r>
    </w:p>
    <w:p w14:paraId="436BA4F0" w14:textId="77777777" w:rsidR="00CB4E88" w:rsidRPr="00814BF6" w:rsidRDefault="00CB4E88" w:rsidP="00814BF6">
      <w:pPr>
        <w:spacing w:after="0" w:line="360" w:lineRule="auto"/>
        <w:jc w:val="both"/>
        <w:rPr>
          <w:rFonts w:ascii="Book Antiqua" w:hAnsi="Book Antiqua" w:cs="Times New Roman"/>
          <w:sz w:val="24"/>
          <w:szCs w:val="24"/>
          <w:lang w:eastAsia="zh-CN"/>
        </w:rPr>
      </w:pPr>
    </w:p>
    <w:p w14:paraId="13A358AB" w14:textId="77777777" w:rsidR="004C5E33" w:rsidRPr="00814BF6" w:rsidRDefault="004C5E33" w:rsidP="00814BF6">
      <w:pPr>
        <w:spacing w:after="0" w:line="360" w:lineRule="auto"/>
        <w:jc w:val="both"/>
        <w:rPr>
          <w:rFonts w:ascii="Book Antiqua" w:eastAsiaTheme="majorEastAsia" w:hAnsi="Book Antiqua" w:cstheme="majorBidi"/>
          <w:b/>
          <w:bCs/>
          <w:sz w:val="24"/>
          <w:szCs w:val="24"/>
        </w:rPr>
      </w:pPr>
      <w:r w:rsidRPr="00814BF6">
        <w:rPr>
          <w:rFonts w:ascii="Book Antiqua" w:hAnsi="Book Antiqua"/>
          <w:sz w:val="24"/>
          <w:szCs w:val="24"/>
        </w:rPr>
        <w:br w:type="page"/>
      </w:r>
    </w:p>
    <w:p w14:paraId="7C8D448D" w14:textId="77777777" w:rsidR="003847A7" w:rsidRPr="00814BF6" w:rsidRDefault="00230EFE" w:rsidP="00814BF6">
      <w:pPr>
        <w:pStyle w:val="Heading1"/>
        <w:spacing w:before="0" w:line="360" w:lineRule="auto"/>
        <w:jc w:val="both"/>
        <w:rPr>
          <w:rFonts w:ascii="Book Antiqua" w:hAnsi="Book Antiqua"/>
          <w:color w:val="auto"/>
          <w:sz w:val="24"/>
          <w:szCs w:val="24"/>
          <w:lang w:eastAsia="zh-CN"/>
        </w:rPr>
      </w:pPr>
      <w:r w:rsidRPr="00814BF6">
        <w:rPr>
          <w:rFonts w:ascii="Book Antiqua" w:hAnsi="Book Antiqua"/>
          <w:color w:val="auto"/>
          <w:sz w:val="24"/>
          <w:szCs w:val="24"/>
        </w:rPr>
        <w:lastRenderedPageBreak/>
        <w:t>Abstract</w:t>
      </w:r>
    </w:p>
    <w:p w14:paraId="528BCA69" w14:textId="77777777" w:rsidR="00134529" w:rsidRPr="00814BF6" w:rsidRDefault="00FF15AC" w:rsidP="00814BF6">
      <w:pPr>
        <w:spacing w:after="0" w:line="360" w:lineRule="auto"/>
        <w:jc w:val="both"/>
        <w:rPr>
          <w:rFonts w:ascii="Book Antiqua" w:hAnsi="Book Antiqua" w:cs="Times New Roman"/>
          <w:sz w:val="24"/>
          <w:szCs w:val="24"/>
          <w:lang w:eastAsia="zh-CN"/>
        </w:rPr>
      </w:pPr>
      <w:r w:rsidRPr="00814BF6">
        <w:rPr>
          <w:rFonts w:ascii="Book Antiqua" w:hAnsi="Book Antiqua" w:cs="Times New Roman"/>
          <w:b/>
          <w:bCs/>
          <w:sz w:val="24"/>
          <w:szCs w:val="24"/>
          <w:lang w:eastAsia="zh-CN"/>
        </w:rPr>
        <w:t>AIM</w:t>
      </w:r>
      <w:r w:rsidRPr="00814BF6">
        <w:rPr>
          <w:rFonts w:ascii="Book Antiqua" w:hAnsi="Book Antiqua" w:cs="Times New Roman"/>
          <w:bCs/>
          <w:sz w:val="24"/>
          <w:szCs w:val="24"/>
          <w:lang w:eastAsia="zh-CN"/>
        </w:rPr>
        <w:t>:</w:t>
      </w:r>
      <w:r w:rsidRPr="00814BF6">
        <w:rPr>
          <w:rFonts w:ascii="Book Antiqua" w:hAnsi="Book Antiqua" w:cs="Times New Roman"/>
          <w:sz w:val="24"/>
          <w:szCs w:val="24"/>
        </w:rPr>
        <w:t xml:space="preserve"> </w:t>
      </w:r>
      <w:r w:rsidR="003800A8" w:rsidRPr="00814BF6">
        <w:rPr>
          <w:rFonts w:ascii="Book Antiqua" w:hAnsi="Book Antiqua" w:cs="Times New Roman"/>
          <w:sz w:val="24"/>
          <w:szCs w:val="24"/>
        </w:rPr>
        <w:t>T</w:t>
      </w:r>
      <w:r w:rsidR="00134529" w:rsidRPr="00814BF6">
        <w:rPr>
          <w:rFonts w:ascii="Book Antiqua" w:hAnsi="Book Antiqua" w:cs="Times New Roman"/>
          <w:sz w:val="24"/>
          <w:szCs w:val="24"/>
        </w:rPr>
        <w:t xml:space="preserve">o evaluate impact of radiation therapy dose escalation through </w:t>
      </w:r>
      <w:r w:rsidR="005A3EB4" w:rsidRPr="00814BF6">
        <w:rPr>
          <w:rFonts w:ascii="Book Antiqua" w:hAnsi="Book Antiqua" w:cs="Times New Roman"/>
          <w:sz w:val="24"/>
          <w:szCs w:val="24"/>
        </w:rPr>
        <w:t>intensity modulated radiation therapy with simultaneous integrated bo</w:t>
      </w:r>
      <w:r w:rsidR="00134529" w:rsidRPr="00814BF6">
        <w:rPr>
          <w:rFonts w:ascii="Book Antiqua" w:hAnsi="Book Antiqua" w:cs="Times New Roman"/>
          <w:sz w:val="24"/>
          <w:szCs w:val="24"/>
        </w:rPr>
        <w:t>ost (IMRT-SIB).</w:t>
      </w:r>
    </w:p>
    <w:p w14:paraId="57E0FB47" w14:textId="77777777" w:rsidR="003800A8" w:rsidRPr="00814BF6" w:rsidRDefault="003800A8" w:rsidP="00814BF6">
      <w:pPr>
        <w:spacing w:after="0" w:line="360" w:lineRule="auto"/>
        <w:jc w:val="both"/>
        <w:rPr>
          <w:rFonts w:ascii="Book Antiqua" w:hAnsi="Book Antiqua" w:cs="Times New Roman"/>
          <w:sz w:val="24"/>
          <w:szCs w:val="24"/>
          <w:lang w:eastAsia="zh-CN"/>
        </w:rPr>
      </w:pPr>
    </w:p>
    <w:p w14:paraId="6D14CA87" w14:textId="77777777" w:rsidR="00134529" w:rsidRPr="00814BF6" w:rsidRDefault="00FF15AC" w:rsidP="00814BF6">
      <w:pPr>
        <w:spacing w:after="0" w:line="360" w:lineRule="auto"/>
        <w:jc w:val="both"/>
        <w:rPr>
          <w:rFonts w:ascii="Book Antiqua" w:hAnsi="Book Antiqua" w:cs="Times New Roman"/>
          <w:sz w:val="24"/>
          <w:szCs w:val="24"/>
          <w:lang w:eastAsia="zh-CN"/>
        </w:rPr>
      </w:pPr>
      <w:r w:rsidRPr="00814BF6">
        <w:rPr>
          <w:rStyle w:val="Heading3Char"/>
          <w:rFonts w:ascii="Book Antiqua" w:hAnsi="Book Antiqua" w:cs="Times New Roman"/>
          <w:color w:val="auto"/>
          <w:sz w:val="24"/>
          <w:szCs w:val="24"/>
        </w:rPr>
        <w:t>METHODS</w:t>
      </w:r>
      <w:r w:rsidRPr="00814BF6">
        <w:rPr>
          <w:rStyle w:val="Heading3Char"/>
          <w:rFonts w:ascii="Book Antiqua" w:hAnsi="Book Antiqua" w:cs="Times New Roman"/>
          <w:color w:val="auto"/>
          <w:sz w:val="24"/>
          <w:szCs w:val="24"/>
          <w:lang w:eastAsia="zh-CN"/>
        </w:rPr>
        <w:t>:</w:t>
      </w:r>
      <w:r w:rsidRPr="00814BF6">
        <w:rPr>
          <w:rFonts w:ascii="Book Antiqua" w:hAnsi="Book Antiqua" w:cs="Times New Roman"/>
          <w:sz w:val="24"/>
          <w:szCs w:val="24"/>
        </w:rPr>
        <w:t xml:space="preserve"> </w:t>
      </w:r>
      <w:r w:rsidR="00134529" w:rsidRPr="00814BF6">
        <w:rPr>
          <w:rFonts w:ascii="Book Antiqua" w:hAnsi="Book Antiqua" w:cs="Times New Roman"/>
          <w:sz w:val="24"/>
          <w:szCs w:val="24"/>
        </w:rPr>
        <w:t xml:space="preserve">We retrospectively reviewed the patients who underwent 4D-based IMRT-SIB-based neoadjuvant chemoradiation protocol. </w:t>
      </w:r>
      <w:r w:rsidR="00134529" w:rsidRPr="00814BF6">
        <w:rPr>
          <w:rFonts w:ascii="Book Antiqua" w:hAnsi="Book Antiqua" w:cs="Times New Roman"/>
          <w:sz w:val="24"/>
          <w:szCs w:val="24"/>
          <w:lang w:eastAsia="zh-CN"/>
        </w:rPr>
        <w:t xml:space="preserve">During the </w:t>
      </w:r>
      <w:r w:rsidR="00134529" w:rsidRPr="00814BF6">
        <w:rPr>
          <w:rFonts w:ascii="Book Antiqua" w:hAnsi="Book Antiqua" w:cs="Times New Roman"/>
          <w:sz w:val="24"/>
          <w:szCs w:val="24"/>
        </w:rPr>
        <w:t>concurrent chemoradiation therapy</w:t>
      </w:r>
      <w:r w:rsidR="003800A8" w:rsidRPr="00814BF6">
        <w:rPr>
          <w:rFonts w:ascii="Book Antiqua" w:hAnsi="Book Antiqua" w:cs="Times New Roman"/>
          <w:sz w:val="24"/>
          <w:szCs w:val="24"/>
          <w:lang w:eastAsia="zh-CN"/>
        </w:rPr>
        <w:t>,</w:t>
      </w:r>
      <w:r w:rsidR="00134529" w:rsidRPr="00814BF6">
        <w:rPr>
          <w:rFonts w:ascii="Book Antiqua" w:hAnsi="Book Antiqua" w:cs="Times New Roman"/>
          <w:sz w:val="24"/>
          <w:szCs w:val="24"/>
        </w:rPr>
        <w:t xml:space="preserve"> radiation therapy was through IMRT-SIB delivered in 28 consecutive daily fractions with total radiation doses of 56 Gy to tumor and 5040 Gy dose-painted to clinical tumor volume, with a regimen at the discretion of the treating medical oncologist. This was followed by surgical tumor resection</w:t>
      </w:r>
      <w:r w:rsidR="00134529" w:rsidRPr="00814BF6">
        <w:rPr>
          <w:rFonts w:ascii="Book Antiqua" w:hAnsi="Book Antiqua" w:cs="Times New Roman"/>
          <w:sz w:val="24"/>
          <w:szCs w:val="24"/>
          <w:lang w:eastAsia="zh-CN"/>
        </w:rPr>
        <w:t>. We</w:t>
      </w:r>
      <w:r w:rsidR="00134529" w:rsidRPr="00814BF6">
        <w:rPr>
          <w:rFonts w:ascii="Book Antiqua" w:hAnsi="Book Antiqua" w:cs="Times New Roman"/>
          <w:sz w:val="24"/>
          <w:szCs w:val="24"/>
        </w:rPr>
        <w:t xml:space="preserve"> ana</w:t>
      </w:r>
      <w:r w:rsidR="00134529" w:rsidRPr="00814BF6">
        <w:rPr>
          <w:rFonts w:ascii="Book Antiqua" w:hAnsi="Book Antiqua" w:cs="Times New Roman"/>
          <w:sz w:val="24"/>
          <w:szCs w:val="24"/>
          <w:lang w:eastAsia="zh-CN"/>
        </w:rPr>
        <w:t>lyzed</w:t>
      </w:r>
      <w:r w:rsidR="00134529" w:rsidRPr="00814BF6">
        <w:rPr>
          <w:rFonts w:ascii="Book Antiqua" w:hAnsi="Book Antiqua" w:cs="Times New Roman"/>
          <w:sz w:val="24"/>
          <w:szCs w:val="24"/>
        </w:rPr>
        <w:t xml:space="preserve"> pathological completion response (pCR) rates</w:t>
      </w:r>
      <w:r w:rsidR="00134529" w:rsidRPr="00814BF6">
        <w:rPr>
          <w:rFonts w:ascii="Book Antiqua" w:hAnsi="Book Antiqua" w:cs="Times New Roman"/>
          <w:sz w:val="24"/>
          <w:szCs w:val="24"/>
          <w:lang w:eastAsia="zh-CN"/>
        </w:rPr>
        <w:t xml:space="preserve"> its relationship with </w:t>
      </w:r>
      <w:r w:rsidR="00E80C70" w:rsidRPr="00814BF6">
        <w:rPr>
          <w:rFonts w:ascii="Book Antiqua" w:hAnsi="Book Antiqua" w:cs="Times New Roman"/>
          <w:sz w:val="24"/>
          <w:szCs w:val="24"/>
        </w:rPr>
        <w:t>o</w:t>
      </w:r>
      <w:r w:rsidR="00134529" w:rsidRPr="00814BF6">
        <w:rPr>
          <w:rFonts w:ascii="Book Antiqua" w:hAnsi="Book Antiqua" w:cs="Times New Roman"/>
          <w:sz w:val="24"/>
          <w:szCs w:val="24"/>
        </w:rPr>
        <w:t>verall survival and event-free survival.</w:t>
      </w:r>
    </w:p>
    <w:p w14:paraId="51AA80EC" w14:textId="77777777" w:rsidR="003800A8" w:rsidRPr="00814BF6" w:rsidRDefault="003800A8" w:rsidP="00814BF6">
      <w:pPr>
        <w:spacing w:after="0" w:line="360" w:lineRule="auto"/>
        <w:jc w:val="both"/>
        <w:rPr>
          <w:rFonts w:ascii="Book Antiqua" w:hAnsi="Book Antiqua" w:cs="Times New Roman"/>
          <w:sz w:val="24"/>
          <w:szCs w:val="24"/>
          <w:lang w:eastAsia="zh-CN"/>
        </w:rPr>
      </w:pPr>
    </w:p>
    <w:p w14:paraId="1520BC86" w14:textId="77777777" w:rsidR="00134529" w:rsidRPr="00814BF6" w:rsidRDefault="003800A8" w:rsidP="00814BF6">
      <w:pPr>
        <w:spacing w:after="0" w:line="360" w:lineRule="auto"/>
        <w:jc w:val="both"/>
        <w:rPr>
          <w:rFonts w:ascii="Book Antiqua" w:hAnsi="Book Antiqua" w:cs="Times New Roman"/>
          <w:sz w:val="24"/>
          <w:szCs w:val="24"/>
          <w:lang w:eastAsia="zh-CN"/>
        </w:rPr>
      </w:pPr>
      <w:r w:rsidRPr="00814BF6">
        <w:rPr>
          <w:rStyle w:val="Heading3Char"/>
          <w:rFonts w:ascii="Book Antiqua" w:hAnsi="Book Antiqua" w:cs="Times New Roman"/>
          <w:color w:val="auto"/>
          <w:sz w:val="24"/>
          <w:szCs w:val="24"/>
        </w:rPr>
        <w:t>RESULTS</w:t>
      </w:r>
      <w:r w:rsidRPr="00814BF6">
        <w:rPr>
          <w:rStyle w:val="Heading3Char"/>
          <w:rFonts w:ascii="Book Antiqua" w:hAnsi="Book Antiqua" w:cs="Times New Roman"/>
          <w:color w:val="auto"/>
          <w:sz w:val="24"/>
          <w:szCs w:val="24"/>
          <w:lang w:eastAsia="zh-CN"/>
        </w:rPr>
        <w:t>:</w:t>
      </w:r>
      <w:r w:rsidR="00134529" w:rsidRPr="00814BF6">
        <w:rPr>
          <w:rFonts w:ascii="Book Antiqua" w:hAnsi="Book Antiqua" w:cs="Times New Roman"/>
          <w:sz w:val="24"/>
          <w:szCs w:val="24"/>
        </w:rPr>
        <w:t xml:space="preserve"> Seventeen patients underwent dose escalation with the IMRT-SIB protocol between 2007 and 2014 and their records were available for analysis. Among the IMRT-SIB-treated patients, the toxicity appeared </w:t>
      </w:r>
      <w:proofErr w:type="gramStart"/>
      <w:r w:rsidR="00134529" w:rsidRPr="00814BF6">
        <w:rPr>
          <w:rFonts w:ascii="Book Antiqua" w:hAnsi="Book Antiqua" w:cs="Times New Roman"/>
          <w:sz w:val="24"/>
          <w:szCs w:val="24"/>
        </w:rPr>
        <w:t>mild,</w:t>
      </w:r>
      <w:proofErr w:type="gramEnd"/>
      <w:r w:rsidR="00134529" w:rsidRPr="00814BF6">
        <w:rPr>
          <w:rFonts w:ascii="Book Antiqua" w:hAnsi="Book Antiqua" w:cs="Times New Roman"/>
          <w:sz w:val="24"/>
          <w:szCs w:val="24"/>
        </w:rPr>
        <w:t xml:space="preserve"> the most common side effects were Grade 1</w:t>
      </w:r>
      <w:r w:rsidR="004E06E5" w:rsidRPr="00814BF6">
        <w:rPr>
          <w:rFonts w:ascii="Book Antiqua" w:hAnsi="Book Antiqua" w:cs="Times New Roman"/>
          <w:sz w:val="24"/>
          <w:szCs w:val="24"/>
          <w:lang w:eastAsia="zh-CN"/>
        </w:rPr>
        <w:t>-</w:t>
      </w:r>
      <w:r w:rsidR="00134529" w:rsidRPr="00814BF6">
        <w:rPr>
          <w:rFonts w:ascii="Book Antiqua" w:hAnsi="Book Antiqua" w:cs="Times New Roman"/>
          <w:sz w:val="24"/>
          <w:szCs w:val="24"/>
        </w:rPr>
        <w:t>3 esophagitis (46%) and pneumonitis (11.7%). There were no cardiac events. The Ro resection rate was 94% (</w:t>
      </w:r>
      <w:r w:rsidR="00134529" w:rsidRPr="00814BF6">
        <w:rPr>
          <w:rFonts w:ascii="Book Antiqua" w:hAnsi="Book Antiqua" w:cs="Times New Roman"/>
          <w:i/>
          <w:sz w:val="24"/>
          <w:szCs w:val="24"/>
        </w:rPr>
        <w:t>n</w:t>
      </w:r>
      <w:r w:rsidR="00134529" w:rsidRPr="00814BF6">
        <w:rPr>
          <w:rFonts w:ascii="Book Antiqua" w:hAnsi="Book Antiqua" w:cs="Times New Roman"/>
          <w:sz w:val="24"/>
          <w:szCs w:val="24"/>
        </w:rPr>
        <w:t xml:space="preserve"> = 16), the pCR rate was 47% (</w:t>
      </w:r>
      <w:r w:rsidR="00134529" w:rsidRPr="00814BF6">
        <w:rPr>
          <w:rFonts w:ascii="Book Antiqua" w:hAnsi="Book Antiqua" w:cs="Times New Roman"/>
          <w:i/>
          <w:sz w:val="24"/>
          <w:szCs w:val="24"/>
        </w:rPr>
        <w:t>n</w:t>
      </w:r>
      <w:r w:rsidR="00134529" w:rsidRPr="00814BF6">
        <w:rPr>
          <w:rFonts w:ascii="Book Antiqua" w:hAnsi="Book Antiqua" w:cs="Times New Roman"/>
          <w:sz w:val="24"/>
          <w:szCs w:val="24"/>
        </w:rPr>
        <w:t xml:space="preserve"> = 8), and the postoperative morbidity was zero. There was one mediastinal failure found, one patient had local failure at the anastomosis site, and the majority of failures were distant in the lung or bone. The 3-year disease-free survival and overall survival rates were 41% (</w:t>
      </w:r>
      <w:r w:rsidR="00134529" w:rsidRPr="00814BF6">
        <w:rPr>
          <w:rFonts w:ascii="Book Antiqua" w:hAnsi="Book Antiqua" w:cs="Times New Roman"/>
          <w:i/>
          <w:sz w:val="24"/>
          <w:szCs w:val="24"/>
        </w:rPr>
        <w:t>n</w:t>
      </w:r>
      <w:r w:rsidR="00134529" w:rsidRPr="00814BF6">
        <w:rPr>
          <w:rFonts w:ascii="Book Antiqua" w:hAnsi="Book Antiqua" w:cs="Times New Roman"/>
          <w:sz w:val="24"/>
          <w:szCs w:val="24"/>
        </w:rPr>
        <w:t xml:space="preserve"> = 7) and 53% (</w:t>
      </w:r>
      <w:r w:rsidR="00134529" w:rsidRPr="00814BF6">
        <w:rPr>
          <w:rFonts w:ascii="Book Antiqua" w:hAnsi="Book Antiqua" w:cs="Times New Roman"/>
          <w:i/>
          <w:sz w:val="24"/>
          <w:szCs w:val="24"/>
        </w:rPr>
        <w:t>n</w:t>
      </w:r>
      <w:r w:rsidR="00134529" w:rsidRPr="00814BF6">
        <w:rPr>
          <w:rFonts w:ascii="Book Antiqua" w:hAnsi="Book Antiqua" w:cs="Times New Roman"/>
          <w:sz w:val="24"/>
          <w:szCs w:val="24"/>
        </w:rPr>
        <w:t xml:space="preserve"> = 9), respectively. </w:t>
      </w:r>
    </w:p>
    <w:p w14:paraId="23ED0B8A" w14:textId="77777777" w:rsidR="004E06E5" w:rsidRPr="00814BF6" w:rsidRDefault="004E06E5" w:rsidP="00814BF6">
      <w:pPr>
        <w:spacing w:after="0" w:line="360" w:lineRule="auto"/>
        <w:jc w:val="both"/>
        <w:rPr>
          <w:rFonts w:ascii="Book Antiqua" w:hAnsi="Book Antiqua" w:cs="Times New Roman"/>
          <w:b/>
          <w:sz w:val="24"/>
          <w:szCs w:val="24"/>
          <w:lang w:eastAsia="zh-CN"/>
        </w:rPr>
      </w:pPr>
    </w:p>
    <w:p w14:paraId="57E08313" w14:textId="77777777" w:rsidR="00134529" w:rsidRPr="00814BF6" w:rsidRDefault="004E06E5" w:rsidP="00814BF6">
      <w:pPr>
        <w:pStyle w:val="Heading2"/>
        <w:spacing w:before="0" w:line="360" w:lineRule="auto"/>
        <w:jc w:val="both"/>
        <w:rPr>
          <w:rFonts w:ascii="Book Antiqua" w:hAnsi="Book Antiqua" w:cs="Times New Roman"/>
          <w:b w:val="0"/>
          <w:color w:val="auto"/>
          <w:sz w:val="24"/>
          <w:szCs w:val="24"/>
        </w:rPr>
      </w:pPr>
      <w:r w:rsidRPr="00814BF6">
        <w:rPr>
          <w:rFonts w:ascii="Book Antiqua" w:hAnsi="Book Antiqua" w:cs="Times New Roman"/>
          <w:b w:val="0"/>
          <w:color w:val="auto"/>
          <w:sz w:val="24"/>
          <w:szCs w:val="24"/>
        </w:rPr>
        <w:t xml:space="preserve"> </w:t>
      </w:r>
      <w:r w:rsidRPr="00814BF6">
        <w:rPr>
          <w:rStyle w:val="Heading3Char"/>
          <w:rFonts w:ascii="Book Antiqua" w:hAnsi="Book Antiqua" w:cs="Times New Roman"/>
          <w:b/>
          <w:bCs/>
          <w:color w:val="auto"/>
          <w:sz w:val="24"/>
          <w:szCs w:val="24"/>
        </w:rPr>
        <w:t>CONCLUSION</w:t>
      </w:r>
      <w:r w:rsidRPr="00814BF6">
        <w:rPr>
          <w:rStyle w:val="Heading3Char"/>
          <w:rFonts w:ascii="Book Antiqua" w:hAnsi="Book Antiqua" w:cs="Times New Roman"/>
          <w:color w:val="auto"/>
          <w:sz w:val="24"/>
          <w:szCs w:val="24"/>
          <w:lang w:eastAsia="zh-CN"/>
        </w:rPr>
        <w:t>:</w:t>
      </w:r>
      <w:r w:rsidRPr="00814BF6">
        <w:rPr>
          <w:rFonts w:ascii="Book Antiqua" w:hAnsi="Book Antiqua" w:cs="Times New Roman"/>
          <w:b w:val="0"/>
          <w:color w:val="auto"/>
          <w:sz w:val="24"/>
          <w:szCs w:val="24"/>
        </w:rPr>
        <w:t xml:space="preserve"> </w:t>
      </w:r>
      <w:r w:rsidR="00134529" w:rsidRPr="00814BF6">
        <w:rPr>
          <w:rFonts w:ascii="Book Antiqua" w:hAnsi="Book Antiqua" w:cs="Times New Roman"/>
          <w:b w:val="0"/>
          <w:color w:val="auto"/>
          <w:sz w:val="24"/>
          <w:szCs w:val="24"/>
        </w:rPr>
        <w:t xml:space="preserve">The dose escalation through IMRT-SIB in the chemoradiation regimen seems responsible for down-staging the distal esophageal </w:t>
      </w:r>
      <w:r w:rsidR="00134529" w:rsidRPr="00814BF6">
        <w:rPr>
          <w:rFonts w:ascii="Book Antiqua" w:hAnsi="Book Antiqua" w:cs="Times New Roman"/>
          <w:b w:val="0"/>
          <w:color w:val="auto"/>
          <w:sz w:val="24"/>
          <w:szCs w:val="24"/>
          <w:lang w:eastAsia="zh-CN"/>
        </w:rPr>
        <w:t>with</w:t>
      </w:r>
      <w:r w:rsidR="00134529" w:rsidRPr="00814BF6">
        <w:rPr>
          <w:rFonts w:ascii="Book Antiqua" w:hAnsi="Book Antiqua" w:cs="Times New Roman"/>
          <w:b w:val="0"/>
          <w:color w:val="auto"/>
          <w:sz w:val="24"/>
          <w:szCs w:val="24"/>
        </w:rPr>
        <w:t xml:space="preserve"> well-tolerated complications.</w:t>
      </w:r>
    </w:p>
    <w:p w14:paraId="5B1156DA" w14:textId="77777777" w:rsidR="008D2940" w:rsidRPr="00814BF6" w:rsidRDefault="00F201A7" w:rsidP="00814BF6">
      <w:pPr>
        <w:spacing w:after="0" w:line="360" w:lineRule="auto"/>
        <w:jc w:val="both"/>
        <w:rPr>
          <w:rFonts w:ascii="Book Antiqua" w:hAnsi="Book Antiqua" w:cs="Times New Roman"/>
          <w:sz w:val="24"/>
          <w:szCs w:val="24"/>
          <w:lang w:eastAsia="zh-CN"/>
        </w:rPr>
      </w:pPr>
      <w:r w:rsidRPr="00814BF6">
        <w:rPr>
          <w:rFonts w:ascii="Book Antiqua" w:hAnsi="Book Antiqua" w:cs="Times New Roman"/>
          <w:sz w:val="24"/>
          <w:szCs w:val="24"/>
        </w:rPr>
        <w:br w:type="page"/>
      </w:r>
      <w:r w:rsidR="005F3B12" w:rsidRPr="00814BF6">
        <w:rPr>
          <w:rFonts w:ascii="Book Antiqua" w:hAnsi="Book Antiqua" w:cs="Times New Roman"/>
          <w:b/>
          <w:sz w:val="24"/>
          <w:szCs w:val="24"/>
        </w:rPr>
        <w:lastRenderedPageBreak/>
        <w:t xml:space="preserve">Key </w:t>
      </w:r>
      <w:r w:rsidR="00E80C70" w:rsidRPr="00814BF6">
        <w:rPr>
          <w:rFonts w:ascii="Book Antiqua" w:hAnsi="Book Antiqua" w:cs="Times New Roman"/>
          <w:b/>
          <w:sz w:val="24"/>
          <w:szCs w:val="24"/>
        </w:rPr>
        <w:t>w</w:t>
      </w:r>
      <w:r w:rsidR="005F3B12" w:rsidRPr="00814BF6">
        <w:rPr>
          <w:rFonts w:ascii="Book Antiqua" w:hAnsi="Book Antiqua" w:cs="Times New Roman"/>
          <w:b/>
          <w:sz w:val="24"/>
          <w:szCs w:val="24"/>
        </w:rPr>
        <w:t>ords:</w:t>
      </w:r>
      <w:r w:rsidRPr="00814BF6">
        <w:rPr>
          <w:rFonts w:ascii="Book Antiqua" w:hAnsi="Book Antiqua" w:cs="Times New Roman"/>
          <w:sz w:val="24"/>
          <w:szCs w:val="24"/>
        </w:rPr>
        <w:t xml:space="preserve"> </w:t>
      </w:r>
      <w:r w:rsidR="00E80C70" w:rsidRPr="00814BF6">
        <w:rPr>
          <w:rFonts w:ascii="Book Antiqua" w:hAnsi="Book Antiqua" w:cs="Times New Roman"/>
          <w:sz w:val="24"/>
          <w:szCs w:val="24"/>
        </w:rPr>
        <w:t>Intensity modulated radiation therapy</w:t>
      </w:r>
      <w:r w:rsidR="00E80C70" w:rsidRPr="00814BF6">
        <w:rPr>
          <w:rFonts w:ascii="Book Antiqua" w:hAnsi="Book Antiqua" w:cs="Times New Roman"/>
          <w:sz w:val="24"/>
          <w:szCs w:val="24"/>
          <w:lang w:eastAsia="zh-CN"/>
        </w:rPr>
        <w:t>;</w:t>
      </w:r>
      <w:r w:rsidRPr="00814BF6">
        <w:rPr>
          <w:rFonts w:ascii="Book Antiqua" w:hAnsi="Book Antiqua" w:cs="Times New Roman"/>
          <w:sz w:val="24"/>
          <w:szCs w:val="24"/>
        </w:rPr>
        <w:t xml:space="preserve"> </w:t>
      </w:r>
      <w:r w:rsidR="00E80C70" w:rsidRPr="00814BF6">
        <w:rPr>
          <w:rFonts w:ascii="Book Antiqua" w:hAnsi="Book Antiqua" w:cs="Times New Roman"/>
          <w:sz w:val="24"/>
          <w:szCs w:val="24"/>
        </w:rPr>
        <w:t>Simultaneous integrated boost</w:t>
      </w:r>
      <w:r w:rsidR="00E80C70" w:rsidRPr="00814BF6">
        <w:rPr>
          <w:rFonts w:ascii="Book Antiqua" w:hAnsi="Book Antiqua" w:cs="Times New Roman"/>
          <w:sz w:val="24"/>
          <w:szCs w:val="24"/>
          <w:lang w:eastAsia="zh-CN"/>
        </w:rPr>
        <w:t>;</w:t>
      </w:r>
      <w:r w:rsidRPr="00814BF6">
        <w:rPr>
          <w:rFonts w:ascii="Book Antiqua" w:hAnsi="Book Antiqua" w:cs="Times New Roman"/>
          <w:sz w:val="24"/>
          <w:szCs w:val="24"/>
        </w:rPr>
        <w:t xml:space="preserve"> </w:t>
      </w:r>
      <w:r w:rsidR="00E80C70" w:rsidRPr="00814BF6">
        <w:rPr>
          <w:rFonts w:ascii="Book Antiqua" w:hAnsi="Book Antiqua" w:cs="Times New Roman"/>
          <w:sz w:val="24"/>
          <w:szCs w:val="24"/>
        </w:rPr>
        <w:t>E</w:t>
      </w:r>
      <w:r w:rsidRPr="00814BF6">
        <w:rPr>
          <w:rFonts w:ascii="Book Antiqua" w:hAnsi="Book Antiqua" w:cs="Times New Roman"/>
          <w:sz w:val="24"/>
          <w:szCs w:val="24"/>
        </w:rPr>
        <w:t>sophageal adenocarcinoma</w:t>
      </w:r>
      <w:r w:rsidR="00E80C70" w:rsidRPr="00814BF6">
        <w:rPr>
          <w:rFonts w:ascii="Book Antiqua" w:hAnsi="Book Antiqua" w:cs="Times New Roman"/>
          <w:sz w:val="24"/>
          <w:szCs w:val="24"/>
          <w:lang w:eastAsia="zh-CN"/>
        </w:rPr>
        <w:t>;</w:t>
      </w:r>
      <w:r w:rsidRPr="00814BF6">
        <w:rPr>
          <w:rFonts w:ascii="Book Antiqua" w:hAnsi="Book Antiqua" w:cs="Times New Roman"/>
          <w:sz w:val="24"/>
          <w:szCs w:val="24"/>
        </w:rPr>
        <w:t xml:space="preserve"> </w:t>
      </w:r>
      <w:r w:rsidR="00E80C70" w:rsidRPr="00814BF6">
        <w:rPr>
          <w:rFonts w:ascii="Book Antiqua" w:hAnsi="Book Antiqua" w:cs="Times New Roman"/>
          <w:sz w:val="24"/>
          <w:szCs w:val="24"/>
        </w:rPr>
        <w:t>N</w:t>
      </w:r>
      <w:r w:rsidRPr="00814BF6">
        <w:rPr>
          <w:rFonts w:ascii="Book Antiqua" w:hAnsi="Book Antiqua" w:cs="Times New Roman"/>
          <w:sz w:val="24"/>
          <w:szCs w:val="24"/>
        </w:rPr>
        <w:t>eoadjuvant chemoradiation</w:t>
      </w:r>
      <w:r w:rsidR="00E80C70" w:rsidRPr="00814BF6">
        <w:rPr>
          <w:rFonts w:ascii="Book Antiqua" w:hAnsi="Book Antiqua" w:cs="Times New Roman"/>
          <w:sz w:val="24"/>
          <w:szCs w:val="24"/>
          <w:lang w:eastAsia="zh-CN"/>
        </w:rPr>
        <w:t>;</w:t>
      </w:r>
      <w:r w:rsidRPr="00814BF6">
        <w:rPr>
          <w:rFonts w:ascii="Book Antiqua" w:hAnsi="Book Antiqua" w:cs="Times New Roman"/>
          <w:sz w:val="24"/>
          <w:szCs w:val="24"/>
        </w:rPr>
        <w:t xml:space="preserve"> </w:t>
      </w:r>
      <w:r w:rsidR="00E80C70" w:rsidRPr="00814BF6">
        <w:rPr>
          <w:rFonts w:ascii="Book Antiqua" w:hAnsi="Book Antiqua" w:cs="Times New Roman"/>
          <w:sz w:val="24"/>
          <w:szCs w:val="24"/>
        </w:rPr>
        <w:t>D</w:t>
      </w:r>
      <w:r w:rsidRPr="00814BF6">
        <w:rPr>
          <w:rFonts w:ascii="Book Antiqua" w:hAnsi="Book Antiqua" w:cs="Times New Roman"/>
          <w:sz w:val="24"/>
          <w:szCs w:val="24"/>
        </w:rPr>
        <w:t>ose escalation</w:t>
      </w:r>
      <w:r w:rsidR="00E80C70" w:rsidRPr="00814BF6">
        <w:rPr>
          <w:rFonts w:ascii="Book Antiqua" w:hAnsi="Book Antiqua" w:cs="Times New Roman"/>
          <w:sz w:val="24"/>
          <w:szCs w:val="24"/>
          <w:lang w:eastAsia="zh-CN"/>
        </w:rPr>
        <w:t>;</w:t>
      </w:r>
      <w:r w:rsidRPr="00814BF6">
        <w:rPr>
          <w:rFonts w:ascii="Book Antiqua" w:hAnsi="Book Antiqua" w:cs="Times New Roman"/>
          <w:sz w:val="24"/>
          <w:szCs w:val="24"/>
        </w:rPr>
        <w:t xml:space="preserve"> </w:t>
      </w:r>
      <w:r w:rsidR="00E80C70" w:rsidRPr="00814BF6">
        <w:rPr>
          <w:rFonts w:ascii="Book Antiqua" w:hAnsi="Book Antiqua" w:cs="Times New Roman"/>
          <w:sz w:val="24"/>
          <w:szCs w:val="24"/>
        </w:rPr>
        <w:t>R</w:t>
      </w:r>
      <w:r w:rsidRPr="00814BF6">
        <w:rPr>
          <w:rFonts w:ascii="Book Antiqua" w:hAnsi="Book Antiqua" w:cs="Times New Roman"/>
          <w:sz w:val="24"/>
          <w:szCs w:val="24"/>
        </w:rPr>
        <w:t>esection rate</w:t>
      </w:r>
    </w:p>
    <w:p w14:paraId="433DD910" w14:textId="77777777" w:rsidR="00E80C70" w:rsidRPr="00814BF6" w:rsidRDefault="00E80C70" w:rsidP="00814BF6">
      <w:pPr>
        <w:spacing w:after="0" w:line="360" w:lineRule="auto"/>
        <w:jc w:val="both"/>
        <w:rPr>
          <w:rFonts w:ascii="Book Antiqua" w:hAnsi="Book Antiqua" w:cs="Times New Roman"/>
          <w:sz w:val="24"/>
          <w:szCs w:val="24"/>
          <w:lang w:eastAsia="zh-CN"/>
        </w:rPr>
      </w:pPr>
    </w:p>
    <w:p w14:paraId="36BD1BEC" w14:textId="77777777" w:rsidR="00E80C70" w:rsidRPr="00814BF6" w:rsidRDefault="00E80C70" w:rsidP="00814BF6">
      <w:pPr>
        <w:spacing w:after="0" w:line="360" w:lineRule="auto"/>
        <w:jc w:val="both"/>
        <w:rPr>
          <w:rFonts w:ascii="Book Antiqua" w:hAnsi="Book Antiqua" w:cs="Arial"/>
          <w:sz w:val="24"/>
          <w:szCs w:val="24"/>
        </w:rPr>
      </w:pPr>
      <w:proofErr w:type="gramStart"/>
      <w:r w:rsidRPr="00814BF6">
        <w:rPr>
          <w:rFonts w:ascii="Book Antiqua" w:hAnsi="Book Antiqua"/>
          <w:b/>
          <w:sz w:val="24"/>
          <w:szCs w:val="24"/>
        </w:rPr>
        <w:t xml:space="preserve">© </w:t>
      </w:r>
      <w:r w:rsidRPr="00814BF6">
        <w:rPr>
          <w:rFonts w:ascii="Book Antiqua" w:hAnsi="Book Antiqua" w:cs="Arial"/>
          <w:b/>
          <w:sz w:val="24"/>
          <w:szCs w:val="24"/>
        </w:rPr>
        <w:t>The Author(s) 2016.</w:t>
      </w:r>
      <w:proofErr w:type="gramEnd"/>
      <w:r w:rsidRPr="00814BF6">
        <w:rPr>
          <w:rFonts w:ascii="Book Antiqua" w:hAnsi="Book Antiqua" w:cs="Arial"/>
          <w:sz w:val="24"/>
          <w:szCs w:val="24"/>
        </w:rPr>
        <w:t xml:space="preserve"> Published by Baishideng Publishing Group Inc. All rights reserved.</w:t>
      </w:r>
    </w:p>
    <w:p w14:paraId="0FE4EFCC" w14:textId="77777777" w:rsidR="00E80C70" w:rsidRPr="00814BF6" w:rsidRDefault="00E80C70" w:rsidP="00814BF6">
      <w:pPr>
        <w:spacing w:after="0" w:line="360" w:lineRule="auto"/>
        <w:jc w:val="both"/>
        <w:rPr>
          <w:rFonts w:ascii="Book Antiqua" w:hAnsi="Book Antiqua" w:cs="Times New Roman"/>
          <w:sz w:val="24"/>
          <w:szCs w:val="24"/>
          <w:lang w:eastAsia="zh-CN"/>
        </w:rPr>
      </w:pPr>
    </w:p>
    <w:p w14:paraId="5CD02E63" w14:textId="77777777" w:rsidR="005879EF" w:rsidRPr="00814BF6" w:rsidRDefault="00E80C70" w:rsidP="00814BF6">
      <w:pPr>
        <w:spacing w:after="0" w:line="360" w:lineRule="auto"/>
        <w:jc w:val="both"/>
        <w:rPr>
          <w:rFonts w:ascii="Book Antiqua" w:hAnsi="Book Antiqua"/>
          <w:sz w:val="24"/>
          <w:szCs w:val="24"/>
        </w:rPr>
      </w:pPr>
      <w:r w:rsidRPr="00814BF6">
        <w:rPr>
          <w:rFonts w:ascii="Book Antiqua" w:hAnsi="Book Antiqua"/>
          <w:b/>
          <w:sz w:val="24"/>
          <w:szCs w:val="24"/>
        </w:rPr>
        <w:t>Core tip</w:t>
      </w:r>
      <w:r w:rsidR="005879EF" w:rsidRPr="00814BF6">
        <w:rPr>
          <w:rFonts w:ascii="Book Antiqua" w:hAnsi="Book Antiqua"/>
          <w:b/>
          <w:sz w:val="24"/>
          <w:szCs w:val="24"/>
        </w:rPr>
        <w:t xml:space="preserve">: </w:t>
      </w:r>
      <w:r w:rsidR="005879EF" w:rsidRPr="00814BF6">
        <w:rPr>
          <w:rFonts w:ascii="Book Antiqua" w:hAnsi="Book Antiqua"/>
          <w:sz w:val="24"/>
          <w:szCs w:val="24"/>
        </w:rPr>
        <w:t>There are more data supporting neoadjuvant chemoradiation for locally advanced esophageal cancer.</w:t>
      </w:r>
      <w:r w:rsidR="00286EF5">
        <w:rPr>
          <w:rFonts w:ascii="Book Antiqua" w:hAnsi="Book Antiqua"/>
          <w:sz w:val="24"/>
          <w:szCs w:val="24"/>
        </w:rPr>
        <w:t xml:space="preserve"> </w:t>
      </w:r>
      <w:r w:rsidR="005879EF" w:rsidRPr="00814BF6">
        <w:rPr>
          <w:rFonts w:ascii="Book Antiqua" w:hAnsi="Book Antiqua"/>
          <w:sz w:val="24"/>
          <w:szCs w:val="24"/>
        </w:rPr>
        <w:t xml:space="preserve">The best regimen of neoadjuvant chemoradiation remains to be defined, current available data using 3D </w:t>
      </w:r>
      <w:r w:rsidR="005879EF" w:rsidRPr="00814BF6">
        <w:rPr>
          <w:rFonts w:ascii="Book Antiqua" w:hAnsi="Book Antiqua"/>
          <w:i/>
          <w:sz w:val="24"/>
          <w:szCs w:val="24"/>
        </w:rPr>
        <w:t>vs</w:t>
      </w:r>
      <w:r w:rsidR="00B71343" w:rsidRPr="00814BF6">
        <w:rPr>
          <w:rFonts w:ascii="Book Antiqua" w:hAnsi="Book Antiqua"/>
          <w:i/>
          <w:sz w:val="24"/>
          <w:szCs w:val="24"/>
        </w:rPr>
        <w:t xml:space="preserve"> </w:t>
      </w:r>
      <w:r w:rsidR="00B71343" w:rsidRPr="00814BF6">
        <w:rPr>
          <w:rFonts w:ascii="Book Antiqua" w:hAnsi="Book Antiqua" w:cs="Times New Roman"/>
          <w:sz w:val="24"/>
          <w:szCs w:val="24"/>
        </w:rPr>
        <w:t>intensity modulated radiation therapy</w:t>
      </w:r>
      <w:r w:rsidR="005879EF" w:rsidRPr="00814BF6">
        <w:rPr>
          <w:rFonts w:ascii="Book Antiqua" w:hAnsi="Book Antiqua"/>
          <w:sz w:val="24"/>
          <w:szCs w:val="24"/>
        </w:rPr>
        <w:t xml:space="preserve"> deliver mode</w:t>
      </w:r>
      <w:r w:rsidR="00B71343" w:rsidRPr="00814BF6">
        <w:rPr>
          <w:rFonts w:ascii="Book Antiqua" w:hAnsi="Book Antiqua"/>
          <w:sz w:val="24"/>
          <w:szCs w:val="24"/>
        </w:rPr>
        <w:t>st dose to downstage the tumor.</w:t>
      </w:r>
      <w:r w:rsidR="005879EF" w:rsidRPr="00814BF6">
        <w:rPr>
          <w:rFonts w:ascii="Book Antiqua" w:hAnsi="Book Antiqua"/>
          <w:sz w:val="24"/>
          <w:szCs w:val="24"/>
        </w:rPr>
        <w:t xml:space="preserve"> In this report, we reviewed our experience using dose escalation technique to GTV with compromising dose to organ at risk, the high R0 resection rate results suggest the feasibility of using this approach for future prospective study.</w:t>
      </w:r>
    </w:p>
    <w:p w14:paraId="39907E88" w14:textId="77777777" w:rsidR="00A855DA" w:rsidRPr="00814BF6" w:rsidRDefault="00A855DA" w:rsidP="00814BF6">
      <w:pPr>
        <w:spacing w:after="0" w:line="360" w:lineRule="auto"/>
        <w:jc w:val="both"/>
        <w:rPr>
          <w:rFonts w:ascii="Book Antiqua" w:hAnsi="Book Antiqua" w:cs="Garamond-Bold"/>
          <w:b/>
          <w:bCs/>
          <w:sz w:val="24"/>
          <w:szCs w:val="24"/>
        </w:rPr>
      </w:pPr>
    </w:p>
    <w:p w14:paraId="7752F6D4" w14:textId="77777777" w:rsidR="00D80EE7" w:rsidRPr="00CF46DB" w:rsidRDefault="00A855DA" w:rsidP="00814BF6">
      <w:pPr>
        <w:pStyle w:val="Heading2"/>
        <w:spacing w:before="0" w:line="360" w:lineRule="auto"/>
        <w:jc w:val="both"/>
        <w:rPr>
          <w:rFonts w:ascii="Book Antiqua" w:hAnsi="Book Antiqua" w:cs="Times New Roman"/>
          <w:b w:val="0"/>
          <w:color w:val="auto"/>
          <w:sz w:val="24"/>
          <w:szCs w:val="24"/>
          <w:lang w:eastAsia="zh-CN"/>
        </w:rPr>
      </w:pPr>
      <w:r w:rsidRPr="00CF46DB">
        <w:rPr>
          <w:rFonts w:ascii="Book Antiqua" w:hAnsi="Book Antiqua"/>
          <w:b w:val="0"/>
          <w:color w:val="auto"/>
          <w:sz w:val="24"/>
          <w:szCs w:val="24"/>
        </w:rPr>
        <w:t>Zeng</w:t>
      </w:r>
      <w:r w:rsidR="00286EF5">
        <w:rPr>
          <w:rFonts w:ascii="Book Antiqua" w:hAnsi="Book Antiqua"/>
          <w:b w:val="0"/>
          <w:color w:val="auto"/>
          <w:sz w:val="24"/>
          <w:szCs w:val="24"/>
        </w:rPr>
        <w:t xml:space="preserve"> </w:t>
      </w:r>
      <w:r w:rsidRPr="00CF46DB">
        <w:rPr>
          <w:rFonts w:ascii="Book Antiqua" w:hAnsi="Book Antiqua"/>
          <w:b w:val="0"/>
          <w:color w:val="auto"/>
          <w:sz w:val="24"/>
          <w:szCs w:val="24"/>
        </w:rPr>
        <w:t>M, Aguila F</w:t>
      </w:r>
      <w:r w:rsidR="00D80EE7" w:rsidRPr="00CF46DB">
        <w:rPr>
          <w:rFonts w:ascii="Book Antiqua" w:hAnsi="Book Antiqua"/>
          <w:b w:val="0"/>
          <w:color w:val="auto"/>
          <w:sz w:val="24"/>
          <w:szCs w:val="24"/>
          <w:lang w:eastAsia="zh-CN"/>
        </w:rPr>
        <w:t>N</w:t>
      </w:r>
      <w:r w:rsidRPr="00CF46DB">
        <w:rPr>
          <w:rFonts w:ascii="Book Antiqua" w:hAnsi="Book Antiqua"/>
          <w:b w:val="0"/>
          <w:color w:val="auto"/>
          <w:sz w:val="24"/>
          <w:szCs w:val="24"/>
        </w:rPr>
        <w:t>, Patel T, Knapp M, Zhu X, Chen X</w:t>
      </w:r>
      <w:r w:rsidR="00D80EE7" w:rsidRPr="00CF46DB">
        <w:rPr>
          <w:rFonts w:ascii="Book Antiqua" w:hAnsi="Book Antiqua"/>
          <w:b w:val="0"/>
          <w:color w:val="auto"/>
          <w:sz w:val="24"/>
          <w:szCs w:val="24"/>
          <w:lang w:eastAsia="zh-CN"/>
        </w:rPr>
        <w:t xml:space="preserve">, </w:t>
      </w:r>
      <w:r w:rsidR="00D80EE7" w:rsidRPr="00CF46DB">
        <w:rPr>
          <w:rFonts w:ascii="Book Antiqua" w:eastAsia="Times New Roman" w:hAnsi="Book Antiqua" w:cs="Times New Roman"/>
          <w:b w:val="0"/>
          <w:color w:val="auto"/>
          <w:sz w:val="24"/>
          <w:szCs w:val="24"/>
        </w:rPr>
        <w:t>Price</w:t>
      </w:r>
      <w:r w:rsidR="00D80EE7" w:rsidRPr="00CF46DB">
        <w:rPr>
          <w:rFonts w:ascii="Book Antiqua" w:eastAsiaTheme="minorEastAsia" w:hAnsi="Book Antiqua" w:cs="Times New Roman"/>
          <w:b w:val="0"/>
          <w:color w:val="auto"/>
          <w:sz w:val="24"/>
          <w:szCs w:val="24"/>
          <w:lang w:eastAsia="zh-CN"/>
        </w:rPr>
        <w:t xml:space="preserve"> PD</w:t>
      </w:r>
      <w:r w:rsidRPr="00CF46DB">
        <w:rPr>
          <w:rFonts w:ascii="Book Antiqua" w:hAnsi="Book Antiqua"/>
          <w:b w:val="0"/>
          <w:color w:val="auto"/>
          <w:sz w:val="24"/>
          <w:szCs w:val="24"/>
        </w:rPr>
        <w:t>.</w:t>
      </w:r>
      <w:r w:rsidR="00286EF5">
        <w:rPr>
          <w:rFonts w:ascii="Book Antiqua" w:hAnsi="Book Antiqua"/>
          <w:b w:val="0"/>
          <w:color w:val="auto"/>
          <w:sz w:val="24"/>
          <w:szCs w:val="24"/>
        </w:rPr>
        <w:t xml:space="preserve"> </w:t>
      </w:r>
      <w:r w:rsidR="00D80EE7" w:rsidRPr="00CF46DB">
        <w:rPr>
          <w:rFonts w:ascii="Book Antiqua" w:hAnsi="Book Antiqua" w:cs="Times New Roman"/>
          <w:b w:val="0"/>
          <w:color w:val="auto"/>
          <w:sz w:val="24"/>
          <w:szCs w:val="24"/>
        </w:rPr>
        <w:t>Intensity modulated radiation therapy with simultaneous integrated boost based dose escalation on neoadjuvant chemoradiation therapy for locally advanced distal esophageal adenocarcinoma</w:t>
      </w:r>
      <w:r w:rsidR="00D80EE7" w:rsidRPr="00CF46DB">
        <w:rPr>
          <w:rFonts w:ascii="Book Antiqua" w:hAnsi="Book Antiqua" w:cs="Times New Roman"/>
          <w:b w:val="0"/>
          <w:color w:val="auto"/>
          <w:sz w:val="24"/>
          <w:szCs w:val="24"/>
          <w:lang w:eastAsia="zh-CN"/>
        </w:rPr>
        <w:t>.</w:t>
      </w:r>
      <w:r w:rsidR="00814BF6" w:rsidRPr="00CF46DB">
        <w:rPr>
          <w:rFonts w:ascii="Book Antiqua" w:hAnsi="Book Antiqua" w:cs="Times New Roman"/>
          <w:b w:val="0"/>
          <w:color w:val="auto"/>
          <w:sz w:val="24"/>
          <w:szCs w:val="24"/>
          <w:lang w:eastAsia="zh-CN"/>
        </w:rPr>
        <w:t xml:space="preserve"> </w:t>
      </w:r>
      <w:r w:rsidR="00814BF6" w:rsidRPr="00CF46DB">
        <w:rPr>
          <w:rFonts w:ascii="Book Antiqua" w:hAnsi="Book Antiqua"/>
          <w:b w:val="0"/>
          <w:i/>
          <w:iCs/>
          <w:color w:val="auto"/>
          <w:sz w:val="24"/>
          <w:szCs w:val="24"/>
        </w:rPr>
        <w:t>World J Gastrointest Oncol</w:t>
      </w:r>
      <w:r w:rsidR="00814BF6" w:rsidRPr="00CF46DB">
        <w:rPr>
          <w:rFonts w:ascii="Book Antiqua" w:hAnsi="Book Antiqua"/>
          <w:b w:val="0"/>
          <w:i/>
          <w:iCs/>
          <w:color w:val="auto"/>
          <w:sz w:val="24"/>
          <w:szCs w:val="24"/>
          <w:lang w:eastAsia="zh-CN"/>
        </w:rPr>
        <w:t xml:space="preserve"> </w:t>
      </w:r>
      <w:r w:rsidR="00814BF6" w:rsidRPr="00CF46DB">
        <w:rPr>
          <w:rFonts w:ascii="Book Antiqua" w:hAnsi="Book Antiqua"/>
          <w:b w:val="0"/>
          <w:iCs/>
          <w:color w:val="auto"/>
          <w:sz w:val="24"/>
          <w:szCs w:val="24"/>
          <w:lang w:eastAsia="zh-CN"/>
        </w:rPr>
        <w:t xml:space="preserve">2016; </w:t>
      </w:r>
      <w:proofErr w:type="gramStart"/>
      <w:r w:rsidR="00814BF6" w:rsidRPr="00CF46DB">
        <w:rPr>
          <w:rFonts w:ascii="Book Antiqua" w:hAnsi="Book Antiqua"/>
          <w:b w:val="0"/>
          <w:iCs/>
          <w:color w:val="auto"/>
          <w:sz w:val="24"/>
          <w:szCs w:val="24"/>
          <w:lang w:eastAsia="zh-CN"/>
        </w:rPr>
        <w:t>In</w:t>
      </w:r>
      <w:proofErr w:type="gramEnd"/>
      <w:r w:rsidR="00814BF6" w:rsidRPr="00CF46DB">
        <w:rPr>
          <w:rFonts w:ascii="Book Antiqua" w:hAnsi="Book Antiqua"/>
          <w:b w:val="0"/>
          <w:iCs/>
          <w:color w:val="auto"/>
          <w:sz w:val="24"/>
          <w:szCs w:val="24"/>
          <w:lang w:eastAsia="zh-CN"/>
        </w:rPr>
        <w:t xml:space="preserve"> press</w:t>
      </w:r>
    </w:p>
    <w:p w14:paraId="44D41189" w14:textId="77777777" w:rsidR="00D80EE7" w:rsidRPr="00814BF6" w:rsidRDefault="00D80EE7" w:rsidP="00814BF6">
      <w:pPr>
        <w:spacing w:after="0" w:line="360" w:lineRule="auto"/>
        <w:jc w:val="both"/>
        <w:rPr>
          <w:rFonts w:ascii="Book Antiqua" w:hAnsi="Book Antiqua"/>
          <w:sz w:val="24"/>
          <w:szCs w:val="24"/>
          <w:lang w:eastAsia="zh-CN"/>
        </w:rPr>
      </w:pPr>
    </w:p>
    <w:p w14:paraId="16B18B9D" w14:textId="77777777" w:rsidR="00814BF6" w:rsidRPr="00814BF6" w:rsidRDefault="00814BF6" w:rsidP="00814BF6">
      <w:pPr>
        <w:spacing w:after="0" w:line="360" w:lineRule="auto"/>
        <w:jc w:val="both"/>
        <w:rPr>
          <w:rFonts w:ascii="Book Antiqua" w:eastAsiaTheme="majorEastAsia" w:hAnsi="Book Antiqua" w:cs="Times New Roman"/>
          <w:b/>
          <w:bCs/>
          <w:sz w:val="24"/>
          <w:szCs w:val="24"/>
        </w:rPr>
      </w:pPr>
      <w:r w:rsidRPr="00814BF6">
        <w:rPr>
          <w:rFonts w:ascii="Book Antiqua" w:hAnsi="Book Antiqua" w:cs="Times New Roman"/>
          <w:sz w:val="24"/>
          <w:szCs w:val="24"/>
        </w:rPr>
        <w:br w:type="page"/>
      </w:r>
    </w:p>
    <w:p w14:paraId="3445CD85" w14:textId="77777777" w:rsidR="00A855DA" w:rsidRPr="00814BF6" w:rsidRDefault="00814BF6" w:rsidP="00814BF6">
      <w:pPr>
        <w:pStyle w:val="Heading1"/>
        <w:spacing w:before="0" w:line="360" w:lineRule="auto"/>
        <w:jc w:val="both"/>
        <w:rPr>
          <w:rFonts w:ascii="Book Antiqua" w:hAnsi="Book Antiqua" w:cs="Times New Roman"/>
          <w:color w:val="auto"/>
          <w:sz w:val="24"/>
          <w:szCs w:val="24"/>
          <w:lang w:eastAsia="zh-CN"/>
        </w:rPr>
      </w:pPr>
      <w:r w:rsidRPr="00814BF6">
        <w:rPr>
          <w:rFonts w:ascii="Book Antiqua" w:hAnsi="Book Antiqua" w:cs="Times New Roman"/>
          <w:color w:val="auto"/>
          <w:sz w:val="24"/>
          <w:szCs w:val="24"/>
        </w:rPr>
        <w:t>INTRODUCTION</w:t>
      </w:r>
    </w:p>
    <w:p w14:paraId="74EA25BB" w14:textId="77777777" w:rsidR="00DC431D" w:rsidRPr="00814BF6" w:rsidRDefault="0048621B" w:rsidP="00814BF6">
      <w:pPr>
        <w:spacing w:after="0" w:line="360" w:lineRule="auto"/>
        <w:jc w:val="both"/>
        <w:rPr>
          <w:rFonts w:ascii="Book Antiqua" w:hAnsi="Book Antiqua" w:cs="Times New Roman"/>
          <w:sz w:val="24"/>
          <w:szCs w:val="24"/>
        </w:rPr>
      </w:pPr>
      <w:r w:rsidRPr="00814BF6">
        <w:rPr>
          <w:rFonts w:ascii="Book Antiqua" w:hAnsi="Book Antiqua" w:cs="Times New Roman"/>
          <w:sz w:val="24"/>
          <w:szCs w:val="24"/>
        </w:rPr>
        <w:t xml:space="preserve">Distal </w:t>
      </w:r>
      <w:r w:rsidR="009B1F31" w:rsidRPr="00814BF6">
        <w:rPr>
          <w:rFonts w:ascii="Book Antiqua" w:hAnsi="Book Antiqua" w:cs="Times New Roman"/>
          <w:sz w:val="24"/>
          <w:szCs w:val="24"/>
        </w:rPr>
        <w:t>e</w:t>
      </w:r>
      <w:r w:rsidRPr="00814BF6">
        <w:rPr>
          <w:rFonts w:ascii="Book Antiqua" w:hAnsi="Book Antiqua" w:cs="Times New Roman"/>
          <w:sz w:val="24"/>
          <w:szCs w:val="24"/>
        </w:rPr>
        <w:t xml:space="preserve">sophageal cancer </w:t>
      </w:r>
      <w:r w:rsidR="00D65329" w:rsidRPr="00814BF6">
        <w:rPr>
          <w:rFonts w:ascii="Book Antiqua" w:hAnsi="Book Antiqua" w:cs="Times New Roman"/>
          <w:sz w:val="24"/>
          <w:szCs w:val="24"/>
        </w:rPr>
        <w:t xml:space="preserve">is a commonly </w:t>
      </w:r>
      <w:r w:rsidRPr="00814BF6">
        <w:rPr>
          <w:rFonts w:ascii="Book Antiqua" w:hAnsi="Book Antiqua" w:cs="Times New Roman"/>
          <w:sz w:val="24"/>
          <w:szCs w:val="24"/>
        </w:rPr>
        <w:t xml:space="preserve">lethal malignancy, </w:t>
      </w:r>
      <w:r w:rsidR="00E777ED" w:rsidRPr="00814BF6">
        <w:rPr>
          <w:rFonts w:ascii="Book Antiqua" w:hAnsi="Book Antiqua" w:cs="Times New Roman"/>
          <w:sz w:val="24"/>
          <w:szCs w:val="24"/>
        </w:rPr>
        <w:t xml:space="preserve">with </w:t>
      </w:r>
      <w:r w:rsidR="009B1F31" w:rsidRPr="00814BF6">
        <w:rPr>
          <w:rFonts w:ascii="Book Antiqua" w:hAnsi="Book Antiqua" w:cs="Times New Roman"/>
          <w:sz w:val="24"/>
          <w:szCs w:val="24"/>
        </w:rPr>
        <w:t xml:space="preserve">the </w:t>
      </w:r>
      <w:r w:rsidR="00E777ED" w:rsidRPr="00814BF6">
        <w:rPr>
          <w:rFonts w:ascii="Book Antiqua" w:hAnsi="Book Antiqua" w:cs="Times New Roman"/>
          <w:sz w:val="24"/>
          <w:szCs w:val="24"/>
        </w:rPr>
        <w:t>annual</w:t>
      </w:r>
      <w:r w:rsidRPr="00814BF6">
        <w:rPr>
          <w:rFonts w:ascii="Book Antiqua" w:hAnsi="Book Antiqua" w:cs="Times New Roman"/>
          <w:sz w:val="24"/>
          <w:szCs w:val="24"/>
        </w:rPr>
        <w:t xml:space="preserve"> death rate in the U</w:t>
      </w:r>
      <w:r w:rsidR="006B3F6C">
        <w:rPr>
          <w:rFonts w:ascii="Book Antiqua" w:hAnsi="Book Antiqua" w:cs="Times New Roman" w:hint="eastAsia"/>
          <w:sz w:val="24"/>
          <w:szCs w:val="24"/>
          <w:lang w:eastAsia="zh-CN"/>
        </w:rPr>
        <w:t xml:space="preserve">nited </w:t>
      </w:r>
      <w:r w:rsidRPr="00814BF6">
        <w:rPr>
          <w:rFonts w:ascii="Book Antiqua" w:hAnsi="Book Antiqua" w:cs="Times New Roman"/>
          <w:sz w:val="24"/>
          <w:szCs w:val="24"/>
        </w:rPr>
        <w:t>S</w:t>
      </w:r>
      <w:r w:rsidR="006B3F6C">
        <w:rPr>
          <w:rFonts w:ascii="Book Antiqua" w:hAnsi="Book Antiqua" w:cs="Times New Roman" w:hint="eastAsia"/>
          <w:sz w:val="24"/>
          <w:szCs w:val="24"/>
          <w:lang w:eastAsia="zh-CN"/>
        </w:rPr>
        <w:t>tates</w:t>
      </w:r>
      <w:r w:rsidR="006B3F6C">
        <w:rPr>
          <w:rFonts w:ascii="Book Antiqua" w:hAnsi="Book Antiqua" w:cs="Times New Roman"/>
          <w:sz w:val="24"/>
          <w:szCs w:val="24"/>
        </w:rPr>
        <w:t xml:space="preserve"> about 15</w:t>
      </w:r>
      <w:r w:rsidRPr="00814BF6">
        <w:rPr>
          <w:rFonts w:ascii="Book Antiqua" w:hAnsi="Book Antiqua" w:cs="Times New Roman"/>
          <w:sz w:val="24"/>
          <w:szCs w:val="24"/>
        </w:rPr>
        <w:t>590</w:t>
      </w:r>
      <w:r w:rsidR="00D65329" w:rsidRPr="00814BF6">
        <w:rPr>
          <w:rFonts w:ascii="Book Antiqua" w:hAnsi="Book Antiqua" w:cs="Times New Roman"/>
          <w:sz w:val="24"/>
          <w:szCs w:val="24"/>
          <w:vertAlign w:val="superscript"/>
        </w:rPr>
        <w:t xml:space="preserve"> </w:t>
      </w:r>
      <w:r w:rsidR="00B67E18" w:rsidRPr="00814BF6">
        <w:rPr>
          <w:rFonts w:ascii="Book Antiqua" w:hAnsi="Book Antiqua" w:cs="Times New Roman"/>
          <w:sz w:val="24"/>
          <w:szCs w:val="24"/>
          <w:vertAlign w:val="superscript"/>
        </w:rPr>
        <w:t>[1]</w:t>
      </w:r>
      <w:r w:rsidRPr="00814BF6">
        <w:rPr>
          <w:rFonts w:ascii="Book Antiqua" w:hAnsi="Book Antiqua" w:cs="Times New Roman"/>
          <w:sz w:val="24"/>
          <w:szCs w:val="24"/>
        </w:rPr>
        <w:t>.</w:t>
      </w:r>
      <w:r w:rsidR="00F91E94" w:rsidRPr="00814BF6">
        <w:rPr>
          <w:rFonts w:ascii="Book Antiqua" w:hAnsi="Book Antiqua" w:cs="Times New Roman"/>
          <w:sz w:val="24"/>
          <w:szCs w:val="24"/>
        </w:rPr>
        <w:t xml:space="preserve"> </w:t>
      </w:r>
      <w:r w:rsidRPr="00814BF6">
        <w:rPr>
          <w:rFonts w:ascii="Book Antiqua" w:hAnsi="Book Antiqua" w:cs="Times New Roman"/>
          <w:sz w:val="24"/>
          <w:szCs w:val="24"/>
        </w:rPr>
        <w:t>Most single</w:t>
      </w:r>
      <w:r w:rsidR="009B1F31" w:rsidRPr="00814BF6">
        <w:rPr>
          <w:rFonts w:ascii="Book Antiqua" w:hAnsi="Book Antiqua" w:cs="Times New Roman"/>
          <w:sz w:val="24"/>
          <w:szCs w:val="24"/>
        </w:rPr>
        <w:t>-</w:t>
      </w:r>
      <w:r w:rsidRPr="00814BF6">
        <w:rPr>
          <w:rFonts w:ascii="Book Antiqua" w:hAnsi="Book Antiqua" w:cs="Times New Roman"/>
          <w:sz w:val="24"/>
          <w:szCs w:val="24"/>
        </w:rPr>
        <w:t>modality treatment re</w:t>
      </w:r>
      <w:r w:rsidR="003507A5" w:rsidRPr="00814BF6">
        <w:rPr>
          <w:rFonts w:ascii="Book Antiqua" w:hAnsi="Book Antiqua" w:cs="Times New Roman"/>
          <w:sz w:val="24"/>
          <w:szCs w:val="24"/>
        </w:rPr>
        <w:t>gimens</w:t>
      </w:r>
      <w:r w:rsidRPr="00814BF6">
        <w:rPr>
          <w:rFonts w:ascii="Book Antiqua" w:hAnsi="Book Antiqua" w:cs="Times New Roman"/>
          <w:sz w:val="24"/>
          <w:szCs w:val="24"/>
        </w:rPr>
        <w:t xml:space="preserve"> provide poor cure </w:t>
      </w:r>
      <w:r w:rsidR="006853B4" w:rsidRPr="00814BF6">
        <w:rPr>
          <w:rFonts w:ascii="Book Antiqua" w:hAnsi="Book Antiqua" w:cs="Times New Roman"/>
          <w:sz w:val="24"/>
          <w:szCs w:val="24"/>
        </w:rPr>
        <w:t>rate.</w:t>
      </w:r>
      <w:r w:rsidR="00F91E94" w:rsidRPr="00814BF6">
        <w:rPr>
          <w:rFonts w:ascii="Book Antiqua" w:hAnsi="Book Antiqua" w:cs="Times New Roman"/>
          <w:sz w:val="24"/>
          <w:szCs w:val="24"/>
        </w:rPr>
        <w:t xml:space="preserve"> </w:t>
      </w:r>
      <w:r w:rsidR="003507A5" w:rsidRPr="00814BF6">
        <w:rPr>
          <w:rFonts w:ascii="Book Antiqua" w:hAnsi="Book Antiqua" w:cs="Times New Roman"/>
          <w:sz w:val="24"/>
          <w:szCs w:val="24"/>
        </w:rPr>
        <w:t xml:space="preserve">For </w:t>
      </w:r>
      <w:r w:rsidR="009C5F4A" w:rsidRPr="00814BF6">
        <w:rPr>
          <w:rFonts w:ascii="Book Antiqua" w:hAnsi="Book Antiqua" w:cs="Times New Roman"/>
          <w:sz w:val="24"/>
          <w:szCs w:val="24"/>
        </w:rPr>
        <w:t xml:space="preserve">example, </w:t>
      </w:r>
      <w:r w:rsidR="003507A5" w:rsidRPr="00814BF6">
        <w:rPr>
          <w:rFonts w:ascii="Book Antiqua" w:hAnsi="Book Antiqua" w:cs="Times New Roman"/>
          <w:sz w:val="24"/>
          <w:szCs w:val="24"/>
        </w:rPr>
        <w:t>surgical treatment alone</w:t>
      </w:r>
      <w:r w:rsidR="009C5F4A" w:rsidRPr="00814BF6">
        <w:rPr>
          <w:rFonts w:ascii="Book Antiqua" w:hAnsi="Book Antiqua" w:cs="Times New Roman"/>
          <w:sz w:val="24"/>
          <w:szCs w:val="24"/>
        </w:rPr>
        <w:t xml:space="preserve"> has a</w:t>
      </w:r>
      <w:r w:rsidR="00D20A89" w:rsidRPr="00814BF6">
        <w:rPr>
          <w:rFonts w:ascii="Book Antiqua" w:hAnsi="Book Antiqua" w:cs="Times New Roman"/>
          <w:sz w:val="24"/>
          <w:szCs w:val="24"/>
        </w:rPr>
        <w:t xml:space="preserve"> 5</w:t>
      </w:r>
      <w:r w:rsidR="003507A5" w:rsidRPr="00814BF6">
        <w:rPr>
          <w:rFonts w:ascii="Book Antiqua" w:hAnsi="Book Antiqua" w:cs="Times New Roman"/>
          <w:sz w:val="24"/>
          <w:szCs w:val="24"/>
        </w:rPr>
        <w:t>-</w:t>
      </w:r>
      <w:r w:rsidR="00D20A89" w:rsidRPr="00814BF6">
        <w:rPr>
          <w:rFonts w:ascii="Book Antiqua" w:hAnsi="Book Antiqua" w:cs="Times New Roman"/>
          <w:sz w:val="24"/>
          <w:szCs w:val="24"/>
        </w:rPr>
        <w:t xml:space="preserve">year </w:t>
      </w:r>
      <w:r w:rsidR="00D20A89" w:rsidRPr="00814BF6">
        <w:rPr>
          <w:rFonts w:ascii="Book Antiqua" w:eastAsiaTheme="majorEastAsia" w:hAnsi="Book Antiqua" w:cs="Times New Roman"/>
          <w:sz w:val="24"/>
          <w:szCs w:val="24"/>
        </w:rPr>
        <w:t>survival</w:t>
      </w:r>
      <w:r w:rsidR="00D20A89" w:rsidRPr="00814BF6">
        <w:rPr>
          <w:rFonts w:ascii="Book Antiqua" w:hAnsi="Book Antiqua" w:cs="Times New Roman"/>
          <w:sz w:val="24"/>
          <w:szCs w:val="24"/>
        </w:rPr>
        <w:t xml:space="preserve"> </w:t>
      </w:r>
      <w:r w:rsidR="009C5F4A" w:rsidRPr="00814BF6">
        <w:rPr>
          <w:rFonts w:ascii="Book Antiqua" w:hAnsi="Book Antiqua" w:cs="Times New Roman"/>
          <w:sz w:val="24"/>
          <w:szCs w:val="24"/>
        </w:rPr>
        <w:t>of</w:t>
      </w:r>
      <w:r w:rsidR="00D20A89" w:rsidRPr="00814BF6">
        <w:rPr>
          <w:rFonts w:ascii="Book Antiqua" w:hAnsi="Book Antiqua" w:cs="Times New Roman"/>
          <w:sz w:val="24"/>
          <w:szCs w:val="24"/>
        </w:rPr>
        <w:t xml:space="preserve"> </w:t>
      </w:r>
      <w:r w:rsidR="006B3F6C">
        <w:rPr>
          <w:rFonts w:ascii="Book Antiqua" w:hAnsi="Book Antiqua" w:cs="Times New Roman" w:hint="eastAsia"/>
          <w:sz w:val="24"/>
          <w:szCs w:val="24"/>
          <w:lang w:eastAsia="zh-CN"/>
        </w:rPr>
        <w:t>approximately</w:t>
      </w:r>
      <w:r w:rsidR="00D20A89" w:rsidRPr="00814BF6">
        <w:rPr>
          <w:rFonts w:ascii="Book Antiqua" w:hAnsi="Book Antiqua" w:cs="Times New Roman"/>
          <w:sz w:val="24"/>
          <w:szCs w:val="24"/>
        </w:rPr>
        <w:t xml:space="preserve"> 15</w:t>
      </w:r>
      <w:r w:rsidR="003507A5" w:rsidRPr="00814BF6">
        <w:rPr>
          <w:rFonts w:ascii="Book Antiqua" w:hAnsi="Book Antiqua" w:cs="Times New Roman"/>
          <w:sz w:val="24"/>
          <w:szCs w:val="24"/>
        </w:rPr>
        <w:t>% to</w:t>
      </w:r>
      <w:r w:rsidR="00D20A89" w:rsidRPr="00814BF6">
        <w:rPr>
          <w:rFonts w:ascii="Book Antiqua" w:hAnsi="Book Antiqua" w:cs="Times New Roman"/>
          <w:sz w:val="24"/>
          <w:szCs w:val="24"/>
        </w:rPr>
        <w:t xml:space="preserve"> 20%</w:t>
      </w:r>
      <w:r w:rsidR="00B67E18" w:rsidRPr="00814BF6">
        <w:rPr>
          <w:rFonts w:ascii="Book Antiqua" w:hAnsi="Book Antiqua" w:cs="Times New Roman"/>
          <w:sz w:val="24"/>
          <w:szCs w:val="24"/>
          <w:vertAlign w:val="superscript"/>
        </w:rPr>
        <w:t>[</w:t>
      </w:r>
      <w:r w:rsidR="00D65329" w:rsidRPr="00814BF6">
        <w:rPr>
          <w:rFonts w:ascii="Book Antiqua" w:hAnsi="Book Antiqua" w:cs="Times New Roman"/>
          <w:sz w:val="24"/>
          <w:szCs w:val="24"/>
          <w:vertAlign w:val="superscript"/>
        </w:rPr>
        <w:t>2,3</w:t>
      </w:r>
      <w:r w:rsidR="00B67E18" w:rsidRPr="00814BF6">
        <w:rPr>
          <w:rFonts w:ascii="Book Antiqua" w:hAnsi="Book Antiqua" w:cs="Times New Roman"/>
          <w:sz w:val="24"/>
          <w:szCs w:val="24"/>
          <w:vertAlign w:val="superscript"/>
        </w:rPr>
        <w:t>]</w:t>
      </w:r>
      <w:r w:rsidR="00B67E18" w:rsidRPr="00814BF6">
        <w:rPr>
          <w:rFonts w:ascii="Book Antiqua" w:hAnsi="Book Antiqua" w:cs="Times New Roman"/>
          <w:sz w:val="24"/>
          <w:szCs w:val="24"/>
        </w:rPr>
        <w:t>.</w:t>
      </w:r>
      <w:r w:rsidR="00286EF5">
        <w:rPr>
          <w:rFonts w:ascii="Book Antiqua" w:hAnsi="Book Antiqua" w:cs="Times New Roman"/>
          <w:sz w:val="24"/>
          <w:szCs w:val="24"/>
        </w:rPr>
        <w:t xml:space="preserve"> </w:t>
      </w:r>
      <w:r w:rsidR="00D20A89" w:rsidRPr="00814BF6">
        <w:rPr>
          <w:rFonts w:ascii="Book Antiqua" w:hAnsi="Book Antiqua" w:cs="Times New Roman"/>
          <w:sz w:val="24"/>
          <w:szCs w:val="24"/>
        </w:rPr>
        <w:t>R</w:t>
      </w:r>
      <w:r w:rsidR="003507A5" w:rsidRPr="00814BF6">
        <w:rPr>
          <w:rFonts w:ascii="Book Antiqua" w:hAnsi="Book Antiqua" w:cs="Times New Roman"/>
          <w:sz w:val="24"/>
          <w:szCs w:val="24"/>
        </w:rPr>
        <w:t>adiation therapy</w:t>
      </w:r>
      <w:r w:rsidR="00D20A89" w:rsidRPr="00814BF6">
        <w:rPr>
          <w:rFonts w:ascii="Book Antiqua" w:hAnsi="Book Antiqua" w:cs="Times New Roman"/>
          <w:sz w:val="24"/>
          <w:szCs w:val="24"/>
        </w:rPr>
        <w:t xml:space="preserve"> alone for resectable highly selected </w:t>
      </w:r>
      <w:r w:rsidR="00E9138D" w:rsidRPr="00814BF6">
        <w:rPr>
          <w:rFonts w:ascii="Book Antiqua" w:hAnsi="Book Antiqua" w:cs="Times New Roman"/>
          <w:sz w:val="24"/>
          <w:szCs w:val="24"/>
        </w:rPr>
        <w:t>squamous</w:t>
      </w:r>
      <w:r w:rsidR="00D20A89" w:rsidRPr="00814BF6">
        <w:rPr>
          <w:rFonts w:ascii="Book Antiqua" w:hAnsi="Book Antiqua" w:cs="Times New Roman"/>
          <w:sz w:val="24"/>
          <w:szCs w:val="24"/>
        </w:rPr>
        <w:t xml:space="preserve"> cell cancer </w:t>
      </w:r>
      <w:r w:rsidR="003507A5" w:rsidRPr="00814BF6">
        <w:rPr>
          <w:rFonts w:ascii="Book Antiqua" w:hAnsi="Book Antiqua" w:cs="Times New Roman"/>
          <w:sz w:val="24"/>
          <w:szCs w:val="24"/>
        </w:rPr>
        <w:t>results in a</w:t>
      </w:r>
      <w:r w:rsidR="00D20A89" w:rsidRPr="00814BF6">
        <w:rPr>
          <w:rFonts w:ascii="Book Antiqua" w:hAnsi="Book Antiqua" w:cs="Times New Roman"/>
          <w:sz w:val="24"/>
          <w:szCs w:val="24"/>
        </w:rPr>
        <w:t xml:space="preserve"> 5</w:t>
      </w:r>
      <w:r w:rsidR="003507A5" w:rsidRPr="00814BF6">
        <w:rPr>
          <w:rFonts w:ascii="Book Antiqua" w:hAnsi="Book Antiqua" w:cs="Times New Roman"/>
          <w:sz w:val="24"/>
          <w:szCs w:val="24"/>
        </w:rPr>
        <w:t>-</w:t>
      </w:r>
      <w:r w:rsidR="00D20A89" w:rsidRPr="00814BF6">
        <w:rPr>
          <w:rFonts w:ascii="Book Antiqua" w:hAnsi="Book Antiqua" w:cs="Times New Roman"/>
          <w:sz w:val="24"/>
          <w:szCs w:val="24"/>
        </w:rPr>
        <w:t xml:space="preserve">year survival rate </w:t>
      </w:r>
      <w:r w:rsidR="003507A5" w:rsidRPr="00814BF6">
        <w:rPr>
          <w:rFonts w:ascii="Book Antiqua" w:hAnsi="Book Antiqua" w:cs="Times New Roman"/>
          <w:sz w:val="24"/>
          <w:szCs w:val="24"/>
        </w:rPr>
        <w:t xml:space="preserve">of </w:t>
      </w:r>
      <w:r w:rsidR="006B3F6C">
        <w:rPr>
          <w:rFonts w:ascii="Book Antiqua" w:hAnsi="Book Antiqua" w:cs="Times New Roman" w:hint="eastAsia"/>
          <w:sz w:val="24"/>
          <w:szCs w:val="24"/>
          <w:lang w:eastAsia="zh-CN"/>
        </w:rPr>
        <w:t>approximately</w:t>
      </w:r>
      <w:r w:rsidR="006B3F6C" w:rsidRPr="00814BF6">
        <w:rPr>
          <w:rFonts w:ascii="Book Antiqua" w:hAnsi="Book Antiqua" w:cs="Times New Roman"/>
          <w:sz w:val="24"/>
          <w:szCs w:val="24"/>
        </w:rPr>
        <w:t xml:space="preserve"> </w:t>
      </w:r>
      <w:r w:rsidR="00D20A89" w:rsidRPr="00814BF6">
        <w:rPr>
          <w:rFonts w:ascii="Book Antiqua" w:hAnsi="Book Antiqua" w:cs="Times New Roman"/>
          <w:sz w:val="24"/>
          <w:szCs w:val="24"/>
        </w:rPr>
        <w:t>34%</w:t>
      </w:r>
      <w:r w:rsidR="00B67E18" w:rsidRPr="00814BF6">
        <w:rPr>
          <w:rFonts w:ascii="Book Antiqua" w:hAnsi="Book Antiqua" w:cs="Times New Roman"/>
          <w:sz w:val="24"/>
          <w:szCs w:val="24"/>
          <w:vertAlign w:val="superscript"/>
        </w:rPr>
        <w:t>[</w:t>
      </w:r>
      <w:r w:rsidR="00D65329" w:rsidRPr="00814BF6">
        <w:rPr>
          <w:rFonts w:ascii="Book Antiqua" w:hAnsi="Book Antiqua" w:cs="Times New Roman"/>
          <w:sz w:val="24"/>
          <w:szCs w:val="24"/>
          <w:vertAlign w:val="superscript"/>
        </w:rPr>
        <w:t>4</w:t>
      </w:r>
      <w:r w:rsidR="00B67E18" w:rsidRPr="00814BF6">
        <w:rPr>
          <w:rFonts w:ascii="Book Antiqua" w:hAnsi="Book Antiqua" w:cs="Times New Roman"/>
          <w:sz w:val="24"/>
          <w:szCs w:val="24"/>
          <w:vertAlign w:val="superscript"/>
        </w:rPr>
        <w:t>]</w:t>
      </w:r>
      <w:r w:rsidR="00B67E18" w:rsidRPr="00814BF6">
        <w:rPr>
          <w:rFonts w:ascii="Book Antiqua" w:hAnsi="Book Antiqua" w:cs="Times New Roman"/>
          <w:sz w:val="24"/>
          <w:szCs w:val="24"/>
        </w:rPr>
        <w:t xml:space="preserve">. </w:t>
      </w:r>
      <w:r w:rsidR="009C5F4A" w:rsidRPr="00814BF6">
        <w:rPr>
          <w:rFonts w:ascii="Book Antiqua" w:hAnsi="Book Antiqua" w:cs="Times New Roman"/>
          <w:sz w:val="24"/>
          <w:szCs w:val="24"/>
        </w:rPr>
        <w:t xml:space="preserve">In recent decades, more data have emerged for locally regional esophageal cancer </w:t>
      </w:r>
      <w:r w:rsidR="009C5F4A" w:rsidRPr="00814BF6">
        <w:rPr>
          <w:rFonts w:ascii="Book Antiqua" w:eastAsiaTheme="majorEastAsia" w:hAnsi="Book Antiqua" w:cs="Times New Roman"/>
          <w:sz w:val="24"/>
          <w:szCs w:val="24"/>
        </w:rPr>
        <w:t>management</w:t>
      </w:r>
      <w:r w:rsidR="009C5F4A" w:rsidRPr="00814BF6">
        <w:rPr>
          <w:rFonts w:ascii="Book Antiqua" w:hAnsi="Book Antiqua" w:cs="Times New Roman"/>
          <w:sz w:val="24"/>
          <w:szCs w:val="24"/>
        </w:rPr>
        <w:t xml:space="preserve">. </w:t>
      </w:r>
      <w:r w:rsidRPr="00814BF6">
        <w:rPr>
          <w:rFonts w:ascii="Book Antiqua" w:hAnsi="Book Antiqua" w:cs="Times New Roman"/>
          <w:sz w:val="24"/>
          <w:szCs w:val="24"/>
        </w:rPr>
        <w:t xml:space="preserve">There are reports </w:t>
      </w:r>
      <w:r w:rsidR="003507A5" w:rsidRPr="00814BF6">
        <w:rPr>
          <w:rFonts w:ascii="Book Antiqua" w:hAnsi="Book Antiqua" w:cs="Times New Roman"/>
          <w:sz w:val="24"/>
          <w:szCs w:val="24"/>
        </w:rPr>
        <w:t xml:space="preserve">that </w:t>
      </w:r>
      <w:r w:rsidRPr="00814BF6">
        <w:rPr>
          <w:rFonts w:ascii="Book Antiqua" w:hAnsi="Book Antiqua" w:cs="Times New Roman"/>
          <w:sz w:val="24"/>
          <w:szCs w:val="24"/>
        </w:rPr>
        <w:t xml:space="preserve">suggest </w:t>
      </w:r>
      <w:r w:rsidR="002A3385" w:rsidRPr="00814BF6">
        <w:rPr>
          <w:rFonts w:ascii="Book Antiqua" w:hAnsi="Book Antiqua" w:cs="Times New Roman"/>
          <w:sz w:val="24"/>
          <w:szCs w:val="24"/>
        </w:rPr>
        <w:t>triple-</w:t>
      </w:r>
      <w:r w:rsidRPr="00814BF6">
        <w:rPr>
          <w:rFonts w:ascii="Book Antiqua" w:hAnsi="Book Antiqua" w:cs="Times New Roman"/>
          <w:sz w:val="24"/>
          <w:szCs w:val="24"/>
        </w:rPr>
        <w:t>mod</w:t>
      </w:r>
      <w:r w:rsidR="002A3385" w:rsidRPr="00814BF6">
        <w:rPr>
          <w:rFonts w:ascii="Book Antiqua" w:hAnsi="Book Antiqua" w:cs="Times New Roman"/>
          <w:sz w:val="24"/>
          <w:szCs w:val="24"/>
        </w:rPr>
        <w:t>a</w:t>
      </w:r>
      <w:r w:rsidRPr="00814BF6">
        <w:rPr>
          <w:rFonts w:ascii="Book Antiqua" w:hAnsi="Book Antiqua" w:cs="Times New Roman"/>
          <w:sz w:val="24"/>
          <w:szCs w:val="24"/>
        </w:rPr>
        <w:t xml:space="preserve">lity treatment regimens provide better local control, </w:t>
      </w:r>
      <w:r w:rsidR="003507A5" w:rsidRPr="00814BF6">
        <w:rPr>
          <w:rFonts w:ascii="Book Antiqua" w:hAnsi="Book Antiqua" w:cs="Times New Roman"/>
          <w:sz w:val="24"/>
          <w:szCs w:val="24"/>
        </w:rPr>
        <w:t xml:space="preserve">better control of </w:t>
      </w:r>
      <w:r w:rsidRPr="00814BF6">
        <w:rPr>
          <w:rFonts w:ascii="Book Antiqua" w:hAnsi="Book Antiqua" w:cs="Times New Roman"/>
          <w:sz w:val="24"/>
          <w:szCs w:val="24"/>
        </w:rPr>
        <w:t xml:space="preserve">distant metastases, and </w:t>
      </w:r>
      <w:r w:rsidR="003507A5" w:rsidRPr="00814BF6">
        <w:rPr>
          <w:rFonts w:ascii="Book Antiqua" w:hAnsi="Book Antiqua" w:cs="Times New Roman"/>
          <w:sz w:val="24"/>
          <w:szCs w:val="24"/>
        </w:rPr>
        <w:t xml:space="preserve">better </w:t>
      </w:r>
      <w:r w:rsidR="00E9138D" w:rsidRPr="00814BF6">
        <w:rPr>
          <w:rFonts w:ascii="Book Antiqua" w:hAnsi="Book Antiqua" w:cs="Times New Roman"/>
          <w:sz w:val="24"/>
          <w:szCs w:val="24"/>
        </w:rPr>
        <w:t xml:space="preserve">overall </w:t>
      </w:r>
      <w:proofErr w:type="gramStart"/>
      <w:r w:rsidR="00E9138D" w:rsidRPr="00814BF6">
        <w:rPr>
          <w:rFonts w:ascii="Book Antiqua" w:hAnsi="Book Antiqua" w:cs="Times New Roman"/>
          <w:sz w:val="24"/>
          <w:szCs w:val="24"/>
        </w:rPr>
        <w:t>survival</w:t>
      </w:r>
      <w:r w:rsidR="00B67E18" w:rsidRPr="00814BF6">
        <w:rPr>
          <w:rFonts w:ascii="Book Antiqua" w:hAnsi="Book Antiqua" w:cs="Times New Roman"/>
          <w:sz w:val="24"/>
          <w:szCs w:val="24"/>
          <w:vertAlign w:val="superscript"/>
        </w:rPr>
        <w:t>[</w:t>
      </w:r>
      <w:proofErr w:type="gramEnd"/>
      <w:r w:rsidR="00D65329" w:rsidRPr="00814BF6">
        <w:rPr>
          <w:rFonts w:ascii="Book Antiqua" w:hAnsi="Book Antiqua" w:cs="Times New Roman"/>
          <w:sz w:val="24"/>
          <w:szCs w:val="24"/>
          <w:vertAlign w:val="superscript"/>
        </w:rPr>
        <w:t>5</w:t>
      </w:r>
      <w:r w:rsidR="00B67E18" w:rsidRPr="00814BF6">
        <w:rPr>
          <w:rFonts w:ascii="Book Antiqua" w:hAnsi="Book Antiqua" w:cs="Times New Roman"/>
          <w:sz w:val="24"/>
          <w:szCs w:val="24"/>
          <w:vertAlign w:val="superscript"/>
        </w:rPr>
        <w:t>]</w:t>
      </w:r>
      <w:r w:rsidRPr="00814BF6">
        <w:rPr>
          <w:rFonts w:ascii="Book Antiqua" w:hAnsi="Book Antiqua" w:cs="Times New Roman"/>
          <w:sz w:val="24"/>
          <w:szCs w:val="24"/>
        </w:rPr>
        <w:t>.</w:t>
      </w:r>
      <w:r w:rsidR="00F91E94" w:rsidRPr="00814BF6">
        <w:rPr>
          <w:rFonts w:ascii="Book Antiqua" w:hAnsi="Book Antiqua" w:cs="Times New Roman"/>
          <w:sz w:val="24"/>
          <w:szCs w:val="24"/>
        </w:rPr>
        <w:t xml:space="preserve"> </w:t>
      </w:r>
      <w:r w:rsidR="00E777ED" w:rsidRPr="00814BF6">
        <w:rPr>
          <w:rFonts w:ascii="Book Antiqua" w:hAnsi="Book Antiqua" w:cs="Times New Roman"/>
          <w:sz w:val="24"/>
          <w:szCs w:val="24"/>
        </w:rPr>
        <w:t>M</w:t>
      </w:r>
      <w:r w:rsidR="00634081" w:rsidRPr="00814BF6">
        <w:rPr>
          <w:rFonts w:ascii="Book Antiqua" w:hAnsi="Book Antiqua" w:cs="Times New Roman"/>
          <w:sz w:val="24"/>
          <w:szCs w:val="24"/>
        </w:rPr>
        <w:t xml:space="preserve">eta-analysis showed a survival benefit for patients treated with preoperative chemoradiotherapy (CRT) compared with surgery </w:t>
      </w:r>
      <w:proofErr w:type="gramStart"/>
      <w:r w:rsidR="00634081" w:rsidRPr="00814BF6">
        <w:rPr>
          <w:rFonts w:ascii="Book Antiqua" w:hAnsi="Book Antiqua" w:cs="Times New Roman"/>
          <w:sz w:val="24"/>
          <w:szCs w:val="24"/>
        </w:rPr>
        <w:t>alone</w:t>
      </w:r>
      <w:r w:rsidR="00B67E18" w:rsidRPr="00814BF6">
        <w:rPr>
          <w:rFonts w:ascii="Book Antiqua" w:hAnsi="Book Antiqua" w:cs="Times New Roman"/>
          <w:sz w:val="24"/>
          <w:szCs w:val="24"/>
          <w:vertAlign w:val="superscript"/>
        </w:rPr>
        <w:t>[</w:t>
      </w:r>
      <w:proofErr w:type="gramEnd"/>
      <w:r w:rsidR="00D65329" w:rsidRPr="00814BF6">
        <w:rPr>
          <w:rFonts w:ascii="Book Antiqua" w:hAnsi="Book Antiqua" w:cs="Times New Roman"/>
          <w:sz w:val="24"/>
          <w:szCs w:val="24"/>
          <w:vertAlign w:val="superscript"/>
        </w:rPr>
        <w:t>6</w:t>
      </w:r>
      <w:r w:rsidR="00B67E18" w:rsidRPr="00814BF6">
        <w:rPr>
          <w:rFonts w:ascii="Book Antiqua" w:hAnsi="Book Antiqua" w:cs="Times New Roman"/>
          <w:sz w:val="24"/>
          <w:szCs w:val="24"/>
          <w:vertAlign w:val="superscript"/>
        </w:rPr>
        <w:t>]</w:t>
      </w:r>
      <w:r w:rsidR="00B67E18" w:rsidRPr="00814BF6">
        <w:rPr>
          <w:rFonts w:ascii="Book Antiqua" w:hAnsi="Book Antiqua" w:cs="Times New Roman"/>
          <w:sz w:val="24"/>
          <w:szCs w:val="24"/>
        </w:rPr>
        <w:t>.</w:t>
      </w:r>
      <w:r w:rsidR="00F91E94" w:rsidRPr="00814BF6">
        <w:rPr>
          <w:rFonts w:ascii="Book Antiqua" w:hAnsi="Book Antiqua" w:cs="Times New Roman"/>
          <w:sz w:val="24"/>
          <w:szCs w:val="24"/>
        </w:rPr>
        <w:t xml:space="preserve"> </w:t>
      </w:r>
      <w:r w:rsidR="00B67E18" w:rsidRPr="00814BF6">
        <w:rPr>
          <w:rFonts w:ascii="Book Antiqua" w:hAnsi="Book Antiqua" w:cs="Times New Roman"/>
          <w:sz w:val="24"/>
          <w:szCs w:val="24"/>
        </w:rPr>
        <w:t>W</w:t>
      </w:r>
      <w:r w:rsidR="00D20A89" w:rsidRPr="00814BF6">
        <w:rPr>
          <w:rFonts w:ascii="Book Antiqua" w:hAnsi="Book Antiqua" w:cs="Times New Roman"/>
          <w:sz w:val="24"/>
          <w:szCs w:val="24"/>
        </w:rPr>
        <w:t>e have been using triple</w:t>
      </w:r>
      <w:r w:rsidR="003507A5" w:rsidRPr="00814BF6">
        <w:rPr>
          <w:rFonts w:ascii="Book Antiqua" w:hAnsi="Book Antiqua" w:cs="Times New Roman"/>
          <w:sz w:val="24"/>
          <w:szCs w:val="24"/>
        </w:rPr>
        <w:t>-</w:t>
      </w:r>
      <w:r w:rsidR="00D20A89" w:rsidRPr="00814BF6">
        <w:rPr>
          <w:rFonts w:ascii="Book Antiqua" w:hAnsi="Book Antiqua" w:cs="Times New Roman"/>
          <w:sz w:val="24"/>
          <w:szCs w:val="24"/>
        </w:rPr>
        <w:t xml:space="preserve">modality approach for locally advanced </w:t>
      </w:r>
      <w:r w:rsidR="000F6EC5" w:rsidRPr="00814BF6">
        <w:rPr>
          <w:rFonts w:ascii="Book Antiqua" w:hAnsi="Book Antiqua" w:cs="Times New Roman"/>
          <w:sz w:val="24"/>
          <w:szCs w:val="24"/>
        </w:rPr>
        <w:t>di</w:t>
      </w:r>
      <w:r w:rsidR="00634081" w:rsidRPr="00814BF6">
        <w:rPr>
          <w:rFonts w:ascii="Book Antiqua" w:hAnsi="Book Antiqua" w:cs="Times New Roman"/>
          <w:sz w:val="24"/>
          <w:szCs w:val="24"/>
        </w:rPr>
        <w:t>s</w:t>
      </w:r>
      <w:r w:rsidR="000F6EC5" w:rsidRPr="00814BF6">
        <w:rPr>
          <w:rFonts w:ascii="Book Antiqua" w:hAnsi="Book Antiqua" w:cs="Times New Roman"/>
          <w:sz w:val="24"/>
          <w:szCs w:val="24"/>
        </w:rPr>
        <w:t xml:space="preserve">tal </w:t>
      </w:r>
      <w:r w:rsidR="00D20A89" w:rsidRPr="00814BF6">
        <w:rPr>
          <w:rFonts w:ascii="Book Antiqua" w:hAnsi="Book Antiqua" w:cs="Times New Roman"/>
          <w:sz w:val="24"/>
          <w:szCs w:val="24"/>
        </w:rPr>
        <w:t>esophageal cancer.</w:t>
      </w:r>
      <w:r w:rsidR="006853B4" w:rsidRPr="00814BF6">
        <w:rPr>
          <w:rFonts w:ascii="Book Antiqua" w:hAnsi="Book Antiqua" w:cs="Times New Roman"/>
          <w:sz w:val="24"/>
          <w:szCs w:val="24"/>
        </w:rPr>
        <w:t xml:space="preserve"> </w:t>
      </w:r>
      <w:r w:rsidR="007C1B78" w:rsidRPr="00814BF6">
        <w:rPr>
          <w:rFonts w:ascii="Book Antiqua" w:hAnsi="Book Antiqua" w:cs="Times New Roman"/>
          <w:sz w:val="24"/>
          <w:szCs w:val="24"/>
        </w:rPr>
        <w:t>Although</w:t>
      </w:r>
      <w:r w:rsidR="00634081" w:rsidRPr="00814BF6">
        <w:rPr>
          <w:rFonts w:ascii="Book Antiqua" w:hAnsi="Book Antiqua" w:cs="Times New Roman"/>
          <w:sz w:val="24"/>
          <w:szCs w:val="24"/>
        </w:rPr>
        <w:t xml:space="preserve"> the results from CROSS studies demonstrated the triple</w:t>
      </w:r>
      <w:r w:rsidR="003507A5" w:rsidRPr="00814BF6">
        <w:rPr>
          <w:rFonts w:ascii="Book Antiqua" w:hAnsi="Book Antiqua" w:cs="Times New Roman"/>
          <w:sz w:val="24"/>
          <w:szCs w:val="24"/>
        </w:rPr>
        <w:t>-</w:t>
      </w:r>
      <w:r w:rsidR="007C1B78" w:rsidRPr="00814BF6">
        <w:rPr>
          <w:rFonts w:ascii="Book Antiqua" w:hAnsi="Book Antiqua" w:cs="Times New Roman"/>
          <w:sz w:val="24"/>
          <w:szCs w:val="24"/>
        </w:rPr>
        <w:t>modality</w:t>
      </w:r>
      <w:r w:rsidR="00634081" w:rsidRPr="00814BF6">
        <w:rPr>
          <w:rFonts w:ascii="Book Antiqua" w:hAnsi="Book Antiqua" w:cs="Times New Roman"/>
          <w:sz w:val="24"/>
          <w:szCs w:val="24"/>
        </w:rPr>
        <w:t xml:space="preserve"> approach to be well</w:t>
      </w:r>
      <w:r w:rsidR="003507A5" w:rsidRPr="00814BF6">
        <w:rPr>
          <w:rFonts w:ascii="Book Antiqua" w:hAnsi="Book Antiqua" w:cs="Times New Roman"/>
          <w:sz w:val="24"/>
          <w:szCs w:val="24"/>
        </w:rPr>
        <w:t>-</w:t>
      </w:r>
      <w:r w:rsidR="00634081" w:rsidRPr="00814BF6">
        <w:rPr>
          <w:rFonts w:ascii="Book Antiqua" w:hAnsi="Book Antiqua" w:cs="Times New Roman"/>
          <w:sz w:val="24"/>
          <w:szCs w:val="24"/>
        </w:rPr>
        <w:t xml:space="preserve">tolerated </w:t>
      </w:r>
      <w:r w:rsidR="003507A5" w:rsidRPr="00814BF6">
        <w:rPr>
          <w:rFonts w:ascii="Book Antiqua" w:hAnsi="Book Antiqua" w:cs="Times New Roman"/>
          <w:sz w:val="24"/>
          <w:szCs w:val="24"/>
        </w:rPr>
        <w:t>with</w:t>
      </w:r>
      <w:r w:rsidR="00634081" w:rsidRPr="00814BF6">
        <w:rPr>
          <w:rFonts w:ascii="Book Antiqua" w:hAnsi="Book Antiqua" w:cs="Times New Roman"/>
          <w:sz w:val="24"/>
          <w:szCs w:val="24"/>
        </w:rPr>
        <w:t xml:space="preserve"> survival benefit, the absolute benefit for adenocarcinoma remains small</w:t>
      </w:r>
      <w:r w:rsidR="003507A5" w:rsidRPr="00814BF6">
        <w:rPr>
          <w:rFonts w:ascii="Book Antiqua" w:hAnsi="Book Antiqua" w:cs="Times New Roman"/>
          <w:sz w:val="24"/>
          <w:szCs w:val="24"/>
        </w:rPr>
        <w:t xml:space="preserve"> and</w:t>
      </w:r>
      <w:r w:rsidR="00634081" w:rsidRPr="00814BF6">
        <w:rPr>
          <w:rFonts w:ascii="Book Antiqua" w:hAnsi="Book Antiqua" w:cs="Times New Roman"/>
          <w:sz w:val="24"/>
          <w:szCs w:val="24"/>
        </w:rPr>
        <w:t xml:space="preserve"> the survival benefit for adenocarcinoma is not statistic</w:t>
      </w:r>
      <w:r w:rsidR="003507A5" w:rsidRPr="00814BF6">
        <w:rPr>
          <w:rFonts w:ascii="Book Antiqua" w:hAnsi="Book Antiqua" w:cs="Times New Roman"/>
          <w:sz w:val="24"/>
          <w:szCs w:val="24"/>
        </w:rPr>
        <w:t>ally</w:t>
      </w:r>
      <w:r w:rsidR="00634081" w:rsidRPr="00814BF6">
        <w:rPr>
          <w:rFonts w:ascii="Book Antiqua" w:hAnsi="Book Antiqua" w:cs="Times New Roman"/>
          <w:sz w:val="24"/>
          <w:szCs w:val="24"/>
        </w:rPr>
        <w:t xml:space="preserve"> </w:t>
      </w:r>
      <w:proofErr w:type="gramStart"/>
      <w:r w:rsidR="00634081" w:rsidRPr="00814BF6">
        <w:rPr>
          <w:rFonts w:ascii="Book Antiqua" w:hAnsi="Book Antiqua" w:cs="Times New Roman"/>
          <w:sz w:val="24"/>
          <w:szCs w:val="24"/>
        </w:rPr>
        <w:t>significant</w:t>
      </w:r>
      <w:r w:rsidR="00B67E18" w:rsidRPr="00814BF6">
        <w:rPr>
          <w:rFonts w:ascii="Book Antiqua" w:hAnsi="Book Antiqua" w:cs="Times New Roman"/>
          <w:sz w:val="24"/>
          <w:szCs w:val="24"/>
          <w:vertAlign w:val="superscript"/>
        </w:rPr>
        <w:t>[</w:t>
      </w:r>
      <w:proofErr w:type="gramEnd"/>
      <w:r w:rsidR="00D65329" w:rsidRPr="00814BF6">
        <w:rPr>
          <w:rFonts w:ascii="Book Antiqua" w:hAnsi="Book Antiqua" w:cs="Times New Roman"/>
          <w:sz w:val="24"/>
          <w:szCs w:val="24"/>
          <w:vertAlign w:val="superscript"/>
        </w:rPr>
        <w:t>7</w:t>
      </w:r>
      <w:r w:rsidR="009C5F4A" w:rsidRPr="00814BF6">
        <w:rPr>
          <w:rFonts w:ascii="Book Antiqua" w:hAnsi="Book Antiqua" w:cs="Times New Roman"/>
          <w:sz w:val="24"/>
          <w:szCs w:val="24"/>
          <w:vertAlign w:val="superscript"/>
        </w:rPr>
        <w:t>]</w:t>
      </w:r>
      <w:r w:rsidR="003507A5" w:rsidRPr="00814BF6">
        <w:rPr>
          <w:rFonts w:ascii="Book Antiqua" w:hAnsi="Book Antiqua" w:cs="Times New Roman"/>
          <w:sz w:val="24"/>
          <w:szCs w:val="24"/>
        </w:rPr>
        <w:t xml:space="preserve">, with a </w:t>
      </w:r>
      <w:r w:rsidR="00F31EFD">
        <w:rPr>
          <w:rFonts w:ascii="Book Antiqua" w:hAnsi="Book Antiqua" w:cs="Times New Roman"/>
          <w:sz w:val="24"/>
          <w:szCs w:val="24"/>
        </w:rPr>
        <w:t>17</w:t>
      </w:r>
      <w:r w:rsidR="00E96A0C" w:rsidRPr="00814BF6">
        <w:rPr>
          <w:rFonts w:ascii="Book Antiqua" w:hAnsi="Book Antiqua" w:cs="Times New Roman"/>
          <w:sz w:val="24"/>
          <w:szCs w:val="24"/>
        </w:rPr>
        <w:t>% pathological complet</w:t>
      </w:r>
      <w:r w:rsidR="002A3385" w:rsidRPr="00814BF6">
        <w:rPr>
          <w:rFonts w:ascii="Book Antiqua" w:hAnsi="Book Antiqua" w:cs="Times New Roman"/>
          <w:sz w:val="24"/>
          <w:szCs w:val="24"/>
        </w:rPr>
        <w:t>e</w:t>
      </w:r>
      <w:r w:rsidR="00E96A0C" w:rsidRPr="00814BF6">
        <w:rPr>
          <w:rFonts w:ascii="Book Antiqua" w:hAnsi="Book Antiqua" w:cs="Times New Roman"/>
          <w:sz w:val="24"/>
          <w:szCs w:val="24"/>
        </w:rPr>
        <w:t xml:space="preserve"> response</w:t>
      </w:r>
      <w:r w:rsidR="009E495B" w:rsidRPr="00814BF6">
        <w:rPr>
          <w:rFonts w:ascii="Book Antiqua" w:hAnsi="Book Antiqua" w:cs="Times New Roman"/>
          <w:sz w:val="24"/>
          <w:szCs w:val="24"/>
        </w:rPr>
        <w:t xml:space="preserve"> </w:t>
      </w:r>
      <w:r w:rsidR="00E96A0C" w:rsidRPr="00814BF6">
        <w:rPr>
          <w:rFonts w:ascii="Book Antiqua" w:hAnsi="Book Antiqua" w:cs="Times New Roman"/>
          <w:sz w:val="24"/>
          <w:szCs w:val="24"/>
        </w:rPr>
        <w:t>(pCR).</w:t>
      </w:r>
      <w:r w:rsidR="00F91E94" w:rsidRPr="00814BF6">
        <w:rPr>
          <w:rFonts w:ascii="Book Antiqua" w:hAnsi="Book Antiqua" w:cs="Times New Roman"/>
          <w:sz w:val="24"/>
          <w:szCs w:val="24"/>
        </w:rPr>
        <w:t xml:space="preserve"> </w:t>
      </w:r>
      <w:r w:rsidR="00590008" w:rsidRPr="00814BF6">
        <w:rPr>
          <w:rFonts w:ascii="Book Antiqua" w:hAnsi="Book Antiqua" w:cs="Times New Roman"/>
          <w:sz w:val="24"/>
          <w:szCs w:val="24"/>
        </w:rPr>
        <w:t xml:space="preserve">There is clear evidence </w:t>
      </w:r>
      <w:r w:rsidR="00D65329" w:rsidRPr="00814BF6">
        <w:rPr>
          <w:rFonts w:ascii="Book Antiqua" w:hAnsi="Book Antiqua" w:cs="Times New Roman"/>
          <w:sz w:val="24"/>
          <w:szCs w:val="24"/>
        </w:rPr>
        <w:t xml:space="preserve">correlating </w:t>
      </w:r>
      <w:r w:rsidR="007C1B78" w:rsidRPr="00814BF6">
        <w:rPr>
          <w:rFonts w:ascii="Book Antiqua" w:hAnsi="Book Antiqua" w:cs="Times New Roman"/>
          <w:sz w:val="24"/>
          <w:szCs w:val="24"/>
        </w:rPr>
        <w:t xml:space="preserve">pCR </w:t>
      </w:r>
      <w:r w:rsidR="00590008" w:rsidRPr="00814BF6">
        <w:rPr>
          <w:rFonts w:ascii="Book Antiqua" w:hAnsi="Book Antiqua" w:cs="Times New Roman"/>
          <w:sz w:val="24"/>
          <w:szCs w:val="24"/>
        </w:rPr>
        <w:t>and be</w:t>
      </w:r>
      <w:r w:rsidR="00BE5205" w:rsidRPr="00814BF6">
        <w:rPr>
          <w:rFonts w:ascii="Book Antiqua" w:hAnsi="Book Antiqua" w:cs="Times New Roman"/>
          <w:sz w:val="24"/>
          <w:szCs w:val="24"/>
        </w:rPr>
        <w:t xml:space="preserve">tter local control </w:t>
      </w:r>
      <w:r w:rsidR="00D65329" w:rsidRPr="00814BF6">
        <w:rPr>
          <w:rFonts w:ascii="Book Antiqua" w:hAnsi="Book Antiqua" w:cs="Times New Roman"/>
          <w:sz w:val="24"/>
          <w:szCs w:val="24"/>
        </w:rPr>
        <w:t>with improved</w:t>
      </w:r>
      <w:r w:rsidR="00BE5205" w:rsidRPr="00814BF6">
        <w:rPr>
          <w:rFonts w:ascii="Book Antiqua" w:hAnsi="Book Antiqua" w:cs="Times New Roman"/>
          <w:sz w:val="24"/>
          <w:szCs w:val="24"/>
        </w:rPr>
        <w:t xml:space="preserve"> </w:t>
      </w:r>
      <w:proofErr w:type="gramStart"/>
      <w:r w:rsidR="00BE5205" w:rsidRPr="00814BF6">
        <w:rPr>
          <w:rFonts w:ascii="Book Antiqua" w:hAnsi="Book Antiqua" w:cs="Times New Roman"/>
          <w:sz w:val="24"/>
          <w:szCs w:val="24"/>
        </w:rPr>
        <w:t>survival</w:t>
      </w:r>
      <w:r w:rsidR="00B67E18" w:rsidRPr="00814BF6">
        <w:rPr>
          <w:rFonts w:ascii="Book Antiqua" w:hAnsi="Book Antiqua" w:cs="Times New Roman"/>
          <w:sz w:val="24"/>
          <w:szCs w:val="24"/>
          <w:vertAlign w:val="superscript"/>
        </w:rPr>
        <w:t>[</w:t>
      </w:r>
      <w:proofErr w:type="gramEnd"/>
      <w:r w:rsidR="00D65329" w:rsidRPr="00814BF6">
        <w:rPr>
          <w:rFonts w:ascii="Book Antiqua" w:hAnsi="Book Antiqua" w:cs="Times New Roman"/>
          <w:sz w:val="24"/>
          <w:szCs w:val="24"/>
          <w:vertAlign w:val="superscript"/>
        </w:rPr>
        <w:t>8</w:t>
      </w:r>
      <w:r w:rsidR="00B67E18" w:rsidRPr="00814BF6">
        <w:rPr>
          <w:rFonts w:ascii="Book Antiqua" w:hAnsi="Book Antiqua" w:cs="Times New Roman"/>
          <w:sz w:val="24"/>
          <w:szCs w:val="24"/>
          <w:vertAlign w:val="superscript"/>
        </w:rPr>
        <w:t>]</w:t>
      </w:r>
      <w:r w:rsidR="00590008" w:rsidRPr="00814BF6">
        <w:rPr>
          <w:rFonts w:ascii="Book Antiqua" w:hAnsi="Book Antiqua" w:cs="Times New Roman"/>
          <w:sz w:val="24"/>
          <w:szCs w:val="24"/>
        </w:rPr>
        <w:t>.</w:t>
      </w:r>
      <w:r w:rsidR="00E96A0C" w:rsidRPr="00814BF6">
        <w:rPr>
          <w:rFonts w:ascii="Book Antiqua" w:hAnsi="Book Antiqua" w:cs="Times New Roman"/>
          <w:sz w:val="24"/>
          <w:szCs w:val="24"/>
        </w:rPr>
        <w:t xml:space="preserve"> </w:t>
      </w:r>
      <w:r w:rsidR="009C5F4A" w:rsidRPr="00814BF6">
        <w:rPr>
          <w:rFonts w:ascii="Book Antiqua" w:hAnsi="Book Antiqua" w:cs="Times New Roman"/>
          <w:sz w:val="24"/>
          <w:szCs w:val="24"/>
        </w:rPr>
        <w:t>However, t</w:t>
      </w:r>
      <w:r w:rsidR="003507A5" w:rsidRPr="00814BF6">
        <w:rPr>
          <w:rFonts w:ascii="Book Antiqua" w:hAnsi="Book Antiqua" w:cs="Times New Roman"/>
          <w:sz w:val="24"/>
          <w:szCs w:val="24"/>
        </w:rPr>
        <w:t xml:space="preserve">here are few reports </w:t>
      </w:r>
      <w:r w:rsidR="00E96A0C" w:rsidRPr="00814BF6">
        <w:rPr>
          <w:rFonts w:ascii="Book Antiqua" w:hAnsi="Book Antiqua" w:cs="Times New Roman"/>
          <w:sz w:val="24"/>
          <w:szCs w:val="24"/>
        </w:rPr>
        <w:t xml:space="preserve">regarding the role of </w:t>
      </w:r>
      <w:r w:rsidR="00BE5205" w:rsidRPr="00814BF6">
        <w:rPr>
          <w:rFonts w:ascii="Book Antiqua" w:hAnsi="Book Antiqua" w:cs="Times New Roman"/>
          <w:sz w:val="24"/>
          <w:szCs w:val="24"/>
        </w:rPr>
        <w:t xml:space="preserve">radiation </w:t>
      </w:r>
      <w:r w:rsidR="00E96A0C" w:rsidRPr="00814BF6">
        <w:rPr>
          <w:rFonts w:ascii="Book Antiqua" w:hAnsi="Book Antiqua" w:cs="Times New Roman"/>
          <w:sz w:val="24"/>
          <w:szCs w:val="24"/>
        </w:rPr>
        <w:t>dose var</w:t>
      </w:r>
      <w:r w:rsidR="00DC431D" w:rsidRPr="00814BF6">
        <w:rPr>
          <w:rFonts w:ascii="Book Antiqua" w:hAnsi="Book Antiqua" w:cs="Times New Roman"/>
          <w:sz w:val="24"/>
          <w:szCs w:val="24"/>
        </w:rPr>
        <w:t>iation in triple</w:t>
      </w:r>
      <w:r w:rsidR="003507A5" w:rsidRPr="00814BF6">
        <w:rPr>
          <w:rFonts w:ascii="Book Antiqua" w:hAnsi="Book Antiqua" w:cs="Times New Roman"/>
          <w:sz w:val="24"/>
          <w:szCs w:val="24"/>
        </w:rPr>
        <w:t>-</w:t>
      </w:r>
      <w:r w:rsidR="002A3385" w:rsidRPr="00814BF6">
        <w:rPr>
          <w:rFonts w:ascii="Book Antiqua" w:hAnsi="Book Antiqua" w:cs="Times New Roman"/>
          <w:sz w:val="24"/>
          <w:szCs w:val="24"/>
        </w:rPr>
        <w:t>modality</w:t>
      </w:r>
      <w:r w:rsidR="003507A5" w:rsidRPr="00814BF6">
        <w:rPr>
          <w:rFonts w:ascii="Book Antiqua" w:hAnsi="Book Antiqua" w:cs="Times New Roman"/>
          <w:sz w:val="24"/>
          <w:szCs w:val="24"/>
        </w:rPr>
        <w:t xml:space="preserve"> therapy</w:t>
      </w:r>
      <w:r w:rsidR="00DC431D" w:rsidRPr="00814BF6">
        <w:rPr>
          <w:rFonts w:ascii="Book Antiqua" w:hAnsi="Book Antiqua" w:cs="Times New Roman"/>
          <w:sz w:val="24"/>
          <w:szCs w:val="24"/>
        </w:rPr>
        <w:t>.</w:t>
      </w:r>
      <w:r w:rsidR="00F91E94" w:rsidRPr="00814BF6">
        <w:rPr>
          <w:rFonts w:ascii="Book Antiqua" w:hAnsi="Book Antiqua" w:cs="Times New Roman"/>
          <w:sz w:val="24"/>
          <w:szCs w:val="24"/>
        </w:rPr>
        <w:t xml:space="preserve"> </w:t>
      </w:r>
      <w:r w:rsidR="00DC431D" w:rsidRPr="00814BF6">
        <w:rPr>
          <w:rFonts w:ascii="Book Antiqua" w:hAnsi="Book Antiqua" w:cs="Times New Roman"/>
          <w:sz w:val="24"/>
          <w:szCs w:val="24"/>
        </w:rPr>
        <w:t>Understanding dose change and its impact on tumor response provides insight into the effectiveness of the combined treatment</w:t>
      </w:r>
      <w:r w:rsidR="00BE5205" w:rsidRPr="00814BF6">
        <w:rPr>
          <w:rFonts w:ascii="Book Antiqua" w:hAnsi="Book Antiqua" w:cs="Times New Roman"/>
          <w:sz w:val="24"/>
          <w:szCs w:val="24"/>
        </w:rPr>
        <w:t xml:space="preserve"> </w:t>
      </w:r>
      <w:r w:rsidR="00DC431D" w:rsidRPr="00814BF6">
        <w:rPr>
          <w:rFonts w:ascii="Book Antiqua" w:hAnsi="Book Antiqua" w:cs="Times New Roman"/>
          <w:sz w:val="24"/>
          <w:szCs w:val="24"/>
        </w:rPr>
        <w:t>and may lead to improve</w:t>
      </w:r>
      <w:r w:rsidR="009C5F4A" w:rsidRPr="00814BF6">
        <w:rPr>
          <w:rFonts w:ascii="Book Antiqua" w:hAnsi="Book Antiqua" w:cs="Times New Roman"/>
          <w:sz w:val="24"/>
          <w:szCs w:val="24"/>
        </w:rPr>
        <w:t>d survival</w:t>
      </w:r>
      <w:r w:rsidR="00DC431D" w:rsidRPr="00814BF6">
        <w:rPr>
          <w:rFonts w:ascii="Book Antiqua" w:hAnsi="Book Antiqua" w:cs="Times New Roman"/>
          <w:sz w:val="24"/>
          <w:szCs w:val="24"/>
        </w:rPr>
        <w:t xml:space="preserve">. Therefore, we analyzed our experience </w:t>
      </w:r>
      <w:r w:rsidR="003507A5" w:rsidRPr="00814BF6">
        <w:rPr>
          <w:rFonts w:ascii="Book Antiqua" w:hAnsi="Book Antiqua" w:cs="Times New Roman"/>
          <w:sz w:val="24"/>
          <w:szCs w:val="24"/>
        </w:rPr>
        <w:t>with</w:t>
      </w:r>
      <w:r w:rsidR="00DC431D" w:rsidRPr="00814BF6">
        <w:rPr>
          <w:rFonts w:ascii="Book Antiqua" w:hAnsi="Book Antiqua" w:cs="Times New Roman"/>
          <w:sz w:val="24"/>
          <w:szCs w:val="24"/>
        </w:rPr>
        <w:t xml:space="preserve"> dose escalation through </w:t>
      </w:r>
      <w:r w:rsidR="003507A5" w:rsidRPr="00814BF6">
        <w:rPr>
          <w:rFonts w:ascii="Book Antiqua" w:hAnsi="Book Antiqua" w:cs="Times New Roman"/>
          <w:sz w:val="24"/>
          <w:szCs w:val="24"/>
        </w:rPr>
        <w:t xml:space="preserve">the </w:t>
      </w:r>
      <w:r w:rsidR="002064EA" w:rsidRPr="00814BF6">
        <w:rPr>
          <w:rFonts w:ascii="Book Antiqua" w:hAnsi="Book Antiqua" w:cs="Times New Roman"/>
          <w:sz w:val="24"/>
          <w:szCs w:val="24"/>
        </w:rPr>
        <w:t>intensity modulated radiation therapy with simultaneous integrated boost (IMRT-SIB)</w:t>
      </w:r>
      <w:r w:rsidR="00DC431D" w:rsidRPr="00814BF6">
        <w:rPr>
          <w:rFonts w:ascii="Book Antiqua" w:hAnsi="Book Antiqua" w:cs="Times New Roman"/>
          <w:sz w:val="24"/>
          <w:szCs w:val="24"/>
        </w:rPr>
        <w:t xml:space="preserve"> technique</w:t>
      </w:r>
      <w:r w:rsidR="00521C2F" w:rsidRPr="00814BF6">
        <w:rPr>
          <w:rFonts w:ascii="Book Antiqua" w:hAnsi="Book Antiqua" w:cs="Times New Roman"/>
          <w:sz w:val="24"/>
          <w:szCs w:val="24"/>
        </w:rPr>
        <w:t xml:space="preserve">, </w:t>
      </w:r>
      <w:r w:rsidR="003507A5" w:rsidRPr="00814BF6">
        <w:rPr>
          <w:rFonts w:ascii="Book Antiqua" w:hAnsi="Book Antiqua" w:cs="Times New Roman"/>
          <w:sz w:val="24"/>
          <w:szCs w:val="24"/>
        </w:rPr>
        <w:t xml:space="preserve">with emphasis on the relationship of the </w:t>
      </w:r>
      <w:r w:rsidR="00521C2F" w:rsidRPr="00814BF6">
        <w:rPr>
          <w:rFonts w:ascii="Book Antiqua" w:hAnsi="Book Antiqua" w:cs="Times New Roman"/>
          <w:sz w:val="24"/>
          <w:szCs w:val="24"/>
        </w:rPr>
        <w:t>site of pCR</w:t>
      </w:r>
      <w:r w:rsidR="00DC431D" w:rsidRPr="00814BF6">
        <w:rPr>
          <w:rFonts w:ascii="Book Antiqua" w:hAnsi="Book Antiqua" w:cs="Times New Roman"/>
          <w:sz w:val="24"/>
          <w:szCs w:val="24"/>
        </w:rPr>
        <w:t xml:space="preserve"> to the radiation</w:t>
      </w:r>
      <w:r w:rsidR="00521C2F" w:rsidRPr="00814BF6">
        <w:rPr>
          <w:rFonts w:ascii="Book Antiqua" w:hAnsi="Book Antiqua" w:cs="Times New Roman"/>
          <w:sz w:val="24"/>
          <w:szCs w:val="24"/>
        </w:rPr>
        <w:t xml:space="preserve"> dose escalation </w:t>
      </w:r>
      <w:r w:rsidR="003507A5" w:rsidRPr="00814BF6">
        <w:rPr>
          <w:rFonts w:ascii="Book Antiqua" w:hAnsi="Book Antiqua" w:cs="Times New Roman"/>
          <w:sz w:val="24"/>
          <w:szCs w:val="24"/>
        </w:rPr>
        <w:t xml:space="preserve">delivered </w:t>
      </w:r>
      <w:r w:rsidR="00521C2F" w:rsidRPr="00814BF6">
        <w:rPr>
          <w:rFonts w:ascii="Book Antiqua" w:hAnsi="Book Antiqua" w:cs="Times New Roman"/>
          <w:sz w:val="24"/>
          <w:szCs w:val="24"/>
        </w:rPr>
        <w:t>to the gross tumor volume.</w:t>
      </w:r>
    </w:p>
    <w:p w14:paraId="55B65C89" w14:textId="77777777" w:rsidR="00F31EFD" w:rsidRDefault="00F31EFD" w:rsidP="00F31EFD">
      <w:pPr>
        <w:spacing w:after="0" w:line="360" w:lineRule="auto"/>
        <w:jc w:val="both"/>
        <w:rPr>
          <w:rFonts w:ascii="Book Antiqua" w:hAnsi="Book Antiqua" w:cs="Times New Roman"/>
          <w:sz w:val="24"/>
          <w:szCs w:val="24"/>
          <w:lang w:eastAsia="zh-CN"/>
        </w:rPr>
      </w:pPr>
    </w:p>
    <w:p w14:paraId="5008D94C" w14:textId="77777777" w:rsidR="008C6D33" w:rsidRPr="00F31EFD" w:rsidRDefault="00F31EFD" w:rsidP="00F31EFD">
      <w:pPr>
        <w:spacing w:after="0" w:line="360" w:lineRule="auto"/>
        <w:jc w:val="both"/>
        <w:rPr>
          <w:rFonts w:ascii="Book Antiqua" w:eastAsiaTheme="majorEastAsia" w:hAnsi="Book Antiqua" w:cs="Times New Roman"/>
          <w:b/>
          <w:bCs/>
          <w:sz w:val="24"/>
          <w:szCs w:val="24"/>
        </w:rPr>
      </w:pPr>
      <w:r w:rsidRPr="00F31EFD">
        <w:rPr>
          <w:rFonts w:ascii="Book Antiqua" w:hAnsi="Book Antiqua" w:cs="Times New Roman"/>
          <w:b/>
          <w:sz w:val="24"/>
          <w:szCs w:val="24"/>
        </w:rPr>
        <w:t>METHODS AND MATERIALS</w:t>
      </w:r>
    </w:p>
    <w:p w14:paraId="7E85172A" w14:textId="77777777" w:rsidR="006862B5" w:rsidRPr="00814BF6" w:rsidRDefault="00126D7E" w:rsidP="00814BF6">
      <w:pPr>
        <w:spacing w:after="0" w:line="360" w:lineRule="auto"/>
        <w:jc w:val="both"/>
        <w:rPr>
          <w:rFonts w:ascii="Book Antiqua" w:hAnsi="Book Antiqua" w:cs="Times New Roman"/>
          <w:sz w:val="24"/>
          <w:szCs w:val="24"/>
        </w:rPr>
      </w:pPr>
      <w:r w:rsidRPr="00814BF6">
        <w:rPr>
          <w:rFonts w:ascii="Book Antiqua" w:hAnsi="Book Antiqua" w:cs="Times New Roman"/>
          <w:sz w:val="24"/>
          <w:szCs w:val="24"/>
        </w:rPr>
        <w:t xml:space="preserve">Our Institutional </w:t>
      </w:r>
      <w:r w:rsidRPr="00814BF6">
        <w:rPr>
          <w:rFonts w:ascii="Book Antiqua" w:eastAsiaTheme="majorEastAsia" w:hAnsi="Book Antiqua" w:cs="Times New Roman"/>
          <w:sz w:val="24"/>
          <w:szCs w:val="24"/>
        </w:rPr>
        <w:t>Review</w:t>
      </w:r>
      <w:r w:rsidRPr="00814BF6">
        <w:rPr>
          <w:rFonts w:ascii="Book Antiqua" w:hAnsi="Book Antiqua" w:cs="Times New Roman"/>
          <w:sz w:val="24"/>
          <w:szCs w:val="24"/>
        </w:rPr>
        <w:t xml:space="preserve"> Board approved this study. The patients included in this study were treated at our institution for locally advanced esophageal cancer </w:t>
      </w:r>
      <w:r w:rsidR="00CD0289" w:rsidRPr="00814BF6">
        <w:rPr>
          <w:rFonts w:ascii="Book Antiqua" w:hAnsi="Book Antiqua" w:cs="Times New Roman"/>
          <w:sz w:val="24"/>
          <w:szCs w:val="24"/>
        </w:rPr>
        <w:t xml:space="preserve">between </w:t>
      </w:r>
      <w:r w:rsidRPr="00814BF6">
        <w:rPr>
          <w:rFonts w:ascii="Book Antiqua" w:hAnsi="Book Antiqua" w:cs="Times New Roman"/>
          <w:sz w:val="24"/>
          <w:szCs w:val="24"/>
        </w:rPr>
        <w:t>January 200</w:t>
      </w:r>
      <w:r w:rsidR="00E777ED" w:rsidRPr="00814BF6">
        <w:rPr>
          <w:rFonts w:ascii="Book Antiqua" w:hAnsi="Book Antiqua" w:cs="Times New Roman"/>
          <w:sz w:val="24"/>
          <w:szCs w:val="24"/>
        </w:rPr>
        <w:t>7</w:t>
      </w:r>
      <w:r w:rsidRPr="00814BF6">
        <w:rPr>
          <w:rFonts w:ascii="Book Antiqua" w:hAnsi="Book Antiqua" w:cs="Times New Roman"/>
          <w:sz w:val="24"/>
          <w:szCs w:val="24"/>
        </w:rPr>
        <w:t xml:space="preserve"> </w:t>
      </w:r>
      <w:r w:rsidR="00CD0289" w:rsidRPr="00814BF6">
        <w:rPr>
          <w:rFonts w:ascii="Book Antiqua" w:hAnsi="Book Antiqua" w:cs="Times New Roman"/>
          <w:sz w:val="24"/>
          <w:szCs w:val="24"/>
        </w:rPr>
        <w:t xml:space="preserve">and </w:t>
      </w:r>
      <w:r w:rsidR="00E777ED" w:rsidRPr="00814BF6">
        <w:rPr>
          <w:rFonts w:ascii="Book Antiqua" w:hAnsi="Book Antiqua" w:cs="Times New Roman"/>
          <w:sz w:val="24"/>
          <w:szCs w:val="24"/>
        </w:rPr>
        <w:t>December</w:t>
      </w:r>
      <w:r w:rsidRPr="00814BF6">
        <w:rPr>
          <w:rFonts w:ascii="Book Antiqua" w:hAnsi="Book Antiqua" w:cs="Times New Roman"/>
          <w:sz w:val="24"/>
          <w:szCs w:val="24"/>
        </w:rPr>
        <w:t xml:space="preserve"> 201</w:t>
      </w:r>
      <w:r w:rsidR="00DF06EA" w:rsidRPr="00814BF6">
        <w:rPr>
          <w:rFonts w:ascii="Book Antiqua" w:hAnsi="Book Antiqua" w:cs="Times New Roman"/>
          <w:sz w:val="24"/>
          <w:szCs w:val="24"/>
        </w:rPr>
        <w:t>4</w:t>
      </w:r>
      <w:r w:rsidRPr="00814BF6">
        <w:rPr>
          <w:rFonts w:ascii="Book Antiqua" w:hAnsi="Book Antiqua" w:cs="Times New Roman"/>
          <w:sz w:val="24"/>
          <w:szCs w:val="24"/>
        </w:rPr>
        <w:t>. The inclusion criteria were pathologically confirmed adenocarcinoma</w:t>
      </w:r>
      <w:r w:rsidR="003507A5" w:rsidRPr="00814BF6">
        <w:rPr>
          <w:rFonts w:ascii="Book Antiqua" w:hAnsi="Book Antiqua" w:cs="Times New Roman"/>
          <w:sz w:val="24"/>
          <w:szCs w:val="24"/>
        </w:rPr>
        <w:t xml:space="preserve"> and n</w:t>
      </w:r>
      <w:r w:rsidR="00392B7E" w:rsidRPr="00814BF6">
        <w:rPr>
          <w:rFonts w:ascii="Book Antiqua" w:hAnsi="Book Antiqua" w:cs="Times New Roman"/>
          <w:sz w:val="24"/>
          <w:szCs w:val="24"/>
        </w:rPr>
        <w:t>o past or current history of malignancy or radiation treatment in the chest or abdomen.</w:t>
      </w:r>
      <w:r w:rsidR="00F91E94" w:rsidRPr="00814BF6">
        <w:rPr>
          <w:rFonts w:ascii="Book Antiqua" w:hAnsi="Book Antiqua" w:cs="Times New Roman"/>
          <w:sz w:val="24"/>
          <w:szCs w:val="24"/>
        </w:rPr>
        <w:t xml:space="preserve"> </w:t>
      </w:r>
      <w:r w:rsidR="00392B7E" w:rsidRPr="00814BF6">
        <w:rPr>
          <w:rFonts w:ascii="Book Antiqua" w:hAnsi="Book Antiqua" w:cs="Times New Roman"/>
          <w:sz w:val="24"/>
          <w:szCs w:val="24"/>
        </w:rPr>
        <w:t xml:space="preserve">Written informed consent was </w:t>
      </w:r>
      <w:r w:rsidR="001C7ED6" w:rsidRPr="00814BF6">
        <w:rPr>
          <w:rFonts w:ascii="Book Antiqua" w:hAnsi="Book Antiqua" w:cs="Times New Roman"/>
          <w:sz w:val="24"/>
          <w:szCs w:val="24"/>
        </w:rPr>
        <w:t>obtained</w:t>
      </w:r>
      <w:r w:rsidR="00392B7E" w:rsidRPr="00814BF6">
        <w:rPr>
          <w:rFonts w:ascii="Book Antiqua" w:hAnsi="Book Antiqua" w:cs="Times New Roman"/>
          <w:sz w:val="24"/>
          <w:szCs w:val="24"/>
        </w:rPr>
        <w:t xml:space="preserve"> from all patients before starting treatment.</w:t>
      </w:r>
      <w:r w:rsidR="00F91E94" w:rsidRPr="00814BF6">
        <w:rPr>
          <w:rFonts w:ascii="Book Antiqua" w:hAnsi="Book Antiqua" w:cs="Times New Roman"/>
          <w:sz w:val="24"/>
          <w:szCs w:val="24"/>
        </w:rPr>
        <w:t xml:space="preserve"> </w:t>
      </w:r>
      <w:r w:rsidR="00392B7E" w:rsidRPr="00814BF6">
        <w:rPr>
          <w:rFonts w:ascii="Book Antiqua" w:hAnsi="Book Antiqua" w:cs="Times New Roman"/>
          <w:sz w:val="24"/>
          <w:szCs w:val="24"/>
        </w:rPr>
        <w:t>All patients underwent staging</w:t>
      </w:r>
      <w:r w:rsidR="003507A5" w:rsidRPr="00814BF6">
        <w:rPr>
          <w:rFonts w:ascii="Book Antiqua" w:hAnsi="Book Antiqua" w:cs="Times New Roman"/>
          <w:sz w:val="24"/>
          <w:szCs w:val="24"/>
        </w:rPr>
        <w:t xml:space="preserve"> and</w:t>
      </w:r>
      <w:r w:rsidR="00392B7E" w:rsidRPr="00814BF6">
        <w:rPr>
          <w:rFonts w:ascii="Book Antiqua" w:hAnsi="Book Antiqua" w:cs="Times New Roman"/>
          <w:sz w:val="24"/>
          <w:szCs w:val="24"/>
        </w:rPr>
        <w:t xml:space="preserve"> those </w:t>
      </w:r>
      <w:r w:rsidR="003507A5" w:rsidRPr="00814BF6">
        <w:rPr>
          <w:rFonts w:ascii="Book Antiqua" w:hAnsi="Book Antiqua" w:cs="Times New Roman"/>
          <w:sz w:val="24"/>
          <w:szCs w:val="24"/>
        </w:rPr>
        <w:t>with</w:t>
      </w:r>
      <w:r w:rsidR="00392B7E" w:rsidRPr="00814BF6">
        <w:rPr>
          <w:rFonts w:ascii="Book Antiqua" w:hAnsi="Book Antiqua" w:cs="Times New Roman"/>
          <w:sz w:val="24"/>
          <w:szCs w:val="24"/>
        </w:rPr>
        <w:t xml:space="preserve"> no distant disease and medical</w:t>
      </w:r>
      <w:r w:rsidR="001C7ED6" w:rsidRPr="00814BF6">
        <w:rPr>
          <w:rFonts w:ascii="Book Antiqua" w:hAnsi="Book Antiqua" w:cs="Times New Roman"/>
          <w:sz w:val="24"/>
          <w:szCs w:val="24"/>
        </w:rPr>
        <w:t>ly</w:t>
      </w:r>
      <w:r w:rsidR="00392B7E" w:rsidRPr="00814BF6">
        <w:rPr>
          <w:rFonts w:ascii="Book Antiqua" w:hAnsi="Book Antiqua" w:cs="Times New Roman"/>
          <w:sz w:val="24"/>
          <w:szCs w:val="24"/>
        </w:rPr>
        <w:t xml:space="preserve"> operable patients received neoadjuvant </w:t>
      </w:r>
      <w:r w:rsidR="0074720E" w:rsidRPr="00814BF6">
        <w:rPr>
          <w:rFonts w:ascii="Book Antiqua" w:hAnsi="Book Antiqua" w:cs="Times New Roman"/>
          <w:sz w:val="24"/>
          <w:szCs w:val="24"/>
        </w:rPr>
        <w:t>CR</w:t>
      </w:r>
      <w:r w:rsidR="00392B7E" w:rsidRPr="00814BF6">
        <w:rPr>
          <w:rFonts w:ascii="Book Antiqua" w:hAnsi="Book Antiqua" w:cs="Times New Roman"/>
          <w:sz w:val="24"/>
          <w:szCs w:val="24"/>
        </w:rPr>
        <w:t>T for 5</w:t>
      </w:r>
      <w:r w:rsidR="00F6349C">
        <w:rPr>
          <w:rFonts w:ascii="Book Antiqua" w:hAnsi="Book Antiqua" w:cs="Times New Roman" w:hint="eastAsia"/>
          <w:sz w:val="24"/>
          <w:szCs w:val="24"/>
          <w:lang w:eastAsia="zh-CN"/>
        </w:rPr>
        <w:t>-</w:t>
      </w:r>
      <w:r w:rsidR="00F6349C">
        <w:rPr>
          <w:rFonts w:ascii="Book Antiqua" w:hAnsi="Book Antiqua" w:cs="Times New Roman"/>
          <w:sz w:val="24"/>
          <w:szCs w:val="24"/>
        </w:rPr>
        <w:t>6 w</w:t>
      </w:r>
      <w:r w:rsidR="00392B7E" w:rsidRPr="00814BF6">
        <w:rPr>
          <w:rFonts w:ascii="Book Antiqua" w:hAnsi="Book Antiqua" w:cs="Times New Roman"/>
          <w:sz w:val="24"/>
          <w:szCs w:val="24"/>
        </w:rPr>
        <w:t>k.</w:t>
      </w:r>
      <w:r w:rsidR="00F91E94" w:rsidRPr="00814BF6">
        <w:rPr>
          <w:rFonts w:ascii="Book Antiqua" w:hAnsi="Book Antiqua" w:cs="Times New Roman"/>
          <w:sz w:val="24"/>
          <w:szCs w:val="24"/>
        </w:rPr>
        <w:t xml:space="preserve"> </w:t>
      </w:r>
      <w:r w:rsidR="00392B7E" w:rsidRPr="00814BF6">
        <w:rPr>
          <w:rFonts w:ascii="Book Antiqua" w:hAnsi="Book Antiqua" w:cs="Times New Roman"/>
          <w:sz w:val="24"/>
          <w:szCs w:val="24"/>
        </w:rPr>
        <w:t>The resectable disease included stage cT1N1M0 or cT2-3N0-1M0</w:t>
      </w:r>
      <w:r w:rsidR="00AB7C3F" w:rsidRPr="00814BF6">
        <w:rPr>
          <w:rFonts w:ascii="Book Antiqua" w:hAnsi="Book Antiqua" w:cs="Times New Roman"/>
          <w:sz w:val="24"/>
          <w:szCs w:val="24"/>
        </w:rPr>
        <w:t xml:space="preserve"> (Table 1)</w:t>
      </w:r>
      <w:r w:rsidR="00F57E92" w:rsidRPr="00814BF6">
        <w:rPr>
          <w:rFonts w:ascii="Book Antiqua" w:hAnsi="Book Antiqua" w:cs="Times New Roman"/>
          <w:sz w:val="24"/>
          <w:szCs w:val="24"/>
          <w:vertAlign w:val="superscript"/>
        </w:rPr>
        <w:t>[</w:t>
      </w:r>
      <w:r w:rsidR="00CD0289" w:rsidRPr="00814BF6">
        <w:rPr>
          <w:rFonts w:ascii="Book Antiqua" w:hAnsi="Book Antiqua" w:cs="Times New Roman"/>
          <w:sz w:val="24"/>
          <w:szCs w:val="24"/>
          <w:vertAlign w:val="superscript"/>
        </w:rPr>
        <w:t>9</w:t>
      </w:r>
      <w:r w:rsidR="00F57E92" w:rsidRPr="00814BF6">
        <w:rPr>
          <w:rFonts w:ascii="Book Antiqua" w:hAnsi="Book Antiqua" w:cs="Times New Roman"/>
          <w:sz w:val="24"/>
          <w:szCs w:val="24"/>
          <w:vertAlign w:val="superscript"/>
        </w:rPr>
        <w:t>]</w:t>
      </w:r>
      <w:r w:rsidR="00F01EFE" w:rsidRPr="00814BF6">
        <w:rPr>
          <w:rFonts w:ascii="Book Antiqua" w:hAnsi="Book Antiqua" w:cs="Times New Roman"/>
          <w:sz w:val="24"/>
          <w:szCs w:val="24"/>
        </w:rPr>
        <w:t>.</w:t>
      </w:r>
    </w:p>
    <w:p w14:paraId="52D6AF4D" w14:textId="77777777" w:rsidR="009A304A" w:rsidRPr="00814BF6" w:rsidRDefault="009A304A" w:rsidP="00F6349C">
      <w:pPr>
        <w:spacing w:after="0" w:line="360" w:lineRule="auto"/>
        <w:ind w:firstLineChars="100" w:firstLine="240"/>
        <w:jc w:val="both"/>
        <w:rPr>
          <w:rFonts w:ascii="Book Antiqua" w:hAnsi="Book Antiqua" w:cs="Times New Roman"/>
          <w:sz w:val="24"/>
          <w:szCs w:val="24"/>
        </w:rPr>
      </w:pPr>
      <w:r w:rsidRPr="00814BF6">
        <w:rPr>
          <w:rFonts w:ascii="Book Antiqua" w:hAnsi="Book Antiqua" w:cs="Times New Roman"/>
          <w:sz w:val="24"/>
          <w:szCs w:val="24"/>
        </w:rPr>
        <w:t>Pretreatment staging included elaborate history taking, physical examination,</w:t>
      </w:r>
      <w:r w:rsidR="00B5558B" w:rsidRPr="00814BF6">
        <w:rPr>
          <w:rFonts w:ascii="Book Antiqua" w:hAnsi="Book Antiqua" w:cs="Times New Roman"/>
          <w:sz w:val="24"/>
          <w:szCs w:val="24"/>
        </w:rPr>
        <w:t xml:space="preserve"> </w:t>
      </w:r>
      <w:r w:rsidRPr="00814BF6">
        <w:rPr>
          <w:rFonts w:ascii="Book Antiqua" w:hAnsi="Book Antiqua" w:cs="Times New Roman"/>
          <w:sz w:val="24"/>
          <w:szCs w:val="24"/>
        </w:rPr>
        <w:t xml:space="preserve">routine blood </w:t>
      </w:r>
      <w:r w:rsidR="00D77C94" w:rsidRPr="00814BF6">
        <w:rPr>
          <w:rFonts w:ascii="Book Antiqua" w:hAnsi="Book Antiqua" w:cs="Times New Roman"/>
          <w:sz w:val="24"/>
          <w:szCs w:val="24"/>
        </w:rPr>
        <w:t>studies,</w:t>
      </w:r>
      <w:r w:rsidRPr="00814BF6">
        <w:rPr>
          <w:rFonts w:ascii="Book Antiqua" w:hAnsi="Book Antiqua" w:cs="Times New Roman"/>
          <w:sz w:val="24"/>
          <w:szCs w:val="24"/>
        </w:rPr>
        <w:t xml:space="preserve"> pulmonary function tests, an upper </w:t>
      </w:r>
      <w:r w:rsidR="00E94CDA" w:rsidRPr="00814BF6">
        <w:rPr>
          <w:rFonts w:ascii="Book Antiqua" w:hAnsi="Book Antiqua" w:cs="Times New Roman"/>
          <w:sz w:val="24"/>
          <w:szCs w:val="24"/>
        </w:rPr>
        <w:t>gastrointestinal</w:t>
      </w:r>
      <w:r w:rsidR="00B5558B" w:rsidRPr="00814BF6">
        <w:rPr>
          <w:rFonts w:ascii="Book Antiqua" w:hAnsi="Book Antiqua" w:cs="Times New Roman"/>
          <w:sz w:val="24"/>
          <w:szCs w:val="24"/>
        </w:rPr>
        <w:t xml:space="preserve"> </w:t>
      </w:r>
      <w:r w:rsidRPr="00814BF6">
        <w:rPr>
          <w:rFonts w:ascii="Book Antiqua" w:hAnsi="Book Antiqua" w:cs="Times New Roman"/>
          <w:sz w:val="24"/>
          <w:szCs w:val="24"/>
        </w:rPr>
        <w:t>endoscopy</w:t>
      </w:r>
      <w:r w:rsidR="008B7D8B" w:rsidRPr="00814BF6">
        <w:rPr>
          <w:rFonts w:ascii="Book Antiqua" w:hAnsi="Book Antiqua" w:cs="Times New Roman"/>
          <w:sz w:val="24"/>
          <w:szCs w:val="24"/>
        </w:rPr>
        <w:t xml:space="preserve"> with biopsies</w:t>
      </w:r>
      <w:r w:rsidRPr="00814BF6">
        <w:rPr>
          <w:rFonts w:ascii="Book Antiqua" w:hAnsi="Book Antiqua" w:cs="Times New Roman"/>
          <w:sz w:val="24"/>
          <w:szCs w:val="24"/>
        </w:rPr>
        <w:t xml:space="preserve">, and computed tomography (CT) of </w:t>
      </w:r>
      <w:r w:rsidR="00B5558B" w:rsidRPr="00814BF6">
        <w:rPr>
          <w:rFonts w:ascii="Book Antiqua" w:hAnsi="Book Antiqua" w:cs="Times New Roman"/>
          <w:sz w:val="24"/>
          <w:szCs w:val="24"/>
        </w:rPr>
        <w:t>chest, abdomen and neck.</w:t>
      </w:r>
      <w:r w:rsidR="00F91E94" w:rsidRPr="00814BF6">
        <w:rPr>
          <w:rFonts w:ascii="Book Antiqua" w:hAnsi="Book Antiqua" w:cs="Times New Roman"/>
          <w:sz w:val="24"/>
          <w:szCs w:val="24"/>
        </w:rPr>
        <w:t xml:space="preserve"> </w:t>
      </w:r>
      <w:r w:rsidR="008B7D8B" w:rsidRPr="00814BF6">
        <w:rPr>
          <w:rFonts w:ascii="Book Antiqua" w:hAnsi="Book Antiqua" w:cs="Times New Roman"/>
          <w:sz w:val="24"/>
          <w:szCs w:val="24"/>
        </w:rPr>
        <w:t xml:space="preserve">Endoscopic ultrasound (EUS) was used routinely for staging of esophageal tumors if technically </w:t>
      </w:r>
      <w:r w:rsidR="002A3385" w:rsidRPr="00814BF6">
        <w:rPr>
          <w:rFonts w:ascii="Book Antiqua" w:hAnsi="Book Antiqua" w:cs="Times New Roman"/>
          <w:sz w:val="24"/>
          <w:szCs w:val="24"/>
        </w:rPr>
        <w:t>possible.</w:t>
      </w:r>
      <w:r w:rsidR="00F91E94" w:rsidRPr="00814BF6">
        <w:rPr>
          <w:rFonts w:ascii="Book Antiqua" w:hAnsi="Book Antiqua" w:cs="Times New Roman"/>
          <w:sz w:val="24"/>
          <w:szCs w:val="24"/>
        </w:rPr>
        <w:t xml:space="preserve"> </w:t>
      </w:r>
      <w:r w:rsidR="00B5558B" w:rsidRPr="00814BF6">
        <w:rPr>
          <w:rFonts w:ascii="Book Antiqua" w:hAnsi="Book Antiqua" w:cs="Times New Roman"/>
          <w:sz w:val="24"/>
          <w:szCs w:val="24"/>
        </w:rPr>
        <w:t xml:space="preserve">All patients in this analysis </w:t>
      </w:r>
      <w:r w:rsidR="00D77C94" w:rsidRPr="00814BF6">
        <w:rPr>
          <w:rFonts w:ascii="Book Antiqua" w:hAnsi="Book Antiqua" w:cs="Times New Roman"/>
          <w:sz w:val="24"/>
          <w:szCs w:val="24"/>
        </w:rPr>
        <w:t>underwent</w:t>
      </w:r>
      <w:r w:rsidR="00B5558B" w:rsidRPr="00814BF6">
        <w:rPr>
          <w:rFonts w:ascii="Book Antiqua" w:hAnsi="Book Antiqua" w:cs="Times New Roman"/>
          <w:sz w:val="24"/>
          <w:szCs w:val="24"/>
        </w:rPr>
        <w:t xml:space="preserve"> PET scan</w:t>
      </w:r>
      <w:r w:rsidR="00D77C94" w:rsidRPr="00814BF6">
        <w:rPr>
          <w:rFonts w:ascii="Book Antiqua" w:hAnsi="Book Antiqua" w:cs="Times New Roman"/>
          <w:sz w:val="24"/>
          <w:szCs w:val="24"/>
        </w:rPr>
        <w:t>ning</w:t>
      </w:r>
      <w:r w:rsidR="00B5558B" w:rsidRPr="00814BF6">
        <w:rPr>
          <w:rFonts w:ascii="Book Antiqua" w:hAnsi="Book Antiqua" w:cs="Times New Roman"/>
          <w:sz w:val="24"/>
          <w:szCs w:val="24"/>
        </w:rPr>
        <w:t xml:space="preserve"> as part of staging to better define gross tumor volume.</w:t>
      </w:r>
    </w:p>
    <w:p w14:paraId="110FFF5B" w14:textId="77777777" w:rsidR="00B5558B" w:rsidRPr="00814BF6" w:rsidRDefault="00564689" w:rsidP="00F6349C">
      <w:pPr>
        <w:spacing w:after="0" w:line="360" w:lineRule="auto"/>
        <w:ind w:firstLineChars="100" w:firstLine="240"/>
        <w:jc w:val="both"/>
        <w:rPr>
          <w:rFonts w:ascii="Book Antiqua" w:hAnsi="Book Antiqua" w:cs="Times New Roman"/>
          <w:sz w:val="24"/>
          <w:szCs w:val="24"/>
        </w:rPr>
      </w:pPr>
      <w:r w:rsidRPr="00814BF6">
        <w:rPr>
          <w:rFonts w:ascii="Book Antiqua" w:hAnsi="Book Antiqua" w:cs="Times New Roman"/>
          <w:sz w:val="24"/>
          <w:szCs w:val="24"/>
        </w:rPr>
        <w:t xml:space="preserve">All treatment began with </w:t>
      </w:r>
      <w:r w:rsidR="00B921C6" w:rsidRPr="00814BF6">
        <w:rPr>
          <w:rFonts w:ascii="Book Antiqua" w:hAnsi="Book Antiqua" w:cs="Times New Roman"/>
          <w:sz w:val="24"/>
          <w:szCs w:val="24"/>
        </w:rPr>
        <w:t>concurrent</w:t>
      </w:r>
      <w:r w:rsidRPr="00814BF6">
        <w:rPr>
          <w:rFonts w:ascii="Book Antiqua" w:hAnsi="Book Antiqua" w:cs="Times New Roman"/>
          <w:sz w:val="24"/>
          <w:szCs w:val="24"/>
        </w:rPr>
        <w:t xml:space="preserve"> chemoradiation. </w:t>
      </w:r>
      <w:r w:rsidR="00B5558B" w:rsidRPr="00814BF6">
        <w:rPr>
          <w:rFonts w:ascii="Book Antiqua" w:hAnsi="Book Antiqua" w:cs="Times New Roman"/>
          <w:sz w:val="24"/>
          <w:szCs w:val="24"/>
        </w:rPr>
        <w:t xml:space="preserve">Chemotherapy consisted of five cycles of concurrent </w:t>
      </w:r>
      <w:r w:rsidR="005409E0" w:rsidRPr="00814BF6">
        <w:rPr>
          <w:rFonts w:ascii="Book Antiqua" w:hAnsi="Book Antiqua" w:cs="Times New Roman"/>
          <w:sz w:val="24"/>
          <w:szCs w:val="24"/>
        </w:rPr>
        <w:t>platin</w:t>
      </w:r>
      <w:r w:rsidR="00D77C94" w:rsidRPr="00814BF6">
        <w:rPr>
          <w:rFonts w:ascii="Book Antiqua" w:hAnsi="Book Antiqua" w:cs="Times New Roman"/>
          <w:sz w:val="24"/>
          <w:szCs w:val="24"/>
        </w:rPr>
        <w:t>-</w:t>
      </w:r>
      <w:r w:rsidR="005409E0" w:rsidRPr="00814BF6">
        <w:rPr>
          <w:rFonts w:ascii="Book Antiqua" w:hAnsi="Book Antiqua" w:cs="Times New Roman"/>
          <w:sz w:val="24"/>
          <w:szCs w:val="24"/>
        </w:rPr>
        <w:t>based weekly chemo</w:t>
      </w:r>
      <w:r w:rsidR="00D77C94" w:rsidRPr="00814BF6">
        <w:rPr>
          <w:rFonts w:ascii="Book Antiqua" w:hAnsi="Book Antiqua" w:cs="Times New Roman"/>
          <w:sz w:val="24"/>
          <w:szCs w:val="24"/>
        </w:rPr>
        <w:t>therapy</w:t>
      </w:r>
      <w:r w:rsidR="005409E0" w:rsidRPr="00814BF6">
        <w:rPr>
          <w:rFonts w:ascii="Book Antiqua" w:hAnsi="Book Antiqua" w:cs="Times New Roman"/>
          <w:sz w:val="24"/>
          <w:szCs w:val="24"/>
        </w:rPr>
        <w:t xml:space="preserve"> or 5</w:t>
      </w:r>
      <w:r w:rsidR="00D77C94" w:rsidRPr="00814BF6">
        <w:rPr>
          <w:rFonts w:ascii="Book Antiqua" w:hAnsi="Book Antiqua" w:cs="Times New Roman"/>
          <w:sz w:val="24"/>
          <w:szCs w:val="24"/>
        </w:rPr>
        <w:t>-</w:t>
      </w:r>
      <w:r w:rsidR="005409E0" w:rsidRPr="00814BF6">
        <w:rPr>
          <w:rFonts w:ascii="Book Antiqua" w:hAnsi="Book Antiqua" w:cs="Times New Roman"/>
          <w:sz w:val="24"/>
          <w:szCs w:val="24"/>
        </w:rPr>
        <w:t>F</w:t>
      </w:r>
      <w:r w:rsidR="009C737A" w:rsidRPr="00814BF6">
        <w:rPr>
          <w:rFonts w:ascii="Book Antiqua" w:hAnsi="Book Antiqua" w:cs="Times New Roman"/>
          <w:sz w:val="24"/>
          <w:szCs w:val="24"/>
        </w:rPr>
        <w:t>U</w:t>
      </w:r>
      <w:r w:rsidR="00D77C94" w:rsidRPr="00814BF6">
        <w:rPr>
          <w:rFonts w:ascii="Book Antiqua" w:hAnsi="Book Antiqua" w:cs="Times New Roman"/>
          <w:sz w:val="24"/>
          <w:szCs w:val="24"/>
        </w:rPr>
        <w:t>-</w:t>
      </w:r>
      <w:r w:rsidR="005409E0" w:rsidRPr="00814BF6">
        <w:rPr>
          <w:rFonts w:ascii="Book Antiqua" w:hAnsi="Book Antiqua" w:cs="Times New Roman"/>
          <w:sz w:val="24"/>
          <w:szCs w:val="24"/>
        </w:rPr>
        <w:t>based daily chemotherapy.</w:t>
      </w:r>
      <w:r w:rsidR="00F91E94" w:rsidRPr="00814BF6">
        <w:rPr>
          <w:rFonts w:ascii="Book Antiqua" w:hAnsi="Book Antiqua" w:cs="Times New Roman"/>
          <w:sz w:val="24"/>
          <w:szCs w:val="24"/>
        </w:rPr>
        <w:t xml:space="preserve"> </w:t>
      </w:r>
      <w:r w:rsidR="005409E0" w:rsidRPr="00814BF6">
        <w:rPr>
          <w:rFonts w:ascii="Book Antiqua" w:hAnsi="Book Antiqua" w:cs="Times New Roman"/>
          <w:sz w:val="24"/>
          <w:szCs w:val="24"/>
        </w:rPr>
        <w:t>The platin</w:t>
      </w:r>
      <w:r w:rsidR="00D77C94" w:rsidRPr="00814BF6">
        <w:rPr>
          <w:rFonts w:ascii="Book Antiqua" w:hAnsi="Book Antiqua" w:cs="Times New Roman"/>
          <w:sz w:val="24"/>
          <w:szCs w:val="24"/>
        </w:rPr>
        <w:t>-</w:t>
      </w:r>
      <w:r w:rsidR="005409E0" w:rsidRPr="00814BF6">
        <w:rPr>
          <w:rFonts w:ascii="Book Antiqua" w:hAnsi="Book Antiqua" w:cs="Times New Roman"/>
          <w:sz w:val="24"/>
          <w:szCs w:val="24"/>
        </w:rPr>
        <w:t>based chemo</w:t>
      </w:r>
      <w:r w:rsidR="00D77C94" w:rsidRPr="00814BF6">
        <w:rPr>
          <w:rFonts w:ascii="Book Antiqua" w:hAnsi="Book Antiqua" w:cs="Times New Roman"/>
          <w:sz w:val="24"/>
          <w:szCs w:val="24"/>
        </w:rPr>
        <w:t>therapy was</w:t>
      </w:r>
      <w:r w:rsidR="005409E0" w:rsidRPr="00814BF6">
        <w:rPr>
          <w:rFonts w:ascii="Book Antiqua" w:hAnsi="Book Antiqua" w:cs="Times New Roman"/>
          <w:sz w:val="24"/>
          <w:szCs w:val="24"/>
        </w:rPr>
        <w:t xml:space="preserve"> given </w:t>
      </w:r>
      <w:r w:rsidR="00D77C94" w:rsidRPr="00814BF6">
        <w:rPr>
          <w:rFonts w:ascii="Book Antiqua" w:hAnsi="Book Antiqua" w:cs="Times New Roman"/>
          <w:sz w:val="24"/>
          <w:szCs w:val="24"/>
        </w:rPr>
        <w:t>at a dose of</w:t>
      </w:r>
      <w:r w:rsidR="00B5558B" w:rsidRPr="00814BF6">
        <w:rPr>
          <w:rFonts w:ascii="Book Antiqua" w:hAnsi="Book Antiqua" w:cs="Times New Roman"/>
          <w:sz w:val="24"/>
          <w:szCs w:val="24"/>
        </w:rPr>
        <w:t xml:space="preserve"> </w:t>
      </w:r>
      <w:r w:rsidR="000F7A24" w:rsidRPr="00814BF6">
        <w:rPr>
          <w:rFonts w:ascii="Book Antiqua" w:hAnsi="Book Antiqua" w:cs="Times New Roman"/>
          <w:sz w:val="24"/>
          <w:szCs w:val="24"/>
        </w:rPr>
        <w:t>4</w:t>
      </w:r>
      <w:r w:rsidR="00B5558B" w:rsidRPr="00814BF6">
        <w:rPr>
          <w:rFonts w:ascii="Book Antiqua" w:hAnsi="Book Antiqua" w:cs="Times New Roman"/>
          <w:sz w:val="24"/>
          <w:szCs w:val="24"/>
        </w:rPr>
        <w:t>0</w:t>
      </w:r>
      <w:r w:rsidR="00DC0EBA">
        <w:rPr>
          <w:rFonts w:ascii="Book Antiqua" w:hAnsi="Book Antiqua" w:cs="Times New Roman" w:hint="eastAsia"/>
          <w:sz w:val="24"/>
          <w:szCs w:val="24"/>
          <w:lang w:eastAsia="zh-CN"/>
        </w:rPr>
        <w:t>-</w:t>
      </w:r>
      <w:r w:rsidR="005409E0" w:rsidRPr="00814BF6">
        <w:rPr>
          <w:rFonts w:ascii="Book Antiqua" w:hAnsi="Book Antiqua" w:cs="Times New Roman"/>
          <w:sz w:val="24"/>
          <w:szCs w:val="24"/>
        </w:rPr>
        <w:t>100 mg/</w:t>
      </w:r>
      <w:r w:rsidR="00A63589" w:rsidRPr="00814BF6">
        <w:rPr>
          <w:rFonts w:ascii="Book Antiqua" w:hAnsi="Book Antiqua" w:cs="Times New Roman"/>
          <w:sz w:val="24"/>
          <w:szCs w:val="24"/>
        </w:rPr>
        <w:t>m</w:t>
      </w:r>
      <w:r w:rsidR="005409E0" w:rsidRPr="00814BF6">
        <w:rPr>
          <w:rFonts w:ascii="Book Antiqua" w:hAnsi="Book Antiqua" w:cs="Times New Roman"/>
          <w:sz w:val="24"/>
          <w:szCs w:val="24"/>
          <w:vertAlign w:val="superscript"/>
        </w:rPr>
        <w:t>2</w:t>
      </w:r>
      <w:r w:rsidR="00B5558B" w:rsidRPr="00814BF6">
        <w:rPr>
          <w:rFonts w:ascii="Book Antiqua" w:hAnsi="Book Antiqua" w:cs="Times New Roman"/>
          <w:sz w:val="24"/>
          <w:szCs w:val="24"/>
        </w:rPr>
        <w:t>, starting on days 1, 8, 15,</w:t>
      </w:r>
      <w:r w:rsidR="00B921C6" w:rsidRPr="00814BF6">
        <w:rPr>
          <w:rFonts w:ascii="Book Antiqua" w:hAnsi="Book Antiqua" w:cs="Times New Roman"/>
          <w:sz w:val="24"/>
          <w:szCs w:val="24"/>
        </w:rPr>
        <w:t xml:space="preserve"> </w:t>
      </w:r>
      <w:r w:rsidR="00B5558B" w:rsidRPr="00814BF6">
        <w:rPr>
          <w:rFonts w:ascii="Book Antiqua" w:hAnsi="Book Antiqua" w:cs="Times New Roman"/>
          <w:sz w:val="24"/>
          <w:szCs w:val="24"/>
        </w:rPr>
        <w:t>22, and 29.</w:t>
      </w:r>
      <w:r w:rsidR="00F91E94" w:rsidRPr="00814BF6">
        <w:rPr>
          <w:rFonts w:ascii="Book Antiqua" w:hAnsi="Book Antiqua" w:cs="Times New Roman"/>
          <w:sz w:val="24"/>
          <w:szCs w:val="24"/>
        </w:rPr>
        <w:t xml:space="preserve"> </w:t>
      </w:r>
      <w:r w:rsidR="005409E0" w:rsidRPr="00814BF6">
        <w:rPr>
          <w:rFonts w:ascii="Book Antiqua" w:hAnsi="Book Antiqua" w:cs="Times New Roman"/>
          <w:sz w:val="24"/>
          <w:szCs w:val="24"/>
        </w:rPr>
        <w:t>The 5</w:t>
      </w:r>
      <w:r w:rsidR="00D77C94" w:rsidRPr="00814BF6">
        <w:rPr>
          <w:rFonts w:ascii="Book Antiqua" w:hAnsi="Book Antiqua" w:cs="Times New Roman"/>
          <w:sz w:val="24"/>
          <w:szCs w:val="24"/>
        </w:rPr>
        <w:t>-</w:t>
      </w:r>
      <w:r w:rsidR="005409E0" w:rsidRPr="00814BF6">
        <w:rPr>
          <w:rFonts w:ascii="Book Antiqua" w:hAnsi="Book Antiqua" w:cs="Times New Roman"/>
          <w:sz w:val="24"/>
          <w:szCs w:val="24"/>
        </w:rPr>
        <w:t>F</w:t>
      </w:r>
      <w:r w:rsidR="009C737A" w:rsidRPr="00814BF6">
        <w:rPr>
          <w:rFonts w:ascii="Book Antiqua" w:hAnsi="Book Antiqua" w:cs="Times New Roman"/>
          <w:sz w:val="24"/>
          <w:szCs w:val="24"/>
        </w:rPr>
        <w:t>U</w:t>
      </w:r>
      <w:r w:rsidR="00D77C94" w:rsidRPr="00814BF6">
        <w:rPr>
          <w:rFonts w:ascii="Book Antiqua" w:hAnsi="Book Antiqua" w:cs="Times New Roman"/>
          <w:sz w:val="24"/>
          <w:szCs w:val="24"/>
        </w:rPr>
        <w:t>-</w:t>
      </w:r>
      <w:r w:rsidR="005409E0" w:rsidRPr="00814BF6">
        <w:rPr>
          <w:rFonts w:ascii="Book Antiqua" w:hAnsi="Book Antiqua" w:cs="Times New Roman"/>
          <w:sz w:val="24"/>
          <w:szCs w:val="24"/>
        </w:rPr>
        <w:t>based chemo</w:t>
      </w:r>
      <w:r w:rsidR="00D77C94" w:rsidRPr="00814BF6">
        <w:rPr>
          <w:rFonts w:ascii="Book Antiqua" w:hAnsi="Book Antiqua" w:cs="Times New Roman"/>
          <w:sz w:val="24"/>
          <w:szCs w:val="24"/>
        </w:rPr>
        <w:t>therapy was</w:t>
      </w:r>
      <w:r w:rsidR="000F7A24" w:rsidRPr="00814BF6">
        <w:rPr>
          <w:rFonts w:ascii="Book Antiqua" w:hAnsi="Book Antiqua" w:cs="Times New Roman"/>
          <w:sz w:val="24"/>
          <w:szCs w:val="24"/>
        </w:rPr>
        <w:t xml:space="preserve"> either </w:t>
      </w:r>
      <w:r w:rsidR="0074720E" w:rsidRPr="00814BF6">
        <w:rPr>
          <w:rFonts w:ascii="Book Antiqua" w:hAnsi="Book Antiqua" w:cs="Times New Roman"/>
          <w:sz w:val="24"/>
          <w:szCs w:val="24"/>
        </w:rPr>
        <w:t xml:space="preserve">continuous infusion </w:t>
      </w:r>
      <w:r w:rsidR="000F7A24" w:rsidRPr="00814BF6">
        <w:rPr>
          <w:rFonts w:ascii="Book Antiqua" w:hAnsi="Book Antiqua" w:cs="Times New Roman"/>
          <w:sz w:val="24"/>
          <w:szCs w:val="24"/>
        </w:rPr>
        <w:t>CIV 5-FU (225 mg/</w:t>
      </w:r>
      <w:r w:rsidR="00DC0EBA" w:rsidRPr="00814BF6">
        <w:rPr>
          <w:rFonts w:ascii="Book Antiqua" w:hAnsi="Book Antiqua" w:cs="Times New Roman"/>
          <w:sz w:val="24"/>
          <w:szCs w:val="24"/>
        </w:rPr>
        <w:t>m</w:t>
      </w:r>
      <w:r w:rsidR="000F7A24" w:rsidRPr="00814BF6">
        <w:rPr>
          <w:rFonts w:ascii="Book Antiqua" w:hAnsi="Book Antiqua" w:cs="Times New Roman"/>
          <w:sz w:val="24"/>
          <w:szCs w:val="24"/>
          <w:vertAlign w:val="superscript"/>
        </w:rPr>
        <w:t>2</w:t>
      </w:r>
      <w:r w:rsidR="000F7A24" w:rsidRPr="00814BF6">
        <w:rPr>
          <w:rFonts w:ascii="Book Antiqua" w:hAnsi="Book Antiqua" w:cs="Times New Roman"/>
          <w:sz w:val="24"/>
          <w:szCs w:val="24"/>
        </w:rPr>
        <w:t xml:space="preserve">) or oral capecitabine (capecitabine, Genentech, San Francisco, CA) </w:t>
      </w:r>
      <w:proofErr w:type="gramStart"/>
      <w:r w:rsidR="000F7A24" w:rsidRPr="00814BF6">
        <w:rPr>
          <w:rFonts w:ascii="Book Antiqua" w:hAnsi="Book Antiqua" w:cs="Times New Roman"/>
          <w:sz w:val="24"/>
          <w:szCs w:val="24"/>
        </w:rPr>
        <w:t>750 mg/</w:t>
      </w:r>
      <w:proofErr w:type="gramEnd"/>
      <w:r w:rsidR="00DC0EBA" w:rsidRPr="00814BF6">
        <w:rPr>
          <w:rFonts w:ascii="Book Antiqua" w:hAnsi="Book Antiqua" w:cs="Times New Roman"/>
          <w:sz w:val="24"/>
          <w:szCs w:val="24"/>
        </w:rPr>
        <w:t>m</w:t>
      </w:r>
      <w:r w:rsidR="000F7A24" w:rsidRPr="00814BF6">
        <w:rPr>
          <w:rFonts w:ascii="Book Antiqua" w:hAnsi="Book Antiqua" w:cs="Times New Roman"/>
          <w:sz w:val="24"/>
          <w:szCs w:val="24"/>
          <w:vertAlign w:val="superscript"/>
        </w:rPr>
        <w:t>2</w:t>
      </w:r>
      <w:r w:rsidR="000F7A24" w:rsidRPr="00814BF6">
        <w:rPr>
          <w:rFonts w:ascii="Book Antiqua" w:hAnsi="Book Antiqua" w:cs="Times New Roman"/>
          <w:sz w:val="24"/>
          <w:szCs w:val="24"/>
        </w:rPr>
        <w:t xml:space="preserve"> twice daily</w:t>
      </w:r>
      <w:r w:rsidR="00DF06EA" w:rsidRPr="00814BF6">
        <w:rPr>
          <w:rFonts w:ascii="Book Antiqua" w:hAnsi="Book Antiqua" w:cs="Times New Roman"/>
          <w:sz w:val="24"/>
          <w:szCs w:val="24"/>
        </w:rPr>
        <w:t xml:space="preserve"> </w:t>
      </w:r>
      <w:r w:rsidR="000F7A24" w:rsidRPr="00814BF6">
        <w:rPr>
          <w:rFonts w:ascii="Book Antiqua" w:hAnsi="Book Antiqua" w:cs="Times New Roman"/>
          <w:sz w:val="24"/>
          <w:szCs w:val="24"/>
        </w:rPr>
        <w:t>s</w:t>
      </w:r>
      <w:r w:rsidR="005409E0" w:rsidRPr="00814BF6">
        <w:rPr>
          <w:rFonts w:ascii="Book Antiqua" w:hAnsi="Book Antiqua" w:cs="Times New Roman"/>
          <w:sz w:val="24"/>
          <w:szCs w:val="24"/>
        </w:rPr>
        <w:t>tarting on day 1 to day 28.</w:t>
      </w:r>
      <w:r w:rsidR="00F91E94" w:rsidRPr="00814BF6">
        <w:rPr>
          <w:rFonts w:ascii="Book Antiqua" w:hAnsi="Book Antiqua" w:cs="Times New Roman"/>
          <w:sz w:val="24"/>
          <w:szCs w:val="24"/>
        </w:rPr>
        <w:t xml:space="preserve"> </w:t>
      </w:r>
    </w:p>
    <w:p w14:paraId="2DC40C7E" w14:textId="77777777" w:rsidR="000F7A24" w:rsidRPr="00814BF6" w:rsidRDefault="000F7A24" w:rsidP="00F6349C">
      <w:pPr>
        <w:spacing w:after="0" w:line="360" w:lineRule="auto"/>
        <w:ind w:firstLineChars="100" w:firstLine="240"/>
        <w:jc w:val="both"/>
        <w:rPr>
          <w:rFonts w:ascii="Book Antiqua" w:hAnsi="Book Antiqua" w:cs="Times New Roman"/>
          <w:sz w:val="24"/>
          <w:szCs w:val="24"/>
        </w:rPr>
      </w:pPr>
      <w:r w:rsidRPr="00814BF6">
        <w:rPr>
          <w:rFonts w:ascii="Book Antiqua" w:hAnsi="Book Antiqua" w:cs="Times New Roman"/>
          <w:sz w:val="24"/>
          <w:szCs w:val="24"/>
        </w:rPr>
        <w:t xml:space="preserve">The </w:t>
      </w:r>
      <w:r w:rsidR="00B921C6" w:rsidRPr="00814BF6">
        <w:rPr>
          <w:rFonts w:ascii="Book Antiqua" w:hAnsi="Book Antiqua" w:cs="Times New Roman"/>
          <w:sz w:val="24"/>
          <w:szCs w:val="24"/>
        </w:rPr>
        <w:t>radiation therapy</w:t>
      </w:r>
      <w:r w:rsidRPr="00814BF6">
        <w:rPr>
          <w:rFonts w:ascii="Book Antiqua" w:hAnsi="Book Antiqua" w:cs="Times New Roman"/>
          <w:sz w:val="24"/>
          <w:szCs w:val="24"/>
        </w:rPr>
        <w:t xml:space="preserve"> could be delivered through 4D </w:t>
      </w:r>
      <w:r w:rsidR="00B921C6" w:rsidRPr="00814BF6">
        <w:rPr>
          <w:rFonts w:ascii="Book Antiqua" w:hAnsi="Book Antiqua" w:cs="Times New Roman"/>
          <w:sz w:val="24"/>
          <w:szCs w:val="24"/>
        </w:rPr>
        <w:t xml:space="preserve">plus </w:t>
      </w:r>
      <w:r w:rsidRPr="00814BF6">
        <w:rPr>
          <w:rFonts w:ascii="Book Antiqua" w:hAnsi="Book Antiqua" w:cs="Times New Roman"/>
          <w:sz w:val="24"/>
          <w:szCs w:val="24"/>
        </w:rPr>
        <w:t xml:space="preserve">IMRT with SIB. All patients who received radiation therapy started with CT-based 4D treatment </w:t>
      </w:r>
      <w:r w:rsidR="008B7D8B" w:rsidRPr="00814BF6">
        <w:rPr>
          <w:rFonts w:ascii="Book Antiqua" w:hAnsi="Book Antiqua" w:cs="Times New Roman"/>
          <w:sz w:val="24"/>
          <w:szCs w:val="24"/>
        </w:rPr>
        <w:t>simulations</w:t>
      </w:r>
      <w:r w:rsidRPr="00814BF6">
        <w:rPr>
          <w:rFonts w:ascii="Book Antiqua" w:hAnsi="Book Antiqua" w:cs="Times New Roman"/>
          <w:sz w:val="24"/>
          <w:szCs w:val="24"/>
        </w:rPr>
        <w:t>. The simulation was performed with the patient in the supine position using immobilization with the patient’s arms over the head. The 4D simulations were performed if respiratory gating was feasible, otherwise, free-breathing 3D CT acquisition data would be obtained during simulation</w:t>
      </w:r>
      <w:r w:rsidR="008B7D8B" w:rsidRPr="00814BF6">
        <w:rPr>
          <w:rFonts w:ascii="Book Antiqua" w:hAnsi="Book Antiqua" w:cs="Times New Roman"/>
          <w:sz w:val="24"/>
          <w:szCs w:val="24"/>
        </w:rPr>
        <w:t xml:space="preserve">, the patients then were excluded from </w:t>
      </w:r>
      <w:r w:rsidR="00E94CDA" w:rsidRPr="00814BF6">
        <w:rPr>
          <w:rFonts w:ascii="Book Antiqua" w:hAnsi="Book Antiqua" w:cs="Times New Roman"/>
          <w:sz w:val="24"/>
          <w:szCs w:val="24"/>
        </w:rPr>
        <w:t xml:space="preserve">the </w:t>
      </w:r>
      <w:r w:rsidR="008B7D8B" w:rsidRPr="00814BF6">
        <w:rPr>
          <w:rFonts w:ascii="Book Antiqua" w:hAnsi="Book Antiqua" w:cs="Times New Roman"/>
          <w:sz w:val="24"/>
          <w:szCs w:val="24"/>
        </w:rPr>
        <w:t>IMRT-SIB protocol</w:t>
      </w:r>
      <w:r w:rsidRPr="00814BF6">
        <w:rPr>
          <w:rFonts w:ascii="Book Antiqua" w:hAnsi="Book Antiqua" w:cs="Times New Roman"/>
          <w:sz w:val="24"/>
          <w:szCs w:val="24"/>
        </w:rPr>
        <w:t>. All treatment planning in this series was performed by the same radiation oncologist. During the treatment planning, two target volumes were draw</w:t>
      </w:r>
      <w:r w:rsidR="00E94CDA" w:rsidRPr="00814BF6">
        <w:rPr>
          <w:rFonts w:ascii="Book Antiqua" w:hAnsi="Book Antiqua" w:cs="Times New Roman"/>
          <w:sz w:val="24"/>
          <w:szCs w:val="24"/>
        </w:rPr>
        <w:t>n</w:t>
      </w:r>
      <w:r w:rsidRPr="00814BF6">
        <w:rPr>
          <w:rFonts w:ascii="Book Antiqua" w:hAnsi="Book Antiqua" w:cs="Times New Roman"/>
          <w:sz w:val="24"/>
          <w:szCs w:val="24"/>
        </w:rPr>
        <w:t xml:space="preserve"> gross tumor volume and clinical target </w:t>
      </w:r>
      <w:r w:rsidR="00F6349C">
        <w:rPr>
          <w:rFonts w:ascii="Book Antiqua" w:hAnsi="Book Antiqua" w:cs="Times New Roman"/>
          <w:sz w:val="24"/>
          <w:szCs w:val="24"/>
        </w:rPr>
        <w:t xml:space="preserve">volume, </w:t>
      </w:r>
      <w:r w:rsidR="002064EA" w:rsidRPr="002064EA">
        <w:rPr>
          <w:rFonts w:ascii="Book Antiqua" w:hAnsi="Book Antiqua" w:cs="Times New Roman"/>
          <w:sz w:val="24"/>
          <w:szCs w:val="24"/>
        </w:rPr>
        <w:t>positron emission tomographic (PET)</w:t>
      </w:r>
      <w:r w:rsidR="002064EA" w:rsidRPr="002064EA">
        <w:rPr>
          <w:rFonts w:ascii="Book Antiqua" w:hAnsi="Book Antiqua" w:cs="Times New Roman" w:hint="eastAsia"/>
          <w:sz w:val="24"/>
          <w:szCs w:val="24"/>
        </w:rPr>
        <w:t>/</w:t>
      </w:r>
      <w:r w:rsidR="002064EA" w:rsidRPr="002064EA">
        <w:rPr>
          <w:rFonts w:ascii="Book Antiqua" w:hAnsi="Book Antiqua" w:cs="Times New Roman"/>
          <w:sz w:val="24"/>
          <w:szCs w:val="24"/>
        </w:rPr>
        <w:t>computed tomographic (CT) imaging</w:t>
      </w:r>
      <w:r w:rsidR="002064EA">
        <w:rPr>
          <w:rFonts w:ascii="Book Antiqua" w:hAnsi="Book Antiqua" w:cs="Times New Roman"/>
          <w:sz w:val="24"/>
          <w:szCs w:val="24"/>
        </w:rPr>
        <w:t xml:space="preserve"> obtained within 1-3 wk</w:t>
      </w:r>
      <w:r w:rsidRPr="00814BF6">
        <w:rPr>
          <w:rFonts w:ascii="Book Antiqua" w:hAnsi="Book Antiqua" w:cs="Times New Roman"/>
          <w:sz w:val="24"/>
          <w:szCs w:val="24"/>
        </w:rPr>
        <w:t xml:space="preserve"> </w:t>
      </w:r>
      <w:r w:rsidR="008B7D8B" w:rsidRPr="00814BF6">
        <w:rPr>
          <w:rFonts w:ascii="Book Antiqua" w:hAnsi="Book Antiqua" w:cs="Times New Roman"/>
          <w:sz w:val="24"/>
          <w:szCs w:val="24"/>
        </w:rPr>
        <w:t>prior to</w:t>
      </w:r>
      <w:r w:rsidRPr="00814BF6">
        <w:rPr>
          <w:rFonts w:ascii="Book Antiqua" w:hAnsi="Book Antiqua" w:cs="Times New Roman"/>
          <w:sz w:val="24"/>
          <w:szCs w:val="24"/>
        </w:rPr>
        <w:t xml:space="preserve"> simulation data. Patients who did not have PET/CT data were excluded from the IMRT-SIB protocol. Clinical target volume</w:t>
      </w:r>
      <w:r w:rsidR="00E94CDA" w:rsidRPr="00814BF6">
        <w:rPr>
          <w:rFonts w:ascii="Book Antiqua" w:hAnsi="Book Antiqua" w:cs="Times New Roman"/>
          <w:sz w:val="24"/>
          <w:szCs w:val="24"/>
        </w:rPr>
        <w:t xml:space="preserve"> and</w:t>
      </w:r>
      <w:r w:rsidRPr="00814BF6">
        <w:rPr>
          <w:rFonts w:ascii="Book Antiqua" w:hAnsi="Book Antiqua" w:cs="Times New Roman"/>
          <w:sz w:val="24"/>
          <w:szCs w:val="24"/>
        </w:rPr>
        <w:t xml:space="preserve"> the clinical internal target volume reflected the microscopic sites of highest risk. The treatment planning target volume </w:t>
      </w:r>
      <w:r w:rsidR="005E6877" w:rsidRPr="00814BF6">
        <w:rPr>
          <w:rFonts w:ascii="Book Antiqua" w:eastAsiaTheme="majorEastAsia" w:hAnsi="Book Antiqua" w:cs="Times New Roman"/>
          <w:bCs/>
          <w:sz w:val="24"/>
          <w:szCs w:val="24"/>
        </w:rPr>
        <w:t>(PTV)</w:t>
      </w:r>
      <w:r w:rsidR="005E6877">
        <w:rPr>
          <w:rFonts w:ascii="Book Antiqua" w:eastAsiaTheme="majorEastAsia" w:hAnsi="Book Antiqua" w:cs="Times New Roman" w:hint="eastAsia"/>
          <w:bCs/>
          <w:sz w:val="24"/>
          <w:szCs w:val="24"/>
          <w:lang w:eastAsia="zh-CN"/>
        </w:rPr>
        <w:t xml:space="preserve"> </w:t>
      </w:r>
      <w:r w:rsidRPr="00814BF6">
        <w:rPr>
          <w:rFonts w:ascii="Book Antiqua" w:hAnsi="Book Antiqua" w:cs="Times New Roman"/>
          <w:sz w:val="24"/>
          <w:szCs w:val="24"/>
        </w:rPr>
        <w:t xml:space="preserve">for clinical target volume is about 5 mm beyond clinical target volume; the clinical target volume was contoured based on the Radiation Therapy Oncology Group consensus study </w:t>
      </w:r>
      <w:proofErr w:type="gramStart"/>
      <w:r w:rsidRPr="00814BF6">
        <w:rPr>
          <w:rFonts w:ascii="Book Antiqua" w:hAnsi="Book Antiqua" w:cs="Times New Roman"/>
          <w:sz w:val="24"/>
          <w:szCs w:val="24"/>
        </w:rPr>
        <w:t>protocol</w:t>
      </w:r>
      <w:r w:rsidR="00196531" w:rsidRPr="00814BF6">
        <w:rPr>
          <w:rFonts w:ascii="Book Antiqua" w:hAnsi="Book Antiqua" w:cs="Times New Roman"/>
          <w:sz w:val="24"/>
          <w:szCs w:val="24"/>
          <w:vertAlign w:val="superscript"/>
        </w:rPr>
        <w:t>[</w:t>
      </w:r>
      <w:proofErr w:type="gramEnd"/>
      <w:r w:rsidR="00F12CE0" w:rsidRPr="00814BF6">
        <w:rPr>
          <w:rFonts w:ascii="Book Antiqua" w:hAnsi="Book Antiqua" w:cs="Times New Roman"/>
          <w:sz w:val="24"/>
          <w:szCs w:val="24"/>
          <w:vertAlign w:val="superscript"/>
        </w:rPr>
        <w:t>10</w:t>
      </w:r>
      <w:r w:rsidR="00196531" w:rsidRPr="00814BF6">
        <w:rPr>
          <w:rFonts w:ascii="Book Antiqua" w:hAnsi="Book Antiqua" w:cs="Times New Roman"/>
          <w:sz w:val="24"/>
          <w:szCs w:val="24"/>
          <w:vertAlign w:val="superscript"/>
        </w:rPr>
        <w:t>]</w:t>
      </w:r>
      <w:r w:rsidR="00196531" w:rsidRPr="00814BF6">
        <w:rPr>
          <w:rFonts w:ascii="Book Antiqua" w:hAnsi="Book Antiqua" w:cs="Times New Roman"/>
          <w:sz w:val="24"/>
          <w:szCs w:val="24"/>
        </w:rPr>
        <w:t>.</w:t>
      </w:r>
      <w:r w:rsidRPr="00814BF6">
        <w:rPr>
          <w:rFonts w:ascii="Book Antiqua" w:hAnsi="Book Antiqua" w:cs="Times New Roman"/>
          <w:sz w:val="24"/>
          <w:szCs w:val="24"/>
        </w:rPr>
        <w:t xml:space="preserve"> The treatment </w:t>
      </w:r>
      <w:r w:rsidR="005E6877" w:rsidRPr="00814BF6">
        <w:rPr>
          <w:rFonts w:ascii="Book Antiqua" w:eastAsiaTheme="majorEastAsia" w:hAnsi="Book Antiqua" w:cs="Times New Roman"/>
          <w:bCs/>
          <w:sz w:val="24"/>
          <w:szCs w:val="24"/>
        </w:rPr>
        <w:t>PTV</w:t>
      </w:r>
      <w:r w:rsidRPr="00814BF6">
        <w:rPr>
          <w:rFonts w:ascii="Book Antiqua" w:hAnsi="Book Antiqua" w:cs="Times New Roman"/>
          <w:sz w:val="24"/>
          <w:szCs w:val="24"/>
        </w:rPr>
        <w:t xml:space="preserve"> for gross tumor volume </w:t>
      </w:r>
      <w:r w:rsidR="00E94CDA" w:rsidRPr="00814BF6">
        <w:rPr>
          <w:rFonts w:ascii="Book Antiqua" w:hAnsi="Book Antiqua" w:cs="Times New Roman"/>
          <w:sz w:val="24"/>
          <w:szCs w:val="24"/>
        </w:rPr>
        <w:t>had</w:t>
      </w:r>
      <w:r w:rsidRPr="00814BF6">
        <w:rPr>
          <w:rFonts w:ascii="Book Antiqua" w:hAnsi="Book Antiqua" w:cs="Times New Roman"/>
          <w:sz w:val="24"/>
          <w:szCs w:val="24"/>
        </w:rPr>
        <w:t xml:space="preserve"> no margins.</w:t>
      </w:r>
    </w:p>
    <w:p w14:paraId="55200DB9" w14:textId="77777777" w:rsidR="0024684F" w:rsidRPr="00814BF6" w:rsidRDefault="009727B3" w:rsidP="007526EA">
      <w:pPr>
        <w:spacing w:after="0" w:line="360" w:lineRule="auto"/>
        <w:ind w:firstLineChars="100" w:firstLine="240"/>
        <w:jc w:val="both"/>
        <w:rPr>
          <w:rFonts w:ascii="Book Antiqua" w:hAnsi="Book Antiqua" w:cs="Times New Roman"/>
          <w:sz w:val="24"/>
          <w:szCs w:val="24"/>
        </w:rPr>
      </w:pPr>
      <w:r w:rsidRPr="00814BF6">
        <w:rPr>
          <w:rFonts w:ascii="Book Antiqua" w:hAnsi="Book Antiqua" w:cs="Times New Roman"/>
          <w:sz w:val="24"/>
          <w:szCs w:val="24"/>
        </w:rPr>
        <w:t>There are total 17 patients received SIB technique and included in this study,</w:t>
      </w:r>
      <w:r w:rsidR="00BD7A8E" w:rsidRPr="00814BF6">
        <w:rPr>
          <w:rFonts w:ascii="Book Antiqua" w:hAnsi="Book Antiqua" w:cs="Times New Roman"/>
          <w:sz w:val="24"/>
          <w:szCs w:val="24"/>
        </w:rPr>
        <w:t xml:space="preserve"> afte</w:t>
      </w:r>
      <w:r w:rsidR="0024684F" w:rsidRPr="00814BF6">
        <w:rPr>
          <w:rFonts w:ascii="Book Antiqua" w:hAnsi="Book Antiqua" w:cs="Times New Roman"/>
          <w:sz w:val="24"/>
          <w:szCs w:val="24"/>
        </w:rPr>
        <w:t>r resection</w:t>
      </w:r>
      <w:r w:rsidR="00BD7A8E" w:rsidRPr="00814BF6">
        <w:rPr>
          <w:rFonts w:ascii="Book Antiqua" w:hAnsi="Book Antiqua" w:cs="Times New Roman"/>
          <w:sz w:val="24"/>
          <w:szCs w:val="24"/>
        </w:rPr>
        <w:t xml:space="preserve"> </w:t>
      </w:r>
      <w:r w:rsidR="0024684F" w:rsidRPr="00814BF6">
        <w:rPr>
          <w:rFonts w:ascii="Book Antiqua" w:hAnsi="Book Antiqua" w:cs="Times New Roman"/>
          <w:sz w:val="24"/>
          <w:szCs w:val="24"/>
        </w:rPr>
        <w:t xml:space="preserve">the postoperative T stages of the analyzed tumors were as follows: </w:t>
      </w:r>
      <w:r w:rsidR="00BD7A8E" w:rsidRPr="00814BF6">
        <w:rPr>
          <w:rFonts w:ascii="Book Antiqua" w:hAnsi="Book Antiqua" w:cs="Times New Roman"/>
          <w:sz w:val="24"/>
          <w:szCs w:val="24"/>
        </w:rPr>
        <w:t>y</w:t>
      </w:r>
      <w:r w:rsidR="0024684F" w:rsidRPr="00814BF6">
        <w:rPr>
          <w:rFonts w:ascii="Book Antiqua" w:hAnsi="Book Antiqua" w:cs="Times New Roman"/>
          <w:sz w:val="24"/>
          <w:szCs w:val="24"/>
        </w:rPr>
        <w:t>pT0</w:t>
      </w:r>
      <w:r w:rsidR="00BD7A8E" w:rsidRPr="00814BF6">
        <w:rPr>
          <w:rFonts w:ascii="Book Antiqua" w:hAnsi="Book Antiqua" w:cs="Times New Roman"/>
          <w:sz w:val="24"/>
          <w:szCs w:val="24"/>
        </w:rPr>
        <w:t xml:space="preserve"> (</w:t>
      </w:r>
      <w:r w:rsidR="0074720E" w:rsidRPr="007526EA">
        <w:rPr>
          <w:rFonts w:ascii="Book Antiqua" w:hAnsi="Book Antiqua" w:cs="Times New Roman"/>
          <w:i/>
          <w:sz w:val="24"/>
          <w:szCs w:val="24"/>
        </w:rPr>
        <w:t>n</w:t>
      </w:r>
      <w:r w:rsidR="0074720E" w:rsidRPr="00814BF6">
        <w:rPr>
          <w:rFonts w:ascii="Book Antiqua" w:hAnsi="Book Antiqua" w:cs="Times New Roman"/>
          <w:sz w:val="24"/>
          <w:szCs w:val="24"/>
        </w:rPr>
        <w:t xml:space="preserve"> = 8, </w:t>
      </w:r>
      <w:r w:rsidR="00BD7A8E" w:rsidRPr="00814BF6">
        <w:rPr>
          <w:rFonts w:ascii="Book Antiqua" w:hAnsi="Book Antiqua" w:cs="Times New Roman"/>
          <w:sz w:val="24"/>
          <w:szCs w:val="24"/>
        </w:rPr>
        <w:t xml:space="preserve">47%); ypT1 </w:t>
      </w:r>
      <w:r w:rsidR="00586F29" w:rsidRPr="00814BF6">
        <w:rPr>
          <w:rFonts w:ascii="Book Antiqua" w:hAnsi="Book Antiqua" w:cs="Times New Roman"/>
          <w:sz w:val="24"/>
          <w:szCs w:val="24"/>
        </w:rPr>
        <w:t>(</w:t>
      </w:r>
      <w:r w:rsidR="00BD7A8E" w:rsidRPr="007526EA">
        <w:rPr>
          <w:rFonts w:ascii="Book Antiqua" w:hAnsi="Book Antiqua" w:cs="Times New Roman"/>
          <w:i/>
          <w:sz w:val="24"/>
          <w:szCs w:val="24"/>
        </w:rPr>
        <w:t>n</w:t>
      </w:r>
      <w:r w:rsidR="00D77C94" w:rsidRPr="007526EA">
        <w:rPr>
          <w:rFonts w:ascii="Book Antiqua" w:hAnsi="Book Antiqua" w:cs="Times New Roman"/>
          <w:i/>
          <w:sz w:val="24"/>
          <w:szCs w:val="24"/>
        </w:rPr>
        <w:t xml:space="preserve"> </w:t>
      </w:r>
      <w:r w:rsidR="00BD7A8E" w:rsidRPr="00814BF6">
        <w:rPr>
          <w:rFonts w:ascii="Book Antiqua" w:hAnsi="Book Antiqua" w:cs="Times New Roman"/>
          <w:sz w:val="24"/>
          <w:szCs w:val="24"/>
        </w:rPr>
        <w:t>=</w:t>
      </w:r>
      <w:r w:rsidR="00D77C94" w:rsidRPr="00814BF6">
        <w:rPr>
          <w:rFonts w:ascii="Book Antiqua" w:hAnsi="Book Antiqua" w:cs="Times New Roman"/>
          <w:sz w:val="24"/>
          <w:szCs w:val="24"/>
        </w:rPr>
        <w:t xml:space="preserve"> </w:t>
      </w:r>
      <w:r w:rsidR="00586F29" w:rsidRPr="00814BF6">
        <w:rPr>
          <w:rFonts w:ascii="Book Antiqua" w:hAnsi="Book Antiqua" w:cs="Times New Roman"/>
          <w:sz w:val="24"/>
          <w:szCs w:val="24"/>
        </w:rPr>
        <w:t xml:space="preserve">4, </w:t>
      </w:r>
      <w:r w:rsidR="00BD7A8E" w:rsidRPr="00814BF6">
        <w:rPr>
          <w:rFonts w:ascii="Book Antiqua" w:hAnsi="Book Antiqua" w:cs="Times New Roman"/>
          <w:sz w:val="24"/>
          <w:szCs w:val="24"/>
        </w:rPr>
        <w:t xml:space="preserve">23.5%); ypT2 </w:t>
      </w:r>
      <w:r w:rsidR="00586F29" w:rsidRPr="00814BF6">
        <w:rPr>
          <w:rFonts w:ascii="Book Antiqua" w:hAnsi="Book Antiqua" w:cs="Times New Roman"/>
          <w:sz w:val="24"/>
          <w:szCs w:val="24"/>
        </w:rPr>
        <w:t>(</w:t>
      </w:r>
      <w:r w:rsidR="00BD7A8E" w:rsidRPr="007526EA">
        <w:rPr>
          <w:rFonts w:ascii="Book Antiqua" w:hAnsi="Book Antiqua" w:cs="Times New Roman"/>
          <w:i/>
          <w:sz w:val="24"/>
          <w:szCs w:val="24"/>
        </w:rPr>
        <w:t>n</w:t>
      </w:r>
      <w:r w:rsidR="00D77C94" w:rsidRPr="00814BF6">
        <w:rPr>
          <w:rFonts w:ascii="Book Antiqua" w:hAnsi="Book Antiqua" w:cs="Times New Roman"/>
          <w:sz w:val="24"/>
          <w:szCs w:val="24"/>
        </w:rPr>
        <w:t xml:space="preserve"> </w:t>
      </w:r>
      <w:r w:rsidR="00586F29" w:rsidRPr="00814BF6">
        <w:rPr>
          <w:rFonts w:ascii="Book Antiqua" w:hAnsi="Book Antiqua" w:cs="Times New Roman"/>
          <w:sz w:val="24"/>
          <w:szCs w:val="24"/>
        </w:rPr>
        <w:t xml:space="preserve">= 3, </w:t>
      </w:r>
      <w:r w:rsidR="00BD7A8E" w:rsidRPr="00814BF6">
        <w:rPr>
          <w:rFonts w:ascii="Book Antiqua" w:hAnsi="Book Antiqua" w:cs="Times New Roman"/>
          <w:sz w:val="24"/>
          <w:szCs w:val="24"/>
        </w:rPr>
        <w:t xml:space="preserve">17.6%); ypT3 </w:t>
      </w:r>
      <w:r w:rsidR="00586F29" w:rsidRPr="00814BF6">
        <w:rPr>
          <w:rFonts w:ascii="Book Antiqua" w:hAnsi="Book Antiqua" w:cs="Times New Roman"/>
          <w:sz w:val="24"/>
          <w:szCs w:val="24"/>
        </w:rPr>
        <w:t>(</w:t>
      </w:r>
      <w:r w:rsidR="00BD7A8E" w:rsidRPr="007526EA">
        <w:rPr>
          <w:rFonts w:ascii="Book Antiqua" w:hAnsi="Book Antiqua" w:cs="Times New Roman"/>
          <w:i/>
          <w:sz w:val="24"/>
          <w:szCs w:val="24"/>
        </w:rPr>
        <w:t>n</w:t>
      </w:r>
      <w:r w:rsidR="00D77C94" w:rsidRPr="00814BF6">
        <w:rPr>
          <w:rFonts w:ascii="Book Antiqua" w:hAnsi="Book Antiqua" w:cs="Times New Roman"/>
          <w:sz w:val="24"/>
          <w:szCs w:val="24"/>
        </w:rPr>
        <w:t xml:space="preserve"> </w:t>
      </w:r>
      <w:r w:rsidR="00BD7A8E" w:rsidRPr="00814BF6">
        <w:rPr>
          <w:rFonts w:ascii="Book Antiqua" w:hAnsi="Book Antiqua" w:cs="Times New Roman"/>
          <w:sz w:val="24"/>
          <w:szCs w:val="24"/>
        </w:rPr>
        <w:t>=</w:t>
      </w:r>
      <w:r w:rsidR="00D77C94" w:rsidRPr="00814BF6">
        <w:rPr>
          <w:rFonts w:ascii="Book Antiqua" w:hAnsi="Book Antiqua" w:cs="Times New Roman"/>
          <w:sz w:val="24"/>
          <w:szCs w:val="24"/>
        </w:rPr>
        <w:t xml:space="preserve"> </w:t>
      </w:r>
      <w:r w:rsidR="00BD7A8E" w:rsidRPr="00814BF6">
        <w:rPr>
          <w:rFonts w:ascii="Book Antiqua" w:hAnsi="Book Antiqua" w:cs="Times New Roman"/>
          <w:sz w:val="24"/>
          <w:szCs w:val="24"/>
        </w:rPr>
        <w:t>2</w:t>
      </w:r>
      <w:r w:rsidR="00586F29" w:rsidRPr="00814BF6">
        <w:rPr>
          <w:rFonts w:ascii="Book Antiqua" w:hAnsi="Book Antiqua" w:cs="Times New Roman"/>
          <w:sz w:val="24"/>
          <w:szCs w:val="24"/>
        </w:rPr>
        <w:t xml:space="preserve">, </w:t>
      </w:r>
      <w:r w:rsidR="00BD7A8E" w:rsidRPr="00814BF6">
        <w:rPr>
          <w:rFonts w:ascii="Book Antiqua" w:hAnsi="Book Antiqua" w:cs="Times New Roman"/>
          <w:sz w:val="24"/>
          <w:szCs w:val="24"/>
        </w:rPr>
        <w:t>11.7%).</w:t>
      </w:r>
      <w:r w:rsidR="0074720E" w:rsidRPr="00814BF6">
        <w:rPr>
          <w:rFonts w:ascii="Book Antiqua" w:hAnsi="Book Antiqua" w:cs="Times New Roman"/>
          <w:sz w:val="24"/>
          <w:szCs w:val="24"/>
        </w:rPr>
        <w:t xml:space="preserve"> </w:t>
      </w:r>
      <w:r w:rsidR="0024684F" w:rsidRPr="00814BF6">
        <w:rPr>
          <w:rFonts w:ascii="Book Antiqua" w:hAnsi="Book Antiqua" w:cs="Times New Roman"/>
          <w:sz w:val="24"/>
          <w:szCs w:val="24"/>
        </w:rPr>
        <w:t xml:space="preserve">Nodal disease was conﬁrmed in </w:t>
      </w:r>
      <w:r w:rsidR="00D77C94" w:rsidRPr="00814BF6">
        <w:rPr>
          <w:rFonts w:ascii="Book Antiqua" w:hAnsi="Book Antiqua" w:cs="Times New Roman"/>
          <w:sz w:val="24"/>
          <w:szCs w:val="24"/>
        </w:rPr>
        <w:t>three</w:t>
      </w:r>
      <w:r w:rsidR="0024684F" w:rsidRPr="00814BF6">
        <w:rPr>
          <w:rFonts w:ascii="Book Antiqua" w:hAnsi="Book Antiqua" w:cs="Times New Roman"/>
          <w:sz w:val="24"/>
          <w:szCs w:val="24"/>
        </w:rPr>
        <w:t xml:space="preserve"> patients (</w:t>
      </w:r>
      <w:r w:rsidR="00BD7A8E" w:rsidRPr="00814BF6">
        <w:rPr>
          <w:rFonts w:ascii="Book Antiqua" w:hAnsi="Book Antiqua" w:cs="Times New Roman"/>
          <w:sz w:val="24"/>
          <w:szCs w:val="24"/>
        </w:rPr>
        <w:t>17.6</w:t>
      </w:r>
      <w:r w:rsidR="0024684F" w:rsidRPr="00814BF6">
        <w:rPr>
          <w:rFonts w:ascii="Book Antiqua" w:hAnsi="Book Antiqua" w:cs="Times New Roman"/>
          <w:sz w:val="24"/>
          <w:szCs w:val="24"/>
        </w:rPr>
        <w:t>%)</w:t>
      </w:r>
      <w:r w:rsidR="00BD7A8E" w:rsidRPr="00814BF6">
        <w:rPr>
          <w:rFonts w:ascii="Book Antiqua" w:hAnsi="Book Antiqua" w:cs="Times New Roman"/>
          <w:sz w:val="24"/>
          <w:szCs w:val="24"/>
        </w:rPr>
        <w:t xml:space="preserve"> </w:t>
      </w:r>
      <w:r w:rsidR="0024684F" w:rsidRPr="00814BF6">
        <w:rPr>
          <w:rFonts w:ascii="Book Antiqua" w:hAnsi="Book Antiqua" w:cs="Times New Roman"/>
          <w:sz w:val="24"/>
          <w:szCs w:val="24"/>
        </w:rPr>
        <w:t>by pathological staging and the median number of assessed lymph nodes</w:t>
      </w:r>
      <w:r w:rsidR="00BD7A8E" w:rsidRPr="00814BF6">
        <w:rPr>
          <w:rFonts w:ascii="Book Antiqua" w:hAnsi="Book Antiqua" w:cs="Times New Roman"/>
          <w:sz w:val="24"/>
          <w:szCs w:val="24"/>
        </w:rPr>
        <w:t xml:space="preserve"> </w:t>
      </w:r>
      <w:r w:rsidR="0024684F" w:rsidRPr="00814BF6">
        <w:rPr>
          <w:rFonts w:ascii="Book Antiqua" w:hAnsi="Book Antiqua" w:cs="Times New Roman"/>
          <w:sz w:val="24"/>
          <w:szCs w:val="24"/>
        </w:rPr>
        <w:t>was 1</w:t>
      </w:r>
      <w:r w:rsidR="00BD7A8E" w:rsidRPr="00814BF6">
        <w:rPr>
          <w:rFonts w:ascii="Book Antiqua" w:hAnsi="Book Antiqua" w:cs="Times New Roman"/>
          <w:sz w:val="24"/>
          <w:szCs w:val="24"/>
        </w:rPr>
        <w:t>3</w:t>
      </w:r>
      <w:r w:rsidR="0024684F" w:rsidRPr="00814BF6">
        <w:rPr>
          <w:rFonts w:ascii="Book Antiqua" w:hAnsi="Book Antiqua" w:cs="Times New Roman"/>
          <w:sz w:val="24"/>
          <w:szCs w:val="24"/>
        </w:rPr>
        <w:t xml:space="preserve"> (range 3</w:t>
      </w:r>
      <w:r w:rsidR="007526EA">
        <w:rPr>
          <w:rFonts w:ascii="Book Antiqua" w:hAnsi="Book Antiqua" w:cs="Times New Roman" w:hint="eastAsia"/>
          <w:sz w:val="24"/>
          <w:szCs w:val="24"/>
          <w:lang w:eastAsia="zh-CN"/>
        </w:rPr>
        <w:t>-</w:t>
      </w:r>
      <w:r w:rsidR="00BD7A8E" w:rsidRPr="00814BF6">
        <w:rPr>
          <w:rFonts w:ascii="Book Antiqua" w:hAnsi="Book Antiqua" w:cs="Times New Roman"/>
          <w:sz w:val="24"/>
          <w:szCs w:val="24"/>
        </w:rPr>
        <w:t xml:space="preserve">27) (Table </w:t>
      </w:r>
      <w:r w:rsidR="00E8656F" w:rsidRPr="00814BF6">
        <w:rPr>
          <w:rFonts w:ascii="Book Antiqua" w:hAnsi="Book Antiqua" w:cs="Times New Roman"/>
          <w:sz w:val="24"/>
          <w:szCs w:val="24"/>
        </w:rPr>
        <w:t>2</w:t>
      </w:r>
      <w:r w:rsidR="00BD7A8E" w:rsidRPr="00814BF6">
        <w:rPr>
          <w:rFonts w:ascii="Book Antiqua" w:hAnsi="Book Antiqua" w:cs="Times New Roman"/>
          <w:sz w:val="24"/>
          <w:szCs w:val="24"/>
        </w:rPr>
        <w:t>).</w:t>
      </w:r>
      <w:r w:rsidR="00F91E94" w:rsidRPr="00814BF6">
        <w:rPr>
          <w:rFonts w:ascii="Book Antiqua" w:hAnsi="Book Antiqua" w:cs="Times New Roman"/>
          <w:sz w:val="24"/>
          <w:szCs w:val="24"/>
        </w:rPr>
        <w:t xml:space="preserve"> </w:t>
      </w:r>
      <w:r w:rsidR="00E94CDA" w:rsidRPr="00814BF6">
        <w:rPr>
          <w:rFonts w:ascii="Book Antiqua" w:hAnsi="Book Antiqua" w:cs="Times New Roman"/>
          <w:sz w:val="24"/>
          <w:szCs w:val="24"/>
        </w:rPr>
        <w:t>There were five p</w:t>
      </w:r>
      <w:r w:rsidR="0024684F" w:rsidRPr="00814BF6">
        <w:rPr>
          <w:rFonts w:ascii="Book Antiqua" w:hAnsi="Book Antiqua" w:cs="Times New Roman"/>
          <w:sz w:val="24"/>
          <w:szCs w:val="24"/>
        </w:rPr>
        <w:t>ulmonary complications (</w:t>
      </w:r>
      <w:r w:rsidR="009A6D42" w:rsidRPr="00814BF6">
        <w:rPr>
          <w:rFonts w:ascii="Book Antiqua" w:hAnsi="Book Antiqua" w:cs="Times New Roman"/>
          <w:sz w:val="24"/>
          <w:szCs w:val="24"/>
        </w:rPr>
        <w:t>29%)</w:t>
      </w:r>
      <w:r w:rsidR="00E73A1D" w:rsidRPr="00814BF6">
        <w:rPr>
          <w:rFonts w:ascii="Book Antiqua" w:hAnsi="Book Antiqua" w:cs="Times New Roman"/>
          <w:sz w:val="24"/>
          <w:szCs w:val="24"/>
        </w:rPr>
        <w:t xml:space="preserve">, </w:t>
      </w:r>
      <w:r w:rsidR="009A6D42" w:rsidRPr="00814BF6">
        <w:rPr>
          <w:rFonts w:ascii="Book Antiqua" w:hAnsi="Book Antiqua" w:cs="Times New Roman"/>
          <w:sz w:val="24"/>
          <w:szCs w:val="24"/>
        </w:rPr>
        <w:t xml:space="preserve">one </w:t>
      </w:r>
      <w:r w:rsidR="00E8656F" w:rsidRPr="00814BF6">
        <w:rPr>
          <w:rFonts w:ascii="Book Antiqua" w:hAnsi="Book Antiqua" w:cs="Times New Roman"/>
          <w:sz w:val="24"/>
          <w:szCs w:val="24"/>
        </w:rPr>
        <w:t>cardiac</w:t>
      </w:r>
      <w:r w:rsidR="0024684F" w:rsidRPr="00814BF6">
        <w:rPr>
          <w:rFonts w:ascii="Book Antiqua" w:hAnsi="Book Antiqua" w:cs="Times New Roman"/>
          <w:sz w:val="24"/>
          <w:szCs w:val="24"/>
        </w:rPr>
        <w:t xml:space="preserve"> complication (</w:t>
      </w:r>
      <w:r w:rsidR="00E73A1D" w:rsidRPr="00814BF6">
        <w:rPr>
          <w:rFonts w:ascii="Book Antiqua" w:hAnsi="Book Antiqua" w:cs="Times New Roman"/>
          <w:sz w:val="24"/>
          <w:szCs w:val="24"/>
        </w:rPr>
        <w:t>5.8%</w:t>
      </w:r>
      <w:r w:rsidR="0024684F" w:rsidRPr="00814BF6">
        <w:rPr>
          <w:rFonts w:ascii="Book Antiqua" w:hAnsi="Book Antiqua" w:cs="Times New Roman"/>
          <w:sz w:val="24"/>
          <w:szCs w:val="24"/>
        </w:rPr>
        <w:t>)</w:t>
      </w:r>
      <w:r w:rsidR="00CA1C36" w:rsidRPr="00814BF6">
        <w:rPr>
          <w:rFonts w:ascii="Book Antiqua" w:hAnsi="Book Antiqua" w:cs="Times New Roman"/>
          <w:sz w:val="24"/>
          <w:szCs w:val="24"/>
        </w:rPr>
        <w:t>,</w:t>
      </w:r>
      <w:r w:rsidR="00F91E94" w:rsidRPr="00814BF6">
        <w:rPr>
          <w:rFonts w:ascii="Book Antiqua" w:hAnsi="Book Antiqua" w:cs="Times New Roman"/>
          <w:sz w:val="24"/>
          <w:szCs w:val="24"/>
        </w:rPr>
        <w:t xml:space="preserve"> </w:t>
      </w:r>
      <w:r w:rsidR="0024684F" w:rsidRPr="00814BF6">
        <w:rPr>
          <w:rFonts w:ascii="Book Antiqua" w:hAnsi="Book Antiqua" w:cs="Times New Roman"/>
          <w:sz w:val="24"/>
          <w:szCs w:val="24"/>
        </w:rPr>
        <w:t xml:space="preserve">and </w:t>
      </w:r>
      <w:r w:rsidR="009A6D42" w:rsidRPr="00814BF6">
        <w:rPr>
          <w:rFonts w:ascii="Book Antiqua" w:hAnsi="Book Antiqua" w:cs="Times New Roman"/>
          <w:sz w:val="24"/>
          <w:szCs w:val="24"/>
        </w:rPr>
        <w:t xml:space="preserve">six </w:t>
      </w:r>
      <w:r w:rsidR="0024684F" w:rsidRPr="00814BF6">
        <w:rPr>
          <w:rFonts w:ascii="Book Antiqua" w:hAnsi="Book Antiqua" w:cs="Times New Roman"/>
          <w:sz w:val="24"/>
          <w:szCs w:val="24"/>
        </w:rPr>
        <w:t>surgical complications (</w:t>
      </w:r>
      <w:r w:rsidR="009A6D42" w:rsidRPr="00814BF6">
        <w:rPr>
          <w:rFonts w:ascii="Book Antiqua" w:hAnsi="Book Antiqua" w:cs="Times New Roman"/>
          <w:sz w:val="24"/>
          <w:szCs w:val="24"/>
        </w:rPr>
        <w:t>35%</w:t>
      </w:r>
      <w:r w:rsidR="00E73A1D" w:rsidRPr="00814BF6">
        <w:rPr>
          <w:rFonts w:ascii="Book Antiqua" w:hAnsi="Book Antiqua" w:cs="Times New Roman"/>
          <w:sz w:val="24"/>
          <w:szCs w:val="24"/>
        </w:rPr>
        <w:t>).</w:t>
      </w:r>
      <w:r w:rsidR="00F91E94" w:rsidRPr="00814BF6">
        <w:rPr>
          <w:rFonts w:ascii="Book Antiqua" w:hAnsi="Book Antiqua" w:cs="Times New Roman"/>
          <w:sz w:val="24"/>
          <w:szCs w:val="24"/>
        </w:rPr>
        <w:t xml:space="preserve"> </w:t>
      </w:r>
      <w:r w:rsidR="00D77C94" w:rsidRPr="00814BF6">
        <w:rPr>
          <w:rFonts w:ascii="Book Antiqua" w:hAnsi="Book Antiqua" w:cs="Times New Roman"/>
          <w:sz w:val="24"/>
          <w:szCs w:val="24"/>
        </w:rPr>
        <w:t>There were no treatment-related or operative deaths</w:t>
      </w:r>
      <w:r w:rsidR="00F91E94" w:rsidRPr="00814BF6">
        <w:rPr>
          <w:rFonts w:ascii="Book Antiqua" w:hAnsi="Book Antiqua" w:cs="Times New Roman"/>
          <w:sz w:val="24"/>
          <w:szCs w:val="24"/>
        </w:rPr>
        <w:t xml:space="preserve"> </w:t>
      </w:r>
      <w:r w:rsidR="0024684F" w:rsidRPr="00814BF6">
        <w:rPr>
          <w:rFonts w:ascii="Book Antiqua" w:hAnsi="Book Antiqua" w:cs="Times New Roman"/>
          <w:sz w:val="24"/>
          <w:szCs w:val="24"/>
        </w:rPr>
        <w:t xml:space="preserve">(Table </w:t>
      </w:r>
      <w:r w:rsidR="00E8656F" w:rsidRPr="00814BF6">
        <w:rPr>
          <w:rFonts w:ascii="Book Antiqua" w:hAnsi="Book Antiqua" w:cs="Times New Roman"/>
          <w:sz w:val="24"/>
          <w:szCs w:val="24"/>
        </w:rPr>
        <w:t>3</w:t>
      </w:r>
      <w:r w:rsidR="0024684F" w:rsidRPr="00814BF6">
        <w:rPr>
          <w:rFonts w:ascii="Book Antiqua" w:hAnsi="Book Antiqua" w:cs="Times New Roman"/>
          <w:sz w:val="24"/>
          <w:szCs w:val="24"/>
        </w:rPr>
        <w:t>).</w:t>
      </w:r>
    </w:p>
    <w:p w14:paraId="49BB44C7" w14:textId="77777777" w:rsidR="009727B3" w:rsidRPr="00814BF6" w:rsidRDefault="009727B3" w:rsidP="005E6877">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The time required to finish radiation treatment ranged from 28</w:t>
      </w:r>
      <w:r w:rsidR="005E6877">
        <w:rPr>
          <w:rFonts w:ascii="Book Antiqua" w:eastAsiaTheme="majorEastAsia" w:hAnsi="Book Antiqua" w:cs="Times New Roman" w:hint="eastAsia"/>
          <w:bCs/>
          <w:sz w:val="24"/>
          <w:szCs w:val="24"/>
          <w:lang w:eastAsia="zh-CN"/>
        </w:rPr>
        <w:t>-</w:t>
      </w:r>
      <w:r w:rsidRPr="00814BF6">
        <w:rPr>
          <w:rFonts w:ascii="Book Antiqua" w:eastAsiaTheme="majorEastAsia" w:hAnsi="Book Antiqua" w:cs="Times New Roman"/>
          <w:bCs/>
          <w:sz w:val="24"/>
          <w:szCs w:val="24"/>
        </w:rPr>
        <w:t>35 d. Clinical tumor volume (CTV) represents the conventional dose coverage, 5040 in 28 fractions and PET-positive alone target area will receive SIB to 5600 in 28 fractions, which is labeled as gross tumor volume</w:t>
      </w:r>
      <w:r w:rsidR="00AB7C3F" w:rsidRPr="00814BF6">
        <w:rPr>
          <w:rFonts w:ascii="Book Antiqua" w:eastAsiaTheme="majorEastAsia" w:hAnsi="Book Antiqua" w:cs="Times New Roman"/>
          <w:bCs/>
          <w:sz w:val="24"/>
          <w:szCs w:val="24"/>
        </w:rPr>
        <w:t xml:space="preserve"> (Figure 1)</w:t>
      </w:r>
      <w:r w:rsidRPr="00814BF6">
        <w:rPr>
          <w:rFonts w:ascii="Book Antiqua" w:eastAsiaTheme="majorEastAsia" w:hAnsi="Book Antiqua" w:cs="Times New Roman"/>
          <w:bCs/>
          <w:sz w:val="24"/>
          <w:szCs w:val="24"/>
        </w:rPr>
        <w:t xml:space="preserve">. The </w:t>
      </w:r>
      <w:r w:rsidR="005E6877" w:rsidRPr="00814BF6">
        <w:rPr>
          <w:rFonts w:ascii="Book Antiqua" w:eastAsiaTheme="majorEastAsia" w:hAnsi="Book Antiqua" w:cs="Times New Roman"/>
          <w:bCs/>
          <w:sz w:val="24"/>
          <w:szCs w:val="24"/>
        </w:rPr>
        <w:t>PTV</w:t>
      </w:r>
      <w:r w:rsidRPr="00814BF6">
        <w:rPr>
          <w:rFonts w:ascii="Book Antiqua" w:eastAsiaTheme="majorEastAsia" w:hAnsi="Book Antiqua" w:cs="Times New Roman"/>
          <w:bCs/>
          <w:sz w:val="24"/>
          <w:szCs w:val="24"/>
        </w:rPr>
        <w:t xml:space="preserve"> of 180 cGy per fraction provided a proximal and distal margin of 5 cm and a radial margin of 7 mcm around the CTV volume except to the heart with </w:t>
      </w:r>
      <w:r w:rsidR="005E6877">
        <w:rPr>
          <w:rFonts w:ascii="Book Antiqua" w:eastAsiaTheme="majorEastAsia" w:hAnsi="Book Antiqua" w:cs="Times New Roman" w:hint="eastAsia"/>
          <w:bCs/>
          <w:sz w:val="24"/>
          <w:szCs w:val="24"/>
          <w:lang w:eastAsia="zh-CN"/>
        </w:rPr>
        <w:t>approximately</w:t>
      </w:r>
      <w:r w:rsidRPr="00814BF6">
        <w:rPr>
          <w:rFonts w:ascii="Book Antiqua" w:eastAsiaTheme="majorEastAsia" w:hAnsi="Book Antiqua" w:cs="Times New Roman"/>
          <w:bCs/>
          <w:sz w:val="24"/>
          <w:szCs w:val="24"/>
        </w:rPr>
        <w:t xml:space="preserve"> 3</w:t>
      </w:r>
      <w:r w:rsidR="005E6877">
        <w:rPr>
          <w:rFonts w:ascii="Book Antiqua" w:eastAsiaTheme="majorEastAsia" w:hAnsi="Book Antiqua" w:cs="Times New Roman" w:hint="eastAsia"/>
          <w:bCs/>
          <w:sz w:val="24"/>
          <w:szCs w:val="24"/>
          <w:lang w:eastAsia="zh-CN"/>
        </w:rPr>
        <w:t>-</w:t>
      </w:r>
      <w:r w:rsidRPr="00814BF6">
        <w:rPr>
          <w:rFonts w:ascii="Book Antiqua" w:eastAsiaTheme="majorEastAsia" w:hAnsi="Book Antiqua" w:cs="Times New Roman"/>
          <w:bCs/>
          <w:sz w:val="24"/>
          <w:szCs w:val="24"/>
        </w:rPr>
        <w:t>5 mm margins. The average beam number was 6.3 (range, 5</w:t>
      </w:r>
      <w:r w:rsidR="005E6877">
        <w:rPr>
          <w:rFonts w:ascii="Book Antiqua" w:eastAsiaTheme="majorEastAsia" w:hAnsi="Book Antiqua" w:cs="Times New Roman" w:hint="eastAsia"/>
          <w:bCs/>
          <w:sz w:val="24"/>
          <w:szCs w:val="24"/>
          <w:lang w:eastAsia="zh-CN"/>
        </w:rPr>
        <w:t>-</w:t>
      </w:r>
      <w:r w:rsidRPr="00814BF6">
        <w:rPr>
          <w:rFonts w:ascii="Book Antiqua" w:eastAsiaTheme="majorEastAsia" w:hAnsi="Book Antiqua" w:cs="Times New Roman"/>
          <w:bCs/>
          <w:sz w:val="24"/>
          <w:szCs w:val="24"/>
        </w:rPr>
        <w:t>9). All organs at risk met their dose constraints. The daily prescription dose of 2</w:t>
      </w:r>
      <w:r w:rsidR="005E6877">
        <w:rPr>
          <w:rFonts w:ascii="Book Antiqua" w:eastAsiaTheme="majorEastAsia" w:hAnsi="Book Antiqua" w:cs="Times New Roman" w:hint="eastAsia"/>
          <w:bCs/>
          <w:sz w:val="24"/>
          <w:szCs w:val="24"/>
          <w:lang w:eastAsia="zh-CN"/>
        </w:rPr>
        <w:t xml:space="preserve"> </w:t>
      </w:r>
      <w:r w:rsidRPr="00814BF6">
        <w:rPr>
          <w:rFonts w:ascii="Book Antiqua" w:eastAsiaTheme="majorEastAsia" w:hAnsi="Book Antiqua" w:cs="Times New Roman"/>
          <w:bCs/>
          <w:sz w:val="24"/>
          <w:szCs w:val="24"/>
        </w:rPr>
        <w:t>Gy was specified at the International Commission on Radiation Units and Measurement reference point, and at least the 95% isodose had to encompass the entire PTV. The maximum dose to the PTV was not to exceed the prescription dose by 7%. Tissue density inhomogeneity correction was used. The 4D plan using respiratory gating technique applied to all patients.</w:t>
      </w:r>
    </w:p>
    <w:p w14:paraId="304A6694" w14:textId="77777777" w:rsidR="00027E6B" w:rsidRPr="00814BF6" w:rsidRDefault="00027E6B" w:rsidP="005E6877">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 xml:space="preserve">Patients were followed </w:t>
      </w:r>
      <w:r w:rsidR="00D77C94" w:rsidRPr="00814BF6">
        <w:rPr>
          <w:rFonts w:ascii="Book Antiqua" w:eastAsiaTheme="majorEastAsia" w:hAnsi="Book Antiqua" w:cs="Times New Roman"/>
          <w:bCs/>
          <w:sz w:val="24"/>
          <w:szCs w:val="24"/>
        </w:rPr>
        <w:t xml:space="preserve">routinely </w:t>
      </w:r>
      <w:r w:rsidRPr="00814BF6">
        <w:rPr>
          <w:rFonts w:ascii="Book Antiqua" w:eastAsiaTheme="majorEastAsia" w:hAnsi="Book Antiqua" w:cs="Times New Roman"/>
          <w:bCs/>
          <w:sz w:val="24"/>
          <w:szCs w:val="24"/>
        </w:rPr>
        <w:t>after finish</w:t>
      </w:r>
      <w:r w:rsidR="00D77C94" w:rsidRPr="00814BF6">
        <w:rPr>
          <w:rFonts w:ascii="Book Antiqua" w:eastAsiaTheme="majorEastAsia" w:hAnsi="Book Antiqua" w:cs="Times New Roman"/>
          <w:bCs/>
          <w:sz w:val="24"/>
          <w:szCs w:val="24"/>
        </w:rPr>
        <w:t>ing</w:t>
      </w:r>
      <w:r w:rsidRPr="00814BF6">
        <w:rPr>
          <w:rFonts w:ascii="Book Antiqua" w:eastAsiaTheme="majorEastAsia" w:hAnsi="Book Antiqua" w:cs="Times New Roman"/>
          <w:bCs/>
          <w:sz w:val="24"/>
          <w:szCs w:val="24"/>
        </w:rPr>
        <w:t xml:space="preserve"> neoadjuva</w:t>
      </w:r>
      <w:r w:rsidR="00D77C94" w:rsidRPr="00814BF6">
        <w:rPr>
          <w:rFonts w:ascii="Book Antiqua" w:eastAsiaTheme="majorEastAsia" w:hAnsi="Book Antiqua" w:cs="Times New Roman"/>
          <w:bCs/>
          <w:sz w:val="24"/>
          <w:szCs w:val="24"/>
        </w:rPr>
        <w:t>n</w:t>
      </w:r>
      <w:r w:rsidRPr="00814BF6">
        <w:rPr>
          <w:rFonts w:ascii="Book Antiqua" w:eastAsiaTheme="majorEastAsia" w:hAnsi="Book Antiqua" w:cs="Times New Roman"/>
          <w:bCs/>
          <w:sz w:val="24"/>
          <w:szCs w:val="24"/>
        </w:rPr>
        <w:t>t chemo</w:t>
      </w:r>
      <w:r w:rsidR="00D77C94" w:rsidRPr="00814BF6">
        <w:rPr>
          <w:rFonts w:ascii="Book Antiqua" w:eastAsiaTheme="majorEastAsia" w:hAnsi="Book Antiqua" w:cs="Times New Roman"/>
          <w:bCs/>
          <w:sz w:val="24"/>
          <w:szCs w:val="24"/>
        </w:rPr>
        <w:t>radiation</w:t>
      </w:r>
      <w:r w:rsidRPr="00814BF6">
        <w:rPr>
          <w:rFonts w:ascii="Book Antiqua" w:eastAsiaTheme="majorEastAsia" w:hAnsi="Book Antiqua" w:cs="Times New Roman"/>
          <w:bCs/>
          <w:sz w:val="24"/>
          <w:szCs w:val="24"/>
        </w:rPr>
        <w:t xml:space="preserve">. </w:t>
      </w:r>
      <w:r w:rsidR="00D77C94" w:rsidRPr="00814BF6">
        <w:rPr>
          <w:rFonts w:ascii="Book Antiqua" w:eastAsiaTheme="majorEastAsia" w:hAnsi="Book Antiqua" w:cs="Times New Roman"/>
          <w:bCs/>
          <w:sz w:val="24"/>
          <w:szCs w:val="24"/>
        </w:rPr>
        <w:t xml:space="preserve">Surgical resection was performed between </w:t>
      </w:r>
      <w:r w:rsidRPr="00814BF6">
        <w:rPr>
          <w:rFonts w:ascii="Book Antiqua" w:eastAsiaTheme="majorEastAsia" w:hAnsi="Book Antiqua" w:cs="Times New Roman"/>
          <w:bCs/>
          <w:sz w:val="24"/>
          <w:szCs w:val="24"/>
        </w:rPr>
        <w:t>6</w:t>
      </w:r>
      <w:r w:rsidR="008447B5">
        <w:rPr>
          <w:rFonts w:ascii="Book Antiqua" w:eastAsiaTheme="majorEastAsia" w:hAnsi="Book Antiqua" w:cs="Times New Roman" w:hint="eastAsia"/>
          <w:bCs/>
          <w:sz w:val="24"/>
          <w:szCs w:val="24"/>
          <w:lang w:eastAsia="zh-CN"/>
        </w:rPr>
        <w:t>-</w:t>
      </w:r>
      <w:r w:rsidR="008447B5">
        <w:rPr>
          <w:rFonts w:ascii="Book Antiqua" w:eastAsiaTheme="majorEastAsia" w:hAnsi="Book Antiqua" w:cs="Times New Roman"/>
          <w:bCs/>
          <w:sz w:val="24"/>
          <w:szCs w:val="24"/>
        </w:rPr>
        <w:t>8 wk</w:t>
      </w:r>
      <w:r w:rsidRPr="00814BF6">
        <w:rPr>
          <w:rFonts w:ascii="Book Antiqua" w:eastAsiaTheme="majorEastAsia" w:hAnsi="Book Antiqua" w:cs="Times New Roman"/>
          <w:bCs/>
          <w:sz w:val="24"/>
          <w:szCs w:val="24"/>
        </w:rPr>
        <w:t xml:space="preserve"> after completion of CRT</w:t>
      </w:r>
      <w:r w:rsidR="00D77C94" w:rsidRPr="00814BF6">
        <w:rPr>
          <w:rFonts w:ascii="Book Antiqua" w:eastAsiaTheme="majorEastAsia" w:hAnsi="Book Antiqua" w:cs="Times New Roman"/>
          <w:bCs/>
          <w:sz w:val="24"/>
          <w:szCs w:val="24"/>
        </w:rPr>
        <w:t>. The operative technique</w:t>
      </w:r>
      <w:r w:rsidRPr="00814BF6">
        <w:rPr>
          <w:rFonts w:ascii="Book Antiqua" w:eastAsiaTheme="majorEastAsia" w:hAnsi="Book Antiqua" w:cs="Times New Roman"/>
          <w:bCs/>
          <w:sz w:val="24"/>
          <w:szCs w:val="24"/>
        </w:rPr>
        <w:t xml:space="preserve"> consisted of a transthoracic approach with a two-field lymph node dissection or </w:t>
      </w:r>
      <w:r w:rsidR="009A6D42" w:rsidRPr="00814BF6">
        <w:rPr>
          <w:rFonts w:ascii="Book Antiqua" w:eastAsiaTheme="majorEastAsia" w:hAnsi="Book Antiqua" w:cs="Times New Roman"/>
          <w:bCs/>
          <w:sz w:val="24"/>
          <w:szCs w:val="24"/>
        </w:rPr>
        <w:t xml:space="preserve">a </w:t>
      </w:r>
      <w:r w:rsidRPr="00814BF6">
        <w:rPr>
          <w:rFonts w:ascii="Book Antiqua" w:eastAsiaTheme="majorEastAsia" w:hAnsi="Book Antiqua" w:cs="Times New Roman"/>
          <w:bCs/>
          <w:sz w:val="24"/>
          <w:szCs w:val="24"/>
        </w:rPr>
        <w:t xml:space="preserve">transhiatal approach, depending on tumor localization. A wide local excision of the </w:t>
      </w:r>
      <w:r w:rsidR="007C1B78" w:rsidRPr="00814BF6">
        <w:rPr>
          <w:rFonts w:ascii="Book Antiqua" w:eastAsiaTheme="majorEastAsia" w:hAnsi="Book Antiqua" w:cs="Times New Roman"/>
          <w:bCs/>
          <w:sz w:val="24"/>
          <w:szCs w:val="24"/>
        </w:rPr>
        <w:t>N1 lymph</w:t>
      </w:r>
      <w:r w:rsidRPr="00814BF6">
        <w:rPr>
          <w:rFonts w:ascii="Book Antiqua" w:eastAsiaTheme="majorEastAsia" w:hAnsi="Book Antiqua" w:cs="Times New Roman"/>
          <w:bCs/>
          <w:sz w:val="24"/>
          <w:szCs w:val="24"/>
        </w:rPr>
        <w:t xml:space="preserve"> nodes, including standard excision of the celiac nodes, was </w:t>
      </w:r>
      <w:r w:rsidR="007C1B78" w:rsidRPr="00814BF6">
        <w:rPr>
          <w:rFonts w:ascii="Book Antiqua" w:eastAsiaTheme="majorEastAsia" w:hAnsi="Book Antiqua" w:cs="Times New Roman"/>
          <w:bCs/>
          <w:sz w:val="24"/>
          <w:szCs w:val="24"/>
        </w:rPr>
        <w:t>carried out</w:t>
      </w:r>
      <w:r w:rsidRPr="00814BF6">
        <w:rPr>
          <w:rFonts w:ascii="Book Antiqua" w:eastAsiaTheme="majorEastAsia" w:hAnsi="Book Antiqua" w:cs="Times New Roman"/>
          <w:bCs/>
          <w:sz w:val="24"/>
          <w:szCs w:val="24"/>
        </w:rPr>
        <w:t xml:space="preserve"> in both techniques. Continuity of the digestive tract was restored by gastric tube reconstruction or colonic interposition procedure with cervical anastomosis.</w:t>
      </w:r>
    </w:p>
    <w:p w14:paraId="314DFEE7" w14:textId="77777777" w:rsidR="00126D7E" w:rsidRPr="00814BF6" w:rsidRDefault="00027E6B" w:rsidP="008447B5">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 xml:space="preserve">For grading of the therapy response, the degree of histomorphologic </w:t>
      </w:r>
      <w:r w:rsidR="002A3385" w:rsidRPr="00814BF6">
        <w:rPr>
          <w:rFonts w:ascii="Book Antiqua" w:eastAsiaTheme="majorEastAsia" w:hAnsi="Book Antiqua" w:cs="Times New Roman"/>
          <w:bCs/>
          <w:sz w:val="24"/>
          <w:szCs w:val="24"/>
        </w:rPr>
        <w:t>regression was</w:t>
      </w:r>
      <w:r w:rsidRPr="00814BF6">
        <w:rPr>
          <w:rFonts w:ascii="Book Antiqua" w:eastAsiaTheme="majorEastAsia" w:hAnsi="Book Antiqua" w:cs="Times New Roman"/>
          <w:bCs/>
          <w:sz w:val="24"/>
          <w:szCs w:val="24"/>
        </w:rPr>
        <w:t xml:space="preserve"> classified into four modified categories, as described by Mandard </w:t>
      </w:r>
      <w:r w:rsidRPr="008447B5">
        <w:rPr>
          <w:rFonts w:ascii="Book Antiqua" w:eastAsiaTheme="majorEastAsia" w:hAnsi="Book Antiqua" w:cs="Times New Roman"/>
          <w:bCs/>
          <w:i/>
          <w:sz w:val="24"/>
          <w:szCs w:val="24"/>
        </w:rPr>
        <w:t>et</w:t>
      </w:r>
      <w:r w:rsidR="00F91E94" w:rsidRPr="008447B5">
        <w:rPr>
          <w:rFonts w:ascii="Book Antiqua" w:eastAsiaTheme="majorEastAsia" w:hAnsi="Book Antiqua" w:cs="Times New Roman"/>
          <w:bCs/>
          <w:i/>
          <w:sz w:val="24"/>
          <w:szCs w:val="24"/>
        </w:rPr>
        <w:t xml:space="preserve"> </w:t>
      </w:r>
      <w:proofErr w:type="gramStart"/>
      <w:r w:rsidRPr="008447B5">
        <w:rPr>
          <w:rFonts w:ascii="Book Antiqua" w:eastAsiaTheme="majorEastAsia" w:hAnsi="Book Antiqua" w:cs="Times New Roman"/>
          <w:bCs/>
          <w:i/>
          <w:sz w:val="24"/>
          <w:szCs w:val="24"/>
        </w:rPr>
        <w:t>al</w:t>
      </w:r>
      <w:r w:rsidR="00196531" w:rsidRPr="00814BF6">
        <w:rPr>
          <w:rFonts w:ascii="Book Antiqua" w:hAnsi="Book Antiqua" w:cs="Times New Roman"/>
          <w:sz w:val="24"/>
          <w:szCs w:val="24"/>
          <w:vertAlign w:val="superscript"/>
        </w:rPr>
        <w:t>[</w:t>
      </w:r>
      <w:proofErr w:type="gramEnd"/>
      <w:r w:rsidR="00F12CE0" w:rsidRPr="00814BF6">
        <w:rPr>
          <w:rFonts w:ascii="Book Antiqua" w:hAnsi="Book Antiqua" w:cs="Times New Roman"/>
          <w:sz w:val="24"/>
          <w:szCs w:val="24"/>
          <w:vertAlign w:val="superscript"/>
        </w:rPr>
        <w:t>11</w:t>
      </w:r>
      <w:r w:rsidR="00196531" w:rsidRPr="00814BF6">
        <w:rPr>
          <w:rFonts w:ascii="Book Antiqua" w:hAnsi="Book Antiqua" w:cs="Times New Roman"/>
          <w:sz w:val="24"/>
          <w:szCs w:val="24"/>
          <w:vertAlign w:val="superscript"/>
        </w:rPr>
        <w:t>]</w:t>
      </w:r>
      <w:r w:rsidR="00196531"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126D7E" w:rsidRPr="00814BF6">
        <w:rPr>
          <w:rFonts w:ascii="Book Antiqua" w:eastAsiaTheme="majorEastAsia" w:hAnsi="Book Antiqua" w:cs="Times New Roman"/>
          <w:bCs/>
          <w:sz w:val="24"/>
          <w:szCs w:val="24"/>
        </w:rPr>
        <w:t>Surgical margins were designated in accordance with the criteria of the AJCC staging manual.</w:t>
      </w:r>
      <w:r w:rsidR="00F91E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All resection margins, including circumferential margins, were evaluated for</w:t>
      </w:r>
      <w:r w:rsidR="00B921C6" w:rsidRPr="00814BF6">
        <w:rPr>
          <w:rFonts w:ascii="Book Antiqua" w:eastAsiaTheme="majorEastAsia" w:hAnsi="Book Antiqua" w:cs="Times New Roman"/>
          <w:bCs/>
          <w:sz w:val="24"/>
          <w:szCs w:val="24"/>
        </w:rPr>
        <w:t xml:space="preserve"> </w:t>
      </w:r>
      <w:r w:rsidR="00E8656F" w:rsidRPr="00814BF6">
        <w:rPr>
          <w:rFonts w:ascii="Book Antiqua" w:eastAsiaTheme="majorEastAsia" w:hAnsi="Book Antiqua" w:cs="Times New Roman"/>
          <w:bCs/>
          <w:sz w:val="24"/>
          <w:szCs w:val="24"/>
        </w:rPr>
        <w:t>vital</w:t>
      </w:r>
      <w:r w:rsidRPr="00814BF6">
        <w:rPr>
          <w:rFonts w:ascii="Book Antiqua" w:eastAsiaTheme="majorEastAsia" w:hAnsi="Book Antiqua" w:cs="Times New Roman"/>
          <w:bCs/>
          <w:sz w:val="24"/>
          <w:szCs w:val="24"/>
        </w:rPr>
        <w:t xml:space="preserve"> tumor with a</w:t>
      </w:r>
      <w:r w:rsidR="00D62DA2" w:rsidRPr="00814BF6">
        <w:rPr>
          <w:rFonts w:ascii="Book Antiqua" w:eastAsiaTheme="majorEastAsia" w:hAnsi="Book Antiqua" w:cs="Times New Roman"/>
          <w:bCs/>
          <w:sz w:val="24"/>
          <w:szCs w:val="24"/>
        </w:rPr>
        <w:t xml:space="preserve"> cutoff</w:t>
      </w:r>
      <w:r w:rsidRPr="00814BF6">
        <w:rPr>
          <w:rFonts w:ascii="Book Antiqua" w:eastAsiaTheme="majorEastAsia" w:hAnsi="Book Antiqua" w:cs="Times New Roman"/>
          <w:bCs/>
          <w:sz w:val="24"/>
          <w:szCs w:val="24"/>
        </w:rPr>
        <w:t xml:space="preserve"> point of</w:t>
      </w:r>
      <w:r w:rsidR="007C1B78"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1</w:t>
      </w:r>
      <w:r w:rsidR="00D77C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mm.</w:t>
      </w:r>
      <w:r w:rsidR="00F91E94" w:rsidRPr="00814BF6">
        <w:rPr>
          <w:rFonts w:ascii="Book Antiqua" w:eastAsiaTheme="majorEastAsia" w:hAnsi="Book Antiqua" w:cs="Times New Roman"/>
          <w:bCs/>
          <w:sz w:val="24"/>
          <w:szCs w:val="24"/>
        </w:rPr>
        <w:t xml:space="preserve"> </w:t>
      </w:r>
      <w:r w:rsidR="00126D7E" w:rsidRPr="00814BF6">
        <w:rPr>
          <w:rFonts w:ascii="Book Antiqua" w:eastAsiaTheme="majorEastAsia" w:hAnsi="Book Antiqua" w:cs="Times New Roman"/>
          <w:bCs/>
          <w:sz w:val="24"/>
          <w:szCs w:val="24"/>
        </w:rPr>
        <w:t xml:space="preserve">Margin status was confirmed by </w:t>
      </w:r>
      <w:r w:rsidR="00E8656F" w:rsidRPr="00814BF6">
        <w:rPr>
          <w:rFonts w:ascii="Book Antiqua" w:eastAsiaTheme="majorEastAsia" w:hAnsi="Book Antiqua" w:cs="Times New Roman"/>
          <w:bCs/>
          <w:sz w:val="24"/>
          <w:szCs w:val="24"/>
        </w:rPr>
        <w:t>frozen</w:t>
      </w:r>
      <w:r w:rsidR="00126D7E" w:rsidRPr="00814BF6">
        <w:rPr>
          <w:rFonts w:ascii="Book Antiqua" w:eastAsiaTheme="majorEastAsia" w:hAnsi="Book Antiqua" w:cs="Times New Roman"/>
          <w:bCs/>
          <w:sz w:val="24"/>
          <w:szCs w:val="24"/>
        </w:rPr>
        <w:t xml:space="preserve"> </w:t>
      </w:r>
      <w:r w:rsidR="00D77C94" w:rsidRPr="00814BF6">
        <w:rPr>
          <w:rFonts w:ascii="Book Antiqua" w:eastAsiaTheme="majorEastAsia" w:hAnsi="Book Antiqua" w:cs="Times New Roman"/>
          <w:bCs/>
          <w:sz w:val="24"/>
          <w:szCs w:val="24"/>
        </w:rPr>
        <w:t>a</w:t>
      </w:r>
      <w:r w:rsidR="00126D7E" w:rsidRPr="00814BF6">
        <w:rPr>
          <w:rFonts w:ascii="Book Antiqua" w:eastAsiaTheme="majorEastAsia" w:hAnsi="Book Antiqua" w:cs="Times New Roman"/>
          <w:bCs/>
          <w:sz w:val="24"/>
          <w:szCs w:val="24"/>
        </w:rPr>
        <w:t>nd permanent section</w:t>
      </w:r>
      <w:r w:rsidR="009A6D42" w:rsidRPr="00814BF6">
        <w:rPr>
          <w:rFonts w:ascii="Book Antiqua" w:eastAsiaTheme="majorEastAsia" w:hAnsi="Book Antiqua" w:cs="Times New Roman"/>
          <w:bCs/>
          <w:sz w:val="24"/>
          <w:szCs w:val="24"/>
        </w:rPr>
        <w:t>s and</w:t>
      </w:r>
      <w:r w:rsidR="00126D7E" w:rsidRPr="00814BF6">
        <w:rPr>
          <w:rFonts w:ascii="Book Antiqua" w:eastAsiaTheme="majorEastAsia" w:hAnsi="Book Antiqua" w:cs="Times New Roman"/>
          <w:bCs/>
          <w:sz w:val="24"/>
          <w:szCs w:val="24"/>
        </w:rPr>
        <w:t xml:space="preserve"> the close distance to the nearest millimeter between cancer cells, and the margin was measured microscopically and recorded prospectively. The operation</w:t>
      </w:r>
      <w:r w:rsidR="00126D7E" w:rsidRPr="00814BF6">
        <w:rPr>
          <w:rFonts w:ascii="Book Antiqua" w:hAnsi="Book Antiqua" w:cs="Times New Roman"/>
          <w:sz w:val="24"/>
          <w:szCs w:val="24"/>
        </w:rPr>
        <w:t xml:space="preserve"> </w:t>
      </w:r>
      <w:r w:rsidR="00126D7E" w:rsidRPr="00814BF6">
        <w:rPr>
          <w:rFonts w:ascii="Book Antiqua" w:eastAsiaTheme="majorEastAsia" w:hAnsi="Book Antiqua" w:cs="Times New Roman"/>
          <w:bCs/>
          <w:sz w:val="24"/>
          <w:szCs w:val="24"/>
        </w:rPr>
        <w:t>was defined as an R0 resection if there was no microscopic tumor found at the margin and as an R1 resection if a margin was positive</w:t>
      </w:r>
      <w:r w:rsidR="00D77C94" w:rsidRPr="00814BF6">
        <w:rPr>
          <w:rFonts w:ascii="Book Antiqua" w:eastAsiaTheme="majorEastAsia" w:hAnsi="Book Antiqua" w:cs="Times New Roman"/>
          <w:bCs/>
          <w:sz w:val="24"/>
          <w:szCs w:val="24"/>
        </w:rPr>
        <w:t xml:space="preserve"> microscopically.</w:t>
      </w:r>
    </w:p>
    <w:p w14:paraId="1838B42B" w14:textId="77777777" w:rsidR="00027E6B" w:rsidRPr="00814BF6" w:rsidRDefault="00027E6B" w:rsidP="008447B5">
      <w:pPr>
        <w:spacing w:after="0" w:line="360" w:lineRule="auto"/>
        <w:ind w:firstLineChars="100" w:firstLine="240"/>
        <w:jc w:val="both"/>
        <w:rPr>
          <w:rFonts w:ascii="Book Antiqua" w:eastAsiaTheme="majorEastAsia" w:hAnsi="Book Antiqua" w:cs="Times New Roman"/>
          <w:bCs/>
          <w:sz w:val="24"/>
          <w:szCs w:val="24"/>
          <w:lang w:eastAsia="zh-CN"/>
        </w:rPr>
      </w:pPr>
      <w:r w:rsidRPr="00814BF6">
        <w:rPr>
          <w:rFonts w:ascii="Book Antiqua" w:eastAsiaTheme="majorEastAsia" w:hAnsi="Book Antiqua" w:cs="Times New Roman"/>
          <w:bCs/>
          <w:sz w:val="24"/>
          <w:szCs w:val="24"/>
        </w:rPr>
        <w:t xml:space="preserve">Duration of follow-up was defined as the interval between the day of </w:t>
      </w:r>
      <w:r w:rsidR="00BE146E" w:rsidRPr="00814BF6">
        <w:rPr>
          <w:rFonts w:ascii="Book Antiqua" w:eastAsiaTheme="majorEastAsia" w:hAnsi="Book Antiqua" w:cs="Times New Roman"/>
          <w:bCs/>
          <w:sz w:val="24"/>
          <w:szCs w:val="24"/>
        </w:rPr>
        <w:t>complete</w:t>
      </w:r>
      <w:r w:rsidR="00D77C94" w:rsidRPr="00814BF6">
        <w:rPr>
          <w:rFonts w:ascii="Book Antiqua" w:eastAsiaTheme="majorEastAsia" w:hAnsi="Book Antiqua" w:cs="Times New Roman"/>
          <w:bCs/>
          <w:sz w:val="24"/>
          <w:szCs w:val="24"/>
        </w:rPr>
        <w:t>d</w:t>
      </w:r>
      <w:r w:rsidR="00BE146E" w:rsidRPr="00814BF6">
        <w:rPr>
          <w:rFonts w:ascii="Book Antiqua" w:eastAsiaTheme="majorEastAsia" w:hAnsi="Book Antiqua" w:cs="Times New Roman"/>
          <w:bCs/>
          <w:sz w:val="24"/>
          <w:szCs w:val="24"/>
        </w:rPr>
        <w:t xml:space="preserve"> surgery</w:t>
      </w:r>
      <w:r w:rsidR="009A6D42"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death</w:t>
      </w:r>
      <w:r w:rsidR="009A6D42"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 xml:space="preserve"> or the last </w:t>
      </w:r>
      <w:r w:rsidR="00D77C94" w:rsidRPr="00814BF6">
        <w:rPr>
          <w:rFonts w:ascii="Book Antiqua" w:eastAsiaTheme="majorEastAsia" w:hAnsi="Book Antiqua" w:cs="Times New Roman"/>
          <w:bCs/>
          <w:sz w:val="24"/>
          <w:szCs w:val="24"/>
        </w:rPr>
        <w:t>follow</w:t>
      </w:r>
      <w:r w:rsidR="004B51FB">
        <w:rPr>
          <w:rFonts w:ascii="Book Antiqua" w:eastAsiaTheme="majorEastAsia" w:hAnsi="Book Antiqua" w:cs="Times New Roman" w:hint="eastAsia"/>
          <w:bCs/>
          <w:sz w:val="24"/>
          <w:szCs w:val="24"/>
          <w:lang w:eastAsia="zh-CN"/>
        </w:rPr>
        <w:t>-</w:t>
      </w:r>
      <w:r w:rsidR="00D77C94" w:rsidRPr="00814BF6">
        <w:rPr>
          <w:rFonts w:ascii="Book Antiqua" w:eastAsiaTheme="majorEastAsia" w:hAnsi="Book Antiqua" w:cs="Times New Roman"/>
          <w:bCs/>
          <w:sz w:val="24"/>
          <w:szCs w:val="24"/>
        </w:rPr>
        <w:t>up</w:t>
      </w:r>
      <w:r w:rsidR="00BE146E" w:rsidRPr="00814BF6">
        <w:rPr>
          <w:rFonts w:ascii="Book Antiqua" w:eastAsiaTheme="majorEastAsia" w:hAnsi="Book Antiqua" w:cs="Times New Roman"/>
          <w:bCs/>
          <w:sz w:val="24"/>
          <w:szCs w:val="24"/>
        </w:rPr>
        <w:t xml:space="preserve"> visit</w:t>
      </w:r>
      <w:r w:rsidRPr="00814BF6">
        <w:rPr>
          <w:rFonts w:ascii="Book Antiqua" w:eastAsiaTheme="majorEastAsia" w:hAnsi="Book Antiqua" w:cs="Times New Roman"/>
          <w:bCs/>
          <w:sz w:val="24"/>
          <w:szCs w:val="24"/>
        </w:rPr>
        <w:t xml:space="preserve"> or telephone call. The Kaplan-Meier method was used to calculate survival probabilities. </w:t>
      </w:r>
      <w:r w:rsidR="00424E68" w:rsidRPr="00814BF6">
        <w:rPr>
          <w:rFonts w:ascii="Book Antiqua" w:eastAsiaTheme="majorEastAsia" w:hAnsi="Book Antiqua" w:cs="Times New Roman"/>
          <w:bCs/>
          <w:sz w:val="24"/>
          <w:szCs w:val="24"/>
        </w:rPr>
        <w:t xml:space="preserve">Survival </w:t>
      </w:r>
      <w:r w:rsidR="00D77C94" w:rsidRPr="00814BF6">
        <w:rPr>
          <w:rFonts w:ascii="Book Antiqua" w:eastAsiaTheme="majorEastAsia" w:hAnsi="Book Antiqua" w:cs="Times New Roman"/>
          <w:bCs/>
          <w:sz w:val="24"/>
          <w:szCs w:val="24"/>
        </w:rPr>
        <w:t>a</w:t>
      </w:r>
      <w:r w:rsidRPr="00814BF6">
        <w:rPr>
          <w:rFonts w:ascii="Book Antiqua" w:eastAsiaTheme="majorEastAsia" w:hAnsi="Book Antiqua" w:cs="Times New Roman"/>
          <w:bCs/>
          <w:sz w:val="24"/>
          <w:szCs w:val="24"/>
        </w:rPr>
        <w:t>nalyses were</w:t>
      </w:r>
      <w:r w:rsidR="00BE146E"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 xml:space="preserve">performed using </w:t>
      </w:r>
      <w:r w:rsidR="00424E68" w:rsidRPr="00814BF6">
        <w:rPr>
          <w:rFonts w:ascii="Book Antiqua" w:eastAsiaTheme="majorEastAsia" w:hAnsi="Book Antiqua" w:cs="Times New Roman"/>
          <w:bCs/>
          <w:sz w:val="24"/>
          <w:szCs w:val="24"/>
        </w:rPr>
        <w:t>Prism Graph</w:t>
      </w:r>
      <w:r w:rsidR="006853B4" w:rsidRPr="00814BF6">
        <w:rPr>
          <w:rFonts w:ascii="Book Antiqua" w:eastAsiaTheme="majorEastAsia" w:hAnsi="Book Antiqua" w:cs="Times New Roman"/>
          <w:bCs/>
          <w:sz w:val="24"/>
          <w:szCs w:val="24"/>
          <w:lang w:eastAsia="zh-CN"/>
        </w:rPr>
        <w:t xml:space="preserve"> </w:t>
      </w:r>
      <w:r w:rsidR="00424E68" w:rsidRPr="00814BF6">
        <w:rPr>
          <w:rFonts w:ascii="Book Antiqua" w:eastAsiaTheme="majorEastAsia" w:hAnsi="Book Antiqua" w:cs="Times New Roman"/>
          <w:bCs/>
          <w:sz w:val="24"/>
          <w:szCs w:val="24"/>
        </w:rPr>
        <w:t>Pad Version 5.00</w:t>
      </w:r>
      <w:r w:rsidR="0074720E" w:rsidRPr="00814BF6">
        <w:rPr>
          <w:rFonts w:ascii="Book Antiqua" w:eastAsiaTheme="majorEastAsia" w:hAnsi="Book Antiqua" w:cs="Times New Roman"/>
          <w:bCs/>
          <w:sz w:val="24"/>
          <w:szCs w:val="24"/>
        </w:rPr>
        <w:t xml:space="preserve"> (GraphPad Software, Inc., LaJolla, CA)</w:t>
      </w:r>
      <w:r w:rsidR="008447B5">
        <w:rPr>
          <w:rFonts w:ascii="Book Antiqua" w:eastAsiaTheme="majorEastAsia" w:hAnsi="Book Antiqua" w:cs="Times New Roman" w:hint="eastAsia"/>
          <w:bCs/>
          <w:sz w:val="24"/>
          <w:szCs w:val="24"/>
          <w:lang w:eastAsia="zh-CN"/>
        </w:rPr>
        <w:t>.</w:t>
      </w:r>
    </w:p>
    <w:p w14:paraId="52649DB4" w14:textId="77777777" w:rsidR="009A6D42" w:rsidRPr="00814BF6" w:rsidRDefault="00027E6B" w:rsidP="00814BF6">
      <w:pPr>
        <w:pStyle w:val="Heading1"/>
        <w:spacing w:before="0" w:line="360" w:lineRule="auto"/>
        <w:jc w:val="both"/>
        <w:rPr>
          <w:rFonts w:ascii="Book Antiqua" w:hAnsi="Book Antiqua" w:cs="Times New Roman"/>
          <w:color w:val="auto"/>
          <w:sz w:val="24"/>
          <w:szCs w:val="24"/>
        </w:rPr>
      </w:pPr>
      <w:r w:rsidRPr="00814BF6">
        <w:rPr>
          <w:rFonts w:ascii="Book Antiqua" w:hAnsi="Book Antiqua" w:cs="Times New Roman"/>
          <w:color w:val="auto"/>
          <w:sz w:val="24"/>
          <w:szCs w:val="24"/>
        </w:rPr>
        <w:t xml:space="preserve"> </w:t>
      </w:r>
    </w:p>
    <w:p w14:paraId="7902D230" w14:textId="77777777" w:rsidR="00E96A0C" w:rsidRPr="008447B5" w:rsidRDefault="008447B5" w:rsidP="008447B5">
      <w:pPr>
        <w:spacing w:after="0" w:line="360" w:lineRule="auto"/>
        <w:jc w:val="both"/>
        <w:rPr>
          <w:rFonts w:ascii="Book Antiqua" w:eastAsiaTheme="majorEastAsia" w:hAnsi="Book Antiqua"/>
          <w:b/>
          <w:sz w:val="24"/>
          <w:szCs w:val="24"/>
        </w:rPr>
      </w:pPr>
      <w:r w:rsidRPr="008447B5">
        <w:rPr>
          <w:rFonts w:ascii="Book Antiqua" w:hAnsi="Book Antiqua" w:cs="Times New Roman"/>
          <w:b/>
          <w:sz w:val="24"/>
          <w:szCs w:val="24"/>
        </w:rPr>
        <w:t>RESULTS</w:t>
      </w:r>
    </w:p>
    <w:p w14:paraId="7C46666F" w14:textId="77777777" w:rsidR="00392B7E" w:rsidRPr="00814BF6" w:rsidRDefault="009A6D42" w:rsidP="00814BF6">
      <w:pPr>
        <w:spacing w:after="0" w:line="360" w:lineRule="auto"/>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During</w:t>
      </w:r>
      <w:r w:rsidR="00D77C94" w:rsidRPr="00814BF6">
        <w:rPr>
          <w:rFonts w:ascii="Book Antiqua" w:eastAsiaTheme="majorEastAsia" w:hAnsi="Book Antiqua" w:cs="Times New Roman"/>
          <w:bCs/>
          <w:sz w:val="24"/>
          <w:szCs w:val="24"/>
        </w:rPr>
        <w:t xml:space="preserve"> the study period, </w:t>
      </w:r>
      <w:r w:rsidR="00D469AA" w:rsidRPr="00814BF6">
        <w:rPr>
          <w:rFonts w:ascii="Book Antiqua" w:eastAsiaTheme="majorEastAsia" w:hAnsi="Book Antiqua" w:cs="Times New Roman"/>
          <w:bCs/>
          <w:sz w:val="24"/>
          <w:szCs w:val="24"/>
        </w:rPr>
        <w:t>57 patients underwent neoadjuvant chemoradiation</w:t>
      </w:r>
      <w:r w:rsidR="00D77C94" w:rsidRPr="00814BF6">
        <w:rPr>
          <w:rFonts w:ascii="Book Antiqua" w:eastAsiaTheme="majorEastAsia" w:hAnsi="Book Antiqua" w:cs="Times New Roman"/>
          <w:bCs/>
          <w:sz w:val="24"/>
          <w:szCs w:val="24"/>
        </w:rPr>
        <w:t xml:space="preserve"> </w:t>
      </w:r>
      <w:r w:rsidR="00D469AA" w:rsidRPr="00814BF6">
        <w:rPr>
          <w:rFonts w:ascii="Book Antiqua" w:eastAsiaTheme="majorEastAsia" w:hAnsi="Book Antiqua" w:cs="Times New Roman"/>
          <w:bCs/>
          <w:sz w:val="24"/>
          <w:szCs w:val="24"/>
        </w:rPr>
        <w:t xml:space="preserve">therapy followed by </w:t>
      </w:r>
      <w:r w:rsidR="006853B4" w:rsidRPr="00814BF6">
        <w:rPr>
          <w:rFonts w:ascii="Book Antiqua" w:eastAsiaTheme="majorEastAsia" w:hAnsi="Book Antiqua" w:cs="Times New Roman"/>
          <w:bCs/>
          <w:sz w:val="24"/>
          <w:szCs w:val="24"/>
        </w:rPr>
        <w:t>esophagostomy</w:t>
      </w:r>
      <w:r w:rsidR="00D37044"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D469AA" w:rsidRPr="00814BF6">
        <w:rPr>
          <w:rFonts w:ascii="Book Antiqua" w:eastAsiaTheme="majorEastAsia" w:hAnsi="Book Antiqua" w:cs="Times New Roman"/>
          <w:bCs/>
          <w:sz w:val="24"/>
          <w:szCs w:val="24"/>
        </w:rPr>
        <w:t xml:space="preserve">After </w:t>
      </w:r>
      <w:r w:rsidR="00F01EFE" w:rsidRPr="00814BF6">
        <w:rPr>
          <w:rFonts w:ascii="Book Antiqua" w:eastAsiaTheme="majorEastAsia" w:hAnsi="Book Antiqua" w:cs="Times New Roman"/>
          <w:bCs/>
          <w:sz w:val="24"/>
          <w:szCs w:val="24"/>
        </w:rPr>
        <w:t>exclusion</w:t>
      </w:r>
      <w:r w:rsidR="00D469AA" w:rsidRPr="00814BF6">
        <w:rPr>
          <w:rFonts w:ascii="Book Antiqua" w:eastAsiaTheme="majorEastAsia" w:hAnsi="Book Antiqua" w:cs="Times New Roman"/>
          <w:bCs/>
          <w:sz w:val="24"/>
          <w:szCs w:val="24"/>
        </w:rPr>
        <w:t xml:space="preserve"> of patients with insufficient data, </w:t>
      </w:r>
      <w:r w:rsidR="00D77C94" w:rsidRPr="00814BF6">
        <w:rPr>
          <w:rFonts w:ascii="Book Antiqua" w:eastAsiaTheme="majorEastAsia" w:hAnsi="Book Antiqua" w:cs="Times New Roman"/>
          <w:bCs/>
          <w:sz w:val="24"/>
          <w:szCs w:val="24"/>
        </w:rPr>
        <w:t xml:space="preserve">those who did </w:t>
      </w:r>
      <w:r w:rsidR="00D469AA" w:rsidRPr="00814BF6">
        <w:rPr>
          <w:rFonts w:ascii="Book Antiqua" w:eastAsiaTheme="majorEastAsia" w:hAnsi="Book Antiqua" w:cs="Times New Roman"/>
          <w:bCs/>
          <w:sz w:val="24"/>
          <w:szCs w:val="24"/>
        </w:rPr>
        <w:t>not meet study criteria</w:t>
      </w:r>
      <w:r w:rsidR="00D77C94" w:rsidRPr="00814BF6">
        <w:rPr>
          <w:rFonts w:ascii="Book Antiqua" w:eastAsiaTheme="majorEastAsia" w:hAnsi="Book Antiqua" w:cs="Times New Roman"/>
          <w:bCs/>
          <w:sz w:val="24"/>
          <w:szCs w:val="24"/>
        </w:rPr>
        <w:t>,</w:t>
      </w:r>
      <w:r w:rsidR="00D469AA"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and those without</w:t>
      </w:r>
      <w:r w:rsidR="00D469AA" w:rsidRPr="00814BF6">
        <w:rPr>
          <w:rFonts w:ascii="Book Antiqua" w:eastAsiaTheme="majorEastAsia" w:hAnsi="Book Antiqua" w:cs="Times New Roman"/>
          <w:bCs/>
          <w:sz w:val="24"/>
          <w:szCs w:val="24"/>
        </w:rPr>
        <w:t xml:space="preserve"> </w:t>
      </w:r>
      <w:r w:rsidR="00D77C94" w:rsidRPr="00814BF6">
        <w:rPr>
          <w:rFonts w:ascii="Book Antiqua" w:eastAsiaTheme="majorEastAsia" w:hAnsi="Book Antiqua" w:cs="Times New Roman"/>
          <w:bCs/>
          <w:sz w:val="24"/>
          <w:szCs w:val="24"/>
        </w:rPr>
        <w:t xml:space="preserve">adequate </w:t>
      </w:r>
      <w:r w:rsidR="00D469AA" w:rsidRPr="00814BF6">
        <w:rPr>
          <w:rFonts w:ascii="Book Antiqua" w:eastAsiaTheme="majorEastAsia" w:hAnsi="Book Antiqua" w:cs="Times New Roman"/>
          <w:bCs/>
          <w:sz w:val="24"/>
          <w:szCs w:val="24"/>
        </w:rPr>
        <w:t>follow</w:t>
      </w:r>
      <w:r w:rsidR="00FC0F20">
        <w:rPr>
          <w:rFonts w:ascii="Book Antiqua" w:eastAsiaTheme="majorEastAsia" w:hAnsi="Book Antiqua" w:cs="Times New Roman" w:hint="eastAsia"/>
          <w:bCs/>
          <w:sz w:val="24"/>
          <w:szCs w:val="24"/>
          <w:lang w:eastAsia="zh-CN"/>
        </w:rPr>
        <w:t>-</w:t>
      </w:r>
      <w:r w:rsidR="00D469AA" w:rsidRPr="00814BF6">
        <w:rPr>
          <w:rFonts w:ascii="Book Antiqua" w:eastAsiaTheme="majorEastAsia" w:hAnsi="Book Antiqua" w:cs="Times New Roman"/>
          <w:bCs/>
          <w:sz w:val="24"/>
          <w:szCs w:val="24"/>
        </w:rPr>
        <w:t>up</w:t>
      </w:r>
      <w:r w:rsidR="00103234" w:rsidRPr="00814BF6">
        <w:rPr>
          <w:rFonts w:ascii="Book Antiqua" w:eastAsiaTheme="majorEastAsia" w:hAnsi="Book Antiqua" w:cs="Times New Roman"/>
          <w:bCs/>
          <w:sz w:val="24"/>
          <w:szCs w:val="24"/>
        </w:rPr>
        <w:t xml:space="preserve"> (</w:t>
      </w:r>
      <w:r w:rsidR="00FE3086" w:rsidRPr="00286EF5">
        <w:rPr>
          <w:rFonts w:ascii="Book Antiqua" w:eastAsiaTheme="majorEastAsia" w:hAnsi="Book Antiqua" w:cs="Times New Roman"/>
          <w:bCs/>
          <w:i/>
          <w:sz w:val="24"/>
          <w:szCs w:val="24"/>
        </w:rPr>
        <w:t>n</w:t>
      </w:r>
      <w:r w:rsidR="00FE3086" w:rsidRPr="00814BF6">
        <w:rPr>
          <w:rFonts w:ascii="Book Antiqua" w:eastAsiaTheme="majorEastAsia" w:hAnsi="Book Antiqua" w:cs="Times New Roman"/>
          <w:bCs/>
          <w:sz w:val="24"/>
          <w:szCs w:val="24"/>
        </w:rPr>
        <w:t xml:space="preserve"> = </w:t>
      </w:r>
      <w:r w:rsidR="00103234" w:rsidRPr="00814BF6">
        <w:rPr>
          <w:rFonts w:ascii="Book Antiqua" w:eastAsiaTheme="majorEastAsia" w:hAnsi="Book Antiqua" w:cs="Times New Roman"/>
          <w:bCs/>
          <w:sz w:val="24"/>
          <w:szCs w:val="24"/>
        </w:rPr>
        <w:t>22)</w:t>
      </w:r>
      <w:r w:rsidR="00D469AA" w:rsidRPr="00814BF6">
        <w:rPr>
          <w:rFonts w:ascii="Book Antiqua" w:eastAsiaTheme="majorEastAsia" w:hAnsi="Book Antiqua" w:cs="Times New Roman"/>
          <w:bCs/>
          <w:sz w:val="24"/>
          <w:szCs w:val="24"/>
        </w:rPr>
        <w:t xml:space="preserve">, </w:t>
      </w:r>
      <w:r w:rsidR="00FE3086" w:rsidRPr="00814BF6">
        <w:rPr>
          <w:rFonts w:ascii="Book Antiqua" w:eastAsiaTheme="majorEastAsia" w:hAnsi="Book Antiqua" w:cs="Times New Roman"/>
          <w:bCs/>
          <w:sz w:val="24"/>
          <w:szCs w:val="24"/>
        </w:rPr>
        <w:t xml:space="preserve">the records of </w:t>
      </w:r>
      <w:r w:rsidR="00392B7E" w:rsidRPr="00814BF6">
        <w:rPr>
          <w:rFonts w:ascii="Book Antiqua" w:eastAsiaTheme="majorEastAsia" w:hAnsi="Book Antiqua" w:cs="Times New Roman"/>
          <w:bCs/>
          <w:sz w:val="24"/>
          <w:szCs w:val="24"/>
        </w:rPr>
        <w:t xml:space="preserve">35 </w:t>
      </w:r>
      <w:r w:rsidR="00D155FF" w:rsidRPr="00814BF6">
        <w:rPr>
          <w:rFonts w:ascii="Book Antiqua" w:eastAsiaTheme="majorEastAsia" w:hAnsi="Book Antiqua" w:cs="Times New Roman"/>
          <w:bCs/>
          <w:sz w:val="24"/>
          <w:szCs w:val="24"/>
        </w:rPr>
        <w:t>patients were reviewed</w:t>
      </w:r>
      <w:r w:rsidR="00392B7E" w:rsidRPr="00814BF6">
        <w:rPr>
          <w:rFonts w:ascii="Book Antiqua" w:eastAsiaTheme="majorEastAsia" w:hAnsi="Book Antiqua" w:cs="Times New Roman"/>
          <w:bCs/>
          <w:sz w:val="24"/>
          <w:szCs w:val="24"/>
        </w:rPr>
        <w:t xml:space="preserve">. </w:t>
      </w:r>
      <w:r w:rsidR="00D155FF" w:rsidRPr="00814BF6">
        <w:rPr>
          <w:rFonts w:ascii="Book Antiqua" w:eastAsiaTheme="majorEastAsia" w:hAnsi="Book Antiqua" w:cs="Times New Roman"/>
          <w:bCs/>
          <w:sz w:val="24"/>
          <w:szCs w:val="24"/>
        </w:rPr>
        <w:t>Of the</w:t>
      </w:r>
      <w:r w:rsidR="00392B7E" w:rsidRPr="00814BF6">
        <w:rPr>
          <w:rFonts w:ascii="Book Antiqua" w:eastAsiaTheme="majorEastAsia" w:hAnsi="Book Antiqua" w:cs="Times New Roman"/>
          <w:bCs/>
          <w:sz w:val="24"/>
          <w:szCs w:val="24"/>
        </w:rPr>
        <w:t xml:space="preserve"> 35, </w:t>
      </w:r>
      <w:r w:rsidR="00FE3086" w:rsidRPr="00814BF6">
        <w:rPr>
          <w:rFonts w:ascii="Book Antiqua" w:eastAsiaTheme="majorEastAsia" w:hAnsi="Book Antiqua" w:cs="Times New Roman"/>
          <w:bCs/>
          <w:sz w:val="24"/>
          <w:szCs w:val="24"/>
        </w:rPr>
        <w:t>19</w:t>
      </w:r>
      <w:r w:rsidR="00392B7E" w:rsidRPr="00814BF6">
        <w:rPr>
          <w:rFonts w:ascii="Book Antiqua" w:eastAsiaTheme="majorEastAsia" w:hAnsi="Book Antiqua" w:cs="Times New Roman"/>
          <w:bCs/>
          <w:sz w:val="24"/>
          <w:szCs w:val="24"/>
        </w:rPr>
        <w:t xml:space="preserve"> patients were eligible and enrolled in the IMRT-SIB treatment protocol</w:t>
      </w:r>
      <w:r w:rsidR="00FE3086" w:rsidRPr="00814BF6">
        <w:rPr>
          <w:rFonts w:ascii="Book Antiqua" w:eastAsiaTheme="majorEastAsia" w:hAnsi="Book Antiqua" w:cs="Times New Roman"/>
          <w:bCs/>
          <w:sz w:val="24"/>
          <w:szCs w:val="24"/>
        </w:rPr>
        <w:t xml:space="preserve"> and two</w:t>
      </w:r>
      <w:r w:rsidR="00392B7E" w:rsidRPr="00814BF6">
        <w:rPr>
          <w:rFonts w:ascii="Book Antiqua" w:eastAsiaTheme="majorEastAsia" w:hAnsi="Book Antiqua" w:cs="Times New Roman"/>
          <w:bCs/>
          <w:sz w:val="24"/>
          <w:szCs w:val="24"/>
        </w:rPr>
        <w:t xml:space="preserve"> patients with</w:t>
      </w:r>
      <w:r w:rsidR="00FE3086" w:rsidRPr="00814BF6">
        <w:rPr>
          <w:rFonts w:ascii="Book Antiqua" w:eastAsiaTheme="majorEastAsia" w:hAnsi="Book Antiqua" w:cs="Times New Roman"/>
          <w:bCs/>
          <w:sz w:val="24"/>
          <w:szCs w:val="24"/>
        </w:rPr>
        <w:t>out</w:t>
      </w:r>
      <w:r w:rsidR="00392B7E" w:rsidRPr="00814BF6">
        <w:rPr>
          <w:rFonts w:ascii="Book Antiqua" w:eastAsiaTheme="majorEastAsia" w:hAnsi="Book Antiqua" w:cs="Times New Roman"/>
          <w:bCs/>
          <w:sz w:val="24"/>
          <w:szCs w:val="24"/>
        </w:rPr>
        <w:t xml:space="preserve"> </w:t>
      </w:r>
      <w:r w:rsidR="00FE3086" w:rsidRPr="00814BF6">
        <w:rPr>
          <w:rFonts w:ascii="Book Antiqua" w:eastAsiaTheme="majorEastAsia" w:hAnsi="Book Antiqua" w:cs="Times New Roman"/>
          <w:bCs/>
          <w:sz w:val="24"/>
          <w:szCs w:val="24"/>
        </w:rPr>
        <w:t xml:space="preserve">histological identification of </w:t>
      </w:r>
      <w:r w:rsidR="00392B7E" w:rsidRPr="00814BF6">
        <w:rPr>
          <w:rFonts w:ascii="Book Antiqua" w:eastAsiaTheme="majorEastAsia" w:hAnsi="Book Antiqua" w:cs="Times New Roman"/>
          <w:bCs/>
          <w:sz w:val="24"/>
          <w:szCs w:val="24"/>
        </w:rPr>
        <w:t xml:space="preserve">adenocarcinoma were excluded from this analysis. </w:t>
      </w:r>
      <w:r w:rsidR="00FE3086" w:rsidRPr="00814BF6">
        <w:rPr>
          <w:rFonts w:ascii="Book Antiqua" w:eastAsiaTheme="majorEastAsia" w:hAnsi="Book Antiqua" w:cs="Times New Roman"/>
          <w:bCs/>
          <w:sz w:val="24"/>
          <w:szCs w:val="24"/>
        </w:rPr>
        <w:t>Thus, 17</w:t>
      </w:r>
      <w:r w:rsidR="00392B7E" w:rsidRPr="00814BF6">
        <w:rPr>
          <w:rFonts w:ascii="Book Antiqua" w:eastAsiaTheme="majorEastAsia" w:hAnsi="Book Antiqua" w:cs="Times New Roman"/>
          <w:bCs/>
          <w:sz w:val="24"/>
          <w:szCs w:val="24"/>
        </w:rPr>
        <w:t xml:space="preserve"> patients completed the IMRT-SIB treatment and were included in this study. </w:t>
      </w:r>
      <w:r w:rsidR="00103234" w:rsidRPr="00814BF6">
        <w:rPr>
          <w:rFonts w:ascii="Book Antiqua" w:eastAsiaTheme="majorEastAsia" w:hAnsi="Book Antiqua" w:cs="Times New Roman"/>
          <w:bCs/>
          <w:sz w:val="24"/>
          <w:szCs w:val="24"/>
        </w:rPr>
        <w:t>There were 15 m</w:t>
      </w:r>
      <w:r w:rsidR="00FE3086" w:rsidRPr="00814BF6">
        <w:rPr>
          <w:rFonts w:ascii="Book Antiqua" w:eastAsiaTheme="majorEastAsia" w:hAnsi="Book Antiqua" w:cs="Times New Roman"/>
          <w:bCs/>
          <w:sz w:val="24"/>
          <w:szCs w:val="24"/>
        </w:rPr>
        <w:t>en and two women</w:t>
      </w:r>
      <w:r w:rsidRPr="00814BF6">
        <w:rPr>
          <w:rFonts w:ascii="Book Antiqua" w:eastAsiaTheme="majorEastAsia" w:hAnsi="Book Antiqua" w:cs="Times New Roman"/>
          <w:bCs/>
          <w:sz w:val="24"/>
          <w:szCs w:val="24"/>
        </w:rPr>
        <w:t xml:space="preserve"> and the </w:t>
      </w:r>
      <w:r w:rsidR="00EE203F" w:rsidRPr="00814BF6">
        <w:rPr>
          <w:rFonts w:ascii="Book Antiqua" w:eastAsiaTheme="majorEastAsia" w:hAnsi="Book Antiqua" w:cs="Times New Roman"/>
          <w:bCs/>
          <w:sz w:val="24"/>
          <w:szCs w:val="24"/>
        </w:rPr>
        <w:t xml:space="preserve">mean </w:t>
      </w:r>
      <w:r w:rsidR="00351EA1" w:rsidRPr="00814BF6">
        <w:rPr>
          <w:rFonts w:ascii="Book Antiqua" w:eastAsiaTheme="majorEastAsia" w:hAnsi="Book Antiqua" w:cs="Times New Roman"/>
          <w:bCs/>
          <w:sz w:val="24"/>
          <w:szCs w:val="24"/>
        </w:rPr>
        <w:t>postoperative</w:t>
      </w:r>
      <w:r w:rsidR="00103234" w:rsidRPr="00814BF6">
        <w:rPr>
          <w:rFonts w:ascii="Book Antiqua" w:eastAsiaTheme="majorEastAsia" w:hAnsi="Book Antiqua" w:cs="Times New Roman"/>
          <w:bCs/>
          <w:sz w:val="24"/>
          <w:szCs w:val="24"/>
        </w:rPr>
        <w:t xml:space="preserve"> follow-up was 2</w:t>
      </w:r>
      <w:r w:rsidR="00F01EFE" w:rsidRPr="00814BF6">
        <w:rPr>
          <w:rFonts w:ascii="Book Antiqua" w:eastAsiaTheme="majorEastAsia" w:hAnsi="Book Antiqua" w:cs="Times New Roman"/>
          <w:bCs/>
          <w:sz w:val="24"/>
          <w:szCs w:val="24"/>
        </w:rPr>
        <w:t>.</w:t>
      </w:r>
      <w:r w:rsidR="00103234" w:rsidRPr="00814BF6">
        <w:rPr>
          <w:rFonts w:ascii="Book Antiqua" w:eastAsiaTheme="majorEastAsia" w:hAnsi="Book Antiqua" w:cs="Times New Roman"/>
          <w:bCs/>
          <w:sz w:val="24"/>
          <w:szCs w:val="24"/>
        </w:rPr>
        <w:t>5 years (range from 0.22</w:t>
      </w:r>
      <w:r w:rsidR="00286EF5">
        <w:rPr>
          <w:rFonts w:ascii="Book Antiqua" w:eastAsiaTheme="majorEastAsia" w:hAnsi="Book Antiqua" w:cs="Times New Roman" w:hint="eastAsia"/>
          <w:bCs/>
          <w:sz w:val="24"/>
          <w:szCs w:val="24"/>
          <w:lang w:eastAsia="zh-CN"/>
        </w:rPr>
        <w:t>-</w:t>
      </w:r>
      <w:r w:rsidR="00103234" w:rsidRPr="00814BF6">
        <w:rPr>
          <w:rFonts w:ascii="Book Antiqua" w:eastAsiaTheme="majorEastAsia" w:hAnsi="Book Antiqua" w:cs="Times New Roman"/>
          <w:bCs/>
          <w:sz w:val="24"/>
          <w:szCs w:val="24"/>
        </w:rPr>
        <w:t xml:space="preserve">6.5). </w:t>
      </w:r>
    </w:p>
    <w:p w14:paraId="33D498DA" w14:textId="77777777" w:rsidR="007A54F6" w:rsidRPr="00814BF6" w:rsidRDefault="007A54F6" w:rsidP="00286EF5">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All staging was performed before any treatment</w:t>
      </w:r>
      <w:r w:rsidR="001E3F79" w:rsidRPr="00814BF6">
        <w:rPr>
          <w:rFonts w:ascii="Book Antiqua" w:eastAsiaTheme="majorEastAsia" w:hAnsi="Book Antiqua" w:cs="Times New Roman"/>
          <w:bCs/>
          <w:sz w:val="24"/>
          <w:szCs w:val="24"/>
        </w:rPr>
        <w:t xml:space="preserve"> began</w:t>
      </w:r>
      <w:r w:rsidRPr="00814BF6">
        <w:rPr>
          <w:rFonts w:ascii="Book Antiqua" w:eastAsiaTheme="majorEastAsia" w:hAnsi="Book Antiqua" w:cs="Times New Roman"/>
          <w:bCs/>
          <w:sz w:val="24"/>
          <w:szCs w:val="24"/>
        </w:rPr>
        <w:t xml:space="preserve">. </w:t>
      </w:r>
      <w:r w:rsidR="001E3F79" w:rsidRPr="00814BF6">
        <w:rPr>
          <w:rFonts w:ascii="Book Antiqua" w:eastAsiaTheme="majorEastAsia" w:hAnsi="Book Antiqua" w:cs="Times New Roman"/>
          <w:bCs/>
          <w:sz w:val="24"/>
          <w:szCs w:val="24"/>
        </w:rPr>
        <w:t>The m</w:t>
      </w:r>
      <w:r w:rsidRPr="00814BF6">
        <w:rPr>
          <w:rFonts w:ascii="Book Antiqua" w:eastAsiaTheme="majorEastAsia" w:hAnsi="Book Antiqua" w:cs="Times New Roman"/>
          <w:bCs/>
          <w:sz w:val="24"/>
          <w:szCs w:val="24"/>
        </w:rPr>
        <w:t>ean age at time of diagnosis was 65 years (range, 45</w:t>
      </w:r>
      <w:r w:rsidR="00286EF5">
        <w:rPr>
          <w:rFonts w:ascii="Book Antiqua" w:eastAsiaTheme="majorEastAsia" w:hAnsi="Book Antiqua" w:cs="Times New Roman" w:hint="eastAsia"/>
          <w:bCs/>
          <w:sz w:val="24"/>
          <w:szCs w:val="24"/>
          <w:lang w:eastAsia="zh-CN"/>
        </w:rPr>
        <w:t>-</w:t>
      </w:r>
      <w:r w:rsidRPr="00814BF6">
        <w:rPr>
          <w:rFonts w:ascii="Book Antiqua" w:eastAsiaTheme="majorEastAsia" w:hAnsi="Book Antiqua" w:cs="Times New Roman"/>
          <w:bCs/>
          <w:sz w:val="24"/>
          <w:szCs w:val="24"/>
        </w:rPr>
        <w:t>76 years)</w:t>
      </w:r>
      <w:r w:rsidR="00342BB3" w:rsidRPr="00814BF6">
        <w:rPr>
          <w:rFonts w:ascii="Book Antiqua" w:eastAsiaTheme="majorEastAsia" w:hAnsi="Book Antiqua" w:cs="Times New Roman"/>
          <w:bCs/>
          <w:sz w:val="24"/>
          <w:szCs w:val="24"/>
        </w:rPr>
        <w:t xml:space="preserve"> and 15 patients were men</w:t>
      </w:r>
      <w:r w:rsidRPr="00814BF6">
        <w:rPr>
          <w:rFonts w:ascii="Book Antiqua" w:eastAsiaTheme="majorEastAsia" w:hAnsi="Book Antiqua" w:cs="Times New Roman"/>
          <w:bCs/>
          <w:sz w:val="24"/>
          <w:szCs w:val="24"/>
        </w:rPr>
        <w:t xml:space="preserve">. Of all patients, 88% had </w:t>
      </w:r>
      <w:proofErr w:type="gramStart"/>
      <w:r w:rsidRPr="00814BF6">
        <w:rPr>
          <w:rFonts w:ascii="Book Antiqua" w:eastAsiaTheme="majorEastAsia" w:hAnsi="Book Antiqua" w:cs="Times New Roman"/>
          <w:bCs/>
          <w:sz w:val="24"/>
          <w:szCs w:val="24"/>
        </w:rPr>
        <w:t>a</w:t>
      </w:r>
      <w:proofErr w:type="gramEnd"/>
      <w:r w:rsidRPr="00814BF6">
        <w:rPr>
          <w:rFonts w:ascii="Book Antiqua" w:eastAsiaTheme="majorEastAsia" w:hAnsi="Book Antiqua" w:cs="Times New Roman"/>
          <w:bCs/>
          <w:sz w:val="24"/>
          <w:szCs w:val="24"/>
        </w:rPr>
        <w:t xml:space="preserve"> uT3 tumor. A microscopically radical (R0) resection was achieved in 94% of patients. </w:t>
      </w:r>
      <w:r w:rsidR="00342BB3" w:rsidRPr="00814BF6">
        <w:rPr>
          <w:rFonts w:ascii="Book Antiqua" w:eastAsiaTheme="majorEastAsia" w:hAnsi="Book Antiqua" w:cs="Times New Roman"/>
          <w:bCs/>
          <w:sz w:val="24"/>
          <w:szCs w:val="24"/>
        </w:rPr>
        <w:t>One</w:t>
      </w:r>
      <w:r w:rsidRPr="00814BF6">
        <w:rPr>
          <w:rFonts w:ascii="Book Antiqua" w:eastAsiaTheme="majorEastAsia" w:hAnsi="Book Antiqua" w:cs="Times New Roman"/>
          <w:bCs/>
          <w:sz w:val="24"/>
          <w:szCs w:val="24"/>
        </w:rPr>
        <w:t xml:space="preserve"> patient </w:t>
      </w:r>
      <w:r w:rsidR="00342BB3" w:rsidRPr="00814BF6">
        <w:rPr>
          <w:rFonts w:ascii="Book Antiqua" w:eastAsiaTheme="majorEastAsia" w:hAnsi="Book Antiqua" w:cs="Times New Roman"/>
          <w:bCs/>
          <w:sz w:val="24"/>
          <w:szCs w:val="24"/>
        </w:rPr>
        <w:t>had</w:t>
      </w:r>
      <w:r w:rsidRPr="00814BF6">
        <w:rPr>
          <w:rFonts w:ascii="Book Antiqua" w:eastAsiaTheme="majorEastAsia" w:hAnsi="Book Antiqua" w:cs="Times New Roman"/>
          <w:bCs/>
          <w:sz w:val="24"/>
          <w:szCs w:val="24"/>
        </w:rPr>
        <w:t xml:space="preserve"> </w:t>
      </w:r>
      <w:r w:rsidR="001E3F79" w:rsidRPr="00814BF6">
        <w:rPr>
          <w:rFonts w:ascii="Book Antiqua" w:eastAsiaTheme="majorEastAsia" w:hAnsi="Book Antiqua" w:cs="Times New Roman"/>
          <w:bCs/>
          <w:sz w:val="24"/>
          <w:szCs w:val="24"/>
        </w:rPr>
        <w:t>a</w:t>
      </w:r>
      <w:r w:rsidR="00342BB3" w:rsidRPr="00814BF6">
        <w:rPr>
          <w:rFonts w:ascii="Book Antiqua" w:eastAsiaTheme="majorEastAsia" w:hAnsi="Book Antiqua" w:cs="Times New Roman"/>
          <w:bCs/>
          <w:sz w:val="24"/>
          <w:szCs w:val="24"/>
        </w:rPr>
        <w:t>n</w:t>
      </w:r>
      <w:r w:rsidR="001E3F79"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 xml:space="preserve">R1 </w:t>
      </w:r>
      <w:r w:rsidR="001E3F79" w:rsidRPr="00814BF6">
        <w:rPr>
          <w:rFonts w:ascii="Book Antiqua" w:eastAsiaTheme="majorEastAsia" w:hAnsi="Book Antiqua" w:cs="Times New Roman"/>
          <w:bCs/>
          <w:sz w:val="24"/>
          <w:szCs w:val="24"/>
        </w:rPr>
        <w:t xml:space="preserve">resection </w:t>
      </w:r>
      <w:r w:rsidRPr="00814BF6">
        <w:rPr>
          <w:rFonts w:ascii="Book Antiqua" w:eastAsiaTheme="majorEastAsia" w:hAnsi="Book Antiqua" w:cs="Times New Roman"/>
          <w:bCs/>
          <w:sz w:val="24"/>
          <w:szCs w:val="24"/>
        </w:rPr>
        <w:t>due to persistent disease in the gastric cardia.</w:t>
      </w:r>
      <w:r w:rsidR="00F91E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Total pathologic complete response ypT0No is 47%.</w:t>
      </w:r>
      <w:r w:rsidR="00F91E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The node</w:t>
      </w:r>
      <w:r w:rsidR="001E3F79"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negative patient after neoadjuvant chemoRT is 82%</w:t>
      </w:r>
      <w:r w:rsidR="002A3385"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(Table 2). Table 2 shows the pathologic staging and effects of SIB</w:t>
      </w:r>
      <w:r w:rsidR="001E3F79"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based neoadjuvant CRT. The pathologic stages of cancer were T0, T1, T2, T3</w:t>
      </w:r>
      <w:r w:rsidR="001E3F79"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 xml:space="preserve"> and T4</w:t>
      </w:r>
      <w:r w:rsidR="00F91E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in 8 (47%), 4 (23%), 3 (18%</w:t>
      </w:r>
      <w:r w:rsidR="001E3F79"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 xml:space="preserve"> 2 (12%)</w:t>
      </w:r>
      <w:r w:rsidR="00196531"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 xml:space="preserve"> and 0 (0%), respectively. A comparison of clinical and pathologic stages</w:t>
      </w:r>
      <w:r w:rsidRPr="00814BF6">
        <w:rPr>
          <w:rFonts w:ascii="Book Antiqua" w:hAnsi="Book Antiqua" w:cs="Times New Roman"/>
          <w:sz w:val="24"/>
          <w:szCs w:val="24"/>
        </w:rPr>
        <w:t xml:space="preserve"> </w:t>
      </w:r>
      <w:r w:rsidRPr="00814BF6">
        <w:rPr>
          <w:rFonts w:ascii="Book Antiqua" w:eastAsiaTheme="majorEastAsia" w:hAnsi="Book Antiqua" w:cs="Times New Roman"/>
          <w:bCs/>
          <w:sz w:val="24"/>
          <w:szCs w:val="24"/>
        </w:rPr>
        <w:t>revealed that SIB</w:t>
      </w:r>
      <w:r w:rsidR="001E3F79"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 xml:space="preserve">based neoadjuvant CRT resulted in down-staging </w:t>
      </w:r>
      <w:r w:rsidR="00342BB3" w:rsidRPr="00814BF6">
        <w:rPr>
          <w:rFonts w:ascii="Book Antiqua" w:eastAsiaTheme="majorEastAsia" w:hAnsi="Book Antiqua" w:cs="Times New Roman"/>
          <w:bCs/>
          <w:sz w:val="24"/>
          <w:szCs w:val="24"/>
        </w:rPr>
        <w:t xml:space="preserve">of </w:t>
      </w:r>
      <w:r w:rsidRPr="00814BF6">
        <w:rPr>
          <w:rFonts w:ascii="Book Antiqua" w:eastAsiaTheme="majorEastAsia" w:hAnsi="Book Antiqua" w:cs="Times New Roman"/>
          <w:bCs/>
          <w:sz w:val="24"/>
          <w:szCs w:val="24"/>
        </w:rPr>
        <w:t>either the T or the N status of 1</w:t>
      </w:r>
      <w:r w:rsidR="0050075A" w:rsidRPr="00814BF6">
        <w:rPr>
          <w:rFonts w:ascii="Book Antiqua" w:eastAsiaTheme="majorEastAsia" w:hAnsi="Book Antiqua" w:cs="Times New Roman"/>
          <w:bCs/>
          <w:sz w:val="24"/>
          <w:szCs w:val="24"/>
        </w:rPr>
        <w:t>3</w:t>
      </w:r>
      <w:r w:rsidRPr="00814BF6">
        <w:rPr>
          <w:rFonts w:ascii="Book Antiqua" w:eastAsiaTheme="majorEastAsia" w:hAnsi="Book Antiqua" w:cs="Times New Roman"/>
          <w:bCs/>
          <w:sz w:val="24"/>
          <w:szCs w:val="24"/>
        </w:rPr>
        <w:t xml:space="preserve"> (</w:t>
      </w:r>
      <w:r w:rsidR="0050075A" w:rsidRPr="00814BF6">
        <w:rPr>
          <w:rFonts w:ascii="Book Antiqua" w:eastAsiaTheme="majorEastAsia" w:hAnsi="Book Antiqua" w:cs="Times New Roman"/>
          <w:bCs/>
          <w:sz w:val="24"/>
          <w:szCs w:val="24"/>
        </w:rPr>
        <w:t>76.5</w:t>
      </w:r>
      <w:r w:rsidRPr="00814BF6">
        <w:rPr>
          <w:rFonts w:ascii="Book Antiqua" w:eastAsiaTheme="majorEastAsia" w:hAnsi="Book Antiqua" w:cs="Times New Roman"/>
          <w:bCs/>
          <w:sz w:val="24"/>
          <w:szCs w:val="24"/>
        </w:rPr>
        <w:t xml:space="preserve">%) patients. </w:t>
      </w:r>
    </w:p>
    <w:p w14:paraId="7DF8A5A7" w14:textId="77777777" w:rsidR="00F21A18" w:rsidRPr="00814BF6" w:rsidRDefault="00F21A18" w:rsidP="00286EF5">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Hematologic toxicity from neoadjuvant chemo</w:t>
      </w:r>
      <w:r w:rsidR="006853B4" w:rsidRPr="00814BF6">
        <w:rPr>
          <w:rFonts w:ascii="Book Antiqua" w:eastAsiaTheme="majorEastAsia" w:hAnsi="Book Antiqua" w:cs="Times New Roman"/>
          <w:bCs/>
          <w:sz w:val="24"/>
          <w:szCs w:val="24"/>
        </w:rPr>
        <w:t>r</w:t>
      </w:r>
      <w:r w:rsidRPr="00814BF6">
        <w:rPr>
          <w:rFonts w:ascii="Book Antiqua" w:eastAsiaTheme="majorEastAsia" w:hAnsi="Book Antiqua" w:cs="Times New Roman"/>
          <w:bCs/>
          <w:sz w:val="24"/>
          <w:szCs w:val="24"/>
        </w:rPr>
        <w:t>adiat</w:t>
      </w:r>
      <w:r w:rsidR="001E3F79" w:rsidRPr="00814BF6">
        <w:rPr>
          <w:rFonts w:ascii="Book Antiqua" w:eastAsiaTheme="majorEastAsia" w:hAnsi="Book Antiqua" w:cs="Times New Roman"/>
          <w:bCs/>
          <w:sz w:val="24"/>
          <w:szCs w:val="24"/>
        </w:rPr>
        <w:t>i</w:t>
      </w:r>
      <w:r w:rsidRPr="00814BF6">
        <w:rPr>
          <w:rFonts w:ascii="Book Antiqua" w:eastAsiaTheme="majorEastAsia" w:hAnsi="Book Antiqua" w:cs="Times New Roman"/>
          <w:bCs/>
          <w:sz w:val="24"/>
          <w:szCs w:val="24"/>
        </w:rPr>
        <w:t>on with SIB was mild</w:t>
      </w:r>
      <w:r w:rsidR="001E3F79" w:rsidRPr="00814BF6">
        <w:rPr>
          <w:rFonts w:ascii="Book Antiqua" w:eastAsiaTheme="majorEastAsia" w:hAnsi="Book Antiqua" w:cs="Times New Roman"/>
          <w:bCs/>
          <w:sz w:val="24"/>
          <w:szCs w:val="24"/>
        </w:rPr>
        <w:t xml:space="preserve"> </w:t>
      </w:r>
      <w:r w:rsidR="00342BB3" w:rsidRPr="00814BF6">
        <w:rPr>
          <w:rFonts w:ascii="Book Antiqua" w:eastAsiaTheme="majorEastAsia" w:hAnsi="Book Antiqua" w:cs="Times New Roman"/>
          <w:bCs/>
          <w:sz w:val="24"/>
          <w:szCs w:val="24"/>
        </w:rPr>
        <w:t>for all patients</w:t>
      </w:r>
      <w:r w:rsidRPr="00814BF6">
        <w:rPr>
          <w:rFonts w:ascii="Book Antiqua" w:eastAsiaTheme="majorEastAsia" w:hAnsi="Book Antiqua" w:cs="Times New Roman"/>
          <w:bCs/>
          <w:sz w:val="24"/>
          <w:szCs w:val="24"/>
        </w:rPr>
        <w:t xml:space="preserve">. </w:t>
      </w:r>
      <w:r w:rsidR="001E3F79" w:rsidRPr="00814BF6">
        <w:rPr>
          <w:rFonts w:ascii="Book Antiqua" w:eastAsiaTheme="majorEastAsia" w:hAnsi="Book Antiqua" w:cs="Times New Roman"/>
          <w:bCs/>
          <w:sz w:val="24"/>
          <w:szCs w:val="24"/>
        </w:rPr>
        <w:t xml:space="preserve">A </w:t>
      </w:r>
      <w:r w:rsidR="002D3D23" w:rsidRPr="00814BF6">
        <w:rPr>
          <w:rFonts w:ascii="Book Antiqua" w:eastAsiaTheme="majorEastAsia" w:hAnsi="Book Antiqua" w:cs="Times New Roman"/>
          <w:bCs/>
          <w:sz w:val="24"/>
          <w:szCs w:val="24"/>
        </w:rPr>
        <w:t xml:space="preserve">few </w:t>
      </w:r>
      <w:r w:rsidR="001E3F79" w:rsidRPr="00814BF6">
        <w:rPr>
          <w:rFonts w:ascii="Book Antiqua" w:eastAsiaTheme="majorEastAsia" w:hAnsi="Book Antiqua" w:cs="Times New Roman"/>
          <w:bCs/>
          <w:sz w:val="24"/>
          <w:szCs w:val="24"/>
        </w:rPr>
        <w:t xml:space="preserve">patients </w:t>
      </w:r>
      <w:r w:rsidR="002D3D23" w:rsidRPr="00814BF6">
        <w:rPr>
          <w:rFonts w:ascii="Book Antiqua" w:eastAsiaTheme="majorEastAsia" w:hAnsi="Book Antiqua" w:cs="Times New Roman"/>
          <w:bCs/>
          <w:sz w:val="24"/>
          <w:szCs w:val="24"/>
        </w:rPr>
        <w:t xml:space="preserve">received </w:t>
      </w:r>
      <w:r w:rsidR="001E3F79" w:rsidRPr="00814BF6">
        <w:rPr>
          <w:rFonts w:ascii="Book Antiqua" w:eastAsiaTheme="majorEastAsia" w:hAnsi="Book Antiqua" w:cs="Times New Roman"/>
          <w:bCs/>
          <w:sz w:val="24"/>
          <w:szCs w:val="24"/>
        </w:rPr>
        <w:t>g</w:t>
      </w:r>
      <w:r w:rsidRPr="00814BF6">
        <w:rPr>
          <w:rFonts w:ascii="Book Antiqua" w:eastAsiaTheme="majorEastAsia" w:hAnsi="Book Antiqua" w:cs="Times New Roman"/>
          <w:bCs/>
          <w:sz w:val="24"/>
          <w:szCs w:val="24"/>
        </w:rPr>
        <w:t>ranulocyte-colony stimulating factor</w:t>
      </w:r>
      <w:r w:rsidR="002D3D23" w:rsidRPr="00814BF6">
        <w:rPr>
          <w:rFonts w:ascii="Book Antiqua" w:eastAsiaTheme="majorEastAsia" w:hAnsi="Book Antiqua" w:cs="Times New Roman"/>
          <w:bCs/>
          <w:sz w:val="24"/>
          <w:szCs w:val="24"/>
        </w:rPr>
        <w:t xml:space="preserve"> for </w:t>
      </w:r>
      <w:r w:rsidRPr="00814BF6">
        <w:rPr>
          <w:rFonts w:ascii="Book Antiqua" w:eastAsiaTheme="majorEastAsia" w:hAnsi="Book Antiqua" w:cs="Times New Roman"/>
          <w:bCs/>
          <w:sz w:val="24"/>
          <w:szCs w:val="24"/>
        </w:rPr>
        <w:t xml:space="preserve">neutropenia </w:t>
      </w:r>
      <w:r w:rsidR="001E3F79" w:rsidRPr="00814BF6">
        <w:rPr>
          <w:rFonts w:ascii="Book Antiqua" w:eastAsiaTheme="majorEastAsia" w:hAnsi="Book Antiqua" w:cs="Times New Roman"/>
          <w:bCs/>
          <w:sz w:val="24"/>
          <w:szCs w:val="24"/>
        </w:rPr>
        <w:t xml:space="preserve">that </w:t>
      </w:r>
      <w:r w:rsidRPr="00814BF6">
        <w:rPr>
          <w:rFonts w:ascii="Book Antiqua" w:eastAsiaTheme="majorEastAsia" w:hAnsi="Book Antiqua" w:cs="Times New Roman"/>
          <w:bCs/>
          <w:sz w:val="24"/>
          <w:szCs w:val="24"/>
        </w:rPr>
        <w:t>did not occur during CRT. Among non-hematologic adverse effects, esophagitis (</w:t>
      </w:r>
      <w:r w:rsidRPr="00286EF5">
        <w:rPr>
          <w:rFonts w:ascii="Book Antiqua" w:eastAsiaTheme="majorEastAsia" w:hAnsi="Book Antiqua" w:cs="Times New Roman"/>
          <w:bCs/>
          <w:i/>
          <w:sz w:val="24"/>
          <w:szCs w:val="24"/>
        </w:rPr>
        <w:t>n</w:t>
      </w:r>
      <w:r w:rsidRPr="00814BF6">
        <w:rPr>
          <w:rFonts w:ascii="Book Antiqua" w:eastAsiaTheme="majorEastAsia" w:hAnsi="Book Antiqua" w:cs="Times New Roman"/>
          <w:bCs/>
          <w:sz w:val="24"/>
          <w:szCs w:val="24"/>
        </w:rPr>
        <w:t xml:space="preserve"> </w:t>
      </w:r>
      <w:r w:rsidR="002D3D23"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 xml:space="preserve"> 10, </w:t>
      </w:r>
      <w:r w:rsidR="002D3D23" w:rsidRPr="00814BF6">
        <w:rPr>
          <w:rFonts w:ascii="Book Antiqua" w:eastAsiaTheme="majorEastAsia" w:hAnsi="Book Antiqua" w:cs="Times New Roman"/>
          <w:bCs/>
          <w:sz w:val="24"/>
          <w:szCs w:val="24"/>
        </w:rPr>
        <w:t>58.8%</w:t>
      </w:r>
      <w:r w:rsidRPr="00814BF6">
        <w:rPr>
          <w:rFonts w:ascii="Book Antiqua" w:eastAsiaTheme="majorEastAsia" w:hAnsi="Book Antiqua" w:cs="Times New Roman"/>
          <w:bCs/>
          <w:sz w:val="24"/>
          <w:szCs w:val="24"/>
        </w:rPr>
        <w:t>)</w:t>
      </w:r>
      <w:r w:rsidR="001E3F79" w:rsidRPr="00814BF6">
        <w:rPr>
          <w:rFonts w:ascii="Book Antiqua" w:eastAsiaTheme="majorEastAsia" w:hAnsi="Book Antiqua" w:cs="Times New Roman"/>
          <w:bCs/>
          <w:sz w:val="24"/>
          <w:szCs w:val="24"/>
        </w:rPr>
        <w:t xml:space="preserve"> and pneumonia </w:t>
      </w:r>
      <w:r w:rsidR="00342BB3" w:rsidRPr="00814BF6">
        <w:rPr>
          <w:rFonts w:ascii="Book Antiqua" w:eastAsiaTheme="majorEastAsia" w:hAnsi="Book Antiqua" w:cs="Times New Roman"/>
          <w:bCs/>
          <w:sz w:val="24"/>
          <w:szCs w:val="24"/>
        </w:rPr>
        <w:t>(</w:t>
      </w:r>
      <w:r w:rsidR="00342BB3" w:rsidRPr="00286EF5">
        <w:rPr>
          <w:rFonts w:ascii="Book Antiqua" w:eastAsiaTheme="majorEastAsia" w:hAnsi="Book Antiqua" w:cs="Times New Roman"/>
          <w:bCs/>
          <w:i/>
          <w:sz w:val="24"/>
          <w:szCs w:val="24"/>
        </w:rPr>
        <w:t>n</w:t>
      </w:r>
      <w:r w:rsidR="00342BB3" w:rsidRPr="00814BF6">
        <w:rPr>
          <w:rFonts w:ascii="Book Antiqua" w:eastAsiaTheme="majorEastAsia" w:hAnsi="Book Antiqua" w:cs="Times New Roman"/>
          <w:bCs/>
          <w:sz w:val="24"/>
          <w:szCs w:val="24"/>
        </w:rPr>
        <w:t xml:space="preserve"> = 3, 17%) </w:t>
      </w:r>
      <w:r w:rsidR="001E3F79" w:rsidRPr="00814BF6">
        <w:rPr>
          <w:rFonts w:ascii="Book Antiqua" w:eastAsiaTheme="majorEastAsia" w:hAnsi="Book Antiqua" w:cs="Times New Roman"/>
          <w:bCs/>
          <w:sz w:val="24"/>
          <w:szCs w:val="24"/>
        </w:rPr>
        <w:t>was m</w:t>
      </w:r>
      <w:r w:rsidR="002D3D23" w:rsidRPr="00814BF6">
        <w:rPr>
          <w:rFonts w:ascii="Book Antiqua" w:eastAsiaTheme="majorEastAsia" w:hAnsi="Book Antiqua" w:cs="Times New Roman"/>
          <w:bCs/>
          <w:sz w:val="24"/>
          <w:szCs w:val="24"/>
        </w:rPr>
        <w:t xml:space="preserve">ore </w:t>
      </w:r>
      <w:r w:rsidR="001E3F79" w:rsidRPr="00814BF6">
        <w:rPr>
          <w:rFonts w:ascii="Book Antiqua" w:eastAsiaTheme="majorEastAsia" w:hAnsi="Book Antiqua" w:cs="Times New Roman"/>
          <w:bCs/>
          <w:sz w:val="24"/>
          <w:szCs w:val="24"/>
        </w:rPr>
        <w:t xml:space="preserve">common </w:t>
      </w:r>
      <w:r w:rsidR="002D3D23" w:rsidRPr="00814BF6">
        <w:rPr>
          <w:rFonts w:ascii="Book Antiqua" w:eastAsiaTheme="majorEastAsia" w:hAnsi="Book Antiqua" w:cs="Times New Roman"/>
          <w:bCs/>
          <w:sz w:val="24"/>
          <w:szCs w:val="24"/>
        </w:rPr>
        <w:t>than pneumonitis</w:t>
      </w:r>
      <w:r w:rsidR="00342BB3" w:rsidRPr="00814BF6">
        <w:rPr>
          <w:rFonts w:ascii="Book Antiqua" w:eastAsiaTheme="majorEastAsia" w:hAnsi="Book Antiqua" w:cs="Times New Roman"/>
          <w:bCs/>
          <w:sz w:val="24"/>
          <w:szCs w:val="24"/>
        </w:rPr>
        <w:t xml:space="preserve"> (</w:t>
      </w:r>
      <w:r w:rsidR="002D3D23" w:rsidRPr="00286EF5">
        <w:rPr>
          <w:rFonts w:ascii="Book Antiqua" w:eastAsiaTheme="majorEastAsia" w:hAnsi="Book Antiqua" w:cs="Times New Roman"/>
          <w:bCs/>
          <w:i/>
          <w:sz w:val="24"/>
          <w:szCs w:val="24"/>
        </w:rPr>
        <w:t>n</w:t>
      </w:r>
      <w:r w:rsidR="002D3D23" w:rsidRPr="00814BF6">
        <w:rPr>
          <w:rFonts w:ascii="Book Antiqua" w:eastAsiaTheme="majorEastAsia" w:hAnsi="Book Antiqua" w:cs="Times New Roman"/>
          <w:bCs/>
          <w:sz w:val="24"/>
          <w:szCs w:val="24"/>
        </w:rPr>
        <w:t xml:space="preserve"> = 2, 11%). Surgical leak </w:t>
      </w:r>
      <w:r w:rsidR="00342BB3" w:rsidRPr="00814BF6">
        <w:rPr>
          <w:rFonts w:ascii="Book Antiqua" w:eastAsiaTheme="majorEastAsia" w:hAnsi="Book Antiqua" w:cs="Times New Roman"/>
          <w:bCs/>
          <w:sz w:val="24"/>
          <w:szCs w:val="24"/>
        </w:rPr>
        <w:t>wa</w:t>
      </w:r>
      <w:r w:rsidR="002D3D23" w:rsidRPr="00814BF6">
        <w:rPr>
          <w:rFonts w:ascii="Book Antiqua" w:eastAsiaTheme="majorEastAsia" w:hAnsi="Book Antiqua" w:cs="Times New Roman"/>
          <w:bCs/>
          <w:sz w:val="24"/>
          <w:szCs w:val="24"/>
        </w:rPr>
        <w:t xml:space="preserve">s </w:t>
      </w:r>
      <w:r w:rsidR="00342BB3" w:rsidRPr="00814BF6">
        <w:rPr>
          <w:rFonts w:ascii="Book Antiqua" w:eastAsiaTheme="majorEastAsia" w:hAnsi="Book Antiqua" w:cs="Times New Roman"/>
          <w:bCs/>
          <w:sz w:val="24"/>
          <w:szCs w:val="24"/>
        </w:rPr>
        <w:t xml:space="preserve">the </w:t>
      </w:r>
      <w:r w:rsidR="002D3D23" w:rsidRPr="00814BF6">
        <w:rPr>
          <w:rFonts w:ascii="Book Antiqua" w:eastAsiaTheme="majorEastAsia" w:hAnsi="Book Antiqua" w:cs="Times New Roman"/>
          <w:bCs/>
          <w:sz w:val="24"/>
          <w:szCs w:val="24"/>
        </w:rPr>
        <w:t>most common surgical</w:t>
      </w:r>
      <w:r w:rsidR="001E3F79" w:rsidRPr="00814BF6">
        <w:rPr>
          <w:rFonts w:ascii="Book Antiqua" w:eastAsiaTheme="majorEastAsia" w:hAnsi="Book Antiqua" w:cs="Times New Roman"/>
          <w:bCs/>
          <w:sz w:val="24"/>
          <w:szCs w:val="24"/>
        </w:rPr>
        <w:t>-</w:t>
      </w:r>
      <w:r w:rsidR="002D3D23" w:rsidRPr="00814BF6">
        <w:rPr>
          <w:rFonts w:ascii="Book Antiqua" w:eastAsiaTheme="majorEastAsia" w:hAnsi="Book Antiqua" w:cs="Times New Roman"/>
          <w:bCs/>
          <w:sz w:val="24"/>
          <w:szCs w:val="24"/>
        </w:rPr>
        <w:t xml:space="preserve">related </w:t>
      </w:r>
      <w:r w:rsidR="00342BB3" w:rsidRPr="00814BF6">
        <w:rPr>
          <w:rFonts w:ascii="Book Antiqua" w:eastAsiaTheme="majorEastAsia" w:hAnsi="Book Antiqua" w:cs="Times New Roman"/>
          <w:bCs/>
          <w:sz w:val="24"/>
          <w:szCs w:val="24"/>
        </w:rPr>
        <w:t>complication</w:t>
      </w:r>
      <w:r w:rsidR="002D3D23" w:rsidRPr="00814BF6">
        <w:rPr>
          <w:rFonts w:ascii="Book Antiqua" w:eastAsiaTheme="majorEastAsia" w:hAnsi="Book Antiqua" w:cs="Times New Roman"/>
          <w:bCs/>
          <w:sz w:val="24"/>
          <w:szCs w:val="24"/>
        </w:rPr>
        <w:t xml:space="preserve"> (</w:t>
      </w:r>
      <w:r w:rsidR="002D3D23" w:rsidRPr="00286EF5">
        <w:rPr>
          <w:rFonts w:ascii="Book Antiqua" w:eastAsiaTheme="majorEastAsia" w:hAnsi="Book Antiqua" w:cs="Times New Roman"/>
          <w:bCs/>
          <w:i/>
          <w:sz w:val="24"/>
          <w:szCs w:val="24"/>
        </w:rPr>
        <w:t>n</w:t>
      </w:r>
      <w:r w:rsidR="002D3D23" w:rsidRPr="00814BF6">
        <w:rPr>
          <w:rFonts w:ascii="Book Antiqua" w:eastAsiaTheme="majorEastAsia" w:hAnsi="Book Antiqua" w:cs="Times New Roman"/>
          <w:bCs/>
          <w:sz w:val="24"/>
          <w:szCs w:val="24"/>
        </w:rPr>
        <w:t xml:space="preserve"> =</w:t>
      </w:r>
      <w:r w:rsidR="00E50977">
        <w:rPr>
          <w:rFonts w:ascii="Book Antiqua" w:eastAsiaTheme="majorEastAsia" w:hAnsi="Book Antiqua" w:cs="Times New Roman" w:hint="eastAsia"/>
          <w:bCs/>
          <w:sz w:val="24"/>
          <w:szCs w:val="24"/>
          <w:lang w:eastAsia="zh-CN"/>
        </w:rPr>
        <w:t xml:space="preserve"> </w:t>
      </w:r>
      <w:r w:rsidR="002D3D23" w:rsidRPr="00814BF6">
        <w:rPr>
          <w:rFonts w:ascii="Book Antiqua" w:eastAsiaTheme="majorEastAsia" w:hAnsi="Book Antiqua" w:cs="Times New Roman"/>
          <w:bCs/>
          <w:sz w:val="24"/>
          <w:szCs w:val="24"/>
        </w:rPr>
        <w:t>4, 23.5%)</w:t>
      </w:r>
      <w:r w:rsidR="001E3F79" w:rsidRPr="00814BF6">
        <w:rPr>
          <w:rFonts w:ascii="Book Antiqua" w:eastAsiaTheme="majorEastAsia" w:hAnsi="Book Antiqua" w:cs="Times New Roman"/>
          <w:bCs/>
          <w:sz w:val="24"/>
          <w:szCs w:val="24"/>
        </w:rPr>
        <w:t xml:space="preserve"> </w:t>
      </w:r>
      <w:proofErr w:type="gramStart"/>
      <w:r w:rsidR="0050075A" w:rsidRPr="00814BF6">
        <w:rPr>
          <w:rFonts w:ascii="Book Antiqua" w:eastAsiaTheme="majorEastAsia" w:hAnsi="Book Antiqua" w:cs="Times New Roman"/>
          <w:bCs/>
          <w:sz w:val="24"/>
          <w:szCs w:val="24"/>
        </w:rPr>
        <w:t>(Table 3)</w:t>
      </w:r>
      <w:r w:rsidR="002D3D23" w:rsidRPr="00814BF6">
        <w:rPr>
          <w:rFonts w:ascii="Book Antiqua" w:eastAsiaTheme="majorEastAsia" w:hAnsi="Book Antiqua" w:cs="Times New Roman"/>
          <w:bCs/>
          <w:sz w:val="24"/>
          <w:szCs w:val="24"/>
        </w:rPr>
        <w:t>.</w:t>
      </w:r>
      <w:proofErr w:type="gramEnd"/>
      <w:r w:rsidR="002D3D23"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 xml:space="preserve">No survivors had symptoms due to late toxicities such as accumulated </w:t>
      </w:r>
      <w:r w:rsidR="002D3D23" w:rsidRPr="00814BF6">
        <w:rPr>
          <w:rFonts w:ascii="Book Antiqua" w:eastAsiaTheme="majorEastAsia" w:hAnsi="Book Antiqua" w:cs="Times New Roman"/>
          <w:bCs/>
          <w:sz w:val="24"/>
          <w:szCs w:val="24"/>
        </w:rPr>
        <w:t xml:space="preserve">pleural or cardiac effusions </w:t>
      </w:r>
      <w:r w:rsidRPr="00814BF6">
        <w:rPr>
          <w:rFonts w:ascii="Book Antiqua" w:eastAsiaTheme="majorEastAsia" w:hAnsi="Book Antiqua" w:cs="Times New Roman"/>
          <w:bCs/>
          <w:sz w:val="24"/>
          <w:szCs w:val="24"/>
        </w:rPr>
        <w:t>during long-term follow-up.</w:t>
      </w:r>
      <w:r w:rsidR="00F91E94" w:rsidRPr="00814BF6">
        <w:rPr>
          <w:rFonts w:ascii="Book Antiqua" w:eastAsiaTheme="majorEastAsia" w:hAnsi="Book Antiqua" w:cs="Times New Roman"/>
          <w:bCs/>
          <w:sz w:val="24"/>
          <w:szCs w:val="24"/>
        </w:rPr>
        <w:t xml:space="preserve"> </w:t>
      </w:r>
      <w:r w:rsidR="001E3F79" w:rsidRPr="00814BF6">
        <w:rPr>
          <w:rFonts w:ascii="Book Antiqua" w:eastAsiaTheme="majorEastAsia" w:hAnsi="Book Antiqua" w:cs="Times New Roman"/>
          <w:bCs/>
          <w:sz w:val="24"/>
          <w:szCs w:val="24"/>
        </w:rPr>
        <w:t>There were n</w:t>
      </w:r>
      <w:r w:rsidR="007A54F6" w:rsidRPr="00814BF6">
        <w:rPr>
          <w:rFonts w:ascii="Book Antiqua" w:eastAsiaTheme="majorEastAsia" w:hAnsi="Book Antiqua" w:cs="Times New Roman"/>
          <w:bCs/>
          <w:sz w:val="24"/>
          <w:szCs w:val="24"/>
        </w:rPr>
        <w:t>o treatment</w:t>
      </w:r>
      <w:r w:rsidR="001E3F79" w:rsidRPr="00814BF6">
        <w:rPr>
          <w:rFonts w:ascii="Book Antiqua" w:eastAsiaTheme="majorEastAsia" w:hAnsi="Book Antiqua" w:cs="Times New Roman"/>
          <w:bCs/>
          <w:sz w:val="24"/>
          <w:szCs w:val="24"/>
        </w:rPr>
        <w:t>-</w:t>
      </w:r>
      <w:r w:rsidR="007A54F6" w:rsidRPr="00814BF6">
        <w:rPr>
          <w:rFonts w:ascii="Book Antiqua" w:eastAsiaTheme="majorEastAsia" w:hAnsi="Book Antiqua" w:cs="Times New Roman"/>
          <w:bCs/>
          <w:sz w:val="24"/>
          <w:szCs w:val="24"/>
        </w:rPr>
        <w:t>related death</w:t>
      </w:r>
      <w:r w:rsidR="001E3F79" w:rsidRPr="00814BF6">
        <w:rPr>
          <w:rFonts w:ascii="Book Antiqua" w:eastAsiaTheme="majorEastAsia" w:hAnsi="Book Antiqua" w:cs="Times New Roman"/>
          <w:bCs/>
          <w:sz w:val="24"/>
          <w:szCs w:val="24"/>
        </w:rPr>
        <w:t>s</w:t>
      </w:r>
      <w:r w:rsidR="007A54F6" w:rsidRPr="00814BF6">
        <w:rPr>
          <w:rFonts w:ascii="Book Antiqua" w:eastAsiaTheme="majorEastAsia" w:hAnsi="Book Antiqua" w:cs="Times New Roman"/>
          <w:bCs/>
          <w:sz w:val="24"/>
          <w:szCs w:val="24"/>
        </w:rPr>
        <w:t>.</w:t>
      </w:r>
    </w:p>
    <w:p w14:paraId="46F7FC4A" w14:textId="77777777" w:rsidR="000C2CFB" w:rsidRPr="00814BF6" w:rsidRDefault="00C15738" w:rsidP="00286EF5">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 xml:space="preserve">After a minimum follow-up of 22 mo and a </w:t>
      </w:r>
      <w:r w:rsidR="00342BB3" w:rsidRPr="00814BF6">
        <w:rPr>
          <w:rFonts w:ascii="Book Antiqua" w:eastAsiaTheme="majorEastAsia" w:hAnsi="Book Antiqua" w:cs="Times New Roman"/>
          <w:bCs/>
          <w:sz w:val="24"/>
          <w:szCs w:val="24"/>
        </w:rPr>
        <w:t>mean</w:t>
      </w:r>
      <w:r w:rsidR="00586F29"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survival of 29 mo, the local recurrence rate was 11</w:t>
      </w:r>
      <w:r w:rsidR="001E3F79"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 xml:space="preserve"> (</w:t>
      </w:r>
      <w:r w:rsidRPr="00286EF5">
        <w:rPr>
          <w:rFonts w:ascii="Book Antiqua" w:eastAsiaTheme="majorEastAsia" w:hAnsi="Book Antiqua" w:cs="Times New Roman"/>
          <w:bCs/>
          <w:i/>
          <w:sz w:val="24"/>
          <w:szCs w:val="24"/>
        </w:rPr>
        <w:t>n</w:t>
      </w:r>
      <w:r w:rsidR="001E3F79"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w:t>
      </w:r>
      <w:r w:rsidR="001E3F79"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2). Mos</w:t>
      </w:r>
      <w:r w:rsidR="006853B4" w:rsidRPr="00814BF6">
        <w:rPr>
          <w:rFonts w:ascii="Book Antiqua" w:eastAsiaTheme="majorEastAsia" w:hAnsi="Book Antiqua" w:cs="Times New Roman"/>
          <w:bCs/>
          <w:sz w:val="24"/>
          <w:szCs w:val="24"/>
        </w:rPr>
        <w:t xml:space="preserve">t patients had distant failure </w:t>
      </w:r>
      <w:r w:rsidRPr="00814BF6">
        <w:rPr>
          <w:rFonts w:ascii="Book Antiqua" w:eastAsiaTheme="majorEastAsia" w:hAnsi="Book Antiqua" w:cs="Times New Roman"/>
          <w:bCs/>
          <w:sz w:val="24"/>
          <w:szCs w:val="24"/>
        </w:rPr>
        <w:t>(35%) or combined lo</w:t>
      </w:r>
      <w:r w:rsidR="002A3385" w:rsidRPr="00814BF6">
        <w:rPr>
          <w:rFonts w:ascii="Book Antiqua" w:eastAsiaTheme="majorEastAsia" w:hAnsi="Book Antiqua" w:cs="Times New Roman"/>
          <w:bCs/>
          <w:sz w:val="24"/>
          <w:szCs w:val="24"/>
        </w:rPr>
        <w:t>cal/</w:t>
      </w:r>
      <w:r w:rsidRPr="00814BF6">
        <w:rPr>
          <w:rFonts w:ascii="Book Antiqua" w:eastAsiaTheme="majorEastAsia" w:hAnsi="Book Antiqua" w:cs="Times New Roman"/>
          <w:bCs/>
          <w:sz w:val="24"/>
          <w:szCs w:val="24"/>
        </w:rPr>
        <w:t>regional and distant failure (5%).</w:t>
      </w:r>
      <w:r w:rsidR="00F91E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 xml:space="preserve">The majority of </w:t>
      </w:r>
      <w:r w:rsidR="001F6CFF" w:rsidRPr="00814BF6">
        <w:rPr>
          <w:rFonts w:ascii="Book Antiqua" w:eastAsiaTheme="majorEastAsia" w:hAnsi="Book Antiqua" w:cs="Times New Roman"/>
          <w:bCs/>
          <w:sz w:val="24"/>
          <w:szCs w:val="24"/>
        </w:rPr>
        <w:t xml:space="preserve">local recurrences </w:t>
      </w:r>
      <w:r w:rsidR="00342BB3" w:rsidRPr="00814BF6">
        <w:rPr>
          <w:rFonts w:ascii="Book Antiqua" w:eastAsiaTheme="majorEastAsia" w:hAnsi="Book Antiqua" w:cs="Times New Roman"/>
          <w:bCs/>
          <w:sz w:val="24"/>
          <w:szCs w:val="24"/>
        </w:rPr>
        <w:t>were</w:t>
      </w:r>
      <w:r w:rsidR="001F6CFF"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within 2 years of follow-up</w:t>
      </w:r>
      <w:r w:rsidR="002A3385"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0C2CFB" w:rsidRPr="00814BF6">
        <w:rPr>
          <w:rFonts w:ascii="Book Antiqua" w:eastAsiaTheme="majorEastAsia" w:hAnsi="Book Antiqua" w:cs="Times New Roman"/>
          <w:bCs/>
          <w:sz w:val="24"/>
          <w:szCs w:val="24"/>
        </w:rPr>
        <w:t xml:space="preserve">In addition, the anastomosis </w:t>
      </w:r>
      <w:r w:rsidR="001F6CFF" w:rsidRPr="00814BF6">
        <w:rPr>
          <w:rFonts w:ascii="Book Antiqua" w:eastAsiaTheme="majorEastAsia" w:hAnsi="Book Antiqua" w:cs="Times New Roman"/>
          <w:bCs/>
          <w:sz w:val="24"/>
          <w:szCs w:val="24"/>
        </w:rPr>
        <w:t>w</w:t>
      </w:r>
      <w:r w:rsidR="000C2CFB" w:rsidRPr="00814BF6">
        <w:rPr>
          <w:rFonts w:ascii="Book Antiqua" w:eastAsiaTheme="majorEastAsia" w:hAnsi="Book Antiqua" w:cs="Times New Roman"/>
          <w:bCs/>
          <w:sz w:val="24"/>
          <w:szCs w:val="24"/>
        </w:rPr>
        <w:t xml:space="preserve">as </w:t>
      </w:r>
      <w:r w:rsidR="001F6CFF" w:rsidRPr="00814BF6">
        <w:rPr>
          <w:rFonts w:ascii="Book Antiqua" w:eastAsiaTheme="majorEastAsia" w:hAnsi="Book Antiqua" w:cs="Times New Roman"/>
          <w:bCs/>
          <w:sz w:val="24"/>
          <w:szCs w:val="24"/>
        </w:rPr>
        <w:t xml:space="preserve">the </w:t>
      </w:r>
      <w:r w:rsidR="000C2CFB" w:rsidRPr="00814BF6">
        <w:rPr>
          <w:rFonts w:ascii="Book Antiqua" w:eastAsiaTheme="majorEastAsia" w:hAnsi="Book Antiqua" w:cs="Times New Roman"/>
          <w:bCs/>
          <w:sz w:val="24"/>
          <w:szCs w:val="24"/>
        </w:rPr>
        <w:t xml:space="preserve">only recurrence site in 5.8% </w:t>
      </w:r>
      <w:r w:rsidR="001F6CFF" w:rsidRPr="00814BF6">
        <w:rPr>
          <w:rFonts w:ascii="Book Antiqua" w:eastAsiaTheme="majorEastAsia" w:hAnsi="Book Antiqua" w:cs="Times New Roman"/>
          <w:bCs/>
          <w:sz w:val="24"/>
          <w:szCs w:val="24"/>
        </w:rPr>
        <w:t>of patients. There was one</w:t>
      </w:r>
      <w:r w:rsidR="000C2CFB" w:rsidRPr="00814BF6">
        <w:rPr>
          <w:rFonts w:ascii="Book Antiqua" w:eastAsiaTheme="majorEastAsia" w:hAnsi="Book Antiqua" w:cs="Times New Roman"/>
          <w:bCs/>
          <w:sz w:val="24"/>
          <w:szCs w:val="24"/>
        </w:rPr>
        <w:t xml:space="preserve"> mediastinal relapse</w:t>
      </w:r>
      <w:r w:rsidR="001F6CFF" w:rsidRPr="00814BF6">
        <w:rPr>
          <w:rFonts w:ascii="Book Antiqua" w:eastAsiaTheme="majorEastAsia" w:hAnsi="Book Antiqua" w:cs="Times New Roman"/>
          <w:bCs/>
          <w:sz w:val="24"/>
          <w:szCs w:val="24"/>
        </w:rPr>
        <w:t xml:space="preserve"> </w:t>
      </w:r>
      <w:r w:rsidR="000C2CFB" w:rsidRPr="00814BF6">
        <w:rPr>
          <w:rFonts w:ascii="Book Antiqua" w:eastAsiaTheme="majorEastAsia" w:hAnsi="Book Antiqua" w:cs="Times New Roman"/>
          <w:bCs/>
          <w:sz w:val="24"/>
          <w:szCs w:val="24"/>
        </w:rPr>
        <w:t xml:space="preserve">associated with positive nodes </w:t>
      </w:r>
      <w:r w:rsidR="001F6CFF" w:rsidRPr="00814BF6">
        <w:rPr>
          <w:rFonts w:ascii="Book Antiqua" w:eastAsiaTheme="majorEastAsia" w:hAnsi="Book Antiqua" w:cs="Times New Roman"/>
          <w:bCs/>
          <w:sz w:val="24"/>
          <w:szCs w:val="24"/>
        </w:rPr>
        <w:t>that</w:t>
      </w:r>
      <w:r w:rsidR="000C2CFB" w:rsidRPr="00814BF6">
        <w:rPr>
          <w:rFonts w:ascii="Book Antiqua" w:eastAsiaTheme="majorEastAsia" w:hAnsi="Book Antiqua" w:cs="Times New Roman"/>
          <w:bCs/>
          <w:sz w:val="24"/>
          <w:szCs w:val="24"/>
        </w:rPr>
        <w:t xml:space="preserve"> was treated with </w:t>
      </w:r>
      <w:r w:rsidR="001F6CFF" w:rsidRPr="00814BF6">
        <w:rPr>
          <w:rFonts w:ascii="Book Antiqua" w:eastAsiaTheme="majorEastAsia" w:hAnsi="Book Antiqua" w:cs="Times New Roman"/>
          <w:bCs/>
          <w:sz w:val="24"/>
          <w:szCs w:val="24"/>
        </w:rPr>
        <w:t xml:space="preserve">a </w:t>
      </w:r>
      <w:r w:rsidR="000C2CFB" w:rsidRPr="00814BF6">
        <w:rPr>
          <w:rFonts w:ascii="Book Antiqua" w:eastAsiaTheme="majorEastAsia" w:hAnsi="Book Antiqua" w:cs="Times New Roman"/>
          <w:bCs/>
          <w:sz w:val="24"/>
          <w:szCs w:val="24"/>
        </w:rPr>
        <w:t>full dose of IMRT-SIB.</w:t>
      </w:r>
      <w:r w:rsidR="00F91E94" w:rsidRPr="00814BF6">
        <w:rPr>
          <w:rFonts w:ascii="Book Antiqua" w:eastAsiaTheme="majorEastAsia" w:hAnsi="Book Antiqua" w:cs="Times New Roman"/>
          <w:bCs/>
          <w:sz w:val="24"/>
          <w:szCs w:val="24"/>
        </w:rPr>
        <w:t xml:space="preserve"> </w:t>
      </w:r>
      <w:r w:rsidR="000C2CFB" w:rsidRPr="00814BF6">
        <w:rPr>
          <w:rFonts w:ascii="Book Antiqua" w:eastAsiaTheme="majorEastAsia" w:hAnsi="Book Antiqua" w:cs="Times New Roman"/>
          <w:bCs/>
          <w:sz w:val="24"/>
          <w:szCs w:val="24"/>
        </w:rPr>
        <w:t xml:space="preserve">There </w:t>
      </w:r>
      <w:r w:rsidR="001F6CFF" w:rsidRPr="00814BF6">
        <w:rPr>
          <w:rFonts w:ascii="Book Antiqua" w:eastAsiaTheme="majorEastAsia" w:hAnsi="Book Antiqua" w:cs="Times New Roman"/>
          <w:bCs/>
          <w:sz w:val="24"/>
          <w:szCs w:val="24"/>
        </w:rPr>
        <w:t>wa</w:t>
      </w:r>
      <w:r w:rsidR="000C2CFB" w:rsidRPr="00814BF6">
        <w:rPr>
          <w:rFonts w:ascii="Book Antiqua" w:eastAsiaTheme="majorEastAsia" w:hAnsi="Book Antiqua" w:cs="Times New Roman"/>
          <w:bCs/>
          <w:sz w:val="24"/>
          <w:szCs w:val="24"/>
        </w:rPr>
        <w:t xml:space="preserve">s no </w:t>
      </w:r>
      <w:r w:rsidR="00804403" w:rsidRPr="00814BF6">
        <w:rPr>
          <w:rFonts w:ascii="Book Antiqua" w:eastAsiaTheme="majorEastAsia" w:hAnsi="Book Antiqua" w:cs="Times New Roman"/>
          <w:bCs/>
          <w:sz w:val="24"/>
          <w:szCs w:val="24"/>
        </w:rPr>
        <w:t>peritoneal carcinomatosis</w:t>
      </w:r>
      <w:r w:rsidR="000C2CFB" w:rsidRPr="00814BF6">
        <w:rPr>
          <w:rFonts w:ascii="Book Antiqua" w:eastAsiaTheme="majorEastAsia" w:hAnsi="Book Antiqua" w:cs="Times New Roman"/>
          <w:bCs/>
          <w:sz w:val="24"/>
          <w:szCs w:val="24"/>
        </w:rPr>
        <w:t xml:space="preserve"> f</w:t>
      </w:r>
      <w:r w:rsidR="001F6CFF" w:rsidRPr="00814BF6">
        <w:rPr>
          <w:rFonts w:ascii="Book Antiqua" w:eastAsiaTheme="majorEastAsia" w:hAnsi="Book Antiqua" w:cs="Times New Roman"/>
          <w:bCs/>
          <w:sz w:val="24"/>
          <w:szCs w:val="24"/>
        </w:rPr>
        <w:t>o</w:t>
      </w:r>
      <w:r w:rsidR="000C2CFB" w:rsidRPr="00814BF6">
        <w:rPr>
          <w:rFonts w:ascii="Book Antiqua" w:eastAsiaTheme="majorEastAsia" w:hAnsi="Book Antiqua" w:cs="Times New Roman"/>
          <w:bCs/>
          <w:sz w:val="24"/>
          <w:szCs w:val="24"/>
        </w:rPr>
        <w:t>und.</w:t>
      </w:r>
    </w:p>
    <w:p w14:paraId="32969034" w14:textId="77777777" w:rsidR="00015FED" w:rsidRPr="00814BF6" w:rsidRDefault="001F6CFF" w:rsidP="00286EF5">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For</w:t>
      </w:r>
      <w:r w:rsidR="00452D19" w:rsidRPr="00814BF6">
        <w:rPr>
          <w:rFonts w:ascii="Book Antiqua" w:eastAsiaTheme="majorEastAsia" w:hAnsi="Book Antiqua" w:cs="Times New Roman"/>
          <w:bCs/>
          <w:sz w:val="24"/>
          <w:szCs w:val="24"/>
        </w:rPr>
        <w:t xml:space="preserve"> the </w:t>
      </w:r>
      <w:r w:rsidRPr="00814BF6">
        <w:rPr>
          <w:rFonts w:ascii="Book Antiqua" w:eastAsiaTheme="majorEastAsia" w:hAnsi="Book Antiqua" w:cs="Times New Roman"/>
          <w:bCs/>
          <w:sz w:val="24"/>
          <w:szCs w:val="24"/>
        </w:rPr>
        <w:t>1</w:t>
      </w:r>
      <w:r w:rsidR="00452D19" w:rsidRPr="00814BF6">
        <w:rPr>
          <w:rFonts w:ascii="Book Antiqua" w:eastAsiaTheme="majorEastAsia" w:hAnsi="Book Antiqua" w:cs="Times New Roman"/>
          <w:bCs/>
          <w:sz w:val="24"/>
          <w:szCs w:val="24"/>
        </w:rPr>
        <w:t>7 patients</w:t>
      </w:r>
      <w:r w:rsidRPr="00814BF6">
        <w:rPr>
          <w:rFonts w:ascii="Book Antiqua" w:eastAsiaTheme="majorEastAsia" w:hAnsi="Book Antiqua" w:cs="Times New Roman"/>
          <w:bCs/>
          <w:sz w:val="24"/>
          <w:szCs w:val="24"/>
        </w:rPr>
        <w:t xml:space="preserve"> analyzed</w:t>
      </w:r>
      <w:r w:rsidR="00452D19"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nine</w:t>
      </w:r>
      <w:r w:rsidR="00452D19" w:rsidRPr="00814BF6">
        <w:rPr>
          <w:rFonts w:ascii="Book Antiqua" w:eastAsiaTheme="majorEastAsia" w:hAnsi="Book Antiqua" w:cs="Times New Roman"/>
          <w:bCs/>
          <w:sz w:val="24"/>
          <w:szCs w:val="24"/>
        </w:rPr>
        <w:t xml:space="preserve"> were alive and </w:t>
      </w:r>
      <w:r w:rsidRPr="00814BF6">
        <w:rPr>
          <w:rFonts w:ascii="Book Antiqua" w:eastAsiaTheme="majorEastAsia" w:hAnsi="Book Antiqua" w:cs="Times New Roman"/>
          <w:bCs/>
          <w:sz w:val="24"/>
          <w:szCs w:val="24"/>
        </w:rPr>
        <w:t>eight</w:t>
      </w:r>
      <w:r w:rsidR="000A0ADE" w:rsidRPr="00814BF6">
        <w:rPr>
          <w:rFonts w:ascii="Book Antiqua" w:eastAsiaTheme="majorEastAsia" w:hAnsi="Book Antiqua" w:cs="Times New Roman"/>
          <w:bCs/>
          <w:sz w:val="24"/>
          <w:szCs w:val="24"/>
        </w:rPr>
        <w:t xml:space="preserve"> had</w:t>
      </w:r>
      <w:r w:rsidR="00452D19" w:rsidRPr="00814BF6">
        <w:rPr>
          <w:rFonts w:ascii="Book Antiqua" w:eastAsiaTheme="majorEastAsia" w:hAnsi="Book Antiqua" w:cs="Times New Roman"/>
          <w:bCs/>
          <w:sz w:val="24"/>
          <w:szCs w:val="24"/>
        </w:rPr>
        <w:t xml:space="preserve"> died at the end of follow up</w:t>
      </w:r>
      <w:r w:rsidRPr="00814BF6">
        <w:rPr>
          <w:rFonts w:ascii="Book Antiqua" w:eastAsiaTheme="majorEastAsia" w:hAnsi="Book Antiqua" w:cs="Times New Roman"/>
          <w:bCs/>
          <w:sz w:val="24"/>
          <w:szCs w:val="24"/>
        </w:rPr>
        <w:t xml:space="preserve">, for a </w:t>
      </w:r>
      <w:r w:rsidR="00452D19" w:rsidRPr="00814BF6">
        <w:rPr>
          <w:rFonts w:ascii="Book Antiqua" w:eastAsiaTheme="majorEastAsia" w:hAnsi="Book Antiqua" w:cs="Times New Roman"/>
          <w:bCs/>
          <w:sz w:val="24"/>
          <w:szCs w:val="24"/>
        </w:rPr>
        <w:t>3</w:t>
      </w:r>
      <w:r w:rsidRPr="00814BF6">
        <w:rPr>
          <w:rFonts w:ascii="Book Antiqua" w:eastAsiaTheme="majorEastAsia" w:hAnsi="Book Antiqua" w:cs="Times New Roman"/>
          <w:bCs/>
          <w:sz w:val="24"/>
          <w:szCs w:val="24"/>
        </w:rPr>
        <w:t>-</w:t>
      </w:r>
      <w:r w:rsidR="00452D19" w:rsidRPr="00814BF6">
        <w:rPr>
          <w:rFonts w:ascii="Book Antiqua" w:eastAsiaTheme="majorEastAsia" w:hAnsi="Book Antiqua" w:cs="Times New Roman"/>
          <w:bCs/>
          <w:sz w:val="24"/>
          <w:szCs w:val="24"/>
        </w:rPr>
        <w:t xml:space="preserve">year overall survival </w:t>
      </w:r>
      <w:r w:rsidRPr="00814BF6">
        <w:rPr>
          <w:rFonts w:ascii="Book Antiqua" w:eastAsiaTheme="majorEastAsia" w:hAnsi="Book Antiqua" w:cs="Times New Roman"/>
          <w:bCs/>
          <w:sz w:val="24"/>
          <w:szCs w:val="24"/>
        </w:rPr>
        <w:t xml:space="preserve">rate of </w:t>
      </w:r>
      <w:r w:rsidR="00452D19" w:rsidRPr="00814BF6">
        <w:rPr>
          <w:rFonts w:ascii="Book Antiqua" w:eastAsiaTheme="majorEastAsia" w:hAnsi="Book Antiqua" w:cs="Times New Roman"/>
          <w:bCs/>
          <w:sz w:val="24"/>
          <w:szCs w:val="24"/>
        </w:rPr>
        <w:t>52% (</w:t>
      </w:r>
      <w:r w:rsidR="000A0ADE" w:rsidRPr="00814BF6">
        <w:rPr>
          <w:rFonts w:ascii="Book Antiqua" w:eastAsiaTheme="majorEastAsia" w:hAnsi="Book Antiqua" w:cs="Times New Roman"/>
          <w:bCs/>
          <w:sz w:val="24"/>
          <w:szCs w:val="24"/>
        </w:rPr>
        <w:t>Fig</w:t>
      </w:r>
      <w:r w:rsidR="00286EF5">
        <w:rPr>
          <w:rFonts w:ascii="Book Antiqua" w:eastAsiaTheme="majorEastAsia" w:hAnsi="Book Antiqua" w:cs="Times New Roman" w:hint="eastAsia"/>
          <w:bCs/>
          <w:sz w:val="24"/>
          <w:szCs w:val="24"/>
          <w:lang w:eastAsia="zh-CN"/>
        </w:rPr>
        <w:t>ure</w:t>
      </w:r>
      <w:r w:rsidR="00452D19" w:rsidRPr="00814BF6">
        <w:rPr>
          <w:rFonts w:ascii="Book Antiqua" w:eastAsiaTheme="majorEastAsia" w:hAnsi="Book Antiqua" w:cs="Times New Roman"/>
          <w:bCs/>
          <w:sz w:val="24"/>
          <w:szCs w:val="24"/>
        </w:rPr>
        <w:t xml:space="preserve"> </w:t>
      </w:r>
      <w:r w:rsidR="000A0ADE" w:rsidRPr="00814BF6">
        <w:rPr>
          <w:rFonts w:ascii="Book Antiqua" w:eastAsiaTheme="majorEastAsia" w:hAnsi="Book Antiqua" w:cs="Times New Roman"/>
          <w:bCs/>
          <w:sz w:val="24"/>
          <w:szCs w:val="24"/>
        </w:rPr>
        <w:t>2</w:t>
      </w:r>
      <w:r w:rsidR="00452D19"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DD3114" w:rsidRPr="00814BF6">
        <w:rPr>
          <w:rFonts w:ascii="Book Antiqua" w:eastAsiaTheme="majorEastAsia" w:hAnsi="Book Antiqua" w:cs="Times New Roman"/>
          <w:bCs/>
          <w:sz w:val="24"/>
          <w:szCs w:val="24"/>
        </w:rPr>
        <w:t>Among the pCR, the 3</w:t>
      </w:r>
      <w:r w:rsidRPr="00814BF6">
        <w:rPr>
          <w:rFonts w:ascii="Book Antiqua" w:eastAsiaTheme="majorEastAsia" w:hAnsi="Book Antiqua" w:cs="Times New Roman"/>
          <w:bCs/>
          <w:sz w:val="24"/>
          <w:szCs w:val="24"/>
        </w:rPr>
        <w:t>-</w:t>
      </w:r>
      <w:r w:rsidR="00DD3114" w:rsidRPr="00814BF6">
        <w:rPr>
          <w:rFonts w:ascii="Book Antiqua" w:eastAsiaTheme="majorEastAsia" w:hAnsi="Book Antiqua" w:cs="Times New Roman"/>
          <w:bCs/>
          <w:sz w:val="24"/>
          <w:szCs w:val="24"/>
        </w:rPr>
        <w:t xml:space="preserve">year overall survival was 75%, </w:t>
      </w:r>
      <w:r w:rsidRPr="00814BF6">
        <w:rPr>
          <w:rFonts w:ascii="Book Antiqua" w:eastAsiaTheme="majorEastAsia" w:hAnsi="Book Antiqua" w:cs="Times New Roman"/>
          <w:bCs/>
          <w:sz w:val="24"/>
          <w:szCs w:val="24"/>
        </w:rPr>
        <w:t xml:space="preserve">and compared with </w:t>
      </w:r>
      <w:r w:rsidR="00DD3114" w:rsidRPr="00814BF6">
        <w:rPr>
          <w:rFonts w:ascii="Book Antiqua" w:eastAsiaTheme="majorEastAsia" w:hAnsi="Book Antiqua" w:cs="Times New Roman"/>
          <w:bCs/>
          <w:sz w:val="24"/>
          <w:szCs w:val="24"/>
        </w:rPr>
        <w:t>pPD the survival was 33% (</w:t>
      </w:r>
      <w:r w:rsidR="00286EF5" w:rsidRPr="00814BF6">
        <w:rPr>
          <w:rFonts w:ascii="Book Antiqua" w:eastAsiaTheme="majorEastAsia" w:hAnsi="Book Antiqua" w:cs="Times New Roman"/>
          <w:bCs/>
          <w:sz w:val="24"/>
          <w:szCs w:val="24"/>
        </w:rPr>
        <w:t>Fig</w:t>
      </w:r>
      <w:r w:rsidR="00286EF5">
        <w:rPr>
          <w:rFonts w:ascii="Book Antiqua" w:eastAsiaTheme="majorEastAsia" w:hAnsi="Book Antiqua" w:cs="Times New Roman" w:hint="eastAsia"/>
          <w:bCs/>
          <w:sz w:val="24"/>
          <w:szCs w:val="24"/>
          <w:lang w:eastAsia="zh-CN"/>
        </w:rPr>
        <w:t>ure</w:t>
      </w:r>
      <w:r w:rsidR="00DD3114" w:rsidRPr="00814BF6">
        <w:rPr>
          <w:rFonts w:ascii="Book Antiqua" w:eastAsiaTheme="majorEastAsia" w:hAnsi="Book Antiqua" w:cs="Times New Roman"/>
          <w:bCs/>
          <w:sz w:val="24"/>
          <w:szCs w:val="24"/>
        </w:rPr>
        <w:t xml:space="preserve"> 2</w:t>
      </w:r>
      <w:r w:rsidR="00286EF5" w:rsidRPr="00814BF6">
        <w:rPr>
          <w:rFonts w:ascii="Book Antiqua" w:eastAsiaTheme="majorEastAsia" w:hAnsi="Book Antiqua" w:cs="Times New Roman"/>
          <w:bCs/>
          <w:sz w:val="24"/>
          <w:szCs w:val="24"/>
        </w:rPr>
        <w:t>A</w:t>
      </w:r>
      <w:r w:rsidR="00DD3114"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122C02" w:rsidRPr="00814BF6">
        <w:rPr>
          <w:rFonts w:ascii="Book Antiqua" w:eastAsiaTheme="majorEastAsia" w:hAnsi="Book Antiqua" w:cs="Times New Roman"/>
          <w:bCs/>
          <w:sz w:val="24"/>
          <w:szCs w:val="24"/>
        </w:rPr>
        <w:t>The 3</w:t>
      </w:r>
      <w:r w:rsidRPr="00814BF6">
        <w:rPr>
          <w:rFonts w:ascii="Book Antiqua" w:eastAsiaTheme="majorEastAsia" w:hAnsi="Book Antiqua" w:cs="Times New Roman"/>
          <w:bCs/>
          <w:sz w:val="24"/>
          <w:szCs w:val="24"/>
        </w:rPr>
        <w:t>-</w:t>
      </w:r>
      <w:r w:rsidR="00122C02" w:rsidRPr="00814BF6">
        <w:rPr>
          <w:rFonts w:ascii="Book Antiqua" w:eastAsiaTheme="majorEastAsia" w:hAnsi="Book Antiqua" w:cs="Times New Roman"/>
          <w:bCs/>
          <w:sz w:val="24"/>
          <w:szCs w:val="24"/>
        </w:rPr>
        <w:t>year disease</w:t>
      </w:r>
      <w:r w:rsidR="00A91E83" w:rsidRPr="00814BF6">
        <w:rPr>
          <w:rFonts w:ascii="Book Antiqua" w:eastAsiaTheme="majorEastAsia" w:hAnsi="Book Antiqua" w:cs="Times New Roman"/>
          <w:bCs/>
          <w:sz w:val="24"/>
          <w:szCs w:val="24"/>
        </w:rPr>
        <w:t>-</w:t>
      </w:r>
      <w:r w:rsidR="00122C02" w:rsidRPr="00814BF6">
        <w:rPr>
          <w:rFonts w:ascii="Book Antiqua" w:eastAsiaTheme="majorEastAsia" w:hAnsi="Book Antiqua" w:cs="Times New Roman"/>
          <w:bCs/>
          <w:sz w:val="24"/>
          <w:szCs w:val="24"/>
        </w:rPr>
        <w:t xml:space="preserve">free survival </w:t>
      </w:r>
      <w:r w:rsidR="00A91E83" w:rsidRPr="00814BF6">
        <w:rPr>
          <w:rFonts w:ascii="Book Antiqua" w:eastAsiaTheme="majorEastAsia" w:hAnsi="Book Antiqua" w:cs="Times New Roman"/>
          <w:bCs/>
          <w:sz w:val="24"/>
          <w:szCs w:val="24"/>
        </w:rPr>
        <w:t xml:space="preserve">rate </w:t>
      </w:r>
      <w:r w:rsidRPr="00814BF6">
        <w:rPr>
          <w:rFonts w:ascii="Book Antiqua" w:eastAsiaTheme="majorEastAsia" w:hAnsi="Book Antiqua" w:cs="Times New Roman"/>
          <w:bCs/>
          <w:sz w:val="24"/>
          <w:szCs w:val="24"/>
        </w:rPr>
        <w:t xml:space="preserve">for the 17 patients analyzed </w:t>
      </w:r>
      <w:r w:rsidR="00122C02" w:rsidRPr="00814BF6">
        <w:rPr>
          <w:rFonts w:ascii="Book Antiqua" w:eastAsiaTheme="majorEastAsia" w:hAnsi="Book Antiqua" w:cs="Times New Roman"/>
          <w:bCs/>
          <w:sz w:val="24"/>
          <w:szCs w:val="24"/>
        </w:rPr>
        <w:t xml:space="preserve">was 41.2%. </w:t>
      </w:r>
      <w:r w:rsidRPr="00814BF6">
        <w:rPr>
          <w:rFonts w:ascii="Book Antiqua" w:eastAsiaTheme="majorEastAsia" w:hAnsi="Book Antiqua" w:cs="Times New Roman"/>
          <w:bCs/>
          <w:sz w:val="24"/>
          <w:szCs w:val="24"/>
        </w:rPr>
        <w:t>T</w:t>
      </w:r>
      <w:r w:rsidR="00122C02" w:rsidRPr="00814BF6">
        <w:rPr>
          <w:rFonts w:ascii="Book Antiqua" w:eastAsiaTheme="majorEastAsia" w:hAnsi="Book Antiqua" w:cs="Times New Roman"/>
          <w:bCs/>
          <w:sz w:val="24"/>
          <w:szCs w:val="24"/>
        </w:rPr>
        <w:t xml:space="preserve">he </w:t>
      </w:r>
      <w:r w:rsidRPr="00814BF6">
        <w:rPr>
          <w:rFonts w:ascii="Book Antiqua" w:eastAsiaTheme="majorEastAsia" w:hAnsi="Book Antiqua" w:cs="Times New Roman"/>
          <w:bCs/>
          <w:sz w:val="24"/>
          <w:szCs w:val="24"/>
        </w:rPr>
        <w:t xml:space="preserve">disease-free </w:t>
      </w:r>
      <w:proofErr w:type="gramStart"/>
      <w:r w:rsidRPr="00814BF6">
        <w:rPr>
          <w:rFonts w:ascii="Book Antiqua" w:eastAsiaTheme="majorEastAsia" w:hAnsi="Book Antiqua" w:cs="Times New Roman"/>
          <w:bCs/>
          <w:sz w:val="24"/>
          <w:szCs w:val="24"/>
        </w:rPr>
        <w:t xml:space="preserve">survival for the pCR and pPD subgroups </w:t>
      </w:r>
      <w:r w:rsidR="00122C02" w:rsidRPr="00814BF6">
        <w:rPr>
          <w:rFonts w:ascii="Book Antiqua" w:eastAsiaTheme="majorEastAsia" w:hAnsi="Book Antiqua" w:cs="Times New Roman"/>
          <w:bCs/>
          <w:sz w:val="24"/>
          <w:szCs w:val="24"/>
        </w:rPr>
        <w:t>were</w:t>
      </w:r>
      <w:proofErr w:type="gramEnd"/>
      <w:r w:rsidR="00122C02" w:rsidRPr="00814BF6">
        <w:rPr>
          <w:rFonts w:ascii="Book Antiqua" w:eastAsiaTheme="majorEastAsia" w:hAnsi="Book Antiqua" w:cs="Times New Roman"/>
          <w:bCs/>
          <w:sz w:val="24"/>
          <w:szCs w:val="24"/>
        </w:rPr>
        <w:t xml:space="preserve"> 63.55</w:t>
      </w:r>
      <w:r w:rsidRPr="00814BF6">
        <w:rPr>
          <w:rFonts w:ascii="Book Antiqua" w:eastAsiaTheme="majorEastAsia" w:hAnsi="Book Antiqua" w:cs="Times New Roman"/>
          <w:bCs/>
          <w:sz w:val="24"/>
          <w:szCs w:val="24"/>
        </w:rPr>
        <w:t>%</w:t>
      </w:r>
      <w:r w:rsidR="00122C02" w:rsidRPr="00814BF6">
        <w:rPr>
          <w:rFonts w:ascii="Book Antiqua" w:eastAsiaTheme="majorEastAsia" w:hAnsi="Book Antiqua" w:cs="Times New Roman"/>
          <w:bCs/>
          <w:sz w:val="24"/>
          <w:szCs w:val="24"/>
        </w:rPr>
        <w:t xml:space="preserve"> and 22.2%</w:t>
      </w:r>
      <w:r w:rsidRPr="00814BF6">
        <w:rPr>
          <w:rFonts w:ascii="Book Antiqua" w:eastAsiaTheme="majorEastAsia" w:hAnsi="Book Antiqua" w:cs="Times New Roman"/>
          <w:bCs/>
          <w:sz w:val="24"/>
          <w:szCs w:val="24"/>
        </w:rPr>
        <w:t>,</w:t>
      </w:r>
      <w:r w:rsidR="00122C02" w:rsidRPr="00814BF6">
        <w:rPr>
          <w:rFonts w:ascii="Book Antiqua" w:eastAsiaTheme="majorEastAsia" w:hAnsi="Book Antiqua" w:cs="Times New Roman"/>
          <w:bCs/>
          <w:sz w:val="24"/>
          <w:szCs w:val="24"/>
        </w:rPr>
        <w:t xml:space="preserve"> respectively</w:t>
      </w:r>
      <w:r w:rsidRPr="00814BF6">
        <w:rPr>
          <w:rFonts w:ascii="Book Antiqua" w:eastAsiaTheme="majorEastAsia" w:hAnsi="Book Antiqua" w:cs="Times New Roman"/>
          <w:bCs/>
          <w:sz w:val="24"/>
          <w:szCs w:val="24"/>
        </w:rPr>
        <w:t xml:space="preserve"> </w:t>
      </w:r>
      <w:r w:rsidR="00CE14C7" w:rsidRPr="00814BF6">
        <w:rPr>
          <w:rFonts w:ascii="Book Antiqua" w:eastAsiaTheme="majorEastAsia" w:hAnsi="Book Antiqua" w:cs="Times New Roman"/>
          <w:bCs/>
          <w:sz w:val="24"/>
          <w:szCs w:val="24"/>
        </w:rPr>
        <w:t>(</w:t>
      </w:r>
      <w:r w:rsidR="00286EF5" w:rsidRPr="00814BF6">
        <w:rPr>
          <w:rFonts w:ascii="Book Antiqua" w:eastAsiaTheme="majorEastAsia" w:hAnsi="Book Antiqua" w:cs="Times New Roman"/>
          <w:bCs/>
          <w:sz w:val="24"/>
          <w:szCs w:val="24"/>
        </w:rPr>
        <w:t>Fig</w:t>
      </w:r>
      <w:r w:rsidR="00286EF5">
        <w:rPr>
          <w:rFonts w:ascii="Book Antiqua" w:eastAsiaTheme="majorEastAsia" w:hAnsi="Book Antiqua" w:cs="Times New Roman" w:hint="eastAsia"/>
          <w:bCs/>
          <w:sz w:val="24"/>
          <w:szCs w:val="24"/>
          <w:lang w:eastAsia="zh-CN"/>
        </w:rPr>
        <w:t>ure</w:t>
      </w:r>
      <w:r w:rsidR="00CE14C7" w:rsidRPr="00814BF6">
        <w:rPr>
          <w:rFonts w:ascii="Book Antiqua" w:eastAsiaTheme="majorEastAsia" w:hAnsi="Book Antiqua" w:cs="Times New Roman"/>
          <w:bCs/>
          <w:sz w:val="24"/>
          <w:szCs w:val="24"/>
        </w:rPr>
        <w:t xml:space="preserve"> 2</w:t>
      </w:r>
      <w:r w:rsidR="00286EF5" w:rsidRPr="00814BF6">
        <w:rPr>
          <w:rFonts w:ascii="Book Antiqua" w:eastAsiaTheme="majorEastAsia" w:hAnsi="Book Antiqua" w:cs="Times New Roman"/>
          <w:bCs/>
          <w:sz w:val="24"/>
          <w:szCs w:val="24"/>
        </w:rPr>
        <w:t>B</w:t>
      </w:r>
      <w:r w:rsidR="00CE14C7" w:rsidRPr="00814BF6">
        <w:rPr>
          <w:rFonts w:ascii="Book Antiqua" w:eastAsiaTheme="majorEastAsia" w:hAnsi="Book Antiqua" w:cs="Times New Roman"/>
          <w:bCs/>
          <w:sz w:val="24"/>
          <w:szCs w:val="24"/>
        </w:rPr>
        <w:t>)</w:t>
      </w:r>
      <w:r w:rsidR="00122C02"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122C02" w:rsidRPr="00814BF6">
        <w:rPr>
          <w:rFonts w:ascii="Book Antiqua" w:eastAsiaTheme="majorEastAsia" w:hAnsi="Book Antiqua" w:cs="Times New Roman"/>
          <w:bCs/>
          <w:sz w:val="24"/>
          <w:szCs w:val="24"/>
        </w:rPr>
        <w:t>There is no statistic</w:t>
      </w:r>
      <w:r w:rsidR="00A91E83" w:rsidRPr="00814BF6">
        <w:rPr>
          <w:rFonts w:ascii="Book Antiqua" w:eastAsiaTheme="majorEastAsia" w:hAnsi="Book Antiqua" w:cs="Times New Roman"/>
          <w:bCs/>
          <w:sz w:val="24"/>
          <w:szCs w:val="24"/>
        </w:rPr>
        <w:t>al</w:t>
      </w:r>
      <w:r w:rsidR="00122C02" w:rsidRPr="00814BF6">
        <w:rPr>
          <w:rFonts w:ascii="Book Antiqua" w:eastAsiaTheme="majorEastAsia" w:hAnsi="Book Antiqua" w:cs="Times New Roman"/>
          <w:bCs/>
          <w:sz w:val="24"/>
          <w:szCs w:val="24"/>
        </w:rPr>
        <w:t xml:space="preserve"> significan</w:t>
      </w:r>
      <w:r w:rsidR="00A91E83" w:rsidRPr="00814BF6">
        <w:rPr>
          <w:rFonts w:ascii="Book Antiqua" w:eastAsiaTheme="majorEastAsia" w:hAnsi="Book Antiqua" w:cs="Times New Roman"/>
          <w:bCs/>
          <w:sz w:val="24"/>
          <w:szCs w:val="24"/>
        </w:rPr>
        <w:t>ce</w:t>
      </w:r>
      <w:r w:rsidR="00122C02" w:rsidRPr="00814BF6">
        <w:rPr>
          <w:rFonts w:ascii="Book Antiqua" w:eastAsiaTheme="majorEastAsia" w:hAnsi="Book Antiqua" w:cs="Times New Roman"/>
          <w:bCs/>
          <w:sz w:val="24"/>
          <w:szCs w:val="24"/>
        </w:rPr>
        <w:t xml:space="preserve"> </w:t>
      </w:r>
      <w:r w:rsidR="00CE14C7" w:rsidRPr="00814BF6">
        <w:rPr>
          <w:rFonts w:ascii="Book Antiqua" w:eastAsiaTheme="majorEastAsia" w:hAnsi="Book Antiqua" w:cs="Times New Roman"/>
          <w:bCs/>
          <w:sz w:val="24"/>
          <w:szCs w:val="24"/>
        </w:rPr>
        <w:t xml:space="preserve">among the </w:t>
      </w:r>
      <w:r w:rsidR="00A91E83" w:rsidRPr="00814BF6">
        <w:rPr>
          <w:rFonts w:ascii="Book Antiqua" w:eastAsiaTheme="majorEastAsia" w:hAnsi="Book Antiqua" w:cs="Times New Roman"/>
          <w:bCs/>
          <w:sz w:val="24"/>
          <w:szCs w:val="24"/>
        </w:rPr>
        <w:t xml:space="preserve">overall </w:t>
      </w:r>
      <w:r w:rsidR="00CE14C7" w:rsidRPr="00814BF6">
        <w:rPr>
          <w:rFonts w:ascii="Book Antiqua" w:eastAsiaTheme="majorEastAsia" w:hAnsi="Book Antiqua" w:cs="Times New Roman"/>
          <w:bCs/>
          <w:sz w:val="24"/>
          <w:szCs w:val="24"/>
        </w:rPr>
        <w:t>survival analysis (</w:t>
      </w:r>
      <w:r w:rsidR="00286EF5" w:rsidRPr="00286EF5">
        <w:rPr>
          <w:rFonts w:ascii="Book Antiqua" w:eastAsiaTheme="majorEastAsia" w:hAnsi="Book Antiqua" w:cs="Times New Roman"/>
          <w:bCs/>
          <w:i/>
          <w:sz w:val="24"/>
          <w:szCs w:val="24"/>
        </w:rPr>
        <w:t>P</w:t>
      </w:r>
      <w:r w:rsidRPr="00814BF6">
        <w:rPr>
          <w:rFonts w:ascii="Book Antiqua" w:eastAsiaTheme="majorEastAsia" w:hAnsi="Book Antiqua" w:cs="Times New Roman"/>
          <w:bCs/>
          <w:sz w:val="24"/>
          <w:szCs w:val="24"/>
        </w:rPr>
        <w:t xml:space="preserve"> </w:t>
      </w:r>
      <w:r w:rsidR="00CE14C7" w:rsidRPr="00814BF6">
        <w:rPr>
          <w:rFonts w:ascii="Book Antiqua" w:eastAsiaTheme="majorEastAsia" w:hAnsi="Book Antiqua" w:cs="Times New Roman"/>
          <w:bCs/>
          <w:sz w:val="24"/>
          <w:szCs w:val="24"/>
        </w:rPr>
        <w:t xml:space="preserve">= 0.0523) and </w:t>
      </w:r>
      <w:r w:rsidRPr="00814BF6">
        <w:rPr>
          <w:rFonts w:ascii="Book Antiqua" w:eastAsiaTheme="majorEastAsia" w:hAnsi="Book Antiqua" w:cs="Times New Roman"/>
          <w:bCs/>
          <w:sz w:val="24"/>
          <w:szCs w:val="24"/>
        </w:rPr>
        <w:t>disease-free survival</w:t>
      </w:r>
      <w:r w:rsidR="00CE14C7" w:rsidRPr="00814BF6">
        <w:rPr>
          <w:rFonts w:ascii="Book Antiqua" w:eastAsiaTheme="majorEastAsia" w:hAnsi="Book Antiqua" w:cs="Times New Roman"/>
          <w:bCs/>
          <w:sz w:val="24"/>
          <w:szCs w:val="24"/>
        </w:rPr>
        <w:t xml:space="preserve"> analysis (</w:t>
      </w:r>
      <w:r w:rsidR="00286EF5" w:rsidRPr="00286EF5">
        <w:rPr>
          <w:rFonts w:ascii="Book Antiqua" w:eastAsiaTheme="majorEastAsia" w:hAnsi="Book Antiqua" w:cs="Times New Roman"/>
          <w:bCs/>
          <w:i/>
          <w:sz w:val="24"/>
          <w:szCs w:val="24"/>
        </w:rPr>
        <w:t>P</w:t>
      </w:r>
      <w:r w:rsidR="00CE14C7" w:rsidRPr="00814BF6">
        <w:rPr>
          <w:rFonts w:ascii="Book Antiqua" w:eastAsiaTheme="majorEastAsia" w:hAnsi="Book Antiqua" w:cs="Times New Roman"/>
          <w:bCs/>
          <w:sz w:val="24"/>
          <w:szCs w:val="24"/>
        </w:rPr>
        <w:t xml:space="preserve"> = 0.0897).</w:t>
      </w:r>
      <w:r w:rsidR="00F91E94" w:rsidRPr="00814BF6">
        <w:rPr>
          <w:rFonts w:ascii="Book Antiqua" w:eastAsiaTheme="majorEastAsia" w:hAnsi="Book Antiqua" w:cs="Times New Roman"/>
          <w:bCs/>
          <w:sz w:val="24"/>
          <w:szCs w:val="24"/>
        </w:rPr>
        <w:t xml:space="preserve"> </w:t>
      </w:r>
      <w:r w:rsidR="00CE14C7" w:rsidRPr="00814BF6">
        <w:rPr>
          <w:rFonts w:ascii="Book Antiqua" w:eastAsiaTheme="majorEastAsia" w:hAnsi="Book Antiqua" w:cs="Times New Roman"/>
          <w:bCs/>
          <w:sz w:val="24"/>
          <w:szCs w:val="24"/>
        </w:rPr>
        <w:t>However, t</w:t>
      </w:r>
      <w:r w:rsidR="002777F1" w:rsidRPr="00814BF6">
        <w:rPr>
          <w:rFonts w:ascii="Book Antiqua" w:eastAsiaTheme="majorEastAsia" w:hAnsi="Book Antiqua" w:cs="Times New Roman"/>
          <w:bCs/>
          <w:sz w:val="24"/>
          <w:szCs w:val="24"/>
        </w:rPr>
        <w:t xml:space="preserve">here is trend </w:t>
      </w:r>
      <w:r w:rsidRPr="00814BF6">
        <w:rPr>
          <w:rFonts w:ascii="Book Antiqua" w:eastAsiaTheme="majorEastAsia" w:hAnsi="Book Antiqua" w:cs="Times New Roman"/>
          <w:bCs/>
          <w:sz w:val="24"/>
          <w:szCs w:val="24"/>
        </w:rPr>
        <w:t xml:space="preserve">toward </w:t>
      </w:r>
      <w:r w:rsidR="00B949B2" w:rsidRPr="00814BF6">
        <w:rPr>
          <w:rFonts w:ascii="Book Antiqua" w:eastAsiaTheme="majorEastAsia" w:hAnsi="Book Antiqua" w:cs="Times New Roman"/>
          <w:bCs/>
          <w:sz w:val="24"/>
          <w:szCs w:val="24"/>
        </w:rPr>
        <w:t>improv</w:t>
      </w:r>
      <w:r w:rsidRPr="00814BF6">
        <w:rPr>
          <w:rFonts w:ascii="Book Antiqua" w:eastAsiaTheme="majorEastAsia" w:hAnsi="Book Antiqua" w:cs="Times New Roman"/>
          <w:bCs/>
          <w:sz w:val="24"/>
          <w:szCs w:val="24"/>
        </w:rPr>
        <w:t>ed</w:t>
      </w:r>
      <w:r w:rsidR="00452D19" w:rsidRPr="00814BF6">
        <w:rPr>
          <w:rFonts w:ascii="Book Antiqua" w:eastAsiaTheme="majorEastAsia" w:hAnsi="Book Antiqua" w:cs="Times New Roman"/>
          <w:bCs/>
          <w:sz w:val="24"/>
          <w:szCs w:val="24"/>
        </w:rPr>
        <w:t xml:space="preserve"> prognosis w</w:t>
      </w:r>
      <w:r w:rsidRPr="00814BF6">
        <w:rPr>
          <w:rFonts w:ascii="Book Antiqua" w:eastAsiaTheme="majorEastAsia" w:hAnsi="Book Antiqua" w:cs="Times New Roman"/>
          <w:bCs/>
          <w:sz w:val="24"/>
          <w:szCs w:val="24"/>
        </w:rPr>
        <w:t>hen</w:t>
      </w:r>
      <w:r w:rsidR="00452D19" w:rsidRPr="00814BF6">
        <w:rPr>
          <w:rFonts w:ascii="Book Antiqua" w:eastAsiaTheme="majorEastAsia" w:hAnsi="Book Antiqua" w:cs="Times New Roman"/>
          <w:bCs/>
          <w:sz w:val="24"/>
          <w:szCs w:val="24"/>
        </w:rPr>
        <w:t xml:space="preserve"> comparing </w:t>
      </w:r>
      <w:r w:rsidRPr="00814BF6">
        <w:rPr>
          <w:rFonts w:ascii="Book Antiqua" w:eastAsiaTheme="majorEastAsia" w:hAnsi="Book Antiqua" w:cs="Times New Roman"/>
          <w:bCs/>
          <w:sz w:val="24"/>
          <w:szCs w:val="24"/>
        </w:rPr>
        <w:t>pCR</w:t>
      </w:r>
      <w:r w:rsidR="00452D19" w:rsidRPr="00814BF6">
        <w:rPr>
          <w:rFonts w:ascii="Book Antiqua" w:eastAsiaTheme="majorEastAsia" w:hAnsi="Book Antiqua" w:cs="Times New Roman"/>
          <w:bCs/>
          <w:sz w:val="24"/>
          <w:szCs w:val="24"/>
        </w:rPr>
        <w:t xml:space="preserve"> </w:t>
      </w:r>
      <w:r w:rsidR="00452D19" w:rsidRPr="00286EF5">
        <w:rPr>
          <w:rFonts w:ascii="Book Antiqua" w:eastAsiaTheme="majorEastAsia" w:hAnsi="Book Antiqua" w:cs="Times New Roman"/>
          <w:bCs/>
          <w:i/>
          <w:sz w:val="24"/>
          <w:szCs w:val="24"/>
        </w:rPr>
        <w:t>vs</w:t>
      </w:r>
      <w:r w:rsidR="00452D19" w:rsidRPr="00814BF6">
        <w:rPr>
          <w:rFonts w:ascii="Book Antiqua" w:eastAsiaTheme="majorEastAsia" w:hAnsi="Book Antiqua" w:cs="Times New Roman"/>
          <w:bCs/>
          <w:sz w:val="24"/>
          <w:szCs w:val="24"/>
        </w:rPr>
        <w:t xml:space="preserve"> not complete response</w:t>
      </w:r>
      <w:r w:rsidR="00B949B2" w:rsidRPr="00814BF6">
        <w:rPr>
          <w:rFonts w:ascii="Book Antiqua" w:eastAsiaTheme="majorEastAsia" w:hAnsi="Book Antiqua" w:cs="Times New Roman"/>
          <w:bCs/>
          <w:sz w:val="24"/>
          <w:szCs w:val="24"/>
        </w:rPr>
        <w:t>, although th</w:t>
      </w:r>
      <w:r w:rsidR="000023B0" w:rsidRPr="00814BF6">
        <w:rPr>
          <w:rFonts w:ascii="Book Antiqua" w:eastAsiaTheme="majorEastAsia" w:hAnsi="Book Antiqua" w:cs="Times New Roman"/>
          <w:bCs/>
          <w:sz w:val="24"/>
          <w:szCs w:val="24"/>
        </w:rPr>
        <w:t>is did not reach</w:t>
      </w:r>
      <w:r w:rsidR="00B949B2" w:rsidRPr="00814BF6">
        <w:rPr>
          <w:rFonts w:ascii="Book Antiqua" w:eastAsiaTheme="majorEastAsia" w:hAnsi="Book Antiqua" w:cs="Times New Roman"/>
          <w:bCs/>
          <w:sz w:val="24"/>
          <w:szCs w:val="24"/>
        </w:rPr>
        <w:t xml:space="preserve"> statistic</w:t>
      </w:r>
      <w:r w:rsidR="000023B0" w:rsidRPr="00814BF6">
        <w:rPr>
          <w:rFonts w:ascii="Book Antiqua" w:eastAsiaTheme="majorEastAsia" w:hAnsi="Book Antiqua" w:cs="Times New Roman"/>
          <w:bCs/>
          <w:sz w:val="24"/>
          <w:szCs w:val="24"/>
        </w:rPr>
        <w:t>al</w:t>
      </w:r>
      <w:r w:rsidR="00B949B2" w:rsidRPr="00814BF6">
        <w:rPr>
          <w:rFonts w:ascii="Book Antiqua" w:eastAsiaTheme="majorEastAsia" w:hAnsi="Book Antiqua" w:cs="Times New Roman"/>
          <w:bCs/>
          <w:sz w:val="24"/>
          <w:szCs w:val="24"/>
        </w:rPr>
        <w:t xml:space="preserve"> signif</w:t>
      </w:r>
      <w:r w:rsidR="00CE14C7" w:rsidRPr="00814BF6">
        <w:rPr>
          <w:rFonts w:ascii="Book Antiqua" w:eastAsiaTheme="majorEastAsia" w:hAnsi="Book Antiqua" w:cs="Times New Roman"/>
          <w:bCs/>
          <w:sz w:val="24"/>
          <w:szCs w:val="24"/>
        </w:rPr>
        <w:t>icance</w:t>
      </w:r>
      <w:r w:rsidR="00B949B2"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p>
    <w:p w14:paraId="5526F541" w14:textId="77777777" w:rsidR="00FE7C40" w:rsidRPr="00814BF6" w:rsidRDefault="00FE7C40" w:rsidP="00286EF5">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 xml:space="preserve">In </w:t>
      </w:r>
      <w:r w:rsidR="007843E7" w:rsidRPr="00814BF6">
        <w:rPr>
          <w:rFonts w:ascii="Book Antiqua" w:eastAsiaTheme="majorEastAsia" w:hAnsi="Book Antiqua" w:cs="Times New Roman"/>
          <w:bCs/>
          <w:sz w:val="24"/>
          <w:szCs w:val="24"/>
        </w:rPr>
        <w:t>uni</w:t>
      </w:r>
      <w:r w:rsidRPr="00814BF6">
        <w:rPr>
          <w:rFonts w:ascii="Book Antiqua" w:eastAsiaTheme="majorEastAsia" w:hAnsi="Book Antiqua" w:cs="Times New Roman"/>
          <w:bCs/>
          <w:sz w:val="24"/>
          <w:szCs w:val="24"/>
        </w:rPr>
        <w:t>va</w:t>
      </w:r>
      <w:r w:rsidR="00015FED" w:rsidRPr="00814BF6">
        <w:rPr>
          <w:rFonts w:ascii="Book Antiqua" w:eastAsiaTheme="majorEastAsia" w:hAnsi="Book Antiqua" w:cs="Times New Roman"/>
          <w:bCs/>
          <w:sz w:val="24"/>
          <w:szCs w:val="24"/>
        </w:rPr>
        <w:t>riate survival</w:t>
      </w:r>
      <w:r w:rsidRPr="00814BF6">
        <w:rPr>
          <w:rFonts w:ascii="Book Antiqua" w:eastAsiaTheme="majorEastAsia" w:hAnsi="Book Antiqua" w:cs="Times New Roman"/>
          <w:bCs/>
          <w:sz w:val="24"/>
          <w:szCs w:val="24"/>
        </w:rPr>
        <w:t xml:space="preserve"> analysis, among the vario</w:t>
      </w:r>
      <w:r w:rsidR="00015FED" w:rsidRPr="00814BF6">
        <w:rPr>
          <w:rFonts w:ascii="Book Antiqua" w:eastAsiaTheme="majorEastAsia" w:hAnsi="Book Antiqua" w:cs="Times New Roman"/>
          <w:bCs/>
          <w:sz w:val="24"/>
          <w:szCs w:val="24"/>
        </w:rPr>
        <w:t>us factors, post</w:t>
      </w:r>
      <w:r w:rsidR="000023B0" w:rsidRPr="00814BF6">
        <w:rPr>
          <w:rFonts w:ascii="Book Antiqua" w:eastAsiaTheme="majorEastAsia" w:hAnsi="Book Antiqua" w:cs="Times New Roman"/>
          <w:bCs/>
          <w:sz w:val="24"/>
          <w:szCs w:val="24"/>
        </w:rPr>
        <w:t>-</w:t>
      </w:r>
      <w:r w:rsidR="00015FED" w:rsidRPr="00814BF6">
        <w:rPr>
          <w:rFonts w:ascii="Book Antiqua" w:eastAsiaTheme="majorEastAsia" w:hAnsi="Book Antiqua" w:cs="Times New Roman"/>
          <w:bCs/>
          <w:sz w:val="24"/>
          <w:szCs w:val="24"/>
        </w:rPr>
        <w:t>triple modality</w:t>
      </w:r>
      <w:r w:rsidRPr="00814BF6">
        <w:rPr>
          <w:rFonts w:ascii="Book Antiqua" w:eastAsiaTheme="majorEastAsia" w:hAnsi="Book Antiqua" w:cs="Times New Roman"/>
          <w:bCs/>
          <w:sz w:val="24"/>
          <w:szCs w:val="24"/>
        </w:rPr>
        <w:t xml:space="preserve"> node stages were</w:t>
      </w:r>
      <w:r w:rsidR="00015FED" w:rsidRPr="00814BF6">
        <w:rPr>
          <w:rFonts w:ascii="Book Antiqua" w:eastAsiaTheme="majorEastAsia" w:hAnsi="Book Antiqua" w:cs="Times New Roman"/>
          <w:bCs/>
          <w:sz w:val="24"/>
          <w:szCs w:val="24"/>
        </w:rPr>
        <w:t xml:space="preserve"> a strong</w:t>
      </w:r>
      <w:r w:rsidRPr="00814BF6">
        <w:rPr>
          <w:rFonts w:ascii="Book Antiqua" w:eastAsiaTheme="majorEastAsia" w:hAnsi="Book Antiqua" w:cs="Times New Roman"/>
          <w:bCs/>
          <w:sz w:val="24"/>
          <w:szCs w:val="24"/>
        </w:rPr>
        <w:t xml:space="preserve"> </w:t>
      </w:r>
      <w:r w:rsidR="00015FED" w:rsidRPr="00814BF6">
        <w:rPr>
          <w:rFonts w:ascii="Book Antiqua" w:eastAsiaTheme="majorEastAsia" w:hAnsi="Book Antiqua" w:cs="Times New Roman"/>
          <w:bCs/>
          <w:sz w:val="24"/>
          <w:szCs w:val="24"/>
        </w:rPr>
        <w:t xml:space="preserve">independent </w:t>
      </w:r>
      <w:r w:rsidRPr="00814BF6">
        <w:rPr>
          <w:rFonts w:ascii="Book Antiqua" w:eastAsiaTheme="majorEastAsia" w:hAnsi="Book Antiqua" w:cs="Times New Roman"/>
          <w:bCs/>
          <w:sz w:val="24"/>
          <w:szCs w:val="24"/>
        </w:rPr>
        <w:t>favor</w:t>
      </w:r>
      <w:r w:rsidR="000023B0" w:rsidRPr="00814BF6">
        <w:rPr>
          <w:rFonts w:ascii="Book Antiqua" w:eastAsiaTheme="majorEastAsia" w:hAnsi="Book Antiqua" w:cs="Times New Roman"/>
          <w:bCs/>
          <w:sz w:val="24"/>
          <w:szCs w:val="24"/>
        </w:rPr>
        <w:t>able</w:t>
      </w:r>
      <w:r w:rsidRPr="00814BF6">
        <w:rPr>
          <w:rFonts w:ascii="Book Antiqua" w:eastAsiaTheme="majorEastAsia" w:hAnsi="Book Antiqua" w:cs="Times New Roman"/>
          <w:bCs/>
          <w:sz w:val="24"/>
          <w:szCs w:val="24"/>
        </w:rPr>
        <w:t xml:space="preserve"> </w:t>
      </w:r>
      <w:r w:rsidR="00015FED" w:rsidRPr="00814BF6">
        <w:rPr>
          <w:rFonts w:ascii="Book Antiqua" w:eastAsiaTheme="majorEastAsia" w:hAnsi="Book Antiqua" w:cs="Times New Roman"/>
          <w:bCs/>
          <w:sz w:val="24"/>
          <w:szCs w:val="24"/>
        </w:rPr>
        <w:t>predicting factor for survival</w:t>
      </w:r>
      <w:r w:rsidRPr="00814BF6">
        <w:rPr>
          <w:rFonts w:ascii="Book Antiqua" w:eastAsiaTheme="majorEastAsia" w:hAnsi="Book Antiqua" w:cs="Times New Roman"/>
          <w:bCs/>
          <w:sz w:val="24"/>
          <w:szCs w:val="24"/>
        </w:rPr>
        <w:t xml:space="preserve"> </w:t>
      </w:r>
      <w:r w:rsidR="00286EF5" w:rsidRPr="00286EF5">
        <w:rPr>
          <w:rFonts w:ascii="Book Antiqua" w:eastAsiaTheme="majorEastAsia" w:hAnsi="Book Antiqua" w:cs="Times New Roman"/>
          <w:bCs/>
          <w:sz w:val="24"/>
          <w:szCs w:val="24"/>
        </w:rPr>
        <w:t>(</w:t>
      </w:r>
      <w:r w:rsidR="00286EF5" w:rsidRPr="00286EF5">
        <w:rPr>
          <w:rFonts w:ascii="Book Antiqua" w:eastAsiaTheme="majorEastAsia" w:hAnsi="Book Antiqua" w:cs="Times New Roman"/>
          <w:bCs/>
          <w:i/>
          <w:sz w:val="24"/>
          <w:szCs w:val="24"/>
        </w:rPr>
        <w:t>P</w:t>
      </w:r>
      <w:r w:rsidRPr="00814BF6">
        <w:rPr>
          <w:rFonts w:ascii="Book Antiqua" w:eastAsiaTheme="majorEastAsia" w:hAnsi="Book Antiqua" w:cs="Times New Roman"/>
          <w:bCs/>
          <w:sz w:val="24"/>
          <w:szCs w:val="24"/>
        </w:rPr>
        <w:t xml:space="preserve"> &lt; 0.01).</w:t>
      </w:r>
      <w:r w:rsidR="00F91E94" w:rsidRPr="00814BF6">
        <w:rPr>
          <w:rFonts w:ascii="Book Antiqua" w:eastAsiaTheme="majorEastAsia" w:hAnsi="Book Antiqua" w:cs="Times New Roman"/>
          <w:bCs/>
          <w:sz w:val="24"/>
          <w:szCs w:val="24"/>
        </w:rPr>
        <w:t xml:space="preserve"> </w:t>
      </w:r>
      <w:r w:rsidR="00015FED" w:rsidRPr="00814BF6">
        <w:rPr>
          <w:rFonts w:ascii="Book Antiqua" w:eastAsiaTheme="majorEastAsia" w:hAnsi="Book Antiqua" w:cs="Times New Roman"/>
          <w:bCs/>
          <w:sz w:val="24"/>
          <w:szCs w:val="24"/>
        </w:rPr>
        <w:t>Sex, the tumor size, the type of chemotherapy, the tumor location</w:t>
      </w:r>
      <w:r w:rsidR="000023B0" w:rsidRPr="00814BF6">
        <w:rPr>
          <w:rFonts w:ascii="Book Antiqua" w:eastAsiaTheme="majorEastAsia" w:hAnsi="Book Antiqua" w:cs="Times New Roman"/>
          <w:bCs/>
          <w:sz w:val="24"/>
          <w:szCs w:val="24"/>
        </w:rPr>
        <w:t>,</w:t>
      </w:r>
      <w:r w:rsidR="00015FED" w:rsidRPr="00814BF6">
        <w:rPr>
          <w:rFonts w:ascii="Book Antiqua" w:eastAsiaTheme="majorEastAsia" w:hAnsi="Book Antiqua" w:cs="Times New Roman"/>
          <w:bCs/>
          <w:sz w:val="24"/>
          <w:szCs w:val="24"/>
        </w:rPr>
        <w:t xml:space="preserve"> and tumor configuration were no</w:t>
      </w:r>
      <w:r w:rsidR="000023B0" w:rsidRPr="00814BF6">
        <w:rPr>
          <w:rFonts w:ascii="Book Antiqua" w:eastAsiaTheme="majorEastAsia" w:hAnsi="Book Antiqua" w:cs="Times New Roman"/>
          <w:bCs/>
          <w:sz w:val="24"/>
          <w:szCs w:val="24"/>
        </w:rPr>
        <w:t>t</w:t>
      </w:r>
      <w:r w:rsidR="00015FED" w:rsidRPr="00814BF6">
        <w:rPr>
          <w:rFonts w:ascii="Book Antiqua" w:eastAsiaTheme="majorEastAsia" w:hAnsi="Book Antiqua" w:cs="Times New Roman"/>
          <w:bCs/>
          <w:sz w:val="24"/>
          <w:szCs w:val="24"/>
        </w:rPr>
        <w:t xml:space="preserve"> predicting factor</w:t>
      </w:r>
      <w:r w:rsidR="000023B0" w:rsidRPr="00814BF6">
        <w:rPr>
          <w:rFonts w:ascii="Book Antiqua" w:eastAsiaTheme="majorEastAsia" w:hAnsi="Book Antiqua" w:cs="Times New Roman"/>
          <w:bCs/>
          <w:sz w:val="24"/>
          <w:szCs w:val="24"/>
        </w:rPr>
        <w:t>s</w:t>
      </w:r>
      <w:r w:rsidR="00015FED" w:rsidRPr="00814BF6">
        <w:rPr>
          <w:rFonts w:ascii="Book Antiqua" w:eastAsiaTheme="majorEastAsia" w:hAnsi="Book Antiqua" w:cs="Times New Roman"/>
          <w:bCs/>
          <w:sz w:val="24"/>
          <w:szCs w:val="24"/>
        </w:rPr>
        <w:t xml:space="preserve"> for survival (Table </w:t>
      </w:r>
      <w:r w:rsidR="00292190" w:rsidRPr="00814BF6">
        <w:rPr>
          <w:rFonts w:ascii="Book Antiqua" w:eastAsiaTheme="majorEastAsia" w:hAnsi="Book Antiqua" w:cs="Times New Roman"/>
          <w:bCs/>
          <w:sz w:val="24"/>
          <w:szCs w:val="24"/>
        </w:rPr>
        <w:t>4</w:t>
      </w:r>
      <w:r w:rsidR="00015FED" w:rsidRPr="00814BF6">
        <w:rPr>
          <w:rFonts w:ascii="Book Antiqua" w:eastAsiaTheme="majorEastAsia" w:hAnsi="Book Antiqua" w:cs="Times New Roman"/>
          <w:bCs/>
          <w:sz w:val="24"/>
          <w:szCs w:val="24"/>
        </w:rPr>
        <w:t>).</w:t>
      </w:r>
    </w:p>
    <w:p w14:paraId="529B9AB3" w14:textId="77777777" w:rsidR="00452D19" w:rsidRPr="00814BF6" w:rsidRDefault="007B35BF" w:rsidP="00286EF5">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 xml:space="preserve">Patients who </w:t>
      </w:r>
      <w:r w:rsidR="000023B0" w:rsidRPr="00814BF6">
        <w:rPr>
          <w:rFonts w:ascii="Book Antiqua" w:eastAsiaTheme="majorEastAsia" w:hAnsi="Book Antiqua" w:cs="Times New Roman"/>
          <w:bCs/>
          <w:sz w:val="24"/>
          <w:szCs w:val="24"/>
        </w:rPr>
        <w:t xml:space="preserve">had </w:t>
      </w:r>
      <w:r w:rsidR="00A91E83" w:rsidRPr="00814BF6">
        <w:rPr>
          <w:rFonts w:ascii="Book Antiqua" w:eastAsiaTheme="majorEastAsia" w:hAnsi="Book Antiqua" w:cs="Times New Roman"/>
          <w:bCs/>
          <w:sz w:val="24"/>
          <w:szCs w:val="24"/>
        </w:rPr>
        <w:t>pCR</w:t>
      </w:r>
      <w:r w:rsidR="00452D19" w:rsidRPr="00814BF6">
        <w:rPr>
          <w:rFonts w:ascii="Book Antiqua" w:eastAsiaTheme="majorEastAsia" w:hAnsi="Book Antiqua" w:cs="Times New Roman"/>
          <w:bCs/>
          <w:sz w:val="24"/>
          <w:szCs w:val="24"/>
        </w:rPr>
        <w:t xml:space="preserve"> to neoadjuvant treatment had a </w:t>
      </w:r>
      <w:r w:rsidRPr="00814BF6">
        <w:rPr>
          <w:rFonts w:ascii="Book Antiqua" w:eastAsiaTheme="majorEastAsia" w:hAnsi="Book Antiqua" w:cs="Times New Roman"/>
          <w:bCs/>
          <w:sz w:val="24"/>
          <w:szCs w:val="24"/>
        </w:rPr>
        <w:t xml:space="preserve">trend of </w:t>
      </w:r>
      <w:r w:rsidR="00452D19" w:rsidRPr="00814BF6">
        <w:rPr>
          <w:rFonts w:ascii="Book Antiqua" w:eastAsiaTheme="majorEastAsia" w:hAnsi="Book Antiqua" w:cs="Times New Roman"/>
          <w:bCs/>
          <w:sz w:val="24"/>
          <w:szCs w:val="24"/>
        </w:rPr>
        <w:t xml:space="preserve">beneﬁt </w:t>
      </w:r>
      <w:r w:rsidR="00A91E83" w:rsidRPr="00814BF6">
        <w:rPr>
          <w:rFonts w:ascii="Book Antiqua" w:eastAsiaTheme="majorEastAsia" w:hAnsi="Book Antiqua" w:cs="Times New Roman"/>
          <w:bCs/>
          <w:sz w:val="24"/>
          <w:szCs w:val="24"/>
        </w:rPr>
        <w:t>for the</w:t>
      </w:r>
      <w:r w:rsidR="00452D19" w:rsidRPr="00814BF6">
        <w:rPr>
          <w:rFonts w:ascii="Book Antiqua" w:eastAsiaTheme="majorEastAsia" w:hAnsi="Book Antiqua" w:cs="Times New Roman"/>
          <w:bCs/>
          <w:sz w:val="24"/>
          <w:szCs w:val="24"/>
        </w:rPr>
        <w:t xml:space="preserve"> probability of survival compared to patients with</w:t>
      </w:r>
      <w:r w:rsidRPr="00814BF6">
        <w:rPr>
          <w:rFonts w:ascii="Book Antiqua" w:eastAsiaTheme="majorEastAsia" w:hAnsi="Book Antiqua" w:cs="Times New Roman"/>
          <w:bCs/>
          <w:sz w:val="24"/>
          <w:szCs w:val="24"/>
        </w:rPr>
        <w:t xml:space="preserve"> p</w:t>
      </w:r>
      <w:r w:rsidR="0001705B" w:rsidRPr="00814BF6">
        <w:rPr>
          <w:rFonts w:ascii="Book Antiqua" w:eastAsiaTheme="majorEastAsia" w:hAnsi="Book Antiqua" w:cs="Times New Roman"/>
          <w:bCs/>
          <w:sz w:val="24"/>
          <w:szCs w:val="24"/>
        </w:rPr>
        <w:t>PD</w:t>
      </w:r>
      <w:r w:rsidR="004B12A6" w:rsidRPr="00814BF6">
        <w:rPr>
          <w:rFonts w:ascii="Book Antiqua" w:eastAsiaTheme="majorEastAsia" w:hAnsi="Book Antiqua" w:cs="Times New Roman"/>
          <w:bCs/>
          <w:sz w:val="24"/>
          <w:szCs w:val="24"/>
        </w:rPr>
        <w:t xml:space="preserve"> </w:t>
      </w:r>
      <w:r w:rsidR="000023B0" w:rsidRPr="00814BF6">
        <w:rPr>
          <w:rFonts w:ascii="Book Antiqua" w:eastAsiaTheme="majorEastAsia" w:hAnsi="Book Antiqua" w:cs="Times New Roman"/>
          <w:bCs/>
          <w:sz w:val="24"/>
          <w:szCs w:val="24"/>
        </w:rPr>
        <w:t>after</w:t>
      </w:r>
      <w:r w:rsidR="004B12A6" w:rsidRPr="00814BF6">
        <w:rPr>
          <w:rFonts w:ascii="Book Antiqua" w:eastAsiaTheme="majorEastAsia" w:hAnsi="Book Antiqua" w:cs="Times New Roman"/>
          <w:bCs/>
          <w:sz w:val="24"/>
          <w:szCs w:val="24"/>
        </w:rPr>
        <w:t xml:space="preserve"> neoadjuvant treatment. </w:t>
      </w:r>
      <w:r w:rsidR="000023B0" w:rsidRPr="00814BF6">
        <w:rPr>
          <w:rFonts w:ascii="Book Antiqua" w:eastAsiaTheme="majorEastAsia" w:hAnsi="Book Antiqua" w:cs="Times New Roman"/>
          <w:bCs/>
          <w:sz w:val="24"/>
          <w:szCs w:val="24"/>
        </w:rPr>
        <w:t>The</w:t>
      </w:r>
      <w:r w:rsidR="004B12A6" w:rsidRPr="00814BF6">
        <w:rPr>
          <w:rFonts w:ascii="Book Antiqua" w:eastAsiaTheme="majorEastAsia" w:hAnsi="Book Antiqua" w:cs="Times New Roman"/>
          <w:bCs/>
          <w:sz w:val="24"/>
          <w:szCs w:val="24"/>
        </w:rPr>
        <w:t xml:space="preserve"> </w:t>
      </w:r>
      <w:r w:rsidR="007843E7" w:rsidRPr="00814BF6">
        <w:rPr>
          <w:rFonts w:ascii="Book Antiqua" w:eastAsiaTheme="majorEastAsia" w:hAnsi="Book Antiqua" w:cs="Times New Roman"/>
          <w:bCs/>
          <w:sz w:val="24"/>
          <w:szCs w:val="24"/>
        </w:rPr>
        <w:t>3</w:t>
      </w:r>
      <w:r w:rsidR="000023B0" w:rsidRPr="00814BF6">
        <w:rPr>
          <w:rFonts w:ascii="Book Antiqua" w:eastAsiaTheme="majorEastAsia" w:hAnsi="Book Antiqua" w:cs="Times New Roman"/>
          <w:bCs/>
          <w:sz w:val="24"/>
          <w:szCs w:val="24"/>
        </w:rPr>
        <w:t>-</w:t>
      </w:r>
      <w:r w:rsidR="00452D19" w:rsidRPr="00814BF6">
        <w:rPr>
          <w:rFonts w:ascii="Book Antiqua" w:eastAsiaTheme="majorEastAsia" w:hAnsi="Book Antiqua" w:cs="Times New Roman"/>
          <w:bCs/>
          <w:sz w:val="24"/>
          <w:szCs w:val="24"/>
        </w:rPr>
        <w:t xml:space="preserve">year </w:t>
      </w:r>
      <w:r w:rsidRPr="00814BF6">
        <w:rPr>
          <w:rFonts w:ascii="Book Antiqua" w:eastAsiaTheme="majorEastAsia" w:hAnsi="Book Antiqua" w:cs="Times New Roman"/>
          <w:bCs/>
          <w:sz w:val="24"/>
          <w:szCs w:val="24"/>
        </w:rPr>
        <w:t xml:space="preserve">overall </w:t>
      </w:r>
      <w:r w:rsidR="00452D19" w:rsidRPr="00814BF6">
        <w:rPr>
          <w:rFonts w:ascii="Book Antiqua" w:eastAsiaTheme="majorEastAsia" w:hAnsi="Book Antiqua" w:cs="Times New Roman"/>
          <w:bCs/>
          <w:sz w:val="24"/>
          <w:szCs w:val="24"/>
        </w:rPr>
        <w:t xml:space="preserve">survival rates </w:t>
      </w:r>
      <w:r w:rsidR="004B12A6" w:rsidRPr="00814BF6">
        <w:rPr>
          <w:rFonts w:ascii="Book Antiqua" w:eastAsiaTheme="majorEastAsia" w:hAnsi="Book Antiqua" w:cs="Times New Roman"/>
          <w:bCs/>
          <w:sz w:val="24"/>
          <w:szCs w:val="24"/>
        </w:rPr>
        <w:t>were</w:t>
      </w:r>
      <w:r w:rsidR="000023B0" w:rsidRPr="00814BF6">
        <w:rPr>
          <w:rFonts w:ascii="Book Antiqua" w:eastAsiaTheme="majorEastAsia" w:hAnsi="Book Antiqua" w:cs="Times New Roman"/>
          <w:bCs/>
          <w:sz w:val="24"/>
          <w:szCs w:val="24"/>
        </w:rPr>
        <w:t xml:space="preserve"> </w:t>
      </w:r>
      <w:r w:rsidR="00286EF5">
        <w:rPr>
          <w:rFonts w:ascii="Book Antiqua" w:eastAsiaTheme="majorEastAsia" w:hAnsi="Book Antiqua" w:cs="Times New Roman"/>
          <w:bCs/>
          <w:sz w:val="24"/>
          <w:szCs w:val="24"/>
        </w:rPr>
        <w:t xml:space="preserve">75% </w:t>
      </w:r>
      <w:r w:rsidR="00286EF5" w:rsidRPr="00286EF5">
        <w:rPr>
          <w:rFonts w:ascii="Book Antiqua" w:eastAsiaTheme="majorEastAsia" w:hAnsi="Book Antiqua" w:cs="Times New Roman"/>
          <w:bCs/>
          <w:i/>
          <w:sz w:val="24"/>
          <w:szCs w:val="24"/>
        </w:rPr>
        <w:t>vs</w:t>
      </w:r>
      <w:r w:rsidR="00452D19" w:rsidRPr="00814BF6">
        <w:rPr>
          <w:rFonts w:ascii="Book Antiqua" w:eastAsiaTheme="majorEastAsia" w:hAnsi="Book Antiqua" w:cs="Times New Roman"/>
          <w:bCs/>
          <w:sz w:val="24"/>
          <w:szCs w:val="24"/>
        </w:rPr>
        <w:t xml:space="preserve"> 33%</w:t>
      </w:r>
      <w:r w:rsidR="00A91E83" w:rsidRPr="00814BF6">
        <w:rPr>
          <w:rFonts w:ascii="Book Antiqua" w:eastAsiaTheme="majorEastAsia" w:hAnsi="Book Antiqua" w:cs="Times New Roman"/>
          <w:bCs/>
          <w:sz w:val="24"/>
          <w:szCs w:val="24"/>
        </w:rPr>
        <w:t xml:space="preserve"> and the</w:t>
      </w:r>
      <w:r w:rsidR="00452D19" w:rsidRPr="00814BF6">
        <w:rPr>
          <w:rFonts w:ascii="Book Antiqua" w:eastAsiaTheme="majorEastAsia" w:hAnsi="Book Antiqua" w:cs="Times New Roman"/>
          <w:bCs/>
          <w:sz w:val="24"/>
          <w:szCs w:val="24"/>
        </w:rPr>
        <w:t xml:space="preserve"> </w:t>
      </w:r>
      <w:r w:rsidR="004B12A6" w:rsidRPr="00814BF6">
        <w:rPr>
          <w:rFonts w:ascii="Book Antiqua" w:eastAsiaTheme="majorEastAsia" w:hAnsi="Book Antiqua" w:cs="Times New Roman"/>
          <w:bCs/>
          <w:sz w:val="24"/>
          <w:szCs w:val="24"/>
        </w:rPr>
        <w:t>3-year disease</w:t>
      </w:r>
      <w:r w:rsidR="000023B0" w:rsidRPr="00814BF6">
        <w:rPr>
          <w:rFonts w:ascii="Book Antiqua" w:eastAsiaTheme="majorEastAsia" w:hAnsi="Book Antiqua" w:cs="Times New Roman"/>
          <w:bCs/>
          <w:sz w:val="24"/>
          <w:szCs w:val="24"/>
        </w:rPr>
        <w:t>-</w:t>
      </w:r>
      <w:r w:rsidR="004B12A6" w:rsidRPr="00814BF6">
        <w:rPr>
          <w:rFonts w:ascii="Book Antiqua" w:eastAsiaTheme="majorEastAsia" w:hAnsi="Book Antiqua" w:cs="Times New Roman"/>
          <w:bCs/>
          <w:sz w:val="24"/>
          <w:szCs w:val="24"/>
        </w:rPr>
        <w:t xml:space="preserve">free survival rates were 62.5% </w:t>
      </w:r>
      <w:r w:rsidR="004B12A6" w:rsidRPr="00286EF5">
        <w:rPr>
          <w:rFonts w:ascii="Book Antiqua" w:eastAsiaTheme="majorEastAsia" w:hAnsi="Book Antiqua" w:cs="Times New Roman"/>
          <w:bCs/>
          <w:i/>
          <w:sz w:val="24"/>
          <w:szCs w:val="24"/>
        </w:rPr>
        <w:t>vs</w:t>
      </w:r>
      <w:r w:rsidR="004B12A6" w:rsidRPr="00814BF6">
        <w:rPr>
          <w:rFonts w:ascii="Book Antiqua" w:eastAsiaTheme="majorEastAsia" w:hAnsi="Book Antiqua" w:cs="Times New Roman"/>
          <w:bCs/>
          <w:sz w:val="24"/>
          <w:szCs w:val="24"/>
        </w:rPr>
        <w:t xml:space="preserve"> 22.2%</w:t>
      </w:r>
      <w:r w:rsidR="00A91E83" w:rsidRPr="00814BF6">
        <w:rPr>
          <w:rFonts w:ascii="Book Antiqua" w:eastAsiaTheme="majorEastAsia" w:hAnsi="Book Antiqua" w:cs="Times New Roman"/>
          <w:bCs/>
          <w:sz w:val="24"/>
          <w:szCs w:val="24"/>
        </w:rPr>
        <w:t>, respectively</w:t>
      </w:r>
      <w:r w:rsidR="004B12A6"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452D19" w:rsidRPr="00814BF6">
        <w:rPr>
          <w:rFonts w:ascii="Book Antiqua" w:eastAsiaTheme="majorEastAsia" w:hAnsi="Book Antiqua" w:cs="Times New Roman"/>
          <w:bCs/>
          <w:sz w:val="24"/>
          <w:szCs w:val="24"/>
        </w:rPr>
        <w:t>Interestingly, the analysis of histological regression after</w:t>
      </w:r>
      <w:r w:rsidR="00EE203F" w:rsidRPr="00814BF6">
        <w:rPr>
          <w:rFonts w:ascii="Book Antiqua" w:eastAsiaTheme="majorEastAsia" w:hAnsi="Book Antiqua" w:cs="Times New Roman"/>
          <w:bCs/>
          <w:sz w:val="24"/>
          <w:szCs w:val="24"/>
        </w:rPr>
        <w:t xml:space="preserve"> </w:t>
      </w:r>
      <w:r w:rsidR="00452D19" w:rsidRPr="00814BF6">
        <w:rPr>
          <w:rFonts w:ascii="Book Antiqua" w:eastAsiaTheme="majorEastAsia" w:hAnsi="Book Antiqua" w:cs="Times New Roman"/>
          <w:bCs/>
          <w:sz w:val="24"/>
          <w:szCs w:val="24"/>
        </w:rPr>
        <w:t xml:space="preserve">neoadjuvant </w:t>
      </w:r>
      <w:r w:rsidR="000023B0" w:rsidRPr="00814BF6">
        <w:rPr>
          <w:rFonts w:ascii="Book Antiqua" w:eastAsiaTheme="majorEastAsia" w:hAnsi="Book Antiqua" w:cs="Times New Roman"/>
          <w:bCs/>
          <w:sz w:val="24"/>
          <w:szCs w:val="24"/>
        </w:rPr>
        <w:t>showed</w:t>
      </w:r>
      <w:r w:rsidR="004B12A6" w:rsidRPr="00814BF6">
        <w:rPr>
          <w:rFonts w:ascii="Book Antiqua" w:eastAsiaTheme="majorEastAsia" w:hAnsi="Book Antiqua" w:cs="Times New Roman"/>
          <w:bCs/>
          <w:sz w:val="24"/>
          <w:szCs w:val="24"/>
        </w:rPr>
        <w:t xml:space="preserve"> improved</w:t>
      </w:r>
      <w:r w:rsidR="00452D19" w:rsidRPr="00814BF6">
        <w:rPr>
          <w:rFonts w:ascii="Book Antiqua" w:eastAsiaTheme="majorEastAsia" w:hAnsi="Book Antiqua" w:cs="Times New Roman"/>
          <w:bCs/>
          <w:sz w:val="24"/>
          <w:szCs w:val="24"/>
        </w:rPr>
        <w:t xml:space="preserve"> survival rates if no or only rare residual tumor cells were found in the</w:t>
      </w:r>
      <w:r w:rsidR="004B12A6" w:rsidRPr="00814BF6">
        <w:rPr>
          <w:rFonts w:ascii="Book Antiqua" w:eastAsiaTheme="majorEastAsia" w:hAnsi="Book Antiqua" w:cs="Times New Roman"/>
          <w:bCs/>
          <w:sz w:val="24"/>
          <w:szCs w:val="24"/>
        </w:rPr>
        <w:t xml:space="preserve"> node</w:t>
      </w:r>
      <w:r w:rsidR="00452D19" w:rsidRPr="00814BF6">
        <w:rPr>
          <w:rFonts w:ascii="Book Antiqua" w:eastAsiaTheme="majorEastAsia" w:hAnsi="Book Antiqua" w:cs="Times New Roman"/>
          <w:bCs/>
          <w:sz w:val="24"/>
          <w:szCs w:val="24"/>
        </w:rPr>
        <w:t xml:space="preserve"> specimen (</w:t>
      </w:r>
      <w:r w:rsidR="004B12A6" w:rsidRPr="00814BF6">
        <w:rPr>
          <w:rFonts w:ascii="Book Antiqua" w:eastAsiaTheme="majorEastAsia" w:hAnsi="Book Antiqua" w:cs="Times New Roman"/>
          <w:bCs/>
          <w:sz w:val="24"/>
          <w:szCs w:val="24"/>
        </w:rPr>
        <w:t>Table 4</w:t>
      </w:r>
      <w:r w:rsidR="00452D19" w:rsidRPr="00814BF6">
        <w:rPr>
          <w:rFonts w:ascii="Book Antiqua" w:eastAsiaTheme="majorEastAsia" w:hAnsi="Book Antiqua" w:cs="Times New Roman"/>
          <w:bCs/>
          <w:sz w:val="24"/>
          <w:szCs w:val="24"/>
        </w:rPr>
        <w:t>).</w:t>
      </w:r>
      <w:r w:rsidR="00286EF5">
        <w:rPr>
          <w:rFonts w:ascii="Book Antiqua" w:eastAsiaTheme="majorEastAsia" w:hAnsi="Book Antiqua" w:cs="Times New Roman"/>
          <w:bCs/>
          <w:sz w:val="24"/>
          <w:szCs w:val="24"/>
        </w:rPr>
        <w:t xml:space="preserve"> </w:t>
      </w:r>
    </w:p>
    <w:p w14:paraId="368AA7EF" w14:textId="77777777" w:rsidR="00286EF5" w:rsidRDefault="00286EF5" w:rsidP="00286EF5">
      <w:pPr>
        <w:spacing w:after="0" w:line="360" w:lineRule="auto"/>
        <w:jc w:val="both"/>
        <w:rPr>
          <w:rFonts w:ascii="Book Antiqua" w:hAnsi="Book Antiqua" w:cs="Times New Roman"/>
          <w:sz w:val="24"/>
          <w:szCs w:val="24"/>
          <w:lang w:eastAsia="zh-CN"/>
        </w:rPr>
      </w:pPr>
    </w:p>
    <w:p w14:paraId="00594CAD" w14:textId="77777777" w:rsidR="005B2993" w:rsidRPr="00286EF5" w:rsidRDefault="00286EF5" w:rsidP="00286EF5">
      <w:pPr>
        <w:spacing w:after="0" w:line="360" w:lineRule="auto"/>
        <w:jc w:val="both"/>
        <w:rPr>
          <w:rFonts w:ascii="Book Antiqua" w:eastAsia="Times New Roman" w:hAnsi="Book Antiqua" w:cs="Times New Roman"/>
          <w:b/>
          <w:bCs/>
          <w:sz w:val="24"/>
          <w:szCs w:val="24"/>
        </w:rPr>
      </w:pPr>
      <w:r w:rsidRPr="00286EF5">
        <w:rPr>
          <w:rFonts w:ascii="Book Antiqua" w:eastAsia="Times New Roman" w:hAnsi="Book Antiqua" w:cs="Times New Roman"/>
          <w:b/>
          <w:sz w:val="24"/>
          <w:szCs w:val="24"/>
        </w:rPr>
        <w:t>DISCUSSION</w:t>
      </w:r>
    </w:p>
    <w:p w14:paraId="7CDF3BF2" w14:textId="77777777" w:rsidR="00384B13" w:rsidRPr="00814BF6" w:rsidRDefault="00403175" w:rsidP="00814BF6">
      <w:pPr>
        <w:spacing w:after="0" w:line="360" w:lineRule="auto"/>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Many reports show</w:t>
      </w:r>
      <w:r w:rsidR="00F91E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a</w:t>
      </w:r>
      <w:r w:rsidR="00F91E94" w:rsidRPr="00814BF6">
        <w:rPr>
          <w:rFonts w:ascii="Book Antiqua" w:eastAsiaTheme="majorEastAsia" w:hAnsi="Book Antiqua" w:cs="Times New Roman"/>
          <w:bCs/>
          <w:sz w:val="24"/>
          <w:szCs w:val="24"/>
        </w:rPr>
        <w:t xml:space="preserve"> </w:t>
      </w:r>
      <w:r w:rsidR="00384B13" w:rsidRPr="00814BF6">
        <w:rPr>
          <w:rFonts w:ascii="Book Antiqua" w:eastAsiaTheme="majorEastAsia" w:hAnsi="Book Antiqua" w:cs="Times New Roman"/>
          <w:bCs/>
          <w:sz w:val="24"/>
          <w:szCs w:val="24"/>
        </w:rPr>
        <w:t>consi</w:t>
      </w:r>
      <w:r w:rsidRPr="00814BF6">
        <w:rPr>
          <w:rFonts w:ascii="Book Antiqua" w:eastAsiaTheme="majorEastAsia" w:hAnsi="Book Antiqua" w:cs="Times New Roman"/>
          <w:bCs/>
          <w:sz w:val="24"/>
          <w:szCs w:val="24"/>
        </w:rPr>
        <w:t>stent finding</w:t>
      </w:r>
      <w:r w:rsidR="00F91E94" w:rsidRPr="00814BF6">
        <w:rPr>
          <w:rFonts w:ascii="Book Antiqua" w:eastAsiaTheme="majorEastAsia" w:hAnsi="Book Antiqua" w:cs="Times New Roman"/>
          <w:bCs/>
          <w:sz w:val="24"/>
          <w:szCs w:val="24"/>
        </w:rPr>
        <w:t xml:space="preserve"> </w:t>
      </w:r>
      <w:r w:rsidR="00384B13" w:rsidRPr="00814BF6">
        <w:rPr>
          <w:rFonts w:ascii="Book Antiqua" w:eastAsiaTheme="majorEastAsia" w:hAnsi="Book Antiqua" w:cs="Times New Roman"/>
          <w:bCs/>
          <w:sz w:val="24"/>
          <w:szCs w:val="24"/>
        </w:rPr>
        <w:t>that response to preoperative therapy, particularly the absence of residual disease in the surgical specimen, is a</w:t>
      </w:r>
      <w:r w:rsidRPr="00814BF6">
        <w:rPr>
          <w:rFonts w:ascii="Book Antiqua" w:eastAsiaTheme="majorEastAsia" w:hAnsi="Book Antiqua" w:cs="Times New Roman"/>
          <w:bCs/>
          <w:sz w:val="24"/>
          <w:szCs w:val="24"/>
        </w:rPr>
        <w:t xml:space="preserve"> good</w:t>
      </w:r>
      <w:r w:rsidR="00384B13"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 xml:space="preserve">outcome </w:t>
      </w:r>
      <w:r w:rsidR="00384B13" w:rsidRPr="00814BF6">
        <w:rPr>
          <w:rFonts w:ascii="Book Antiqua" w:eastAsiaTheme="majorEastAsia" w:hAnsi="Book Antiqua" w:cs="Times New Roman"/>
          <w:bCs/>
          <w:sz w:val="24"/>
          <w:szCs w:val="24"/>
        </w:rPr>
        <w:t xml:space="preserve">indicator </w:t>
      </w:r>
      <w:r w:rsidRPr="00814BF6">
        <w:rPr>
          <w:rFonts w:ascii="Book Antiqua" w:eastAsiaTheme="majorEastAsia" w:hAnsi="Book Antiqua" w:cs="Times New Roman"/>
          <w:bCs/>
          <w:sz w:val="24"/>
          <w:szCs w:val="24"/>
        </w:rPr>
        <w:t xml:space="preserve">of </w:t>
      </w:r>
      <w:r w:rsidR="00384B13" w:rsidRPr="00814BF6">
        <w:rPr>
          <w:rFonts w:ascii="Book Antiqua" w:eastAsiaTheme="majorEastAsia" w:hAnsi="Book Antiqua" w:cs="Times New Roman"/>
          <w:bCs/>
          <w:sz w:val="24"/>
          <w:szCs w:val="24"/>
        </w:rPr>
        <w:t xml:space="preserve">better disease-free and overall </w:t>
      </w:r>
      <w:proofErr w:type="gramStart"/>
      <w:r w:rsidR="00384B13" w:rsidRPr="00814BF6">
        <w:rPr>
          <w:rFonts w:ascii="Book Antiqua" w:eastAsiaTheme="majorEastAsia" w:hAnsi="Book Antiqua" w:cs="Times New Roman"/>
          <w:bCs/>
          <w:sz w:val="24"/>
          <w:szCs w:val="24"/>
        </w:rPr>
        <w:t>survival</w:t>
      </w:r>
      <w:r w:rsidR="00196531" w:rsidRPr="00814BF6">
        <w:rPr>
          <w:rFonts w:ascii="Book Antiqua" w:hAnsi="Book Antiqua" w:cs="Times New Roman"/>
          <w:sz w:val="24"/>
          <w:szCs w:val="24"/>
          <w:vertAlign w:val="superscript"/>
        </w:rPr>
        <w:t>[</w:t>
      </w:r>
      <w:proofErr w:type="gramEnd"/>
      <w:r w:rsidR="00F12CE0" w:rsidRPr="00814BF6">
        <w:rPr>
          <w:rFonts w:ascii="Book Antiqua" w:hAnsi="Book Antiqua" w:cs="Times New Roman"/>
          <w:sz w:val="24"/>
          <w:szCs w:val="24"/>
          <w:vertAlign w:val="superscript"/>
        </w:rPr>
        <w:t>8,12</w:t>
      </w:r>
      <w:r w:rsidR="00196531" w:rsidRPr="00814BF6">
        <w:rPr>
          <w:rFonts w:ascii="Book Antiqua" w:hAnsi="Book Antiqua" w:cs="Times New Roman"/>
          <w:sz w:val="24"/>
          <w:szCs w:val="24"/>
          <w:vertAlign w:val="superscript"/>
        </w:rPr>
        <w:t>-</w:t>
      </w:r>
      <w:r w:rsidR="00F12CE0" w:rsidRPr="00814BF6">
        <w:rPr>
          <w:rFonts w:ascii="Book Antiqua" w:hAnsi="Book Antiqua" w:cs="Times New Roman"/>
          <w:sz w:val="24"/>
          <w:szCs w:val="24"/>
          <w:vertAlign w:val="superscript"/>
        </w:rPr>
        <w:t>14</w:t>
      </w:r>
      <w:r w:rsidR="00196531" w:rsidRPr="00814BF6">
        <w:rPr>
          <w:rFonts w:ascii="Book Antiqua" w:hAnsi="Book Antiqua" w:cs="Times New Roman"/>
          <w:sz w:val="24"/>
          <w:szCs w:val="24"/>
          <w:vertAlign w:val="superscript"/>
        </w:rPr>
        <w:t>]</w:t>
      </w:r>
      <w:r w:rsidR="00196531" w:rsidRPr="007B5DF5">
        <w:rPr>
          <w:rFonts w:ascii="Book Antiqua" w:hAnsi="Book Antiqua" w:cs="Times New Roman"/>
          <w:sz w:val="24"/>
          <w:szCs w:val="24"/>
        </w:rPr>
        <w:t>.</w:t>
      </w:r>
      <w:r w:rsidR="00384B13" w:rsidRPr="00814BF6">
        <w:rPr>
          <w:rFonts w:ascii="Book Antiqua" w:eastAsiaTheme="majorEastAsia" w:hAnsi="Book Antiqua" w:cs="Times New Roman"/>
          <w:bCs/>
          <w:sz w:val="24"/>
          <w:szCs w:val="24"/>
        </w:rPr>
        <w:t xml:space="preserve"> In a comprehensive literature review of 22 studies in which patients with esophageal or </w:t>
      </w:r>
      <w:r w:rsidR="00A91E83" w:rsidRPr="00814BF6">
        <w:rPr>
          <w:rFonts w:ascii="Book Antiqua" w:eastAsiaTheme="majorEastAsia" w:hAnsi="Book Antiqua" w:cs="Times New Roman"/>
          <w:bCs/>
          <w:sz w:val="24"/>
          <w:szCs w:val="24"/>
        </w:rPr>
        <w:t>esophagogastric junction</w:t>
      </w:r>
      <w:r w:rsidR="00384B13" w:rsidRPr="00814BF6">
        <w:rPr>
          <w:rFonts w:ascii="Book Antiqua" w:eastAsiaTheme="majorEastAsia" w:hAnsi="Book Antiqua" w:cs="Times New Roman"/>
          <w:bCs/>
          <w:sz w:val="24"/>
          <w:szCs w:val="24"/>
        </w:rPr>
        <w:t xml:space="preserve"> cancer underwent esophagectomy after neoadjuvant </w:t>
      </w:r>
      <w:r w:rsidR="00F31EFD" w:rsidRPr="00814BF6">
        <w:rPr>
          <w:rFonts w:ascii="Book Antiqua" w:hAnsi="Book Antiqua" w:cs="Times New Roman"/>
          <w:sz w:val="24"/>
          <w:szCs w:val="24"/>
        </w:rPr>
        <w:t>CRT</w:t>
      </w:r>
      <w:r w:rsidR="00384B13" w:rsidRPr="00814BF6">
        <w:rPr>
          <w:rFonts w:ascii="Book Antiqua" w:eastAsiaTheme="majorEastAsia" w:hAnsi="Book Antiqua" w:cs="Times New Roman"/>
          <w:bCs/>
          <w:sz w:val="24"/>
          <w:szCs w:val="24"/>
        </w:rPr>
        <w:t>, patients with a pCR were two- to three</w:t>
      </w:r>
      <w:r w:rsidR="00A91E83" w:rsidRPr="00814BF6">
        <w:rPr>
          <w:rFonts w:ascii="Book Antiqua" w:eastAsiaTheme="majorEastAsia" w:hAnsi="Book Antiqua" w:cs="Times New Roman"/>
          <w:bCs/>
          <w:sz w:val="24"/>
          <w:szCs w:val="24"/>
        </w:rPr>
        <w:t xml:space="preserve"> times</w:t>
      </w:r>
      <w:r w:rsidR="00384B13" w:rsidRPr="00814BF6">
        <w:rPr>
          <w:rFonts w:ascii="Book Antiqua" w:eastAsiaTheme="majorEastAsia" w:hAnsi="Book Antiqua" w:cs="Times New Roman"/>
          <w:bCs/>
          <w:sz w:val="24"/>
          <w:szCs w:val="24"/>
        </w:rPr>
        <w:t xml:space="preserve"> more likely to survive</w:t>
      </w:r>
      <w:r w:rsidR="000023B0" w:rsidRPr="00814BF6">
        <w:rPr>
          <w:rFonts w:ascii="Book Antiqua" w:eastAsiaTheme="majorEastAsia" w:hAnsi="Book Antiqua" w:cs="Times New Roman"/>
          <w:bCs/>
          <w:sz w:val="24"/>
          <w:szCs w:val="24"/>
        </w:rPr>
        <w:t xml:space="preserve"> than</w:t>
      </w:r>
      <w:r w:rsidR="00384B13" w:rsidRPr="00814BF6">
        <w:rPr>
          <w:rFonts w:ascii="Book Antiqua" w:eastAsiaTheme="majorEastAsia" w:hAnsi="Book Antiqua" w:cs="Times New Roman"/>
          <w:bCs/>
          <w:sz w:val="24"/>
          <w:szCs w:val="24"/>
        </w:rPr>
        <w:t xml:space="preserve"> were those with residual disease in the esophagectomy </w:t>
      </w:r>
      <w:proofErr w:type="gramStart"/>
      <w:r w:rsidR="00384B13" w:rsidRPr="00814BF6">
        <w:rPr>
          <w:rFonts w:ascii="Book Antiqua" w:eastAsiaTheme="majorEastAsia" w:hAnsi="Book Antiqua" w:cs="Times New Roman"/>
          <w:bCs/>
          <w:sz w:val="24"/>
          <w:szCs w:val="24"/>
        </w:rPr>
        <w:t>specimen</w:t>
      </w:r>
      <w:r w:rsidR="00196531" w:rsidRPr="00814BF6">
        <w:rPr>
          <w:rFonts w:ascii="Book Antiqua" w:hAnsi="Book Antiqua" w:cs="Times New Roman"/>
          <w:sz w:val="24"/>
          <w:szCs w:val="24"/>
          <w:vertAlign w:val="superscript"/>
        </w:rPr>
        <w:t>[</w:t>
      </w:r>
      <w:proofErr w:type="gramEnd"/>
      <w:r w:rsidR="00F12CE0" w:rsidRPr="00814BF6">
        <w:rPr>
          <w:rFonts w:ascii="Book Antiqua" w:hAnsi="Book Antiqua" w:cs="Times New Roman"/>
          <w:sz w:val="24"/>
          <w:szCs w:val="24"/>
          <w:vertAlign w:val="superscript"/>
        </w:rPr>
        <w:t>15</w:t>
      </w:r>
      <w:r w:rsidR="00196531" w:rsidRPr="00814BF6">
        <w:rPr>
          <w:rFonts w:ascii="Book Antiqua" w:hAnsi="Book Antiqua" w:cs="Times New Roman"/>
          <w:sz w:val="24"/>
          <w:szCs w:val="24"/>
          <w:vertAlign w:val="superscript"/>
        </w:rPr>
        <w:t>]</w:t>
      </w:r>
      <w:r w:rsidR="00196531" w:rsidRPr="00814BF6">
        <w:rPr>
          <w:rFonts w:ascii="Book Antiqua" w:eastAsiaTheme="majorEastAsia" w:hAnsi="Book Antiqua" w:cs="Times New Roman"/>
          <w:bCs/>
          <w:sz w:val="24"/>
          <w:szCs w:val="24"/>
        </w:rPr>
        <w:t>.</w:t>
      </w:r>
      <w:r w:rsidR="00384B13" w:rsidRPr="00814BF6">
        <w:rPr>
          <w:rFonts w:ascii="Book Antiqua" w:eastAsiaTheme="majorEastAsia" w:hAnsi="Book Antiqua" w:cs="Times New Roman"/>
          <w:bCs/>
          <w:sz w:val="24"/>
          <w:szCs w:val="24"/>
        </w:rPr>
        <w:t xml:space="preserve"> These benefits translate into a 33</w:t>
      </w:r>
      <w:r w:rsidR="000023B0" w:rsidRPr="00814BF6">
        <w:rPr>
          <w:rFonts w:ascii="Book Antiqua" w:eastAsiaTheme="majorEastAsia" w:hAnsi="Book Antiqua" w:cs="Times New Roman"/>
          <w:bCs/>
          <w:sz w:val="24"/>
          <w:szCs w:val="24"/>
        </w:rPr>
        <w:t>%</w:t>
      </w:r>
      <w:r w:rsidR="00384B13" w:rsidRPr="00814BF6">
        <w:rPr>
          <w:rFonts w:ascii="Book Antiqua" w:eastAsiaTheme="majorEastAsia" w:hAnsi="Book Antiqua" w:cs="Times New Roman"/>
          <w:bCs/>
          <w:sz w:val="24"/>
          <w:szCs w:val="24"/>
        </w:rPr>
        <w:t xml:space="preserve"> to 36</w:t>
      </w:r>
      <w:r w:rsidR="000023B0" w:rsidRPr="00814BF6">
        <w:rPr>
          <w:rFonts w:ascii="Book Antiqua" w:eastAsiaTheme="majorEastAsia" w:hAnsi="Book Antiqua" w:cs="Times New Roman"/>
          <w:bCs/>
          <w:sz w:val="24"/>
          <w:szCs w:val="24"/>
        </w:rPr>
        <w:t>%</w:t>
      </w:r>
      <w:r w:rsidR="00384B13" w:rsidRPr="00814BF6">
        <w:rPr>
          <w:rFonts w:ascii="Book Antiqua" w:eastAsiaTheme="majorEastAsia" w:hAnsi="Book Antiqua" w:cs="Times New Roman"/>
          <w:bCs/>
          <w:sz w:val="24"/>
          <w:szCs w:val="24"/>
        </w:rPr>
        <w:t xml:space="preserve"> mean absolute survival benefit when a pCR is achieved than when it is not.</w:t>
      </w:r>
      <w:r w:rsidR="00F91E94" w:rsidRPr="00814BF6">
        <w:rPr>
          <w:rFonts w:ascii="Book Antiqua" w:eastAsiaTheme="majorEastAsia" w:hAnsi="Book Antiqua" w:cs="Times New Roman"/>
          <w:bCs/>
          <w:sz w:val="24"/>
          <w:szCs w:val="24"/>
        </w:rPr>
        <w:t xml:space="preserve"> </w:t>
      </w:r>
      <w:r w:rsidR="00384B13" w:rsidRPr="00814BF6">
        <w:rPr>
          <w:rFonts w:ascii="Book Antiqua" w:eastAsiaTheme="majorEastAsia" w:hAnsi="Book Antiqua" w:cs="Times New Roman"/>
          <w:bCs/>
          <w:sz w:val="24"/>
          <w:szCs w:val="24"/>
        </w:rPr>
        <w:t xml:space="preserve">These </w:t>
      </w:r>
      <w:r w:rsidR="00F0214C" w:rsidRPr="00814BF6">
        <w:rPr>
          <w:rFonts w:ascii="Book Antiqua" w:eastAsiaTheme="majorEastAsia" w:hAnsi="Book Antiqua" w:cs="Times New Roman"/>
          <w:bCs/>
          <w:sz w:val="24"/>
          <w:szCs w:val="24"/>
        </w:rPr>
        <w:t>assumptions</w:t>
      </w:r>
      <w:r w:rsidR="00384B13" w:rsidRPr="00814BF6">
        <w:rPr>
          <w:rFonts w:ascii="Book Antiqua" w:eastAsiaTheme="majorEastAsia" w:hAnsi="Book Antiqua" w:cs="Times New Roman"/>
          <w:bCs/>
          <w:sz w:val="24"/>
          <w:szCs w:val="24"/>
        </w:rPr>
        <w:t xml:space="preserve"> provide the rationale for intensification of preoperative treatment </w:t>
      </w:r>
      <w:r w:rsidR="000023B0" w:rsidRPr="00BB1593">
        <w:rPr>
          <w:rFonts w:ascii="Book Antiqua" w:eastAsiaTheme="majorEastAsia" w:hAnsi="Book Antiqua" w:cs="Times New Roman"/>
          <w:bCs/>
          <w:i/>
          <w:sz w:val="24"/>
          <w:szCs w:val="24"/>
        </w:rPr>
        <w:t>via</w:t>
      </w:r>
      <w:r w:rsidR="00384B13" w:rsidRPr="00814BF6">
        <w:rPr>
          <w:rFonts w:ascii="Book Antiqua" w:eastAsiaTheme="majorEastAsia" w:hAnsi="Book Antiqua" w:cs="Times New Roman"/>
          <w:bCs/>
          <w:sz w:val="24"/>
          <w:szCs w:val="24"/>
        </w:rPr>
        <w:t xml:space="preserve"> </w:t>
      </w:r>
      <w:r w:rsidR="000023B0" w:rsidRPr="00814BF6">
        <w:rPr>
          <w:rFonts w:ascii="Book Antiqua" w:eastAsiaTheme="majorEastAsia" w:hAnsi="Book Antiqua" w:cs="Times New Roman"/>
          <w:bCs/>
          <w:sz w:val="24"/>
          <w:szCs w:val="24"/>
        </w:rPr>
        <w:t>a</w:t>
      </w:r>
      <w:r w:rsidR="00384B13" w:rsidRPr="00814BF6">
        <w:rPr>
          <w:rFonts w:ascii="Book Antiqua" w:eastAsiaTheme="majorEastAsia" w:hAnsi="Book Antiqua" w:cs="Times New Roman"/>
          <w:bCs/>
          <w:sz w:val="24"/>
          <w:szCs w:val="24"/>
        </w:rPr>
        <w:t xml:space="preserve"> higher biological dose </w:t>
      </w:r>
      <w:r w:rsidR="000023B0" w:rsidRPr="00814BF6">
        <w:rPr>
          <w:rFonts w:ascii="Book Antiqua" w:eastAsiaTheme="majorEastAsia" w:hAnsi="Book Antiqua" w:cs="Times New Roman"/>
          <w:bCs/>
          <w:sz w:val="24"/>
          <w:szCs w:val="24"/>
        </w:rPr>
        <w:t xml:space="preserve">delivered </w:t>
      </w:r>
      <w:r w:rsidR="00384B13" w:rsidRPr="00814BF6">
        <w:rPr>
          <w:rFonts w:ascii="Book Antiqua" w:eastAsiaTheme="majorEastAsia" w:hAnsi="Book Antiqua" w:cs="Times New Roman"/>
          <w:bCs/>
          <w:sz w:val="24"/>
          <w:szCs w:val="24"/>
        </w:rPr>
        <w:t>to the tumor mass, without increas</w:t>
      </w:r>
      <w:r w:rsidR="000023B0" w:rsidRPr="00814BF6">
        <w:rPr>
          <w:rFonts w:ascii="Book Antiqua" w:eastAsiaTheme="majorEastAsia" w:hAnsi="Book Antiqua" w:cs="Times New Roman"/>
          <w:bCs/>
          <w:sz w:val="24"/>
          <w:szCs w:val="24"/>
        </w:rPr>
        <w:t>ing</w:t>
      </w:r>
      <w:r w:rsidR="00384B13" w:rsidRPr="00814BF6">
        <w:rPr>
          <w:rFonts w:ascii="Book Antiqua" w:eastAsiaTheme="majorEastAsia" w:hAnsi="Book Antiqua" w:cs="Times New Roman"/>
          <w:bCs/>
          <w:sz w:val="24"/>
          <w:szCs w:val="24"/>
        </w:rPr>
        <w:t xml:space="preserve"> the surrounding organs</w:t>
      </w:r>
      <w:r w:rsidR="000023B0" w:rsidRPr="00814BF6">
        <w:rPr>
          <w:rFonts w:ascii="Book Antiqua" w:eastAsiaTheme="majorEastAsia" w:hAnsi="Book Antiqua" w:cs="Times New Roman"/>
          <w:bCs/>
          <w:sz w:val="24"/>
          <w:szCs w:val="24"/>
        </w:rPr>
        <w:t>’</w:t>
      </w:r>
      <w:r w:rsidR="00384B13" w:rsidRPr="00814BF6">
        <w:rPr>
          <w:rFonts w:ascii="Book Antiqua" w:eastAsiaTheme="majorEastAsia" w:hAnsi="Book Antiqua" w:cs="Times New Roman"/>
          <w:bCs/>
          <w:sz w:val="24"/>
          <w:szCs w:val="24"/>
        </w:rPr>
        <w:t xml:space="preserve"> risk </w:t>
      </w:r>
      <w:r w:rsidR="000023B0" w:rsidRPr="00814BF6">
        <w:rPr>
          <w:rFonts w:ascii="Book Antiqua" w:eastAsiaTheme="majorEastAsia" w:hAnsi="Book Antiqua" w:cs="Times New Roman"/>
          <w:bCs/>
          <w:sz w:val="24"/>
          <w:szCs w:val="24"/>
        </w:rPr>
        <w:t xml:space="preserve">of </w:t>
      </w:r>
      <w:r w:rsidR="00384B13" w:rsidRPr="00814BF6">
        <w:rPr>
          <w:rFonts w:ascii="Book Antiqua" w:eastAsiaTheme="majorEastAsia" w:hAnsi="Book Antiqua" w:cs="Times New Roman"/>
          <w:bCs/>
          <w:sz w:val="24"/>
          <w:szCs w:val="24"/>
        </w:rPr>
        <w:t xml:space="preserve">toxicity. </w:t>
      </w:r>
      <w:r w:rsidR="000023B0" w:rsidRPr="00814BF6">
        <w:rPr>
          <w:rFonts w:ascii="Book Antiqua" w:eastAsiaTheme="majorEastAsia" w:hAnsi="Book Antiqua" w:cs="Times New Roman"/>
          <w:bCs/>
          <w:sz w:val="24"/>
          <w:szCs w:val="24"/>
        </w:rPr>
        <w:t>The</w:t>
      </w:r>
      <w:r w:rsidR="00384B13" w:rsidRPr="00814BF6">
        <w:rPr>
          <w:rFonts w:ascii="Book Antiqua" w:eastAsiaTheme="majorEastAsia" w:hAnsi="Book Antiqua" w:cs="Times New Roman"/>
          <w:bCs/>
          <w:sz w:val="24"/>
          <w:szCs w:val="24"/>
        </w:rPr>
        <w:t xml:space="preserve"> </w:t>
      </w:r>
      <w:r w:rsidR="00F0214C" w:rsidRPr="00814BF6">
        <w:rPr>
          <w:rFonts w:ascii="Book Antiqua" w:eastAsiaTheme="majorEastAsia" w:hAnsi="Book Antiqua" w:cs="Times New Roman"/>
          <w:bCs/>
          <w:sz w:val="24"/>
          <w:szCs w:val="24"/>
        </w:rPr>
        <w:t>IMRT</w:t>
      </w:r>
      <w:r w:rsidR="00A91E83"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SIB approach</w:t>
      </w:r>
      <w:r w:rsidR="00F0214C" w:rsidRPr="00814BF6">
        <w:rPr>
          <w:rFonts w:ascii="Book Antiqua" w:eastAsiaTheme="majorEastAsia" w:hAnsi="Book Antiqua" w:cs="Times New Roman"/>
          <w:bCs/>
          <w:sz w:val="24"/>
          <w:szCs w:val="24"/>
        </w:rPr>
        <w:t xml:space="preserve"> was</w:t>
      </w:r>
      <w:r w:rsidR="00384B13" w:rsidRPr="00814BF6">
        <w:rPr>
          <w:rFonts w:ascii="Book Antiqua" w:eastAsiaTheme="majorEastAsia" w:hAnsi="Book Antiqua" w:cs="Times New Roman"/>
          <w:bCs/>
          <w:sz w:val="24"/>
          <w:szCs w:val="24"/>
        </w:rPr>
        <w:t xml:space="preserve"> based up</w:t>
      </w:r>
      <w:r w:rsidR="000023B0" w:rsidRPr="00814BF6">
        <w:rPr>
          <w:rFonts w:ascii="Book Antiqua" w:eastAsiaTheme="majorEastAsia" w:hAnsi="Book Antiqua" w:cs="Times New Roman"/>
          <w:bCs/>
          <w:sz w:val="24"/>
          <w:szCs w:val="24"/>
        </w:rPr>
        <w:t>on</w:t>
      </w:r>
      <w:r w:rsidR="00384B13" w:rsidRPr="00814BF6">
        <w:rPr>
          <w:rFonts w:ascii="Book Antiqua" w:eastAsiaTheme="majorEastAsia" w:hAnsi="Book Antiqua" w:cs="Times New Roman"/>
          <w:bCs/>
          <w:sz w:val="24"/>
          <w:szCs w:val="24"/>
        </w:rPr>
        <w:t xml:space="preserve"> better radiographic finding</w:t>
      </w:r>
      <w:r w:rsidR="000023B0" w:rsidRPr="00814BF6">
        <w:rPr>
          <w:rFonts w:ascii="Book Antiqua" w:eastAsiaTheme="majorEastAsia" w:hAnsi="Book Antiqua" w:cs="Times New Roman"/>
          <w:bCs/>
          <w:sz w:val="24"/>
          <w:szCs w:val="24"/>
        </w:rPr>
        <w:t>s</w:t>
      </w:r>
      <w:r w:rsidR="00384B13" w:rsidRPr="00814BF6">
        <w:rPr>
          <w:rFonts w:ascii="Book Antiqua" w:eastAsiaTheme="majorEastAsia" w:hAnsi="Book Antiqua" w:cs="Times New Roman"/>
          <w:bCs/>
          <w:sz w:val="24"/>
          <w:szCs w:val="24"/>
        </w:rPr>
        <w:t xml:space="preserve"> of</w:t>
      </w:r>
      <w:r w:rsidR="00F91E94" w:rsidRPr="00814BF6">
        <w:rPr>
          <w:rFonts w:ascii="Book Antiqua" w:eastAsiaTheme="majorEastAsia" w:hAnsi="Book Antiqua" w:cs="Times New Roman"/>
          <w:bCs/>
          <w:sz w:val="24"/>
          <w:szCs w:val="24"/>
        </w:rPr>
        <w:t xml:space="preserve"> </w:t>
      </w:r>
      <w:r w:rsidR="000023B0" w:rsidRPr="00814BF6">
        <w:rPr>
          <w:rFonts w:ascii="Book Antiqua" w:eastAsiaTheme="majorEastAsia" w:hAnsi="Book Antiqua" w:cs="Times New Roman"/>
          <w:bCs/>
          <w:sz w:val="24"/>
          <w:szCs w:val="24"/>
        </w:rPr>
        <w:t xml:space="preserve">the </w:t>
      </w:r>
      <w:r w:rsidR="00384B13" w:rsidRPr="00814BF6">
        <w:rPr>
          <w:rFonts w:ascii="Book Antiqua" w:eastAsiaTheme="majorEastAsia" w:hAnsi="Book Antiqua" w:cs="Times New Roman"/>
          <w:bCs/>
          <w:sz w:val="24"/>
          <w:szCs w:val="24"/>
        </w:rPr>
        <w:t xml:space="preserve">biological target through PET </w:t>
      </w:r>
      <w:r w:rsidR="000023B0" w:rsidRPr="00814BF6">
        <w:rPr>
          <w:rFonts w:ascii="Book Antiqua" w:eastAsiaTheme="majorEastAsia" w:hAnsi="Book Antiqua" w:cs="Times New Roman"/>
          <w:bCs/>
          <w:sz w:val="24"/>
          <w:szCs w:val="24"/>
        </w:rPr>
        <w:t xml:space="preserve">scanning </w:t>
      </w:r>
      <w:r w:rsidR="00384B13" w:rsidRPr="00814BF6">
        <w:rPr>
          <w:rFonts w:ascii="Book Antiqua" w:eastAsiaTheme="majorEastAsia" w:hAnsi="Book Antiqua" w:cs="Times New Roman"/>
          <w:bCs/>
          <w:sz w:val="24"/>
          <w:szCs w:val="24"/>
        </w:rPr>
        <w:t xml:space="preserve">prior to </w:t>
      </w:r>
      <w:r w:rsidR="00F31EFD" w:rsidRPr="00814BF6">
        <w:rPr>
          <w:rFonts w:ascii="Book Antiqua" w:hAnsi="Book Antiqua" w:cs="Times New Roman"/>
          <w:sz w:val="24"/>
          <w:szCs w:val="24"/>
        </w:rPr>
        <w:t>CRT</w:t>
      </w:r>
      <w:r w:rsidR="00384B13"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384B13" w:rsidRPr="00814BF6">
        <w:rPr>
          <w:rFonts w:ascii="Book Antiqua" w:eastAsiaTheme="majorEastAsia" w:hAnsi="Book Antiqua" w:cs="Times New Roman"/>
          <w:bCs/>
          <w:sz w:val="24"/>
          <w:szCs w:val="24"/>
        </w:rPr>
        <w:t xml:space="preserve">This approach provides </w:t>
      </w:r>
      <w:r w:rsidR="006C5D1B" w:rsidRPr="00814BF6">
        <w:rPr>
          <w:rFonts w:ascii="Book Antiqua" w:eastAsiaTheme="majorEastAsia" w:hAnsi="Book Antiqua" w:cs="Times New Roman"/>
          <w:bCs/>
          <w:sz w:val="24"/>
          <w:szCs w:val="24"/>
        </w:rPr>
        <w:t xml:space="preserve">a </w:t>
      </w:r>
      <w:r w:rsidR="00384B13" w:rsidRPr="00814BF6">
        <w:rPr>
          <w:rFonts w:ascii="Book Antiqua" w:eastAsiaTheme="majorEastAsia" w:hAnsi="Book Antiqua" w:cs="Times New Roman"/>
          <w:bCs/>
          <w:sz w:val="24"/>
          <w:szCs w:val="24"/>
        </w:rPr>
        <w:t xml:space="preserve">better outline of the biological tumor within a mass, and allows RT dose intensity increase by 10% to the biological activity of tumor, without increasing </w:t>
      </w:r>
      <w:r w:rsidR="00A91E83" w:rsidRPr="00814BF6">
        <w:rPr>
          <w:rFonts w:ascii="Book Antiqua" w:eastAsiaTheme="majorEastAsia" w:hAnsi="Book Antiqua" w:cs="Times New Roman"/>
          <w:bCs/>
          <w:sz w:val="24"/>
          <w:szCs w:val="24"/>
        </w:rPr>
        <w:t xml:space="preserve">the </w:t>
      </w:r>
      <w:r w:rsidR="00384B13" w:rsidRPr="00814BF6">
        <w:rPr>
          <w:rFonts w:ascii="Book Antiqua" w:eastAsiaTheme="majorEastAsia" w:hAnsi="Book Antiqua" w:cs="Times New Roman"/>
          <w:bCs/>
          <w:sz w:val="24"/>
          <w:szCs w:val="24"/>
        </w:rPr>
        <w:t xml:space="preserve">overall treatment time and </w:t>
      </w:r>
      <w:r w:rsidR="00A91E83" w:rsidRPr="00814BF6">
        <w:rPr>
          <w:rFonts w:ascii="Book Antiqua" w:eastAsiaTheme="majorEastAsia" w:hAnsi="Book Antiqua" w:cs="Times New Roman"/>
          <w:bCs/>
          <w:sz w:val="24"/>
          <w:szCs w:val="24"/>
        </w:rPr>
        <w:t>the</w:t>
      </w:r>
      <w:r w:rsidR="006C5D1B" w:rsidRPr="00814BF6">
        <w:rPr>
          <w:rFonts w:ascii="Book Antiqua" w:eastAsiaTheme="majorEastAsia" w:hAnsi="Book Antiqua" w:cs="Times New Roman"/>
          <w:bCs/>
          <w:sz w:val="24"/>
          <w:szCs w:val="24"/>
        </w:rPr>
        <w:t xml:space="preserve"> dose to the </w:t>
      </w:r>
      <w:r w:rsidR="00384B13" w:rsidRPr="00814BF6">
        <w:rPr>
          <w:rFonts w:ascii="Book Antiqua" w:eastAsiaTheme="majorEastAsia" w:hAnsi="Book Antiqua" w:cs="Times New Roman"/>
          <w:bCs/>
          <w:sz w:val="24"/>
          <w:szCs w:val="24"/>
        </w:rPr>
        <w:t xml:space="preserve">surrounding organs at </w:t>
      </w:r>
      <w:proofErr w:type="gramStart"/>
      <w:r w:rsidR="00384B13" w:rsidRPr="00814BF6">
        <w:rPr>
          <w:rFonts w:ascii="Book Antiqua" w:eastAsiaTheme="majorEastAsia" w:hAnsi="Book Antiqua" w:cs="Times New Roman"/>
          <w:bCs/>
          <w:sz w:val="24"/>
          <w:szCs w:val="24"/>
        </w:rPr>
        <w:t>risk</w:t>
      </w:r>
      <w:r w:rsidR="00196531" w:rsidRPr="00814BF6">
        <w:rPr>
          <w:rFonts w:ascii="Book Antiqua" w:hAnsi="Book Antiqua" w:cs="Times New Roman"/>
          <w:sz w:val="24"/>
          <w:szCs w:val="24"/>
          <w:vertAlign w:val="superscript"/>
        </w:rPr>
        <w:t>[</w:t>
      </w:r>
      <w:proofErr w:type="gramEnd"/>
      <w:r w:rsidR="00F12CE0" w:rsidRPr="00814BF6">
        <w:rPr>
          <w:rFonts w:ascii="Book Antiqua" w:hAnsi="Book Antiqua" w:cs="Times New Roman"/>
          <w:sz w:val="24"/>
          <w:szCs w:val="24"/>
          <w:vertAlign w:val="superscript"/>
        </w:rPr>
        <w:t>16</w:t>
      </w:r>
      <w:r w:rsidR="00196531" w:rsidRPr="00814BF6">
        <w:rPr>
          <w:rFonts w:ascii="Book Antiqua" w:hAnsi="Book Antiqua" w:cs="Times New Roman"/>
          <w:sz w:val="24"/>
          <w:szCs w:val="24"/>
          <w:vertAlign w:val="superscript"/>
        </w:rPr>
        <w:t>]</w:t>
      </w:r>
      <w:r w:rsidR="00196531" w:rsidRPr="00814BF6">
        <w:rPr>
          <w:rFonts w:ascii="Book Antiqua" w:eastAsiaTheme="majorEastAsia" w:hAnsi="Book Antiqua" w:cs="Times New Roman"/>
          <w:bCs/>
          <w:sz w:val="24"/>
          <w:szCs w:val="24"/>
        </w:rPr>
        <w:t>.</w:t>
      </w:r>
    </w:p>
    <w:p w14:paraId="1B0BAE7A" w14:textId="77777777" w:rsidR="008678BF" w:rsidRPr="00814BF6" w:rsidRDefault="002C0CF5" w:rsidP="007B5DF5">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In the Cross study</w:t>
      </w:r>
      <w:r w:rsidR="00D77B38" w:rsidRPr="00814BF6">
        <w:rPr>
          <w:rFonts w:ascii="Book Antiqua" w:eastAsiaTheme="majorEastAsia" w:hAnsi="Book Antiqua" w:cs="Times New Roman"/>
          <w:bCs/>
          <w:sz w:val="24"/>
          <w:szCs w:val="24"/>
        </w:rPr>
        <w:t>, although</w:t>
      </w:r>
      <w:r w:rsidRPr="00814BF6">
        <w:rPr>
          <w:rFonts w:ascii="Book Antiqua" w:eastAsiaTheme="majorEastAsia" w:hAnsi="Book Antiqua" w:cs="Times New Roman"/>
          <w:bCs/>
          <w:sz w:val="24"/>
          <w:szCs w:val="24"/>
        </w:rPr>
        <w:t xml:space="preserve"> the improvement </w:t>
      </w:r>
      <w:r w:rsidR="006C5D1B" w:rsidRPr="00814BF6">
        <w:rPr>
          <w:rFonts w:ascii="Book Antiqua" w:eastAsiaTheme="majorEastAsia" w:hAnsi="Book Antiqua" w:cs="Times New Roman"/>
          <w:bCs/>
          <w:sz w:val="24"/>
          <w:szCs w:val="24"/>
        </w:rPr>
        <w:t xml:space="preserve">in </w:t>
      </w:r>
      <w:r w:rsidRPr="00814BF6">
        <w:rPr>
          <w:rFonts w:ascii="Book Antiqua" w:eastAsiaTheme="majorEastAsia" w:hAnsi="Book Antiqua" w:cs="Times New Roman"/>
          <w:bCs/>
          <w:sz w:val="24"/>
          <w:szCs w:val="24"/>
        </w:rPr>
        <w:t xml:space="preserve">overall survival </w:t>
      </w:r>
      <w:r w:rsidR="006C5D1B" w:rsidRPr="00814BF6">
        <w:rPr>
          <w:rFonts w:ascii="Book Antiqua" w:eastAsiaTheme="majorEastAsia" w:hAnsi="Book Antiqua" w:cs="Times New Roman"/>
          <w:bCs/>
          <w:sz w:val="24"/>
          <w:szCs w:val="24"/>
        </w:rPr>
        <w:t>is</w:t>
      </w:r>
      <w:r w:rsidRPr="00814BF6">
        <w:rPr>
          <w:rFonts w:ascii="Book Antiqua" w:eastAsiaTheme="majorEastAsia" w:hAnsi="Book Antiqua" w:cs="Times New Roman"/>
          <w:bCs/>
          <w:sz w:val="24"/>
          <w:szCs w:val="24"/>
        </w:rPr>
        <w:t xml:space="preserve"> 14%, the improvement for adenocarcinoma is </w:t>
      </w:r>
      <w:proofErr w:type="gramStart"/>
      <w:r w:rsidRPr="00814BF6">
        <w:rPr>
          <w:rFonts w:ascii="Book Antiqua" w:eastAsiaTheme="majorEastAsia" w:hAnsi="Book Antiqua" w:cs="Times New Roman"/>
          <w:bCs/>
          <w:sz w:val="24"/>
          <w:szCs w:val="24"/>
        </w:rPr>
        <w:t>limited</w:t>
      </w:r>
      <w:r w:rsidR="00196531" w:rsidRPr="00814BF6">
        <w:rPr>
          <w:rFonts w:ascii="Book Antiqua" w:hAnsi="Book Antiqua" w:cs="Times New Roman"/>
          <w:sz w:val="24"/>
          <w:szCs w:val="24"/>
          <w:vertAlign w:val="superscript"/>
        </w:rPr>
        <w:t>[</w:t>
      </w:r>
      <w:proofErr w:type="gramEnd"/>
      <w:r w:rsidR="00F12CE0" w:rsidRPr="00814BF6">
        <w:rPr>
          <w:rFonts w:ascii="Book Antiqua" w:hAnsi="Book Antiqua" w:cs="Times New Roman"/>
          <w:sz w:val="24"/>
          <w:szCs w:val="24"/>
          <w:vertAlign w:val="superscript"/>
        </w:rPr>
        <w:t>7</w:t>
      </w:r>
      <w:r w:rsidR="00196531" w:rsidRPr="00814BF6">
        <w:rPr>
          <w:rFonts w:ascii="Book Antiqua" w:hAnsi="Book Antiqua" w:cs="Times New Roman"/>
          <w:sz w:val="24"/>
          <w:szCs w:val="24"/>
          <w:vertAlign w:val="superscript"/>
        </w:rPr>
        <w:t>]</w:t>
      </w:r>
      <w:r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The trend of improvement is not statistic</w:t>
      </w:r>
      <w:r w:rsidR="006C5D1B" w:rsidRPr="00814BF6">
        <w:rPr>
          <w:rFonts w:ascii="Book Antiqua" w:eastAsiaTheme="majorEastAsia" w:hAnsi="Book Antiqua" w:cs="Times New Roman"/>
          <w:bCs/>
          <w:sz w:val="24"/>
          <w:szCs w:val="24"/>
        </w:rPr>
        <w:t xml:space="preserve">ally </w:t>
      </w:r>
      <w:r w:rsidRPr="00814BF6">
        <w:rPr>
          <w:rFonts w:ascii="Book Antiqua" w:eastAsiaTheme="majorEastAsia" w:hAnsi="Book Antiqua" w:cs="Times New Roman"/>
          <w:bCs/>
          <w:sz w:val="24"/>
          <w:szCs w:val="24"/>
        </w:rPr>
        <w:t>significant.</w:t>
      </w:r>
      <w:r w:rsidR="00F91E94" w:rsidRPr="00814BF6">
        <w:rPr>
          <w:rFonts w:ascii="Book Antiqua" w:eastAsiaTheme="majorEastAsia" w:hAnsi="Book Antiqua" w:cs="Times New Roman"/>
          <w:bCs/>
          <w:sz w:val="24"/>
          <w:szCs w:val="24"/>
        </w:rPr>
        <w:t xml:space="preserve"> </w:t>
      </w:r>
      <w:r w:rsidR="006C5D1B" w:rsidRPr="00814BF6">
        <w:rPr>
          <w:rFonts w:ascii="Book Antiqua" w:eastAsiaTheme="majorEastAsia" w:hAnsi="Book Antiqua" w:cs="Times New Roman"/>
          <w:bCs/>
          <w:sz w:val="24"/>
          <w:szCs w:val="24"/>
        </w:rPr>
        <w:t>The greatest</w:t>
      </w:r>
      <w:r w:rsidRPr="00814BF6">
        <w:rPr>
          <w:rFonts w:ascii="Book Antiqua" w:eastAsiaTheme="majorEastAsia" w:hAnsi="Book Antiqua" w:cs="Times New Roman"/>
          <w:bCs/>
          <w:sz w:val="24"/>
          <w:szCs w:val="24"/>
        </w:rPr>
        <w:t xml:space="preserve"> benefit w</w:t>
      </w:r>
      <w:r w:rsidR="006C5D1B" w:rsidRPr="00814BF6">
        <w:rPr>
          <w:rFonts w:ascii="Book Antiqua" w:eastAsiaTheme="majorEastAsia" w:hAnsi="Book Antiqua" w:cs="Times New Roman"/>
          <w:bCs/>
          <w:sz w:val="24"/>
          <w:szCs w:val="24"/>
        </w:rPr>
        <w:t>as</w:t>
      </w:r>
      <w:r w:rsidRPr="00814BF6">
        <w:rPr>
          <w:rFonts w:ascii="Book Antiqua" w:eastAsiaTheme="majorEastAsia" w:hAnsi="Book Antiqua" w:cs="Times New Roman"/>
          <w:bCs/>
          <w:sz w:val="24"/>
          <w:szCs w:val="24"/>
        </w:rPr>
        <w:t xml:space="preserve"> for s</w:t>
      </w:r>
      <w:r w:rsidR="006C5D1B" w:rsidRPr="00814BF6">
        <w:rPr>
          <w:rFonts w:ascii="Book Antiqua" w:eastAsiaTheme="majorEastAsia" w:hAnsi="Book Antiqua" w:cs="Times New Roman"/>
          <w:bCs/>
          <w:sz w:val="24"/>
          <w:szCs w:val="24"/>
        </w:rPr>
        <w:t>quamous</w:t>
      </w:r>
      <w:r w:rsidRPr="00814BF6">
        <w:rPr>
          <w:rFonts w:ascii="Book Antiqua" w:eastAsiaTheme="majorEastAsia" w:hAnsi="Book Antiqua" w:cs="Times New Roman"/>
          <w:bCs/>
          <w:sz w:val="24"/>
          <w:szCs w:val="24"/>
        </w:rPr>
        <w:t xml:space="preserve"> cell cancer.</w:t>
      </w:r>
      <w:r w:rsidR="00F91E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 xml:space="preserve">Few data </w:t>
      </w:r>
      <w:r w:rsidR="00A91E83" w:rsidRPr="00814BF6">
        <w:rPr>
          <w:rFonts w:ascii="Book Antiqua" w:eastAsiaTheme="majorEastAsia" w:hAnsi="Book Antiqua" w:cs="Times New Roman"/>
          <w:bCs/>
          <w:sz w:val="24"/>
          <w:szCs w:val="24"/>
        </w:rPr>
        <w:t xml:space="preserve">were </w:t>
      </w:r>
      <w:r w:rsidRPr="00814BF6">
        <w:rPr>
          <w:rFonts w:ascii="Book Antiqua" w:eastAsiaTheme="majorEastAsia" w:hAnsi="Book Antiqua" w:cs="Times New Roman"/>
          <w:bCs/>
          <w:sz w:val="24"/>
          <w:szCs w:val="24"/>
        </w:rPr>
        <w:t>available on how to improve the outcome f</w:t>
      </w:r>
      <w:r w:rsidR="00F0214C" w:rsidRPr="00814BF6">
        <w:rPr>
          <w:rFonts w:ascii="Book Antiqua" w:eastAsiaTheme="majorEastAsia" w:hAnsi="Book Antiqua" w:cs="Times New Roman"/>
          <w:bCs/>
          <w:sz w:val="24"/>
          <w:szCs w:val="24"/>
        </w:rPr>
        <w:t>o</w:t>
      </w:r>
      <w:r w:rsidRPr="00814BF6">
        <w:rPr>
          <w:rFonts w:ascii="Book Antiqua" w:eastAsiaTheme="majorEastAsia" w:hAnsi="Book Antiqua" w:cs="Times New Roman"/>
          <w:bCs/>
          <w:sz w:val="24"/>
          <w:szCs w:val="24"/>
        </w:rPr>
        <w:t xml:space="preserve">r </w:t>
      </w:r>
      <w:r w:rsidR="00143706" w:rsidRPr="00814BF6">
        <w:rPr>
          <w:rFonts w:ascii="Book Antiqua" w:eastAsiaTheme="majorEastAsia" w:hAnsi="Book Antiqua" w:cs="Times New Roman"/>
          <w:bCs/>
          <w:sz w:val="24"/>
          <w:szCs w:val="24"/>
        </w:rPr>
        <w:t>esophageal</w:t>
      </w:r>
      <w:r w:rsidRPr="00814BF6">
        <w:rPr>
          <w:rFonts w:ascii="Book Antiqua" w:eastAsiaTheme="majorEastAsia" w:hAnsi="Book Antiqua" w:cs="Times New Roman"/>
          <w:bCs/>
          <w:sz w:val="24"/>
          <w:szCs w:val="24"/>
        </w:rPr>
        <w:t xml:space="preserve"> </w:t>
      </w:r>
      <w:r w:rsidR="006C5D1B" w:rsidRPr="00814BF6">
        <w:rPr>
          <w:rFonts w:ascii="Book Antiqua" w:eastAsiaTheme="majorEastAsia" w:hAnsi="Book Antiqua" w:cs="Times New Roman"/>
          <w:bCs/>
          <w:sz w:val="24"/>
          <w:szCs w:val="24"/>
        </w:rPr>
        <w:t xml:space="preserve">adenocarcinoma </w:t>
      </w:r>
      <w:r w:rsidRPr="00814BF6">
        <w:rPr>
          <w:rFonts w:ascii="Book Antiqua" w:eastAsiaTheme="majorEastAsia" w:hAnsi="Book Antiqua" w:cs="Times New Roman"/>
          <w:bCs/>
          <w:sz w:val="24"/>
          <w:szCs w:val="24"/>
        </w:rPr>
        <w:t xml:space="preserve">and gastroesophageal </w:t>
      </w:r>
      <w:r w:rsidR="00143706" w:rsidRPr="00814BF6">
        <w:rPr>
          <w:rFonts w:ascii="Book Antiqua" w:eastAsiaTheme="majorEastAsia" w:hAnsi="Book Antiqua" w:cs="Times New Roman"/>
          <w:bCs/>
          <w:sz w:val="24"/>
          <w:szCs w:val="24"/>
        </w:rPr>
        <w:t>cancers</w:t>
      </w:r>
      <w:r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Most re</w:t>
      </w:r>
      <w:r w:rsidR="00F0214C" w:rsidRPr="00814BF6">
        <w:rPr>
          <w:rFonts w:ascii="Book Antiqua" w:eastAsiaTheme="majorEastAsia" w:hAnsi="Book Antiqua" w:cs="Times New Roman"/>
          <w:bCs/>
          <w:sz w:val="24"/>
          <w:szCs w:val="24"/>
        </w:rPr>
        <w:t>p</w:t>
      </w:r>
      <w:r w:rsidRPr="00814BF6">
        <w:rPr>
          <w:rFonts w:ascii="Book Antiqua" w:eastAsiaTheme="majorEastAsia" w:hAnsi="Book Antiqua" w:cs="Times New Roman"/>
          <w:bCs/>
          <w:sz w:val="24"/>
          <w:szCs w:val="24"/>
        </w:rPr>
        <w:t>ort</w:t>
      </w:r>
      <w:r w:rsidR="00143706" w:rsidRPr="00814BF6">
        <w:rPr>
          <w:rFonts w:ascii="Book Antiqua" w:eastAsiaTheme="majorEastAsia" w:hAnsi="Book Antiqua" w:cs="Times New Roman"/>
          <w:bCs/>
          <w:sz w:val="24"/>
          <w:szCs w:val="24"/>
        </w:rPr>
        <w:t>s</w:t>
      </w:r>
      <w:r w:rsidRPr="00814BF6">
        <w:rPr>
          <w:rFonts w:ascii="Book Antiqua" w:eastAsiaTheme="majorEastAsia" w:hAnsi="Book Antiqua" w:cs="Times New Roman"/>
          <w:bCs/>
          <w:sz w:val="24"/>
          <w:szCs w:val="24"/>
        </w:rPr>
        <w:t xml:space="preserve"> </w:t>
      </w:r>
      <w:r w:rsidR="00143706" w:rsidRPr="00814BF6">
        <w:rPr>
          <w:rFonts w:ascii="Book Antiqua" w:eastAsiaTheme="majorEastAsia" w:hAnsi="Book Antiqua" w:cs="Times New Roman"/>
          <w:bCs/>
          <w:sz w:val="24"/>
          <w:szCs w:val="24"/>
        </w:rPr>
        <w:t xml:space="preserve">had </w:t>
      </w:r>
      <w:r w:rsidRPr="00814BF6">
        <w:rPr>
          <w:rFonts w:ascii="Book Antiqua" w:eastAsiaTheme="majorEastAsia" w:hAnsi="Book Antiqua" w:cs="Times New Roman"/>
          <w:bCs/>
          <w:sz w:val="24"/>
          <w:szCs w:val="24"/>
        </w:rPr>
        <w:t>histology of adenocarcinoma and s</w:t>
      </w:r>
      <w:r w:rsidR="006C5D1B" w:rsidRPr="00814BF6">
        <w:rPr>
          <w:rFonts w:ascii="Book Antiqua" w:eastAsiaTheme="majorEastAsia" w:hAnsi="Book Antiqua" w:cs="Times New Roman"/>
          <w:bCs/>
          <w:sz w:val="24"/>
          <w:szCs w:val="24"/>
        </w:rPr>
        <w:t>quamous</w:t>
      </w:r>
      <w:r w:rsidRPr="00814BF6">
        <w:rPr>
          <w:rFonts w:ascii="Book Antiqua" w:eastAsiaTheme="majorEastAsia" w:hAnsi="Book Antiqua" w:cs="Times New Roman"/>
          <w:bCs/>
          <w:sz w:val="24"/>
          <w:szCs w:val="24"/>
        </w:rPr>
        <w:t xml:space="preserve"> cell cancer.</w:t>
      </w:r>
      <w:r w:rsidR="00F91E94" w:rsidRPr="00814BF6">
        <w:rPr>
          <w:rFonts w:ascii="Book Antiqua" w:eastAsiaTheme="majorEastAsia" w:hAnsi="Book Antiqua" w:cs="Times New Roman"/>
          <w:bCs/>
          <w:sz w:val="24"/>
          <w:szCs w:val="24"/>
        </w:rPr>
        <w:t xml:space="preserve"> </w:t>
      </w:r>
    </w:p>
    <w:p w14:paraId="2A312E0D" w14:textId="77777777" w:rsidR="00162DFA" w:rsidRPr="00814BF6" w:rsidRDefault="002C0CF5" w:rsidP="007B5DF5">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We reviewed our single</w:t>
      </w:r>
      <w:r w:rsidR="006C5D1B" w:rsidRPr="00814BF6">
        <w:rPr>
          <w:rFonts w:ascii="Book Antiqua" w:eastAsiaTheme="majorEastAsia" w:hAnsi="Book Antiqua" w:cs="Times New Roman"/>
          <w:bCs/>
          <w:sz w:val="24"/>
          <w:szCs w:val="24"/>
        </w:rPr>
        <w:t>-</w:t>
      </w:r>
      <w:r w:rsidRPr="00814BF6">
        <w:rPr>
          <w:rFonts w:ascii="Book Antiqua" w:eastAsiaTheme="majorEastAsia" w:hAnsi="Book Antiqua" w:cs="Times New Roman"/>
          <w:bCs/>
          <w:sz w:val="24"/>
          <w:szCs w:val="24"/>
        </w:rPr>
        <w:t xml:space="preserve">institute experience </w:t>
      </w:r>
      <w:r w:rsidR="00143706" w:rsidRPr="00814BF6">
        <w:rPr>
          <w:rFonts w:ascii="Book Antiqua" w:eastAsiaTheme="majorEastAsia" w:hAnsi="Book Antiqua" w:cs="Times New Roman"/>
          <w:bCs/>
          <w:sz w:val="24"/>
          <w:szCs w:val="24"/>
        </w:rPr>
        <w:t xml:space="preserve">on adenocarcinoma </w:t>
      </w:r>
      <w:r w:rsidRPr="00814BF6">
        <w:rPr>
          <w:rFonts w:ascii="Book Antiqua" w:eastAsiaTheme="majorEastAsia" w:hAnsi="Book Antiqua" w:cs="Times New Roman"/>
          <w:bCs/>
          <w:sz w:val="24"/>
          <w:szCs w:val="24"/>
        </w:rPr>
        <w:t>using IMRT-SIB dose escalation technique,</w:t>
      </w:r>
      <w:r w:rsidR="00F91E94" w:rsidRPr="00814BF6">
        <w:rPr>
          <w:rFonts w:ascii="Book Antiqua" w:eastAsiaTheme="majorEastAsia" w:hAnsi="Book Antiqua" w:cs="Times New Roman"/>
          <w:bCs/>
          <w:sz w:val="24"/>
          <w:szCs w:val="24"/>
        </w:rPr>
        <w:t xml:space="preserve"> </w:t>
      </w:r>
      <w:r w:rsidRPr="00814BF6">
        <w:rPr>
          <w:rFonts w:ascii="Book Antiqua" w:eastAsiaTheme="majorEastAsia" w:hAnsi="Book Antiqua" w:cs="Times New Roman"/>
          <w:bCs/>
          <w:sz w:val="24"/>
          <w:szCs w:val="24"/>
        </w:rPr>
        <w:t>and f</w:t>
      </w:r>
      <w:r w:rsidR="006C5D1B" w:rsidRPr="00814BF6">
        <w:rPr>
          <w:rFonts w:ascii="Book Antiqua" w:eastAsiaTheme="majorEastAsia" w:hAnsi="Book Antiqua" w:cs="Times New Roman"/>
          <w:bCs/>
          <w:sz w:val="24"/>
          <w:szCs w:val="24"/>
        </w:rPr>
        <w:t>o</w:t>
      </w:r>
      <w:r w:rsidRPr="00814BF6">
        <w:rPr>
          <w:rFonts w:ascii="Book Antiqua" w:eastAsiaTheme="majorEastAsia" w:hAnsi="Book Antiqua" w:cs="Times New Roman"/>
          <w:bCs/>
          <w:sz w:val="24"/>
          <w:szCs w:val="24"/>
        </w:rPr>
        <w:t xml:space="preserve">und that the toxicity is low and </w:t>
      </w:r>
      <w:r w:rsidR="003070D3" w:rsidRPr="00814BF6">
        <w:rPr>
          <w:rFonts w:ascii="Book Antiqua" w:eastAsiaTheme="majorEastAsia" w:hAnsi="Book Antiqua" w:cs="Times New Roman"/>
          <w:bCs/>
          <w:sz w:val="24"/>
          <w:szCs w:val="24"/>
        </w:rPr>
        <w:t xml:space="preserve">local and </w:t>
      </w:r>
      <w:r w:rsidR="006C5D1B" w:rsidRPr="00814BF6">
        <w:rPr>
          <w:rFonts w:ascii="Book Antiqua" w:eastAsiaTheme="majorEastAsia" w:hAnsi="Book Antiqua" w:cs="Times New Roman"/>
          <w:bCs/>
          <w:sz w:val="24"/>
          <w:szCs w:val="24"/>
        </w:rPr>
        <w:t xml:space="preserve">that the incidence of </w:t>
      </w:r>
      <w:r w:rsidR="003070D3" w:rsidRPr="00814BF6">
        <w:rPr>
          <w:rFonts w:ascii="Book Antiqua" w:eastAsiaTheme="majorEastAsia" w:hAnsi="Book Antiqua" w:cs="Times New Roman"/>
          <w:bCs/>
          <w:sz w:val="24"/>
          <w:szCs w:val="24"/>
        </w:rPr>
        <w:t xml:space="preserve">distal recurrence is consistent with previous </w:t>
      </w:r>
      <w:proofErr w:type="gramStart"/>
      <w:r w:rsidR="006C5D1B" w:rsidRPr="00814BF6">
        <w:rPr>
          <w:rFonts w:ascii="Book Antiqua" w:eastAsiaTheme="majorEastAsia" w:hAnsi="Book Antiqua" w:cs="Times New Roman"/>
          <w:bCs/>
          <w:sz w:val="24"/>
          <w:szCs w:val="24"/>
        </w:rPr>
        <w:t>reports</w:t>
      </w:r>
      <w:r w:rsidR="00196531" w:rsidRPr="00814BF6">
        <w:rPr>
          <w:rFonts w:ascii="Book Antiqua" w:hAnsi="Book Antiqua" w:cs="Times New Roman"/>
          <w:sz w:val="24"/>
          <w:szCs w:val="24"/>
          <w:vertAlign w:val="superscript"/>
        </w:rPr>
        <w:t>[</w:t>
      </w:r>
      <w:proofErr w:type="gramEnd"/>
      <w:r w:rsidR="00F12CE0" w:rsidRPr="00814BF6">
        <w:rPr>
          <w:rFonts w:ascii="Book Antiqua" w:hAnsi="Book Antiqua" w:cs="Times New Roman"/>
          <w:sz w:val="24"/>
          <w:szCs w:val="24"/>
          <w:vertAlign w:val="superscript"/>
        </w:rPr>
        <w:t>11,17,18</w:t>
      </w:r>
      <w:r w:rsidR="00196531" w:rsidRPr="00814BF6">
        <w:rPr>
          <w:rFonts w:ascii="Book Antiqua" w:hAnsi="Book Antiqua" w:cs="Times New Roman"/>
          <w:sz w:val="24"/>
          <w:szCs w:val="24"/>
          <w:vertAlign w:val="superscript"/>
        </w:rPr>
        <w:t>]</w:t>
      </w:r>
      <w:r w:rsidR="00196531" w:rsidRPr="00814BF6">
        <w:rPr>
          <w:rFonts w:ascii="Book Antiqua" w:eastAsiaTheme="majorEastAsia" w:hAnsi="Book Antiqua" w:cs="Times New Roman"/>
          <w:bCs/>
          <w:sz w:val="24"/>
          <w:szCs w:val="24"/>
        </w:rPr>
        <w:t>.</w:t>
      </w:r>
      <w:r w:rsidR="00286EF5">
        <w:rPr>
          <w:rFonts w:ascii="Book Antiqua" w:eastAsiaTheme="majorEastAsia" w:hAnsi="Book Antiqua" w:cs="Times New Roman"/>
          <w:bCs/>
          <w:sz w:val="24"/>
          <w:szCs w:val="24"/>
        </w:rPr>
        <w:t xml:space="preserve"> </w:t>
      </w:r>
      <w:r w:rsidR="003070D3" w:rsidRPr="00814BF6">
        <w:rPr>
          <w:rFonts w:ascii="Book Antiqua" w:eastAsiaTheme="majorEastAsia" w:hAnsi="Book Antiqua" w:cs="Times New Roman"/>
          <w:bCs/>
          <w:sz w:val="24"/>
          <w:szCs w:val="24"/>
        </w:rPr>
        <w:t xml:space="preserve">Moreover, </w:t>
      </w:r>
      <w:r w:rsidR="00143706" w:rsidRPr="00814BF6">
        <w:rPr>
          <w:rFonts w:ascii="Book Antiqua" w:eastAsiaTheme="majorEastAsia" w:hAnsi="Book Antiqua" w:cs="Times New Roman"/>
          <w:bCs/>
          <w:sz w:val="24"/>
          <w:szCs w:val="24"/>
        </w:rPr>
        <w:t>we f</w:t>
      </w:r>
      <w:r w:rsidR="006C5D1B" w:rsidRPr="00814BF6">
        <w:rPr>
          <w:rFonts w:ascii="Book Antiqua" w:eastAsiaTheme="majorEastAsia" w:hAnsi="Book Antiqua" w:cs="Times New Roman"/>
          <w:bCs/>
          <w:sz w:val="24"/>
          <w:szCs w:val="24"/>
        </w:rPr>
        <w:t>o</w:t>
      </w:r>
      <w:r w:rsidR="00143706" w:rsidRPr="00814BF6">
        <w:rPr>
          <w:rFonts w:ascii="Book Antiqua" w:eastAsiaTheme="majorEastAsia" w:hAnsi="Book Antiqua" w:cs="Times New Roman"/>
          <w:bCs/>
          <w:sz w:val="24"/>
          <w:szCs w:val="24"/>
        </w:rPr>
        <w:t xml:space="preserve">und </w:t>
      </w:r>
      <w:r w:rsidR="006C5D1B" w:rsidRPr="00814BF6">
        <w:rPr>
          <w:rFonts w:ascii="Book Antiqua" w:eastAsiaTheme="majorEastAsia" w:hAnsi="Book Antiqua" w:cs="Times New Roman"/>
          <w:bCs/>
          <w:sz w:val="24"/>
          <w:szCs w:val="24"/>
        </w:rPr>
        <w:t>a</w:t>
      </w:r>
      <w:r w:rsidR="00F0214C" w:rsidRPr="00814BF6">
        <w:rPr>
          <w:rFonts w:ascii="Book Antiqua" w:eastAsiaTheme="majorEastAsia" w:hAnsi="Book Antiqua" w:cs="Times New Roman"/>
          <w:bCs/>
          <w:sz w:val="24"/>
          <w:szCs w:val="24"/>
        </w:rPr>
        <w:t xml:space="preserve"> possibl</w:t>
      </w:r>
      <w:r w:rsidR="006C5D1B" w:rsidRPr="00814BF6">
        <w:rPr>
          <w:rFonts w:ascii="Book Antiqua" w:eastAsiaTheme="majorEastAsia" w:hAnsi="Book Antiqua" w:cs="Times New Roman"/>
          <w:bCs/>
          <w:sz w:val="24"/>
          <w:szCs w:val="24"/>
        </w:rPr>
        <w:t>e</w:t>
      </w:r>
      <w:r w:rsidR="00F0214C" w:rsidRPr="00814BF6">
        <w:rPr>
          <w:rFonts w:ascii="Book Antiqua" w:eastAsiaTheme="majorEastAsia" w:hAnsi="Book Antiqua" w:cs="Times New Roman"/>
          <w:bCs/>
          <w:sz w:val="24"/>
          <w:szCs w:val="24"/>
        </w:rPr>
        <w:t xml:space="preserve"> association between</w:t>
      </w:r>
      <w:r w:rsidR="00E03F70" w:rsidRPr="00814BF6">
        <w:rPr>
          <w:rFonts w:ascii="Book Antiqua" w:eastAsiaTheme="majorEastAsia" w:hAnsi="Book Antiqua" w:cs="Times New Roman"/>
          <w:bCs/>
          <w:sz w:val="24"/>
          <w:szCs w:val="24"/>
        </w:rPr>
        <w:t xml:space="preserve"> that dose </w:t>
      </w:r>
      <w:r w:rsidR="00F0214C" w:rsidRPr="00814BF6">
        <w:rPr>
          <w:rFonts w:ascii="Book Antiqua" w:eastAsiaTheme="majorEastAsia" w:hAnsi="Book Antiqua" w:cs="Times New Roman"/>
          <w:bCs/>
          <w:sz w:val="24"/>
          <w:szCs w:val="24"/>
        </w:rPr>
        <w:t>escalation</w:t>
      </w:r>
      <w:r w:rsidR="00E03F70" w:rsidRPr="00814BF6">
        <w:rPr>
          <w:rFonts w:ascii="Book Antiqua" w:eastAsiaTheme="majorEastAsia" w:hAnsi="Book Antiqua" w:cs="Times New Roman"/>
          <w:bCs/>
          <w:sz w:val="24"/>
          <w:szCs w:val="24"/>
        </w:rPr>
        <w:t xml:space="preserve"> with IMRT</w:t>
      </w:r>
      <w:r w:rsidR="008678BF" w:rsidRPr="00814BF6">
        <w:rPr>
          <w:rFonts w:ascii="Book Antiqua" w:eastAsiaTheme="majorEastAsia" w:hAnsi="Book Antiqua" w:cs="Times New Roman"/>
          <w:bCs/>
          <w:sz w:val="24"/>
          <w:szCs w:val="24"/>
        </w:rPr>
        <w:t>-</w:t>
      </w:r>
      <w:r w:rsidR="00E03F70" w:rsidRPr="00814BF6">
        <w:rPr>
          <w:rFonts w:ascii="Book Antiqua" w:eastAsiaTheme="majorEastAsia" w:hAnsi="Book Antiqua" w:cs="Times New Roman"/>
          <w:bCs/>
          <w:sz w:val="24"/>
          <w:szCs w:val="24"/>
        </w:rPr>
        <w:t xml:space="preserve">SIB and </w:t>
      </w:r>
      <w:r w:rsidR="003070D3" w:rsidRPr="00814BF6">
        <w:rPr>
          <w:rFonts w:ascii="Book Antiqua" w:eastAsiaTheme="majorEastAsia" w:hAnsi="Book Antiqua" w:cs="Times New Roman"/>
          <w:bCs/>
          <w:sz w:val="24"/>
          <w:szCs w:val="24"/>
        </w:rPr>
        <w:t>the</w:t>
      </w:r>
      <w:r w:rsidR="00143706" w:rsidRPr="00814BF6">
        <w:rPr>
          <w:rFonts w:ascii="Book Antiqua" w:eastAsiaTheme="majorEastAsia" w:hAnsi="Book Antiqua" w:cs="Times New Roman"/>
          <w:bCs/>
          <w:sz w:val="24"/>
          <w:szCs w:val="24"/>
        </w:rPr>
        <w:t xml:space="preserve"> high</w:t>
      </w:r>
      <w:r w:rsidR="00DF06EA" w:rsidRPr="00814BF6">
        <w:rPr>
          <w:rFonts w:ascii="Book Antiqua" w:eastAsiaTheme="majorEastAsia" w:hAnsi="Book Antiqua" w:cs="Times New Roman"/>
          <w:bCs/>
          <w:sz w:val="24"/>
          <w:szCs w:val="24"/>
        </w:rPr>
        <w:t xml:space="preserve"> pCR</w:t>
      </w:r>
      <w:r w:rsidR="00E03F70" w:rsidRPr="00814BF6">
        <w:rPr>
          <w:rFonts w:ascii="Book Antiqua" w:eastAsiaTheme="majorEastAsia" w:hAnsi="Book Antiqua" w:cs="Times New Roman"/>
          <w:bCs/>
          <w:sz w:val="24"/>
          <w:szCs w:val="24"/>
        </w:rPr>
        <w:t xml:space="preserve"> rate.</w:t>
      </w:r>
      <w:r w:rsidR="001814F2" w:rsidRPr="00814BF6">
        <w:rPr>
          <w:rFonts w:ascii="Book Antiqua" w:eastAsiaTheme="majorEastAsia" w:hAnsi="Book Antiqua" w:cs="Times New Roman"/>
          <w:bCs/>
          <w:sz w:val="24"/>
          <w:szCs w:val="24"/>
        </w:rPr>
        <w:t xml:space="preserve"> </w:t>
      </w:r>
      <w:r w:rsidR="00B96621" w:rsidRPr="00814BF6">
        <w:rPr>
          <w:rFonts w:ascii="Book Antiqua" w:eastAsiaTheme="majorEastAsia" w:hAnsi="Book Antiqua" w:cs="Times New Roman"/>
          <w:bCs/>
          <w:sz w:val="24"/>
          <w:szCs w:val="24"/>
        </w:rPr>
        <w:t xml:space="preserve">The idea behind preoperative CRT in the treatment of esophageal and gastroesophageal junction </w:t>
      </w:r>
      <w:r w:rsidR="008678BF" w:rsidRPr="00814BF6">
        <w:rPr>
          <w:rFonts w:ascii="Book Antiqua" w:eastAsiaTheme="majorEastAsia" w:hAnsi="Book Antiqua" w:cs="Times New Roman"/>
          <w:bCs/>
          <w:sz w:val="24"/>
          <w:szCs w:val="24"/>
        </w:rPr>
        <w:t xml:space="preserve">cancer </w:t>
      </w:r>
      <w:r w:rsidR="00B96621" w:rsidRPr="00814BF6">
        <w:rPr>
          <w:rFonts w:ascii="Book Antiqua" w:eastAsiaTheme="majorEastAsia" w:hAnsi="Book Antiqua" w:cs="Times New Roman"/>
          <w:bCs/>
          <w:sz w:val="24"/>
          <w:szCs w:val="24"/>
        </w:rPr>
        <w:t xml:space="preserve">was to improve survival by reducing locoregional </w:t>
      </w:r>
      <w:proofErr w:type="gramStart"/>
      <w:r w:rsidR="00B96621" w:rsidRPr="00814BF6">
        <w:rPr>
          <w:rFonts w:ascii="Book Antiqua" w:eastAsiaTheme="majorEastAsia" w:hAnsi="Book Antiqua" w:cs="Times New Roman"/>
          <w:bCs/>
          <w:sz w:val="24"/>
          <w:szCs w:val="24"/>
        </w:rPr>
        <w:t>failure</w:t>
      </w:r>
      <w:r w:rsidR="00196531" w:rsidRPr="00814BF6">
        <w:rPr>
          <w:rFonts w:ascii="Book Antiqua" w:hAnsi="Book Antiqua" w:cs="Times New Roman"/>
          <w:sz w:val="24"/>
          <w:szCs w:val="24"/>
          <w:vertAlign w:val="superscript"/>
        </w:rPr>
        <w:t>[</w:t>
      </w:r>
      <w:proofErr w:type="gramEnd"/>
      <w:r w:rsidR="00F12CE0" w:rsidRPr="00814BF6">
        <w:rPr>
          <w:rFonts w:ascii="Book Antiqua" w:hAnsi="Book Antiqua" w:cs="Times New Roman"/>
          <w:sz w:val="24"/>
          <w:szCs w:val="24"/>
          <w:vertAlign w:val="superscript"/>
        </w:rPr>
        <w:t>13,1</w:t>
      </w:r>
      <w:r w:rsidR="00196531" w:rsidRPr="00814BF6">
        <w:rPr>
          <w:rFonts w:ascii="Book Antiqua" w:hAnsi="Book Antiqua" w:cs="Times New Roman"/>
          <w:sz w:val="24"/>
          <w:szCs w:val="24"/>
          <w:vertAlign w:val="superscript"/>
        </w:rPr>
        <w:t>8]</w:t>
      </w:r>
      <w:r w:rsidR="00196531"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B96621" w:rsidRPr="00814BF6">
        <w:rPr>
          <w:rFonts w:ascii="Book Antiqua" w:eastAsiaTheme="majorEastAsia" w:hAnsi="Book Antiqua" w:cs="Times New Roman"/>
          <w:bCs/>
          <w:sz w:val="24"/>
          <w:szCs w:val="24"/>
        </w:rPr>
        <w:t xml:space="preserve">The high pCR rate through IMRT-SIB dose </w:t>
      </w:r>
      <w:r w:rsidR="00F01EFE" w:rsidRPr="00814BF6">
        <w:rPr>
          <w:rFonts w:ascii="Book Antiqua" w:eastAsiaTheme="majorEastAsia" w:hAnsi="Book Antiqua" w:cs="Times New Roman"/>
          <w:bCs/>
          <w:sz w:val="24"/>
          <w:szCs w:val="24"/>
        </w:rPr>
        <w:t>escalation</w:t>
      </w:r>
      <w:r w:rsidR="00B96621" w:rsidRPr="00814BF6">
        <w:rPr>
          <w:rFonts w:ascii="Book Antiqua" w:eastAsiaTheme="majorEastAsia" w:hAnsi="Book Antiqua" w:cs="Times New Roman"/>
          <w:bCs/>
          <w:sz w:val="24"/>
          <w:szCs w:val="24"/>
        </w:rPr>
        <w:t xml:space="preserve"> to the tumor mass itself is a strong favorable prognostic factor for both loc</w:t>
      </w:r>
      <w:r w:rsidR="008678BF" w:rsidRPr="00814BF6">
        <w:rPr>
          <w:rFonts w:ascii="Book Antiqua" w:eastAsiaTheme="majorEastAsia" w:hAnsi="Book Antiqua" w:cs="Times New Roman"/>
          <w:bCs/>
          <w:sz w:val="24"/>
          <w:szCs w:val="24"/>
        </w:rPr>
        <w:t>o</w:t>
      </w:r>
      <w:r w:rsidR="00B96621" w:rsidRPr="00814BF6">
        <w:rPr>
          <w:rFonts w:ascii="Book Antiqua" w:eastAsiaTheme="majorEastAsia" w:hAnsi="Book Antiqua" w:cs="Times New Roman"/>
          <w:bCs/>
          <w:sz w:val="24"/>
          <w:szCs w:val="24"/>
        </w:rPr>
        <w:t>regional and systemic recurrence</w:t>
      </w:r>
      <w:r w:rsidR="006C5D1B" w:rsidRPr="00814BF6">
        <w:rPr>
          <w:rFonts w:ascii="Book Antiqua" w:eastAsiaTheme="majorEastAsia" w:hAnsi="Book Antiqua" w:cs="Times New Roman"/>
          <w:bCs/>
          <w:sz w:val="24"/>
          <w:szCs w:val="24"/>
        </w:rPr>
        <w:t xml:space="preserve"> and</w:t>
      </w:r>
      <w:r w:rsidR="00B96621" w:rsidRPr="00814BF6">
        <w:rPr>
          <w:rFonts w:ascii="Book Antiqua" w:eastAsiaTheme="majorEastAsia" w:hAnsi="Book Antiqua" w:cs="Times New Roman"/>
          <w:bCs/>
          <w:sz w:val="24"/>
          <w:szCs w:val="24"/>
        </w:rPr>
        <w:t xml:space="preserve"> maybe even for </w:t>
      </w:r>
      <w:r w:rsidR="006C5D1B" w:rsidRPr="00814BF6">
        <w:rPr>
          <w:rFonts w:ascii="Book Antiqua" w:eastAsiaTheme="majorEastAsia" w:hAnsi="Book Antiqua" w:cs="Times New Roman"/>
          <w:bCs/>
          <w:sz w:val="24"/>
          <w:szCs w:val="24"/>
        </w:rPr>
        <w:t>overall</w:t>
      </w:r>
      <w:r w:rsidR="00B96621" w:rsidRPr="00814BF6">
        <w:rPr>
          <w:rFonts w:ascii="Book Antiqua" w:eastAsiaTheme="majorEastAsia" w:hAnsi="Book Antiqua" w:cs="Times New Roman"/>
          <w:bCs/>
          <w:sz w:val="24"/>
          <w:szCs w:val="24"/>
        </w:rPr>
        <w:t xml:space="preserve"> </w:t>
      </w:r>
      <w:proofErr w:type="gramStart"/>
      <w:r w:rsidR="00B96621" w:rsidRPr="00814BF6">
        <w:rPr>
          <w:rFonts w:ascii="Book Antiqua" w:eastAsiaTheme="majorEastAsia" w:hAnsi="Book Antiqua" w:cs="Times New Roman"/>
          <w:bCs/>
          <w:sz w:val="24"/>
          <w:szCs w:val="24"/>
        </w:rPr>
        <w:t>survival</w:t>
      </w:r>
      <w:r w:rsidR="00196531" w:rsidRPr="00814BF6">
        <w:rPr>
          <w:rFonts w:ascii="Book Antiqua" w:hAnsi="Book Antiqua" w:cs="Times New Roman"/>
          <w:sz w:val="24"/>
          <w:szCs w:val="24"/>
          <w:vertAlign w:val="superscript"/>
        </w:rPr>
        <w:t>[</w:t>
      </w:r>
      <w:proofErr w:type="gramEnd"/>
      <w:r w:rsidR="00196531" w:rsidRPr="00814BF6">
        <w:rPr>
          <w:rFonts w:ascii="Book Antiqua" w:hAnsi="Book Antiqua" w:cs="Times New Roman"/>
          <w:sz w:val="24"/>
          <w:szCs w:val="24"/>
          <w:vertAlign w:val="superscript"/>
        </w:rPr>
        <w:t>19]</w:t>
      </w:r>
      <w:r w:rsidR="00196531"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6C5D1B" w:rsidRPr="00814BF6">
        <w:rPr>
          <w:rFonts w:ascii="Book Antiqua" w:eastAsiaTheme="majorEastAsia" w:hAnsi="Book Antiqua" w:cs="Times New Roman"/>
          <w:bCs/>
          <w:sz w:val="24"/>
          <w:szCs w:val="24"/>
        </w:rPr>
        <w:t>However, f</w:t>
      </w:r>
      <w:r w:rsidR="00B96621" w:rsidRPr="00814BF6">
        <w:rPr>
          <w:rFonts w:ascii="Book Antiqua" w:eastAsiaTheme="majorEastAsia" w:hAnsi="Book Antiqua" w:cs="Times New Roman"/>
          <w:bCs/>
          <w:sz w:val="24"/>
          <w:szCs w:val="24"/>
        </w:rPr>
        <w:t xml:space="preserve">urther studies </w:t>
      </w:r>
      <w:r w:rsidR="006C5D1B" w:rsidRPr="00814BF6">
        <w:rPr>
          <w:rFonts w:ascii="Book Antiqua" w:eastAsiaTheme="majorEastAsia" w:hAnsi="Book Antiqua" w:cs="Times New Roman"/>
          <w:bCs/>
          <w:sz w:val="24"/>
          <w:szCs w:val="24"/>
        </w:rPr>
        <w:t xml:space="preserve">are </w:t>
      </w:r>
      <w:r w:rsidR="00B96621" w:rsidRPr="00814BF6">
        <w:rPr>
          <w:rFonts w:ascii="Book Antiqua" w:eastAsiaTheme="majorEastAsia" w:hAnsi="Book Antiqua" w:cs="Times New Roman"/>
          <w:bCs/>
          <w:sz w:val="24"/>
          <w:szCs w:val="24"/>
        </w:rPr>
        <w:t>need</w:t>
      </w:r>
      <w:r w:rsidR="006C5D1B" w:rsidRPr="00814BF6">
        <w:rPr>
          <w:rFonts w:ascii="Book Antiqua" w:eastAsiaTheme="majorEastAsia" w:hAnsi="Book Antiqua" w:cs="Times New Roman"/>
          <w:bCs/>
          <w:sz w:val="24"/>
          <w:szCs w:val="24"/>
        </w:rPr>
        <w:t>ed</w:t>
      </w:r>
      <w:r w:rsidR="00B96621" w:rsidRPr="00814BF6">
        <w:rPr>
          <w:rFonts w:ascii="Book Antiqua" w:eastAsiaTheme="majorEastAsia" w:hAnsi="Book Antiqua" w:cs="Times New Roman"/>
          <w:bCs/>
          <w:sz w:val="24"/>
          <w:szCs w:val="24"/>
        </w:rPr>
        <w:t xml:space="preserve"> to explore the potential association between SIB</w:t>
      </w:r>
      <w:r w:rsidR="006C5D1B" w:rsidRPr="00814BF6">
        <w:rPr>
          <w:rFonts w:ascii="Book Antiqua" w:eastAsiaTheme="majorEastAsia" w:hAnsi="Book Antiqua" w:cs="Times New Roman"/>
          <w:bCs/>
          <w:sz w:val="24"/>
          <w:szCs w:val="24"/>
        </w:rPr>
        <w:t>-</w:t>
      </w:r>
      <w:r w:rsidR="00B96621" w:rsidRPr="00814BF6">
        <w:rPr>
          <w:rFonts w:ascii="Book Antiqua" w:eastAsiaTheme="majorEastAsia" w:hAnsi="Book Antiqua" w:cs="Times New Roman"/>
          <w:bCs/>
          <w:sz w:val="24"/>
          <w:szCs w:val="24"/>
        </w:rPr>
        <w:t xml:space="preserve">induced pCR and </w:t>
      </w:r>
      <w:r w:rsidR="008678BF" w:rsidRPr="00814BF6">
        <w:rPr>
          <w:rFonts w:ascii="Book Antiqua" w:eastAsiaTheme="majorEastAsia" w:hAnsi="Book Antiqua" w:cs="Times New Roman"/>
          <w:bCs/>
          <w:sz w:val="24"/>
          <w:szCs w:val="24"/>
        </w:rPr>
        <w:t xml:space="preserve">overall survival </w:t>
      </w:r>
      <w:r w:rsidR="00B96621" w:rsidRPr="00814BF6">
        <w:rPr>
          <w:rFonts w:ascii="Book Antiqua" w:eastAsiaTheme="majorEastAsia" w:hAnsi="Book Antiqua" w:cs="Times New Roman"/>
          <w:bCs/>
          <w:sz w:val="24"/>
          <w:szCs w:val="24"/>
        </w:rPr>
        <w:t>rate for adenocarcinoma.</w:t>
      </w:r>
    </w:p>
    <w:p w14:paraId="3BC07740" w14:textId="77777777" w:rsidR="008A0335" w:rsidRPr="00814BF6" w:rsidRDefault="000311EF" w:rsidP="007B5DF5">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T</w:t>
      </w:r>
      <w:r w:rsidR="006C5D1B" w:rsidRPr="00814BF6">
        <w:rPr>
          <w:rFonts w:ascii="Book Antiqua" w:eastAsiaTheme="majorEastAsia" w:hAnsi="Book Antiqua" w:cs="Times New Roman"/>
          <w:bCs/>
          <w:sz w:val="24"/>
          <w:szCs w:val="24"/>
        </w:rPr>
        <w:t xml:space="preserve">he </w:t>
      </w:r>
      <w:r w:rsidR="00162DFA" w:rsidRPr="00814BF6">
        <w:rPr>
          <w:rFonts w:ascii="Book Antiqua" w:eastAsiaTheme="majorEastAsia" w:hAnsi="Book Antiqua" w:cs="Times New Roman"/>
          <w:bCs/>
          <w:sz w:val="24"/>
          <w:szCs w:val="24"/>
        </w:rPr>
        <w:t xml:space="preserve">Cross </w:t>
      </w:r>
      <w:proofErr w:type="gramStart"/>
      <w:r w:rsidR="00696D9E" w:rsidRPr="00814BF6">
        <w:rPr>
          <w:rFonts w:ascii="Book Antiqua" w:eastAsiaTheme="majorEastAsia" w:hAnsi="Book Antiqua" w:cs="Times New Roman"/>
          <w:bCs/>
          <w:sz w:val="24"/>
          <w:szCs w:val="24"/>
        </w:rPr>
        <w:t>s</w:t>
      </w:r>
      <w:r w:rsidR="00162DFA" w:rsidRPr="00814BF6">
        <w:rPr>
          <w:rFonts w:ascii="Book Antiqua" w:eastAsiaTheme="majorEastAsia" w:hAnsi="Book Antiqua" w:cs="Times New Roman"/>
          <w:bCs/>
          <w:sz w:val="24"/>
          <w:szCs w:val="24"/>
        </w:rPr>
        <w:t>tudy</w:t>
      </w:r>
      <w:r w:rsidR="00196531" w:rsidRPr="00814BF6">
        <w:rPr>
          <w:rFonts w:ascii="Book Antiqua" w:hAnsi="Book Antiqua" w:cs="Times New Roman"/>
          <w:sz w:val="24"/>
          <w:szCs w:val="24"/>
          <w:vertAlign w:val="superscript"/>
        </w:rPr>
        <w:t>[</w:t>
      </w:r>
      <w:proofErr w:type="gramEnd"/>
      <w:r w:rsidR="00F12CE0" w:rsidRPr="00814BF6">
        <w:rPr>
          <w:rFonts w:ascii="Book Antiqua" w:hAnsi="Book Antiqua" w:cs="Times New Roman"/>
          <w:sz w:val="24"/>
          <w:szCs w:val="24"/>
          <w:vertAlign w:val="superscript"/>
        </w:rPr>
        <w:t>7</w:t>
      </w:r>
      <w:r w:rsidR="00196531" w:rsidRPr="00814BF6">
        <w:rPr>
          <w:rFonts w:ascii="Book Antiqua" w:hAnsi="Book Antiqua" w:cs="Times New Roman"/>
          <w:sz w:val="24"/>
          <w:szCs w:val="24"/>
          <w:vertAlign w:val="superscript"/>
        </w:rPr>
        <w:t>]</w:t>
      </w:r>
      <w:r w:rsidR="00F12CE0" w:rsidRPr="00814BF6">
        <w:rPr>
          <w:rFonts w:ascii="Book Antiqua" w:eastAsiaTheme="majorEastAsia" w:hAnsi="Book Antiqua" w:cs="Times New Roman"/>
          <w:bCs/>
          <w:sz w:val="24"/>
          <w:szCs w:val="24"/>
        </w:rPr>
        <w:t xml:space="preserve"> </w:t>
      </w:r>
      <w:r w:rsidR="00162DFA" w:rsidRPr="00814BF6">
        <w:rPr>
          <w:rFonts w:ascii="Book Antiqua" w:eastAsiaTheme="majorEastAsia" w:hAnsi="Book Antiqua" w:cs="Times New Roman"/>
          <w:bCs/>
          <w:sz w:val="24"/>
          <w:szCs w:val="24"/>
        </w:rPr>
        <w:t xml:space="preserve">and </w:t>
      </w:r>
      <w:r w:rsidR="00696D9E" w:rsidRPr="00814BF6">
        <w:rPr>
          <w:rFonts w:ascii="Book Antiqua" w:eastAsiaTheme="majorEastAsia" w:hAnsi="Book Antiqua" w:cs="Times New Roman"/>
          <w:bCs/>
          <w:sz w:val="24"/>
          <w:szCs w:val="24"/>
        </w:rPr>
        <w:t xml:space="preserve">the report by </w:t>
      </w:r>
      <w:r w:rsidR="00162DFA" w:rsidRPr="00814BF6">
        <w:rPr>
          <w:rFonts w:ascii="Book Antiqua" w:eastAsiaTheme="majorEastAsia" w:hAnsi="Book Antiqua" w:cs="Times New Roman"/>
          <w:bCs/>
          <w:sz w:val="24"/>
          <w:szCs w:val="24"/>
        </w:rPr>
        <w:t>Hoeppner</w:t>
      </w:r>
      <w:r w:rsidR="007B5DF5">
        <w:rPr>
          <w:rFonts w:ascii="Book Antiqua" w:eastAsiaTheme="majorEastAsia" w:hAnsi="Book Antiqua" w:cs="Times New Roman"/>
          <w:bCs/>
          <w:sz w:val="24"/>
          <w:szCs w:val="24"/>
        </w:rPr>
        <w:t xml:space="preserve"> </w:t>
      </w:r>
      <w:r w:rsidR="007B5DF5" w:rsidRPr="007B5DF5">
        <w:rPr>
          <w:rFonts w:ascii="Book Antiqua" w:eastAsiaTheme="majorEastAsia" w:hAnsi="Book Antiqua" w:cs="Times New Roman"/>
          <w:bCs/>
          <w:i/>
          <w:sz w:val="24"/>
          <w:szCs w:val="24"/>
        </w:rPr>
        <w:t>et al</w:t>
      </w:r>
      <w:r w:rsidR="00696D9E" w:rsidRPr="00814BF6">
        <w:rPr>
          <w:rFonts w:ascii="Book Antiqua" w:hAnsi="Book Antiqua" w:cs="Times New Roman"/>
          <w:sz w:val="24"/>
          <w:szCs w:val="24"/>
          <w:vertAlign w:val="superscript"/>
        </w:rPr>
        <w:t>[</w:t>
      </w:r>
      <w:r w:rsidR="00F12CE0" w:rsidRPr="00814BF6">
        <w:rPr>
          <w:rFonts w:ascii="Book Antiqua" w:hAnsi="Book Antiqua" w:cs="Times New Roman"/>
          <w:sz w:val="24"/>
          <w:szCs w:val="24"/>
          <w:vertAlign w:val="superscript"/>
        </w:rPr>
        <w:t>2</w:t>
      </w:r>
      <w:r w:rsidR="00196531" w:rsidRPr="00814BF6">
        <w:rPr>
          <w:rFonts w:ascii="Book Antiqua" w:hAnsi="Book Antiqua" w:cs="Times New Roman"/>
          <w:sz w:val="24"/>
          <w:szCs w:val="24"/>
          <w:vertAlign w:val="superscript"/>
        </w:rPr>
        <w:t>0</w:t>
      </w:r>
      <w:r w:rsidR="00696D9E" w:rsidRPr="00814BF6">
        <w:rPr>
          <w:rFonts w:ascii="Book Antiqua" w:hAnsi="Book Antiqua" w:cs="Times New Roman"/>
          <w:sz w:val="24"/>
          <w:szCs w:val="24"/>
          <w:vertAlign w:val="superscript"/>
        </w:rPr>
        <w:t>]</w:t>
      </w:r>
      <w:r w:rsidR="00162DFA" w:rsidRPr="00814BF6">
        <w:rPr>
          <w:rFonts w:ascii="Book Antiqua" w:hAnsi="Book Antiqua" w:cs="Times New Roman"/>
          <w:sz w:val="24"/>
          <w:szCs w:val="24"/>
          <w:vertAlign w:val="superscript"/>
        </w:rPr>
        <w:t xml:space="preserve"> </w:t>
      </w:r>
      <w:r w:rsidR="00162DFA" w:rsidRPr="00814BF6">
        <w:rPr>
          <w:rFonts w:ascii="Book Antiqua" w:eastAsiaTheme="majorEastAsia" w:hAnsi="Book Antiqua" w:cs="Times New Roman"/>
          <w:bCs/>
          <w:sz w:val="24"/>
          <w:szCs w:val="24"/>
        </w:rPr>
        <w:t>used less than 4500 cGy dose protocol.</w:t>
      </w:r>
      <w:r w:rsidR="00F91E94" w:rsidRPr="00814BF6">
        <w:rPr>
          <w:rFonts w:ascii="Book Antiqua" w:eastAsiaTheme="majorEastAsia" w:hAnsi="Book Antiqua" w:cs="Times New Roman"/>
          <w:bCs/>
          <w:sz w:val="24"/>
          <w:szCs w:val="24"/>
        </w:rPr>
        <w:t xml:space="preserve"> </w:t>
      </w:r>
      <w:r w:rsidR="00162DFA" w:rsidRPr="00814BF6">
        <w:rPr>
          <w:rFonts w:ascii="Book Antiqua" w:eastAsiaTheme="majorEastAsia" w:hAnsi="Book Antiqua" w:cs="Times New Roman"/>
          <w:bCs/>
          <w:sz w:val="24"/>
          <w:szCs w:val="24"/>
        </w:rPr>
        <w:t xml:space="preserve">In </w:t>
      </w:r>
      <w:r w:rsidR="006C5D1B" w:rsidRPr="00814BF6">
        <w:rPr>
          <w:rFonts w:ascii="Book Antiqua" w:eastAsiaTheme="majorEastAsia" w:hAnsi="Book Antiqua" w:cs="Times New Roman"/>
          <w:bCs/>
          <w:sz w:val="24"/>
          <w:szCs w:val="24"/>
        </w:rPr>
        <w:t xml:space="preserve">the </w:t>
      </w:r>
      <w:r w:rsidR="00162DFA" w:rsidRPr="00814BF6">
        <w:rPr>
          <w:rFonts w:ascii="Book Antiqua" w:eastAsiaTheme="majorEastAsia" w:hAnsi="Book Antiqua" w:cs="Times New Roman"/>
          <w:bCs/>
          <w:sz w:val="24"/>
          <w:szCs w:val="24"/>
        </w:rPr>
        <w:t>Cross study, the low dose could explain the less favorable results for adenocarcinoma compar</w:t>
      </w:r>
      <w:r w:rsidR="006C5D1B" w:rsidRPr="00814BF6">
        <w:rPr>
          <w:rFonts w:ascii="Book Antiqua" w:eastAsiaTheme="majorEastAsia" w:hAnsi="Book Antiqua" w:cs="Times New Roman"/>
          <w:bCs/>
          <w:sz w:val="24"/>
          <w:szCs w:val="24"/>
        </w:rPr>
        <w:t>ed</w:t>
      </w:r>
      <w:r w:rsidR="00162DFA" w:rsidRPr="00814BF6">
        <w:rPr>
          <w:rFonts w:ascii="Book Antiqua" w:eastAsiaTheme="majorEastAsia" w:hAnsi="Book Antiqua" w:cs="Times New Roman"/>
          <w:bCs/>
          <w:sz w:val="24"/>
          <w:szCs w:val="24"/>
        </w:rPr>
        <w:t xml:space="preserve"> with </w:t>
      </w:r>
      <w:r w:rsidR="006C5D1B" w:rsidRPr="00814BF6">
        <w:rPr>
          <w:rFonts w:ascii="Book Antiqua" w:eastAsiaTheme="majorEastAsia" w:hAnsi="Book Antiqua" w:cs="Times New Roman"/>
          <w:bCs/>
          <w:sz w:val="24"/>
          <w:szCs w:val="24"/>
        </w:rPr>
        <w:t>squamous cell cancer</w:t>
      </w:r>
      <w:r w:rsidR="00162DFA" w:rsidRPr="00814BF6">
        <w:rPr>
          <w:rFonts w:ascii="Book Antiqua" w:eastAsiaTheme="majorEastAsia" w:hAnsi="Book Antiqua" w:cs="Times New Roman"/>
          <w:bCs/>
          <w:sz w:val="24"/>
          <w:szCs w:val="24"/>
        </w:rPr>
        <w:t xml:space="preserve"> </w:t>
      </w:r>
      <w:proofErr w:type="gramStart"/>
      <w:r w:rsidR="00162DFA" w:rsidRPr="00814BF6">
        <w:rPr>
          <w:rFonts w:ascii="Book Antiqua" w:eastAsiaTheme="majorEastAsia" w:hAnsi="Book Antiqua" w:cs="Times New Roman"/>
          <w:bCs/>
          <w:sz w:val="24"/>
          <w:szCs w:val="24"/>
        </w:rPr>
        <w:t>histology</w:t>
      </w:r>
      <w:r w:rsidR="00696D9E" w:rsidRPr="00814BF6">
        <w:rPr>
          <w:rFonts w:ascii="Book Antiqua" w:hAnsi="Book Antiqua" w:cs="Times New Roman"/>
          <w:sz w:val="24"/>
          <w:szCs w:val="24"/>
          <w:vertAlign w:val="superscript"/>
        </w:rPr>
        <w:t>[</w:t>
      </w:r>
      <w:proofErr w:type="gramEnd"/>
      <w:r w:rsidR="00696D9E" w:rsidRPr="00814BF6">
        <w:rPr>
          <w:rFonts w:ascii="Book Antiqua" w:hAnsi="Book Antiqua" w:cs="Times New Roman"/>
          <w:sz w:val="24"/>
          <w:szCs w:val="24"/>
          <w:vertAlign w:val="superscript"/>
        </w:rPr>
        <w:t>7]</w:t>
      </w:r>
      <w:r w:rsidR="00162DFA"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162DFA" w:rsidRPr="00814BF6">
        <w:rPr>
          <w:rFonts w:ascii="Book Antiqua" w:eastAsiaTheme="majorEastAsia" w:hAnsi="Book Antiqua" w:cs="Times New Roman"/>
          <w:bCs/>
          <w:sz w:val="24"/>
          <w:szCs w:val="24"/>
        </w:rPr>
        <w:t xml:space="preserve">In </w:t>
      </w:r>
      <w:r w:rsidR="00696D9E" w:rsidRPr="00814BF6">
        <w:rPr>
          <w:rFonts w:ascii="Book Antiqua" w:eastAsiaTheme="majorEastAsia" w:hAnsi="Book Antiqua" w:cs="Times New Roman"/>
          <w:bCs/>
          <w:sz w:val="24"/>
          <w:szCs w:val="24"/>
        </w:rPr>
        <w:t xml:space="preserve">the </w:t>
      </w:r>
      <w:r w:rsidR="00162DFA" w:rsidRPr="00814BF6">
        <w:rPr>
          <w:rFonts w:ascii="Book Antiqua" w:eastAsiaTheme="majorEastAsia" w:hAnsi="Book Antiqua" w:cs="Times New Roman"/>
          <w:bCs/>
          <w:sz w:val="24"/>
          <w:szCs w:val="24"/>
        </w:rPr>
        <w:t>Hoeppner</w:t>
      </w:r>
      <w:r w:rsidR="00696D9E" w:rsidRPr="00BB1593">
        <w:rPr>
          <w:rFonts w:ascii="Book Antiqua" w:eastAsiaTheme="majorEastAsia" w:hAnsi="Book Antiqua" w:cs="Times New Roman"/>
          <w:bCs/>
          <w:i/>
          <w:sz w:val="24"/>
          <w:szCs w:val="24"/>
        </w:rPr>
        <w:t xml:space="preserve"> et </w:t>
      </w:r>
      <w:proofErr w:type="gramStart"/>
      <w:r w:rsidR="00696D9E" w:rsidRPr="00BB1593">
        <w:rPr>
          <w:rFonts w:ascii="Book Antiqua" w:eastAsiaTheme="majorEastAsia" w:hAnsi="Book Antiqua" w:cs="Times New Roman"/>
          <w:bCs/>
          <w:i/>
          <w:sz w:val="24"/>
          <w:szCs w:val="24"/>
        </w:rPr>
        <w:t>al</w:t>
      </w:r>
      <w:r w:rsidR="00BB1593" w:rsidRPr="00814BF6">
        <w:rPr>
          <w:rFonts w:ascii="Book Antiqua" w:hAnsi="Book Antiqua" w:cs="Times New Roman"/>
          <w:sz w:val="24"/>
          <w:szCs w:val="24"/>
          <w:vertAlign w:val="superscript"/>
        </w:rPr>
        <w:t>[</w:t>
      </w:r>
      <w:proofErr w:type="gramEnd"/>
      <w:r w:rsidR="00BB1593" w:rsidRPr="00814BF6">
        <w:rPr>
          <w:rFonts w:ascii="Book Antiqua" w:hAnsi="Book Antiqua" w:cs="Times New Roman"/>
          <w:sz w:val="24"/>
          <w:szCs w:val="24"/>
          <w:vertAlign w:val="superscript"/>
        </w:rPr>
        <w:t>20]</w:t>
      </w:r>
      <w:r w:rsidR="00162DFA" w:rsidRPr="00814BF6">
        <w:rPr>
          <w:rFonts w:ascii="Book Antiqua" w:eastAsiaTheme="majorEastAsia" w:hAnsi="Book Antiqua" w:cs="Times New Roman"/>
          <w:bCs/>
          <w:sz w:val="24"/>
          <w:szCs w:val="24"/>
        </w:rPr>
        <w:t xml:space="preserve"> report</w:t>
      </w:r>
      <w:r w:rsidR="00162DFA" w:rsidRPr="00814BF6">
        <w:rPr>
          <w:rFonts w:ascii="Book Antiqua" w:hAnsi="Book Antiqua" w:cs="Times New Roman"/>
          <w:sz w:val="24"/>
          <w:szCs w:val="24"/>
        </w:rPr>
        <w:t>,</w:t>
      </w:r>
      <w:r w:rsidR="00162DFA" w:rsidRPr="00814BF6">
        <w:rPr>
          <w:rFonts w:ascii="Book Antiqua" w:eastAsiaTheme="majorEastAsia" w:hAnsi="Book Antiqua" w:cs="Times New Roman"/>
          <w:bCs/>
          <w:sz w:val="24"/>
          <w:szCs w:val="24"/>
        </w:rPr>
        <w:t xml:space="preserve"> the low</w:t>
      </w:r>
      <w:r w:rsidR="006C5D1B" w:rsidRPr="00814BF6">
        <w:rPr>
          <w:rFonts w:ascii="Book Antiqua" w:eastAsiaTheme="majorEastAsia" w:hAnsi="Book Antiqua" w:cs="Times New Roman"/>
          <w:bCs/>
          <w:sz w:val="24"/>
          <w:szCs w:val="24"/>
        </w:rPr>
        <w:t>-</w:t>
      </w:r>
      <w:r w:rsidR="00162DFA" w:rsidRPr="00814BF6">
        <w:rPr>
          <w:rFonts w:ascii="Book Antiqua" w:eastAsiaTheme="majorEastAsia" w:hAnsi="Book Antiqua" w:cs="Times New Roman"/>
          <w:bCs/>
          <w:sz w:val="24"/>
          <w:szCs w:val="24"/>
        </w:rPr>
        <w:t>dose radiation could explain the less</w:t>
      </w:r>
      <w:r w:rsidRPr="00814BF6">
        <w:rPr>
          <w:rFonts w:ascii="Book Antiqua" w:eastAsiaTheme="majorEastAsia" w:hAnsi="Book Antiqua" w:cs="Times New Roman"/>
          <w:bCs/>
          <w:sz w:val="24"/>
          <w:szCs w:val="24"/>
        </w:rPr>
        <w:t xml:space="preserve"> </w:t>
      </w:r>
      <w:r w:rsidR="00162DFA" w:rsidRPr="00814BF6">
        <w:rPr>
          <w:rFonts w:ascii="Book Antiqua" w:eastAsiaTheme="majorEastAsia" w:hAnsi="Book Antiqua" w:cs="Times New Roman"/>
          <w:bCs/>
          <w:sz w:val="24"/>
          <w:szCs w:val="24"/>
        </w:rPr>
        <w:t>favorable results for neoadjuvant chemoradiation compar</w:t>
      </w:r>
      <w:r w:rsidR="008678BF" w:rsidRPr="00814BF6">
        <w:rPr>
          <w:rFonts w:ascii="Book Antiqua" w:eastAsiaTheme="majorEastAsia" w:hAnsi="Book Antiqua" w:cs="Times New Roman"/>
          <w:bCs/>
          <w:sz w:val="24"/>
          <w:szCs w:val="24"/>
        </w:rPr>
        <w:t>ed</w:t>
      </w:r>
      <w:r w:rsidR="00162DFA" w:rsidRPr="00814BF6">
        <w:rPr>
          <w:rFonts w:ascii="Book Antiqua" w:eastAsiaTheme="majorEastAsia" w:hAnsi="Book Antiqua" w:cs="Times New Roman"/>
          <w:bCs/>
          <w:sz w:val="24"/>
          <w:szCs w:val="24"/>
        </w:rPr>
        <w:t xml:space="preserve"> with perio</w:t>
      </w:r>
      <w:r w:rsidRPr="00814BF6">
        <w:rPr>
          <w:rFonts w:ascii="Book Antiqua" w:eastAsiaTheme="majorEastAsia" w:hAnsi="Book Antiqua" w:cs="Times New Roman"/>
          <w:bCs/>
          <w:sz w:val="24"/>
          <w:szCs w:val="24"/>
        </w:rPr>
        <w:t xml:space="preserve">perative </w:t>
      </w:r>
      <w:r w:rsidR="00162DFA" w:rsidRPr="00814BF6">
        <w:rPr>
          <w:rFonts w:ascii="Book Antiqua" w:eastAsiaTheme="majorEastAsia" w:hAnsi="Book Antiqua" w:cs="Times New Roman"/>
          <w:bCs/>
          <w:sz w:val="24"/>
          <w:szCs w:val="24"/>
        </w:rPr>
        <w:t>chemotherapy for adenocarcinoma.</w:t>
      </w:r>
      <w:r w:rsidR="00F12CE0" w:rsidRPr="00814BF6">
        <w:rPr>
          <w:rFonts w:ascii="Book Antiqua" w:eastAsiaTheme="majorEastAsia" w:hAnsi="Book Antiqua" w:cs="Times New Roman"/>
          <w:bCs/>
          <w:sz w:val="24"/>
          <w:szCs w:val="24"/>
        </w:rPr>
        <w:t xml:space="preserve"> </w:t>
      </w:r>
      <w:r w:rsidR="0021359C" w:rsidRPr="00814BF6">
        <w:rPr>
          <w:rFonts w:ascii="Book Antiqua" w:eastAsiaTheme="majorEastAsia" w:hAnsi="Book Antiqua" w:cs="Times New Roman"/>
          <w:bCs/>
          <w:sz w:val="24"/>
          <w:szCs w:val="24"/>
        </w:rPr>
        <w:t xml:space="preserve">At least, the suggestion of the low dose of radiation is one of factor contributed to low pCR was </w:t>
      </w:r>
      <w:proofErr w:type="gramStart"/>
      <w:r w:rsidR="0021359C" w:rsidRPr="00814BF6">
        <w:rPr>
          <w:rFonts w:ascii="Book Antiqua" w:eastAsiaTheme="majorEastAsia" w:hAnsi="Book Antiqua" w:cs="Times New Roman"/>
          <w:bCs/>
          <w:sz w:val="24"/>
          <w:szCs w:val="24"/>
        </w:rPr>
        <w:t>reported</w:t>
      </w:r>
      <w:r w:rsidR="00696D9E" w:rsidRPr="00814BF6">
        <w:rPr>
          <w:rFonts w:ascii="Book Antiqua" w:eastAsiaTheme="majorEastAsia" w:hAnsi="Book Antiqua" w:cs="Times New Roman"/>
          <w:bCs/>
          <w:sz w:val="24"/>
          <w:szCs w:val="24"/>
          <w:vertAlign w:val="superscript"/>
        </w:rPr>
        <w:t>[</w:t>
      </w:r>
      <w:proofErr w:type="gramEnd"/>
      <w:r w:rsidR="00F12CE0" w:rsidRPr="00814BF6">
        <w:rPr>
          <w:rFonts w:ascii="Book Antiqua" w:eastAsiaTheme="majorEastAsia" w:hAnsi="Book Antiqua" w:cs="Times New Roman"/>
          <w:bCs/>
          <w:sz w:val="24"/>
          <w:szCs w:val="24"/>
          <w:vertAlign w:val="superscript"/>
        </w:rPr>
        <w:t>2</w:t>
      </w:r>
      <w:r w:rsidR="00696D9E" w:rsidRPr="00814BF6">
        <w:rPr>
          <w:rFonts w:ascii="Book Antiqua" w:eastAsiaTheme="majorEastAsia" w:hAnsi="Book Antiqua" w:cs="Times New Roman"/>
          <w:bCs/>
          <w:sz w:val="24"/>
          <w:szCs w:val="24"/>
          <w:vertAlign w:val="superscript"/>
        </w:rPr>
        <w:t>1]</w:t>
      </w:r>
      <w:r w:rsidR="0021359C" w:rsidRPr="00814BF6">
        <w:rPr>
          <w:rFonts w:ascii="Book Antiqua" w:eastAsiaTheme="majorEastAsia" w:hAnsi="Book Antiqua" w:cs="Times New Roman"/>
          <w:bCs/>
          <w:sz w:val="24"/>
          <w:szCs w:val="24"/>
        </w:rPr>
        <w:t>.</w:t>
      </w:r>
      <w:r w:rsidR="00286EF5">
        <w:rPr>
          <w:rFonts w:ascii="Book Antiqua" w:eastAsiaTheme="majorEastAsia" w:hAnsi="Book Antiqua" w:cs="Times New Roman"/>
          <w:bCs/>
          <w:sz w:val="24"/>
          <w:szCs w:val="24"/>
        </w:rPr>
        <w:t xml:space="preserve"> </w:t>
      </w:r>
      <w:r w:rsidR="00EF76F4" w:rsidRPr="00814BF6">
        <w:rPr>
          <w:rFonts w:ascii="Book Antiqua" w:eastAsiaTheme="majorEastAsia" w:hAnsi="Book Antiqua" w:cs="Times New Roman"/>
          <w:bCs/>
          <w:sz w:val="24"/>
          <w:szCs w:val="24"/>
        </w:rPr>
        <w:t>In addition, whether predicting value of</w:t>
      </w:r>
      <w:r w:rsidR="00286EF5">
        <w:rPr>
          <w:rFonts w:ascii="Book Antiqua" w:eastAsiaTheme="majorEastAsia" w:hAnsi="Book Antiqua" w:cs="Times New Roman"/>
          <w:bCs/>
          <w:sz w:val="24"/>
          <w:szCs w:val="24"/>
        </w:rPr>
        <w:t xml:space="preserve"> </w:t>
      </w:r>
      <w:r w:rsidR="00EF76F4" w:rsidRPr="00814BF6">
        <w:rPr>
          <w:rFonts w:ascii="Book Antiqua" w:eastAsiaTheme="majorEastAsia" w:hAnsi="Book Antiqua" w:cs="Times New Roman"/>
          <w:bCs/>
          <w:sz w:val="24"/>
          <w:szCs w:val="24"/>
        </w:rPr>
        <w:t>the SIB induced pCR and conventional dose resulted pCR are the same?</w:t>
      </w:r>
      <w:r w:rsidR="00286EF5">
        <w:rPr>
          <w:rFonts w:ascii="Book Antiqua" w:eastAsiaTheme="majorEastAsia" w:hAnsi="Book Antiqua" w:cs="Times New Roman"/>
          <w:bCs/>
          <w:sz w:val="24"/>
          <w:szCs w:val="24"/>
        </w:rPr>
        <w:t xml:space="preserve"> </w:t>
      </w:r>
      <w:r w:rsidR="00EF76F4" w:rsidRPr="00814BF6">
        <w:rPr>
          <w:rFonts w:ascii="Book Antiqua" w:eastAsiaTheme="majorEastAsia" w:hAnsi="Book Antiqua" w:cs="Times New Roman"/>
          <w:bCs/>
          <w:sz w:val="24"/>
          <w:szCs w:val="24"/>
        </w:rPr>
        <w:t xml:space="preserve">Is there anything else be young dose response relationship between the gross </w:t>
      </w:r>
      <w:r w:rsidR="00423FAA">
        <w:rPr>
          <w:rFonts w:ascii="Book Antiqua" w:eastAsiaTheme="majorEastAsia" w:hAnsi="Book Antiqua" w:cs="Times New Roman"/>
          <w:bCs/>
          <w:sz w:val="24"/>
          <w:szCs w:val="24"/>
        </w:rPr>
        <w:t>tumor volume and delivered dose</w:t>
      </w:r>
      <w:r w:rsidR="00F753CF">
        <w:rPr>
          <w:rFonts w:ascii="Book Antiqua" w:eastAsiaTheme="majorEastAsia" w:hAnsi="Book Antiqua" w:cs="Times New Roman"/>
          <w:bCs/>
          <w:sz w:val="24"/>
          <w:szCs w:val="24"/>
        </w:rPr>
        <w:t>? Do</w:t>
      </w:r>
      <w:r w:rsidR="00EF76F4" w:rsidRPr="00814BF6">
        <w:rPr>
          <w:rFonts w:ascii="Book Antiqua" w:eastAsiaTheme="majorEastAsia" w:hAnsi="Book Antiqua" w:cs="Times New Roman"/>
          <w:bCs/>
          <w:sz w:val="24"/>
          <w:szCs w:val="24"/>
        </w:rPr>
        <w:t>e</w:t>
      </w:r>
      <w:r w:rsidR="00F753CF">
        <w:rPr>
          <w:rFonts w:ascii="Book Antiqua" w:eastAsiaTheme="majorEastAsia" w:hAnsi="Book Antiqua" w:cs="Times New Roman"/>
          <w:bCs/>
          <w:sz w:val="24"/>
          <w:szCs w:val="24"/>
        </w:rPr>
        <w:t>s</w:t>
      </w:r>
      <w:r w:rsidR="00EF76F4" w:rsidRPr="00814BF6">
        <w:rPr>
          <w:rFonts w:ascii="Book Antiqua" w:eastAsiaTheme="majorEastAsia" w:hAnsi="Book Antiqua" w:cs="Times New Roman"/>
          <w:bCs/>
          <w:sz w:val="24"/>
          <w:szCs w:val="24"/>
        </w:rPr>
        <w:t xml:space="preserve"> dose escalation impac</w:t>
      </w:r>
      <w:r w:rsidR="00423FAA">
        <w:rPr>
          <w:rFonts w:ascii="Book Antiqua" w:eastAsiaTheme="majorEastAsia" w:hAnsi="Book Antiqua" w:cs="Times New Roman"/>
          <w:bCs/>
          <w:sz w:val="24"/>
          <w:szCs w:val="24"/>
        </w:rPr>
        <w:t>t on risk of distant metastasis</w:t>
      </w:r>
      <w:r w:rsidR="00EF76F4" w:rsidRPr="00814BF6">
        <w:rPr>
          <w:rFonts w:ascii="Book Antiqua" w:eastAsiaTheme="majorEastAsia" w:hAnsi="Book Antiqua" w:cs="Times New Roman"/>
          <w:bCs/>
          <w:sz w:val="24"/>
          <w:szCs w:val="24"/>
        </w:rPr>
        <w:t>?</w:t>
      </w:r>
      <w:r w:rsidR="00286EF5">
        <w:rPr>
          <w:rFonts w:ascii="Book Antiqua" w:eastAsiaTheme="majorEastAsia" w:hAnsi="Book Antiqua" w:cs="Times New Roman"/>
          <w:bCs/>
          <w:sz w:val="24"/>
          <w:szCs w:val="24"/>
        </w:rPr>
        <w:t xml:space="preserve"> </w:t>
      </w:r>
      <w:r w:rsidR="00EF76F4" w:rsidRPr="00814BF6">
        <w:rPr>
          <w:rFonts w:ascii="Book Antiqua" w:eastAsiaTheme="majorEastAsia" w:hAnsi="Book Antiqua" w:cs="Times New Roman"/>
          <w:bCs/>
          <w:sz w:val="24"/>
          <w:szCs w:val="24"/>
        </w:rPr>
        <w:t>More future studies need to explore above questions.</w:t>
      </w:r>
    </w:p>
    <w:p w14:paraId="61AB9383" w14:textId="77777777" w:rsidR="00696D9E" w:rsidRPr="00814BF6" w:rsidRDefault="0034663C" w:rsidP="00423FAA">
      <w:pPr>
        <w:spacing w:after="0" w:line="360" w:lineRule="auto"/>
        <w:ind w:firstLineChars="100" w:firstLine="240"/>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rPr>
        <w:t xml:space="preserve">Since all </w:t>
      </w:r>
      <w:r w:rsidR="006C5D1B" w:rsidRPr="00814BF6">
        <w:rPr>
          <w:rFonts w:ascii="Book Antiqua" w:eastAsiaTheme="majorEastAsia" w:hAnsi="Book Antiqua" w:cs="Times New Roman"/>
          <w:bCs/>
          <w:sz w:val="24"/>
          <w:szCs w:val="24"/>
        </w:rPr>
        <w:t>cancers in the</w:t>
      </w:r>
      <w:r w:rsidRPr="00814BF6">
        <w:rPr>
          <w:rFonts w:ascii="Book Antiqua" w:eastAsiaTheme="majorEastAsia" w:hAnsi="Book Antiqua" w:cs="Times New Roman"/>
          <w:bCs/>
          <w:sz w:val="24"/>
          <w:szCs w:val="24"/>
        </w:rPr>
        <w:t xml:space="preserve"> </w:t>
      </w:r>
      <w:r w:rsidR="008678BF" w:rsidRPr="00814BF6">
        <w:rPr>
          <w:rFonts w:ascii="Book Antiqua" w:eastAsiaTheme="majorEastAsia" w:hAnsi="Book Antiqua" w:cs="Times New Roman"/>
          <w:bCs/>
          <w:sz w:val="24"/>
          <w:szCs w:val="24"/>
        </w:rPr>
        <w:t>present</w:t>
      </w:r>
      <w:r w:rsidR="00D77B38" w:rsidRPr="00814BF6">
        <w:rPr>
          <w:rFonts w:ascii="Book Antiqua" w:eastAsiaTheme="majorEastAsia" w:hAnsi="Book Antiqua" w:cs="Times New Roman"/>
          <w:bCs/>
          <w:sz w:val="24"/>
          <w:szCs w:val="24"/>
        </w:rPr>
        <w:t xml:space="preserve"> study were in </w:t>
      </w:r>
      <w:r w:rsidR="006C5D1B" w:rsidRPr="00814BF6">
        <w:rPr>
          <w:rFonts w:ascii="Book Antiqua" w:eastAsiaTheme="majorEastAsia" w:hAnsi="Book Antiqua" w:cs="Times New Roman"/>
          <w:bCs/>
          <w:sz w:val="24"/>
          <w:szCs w:val="24"/>
        </w:rPr>
        <w:t xml:space="preserve">the </w:t>
      </w:r>
      <w:r w:rsidRPr="00814BF6">
        <w:rPr>
          <w:rFonts w:ascii="Book Antiqua" w:eastAsiaTheme="majorEastAsia" w:hAnsi="Book Antiqua" w:cs="Times New Roman"/>
          <w:bCs/>
          <w:sz w:val="24"/>
          <w:szCs w:val="24"/>
        </w:rPr>
        <w:t xml:space="preserve">lower distal esophagus, the </w:t>
      </w:r>
      <w:r w:rsidR="006C5D1B" w:rsidRPr="00814BF6">
        <w:rPr>
          <w:rFonts w:ascii="Book Antiqua" w:eastAsiaTheme="majorEastAsia" w:hAnsi="Book Antiqua" w:cs="Times New Roman"/>
          <w:bCs/>
          <w:sz w:val="24"/>
          <w:szCs w:val="24"/>
        </w:rPr>
        <w:t>r</w:t>
      </w:r>
      <w:r w:rsidRPr="00814BF6">
        <w:rPr>
          <w:rFonts w:ascii="Book Antiqua" w:eastAsiaTheme="majorEastAsia" w:hAnsi="Book Antiqua" w:cs="Times New Roman"/>
          <w:bCs/>
          <w:sz w:val="24"/>
          <w:szCs w:val="24"/>
        </w:rPr>
        <w:t xml:space="preserve">adiation field </w:t>
      </w:r>
      <w:r w:rsidR="00C16A34" w:rsidRPr="00814BF6">
        <w:rPr>
          <w:rFonts w:ascii="Book Antiqua" w:eastAsiaTheme="majorEastAsia" w:hAnsi="Book Antiqua" w:cs="Times New Roman"/>
          <w:bCs/>
          <w:sz w:val="24"/>
          <w:szCs w:val="24"/>
        </w:rPr>
        <w:t xml:space="preserve">was limited to the lower mediastinum and </w:t>
      </w:r>
      <w:r w:rsidR="00B96621" w:rsidRPr="00814BF6">
        <w:rPr>
          <w:rFonts w:ascii="Book Antiqua" w:eastAsiaTheme="majorEastAsia" w:hAnsi="Book Antiqua" w:cs="Times New Roman"/>
          <w:bCs/>
          <w:sz w:val="24"/>
          <w:szCs w:val="24"/>
        </w:rPr>
        <w:t>did</w:t>
      </w:r>
      <w:r w:rsidRPr="00814BF6">
        <w:rPr>
          <w:rFonts w:ascii="Book Antiqua" w:eastAsiaTheme="majorEastAsia" w:hAnsi="Book Antiqua" w:cs="Times New Roman"/>
          <w:bCs/>
          <w:sz w:val="24"/>
          <w:szCs w:val="24"/>
        </w:rPr>
        <w:t xml:space="preserve"> not inclu</w:t>
      </w:r>
      <w:r w:rsidR="00B96621" w:rsidRPr="00814BF6">
        <w:rPr>
          <w:rFonts w:ascii="Book Antiqua" w:eastAsiaTheme="majorEastAsia" w:hAnsi="Book Antiqua" w:cs="Times New Roman"/>
          <w:bCs/>
          <w:sz w:val="24"/>
          <w:szCs w:val="24"/>
        </w:rPr>
        <w:t>de</w:t>
      </w:r>
      <w:r w:rsidRPr="00814BF6">
        <w:rPr>
          <w:rFonts w:ascii="Book Antiqua" w:eastAsiaTheme="majorEastAsia" w:hAnsi="Book Antiqua" w:cs="Times New Roman"/>
          <w:bCs/>
          <w:sz w:val="24"/>
          <w:szCs w:val="24"/>
        </w:rPr>
        <w:t xml:space="preserve"> in supracla</w:t>
      </w:r>
      <w:r w:rsidR="000F1B1D" w:rsidRPr="00814BF6">
        <w:rPr>
          <w:rFonts w:ascii="Book Antiqua" w:eastAsiaTheme="majorEastAsia" w:hAnsi="Book Antiqua" w:cs="Times New Roman"/>
          <w:bCs/>
          <w:sz w:val="24"/>
          <w:szCs w:val="24"/>
        </w:rPr>
        <w:t xml:space="preserve">vicular regions, </w:t>
      </w:r>
      <w:r w:rsidR="00C16A34" w:rsidRPr="00814BF6">
        <w:rPr>
          <w:rFonts w:ascii="Book Antiqua" w:eastAsiaTheme="majorEastAsia" w:hAnsi="Book Antiqua" w:cs="Times New Roman"/>
          <w:bCs/>
          <w:sz w:val="24"/>
          <w:szCs w:val="24"/>
        </w:rPr>
        <w:t xml:space="preserve">and </w:t>
      </w:r>
      <w:r w:rsidR="000F1B1D" w:rsidRPr="00814BF6">
        <w:rPr>
          <w:rFonts w:ascii="Book Antiqua" w:eastAsiaTheme="majorEastAsia" w:hAnsi="Book Antiqua" w:cs="Times New Roman"/>
          <w:bCs/>
          <w:sz w:val="24"/>
          <w:szCs w:val="24"/>
        </w:rPr>
        <w:t>there w</w:t>
      </w:r>
      <w:r w:rsidR="00C16A34" w:rsidRPr="00814BF6">
        <w:rPr>
          <w:rFonts w:ascii="Book Antiqua" w:eastAsiaTheme="majorEastAsia" w:hAnsi="Book Antiqua" w:cs="Times New Roman"/>
          <w:bCs/>
          <w:sz w:val="24"/>
          <w:szCs w:val="24"/>
        </w:rPr>
        <w:t>ere</w:t>
      </w:r>
      <w:r w:rsidR="000F1B1D" w:rsidRPr="00814BF6">
        <w:rPr>
          <w:rFonts w:ascii="Book Antiqua" w:eastAsiaTheme="majorEastAsia" w:hAnsi="Book Antiqua" w:cs="Times New Roman"/>
          <w:bCs/>
          <w:sz w:val="24"/>
          <w:szCs w:val="24"/>
        </w:rPr>
        <w:t xml:space="preserve"> no recurrence</w:t>
      </w:r>
      <w:r w:rsidR="00C16A34" w:rsidRPr="00814BF6">
        <w:rPr>
          <w:rFonts w:ascii="Book Antiqua" w:eastAsiaTheme="majorEastAsia" w:hAnsi="Book Antiqua" w:cs="Times New Roman"/>
          <w:bCs/>
          <w:sz w:val="24"/>
          <w:szCs w:val="24"/>
        </w:rPr>
        <w:t>s</w:t>
      </w:r>
      <w:r w:rsidR="000F1B1D" w:rsidRPr="00814BF6">
        <w:rPr>
          <w:rFonts w:ascii="Book Antiqua" w:eastAsiaTheme="majorEastAsia" w:hAnsi="Book Antiqua" w:cs="Times New Roman"/>
          <w:bCs/>
          <w:sz w:val="24"/>
          <w:szCs w:val="24"/>
        </w:rPr>
        <w:t xml:space="preserve"> in the supraclavicular areas.</w:t>
      </w:r>
      <w:r w:rsidR="00F91E94" w:rsidRPr="00814BF6">
        <w:rPr>
          <w:rFonts w:ascii="Book Antiqua" w:eastAsiaTheme="majorEastAsia" w:hAnsi="Book Antiqua" w:cs="Times New Roman"/>
          <w:bCs/>
          <w:sz w:val="24"/>
          <w:szCs w:val="24"/>
        </w:rPr>
        <w:t xml:space="preserve"> </w:t>
      </w:r>
      <w:r w:rsidR="00B96621" w:rsidRPr="00814BF6">
        <w:rPr>
          <w:rFonts w:ascii="Book Antiqua" w:eastAsiaTheme="majorEastAsia" w:hAnsi="Book Antiqua" w:cs="Times New Roman"/>
          <w:bCs/>
          <w:sz w:val="24"/>
          <w:szCs w:val="24"/>
        </w:rPr>
        <w:t>S</w:t>
      </w:r>
      <w:r w:rsidR="00143706" w:rsidRPr="00814BF6">
        <w:rPr>
          <w:rFonts w:ascii="Book Antiqua" w:eastAsiaTheme="majorEastAsia" w:hAnsi="Book Antiqua" w:cs="Times New Roman"/>
          <w:bCs/>
          <w:sz w:val="24"/>
          <w:szCs w:val="24"/>
        </w:rPr>
        <w:t>trict dose constrains to the heart</w:t>
      </w:r>
      <w:r w:rsidR="00B96621" w:rsidRPr="00814BF6">
        <w:rPr>
          <w:rFonts w:ascii="Book Antiqua" w:eastAsiaTheme="majorEastAsia" w:hAnsi="Book Antiqua" w:cs="Times New Roman"/>
          <w:bCs/>
          <w:sz w:val="24"/>
          <w:szCs w:val="24"/>
        </w:rPr>
        <w:t xml:space="preserve"> were used</w:t>
      </w:r>
      <w:r w:rsidR="005B72F7" w:rsidRPr="00814BF6">
        <w:rPr>
          <w:rFonts w:ascii="Book Antiqua" w:eastAsiaTheme="majorEastAsia" w:hAnsi="Book Antiqua" w:cs="Times New Roman"/>
          <w:bCs/>
          <w:sz w:val="24"/>
          <w:szCs w:val="24"/>
        </w:rPr>
        <w:t xml:space="preserve"> and</w:t>
      </w:r>
      <w:r w:rsidR="00143706" w:rsidRPr="00814BF6">
        <w:rPr>
          <w:rFonts w:ascii="Book Antiqua" w:eastAsiaTheme="majorEastAsia" w:hAnsi="Book Antiqua" w:cs="Times New Roman"/>
          <w:bCs/>
          <w:sz w:val="24"/>
          <w:szCs w:val="24"/>
        </w:rPr>
        <w:t xml:space="preserve"> no </w:t>
      </w:r>
      <w:r w:rsidR="00B96621" w:rsidRPr="00814BF6">
        <w:rPr>
          <w:rFonts w:ascii="Book Antiqua" w:eastAsiaTheme="majorEastAsia" w:hAnsi="Book Antiqua" w:cs="Times New Roman"/>
          <w:bCs/>
          <w:sz w:val="24"/>
          <w:szCs w:val="24"/>
        </w:rPr>
        <w:t>significant cardiac event</w:t>
      </w:r>
      <w:r w:rsidR="005B72F7" w:rsidRPr="00814BF6">
        <w:rPr>
          <w:rFonts w:ascii="Book Antiqua" w:eastAsiaTheme="majorEastAsia" w:hAnsi="Book Antiqua" w:cs="Times New Roman"/>
          <w:bCs/>
          <w:sz w:val="24"/>
          <w:szCs w:val="24"/>
        </w:rPr>
        <w:t>s were noted</w:t>
      </w:r>
      <w:r w:rsidR="00B96621" w:rsidRPr="00814BF6">
        <w:rPr>
          <w:rFonts w:ascii="Book Antiqua" w:eastAsiaTheme="majorEastAsia" w:hAnsi="Book Antiqua" w:cs="Times New Roman"/>
          <w:bCs/>
          <w:sz w:val="24"/>
          <w:szCs w:val="24"/>
        </w:rPr>
        <w:t>.</w:t>
      </w:r>
      <w:r w:rsidR="00F91E94" w:rsidRPr="00814BF6">
        <w:rPr>
          <w:rFonts w:ascii="Book Antiqua" w:eastAsiaTheme="majorEastAsia" w:hAnsi="Book Antiqua" w:cs="Times New Roman"/>
          <w:bCs/>
          <w:sz w:val="24"/>
          <w:szCs w:val="24"/>
        </w:rPr>
        <w:t xml:space="preserve"> </w:t>
      </w:r>
      <w:r w:rsidR="0021359C" w:rsidRPr="00814BF6">
        <w:rPr>
          <w:rFonts w:ascii="Book Antiqua" w:eastAsiaTheme="majorEastAsia" w:hAnsi="Book Antiqua" w:cs="Times New Roman"/>
          <w:bCs/>
          <w:sz w:val="24"/>
          <w:szCs w:val="24"/>
        </w:rPr>
        <w:t>Although</w:t>
      </w:r>
      <w:r w:rsidR="004D659E" w:rsidRPr="00814BF6">
        <w:rPr>
          <w:rFonts w:ascii="Book Antiqua" w:eastAsiaTheme="majorEastAsia" w:hAnsi="Book Antiqua" w:cs="Times New Roman"/>
          <w:bCs/>
          <w:sz w:val="24"/>
          <w:szCs w:val="24"/>
        </w:rPr>
        <w:t xml:space="preserve"> </w:t>
      </w:r>
      <w:r w:rsidR="00C16A34" w:rsidRPr="00814BF6">
        <w:rPr>
          <w:rFonts w:ascii="Book Antiqua" w:eastAsiaTheme="majorEastAsia" w:hAnsi="Book Antiqua" w:cs="Times New Roman"/>
          <w:bCs/>
          <w:sz w:val="24"/>
          <w:szCs w:val="24"/>
        </w:rPr>
        <w:t>some</w:t>
      </w:r>
      <w:r w:rsidR="0021359C" w:rsidRPr="00814BF6">
        <w:rPr>
          <w:rFonts w:ascii="Book Antiqua" w:eastAsiaTheme="majorEastAsia" w:hAnsi="Book Antiqua" w:cs="Times New Roman"/>
          <w:bCs/>
          <w:sz w:val="24"/>
          <w:szCs w:val="24"/>
        </w:rPr>
        <w:t xml:space="preserve"> reports suggested </w:t>
      </w:r>
      <w:r w:rsidR="00C16A34" w:rsidRPr="00814BF6">
        <w:rPr>
          <w:rFonts w:ascii="Book Antiqua" w:eastAsiaTheme="majorEastAsia" w:hAnsi="Book Antiqua" w:cs="Times New Roman"/>
          <w:bCs/>
          <w:sz w:val="24"/>
          <w:szCs w:val="24"/>
        </w:rPr>
        <w:t xml:space="preserve">that </w:t>
      </w:r>
      <w:r w:rsidR="0021359C" w:rsidRPr="00814BF6">
        <w:rPr>
          <w:rFonts w:ascii="Book Antiqua" w:eastAsiaTheme="majorEastAsia" w:hAnsi="Book Antiqua" w:cs="Times New Roman"/>
          <w:bCs/>
          <w:sz w:val="24"/>
          <w:szCs w:val="24"/>
        </w:rPr>
        <w:t xml:space="preserve">higher treatment </w:t>
      </w:r>
      <w:r w:rsidR="00353EC5" w:rsidRPr="00814BF6">
        <w:rPr>
          <w:rFonts w:ascii="Book Antiqua" w:eastAsiaTheme="majorEastAsia" w:hAnsi="Book Antiqua" w:cs="Times New Roman"/>
          <w:bCs/>
          <w:sz w:val="24"/>
          <w:szCs w:val="24"/>
        </w:rPr>
        <w:t>mo</w:t>
      </w:r>
      <w:r w:rsidR="005B72F7" w:rsidRPr="00814BF6">
        <w:rPr>
          <w:rFonts w:ascii="Book Antiqua" w:eastAsiaTheme="majorEastAsia" w:hAnsi="Book Antiqua" w:cs="Times New Roman"/>
          <w:bCs/>
          <w:sz w:val="24"/>
          <w:szCs w:val="24"/>
        </w:rPr>
        <w:t>rbidity</w:t>
      </w:r>
      <w:r w:rsidR="0021359C" w:rsidRPr="00814BF6">
        <w:rPr>
          <w:rFonts w:ascii="Book Antiqua" w:eastAsiaTheme="majorEastAsia" w:hAnsi="Book Antiqua" w:cs="Times New Roman"/>
          <w:bCs/>
          <w:sz w:val="24"/>
          <w:szCs w:val="24"/>
        </w:rPr>
        <w:t xml:space="preserve"> and mortality</w:t>
      </w:r>
      <w:r w:rsidR="004D659E" w:rsidRPr="00814BF6">
        <w:rPr>
          <w:rFonts w:ascii="Book Antiqua" w:eastAsiaTheme="majorEastAsia" w:hAnsi="Book Antiqua" w:cs="Times New Roman"/>
          <w:bCs/>
          <w:sz w:val="24"/>
          <w:szCs w:val="24"/>
        </w:rPr>
        <w:t xml:space="preserve"> </w:t>
      </w:r>
      <w:r w:rsidR="00C16A34" w:rsidRPr="00814BF6">
        <w:rPr>
          <w:rFonts w:ascii="Book Antiqua" w:eastAsiaTheme="majorEastAsia" w:hAnsi="Book Antiqua" w:cs="Times New Roman"/>
          <w:bCs/>
          <w:sz w:val="24"/>
          <w:szCs w:val="24"/>
        </w:rPr>
        <w:t>were</w:t>
      </w:r>
      <w:r w:rsidR="00696D9E" w:rsidRPr="00814BF6">
        <w:rPr>
          <w:rFonts w:ascii="Book Antiqua" w:eastAsiaTheme="majorEastAsia" w:hAnsi="Book Antiqua" w:cs="Times New Roman"/>
          <w:bCs/>
          <w:sz w:val="24"/>
          <w:szCs w:val="24"/>
        </w:rPr>
        <w:t xml:space="preserve"> </w:t>
      </w:r>
      <w:r w:rsidR="004D659E" w:rsidRPr="00814BF6">
        <w:rPr>
          <w:rFonts w:ascii="Book Antiqua" w:eastAsiaTheme="majorEastAsia" w:hAnsi="Book Antiqua" w:cs="Times New Roman"/>
          <w:bCs/>
          <w:sz w:val="24"/>
          <w:szCs w:val="24"/>
        </w:rPr>
        <w:t xml:space="preserve">associated with neoadjuvant </w:t>
      </w:r>
      <w:proofErr w:type="gramStart"/>
      <w:r w:rsidR="001814F2" w:rsidRPr="00814BF6">
        <w:rPr>
          <w:rFonts w:ascii="Book Antiqua" w:eastAsiaTheme="majorEastAsia" w:hAnsi="Book Antiqua" w:cs="Times New Roman"/>
          <w:bCs/>
          <w:sz w:val="24"/>
          <w:szCs w:val="24"/>
        </w:rPr>
        <w:t>C</w:t>
      </w:r>
      <w:r w:rsidR="004D659E" w:rsidRPr="00814BF6">
        <w:rPr>
          <w:rFonts w:ascii="Book Antiqua" w:eastAsiaTheme="majorEastAsia" w:hAnsi="Book Antiqua" w:cs="Times New Roman"/>
          <w:bCs/>
          <w:sz w:val="24"/>
          <w:szCs w:val="24"/>
        </w:rPr>
        <w:t>RT</w:t>
      </w:r>
      <w:r w:rsidR="00696D9E" w:rsidRPr="00814BF6">
        <w:rPr>
          <w:rFonts w:ascii="Book Antiqua" w:eastAsiaTheme="majorEastAsia" w:hAnsi="Book Antiqua" w:cs="Times New Roman"/>
          <w:bCs/>
          <w:sz w:val="24"/>
          <w:szCs w:val="24"/>
          <w:vertAlign w:val="superscript"/>
        </w:rPr>
        <w:t>[</w:t>
      </w:r>
      <w:proofErr w:type="gramEnd"/>
      <w:r w:rsidR="00696D9E" w:rsidRPr="00814BF6">
        <w:rPr>
          <w:rFonts w:ascii="Book Antiqua" w:eastAsiaTheme="majorEastAsia" w:hAnsi="Book Antiqua" w:cs="Times New Roman"/>
          <w:bCs/>
          <w:sz w:val="24"/>
          <w:szCs w:val="24"/>
          <w:vertAlign w:val="superscript"/>
        </w:rPr>
        <w:t>20,22]</w:t>
      </w:r>
      <w:r w:rsidR="0021359C" w:rsidRPr="00814BF6">
        <w:rPr>
          <w:rFonts w:ascii="Book Antiqua" w:eastAsiaTheme="majorEastAsia" w:hAnsi="Book Antiqua" w:cs="Times New Roman"/>
          <w:bCs/>
          <w:sz w:val="24"/>
          <w:szCs w:val="24"/>
        </w:rPr>
        <w:t xml:space="preserve">, </w:t>
      </w:r>
      <w:r w:rsidR="00353EC5" w:rsidRPr="00814BF6">
        <w:rPr>
          <w:rFonts w:ascii="Book Antiqua" w:eastAsiaTheme="majorEastAsia" w:hAnsi="Book Antiqua" w:cs="Times New Roman"/>
          <w:bCs/>
          <w:sz w:val="24"/>
          <w:szCs w:val="24"/>
        </w:rPr>
        <w:t>the current cohort</w:t>
      </w:r>
      <w:r w:rsidR="00696D9E" w:rsidRPr="00814BF6">
        <w:rPr>
          <w:rFonts w:ascii="Book Antiqua" w:eastAsiaTheme="majorEastAsia" w:hAnsi="Book Antiqua" w:cs="Times New Roman"/>
          <w:bCs/>
          <w:sz w:val="24"/>
          <w:szCs w:val="24"/>
        </w:rPr>
        <w:t>’</w:t>
      </w:r>
      <w:r w:rsidR="00353EC5" w:rsidRPr="00814BF6">
        <w:rPr>
          <w:rFonts w:ascii="Book Antiqua" w:eastAsiaTheme="majorEastAsia" w:hAnsi="Book Antiqua" w:cs="Times New Roman"/>
          <w:bCs/>
          <w:sz w:val="24"/>
          <w:szCs w:val="24"/>
        </w:rPr>
        <w:t xml:space="preserve">s </w:t>
      </w:r>
      <w:r w:rsidR="0021359C" w:rsidRPr="00814BF6">
        <w:rPr>
          <w:rFonts w:ascii="Book Antiqua" w:eastAsiaTheme="majorEastAsia" w:hAnsi="Book Antiqua" w:cs="Times New Roman"/>
          <w:bCs/>
          <w:sz w:val="24"/>
          <w:szCs w:val="24"/>
        </w:rPr>
        <w:t>patient</w:t>
      </w:r>
      <w:r w:rsidR="00353EC5" w:rsidRPr="00814BF6">
        <w:rPr>
          <w:rFonts w:ascii="Book Antiqua" w:eastAsiaTheme="majorEastAsia" w:hAnsi="Book Antiqua" w:cs="Times New Roman"/>
          <w:bCs/>
          <w:sz w:val="24"/>
          <w:szCs w:val="24"/>
        </w:rPr>
        <w:t>s</w:t>
      </w:r>
      <w:r w:rsidR="0021359C" w:rsidRPr="00814BF6">
        <w:rPr>
          <w:rFonts w:ascii="Book Antiqua" w:eastAsiaTheme="majorEastAsia" w:hAnsi="Book Antiqua" w:cs="Times New Roman"/>
          <w:bCs/>
          <w:sz w:val="24"/>
          <w:szCs w:val="24"/>
        </w:rPr>
        <w:t xml:space="preserve"> </w:t>
      </w:r>
      <w:r w:rsidR="00353EC5" w:rsidRPr="00814BF6">
        <w:rPr>
          <w:rFonts w:ascii="Book Antiqua" w:eastAsiaTheme="majorEastAsia" w:hAnsi="Book Antiqua" w:cs="Times New Roman"/>
          <w:bCs/>
          <w:sz w:val="24"/>
          <w:szCs w:val="24"/>
        </w:rPr>
        <w:t>had acceptable tolerance</w:t>
      </w:r>
      <w:r w:rsidR="00696D9E" w:rsidRPr="00814BF6">
        <w:rPr>
          <w:rFonts w:ascii="Book Antiqua" w:eastAsiaTheme="majorEastAsia" w:hAnsi="Book Antiqua" w:cs="Times New Roman"/>
          <w:bCs/>
          <w:sz w:val="24"/>
          <w:szCs w:val="24"/>
        </w:rPr>
        <w:t>.</w:t>
      </w:r>
      <w:r w:rsidR="00696D9E" w:rsidRPr="00814BF6" w:rsidDel="00696D9E">
        <w:rPr>
          <w:rFonts w:ascii="Book Antiqua" w:eastAsiaTheme="majorEastAsia" w:hAnsi="Book Antiqua" w:cs="Times New Roman"/>
          <w:bCs/>
          <w:sz w:val="24"/>
          <w:szCs w:val="24"/>
        </w:rPr>
        <w:t xml:space="preserve"> </w:t>
      </w:r>
    </w:p>
    <w:p w14:paraId="0E46EA73" w14:textId="77777777" w:rsidR="00A029FF" w:rsidRDefault="00A029FF" w:rsidP="00423FAA">
      <w:pPr>
        <w:spacing w:after="0" w:line="360" w:lineRule="auto"/>
        <w:ind w:firstLineChars="100" w:firstLine="240"/>
        <w:jc w:val="both"/>
        <w:rPr>
          <w:rFonts w:ascii="Book Antiqua" w:eastAsiaTheme="majorEastAsia" w:hAnsi="Book Antiqua" w:cs="Times New Roman"/>
          <w:bCs/>
          <w:sz w:val="24"/>
          <w:szCs w:val="24"/>
          <w:lang w:eastAsia="zh-CN"/>
        </w:rPr>
      </w:pPr>
      <w:r w:rsidRPr="00814BF6">
        <w:rPr>
          <w:rFonts w:ascii="Book Antiqua" w:eastAsiaTheme="majorEastAsia" w:hAnsi="Book Antiqua" w:cs="Times New Roman"/>
          <w:bCs/>
          <w:sz w:val="24"/>
          <w:szCs w:val="24"/>
        </w:rPr>
        <w:t>To our knowledge, ours is the first report of using IMRT-SIB with dose escalation resulting in high pCR</w:t>
      </w:r>
      <w:r w:rsidR="001627B4" w:rsidRPr="00814BF6">
        <w:rPr>
          <w:rFonts w:ascii="Book Antiqua" w:eastAsiaTheme="majorEastAsia" w:hAnsi="Book Antiqua" w:cs="Times New Roman"/>
          <w:bCs/>
          <w:sz w:val="24"/>
          <w:szCs w:val="24"/>
          <w:lang w:eastAsia="zh-CN"/>
        </w:rPr>
        <w:t xml:space="preserve"> in adenocarcinoma of esophagus</w:t>
      </w:r>
      <w:r w:rsidRPr="00814BF6">
        <w:rPr>
          <w:rFonts w:ascii="Book Antiqua" w:eastAsiaTheme="majorEastAsia" w:hAnsi="Book Antiqua" w:cs="Times New Roman"/>
          <w:bCs/>
          <w:sz w:val="24"/>
          <w:szCs w:val="24"/>
        </w:rPr>
        <w:t>. However, our study has limitations. First, this was a retrospective review</w:t>
      </w:r>
      <w:r w:rsidR="00C16A34" w:rsidRPr="00814BF6">
        <w:rPr>
          <w:rFonts w:ascii="Book Antiqua" w:eastAsiaTheme="majorEastAsia" w:hAnsi="Book Antiqua" w:cs="Times New Roman"/>
          <w:bCs/>
          <w:sz w:val="24"/>
          <w:szCs w:val="24"/>
        </w:rPr>
        <w:t xml:space="preserve"> that </w:t>
      </w:r>
      <w:r w:rsidRPr="00814BF6">
        <w:rPr>
          <w:rFonts w:ascii="Book Antiqua" w:eastAsiaTheme="majorEastAsia" w:hAnsi="Book Antiqua" w:cs="Times New Roman"/>
          <w:bCs/>
          <w:sz w:val="24"/>
          <w:szCs w:val="24"/>
        </w:rPr>
        <w:t>mostly consisted of the patients who were treated by a dedicated multidisciplinary team at a single institution. Selection biases from the study existed. Second, the sample size was small</w:t>
      </w:r>
      <w:r w:rsidR="005B72F7" w:rsidRPr="00814BF6">
        <w:rPr>
          <w:rFonts w:ascii="Book Antiqua" w:eastAsiaTheme="majorEastAsia" w:hAnsi="Book Antiqua" w:cs="Times New Roman"/>
          <w:bCs/>
          <w:sz w:val="24"/>
          <w:szCs w:val="24"/>
        </w:rPr>
        <w:t xml:space="preserve"> and</w:t>
      </w:r>
      <w:r w:rsidRPr="00814BF6">
        <w:rPr>
          <w:rFonts w:ascii="Book Antiqua" w:eastAsiaTheme="majorEastAsia" w:hAnsi="Book Antiqua" w:cs="Times New Roman"/>
          <w:bCs/>
          <w:sz w:val="24"/>
          <w:szCs w:val="24"/>
        </w:rPr>
        <w:t xml:space="preserve"> </w:t>
      </w:r>
      <w:r w:rsidR="004F16E2" w:rsidRPr="00814BF6">
        <w:rPr>
          <w:rFonts w:ascii="Book Antiqua" w:eastAsiaTheme="majorEastAsia" w:hAnsi="Book Antiqua" w:cs="Times New Roman"/>
          <w:bCs/>
          <w:sz w:val="24"/>
          <w:szCs w:val="24"/>
        </w:rPr>
        <w:t xml:space="preserve">only ypN was </w:t>
      </w:r>
      <w:r w:rsidR="00C16A34" w:rsidRPr="00814BF6">
        <w:rPr>
          <w:rFonts w:ascii="Book Antiqua" w:eastAsiaTheme="majorEastAsia" w:hAnsi="Book Antiqua" w:cs="Times New Roman"/>
          <w:bCs/>
          <w:sz w:val="24"/>
          <w:szCs w:val="24"/>
        </w:rPr>
        <w:t xml:space="preserve">a </w:t>
      </w:r>
      <w:r w:rsidR="004F16E2" w:rsidRPr="00814BF6">
        <w:rPr>
          <w:rFonts w:ascii="Book Antiqua" w:eastAsiaTheme="majorEastAsia" w:hAnsi="Book Antiqua" w:cs="Times New Roman"/>
          <w:bCs/>
          <w:sz w:val="24"/>
          <w:szCs w:val="24"/>
        </w:rPr>
        <w:t>positive predict</w:t>
      </w:r>
      <w:r w:rsidR="005B72F7" w:rsidRPr="00814BF6">
        <w:rPr>
          <w:rFonts w:ascii="Book Antiqua" w:eastAsiaTheme="majorEastAsia" w:hAnsi="Book Antiqua" w:cs="Times New Roman"/>
          <w:bCs/>
          <w:sz w:val="24"/>
          <w:szCs w:val="24"/>
        </w:rPr>
        <w:t>ive</w:t>
      </w:r>
      <w:r w:rsidR="004F16E2" w:rsidRPr="00814BF6">
        <w:rPr>
          <w:rFonts w:ascii="Book Antiqua" w:eastAsiaTheme="majorEastAsia" w:hAnsi="Book Antiqua" w:cs="Times New Roman"/>
          <w:bCs/>
          <w:sz w:val="24"/>
          <w:szCs w:val="24"/>
        </w:rPr>
        <w:t xml:space="preserve"> factor in univar</w:t>
      </w:r>
      <w:r w:rsidR="006853B4" w:rsidRPr="00814BF6">
        <w:rPr>
          <w:rFonts w:ascii="Book Antiqua" w:eastAsiaTheme="majorEastAsia" w:hAnsi="Book Antiqua" w:cs="Times New Roman"/>
          <w:bCs/>
          <w:sz w:val="24"/>
          <w:szCs w:val="24"/>
        </w:rPr>
        <w:t>ate</w:t>
      </w:r>
      <w:r w:rsidR="004F16E2" w:rsidRPr="00814BF6">
        <w:rPr>
          <w:rFonts w:ascii="Book Antiqua" w:eastAsiaTheme="majorEastAsia" w:hAnsi="Book Antiqua" w:cs="Times New Roman"/>
          <w:bCs/>
          <w:sz w:val="24"/>
          <w:szCs w:val="24"/>
        </w:rPr>
        <w:t xml:space="preserve"> analysis</w:t>
      </w:r>
      <w:r w:rsidR="005B72F7" w:rsidRPr="00814BF6">
        <w:rPr>
          <w:rFonts w:ascii="Book Antiqua" w:eastAsiaTheme="majorEastAsia" w:hAnsi="Book Antiqua" w:cs="Times New Roman"/>
          <w:bCs/>
          <w:sz w:val="24"/>
          <w:szCs w:val="24"/>
        </w:rPr>
        <w:t>;</w:t>
      </w:r>
      <w:r w:rsidR="004F16E2" w:rsidRPr="00814BF6">
        <w:rPr>
          <w:rFonts w:ascii="Book Antiqua" w:eastAsiaTheme="majorEastAsia" w:hAnsi="Book Antiqua" w:cs="Times New Roman"/>
          <w:bCs/>
          <w:sz w:val="24"/>
          <w:szCs w:val="24"/>
        </w:rPr>
        <w:t xml:space="preserve"> </w:t>
      </w:r>
      <w:r w:rsidR="005B72F7" w:rsidRPr="00814BF6">
        <w:rPr>
          <w:rFonts w:ascii="Book Antiqua" w:eastAsiaTheme="majorEastAsia" w:hAnsi="Book Antiqua" w:cs="Times New Roman"/>
          <w:bCs/>
          <w:sz w:val="24"/>
          <w:szCs w:val="24"/>
        </w:rPr>
        <w:t>a</w:t>
      </w:r>
      <w:r w:rsidR="004F16E2" w:rsidRPr="00814BF6">
        <w:rPr>
          <w:rFonts w:ascii="Book Antiqua" w:eastAsiaTheme="majorEastAsia" w:hAnsi="Book Antiqua" w:cs="Times New Roman"/>
          <w:bCs/>
          <w:sz w:val="24"/>
          <w:szCs w:val="24"/>
        </w:rPr>
        <w:t xml:space="preserve"> large</w:t>
      </w:r>
      <w:r w:rsidR="005B72F7" w:rsidRPr="00814BF6">
        <w:rPr>
          <w:rFonts w:ascii="Book Antiqua" w:eastAsiaTheme="majorEastAsia" w:hAnsi="Book Antiqua" w:cs="Times New Roman"/>
          <w:bCs/>
          <w:sz w:val="24"/>
          <w:szCs w:val="24"/>
        </w:rPr>
        <w:t>r</w:t>
      </w:r>
      <w:r w:rsidR="004F16E2" w:rsidRPr="00814BF6">
        <w:rPr>
          <w:rFonts w:ascii="Book Antiqua" w:eastAsiaTheme="majorEastAsia" w:hAnsi="Book Antiqua" w:cs="Times New Roman"/>
          <w:bCs/>
          <w:sz w:val="24"/>
          <w:szCs w:val="24"/>
        </w:rPr>
        <w:t xml:space="preserve"> size study will provide more reliable conclusion</w:t>
      </w:r>
      <w:r w:rsidR="00C16A34" w:rsidRPr="00814BF6">
        <w:rPr>
          <w:rFonts w:ascii="Book Antiqua" w:eastAsiaTheme="majorEastAsia" w:hAnsi="Book Antiqua" w:cs="Times New Roman"/>
          <w:bCs/>
          <w:sz w:val="24"/>
          <w:szCs w:val="24"/>
        </w:rPr>
        <w:t>s</w:t>
      </w:r>
      <w:r w:rsidRPr="00814BF6">
        <w:rPr>
          <w:rFonts w:ascii="Book Antiqua" w:eastAsiaTheme="majorEastAsia" w:hAnsi="Book Antiqua" w:cs="Times New Roman"/>
          <w:bCs/>
          <w:sz w:val="24"/>
          <w:szCs w:val="24"/>
        </w:rPr>
        <w:t xml:space="preserve">. Moreover, although we have reviewed all esophageal adenocarcinoma cases in our institute from the past 10 years, the IMRT-SIB has been implemented </w:t>
      </w:r>
      <w:r w:rsidR="00C16A34" w:rsidRPr="00814BF6">
        <w:rPr>
          <w:rFonts w:ascii="Book Antiqua" w:eastAsiaTheme="majorEastAsia" w:hAnsi="Book Antiqua" w:cs="Times New Roman"/>
          <w:bCs/>
          <w:sz w:val="24"/>
          <w:szCs w:val="24"/>
        </w:rPr>
        <w:t xml:space="preserve">only </w:t>
      </w:r>
      <w:r w:rsidRPr="00814BF6">
        <w:rPr>
          <w:rFonts w:ascii="Book Antiqua" w:eastAsiaTheme="majorEastAsia" w:hAnsi="Book Antiqua" w:cs="Times New Roman"/>
          <w:bCs/>
          <w:sz w:val="24"/>
          <w:szCs w:val="24"/>
        </w:rPr>
        <w:t>recently and, as a result, the follow-up for this subgroup of patients was short. In a prospective setting, the patients could be stratified by different prognostic clinical variables in an effort to better elucidate the role of SIB dose escalation in certain patient groups.</w:t>
      </w:r>
    </w:p>
    <w:p w14:paraId="519CF9CB" w14:textId="77777777" w:rsidR="00423FAA" w:rsidRPr="00814BF6" w:rsidRDefault="00423FAA" w:rsidP="00423FAA">
      <w:pPr>
        <w:spacing w:after="0" w:line="360" w:lineRule="auto"/>
        <w:ind w:firstLineChars="100" w:firstLine="240"/>
        <w:jc w:val="both"/>
        <w:rPr>
          <w:rFonts w:ascii="Book Antiqua" w:eastAsiaTheme="majorEastAsia" w:hAnsi="Book Antiqua" w:cs="Times New Roman"/>
          <w:bCs/>
          <w:sz w:val="24"/>
          <w:szCs w:val="24"/>
          <w:lang w:eastAsia="zh-CN"/>
        </w:rPr>
      </w:pPr>
    </w:p>
    <w:p w14:paraId="0E27CD8C" w14:textId="77777777" w:rsidR="001627B4" w:rsidRPr="00423FAA" w:rsidRDefault="001627B4" w:rsidP="00814BF6">
      <w:pPr>
        <w:pStyle w:val="Heading1"/>
        <w:spacing w:before="0" w:line="360" w:lineRule="auto"/>
        <w:jc w:val="both"/>
        <w:rPr>
          <w:rFonts w:ascii="Book Antiqua" w:eastAsiaTheme="minorEastAsia" w:hAnsi="Book Antiqua" w:cs="Times New Roman"/>
          <w:i/>
          <w:color w:val="auto"/>
          <w:sz w:val="24"/>
          <w:szCs w:val="24"/>
          <w:lang w:eastAsia="zh-CN"/>
        </w:rPr>
      </w:pPr>
      <w:r w:rsidRPr="00423FAA">
        <w:rPr>
          <w:rFonts w:ascii="Book Antiqua" w:eastAsiaTheme="minorEastAsia" w:hAnsi="Book Antiqua" w:cs="Times New Roman"/>
          <w:i/>
          <w:color w:val="auto"/>
          <w:sz w:val="24"/>
          <w:szCs w:val="24"/>
          <w:lang w:eastAsia="zh-CN"/>
        </w:rPr>
        <w:t>Conclusion</w:t>
      </w:r>
    </w:p>
    <w:p w14:paraId="28051D72" w14:textId="77777777" w:rsidR="00C83340" w:rsidRPr="00814BF6" w:rsidRDefault="001627B4" w:rsidP="00814BF6">
      <w:pPr>
        <w:spacing w:after="0" w:line="360" w:lineRule="auto"/>
        <w:jc w:val="both"/>
        <w:rPr>
          <w:rFonts w:ascii="Book Antiqua" w:eastAsiaTheme="majorEastAsia" w:hAnsi="Book Antiqua" w:cs="Times New Roman"/>
          <w:bCs/>
          <w:sz w:val="24"/>
          <w:szCs w:val="24"/>
        </w:rPr>
      </w:pPr>
      <w:r w:rsidRPr="00814BF6">
        <w:rPr>
          <w:rFonts w:ascii="Book Antiqua" w:eastAsiaTheme="majorEastAsia" w:hAnsi="Book Antiqua" w:cs="Times New Roman"/>
          <w:bCs/>
          <w:sz w:val="24"/>
          <w:szCs w:val="24"/>
          <w:lang w:eastAsia="zh-CN"/>
        </w:rPr>
        <w:t>T</w:t>
      </w:r>
      <w:r w:rsidR="005B72F7" w:rsidRPr="00814BF6">
        <w:rPr>
          <w:rFonts w:ascii="Book Antiqua" w:eastAsiaTheme="majorEastAsia" w:hAnsi="Book Antiqua" w:cs="Times New Roman"/>
          <w:bCs/>
          <w:sz w:val="24"/>
          <w:szCs w:val="24"/>
        </w:rPr>
        <w:t>he</w:t>
      </w:r>
      <w:r w:rsidR="00C83340" w:rsidRPr="00814BF6">
        <w:rPr>
          <w:rFonts w:ascii="Book Antiqua" w:eastAsiaTheme="majorEastAsia" w:hAnsi="Book Antiqua" w:cs="Times New Roman"/>
          <w:bCs/>
          <w:sz w:val="24"/>
          <w:szCs w:val="24"/>
        </w:rPr>
        <w:t xml:space="preserve"> dose escalation through IMRT-SIB in the chemoradiation regimen seems responsible for the down staging </w:t>
      </w:r>
      <w:r w:rsidR="005B72F7" w:rsidRPr="00814BF6">
        <w:rPr>
          <w:rFonts w:ascii="Book Antiqua" w:eastAsiaTheme="majorEastAsia" w:hAnsi="Book Antiqua" w:cs="Times New Roman"/>
          <w:bCs/>
          <w:sz w:val="24"/>
          <w:szCs w:val="24"/>
        </w:rPr>
        <w:t xml:space="preserve">of </w:t>
      </w:r>
      <w:r w:rsidR="00C83340" w:rsidRPr="00814BF6">
        <w:rPr>
          <w:rFonts w:ascii="Book Antiqua" w:eastAsiaTheme="majorEastAsia" w:hAnsi="Book Antiqua" w:cs="Times New Roman"/>
          <w:bCs/>
          <w:sz w:val="24"/>
          <w:szCs w:val="24"/>
        </w:rPr>
        <w:t xml:space="preserve">the distal esophageal or </w:t>
      </w:r>
      <w:r w:rsidR="005B72F7" w:rsidRPr="00814BF6">
        <w:rPr>
          <w:rFonts w:ascii="Book Antiqua" w:eastAsiaTheme="majorEastAsia" w:hAnsi="Book Antiqua" w:cs="Times New Roman"/>
          <w:bCs/>
          <w:sz w:val="24"/>
          <w:szCs w:val="24"/>
        </w:rPr>
        <w:t>gastroesophageal junction</w:t>
      </w:r>
      <w:r w:rsidR="00C83340" w:rsidRPr="00814BF6">
        <w:rPr>
          <w:rFonts w:ascii="Book Antiqua" w:eastAsiaTheme="majorEastAsia" w:hAnsi="Book Antiqua" w:cs="Times New Roman"/>
          <w:bCs/>
          <w:sz w:val="24"/>
          <w:szCs w:val="24"/>
        </w:rPr>
        <w:t xml:space="preserve"> tumor</w:t>
      </w:r>
      <w:r w:rsidR="005B72F7" w:rsidRPr="00814BF6">
        <w:rPr>
          <w:rFonts w:ascii="Book Antiqua" w:eastAsiaTheme="majorEastAsia" w:hAnsi="Book Antiqua" w:cs="Times New Roman"/>
          <w:bCs/>
          <w:sz w:val="24"/>
          <w:szCs w:val="24"/>
        </w:rPr>
        <w:t>s. The</w:t>
      </w:r>
      <w:r w:rsidR="00C83340" w:rsidRPr="00814BF6">
        <w:rPr>
          <w:rFonts w:ascii="Book Antiqua" w:eastAsiaTheme="majorEastAsia" w:hAnsi="Book Antiqua" w:cs="Times New Roman"/>
          <w:bCs/>
          <w:sz w:val="24"/>
          <w:szCs w:val="24"/>
        </w:rPr>
        <w:t xml:space="preserve"> protocol is well</w:t>
      </w:r>
      <w:r w:rsidR="005B72F7" w:rsidRPr="00814BF6">
        <w:rPr>
          <w:rFonts w:ascii="Book Antiqua" w:eastAsiaTheme="majorEastAsia" w:hAnsi="Book Antiqua" w:cs="Times New Roman"/>
          <w:bCs/>
          <w:sz w:val="24"/>
          <w:szCs w:val="24"/>
        </w:rPr>
        <w:t>-</w:t>
      </w:r>
      <w:r w:rsidR="00C83340" w:rsidRPr="00814BF6">
        <w:rPr>
          <w:rFonts w:ascii="Book Antiqua" w:eastAsiaTheme="majorEastAsia" w:hAnsi="Book Antiqua" w:cs="Times New Roman"/>
          <w:bCs/>
          <w:sz w:val="24"/>
          <w:szCs w:val="24"/>
        </w:rPr>
        <w:t>tolerated</w:t>
      </w:r>
      <w:r w:rsidR="005B72F7" w:rsidRPr="00814BF6">
        <w:rPr>
          <w:rFonts w:ascii="Book Antiqua" w:eastAsiaTheme="majorEastAsia" w:hAnsi="Book Antiqua" w:cs="Times New Roman"/>
          <w:bCs/>
          <w:sz w:val="24"/>
          <w:szCs w:val="24"/>
        </w:rPr>
        <w:t>,</w:t>
      </w:r>
      <w:r w:rsidR="00C83340" w:rsidRPr="00814BF6">
        <w:rPr>
          <w:rFonts w:ascii="Book Antiqua" w:eastAsiaTheme="majorEastAsia" w:hAnsi="Book Antiqua" w:cs="Times New Roman"/>
          <w:bCs/>
          <w:sz w:val="24"/>
          <w:szCs w:val="24"/>
        </w:rPr>
        <w:t xml:space="preserve"> postoperative complications were acceptable</w:t>
      </w:r>
      <w:r w:rsidR="005B72F7" w:rsidRPr="00814BF6">
        <w:rPr>
          <w:rFonts w:ascii="Book Antiqua" w:eastAsiaTheme="majorEastAsia" w:hAnsi="Book Antiqua" w:cs="Times New Roman"/>
          <w:bCs/>
          <w:sz w:val="24"/>
          <w:szCs w:val="24"/>
        </w:rPr>
        <w:t xml:space="preserve">, and the </w:t>
      </w:r>
      <w:r w:rsidR="00C83340" w:rsidRPr="00814BF6">
        <w:rPr>
          <w:rFonts w:ascii="Book Antiqua" w:eastAsiaTheme="majorEastAsia" w:hAnsi="Book Antiqua" w:cs="Times New Roman"/>
          <w:bCs/>
          <w:sz w:val="24"/>
          <w:szCs w:val="24"/>
        </w:rPr>
        <w:t>complete resection rate is high</w:t>
      </w:r>
      <w:r w:rsidR="005B72F7" w:rsidRPr="00814BF6">
        <w:rPr>
          <w:rFonts w:ascii="Book Antiqua" w:eastAsiaTheme="majorEastAsia" w:hAnsi="Book Antiqua" w:cs="Times New Roman"/>
          <w:bCs/>
          <w:sz w:val="24"/>
          <w:szCs w:val="24"/>
        </w:rPr>
        <w:t>. This</w:t>
      </w:r>
      <w:r w:rsidR="00C83340" w:rsidRPr="00814BF6">
        <w:rPr>
          <w:rFonts w:ascii="Book Antiqua" w:eastAsiaTheme="majorEastAsia" w:hAnsi="Book Antiqua" w:cs="Times New Roman"/>
          <w:bCs/>
          <w:sz w:val="24"/>
          <w:szCs w:val="24"/>
        </w:rPr>
        <w:t xml:space="preserve"> </w:t>
      </w:r>
      <w:r w:rsidR="00C16A34" w:rsidRPr="00814BF6">
        <w:rPr>
          <w:rFonts w:ascii="Book Antiqua" w:eastAsiaTheme="majorEastAsia" w:hAnsi="Book Antiqua" w:cs="Times New Roman"/>
          <w:bCs/>
          <w:sz w:val="24"/>
          <w:szCs w:val="24"/>
        </w:rPr>
        <w:t>radiation therapy</w:t>
      </w:r>
      <w:r w:rsidR="00C83340" w:rsidRPr="00814BF6">
        <w:rPr>
          <w:rFonts w:ascii="Book Antiqua" w:eastAsiaTheme="majorEastAsia" w:hAnsi="Book Antiqua" w:cs="Times New Roman"/>
          <w:bCs/>
          <w:sz w:val="24"/>
          <w:szCs w:val="24"/>
        </w:rPr>
        <w:t xml:space="preserve"> dose escalation strategy warrants further investigation.</w:t>
      </w:r>
    </w:p>
    <w:p w14:paraId="674770FC" w14:textId="77777777" w:rsidR="00423FAA" w:rsidRDefault="00423FAA" w:rsidP="00423FAA">
      <w:pPr>
        <w:spacing w:after="0" w:line="360" w:lineRule="auto"/>
        <w:jc w:val="both"/>
        <w:rPr>
          <w:rFonts w:ascii="Book Antiqua" w:hAnsi="Book Antiqua" w:cs="Times New Roman"/>
          <w:sz w:val="24"/>
          <w:szCs w:val="24"/>
          <w:lang w:eastAsia="zh-CN"/>
        </w:rPr>
      </w:pPr>
    </w:p>
    <w:p w14:paraId="3AC653D5" w14:textId="77777777" w:rsidR="007F7688" w:rsidRPr="00423FAA" w:rsidRDefault="00423FAA" w:rsidP="00423FAA">
      <w:pPr>
        <w:spacing w:after="0" w:line="360" w:lineRule="auto"/>
        <w:jc w:val="both"/>
        <w:rPr>
          <w:rFonts w:ascii="Book Antiqua" w:hAnsi="Book Antiqua" w:cs="Times New Roman"/>
          <w:b/>
          <w:sz w:val="24"/>
          <w:szCs w:val="24"/>
        </w:rPr>
      </w:pPr>
      <w:r w:rsidRPr="00423FAA">
        <w:rPr>
          <w:rFonts w:ascii="Book Antiqua" w:hAnsi="Book Antiqua" w:cs="Times New Roman"/>
          <w:b/>
          <w:sz w:val="24"/>
          <w:szCs w:val="24"/>
        </w:rPr>
        <w:t>ACKNOWLEDGMENTS</w:t>
      </w:r>
    </w:p>
    <w:p w14:paraId="658AD583" w14:textId="77777777" w:rsidR="007F7688" w:rsidRPr="00814BF6" w:rsidRDefault="007F7688" w:rsidP="00814BF6">
      <w:pPr>
        <w:spacing w:after="0" w:line="360" w:lineRule="auto"/>
        <w:jc w:val="both"/>
        <w:rPr>
          <w:rFonts w:ascii="Book Antiqua" w:hAnsi="Book Antiqua" w:cs="Times New Roman"/>
          <w:sz w:val="24"/>
          <w:szCs w:val="24"/>
          <w:lang w:eastAsia="zh-CN"/>
        </w:rPr>
      </w:pPr>
      <w:r w:rsidRPr="00814BF6">
        <w:rPr>
          <w:rFonts w:ascii="Book Antiqua" w:hAnsi="Book Antiqua" w:cs="Times New Roman"/>
          <w:sz w:val="24"/>
          <w:szCs w:val="24"/>
        </w:rPr>
        <w:t>This r</w:t>
      </w:r>
      <w:r w:rsidR="00423FAA">
        <w:rPr>
          <w:rFonts w:ascii="Book Antiqua" w:hAnsi="Book Antiqua" w:cs="Times New Roman"/>
          <w:sz w:val="24"/>
          <w:szCs w:val="24"/>
        </w:rPr>
        <w:t>eport is in memory of Phillip D</w:t>
      </w:r>
      <w:r w:rsidRPr="00814BF6">
        <w:rPr>
          <w:rFonts w:ascii="Book Antiqua" w:hAnsi="Book Antiqua" w:cs="Times New Roman"/>
          <w:sz w:val="24"/>
          <w:szCs w:val="24"/>
        </w:rPr>
        <w:t xml:space="preserve"> Price, MD, one of surgeons involved with the multidisciplinary pancreatic cancer committee at Zangmeister Cancer Center and Mount Carmel Health System, who passed away from malignancy. We thank Chris Tobolski for providing support for the treatment plan. </w:t>
      </w:r>
    </w:p>
    <w:p w14:paraId="1A2DF934" w14:textId="77777777" w:rsidR="00203FD5" w:rsidRPr="00814BF6" w:rsidRDefault="00203FD5" w:rsidP="00814BF6">
      <w:pPr>
        <w:autoSpaceDE w:val="0"/>
        <w:autoSpaceDN w:val="0"/>
        <w:adjustRightInd w:val="0"/>
        <w:spacing w:after="0" w:line="360" w:lineRule="auto"/>
        <w:jc w:val="both"/>
        <w:rPr>
          <w:rFonts w:ascii="Book Antiqua" w:hAnsi="Book Antiqua"/>
          <w:b/>
          <w:sz w:val="24"/>
          <w:szCs w:val="24"/>
          <w:lang w:eastAsia="zh-CN"/>
        </w:rPr>
      </w:pPr>
    </w:p>
    <w:p w14:paraId="70BE07F8" w14:textId="77777777" w:rsidR="009779A9" w:rsidRPr="00814BF6" w:rsidRDefault="009779A9" w:rsidP="00814BF6">
      <w:pPr>
        <w:autoSpaceDE w:val="0"/>
        <w:autoSpaceDN w:val="0"/>
        <w:adjustRightInd w:val="0"/>
        <w:spacing w:after="0" w:line="360" w:lineRule="auto"/>
        <w:jc w:val="both"/>
        <w:rPr>
          <w:rFonts w:ascii="Book Antiqua" w:hAnsi="Book Antiqua"/>
          <w:b/>
          <w:sz w:val="24"/>
          <w:szCs w:val="24"/>
        </w:rPr>
      </w:pPr>
      <w:r w:rsidRPr="00814BF6">
        <w:rPr>
          <w:rFonts w:ascii="Book Antiqua" w:hAnsi="Book Antiqua"/>
          <w:b/>
          <w:sz w:val="24"/>
          <w:szCs w:val="24"/>
        </w:rPr>
        <w:t>COMMENTS</w:t>
      </w:r>
    </w:p>
    <w:p w14:paraId="4544AB41" w14:textId="77777777" w:rsidR="00203FD5" w:rsidRPr="00423FAA" w:rsidRDefault="00423FAA" w:rsidP="00814BF6">
      <w:pPr>
        <w:spacing w:after="0" w:line="360" w:lineRule="auto"/>
        <w:jc w:val="both"/>
        <w:rPr>
          <w:rFonts w:ascii="Book Antiqua" w:hAnsi="Book Antiqua" w:cs="Times New Roman"/>
          <w:b/>
          <w:i/>
          <w:sz w:val="24"/>
          <w:szCs w:val="24"/>
          <w:lang w:eastAsia="zh-CN"/>
        </w:rPr>
      </w:pPr>
      <w:r w:rsidRPr="00423FAA">
        <w:rPr>
          <w:rFonts w:ascii="Book Antiqua" w:hAnsi="Book Antiqua" w:cs="Times New Roman"/>
          <w:b/>
          <w:i/>
          <w:sz w:val="24"/>
          <w:szCs w:val="24"/>
          <w:lang w:eastAsia="zh-CN"/>
        </w:rPr>
        <w:t>Background</w:t>
      </w:r>
    </w:p>
    <w:p w14:paraId="766AC7AF" w14:textId="77777777" w:rsidR="00203FD5" w:rsidRDefault="0073409C" w:rsidP="00814BF6">
      <w:pPr>
        <w:spacing w:after="0" w:line="360" w:lineRule="auto"/>
        <w:jc w:val="both"/>
        <w:rPr>
          <w:rFonts w:ascii="Book Antiqua" w:hAnsi="Book Antiqua" w:cs="Times New Roman"/>
          <w:sz w:val="24"/>
          <w:szCs w:val="24"/>
          <w:lang w:eastAsia="zh-CN"/>
        </w:rPr>
      </w:pPr>
      <w:r w:rsidRPr="00814BF6">
        <w:rPr>
          <w:rFonts w:ascii="Book Antiqua" w:hAnsi="Book Antiqua" w:cs="Times New Roman"/>
          <w:sz w:val="24"/>
          <w:szCs w:val="24"/>
        </w:rPr>
        <w:t xml:space="preserve">Improvement in resection rate is very important for </w:t>
      </w:r>
      <w:r w:rsidR="009E1D0F" w:rsidRPr="00814BF6">
        <w:rPr>
          <w:rFonts w:ascii="Book Antiqua" w:hAnsi="Book Antiqua" w:cs="Times New Roman"/>
          <w:sz w:val="24"/>
          <w:szCs w:val="24"/>
        </w:rPr>
        <w:t>advanced esophageal cancer</w:t>
      </w:r>
      <w:r w:rsidRPr="00814BF6">
        <w:rPr>
          <w:rFonts w:ascii="Book Antiqua" w:hAnsi="Book Antiqua" w:cs="Times New Roman"/>
          <w:sz w:val="24"/>
          <w:szCs w:val="24"/>
        </w:rPr>
        <w:t>, balance between toxicit</w:t>
      </w:r>
      <w:r w:rsidR="00296A53" w:rsidRPr="00814BF6">
        <w:rPr>
          <w:rFonts w:ascii="Book Antiqua" w:hAnsi="Book Antiqua" w:cs="Times New Roman"/>
          <w:sz w:val="24"/>
          <w:szCs w:val="24"/>
        </w:rPr>
        <w:t>y and benefit</w:t>
      </w:r>
      <w:r w:rsidRPr="00814BF6">
        <w:rPr>
          <w:rFonts w:ascii="Book Antiqua" w:hAnsi="Book Antiqua" w:cs="Times New Roman"/>
          <w:sz w:val="24"/>
          <w:szCs w:val="24"/>
        </w:rPr>
        <w:t xml:space="preserve"> from neoadjuvant treatment </w:t>
      </w:r>
      <w:r w:rsidR="000F5E51" w:rsidRPr="00814BF6">
        <w:rPr>
          <w:rFonts w:ascii="Book Antiqua" w:hAnsi="Book Antiqua" w:cs="Times New Roman"/>
          <w:sz w:val="24"/>
          <w:szCs w:val="24"/>
        </w:rPr>
        <w:t xml:space="preserve">is always the focus of </w:t>
      </w:r>
      <w:r w:rsidR="00296A53" w:rsidRPr="00814BF6">
        <w:rPr>
          <w:rFonts w:ascii="Book Antiqua" w:hAnsi="Book Antiqua" w:cs="Times New Roman"/>
          <w:sz w:val="24"/>
          <w:szCs w:val="24"/>
        </w:rPr>
        <w:t>multidisciplinary oncology</w:t>
      </w:r>
      <w:r w:rsidR="000F5E51" w:rsidRPr="00814BF6">
        <w:rPr>
          <w:rFonts w:ascii="Book Antiqua" w:hAnsi="Book Antiqua" w:cs="Times New Roman"/>
          <w:sz w:val="24"/>
          <w:szCs w:val="24"/>
        </w:rPr>
        <w:t xml:space="preserve"> team.</w:t>
      </w:r>
      <w:r w:rsidR="00286EF5">
        <w:rPr>
          <w:rFonts w:ascii="Book Antiqua" w:hAnsi="Book Antiqua" w:cs="Times New Roman"/>
          <w:sz w:val="24"/>
          <w:szCs w:val="24"/>
        </w:rPr>
        <w:t xml:space="preserve"> </w:t>
      </w:r>
      <w:r w:rsidR="009E1D0F" w:rsidRPr="00814BF6">
        <w:rPr>
          <w:rFonts w:ascii="Book Antiqua" w:hAnsi="Book Antiqua" w:cs="Times New Roman"/>
          <w:sz w:val="24"/>
          <w:szCs w:val="24"/>
        </w:rPr>
        <w:t>Neadjuvent</w:t>
      </w:r>
      <w:r w:rsidR="000F5E51" w:rsidRPr="00814BF6">
        <w:rPr>
          <w:rFonts w:ascii="Book Antiqua" w:hAnsi="Book Antiqua" w:cs="Times New Roman"/>
          <w:sz w:val="24"/>
          <w:szCs w:val="24"/>
        </w:rPr>
        <w:t xml:space="preserve"> concurrent chemoradiation is</w:t>
      </w:r>
      <w:r w:rsidR="009E1D0F" w:rsidRPr="00814BF6">
        <w:rPr>
          <w:rFonts w:ascii="Book Antiqua" w:hAnsi="Book Antiqua" w:cs="Times New Roman"/>
          <w:sz w:val="24"/>
          <w:szCs w:val="24"/>
        </w:rPr>
        <w:t xml:space="preserve"> becoming a standard of care for locally advanced esophageal cancer.</w:t>
      </w:r>
      <w:r w:rsidR="00286EF5">
        <w:rPr>
          <w:rFonts w:ascii="Book Antiqua" w:hAnsi="Book Antiqua" w:cs="Times New Roman"/>
          <w:sz w:val="24"/>
          <w:szCs w:val="24"/>
        </w:rPr>
        <w:t xml:space="preserve"> </w:t>
      </w:r>
    </w:p>
    <w:p w14:paraId="797B7410" w14:textId="77777777" w:rsidR="00E261C7" w:rsidRPr="00814BF6" w:rsidRDefault="00E261C7" w:rsidP="00814BF6">
      <w:pPr>
        <w:spacing w:after="0" w:line="360" w:lineRule="auto"/>
        <w:jc w:val="both"/>
        <w:rPr>
          <w:rFonts w:ascii="Book Antiqua" w:hAnsi="Book Antiqua" w:cs="Times New Roman"/>
          <w:sz w:val="24"/>
          <w:szCs w:val="24"/>
          <w:lang w:eastAsia="zh-CN"/>
        </w:rPr>
      </w:pPr>
    </w:p>
    <w:p w14:paraId="102094CF" w14:textId="77777777" w:rsidR="00203FD5" w:rsidRPr="00E261C7" w:rsidRDefault="00203FD5" w:rsidP="00814BF6">
      <w:pPr>
        <w:spacing w:after="0" w:line="360" w:lineRule="auto"/>
        <w:jc w:val="both"/>
        <w:rPr>
          <w:rFonts w:ascii="Book Antiqua" w:hAnsi="Book Antiqua" w:cs="Times New Roman"/>
          <w:i/>
          <w:sz w:val="24"/>
          <w:szCs w:val="24"/>
          <w:lang w:eastAsia="zh-CN"/>
        </w:rPr>
      </w:pPr>
      <w:r w:rsidRPr="00E261C7">
        <w:rPr>
          <w:rFonts w:ascii="Book Antiqua" w:hAnsi="Book Antiqua" w:cs="Times New Roman"/>
          <w:b/>
          <w:i/>
          <w:sz w:val="24"/>
          <w:szCs w:val="24"/>
          <w:lang w:eastAsia="zh-CN"/>
        </w:rPr>
        <w:t xml:space="preserve">Research </w:t>
      </w:r>
      <w:r w:rsidR="00E261C7" w:rsidRPr="00E261C7">
        <w:rPr>
          <w:rFonts w:ascii="Book Antiqua" w:hAnsi="Book Antiqua" w:cs="Times New Roman"/>
          <w:b/>
          <w:i/>
          <w:sz w:val="24"/>
          <w:szCs w:val="24"/>
          <w:lang w:eastAsia="zh-CN"/>
        </w:rPr>
        <w:t>f</w:t>
      </w:r>
      <w:r w:rsidRPr="00E261C7">
        <w:rPr>
          <w:rFonts w:ascii="Book Antiqua" w:hAnsi="Book Antiqua" w:cs="Times New Roman"/>
          <w:b/>
          <w:i/>
          <w:sz w:val="24"/>
          <w:szCs w:val="24"/>
          <w:lang w:eastAsia="zh-CN"/>
        </w:rPr>
        <w:t>rontiers</w:t>
      </w:r>
    </w:p>
    <w:p w14:paraId="4CF97A94" w14:textId="77777777" w:rsidR="00F40B4E" w:rsidRDefault="00E261C7" w:rsidP="00814BF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The authors</w:t>
      </w:r>
      <w:r w:rsidR="000F5E51" w:rsidRPr="00814BF6">
        <w:rPr>
          <w:rFonts w:ascii="Book Antiqua" w:hAnsi="Book Antiqua" w:cs="Times New Roman"/>
          <w:sz w:val="24"/>
          <w:szCs w:val="24"/>
        </w:rPr>
        <w:t xml:space="preserve"> reported here </w:t>
      </w:r>
      <w:r w:rsidR="00F753CF" w:rsidRPr="00814BF6">
        <w:rPr>
          <w:rFonts w:ascii="Book Antiqua" w:hAnsi="Book Antiqua" w:cs="Times New Roman"/>
          <w:sz w:val="24"/>
          <w:szCs w:val="24"/>
        </w:rPr>
        <w:t>a</w:t>
      </w:r>
      <w:r w:rsidR="000F5E51" w:rsidRPr="00814BF6">
        <w:rPr>
          <w:rFonts w:ascii="Book Antiqua" w:hAnsi="Book Antiqua" w:cs="Times New Roman"/>
          <w:sz w:val="24"/>
          <w:szCs w:val="24"/>
        </w:rPr>
        <w:t xml:space="preserve"> protocol that improved resection rate through SIB</w:t>
      </w:r>
      <w:r w:rsidR="00296A53" w:rsidRPr="00814BF6">
        <w:rPr>
          <w:rFonts w:ascii="Book Antiqua" w:hAnsi="Book Antiqua" w:cs="Times New Roman"/>
          <w:sz w:val="24"/>
          <w:szCs w:val="24"/>
        </w:rPr>
        <w:t xml:space="preserve"> based</w:t>
      </w:r>
      <w:r w:rsidR="000F5E51" w:rsidRPr="00814BF6">
        <w:rPr>
          <w:rFonts w:ascii="Book Antiqua" w:hAnsi="Book Antiqua" w:cs="Times New Roman"/>
          <w:sz w:val="24"/>
          <w:szCs w:val="24"/>
        </w:rPr>
        <w:t xml:space="preserve"> dose escalation technique without comprising the toxicities.</w:t>
      </w:r>
      <w:r w:rsidR="00286EF5">
        <w:rPr>
          <w:rFonts w:ascii="Book Antiqua" w:hAnsi="Book Antiqua" w:cs="Times New Roman"/>
          <w:sz w:val="24"/>
          <w:szCs w:val="24"/>
        </w:rPr>
        <w:t xml:space="preserve"> </w:t>
      </w:r>
      <w:proofErr w:type="gramStart"/>
      <w:r w:rsidR="000F5E51" w:rsidRPr="00814BF6">
        <w:rPr>
          <w:rFonts w:ascii="Book Antiqua" w:hAnsi="Book Antiqua" w:cs="Times New Roman"/>
          <w:sz w:val="24"/>
          <w:szCs w:val="24"/>
        </w:rPr>
        <w:t>F</w:t>
      </w:r>
      <w:r w:rsidR="00F40B4E">
        <w:rPr>
          <w:rFonts w:ascii="Book Antiqua" w:hAnsi="Book Antiqua" w:cs="Times New Roman"/>
          <w:sz w:val="24"/>
          <w:szCs w:val="24"/>
        </w:rPr>
        <w:t>ew reports using this protocol</w:t>
      </w:r>
      <w:r w:rsidR="00F40B4E">
        <w:rPr>
          <w:rFonts w:ascii="Book Antiqua" w:hAnsi="Book Antiqua" w:cs="Times New Roman" w:hint="eastAsia"/>
          <w:sz w:val="24"/>
          <w:szCs w:val="24"/>
          <w:lang w:eastAsia="zh-CN"/>
        </w:rPr>
        <w:t>.</w:t>
      </w:r>
      <w:proofErr w:type="gramEnd"/>
    </w:p>
    <w:p w14:paraId="19E04E25" w14:textId="77777777" w:rsidR="00F40B4E" w:rsidRDefault="00F40B4E" w:rsidP="00814BF6">
      <w:pPr>
        <w:spacing w:after="0" w:line="360" w:lineRule="auto"/>
        <w:jc w:val="both"/>
        <w:rPr>
          <w:rFonts w:ascii="Book Antiqua" w:hAnsi="Book Antiqua" w:cs="Times New Roman"/>
          <w:sz w:val="24"/>
          <w:szCs w:val="24"/>
          <w:lang w:eastAsia="zh-CN"/>
        </w:rPr>
      </w:pPr>
    </w:p>
    <w:p w14:paraId="4D2294C4" w14:textId="77777777" w:rsidR="00203FD5" w:rsidRPr="00F40B4E" w:rsidRDefault="00F40B4E" w:rsidP="00814BF6">
      <w:pPr>
        <w:spacing w:after="0" w:line="360" w:lineRule="auto"/>
        <w:jc w:val="both"/>
        <w:rPr>
          <w:rFonts w:ascii="Book Antiqua" w:hAnsi="Book Antiqua" w:cs="Times New Roman"/>
          <w:i/>
          <w:sz w:val="24"/>
          <w:szCs w:val="24"/>
          <w:lang w:eastAsia="zh-CN"/>
        </w:rPr>
      </w:pPr>
      <w:r w:rsidRPr="00F40B4E">
        <w:rPr>
          <w:rFonts w:ascii="Book Antiqua" w:hAnsi="Book Antiqua" w:cs="Times New Roman"/>
          <w:b/>
          <w:i/>
          <w:sz w:val="24"/>
          <w:szCs w:val="24"/>
          <w:lang w:eastAsia="zh-CN"/>
        </w:rPr>
        <w:t>Applications</w:t>
      </w:r>
    </w:p>
    <w:p w14:paraId="42B20D4D" w14:textId="77777777" w:rsidR="0073409C" w:rsidRDefault="00EF56B3" w:rsidP="00814BF6">
      <w:pPr>
        <w:spacing w:after="0" w:line="360" w:lineRule="auto"/>
        <w:jc w:val="both"/>
        <w:rPr>
          <w:rFonts w:ascii="Book Antiqua" w:hAnsi="Book Antiqua" w:cs="Times New Roman"/>
          <w:sz w:val="24"/>
          <w:szCs w:val="24"/>
          <w:lang w:eastAsia="zh-CN"/>
        </w:rPr>
      </w:pPr>
      <w:r w:rsidRPr="00814BF6">
        <w:rPr>
          <w:rFonts w:ascii="Book Antiqua" w:hAnsi="Book Antiqua" w:cs="Times New Roman"/>
          <w:sz w:val="24"/>
          <w:szCs w:val="24"/>
        </w:rPr>
        <w:t>Intensity modulated radiation therapy with simultaneous integrated boost (IMRT-SIB)</w:t>
      </w:r>
      <w:r w:rsidR="000F5E51" w:rsidRPr="00814BF6">
        <w:rPr>
          <w:rFonts w:ascii="Book Antiqua" w:hAnsi="Book Antiqua" w:cs="Times New Roman"/>
          <w:sz w:val="24"/>
          <w:szCs w:val="24"/>
        </w:rPr>
        <w:t xml:space="preserve"> has much safe toxicity profile and less equipment </w:t>
      </w:r>
      <w:r w:rsidR="00296A53" w:rsidRPr="00814BF6">
        <w:rPr>
          <w:rFonts w:ascii="Book Antiqua" w:hAnsi="Book Antiqua" w:cs="Times New Roman"/>
          <w:sz w:val="24"/>
          <w:szCs w:val="24"/>
        </w:rPr>
        <w:t>restrain</w:t>
      </w:r>
      <w:r w:rsidR="000F5E51" w:rsidRPr="00814BF6">
        <w:rPr>
          <w:rFonts w:ascii="Book Antiqua" w:hAnsi="Book Antiqua" w:cs="Times New Roman"/>
          <w:sz w:val="24"/>
          <w:szCs w:val="24"/>
        </w:rPr>
        <w:t>.</w:t>
      </w:r>
      <w:r w:rsidR="00286EF5">
        <w:rPr>
          <w:rFonts w:ascii="Book Antiqua" w:hAnsi="Book Antiqua" w:cs="Times New Roman"/>
          <w:sz w:val="24"/>
          <w:szCs w:val="24"/>
        </w:rPr>
        <w:t xml:space="preserve"> </w:t>
      </w:r>
      <w:r w:rsidR="000F5E51" w:rsidRPr="00814BF6">
        <w:rPr>
          <w:rFonts w:ascii="Book Antiqua" w:hAnsi="Book Antiqua" w:cs="Times New Roman"/>
          <w:sz w:val="24"/>
          <w:szCs w:val="24"/>
        </w:rPr>
        <w:t xml:space="preserve">This finding needs further </w:t>
      </w:r>
      <w:r w:rsidR="00296A53" w:rsidRPr="00814BF6">
        <w:rPr>
          <w:rFonts w:ascii="Book Antiqua" w:hAnsi="Book Antiqua" w:cs="Times New Roman"/>
          <w:sz w:val="24"/>
          <w:szCs w:val="24"/>
        </w:rPr>
        <w:t>large phase III clinical studies to confirm.</w:t>
      </w:r>
    </w:p>
    <w:p w14:paraId="43B5249B" w14:textId="77777777" w:rsidR="00F40B4E" w:rsidRPr="00814BF6" w:rsidRDefault="00F40B4E" w:rsidP="00814BF6">
      <w:pPr>
        <w:spacing w:after="0" w:line="360" w:lineRule="auto"/>
        <w:jc w:val="both"/>
        <w:rPr>
          <w:rFonts w:ascii="Book Antiqua" w:hAnsi="Book Antiqua" w:cs="Times New Roman"/>
          <w:sz w:val="24"/>
          <w:szCs w:val="24"/>
          <w:lang w:eastAsia="zh-CN"/>
        </w:rPr>
      </w:pPr>
    </w:p>
    <w:p w14:paraId="174A1BCA" w14:textId="77777777" w:rsidR="00203FD5" w:rsidRPr="00F40B4E" w:rsidRDefault="00F40B4E" w:rsidP="00814BF6">
      <w:pPr>
        <w:spacing w:after="0" w:line="360" w:lineRule="auto"/>
        <w:jc w:val="both"/>
        <w:rPr>
          <w:rFonts w:ascii="Book Antiqua" w:hAnsi="Book Antiqua" w:cs="Times New Roman"/>
          <w:b/>
          <w:i/>
          <w:sz w:val="24"/>
          <w:szCs w:val="24"/>
          <w:lang w:eastAsia="zh-CN"/>
        </w:rPr>
      </w:pPr>
      <w:r w:rsidRPr="00F40B4E">
        <w:rPr>
          <w:rFonts w:ascii="Book Antiqua" w:hAnsi="Book Antiqua" w:cs="Times New Roman"/>
          <w:b/>
          <w:i/>
          <w:sz w:val="24"/>
          <w:szCs w:val="24"/>
          <w:lang w:eastAsia="zh-CN"/>
        </w:rPr>
        <w:t>Terminology</w:t>
      </w:r>
    </w:p>
    <w:p w14:paraId="1118C0D2" w14:textId="77777777" w:rsidR="00203FD5" w:rsidRPr="00814BF6" w:rsidRDefault="00E50977" w:rsidP="00814BF6">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t>IMRT-</w:t>
      </w:r>
      <w:r w:rsidR="00203FD5" w:rsidRPr="00814BF6">
        <w:rPr>
          <w:rFonts w:ascii="Book Antiqua" w:hAnsi="Book Antiqua" w:cs="Times New Roman"/>
          <w:sz w:val="24"/>
          <w:szCs w:val="24"/>
          <w:lang w:eastAsia="zh-CN"/>
        </w:rPr>
        <w:t xml:space="preserve">SIB is a </w:t>
      </w:r>
      <w:r w:rsidR="00203FD5" w:rsidRPr="00F40B4E">
        <w:rPr>
          <w:rFonts w:ascii="Book Antiqua" w:hAnsi="Book Antiqua" w:cs="Times New Roman"/>
          <w:sz w:val="24"/>
          <w:szCs w:val="24"/>
          <w:lang w:eastAsia="zh-CN"/>
        </w:rPr>
        <w:t>novo</w:t>
      </w:r>
      <w:r w:rsidR="00203FD5" w:rsidRPr="00814BF6">
        <w:rPr>
          <w:rFonts w:ascii="Book Antiqua" w:hAnsi="Book Antiqua" w:cs="Times New Roman"/>
          <w:sz w:val="24"/>
          <w:szCs w:val="24"/>
          <w:lang w:eastAsia="zh-CN"/>
        </w:rPr>
        <w:t xml:space="preserve"> radiation technique to deliver much higher dose to the biological gross tumor volume defined by </w:t>
      </w:r>
      <w:r w:rsidR="00EF56B3" w:rsidRPr="002064EA">
        <w:rPr>
          <w:rFonts w:ascii="Book Antiqua" w:hAnsi="Book Antiqua" w:cs="Times New Roman"/>
          <w:sz w:val="24"/>
          <w:szCs w:val="24"/>
        </w:rPr>
        <w:t>positron emission tomographic</w:t>
      </w:r>
      <w:r w:rsidR="00203FD5" w:rsidRPr="00814BF6">
        <w:rPr>
          <w:rFonts w:ascii="Book Antiqua" w:hAnsi="Book Antiqua" w:cs="Times New Roman"/>
          <w:sz w:val="24"/>
          <w:szCs w:val="24"/>
          <w:lang w:eastAsia="zh-CN"/>
        </w:rPr>
        <w:t xml:space="preserve"> positive area without increase radiation dose to all other area surrounding to it. </w:t>
      </w:r>
    </w:p>
    <w:p w14:paraId="7DA9E0BF" w14:textId="77777777" w:rsidR="00C92EAE" w:rsidRPr="008D5D93" w:rsidRDefault="00296A53" w:rsidP="008D5D93">
      <w:pPr>
        <w:spacing w:after="0" w:line="360" w:lineRule="auto"/>
        <w:jc w:val="both"/>
        <w:rPr>
          <w:rFonts w:ascii="Book Antiqua" w:hAnsi="Book Antiqua" w:cs="Times New Roman"/>
          <w:sz w:val="24"/>
          <w:szCs w:val="24"/>
        </w:rPr>
      </w:pPr>
      <w:r w:rsidRPr="008D5D93">
        <w:rPr>
          <w:rFonts w:ascii="Book Antiqua" w:hAnsi="Book Antiqua" w:cs="Times New Roman"/>
          <w:sz w:val="24"/>
          <w:szCs w:val="24"/>
        </w:rPr>
        <w:t xml:space="preserve"> </w:t>
      </w:r>
    </w:p>
    <w:p w14:paraId="792002E2" w14:textId="77777777" w:rsidR="0073409C" w:rsidRPr="008D5D93" w:rsidRDefault="002778D9" w:rsidP="008D5D93">
      <w:pPr>
        <w:spacing w:after="0" w:line="360" w:lineRule="auto"/>
        <w:jc w:val="both"/>
        <w:rPr>
          <w:rFonts w:ascii="Book Antiqua" w:hAnsi="Book Antiqua" w:cs="Times New Roman"/>
          <w:b/>
          <w:i/>
          <w:sz w:val="24"/>
          <w:szCs w:val="24"/>
          <w:lang w:eastAsia="zh-CN"/>
        </w:rPr>
      </w:pPr>
      <w:r w:rsidRPr="008D5D93">
        <w:rPr>
          <w:rFonts w:ascii="Book Antiqua" w:hAnsi="Book Antiqua" w:cs="Times New Roman"/>
          <w:b/>
          <w:i/>
          <w:sz w:val="24"/>
          <w:szCs w:val="24"/>
          <w:lang w:eastAsia="zh-CN"/>
        </w:rPr>
        <w:t>Peer-review</w:t>
      </w:r>
    </w:p>
    <w:p w14:paraId="5C1B8FE9" w14:textId="77777777" w:rsidR="00797822" w:rsidRPr="008D5D93" w:rsidRDefault="00BB1593" w:rsidP="008D5D93">
      <w:pPr>
        <w:spacing w:after="0" w:line="360" w:lineRule="auto"/>
        <w:jc w:val="both"/>
        <w:rPr>
          <w:rFonts w:ascii="Book Antiqua" w:hAnsi="Book Antiqua" w:cs="Times New Roman"/>
          <w:sz w:val="24"/>
          <w:szCs w:val="24"/>
          <w:lang w:eastAsia="zh-CN"/>
        </w:rPr>
      </w:pPr>
      <w:r w:rsidRPr="008D5D93">
        <w:rPr>
          <w:rFonts w:ascii="Book Antiqua" w:hAnsi="Book Antiqua"/>
          <w:sz w:val="24"/>
          <w:szCs w:val="24"/>
        </w:rPr>
        <w:t>The authors present a retrospective analysis of an intensified regimen in neoadjuvant chemoirradiation of advanced distal adenocarcinoma of the esophagus. This work is of interest for the oncology community</w:t>
      </w:r>
      <w:r w:rsidRPr="008D5D93">
        <w:rPr>
          <w:rFonts w:ascii="Book Antiqua" w:hAnsi="Book Antiqua"/>
          <w:sz w:val="24"/>
          <w:szCs w:val="24"/>
          <w:lang w:eastAsia="zh-CN"/>
        </w:rPr>
        <w:t>.</w:t>
      </w:r>
    </w:p>
    <w:p w14:paraId="286CC892" w14:textId="77777777" w:rsidR="00EF56B3" w:rsidRPr="008D5D93" w:rsidRDefault="00EF56B3" w:rsidP="008D5D93">
      <w:pPr>
        <w:spacing w:after="0" w:line="360" w:lineRule="auto"/>
        <w:jc w:val="both"/>
        <w:rPr>
          <w:rFonts w:ascii="Book Antiqua" w:hAnsi="Book Antiqua" w:cs="Times New Roman"/>
          <w:sz w:val="24"/>
          <w:szCs w:val="24"/>
          <w:lang w:eastAsia="zh-CN"/>
        </w:rPr>
      </w:pPr>
    </w:p>
    <w:p w14:paraId="7057443B" w14:textId="77777777" w:rsidR="008D5D93" w:rsidRPr="008D5D93" w:rsidRDefault="008D5D93" w:rsidP="008D5D93">
      <w:pPr>
        <w:spacing w:after="0" w:line="360" w:lineRule="auto"/>
        <w:jc w:val="both"/>
        <w:rPr>
          <w:rFonts w:ascii="Book Antiqua" w:hAnsi="Book Antiqua" w:cs="Times New Roman"/>
          <w:b/>
          <w:sz w:val="24"/>
          <w:szCs w:val="24"/>
        </w:rPr>
      </w:pPr>
      <w:r w:rsidRPr="008D5D93">
        <w:rPr>
          <w:rFonts w:ascii="Book Antiqua" w:hAnsi="Book Antiqua" w:cs="Times New Roman"/>
          <w:b/>
          <w:sz w:val="24"/>
          <w:szCs w:val="24"/>
        </w:rPr>
        <w:br w:type="page"/>
      </w:r>
    </w:p>
    <w:p w14:paraId="5EE1784E" w14:textId="77777777" w:rsidR="009779A9" w:rsidRPr="008D5D93" w:rsidRDefault="009779A9" w:rsidP="008D5D93">
      <w:pPr>
        <w:spacing w:after="0" w:line="360" w:lineRule="auto"/>
        <w:jc w:val="both"/>
        <w:rPr>
          <w:rFonts w:ascii="Book Antiqua" w:hAnsi="Book Antiqua" w:cs="Times New Roman"/>
          <w:b/>
          <w:sz w:val="24"/>
          <w:szCs w:val="24"/>
        </w:rPr>
      </w:pPr>
      <w:r w:rsidRPr="008D5D93">
        <w:rPr>
          <w:rFonts w:ascii="Book Antiqua" w:hAnsi="Book Antiqua" w:cs="Times New Roman"/>
          <w:b/>
          <w:sz w:val="24"/>
          <w:szCs w:val="24"/>
        </w:rPr>
        <w:t>REFERENCES</w:t>
      </w:r>
    </w:p>
    <w:p w14:paraId="0AD11F55"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 </w:t>
      </w:r>
      <w:r w:rsidRPr="008D5D93">
        <w:rPr>
          <w:rFonts w:ascii="Book Antiqua" w:eastAsia="宋体" w:hAnsi="Book Antiqua" w:cs="宋体"/>
          <w:b/>
          <w:bCs/>
          <w:sz w:val="24"/>
          <w:szCs w:val="24"/>
          <w:lang w:eastAsia="zh-CN"/>
        </w:rPr>
        <w:t>Siegel RL</w:t>
      </w:r>
      <w:r w:rsidRPr="008D5D93">
        <w:rPr>
          <w:rFonts w:ascii="Book Antiqua" w:eastAsia="宋体" w:hAnsi="Book Antiqua" w:cs="宋体"/>
          <w:sz w:val="24"/>
          <w:szCs w:val="24"/>
          <w:lang w:eastAsia="zh-CN"/>
        </w:rPr>
        <w:t xml:space="preserve">, Miller KD, Jemal A. Cancer statistics, 2015. </w:t>
      </w:r>
      <w:r w:rsidRPr="008D5D93">
        <w:rPr>
          <w:rFonts w:ascii="Book Antiqua" w:eastAsia="宋体" w:hAnsi="Book Antiqua" w:cs="宋体"/>
          <w:i/>
          <w:iCs/>
          <w:sz w:val="24"/>
          <w:szCs w:val="24"/>
          <w:lang w:eastAsia="zh-CN"/>
        </w:rPr>
        <w:t>CA Cancer J Clin</w:t>
      </w:r>
      <w:r w:rsidRPr="008D5D93">
        <w:rPr>
          <w:rFonts w:ascii="Book Antiqua" w:eastAsia="宋体" w:hAnsi="Book Antiqua" w:cs="宋体"/>
          <w:sz w:val="24"/>
          <w:szCs w:val="24"/>
          <w:lang w:eastAsia="zh-CN"/>
        </w:rPr>
        <w:t xml:space="preserve"> </w:t>
      </w:r>
      <w:r w:rsidR="00BE19CC">
        <w:rPr>
          <w:rFonts w:ascii="Book Antiqua" w:eastAsia="宋体" w:hAnsi="Book Antiqua" w:cs="宋体" w:hint="eastAsia"/>
          <w:sz w:val="24"/>
          <w:szCs w:val="24"/>
          <w:lang w:eastAsia="zh-CN"/>
        </w:rPr>
        <w:t>2015</w:t>
      </w:r>
      <w:r w:rsidRPr="008D5D93">
        <w:rPr>
          <w:rFonts w:ascii="Book Antiqua" w:eastAsia="宋体" w:hAnsi="Book Antiqua" w:cs="宋体"/>
          <w:sz w:val="24"/>
          <w:szCs w:val="24"/>
          <w:lang w:eastAsia="zh-CN"/>
        </w:rPr>
        <w:t xml:space="preserve">; </w:t>
      </w:r>
      <w:r w:rsidRPr="008D5D93">
        <w:rPr>
          <w:rFonts w:ascii="Book Antiqua" w:eastAsia="宋体" w:hAnsi="Book Antiqua" w:cs="宋体"/>
          <w:b/>
          <w:bCs/>
          <w:sz w:val="24"/>
          <w:szCs w:val="24"/>
          <w:lang w:eastAsia="zh-CN"/>
        </w:rPr>
        <w:t>65</w:t>
      </w:r>
      <w:r w:rsidRPr="008D5D93">
        <w:rPr>
          <w:rFonts w:ascii="Book Antiqua" w:eastAsia="宋体" w:hAnsi="Book Antiqua" w:cs="宋体"/>
          <w:sz w:val="24"/>
          <w:szCs w:val="24"/>
          <w:lang w:eastAsia="zh-CN"/>
        </w:rPr>
        <w:t>: 5-29 [PMID: 255</w:t>
      </w:r>
      <w:r w:rsidR="00BE19CC">
        <w:rPr>
          <w:rFonts w:ascii="Book Antiqua" w:eastAsia="宋体" w:hAnsi="Book Antiqua" w:cs="宋体"/>
          <w:sz w:val="24"/>
          <w:szCs w:val="24"/>
          <w:lang w:eastAsia="zh-CN"/>
        </w:rPr>
        <w:t>59415 DOI: 10.3322/caac.21254]</w:t>
      </w:r>
    </w:p>
    <w:p w14:paraId="13ABAEF0"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2 </w:t>
      </w:r>
      <w:r w:rsidRPr="008D5D93">
        <w:rPr>
          <w:rFonts w:ascii="Book Antiqua" w:eastAsia="宋体" w:hAnsi="Book Antiqua" w:cs="宋体"/>
          <w:b/>
          <w:bCs/>
          <w:sz w:val="24"/>
          <w:szCs w:val="24"/>
          <w:lang w:eastAsia="zh-CN"/>
        </w:rPr>
        <w:t>Altorki N</w:t>
      </w:r>
      <w:r w:rsidRPr="008D5D93">
        <w:rPr>
          <w:rFonts w:ascii="Book Antiqua" w:eastAsia="宋体" w:hAnsi="Book Antiqua" w:cs="宋体"/>
          <w:sz w:val="24"/>
          <w:szCs w:val="24"/>
          <w:lang w:eastAsia="zh-CN"/>
        </w:rPr>
        <w:t xml:space="preserve">, Kent M, Ferrara C, Port J. Three-field lymph node dissection for squamous cell and adenocarcinoma of the esophagus. </w:t>
      </w:r>
      <w:r w:rsidRPr="008D5D93">
        <w:rPr>
          <w:rFonts w:ascii="Book Antiqua" w:eastAsia="宋体" w:hAnsi="Book Antiqua" w:cs="宋体"/>
          <w:i/>
          <w:iCs/>
          <w:sz w:val="24"/>
          <w:szCs w:val="24"/>
          <w:lang w:eastAsia="zh-CN"/>
        </w:rPr>
        <w:t>Ann Surg</w:t>
      </w:r>
      <w:r w:rsidRPr="008D5D93">
        <w:rPr>
          <w:rFonts w:ascii="Book Antiqua" w:eastAsia="宋体" w:hAnsi="Book Antiqua" w:cs="宋体"/>
          <w:sz w:val="24"/>
          <w:szCs w:val="24"/>
          <w:lang w:eastAsia="zh-CN"/>
        </w:rPr>
        <w:t xml:space="preserve"> 2002; </w:t>
      </w:r>
      <w:r w:rsidRPr="008D5D93">
        <w:rPr>
          <w:rFonts w:ascii="Book Antiqua" w:eastAsia="宋体" w:hAnsi="Book Antiqua" w:cs="宋体"/>
          <w:b/>
          <w:bCs/>
          <w:sz w:val="24"/>
          <w:szCs w:val="24"/>
          <w:lang w:eastAsia="zh-CN"/>
        </w:rPr>
        <w:t>236</w:t>
      </w:r>
      <w:r w:rsidRPr="008D5D93">
        <w:rPr>
          <w:rFonts w:ascii="Book Antiqua" w:eastAsia="宋体" w:hAnsi="Book Antiqua" w:cs="宋体"/>
          <w:sz w:val="24"/>
          <w:szCs w:val="24"/>
          <w:lang w:eastAsia="zh-CN"/>
        </w:rPr>
        <w:t>: 177-183 [PMID: 12170022]</w:t>
      </w:r>
    </w:p>
    <w:p w14:paraId="3C62E35C"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3 </w:t>
      </w:r>
      <w:r w:rsidRPr="008D5D93">
        <w:rPr>
          <w:rFonts w:ascii="Book Antiqua" w:eastAsia="宋体" w:hAnsi="Book Antiqua" w:cs="宋体"/>
          <w:b/>
          <w:bCs/>
          <w:sz w:val="24"/>
          <w:szCs w:val="24"/>
          <w:lang w:eastAsia="zh-CN"/>
        </w:rPr>
        <w:t>Hulscher JB</w:t>
      </w:r>
      <w:r w:rsidRPr="008D5D93">
        <w:rPr>
          <w:rFonts w:ascii="Book Antiqua" w:eastAsia="宋体" w:hAnsi="Book Antiqua" w:cs="宋体"/>
          <w:sz w:val="24"/>
          <w:szCs w:val="24"/>
          <w:lang w:eastAsia="zh-CN"/>
        </w:rPr>
        <w:t xml:space="preserve">, van Sandick JW, de Boer AG, Wijnhoven BP, Tijssen JG, Fockens P, Stalmeier PF, ten Kate FJ, van Dekken H, Obertop H, Tilanus HW, van Lanschot JJ. Extended transthoracic resection compared with limited transhiatal resection for adenocarcinoma of the esophagus. </w:t>
      </w:r>
      <w:r w:rsidRPr="008D5D93">
        <w:rPr>
          <w:rFonts w:ascii="Book Antiqua" w:eastAsia="宋体" w:hAnsi="Book Antiqua" w:cs="宋体"/>
          <w:i/>
          <w:iCs/>
          <w:sz w:val="24"/>
          <w:szCs w:val="24"/>
          <w:lang w:eastAsia="zh-CN"/>
        </w:rPr>
        <w:t>N Engl J Med</w:t>
      </w:r>
      <w:r w:rsidRPr="008D5D93">
        <w:rPr>
          <w:rFonts w:ascii="Book Antiqua" w:eastAsia="宋体" w:hAnsi="Book Antiqua" w:cs="宋体"/>
          <w:sz w:val="24"/>
          <w:szCs w:val="24"/>
          <w:lang w:eastAsia="zh-CN"/>
        </w:rPr>
        <w:t xml:space="preserve"> 2002; </w:t>
      </w:r>
      <w:r w:rsidRPr="008D5D93">
        <w:rPr>
          <w:rFonts w:ascii="Book Antiqua" w:eastAsia="宋体" w:hAnsi="Book Antiqua" w:cs="宋体"/>
          <w:b/>
          <w:bCs/>
          <w:sz w:val="24"/>
          <w:szCs w:val="24"/>
          <w:lang w:eastAsia="zh-CN"/>
        </w:rPr>
        <w:t>347</w:t>
      </w:r>
      <w:r w:rsidRPr="008D5D93">
        <w:rPr>
          <w:rFonts w:ascii="Book Antiqua" w:eastAsia="宋体" w:hAnsi="Book Antiqua" w:cs="宋体"/>
          <w:sz w:val="24"/>
          <w:szCs w:val="24"/>
          <w:lang w:eastAsia="zh-CN"/>
        </w:rPr>
        <w:t>: 1662-1669 [PMID: 12444</w:t>
      </w:r>
      <w:r w:rsidR="00BE19CC">
        <w:rPr>
          <w:rFonts w:ascii="Book Antiqua" w:eastAsia="宋体" w:hAnsi="Book Antiqua" w:cs="宋体"/>
          <w:sz w:val="24"/>
          <w:szCs w:val="24"/>
          <w:lang w:eastAsia="zh-CN"/>
        </w:rPr>
        <w:t>180 DOI: 10.1056/NEJMoa022343]</w:t>
      </w:r>
    </w:p>
    <w:p w14:paraId="38B926C6"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4 </w:t>
      </w:r>
      <w:r w:rsidRPr="008D5D93">
        <w:rPr>
          <w:rFonts w:ascii="Book Antiqua" w:eastAsia="宋体" w:hAnsi="Book Antiqua" w:cs="宋体"/>
          <w:b/>
          <w:bCs/>
          <w:sz w:val="24"/>
          <w:szCs w:val="24"/>
          <w:lang w:eastAsia="zh-CN"/>
        </w:rPr>
        <w:t>Sun XD</w:t>
      </w:r>
      <w:r w:rsidRPr="008D5D93">
        <w:rPr>
          <w:rFonts w:ascii="Book Antiqua" w:eastAsia="宋体" w:hAnsi="Book Antiqua" w:cs="宋体"/>
          <w:sz w:val="24"/>
          <w:szCs w:val="24"/>
          <w:lang w:eastAsia="zh-CN"/>
        </w:rPr>
        <w:t xml:space="preserve">, Yu JM, Fan XL, Ren RM, Li MH, Zhang GL. [Randomized clinical study of surgery versus radiotherapy alone in the treatment of resectable esophageal cancer in the chest]. </w:t>
      </w:r>
      <w:r w:rsidRPr="008D5D93">
        <w:rPr>
          <w:rFonts w:ascii="Book Antiqua" w:eastAsia="宋体" w:hAnsi="Book Antiqua" w:cs="宋体"/>
          <w:i/>
          <w:iCs/>
          <w:sz w:val="24"/>
          <w:szCs w:val="24"/>
          <w:lang w:eastAsia="zh-CN"/>
        </w:rPr>
        <w:t>Zhonghua Zhong Liu Za Zhi</w:t>
      </w:r>
      <w:r w:rsidRPr="008D5D93">
        <w:rPr>
          <w:rFonts w:ascii="Book Antiqua" w:eastAsia="宋体" w:hAnsi="Book Antiqua" w:cs="宋体"/>
          <w:sz w:val="24"/>
          <w:szCs w:val="24"/>
          <w:lang w:eastAsia="zh-CN"/>
        </w:rPr>
        <w:t xml:space="preserve"> 2006; </w:t>
      </w:r>
      <w:r w:rsidRPr="008D5D93">
        <w:rPr>
          <w:rFonts w:ascii="Book Antiqua" w:eastAsia="宋体" w:hAnsi="Book Antiqua" w:cs="宋体"/>
          <w:b/>
          <w:bCs/>
          <w:sz w:val="24"/>
          <w:szCs w:val="24"/>
          <w:lang w:eastAsia="zh-CN"/>
        </w:rPr>
        <w:t>28</w:t>
      </w:r>
      <w:r w:rsidRPr="008D5D93">
        <w:rPr>
          <w:rFonts w:ascii="Book Antiqua" w:eastAsia="宋体" w:hAnsi="Book Antiqua" w:cs="宋体"/>
          <w:sz w:val="24"/>
          <w:szCs w:val="24"/>
          <w:lang w:eastAsia="zh-CN"/>
        </w:rPr>
        <w:t>: 784-787 [PMID: 17366797]</w:t>
      </w:r>
    </w:p>
    <w:p w14:paraId="3211586A"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5 </w:t>
      </w:r>
      <w:r w:rsidRPr="008D5D93">
        <w:rPr>
          <w:rFonts w:ascii="Book Antiqua" w:eastAsia="宋体" w:hAnsi="Book Antiqua" w:cs="宋体"/>
          <w:b/>
          <w:bCs/>
          <w:sz w:val="24"/>
          <w:szCs w:val="24"/>
          <w:lang w:eastAsia="zh-CN"/>
        </w:rPr>
        <w:t>Tepper J</w:t>
      </w:r>
      <w:r w:rsidRPr="008D5D93">
        <w:rPr>
          <w:rFonts w:ascii="Book Antiqua" w:eastAsia="宋体" w:hAnsi="Book Antiqua" w:cs="宋体"/>
          <w:sz w:val="24"/>
          <w:szCs w:val="24"/>
          <w:lang w:eastAsia="zh-CN"/>
        </w:rPr>
        <w:t xml:space="preserve">, Krasna MJ, Niedzwiecki D, Hollis D, Reed CE, Goldberg R, Kiel K, Willett C, Sugarbaker D, Mayer R. Phase III trial of trimodality therapy with cisplatin, fluorouracil, radiotherapy, and surgery compared with surgery alone for esophageal cancer: CALGB 9781. </w:t>
      </w:r>
      <w:r w:rsidRPr="008D5D93">
        <w:rPr>
          <w:rFonts w:ascii="Book Antiqua" w:eastAsia="宋体" w:hAnsi="Book Antiqua" w:cs="宋体"/>
          <w:i/>
          <w:iCs/>
          <w:sz w:val="24"/>
          <w:szCs w:val="24"/>
          <w:lang w:eastAsia="zh-CN"/>
        </w:rPr>
        <w:t>J Clin Oncol</w:t>
      </w:r>
      <w:r w:rsidRPr="008D5D93">
        <w:rPr>
          <w:rFonts w:ascii="Book Antiqua" w:eastAsia="宋体" w:hAnsi="Book Antiqua" w:cs="宋体"/>
          <w:sz w:val="24"/>
          <w:szCs w:val="24"/>
          <w:lang w:eastAsia="zh-CN"/>
        </w:rPr>
        <w:t xml:space="preserve"> 2008; </w:t>
      </w:r>
      <w:r w:rsidRPr="008D5D93">
        <w:rPr>
          <w:rFonts w:ascii="Book Antiqua" w:eastAsia="宋体" w:hAnsi="Book Antiqua" w:cs="宋体"/>
          <w:b/>
          <w:bCs/>
          <w:sz w:val="24"/>
          <w:szCs w:val="24"/>
          <w:lang w:eastAsia="zh-CN"/>
        </w:rPr>
        <w:t>26</w:t>
      </w:r>
      <w:r w:rsidRPr="008D5D93">
        <w:rPr>
          <w:rFonts w:ascii="Book Antiqua" w:eastAsia="宋体" w:hAnsi="Book Antiqua" w:cs="宋体"/>
          <w:sz w:val="24"/>
          <w:szCs w:val="24"/>
          <w:lang w:eastAsia="zh-CN"/>
        </w:rPr>
        <w:t xml:space="preserve">: 1086-1092 [PMID: 18309943 </w:t>
      </w:r>
      <w:r w:rsidR="00BE19CC">
        <w:rPr>
          <w:rFonts w:ascii="Book Antiqua" w:eastAsia="宋体" w:hAnsi="Book Antiqua" w:cs="宋体"/>
          <w:sz w:val="24"/>
          <w:szCs w:val="24"/>
          <w:lang w:eastAsia="zh-CN"/>
        </w:rPr>
        <w:t>DOI: 10.1200/JCO.2007.12.9593]</w:t>
      </w:r>
    </w:p>
    <w:p w14:paraId="5E79B638"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6 </w:t>
      </w:r>
      <w:r w:rsidRPr="008D5D93">
        <w:rPr>
          <w:rFonts w:ascii="Book Antiqua" w:eastAsia="宋体" w:hAnsi="Book Antiqua" w:cs="宋体"/>
          <w:b/>
          <w:bCs/>
          <w:sz w:val="24"/>
          <w:szCs w:val="24"/>
          <w:lang w:eastAsia="zh-CN"/>
        </w:rPr>
        <w:t>Sjoquist KM</w:t>
      </w:r>
      <w:r w:rsidRPr="008D5D93">
        <w:rPr>
          <w:rFonts w:ascii="Book Antiqua" w:eastAsia="宋体" w:hAnsi="Book Antiqua" w:cs="宋体"/>
          <w:sz w:val="24"/>
          <w:szCs w:val="24"/>
          <w:lang w:eastAsia="zh-CN"/>
        </w:rPr>
        <w:t xml:space="preserve">, Burmeister BH, Smithers BM, Zalcberg JR, Simes RJ, Barbour A, Gebski V. Survival after neoadjuvant chemotherapy or chemoradiotherapy for resectable oesophageal carcinoma: an updated meta-analysis. </w:t>
      </w:r>
      <w:r w:rsidRPr="008D5D93">
        <w:rPr>
          <w:rFonts w:ascii="Book Antiqua" w:eastAsia="宋体" w:hAnsi="Book Antiqua" w:cs="宋体"/>
          <w:i/>
          <w:iCs/>
          <w:sz w:val="24"/>
          <w:szCs w:val="24"/>
          <w:lang w:eastAsia="zh-CN"/>
        </w:rPr>
        <w:t>Lancet Oncol</w:t>
      </w:r>
      <w:r w:rsidRPr="008D5D93">
        <w:rPr>
          <w:rFonts w:ascii="Book Antiqua" w:eastAsia="宋体" w:hAnsi="Book Antiqua" w:cs="宋体"/>
          <w:sz w:val="24"/>
          <w:szCs w:val="24"/>
          <w:lang w:eastAsia="zh-CN"/>
        </w:rPr>
        <w:t xml:space="preserve"> 2011; </w:t>
      </w:r>
      <w:r w:rsidRPr="008D5D93">
        <w:rPr>
          <w:rFonts w:ascii="Book Antiqua" w:eastAsia="宋体" w:hAnsi="Book Antiqua" w:cs="宋体"/>
          <w:b/>
          <w:bCs/>
          <w:sz w:val="24"/>
          <w:szCs w:val="24"/>
          <w:lang w:eastAsia="zh-CN"/>
        </w:rPr>
        <w:t>12</w:t>
      </w:r>
      <w:r w:rsidRPr="008D5D93">
        <w:rPr>
          <w:rFonts w:ascii="Book Antiqua" w:eastAsia="宋体" w:hAnsi="Book Antiqua" w:cs="宋体"/>
          <w:sz w:val="24"/>
          <w:szCs w:val="24"/>
          <w:lang w:eastAsia="zh-CN"/>
        </w:rPr>
        <w:t xml:space="preserve">: 681-692 [PMID: 21684205 DOI: </w:t>
      </w:r>
      <w:r w:rsidR="00BE19CC">
        <w:rPr>
          <w:rFonts w:ascii="Book Antiqua" w:eastAsia="宋体" w:hAnsi="Book Antiqua" w:cs="宋体"/>
          <w:sz w:val="24"/>
          <w:szCs w:val="24"/>
          <w:lang w:eastAsia="zh-CN"/>
        </w:rPr>
        <w:t>10.1016/S1470-2045(11)70142-5]</w:t>
      </w:r>
    </w:p>
    <w:p w14:paraId="7E5068C4"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7 </w:t>
      </w:r>
      <w:r w:rsidRPr="008D5D93">
        <w:rPr>
          <w:rFonts w:ascii="Book Antiqua" w:eastAsia="宋体" w:hAnsi="Book Antiqua" w:cs="宋体"/>
          <w:b/>
          <w:bCs/>
          <w:sz w:val="24"/>
          <w:szCs w:val="24"/>
          <w:lang w:eastAsia="zh-CN"/>
        </w:rPr>
        <w:t>van Hagen P</w:t>
      </w:r>
      <w:r w:rsidRPr="008D5D93">
        <w:rPr>
          <w:rFonts w:ascii="Book Antiqua" w:eastAsia="宋体" w:hAnsi="Book Antiqua" w:cs="宋体"/>
          <w:sz w:val="24"/>
          <w:szCs w:val="24"/>
          <w:lang w:eastAsia="zh-CN"/>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Preoperative chemoradiotherapy for esophageal or junctional cancer. </w:t>
      </w:r>
      <w:r w:rsidRPr="008D5D93">
        <w:rPr>
          <w:rFonts w:ascii="Book Antiqua" w:eastAsia="宋体" w:hAnsi="Book Antiqua" w:cs="宋体"/>
          <w:i/>
          <w:iCs/>
          <w:sz w:val="24"/>
          <w:szCs w:val="24"/>
          <w:lang w:eastAsia="zh-CN"/>
        </w:rPr>
        <w:t>N Engl J Med</w:t>
      </w:r>
      <w:r w:rsidRPr="008D5D93">
        <w:rPr>
          <w:rFonts w:ascii="Book Antiqua" w:eastAsia="宋体" w:hAnsi="Book Antiqua" w:cs="宋体"/>
          <w:sz w:val="24"/>
          <w:szCs w:val="24"/>
          <w:lang w:eastAsia="zh-CN"/>
        </w:rPr>
        <w:t xml:space="preserve"> 2012; </w:t>
      </w:r>
      <w:r w:rsidRPr="008D5D93">
        <w:rPr>
          <w:rFonts w:ascii="Book Antiqua" w:eastAsia="宋体" w:hAnsi="Book Antiqua" w:cs="宋体"/>
          <w:b/>
          <w:bCs/>
          <w:sz w:val="24"/>
          <w:szCs w:val="24"/>
          <w:lang w:eastAsia="zh-CN"/>
        </w:rPr>
        <w:t>366</w:t>
      </w:r>
      <w:r w:rsidRPr="008D5D93">
        <w:rPr>
          <w:rFonts w:ascii="Book Antiqua" w:eastAsia="宋体" w:hAnsi="Book Antiqua" w:cs="宋体"/>
          <w:sz w:val="24"/>
          <w:szCs w:val="24"/>
          <w:lang w:eastAsia="zh-CN"/>
        </w:rPr>
        <w:t>: 2074-2084 [PMID: 226466</w:t>
      </w:r>
      <w:r w:rsidR="00BE19CC">
        <w:rPr>
          <w:rFonts w:ascii="Book Antiqua" w:eastAsia="宋体" w:hAnsi="Book Antiqua" w:cs="宋体"/>
          <w:sz w:val="24"/>
          <w:szCs w:val="24"/>
          <w:lang w:eastAsia="zh-CN"/>
        </w:rPr>
        <w:t>30 DOI: 10.1056/NEJMoa1112088]</w:t>
      </w:r>
    </w:p>
    <w:p w14:paraId="6DD03304"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8 </w:t>
      </w:r>
      <w:r w:rsidRPr="008D5D93">
        <w:rPr>
          <w:rFonts w:ascii="Book Antiqua" w:eastAsia="宋体" w:hAnsi="Book Antiqua" w:cs="宋体"/>
          <w:b/>
          <w:bCs/>
          <w:sz w:val="24"/>
          <w:szCs w:val="24"/>
          <w:lang w:eastAsia="zh-CN"/>
        </w:rPr>
        <w:t>Meguid RA</w:t>
      </w:r>
      <w:r w:rsidRPr="008D5D93">
        <w:rPr>
          <w:rFonts w:ascii="Book Antiqua" w:eastAsia="宋体" w:hAnsi="Book Antiqua" w:cs="宋体"/>
          <w:sz w:val="24"/>
          <w:szCs w:val="24"/>
          <w:lang w:eastAsia="zh-CN"/>
        </w:rPr>
        <w:t xml:space="preserve">, Hooker CM, Taylor JT, Kleinberg LR, Cattaneo SM, Sussman MS, Yang SC, Heitmiller RF, Forastiere AA, Brock MV. Recurrence after neoadjuvant chemoradiation and surgery for esophageal cancer: does the pattern of recurrence differ for patients with complete response and those with partial or no response? </w:t>
      </w:r>
      <w:r w:rsidRPr="008D5D93">
        <w:rPr>
          <w:rFonts w:ascii="Book Antiqua" w:eastAsia="宋体" w:hAnsi="Book Antiqua" w:cs="宋体"/>
          <w:i/>
          <w:iCs/>
          <w:sz w:val="24"/>
          <w:szCs w:val="24"/>
          <w:lang w:eastAsia="zh-CN"/>
        </w:rPr>
        <w:t>J Thorac Cardiovasc Surg</w:t>
      </w:r>
      <w:r w:rsidRPr="008D5D93">
        <w:rPr>
          <w:rFonts w:ascii="Book Antiqua" w:eastAsia="宋体" w:hAnsi="Book Antiqua" w:cs="宋体"/>
          <w:sz w:val="24"/>
          <w:szCs w:val="24"/>
          <w:lang w:eastAsia="zh-CN"/>
        </w:rPr>
        <w:t xml:space="preserve"> 2009; </w:t>
      </w:r>
      <w:r w:rsidRPr="008D5D93">
        <w:rPr>
          <w:rFonts w:ascii="Book Antiqua" w:eastAsia="宋体" w:hAnsi="Book Antiqua" w:cs="宋体"/>
          <w:b/>
          <w:bCs/>
          <w:sz w:val="24"/>
          <w:szCs w:val="24"/>
          <w:lang w:eastAsia="zh-CN"/>
        </w:rPr>
        <w:t>138</w:t>
      </w:r>
      <w:r w:rsidRPr="008D5D93">
        <w:rPr>
          <w:rFonts w:ascii="Book Antiqua" w:eastAsia="宋体" w:hAnsi="Book Antiqua" w:cs="宋体"/>
          <w:sz w:val="24"/>
          <w:szCs w:val="24"/>
          <w:lang w:eastAsia="zh-CN"/>
        </w:rPr>
        <w:t>: 1309-1317 [PMID: 19931663 DOI</w:t>
      </w:r>
      <w:r w:rsidR="00BE19CC">
        <w:rPr>
          <w:rFonts w:ascii="Book Antiqua" w:eastAsia="宋体" w:hAnsi="Book Antiqua" w:cs="宋体"/>
          <w:sz w:val="24"/>
          <w:szCs w:val="24"/>
          <w:lang w:eastAsia="zh-CN"/>
        </w:rPr>
        <w:t>: 10.1016/j.jtcvs.2009.07.069]</w:t>
      </w:r>
    </w:p>
    <w:p w14:paraId="67421E8E" w14:textId="77777777" w:rsidR="008D5D93" w:rsidRPr="008D5D93" w:rsidRDefault="008D5D93" w:rsidP="008D5D93">
      <w:pPr>
        <w:spacing w:after="0" w:line="360" w:lineRule="auto"/>
        <w:jc w:val="both"/>
        <w:rPr>
          <w:rFonts w:ascii="Book Antiqua" w:eastAsia="宋体" w:hAnsi="Book Antiqua" w:cs="宋体"/>
          <w:sz w:val="24"/>
          <w:szCs w:val="24"/>
          <w:lang w:eastAsia="zh-CN"/>
        </w:rPr>
      </w:pPr>
      <w:proofErr w:type="gramStart"/>
      <w:r w:rsidRPr="008D5D93">
        <w:rPr>
          <w:rFonts w:ascii="Book Antiqua" w:eastAsia="宋体" w:hAnsi="Book Antiqua" w:cs="宋体"/>
          <w:sz w:val="24"/>
          <w:szCs w:val="24"/>
          <w:lang w:eastAsia="zh-CN"/>
        </w:rPr>
        <w:t xml:space="preserve">9 </w:t>
      </w:r>
      <w:r w:rsidRPr="008D5D93">
        <w:rPr>
          <w:rFonts w:ascii="Book Antiqua" w:eastAsia="宋体" w:hAnsi="Book Antiqua" w:cs="宋体"/>
          <w:b/>
          <w:bCs/>
          <w:sz w:val="24"/>
          <w:szCs w:val="24"/>
          <w:lang w:eastAsia="zh-CN"/>
        </w:rPr>
        <w:t>Edge SB</w:t>
      </w:r>
      <w:r w:rsidRPr="008D5D93">
        <w:rPr>
          <w:rFonts w:ascii="Book Antiqua" w:eastAsia="宋体" w:hAnsi="Book Antiqua" w:cs="宋体"/>
          <w:sz w:val="24"/>
          <w:szCs w:val="24"/>
          <w:lang w:eastAsia="zh-CN"/>
        </w:rPr>
        <w:t>, Compton CC.</w:t>
      </w:r>
      <w:proofErr w:type="gramEnd"/>
      <w:r w:rsidRPr="008D5D93">
        <w:rPr>
          <w:rFonts w:ascii="Book Antiqua" w:eastAsia="宋体" w:hAnsi="Book Antiqua" w:cs="宋体"/>
          <w:sz w:val="24"/>
          <w:szCs w:val="24"/>
          <w:lang w:eastAsia="zh-CN"/>
        </w:rPr>
        <w:t xml:space="preserve"> The American Joint Committee on Cancer: the 7th edition of the AJCC cancer staging manual and the future of TNM. </w:t>
      </w:r>
      <w:r w:rsidRPr="008D5D93">
        <w:rPr>
          <w:rFonts w:ascii="Book Antiqua" w:eastAsia="宋体" w:hAnsi="Book Antiqua" w:cs="宋体"/>
          <w:i/>
          <w:iCs/>
          <w:sz w:val="24"/>
          <w:szCs w:val="24"/>
          <w:lang w:eastAsia="zh-CN"/>
        </w:rPr>
        <w:t>Ann Surg Oncol</w:t>
      </w:r>
      <w:r w:rsidRPr="008D5D93">
        <w:rPr>
          <w:rFonts w:ascii="Book Antiqua" w:eastAsia="宋体" w:hAnsi="Book Antiqua" w:cs="宋体"/>
          <w:sz w:val="24"/>
          <w:szCs w:val="24"/>
          <w:lang w:eastAsia="zh-CN"/>
        </w:rPr>
        <w:t xml:space="preserve"> 2010; </w:t>
      </w:r>
      <w:r w:rsidRPr="008D5D93">
        <w:rPr>
          <w:rFonts w:ascii="Book Antiqua" w:eastAsia="宋体" w:hAnsi="Book Antiqua" w:cs="宋体"/>
          <w:b/>
          <w:bCs/>
          <w:sz w:val="24"/>
          <w:szCs w:val="24"/>
          <w:lang w:eastAsia="zh-CN"/>
        </w:rPr>
        <w:t>17</w:t>
      </w:r>
      <w:r w:rsidRPr="008D5D93">
        <w:rPr>
          <w:rFonts w:ascii="Book Antiqua" w:eastAsia="宋体" w:hAnsi="Book Antiqua" w:cs="宋体"/>
          <w:sz w:val="24"/>
          <w:szCs w:val="24"/>
          <w:lang w:eastAsia="zh-CN"/>
        </w:rPr>
        <w:t>: 1471-1474 [PMID: 20180029 D</w:t>
      </w:r>
      <w:r w:rsidR="00BE19CC">
        <w:rPr>
          <w:rFonts w:ascii="Book Antiqua" w:eastAsia="宋体" w:hAnsi="Book Antiqua" w:cs="宋体"/>
          <w:sz w:val="24"/>
          <w:szCs w:val="24"/>
          <w:lang w:eastAsia="zh-CN"/>
        </w:rPr>
        <w:t>OI: 10.1245/s10434-010-0985-4]</w:t>
      </w:r>
    </w:p>
    <w:p w14:paraId="6E9B2266"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10 </w:t>
      </w:r>
      <w:r w:rsidRPr="008D5D93">
        <w:rPr>
          <w:rFonts w:ascii="Book Antiqua" w:eastAsia="宋体" w:hAnsi="Book Antiqua" w:cs="宋体"/>
          <w:b/>
          <w:bCs/>
          <w:sz w:val="24"/>
          <w:szCs w:val="24"/>
          <w:lang w:eastAsia="zh-CN"/>
        </w:rPr>
        <w:t>Jabbour SK</w:t>
      </w:r>
      <w:r w:rsidRPr="008D5D93">
        <w:rPr>
          <w:rFonts w:ascii="Book Antiqua" w:eastAsia="宋体" w:hAnsi="Book Antiqua" w:cs="宋体"/>
          <w:sz w:val="24"/>
          <w:szCs w:val="24"/>
          <w:lang w:eastAsia="zh-CN"/>
        </w:rPr>
        <w:t xml:space="preserve">, Hashem SA, Bosch W, Kim TK, Finkelstein SE, Anderson BM, Ben-Josef E, Crane CH, Goodman KA, Haddock MG, Herman JM, Hong TS, Kachnic LA, Mamon HJ, Pantarotto JR, Dawson LA. Upper abdominal normal organ contouring guidelines and atlas: a Radiation Therapy Oncology Group consensus. </w:t>
      </w:r>
      <w:r w:rsidRPr="008D5D93">
        <w:rPr>
          <w:rFonts w:ascii="Book Antiqua" w:eastAsia="宋体" w:hAnsi="Book Antiqua" w:cs="宋体"/>
          <w:i/>
          <w:iCs/>
          <w:sz w:val="24"/>
          <w:szCs w:val="24"/>
          <w:lang w:eastAsia="zh-CN"/>
        </w:rPr>
        <w:t>Pract Radiat Oncol</w:t>
      </w:r>
      <w:r w:rsidRPr="008D5D93">
        <w:rPr>
          <w:rFonts w:ascii="Book Antiqua" w:eastAsia="宋体" w:hAnsi="Book Antiqua" w:cs="宋体"/>
          <w:sz w:val="24"/>
          <w:szCs w:val="24"/>
          <w:lang w:eastAsia="zh-CN"/>
        </w:rPr>
        <w:t xml:space="preserve"> </w:t>
      </w:r>
      <w:r w:rsidR="00BE19CC">
        <w:rPr>
          <w:rFonts w:ascii="Book Antiqua" w:eastAsia="宋体" w:hAnsi="Book Antiqua" w:cs="宋体" w:hint="eastAsia"/>
          <w:sz w:val="24"/>
          <w:szCs w:val="24"/>
          <w:lang w:eastAsia="zh-CN"/>
        </w:rPr>
        <w:t>2014</w:t>
      </w:r>
      <w:r w:rsidRPr="008D5D93">
        <w:rPr>
          <w:rFonts w:ascii="Book Antiqua" w:eastAsia="宋体" w:hAnsi="Book Antiqua" w:cs="宋体"/>
          <w:sz w:val="24"/>
          <w:szCs w:val="24"/>
          <w:lang w:eastAsia="zh-CN"/>
        </w:rPr>
        <w:t xml:space="preserve">; </w:t>
      </w:r>
      <w:r w:rsidRPr="008D5D93">
        <w:rPr>
          <w:rFonts w:ascii="Book Antiqua" w:eastAsia="宋体" w:hAnsi="Book Antiqua" w:cs="宋体"/>
          <w:b/>
          <w:bCs/>
          <w:sz w:val="24"/>
          <w:szCs w:val="24"/>
          <w:lang w:eastAsia="zh-CN"/>
        </w:rPr>
        <w:t>4</w:t>
      </w:r>
      <w:r w:rsidRPr="008D5D93">
        <w:rPr>
          <w:rFonts w:ascii="Book Antiqua" w:eastAsia="宋体" w:hAnsi="Book Antiqua" w:cs="宋体"/>
          <w:sz w:val="24"/>
          <w:szCs w:val="24"/>
          <w:lang w:eastAsia="zh-CN"/>
        </w:rPr>
        <w:t>: 82-89 [PMID: 24890348 DOI: 10.1016/j.prro.2013.06.004]</w:t>
      </w:r>
    </w:p>
    <w:p w14:paraId="508383B6"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11 </w:t>
      </w:r>
      <w:r w:rsidRPr="008D5D93">
        <w:rPr>
          <w:rFonts w:ascii="Book Antiqua" w:eastAsia="宋体" w:hAnsi="Book Antiqua" w:cs="宋体"/>
          <w:b/>
          <w:bCs/>
          <w:sz w:val="24"/>
          <w:szCs w:val="24"/>
          <w:lang w:eastAsia="zh-CN"/>
        </w:rPr>
        <w:t>Mandard AM</w:t>
      </w:r>
      <w:r w:rsidRPr="008D5D93">
        <w:rPr>
          <w:rFonts w:ascii="Book Antiqua" w:eastAsia="宋体" w:hAnsi="Book Antiqua" w:cs="宋体"/>
          <w:sz w:val="24"/>
          <w:szCs w:val="24"/>
          <w:lang w:eastAsia="zh-CN"/>
        </w:rPr>
        <w:t xml:space="preserve">, Dalibard F, Mandard JC, Marnay J, Henry-Amar M, Petiot JF, Roussel A, Jacob JH, Segol P, Samama G. Pathologic assessment of tumor regression after preoperative chemoradiotherapy of esophageal carcinoma. Clinicopathologic correlations. </w:t>
      </w:r>
      <w:r w:rsidRPr="008D5D93">
        <w:rPr>
          <w:rFonts w:ascii="Book Antiqua" w:eastAsia="宋体" w:hAnsi="Book Antiqua" w:cs="宋体"/>
          <w:i/>
          <w:iCs/>
          <w:sz w:val="24"/>
          <w:szCs w:val="24"/>
          <w:lang w:eastAsia="zh-CN"/>
        </w:rPr>
        <w:t>Cancer</w:t>
      </w:r>
      <w:r w:rsidRPr="008D5D93">
        <w:rPr>
          <w:rFonts w:ascii="Book Antiqua" w:eastAsia="宋体" w:hAnsi="Book Antiqua" w:cs="宋体"/>
          <w:sz w:val="24"/>
          <w:szCs w:val="24"/>
          <w:lang w:eastAsia="zh-CN"/>
        </w:rPr>
        <w:t xml:space="preserve"> 1994; </w:t>
      </w:r>
      <w:r w:rsidRPr="008D5D93">
        <w:rPr>
          <w:rFonts w:ascii="Book Antiqua" w:eastAsia="宋体" w:hAnsi="Book Antiqua" w:cs="宋体"/>
          <w:b/>
          <w:bCs/>
          <w:sz w:val="24"/>
          <w:szCs w:val="24"/>
          <w:lang w:eastAsia="zh-CN"/>
        </w:rPr>
        <w:t>73</w:t>
      </w:r>
      <w:r w:rsidRPr="008D5D93">
        <w:rPr>
          <w:rFonts w:ascii="Book Antiqua" w:eastAsia="宋体" w:hAnsi="Book Antiqua" w:cs="宋体"/>
          <w:sz w:val="24"/>
          <w:szCs w:val="24"/>
          <w:lang w:eastAsia="zh-CN"/>
        </w:rPr>
        <w:t xml:space="preserve">: 2680-2686 [PMID: 8194005 DOI: </w:t>
      </w:r>
      <w:r w:rsidR="00BE19CC">
        <w:rPr>
          <w:rFonts w:ascii="Book Antiqua" w:eastAsia="宋体" w:hAnsi="Book Antiqua" w:cs="宋体"/>
          <w:sz w:val="24"/>
          <w:szCs w:val="24"/>
          <w:lang w:eastAsia="zh-CN"/>
        </w:rPr>
        <w:t>10.1002/1097-0142(19940601)73]</w:t>
      </w:r>
    </w:p>
    <w:p w14:paraId="6060C33E"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12 </w:t>
      </w:r>
      <w:r w:rsidRPr="008D5D93">
        <w:rPr>
          <w:rFonts w:ascii="Book Antiqua" w:eastAsia="宋体" w:hAnsi="Book Antiqua" w:cs="宋体"/>
          <w:b/>
          <w:bCs/>
          <w:sz w:val="24"/>
          <w:szCs w:val="24"/>
          <w:lang w:eastAsia="zh-CN"/>
        </w:rPr>
        <w:t>Cheedella NK</w:t>
      </w:r>
      <w:r w:rsidRPr="008D5D93">
        <w:rPr>
          <w:rFonts w:ascii="Book Antiqua" w:eastAsia="宋体" w:hAnsi="Book Antiqua" w:cs="宋体"/>
          <w:sz w:val="24"/>
          <w:szCs w:val="24"/>
          <w:lang w:eastAsia="zh-CN"/>
        </w:rPr>
        <w:t xml:space="preserve">, Suzuki A, Xiao L, Hofstetter WL, Maru DM, Taketa T, Sudo K, Blum MA, Lin SH, Welch J, Lee JH, Bhutani MS, Rice DC, Vaporciyan AA, Swisher SG, Ajani JA. Association between clinical complete response and pathological complete response after preoperative chemoradiation in patients with gastroesophageal cancer: analysis in a large cohort. </w:t>
      </w:r>
      <w:r w:rsidRPr="008D5D93">
        <w:rPr>
          <w:rFonts w:ascii="Book Antiqua" w:eastAsia="宋体" w:hAnsi="Book Antiqua" w:cs="宋体"/>
          <w:i/>
          <w:iCs/>
          <w:sz w:val="24"/>
          <w:szCs w:val="24"/>
          <w:lang w:eastAsia="zh-CN"/>
        </w:rPr>
        <w:t>Ann Oncol</w:t>
      </w:r>
      <w:r w:rsidRPr="008D5D93">
        <w:rPr>
          <w:rFonts w:ascii="Book Antiqua" w:eastAsia="宋体" w:hAnsi="Book Antiqua" w:cs="宋体"/>
          <w:sz w:val="24"/>
          <w:szCs w:val="24"/>
          <w:lang w:eastAsia="zh-CN"/>
        </w:rPr>
        <w:t xml:space="preserve"> 2013; </w:t>
      </w:r>
      <w:r w:rsidRPr="008D5D93">
        <w:rPr>
          <w:rFonts w:ascii="Book Antiqua" w:eastAsia="宋体" w:hAnsi="Book Antiqua" w:cs="宋体"/>
          <w:b/>
          <w:bCs/>
          <w:sz w:val="24"/>
          <w:szCs w:val="24"/>
          <w:lang w:eastAsia="zh-CN"/>
        </w:rPr>
        <w:t>24</w:t>
      </w:r>
      <w:r w:rsidRPr="008D5D93">
        <w:rPr>
          <w:rFonts w:ascii="Book Antiqua" w:eastAsia="宋体" w:hAnsi="Book Antiqua" w:cs="宋体"/>
          <w:sz w:val="24"/>
          <w:szCs w:val="24"/>
          <w:lang w:eastAsia="zh-CN"/>
        </w:rPr>
        <w:t>: 1262-1266 [PMID: 232476</w:t>
      </w:r>
      <w:r w:rsidR="00BE19CC">
        <w:rPr>
          <w:rFonts w:ascii="Book Antiqua" w:eastAsia="宋体" w:hAnsi="Book Antiqua" w:cs="宋体"/>
          <w:sz w:val="24"/>
          <w:szCs w:val="24"/>
          <w:lang w:eastAsia="zh-CN"/>
        </w:rPr>
        <w:t>58 DOI: 10.1093/annonc/mds617]</w:t>
      </w:r>
    </w:p>
    <w:p w14:paraId="7B2F1177"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13 </w:t>
      </w:r>
      <w:r w:rsidRPr="008D5D93">
        <w:rPr>
          <w:rFonts w:ascii="Book Antiqua" w:eastAsia="宋体" w:hAnsi="Book Antiqua" w:cs="宋体"/>
          <w:b/>
          <w:bCs/>
          <w:sz w:val="24"/>
          <w:szCs w:val="24"/>
          <w:lang w:eastAsia="zh-CN"/>
        </w:rPr>
        <w:t>Davies AR</w:t>
      </w:r>
      <w:r w:rsidRPr="008D5D93">
        <w:rPr>
          <w:rFonts w:ascii="Book Antiqua" w:eastAsia="宋体" w:hAnsi="Book Antiqua" w:cs="宋体"/>
          <w:sz w:val="24"/>
          <w:szCs w:val="24"/>
          <w:lang w:eastAsia="zh-CN"/>
        </w:rPr>
        <w:t xml:space="preserve">, Gossage JA, Zylstra J, Mattsson F, Lagergren J, Maisey N, Smyth EC, Cunningham D, Allum WH, Mason RC. Tumor stage after neoadjuvant chemotherapy determines survival after surgery for adenocarcinoma of the esophagus and esophagogastric junction. </w:t>
      </w:r>
      <w:r w:rsidRPr="008D5D93">
        <w:rPr>
          <w:rFonts w:ascii="Book Antiqua" w:eastAsia="宋体" w:hAnsi="Book Antiqua" w:cs="宋体"/>
          <w:i/>
          <w:iCs/>
          <w:sz w:val="24"/>
          <w:szCs w:val="24"/>
          <w:lang w:eastAsia="zh-CN"/>
        </w:rPr>
        <w:t>J Clin Oncol</w:t>
      </w:r>
      <w:r w:rsidRPr="008D5D93">
        <w:rPr>
          <w:rFonts w:ascii="Book Antiqua" w:eastAsia="宋体" w:hAnsi="Book Antiqua" w:cs="宋体"/>
          <w:sz w:val="24"/>
          <w:szCs w:val="24"/>
          <w:lang w:eastAsia="zh-CN"/>
        </w:rPr>
        <w:t xml:space="preserve"> 2014; </w:t>
      </w:r>
      <w:r w:rsidRPr="008D5D93">
        <w:rPr>
          <w:rFonts w:ascii="Book Antiqua" w:eastAsia="宋体" w:hAnsi="Book Antiqua" w:cs="宋体"/>
          <w:b/>
          <w:bCs/>
          <w:sz w:val="24"/>
          <w:szCs w:val="24"/>
          <w:lang w:eastAsia="zh-CN"/>
        </w:rPr>
        <w:t>32</w:t>
      </w:r>
      <w:r w:rsidRPr="008D5D93">
        <w:rPr>
          <w:rFonts w:ascii="Book Antiqua" w:eastAsia="宋体" w:hAnsi="Book Antiqua" w:cs="宋体"/>
          <w:sz w:val="24"/>
          <w:szCs w:val="24"/>
          <w:lang w:eastAsia="zh-CN"/>
        </w:rPr>
        <w:t xml:space="preserve">: 2983-2990 [PMID: 25071104 </w:t>
      </w:r>
      <w:r w:rsidR="00BE19CC">
        <w:rPr>
          <w:rFonts w:ascii="Book Antiqua" w:eastAsia="宋体" w:hAnsi="Book Antiqua" w:cs="宋体"/>
          <w:sz w:val="24"/>
          <w:szCs w:val="24"/>
          <w:lang w:eastAsia="zh-CN"/>
        </w:rPr>
        <w:t>DOI: 10.1200/JCO.2014.55.9070]</w:t>
      </w:r>
    </w:p>
    <w:p w14:paraId="57BDEA4E"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14 </w:t>
      </w:r>
      <w:r w:rsidRPr="008D5D93">
        <w:rPr>
          <w:rFonts w:ascii="Book Antiqua" w:eastAsia="宋体" w:hAnsi="Book Antiqua" w:cs="宋体"/>
          <w:b/>
          <w:bCs/>
          <w:sz w:val="24"/>
          <w:szCs w:val="24"/>
          <w:lang w:eastAsia="zh-CN"/>
        </w:rPr>
        <w:t>al-Sarraf M</w:t>
      </w:r>
      <w:r w:rsidRPr="008D5D93">
        <w:rPr>
          <w:rFonts w:ascii="Book Antiqua" w:eastAsia="宋体" w:hAnsi="Book Antiqua" w:cs="宋体"/>
          <w:sz w:val="24"/>
          <w:szCs w:val="24"/>
          <w:lang w:eastAsia="zh-CN"/>
        </w:rPr>
        <w:t xml:space="preserve">, Martz K, Herskovic A, Leichman L, Brindle JS, Vaitkevicius VK, Cooper J, Byhardt R, Davis L, Emami B. Progress report of combined chemoradiotherapy versus radiotherapy alone in patients with esophageal cancer: an intergroup study. </w:t>
      </w:r>
      <w:r w:rsidRPr="008D5D93">
        <w:rPr>
          <w:rFonts w:ascii="Book Antiqua" w:eastAsia="宋体" w:hAnsi="Book Antiqua" w:cs="宋体"/>
          <w:i/>
          <w:iCs/>
          <w:sz w:val="24"/>
          <w:szCs w:val="24"/>
          <w:lang w:eastAsia="zh-CN"/>
        </w:rPr>
        <w:t>J Clin Oncol</w:t>
      </w:r>
      <w:r w:rsidRPr="008D5D93">
        <w:rPr>
          <w:rFonts w:ascii="Book Antiqua" w:eastAsia="宋体" w:hAnsi="Book Antiqua" w:cs="宋体"/>
          <w:sz w:val="24"/>
          <w:szCs w:val="24"/>
          <w:lang w:eastAsia="zh-CN"/>
        </w:rPr>
        <w:t xml:space="preserve"> 1997; </w:t>
      </w:r>
      <w:r w:rsidRPr="008D5D93">
        <w:rPr>
          <w:rFonts w:ascii="Book Antiqua" w:eastAsia="宋体" w:hAnsi="Book Antiqua" w:cs="宋体"/>
          <w:b/>
          <w:bCs/>
          <w:sz w:val="24"/>
          <w:szCs w:val="24"/>
          <w:lang w:eastAsia="zh-CN"/>
        </w:rPr>
        <w:t>15</w:t>
      </w:r>
      <w:r w:rsidRPr="008D5D93">
        <w:rPr>
          <w:rFonts w:ascii="Book Antiqua" w:eastAsia="宋体" w:hAnsi="Book Antiqua" w:cs="宋体"/>
          <w:sz w:val="24"/>
          <w:szCs w:val="24"/>
          <w:lang w:eastAsia="zh-CN"/>
        </w:rPr>
        <w:t>: 277-284 [PMID: 8996153]</w:t>
      </w:r>
    </w:p>
    <w:p w14:paraId="2BD297B7"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15 </w:t>
      </w:r>
      <w:r w:rsidRPr="008D5D93">
        <w:rPr>
          <w:rFonts w:ascii="Book Antiqua" w:eastAsia="宋体" w:hAnsi="Book Antiqua" w:cs="宋体"/>
          <w:b/>
          <w:bCs/>
          <w:sz w:val="24"/>
          <w:szCs w:val="24"/>
          <w:lang w:eastAsia="zh-CN"/>
        </w:rPr>
        <w:t>Scheer RV</w:t>
      </w:r>
      <w:r w:rsidRPr="008D5D93">
        <w:rPr>
          <w:rFonts w:ascii="Book Antiqua" w:eastAsia="宋体" w:hAnsi="Book Antiqua" w:cs="宋体"/>
          <w:sz w:val="24"/>
          <w:szCs w:val="24"/>
          <w:lang w:eastAsia="zh-CN"/>
        </w:rPr>
        <w:t xml:space="preserve">, Fakiris AJ, Johnstone PA. Quantifying the benefit of a pathologic complete response after neoadjuvant chemoradiotherapy in the treatment of esophageal cancer. </w:t>
      </w:r>
      <w:r w:rsidRPr="008D5D93">
        <w:rPr>
          <w:rFonts w:ascii="Book Antiqua" w:eastAsia="宋体" w:hAnsi="Book Antiqua" w:cs="宋体"/>
          <w:i/>
          <w:iCs/>
          <w:sz w:val="24"/>
          <w:szCs w:val="24"/>
          <w:lang w:eastAsia="zh-CN"/>
        </w:rPr>
        <w:t>Int J Radiat Oncol Biol Phys</w:t>
      </w:r>
      <w:r w:rsidRPr="008D5D93">
        <w:rPr>
          <w:rFonts w:ascii="Book Antiqua" w:eastAsia="宋体" w:hAnsi="Book Antiqua" w:cs="宋体"/>
          <w:sz w:val="24"/>
          <w:szCs w:val="24"/>
          <w:lang w:eastAsia="zh-CN"/>
        </w:rPr>
        <w:t xml:space="preserve"> 2011; </w:t>
      </w:r>
      <w:r w:rsidRPr="008D5D93">
        <w:rPr>
          <w:rFonts w:ascii="Book Antiqua" w:eastAsia="宋体" w:hAnsi="Book Antiqua" w:cs="宋体"/>
          <w:b/>
          <w:bCs/>
          <w:sz w:val="24"/>
          <w:szCs w:val="24"/>
          <w:lang w:eastAsia="zh-CN"/>
        </w:rPr>
        <w:t>80</w:t>
      </w:r>
      <w:r w:rsidRPr="008D5D93">
        <w:rPr>
          <w:rFonts w:ascii="Book Antiqua" w:eastAsia="宋体" w:hAnsi="Book Antiqua" w:cs="宋体"/>
          <w:sz w:val="24"/>
          <w:szCs w:val="24"/>
          <w:lang w:eastAsia="zh-CN"/>
        </w:rPr>
        <w:t>: 996-1001 [PMID: 20584580 DOI: 10.1016/j.ijrobp.2010.03.0</w:t>
      </w:r>
      <w:r w:rsidR="00BE19CC">
        <w:rPr>
          <w:rFonts w:ascii="Book Antiqua" w:eastAsia="宋体" w:hAnsi="Book Antiqua" w:cs="宋体"/>
          <w:sz w:val="24"/>
          <w:szCs w:val="24"/>
          <w:lang w:eastAsia="zh-CN"/>
        </w:rPr>
        <w:t>03]</w:t>
      </w:r>
    </w:p>
    <w:p w14:paraId="4913181A"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16 </w:t>
      </w:r>
      <w:r w:rsidRPr="008D5D93">
        <w:rPr>
          <w:rFonts w:ascii="Book Antiqua" w:eastAsia="宋体" w:hAnsi="Book Antiqua" w:cs="宋体"/>
          <w:b/>
          <w:bCs/>
          <w:sz w:val="24"/>
          <w:szCs w:val="24"/>
          <w:lang w:eastAsia="zh-CN"/>
        </w:rPr>
        <w:t>Warren S</w:t>
      </w:r>
      <w:r w:rsidRPr="008D5D93">
        <w:rPr>
          <w:rFonts w:ascii="Book Antiqua" w:eastAsia="宋体" w:hAnsi="Book Antiqua" w:cs="宋体"/>
          <w:sz w:val="24"/>
          <w:szCs w:val="24"/>
          <w:lang w:eastAsia="zh-CN"/>
        </w:rPr>
        <w:t xml:space="preserve">, Partridge M, Carrington R, Hurt C, Crosby T, Hawkins MA. </w:t>
      </w:r>
      <w:proofErr w:type="gramStart"/>
      <w:r w:rsidRPr="008D5D93">
        <w:rPr>
          <w:rFonts w:ascii="Book Antiqua" w:eastAsia="宋体" w:hAnsi="Book Antiqua" w:cs="宋体"/>
          <w:sz w:val="24"/>
          <w:szCs w:val="24"/>
          <w:lang w:eastAsia="zh-CN"/>
        </w:rPr>
        <w:t>Radiobiological determination of dose escalation and normal tissue toxicity in definitive chemoradiation therapy for esophageal cancer.</w:t>
      </w:r>
      <w:proofErr w:type="gramEnd"/>
      <w:r w:rsidRPr="008D5D93">
        <w:rPr>
          <w:rFonts w:ascii="Book Antiqua" w:eastAsia="宋体" w:hAnsi="Book Antiqua" w:cs="宋体"/>
          <w:sz w:val="24"/>
          <w:szCs w:val="24"/>
          <w:lang w:eastAsia="zh-CN"/>
        </w:rPr>
        <w:t xml:space="preserve"> </w:t>
      </w:r>
      <w:r w:rsidRPr="008D5D93">
        <w:rPr>
          <w:rFonts w:ascii="Book Antiqua" w:eastAsia="宋体" w:hAnsi="Book Antiqua" w:cs="宋体"/>
          <w:i/>
          <w:iCs/>
          <w:sz w:val="24"/>
          <w:szCs w:val="24"/>
          <w:lang w:eastAsia="zh-CN"/>
        </w:rPr>
        <w:t>Int J Radiat Oncol Biol Phys</w:t>
      </w:r>
      <w:r w:rsidRPr="008D5D93">
        <w:rPr>
          <w:rFonts w:ascii="Book Antiqua" w:eastAsia="宋体" w:hAnsi="Book Antiqua" w:cs="宋体"/>
          <w:sz w:val="24"/>
          <w:szCs w:val="24"/>
          <w:lang w:eastAsia="zh-CN"/>
        </w:rPr>
        <w:t xml:space="preserve"> 2014; </w:t>
      </w:r>
      <w:r w:rsidRPr="008D5D93">
        <w:rPr>
          <w:rFonts w:ascii="Book Antiqua" w:eastAsia="宋体" w:hAnsi="Book Antiqua" w:cs="宋体"/>
          <w:b/>
          <w:bCs/>
          <w:sz w:val="24"/>
          <w:szCs w:val="24"/>
          <w:lang w:eastAsia="zh-CN"/>
        </w:rPr>
        <w:t>90</w:t>
      </w:r>
      <w:r w:rsidRPr="008D5D93">
        <w:rPr>
          <w:rFonts w:ascii="Book Antiqua" w:eastAsia="宋体" w:hAnsi="Book Antiqua" w:cs="宋体"/>
          <w:sz w:val="24"/>
          <w:szCs w:val="24"/>
          <w:lang w:eastAsia="zh-CN"/>
        </w:rPr>
        <w:t>: 423-429 [PMID: 25304796 DOI:</w:t>
      </w:r>
      <w:r w:rsidR="00BE19CC">
        <w:rPr>
          <w:rFonts w:ascii="Book Antiqua" w:eastAsia="宋体" w:hAnsi="Book Antiqua" w:cs="宋体"/>
          <w:sz w:val="24"/>
          <w:szCs w:val="24"/>
          <w:lang w:eastAsia="zh-CN"/>
        </w:rPr>
        <w:t xml:space="preserve"> 10.1016/j.ijrobp.2014.06.028]</w:t>
      </w:r>
    </w:p>
    <w:p w14:paraId="7C90885D"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17 </w:t>
      </w:r>
      <w:r w:rsidRPr="008D5D93">
        <w:rPr>
          <w:rFonts w:ascii="Book Antiqua" w:eastAsia="宋体" w:hAnsi="Book Antiqua" w:cs="宋体"/>
          <w:b/>
          <w:bCs/>
          <w:sz w:val="24"/>
          <w:szCs w:val="24"/>
          <w:lang w:eastAsia="zh-CN"/>
        </w:rPr>
        <w:t>Burmeister BH</w:t>
      </w:r>
      <w:r w:rsidRPr="008D5D93">
        <w:rPr>
          <w:rFonts w:ascii="Book Antiqua" w:eastAsia="宋体" w:hAnsi="Book Antiqua" w:cs="宋体"/>
          <w:sz w:val="24"/>
          <w:szCs w:val="24"/>
          <w:lang w:eastAsia="zh-CN"/>
        </w:rPr>
        <w:t xml:space="preserve">, Smithers BM, Gebski V, Fitzgerald L, Simes RJ, Devitt P, Ackland S, Gotley DC, Joseph D, Millar J, North J, Walpole ET, Denham JW. Surgery alone versus chemoradiotherapy followed by surgery for resectable cancer of the oesophagus: a randomised controlled phase III trial. </w:t>
      </w:r>
      <w:r w:rsidRPr="008D5D93">
        <w:rPr>
          <w:rFonts w:ascii="Book Antiqua" w:eastAsia="宋体" w:hAnsi="Book Antiqua" w:cs="宋体"/>
          <w:i/>
          <w:iCs/>
          <w:sz w:val="24"/>
          <w:szCs w:val="24"/>
          <w:lang w:eastAsia="zh-CN"/>
        </w:rPr>
        <w:t>Lancet Oncol</w:t>
      </w:r>
      <w:r w:rsidRPr="008D5D93">
        <w:rPr>
          <w:rFonts w:ascii="Book Antiqua" w:eastAsia="宋体" w:hAnsi="Book Antiqua" w:cs="宋体"/>
          <w:sz w:val="24"/>
          <w:szCs w:val="24"/>
          <w:lang w:eastAsia="zh-CN"/>
        </w:rPr>
        <w:t xml:space="preserve"> 2005; </w:t>
      </w:r>
      <w:r w:rsidRPr="008D5D93">
        <w:rPr>
          <w:rFonts w:ascii="Book Antiqua" w:eastAsia="宋体" w:hAnsi="Book Antiqua" w:cs="宋体"/>
          <w:b/>
          <w:bCs/>
          <w:sz w:val="24"/>
          <w:szCs w:val="24"/>
          <w:lang w:eastAsia="zh-CN"/>
        </w:rPr>
        <w:t>6</w:t>
      </w:r>
      <w:r w:rsidRPr="008D5D93">
        <w:rPr>
          <w:rFonts w:ascii="Book Antiqua" w:eastAsia="宋体" w:hAnsi="Book Antiqua" w:cs="宋体"/>
          <w:sz w:val="24"/>
          <w:szCs w:val="24"/>
          <w:lang w:eastAsia="zh-CN"/>
        </w:rPr>
        <w:t xml:space="preserve">: 659-668 [PMID: 16129366 DOI: </w:t>
      </w:r>
      <w:r w:rsidR="00BE19CC">
        <w:rPr>
          <w:rFonts w:ascii="Book Antiqua" w:eastAsia="宋体" w:hAnsi="Book Antiqua" w:cs="宋体"/>
          <w:sz w:val="24"/>
          <w:szCs w:val="24"/>
          <w:lang w:eastAsia="zh-CN"/>
        </w:rPr>
        <w:t>10.1016/S1470-2045(05)70288-6]</w:t>
      </w:r>
    </w:p>
    <w:p w14:paraId="4FCC5FB4"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18 </w:t>
      </w:r>
      <w:r w:rsidRPr="008D5D93">
        <w:rPr>
          <w:rFonts w:ascii="Book Antiqua" w:eastAsia="宋体" w:hAnsi="Book Antiqua" w:cs="宋体"/>
          <w:b/>
          <w:bCs/>
          <w:sz w:val="24"/>
          <w:szCs w:val="24"/>
          <w:lang w:eastAsia="zh-CN"/>
        </w:rPr>
        <w:t>Pennathur A</w:t>
      </w:r>
      <w:r w:rsidRPr="008D5D93">
        <w:rPr>
          <w:rFonts w:ascii="Book Antiqua" w:eastAsia="宋体" w:hAnsi="Book Antiqua" w:cs="宋体"/>
          <w:sz w:val="24"/>
          <w:szCs w:val="24"/>
          <w:lang w:eastAsia="zh-CN"/>
        </w:rPr>
        <w:t xml:space="preserve">, Luketich JD, Landreneau RJ, Ward J, Christie NA, Gibson MK, Schuchert M, Cooper K, Land SR, Belani CP. Long-term results of a phase II trial of neoadjuvant chemotherapy followed by esophagectomy for locally advanced esophageal neoplasm. </w:t>
      </w:r>
      <w:r w:rsidRPr="008D5D93">
        <w:rPr>
          <w:rFonts w:ascii="Book Antiqua" w:eastAsia="宋体" w:hAnsi="Book Antiqua" w:cs="宋体"/>
          <w:i/>
          <w:iCs/>
          <w:sz w:val="24"/>
          <w:szCs w:val="24"/>
          <w:lang w:eastAsia="zh-CN"/>
        </w:rPr>
        <w:t>Ann Thorac Surg</w:t>
      </w:r>
      <w:r w:rsidRPr="008D5D93">
        <w:rPr>
          <w:rFonts w:ascii="Book Antiqua" w:eastAsia="宋体" w:hAnsi="Book Antiqua" w:cs="宋体"/>
          <w:sz w:val="24"/>
          <w:szCs w:val="24"/>
          <w:lang w:eastAsia="zh-CN"/>
        </w:rPr>
        <w:t xml:space="preserve"> 2008; </w:t>
      </w:r>
      <w:r w:rsidRPr="008D5D93">
        <w:rPr>
          <w:rFonts w:ascii="Book Antiqua" w:eastAsia="宋体" w:hAnsi="Book Antiqua" w:cs="宋体"/>
          <w:b/>
          <w:bCs/>
          <w:sz w:val="24"/>
          <w:szCs w:val="24"/>
          <w:lang w:eastAsia="zh-CN"/>
        </w:rPr>
        <w:t>85</w:t>
      </w:r>
      <w:r w:rsidRPr="008D5D93">
        <w:rPr>
          <w:rFonts w:ascii="Book Antiqua" w:eastAsia="宋体" w:hAnsi="Book Antiqua" w:cs="宋体"/>
          <w:sz w:val="24"/>
          <w:szCs w:val="24"/>
          <w:lang w:eastAsia="zh-CN"/>
        </w:rPr>
        <w:t>: 1930-19</w:t>
      </w:r>
      <w:r w:rsidR="00BE19CC">
        <w:rPr>
          <w:rFonts w:ascii="Book Antiqua" w:eastAsia="宋体" w:hAnsi="Book Antiqua" w:cs="宋体" w:hint="eastAsia"/>
          <w:sz w:val="24"/>
          <w:szCs w:val="24"/>
          <w:lang w:eastAsia="zh-CN"/>
        </w:rPr>
        <w:t>3</w:t>
      </w:r>
      <w:r w:rsidRPr="008D5D93">
        <w:rPr>
          <w:rFonts w:ascii="Book Antiqua" w:eastAsia="宋体" w:hAnsi="Book Antiqua" w:cs="宋体"/>
          <w:sz w:val="24"/>
          <w:szCs w:val="24"/>
          <w:lang w:eastAsia="zh-CN"/>
        </w:rPr>
        <w:t>6; discussion 1930-19</w:t>
      </w:r>
      <w:r w:rsidR="00BE19CC">
        <w:rPr>
          <w:rFonts w:ascii="Book Antiqua" w:eastAsia="宋体" w:hAnsi="Book Antiqua" w:cs="宋体" w:hint="eastAsia"/>
          <w:sz w:val="24"/>
          <w:szCs w:val="24"/>
          <w:lang w:eastAsia="zh-CN"/>
        </w:rPr>
        <w:t>3</w:t>
      </w:r>
      <w:r w:rsidR="00BE19CC">
        <w:rPr>
          <w:rFonts w:ascii="Book Antiqua" w:eastAsia="宋体" w:hAnsi="Book Antiqua" w:cs="宋体"/>
          <w:sz w:val="24"/>
          <w:szCs w:val="24"/>
          <w:lang w:eastAsia="zh-CN"/>
        </w:rPr>
        <w:t>6</w:t>
      </w:r>
      <w:r w:rsidRPr="008D5D93">
        <w:rPr>
          <w:rFonts w:ascii="Book Antiqua" w:eastAsia="宋体" w:hAnsi="Book Antiqua" w:cs="宋体"/>
          <w:sz w:val="24"/>
          <w:szCs w:val="24"/>
          <w:lang w:eastAsia="zh-CN"/>
        </w:rPr>
        <w:t xml:space="preserve"> [PMID: 18498797 DOI: 10.1016</w:t>
      </w:r>
      <w:r w:rsidR="00BE19CC">
        <w:rPr>
          <w:rFonts w:ascii="Book Antiqua" w:eastAsia="宋体" w:hAnsi="Book Antiqua" w:cs="宋体"/>
          <w:sz w:val="24"/>
          <w:szCs w:val="24"/>
          <w:lang w:eastAsia="zh-CN"/>
        </w:rPr>
        <w:t>/j.athoracsur.2008.01.097]</w:t>
      </w:r>
    </w:p>
    <w:p w14:paraId="6E806969"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19 </w:t>
      </w:r>
      <w:r w:rsidRPr="008D5D93">
        <w:rPr>
          <w:rFonts w:ascii="Book Antiqua" w:eastAsia="宋体" w:hAnsi="Book Antiqua" w:cs="宋体"/>
          <w:b/>
          <w:bCs/>
          <w:sz w:val="24"/>
          <w:szCs w:val="24"/>
          <w:lang w:eastAsia="zh-CN"/>
        </w:rPr>
        <w:t>Hamai Y</w:t>
      </w:r>
      <w:r w:rsidRPr="008D5D93">
        <w:rPr>
          <w:rFonts w:ascii="Book Antiqua" w:eastAsia="宋体" w:hAnsi="Book Antiqua" w:cs="宋体"/>
          <w:sz w:val="24"/>
          <w:szCs w:val="24"/>
          <w:lang w:eastAsia="zh-CN"/>
        </w:rPr>
        <w:t xml:space="preserve">, Hihara J, Emi M, Murakami Y, Kenjo M, Nagata Y, Okada M. Results of Neoadjuvant Chemoradiotherapy With Docetaxel and 5-Fluorouracil Followed by Esophagectomy to Treat Locally Advanced Esophageal Cancer. </w:t>
      </w:r>
      <w:r w:rsidRPr="008D5D93">
        <w:rPr>
          <w:rFonts w:ascii="Book Antiqua" w:eastAsia="宋体" w:hAnsi="Book Antiqua" w:cs="宋体"/>
          <w:i/>
          <w:iCs/>
          <w:sz w:val="24"/>
          <w:szCs w:val="24"/>
          <w:lang w:eastAsia="zh-CN"/>
        </w:rPr>
        <w:t>Ann Thorac Surg</w:t>
      </w:r>
      <w:r w:rsidRPr="008D5D93">
        <w:rPr>
          <w:rFonts w:ascii="Book Antiqua" w:eastAsia="宋体" w:hAnsi="Book Antiqua" w:cs="宋体"/>
          <w:sz w:val="24"/>
          <w:szCs w:val="24"/>
          <w:lang w:eastAsia="zh-CN"/>
        </w:rPr>
        <w:t xml:space="preserve"> 2015; </w:t>
      </w:r>
      <w:r w:rsidRPr="008D5D93">
        <w:rPr>
          <w:rFonts w:ascii="Book Antiqua" w:eastAsia="宋体" w:hAnsi="Book Antiqua" w:cs="宋体"/>
          <w:b/>
          <w:bCs/>
          <w:sz w:val="24"/>
          <w:szCs w:val="24"/>
          <w:lang w:eastAsia="zh-CN"/>
        </w:rPr>
        <w:t>99</w:t>
      </w:r>
      <w:r w:rsidRPr="008D5D93">
        <w:rPr>
          <w:rFonts w:ascii="Book Antiqua" w:eastAsia="宋体" w:hAnsi="Book Antiqua" w:cs="宋体"/>
          <w:sz w:val="24"/>
          <w:szCs w:val="24"/>
          <w:lang w:eastAsia="zh-CN"/>
        </w:rPr>
        <w:t>: 1887-1893 [PMID: 25912745 DOI: 10.</w:t>
      </w:r>
      <w:r w:rsidR="00BE19CC">
        <w:rPr>
          <w:rFonts w:ascii="Book Antiqua" w:eastAsia="宋体" w:hAnsi="Book Antiqua" w:cs="宋体"/>
          <w:sz w:val="24"/>
          <w:szCs w:val="24"/>
          <w:lang w:eastAsia="zh-CN"/>
        </w:rPr>
        <w:t>1016/j.athoracsur.2015.02.042]</w:t>
      </w:r>
    </w:p>
    <w:p w14:paraId="4F58C5FF"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20 </w:t>
      </w:r>
      <w:r w:rsidRPr="008D5D93">
        <w:rPr>
          <w:rFonts w:ascii="Book Antiqua" w:eastAsia="宋体" w:hAnsi="Book Antiqua" w:cs="宋体"/>
          <w:b/>
          <w:bCs/>
          <w:sz w:val="24"/>
          <w:szCs w:val="24"/>
          <w:lang w:eastAsia="zh-CN"/>
        </w:rPr>
        <w:t>Hoeppner J</w:t>
      </w:r>
      <w:r w:rsidRPr="008D5D93">
        <w:rPr>
          <w:rFonts w:ascii="Book Antiqua" w:eastAsia="宋体" w:hAnsi="Book Antiqua" w:cs="宋体"/>
          <w:sz w:val="24"/>
          <w:szCs w:val="24"/>
          <w:lang w:eastAsia="zh-CN"/>
        </w:rPr>
        <w:t xml:space="preserve">, Zirlik K, Brunner T, Bronsert P, Kulemann B, Sick O, Marjanovic G, Hopt UT, Makowiec F. Multimodal treatment of locally advanced esophageal adenocarcinoma: which regimen should we choose? </w:t>
      </w:r>
      <w:proofErr w:type="gramStart"/>
      <w:r w:rsidRPr="008D5D93">
        <w:rPr>
          <w:rFonts w:ascii="Book Antiqua" w:eastAsia="宋体" w:hAnsi="Book Antiqua" w:cs="宋体"/>
          <w:sz w:val="24"/>
          <w:szCs w:val="24"/>
          <w:lang w:eastAsia="zh-CN"/>
        </w:rPr>
        <w:t>Outcome analysis of perioperative chemotherapy versus neoadjuvant chemoradiation in 105 patients.</w:t>
      </w:r>
      <w:proofErr w:type="gramEnd"/>
      <w:r w:rsidRPr="008D5D93">
        <w:rPr>
          <w:rFonts w:ascii="Book Antiqua" w:eastAsia="宋体" w:hAnsi="Book Antiqua" w:cs="宋体"/>
          <w:sz w:val="24"/>
          <w:szCs w:val="24"/>
          <w:lang w:eastAsia="zh-CN"/>
        </w:rPr>
        <w:t xml:space="preserve"> </w:t>
      </w:r>
      <w:r w:rsidRPr="008D5D93">
        <w:rPr>
          <w:rFonts w:ascii="Book Antiqua" w:eastAsia="宋体" w:hAnsi="Book Antiqua" w:cs="宋体"/>
          <w:i/>
          <w:iCs/>
          <w:sz w:val="24"/>
          <w:szCs w:val="24"/>
          <w:lang w:eastAsia="zh-CN"/>
        </w:rPr>
        <w:t>J Surg Oncol</w:t>
      </w:r>
      <w:r w:rsidRPr="008D5D93">
        <w:rPr>
          <w:rFonts w:ascii="Book Antiqua" w:eastAsia="宋体" w:hAnsi="Book Antiqua" w:cs="宋体"/>
          <w:sz w:val="24"/>
          <w:szCs w:val="24"/>
          <w:lang w:eastAsia="zh-CN"/>
        </w:rPr>
        <w:t xml:space="preserve"> 2014; </w:t>
      </w:r>
      <w:r w:rsidRPr="008D5D93">
        <w:rPr>
          <w:rFonts w:ascii="Book Antiqua" w:eastAsia="宋体" w:hAnsi="Book Antiqua" w:cs="宋体"/>
          <w:b/>
          <w:bCs/>
          <w:sz w:val="24"/>
          <w:szCs w:val="24"/>
          <w:lang w:eastAsia="zh-CN"/>
        </w:rPr>
        <w:t>109</w:t>
      </w:r>
      <w:r w:rsidRPr="008D5D93">
        <w:rPr>
          <w:rFonts w:ascii="Book Antiqua" w:eastAsia="宋体" w:hAnsi="Book Antiqua" w:cs="宋体"/>
          <w:sz w:val="24"/>
          <w:szCs w:val="24"/>
          <w:lang w:eastAsia="zh-CN"/>
        </w:rPr>
        <w:t>: 287-293 [PMID: 24</w:t>
      </w:r>
      <w:r w:rsidR="00BE19CC">
        <w:rPr>
          <w:rFonts w:ascii="Book Antiqua" w:eastAsia="宋体" w:hAnsi="Book Antiqua" w:cs="宋体"/>
          <w:sz w:val="24"/>
          <w:szCs w:val="24"/>
          <w:lang w:eastAsia="zh-CN"/>
        </w:rPr>
        <w:t>277235 DOI: 10.1002/jso.23498]</w:t>
      </w:r>
    </w:p>
    <w:p w14:paraId="1BB0B45C"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21 </w:t>
      </w:r>
      <w:r w:rsidRPr="008D5D93">
        <w:rPr>
          <w:rFonts w:ascii="Book Antiqua" w:eastAsia="宋体" w:hAnsi="Book Antiqua" w:cs="宋体"/>
          <w:b/>
          <w:bCs/>
          <w:sz w:val="24"/>
          <w:szCs w:val="24"/>
          <w:lang w:eastAsia="zh-CN"/>
        </w:rPr>
        <w:t>Stahl M</w:t>
      </w:r>
      <w:r w:rsidRPr="008D5D93">
        <w:rPr>
          <w:rFonts w:ascii="Book Antiqua" w:eastAsia="宋体" w:hAnsi="Book Antiqua" w:cs="宋体"/>
          <w:sz w:val="24"/>
          <w:szCs w:val="24"/>
          <w:lang w:eastAsia="zh-CN"/>
        </w:rPr>
        <w:t xml:space="preserve">, Walz MK, Stuschke M, Lehmann N, Meyer HJ, Riera-Knorrenschild J, Langer P, Engenhart-Cabillic R, Bitzer M, Königsrainer A, Budach W, Wilke H. Phase III comparison of preoperative chemotherapy compared with chemoradiotherapy in patients with locally advanced adenocarcinoma of the esophagogastric junction. </w:t>
      </w:r>
      <w:r w:rsidRPr="008D5D93">
        <w:rPr>
          <w:rFonts w:ascii="Book Antiqua" w:eastAsia="宋体" w:hAnsi="Book Antiqua" w:cs="宋体"/>
          <w:i/>
          <w:iCs/>
          <w:sz w:val="24"/>
          <w:szCs w:val="24"/>
          <w:lang w:eastAsia="zh-CN"/>
        </w:rPr>
        <w:t>J Clin Oncol</w:t>
      </w:r>
      <w:r w:rsidRPr="008D5D93">
        <w:rPr>
          <w:rFonts w:ascii="Book Antiqua" w:eastAsia="宋体" w:hAnsi="Book Antiqua" w:cs="宋体"/>
          <w:sz w:val="24"/>
          <w:szCs w:val="24"/>
          <w:lang w:eastAsia="zh-CN"/>
        </w:rPr>
        <w:t xml:space="preserve"> 2009; </w:t>
      </w:r>
      <w:r w:rsidRPr="008D5D93">
        <w:rPr>
          <w:rFonts w:ascii="Book Antiqua" w:eastAsia="宋体" w:hAnsi="Book Antiqua" w:cs="宋体"/>
          <w:b/>
          <w:bCs/>
          <w:sz w:val="24"/>
          <w:szCs w:val="24"/>
          <w:lang w:eastAsia="zh-CN"/>
        </w:rPr>
        <w:t>27</w:t>
      </w:r>
      <w:r w:rsidRPr="008D5D93">
        <w:rPr>
          <w:rFonts w:ascii="Book Antiqua" w:eastAsia="宋体" w:hAnsi="Book Antiqua" w:cs="宋体"/>
          <w:sz w:val="24"/>
          <w:szCs w:val="24"/>
          <w:lang w:eastAsia="zh-CN"/>
        </w:rPr>
        <w:t>: 851-856 [PMID: 1913943</w:t>
      </w:r>
      <w:r w:rsidR="00BE19CC">
        <w:rPr>
          <w:rFonts w:ascii="Book Antiqua" w:eastAsia="宋体" w:hAnsi="Book Antiqua" w:cs="宋体"/>
          <w:sz w:val="24"/>
          <w:szCs w:val="24"/>
          <w:lang w:eastAsia="zh-CN"/>
        </w:rPr>
        <w:t>9 DOI: 10.1200/JCO.2008.17.0506</w:t>
      </w:r>
      <w:r w:rsidRPr="008D5D93">
        <w:rPr>
          <w:rFonts w:ascii="Book Antiqua" w:eastAsia="宋体" w:hAnsi="Book Antiqua" w:cs="宋体"/>
          <w:sz w:val="24"/>
          <w:szCs w:val="24"/>
          <w:lang w:eastAsia="zh-CN"/>
        </w:rPr>
        <w:t>]</w:t>
      </w:r>
    </w:p>
    <w:p w14:paraId="6503F666" w14:textId="77777777" w:rsidR="008D5D93" w:rsidRPr="008D5D93" w:rsidRDefault="008D5D93" w:rsidP="008D5D93">
      <w:pPr>
        <w:spacing w:after="0" w:line="360" w:lineRule="auto"/>
        <w:jc w:val="both"/>
        <w:rPr>
          <w:rFonts w:ascii="Book Antiqua" w:eastAsia="宋体" w:hAnsi="Book Antiqua" w:cs="宋体"/>
          <w:sz w:val="24"/>
          <w:szCs w:val="24"/>
          <w:lang w:eastAsia="zh-CN"/>
        </w:rPr>
      </w:pPr>
      <w:r w:rsidRPr="008D5D93">
        <w:rPr>
          <w:rFonts w:ascii="Book Antiqua" w:eastAsia="宋体" w:hAnsi="Book Antiqua" w:cs="宋体"/>
          <w:sz w:val="24"/>
          <w:szCs w:val="24"/>
          <w:lang w:eastAsia="zh-CN"/>
        </w:rPr>
        <w:t xml:space="preserve">22 </w:t>
      </w:r>
      <w:r w:rsidRPr="008D5D93">
        <w:rPr>
          <w:rFonts w:ascii="Book Antiqua" w:eastAsia="宋体" w:hAnsi="Book Antiqua" w:cs="宋体"/>
          <w:b/>
          <w:bCs/>
          <w:sz w:val="24"/>
          <w:szCs w:val="24"/>
          <w:lang w:eastAsia="zh-CN"/>
        </w:rPr>
        <w:t>Urschel JD</w:t>
      </w:r>
      <w:r w:rsidRPr="008D5D93">
        <w:rPr>
          <w:rFonts w:ascii="Book Antiqua" w:eastAsia="宋体" w:hAnsi="Book Antiqua" w:cs="宋体"/>
          <w:sz w:val="24"/>
          <w:szCs w:val="24"/>
          <w:lang w:eastAsia="zh-CN"/>
        </w:rPr>
        <w:t xml:space="preserve">, Vasan H. A meta-analysis of randomized controlled trials that compared neoadjuvant chemoradiation and surgery to surgery alone for resectable esophageal cancer. </w:t>
      </w:r>
      <w:r w:rsidRPr="008D5D93">
        <w:rPr>
          <w:rFonts w:ascii="Book Antiqua" w:eastAsia="宋体" w:hAnsi="Book Antiqua" w:cs="宋体"/>
          <w:i/>
          <w:iCs/>
          <w:sz w:val="24"/>
          <w:szCs w:val="24"/>
          <w:lang w:eastAsia="zh-CN"/>
        </w:rPr>
        <w:t>Am J Surg</w:t>
      </w:r>
      <w:r w:rsidRPr="008D5D93">
        <w:rPr>
          <w:rFonts w:ascii="Book Antiqua" w:eastAsia="宋体" w:hAnsi="Book Antiqua" w:cs="宋体"/>
          <w:sz w:val="24"/>
          <w:szCs w:val="24"/>
          <w:lang w:eastAsia="zh-CN"/>
        </w:rPr>
        <w:t xml:space="preserve"> 2003; </w:t>
      </w:r>
      <w:r w:rsidRPr="008D5D93">
        <w:rPr>
          <w:rFonts w:ascii="Book Antiqua" w:eastAsia="宋体" w:hAnsi="Book Antiqua" w:cs="宋体"/>
          <w:b/>
          <w:bCs/>
          <w:sz w:val="24"/>
          <w:szCs w:val="24"/>
          <w:lang w:eastAsia="zh-CN"/>
        </w:rPr>
        <w:t>185</w:t>
      </w:r>
      <w:r w:rsidRPr="008D5D93">
        <w:rPr>
          <w:rFonts w:ascii="Book Antiqua" w:eastAsia="宋体" w:hAnsi="Book Antiqua" w:cs="宋体"/>
          <w:sz w:val="24"/>
          <w:szCs w:val="24"/>
          <w:lang w:eastAsia="zh-CN"/>
        </w:rPr>
        <w:t xml:space="preserve">: 538-543 [PMID: 12781882 DOI: </w:t>
      </w:r>
      <w:r w:rsidR="00BE19CC">
        <w:rPr>
          <w:rFonts w:ascii="Book Antiqua" w:eastAsia="宋体" w:hAnsi="Book Antiqua" w:cs="宋体"/>
          <w:sz w:val="24"/>
          <w:szCs w:val="24"/>
          <w:lang w:eastAsia="zh-CN"/>
        </w:rPr>
        <w:t>10.1016/S0002-9610(03)00066-7]</w:t>
      </w:r>
    </w:p>
    <w:p w14:paraId="6410A41C" w14:textId="77777777" w:rsidR="00BE734B" w:rsidRPr="008D5D93" w:rsidRDefault="00BE734B" w:rsidP="008D5D93">
      <w:pPr>
        <w:spacing w:after="0" w:line="360" w:lineRule="auto"/>
        <w:jc w:val="both"/>
        <w:rPr>
          <w:rFonts w:ascii="Book Antiqua" w:hAnsi="Book Antiqua"/>
          <w:sz w:val="24"/>
          <w:szCs w:val="24"/>
          <w:lang w:eastAsia="zh-CN"/>
        </w:rPr>
      </w:pPr>
    </w:p>
    <w:p w14:paraId="6D74A614" w14:textId="77777777" w:rsidR="00EF56B3" w:rsidRPr="00BE19CC" w:rsidRDefault="00EF56B3" w:rsidP="00BE19CC">
      <w:pPr>
        <w:spacing w:after="0" w:line="360" w:lineRule="auto"/>
        <w:jc w:val="right"/>
        <w:rPr>
          <w:rFonts w:ascii="Book Antiqua" w:hAnsi="Book Antiqua"/>
          <w:b/>
          <w:sz w:val="24"/>
          <w:szCs w:val="24"/>
          <w:lang w:eastAsia="zh-CN"/>
        </w:rPr>
      </w:pPr>
      <w:r w:rsidRPr="00BE19CC">
        <w:rPr>
          <w:rFonts w:ascii="Book Antiqua" w:hAnsi="Book Antiqua"/>
          <w:b/>
          <w:sz w:val="24"/>
          <w:szCs w:val="24"/>
        </w:rPr>
        <w:t xml:space="preserve">P-Reviewer: </w:t>
      </w:r>
      <w:r w:rsidRPr="00BE19CC">
        <w:rPr>
          <w:rFonts w:ascii="Book Antiqua" w:hAnsi="Book Antiqua"/>
          <w:color w:val="000000"/>
          <w:sz w:val="24"/>
          <w:szCs w:val="24"/>
        </w:rPr>
        <w:t>Sterzing</w:t>
      </w:r>
      <w:r w:rsidRPr="00BE19CC">
        <w:rPr>
          <w:rFonts w:ascii="Book Antiqua" w:hAnsi="Book Antiqua"/>
          <w:color w:val="000000"/>
          <w:sz w:val="24"/>
          <w:szCs w:val="24"/>
          <w:lang w:eastAsia="zh-CN"/>
        </w:rPr>
        <w:t xml:space="preserve"> F </w:t>
      </w:r>
      <w:r w:rsidRPr="00BE19CC">
        <w:rPr>
          <w:rFonts w:ascii="Book Antiqua" w:hAnsi="Book Antiqua"/>
          <w:b/>
          <w:sz w:val="24"/>
          <w:szCs w:val="24"/>
        </w:rPr>
        <w:t xml:space="preserve">S-Editor: </w:t>
      </w:r>
      <w:r w:rsidRPr="00BE19CC">
        <w:rPr>
          <w:rFonts w:ascii="Book Antiqua" w:hAnsi="Book Antiqua"/>
          <w:sz w:val="24"/>
          <w:szCs w:val="24"/>
        </w:rPr>
        <w:t>Ji FF</w:t>
      </w:r>
      <w:r w:rsidRPr="00BE19CC">
        <w:rPr>
          <w:rFonts w:ascii="Book Antiqua" w:hAnsi="Book Antiqua"/>
          <w:b/>
          <w:sz w:val="24"/>
          <w:szCs w:val="24"/>
        </w:rPr>
        <w:t xml:space="preserve"> L-Editor: E-Editor:</w:t>
      </w:r>
    </w:p>
    <w:p w14:paraId="2F143A4A" w14:textId="77777777" w:rsidR="00EF56B3" w:rsidRPr="008D5D93" w:rsidRDefault="00EF56B3" w:rsidP="008D5D93">
      <w:pPr>
        <w:spacing w:after="0" w:line="360" w:lineRule="auto"/>
        <w:jc w:val="both"/>
        <w:rPr>
          <w:rFonts w:ascii="Book Antiqua" w:hAnsi="Book Antiqua"/>
          <w:sz w:val="24"/>
          <w:szCs w:val="24"/>
          <w:lang w:eastAsia="zh-CN"/>
        </w:rPr>
      </w:pPr>
    </w:p>
    <w:p w14:paraId="360CE773" w14:textId="77777777" w:rsidR="007C03F1" w:rsidRPr="008D5D93" w:rsidRDefault="007C03F1" w:rsidP="008D5D93">
      <w:pPr>
        <w:spacing w:after="0" w:line="360" w:lineRule="auto"/>
        <w:jc w:val="both"/>
        <w:rPr>
          <w:rFonts w:ascii="Book Antiqua" w:hAnsi="Book Antiqua"/>
          <w:sz w:val="24"/>
          <w:szCs w:val="24"/>
        </w:rPr>
      </w:pPr>
      <w:r w:rsidRPr="008D5D93">
        <w:rPr>
          <w:rFonts w:ascii="Book Antiqua" w:hAnsi="Book Antiqua"/>
          <w:sz w:val="24"/>
          <w:szCs w:val="24"/>
        </w:rPr>
        <w:br w:type="page"/>
      </w:r>
    </w:p>
    <w:p w14:paraId="2817F3F5" w14:textId="77777777" w:rsidR="007C03F1" w:rsidRPr="00814BF6" w:rsidRDefault="007C03F1" w:rsidP="00814BF6">
      <w:pPr>
        <w:spacing w:after="0" w:line="360" w:lineRule="auto"/>
        <w:jc w:val="both"/>
        <w:rPr>
          <w:rFonts w:ascii="Book Antiqua" w:hAnsi="Book Antiqua" w:cs="Times New Roman"/>
          <w:sz w:val="24"/>
          <w:szCs w:val="24"/>
        </w:rPr>
      </w:pPr>
    </w:p>
    <w:p w14:paraId="39F6B4ED" w14:textId="77777777" w:rsidR="007C03F1" w:rsidRPr="00814BF6" w:rsidRDefault="007C03F1" w:rsidP="00814BF6">
      <w:pPr>
        <w:spacing w:after="0" w:line="360" w:lineRule="auto"/>
        <w:jc w:val="both"/>
        <w:rPr>
          <w:rFonts w:ascii="Book Antiqua" w:hAnsi="Book Antiqua" w:cs="Times New Roman"/>
          <w:sz w:val="24"/>
          <w:szCs w:val="24"/>
        </w:rPr>
      </w:pPr>
      <w:r w:rsidRPr="00814BF6">
        <w:rPr>
          <w:rFonts w:ascii="Book Antiqua" w:hAnsi="Book Antiqua" w:cs="Times New Roman"/>
          <w:noProof/>
          <w:sz w:val="24"/>
          <w:szCs w:val="24"/>
        </w:rPr>
        <w:drawing>
          <wp:inline distT="0" distB="0" distL="0" distR="0" wp14:anchorId="48CEF585" wp14:editId="46ADB812">
            <wp:extent cx="5933440" cy="196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3440" cy="1967865"/>
                    </a:xfrm>
                    <a:prstGeom prst="rect">
                      <a:avLst/>
                    </a:prstGeom>
                    <a:noFill/>
                    <a:ln>
                      <a:noFill/>
                    </a:ln>
                  </pic:spPr>
                </pic:pic>
              </a:graphicData>
            </a:graphic>
          </wp:inline>
        </w:drawing>
      </w:r>
    </w:p>
    <w:p w14:paraId="4887C768" w14:textId="77777777" w:rsidR="00950C81" w:rsidRPr="00814BF6" w:rsidRDefault="00950C81" w:rsidP="00950C81">
      <w:pPr>
        <w:spacing w:after="0" w:line="360" w:lineRule="auto"/>
        <w:contextualSpacing/>
        <w:jc w:val="both"/>
        <w:rPr>
          <w:rFonts w:ascii="Book Antiqua" w:eastAsia="宋体" w:hAnsi="Book Antiqua" w:cs="Times New Roman"/>
          <w:sz w:val="24"/>
          <w:szCs w:val="24"/>
        </w:rPr>
      </w:pPr>
      <w:r w:rsidRPr="00950C81">
        <w:rPr>
          <w:rFonts w:ascii="Book Antiqua" w:hAnsi="Book Antiqua" w:cs="Times New Roman"/>
          <w:b/>
          <w:sz w:val="24"/>
          <w:szCs w:val="24"/>
        </w:rPr>
        <w:t xml:space="preserve">Figure 1 </w:t>
      </w:r>
      <w:r w:rsidRPr="00950C81">
        <w:rPr>
          <w:rFonts w:ascii="Book Antiqua" w:eastAsia="宋体" w:hAnsi="Book Antiqua" w:cs="Times New Roman"/>
          <w:b/>
          <w:sz w:val="24"/>
          <w:szCs w:val="24"/>
        </w:rPr>
        <w:t xml:space="preserve">Transverse and coronal images of representative 4D </w:t>
      </w:r>
      <w:r w:rsidRPr="00950C81">
        <w:rPr>
          <w:rFonts w:ascii="Book Antiqua" w:hAnsi="Book Antiqua" w:cs="Times New Roman"/>
          <w:b/>
          <w:sz w:val="24"/>
          <w:szCs w:val="24"/>
        </w:rPr>
        <w:t>intensity modulated radiation therapy with simultaneous integrated boost</w:t>
      </w:r>
      <w:r w:rsidRPr="00950C81">
        <w:rPr>
          <w:rFonts w:ascii="Book Antiqua" w:eastAsia="宋体" w:hAnsi="Book Antiqua" w:cs="Times New Roman"/>
          <w:b/>
          <w:sz w:val="24"/>
          <w:szCs w:val="24"/>
        </w:rPr>
        <w:t xml:space="preserve">. </w:t>
      </w:r>
      <w:r w:rsidRPr="00814BF6">
        <w:rPr>
          <w:rFonts w:ascii="Book Antiqua" w:eastAsia="宋体" w:hAnsi="Book Antiqua" w:cs="Times New Roman"/>
          <w:sz w:val="24"/>
          <w:szCs w:val="24"/>
        </w:rPr>
        <w:t>The isodose lines for 5040 cGy (pink) and 5600 cGy (red) were labeled.</w:t>
      </w:r>
    </w:p>
    <w:p w14:paraId="1BF9BC6C" w14:textId="77777777" w:rsidR="009779A9" w:rsidRPr="00814BF6" w:rsidRDefault="009779A9" w:rsidP="00814BF6">
      <w:pPr>
        <w:spacing w:after="0" w:line="360" w:lineRule="auto"/>
        <w:contextualSpacing/>
        <w:jc w:val="both"/>
        <w:rPr>
          <w:rFonts w:ascii="Book Antiqua" w:eastAsia="宋体" w:hAnsi="Book Antiqua" w:cs="Times New Roman"/>
          <w:sz w:val="24"/>
          <w:szCs w:val="24"/>
          <w:lang w:eastAsia="zh-CN"/>
        </w:rPr>
      </w:pPr>
    </w:p>
    <w:p w14:paraId="56BE3454" w14:textId="77777777" w:rsidR="009C737A" w:rsidRDefault="009C737A">
      <w:pPr>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14:paraId="59EA6417" w14:textId="77777777" w:rsidR="009779A9" w:rsidRPr="00814BF6" w:rsidRDefault="009779A9" w:rsidP="00814BF6">
      <w:pPr>
        <w:spacing w:after="0" w:line="360" w:lineRule="auto"/>
        <w:contextualSpacing/>
        <w:jc w:val="both"/>
        <w:rPr>
          <w:rFonts w:ascii="Book Antiqua" w:eastAsia="宋体" w:hAnsi="Book Antiqua" w:cs="Times New Roman"/>
          <w:sz w:val="24"/>
          <w:szCs w:val="24"/>
          <w:lang w:eastAsia="zh-CN"/>
        </w:rPr>
      </w:pPr>
    </w:p>
    <w:p w14:paraId="100E9D93" w14:textId="77777777" w:rsidR="007C03F1" w:rsidRPr="00814BF6" w:rsidRDefault="007C03F1" w:rsidP="00814BF6">
      <w:pPr>
        <w:autoSpaceDE w:val="0"/>
        <w:autoSpaceDN w:val="0"/>
        <w:adjustRightInd w:val="0"/>
        <w:spacing w:after="0" w:line="360" w:lineRule="auto"/>
        <w:jc w:val="both"/>
        <w:rPr>
          <w:rFonts w:ascii="Book Antiqua" w:hAnsi="Book Antiqua" w:cs="Times New Roman"/>
          <w:b/>
          <w:bCs/>
          <w:sz w:val="24"/>
          <w:szCs w:val="24"/>
        </w:rPr>
      </w:pPr>
      <w:r w:rsidRPr="00814BF6">
        <w:rPr>
          <w:rFonts w:ascii="Book Antiqua" w:hAnsi="Book Antiqua" w:cs="Times New Roman"/>
          <w:b/>
          <w:bCs/>
          <w:noProof/>
          <w:sz w:val="24"/>
          <w:szCs w:val="24"/>
        </w:rPr>
        <w:drawing>
          <wp:inline distT="0" distB="0" distL="0" distR="0" wp14:anchorId="117B72B1" wp14:editId="47EBB635">
            <wp:extent cx="5647690" cy="400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7690" cy="4003675"/>
                    </a:xfrm>
                    <a:prstGeom prst="rect">
                      <a:avLst/>
                    </a:prstGeom>
                    <a:noFill/>
                    <a:ln>
                      <a:noFill/>
                    </a:ln>
                  </pic:spPr>
                </pic:pic>
              </a:graphicData>
            </a:graphic>
          </wp:inline>
        </w:drawing>
      </w:r>
    </w:p>
    <w:p w14:paraId="1BBFD45D" w14:textId="77777777" w:rsidR="007C03F1" w:rsidRPr="00814BF6" w:rsidRDefault="007C03F1" w:rsidP="00814BF6">
      <w:pPr>
        <w:autoSpaceDE w:val="0"/>
        <w:autoSpaceDN w:val="0"/>
        <w:adjustRightInd w:val="0"/>
        <w:spacing w:after="0" w:line="360" w:lineRule="auto"/>
        <w:jc w:val="both"/>
        <w:rPr>
          <w:rFonts w:ascii="Book Antiqua" w:hAnsi="Book Antiqua" w:cs="Times New Roman"/>
          <w:b/>
          <w:bCs/>
          <w:sz w:val="24"/>
          <w:szCs w:val="24"/>
        </w:rPr>
      </w:pPr>
    </w:p>
    <w:p w14:paraId="2942C3F6" w14:textId="77777777" w:rsidR="007C03F1" w:rsidRPr="00814BF6" w:rsidRDefault="007C03F1" w:rsidP="00814BF6">
      <w:pPr>
        <w:autoSpaceDE w:val="0"/>
        <w:autoSpaceDN w:val="0"/>
        <w:adjustRightInd w:val="0"/>
        <w:spacing w:after="0" w:line="360" w:lineRule="auto"/>
        <w:jc w:val="both"/>
        <w:rPr>
          <w:rFonts w:ascii="Book Antiqua" w:hAnsi="Book Antiqua" w:cs="Times New Roman"/>
          <w:b/>
          <w:bCs/>
          <w:sz w:val="24"/>
          <w:szCs w:val="24"/>
        </w:rPr>
      </w:pPr>
      <w:r w:rsidRPr="00814BF6">
        <w:rPr>
          <w:rFonts w:ascii="Book Antiqua" w:hAnsi="Book Antiqua" w:cs="Times New Roman"/>
          <w:b/>
          <w:bCs/>
          <w:noProof/>
          <w:sz w:val="24"/>
          <w:szCs w:val="24"/>
        </w:rPr>
        <w:drawing>
          <wp:inline distT="0" distB="0" distL="0" distR="0" wp14:anchorId="38B9FB27" wp14:editId="51E4D039">
            <wp:extent cx="5478780" cy="40265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8780" cy="4026535"/>
                    </a:xfrm>
                    <a:prstGeom prst="rect">
                      <a:avLst/>
                    </a:prstGeom>
                    <a:noFill/>
                    <a:ln>
                      <a:noFill/>
                    </a:ln>
                  </pic:spPr>
                </pic:pic>
              </a:graphicData>
            </a:graphic>
          </wp:inline>
        </w:drawing>
      </w:r>
    </w:p>
    <w:p w14:paraId="0164757C" w14:textId="77777777" w:rsidR="007C03F1" w:rsidRPr="00814BF6" w:rsidRDefault="007C03F1" w:rsidP="00814BF6">
      <w:pPr>
        <w:autoSpaceDE w:val="0"/>
        <w:autoSpaceDN w:val="0"/>
        <w:adjustRightInd w:val="0"/>
        <w:spacing w:after="0" w:line="360" w:lineRule="auto"/>
        <w:jc w:val="both"/>
        <w:rPr>
          <w:rFonts w:ascii="Book Antiqua" w:hAnsi="Book Antiqua" w:cs="Times New Roman"/>
          <w:b/>
          <w:bCs/>
          <w:sz w:val="24"/>
          <w:szCs w:val="24"/>
        </w:rPr>
      </w:pPr>
    </w:p>
    <w:p w14:paraId="05FBC39B" w14:textId="77777777" w:rsidR="007C03F1" w:rsidRDefault="009C737A" w:rsidP="00814BF6">
      <w:pPr>
        <w:autoSpaceDE w:val="0"/>
        <w:autoSpaceDN w:val="0"/>
        <w:adjustRightInd w:val="0"/>
        <w:spacing w:after="0" w:line="360" w:lineRule="auto"/>
        <w:jc w:val="both"/>
        <w:rPr>
          <w:rFonts w:ascii="Book Antiqua" w:hAnsi="Book Antiqua" w:cs="Times New Roman"/>
          <w:sz w:val="24"/>
          <w:szCs w:val="24"/>
          <w:lang w:eastAsia="zh-CN"/>
        </w:rPr>
      </w:pPr>
      <w:r w:rsidRPr="009C737A">
        <w:rPr>
          <w:rFonts w:ascii="Book Antiqua" w:hAnsi="Book Antiqua" w:cs="Times New Roman"/>
          <w:b/>
          <w:sz w:val="24"/>
          <w:szCs w:val="24"/>
        </w:rPr>
        <w:t>Figure 2</w:t>
      </w:r>
      <w:r w:rsidR="007C03F1" w:rsidRPr="009C737A">
        <w:rPr>
          <w:rFonts w:ascii="Book Antiqua" w:hAnsi="Book Antiqua" w:cs="Times New Roman"/>
          <w:b/>
          <w:sz w:val="24"/>
          <w:szCs w:val="24"/>
        </w:rPr>
        <w:t xml:space="preserve"> Kaplan-Maier </w:t>
      </w:r>
      <w:r w:rsidR="007C03F1" w:rsidRPr="009C737A">
        <w:rPr>
          <w:rFonts w:ascii="Book Antiqua" w:hAnsi="Book Antiqua" w:cs="Times New Roman"/>
          <w:b/>
          <w:iCs/>
          <w:sz w:val="24"/>
          <w:szCs w:val="24"/>
        </w:rPr>
        <w:t>survival</w:t>
      </w:r>
      <w:r w:rsidR="007C03F1" w:rsidRPr="009C737A">
        <w:rPr>
          <w:rFonts w:ascii="Book Antiqua" w:hAnsi="Book Antiqua" w:cs="Times New Roman"/>
          <w:b/>
          <w:sz w:val="24"/>
          <w:szCs w:val="24"/>
        </w:rPr>
        <w:t xml:space="preserve"> </w:t>
      </w:r>
      <w:proofErr w:type="gramStart"/>
      <w:r w:rsidR="007C03F1" w:rsidRPr="009C737A">
        <w:rPr>
          <w:rFonts w:ascii="Book Antiqua" w:hAnsi="Book Antiqua" w:cs="Times New Roman"/>
          <w:b/>
          <w:iCs/>
          <w:sz w:val="24"/>
          <w:szCs w:val="24"/>
        </w:rPr>
        <w:t>curve</w:t>
      </w:r>
      <w:proofErr w:type="gramEnd"/>
      <w:r w:rsidR="007C03F1" w:rsidRPr="009C737A">
        <w:rPr>
          <w:rFonts w:ascii="Book Antiqua" w:hAnsi="Book Antiqua" w:cs="Times New Roman"/>
          <w:b/>
          <w:sz w:val="24"/>
          <w:szCs w:val="24"/>
        </w:rPr>
        <w:t>.</w:t>
      </w:r>
      <w:r>
        <w:rPr>
          <w:rFonts w:ascii="Book Antiqua" w:hAnsi="Book Antiqua" w:cs="Times New Roman"/>
          <w:sz w:val="24"/>
          <w:szCs w:val="24"/>
        </w:rPr>
        <w:t xml:space="preserve"> A</w:t>
      </w:r>
      <w:r>
        <w:rPr>
          <w:rFonts w:ascii="Book Antiqua" w:hAnsi="Book Antiqua" w:cs="Times New Roman" w:hint="eastAsia"/>
          <w:sz w:val="24"/>
          <w:szCs w:val="24"/>
          <w:lang w:eastAsia="zh-CN"/>
        </w:rPr>
        <w:t>:</w:t>
      </w:r>
      <w:r w:rsidR="007C03F1" w:rsidRPr="00814BF6">
        <w:rPr>
          <w:rFonts w:ascii="Book Antiqua" w:hAnsi="Book Antiqua" w:cs="Times New Roman"/>
          <w:sz w:val="24"/>
          <w:szCs w:val="24"/>
        </w:rPr>
        <w:t xml:space="preserve"> Overall survival for patients with pathological complete response (pCR) or without (pPD) (</w:t>
      </w:r>
      <w:r w:rsidRPr="009C737A">
        <w:rPr>
          <w:rFonts w:ascii="Book Antiqua" w:hAnsi="Book Antiqua" w:cs="Times New Roman"/>
          <w:i/>
          <w:sz w:val="24"/>
          <w:szCs w:val="24"/>
        </w:rPr>
        <w:t>P</w:t>
      </w:r>
      <w:r w:rsidR="007C03F1" w:rsidRPr="00814BF6">
        <w:rPr>
          <w:rFonts w:ascii="Book Antiqua" w:hAnsi="Book Antiqua" w:cs="Times New Roman"/>
          <w:sz w:val="24"/>
          <w:szCs w:val="24"/>
        </w:rPr>
        <w:t xml:space="preserve"> = 0.523; </w:t>
      </w:r>
      <w:r w:rsidRPr="009C737A">
        <w:rPr>
          <w:rFonts w:ascii="Book Antiqua" w:hAnsi="Book Antiqua" w:cs="Times New Roman"/>
          <w:i/>
          <w:sz w:val="24"/>
          <w:szCs w:val="24"/>
        </w:rPr>
        <w:sym w:font="Symbol" w:char="F063"/>
      </w:r>
      <w:r w:rsidRPr="009C737A">
        <w:rPr>
          <w:rFonts w:ascii="Book Antiqua" w:hAnsi="Book Antiqua" w:cs="Times New Roman" w:hint="eastAsia"/>
          <w:sz w:val="24"/>
          <w:szCs w:val="24"/>
          <w:vertAlign w:val="superscript"/>
          <w:lang w:eastAsia="zh-CN"/>
        </w:rPr>
        <w:t>2</w:t>
      </w:r>
      <w:r w:rsidR="007C03F1" w:rsidRPr="00814BF6">
        <w:rPr>
          <w:rFonts w:ascii="Book Antiqua" w:hAnsi="Book Antiqua" w:cs="Times New Roman"/>
          <w:sz w:val="24"/>
          <w:szCs w:val="24"/>
        </w:rPr>
        <w:t xml:space="preserve"> = 3.767)</w:t>
      </w:r>
      <w:r>
        <w:rPr>
          <w:rFonts w:ascii="Book Antiqua" w:hAnsi="Book Antiqua" w:cs="Times New Roman" w:hint="eastAsia"/>
          <w:sz w:val="24"/>
          <w:szCs w:val="24"/>
          <w:lang w:eastAsia="zh-CN"/>
        </w:rPr>
        <w:t>;</w:t>
      </w:r>
      <w:r>
        <w:rPr>
          <w:rFonts w:ascii="Book Antiqua" w:hAnsi="Book Antiqua" w:cs="Times New Roman"/>
          <w:sz w:val="24"/>
          <w:szCs w:val="24"/>
        </w:rPr>
        <w:t xml:space="preserve"> B</w:t>
      </w:r>
      <w:r>
        <w:rPr>
          <w:rFonts w:ascii="Book Antiqua" w:hAnsi="Book Antiqua" w:cs="Times New Roman" w:hint="eastAsia"/>
          <w:sz w:val="24"/>
          <w:szCs w:val="24"/>
          <w:lang w:eastAsia="zh-CN"/>
        </w:rPr>
        <w:t>:</w:t>
      </w:r>
      <w:r w:rsidR="007C03F1" w:rsidRPr="00814BF6">
        <w:rPr>
          <w:rFonts w:ascii="Book Antiqua" w:hAnsi="Book Antiqua" w:cs="Times New Roman"/>
          <w:sz w:val="24"/>
          <w:szCs w:val="24"/>
        </w:rPr>
        <w:t xml:space="preserve"> Disease-free survival (</w:t>
      </w:r>
      <w:r w:rsidRPr="009C737A">
        <w:rPr>
          <w:rFonts w:ascii="Book Antiqua" w:hAnsi="Book Antiqua" w:cs="Times New Roman"/>
          <w:i/>
          <w:sz w:val="24"/>
          <w:szCs w:val="24"/>
        </w:rPr>
        <w:t>P</w:t>
      </w:r>
      <w:r w:rsidR="007C03F1" w:rsidRPr="00814BF6">
        <w:rPr>
          <w:rFonts w:ascii="Book Antiqua" w:hAnsi="Book Antiqua" w:cs="Times New Roman"/>
          <w:sz w:val="24"/>
          <w:szCs w:val="24"/>
        </w:rPr>
        <w:t xml:space="preserve"> = 0.897; </w:t>
      </w:r>
      <w:r w:rsidRPr="009C737A">
        <w:rPr>
          <w:rFonts w:ascii="Book Antiqua" w:hAnsi="Book Antiqua" w:cs="Times New Roman"/>
          <w:i/>
          <w:sz w:val="24"/>
          <w:szCs w:val="24"/>
        </w:rPr>
        <w:sym w:font="Symbol" w:char="F063"/>
      </w:r>
      <w:r w:rsidRPr="009C737A">
        <w:rPr>
          <w:rFonts w:ascii="Book Antiqua" w:hAnsi="Book Antiqua" w:cs="Times New Roman" w:hint="eastAsia"/>
          <w:sz w:val="24"/>
          <w:szCs w:val="24"/>
          <w:vertAlign w:val="superscript"/>
          <w:lang w:eastAsia="zh-CN"/>
        </w:rPr>
        <w:t>2</w:t>
      </w:r>
      <w:r w:rsidR="007C03F1" w:rsidRPr="00814BF6">
        <w:rPr>
          <w:rFonts w:ascii="Book Antiqua" w:hAnsi="Book Antiqua" w:cs="Times New Roman"/>
          <w:sz w:val="24"/>
          <w:szCs w:val="24"/>
        </w:rPr>
        <w:t xml:space="preserve"> = 2.879). The disease-free survival represented from both local regional recurrences at anastomotic site, mediastinum, celiac trunk, or supraclavicular lymph nodes and distant metastases. </w:t>
      </w:r>
    </w:p>
    <w:p w14:paraId="268BD592" w14:textId="77777777" w:rsidR="00950C81" w:rsidRPr="00950C81" w:rsidRDefault="00950C81" w:rsidP="00814BF6">
      <w:pPr>
        <w:autoSpaceDE w:val="0"/>
        <w:autoSpaceDN w:val="0"/>
        <w:adjustRightInd w:val="0"/>
        <w:spacing w:after="0" w:line="360" w:lineRule="auto"/>
        <w:jc w:val="both"/>
        <w:rPr>
          <w:rFonts w:ascii="Book Antiqua" w:hAnsi="Book Antiqua" w:cs="Times New Roman"/>
          <w:sz w:val="24"/>
          <w:szCs w:val="24"/>
          <w:lang w:eastAsia="zh-CN"/>
        </w:rPr>
      </w:pPr>
    </w:p>
    <w:p w14:paraId="5D8D1338" w14:textId="77777777" w:rsidR="007C03F1" w:rsidRPr="00814BF6" w:rsidRDefault="007C03F1" w:rsidP="00814BF6">
      <w:pPr>
        <w:spacing w:after="0" w:line="360" w:lineRule="auto"/>
        <w:jc w:val="both"/>
        <w:rPr>
          <w:rFonts w:ascii="Book Antiqua" w:hAnsi="Book Antiqua" w:cs="Times New Roman"/>
          <w:sz w:val="24"/>
          <w:szCs w:val="24"/>
        </w:rPr>
      </w:pPr>
      <w:r w:rsidRPr="00814BF6">
        <w:rPr>
          <w:rFonts w:ascii="Book Antiqua" w:hAnsi="Book Antiqua" w:cs="Times New Roman"/>
          <w:sz w:val="24"/>
          <w:szCs w:val="24"/>
        </w:rPr>
        <w:br w:type="page"/>
      </w:r>
    </w:p>
    <w:p w14:paraId="08272958" w14:textId="77777777" w:rsidR="007C03F1" w:rsidRPr="00814BF6" w:rsidRDefault="007C03F1" w:rsidP="00814BF6">
      <w:pPr>
        <w:spacing w:after="0" w:line="360" w:lineRule="auto"/>
        <w:jc w:val="both"/>
        <w:rPr>
          <w:rFonts w:ascii="Book Antiqua" w:hAnsi="Book Antiqu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62"/>
      </w:tblGrid>
      <w:tr w:rsidR="00814BF6" w:rsidRPr="00814BF6" w14:paraId="1BE945B8" w14:textId="77777777" w:rsidTr="00950C81">
        <w:tc>
          <w:tcPr>
            <w:tcW w:w="4788" w:type="dxa"/>
            <w:tcBorders>
              <w:bottom w:val="single" w:sz="4" w:space="0" w:color="auto"/>
            </w:tcBorders>
          </w:tcPr>
          <w:p w14:paraId="6169D69B" w14:textId="77777777" w:rsidR="007C03F1" w:rsidRPr="00814BF6" w:rsidRDefault="007C03F1" w:rsidP="009C737A">
            <w:pPr>
              <w:spacing w:line="360" w:lineRule="auto"/>
              <w:contextualSpacing/>
              <w:jc w:val="both"/>
              <w:rPr>
                <w:rFonts w:ascii="Book Antiqua" w:hAnsi="Book Antiqua" w:cs="Times New Roman"/>
                <w:b/>
                <w:sz w:val="24"/>
                <w:szCs w:val="24"/>
              </w:rPr>
            </w:pPr>
            <w:r w:rsidRPr="00814BF6">
              <w:rPr>
                <w:rFonts w:ascii="Book Antiqua" w:hAnsi="Book Antiqua" w:cs="Times New Roman"/>
                <w:b/>
                <w:sz w:val="24"/>
                <w:szCs w:val="24"/>
              </w:rPr>
              <w:t xml:space="preserve">Table 1 Characteristics of 17 </w:t>
            </w:r>
            <w:r w:rsidR="009C737A" w:rsidRPr="00814BF6">
              <w:rPr>
                <w:rFonts w:ascii="Book Antiqua" w:hAnsi="Book Antiqua" w:cs="Times New Roman"/>
                <w:b/>
                <w:sz w:val="24"/>
                <w:szCs w:val="24"/>
              </w:rPr>
              <w:t>p</w:t>
            </w:r>
            <w:r w:rsidRPr="00814BF6">
              <w:rPr>
                <w:rFonts w:ascii="Book Antiqua" w:hAnsi="Book Antiqua" w:cs="Times New Roman"/>
                <w:b/>
                <w:sz w:val="24"/>
                <w:szCs w:val="24"/>
              </w:rPr>
              <w:t>atients</w:t>
            </w:r>
          </w:p>
        </w:tc>
        <w:tc>
          <w:tcPr>
            <w:tcW w:w="4562" w:type="dxa"/>
            <w:tcBorders>
              <w:bottom w:val="single" w:sz="4" w:space="0" w:color="auto"/>
            </w:tcBorders>
          </w:tcPr>
          <w:p w14:paraId="345AD6A5" w14:textId="77777777" w:rsidR="007C03F1" w:rsidRPr="00814BF6" w:rsidRDefault="007C03F1" w:rsidP="00814BF6">
            <w:pPr>
              <w:spacing w:line="360" w:lineRule="auto"/>
              <w:contextualSpacing/>
              <w:jc w:val="both"/>
              <w:rPr>
                <w:rFonts w:ascii="Book Antiqua" w:hAnsi="Book Antiqua" w:cs="Times New Roman"/>
                <w:sz w:val="24"/>
                <w:szCs w:val="24"/>
              </w:rPr>
            </w:pPr>
          </w:p>
        </w:tc>
      </w:tr>
      <w:tr w:rsidR="00814BF6" w:rsidRPr="00814BF6" w14:paraId="5E79A3DC" w14:textId="77777777" w:rsidTr="00950C81">
        <w:trPr>
          <w:cantSplit/>
          <w:tblHeader/>
        </w:trPr>
        <w:tc>
          <w:tcPr>
            <w:tcW w:w="4788" w:type="dxa"/>
            <w:tcBorders>
              <w:top w:val="single" w:sz="4" w:space="0" w:color="auto"/>
            </w:tcBorders>
          </w:tcPr>
          <w:p w14:paraId="5F246C26" w14:textId="77777777" w:rsidR="007C03F1" w:rsidRPr="00814BF6" w:rsidRDefault="007C03F1" w:rsidP="00814BF6">
            <w:pPr>
              <w:spacing w:line="360" w:lineRule="auto"/>
              <w:contextualSpacing/>
              <w:jc w:val="both"/>
              <w:rPr>
                <w:rFonts w:ascii="Book Antiqua" w:hAnsi="Book Antiqua" w:cs="Times New Roman"/>
                <w:b/>
                <w:sz w:val="24"/>
                <w:szCs w:val="24"/>
              </w:rPr>
            </w:pPr>
            <w:r w:rsidRPr="00814BF6">
              <w:rPr>
                <w:rFonts w:ascii="Book Antiqua" w:hAnsi="Book Antiqua" w:cs="Times New Roman"/>
                <w:b/>
                <w:sz w:val="24"/>
                <w:szCs w:val="24"/>
              </w:rPr>
              <w:t>Characteristic</w:t>
            </w:r>
          </w:p>
        </w:tc>
        <w:tc>
          <w:tcPr>
            <w:tcW w:w="4562" w:type="dxa"/>
            <w:tcBorders>
              <w:top w:val="single" w:sz="4" w:space="0" w:color="auto"/>
            </w:tcBorders>
          </w:tcPr>
          <w:p w14:paraId="1355D283" w14:textId="77777777" w:rsidR="007C03F1" w:rsidRPr="00814BF6" w:rsidRDefault="007C03F1" w:rsidP="00814BF6">
            <w:pPr>
              <w:spacing w:line="360" w:lineRule="auto"/>
              <w:contextualSpacing/>
              <w:jc w:val="both"/>
              <w:rPr>
                <w:rFonts w:ascii="Book Antiqua" w:hAnsi="Book Antiqua" w:cs="Times New Roman"/>
                <w:b/>
                <w:sz w:val="24"/>
                <w:szCs w:val="24"/>
              </w:rPr>
            </w:pPr>
            <w:r w:rsidRPr="00814BF6">
              <w:rPr>
                <w:rFonts w:ascii="Book Antiqua" w:hAnsi="Book Antiqua" w:cs="Times New Roman"/>
                <w:b/>
                <w:sz w:val="24"/>
                <w:szCs w:val="24"/>
              </w:rPr>
              <w:t>Value</w:t>
            </w:r>
          </w:p>
        </w:tc>
      </w:tr>
      <w:tr w:rsidR="00814BF6" w:rsidRPr="00814BF6" w14:paraId="061195BF" w14:textId="77777777" w:rsidTr="00950C81">
        <w:tc>
          <w:tcPr>
            <w:tcW w:w="4788" w:type="dxa"/>
            <w:tcBorders>
              <w:bottom w:val="single" w:sz="4" w:space="0" w:color="auto"/>
            </w:tcBorders>
          </w:tcPr>
          <w:p w14:paraId="7B901891"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Mean age (range)</w:t>
            </w:r>
          </w:p>
          <w:p w14:paraId="620B7739"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Men/women (</w:t>
            </w:r>
            <w:r w:rsidRPr="009C737A">
              <w:rPr>
                <w:rFonts w:ascii="Book Antiqua" w:hAnsi="Book Antiqua" w:cs="Times New Roman"/>
                <w:i/>
                <w:sz w:val="24"/>
                <w:szCs w:val="24"/>
              </w:rPr>
              <w:t>n</w:t>
            </w:r>
            <w:r w:rsidRPr="00814BF6">
              <w:rPr>
                <w:rFonts w:ascii="Book Antiqua" w:hAnsi="Book Antiqua" w:cs="Times New Roman"/>
                <w:sz w:val="24"/>
                <w:szCs w:val="24"/>
              </w:rPr>
              <w:t>)</w:t>
            </w:r>
          </w:p>
          <w:p w14:paraId="6CE9ABFB"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ECOG PS (</w:t>
            </w:r>
            <w:r w:rsidRPr="009C737A">
              <w:rPr>
                <w:rFonts w:ascii="Book Antiqua" w:hAnsi="Book Antiqua" w:cs="Times New Roman"/>
                <w:i/>
                <w:sz w:val="24"/>
                <w:szCs w:val="24"/>
              </w:rPr>
              <w:t>n</w:t>
            </w:r>
            <w:r w:rsidRPr="00814BF6">
              <w:rPr>
                <w:rFonts w:ascii="Book Antiqua" w:hAnsi="Book Antiqua" w:cs="Times New Roman"/>
                <w:sz w:val="24"/>
                <w:szCs w:val="24"/>
              </w:rPr>
              <w:t>)</w:t>
            </w:r>
          </w:p>
          <w:p w14:paraId="5B77BA10"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0</w:t>
            </w:r>
          </w:p>
          <w:p w14:paraId="1B29D7A6"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1</w:t>
            </w:r>
          </w:p>
          <w:p w14:paraId="2F42BAFF"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2</w:t>
            </w:r>
          </w:p>
          <w:p w14:paraId="2E0C8B40"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3</w:t>
            </w:r>
          </w:p>
          <w:p w14:paraId="3246DC16"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T stage (</w:t>
            </w:r>
            <w:r w:rsidRPr="009C737A">
              <w:rPr>
                <w:rFonts w:ascii="Book Antiqua" w:hAnsi="Book Antiqua" w:cs="Times New Roman"/>
                <w:i/>
                <w:sz w:val="24"/>
                <w:szCs w:val="24"/>
              </w:rPr>
              <w:t>n</w:t>
            </w:r>
            <w:r w:rsidRPr="00814BF6">
              <w:rPr>
                <w:rFonts w:ascii="Book Antiqua" w:hAnsi="Book Antiqua" w:cs="Times New Roman"/>
                <w:sz w:val="24"/>
                <w:szCs w:val="24"/>
              </w:rPr>
              <w:t>)</w:t>
            </w:r>
          </w:p>
          <w:p w14:paraId="6375F68E"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T1</w:t>
            </w:r>
          </w:p>
          <w:p w14:paraId="3F809920"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T2</w:t>
            </w:r>
          </w:p>
          <w:p w14:paraId="437F3DE9"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T3</w:t>
            </w:r>
          </w:p>
          <w:p w14:paraId="0376F2F5"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T4</w:t>
            </w:r>
          </w:p>
          <w:p w14:paraId="05535648"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N stage (</w:t>
            </w:r>
            <w:r w:rsidRPr="009C737A">
              <w:rPr>
                <w:rFonts w:ascii="Book Antiqua" w:hAnsi="Book Antiqua" w:cs="Times New Roman"/>
                <w:i/>
                <w:sz w:val="24"/>
                <w:szCs w:val="24"/>
              </w:rPr>
              <w:t>n</w:t>
            </w:r>
            <w:r w:rsidRPr="00814BF6">
              <w:rPr>
                <w:rFonts w:ascii="Book Antiqua" w:hAnsi="Book Antiqua" w:cs="Times New Roman"/>
                <w:sz w:val="24"/>
                <w:szCs w:val="24"/>
              </w:rPr>
              <w:t>)</w:t>
            </w:r>
          </w:p>
          <w:p w14:paraId="6921C140"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N0</w:t>
            </w:r>
          </w:p>
          <w:p w14:paraId="4EFF9DD3"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N1</w:t>
            </w:r>
          </w:p>
          <w:p w14:paraId="3F567EDF"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Concurrent chemotherapy (</w:t>
            </w:r>
            <w:r w:rsidRPr="009C737A">
              <w:rPr>
                <w:rFonts w:ascii="Book Antiqua" w:hAnsi="Book Antiqua" w:cs="Times New Roman"/>
                <w:i/>
                <w:sz w:val="24"/>
                <w:szCs w:val="24"/>
              </w:rPr>
              <w:t>n</w:t>
            </w:r>
            <w:r w:rsidRPr="00814BF6">
              <w:rPr>
                <w:rFonts w:ascii="Book Antiqua" w:hAnsi="Book Antiqua" w:cs="Times New Roman"/>
                <w:sz w:val="24"/>
                <w:szCs w:val="24"/>
              </w:rPr>
              <w:t>)</w:t>
            </w:r>
          </w:p>
          <w:p w14:paraId="744DF4F8" w14:textId="77777777" w:rsidR="007C03F1" w:rsidRPr="00814BF6" w:rsidRDefault="009C737A" w:rsidP="00814BF6">
            <w:pPr>
              <w:spacing w:line="360" w:lineRule="auto"/>
              <w:contextualSpacing/>
              <w:jc w:val="both"/>
              <w:rPr>
                <w:rFonts w:ascii="Book Antiqua" w:hAnsi="Book Antiqua" w:cs="Times New Roman"/>
                <w:sz w:val="24"/>
                <w:szCs w:val="24"/>
              </w:rPr>
            </w:pPr>
            <w:r>
              <w:rPr>
                <w:rFonts w:ascii="Book Antiqua" w:hAnsi="Book Antiqua" w:cs="Times New Roman"/>
                <w:sz w:val="24"/>
                <w:szCs w:val="24"/>
              </w:rPr>
              <w:t>5-FU</w:t>
            </w:r>
            <w:r w:rsidR="007C03F1" w:rsidRPr="00814BF6">
              <w:rPr>
                <w:rFonts w:ascii="Book Antiqua" w:hAnsi="Book Antiqua" w:cs="Times New Roman"/>
                <w:sz w:val="24"/>
                <w:szCs w:val="24"/>
              </w:rPr>
              <w:t>/</w:t>
            </w:r>
            <w:r w:rsidRPr="00814BF6">
              <w:rPr>
                <w:rFonts w:ascii="Book Antiqua" w:hAnsi="Book Antiqua" w:cs="Times New Roman"/>
                <w:sz w:val="24"/>
                <w:szCs w:val="24"/>
              </w:rPr>
              <w:t>c</w:t>
            </w:r>
            <w:r w:rsidR="007C03F1" w:rsidRPr="00814BF6">
              <w:rPr>
                <w:rFonts w:ascii="Book Antiqua" w:hAnsi="Book Antiqua" w:cs="Times New Roman"/>
                <w:sz w:val="24"/>
                <w:szCs w:val="24"/>
              </w:rPr>
              <w:t>isplatin</w:t>
            </w:r>
          </w:p>
          <w:p w14:paraId="6DBBC4A1"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Carboplatin/Taxel</w:t>
            </w:r>
          </w:p>
          <w:p w14:paraId="57733C1D"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Tumor location: &lt; 35 cm/&gt; 35 cm (</w:t>
            </w:r>
            <w:r w:rsidRPr="009C737A">
              <w:rPr>
                <w:rFonts w:ascii="Book Antiqua" w:hAnsi="Book Antiqua" w:cs="Times New Roman"/>
                <w:i/>
                <w:sz w:val="24"/>
                <w:szCs w:val="24"/>
              </w:rPr>
              <w:t>n</w:t>
            </w:r>
            <w:r w:rsidRPr="00814BF6">
              <w:rPr>
                <w:rFonts w:ascii="Book Antiqua" w:hAnsi="Book Antiqua" w:cs="Times New Roman"/>
                <w:sz w:val="24"/>
                <w:szCs w:val="24"/>
              </w:rPr>
              <w:t xml:space="preserve">) </w:t>
            </w:r>
          </w:p>
          <w:p w14:paraId="7AD60677"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Mean gross tumor volume (cm</w:t>
            </w:r>
            <w:r w:rsidRPr="00814BF6">
              <w:rPr>
                <w:rFonts w:ascii="Book Antiqua" w:hAnsi="Book Antiqua" w:cs="Times New Roman"/>
                <w:sz w:val="24"/>
                <w:szCs w:val="24"/>
                <w:vertAlign w:val="superscript"/>
              </w:rPr>
              <w:t>3</w:t>
            </w:r>
            <w:r w:rsidRPr="00814BF6">
              <w:rPr>
                <w:rFonts w:ascii="Book Antiqua" w:hAnsi="Book Antiqua" w:cs="Times New Roman"/>
                <w:sz w:val="24"/>
                <w:szCs w:val="24"/>
              </w:rPr>
              <w:t>) (range)</w:t>
            </w:r>
          </w:p>
          <w:p w14:paraId="7FC2EC93"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Mean clinical tumor volume (cm</w:t>
            </w:r>
            <w:r w:rsidRPr="00814BF6">
              <w:rPr>
                <w:rFonts w:ascii="Book Antiqua" w:hAnsi="Book Antiqua" w:cs="Times New Roman"/>
                <w:sz w:val="24"/>
                <w:szCs w:val="24"/>
                <w:vertAlign w:val="superscript"/>
              </w:rPr>
              <w:t>3</w:t>
            </w:r>
            <w:r w:rsidRPr="00814BF6">
              <w:rPr>
                <w:rFonts w:ascii="Book Antiqua" w:hAnsi="Book Antiqua" w:cs="Times New Roman"/>
                <w:sz w:val="24"/>
                <w:szCs w:val="24"/>
              </w:rPr>
              <w:t>) (range)</w:t>
            </w:r>
          </w:p>
        </w:tc>
        <w:tc>
          <w:tcPr>
            <w:tcW w:w="4562" w:type="dxa"/>
            <w:tcBorders>
              <w:bottom w:val="single" w:sz="4" w:space="0" w:color="auto"/>
            </w:tcBorders>
          </w:tcPr>
          <w:p w14:paraId="73FAD296" w14:textId="77777777" w:rsidR="007C03F1" w:rsidRPr="00814BF6" w:rsidRDefault="009C737A" w:rsidP="00814BF6">
            <w:pPr>
              <w:spacing w:line="360" w:lineRule="auto"/>
              <w:contextualSpacing/>
              <w:jc w:val="both"/>
              <w:rPr>
                <w:rFonts w:ascii="Book Antiqua" w:hAnsi="Book Antiqua" w:cs="Times New Roman"/>
                <w:sz w:val="24"/>
                <w:szCs w:val="24"/>
              </w:rPr>
            </w:pPr>
            <w:r>
              <w:rPr>
                <w:rFonts w:ascii="Book Antiqua" w:hAnsi="Book Antiqua" w:cs="Times New Roman"/>
                <w:sz w:val="24"/>
                <w:szCs w:val="24"/>
              </w:rPr>
              <w:t>65 yr</w:t>
            </w:r>
            <w:r w:rsidR="007C03F1" w:rsidRPr="00814BF6">
              <w:rPr>
                <w:rFonts w:ascii="Book Antiqua" w:hAnsi="Book Antiqua" w:cs="Times New Roman"/>
                <w:sz w:val="24"/>
                <w:szCs w:val="24"/>
              </w:rPr>
              <w:t xml:space="preserve"> (45-76)</w:t>
            </w:r>
          </w:p>
          <w:p w14:paraId="786DC930"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14/3</w:t>
            </w:r>
          </w:p>
          <w:p w14:paraId="26CC2AA7" w14:textId="77777777" w:rsidR="007C03F1" w:rsidRPr="00814BF6" w:rsidRDefault="007C03F1" w:rsidP="00814BF6">
            <w:pPr>
              <w:spacing w:line="360" w:lineRule="auto"/>
              <w:contextualSpacing/>
              <w:jc w:val="both"/>
              <w:rPr>
                <w:rFonts w:ascii="Book Antiqua" w:hAnsi="Book Antiqua" w:cs="Times New Roman"/>
                <w:sz w:val="24"/>
                <w:szCs w:val="24"/>
              </w:rPr>
            </w:pPr>
          </w:p>
          <w:p w14:paraId="018D1805"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14</w:t>
            </w:r>
          </w:p>
          <w:p w14:paraId="1CDF3902"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3</w:t>
            </w:r>
          </w:p>
          <w:p w14:paraId="3A9AB641"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0</w:t>
            </w:r>
          </w:p>
          <w:p w14:paraId="5C4EA741"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0</w:t>
            </w:r>
          </w:p>
          <w:p w14:paraId="50733D48" w14:textId="77777777" w:rsidR="007C03F1" w:rsidRPr="00814BF6" w:rsidRDefault="007C03F1" w:rsidP="00814BF6">
            <w:pPr>
              <w:spacing w:line="360" w:lineRule="auto"/>
              <w:contextualSpacing/>
              <w:jc w:val="both"/>
              <w:rPr>
                <w:rFonts w:ascii="Book Antiqua" w:hAnsi="Book Antiqua" w:cs="Times New Roman"/>
                <w:sz w:val="24"/>
                <w:szCs w:val="24"/>
              </w:rPr>
            </w:pPr>
          </w:p>
          <w:p w14:paraId="7002D6BC"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0</w:t>
            </w:r>
          </w:p>
          <w:p w14:paraId="37F4D37F"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2</w:t>
            </w:r>
          </w:p>
          <w:p w14:paraId="466289E0"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15</w:t>
            </w:r>
          </w:p>
          <w:p w14:paraId="4D502EF1"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0</w:t>
            </w:r>
          </w:p>
          <w:p w14:paraId="1825A1DB" w14:textId="77777777" w:rsidR="007C03F1" w:rsidRPr="00814BF6" w:rsidRDefault="007C03F1" w:rsidP="00814BF6">
            <w:pPr>
              <w:spacing w:line="360" w:lineRule="auto"/>
              <w:contextualSpacing/>
              <w:jc w:val="both"/>
              <w:rPr>
                <w:rFonts w:ascii="Book Antiqua" w:hAnsi="Book Antiqua" w:cs="Times New Roman"/>
                <w:sz w:val="24"/>
                <w:szCs w:val="24"/>
              </w:rPr>
            </w:pPr>
          </w:p>
          <w:p w14:paraId="76BEFAEA"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12</w:t>
            </w:r>
          </w:p>
          <w:p w14:paraId="17ACD13B"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5</w:t>
            </w:r>
          </w:p>
          <w:p w14:paraId="5BE37F67" w14:textId="77777777" w:rsidR="007C03F1" w:rsidRPr="00814BF6" w:rsidRDefault="007C03F1" w:rsidP="00814BF6">
            <w:pPr>
              <w:spacing w:line="360" w:lineRule="auto"/>
              <w:contextualSpacing/>
              <w:jc w:val="both"/>
              <w:rPr>
                <w:rFonts w:ascii="Book Antiqua" w:hAnsi="Book Antiqua" w:cs="Times New Roman"/>
                <w:sz w:val="24"/>
                <w:szCs w:val="24"/>
              </w:rPr>
            </w:pPr>
          </w:p>
          <w:p w14:paraId="419B6A62"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11</w:t>
            </w:r>
          </w:p>
          <w:p w14:paraId="024D14E3"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6</w:t>
            </w:r>
          </w:p>
          <w:p w14:paraId="6226EF6D"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14/3</w:t>
            </w:r>
          </w:p>
          <w:p w14:paraId="0ABC13D3" w14:textId="77777777" w:rsidR="007C03F1" w:rsidRPr="00814BF6" w:rsidRDefault="007C03F1" w:rsidP="00814BF6">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43.7 (33.3</w:t>
            </w:r>
            <w:r w:rsidR="009C737A">
              <w:rPr>
                <w:rFonts w:ascii="Book Antiqua" w:hAnsi="Book Antiqua" w:cs="Times New Roman" w:hint="eastAsia"/>
                <w:sz w:val="24"/>
                <w:szCs w:val="24"/>
                <w:lang w:eastAsia="zh-CN"/>
              </w:rPr>
              <w:t>-</w:t>
            </w:r>
            <w:r w:rsidRPr="00814BF6">
              <w:rPr>
                <w:rFonts w:ascii="Book Antiqua" w:hAnsi="Book Antiqua" w:cs="Times New Roman"/>
                <w:sz w:val="24"/>
                <w:szCs w:val="24"/>
              </w:rPr>
              <w:t>62.4)</w:t>
            </w:r>
          </w:p>
          <w:p w14:paraId="6C514D5B" w14:textId="77777777" w:rsidR="007C03F1" w:rsidRPr="00814BF6" w:rsidRDefault="007C03F1" w:rsidP="009C737A">
            <w:pPr>
              <w:spacing w:line="360" w:lineRule="auto"/>
              <w:contextualSpacing/>
              <w:jc w:val="both"/>
              <w:rPr>
                <w:rFonts w:ascii="Book Antiqua" w:hAnsi="Book Antiqua" w:cs="Times New Roman"/>
                <w:sz w:val="24"/>
                <w:szCs w:val="24"/>
              </w:rPr>
            </w:pPr>
            <w:r w:rsidRPr="00814BF6">
              <w:rPr>
                <w:rFonts w:ascii="Book Antiqua" w:hAnsi="Book Antiqua" w:cs="Times New Roman"/>
                <w:sz w:val="24"/>
                <w:szCs w:val="24"/>
              </w:rPr>
              <w:t xml:space="preserve">503.2 (419.3 </w:t>
            </w:r>
            <w:r w:rsidR="009C737A">
              <w:rPr>
                <w:rFonts w:ascii="Book Antiqua" w:hAnsi="Book Antiqua" w:cs="Times New Roman" w:hint="eastAsia"/>
                <w:sz w:val="24"/>
                <w:szCs w:val="24"/>
                <w:lang w:eastAsia="zh-CN"/>
              </w:rPr>
              <w:t>-</w:t>
            </w:r>
            <w:r w:rsidRPr="00814BF6">
              <w:rPr>
                <w:rFonts w:ascii="Book Antiqua" w:hAnsi="Book Antiqua" w:cs="Times New Roman"/>
                <w:sz w:val="24"/>
                <w:szCs w:val="24"/>
              </w:rPr>
              <w:t>577.1)</w:t>
            </w:r>
          </w:p>
        </w:tc>
      </w:tr>
    </w:tbl>
    <w:p w14:paraId="6BAA7343" w14:textId="77777777" w:rsidR="007C03F1" w:rsidRPr="00814BF6" w:rsidRDefault="009C737A" w:rsidP="00814BF6">
      <w:pPr>
        <w:spacing w:after="0" w:line="360" w:lineRule="auto"/>
        <w:jc w:val="both"/>
        <w:rPr>
          <w:rFonts w:ascii="Book Antiqua" w:hAnsi="Book Antiqua" w:cs="Times New Roman"/>
          <w:sz w:val="24"/>
          <w:szCs w:val="24"/>
        </w:rPr>
      </w:pPr>
      <w:r w:rsidRPr="00814BF6">
        <w:rPr>
          <w:rFonts w:ascii="Book Antiqua" w:hAnsi="Book Antiqua" w:cs="Times New Roman"/>
          <w:sz w:val="24"/>
          <w:szCs w:val="24"/>
        </w:rPr>
        <w:t>ECOG PS</w:t>
      </w:r>
      <w:r>
        <w:rPr>
          <w:rFonts w:ascii="Book Antiqua" w:hAnsi="Book Antiqua" w:cs="Times New Roman" w:hint="eastAsia"/>
          <w:sz w:val="24"/>
          <w:szCs w:val="24"/>
          <w:lang w:eastAsia="zh-CN"/>
        </w:rPr>
        <w:t>:</w:t>
      </w:r>
      <w:r w:rsidRPr="00814BF6">
        <w:rPr>
          <w:rFonts w:ascii="Book Antiqua" w:hAnsi="Book Antiqua" w:cs="Times New Roman"/>
          <w:sz w:val="24"/>
          <w:szCs w:val="24"/>
        </w:rPr>
        <w:t xml:space="preserve"> </w:t>
      </w:r>
      <w:r w:rsidR="007C03F1" w:rsidRPr="00814BF6">
        <w:rPr>
          <w:rFonts w:ascii="Book Antiqua" w:hAnsi="Book Antiqua" w:cs="Times New Roman"/>
          <w:sz w:val="24"/>
          <w:szCs w:val="24"/>
        </w:rPr>
        <w:t>Eastern Cooperative Oncology Group performance status.</w:t>
      </w:r>
    </w:p>
    <w:p w14:paraId="0514B7FF" w14:textId="77777777" w:rsidR="007C03F1" w:rsidRPr="00814BF6" w:rsidRDefault="007C03F1" w:rsidP="00814BF6">
      <w:pPr>
        <w:spacing w:after="0" w:line="360" w:lineRule="auto"/>
        <w:jc w:val="both"/>
        <w:rPr>
          <w:rFonts w:ascii="Book Antiqua" w:hAnsi="Book Antiqua" w:cs="Times New Roman"/>
          <w:sz w:val="24"/>
          <w:szCs w:val="24"/>
        </w:rPr>
      </w:pPr>
      <w:r w:rsidRPr="00814BF6">
        <w:rPr>
          <w:rFonts w:ascii="Book Antiqua" w:hAnsi="Book Antiqua" w:cs="Times New Roman"/>
          <w:sz w:val="24"/>
          <w:szCs w:val="24"/>
        </w:rPr>
        <w:br w:type="page"/>
      </w:r>
    </w:p>
    <w:tbl>
      <w:tblPr>
        <w:tblW w:w="5286" w:type="dxa"/>
        <w:tblInd w:w="93" w:type="dxa"/>
        <w:tblLook w:val="04A0" w:firstRow="1" w:lastRow="0" w:firstColumn="1" w:lastColumn="0" w:noHBand="0" w:noVBand="1"/>
      </w:tblPr>
      <w:tblGrid>
        <w:gridCol w:w="3075"/>
        <w:gridCol w:w="2211"/>
      </w:tblGrid>
      <w:tr w:rsidR="00814BF6" w:rsidRPr="00814BF6" w14:paraId="5BD06509" w14:textId="77777777" w:rsidTr="00950C81">
        <w:trPr>
          <w:trHeight w:val="300"/>
        </w:trPr>
        <w:tc>
          <w:tcPr>
            <w:tcW w:w="5286" w:type="dxa"/>
            <w:gridSpan w:val="2"/>
            <w:tcBorders>
              <w:top w:val="nil"/>
              <w:left w:val="nil"/>
              <w:bottom w:val="single" w:sz="4" w:space="0" w:color="auto"/>
              <w:right w:val="nil"/>
            </w:tcBorders>
            <w:shd w:val="clear" w:color="auto" w:fill="auto"/>
            <w:noWrap/>
            <w:vAlign w:val="center"/>
            <w:hideMark/>
          </w:tcPr>
          <w:p w14:paraId="06E35F6C" w14:textId="77777777" w:rsidR="007C03F1" w:rsidRPr="009C737A" w:rsidRDefault="007C03F1" w:rsidP="009C737A">
            <w:pPr>
              <w:spacing w:after="0" w:line="360" w:lineRule="auto"/>
              <w:jc w:val="both"/>
              <w:rPr>
                <w:rFonts w:ascii="Book Antiqua" w:eastAsia="Times New Roman" w:hAnsi="Book Antiqua" w:cs="Times New Roman"/>
                <w:b/>
                <w:sz w:val="24"/>
                <w:szCs w:val="24"/>
                <w:lang w:eastAsia="zh-CN"/>
              </w:rPr>
            </w:pPr>
            <w:r w:rsidRPr="009C737A">
              <w:rPr>
                <w:rFonts w:ascii="Book Antiqua" w:eastAsia="Times New Roman" w:hAnsi="Book Antiqua" w:cs="Times New Roman"/>
                <w:b/>
                <w:sz w:val="24"/>
                <w:szCs w:val="24"/>
                <w:lang w:eastAsia="zh-CN"/>
              </w:rPr>
              <w:t xml:space="preserve">Table 2 Pathological staging post </w:t>
            </w:r>
            <w:r w:rsidR="009C737A" w:rsidRPr="009C737A">
              <w:rPr>
                <w:rFonts w:ascii="Book Antiqua" w:hAnsi="Book Antiqua" w:cs="Times New Roman"/>
                <w:b/>
                <w:sz w:val="24"/>
                <w:szCs w:val="24"/>
              </w:rPr>
              <w:t>simultaneous integrated boost</w:t>
            </w:r>
            <w:r w:rsidRPr="009C737A">
              <w:rPr>
                <w:rFonts w:ascii="Book Antiqua" w:eastAsia="Times New Roman" w:hAnsi="Book Antiqua" w:cs="Times New Roman"/>
                <w:b/>
                <w:sz w:val="24"/>
                <w:szCs w:val="24"/>
                <w:lang w:eastAsia="zh-CN"/>
              </w:rPr>
              <w:t xml:space="preserve"> based </w:t>
            </w:r>
            <w:r w:rsidR="009C737A" w:rsidRPr="009C737A">
              <w:rPr>
                <w:rFonts w:ascii="Book Antiqua" w:hAnsi="Book Antiqua" w:cs="Times New Roman"/>
                <w:b/>
                <w:sz w:val="24"/>
                <w:szCs w:val="24"/>
              </w:rPr>
              <w:t>neoadjuvant chemoradiation</w:t>
            </w:r>
          </w:p>
        </w:tc>
      </w:tr>
      <w:tr w:rsidR="00814BF6" w:rsidRPr="00814BF6" w14:paraId="30089655" w14:textId="77777777" w:rsidTr="00950C81">
        <w:trPr>
          <w:trHeight w:val="300"/>
        </w:trPr>
        <w:tc>
          <w:tcPr>
            <w:tcW w:w="3075" w:type="dxa"/>
            <w:tcBorders>
              <w:top w:val="nil"/>
              <w:left w:val="nil"/>
              <w:bottom w:val="nil"/>
              <w:right w:val="nil"/>
            </w:tcBorders>
            <w:shd w:val="clear" w:color="auto" w:fill="auto"/>
            <w:noWrap/>
            <w:vAlign w:val="center"/>
            <w:hideMark/>
          </w:tcPr>
          <w:p w14:paraId="64C0E9F3"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 xml:space="preserve">Pathological </w:t>
            </w:r>
            <w:r w:rsidR="009C737A" w:rsidRPr="00814BF6">
              <w:rPr>
                <w:rFonts w:ascii="Book Antiqua" w:eastAsia="Times New Roman" w:hAnsi="Book Antiqua" w:cs="Times New Roman"/>
                <w:sz w:val="24"/>
                <w:szCs w:val="24"/>
                <w:lang w:eastAsia="zh-CN"/>
              </w:rPr>
              <w:t>s</w:t>
            </w:r>
            <w:r w:rsidRPr="00814BF6">
              <w:rPr>
                <w:rFonts w:ascii="Book Antiqua" w:eastAsia="Times New Roman" w:hAnsi="Book Antiqua" w:cs="Times New Roman"/>
                <w:sz w:val="24"/>
                <w:szCs w:val="24"/>
                <w:lang w:eastAsia="zh-CN"/>
              </w:rPr>
              <w:t>taging</w:t>
            </w:r>
          </w:p>
        </w:tc>
        <w:tc>
          <w:tcPr>
            <w:tcW w:w="2211" w:type="dxa"/>
            <w:tcBorders>
              <w:top w:val="nil"/>
              <w:left w:val="nil"/>
              <w:bottom w:val="nil"/>
              <w:right w:val="nil"/>
            </w:tcBorders>
            <w:shd w:val="clear" w:color="auto" w:fill="auto"/>
            <w:noWrap/>
            <w:vAlign w:val="center"/>
            <w:hideMark/>
          </w:tcPr>
          <w:p w14:paraId="57DC0DC1"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 xml:space="preserve">Patient </w:t>
            </w:r>
            <w:r w:rsidRPr="009C737A">
              <w:rPr>
                <w:rFonts w:ascii="Book Antiqua" w:eastAsia="Times New Roman" w:hAnsi="Book Antiqua" w:cs="Times New Roman"/>
                <w:i/>
                <w:sz w:val="24"/>
                <w:szCs w:val="24"/>
                <w:lang w:eastAsia="zh-CN"/>
              </w:rPr>
              <w:t>n</w:t>
            </w:r>
            <w:r w:rsidRPr="00814BF6">
              <w:rPr>
                <w:rFonts w:ascii="Book Antiqua" w:eastAsia="Times New Roman" w:hAnsi="Book Antiqua" w:cs="Times New Roman"/>
                <w:sz w:val="24"/>
                <w:szCs w:val="24"/>
                <w:lang w:eastAsia="zh-CN"/>
              </w:rPr>
              <w:t xml:space="preserve"> (%)</w:t>
            </w:r>
          </w:p>
        </w:tc>
      </w:tr>
      <w:tr w:rsidR="00814BF6" w:rsidRPr="00814BF6" w14:paraId="01A415A2" w14:textId="77777777" w:rsidTr="00950C81">
        <w:trPr>
          <w:trHeight w:val="300"/>
        </w:trPr>
        <w:tc>
          <w:tcPr>
            <w:tcW w:w="3075" w:type="dxa"/>
            <w:tcBorders>
              <w:top w:val="nil"/>
              <w:left w:val="nil"/>
              <w:bottom w:val="nil"/>
              <w:right w:val="nil"/>
            </w:tcBorders>
            <w:shd w:val="clear" w:color="auto" w:fill="auto"/>
            <w:noWrap/>
            <w:vAlign w:val="center"/>
            <w:hideMark/>
          </w:tcPr>
          <w:p w14:paraId="547BFFF6"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ypT</w:t>
            </w:r>
          </w:p>
        </w:tc>
        <w:tc>
          <w:tcPr>
            <w:tcW w:w="2211" w:type="dxa"/>
            <w:tcBorders>
              <w:top w:val="nil"/>
              <w:left w:val="nil"/>
              <w:bottom w:val="nil"/>
              <w:right w:val="nil"/>
            </w:tcBorders>
            <w:shd w:val="clear" w:color="auto" w:fill="auto"/>
            <w:noWrap/>
            <w:vAlign w:val="bottom"/>
            <w:hideMark/>
          </w:tcPr>
          <w:p w14:paraId="34176C5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p>
        </w:tc>
      </w:tr>
      <w:tr w:rsidR="00814BF6" w:rsidRPr="00814BF6" w14:paraId="29DBE9C4" w14:textId="77777777" w:rsidTr="00950C81">
        <w:trPr>
          <w:trHeight w:val="300"/>
        </w:trPr>
        <w:tc>
          <w:tcPr>
            <w:tcW w:w="3075" w:type="dxa"/>
            <w:tcBorders>
              <w:top w:val="nil"/>
              <w:left w:val="nil"/>
              <w:bottom w:val="nil"/>
              <w:right w:val="nil"/>
            </w:tcBorders>
            <w:shd w:val="clear" w:color="auto" w:fill="auto"/>
            <w:noWrap/>
            <w:vAlign w:val="center"/>
            <w:hideMark/>
          </w:tcPr>
          <w:p w14:paraId="0EDE9B08"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0</w:t>
            </w:r>
          </w:p>
        </w:tc>
        <w:tc>
          <w:tcPr>
            <w:tcW w:w="2211" w:type="dxa"/>
            <w:tcBorders>
              <w:top w:val="nil"/>
              <w:left w:val="nil"/>
              <w:bottom w:val="nil"/>
              <w:right w:val="nil"/>
            </w:tcBorders>
            <w:shd w:val="clear" w:color="auto" w:fill="auto"/>
            <w:noWrap/>
            <w:vAlign w:val="center"/>
            <w:hideMark/>
          </w:tcPr>
          <w:p w14:paraId="0CEE37B6"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8</w:t>
            </w:r>
            <w:r w:rsidR="009C737A">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(47)</w:t>
            </w:r>
          </w:p>
        </w:tc>
      </w:tr>
      <w:tr w:rsidR="00814BF6" w:rsidRPr="00814BF6" w14:paraId="1B447D62" w14:textId="77777777" w:rsidTr="00950C81">
        <w:trPr>
          <w:trHeight w:val="300"/>
        </w:trPr>
        <w:tc>
          <w:tcPr>
            <w:tcW w:w="3075" w:type="dxa"/>
            <w:tcBorders>
              <w:top w:val="nil"/>
              <w:left w:val="nil"/>
              <w:bottom w:val="nil"/>
              <w:right w:val="nil"/>
            </w:tcBorders>
            <w:shd w:val="clear" w:color="auto" w:fill="auto"/>
            <w:noWrap/>
            <w:vAlign w:val="center"/>
            <w:hideMark/>
          </w:tcPr>
          <w:p w14:paraId="74A3DF93"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w:t>
            </w:r>
          </w:p>
        </w:tc>
        <w:tc>
          <w:tcPr>
            <w:tcW w:w="2211" w:type="dxa"/>
            <w:tcBorders>
              <w:top w:val="nil"/>
              <w:left w:val="nil"/>
              <w:bottom w:val="nil"/>
              <w:right w:val="nil"/>
            </w:tcBorders>
            <w:shd w:val="clear" w:color="auto" w:fill="auto"/>
            <w:noWrap/>
            <w:vAlign w:val="center"/>
            <w:hideMark/>
          </w:tcPr>
          <w:p w14:paraId="4DC50B04"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4</w:t>
            </w:r>
            <w:r w:rsidR="009C737A">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(23)</w:t>
            </w:r>
          </w:p>
        </w:tc>
      </w:tr>
      <w:tr w:rsidR="00814BF6" w:rsidRPr="00814BF6" w14:paraId="77BD6D12" w14:textId="77777777" w:rsidTr="00950C81">
        <w:trPr>
          <w:trHeight w:val="300"/>
        </w:trPr>
        <w:tc>
          <w:tcPr>
            <w:tcW w:w="3075" w:type="dxa"/>
            <w:tcBorders>
              <w:top w:val="nil"/>
              <w:left w:val="nil"/>
              <w:bottom w:val="nil"/>
              <w:right w:val="nil"/>
            </w:tcBorders>
            <w:shd w:val="clear" w:color="auto" w:fill="auto"/>
            <w:noWrap/>
            <w:vAlign w:val="center"/>
            <w:hideMark/>
          </w:tcPr>
          <w:p w14:paraId="2D8AE5C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2</w:t>
            </w:r>
          </w:p>
        </w:tc>
        <w:tc>
          <w:tcPr>
            <w:tcW w:w="2211" w:type="dxa"/>
            <w:tcBorders>
              <w:top w:val="nil"/>
              <w:left w:val="nil"/>
              <w:bottom w:val="nil"/>
              <w:right w:val="nil"/>
            </w:tcBorders>
            <w:shd w:val="clear" w:color="auto" w:fill="auto"/>
            <w:noWrap/>
            <w:vAlign w:val="center"/>
            <w:hideMark/>
          </w:tcPr>
          <w:p w14:paraId="449DE094"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3</w:t>
            </w:r>
            <w:r w:rsidR="009C737A">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(18)</w:t>
            </w:r>
          </w:p>
        </w:tc>
      </w:tr>
      <w:tr w:rsidR="00814BF6" w:rsidRPr="00814BF6" w14:paraId="3F58184D" w14:textId="77777777" w:rsidTr="00950C81">
        <w:trPr>
          <w:trHeight w:val="300"/>
        </w:trPr>
        <w:tc>
          <w:tcPr>
            <w:tcW w:w="3075" w:type="dxa"/>
            <w:tcBorders>
              <w:top w:val="nil"/>
              <w:left w:val="nil"/>
              <w:bottom w:val="nil"/>
              <w:right w:val="nil"/>
            </w:tcBorders>
            <w:shd w:val="clear" w:color="auto" w:fill="auto"/>
            <w:noWrap/>
            <w:vAlign w:val="center"/>
            <w:hideMark/>
          </w:tcPr>
          <w:p w14:paraId="390E4D8A"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3</w:t>
            </w:r>
          </w:p>
        </w:tc>
        <w:tc>
          <w:tcPr>
            <w:tcW w:w="2211" w:type="dxa"/>
            <w:tcBorders>
              <w:top w:val="nil"/>
              <w:left w:val="nil"/>
              <w:bottom w:val="nil"/>
              <w:right w:val="nil"/>
            </w:tcBorders>
            <w:shd w:val="clear" w:color="auto" w:fill="auto"/>
            <w:noWrap/>
            <w:vAlign w:val="center"/>
            <w:hideMark/>
          </w:tcPr>
          <w:p w14:paraId="74C186AA"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2</w:t>
            </w:r>
            <w:r w:rsidR="009C737A">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(12)</w:t>
            </w:r>
          </w:p>
        </w:tc>
      </w:tr>
      <w:tr w:rsidR="00814BF6" w:rsidRPr="00814BF6" w14:paraId="151F8CD0" w14:textId="77777777" w:rsidTr="00950C81">
        <w:trPr>
          <w:trHeight w:val="300"/>
        </w:trPr>
        <w:tc>
          <w:tcPr>
            <w:tcW w:w="3075" w:type="dxa"/>
            <w:tcBorders>
              <w:top w:val="nil"/>
              <w:left w:val="nil"/>
              <w:bottom w:val="nil"/>
              <w:right w:val="nil"/>
            </w:tcBorders>
            <w:shd w:val="clear" w:color="auto" w:fill="auto"/>
            <w:noWrap/>
            <w:vAlign w:val="center"/>
            <w:hideMark/>
          </w:tcPr>
          <w:p w14:paraId="31A91538"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4</w:t>
            </w:r>
          </w:p>
        </w:tc>
        <w:tc>
          <w:tcPr>
            <w:tcW w:w="2211" w:type="dxa"/>
            <w:tcBorders>
              <w:top w:val="nil"/>
              <w:left w:val="nil"/>
              <w:bottom w:val="nil"/>
              <w:right w:val="nil"/>
            </w:tcBorders>
            <w:shd w:val="clear" w:color="auto" w:fill="auto"/>
            <w:noWrap/>
            <w:vAlign w:val="center"/>
            <w:hideMark/>
          </w:tcPr>
          <w:p w14:paraId="3E9FD79E"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0</w:t>
            </w:r>
          </w:p>
        </w:tc>
      </w:tr>
      <w:tr w:rsidR="00814BF6" w:rsidRPr="00814BF6" w14:paraId="5B9074E0" w14:textId="77777777" w:rsidTr="00950C81">
        <w:trPr>
          <w:trHeight w:val="300"/>
        </w:trPr>
        <w:tc>
          <w:tcPr>
            <w:tcW w:w="3075" w:type="dxa"/>
            <w:tcBorders>
              <w:top w:val="nil"/>
              <w:left w:val="nil"/>
              <w:bottom w:val="nil"/>
              <w:right w:val="nil"/>
            </w:tcBorders>
            <w:shd w:val="clear" w:color="auto" w:fill="auto"/>
            <w:noWrap/>
            <w:vAlign w:val="center"/>
            <w:hideMark/>
          </w:tcPr>
          <w:p w14:paraId="7669B4D1"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ypN</w:t>
            </w:r>
          </w:p>
        </w:tc>
        <w:tc>
          <w:tcPr>
            <w:tcW w:w="2211" w:type="dxa"/>
            <w:tcBorders>
              <w:top w:val="nil"/>
              <w:left w:val="nil"/>
              <w:bottom w:val="nil"/>
              <w:right w:val="nil"/>
            </w:tcBorders>
            <w:shd w:val="clear" w:color="auto" w:fill="auto"/>
            <w:noWrap/>
            <w:vAlign w:val="bottom"/>
            <w:hideMark/>
          </w:tcPr>
          <w:p w14:paraId="504AAB0A"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p>
        </w:tc>
      </w:tr>
      <w:tr w:rsidR="00814BF6" w:rsidRPr="00814BF6" w14:paraId="578A143B" w14:textId="77777777" w:rsidTr="00950C81">
        <w:trPr>
          <w:trHeight w:val="300"/>
        </w:trPr>
        <w:tc>
          <w:tcPr>
            <w:tcW w:w="3075" w:type="dxa"/>
            <w:tcBorders>
              <w:top w:val="nil"/>
              <w:left w:val="nil"/>
              <w:bottom w:val="nil"/>
              <w:right w:val="nil"/>
            </w:tcBorders>
            <w:shd w:val="clear" w:color="auto" w:fill="auto"/>
            <w:noWrap/>
            <w:vAlign w:val="center"/>
            <w:hideMark/>
          </w:tcPr>
          <w:p w14:paraId="4FE091D6"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0</w:t>
            </w:r>
          </w:p>
        </w:tc>
        <w:tc>
          <w:tcPr>
            <w:tcW w:w="2211" w:type="dxa"/>
            <w:tcBorders>
              <w:top w:val="nil"/>
              <w:left w:val="nil"/>
              <w:bottom w:val="nil"/>
              <w:right w:val="nil"/>
            </w:tcBorders>
            <w:shd w:val="clear" w:color="auto" w:fill="auto"/>
            <w:noWrap/>
            <w:vAlign w:val="center"/>
            <w:hideMark/>
          </w:tcPr>
          <w:p w14:paraId="75479E1F"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13</w:t>
            </w:r>
            <w:r w:rsidR="009C737A">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(76.5)</w:t>
            </w:r>
          </w:p>
        </w:tc>
      </w:tr>
      <w:tr w:rsidR="00814BF6" w:rsidRPr="00814BF6" w14:paraId="6DCA14A5" w14:textId="77777777" w:rsidTr="00950C81">
        <w:trPr>
          <w:trHeight w:val="300"/>
        </w:trPr>
        <w:tc>
          <w:tcPr>
            <w:tcW w:w="3075" w:type="dxa"/>
            <w:tcBorders>
              <w:top w:val="nil"/>
              <w:left w:val="nil"/>
              <w:bottom w:val="single" w:sz="4" w:space="0" w:color="auto"/>
              <w:right w:val="nil"/>
            </w:tcBorders>
            <w:shd w:val="clear" w:color="auto" w:fill="auto"/>
            <w:noWrap/>
            <w:vAlign w:val="center"/>
            <w:hideMark/>
          </w:tcPr>
          <w:p w14:paraId="6736F6C5"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w:t>
            </w:r>
          </w:p>
        </w:tc>
        <w:tc>
          <w:tcPr>
            <w:tcW w:w="2211" w:type="dxa"/>
            <w:tcBorders>
              <w:top w:val="nil"/>
              <w:left w:val="nil"/>
              <w:bottom w:val="single" w:sz="4" w:space="0" w:color="auto"/>
              <w:right w:val="nil"/>
            </w:tcBorders>
            <w:shd w:val="clear" w:color="auto" w:fill="auto"/>
            <w:noWrap/>
            <w:vAlign w:val="center"/>
            <w:hideMark/>
          </w:tcPr>
          <w:p w14:paraId="42A5CD84"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4</w:t>
            </w:r>
            <w:r w:rsidR="009C737A">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(23.5)</w:t>
            </w:r>
          </w:p>
        </w:tc>
      </w:tr>
    </w:tbl>
    <w:p w14:paraId="7C86FA05" w14:textId="77777777" w:rsidR="007C03F1" w:rsidRPr="00814BF6" w:rsidRDefault="007C03F1" w:rsidP="00814BF6">
      <w:pPr>
        <w:spacing w:after="0" w:line="360" w:lineRule="auto"/>
        <w:jc w:val="both"/>
        <w:rPr>
          <w:rFonts w:ascii="Book Antiqua" w:hAnsi="Book Antiqua" w:cs="Times New Roman"/>
          <w:sz w:val="24"/>
          <w:szCs w:val="24"/>
        </w:rPr>
      </w:pPr>
      <w:r w:rsidRPr="00814BF6">
        <w:rPr>
          <w:rFonts w:ascii="Book Antiqua" w:hAnsi="Book Antiqua" w:cs="Times New Roman"/>
          <w:sz w:val="24"/>
          <w:szCs w:val="24"/>
        </w:rPr>
        <w:br w:type="page"/>
      </w:r>
    </w:p>
    <w:p w14:paraId="61328A39" w14:textId="77777777" w:rsidR="007C03F1" w:rsidRPr="00814BF6" w:rsidRDefault="007C03F1" w:rsidP="00814BF6">
      <w:pPr>
        <w:spacing w:after="0" w:line="360" w:lineRule="auto"/>
        <w:jc w:val="both"/>
        <w:rPr>
          <w:rFonts w:ascii="Book Antiqua" w:hAnsi="Book Antiqua" w:cs="Times New Roman"/>
          <w:sz w:val="24"/>
          <w:szCs w:val="24"/>
        </w:rPr>
      </w:pPr>
    </w:p>
    <w:tbl>
      <w:tblPr>
        <w:tblW w:w="8295" w:type="dxa"/>
        <w:tblInd w:w="93" w:type="dxa"/>
        <w:tblLook w:val="04A0" w:firstRow="1" w:lastRow="0" w:firstColumn="1" w:lastColumn="0" w:noHBand="0" w:noVBand="1"/>
      </w:tblPr>
      <w:tblGrid>
        <w:gridCol w:w="5415"/>
        <w:gridCol w:w="2880"/>
      </w:tblGrid>
      <w:tr w:rsidR="00814BF6" w:rsidRPr="00814BF6" w14:paraId="3A79BF0B" w14:textId="77777777" w:rsidTr="00950C81">
        <w:trPr>
          <w:trHeight w:val="300"/>
        </w:trPr>
        <w:tc>
          <w:tcPr>
            <w:tcW w:w="8295" w:type="dxa"/>
            <w:gridSpan w:val="2"/>
            <w:tcBorders>
              <w:top w:val="nil"/>
              <w:left w:val="nil"/>
              <w:bottom w:val="nil"/>
              <w:right w:val="nil"/>
            </w:tcBorders>
            <w:shd w:val="clear" w:color="auto" w:fill="auto"/>
            <w:noWrap/>
            <w:vAlign w:val="bottom"/>
            <w:hideMark/>
          </w:tcPr>
          <w:p w14:paraId="6AEDA903" w14:textId="77777777" w:rsidR="007C03F1" w:rsidRPr="009C737A" w:rsidRDefault="009C737A" w:rsidP="00814BF6">
            <w:pPr>
              <w:spacing w:after="0" w:line="360" w:lineRule="auto"/>
              <w:jc w:val="both"/>
              <w:rPr>
                <w:rFonts w:ascii="Book Antiqua" w:eastAsia="Times New Roman" w:hAnsi="Book Antiqua" w:cs="Times New Roman"/>
                <w:b/>
                <w:sz w:val="24"/>
                <w:szCs w:val="24"/>
                <w:lang w:eastAsia="zh-CN"/>
              </w:rPr>
            </w:pPr>
            <w:r w:rsidRPr="009C737A">
              <w:rPr>
                <w:rFonts w:ascii="Book Antiqua" w:eastAsia="Times New Roman" w:hAnsi="Book Antiqua" w:cs="Times New Roman"/>
                <w:b/>
                <w:sz w:val="24"/>
                <w:szCs w:val="24"/>
                <w:lang w:eastAsia="zh-CN"/>
              </w:rPr>
              <w:t>Table 3</w:t>
            </w:r>
            <w:r w:rsidR="007C03F1" w:rsidRPr="009C737A">
              <w:rPr>
                <w:rFonts w:ascii="Book Antiqua" w:eastAsia="Times New Roman" w:hAnsi="Book Antiqua" w:cs="Times New Roman"/>
                <w:b/>
                <w:sz w:val="24"/>
                <w:szCs w:val="24"/>
                <w:lang w:eastAsia="zh-CN"/>
              </w:rPr>
              <w:t xml:space="preserve"> Postoperative</w:t>
            </w:r>
            <w:r w:rsidRPr="009C737A">
              <w:rPr>
                <w:rFonts w:ascii="Book Antiqua" w:eastAsia="Times New Roman" w:hAnsi="Book Antiqua" w:cs="Times New Roman"/>
                <w:b/>
                <w:sz w:val="24"/>
                <w:szCs w:val="24"/>
                <w:lang w:eastAsia="zh-CN"/>
              </w:rPr>
              <w:t xml:space="preserve"> toxicity after neoadjuvant treatment followed by surg</w:t>
            </w:r>
            <w:r w:rsidR="007C03F1" w:rsidRPr="009C737A">
              <w:rPr>
                <w:rFonts w:ascii="Book Antiqua" w:eastAsia="Times New Roman" w:hAnsi="Book Antiqua" w:cs="Times New Roman"/>
                <w:b/>
                <w:sz w:val="24"/>
                <w:szCs w:val="24"/>
                <w:lang w:eastAsia="zh-CN"/>
              </w:rPr>
              <w:t>ery</w:t>
            </w:r>
          </w:p>
        </w:tc>
      </w:tr>
      <w:tr w:rsidR="00814BF6" w:rsidRPr="00814BF6" w14:paraId="7A714CA9" w14:textId="77777777" w:rsidTr="00950C81">
        <w:trPr>
          <w:trHeight w:val="300"/>
        </w:trPr>
        <w:tc>
          <w:tcPr>
            <w:tcW w:w="5415" w:type="dxa"/>
            <w:tcBorders>
              <w:top w:val="single" w:sz="4" w:space="0" w:color="auto"/>
              <w:left w:val="nil"/>
              <w:bottom w:val="nil"/>
              <w:right w:val="nil"/>
            </w:tcBorders>
            <w:shd w:val="clear" w:color="auto" w:fill="auto"/>
            <w:noWrap/>
            <w:vAlign w:val="bottom"/>
            <w:hideMark/>
          </w:tcPr>
          <w:p w14:paraId="6BA2D2A6" w14:textId="77777777" w:rsidR="007C03F1" w:rsidRPr="00814BF6" w:rsidRDefault="009C737A"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 xml:space="preserve">Pulmonary </w:t>
            </w:r>
          </w:p>
        </w:tc>
        <w:tc>
          <w:tcPr>
            <w:tcW w:w="2880" w:type="dxa"/>
            <w:tcBorders>
              <w:top w:val="single" w:sz="4" w:space="0" w:color="auto"/>
              <w:left w:val="nil"/>
              <w:bottom w:val="nil"/>
              <w:right w:val="nil"/>
            </w:tcBorders>
            <w:shd w:val="clear" w:color="auto" w:fill="auto"/>
            <w:noWrap/>
            <w:vAlign w:val="bottom"/>
            <w:hideMark/>
          </w:tcPr>
          <w:p w14:paraId="60781959"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w:t>
            </w:r>
          </w:p>
        </w:tc>
      </w:tr>
      <w:tr w:rsidR="00814BF6" w:rsidRPr="00814BF6" w14:paraId="1587097B" w14:textId="77777777" w:rsidTr="00950C81">
        <w:trPr>
          <w:trHeight w:val="300"/>
        </w:trPr>
        <w:tc>
          <w:tcPr>
            <w:tcW w:w="5415" w:type="dxa"/>
            <w:tcBorders>
              <w:top w:val="nil"/>
              <w:left w:val="nil"/>
              <w:bottom w:val="nil"/>
              <w:right w:val="nil"/>
            </w:tcBorders>
            <w:shd w:val="clear" w:color="auto" w:fill="auto"/>
            <w:noWrap/>
            <w:vAlign w:val="bottom"/>
            <w:hideMark/>
          </w:tcPr>
          <w:p w14:paraId="6796EDB9" w14:textId="77777777" w:rsidR="007C03F1" w:rsidRPr="00814BF6" w:rsidRDefault="009C737A"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Pneumonia</w:t>
            </w:r>
          </w:p>
        </w:tc>
        <w:tc>
          <w:tcPr>
            <w:tcW w:w="2880" w:type="dxa"/>
            <w:tcBorders>
              <w:top w:val="nil"/>
              <w:left w:val="nil"/>
              <w:bottom w:val="nil"/>
              <w:right w:val="nil"/>
            </w:tcBorders>
            <w:shd w:val="clear" w:color="auto" w:fill="auto"/>
            <w:noWrap/>
            <w:vAlign w:val="bottom"/>
            <w:hideMark/>
          </w:tcPr>
          <w:p w14:paraId="242AB5A4"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3</w:t>
            </w:r>
          </w:p>
        </w:tc>
      </w:tr>
      <w:tr w:rsidR="00814BF6" w:rsidRPr="00814BF6" w14:paraId="4A4F47BA" w14:textId="77777777" w:rsidTr="00950C81">
        <w:trPr>
          <w:trHeight w:val="300"/>
        </w:trPr>
        <w:tc>
          <w:tcPr>
            <w:tcW w:w="5415" w:type="dxa"/>
            <w:tcBorders>
              <w:top w:val="nil"/>
              <w:left w:val="nil"/>
              <w:bottom w:val="nil"/>
              <w:right w:val="nil"/>
            </w:tcBorders>
            <w:shd w:val="clear" w:color="auto" w:fill="auto"/>
            <w:noWrap/>
            <w:vAlign w:val="bottom"/>
            <w:hideMark/>
          </w:tcPr>
          <w:p w14:paraId="7883704C" w14:textId="77777777" w:rsidR="007C03F1" w:rsidRPr="00814BF6" w:rsidRDefault="009C737A"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Pneumonitis</w:t>
            </w:r>
          </w:p>
        </w:tc>
        <w:tc>
          <w:tcPr>
            <w:tcW w:w="2880" w:type="dxa"/>
            <w:tcBorders>
              <w:top w:val="nil"/>
              <w:left w:val="nil"/>
              <w:bottom w:val="nil"/>
              <w:right w:val="nil"/>
            </w:tcBorders>
            <w:shd w:val="clear" w:color="auto" w:fill="auto"/>
            <w:noWrap/>
            <w:vAlign w:val="bottom"/>
            <w:hideMark/>
          </w:tcPr>
          <w:p w14:paraId="657811C9"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2</w:t>
            </w:r>
          </w:p>
        </w:tc>
      </w:tr>
      <w:tr w:rsidR="00814BF6" w:rsidRPr="00814BF6" w14:paraId="765E748B" w14:textId="77777777" w:rsidTr="00950C81">
        <w:trPr>
          <w:trHeight w:val="300"/>
        </w:trPr>
        <w:tc>
          <w:tcPr>
            <w:tcW w:w="5415" w:type="dxa"/>
            <w:tcBorders>
              <w:top w:val="nil"/>
              <w:left w:val="nil"/>
              <w:bottom w:val="nil"/>
              <w:right w:val="nil"/>
            </w:tcBorders>
            <w:shd w:val="clear" w:color="auto" w:fill="auto"/>
            <w:noWrap/>
            <w:vAlign w:val="bottom"/>
            <w:hideMark/>
          </w:tcPr>
          <w:p w14:paraId="5E7F8023" w14:textId="77777777" w:rsidR="007C03F1" w:rsidRPr="009C737A" w:rsidRDefault="009C737A" w:rsidP="009C737A">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lang w:eastAsia="zh-CN"/>
              </w:rPr>
              <w:t>Cardiac</w:t>
            </w:r>
            <w:r w:rsidRPr="009C737A">
              <w:rPr>
                <w:rFonts w:ascii="Book Antiqua" w:hAnsi="Book Antiqua" w:cs="Times New Roman" w:hint="eastAsia"/>
                <w:sz w:val="24"/>
                <w:szCs w:val="24"/>
                <w:vertAlign w:val="superscript"/>
                <w:lang w:eastAsia="zh-CN"/>
              </w:rPr>
              <w:t>1</w:t>
            </w:r>
          </w:p>
        </w:tc>
        <w:tc>
          <w:tcPr>
            <w:tcW w:w="2880" w:type="dxa"/>
            <w:tcBorders>
              <w:top w:val="nil"/>
              <w:left w:val="nil"/>
              <w:bottom w:val="nil"/>
              <w:right w:val="nil"/>
            </w:tcBorders>
            <w:shd w:val="clear" w:color="auto" w:fill="auto"/>
            <w:noWrap/>
            <w:vAlign w:val="bottom"/>
            <w:hideMark/>
          </w:tcPr>
          <w:p w14:paraId="5C63A930"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w:t>
            </w:r>
          </w:p>
        </w:tc>
      </w:tr>
      <w:tr w:rsidR="00814BF6" w:rsidRPr="00814BF6" w14:paraId="0842A06B" w14:textId="77777777" w:rsidTr="00950C81">
        <w:trPr>
          <w:trHeight w:val="300"/>
        </w:trPr>
        <w:tc>
          <w:tcPr>
            <w:tcW w:w="5415" w:type="dxa"/>
            <w:tcBorders>
              <w:top w:val="nil"/>
              <w:left w:val="nil"/>
              <w:bottom w:val="nil"/>
              <w:right w:val="nil"/>
            </w:tcBorders>
            <w:shd w:val="clear" w:color="auto" w:fill="auto"/>
            <w:noWrap/>
            <w:vAlign w:val="bottom"/>
            <w:hideMark/>
          </w:tcPr>
          <w:p w14:paraId="20A9FE18"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Surgery related</w:t>
            </w:r>
          </w:p>
        </w:tc>
        <w:tc>
          <w:tcPr>
            <w:tcW w:w="2880" w:type="dxa"/>
            <w:tcBorders>
              <w:top w:val="nil"/>
              <w:left w:val="nil"/>
              <w:bottom w:val="nil"/>
              <w:right w:val="nil"/>
            </w:tcBorders>
            <w:shd w:val="clear" w:color="auto" w:fill="auto"/>
            <w:noWrap/>
            <w:vAlign w:val="bottom"/>
            <w:hideMark/>
          </w:tcPr>
          <w:p w14:paraId="3485B37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6</w:t>
            </w:r>
          </w:p>
        </w:tc>
      </w:tr>
      <w:tr w:rsidR="00814BF6" w:rsidRPr="00814BF6" w14:paraId="4D684F5A" w14:textId="77777777" w:rsidTr="00950C81">
        <w:trPr>
          <w:trHeight w:val="300"/>
        </w:trPr>
        <w:tc>
          <w:tcPr>
            <w:tcW w:w="5415" w:type="dxa"/>
            <w:tcBorders>
              <w:top w:val="nil"/>
              <w:left w:val="nil"/>
              <w:bottom w:val="nil"/>
              <w:right w:val="nil"/>
            </w:tcBorders>
            <w:shd w:val="clear" w:color="auto" w:fill="auto"/>
            <w:noWrap/>
            <w:vAlign w:val="bottom"/>
            <w:hideMark/>
          </w:tcPr>
          <w:p w14:paraId="7F10E795" w14:textId="77777777" w:rsidR="007C03F1" w:rsidRPr="00814BF6" w:rsidRDefault="009C737A"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Anastomotic leakage</w:t>
            </w:r>
          </w:p>
        </w:tc>
        <w:tc>
          <w:tcPr>
            <w:tcW w:w="2880" w:type="dxa"/>
            <w:tcBorders>
              <w:top w:val="nil"/>
              <w:left w:val="nil"/>
              <w:bottom w:val="nil"/>
              <w:right w:val="nil"/>
            </w:tcBorders>
            <w:shd w:val="clear" w:color="auto" w:fill="auto"/>
            <w:noWrap/>
            <w:vAlign w:val="bottom"/>
            <w:hideMark/>
          </w:tcPr>
          <w:p w14:paraId="4691409B"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4</w:t>
            </w:r>
          </w:p>
        </w:tc>
      </w:tr>
      <w:tr w:rsidR="00814BF6" w:rsidRPr="00814BF6" w14:paraId="2B32835E" w14:textId="77777777" w:rsidTr="00950C81">
        <w:trPr>
          <w:trHeight w:val="300"/>
        </w:trPr>
        <w:tc>
          <w:tcPr>
            <w:tcW w:w="5415" w:type="dxa"/>
            <w:tcBorders>
              <w:top w:val="nil"/>
              <w:left w:val="nil"/>
              <w:bottom w:val="nil"/>
              <w:right w:val="nil"/>
            </w:tcBorders>
            <w:shd w:val="clear" w:color="auto" w:fill="auto"/>
            <w:noWrap/>
            <w:vAlign w:val="bottom"/>
            <w:hideMark/>
          </w:tcPr>
          <w:p w14:paraId="35B90FC1" w14:textId="77777777" w:rsidR="007C03F1" w:rsidRPr="00814BF6" w:rsidRDefault="009C737A"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Anastomotic strict</w:t>
            </w:r>
            <w:r w:rsidR="007C03F1" w:rsidRPr="00814BF6">
              <w:rPr>
                <w:rFonts w:ascii="Book Antiqua" w:eastAsia="Times New Roman" w:hAnsi="Book Antiqua" w:cs="Times New Roman"/>
                <w:sz w:val="24"/>
                <w:szCs w:val="24"/>
                <w:lang w:eastAsia="zh-CN"/>
              </w:rPr>
              <w:t>ure</w:t>
            </w:r>
          </w:p>
        </w:tc>
        <w:tc>
          <w:tcPr>
            <w:tcW w:w="2880" w:type="dxa"/>
            <w:tcBorders>
              <w:top w:val="nil"/>
              <w:left w:val="nil"/>
              <w:bottom w:val="nil"/>
              <w:right w:val="nil"/>
            </w:tcBorders>
            <w:shd w:val="clear" w:color="auto" w:fill="auto"/>
            <w:noWrap/>
            <w:vAlign w:val="bottom"/>
            <w:hideMark/>
          </w:tcPr>
          <w:p w14:paraId="179E33B6"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w:t>
            </w:r>
          </w:p>
        </w:tc>
      </w:tr>
      <w:tr w:rsidR="00814BF6" w:rsidRPr="00814BF6" w14:paraId="39F01612" w14:textId="77777777" w:rsidTr="00950C81">
        <w:trPr>
          <w:trHeight w:val="300"/>
        </w:trPr>
        <w:tc>
          <w:tcPr>
            <w:tcW w:w="5415" w:type="dxa"/>
            <w:tcBorders>
              <w:top w:val="nil"/>
              <w:left w:val="nil"/>
              <w:bottom w:val="nil"/>
              <w:right w:val="nil"/>
            </w:tcBorders>
            <w:shd w:val="clear" w:color="auto" w:fill="auto"/>
            <w:noWrap/>
            <w:vAlign w:val="bottom"/>
            <w:hideMark/>
          </w:tcPr>
          <w:p w14:paraId="4BE6741B" w14:textId="77777777" w:rsidR="007C03F1" w:rsidRPr="00814BF6" w:rsidRDefault="009C737A"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Wound infection</w:t>
            </w:r>
          </w:p>
        </w:tc>
        <w:tc>
          <w:tcPr>
            <w:tcW w:w="2880" w:type="dxa"/>
            <w:tcBorders>
              <w:top w:val="nil"/>
              <w:left w:val="nil"/>
              <w:bottom w:val="nil"/>
              <w:right w:val="nil"/>
            </w:tcBorders>
            <w:shd w:val="clear" w:color="auto" w:fill="auto"/>
            <w:noWrap/>
            <w:vAlign w:val="bottom"/>
            <w:hideMark/>
          </w:tcPr>
          <w:p w14:paraId="63010A2C"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w:t>
            </w:r>
          </w:p>
        </w:tc>
      </w:tr>
      <w:tr w:rsidR="00814BF6" w:rsidRPr="00814BF6" w14:paraId="2534DCCE" w14:textId="77777777" w:rsidTr="00950C81">
        <w:trPr>
          <w:trHeight w:val="300"/>
        </w:trPr>
        <w:tc>
          <w:tcPr>
            <w:tcW w:w="5415" w:type="dxa"/>
            <w:tcBorders>
              <w:top w:val="nil"/>
              <w:left w:val="nil"/>
              <w:bottom w:val="single" w:sz="4" w:space="0" w:color="auto"/>
              <w:right w:val="nil"/>
            </w:tcBorders>
            <w:shd w:val="clear" w:color="auto" w:fill="auto"/>
            <w:noWrap/>
            <w:vAlign w:val="bottom"/>
            <w:hideMark/>
          </w:tcPr>
          <w:p w14:paraId="4A8B9372" w14:textId="77777777" w:rsidR="007C03F1" w:rsidRPr="00814BF6" w:rsidRDefault="009C737A"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Death within admission</w:t>
            </w:r>
          </w:p>
        </w:tc>
        <w:tc>
          <w:tcPr>
            <w:tcW w:w="2880" w:type="dxa"/>
            <w:tcBorders>
              <w:top w:val="nil"/>
              <w:left w:val="nil"/>
              <w:bottom w:val="single" w:sz="4" w:space="0" w:color="auto"/>
              <w:right w:val="nil"/>
            </w:tcBorders>
            <w:shd w:val="clear" w:color="auto" w:fill="auto"/>
            <w:noWrap/>
            <w:vAlign w:val="bottom"/>
            <w:hideMark/>
          </w:tcPr>
          <w:p w14:paraId="67A44D42"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0</w:t>
            </w:r>
          </w:p>
        </w:tc>
      </w:tr>
      <w:tr w:rsidR="00814BF6" w:rsidRPr="00814BF6" w14:paraId="57931A89" w14:textId="77777777" w:rsidTr="00950C81">
        <w:trPr>
          <w:trHeight w:val="300"/>
        </w:trPr>
        <w:tc>
          <w:tcPr>
            <w:tcW w:w="8295" w:type="dxa"/>
            <w:gridSpan w:val="2"/>
            <w:tcBorders>
              <w:top w:val="nil"/>
              <w:left w:val="nil"/>
              <w:bottom w:val="nil"/>
              <w:right w:val="nil"/>
            </w:tcBorders>
            <w:shd w:val="clear" w:color="auto" w:fill="auto"/>
            <w:noWrap/>
            <w:vAlign w:val="bottom"/>
            <w:hideMark/>
          </w:tcPr>
          <w:p w14:paraId="7807A007" w14:textId="77777777" w:rsidR="007C03F1" w:rsidRPr="009C737A" w:rsidRDefault="009C737A" w:rsidP="00814BF6">
            <w:pPr>
              <w:spacing w:after="0" w:line="360" w:lineRule="auto"/>
              <w:jc w:val="both"/>
              <w:rPr>
                <w:rFonts w:ascii="Book Antiqua" w:hAnsi="Book Antiqua" w:cs="Times New Roman"/>
                <w:sz w:val="24"/>
                <w:szCs w:val="24"/>
                <w:lang w:eastAsia="zh-CN"/>
              </w:rPr>
            </w:pPr>
            <w:r w:rsidRPr="009C737A">
              <w:rPr>
                <w:rFonts w:ascii="Book Antiqua" w:hAnsi="Book Antiqua" w:cs="Times New Roman" w:hint="eastAsia"/>
                <w:sz w:val="24"/>
                <w:szCs w:val="24"/>
                <w:vertAlign w:val="superscript"/>
                <w:lang w:eastAsia="zh-CN"/>
              </w:rPr>
              <w:t>1</w:t>
            </w:r>
            <w:r w:rsidR="007C03F1" w:rsidRPr="00814BF6">
              <w:rPr>
                <w:rFonts w:ascii="Book Antiqua" w:eastAsia="Times New Roman" w:hAnsi="Book Antiqua" w:cs="Times New Roman"/>
                <w:sz w:val="24"/>
                <w:szCs w:val="24"/>
                <w:lang w:eastAsia="zh-CN"/>
              </w:rPr>
              <w:t>Cardiac toxicities include heart attack, cardiac rhythm changes, pericardia effusion</w:t>
            </w:r>
            <w:r>
              <w:rPr>
                <w:rFonts w:ascii="Book Antiqua" w:hAnsi="Book Antiqua" w:cs="Times New Roman" w:hint="eastAsia"/>
                <w:sz w:val="24"/>
                <w:szCs w:val="24"/>
                <w:lang w:eastAsia="zh-CN"/>
              </w:rPr>
              <w:t>.</w:t>
            </w:r>
          </w:p>
        </w:tc>
      </w:tr>
    </w:tbl>
    <w:p w14:paraId="416DEC7C" w14:textId="77777777" w:rsidR="009C737A" w:rsidRDefault="009C737A" w:rsidP="00814BF6">
      <w:pPr>
        <w:spacing w:after="0" w:line="360" w:lineRule="auto"/>
        <w:jc w:val="both"/>
        <w:rPr>
          <w:rFonts w:ascii="Book Antiqua" w:hAnsi="Book Antiqua" w:cs="Times New Roman"/>
          <w:sz w:val="24"/>
          <w:szCs w:val="24"/>
        </w:rPr>
      </w:pPr>
    </w:p>
    <w:p w14:paraId="31162E69" w14:textId="77777777" w:rsidR="009C737A" w:rsidRDefault="009C737A">
      <w:pPr>
        <w:rPr>
          <w:rFonts w:ascii="Book Antiqua" w:hAnsi="Book Antiqua" w:cs="Times New Roman"/>
          <w:sz w:val="24"/>
          <w:szCs w:val="24"/>
        </w:rPr>
      </w:pPr>
      <w:r>
        <w:rPr>
          <w:rFonts w:ascii="Book Antiqua" w:hAnsi="Book Antiqua" w:cs="Times New Roman"/>
          <w:sz w:val="24"/>
          <w:szCs w:val="24"/>
        </w:rPr>
        <w:br w:type="page"/>
      </w:r>
    </w:p>
    <w:p w14:paraId="3AFF320F" w14:textId="77777777" w:rsidR="007C03F1" w:rsidRPr="00814BF6" w:rsidRDefault="007C03F1" w:rsidP="00814BF6">
      <w:pPr>
        <w:spacing w:after="0" w:line="360" w:lineRule="auto"/>
        <w:jc w:val="both"/>
        <w:rPr>
          <w:rFonts w:ascii="Book Antiqua" w:hAnsi="Book Antiqua" w:cs="Times New Roman"/>
          <w:sz w:val="24"/>
          <w:szCs w:val="24"/>
        </w:rPr>
      </w:pPr>
    </w:p>
    <w:tbl>
      <w:tblPr>
        <w:tblW w:w="6790" w:type="dxa"/>
        <w:tblInd w:w="93" w:type="dxa"/>
        <w:tblLook w:val="04A0" w:firstRow="1" w:lastRow="0" w:firstColumn="1" w:lastColumn="0" w:noHBand="0" w:noVBand="1"/>
      </w:tblPr>
      <w:tblGrid>
        <w:gridCol w:w="2784"/>
        <w:gridCol w:w="456"/>
        <w:gridCol w:w="1014"/>
        <w:gridCol w:w="1420"/>
        <w:gridCol w:w="1116"/>
      </w:tblGrid>
      <w:tr w:rsidR="00A21149" w:rsidRPr="00814BF6" w14:paraId="35392391" w14:textId="77777777" w:rsidTr="00C14B22">
        <w:trPr>
          <w:trHeight w:val="300"/>
        </w:trPr>
        <w:tc>
          <w:tcPr>
            <w:tcW w:w="6790" w:type="dxa"/>
            <w:gridSpan w:val="5"/>
            <w:tcBorders>
              <w:top w:val="nil"/>
              <w:left w:val="nil"/>
              <w:bottom w:val="single" w:sz="4" w:space="0" w:color="auto"/>
              <w:right w:val="nil"/>
            </w:tcBorders>
            <w:noWrap/>
            <w:vAlign w:val="bottom"/>
            <w:hideMark/>
          </w:tcPr>
          <w:p w14:paraId="6B3040F7" w14:textId="77777777" w:rsidR="00A21149" w:rsidRPr="007A21F6" w:rsidRDefault="00A21149" w:rsidP="00814BF6">
            <w:pPr>
              <w:spacing w:after="0" w:line="360" w:lineRule="auto"/>
              <w:jc w:val="both"/>
              <w:rPr>
                <w:rFonts w:ascii="Book Antiqua" w:hAnsi="Book Antiqua" w:cs="Times New Roman"/>
                <w:b/>
                <w:sz w:val="24"/>
                <w:szCs w:val="24"/>
                <w:lang w:eastAsia="zh-CN"/>
              </w:rPr>
            </w:pPr>
            <w:r w:rsidRPr="009C737A">
              <w:rPr>
                <w:rFonts w:ascii="Book Antiqua" w:eastAsia="Times New Roman" w:hAnsi="Book Antiqua" w:cs="Times New Roman"/>
                <w:b/>
                <w:sz w:val="24"/>
                <w:szCs w:val="24"/>
                <w:lang w:eastAsia="zh-CN"/>
              </w:rPr>
              <w:t>Table 4 Survival by prognostic factor</w:t>
            </w:r>
          </w:p>
        </w:tc>
      </w:tr>
      <w:tr w:rsidR="00814BF6" w:rsidRPr="00814BF6" w14:paraId="435220D6" w14:textId="77777777" w:rsidTr="00391228">
        <w:trPr>
          <w:trHeight w:val="300"/>
        </w:trPr>
        <w:tc>
          <w:tcPr>
            <w:tcW w:w="2784" w:type="dxa"/>
            <w:noWrap/>
            <w:vAlign w:val="bottom"/>
            <w:hideMark/>
          </w:tcPr>
          <w:p w14:paraId="6C163170" w14:textId="77777777" w:rsidR="007C03F1" w:rsidRPr="00814BF6" w:rsidRDefault="007C03F1" w:rsidP="00814BF6">
            <w:pPr>
              <w:spacing w:after="0" w:line="360" w:lineRule="auto"/>
              <w:jc w:val="both"/>
              <w:rPr>
                <w:rFonts w:ascii="Book Antiqua" w:hAnsi="Book Antiqua" w:cs="Times New Roman"/>
                <w:sz w:val="24"/>
                <w:szCs w:val="24"/>
              </w:rPr>
            </w:pPr>
          </w:p>
        </w:tc>
        <w:tc>
          <w:tcPr>
            <w:tcW w:w="456" w:type="dxa"/>
            <w:noWrap/>
            <w:vAlign w:val="bottom"/>
            <w:hideMark/>
          </w:tcPr>
          <w:p w14:paraId="2A7385A2" w14:textId="77777777" w:rsidR="007C03F1" w:rsidRPr="00814BF6" w:rsidRDefault="007C03F1" w:rsidP="00814BF6">
            <w:pPr>
              <w:spacing w:after="0" w:line="360" w:lineRule="auto"/>
              <w:jc w:val="both"/>
              <w:rPr>
                <w:rFonts w:ascii="Book Antiqua" w:hAnsi="Book Antiqua" w:cs="Times New Roman"/>
                <w:sz w:val="24"/>
                <w:szCs w:val="24"/>
              </w:rPr>
            </w:pPr>
          </w:p>
        </w:tc>
        <w:tc>
          <w:tcPr>
            <w:tcW w:w="2434" w:type="dxa"/>
            <w:gridSpan w:val="2"/>
            <w:tcBorders>
              <w:top w:val="single" w:sz="4" w:space="0" w:color="auto"/>
              <w:left w:val="nil"/>
              <w:bottom w:val="single" w:sz="4" w:space="0" w:color="auto"/>
              <w:right w:val="nil"/>
            </w:tcBorders>
            <w:noWrap/>
            <w:vAlign w:val="bottom"/>
            <w:hideMark/>
          </w:tcPr>
          <w:p w14:paraId="2CDA59B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Overall survival (%)</w:t>
            </w:r>
          </w:p>
        </w:tc>
        <w:tc>
          <w:tcPr>
            <w:tcW w:w="1116" w:type="dxa"/>
            <w:noWrap/>
            <w:vAlign w:val="bottom"/>
            <w:hideMark/>
          </w:tcPr>
          <w:p w14:paraId="4FB08E5B"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51503137" w14:textId="77777777" w:rsidTr="00391228">
        <w:trPr>
          <w:trHeight w:val="300"/>
        </w:trPr>
        <w:tc>
          <w:tcPr>
            <w:tcW w:w="2784" w:type="dxa"/>
            <w:tcBorders>
              <w:top w:val="nil"/>
              <w:left w:val="nil"/>
              <w:bottom w:val="single" w:sz="4" w:space="0" w:color="auto"/>
              <w:right w:val="nil"/>
            </w:tcBorders>
            <w:noWrap/>
            <w:vAlign w:val="bottom"/>
            <w:hideMark/>
          </w:tcPr>
          <w:p w14:paraId="40C27B2C"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 </w:t>
            </w:r>
          </w:p>
        </w:tc>
        <w:tc>
          <w:tcPr>
            <w:tcW w:w="456" w:type="dxa"/>
            <w:tcBorders>
              <w:top w:val="nil"/>
              <w:left w:val="nil"/>
              <w:bottom w:val="single" w:sz="4" w:space="0" w:color="auto"/>
              <w:right w:val="nil"/>
            </w:tcBorders>
            <w:noWrap/>
            <w:vAlign w:val="bottom"/>
            <w:hideMark/>
          </w:tcPr>
          <w:p w14:paraId="7FFC211F"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 </w:t>
            </w:r>
          </w:p>
        </w:tc>
        <w:tc>
          <w:tcPr>
            <w:tcW w:w="1014" w:type="dxa"/>
            <w:tcBorders>
              <w:top w:val="nil"/>
              <w:left w:val="nil"/>
              <w:bottom w:val="single" w:sz="4" w:space="0" w:color="auto"/>
              <w:right w:val="nil"/>
            </w:tcBorders>
            <w:noWrap/>
            <w:vAlign w:val="bottom"/>
            <w:hideMark/>
          </w:tcPr>
          <w:p w14:paraId="068F8FD0"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 yr</w:t>
            </w:r>
          </w:p>
        </w:tc>
        <w:tc>
          <w:tcPr>
            <w:tcW w:w="1420" w:type="dxa"/>
            <w:tcBorders>
              <w:top w:val="nil"/>
              <w:left w:val="nil"/>
              <w:bottom w:val="single" w:sz="4" w:space="0" w:color="auto"/>
              <w:right w:val="nil"/>
            </w:tcBorders>
            <w:noWrap/>
            <w:vAlign w:val="bottom"/>
            <w:hideMark/>
          </w:tcPr>
          <w:p w14:paraId="4C8CC141"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3 yr</w:t>
            </w:r>
          </w:p>
        </w:tc>
        <w:tc>
          <w:tcPr>
            <w:tcW w:w="1116" w:type="dxa"/>
            <w:tcBorders>
              <w:top w:val="nil"/>
              <w:left w:val="nil"/>
              <w:bottom w:val="single" w:sz="4" w:space="0" w:color="auto"/>
              <w:right w:val="nil"/>
            </w:tcBorders>
            <w:shd w:val="clear" w:color="auto" w:fill="auto"/>
            <w:noWrap/>
            <w:vAlign w:val="center"/>
            <w:hideMark/>
          </w:tcPr>
          <w:p w14:paraId="4EDEB846"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9C737A">
              <w:rPr>
                <w:rFonts w:ascii="Book Antiqua" w:eastAsia="Times New Roman" w:hAnsi="Book Antiqua" w:cs="Times New Roman"/>
                <w:i/>
                <w:sz w:val="24"/>
                <w:szCs w:val="24"/>
                <w:lang w:eastAsia="zh-CN"/>
              </w:rPr>
              <w:t>P</w:t>
            </w:r>
            <w:r w:rsidRPr="00814BF6">
              <w:rPr>
                <w:rFonts w:ascii="Book Antiqua" w:eastAsia="Times New Roman" w:hAnsi="Book Antiqua" w:cs="Times New Roman"/>
                <w:sz w:val="24"/>
                <w:szCs w:val="24"/>
                <w:lang w:eastAsia="zh-CN"/>
              </w:rPr>
              <w:t xml:space="preserve"> value</w:t>
            </w:r>
          </w:p>
        </w:tc>
      </w:tr>
      <w:tr w:rsidR="00814BF6" w:rsidRPr="00814BF6" w14:paraId="4E043A00" w14:textId="77777777" w:rsidTr="00391228">
        <w:trPr>
          <w:trHeight w:val="300"/>
        </w:trPr>
        <w:tc>
          <w:tcPr>
            <w:tcW w:w="2784" w:type="dxa"/>
            <w:noWrap/>
            <w:vAlign w:val="bottom"/>
            <w:hideMark/>
          </w:tcPr>
          <w:p w14:paraId="0C7CF861"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Sex</w:t>
            </w:r>
          </w:p>
        </w:tc>
        <w:tc>
          <w:tcPr>
            <w:tcW w:w="456" w:type="dxa"/>
            <w:noWrap/>
            <w:vAlign w:val="bottom"/>
            <w:hideMark/>
          </w:tcPr>
          <w:p w14:paraId="31515C35" w14:textId="77777777" w:rsidR="007C03F1" w:rsidRPr="00814BF6" w:rsidRDefault="007C03F1" w:rsidP="00814BF6">
            <w:pPr>
              <w:spacing w:after="0" w:line="360" w:lineRule="auto"/>
              <w:jc w:val="both"/>
              <w:rPr>
                <w:rFonts w:ascii="Book Antiqua" w:hAnsi="Book Antiqua" w:cs="Times New Roman"/>
                <w:sz w:val="24"/>
                <w:szCs w:val="24"/>
              </w:rPr>
            </w:pPr>
          </w:p>
        </w:tc>
        <w:tc>
          <w:tcPr>
            <w:tcW w:w="1014" w:type="dxa"/>
            <w:noWrap/>
            <w:vAlign w:val="bottom"/>
            <w:hideMark/>
          </w:tcPr>
          <w:p w14:paraId="194B3539" w14:textId="77777777" w:rsidR="007C03F1" w:rsidRPr="00814BF6" w:rsidRDefault="007C03F1" w:rsidP="00814BF6">
            <w:pPr>
              <w:spacing w:after="0" w:line="360" w:lineRule="auto"/>
              <w:jc w:val="both"/>
              <w:rPr>
                <w:rFonts w:ascii="Book Antiqua" w:hAnsi="Book Antiqua" w:cs="Times New Roman"/>
                <w:sz w:val="24"/>
                <w:szCs w:val="24"/>
              </w:rPr>
            </w:pPr>
          </w:p>
        </w:tc>
        <w:tc>
          <w:tcPr>
            <w:tcW w:w="1420" w:type="dxa"/>
            <w:noWrap/>
            <w:vAlign w:val="bottom"/>
            <w:hideMark/>
          </w:tcPr>
          <w:p w14:paraId="7545889F" w14:textId="77777777" w:rsidR="007C03F1" w:rsidRPr="00814BF6" w:rsidRDefault="007C03F1" w:rsidP="00814BF6">
            <w:pPr>
              <w:spacing w:after="0" w:line="360" w:lineRule="auto"/>
              <w:jc w:val="both"/>
              <w:rPr>
                <w:rFonts w:ascii="Book Antiqua" w:hAnsi="Book Antiqua" w:cs="Times New Roman"/>
                <w:sz w:val="24"/>
                <w:szCs w:val="24"/>
              </w:rPr>
            </w:pPr>
          </w:p>
        </w:tc>
        <w:tc>
          <w:tcPr>
            <w:tcW w:w="1116" w:type="dxa"/>
            <w:noWrap/>
            <w:vAlign w:val="bottom"/>
            <w:hideMark/>
          </w:tcPr>
          <w:p w14:paraId="07972F74"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38226361" w14:textId="77777777" w:rsidTr="00391228">
        <w:trPr>
          <w:trHeight w:val="300"/>
        </w:trPr>
        <w:tc>
          <w:tcPr>
            <w:tcW w:w="2784" w:type="dxa"/>
            <w:noWrap/>
            <w:vAlign w:val="bottom"/>
            <w:hideMark/>
          </w:tcPr>
          <w:p w14:paraId="1331E912"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Female</w:t>
            </w:r>
          </w:p>
        </w:tc>
        <w:tc>
          <w:tcPr>
            <w:tcW w:w="456" w:type="dxa"/>
            <w:noWrap/>
            <w:vAlign w:val="bottom"/>
            <w:hideMark/>
          </w:tcPr>
          <w:p w14:paraId="7CC70D8F"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2</w:t>
            </w:r>
          </w:p>
        </w:tc>
        <w:tc>
          <w:tcPr>
            <w:tcW w:w="1014" w:type="dxa"/>
            <w:noWrap/>
            <w:vAlign w:val="bottom"/>
            <w:hideMark/>
          </w:tcPr>
          <w:p w14:paraId="7B6025B9"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100</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(2)</w:t>
            </w:r>
          </w:p>
        </w:tc>
        <w:tc>
          <w:tcPr>
            <w:tcW w:w="1420" w:type="dxa"/>
            <w:noWrap/>
            <w:vAlign w:val="bottom"/>
            <w:hideMark/>
          </w:tcPr>
          <w:p w14:paraId="3294374C"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100</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(2)</w:t>
            </w:r>
          </w:p>
        </w:tc>
        <w:tc>
          <w:tcPr>
            <w:tcW w:w="1116" w:type="dxa"/>
            <w:noWrap/>
            <w:vAlign w:val="bottom"/>
            <w:hideMark/>
          </w:tcPr>
          <w:p w14:paraId="7B1A39A5"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0.017584</w:t>
            </w:r>
          </w:p>
        </w:tc>
      </w:tr>
      <w:tr w:rsidR="00814BF6" w:rsidRPr="00814BF6" w14:paraId="70C9A06B" w14:textId="77777777" w:rsidTr="00391228">
        <w:trPr>
          <w:trHeight w:val="300"/>
        </w:trPr>
        <w:tc>
          <w:tcPr>
            <w:tcW w:w="2784" w:type="dxa"/>
            <w:noWrap/>
            <w:vAlign w:val="bottom"/>
            <w:hideMark/>
          </w:tcPr>
          <w:p w14:paraId="1A4B6492"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Male</w:t>
            </w:r>
          </w:p>
        </w:tc>
        <w:tc>
          <w:tcPr>
            <w:tcW w:w="456" w:type="dxa"/>
            <w:noWrap/>
            <w:vAlign w:val="bottom"/>
            <w:hideMark/>
          </w:tcPr>
          <w:p w14:paraId="595DF0D5"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15</w:t>
            </w:r>
          </w:p>
        </w:tc>
        <w:tc>
          <w:tcPr>
            <w:tcW w:w="1014" w:type="dxa"/>
            <w:noWrap/>
            <w:vAlign w:val="bottom"/>
            <w:hideMark/>
          </w:tcPr>
          <w:p w14:paraId="03ECF346"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73</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(11)</w:t>
            </w:r>
          </w:p>
        </w:tc>
        <w:tc>
          <w:tcPr>
            <w:tcW w:w="1420" w:type="dxa"/>
            <w:noWrap/>
            <w:vAlign w:val="bottom"/>
            <w:hideMark/>
          </w:tcPr>
          <w:p w14:paraId="343D7A61"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47</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(7)</w:t>
            </w:r>
          </w:p>
        </w:tc>
        <w:tc>
          <w:tcPr>
            <w:tcW w:w="1116" w:type="dxa"/>
            <w:noWrap/>
            <w:vAlign w:val="bottom"/>
            <w:hideMark/>
          </w:tcPr>
          <w:p w14:paraId="358CACB0"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56926076" w14:textId="77777777" w:rsidTr="00391228">
        <w:trPr>
          <w:trHeight w:val="300"/>
        </w:trPr>
        <w:tc>
          <w:tcPr>
            <w:tcW w:w="2784" w:type="dxa"/>
            <w:noWrap/>
            <w:vAlign w:val="bottom"/>
            <w:hideMark/>
          </w:tcPr>
          <w:p w14:paraId="021C29D4"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tumor size</w:t>
            </w:r>
          </w:p>
        </w:tc>
        <w:tc>
          <w:tcPr>
            <w:tcW w:w="456" w:type="dxa"/>
            <w:noWrap/>
            <w:vAlign w:val="bottom"/>
            <w:hideMark/>
          </w:tcPr>
          <w:p w14:paraId="0D7D4E5C" w14:textId="77777777" w:rsidR="007C03F1" w:rsidRPr="00814BF6" w:rsidRDefault="007C03F1" w:rsidP="00814BF6">
            <w:pPr>
              <w:spacing w:after="0" w:line="360" w:lineRule="auto"/>
              <w:jc w:val="both"/>
              <w:rPr>
                <w:rFonts w:ascii="Book Antiqua" w:hAnsi="Book Antiqua" w:cs="Times New Roman"/>
                <w:sz w:val="24"/>
                <w:szCs w:val="24"/>
              </w:rPr>
            </w:pPr>
          </w:p>
        </w:tc>
        <w:tc>
          <w:tcPr>
            <w:tcW w:w="1014" w:type="dxa"/>
            <w:noWrap/>
            <w:vAlign w:val="bottom"/>
            <w:hideMark/>
          </w:tcPr>
          <w:p w14:paraId="1B33D693" w14:textId="77777777" w:rsidR="007C03F1" w:rsidRPr="00814BF6" w:rsidRDefault="007C03F1" w:rsidP="00814BF6">
            <w:pPr>
              <w:spacing w:after="0" w:line="360" w:lineRule="auto"/>
              <w:jc w:val="both"/>
              <w:rPr>
                <w:rFonts w:ascii="Book Antiqua" w:hAnsi="Book Antiqua" w:cs="Times New Roman"/>
                <w:sz w:val="24"/>
                <w:szCs w:val="24"/>
              </w:rPr>
            </w:pPr>
          </w:p>
        </w:tc>
        <w:tc>
          <w:tcPr>
            <w:tcW w:w="1420" w:type="dxa"/>
            <w:noWrap/>
            <w:vAlign w:val="bottom"/>
            <w:hideMark/>
          </w:tcPr>
          <w:p w14:paraId="2EBB83E5" w14:textId="77777777" w:rsidR="007C03F1" w:rsidRPr="00814BF6" w:rsidRDefault="007C03F1" w:rsidP="00814BF6">
            <w:pPr>
              <w:spacing w:after="0" w:line="360" w:lineRule="auto"/>
              <w:jc w:val="both"/>
              <w:rPr>
                <w:rFonts w:ascii="Book Antiqua" w:hAnsi="Book Antiqua" w:cs="Times New Roman"/>
                <w:sz w:val="24"/>
                <w:szCs w:val="24"/>
              </w:rPr>
            </w:pPr>
          </w:p>
        </w:tc>
        <w:tc>
          <w:tcPr>
            <w:tcW w:w="1116" w:type="dxa"/>
            <w:noWrap/>
            <w:vAlign w:val="bottom"/>
            <w:hideMark/>
          </w:tcPr>
          <w:p w14:paraId="6ABFAE66"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42809636" w14:textId="77777777" w:rsidTr="00391228">
        <w:trPr>
          <w:trHeight w:val="300"/>
        </w:trPr>
        <w:tc>
          <w:tcPr>
            <w:tcW w:w="2784" w:type="dxa"/>
            <w:noWrap/>
            <w:vAlign w:val="bottom"/>
            <w:hideMark/>
          </w:tcPr>
          <w:p w14:paraId="488B6DCD"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&gt; 3</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 xml:space="preserve">cm </w:t>
            </w:r>
          </w:p>
        </w:tc>
        <w:tc>
          <w:tcPr>
            <w:tcW w:w="456" w:type="dxa"/>
            <w:noWrap/>
            <w:vAlign w:val="bottom"/>
            <w:hideMark/>
          </w:tcPr>
          <w:p w14:paraId="280030A2"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9</w:t>
            </w:r>
          </w:p>
        </w:tc>
        <w:tc>
          <w:tcPr>
            <w:tcW w:w="1014" w:type="dxa"/>
            <w:noWrap/>
            <w:vAlign w:val="bottom"/>
            <w:hideMark/>
          </w:tcPr>
          <w:p w14:paraId="2A56848E"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78</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(7)</w:t>
            </w:r>
          </w:p>
        </w:tc>
        <w:tc>
          <w:tcPr>
            <w:tcW w:w="1420" w:type="dxa"/>
            <w:noWrap/>
            <w:vAlign w:val="bottom"/>
            <w:hideMark/>
          </w:tcPr>
          <w:p w14:paraId="5427FCEC"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44</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(4)</w:t>
            </w:r>
          </w:p>
        </w:tc>
        <w:tc>
          <w:tcPr>
            <w:tcW w:w="1116" w:type="dxa"/>
            <w:noWrap/>
            <w:vAlign w:val="bottom"/>
            <w:hideMark/>
          </w:tcPr>
          <w:p w14:paraId="1D1ED290"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0.34649</w:t>
            </w:r>
          </w:p>
        </w:tc>
      </w:tr>
      <w:tr w:rsidR="00814BF6" w:rsidRPr="00814BF6" w14:paraId="34956DD4" w14:textId="77777777" w:rsidTr="00391228">
        <w:trPr>
          <w:trHeight w:val="300"/>
        </w:trPr>
        <w:tc>
          <w:tcPr>
            <w:tcW w:w="2784" w:type="dxa"/>
            <w:noWrap/>
            <w:vAlign w:val="bottom"/>
            <w:hideMark/>
          </w:tcPr>
          <w:p w14:paraId="5A0F5C6C"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&lt; 3</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cm</w:t>
            </w:r>
          </w:p>
        </w:tc>
        <w:tc>
          <w:tcPr>
            <w:tcW w:w="456" w:type="dxa"/>
            <w:noWrap/>
            <w:vAlign w:val="bottom"/>
            <w:hideMark/>
          </w:tcPr>
          <w:p w14:paraId="1A598E0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6</w:t>
            </w:r>
          </w:p>
        </w:tc>
        <w:tc>
          <w:tcPr>
            <w:tcW w:w="1014" w:type="dxa"/>
            <w:noWrap/>
            <w:vAlign w:val="bottom"/>
            <w:hideMark/>
          </w:tcPr>
          <w:p w14:paraId="78AA6081"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83 (5)</w:t>
            </w:r>
          </w:p>
        </w:tc>
        <w:tc>
          <w:tcPr>
            <w:tcW w:w="1420" w:type="dxa"/>
            <w:noWrap/>
            <w:vAlign w:val="bottom"/>
            <w:hideMark/>
          </w:tcPr>
          <w:p w14:paraId="3B453D62"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67 (4)</w:t>
            </w:r>
          </w:p>
        </w:tc>
        <w:tc>
          <w:tcPr>
            <w:tcW w:w="1116" w:type="dxa"/>
            <w:noWrap/>
            <w:vAlign w:val="bottom"/>
            <w:hideMark/>
          </w:tcPr>
          <w:p w14:paraId="6A50B0A4"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41A77985" w14:textId="77777777" w:rsidTr="00391228">
        <w:trPr>
          <w:trHeight w:val="300"/>
        </w:trPr>
        <w:tc>
          <w:tcPr>
            <w:tcW w:w="2784" w:type="dxa"/>
            <w:noWrap/>
            <w:vAlign w:val="bottom"/>
            <w:hideMark/>
          </w:tcPr>
          <w:p w14:paraId="63A32738" w14:textId="77777777" w:rsidR="007C03F1" w:rsidRPr="00814BF6" w:rsidRDefault="00391228"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U</w:t>
            </w:r>
            <w:r w:rsidR="007C03F1" w:rsidRPr="00814BF6">
              <w:rPr>
                <w:rFonts w:ascii="Book Antiqua" w:eastAsia="Times New Roman" w:hAnsi="Book Antiqua" w:cs="Times New Roman"/>
                <w:sz w:val="24"/>
                <w:szCs w:val="24"/>
                <w:lang w:eastAsia="zh-CN"/>
              </w:rPr>
              <w:t>nknown</w:t>
            </w:r>
          </w:p>
        </w:tc>
        <w:tc>
          <w:tcPr>
            <w:tcW w:w="456" w:type="dxa"/>
            <w:noWrap/>
            <w:vAlign w:val="bottom"/>
            <w:hideMark/>
          </w:tcPr>
          <w:p w14:paraId="05247AF2"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2</w:t>
            </w:r>
          </w:p>
        </w:tc>
        <w:tc>
          <w:tcPr>
            <w:tcW w:w="1014" w:type="dxa"/>
            <w:noWrap/>
            <w:vAlign w:val="bottom"/>
            <w:hideMark/>
          </w:tcPr>
          <w:p w14:paraId="638D4318"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50</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(1)</w:t>
            </w:r>
          </w:p>
        </w:tc>
        <w:tc>
          <w:tcPr>
            <w:tcW w:w="1420" w:type="dxa"/>
            <w:noWrap/>
            <w:vAlign w:val="bottom"/>
            <w:hideMark/>
          </w:tcPr>
          <w:p w14:paraId="3D53DDDD"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50</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(1)</w:t>
            </w:r>
          </w:p>
        </w:tc>
        <w:tc>
          <w:tcPr>
            <w:tcW w:w="1116" w:type="dxa"/>
            <w:noWrap/>
            <w:vAlign w:val="bottom"/>
            <w:hideMark/>
          </w:tcPr>
          <w:p w14:paraId="55734193"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5FDB7291" w14:textId="77777777" w:rsidTr="00391228">
        <w:trPr>
          <w:trHeight w:val="300"/>
        </w:trPr>
        <w:tc>
          <w:tcPr>
            <w:tcW w:w="2784" w:type="dxa"/>
            <w:noWrap/>
            <w:vAlign w:val="bottom"/>
            <w:hideMark/>
          </w:tcPr>
          <w:p w14:paraId="50EDCA58" w14:textId="77777777" w:rsidR="007C03F1" w:rsidRPr="00814BF6" w:rsidRDefault="00391228"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C</w:t>
            </w:r>
            <w:r w:rsidR="007C03F1" w:rsidRPr="00814BF6">
              <w:rPr>
                <w:rFonts w:ascii="Book Antiqua" w:eastAsia="Times New Roman" w:hAnsi="Book Antiqua" w:cs="Times New Roman"/>
                <w:sz w:val="24"/>
                <w:szCs w:val="24"/>
                <w:lang w:eastAsia="zh-CN"/>
              </w:rPr>
              <w:t>oncurrent chemo</w:t>
            </w:r>
          </w:p>
        </w:tc>
        <w:tc>
          <w:tcPr>
            <w:tcW w:w="456" w:type="dxa"/>
            <w:noWrap/>
            <w:vAlign w:val="bottom"/>
            <w:hideMark/>
          </w:tcPr>
          <w:p w14:paraId="4D786271" w14:textId="77777777" w:rsidR="007C03F1" w:rsidRPr="00814BF6" w:rsidRDefault="007C03F1" w:rsidP="00814BF6">
            <w:pPr>
              <w:spacing w:after="0" w:line="360" w:lineRule="auto"/>
              <w:jc w:val="both"/>
              <w:rPr>
                <w:rFonts w:ascii="Book Antiqua" w:hAnsi="Book Antiqua" w:cs="Times New Roman"/>
                <w:sz w:val="24"/>
                <w:szCs w:val="24"/>
              </w:rPr>
            </w:pPr>
          </w:p>
        </w:tc>
        <w:tc>
          <w:tcPr>
            <w:tcW w:w="1014" w:type="dxa"/>
            <w:noWrap/>
            <w:vAlign w:val="bottom"/>
            <w:hideMark/>
          </w:tcPr>
          <w:p w14:paraId="1E65660A" w14:textId="77777777" w:rsidR="007C03F1" w:rsidRPr="00814BF6" w:rsidRDefault="007C03F1" w:rsidP="00814BF6">
            <w:pPr>
              <w:spacing w:after="0" w:line="360" w:lineRule="auto"/>
              <w:jc w:val="both"/>
              <w:rPr>
                <w:rFonts w:ascii="Book Antiqua" w:hAnsi="Book Antiqua" w:cs="Times New Roman"/>
                <w:sz w:val="24"/>
                <w:szCs w:val="24"/>
              </w:rPr>
            </w:pPr>
          </w:p>
        </w:tc>
        <w:tc>
          <w:tcPr>
            <w:tcW w:w="1420" w:type="dxa"/>
            <w:noWrap/>
            <w:vAlign w:val="bottom"/>
            <w:hideMark/>
          </w:tcPr>
          <w:p w14:paraId="33085112" w14:textId="77777777" w:rsidR="007C03F1" w:rsidRPr="00814BF6" w:rsidRDefault="007C03F1" w:rsidP="00814BF6">
            <w:pPr>
              <w:spacing w:after="0" w:line="360" w:lineRule="auto"/>
              <w:jc w:val="both"/>
              <w:rPr>
                <w:rFonts w:ascii="Book Antiqua" w:hAnsi="Book Antiqua" w:cs="Times New Roman"/>
                <w:sz w:val="24"/>
                <w:szCs w:val="24"/>
              </w:rPr>
            </w:pPr>
          </w:p>
        </w:tc>
        <w:tc>
          <w:tcPr>
            <w:tcW w:w="1116" w:type="dxa"/>
            <w:noWrap/>
            <w:vAlign w:val="bottom"/>
            <w:hideMark/>
          </w:tcPr>
          <w:p w14:paraId="611AE54C"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0DD4A707" w14:textId="77777777" w:rsidTr="00391228">
        <w:trPr>
          <w:trHeight w:val="300"/>
        </w:trPr>
        <w:tc>
          <w:tcPr>
            <w:tcW w:w="2784" w:type="dxa"/>
            <w:noWrap/>
            <w:vAlign w:val="bottom"/>
            <w:hideMark/>
          </w:tcPr>
          <w:p w14:paraId="00C71C5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5-FU based</w:t>
            </w:r>
          </w:p>
        </w:tc>
        <w:tc>
          <w:tcPr>
            <w:tcW w:w="456" w:type="dxa"/>
            <w:noWrap/>
            <w:vAlign w:val="bottom"/>
            <w:hideMark/>
          </w:tcPr>
          <w:p w14:paraId="7196EC2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11</w:t>
            </w:r>
          </w:p>
        </w:tc>
        <w:tc>
          <w:tcPr>
            <w:tcW w:w="1014" w:type="dxa"/>
            <w:noWrap/>
            <w:vAlign w:val="bottom"/>
            <w:hideMark/>
          </w:tcPr>
          <w:p w14:paraId="45EE7700"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82</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(9)</w:t>
            </w:r>
          </w:p>
        </w:tc>
        <w:tc>
          <w:tcPr>
            <w:tcW w:w="1420" w:type="dxa"/>
            <w:noWrap/>
            <w:vAlign w:val="bottom"/>
            <w:hideMark/>
          </w:tcPr>
          <w:p w14:paraId="6858107E"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55</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(6)</w:t>
            </w:r>
          </w:p>
        </w:tc>
        <w:tc>
          <w:tcPr>
            <w:tcW w:w="1116" w:type="dxa"/>
            <w:noWrap/>
            <w:vAlign w:val="bottom"/>
            <w:hideMark/>
          </w:tcPr>
          <w:p w14:paraId="157D9548"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0.078225</w:t>
            </w:r>
          </w:p>
        </w:tc>
      </w:tr>
      <w:tr w:rsidR="00814BF6" w:rsidRPr="00814BF6" w14:paraId="21B845C1" w14:textId="77777777" w:rsidTr="00391228">
        <w:trPr>
          <w:trHeight w:val="300"/>
        </w:trPr>
        <w:tc>
          <w:tcPr>
            <w:tcW w:w="2784" w:type="dxa"/>
            <w:noWrap/>
            <w:vAlign w:val="bottom"/>
            <w:hideMark/>
          </w:tcPr>
          <w:p w14:paraId="3218700A" w14:textId="77777777" w:rsidR="007C03F1" w:rsidRPr="00814BF6" w:rsidRDefault="00391228"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C</w:t>
            </w:r>
            <w:r w:rsidR="007C03F1" w:rsidRPr="00814BF6">
              <w:rPr>
                <w:rFonts w:ascii="Book Antiqua" w:eastAsia="Times New Roman" w:hAnsi="Book Antiqua" w:cs="Times New Roman"/>
                <w:sz w:val="24"/>
                <w:szCs w:val="24"/>
                <w:lang w:eastAsia="zh-CN"/>
              </w:rPr>
              <w:t>is based</w:t>
            </w:r>
          </w:p>
        </w:tc>
        <w:tc>
          <w:tcPr>
            <w:tcW w:w="456" w:type="dxa"/>
            <w:noWrap/>
            <w:vAlign w:val="bottom"/>
            <w:hideMark/>
          </w:tcPr>
          <w:p w14:paraId="6E8F07D2"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6</w:t>
            </w:r>
          </w:p>
        </w:tc>
        <w:tc>
          <w:tcPr>
            <w:tcW w:w="1014" w:type="dxa"/>
            <w:noWrap/>
            <w:vAlign w:val="bottom"/>
            <w:hideMark/>
          </w:tcPr>
          <w:p w14:paraId="002BFB7A"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83</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(5)</w:t>
            </w:r>
          </w:p>
        </w:tc>
        <w:tc>
          <w:tcPr>
            <w:tcW w:w="1420" w:type="dxa"/>
            <w:noWrap/>
            <w:vAlign w:val="bottom"/>
            <w:hideMark/>
          </w:tcPr>
          <w:p w14:paraId="325B3849"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50</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(3)</w:t>
            </w:r>
          </w:p>
        </w:tc>
        <w:tc>
          <w:tcPr>
            <w:tcW w:w="1116" w:type="dxa"/>
            <w:noWrap/>
            <w:vAlign w:val="bottom"/>
            <w:hideMark/>
          </w:tcPr>
          <w:p w14:paraId="708B0E80"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49F83FB4" w14:textId="77777777" w:rsidTr="00391228">
        <w:trPr>
          <w:trHeight w:val="300"/>
        </w:trPr>
        <w:tc>
          <w:tcPr>
            <w:tcW w:w="3240" w:type="dxa"/>
            <w:gridSpan w:val="2"/>
            <w:noWrap/>
            <w:vAlign w:val="bottom"/>
            <w:hideMark/>
          </w:tcPr>
          <w:p w14:paraId="3558BD54" w14:textId="77777777" w:rsidR="007C03F1" w:rsidRPr="00814BF6" w:rsidRDefault="00391228"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T</w:t>
            </w:r>
            <w:r w:rsidR="007C03F1" w:rsidRPr="00814BF6">
              <w:rPr>
                <w:rFonts w:ascii="Book Antiqua" w:eastAsia="Times New Roman" w:hAnsi="Book Antiqua" w:cs="Times New Roman"/>
                <w:sz w:val="24"/>
                <w:szCs w:val="24"/>
                <w:lang w:eastAsia="zh-CN"/>
              </w:rPr>
              <w:t>umor configuration</w:t>
            </w:r>
          </w:p>
        </w:tc>
        <w:tc>
          <w:tcPr>
            <w:tcW w:w="1014" w:type="dxa"/>
            <w:noWrap/>
            <w:vAlign w:val="bottom"/>
            <w:hideMark/>
          </w:tcPr>
          <w:p w14:paraId="28640C8B" w14:textId="77777777" w:rsidR="007C03F1" w:rsidRPr="00814BF6" w:rsidRDefault="007C03F1" w:rsidP="00814BF6">
            <w:pPr>
              <w:spacing w:after="0" w:line="360" w:lineRule="auto"/>
              <w:jc w:val="both"/>
              <w:rPr>
                <w:rFonts w:ascii="Book Antiqua" w:hAnsi="Book Antiqua" w:cs="Times New Roman"/>
                <w:sz w:val="24"/>
                <w:szCs w:val="24"/>
              </w:rPr>
            </w:pPr>
          </w:p>
        </w:tc>
        <w:tc>
          <w:tcPr>
            <w:tcW w:w="1420" w:type="dxa"/>
            <w:noWrap/>
            <w:vAlign w:val="bottom"/>
            <w:hideMark/>
          </w:tcPr>
          <w:p w14:paraId="2141FFD9" w14:textId="77777777" w:rsidR="007C03F1" w:rsidRPr="00814BF6" w:rsidRDefault="007C03F1" w:rsidP="00814BF6">
            <w:pPr>
              <w:spacing w:after="0" w:line="360" w:lineRule="auto"/>
              <w:jc w:val="both"/>
              <w:rPr>
                <w:rFonts w:ascii="Book Antiqua" w:hAnsi="Book Antiqua" w:cs="Times New Roman"/>
                <w:sz w:val="24"/>
                <w:szCs w:val="24"/>
              </w:rPr>
            </w:pPr>
          </w:p>
        </w:tc>
        <w:tc>
          <w:tcPr>
            <w:tcW w:w="1116" w:type="dxa"/>
            <w:noWrap/>
            <w:vAlign w:val="bottom"/>
            <w:hideMark/>
          </w:tcPr>
          <w:p w14:paraId="7C00E904"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08CA6BB9" w14:textId="77777777" w:rsidTr="00391228">
        <w:trPr>
          <w:trHeight w:val="300"/>
        </w:trPr>
        <w:tc>
          <w:tcPr>
            <w:tcW w:w="2784" w:type="dxa"/>
            <w:noWrap/>
            <w:vAlign w:val="bottom"/>
            <w:hideMark/>
          </w:tcPr>
          <w:p w14:paraId="53B0C2F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&gt; 180 cm</w:t>
            </w:r>
          </w:p>
        </w:tc>
        <w:tc>
          <w:tcPr>
            <w:tcW w:w="456" w:type="dxa"/>
            <w:noWrap/>
            <w:vAlign w:val="bottom"/>
            <w:hideMark/>
          </w:tcPr>
          <w:p w14:paraId="3F34711F"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8</w:t>
            </w:r>
          </w:p>
        </w:tc>
        <w:tc>
          <w:tcPr>
            <w:tcW w:w="1014" w:type="dxa"/>
            <w:noWrap/>
            <w:vAlign w:val="bottom"/>
            <w:hideMark/>
          </w:tcPr>
          <w:p w14:paraId="59E4819C"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63</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(5)</w:t>
            </w:r>
          </w:p>
        </w:tc>
        <w:tc>
          <w:tcPr>
            <w:tcW w:w="1420" w:type="dxa"/>
            <w:noWrap/>
            <w:vAlign w:val="bottom"/>
            <w:hideMark/>
          </w:tcPr>
          <w:p w14:paraId="2E4D2539"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50</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(4)</w:t>
            </w:r>
          </w:p>
        </w:tc>
        <w:tc>
          <w:tcPr>
            <w:tcW w:w="1116" w:type="dxa"/>
            <w:noWrap/>
            <w:vAlign w:val="bottom"/>
            <w:hideMark/>
          </w:tcPr>
          <w:p w14:paraId="6099D698"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0.382319</w:t>
            </w:r>
          </w:p>
        </w:tc>
      </w:tr>
      <w:tr w:rsidR="00814BF6" w:rsidRPr="00814BF6" w14:paraId="0C505AE4" w14:textId="77777777" w:rsidTr="00391228">
        <w:trPr>
          <w:trHeight w:val="300"/>
        </w:trPr>
        <w:tc>
          <w:tcPr>
            <w:tcW w:w="2784" w:type="dxa"/>
            <w:noWrap/>
            <w:vAlign w:val="bottom"/>
            <w:hideMark/>
          </w:tcPr>
          <w:p w14:paraId="58935E44"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&lt; 180 cm</w:t>
            </w:r>
          </w:p>
        </w:tc>
        <w:tc>
          <w:tcPr>
            <w:tcW w:w="456" w:type="dxa"/>
            <w:noWrap/>
            <w:vAlign w:val="bottom"/>
            <w:hideMark/>
          </w:tcPr>
          <w:p w14:paraId="28942A2D"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9</w:t>
            </w:r>
          </w:p>
        </w:tc>
        <w:tc>
          <w:tcPr>
            <w:tcW w:w="1014" w:type="dxa"/>
            <w:noWrap/>
            <w:vAlign w:val="bottom"/>
            <w:hideMark/>
          </w:tcPr>
          <w:p w14:paraId="5722C129"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89</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(8)</w:t>
            </w:r>
          </w:p>
        </w:tc>
        <w:tc>
          <w:tcPr>
            <w:tcW w:w="1420" w:type="dxa"/>
            <w:noWrap/>
            <w:vAlign w:val="bottom"/>
            <w:hideMark/>
          </w:tcPr>
          <w:p w14:paraId="6B59204D"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55</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(5)</w:t>
            </w:r>
          </w:p>
        </w:tc>
        <w:tc>
          <w:tcPr>
            <w:tcW w:w="1116" w:type="dxa"/>
            <w:noWrap/>
            <w:vAlign w:val="bottom"/>
            <w:hideMark/>
          </w:tcPr>
          <w:p w14:paraId="55392514"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108053EB" w14:textId="77777777" w:rsidTr="00391228">
        <w:trPr>
          <w:trHeight w:val="300"/>
        </w:trPr>
        <w:tc>
          <w:tcPr>
            <w:tcW w:w="2784" w:type="dxa"/>
            <w:noWrap/>
            <w:vAlign w:val="bottom"/>
            <w:hideMark/>
          </w:tcPr>
          <w:p w14:paraId="01BBA284"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Node status</w:t>
            </w:r>
          </w:p>
        </w:tc>
        <w:tc>
          <w:tcPr>
            <w:tcW w:w="456" w:type="dxa"/>
            <w:noWrap/>
            <w:vAlign w:val="bottom"/>
            <w:hideMark/>
          </w:tcPr>
          <w:p w14:paraId="16565296" w14:textId="77777777" w:rsidR="007C03F1" w:rsidRPr="00814BF6" w:rsidRDefault="007C03F1" w:rsidP="00814BF6">
            <w:pPr>
              <w:spacing w:after="0" w:line="360" w:lineRule="auto"/>
              <w:jc w:val="both"/>
              <w:rPr>
                <w:rFonts w:ascii="Book Antiqua" w:hAnsi="Book Antiqua" w:cs="Times New Roman"/>
                <w:sz w:val="24"/>
                <w:szCs w:val="24"/>
              </w:rPr>
            </w:pPr>
          </w:p>
        </w:tc>
        <w:tc>
          <w:tcPr>
            <w:tcW w:w="1014" w:type="dxa"/>
            <w:noWrap/>
            <w:vAlign w:val="bottom"/>
            <w:hideMark/>
          </w:tcPr>
          <w:p w14:paraId="08AAF38E" w14:textId="77777777" w:rsidR="007C03F1" w:rsidRPr="00814BF6" w:rsidRDefault="007C03F1" w:rsidP="00814BF6">
            <w:pPr>
              <w:spacing w:after="0" w:line="360" w:lineRule="auto"/>
              <w:jc w:val="both"/>
              <w:rPr>
                <w:rFonts w:ascii="Book Antiqua" w:hAnsi="Book Antiqua" w:cs="Times New Roman"/>
                <w:sz w:val="24"/>
                <w:szCs w:val="24"/>
              </w:rPr>
            </w:pPr>
          </w:p>
        </w:tc>
        <w:tc>
          <w:tcPr>
            <w:tcW w:w="1420" w:type="dxa"/>
            <w:noWrap/>
            <w:vAlign w:val="bottom"/>
            <w:hideMark/>
          </w:tcPr>
          <w:p w14:paraId="214E3567" w14:textId="77777777" w:rsidR="007C03F1" w:rsidRPr="00814BF6" w:rsidRDefault="007C03F1" w:rsidP="00814BF6">
            <w:pPr>
              <w:spacing w:after="0" w:line="360" w:lineRule="auto"/>
              <w:jc w:val="both"/>
              <w:rPr>
                <w:rFonts w:ascii="Book Antiqua" w:hAnsi="Book Antiqua" w:cs="Times New Roman"/>
                <w:sz w:val="24"/>
                <w:szCs w:val="24"/>
              </w:rPr>
            </w:pPr>
          </w:p>
        </w:tc>
        <w:tc>
          <w:tcPr>
            <w:tcW w:w="1116" w:type="dxa"/>
            <w:noWrap/>
            <w:vAlign w:val="bottom"/>
            <w:hideMark/>
          </w:tcPr>
          <w:p w14:paraId="50636757"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3A3C1CA8" w14:textId="77777777" w:rsidTr="00391228">
        <w:trPr>
          <w:trHeight w:val="300"/>
        </w:trPr>
        <w:tc>
          <w:tcPr>
            <w:tcW w:w="2784" w:type="dxa"/>
            <w:noWrap/>
            <w:vAlign w:val="bottom"/>
            <w:hideMark/>
          </w:tcPr>
          <w:p w14:paraId="262013A6" w14:textId="77777777" w:rsidR="007C03F1" w:rsidRPr="00814BF6" w:rsidRDefault="00391228"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Negative</w:t>
            </w:r>
          </w:p>
        </w:tc>
        <w:tc>
          <w:tcPr>
            <w:tcW w:w="456" w:type="dxa"/>
            <w:noWrap/>
            <w:vAlign w:val="bottom"/>
            <w:hideMark/>
          </w:tcPr>
          <w:p w14:paraId="379E806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13</w:t>
            </w:r>
          </w:p>
        </w:tc>
        <w:tc>
          <w:tcPr>
            <w:tcW w:w="1014" w:type="dxa"/>
            <w:noWrap/>
            <w:vAlign w:val="bottom"/>
            <w:hideMark/>
          </w:tcPr>
          <w:p w14:paraId="56B0B2A1"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85</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(11)</w:t>
            </w:r>
          </w:p>
        </w:tc>
        <w:tc>
          <w:tcPr>
            <w:tcW w:w="1420" w:type="dxa"/>
            <w:noWrap/>
            <w:vAlign w:val="bottom"/>
            <w:hideMark/>
          </w:tcPr>
          <w:p w14:paraId="53C1A1B4"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62</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(8)</w:t>
            </w:r>
          </w:p>
        </w:tc>
        <w:tc>
          <w:tcPr>
            <w:tcW w:w="1116" w:type="dxa"/>
            <w:noWrap/>
            <w:vAlign w:val="bottom"/>
            <w:hideMark/>
          </w:tcPr>
          <w:p w14:paraId="466560B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0.009262</w:t>
            </w:r>
          </w:p>
        </w:tc>
      </w:tr>
      <w:tr w:rsidR="00814BF6" w:rsidRPr="00814BF6" w14:paraId="75FA9253" w14:textId="77777777" w:rsidTr="00391228">
        <w:trPr>
          <w:trHeight w:val="300"/>
        </w:trPr>
        <w:tc>
          <w:tcPr>
            <w:tcW w:w="2784" w:type="dxa"/>
            <w:noWrap/>
            <w:vAlign w:val="bottom"/>
            <w:hideMark/>
          </w:tcPr>
          <w:p w14:paraId="2F241A25" w14:textId="77777777" w:rsidR="007C03F1" w:rsidRPr="00814BF6" w:rsidRDefault="00391228"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Positive</w:t>
            </w:r>
          </w:p>
        </w:tc>
        <w:tc>
          <w:tcPr>
            <w:tcW w:w="456" w:type="dxa"/>
            <w:noWrap/>
            <w:vAlign w:val="bottom"/>
            <w:hideMark/>
          </w:tcPr>
          <w:p w14:paraId="170BD15D"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4</w:t>
            </w:r>
          </w:p>
        </w:tc>
        <w:tc>
          <w:tcPr>
            <w:tcW w:w="1014" w:type="dxa"/>
            <w:noWrap/>
            <w:vAlign w:val="bottom"/>
            <w:hideMark/>
          </w:tcPr>
          <w:p w14:paraId="3B6BA10C"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75</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(3)</w:t>
            </w:r>
          </w:p>
        </w:tc>
        <w:tc>
          <w:tcPr>
            <w:tcW w:w="1420" w:type="dxa"/>
            <w:noWrap/>
            <w:vAlign w:val="bottom"/>
            <w:hideMark/>
          </w:tcPr>
          <w:p w14:paraId="2B0E0F0B"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25</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(1)</w:t>
            </w:r>
          </w:p>
        </w:tc>
        <w:tc>
          <w:tcPr>
            <w:tcW w:w="1116" w:type="dxa"/>
            <w:noWrap/>
            <w:vAlign w:val="bottom"/>
            <w:hideMark/>
          </w:tcPr>
          <w:p w14:paraId="5563EFFD"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2749697B" w14:textId="77777777" w:rsidTr="00391228">
        <w:trPr>
          <w:trHeight w:val="300"/>
        </w:trPr>
        <w:tc>
          <w:tcPr>
            <w:tcW w:w="3240" w:type="dxa"/>
            <w:gridSpan w:val="2"/>
            <w:noWrap/>
            <w:vAlign w:val="bottom"/>
            <w:hideMark/>
          </w:tcPr>
          <w:p w14:paraId="28CC7D0E" w14:textId="77777777" w:rsidR="007C03F1" w:rsidRPr="00814BF6" w:rsidRDefault="00391228"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L</w:t>
            </w:r>
            <w:r w:rsidR="007C03F1" w:rsidRPr="00814BF6">
              <w:rPr>
                <w:rFonts w:ascii="Book Antiqua" w:eastAsia="Times New Roman" w:hAnsi="Book Antiqua" w:cs="Times New Roman"/>
                <w:sz w:val="24"/>
                <w:szCs w:val="24"/>
                <w:lang w:eastAsia="zh-CN"/>
              </w:rPr>
              <w:t>ocation of primary tumor</w:t>
            </w:r>
          </w:p>
        </w:tc>
        <w:tc>
          <w:tcPr>
            <w:tcW w:w="1014" w:type="dxa"/>
            <w:noWrap/>
            <w:vAlign w:val="bottom"/>
            <w:hideMark/>
          </w:tcPr>
          <w:p w14:paraId="47E64226" w14:textId="77777777" w:rsidR="007C03F1" w:rsidRPr="00814BF6" w:rsidRDefault="007C03F1" w:rsidP="00814BF6">
            <w:pPr>
              <w:spacing w:after="0" w:line="360" w:lineRule="auto"/>
              <w:jc w:val="both"/>
              <w:rPr>
                <w:rFonts w:ascii="Book Antiqua" w:hAnsi="Book Antiqua" w:cs="Times New Roman"/>
                <w:sz w:val="24"/>
                <w:szCs w:val="24"/>
              </w:rPr>
            </w:pPr>
          </w:p>
        </w:tc>
        <w:tc>
          <w:tcPr>
            <w:tcW w:w="1420" w:type="dxa"/>
            <w:noWrap/>
            <w:vAlign w:val="bottom"/>
            <w:hideMark/>
          </w:tcPr>
          <w:p w14:paraId="67849141" w14:textId="77777777" w:rsidR="007C03F1" w:rsidRPr="00814BF6" w:rsidRDefault="007C03F1" w:rsidP="00814BF6">
            <w:pPr>
              <w:spacing w:after="0" w:line="360" w:lineRule="auto"/>
              <w:jc w:val="both"/>
              <w:rPr>
                <w:rFonts w:ascii="Book Antiqua" w:hAnsi="Book Antiqua" w:cs="Times New Roman"/>
                <w:sz w:val="24"/>
                <w:szCs w:val="24"/>
              </w:rPr>
            </w:pPr>
          </w:p>
        </w:tc>
        <w:tc>
          <w:tcPr>
            <w:tcW w:w="1116" w:type="dxa"/>
            <w:noWrap/>
            <w:vAlign w:val="bottom"/>
            <w:hideMark/>
          </w:tcPr>
          <w:p w14:paraId="63C56891" w14:textId="77777777" w:rsidR="007C03F1" w:rsidRPr="00814BF6" w:rsidRDefault="007C03F1" w:rsidP="00814BF6">
            <w:pPr>
              <w:spacing w:after="0" w:line="360" w:lineRule="auto"/>
              <w:jc w:val="both"/>
              <w:rPr>
                <w:rFonts w:ascii="Book Antiqua" w:hAnsi="Book Antiqua" w:cs="Times New Roman"/>
                <w:sz w:val="24"/>
                <w:szCs w:val="24"/>
              </w:rPr>
            </w:pPr>
          </w:p>
        </w:tc>
      </w:tr>
      <w:tr w:rsidR="00814BF6" w:rsidRPr="00814BF6" w14:paraId="790895BF" w14:textId="77777777" w:rsidTr="00391228">
        <w:trPr>
          <w:trHeight w:val="300"/>
        </w:trPr>
        <w:tc>
          <w:tcPr>
            <w:tcW w:w="2784" w:type="dxa"/>
            <w:noWrap/>
            <w:vAlign w:val="bottom"/>
            <w:hideMark/>
          </w:tcPr>
          <w:p w14:paraId="46604F40" w14:textId="77777777" w:rsidR="007C03F1" w:rsidRPr="00814BF6" w:rsidRDefault="007C03F1" w:rsidP="00391228">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20</w:t>
            </w:r>
            <w:r w:rsidR="00391228">
              <w:rPr>
                <w:rFonts w:ascii="Book Antiqua" w:hAnsi="Book Antiqua" w:cs="Times New Roman" w:hint="eastAsia"/>
                <w:sz w:val="24"/>
                <w:szCs w:val="24"/>
                <w:lang w:eastAsia="zh-CN"/>
              </w:rPr>
              <w:t>-</w:t>
            </w:r>
            <w:r w:rsidRPr="00814BF6">
              <w:rPr>
                <w:rFonts w:ascii="Book Antiqua" w:eastAsia="Times New Roman" w:hAnsi="Book Antiqua" w:cs="Times New Roman"/>
                <w:sz w:val="24"/>
                <w:szCs w:val="24"/>
                <w:lang w:eastAsia="zh-CN"/>
              </w:rPr>
              <w:t>35 cm</w:t>
            </w:r>
          </w:p>
        </w:tc>
        <w:tc>
          <w:tcPr>
            <w:tcW w:w="456" w:type="dxa"/>
            <w:noWrap/>
            <w:vAlign w:val="bottom"/>
            <w:hideMark/>
          </w:tcPr>
          <w:p w14:paraId="77CD3399"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12</w:t>
            </w:r>
          </w:p>
        </w:tc>
        <w:tc>
          <w:tcPr>
            <w:tcW w:w="1014" w:type="dxa"/>
            <w:noWrap/>
            <w:vAlign w:val="bottom"/>
            <w:hideMark/>
          </w:tcPr>
          <w:p w14:paraId="16415D42"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83</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(10)</w:t>
            </w:r>
          </w:p>
        </w:tc>
        <w:tc>
          <w:tcPr>
            <w:tcW w:w="1420" w:type="dxa"/>
            <w:noWrap/>
            <w:vAlign w:val="bottom"/>
            <w:hideMark/>
          </w:tcPr>
          <w:p w14:paraId="64A37D5F"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58</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(7)</w:t>
            </w:r>
          </w:p>
        </w:tc>
        <w:tc>
          <w:tcPr>
            <w:tcW w:w="1116" w:type="dxa"/>
            <w:noWrap/>
            <w:vAlign w:val="bottom"/>
            <w:hideMark/>
          </w:tcPr>
          <w:p w14:paraId="6F0DA1E4"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0.024229</w:t>
            </w:r>
          </w:p>
        </w:tc>
      </w:tr>
      <w:tr w:rsidR="00814BF6" w:rsidRPr="00814BF6" w14:paraId="3199E59E" w14:textId="77777777" w:rsidTr="00391228">
        <w:trPr>
          <w:trHeight w:val="300"/>
        </w:trPr>
        <w:tc>
          <w:tcPr>
            <w:tcW w:w="2784" w:type="dxa"/>
            <w:tcBorders>
              <w:top w:val="nil"/>
              <w:left w:val="nil"/>
              <w:bottom w:val="single" w:sz="4" w:space="0" w:color="auto"/>
              <w:right w:val="nil"/>
            </w:tcBorders>
            <w:noWrap/>
            <w:vAlign w:val="bottom"/>
            <w:hideMark/>
          </w:tcPr>
          <w:p w14:paraId="5965AC35"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&gt; 35</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w:t>
            </w:r>
          </w:p>
        </w:tc>
        <w:tc>
          <w:tcPr>
            <w:tcW w:w="456" w:type="dxa"/>
            <w:tcBorders>
              <w:top w:val="nil"/>
              <w:left w:val="nil"/>
              <w:bottom w:val="single" w:sz="4" w:space="0" w:color="auto"/>
              <w:right w:val="nil"/>
            </w:tcBorders>
            <w:noWrap/>
            <w:vAlign w:val="bottom"/>
            <w:hideMark/>
          </w:tcPr>
          <w:p w14:paraId="2C8C55C8"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w:t>
            </w:r>
          </w:p>
        </w:tc>
        <w:tc>
          <w:tcPr>
            <w:tcW w:w="1014" w:type="dxa"/>
            <w:tcBorders>
              <w:top w:val="nil"/>
              <w:left w:val="nil"/>
              <w:bottom w:val="single" w:sz="4" w:space="0" w:color="auto"/>
              <w:right w:val="nil"/>
            </w:tcBorders>
            <w:noWrap/>
            <w:vAlign w:val="bottom"/>
            <w:hideMark/>
          </w:tcPr>
          <w:p w14:paraId="1EC39C0C"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80</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(4)</w:t>
            </w:r>
          </w:p>
        </w:tc>
        <w:tc>
          <w:tcPr>
            <w:tcW w:w="1420" w:type="dxa"/>
            <w:tcBorders>
              <w:top w:val="nil"/>
              <w:left w:val="nil"/>
              <w:bottom w:val="single" w:sz="4" w:space="0" w:color="auto"/>
              <w:right w:val="nil"/>
            </w:tcBorders>
            <w:noWrap/>
            <w:vAlign w:val="bottom"/>
            <w:hideMark/>
          </w:tcPr>
          <w:p w14:paraId="51462949"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40</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(2)</w:t>
            </w:r>
          </w:p>
        </w:tc>
        <w:tc>
          <w:tcPr>
            <w:tcW w:w="1116" w:type="dxa"/>
            <w:tcBorders>
              <w:top w:val="nil"/>
              <w:left w:val="nil"/>
              <w:bottom w:val="single" w:sz="4" w:space="0" w:color="auto"/>
              <w:right w:val="nil"/>
            </w:tcBorders>
            <w:noWrap/>
            <w:vAlign w:val="bottom"/>
            <w:hideMark/>
          </w:tcPr>
          <w:p w14:paraId="0BAAC6D1"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 </w:t>
            </w:r>
          </w:p>
        </w:tc>
      </w:tr>
      <w:tr w:rsidR="00814BF6" w:rsidRPr="00814BF6" w14:paraId="2E84B117" w14:textId="77777777" w:rsidTr="00391228">
        <w:trPr>
          <w:trHeight w:val="300"/>
        </w:trPr>
        <w:tc>
          <w:tcPr>
            <w:tcW w:w="2784" w:type="dxa"/>
            <w:tcBorders>
              <w:top w:val="nil"/>
              <w:left w:val="nil"/>
              <w:bottom w:val="single" w:sz="4" w:space="0" w:color="auto"/>
              <w:right w:val="nil"/>
            </w:tcBorders>
            <w:noWrap/>
            <w:vAlign w:val="bottom"/>
            <w:hideMark/>
          </w:tcPr>
          <w:p w14:paraId="780A9FE2"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Total</w:t>
            </w:r>
          </w:p>
        </w:tc>
        <w:tc>
          <w:tcPr>
            <w:tcW w:w="456" w:type="dxa"/>
            <w:tcBorders>
              <w:top w:val="nil"/>
              <w:left w:val="nil"/>
              <w:bottom w:val="single" w:sz="4" w:space="0" w:color="auto"/>
              <w:right w:val="nil"/>
            </w:tcBorders>
            <w:noWrap/>
            <w:vAlign w:val="bottom"/>
            <w:hideMark/>
          </w:tcPr>
          <w:p w14:paraId="4AA497DD"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17</w:t>
            </w:r>
          </w:p>
        </w:tc>
        <w:tc>
          <w:tcPr>
            <w:tcW w:w="1014" w:type="dxa"/>
            <w:tcBorders>
              <w:top w:val="nil"/>
              <w:left w:val="nil"/>
              <w:bottom w:val="single" w:sz="4" w:space="0" w:color="auto"/>
              <w:right w:val="nil"/>
            </w:tcBorders>
            <w:noWrap/>
            <w:vAlign w:val="bottom"/>
            <w:hideMark/>
          </w:tcPr>
          <w:p w14:paraId="2762CF61"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82</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(14)</w:t>
            </w:r>
          </w:p>
        </w:tc>
        <w:tc>
          <w:tcPr>
            <w:tcW w:w="1420" w:type="dxa"/>
            <w:tcBorders>
              <w:top w:val="nil"/>
              <w:left w:val="nil"/>
              <w:bottom w:val="single" w:sz="4" w:space="0" w:color="auto"/>
              <w:right w:val="nil"/>
            </w:tcBorders>
            <w:noWrap/>
            <w:vAlign w:val="bottom"/>
            <w:hideMark/>
          </w:tcPr>
          <w:p w14:paraId="14BA8AC4"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53</w:t>
            </w:r>
            <w:r w:rsidR="00391228">
              <w:rPr>
                <w:rFonts w:ascii="Book Antiqua" w:hAnsi="Book Antiqua" w:cs="Times New Roman" w:hint="eastAsia"/>
                <w:sz w:val="24"/>
                <w:szCs w:val="24"/>
                <w:lang w:eastAsia="zh-CN"/>
              </w:rPr>
              <w:t xml:space="preserve"> </w:t>
            </w:r>
            <w:r w:rsidRPr="00814BF6">
              <w:rPr>
                <w:rFonts w:ascii="Book Antiqua" w:eastAsia="Times New Roman" w:hAnsi="Book Antiqua" w:cs="Times New Roman"/>
                <w:sz w:val="24"/>
                <w:szCs w:val="24"/>
                <w:lang w:eastAsia="zh-CN"/>
              </w:rPr>
              <w:t>(9)</w:t>
            </w:r>
          </w:p>
        </w:tc>
        <w:tc>
          <w:tcPr>
            <w:tcW w:w="1116" w:type="dxa"/>
            <w:tcBorders>
              <w:top w:val="nil"/>
              <w:left w:val="nil"/>
              <w:bottom w:val="single" w:sz="4" w:space="0" w:color="auto"/>
              <w:right w:val="nil"/>
            </w:tcBorders>
            <w:noWrap/>
            <w:vAlign w:val="bottom"/>
            <w:hideMark/>
          </w:tcPr>
          <w:p w14:paraId="536A4277" w14:textId="77777777" w:rsidR="007C03F1" w:rsidRPr="00814BF6" w:rsidRDefault="007C03F1" w:rsidP="00814BF6">
            <w:pPr>
              <w:spacing w:after="0" w:line="360" w:lineRule="auto"/>
              <w:jc w:val="both"/>
              <w:rPr>
                <w:rFonts w:ascii="Book Antiqua" w:eastAsia="Times New Roman" w:hAnsi="Book Antiqua" w:cs="Times New Roman"/>
                <w:sz w:val="24"/>
                <w:szCs w:val="24"/>
                <w:lang w:eastAsia="zh-CN"/>
              </w:rPr>
            </w:pPr>
            <w:r w:rsidRPr="00814BF6">
              <w:rPr>
                <w:rFonts w:ascii="Book Antiqua" w:eastAsia="Times New Roman" w:hAnsi="Book Antiqua" w:cs="Times New Roman"/>
                <w:sz w:val="24"/>
                <w:szCs w:val="24"/>
                <w:lang w:eastAsia="zh-CN"/>
              </w:rPr>
              <w:t> </w:t>
            </w:r>
          </w:p>
        </w:tc>
      </w:tr>
      <w:tr w:rsidR="00814BF6" w:rsidRPr="00814BF6" w14:paraId="20323B46" w14:textId="77777777" w:rsidTr="00391228">
        <w:trPr>
          <w:trHeight w:val="300"/>
        </w:trPr>
        <w:tc>
          <w:tcPr>
            <w:tcW w:w="2784" w:type="dxa"/>
            <w:noWrap/>
            <w:vAlign w:val="bottom"/>
            <w:hideMark/>
          </w:tcPr>
          <w:p w14:paraId="338A7B60" w14:textId="77777777" w:rsidR="007C03F1" w:rsidRPr="00814BF6" w:rsidRDefault="007C03F1" w:rsidP="00814BF6">
            <w:pPr>
              <w:spacing w:after="0" w:line="360" w:lineRule="auto"/>
              <w:jc w:val="both"/>
              <w:rPr>
                <w:rFonts w:ascii="Book Antiqua" w:hAnsi="Book Antiqua" w:cs="Times New Roman"/>
                <w:sz w:val="24"/>
                <w:szCs w:val="24"/>
              </w:rPr>
            </w:pPr>
          </w:p>
        </w:tc>
        <w:tc>
          <w:tcPr>
            <w:tcW w:w="456" w:type="dxa"/>
            <w:noWrap/>
            <w:vAlign w:val="bottom"/>
            <w:hideMark/>
          </w:tcPr>
          <w:p w14:paraId="62ABD84E" w14:textId="77777777" w:rsidR="007C03F1" w:rsidRPr="00814BF6" w:rsidRDefault="007C03F1" w:rsidP="00814BF6">
            <w:pPr>
              <w:spacing w:after="0" w:line="360" w:lineRule="auto"/>
              <w:jc w:val="both"/>
              <w:rPr>
                <w:rFonts w:ascii="Book Antiqua" w:hAnsi="Book Antiqua" w:cs="Times New Roman"/>
                <w:sz w:val="24"/>
                <w:szCs w:val="24"/>
              </w:rPr>
            </w:pPr>
          </w:p>
        </w:tc>
        <w:tc>
          <w:tcPr>
            <w:tcW w:w="1014" w:type="dxa"/>
            <w:noWrap/>
            <w:vAlign w:val="bottom"/>
            <w:hideMark/>
          </w:tcPr>
          <w:p w14:paraId="75961EA5" w14:textId="77777777" w:rsidR="007C03F1" w:rsidRPr="00814BF6" w:rsidRDefault="007C03F1" w:rsidP="00814BF6">
            <w:pPr>
              <w:spacing w:after="0" w:line="360" w:lineRule="auto"/>
              <w:jc w:val="both"/>
              <w:rPr>
                <w:rFonts w:ascii="Book Antiqua" w:hAnsi="Book Antiqua" w:cs="Times New Roman"/>
                <w:sz w:val="24"/>
                <w:szCs w:val="24"/>
              </w:rPr>
            </w:pPr>
          </w:p>
        </w:tc>
        <w:tc>
          <w:tcPr>
            <w:tcW w:w="1420" w:type="dxa"/>
            <w:noWrap/>
            <w:vAlign w:val="bottom"/>
            <w:hideMark/>
          </w:tcPr>
          <w:p w14:paraId="1B2298E1" w14:textId="77777777" w:rsidR="007C03F1" w:rsidRPr="00814BF6" w:rsidRDefault="007C03F1" w:rsidP="00814BF6">
            <w:pPr>
              <w:spacing w:after="0" w:line="360" w:lineRule="auto"/>
              <w:jc w:val="both"/>
              <w:rPr>
                <w:rFonts w:ascii="Book Antiqua" w:hAnsi="Book Antiqua" w:cs="Times New Roman"/>
                <w:sz w:val="24"/>
                <w:szCs w:val="24"/>
              </w:rPr>
            </w:pPr>
          </w:p>
        </w:tc>
        <w:tc>
          <w:tcPr>
            <w:tcW w:w="1116" w:type="dxa"/>
            <w:noWrap/>
            <w:vAlign w:val="bottom"/>
            <w:hideMark/>
          </w:tcPr>
          <w:p w14:paraId="194FA9CF" w14:textId="77777777" w:rsidR="007C03F1" w:rsidRPr="00814BF6" w:rsidRDefault="007C03F1" w:rsidP="00814BF6">
            <w:pPr>
              <w:spacing w:after="0" w:line="360" w:lineRule="auto"/>
              <w:jc w:val="both"/>
              <w:rPr>
                <w:rFonts w:ascii="Book Antiqua" w:hAnsi="Book Antiqua" w:cs="Times New Roman"/>
                <w:sz w:val="24"/>
                <w:szCs w:val="24"/>
              </w:rPr>
            </w:pPr>
          </w:p>
        </w:tc>
      </w:tr>
    </w:tbl>
    <w:p w14:paraId="4218B470" w14:textId="77777777" w:rsidR="00BE734B" w:rsidRPr="00814BF6" w:rsidRDefault="00BE734B" w:rsidP="00814BF6">
      <w:pPr>
        <w:spacing w:after="0" w:line="360" w:lineRule="auto"/>
        <w:jc w:val="both"/>
        <w:rPr>
          <w:rFonts w:ascii="Book Antiqua" w:hAnsi="Book Antiqua"/>
          <w:sz w:val="24"/>
          <w:szCs w:val="24"/>
          <w:lang w:eastAsia="zh-CN"/>
        </w:rPr>
      </w:pPr>
    </w:p>
    <w:sectPr w:rsidR="00BE734B" w:rsidRPr="00814BF6" w:rsidSect="00186CE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30D0" w14:textId="77777777" w:rsidR="00C14B22" w:rsidRDefault="00C14B22" w:rsidP="00634081">
      <w:pPr>
        <w:spacing w:after="0" w:line="240" w:lineRule="auto"/>
      </w:pPr>
      <w:r>
        <w:separator/>
      </w:r>
    </w:p>
  </w:endnote>
  <w:endnote w:type="continuationSeparator" w:id="0">
    <w:p w14:paraId="586EF1CB" w14:textId="77777777" w:rsidR="00C14B22" w:rsidRDefault="00C14B22" w:rsidP="0063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90531"/>
      <w:docPartObj>
        <w:docPartGallery w:val="Page Numbers (Bottom of Page)"/>
        <w:docPartUnique/>
      </w:docPartObj>
    </w:sdtPr>
    <w:sdtEndPr>
      <w:rPr>
        <w:noProof/>
      </w:rPr>
    </w:sdtEndPr>
    <w:sdtContent>
      <w:p w14:paraId="6CDBC2C3" w14:textId="77777777" w:rsidR="00C14B22" w:rsidRDefault="00C14B22">
        <w:pPr>
          <w:pStyle w:val="Footer"/>
          <w:jc w:val="right"/>
        </w:pPr>
        <w:r>
          <w:fldChar w:fldCharType="begin"/>
        </w:r>
        <w:r>
          <w:instrText xml:space="preserve"> PAGE   \* MERGEFORMAT </w:instrText>
        </w:r>
        <w:r>
          <w:fldChar w:fldCharType="separate"/>
        </w:r>
        <w:r w:rsidR="00DF125D">
          <w:rPr>
            <w:noProof/>
          </w:rPr>
          <w:t>3</w:t>
        </w:r>
        <w:r>
          <w:rPr>
            <w:noProof/>
          </w:rPr>
          <w:fldChar w:fldCharType="end"/>
        </w:r>
      </w:p>
    </w:sdtContent>
  </w:sdt>
  <w:p w14:paraId="45CBB42B" w14:textId="77777777" w:rsidR="00C14B22" w:rsidRDefault="00C14B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4F85E" w14:textId="77777777" w:rsidR="00C14B22" w:rsidRDefault="00C14B22" w:rsidP="00634081">
      <w:pPr>
        <w:spacing w:after="0" w:line="240" w:lineRule="auto"/>
      </w:pPr>
      <w:r>
        <w:separator/>
      </w:r>
    </w:p>
  </w:footnote>
  <w:footnote w:type="continuationSeparator" w:id="0">
    <w:p w14:paraId="694F0338" w14:textId="77777777" w:rsidR="00C14B22" w:rsidRDefault="00C14B22" w:rsidP="006340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C782A" w14:textId="77777777" w:rsidR="00C14B22" w:rsidRDefault="00C14B22">
    <w:pPr>
      <w:pStyle w:val="Header"/>
    </w:pPr>
  </w:p>
  <w:p w14:paraId="6F5A9947" w14:textId="77777777" w:rsidR="00C14B22" w:rsidRDefault="00C14B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43C7B"/>
    <w:multiLevelType w:val="hybridMultilevel"/>
    <w:tmpl w:val="EE90A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74B7D"/>
    <w:multiLevelType w:val="multilevel"/>
    <w:tmpl w:val="867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62F1F"/>
    <w:multiLevelType w:val="hybridMultilevel"/>
    <w:tmpl w:val="9E92D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404AF"/>
    <w:multiLevelType w:val="hybridMultilevel"/>
    <w:tmpl w:val="CA14121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L. Tremaine, ELS">
    <w15:presenceInfo w15:providerId="None" w15:userId="Janet L. Tremaine, 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2C"/>
    <w:rsid w:val="000023B0"/>
    <w:rsid w:val="0001384B"/>
    <w:rsid w:val="00015FED"/>
    <w:rsid w:val="0001705B"/>
    <w:rsid w:val="00027E6B"/>
    <w:rsid w:val="000311EF"/>
    <w:rsid w:val="000368EB"/>
    <w:rsid w:val="000438E1"/>
    <w:rsid w:val="0004792E"/>
    <w:rsid w:val="0007322B"/>
    <w:rsid w:val="00075FB8"/>
    <w:rsid w:val="000A0ADE"/>
    <w:rsid w:val="000A1525"/>
    <w:rsid w:val="000C2CFB"/>
    <w:rsid w:val="000F19BE"/>
    <w:rsid w:val="000F1B1D"/>
    <w:rsid w:val="000F5E51"/>
    <w:rsid w:val="000F6EC5"/>
    <w:rsid w:val="000F7A24"/>
    <w:rsid w:val="00103234"/>
    <w:rsid w:val="0010400B"/>
    <w:rsid w:val="00112B34"/>
    <w:rsid w:val="00122C02"/>
    <w:rsid w:val="0012413D"/>
    <w:rsid w:val="00126D7E"/>
    <w:rsid w:val="00134529"/>
    <w:rsid w:val="00142F1F"/>
    <w:rsid w:val="00143706"/>
    <w:rsid w:val="0014384F"/>
    <w:rsid w:val="001627B4"/>
    <w:rsid w:val="00162DFA"/>
    <w:rsid w:val="00165195"/>
    <w:rsid w:val="00170427"/>
    <w:rsid w:val="00171A62"/>
    <w:rsid w:val="00174512"/>
    <w:rsid w:val="001814F2"/>
    <w:rsid w:val="0018156E"/>
    <w:rsid w:val="00186CE2"/>
    <w:rsid w:val="00195451"/>
    <w:rsid w:val="00196531"/>
    <w:rsid w:val="001A1CD8"/>
    <w:rsid w:val="001A6718"/>
    <w:rsid w:val="001C7E0D"/>
    <w:rsid w:val="001C7ED6"/>
    <w:rsid w:val="001D7438"/>
    <w:rsid w:val="001E3F79"/>
    <w:rsid w:val="001E4B9D"/>
    <w:rsid w:val="001F6CFF"/>
    <w:rsid w:val="00202C6C"/>
    <w:rsid w:val="00203FD5"/>
    <w:rsid w:val="00205547"/>
    <w:rsid w:val="002064EA"/>
    <w:rsid w:val="0021359C"/>
    <w:rsid w:val="0023028E"/>
    <w:rsid w:val="00230EFE"/>
    <w:rsid w:val="0024684F"/>
    <w:rsid w:val="00267A01"/>
    <w:rsid w:val="0027573A"/>
    <w:rsid w:val="002777F1"/>
    <w:rsid w:val="002778D9"/>
    <w:rsid w:val="00280089"/>
    <w:rsid w:val="00286EF5"/>
    <w:rsid w:val="00292190"/>
    <w:rsid w:val="0029668C"/>
    <w:rsid w:val="00296A53"/>
    <w:rsid w:val="002A3385"/>
    <w:rsid w:val="002B0FEA"/>
    <w:rsid w:val="002B584F"/>
    <w:rsid w:val="002C0CF5"/>
    <w:rsid w:val="002C25B1"/>
    <w:rsid w:val="002C6005"/>
    <w:rsid w:val="002D3D23"/>
    <w:rsid w:val="002E456F"/>
    <w:rsid w:val="002E550F"/>
    <w:rsid w:val="003040AD"/>
    <w:rsid w:val="003070D3"/>
    <w:rsid w:val="00334940"/>
    <w:rsid w:val="00334D43"/>
    <w:rsid w:val="00341292"/>
    <w:rsid w:val="00342BB3"/>
    <w:rsid w:val="0034663C"/>
    <w:rsid w:val="003507A5"/>
    <w:rsid w:val="00351EA1"/>
    <w:rsid w:val="00353EC5"/>
    <w:rsid w:val="00373081"/>
    <w:rsid w:val="00375348"/>
    <w:rsid w:val="003800A8"/>
    <w:rsid w:val="003847A7"/>
    <w:rsid w:val="00384B13"/>
    <w:rsid w:val="00384BA0"/>
    <w:rsid w:val="00391228"/>
    <w:rsid w:val="00392B7E"/>
    <w:rsid w:val="003B1999"/>
    <w:rsid w:val="003B6BDC"/>
    <w:rsid w:val="003B7698"/>
    <w:rsid w:val="003B79B2"/>
    <w:rsid w:val="003C3A2A"/>
    <w:rsid w:val="003E6EDF"/>
    <w:rsid w:val="003E748C"/>
    <w:rsid w:val="003E785C"/>
    <w:rsid w:val="003F2565"/>
    <w:rsid w:val="00403175"/>
    <w:rsid w:val="004058C8"/>
    <w:rsid w:val="004237D5"/>
    <w:rsid w:val="00423FAA"/>
    <w:rsid w:val="00424E68"/>
    <w:rsid w:val="00426F61"/>
    <w:rsid w:val="0043062B"/>
    <w:rsid w:val="00452D19"/>
    <w:rsid w:val="004701F9"/>
    <w:rsid w:val="0048621B"/>
    <w:rsid w:val="00492EB5"/>
    <w:rsid w:val="00494311"/>
    <w:rsid w:val="004A08BF"/>
    <w:rsid w:val="004B12A6"/>
    <w:rsid w:val="004B51FB"/>
    <w:rsid w:val="004C5E33"/>
    <w:rsid w:val="004D0B2D"/>
    <w:rsid w:val="004D3200"/>
    <w:rsid w:val="004D659E"/>
    <w:rsid w:val="004E06E5"/>
    <w:rsid w:val="004E7AE3"/>
    <w:rsid w:val="004F16E2"/>
    <w:rsid w:val="004F4EAD"/>
    <w:rsid w:val="004F5287"/>
    <w:rsid w:val="0050075A"/>
    <w:rsid w:val="00504A48"/>
    <w:rsid w:val="00521C2F"/>
    <w:rsid w:val="00531DAA"/>
    <w:rsid w:val="00532F78"/>
    <w:rsid w:val="005409E0"/>
    <w:rsid w:val="00546420"/>
    <w:rsid w:val="00564689"/>
    <w:rsid w:val="0056623B"/>
    <w:rsid w:val="00586F29"/>
    <w:rsid w:val="005879EF"/>
    <w:rsid w:val="00590008"/>
    <w:rsid w:val="005A0EB0"/>
    <w:rsid w:val="005A3EB4"/>
    <w:rsid w:val="005B2993"/>
    <w:rsid w:val="005B72F7"/>
    <w:rsid w:val="005C2547"/>
    <w:rsid w:val="005D4ADD"/>
    <w:rsid w:val="005E6877"/>
    <w:rsid w:val="005F30AF"/>
    <w:rsid w:val="005F3B12"/>
    <w:rsid w:val="005F5709"/>
    <w:rsid w:val="00603138"/>
    <w:rsid w:val="006120C0"/>
    <w:rsid w:val="006219CA"/>
    <w:rsid w:val="00634081"/>
    <w:rsid w:val="00646CE6"/>
    <w:rsid w:val="006853B4"/>
    <w:rsid w:val="006862B5"/>
    <w:rsid w:val="00690991"/>
    <w:rsid w:val="00696D9E"/>
    <w:rsid w:val="006A2BCB"/>
    <w:rsid w:val="006A5C8C"/>
    <w:rsid w:val="006A71EA"/>
    <w:rsid w:val="006B3F6C"/>
    <w:rsid w:val="006B4A86"/>
    <w:rsid w:val="006C5D1B"/>
    <w:rsid w:val="006D50D2"/>
    <w:rsid w:val="006D6342"/>
    <w:rsid w:val="006D6443"/>
    <w:rsid w:val="006E41D2"/>
    <w:rsid w:val="006E5262"/>
    <w:rsid w:val="006E7153"/>
    <w:rsid w:val="006F24C9"/>
    <w:rsid w:val="006F2566"/>
    <w:rsid w:val="006F25B8"/>
    <w:rsid w:val="006F2CB1"/>
    <w:rsid w:val="007159CC"/>
    <w:rsid w:val="00725C2B"/>
    <w:rsid w:val="0073409C"/>
    <w:rsid w:val="00741FD9"/>
    <w:rsid w:val="00743609"/>
    <w:rsid w:val="0074720E"/>
    <w:rsid w:val="00747BF3"/>
    <w:rsid w:val="007526EA"/>
    <w:rsid w:val="00767A4F"/>
    <w:rsid w:val="00773C54"/>
    <w:rsid w:val="007843E7"/>
    <w:rsid w:val="00795006"/>
    <w:rsid w:val="00796755"/>
    <w:rsid w:val="00797822"/>
    <w:rsid w:val="007A21F6"/>
    <w:rsid w:val="007A54F6"/>
    <w:rsid w:val="007B35BF"/>
    <w:rsid w:val="007B5DF5"/>
    <w:rsid w:val="007B5E06"/>
    <w:rsid w:val="007B7068"/>
    <w:rsid w:val="007B7C4E"/>
    <w:rsid w:val="007C03F1"/>
    <w:rsid w:val="007C1B78"/>
    <w:rsid w:val="007D1EAC"/>
    <w:rsid w:val="007E0511"/>
    <w:rsid w:val="007E1EBF"/>
    <w:rsid w:val="007E6469"/>
    <w:rsid w:val="007F1B7C"/>
    <w:rsid w:val="007F2F9E"/>
    <w:rsid w:val="007F7688"/>
    <w:rsid w:val="00800D46"/>
    <w:rsid w:val="00804403"/>
    <w:rsid w:val="00804B12"/>
    <w:rsid w:val="00806569"/>
    <w:rsid w:val="00814BF6"/>
    <w:rsid w:val="00814FCC"/>
    <w:rsid w:val="008447B5"/>
    <w:rsid w:val="008561AF"/>
    <w:rsid w:val="008611A5"/>
    <w:rsid w:val="008678BF"/>
    <w:rsid w:val="00871A77"/>
    <w:rsid w:val="008A0335"/>
    <w:rsid w:val="008A1DC9"/>
    <w:rsid w:val="008B7D8B"/>
    <w:rsid w:val="008C6D33"/>
    <w:rsid w:val="008D2940"/>
    <w:rsid w:val="008D5D93"/>
    <w:rsid w:val="008E012B"/>
    <w:rsid w:val="00950C81"/>
    <w:rsid w:val="00960ADB"/>
    <w:rsid w:val="00970BDE"/>
    <w:rsid w:val="009727B3"/>
    <w:rsid w:val="009779A9"/>
    <w:rsid w:val="0099002B"/>
    <w:rsid w:val="009A304A"/>
    <w:rsid w:val="009A6D42"/>
    <w:rsid w:val="009B07D9"/>
    <w:rsid w:val="009B1F31"/>
    <w:rsid w:val="009C4913"/>
    <w:rsid w:val="009C5643"/>
    <w:rsid w:val="009C5F4A"/>
    <w:rsid w:val="009C737A"/>
    <w:rsid w:val="009E1D0F"/>
    <w:rsid w:val="009E495B"/>
    <w:rsid w:val="00A029FF"/>
    <w:rsid w:val="00A158AE"/>
    <w:rsid w:val="00A21149"/>
    <w:rsid w:val="00A25140"/>
    <w:rsid w:val="00A30913"/>
    <w:rsid w:val="00A46CCE"/>
    <w:rsid w:val="00A544AF"/>
    <w:rsid w:val="00A63589"/>
    <w:rsid w:val="00A81BDF"/>
    <w:rsid w:val="00A855DA"/>
    <w:rsid w:val="00A91E83"/>
    <w:rsid w:val="00A93296"/>
    <w:rsid w:val="00AA3ACF"/>
    <w:rsid w:val="00AB68FE"/>
    <w:rsid w:val="00AB7C3F"/>
    <w:rsid w:val="00AC6619"/>
    <w:rsid w:val="00AD4C05"/>
    <w:rsid w:val="00AE2B3F"/>
    <w:rsid w:val="00AF1416"/>
    <w:rsid w:val="00B02B6A"/>
    <w:rsid w:val="00B347A2"/>
    <w:rsid w:val="00B42F96"/>
    <w:rsid w:val="00B456DD"/>
    <w:rsid w:val="00B5558B"/>
    <w:rsid w:val="00B67E18"/>
    <w:rsid w:val="00B71343"/>
    <w:rsid w:val="00B726AB"/>
    <w:rsid w:val="00B763C0"/>
    <w:rsid w:val="00B814D0"/>
    <w:rsid w:val="00B86C46"/>
    <w:rsid w:val="00B86D31"/>
    <w:rsid w:val="00B921C6"/>
    <w:rsid w:val="00B949B2"/>
    <w:rsid w:val="00B96621"/>
    <w:rsid w:val="00BB1593"/>
    <w:rsid w:val="00BB24EB"/>
    <w:rsid w:val="00BB401D"/>
    <w:rsid w:val="00BC48D7"/>
    <w:rsid w:val="00BD7A8E"/>
    <w:rsid w:val="00BE146E"/>
    <w:rsid w:val="00BE19CC"/>
    <w:rsid w:val="00BE2AE2"/>
    <w:rsid w:val="00BE34EC"/>
    <w:rsid w:val="00BE5205"/>
    <w:rsid w:val="00BE734B"/>
    <w:rsid w:val="00C03533"/>
    <w:rsid w:val="00C14B22"/>
    <w:rsid w:val="00C15738"/>
    <w:rsid w:val="00C16A34"/>
    <w:rsid w:val="00C64A8C"/>
    <w:rsid w:val="00C67612"/>
    <w:rsid w:val="00C77616"/>
    <w:rsid w:val="00C82108"/>
    <w:rsid w:val="00C83340"/>
    <w:rsid w:val="00C83EDA"/>
    <w:rsid w:val="00C92EAE"/>
    <w:rsid w:val="00C963A8"/>
    <w:rsid w:val="00CA1C36"/>
    <w:rsid w:val="00CA62F6"/>
    <w:rsid w:val="00CB4E88"/>
    <w:rsid w:val="00CB510E"/>
    <w:rsid w:val="00CD0289"/>
    <w:rsid w:val="00CD4BDB"/>
    <w:rsid w:val="00CE14C7"/>
    <w:rsid w:val="00CE5E70"/>
    <w:rsid w:val="00CF1599"/>
    <w:rsid w:val="00CF1902"/>
    <w:rsid w:val="00CF46DB"/>
    <w:rsid w:val="00D02F85"/>
    <w:rsid w:val="00D06212"/>
    <w:rsid w:val="00D1216A"/>
    <w:rsid w:val="00D155FF"/>
    <w:rsid w:val="00D20A89"/>
    <w:rsid w:val="00D23B1F"/>
    <w:rsid w:val="00D33FAA"/>
    <w:rsid w:val="00D37044"/>
    <w:rsid w:val="00D469AA"/>
    <w:rsid w:val="00D47B09"/>
    <w:rsid w:val="00D5449D"/>
    <w:rsid w:val="00D62DA2"/>
    <w:rsid w:val="00D63E01"/>
    <w:rsid w:val="00D65329"/>
    <w:rsid w:val="00D77B38"/>
    <w:rsid w:val="00D77C94"/>
    <w:rsid w:val="00D80EE7"/>
    <w:rsid w:val="00D9559A"/>
    <w:rsid w:val="00DB3642"/>
    <w:rsid w:val="00DC0EBA"/>
    <w:rsid w:val="00DC3769"/>
    <w:rsid w:val="00DC431D"/>
    <w:rsid w:val="00DD12D6"/>
    <w:rsid w:val="00DD3114"/>
    <w:rsid w:val="00DD3157"/>
    <w:rsid w:val="00DD4871"/>
    <w:rsid w:val="00DE4BC9"/>
    <w:rsid w:val="00DF06EA"/>
    <w:rsid w:val="00DF125D"/>
    <w:rsid w:val="00DF1A65"/>
    <w:rsid w:val="00DF54BA"/>
    <w:rsid w:val="00E03F70"/>
    <w:rsid w:val="00E0482C"/>
    <w:rsid w:val="00E23DF1"/>
    <w:rsid w:val="00E24ABD"/>
    <w:rsid w:val="00E261C7"/>
    <w:rsid w:val="00E327CC"/>
    <w:rsid w:val="00E34464"/>
    <w:rsid w:val="00E40BD3"/>
    <w:rsid w:val="00E50977"/>
    <w:rsid w:val="00E55F05"/>
    <w:rsid w:val="00E57E1C"/>
    <w:rsid w:val="00E62D38"/>
    <w:rsid w:val="00E65A9C"/>
    <w:rsid w:val="00E73A1D"/>
    <w:rsid w:val="00E76817"/>
    <w:rsid w:val="00E777ED"/>
    <w:rsid w:val="00E80C70"/>
    <w:rsid w:val="00E8656F"/>
    <w:rsid w:val="00E9138D"/>
    <w:rsid w:val="00E94CDA"/>
    <w:rsid w:val="00E96A0C"/>
    <w:rsid w:val="00EA19A6"/>
    <w:rsid w:val="00EB295C"/>
    <w:rsid w:val="00EB4784"/>
    <w:rsid w:val="00EE203F"/>
    <w:rsid w:val="00EF4CAB"/>
    <w:rsid w:val="00EF56B3"/>
    <w:rsid w:val="00EF76F4"/>
    <w:rsid w:val="00EF7870"/>
    <w:rsid w:val="00F012EB"/>
    <w:rsid w:val="00F01EFE"/>
    <w:rsid w:val="00F0214C"/>
    <w:rsid w:val="00F12CE0"/>
    <w:rsid w:val="00F1472A"/>
    <w:rsid w:val="00F201A7"/>
    <w:rsid w:val="00F21A18"/>
    <w:rsid w:val="00F242D0"/>
    <w:rsid w:val="00F26813"/>
    <w:rsid w:val="00F30213"/>
    <w:rsid w:val="00F31EFD"/>
    <w:rsid w:val="00F326B6"/>
    <w:rsid w:val="00F40B4E"/>
    <w:rsid w:val="00F461DA"/>
    <w:rsid w:val="00F546E2"/>
    <w:rsid w:val="00F57E92"/>
    <w:rsid w:val="00F62F1D"/>
    <w:rsid w:val="00F6349C"/>
    <w:rsid w:val="00F6569D"/>
    <w:rsid w:val="00F73309"/>
    <w:rsid w:val="00F73B1E"/>
    <w:rsid w:val="00F753CF"/>
    <w:rsid w:val="00F82D0F"/>
    <w:rsid w:val="00F91E94"/>
    <w:rsid w:val="00F968BD"/>
    <w:rsid w:val="00FA274F"/>
    <w:rsid w:val="00FB2B2A"/>
    <w:rsid w:val="00FB2D47"/>
    <w:rsid w:val="00FB543E"/>
    <w:rsid w:val="00FC0F20"/>
    <w:rsid w:val="00FC55C8"/>
    <w:rsid w:val="00FC57A3"/>
    <w:rsid w:val="00FD2CEF"/>
    <w:rsid w:val="00FE3086"/>
    <w:rsid w:val="00FE7C40"/>
    <w:rsid w:val="00FF0BE8"/>
    <w:rsid w:val="00FF1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C8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6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E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27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27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86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1B"/>
    <w:rPr>
      <w:rFonts w:ascii="Tahoma" w:hAnsi="Tahoma" w:cs="Tahoma"/>
      <w:sz w:val="16"/>
      <w:szCs w:val="16"/>
    </w:rPr>
  </w:style>
  <w:style w:type="character" w:customStyle="1" w:styleId="Heading3Char">
    <w:name w:val="Heading 3 Char"/>
    <w:basedOn w:val="DefaultParagraphFont"/>
    <w:link w:val="Heading3"/>
    <w:uiPriority w:val="9"/>
    <w:rsid w:val="00E32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27C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3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E327CC"/>
  </w:style>
  <w:style w:type="character" w:customStyle="1" w:styleId="ui-ncbitoggler-master-text">
    <w:name w:val="ui-ncbitoggler-master-text"/>
    <w:basedOn w:val="DefaultParagraphFont"/>
    <w:rsid w:val="00E327CC"/>
  </w:style>
  <w:style w:type="character" w:customStyle="1" w:styleId="nowrap1">
    <w:name w:val="nowrap1"/>
    <w:basedOn w:val="DefaultParagraphFont"/>
    <w:rsid w:val="005A0EB0"/>
  </w:style>
  <w:style w:type="character" w:customStyle="1" w:styleId="Heading2Char">
    <w:name w:val="Heading 2 Char"/>
    <w:basedOn w:val="DefaultParagraphFont"/>
    <w:link w:val="Heading2"/>
    <w:uiPriority w:val="9"/>
    <w:rsid w:val="00230E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0EFE"/>
    <w:pPr>
      <w:ind w:left="720"/>
      <w:contextualSpacing/>
    </w:pPr>
  </w:style>
  <w:style w:type="table" w:styleId="TableGrid">
    <w:name w:val="Table Grid"/>
    <w:basedOn w:val="TableNormal"/>
    <w:uiPriority w:val="59"/>
    <w:rsid w:val="00FB5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B543E"/>
    <w:rPr>
      <w:i/>
      <w:iCs/>
    </w:rPr>
  </w:style>
  <w:style w:type="paragraph" w:styleId="EndnoteText">
    <w:name w:val="endnote text"/>
    <w:basedOn w:val="Normal"/>
    <w:link w:val="EndnoteTextChar"/>
    <w:uiPriority w:val="99"/>
    <w:semiHidden/>
    <w:unhideWhenUsed/>
    <w:rsid w:val="006340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4081"/>
    <w:rPr>
      <w:sz w:val="20"/>
      <w:szCs w:val="20"/>
    </w:rPr>
  </w:style>
  <w:style w:type="character" w:styleId="EndnoteReference">
    <w:name w:val="endnote reference"/>
    <w:basedOn w:val="DefaultParagraphFont"/>
    <w:uiPriority w:val="99"/>
    <w:semiHidden/>
    <w:unhideWhenUsed/>
    <w:rsid w:val="00634081"/>
    <w:rPr>
      <w:vertAlign w:val="superscript"/>
    </w:rPr>
  </w:style>
  <w:style w:type="character" w:customStyle="1" w:styleId="current-selection">
    <w:name w:val="current-selection"/>
    <w:basedOn w:val="DefaultParagraphFont"/>
    <w:rsid w:val="00DC3769"/>
  </w:style>
  <w:style w:type="character" w:customStyle="1" w:styleId="a">
    <w:name w:val="_"/>
    <w:basedOn w:val="DefaultParagraphFont"/>
    <w:rsid w:val="00DC3769"/>
  </w:style>
  <w:style w:type="character" w:styleId="Hyperlink">
    <w:name w:val="Hyperlink"/>
    <w:basedOn w:val="DefaultParagraphFont"/>
    <w:uiPriority w:val="99"/>
    <w:unhideWhenUsed/>
    <w:rsid w:val="00F62F1D"/>
    <w:rPr>
      <w:color w:val="0000FF"/>
      <w:u w:val="single"/>
    </w:rPr>
  </w:style>
  <w:style w:type="character" w:customStyle="1" w:styleId="highlight">
    <w:name w:val="highlight"/>
    <w:basedOn w:val="DefaultParagraphFont"/>
    <w:rsid w:val="00F62F1D"/>
  </w:style>
  <w:style w:type="character" w:customStyle="1" w:styleId="ff5">
    <w:name w:val="ff5"/>
    <w:basedOn w:val="DefaultParagraphFont"/>
    <w:rsid w:val="0024684F"/>
  </w:style>
  <w:style w:type="character" w:customStyle="1" w:styleId="ff9">
    <w:name w:val="ff9"/>
    <w:basedOn w:val="DefaultParagraphFont"/>
    <w:rsid w:val="0024684F"/>
  </w:style>
  <w:style w:type="paragraph" w:styleId="Header">
    <w:name w:val="header"/>
    <w:basedOn w:val="Normal"/>
    <w:link w:val="HeaderChar"/>
    <w:uiPriority w:val="99"/>
    <w:unhideWhenUsed/>
    <w:rsid w:val="0074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BF3"/>
  </w:style>
  <w:style w:type="paragraph" w:styleId="Footer">
    <w:name w:val="footer"/>
    <w:basedOn w:val="Normal"/>
    <w:link w:val="FooterChar"/>
    <w:uiPriority w:val="99"/>
    <w:unhideWhenUsed/>
    <w:rsid w:val="0074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F3"/>
  </w:style>
  <w:style w:type="paragraph" w:styleId="HTMLPreformatted">
    <w:name w:val="HTML Preformatted"/>
    <w:basedOn w:val="Normal"/>
    <w:link w:val="HTMLPreformattedChar"/>
    <w:uiPriority w:val="99"/>
    <w:semiHidden/>
    <w:unhideWhenUsed/>
    <w:rsid w:val="00CD028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0289"/>
    <w:rPr>
      <w:rFonts w:ascii="Consolas" w:hAnsi="Consolas"/>
      <w:sz w:val="20"/>
      <w:szCs w:val="20"/>
    </w:rPr>
  </w:style>
  <w:style w:type="paragraph" w:styleId="CommentText">
    <w:name w:val="annotation text"/>
    <w:basedOn w:val="Normal"/>
    <w:link w:val="CommentTextChar"/>
    <w:uiPriority w:val="99"/>
    <w:unhideWhenUsed/>
    <w:rsid w:val="003847A7"/>
    <w:rPr>
      <w:lang w:eastAsia="zh-CN"/>
    </w:rPr>
  </w:style>
  <w:style w:type="character" w:customStyle="1" w:styleId="CommentTextChar">
    <w:name w:val="Comment Text Char"/>
    <w:basedOn w:val="DefaultParagraphFont"/>
    <w:link w:val="CommentText"/>
    <w:uiPriority w:val="99"/>
    <w:rsid w:val="003847A7"/>
    <w:rPr>
      <w:lang w:eastAsia="zh-CN"/>
    </w:rPr>
  </w:style>
  <w:style w:type="character" w:styleId="CommentReference">
    <w:name w:val="annotation reference"/>
    <w:basedOn w:val="DefaultParagraphFont"/>
    <w:uiPriority w:val="99"/>
    <w:semiHidden/>
    <w:unhideWhenUsed/>
    <w:rsid w:val="003847A7"/>
    <w:rPr>
      <w:sz w:val="21"/>
      <w:szCs w:val="21"/>
    </w:rPr>
  </w:style>
  <w:style w:type="paragraph" w:styleId="CommentSubject">
    <w:name w:val="annotation subject"/>
    <w:basedOn w:val="CommentText"/>
    <w:next w:val="CommentText"/>
    <w:link w:val="CommentSubjectChar"/>
    <w:uiPriority w:val="99"/>
    <w:semiHidden/>
    <w:unhideWhenUsed/>
    <w:rsid w:val="00DD4871"/>
    <w:rPr>
      <w:b/>
      <w:bCs/>
      <w:lang w:eastAsia="en-US"/>
    </w:rPr>
  </w:style>
  <w:style w:type="character" w:customStyle="1" w:styleId="CommentSubjectChar">
    <w:name w:val="Comment Subject Char"/>
    <w:basedOn w:val="CommentTextChar"/>
    <w:link w:val="CommentSubject"/>
    <w:uiPriority w:val="99"/>
    <w:semiHidden/>
    <w:rsid w:val="00DD4871"/>
    <w:rPr>
      <w:b/>
      <w:bC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6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E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27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27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86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1B"/>
    <w:rPr>
      <w:rFonts w:ascii="Tahoma" w:hAnsi="Tahoma" w:cs="Tahoma"/>
      <w:sz w:val="16"/>
      <w:szCs w:val="16"/>
    </w:rPr>
  </w:style>
  <w:style w:type="character" w:customStyle="1" w:styleId="Heading3Char">
    <w:name w:val="Heading 3 Char"/>
    <w:basedOn w:val="DefaultParagraphFont"/>
    <w:link w:val="Heading3"/>
    <w:uiPriority w:val="9"/>
    <w:rsid w:val="00E32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27C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3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E327CC"/>
  </w:style>
  <w:style w:type="character" w:customStyle="1" w:styleId="ui-ncbitoggler-master-text">
    <w:name w:val="ui-ncbitoggler-master-text"/>
    <w:basedOn w:val="DefaultParagraphFont"/>
    <w:rsid w:val="00E327CC"/>
  </w:style>
  <w:style w:type="character" w:customStyle="1" w:styleId="nowrap1">
    <w:name w:val="nowrap1"/>
    <w:basedOn w:val="DefaultParagraphFont"/>
    <w:rsid w:val="005A0EB0"/>
  </w:style>
  <w:style w:type="character" w:customStyle="1" w:styleId="Heading2Char">
    <w:name w:val="Heading 2 Char"/>
    <w:basedOn w:val="DefaultParagraphFont"/>
    <w:link w:val="Heading2"/>
    <w:uiPriority w:val="9"/>
    <w:rsid w:val="00230E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0EFE"/>
    <w:pPr>
      <w:ind w:left="720"/>
      <w:contextualSpacing/>
    </w:pPr>
  </w:style>
  <w:style w:type="table" w:styleId="TableGrid">
    <w:name w:val="Table Grid"/>
    <w:basedOn w:val="TableNormal"/>
    <w:uiPriority w:val="59"/>
    <w:rsid w:val="00FB5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B543E"/>
    <w:rPr>
      <w:i/>
      <w:iCs/>
    </w:rPr>
  </w:style>
  <w:style w:type="paragraph" w:styleId="EndnoteText">
    <w:name w:val="endnote text"/>
    <w:basedOn w:val="Normal"/>
    <w:link w:val="EndnoteTextChar"/>
    <w:uiPriority w:val="99"/>
    <w:semiHidden/>
    <w:unhideWhenUsed/>
    <w:rsid w:val="006340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4081"/>
    <w:rPr>
      <w:sz w:val="20"/>
      <w:szCs w:val="20"/>
    </w:rPr>
  </w:style>
  <w:style w:type="character" w:styleId="EndnoteReference">
    <w:name w:val="endnote reference"/>
    <w:basedOn w:val="DefaultParagraphFont"/>
    <w:uiPriority w:val="99"/>
    <w:semiHidden/>
    <w:unhideWhenUsed/>
    <w:rsid w:val="00634081"/>
    <w:rPr>
      <w:vertAlign w:val="superscript"/>
    </w:rPr>
  </w:style>
  <w:style w:type="character" w:customStyle="1" w:styleId="current-selection">
    <w:name w:val="current-selection"/>
    <w:basedOn w:val="DefaultParagraphFont"/>
    <w:rsid w:val="00DC3769"/>
  </w:style>
  <w:style w:type="character" w:customStyle="1" w:styleId="a">
    <w:name w:val="_"/>
    <w:basedOn w:val="DefaultParagraphFont"/>
    <w:rsid w:val="00DC3769"/>
  </w:style>
  <w:style w:type="character" w:styleId="Hyperlink">
    <w:name w:val="Hyperlink"/>
    <w:basedOn w:val="DefaultParagraphFont"/>
    <w:uiPriority w:val="99"/>
    <w:unhideWhenUsed/>
    <w:rsid w:val="00F62F1D"/>
    <w:rPr>
      <w:color w:val="0000FF"/>
      <w:u w:val="single"/>
    </w:rPr>
  </w:style>
  <w:style w:type="character" w:customStyle="1" w:styleId="highlight">
    <w:name w:val="highlight"/>
    <w:basedOn w:val="DefaultParagraphFont"/>
    <w:rsid w:val="00F62F1D"/>
  </w:style>
  <w:style w:type="character" w:customStyle="1" w:styleId="ff5">
    <w:name w:val="ff5"/>
    <w:basedOn w:val="DefaultParagraphFont"/>
    <w:rsid w:val="0024684F"/>
  </w:style>
  <w:style w:type="character" w:customStyle="1" w:styleId="ff9">
    <w:name w:val="ff9"/>
    <w:basedOn w:val="DefaultParagraphFont"/>
    <w:rsid w:val="0024684F"/>
  </w:style>
  <w:style w:type="paragraph" w:styleId="Header">
    <w:name w:val="header"/>
    <w:basedOn w:val="Normal"/>
    <w:link w:val="HeaderChar"/>
    <w:uiPriority w:val="99"/>
    <w:unhideWhenUsed/>
    <w:rsid w:val="0074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BF3"/>
  </w:style>
  <w:style w:type="paragraph" w:styleId="Footer">
    <w:name w:val="footer"/>
    <w:basedOn w:val="Normal"/>
    <w:link w:val="FooterChar"/>
    <w:uiPriority w:val="99"/>
    <w:unhideWhenUsed/>
    <w:rsid w:val="0074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F3"/>
  </w:style>
  <w:style w:type="paragraph" w:styleId="HTMLPreformatted">
    <w:name w:val="HTML Preformatted"/>
    <w:basedOn w:val="Normal"/>
    <w:link w:val="HTMLPreformattedChar"/>
    <w:uiPriority w:val="99"/>
    <w:semiHidden/>
    <w:unhideWhenUsed/>
    <w:rsid w:val="00CD028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0289"/>
    <w:rPr>
      <w:rFonts w:ascii="Consolas" w:hAnsi="Consolas"/>
      <w:sz w:val="20"/>
      <w:szCs w:val="20"/>
    </w:rPr>
  </w:style>
  <w:style w:type="paragraph" w:styleId="CommentText">
    <w:name w:val="annotation text"/>
    <w:basedOn w:val="Normal"/>
    <w:link w:val="CommentTextChar"/>
    <w:uiPriority w:val="99"/>
    <w:unhideWhenUsed/>
    <w:rsid w:val="003847A7"/>
    <w:rPr>
      <w:lang w:eastAsia="zh-CN"/>
    </w:rPr>
  </w:style>
  <w:style w:type="character" w:customStyle="1" w:styleId="CommentTextChar">
    <w:name w:val="Comment Text Char"/>
    <w:basedOn w:val="DefaultParagraphFont"/>
    <w:link w:val="CommentText"/>
    <w:uiPriority w:val="99"/>
    <w:rsid w:val="003847A7"/>
    <w:rPr>
      <w:lang w:eastAsia="zh-CN"/>
    </w:rPr>
  </w:style>
  <w:style w:type="character" w:styleId="CommentReference">
    <w:name w:val="annotation reference"/>
    <w:basedOn w:val="DefaultParagraphFont"/>
    <w:uiPriority w:val="99"/>
    <w:semiHidden/>
    <w:unhideWhenUsed/>
    <w:rsid w:val="003847A7"/>
    <w:rPr>
      <w:sz w:val="21"/>
      <w:szCs w:val="21"/>
    </w:rPr>
  </w:style>
  <w:style w:type="paragraph" w:styleId="CommentSubject">
    <w:name w:val="annotation subject"/>
    <w:basedOn w:val="CommentText"/>
    <w:next w:val="CommentText"/>
    <w:link w:val="CommentSubjectChar"/>
    <w:uiPriority w:val="99"/>
    <w:semiHidden/>
    <w:unhideWhenUsed/>
    <w:rsid w:val="00DD4871"/>
    <w:rPr>
      <w:b/>
      <w:bCs/>
      <w:lang w:eastAsia="en-US"/>
    </w:rPr>
  </w:style>
  <w:style w:type="character" w:customStyle="1" w:styleId="CommentSubjectChar">
    <w:name w:val="Comment Subject Char"/>
    <w:basedOn w:val="CommentTextChar"/>
    <w:link w:val="CommentSubject"/>
    <w:uiPriority w:val="99"/>
    <w:semiHidden/>
    <w:rsid w:val="00DD487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1775">
      <w:bodyDiv w:val="1"/>
      <w:marLeft w:val="0"/>
      <w:marRight w:val="0"/>
      <w:marTop w:val="0"/>
      <w:marBottom w:val="0"/>
      <w:divBdr>
        <w:top w:val="none" w:sz="0" w:space="0" w:color="auto"/>
        <w:left w:val="none" w:sz="0" w:space="0" w:color="auto"/>
        <w:bottom w:val="none" w:sz="0" w:space="0" w:color="auto"/>
        <w:right w:val="none" w:sz="0" w:space="0" w:color="auto"/>
      </w:divBdr>
      <w:divsChild>
        <w:div w:id="281739564">
          <w:marLeft w:val="0"/>
          <w:marRight w:val="0"/>
          <w:marTop w:val="0"/>
          <w:marBottom w:val="0"/>
          <w:divBdr>
            <w:top w:val="none" w:sz="0" w:space="0" w:color="auto"/>
            <w:left w:val="none" w:sz="0" w:space="0" w:color="auto"/>
            <w:bottom w:val="none" w:sz="0" w:space="0" w:color="auto"/>
            <w:right w:val="none" w:sz="0" w:space="0" w:color="auto"/>
          </w:divBdr>
          <w:divsChild>
            <w:div w:id="1838420487">
              <w:marLeft w:val="0"/>
              <w:marRight w:val="0"/>
              <w:marTop w:val="0"/>
              <w:marBottom w:val="0"/>
              <w:divBdr>
                <w:top w:val="none" w:sz="0" w:space="0" w:color="auto"/>
                <w:left w:val="none" w:sz="0" w:space="0" w:color="auto"/>
                <w:bottom w:val="none" w:sz="0" w:space="0" w:color="auto"/>
                <w:right w:val="none" w:sz="0" w:space="0" w:color="auto"/>
              </w:divBdr>
              <w:divsChild>
                <w:div w:id="1492059429">
                  <w:marLeft w:val="450"/>
                  <w:marRight w:val="900"/>
                  <w:marTop w:val="450"/>
                  <w:marBottom w:val="450"/>
                  <w:divBdr>
                    <w:top w:val="none" w:sz="0" w:space="0" w:color="auto"/>
                    <w:left w:val="none" w:sz="0" w:space="0" w:color="auto"/>
                    <w:bottom w:val="none" w:sz="0" w:space="0" w:color="auto"/>
                    <w:right w:val="none" w:sz="0" w:space="0" w:color="auto"/>
                  </w:divBdr>
                  <w:divsChild>
                    <w:div w:id="17819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2799">
      <w:bodyDiv w:val="1"/>
      <w:marLeft w:val="0"/>
      <w:marRight w:val="0"/>
      <w:marTop w:val="0"/>
      <w:marBottom w:val="0"/>
      <w:divBdr>
        <w:top w:val="none" w:sz="0" w:space="0" w:color="auto"/>
        <w:left w:val="none" w:sz="0" w:space="0" w:color="auto"/>
        <w:bottom w:val="none" w:sz="0" w:space="0" w:color="auto"/>
        <w:right w:val="none" w:sz="0" w:space="0" w:color="auto"/>
      </w:divBdr>
    </w:div>
    <w:div w:id="70541471">
      <w:bodyDiv w:val="1"/>
      <w:marLeft w:val="0"/>
      <w:marRight w:val="0"/>
      <w:marTop w:val="0"/>
      <w:marBottom w:val="0"/>
      <w:divBdr>
        <w:top w:val="none" w:sz="0" w:space="0" w:color="auto"/>
        <w:left w:val="none" w:sz="0" w:space="0" w:color="auto"/>
        <w:bottom w:val="none" w:sz="0" w:space="0" w:color="auto"/>
        <w:right w:val="none" w:sz="0" w:space="0" w:color="auto"/>
      </w:divBdr>
      <w:divsChild>
        <w:div w:id="1502814093">
          <w:marLeft w:val="0"/>
          <w:marRight w:val="0"/>
          <w:marTop w:val="0"/>
          <w:marBottom w:val="0"/>
          <w:divBdr>
            <w:top w:val="none" w:sz="0" w:space="0" w:color="auto"/>
            <w:left w:val="none" w:sz="0" w:space="0" w:color="auto"/>
            <w:bottom w:val="none" w:sz="0" w:space="0" w:color="auto"/>
            <w:right w:val="none" w:sz="0" w:space="0" w:color="auto"/>
          </w:divBdr>
          <w:divsChild>
            <w:div w:id="1297955533">
              <w:marLeft w:val="0"/>
              <w:marRight w:val="0"/>
              <w:marTop w:val="0"/>
              <w:marBottom w:val="0"/>
              <w:divBdr>
                <w:top w:val="none" w:sz="0" w:space="0" w:color="auto"/>
                <w:left w:val="none" w:sz="0" w:space="0" w:color="auto"/>
                <w:bottom w:val="none" w:sz="0" w:space="0" w:color="auto"/>
                <w:right w:val="none" w:sz="0" w:space="0" w:color="auto"/>
              </w:divBdr>
              <w:divsChild>
                <w:div w:id="1688746857">
                  <w:marLeft w:val="450"/>
                  <w:marRight w:val="900"/>
                  <w:marTop w:val="450"/>
                  <w:marBottom w:val="450"/>
                  <w:divBdr>
                    <w:top w:val="none" w:sz="0" w:space="0" w:color="auto"/>
                    <w:left w:val="none" w:sz="0" w:space="0" w:color="auto"/>
                    <w:bottom w:val="none" w:sz="0" w:space="0" w:color="auto"/>
                    <w:right w:val="none" w:sz="0" w:space="0" w:color="auto"/>
                  </w:divBdr>
                  <w:divsChild>
                    <w:div w:id="12592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0331">
      <w:bodyDiv w:val="1"/>
      <w:marLeft w:val="0"/>
      <w:marRight w:val="0"/>
      <w:marTop w:val="0"/>
      <w:marBottom w:val="0"/>
      <w:divBdr>
        <w:top w:val="none" w:sz="0" w:space="0" w:color="auto"/>
        <w:left w:val="none" w:sz="0" w:space="0" w:color="auto"/>
        <w:bottom w:val="none" w:sz="0" w:space="0" w:color="auto"/>
        <w:right w:val="none" w:sz="0" w:space="0" w:color="auto"/>
      </w:divBdr>
      <w:divsChild>
        <w:div w:id="161359198">
          <w:marLeft w:val="0"/>
          <w:marRight w:val="0"/>
          <w:marTop w:val="0"/>
          <w:marBottom w:val="0"/>
          <w:divBdr>
            <w:top w:val="none" w:sz="0" w:space="0" w:color="auto"/>
            <w:left w:val="none" w:sz="0" w:space="0" w:color="auto"/>
            <w:bottom w:val="none" w:sz="0" w:space="0" w:color="auto"/>
            <w:right w:val="none" w:sz="0" w:space="0" w:color="auto"/>
          </w:divBdr>
        </w:div>
        <w:div w:id="370037830">
          <w:marLeft w:val="0"/>
          <w:marRight w:val="0"/>
          <w:marTop w:val="0"/>
          <w:marBottom w:val="0"/>
          <w:divBdr>
            <w:top w:val="none" w:sz="0" w:space="0" w:color="auto"/>
            <w:left w:val="none" w:sz="0" w:space="0" w:color="auto"/>
            <w:bottom w:val="none" w:sz="0" w:space="0" w:color="auto"/>
            <w:right w:val="none" w:sz="0" w:space="0" w:color="auto"/>
          </w:divBdr>
        </w:div>
        <w:div w:id="362941055">
          <w:marLeft w:val="0"/>
          <w:marRight w:val="0"/>
          <w:marTop w:val="0"/>
          <w:marBottom w:val="0"/>
          <w:divBdr>
            <w:top w:val="none" w:sz="0" w:space="0" w:color="auto"/>
            <w:left w:val="none" w:sz="0" w:space="0" w:color="auto"/>
            <w:bottom w:val="none" w:sz="0" w:space="0" w:color="auto"/>
            <w:right w:val="none" w:sz="0" w:space="0" w:color="auto"/>
          </w:divBdr>
        </w:div>
        <w:div w:id="720595991">
          <w:marLeft w:val="0"/>
          <w:marRight w:val="0"/>
          <w:marTop w:val="0"/>
          <w:marBottom w:val="0"/>
          <w:divBdr>
            <w:top w:val="none" w:sz="0" w:space="0" w:color="auto"/>
            <w:left w:val="none" w:sz="0" w:space="0" w:color="auto"/>
            <w:bottom w:val="none" w:sz="0" w:space="0" w:color="auto"/>
            <w:right w:val="none" w:sz="0" w:space="0" w:color="auto"/>
          </w:divBdr>
        </w:div>
        <w:div w:id="1614053196">
          <w:marLeft w:val="0"/>
          <w:marRight w:val="0"/>
          <w:marTop w:val="0"/>
          <w:marBottom w:val="0"/>
          <w:divBdr>
            <w:top w:val="none" w:sz="0" w:space="0" w:color="auto"/>
            <w:left w:val="none" w:sz="0" w:space="0" w:color="auto"/>
            <w:bottom w:val="none" w:sz="0" w:space="0" w:color="auto"/>
            <w:right w:val="none" w:sz="0" w:space="0" w:color="auto"/>
          </w:divBdr>
        </w:div>
        <w:div w:id="563877992">
          <w:marLeft w:val="0"/>
          <w:marRight w:val="0"/>
          <w:marTop w:val="0"/>
          <w:marBottom w:val="0"/>
          <w:divBdr>
            <w:top w:val="none" w:sz="0" w:space="0" w:color="auto"/>
            <w:left w:val="none" w:sz="0" w:space="0" w:color="auto"/>
            <w:bottom w:val="none" w:sz="0" w:space="0" w:color="auto"/>
            <w:right w:val="none" w:sz="0" w:space="0" w:color="auto"/>
          </w:divBdr>
        </w:div>
        <w:div w:id="1276328571">
          <w:marLeft w:val="0"/>
          <w:marRight w:val="0"/>
          <w:marTop w:val="0"/>
          <w:marBottom w:val="0"/>
          <w:divBdr>
            <w:top w:val="none" w:sz="0" w:space="0" w:color="auto"/>
            <w:left w:val="none" w:sz="0" w:space="0" w:color="auto"/>
            <w:bottom w:val="none" w:sz="0" w:space="0" w:color="auto"/>
            <w:right w:val="none" w:sz="0" w:space="0" w:color="auto"/>
          </w:divBdr>
        </w:div>
        <w:div w:id="370108937">
          <w:marLeft w:val="0"/>
          <w:marRight w:val="0"/>
          <w:marTop w:val="0"/>
          <w:marBottom w:val="0"/>
          <w:divBdr>
            <w:top w:val="none" w:sz="0" w:space="0" w:color="auto"/>
            <w:left w:val="none" w:sz="0" w:space="0" w:color="auto"/>
            <w:bottom w:val="none" w:sz="0" w:space="0" w:color="auto"/>
            <w:right w:val="none" w:sz="0" w:space="0" w:color="auto"/>
          </w:divBdr>
        </w:div>
        <w:div w:id="365371337">
          <w:marLeft w:val="0"/>
          <w:marRight w:val="0"/>
          <w:marTop w:val="0"/>
          <w:marBottom w:val="0"/>
          <w:divBdr>
            <w:top w:val="none" w:sz="0" w:space="0" w:color="auto"/>
            <w:left w:val="none" w:sz="0" w:space="0" w:color="auto"/>
            <w:bottom w:val="none" w:sz="0" w:space="0" w:color="auto"/>
            <w:right w:val="none" w:sz="0" w:space="0" w:color="auto"/>
          </w:divBdr>
        </w:div>
        <w:div w:id="1623923015">
          <w:marLeft w:val="0"/>
          <w:marRight w:val="0"/>
          <w:marTop w:val="0"/>
          <w:marBottom w:val="0"/>
          <w:divBdr>
            <w:top w:val="none" w:sz="0" w:space="0" w:color="auto"/>
            <w:left w:val="none" w:sz="0" w:space="0" w:color="auto"/>
            <w:bottom w:val="none" w:sz="0" w:space="0" w:color="auto"/>
            <w:right w:val="none" w:sz="0" w:space="0" w:color="auto"/>
          </w:divBdr>
        </w:div>
        <w:div w:id="1050617323">
          <w:marLeft w:val="0"/>
          <w:marRight w:val="0"/>
          <w:marTop w:val="0"/>
          <w:marBottom w:val="0"/>
          <w:divBdr>
            <w:top w:val="none" w:sz="0" w:space="0" w:color="auto"/>
            <w:left w:val="none" w:sz="0" w:space="0" w:color="auto"/>
            <w:bottom w:val="none" w:sz="0" w:space="0" w:color="auto"/>
            <w:right w:val="none" w:sz="0" w:space="0" w:color="auto"/>
          </w:divBdr>
        </w:div>
        <w:div w:id="1202597958">
          <w:marLeft w:val="0"/>
          <w:marRight w:val="0"/>
          <w:marTop w:val="0"/>
          <w:marBottom w:val="0"/>
          <w:divBdr>
            <w:top w:val="none" w:sz="0" w:space="0" w:color="auto"/>
            <w:left w:val="none" w:sz="0" w:space="0" w:color="auto"/>
            <w:bottom w:val="none" w:sz="0" w:space="0" w:color="auto"/>
            <w:right w:val="none" w:sz="0" w:space="0" w:color="auto"/>
          </w:divBdr>
        </w:div>
        <w:div w:id="95909641">
          <w:marLeft w:val="0"/>
          <w:marRight w:val="0"/>
          <w:marTop w:val="0"/>
          <w:marBottom w:val="0"/>
          <w:divBdr>
            <w:top w:val="none" w:sz="0" w:space="0" w:color="auto"/>
            <w:left w:val="none" w:sz="0" w:space="0" w:color="auto"/>
            <w:bottom w:val="none" w:sz="0" w:space="0" w:color="auto"/>
            <w:right w:val="none" w:sz="0" w:space="0" w:color="auto"/>
          </w:divBdr>
        </w:div>
        <w:div w:id="871190696">
          <w:marLeft w:val="0"/>
          <w:marRight w:val="0"/>
          <w:marTop w:val="0"/>
          <w:marBottom w:val="0"/>
          <w:divBdr>
            <w:top w:val="none" w:sz="0" w:space="0" w:color="auto"/>
            <w:left w:val="none" w:sz="0" w:space="0" w:color="auto"/>
            <w:bottom w:val="none" w:sz="0" w:space="0" w:color="auto"/>
            <w:right w:val="none" w:sz="0" w:space="0" w:color="auto"/>
          </w:divBdr>
        </w:div>
        <w:div w:id="1720281019">
          <w:marLeft w:val="0"/>
          <w:marRight w:val="0"/>
          <w:marTop w:val="0"/>
          <w:marBottom w:val="0"/>
          <w:divBdr>
            <w:top w:val="none" w:sz="0" w:space="0" w:color="auto"/>
            <w:left w:val="none" w:sz="0" w:space="0" w:color="auto"/>
            <w:bottom w:val="none" w:sz="0" w:space="0" w:color="auto"/>
            <w:right w:val="none" w:sz="0" w:space="0" w:color="auto"/>
          </w:divBdr>
        </w:div>
        <w:div w:id="416512539">
          <w:marLeft w:val="0"/>
          <w:marRight w:val="0"/>
          <w:marTop w:val="0"/>
          <w:marBottom w:val="0"/>
          <w:divBdr>
            <w:top w:val="none" w:sz="0" w:space="0" w:color="auto"/>
            <w:left w:val="none" w:sz="0" w:space="0" w:color="auto"/>
            <w:bottom w:val="none" w:sz="0" w:space="0" w:color="auto"/>
            <w:right w:val="none" w:sz="0" w:space="0" w:color="auto"/>
          </w:divBdr>
        </w:div>
        <w:div w:id="2036149964">
          <w:marLeft w:val="0"/>
          <w:marRight w:val="0"/>
          <w:marTop w:val="0"/>
          <w:marBottom w:val="0"/>
          <w:divBdr>
            <w:top w:val="none" w:sz="0" w:space="0" w:color="auto"/>
            <w:left w:val="none" w:sz="0" w:space="0" w:color="auto"/>
            <w:bottom w:val="none" w:sz="0" w:space="0" w:color="auto"/>
            <w:right w:val="none" w:sz="0" w:space="0" w:color="auto"/>
          </w:divBdr>
        </w:div>
        <w:div w:id="1484467947">
          <w:marLeft w:val="0"/>
          <w:marRight w:val="0"/>
          <w:marTop w:val="0"/>
          <w:marBottom w:val="0"/>
          <w:divBdr>
            <w:top w:val="none" w:sz="0" w:space="0" w:color="auto"/>
            <w:left w:val="none" w:sz="0" w:space="0" w:color="auto"/>
            <w:bottom w:val="none" w:sz="0" w:space="0" w:color="auto"/>
            <w:right w:val="none" w:sz="0" w:space="0" w:color="auto"/>
          </w:divBdr>
        </w:div>
        <w:div w:id="109933378">
          <w:marLeft w:val="0"/>
          <w:marRight w:val="0"/>
          <w:marTop w:val="0"/>
          <w:marBottom w:val="0"/>
          <w:divBdr>
            <w:top w:val="none" w:sz="0" w:space="0" w:color="auto"/>
            <w:left w:val="none" w:sz="0" w:space="0" w:color="auto"/>
            <w:bottom w:val="none" w:sz="0" w:space="0" w:color="auto"/>
            <w:right w:val="none" w:sz="0" w:space="0" w:color="auto"/>
          </w:divBdr>
        </w:div>
        <w:div w:id="1310211329">
          <w:marLeft w:val="0"/>
          <w:marRight w:val="0"/>
          <w:marTop w:val="0"/>
          <w:marBottom w:val="0"/>
          <w:divBdr>
            <w:top w:val="none" w:sz="0" w:space="0" w:color="auto"/>
            <w:left w:val="none" w:sz="0" w:space="0" w:color="auto"/>
            <w:bottom w:val="none" w:sz="0" w:space="0" w:color="auto"/>
            <w:right w:val="none" w:sz="0" w:space="0" w:color="auto"/>
          </w:divBdr>
        </w:div>
        <w:div w:id="1867450220">
          <w:marLeft w:val="0"/>
          <w:marRight w:val="0"/>
          <w:marTop w:val="0"/>
          <w:marBottom w:val="0"/>
          <w:divBdr>
            <w:top w:val="none" w:sz="0" w:space="0" w:color="auto"/>
            <w:left w:val="none" w:sz="0" w:space="0" w:color="auto"/>
            <w:bottom w:val="none" w:sz="0" w:space="0" w:color="auto"/>
            <w:right w:val="none" w:sz="0" w:space="0" w:color="auto"/>
          </w:divBdr>
        </w:div>
        <w:div w:id="829834353">
          <w:marLeft w:val="0"/>
          <w:marRight w:val="0"/>
          <w:marTop w:val="0"/>
          <w:marBottom w:val="0"/>
          <w:divBdr>
            <w:top w:val="none" w:sz="0" w:space="0" w:color="auto"/>
            <w:left w:val="none" w:sz="0" w:space="0" w:color="auto"/>
            <w:bottom w:val="none" w:sz="0" w:space="0" w:color="auto"/>
            <w:right w:val="none" w:sz="0" w:space="0" w:color="auto"/>
          </w:divBdr>
        </w:div>
        <w:div w:id="1310675079">
          <w:marLeft w:val="0"/>
          <w:marRight w:val="0"/>
          <w:marTop w:val="0"/>
          <w:marBottom w:val="0"/>
          <w:divBdr>
            <w:top w:val="none" w:sz="0" w:space="0" w:color="auto"/>
            <w:left w:val="none" w:sz="0" w:space="0" w:color="auto"/>
            <w:bottom w:val="none" w:sz="0" w:space="0" w:color="auto"/>
            <w:right w:val="none" w:sz="0" w:space="0" w:color="auto"/>
          </w:divBdr>
        </w:div>
        <w:div w:id="1833132336">
          <w:marLeft w:val="0"/>
          <w:marRight w:val="0"/>
          <w:marTop w:val="0"/>
          <w:marBottom w:val="0"/>
          <w:divBdr>
            <w:top w:val="none" w:sz="0" w:space="0" w:color="auto"/>
            <w:left w:val="none" w:sz="0" w:space="0" w:color="auto"/>
            <w:bottom w:val="none" w:sz="0" w:space="0" w:color="auto"/>
            <w:right w:val="none" w:sz="0" w:space="0" w:color="auto"/>
          </w:divBdr>
        </w:div>
        <w:div w:id="220941224">
          <w:marLeft w:val="0"/>
          <w:marRight w:val="0"/>
          <w:marTop w:val="0"/>
          <w:marBottom w:val="0"/>
          <w:divBdr>
            <w:top w:val="none" w:sz="0" w:space="0" w:color="auto"/>
            <w:left w:val="none" w:sz="0" w:space="0" w:color="auto"/>
            <w:bottom w:val="none" w:sz="0" w:space="0" w:color="auto"/>
            <w:right w:val="none" w:sz="0" w:space="0" w:color="auto"/>
          </w:divBdr>
        </w:div>
        <w:div w:id="412312352">
          <w:marLeft w:val="0"/>
          <w:marRight w:val="0"/>
          <w:marTop w:val="0"/>
          <w:marBottom w:val="0"/>
          <w:divBdr>
            <w:top w:val="none" w:sz="0" w:space="0" w:color="auto"/>
            <w:left w:val="none" w:sz="0" w:space="0" w:color="auto"/>
            <w:bottom w:val="none" w:sz="0" w:space="0" w:color="auto"/>
            <w:right w:val="none" w:sz="0" w:space="0" w:color="auto"/>
          </w:divBdr>
        </w:div>
        <w:div w:id="1549491563">
          <w:marLeft w:val="0"/>
          <w:marRight w:val="0"/>
          <w:marTop w:val="0"/>
          <w:marBottom w:val="0"/>
          <w:divBdr>
            <w:top w:val="none" w:sz="0" w:space="0" w:color="auto"/>
            <w:left w:val="none" w:sz="0" w:space="0" w:color="auto"/>
            <w:bottom w:val="none" w:sz="0" w:space="0" w:color="auto"/>
            <w:right w:val="none" w:sz="0" w:space="0" w:color="auto"/>
          </w:divBdr>
        </w:div>
        <w:div w:id="1950161721">
          <w:marLeft w:val="0"/>
          <w:marRight w:val="0"/>
          <w:marTop w:val="0"/>
          <w:marBottom w:val="0"/>
          <w:divBdr>
            <w:top w:val="none" w:sz="0" w:space="0" w:color="auto"/>
            <w:left w:val="none" w:sz="0" w:space="0" w:color="auto"/>
            <w:bottom w:val="none" w:sz="0" w:space="0" w:color="auto"/>
            <w:right w:val="none" w:sz="0" w:space="0" w:color="auto"/>
          </w:divBdr>
        </w:div>
        <w:div w:id="1671563104">
          <w:marLeft w:val="0"/>
          <w:marRight w:val="0"/>
          <w:marTop w:val="0"/>
          <w:marBottom w:val="0"/>
          <w:divBdr>
            <w:top w:val="none" w:sz="0" w:space="0" w:color="auto"/>
            <w:left w:val="none" w:sz="0" w:space="0" w:color="auto"/>
            <w:bottom w:val="none" w:sz="0" w:space="0" w:color="auto"/>
            <w:right w:val="none" w:sz="0" w:space="0" w:color="auto"/>
          </w:divBdr>
        </w:div>
        <w:div w:id="1837379086">
          <w:marLeft w:val="0"/>
          <w:marRight w:val="0"/>
          <w:marTop w:val="0"/>
          <w:marBottom w:val="0"/>
          <w:divBdr>
            <w:top w:val="none" w:sz="0" w:space="0" w:color="auto"/>
            <w:left w:val="none" w:sz="0" w:space="0" w:color="auto"/>
            <w:bottom w:val="none" w:sz="0" w:space="0" w:color="auto"/>
            <w:right w:val="none" w:sz="0" w:space="0" w:color="auto"/>
          </w:divBdr>
        </w:div>
        <w:div w:id="1407529558">
          <w:marLeft w:val="0"/>
          <w:marRight w:val="0"/>
          <w:marTop w:val="0"/>
          <w:marBottom w:val="0"/>
          <w:divBdr>
            <w:top w:val="none" w:sz="0" w:space="0" w:color="auto"/>
            <w:left w:val="none" w:sz="0" w:space="0" w:color="auto"/>
            <w:bottom w:val="none" w:sz="0" w:space="0" w:color="auto"/>
            <w:right w:val="none" w:sz="0" w:space="0" w:color="auto"/>
          </w:divBdr>
        </w:div>
        <w:div w:id="374353422">
          <w:marLeft w:val="0"/>
          <w:marRight w:val="0"/>
          <w:marTop w:val="0"/>
          <w:marBottom w:val="0"/>
          <w:divBdr>
            <w:top w:val="none" w:sz="0" w:space="0" w:color="auto"/>
            <w:left w:val="none" w:sz="0" w:space="0" w:color="auto"/>
            <w:bottom w:val="none" w:sz="0" w:space="0" w:color="auto"/>
            <w:right w:val="none" w:sz="0" w:space="0" w:color="auto"/>
          </w:divBdr>
        </w:div>
        <w:div w:id="1485976446">
          <w:marLeft w:val="0"/>
          <w:marRight w:val="0"/>
          <w:marTop w:val="0"/>
          <w:marBottom w:val="0"/>
          <w:divBdr>
            <w:top w:val="none" w:sz="0" w:space="0" w:color="auto"/>
            <w:left w:val="none" w:sz="0" w:space="0" w:color="auto"/>
            <w:bottom w:val="none" w:sz="0" w:space="0" w:color="auto"/>
            <w:right w:val="none" w:sz="0" w:space="0" w:color="auto"/>
          </w:divBdr>
        </w:div>
        <w:div w:id="1929267632">
          <w:marLeft w:val="0"/>
          <w:marRight w:val="0"/>
          <w:marTop w:val="0"/>
          <w:marBottom w:val="0"/>
          <w:divBdr>
            <w:top w:val="none" w:sz="0" w:space="0" w:color="auto"/>
            <w:left w:val="none" w:sz="0" w:space="0" w:color="auto"/>
            <w:bottom w:val="none" w:sz="0" w:space="0" w:color="auto"/>
            <w:right w:val="none" w:sz="0" w:space="0" w:color="auto"/>
          </w:divBdr>
        </w:div>
        <w:div w:id="206259766">
          <w:marLeft w:val="0"/>
          <w:marRight w:val="0"/>
          <w:marTop w:val="0"/>
          <w:marBottom w:val="0"/>
          <w:divBdr>
            <w:top w:val="none" w:sz="0" w:space="0" w:color="auto"/>
            <w:left w:val="none" w:sz="0" w:space="0" w:color="auto"/>
            <w:bottom w:val="none" w:sz="0" w:space="0" w:color="auto"/>
            <w:right w:val="none" w:sz="0" w:space="0" w:color="auto"/>
          </w:divBdr>
        </w:div>
        <w:div w:id="819419650">
          <w:marLeft w:val="0"/>
          <w:marRight w:val="0"/>
          <w:marTop w:val="0"/>
          <w:marBottom w:val="0"/>
          <w:divBdr>
            <w:top w:val="none" w:sz="0" w:space="0" w:color="auto"/>
            <w:left w:val="none" w:sz="0" w:space="0" w:color="auto"/>
            <w:bottom w:val="none" w:sz="0" w:space="0" w:color="auto"/>
            <w:right w:val="none" w:sz="0" w:space="0" w:color="auto"/>
          </w:divBdr>
        </w:div>
        <w:div w:id="570239508">
          <w:marLeft w:val="0"/>
          <w:marRight w:val="0"/>
          <w:marTop w:val="0"/>
          <w:marBottom w:val="0"/>
          <w:divBdr>
            <w:top w:val="none" w:sz="0" w:space="0" w:color="auto"/>
            <w:left w:val="none" w:sz="0" w:space="0" w:color="auto"/>
            <w:bottom w:val="none" w:sz="0" w:space="0" w:color="auto"/>
            <w:right w:val="none" w:sz="0" w:space="0" w:color="auto"/>
          </w:divBdr>
        </w:div>
        <w:div w:id="1398085795">
          <w:marLeft w:val="0"/>
          <w:marRight w:val="0"/>
          <w:marTop w:val="0"/>
          <w:marBottom w:val="0"/>
          <w:divBdr>
            <w:top w:val="none" w:sz="0" w:space="0" w:color="auto"/>
            <w:left w:val="none" w:sz="0" w:space="0" w:color="auto"/>
            <w:bottom w:val="none" w:sz="0" w:space="0" w:color="auto"/>
            <w:right w:val="none" w:sz="0" w:space="0" w:color="auto"/>
          </w:divBdr>
        </w:div>
        <w:div w:id="1075280953">
          <w:marLeft w:val="0"/>
          <w:marRight w:val="0"/>
          <w:marTop w:val="0"/>
          <w:marBottom w:val="0"/>
          <w:divBdr>
            <w:top w:val="none" w:sz="0" w:space="0" w:color="auto"/>
            <w:left w:val="none" w:sz="0" w:space="0" w:color="auto"/>
            <w:bottom w:val="none" w:sz="0" w:space="0" w:color="auto"/>
            <w:right w:val="none" w:sz="0" w:space="0" w:color="auto"/>
          </w:divBdr>
        </w:div>
        <w:div w:id="1269973224">
          <w:marLeft w:val="0"/>
          <w:marRight w:val="0"/>
          <w:marTop w:val="0"/>
          <w:marBottom w:val="0"/>
          <w:divBdr>
            <w:top w:val="none" w:sz="0" w:space="0" w:color="auto"/>
            <w:left w:val="none" w:sz="0" w:space="0" w:color="auto"/>
            <w:bottom w:val="none" w:sz="0" w:space="0" w:color="auto"/>
            <w:right w:val="none" w:sz="0" w:space="0" w:color="auto"/>
          </w:divBdr>
        </w:div>
        <w:div w:id="291523351">
          <w:marLeft w:val="0"/>
          <w:marRight w:val="0"/>
          <w:marTop w:val="0"/>
          <w:marBottom w:val="0"/>
          <w:divBdr>
            <w:top w:val="none" w:sz="0" w:space="0" w:color="auto"/>
            <w:left w:val="none" w:sz="0" w:space="0" w:color="auto"/>
            <w:bottom w:val="none" w:sz="0" w:space="0" w:color="auto"/>
            <w:right w:val="none" w:sz="0" w:space="0" w:color="auto"/>
          </w:divBdr>
        </w:div>
        <w:div w:id="1617757459">
          <w:marLeft w:val="0"/>
          <w:marRight w:val="0"/>
          <w:marTop w:val="0"/>
          <w:marBottom w:val="0"/>
          <w:divBdr>
            <w:top w:val="none" w:sz="0" w:space="0" w:color="auto"/>
            <w:left w:val="none" w:sz="0" w:space="0" w:color="auto"/>
            <w:bottom w:val="none" w:sz="0" w:space="0" w:color="auto"/>
            <w:right w:val="none" w:sz="0" w:space="0" w:color="auto"/>
          </w:divBdr>
        </w:div>
        <w:div w:id="933632012">
          <w:marLeft w:val="0"/>
          <w:marRight w:val="0"/>
          <w:marTop w:val="0"/>
          <w:marBottom w:val="0"/>
          <w:divBdr>
            <w:top w:val="none" w:sz="0" w:space="0" w:color="auto"/>
            <w:left w:val="none" w:sz="0" w:space="0" w:color="auto"/>
            <w:bottom w:val="none" w:sz="0" w:space="0" w:color="auto"/>
            <w:right w:val="none" w:sz="0" w:space="0" w:color="auto"/>
          </w:divBdr>
        </w:div>
        <w:div w:id="341705868">
          <w:marLeft w:val="0"/>
          <w:marRight w:val="0"/>
          <w:marTop w:val="0"/>
          <w:marBottom w:val="0"/>
          <w:divBdr>
            <w:top w:val="none" w:sz="0" w:space="0" w:color="auto"/>
            <w:left w:val="none" w:sz="0" w:space="0" w:color="auto"/>
            <w:bottom w:val="none" w:sz="0" w:space="0" w:color="auto"/>
            <w:right w:val="none" w:sz="0" w:space="0" w:color="auto"/>
          </w:divBdr>
        </w:div>
      </w:divsChild>
    </w:div>
    <w:div w:id="303000682">
      <w:bodyDiv w:val="1"/>
      <w:marLeft w:val="0"/>
      <w:marRight w:val="0"/>
      <w:marTop w:val="0"/>
      <w:marBottom w:val="0"/>
      <w:divBdr>
        <w:top w:val="none" w:sz="0" w:space="0" w:color="auto"/>
        <w:left w:val="none" w:sz="0" w:space="0" w:color="auto"/>
        <w:bottom w:val="none" w:sz="0" w:space="0" w:color="auto"/>
        <w:right w:val="none" w:sz="0" w:space="0" w:color="auto"/>
      </w:divBdr>
    </w:div>
    <w:div w:id="310670679">
      <w:bodyDiv w:val="1"/>
      <w:marLeft w:val="0"/>
      <w:marRight w:val="0"/>
      <w:marTop w:val="0"/>
      <w:marBottom w:val="0"/>
      <w:divBdr>
        <w:top w:val="none" w:sz="0" w:space="0" w:color="auto"/>
        <w:left w:val="none" w:sz="0" w:space="0" w:color="auto"/>
        <w:bottom w:val="none" w:sz="0" w:space="0" w:color="auto"/>
        <w:right w:val="none" w:sz="0" w:space="0" w:color="auto"/>
      </w:divBdr>
    </w:div>
    <w:div w:id="387874672">
      <w:bodyDiv w:val="1"/>
      <w:marLeft w:val="0"/>
      <w:marRight w:val="0"/>
      <w:marTop w:val="0"/>
      <w:marBottom w:val="0"/>
      <w:divBdr>
        <w:top w:val="none" w:sz="0" w:space="0" w:color="auto"/>
        <w:left w:val="none" w:sz="0" w:space="0" w:color="auto"/>
        <w:bottom w:val="none" w:sz="0" w:space="0" w:color="auto"/>
        <w:right w:val="none" w:sz="0" w:space="0" w:color="auto"/>
      </w:divBdr>
    </w:div>
    <w:div w:id="408238327">
      <w:bodyDiv w:val="1"/>
      <w:marLeft w:val="0"/>
      <w:marRight w:val="0"/>
      <w:marTop w:val="0"/>
      <w:marBottom w:val="0"/>
      <w:divBdr>
        <w:top w:val="none" w:sz="0" w:space="0" w:color="auto"/>
        <w:left w:val="none" w:sz="0" w:space="0" w:color="auto"/>
        <w:bottom w:val="none" w:sz="0" w:space="0" w:color="auto"/>
        <w:right w:val="none" w:sz="0" w:space="0" w:color="auto"/>
      </w:divBdr>
    </w:div>
    <w:div w:id="419719053">
      <w:bodyDiv w:val="1"/>
      <w:marLeft w:val="0"/>
      <w:marRight w:val="0"/>
      <w:marTop w:val="0"/>
      <w:marBottom w:val="0"/>
      <w:divBdr>
        <w:top w:val="none" w:sz="0" w:space="0" w:color="auto"/>
        <w:left w:val="none" w:sz="0" w:space="0" w:color="auto"/>
        <w:bottom w:val="none" w:sz="0" w:space="0" w:color="auto"/>
        <w:right w:val="none" w:sz="0" w:space="0" w:color="auto"/>
      </w:divBdr>
    </w:div>
    <w:div w:id="441414616">
      <w:bodyDiv w:val="1"/>
      <w:marLeft w:val="0"/>
      <w:marRight w:val="0"/>
      <w:marTop w:val="0"/>
      <w:marBottom w:val="0"/>
      <w:divBdr>
        <w:top w:val="none" w:sz="0" w:space="0" w:color="auto"/>
        <w:left w:val="none" w:sz="0" w:space="0" w:color="auto"/>
        <w:bottom w:val="none" w:sz="0" w:space="0" w:color="auto"/>
        <w:right w:val="none" w:sz="0" w:space="0" w:color="auto"/>
      </w:divBdr>
      <w:divsChild>
        <w:div w:id="727151075">
          <w:marLeft w:val="0"/>
          <w:marRight w:val="0"/>
          <w:marTop w:val="0"/>
          <w:marBottom w:val="0"/>
          <w:divBdr>
            <w:top w:val="none" w:sz="0" w:space="0" w:color="auto"/>
            <w:left w:val="none" w:sz="0" w:space="0" w:color="auto"/>
            <w:bottom w:val="none" w:sz="0" w:space="0" w:color="auto"/>
            <w:right w:val="none" w:sz="0" w:space="0" w:color="auto"/>
          </w:divBdr>
        </w:div>
        <w:div w:id="832065551">
          <w:marLeft w:val="0"/>
          <w:marRight w:val="0"/>
          <w:marTop w:val="0"/>
          <w:marBottom w:val="0"/>
          <w:divBdr>
            <w:top w:val="none" w:sz="0" w:space="0" w:color="auto"/>
            <w:left w:val="none" w:sz="0" w:space="0" w:color="auto"/>
            <w:bottom w:val="none" w:sz="0" w:space="0" w:color="auto"/>
            <w:right w:val="none" w:sz="0" w:space="0" w:color="auto"/>
          </w:divBdr>
        </w:div>
        <w:div w:id="1847211918">
          <w:marLeft w:val="0"/>
          <w:marRight w:val="0"/>
          <w:marTop w:val="0"/>
          <w:marBottom w:val="0"/>
          <w:divBdr>
            <w:top w:val="none" w:sz="0" w:space="0" w:color="auto"/>
            <w:left w:val="none" w:sz="0" w:space="0" w:color="auto"/>
            <w:bottom w:val="none" w:sz="0" w:space="0" w:color="auto"/>
            <w:right w:val="none" w:sz="0" w:space="0" w:color="auto"/>
          </w:divBdr>
        </w:div>
        <w:div w:id="1695224271">
          <w:marLeft w:val="0"/>
          <w:marRight w:val="0"/>
          <w:marTop w:val="0"/>
          <w:marBottom w:val="0"/>
          <w:divBdr>
            <w:top w:val="none" w:sz="0" w:space="0" w:color="auto"/>
            <w:left w:val="none" w:sz="0" w:space="0" w:color="auto"/>
            <w:bottom w:val="none" w:sz="0" w:space="0" w:color="auto"/>
            <w:right w:val="none" w:sz="0" w:space="0" w:color="auto"/>
          </w:divBdr>
        </w:div>
        <w:div w:id="779108929">
          <w:marLeft w:val="0"/>
          <w:marRight w:val="0"/>
          <w:marTop w:val="0"/>
          <w:marBottom w:val="0"/>
          <w:divBdr>
            <w:top w:val="none" w:sz="0" w:space="0" w:color="auto"/>
            <w:left w:val="none" w:sz="0" w:space="0" w:color="auto"/>
            <w:bottom w:val="none" w:sz="0" w:space="0" w:color="auto"/>
            <w:right w:val="none" w:sz="0" w:space="0" w:color="auto"/>
          </w:divBdr>
        </w:div>
        <w:div w:id="1188059873">
          <w:marLeft w:val="0"/>
          <w:marRight w:val="0"/>
          <w:marTop w:val="0"/>
          <w:marBottom w:val="0"/>
          <w:divBdr>
            <w:top w:val="none" w:sz="0" w:space="0" w:color="auto"/>
            <w:left w:val="none" w:sz="0" w:space="0" w:color="auto"/>
            <w:bottom w:val="none" w:sz="0" w:space="0" w:color="auto"/>
            <w:right w:val="none" w:sz="0" w:space="0" w:color="auto"/>
          </w:divBdr>
        </w:div>
      </w:divsChild>
    </w:div>
    <w:div w:id="452868903">
      <w:bodyDiv w:val="1"/>
      <w:marLeft w:val="0"/>
      <w:marRight w:val="0"/>
      <w:marTop w:val="0"/>
      <w:marBottom w:val="0"/>
      <w:divBdr>
        <w:top w:val="none" w:sz="0" w:space="0" w:color="auto"/>
        <w:left w:val="none" w:sz="0" w:space="0" w:color="auto"/>
        <w:bottom w:val="none" w:sz="0" w:space="0" w:color="auto"/>
        <w:right w:val="none" w:sz="0" w:space="0" w:color="auto"/>
      </w:divBdr>
    </w:div>
    <w:div w:id="461466624">
      <w:bodyDiv w:val="1"/>
      <w:marLeft w:val="0"/>
      <w:marRight w:val="0"/>
      <w:marTop w:val="0"/>
      <w:marBottom w:val="0"/>
      <w:divBdr>
        <w:top w:val="none" w:sz="0" w:space="0" w:color="auto"/>
        <w:left w:val="none" w:sz="0" w:space="0" w:color="auto"/>
        <w:bottom w:val="none" w:sz="0" w:space="0" w:color="auto"/>
        <w:right w:val="none" w:sz="0" w:space="0" w:color="auto"/>
      </w:divBdr>
    </w:div>
    <w:div w:id="512648243">
      <w:bodyDiv w:val="1"/>
      <w:marLeft w:val="0"/>
      <w:marRight w:val="0"/>
      <w:marTop w:val="0"/>
      <w:marBottom w:val="0"/>
      <w:divBdr>
        <w:top w:val="none" w:sz="0" w:space="0" w:color="auto"/>
        <w:left w:val="none" w:sz="0" w:space="0" w:color="auto"/>
        <w:bottom w:val="none" w:sz="0" w:space="0" w:color="auto"/>
        <w:right w:val="none" w:sz="0" w:space="0" w:color="auto"/>
      </w:divBdr>
      <w:divsChild>
        <w:div w:id="573125383">
          <w:marLeft w:val="0"/>
          <w:marRight w:val="0"/>
          <w:marTop w:val="0"/>
          <w:marBottom w:val="0"/>
          <w:divBdr>
            <w:top w:val="none" w:sz="0" w:space="0" w:color="auto"/>
            <w:left w:val="none" w:sz="0" w:space="0" w:color="auto"/>
            <w:bottom w:val="none" w:sz="0" w:space="0" w:color="auto"/>
            <w:right w:val="none" w:sz="0" w:space="0" w:color="auto"/>
          </w:divBdr>
        </w:div>
      </w:divsChild>
    </w:div>
    <w:div w:id="560290870">
      <w:bodyDiv w:val="1"/>
      <w:marLeft w:val="0"/>
      <w:marRight w:val="0"/>
      <w:marTop w:val="0"/>
      <w:marBottom w:val="0"/>
      <w:divBdr>
        <w:top w:val="none" w:sz="0" w:space="0" w:color="auto"/>
        <w:left w:val="none" w:sz="0" w:space="0" w:color="auto"/>
        <w:bottom w:val="none" w:sz="0" w:space="0" w:color="auto"/>
        <w:right w:val="none" w:sz="0" w:space="0" w:color="auto"/>
      </w:divBdr>
    </w:div>
    <w:div w:id="607394716">
      <w:bodyDiv w:val="1"/>
      <w:marLeft w:val="0"/>
      <w:marRight w:val="0"/>
      <w:marTop w:val="0"/>
      <w:marBottom w:val="0"/>
      <w:divBdr>
        <w:top w:val="none" w:sz="0" w:space="0" w:color="auto"/>
        <w:left w:val="none" w:sz="0" w:space="0" w:color="auto"/>
        <w:bottom w:val="none" w:sz="0" w:space="0" w:color="auto"/>
        <w:right w:val="none" w:sz="0" w:space="0" w:color="auto"/>
      </w:divBdr>
    </w:div>
    <w:div w:id="613370842">
      <w:bodyDiv w:val="1"/>
      <w:marLeft w:val="0"/>
      <w:marRight w:val="0"/>
      <w:marTop w:val="0"/>
      <w:marBottom w:val="0"/>
      <w:divBdr>
        <w:top w:val="none" w:sz="0" w:space="0" w:color="auto"/>
        <w:left w:val="none" w:sz="0" w:space="0" w:color="auto"/>
        <w:bottom w:val="none" w:sz="0" w:space="0" w:color="auto"/>
        <w:right w:val="none" w:sz="0" w:space="0" w:color="auto"/>
      </w:divBdr>
    </w:div>
    <w:div w:id="661391737">
      <w:bodyDiv w:val="1"/>
      <w:marLeft w:val="0"/>
      <w:marRight w:val="0"/>
      <w:marTop w:val="0"/>
      <w:marBottom w:val="0"/>
      <w:divBdr>
        <w:top w:val="none" w:sz="0" w:space="0" w:color="auto"/>
        <w:left w:val="none" w:sz="0" w:space="0" w:color="auto"/>
        <w:bottom w:val="none" w:sz="0" w:space="0" w:color="auto"/>
        <w:right w:val="none" w:sz="0" w:space="0" w:color="auto"/>
      </w:divBdr>
    </w:div>
    <w:div w:id="663777500">
      <w:bodyDiv w:val="1"/>
      <w:marLeft w:val="0"/>
      <w:marRight w:val="0"/>
      <w:marTop w:val="0"/>
      <w:marBottom w:val="0"/>
      <w:divBdr>
        <w:top w:val="none" w:sz="0" w:space="0" w:color="auto"/>
        <w:left w:val="none" w:sz="0" w:space="0" w:color="auto"/>
        <w:bottom w:val="none" w:sz="0" w:space="0" w:color="auto"/>
        <w:right w:val="none" w:sz="0" w:space="0" w:color="auto"/>
      </w:divBdr>
      <w:divsChild>
        <w:div w:id="703019673">
          <w:marLeft w:val="0"/>
          <w:marRight w:val="0"/>
          <w:marTop w:val="0"/>
          <w:marBottom w:val="0"/>
          <w:divBdr>
            <w:top w:val="none" w:sz="0" w:space="0" w:color="auto"/>
            <w:left w:val="none" w:sz="0" w:space="0" w:color="auto"/>
            <w:bottom w:val="none" w:sz="0" w:space="0" w:color="auto"/>
            <w:right w:val="none" w:sz="0" w:space="0" w:color="auto"/>
          </w:divBdr>
          <w:divsChild>
            <w:div w:id="137962082">
              <w:marLeft w:val="0"/>
              <w:marRight w:val="0"/>
              <w:marTop w:val="0"/>
              <w:marBottom w:val="0"/>
              <w:divBdr>
                <w:top w:val="none" w:sz="0" w:space="0" w:color="auto"/>
                <w:left w:val="none" w:sz="0" w:space="0" w:color="auto"/>
                <w:bottom w:val="none" w:sz="0" w:space="0" w:color="auto"/>
                <w:right w:val="none" w:sz="0" w:space="0" w:color="auto"/>
              </w:divBdr>
              <w:divsChild>
                <w:div w:id="792091131">
                  <w:marLeft w:val="450"/>
                  <w:marRight w:val="900"/>
                  <w:marTop w:val="450"/>
                  <w:marBottom w:val="450"/>
                  <w:divBdr>
                    <w:top w:val="none" w:sz="0" w:space="0" w:color="auto"/>
                    <w:left w:val="none" w:sz="0" w:space="0" w:color="auto"/>
                    <w:bottom w:val="none" w:sz="0" w:space="0" w:color="auto"/>
                    <w:right w:val="none" w:sz="0" w:space="0" w:color="auto"/>
                  </w:divBdr>
                  <w:divsChild>
                    <w:div w:id="3071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68713">
      <w:bodyDiv w:val="1"/>
      <w:marLeft w:val="0"/>
      <w:marRight w:val="0"/>
      <w:marTop w:val="0"/>
      <w:marBottom w:val="0"/>
      <w:divBdr>
        <w:top w:val="none" w:sz="0" w:space="0" w:color="auto"/>
        <w:left w:val="none" w:sz="0" w:space="0" w:color="auto"/>
        <w:bottom w:val="none" w:sz="0" w:space="0" w:color="auto"/>
        <w:right w:val="none" w:sz="0" w:space="0" w:color="auto"/>
      </w:divBdr>
      <w:divsChild>
        <w:div w:id="1992251711">
          <w:marLeft w:val="0"/>
          <w:marRight w:val="0"/>
          <w:marTop w:val="0"/>
          <w:marBottom w:val="0"/>
          <w:divBdr>
            <w:top w:val="none" w:sz="0" w:space="0" w:color="auto"/>
            <w:left w:val="none" w:sz="0" w:space="0" w:color="auto"/>
            <w:bottom w:val="none" w:sz="0" w:space="0" w:color="auto"/>
            <w:right w:val="none" w:sz="0" w:space="0" w:color="auto"/>
          </w:divBdr>
        </w:div>
        <w:div w:id="1934895702">
          <w:marLeft w:val="0"/>
          <w:marRight w:val="0"/>
          <w:marTop w:val="0"/>
          <w:marBottom w:val="0"/>
          <w:divBdr>
            <w:top w:val="none" w:sz="0" w:space="0" w:color="auto"/>
            <w:left w:val="none" w:sz="0" w:space="0" w:color="auto"/>
            <w:bottom w:val="none" w:sz="0" w:space="0" w:color="auto"/>
            <w:right w:val="none" w:sz="0" w:space="0" w:color="auto"/>
          </w:divBdr>
        </w:div>
      </w:divsChild>
    </w:div>
    <w:div w:id="695161086">
      <w:bodyDiv w:val="1"/>
      <w:marLeft w:val="0"/>
      <w:marRight w:val="0"/>
      <w:marTop w:val="0"/>
      <w:marBottom w:val="0"/>
      <w:divBdr>
        <w:top w:val="none" w:sz="0" w:space="0" w:color="auto"/>
        <w:left w:val="none" w:sz="0" w:space="0" w:color="auto"/>
        <w:bottom w:val="none" w:sz="0" w:space="0" w:color="auto"/>
        <w:right w:val="none" w:sz="0" w:space="0" w:color="auto"/>
      </w:divBdr>
      <w:divsChild>
        <w:div w:id="851727193">
          <w:marLeft w:val="0"/>
          <w:marRight w:val="0"/>
          <w:marTop w:val="0"/>
          <w:marBottom w:val="0"/>
          <w:divBdr>
            <w:top w:val="none" w:sz="0" w:space="0" w:color="auto"/>
            <w:left w:val="none" w:sz="0" w:space="0" w:color="auto"/>
            <w:bottom w:val="none" w:sz="0" w:space="0" w:color="auto"/>
            <w:right w:val="none" w:sz="0" w:space="0" w:color="auto"/>
          </w:divBdr>
        </w:div>
        <w:div w:id="247422153">
          <w:marLeft w:val="0"/>
          <w:marRight w:val="0"/>
          <w:marTop w:val="0"/>
          <w:marBottom w:val="0"/>
          <w:divBdr>
            <w:top w:val="none" w:sz="0" w:space="0" w:color="auto"/>
            <w:left w:val="none" w:sz="0" w:space="0" w:color="auto"/>
            <w:bottom w:val="none" w:sz="0" w:space="0" w:color="auto"/>
            <w:right w:val="none" w:sz="0" w:space="0" w:color="auto"/>
          </w:divBdr>
        </w:div>
      </w:divsChild>
    </w:div>
    <w:div w:id="714624135">
      <w:bodyDiv w:val="1"/>
      <w:marLeft w:val="0"/>
      <w:marRight w:val="0"/>
      <w:marTop w:val="0"/>
      <w:marBottom w:val="0"/>
      <w:divBdr>
        <w:top w:val="none" w:sz="0" w:space="0" w:color="auto"/>
        <w:left w:val="none" w:sz="0" w:space="0" w:color="auto"/>
        <w:bottom w:val="none" w:sz="0" w:space="0" w:color="auto"/>
        <w:right w:val="none" w:sz="0" w:space="0" w:color="auto"/>
      </w:divBdr>
      <w:divsChild>
        <w:div w:id="800464048">
          <w:marLeft w:val="0"/>
          <w:marRight w:val="0"/>
          <w:marTop w:val="0"/>
          <w:marBottom w:val="0"/>
          <w:divBdr>
            <w:top w:val="none" w:sz="0" w:space="0" w:color="auto"/>
            <w:left w:val="none" w:sz="0" w:space="0" w:color="auto"/>
            <w:bottom w:val="none" w:sz="0" w:space="0" w:color="auto"/>
            <w:right w:val="none" w:sz="0" w:space="0" w:color="auto"/>
          </w:divBdr>
        </w:div>
        <w:div w:id="444689773">
          <w:marLeft w:val="0"/>
          <w:marRight w:val="0"/>
          <w:marTop w:val="0"/>
          <w:marBottom w:val="0"/>
          <w:divBdr>
            <w:top w:val="none" w:sz="0" w:space="0" w:color="auto"/>
            <w:left w:val="none" w:sz="0" w:space="0" w:color="auto"/>
            <w:bottom w:val="none" w:sz="0" w:space="0" w:color="auto"/>
            <w:right w:val="none" w:sz="0" w:space="0" w:color="auto"/>
          </w:divBdr>
        </w:div>
        <w:div w:id="403769521">
          <w:marLeft w:val="0"/>
          <w:marRight w:val="0"/>
          <w:marTop w:val="0"/>
          <w:marBottom w:val="0"/>
          <w:divBdr>
            <w:top w:val="none" w:sz="0" w:space="0" w:color="auto"/>
            <w:left w:val="none" w:sz="0" w:space="0" w:color="auto"/>
            <w:bottom w:val="none" w:sz="0" w:space="0" w:color="auto"/>
            <w:right w:val="none" w:sz="0" w:space="0" w:color="auto"/>
          </w:divBdr>
        </w:div>
        <w:div w:id="59642842">
          <w:marLeft w:val="0"/>
          <w:marRight w:val="0"/>
          <w:marTop w:val="0"/>
          <w:marBottom w:val="0"/>
          <w:divBdr>
            <w:top w:val="none" w:sz="0" w:space="0" w:color="auto"/>
            <w:left w:val="none" w:sz="0" w:space="0" w:color="auto"/>
            <w:bottom w:val="none" w:sz="0" w:space="0" w:color="auto"/>
            <w:right w:val="none" w:sz="0" w:space="0" w:color="auto"/>
          </w:divBdr>
        </w:div>
        <w:div w:id="556671786">
          <w:marLeft w:val="0"/>
          <w:marRight w:val="0"/>
          <w:marTop w:val="0"/>
          <w:marBottom w:val="0"/>
          <w:divBdr>
            <w:top w:val="none" w:sz="0" w:space="0" w:color="auto"/>
            <w:left w:val="none" w:sz="0" w:space="0" w:color="auto"/>
            <w:bottom w:val="none" w:sz="0" w:space="0" w:color="auto"/>
            <w:right w:val="none" w:sz="0" w:space="0" w:color="auto"/>
          </w:divBdr>
        </w:div>
        <w:div w:id="562257073">
          <w:marLeft w:val="0"/>
          <w:marRight w:val="0"/>
          <w:marTop w:val="0"/>
          <w:marBottom w:val="0"/>
          <w:divBdr>
            <w:top w:val="none" w:sz="0" w:space="0" w:color="auto"/>
            <w:left w:val="none" w:sz="0" w:space="0" w:color="auto"/>
            <w:bottom w:val="none" w:sz="0" w:space="0" w:color="auto"/>
            <w:right w:val="none" w:sz="0" w:space="0" w:color="auto"/>
          </w:divBdr>
        </w:div>
        <w:div w:id="378432969">
          <w:marLeft w:val="0"/>
          <w:marRight w:val="0"/>
          <w:marTop w:val="0"/>
          <w:marBottom w:val="0"/>
          <w:divBdr>
            <w:top w:val="none" w:sz="0" w:space="0" w:color="auto"/>
            <w:left w:val="none" w:sz="0" w:space="0" w:color="auto"/>
            <w:bottom w:val="none" w:sz="0" w:space="0" w:color="auto"/>
            <w:right w:val="none" w:sz="0" w:space="0" w:color="auto"/>
          </w:divBdr>
        </w:div>
        <w:div w:id="1844970158">
          <w:marLeft w:val="0"/>
          <w:marRight w:val="0"/>
          <w:marTop w:val="0"/>
          <w:marBottom w:val="0"/>
          <w:divBdr>
            <w:top w:val="none" w:sz="0" w:space="0" w:color="auto"/>
            <w:left w:val="none" w:sz="0" w:space="0" w:color="auto"/>
            <w:bottom w:val="none" w:sz="0" w:space="0" w:color="auto"/>
            <w:right w:val="none" w:sz="0" w:space="0" w:color="auto"/>
          </w:divBdr>
        </w:div>
        <w:div w:id="1517766817">
          <w:marLeft w:val="0"/>
          <w:marRight w:val="0"/>
          <w:marTop w:val="0"/>
          <w:marBottom w:val="0"/>
          <w:divBdr>
            <w:top w:val="none" w:sz="0" w:space="0" w:color="auto"/>
            <w:left w:val="none" w:sz="0" w:space="0" w:color="auto"/>
            <w:bottom w:val="none" w:sz="0" w:space="0" w:color="auto"/>
            <w:right w:val="none" w:sz="0" w:space="0" w:color="auto"/>
          </w:divBdr>
        </w:div>
        <w:div w:id="1414474778">
          <w:marLeft w:val="0"/>
          <w:marRight w:val="0"/>
          <w:marTop w:val="0"/>
          <w:marBottom w:val="0"/>
          <w:divBdr>
            <w:top w:val="none" w:sz="0" w:space="0" w:color="auto"/>
            <w:left w:val="none" w:sz="0" w:space="0" w:color="auto"/>
            <w:bottom w:val="none" w:sz="0" w:space="0" w:color="auto"/>
            <w:right w:val="none" w:sz="0" w:space="0" w:color="auto"/>
          </w:divBdr>
        </w:div>
        <w:div w:id="1894465826">
          <w:marLeft w:val="0"/>
          <w:marRight w:val="0"/>
          <w:marTop w:val="0"/>
          <w:marBottom w:val="0"/>
          <w:divBdr>
            <w:top w:val="none" w:sz="0" w:space="0" w:color="auto"/>
            <w:left w:val="none" w:sz="0" w:space="0" w:color="auto"/>
            <w:bottom w:val="none" w:sz="0" w:space="0" w:color="auto"/>
            <w:right w:val="none" w:sz="0" w:space="0" w:color="auto"/>
          </w:divBdr>
        </w:div>
        <w:div w:id="1520461025">
          <w:marLeft w:val="0"/>
          <w:marRight w:val="0"/>
          <w:marTop w:val="0"/>
          <w:marBottom w:val="0"/>
          <w:divBdr>
            <w:top w:val="none" w:sz="0" w:space="0" w:color="auto"/>
            <w:left w:val="none" w:sz="0" w:space="0" w:color="auto"/>
            <w:bottom w:val="none" w:sz="0" w:space="0" w:color="auto"/>
            <w:right w:val="none" w:sz="0" w:space="0" w:color="auto"/>
          </w:divBdr>
        </w:div>
        <w:div w:id="1034770141">
          <w:marLeft w:val="0"/>
          <w:marRight w:val="0"/>
          <w:marTop w:val="0"/>
          <w:marBottom w:val="0"/>
          <w:divBdr>
            <w:top w:val="none" w:sz="0" w:space="0" w:color="auto"/>
            <w:left w:val="none" w:sz="0" w:space="0" w:color="auto"/>
            <w:bottom w:val="none" w:sz="0" w:space="0" w:color="auto"/>
            <w:right w:val="none" w:sz="0" w:space="0" w:color="auto"/>
          </w:divBdr>
        </w:div>
        <w:div w:id="46538420">
          <w:marLeft w:val="0"/>
          <w:marRight w:val="0"/>
          <w:marTop w:val="0"/>
          <w:marBottom w:val="0"/>
          <w:divBdr>
            <w:top w:val="none" w:sz="0" w:space="0" w:color="auto"/>
            <w:left w:val="none" w:sz="0" w:space="0" w:color="auto"/>
            <w:bottom w:val="none" w:sz="0" w:space="0" w:color="auto"/>
            <w:right w:val="none" w:sz="0" w:space="0" w:color="auto"/>
          </w:divBdr>
        </w:div>
        <w:div w:id="1611008662">
          <w:marLeft w:val="0"/>
          <w:marRight w:val="0"/>
          <w:marTop w:val="0"/>
          <w:marBottom w:val="0"/>
          <w:divBdr>
            <w:top w:val="none" w:sz="0" w:space="0" w:color="auto"/>
            <w:left w:val="none" w:sz="0" w:space="0" w:color="auto"/>
            <w:bottom w:val="none" w:sz="0" w:space="0" w:color="auto"/>
            <w:right w:val="none" w:sz="0" w:space="0" w:color="auto"/>
          </w:divBdr>
        </w:div>
        <w:div w:id="448204424">
          <w:marLeft w:val="0"/>
          <w:marRight w:val="0"/>
          <w:marTop w:val="0"/>
          <w:marBottom w:val="0"/>
          <w:divBdr>
            <w:top w:val="none" w:sz="0" w:space="0" w:color="auto"/>
            <w:left w:val="none" w:sz="0" w:space="0" w:color="auto"/>
            <w:bottom w:val="none" w:sz="0" w:space="0" w:color="auto"/>
            <w:right w:val="none" w:sz="0" w:space="0" w:color="auto"/>
          </w:divBdr>
        </w:div>
        <w:div w:id="237904732">
          <w:marLeft w:val="0"/>
          <w:marRight w:val="0"/>
          <w:marTop w:val="0"/>
          <w:marBottom w:val="0"/>
          <w:divBdr>
            <w:top w:val="none" w:sz="0" w:space="0" w:color="auto"/>
            <w:left w:val="none" w:sz="0" w:space="0" w:color="auto"/>
            <w:bottom w:val="none" w:sz="0" w:space="0" w:color="auto"/>
            <w:right w:val="none" w:sz="0" w:space="0" w:color="auto"/>
          </w:divBdr>
        </w:div>
        <w:div w:id="519467576">
          <w:marLeft w:val="0"/>
          <w:marRight w:val="0"/>
          <w:marTop w:val="0"/>
          <w:marBottom w:val="0"/>
          <w:divBdr>
            <w:top w:val="none" w:sz="0" w:space="0" w:color="auto"/>
            <w:left w:val="none" w:sz="0" w:space="0" w:color="auto"/>
            <w:bottom w:val="none" w:sz="0" w:space="0" w:color="auto"/>
            <w:right w:val="none" w:sz="0" w:space="0" w:color="auto"/>
          </w:divBdr>
        </w:div>
        <w:div w:id="1950426392">
          <w:marLeft w:val="0"/>
          <w:marRight w:val="0"/>
          <w:marTop w:val="0"/>
          <w:marBottom w:val="0"/>
          <w:divBdr>
            <w:top w:val="none" w:sz="0" w:space="0" w:color="auto"/>
            <w:left w:val="none" w:sz="0" w:space="0" w:color="auto"/>
            <w:bottom w:val="none" w:sz="0" w:space="0" w:color="auto"/>
            <w:right w:val="none" w:sz="0" w:space="0" w:color="auto"/>
          </w:divBdr>
        </w:div>
      </w:divsChild>
    </w:div>
    <w:div w:id="717314142">
      <w:bodyDiv w:val="1"/>
      <w:marLeft w:val="0"/>
      <w:marRight w:val="0"/>
      <w:marTop w:val="0"/>
      <w:marBottom w:val="0"/>
      <w:divBdr>
        <w:top w:val="none" w:sz="0" w:space="0" w:color="auto"/>
        <w:left w:val="none" w:sz="0" w:space="0" w:color="auto"/>
        <w:bottom w:val="none" w:sz="0" w:space="0" w:color="auto"/>
        <w:right w:val="none" w:sz="0" w:space="0" w:color="auto"/>
      </w:divBdr>
    </w:div>
    <w:div w:id="751044600">
      <w:bodyDiv w:val="1"/>
      <w:marLeft w:val="0"/>
      <w:marRight w:val="0"/>
      <w:marTop w:val="0"/>
      <w:marBottom w:val="0"/>
      <w:divBdr>
        <w:top w:val="none" w:sz="0" w:space="0" w:color="auto"/>
        <w:left w:val="none" w:sz="0" w:space="0" w:color="auto"/>
        <w:bottom w:val="none" w:sz="0" w:space="0" w:color="auto"/>
        <w:right w:val="none" w:sz="0" w:space="0" w:color="auto"/>
      </w:divBdr>
      <w:divsChild>
        <w:div w:id="817921160">
          <w:marLeft w:val="0"/>
          <w:marRight w:val="1"/>
          <w:marTop w:val="0"/>
          <w:marBottom w:val="0"/>
          <w:divBdr>
            <w:top w:val="none" w:sz="0" w:space="0" w:color="auto"/>
            <w:left w:val="none" w:sz="0" w:space="0" w:color="auto"/>
            <w:bottom w:val="none" w:sz="0" w:space="0" w:color="auto"/>
            <w:right w:val="none" w:sz="0" w:space="0" w:color="auto"/>
          </w:divBdr>
          <w:divsChild>
            <w:div w:id="356350052">
              <w:marLeft w:val="0"/>
              <w:marRight w:val="0"/>
              <w:marTop w:val="0"/>
              <w:marBottom w:val="0"/>
              <w:divBdr>
                <w:top w:val="none" w:sz="0" w:space="0" w:color="auto"/>
                <w:left w:val="none" w:sz="0" w:space="0" w:color="auto"/>
                <w:bottom w:val="none" w:sz="0" w:space="0" w:color="auto"/>
                <w:right w:val="none" w:sz="0" w:space="0" w:color="auto"/>
              </w:divBdr>
              <w:divsChild>
                <w:div w:id="199125987">
                  <w:marLeft w:val="0"/>
                  <w:marRight w:val="1"/>
                  <w:marTop w:val="0"/>
                  <w:marBottom w:val="0"/>
                  <w:divBdr>
                    <w:top w:val="none" w:sz="0" w:space="0" w:color="auto"/>
                    <w:left w:val="none" w:sz="0" w:space="0" w:color="auto"/>
                    <w:bottom w:val="none" w:sz="0" w:space="0" w:color="auto"/>
                    <w:right w:val="none" w:sz="0" w:space="0" w:color="auto"/>
                  </w:divBdr>
                  <w:divsChild>
                    <w:div w:id="1101493670">
                      <w:marLeft w:val="0"/>
                      <w:marRight w:val="0"/>
                      <w:marTop w:val="0"/>
                      <w:marBottom w:val="0"/>
                      <w:divBdr>
                        <w:top w:val="none" w:sz="0" w:space="0" w:color="auto"/>
                        <w:left w:val="none" w:sz="0" w:space="0" w:color="auto"/>
                        <w:bottom w:val="none" w:sz="0" w:space="0" w:color="auto"/>
                        <w:right w:val="none" w:sz="0" w:space="0" w:color="auto"/>
                      </w:divBdr>
                      <w:divsChild>
                        <w:div w:id="1907301149">
                          <w:marLeft w:val="0"/>
                          <w:marRight w:val="0"/>
                          <w:marTop w:val="0"/>
                          <w:marBottom w:val="0"/>
                          <w:divBdr>
                            <w:top w:val="none" w:sz="0" w:space="0" w:color="auto"/>
                            <w:left w:val="none" w:sz="0" w:space="0" w:color="auto"/>
                            <w:bottom w:val="none" w:sz="0" w:space="0" w:color="auto"/>
                            <w:right w:val="none" w:sz="0" w:space="0" w:color="auto"/>
                          </w:divBdr>
                          <w:divsChild>
                            <w:div w:id="961233531">
                              <w:marLeft w:val="0"/>
                              <w:marRight w:val="0"/>
                              <w:marTop w:val="120"/>
                              <w:marBottom w:val="360"/>
                              <w:divBdr>
                                <w:top w:val="none" w:sz="0" w:space="0" w:color="auto"/>
                                <w:left w:val="none" w:sz="0" w:space="0" w:color="auto"/>
                                <w:bottom w:val="none" w:sz="0" w:space="0" w:color="auto"/>
                                <w:right w:val="none" w:sz="0" w:space="0" w:color="auto"/>
                              </w:divBdr>
                              <w:divsChild>
                                <w:div w:id="1452550433">
                                  <w:marLeft w:val="0"/>
                                  <w:marRight w:val="0"/>
                                  <w:marTop w:val="0"/>
                                  <w:marBottom w:val="0"/>
                                  <w:divBdr>
                                    <w:top w:val="none" w:sz="0" w:space="0" w:color="auto"/>
                                    <w:left w:val="none" w:sz="0" w:space="0" w:color="auto"/>
                                    <w:bottom w:val="none" w:sz="0" w:space="0" w:color="auto"/>
                                    <w:right w:val="none" w:sz="0" w:space="0" w:color="auto"/>
                                  </w:divBdr>
                                </w:div>
                                <w:div w:id="1888881159">
                                  <w:marLeft w:val="0"/>
                                  <w:marRight w:val="0"/>
                                  <w:marTop w:val="0"/>
                                  <w:marBottom w:val="0"/>
                                  <w:divBdr>
                                    <w:top w:val="none" w:sz="0" w:space="0" w:color="auto"/>
                                    <w:left w:val="none" w:sz="0" w:space="0" w:color="auto"/>
                                    <w:bottom w:val="none" w:sz="0" w:space="0" w:color="auto"/>
                                    <w:right w:val="none" w:sz="0" w:space="0" w:color="auto"/>
                                  </w:divBdr>
                                </w:div>
                                <w:div w:id="244149626">
                                  <w:marLeft w:val="0"/>
                                  <w:marRight w:val="0"/>
                                  <w:marTop w:val="0"/>
                                  <w:marBottom w:val="0"/>
                                  <w:divBdr>
                                    <w:top w:val="none" w:sz="0" w:space="0" w:color="auto"/>
                                    <w:left w:val="none" w:sz="0" w:space="0" w:color="auto"/>
                                    <w:bottom w:val="none" w:sz="0" w:space="0" w:color="auto"/>
                                    <w:right w:val="none" w:sz="0" w:space="0" w:color="auto"/>
                                  </w:divBdr>
                                  <w:divsChild>
                                    <w:div w:id="742486198">
                                      <w:marLeft w:val="0"/>
                                      <w:marRight w:val="0"/>
                                      <w:marTop w:val="0"/>
                                      <w:marBottom w:val="0"/>
                                      <w:divBdr>
                                        <w:top w:val="none" w:sz="0" w:space="0" w:color="auto"/>
                                        <w:left w:val="none" w:sz="0" w:space="0" w:color="auto"/>
                                        <w:bottom w:val="none" w:sz="0" w:space="0" w:color="auto"/>
                                        <w:right w:val="none" w:sz="0" w:space="0" w:color="auto"/>
                                      </w:divBdr>
                                    </w:div>
                                  </w:divsChild>
                                </w:div>
                                <w:div w:id="1104617969">
                                  <w:marLeft w:val="0"/>
                                  <w:marRight w:val="0"/>
                                  <w:marTop w:val="0"/>
                                  <w:marBottom w:val="0"/>
                                  <w:divBdr>
                                    <w:top w:val="none" w:sz="0" w:space="0" w:color="auto"/>
                                    <w:left w:val="none" w:sz="0" w:space="0" w:color="auto"/>
                                    <w:bottom w:val="none" w:sz="0" w:space="0" w:color="auto"/>
                                    <w:right w:val="none" w:sz="0" w:space="0" w:color="auto"/>
                                  </w:divBdr>
                                  <w:divsChild>
                                    <w:div w:id="2969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6728">
      <w:bodyDiv w:val="1"/>
      <w:marLeft w:val="0"/>
      <w:marRight w:val="0"/>
      <w:marTop w:val="0"/>
      <w:marBottom w:val="0"/>
      <w:divBdr>
        <w:top w:val="none" w:sz="0" w:space="0" w:color="auto"/>
        <w:left w:val="none" w:sz="0" w:space="0" w:color="auto"/>
        <w:bottom w:val="none" w:sz="0" w:space="0" w:color="auto"/>
        <w:right w:val="none" w:sz="0" w:space="0" w:color="auto"/>
      </w:divBdr>
    </w:div>
    <w:div w:id="773400784">
      <w:bodyDiv w:val="1"/>
      <w:marLeft w:val="0"/>
      <w:marRight w:val="0"/>
      <w:marTop w:val="0"/>
      <w:marBottom w:val="0"/>
      <w:divBdr>
        <w:top w:val="none" w:sz="0" w:space="0" w:color="auto"/>
        <w:left w:val="none" w:sz="0" w:space="0" w:color="auto"/>
        <w:bottom w:val="none" w:sz="0" w:space="0" w:color="auto"/>
        <w:right w:val="none" w:sz="0" w:space="0" w:color="auto"/>
      </w:divBdr>
      <w:divsChild>
        <w:div w:id="1310789160">
          <w:marLeft w:val="0"/>
          <w:marRight w:val="0"/>
          <w:marTop w:val="0"/>
          <w:marBottom w:val="0"/>
          <w:divBdr>
            <w:top w:val="none" w:sz="0" w:space="0" w:color="auto"/>
            <w:left w:val="none" w:sz="0" w:space="0" w:color="auto"/>
            <w:bottom w:val="none" w:sz="0" w:space="0" w:color="auto"/>
            <w:right w:val="none" w:sz="0" w:space="0" w:color="auto"/>
          </w:divBdr>
          <w:divsChild>
            <w:div w:id="1392733944">
              <w:marLeft w:val="0"/>
              <w:marRight w:val="0"/>
              <w:marTop w:val="0"/>
              <w:marBottom w:val="0"/>
              <w:divBdr>
                <w:top w:val="none" w:sz="0" w:space="0" w:color="auto"/>
                <w:left w:val="none" w:sz="0" w:space="0" w:color="auto"/>
                <w:bottom w:val="none" w:sz="0" w:space="0" w:color="auto"/>
                <w:right w:val="none" w:sz="0" w:space="0" w:color="auto"/>
              </w:divBdr>
              <w:divsChild>
                <w:div w:id="1397630660">
                  <w:marLeft w:val="450"/>
                  <w:marRight w:val="900"/>
                  <w:marTop w:val="450"/>
                  <w:marBottom w:val="450"/>
                  <w:divBdr>
                    <w:top w:val="none" w:sz="0" w:space="0" w:color="auto"/>
                    <w:left w:val="none" w:sz="0" w:space="0" w:color="auto"/>
                    <w:bottom w:val="none" w:sz="0" w:space="0" w:color="auto"/>
                    <w:right w:val="none" w:sz="0" w:space="0" w:color="auto"/>
                  </w:divBdr>
                  <w:divsChild>
                    <w:div w:id="588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6501">
      <w:bodyDiv w:val="1"/>
      <w:marLeft w:val="0"/>
      <w:marRight w:val="0"/>
      <w:marTop w:val="0"/>
      <w:marBottom w:val="0"/>
      <w:divBdr>
        <w:top w:val="none" w:sz="0" w:space="0" w:color="auto"/>
        <w:left w:val="none" w:sz="0" w:space="0" w:color="auto"/>
        <w:bottom w:val="none" w:sz="0" w:space="0" w:color="auto"/>
        <w:right w:val="none" w:sz="0" w:space="0" w:color="auto"/>
      </w:divBdr>
    </w:div>
    <w:div w:id="924340323">
      <w:bodyDiv w:val="1"/>
      <w:marLeft w:val="0"/>
      <w:marRight w:val="0"/>
      <w:marTop w:val="0"/>
      <w:marBottom w:val="0"/>
      <w:divBdr>
        <w:top w:val="none" w:sz="0" w:space="0" w:color="auto"/>
        <w:left w:val="none" w:sz="0" w:space="0" w:color="auto"/>
        <w:bottom w:val="none" w:sz="0" w:space="0" w:color="auto"/>
        <w:right w:val="none" w:sz="0" w:space="0" w:color="auto"/>
      </w:divBdr>
    </w:div>
    <w:div w:id="1033117003">
      <w:bodyDiv w:val="1"/>
      <w:marLeft w:val="0"/>
      <w:marRight w:val="0"/>
      <w:marTop w:val="0"/>
      <w:marBottom w:val="0"/>
      <w:divBdr>
        <w:top w:val="none" w:sz="0" w:space="0" w:color="auto"/>
        <w:left w:val="none" w:sz="0" w:space="0" w:color="auto"/>
        <w:bottom w:val="none" w:sz="0" w:space="0" w:color="auto"/>
        <w:right w:val="none" w:sz="0" w:space="0" w:color="auto"/>
      </w:divBdr>
    </w:div>
    <w:div w:id="1033918280">
      <w:bodyDiv w:val="1"/>
      <w:marLeft w:val="0"/>
      <w:marRight w:val="0"/>
      <w:marTop w:val="0"/>
      <w:marBottom w:val="0"/>
      <w:divBdr>
        <w:top w:val="none" w:sz="0" w:space="0" w:color="auto"/>
        <w:left w:val="none" w:sz="0" w:space="0" w:color="auto"/>
        <w:bottom w:val="none" w:sz="0" w:space="0" w:color="auto"/>
        <w:right w:val="none" w:sz="0" w:space="0" w:color="auto"/>
      </w:divBdr>
      <w:divsChild>
        <w:div w:id="2108112806">
          <w:marLeft w:val="0"/>
          <w:marRight w:val="0"/>
          <w:marTop w:val="0"/>
          <w:marBottom w:val="0"/>
          <w:divBdr>
            <w:top w:val="none" w:sz="0" w:space="0" w:color="auto"/>
            <w:left w:val="none" w:sz="0" w:space="0" w:color="auto"/>
            <w:bottom w:val="none" w:sz="0" w:space="0" w:color="auto"/>
            <w:right w:val="none" w:sz="0" w:space="0" w:color="auto"/>
          </w:divBdr>
        </w:div>
        <w:div w:id="1797522088">
          <w:marLeft w:val="0"/>
          <w:marRight w:val="0"/>
          <w:marTop w:val="0"/>
          <w:marBottom w:val="0"/>
          <w:divBdr>
            <w:top w:val="none" w:sz="0" w:space="0" w:color="auto"/>
            <w:left w:val="none" w:sz="0" w:space="0" w:color="auto"/>
            <w:bottom w:val="none" w:sz="0" w:space="0" w:color="auto"/>
            <w:right w:val="none" w:sz="0" w:space="0" w:color="auto"/>
          </w:divBdr>
        </w:div>
        <w:div w:id="1591502054">
          <w:marLeft w:val="0"/>
          <w:marRight w:val="0"/>
          <w:marTop w:val="0"/>
          <w:marBottom w:val="0"/>
          <w:divBdr>
            <w:top w:val="none" w:sz="0" w:space="0" w:color="auto"/>
            <w:left w:val="none" w:sz="0" w:space="0" w:color="auto"/>
            <w:bottom w:val="none" w:sz="0" w:space="0" w:color="auto"/>
            <w:right w:val="none" w:sz="0" w:space="0" w:color="auto"/>
          </w:divBdr>
        </w:div>
        <w:div w:id="1680429594">
          <w:marLeft w:val="0"/>
          <w:marRight w:val="0"/>
          <w:marTop w:val="0"/>
          <w:marBottom w:val="0"/>
          <w:divBdr>
            <w:top w:val="none" w:sz="0" w:space="0" w:color="auto"/>
            <w:left w:val="none" w:sz="0" w:space="0" w:color="auto"/>
            <w:bottom w:val="none" w:sz="0" w:space="0" w:color="auto"/>
            <w:right w:val="none" w:sz="0" w:space="0" w:color="auto"/>
          </w:divBdr>
        </w:div>
      </w:divsChild>
    </w:div>
    <w:div w:id="1103458861">
      <w:bodyDiv w:val="1"/>
      <w:marLeft w:val="0"/>
      <w:marRight w:val="0"/>
      <w:marTop w:val="0"/>
      <w:marBottom w:val="0"/>
      <w:divBdr>
        <w:top w:val="none" w:sz="0" w:space="0" w:color="auto"/>
        <w:left w:val="none" w:sz="0" w:space="0" w:color="auto"/>
        <w:bottom w:val="none" w:sz="0" w:space="0" w:color="auto"/>
        <w:right w:val="none" w:sz="0" w:space="0" w:color="auto"/>
      </w:divBdr>
      <w:divsChild>
        <w:div w:id="862522589">
          <w:marLeft w:val="0"/>
          <w:marRight w:val="0"/>
          <w:marTop w:val="0"/>
          <w:marBottom w:val="0"/>
          <w:divBdr>
            <w:top w:val="none" w:sz="0" w:space="0" w:color="auto"/>
            <w:left w:val="none" w:sz="0" w:space="0" w:color="auto"/>
            <w:bottom w:val="none" w:sz="0" w:space="0" w:color="auto"/>
            <w:right w:val="none" w:sz="0" w:space="0" w:color="auto"/>
          </w:divBdr>
        </w:div>
        <w:div w:id="2146192171">
          <w:marLeft w:val="0"/>
          <w:marRight w:val="0"/>
          <w:marTop w:val="0"/>
          <w:marBottom w:val="0"/>
          <w:divBdr>
            <w:top w:val="none" w:sz="0" w:space="0" w:color="auto"/>
            <w:left w:val="none" w:sz="0" w:space="0" w:color="auto"/>
            <w:bottom w:val="none" w:sz="0" w:space="0" w:color="auto"/>
            <w:right w:val="none" w:sz="0" w:space="0" w:color="auto"/>
          </w:divBdr>
        </w:div>
        <w:div w:id="1036196663">
          <w:marLeft w:val="0"/>
          <w:marRight w:val="0"/>
          <w:marTop w:val="0"/>
          <w:marBottom w:val="0"/>
          <w:divBdr>
            <w:top w:val="none" w:sz="0" w:space="0" w:color="auto"/>
            <w:left w:val="none" w:sz="0" w:space="0" w:color="auto"/>
            <w:bottom w:val="none" w:sz="0" w:space="0" w:color="auto"/>
            <w:right w:val="none" w:sz="0" w:space="0" w:color="auto"/>
          </w:divBdr>
        </w:div>
        <w:div w:id="361328803">
          <w:marLeft w:val="0"/>
          <w:marRight w:val="0"/>
          <w:marTop w:val="0"/>
          <w:marBottom w:val="0"/>
          <w:divBdr>
            <w:top w:val="none" w:sz="0" w:space="0" w:color="auto"/>
            <w:left w:val="none" w:sz="0" w:space="0" w:color="auto"/>
            <w:bottom w:val="none" w:sz="0" w:space="0" w:color="auto"/>
            <w:right w:val="none" w:sz="0" w:space="0" w:color="auto"/>
          </w:divBdr>
        </w:div>
        <w:div w:id="901716089">
          <w:marLeft w:val="0"/>
          <w:marRight w:val="0"/>
          <w:marTop w:val="0"/>
          <w:marBottom w:val="0"/>
          <w:divBdr>
            <w:top w:val="none" w:sz="0" w:space="0" w:color="auto"/>
            <w:left w:val="none" w:sz="0" w:space="0" w:color="auto"/>
            <w:bottom w:val="none" w:sz="0" w:space="0" w:color="auto"/>
            <w:right w:val="none" w:sz="0" w:space="0" w:color="auto"/>
          </w:divBdr>
        </w:div>
        <w:div w:id="2010518626">
          <w:marLeft w:val="0"/>
          <w:marRight w:val="0"/>
          <w:marTop w:val="0"/>
          <w:marBottom w:val="0"/>
          <w:divBdr>
            <w:top w:val="none" w:sz="0" w:space="0" w:color="auto"/>
            <w:left w:val="none" w:sz="0" w:space="0" w:color="auto"/>
            <w:bottom w:val="none" w:sz="0" w:space="0" w:color="auto"/>
            <w:right w:val="none" w:sz="0" w:space="0" w:color="auto"/>
          </w:divBdr>
        </w:div>
        <w:div w:id="2142963955">
          <w:marLeft w:val="0"/>
          <w:marRight w:val="0"/>
          <w:marTop w:val="0"/>
          <w:marBottom w:val="0"/>
          <w:divBdr>
            <w:top w:val="none" w:sz="0" w:space="0" w:color="auto"/>
            <w:left w:val="none" w:sz="0" w:space="0" w:color="auto"/>
            <w:bottom w:val="none" w:sz="0" w:space="0" w:color="auto"/>
            <w:right w:val="none" w:sz="0" w:space="0" w:color="auto"/>
          </w:divBdr>
        </w:div>
        <w:div w:id="1874221048">
          <w:marLeft w:val="0"/>
          <w:marRight w:val="0"/>
          <w:marTop w:val="0"/>
          <w:marBottom w:val="0"/>
          <w:divBdr>
            <w:top w:val="none" w:sz="0" w:space="0" w:color="auto"/>
            <w:left w:val="none" w:sz="0" w:space="0" w:color="auto"/>
            <w:bottom w:val="none" w:sz="0" w:space="0" w:color="auto"/>
            <w:right w:val="none" w:sz="0" w:space="0" w:color="auto"/>
          </w:divBdr>
        </w:div>
        <w:div w:id="1706325256">
          <w:marLeft w:val="0"/>
          <w:marRight w:val="0"/>
          <w:marTop w:val="0"/>
          <w:marBottom w:val="0"/>
          <w:divBdr>
            <w:top w:val="none" w:sz="0" w:space="0" w:color="auto"/>
            <w:left w:val="none" w:sz="0" w:space="0" w:color="auto"/>
            <w:bottom w:val="none" w:sz="0" w:space="0" w:color="auto"/>
            <w:right w:val="none" w:sz="0" w:space="0" w:color="auto"/>
          </w:divBdr>
        </w:div>
        <w:div w:id="1408572916">
          <w:marLeft w:val="0"/>
          <w:marRight w:val="0"/>
          <w:marTop w:val="0"/>
          <w:marBottom w:val="0"/>
          <w:divBdr>
            <w:top w:val="none" w:sz="0" w:space="0" w:color="auto"/>
            <w:left w:val="none" w:sz="0" w:space="0" w:color="auto"/>
            <w:bottom w:val="none" w:sz="0" w:space="0" w:color="auto"/>
            <w:right w:val="none" w:sz="0" w:space="0" w:color="auto"/>
          </w:divBdr>
        </w:div>
        <w:div w:id="999230766">
          <w:marLeft w:val="0"/>
          <w:marRight w:val="0"/>
          <w:marTop w:val="0"/>
          <w:marBottom w:val="0"/>
          <w:divBdr>
            <w:top w:val="none" w:sz="0" w:space="0" w:color="auto"/>
            <w:left w:val="none" w:sz="0" w:space="0" w:color="auto"/>
            <w:bottom w:val="none" w:sz="0" w:space="0" w:color="auto"/>
            <w:right w:val="none" w:sz="0" w:space="0" w:color="auto"/>
          </w:divBdr>
        </w:div>
        <w:div w:id="942764753">
          <w:marLeft w:val="0"/>
          <w:marRight w:val="0"/>
          <w:marTop w:val="0"/>
          <w:marBottom w:val="0"/>
          <w:divBdr>
            <w:top w:val="none" w:sz="0" w:space="0" w:color="auto"/>
            <w:left w:val="none" w:sz="0" w:space="0" w:color="auto"/>
            <w:bottom w:val="none" w:sz="0" w:space="0" w:color="auto"/>
            <w:right w:val="none" w:sz="0" w:space="0" w:color="auto"/>
          </w:divBdr>
        </w:div>
        <w:div w:id="1578321282">
          <w:marLeft w:val="0"/>
          <w:marRight w:val="0"/>
          <w:marTop w:val="0"/>
          <w:marBottom w:val="0"/>
          <w:divBdr>
            <w:top w:val="none" w:sz="0" w:space="0" w:color="auto"/>
            <w:left w:val="none" w:sz="0" w:space="0" w:color="auto"/>
            <w:bottom w:val="none" w:sz="0" w:space="0" w:color="auto"/>
            <w:right w:val="none" w:sz="0" w:space="0" w:color="auto"/>
          </w:divBdr>
        </w:div>
        <w:div w:id="430395088">
          <w:marLeft w:val="0"/>
          <w:marRight w:val="0"/>
          <w:marTop w:val="0"/>
          <w:marBottom w:val="0"/>
          <w:divBdr>
            <w:top w:val="none" w:sz="0" w:space="0" w:color="auto"/>
            <w:left w:val="none" w:sz="0" w:space="0" w:color="auto"/>
            <w:bottom w:val="none" w:sz="0" w:space="0" w:color="auto"/>
            <w:right w:val="none" w:sz="0" w:space="0" w:color="auto"/>
          </w:divBdr>
        </w:div>
        <w:div w:id="271279523">
          <w:marLeft w:val="0"/>
          <w:marRight w:val="0"/>
          <w:marTop w:val="0"/>
          <w:marBottom w:val="0"/>
          <w:divBdr>
            <w:top w:val="none" w:sz="0" w:space="0" w:color="auto"/>
            <w:left w:val="none" w:sz="0" w:space="0" w:color="auto"/>
            <w:bottom w:val="none" w:sz="0" w:space="0" w:color="auto"/>
            <w:right w:val="none" w:sz="0" w:space="0" w:color="auto"/>
          </w:divBdr>
        </w:div>
        <w:div w:id="867832574">
          <w:marLeft w:val="0"/>
          <w:marRight w:val="0"/>
          <w:marTop w:val="0"/>
          <w:marBottom w:val="0"/>
          <w:divBdr>
            <w:top w:val="none" w:sz="0" w:space="0" w:color="auto"/>
            <w:left w:val="none" w:sz="0" w:space="0" w:color="auto"/>
            <w:bottom w:val="none" w:sz="0" w:space="0" w:color="auto"/>
            <w:right w:val="none" w:sz="0" w:space="0" w:color="auto"/>
          </w:divBdr>
        </w:div>
        <w:div w:id="680744939">
          <w:marLeft w:val="0"/>
          <w:marRight w:val="0"/>
          <w:marTop w:val="0"/>
          <w:marBottom w:val="0"/>
          <w:divBdr>
            <w:top w:val="none" w:sz="0" w:space="0" w:color="auto"/>
            <w:left w:val="none" w:sz="0" w:space="0" w:color="auto"/>
            <w:bottom w:val="none" w:sz="0" w:space="0" w:color="auto"/>
            <w:right w:val="none" w:sz="0" w:space="0" w:color="auto"/>
          </w:divBdr>
        </w:div>
        <w:div w:id="2055229907">
          <w:marLeft w:val="0"/>
          <w:marRight w:val="0"/>
          <w:marTop w:val="0"/>
          <w:marBottom w:val="0"/>
          <w:divBdr>
            <w:top w:val="none" w:sz="0" w:space="0" w:color="auto"/>
            <w:left w:val="none" w:sz="0" w:space="0" w:color="auto"/>
            <w:bottom w:val="none" w:sz="0" w:space="0" w:color="auto"/>
            <w:right w:val="none" w:sz="0" w:space="0" w:color="auto"/>
          </w:divBdr>
        </w:div>
        <w:div w:id="915553637">
          <w:marLeft w:val="0"/>
          <w:marRight w:val="0"/>
          <w:marTop w:val="0"/>
          <w:marBottom w:val="0"/>
          <w:divBdr>
            <w:top w:val="none" w:sz="0" w:space="0" w:color="auto"/>
            <w:left w:val="none" w:sz="0" w:space="0" w:color="auto"/>
            <w:bottom w:val="none" w:sz="0" w:space="0" w:color="auto"/>
            <w:right w:val="none" w:sz="0" w:space="0" w:color="auto"/>
          </w:divBdr>
        </w:div>
        <w:div w:id="1422215937">
          <w:marLeft w:val="0"/>
          <w:marRight w:val="0"/>
          <w:marTop w:val="0"/>
          <w:marBottom w:val="0"/>
          <w:divBdr>
            <w:top w:val="none" w:sz="0" w:space="0" w:color="auto"/>
            <w:left w:val="none" w:sz="0" w:space="0" w:color="auto"/>
            <w:bottom w:val="none" w:sz="0" w:space="0" w:color="auto"/>
            <w:right w:val="none" w:sz="0" w:space="0" w:color="auto"/>
          </w:divBdr>
        </w:div>
        <w:div w:id="290283596">
          <w:marLeft w:val="0"/>
          <w:marRight w:val="0"/>
          <w:marTop w:val="0"/>
          <w:marBottom w:val="0"/>
          <w:divBdr>
            <w:top w:val="none" w:sz="0" w:space="0" w:color="auto"/>
            <w:left w:val="none" w:sz="0" w:space="0" w:color="auto"/>
            <w:bottom w:val="none" w:sz="0" w:space="0" w:color="auto"/>
            <w:right w:val="none" w:sz="0" w:space="0" w:color="auto"/>
          </w:divBdr>
        </w:div>
        <w:div w:id="1905293761">
          <w:marLeft w:val="0"/>
          <w:marRight w:val="0"/>
          <w:marTop w:val="0"/>
          <w:marBottom w:val="0"/>
          <w:divBdr>
            <w:top w:val="none" w:sz="0" w:space="0" w:color="auto"/>
            <w:left w:val="none" w:sz="0" w:space="0" w:color="auto"/>
            <w:bottom w:val="none" w:sz="0" w:space="0" w:color="auto"/>
            <w:right w:val="none" w:sz="0" w:space="0" w:color="auto"/>
          </w:divBdr>
        </w:div>
        <w:div w:id="263535578">
          <w:marLeft w:val="0"/>
          <w:marRight w:val="0"/>
          <w:marTop w:val="0"/>
          <w:marBottom w:val="0"/>
          <w:divBdr>
            <w:top w:val="none" w:sz="0" w:space="0" w:color="auto"/>
            <w:left w:val="none" w:sz="0" w:space="0" w:color="auto"/>
            <w:bottom w:val="none" w:sz="0" w:space="0" w:color="auto"/>
            <w:right w:val="none" w:sz="0" w:space="0" w:color="auto"/>
          </w:divBdr>
        </w:div>
      </w:divsChild>
    </w:div>
    <w:div w:id="1156989324">
      <w:bodyDiv w:val="1"/>
      <w:marLeft w:val="0"/>
      <w:marRight w:val="0"/>
      <w:marTop w:val="0"/>
      <w:marBottom w:val="0"/>
      <w:divBdr>
        <w:top w:val="none" w:sz="0" w:space="0" w:color="auto"/>
        <w:left w:val="none" w:sz="0" w:space="0" w:color="auto"/>
        <w:bottom w:val="none" w:sz="0" w:space="0" w:color="auto"/>
        <w:right w:val="none" w:sz="0" w:space="0" w:color="auto"/>
      </w:divBdr>
      <w:divsChild>
        <w:div w:id="1995452315">
          <w:marLeft w:val="0"/>
          <w:marRight w:val="0"/>
          <w:marTop w:val="0"/>
          <w:marBottom w:val="0"/>
          <w:divBdr>
            <w:top w:val="none" w:sz="0" w:space="0" w:color="auto"/>
            <w:left w:val="none" w:sz="0" w:space="0" w:color="auto"/>
            <w:bottom w:val="none" w:sz="0" w:space="0" w:color="auto"/>
            <w:right w:val="none" w:sz="0" w:space="0" w:color="auto"/>
          </w:divBdr>
          <w:divsChild>
            <w:div w:id="41056129">
              <w:marLeft w:val="0"/>
              <w:marRight w:val="0"/>
              <w:marTop w:val="0"/>
              <w:marBottom w:val="0"/>
              <w:divBdr>
                <w:top w:val="none" w:sz="0" w:space="0" w:color="auto"/>
                <w:left w:val="none" w:sz="0" w:space="0" w:color="auto"/>
                <w:bottom w:val="none" w:sz="0" w:space="0" w:color="auto"/>
                <w:right w:val="none" w:sz="0" w:space="0" w:color="auto"/>
              </w:divBdr>
            </w:div>
            <w:div w:id="1165172316">
              <w:marLeft w:val="0"/>
              <w:marRight w:val="0"/>
              <w:marTop w:val="0"/>
              <w:marBottom w:val="0"/>
              <w:divBdr>
                <w:top w:val="none" w:sz="0" w:space="0" w:color="auto"/>
                <w:left w:val="none" w:sz="0" w:space="0" w:color="auto"/>
                <w:bottom w:val="none" w:sz="0" w:space="0" w:color="auto"/>
                <w:right w:val="none" w:sz="0" w:space="0" w:color="auto"/>
              </w:divBdr>
            </w:div>
            <w:div w:id="1290016263">
              <w:marLeft w:val="0"/>
              <w:marRight w:val="0"/>
              <w:marTop w:val="0"/>
              <w:marBottom w:val="0"/>
              <w:divBdr>
                <w:top w:val="none" w:sz="0" w:space="0" w:color="auto"/>
                <w:left w:val="none" w:sz="0" w:space="0" w:color="auto"/>
                <w:bottom w:val="none" w:sz="0" w:space="0" w:color="auto"/>
                <w:right w:val="none" w:sz="0" w:space="0" w:color="auto"/>
              </w:divBdr>
            </w:div>
            <w:div w:id="148444679">
              <w:marLeft w:val="0"/>
              <w:marRight w:val="0"/>
              <w:marTop w:val="0"/>
              <w:marBottom w:val="0"/>
              <w:divBdr>
                <w:top w:val="none" w:sz="0" w:space="0" w:color="auto"/>
                <w:left w:val="none" w:sz="0" w:space="0" w:color="auto"/>
                <w:bottom w:val="none" w:sz="0" w:space="0" w:color="auto"/>
                <w:right w:val="none" w:sz="0" w:space="0" w:color="auto"/>
              </w:divBdr>
            </w:div>
            <w:div w:id="438332868">
              <w:marLeft w:val="0"/>
              <w:marRight w:val="0"/>
              <w:marTop w:val="0"/>
              <w:marBottom w:val="0"/>
              <w:divBdr>
                <w:top w:val="none" w:sz="0" w:space="0" w:color="auto"/>
                <w:left w:val="none" w:sz="0" w:space="0" w:color="auto"/>
                <w:bottom w:val="none" w:sz="0" w:space="0" w:color="auto"/>
                <w:right w:val="none" w:sz="0" w:space="0" w:color="auto"/>
              </w:divBdr>
            </w:div>
            <w:div w:id="362442989">
              <w:marLeft w:val="0"/>
              <w:marRight w:val="0"/>
              <w:marTop w:val="0"/>
              <w:marBottom w:val="0"/>
              <w:divBdr>
                <w:top w:val="none" w:sz="0" w:space="0" w:color="auto"/>
                <w:left w:val="none" w:sz="0" w:space="0" w:color="auto"/>
                <w:bottom w:val="none" w:sz="0" w:space="0" w:color="auto"/>
                <w:right w:val="none" w:sz="0" w:space="0" w:color="auto"/>
              </w:divBdr>
            </w:div>
            <w:div w:id="1606576411">
              <w:marLeft w:val="0"/>
              <w:marRight w:val="0"/>
              <w:marTop w:val="0"/>
              <w:marBottom w:val="0"/>
              <w:divBdr>
                <w:top w:val="none" w:sz="0" w:space="0" w:color="auto"/>
                <w:left w:val="none" w:sz="0" w:space="0" w:color="auto"/>
                <w:bottom w:val="none" w:sz="0" w:space="0" w:color="auto"/>
                <w:right w:val="none" w:sz="0" w:space="0" w:color="auto"/>
              </w:divBdr>
            </w:div>
            <w:div w:id="1601060136">
              <w:marLeft w:val="0"/>
              <w:marRight w:val="0"/>
              <w:marTop w:val="0"/>
              <w:marBottom w:val="0"/>
              <w:divBdr>
                <w:top w:val="none" w:sz="0" w:space="0" w:color="auto"/>
                <w:left w:val="none" w:sz="0" w:space="0" w:color="auto"/>
                <w:bottom w:val="none" w:sz="0" w:space="0" w:color="auto"/>
                <w:right w:val="none" w:sz="0" w:space="0" w:color="auto"/>
              </w:divBdr>
            </w:div>
            <w:div w:id="1065645270">
              <w:marLeft w:val="0"/>
              <w:marRight w:val="0"/>
              <w:marTop w:val="0"/>
              <w:marBottom w:val="0"/>
              <w:divBdr>
                <w:top w:val="none" w:sz="0" w:space="0" w:color="auto"/>
                <w:left w:val="none" w:sz="0" w:space="0" w:color="auto"/>
                <w:bottom w:val="none" w:sz="0" w:space="0" w:color="auto"/>
                <w:right w:val="none" w:sz="0" w:space="0" w:color="auto"/>
              </w:divBdr>
            </w:div>
            <w:div w:id="1540240734">
              <w:marLeft w:val="0"/>
              <w:marRight w:val="0"/>
              <w:marTop w:val="0"/>
              <w:marBottom w:val="0"/>
              <w:divBdr>
                <w:top w:val="none" w:sz="0" w:space="0" w:color="auto"/>
                <w:left w:val="none" w:sz="0" w:space="0" w:color="auto"/>
                <w:bottom w:val="none" w:sz="0" w:space="0" w:color="auto"/>
                <w:right w:val="none" w:sz="0" w:space="0" w:color="auto"/>
              </w:divBdr>
            </w:div>
            <w:div w:id="1694453221">
              <w:marLeft w:val="0"/>
              <w:marRight w:val="0"/>
              <w:marTop w:val="0"/>
              <w:marBottom w:val="0"/>
              <w:divBdr>
                <w:top w:val="none" w:sz="0" w:space="0" w:color="auto"/>
                <w:left w:val="none" w:sz="0" w:space="0" w:color="auto"/>
                <w:bottom w:val="none" w:sz="0" w:space="0" w:color="auto"/>
                <w:right w:val="none" w:sz="0" w:space="0" w:color="auto"/>
              </w:divBdr>
            </w:div>
            <w:div w:id="1726220387">
              <w:marLeft w:val="0"/>
              <w:marRight w:val="0"/>
              <w:marTop w:val="0"/>
              <w:marBottom w:val="0"/>
              <w:divBdr>
                <w:top w:val="none" w:sz="0" w:space="0" w:color="auto"/>
                <w:left w:val="none" w:sz="0" w:space="0" w:color="auto"/>
                <w:bottom w:val="none" w:sz="0" w:space="0" w:color="auto"/>
                <w:right w:val="none" w:sz="0" w:space="0" w:color="auto"/>
              </w:divBdr>
            </w:div>
            <w:div w:id="1496916494">
              <w:marLeft w:val="0"/>
              <w:marRight w:val="0"/>
              <w:marTop w:val="0"/>
              <w:marBottom w:val="0"/>
              <w:divBdr>
                <w:top w:val="none" w:sz="0" w:space="0" w:color="auto"/>
                <w:left w:val="none" w:sz="0" w:space="0" w:color="auto"/>
                <w:bottom w:val="none" w:sz="0" w:space="0" w:color="auto"/>
                <w:right w:val="none" w:sz="0" w:space="0" w:color="auto"/>
              </w:divBdr>
            </w:div>
            <w:div w:id="392970100">
              <w:marLeft w:val="0"/>
              <w:marRight w:val="0"/>
              <w:marTop w:val="0"/>
              <w:marBottom w:val="0"/>
              <w:divBdr>
                <w:top w:val="none" w:sz="0" w:space="0" w:color="auto"/>
                <w:left w:val="none" w:sz="0" w:space="0" w:color="auto"/>
                <w:bottom w:val="none" w:sz="0" w:space="0" w:color="auto"/>
                <w:right w:val="none" w:sz="0" w:space="0" w:color="auto"/>
              </w:divBdr>
            </w:div>
            <w:div w:id="1851676772">
              <w:marLeft w:val="0"/>
              <w:marRight w:val="0"/>
              <w:marTop w:val="0"/>
              <w:marBottom w:val="0"/>
              <w:divBdr>
                <w:top w:val="none" w:sz="0" w:space="0" w:color="auto"/>
                <w:left w:val="none" w:sz="0" w:space="0" w:color="auto"/>
                <w:bottom w:val="none" w:sz="0" w:space="0" w:color="auto"/>
                <w:right w:val="none" w:sz="0" w:space="0" w:color="auto"/>
              </w:divBdr>
            </w:div>
            <w:div w:id="346636908">
              <w:marLeft w:val="0"/>
              <w:marRight w:val="0"/>
              <w:marTop w:val="0"/>
              <w:marBottom w:val="0"/>
              <w:divBdr>
                <w:top w:val="none" w:sz="0" w:space="0" w:color="auto"/>
                <w:left w:val="none" w:sz="0" w:space="0" w:color="auto"/>
                <w:bottom w:val="none" w:sz="0" w:space="0" w:color="auto"/>
                <w:right w:val="none" w:sz="0" w:space="0" w:color="auto"/>
              </w:divBdr>
            </w:div>
            <w:div w:id="1369797752">
              <w:marLeft w:val="0"/>
              <w:marRight w:val="0"/>
              <w:marTop w:val="0"/>
              <w:marBottom w:val="0"/>
              <w:divBdr>
                <w:top w:val="none" w:sz="0" w:space="0" w:color="auto"/>
                <w:left w:val="none" w:sz="0" w:space="0" w:color="auto"/>
                <w:bottom w:val="none" w:sz="0" w:space="0" w:color="auto"/>
                <w:right w:val="none" w:sz="0" w:space="0" w:color="auto"/>
              </w:divBdr>
            </w:div>
            <w:div w:id="1104769217">
              <w:marLeft w:val="0"/>
              <w:marRight w:val="0"/>
              <w:marTop w:val="0"/>
              <w:marBottom w:val="0"/>
              <w:divBdr>
                <w:top w:val="none" w:sz="0" w:space="0" w:color="auto"/>
                <w:left w:val="none" w:sz="0" w:space="0" w:color="auto"/>
                <w:bottom w:val="none" w:sz="0" w:space="0" w:color="auto"/>
                <w:right w:val="none" w:sz="0" w:space="0" w:color="auto"/>
              </w:divBdr>
            </w:div>
            <w:div w:id="953828950">
              <w:marLeft w:val="0"/>
              <w:marRight w:val="0"/>
              <w:marTop w:val="0"/>
              <w:marBottom w:val="0"/>
              <w:divBdr>
                <w:top w:val="none" w:sz="0" w:space="0" w:color="auto"/>
                <w:left w:val="none" w:sz="0" w:space="0" w:color="auto"/>
                <w:bottom w:val="none" w:sz="0" w:space="0" w:color="auto"/>
                <w:right w:val="none" w:sz="0" w:space="0" w:color="auto"/>
              </w:divBdr>
            </w:div>
            <w:div w:id="1690830544">
              <w:marLeft w:val="0"/>
              <w:marRight w:val="0"/>
              <w:marTop w:val="0"/>
              <w:marBottom w:val="0"/>
              <w:divBdr>
                <w:top w:val="none" w:sz="0" w:space="0" w:color="auto"/>
                <w:left w:val="none" w:sz="0" w:space="0" w:color="auto"/>
                <w:bottom w:val="none" w:sz="0" w:space="0" w:color="auto"/>
                <w:right w:val="none" w:sz="0" w:space="0" w:color="auto"/>
              </w:divBdr>
            </w:div>
            <w:div w:id="1748770057">
              <w:marLeft w:val="0"/>
              <w:marRight w:val="0"/>
              <w:marTop w:val="0"/>
              <w:marBottom w:val="0"/>
              <w:divBdr>
                <w:top w:val="none" w:sz="0" w:space="0" w:color="auto"/>
                <w:left w:val="none" w:sz="0" w:space="0" w:color="auto"/>
                <w:bottom w:val="none" w:sz="0" w:space="0" w:color="auto"/>
                <w:right w:val="none" w:sz="0" w:space="0" w:color="auto"/>
              </w:divBdr>
            </w:div>
            <w:div w:id="19153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0652">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sChild>
        <w:div w:id="1296057612">
          <w:marLeft w:val="0"/>
          <w:marRight w:val="0"/>
          <w:marTop w:val="0"/>
          <w:marBottom w:val="0"/>
          <w:divBdr>
            <w:top w:val="none" w:sz="0" w:space="0" w:color="auto"/>
            <w:left w:val="none" w:sz="0" w:space="0" w:color="auto"/>
            <w:bottom w:val="none" w:sz="0" w:space="0" w:color="auto"/>
            <w:right w:val="none" w:sz="0" w:space="0" w:color="auto"/>
          </w:divBdr>
        </w:div>
        <w:div w:id="112791067">
          <w:marLeft w:val="0"/>
          <w:marRight w:val="0"/>
          <w:marTop w:val="0"/>
          <w:marBottom w:val="0"/>
          <w:divBdr>
            <w:top w:val="none" w:sz="0" w:space="0" w:color="auto"/>
            <w:left w:val="none" w:sz="0" w:space="0" w:color="auto"/>
            <w:bottom w:val="none" w:sz="0" w:space="0" w:color="auto"/>
            <w:right w:val="none" w:sz="0" w:space="0" w:color="auto"/>
          </w:divBdr>
        </w:div>
        <w:div w:id="720517115">
          <w:marLeft w:val="0"/>
          <w:marRight w:val="0"/>
          <w:marTop w:val="0"/>
          <w:marBottom w:val="0"/>
          <w:divBdr>
            <w:top w:val="none" w:sz="0" w:space="0" w:color="auto"/>
            <w:left w:val="none" w:sz="0" w:space="0" w:color="auto"/>
            <w:bottom w:val="none" w:sz="0" w:space="0" w:color="auto"/>
            <w:right w:val="none" w:sz="0" w:space="0" w:color="auto"/>
          </w:divBdr>
        </w:div>
        <w:div w:id="1015225358">
          <w:marLeft w:val="0"/>
          <w:marRight w:val="0"/>
          <w:marTop w:val="0"/>
          <w:marBottom w:val="0"/>
          <w:divBdr>
            <w:top w:val="none" w:sz="0" w:space="0" w:color="auto"/>
            <w:left w:val="none" w:sz="0" w:space="0" w:color="auto"/>
            <w:bottom w:val="none" w:sz="0" w:space="0" w:color="auto"/>
            <w:right w:val="none" w:sz="0" w:space="0" w:color="auto"/>
          </w:divBdr>
        </w:div>
      </w:divsChild>
    </w:div>
    <w:div w:id="1388138830">
      <w:bodyDiv w:val="1"/>
      <w:marLeft w:val="0"/>
      <w:marRight w:val="0"/>
      <w:marTop w:val="0"/>
      <w:marBottom w:val="0"/>
      <w:divBdr>
        <w:top w:val="none" w:sz="0" w:space="0" w:color="auto"/>
        <w:left w:val="none" w:sz="0" w:space="0" w:color="auto"/>
        <w:bottom w:val="none" w:sz="0" w:space="0" w:color="auto"/>
        <w:right w:val="none" w:sz="0" w:space="0" w:color="auto"/>
      </w:divBdr>
    </w:div>
    <w:div w:id="1686057172">
      <w:bodyDiv w:val="1"/>
      <w:marLeft w:val="0"/>
      <w:marRight w:val="0"/>
      <w:marTop w:val="0"/>
      <w:marBottom w:val="0"/>
      <w:divBdr>
        <w:top w:val="none" w:sz="0" w:space="0" w:color="auto"/>
        <w:left w:val="none" w:sz="0" w:space="0" w:color="auto"/>
        <w:bottom w:val="none" w:sz="0" w:space="0" w:color="auto"/>
        <w:right w:val="none" w:sz="0" w:space="0" w:color="auto"/>
      </w:divBdr>
    </w:div>
    <w:div w:id="1728143490">
      <w:bodyDiv w:val="1"/>
      <w:marLeft w:val="0"/>
      <w:marRight w:val="0"/>
      <w:marTop w:val="0"/>
      <w:marBottom w:val="0"/>
      <w:divBdr>
        <w:top w:val="none" w:sz="0" w:space="0" w:color="auto"/>
        <w:left w:val="none" w:sz="0" w:space="0" w:color="auto"/>
        <w:bottom w:val="none" w:sz="0" w:space="0" w:color="auto"/>
        <w:right w:val="none" w:sz="0" w:space="0" w:color="auto"/>
      </w:divBdr>
    </w:div>
    <w:div w:id="1851942151">
      <w:bodyDiv w:val="1"/>
      <w:marLeft w:val="0"/>
      <w:marRight w:val="0"/>
      <w:marTop w:val="0"/>
      <w:marBottom w:val="0"/>
      <w:divBdr>
        <w:top w:val="none" w:sz="0" w:space="0" w:color="auto"/>
        <w:left w:val="none" w:sz="0" w:space="0" w:color="auto"/>
        <w:bottom w:val="none" w:sz="0" w:space="0" w:color="auto"/>
        <w:right w:val="none" w:sz="0" w:space="0" w:color="auto"/>
      </w:divBdr>
      <w:divsChild>
        <w:div w:id="1624537999">
          <w:marLeft w:val="0"/>
          <w:marRight w:val="0"/>
          <w:marTop w:val="0"/>
          <w:marBottom w:val="0"/>
          <w:divBdr>
            <w:top w:val="none" w:sz="0" w:space="0" w:color="auto"/>
            <w:left w:val="none" w:sz="0" w:space="0" w:color="auto"/>
            <w:bottom w:val="none" w:sz="0" w:space="0" w:color="auto"/>
            <w:right w:val="none" w:sz="0" w:space="0" w:color="auto"/>
          </w:divBdr>
        </w:div>
        <w:div w:id="957033479">
          <w:marLeft w:val="0"/>
          <w:marRight w:val="0"/>
          <w:marTop w:val="0"/>
          <w:marBottom w:val="0"/>
          <w:divBdr>
            <w:top w:val="none" w:sz="0" w:space="0" w:color="auto"/>
            <w:left w:val="none" w:sz="0" w:space="0" w:color="auto"/>
            <w:bottom w:val="none" w:sz="0" w:space="0" w:color="auto"/>
            <w:right w:val="none" w:sz="0" w:space="0" w:color="auto"/>
          </w:divBdr>
        </w:div>
        <w:div w:id="415983570">
          <w:marLeft w:val="0"/>
          <w:marRight w:val="0"/>
          <w:marTop w:val="0"/>
          <w:marBottom w:val="0"/>
          <w:divBdr>
            <w:top w:val="none" w:sz="0" w:space="0" w:color="auto"/>
            <w:left w:val="none" w:sz="0" w:space="0" w:color="auto"/>
            <w:bottom w:val="none" w:sz="0" w:space="0" w:color="auto"/>
            <w:right w:val="none" w:sz="0" w:space="0" w:color="auto"/>
          </w:divBdr>
        </w:div>
        <w:div w:id="145367807">
          <w:marLeft w:val="0"/>
          <w:marRight w:val="0"/>
          <w:marTop w:val="0"/>
          <w:marBottom w:val="0"/>
          <w:divBdr>
            <w:top w:val="none" w:sz="0" w:space="0" w:color="auto"/>
            <w:left w:val="none" w:sz="0" w:space="0" w:color="auto"/>
            <w:bottom w:val="none" w:sz="0" w:space="0" w:color="auto"/>
            <w:right w:val="none" w:sz="0" w:space="0" w:color="auto"/>
          </w:divBdr>
        </w:div>
        <w:div w:id="709912404">
          <w:marLeft w:val="0"/>
          <w:marRight w:val="0"/>
          <w:marTop w:val="0"/>
          <w:marBottom w:val="0"/>
          <w:divBdr>
            <w:top w:val="none" w:sz="0" w:space="0" w:color="auto"/>
            <w:left w:val="none" w:sz="0" w:space="0" w:color="auto"/>
            <w:bottom w:val="none" w:sz="0" w:space="0" w:color="auto"/>
            <w:right w:val="none" w:sz="0" w:space="0" w:color="auto"/>
          </w:divBdr>
        </w:div>
        <w:div w:id="603850796">
          <w:marLeft w:val="0"/>
          <w:marRight w:val="0"/>
          <w:marTop w:val="0"/>
          <w:marBottom w:val="0"/>
          <w:divBdr>
            <w:top w:val="none" w:sz="0" w:space="0" w:color="auto"/>
            <w:left w:val="none" w:sz="0" w:space="0" w:color="auto"/>
            <w:bottom w:val="none" w:sz="0" w:space="0" w:color="auto"/>
            <w:right w:val="none" w:sz="0" w:space="0" w:color="auto"/>
          </w:divBdr>
        </w:div>
        <w:div w:id="2065595876">
          <w:marLeft w:val="0"/>
          <w:marRight w:val="0"/>
          <w:marTop w:val="0"/>
          <w:marBottom w:val="0"/>
          <w:divBdr>
            <w:top w:val="none" w:sz="0" w:space="0" w:color="auto"/>
            <w:left w:val="none" w:sz="0" w:space="0" w:color="auto"/>
            <w:bottom w:val="none" w:sz="0" w:space="0" w:color="auto"/>
            <w:right w:val="none" w:sz="0" w:space="0" w:color="auto"/>
          </w:divBdr>
        </w:div>
        <w:div w:id="1084911022">
          <w:marLeft w:val="0"/>
          <w:marRight w:val="0"/>
          <w:marTop w:val="0"/>
          <w:marBottom w:val="0"/>
          <w:divBdr>
            <w:top w:val="none" w:sz="0" w:space="0" w:color="auto"/>
            <w:left w:val="none" w:sz="0" w:space="0" w:color="auto"/>
            <w:bottom w:val="none" w:sz="0" w:space="0" w:color="auto"/>
            <w:right w:val="none" w:sz="0" w:space="0" w:color="auto"/>
          </w:divBdr>
        </w:div>
        <w:div w:id="1702316841">
          <w:marLeft w:val="0"/>
          <w:marRight w:val="0"/>
          <w:marTop w:val="0"/>
          <w:marBottom w:val="0"/>
          <w:divBdr>
            <w:top w:val="none" w:sz="0" w:space="0" w:color="auto"/>
            <w:left w:val="none" w:sz="0" w:space="0" w:color="auto"/>
            <w:bottom w:val="none" w:sz="0" w:space="0" w:color="auto"/>
            <w:right w:val="none" w:sz="0" w:space="0" w:color="auto"/>
          </w:divBdr>
        </w:div>
        <w:div w:id="116072793">
          <w:marLeft w:val="0"/>
          <w:marRight w:val="0"/>
          <w:marTop w:val="0"/>
          <w:marBottom w:val="0"/>
          <w:divBdr>
            <w:top w:val="none" w:sz="0" w:space="0" w:color="auto"/>
            <w:left w:val="none" w:sz="0" w:space="0" w:color="auto"/>
            <w:bottom w:val="none" w:sz="0" w:space="0" w:color="auto"/>
            <w:right w:val="none" w:sz="0" w:space="0" w:color="auto"/>
          </w:divBdr>
        </w:div>
      </w:divsChild>
    </w:div>
    <w:div w:id="1897007370">
      <w:bodyDiv w:val="1"/>
      <w:marLeft w:val="0"/>
      <w:marRight w:val="0"/>
      <w:marTop w:val="0"/>
      <w:marBottom w:val="0"/>
      <w:divBdr>
        <w:top w:val="none" w:sz="0" w:space="0" w:color="auto"/>
        <w:left w:val="none" w:sz="0" w:space="0" w:color="auto"/>
        <w:bottom w:val="none" w:sz="0" w:space="0" w:color="auto"/>
        <w:right w:val="none" w:sz="0" w:space="0" w:color="auto"/>
      </w:divBdr>
    </w:div>
    <w:div w:id="1961102922">
      <w:bodyDiv w:val="1"/>
      <w:marLeft w:val="0"/>
      <w:marRight w:val="0"/>
      <w:marTop w:val="0"/>
      <w:marBottom w:val="0"/>
      <w:divBdr>
        <w:top w:val="none" w:sz="0" w:space="0" w:color="auto"/>
        <w:left w:val="none" w:sz="0" w:space="0" w:color="auto"/>
        <w:bottom w:val="none" w:sz="0" w:space="0" w:color="auto"/>
        <w:right w:val="none" w:sz="0" w:space="0" w:color="auto"/>
      </w:divBdr>
    </w:div>
    <w:div w:id="1974945831">
      <w:bodyDiv w:val="1"/>
      <w:marLeft w:val="0"/>
      <w:marRight w:val="0"/>
      <w:marTop w:val="0"/>
      <w:marBottom w:val="0"/>
      <w:divBdr>
        <w:top w:val="none" w:sz="0" w:space="0" w:color="auto"/>
        <w:left w:val="none" w:sz="0" w:space="0" w:color="auto"/>
        <w:bottom w:val="none" w:sz="0" w:space="0" w:color="auto"/>
        <w:right w:val="none" w:sz="0" w:space="0" w:color="auto"/>
      </w:divBdr>
    </w:div>
    <w:div w:id="2021203271">
      <w:bodyDiv w:val="1"/>
      <w:marLeft w:val="0"/>
      <w:marRight w:val="0"/>
      <w:marTop w:val="0"/>
      <w:marBottom w:val="0"/>
      <w:divBdr>
        <w:top w:val="none" w:sz="0" w:space="0" w:color="auto"/>
        <w:left w:val="none" w:sz="0" w:space="0" w:color="auto"/>
        <w:bottom w:val="none" w:sz="0" w:space="0" w:color="auto"/>
        <w:right w:val="none" w:sz="0" w:space="0" w:color="auto"/>
      </w:divBdr>
    </w:div>
    <w:div w:id="2046246601">
      <w:bodyDiv w:val="1"/>
      <w:marLeft w:val="0"/>
      <w:marRight w:val="0"/>
      <w:marTop w:val="0"/>
      <w:marBottom w:val="0"/>
      <w:divBdr>
        <w:top w:val="none" w:sz="0" w:space="0" w:color="auto"/>
        <w:left w:val="none" w:sz="0" w:space="0" w:color="auto"/>
        <w:bottom w:val="none" w:sz="0" w:space="0" w:color="auto"/>
        <w:right w:val="none" w:sz="0" w:space="0" w:color="auto"/>
      </w:divBdr>
    </w:div>
    <w:div w:id="21100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vi.shridhar@moffitt.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Tep08</b:Tag>
    <b:SourceType>JournalArticle</b:SourceType>
    <b:Guid>{C3924892-2421-4F38-A162-F7A293F330B3}</b:Guid>
    <b:Author>
      <b:Author>
        <b:NameList>
          <b:Person>
            <b:Last>Tepper J</b:Last>
            <b:First>Krasna</b:First>
            <b:Middle>MJ, Niedzwiecki D, Hollis D, Reed CE, Goldberg R, Kiel K, Willett C, Sugarbaker D, Mayer R</b:Middle>
          </b:Person>
        </b:NameList>
      </b:Author>
    </b:Author>
    <b:Title>Phase III trial of trimodality therapy with cisplatin, fluorouracil, radiotherapy, and surgery compared with surgery alone for esophageal cancer: CALGB 9781.</b:Title>
    <b:JournalName>J Clin Oncol</b:JournalName>
    <b:Year>2008</b:Year>
    <b:Pages>26(7):1086</b:Pages>
    <b:RefOrder>5</b:RefOrder>
  </b:Source>
  <b:Source>
    <b:Tag>Sie15</b:Tag>
    <b:SourceType>JournalArticle</b:SourceType>
    <b:Guid>{2BE1D20B-59FC-4953-AD5E-0253F36A6E36}</b:Guid>
    <b:Author>
      <b:Author>
        <b:NameList>
          <b:Person>
            <b:Last>Siegel RL</b:Last>
            <b:First>Miller</b:First>
            <b:Middle>KD, Jemal A</b:Middle>
          </b:Person>
        </b:NameList>
      </b:Author>
    </b:Author>
    <b:Title>Cancer statistics, 2015.</b:Title>
    <b:JournalName>CA Cancer J Clin. </b:JournalName>
    <b:Year>2015</b:Year>
    <b:Pages>65(1):5.</b:Pages>
    <b:RefOrder>1</b:RefOrder>
  </b:Source>
  <b:Source>
    <b:Tag>Hul02</b:Tag>
    <b:SourceType>JournalArticle</b:SourceType>
    <b:Guid>{36D0C022-CAC8-4E7D-8F00-4D04C636BD23}</b:Guid>
    <b:Author>
      <b:Author>
        <b:NameList>
          <b:Person>
            <b:Last>Hulscher JB</b:Last>
            <b:First>van</b:First>
            <b:Middle>Sandick JW, de Boer AG, Wijnhoven BP, Tijssen JG, Fockens P, Stalmeier PF, ten Kate FJ, van Dekken H, Obertop H, Tilanus HW, van Lanschot JJ</b:Middle>
          </b:Person>
        </b:NameList>
      </b:Author>
    </b:Author>
    <b:Title>Extended transthoracic resection compared with limited transhiatal resection for adenocarcinoma of the esophagus.</b:Title>
    <b:JournalName>N Engl J Med. </b:JournalName>
    <b:Year>2002</b:Year>
    <b:Pages>347(21):1662.</b:Pages>
    <b:RefOrder>3</b:RefOrder>
  </b:Source>
  <b:Source>
    <b:Tag>Alt02</b:Tag>
    <b:SourceType>JournalArticle</b:SourceType>
    <b:Guid>{02EF62AF-8CC7-41A4-8C6E-0FA833BE6B1D}</b:Guid>
    <b:Author>
      <b:Author>
        <b:NameList>
          <b:Person>
            <b:Last>Altorki N</b:Last>
            <b:First>Kent</b:First>
            <b:Middle>M, Ferrara C, Port J</b:Middle>
          </b:Person>
        </b:NameList>
      </b:Author>
    </b:Author>
    <b:Title>Three-field lymph node dissection for squamous cell and adenocarcinoma of the esophagus.</b:Title>
    <b:JournalName>Ann Surg.</b:JournalName>
    <b:Year>2002</b:Year>
    <b:Pages>236(2):177.</b:Pages>
    <b:RefOrder>2</b:RefOrder>
  </b:Source>
  <b:Source>
    <b:Tag>Sunct</b:Tag>
    <b:SourceType>JournalArticle</b:SourceType>
    <b:Guid>{4BF741A3-AD18-47C9-B6D5-4D5AB5DECFCB}</b:Guid>
    <b:Author>
      <b:Author>
        <b:NameList>
          <b:Person>
            <b:Last>Sun XD</b:Last>
            <b:First>Yu</b:First>
            <b:Middle>JM, Fan XL, Ren RM, Li MH, Zhang GL</b:Middle>
          </b:Person>
        </b:NameList>
      </b:Author>
    </b:Author>
    <b:Title>Randomized clinical study of surgery versus radiotherapy alone in the treatment of resectable esophageal cancer in the chest</b:Title>
    <b:JournalName>Zhonghua Zhong Liu Za Zhi.</b:JournalName>
    <b:Year> 2006 Oct</b:Year>
    <b:Pages>28(10):784-7</b:Pages>
    <b:RefOrder>4</b:RefOrder>
  </b:Source>
  <b:Source>
    <b:Tag>vanay</b:Tag>
    <b:SourceType>JournalArticle</b:SourceType>
    <b:Guid>{D5200436-D4A0-4BB3-9CC1-9FF1E79FAEE2}</b:Guid>
    <b:Author>
      <b:Author>
        <b:NameList>
          <b:Person>
            <b:Last>van Hagen P</b:Last>
            <b:First>Hulshof</b:First>
            <b:Middle>MC, van Lanschot JJ, Steyerberg EW, van Berge Henegouwen MI, Wijnhoven BP, Richel DJ, Nieuwenhuijzen GA, Hospers GA, Bonenkamp JJ, Cuesta MA, Blaisse RJ, Busch OR, ten Kate FJ, Creemers GJ, Punt CJ, Plukker JT, Verheul HM, Spillenaar</b:Middle>
          </b:Person>
        </b:NameList>
      </b:Author>
    </b:Author>
    <b:Title>Preoperative chemoradiotherapy for esophageal or junctional cancer.</b:Title>
    <b:JournalName>N Engl J Med. </b:JournalName>
    <b:Year>2012 May</b:Year>
    <b:Pages>366(22):2074-84</b:Pages>
    <b:RefOrder>7</b:RefOrder>
  </b:Source>
  <b:Source>
    <b:Tag>alS97</b:Tag>
    <b:SourceType>JournalArticle</b:SourceType>
    <b:Guid>{4ADF73AE-6C56-454E-8EFD-0248F3C35685}</b:Guid>
    <b:Author>
      <b:Author>
        <b:NameList>
          <b:Person>
            <b:Last>al-Sarraf M</b:Last>
            <b:First>Martz</b:First>
            <b:Middle>K, Herskovic A, Leichman L, Brindle JS, Vaitkevicius VK, Cooper J, Byhardt R, Davis L, Emami B</b:Middle>
          </b:Person>
        </b:NameList>
      </b:Author>
    </b:Author>
    <b:Title>Progress report of combined chemoradiotherapy versus radiotherapy alone in patients with esophageal cancer: an intergroup study.</b:Title>
    <b:JournalName>J Clin Oncol. </b:JournalName>
    <b:Year>1997</b:Year>
    <b:Pages>15(1):277.</b:Pages>
    <b:RefOrder>13</b:RefOrder>
  </b:Source>
  <b:Source>
    <b:Tag>Witpl</b:Tag>
    <b:SourceType>JournalArticle</b:SourceType>
    <b:Guid>{90C7AC16-5D80-4C28-B2A1-4BD318E148EA}</b:Guid>
    <b:Author>
      <b:Author>
        <b:NameList>
          <b:Person>
            <b:Last>HR</b:Last>
            <b:First>Withers</b:First>
          </b:Person>
        </b:NameList>
      </b:Author>
    </b:Author>
    <b:Title>Biologic basis for altered fractionation schemes.</b:Title>
    <b:JournalName>Cancer. </b:JournalName>
    <b:Year>1985;55(9 Suppl):</b:Year>
    <b:Pages>2086</b:Pages>
    <b:RefOrder>22</b:RefOrder>
  </b:Source>
  <b:Source>
    <b:Tag>Wart1</b:Tag>
    <b:SourceType>JournalArticle</b:SourceType>
    <b:Guid>{E8F68C14-5E40-4966-99A2-876A2CBE4682}</b:Guid>
    <b:Author>
      <b:Author>
        <b:NameList>
          <b:Person>
            <b:Last>Warren S</b:Last>
            <b:First>Partridge</b:First>
            <b:Middle>M, Carrington R, Hurt C, Crosby T, Hawkins MA.</b:Middle>
          </b:Person>
        </b:NameList>
      </b:Author>
    </b:Author>
    <b:Title>Radiobiological determination of dose escalation and normal tissue toxicity in definitive chemoradiation therapy for esophageal cancer</b:Title>
    <b:JournalName>Int J Radiat Oncol Biol Phys. </b:JournalName>
    <b:Year>2014 Oct 1;</b:Year>
    <b:Pages>90(2):423-9</b:Pages>
    <b:RefOrder>15</b:RefOrder>
  </b:Source>
  <b:Source>
    <b:Tag>Shrov</b:Tag>
    <b:SourceType>JournalArticle</b:SourceType>
    <b:Guid>{394ED9E5-F06A-4076-896A-E7992AC02221}</b:Guid>
    <b:Author>
      <b:Author>
        <b:NameList>
          <b:Person>
            <b:Last>Shridhar R</b:Last>
            <b:First>Freilich</b:First>
            <b:Middle>J, Hoffe SE, Almhanna K, Fulp WJ, Yue B, Karl RC, Meredith K</b:Middle>
          </b:Person>
        </b:NameList>
      </b:Author>
    </b:Author>
    <b:Title>Single-institution retrospective comparison of preoperative versus definitive chemoradiotherapy for adenocarcinoma of the esophagus</b:Title>
    <b:JournalName>Ann Surg Oncol. </b:JournalName>
    <b:Year>2014 Nov</b:Year>
    <b:Pages>21(12):3744-50</b:Pages>
    <b:RefOrder>23</b:RefOrder>
  </b:Source>
  <b:Source>
    <b:Tag>Cheay</b:Tag>
    <b:SourceType>JournalArticle</b:SourceType>
    <b:Guid>{FFC5EA6D-C861-4562-80A2-D88A4E952340}</b:Guid>
    <b:Author>
      <b:Author>
        <b:NameList>
          <b:Person>
            <b:Last>Cheedella NK</b:Last>
            <b:First>Suzuki</b:First>
            <b:Middle>A, Xiao L, Hofstetter WL, Maru DM, Taketa T, Sudo K, Blum MA, Lin SH, Welch J, Lee JH, Bhutani MS, Rice DC, Vaporciyan AA, Swisher SG, Ajani JA</b:Middle>
          </b:Person>
        </b:NameList>
      </b:Author>
    </b:Author>
    <b:Title>Association between clinical complete response and pathological complete response after preoperative chemoradiation in patients with gastroesophageal cancer: analysis in a large cohort.</b:Title>
    <b:JournalName>Ann Oncol. </b:JournalName>
    <b:Year>2013 May</b:Year>
    <b:Pages>24(5):1262-6</b:Pages>
    <b:RefOrder>11</b:RefOrder>
  </b:Source>
  <b:Source>
    <b:Tag>Yoi15</b:Tag>
    <b:SourceType>JournalArticle</b:SourceType>
    <b:Guid>{10B204D4-05C0-4D91-85A0-D853E33FF6F5}</b:Guid>
    <b:Author>
      <b:Author>
        <b:NameList>
          <b:Person>
            <b:Last>Yoichi Hamai</b:Last>
            <b:First>MD,</b:First>
            <b:Middle>PhD, Jun Hihara, MD, PhD, Manabu Emi, MD, PhD,</b:Middle>
          </b:Person>
        </b:NameList>
      </b:Author>
    </b:Author>
    <b:Title>Results of Neoadjuvant Chemoradiotherapy With</b:Title>
    <b:JournalName>Ann Thorac Surg 2015</b:JournalName>
    <b:Year>2015</b:Year>
    <b:Pages>02.042</b:Pages>
    <b:RefOrder>18</b:RefOrder>
  </b:Source>
  <b:Source>
    <b:Tag>Pen08</b:Tag>
    <b:SourceType>JournalArticle</b:SourceType>
    <b:Guid>{6AA32077-DA5C-435D-9727-523DFFA6A036}</b:Guid>
    <b:Author>
      <b:Author>
        <b:NameList>
          <b:Person>
            <b:Last>Pennathur A</b:Last>
            <b:First>Luketich</b:First>
            <b:Middle>JD, Landreneau RJ, et al. Longterm</b:Middle>
          </b:Person>
        </b:NameList>
      </b:Author>
    </b:Author>
    <b:Title>Long term results of a phase II trial of neoadjuvant chemotherapy followed by esophagectomy for locally advanced esophageal neoplasm</b:Title>
    <b:JournalName>Ann Thorac Surg </b:JournalName>
    <b:Year>2008</b:Year>
    <b:Pages>85:1930–6.</b:Pages>
    <b:RefOrder>17</b:RefOrder>
  </b:Source>
  <b:Source>
    <b:Tag>Dav20</b:Tag>
    <b:SourceType>JournalArticle</b:SourceType>
    <b:Guid>{9DC009A8-3CDD-42ED-AF5D-4A62DEFD17C6}</b:Guid>
    <b:Author>
      <b:Author>
        <b:NameList>
          <b:Person>
            <b:Last>Davies AR</b:Last>
            <b:First>Gossage</b:First>
            <b:Middle>JA, Zylstra J, Mattsson F, Lagergren J, Maisey N, Smyth EC, Cunningham D, Allum WH, Mason RC.</b:Middle>
          </b:Person>
        </b:NameList>
      </b:Author>
    </b:Author>
    <b:Title>Tumor stage after neoadjuvant chemotherapy determines survival after surgery for adenocarcinoma of the esophagus and esophagogastric junction.</b:Title>
    <b:JournalName>J Clin Oncol. </b:JournalName>
    <b:Year>2014 Sep 20;</b:Year>
    <b:Pages>32(27):2983-90.</b:Pages>
    <b:RefOrder>12</b:RefOrder>
  </b:Source>
  <b:Source>
    <b:Tag>van31</b:Tag>
    <b:SourceType>JournalArticle</b:SourceType>
    <b:Guid>{51AF9BA8-F36B-4BAF-BE2F-E28276F40549}</b:Guid>
    <b:Author>
      <b:Author>
        <b:NameList>
          <b:Person>
            <b:Last>van Hagen P1</b:Last>
            <b:First>Hulshof</b:First>
            <b:Middle>MC, van Lanschot JJ, Steyerberg EW, van Berge Henegouwen MI, Wijnhoven BP, Richel DJ, Nieuwenhuijzen GA, Hospers GA, Bonenkamp JJ, Cuesta MA, Blaisse RJ, Busch OR, ten Kate FJ, Creemers GJ, Punt CJ, Plukker JT, Verheul HM, Spillenaar</b:Middle>
          </b:Person>
        </b:NameList>
      </b:Author>
    </b:Author>
    <b:Title>Preoperative chemoradiotherapy for esophageal or junctional cancer.</b:Title>
    <b:JournalName>N Engl J Med. </b:JournalName>
    <b:Year>2012 May 31</b:Year>
    <b:Pages>366(22):2074-84</b:Pages>
    <b:RefOrder>24</b:RefOrder>
  </b:Source>
  <b:Source>
    <b:Tag>Ver35</b:Tag>
    <b:SourceType>JournalArticle</b:SourceType>
    <b:Guid>{9F60406B-D58A-4CBE-B062-AFC8FAAFF63D}</b:Guid>
    <b:Title>Patterns of Recurrence After Surgery Alone Versus</b:Title>
    <b:Year>2013.5</b:Year>
    <b:LCID>en-US</b:LCID>
    <b:Author>
      <b:Author>
        <b:NameList>
          <b:Person>
            <b:Last>Vera Oppedijk</b:Last>
            <b:First>Ate</b:First>
            <b:Middle>van der Gaast, Jan J.B. van Lanschot, Pieter van Hagen, Rob van Os, Caroline M. van Rij,</b:Middle>
          </b:Person>
        </b:NameList>
      </b:Author>
    </b:Author>
    <b:JournalName>JCO.2013.54.3108</b:JournalName>
    <b:Pages>4.3108</b:Pages>
    <b:RefOrder>25</b:RefOrder>
  </b:Source>
  <b:Source>
    <b:Tag>Sjo11</b:Tag>
    <b:SourceType>JournalArticle</b:SourceType>
    <b:Guid>{E0890DCB-0F61-44A1-8798-E22BEDE4F355}</b:Guid>
    <b:Author>
      <b:Author>
        <b:NameList>
          <b:Person>
            <b:Last>Sjoquist KM</b:Last>
            <b:First>Burmeister</b:First>
            <b:Middle>BH, Smithers BM, et</b:Middle>
          </b:Person>
        </b:NameList>
      </b:Author>
    </b:Author>
    <b:Title>Survival after neoadjuvant chemotherapy or chemoradiotherapy for resectable oesophageal carcinoma:An updated meta-analysis</b:Title>
    <b:JournalName>Lancet Oncol </b:JournalName>
    <b:Year> 2011</b:Year>
    <b:Pages>12:681-692,</b:Pages>
    <b:RefOrder>6</b:RefOrder>
  </b:Source>
  <b:Source>
    <b:Tag>Meg09</b:Tag>
    <b:SourceType>JournalArticle</b:SourceType>
    <b:Guid>{6BA80AB9-83D3-4B22-81D3-E3427F22FB52}</b:Guid>
    <b:Author>
      <b:Author>
        <b:NameList>
          <b:Person>
            <b:Last>Meguid RA</b:Last>
            <b:First>Hooker</b:First>
            <b:Middle>CM, Taylor JT, et al:</b:Middle>
          </b:Person>
        </b:NameList>
      </b:Author>
    </b:Author>
    <b:Title>Recurrence after neoadjuvant chemoradiation and surgery for esophageal cancer: Does the pattern of recurrence differ for patients with complete response</b:Title>
    <b:JournalName>J Thorac Cardiovasc Surg</b:JournalName>
    <b:Year>2009</b:Year>
    <b:Pages>138:1309-1317</b:Pages>
    <b:RefOrder>8</b:RefOrder>
  </b:Source>
  <b:Source>
    <b:Tag>Man94</b:Tag>
    <b:SourceType>JournalArticle</b:SourceType>
    <b:Guid>{FE0F0638-53BC-41A4-8760-E1CD618F6ABA}</b:Guid>
    <b:Author>
      <b:Author>
        <b:NameList>
          <b:Person>
            <b:Last>Mandard AM</b:Last>
            <b:First>Dalibard</b:First>
            <b:Middle>F, Mandard JC, et al:</b:Middle>
          </b:Person>
        </b:NameList>
      </b:Author>
    </b:Author>
    <b:Title>Pathologic assessment of tumor regression afterpreoperative chemoradiotherapy of esophageal carcinoma:</b:Title>
    <b:JournalName>Cancer </b:JournalName>
    <b:Year>1994</b:Year>
    <b:Pages>73:2680-2686</b:Pages>
    <b:RefOrder>10</b:RefOrder>
  </b:Source>
  <b:Source>
    <b:Tag>Bur05</b:Tag>
    <b:SourceType>JournalArticle</b:SourceType>
    <b:Guid>{8BB145DA-BC94-4480-9B94-A7D93804116A}</b:Guid>
    <b:Author>
      <b:Author>
        <b:NameList>
          <b:Person>
            <b:Last>Burmeister BH</b:Last>
            <b:First>Smithers</b:First>
            <b:Middle>BM, Gebski V, et al:</b:Middle>
          </b:Person>
        </b:NameList>
      </b:Author>
    </b:Author>
    <b:Title>Surgery alone versus chemoradiotherapy followed by surgery for resectable cancer of the oesophagus: A randomised controlled phase III trial.</b:Title>
    <b:JournalName>Lancet Oncol </b:JournalName>
    <b:Year>2005</b:Year>
    <b:Pages>6:659-668</b:Pages>
    <b:RefOrder>16</b:RefOrder>
  </b:Source>
  <b:Source>
    <b:Tag>Tepper</b:Tag>
    <b:SourceType>JournalArticle</b:SourceType>
    <b:Guid>{B39E556D-8696-4EA0-8819-E229A0662EFB}</b:Guid>
    <b:Author>
      <b:Author>
        <b:NameList>
          <b:Person>
            <b:Last>Tepper J</b:Last>
            <b:First>Krasna</b:First>
            <b:Middle>MJ, Niedzwiecki D, et al</b:Middle>
          </b:Person>
        </b:NameList>
      </b:Author>
    </b:Author>
    <b:Title>Phase III trial of trimodality therapy with cisplatin, fluorouracil, radiotherapy, and surgery compared with surgery alone for esophageal cancer: CALGB 9781</b:Title>
    <b:JournalName>J Clin Oncol </b:JournalName>
    <b:Year> 2008</b:Year>
    <b:Pages>26:1086-1092</b:Pages>
    <b:RefOrder>26</b:RefOrder>
  </b:Source>
  <b:Source>
    <b:Tag>t1In</b:Tag>
    <b:SourceType>JournalArticle</b:SourceType>
    <b:Guid>{7D9F32CB-7E90-40FA-9C4E-14D3636AC7CD}</b:Guid>
    <b:JournalName>Int J Radiat Oncol Biol Phys.</b:JournalName>
    <b:Year>2014 Oct 1;</b:Year>
    <b:Pages>90(2):423-9. </b:Pages>
    <b:RefOrder>27</b:RefOrder>
  </b:Source>
  <b:Source>
    <b:Tag>Hoear</b:Tag>
    <b:SourceType>JournalArticle</b:SourceType>
    <b:Guid>{4862C483-E0D6-4873-A59B-067006751926}</b:Guid>
    <b:Author>
      <b:Author>
        <b:NameList>
          <b:Person>
            <b:Last>Hoeppner J1</b:Last>
            <b:First>Zirlik</b:First>
            <b:Middle>K, Brunner T, Bronsert P, Kulemann B, Sick O, Marjanovic G, Hopt UT, Makowiec F.</b:Middle>
          </b:Person>
        </b:NameList>
      </b:Author>
    </b:Author>
    <b:Title>Multimodal treatment of locally advanced esophageal adenocarcinoma: which regimen should we choose? Outcome analysis of perioperative chemotherapy versus neoadjuvant chemoradiation in 105 patients.</b:Title>
    <b:JournalName>J Surg Oncol.  </b:JournalName>
    <b:Year>2014 Mar;</b:Year>
    <b:Pages>109(3):287-93.</b:Pages>
    <b:RefOrder>20</b:RefOrder>
  </b:Source>
  <b:Source>
    <b:Tag>Sta09</b:Tag>
    <b:SourceType>JournalArticle</b:SourceType>
    <b:Guid>{DC1B77D4-C061-4EAB-91E6-EF081198AECE}</b:Guid>
    <b:Author>
      <b:Author>
        <b:NameList>
          <b:Person>
            <b:Last>Stahl M</b:Last>
            <b:First>Walz</b:First>
            <b:Middle>MK, Stuschke M, et al.:</b:Middle>
          </b:Person>
        </b:NameList>
      </b:Author>
    </b:Author>
    <b:Title> Phase III comparison of preoperative chemotherapy compared with chemoradiotherapy in patients with locally advanced adenocarcinoma of the esophago- gastric junction.</b:Title>
    <b:JournalName> J Clin Oncol </b:JournalName>
    <b:Year>2009;</b:Year>
    <b:Pages>27:851–856</b:Pages>
    <b:RefOrder>19</b:RefOrder>
  </b:Source>
  <b:Source>
    <b:Tag>Urs</b:Tag>
    <b:SourceType>JournalArticle</b:SourceType>
    <b:Guid>{25F8A073-71DA-428E-99C2-144D1CDC2FED}</b:Guid>
    <b:Author>
      <b:Author>
        <b:NameList>
          <b:Person>
            <b:Last>Urschel JD</b:Last>
            <b:First>Vasan</b:First>
            <b:Middle>H:</b:Middle>
          </b:Person>
        </b:NameList>
      </b:Author>
    </b:Author>
    <b:Title>A meta‐analysis of randomized controlled trials that compared neoadjuvant chemoradiation and surgery to</b:Title>
    <b:JournalName>Am J Surg</b:JournalName>
    <b:Year>2003</b:Year>
    <b:Pages>185:538–543.</b:Pages>
    <b:RefOrder>21</b:RefOrder>
  </b:Source>
  <b:Source>
    <b:Tag>Sch11</b:Tag>
    <b:SourceType>JournalArticle</b:SourceType>
    <b:Guid>{2F851670-1524-462F-BAE1-DA403AE6C7A0}</b:Guid>
    <b:Author>
      <b:Author>
        <b:NameList>
          <b:Person>
            <b:Last>Scheer RV</b:Last>
            <b:First>Fakiris</b:First>
            <b:Middle>AJ, Johntone PA</b:Middle>
          </b:Person>
        </b:NameList>
      </b:Author>
    </b:Author>
    <b:Title>Quantifying the benefit of a pathologic complete respose after neoadjuvant chemoradiationtherapy in the treatment of esophageal cancer.</b:Title>
    <b:JournalName>Int J Radiat Oncol Biol Phys.</b:JournalName>
    <b:Year>2011</b:Year>
    <b:Pages>80(4);996</b:Pages>
    <b:RefOrder>14</b:RefOrder>
  </b:Source>
  <b:Source>
    <b:Tag>Jab44</b:Tag>
    <b:SourceType>JournalArticle</b:SourceType>
    <b:Guid>{F131AB2A-714E-4EF6-A20C-0E8DCB52FC6E}</b:Guid>
    <b:Author>
      <b:Author>
        <b:NameList>
          <b:Person>
            <b:Last>Jabbour SK</b:Last>
            <b:First>Hashem</b:First>
            <b:Middle>SA, Bosch W, et al.</b:Middle>
          </b:Person>
        </b:NameList>
      </b:Author>
    </b:Author>
    <b:Title>Upper abdominal normal organ contouring guidelines and atlas: a Radiation Therapy Oncology Group consensus.</b:Title>
    <b:JournalName> Pract Radiat Oncol. </b:JournalName>
    <b:Year>2014;4:</b:Year>
    <b:Pages>82-9. </b:Pages>
    <b:RefOrder>9</b:RefOrder>
  </b:Source>
</b:Sources>
</file>

<file path=customXml/itemProps1.xml><?xml version="1.0" encoding="utf-8"?>
<ds:datastoreItem xmlns:ds="http://schemas.openxmlformats.org/officeDocument/2006/customXml" ds:itemID="{305087F6-E679-EC4C-8BC0-CFA33F7F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5052</Words>
  <Characters>28799</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Zeng</dc:creator>
  <cp:lastModifiedBy>Na Ma</cp:lastModifiedBy>
  <cp:revision>3</cp:revision>
  <cp:lastPrinted>2015-08-27T17:55:00Z</cp:lastPrinted>
  <dcterms:created xsi:type="dcterms:W3CDTF">2016-03-08T20:14:00Z</dcterms:created>
  <dcterms:modified xsi:type="dcterms:W3CDTF">2016-03-08T21:52:00Z</dcterms:modified>
</cp:coreProperties>
</file>