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4A2E1" w14:textId="648B0A43" w:rsidR="00CF4818" w:rsidRPr="00321163" w:rsidRDefault="00CF4818" w:rsidP="00CA6249">
      <w:pPr>
        <w:spacing w:line="360" w:lineRule="auto"/>
        <w:jc w:val="both"/>
        <w:rPr>
          <w:rFonts w:ascii="Book Antiqua" w:hAnsi="Book Antiqua"/>
          <w:b/>
        </w:rPr>
      </w:pPr>
      <w:r w:rsidRPr="00321163">
        <w:rPr>
          <w:rFonts w:ascii="Book Antiqua" w:hAnsi="Book Antiqua"/>
          <w:b/>
        </w:rPr>
        <w:t xml:space="preserve">Name of Journal: </w:t>
      </w:r>
      <w:r w:rsidRPr="00321163">
        <w:rPr>
          <w:rFonts w:ascii="Book Antiqua" w:hAnsi="Book Antiqua"/>
          <w:b/>
          <w:i/>
          <w:iCs/>
        </w:rPr>
        <w:t>World Journal of Gastrointestinal Endoscopy</w:t>
      </w:r>
    </w:p>
    <w:p w14:paraId="4D7973D2" w14:textId="104DFCBB" w:rsidR="00CF4818" w:rsidRPr="00321163" w:rsidRDefault="00CF4818" w:rsidP="00CA6249">
      <w:pPr>
        <w:spacing w:line="360" w:lineRule="auto"/>
        <w:jc w:val="both"/>
        <w:rPr>
          <w:rFonts w:ascii="Book Antiqua" w:eastAsia="宋体" w:hAnsi="Book Antiqua"/>
          <w:b/>
          <w:lang w:eastAsia="zh-CN"/>
        </w:rPr>
      </w:pPr>
      <w:r w:rsidRPr="00321163">
        <w:rPr>
          <w:rFonts w:ascii="Book Antiqua" w:hAnsi="Book Antiqua"/>
          <w:b/>
        </w:rPr>
        <w:t xml:space="preserve">ESPS Manuscript NO: </w:t>
      </w:r>
      <w:r w:rsidRPr="00321163">
        <w:rPr>
          <w:rFonts w:ascii="Book Antiqua" w:hAnsi="Book Antiqua"/>
          <w:b/>
          <w:lang w:eastAsia="zh-CN"/>
        </w:rPr>
        <w:t>233</w:t>
      </w:r>
      <w:r w:rsidRPr="00321163">
        <w:rPr>
          <w:rFonts w:ascii="Book Antiqua" w:eastAsia="宋体" w:hAnsi="Book Antiqua"/>
          <w:b/>
          <w:lang w:eastAsia="zh-CN"/>
        </w:rPr>
        <w:t>74</w:t>
      </w:r>
    </w:p>
    <w:p w14:paraId="6C67EDC7" w14:textId="74A557A5" w:rsidR="002D7549" w:rsidRPr="00321163" w:rsidRDefault="00CF4818" w:rsidP="00CA6249">
      <w:pPr>
        <w:spacing w:line="360" w:lineRule="auto"/>
        <w:jc w:val="both"/>
        <w:rPr>
          <w:rFonts w:ascii="Book Antiqua" w:eastAsia="宋体" w:hAnsi="Book Antiqua"/>
          <w:b/>
          <w:lang w:eastAsia="zh-CN"/>
        </w:rPr>
      </w:pPr>
      <w:r w:rsidRPr="00321163">
        <w:rPr>
          <w:rFonts w:ascii="Book Antiqua" w:hAnsi="Book Antiqua"/>
          <w:b/>
        </w:rPr>
        <w:t>Manuscript Type:</w:t>
      </w:r>
      <w:r w:rsidRPr="00321163">
        <w:rPr>
          <w:rFonts w:ascii="Book Antiqua" w:hAnsi="Book Antiqua"/>
          <w:b/>
          <w:lang w:eastAsia="zh-CN"/>
        </w:rPr>
        <w:t xml:space="preserve"> </w:t>
      </w:r>
      <w:r w:rsidR="00832D6A" w:rsidRPr="00321163">
        <w:rPr>
          <w:rFonts w:ascii="Book Antiqua" w:eastAsia="宋体" w:hAnsi="Book Antiqua"/>
          <w:b/>
          <w:lang w:eastAsia="zh-CN"/>
        </w:rPr>
        <w:t>Original Article</w:t>
      </w:r>
    </w:p>
    <w:p w14:paraId="7BCEA286" w14:textId="77777777" w:rsidR="002D7549" w:rsidRPr="00321163" w:rsidRDefault="002D7549" w:rsidP="00CA6249">
      <w:pPr>
        <w:spacing w:line="360" w:lineRule="auto"/>
        <w:jc w:val="both"/>
        <w:rPr>
          <w:rFonts w:ascii="Book Antiqua" w:eastAsia="宋体" w:hAnsi="Book Antiqua"/>
          <w:b/>
          <w:lang w:eastAsia="zh-CN"/>
        </w:rPr>
      </w:pPr>
    </w:p>
    <w:p w14:paraId="6F423413" w14:textId="737A1C58" w:rsidR="00CF4818" w:rsidRPr="00321163" w:rsidRDefault="001035E5" w:rsidP="00CA6249">
      <w:pPr>
        <w:spacing w:line="360" w:lineRule="auto"/>
        <w:jc w:val="both"/>
        <w:rPr>
          <w:rFonts w:ascii="Book Antiqua" w:eastAsia="宋体" w:hAnsi="Book Antiqua"/>
          <w:b/>
          <w:i/>
          <w:lang w:eastAsia="zh-CN"/>
        </w:rPr>
      </w:pPr>
      <w:r w:rsidRPr="00321163">
        <w:rPr>
          <w:rFonts w:ascii="Book Antiqua" w:hAnsi="Book Antiqua"/>
          <w:b/>
          <w:i/>
          <w:lang w:eastAsia="zh-CN"/>
        </w:rPr>
        <w:t>Retrospective Study</w:t>
      </w:r>
    </w:p>
    <w:p w14:paraId="174E3C08" w14:textId="27CA122A" w:rsidR="00C6159C" w:rsidRPr="00321163" w:rsidRDefault="00344D99" w:rsidP="00CA6249">
      <w:pPr>
        <w:spacing w:line="360" w:lineRule="auto"/>
        <w:jc w:val="both"/>
        <w:rPr>
          <w:rFonts w:ascii="Book Antiqua" w:hAnsi="Book Antiqua"/>
          <w:b/>
        </w:rPr>
      </w:pPr>
      <w:r w:rsidRPr="00321163">
        <w:rPr>
          <w:rFonts w:ascii="Book Antiqua" w:eastAsia="宋体" w:hAnsi="Book Antiqua"/>
          <w:b/>
          <w:lang w:eastAsia="zh-CN"/>
        </w:rPr>
        <w:t>Endoscopic retrograde cholangiography</w:t>
      </w:r>
      <w:r w:rsidR="00D00EAF" w:rsidRPr="00321163">
        <w:rPr>
          <w:rFonts w:ascii="Book Antiqua" w:hAnsi="Book Antiqua"/>
          <w:b/>
        </w:rPr>
        <w:t xml:space="preserve"> for </w:t>
      </w:r>
      <w:r w:rsidR="001035E5" w:rsidRPr="00321163">
        <w:rPr>
          <w:rFonts w:ascii="Book Antiqua" w:hAnsi="Book Antiqua"/>
          <w:b/>
        </w:rPr>
        <w:t>pediatric choledocholithiasis</w:t>
      </w:r>
      <w:r w:rsidR="00C6159C" w:rsidRPr="00321163">
        <w:rPr>
          <w:rFonts w:ascii="Book Antiqua" w:hAnsi="Book Antiqua"/>
          <w:b/>
        </w:rPr>
        <w:t xml:space="preserve">: </w:t>
      </w:r>
      <w:r w:rsidR="00D00EAF" w:rsidRPr="00321163">
        <w:rPr>
          <w:rFonts w:ascii="Book Antiqua" w:hAnsi="Book Antiqua"/>
          <w:b/>
        </w:rPr>
        <w:t>Assessing</w:t>
      </w:r>
      <w:r w:rsidR="005D0BB8" w:rsidRPr="00321163">
        <w:rPr>
          <w:rFonts w:ascii="Book Antiqua" w:hAnsi="Book Antiqua"/>
          <w:b/>
        </w:rPr>
        <w:t xml:space="preserve"> the </w:t>
      </w:r>
      <w:r w:rsidR="001035E5" w:rsidRPr="00321163">
        <w:rPr>
          <w:rFonts w:ascii="Book Antiqua" w:hAnsi="Book Antiqua"/>
          <w:b/>
        </w:rPr>
        <w:t xml:space="preserve">need </w:t>
      </w:r>
      <w:r w:rsidR="00BD36C7" w:rsidRPr="00321163">
        <w:rPr>
          <w:rFonts w:ascii="Book Antiqua" w:hAnsi="Book Antiqua"/>
          <w:b/>
        </w:rPr>
        <w:t xml:space="preserve">for </w:t>
      </w:r>
      <w:r w:rsidR="001035E5" w:rsidRPr="00321163">
        <w:rPr>
          <w:rFonts w:ascii="Book Antiqua" w:hAnsi="Book Antiqua"/>
          <w:b/>
        </w:rPr>
        <w:t>endoscopic intervention</w:t>
      </w:r>
    </w:p>
    <w:p w14:paraId="448599D5" w14:textId="77777777" w:rsidR="001035E5" w:rsidRPr="00321163" w:rsidRDefault="001035E5" w:rsidP="00CA6249">
      <w:pPr>
        <w:spacing w:line="360" w:lineRule="auto"/>
        <w:jc w:val="both"/>
        <w:rPr>
          <w:rFonts w:ascii="Book Antiqua" w:hAnsi="Book Antiqua"/>
          <w:b/>
        </w:rPr>
      </w:pPr>
    </w:p>
    <w:p w14:paraId="546B5EB6" w14:textId="6C9397A1" w:rsidR="001035E5" w:rsidRPr="00321163" w:rsidRDefault="001035E5" w:rsidP="00CA6249">
      <w:pPr>
        <w:spacing w:line="360" w:lineRule="auto"/>
        <w:jc w:val="both"/>
        <w:rPr>
          <w:rFonts w:ascii="Book Antiqua" w:hAnsi="Book Antiqua"/>
        </w:rPr>
      </w:pPr>
      <w:r w:rsidRPr="00321163">
        <w:rPr>
          <w:rFonts w:ascii="Book Antiqua" w:hAnsi="Book Antiqua"/>
        </w:rPr>
        <w:t xml:space="preserve">Fishman DS </w:t>
      </w:r>
      <w:r w:rsidRPr="00321163">
        <w:rPr>
          <w:rFonts w:ascii="Book Antiqua" w:hAnsi="Book Antiqua"/>
          <w:i/>
        </w:rPr>
        <w:t>et al</w:t>
      </w:r>
      <w:r w:rsidRPr="00321163">
        <w:rPr>
          <w:rFonts w:ascii="Book Antiqua" w:hAnsi="Book Antiqua"/>
        </w:rPr>
        <w:t xml:space="preserve">. ERCP </w:t>
      </w:r>
      <w:r w:rsidR="00A638AD" w:rsidRPr="00321163">
        <w:rPr>
          <w:rFonts w:ascii="Book Antiqua" w:hAnsi="Book Antiqua"/>
        </w:rPr>
        <w:t xml:space="preserve">assessment for </w:t>
      </w:r>
      <w:r w:rsidRPr="00321163">
        <w:rPr>
          <w:rFonts w:ascii="Book Antiqua" w:hAnsi="Book Antiqua"/>
        </w:rPr>
        <w:t>pediatric choledocholithiasis</w:t>
      </w:r>
    </w:p>
    <w:p w14:paraId="361D6042" w14:textId="77777777" w:rsidR="001035E5" w:rsidRPr="00321163" w:rsidRDefault="001035E5" w:rsidP="00CA6249">
      <w:pPr>
        <w:spacing w:line="360" w:lineRule="auto"/>
        <w:jc w:val="both"/>
        <w:rPr>
          <w:rFonts w:ascii="Book Antiqua" w:hAnsi="Book Antiqua"/>
          <w:b/>
        </w:rPr>
      </w:pPr>
    </w:p>
    <w:p w14:paraId="2F61CCAF" w14:textId="6EF95030" w:rsidR="00AE512F" w:rsidRPr="00321163" w:rsidRDefault="008A19F0" w:rsidP="00CA6249">
      <w:pPr>
        <w:spacing w:line="360" w:lineRule="auto"/>
        <w:jc w:val="both"/>
        <w:rPr>
          <w:rFonts w:ascii="Book Antiqua" w:hAnsi="Book Antiqua"/>
          <w:b/>
        </w:rPr>
      </w:pPr>
      <w:r w:rsidRPr="00321163">
        <w:rPr>
          <w:rFonts w:ascii="Book Antiqua" w:hAnsi="Book Antiqua"/>
          <w:b/>
        </w:rPr>
        <w:t>Douglas S Fishman, Bruno P</w:t>
      </w:r>
      <w:r w:rsidR="001035E5" w:rsidRPr="00321163">
        <w:rPr>
          <w:rFonts w:ascii="Book Antiqua" w:hAnsi="Book Antiqua"/>
          <w:b/>
        </w:rPr>
        <w:t xml:space="preserve"> </w:t>
      </w:r>
      <w:proofErr w:type="spellStart"/>
      <w:r w:rsidR="001035E5" w:rsidRPr="00321163">
        <w:rPr>
          <w:rFonts w:ascii="Book Antiqua" w:hAnsi="Book Antiqua"/>
          <w:b/>
        </w:rPr>
        <w:t>Chumpitazi</w:t>
      </w:r>
      <w:proofErr w:type="spellEnd"/>
      <w:r w:rsidR="001035E5" w:rsidRPr="00321163">
        <w:rPr>
          <w:rFonts w:ascii="Book Antiqua" w:hAnsi="Book Antiqua"/>
          <w:b/>
        </w:rPr>
        <w:t xml:space="preserve">, Isaac </w:t>
      </w:r>
      <w:proofErr w:type="spellStart"/>
      <w:r w:rsidR="001035E5" w:rsidRPr="00321163">
        <w:rPr>
          <w:rFonts w:ascii="Book Antiqua" w:hAnsi="Book Antiqua"/>
          <w:b/>
        </w:rPr>
        <w:t>R</w:t>
      </w:r>
      <w:r w:rsidRPr="00321163">
        <w:rPr>
          <w:rFonts w:ascii="Book Antiqua" w:hAnsi="Book Antiqua"/>
          <w:b/>
        </w:rPr>
        <w:t>aijman</w:t>
      </w:r>
      <w:proofErr w:type="spellEnd"/>
      <w:r w:rsidRPr="00321163">
        <w:rPr>
          <w:rFonts w:ascii="Book Antiqua" w:hAnsi="Book Antiqua"/>
          <w:b/>
        </w:rPr>
        <w:t xml:space="preserve">, Cynthia Man-Wai Tsai, E O’Brian Smith, Mark V </w:t>
      </w:r>
      <w:proofErr w:type="spellStart"/>
      <w:r w:rsidRPr="00321163">
        <w:rPr>
          <w:rFonts w:ascii="Book Antiqua" w:hAnsi="Book Antiqua"/>
          <w:b/>
        </w:rPr>
        <w:t>Mazziotti</w:t>
      </w:r>
      <w:proofErr w:type="spellEnd"/>
      <w:r w:rsidRPr="00321163">
        <w:rPr>
          <w:rFonts w:ascii="Book Antiqua" w:hAnsi="Book Antiqua"/>
          <w:b/>
        </w:rPr>
        <w:t>, Mark A</w:t>
      </w:r>
      <w:r w:rsidR="001035E5" w:rsidRPr="00321163">
        <w:rPr>
          <w:rFonts w:ascii="Book Antiqua" w:hAnsi="Book Antiqua"/>
          <w:b/>
        </w:rPr>
        <w:t xml:space="preserve"> </w:t>
      </w:r>
      <w:proofErr w:type="spellStart"/>
      <w:r w:rsidR="001035E5" w:rsidRPr="00321163">
        <w:rPr>
          <w:rFonts w:ascii="Book Antiqua" w:hAnsi="Book Antiqua"/>
          <w:b/>
        </w:rPr>
        <w:t>Gilger</w:t>
      </w:r>
      <w:proofErr w:type="spellEnd"/>
    </w:p>
    <w:p w14:paraId="726FB718" w14:textId="77777777" w:rsidR="002C3E16" w:rsidRPr="00321163" w:rsidRDefault="002C3E16" w:rsidP="00CA6249">
      <w:pPr>
        <w:spacing w:line="360" w:lineRule="auto"/>
        <w:jc w:val="both"/>
        <w:rPr>
          <w:rFonts w:ascii="Book Antiqua" w:eastAsia="宋体" w:hAnsi="Book Antiqua"/>
          <w:b/>
          <w:lang w:eastAsia="zh-CN"/>
        </w:rPr>
      </w:pPr>
    </w:p>
    <w:p w14:paraId="6F2E5DD3" w14:textId="217DF52D" w:rsidR="001035E5" w:rsidRPr="00321163" w:rsidRDefault="008A19F0" w:rsidP="00CA6249">
      <w:pPr>
        <w:spacing w:line="360" w:lineRule="auto"/>
        <w:jc w:val="both"/>
        <w:rPr>
          <w:rFonts w:ascii="Book Antiqua" w:eastAsia="宋体" w:hAnsi="Book Antiqua"/>
          <w:b/>
          <w:lang w:eastAsia="zh-CN"/>
        </w:rPr>
      </w:pPr>
      <w:r w:rsidRPr="00321163">
        <w:rPr>
          <w:rFonts w:ascii="Book Antiqua" w:hAnsi="Book Antiqua"/>
          <w:b/>
        </w:rPr>
        <w:t>Douglas S Fishman, Bruno P</w:t>
      </w:r>
      <w:r w:rsidR="001035E5" w:rsidRPr="00321163">
        <w:rPr>
          <w:rFonts w:ascii="Book Antiqua" w:hAnsi="Book Antiqua"/>
          <w:b/>
        </w:rPr>
        <w:t xml:space="preserve"> </w:t>
      </w:r>
      <w:proofErr w:type="spellStart"/>
      <w:r w:rsidR="001035E5" w:rsidRPr="00321163">
        <w:rPr>
          <w:rFonts w:ascii="Book Antiqua" w:hAnsi="Book Antiqua"/>
          <w:b/>
        </w:rPr>
        <w:t>Chumpitazi</w:t>
      </w:r>
      <w:proofErr w:type="spellEnd"/>
      <w:r w:rsidR="001035E5" w:rsidRPr="00321163">
        <w:rPr>
          <w:rFonts w:ascii="Book Antiqua" w:hAnsi="Book Antiqua"/>
          <w:b/>
        </w:rPr>
        <w:t xml:space="preserve">, Cynthia Man-Wai Tsai, </w:t>
      </w:r>
      <w:r w:rsidR="001035E5" w:rsidRPr="00321163">
        <w:rPr>
          <w:rFonts w:ascii="Book Antiqua" w:hAnsi="Book Antiqua"/>
        </w:rPr>
        <w:t>Section of Pediatric Gastroenterology, Hepatology and Nutrition, Baylor College of Medicine, Texas Children’s Hospital</w:t>
      </w:r>
      <w:r w:rsidRPr="00321163">
        <w:rPr>
          <w:rFonts w:ascii="Book Antiqua" w:eastAsia="宋体" w:hAnsi="Book Antiqua"/>
          <w:lang w:eastAsia="zh-CN"/>
        </w:rPr>
        <w:t>,</w:t>
      </w:r>
      <w:r w:rsidR="001035E5" w:rsidRPr="00321163">
        <w:rPr>
          <w:rFonts w:ascii="Book Antiqua" w:hAnsi="Book Antiqua"/>
        </w:rPr>
        <w:t xml:space="preserve"> Houston, T</w:t>
      </w:r>
      <w:r w:rsidRPr="00321163">
        <w:rPr>
          <w:rFonts w:ascii="Book Antiqua" w:eastAsia="宋体" w:hAnsi="Book Antiqua"/>
          <w:lang w:eastAsia="zh-CN"/>
        </w:rPr>
        <w:t>X</w:t>
      </w:r>
      <w:r w:rsidR="001035E5" w:rsidRPr="00321163">
        <w:rPr>
          <w:rFonts w:ascii="Book Antiqua" w:hAnsi="Book Antiqua"/>
        </w:rPr>
        <w:t xml:space="preserve"> 77030</w:t>
      </w:r>
      <w:r w:rsidRPr="00321163">
        <w:rPr>
          <w:rFonts w:ascii="Book Antiqua" w:eastAsia="宋体" w:hAnsi="Book Antiqua"/>
          <w:lang w:eastAsia="zh-CN"/>
        </w:rPr>
        <w:t>, United States</w:t>
      </w:r>
    </w:p>
    <w:p w14:paraId="3E88549A" w14:textId="77777777" w:rsidR="001035E5" w:rsidRPr="00321163" w:rsidRDefault="001035E5" w:rsidP="00CA6249">
      <w:pPr>
        <w:spacing w:line="360" w:lineRule="auto"/>
        <w:jc w:val="both"/>
        <w:rPr>
          <w:rFonts w:ascii="Book Antiqua" w:hAnsi="Book Antiqua"/>
          <w:b/>
        </w:rPr>
      </w:pPr>
    </w:p>
    <w:p w14:paraId="3EBABA0D" w14:textId="3CD610B5" w:rsidR="001035E5" w:rsidRPr="00321163" w:rsidRDefault="001035E5" w:rsidP="00CA6249">
      <w:pPr>
        <w:spacing w:line="360" w:lineRule="auto"/>
        <w:jc w:val="both"/>
        <w:rPr>
          <w:rFonts w:ascii="Book Antiqua" w:hAnsi="Book Antiqua"/>
          <w:b/>
        </w:rPr>
      </w:pPr>
      <w:r w:rsidRPr="00321163">
        <w:rPr>
          <w:rFonts w:ascii="Book Antiqua" w:hAnsi="Book Antiqua"/>
          <w:b/>
        </w:rPr>
        <w:t xml:space="preserve">Isaac </w:t>
      </w:r>
      <w:proofErr w:type="spellStart"/>
      <w:r w:rsidRPr="00321163">
        <w:rPr>
          <w:rFonts w:ascii="Book Antiqua" w:hAnsi="Book Antiqua"/>
          <w:b/>
        </w:rPr>
        <w:t>Raijman</w:t>
      </w:r>
      <w:proofErr w:type="spellEnd"/>
      <w:r w:rsidRPr="00321163">
        <w:rPr>
          <w:rFonts w:ascii="Book Antiqua" w:hAnsi="Book Antiqua"/>
          <w:b/>
        </w:rPr>
        <w:t xml:space="preserve">, </w:t>
      </w:r>
      <w:r w:rsidRPr="00321163">
        <w:rPr>
          <w:rFonts w:ascii="Book Antiqua" w:hAnsi="Book Antiqua"/>
        </w:rPr>
        <w:t>Digestive Associates of Houston</w:t>
      </w:r>
      <w:r w:rsidR="008A19F0" w:rsidRPr="00321163">
        <w:rPr>
          <w:rFonts w:ascii="Book Antiqua" w:eastAsia="宋体" w:hAnsi="Book Antiqua"/>
          <w:lang w:eastAsia="zh-CN"/>
        </w:rPr>
        <w:t>,</w:t>
      </w:r>
      <w:r w:rsidRPr="00321163">
        <w:rPr>
          <w:rFonts w:ascii="Book Antiqua" w:hAnsi="Book Antiqua"/>
        </w:rPr>
        <w:t xml:space="preserve"> Houston, </w:t>
      </w:r>
      <w:r w:rsidR="008A19F0" w:rsidRPr="00321163">
        <w:rPr>
          <w:rFonts w:ascii="Book Antiqua" w:hAnsi="Book Antiqua"/>
        </w:rPr>
        <w:t>T</w:t>
      </w:r>
      <w:r w:rsidR="008A19F0" w:rsidRPr="00321163">
        <w:rPr>
          <w:rFonts w:ascii="Book Antiqua" w:eastAsia="宋体" w:hAnsi="Book Antiqua"/>
          <w:lang w:eastAsia="zh-CN"/>
        </w:rPr>
        <w:t>X</w:t>
      </w:r>
      <w:r w:rsidRPr="00321163">
        <w:rPr>
          <w:rFonts w:ascii="Book Antiqua" w:hAnsi="Book Antiqua"/>
        </w:rPr>
        <w:t xml:space="preserve"> 77098</w:t>
      </w:r>
      <w:r w:rsidR="008A19F0" w:rsidRPr="00321163">
        <w:rPr>
          <w:rFonts w:ascii="Book Antiqua" w:eastAsia="宋体" w:hAnsi="Book Antiqua"/>
          <w:lang w:eastAsia="zh-CN"/>
        </w:rPr>
        <w:t>, United States</w:t>
      </w:r>
    </w:p>
    <w:p w14:paraId="22EA92A7" w14:textId="77777777" w:rsidR="001035E5" w:rsidRPr="00321163" w:rsidRDefault="001035E5" w:rsidP="00CA6249">
      <w:pPr>
        <w:spacing w:line="360" w:lineRule="auto"/>
        <w:jc w:val="both"/>
        <w:rPr>
          <w:rFonts w:ascii="Book Antiqua" w:hAnsi="Book Antiqua"/>
          <w:b/>
        </w:rPr>
      </w:pPr>
    </w:p>
    <w:p w14:paraId="086000A4" w14:textId="3B92BF26" w:rsidR="001035E5" w:rsidRPr="00321163" w:rsidRDefault="008A19F0" w:rsidP="00CA6249">
      <w:pPr>
        <w:spacing w:line="360" w:lineRule="auto"/>
        <w:jc w:val="both"/>
        <w:rPr>
          <w:rFonts w:ascii="Book Antiqua" w:eastAsia="宋体" w:hAnsi="Book Antiqua"/>
          <w:b/>
          <w:lang w:eastAsia="zh-CN"/>
        </w:rPr>
      </w:pPr>
      <w:r w:rsidRPr="00321163">
        <w:rPr>
          <w:rFonts w:ascii="Book Antiqua" w:hAnsi="Book Antiqua"/>
          <w:b/>
        </w:rPr>
        <w:t>E</w:t>
      </w:r>
      <w:r w:rsidR="001035E5" w:rsidRPr="00321163">
        <w:rPr>
          <w:rFonts w:ascii="Book Antiqua" w:hAnsi="Book Antiqua"/>
          <w:b/>
        </w:rPr>
        <w:t xml:space="preserve"> O’Brian Smith, </w:t>
      </w:r>
      <w:r w:rsidR="001035E5" w:rsidRPr="00321163">
        <w:rPr>
          <w:rFonts w:ascii="Book Antiqua" w:hAnsi="Book Antiqua"/>
        </w:rPr>
        <w:t>Department of Pediatrics, Baylor College of Medicine</w:t>
      </w:r>
      <w:r w:rsidRPr="00321163">
        <w:rPr>
          <w:rFonts w:ascii="Book Antiqua" w:eastAsia="宋体" w:hAnsi="Book Antiqua"/>
          <w:lang w:eastAsia="zh-CN"/>
        </w:rPr>
        <w:t>,</w:t>
      </w:r>
      <w:r w:rsidRPr="00321163">
        <w:rPr>
          <w:rFonts w:ascii="Book Antiqua" w:hAnsi="Book Antiqua"/>
        </w:rPr>
        <w:t xml:space="preserve"> Houston, T</w:t>
      </w:r>
      <w:r w:rsidRPr="00321163">
        <w:rPr>
          <w:rFonts w:ascii="Book Antiqua" w:eastAsia="宋体" w:hAnsi="Book Antiqua"/>
          <w:lang w:eastAsia="zh-CN"/>
        </w:rPr>
        <w:t>X</w:t>
      </w:r>
      <w:r w:rsidR="001035E5" w:rsidRPr="00321163">
        <w:rPr>
          <w:rFonts w:ascii="Book Antiqua" w:hAnsi="Book Antiqua"/>
        </w:rPr>
        <w:t xml:space="preserve"> 77030</w:t>
      </w:r>
      <w:r w:rsidRPr="00321163">
        <w:rPr>
          <w:rFonts w:ascii="Book Antiqua" w:eastAsia="宋体" w:hAnsi="Book Antiqua"/>
          <w:lang w:eastAsia="zh-CN"/>
        </w:rPr>
        <w:t>, United States</w:t>
      </w:r>
    </w:p>
    <w:p w14:paraId="22511DAD" w14:textId="77777777" w:rsidR="001035E5" w:rsidRPr="00321163" w:rsidRDefault="001035E5" w:rsidP="00CA6249">
      <w:pPr>
        <w:spacing w:line="360" w:lineRule="auto"/>
        <w:jc w:val="both"/>
        <w:rPr>
          <w:rFonts w:ascii="Book Antiqua" w:hAnsi="Book Antiqua"/>
          <w:b/>
        </w:rPr>
      </w:pPr>
    </w:p>
    <w:p w14:paraId="7ADD8985" w14:textId="15B1D061" w:rsidR="008A19F0" w:rsidRPr="00321163" w:rsidRDefault="008A19F0" w:rsidP="00CA6249">
      <w:pPr>
        <w:spacing w:line="360" w:lineRule="auto"/>
        <w:jc w:val="both"/>
        <w:rPr>
          <w:rFonts w:ascii="Book Antiqua" w:eastAsia="宋体" w:hAnsi="Book Antiqua"/>
          <w:b/>
          <w:lang w:eastAsia="zh-CN"/>
        </w:rPr>
      </w:pPr>
      <w:r w:rsidRPr="00321163">
        <w:rPr>
          <w:rFonts w:ascii="Book Antiqua" w:hAnsi="Book Antiqua"/>
          <w:b/>
        </w:rPr>
        <w:t xml:space="preserve">Mark V </w:t>
      </w:r>
      <w:proofErr w:type="spellStart"/>
      <w:r w:rsidRPr="00321163">
        <w:rPr>
          <w:rFonts w:ascii="Book Antiqua" w:hAnsi="Book Antiqua"/>
          <w:b/>
        </w:rPr>
        <w:t>Mazziotti</w:t>
      </w:r>
      <w:proofErr w:type="spellEnd"/>
      <w:r w:rsidRPr="00321163">
        <w:rPr>
          <w:rFonts w:ascii="Book Antiqua" w:hAnsi="Book Antiqua"/>
          <w:b/>
        </w:rPr>
        <w:t>, Michael E</w:t>
      </w:r>
      <w:r w:rsidR="001035E5" w:rsidRPr="00321163">
        <w:rPr>
          <w:rFonts w:ascii="Book Antiqua" w:hAnsi="Book Antiqua"/>
          <w:b/>
        </w:rPr>
        <w:t xml:space="preserve"> </w:t>
      </w:r>
      <w:proofErr w:type="spellStart"/>
      <w:r w:rsidR="001035E5" w:rsidRPr="00321163">
        <w:rPr>
          <w:rFonts w:ascii="Book Antiqua" w:hAnsi="Book Antiqua"/>
          <w:b/>
        </w:rPr>
        <w:t>Debakey</w:t>
      </w:r>
      <w:proofErr w:type="spellEnd"/>
      <w:r w:rsidRPr="00321163">
        <w:rPr>
          <w:rFonts w:ascii="Book Antiqua" w:eastAsia="宋体" w:hAnsi="Book Antiqua"/>
          <w:b/>
          <w:lang w:eastAsia="zh-CN"/>
        </w:rPr>
        <w:t>,</w:t>
      </w:r>
      <w:r w:rsidR="001035E5" w:rsidRPr="00321163">
        <w:rPr>
          <w:rFonts w:ascii="Book Antiqua" w:hAnsi="Book Antiqua"/>
        </w:rPr>
        <w:t xml:space="preserve"> Department of Surgery, Section of Pediatric Surgery, Baylor College of Medicine</w:t>
      </w:r>
      <w:r w:rsidRPr="00321163">
        <w:rPr>
          <w:rFonts w:ascii="Book Antiqua" w:eastAsia="宋体" w:hAnsi="Book Antiqua"/>
          <w:lang w:eastAsia="zh-CN"/>
        </w:rPr>
        <w:t>,</w:t>
      </w:r>
      <w:r w:rsidRPr="00321163">
        <w:rPr>
          <w:rFonts w:ascii="Book Antiqua" w:hAnsi="Book Antiqua"/>
        </w:rPr>
        <w:t xml:space="preserve"> Houston, T</w:t>
      </w:r>
      <w:r w:rsidRPr="00321163">
        <w:rPr>
          <w:rFonts w:ascii="Book Antiqua" w:eastAsia="宋体" w:hAnsi="Book Antiqua"/>
          <w:lang w:eastAsia="zh-CN"/>
        </w:rPr>
        <w:t>X</w:t>
      </w:r>
      <w:r w:rsidRPr="00321163">
        <w:rPr>
          <w:rFonts w:ascii="Book Antiqua" w:hAnsi="Book Antiqua"/>
        </w:rPr>
        <w:t xml:space="preserve"> 77030</w:t>
      </w:r>
      <w:r w:rsidRPr="00321163">
        <w:rPr>
          <w:rFonts w:ascii="Book Antiqua" w:eastAsia="宋体" w:hAnsi="Book Antiqua"/>
          <w:lang w:eastAsia="zh-CN"/>
        </w:rPr>
        <w:t>, United States</w:t>
      </w:r>
    </w:p>
    <w:p w14:paraId="24E5D216" w14:textId="77777777" w:rsidR="001035E5" w:rsidRPr="00321163" w:rsidRDefault="001035E5" w:rsidP="00CA6249">
      <w:pPr>
        <w:spacing w:line="360" w:lineRule="auto"/>
        <w:jc w:val="both"/>
        <w:rPr>
          <w:rFonts w:ascii="Book Antiqua" w:eastAsia="宋体" w:hAnsi="Book Antiqua"/>
          <w:b/>
          <w:lang w:eastAsia="zh-CN"/>
        </w:rPr>
      </w:pPr>
    </w:p>
    <w:p w14:paraId="58CABBA4" w14:textId="0A67ED99" w:rsidR="001035E5" w:rsidRPr="00321163" w:rsidRDefault="008A19F0" w:rsidP="00CA6249">
      <w:pPr>
        <w:spacing w:line="360" w:lineRule="auto"/>
        <w:jc w:val="both"/>
        <w:rPr>
          <w:rFonts w:ascii="Book Antiqua" w:hAnsi="Book Antiqua"/>
          <w:b/>
        </w:rPr>
      </w:pPr>
      <w:r w:rsidRPr="00321163">
        <w:rPr>
          <w:rFonts w:ascii="Book Antiqua" w:hAnsi="Book Antiqua"/>
          <w:b/>
        </w:rPr>
        <w:t>Mark A</w:t>
      </w:r>
      <w:r w:rsidR="001035E5" w:rsidRPr="00321163">
        <w:rPr>
          <w:rFonts w:ascii="Book Antiqua" w:hAnsi="Book Antiqua"/>
          <w:b/>
        </w:rPr>
        <w:t xml:space="preserve"> Gilger</w:t>
      </w:r>
      <w:r w:rsidRPr="00321163">
        <w:rPr>
          <w:rFonts w:ascii="Book Antiqua" w:eastAsia="宋体" w:hAnsi="Book Antiqua"/>
          <w:b/>
          <w:lang w:eastAsia="zh-CN"/>
        </w:rPr>
        <w:t>,</w:t>
      </w:r>
      <w:r w:rsidR="001035E5" w:rsidRPr="00321163">
        <w:rPr>
          <w:rFonts w:ascii="Book Antiqua" w:hAnsi="Book Antiqua"/>
          <w:b/>
        </w:rPr>
        <w:t xml:space="preserve"> </w:t>
      </w:r>
      <w:r w:rsidR="001035E5" w:rsidRPr="00321163">
        <w:rPr>
          <w:rFonts w:ascii="Book Antiqua" w:hAnsi="Book Antiqua"/>
        </w:rPr>
        <w:t>Department of Pediatrics, Baylor College of Medicine, Children’s Hospital of San Antonio</w:t>
      </w:r>
      <w:r w:rsidRPr="00321163">
        <w:rPr>
          <w:rFonts w:ascii="Book Antiqua" w:eastAsia="宋体" w:hAnsi="Book Antiqua"/>
          <w:lang w:eastAsia="zh-CN"/>
        </w:rPr>
        <w:t xml:space="preserve">, </w:t>
      </w:r>
      <w:r w:rsidR="001035E5" w:rsidRPr="00321163">
        <w:rPr>
          <w:rFonts w:ascii="Book Antiqua" w:hAnsi="Book Antiqua"/>
        </w:rPr>
        <w:t xml:space="preserve">San Antonio, </w:t>
      </w:r>
      <w:r w:rsidRPr="00321163">
        <w:rPr>
          <w:rFonts w:ascii="Book Antiqua" w:hAnsi="Book Antiqua"/>
        </w:rPr>
        <w:t>T</w:t>
      </w:r>
      <w:r w:rsidRPr="00321163">
        <w:rPr>
          <w:rFonts w:ascii="Book Antiqua" w:eastAsia="宋体" w:hAnsi="Book Antiqua"/>
          <w:lang w:eastAsia="zh-CN"/>
        </w:rPr>
        <w:t>X</w:t>
      </w:r>
      <w:r w:rsidR="001035E5" w:rsidRPr="00321163">
        <w:rPr>
          <w:rFonts w:ascii="Book Antiqua" w:hAnsi="Book Antiqua"/>
        </w:rPr>
        <w:t xml:space="preserve"> 78207</w:t>
      </w:r>
      <w:r w:rsidRPr="00321163">
        <w:rPr>
          <w:rFonts w:ascii="Book Antiqua" w:eastAsia="宋体" w:hAnsi="Book Antiqua"/>
          <w:lang w:eastAsia="zh-CN"/>
        </w:rPr>
        <w:t>, United States</w:t>
      </w:r>
    </w:p>
    <w:p w14:paraId="7C8F4523" w14:textId="4274BC90" w:rsidR="00BD36C7" w:rsidRPr="00321163" w:rsidRDefault="001035E5" w:rsidP="00CA6249">
      <w:pPr>
        <w:spacing w:line="360" w:lineRule="auto"/>
        <w:jc w:val="both"/>
        <w:rPr>
          <w:rFonts w:ascii="Book Antiqua" w:eastAsia="宋体" w:hAnsi="Book Antiqua"/>
          <w:b/>
          <w:lang w:eastAsia="zh-CN"/>
        </w:rPr>
      </w:pPr>
      <w:r w:rsidRPr="00321163">
        <w:rPr>
          <w:rFonts w:ascii="Book Antiqua" w:hAnsi="Book Antiqua"/>
          <w:b/>
        </w:rPr>
        <w:t xml:space="preserve"> </w:t>
      </w:r>
    </w:p>
    <w:p w14:paraId="1CCC8ADD" w14:textId="44CD7F8C" w:rsidR="001035E5" w:rsidRPr="00321163" w:rsidRDefault="000B492B" w:rsidP="00CA6249">
      <w:pPr>
        <w:spacing w:line="360" w:lineRule="auto"/>
        <w:jc w:val="both"/>
        <w:rPr>
          <w:rFonts w:ascii="Book Antiqua" w:hAnsi="Book Antiqua"/>
          <w:b/>
        </w:rPr>
      </w:pPr>
      <w:r w:rsidRPr="00321163">
        <w:rPr>
          <w:rFonts w:ascii="Book Antiqua" w:hAnsi="Book Antiqua"/>
          <w:b/>
        </w:rPr>
        <w:lastRenderedPageBreak/>
        <w:t>Author contributions:</w:t>
      </w:r>
      <w:r w:rsidRPr="00321163">
        <w:rPr>
          <w:rFonts w:ascii="Book Antiqua" w:eastAsia="宋体" w:hAnsi="Book Antiqua"/>
          <w:b/>
          <w:lang w:eastAsia="zh-CN"/>
        </w:rPr>
        <w:t xml:space="preserve"> </w:t>
      </w:r>
      <w:r w:rsidR="00067B90" w:rsidRPr="00321163">
        <w:rPr>
          <w:rFonts w:ascii="Book Antiqua" w:hAnsi="Book Antiqua"/>
        </w:rPr>
        <w:t>Fishman DS</w:t>
      </w:r>
      <w:r w:rsidR="001035E5" w:rsidRPr="00321163">
        <w:rPr>
          <w:rFonts w:ascii="Book Antiqua" w:hAnsi="Book Antiqua"/>
        </w:rPr>
        <w:t xml:space="preserve"> designed and performed the research and wrote the manuscript; </w:t>
      </w:r>
      <w:proofErr w:type="spellStart"/>
      <w:r w:rsidR="00067B90" w:rsidRPr="00321163">
        <w:rPr>
          <w:rFonts w:ascii="Book Antiqua" w:hAnsi="Book Antiqua"/>
        </w:rPr>
        <w:t>Chumpitazi</w:t>
      </w:r>
      <w:proofErr w:type="spellEnd"/>
      <w:r w:rsidR="00067B90" w:rsidRPr="00321163">
        <w:rPr>
          <w:rFonts w:ascii="Book Antiqua" w:hAnsi="Book Antiqua"/>
        </w:rPr>
        <w:t xml:space="preserve"> BP designed and performed the research, wrote the manuscript and edited and approved the final manuscript</w:t>
      </w:r>
      <w:r w:rsidRPr="00321163">
        <w:rPr>
          <w:rFonts w:ascii="Book Antiqua" w:eastAsia="宋体" w:hAnsi="Book Antiqua"/>
          <w:lang w:eastAsia="zh-CN"/>
        </w:rPr>
        <w:t>;</w:t>
      </w:r>
      <w:r w:rsidR="00067B90" w:rsidRPr="00321163">
        <w:rPr>
          <w:rFonts w:ascii="Book Antiqua" w:hAnsi="Book Antiqua"/>
        </w:rPr>
        <w:t xml:space="preserve"> </w:t>
      </w:r>
      <w:proofErr w:type="spellStart"/>
      <w:r w:rsidR="00067B90" w:rsidRPr="00321163">
        <w:rPr>
          <w:rFonts w:ascii="Book Antiqua" w:hAnsi="Book Antiqua"/>
        </w:rPr>
        <w:t>Raijman</w:t>
      </w:r>
      <w:proofErr w:type="spellEnd"/>
      <w:r w:rsidRPr="00321163">
        <w:rPr>
          <w:rFonts w:ascii="Book Antiqua" w:hAnsi="Book Antiqua"/>
        </w:rPr>
        <w:t xml:space="preserve"> I</w:t>
      </w:r>
      <w:r w:rsidR="00067B90" w:rsidRPr="00321163">
        <w:rPr>
          <w:rFonts w:ascii="Book Antiqua" w:hAnsi="Book Antiqua"/>
        </w:rPr>
        <w:t xml:space="preserve"> designed the research, supervised the report, contributed to the analysis, edited and approved the final manuscript; Smith EO performed the statistical analysis and supervised the report; </w:t>
      </w:r>
      <w:r w:rsidR="00431DF2" w:rsidRPr="00321163">
        <w:rPr>
          <w:rFonts w:ascii="Book Antiqua" w:hAnsi="Book Antiqua"/>
        </w:rPr>
        <w:t xml:space="preserve">Tsai </w:t>
      </w:r>
      <w:r w:rsidR="008B4A28" w:rsidRPr="00321163">
        <w:rPr>
          <w:rFonts w:ascii="Book Antiqua" w:eastAsia="宋体" w:hAnsi="Book Antiqua"/>
          <w:lang w:eastAsia="zh-CN"/>
        </w:rPr>
        <w:t xml:space="preserve">CMW and </w:t>
      </w:r>
      <w:proofErr w:type="spellStart"/>
      <w:r w:rsidR="008B4A28" w:rsidRPr="00321163">
        <w:rPr>
          <w:rFonts w:ascii="Book Antiqua" w:hAnsi="Book Antiqua"/>
        </w:rPr>
        <w:t>Mazziotti</w:t>
      </w:r>
      <w:proofErr w:type="spellEnd"/>
      <w:r w:rsidR="008B4A28" w:rsidRPr="00321163">
        <w:rPr>
          <w:rFonts w:ascii="Book Antiqua" w:hAnsi="Book Antiqua"/>
        </w:rPr>
        <w:t xml:space="preserve"> MV </w:t>
      </w:r>
      <w:r w:rsidR="00431DF2" w:rsidRPr="00321163">
        <w:rPr>
          <w:rFonts w:ascii="Book Antiqua" w:hAnsi="Book Antiqua"/>
        </w:rPr>
        <w:t>contributed to the analysis</w:t>
      </w:r>
      <w:r w:rsidR="008B4A28" w:rsidRPr="00321163">
        <w:rPr>
          <w:rFonts w:ascii="Book Antiqua" w:eastAsia="宋体" w:hAnsi="Book Antiqua"/>
          <w:lang w:eastAsia="zh-CN"/>
        </w:rPr>
        <w:t xml:space="preserve">, </w:t>
      </w:r>
      <w:r w:rsidR="00431DF2" w:rsidRPr="00321163">
        <w:rPr>
          <w:rFonts w:ascii="Book Antiqua" w:hAnsi="Book Antiqua"/>
        </w:rPr>
        <w:t xml:space="preserve">edited and approved the final manuscript; </w:t>
      </w:r>
      <w:r w:rsidRPr="00321163">
        <w:rPr>
          <w:rFonts w:ascii="Book Antiqua" w:hAnsi="Book Antiqua"/>
        </w:rPr>
        <w:t>Gilger MA</w:t>
      </w:r>
      <w:r w:rsidR="00067B90" w:rsidRPr="00321163">
        <w:rPr>
          <w:rFonts w:ascii="Book Antiqua" w:hAnsi="Book Antiqua"/>
        </w:rPr>
        <w:t xml:space="preserve"> designed and performed the research, supervised the report and contributed to the analysis and final editing and approval of the manuscript.</w:t>
      </w:r>
    </w:p>
    <w:p w14:paraId="246072FE" w14:textId="77777777" w:rsidR="000B492B" w:rsidRPr="00321163" w:rsidRDefault="000B492B" w:rsidP="00CA6249">
      <w:pPr>
        <w:spacing w:line="360" w:lineRule="auto"/>
        <w:jc w:val="both"/>
        <w:rPr>
          <w:rFonts w:ascii="Book Antiqua" w:eastAsia="宋体" w:hAnsi="Book Antiqua"/>
          <w:b/>
          <w:lang w:eastAsia="zh-CN"/>
        </w:rPr>
      </w:pPr>
    </w:p>
    <w:p w14:paraId="110FBDAA" w14:textId="28D0BF46" w:rsidR="00067B90" w:rsidRPr="00321163" w:rsidRDefault="0020268F" w:rsidP="00CA6249">
      <w:pPr>
        <w:autoSpaceDE w:val="0"/>
        <w:autoSpaceDN w:val="0"/>
        <w:adjustRightInd w:val="0"/>
        <w:spacing w:line="360" w:lineRule="auto"/>
        <w:jc w:val="both"/>
        <w:rPr>
          <w:rFonts w:ascii="Book Antiqua" w:eastAsia="宋体" w:hAnsi="Book Antiqua"/>
          <w:bCs/>
          <w:iCs/>
          <w:lang w:eastAsia="zh-CN"/>
        </w:rPr>
      </w:pPr>
      <w:r w:rsidRPr="00321163">
        <w:rPr>
          <w:rFonts w:ascii="Book Antiqua" w:hAnsi="Book Antiqua"/>
          <w:b/>
        </w:rPr>
        <w:t>Institutional review board statement</w:t>
      </w:r>
      <w:r w:rsidRPr="00321163">
        <w:rPr>
          <w:rFonts w:ascii="Book Antiqua" w:hAnsi="Book Antiqua"/>
          <w:b/>
          <w:iCs/>
        </w:rPr>
        <w:t xml:space="preserve">: </w:t>
      </w:r>
      <w:r w:rsidR="00067B90" w:rsidRPr="00321163">
        <w:rPr>
          <w:rFonts w:ascii="Book Antiqua" w:hAnsi="Book Antiqua"/>
          <w:bCs/>
          <w:iCs/>
        </w:rPr>
        <w:t>This study was approved by the Baylor College of Medicine Institutional Review Board</w:t>
      </w:r>
      <w:r w:rsidRPr="00321163">
        <w:rPr>
          <w:rFonts w:ascii="Book Antiqua" w:eastAsia="宋体" w:hAnsi="Book Antiqua"/>
          <w:bCs/>
          <w:iCs/>
          <w:lang w:eastAsia="zh-CN"/>
        </w:rPr>
        <w:t>.</w:t>
      </w:r>
    </w:p>
    <w:p w14:paraId="5B06A40F" w14:textId="77777777" w:rsidR="0020268F" w:rsidRPr="00321163" w:rsidRDefault="0020268F" w:rsidP="00CA6249">
      <w:pPr>
        <w:autoSpaceDE w:val="0"/>
        <w:autoSpaceDN w:val="0"/>
        <w:adjustRightInd w:val="0"/>
        <w:spacing w:line="360" w:lineRule="auto"/>
        <w:jc w:val="both"/>
        <w:rPr>
          <w:rFonts w:ascii="Book Antiqua" w:eastAsia="宋体" w:hAnsi="Book Antiqua"/>
          <w:bCs/>
          <w:iCs/>
          <w:lang w:eastAsia="zh-CN"/>
        </w:rPr>
      </w:pPr>
    </w:p>
    <w:p w14:paraId="2952CFCC" w14:textId="7B08488B" w:rsidR="00067B90" w:rsidRPr="00321163" w:rsidRDefault="0020268F" w:rsidP="00CA6249">
      <w:pPr>
        <w:autoSpaceDE w:val="0"/>
        <w:autoSpaceDN w:val="0"/>
        <w:adjustRightInd w:val="0"/>
        <w:spacing w:line="360" w:lineRule="auto"/>
        <w:jc w:val="both"/>
        <w:rPr>
          <w:rFonts w:ascii="Book Antiqua" w:eastAsia="宋体" w:hAnsi="Book Antiqua"/>
          <w:bCs/>
          <w:iCs/>
          <w:lang w:eastAsia="zh-CN"/>
        </w:rPr>
      </w:pPr>
      <w:r w:rsidRPr="00321163">
        <w:rPr>
          <w:rFonts w:ascii="Book Antiqua" w:hAnsi="Book Antiqua"/>
          <w:b/>
        </w:rPr>
        <w:t>Informed consent statement</w:t>
      </w:r>
      <w:r w:rsidRPr="00321163">
        <w:rPr>
          <w:rFonts w:ascii="Book Antiqua" w:hAnsi="Book Antiqua"/>
          <w:b/>
          <w:iCs/>
        </w:rPr>
        <w:t>:</w:t>
      </w:r>
      <w:r w:rsidRPr="00321163">
        <w:rPr>
          <w:rFonts w:ascii="Book Antiqua" w:eastAsia="宋体" w:hAnsi="Book Antiqua"/>
          <w:b/>
          <w:iCs/>
          <w:lang w:eastAsia="zh-CN"/>
        </w:rPr>
        <w:t xml:space="preserve"> </w:t>
      </w:r>
      <w:r w:rsidR="00067B90" w:rsidRPr="00321163">
        <w:rPr>
          <w:rFonts w:ascii="Book Antiqua" w:hAnsi="Book Antiqua"/>
          <w:bCs/>
          <w:iCs/>
        </w:rPr>
        <w:t>A waiver for informed consent was approved by the Baylor College of Medicine Institutional Review Board.</w:t>
      </w:r>
      <w:r w:rsidR="00922966" w:rsidRPr="00321163">
        <w:rPr>
          <w:rFonts w:ascii="Book Antiqua" w:hAnsi="Book Antiqua"/>
          <w:bCs/>
          <w:iCs/>
        </w:rPr>
        <w:t xml:space="preserve"> </w:t>
      </w:r>
      <w:r w:rsidR="00067B90" w:rsidRPr="00321163">
        <w:rPr>
          <w:rFonts w:ascii="Book Antiqua" w:hAnsi="Book Antiqua"/>
          <w:bCs/>
          <w:iCs/>
        </w:rPr>
        <w:t>Patients were not required to give informed consent to the study because the analysis used a limited data sent.</w:t>
      </w:r>
      <w:r w:rsidR="00922966" w:rsidRPr="00321163">
        <w:rPr>
          <w:rFonts w:ascii="Book Antiqua" w:hAnsi="Book Antiqua"/>
          <w:bCs/>
          <w:iCs/>
        </w:rPr>
        <w:t xml:space="preserve"> </w:t>
      </w:r>
    </w:p>
    <w:p w14:paraId="463FDDF3" w14:textId="77777777" w:rsidR="0020268F" w:rsidRPr="00321163" w:rsidRDefault="0020268F" w:rsidP="00CA6249">
      <w:pPr>
        <w:autoSpaceDE w:val="0"/>
        <w:autoSpaceDN w:val="0"/>
        <w:adjustRightInd w:val="0"/>
        <w:spacing w:line="360" w:lineRule="auto"/>
        <w:jc w:val="both"/>
        <w:rPr>
          <w:rFonts w:ascii="Book Antiqua" w:eastAsia="宋体" w:hAnsi="Book Antiqua"/>
          <w:b/>
          <w:bCs/>
          <w:iCs/>
          <w:lang w:eastAsia="zh-CN"/>
        </w:rPr>
      </w:pPr>
    </w:p>
    <w:p w14:paraId="2C3DD69B" w14:textId="6BB76395" w:rsidR="00067B90" w:rsidRPr="00321163" w:rsidRDefault="0020268F" w:rsidP="00CA6249">
      <w:pPr>
        <w:spacing w:line="360" w:lineRule="auto"/>
        <w:jc w:val="both"/>
        <w:rPr>
          <w:rFonts w:ascii="Book Antiqua" w:eastAsia="宋体" w:hAnsi="Book Antiqua"/>
          <w:b/>
          <w:lang w:eastAsia="zh-CN"/>
        </w:rPr>
      </w:pPr>
      <w:r w:rsidRPr="00321163">
        <w:rPr>
          <w:rFonts w:ascii="Book Antiqua" w:hAnsi="Book Antiqua"/>
          <w:b/>
        </w:rPr>
        <w:t>Conflict-of-interest statement</w:t>
      </w:r>
      <w:r w:rsidRPr="00321163">
        <w:rPr>
          <w:rFonts w:ascii="Book Antiqua" w:hAnsi="Book Antiqua" w:cs="TimesNewRomanPS-BoldItalicMT"/>
          <w:b/>
          <w:iCs/>
        </w:rPr>
        <w:t>:</w:t>
      </w:r>
      <w:r w:rsidRPr="00321163">
        <w:rPr>
          <w:rFonts w:ascii="Book Antiqua" w:eastAsia="宋体" w:hAnsi="Book Antiqua" w:cs="TimesNewRomanPS-BoldItalicMT"/>
          <w:b/>
          <w:iCs/>
          <w:lang w:eastAsia="zh-CN"/>
        </w:rPr>
        <w:t xml:space="preserve"> </w:t>
      </w:r>
      <w:r w:rsidR="00067B90" w:rsidRPr="00321163">
        <w:rPr>
          <w:rFonts w:ascii="Book Antiqua" w:hAnsi="Book Antiqua"/>
        </w:rPr>
        <w:t xml:space="preserve">Dr. Douglas Fishman is on an advisory board for </w:t>
      </w:r>
      <w:proofErr w:type="spellStart"/>
      <w:r w:rsidR="00067B90" w:rsidRPr="00321163">
        <w:rPr>
          <w:rFonts w:ascii="Book Antiqua" w:hAnsi="Book Antiqua"/>
        </w:rPr>
        <w:t>Norgine</w:t>
      </w:r>
      <w:proofErr w:type="spellEnd"/>
      <w:r w:rsidR="00067B90" w:rsidRPr="00321163">
        <w:rPr>
          <w:rFonts w:ascii="Book Antiqua" w:hAnsi="Book Antiqua"/>
        </w:rPr>
        <w:t xml:space="preserve"> Pharmaceuticals, and has served as a consultant for Cook Medical.</w:t>
      </w:r>
      <w:r w:rsidR="00922966" w:rsidRPr="00321163">
        <w:rPr>
          <w:rFonts w:ascii="Book Antiqua" w:hAnsi="Book Antiqua"/>
        </w:rPr>
        <w:t xml:space="preserve"> </w:t>
      </w:r>
      <w:r w:rsidR="00067B90" w:rsidRPr="00321163">
        <w:rPr>
          <w:rFonts w:ascii="Book Antiqua" w:hAnsi="Book Antiqua"/>
        </w:rPr>
        <w:t xml:space="preserve">Dr. </w:t>
      </w:r>
      <w:proofErr w:type="spellStart"/>
      <w:r w:rsidR="00067B90" w:rsidRPr="00321163">
        <w:rPr>
          <w:rFonts w:ascii="Book Antiqua" w:hAnsi="Book Antiqua"/>
        </w:rPr>
        <w:t>Raijman</w:t>
      </w:r>
      <w:proofErr w:type="spellEnd"/>
      <w:r w:rsidR="00067B90" w:rsidRPr="00321163">
        <w:rPr>
          <w:rFonts w:ascii="Book Antiqua" w:hAnsi="Book Antiqua"/>
        </w:rPr>
        <w:t xml:space="preserve"> is a speaker and consultant for Boston Scientific.</w:t>
      </w:r>
    </w:p>
    <w:p w14:paraId="464909C9" w14:textId="77777777" w:rsidR="00067B90" w:rsidRPr="00321163" w:rsidRDefault="00067B90" w:rsidP="00CA6249">
      <w:pPr>
        <w:autoSpaceDE w:val="0"/>
        <w:autoSpaceDN w:val="0"/>
        <w:adjustRightInd w:val="0"/>
        <w:spacing w:line="360" w:lineRule="auto"/>
        <w:jc w:val="both"/>
        <w:rPr>
          <w:rFonts w:ascii="Book Antiqua" w:hAnsi="Book Antiqua"/>
          <w:b/>
          <w:bCs/>
          <w:i/>
          <w:iCs/>
        </w:rPr>
      </w:pPr>
    </w:p>
    <w:p w14:paraId="119CA650" w14:textId="6AA4B2FC" w:rsidR="00067B90" w:rsidRPr="00321163" w:rsidRDefault="0020268F" w:rsidP="00CA6249">
      <w:pPr>
        <w:spacing w:line="360" w:lineRule="auto"/>
        <w:jc w:val="both"/>
        <w:rPr>
          <w:rFonts w:ascii="Book Antiqua" w:hAnsi="Book Antiqua"/>
        </w:rPr>
      </w:pPr>
      <w:r w:rsidRPr="00321163">
        <w:rPr>
          <w:rFonts w:ascii="Book Antiqua" w:hAnsi="Book Antiqua"/>
          <w:b/>
        </w:rPr>
        <w:t>Data sharing statement</w:t>
      </w:r>
      <w:r w:rsidRPr="00321163">
        <w:rPr>
          <w:rFonts w:ascii="Book Antiqua" w:hAnsi="Book Antiqua" w:cs="TimesNewRomanPS-BoldItalicMT"/>
          <w:b/>
          <w:iCs/>
        </w:rPr>
        <w:t>:</w:t>
      </w:r>
      <w:r w:rsidRPr="00321163">
        <w:rPr>
          <w:rFonts w:ascii="Book Antiqua" w:hAnsi="Book Antiqua"/>
          <w:b/>
        </w:rPr>
        <w:t xml:space="preserve"> </w:t>
      </w:r>
      <w:r w:rsidR="00067B90" w:rsidRPr="00321163">
        <w:rPr>
          <w:rFonts w:ascii="Book Antiqua" w:hAnsi="Book Antiqua"/>
        </w:rPr>
        <w:t>No additional data are available.</w:t>
      </w:r>
    </w:p>
    <w:p w14:paraId="341C5490" w14:textId="77777777" w:rsidR="00165709" w:rsidRPr="00321163" w:rsidRDefault="00165709" w:rsidP="00CA6249">
      <w:pPr>
        <w:spacing w:line="360" w:lineRule="auto"/>
        <w:jc w:val="both"/>
        <w:rPr>
          <w:rFonts w:ascii="Book Antiqua" w:hAnsi="Book Antiqua"/>
          <w:b/>
        </w:rPr>
      </w:pPr>
    </w:p>
    <w:p w14:paraId="69072312" w14:textId="77777777" w:rsidR="0020268F" w:rsidRPr="00321163" w:rsidRDefault="0020268F" w:rsidP="00CA6249">
      <w:pPr>
        <w:adjustRightInd w:val="0"/>
        <w:snapToGrid w:val="0"/>
        <w:spacing w:line="360" w:lineRule="auto"/>
        <w:jc w:val="both"/>
        <w:rPr>
          <w:rFonts w:ascii="Book Antiqua" w:hAnsi="Book Antiqua" w:cs="宋体"/>
        </w:rPr>
      </w:pPr>
      <w:r w:rsidRPr="00321163">
        <w:rPr>
          <w:rFonts w:ascii="Book Antiqua" w:hAnsi="Book Antiqua"/>
          <w:b/>
        </w:rPr>
        <w:t xml:space="preserve">Open-Access: </w:t>
      </w:r>
      <w:r w:rsidRPr="00321163">
        <w:rPr>
          <w:rFonts w:ascii="Book Antiqua" w:hAnsi="Book Antiqua"/>
        </w:rPr>
        <w:t xml:space="preserve">This is an </w:t>
      </w:r>
      <w:r w:rsidRPr="00321163">
        <w:rPr>
          <w:rFonts w:ascii="Book Antiqua" w:hAnsi="Book Antiqua" w:cs="宋体"/>
        </w:rPr>
        <w:t xml:space="preserve">open-access article that was </w:t>
      </w:r>
      <w:r w:rsidRPr="00321163">
        <w:rPr>
          <w:rFonts w:ascii="Book Antiqua" w:hAnsi="Book Antiqua"/>
        </w:rPr>
        <w:t xml:space="preserve">selected by an in-house editor and fully peer-reviewed by external reviewers. It is </w:t>
      </w:r>
      <w:r w:rsidRPr="00321163">
        <w:rPr>
          <w:rFonts w:ascii="Book Antiqua" w:hAnsi="Book Antiqua" w:cs="宋体"/>
        </w:rPr>
        <w:t xml:space="preserve">distributed in accordance with </w:t>
      </w:r>
      <w:r w:rsidRPr="00321163">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w:t>
      </w:r>
      <w:r w:rsidRPr="00321163">
        <w:rPr>
          <w:rFonts w:ascii="Book Antiqua" w:hAnsi="Book Antiqua"/>
        </w:rPr>
        <w:lastRenderedPageBreak/>
        <w:t>provided the original work is properly cited and the use is non-commercial. See: http://creativecommons.org/licenses/by-nc/4.0/</w:t>
      </w:r>
    </w:p>
    <w:p w14:paraId="3E6FB9BE" w14:textId="77777777" w:rsidR="00067B90" w:rsidRPr="00321163" w:rsidRDefault="00067B90" w:rsidP="00CA6249">
      <w:pPr>
        <w:spacing w:line="360" w:lineRule="auto"/>
        <w:jc w:val="both"/>
        <w:rPr>
          <w:rFonts w:ascii="Book Antiqua" w:hAnsi="Book Antiqua"/>
          <w:b/>
        </w:rPr>
      </w:pPr>
    </w:p>
    <w:p w14:paraId="2F193D99" w14:textId="765CD2BF" w:rsidR="0020268F" w:rsidRPr="00321163" w:rsidRDefault="0020268F" w:rsidP="00CA6249">
      <w:pPr>
        <w:spacing w:line="360" w:lineRule="auto"/>
        <w:jc w:val="both"/>
        <w:rPr>
          <w:rStyle w:val="Hyperlink"/>
          <w:rFonts w:ascii="Book Antiqua" w:eastAsia="宋体" w:hAnsi="Book Antiqua"/>
          <w:b/>
          <w:color w:val="auto"/>
          <w:u w:val="none"/>
          <w:lang w:eastAsia="zh-CN"/>
        </w:rPr>
      </w:pPr>
      <w:r w:rsidRPr="00321163">
        <w:rPr>
          <w:rFonts w:ascii="Book Antiqua" w:hAnsi="Book Antiqua"/>
          <w:b/>
        </w:rPr>
        <w:t>Correspondence to:</w:t>
      </w:r>
      <w:r w:rsidRPr="00321163">
        <w:rPr>
          <w:rFonts w:ascii="Book Antiqua" w:eastAsia="宋体" w:hAnsi="Book Antiqua"/>
          <w:b/>
          <w:lang w:eastAsia="zh-CN"/>
        </w:rPr>
        <w:t xml:space="preserve"> </w:t>
      </w:r>
      <w:r w:rsidRPr="00321163">
        <w:rPr>
          <w:rFonts w:ascii="Book Antiqua" w:hAnsi="Book Antiqua"/>
          <w:b/>
        </w:rPr>
        <w:t>Douglas S</w:t>
      </w:r>
      <w:r w:rsidR="00165709" w:rsidRPr="00321163">
        <w:rPr>
          <w:rFonts w:ascii="Book Antiqua" w:hAnsi="Book Antiqua"/>
          <w:b/>
        </w:rPr>
        <w:t xml:space="preserve"> Fishman, MD</w:t>
      </w:r>
      <w:r w:rsidR="00067B90" w:rsidRPr="00321163">
        <w:rPr>
          <w:rFonts w:ascii="Book Antiqua" w:hAnsi="Book Antiqua"/>
          <w:b/>
        </w:rPr>
        <w:t xml:space="preserve">, Associate Professor, </w:t>
      </w:r>
      <w:r w:rsidRPr="00321163">
        <w:rPr>
          <w:rFonts w:ascii="Book Antiqua" w:hAnsi="Book Antiqua"/>
        </w:rPr>
        <w:t>Section of Pediatric Gastroenterology, Hepatology and Nutrition, Baylor College of Medicine, Texas Children’s Hospital</w:t>
      </w:r>
      <w:r w:rsidRPr="00321163">
        <w:rPr>
          <w:rFonts w:ascii="Book Antiqua" w:eastAsia="宋体" w:hAnsi="Book Antiqua"/>
          <w:lang w:eastAsia="zh-CN"/>
        </w:rPr>
        <w:t>,</w:t>
      </w:r>
      <w:r w:rsidRPr="00321163">
        <w:rPr>
          <w:rFonts w:ascii="Book Antiqua" w:hAnsi="Book Antiqua"/>
        </w:rPr>
        <w:t xml:space="preserve"> Clinical Care Center 1010,</w:t>
      </w:r>
      <w:r w:rsidRPr="00321163">
        <w:rPr>
          <w:rFonts w:ascii="Book Antiqua" w:eastAsia="宋体" w:hAnsi="Book Antiqua"/>
          <w:lang w:eastAsia="zh-CN"/>
        </w:rPr>
        <w:t xml:space="preserve"> </w:t>
      </w:r>
      <w:r w:rsidRPr="00321163">
        <w:rPr>
          <w:rFonts w:ascii="Book Antiqua" w:hAnsi="Book Antiqua"/>
        </w:rPr>
        <w:t>6621 Fannin Street,</w:t>
      </w:r>
      <w:r w:rsidRPr="00321163">
        <w:rPr>
          <w:rFonts w:ascii="Book Antiqua" w:eastAsia="宋体" w:hAnsi="Book Antiqua"/>
          <w:lang w:eastAsia="zh-CN"/>
        </w:rPr>
        <w:t xml:space="preserve"> </w:t>
      </w:r>
      <w:r w:rsidRPr="00321163">
        <w:rPr>
          <w:rFonts w:ascii="Book Antiqua" w:hAnsi="Book Antiqua"/>
        </w:rPr>
        <w:t>Houston, T</w:t>
      </w:r>
      <w:r w:rsidRPr="00321163">
        <w:rPr>
          <w:rFonts w:ascii="Book Antiqua" w:eastAsia="宋体" w:hAnsi="Book Antiqua"/>
          <w:lang w:eastAsia="zh-CN"/>
        </w:rPr>
        <w:t>X</w:t>
      </w:r>
      <w:r w:rsidRPr="00321163">
        <w:rPr>
          <w:rFonts w:ascii="Book Antiqua" w:hAnsi="Book Antiqua"/>
        </w:rPr>
        <w:t xml:space="preserve"> 77030</w:t>
      </w:r>
      <w:r w:rsidRPr="00321163">
        <w:rPr>
          <w:rFonts w:ascii="Book Antiqua" w:eastAsia="宋体" w:hAnsi="Book Antiqua"/>
          <w:lang w:eastAsia="zh-CN"/>
        </w:rPr>
        <w:t>, United States.</w:t>
      </w:r>
      <w:r w:rsidRPr="00321163">
        <w:rPr>
          <w:rFonts w:ascii="Book Antiqua" w:hAnsi="Book Antiqua"/>
        </w:rPr>
        <w:t xml:space="preserve"> </w:t>
      </w:r>
      <w:hyperlink r:id="rId9" w:history="1">
        <w:r w:rsidRPr="00321163">
          <w:rPr>
            <w:rStyle w:val="Hyperlink"/>
            <w:rFonts w:ascii="Book Antiqua" w:hAnsi="Book Antiqua"/>
            <w:color w:val="auto"/>
            <w:u w:val="none"/>
          </w:rPr>
          <w:t>dougfishman@gmail.com</w:t>
        </w:r>
      </w:hyperlink>
    </w:p>
    <w:p w14:paraId="44729B75" w14:textId="680FA210" w:rsidR="00165709" w:rsidRPr="00321163" w:rsidRDefault="00165709" w:rsidP="00CA6249">
      <w:pPr>
        <w:spacing w:line="360" w:lineRule="auto"/>
        <w:jc w:val="both"/>
        <w:rPr>
          <w:rFonts w:ascii="Book Antiqua" w:hAnsi="Book Antiqua"/>
          <w:b/>
        </w:rPr>
      </w:pPr>
      <w:r w:rsidRPr="00321163">
        <w:rPr>
          <w:rFonts w:ascii="Book Antiqua" w:hAnsi="Book Antiqua"/>
          <w:b/>
        </w:rPr>
        <w:t xml:space="preserve">Fax: </w:t>
      </w:r>
      <w:r w:rsidR="0020268F" w:rsidRPr="00321163">
        <w:rPr>
          <w:rFonts w:ascii="Book Antiqua" w:eastAsia="宋体" w:hAnsi="Book Antiqua"/>
          <w:lang w:eastAsia="zh-CN"/>
        </w:rPr>
        <w:t>+</w:t>
      </w:r>
      <w:r w:rsidR="00EB5667" w:rsidRPr="00321163">
        <w:rPr>
          <w:rFonts w:ascii="Book Antiqua" w:hAnsi="Book Antiqua"/>
        </w:rPr>
        <w:t>1-</w:t>
      </w:r>
      <w:r w:rsidR="0020268F" w:rsidRPr="00321163">
        <w:rPr>
          <w:rFonts w:ascii="Book Antiqua" w:hAnsi="Book Antiqua"/>
        </w:rPr>
        <w:t>832-825</w:t>
      </w:r>
      <w:r w:rsidRPr="00321163">
        <w:rPr>
          <w:rFonts w:ascii="Book Antiqua" w:hAnsi="Book Antiqua"/>
        </w:rPr>
        <w:t>3633</w:t>
      </w:r>
    </w:p>
    <w:p w14:paraId="4851F2C9" w14:textId="77777777" w:rsidR="000B492B" w:rsidRPr="00321163" w:rsidRDefault="000B492B" w:rsidP="00CA6249">
      <w:pPr>
        <w:spacing w:line="360" w:lineRule="auto"/>
        <w:jc w:val="both"/>
        <w:rPr>
          <w:rFonts w:ascii="Book Antiqua" w:eastAsia="宋体" w:hAnsi="Book Antiqua"/>
          <w:b/>
          <w:lang w:eastAsia="zh-CN"/>
        </w:rPr>
      </w:pPr>
    </w:p>
    <w:p w14:paraId="61E38D25" w14:textId="04F461AC" w:rsidR="0020268F" w:rsidRPr="00321163" w:rsidRDefault="0020268F" w:rsidP="00CA6249">
      <w:pPr>
        <w:spacing w:line="360" w:lineRule="auto"/>
        <w:jc w:val="both"/>
        <w:rPr>
          <w:rFonts w:ascii="Book Antiqua" w:hAnsi="Book Antiqua"/>
          <w:b/>
        </w:rPr>
      </w:pPr>
      <w:r w:rsidRPr="00321163">
        <w:rPr>
          <w:rFonts w:ascii="Book Antiqua" w:hAnsi="Book Antiqua"/>
          <w:b/>
        </w:rPr>
        <w:t xml:space="preserve">Received: </w:t>
      </w:r>
      <w:r w:rsidR="000B7272" w:rsidRPr="00321163">
        <w:rPr>
          <w:rFonts w:ascii="Book Antiqua" w:eastAsia="宋体" w:hAnsi="Book Antiqua"/>
          <w:lang w:eastAsia="zh-CN"/>
        </w:rPr>
        <w:t>November 13, 2015</w:t>
      </w:r>
      <w:r w:rsidR="00922966" w:rsidRPr="00321163">
        <w:rPr>
          <w:rFonts w:ascii="Book Antiqua" w:hAnsi="Book Antiqua"/>
        </w:rPr>
        <w:t xml:space="preserve"> </w:t>
      </w:r>
    </w:p>
    <w:p w14:paraId="71AABCB3" w14:textId="4F1B13AE" w:rsidR="0020268F" w:rsidRPr="00321163" w:rsidRDefault="0020268F" w:rsidP="00CA6249">
      <w:pPr>
        <w:spacing w:line="360" w:lineRule="auto"/>
        <w:jc w:val="both"/>
        <w:rPr>
          <w:rFonts w:ascii="Book Antiqua" w:hAnsi="Book Antiqua"/>
          <w:b/>
        </w:rPr>
      </w:pPr>
      <w:r w:rsidRPr="00321163">
        <w:rPr>
          <w:rFonts w:ascii="Book Antiqua" w:hAnsi="Book Antiqua"/>
          <w:b/>
        </w:rPr>
        <w:t>Peer-review started:</w:t>
      </w:r>
      <w:r w:rsidR="000B7272" w:rsidRPr="00321163">
        <w:rPr>
          <w:rFonts w:ascii="Book Antiqua" w:eastAsia="宋体" w:hAnsi="Book Antiqua"/>
          <w:lang w:eastAsia="zh-CN"/>
        </w:rPr>
        <w:t xml:space="preserve"> November 16, 2015</w:t>
      </w:r>
    </w:p>
    <w:p w14:paraId="3E160D52" w14:textId="5CCED5C6" w:rsidR="0020268F" w:rsidRPr="00321163" w:rsidRDefault="0020268F" w:rsidP="00CA6249">
      <w:pPr>
        <w:spacing w:line="360" w:lineRule="auto"/>
        <w:jc w:val="both"/>
        <w:rPr>
          <w:rFonts w:ascii="Book Antiqua" w:eastAsia="宋体" w:hAnsi="Book Antiqua"/>
          <w:b/>
          <w:lang w:eastAsia="zh-CN"/>
        </w:rPr>
      </w:pPr>
      <w:r w:rsidRPr="00321163">
        <w:rPr>
          <w:rFonts w:ascii="Book Antiqua" w:hAnsi="Book Antiqua"/>
          <w:b/>
        </w:rPr>
        <w:t>First decision:</w:t>
      </w:r>
      <w:r w:rsidR="000B7272" w:rsidRPr="00321163">
        <w:rPr>
          <w:rFonts w:ascii="Book Antiqua" w:eastAsia="宋体" w:hAnsi="Book Antiqua"/>
          <w:lang w:eastAsia="zh-CN"/>
        </w:rPr>
        <w:t xml:space="preserve"> January 4, 2016</w:t>
      </w:r>
    </w:p>
    <w:p w14:paraId="6F09EB03" w14:textId="45CD2791" w:rsidR="0020268F" w:rsidRPr="00321163" w:rsidRDefault="0020268F" w:rsidP="00CA6249">
      <w:pPr>
        <w:spacing w:line="360" w:lineRule="auto"/>
        <w:jc w:val="both"/>
        <w:rPr>
          <w:rFonts w:ascii="Book Antiqua" w:hAnsi="Book Antiqua"/>
          <w:b/>
        </w:rPr>
      </w:pPr>
      <w:r w:rsidRPr="00321163">
        <w:rPr>
          <w:rFonts w:ascii="Book Antiqua" w:hAnsi="Book Antiqua"/>
          <w:b/>
        </w:rPr>
        <w:t xml:space="preserve">Revised: </w:t>
      </w:r>
      <w:r w:rsidR="000B7272" w:rsidRPr="00321163">
        <w:rPr>
          <w:rFonts w:ascii="Book Antiqua" w:eastAsia="宋体" w:hAnsi="Book Antiqua"/>
          <w:lang w:eastAsia="zh-CN"/>
        </w:rPr>
        <w:t>February 16, 2016</w:t>
      </w:r>
      <w:r w:rsidRPr="00321163">
        <w:rPr>
          <w:rFonts w:ascii="Book Antiqua" w:hAnsi="Book Antiqua"/>
        </w:rPr>
        <w:t xml:space="preserve"> </w:t>
      </w:r>
    </w:p>
    <w:p w14:paraId="6A89C554" w14:textId="4C496BD6" w:rsidR="0020268F" w:rsidRPr="00037253" w:rsidRDefault="0020268F" w:rsidP="00037253">
      <w:pPr>
        <w:rPr>
          <w:rFonts w:ascii="Book Antiqua" w:hAnsi="Book Antiqua"/>
          <w:iCs/>
        </w:rPr>
      </w:pPr>
      <w:r w:rsidRPr="00321163">
        <w:rPr>
          <w:rFonts w:ascii="Book Antiqua" w:hAnsi="Book Antiqua"/>
          <w:b/>
        </w:rPr>
        <w:t>Accepted:</w:t>
      </w:r>
      <w:r w:rsidR="00922966" w:rsidRPr="00321163">
        <w:rPr>
          <w:rFonts w:ascii="Book Antiqua" w:hAnsi="Book Antiqua"/>
          <w:b/>
        </w:rPr>
        <w:t xml:space="preserve"> </w:t>
      </w:r>
      <w:r w:rsidR="00037253">
        <w:rPr>
          <w:rStyle w:val="Emphasis"/>
        </w:rPr>
        <w:t xml:space="preserve">March </w:t>
      </w:r>
      <w:r w:rsidR="00037253">
        <w:rPr>
          <w:rStyle w:val="Emphasis"/>
          <w:rFonts w:ascii="宋体" w:hAnsi="宋体" w:cs="宋体" w:hint="eastAsia"/>
        </w:rPr>
        <w:t>7</w:t>
      </w:r>
      <w:r w:rsidR="00037253" w:rsidRPr="00235CD4">
        <w:rPr>
          <w:rStyle w:val="Emphasis"/>
        </w:rPr>
        <w:t>,</w:t>
      </w:r>
      <w:r w:rsidR="00037253">
        <w:rPr>
          <w:rStyle w:val="Emphasis"/>
        </w:rPr>
        <w:t xml:space="preserve"> 2016</w:t>
      </w:r>
      <w:bookmarkStart w:id="0" w:name="_GoBack"/>
      <w:bookmarkEnd w:id="0"/>
    </w:p>
    <w:p w14:paraId="42640F4B" w14:textId="688C7D44" w:rsidR="0020268F" w:rsidRPr="00321163" w:rsidRDefault="0020268F" w:rsidP="00CA6249">
      <w:pPr>
        <w:spacing w:line="360" w:lineRule="auto"/>
        <w:jc w:val="both"/>
        <w:rPr>
          <w:rFonts w:ascii="Book Antiqua" w:hAnsi="Book Antiqua"/>
          <w:b/>
        </w:rPr>
      </w:pPr>
      <w:r w:rsidRPr="00321163">
        <w:rPr>
          <w:rFonts w:ascii="Book Antiqua" w:hAnsi="Book Antiqua"/>
          <w:b/>
        </w:rPr>
        <w:t>Article in press:</w:t>
      </w:r>
      <w:r w:rsidR="00922966" w:rsidRPr="00321163">
        <w:rPr>
          <w:rFonts w:ascii="Book Antiqua" w:hAnsi="Book Antiqua"/>
        </w:rPr>
        <w:t xml:space="preserve"> </w:t>
      </w:r>
    </w:p>
    <w:p w14:paraId="13AB79AE" w14:textId="77777777" w:rsidR="0020268F" w:rsidRPr="00321163" w:rsidRDefault="0020268F" w:rsidP="00CA6249">
      <w:pPr>
        <w:spacing w:line="360" w:lineRule="auto"/>
        <w:jc w:val="both"/>
        <w:rPr>
          <w:rFonts w:ascii="Book Antiqua" w:hAnsi="Book Antiqua"/>
          <w:b/>
        </w:rPr>
      </w:pPr>
      <w:r w:rsidRPr="00321163">
        <w:rPr>
          <w:rFonts w:ascii="Book Antiqua" w:hAnsi="Book Antiqua"/>
          <w:b/>
        </w:rPr>
        <w:t xml:space="preserve">Published online: </w:t>
      </w:r>
    </w:p>
    <w:p w14:paraId="08EBA154" w14:textId="751401CC" w:rsidR="00BD36C7" w:rsidRPr="00321163" w:rsidRDefault="00BD36C7" w:rsidP="00CA6249">
      <w:pPr>
        <w:autoSpaceDE w:val="0"/>
        <w:autoSpaceDN w:val="0"/>
        <w:adjustRightInd w:val="0"/>
        <w:spacing w:line="360" w:lineRule="auto"/>
        <w:jc w:val="both"/>
        <w:rPr>
          <w:rFonts w:ascii="Book Antiqua" w:hAnsi="Book Antiqua" w:cs="TimesNewRomanPS-BoldItalicMT"/>
          <w:bCs/>
          <w:iCs/>
        </w:rPr>
      </w:pPr>
      <w:r w:rsidRPr="00321163">
        <w:rPr>
          <w:rFonts w:ascii="Book Antiqua" w:hAnsi="Book Antiqua"/>
          <w:b/>
        </w:rPr>
        <w:br w:type="page"/>
      </w:r>
      <w:r w:rsidRPr="00321163">
        <w:rPr>
          <w:rFonts w:ascii="Book Antiqua" w:hAnsi="Book Antiqua"/>
          <w:b/>
        </w:rPr>
        <w:lastRenderedPageBreak/>
        <w:t>A</w:t>
      </w:r>
      <w:r w:rsidR="000B7272" w:rsidRPr="00321163">
        <w:rPr>
          <w:rFonts w:ascii="Book Antiqua" w:hAnsi="Book Antiqua"/>
          <w:b/>
        </w:rPr>
        <w:t>bstract</w:t>
      </w:r>
    </w:p>
    <w:p w14:paraId="5298C81D" w14:textId="5DEE9124" w:rsidR="00A23B2F" w:rsidRPr="00321163" w:rsidRDefault="000B492B" w:rsidP="00CA6249">
      <w:pPr>
        <w:spacing w:line="360" w:lineRule="auto"/>
        <w:jc w:val="both"/>
        <w:rPr>
          <w:rFonts w:ascii="Book Antiqua" w:eastAsia="宋体" w:hAnsi="Book Antiqua"/>
          <w:lang w:eastAsia="zh-CN"/>
        </w:rPr>
      </w:pPr>
      <w:r w:rsidRPr="00321163">
        <w:rPr>
          <w:rFonts w:ascii="Book Antiqua" w:eastAsia="宋体" w:hAnsi="Book Antiqua"/>
          <w:b/>
          <w:lang w:eastAsia="zh-CN"/>
        </w:rPr>
        <w:t>AIM:</w:t>
      </w:r>
      <w:r w:rsidRPr="00321163">
        <w:rPr>
          <w:rFonts w:ascii="Book Antiqua" w:hAnsi="Book Antiqua"/>
        </w:rPr>
        <w:t xml:space="preserve"> T</w:t>
      </w:r>
      <w:r w:rsidR="00DB7A13" w:rsidRPr="00321163">
        <w:rPr>
          <w:rFonts w:ascii="Book Antiqua" w:hAnsi="Book Antiqua"/>
        </w:rPr>
        <w:t>o assess pediatric patients for choledocholithiasis. We applied current</w:t>
      </w:r>
      <w:r w:rsidR="00A430BA" w:rsidRPr="00321163">
        <w:rPr>
          <w:rFonts w:ascii="Book Antiqua" w:hAnsi="Book Antiqua"/>
        </w:rPr>
        <w:t xml:space="preserve"> adult guidelines </w:t>
      </w:r>
      <w:r w:rsidR="00DB7A13" w:rsidRPr="00321163">
        <w:rPr>
          <w:rFonts w:ascii="Book Antiqua" w:hAnsi="Book Antiqua"/>
        </w:rPr>
        <w:t>to identify predictive factors in children.</w:t>
      </w:r>
    </w:p>
    <w:p w14:paraId="1B95D3E4" w14:textId="77777777" w:rsidR="000B7272" w:rsidRPr="00321163" w:rsidRDefault="000B7272" w:rsidP="00CA6249">
      <w:pPr>
        <w:spacing w:line="360" w:lineRule="auto"/>
        <w:jc w:val="both"/>
        <w:rPr>
          <w:rFonts w:ascii="Book Antiqua" w:eastAsia="宋体" w:hAnsi="Book Antiqua"/>
          <w:lang w:eastAsia="zh-CN"/>
        </w:rPr>
      </w:pPr>
    </w:p>
    <w:p w14:paraId="6601F0CC" w14:textId="16155E84" w:rsidR="000B7272" w:rsidRPr="00321163" w:rsidRDefault="000B7272" w:rsidP="00CA6249">
      <w:pPr>
        <w:spacing w:line="360" w:lineRule="auto"/>
        <w:jc w:val="both"/>
        <w:rPr>
          <w:rFonts w:ascii="Book Antiqua" w:eastAsia="宋体" w:hAnsi="Book Antiqua"/>
          <w:lang w:eastAsia="zh-CN"/>
        </w:rPr>
      </w:pPr>
      <w:r w:rsidRPr="00321163">
        <w:rPr>
          <w:rFonts w:ascii="Book Antiqua" w:hAnsi="Book Antiqua"/>
          <w:b/>
        </w:rPr>
        <w:t>METHODS:</w:t>
      </w:r>
      <w:r w:rsidRPr="00321163">
        <w:rPr>
          <w:rFonts w:ascii="Book Antiqua" w:hAnsi="Book Antiqua"/>
        </w:rPr>
        <w:t xml:space="preserve"> </w:t>
      </w:r>
      <w:r w:rsidR="003E64FA" w:rsidRPr="00321163">
        <w:rPr>
          <w:rFonts w:ascii="Book Antiqua" w:hAnsi="Book Antiqua"/>
        </w:rPr>
        <w:t>A single-center retrospective analysis was performed at a t</w:t>
      </w:r>
      <w:r w:rsidR="00A23B2F" w:rsidRPr="00321163">
        <w:rPr>
          <w:rFonts w:ascii="Book Antiqua" w:hAnsi="Book Antiqua"/>
        </w:rPr>
        <w:t>ertiary children</w:t>
      </w:r>
      <w:r w:rsidRPr="00321163">
        <w:rPr>
          <w:rFonts w:ascii="Book Antiqua" w:eastAsia="宋体" w:hAnsi="Book Antiqua"/>
          <w:lang w:eastAsia="zh-CN"/>
        </w:rPr>
        <w:t>’</w:t>
      </w:r>
      <w:r w:rsidR="00A23B2F" w:rsidRPr="00321163">
        <w:rPr>
          <w:rFonts w:ascii="Book Antiqua" w:hAnsi="Book Antiqua"/>
        </w:rPr>
        <w:t>s hospital</w:t>
      </w:r>
      <w:r w:rsidR="003E64FA" w:rsidRPr="00321163">
        <w:rPr>
          <w:rFonts w:ascii="Book Antiqua" w:hAnsi="Book Antiqua"/>
        </w:rPr>
        <w:t xml:space="preserve">. We evaluated </w:t>
      </w:r>
      <w:r w:rsidR="00A23B2F" w:rsidRPr="00321163">
        <w:rPr>
          <w:rFonts w:ascii="Book Antiqua" w:hAnsi="Book Antiqua"/>
        </w:rPr>
        <w:t xml:space="preserve">44 consecutive pediatric patients who underwent </w:t>
      </w:r>
      <w:r w:rsidR="00344D99" w:rsidRPr="00321163">
        <w:rPr>
          <w:rFonts w:ascii="Book Antiqua" w:eastAsia="宋体" w:hAnsi="Book Antiqua"/>
          <w:lang w:eastAsia="zh-CN"/>
        </w:rPr>
        <w:t>endoscopic retrograde cholangiography</w:t>
      </w:r>
      <w:r w:rsidR="00344D99" w:rsidRPr="00321163">
        <w:rPr>
          <w:rFonts w:ascii="Book Antiqua" w:hAnsi="Book Antiqua"/>
        </w:rPr>
        <w:t xml:space="preserve"> </w:t>
      </w:r>
      <w:r w:rsidR="00344D99" w:rsidRPr="00321163">
        <w:rPr>
          <w:rFonts w:ascii="Book Antiqua" w:eastAsia="宋体" w:hAnsi="Book Antiqua"/>
          <w:lang w:eastAsia="zh-CN"/>
        </w:rPr>
        <w:t>(</w:t>
      </w:r>
      <w:r w:rsidR="00A23B2F" w:rsidRPr="00321163">
        <w:rPr>
          <w:rFonts w:ascii="Book Antiqua" w:hAnsi="Book Antiqua"/>
        </w:rPr>
        <w:t>ERCP</w:t>
      </w:r>
      <w:r w:rsidR="00344D99" w:rsidRPr="00321163">
        <w:rPr>
          <w:rFonts w:ascii="Book Antiqua" w:eastAsia="宋体" w:hAnsi="Book Antiqua"/>
          <w:lang w:eastAsia="zh-CN"/>
        </w:rPr>
        <w:t>)</w:t>
      </w:r>
      <w:r w:rsidR="00A23B2F" w:rsidRPr="00321163">
        <w:rPr>
          <w:rFonts w:ascii="Book Antiqua" w:hAnsi="Book Antiqua"/>
        </w:rPr>
        <w:t xml:space="preserve"> for suspected </w:t>
      </w:r>
      <w:proofErr w:type="spellStart"/>
      <w:r w:rsidR="00A23B2F" w:rsidRPr="00321163">
        <w:rPr>
          <w:rFonts w:ascii="Book Antiqua" w:hAnsi="Book Antiqua"/>
        </w:rPr>
        <w:t>choledocholithiasis</w:t>
      </w:r>
      <w:proofErr w:type="spellEnd"/>
      <w:r w:rsidR="00A23B2F" w:rsidRPr="00321163">
        <w:rPr>
          <w:rFonts w:ascii="Book Antiqua" w:hAnsi="Book Antiqua"/>
        </w:rPr>
        <w:t>.</w:t>
      </w:r>
      <w:r w:rsidR="00922966" w:rsidRPr="00321163">
        <w:rPr>
          <w:rFonts w:ascii="Book Antiqua" w:hAnsi="Book Antiqua"/>
        </w:rPr>
        <w:t xml:space="preserve"> </w:t>
      </w:r>
      <w:r w:rsidR="003E64FA" w:rsidRPr="00321163">
        <w:rPr>
          <w:rFonts w:ascii="Book Antiqua" w:hAnsi="Book Antiqua"/>
        </w:rPr>
        <w:t>P</w:t>
      </w:r>
      <w:r w:rsidR="00A23B2F" w:rsidRPr="00321163">
        <w:rPr>
          <w:rFonts w:ascii="Book Antiqua" w:hAnsi="Book Antiqua"/>
        </w:rPr>
        <w:t xml:space="preserve">atients were stratified into those with </w:t>
      </w:r>
      <w:r w:rsidR="00BA3A77" w:rsidRPr="00321163">
        <w:rPr>
          <w:rFonts w:ascii="Book Antiqua" w:hAnsi="Book Antiqua"/>
        </w:rPr>
        <w:t>common bile duct stones</w:t>
      </w:r>
      <w:r w:rsidR="00A23B2F" w:rsidRPr="00321163">
        <w:rPr>
          <w:rFonts w:ascii="Book Antiqua" w:hAnsi="Book Antiqua"/>
        </w:rPr>
        <w:t xml:space="preserve"> </w:t>
      </w:r>
      <w:r w:rsidR="00BA3A77" w:rsidRPr="00321163">
        <w:rPr>
          <w:rFonts w:ascii="Book Antiqua" w:eastAsia="宋体" w:hAnsi="Book Antiqua"/>
          <w:lang w:eastAsia="zh-CN"/>
        </w:rPr>
        <w:t>(</w:t>
      </w:r>
      <w:r w:rsidR="00BA3A77" w:rsidRPr="00321163">
        <w:rPr>
          <w:rFonts w:ascii="Book Antiqua" w:hAnsi="Book Antiqua"/>
        </w:rPr>
        <w:t>CBDS</w:t>
      </w:r>
      <w:r w:rsidR="00BA3A77" w:rsidRPr="00321163">
        <w:rPr>
          <w:rFonts w:ascii="Book Antiqua" w:eastAsia="宋体" w:hAnsi="Book Antiqua"/>
          <w:lang w:eastAsia="zh-CN"/>
        </w:rPr>
        <w:t>)</w:t>
      </w:r>
      <w:r w:rsidR="00BA3A77" w:rsidRPr="00321163">
        <w:rPr>
          <w:rFonts w:ascii="Book Antiqua" w:hAnsi="Book Antiqua"/>
        </w:rPr>
        <w:t xml:space="preserve"> </w:t>
      </w:r>
      <w:r w:rsidR="00A23B2F" w:rsidRPr="00321163">
        <w:rPr>
          <w:rFonts w:ascii="Book Antiqua" w:hAnsi="Book Antiqua"/>
        </w:rPr>
        <w:t>at ERCP and those that did not</w:t>
      </w:r>
      <w:r w:rsidR="00A430BA" w:rsidRPr="00321163">
        <w:rPr>
          <w:rFonts w:ascii="Book Antiqua" w:hAnsi="Book Antiqua"/>
        </w:rPr>
        <w:t xml:space="preserve"> using the</w:t>
      </w:r>
      <w:r w:rsidR="00DB7A13" w:rsidRPr="00321163">
        <w:rPr>
          <w:rFonts w:ascii="Book Antiqua" w:hAnsi="Book Antiqua"/>
        </w:rPr>
        <w:t xml:space="preserve"> American Society of Gastrointestinal Endoscopy (ASGE) guidelines for suspected CBDS</w:t>
      </w:r>
      <w:r w:rsidRPr="00321163">
        <w:rPr>
          <w:rFonts w:ascii="Book Antiqua" w:eastAsia="宋体" w:hAnsi="Book Antiqua"/>
          <w:lang w:eastAsia="zh-CN"/>
        </w:rPr>
        <w:t>.</w:t>
      </w:r>
    </w:p>
    <w:p w14:paraId="580302FD" w14:textId="737FB1C0" w:rsidR="00AE72C1" w:rsidRPr="00321163" w:rsidRDefault="00DB7A13" w:rsidP="00CA6249">
      <w:pPr>
        <w:spacing w:line="360" w:lineRule="auto"/>
        <w:jc w:val="both"/>
        <w:rPr>
          <w:rFonts w:ascii="Book Antiqua" w:eastAsia="宋体" w:hAnsi="Book Antiqua"/>
          <w:lang w:eastAsia="zh-CN"/>
        </w:rPr>
      </w:pPr>
      <w:r w:rsidRPr="00321163">
        <w:rPr>
          <w:rFonts w:ascii="Book Antiqua" w:hAnsi="Book Antiqua"/>
        </w:rPr>
        <w:t xml:space="preserve"> </w:t>
      </w:r>
    </w:p>
    <w:p w14:paraId="5E5484A9" w14:textId="2466E498" w:rsidR="00A23B2F" w:rsidRPr="00321163" w:rsidRDefault="00BA3A77" w:rsidP="00CA6249">
      <w:pPr>
        <w:spacing w:line="360" w:lineRule="auto"/>
        <w:jc w:val="both"/>
        <w:rPr>
          <w:rFonts w:ascii="Book Antiqua" w:eastAsia="宋体" w:hAnsi="Book Antiqua"/>
          <w:lang w:eastAsia="zh-CN"/>
        </w:rPr>
      </w:pPr>
      <w:r w:rsidRPr="00321163">
        <w:rPr>
          <w:rFonts w:ascii="Book Antiqua" w:hAnsi="Book Antiqua"/>
          <w:b/>
        </w:rPr>
        <w:t>RESULTS:</w:t>
      </w:r>
      <w:r w:rsidR="00A23B2F" w:rsidRPr="00321163">
        <w:rPr>
          <w:rFonts w:ascii="Book Antiqua" w:hAnsi="Book Antiqua"/>
        </w:rPr>
        <w:t xml:space="preserve"> </w:t>
      </w:r>
      <w:r w:rsidRPr="00321163">
        <w:rPr>
          <w:rFonts w:ascii="Book Antiqua" w:hAnsi="Book Antiqua"/>
        </w:rPr>
        <w:t>CBDS</w:t>
      </w:r>
      <w:r w:rsidR="00A23B2F" w:rsidRPr="00321163">
        <w:rPr>
          <w:rFonts w:ascii="Book Antiqua" w:hAnsi="Book Antiqua"/>
        </w:rPr>
        <w:t xml:space="preserve"> were identified in </w:t>
      </w:r>
      <w:r w:rsidR="00BD755D" w:rsidRPr="00321163">
        <w:rPr>
          <w:rFonts w:ascii="Book Antiqua" w:hAnsi="Book Antiqua"/>
        </w:rPr>
        <w:t>84</w:t>
      </w:r>
      <w:r w:rsidR="00A23B2F" w:rsidRPr="00321163">
        <w:rPr>
          <w:rFonts w:ascii="Book Antiqua" w:hAnsi="Book Antiqua"/>
        </w:rPr>
        <w:t>% overall. Abdomina</w:t>
      </w:r>
      <w:r w:rsidR="003E64FA" w:rsidRPr="00321163">
        <w:rPr>
          <w:rFonts w:ascii="Book Antiqua" w:hAnsi="Book Antiqua"/>
        </w:rPr>
        <w:t xml:space="preserve">l ultrasound identified CBDS in </w:t>
      </w:r>
      <w:r w:rsidR="00A23B2F" w:rsidRPr="00321163">
        <w:rPr>
          <w:rFonts w:ascii="Book Antiqua" w:hAnsi="Book Antiqua"/>
        </w:rPr>
        <w:t xml:space="preserve">36% of patients. Conjugated bilirubin ≥ </w:t>
      </w:r>
      <w:r w:rsidRPr="00321163">
        <w:rPr>
          <w:rFonts w:ascii="Book Antiqua" w:eastAsia="宋体" w:hAnsi="Book Antiqua"/>
          <w:lang w:eastAsia="zh-CN"/>
        </w:rPr>
        <w:t>0</w:t>
      </w:r>
      <w:r w:rsidR="00A23B2F" w:rsidRPr="00321163">
        <w:rPr>
          <w:rFonts w:ascii="Book Antiqua" w:hAnsi="Book Antiqua"/>
        </w:rPr>
        <w:t>.05 mg/</w:t>
      </w:r>
      <w:proofErr w:type="spellStart"/>
      <w:r w:rsidR="00A23B2F" w:rsidRPr="00321163">
        <w:rPr>
          <w:rFonts w:ascii="Book Antiqua" w:hAnsi="Book Antiqua"/>
        </w:rPr>
        <w:t>dL</w:t>
      </w:r>
      <w:proofErr w:type="spellEnd"/>
      <w:r w:rsidR="00A23B2F" w:rsidRPr="00321163">
        <w:rPr>
          <w:rFonts w:ascii="Book Antiqua" w:hAnsi="Book Antiqua"/>
        </w:rPr>
        <w:t xml:space="preserve"> was an independent risk factor for CBDS (</w:t>
      </w:r>
      <w:r w:rsidR="00A23B2F" w:rsidRPr="00321163">
        <w:rPr>
          <w:rFonts w:ascii="Book Antiqua" w:hAnsi="Book Antiqua"/>
          <w:i/>
        </w:rPr>
        <w:t>P</w:t>
      </w:r>
      <w:r w:rsidRPr="00321163">
        <w:rPr>
          <w:rFonts w:ascii="Book Antiqua" w:eastAsia="宋体" w:hAnsi="Book Antiqua"/>
          <w:lang w:eastAsia="zh-CN"/>
        </w:rPr>
        <w:t xml:space="preserve"> </w:t>
      </w:r>
      <w:r w:rsidR="00A23B2F" w:rsidRPr="00321163">
        <w:rPr>
          <w:rFonts w:ascii="Book Antiqua" w:hAnsi="Book Antiqua"/>
        </w:rPr>
        <w:t>=</w:t>
      </w:r>
      <w:r w:rsidRPr="00321163">
        <w:rPr>
          <w:rFonts w:ascii="Book Antiqua" w:eastAsia="宋体" w:hAnsi="Book Antiqua"/>
          <w:lang w:eastAsia="zh-CN"/>
        </w:rPr>
        <w:t xml:space="preserve"> 0</w:t>
      </w:r>
      <w:r w:rsidR="00A23B2F" w:rsidRPr="00321163">
        <w:rPr>
          <w:rFonts w:ascii="Book Antiqua" w:hAnsi="Book Antiqua"/>
        </w:rPr>
        <w:t>.003).</w:t>
      </w:r>
      <w:r w:rsidR="00922966" w:rsidRPr="00321163">
        <w:rPr>
          <w:rFonts w:ascii="Book Antiqua" w:hAnsi="Book Antiqua"/>
        </w:rPr>
        <w:t xml:space="preserve"> </w:t>
      </w:r>
      <w:r w:rsidR="00A23B2F" w:rsidRPr="00321163">
        <w:rPr>
          <w:rFonts w:ascii="Book Antiqua" w:hAnsi="Book Antiqua"/>
        </w:rPr>
        <w:t>The Very Strong and Strong ASGE criteria identified the majority of patients (</w:t>
      </w:r>
      <w:r w:rsidRPr="00321163">
        <w:rPr>
          <w:rFonts w:ascii="Book Antiqua" w:hAnsi="Book Antiqua"/>
          <w:i/>
        </w:rPr>
        <w:t>P</w:t>
      </w:r>
      <w:r w:rsidRPr="00321163">
        <w:rPr>
          <w:rFonts w:ascii="Book Antiqua" w:hAnsi="Book Antiqua"/>
        </w:rPr>
        <w:t xml:space="preserve"> </w:t>
      </w:r>
      <w:r w:rsidR="00A23B2F" w:rsidRPr="00321163">
        <w:rPr>
          <w:rFonts w:ascii="Book Antiqua" w:hAnsi="Book Antiqua"/>
        </w:rPr>
        <w:t>=</w:t>
      </w:r>
      <w:r w:rsidRPr="00321163">
        <w:rPr>
          <w:rFonts w:ascii="Book Antiqua" w:eastAsia="宋体" w:hAnsi="Book Antiqua"/>
          <w:lang w:eastAsia="zh-CN"/>
        </w:rPr>
        <w:t xml:space="preserve"> 0</w:t>
      </w:r>
      <w:r w:rsidR="00A23B2F" w:rsidRPr="00321163">
        <w:rPr>
          <w:rFonts w:ascii="Book Antiqua" w:hAnsi="Book Antiqua"/>
        </w:rPr>
        <w:t>.0001).</w:t>
      </w:r>
      <w:r w:rsidR="00922966" w:rsidRPr="00321163">
        <w:rPr>
          <w:rFonts w:ascii="Book Antiqua" w:hAnsi="Book Antiqua"/>
        </w:rPr>
        <w:t xml:space="preserve"> </w:t>
      </w:r>
      <w:r w:rsidR="00A23B2F" w:rsidRPr="00321163">
        <w:rPr>
          <w:rFonts w:ascii="Book Antiqua" w:hAnsi="Book Antiqua"/>
        </w:rPr>
        <w:t>A modified score using conjugated bilirubin had</w:t>
      </w:r>
      <w:r w:rsidRPr="00321163">
        <w:rPr>
          <w:rFonts w:ascii="Book Antiqua" w:hAnsi="Book Antiqua"/>
        </w:rPr>
        <w:t xml:space="preserve"> a higher sensitivity (81.2% </w:t>
      </w:r>
      <w:r w:rsidRPr="00321163">
        <w:rPr>
          <w:rFonts w:ascii="Book Antiqua" w:hAnsi="Book Antiqua"/>
          <w:i/>
        </w:rPr>
        <w:t>vs</w:t>
      </w:r>
      <w:r w:rsidR="00A23B2F" w:rsidRPr="00321163">
        <w:rPr>
          <w:rFonts w:ascii="Book Antiqua" w:hAnsi="Book Antiqua"/>
        </w:rPr>
        <w:t xml:space="preserve"> 59.5%) and more likely to identify a stone than the standard criteria, odds ratio of 25.7 compared to 8.8. </w:t>
      </w:r>
      <w:r w:rsidRPr="00321163">
        <w:rPr>
          <w:rFonts w:ascii="Book Antiqua" w:hAnsi="Book Antiqua" w:cs="Arial"/>
        </w:rPr>
        <w:t>alanine aminotransferase</w:t>
      </w:r>
      <w:r w:rsidR="00A23B2F" w:rsidRPr="00321163">
        <w:rPr>
          <w:rFonts w:ascii="Book Antiqua" w:hAnsi="Book Antiqua"/>
        </w:rPr>
        <w:t xml:space="preserve"> and</w:t>
      </w:r>
      <w:r w:rsidRPr="00321163">
        <w:rPr>
          <w:rFonts w:ascii="Book Antiqua" w:eastAsia="宋体" w:hAnsi="Book Antiqua"/>
          <w:lang w:eastAsia="zh-CN"/>
        </w:rPr>
        <w:t xml:space="preserve"> </w:t>
      </w:r>
      <w:r w:rsidRPr="00321163">
        <w:rPr>
          <w:rFonts w:ascii="Book Antiqua" w:hAnsi="Book Antiqua"/>
        </w:rPr>
        <w:t>gamma-</w:t>
      </w:r>
      <w:proofErr w:type="spellStart"/>
      <w:r w:rsidRPr="00321163">
        <w:rPr>
          <w:rFonts w:ascii="Book Antiqua" w:hAnsi="Book Antiqua"/>
        </w:rPr>
        <w:t>glutamyl</w:t>
      </w:r>
      <w:proofErr w:type="spellEnd"/>
      <w:r w:rsidRPr="00321163">
        <w:rPr>
          <w:rFonts w:ascii="Book Antiqua" w:hAnsi="Book Antiqua"/>
        </w:rPr>
        <w:t xml:space="preserve"> transferase</w:t>
      </w:r>
      <w:r w:rsidRPr="00321163">
        <w:rPr>
          <w:rFonts w:ascii="Book Antiqua" w:eastAsia="宋体" w:hAnsi="Book Antiqua"/>
          <w:lang w:eastAsia="zh-CN"/>
        </w:rPr>
        <w:t xml:space="preserve"> </w:t>
      </w:r>
      <w:r w:rsidR="00A23B2F" w:rsidRPr="00321163">
        <w:rPr>
          <w:rFonts w:ascii="Book Antiqua" w:hAnsi="Book Antiqua"/>
        </w:rPr>
        <w:t>values identified significant differences in a subset of patients with odds ratio of 4.1 and 3.25, respectively.</w:t>
      </w:r>
    </w:p>
    <w:p w14:paraId="214633EE" w14:textId="77777777" w:rsidR="00BA3A77" w:rsidRPr="00321163" w:rsidRDefault="00BA3A77" w:rsidP="00CA6249">
      <w:pPr>
        <w:spacing w:line="360" w:lineRule="auto"/>
        <w:jc w:val="both"/>
        <w:rPr>
          <w:rFonts w:ascii="Book Antiqua" w:eastAsia="宋体" w:hAnsi="Book Antiqua"/>
          <w:lang w:eastAsia="zh-CN"/>
        </w:rPr>
      </w:pPr>
    </w:p>
    <w:p w14:paraId="6B72419A" w14:textId="2CD06D2D" w:rsidR="00A23B2F" w:rsidRPr="00321163" w:rsidRDefault="00BA3A77" w:rsidP="00CA6249">
      <w:pPr>
        <w:spacing w:line="360" w:lineRule="auto"/>
        <w:jc w:val="both"/>
        <w:rPr>
          <w:rFonts w:ascii="Book Antiqua" w:hAnsi="Book Antiqua"/>
        </w:rPr>
      </w:pPr>
      <w:r w:rsidRPr="00321163">
        <w:rPr>
          <w:rFonts w:ascii="Book Antiqua" w:hAnsi="Book Antiqua"/>
          <w:b/>
        </w:rPr>
        <w:t>CONCLUSION:</w:t>
      </w:r>
      <w:r w:rsidRPr="00321163">
        <w:rPr>
          <w:rFonts w:ascii="Book Antiqua" w:hAnsi="Book Antiqua"/>
        </w:rPr>
        <w:t xml:space="preserve"> </w:t>
      </w:r>
      <w:r w:rsidR="00A23B2F" w:rsidRPr="00321163">
        <w:rPr>
          <w:rFonts w:ascii="Book Antiqua" w:hAnsi="Book Antiqua"/>
        </w:rPr>
        <w:t xml:space="preserve">Current </w:t>
      </w:r>
      <w:r w:rsidR="00137C91" w:rsidRPr="00321163">
        <w:rPr>
          <w:rFonts w:ascii="Book Antiqua" w:hAnsi="Book Antiqua"/>
        </w:rPr>
        <w:t xml:space="preserve">adult </w:t>
      </w:r>
      <w:r w:rsidR="00A23B2F" w:rsidRPr="00321163">
        <w:rPr>
          <w:rFonts w:ascii="Book Antiqua" w:hAnsi="Book Antiqua"/>
        </w:rPr>
        <w:t>guidelines identified the majority of pediatric patients with CBDS, but specific pediatric guidelines may improve detection, thus decreasing risks and unnecessary procedures.</w:t>
      </w:r>
    </w:p>
    <w:p w14:paraId="7BF10DEA" w14:textId="77777777" w:rsidR="00BA3A77" w:rsidRPr="00321163" w:rsidRDefault="00BA3A77" w:rsidP="00CA6249">
      <w:pPr>
        <w:widowControl w:val="0"/>
        <w:tabs>
          <w:tab w:val="left" w:pos="220"/>
          <w:tab w:val="left" w:pos="720"/>
        </w:tabs>
        <w:autoSpaceDE w:val="0"/>
        <w:autoSpaceDN w:val="0"/>
        <w:adjustRightInd w:val="0"/>
        <w:spacing w:line="360" w:lineRule="auto"/>
        <w:jc w:val="both"/>
        <w:rPr>
          <w:rFonts w:ascii="Book Antiqua" w:eastAsia="宋体" w:hAnsi="Book Antiqua"/>
          <w:b/>
          <w:lang w:eastAsia="zh-CN"/>
        </w:rPr>
      </w:pPr>
    </w:p>
    <w:p w14:paraId="5A5F251E" w14:textId="09CFE7A7" w:rsidR="00AE72C1" w:rsidRPr="00321163" w:rsidRDefault="00AE72C1" w:rsidP="00CA6249">
      <w:pPr>
        <w:widowControl w:val="0"/>
        <w:tabs>
          <w:tab w:val="left" w:pos="220"/>
          <w:tab w:val="left" w:pos="720"/>
        </w:tabs>
        <w:autoSpaceDE w:val="0"/>
        <w:autoSpaceDN w:val="0"/>
        <w:adjustRightInd w:val="0"/>
        <w:spacing w:line="360" w:lineRule="auto"/>
        <w:jc w:val="both"/>
        <w:rPr>
          <w:rFonts w:ascii="Book Antiqua" w:eastAsia="宋体" w:hAnsi="Book Antiqua"/>
          <w:lang w:eastAsia="zh-CN"/>
        </w:rPr>
      </w:pPr>
      <w:r w:rsidRPr="00321163">
        <w:rPr>
          <w:rFonts w:ascii="Book Antiqua" w:hAnsi="Book Antiqua"/>
          <w:b/>
        </w:rPr>
        <w:t>Key words:</w:t>
      </w:r>
      <w:r w:rsidRPr="00321163">
        <w:rPr>
          <w:rFonts w:ascii="Book Antiqua" w:hAnsi="Book Antiqua"/>
        </w:rPr>
        <w:t xml:space="preserve"> </w:t>
      </w:r>
      <w:r w:rsidR="00344D99" w:rsidRPr="00321163">
        <w:rPr>
          <w:rFonts w:ascii="Book Antiqua" w:eastAsia="宋体" w:hAnsi="Book Antiqua"/>
          <w:lang w:eastAsia="zh-CN"/>
        </w:rPr>
        <w:t>Endoscopic retrograde cholangiography</w:t>
      </w:r>
      <w:r w:rsidR="00BA3A77" w:rsidRPr="00321163">
        <w:rPr>
          <w:rFonts w:ascii="Book Antiqua" w:eastAsia="宋体" w:hAnsi="Book Antiqua"/>
          <w:lang w:eastAsia="zh-CN"/>
        </w:rPr>
        <w:t>;</w:t>
      </w:r>
      <w:r w:rsidR="00D412B5" w:rsidRPr="00321163">
        <w:rPr>
          <w:rFonts w:ascii="Book Antiqua" w:hAnsi="Book Antiqua"/>
        </w:rPr>
        <w:t xml:space="preserve"> </w:t>
      </w:r>
      <w:r w:rsidR="00BA3A77" w:rsidRPr="00321163">
        <w:rPr>
          <w:rFonts w:ascii="Book Antiqua" w:hAnsi="Book Antiqua"/>
        </w:rPr>
        <w:t>P</w:t>
      </w:r>
      <w:r w:rsidR="00D412B5" w:rsidRPr="00321163">
        <w:rPr>
          <w:rFonts w:ascii="Book Antiqua" w:hAnsi="Book Antiqua"/>
        </w:rPr>
        <w:t>ediatric</w:t>
      </w:r>
      <w:r w:rsidR="00BA3A77" w:rsidRPr="00321163">
        <w:rPr>
          <w:rFonts w:ascii="Book Antiqua" w:eastAsia="宋体" w:hAnsi="Book Antiqua"/>
          <w:lang w:eastAsia="zh-CN"/>
        </w:rPr>
        <w:t>;</w:t>
      </w:r>
      <w:r w:rsidR="00DB7A13" w:rsidRPr="00321163">
        <w:rPr>
          <w:rFonts w:ascii="Book Antiqua" w:hAnsi="Book Antiqua"/>
        </w:rPr>
        <w:t xml:space="preserve"> </w:t>
      </w:r>
      <w:r w:rsidR="00BA3A77" w:rsidRPr="00321163">
        <w:rPr>
          <w:rFonts w:ascii="Book Antiqua" w:hAnsi="Book Antiqua"/>
        </w:rPr>
        <w:t>E</w:t>
      </w:r>
      <w:r w:rsidR="00DB7A13" w:rsidRPr="00321163">
        <w:rPr>
          <w:rFonts w:ascii="Book Antiqua" w:hAnsi="Book Antiqua"/>
        </w:rPr>
        <w:t>ndoscopy</w:t>
      </w:r>
      <w:r w:rsidR="00BA3A77" w:rsidRPr="00321163">
        <w:rPr>
          <w:rFonts w:ascii="Book Antiqua" w:eastAsia="宋体" w:hAnsi="Book Antiqua"/>
          <w:lang w:eastAsia="zh-CN"/>
        </w:rPr>
        <w:t>;</w:t>
      </w:r>
      <w:r w:rsidR="00D412B5" w:rsidRPr="00321163">
        <w:rPr>
          <w:rFonts w:ascii="Book Antiqua" w:hAnsi="Book Antiqua"/>
        </w:rPr>
        <w:t xml:space="preserve"> </w:t>
      </w:r>
      <w:r w:rsidR="00BA3A77" w:rsidRPr="00321163">
        <w:rPr>
          <w:rFonts w:ascii="Book Antiqua" w:hAnsi="Book Antiqua"/>
        </w:rPr>
        <w:t>C</w:t>
      </w:r>
      <w:r w:rsidR="00D412B5" w:rsidRPr="00321163">
        <w:rPr>
          <w:rFonts w:ascii="Book Antiqua" w:hAnsi="Book Antiqua"/>
        </w:rPr>
        <w:t>holedocholithiasis</w:t>
      </w:r>
      <w:r w:rsidR="00BA3A77" w:rsidRPr="00321163">
        <w:rPr>
          <w:rFonts w:ascii="Book Antiqua" w:eastAsia="宋体" w:hAnsi="Book Antiqua"/>
          <w:lang w:eastAsia="zh-CN"/>
        </w:rPr>
        <w:t>;</w:t>
      </w:r>
      <w:r w:rsidR="00D412B5" w:rsidRPr="00321163">
        <w:rPr>
          <w:rFonts w:ascii="Book Antiqua" w:hAnsi="Book Antiqua"/>
        </w:rPr>
        <w:t xml:space="preserve"> </w:t>
      </w:r>
      <w:r w:rsidR="00BA3A77" w:rsidRPr="00321163">
        <w:rPr>
          <w:rFonts w:ascii="Book Antiqua" w:hAnsi="Book Antiqua"/>
        </w:rPr>
        <w:t>C</w:t>
      </w:r>
      <w:r w:rsidR="00D412B5" w:rsidRPr="00321163">
        <w:rPr>
          <w:rFonts w:ascii="Book Antiqua" w:hAnsi="Book Antiqua"/>
        </w:rPr>
        <w:t>hildren</w:t>
      </w:r>
      <w:r w:rsidR="00BA3A77" w:rsidRPr="00321163">
        <w:rPr>
          <w:rFonts w:ascii="Book Antiqua" w:eastAsia="宋体" w:hAnsi="Book Antiqua"/>
          <w:lang w:eastAsia="zh-CN"/>
        </w:rPr>
        <w:t>;</w:t>
      </w:r>
      <w:r w:rsidR="00D412B5" w:rsidRPr="00321163">
        <w:rPr>
          <w:rFonts w:ascii="Book Antiqua" w:hAnsi="Book Antiqua"/>
        </w:rPr>
        <w:t xml:space="preserve"> </w:t>
      </w:r>
      <w:r w:rsidR="00BA3A77" w:rsidRPr="00321163">
        <w:rPr>
          <w:rFonts w:ascii="Book Antiqua" w:hAnsi="Book Antiqua"/>
        </w:rPr>
        <w:t>G</w:t>
      </w:r>
      <w:r w:rsidR="00D412B5" w:rsidRPr="00321163">
        <w:rPr>
          <w:rFonts w:ascii="Book Antiqua" w:hAnsi="Book Antiqua"/>
        </w:rPr>
        <w:t>allstones</w:t>
      </w:r>
      <w:r w:rsidR="00BA3A77" w:rsidRPr="00321163">
        <w:rPr>
          <w:rFonts w:ascii="Book Antiqua" w:eastAsia="宋体" w:hAnsi="Book Antiqua"/>
          <w:lang w:eastAsia="zh-CN"/>
        </w:rPr>
        <w:t>;</w:t>
      </w:r>
      <w:r w:rsidR="009176A0" w:rsidRPr="00321163">
        <w:rPr>
          <w:rFonts w:ascii="Book Antiqua" w:hAnsi="Book Antiqua"/>
        </w:rPr>
        <w:t xml:space="preserve"> </w:t>
      </w:r>
      <w:r w:rsidR="00BA3A77" w:rsidRPr="00321163">
        <w:rPr>
          <w:rFonts w:ascii="Book Antiqua" w:hAnsi="Book Antiqua"/>
        </w:rPr>
        <w:t>A</w:t>
      </w:r>
      <w:r w:rsidR="009176A0" w:rsidRPr="00321163">
        <w:rPr>
          <w:rFonts w:ascii="Book Antiqua" w:hAnsi="Book Antiqua"/>
        </w:rPr>
        <w:t>bdominal ultrasound</w:t>
      </w:r>
    </w:p>
    <w:p w14:paraId="69AFD49F" w14:textId="77777777" w:rsidR="00BA3A77" w:rsidRPr="00321163" w:rsidRDefault="00BA3A77" w:rsidP="00CA6249">
      <w:pPr>
        <w:widowControl w:val="0"/>
        <w:tabs>
          <w:tab w:val="left" w:pos="220"/>
          <w:tab w:val="left" w:pos="720"/>
        </w:tabs>
        <w:autoSpaceDE w:val="0"/>
        <w:autoSpaceDN w:val="0"/>
        <w:adjustRightInd w:val="0"/>
        <w:spacing w:line="360" w:lineRule="auto"/>
        <w:jc w:val="both"/>
        <w:rPr>
          <w:rFonts w:ascii="Book Antiqua" w:eastAsia="宋体" w:hAnsi="Book Antiqua"/>
          <w:b/>
          <w:lang w:eastAsia="zh-CN"/>
        </w:rPr>
      </w:pPr>
    </w:p>
    <w:p w14:paraId="3B104784" w14:textId="77777777" w:rsidR="00BA3A77" w:rsidRPr="00321163" w:rsidRDefault="00BA3A77" w:rsidP="00CA6249">
      <w:pPr>
        <w:spacing w:line="360" w:lineRule="auto"/>
        <w:jc w:val="both"/>
        <w:rPr>
          <w:rFonts w:ascii="Book Antiqua" w:hAnsi="Book Antiqua" w:cs="Arial"/>
        </w:rPr>
      </w:pPr>
      <w:proofErr w:type="gramStart"/>
      <w:r w:rsidRPr="00321163">
        <w:rPr>
          <w:rFonts w:ascii="Book Antiqua" w:hAnsi="Book Antiqua"/>
          <w:b/>
        </w:rPr>
        <w:t xml:space="preserve">© </w:t>
      </w:r>
      <w:r w:rsidRPr="00321163">
        <w:rPr>
          <w:rFonts w:ascii="Book Antiqua" w:hAnsi="Book Antiqua" w:cs="Arial"/>
          <w:b/>
        </w:rPr>
        <w:t>The Author(s) 2016.</w:t>
      </w:r>
      <w:proofErr w:type="gramEnd"/>
      <w:r w:rsidRPr="00321163">
        <w:rPr>
          <w:rFonts w:ascii="Book Antiqua" w:hAnsi="Book Antiqua" w:cs="Arial"/>
        </w:rPr>
        <w:t xml:space="preserve"> Published by </w:t>
      </w:r>
      <w:proofErr w:type="spellStart"/>
      <w:r w:rsidRPr="00321163">
        <w:rPr>
          <w:rFonts w:ascii="Book Antiqua" w:hAnsi="Book Antiqua" w:cs="Arial"/>
        </w:rPr>
        <w:t>Baishideng</w:t>
      </w:r>
      <w:proofErr w:type="spellEnd"/>
      <w:r w:rsidRPr="00321163">
        <w:rPr>
          <w:rFonts w:ascii="Book Antiqua" w:hAnsi="Book Antiqua" w:cs="Arial"/>
        </w:rPr>
        <w:t xml:space="preserve"> Publishing Group Inc. All rights reserved.</w:t>
      </w:r>
    </w:p>
    <w:p w14:paraId="07F6BAA7" w14:textId="77777777" w:rsidR="00BA3A77" w:rsidRPr="00321163" w:rsidRDefault="00BA3A77" w:rsidP="00CA6249">
      <w:pPr>
        <w:widowControl w:val="0"/>
        <w:tabs>
          <w:tab w:val="left" w:pos="220"/>
          <w:tab w:val="left" w:pos="720"/>
        </w:tabs>
        <w:autoSpaceDE w:val="0"/>
        <w:autoSpaceDN w:val="0"/>
        <w:adjustRightInd w:val="0"/>
        <w:spacing w:line="360" w:lineRule="auto"/>
        <w:jc w:val="both"/>
        <w:rPr>
          <w:rFonts w:ascii="Book Antiqua" w:eastAsia="宋体" w:hAnsi="Book Antiqua"/>
          <w:b/>
          <w:lang w:eastAsia="zh-CN"/>
        </w:rPr>
      </w:pPr>
    </w:p>
    <w:p w14:paraId="712F952F" w14:textId="54D4CEA9" w:rsidR="00C10BAE" w:rsidRPr="00321163" w:rsidRDefault="00AE72C1" w:rsidP="00CA6249">
      <w:pPr>
        <w:spacing w:line="360" w:lineRule="auto"/>
        <w:jc w:val="both"/>
        <w:rPr>
          <w:rFonts w:ascii="Book Antiqua" w:eastAsia="Arial Unicode MS" w:hAnsi="Book Antiqua" w:cs="Arial Unicode MS"/>
          <w:b/>
        </w:rPr>
      </w:pPr>
      <w:r w:rsidRPr="00321163">
        <w:rPr>
          <w:rFonts w:ascii="Book Antiqua" w:eastAsia="Arial Unicode MS" w:hAnsi="Book Antiqua" w:cs="Arial Unicode MS"/>
          <w:b/>
        </w:rPr>
        <w:t>C</w:t>
      </w:r>
      <w:r w:rsidR="00BA3A77" w:rsidRPr="00321163">
        <w:rPr>
          <w:rFonts w:ascii="Book Antiqua" w:eastAsia="Arial Unicode MS" w:hAnsi="Book Antiqua" w:cs="Arial Unicode MS"/>
          <w:b/>
        </w:rPr>
        <w:t xml:space="preserve">ore tip: </w:t>
      </w:r>
      <w:r w:rsidR="00C10BAE" w:rsidRPr="00321163">
        <w:rPr>
          <w:rFonts w:ascii="Book Antiqua" w:hAnsi="Book Antiqua"/>
        </w:rPr>
        <w:t>In pediatric patients with gallstones, biliary obstruction has been reported in up to 30% of patients</w:t>
      </w:r>
      <w:r w:rsidR="00C313B9" w:rsidRPr="00321163">
        <w:rPr>
          <w:rFonts w:ascii="Book Antiqua" w:hAnsi="Book Antiqua"/>
        </w:rPr>
        <w:t xml:space="preserve"> with limited data to predict need for </w:t>
      </w:r>
      <w:r w:rsidR="00344D99" w:rsidRPr="00321163">
        <w:rPr>
          <w:rFonts w:ascii="Book Antiqua" w:eastAsia="宋体" w:hAnsi="Book Antiqua"/>
          <w:lang w:eastAsia="zh-CN"/>
        </w:rPr>
        <w:t>endoscopic retrograde cholangiography</w:t>
      </w:r>
      <w:r w:rsidR="00C313B9" w:rsidRPr="00321163">
        <w:rPr>
          <w:rFonts w:ascii="Book Antiqua" w:hAnsi="Book Antiqua"/>
        </w:rPr>
        <w:t xml:space="preserve"> for choledocholithiasis</w:t>
      </w:r>
      <w:r w:rsidR="00C10BAE" w:rsidRPr="00321163">
        <w:rPr>
          <w:rFonts w:ascii="Book Antiqua" w:hAnsi="Book Antiqua"/>
        </w:rPr>
        <w:t xml:space="preserve">. </w:t>
      </w:r>
      <w:r w:rsidR="00C313B9" w:rsidRPr="00321163">
        <w:rPr>
          <w:rFonts w:ascii="Book Antiqua" w:hAnsi="Book Antiqua"/>
        </w:rPr>
        <w:t>In this</w:t>
      </w:r>
      <w:r w:rsidR="00C10BAE" w:rsidRPr="00321163">
        <w:rPr>
          <w:rFonts w:ascii="Book Antiqua" w:hAnsi="Book Antiqua"/>
        </w:rPr>
        <w:t xml:space="preserve"> single-center retrospective study we evaluated 44 consecutive pediatric patients</w:t>
      </w:r>
      <w:r w:rsidR="00C313B9" w:rsidRPr="00321163">
        <w:rPr>
          <w:rFonts w:ascii="Book Antiqua" w:hAnsi="Book Antiqua"/>
        </w:rPr>
        <w:t xml:space="preserve"> and</w:t>
      </w:r>
      <w:r w:rsidR="00C10BAE" w:rsidRPr="00321163">
        <w:rPr>
          <w:rFonts w:ascii="Book Antiqua" w:hAnsi="Book Antiqua"/>
        </w:rPr>
        <w:t xml:space="preserve"> used the American Society of Gastrointestinal Endoscopy guidelines for suspected</w:t>
      </w:r>
      <w:r w:rsidR="00C313B9" w:rsidRPr="00321163">
        <w:rPr>
          <w:rFonts w:ascii="Book Antiqua" w:hAnsi="Book Antiqua"/>
        </w:rPr>
        <w:t xml:space="preserve"> </w:t>
      </w:r>
      <w:proofErr w:type="spellStart"/>
      <w:r w:rsidR="00C313B9" w:rsidRPr="00321163">
        <w:rPr>
          <w:rFonts w:ascii="Book Antiqua" w:hAnsi="Book Antiqua"/>
        </w:rPr>
        <w:t>choledocholithiasis</w:t>
      </w:r>
      <w:proofErr w:type="spellEnd"/>
      <w:r w:rsidR="00C313B9" w:rsidRPr="00321163">
        <w:rPr>
          <w:rFonts w:ascii="Book Antiqua" w:hAnsi="Book Antiqua"/>
        </w:rPr>
        <w:t>.</w:t>
      </w:r>
      <w:r w:rsidR="00922966" w:rsidRPr="00321163">
        <w:rPr>
          <w:rFonts w:ascii="Book Antiqua" w:hAnsi="Book Antiqua"/>
        </w:rPr>
        <w:t xml:space="preserve"> </w:t>
      </w:r>
      <w:r w:rsidR="00C313B9" w:rsidRPr="00321163">
        <w:rPr>
          <w:rFonts w:ascii="Book Antiqua" w:hAnsi="Book Antiqua"/>
        </w:rPr>
        <w:t>We</w:t>
      </w:r>
      <w:r w:rsidR="00CA6249" w:rsidRPr="00321163">
        <w:rPr>
          <w:rFonts w:ascii="Book Antiqua" w:hAnsi="Book Antiqua"/>
        </w:rPr>
        <w:t xml:space="preserve"> found that the Very Strong</w:t>
      </w:r>
      <w:r w:rsidR="00C10BAE" w:rsidRPr="00321163">
        <w:rPr>
          <w:rFonts w:ascii="Book Antiqua" w:hAnsi="Book Antiqua"/>
        </w:rPr>
        <w:t xml:space="preserve"> and Strong criteria identified the majority of patients.</w:t>
      </w:r>
      <w:r w:rsidR="00922966" w:rsidRPr="00321163">
        <w:rPr>
          <w:rFonts w:ascii="Book Antiqua" w:hAnsi="Book Antiqua"/>
        </w:rPr>
        <w:t xml:space="preserve"> </w:t>
      </w:r>
      <w:r w:rsidR="00C10BAE" w:rsidRPr="00321163">
        <w:rPr>
          <w:rFonts w:ascii="Book Antiqua" w:hAnsi="Book Antiqua"/>
        </w:rPr>
        <w:t xml:space="preserve">Conjugated bilirubin was also identified as an important </w:t>
      </w:r>
      <w:r w:rsidR="00C313B9" w:rsidRPr="00321163">
        <w:rPr>
          <w:rFonts w:ascii="Book Antiqua" w:hAnsi="Book Antiqua"/>
        </w:rPr>
        <w:t xml:space="preserve">predictor. </w:t>
      </w:r>
      <w:r w:rsidR="00C10BAE" w:rsidRPr="00321163">
        <w:rPr>
          <w:rFonts w:ascii="Book Antiqua" w:hAnsi="Book Antiqua"/>
        </w:rPr>
        <w:t xml:space="preserve">Current adult guidelines </w:t>
      </w:r>
      <w:r w:rsidR="00C313B9" w:rsidRPr="00321163">
        <w:rPr>
          <w:rFonts w:ascii="Book Antiqua" w:hAnsi="Book Antiqua"/>
        </w:rPr>
        <w:t>can be used in</w:t>
      </w:r>
      <w:r w:rsidR="00C10BAE" w:rsidRPr="00321163">
        <w:rPr>
          <w:rFonts w:ascii="Book Antiqua" w:hAnsi="Book Antiqua"/>
        </w:rPr>
        <w:t xml:space="preserve"> the majority of </w:t>
      </w:r>
      <w:r w:rsidR="00C313B9" w:rsidRPr="00321163">
        <w:rPr>
          <w:rFonts w:ascii="Book Antiqua" w:hAnsi="Book Antiqua"/>
        </w:rPr>
        <w:t>patients</w:t>
      </w:r>
      <w:r w:rsidR="00C10BAE" w:rsidRPr="00321163">
        <w:rPr>
          <w:rFonts w:ascii="Book Antiqua" w:hAnsi="Book Antiqua"/>
        </w:rPr>
        <w:t>, but specific pediatric guidelines may improve detection, thus decreasing risks</w:t>
      </w:r>
      <w:r w:rsidR="00B15B5C" w:rsidRPr="00321163">
        <w:rPr>
          <w:rFonts w:ascii="Book Antiqua" w:hAnsi="Book Antiqua"/>
        </w:rPr>
        <w:t>.</w:t>
      </w:r>
    </w:p>
    <w:p w14:paraId="01ADBF9B" w14:textId="77777777" w:rsidR="00CA6249" w:rsidRPr="00321163" w:rsidRDefault="00CA6249" w:rsidP="00CA6249">
      <w:pPr>
        <w:spacing w:line="360" w:lineRule="auto"/>
        <w:jc w:val="both"/>
        <w:rPr>
          <w:rFonts w:ascii="Book Antiqua" w:eastAsia="宋体" w:hAnsi="Book Antiqua"/>
          <w:b/>
          <w:lang w:eastAsia="zh-CN"/>
        </w:rPr>
      </w:pPr>
    </w:p>
    <w:p w14:paraId="56217F19" w14:textId="10655BC1" w:rsidR="00CA6249" w:rsidRPr="00321163" w:rsidRDefault="00CA6249" w:rsidP="00CA6249">
      <w:pPr>
        <w:spacing w:line="360" w:lineRule="auto"/>
        <w:jc w:val="both"/>
        <w:rPr>
          <w:rFonts w:ascii="Book Antiqua" w:eastAsia="宋体" w:hAnsi="Book Antiqua"/>
          <w:lang w:eastAsia="zh-CN"/>
        </w:rPr>
      </w:pPr>
      <w:r w:rsidRPr="00321163">
        <w:rPr>
          <w:rFonts w:ascii="Book Antiqua" w:hAnsi="Book Antiqua"/>
        </w:rPr>
        <w:t>Fishman</w:t>
      </w:r>
      <w:r w:rsidRPr="00321163">
        <w:rPr>
          <w:rFonts w:ascii="Book Antiqua" w:eastAsia="宋体" w:hAnsi="Book Antiqua"/>
          <w:lang w:eastAsia="zh-CN"/>
        </w:rPr>
        <w:t xml:space="preserve"> DS</w:t>
      </w:r>
      <w:r w:rsidRPr="00321163">
        <w:rPr>
          <w:rFonts w:ascii="Book Antiqua" w:hAnsi="Book Antiqua"/>
        </w:rPr>
        <w:t xml:space="preserve">, </w:t>
      </w:r>
      <w:proofErr w:type="spellStart"/>
      <w:r w:rsidRPr="00321163">
        <w:rPr>
          <w:rFonts w:ascii="Book Antiqua" w:hAnsi="Book Antiqua"/>
        </w:rPr>
        <w:t>Chumpitazi</w:t>
      </w:r>
      <w:proofErr w:type="spellEnd"/>
      <w:r w:rsidRPr="00321163">
        <w:rPr>
          <w:rFonts w:ascii="Book Antiqua" w:eastAsia="宋体" w:hAnsi="Book Antiqua"/>
          <w:lang w:eastAsia="zh-CN"/>
        </w:rPr>
        <w:t xml:space="preserve"> BP</w:t>
      </w:r>
      <w:r w:rsidRPr="00321163">
        <w:rPr>
          <w:rFonts w:ascii="Book Antiqua" w:hAnsi="Book Antiqua"/>
        </w:rPr>
        <w:t xml:space="preserve">, </w:t>
      </w:r>
      <w:proofErr w:type="spellStart"/>
      <w:r w:rsidRPr="00321163">
        <w:rPr>
          <w:rFonts w:ascii="Book Antiqua" w:hAnsi="Book Antiqua"/>
        </w:rPr>
        <w:t>Raijman</w:t>
      </w:r>
      <w:proofErr w:type="spellEnd"/>
      <w:r w:rsidRPr="00321163">
        <w:rPr>
          <w:rFonts w:ascii="Book Antiqua" w:eastAsia="宋体" w:hAnsi="Book Antiqua"/>
          <w:lang w:eastAsia="zh-CN"/>
        </w:rPr>
        <w:t xml:space="preserve"> I</w:t>
      </w:r>
      <w:r w:rsidRPr="00321163">
        <w:rPr>
          <w:rFonts w:ascii="Book Antiqua" w:hAnsi="Book Antiqua"/>
        </w:rPr>
        <w:t>, Tsai</w:t>
      </w:r>
      <w:r w:rsidRPr="00321163">
        <w:rPr>
          <w:rFonts w:ascii="Book Antiqua" w:eastAsia="宋体" w:hAnsi="Book Antiqua"/>
          <w:lang w:eastAsia="zh-CN"/>
        </w:rPr>
        <w:t xml:space="preserve"> CMW</w:t>
      </w:r>
      <w:r w:rsidRPr="00321163">
        <w:rPr>
          <w:rFonts w:ascii="Book Antiqua" w:hAnsi="Book Antiqua"/>
        </w:rPr>
        <w:t>, Smith</w:t>
      </w:r>
      <w:r w:rsidRPr="00321163">
        <w:rPr>
          <w:rFonts w:ascii="Book Antiqua" w:eastAsia="宋体" w:hAnsi="Book Antiqua"/>
          <w:lang w:eastAsia="zh-CN"/>
        </w:rPr>
        <w:t xml:space="preserve"> EO</w:t>
      </w:r>
      <w:r w:rsidRPr="00321163">
        <w:rPr>
          <w:rFonts w:ascii="Book Antiqua" w:hAnsi="Book Antiqua"/>
        </w:rPr>
        <w:t xml:space="preserve">, </w:t>
      </w:r>
      <w:proofErr w:type="spellStart"/>
      <w:r w:rsidRPr="00321163">
        <w:rPr>
          <w:rFonts w:ascii="Book Antiqua" w:hAnsi="Book Antiqua"/>
        </w:rPr>
        <w:t>Mazziotti</w:t>
      </w:r>
      <w:proofErr w:type="spellEnd"/>
      <w:r w:rsidRPr="00321163">
        <w:rPr>
          <w:rFonts w:ascii="Book Antiqua" w:eastAsia="宋体" w:hAnsi="Book Antiqua"/>
          <w:lang w:eastAsia="zh-CN"/>
        </w:rPr>
        <w:t xml:space="preserve"> MV</w:t>
      </w:r>
      <w:r w:rsidRPr="00321163">
        <w:rPr>
          <w:rFonts w:ascii="Book Antiqua" w:hAnsi="Book Antiqua"/>
        </w:rPr>
        <w:t xml:space="preserve">, </w:t>
      </w:r>
      <w:proofErr w:type="spellStart"/>
      <w:r w:rsidRPr="00321163">
        <w:rPr>
          <w:rFonts w:ascii="Book Antiqua" w:hAnsi="Book Antiqua"/>
        </w:rPr>
        <w:t>Gilger</w:t>
      </w:r>
      <w:proofErr w:type="spellEnd"/>
      <w:r w:rsidRPr="00321163">
        <w:rPr>
          <w:rFonts w:ascii="Book Antiqua" w:eastAsia="宋体" w:hAnsi="Book Antiqua"/>
          <w:lang w:eastAsia="zh-CN"/>
        </w:rPr>
        <w:t xml:space="preserve"> MA. Endoscopic retrograde cholangiography</w:t>
      </w:r>
      <w:r w:rsidRPr="00321163">
        <w:rPr>
          <w:rFonts w:ascii="Book Antiqua" w:hAnsi="Book Antiqua"/>
        </w:rPr>
        <w:t xml:space="preserve"> for pediatric choledocholithiasis: Assessing the need for endoscopic intervention</w:t>
      </w:r>
      <w:r w:rsidRPr="00321163">
        <w:rPr>
          <w:rFonts w:ascii="Book Antiqua" w:eastAsia="宋体" w:hAnsi="Book Antiqua"/>
          <w:lang w:eastAsia="zh-CN"/>
        </w:rPr>
        <w:t>.</w:t>
      </w:r>
      <w:r w:rsidRPr="00321163">
        <w:rPr>
          <w:rFonts w:ascii="Book Antiqua" w:hAnsi="Book Antiqua"/>
          <w:i/>
          <w:iCs/>
        </w:rPr>
        <w:t xml:space="preserve"> World J </w:t>
      </w:r>
      <w:proofErr w:type="spellStart"/>
      <w:r w:rsidRPr="00321163">
        <w:rPr>
          <w:rFonts w:ascii="Book Antiqua" w:hAnsi="Book Antiqua"/>
          <w:i/>
          <w:iCs/>
        </w:rPr>
        <w:t>Gastrointest</w:t>
      </w:r>
      <w:proofErr w:type="spellEnd"/>
      <w:r w:rsidRPr="00321163">
        <w:rPr>
          <w:rFonts w:ascii="Book Antiqua" w:hAnsi="Book Antiqua"/>
          <w:i/>
          <w:iCs/>
        </w:rPr>
        <w:t xml:space="preserve"> </w:t>
      </w:r>
      <w:proofErr w:type="spellStart"/>
      <w:r w:rsidRPr="00321163">
        <w:rPr>
          <w:rFonts w:ascii="Book Antiqua" w:hAnsi="Book Antiqua"/>
          <w:i/>
          <w:iCs/>
        </w:rPr>
        <w:t>Endosc</w:t>
      </w:r>
      <w:proofErr w:type="spellEnd"/>
      <w:r w:rsidRPr="00321163">
        <w:rPr>
          <w:rFonts w:ascii="Book Antiqua" w:eastAsia="宋体" w:hAnsi="Book Antiqua"/>
          <w:i/>
          <w:iCs/>
          <w:lang w:eastAsia="zh-CN"/>
        </w:rPr>
        <w:t xml:space="preserve"> </w:t>
      </w:r>
      <w:r w:rsidRPr="00321163">
        <w:rPr>
          <w:rFonts w:ascii="Book Antiqua" w:eastAsia="宋体" w:hAnsi="Book Antiqua"/>
          <w:iCs/>
          <w:lang w:eastAsia="zh-CN"/>
        </w:rPr>
        <w:t xml:space="preserve">2016; </w:t>
      </w:r>
      <w:proofErr w:type="gramStart"/>
      <w:r w:rsidRPr="00321163">
        <w:rPr>
          <w:rFonts w:ascii="Book Antiqua" w:eastAsia="宋体" w:hAnsi="Book Antiqua"/>
          <w:iCs/>
          <w:lang w:eastAsia="zh-CN"/>
        </w:rPr>
        <w:t>In</w:t>
      </w:r>
      <w:proofErr w:type="gramEnd"/>
      <w:r w:rsidRPr="00321163">
        <w:rPr>
          <w:rFonts w:ascii="Book Antiqua" w:eastAsia="宋体" w:hAnsi="Book Antiqua"/>
          <w:iCs/>
          <w:lang w:eastAsia="zh-CN"/>
        </w:rPr>
        <w:t xml:space="preserve"> press</w:t>
      </w:r>
    </w:p>
    <w:p w14:paraId="560144D1" w14:textId="77777777" w:rsidR="00AE72C1" w:rsidRPr="00321163" w:rsidRDefault="00AE72C1" w:rsidP="00CA6249">
      <w:pPr>
        <w:spacing w:line="360" w:lineRule="auto"/>
        <w:jc w:val="both"/>
        <w:rPr>
          <w:rFonts w:ascii="Book Antiqua" w:eastAsia="宋体" w:hAnsi="Book Antiqua"/>
          <w:b/>
          <w:lang w:eastAsia="zh-CN"/>
        </w:rPr>
      </w:pPr>
    </w:p>
    <w:p w14:paraId="5FC3D1DC" w14:textId="77777777" w:rsidR="00CA6249" w:rsidRPr="00321163" w:rsidRDefault="00CA6249">
      <w:pPr>
        <w:rPr>
          <w:rFonts w:ascii="Book Antiqua" w:hAnsi="Book Antiqua"/>
          <w:b/>
        </w:rPr>
      </w:pPr>
      <w:r w:rsidRPr="00321163">
        <w:rPr>
          <w:rFonts w:ascii="Book Antiqua" w:hAnsi="Book Antiqua"/>
          <w:b/>
        </w:rPr>
        <w:br w:type="page"/>
      </w:r>
    </w:p>
    <w:p w14:paraId="3558D7DF" w14:textId="50FB9D06" w:rsidR="00FF64BA" w:rsidRPr="00321163" w:rsidRDefault="00CA6249" w:rsidP="00CA6249">
      <w:pPr>
        <w:spacing w:line="360" w:lineRule="auto"/>
        <w:jc w:val="both"/>
        <w:rPr>
          <w:rFonts w:ascii="Book Antiqua" w:eastAsia="宋体" w:hAnsi="Book Antiqua"/>
          <w:b/>
          <w:lang w:eastAsia="zh-CN"/>
        </w:rPr>
      </w:pPr>
      <w:r w:rsidRPr="00321163">
        <w:rPr>
          <w:rFonts w:ascii="Book Antiqua" w:hAnsi="Book Antiqua"/>
          <w:b/>
        </w:rPr>
        <w:lastRenderedPageBreak/>
        <w:t>INTRODUCTION</w:t>
      </w:r>
    </w:p>
    <w:p w14:paraId="2C5E518A" w14:textId="0F09C13A" w:rsidR="00F025DC" w:rsidRPr="00321163" w:rsidRDefault="00BD36C7" w:rsidP="00CA6249">
      <w:pPr>
        <w:spacing w:line="360" w:lineRule="auto"/>
        <w:jc w:val="both"/>
        <w:rPr>
          <w:rFonts w:ascii="Book Antiqua" w:hAnsi="Book Antiqua"/>
        </w:rPr>
      </w:pPr>
      <w:r w:rsidRPr="00321163">
        <w:rPr>
          <w:rFonts w:ascii="Book Antiqua" w:hAnsi="Book Antiqua"/>
        </w:rPr>
        <w:t xml:space="preserve">Choledocholithiasis </w:t>
      </w:r>
      <w:r w:rsidR="00FF64BA" w:rsidRPr="00321163">
        <w:rPr>
          <w:rFonts w:ascii="Book Antiqua" w:hAnsi="Book Antiqua"/>
        </w:rPr>
        <w:t>can complicate sy</w:t>
      </w:r>
      <w:r w:rsidR="00C205CA" w:rsidRPr="00321163">
        <w:rPr>
          <w:rFonts w:ascii="Book Antiqua" w:hAnsi="Book Antiqua"/>
        </w:rPr>
        <w:t>mptomatic gallstones in up to 10</w:t>
      </w:r>
      <w:r w:rsidR="00FF64BA" w:rsidRPr="00321163">
        <w:rPr>
          <w:rFonts w:ascii="Book Antiqua" w:hAnsi="Book Antiqua"/>
        </w:rPr>
        <w:t xml:space="preserve">% of </w:t>
      </w:r>
      <w:r w:rsidRPr="00321163">
        <w:rPr>
          <w:rFonts w:ascii="Book Antiqua" w:hAnsi="Book Antiqua"/>
        </w:rPr>
        <w:t>adults</w:t>
      </w:r>
      <w:r w:rsidR="00C205CA" w:rsidRPr="00321163">
        <w:rPr>
          <w:rFonts w:ascii="Book Antiqua" w:hAnsi="Book Antiqua"/>
        </w:rPr>
        <w:t xml:space="preserve"> at </w:t>
      </w:r>
      <w:proofErr w:type="gramStart"/>
      <w:r w:rsidR="00C205CA" w:rsidRPr="00321163">
        <w:rPr>
          <w:rFonts w:ascii="Book Antiqua" w:hAnsi="Book Antiqua"/>
        </w:rPr>
        <w:t>cholecystectomy</w:t>
      </w:r>
      <w:r w:rsidR="000B492B" w:rsidRPr="00321163">
        <w:rPr>
          <w:rFonts w:ascii="Book Antiqua" w:eastAsia="宋体" w:hAnsi="Book Antiqua"/>
          <w:vertAlign w:val="superscript"/>
          <w:lang w:eastAsia="zh-CN"/>
        </w:rPr>
        <w:t>[</w:t>
      </w:r>
      <w:proofErr w:type="gramEnd"/>
      <w:r w:rsidR="000B492B" w:rsidRPr="00321163">
        <w:rPr>
          <w:rFonts w:ascii="Book Antiqua" w:eastAsia="宋体" w:hAnsi="Book Antiqua"/>
          <w:vertAlign w:val="superscript"/>
          <w:lang w:eastAsia="zh-CN"/>
        </w:rPr>
        <w:t>1]</w:t>
      </w:r>
      <w:r w:rsidR="00C205CA" w:rsidRPr="00321163">
        <w:rPr>
          <w:rFonts w:ascii="Book Antiqua" w:hAnsi="Book Antiqua"/>
        </w:rPr>
        <w:t>.</w:t>
      </w:r>
      <w:r w:rsidR="00020AC7" w:rsidRPr="00321163">
        <w:rPr>
          <w:rFonts w:ascii="Book Antiqua" w:hAnsi="Book Antiqua"/>
          <w:vertAlign w:val="superscript"/>
        </w:rPr>
        <w:t xml:space="preserve"> </w:t>
      </w:r>
      <w:r w:rsidRPr="00321163">
        <w:rPr>
          <w:rFonts w:ascii="Book Antiqua" w:hAnsi="Book Antiqua"/>
        </w:rPr>
        <w:t xml:space="preserve">Children may be at higher risk with </w:t>
      </w:r>
      <w:r w:rsidR="00F33F94" w:rsidRPr="00321163">
        <w:rPr>
          <w:rFonts w:ascii="Book Antiqua" w:hAnsi="Book Antiqua"/>
        </w:rPr>
        <w:t>recent studies demonstrat</w:t>
      </w:r>
      <w:r w:rsidRPr="00321163">
        <w:rPr>
          <w:rFonts w:ascii="Book Antiqua" w:hAnsi="Book Antiqua"/>
        </w:rPr>
        <w:t>ing</w:t>
      </w:r>
      <w:r w:rsidR="00F33F94" w:rsidRPr="00321163">
        <w:rPr>
          <w:rFonts w:ascii="Book Antiqua" w:hAnsi="Book Antiqua"/>
        </w:rPr>
        <w:t xml:space="preserve"> </w:t>
      </w:r>
      <w:r w:rsidR="00FF64BA" w:rsidRPr="00321163">
        <w:rPr>
          <w:rFonts w:ascii="Book Antiqua" w:hAnsi="Book Antiqua"/>
        </w:rPr>
        <w:t xml:space="preserve">up to 30% of patients </w:t>
      </w:r>
      <w:r w:rsidR="00F33F94" w:rsidRPr="00321163">
        <w:rPr>
          <w:rFonts w:ascii="Book Antiqua" w:hAnsi="Book Antiqua"/>
        </w:rPr>
        <w:t xml:space="preserve">evaluated for </w:t>
      </w:r>
      <w:r w:rsidRPr="00321163">
        <w:rPr>
          <w:rFonts w:ascii="Book Antiqua" w:hAnsi="Book Antiqua"/>
        </w:rPr>
        <w:t xml:space="preserve">pediatric </w:t>
      </w:r>
      <w:r w:rsidR="00F33F94" w:rsidRPr="00321163">
        <w:rPr>
          <w:rFonts w:ascii="Book Antiqua" w:hAnsi="Book Antiqua"/>
        </w:rPr>
        <w:t xml:space="preserve">gallbladder disease </w:t>
      </w:r>
      <w:r w:rsidR="00FF64BA" w:rsidRPr="00321163">
        <w:rPr>
          <w:rFonts w:ascii="Book Antiqua" w:hAnsi="Book Antiqua"/>
        </w:rPr>
        <w:t>ha</w:t>
      </w:r>
      <w:r w:rsidRPr="00321163">
        <w:rPr>
          <w:rFonts w:ascii="Book Antiqua" w:hAnsi="Book Antiqua"/>
        </w:rPr>
        <w:t>ving</w:t>
      </w:r>
      <w:r w:rsidR="00FF64BA" w:rsidRPr="00321163">
        <w:rPr>
          <w:rFonts w:ascii="Book Antiqua" w:hAnsi="Book Antiqua"/>
        </w:rPr>
        <w:t xml:space="preserve"> some form of </w:t>
      </w:r>
      <w:r w:rsidR="009459F5" w:rsidRPr="00321163">
        <w:rPr>
          <w:rFonts w:ascii="Book Antiqua" w:hAnsi="Book Antiqua"/>
        </w:rPr>
        <w:t xml:space="preserve">complicated </w:t>
      </w:r>
      <w:r w:rsidR="00FF64BA" w:rsidRPr="00321163">
        <w:rPr>
          <w:rFonts w:ascii="Book Antiqua" w:hAnsi="Book Antiqua"/>
        </w:rPr>
        <w:t xml:space="preserve">bile duct obstruction as evidenced by jaundice, </w:t>
      </w:r>
      <w:r w:rsidR="00F33F94" w:rsidRPr="00321163">
        <w:rPr>
          <w:rFonts w:ascii="Book Antiqua" w:hAnsi="Book Antiqua"/>
        </w:rPr>
        <w:t>pancreatitis</w:t>
      </w:r>
      <w:r w:rsidR="00FF64BA" w:rsidRPr="00321163">
        <w:rPr>
          <w:rFonts w:ascii="Book Antiqua" w:hAnsi="Book Antiqua"/>
        </w:rPr>
        <w:t xml:space="preserve">, </w:t>
      </w:r>
      <w:r w:rsidR="00F33F94" w:rsidRPr="00321163">
        <w:rPr>
          <w:rFonts w:ascii="Book Antiqua" w:hAnsi="Book Antiqua"/>
        </w:rPr>
        <w:t xml:space="preserve">or imaging with a </w:t>
      </w:r>
      <w:r w:rsidR="00FF64BA" w:rsidRPr="00321163">
        <w:rPr>
          <w:rFonts w:ascii="Book Antiqua" w:hAnsi="Book Antiqua"/>
        </w:rPr>
        <w:t>visualized stone or dilated bile duct</w:t>
      </w:r>
      <w:r w:rsidR="00CA6249" w:rsidRPr="00321163">
        <w:rPr>
          <w:rFonts w:ascii="Book Antiqua" w:hAnsi="Book Antiqua"/>
          <w:vertAlign w:val="superscript"/>
        </w:rPr>
        <w:t>[2-4]</w:t>
      </w:r>
      <w:r w:rsidR="006D1B88" w:rsidRPr="00321163">
        <w:rPr>
          <w:rFonts w:ascii="Book Antiqua" w:hAnsi="Book Antiqua"/>
        </w:rPr>
        <w:t>.</w:t>
      </w:r>
      <w:r w:rsidR="008777F0" w:rsidRPr="00321163">
        <w:rPr>
          <w:rFonts w:ascii="Book Antiqua" w:hAnsi="Book Antiqua"/>
        </w:rPr>
        <w:t xml:space="preserve"> </w:t>
      </w:r>
      <w:r w:rsidR="006D1B88" w:rsidRPr="00321163">
        <w:rPr>
          <w:rFonts w:ascii="Book Antiqua" w:hAnsi="Book Antiqua"/>
        </w:rPr>
        <w:t>As in adult patients with choledocholithiasis, management options in children include both endoscopic and surgical methods</w:t>
      </w:r>
      <w:r w:rsidRPr="00321163">
        <w:rPr>
          <w:rFonts w:ascii="Book Antiqua" w:hAnsi="Book Antiqua"/>
        </w:rPr>
        <w:t>.</w:t>
      </w:r>
      <w:r w:rsidR="00922966" w:rsidRPr="00321163">
        <w:rPr>
          <w:rFonts w:ascii="Book Antiqua" w:hAnsi="Book Antiqua"/>
        </w:rPr>
        <w:t xml:space="preserve"> </w:t>
      </w:r>
      <w:r w:rsidRPr="00321163">
        <w:rPr>
          <w:rFonts w:ascii="Book Antiqua" w:hAnsi="Book Antiqua"/>
        </w:rPr>
        <w:t xml:space="preserve">However, normal </w:t>
      </w:r>
      <w:r w:rsidR="009459F5" w:rsidRPr="00321163">
        <w:rPr>
          <w:rFonts w:ascii="Book Antiqua" w:hAnsi="Book Antiqua"/>
        </w:rPr>
        <w:t xml:space="preserve">laboratory </w:t>
      </w:r>
      <w:r w:rsidRPr="00321163">
        <w:rPr>
          <w:rFonts w:ascii="Book Antiqua" w:hAnsi="Book Antiqua"/>
        </w:rPr>
        <w:t xml:space="preserve">value </w:t>
      </w:r>
      <w:r w:rsidR="009459F5" w:rsidRPr="00321163">
        <w:rPr>
          <w:rFonts w:ascii="Book Antiqua" w:hAnsi="Book Antiqua"/>
        </w:rPr>
        <w:t>differences</w:t>
      </w:r>
      <w:r w:rsidRPr="00321163">
        <w:rPr>
          <w:rFonts w:ascii="Book Antiqua" w:hAnsi="Book Antiqua"/>
        </w:rPr>
        <w:t xml:space="preserve"> and differences in bile duct size </w:t>
      </w:r>
      <w:r w:rsidR="009459F5" w:rsidRPr="00321163">
        <w:rPr>
          <w:rFonts w:ascii="Book Antiqua" w:hAnsi="Book Antiqua"/>
        </w:rPr>
        <w:t xml:space="preserve">between pediatric and adults patients pose </w:t>
      </w:r>
      <w:r w:rsidRPr="00321163">
        <w:rPr>
          <w:rFonts w:ascii="Book Antiqua" w:hAnsi="Book Antiqua"/>
        </w:rPr>
        <w:t xml:space="preserve">further </w:t>
      </w:r>
      <w:r w:rsidR="009459F5" w:rsidRPr="00321163">
        <w:rPr>
          <w:rFonts w:ascii="Book Antiqua" w:hAnsi="Book Antiqua"/>
        </w:rPr>
        <w:t>challenges to</w:t>
      </w:r>
      <w:r w:rsidR="00D841FD" w:rsidRPr="00321163">
        <w:rPr>
          <w:rFonts w:ascii="Book Antiqua" w:hAnsi="Book Antiqua"/>
        </w:rPr>
        <w:t xml:space="preserve"> appropriate </w:t>
      </w:r>
      <w:r w:rsidR="009459F5" w:rsidRPr="00321163">
        <w:rPr>
          <w:rFonts w:ascii="Book Antiqua" w:hAnsi="Book Antiqua"/>
        </w:rPr>
        <w:t>patient selection for the management of pediatric choledocholithiasis.</w:t>
      </w:r>
    </w:p>
    <w:p w14:paraId="57CEBFEC" w14:textId="202F7D2D" w:rsidR="0092641A" w:rsidRPr="00321163" w:rsidRDefault="00F33F94" w:rsidP="00CA6249">
      <w:pPr>
        <w:spacing w:line="360" w:lineRule="auto"/>
        <w:ind w:firstLineChars="100" w:firstLine="240"/>
        <w:jc w:val="both"/>
        <w:rPr>
          <w:rFonts w:ascii="Book Antiqua" w:hAnsi="Book Antiqua"/>
        </w:rPr>
      </w:pPr>
      <w:r w:rsidRPr="00321163">
        <w:rPr>
          <w:rFonts w:ascii="Book Antiqua" w:hAnsi="Book Antiqua" w:cs="Arial"/>
        </w:rPr>
        <w:t>Multiple studies in adult</w:t>
      </w:r>
      <w:r w:rsidR="00D841FD" w:rsidRPr="00321163">
        <w:rPr>
          <w:rFonts w:ascii="Book Antiqua" w:hAnsi="Book Antiqua" w:cs="Arial"/>
        </w:rPr>
        <w:t xml:space="preserve"> patients</w:t>
      </w:r>
      <w:r w:rsidRPr="00321163">
        <w:rPr>
          <w:rFonts w:ascii="Book Antiqua" w:hAnsi="Book Antiqua" w:cs="Arial"/>
        </w:rPr>
        <w:t xml:space="preserve"> have evaluated specific </w:t>
      </w:r>
      <w:r w:rsidR="00CA71BF" w:rsidRPr="00321163">
        <w:rPr>
          <w:rFonts w:ascii="Book Antiqua" w:hAnsi="Book Antiqua" w:cs="Arial"/>
        </w:rPr>
        <w:t>keys</w:t>
      </w:r>
      <w:r w:rsidRPr="00321163">
        <w:rPr>
          <w:rFonts w:ascii="Book Antiqua" w:hAnsi="Book Antiqua" w:cs="Arial"/>
        </w:rPr>
        <w:t xml:space="preserve"> in identifying common bile ducts stones</w:t>
      </w:r>
      <w:r w:rsidR="006D1B88" w:rsidRPr="00321163">
        <w:rPr>
          <w:rFonts w:ascii="Book Antiqua" w:hAnsi="Book Antiqua" w:cs="Arial"/>
        </w:rPr>
        <w:t xml:space="preserve"> at </w:t>
      </w:r>
      <w:r w:rsidR="00344D99" w:rsidRPr="00321163">
        <w:rPr>
          <w:rFonts w:ascii="Book Antiqua" w:eastAsia="宋体" w:hAnsi="Book Antiqua"/>
          <w:lang w:eastAsia="zh-CN"/>
        </w:rPr>
        <w:t>endoscopic retrograde cholangiography</w:t>
      </w:r>
      <w:r w:rsidR="00344D99" w:rsidRPr="00321163">
        <w:rPr>
          <w:rFonts w:ascii="Book Antiqua" w:hAnsi="Book Antiqua" w:cs="Arial"/>
        </w:rPr>
        <w:t xml:space="preserve"> </w:t>
      </w:r>
      <w:r w:rsidR="00344D99" w:rsidRPr="00321163">
        <w:rPr>
          <w:rFonts w:ascii="Book Antiqua" w:eastAsia="宋体" w:hAnsi="Book Antiqua" w:cs="Arial"/>
          <w:lang w:eastAsia="zh-CN"/>
        </w:rPr>
        <w:t>(</w:t>
      </w:r>
      <w:r w:rsidR="006D1B88" w:rsidRPr="00321163">
        <w:rPr>
          <w:rFonts w:ascii="Book Antiqua" w:hAnsi="Book Antiqua" w:cs="Arial"/>
        </w:rPr>
        <w:t>ERCP</w:t>
      </w:r>
      <w:r w:rsidR="00344D99" w:rsidRPr="00321163">
        <w:rPr>
          <w:rFonts w:ascii="Book Antiqua" w:eastAsia="宋体" w:hAnsi="Book Antiqua" w:cs="Arial"/>
          <w:lang w:eastAsia="zh-CN"/>
        </w:rPr>
        <w:t>)</w:t>
      </w:r>
      <w:r w:rsidR="00CA6249" w:rsidRPr="00321163">
        <w:rPr>
          <w:rFonts w:ascii="Book Antiqua" w:hAnsi="Book Antiqua" w:cs="Arial"/>
          <w:vertAlign w:val="superscript"/>
        </w:rPr>
        <w:t>[5-9]</w:t>
      </w:r>
      <w:r w:rsidRPr="00321163">
        <w:rPr>
          <w:rFonts w:ascii="Book Antiqua" w:hAnsi="Book Antiqua" w:cs="Arial"/>
        </w:rPr>
        <w:t>.</w:t>
      </w:r>
      <w:r w:rsidR="00CA6249" w:rsidRPr="00321163">
        <w:rPr>
          <w:rFonts w:ascii="Book Antiqua" w:hAnsi="Book Antiqua"/>
        </w:rPr>
        <w:t xml:space="preserve"> </w:t>
      </w:r>
      <w:r w:rsidR="004968B6" w:rsidRPr="00321163">
        <w:rPr>
          <w:rFonts w:ascii="Book Antiqua" w:hAnsi="Book Antiqua"/>
        </w:rPr>
        <w:t xml:space="preserve">Algorithms and </w:t>
      </w:r>
      <w:r w:rsidR="004A334D" w:rsidRPr="00321163">
        <w:rPr>
          <w:rFonts w:ascii="Book Antiqua" w:hAnsi="Book Antiqua"/>
        </w:rPr>
        <w:t>scoring systems have been developed in order to identify patients with a high likelihood of having</w:t>
      </w:r>
      <w:r w:rsidR="00137219" w:rsidRPr="00321163">
        <w:rPr>
          <w:rFonts w:ascii="Book Antiqua" w:hAnsi="Book Antiqua"/>
        </w:rPr>
        <w:t xml:space="preserve"> common bile duct stones</w:t>
      </w:r>
      <w:r w:rsidR="004A334D" w:rsidRPr="00321163">
        <w:rPr>
          <w:rFonts w:ascii="Book Antiqua" w:hAnsi="Book Antiqua"/>
        </w:rPr>
        <w:t xml:space="preserve"> </w:t>
      </w:r>
      <w:r w:rsidR="00137219" w:rsidRPr="00321163">
        <w:rPr>
          <w:rFonts w:ascii="Book Antiqua" w:hAnsi="Book Antiqua"/>
        </w:rPr>
        <w:t>(</w:t>
      </w:r>
      <w:r w:rsidR="004A334D" w:rsidRPr="00321163">
        <w:rPr>
          <w:rFonts w:ascii="Book Antiqua" w:hAnsi="Book Antiqua"/>
        </w:rPr>
        <w:t>CBDS</w:t>
      </w:r>
      <w:r w:rsidR="00137219" w:rsidRPr="00321163">
        <w:rPr>
          <w:rFonts w:ascii="Book Antiqua" w:hAnsi="Book Antiqua"/>
        </w:rPr>
        <w:t>)</w:t>
      </w:r>
      <w:r w:rsidR="004A334D" w:rsidRPr="00321163">
        <w:rPr>
          <w:rFonts w:ascii="Book Antiqua" w:hAnsi="Book Antiqua"/>
        </w:rPr>
        <w:t xml:space="preserve"> that would benefit from treatment with ERCP, or other modalities such as laparoscopic cholecystectomy with intraoperative cholangiogram.</w:t>
      </w:r>
      <w:r w:rsidR="00922966" w:rsidRPr="00321163">
        <w:rPr>
          <w:rFonts w:ascii="Book Antiqua" w:hAnsi="Book Antiqua"/>
        </w:rPr>
        <w:t xml:space="preserve"> </w:t>
      </w:r>
    </w:p>
    <w:p w14:paraId="38309632" w14:textId="7405B9F4" w:rsidR="007656AA" w:rsidRPr="00321163" w:rsidRDefault="00AD1DF9" w:rsidP="00CA6249">
      <w:pPr>
        <w:spacing w:line="360" w:lineRule="auto"/>
        <w:ind w:firstLineChars="100" w:firstLine="240"/>
        <w:jc w:val="both"/>
        <w:rPr>
          <w:rFonts w:ascii="Book Antiqua" w:hAnsi="Book Antiqua" w:cs="Arial"/>
        </w:rPr>
      </w:pPr>
      <w:r w:rsidRPr="00321163">
        <w:rPr>
          <w:rFonts w:ascii="Book Antiqua" w:hAnsi="Book Antiqua" w:cs="Arial"/>
        </w:rPr>
        <w:t>Current</w:t>
      </w:r>
      <w:r w:rsidR="004A334D" w:rsidRPr="00321163">
        <w:rPr>
          <w:rFonts w:ascii="Book Antiqua" w:hAnsi="Book Antiqua" w:cs="Arial"/>
        </w:rPr>
        <w:t xml:space="preserve"> </w:t>
      </w:r>
      <w:r w:rsidR="00735B85" w:rsidRPr="00321163">
        <w:rPr>
          <w:rFonts w:ascii="Book Antiqua" w:hAnsi="Book Antiqua" w:cs="Arial"/>
        </w:rPr>
        <w:t xml:space="preserve">American Society of Gastrointestinal Endoscopy (ASGE) </w:t>
      </w:r>
      <w:r w:rsidR="004A334D" w:rsidRPr="00321163">
        <w:rPr>
          <w:rFonts w:ascii="Book Antiqua" w:hAnsi="Book Antiqua" w:cs="Arial"/>
        </w:rPr>
        <w:t xml:space="preserve">guidelines stratify adult </w:t>
      </w:r>
      <w:r w:rsidR="00177A0C" w:rsidRPr="00321163">
        <w:rPr>
          <w:rFonts w:ascii="Book Antiqua" w:hAnsi="Book Antiqua" w:cs="Arial"/>
        </w:rPr>
        <w:t>patients using s</w:t>
      </w:r>
      <w:r w:rsidR="00CA71BF" w:rsidRPr="00321163">
        <w:rPr>
          <w:rFonts w:ascii="Book Antiqua" w:hAnsi="Book Antiqua" w:cs="Arial"/>
        </w:rPr>
        <w:t>everal</w:t>
      </w:r>
      <w:r w:rsidR="00177A0C" w:rsidRPr="00321163">
        <w:rPr>
          <w:rFonts w:ascii="Book Antiqua" w:hAnsi="Book Antiqua" w:cs="Arial"/>
        </w:rPr>
        <w:t xml:space="preserve"> </w:t>
      </w:r>
      <w:proofErr w:type="gramStart"/>
      <w:r w:rsidR="00177A0C" w:rsidRPr="00321163">
        <w:rPr>
          <w:rFonts w:ascii="Book Antiqua" w:hAnsi="Book Antiqua" w:cs="Arial"/>
        </w:rPr>
        <w:t>predictors</w:t>
      </w:r>
      <w:r w:rsidR="00CA6249" w:rsidRPr="00321163">
        <w:rPr>
          <w:rFonts w:ascii="Book Antiqua" w:hAnsi="Book Antiqua" w:cs="Arial"/>
          <w:vertAlign w:val="superscript"/>
        </w:rPr>
        <w:t>[</w:t>
      </w:r>
      <w:proofErr w:type="gramEnd"/>
      <w:r w:rsidR="00CA6249" w:rsidRPr="00321163">
        <w:rPr>
          <w:rFonts w:ascii="Book Antiqua" w:hAnsi="Book Antiqua" w:cs="Arial"/>
          <w:vertAlign w:val="superscript"/>
        </w:rPr>
        <w:t>10]</w:t>
      </w:r>
      <w:r w:rsidR="00177A0C" w:rsidRPr="00321163">
        <w:rPr>
          <w:rFonts w:ascii="Book Antiqua" w:hAnsi="Book Antiqua" w:cs="Arial"/>
        </w:rPr>
        <w:t>.</w:t>
      </w:r>
      <w:r w:rsidR="00C73E59" w:rsidRPr="00321163">
        <w:rPr>
          <w:rFonts w:ascii="Book Antiqua" w:hAnsi="Book Antiqua" w:cs="Arial"/>
        </w:rPr>
        <w:t xml:space="preserve"> </w:t>
      </w:r>
      <w:r w:rsidR="00A02F3C" w:rsidRPr="00321163">
        <w:rPr>
          <w:rFonts w:ascii="Book Antiqua" w:hAnsi="Book Antiqua" w:cs="Arial"/>
        </w:rPr>
        <w:t xml:space="preserve">A probability of stone identification of greater than 50% at ERCP </w:t>
      </w:r>
      <w:r w:rsidRPr="00321163">
        <w:rPr>
          <w:rFonts w:ascii="Book Antiqua" w:hAnsi="Book Antiqua" w:cs="Arial"/>
        </w:rPr>
        <w:t>is</w:t>
      </w:r>
      <w:r w:rsidR="00A02F3C" w:rsidRPr="00321163">
        <w:rPr>
          <w:rFonts w:ascii="Book Antiqua" w:hAnsi="Book Antiqua" w:cs="Arial"/>
        </w:rPr>
        <w:t xml:space="preserve"> </w:t>
      </w:r>
      <w:r w:rsidR="00137219" w:rsidRPr="00321163">
        <w:rPr>
          <w:rFonts w:ascii="Book Antiqua" w:hAnsi="Book Antiqua" w:cs="Arial"/>
        </w:rPr>
        <w:t>set</w:t>
      </w:r>
      <w:r w:rsidR="00A02F3C" w:rsidRPr="00321163">
        <w:rPr>
          <w:rFonts w:ascii="Book Antiqua" w:hAnsi="Book Antiqua" w:cs="Arial"/>
        </w:rPr>
        <w:t xml:space="preserve"> as an appropriate level of detection of CBDS. </w:t>
      </w:r>
      <w:r w:rsidR="004E3889" w:rsidRPr="00321163">
        <w:rPr>
          <w:rFonts w:ascii="Book Antiqua" w:hAnsi="Book Antiqua" w:cs="Arial"/>
        </w:rPr>
        <w:t xml:space="preserve">These conditions are met if </w:t>
      </w:r>
      <w:r w:rsidR="00260F5B" w:rsidRPr="00321163">
        <w:rPr>
          <w:rFonts w:ascii="Book Antiqua" w:hAnsi="Book Antiqua" w:cs="Arial"/>
        </w:rPr>
        <w:t xml:space="preserve">any </w:t>
      </w:r>
      <w:r w:rsidR="004E3889" w:rsidRPr="00321163">
        <w:rPr>
          <w:rFonts w:ascii="Book Antiqua" w:hAnsi="Book Antiqua" w:cs="Arial"/>
        </w:rPr>
        <w:t xml:space="preserve">of the following were identified: the </w:t>
      </w:r>
      <w:r w:rsidR="00A02F3C" w:rsidRPr="00321163">
        <w:rPr>
          <w:rFonts w:ascii="Book Antiqua" w:hAnsi="Book Antiqua" w:cs="Arial"/>
        </w:rPr>
        <w:t>value of total bilirubin (measured in mg/</w:t>
      </w:r>
      <w:proofErr w:type="spellStart"/>
      <w:r w:rsidR="00A02F3C" w:rsidRPr="00321163">
        <w:rPr>
          <w:rFonts w:ascii="Book Antiqua" w:hAnsi="Book Antiqua" w:cs="Arial"/>
        </w:rPr>
        <w:t>dL</w:t>
      </w:r>
      <w:proofErr w:type="spellEnd"/>
      <w:r w:rsidR="00A02F3C" w:rsidRPr="00321163">
        <w:rPr>
          <w:rFonts w:ascii="Book Antiqua" w:hAnsi="Book Antiqua" w:cs="Arial"/>
        </w:rPr>
        <w:t>)</w:t>
      </w:r>
      <w:r w:rsidR="004E3889" w:rsidRPr="00321163">
        <w:rPr>
          <w:rFonts w:ascii="Book Antiqua" w:hAnsi="Book Antiqua" w:cs="Arial"/>
        </w:rPr>
        <w:t xml:space="preserve"> was greater than 4</w:t>
      </w:r>
      <w:r w:rsidR="004A334D" w:rsidRPr="00321163">
        <w:rPr>
          <w:rFonts w:ascii="Book Antiqua" w:hAnsi="Book Antiqua" w:cs="Arial"/>
        </w:rPr>
        <w:t xml:space="preserve">, </w:t>
      </w:r>
      <w:r w:rsidR="004E3889" w:rsidRPr="00321163">
        <w:rPr>
          <w:rFonts w:ascii="Book Antiqua" w:hAnsi="Book Antiqua" w:cs="Arial"/>
        </w:rPr>
        <w:t xml:space="preserve">a </w:t>
      </w:r>
      <w:r w:rsidR="00A02F3C" w:rsidRPr="00321163">
        <w:rPr>
          <w:rFonts w:ascii="Book Antiqua" w:hAnsi="Book Antiqua" w:cs="Arial"/>
        </w:rPr>
        <w:t xml:space="preserve">CBDS </w:t>
      </w:r>
      <w:r w:rsidRPr="00321163">
        <w:rPr>
          <w:rFonts w:ascii="Book Antiqua" w:hAnsi="Book Antiqua" w:cs="Arial"/>
        </w:rPr>
        <w:t xml:space="preserve">is </w:t>
      </w:r>
      <w:r w:rsidR="004E3889" w:rsidRPr="00321163">
        <w:rPr>
          <w:rFonts w:ascii="Book Antiqua" w:hAnsi="Book Antiqua" w:cs="Arial"/>
        </w:rPr>
        <w:t xml:space="preserve">visualized </w:t>
      </w:r>
      <w:r w:rsidR="00A02F3C" w:rsidRPr="00321163">
        <w:rPr>
          <w:rFonts w:ascii="Book Antiqua" w:hAnsi="Book Antiqua" w:cs="Arial"/>
        </w:rPr>
        <w:t>by trans</w:t>
      </w:r>
      <w:r w:rsidR="00C73E59" w:rsidRPr="00321163">
        <w:rPr>
          <w:rFonts w:ascii="Book Antiqua" w:hAnsi="Book Antiqua" w:cs="Arial"/>
        </w:rPr>
        <w:t>-</w:t>
      </w:r>
      <w:r w:rsidR="00A02F3C" w:rsidRPr="00321163">
        <w:rPr>
          <w:rFonts w:ascii="Book Antiqua" w:hAnsi="Book Antiqua" w:cs="Arial"/>
        </w:rPr>
        <w:t>abdominal ultrasound</w:t>
      </w:r>
      <w:r w:rsidR="004A334D" w:rsidRPr="00321163">
        <w:rPr>
          <w:rFonts w:ascii="Book Antiqua" w:hAnsi="Book Antiqua" w:cs="Arial"/>
        </w:rPr>
        <w:t xml:space="preserve">, </w:t>
      </w:r>
      <w:r w:rsidR="004E3889" w:rsidRPr="00321163">
        <w:rPr>
          <w:rFonts w:ascii="Book Antiqua" w:hAnsi="Book Antiqua" w:cs="Arial"/>
        </w:rPr>
        <w:t>or the presen</w:t>
      </w:r>
      <w:r w:rsidR="0092641A" w:rsidRPr="00321163">
        <w:rPr>
          <w:rFonts w:ascii="Book Antiqua" w:hAnsi="Book Antiqua" w:cs="Arial"/>
        </w:rPr>
        <w:t>ce of cholangitis.</w:t>
      </w:r>
      <w:r w:rsidR="00922966" w:rsidRPr="00321163">
        <w:rPr>
          <w:rFonts w:ascii="Book Antiqua" w:hAnsi="Book Antiqua" w:cs="Arial"/>
        </w:rPr>
        <w:t xml:space="preserve"> </w:t>
      </w:r>
      <w:r w:rsidR="0092641A" w:rsidRPr="00321163">
        <w:rPr>
          <w:rFonts w:ascii="Book Antiqua" w:hAnsi="Book Antiqua" w:cs="Arial"/>
        </w:rPr>
        <w:t xml:space="preserve">If </w:t>
      </w:r>
      <w:r w:rsidR="000B2662" w:rsidRPr="00321163">
        <w:rPr>
          <w:rFonts w:ascii="Book Antiqua" w:hAnsi="Book Antiqua" w:cs="Arial"/>
        </w:rPr>
        <w:t xml:space="preserve">both </w:t>
      </w:r>
      <w:r w:rsidR="0092641A" w:rsidRPr="00321163">
        <w:rPr>
          <w:rFonts w:ascii="Book Antiqua" w:hAnsi="Book Antiqua" w:cs="Arial"/>
        </w:rPr>
        <w:t>the</w:t>
      </w:r>
      <w:r w:rsidR="007A6C1D" w:rsidRPr="00321163">
        <w:rPr>
          <w:rFonts w:ascii="Book Antiqua" w:hAnsi="Book Antiqua" w:cs="Arial"/>
        </w:rPr>
        <w:t xml:space="preserve"> </w:t>
      </w:r>
      <w:r w:rsidR="004A334D" w:rsidRPr="00321163">
        <w:rPr>
          <w:rFonts w:ascii="Book Antiqua" w:hAnsi="Book Antiqua" w:cs="Arial"/>
        </w:rPr>
        <w:t xml:space="preserve">CBD </w:t>
      </w:r>
      <w:r w:rsidR="00E970BB" w:rsidRPr="00321163">
        <w:rPr>
          <w:rFonts w:ascii="Book Antiqua" w:hAnsi="Book Antiqua" w:cs="Arial"/>
        </w:rPr>
        <w:t xml:space="preserve">diameter </w:t>
      </w:r>
      <w:r w:rsidR="004E3889" w:rsidRPr="00321163">
        <w:rPr>
          <w:rFonts w:ascii="Book Antiqua" w:hAnsi="Book Antiqua" w:cs="Arial"/>
        </w:rPr>
        <w:t xml:space="preserve">was </w:t>
      </w:r>
      <w:r w:rsidR="004A334D" w:rsidRPr="00321163">
        <w:rPr>
          <w:rFonts w:ascii="Book Antiqua" w:hAnsi="Book Antiqua" w:cs="Arial"/>
        </w:rPr>
        <w:t>greater than six millimeters</w:t>
      </w:r>
      <w:r w:rsidR="004E3889" w:rsidRPr="00321163">
        <w:rPr>
          <w:rFonts w:ascii="Book Antiqua" w:hAnsi="Book Antiqua" w:cs="Arial"/>
        </w:rPr>
        <w:t xml:space="preserve"> by ultrasound </w:t>
      </w:r>
      <w:r w:rsidR="000B2662" w:rsidRPr="00321163">
        <w:rPr>
          <w:rFonts w:ascii="Book Antiqua" w:hAnsi="Book Antiqua" w:cs="Arial"/>
        </w:rPr>
        <w:t xml:space="preserve">and </w:t>
      </w:r>
      <w:r w:rsidR="004E3889" w:rsidRPr="00321163">
        <w:rPr>
          <w:rFonts w:ascii="Book Antiqua" w:hAnsi="Book Antiqua" w:cs="Arial"/>
        </w:rPr>
        <w:t>the total bilirubin was greater than 1.8 mg/</w:t>
      </w:r>
      <w:proofErr w:type="spellStart"/>
      <w:r w:rsidR="004E3889" w:rsidRPr="00321163">
        <w:rPr>
          <w:rFonts w:ascii="Book Antiqua" w:hAnsi="Book Antiqua" w:cs="Arial"/>
        </w:rPr>
        <w:t>dL</w:t>
      </w:r>
      <w:proofErr w:type="spellEnd"/>
      <w:r w:rsidR="004E3889" w:rsidRPr="00321163">
        <w:rPr>
          <w:rFonts w:ascii="Book Antiqua" w:hAnsi="Book Antiqua" w:cs="Arial"/>
        </w:rPr>
        <w:t>, ERCP was recommended and considered to meet the 50% threshold</w:t>
      </w:r>
      <w:r w:rsidR="00E970BB" w:rsidRPr="00321163">
        <w:rPr>
          <w:rFonts w:ascii="Book Antiqua" w:hAnsi="Book Antiqua" w:cs="Arial"/>
        </w:rPr>
        <w:t>.</w:t>
      </w:r>
      <w:r w:rsidR="00922966" w:rsidRPr="00321163">
        <w:rPr>
          <w:rFonts w:ascii="Book Antiqua" w:hAnsi="Book Antiqua" w:cs="Arial"/>
        </w:rPr>
        <w:t xml:space="preserve"> </w:t>
      </w:r>
      <w:r w:rsidR="0068681C" w:rsidRPr="00321163">
        <w:rPr>
          <w:rFonts w:ascii="Book Antiqua" w:hAnsi="Book Antiqua" w:cs="Arial"/>
        </w:rPr>
        <w:t xml:space="preserve">When present </w:t>
      </w:r>
      <w:r w:rsidR="003F4AEA" w:rsidRPr="00321163">
        <w:rPr>
          <w:rFonts w:ascii="Book Antiqua" w:hAnsi="Book Antiqua" w:cs="Arial"/>
        </w:rPr>
        <w:t>these factors were useful</w:t>
      </w:r>
      <w:r w:rsidR="00DB26F4" w:rsidRPr="00321163">
        <w:rPr>
          <w:rFonts w:ascii="Book Antiqua" w:hAnsi="Book Antiqua" w:cs="Arial"/>
        </w:rPr>
        <w:t xml:space="preserve"> for CBDS prediction</w:t>
      </w:r>
      <w:r w:rsidR="003F4AEA" w:rsidRPr="00321163">
        <w:rPr>
          <w:rFonts w:ascii="Book Antiqua" w:hAnsi="Book Antiqua" w:cs="Arial"/>
        </w:rPr>
        <w:t xml:space="preserve">, while other factors </w:t>
      </w:r>
      <w:r w:rsidR="005F126F" w:rsidRPr="00321163">
        <w:rPr>
          <w:rFonts w:ascii="Book Antiqua" w:hAnsi="Book Antiqua" w:cs="Arial"/>
        </w:rPr>
        <w:t>such as</w:t>
      </w:r>
      <w:r w:rsidR="003F4AEA" w:rsidRPr="00321163">
        <w:rPr>
          <w:rFonts w:ascii="Book Antiqua" w:hAnsi="Book Antiqua" w:cs="Arial"/>
        </w:rPr>
        <w:t xml:space="preserve"> age greater than 55</w:t>
      </w:r>
      <w:r w:rsidR="00CA71BF" w:rsidRPr="00321163">
        <w:rPr>
          <w:rFonts w:ascii="Book Antiqua" w:hAnsi="Book Antiqua" w:cs="Arial"/>
        </w:rPr>
        <w:t xml:space="preserve"> years</w:t>
      </w:r>
      <w:r w:rsidR="00A75B92" w:rsidRPr="00321163">
        <w:rPr>
          <w:rFonts w:ascii="Book Antiqua" w:hAnsi="Book Antiqua" w:cs="Arial"/>
        </w:rPr>
        <w:t xml:space="preserve"> </w:t>
      </w:r>
      <w:r w:rsidR="005F126F" w:rsidRPr="00321163">
        <w:rPr>
          <w:rFonts w:ascii="Book Antiqua" w:hAnsi="Book Antiqua" w:cs="Arial"/>
        </w:rPr>
        <w:t>old</w:t>
      </w:r>
      <w:r w:rsidR="003F4AEA" w:rsidRPr="00321163">
        <w:rPr>
          <w:rFonts w:ascii="Book Antiqua" w:hAnsi="Book Antiqua" w:cs="Arial"/>
        </w:rPr>
        <w:t>, presence of gallstone pancreatitis and abnormal markers of liver and biliary inflammation</w:t>
      </w:r>
      <w:r w:rsidR="00922966" w:rsidRPr="00321163">
        <w:rPr>
          <w:rFonts w:ascii="Book Antiqua" w:hAnsi="Book Antiqua" w:cs="Arial"/>
        </w:rPr>
        <w:t xml:space="preserve"> </w:t>
      </w:r>
      <w:r w:rsidR="00BA3A77" w:rsidRPr="00321163">
        <w:rPr>
          <w:rFonts w:ascii="Book Antiqua" w:eastAsia="宋体" w:hAnsi="Book Antiqua" w:cs="Arial"/>
          <w:lang w:eastAsia="zh-CN"/>
        </w:rPr>
        <w:t>[</w:t>
      </w:r>
      <w:r w:rsidR="004E3889" w:rsidRPr="00321163">
        <w:rPr>
          <w:rFonts w:ascii="Book Antiqua" w:hAnsi="Book Antiqua" w:cs="Arial"/>
          <w:i/>
        </w:rPr>
        <w:t>e</w:t>
      </w:r>
      <w:r w:rsidR="00BA3A77" w:rsidRPr="00321163">
        <w:rPr>
          <w:rFonts w:ascii="Book Antiqua" w:eastAsia="宋体" w:hAnsi="Book Antiqua" w:cs="Arial"/>
          <w:i/>
          <w:lang w:eastAsia="zh-CN"/>
        </w:rPr>
        <w:t>.</w:t>
      </w:r>
      <w:r w:rsidR="004E3889" w:rsidRPr="00321163">
        <w:rPr>
          <w:rFonts w:ascii="Book Antiqua" w:hAnsi="Book Antiqua" w:cs="Arial"/>
          <w:i/>
        </w:rPr>
        <w:t>g.</w:t>
      </w:r>
      <w:r w:rsidR="00BA3A77" w:rsidRPr="00321163">
        <w:rPr>
          <w:rFonts w:ascii="Book Antiqua" w:eastAsia="宋体" w:hAnsi="Book Antiqua" w:cs="Arial"/>
          <w:lang w:eastAsia="zh-CN"/>
        </w:rPr>
        <w:t>,</w:t>
      </w:r>
      <w:r w:rsidR="004E3889" w:rsidRPr="00321163">
        <w:rPr>
          <w:rFonts w:ascii="Book Antiqua" w:hAnsi="Book Antiqua" w:cs="Arial"/>
        </w:rPr>
        <w:t xml:space="preserve"> </w:t>
      </w:r>
      <w:r w:rsidR="00BA3A77" w:rsidRPr="00321163">
        <w:rPr>
          <w:rFonts w:ascii="Book Antiqua" w:hAnsi="Book Antiqua" w:cs="Arial"/>
        </w:rPr>
        <w:t>alanine aminotransferase (ALT)</w:t>
      </w:r>
      <w:r w:rsidR="004E3889" w:rsidRPr="00321163">
        <w:rPr>
          <w:rFonts w:ascii="Book Antiqua" w:hAnsi="Book Antiqua" w:cs="Arial"/>
        </w:rPr>
        <w:t>,</w:t>
      </w:r>
      <w:r w:rsidR="00CA6249" w:rsidRPr="00321163">
        <w:rPr>
          <w:rFonts w:ascii="Book Antiqua" w:hAnsi="Book Antiqua" w:cs="Arial"/>
        </w:rPr>
        <w:t xml:space="preserve"> </w:t>
      </w:r>
      <w:r w:rsidR="00CA6249" w:rsidRPr="00321163">
        <w:rPr>
          <w:rFonts w:ascii="Book Antiqua" w:eastAsia="MS Gothic" w:hAnsi="Book Antiqua"/>
          <w:bCs/>
        </w:rPr>
        <w:t>aspartate aminotransferase</w:t>
      </w:r>
      <w:r w:rsidR="00CA6249" w:rsidRPr="00321163">
        <w:rPr>
          <w:rFonts w:ascii="Book Antiqua" w:hAnsi="Book Antiqua" w:cs="Arial"/>
        </w:rPr>
        <w:t xml:space="preserve"> </w:t>
      </w:r>
      <w:r w:rsidR="00CA6249" w:rsidRPr="00321163">
        <w:rPr>
          <w:rFonts w:ascii="Book Antiqua" w:eastAsia="宋体" w:hAnsi="Book Antiqua" w:cs="Arial" w:hint="eastAsia"/>
          <w:lang w:eastAsia="zh-CN"/>
        </w:rPr>
        <w:t>(</w:t>
      </w:r>
      <w:r w:rsidR="004E3889" w:rsidRPr="00321163">
        <w:rPr>
          <w:rFonts w:ascii="Book Antiqua" w:hAnsi="Book Antiqua" w:cs="Arial"/>
        </w:rPr>
        <w:t>AST</w:t>
      </w:r>
      <w:r w:rsidR="00CA6249" w:rsidRPr="00321163">
        <w:rPr>
          <w:rFonts w:ascii="Book Antiqua" w:eastAsia="宋体" w:hAnsi="Book Antiqua" w:cs="Arial" w:hint="eastAsia"/>
          <w:lang w:eastAsia="zh-CN"/>
        </w:rPr>
        <w:t>)</w:t>
      </w:r>
      <w:r w:rsidR="004E3889" w:rsidRPr="00321163">
        <w:rPr>
          <w:rFonts w:ascii="Book Antiqua" w:hAnsi="Book Antiqua" w:cs="Arial"/>
        </w:rPr>
        <w:t xml:space="preserve">, </w:t>
      </w:r>
      <w:r w:rsidR="00AA0A72" w:rsidRPr="00321163">
        <w:rPr>
          <w:rFonts w:ascii="Book Antiqua" w:hAnsi="Book Antiqua"/>
        </w:rPr>
        <w:t>gamma-</w:t>
      </w:r>
      <w:proofErr w:type="spellStart"/>
      <w:r w:rsidR="00AA0A72" w:rsidRPr="00321163">
        <w:rPr>
          <w:rFonts w:ascii="Book Antiqua" w:hAnsi="Book Antiqua"/>
        </w:rPr>
        <w:t>glutamyl</w:t>
      </w:r>
      <w:proofErr w:type="spellEnd"/>
      <w:r w:rsidR="00AA0A72" w:rsidRPr="00321163">
        <w:rPr>
          <w:rFonts w:ascii="Book Antiqua" w:hAnsi="Book Antiqua"/>
        </w:rPr>
        <w:t xml:space="preserve"> transferase</w:t>
      </w:r>
      <w:r w:rsidR="00AA0A72" w:rsidRPr="00321163">
        <w:rPr>
          <w:rFonts w:ascii="Book Antiqua" w:hAnsi="Book Antiqua" w:cs="Arial"/>
        </w:rPr>
        <w:t xml:space="preserve"> (</w:t>
      </w:r>
      <w:r w:rsidR="00AA0A72" w:rsidRPr="00321163">
        <w:rPr>
          <w:rFonts w:ascii="Book Antiqua" w:hAnsi="Book Antiqua" w:cs="Arial"/>
        </w:rPr>
        <w:sym w:font="Symbol" w:char="F067"/>
      </w:r>
      <w:r w:rsidR="00AA0A72" w:rsidRPr="00321163">
        <w:rPr>
          <w:rFonts w:ascii="Times New Roman" w:hAnsi="Times New Roman"/>
        </w:rPr>
        <w:t>GT</w:t>
      </w:r>
      <w:r w:rsidR="00AA0A72" w:rsidRPr="00321163">
        <w:rPr>
          <w:rFonts w:ascii="Book Antiqua" w:hAnsi="Book Antiqua" w:cs="Arial"/>
        </w:rPr>
        <w:t>)</w:t>
      </w:r>
      <w:r w:rsidR="004E3889" w:rsidRPr="00321163">
        <w:rPr>
          <w:rFonts w:ascii="Book Antiqua" w:hAnsi="Book Antiqua" w:cs="Arial"/>
        </w:rPr>
        <w:t>, and alkaline phosphatase</w:t>
      </w:r>
      <w:r w:rsidR="00BA3A77" w:rsidRPr="00321163">
        <w:rPr>
          <w:rFonts w:ascii="Book Antiqua" w:eastAsia="宋体" w:hAnsi="Book Antiqua" w:cs="Arial"/>
          <w:lang w:eastAsia="zh-CN"/>
        </w:rPr>
        <w:t>]</w:t>
      </w:r>
      <w:r w:rsidR="004E3889" w:rsidRPr="00321163">
        <w:rPr>
          <w:rFonts w:ascii="Book Antiqua" w:hAnsi="Book Antiqua" w:cs="Arial"/>
        </w:rPr>
        <w:t xml:space="preserve"> </w:t>
      </w:r>
      <w:r w:rsidR="003F4AEA" w:rsidRPr="00321163">
        <w:rPr>
          <w:rFonts w:ascii="Book Antiqua" w:hAnsi="Book Antiqua" w:cs="Arial"/>
        </w:rPr>
        <w:t xml:space="preserve">were less </w:t>
      </w:r>
      <w:r w:rsidR="003F4AEA" w:rsidRPr="00321163">
        <w:rPr>
          <w:rFonts w:ascii="Book Antiqua" w:hAnsi="Book Antiqua" w:cs="Arial"/>
        </w:rPr>
        <w:lastRenderedPageBreak/>
        <w:t>likely to predict CBDS.</w:t>
      </w:r>
      <w:r w:rsidR="00922966" w:rsidRPr="00321163">
        <w:rPr>
          <w:rFonts w:ascii="Book Antiqua" w:hAnsi="Book Antiqua" w:cs="Arial"/>
        </w:rPr>
        <w:t xml:space="preserve"> </w:t>
      </w:r>
      <w:r w:rsidR="005D0BB8" w:rsidRPr="00321163">
        <w:rPr>
          <w:rFonts w:ascii="Book Antiqua" w:hAnsi="Book Antiqua" w:cs="Arial"/>
        </w:rPr>
        <w:t xml:space="preserve">In contrast, </w:t>
      </w:r>
      <w:r w:rsidR="004A334D" w:rsidRPr="00321163">
        <w:rPr>
          <w:rFonts w:ascii="Book Antiqua" w:hAnsi="Book Antiqua" w:cs="Arial"/>
        </w:rPr>
        <w:t>l</w:t>
      </w:r>
      <w:r w:rsidR="007A1E36" w:rsidRPr="00321163">
        <w:rPr>
          <w:rFonts w:ascii="Book Antiqua" w:hAnsi="Book Antiqua" w:cs="Arial"/>
        </w:rPr>
        <w:t xml:space="preserve">imited data </w:t>
      </w:r>
      <w:r w:rsidR="00D2508A" w:rsidRPr="00321163">
        <w:rPr>
          <w:rFonts w:ascii="Book Antiqua" w:hAnsi="Book Antiqua" w:cs="Arial"/>
        </w:rPr>
        <w:t xml:space="preserve">and recommendations </w:t>
      </w:r>
      <w:r w:rsidR="007C1C6E" w:rsidRPr="00321163">
        <w:rPr>
          <w:rFonts w:ascii="Book Antiqua" w:hAnsi="Book Antiqua" w:cs="Arial"/>
        </w:rPr>
        <w:t xml:space="preserve">are </w:t>
      </w:r>
      <w:r w:rsidR="007A1E36" w:rsidRPr="00321163">
        <w:rPr>
          <w:rFonts w:ascii="Book Antiqua" w:hAnsi="Book Antiqua" w:cs="Arial"/>
        </w:rPr>
        <w:t xml:space="preserve">available for the management of suspected CBDS </w:t>
      </w:r>
      <w:r w:rsidR="007C1C6E" w:rsidRPr="00321163">
        <w:rPr>
          <w:rFonts w:ascii="Book Antiqua" w:hAnsi="Book Antiqua" w:cs="Arial"/>
        </w:rPr>
        <w:t xml:space="preserve">or gallstone pancreatitis </w:t>
      </w:r>
      <w:r w:rsidR="007A1E36" w:rsidRPr="00321163">
        <w:rPr>
          <w:rFonts w:ascii="Book Antiqua" w:hAnsi="Book Antiqua" w:cs="Arial"/>
        </w:rPr>
        <w:t xml:space="preserve">in </w:t>
      </w:r>
      <w:proofErr w:type="gramStart"/>
      <w:r w:rsidR="007A1E36" w:rsidRPr="00321163">
        <w:rPr>
          <w:rFonts w:ascii="Book Antiqua" w:hAnsi="Book Antiqua" w:cs="Arial"/>
        </w:rPr>
        <w:t>children</w:t>
      </w:r>
      <w:r w:rsidR="00EA2CF5" w:rsidRPr="00321163">
        <w:rPr>
          <w:rFonts w:ascii="Book Antiqua" w:hAnsi="Book Antiqua" w:cs="Arial"/>
          <w:vertAlign w:val="superscript"/>
        </w:rPr>
        <w:t>[</w:t>
      </w:r>
      <w:proofErr w:type="gramEnd"/>
      <w:r w:rsidR="00EA2CF5" w:rsidRPr="00321163">
        <w:rPr>
          <w:rFonts w:ascii="Book Antiqua" w:hAnsi="Book Antiqua" w:cs="Arial"/>
          <w:vertAlign w:val="superscript"/>
        </w:rPr>
        <w:t>11-13]</w:t>
      </w:r>
      <w:r w:rsidR="007A1E36" w:rsidRPr="00321163">
        <w:rPr>
          <w:rFonts w:ascii="Book Antiqua" w:hAnsi="Book Antiqua" w:cs="Arial"/>
        </w:rPr>
        <w:t xml:space="preserve">. </w:t>
      </w:r>
      <w:r w:rsidR="00F025DC" w:rsidRPr="00321163">
        <w:rPr>
          <w:rFonts w:ascii="Book Antiqua" w:hAnsi="Book Antiqua" w:cs="Arial"/>
        </w:rPr>
        <w:t xml:space="preserve">The aim of our study was to </w:t>
      </w:r>
      <w:r w:rsidR="005D0BB8" w:rsidRPr="00321163">
        <w:rPr>
          <w:rFonts w:ascii="Book Antiqua" w:hAnsi="Book Antiqua" w:cs="Arial"/>
        </w:rPr>
        <w:t xml:space="preserve">determine the applicability of the </w:t>
      </w:r>
      <w:r w:rsidR="004C2A12" w:rsidRPr="00321163">
        <w:rPr>
          <w:rFonts w:ascii="Book Antiqua" w:hAnsi="Book Antiqua" w:cs="Arial"/>
        </w:rPr>
        <w:t xml:space="preserve">current </w:t>
      </w:r>
      <w:r w:rsidR="00F025DC" w:rsidRPr="00321163">
        <w:rPr>
          <w:rFonts w:ascii="Book Antiqua" w:hAnsi="Book Antiqua" w:cs="Arial"/>
        </w:rPr>
        <w:t xml:space="preserve">ASGE guidelines </w:t>
      </w:r>
      <w:r w:rsidR="005D0BB8" w:rsidRPr="00321163">
        <w:rPr>
          <w:rFonts w:ascii="Book Antiqua" w:hAnsi="Book Antiqua" w:cs="Arial"/>
        </w:rPr>
        <w:t>in</w:t>
      </w:r>
      <w:r w:rsidR="00F025DC" w:rsidRPr="00321163">
        <w:rPr>
          <w:rFonts w:ascii="Book Antiqua" w:hAnsi="Book Antiqua" w:cs="Arial"/>
        </w:rPr>
        <w:t xml:space="preserve"> pediatric patients with suspected </w:t>
      </w:r>
      <w:r w:rsidR="00DB26F4" w:rsidRPr="00321163">
        <w:rPr>
          <w:rFonts w:ascii="Book Antiqua" w:hAnsi="Book Antiqua" w:cs="Arial"/>
        </w:rPr>
        <w:t xml:space="preserve">CBDS </w:t>
      </w:r>
      <w:r w:rsidR="00F025DC" w:rsidRPr="00321163">
        <w:rPr>
          <w:rFonts w:ascii="Book Antiqua" w:hAnsi="Book Antiqua" w:cs="Arial"/>
        </w:rPr>
        <w:t xml:space="preserve">and to identify </w:t>
      </w:r>
      <w:r w:rsidR="00F01DC6" w:rsidRPr="00321163">
        <w:rPr>
          <w:rFonts w:ascii="Book Antiqua" w:hAnsi="Book Antiqua" w:cs="Arial"/>
        </w:rPr>
        <w:t xml:space="preserve">other </w:t>
      </w:r>
      <w:r w:rsidR="00AE512F" w:rsidRPr="00321163">
        <w:rPr>
          <w:rFonts w:ascii="Book Antiqua" w:hAnsi="Book Antiqua" w:cs="Arial"/>
        </w:rPr>
        <w:t xml:space="preserve">factors </w:t>
      </w:r>
      <w:r w:rsidR="007C53CF" w:rsidRPr="00321163">
        <w:rPr>
          <w:rFonts w:ascii="Book Antiqua" w:hAnsi="Book Antiqua" w:cs="Arial"/>
        </w:rPr>
        <w:t>that may be</w:t>
      </w:r>
      <w:r w:rsidR="00F025DC" w:rsidRPr="00321163">
        <w:rPr>
          <w:rFonts w:ascii="Book Antiqua" w:hAnsi="Book Antiqua" w:cs="Arial"/>
        </w:rPr>
        <w:t xml:space="preserve"> predictive</w:t>
      </w:r>
      <w:r w:rsidR="00D014CA" w:rsidRPr="00321163">
        <w:rPr>
          <w:rFonts w:ascii="Book Antiqua" w:hAnsi="Book Antiqua" w:cs="Arial"/>
        </w:rPr>
        <w:t xml:space="preserve"> in </w:t>
      </w:r>
      <w:r w:rsidR="00FC377A" w:rsidRPr="00321163">
        <w:rPr>
          <w:rFonts w:ascii="Book Antiqua" w:hAnsi="Book Antiqua" w:cs="Arial"/>
        </w:rPr>
        <w:t>the pediatric</w:t>
      </w:r>
      <w:r w:rsidR="00D014CA" w:rsidRPr="00321163">
        <w:rPr>
          <w:rFonts w:ascii="Book Antiqua" w:hAnsi="Book Antiqua" w:cs="Arial"/>
        </w:rPr>
        <w:t xml:space="preserve"> population</w:t>
      </w:r>
      <w:r w:rsidR="00F025DC" w:rsidRPr="00321163">
        <w:rPr>
          <w:rFonts w:ascii="Book Antiqua" w:hAnsi="Book Antiqua" w:cs="Arial"/>
        </w:rPr>
        <w:t>.</w:t>
      </w:r>
    </w:p>
    <w:p w14:paraId="3AFEDEB2" w14:textId="77777777" w:rsidR="007A6E91" w:rsidRPr="00321163" w:rsidRDefault="007A6E91" w:rsidP="00CA6249">
      <w:pPr>
        <w:spacing w:line="360" w:lineRule="auto"/>
        <w:jc w:val="both"/>
        <w:rPr>
          <w:rFonts w:ascii="Book Antiqua" w:hAnsi="Book Antiqua"/>
        </w:rPr>
      </w:pPr>
    </w:p>
    <w:p w14:paraId="56CD0D65" w14:textId="13F2E09D" w:rsidR="00DE6C13" w:rsidRPr="00321163" w:rsidRDefault="00351EC3" w:rsidP="00CA6249">
      <w:pPr>
        <w:spacing w:line="360" w:lineRule="auto"/>
        <w:jc w:val="both"/>
        <w:rPr>
          <w:rFonts w:ascii="Book Antiqua" w:hAnsi="Book Antiqua"/>
        </w:rPr>
      </w:pPr>
      <w:r w:rsidRPr="00321163">
        <w:rPr>
          <w:rFonts w:ascii="Book Antiqua" w:hAnsi="Book Antiqua"/>
          <w:b/>
        </w:rPr>
        <w:t>MATERIALS AND METHODS</w:t>
      </w:r>
    </w:p>
    <w:p w14:paraId="5EB22708" w14:textId="31975D13" w:rsidR="00040C0C" w:rsidRPr="00321163" w:rsidRDefault="001E4545" w:rsidP="00CA6249">
      <w:pPr>
        <w:spacing w:line="360" w:lineRule="auto"/>
        <w:jc w:val="both"/>
        <w:rPr>
          <w:rFonts w:ascii="Book Antiqua" w:hAnsi="Book Antiqua" w:cs="Arial"/>
        </w:rPr>
      </w:pPr>
      <w:r w:rsidRPr="00321163">
        <w:rPr>
          <w:rFonts w:ascii="Book Antiqua" w:hAnsi="Book Antiqua"/>
        </w:rPr>
        <w:t>Retrospective</w:t>
      </w:r>
      <w:r w:rsidR="007A0A1E" w:rsidRPr="00321163">
        <w:rPr>
          <w:rFonts w:ascii="Book Antiqua" w:hAnsi="Book Antiqua"/>
        </w:rPr>
        <w:t xml:space="preserve"> analysis </w:t>
      </w:r>
      <w:r w:rsidR="00CC5F59" w:rsidRPr="00321163">
        <w:rPr>
          <w:rFonts w:ascii="Book Antiqua" w:hAnsi="Book Antiqua"/>
        </w:rPr>
        <w:t xml:space="preserve">was performed on </w:t>
      </w:r>
      <w:r w:rsidR="007A0A1E" w:rsidRPr="00321163">
        <w:rPr>
          <w:rFonts w:ascii="Book Antiqua" w:hAnsi="Book Antiqua"/>
        </w:rPr>
        <w:t xml:space="preserve">consecutive </w:t>
      </w:r>
      <w:r w:rsidR="000E0857" w:rsidRPr="00321163">
        <w:rPr>
          <w:rFonts w:ascii="Book Antiqua" w:hAnsi="Book Antiqua"/>
        </w:rPr>
        <w:t>ERCPs</w:t>
      </w:r>
      <w:r w:rsidR="00B014F7" w:rsidRPr="00321163">
        <w:rPr>
          <w:rFonts w:ascii="Book Antiqua" w:hAnsi="Book Antiqua"/>
        </w:rPr>
        <w:t xml:space="preserve"> in children ages </w:t>
      </w:r>
      <w:r w:rsidR="00E110A3" w:rsidRPr="00321163">
        <w:rPr>
          <w:rFonts w:ascii="Book Antiqua" w:hAnsi="Book Antiqua"/>
        </w:rPr>
        <w:t>6</w:t>
      </w:r>
      <w:r w:rsidR="007068EC" w:rsidRPr="00321163">
        <w:rPr>
          <w:rFonts w:ascii="Book Antiqua" w:hAnsi="Book Antiqua"/>
        </w:rPr>
        <w:t>-18 years of age,</w:t>
      </w:r>
      <w:r w:rsidR="000E0857" w:rsidRPr="00321163">
        <w:rPr>
          <w:rFonts w:ascii="Book Antiqua" w:hAnsi="Book Antiqua"/>
        </w:rPr>
        <w:t xml:space="preserve"> </w:t>
      </w:r>
      <w:r w:rsidR="007A0A1E" w:rsidRPr="00321163">
        <w:rPr>
          <w:rFonts w:ascii="Book Antiqua" w:hAnsi="Book Antiqua"/>
        </w:rPr>
        <w:t xml:space="preserve">performed </w:t>
      </w:r>
      <w:r w:rsidR="00137C91" w:rsidRPr="00321163">
        <w:rPr>
          <w:rFonts w:ascii="Book Antiqua" w:hAnsi="Book Antiqua"/>
        </w:rPr>
        <w:t>over 24 mo</w:t>
      </w:r>
      <w:r w:rsidR="007A0A1E" w:rsidRPr="00321163">
        <w:rPr>
          <w:rFonts w:ascii="Book Antiqua" w:hAnsi="Book Antiqua"/>
        </w:rPr>
        <w:t>.</w:t>
      </w:r>
      <w:r w:rsidR="00922966" w:rsidRPr="00321163">
        <w:rPr>
          <w:rFonts w:ascii="Book Antiqua" w:hAnsi="Book Antiqua"/>
        </w:rPr>
        <w:t xml:space="preserve"> </w:t>
      </w:r>
      <w:r w:rsidR="007A0A1E" w:rsidRPr="00321163">
        <w:rPr>
          <w:rFonts w:ascii="Book Antiqua" w:hAnsi="Book Antiqua"/>
        </w:rPr>
        <w:t xml:space="preserve">Cases were </w:t>
      </w:r>
      <w:r w:rsidR="000E0857" w:rsidRPr="00321163">
        <w:rPr>
          <w:rFonts w:ascii="Book Antiqua" w:hAnsi="Book Antiqua"/>
        </w:rPr>
        <w:t>reviewed for patients</w:t>
      </w:r>
      <w:r w:rsidR="003729BD" w:rsidRPr="00321163">
        <w:rPr>
          <w:rFonts w:ascii="Book Antiqua" w:hAnsi="Book Antiqua"/>
        </w:rPr>
        <w:t xml:space="preserve"> with suspected common bile duct stones </w:t>
      </w:r>
      <w:r w:rsidR="009A1CC9" w:rsidRPr="00321163">
        <w:rPr>
          <w:rFonts w:ascii="Book Antiqua" w:hAnsi="Book Antiqua"/>
        </w:rPr>
        <w:t>with</w:t>
      </w:r>
      <w:r w:rsidR="003729BD" w:rsidRPr="00321163">
        <w:rPr>
          <w:rFonts w:ascii="Book Antiqua" w:hAnsi="Book Antiqua"/>
        </w:rPr>
        <w:t xml:space="preserve"> gallbladder in situ</w:t>
      </w:r>
      <w:r w:rsidR="004037C2" w:rsidRPr="00321163">
        <w:rPr>
          <w:rFonts w:ascii="Book Antiqua" w:hAnsi="Book Antiqua"/>
        </w:rPr>
        <w:t xml:space="preserve"> evaluated in the hospital or emergency department</w:t>
      </w:r>
      <w:r w:rsidR="007A1E36" w:rsidRPr="00321163">
        <w:rPr>
          <w:rFonts w:ascii="Book Antiqua" w:hAnsi="Book Antiqua"/>
        </w:rPr>
        <w:t>.</w:t>
      </w:r>
      <w:r w:rsidR="000E0857" w:rsidRPr="00321163">
        <w:rPr>
          <w:rFonts w:ascii="Book Antiqua" w:hAnsi="Book Antiqua"/>
        </w:rPr>
        <w:t xml:space="preserve"> </w:t>
      </w:r>
      <w:r w:rsidR="002B4818" w:rsidRPr="00321163">
        <w:rPr>
          <w:rFonts w:ascii="Book Antiqua" w:hAnsi="Book Antiqua"/>
        </w:rPr>
        <w:t>Patients were excluded if they were</w:t>
      </w:r>
      <w:r w:rsidR="00AE512F" w:rsidRPr="00321163">
        <w:rPr>
          <w:rFonts w:ascii="Book Antiqua" w:hAnsi="Book Antiqua"/>
        </w:rPr>
        <w:t xml:space="preserve"> status</w:t>
      </w:r>
      <w:r w:rsidR="002B4818" w:rsidRPr="00321163">
        <w:rPr>
          <w:rFonts w:ascii="Book Antiqua" w:hAnsi="Book Antiqua"/>
        </w:rPr>
        <w:t xml:space="preserve"> post-cholecystecto</w:t>
      </w:r>
      <w:r w:rsidR="00634FEC" w:rsidRPr="00321163">
        <w:rPr>
          <w:rFonts w:ascii="Book Antiqua" w:hAnsi="Book Antiqua"/>
        </w:rPr>
        <w:t xml:space="preserve">my, had ERCP for </w:t>
      </w:r>
      <w:r w:rsidR="00AE512F" w:rsidRPr="00321163">
        <w:rPr>
          <w:rFonts w:ascii="Book Antiqua" w:hAnsi="Book Antiqua"/>
        </w:rPr>
        <w:t>an</w:t>
      </w:r>
      <w:r w:rsidR="00634FEC" w:rsidRPr="00321163">
        <w:rPr>
          <w:rFonts w:ascii="Book Antiqua" w:hAnsi="Book Antiqua"/>
        </w:rPr>
        <w:t>other indication, or ultrasound results</w:t>
      </w:r>
      <w:r w:rsidR="007C1C6E" w:rsidRPr="00321163">
        <w:rPr>
          <w:rFonts w:ascii="Book Antiqua" w:hAnsi="Book Antiqua"/>
        </w:rPr>
        <w:t xml:space="preserve"> were not available</w:t>
      </w:r>
      <w:r w:rsidR="00634FEC" w:rsidRPr="00321163">
        <w:rPr>
          <w:rFonts w:ascii="Book Antiqua" w:hAnsi="Book Antiqua"/>
        </w:rPr>
        <w:t xml:space="preserve">. </w:t>
      </w:r>
      <w:r w:rsidR="006A590C" w:rsidRPr="00321163">
        <w:rPr>
          <w:rFonts w:ascii="Book Antiqua" w:hAnsi="Book Antiqua" w:cs="Arial"/>
        </w:rPr>
        <w:t>P</w:t>
      </w:r>
      <w:r w:rsidR="007A1E36" w:rsidRPr="00321163">
        <w:rPr>
          <w:rFonts w:ascii="Book Antiqua" w:hAnsi="Book Antiqua" w:cs="Arial"/>
        </w:rPr>
        <w:t xml:space="preserve">resence of CBDS by US </w:t>
      </w:r>
      <w:r w:rsidR="007D2F75" w:rsidRPr="00321163">
        <w:rPr>
          <w:rFonts w:ascii="Book Antiqua" w:hAnsi="Book Antiqua" w:cs="Arial"/>
        </w:rPr>
        <w:t xml:space="preserve">and bile duct diameter (measured in millimeters) </w:t>
      </w:r>
      <w:r w:rsidR="006A590C" w:rsidRPr="00321163">
        <w:rPr>
          <w:rFonts w:ascii="Book Antiqua" w:hAnsi="Book Antiqua" w:cs="Arial"/>
        </w:rPr>
        <w:t xml:space="preserve">were recorded. Bilirubin (unconjugated and conjugated) and </w:t>
      </w:r>
      <w:r w:rsidR="007A1E36" w:rsidRPr="00321163">
        <w:rPr>
          <w:rFonts w:ascii="Book Antiqua" w:hAnsi="Book Antiqua" w:cs="Arial"/>
        </w:rPr>
        <w:t xml:space="preserve">other laboratory values were captured </w:t>
      </w:r>
      <w:r w:rsidR="00040C0C" w:rsidRPr="00321163">
        <w:rPr>
          <w:rFonts w:ascii="Book Antiqua" w:hAnsi="Book Antiqua" w:cs="Arial"/>
        </w:rPr>
        <w:t>pre-</w:t>
      </w:r>
      <w:r w:rsidR="00943116" w:rsidRPr="00321163">
        <w:rPr>
          <w:rFonts w:ascii="Book Antiqua" w:hAnsi="Book Antiqua" w:cs="Arial"/>
        </w:rPr>
        <w:t>procedure (within 24 h</w:t>
      </w:r>
      <w:r w:rsidR="00040C0C" w:rsidRPr="00321163">
        <w:rPr>
          <w:rFonts w:ascii="Book Antiqua" w:hAnsi="Book Antiqua" w:cs="Arial"/>
        </w:rPr>
        <w:t xml:space="preserve">). </w:t>
      </w:r>
      <w:r w:rsidR="00A75B92" w:rsidRPr="00321163">
        <w:rPr>
          <w:rFonts w:ascii="Book Antiqua" w:hAnsi="Book Antiqua"/>
        </w:rPr>
        <w:t xml:space="preserve">This study was </w:t>
      </w:r>
      <w:r w:rsidR="00A53C8D" w:rsidRPr="00321163">
        <w:rPr>
          <w:rFonts w:ascii="Book Antiqua" w:hAnsi="Book Antiqua"/>
        </w:rPr>
        <w:t xml:space="preserve">reviewed and </w:t>
      </w:r>
      <w:r w:rsidR="00A75B92" w:rsidRPr="00321163">
        <w:rPr>
          <w:rFonts w:ascii="Book Antiqua" w:hAnsi="Book Antiqua"/>
        </w:rPr>
        <w:t>approved by the Institutional Review Board at Baylor College of Medicine</w:t>
      </w:r>
      <w:r w:rsidR="00020AC7" w:rsidRPr="00321163">
        <w:rPr>
          <w:rFonts w:ascii="Book Antiqua" w:hAnsi="Book Antiqua"/>
        </w:rPr>
        <w:t>, Houston, Texas</w:t>
      </w:r>
      <w:r w:rsidR="00A75B92" w:rsidRPr="00321163">
        <w:rPr>
          <w:rFonts w:ascii="Book Antiqua" w:hAnsi="Book Antiqua"/>
        </w:rPr>
        <w:t>.</w:t>
      </w:r>
    </w:p>
    <w:p w14:paraId="01BF8925" w14:textId="0F5A352E" w:rsidR="007D2F75" w:rsidRPr="00321163" w:rsidRDefault="00C833DA" w:rsidP="00943116">
      <w:pPr>
        <w:spacing w:line="360" w:lineRule="auto"/>
        <w:ind w:firstLineChars="200" w:firstLine="480"/>
        <w:jc w:val="both"/>
        <w:rPr>
          <w:rFonts w:ascii="Book Antiqua" w:hAnsi="Book Antiqua" w:cs="Arial"/>
        </w:rPr>
      </w:pPr>
      <w:r w:rsidRPr="00321163">
        <w:rPr>
          <w:rFonts w:ascii="Book Antiqua" w:hAnsi="Book Antiqua" w:cs="Arial"/>
        </w:rPr>
        <w:t xml:space="preserve">For the purposes of this study, total bilirubin was calculated as the sum of unconjugated and conjugated bilirubin levels. </w:t>
      </w:r>
      <w:r w:rsidR="003A3FD6" w:rsidRPr="00321163">
        <w:rPr>
          <w:rFonts w:ascii="Book Antiqua" w:hAnsi="Book Antiqua" w:cs="Arial"/>
        </w:rPr>
        <w:t xml:space="preserve">Normal values for unconjugated bilirubin </w:t>
      </w:r>
      <w:r w:rsidR="00A75B92" w:rsidRPr="00321163">
        <w:rPr>
          <w:rFonts w:ascii="Book Antiqua" w:hAnsi="Book Antiqua" w:cs="Arial"/>
        </w:rPr>
        <w:t>at our institution</w:t>
      </w:r>
      <w:r w:rsidR="003A3FD6" w:rsidRPr="00321163">
        <w:rPr>
          <w:rFonts w:ascii="Book Antiqua" w:hAnsi="Book Antiqua" w:cs="Arial"/>
        </w:rPr>
        <w:t xml:space="preserve"> is 0-1.0 mg/</w:t>
      </w:r>
      <w:proofErr w:type="spellStart"/>
      <w:r w:rsidR="003A3FD6" w:rsidRPr="00321163">
        <w:rPr>
          <w:rFonts w:ascii="Book Antiqua" w:hAnsi="Book Antiqua" w:cs="Arial"/>
        </w:rPr>
        <w:t>dL</w:t>
      </w:r>
      <w:proofErr w:type="spellEnd"/>
      <w:r w:rsidR="003A3FD6" w:rsidRPr="00321163">
        <w:rPr>
          <w:rFonts w:ascii="Book Antiqua" w:hAnsi="Book Antiqua" w:cs="Arial"/>
        </w:rPr>
        <w:t>, and for conjugated bilirubin is 0-0.3 mg/</w:t>
      </w:r>
      <w:proofErr w:type="spellStart"/>
      <w:r w:rsidR="003A3FD6" w:rsidRPr="00321163">
        <w:rPr>
          <w:rFonts w:ascii="Book Antiqua" w:hAnsi="Book Antiqua" w:cs="Arial"/>
        </w:rPr>
        <w:t>dL</w:t>
      </w:r>
      <w:proofErr w:type="spellEnd"/>
      <w:r w:rsidR="003A3FD6" w:rsidRPr="00321163">
        <w:rPr>
          <w:rFonts w:ascii="Book Antiqua" w:hAnsi="Book Antiqua" w:cs="Arial"/>
        </w:rPr>
        <w:t>.</w:t>
      </w:r>
      <w:r w:rsidR="00922966" w:rsidRPr="00321163">
        <w:rPr>
          <w:rFonts w:ascii="Book Antiqua" w:hAnsi="Book Antiqua" w:cs="Arial"/>
        </w:rPr>
        <w:t xml:space="preserve"> </w:t>
      </w:r>
      <w:r w:rsidR="00A24A01" w:rsidRPr="00321163">
        <w:rPr>
          <w:rFonts w:ascii="Book Antiqua" w:hAnsi="Book Antiqua" w:cs="Arial"/>
        </w:rPr>
        <w:t xml:space="preserve">Biliary cannulation </w:t>
      </w:r>
      <w:r w:rsidR="00DE6C13" w:rsidRPr="00321163">
        <w:rPr>
          <w:rFonts w:ascii="Book Antiqua" w:hAnsi="Book Antiqua" w:cs="Arial"/>
        </w:rPr>
        <w:t xml:space="preserve">and </w:t>
      </w:r>
      <w:proofErr w:type="spellStart"/>
      <w:r w:rsidR="00DE6C13" w:rsidRPr="00321163">
        <w:rPr>
          <w:rFonts w:ascii="Book Antiqua" w:hAnsi="Book Antiqua" w:cs="Arial"/>
        </w:rPr>
        <w:t>sphincterotomy</w:t>
      </w:r>
      <w:proofErr w:type="spellEnd"/>
      <w:r w:rsidR="00DE6C13" w:rsidRPr="00321163">
        <w:rPr>
          <w:rFonts w:ascii="Book Antiqua" w:hAnsi="Book Antiqua" w:cs="Arial"/>
        </w:rPr>
        <w:t xml:space="preserve"> </w:t>
      </w:r>
      <w:r w:rsidR="00A24A01" w:rsidRPr="00321163">
        <w:rPr>
          <w:rFonts w:ascii="Book Antiqua" w:hAnsi="Book Antiqua" w:cs="Arial"/>
        </w:rPr>
        <w:t>w</w:t>
      </w:r>
      <w:r w:rsidR="00463D2E" w:rsidRPr="00321163">
        <w:rPr>
          <w:rFonts w:ascii="Book Antiqua" w:hAnsi="Book Antiqua" w:cs="Arial"/>
        </w:rPr>
        <w:t>as performed in all patients</w:t>
      </w:r>
      <w:r w:rsidR="00DE6C13" w:rsidRPr="00321163">
        <w:rPr>
          <w:rFonts w:ascii="Book Antiqua" w:hAnsi="Book Antiqua" w:cs="Arial"/>
        </w:rPr>
        <w:t xml:space="preserve"> at the time of the procedure</w:t>
      </w:r>
      <w:r w:rsidR="00463D2E" w:rsidRPr="00321163">
        <w:rPr>
          <w:rFonts w:ascii="Book Antiqua" w:hAnsi="Book Antiqua" w:cs="Arial"/>
        </w:rPr>
        <w:t>.</w:t>
      </w:r>
      <w:r w:rsidR="00922966" w:rsidRPr="00321163">
        <w:rPr>
          <w:rFonts w:ascii="Book Antiqua" w:hAnsi="Book Antiqua" w:cs="Arial"/>
        </w:rPr>
        <w:t xml:space="preserve"> </w:t>
      </w:r>
      <w:r w:rsidR="00463D2E" w:rsidRPr="00321163">
        <w:rPr>
          <w:rFonts w:ascii="Book Antiqua" w:hAnsi="Book Antiqua" w:cs="Arial"/>
        </w:rPr>
        <w:t xml:space="preserve">Patients were </w:t>
      </w:r>
      <w:r w:rsidR="00A24A01" w:rsidRPr="00321163">
        <w:rPr>
          <w:rFonts w:ascii="Book Antiqua" w:hAnsi="Book Antiqua" w:cs="Arial"/>
        </w:rPr>
        <w:t>classified</w:t>
      </w:r>
      <w:r w:rsidR="00DE4BD5" w:rsidRPr="00321163">
        <w:rPr>
          <w:rFonts w:ascii="Book Antiqua" w:hAnsi="Book Antiqua" w:cs="Arial"/>
        </w:rPr>
        <w:t xml:space="preserve"> into two groups; </w:t>
      </w:r>
      <w:r w:rsidR="00A24A01" w:rsidRPr="00321163">
        <w:rPr>
          <w:rFonts w:ascii="Book Antiqua" w:hAnsi="Book Antiqua" w:cs="Arial"/>
        </w:rPr>
        <w:t xml:space="preserve">Group 1, </w:t>
      </w:r>
      <w:r w:rsidR="00DE4BD5" w:rsidRPr="00321163">
        <w:rPr>
          <w:rFonts w:ascii="Book Antiqua" w:hAnsi="Book Antiqua" w:cs="Arial"/>
        </w:rPr>
        <w:t>patients with CBDS found at ERCP and Group 2 those without CBDS at ERCP.</w:t>
      </w:r>
      <w:r w:rsidR="00922966" w:rsidRPr="00321163">
        <w:rPr>
          <w:rFonts w:ascii="Book Antiqua" w:hAnsi="Book Antiqua" w:cs="Arial"/>
        </w:rPr>
        <w:t xml:space="preserve"> </w:t>
      </w:r>
    </w:p>
    <w:p w14:paraId="24752115" w14:textId="57CE8DE2" w:rsidR="007A1E36" w:rsidRPr="00321163" w:rsidRDefault="00DE4BD5" w:rsidP="00943116">
      <w:pPr>
        <w:spacing w:line="360" w:lineRule="auto"/>
        <w:ind w:firstLineChars="200" w:firstLine="480"/>
        <w:jc w:val="both"/>
        <w:rPr>
          <w:rFonts w:ascii="Book Antiqua" w:hAnsi="Book Antiqua"/>
        </w:rPr>
      </w:pPr>
      <w:r w:rsidRPr="00321163">
        <w:rPr>
          <w:rFonts w:ascii="Book Antiqua" w:hAnsi="Book Antiqua" w:cs="Arial"/>
        </w:rPr>
        <w:t>American Society of Gastrointestinal</w:t>
      </w:r>
      <w:r w:rsidR="007A1E36" w:rsidRPr="00321163">
        <w:rPr>
          <w:rFonts w:ascii="Book Antiqua" w:hAnsi="Book Antiqua" w:cs="Arial"/>
        </w:rPr>
        <w:t xml:space="preserve"> </w:t>
      </w:r>
      <w:r w:rsidRPr="00321163">
        <w:rPr>
          <w:rFonts w:ascii="Book Antiqua" w:hAnsi="Book Antiqua" w:cs="Arial"/>
        </w:rPr>
        <w:t xml:space="preserve">Endoscopy (ASGE) </w:t>
      </w:r>
      <w:r w:rsidR="007A1E36" w:rsidRPr="00321163">
        <w:rPr>
          <w:rFonts w:ascii="Book Antiqua" w:hAnsi="Book Antiqua" w:cs="Arial"/>
        </w:rPr>
        <w:t>guidelines</w:t>
      </w:r>
      <w:r w:rsidR="009A1CC9" w:rsidRPr="00321163">
        <w:rPr>
          <w:rFonts w:ascii="Book Antiqua" w:hAnsi="Book Antiqua" w:cs="Arial"/>
        </w:rPr>
        <w:t xml:space="preserve"> </w:t>
      </w:r>
      <w:r w:rsidR="00431F17" w:rsidRPr="00321163">
        <w:rPr>
          <w:rFonts w:ascii="Book Antiqua" w:hAnsi="Book Antiqua" w:cs="Arial"/>
        </w:rPr>
        <w:t xml:space="preserve">to predict the likelihood of detecting CBDS at ERCP </w:t>
      </w:r>
      <w:r w:rsidRPr="00321163">
        <w:rPr>
          <w:rFonts w:ascii="Book Antiqua" w:hAnsi="Book Antiqua" w:cs="Arial"/>
        </w:rPr>
        <w:t xml:space="preserve">were used to classify </w:t>
      </w:r>
      <w:proofErr w:type="gramStart"/>
      <w:r w:rsidRPr="00321163">
        <w:rPr>
          <w:rFonts w:ascii="Book Antiqua" w:hAnsi="Book Antiqua" w:cs="Arial"/>
        </w:rPr>
        <w:t>patients</w:t>
      </w:r>
      <w:r w:rsidR="00943116" w:rsidRPr="00321163">
        <w:rPr>
          <w:rFonts w:ascii="Book Antiqua" w:eastAsia="宋体" w:hAnsi="Book Antiqua" w:cs="Arial" w:hint="eastAsia"/>
          <w:vertAlign w:val="superscript"/>
          <w:lang w:eastAsia="zh-CN"/>
        </w:rPr>
        <w:t>[</w:t>
      </w:r>
      <w:proofErr w:type="gramEnd"/>
      <w:r w:rsidR="00943116" w:rsidRPr="00321163">
        <w:rPr>
          <w:rFonts w:ascii="Book Antiqua" w:eastAsia="宋体" w:hAnsi="Book Antiqua" w:cs="Arial" w:hint="eastAsia"/>
          <w:vertAlign w:val="superscript"/>
          <w:lang w:eastAsia="zh-CN"/>
        </w:rPr>
        <w:t>10]</w:t>
      </w:r>
      <w:r w:rsidRPr="00321163">
        <w:rPr>
          <w:rFonts w:ascii="Book Antiqua" w:hAnsi="Book Antiqua" w:cs="Arial"/>
        </w:rPr>
        <w:t xml:space="preserve">. </w:t>
      </w:r>
      <w:r w:rsidR="00266CBA" w:rsidRPr="00321163">
        <w:rPr>
          <w:rFonts w:ascii="Book Antiqua" w:hAnsi="Book Antiqua" w:cs="Arial"/>
        </w:rPr>
        <w:t xml:space="preserve">Predictors </w:t>
      </w:r>
      <w:r w:rsidR="009A1CC9" w:rsidRPr="00321163">
        <w:rPr>
          <w:rFonts w:ascii="Book Antiqua" w:hAnsi="Book Antiqua" w:cs="Arial"/>
        </w:rPr>
        <w:t xml:space="preserve">per ASGE guidelines </w:t>
      </w:r>
      <w:r w:rsidR="007A1E36" w:rsidRPr="00321163">
        <w:rPr>
          <w:rFonts w:ascii="Book Antiqua" w:hAnsi="Book Antiqua" w:cs="Arial"/>
        </w:rPr>
        <w:t>were: Very Strong (VS) if CBDS was identified on a</w:t>
      </w:r>
      <w:r w:rsidR="007A0A1E" w:rsidRPr="00321163">
        <w:rPr>
          <w:rFonts w:ascii="Book Antiqua" w:hAnsi="Book Antiqua" w:cs="Arial"/>
        </w:rPr>
        <w:t xml:space="preserve">bdominal US </w:t>
      </w:r>
      <w:r w:rsidR="00C210A2" w:rsidRPr="00321163">
        <w:rPr>
          <w:rFonts w:ascii="Book Antiqua" w:hAnsi="Book Antiqua" w:cs="Arial"/>
        </w:rPr>
        <w:t>or</w:t>
      </w:r>
      <w:r w:rsidR="00A319E3" w:rsidRPr="00321163">
        <w:rPr>
          <w:rFonts w:ascii="Book Antiqua" w:hAnsi="Book Antiqua" w:cs="Arial"/>
        </w:rPr>
        <w:t xml:space="preserve"> </w:t>
      </w:r>
      <w:r w:rsidR="007A0A1E" w:rsidRPr="00321163">
        <w:rPr>
          <w:rFonts w:ascii="Book Antiqua" w:hAnsi="Book Antiqua" w:cs="Arial"/>
        </w:rPr>
        <w:t>total bilirubin &gt;</w:t>
      </w:r>
      <w:r w:rsidR="00943116" w:rsidRPr="00321163">
        <w:rPr>
          <w:rFonts w:ascii="Book Antiqua" w:eastAsia="宋体" w:hAnsi="Book Antiqua" w:cs="Arial" w:hint="eastAsia"/>
          <w:lang w:eastAsia="zh-CN"/>
        </w:rPr>
        <w:t xml:space="preserve"> </w:t>
      </w:r>
      <w:r w:rsidR="004E3889" w:rsidRPr="00321163">
        <w:rPr>
          <w:rFonts w:ascii="Book Antiqua" w:hAnsi="Book Antiqua" w:cs="Arial"/>
        </w:rPr>
        <w:t>4 mg/</w:t>
      </w:r>
      <w:proofErr w:type="spellStart"/>
      <w:r w:rsidR="004E3889" w:rsidRPr="00321163">
        <w:rPr>
          <w:rFonts w:ascii="Book Antiqua" w:hAnsi="Book Antiqua" w:cs="Arial"/>
        </w:rPr>
        <w:t>dL</w:t>
      </w:r>
      <w:proofErr w:type="spellEnd"/>
      <w:r w:rsidR="004E3889" w:rsidRPr="00321163">
        <w:rPr>
          <w:rFonts w:ascii="Book Antiqua" w:hAnsi="Book Antiqua" w:cs="Arial"/>
        </w:rPr>
        <w:t xml:space="preserve"> or</w:t>
      </w:r>
      <w:r w:rsidR="007A1E36" w:rsidRPr="00321163">
        <w:rPr>
          <w:rFonts w:ascii="Book Antiqua" w:hAnsi="Book Antiqua" w:cs="Arial"/>
        </w:rPr>
        <w:t xml:space="preserve"> Strong (S) </w:t>
      </w:r>
      <w:r w:rsidR="00266CBA" w:rsidRPr="00321163">
        <w:rPr>
          <w:rFonts w:ascii="Book Antiqua" w:hAnsi="Book Antiqua" w:cs="Arial"/>
        </w:rPr>
        <w:t>if</w:t>
      </w:r>
      <w:r w:rsidR="007A1E36" w:rsidRPr="00321163">
        <w:rPr>
          <w:rFonts w:ascii="Book Antiqua" w:hAnsi="Book Antiqua" w:cs="Arial"/>
        </w:rPr>
        <w:t xml:space="preserve"> </w:t>
      </w:r>
      <w:r w:rsidR="00C210A2" w:rsidRPr="00321163">
        <w:rPr>
          <w:rFonts w:ascii="Book Antiqua" w:hAnsi="Book Antiqua" w:cs="Arial"/>
        </w:rPr>
        <w:t>both</w:t>
      </w:r>
      <w:r w:rsidR="007A1E36" w:rsidRPr="00321163">
        <w:rPr>
          <w:rFonts w:ascii="Book Antiqua" w:hAnsi="Book Antiqua" w:cs="Arial"/>
        </w:rPr>
        <w:t xml:space="preserve"> CBD diameter ≥</w:t>
      </w:r>
      <w:r w:rsidR="00943116" w:rsidRPr="00321163">
        <w:rPr>
          <w:rFonts w:ascii="Book Antiqua" w:eastAsia="宋体" w:hAnsi="Book Antiqua" w:cs="Arial" w:hint="eastAsia"/>
          <w:lang w:eastAsia="zh-CN"/>
        </w:rPr>
        <w:t xml:space="preserve"> </w:t>
      </w:r>
      <w:r w:rsidR="007A1E36" w:rsidRPr="00321163">
        <w:rPr>
          <w:rFonts w:ascii="Book Antiqua" w:hAnsi="Book Antiqua" w:cs="Arial"/>
        </w:rPr>
        <w:t>6</w:t>
      </w:r>
      <w:r w:rsidR="00943116" w:rsidRPr="00321163">
        <w:rPr>
          <w:rFonts w:ascii="Book Antiqua" w:eastAsia="宋体" w:hAnsi="Book Antiqua" w:cs="Arial" w:hint="eastAsia"/>
          <w:lang w:eastAsia="zh-CN"/>
        </w:rPr>
        <w:t xml:space="preserve"> </w:t>
      </w:r>
      <w:r w:rsidR="007A1E36" w:rsidRPr="00321163">
        <w:rPr>
          <w:rFonts w:ascii="Book Antiqua" w:hAnsi="Book Antiqua" w:cs="Arial"/>
        </w:rPr>
        <w:t xml:space="preserve">mm on US </w:t>
      </w:r>
      <w:r w:rsidR="00C210A2" w:rsidRPr="00321163">
        <w:rPr>
          <w:rFonts w:ascii="Book Antiqua" w:hAnsi="Book Antiqua" w:cs="Arial"/>
        </w:rPr>
        <w:t>and</w:t>
      </w:r>
      <w:r w:rsidR="00A319E3" w:rsidRPr="00321163">
        <w:rPr>
          <w:rFonts w:ascii="Book Antiqua" w:hAnsi="Book Antiqua" w:cs="Arial"/>
        </w:rPr>
        <w:t xml:space="preserve"> </w:t>
      </w:r>
      <w:r w:rsidR="007A1E36" w:rsidRPr="00321163">
        <w:rPr>
          <w:rFonts w:ascii="Book Antiqua" w:hAnsi="Book Antiqua" w:cs="Arial"/>
        </w:rPr>
        <w:t>Bilirubin ≥</w:t>
      </w:r>
      <w:r w:rsidR="00943116" w:rsidRPr="00321163">
        <w:rPr>
          <w:rFonts w:ascii="Book Antiqua" w:eastAsia="宋体" w:hAnsi="Book Antiqua" w:cs="Arial" w:hint="eastAsia"/>
          <w:lang w:eastAsia="zh-CN"/>
        </w:rPr>
        <w:t xml:space="preserve"> </w:t>
      </w:r>
      <w:r w:rsidR="007A1E36" w:rsidRPr="00321163">
        <w:rPr>
          <w:rFonts w:ascii="Book Antiqua" w:hAnsi="Book Antiqua" w:cs="Arial"/>
        </w:rPr>
        <w:t>1.8-4 mg/</w:t>
      </w:r>
      <w:proofErr w:type="spellStart"/>
      <w:r w:rsidR="007A1E36" w:rsidRPr="00321163">
        <w:rPr>
          <w:rFonts w:ascii="Book Antiqua" w:hAnsi="Book Antiqua" w:cs="Arial"/>
        </w:rPr>
        <w:t>dL</w:t>
      </w:r>
      <w:proofErr w:type="spellEnd"/>
      <w:r w:rsidR="007A1E36" w:rsidRPr="00321163">
        <w:rPr>
          <w:rFonts w:ascii="Book Antiqua" w:hAnsi="Book Antiqua" w:cs="Arial"/>
        </w:rPr>
        <w:t xml:space="preserve">. </w:t>
      </w:r>
    </w:p>
    <w:p w14:paraId="720A9F3D" w14:textId="678A3B7B" w:rsidR="004E3889" w:rsidRPr="00321163" w:rsidRDefault="00B1338C" w:rsidP="00943116">
      <w:pPr>
        <w:spacing w:line="360" w:lineRule="auto"/>
        <w:ind w:firstLineChars="100" w:firstLine="240"/>
        <w:jc w:val="both"/>
        <w:rPr>
          <w:rFonts w:ascii="Book Antiqua" w:hAnsi="Book Antiqua"/>
        </w:rPr>
      </w:pPr>
      <w:r w:rsidRPr="00321163">
        <w:rPr>
          <w:rFonts w:ascii="Book Antiqua" w:hAnsi="Book Antiqua"/>
        </w:rPr>
        <w:lastRenderedPageBreak/>
        <w:t xml:space="preserve">Patients were </w:t>
      </w:r>
      <w:r w:rsidR="009A1CC9" w:rsidRPr="00321163">
        <w:rPr>
          <w:rFonts w:ascii="Book Antiqua" w:hAnsi="Book Antiqua"/>
        </w:rPr>
        <w:t xml:space="preserve">assessed </w:t>
      </w:r>
      <w:r w:rsidRPr="00321163">
        <w:rPr>
          <w:rFonts w:ascii="Book Antiqua" w:hAnsi="Book Antiqua"/>
        </w:rPr>
        <w:t xml:space="preserve">on each of </w:t>
      </w:r>
      <w:r w:rsidR="004E3889" w:rsidRPr="00321163">
        <w:rPr>
          <w:rFonts w:ascii="Book Antiqua" w:hAnsi="Book Antiqua"/>
        </w:rPr>
        <w:t>the following</w:t>
      </w:r>
      <w:r w:rsidRPr="00321163">
        <w:rPr>
          <w:rFonts w:ascii="Book Antiqua" w:hAnsi="Book Antiqua"/>
        </w:rPr>
        <w:t xml:space="preserve"> </w:t>
      </w:r>
      <w:r w:rsidR="00A75B92" w:rsidRPr="00321163">
        <w:rPr>
          <w:rFonts w:ascii="Book Antiqua" w:hAnsi="Book Antiqua"/>
        </w:rPr>
        <w:t xml:space="preserve">ASGE </w:t>
      </w:r>
      <w:r w:rsidR="00C75819" w:rsidRPr="00321163">
        <w:rPr>
          <w:rFonts w:ascii="Book Antiqua" w:hAnsi="Book Antiqua"/>
        </w:rPr>
        <w:t>factors</w:t>
      </w:r>
      <w:r w:rsidR="009A1CC9" w:rsidRPr="00321163">
        <w:rPr>
          <w:rFonts w:ascii="Book Antiqua" w:hAnsi="Book Antiqua"/>
        </w:rPr>
        <w:t>:</w:t>
      </w:r>
      <w:r w:rsidR="00943116" w:rsidRPr="00321163">
        <w:rPr>
          <w:rFonts w:ascii="Book Antiqua" w:eastAsia="宋体" w:hAnsi="Book Antiqua" w:hint="eastAsia"/>
          <w:lang w:eastAsia="zh-CN"/>
        </w:rPr>
        <w:t xml:space="preserve"> (</w:t>
      </w:r>
      <w:r w:rsidR="009A1CC9" w:rsidRPr="00321163">
        <w:rPr>
          <w:rFonts w:ascii="Book Antiqua" w:hAnsi="Book Antiqua"/>
        </w:rPr>
        <w:t>1)</w:t>
      </w:r>
      <w:r w:rsidR="004E3889" w:rsidRPr="00321163">
        <w:rPr>
          <w:rFonts w:ascii="Book Antiqua" w:hAnsi="Book Antiqua"/>
        </w:rPr>
        <w:t xml:space="preserve"> </w:t>
      </w:r>
      <w:r w:rsidR="009A1CC9" w:rsidRPr="00321163">
        <w:rPr>
          <w:rFonts w:ascii="Book Antiqua" w:hAnsi="Book Antiqua"/>
        </w:rPr>
        <w:t>Visualized CBDS on u</w:t>
      </w:r>
      <w:r w:rsidR="00D700D2" w:rsidRPr="00321163">
        <w:rPr>
          <w:rFonts w:ascii="Book Antiqua" w:hAnsi="Book Antiqua"/>
        </w:rPr>
        <w:t>ltrasound i</w:t>
      </w:r>
      <w:r w:rsidR="006125AE" w:rsidRPr="00321163">
        <w:rPr>
          <w:rFonts w:ascii="Book Antiqua" w:hAnsi="Book Antiqua"/>
        </w:rPr>
        <w:t>maging</w:t>
      </w:r>
      <w:r w:rsidR="00943116" w:rsidRPr="00321163">
        <w:rPr>
          <w:rFonts w:ascii="Book Antiqua" w:eastAsia="宋体" w:hAnsi="Book Antiqua" w:hint="eastAsia"/>
          <w:lang w:eastAsia="zh-CN"/>
        </w:rPr>
        <w:t>; (</w:t>
      </w:r>
      <w:r w:rsidR="009A1CC9" w:rsidRPr="00321163">
        <w:rPr>
          <w:rFonts w:ascii="Book Antiqua" w:hAnsi="Book Antiqua"/>
        </w:rPr>
        <w:t xml:space="preserve">2) </w:t>
      </w:r>
      <w:r w:rsidR="00D700D2" w:rsidRPr="00321163">
        <w:rPr>
          <w:rFonts w:ascii="Book Antiqua" w:hAnsi="Book Antiqua"/>
        </w:rPr>
        <w:t>C</w:t>
      </w:r>
      <w:r w:rsidR="006125AE" w:rsidRPr="00321163">
        <w:rPr>
          <w:rFonts w:ascii="Book Antiqua" w:hAnsi="Book Antiqua"/>
        </w:rPr>
        <w:t>BD diameter &gt;</w:t>
      </w:r>
      <w:r w:rsidR="000072BC" w:rsidRPr="00321163">
        <w:rPr>
          <w:rFonts w:ascii="Book Antiqua" w:eastAsia="宋体" w:hAnsi="Book Antiqua" w:hint="eastAsia"/>
          <w:lang w:eastAsia="zh-CN"/>
        </w:rPr>
        <w:t xml:space="preserve"> </w:t>
      </w:r>
      <w:r w:rsidR="006125AE" w:rsidRPr="00321163">
        <w:rPr>
          <w:rFonts w:ascii="Book Antiqua" w:hAnsi="Book Antiqua"/>
        </w:rPr>
        <w:t xml:space="preserve">6 mm </w:t>
      </w:r>
      <w:r w:rsidR="009A1CC9" w:rsidRPr="00321163">
        <w:rPr>
          <w:rFonts w:ascii="Book Antiqua" w:hAnsi="Book Antiqua"/>
        </w:rPr>
        <w:t>on ultrasound imaging</w:t>
      </w:r>
      <w:r w:rsidR="00943116" w:rsidRPr="00321163">
        <w:rPr>
          <w:rFonts w:ascii="Book Antiqua" w:eastAsia="宋体" w:hAnsi="Book Antiqua" w:hint="eastAsia"/>
          <w:lang w:eastAsia="zh-CN"/>
        </w:rPr>
        <w:t xml:space="preserve">; </w:t>
      </w:r>
      <w:r w:rsidR="00943116" w:rsidRPr="00321163">
        <w:rPr>
          <w:rFonts w:ascii="Book Antiqua" w:eastAsia="宋体" w:hAnsi="Book Antiqua"/>
          <w:lang w:eastAsia="zh-CN"/>
        </w:rPr>
        <w:t>a</w:t>
      </w:r>
      <w:r w:rsidR="00943116" w:rsidRPr="00321163">
        <w:rPr>
          <w:rFonts w:ascii="Book Antiqua" w:eastAsia="宋体" w:hAnsi="Book Antiqua" w:hint="eastAsia"/>
          <w:lang w:eastAsia="zh-CN"/>
        </w:rPr>
        <w:t>nd (</w:t>
      </w:r>
      <w:r w:rsidR="009A1CC9" w:rsidRPr="00321163">
        <w:rPr>
          <w:rFonts w:ascii="Book Antiqua" w:hAnsi="Book Antiqua"/>
        </w:rPr>
        <w:t xml:space="preserve">3) </w:t>
      </w:r>
      <w:r w:rsidR="004E3889" w:rsidRPr="00321163">
        <w:rPr>
          <w:rFonts w:ascii="Book Antiqua" w:hAnsi="Book Antiqua"/>
        </w:rPr>
        <w:t>Total bilirubin level</w:t>
      </w:r>
      <w:r w:rsidR="00943116" w:rsidRPr="00321163">
        <w:rPr>
          <w:rFonts w:ascii="Book Antiqua" w:eastAsia="宋体" w:hAnsi="Book Antiqua" w:hint="eastAsia"/>
          <w:lang w:eastAsia="zh-CN"/>
        </w:rPr>
        <w:t>.</w:t>
      </w:r>
      <w:r w:rsidR="00D10BAE" w:rsidRPr="00321163">
        <w:rPr>
          <w:rFonts w:ascii="Book Antiqua" w:hAnsi="Book Antiqua"/>
        </w:rPr>
        <w:t xml:space="preserve"> </w:t>
      </w:r>
    </w:p>
    <w:p w14:paraId="3646A1E2" w14:textId="2D7CE56E" w:rsidR="002E55D9" w:rsidRPr="00321163" w:rsidRDefault="00A75B92" w:rsidP="00943116">
      <w:pPr>
        <w:spacing w:line="360" w:lineRule="auto"/>
        <w:ind w:firstLineChars="100" w:firstLine="240"/>
        <w:jc w:val="both"/>
        <w:rPr>
          <w:rFonts w:ascii="Book Antiqua" w:hAnsi="Book Antiqua"/>
        </w:rPr>
      </w:pPr>
      <w:r w:rsidRPr="00321163">
        <w:rPr>
          <w:rFonts w:ascii="Book Antiqua" w:hAnsi="Book Antiqua"/>
        </w:rPr>
        <w:t>For subset analysis, patients</w:t>
      </w:r>
      <w:r w:rsidR="00B1338C" w:rsidRPr="00321163">
        <w:rPr>
          <w:rFonts w:ascii="Book Antiqua" w:hAnsi="Book Antiqua"/>
        </w:rPr>
        <w:t xml:space="preserve"> were divided into one of two groups</w:t>
      </w:r>
      <w:r w:rsidR="009A1CC9" w:rsidRPr="00321163">
        <w:rPr>
          <w:rFonts w:ascii="Book Antiqua" w:hAnsi="Book Antiqua"/>
        </w:rPr>
        <w:t>:</w:t>
      </w:r>
      <w:r w:rsidR="00943116" w:rsidRPr="00321163">
        <w:rPr>
          <w:rFonts w:ascii="Book Antiqua" w:eastAsia="宋体" w:hAnsi="Book Antiqua" w:hint="eastAsia"/>
          <w:lang w:eastAsia="zh-CN"/>
        </w:rPr>
        <w:t xml:space="preserve"> </w:t>
      </w:r>
      <w:r w:rsidR="005A2830" w:rsidRPr="00321163">
        <w:rPr>
          <w:rFonts w:ascii="Book Antiqua" w:hAnsi="Book Antiqua"/>
        </w:rPr>
        <w:t>Very Strong</w:t>
      </w:r>
      <w:r w:rsidR="00467B6A" w:rsidRPr="00321163">
        <w:rPr>
          <w:rFonts w:ascii="Book Antiqua" w:hAnsi="Book Antiqua"/>
        </w:rPr>
        <w:t xml:space="preserve"> (</w:t>
      </w:r>
      <w:r w:rsidR="00A02D57" w:rsidRPr="00321163">
        <w:rPr>
          <w:rFonts w:ascii="Book Antiqua" w:hAnsi="Book Antiqua"/>
        </w:rPr>
        <w:t>VS</w:t>
      </w:r>
      <w:r w:rsidR="00467B6A" w:rsidRPr="00321163">
        <w:rPr>
          <w:rFonts w:ascii="Book Antiqua" w:hAnsi="Book Antiqua"/>
        </w:rPr>
        <w:t>)</w:t>
      </w:r>
      <w:r w:rsidR="00A02D57" w:rsidRPr="00321163">
        <w:rPr>
          <w:rFonts w:ascii="Book Antiqua" w:hAnsi="Book Antiqua"/>
        </w:rPr>
        <w:t xml:space="preserve">: </w:t>
      </w:r>
      <w:r w:rsidR="00943116" w:rsidRPr="00321163">
        <w:rPr>
          <w:rFonts w:ascii="Book Antiqua" w:hAnsi="Book Antiqua"/>
        </w:rPr>
        <w:t>E</w:t>
      </w:r>
      <w:r w:rsidR="00B1338C" w:rsidRPr="00321163">
        <w:rPr>
          <w:rFonts w:ascii="Book Antiqua" w:hAnsi="Book Antiqua"/>
        </w:rPr>
        <w:t>ither CBDS on US or total bilirubin &gt;</w:t>
      </w:r>
      <w:r w:rsidR="00943116" w:rsidRPr="00321163">
        <w:rPr>
          <w:rFonts w:ascii="Book Antiqua" w:eastAsia="宋体" w:hAnsi="Book Antiqua" w:hint="eastAsia"/>
          <w:lang w:eastAsia="zh-CN"/>
        </w:rPr>
        <w:t xml:space="preserve"> </w:t>
      </w:r>
      <w:r w:rsidR="00B1338C" w:rsidRPr="00321163">
        <w:rPr>
          <w:rFonts w:ascii="Book Antiqua" w:hAnsi="Book Antiqua"/>
        </w:rPr>
        <w:t>4, or those meeting</w:t>
      </w:r>
      <w:r w:rsidR="00467B6A" w:rsidRPr="00321163">
        <w:rPr>
          <w:rFonts w:ascii="Book Antiqua" w:hAnsi="Book Antiqua"/>
        </w:rPr>
        <w:t xml:space="preserve"> </w:t>
      </w:r>
      <w:r w:rsidR="005A2830" w:rsidRPr="00321163">
        <w:rPr>
          <w:rFonts w:ascii="Book Antiqua" w:hAnsi="Book Antiqua"/>
        </w:rPr>
        <w:t xml:space="preserve">Strong </w:t>
      </w:r>
      <w:r w:rsidR="00467B6A" w:rsidRPr="00321163">
        <w:rPr>
          <w:rFonts w:ascii="Book Antiqua" w:hAnsi="Book Antiqua"/>
        </w:rPr>
        <w:t>(S)</w:t>
      </w:r>
      <w:r w:rsidR="00B1338C" w:rsidRPr="00321163">
        <w:rPr>
          <w:rFonts w:ascii="Book Antiqua" w:hAnsi="Book Antiqua"/>
        </w:rPr>
        <w:t xml:space="preserve"> criteria, with the combination of </w:t>
      </w:r>
      <w:r w:rsidR="009A1CC9" w:rsidRPr="00321163">
        <w:rPr>
          <w:rFonts w:ascii="Book Antiqua" w:hAnsi="Book Antiqua"/>
        </w:rPr>
        <w:t xml:space="preserve">having both a </w:t>
      </w:r>
      <w:r w:rsidR="00B1338C" w:rsidRPr="00321163">
        <w:rPr>
          <w:rFonts w:ascii="Book Antiqua" w:hAnsi="Book Antiqua"/>
        </w:rPr>
        <w:t>total bilirubin &gt;</w:t>
      </w:r>
      <w:r w:rsidR="00943116" w:rsidRPr="00321163">
        <w:rPr>
          <w:rFonts w:ascii="Book Antiqua" w:eastAsia="宋体" w:hAnsi="Book Antiqua" w:hint="eastAsia"/>
          <w:lang w:eastAsia="zh-CN"/>
        </w:rPr>
        <w:t xml:space="preserve"> </w:t>
      </w:r>
      <w:r w:rsidR="00B1338C" w:rsidRPr="00321163">
        <w:rPr>
          <w:rFonts w:ascii="Book Antiqua" w:hAnsi="Book Antiqua"/>
        </w:rPr>
        <w:t>1.8 and a CBD diameter of &gt; 6</w:t>
      </w:r>
      <w:r w:rsidR="00EE3733" w:rsidRPr="00321163">
        <w:rPr>
          <w:rFonts w:ascii="Book Antiqua" w:hAnsi="Book Antiqua"/>
        </w:rPr>
        <w:t xml:space="preserve"> </w:t>
      </w:r>
      <w:r w:rsidR="00B1338C" w:rsidRPr="00321163">
        <w:rPr>
          <w:rFonts w:ascii="Book Antiqua" w:hAnsi="Book Antiqua"/>
        </w:rPr>
        <w:t>mm.</w:t>
      </w:r>
      <w:r w:rsidR="00922966" w:rsidRPr="00321163">
        <w:rPr>
          <w:rFonts w:ascii="Book Antiqua" w:hAnsi="Book Antiqua"/>
        </w:rPr>
        <w:t xml:space="preserve"> </w:t>
      </w:r>
    </w:p>
    <w:p w14:paraId="4EBD2CFF" w14:textId="77777777" w:rsidR="002E55D9" w:rsidRPr="00321163" w:rsidRDefault="002E55D9" w:rsidP="00CA6249">
      <w:pPr>
        <w:spacing w:line="360" w:lineRule="auto"/>
        <w:jc w:val="both"/>
        <w:rPr>
          <w:rFonts w:ascii="Book Antiqua" w:hAnsi="Book Antiqua"/>
        </w:rPr>
      </w:pPr>
    </w:p>
    <w:p w14:paraId="1162A60E" w14:textId="77777777" w:rsidR="00943116" w:rsidRPr="00321163" w:rsidRDefault="00943116" w:rsidP="00CA6249">
      <w:pPr>
        <w:spacing w:line="360" w:lineRule="auto"/>
        <w:jc w:val="both"/>
        <w:rPr>
          <w:rFonts w:ascii="Book Antiqua" w:eastAsia="宋体" w:hAnsi="Book Antiqua"/>
          <w:b/>
          <w:i/>
          <w:lang w:eastAsia="zh-CN"/>
        </w:rPr>
      </w:pPr>
      <w:r w:rsidRPr="00321163">
        <w:rPr>
          <w:rFonts w:ascii="Book Antiqua" w:hAnsi="Book Antiqua"/>
          <w:b/>
          <w:i/>
        </w:rPr>
        <w:t>Statistical analysis</w:t>
      </w:r>
    </w:p>
    <w:p w14:paraId="4A7420EE" w14:textId="533546BC" w:rsidR="00B1338C" w:rsidRPr="00321163" w:rsidRDefault="002E55D9" w:rsidP="00CA6249">
      <w:pPr>
        <w:spacing w:line="360" w:lineRule="auto"/>
        <w:jc w:val="both"/>
        <w:rPr>
          <w:rFonts w:ascii="Book Antiqua" w:eastAsia="Times New Roman" w:hAnsi="Book Antiqua"/>
          <w:lang w:eastAsia="en-US"/>
        </w:rPr>
      </w:pPr>
      <w:r w:rsidRPr="00321163">
        <w:rPr>
          <w:rFonts w:ascii="Book Antiqua" w:hAnsi="Book Antiqua"/>
        </w:rPr>
        <w:t>SPSS (Statistical Package for the Social Sciences, IBM</w:t>
      </w:r>
      <w:r w:rsidR="00EE3733" w:rsidRPr="00321163">
        <w:rPr>
          <w:rFonts w:ascii="Book Antiqua" w:hAnsi="Book Antiqua"/>
        </w:rPr>
        <w:t>, Armonk, NY</w:t>
      </w:r>
      <w:r w:rsidRPr="00321163">
        <w:rPr>
          <w:rFonts w:ascii="Book Antiqua" w:hAnsi="Book Antiqua"/>
        </w:rPr>
        <w:t>) Version 1</w:t>
      </w:r>
      <w:r w:rsidR="00EE3733" w:rsidRPr="00321163">
        <w:rPr>
          <w:rFonts w:ascii="Book Antiqua" w:hAnsi="Book Antiqua"/>
        </w:rPr>
        <w:t>9</w:t>
      </w:r>
      <w:r w:rsidRPr="00321163">
        <w:rPr>
          <w:rFonts w:ascii="Book Antiqua" w:hAnsi="Book Antiqua"/>
        </w:rPr>
        <w:t xml:space="preserve">.0 was used for statistical calculations. </w:t>
      </w:r>
      <w:r w:rsidR="008C4F7C" w:rsidRPr="00321163">
        <w:rPr>
          <w:rFonts w:ascii="Book Antiqua" w:hAnsi="Book Antiqua"/>
          <w:i/>
        </w:rPr>
        <w:sym w:font="Symbol" w:char="F063"/>
      </w:r>
      <w:r w:rsidR="00B73445" w:rsidRPr="00321163">
        <w:rPr>
          <w:rFonts w:ascii="Book Antiqua" w:hAnsi="Book Antiqua"/>
          <w:vertAlign w:val="superscript"/>
        </w:rPr>
        <w:t>2</w:t>
      </w:r>
      <w:r w:rsidR="00B73445" w:rsidRPr="00321163">
        <w:rPr>
          <w:rFonts w:ascii="Book Antiqua" w:hAnsi="Book Antiqua"/>
        </w:rPr>
        <w:t xml:space="preserve"> with </w:t>
      </w:r>
      <w:proofErr w:type="spellStart"/>
      <w:r w:rsidR="00B73445" w:rsidRPr="00321163">
        <w:rPr>
          <w:rFonts w:ascii="Book Antiqua" w:hAnsi="Book Antiqua"/>
        </w:rPr>
        <w:t>M</w:t>
      </w:r>
      <w:r w:rsidR="000D1960" w:rsidRPr="00321163">
        <w:rPr>
          <w:rFonts w:ascii="Book Antiqua" w:hAnsi="Book Antiqua"/>
        </w:rPr>
        <w:t>cNemar’s</w:t>
      </w:r>
      <w:proofErr w:type="spellEnd"/>
      <w:r w:rsidR="000D1960" w:rsidRPr="00321163">
        <w:rPr>
          <w:rFonts w:ascii="Book Antiqua" w:hAnsi="Book Antiqua"/>
        </w:rPr>
        <w:t xml:space="preserve"> </w:t>
      </w:r>
      <w:r w:rsidR="008C4F7C" w:rsidRPr="00321163">
        <w:rPr>
          <w:rFonts w:ascii="Book Antiqua" w:hAnsi="Book Antiqua"/>
        </w:rPr>
        <w:t>t</w:t>
      </w:r>
      <w:r w:rsidR="000D1960" w:rsidRPr="00321163">
        <w:rPr>
          <w:rFonts w:ascii="Book Antiqua" w:hAnsi="Book Antiqua"/>
        </w:rPr>
        <w:t>est to compare correlated groups</w:t>
      </w:r>
      <w:r w:rsidR="00B73445" w:rsidRPr="00321163">
        <w:rPr>
          <w:rFonts w:ascii="Book Antiqua" w:hAnsi="Book Antiqua"/>
        </w:rPr>
        <w:t xml:space="preserve"> was used</w:t>
      </w:r>
      <w:r w:rsidR="005E341D" w:rsidRPr="00321163">
        <w:rPr>
          <w:rFonts w:ascii="Book Antiqua" w:hAnsi="Book Antiqua"/>
        </w:rPr>
        <w:t xml:space="preserve"> with</w:t>
      </w:r>
      <w:r w:rsidR="000D1960" w:rsidRPr="00321163">
        <w:rPr>
          <w:rFonts w:ascii="Book Antiqua" w:hAnsi="Book Antiqua"/>
        </w:rPr>
        <w:t xml:space="preserve"> Interquartile </w:t>
      </w:r>
      <w:r w:rsidR="005E341D" w:rsidRPr="00321163">
        <w:rPr>
          <w:rFonts w:ascii="Book Antiqua" w:hAnsi="Book Antiqua"/>
        </w:rPr>
        <w:t>R</w:t>
      </w:r>
      <w:r w:rsidR="000D1960" w:rsidRPr="00321163">
        <w:rPr>
          <w:rFonts w:ascii="Book Antiqua" w:hAnsi="Book Antiqua"/>
        </w:rPr>
        <w:t>ange</w:t>
      </w:r>
      <w:r w:rsidR="005E341D" w:rsidRPr="00321163">
        <w:rPr>
          <w:rFonts w:ascii="Book Antiqua" w:hAnsi="Book Antiqua"/>
        </w:rPr>
        <w:t xml:space="preserve"> (IQR)</w:t>
      </w:r>
      <w:r w:rsidR="000D1960" w:rsidRPr="00321163">
        <w:rPr>
          <w:rFonts w:ascii="Book Antiqua" w:hAnsi="Book Antiqua"/>
        </w:rPr>
        <w:t xml:space="preserve"> </w:t>
      </w:r>
      <w:r w:rsidR="0071189A" w:rsidRPr="00321163">
        <w:rPr>
          <w:rFonts w:ascii="Book Antiqua" w:hAnsi="Book Antiqua"/>
        </w:rPr>
        <w:t xml:space="preserve">and medians </w:t>
      </w:r>
      <w:r w:rsidR="000D1960" w:rsidRPr="00321163">
        <w:rPr>
          <w:rFonts w:ascii="Book Antiqua" w:hAnsi="Book Antiqua"/>
        </w:rPr>
        <w:t xml:space="preserve">and percentiles </w:t>
      </w:r>
      <w:r w:rsidR="005E341D" w:rsidRPr="00321163">
        <w:rPr>
          <w:rFonts w:ascii="Book Antiqua" w:hAnsi="Book Antiqua"/>
        </w:rPr>
        <w:t>calculated for continuous data.</w:t>
      </w:r>
      <w:r w:rsidR="00922966" w:rsidRPr="00321163">
        <w:rPr>
          <w:rFonts w:ascii="Book Antiqua" w:hAnsi="Book Antiqua"/>
        </w:rPr>
        <w:t xml:space="preserve"> </w:t>
      </w:r>
      <w:r w:rsidR="0086480C" w:rsidRPr="00321163">
        <w:rPr>
          <w:rFonts w:ascii="Book Antiqua" w:hAnsi="Book Antiqua"/>
        </w:rPr>
        <w:t xml:space="preserve">Similarly, </w:t>
      </w:r>
      <w:r w:rsidR="00C75819" w:rsidRPr="00321163">
        <w:rPr>
          <w:rFonts w:ascii="Book Antiqua" w:hAnsi="Book Antiqua"/>
        </w:rPr>
        <w:t>Mann-Whitney</w:t>
      </w:r>
      <w:r w:rsidR="0086480C" w:rsidRPr="00321163">
        <w:rPr>
          <w:rFonts w:ascii="Book Antiqua" w:hAnsi="Book Antiqua"/>
        </w:rPr>
        <w:t xml:space="preserve"> test</w:t>
      </w:r>
      <w:r w:rsidR="00C75819" w:rsidRPr="00321163">
        <w:rPr>
          <w:rFonts w:ascii="Book Antiqua" w:hAnsi="Book Antiqua"/>
        </w:rPr>
        <w:t xml:space="preserve"> was </w:t>
      </w:r>
      <w:r w:rsidR="005E341D" w:rsidRPr="00321163">
        <w:rPr>
          <w:rFonts w:ascii="Book Antiqua" w:hAnsi="Book Antiqua"/>
        </w:rPr>
        <w:t xml:space="preserve">used to compare </w:t>
      </w:r>
      <w:r w:rsidR="00EE3733" w:rsidRPr="00321163">
        <w:rPr>
          <w:rFonts w:ascii="Book Antiqua" w:hAnsi="Book Antiqua"/>
        </w:rPr>
        <w:t>groups with</w:t>
      </w:r>
      <w:r w:rsidR="00C75819" w:rsidRPr="00321163">
        <w:rPr>
          <w:rFonts w:ascii="Book Antiqua" w:hAnsi="Book Antiqua"/>
        </w:rPr>
        <w:t xml:space="preserve"> non-parametric data</w:t>
      </w:r>
      <w:r w:rsidR="00A42DAE" w:rsidRPr="00321163">
        <w:rPr>
          <w:rFonts w:ascii="Book Antiqua" w:hAnsi="Book Antiqua"/>
        </w:rPr>
        <w:t xml:space="preserve"> and t</w:t>
      </w:r>
      <w:r w:rsidR="000D1960" w:rsidRPr="00321163">
        <w:rPr>
          <w:rFonts w:ascii="Book Antiqua" w:hAnsi="Book Antiqua"/>
        </w:rPr>
        <w:t>he Mantel-</w:t>
      </w:r>
      <w:proofErr w:type="spellStart"/>
      <w:r w:rsidR="000D1960" w:rsidRPr="00321163">
        <w:rPr>
          <w:rFonts w:ascii="Book Antiqua" w:hAnsi="Book Antiqua"/>
        </w:rPr>
        <w:t>Haenzsel</w:t>
      </w:r>
      <w:proofErr w:type="spellEnd"/>
      <w:r w:rsidR="000D1960" w:rsidRPr="00321163">
        <w:rPr>
          <w:rFonts w:ascii="Book Antiqua" w:hAnsi="Book Antiqua"/>
        </w:rPr>
        <w:t xml:space="preserve"> </w:t>
      </w:r>
      <w:r w:rsidR="008C4F7C" w:rsidRPr="00321163">
        <w:rPr>
          <w:rFonts w:ascii="Book Antiqua" w:hAnsi="Book Antiqua"/>
        </w:rPr>
        <w:t>t</w:t>
      </w:r>
      <w:r w:rsidR="005E341D" w:rsidRPr="00321163">
        <w:rPr>
          <w:rFonts w:ascii="Book Antiqua" w:hAnsi="Book Antiqua"/>
        </w:rPr>
        <w:t>est was used to calculate a Common Odds Ratio Estimate. A</w:t>
      </w:r>
      <w:r w:rsidR="00A02D57" w:rsidRPr="00321163">
        <w:rPr>
          <w:rFonts w:ascii="Book Antiqua" w:hAnsi="Book Antiqua"/>
        </w:rPr>
        <w:t xml:space="preserve"> </w:t>
      </w:r>
      <w:r w:rsidR="008C4F7C" w:rsidRPr="00321163">
        <w:rPr>
          <w:rFonts w:ascii="Book Antiqua" w:hAnsi="Book Antiqua"/>
          <w:i/>
        </w:rPr>
        <w:t>P</w:t>
      </w:r>
      <w:r w:rsidR="00A02D57" w:rsidRPr="00321163">
        <w:rPr>
          <w:rFonts w:ascii="Book Antiqua" w:hAnsi="Book Antiqua"/>
        </w:rPr>
        <w:t>-value of &lt;</w:t>
      </w:r>
      <w:r w:rsidR="008C4F7C" w:rsidRPr="00321163">
        <w:rPr>
          <w:rFonts w:ascii="Book Antiqua" w:eastAsia="宋体" w:hAnsi="Book Antiqua" w:hint="eastAsia"/>
          <w:lang w:eastAsia="zh-CN"/>
        </w:rPr>
        <w:t xml:space="preserve"> </w:t>
      </w:r>
      <w:r w:rsidR="00A02D57" w:rsidRPr="00321163">
        <w:rPr>
          <w:rFonts w:ascii="Book Antiqua" w:hAnsi="Book Antiqua"/>
        </w:rPr>
        <w:t>0.05 was considered to be statistically significant</w:t>
      </w:r>
      <w:r w:rsidR="000D1960" w:rsidRPr="00321163">
        <w:rPr>
          <w:rFonts w:ascii="Book Antiqua" w:hAnsi="Book Antiqua"/>
        </w:rPr>
        <w:t xml:space="preserve">. </w:t>
      </w:r>
      <w:r w:rsidR="005E2FEC" w:rsidRPr="00321163">
        <w:rPr>
          <w:rFonts w:ascii="Book Antiqua" w:hAnsi="Book Antiqua"/>
        </w:rPr>
        <w:t>Unless otherwise specified, values are presented as me</w:t>
      </w:r>
      <w:r w:rsidR="00467B6A" w:rsidRPr="00321163">
        <w:rPr>
          <w:rFonts w:ascii="Book Antiqua" w:hAnsi="Book Antiqua"/>
        </w:rPr>
        <w:t>dian</w:t>
      </w:r>
      <w:r w:rsidR="005E2FEC" w:rsidRPr="00321163">
        <w:rPr>
          <w:rFonts w:ascii="Book Antiqua" w:hAnsi="Book Antiqua"/>
        </w:rPr>
        <w:t xml:space="preserve"> </w:t>
      </w:r>
      <w:r w:rsidR="00467B6A" w:rsidRPr="00321163">
        <w:rPr>
          <w:rFonts w:ascii="Book Antiqua" w:hAnsi="Book Antiqua"/>
        </w:rPr>
        <w:t>with interquartile range in parentheses</w:t>
      </w:r>
      <w:r w:rsidR="005E2FEC" w:rsidRPr="00321163">
        <w:rPr>
          <w:rFonts w:ascii="Book Antiqua" w:hAnsi="Book Antiqua"/>
        </w:rPr>
        <w:t>.</w:t>
      </w:r>
      <w:r w:rsidR="003C6A13" w:rsidRPr="00321163">
        <w:rPr>
          <w:rFonts w:ascii="Book Antiqua" w:hAnsi="Book Antiqua"/>
        </w:rPr>
        <w:t xml:space="preserve"> Confidence intervals were calculated using </w:t>
      </w:r>
      <w:hyperlink r:id="rId10" w:history="1">
        <w:r w:rsidR="003C6A13" w:rsidRPr="00321163">
          <w:rPr>
            <w:rStyle w:val="Hyperlink"/>
            <w:rFonts w:ascii="Book Antiqua" w:hAnsi="Book Antiqua"/>
            <w:color w:val="auto"/>
            <w:u w:val="none"/>
          </w:rPr>
          <w:t>http://vassarstats.net/clin1.html</w:t>
        </w:r>
      </w:hyperlink>
      <w:r w:rsidR="003C6A13" w:rsidRPr="00321163">
        <w:rPr>
          <w:rFonts w:ascii="Book Antiqua" w:hAnsi="Book Antiqua"/>
        </w:rPr>
        <w:t>.</w:t>
      </w:r>
      <w:r w:rsidR="00922966" w:rsidRPr="00321163">
        <w:rPr>
          <w:rFonts w:ascii="Book Antiqua" w:hAnsi="Book Antiqua"/>
        </w:rPr>
        <w:t xml:space="preserve"> </w:t>
      </w:r>
      <w:r w:rsidR="00F51511" w:rsidRPr="00321163">
        <w:rPr>
          <w:rFonts w:ascii="Book Antiqua" w:eastAsia="Times New Roman" w:hAnsi="Book Antiqua"/>
          <w:lang w:eastAsia="en-US"/>
        </w:rPr>
        <w:t xml:space="preserve">The statistical methods of this study were reviewed by </w:t>
      </w:r>
      <w:r w:rsidR="00F51511" w:rsidRPr="00321163">
        <w:rPr>
          <w:rFonts w:ascii="Book Antiqua" w:hAnsi="Book Antiqua"/>
        </w:rPr>
        <w:t xml:space="preserve">Dr. Smith, </w:t>
      </w:r>
      <w:r w:rsidR="00B667E2" w:rsidRPr="00321163">
        <w:rPr>
          <w:rFonts w:ascii="Book Antiqua" w:hAnsi="Book Antiqua"/>
        </w:rPr>
        <w:t xml:space="preserve">biostatistician, </w:t>
      </w:r>
      <w:r w:rsidR="00F51511" w:rsidRPr="00321163">
        <w:rPr>
          <w:rFonts w:ascii="Book Antiqua" w:hAnsi="Book Antiqua"/>
        </w:rPr>
        <w:t>Baylor College of Medicine.</w:t>
      </w:r>
    </w:p>
    <w:p w14:paraId="642032AF" w14:textId="77777777" w:rsidR="007A6E91" w:rsidRPr="00321163" w:rsidRDefault="007A6E91" w:rsidP="00CA6249">
      <w:pPr>
        <w:spacing w:line="360" w:lineRule="auto"/>
        <w:jc w:val="both"/>
        <w:rPr>
          <w:rFonts w:ascii="Book Antiqua" w:hAnsi="Book Antiqua"/>
        </w:rPr>
      </w:pPr>
    </w:p>
    <w:p w14:paraId="79205156" w14:textId="2B1E4B6D" w:rsidR="003970F6" w:rsidRPr="00321163" w:rsidRDefault="00BD36C7" w:rsidP="00CA6249">
      <w:pPr>
        <w:spacing w:line="360" w:lineRule="auto"/>
        <w:jc w:val="both"/>
        <w:rPr>
          <w:rFonts w:ascii="Book Antiqua" w:eastAsia="宋体" w:hAnsi="Book Antiqua"/>
          <w:b/>
          <w:lang w:eastAsia="zh-CN"/>
        </w:rPr>
      </w:pPr>
      <w:r w:rsidRPr="00321163">
        <w:rPr>
          <w:rFonts w:ascii="Book Antiqua" w:hAnsi="Book Antiqua"/>
          <w:b/>
        </w:rPr>
        <w:t>RESULTS</w:t>
      </w:r>
    </w:p>
    <w:p w14:paraId="67DD4008" w14:textId="112701F3" w:rsidR="00A524A1" w:rsidRPr="00321163" w:rsidRDefault="007A1E36" w:rsidP="00CA6249">
      <w:pPr>
        <w:spacing w:line="360" w:lineRule="auto"/>
        <w:jc w:val="both"/>
        <w:rPr>
          <w:rFonts w:ascii="Book Antiqua" w:hAnsi="Book Antiqua"/>
        </w:rPr>
      </w:pPr>
      <w:r w:rsidRPr="00321163">
        <w:rPr>
          <w:rFonts w:ascii="Book Antiqua" w:hAnsi="Book Antiqua"/>
        </w:rPr>
        <w:t>Forty-four</w:t>
      </w:r>
      <w:r w:rsidRPr="00321163">
        <w:rPr>
          <w:rFonts w:ascii="Book Antiqua" w:hAnsi="Book Antiqua" w:cs="Arial"/>
        </w:rPr>
        <w:t xml:space="preserve"> consecutive </w:t>
      </w:r>
      <w:r w:rsidR="00C75819" w:rsidRPr="00321163">
        <w:rPr>
          <w:rFonts w:ascii="Book Antiqua" w:hAnsi="Book Antiqua" w:cs="Arial"/>
        </w:rPr>
        <w:t>children</w:t>
      </w:r>
      <w:r w:rsidRPr="00321163">
        <w:rPr>
          <w:rFonts w:ascii="Book Antiqua" w:hAnsi="Book Antiqua" w:cs="Arial"/>
        </w:rPr>
        <w:t xml:space="preserve"> with gallbladder in situ hospitalized for evaluation of suspected CBDS were </w:t>
      </w:r>
      <w:r w:rsidR="00B01705" w:rsidRPr="00321163">
        <w:rPr>
          <w:rFonts w:ascii="Book Antiqua" w:hAnsi="Book Antiqua" w:cs="Arial"/>
        </w:rPr>
        <w:t xml:space="preserve">evaluated. The median age was </w:t>
      </w:r>
      <w:r w:rsidR="000F3F20" w:rsidRPr="00321163">
        <w:rPr>
          <w:rFonts w:ascii="Book Antiqua" w:hAnsi="Book Antiqua" w:cs="Arial"/>
        </w:rPr>
        <w:t xml:space="preserve">15.4 years </w:t>
      </w:r>
      <w:r w:rsidRPr="00321163">
        <w:rPr>
          <w:rFonts w:ascii="Book Antiqua" w:hAnsi="Book Antiqua" w:cs="Arial"/>
        </w:rPr>
        <w:t xml:space="preserve">(ages </w:t>
      </w:r>
      <w:r w:rsidR="00B85B72" w:rsidRPr="00321163">
        <w:rPr>
          <w:rFonts w:ascii="Book Antiqua" w:hAnsi="Book Antiqua" w:cs="Arial"/>
        </w:rPr>
        <w:t>6</w:t>
      </w:r>
      <w:r w:rsidR="008938CB" w:rsidRPr="00321163">
        <w:rPr>
          <w:rFonts w:ascii="Book Antiqua" w:hAnsi="Book Antiqua" w:cs="Arial"/>
        </w:rPr>
        <w:t>-18 years old)</w:t>
      </w:r>
      <w:r w:rsidRPr="00321163">
        <w:rPr>
          <w:rFonts w:ascii="Book Antiqua" w:hAnsi="Book Antiqua" w:cs="Arial"/>
        </w:rPr>
        <w:t xml:space="preserve"> </w:t>
      </w:r>
      <w:r w:rsidR="00BB5ACE" w:rsidRPr="00321163">
        <w:rPr>
          <w:rFonts w:ascii="Book Antiqua" w:hAnsi="Book Antiqua"/>
        </w:rPr>
        <w:t>(Table 1)</w:t>
      </w:r>
      <w:r w:rsidR="008938CB" w:rsidRPr="00321163">
        <w:rPr>
          <w:rFonts w:ascii="Book Antiqua" w:eastAsia="宋体" w:hAnsi="Book Antiqua" w:hint="eastAsia"/>
          <w:lang w:eastAsia="zh-CN"/>
        </w:rPr>
        <w:t>.</w:t>
      </w:r>
      <w:r w:rsidR="00922966" w:rsidRPr="00321163">
        <w:rPr>
          <w:rFonts w:ascii="Book Antiqua" w:hAnsi="Book Antiqua" w:cs="Arial"/>
        </w:rPr>
        <w:t xml:space="preserve"> </w:t>
      </w:r>
      <w:r w:rsidR="00BB5ACE" w:rsidRPr="00321163">
        <w:rPr>
          <w:rFonts w:ascii="Book Antiqua" w:hAnsi="Book Antiqua" w:cs="Arial"/>
        </w:rPr>
        <w:t xml:space="preserve">Eight of 44 patients (18.2%) had hemolytic disease. </w:t>
      </w:r>
      <w:r w:rsidR="00B01705" w:rsidRPr="00321163">
        <w:rPr>
          <w:rFonts w:ascii="Book Antiqua" w:hAnsi="Book Antiqua" w:cs="Arial"/>
        </w:rPr>
        <w:t>Gallstone pancreatitis was the initial presentation in 15 patients (34%)</w:t>
      </w:r>
      <w:r w:rsidR="00A24A01" w:rsidRPr="00321163">
        <w:rPr>
          <w:rFonts w:ascii="Book Antiqua" w:hAnsi="Book Antiqua" w:cs="Arial"/>
        </w:rPr>
        <w:t>.</w:t>
      </w:r>
      <w:r w:rsidR="00922966" w:rsidRPr="00321163">
        <w:rPr>
          <w:rFonts w:ascii="Book Antiqua" w:hAnsi="Book Antiqua" w:cs="Arial"/>
        </w:rPr>
        <w:t xml:space="preserve"> </w:t>
      </w:r>
      <w:r w:rsidR="00371384" w:rsidRPr="00321163">
        <w:rPr>
          <w:rFonts w:ascii="Book Antiqua" w:eastAsia="宋体" w:hAnsi="Book Antiqua" w:cs="Arial" w:hint="eastAsia"/>
          <w:lang w:eastAsia="zh-CN"/>
        </w:rPr>
        <w:t>Forty-three/forty-four</w:t>
      </w:r>
      <w:r w:rsidR="00A24A01" w:rsidRPr="00321163">
        <w:rPr>
          <w:rFonts w:ascii="Book Antiqua" w:hAnsi="Book Antiqua" w:cs="Arial"/>
        </w:rPr>
        <w:t xml:space="preserve"> patients </w:t>
      </w:r>
      <w:r w:rsidR="00463D2E" w:rsidRPr="00321163">
        <w:rPr>
          <w:rFonts w:ascii="Book Antiqua" w:hAnsi="Book Antiqua" w:cs="Arial"/>
        </w:rPr>
        <w:t>had general anesthes</w:t>
      </w:r>
      <w:r w:rsidR="008E6781" w:rsidRPr="00321163">
        <w:rPr>
          <w:rFonts w:ascii="Book Antiqua" w:hAnsi="Book Antiqua" w:cs="Arial"/>
        </w:rPr>
        <w:t>ia</w:t>
      </w:r>
      <w:r w:rsidR="00463D2E" w:rsidRPr="00321163">
        <w:rPr>
          <w:rFonts w:ascii="Book Antiqua" w:hAnsi="Book Antiqua" w:cs="Arial"/>
        </w:rPr>
        <w:t>, and the remaining patient received</w:t>
      </w:r>
      <w:r w:rsidR="008E6781" w:rsidRPr="00321163">
        <w:rPr>
          <w:rFonts w:ascii="Book Antiqua" w:hAnsi="Book Antiqua" w:cs="Arial"/>
        </w:rPr>
        <w:t xml:space="preserve"> </w:t>
      </w:r>
      <w:r w:rsidR="00467B6A" w:rsidRPr="00321163">
        <w:rPr>
          <w:rFonts w:ascii="Book Antiqua" w:hAnsi="Book Antiqua" w:cs="Arial"/>
        </w:rPr>
        <w:t>deep sedation</w:t>
      </w:r>
      <w:r w:rsidR="008E6781" w:rsidRPr="00321163">
        <w:rPr>
          <w:rFonts w:ascii="Book Antiqua" w:hAnsi="Book Antiqua" w:cs="Arial"/>
        </w:rPr>
        <w:t xml:space="preserve"> with intravenous</w:t>
      </w:r>
      <w:r w:rsidR="00463D2E" w:rsidRPr="00321163">
        <w:rPr>
          <w:rFonts w:ascii="Book Antiqua" w:hAnsi="Book Antiqua" w:cs="Arial"/>
        </w:rPr>
        <w:t xml:space="preserve"> midazolam and </w:t>
      </w:r>
      <w:proofErr w:type="spellStart"/>
      <w:r w:rsidR="00463D2E" w:rsidRPr="00321163">
        <w:rPr>
          <w:rFonts w:ascii="Book Antiqua" w:hAnsi="Book Antiqua" w:cs="Arial"/>
        </w:rPr>
        <w:t>propofol</w:t>
      </w:r>
      <w:proofErr w:type="spellEnd"/>
      <w:r w:rsidR="00463D2E" w:rsidRPr="00321163">
        <w:rPr>
          <w:rFonts w:ascii="Book Antiqua" w:hAnsi="Book Antiqua" w:cs="Arial"/>
        </w:rPr>
        <w:t>.</w:t>
      </w:r>
      <w:r w:rsidR="00922966" w:rsidRPr="00321163">
        <w:rPr>
          <w:rFonts w:ascii="Book Antiqua" w:hAnsi="Book Antiqua" w:cs="Arial"/>
        </w:rPr>
        <w:t xml:space="preserve"> </w:t>
      </w:r>
      <w:r w:rsidR="00333748" w:rsidRPr="00321163">
        <w:rPr>
          <w:rFonts w:ascii="Book Antiqua" w:hAnsi="Book Antiqua"/>
        </w:rPr>
        <w:t>Magnetic resonance cholangiopancreatography</w:t>
      </w:r>
      <w:r w:rsidR="00333748" w:rsidRPr="00321163">
        <w:rPr>
          <w:rFonts w:ascii="Book Antiqua" w:hAnsi="Book Antiqua" w:cs="Arial"/>
        </w:rPr>
        <w:t xml:space="preserve"> </w:t>
      </w:r>
      <w:r w:rsidR="00333748" w:rsidRPr="00321163">
        <w:rPr>
          <w:rFonts w:ascii="Book Antiqua" w:eastAsia="宋体" w:hAnsi="Book Antiqua" w:cs="Arial" w:hint="eastAsia"/>
          <w:lang w:eastAsia="zh-CN"/>
        </w:rPr>
        <w:t>(</w:t>
      </w:r>
      <w:r w:rsidR="002F12D6" w:rsidRPr="00321163">
        <w:rPr>
          <w:rFonts w:ascii="Book Antiqua" w:hAnsi="Book Antiqua" w:cs="Arial"/>
        </w:rPr>
        <w:t>MRCP</w:t>
      </w:r>
      <w:r w:rsidR="00333748" w:rsidRPr="00321163">
        <w:rPr>
          <w:rFonts w:ascii="Book Antiqua" w:eastAsia="宋体" w:hAnsi="Book Antiqua" w:cs="Arial" w:hint="eastAsia"/>
          <w:lang w:eastAsia="zh-CN"/>
        </w:rPr>
        <w:t>)</w:t>
      </w:r>
      <w:r w:rsidR="002F12D6" w:rsidRPr="00321163">
        <w:rPr>
          <w:rFonts w:ascii="Book Antiqua" w:hAnsi="Book Antiqua" w:cs="Arial"/>
        </w:rPr>
        <w:t xml:space="preserve"> was performed in 1</w:t>
      </w:r>
      <w:r w:rsidR="000E7F45" w:rsidRPr="00321163">
        <w:rPr>
          <w:rFonts w:ascii="Book Antiqua" w:hAnsi="Book Antiqua" w:cs="Arial"/>
        </w:rPr>
        <w:t>4</w:t>
      </w:r>
      <w:r w:rsidR="002F12D6" w:rsidRPr="00321163">
        <w:rPr>
          <w:rFonts w:ascii="Book Antiqua" w:hAnsi="Book Antiqua" w:cs="Arial"/>
        </w:rPr>
        <w:t xml:space="preserve">/44 patients, and </w:t>
      </w:r>
      <w:r w:rsidR="00467B6A" w:rsidRPr="00321163">
        <w:rPr>
          <w:rFonts w:ascii="Book Antiqua" w:hAnsi="Book Antiqua" w:cs="Arial"/>
        </w:rPr>
        <w:t>identified choledocholithiasis</w:t>
      </w:r>
      <w:r w:rsidR="00C25BCC" w:rsidRPr="00321163">
        <w:rPr>
          <w:rFonts w:ascii="Book Antiqua" w:hAnsi="Book Antiqua" w:cs="Arial"/>
        </w:rPr>
        <w:t xml:space="preserve"> in 9 of </w:t>
      </w:r>
      <w:r w:rsidR="002F12D6" w:rsidRPr="00321163">
        <w:rPr>
          <w:rFonts w:ascii="Book Antiqua" w:hAnsi="Book Antiqua" w:cs="Arial"/>
        </w:rPr>
        <w:t>1</w:t>
      </w:r>
      <w:r w:rsidR="000E7F45" w:rsidRPr="00321163">
        <w:rPr>
          <w:rFonts w:ascii="Book Antiqua" w:hAnsi="Book Antiqua" w:cs="Arial"/>
        </w:rPr>
        <w:t>4</w:t>
      </w:r>
      <w:r w:rsidR="0064682B" w:rsidRPr="00321163">
        <w:rPr>
          <w:rFonts w:ascii="Book Antiqua" w:hAnsi="Book Antiqua" w:cs="Arial"/>
        </w:rPr>
        <w:t>.</w:t>
      </w:r>
      <w:r w:rsidR="00922966" w:rsidRPr="00321163">
        <w:rPr>
          <w:rFonts w:ascii="Book Antiqua" w:hAnsi="Book Antiqua" w:cs="Arial"/>
        </w:rPr>
        <w:t xml:space="preserve"> </w:t>
      </w:r>
      <w:r w:rsidR="00A524A1" w:rsidRPr="00321163">
        <w:rPr>
          <w:rFonts w:ascii="Book Antiqua" w:hAnsi="Book Antiqua" w:cs="Arial"/>
        </w:rPr>
        <w:t>ERCP i</w:t>
      </w:r>
      <w:r w:rsidR="007E7AAD" w:rsidRPr="00321163">
        <w:rPr>
          <w:rFonts w:ascii="Book Antiqua" w:hAnsi="Book Antiqua" w:cs="Arial"/>
        </w:rPr>
        <w:t>dentified stones in 84% (</w:t>
      </w:r>
      <w:r w:rsidR="007E7AAD" w:rsidRPr="00321163">
        <w:rPr>
          <w:rFonts w:ascii="Book Antiqua" w:hAnsi="Book Antiqua" w:cs="Arial"/>
          <w:i/>
        </w:rPr>
        <w:t>n</w:t>
      </w:r>
      <w:r w:rsidR="00371384" w:rsidRPr="00321163">
        <w:rPr>
          <w:rFonts w:ascii="Book Antiqua" w:eastAsia="宋体" w:hAnsi="Book Antiqua" w:cs="Arial" w:hint="eastAsia"/>
          <w:lang w:eastAsia="zh-CN"/>
        </w:rPr>
        <w:t xml:space="preserve"> </w:t>
      </w:r>
      <w:r w:rsidR="007E7AAD" w:rsidRPr="00321163">
        <w:rPr>
          <w:rFonts w:ascii="Book Antiqua" w:hAnsi="Book Antiqua" w:cs="Arial"/>
        </w:rPr>
        <w:t>=</w:t>
      </w:r>
      <w:r w:rsidR="00371384" w:rsidRPr="00321163">
        <w:rPr>
          <w:rFonts w:ascii="Book Antiqua" w:eastAsia="宋体" w:hAnsi="Book Antiqua" w:cs="Arial" w:hint="eastAsia"/>
          <w:lang w:eastAsia="zh-CN"/>
        </w:rPr>
        <w:t xml:space="preserve"> </w:t>
      </w:r>
      <w:r w:rsidR="007E7AAD" w:rsidRPr="00321163">
        <w:rPr>
          <w:rFonts w:ascii="Book Antiqua" w:hAnsi="Book Antiqua" w:cs="Arial"/>
        </w:rPr>
        <w:lastRenderedPageBreak/>
        <w:t>37), referred to as G</w:t>
      </w:r>
      <w:r w:rsidR="00A524A1" w:rsidRPr="00321163">
        <w:rPr>
          <w:rFonts w:ascii="Book Antiqua" w:hAnsi="Book Antiqua" w:cs="Arial"/>
        </w:rPr>
        <w:t>roup 1.</w:t>
      </w:r>
      <w:r w:rsidR="00922966" w:rsidRPr="00321163">
        <w:rPr>
          <w:rFonts w:ascii="Book Antiqua" w:hAnsi="Book Antiqua" w:cs="Arial"/>
        </w:rPr>
        <w:t xml:space="preserve"> </w:t>
      </w:r>
      <w:r w:rsidR="00BB5ACE" w:rsidRPr="00321163">
        <w:rPr>
          <w:rFonts w:ascii="Book Antiqua" w:hAnsi="Book Antiqua" w:cs="Arial"/>
        </w:rPr>
        <w:t xml:space="preserve">In </w:t>
      </w:r>
      <w:r w:rsidR="00947165" w:rsidRPr="00321163">
        <w:rPr>
          <w:rFonts w:ascii="Book Antiqua" w:hAnsi="Book Antiqua" w:cs="Arial"/>
        </w:rPr>
        <w:t>Group</w:t>
      </w:r>
      <w:r w:rsidR="00705E85" w:rsidRPr="00321163">
        <w:rPr>
          <w:rFonts w:ascii="Book Antiqua" w:hAnsi="Book Antiqua" w:cs="Arial"/>
        </w:rPr>
        <w:t xml:space="preserve"> 2, </w:t>
      </w:r>
      <w:r w:rsidR="00BB5ACE" w:rsidRPr="00321163">
        <w:rPr>
          <w:rFonts w:ascii="Book Antiqua" w:hAnsi="Book Antiqua" w:cs="Arial"/>
        </w:rPr>
        <w:t>(</w:t>
      </w:r>
      <w:r w:rsidR="00371384" w:rsidRPr="00321163">
        <w:rPr>
          <w:rFonts w:ascii="Book Antiqua" w:hAnsi="Book Antiqua" w:cs="Arial"/>
          <w:i/>
        </w:rPr>
        <w:t>n</w:t>
      </w:r>
      <w:r w:rsidR="00371384" w:rsidRPr="00321163">
        <w:rPr>
          <w:rFonts w:ascii="Book Antiqua" w:eastAsia="宋体" w:hAnsi="Book Antiqua" w:cs="Arial" w:hint="eastAsia"/>
          <w:lang w:eastAsia="zh-CN"/>
        </w:rPr>
        <w:t xml:space="preserve"> </w:t>
      </w:r>
      <w:r w:rsidR="00371384" w:rsidRPr="00321163">
        <w:rPr>
          <w:rFonts w:ascii="Book Antiqua" w:hAnsi="Book Antiqua" w:cs="Arial"/>
        </w:rPr>
        <w:t>=</w:t>
      </w:r>
      <w:r w:rsidR="00371384" w:rsidRPr="00321163">
        <w:rPr>
          <w:rFonts w:ascii="Book Antiqua" w:eastAsia="宋体" w:hAnsi="Book Antiqua" w:cs="Arial" w:hint="eastAsia"/>
          <w:lang w:eastAsia="zh-CN"/>
        </w:rPr>
        <w:t xml:space="preserve"> </w:t>
      </w:r>
      <w:r w:rsidR="00BB5ACE" w:rsidRPr="00321163">
        <w:rPr>
          <w:rFonts w:ascii="Book Antiqua" w:hAnsi="Book Antiqua" w:cs="Arial"/>
        </w:rPr>
        <w:t>7)</w:t>
      </w:r>
      <w:r w:rsidR="00947165" w:rsidRPr="00321163">
        <w:rPr>
          <w:rFonts w:ascii="Book Antiqua" w:hAnsi="Book Antiqua" w:cs="Arial"/>
        </w:rPr>
        <w:t xml:space="preserve"> that</w:t>
      </w:r>
      <w:r w:rsidR="00705E85" w:rsidRPr="00321163">
        <w:rPr>
          <w:rFonts w:ascii="Book Antiqua" w:hAnsi="Book Antiqua" w:cs="Arial"/>
        </w:rPr>
        <w:t xml:space="preserve"> did not have CBDS</w:t>
      </w:r>
      <w:r w:rsidR="007E7AAD" w:rsidRPr="00321163">
        <w:rPr>
          <w:rFonts w:ascii="Book Antiqua" w:hAnsi="Book Antiqua" w:cs="Arial"/>
        </w:rPr>
        <w:t xml:space="preserve"> at ERCP</w:t>
      </w:r>
      <w:r w:rsidR="00705E85" w:rsidRPr="00321163">
        <w:rPr>
          <w:rFonts w:ascii="Book Antiqua" w:hAnsi="Book Antiqua" w:cs="Arial"/>
        </w:rPr>
        <w:t xml:space="preserve">, </w:t>
      </w:r>
      <w:r w:rsidR="00BB5ACE" w:rsidRPr="00321163">
        <w:rPr>
          <w:rFonts w:ascii="Book Antiqua" w:hAnsi="Book Antiqua" w:cs="Arial"/>
        </w:rPr>
        <w:t xml:space="preserve">common bile duct </w:t>
      </w:r>
      <w:r w:rsidR="002F12D6" w:rsidRPr="00321163">
        <w:rPr>
          <w:rFonts w:ascii="Book Antiqua" w:hAnsi="Book Antiqua" w:cs="Arial"/>
        </w:rPr>
        <w:t>dilation</w:t>
      </w:r>
      <w:r w:rsidR="00C75819" w:rsidRPr="00321163">
        <w:rPr>
          <w:rFonts w:ascii="Book Antiqua" w:hAnsi="Book Antiqua" w:cs="Arial"/>
        </w:rPr>
        <w:t xml:space="preserve"> &gt;</w:t>
      </w:r>
      <w:r w:rsidR="00371384" w:rsidRPr="00321163">
        <w:rPr>
          <w:rFonts w:ascii="Book Antiqua" w:eastAsia="宋体" w:hAnsi="Book Antiqua" w:cs="Arial" w:hint="eastAsia"/>
          <w:lang w:eastAsia="zh-CN"/>
        </w:rPr>
        <w:t xml:space="preserve"> </w:t>
      </w:r>
      <w:r w:rsidR="00C75819" w:rsidRPr="00321163">
        <w:rPr>
          <w:rFonts w:ascii="Book Antiqua" w:hAnsi="Book Antiqua" w:cs="Arial"/>
        </w:rPr>
        <w:t>6 mm</w:t>
      </w:r>
      <w:r w:rsidR="002F12D6" w:rsidRPr="00321163">
        <w:rPr>
          <w:rFonts w:ascii="Book Antiqua" w:hAnsi="Book Antiqua" w:cs="Arial"/>
        </w:rPr>
        <w:t xml:space="preserve"> </w:t>
      </w:r>
      <w:r w:rsidR="007A0A1E" w:rsidRPr="00321163">
        <w:rPr>
          <w:rFonts w:ascii="Book Antiqua" w:hAnsi="Book Antiqua" w:cs="Arial"/>
        </w:rPr>
        <w:t>was evident in 85.7</w:t>
      </w:r>
      <w:r w:rsidR="00BB5ACE" w:rsidRPr="00321163">
        <w:rPr>
          <w:rFonts w:ascii="Book Antiqua" w:hAnsi="Book Antiqua" w:cs="Arial"/>
        </w:rPr>
        <w:t>%</w:t>
      </w:r>
      <w:r w:rsidR="007A0A1E" w:rsidRPr="00321163">
        <w:rPr>
          <w:rFonts w:ascii="Book Antiqua" w:hAnsi="Book Antiqua" w:cs="Arial"/>
        </w:rPr>
        <w:t xml:space="preserve"> (</w:t>
      </w:r>
      <w:r w:rsidR="00371384" w:rsidRPr="00321163">
        <w:rPr>
          <w:rFonts w:ascii="Book Antiqua" w:hAnsi="Book Antiqua" w:cs="Arial"/>
          <w:i/>
        </w:rPr>
        <w:t>n</w:t>
      </w:r>
      <w:r w:rsidR="00371384" w:rsidRPr="00321163">
        <w:rPr>
          <w:rFonts w:ascii="Book Antiqua" w:eastAsia="宋体" w:hAnsi="Book Antiqua" w:cs="Arial" w:hint="eastAsia"/>
          <w:lang w:eastAsia="zh-CN"/>
        </w:rPr>
        <w:t xml:space="preserve"> </w:t>
      </w:r>
      <w:r w:rsidR="00371384" w:rsidRPr="00321163">
        <w:rPr>
          <w:rFonts w:ascii="Book Antiqua" w:hAnsi="Book Antiqua" w:cs="Arial"/>
        </w:rPr>
        <w:t>=</w:t>
      </w:r>
      <w:r w:rsidR="00371384" w:rsidRPr="00321163">
        <w:rPr>
          <w:rFonts w:ascii="Book Antiqua" w:eastAsia="宋体" w:hAnsi="Book Antiqua" w:cs="Arial" w:hint="eastAsia"/>
          <w:lang w:eastAsia="zh-CN"/>
        </w:rPr>
        <w:t xml:space="preserve"> </w:t>
      </w:r>
      <w:r w:rsidR="007A0A1E" w:rsidRPr="00321163">
        <w:rPr>
          <w:rFonts w:ascii="Book Antiqua" w:hAnsi="Book Antiqua" w:cs="Arial"/>
        </w:rPr>
        <w:t>6)</w:t>
      </w:r>
      <w:r w:rsidR="00BB5ACE" w:rsidRPr="00321163">
        <w:rPr>
          <w:rFonts w:ascii="Book Antiqua" w:hAnsi="Book Antiqua" w:cs="Arial"/>
        </w:rPr>
        <w:t xml:space="preserve">, and </w:t>
      </w:r>
      <w:r w:rsidR="002F12D6" w:rsidRPr="00321163">
        <w:rPr>
          <w:rFonts w:ascii="Book Antiqua" w:hAnsi="Book Antiqua" w:cs="Arial"/>
        </w:rPr>
        <w:t xml:space="preserve">all had </w:t>
      </w:r>
      <w:r w:rsidR="006B0239" w:rsidRPr="00321163">
        <w:rPr>
          <w:rFonts w:ascii="Book Antiqua" w:hAnsi="Book Antiqua" w:cs="Arial"/>
        </w:rPr>
        <w:t>endoscopic or radiographic findings</w:t>
      </w:r>
      <w:r w:rsidR="007A0A1E" w:rsidRPr="00321163">
        <w:rPr>
          <w:rFonts w:ascii="Book Antiqua" w:hAnsi="Book Antiqua" w:cs="Arial"/>
        </w:rPr>
        <w:t xml:space="preserve"> </w:t>
      </w:r>
      <w:r w:rsidR="006D6D41" w:rsidRPr="00321163">
        <w:rPr>
          <w:rFonts w:ascii="Book Antiqua" w:hAnsi="Book Antiqua" w:cs="Arial"/>
        </w:rPr>
        <w:t xml:space="preserve">suspicious for papillary stenosis, </w:t>
      </w:r>
      <w:proofErr w:type="spellStart"/>
      <w:r w:rsidR="006D6D41" w:rsidRPr="00321163">
        <w:rPr>
          <w:rFonts w:ascii="Book Antiqua" w:hAnsi="Book Antiqua" w:cs="Arial"/>
        </w:rPr>
        <w:t>suprapapillary</w:t>
      </w:r>
      <w:proofErr w:type="spellEnd"/>
      <w:r w:rsidR="006D6D41" w:rsidRPr="00321163">
        <w:rPr>
          <w:rFonts w:ascii="Book Antiqua" w:hAnsi="Book Antiqua" w:cs="Arial"/>
        </w:rPr>
        <w:t xml:space="preserve"> stricture from stone passage or recent pancreatitis. </w:t>
      </w:r>
      <w:r w:rsidR="008D1704" w:rsidRPr="00321163">
        <w:rPr>
          <w:rFonts w:ascii="Book Antiqua" w:hAnsi="Book Antiqua" w:cs="Arial"/>
        </w:rPr>
        <w:t xml:space="preserve">All patients had </w:t>
      </w:r>
      <w:r w:rsidR="00D412B5" w:rsidRPr="00321163">
        <w:rPr>
          <w:rFonts w:ascii="Book Antiqua" w:hAnsi="Book Antiqua" w:cs="Arial"/>
        </w:rPr>
        <w:t xml:space="preserve">a native papilla, and </w:t>
      </w:r>
      <w:proofErr w:type="spellStart"/>
      <w:r w:rsidR="008D1704" w:rsidRPr="00321163">
        <w:rPr>
          <w:rFonts w:ascii="Book Antiqua" w:hAnsi="Book Antiqua" w:cs="Arial"/>
        </w:rPr>
        <w:t>sphincterotomy</w:t>
      </w:r>
      <w:proofErr w:type="spellEnd"/>
      <w:r w:rsidR="00D412B5" w:rsidRPr="00321163">
        <w:rPr>
          <w:rFonts w:ascii="Book Antiqua" w:hAnsi="Book Antiqua" w:cs="Arial"/>
        </w:rPr>
        <w:t xml:space="preserve"> was per</w:t>
      </w:r>
      <w:r w:rsidR="006D6D41" w:rsidRPr="00321163">
        <w:rPr>
          <w:rFonts w:ascii="Book Antiqua" w:hAnsi="Book Antiqua" w:cs="Arial"/>
        </w:rPr>
        <w:t xml:space="preserve">formed at time of the procedure. No patients had a clinical picture of </w:t>
      </w:r>
      <w:r w:rsidR="008D1704" w:rsidRPr="00321163">
        <w:rPr>
          <w:rFonts w:ascii="Book Antiqua" w:hAnsi="Book Antiqua" w:cs="Arial"/>
        </w:rPr>
        <w:t>cholangitis. A</w:t>
      </w:r>
      <w:r w:rsidR="00467B6A" w:rsidRPr="00321163">
        <w:rPr>
          <w:rFonts w:ascii="Book Antiqua" w:hAnsi="Book Antiqua" w:cs="Arial"/>
        </w:rPr>
        <w:t xml:space="preserve">dverse event </w:t>
      </w:r>
      <w:r w:rsidR="003634ED" w:rsidRPr="00321163">
        <w:rPr>
          <w:rFonts w:ascii="Book Antiqua" w:hAnsi="Book Antiqua" w:cs="Arial"/>
        </w:rPr>
        <w:t>rates in both groups were similar, with one case of mild pancreatitis in each group.</w:t>
      </w:r>
      <w:r w:rsidR="00F15E31" w:rsidRPr="00321163">
        <w:rPr>
          <w:rFonts w:ascii="Book Antiqua" w:hAnsi="Book Antiqua" w:cs="Arial"/>
        </w:rPr>
        <w:t xml:space="preserve"> </w:t>
      </w:r>
    </w:p>
    <w:p w14:paraId="2DEE7369" w14:textId="77777777" w:rsidR="00CA2257" w:rsidRPr="00321163" w:rsidRDefault="00CA2257" w:rsidP="00CA6249">
      <w:pPr>
        <w:spacing w:line="360" w:lineRule="auto"/>
        <w:jc w:val="both"/>
        <w:rPr>
          <w:rFonts w:ascii="Book Antiqua" w:hAnsi="Book Antiqua" w:cs="Arial"/>
          <w:b/>
        </w:rPr>
      </w:pPr>
    </w:p>
    <w:p w14:paraId="2FCE4A54" w14:textId="6E840EEE" w:rsidR="00A94537" w:rsidRPr="00321163" w:rsidRDefault="00A57816" w:rsidP="00CA6249">
      <w:pPr>
        <w:spacing w:line="360" w:lineRule="auto"/>
        <w:jc w:val="both"/>
        <w:rPr>
          <w:rFonts w:ascii="Book Antiqua" w:hAnsi="Book Antiqua" w:cs="Arial"/>
          <w:b/>
          <w:i/>
        </w:rPr>
      </w:pPr>
      <w:r w:rsidRPr="00321163">
        <w:rPr>
          <w:rFonts w:ascii="Book Antiqua" w:hAnsi="Book Antiqua" w:cs="Arial"/>
          <w:b/>
          <w:i/>
        </w:rPr>
        <w:t xml:space="preserve">Use of </w:t>
      </w:r>
      <w:r w:rsidR="00371384" w:rsidRPr="00321163">
        <w:rPr>
          <w:rFonts w:ascii="Book Antiqua" w:hAnsi="Book Antiqua" w:cs="Arial"/>
          <w:b/>
          <w:i/>
        </w:rPr>
        <w:t>abdominal ultrasou</w:t>
      </w:r>
      <w:r w:rsidRPr="00321163">
        <w:rPr>
          <w:rFonts w:ascii="Book Antiqua" w:hAnsi="Book Antiqua" w:cs="Arial"/>
          <w:b/>
          <w:i/>
        </w:rPr>
        <w:t xml:space="preserve">nd in diagnosis of </w:t>
      </w:r>
      <w:r w:rsidR="005A1BDF" w:rsidRPr="00321163">
        <w:rPr>
          <w:rFonts w:ascii="Book Antiqua" w:hAnsi="Book Antiqua" w:cs="Arial"/>
          <w:b/>
          <w:i/>
        </w:rPr>
        <w:t>common bile duct stones</w:t>
      </w:r>
    </w:p>
    <w:p w14:paraId="1806416C" w14:textId="492A8A18" w:rsidR="007A0A1E" w:rsidRPr="00321163" w:rsidRDefault="00A94537" w:rsidP="00CA6249">
      <w:pPr>
        <w:spacing w:line="360" w:lineRule="auto"/>
        <w:jc w:val="both"/>
        <w:rPr>
          <w:rFonts w:ascii="Book Antiqua" w:hAnsi="Book Antiqua" w:cs="Arial"/>
        </w:rPr>
      </w:pPr>
      <w:r w:rsidRPr="00321163">
        <w:rPr>
          <w:rFonts w:ascii="Book Antiqua" w:hAnsi="Book Antiqua" w:cs="Arial"/>
        </w:rPr>
        <w:t xml:space="preserve">All patients </w:t>
      </w:r>
      <w:r w:rsidR="00554F09" w:rsidRPr="00321163">
        <w:rPr>
          <w:rFonts w:ascii="Book Antiqua" w:hAnsi="Book Antiqua" w:cs="Arial"/>
        </w:rPr>
        <w:t>had abdominal ultrasound performed</w:t>
      </w:r>
      <w:r w:rsidR="006B0239" w:rsidRPr="00321163">
        <w:rPr>
          <w:rFonts w:ascii="Book Antiqua" w:hAnsi="Book Antiqua" w:cs="Arial"/>
        </w:rPr>
        <w:t xml:space="preserve"> and</w:t>
      </w:r>
      <w:r w:rsidR="00BA1E09" w:rsidRPr="00321163">
        <w:rPr>
          <w:rFonts w:ascii="Book Antiqua" w:hAnsi="Book Antiqua" w:cs="Arial"/>
        </w:rPr>
        <w:t xml:space="preserve"> </w:t>
      </w:r>
      <w:r w:rsidR="004037C2" w:rsidRPr="00321163">
        <w:rPr>
          <w:rFonts w:ascii="Book Antiqua" w:hAnsi="Book Antiqua" w:cs="Arial"/>
        </w:rPr>
        <w:t xml:space="preserve">a portion of the </w:t>
      </w:r>
      <w:r w:rsidR="00BA1E09" w:rsidRPr="00321163">
        <w:rPr>
          <w:rFonts w:ascii="Book Antiqua" w:hAnsi="Book Antiqua" w:cs="Arial"/>
        </w:rPr>
        <w:t>common bile duct</w:t>
      </w:r>
      <w:r w:rsidR="00554F09" w:rsidRPr="00321163">
        <w:rPr>
          <w:rFonts w:ascii="Book Antiqua" w:hAnsi="Book Antiqua" w:cs="Arial"/>
        </w:rPr>
        <w:t xml:space="preserve"> was</w:t>
      </w:r>
      <w:r w:rsidR="00BA1E09" w:rsidRPr="00321163">
        <w:rPr>
          <w:rFonts w:ascii="Book Antiqua" w:hAnsi="Book Antiqua" w:cs="Arial"/>
        </w:rPr>
        <w:t xml:space="preserve"> visualized in all but one patient </w:t>
      </w:r>
      <w:r w:rsidR="004037C2" w:rsidRPr="00321163">
        <w:rPr>
          <w:rFonts w:ascii="Book Antiqua" w:hAnsi="Book Antiqua" w:cs="Arial"/>
        </w:rPr>
        <w:t>(</w:t>
      </w:r>
      <w:r w:rsidR="00BA1E09" w:rsidRPr="00321163">
        <w:rPr>
          <w:rFonts w:ascii="Book Antiqua" w:hAnsi="Book Antiqua" w:cs="Arial"/>
        </w:rPr>
        <w:t>43/44</w:t>
      </w:r>
      <w:r w:rsidR="004037C2" w:rsidRPr="00321163">
        <w:rPr>
          <w:rFonts w:ascii="Book Antiqua" w:hAnsi="Book Antiqua" w:cs="Arial"/>
        </w:rPr>
        <w:t>)</w:t>
      </w:r>
      <w:r w:rsidR="006B0239" w:rsidRPr="00321163">
        <w:rPr>
          <w:rFonts w:ascii="Book Antiqua" w:hAnsi="Book Antiqua" w:cs="Arial"/>
        </w:rPr>
        <w:t>.</w:t>
      </w:r>
      <w:r w:rsidR="00922966" w:rsidRPr="00321163">
        <w:rPr>
          <w:rFonts w:ascii="Book Antiqua" w:hAnsi="Book Antiqua" w:cs="Arial"/>
        </w:rPr>
        <w:t xml:space="preserve"> </w:t>
      </w:r>
      <w:r w:rsidR="006B0239" w:rsidRPr="00321163">
        <w:rPr>
          <w:rFonts w:ascii="Book Antiqua" w:hAnsi="Book Antiqua" w:cs="Arial"/>
        </w:rPr>
        <w:t>CBDS</w:t>
      </w:r>
      <w:r w:rsidR="00554F09" w:rsidRPr="00321163">
        <w:rPr>
          <w:rFonts w:ascii="Book Antiqua" w:hAnsi="Book Antiqua" w:cs="Arial"/>
        </w:rPr>
        <w:t xml:space="preserve"> </w:t>
      </w:r>
      <w:r w:rsidR="002D4A8D" w:rsidRPr="00321163">
        <w:rPr>
          <w:rFonts w:ascii="Book Antiqua" w:hAnsi="Book Antiqua" w:cs="Arial"/>
        </w:rPr>
        <w:t xml:space="preserve">were </w:t>
      </w:r>
      <w:r w:rsidR="00554F09" w:rsidRPr="00321163">
        <w:rPr>
          <w:rFonts w:ascii="Book Antiqua" w:hAnsi="Book Antiqua" w:cs="Arial"/>
        </w:rPr>
        <w:t>identified</w:t>
      </w:r>
      <w:r w:rsidR="007A0A1E" w:rsidRPr="00321163">
        <w:rPr>
          <w:rFonts w:ascii="Book Antiqua" w:hAnsi="Book Antiqua" w:cs="Arial"/>
        </w:rPr>
        <w:t xml:space="preserve"> by US</w:t>
      </w:r>
      <w:r w:rsidR="006B0239" w:rsidRPr="00321163">
        <w:rPr>
          <w:rFonts w:ascii="Book Antiqua" w:hAnsi="Book Antiqua" w:cs="Arial"/>
        </w:rPr>
        <w:t xml:space="preserve"> in</w:t>
      </w:r>
      <w:r w:rsidR="007A0A1E" w:rsidRPr="00321163">
        <w:rPr>
          <w:rFonts w:ascii="Book Antiqua" w:hAnsi="Book Antiqua" w:cs="Arial"/>
        </w:rPr>
        <w:t xml:space="preserve"> 36%</w:t>
      </w:r>
      <w:r w:rsidR="00554F09" w:rsidRPr="00321163">
        <w:rPr>
          <w:rFonts w:ascii="Book Antiqua" w:hAnsi="Book Antiqua" w:cs="Arial"/>
        </w:rPr>
        <w:t xml:space="preserve"> (</w:t>
      </w:r>
      <w:r w:rsidR="00710FD8" w:rsidRPr="00321163">
        <w:rPr>
          <w:rFonts w:ascii="Book Antiqua" w:hAnsi="Book Antiqua" w:cs="Arial"/>
          <w:i/>
        </w:rPr>
        <w:t>n</w:t>
      </w:r>
      <w:r w:rsidR="00710FD8" w:rsidRPr="00321163">
        <w:rPr>
          <w:rFonts w:ascii="Book Antiqua" w:eastAsia="宋体" w:hAnsi="Book Antiqua" w:cs="Arial" w:hint="eastAsia"/>
          <w:lang w:eastAsia="zh-CN"/>
        </w:rPr>
        <w:t xml:space="preserve"> </w:t>
      </w:r>
      <w:r w:rsidR="00710FD8" w:rsidRPr="00321163">
        <w:rPr>
          <w:rFonts w:ascii="Book Antiqua" w:hAnsi="Book Antiqua" w:cs="Arial"/>
        </w:rPr>
        <w:t>=</w:t>
      </w:r>
      <w:r w:rsidR="00710FD8" w:rsidRPr="00321163">
        <w:rPr>
          <w:rFonts w:ascii="Book Antiqua" w:eastAsia="宋体" w:hAnsi="Book Antiqua" w:cs="Arial" w:hint="eastAsia"/>
          <w:lang w:eastAsia="zh-CN"/>
        </w:rPr>
        <w:t xml:space="preserve"> </w:t>
      </w:r>
      <w:r w:rsidR="007A0A1E" w:rsidRPr="00321163">
        <w:rPr>
          <w:rFonts w:ascii="Book Antiqua" w:hAnsi="Book Antiqua" w:cs="Arial"/>
        </w:rPr>
        <w:t>16</w:t>
      </w:r>
      <w:r w:rsidR="00554F09" w:rsidRPr="00321163">
        <w:rPr>
          <w:rFonts w:ascii="Book Antiqua" w:hAnsi="Book Antiqua" w:cs="Arial"/>
        </w:rPr>
        <w:t>)</w:t>
      </w:r>
      <w:r w:rsidR="005E2FEC" w:rsidRPr="00321163">
        <w:rPr>
          <w:rFonts w:ascii="Book Antiqua" w:hAnsi="Book Antiqua" w:cs="Arial"/>
        </w:rPr>
        <w:t>, and this differed from the 85% (</w:t>
      </w:r>
      <w:r w:rsidR="00710FD8" w:rsidRPr="00321163">
        <w:rPr>
          <w:rFonts w:ascii="Book Antiqua" w:hAnsi="Book Antiqua" w:cs="Arial"/>
          <w:i/>
        </w:rPr>
        <w:t>n</w:t>
      </w:r>
      <w:r w:rsidR="00710FD8" w:rsidRPr="00321163">
        <w:rPr>
          <w:rFonts w:ascii="Book Antiqua" w:eastAsia="宋体" w:hAnsi="Book Antiqua" w:cs="Arial" w:hint="eastAsia"/>
          <w:lang w:eastAsia="zh-CN"/>
        </w:rPr>
        <w:t xml:space="preserve"> </w:t>
      </w:r>
      <w:r w:rsidR="00710FD8" w:rsidRPr="00321163">
        <w:rPr>
          <w:rFonts w:ascii="Book Antiqua" w:hAnsi="Book Antiqua" w:cs="Arial"/>
        </w:rPr>
        <w:t>=</w:t>
      </w:r>
      <w:r w:rsidR="00710FD8" w:rsidRPr="00321163">
        <w:rPr>
          <w:rFonts w:ascii="Book Antiqua" w:eastAsia="宋体" w:hAnsi="Book Antiqua" w:cs="Arial" w:hint="eastAsia"/>
          <w:lang w:eastAsia="zh-CN"/>
        </w:rPr>
        <w:t xml:space="preserve"> </w:t>
      </w:r>
      <w:r w:rsidR="005E2FEC" w:rsidRPr="00321163">
        <w:rPr>
          <w:rFonts w:ascii="Book Antiqua" w:hAnsi="Book Antiqua" w:cs="Arial"/>
        </w:rPr>
        <w:t>37) found to have</w:t>
      </w:r>
      <w:r w:rsidR="00CA2257" w:rsidRPr="00321163">
        <w:rPr>
          <w:rFonts w:ascii="Book Antiqua" w:hAnsi="Book Antiqua" w:cs="Arial"/>
        </w:rPr>
        <w:t xml:space="preserve"> CBDS by ERCP</w:t>
      </w:r>
      <w:r w:rsidR="007A0A1E" w:rsidRPr="00321163">
        <w:rPr>
          <w:rFonts w:ascii="Book Antiqua" w:hAnsi="Book Antiqua" w:cs="Arial"/>
        </w:rPr>
        <w:t xml:space="preserve"> </w:t>
      </w:r>
      <w:r w:rsidR="00CA2257" w:rsidRPr="00321163">
        <w:rPr>
          <w:rFonts w:ascii="Book Antiqua" w:hAnsi="Book Antiqua" w:cs="Arial"/>
        </w:rPr>
        <w:t>(</w:t>
      </w:r>
      <w:r w:rsidR="00710FD8" w:rsidRPr="00321163">
        <w:rPr>
          <w:rFonts w:ascii="Book Antiqua" w:hAnsi="Book Antiqua" w:cs="Arial"/>
          <w:i/>
        </w:rPr>
        <w:t>P</w:t>
      </w:r>
      <w:r w:rsidR="00710FD8" w:rsidRPr="00321163">
        <w:rPr>
          <w:rFonts w:ascii="Book Antiqua" w:eastAsia="宋体" w:hAnsi="Book Antiqua" w:cs="Arial" w:hint="eastAsia"/>
          <w:lang w:eastAsia="zh-CN"/>
        </w:rPr>
        <w:t xml:space="preserve"> </w:t>
      </w:r>
      <w:r w:rsidR="007A0A1E" w:rsidRPr="00321163">
        <w:rPr>
          <w:rFonts w:ascii="Book Antiqua" w:hAnsi="Book Antiqua" w:cs="Arial"/>
        </w:rPr>
        <w:t>=</w:t>
      </w:r>
      <w:r w:rsidR="00710FD8" w:rsidRPr="00321163">
        <w:rPr>
          <w:rFonts w:ascii="Book Antiqua" w:eastAsia="宋体" w:hAnsi="Book Antiqua" w:cs="Arial" w:hint="eastAsia"/>
          <w:lang w:eastAsia="zh-CN"/>
        </w:rPr>
        <w:t xml:space="preserve"> 0</w:t>
      </w:r>
      <w:r w:rsidR="007A0A1E" w:rsidRPr="00321163">
        <w:rPr>
          <w:rFonts w:ascii="Book Antiqua" w:hAnsi="Book Antiqua" w:cs="Arial"/>
        </w:rPr>
        <w:t>.029</w:t>
      </w:r>
      <w:r w:rsidR="00CA2257" w:rsidRPr="00321163">
        <w:rPr>
          <w:rFonts w:ascii="Book Antiqua" w:hAnsi="Book Antiqua" w:cs="Arial"/>
        </w:rPr>
        <w:t>)</w:t>
      </w:r>
      <w:r w:rsidR="000072BC" w:rsidRPr="00321163">
        <w:rPr>
          <w:rFonts w:ascii="Book Antiqua" w:hAnsi="Book Antiqua" w:cs="Arial"/>
        </w:rPr>
        <w:t>.</w:t>
      </w:r>
      <w:r w:rsidR="00A867E7" w:rsidRPr="00321163">
        <w:rPr>
          <w:rFonts w:ascii="Book Antiqua" w:hAnsi="Book Antiqua" w:cs="Arial"/>
        </w:rPr>
        <w:t xml:space="preserve"> </w:t>
      </w:r>
      <w:r w:rsidR="005E2FEC" w:rsidRPr="00321163">
        <w:rPr>
          <w:rFonts w:ascii="Book Antiqua" w:hAnsi="Book Antiqua" w:cs="Arial"/>
        </w:rPr>
        <w:t>S</w:t>
      </w:r>
      <w:r w:rsidR="00B01705" w:rsidRPr="00321163">
        <w:rPr>
          <w:rFonts w:ascii="Book Antiqua" w:hAnsi="Book Antiqua" w:cs="Arial"/>
        </w:rPr>
        <w:t>ens</w:t>
      </w:r>
      <w:r w:rsidR="00A867E7" w:rsidRPr="00321163">
        <w:rPr>
          <w:rFonts w:ascii="Book Antiqua" w:hAnsi="Book Antiqua" w:cs="Arial"/>
        </w:rPr>
        <w:t xml:space="preserve">itivity of US for CBDS was </w:t>
      </w:r>
      <w:r w:rsidR="00BB7A92" w:rsidRPr="00321163">
        <w:rPr>
          <w:rFonts w:ascii="Book Antiqua" w:hAnsi="Book Antiqua" w:cs="Arial"/>
        </w:rPr>
        <w:t xml:space="preserve">poor, </w:t>
      </w:r>
      <w:r w:rsidR="00B01705" w:rsidRPr="00321163">
        <w:rPr>
          <w:rFonts w:ascii="Book Antiqua" w:hAnsi="Book Antiqua" w:cs="Arial"/>
        </w:rPr>
        <w:t>43%</w:t>
      </w:r>
      <w:r w:rsidR="00A867E7" w:rsidRPr="00321163">
        <w:rPr>
          <w:rFonts w:ascii="Book Antiqua" w:hAnsi="Book Antiqua" w:cs="Arial"/>
        </w:rPr>
        <w:t xml:space="preserve"> (</w:t>
      </w:r>
      <w:r w:rsidR="00710FD8" w:rsidRPr="00321163">
        <w:rPr>
          <w:rFonts w:ascii="Book Antiqua" w:hAnsi="Book Antiqua" w:cs="Arial"/>
        </w:rPr>
        <w:t>95%</w:t>
      </w:r>
      <w:r w:rsidR="00A867E7" w:rsidRPr="00321163">
        <w:rPr>
          <w:rFonts w:ascii="Book Antiqua" w:hAnsi="Book Antiqua" w:cs="Arial"/>
        </w:rPr>
        <w:t>CI</w:t>
      </w:r>
      <w:r w:rsidR="005E2FEC" w:rsidRPr="00321163">
        <w:rPr>
          <w:rFonts w:ascii="Book Antiqua" w:hAnsi="Book Antiqua" w:cs="Arial"/>
        </w:rPr>
        <w:t>:</w:t>
      </w:r>
      <w:r w:rsidR="00BB7A92" w:rsidRPr="00321163">
        <w:rPr>
          <w:rFonts w:ascii="Book Antiqua" w:hAnsi="Book Antiqua" w:cs="Arial"/>
        </w:rPr>
        <w:t xml:space="preserve"> 28</w:t>
      </w:r>
      <w:r w:rsidR="005E2FEC" w:rsidRPr="00321163">
        <w:rPr>
          <w:rFonts w:ascii="Book Antiqua" w:hAnsi="Book Antiqua" w:cs="Arial"/>
        </w:rPr>
        <w:t>%</w:t>
      </w:r>
      <w:r w:rsidR="00BB7A92" w:rsidRPr="00321163">
        <w:rPr>
          <w:rFonts w:ascii="Book Antiqua" w:hAnsi="Book Antiqua" w:cs="Arial"/>
        </w:rPr>
        <w:t>-60</w:t>
      </w:r>
      <w:r w:rsidR="005E2FEC" w:rsidRPr="00321163">
        <w:rPr>
          <w:rFonts w:ascii="Book Antiqua" w:hAnsi="Book Antiqua" w:cs="Arial"/>
        </w:rPr>
        <w:t>%</w:t>
      </w:r>
      <w:r w:rsidR="00A867E7" w:rsidRPr="00321163">
        <w:rPr>
          <w:rFonts w:ascii="Book Antiqua" w:hAnsi="Book Antiqua" w:cs="Arial"/>
        </w:rPr>
        <w:t xml:space="preserve">), </w:t>
      </w:r>
      <w:r w:rsidR="00BB7A92" w:rsidRPr="00321163">
        <w:rPr>
          <w:rFonts w:ascii="Book Antiqua" w:hAnsi="Book Antiqua" w:cs="Arial"/>
        </w:rPr>
        <w:t xml:space="preserve">with </w:t>
      </w:r>
      <w:r w:rsidR="00A867E7" w:rsidRPr="00321163">
        <w:rPr>
          <w:rFonts w:ascii="Book Antiqua" w:hAnsi="Book Antiqua" w:cs="Arial"/>
        </w:rPr>
        <w:t>specificity</w:t>
      </w:r>
      <w:r w:rsidR="007A0A1E" w:rsidRPr="00321163">
        <w:rPr>
          <w:rFonts w:ascii="Book Antiqua" w:hAnsi="Book Antiqua" w:cs="Arial"/>
        </w:rPr>
        <w:t xml:space="preserve"> 100%</w:t>
      </w:r>
      <w:r w:rsidR="00BB7A92" w:rsidRPr="00321163">
        <w:rPr>
          <w:rFonts w:ascii="Book Antiqua" w:hAnsi="Book Antiqua" w:cs="Arial"/>
        </w:rPr>
        <w:t xml:space="preserve"> (</w:t>
      </w:r>
      <w:r w:rsidR="00710FD8" w:rsidRPr="00321163">
        <w:rPr>
          <w:rFonts w:ascii="Book Antiqua" w:hAnsi="Book Antiqua" w:cs="Arial"/>
        </w:rPr>
        <w:t>95%</w:t>
      </w:r>
      <w:r w:rsidR="00BB7A92" w:rsidRPr="00321163">
        <w:rPr>
          <w:rFonts w:ascii="Book Antiqua" w:hAnsi="Book Antiqua" w:cs="Arial"/>
        </w:rPr>
        <w:t>CI</w:t>
      </w:r>
      <w:r w:rsidR="005E2FEC" w:rsidRPr="00321163">
        <w:rPr>
          <w:rFonts w:ascii="Book Antiqua" w:hAnsi="Book Antiqua" w:cs="Arial"/>
        </w:rPr>
        <w:t>:</w:t>
      </w:r>
      <w:r w:rsidR="00BB7A92" w:rsidRPr="00321163">
        <w:rPr>
          <w:rFonts w:ascii="Book Antiqua" w:hAnsi="Book Antiqua" w:cs="Arial"/>
        </w:rPr>
        <w:t xml:space="preserve"> 56</w:t>
      </w:r>
      <w:r w:rsidR="005E2FEC" w:rsidRPr="00321163">
        <w:rPr>
          <w:rFonts w:ascii="Book Antiqua" w:hAnsi="Book Antiqua" w:cs="Arial"/>
        </w:rPr>
        <w:t>%</w:t>
      </w:r>
      <w:r w:rsidR="00BB7A92" w:rsidRPr="00321163">
        <w:rPr>
          <w:rFonts w:ascii="Book Antiqua" w:hAnsi="Book Antiqua" w:cs="Arial"/>
        </w:rPr>
        <w:t>-100</w:t>
      </w:r>
      <w:r w:rsidR="005E2FEC" w:rsidRPr="00321163">
        <w:rPr>
          <w:rFonts w:ascii="Book Antiqua" w:hAnsi="Book Antiqua" w:cs="Arial"/>
        </w:rPr>
        <w:t>%</w:t>
      </w:r>
      <w:r w:rsidR="00BB7A92" w:rsidRPr="00321163">
        <w:rPr>
          <w:rFonts w:ascii="Book Antiqua" w:hAnsi="Book Antiqua" w:cs="Arial"/>
        </w:rPr>
        <w:t>)</w:t>
      </w:r>
      <w:r w:rsidR="00A867E7" w:rsidRPr="00321163">
        <w:rPr>
          <w:rFonts w:ascii="Book Antiqua" w:hAnsi="Book Antiqua" w:cs="Arial"/>
        </w:rPr>
        <w:t xml:space="preserve">, </w:t>
      </w:r>
      <w:r w:rsidR="005E2FEC" w:rsidRPr="00321163">
        <w:rPr>
          <w:rFonts w:ascii="Book Antiqua" w:hAnsi="Book Antiqua" w:cs="Arial"/>
        </w:rPr>
        <w:t>positive predictive value (</w:t>
      </w:r>
      <w:r w:rsidR="00A867E7" w:rsidRPr="00321163">
        <w:rPr>
          <w:rFonts w:ascii="Book Antiqua" w:hAnsi="Book Antiqua" w:cs="Arial"/>
        </w:rPr>
        <w:t>PPV</w:t>
      </w:r>
      <w:r w:rsidR="005E2FEC" w:rsidRPr="00321163">
        <w:rPr>
          <w:rFonts w:ascii="Book Antiqua" w:hAnsi="Book Antiqua" w:cs="Arial"/>
        </w:rPr>
        <w:t>) of</w:t>
      </w:r>
      <w:r w:rsidR="007A0A1E" w:rsidRPr="00321163">
        <w:rPr>
          <w:rFonts w:ascii="Book Antiqua" w:hAnsi="Book Antiqua" w:cs="Arial"/>
        </w:rPr>
        <w:t xml:space="preserve"> 100%</w:t>
      </w:r>
      <w:r w:rsidR="00A867E7" w:rsidRPr="00321163">
        <w:rPr>
          <w:rFonts w:ascii="Book Antiqua" w:hAnsi="Book Antiqua" w:cs="Arial"/>
        </w:rPr>
        <w:t xml:space="preserve"> </w:t>
      </w:r>
      <w:r w:rsidR="00BB7A92" w:rsidRPr="00321163">
        <w:rPr>
          <w:rFonts w:ascii="Book Antiqua" w:hAnsi="Book Antiqua" w:cs="Arial"/>
        </w:rPr>
        <w:t>(</w:t>
      </w:r>
      <w:r w:rsidR="00710FD8" w:rsidRPr="00321163">
        <w:rPr>
          <w:rFonts w:ascii="Book Antiqua" w:hAnsi="Book Antiqua" w:cs="Arial"/>
        </w:rPr>
        <w:t>95%</w:t>
      </w:r>
      <w:r w:rsidR="005E2FEC" w:rsidRPr="00321163">
        <w:rPr>
          <w:rFonts w:ascii="Book Antiqua" w:hAnsi="Book Antiqua" w:cs="Arial"/>
        </w:rPr>
        <w:t xml:space="preserve">CI: </w:t>
      </w:r>
      <w:r w:rsidR="00BB7A92" w:rsidRPr="00321163">
        <w:rPr>
          <w:rFonts w:ascii="Book Antiqua" w:hAnsi="Book Antiqua" w:cs="Arial"/>
        </w:rPr>
        <w:t>76</w:t>
      </w:r>
      <w:r w:rsidR="005E2FEC" w:rsidRPr="00321163">
        <w:rPr>
          <w:rFonts w:ascii="Book Antiqua" w:hAnsi="Book Antiqua" w:cs="Arial"/>
        </w:rPr>
        <w:t>%</w:t>
      </w:r>
      <w:r w:rsidR="00BB7A92" w:rsidRPr="00321163">
        <w:rPr>
          <w:rFonts w:ascii="Book Antiqua" w:hAnsi="Book Antiqua" w:cs="Arial"/>
        </w:rPr>
        <w:t>-100</w:t>
      </w:r>
      <w:r w:rsidR="005E2FEC" w:rsidRPr="00321163">
        <w:rPr>
          <w:rFonts w:ascii="Book Antiqua" w:hAnsi="Book Antiqua" w:cs="Arial"/>
        </w:rPr>
        <w:t>%</w:t>
      </w:r>
      <w:r w:rsidR="00BB7A92" w:rsidRPr="00321163">
        <w:rPr>
          <w:rFonts w:ascii="Book Antiqua" w:hAnsi="Book Antiqua" w:cs="Arial"/>
        </w:rPr>
        <w:t xml:space="preserve">) </w:t>
      </w:r>
      <w:r w:rsidR="00A867E7" w:rsidRPr="00321163">
        <w:rPr>
          <w:rFonts w:ascii="Book Antiqua" w:hAnsi="Book Antiqua" w:cs="Arial"/>
        </w:rPr>
        <w:t xml:space="preserve">and </w:t>
      </w:r>
      <w:r w:rsidR="005E2FEC" w:rsidRPr="00321163">
        <w:rPr>
          <w:rFonts w:ascii="Book Antiqua" w:hAnsi="Book Antiqua" w:cs="Arial"/>
        </w:rPr>
        <w:t>a negative predictive value (</w:t>
      </w:r>
      <w:r w:rsidR="00A867E7" w:rsidRPr="00321163">
        <w:rPr>
          <w:rFonts w:ascii="Book Antiqua" w:hAnsi="Book Antiqua" w:cs="Arial"/>
        </w:rPr>
        <w:t>NPV</w:t>
      </w:r>
      <w:r w:rsidR="005E2FEC" w:rsidRPr="00321163">
        <w:rPr>
          <w:rFonts w:ascii="Book Antiqua" w:hAnsi="Book Antiqua" w:cs="Arial"/>
        </w:rPr>
        <w:t>)</w:t>
      </w:r>
      <w:r w:rsidR="007A0A1E" w:rsidRPr="00321163">
        <w:rPr>
          <w:rFonts w:ascii="Book Antiqua" w:hAnsi="Book Antiqua" w:cs="Arial"/>
        </w:rPr>
        <w:t xml:space="preserve"> </w:t>
      </w:r>
      <w:r w:rsidR="005E2FEC" w:rsidRPr="00321163">
        <w:rPr>
          <w:rFonts w:ascii="Book Antiqua" w:hAnsi="Book Antiqua" w:cs="Arial"/>
        </w:rPr>
        <w:t xml:space="preserve">of </w:t>
      </w:r>
      <w:r w:rsidR="007A0A1E" w:rsidRPr="00321163">
        <w:rPr>
          <w:rFonts w:ascii="Book Antiqua" w:hAnsi="Book Antiqua" w:cs="Arial"/>
        </w:rPr>
        <w:t>25%</w:t>
      </w:r>
      <w:r w:rsidR="00BB7A92" w:rsidRPr="00321163">
        <w:rPr>
          <w:rFonts w:ascii="Book Antiqua" w:hAnsi="Book Antiqua" w:cs="Arial"/>
        </w:rPr>
        <w:t xml:space="preserve"> (</w:t>
      </w:r>
      <w:r w:rsidR="00710FD8" w:rsidRPr="00321163">
        <w:rPr>
          <w:rFonts w:ascii="Book Antiqua" w:hAnsi="Book Antiqua" w:cs="Arial"/>
        </w:rPr>
        <w:t>95%</w:t>
      </w:r>
      <w:r w:rsidR="001F6B43" w:rsidRPr="00321163">
        <w:rPr>
          <w:rFonts w:ascii="Book Antiqua" w:hAnsi="Book Antiqua" w:cs="Arial"/>
        </w:rPr>
        <w:t xml:space="preserve">CI: </w:t>
      </w:r>
      <w:r w:rsidR="00BB7A92" w:rsidRPr="00321163">
        <w:rPr>
          <w:rFonts w:ascii="Book Antiqua" w:hAnsi="Book Antiqua" w:cs="Arial"/>
        </w:rPr>
        <w:t>11-45).</w:t>
      </w:r>
    </w:p>
    <w:p w14:paraId="3C53EA09" w14:textId="66F7EAA0" w:rsidR="007B52B4" w:rsidRPr="00321163" w:rsidRDefault="00947165" w:rsidP="00710FD8">
      <w:pPr>
        <w:widowControl w:val="0"/>
        <w:autoSpaceDE w:val="0"/>
        <w:autoSpaceDN w:val="0"/>
        <w:adjustRightInd w:val="0"/>
        <w:spacing w:line="360" w:lineRule="auto"/>
        <w:ind w:firstLineChars="100" w:firstLine="240"/>
        <w:jc w:val="both"/>
        <w:rPr>
          <w:rFonts w:ascii="Book Antiqua" w:hAnsi="Book Antiqua"/>
        </w:rPr>
      </w:pPr>
      <w:r w:rsidRPr="00321163">
        <w:rPr>
          <w:rFonts w:ascii="Book Antiqua" w:hAnsi="Book Antiqua"/>
        </w:rPr>
        <w:t>The</w:t>
      </w:r>
      <w:r w:rsidR="00A867E7" w:rsidRPr="00321163">
        <w:rPr>
          <w:rFonts w:ascii="Book Antiqua" w:hAnsi="Book Antiqua"/>
        </w:rPr>
        <w:t xml:space="preserve"> me</w:t>
      </w:r>
      <w:r w:rsidR="008D1704" w:rsidRPr="00321163">
        <w:rPr>
          <w:rFonts w:ascii="Book Antiqua" w:hAnsi="Book Antiqua"/>
        </w:rPr>
        <w:t>dian</w:t>
      </w:r>
      <w:r w:rsidR="00A867E7" w:rsidRPr="00321163">
        <w:rPr>
          <w:rFonts w:ascii="Book Antiqua" w:hAnsi="Book Antiqua"/>
        </w:rPr>
        <w:t xml:space="preserve"> CBD </w:t>
      </w:r>
      <w:r w:rsidR="006125AE" w:rsidRPr="00321163">
        <w:rPr>
          <w:rFonts w:ascii="Book Antiqua" w:hAnsi="Book Antiqua"/>
        </w:rPr>
        <w:t xml:space="preserve">diameter </w:t>
      </w:r>
      <w:r w:rsidR="00A867E7" w:rsidRPr="00321163">
        <w:rPr>
          <w:rFonts w:ascii="Book Antiqua" w:hAnsi="Book Antiqua"/>
        </w:rPr>
        <w:t xml:space="preserve">in Group 1 was </w:t>
      </w:r>
      <w:r w:rsidR="006B0239" w:rsidRPr="00321163">
        <w:rPr>
          <w:rFonts w:ascii="Book Antiqua" w:hAnsi="Book Antiqua"/>
        </w:rPr>
        <w:t>9</w:t>
      </w:r>
      <w:r w:rsidR="008D1704" w:rsidRPr="00321163">
        <w:rPr>
          <w:rFonts w:ascii="Book Antiqua" w:hAnsi="Book Antiqua"/>
        </w:rPr>
        <w:t>.0</w:t>
      </w:r>
      <w:r w:rsidR="006B0239" w:rsidRPr="00321163">
        <w:rPr>
          <w:rFonts w:ascii="Book Antiqua" w:hAnsi="Book Antiqua"/>
        </w:rPr>
        <w:t xml:space="preserve"> mm </w:t>
      </w:r>
      <w:r w:rsidR="008D1704" w:rsidRPr="00321163">
        <w:rPr>
          <w:rFonts w:ascii="Book Antiqua" w:hAnsi="Book Antiqua"/>
        </w:rPr>
        <w:t>(7.0,</w:t>
      </w:r>
      <w:r w:rsidR="00710FD8" w:rsidRPr="00321163">
        <w:rPr>
          <w:rFonts w:ascii="Book Antiqua" w:eastAsia="宋体" w:hAnsi="Book Antiqua" w:hint="eastAsia"/>
          <w:lang w:eastAsia="zh-CN"/>
        </w:rPr>
        <w:t xml:space="preserve"> </w:t>
      </w:r>
      <w:r w:rsidR="008D1704" w:rsidRPr="00321163">
        <w:rPr>
          <w:rFonts w:ascii="Book Antiqua" w:hAnsi="Book Antiqua"/>
        </w:rPr>
        <w:t>11.0</w:t>
      </w:r>
      <w:r w:rsidR="00A867E7" w:rsidRPr="00321163">
        <w:rPr>
          <w:rFonts w:ascii="Book Antiqua" w:hAnsi="Book Antiqua"/>
        </w:rPr>
        <w:t xml:space="preserve">) and </w:t>
      </w:r>
      <w:r w:rsidR="008D1704" w:rsidRPr="00321163">
        <w:rPr>
          <w:rFonts w:ascii="Book Antiqua" w:hAnsi="Book Antiqua"/>
        </w:rPr>
        <w:t>8.0</w:t>
      </w:r>
      <w:r w:rsidR="00A867E7" w:rsidRPr="00321163">
        <w:rPr>
          <w:rFonts w:ascii="Book Antiqua" w:hAnsi="Book Antiqua"/>
        </w:rPr>
        <w:t xml:space="preserve"> </w:t>
      </w:r>
      <w:r w:rsidR="006B0239" w:rsidRPr="00321163">
        <w:rPr>
          <w:rFonts w:ascii="Book Antiqua" w:hAnsi="Book Antiqua"/>
        </w:rPr>
        <w:t>mm</w:t>
      </w:r>
      <w:r w:rsidR="00710FD8" w:rsidRPr="00321163">
        <w:rPr>
          <w:rFonts w:ascii="Book Antiqua" w:eastAsia="宋体" w:hAnsi="Book Antiqua" w:hint="eastAsia"/>
          <w:lang w:eastAsia="zh-CN"/>
        </w:rPr>
        <w:t xml:space="preserve"> </w:t>
      </w:r>
      <w:r w:rsidR="008D1704" w:rsidRPr="00321163">
        <w:rPr>
          <w:rFonts w:ascii="Book Antiqua" w:hAnsi="Book Antiqua"/>
        </w:rPr>
        <w:t>(6.1-10.0</w:t>
      </w:r>
      <w:r w:rsidR="00705E85" w:rsidRPr="00321163">
        <w:rPr>
          <w:rFonts w:ascii="Book Antiqua" w:hAnsi="Book Antiqua"/>
        </w:rPr>
        <w:t xml:space="preserve">) </w:t>
      </w:r>
      <w:r w:rsidR="00710FD8" w:rsidRPr="00321163">
        <w:rPr>
          <w:rFonts w:ascii="Book Antiqua" w:hAnsi="Book Antiqua"/>
        </w:rPr>
        <w:t>in Group 2</w:t>
      </w:r>
      <w:r w:rsidR="008D1704" w:rsidRPr="00321163">
        <w:rPr>
          <w:rFonts w:ascii="Book Antiqua" w:hAnsi="Book Antiqua"/>
        </w:rPr>
        <w:t xml:space="preserve"> (Table </w:t>
      </w:r>
      <w:r w:rsidR="00431DF2" w:rsidRPr="00321163">
        <w:rPr>
          <w:rFonts w:ascii="Book Antiqua" w:hAnsi="Book Antiqua"/>
        </w:rPr>
        <w:t>1</w:t>
      </w:r>
      <w:r w:rsidR="008D1704" w:rsidRPr="00321163">
        <w:rPr>
          <w:rFonts w:ascii="Book Antiqua" w:hAnsi="Book Antiqua"/>
        </w:rPr>
        <w:t>)</w:t>
      </w:r>
      <w:r w:rsidR="002B4818" w:rsidRPr="00321163">
        <w:rPr>
          <w:rFonts w:ascii="Book Antiqua" w:hAnsi="Book Antiqua"/>
        </w:rPr>
        <w:t>.</w:t>
      </w:r>
      <w:r w:rsidR="00922966" w:rsidRPr="00321163">
        <w:rPr>
          <w:rFonts w:ascii="Book Antiqua" w:hAnsi="Book Antiqua"/>
        </w:rPr>
        <w:t xml:space="preserve"> </w:t>
      </w:r>
      <w:r w:rsidR="003A3FD6" w:rsidRPr="00321163">
        <w:rPr>
          <w:rFonts w:ascii="Book Antiqua" w:hAnsi="Book Antiqua"/>
        </w:rPr>
        <w:t>A</w:t>
      </w:r>
      <w:r w:rsidR="00D700D2" w:rsidRPr="00321163">
        <w:rPr>
          <w:rFonts w:ascii="Book Antiqua" w:hAnsi="Book Antiqua"/>
        </w:rPr>
        <w:t xml:space="preserve"> CBD greater than 6 millimeters was demonstrated in </w:t>
      </w:r>
      <w:r w:rsidR="00CA2257" w:rsidRPr="00321163">
        <w:rPr>
          <w:rFonts w:ascii="Book Antiqua" w:hAnsi="Book Antiqua"/>
        </w:rPr>
        <w:t>36</w:t>
      </w:r>
      <w:r w:rsidR="00CE3EAB" w:rsidRPr="00321163">
        <w:rPr>
          <w:rFonts w:ascii="Book Antiqua" w:hAnsi="Book Antiqua"/>
        </w:rPr>
        <w:t xml:space="preserve"> </w:t>
      </w:r>
      <w:r w:rsidR="008C0D31" w:rsidRPr="00321163">
        <w:rPr>
          <w:rFonts w:ascii="Book Antiqua" w:hAnsi="Book Antiqua"/>
        </w:rPr>
        <w:t>(81.8%)</w:t>
      </w:r>
      <w:r w:rsidR="001F6B43" w:rsidRPr="00321163">
        <w:rPr>
          <w:rFonts w:ascii="Book Antiqua" w:hAnsi="Book Antiqua"/>
        </w:rPr>
        <w:t xml:space="preserve"> </w:t>
      </w:r>
      <w:r w:rsidR="00CE3EAB" w:rsidRPr="00321163">
        <w:rPr>
          <w:rFonts w:ascii="Book Antiqua" w:hAnsi="Book Antiqua"/>
        </w:rPr>
        <w:t xml:space="preserve">patients, </w:t>
      </w:r>
      <w:r w:rsidR="00CA2257" w:rsidRPr="00321163">
        <w:rPr>
          <w:rFonts w:ascii="Book Antiqua" w:hAnsi="Book Antiqua"/>
        </w:rPr>
        <w:t>30</w:t>
      </w:r>
      <w:r w:rsidR="00CE3EAB" w:rsidRPr="00321163">
        <w:rPr>
          <w:rFonts w:ascii="Book Antiqua" w:hAnsi="Book Antiqua"/>
        </w:rPr>
        <w:t xml:space="preserve"> in Group 1 and </w:t>
      </w:r>
      <w:r w:rsidR="00CA2257" w:rsidRPr="00321163">
        <w:rPr>
          <w:rFonts w:ascii="Book Antiqua" w:hAnsi="Book Antiqua"/>
        </w:rPr>
        <w:t>6</w:t>
      </w:r>
      <w:r w:rsidR="00CE3EAB" w:rsidRPr="00321163">
        <w:rPr>
          <w:rFonts w:ascii="Book Antiqua" w:hAnsi="Book Antiqua"/>
        </w:rPr>
        <w:t xml:space="preserve"> in Group 2 (</w:t>
      </w:r>
      <w:r w:rsidR="00710FD8" w:rsidRPr="00321163">
        <w:rPr>
          <w:rFonts w:ascii="Book Antiqua" w:hAnsi="Book Antiqua"/>
          <w:i/>
        </w:rPr>
        <w:t>P</w:t>
      </w:r>
      <w:r w:rsidR="00710FD8" w:rsidRPr="00321163">
        <w:rPr>
          <w:rFonts w:ascii="Book Antiqua" w:eastAsia="宋体" w:hAnsi="Book Antiqua" w:hint="eastAsia"/>
          <w:lang w:eastAsia="zh-CN"/>
        </w:rPr>
        <w:t xml:space="preserve"> </w:t>
      </w:r>
      <w:r w:rsidR="00CE3EAB" w:rsidRPr="00321163">
        <w:rPr>
          <w:rFonts w:ascii="Book Antiqua" w:hAnsi="Book Antiqua"/>
        </w:rPr>
        <w:t>=</w:t>
      </w:r>
      <w:r w:rsidR="00710FD8" w:rsidRPr="00321163">
        <w:rPr>
          <w:rFonts w:ascii="Book Antiqua" w:eastAsia="宋体" w:hAnsi="Book Antiqua" w:hint="eastAsia"/>
          <w:lang w:eastAsia="zh-CN"/>
        </w:rPr>
        <w:t xml:space="preserve"> </w:t>
      </w:r>
      <w:r w:rsidR="00CA2257" w:rsidRPr="00321163">
        <w:rPr>
          <w:rFonts w:ascii="Book Antiqua" w:hAnsi="Book Antiqua"/>
        </w:rPr>
        <w:t>NS</w:t>
      </w:r>
      <w:r w:rsidR="00CE3EAB" w:rsidRPr="00321163">
        <w:rPr>
          <w:rFonts w:ascii="Book Antiqua" w:hAnsi="Book Antiqua"/>
        </w:rPr>
        <w:t>).</w:t>
      </w:r>
      <w:r w:rsidR="00922966" w:rsidRPr="00321163">
        <w:rPr>
          <w:rFonts w:ascii="Book Antiqua" w:hAnsi="Book Antiqua"/>
        </w:rPr>
        <w:t xml:space="preserve"> </w:t>
      </w:r>
      <w:r w:rsidR="001745E4" w:rsidRPr="00321163">
        <w:rPr>
          <w:rFonts w:ascii="Book Antiqua" w:hAnsi="Book Antiqua"/>
        </w:rPr>
        <w:t xml:space="preserve">The combination </w:t>
      </w:r>
      <w:r w:rsidR="00874976" w:rsidRPr="00321163">
        <w:rPr>
          <w:rFonts w:ascii="Book Antiqua" w:hAnsi="Book Antiqua"/>
        </w:rPr>
        <w:t xml:space="preserve">of </w:t>
      </w:r>
      <w:r w:rsidR="005E2FEC" w:rsidRPr="00321163">
        <w:rPr>
          <w:rFonts w:ascii="Book Antiqua" w:hAnsi="Book Antiqua"/>
        </w:rPr>
        <w:t xml:space="preserve">ultrasound findings of </w:t>
      </w:r>
      <w:r w:rsidR="00874976" w:rsidRPr="00321163">
        <w:rPr>
          <w:rFonts w:ascii="Book Antiqua" w:hAnsi="Book Antiqua"/>
        </w:rPr>
        <w:t xml:space="preserve">CBDS and </w:t>
      </w:r>
      <w:r w:rsidR="005E2FEC" w:rsidRPr="00321163">
        <w:rPr>
          <w:rFonts w:ascii="Book Antiqua" w:hAnsi="Book Antiqua"/>
        </w:rPr>
        <w:t xml:space="preserve">a </w:t>
      </w:r>
      <w:r w:rsidR="00874976" w:rsidRPr="00321163">
        <w:rPr>
          <w:rFonts w:ascii="Book Antiqua" w:hAnsi="Book Antiqua"/>
        </w:rPr>
        <w:t>dilated bile duct</w:t>
      </w:r>
      <w:r w:rsidR="005E2FEC" w:rsidRPr="00321163">
        <w:rPr>
          <w:rFonts w:ascii="Book Antiqua" w:hAnsi="Book Antiqua"/>
        </w:rPr>
        <w:t xml:space="preserve"> &gt;</w:t>
      </w:r>
      <w:r w:rsidR="00710FD8" w:rsidRPr="00321163">
        <w:rPr>
          <w:rFonts w:ascii="Book Antiqua" w:eastAsia="宋体" w:hAnsi="Book Antiqua" w:hint="eastAsia"/>
          <w:lang w:eastAsia="zh-CN"/>
        </w:rPr>
        <w:t xml:space="preserve"> </w:t>
      </w:r>
      <w:r w:rsidR="005E2FEC" w:rsidRPr="00321163">
        <w:rPr>
          <w:rFonts w:ascii="Book Antiqua" w:hAnsi="Book Antiqua"/>
        </w:rPr>
        <w:t>6 mm</w:t>
      </w:r>
      <w:r w:rsidR="00874976" w:rsidRPr="00321163">
        <w:rPr>
          <w:rFonts w:ascii="Book Antiqua" w:hAnsi="Book Antiqua"/>
        </w:rPr>
        <w:t xml:space="preserve"> </w:t>
      </w:r>
      <w:r w:rsidR="00F66AE1" w:rsidRPr="00321163">
        <w:rPr>
          <w:rFonts w:ascii="Book Antiqua" w:hAnsi="Book Antiqua"/>
        </w:rPr>
        <w:t xml:space="preserve">was seen in 15 </w:t>
      </w:r>
      <w:r w:rsidR="00705E85" w:rsidRPr="00321163">
        <w:rPr>
          <w:rFonts w:ascii="Book Antiqua" w:hAnsi="Book Antiqua"/>
        </w:rPr>
        <w:t>patients</w:t>
      </w:r>
      <w:r w:rsidR="003970F6" w:rsidRPr="00321163">
        <w:rPr>
          <w:rFonts w:ascii="Book Antiqua" w:hAnsi="Book Antiqua"/>
        </w:rPr>
        <w:t xml:space="preserve"> </w:t>
      </w:r>
      <w:r w:rsidR="00F66AE1" w:rsidRPr="00321163">
        <w:rPr>
          <w:rFonts w:ascii="Book Antiqua" w:hAnsi="Book Antiqua"/>
        </w:rPr>
        <w:t>(34.1%).</w:t>
      </w:r>
      <w:r w:rsidR="00922966" w:rsidRPr="00321163">
        <w:rPr>
          <w:rFonts w:ascii="Book Antiqua" w:hAnsi="Book Antiqua"/>
        </w:rPr>
        <w:t xml:space="preserve"> </w:t>
      </w:r>
      <w:r w:rsidR="00710FD8" w:rsidRPr="00321163">
        <w:rPr>
          <w:rFonts w:ascii="Book Antiqua" w:eastAsia="宋体" w:hAnsi="Book Antiqua" w:hint="eastAsia"/>
          <w:lang w:eastAsia="zh-CN"/>
        </w:rPr>
        <w:t>Twenty-two</w:t>
      </w:r>
      <w:r w:rsidR="00F66AE1" w:rsidRPr="00321163">
        <w:rPr>
          <w:rFonts w:ascii="Book Antiqua" w:hAnsi="Book Antiqua"/>
        </w:rPr>
        <w:t xml:space="preserve"> patients had </w:t>
      </w:r>
      <w:r w:rsidR="00874976" w:rsidRPr="00321163">
        <w:rPr>
          <w:rFonts w:ascii="Book Antiqua" w:hAnsi="Book Antiqua"/>
        </w:rPr>
        <w:t>one or the other</w:t>
      </w:r>
      <w:r w:rsidR="00F66AE1" w:rsidRPr="00321163">
        <w:rPr>
          <w:rFonts w:ascii="Book Antiqua" w:hAnsi="Book Antiqua"/>
        </w:rPr>
        <w:t xml:space="preserve">, 16 </w:t>
      </w:r>
      <w:r w:rsidR="00874976" w:rsidRPr="00321163">
        <w:rPr>
          <w:rFonts w:ascii="Book Antiqua" w:hAnsi="Book Antiqua"/>
        </w:rPr>
        <w:t>in Group 1</w:t>
      </w:r>
      <w:r w:rsidR="00F66AE1" w:rsidRPr="00321163">
        <w:rPr>
          <w:rFonts w:ascii="Book Antiqua" w:hAnsi="Book Antiqua"/>
        </w:rPr>
        <w:t xml:space="preserve"> and 6 </w:t>
      </w:r>
      <w:r w:rsidR="00874976" w:rsidRPr="00321163">
        <w:rPr>
          <w:rFonts w:ascii="Book Antiqua" w:hAnsi="Book Antiqua"/>
        </w:rPr>
        <w:t>in Group 2</w:t>
      </w:r>
      <w:r w:rsidR="00F66AE1" w:rsidRPr="00321163">
        <w:rPr>
          <w:rFonts w:ascii="Book Antiqua" w:hAnsi="Book Antiqua"/>
        </w:rPr>
        <w:t>.</w:t>
      </w:r>
      <w:r w:rsidR="00922966" w:rsidRPr="00321163">
        <w:rPr>
          <w:rFonts w:ascii="Book Antiqua" w:hAnsi="Book Antiqua"/>
        </w:rPr>
        <w:t xml:space="preserve"> </w:t>
      </w:r>
      <w:r w:rsidR="005E2FEC" w:rsidRPr="00321163">
        <w:rPr>
          <w:rFonts w:ascii="Book Antiqua" w:hAnsi="Book Antiqua"/>
        </w:rPr>
        <w:t xml:space="preserve">Seven </w:t>
      </w:r>
      <w:r w:rsidR="00F66AE1" w:rsidRPr="00321163">
        <w:rPr>
          <w:rFonts w:ascii="Book Antiqua" w:hAnsi="Book Antiqua"/>
        </w:rPr>
        <w:t xml:space="preserve">patients </w:t>
      </w:r>
      <w:r w:rsidR="00BB7A92" w:rsidRPr="00321163">
        <w:rPr>
          <w:rFonts w:ascii="Book Antiqua" w:hAnsi="Book Antiqua"/>
        </w:rPr>
        <w:t xml:space="preserve">had </w:t>
      </w:r>
      <w:r w:rsidR="003970F6" w:rsidRPr="00321163">
        <w:rPr>
          <w:rFonts w:ascii="Book Antiqua" w:hAnsi="Book Antiqua"/>
        </w:rPr>
        <w:t>a</w:t>
      </w:r>
      <w:r w:rsidR="00BB7A92" w:rsidRPr="00321163">
        <w:rPr>
          <w:rFonts w:ascii="Book Antiqua" w:hAnsi="Book Antiqua"/>
        </w:rPr>
        <w:t xml:space="preserve"> CBD diameter of less than </w:t>
      </w:r>
      <w:r w:rsidR="00F66AE1" w:rsidRPr="00321163">
        <w:rPr>
          <w:rFonts w:ascii="Book Antiqua" w:hAnsi="Book Antiqua"/>
        </w:rPr>
        <w:t xml:space="preserve">6 mm or CBDS by ultrasound, </w:t>
      </w:r>
      <w:r w:rsidR="003A3FD6" w:rsidRPr="00321163">
        <w:rPr>
          <w:rFonts w:ascii="Book Antiqua" w:hAnsi="Book Antiqua"/>
        </w:rPr>
        <w:t xml:space="preserve">and </w:t>
      </w:r>
      <w:r w:rsidR="008E1AA9" w:rsidRPr="00321163">
        <w:rPr>
          <w:rFonts w:ascii="Book Antiqua" w:hAnsi="Book Antiqua"/>
        </w:rPr>
        <w:t>the majority</w:t>
      </w:r>
      <w:r w:rsidR="00F66AE1" w:rsidRPr="00321163">
        <w:rPr>
          <w:rFonts w:ascii="Book Antiqua" w:hAnsi="Book Antiqua"/>
        </w:rPr>
        <w:t xml:space="preserve"> (84%) </w:t>
      </w:r>
      <w:proofErr w:type="gramStart"/>
      <w:r w:rsidR="00F66AE1" w:rsidRPr="00321163">
        <w:rPr>
          <w:rFonts w:ascii="Book Antiqua" w:hAnsi="Book Antiqua"/>
        </w:rPr>
        <w:t>were</w:t>
      </w:r>
      <w:proofErr w:type="gramEnd"/>
      <w:r w:rsidR="00F66AE1" w:rsidRPr="00321163">
        <w:rPr>
          <w:rFonts w:ascii="Book Antiqua" w:hAnsi="Book Antiqua"/>
        </w:rPr>
        <w:t xml:space="preserve"> in Group 1</w:t>
      </w:r>
      <w:r w:rsidR="003A3FD6" w:rsidRPr="00321163">
        <w:rPr>
          <w:rFonts w:ascii="Book Antiqua" w:hAnsi="Book Antiqua"/>
        </w:rPr>
        <w:t>.</w:t>
      </w:r>
      <w:r w:rsidR="00F7435D" w:rsidRPr="00321163">
        <w:rPr>
          <w:rFonts w:ascii="Book Antiqua" w:hAnsi="Book Antiqua"/>
        </w:rPr>
        <w:t xml:space="preserve"> Conversely, </w:t>
      </w:r>
      <w:r w:rsidR="008D1704" w:rsidRPr="00321163">
        <w:rPr>
          <w:rFonts w:ascii="Book Antiqua" w:hAnsi="Book Antiqua"/>
        </w:rPr>
        <w:t xml:space="preserve">all </w:t>
      </w:r>
      <w:r w:rsidR="00F7435D" w:rsidRPr="00321163">
        <w:rPr>
          <w:rFonts w:ascii="Book Antiqua" w:hAnsi="Book Antiqua"/>
        </w:rPr>
        <w:t>6 patients in Group 2 had a bile duct diameter &gt;</w:t>
      </w:r>
      <w:r w:rsidR="00710FD8" w:rsidRPr="00321163">
        <w:rPr>
          <w:rFonts w:ascii="Book Antiqua" w:eastAsia="宋体" w:hAnsi="Book Antiqua" w:hint="eastAsia"/>
          <w:lang w:eastAsia="zh-CN"/>
        </w:rPr>
        <w:t xml:space="preserve"> </w:t>
      </w:r>
      <w:r w:rsidR="00F7435D" w:rsidRPr="00321163">
        <w:rPr>
          <w:rFonts w:ascii="Book Antiqua" w:hAnsi="Book Antiqua"/>
        </w:rPr>
        <w:t>6 mm.</w:t>
      </w:r>
      <w:r w:rsidR="00922966" w:rsidRPr="00321163">
        <w:rPr>
          <w:rFonts w:ascii="Book Antiqua" w:hAnsi="Book Antiqua"/>
        </w:rPr>
        <w:t xml:space="preserve"> </w:t>
      </w:r>
      <w:r w:rsidR="007B52B4" w:rsidRPr="00321163">
        <w:rPr>
          <w:rFonts w:ascii="Book Antiqua" w:hAnsi="Book Antiqua"/>
        </w:rPr>
        <w:t>Although it would be expected that in the presence of a larger bile duct, a greater chance for CBDS would be found but this was not the case emphasizing the importance of using multiple parameters in making the clinical assessment.</w:t>
      </w:r>
    </w:p>
    <w:p w14:paraId="6A43F678" w14:textId="5B6B31C5" w:rsidR="00A82734" w:rsidRPr="00321163" w:rsidRDefault="00125B8E" w:rsidP="00710FD8">
      <w:pPr>
        <w:spacing w:line="360" w:lineRule="auto"/>
        <w:ind w:firstLineChars="100" w:firstLine="240"/>
        <w:jc w:val="both"/>
        <w:rPr>
          <w:rFonts w:ascii="Book Antiqua" w:hAnsi="Book Antiqua" w:cs="Arial"/>
        </w:rPr>
      </w:pPr>
      <w:r w:rsidRPr="00321163">
        <w:rPr>
          <w:rFonts w:ascii="Book Antiqua" w:hAnsi="Book Antiqua" w:cs="Arial"/>
        </w:rPr>
        <w:t>Serum bilirubin was measured in all patients</w:t>
      </w:r>
      <w:r w:rsidR="00874976" w:rsidRPr="00321163">
        <w:rPr>
          <w:rFonts w:ascii="Book Antiqua" w:hAnsi="Book Antiqua" w:cs="Arial"/>
        </w:rPr>
        <w:t xml:space="preserve"> (Table </w:t>
      </w:r>
      <w:r w:rsidR="00980152" w:rsidRPr="00321163">
        <w:rPr>
          <w:rFonts w:ascii="Book Antiqua" w:eastAsia="宋体" w:hAnsi="Book Antiqua" w:cs="Arial" w:hint="eastAsia"/>
          <w:lang w:eastAsia="zh-CN"/>
        </w:rPr>
        <w:t>2</w:t>
      </w:r>
      <w:r w:rsidR="008D1704" w:rsidRPr="00321163">
        <w:rPr>
          <w:rFonts w:ascii="Book Antiqua" w:hAnsi="Book Antiqua" w:cs="Arial"/>
        </w:rPr>
        <w:t xml:space="preserve"> and Figure 1</w:t>
      </w:r>
      <w:r w:rsidR="008C0D31" w:rsidRPr="00321163">
        <w:rPr>
          <w:rFonts w:ascii="Book Antiqua" w:hAnsi="Book Antiqua" w:cs="Arial"/>
        </w:rPr>
        <w:t>).</w:t>
      </w:r>
      <w:r w:rsidR="00922966" w:rsidRPr="00321163">
        <w:rPr>
          <w:rFonts w:ascii="Book Antiqua" w:hAnsi="Book Antiqua" w:cs="Arial"/>
        </w:rPr>
        <w:t xml:space="preserve"> </w:t>
      </w:r>
      <w:r w:rsidR="00874976" w:rsidRPr="00321163">
        <w:rPr>
          <w:rFonts w:ascii="Book Antiqua" w:hAnsi="Book Antiqua" w:cs="Arial"/>
        </w:rPr>
        <w:t xml:space="preserve">There were significant differences between Group 1 and 2 for </w:t>
      </w:r>
      <w:r w:rsidR="007E5B21" w:rsidRPr="00321163">
        <w:rPr>
          <w:rFonts w:ascii="Book Antiqua" w:hAnsi="Book Antiqua" w:cs="Arial"/>
        </w:rPr>
        <w:t xml:space="preserve">mean values of </w:t>
      </w:r>
      <w:r w:rsidR="00874976" w:rsidRPr="00321163">
        <w:rPr>
          <w:rFonts w:ascii="Book Antiqua" w:hAnsi="Book Antiqua" w:cs="Arial"/>
        </w:rPr>
        <w:t xml:space="preserve">total bilirubin </w:t>
      </w:r>
      <w:r w:rsidR="007E5B21" w:rsidRPr="00321163">
        <w:rPr>
          <w:rFonts w:ascii="Book Antiqua" w:hAnsi="Book Antiqua" w:cs="Arial"/>
        </w:rPr>
        <w:t>(</w:t>
      </w:r>
      <w:r w:rsidR="00C34348" w:rsidRPr="00321163">
        <w:rPr>
          <w:rFonts w:ascii="Book Antiqua" w:hAnsi="Book Antiqua" w:cs="Arial"/>
          <w:i/>
        </w:rPr>
        <w:t>P</w:t>
      </w:r>
      <w:r w:rsidR="00710FD8" w:rsidRPr="00321163">
        <w:rPr>
          <w:rFonts w:ascii="Book Antiqua" w:eastAsia="宋体" w:hAnsi="Book Antiqua" w:cs="Arial" w:hint="eastAsia"/>
          <w:lang w:eastAsia="zh-CN"/>
        </w:rPr>
        <w:t xml:space="preserve"> </w:t>
      </w:r>
      <w:r w:rsidR="007E5B21" w:rsidRPr="00321163">
        <w:rPr>
          <w:rFonts w:ascii="Book Antiqua" w:hAnsi="Book Antiqua" w:cs="Arial"/>
        </w:rPr>
        <w:t>=</w:t>
      </w:r>
      <w:r w:rsidR="00710FD8" w:rsidRPr="00321163">
        <w:rPr>
          <w:rFonts w:ascii="Book Antiqua" w:eastAsia="宋体" w:hAnsi="Book Antiqua" w:cs="Arial" w:hint="eastAsia"/>
          <w:lang w:eastAsia="zh-CN"/>
        </w:rPr>
        <w:t xml:space="preserve"> 0</w:t>
      </w:r>
      <w:r w:rsidR="007E5B21" w:rsidRPr="00321163">
        <w:rPr>
          <w:rFonts w:ascii="Book Antiqua" w:hAnsi="Book Antiqua" w:cs="Arial"/>
        </w:rPr>
        <w:t xml:space="preserve">.004) </w:t>
      </w:r>
      <w:r w:rsidR="00874976" w:rsidRPr="00321163">
        <w:rPr>
          <w:rFonts w:ascii="Book Antiqua" w:hAnsi="Book Antiqua" w:cs="Arial"/>
        </w:rPr>
        <w:t xml:space="preserve">and conjugated bilirubin </w:t>
      </w:r>
      <w:r w:rsidR="00710FD8" w:rsidRPr="00321163">
        <w:rPr>
          <w:rFonts w:ascii="Book Antiqua" w:hAnsi="Book Antiqua" w:cs="Arial"/>
          <w:i/>
        </w:rPr>
        <w:t>P</w:t>
      </w:r>
      <w:r w:rsidR="00710FD8" w:rsidRPr="00321163">
        <w:rPr>
          <w:rFonts w:ascii="Book Antiqua" w:eastAsia="宋体" w:hAnsi="Book Antiqua" w:cs="Arial" w:hint="eastAsia"/>
          <w:lang w:eastAsia="zh-CN"/>
        </w:rPr>
        <w:t xml:space="preserve"> </w:t>
      </w:r>
      <w:r w:rsidR="007E5B21" w:rsidRPr="00321163">
        <w:rPr>
          <w:rFonts w:ascii="Book Antiqua" w:hAnsi="Book Antiqua" w:cs="Arial"/>
        </w:rPr>
        <w:t>=</w:t>
      </w:r>
      <w:r w:rsidR="00710FD8" w:rsidRPr="00321163">
        <w:rPr>
          <w:rFonts w:ascii="Book Antiqua" w:eastAsia="宋体" w:hAnsi="Book Antiqua" w:cs="Arial" w:hint="eastAsia"/>
          <w:lang w:eastAsia="zh-CN"/>
        </w:rPr>
        <w:t xml:space="preserve"> 0</w:t>
      </w:r>
      <w:r w:rsidR="00874976" w:rsidRPr="00321163">
        <w:rPr>
          <w:rFonts w:ascii="Book Antiqua" w:hAnsi="Book Antiqua" w:cs="Arial"/>
        </w:rPr>
        <w:t>.0</w:t>
      </w:r>
      <w:r w:rsidR="009176A0" w:rsidRPr="00321163">
        <w:rPr>
          <w:rFonts w:ascii="Book Antiqua" w:hAnsi="Book Antiqua" w:cs="Arial"/>
        </w:rPr>
        <w:t>2 (</w:t>
      </w:r>
      <w:r w:rsidR="00710FD8" w:rsidRPr="00321163">
        <w:rPr>
          <w:rFonts w:ascii="Book Antiqua" w:eastAsia="宋体" w:hAnsi="Book Antiqua" w:cs="Arial" w:hint="eastAsia"/>
          <w:lang w:eastAsia="zh-CN"/>
        </w:rPr>
        <w:t>0</w:t>
      </w:r>
      <w:r w:rsidR="009176A0" w:rsidRPr="00321163">
        <w:rPr>
          <w:rFonts w:ascii="Book Antiqua" w:hAnsi="Book Antiqua" w:cs="Arial"/>
        </w:rPr>
        <w:t xml:space="preserve">.004 including patients </w:t>
      </w:r>
      <w:r w:rsidR="009176A0" w:rsidRPr="00321163">
        <w:rPr>
          <w:rFonts w:ascii="Book Antiqua" w:hAnsi="Book Antiqua" w:cs="Arial"/>
        </w:rPr>
        <w:lastRenderedPageBreak/>
        <w:t xml:space="preserve">with hemolytic disease). </w:t>
      </w:r>
      <w:r w:rsidR="00874976" w:rsidRPr="00321163">
        <w:rPr>
          <w:rFonts w:ascii="Book Antiqua" w:hAnsi="Book Antiqua" w:cs="Arial"/>
        </w:rPr>
        <w:t xml:space="preserve">In Group 1, eight </w:t>
      </w:r>
      <w:r w:rsidR="00F3465F" w:rsidRPr="00321163">
        <w:rPr>
          <w:rFonts w:ascii="Book Antiqua" w:hAnsi="Book Antiqua" w:cs="Arial"/>
        </w:rPr>
        <w:t>(</w:t>
      </w:r>
      <w:r w:rsidR="00C34348" w:rsidRPr="00321163">
        <w:rPr>
          <w:rFonts w:ascii="Book Antiqua" w:hAnsi="Book Antiqua" w:cs="Arial"/>
        </w:rPr>
        <w:t>22</w:t>
      </w:r>
      <w:r w:rsidR="00F3465F" w:rsidRPr="00321163">
        <w:rPr>
          <w:rFonts w:ascii="Book Antiqua" w:hAnsi="Book Antiqua" w:cs="Arial"/>
        </w:rPr>
        <w:t xml:space="preserve">%) </w:t>
      </w:r>
      <w:r w:rsidR="00874976" w:rsidRPr="00321163">
        <w:rPr>
          <w:rFonts w:ascii="Book Antiqua" w:hAnsi="Book Antiqua" w:cs="Arial"/>
        </w:rPr>
        <w:t>patients had a total bilirubin greater than 4 mg/</w:t>
      </w:r>
      <w:proofErr w:type="spellStart"/>
      <w:r w:rsidR="00874976" w:rsidRPr="00321163">
        <w:rPr>
          <w:rFonts w:ascii="Book Antiqua" w:hAnsi="Book Antiqua" w:cs="Arial"/>
        </w:rPr>
        <w:t>dL</w:t>
      </w:r>
      <w:proofErr w:type="spellEnd"/>
      <w:r w:rsidR="00874976" w:rsidRPr="00321163">
        <w:rPr>
          <w:rFonts w:ascii="Book Antiqua" w:hAnsi="Book Antiqua" w:cs="Arial"/>
        </w:rPr>
        <w:t>, while none</w:t>
      </w:r>
      <w:r w:rsidR="00F3465F" w:rsidRPr="00321163">
        <w:rPr>
          <w:rFonts w:ascii="Book Antiqua" w:hAnsi="Book Antiqua" w:cs="Arial"/>
        </w:rPr>
        <w:t xml:space="preserve"> did </w:t>
      </w:r>
      <w:r w:rsidR="00874976" w:rsidRPr="00321163">
        <w:rPr>
          <w:rFonts w:ascii="Book Antiqua" w:hAnsi="Book Antiqua" w:cs="Arial"/>
        </w:rPr>
        <w:t>in Group 2</w:t>
      </w:r>
      <w:r w:rsidR="008D1704" w:rsidRPr="00321163">
        <w:rPr>
          <w:rFonts w:ascii="Book Antiqua" w:hAnsi="Book Antiqua" w:cs="Arial"/>
        </w:rPr>
        <w:t xml:space="preserve"> (</w:t>
      </w:r>
      <w:r w:rsidR="00710FD8" w:rsidRPr="00321163">
        <w:rPr>
          <w:rFonts w:ascii="Book Antiqua" w:hAnsi="Book Antiqua" w:cs="Arial"/>
          <w:i/>
        </w:rPr>
        <w:t>P</w:t>
      </w:r>
      <w:r w:rsidR="00710FD8" w:rsidRPr="00321163">
        <w:rPr>
          <w:rFonts w:ascii="Book Antiqua" w:hAnsi="Book Antiqua" w:cs="Arial"/>
        </w:rPr>
        <w:t xml:space="preserve"> </w:t>
      </w:r>
      <w:r w:rsidR="008D1704" w:rsidRPr="00321163">
        <w:rPr>
          <w:rFonts w:ascii="Book Antiqua" w:hAnsi="Book Antiqua" w:cs="Arial"/>
        </w:rPr>
        <w:t>=</w:t>
      </w:r>
      <w:r w:rsidR="00710FD8" w:rsidRPr="00321163">
        <w:rPr>
          <w:rFonts w:ascii="Book Antiqua" w:eastAsia="宋体" w:hAnsi="Book Antiqua" w:cs="Arial" w:hint="eastAsia"/>
          <w:lang w:eastAsia="zh-CN"/>
        </w:rPr>
        <w:t xml:space="preserve"> 0</w:t>
      </w:r>
      <w:r w:rsidR="008D1704" w:rsidRPr="00321163">
        <w:rPr>
          <w:rFonts w:ascii="Book Antiqua" w:hAnsi="Book Antiqua" w:cs="Arial"/>
        </w:rPr>
        <w:t>.0001). Twenty-one</w:t>
      </w:r>
      <w:r w:rsidR="007C3307" w:rsidRPr="00321163">
        <w:rPr>
          <w:rFonts w:ascii="Book Antiqua" w:hAnsi="Book Antiqua" w:cs="Arial"/>
        </w:rPr>
        <w:t xml:space="preserve"> </w:t>
      </w:r>
      <w:r w:rsidR="00F3465F" w:rsidRPr="00321163">
        <w:rPr>
          <w:rFonts w:ascii="Book Antiqua" w:hAnsi="Book Antiqua" w:cs="Arial"/>
        </w:rPr>
        <w:t>(</w:t>
      </w:r>
      <w:r w:rsidR="00C34348" w:rsidRPr="00321163">
        <w:rPr>
          <w:rFonts w:ascii="Book Antiqua" w:hAnsi="Book Antiqua" w:cs="Arial"/>
        </w:rPr>
        <w:t>58</w:t>
      </w:r>
      <w:r w:rsidR="00F3465F" w:rsidRPr="00321163">
        <w:rPr>
          <w:rFonts w:ascii="Book Antiqua" w:hAnsi="Book Antiqua" w:cs="Arial"/>
        </w:rPr>
        <w:t xml:space="preserve">%) </w:t>
      </w:r>
      <w:r w:rsidR="007C3307" w:rsidRPr="00321163">
        <w:rPr>
          <w:rFonts w:ascii="Book Antiqua" w:hAnsi="Book Antiqua" w:cs="Arial"/>
        </w:rPr>
        <w:t>patients in Group 1 and 1 patient in Group 2 had total bilirubin &gt;</w:t>
      </w:r>
      <w:r w:rsidR="00710FD8" w:rsidRPr="00321163">
        <w:rPr>
          <w:rFonts w:ascii="Book Antiqua" w:eastAsia="宋体" w:hAnsi="Book Antiqua" w:cs="Arial" w:hint="eastAsia"/>
          <w:lang w:eastAsia="zh-CN"/>
        </w:rPr>
        <w:t xml:space="preserve"> </w:t>
      </w:r>
      <w:r w:rsidR="007C3307" w:rsidRPr="00321163">
        <w:rPr>
          <w:rFonts w:ascii="Book Antiqua" w:hAnsi="Book Antiqua" w:cs="Arial"/>
        </w:rPr>
        <w:t>1.8 mg/</w:t>
      </w:r>
      <w:proofErr w:type="spellStart"/>
      <w:r w:rsidR="007C3307" w:rsidRPr="00321163">
        <w:rPr>
          <w:rFonts w:ascii="Book Antiqua" w:hAnsi="Book Antiqua" w:cs="Arial"/>
        </w:rPr>
        <w:t>dL</w:t>
      </w:r>
      <w:proofErr w:type="spellEnd"/>
      <w:r w:rsidR="00C34348" w:rsidRPr="00321163">
        <w:rPr>
          <w:rFonts w:ascii="Book Antiqua" w:hAnsi="Book Antiqua" w:cs="Arial"/>
        </w:rPr>
        <w:t xml:space="preserve"> (</w:t>
      </w:r>
      <w:r w:rsidR="00C34348" w:rsidRPr="00321163">
        <w:rPr>
          <w:rFonts w:ascii="Book Antiqua" w:hAnsi="Book Antiqua" w:cs="Arial"/>
          <w:i/>
        </w:rPr>
        <w:t>P</w:t>
      </w:r>
      <w:r w:rsidR="00710FD8" w:rsidRPr="00321163">
        <w:rPr>
          <w:rFonts w:ascii="Book Antiqua" w:eastAsia="宋体" w:hAnsi="Book Antiqua" w:cs="Arial" w:hint="eastAsia"/>
          <w:i/>
          <w:lang w:eastAsia="zh-CN"/>
        </w:rPr>
        <w:t xml:space="preserve"> </w:t>
      </w:r>
      <w:r w:rsidR="00C34348" w:rsidRPr="00321163">
        <w:rPr>
          <w:rFonts w:ascii="Book Antiqua" w:hAnsi="Book Antiqua" w:cs="Arial"/>
        </w:rPr>
        <w:t>=</w:t>
      </w:r>
      <w:r w:rsidR="00710FD8" w:rsidRPr="00321163">
        <w:rPr>
          <w:rFonts w:ascii="Book Antiqua" w:eastAsia="宋体" w:hAnsi="Book Antiqua" w:cs="Arial" w:hint="eastAsia"/>
          <w:lang w:eastAsia="zh-CN"/>
        </w:rPr>
        <w:t xml:space="preserve"> 0</w:t>
      </w:r>
      <w:r w:rsidR="00C34348" w:rsidRPr="00321163">
        <w:rPr>
          <w:rFonts w:ascii="Book Antiqua" w:hAnsi="Book Antiqua" w:cs="Arial"/>
        </w:rPr>
        <w:t>.00</w:t>
      </w:r>
      <w:r w:rsidR="008D1704" w:rsidRPr="00321163">
        <w:rPr>
          <w:rFonts w:ascii="Book Antiqua" w:hAnsi="Book Antiqua" w:cs="Arial"/>
        </w:rPr>
        <w:t>0</w:t>
      </w:r>
      <w:r w:rsidR="00C34348" w:rsidRPr="00321163">
        <w:rPr>
          <w:rFonts w:ascii="Book Antiqua" w:hAnsi="Book Antiqua" w:cs="Arial"/>
        </w:rPr>
        <w:t>1).</w:t>
      </w:r>
      <w:r w:rsidR="00922966" w:rsidRPr="00321163">
        <w:rPr>
          <w:rFonts w:ascii="Book Antiqua" w:hAnsi="Book Antiqua" w:cs="Arial"/>
        </w:rPr>
        <w:t xml:space="preserve"> </w:t>
      </w:r>
      <w:r w:rsidR="00040C0C" w:rsidRPr="00321163">
        <w:rPr>
          <w:rFonts w:ascii="Book Antiqua" w:hAnsi="Book Antiqua" w:cs="Arial"/>
        </w:rPr>
        <w:t>In comparison, 25 patients in Group 1 had a conjugated bilirubin ≥ 0.5 mg/</w:t>
      </w:r>
      <w:proofErr w:type="spellStart"/>
      <w:r w:rsidR="00040C0C" w:rsidRPr="00321163">
        <w:rPr>
          <w:rFonts w:ascii="Book Antiqua" w:hAnsi="Book Antiqua" w:cs="Arial"/>
        </w:rPr>
        <w:t>dL</w:t>
      </w:r>
      <w:proofErr w:type="spellEnd"/>
      <w:r w:rsidR="00040C0C" w:rsidRPr="00321163">
        <w:rPr>
          <w:rFonts w:ascii="Book Antiqua" w:hAnsi="Book Antiqua" w:cs="Arial"/>
        </w:rPr>
        <w:t>, and none in Group 2</w:t>
      </w:r>
      <w:r w:rsidR="00C34348" w:rsidRPr="00321163">
        <w:rPr>
          <w:rFonts w:ascii="Book Antiqua" w:hAnsi="Book Antiqua" w:cs="Arial"/>
        </w:rPr>
        <w:t xml:space="preserve"> (</w:t>
      </w:r>
      <w:r w:rsidR="00C34348" w:rsidRPr="00321163">
        <w:rPr>
          <w:rFonts w:ascii="Book Antiqua" w:hAnsi="Book Antiqua" w:cs="Arial"/>
          <w:i/>
        </w:rPr>
        <w:t>P</w:t>
      </w:r>
      <w:r w:rsidR="00710FD8" w:rsidRPr="00321163">
        <w:rPr>
          <w:rFonts w:ascii="Book Antiqua" w:eastAsia="宋体" w:hAnsi="Book Antiqua" w:cs="Arial" w:hint="eastAsia"/>
          <w:lang w:eastAsia="zh-CN"/>
        </w:rPr>
        <w:t xml:space="preserve"> </w:t>
      </w:r>
      <w:r w:rsidR="00C34348" w:rsidRPr="00321163">
        <w:rPr>
          <w:rFonts w:ascii="Book Antiqua" w:hAnsi="Book Antiqua" w:cs="Arial"/>
        </w:rPr>
        <w:t>=</w:t>
      </w:r>
      <w:r w:rsidR="00710FD8" w:rsidRPr="00321163">
        <w:rPr>
          <w:rFonts w:ascii="Book Antiqua" w:eastAsia="宋体" w:hAnsi="Book Antiqua" w:cs="Arial" w:hint="eastAsia"/>
          <w:lang w:eastAsia="zh-CN"/>
        </w:rPr>
        <w:t xml:space="preserve"> 0</w:t>
      </w:r>
      <w:r w:rsidR="00C34348" w:rsidRPr="00321163">
        <w:rPr>
          <w:rFonts w:ascii="Book Antiqua" w:hAnsi="Book Antiqua" w:cs="Arial"/>
        </w:rPr>
        <w:t>.003). S</w:t>
      </w:r>
      <w:r w:rsidR="00165C92" w:rsidRPr="00321163">
        <w:rPr>
          <w:rFonts w:ascii="Book Antiqua" w:hAnsi="Book Antiqua" w:cs="Arial"/>
        </w:rPr>
        <w:t xml:space="preserve">ensitivity was also </w:t>
      </w:r>
      <w:r w:rsidR="00A54FB3" w:rsidRPr="00321163">
        <w:rPr>
          <w:rFonts w:ascii="Book Antiqua" w:hAnsi="Book Antiqua" w:cs="Arial"/>
        </w:rPr>
        <w:t xml:space="preserve">higher </w:t>
      </w:r>
      <w:r w:rsidR="00165C92" w:rsidRPr="00321163">
        <w:rPr>
          <w:rFonts w:ascii="Book Antiqua" w:hAnsi="Book Antiqua" w:cs="Arial"/>
        </w:rPr>
        <w:t>using conjugated bilirubin ≥ 0.5 mg/</w:t>
      </w:r>
      <w:proofErr w:type="spellStart"/>
      <w:r w:rsidR="00165C92" w:rsidRPr="00321163">
        <w:rPr>
          <w:rFonts w:ascii="Book Antiqua" w:hAnsi="Book Antiqua" w:cs="Arial"/>
        </w:rPr>
        <w:t>dL</w:t>
      </w:r>
      <w:proofErr w:type="spellEnd"/>
      <w:r w:rsidR="00165C92" w:rsidRPr="00321163">
        <w:rPr>
          <w:rFonts w:ascii="Book Antiqua" w:hAnsi="Book Antiqua" w:cs="Arial"/>
        </w:rPr>
        <w:t xml:space="preserve"> </w:t>
      </w:r>
      <w:r w:rsidR="00A54FB3" w:rsidRPr="00321163">
        <w:rPr>
          <w:rFonts w:ascii="Book Antiqua" w:hAnsi="Book Antiqua" w:cs="Arial"/>
        </w:rPr>
        <w:t>than</w:t>
      </w:r>
      <w:r w:rsidR="00F71481" w:rsidRPr="00321163">
        <w:rPr>
          <w:rFonts w:ascii="Book Antiqua" w:hAnsi="Book Antiqua" w:cs="Arial"/>
        </w:rPr>
        <w:t xml:space="preserve"> cut-offs of to</w:t>
      </w:r>
      <w:r w:rsidR="00710FD8" w:rsidRPr="00321163">
        <w:rPr>
          <w:rFonts w:ascii="Book Antiqua" w:hAnsi="Book Antiqua" w:cs="Arial"/>
        </w:rPr>
        <w:t>tal bilirubin of 4 or 1.8 mg/</w:t>
      </w:r>
      <w:proofErr w:type="spellStart"/>
      <w:r w:rsidR="00710FD8" w:rsidRPr="00321163">
        <w:rPr>
          <w:rFonts w:ascii="Book Antiqua" w:hAnsi="Book Antiqua" w:cs="Arial"/>
        </w:rPr>
        <w:t>dL</w:t>
      </w:r>
      <w:proofErr w:type="spellEnd"/>
      <w:r w:rsidR="00040C0C" w:rsidRPr="00321163">
        <w:rPr>
          <w:rFonts w:ascii="Book Antiqua" w:hAnsi="Book Antiqua" w:cs="Arial"/>
        </w:rPr>
        <w:t xml:space="preserve"> </w:t>
      </w:r>
      <w:r w:rsidR="00F71481" w:rsidRPr="00321163">
        <w:rPr>
          <w:rFonts w:ascii="Book Antiqua" w:hAnsi="Book Antiqua" w:cs="Arial"/>
        </w:rPr>
        <w:t>(</w:t>
      </w:r>
      <w:r w:rsidR="0017158B" w:rsidRPr="00321163">
        <w:rPr>
          <w:rFonts w:ascii="Book Antiqua" w:hAnsi="Book Antiqua" w:cs="Arial"/>
        </w:rPr>
        <w:t xml:space="preserve">Table </w:t>
      </w:r>
      <w:r w:rsidR="00980152" w:rsidRPr="00321163">
        <w:rPr>
          <w:rFonts w:ascii="Book Antiqua" w:eastAsia="宋体" w:hAnsi="Book Antiqua" w:cs="Arial" w:hint="eastAsia"/>
          <w:lang w:eastAsia="zh-CN"/>
        </w:rPr>
        <w:t>3</w:t>
      </w:r>
      <w:r w:rsidR="00F71481" w:rsidRPr="00321163">
        <w:rPr>
          <w:rFonts w:ascii="Book Antiqua" w:hAnsi="Book Antiqua" w:cs="Arial"/>
        </w:rPr>
        <w:t>)</w:t>
      </w:r>
      <w:r w:rsidR="00F3465F" w:rsidRPr="00321163">
        <w:rPr>
          <w:rFonts w:ascii="Book Antiqua" w:hAnsi="Book Antiqua" w:cs="Arial"/>
        </w:rPr>
        <w:t>.</w:t>
      </w:r>
      <w:r w:rsidR="00922966" w:rsidRPr="00321163">
        <w:rPr>
          <w:rFonts w:ascii="Book Antiqua" w:hAnsi="Book Antiqua" w:cs="Arial"/>
        </w:rPr>
        <w:t xml:space="preserve"> </w:t>
      </w:r>
      <w:r w:rsidR="008D1F19" w:rsidRPr="00321163">
        <w:rPr>
          <w:rFonts w:ascii="Book Antiqua" w:hAnsi="Book Antiqua" w:cs="Arial"/>
        </w:rPr>
        <w:t xml:space="preserve">Multivariate logistic regression </w:t>
      </w:r>
      <w:r w:rsidR="008D1704" w:rsidRPr="00321163">
        <w:rPr>
          <w:rFonts w:ascii="Book Antiqua" w:hAnsi="Book Antiqua" w:cs="Arial"/>
        </w:rPr>
        <w:t xml:space="preserve">identified </w:t>
      </w:r>
      <w:r w:rsidR="008D1F19" w:rsidRPr="00321163">
        <w:rPr>
          <w:rFonts w:ascii="Book Antiqua" w:hAnsi="Book Antiqua" w:cs="Arial"/>
        </w:rPr>
        <w:t xml:space="preserve">conjugated </w:t>
      </w:r>
      <w:r w:rsidR="000C6174" w:rsidRPr="00321163">
        <w:rPr>
          <w:rFonts w:ascii="Book Antiqua" w:hAnsi="Book Antiqua" w:cs="Arial"/>
        </w:rPr>
        <w:t xml:space="preserve">bilirubin ≥ </w:t>
      </w:r>
      <w:r w:rsidR="00944321" w:rsidRPr="00321163">
        <w:rPr>
          <w:rFonts w:ascii="Book Antiqua" w:hAnsi="Book Antiqua" w:cs="Arial"/>
        </w:rPr>
        <w:t>0.5 mg/</w:t>
      </w:r>
      <w:proofErr w:type="spellStart"/>
      <w:r w:rsidR="00944321" w:rsidRPr="00321163">
        <w:rPr>
          <w:rFonts w:ascii="Book Antiqua" w:hAnsi="Book Antiqua" w:cs="Arial"/>
        </w:rPr>
        <w:t>dL</w:t>
      </w:r>
      <w:proofErr w:type="spellEnd"/>
      <w:r w:rsidR="00944321" w:rsidRPr="00321163">
        <w:rPr>
          <w:rFonts w:ascii="Book Antiqua" w:hAnsi="Book Antiqua" w:cs="Arial"/>
        </w:rPr>
        <w:t xml:space="preserve"> as an independent risk factor </w:t>
      </w:r>
      <w:r w:rsidR="008D1F19" w:rsidRPr="00321163">
        <w:rPr>
          <w:rFonts w:ascii="Book Antiqua" w:hAnsi="Book Antiqua" w:cs="Arial"/>
        </w:rPr>
        <w:t>for detection of CBDS.</w:t>
      </w:r>
    </w:p>
    <w:p w14:paraId="4C53402C" w14:textId="77777777" w:rsidR="005A1BDF" w:rsidRPr="00321163" w:rsidRDefault="005A1BDF" w:rsidP="00CA6249">
      <w:pPr>
        <w:spacing w:line="360" w:lineRule="auto"/>
        <w:jc w:val="both"/>
        <w:rPr>
          <w:rFonts w:ascii="Book Antiqua" w:hAnsi="Book Antiqua" w:cs="Arial"/>
        </w:rPr>
      </w:pPr>
    </w:p>
    <w:p w14:paraId="30D1A503" w14:textId="77777777" w:rsidR="00D47508" w:rsidRPr="00321163" w:rsidRDefault="00D47508" w:rsidP="00CA6249">
      <w:pPr>
        <w:spacing w:line="360" w:lineRule="auto"/>
        <w:jc w:val="both"/>
        <w:rPr>
          <w:rFonts w:ascii="Book Antiqua" w:hAnsi="Book Antiqua" w:cs="Arial"/>
          <w:b/>
          <w:i/>
        </w:rPr>
      </w:pPr>
      <w:r w:rsidRPr="00321163">
        <w:rPr>
          <w:rFonts w:ascii="Book Antiqua" w:hAnsi="Book Antiqua" w:cs="Arial"/>
          <w:b/>
          <w:i/>
        </w:rPr>
        <w:t>Categorization using</w:t>
      </w:r>
      <w:r w:rsidR="005A1BDF" w:rsidRPr="00321163">
        <w:rPr>
          <w:rFonts w:ascii="Book Antiqua" w:hAnsi="Book Antiqua" w:cs="Arial"/>
          <w:b/>
          <w:i/>
        </w:rPr>
        <w:t xml:space="preserve"> </w:t>
      </w:r>
      <w:r w:rsidR="000B517B" w:rsidRPr="00321163">
        <w:rPr>
          <w:rFonts w:ascii="Book Antiqua" w:hAnsi="Book Antiqua" w:cs="Arial"/>
          <w:b/>
          <w:i/>
        </w:rPr>
        <w:t>current</w:t>
      </w:r>
      <w:r w:rsidR="005A1BDF" w:rsidRPr="00321163">
        <w:rPr>
          <w:rFonts w:ascii="Book Antiqua" w:hAnsi="Book Antiqua" w:cs="Arial"/>
          <w:b/>
          <w:i/>
        </w:rPr>
        <w:t xml:space="preserve"> </w:t>
      </w:r>
      <w:r w:rsidRPr="00321163">
        <w:rPr>
          <w:rFonts w:ascii="Book Antiqua" w:hAnsi="Book Antiqua" w:cs="Arial"/>
          <w:b/>
          <w:i/>
        </w:rPr>
        <w:t xml:space="preserve">ASGE </w:t>
      </w:r>
      <w:r w:rsidR="005A1BDF" w:rsidRPr="00321163">
        <w:rPr>
          <w:rFonts w:ascii="Book Antiqua" w:hAnsi="Book Antiqua" w:cs="Arial"/>
          <w:b/>
          <w:i/>
        </w:rPr>
        <w:t>guideline</w:t>
      </w:r>
      <w:r w:rsidR="000B517B" w:rsidRPr="00321163">
        <w:rPr>
          <w:rFonts w:ascii="Book Antiqua" w:hAnsi="Book Antiqua" w:cs="Arial"/>
          <w:b/>
          <w:i/>
        </w:rPr>
        <w:t>s</w:t>
      </w:r>
      <w:r w:rsidRPr="00321163">
        <w:rPr>
          <w:rFonts w:ascii="Book Antiqua" w:hAnsi="Book Antiqua" w:cs="Arial"/>
          <w:b/>
          <w:i/>
        </w:rPr>
        <w:t xml:space="preserve"> in management of CBDS</w:t>
      </w:r>
    </w:p>
    <w:p w14:paraId="75B43370" w14:textId="1D5B3DF7" w:rsidR="000B517B" w:rsidRPr="00321163" w:rsidRDefault="00D47508" w:rsidP="00CA6249">
      <w:pPr>
        <w:spacing w:line="360" w:lineRule="auto"/>
        <w:jc w:val="both"/>
        <w:rPr>
          <w:rFonts w:ascii="Book Antiqua" w:hAnsi="Book Antiqua" w:cs="Arial"/>
        </w:rPr>
      </w:pPr>
      <w:r w:rsidRPr="00321163">
        <w:rPr>
          <w:rFonts w:ascii="Book Antiqua" w:hAnsi="Book Antiqua" w:cs="Arial"/>
        </w:rPr>
        <w:t>Det</w:t>
      </w:r>
      <w:r w:rsidR="00B537E6" w:rsidRPr="00321163">
        <w:rPr>
          <w:rFonts w:ascii="Book Antiqua" w:hAnsi="Book Antiqua" w:cs="Arial"/>
        </w:rPr>
        <w:t>erminations for each patient were</w:t>
      </w:r>
      <w:r w:rsidRPr="00321163">
        <w:rPr>
          <w:rFonts w:ascii="Book Antiqua" w:hAnsi="Book Antiqua" w:cs="Arial"/>
        </w:rPr>
        <w:t xml:space="preserve"> made</w:t>
      </w:r>
      <w:r w:rsidR="00D13390" w:rsidRPr="00321163">
        <w:rPr>
          <w:rFonts w:ascii="Book Antiqua" w:hAnsi="Book Antiqua" w:cs="Arial"/>
        </w:rPr>
        <w:t xml:space="preserve"> as to </w:t>
      </w:r>
      <w:r w:rsidR="00B537E6" w:rsidRPr="00321163">
        <w:rPr>
          <w:rFonts w:ascii="Book Antiqua" w:hAnsi="Book Antiqua" w:cs="Arial"/>
        </w:rPr>
        <w:t xml:space="preserve">whether patients met the </w:t>
      </w:r>
      <w:r w:rsidR="00495D65" w:rsidRPr="00321163">
        <w:rPr>
          <w:rFonts w:ascii="Book Antiqua" w:hAnsi="Book Antiqua" w:cs="Arial"/>
        </w:rPr>
        <w:t xml:space="preserve">ASGE </w:t>
      </w:r>
      <w:r w:rsidR="008D1704" w:rsidRPr="00321163">
        <w:rPr>
          <w:rFonts w:ascii="Book Antiqua" w:hAnsi="Book Antiqua" w:cs="Arial"/>
        </w:rPr>
        <w:t>VS or S criteria</w:t>
      </w:r>
      <w:r w:rsidR="00D13390" w:rsidRPr="00321163">
        <w:rPr>
          <w:rFonts w:ascii="Book Antiqua" w:hAnsi="Book Antiqua" w:cs="Arial"/>
        </w:rPr>
        <w:t xml:space="preserve"> (Table </w:t>
      </w:r>
      <w:r w:rsidR="00980152" w:rsidRPr="00321163">
        <w:rPr>
          <w:rFonts w:ascii="Book Antiqua" w:eastAsia="宋体" w:hAnsi="Book Antiqua" w:cs="Arial" w:hint="eastAsia"/>
          <w:lang w:eastAsia="zh-CN"/>
        </w:rPr>
        <w:t>3</w:t>
      </w:r>
      <w:r w:rsidR="00D13390" w:rsidRPr="00321163">
        <w:rPr>
          <w:rFonts w:ascii="Book Antiqua" w:hAnsi="Book Antiqua" w:cs="Arial"/>
        </w:rPr>
        <w:t>).</w:t>
      </w:r>
      <w:r w:rsidR="00922966" w:rsidRPr="00321163">
        <w:rPr>
          <w:rFonts w:ascii="Book Antiqua" w:hAnsi="Book Antiqua" w:cs="Arial"/>
        </w:rPr>
        <w:t xml:space="preserve"> </w:t>
      </w:r>
      <w:r w:rsidR="004C505F" w:rsidRPr="00321163">
        <w:rPr>
          <w:rFonts w:ascii="Book Antiqua" w:hAnsi="Book Antiqua" w:cs="Arial"/>
        </w:rPr>
        <w:t xml:space="preserve">As expected, there was </w:t>
      </w:r>
      <w:r w:rsidR="00D13390" w:rsidRPr="00321163">
        <w:rPr>
          <w:rFonts w:ascii="Book Antiqua" w:hAnsi="Book Antiqua" w:cs="Arial"/>
        </w:rPr>
        <w:t>a significant difference</w:t>
      </w:r>
      <w:r w:rsidR="00C82C30" w:rsidRPr="00321163">
        <w:rPr>
          <w:rFonts w:ascii="Book Antiqua" w:hAnsi="Book Antiqua" w:cs="Arial"/>
        </w:rPr>
        <w:t xml:space="preserve"> between patients in Group 1 and </w:t>
      </w:r>
      <w:r w:rsidR="00D13390" w:rsidRPr="00321163">
        <w:rPr>
          <w:rFonts w:ascii="Book Antiqua" w:hAnsi="Book Antiqua" w:cs="Arial"/>
        </w:rPr>
        <w:t xml:space="preserve">2 </w:t>
      </w:r>
      <w:r w:rsidR="00495D65" w:rsidRPr="00321163">
        <w:rPr>
          <w:rFonts w:ascii="Book Antiqua" w:hAnsi="Book Antiqua" w:cs="Arial"/>
        </w:rPr>
        <w:t>using the</w:t>
      </w:r>
      <w:r w:rsidR="00C82C30" w:rsidRPr="00321163">
        <w:rPr>
          <w:rFonts w:ascii="Book Antiqua" w:hAnsi="Book Antiqua" w:cs="Arial"/>
        </w:rPr>
        <w:t xml:space="preserve"> VS criteria </w:t>
      </w:r>
      <w:r w:rsidR="00495D65" w:rsidRPr="00321163">
        <w:rPr>
          <w:rFonts w:ascii="Book Antiqua" w:hAnsi="Book Antiqua" w:cs="Arial"/>
        </w:rPr>
        <w:t xml:space="preserve">to stratify patients </w:t>
      </w:r>
      <w:r w:rsidR="00C82C30" w:rsidRPr="00321163">
        <w:rPr>
          <w:rFonts w:ascii="Book Antiqua" w:hAnsi="Book Antiqua" w:cs="Arial"/>
        </w:rPr>
        <w:t>(</w:t>
      </w:r>
      <w:r w:rsidR="004C505F" w:rsidRPr="00321163">
        <w:rPr>
          <w:rFonts w:ascii="Book Antiqua" w:hAnsi="Book Antiqua" w:cs="Arial"/>
          <w:i/>
        </w:rPr>
        <w:t>P</w:t>
      </w:r>
      <w:r w:rsidR="004C505F" w:rsidRPr="00321163">
        <w:rPr>
          <w:rFonts w:ascii="Book Antiqua" w:eastAsia="宋体" w:hAnsi="Book Antiqua" w:cs="Arial" w:hint="eastAsia"/>
          <w:lang w:eastAsia="zh-CN"/>
        </w:rPr>
        <w:t xml:space="preserve"> </w:t>
      </w:r>
      <w:r w:rsidR="00C82C30" w:rsidRPr="00321163">
        <w:rPr>
          <w:rFonts w:ascii="Book Antiqua" w:hAnsi="Book Antiqua" w:cs="Arial"/>
        </w:rPr>
        <w:t>=</w:t>
      </w:r>
      <w:r w:rsidR="004C505F" w:rsidRPr="00321163">
        <w:rPr>
          <w:rFonts w:ascii="Book Antiqua" w:eastAsia="宋体" w:hAnsi="Book Antiqua" w:cs="Arial" w:hint="eastAsia"/>
          <w:lang w:eastAsia="zh-CN"/>
        </w:rPr>
        <w:t xml:space="preserve"> 0</w:t>
      </w:r>
      <w:r w:rsidR="008D1704" w:rsidRPr="00321163">
        <w:rPr>
          <w:rFonts w:ascii="Book Antiqua" w:hAnsi="Book Antiqua" w:cs="Arial"/>
        </w:rPr>
        <w:t>.0001</w:t>
      </w:r>
      <w:r w:rsidR="00C82C30" w:rsidRPr="00321163">
        <w:rPr>
          <w:rFonts w:ascii="Book Antiqua" w:hAnsi="Book Antiqua" w:cs="Arial"/>
        </w:rPr>
        <w:t>).</w:t>
      </w:r>
      <w:r w:rsidR="00922966" w:rsidRPr="00321163">
        <w:rPr>
          <w:rFonts w:ascii="Book Antiqua" w:hAnsi="Book Antiqua" w:cs="Arial"/>
        </w:rPr>
        <w:t xml:space="preserve"> </w:t>
      </w:r>
      <w:r w:rsidR="00C82C30" w:rsidRPr="00321163">
        <w:rPr>
          <w:rFonts w:ascii="Book Antiqua" w:hAnsi="Book Antiqua" w:cs="Arial"/>
        </w:rPr>
        <w:t xml:space="preserve">The sensitivity </w:t>
      </w:r>
      <w:r w:rsidR="000717F6" w:rsidRPr="00321163">
        <w:rPr>
          <w:rFonts w:ascii="Book Antiqua" w:hAnsi="Book Antiqua" w:cs="Arial"/>
        </w:rPr>
        <w:t>for CBDS at the time of ERCP in our population using</w:t>
      </w:r>
      <w:r w:rsidR="00C82C30" w:rsidRPr="00321163">
        <w:rPr>
          <w:rFonts w:ascii="Book Antiqua" w:hAnsi="Book Antiqua" w:cs="Arial"/>
        </w:rPr>
        <w:t xml:space="preserve"> VS criteria was </w:t>
      </w:r>
      <w:r w:rsidR="00D13390" w:rsidRPr="00321163">
        <w:rPr>
          <w:rFonts w:ascii="Book Antiqua" w:hAnsi="Book Antiqua" w:cs="Arial"/>
        </w:rPr>
        <w:t>59.5</w:t>
      </w:r>
      <w:r w:rsidR="00C82C30" w:rsidRPr="00321163">
        <w:rPr>
          <w:rFonts w:ascii="Book Antiqua" w:hAnsi="Book Antiqua" w:cs="Arial"/>
        </w:rPr>
        <w:t>%</w:t>
      </w:r>
      <w:r w:rsidR="004C505F" w:rsidRPr="00321163">
        <w:rPr>
          <w:rFonts w:ascii="Book Antiqua" w:hAnsi="Book Antiqua" w:cs="Arial"/>
        </w:rPr>
        <w:t>, compared to</w:t>
      </w:r>
      <w:r w:rsidR="00B537E6" w:rsidRPr="00321163">
        <w:rPr>
          <w:rFonts w:ascii="Book Antiqua" w:hAnsi="Book Antiqua" w:cs="Arial"/>
        </w:rPr>
        <w:t xml:space="preserve"> </w:t>
      </w:r>
      <w:r w:rsidR="00D13390" w:rsidRPr="00321163">
        <w:rPr>
          <w:rFonts w:ascii="Book Antiqua" w:hAnsi="Book Antiqua" w:cs="Arial"/>
        </w:rPr>
        <w:t xml:space="preserve">48.6% in </w:t>
      </w:r>
      <w:r w:rsidR="004C505F" w:rsidRPr="00321163">
        <w:rPr>
          <w:rFonts w:ascii="Book Antiqua" w:hAnsi="Book Antiqua" w:cs="Arial"/>
        </w:rPr>
        <w:t>the patients meeting S criteria</w:t>
      </w:r>
      <w:r w:rsidR="00D13390" w:rsidRPr="00321163">
        <w:rPr>
          <w:rFonts w:ascii="Book Antiqua" w:hAnsi="Book Antiqua" w:cs="Arial"/>
        </w:rPr>
        <w:t xml:space="preserve"> (Table </w:t>
      </w:r>
      <w:r w:rsidR="00980152" w:rsidRPr="00321163">
        <w:rPr>
          <w:rFonts w:ascii="Book Antiqua" w:eastAsia="宋体" w:hAnsi="Book Antiqua" w:cs="Arial" w:hint="eastAsia"/>
          <w:lang w:eastAsia="zh-CN"/>
        </w:rPr>
        <w:t>3</w:t>
      </w:r>
      <w:r w:rsidR="00D13390" w:rsidRPr="00321163">
        <w:rPr>
          <w:rFonts w:ascii="Book Antiqua" w:hAnsi="Book Antiqua" w:cs="Arial"/>
        </w:rPr>
        <w:t>)</w:t>
      </w:r>
      <w:r w:rsidR="000717F6" w:rsidRPr="00321163">
        <w:rPr>
          <w:rFonts w:ascii="Book Antiqua" w:hAnsi="Book Antiqua" w:cs="Arial"/>
        </w:rPr>
        <w:t xml:space="preserve">. </w:t>
      </w:r>
      <w:r w:rsidR="001F7812" w:rsidRPr="00321163">
        <w:rPr>
          <w:rFonts w:ascii="Book Antiqua" w:hAnsi="Book Antiqua" w:cs="Arial"/>
        </w:rPr>
        <w:t>Specificity ranged from 86</w:t>
      </w:r>
      <w:r w:rsidR="004C505F" w:rsidRPr="00321163">
        <w:rPr>
          <w:rFonts w:ascii="Book Antiqua" w:eastAsia="宋体" w:hAnsi="Book Antiqua" w:cs="Arial" w:hint="eastAsia"/>
          <w:lang w:eastAsia="zh-CN"/>
        </w:rPr>
        <w:t>%</w:t>
      </w:r>
      <w:r w:rsidR="001F7812" w:rsidRPr="00321163">
        <w:rPr>
          <w:rFonts w:ascii="Book Antiqua" w:hAnsi="Book Antiqua" w:cs="Arial"/>
        </w:rPr>
        <w:t>-100% for each of the VS and S categories.</w:t>
      </w:r>
    </w:p>
    <w:p w14:paraId="1D26373E" w14:textId="77777777" w:rsidR="003970F6" w:rsidRPr="00321163" w:rsidRDefault="003970F6" w:rsidP="00CA6249">
      <w:pPr>
        <w:spacing w:line="360" w:lineRule="auto"/>
        <w:jc w:val="both"/>
        <w:rPr>
          <w:rFonts w:ascii="Book Antiqua" w:hAnsi="Book Antiqua" w:cs="Arial"/>
        </w:rPr>
      </w:pPr>
    </w:p>
    <w:p w14:paraId="5888449A" w14:textId="71B1E5F0" w:rsidR="00495D65" w:rsidRPr="00321163" w:rsidRDefault="00417CB2" w:rsidP="00CA6249">
      <w:pPr>
        <w:spacing w:line="360" w:lineRule="auto"/>
        <w:jc w:val="both"/>
        <w:rPr>
          <w:rFonts w:ascii="Book Antiqua" w:eastAsia="宋体" w:hAnsi="Book Antiqua" w:cs="Arial"/>
          <w:b/>
          <w:i/>
          <w:lang w:eastAsia="zh-CN"/>
        </w:rPr>
      </w:pPr>
      <w:r w:rsidRPr="00321163">
        <w:rPr>
          <w:rFonts w:ascii="Book Antiqua" w:hAnsi="Book Antiqua" w:cs="Arial"/>
          <w:b/>
          <w:i/>
        </w:rPr>
        <w:t xml:space="preserve">Development of </w:t>
      </w:r>
      <w:r w:rsidR="003970F6" w:rsidRPr="00321163">
        <w:rPr>
          <w:rFonts w:ascii="Book Antiqua" w:hAnsi="Book Antiqua" w:cs="Arial"/>
          <w:b/>
          <w:i/>
        </w:rPr>
        <w:t>“modified” pediatric parameters in management of CBDS</w:t>
      </w:r>
    </w:p>
    <w:p w14:paraId="7EBCAC1F" w14:textId="026484D8" w:rsidR="00A03538" w:rsidRPr="00321163" w:rsidRDefault="009E4620" w:rsidP="00CA6249">
      <w:pPr>
        <w:spacing w:line="360" w:lineRule="auto"/>
        <w:jc w:val="both"/>
        <w:rPr>
          <w:rFonts w:ascii="Book Antiqua" w:hAnsi="Book Antiqua" w:cs="Arial"/>
        </w:rPr>
      </w:pPr>
      <w:r w:rsidRPr="00321163">
        <w:rPr>
          <w:rFonts w:ascii="Book Antiqua" w:hAnsi="Book Antiqua" w:cs="Arial"/>
        </w:rPr>
        <w:t>Because conjuga</w:t>
      </w:r>
      <w:r w:rsidR="00F80A57" w:rsidRPr="00321163">
        <w:rPr>
          <w:rFonts w:ascii="Book Antiqua" w:hAnsi="Book Antiqua" w:cs="Arial"/>
        </w:rPr>
        <w:t xml:space="preserve">ted bilirubin levels are a </w:t>
      </w:r>
      <w:r w:rsidR="00C431AD" w:rsidRPr="00321163">
        <w:rPr>
          <w:rFonts w:ascii="Book Antiqua" w:hAnsi="Book Antiqua" w:cs="Arial"/>
        </w:rPr>
        <w:t xml:space="preserve">prominent finding in obstruction and a </w:t>
      </w:r>
      <w:r w:rsidR="00F80A57" w:rsidRPr="00321163">
        <w:rPr>
          <w:rFonts w:ascii="Book Antiqua" w:hAnsi="Book Antiqua" w:cs="Arial"/>
        </w:rPr>
        <w:t>compo</w:t>
      </w:r>
      <w:r w:rsidRPr="00321163">
        <w:rPr>
          <w:rFonts w:ascii="Book Antiqua" w:hAnsi="Book Antiqua" w:cs="Arial"/>
        </w:rPr>
        <w:t xml:space="preserve">nent in </w:t>
      </w:r>
      <w:r w:rsidR="00C431AD" w:rsidRPr="00321163">
        <w:rPr>
          <w:rFonts w:ascii="Book Antiqua" w:hAnsi="Book Antiqua" w:cs="Arial"/>
        </w:rPr>
        <w:t>the liver panel</w:t>
      </w:r>
      <w:r w:rsidR="008D1704" w:rsidRPr="00321163">
        <w:rPr>
          <w:rFonts w:ascii="Book Antiqua" w:hAnsi="Book Antiqua" w:cs="Arial"/>
        </w:rPr>
        <w:t>/biochemistries</w:t>
      </w:r>
      <w:r w:rsidR="00C431AD" w:rsidRPr="00321163">
        <w:rPr>
          <w:rFonts w:ascii="Book Antiqua" w:hAnsi="Book Antiqua" w:cs="Arial"/>
        </w:rPr>
        <w:t xml:space="preserve"> at </w:t>
      </w:r>
      <w:r w:rsidRPr="00321163">
        <w:rPr>
          <w:rFonts w:ascii="Book Antiqua" w:hAnsi="Book Antiqua" w:cs="Arial"/>
        </w:rPr>
        <w:t>many pediatric facilities, conjugated bilirubin was substituted for total bilirubin</w:t>
      </w:r>
      <w:r w:rsidR="00C431AD" w:rsidRPr="00321163">
        <w:rPr>
          <w:rFonts w:ascii="Book Antiqua" w:hAnsi="Book Antiqua" w:cs="Arial"/>
        </w:rPr>
        <w:t>. Thus, ≥ 0.5 mg/</w:t>
      </w:r>
      <w:proofErr w:type="spellStart"/>
      <w:r w:rsidR="00D353DB" w:rsidRPr="00321163">
        <w:rPr>
          <w:rFonts w:ascii="Book Antiqua" w:hAnsi="Book Antiqua" w:cs="Arial"/>
        </w:rPr>
        <w:t>dL</w:t>
      </w:r>
      <w:proofErr w:type="spellEnd"/>
      <w:r w:rsidR="00D353DB" w:rsidRPr="00321163">
        <w:rPr>
          <w:rFonts w:ascii="Book Antiqua" w:hAnsi="Book Antiqua" w:cs="Arial"/>
        </w:rPr>
        <w:t xml:space="preserve"> was</w:t>
      </w:r>
      <w:r w:rsidR="00C431AD" w:rsidRPr="00321163">
        <w:rPr>
          <w:rFonts w:ascii="Book Antiqua" w:hAnsi="Book Antiqua" w:cs="Arial"/>
        </w:rPr>
        <w:t xml:space="preserve"> substituted</w:t>
      </w:r>
      <w:r w:rsidRPr="00321163">
        <w:rPr>
          <w:rFonts w:ascii="Book Antiqua" w:hAnsi="Book Antiqua" w:cs="Arial"/>
        </w:rPr>
        <w:t xml:space="preserve"> into both the VS and S categories.</w:t>
      </w:r>
      <w:r w:rsidR="00922966" w:rsidRPr="00321163">
        <w:rPr>
          <w:rFonts w:ascii="Book Antiqua" w:hAnsi="Book Antiqua" w:cs="Arial"/>
        </w:rPr>
        <w:t xml:space="preserve"> </w:t>
      </w:r>
      <w:r w:rsidR="0012363E" w:rsidRPr="00321163">
        <w:rPr>
          <w:rFonts w:ascii="Book Antiqua" w:hAnsi="Book Antiqua" w:cs="Arial"/>
        </w:rPr>
        <w:t>A</w:t>
      </w:r>
      <w:r w:rsidR="00F80A57" w:rsidRPr="00321163">
        <w:rPr>
          <w:rFonts w:ascii="Book Antiqua" w:hAnsi="Book Antiqua" w:cs="Arial"/>
        </w:rPr>
        <w:t xml:space="preserve"> VS “</w:t>
      </w:r>
      <w:r w:rsidR="00C431AD" w:rsidRPr="00321163">
        <w:rPr>
          <w:rFonts w:ascii="Book Antiqua" w:hAnsi="Book Antiqua" w:cs="Arial"/>
        </w:rPr>
        <w:t>P</w:t>
      </w:r>
      <w:r w:rsidR="00F80A57" w:rsidRPr="00321163">
        <w:rPr>
          <w:rFonts w:ascii="Book Antiqua" w:hAnsi="Book Antiqua" w:cs="Arial"/>
        </w:rPr>
        <w:t xml:space="preserve">ediatric </w:t>
      </w:r>
      <w:r w:rsidR="00C431AD" w:rsidRPr="00321163">
        <w:rPr>
          <w:rFonts w:ascii="Book Antiqua" w:hAnsi="Book Antiqua" w:cs="Arial"/>
        </w:rPr>
        <w:t>M</w:t>
      </w:r>
      <w:r w:rsidR="00F80A57" w:rsidRPr="00321163">
        <w:rPr>
          <w:rFonts w:ascii="Book Antiqua" w:hAnsi="Book Antiqua" w:cs="Arial"/>
        </w:rPr>
        <w:t>odified” (VS</w:t>
      </w:r>
      <w:r w:rsidR="001A1D1B" w:rsidRPr="00321163">
        <w:rPr>
          <w:rFonts w:ascii="Book Antiqua" w:hAnsi="Book Antiqua" w:cs="Arial"/>
        </w:rPr>
        <w:t>-</w:t>
      </w:r>
      <w:r w:rsidR="00F80A57" w:rsidRPr="00321163">
        <w:rPr>
          <w:rFonts w:ascii="Book Antiqua" w:hAnsi="Book Antiqua" w:cs="Arial"/>
        </w:rPr>
        <w:t xml:space="preserve">PM) criteria was defined as either a stone visualized </w:t>
      </w:r>
      <w:proofErr w:type="gramStart"/>
      <w:r w:rsidR="00F80A57" w:rsidRPr="00321163">
        <w:rPr>
          <w:rFonts w:ascii="Book Antiqua" w:hAnsi="Book Antiqua" w:cs="Arial"/>
        </w:rPr>
        <w:t>on US or a conjugated bilirubin ≥ 0.5 mg/</w:t>
      </w:r>
      <w:proofErr w:type="spellStart"/>
      <w:r w:rsidR="00F80A57" w:rsidRPr="00321163">
        <w:rPr>
          <w:rFonts w:ascii="Book Antiqua" w:hAnsi="Book Antiqua" w:cs="Arial"/>
        </w:rPr>
        <w:t>dL</w:t>
      </w:r>
      <w:proofErr w:type="spellEnd"/>
      <w:proofErr w:type="gramEnd"/>
      <w:r w:rsidR="00F80A57" w:rsidRPr="00321163">
        <w:rPr>
          <w:rFonts w:ascii="Book Antiqua" w:hAnsi="Book Antiqua" w:cs="Arial"/>
        </w:rPr>
        <w:t>.</w:t>
      </w:r>
      <w:r w:rsidR="00922966" w:rsidRPr="00321163">
        <w:rPr>
          <w:rFonts w:ascii="Book Antiqua" w:hAnsi="Book Antiqua" w:cs="Arial"/>
        </w:rPr>
        <w:t xml:space="preserve"> </w:t>
      </w:r>
      <w:r w:rsidR="00C431AD" w:rsidRPr="00321163">
        <w:rPr>
          <w:rFonts w:ascii="Book Antiqua" w:hAnsi="Book Antiqua" w:cs="Arial"/>
        </w:rPr>
        <w:t>To meet t</w:t>
      </w:r>
      <w:r w:rsidR="00F80A57" w:rsidRPr="00321163">
        <w:rPr>
          <w:rFonts w:ascii="Book Antiqua" w:hAnsi="Book Antiqua" w:cs="Arial"/>
        </w:rPr>
        <w:t>he Strong “</w:t>
      </w:r>
      <w:r w:rsidR="00C431AD" w:rsidRPr="00321163">
        <w:rPr>
          <w:rFonts w:ascii="Book Antiqua" w:hAnsi="Book Antiqua" w:cs="Arial"/>
        </w:rPr>
        <w:t>P</w:t>
      </w:r>
      <w:r w:rsidR="00F80A57" w:rsidRPr="00321163">
        <w:rPr>
          <w:rFonts w:ascii="Book Antiqua" w:hAnsi="Book Antiqua" w:cs="Arial"/>
        </w:rPr>
        <w:t xml:space="preserve">ediatric </w:t>
      </w:r>
      <w:r w:rsidR="00EF0C46" w:rsidRPr="00321163">
        <w:rPr>
          <w:rFonts w:ascii="Book Antiqua" w:hAnsi="Book Antiqua" w:cs="Arial"/>
        </w:rPr>
        <w:t>m</w:t>
      </w:r>
      <w:r w:rsidR="000072BC" w:rsidRPr="00321163">
        <w:rPr>
          <w:rFonts w:ascii="Book Antiqua" w:hAnsi="Book Antiqua" w:cs="Arial"/>
        </w:rPr>
        <w:t>odified” criteria</w:t>
      </w:r>
      <w:r w:rsidR="00F80A57" w:rsidRPr="00321163">
        <w:rPr>
          <w:rFonts w:ascii="Book Antiqua" w:hAnsi="Book Antiqua" w:cs="Arial"/>
        </w:rPr>
        <w:t xml:space="preserve"> (S</w:t>
      </w:r>
      <w:r w:rsidR="001A1D1B" w:rsidRPr="00321163">
        <w:rPr>
          <w:rFonts w:ascii="Book Antiqua" w:hAnsi="Book Antiqua" w:cs="Arial"/>
        </w:rPr>
        <w:t>-</w:t>
      </w:r>
      <w:r w:rsidR="00F80A57" w:rsidRPr="00321163">
        <w:rPr>
          <w:rFonts w:ascii="Book Antiqua" w:hAnsi="Book Antiqua" w:cs="Arial"/>
        </w:rPr>
        <w:t>PM)</w:t>
      </w:r>
      <w:r w:rsidR="00C431AD" w:rsidRPr="00321163">
        <w:rPr>
          <w:rFonts w:ascii="Book Antiqua" w:hAnsi="Book Antiqua" w:cs="Arial"/>
        </w:rPr>
        <w:t>, a patient needed to have</w:t>
      </w:r>
      <w:r w:rsidR="00F80A57" w:rsidRPr="00321163">
        <w:rPr>
          <w:rFonts w:ascii="Book Antiqua" w:hAnsi="Book Antiqua" w:cs="Arial"/>
        </w:rPr>
        <w:t xml:space="preserve"> a bile duct diameter &gt; 6 mm </w:t>
      </w:r>
      <w:r w:rsidR="00AD5BEA" w:rsidRPr="00321163">
        <w:rPr>
          <w:rFonts w:ascii="Book Antiqua" w:hAnsi="Book Antiqua" w:cs="Arial"/>
        </w:rPr>
        <w:t xml:space="preserve">and </w:t>
      </w:r>
      <w:r w:rsidR="00F80A57" w:rsidRPr="00321163">
        <w:rPr>
          <w:rFonts w:ascii="Book Antiqua" w:hAnsi="Book Antiqua" w:cs="Arial"/>
        </w:rPr>
        <w:t xml:space="preserve">a conjugated bilirubin ≥ </w:t>
      </w:r>
      <w:r w:rsidR="00C431AD" w:rsidRPr="00321163">
        <w:rPr>
          <w:rFonts w:ascii="Book Antiqua" w:hAnsi="Book Antiqua" w:cs="Arial"/>
        </w:rPr>
        <w:t>0.5 mg/</w:t>
      </w:r>
      <w:proofErr w:type="spellStart"/>
      <w:r w:rsidR="00C431AD" w:rsidRPr="00321163">
        <w:rPr>
          <w:rFonts w:ascii="Book Antiqua" w:hAnsi="Book Antiqua" w:cs="Arial"/>
        </w:rPr>
        <w:t>dL</w:t>
      </w:r>
      <w:proofErr w:type="spellEnd"/>
      <w:r w:rsidR="00C431AD" w:rsidRPr="00321163">
        <w:rPr>
          <w:rFonts w:ascii="Book Antiqua" w:hAnsi="Book Antiqua" w:cs="Arial"/>
        </w:rPr>
        <w:t>.</w:t>
      </w:r>
      <w:r w:rsidR="00922966" w:rsidRPr="00321163">
        <w:rPr>
          <w:rFonts w:ascii="Book Antiqua" w:hAnsi="Book Antiqua" w:cs="Arial"/>
        </w:rPr>
        <w:t xml:space="preserve"> </w:t>
      </w:r>
      <w:r w:rsidR="00D353DB" w:rsidRPr="00321163">
        <w:rPr>
          <w:rFonts w:ascii="Book Antiqua" w:hAnsi="Book Antiqua" w:cs="Arial"/>
        </w:rPr>
        <w:t>In co</w:t>
      </w:r>
      <w:r w:rsidR="00C431AD" w:rsidRPr="00321163">
        <w:rPr>
          <w:rFonts w:ascii="Book Antiqua" w:hAnsi="Book Antiqua" w:cs="Arial"/>
        </w:rPr>
        <w:t>mparing patients in Group 1 and 2 using the VS</w:t>
      </w:r>
      <w:r w:rsidR="00E2147F" w:rsidRPr="00321163">
        <w:rPr>
          <w:rFonts w:ascii="Book Antiqua" w:hAnsi="Book Antiqua" w:cs="Arial"/>
        </w:rPr>
        <w:t>-</w:t>
      </w:r>
      <w:r w:rsidR="00C431AD" w:rsidRPr="00321163">
        <w:rPr>
          <w:rFonts w:ascii="Book Antiqua" w:hAnsi="Book Antiqua" w:cs="Arial"/>
        </w:rPr>
        <w:t>PM</w:t>
      </w:r>
      <w:r w:rsidR="00D353DB" w:rsidRPr="00321163">
        <w:rPr>
          <w:rFonts w:ascii="Book Antiqua" w:hAnsi="Book Antiqua" w:cs="Arial"/>
        </w:rPr>
        <w:t xml:space="preserve"> there </w:t>
      </w:r>
      <w:r w:rsidR="001B1A98" w:rsidRPr="00321163">
        <w:rPr>
          <w:rFonts w:ascii="Book Antiqua" w:hAnsi="Book Antiqua" w:cs="Arial"/>
        </w:rPr>
        <w:t>was not a significant difference</w:t>
      </w:r>
      <w:r w:rsidR="00C431AD" w:rsidRPr="00321163">
        <w:rPr>
          <w:rFonts w:ascii="Book Antiqua" w:hAnsi="Book Antiqua" w:cs="Arial"/>
        </w:rPr>
        <w:t xml:space="preserve"> </w:t>
      </w:r>
      <w:r w:rsidR="001B1A98" w:rsidRPr="00321163">
        <w:rPr>
          <w:rFonts w:ascii="Book Antiqua" w:hAnsi="Book Antiqua" w:cs="Arial"/>
        </w:rPr>
        <w:t>(</w:t>
      </w:r>
      <w:r w:rsidR="000072BC" w:rsidRPr="00321163">
        <w:rPr>
          <w:rFonts w:ascii="Book Antiqua" w:hAnsi="Book Antiqua" w:cs="Arial"/>
          <w:i/>
        </w:rPr>
        <w:t>P</w:t>
      </w:r>
      <w:r w:rsidR="000072BC" w:rsidRPr="00321163">
        <w:rPr>
          <w:rFonts w:ascii="Book Antiqua" w:eastAsia="宋体" w:hAnsi="Book Antiqua" w:cs="Arial"/>
          <w:i/>
          <w:lang w:eastAsia="zh-CN"/>
        </w:rPr>
        <w:t xml:space="preserve"> </w:t>
      </w:r>
      <w:r w:rsidR="001B1A98" w:rsidRPr="00321163">
        <w:rPr>
          <w:rFonts w:ascii="Book Antiqua" w:hAnsi="Book Antiqua" w:cs="Arial"/>
        </w:rPr>
        <w:t>=</w:t>
      </w:r>
      <w:r w:rsidR="000072BC" w:rsidRPr="00321163">
        <w:rPr>
          <w:rFonts w:ascii="Book Antiqua" w:eastAsia="宋体" w:hAnsi="Book Antiqua" w:cs="Arial" w:hint="eastAsia"/>
          <w:lang w:eastAsia="zh-CN"/>
        </w:rPr>
        <w:t xml:space="preserve"> 0</w:t>
      </w:r>
      <w:r w:rsidR="001B1A98" w:rsidRPr="00321163">
        <w:rPr>
          <w:rFonts w:ascii="Book Antiqua" w:hAnsi="Book Antiqua" w:cs="Arial"/>
        </w:rPr>
        <w:t>.0</w:t>
      </w:r>
      <w:r w:rsidR="00951D92" w:rsidRPr="00321163">
        <w:rPr>
          <w:rFonts w:ascii="Book Antiqua" w:hAnsi="Book Antiqua" w:cs="Arial"/>
        </w:rPr>
        <w:t>7</w:t>
      </w:r>
      <w:r w:rsidR="00D353DB" w:rsidRPr="00321163">
        <w:rPr>
          <w:rFonts w:ascii="Book Antiqua" w:hAnsi="Book Antiqua" w:cs="Arial"/>
        </w:rPr>
        <w:t xml:space="preserve">) </w:t>
      </w:r>
      <w:r w:rsidR="001B1A98" w:rsidRPr="00321163">
        <w:rPr>
          <w:rFonts w:ascii="Book Antiqua" w:hAnsi="Book Antiqua" w:cs="Arial"/>
        </w:rPr>
        <w:t>but significant</w:t>
      </w:r>
      <w:r w:rsidR="007E5B21" w:rsidRPr="00321163">
        <w:rPr>
          <w:rFonts w:ascii="Book Antiqua" w:hAnsi="Book Antiqua" w:cs="Arial"/>
        </w:rPr>
        <w:t xml:space="preserve"> using the </w:t>
      </w:r>
      <w:r w:rsidR="00C431AD" w:rsidRPr="00321163">
        <w:rPr>
          <w:rFonts w:ascii="Book Antiqua" w:hAnsi="Book Antiqua" w:cs="Arial"/>
        </w:rPr>
        <w:t>S</w:t>
      </w:r>
      <w:r w:rsidR="00E2147F" w:rsidRPr="00321163">
        <w:rPr>
          <w:rFonts w:ascii="Book Antiqua" w:hAnsi="Book Antiqua" w:cs="Arial"/>
        </w:rPr>
        <w:t>-</w:t>
      </w:r>
      <w:r w:rsidR="00C431AD" w:rsidRPr="00321163">
        <w:rPr>
          <w:rFonts w:ascii="Book Antiqua" w:hAnsi="Book Antiqua" w:cs="Arial"/>
        </w:rPr>
        <w:t>PM</w:t>
      </w:r>
      <w:r w:rsidR="001B1A98" w:rsidRPr="00321163">
        <w:rPr>
          <w:rFonts w:ascii="Book Antiqua" w:hAnsi="Book Antiqua" w:cs="Arial"/>
        </w:rPr>
        <w:t xml:space="preserve"> criteria</w:t>
      </w:r>
      <w:r w:rsidR="007E5B21" w:rsidRPr="00321163">
        <w:rPr>
          <w:rFonts w:ascii="Book Antiqua" w:hAnsi="Book Antiqua" w:cs="Arial"/>
        </w:rPr>
        <w:t xml:space="preserve">, </w:t>
      </w:r>
      <w:r w:rsidR="00410780" w:rsidRPr="00321163">
        <w:rPr>
          <w:rFonts w:ascii="Book Antiqua" w:hAnsi="Book Antiqua" w:cs="Arial"/>
        </w:rPr>
        <w:t>(</w:t>
      </w:r>
      <w:r w:rsidR="000072BC" w:rsidRPr="00321163">
        <w:rPr>
          <w:rFonts w:ascii="Book Antiqua" w:hAnsi="Book Antiqua" w:cs="Arial"/>
          <w:i/>
        </w:rPr>
        <w:t>P</w:t>
      </w:r>
      <w:r w:rsidR="000072BC" w:rsidRPr="00321163">
        <w:rPr>
          <w:rFonts w:ascii="Book Antiqua" w:eastAsia="宋体" w:hAnsi="Book Antiqua" w:cs="Arial"/>
          <w:i/>
          <w:lang w:eastAsia="zh-CN"/>
        </w:rPr>
        <w:t xml:space="preserve"> </w:t>
      </w:r>
      <w:r w:rsidR="00410780" w:rsidRPr="00321163">
        <w:rPr>
          <w:rFonts w:ascii="Book Antiqua" w:hAnsi="Book Antiqua" w:cs="Arial"/>
        </w:rPr>
        <w:t>=</w:t>
      </w:r>
      <w:r w:rsidR="007E5B21" w:rsidRPr="00321163">
        <w:rPr>
          <w:rFonts w:ascii="Book Antiqua" w:hAnsi="Book Antiqua" w:cs="Arial"/>
        </w:rPr>
        <w:t xml:space="preserve"> </w:t>
      </w:r>
      <w:r w:rsidR="000072BC" w:rsidRPr="00321163">
        <w:rPr>
          <w:rFonts w:ascii="Book Antiqua" w:eastAsia="宋体" w:hAnsi="Book Antiqua" w:cs="Arial" w:hint="eastAsia"/>
          <w:lang w:eastAsia="zh-CN"/>
        </w:rPr>
        <w:t>0</w:t>
      </w:r>
      <w:r w:rsidR="007E5B21" w:rsidRPr="00321163">
        <w:rPr>
          <w:rFonts w:ascii="Book Antiqua" w:hAnsi="Book Antiqua" w:cs="Arial"/>
        </w:rPr>
        <w:t>.</w:t>
      </w:r>
      <w:r w:rsidR="00951D92" w:rsidRPr="00321163">
        <w:rPr>
          <w:rFonts w:ascii="Book Antiqua" w:hAnsi="Book Antiqua" w:cs="Arial"/>
        </w:rPr>
        <w:t>001</w:t>
      </w:r>
      <w:r w:rsidR="00410780" w:rsidRPr="00321163">
        <w:rPr>
          <w:rFonts w:ascii="Book Antiqua" w:hAnsi="Book Antiqua" w:cs="Arial"/>
        </w:rPr>
        <w:t>)</w:t>
      </w:r>
      <w:r w:rsidR="007E5B21" w:rsidRPr="00321163">
        <w:rPr>
          <w:rFonts w:ascii="Book Antiqua" w:hAnsi="Book Antiqua" w:cs="Arial"/>
        </w:rPr>
        <w:t>.</w:t>
      </w:r>
      <w:r w:rsidR="00922966" w:rsidRPr="00321163">
        <w:rPr>
          <w:rFonts w:ascii="Book Antiqua" w:hAnsi="Book Antiqua" w:cs="Arial"/>
        </w:rPr>
        <w:t xml:space="preserve"> </w:t>
      </w:r>
      <w:r w:rsidR="000C6174" w:rsidRPr="00321163">
        <w:rPr>
          <w:rFonts w:ascii="Book Antiqua" w:hAnsi="Book Antiqua" w:cs="Arial"/>
        </w:rPr>
        <w:t>A</w:t>
      </w:r>
      <w:r w:rsidR="007068EC" w:rsidRPr="00321163">
        <w:rPr>
          <w:rFonts w:ascii="Book Antiqua" w:hAnsi="Book Antiqua" w:cs="Arial"/>
        </w:rPr>
        <w:t>n</w:t>
      </w:r>
      <w:r w:rsidR="000C6174" w:rsidRPr="00321163">
        <w:rPr>
          <w:rFonts w:ascii="Book Antiqua" w:hAnsi="Book Antiqua" w:cs="Arial"/>
        </w:rPr>
        <w:t xml:space="preserve"> </w:t>
      </w:r>
      <w:r w:rsidR="00AD5BEA" w:rsidRPr="00321163">
        <w:rPr>
          <w:rFonts w:ascii="Book Antiqua" w:hAnsi="Book Antiqua" w:cs="Arial"/>
        </w:rPr>
        <w:t xml:space="preserve">imputed </w:t>
      </w:r>
      <w:r w:rsidR="000C6174" w:rsidRPr="00321163">
        <w:rPr>
          <w:rFonts w:ascii="Book Antiqua" w:hAnsi="Book Antiqua" w:cs="Arial"/>
        </w:rPr>
        <w:t xml:space="preserve">odds ratio for </w:t>
      </w:r>
      <w:r w:rsidR="004D5527" w:rsidRPr="00321163">
        <w:rPr>
          <w:rFonts w:ascii="Book Antiqua" w:hAnsi="Book Antiqua" w:cs="Arial"/>
        </w:rPr>
        <w:t xml:space="preserve">a </w:t>
      </w:r>
      <w:r w:rsidR="001F7812" w:rsidRPr="00321163">
        <w:rPr>
          <w:rFonts w:ascii="Book Antiqua" w:hAnsi="Book Antiqua" w:cs="Arial"/>
        </w:rPr>
        <w:t>child</w:t>
      </w:r>
      <w:r w:rsidR="000717F6" w:rsidRPr="00321163">
        <w:rPr>
          <w:rFonts w:ascii="Book Antiqua" w:hAnsi="Book Antiqua" w:cs="Arial"/>
        </w:rPr>
        <w:t xml:space="preserve"> </w:t>
      </w:r>
      <w:r w:rsidR="000C6174" w:rsidRPr="00321163">
        <w:rPr>
          <w:rFonts w:ascii="Book Antiqua" w:hAnsi="Book Antiqua" w:cs="Arial"/>
        </w:rPr>
        <w:t>meeting VS</w:t>
      </w:r>
      <w:r w:rsidR="00E2147F" w:rsidRPr="00321163">
        <w:rPr>
          <w:rFonts w:ascii="Book Antiqua" w:hAnsi="Book Antiqua" w:cs="Arial"/>
        </w:rPr>
        <w:t>-</w:t>
      </w:r>
      <w:r w:rsidR="000C6174" w:rsidRPr="00321163">
        <w:rPr>
          <w:rFonts w:ascii="Book Antiqua" w:hAnsi="Book Antiqua" w:cs="Arial"/>
        </w:rPr>
        <w:t xml:space="preserve">PM criteria was </w:t>
      </w:r>
      <w:r w:rsidR="0012363E" w:rsidRPr="00321163">
        <w:rPr>
          <w:rFonts w:ascii="Book Antiqua" w:hAnsi="Book Antiqua" w:cs="Arial"/>
        </w:rPr>
        <w:t xml:space="preserve">calculated to be </w:t>
      </w:r>
      <w:r w:rsidR="000C6174" w:rsidRPr="00321163">
        <w:rPr>
          <w:rFonts w:ascii="Book Antiqua" w:hAnsi="Book Antiqua" w:cs="Arial"/>
        </w:rPr>
        <w:t xml:space="preserve">25.7 times more likely to have a stone at ERCP, and 8.8 times more likely </w:t>
      </w:r>
      <w:r w:rsidR="001B1A98" w:rsidRPr="00321163">
        <w:rPr>
          <w:rFonts w:ascii="Book Antiqua" w:hAnsi="Book Antiqua" w:cs="Arial"/>
        </w:rPr>
        <w:t>in</w:t>
      </w:r>
      <w:r w:rsidR="000C6174" w:rsidRPr="00321163">
        <w:rPr>
          <w:rFonts w:ascii="Book Antiqua" w:hAnsi="Book Antiqua" w:cs="Arial"/>
        </w:rPr>
        <w:t xml:space="preserve"> those meeting S</w:t>
      </w:r>
      <w:r w:rsidR="00E2147F" w:rsidRPr="00321163">
        <w:rPr>
          <w:rFonts w:ascii="Book Antiqua" w:hAnsi="Book Antiqua" w:cs="Arial"/>
        </w:rPr>
        <w:t>-</w:t>
      </w:r>
      <w:r w:rsidR="000C6174" w:rsidRPr="00321163">
        <w:rPr>
          <w:rFonts w:ascii="Book Antiqua" w:hAnsi="Book Antiqua" w:cs="Arial"/>
        </w:rPr>
        <w:t>PM criteria.</w:t>
      </w:r>
      <w:r w:rsidR="00922966" w:rsidRPr="00321163">
        <w:rPr>
          <w:rFonts w:ascii="Book Antiqua" w:hAnsi="Book Antiqua" w:cs="Arial"/>
        </w:rPr>
        <w:t xml:space="preserve"> </w:t>
      </w:r>
      <w:r w:rsidR="006E2E3F" w:rsidRPr="00321163">
        <w:rPr>
          <w:rFonts w:ascii="Book Antiqua" w:hAnsi="Book Antiqua" w:cs="Arial"/>
        </w:rPr>
        <w:t xml:space="preserve">The </w:t>
      </w:r>
      <w:r w:rsidR="00C431AD" w:rsidRPr="00321163">
        <w:rPr>
          <w:rFonts w:ascii="Book Antiqua" w:hAnsi="Book Antiqua" w:cs="Arial"/>
        </w:rPr>
        <w:t>VS</w:t>
      </w:r>
      <w:r w:rsidR="00E2147F" w:rsidRPr="00321163">
        <w:rPr>
          <w:rFonts w:ascii="Book Antiqua" w:hAnsi="Book Antiqua" w:cs="Arial"/>
        </w:rPr>
        <w:t>-</w:t>
      </w:r>
      <w:r w:rsidR="00C431AD" w:rsidRPr="00321163">
        <w:rPr>
          <w:rFonts w:ascii="Book Antiqua" w:hAnsi="Book Antiqua" w:cs="Arial"/>
        </w:rPr>
        <w:t>PM and S</w:t>
      </w:r>
      <w:r w:rsidR="00E2147F" w:rsidRPr="00321163">
        <w:rPr>
          <w:rFonts w:ascii="Book Antiqua" w:hAnsi="Book Antiqua" w:cs="Arial"/>
        </w:rPr>
        <w:t>-</w:t>
      </w:r>
      <w:r w:rsidR="00C431AD" w:rsidRPr="00321163">
        <w:rPr>
          <w:rFonts w:ascii="Book Antiqua" w:hAnsi="Book Antiqua" w:cs="Arial"/>
        </w:rPr>
        <w:t xml:space="preserve">PM </w:t>
      </w:r>
      <w:r w:rsidR="000C6174" w:rsidRPr="00321163">
        <w:rPr>
          <w:rFonts w:ascii="Book Antiqua" w:hAnsi="Book Antiqua" w:cs="Arial"/>
        </w:rPr>
        <w:t xml:space="preserve">criteria </w:t>
      </w:r>
      <w:r w:rsidR="00410780" w:rsidRPr="00321163">
        <w:rPr>
          <w:rFonts w:ascii="Book Antiqua" w:hAnsi="Book Antiqua" w:cs="Arial"/>
        </w:rPr>
        <w:t xml:space="preserve">also had improved </w:t>
      </w:r>
      <w:r w:rsidR="00410780" w:rsidRPr="00321163">
        <w:rPr>
          <w:rFonts w:ascii="Book Antiqua" w:hAnsi="Book Antiqua" w:cs="Arial"/>
        </w:rPr>
        <w:lastRenderedPageBreak/>
        <w:t>sensitivity when compared t</w:t>
      </w:r>
      <w:r w:rsidR="00DB3BDE" w:rsidRPr="00321163">
        <w:rPr>
          <w:rFonts w:ascii="Book Antiqua" w:hAnsi="Book Antiqua" w:cs="Arial"/>
        </w:rPr>
        <w:t xml:space="preserve">o the respective adult criteria, </w:t>
      </w:r>
      <w:r w:rsidR="006E2E3F" w:rsidRPr="00321163">
        <w:rPr>
          <w:rFonts w:ascii="Book Antiqua" w:hAnsi="Book Antiqua" w:cs="Arial"/>
        </w:rPr>
        <w:t>up to 81.2%</w:t>
      </w:r>
      <w:r w:rsidR="000717F6" w:rsidRPr="00321163">
        <w:rPr>
          <w:rFonts w:ascii="Book Antiqua" w:hAnsi="Book Antiqua" w:cs="Arial"/>
        </w:rPr>
        <w:t xml:space="preserve"> for identifying a CBDS at time of ERCP</w:t>
      </w:r>
      <w:r w:rsidR="006E2E3F" w:rsidRPr="00321163">
        <w:rPr>
          <w:rFonts w:ascii="Book Antiqua" w:hAnsi="Book Antiqua" w:cs="Arial"/>
        </w:rPr>
        <w:t>.</w:t>
      </w:r>
      <w:r w:rsidR="00922966" w:rsidRPr="00321163">
        <w:rPr>
          <w:rFonts w:ascii="Book Antiqua" w:hAnsi="Book Antiqua" w:cs="Arial"/>
        </w:rPr>
        <w:t xml:space="preserve"> </w:t>
      </w:r>
      <w:r w:rsidR="000717F6" w:rsidRPr="00321163">
        <w:rPr>
          <w:rFonts w:ascii="Book Antiqua" w:hAnsi="Book Antiqua" w:cs="Arial"/>
        </w:rPr>
        <w:t>T</w:t>
      </w:r>
      <w:r w:rsidR="006E2E3F" w:rsidRPr="00321163">
        <w:rPr>
          <w:rFonts w:ascii="Book Antiqua" w:hAnsi="Book Antiqua" w:cs="Arial"/>
        </w:rPr>
        <w:t>he S</w:t>
      </w:r>
      <w:r w:rsidR="00E2147F" w:rsidRPr="00321163">
        <w:rPr>
          <w:rFonts w:ascii="Book Antiqua" w:hAnsi="Book Antiqua" w:cs="Arial"/>
        </w:rPr>
        <w:t>-</w:t>
      </w:r>
      <w:r w:rsidR="006E2E3F" w:rsidRPr="00321163">
        <w:rPr>
          <w:rFonts w:ascii="Book Antiqua" w:hAnsi="Book Antiqua" w:cs="Arial"/>
        </w:rPr>
        <w:t>PM performed as well as the adult VS</w:t>
      </w:r>
      <w:r w:rsidR="00BA32D7" w:rsidRPr="00321163">
        <w:rPr>
          <w:rFonts w:ascii="Book Antiqua" w:hAnsi="Book Antiqua" w:cs="Arial"/>
        </w:rPr>
        <w:t xml:space="preserve"> criteria</w:t>
      </w:r>
      <w:r w:rsidR="006E2E3F" w:rsidRPr="00321163">
        <w:rPr>
          <w:rFonts w:ascii="Book Antiqua" w:hAnsi="Book Antiqua" w:cs="Arial"/>
        </w:rPr>
        <w:t>, b</w:t>
      </w:r>
      <w:r w:rsidR="000072BC" w:rsidRPr="00321163">
        <w:rPr>
          <w:rFonts w:ascii="Book Antiqua" w:hAnsi="Book Antiqua" w:cs="Arial"/>
        </w:rPr>
        <w:t>oth with sensitivities of 59.5%</w:t>
      </w:r>
      <w:r w:rsidR="00C431AD" w:rsidRPr="00321163">
        <w:rPr>
          <w:rFonts w:ascii="Book Antiqua" w:hAnsi="Book Antiqua" w:cs="Arial"/>
        </w:rPr>
        <w:t xml:space="preserve"> (Table </w:t>
      </w:r>
      <w:r w:rsidR="00980152" w:rsidRPr="00321163">
        <w:rPr>
          <w:rFonts w:ascii="Book Antiqua" w:eastAsia="宋体" w:hAnsi="Book Antiqua" w:cs="Arial" w:hint="eastAsia"/>
          <w:lang w:eastAsia="zh-CN"/>
        </w:rPr>
        <w:t>3</w:t>
      </w:r>
      <w:r w:rsidR="00C431AD" w:rsidRPr="00321163">
        <w:rPr>
          <w:rFonts w:ascii="Book Antiqua" w:hAnsi="Book Antiqua" w:cs="Arial"/>
        </w:rPr>
        <w:t>)</w:t>
      </w:r>
      <w:r w:rsidR="000072BC" w:rsidRPr="00321163">
        <w:rPr>
          <w:rFonts w:ascii="Book Antiqua" w:eastAsia="宋体" w:hAnsi="Book Antiqua" w:cs="Arial" w:hint="eastAsia"/>
          <w:lang w:eastAsia="zh-CN"/>
        </w:rPr>
        <w:t>.</w:t>
      </w:r>
      <w:r w:rsidR="000C6174" w:rsidRPr="00321163">
        <w:rPr>
          <w:rFonts w:ascii="Book Antiqua" w:hAnsi="Book Antiqua" w:cs="Arial"/>
        </w:rPr>
        <w:t xml:space="preserve"> </w:t>
      </w:r>
    </w:p>
    <w:p w14:paraId="27241BD9" w14:textId="77777777" w:rsidR="00C431AD" w:rsidRPr="00321163" w:rsidRDefault="00C431AD" w:rsidP="00CA6249">
      <w:pPr>
        <w:spacing w:line="360" w:lineRule="auto"/>
        <w:jc w:val="both"/>
        <w:rPr>
          <w:rFonts w:ascii="Book Antiqua" w:hAnsi="Book Antiqua" w:cs="Arial"/>
        </w:rPr>
      </w:pPr>
    </w:p>
    <w:p w14:paraId="3A0FA882" w14:textId="5F13C503" w:rsidR="00143FD4" w:rsidRPr="00321163" w:rsidRDefault="004547DE" w:rsidP="00CA6249">
      <w:pPr>
        <w:spacing w:line="360" w:lineRule="auto"/>
        <w:jc w:val="both"/>
        <w:rPr>
          <w:rFonts w:ascii="Book Antiqua" w:eastAsia="宋体" w:hAnsi="Book Antiqua" w:cs="Arial"/>
          <w:b/>
          <w:i/>
          <w:lang w:eastAsia="zh-CN"/>
        </w:rPr>
      </w:pPr>
      <w:r w:rsidRPr="00321163">
        <w:rPr>
          <w:rFonts w:ascii="Book Antiqua" w:hAnsi="Book Antiqua" w:cs="Arial"/>
          <w:b/>
          <w:i/>
        </w:rPr>
        <w:t xml:space="preserve">Use of </w:t>
      </w:r>
      <w:r w:rsidR="003F5C9B" w:rsidRPr="00321163">
        <w:rPr>
          <w:rFonts w:ascii="Book Antiqua" w:hAnsi="Book Antiqua" w:cs="Arial"/>
          <w:b/>
          <w:i/>
        </w:rPr>
        <w:t xml:space="preserve">aminotransferases and </w:t>
      </w:r>
      <w:r w:rsidR="00BA3A77" w:rsidRPr="00321163">
        <w:rPr>
          <w:rFonts w:ascii="Book Antiqua" w:hAnsi="Book Antiqua" w:cs="Arial"/>
          <w:b/>
          <w:i/>
        </w:rPr>
        <w:sym w:font="Symbol" w:char="F067"/>
      </w:r>
      <w:r w:rsidR="000072BC" w:rsidRPr="00321163">
        <w:rPr>
          <w:rFonts w:ascii="Book Antiqua" w:hAnsi="Book Antiqua" w:cs="Arial"/>
          <w:b/>
          <w:i/>
        </w:rPr>
        <w:t>GT</w:t>
      </w:r>
      <w:r w:rsidRPr="00321163">
        <w:rPr>
          <w:rFonts w:ascii="Book Antiqua" w:hAnsi="Book Antiqua" w:cs="Arial"/>
          <w:b/>
          <w:i/>
        </w:rPr>
        <w:t xml:space="preserve"> in diagnosis of common bile duct stones</w:t>
      </w:r>
    </w:p>
    <w:p w14:paraId="05C05BB9" w14:textId="771F1FF1" w:rsidR="004D599C" w:rsidRPr="00321163" w:rsidRDefault="00143FD4" w:rsidP="00CA6249">
      <w:pPr>
        <w:spacing w:line="360" w:lineRule="auto"/>
        <w:jc w:val="both"/>
        <w:rPr>
          <w:rFonts w:ascii="Book Antiqua" w:hAnsi="Book Antiqua" w:cs="Arial"/>
        </w:rPr>
      </w:pPr>
      <w:r w:rsidRPr="00321163">
        <w:rPr>
          <w:rFonts w:ascii="Book Antiqua" w:hAnsi="Book Antiqua" w:cs="Arial"/>
        </w:rPr>
        <w:t xml:space="preserve">Both </w:t>
      </w:r>
      <w:r w:rsidR="00193894" w:rsidRPr="00321163">
        <w:rPr>
          <w:rFonts w:ascii="Book Antiqua" w:hAnsi="Book Antiqua" w:cs="Arial"/>
        </w:rPr>
        <w:t>ALT</w:t>
      </w:r>
      <w:r w:rsidRPr="00321163">
        <w:rPr>
          <w:rFonts w:ascii="Book Antiqua" w:hAnsi="Book Antiqua" w:cs="Arial"/>
        </w:rPr>
        <w:t xml:space="preserve"> and </w:t>
      </w:r>
      <w:r w:rsidR="00193894" w:rsidRPr="00321163">
        <w:rPr>
          <w:rFonts w:ascii="Book Antiqua" w:hAnsi="Book Antiqua" w:cs="Arial"/>
        </w:rPr>
        <w:t>AST levels were collected</w:t>
      </w:r>
      <w:r w:rsidR="00410780" w:rsidRPr="00321163">
        <w:rPr>
          <w:rFonts w:ascii="Book Antiqua" w:hAnsi="Book Antiqua" w:cs="Arial"/>
        </w:rPr>
        <w:t xml:space="preserve"> (Table </w:t>
      </w:r>
      <w:r w:rsidR="00980152" w:rsidRPr="00321163">
        <w:rPr>
          <w:rFonts w:ascii="Book Antiqua" w:eastAsia="宋体" w:hAnsi="Book Antiqua" w:cs="Arial" w:hint="eastAsia"/>
          <w:lang w:eastAsia="zh-CN"/>
        </w:rPr>
        <w:t>2</w:t>
      </w:r>
      <w:r w:rsidR="00410780" w:rsidRPr="00321163">
        <w:rPr>
          <w:rFonts w:ascii="Book Antiqua" w:hAnsi="Book Antiqua" w:cs="Arial"/>
        </w:rPr>
        <w:t xml:space="preserve"> and Figure 1).</w:t>
      </w:r>
      <w:r w:rsidRPr="00321163">
        <w:rPr>
          <w:rFonts w:ascii="Book Antiqua" w:hAnsi="Book Antiqua" w:cs="Arial"/>
        </w:rPr>
        <w:t xml:space="preserve"> The mean ALT and AST were not significantly different (</w:t>
      </w:r>
      <w:r w:rsidR="00193894" w:rsidRPr="00321163">
        <w:rPr>
          <w:rFonts w:ascii="Book Antiqua" w:hAnsi="Book Antiqua" w:cs="Arial"/>
          <w:i/>
        </w:rPr>
        <w:t>P</w:t>
      </w:r>
      <w:r w:rsidR="00193894" w:rsidRPr="00321163">
        <w:rPr>
          <w:rFonts w:ascii="Book Antiqua" w:eastAsia="宋体" w:hAnsi="Book Antiqua" w:cs="Arial" w:hint="eastAsia"/>
          <w:lang w:eastAsia="zh-CN"/>
        </w:rPr>
        <w:t xml:space="preserve"> </w:t>
      </w:r>
      <w:r w:rsidRPr="00321163">
        <w:rPr>
          <w:rFonts w:ascii="Book Antiqua" w:hAnsi="Book Antiqua" w:cs="Arial"/>
        </w:rPr>
        <w:t>=</w:t>
      </w:r>
      <w:r w:rsidR="00193894" w:rsidRPr="00321163">
        <w:rPr>
          <w:rFonts w:ascii="Book Antiqua" w:eastAsia="宋体" w:hAnsi="Book Antiqua" w:cs="Arial" w:hint="eastAsia"/>
          <w:lang w:eastAsia="zh-CN"/>
        </w:rPr>
        <w:t xml:space="preserve"> 0</w:t>
      </w:r>
      <w:r w:rsidRPr="00321163">
        <w:rPr>
          <w:rFonts w:ascii="Book Antiqua" w:hAnsi="Book Antiqua" w:cs="Arial"/>
        </w:rPr>
        <w:t xml:space="preserve">.127 and </w:t>
      </w:r>
      <w:r w:rsidR="00193894" w:rsidRPr="00321163">
        <w:rPr>
          <w:rFonts w:ascii="Book Antiqua" w:eastAsia="宋体" w:hAnsi="Book Antiqua" w:cs="Arial" w:hint="eastAsia"/>
          <w:lang w:eastAsia="zh-CN"/>
        </w:rPr>
        <w:t>0</w:t>
      </w:r>
      <w:r w:rsidRPr="00321163">
        <w:rPr>
          <w:rFonts w:ascii="Book Antiqua" w:hAnsi="Book Antiqua" w:cs="Arial"/>
        </w:rPr>
        <w:t>.149, respectively).</w:t>
      </w:r>
      <w:r w:rsidR="00922966" w:rsidRPr="00321163">
        <w:rPr>
          <w:rFonts w:ascii="Book Antiqua" w:hAnsi="Book Antiqua" w:cs="Arial"/>
        </w:rPr>
        <w:t xml:space="preserve"> </w:t>
      </w:r>
      <w:r w:rsidRPr="00321163">
        <w:rPr>
          <w:rFonts w:ascii="Book Antiqua" w:hAnsi="Book Antiqua" w:cs="Arial"/>
        </w:rPr>
        <w:t>When an arbitrary cut-off for ALT of 350 u/L was used, the differences between the two groups was sign</w:t>
      </w:r>
      <w:r w:rsidR="009428BB" w:rsidRPr="00321163">
        <w:rPr>
          <w:rFonts w:ascii="Book Antiqua" w:hAnsi="Book Antiqua" w:cs="Arial"/>
        </w:rPr>
        <w:t>i</w:t>
      </w:r>
      <w:r w:rsidR="00410780" w:rsidRPr="00321163">
        <w:rPr>
          <w:rFonts w:ascii="Book Antiqua" w:hAnsi="Book Antiqua" w:cs="Arial"/>
        </w:rPr>
        <w:t>ficant (</w:t>
      </w:r>
      <w:r w:rsidR="00193894" w:rsidRPr="00321163">
        <w:rPr>
          <w:rFonts w:ascii="Book Antiqua" w:hAnsi="Book Antiqua" w:cs="Arial"/>
          <w:i/>
        </w:rPr>
        <w:t>P</w:t>
      </w:r>
      <w:r w:rsidR="00193894" w:rsidRPr="00321163">
        <w:rPr>
          <w:rFonts w:ascii="Book Antiqua" w:hAnsi="Book Antiqua" w:cs="Arial"/>
        </w:rPr>
        <w:t xml:space="preserve"> </w:t>
      </w:r>
      <w:r w:rsidR="00410780" w:rsidRPr="00321163">
        <w:rPr>
          <w:rFonts w:ascii="Book Antiqua" w:hAnsi="Book Antiqua" w:cs="Arial"/>
        </w:rPr>
        <w:t>=</w:t>
      </w:r>
      <w:r w:rsidR="00193894" w:rsidRPr="00321163">
        <w:rPr>
          <w:rFonts w:ascii="Book Antiqua" w:eastAsia="宋体" w:hAnsi="Book Antiqua" w:cs="Arial" w:hint="eastAsia"/>
          <w:lang w:eastAsia="zh-CN"/>
        </w:rPr>
        <w:t xml:space="preserve"> 0</w:t>
      </w:r>
      <w:r w:rsidR="00410780" w:rsidRPr="00321163">
        <w:rPr>
          <w:rFonts w:ascii="Book Antiqua" w:hAnsi="Book Antiqua" w:cs="Arial"/>
        </w:rPr>
        <w:t>.0001</w:t>
      </w:r>
      <w:r w:rsidRPr="00321163">
        <w:rPr>
          <w:rFonts w:ascii="Book Antiqua" w:hAnsi="Book Antiqua" w:cs="Arial"/>
        </w:rPr>
        <w:t>)</w:t>
      </w:r>
      <w:r w:rsidR="00410780" w:rsidRPr="00321163">
        <w:rPr>
          <w:rFonts w:ascii="Book Antiqua" w:hAnsi="Book Antiqua" w:cs="Arial"/>
        </w:rPr>
        <w:t>, but not at 300 u/L (</w:t>
      </w:r>
      <w:r w:rsidR="00193894" w:rsidRPr="00321163">
        <w:rPr>
          <w:rFonts w:ascii="Book Antiqua" w:hAnsi="Book Antiqua" w:cs="Arial"/>
          <w:i/>
        </w:rPr>
        <w:t>P</w:t>
      </w:r>
      <w:r w:rsidR="00193894" w:rsidRPr="00321163">
        <w:rPr>
          <w:rFonts w:ascii="Book Antiqua" w:hAnsi="Book Antiqua" w:cs="Arial"/>
        </w:rPr>
        <w:t xml:space="preserve"> </w:t>
      </w:r>
      <w:r w:rsidR="00410780" w:rsidRPr="00321163">
        <w:rPr>
          <w:rFonts w:ascii="Book Antiqua" w:hAnsi="Book Antiqua" w:cs="Arial"/>
        </w:rPr>
        <w:t>=</w:t>
      </w:r>
      <w:r w:rsidR="00193894" w:rsidRPr="00321163">
        <w:rPr>
          <w:rFonts w:ascii="Book Antiqua" w:eastAsia="宋体" w:hAnsi="Book Antiqua" w:cs="Arial" w:hint="eastAsia"/>
          <w:lang w:eastAsia="zh-CN"/>
        </w:rPr>
        <w:t xml:space="preserve"> 0</w:t>
      </w:r>
      <w:r w:rsidR="00410780" w:rsidRPr="00321163">
        <w:rPr>
          <w:rFonts w:ascii="Book Antiqua" w:hAnsi="Book Antiqua" w:cs="Arial"/>
        </w:rPr>
        <w:t>.052)</w:t>
      </w:r>
      <w:r w:rsidRPr="00321163">
        <w:rPr>
          <w:rFonts w:ascii="Book Antiqua" w:hAnsi="Book Antiqua" w:cs="Arial"/>
        </w:rPr>
        <w:t>.</w:t>
      </w:r>
      <w:r w:rsidR="00922966" w:rsidRPr="00321163">
        <w:rPr>
          <w:rFonts w:ascii="Book Antiqua" w:hAnsi="Book Antiqua" w:cs="Arial"/>
        </w:rPr>
        <w:t xml:space="preserve"> </w:t>
      </w:r>
      <w:r w:rsidR="00730417" w:rsidRPr="00321163">
        <w:rPr>
          <w:rFonts w:ascii="Book Antiqua" w:hAnsi="Book Antiqua" w:cs="Arial"/>
        </w:rPr>
        <w:t>However, g</w:t>
      </w:r>
      <w:r w:rsidRPr="00321163">
        <w:rPr>
          <w:rFonts w:ascii="Book Antiqua" w:hAnsi="Book Antiqua" w:cs="Arial"/>
        </w:rPr>
        <w:t xml:space="preserve">iven that aminotransferases are elevated in hemolysis, when patients with hemolytic disease </w:t>
      </w:r>
      <w:r w:rsidR="000717F6" w:rsidRPr="00321163">
        <w:rPr>
          <w:rFonts w:ascii="Book Antiqua" w:hAnsi="Book Antiqua" w:cs="Arial"/>
        </w:rPr>
        <w:t>(</w:t>
      </w:r>
      <w:r w:rsidR="000717F6" w:rsidRPr="00321163">
        <w:rPr>
          <w:rFonts w:ascii="Book Antiqua" w:hAnsi="Book Antiqua" w:cs="Arial"/>
          <w:i/>
        </w:rPr>
        <w:t>n</w:t>
      </w:r>
      <w:r w:rsidR="00193894" w:rsidRPr="00321163">
        <w:rPr>
          <w:rFonts w:ascii="Book Antiqua" w:eastAsia="宋体" w:hAnsi="Book Antiqua" w:cs="Arial" w:hint="eastAsia"/>
          <w:lang w:eastAsia="zh-CN"/>
        </w:rPr>
        <w:t xml:space="preserve"> </w:t>
      </w:r>
      <w:r w:rsidR="000717F6" w:rsidRPr="00321163">
        <w:rPr>
          <w:rFonts w:ascii="Book Antiqua" w:hAnsi="Book Antiqua" w:cs="Arial"/>
        </w:rPr>
        <w:t>=</w:t>
      </w:r>
      <w:r w:rsidR="00193894" w:rsidRPr="00321163">
        <w:rPr>
          <w:rFonts w:ascii="Book Antiqua" w:eastAsia="宋体" w:hAnsi="Book Antiqua" w:cs="Arial" w:hint="eastAsia"/>
          <w:lang w:eastAsia="zh-CN"/>
        </w:rPr>
        <w:t xml:space="preserve"> </w:t>
      </w:r>
      <w:r w:rsidR="009428BB" w:rsidRPr="00321163">
        <w:rPr>
          <w:rFonts w:ascii="Book Antiqua" w:hAnsi="Book Antiqua" w:cs="Arial"/>
        </w:rPr>
        <w:t>7</w:t>
      </w:r>
      <w:r w:rsidR="000717F6" w:rsidRPr="00321163">
        <w:rPr>
          <w:rFonts w:ascii="Book Antiqua" w:hAnsi="Book Antiqua" w:cs="Arial"/>
        </w:rPr>
        <w:t xml:space="preserve">) </w:t>
      </w:r>
      <w:r w:rsidRPr="00321163">
        <w:rPr>
          <w:rFonts w:ascii="Book Antiqua" w:hAnsi="Book Antiqua" w:cs="Arial"/>
        </w:rPr>
        <w:t xml:space="preserve">were excluded there was a significant difference between </w:t>
      </w:r>
      <w:r w:rsidR="00410780" w:rsidRPr="00321163">
        <w:rPr>
          <w:rFonts w:ascii="Book Antiqua" w:hAnsi="Book Antiqua" w:cs="Arial"/>
        </w:rPr>
        <w:t xml:space="preserve">means in </w:t>
      </w:r>
      <w:r w:rsidRPr="00321163">
        <w:rPr>
          <w:rFonts w:ascii="Book Antiqua" w:hAnsi="Book Antiqua" w:cs="Arial"/>
        </w:rPr>
        <w:t>Group 1 and 2 (</w:t>
      </w:r>
      <w:r w:rsidR="00193894" w:rsidRPr="00321163">
        <w:rPr>
          <w:rFonts w:ascii="Book Antiqua" w:hAnsi="Book Antiqua" w:cs="Arial"/>
          <w:i/>
        </w:rPr>
        <w:t>P</w:t>
      </w:r>
      <w:r w:rsidR="00193894" w:rsidRPr="00321163">
        <w:rPr>
          <w:rFonts w:ascii="Book Antiqua" w:eastAsia="宋体" w:hAnsi="Book Antiqua" w:cs="Arial" w:hint="eastAsia"/>
          <w:lang w:eastAsia="zh-CN"/>
        </w:rPr>
        <w:t xml:space="preserve"> </w:t>
      </w:r>
      <w:r w:rsidRPr="00321163">
        <w:rPr>
          <w:rFonts w:ascii="Book Antiqua" w:hAnsi="Book Antiqua" w:cs="Arial"/>
        </w:rPr>
        <w:t>=</w:t>
      </w:r>
      <w:r w:rsidR="00193894" w:rsidRPr="00321163">
        <w:rPr>
          <w:rFonts w:ascii="Book Antiqua" w:eastAsia="宋体" w:hAnsi="Book Antiqua" w:cs="Arial" w:hint="eastAsia"/>
          <w:lang w:eastAsia="zh-CN"/>
        </w:rPr>
        <w:t xml:space="preserve"> 0</w:t>
      </w:r>
      <w:r w:rsidRPr="00321163">
        <w:rPr>
          <w:rFonts w:ascii="Book Antiqua" w:hAnsi="Book Antiqua" w:cs="Arial"/>
        </w:rPr>
        <w:t>.027).</w:t>
      </w:r>
    </w:p>
    <w:p w14:paraId="3F8B692D" w14:textId="6976544A" w:rsidR="00536BB6" w:rsidRPr="00321163" w:rsidRDefault="00143FD4" w:rsidP="00193894">
      <w:pPr>
        <w:spacing w:line="360" w:lineRule="auto"/>
        <w:ind w:firstLineChars="100" w:firstLine="240"/>
        <w:jc w:val="both"/>
        <w:rPr>
          <w:rFonts w:ascii="Book Antiqua" w:hAnsi="Book Antiqua"/>
        </w:rPr>
      </w:pPr>
      <w:r w:rsidRPr="00321163">
        <w:rPr>
          <w:rFonts w:ascii="Book Antiqua" w:hAnsi="Book Antiqua" w:cs="Arial"/>
        </w:rPr>
        <w:t xml:space="preserve">Additionally, </w:t>
      </w:r>
      <w:r w:rsidR="000072BC" w:rsidRPr="00321163">
        <w:rPr>
          <w:rFonts w:ascii="Book Antiqua" w:hAnsi="Book Antiqua" w:cs="Arial"/>
        </w:rPr>
        <w:sym w:font="Symbol" w:char="F067"/>
      </w:r>
      <w:r w:rsidR="000072BC" w:rsidRPr="00321163">
        <w:rPr>
          <w:rFonts w:ascii="Book Antiqua" w:hAnsi="Book Antiqua" w:cs="Arial"/>
        </w:rPr>
        <w:t>GT</w:t>
      </w:r>
      <w:r w:rsidR="004D599C" w:rsidRPr="00321163">
        <w:rPr>
          <w:rFonts w:ascii="Book Antiqua" w:hAnsi="Book Antiqua" w:cs="Arial"/>
        </w:rPr>
        <w:t xml:space="preserve"> is known to be elevated during biliary obstruction as a surrogate marker of biliary obstruction. The me</w:t>
      </w:r>
      <w:r w:rsidR="00410780" w:rsidRPr="00321163">
        <w:rPr>
          <w:rFonts w:ascii="Book Antiqua" w:hAnsi="Book Antiqua" w:cs="Arial"/>
        </w:rPr>
        <w:t>dian</w:t>
      </w:r>
      <w:r w:rsidR="004D599C" w:rsidRPr="00321163">
        <w:rPr>
          <w:rFonts w:ascii="Book Antiqua" w:hAnsi="Book Antiqua" w:cs="Arial"/>
        </w:rPr>
        <w:t xml:space="preserve"> </w:t>
      </w:r>
      <w:r w:rsidR="004D599C" w:rsidRPr="00321163">
        <w:rPr>
          <w:rFonts w:ascii="Book Antiqua" w:hAnsi="Book Antiqua" w:cs="Arial"/>
        </w:rPr>
        <w:sym w:font="Symbol" w:char="F067"/>
      </w:r>
      <w:r w:rsidR="004D599C" w:rsidRPr="00321163">
        <w:rPr>
          <w:rFonts w:ascii="Book Antiqua" w:hAnsi="Book Antiqua" w:cs="Arial"/>
        </w:rPr>
        <w:t xml:space="preserve">GT in patients with CBDS was </w:t>
      </w:r>
      <w:r w:rsidR="00410780" w:rsidRPr="00321163">
        <w:rPr>
          <w:rFonts w:ascii="Book Antiqua" w:hAnsi="Book Antiqua" w:cs="Arial"/>
        </w:rPr>
        <w:t>259</w:t>
      </w:r>
      <w:r w:rsidR="004D599C" w:rsidRPr="00321163">
        <w:rPr>
          <w:rFonts w:ascii="Book Antiqua" w:hAnsi="Book Antiqua" w:cs="Arial"/>
        </w:rPr>
        <w:t xml:space="preserve"> u/L </w:t>
      </w:r>
      <w:r w:rsidR="00410780" w:rsidRPr="00321163">
        <w:rPr>
          <w:rFonts w:ascii="Book Antiqua" w:hAnsi="Book Antiqua"/>
        </w:rPr>
        <w:t>(181</w:t>
      </w:r>
      <w:r w:rsidR="006D6D41" w:rsidRPr="00321163">
        <w:rPr>
          <w:rFonts w:ascii="Book Antiqua" w:hAnsi="Book Antiqua"/>
        </w:rPr>
        <w:t>-</w:t>
      </w:r>
      <w:r w:rsidR="00410780" w:rsidRPr="00321163">
        <w:rPr>
          <w:rFonts w:ascii="Book Antiqua" w:hAnsi="Book Antiqua"/>
        </w:rPr>
        <w:t>521)</w:t>
      </w:r>
      <w:r w:rsidR="00D74792" w:rsidRPr="00321163">
        <w:rPr>
          <w:rFonts w:ascii="Book Antiqua" w:hAnsi="Book Antiqua" w:cs="Arial"/>
        </w:rPr>
        <w:t xml:space="preserve"> </w:t>
      </w:r>
      <w:r w:rsidR="004D599C" w:rsidRPr="00321163">
        <w:rPr>
          <w:rFonts w:ascii="Book Antiqua" w:hAnsi="Book Antiqua" w:cs="Arial"/>
        </w:rPr>
        <w:t>compared to 2</w:t>
      </w:r>
      <w:r w:rsidR="00410780" w:rsidRPr="00321163">
        <w:rPr>
          <w:rFonts w:ascii="Book Antiqua" w:hAnsi="Book Antiqua" w:cs="Arial"/>
        </w:rPr>
        <w:t>03</w:t>
      </w:r>
      <w:r w:rsidR="004D599C" w:rsidRPr="00321163">
        <w:rPr>
          <w:rFonts w:ascii="Book Antiqua" w:hAnsi="Book Antiqua" w:cs="Arial"/>
        </w:rPr>
        <w:t xml:space="preserve"> u/L</w:t>
      </w:r>
      <w:r w:rsidR="000717F6" w:rsidRPr="00321163">
        <w:rPr>
          <w:rFonts w:ascii="Book Antiqua" w:hAnsi="Book Antiqua" w:cs="Arial"/>
        </w:rPr>
        <w:t xml:space="preserve"> </w:t>
      </w:r>
      <w:r w:rsidR="00410780" w:rsidRPr="00321163">
        <w:rPr>
          <w:rFonts w:ascii="Book Antiqua" w:hAnsi="Book Antiqua"/>
        </w:rPr>
        <w:t>(159-333)</w:t>
      </w:r>
      <w:r w:rsidR="004D599C" w:rsidRPr="00321163">
        <w:rPr>
          <w:rFonts w:ascii="Book Antiqua" w:hAnsi="Book Antiqua" w:cs="Arial"/>
        </w:rPr>
        <w:t xml:space="preserve"> in those without CBDS at ERCP (</w:t>
      </w:r>
      <w:r w:rsidR="00410780" w:rsidRPr="00321163">
        <w:rPr>
          <w:rFonts w:ascii="Book Antiqua" w:hAnsi="Book Antiqua" w:cs="Arial"/>
          <w:i/>
        </w:rPr>
        <w:t>P</w:t>
      </w:r>
      <w:r w:rsidR="00193894" w:rsidRPr="00321163">
        <w:rPr>
          <w:rFonts w:ascii="Book Antiqua" w:eastAsia="宋体" w:hAnsi="Book Antiqua" w:cs="Arial" w:hint="eastAsia"/>
          <w:lang w:eastAsia="zh-CN"/>
        </w:rPr>
        <w:t xml:space="preserve"> </w:t>
      </w:r>
      <w:r w:rsidR="004D599C" w:rsidRPr="00321163">
        <w:rPr>
          <w:rFonts w:ascii="Book Antiqua" w:hAnsi="Book Antiqua" w:cs="Arial"/>
        </w:rPr>
        <w:t>=</w:t>
      </w:r>
      <w:r w:rsidR="00193894" w:rsidRPr="00321163">
        <w:rPr>
          <w:rFonts w:ascii="Book Antiqua" w:eastAsia="宋体" w:hAnsi="Book Antiqua" w:cs="Arial" w:hint="eastAsia"/>
          <w:lang w:eastAsia="zh-CN"/>
        </w:rPr>
        <w:t xml:space="preserve"> 0</w:t>
      </w:r>
      <w:r w:rsidR="004D599C" w:rsidRPr="00321163">
        <w:rPr>
          <w:rFonts w:ascii="Book Antiqua" w:hAnsi="Book Antiqua" w:cs="Arial"/>
        </w:rPr>
        <w:t xml:space="preserve">.268). When a </w:t>
      </w:r>
      <w:r w:rsidR="004D599C" w:rsidRPr="00321163">
        <w:rPr>
          <w:rFonts w:ascii="Book Antiqua" w:hAnsi="Book Antiqua" w:cs="Arial"/>
        </w:rPr>
        <w:sym w:font="Symbol" w:char="F067"/>
      </w:r>
      <w:r w:rsidR="004D599C" w:rsidRPr="00321163">
        <w:rPr>
          <w:rFonts w:ascii="Book Antiqua" w:hAnsi="Book Antiqua" w:cs="Arial"/>
        </w:rPr>
        <w:t>GT cut-off level of 400 u/L was used, a high sensitivity and positive predictive value were seen (</w:t>
      </w:r>
      <w:r w:rsidR="00193894" w:rsidRPr="00321163">
        <w:rPr>
          <w:rFonts w:ascii="Book Antiqua" w:hAnsi="Book Antiqua" w:cs="Arial"/>
          <w:i/>
        </w:rPr>
        <w:t>P</w:t>
      </w:r>
      <w:r w:rsidR="00193894" w:rsidRPr="00321163">
        <w:rPr>
          <w:rFonts w:ascii="Book Antiqua" w:eastAsia="宋体" w:hAnsi="Book Antiqua" w:cs="Arial" w:hint="eastAsia"/>
          <w:i/>
          <w:lang w:eastAsia="zh-CN"/>
        </w:rPr>
        <w:t xml:space="preserve"> </w:t>
      </w:r>
      <w:r w:rsidR="004D599C" w:rsidRPr="00321163">
        <w:rPr>
          <w:rFonts w:ascii="Book Antiqua" w:hAnsi="Book Antiqua" w:cs="Arial"/>
        </w:rPr>
        <w:t>=</w:t>
      </w:r>
      <w:r w:rsidR="00193894" w:rsidRPr="00321163">
        <w:rPr>
          <w:rFonts w:ascii="Book Antiqua" w:eastAsia="宋体" w:hAnsi="Book Antiqua" w:cs="Arial" w:hint="eastAsia"/>
          <w:lang w:eastAsia="zh-CN"/>
        </w:rPr>
        <w:t xml:space="preserve"> 0</w:t>
      </w:r>
      <w:r w:rsidR="004D599C" w:rsidRPr="00321163">
        <w:rPr>
          <w:rFonts w:ascii="Book Antiqua" w:hAnsi="Book Antiqua" w:cs="Arial"/>
        </w:rPr>
        <w:t>.0</w:t>
      </w:r>
      <w:r w:rsidR="00410780" w:rsidRPr="00321163">
        <w:rPr>
          <w:rFonts w:ascii="Book Antiqua" w:hAnsi="Book Antiqua" w:cs="Arial"/>
        </w:rPr>
        <w:t>001</w:t>
      </w:r>
      <w:r w:rsidR="004D599C" w:rsidRPr="00321163">
        <w:rPr>
          <w:rFonts w:ascii="Book Antiqua" w:hAnsi="Book Antiqua" w:cs="Arial"/>
        </w:rPr>
        <w:t>).</w:t>
      </w:r>
      <w:r w:rsidR="00922966" w:rsidRPr="00321163">
        <w:rPr>
          <w:rFonts w:ascii="Book Antiqua" w:hAnsi="Book Antiqua"/>
        </w:rPr>
        <w:t xml:space="preserve"> </w:t>
      </w:r>
      <w:r w:rsidR="00580A0E" w:rsidRPr="00321163">
        <w:rPr>
          <w:rFonts w:ascii="Book Antiqua" w:hAnsi="Book Antiqua" w:cs="Arial"/>
        </w:rPr>
        <w:t xml:space="preserve">These findings suggest that </w:t>
      </w:r>
      <w:r w:rsidR="00727EA5" w:rsidRPr="00321163">
        <w:rPr>
          <w:rFonts w:ascii="Book Antiqua" w:hAnsi="Book Antiqua" w:cs="Arial"/>
        </w:rPr>
        <w:t xml:space="preserve">aminotransferases and </w:t>
      </w:r>
      <w:r w:rsidR="00727EA5" w:rsidRPr="00321163">
        <w:rPr>
          <w:rFonts w:ascii="Book Antiqua" w:hAnsi="Book Antiqua" w:cs="Arial"/>
        </w:rPr>
        <w:sym w:font="Symbol" w:char="F067"/>
      </w:r>
      <w:r w:rsidR="00727EA5" w:rsidRPr="00321163">
        <w:rPr>
          <w:rFonts w:ascii="Book Antiqua" w:hAnsi="Book Antiqua" w:cs="Arial"/>
        </w:rPr>
        <w:t>GT may be of value</w:t>
      </w:r>
      <w:r w:rsidR="00730417" w:rsidRPr="00321163">
        <w:rPr>
          <w:rFonts w:ascii="Book Antiqua" w:hAnsi="Book Antiqua" w:cs="Arial"/>
        </w:rPr>
        <w:t xml:space="preserve"> in the prediction of CBDS</w:t>
      </w:r>
      <w:r w:rsidR="002D097D" w:rsidRPr="00321163">
        <w:rPr>
          <w:rFonts w:ascii="Book Antiqua" w:hAnsi="Book Antiqua" w:cs="Arial"/>
        </w:rPr>
        <w:t xml:space="preserve"> in children</w:t>
      </w:r>
      <w:r w:rsidR="00727EA5" w:rsidRPr="00321163">
        <w:rPr>
          <w:rFonts w:ascii="Book Antiqua" w:hAnsi="Book Antiqua" w:cs="Arial"/>
        </w:rPr>
        <w:t>.</w:t>
      </w:r>
      <w:r w:rsidR="00C6159C" w:rsidRPr="00321163">
        <w:rPr>
          <w:rFonts w:ascii="Book Antiqua" w:hAnsi="Book Antiqua" w:cs="Arial"/>
        </w:rPr>
        <w:t xml:space="preserve"> </w:t>
      </w:r>
    </w:p>
    <w:p w14:paraId="624EBA30" w14:textId="77777777" w:rsidR="000717F6" w:rsidRPr="00321163" w:rsidRDefault="000717F6" w:rsidP="00CA6249">
      <w:pPr>
        <w:spacing w:line="360" w:lineRule="auto"/>
        <w:jc w:val="both"/>
        <w:rPr>
          <w:rFonts w:ascii="Book Antiqua" w:hAnsi="Book Antiqua"/>
        </w:rPr>
      </w:pPr>
    </w:p>
    <w:p w14:paraId="0149B149" w14:textId="523BB754" w:rsidR="006F03C5" w:rsidRPr="00321163" w:rsidRDefault="00593E8D" w:rsidP="00CA6249">
      <w:pPr>
        <w:spacing w:line="360" w:lineRule="auto"/>
        <w:jc w:val="both"/>
        <w:rPr>
          <w:rFonts w:ascii="Book Antiqua" w:eastAsia="宋体" w:hAnsi="Book Antiqua"/>
          <w:b/>
          <w:lang w:eastAsia="zh-CN"/>
        </w:rPr>
      </w:pPr>
      <w:r w:rsidRPr="00321163">
        <w:rPr>
          <w:rFonts w:ascii="Book Antiqua" w:hAnsi="Book Antiqua"/>
          <w:b/>
        </w:rPr>
        <w:t>DISCUSSION</w:t>
      </w:r>
    </w:p>
    <w:p w14:paraId="7027E56D" w14:textId="123F89F0" w:rsidR="0073420B" w:rsidRPr="00321163" w:rsidRDefault="000F78B2" w:rsidP="00CA6249">
      <w:pPr>
        <w:spacing w:line="360" w:lineRule="auto"/>
        <w:jc w:val="both"/>
        <w:rPr>
          <w:rFonts w:ascii="Book Antiqua" w:hAnsi="Book Antiqua"/>
        </w:rPr>
      </w:pPr>
      <w:r w:rsidRPr="00321163">
        <w:rPr>
          <w:rFonts w:ascii="Book Antiqua" w:hAnsi="Book Antiqua"/>
        </w:rPr>
        <w:t xml:space="preserve">While several groups have reported their experience using ERCP in pediatric patients, </w:t>
      </w:r>
      <w:r w:rsidR="00FC5305" w:rsidRPr="00321163">
        <w:rPr>
          <w:rFonts w:ascii="Book Antiqua" w:hAnsi="Book Antiqua"/>
        </w:rPr>
        <w:t xml:space="preserve">to our knowledge </w:t>
      </w:r>
      <w:r w:rsidRPr="00321163">
        <w:rPr>
          <w:rFonts w:ascii="Book Antiqua" w:hAnsi="Book Antiqua"/>
        </w:rPr>
        <w:t xml:space="preserve">this is the first series to evaluate the management of choledocholithiasis using </w:t>
      </w:r>
      <w:r w:rsidR="006D52F6" w:rsidRPr="00321163">
        <w:rPr>
          <w:rFonts w:ascii="Book Antiqua" w:hAnsi="Book Antiqua"/>
        </w:rPr>
        <w:t xml:space="preserve">current </w:t>
      </w:r>
      <w:r w:rsidR="00FC5305" w:rsidRPr="00321163">
        <w:rPr>
          <w:rFonts w:ascii="Book Antiqua" w:hAnsi="Book Antiqua"/>
        </w:rPr>
        <w:t xml:space="preserve">clinical practice </w:t>
      </w:r>
      <w:proofErr w:type="gramStart"/>
      <w:r w:rsidR="006D52F6" w:rsidRPr="00321163">
        <w:rPr>
          <w:rFonts w:ascii="Book Antiqua" w:hAnsi="Book Antiqua"/>
        </w:rPr>
        <w:t>guidelines</w:t>
      </w:r>
      <w:r w:rsidR="00593E8D" w:rsidRPr="00321163">
        <w:rPr>
          <w:rFonts w:ascii="Book Antiqua" w:hAnsi="Book Antiqua"/>
          <w:vertAlign w:val="superscript"/>
        </w:rPr>
        <w:t>[</w:t>
      </w:r>
      <w:proofErr w:type="gramEnd"/>
      <w:r w:rsidR="00593E8D" w:rsidRPr="00321163">
        <w:rPr>
          <w:rFonts w:ascii="Book Antiqua" w:hAnsi="Book Antiqua"/>
          <w:vertAlign w:val="superscript"/>
        </w:rPr>
        <w:t>13-15]</w:t>
      </w:r>
      <w:r w:rsidR="004C2A12" w:rsidRPr="00321163">
        <w:rPr>
          <w:rFonts w:ascii="Book Antiqua" w:hAnsi="Book Antiqua"/>
        </w:rPr>
        <w:t xml:space="preserve">. </w:t>
      </w:r>
      <w:r w:rsidR="00C70325" w:rsidRPr="00321163">
        <w:rPr>
          <w:rFonts w:ascii="Book Antiqua" w:hAnsi="Book Antiqua"/>
        </w:rPr>
        <w:t>The ASGE guidelines published in 2010 utilize ult</w:t>
      </w:r>
      <w:r w:rsidR="0073420B" w:rsidRPr="00321163">
        <w:rPr>
          <w:rFonts w:ascii="Book Antiqua" w:hAnsi="Book Antiqua"/>
        </w:rPr>
        <w:t xml:space="preserve">rasound findings of CBD stones or </w:t>
      </w:r>
      <w:r w:rsidR="00C70325" w:rsidRPr="00321163">
        <w:rPr>
          <w:rFonts w:ascii="Book Antiqua" w:hAnsi="Book Antiqua"/>
        </w:rPr>
        <w:t xml:space="preserve">common bile duct diameter, total bilirubin, age, and presence of cholangitis to identify patients at highest risk for </w:t>
      </w:r>
      <w:proofErr w:type="gramStart"/>
      <w:r w:rsidRPr="00321163">
        <w:rPr>
          <w:rFonts w:ascii="Book Antiqua" w:hAnsi="Book Antiqua"/>
        </w:rPr>
        <w:t>CBDS</w:t>
      </w:r>
      <w:r w:rsidR="00593E8D" w:rsidRPr="00321163">
        <w:rPr>
          <w:rFonts w:ascii="Book Antiqua" w:hAnsi="Book Antiqua"/>
          <w:vertAlign w:val="superscript"/>
        </w:rPr>
        <w:t>[</w:t>
      </w:r>
      <w:proofErr w:type="gramEnd"/>
      <w:r w:rsidR="00593E8D" w:rsidRPr="00321163">
        <w:rPr>
          <w:rFonts w:ascii="Book Antiqua" w:hAnsi="Book Antiqua"/>
          <w:vertAlign w:val="superscript"/>
        </w:rPr>
        <w:t>10]</w:t>
      </w:r>
      <w:r w:rsidR="00C70325" w:rsidRPr="00321163">
        <w:rPr>
          <w:rFonts w:ascii="Book Antiqua" w:hAnsi="Book Antiqua"/>
        </w:rPr>
        <w:t xml:space="preserve">. </w:t>
      </w:r>
      <w:r w:rsidRPr="00321163">
        <w:rPr>
          <w:rFonts w:ascii="Book Antiqua" w:hAnsi="Book Antiqua"/>
        </w:rPr>
        <w:t>We classified a series of pediatric patients with suspected choledocholithiasis that underwent ERCP using these criteria</w:t>
      </w:r>
      <w:r w:rsidR="006D52F6" w:rsidRPr="00321163">
        <w:rPr>
          <w:rFonts w:ascii="Book Antiqua" w:hAnsi="Book Antiqua"/>
        </w:rPr>
        <w:t xml:space="preserve"> at an acceptable </w:t>
      </w:r>
      <w:r w:rsidR="0073420B" w:rsidRPr="00321163">
        <w:rPr>
          <w:rFonts w:ascii="Book Antiqua" w:hAnsi="Book Antiqua"/>
        </w:rPr>
        <w:t>sensitivity of 59.5 (VS) and 48.6% (</w:t>
      </w:r>
      <w:r w:rsidR="00F47887" w:rsidRPr="00321163">
        <w:rPr>
          <w:rFonts w:ascii="Book Antiqua" w:hAnsi="Book Antiqua"/>
        </w:rPr>
        <w:t>S</w:t>
      </w:r>
      <w:r w:rsidR="0073420B" w:rsidRPr="00321163">
        <w:rPr>
          <w:rFonts w:ascii="Book Antiqua" w:hAnsi="Book Antiqua"/>
        </w:rPr>
        <w:t xml:space="preserve">). However, we </w:t>
      </w:r>
      <w:r w:rsidR="0073420B" w:rsidRPr="00321163">
        <w:rPr>
          <w:rFonts w:ascii="Book Antiqua" w:hAnsi="Book Antiqua"/>
        </w:rPr>
        <w:lastRenderedPageBreak/>
        <w:t>found that using conjugated bilirubin instead of total bilirubin improved the sensitivity for CBDS identification to 81%.</w:t>
      </w:r>
      <w:r w:rsidR="00922966" w:rsidRPr="00321163">
        <w:rPr>
          <w:rFonts w:ascii="Book Antiqua" w:hAnsi="Book Antiqua"/>
        </w:rPr>
        <w:t xml:space="preserve"> </w:t>
      </w:r>
      <w:r w:rsidR="00EC111A" w:rsidRPr="00321163">
        <w:rPr>
          <w:rFonts w:ascii="Book Antiqua" w:hAnsi="Book Antiqua"/>
        </w:rPr>
        <w:t>However in practice, deciding on ERCP</w:t>
      </w:r>
      <w:r w:rsidR="005A2830" w:rsidRPr="00321163">
        <w:rPr>
          <w:rFonts w:ascii="Book Antiqua" w:hAnsi="Book Antiqua"/>
        </w:rPr>
        <w:t xml:space="preserve"> in those </w:t>
      </w:r>
      <w:r w:rsidR="00EC111A" w:rsidRPr="00321163">
        <w:rPr>
          <w:rFonts w:ascii="Book Antiqua" w:hAnsi="Book Antiqua"/>
        </w:rPr>
        <w:t xml:space="preserve">without a visualized stone on initial imaging and mild elevations or normal bilirubin </w:t>
      </w:r>
      <w:r w:rsidR="005A2830" w:rsidRPr="00321163">
        <w:rPr>
          <w:rFonts w:ascii="Book Antiqua" w:hAnsi="Book Antiqua"/>
        </w:rPr>
        <w:t>is quite</w:t>
      </w:r>
      <w:r w:rsidR="00EC111A" w:rsidRPr="00321163">
        <w:rPr>
          <w:rFonts w:ascii="Book Antiqua" w:hAnsi="Book Antiqua"/>
        </w:rPr>
        <w:t xml:space="preserve"> challenging.</w:t>
      </w:r>
      <w:r w:rsidR="00922966" w:rsidRPr="00321163">
        <w:rPr>
          <w:rFonts w:ascii="Book Antiqua" w:hAnsi="Book Antiqua"/>
        </w:rPr>
        <w:t xml:space="preserve"> </w:t>
      </w:r>
      <w:r w:rsidR="00EC111A" w:rsidRPr="00321163">
        <w:rPr>
          <w:rFonts w:ascii="Book Antiqua" w:hAnsi="Book Antiqua"/>
        </w:rPr>
        <w:t>In this setting both the standard and modified pediatric strong criteria are import</w:t>
      </w:r>
      <w:r w:rsidR="00593E8D" w:rsidRPr="00321163">
        <w:rPr>
          <w:rFonts w:ascii="Book Antiqua" w:hAnsi="Book Antiqua"/>
        </w:rPr>
        <w:t>ant. In our subset of patients,</w:t>
      </w:r>
      <w:r w:rsidR="00EC111A" w:rsidRPr="00321163">
        <w:rPr>
          <w:rFonts w:ascii="Book Antiqua" w:hAnsi="Book Antiqua"/>
        </w:rPr>
        <w:t xml:space="preserve"> </w:t>
      </w:r>
      <w:r w:rsidR="005A2830" w:rsidRPr="00321163">
        <w:rPr>
          <w:rFonts w:ascii="Book Antiqua" w:hAnsi="Book Antiqua"/>
        </w:rPr>
        <w:t>the S-PM had a higher sensitivity than the standard criteria, and the same specificity.</w:t>
      </w:r>
      <w:r w:rsidR="00922966" w:rsidRPr="00321163">
        <w:rPr>
          <w:rFonts w:ascii="Book Antiqua" w:hAnsi="Book Antiqua"/>
        </w:rPr>
        <w:t xml:space="preserve"> </w:t>
      </w:r>
      <w:r w:rsidR="005A2830" w:rsidRPr="00321163">
        <w:rPr>
          <w:rFonts w:ascii="Book Antiqua" w:hAnsi="Book Antiqua"/>
        </w:rPr>
        <w:t>These criteria are dependent on both abnormal bilirubin and ductal dilatation, but in both criteria the major driver is the bilirubin level as even in children ductal dilatation is quite common in stone related disease.</w:t>
      </w:r>
      <w:r w:rsidR="00922966" w:rsidRPr="00321163">
        <w:rPr>
          <w:rFonts w:ascii="Book Antiqua" w:hAnsi="Book Antiqua"/>
        </w:rPr>
        <w:t xml:space="preserve"> </w:t>
      </w:r>
    </w:p>
    <w:p w14:paraId="2B8F0B5E" w14:textId="014F3131" w:rsidR="00DF15D3" w:rsidRPr="00321163" w:rsidRDefault="0025725C" w:rsidP="00593E8D">
      <w:pPr>
        <w:spacing w:line="360" w:lineRule="auto"/>
        <w:ind w:firstLineChars="100" w:firstLine="240"/>
        <w:jc w:val="both"/>
        <w:rPr>
          <w:rFonts w:ascii="Book Antiqua" w:hAnsi="Book Antiqua"/>
        </w:rPr>
      </w:pPr>
      <w:r w:rsidRPr="00321163">
        <w:rPr>
          <w:rFonts w:ascii="Book Antiqua" w:hAnsi="Book Antiqua"/>
        </w:rPr>
        <w:t>The majority of published series</w:t>
      </w:r>
      <w:r w:rsidR="00306248" w:rsidRPr="00321163">
        <w:rPr>
          <w:rFonts w:ascii="Book Antiqua" w:hAnsi="Book Antiqua"/>
        </w:rPr>
        <w:t xml:space="preserve"> and accepted guidelines</w:t>
      </w:r>
      <w:r w:rsidRPr="00321163">
        <w:rPr>
          <w:rFonts w:ascii="Book Antiqua" w:hAnsi="Book Antiqua"/>
        </w:rPr>
        <w:t xml:space="preserve"> </w:t>
      </w:r>
      <w:r w:rsidR="006E7F80" w:rsidRPr="00321163">
        <w:rPr>
          <w:rFonts w:ascii="Book Antiqua" w:hAnsi="Book Antiqua"/>
        </w:rPr>
        <w:t xml:space="preserve">in adults </w:t>
      </w:r>
      <w:r w:rsidRPr="00321163">
        <w:rPr>
          <w:rFonts w:ascii="Book Antiqua" w:hAnsi="Book Antiqua"/>
        </w:rPr>
        <w:t xml:space="preserve">use identification of CBDS </w:t>
      </w:r>
      <w:r w:rsidR="00306248" w:rsidRPr="00321163">
        <w:rPr>
          <w:rFonts w:ascii="Book Antiqua" w:hAnsi="Book Antiqua"/>
        </w:rPr>
        <w:t xml:space="preserve">and bile duct diameter </w:t>
      </w:r>
      <w:r w:rsidRPr="00321163">
        <w:rPr>
          <w:rFonts w:ascii="Book Antiqua" w:hAnsi="Book Antiqua"/>
        </w:rPr>
        <w:t>by t</w:t>
      </w:r>
      <w:r w:rsidR="0073420B" w:rsidRPr="00321163">
        <w:rPr>
          <w:rFonts w:ascii="Book Antiqua" w:hAnsi="Book Antiqua"/>
        </w:rPr>
        <w:t>ran</w:t>
      </w:r>
      <w:r w:rsidR="00306248" w:rsidRPr="00321163">
        <w:rPr>
          <w:rFonts w:ascii="Book Antiqua" w:hAnsi="Book Antiqua"/>
        </w:rPr>
        <w:t>s-abdominal ultrasound as</w:t>
      </w:r>
      <w:r w:rsidRPr="00321163">
        <w:rPr>
          <w:rFonts w:ascii="Book Antiqua" w:hAnsi="Book Antiqua"/>
        </w:rPr>
        <w:t xml:space="preserve"> critical </w:t>
      </w:r>
      <w:proofErr w:type="gramStart"/>
      <w:r w:rsidRPr="00321163">
        <w:rPr>
          <w:rFonts w:ascii="Book Antiqua" w:hAnsi="Book Antiqua"/>
        </w:rPr>
        <w:t>determinant</w:t>
      </w:r>
      <w:r w:rsidR="00306248" w:rsidRPr="00321163">
        <w:rPr>
          <w:rFonts w:ascii="Book Antiqua" w:hAnsi="Book Antiqua"/>
        </w:rPr>
        <w:t>s</w:t>
      </w:r>
      <w:r w:rsidR="00593E8D" w:rsidRPr="00321163">
        <w:rPr>
          <w:rFonts w:ascii="Book Antiqua" w:hAnsi="Book Antiqua"/>
          <w:vertAlign w:val="superscript"/>
        </w:rPr>
        <w:t>[</w:t>
      </w:r>
      <w:proofErr w:type="gramEnd"/>
      <w:r w:rsidR="00593E8D" w:rsidRPr="00321163">
        <w:rPr>
          <w:rFonts w:ascii="Book Antiqua" w:hAnsi="Book Antiqua"/>
          <w:vertAlign w:val="superscript"/>
        </w:rPr>
        <w:t>5-10]</w:t>
      </w:r>
      <w:r w:rsidRPr="00321163">
        <w:rPr>
          <w:rFonts w:ascii="Book Antiqua" w:hAnsi="Book Antiqua"/>
        </w:rPr>
        <w:t>.</w:t>
      </w:r>
      <w:r w:rsidR="00447883" w:rsidRPr="00321163">
        <w:rPr>
          <w:rFonts w:ascii="Book Antiqua" w:hAnsi="Book Antiqua"/>
        </w:rPr>
        <w:t xml:space="preserve"> The sensitivity of ultrasound for CBDS is rep</w:t>
      </w:r>
      <w:r w:rsidR="0049286C" w:rsidRPr="00321163">
        <w:rPr>
          <w:rFonts w:ascii="Book Antiqua" w:hAnsi="Book Antiqua"/>
        </w:rPr>
        <w:t>orted up to 55% in adults, whereas in our series only 4</w:t>
      </w:r>
      <w:r w:rsidR="00E2147F" w:rsidRPr="00321163">
        <w:rPr>
          <w:rFonts w:ascii="Book Antiqua" w:hAnsi="Book Antiqua"/>
        </w:rPr>
        <w:t>3</w:t>
      </w:r>
      <w:r w:rsidR="0049286C" w:rsidRPr="00321163">
        <w:rPr>
          <w:rFonts w:ascii="Book Antiqua" w:hAnsi="Book Antiqua"/>
        </w:rPr>
        <w:t xml:space="preserve">% of patients had CBDS identified by </w:t>
      </w:r>
      <w:proofErr w:type="gramStart"/>
      <w:r w:rsidR="0049286C" w:rsidRPr="00321163">
        <w:rPr>
          <w:rFonts w:ascii="Book Antiqua" w:hAnsi="Book Antiqua"/>
        </w:rPr>
        <w:t>ultrasound</w:t>
      </w:r>
      <w:r w:rsidR="00593E8D" w:rsidRPr="00321163">
        <w:rPr>
          <w:rFonts w:ascii="Book Antiqua" w:hAnsi="Book Antiqua"/>
          <w:vertAlign w:val="superscript"/>
        </w:rPr>
        <w:t>[</w:t>
      </w:r>
      <w:proofErr w:type="gramEnd"/>
      <w:r w:rsidR="00593E8D" w:rsidRPr="00321163">
        <w:rPr>
          <w:rFonts w:ascii="Book Antiqua" w:hAnsi="Book Antiqua"/>
          <w:vertAlign w:val="superscript"/>
        </w:rPr>
        <w:t>16]</w:t>
      </w:r>
      <w:r w:rsidR="0049286C" w:rsidRPr="00321163">
        <w:rPr>
          <w:rFonts w:ascii="Book Antiqua" w:hAnsi="Book Antiqua"/>
        </w:rPr>
        <w:t xml:space="preserve">. </w:t>
      </w:r>
      <w:r w:rsidR="000754C4" w:rsidRPr="00321163">
        <w:rPr>
          <w:rFonts w:ascii="Book Antiqua" w:hAnsi="Book Antiqua"/>
        </w:rPr>
        <w:t>Additionally, the sensitivity of the modified VS criteria exceeded the lower limit of sensitivity for CBDS detection by ultrasound.</w:t>
      </w:r>
      <w:r w:rsidR="00922966" w:rsidRPr="00321163">
        <w:rPr>
          <w:rFonts w:ascii="Book Antiqua" w:hAnsi="Book Antiqua"/>
        </w:rPr>
        <w:t xml:space="preserve"> </w:t>
      </w:r>
      <w:r w:rsidR="0049286C" w:rsidRPr="00321163">
        <w:rPr>
          <w:rFonts w:ascii="Book Antiqua" w:hAnsi="Book Antiqua"/>
        </w:rPr>
        <w:t xml:space="preserve">Normal common bile duct </w:t>
      </w:r>
      <w:r w:rsidR="00F47887" w:rsidRPr="00321163">
        <w:rPr>
          <w:rFonts w:ascii="Book Antiqua" w:hAnsi="Book Antiqua"/>
        </w:rPr>
        <w:t>diameters in adults are</w:t>
      </w:r>
      <w:r w:rsidR="0049286C" w:rsidRPr="00321163">
        <w:rPr>
          <w:rFonts w:ascii="Book Antiqua" w:hAnsi="Book Antiqua"/>
        </w:rPr>
        <w:t xml:space="preserve"> reported to be 4-6 mm, with small increases with advancing </w:t>
      </w:r>
      <w:proofErr w:type="gramStart"/>
      <w:r w:rsidR="0049286C" w:rsidRPr="00321163">
        <w:rPr>
          <w:rFonts w:ascii="Book Antiqua" w:hAnsi="Book Antiqua"/>
        </w:rPr>
        <w:t>age</w:t>
      </w:r>
      <w:r w:rsidR="00593E8D" w:rsidRPr="00321163">
        <w:rPr>
          <w:rFonts w:ascii="Book Antiqua" w:hAnsi="Book Antiqua"/>
          <w:vertAlign w:val="superscript"/>
        </w:rPr>
        <w:t>[</w:t>
      </w:r>
      <w:proofErr w:type="gramEnd"/>
      <w:r w:rsidR="00593E8D" w:rsidRPr="00321163">
        <w:rPr>
          <w:rFonts w:ascii="Book Antiqua" w:hAnsi="Book Antiqua"/>
          <w:vertAlign w:val="superscript"/>
        </w:rPr>
        <w:t>17]</w:t>
      </w:r>
      <w:r w:rsidR="0049286C" w:rsidRPr="00321163">
        <w:rPr>
          <w:rFonts w:ascii="Book Antiqua" w:hAnsi="Book Antiqua"/>
        </w:rPr>
        <w:t xml:space="preserve">. </w:t>
      </w:r>
      <w:r w:rsidR="00991687" w:rsidRPr="00321163">
        <w:rPr>
          <w:rFonts w:ascii="Book Antiqua" w:hAnsi="Book Antiqua"/>
        </w:rPr>
        <w:t>A common b</w:t>
      </w:r>
      <w:r w:rsidR="0049286C" w:rsidRPr="00321163">
        <w:rPr>
          <w:rFonts w:ascii="Book Antiqua" w:hAnsi="Book Antiqua"/>
        </w:rPr>
        <w:t xml:space="preserve">ile duct diameter greater than six millimeters </w:t>
      </w:r>
      <w:r w:rsidR="00991687" w:rsidRPr="00321163">
        <w:rPr>
          <w:rFonts w:ascii="Book Antiqua" w:hAnsi="Book Antiqua"/>
        </w:rPr>
        <w:t xml:space="preserve">suggests obstruction and </w:t>
      </w:r>
      <w:r w:rsidR="0049286C" w:rsidRPr="00321163">
        <w:rPr>
          <w:rFonts w:ascii="Book Antiqua" w:hAnsi="Book Antiqua"/>
        </w:rPr>
        <w:t>is used in the current ASGE guidelines.</w:t>
      </w:r>
      <w:r w:rsidR="00991687" w:rsidRPr="00321163">
        <w:rPr>
          <w:rFonts w:ascii="Book Antiqua" w:hAnsi="Book Antiqua"/>
        </w:rPr>
        <w:t xml:space="preserve"> Early studies of pediatric common bile duct diameter using intravenous cholangiography, demonstrated an upper limit of 6 to 7 mm in children and </w:t>
      </w:r>
      <w:r w:rsidR="00A77251" w:rsidRPr="00321163">
        <w:rPr>
          <w:rFonts w:ascii="Book Antiqua" w:hAnsi="Book Antiqua"/>
        </w:rPr>
        <w:t>that they were more</w:t>
      </w:r>
      <w:r w:rsidR="00991687" w:rsidRPr="00321163">
        <w:rPr>
          <w:rFonts w:ascii="Book Antiqua" w:hAnsi="Book Antiqua"/>
        </w:rPr>
        <w:t xml:space="preserve"> distensible than adult bile </w:t>
      </w:r>
      <w:proofErr w:type="gramStart"/>
      <w:r w:rsidR="00991687" w:rsidRPr="00321163">
        <w:rPr>
          <w:rFonts w:ascii="Book Antiqua" w:hAnsi="Book Antiqua"/>
        </w:rPr>
        <w:t>ducts</w:t>
      </w:r>
      <w:r w:rsidR="00593E8D" w:rsidRPr="00321163">
        <w:rPr>
          <w:rFonts w:ascii="Book Antiqua" w:hAnsi="Book Antiqua"/>
          <w:vertAlign w:val="superscript"/>
        </w:rPr>
        <w:t>[</w:t>
      </w:r>
      <w:proofErr w:type="gramEnd"/>
      <w:r w:rsidR="00593E8D" w:rsidRPr="00321163">
        <w:rPr>
          <w:rFonts w:ascii="Book Antiqua" w:hAnsi="Book Antiqua"/>
          <w:vertAlign w:val="superscript"/>
        </w:rPr>
        <w:t>18</w:t>
      </w:r>
      <w:r w:rsidR="00593E8D" w:rsidRPr="00321163">
        <w:rPr>
          <w:rFonts w:ascii="Book Antiqua" w:eastAsia="宋体" w:hAnsi="Book Antiqua" w:hint="eastAsia"/>
          <w:vertAlign w:val="superscript"/>
          <w:lang w:eastAsia="zh-CN"/>
        </w:rPr>
        <w:t>,</w:t>
      </w:r>
      <w:r w:rsidR="00593E8D" w:rsidRPr="00321163">
        <w:rPr>
          <w:rFonts w:ascii="Book Antiqua" w:hAnsi="Book Antiqua"/>
          <w:vertAlign w:val="superscript"/>
        </w:rPr>
        <w:t>19]</w:t>
      </w:r>
      <w:r w:rsidR="00991687" w:rsidRPr="00321163">
        <w:rPr>
          <w:rFonts w:ascii="Book Antiqua" w:hAnsi="Book Antiqua"/>
        </w:rPr>
        <w:t>.</w:t>
      </w:r>
      <w:r w:rsidR="00BA0E2D" w:rsidRPr="00321163">
        <w:rPr>
          <w:rFonts w:ascii="Book Antiqua" w:hAnsi="Book Antiqua"/>
        </w:rPr>
        <w:t xml:space="preserve"> </w:t>
      </w:r>
      <w:r w:rsidR="00991687" w:rsidRPr="00321163">
        <w:rPr>
          <w:rFonts w:ascii="Book Antiqua" w:hAnsi="Book Antiqua"/>
        </w:rPr>
        <w:t>By ultrasound, the common bile duct in early adolescence should not exce</w:t>
      </w:r>
      <w:r w:rsidR="007D11B1" w:rsidRPr="00321163">
        <w:rPr>
          <w:rFonts w:ascii="Book Antiqua" w:hAnsi="Book Antiqua"/>
        </w:rPr>
        <w:t>ed 2.5-3.0 mm</w:t>
      </w:r>
      <w:r w:rsidR="00991687" w:rsidRPr="00321163">
        <w:rPr>
          <w:rFonts w:ascii="Book Antiqua" w:hAnsi="Book Antiqua"/>
        </w:rPr>
        <w:t xml:space="preserve">, although </w:t>
      </w:r>
      <w:r w:rsidR="00A77251" w:rsidRPr="00321163">
        <w:rPr>
          <w:rFonts w:ascii="Book Antiqua" w:hAnsi="Book Antiqua"/>
        </w:rPr>
        <w:t>values</w:t>
      </w:r>
      <w:r w:rsidR="00991687" w:rsidRPr="00321163">
        <w:rPr>
          <w:rFonts w:ascii="Book Antiqua" w:hAnsi="Book Antiqua"/>
        </w:rPr>
        <w:t xml:space="preserve"> for teenagers are largely based on adult normative </w:t>
      </w:r>
      <w:proofErr w:type="gramStart"/>
      <w:r w:rsidR="00991687" w:rsidRPr="00321163">
        <w:rPr>
          <w:rFonts w:ascii="Book Antiqua" w:hAnsi="Book Antiqua"/>
        </w:rPr>
        <w:t>values</w:t>
      </w:r>
      <w:r w:rsidR="00593E8D" w:rsidRPr="00321163">
        <w:rPr>
          <w:rFonts w:ascii="Book Antiqua" w:hAnsi="Book Antiqua"/>
          <w:vertAlign w:val="superscript"/>
        </w:rPr>
        <w:t>[</w:t>
      </w:r>
      <w:proofErr w:type="gramEnd"/>
      <w:r w:rsidR="00593E8D" w:rsidRPr="00321163">
        <w:rPr>
          <w:rFonts w:ascii="Book Antiqua" w:hAnsi="Book Antiqua"/>
          <w:vertAlign w:val="superscript"/>
        </w:rPr>
        <w:t>14,16,18-20]</w:t>
      </w:r>
      <w:r w:rsidR="00991687" w:rsidRPr="00321163">
        <w:rPr>
          <w:rFonts w:ascii="Book Antiqua" w:hAnsi="Book Antiqua"/>
        </w:rPr>
        <w:t xml:space="preserve">. </w:t>
      </w:r>
      <w:r w:rsidR="00C22FD9" w:rsidRPr="00321163">
        <w:rPr>
          <w:rFonts w:ascii="Book Antiqua" w:hAnsi="Book Antiqua"/>
        </w:rPr>
        <w:t xml:space="preserve">In our series, patients in Group </w:t>
      </w:r>
      <w:proofErr w:type="gramStart"/>
      <w:r w:rsidR="00C22FD9" w:rsidRPr="00321163">
        <w:rPr>
          <w:rFonts w:ascii="Book Antiqua" w:hAnsi="Book Antiqua"/>
        </w:rPr>
        <w:t>2,</w:t>
      </w:r>
      <w:proofErr w:type="gramEnd"/>
      <w:r w:rsidR="00C22FD9" w:rsidRPr="00321163">
        <w:rPr>
          <w:rFonts w:ascii="Book Antiqua" w:hAnsi="Book Antiqua"/>
        </w:rPr>
        <w:t xml:space="preserve"> had a me</w:t>
      </w:r>
      <w:r w:rsidR="00372219" w:rsidRPr="00321163">
        <w:rPr>
          <w:rFonts w:ascii="Book Antiqua" w:hAnsi="Book Antiqua"/>
        </w:rPr>
        <w:t>dian</w:t>
      </w:r>
      <w:r w:rsidR="00C22FD9" w:rsidRPr="00321163">
        <w:rPr>
          <w:rFonts w:ascii="Book Antiqua" w:hAnsi="Book Antiqua"/>
        </w:rPr>
        <w:t xml:space="preserve"> common bile duct diameter of </w:t>
      </w:r>
      <w:r w:rsidR="00372219" w:rsidRPr="00321163">
        <w:rPr>
          <w:rFonts w:ascii="Book Antiqua" w:hAnsi="Book Antiqua"/>
        </w:rPr>
        <w:t>8</w:t>
      </w:r>
      <w:r w:rsidR="00C22FD9" w:rsidRPr="00321163">
        <w:rPr>
          <w:rFonts w:ascii="Book Antiqua" w:hAnsi="Book Antiqua"/>
        </w:rPr>
        <w:t xml:space="preserve"> mm, suggesting some discrepancy in what should be considered abnormal</w:t>
      </w:r>
      <w:r w:rsidR="00EA753D" w:rsidRPr="00321163">
        <w:rPr>
          <w:rFonts w:ascii="Book Antiqua" w:hAnsi="Book Antiqua"/>
        </w:rPr>
        <w:t xml:space="preserve"> or inflammatory change from a </w:t>
      </w:r>
      <w:r w:rsidR="00F47887" w:rsidRPr="00321163">
        <w:rPr>
          <w:rFonts w:ascii="Book Antiqua" w:hAnsi="Book Antiqua"/>
        </w:rPr>
        <w:t xml:space="preserve">recently </w:t>
      </w:r>
      <w:r w:rsidR="001C2CB5" w:rsidRPr="00321163">
        <w:rPr>
          <w:rFonts w:ascii="Book Antiqua" w:hAnsi="Book Antiqua"/>
        </w:rPr>
        <w:t>passed stone</w:t>
      </w:r>
      <w:r w:rsidR="00C22FD9" w:rsidRPr="00321163">
        <w:rPr>
          <w:rFonts w:ascii="Book Antiqua" w:hAnsi="Book Antiqua"/>
        </w:rPr>
        <w:t>.</w:t>
      </w:r>
      <w:r w:rsidR="00922966" w:rsidRPr="00321163">
        <w:rPr>
          <w:rFonts w:ascii="Book Antiqua" w:hAnsi="Book Antiqua"/>
        </w:rPr>
        <w:t xml:space="preserve"> </w:t>
      </w:r>
      <w:r w:rsidR="00991687" w:rsidRPr="00321163">
        <w:rPr>
          <w:rFonts w:ascii="Book Antiqua" w:hAnsi="Book Antiqua"/>
        </w:rPr>
        <w:t>For this reason</w:t>
      </w:r>
      <w:r w:rsidR="000754C4" w:rsidRPr="00321163">
        <w:rPr>
          <w:rFonts w:ascii="Book Antiqua" w:hAnsi="Book Antiqua"/>
        </w:rPr>
        <w:t xml:space="preserve"> and in keeping with current guidelines</w:t>
      </w:r>
      <w:r w:rsidR="00991687" w:rsidRPr="00321163">
        <w:rPr>
          <w:rFonts w:ascii="Book Antiqua" w:hAnsi="Book Antiqua"/>
        </w:rPr>
        <w:t xml:space="preserve">, a 6 mm cut-off was </w:t>
      </w:r>
      <w:r w:rsidR="000A1430" w:rsidRPr="00321163">
        <w:rPr>
          <w:rFonts w:ascii="Book Antiqua" w:hAnsi="Book Antiqua"/>
        </w:rPr>
        <w:t xml:space="preserve">used for </w:t>
      </w:r>
      <w:r w:rsidR="00294D85" w:rsidRPr="00321163">
        <w:rPr>
          <w:rFonts w:ascii="Book Antiqua" w:hAnsi="Book Antiqua"/>
        </w:rPr>
        <w:t>data analysis</w:t>
      </w:r>
      <w:r w:rsidR="000754C4" w:rsidRPr="00321163">
        <w:rPr>
          <w:rFonts w:ascii="Book Antiqua" w:hAnsi="Book Antiqua"/>
        </w:rPr>
        <w:t>.</w:t>
      </w:r>
      <w:r w:rsidR="00922966" w:rsidRPr="00321163">
        <w:rPr>
          <w:rFonts w:ascii="Book Antiqua" w:hAnsi="Book Antiqua"/>
        </w:rPr>
        <w:t xml:space="preserve"> </w:t>
      </w:r>
      <w:r w:rsidR="000754C4" w:rsidRPr="00321163">
        <w:rPr>
          <w:rFonts w:ascii="Book Antiqua" w:hAnsi="Book Antiqua"/>
        </w:rPr>
        <w:t>Using a CBD diameter of 6 mm in the scoring is reasonable</w:t>
      </w:r>
      <w:r w:rsidR="000A1430" w:rsidRPr="00321163">
        <w:rPr>
          <w:rFonts w:ascii="Book Antiqua" w:hAnsi="Book Antiqua"/>
        </w:rPr>
        <w:t xml:space="preserve"> </w:t>
      </w:r>
      <w:r w:rsidR="009B7783" w:rsidRPr="00321163">
        <w:rPr>
          <w:rFonts w:ascii="Book Antiqua" w:hAnsi="Book Antiqua"/>
        </w:rPr>
        <w:t xml:space="preserve">for older </w:t>
      </w:r>
      <w:r w:rsidR="00A77251" w:rsidRPr="00321163">
        <w:rPr>
          <w:rFonts w:ascii="Book Antiqua" w:hAnsi="Book Antiqua"/>
        </w:rPr>
        <w:t>pediatric patients</w:t>
      </w:r>
      <w:r w:rsidR="00294D85" w:rsidRPr="00321163">
        <w:rPr>
          <w:rFonts w:ascii="Book Antiqua" w:hAnsi="Book Antiqua"/>
        </w:rPr>
        <w:t xml:space="preserve"> and likely to improve sensitivity of CBDS detection children compared </w:t>
      </w:r>
      <w:r w:rsidR="00294D85" w:rsidRPr="00321163">
        <w:rPr>
          <w:rFonts w:ascii="Book Antiqua" w:hAnsi="Book Antiqua"/>
        </w:rPr>
        <w:lastRenderedPageBreak/>
        <w:t>to adults.</w:t>
      </w:r>
      <w:r w:rsidR="00922966" w:rsidRPr="00321163">
        <w:rPr>
          <w:rFonts w:ascii="Book Antiqua" w:hAnsi="Book Antiqua"/>
        </w:rPr>
        <w:t xml:space="preserve"> </w:t>
      </w:r>
      <w:r w:rsidR="000A1430" w:rsidRPr="00321163">
        <w:rPr>
          <w:rFonts w:ascii="Book Antiqua" w:hAnsi="Book Antiqua"/>
        </w:rPr>
        <w:t>However,</w:t>
      </w:r>
      <w:r w:rsidR="00DF15D3" w:rsidRPr="00321163">
        <w:rPr>
          <w:rFonts w:ascii="Book Antiqua" w:hAnsi="Book Antiqua"/>
        </w:rPr>
        <w:t xml:space="preserve"> an 8 mm cut-off</w:t>
      </w:r>
      <w:r w:rsidR="000A1430" w:rsidRPr="00321163">
        <w:rPr>
          <w:rFonts w:ascii="Book Antiqua" w:hAnsi="Book Antiqua"/>
        </w:rPr>
        <w:t xml:space="preserve"> compared to 6 mm</w:t>
      </w:r>
      <w:r w:rsidR="00DF15D3" w:rsidRPr="00321163">
        <w:rPr>
          <w:rFonts w:ascii="Book Antiqua" w:hAnsi="Book Antiqua"/>
        </w:rPr>
        <w:t xml:space="preserve"> for CBD diameter had improved sen</w:t>
      </w:r>
      <w:r w:rsidR="000A1430" w:rsidRPr="00321163">
        <w:rPr>
          <w:rFonts w:ascii="Book Antiqua" w:hAnsi="Book Antiqua"/>
        </w:rPr>
        <w:t xml:space="preserve">sitivity, with modest increase </w:t>
      </w:r>
      <w:r w:rsidR="00DF15D3" w:rsidRPr="00321163">
        <w:rPr>
          <w:rFonts w:ascii="Book Antiqua" w:hAnsi="Book Antiqua"/>
        </w:rPr>
        <w:t xml:space="preserve">in PPV, NPV and specificity. </w:t>
      </w:r>
    </w:p>
    <w:p w14:paraId="4D234309" w14:textId="7CABF231" w:rsidR="00425651" w:rsidRPr="00321163" w:rsidRDefault="00425651" w:rsidP="00593E8D">
      <w:pPr>
        <w:spacing w:line="360" w:lineRule="auto"/>
        <w:ind w:firstLineChars="100" w:firstLine="240"/>
        <w:jc w:val="both"/>
        <w:rPr>
          <w:rFonts w:ascii="Book Antiqua" w:hAnsi="Book Antiqua"/>
        </w:rPr>
      </w:pPr>
      <w:r w:rsidRPr="00321163">
        <w:rPr>
          <w:rFonts w:ascii="Book Antiqua" w:hAnsi="Book Antiqua"/>
        </w:rPr>
        <w:t xml:space="preserve">Both MRCP and endoscopic ultrasound (EUS) </w:t>
      </w:r>
      <w:r w:rsidR="003F372D" w:rsidRPr="00321163">
        <w:rPr>
          <w:rFonts w:ascii="Book Antiqua" w:hAnsi="Book Antiqua"/>
        </w:rPr>
        <w:t>are commonly used</w:t>
      </w:r>
      <w:r w:rsidRPr="00321163">
        <w:rPr>
          <w:rFonts w:ascii="Book Antiqua" w:hAnsi="Book Antiqua"/>
        </w:rPr>
        <w:t xml:space="preserve"> in the pre-procedure management of </w:t>
      </w:r>
      <w:proofErr w:type="spellStart"/>
      <w:proofErr w:type="gramStart"/>
      <w:r w:rsidRPr="00321163">
        <w:rPr>
          <w:rFonts w:ascii="Book Antiqua" w:hAnsi="Book Antiqua"/>
        </w:rPr>
        <w:t>choledocholithiasis</w:t>
      </w:r>
      <w:proofErr w:type="spellEnd"/>
      <w:r w:rsidR="00593E8D" w:rsidRPr="00321163">
        <w:rPr>
          <w:rFonts w:ascii="Book Antiqua" w:hAnsi="Book Antiqua"/>
          <w:vertAlign w:val="superscript"/>
        </w:rPr>
        <w:t>[</w:t>
      </w:r>
      <w:proofErr w:type="gramEnd"/>
      <w:r w:rsidR="00593E8D" w:rsidRPr="00321163">
        <w:rPr>
          <w:rFonts w:ascii="Book Antiqua" w:hAnsi="Book Antiqua"/>
          <w:vertAlign w:val="superscript"/>
        </w:rPr>
        <w:t>21]</w:t>
      </w:r>
      <w:r w:rsidRPr="00321163">
        <w:rPr>
          <w:rFonts w:ascii="Book Antiqua" w:hAnsi="Book Antiqua"/>
        </w:rPr>
        <w:t>.</w:t>
      </w:r>
      <w:r w:rsidRPr="00321163">
        <w:rPr>
          <w:rFonts w:ascii="Book Antiqua" w:hAnsi="Book Antiqua"/>
          <w:vertAlign w:val="superscript"/>
        </w:rPr>
        <w:t xml:space="preserve"> </w:t>
      </w:r>
      <w:r w:rsidR="003F372D" w:rsidRPr="00321163">
        <w:rPr>
          <w:rFonts w:ascii="Book Antiqua" w:hAnsi="Book Antiqua"/>
        </w:rPr>
        <w:t>MRCP use in pedi</w:t>
      </w:r>
      <w:r w:rsidR="002916FF" w:rsidRPr="00321163">
        <w:rPr>
          <w:rFonts w:ascii="Book Antiqua" w:hAnsi="Book Antiqua"/>
        </w:rPr>
        <w:t xml:space="preserve">atrics is </w:t>
      </w:r>
      <w:proofErr w:type="gramStart"/>
      <w:r w:rsidR="002916FF" w:rsidRPr="00321163">
        <w:rPr>
          <w:rFonts w:ascii="Book Antiqua" w:hAnsi="Book Antiqua"/>
        </w:rPr>
        <w:t>common</w:t>
      </w:r>
      <w:r w:rsidR="00593E8D" w:rsidRPr="00321163">
        <w:rPr>
          <w:rFonts w:ascii="Book Antiqua" w:hAnsi="Book Antiqua"/>
          <w:vertAlign w:val="superscript"/>
        </w:rPr>
        <w:t>[</w:t>
      </w:r>
      <w:proofErr w:type="gramEnd"/>
      <w:r w:rsidR="00593E8D" w:rsidRPr="00321163">
        <w:rPr>
          <w:rFonts w:ascii="Book Antiqua" w:hAnsi="Book Antiqua"/>
          <w:vertAlign w:val="superscript"/>
        </w:rPr>
        <w:t>22</w:t>
      </w:r>
      <w:r w:rsidR="00593E8D" w:rsidRPr="00321163">
        <w:rPr>
          <w:rFonts w:ascii="Book Antiqua" w:eastAsia="宋体" w:hAnsi="Book Antiqua" w:hint="eastAsia"/>
          <w:vertAlign w:val="superscript"/>
          <w:lang w:eastAsia="zh-CN"/>
        </w:rPr>
        <w:t>,</w:t>
      </w:r>
      <w:r w:rsidR="00593E8D" w:rsidRPr="00321163">
        <w:rPr>
          <w:rFonts w:ascii="Book Antiqua" w:hAnsi="Book Antiqua"/>
          <w:vertAlign w:val="superscript"/>
        </w:rPr>
        <w:t>23]</w:t>
      </w:r>
      <w:r w:rsidR="003F372D" w:rsidRPr="00321163">
        <w:rPr>
          <w:rFonts w:ascii="Book Antiqua" w:hAnsi="Book Antiqua"/>
        </w:rPr>
        <w:t>.</w:t>
      </w:r>
      <w:r w:rsidR="003F372D" w:rsidRPr="00321163">
        <w:rPr>
          <w:rFonts w:ascii="Book Antiqua" w:hAnsi="Book Antiqua"/>
          <w:vertAlign w:val="superscript"/>
        </w:rPr>
        <w:t xml:space="preserve"> </w:t>
      </w:r>
      <w:r w:rsidR="003F372D" w:rsidRPr="00321163">
        <w:rPr>
          <w:rFonts w:ascii="Book Antiqua" w:hAnsi="Book Antiqua"/>
        </w:rPr>
        <w:t>However, some patients require sedation or anesthesia, and access is sometimes limited.</w:t>
      </w:r>
      <w:r w:rsidR="00922966" w:rsidRPr="00321163">
        <w:rPr>
          <w:rFonts w:ascii="Book Antiqua" w:hAnsi="Book Antiqua"/>
        </w:rPr>
        <w:t xml:space="preserve"> </w:t>
      </w:r>
      <w:r w:rsidR="000E29DD" w:rsidRPr="00321163">
        <w:rPr>
          <w:rFonts w:ascii="Book Antiqua" w:hAnsi="Book Antiqua"/>
        </w:rPr>
        <w:t xml:space="preserve">There is an expanding experience and accessibility of EUS in pediatric </w:t>
      </w:r>
      <w:proofErr w:type="gramStart"/>
      <w:r w:rsidR="000E29DD" w:rsidRPr="00321163">
        <w:rPr>
          <w:rFonts w:ascii="Book Antiqua" w:hAnsi="Book Antiqua"/>
        </w:rPr>
        <w:t>patients</w:t>
      </w:r>
      <w:r w:rsidR="00593E8D" w:rsidRPr="00321163">
        <w:rPr>
          <w:rFonts w:ascii="Book Antiqua" w:hAnsi="Book Antiqua"/>
          <w:vertAlign w:val="superscript"/>
        </w:rPr>
        <w:t>[</w:t>
      </w:r>
      <w:proofErr w:type="gramEnd"/>
      <w:r w:rsidR="00593E8D" w:rsidRPr="00321163">
        <w:rPr>
          <w:rFonts w:ascii="Book Antiqua" w:hAnsi="Book Antiqua"/>
          <w:vertAlign w:val="superscript"/>
        </w:rPr>
        <w:t>24-27]</w:t>
      </w:r>
      <w:r w:rsidR="000E29DD" w:rsidRPr="00321163">
        <w:rPr>
          <w:rFonts w:ascii="Book Antiqua" w:hAnsi="Book Antiqua"/>
        </w:rPr>
        <w:t>.</w:t>
      </w:r>
      <w:r w:rsidR="000E29DD" w:rsidRPr="00321163">
        <w:rPr>
          <w:rFonts w:ascii="Book Antiqua" w:hAnsi="Book Antiqua"/>
          <w:vertAlign w:val="superscript"/>
        </w:rPr>
        <w:t xml:space="preserve"> </w:t>
      </w:r>
      <w:r w:rsidR="000E29DD" w:rsidRPr="00321163">
        <w:rPr>
          <w:rFonts w:ascii="Book Antiqua" w:hAnsi="Book Antiqua"/>
        </w:rPr>
        <w:t xml:space="preserve">In a recent study by Adams </w:t>
      </w:r>
      <w:r w:rsidR="000E29DD" w:rsidRPr="00321163">
        <w:rPr>
          <w:rFonts w:ascii="Book Antiqua" w:hAnsi="Book Antiqua"/>
          <w:i/>
        </w:rPr>
        <w:t xml:space="preserve">et </w:t>
      </w:r>
      <w:proofErr w:type="gramStart"/>
      <w:r w:rsidR="000E29DD" w:rsidRPr="00321163">
        <w:rPr>
          <w:rFonts w:ascii="Book Antiqua" w:hAnsi="Book Antiqua"/>
          <w:i/>
        </w:rPr>
        <w:t>al</w:t>
      </w:r>
      <w:r w:rsidR="00755ACF" w:rsidRPr="00321163">
        <w:rPr>
          <w:rFonts w:ascii="Book Antiqua" w:eastAsia="宋体" w:hAnsi="Book Antiqua" w:hint="eastAsia"/>
          <w:vertAlign w:val="superscript"/>
          <w:lang w:eastAsia="zh-CN"/>
        </w:rPr>
        <w:t>[</w:t>
      </w:r>
      <w:proofErr w:type="gramEnd"/>
      <w:r w:rsidR="00755ACF" w:rsidRPr="00321163">
        <w:rPr>
          <w:rFonts w:ascii="Book Antiqua" w:eastAsia="宋体" w:hAnsi="Book Antiqua" w:hint="eastAsia"/>
          <w:vertAlign w:val="superscript"/>
          <w:lang w:eastAsia="zh-CN"/>
        </w:rPr>
        <w:t>28]</w:t>
      </w:r>
      <w:r w:rsidR="00755ACF" w:rsidRPr="00321163">
        <w:rPr>
          <w:rFonts w:ascii="Book Antiqua" w:eastAsia="宋体" w:hAnsi="Book Antiqua" w:hint="eastAsia"/>
          <w:lang w:eastAsia="zh-CN"/>
        </w:rPr>
        <w:t>,</w:t>
      </w:r>
      <w:r w:rsidR="000E29DD" w:rsidRPr="00321163">
        <w:rPr>
          <w:rFonts w:ascii="Book Antiqua" w:hAnsi="Book Antiqua"/>
        </w:rPr>
        <w:t xml:space="preserve"> EUS and MRCP were used along with ERCP to identify the likelihood of CBDS in patients.</w:t>
      </w:r>
      <w:r w:rsidR="00922966" w:rsidRPr="00321163">
        <w:rPr>
          <w:rFonts w:ascii="Book Antiqua" w:hAnsi="Book Antiqua"/>
        </w:rPr>
        <w:t xml:space="preserve"> </w:t>
      </w:r>
      <w:r w:rsidR="000E29DD" w:rsidRPr="00321163">
        <w:rPr>
          <w:rFonts w:ascii="Book Antiqua" w:hAnsi="Book Antiqua"/>
        </w:rPr>
        <w:t xml:space="preserve">Specific utilization of EUS and MRCP was not reported, however, using these modalities in addition to available guidelines and laboratory investigations, overall sensitivity and specificity were </w:t>
      </w:r>
      <w:proofErr w:type="gramStart"/>
      <w:r w:rsidR="000E29DD" w:rsidRPr="00321163">
        <w:rPr>
          <w:rFonts w:ascii="Book Antiqua" w:hAnsi="Book Antiqua"/>
        </w:rPr>
        <w:t>improved</w:t>
      </w:r>
      <w:r w:rsidR="00593E8D" w:rsidRPr="00321163">
        <w:rPr>
          <w:rFonts w:ascii="Book Antiqua" w:hAnsi="Book Antiqua"/>
          <w:vertAlign w:val="superscript"/>
        </w:rPr>
        <w:t>[</w:t>
      </w:r>
      <w:proofErr w:type="gramEnd"/>
      <w:r w:rsidR="00593E8D" w:rsidRPr="00321163">
        <w:rPr>
          <w:rFonts w:ascii="Book Antiqua" w:hAnsi="Book Antiqua"/>
          <w:vertAlign w:val="superscript"/>
        </w:rPr>
        <w:t>28]</w:t>
      </w:r>
      <w:r w:rsidR="000E29DD" w:rsidRPr="00321163">
        <w:rPr>
          <w:rFonts w:ascii="Book Antiqua" w:hAnsi="Book Antiqua"/>
        </w:rPr>
        <w:t>.</w:t>
      </w:r>
      <w:r w:rsidR="00922966" w:rsidRPr="00321163">
        <w:rPr>
          <w:rFonts w:ascii="Book Antiqua" w:hAnsi="Book Antiqua"/>
          <w:vertAlign w:val="superscript"/>
        </w:rPr>
        <w:t xml:space="preserve"> </w:t>
      </w:r>
      <w:r w:rsidR="00CE39DF" w:rsidRPr="00321163">
        <w:rPr>
          <w:rFonts w:ascii="Book Antiqua" w:hAnsi="Book Antiqua"/>
        </w:rPr>
        <w:t xml:space="preserve">Despite the limited use of MRCP and no cases of EUS, </w:t>
      </w:r>
      <w:r w:rsidR="00CB3C81" w:rsidRPr="00321163">
        <w:rPr>
          <w:rFonts w:ascii="Book Antiqua" w:hAnsi="Book Antiqua"/>
        </w:rPr>
        <w:t xml:space="preserve">in our population, </w:t>
      </w:r>
      <w:r w:rsidR="00CE39DF" w:rsidRPr="00321163">
        <w:rPr>
          <w:rFonts w:ascii="Book Antiqua" w:hAnsi="Book Antiqua"/>
        </w:rPr>
        <w:t>CBDS were identified in 84% of patients</w:t>
      </w:r>
      <w:r w:rsidR="00CB3C81" w:rsidRPr="00321163">
        <w:rPr>
          <w:rFonts w:ascii="Book Antiqua" w:hAnsi="Book Antiqua"/>
        </w:rPr>
        <w:t>.</w:t>
      </w:r>
    </w:p>
    <w:p w14:paraId="3054B5C1" w14:textId="2A14678A" w:rsidR="00F266AC" w:rsidRPr="00321163" w:rsidRDefault="009F68B3" w:rsidP="00593E8D">
      <w:pPr>
        <w:spacing w:line="360" w:lineRule="auto"/>
        <w:ind w:firstLineChars="100" w:firstLine="240"/>
        <w:jc w:val="both"/>
        <w:rPr>
          <w:rFonts w:ascii="Book Antiqua" w:hAnsi="Book Antiqua" w:cs="Arial"/>
        </w:rPr>
      </w:pPr>
      <w:r w:rsidRPr="00321163">
        <w:rPr>
          <w:rFonts w:ascii="Book Antiqua" w:hAnsi="Book Antiqua" w:cs="Arial"/>
        </w:rPr>
        <w:t xml:space="preserve">One </w:t>
      </w:r>
      <w:r w:rsidR="00805407" w:rsidRPr="00321163">
        <w:rPr>
          <w:rFonts w:ascii="Book Antiqua" w:hAnsi="Book Antiqua" w:cs="Arial"/>
        </w:rPr>
        <w:t>limitation of our study was the varia</w:t>
      </w:r>
      <w:r w:rsidR="000B6C90" w:rsidRPr="00321163">
        <w:rPr>
          <w:rFonts w:ascii="Book Antiqua" w:hAnsi="Book Antiqua" w:cs="Arial"/>
        </w:rPr>
        <w:t>tion</w:t>
      </w:r>
      <w:r w:rsidR="00805407" w:rsidRPr="00321163">
        <w:rPr>
          <w:rFonts w:ascii="Book Antiqua" w:hAnsi="Book Antiqua" w:cs="Arial"/>
        </w:rPr>
        <w:t xml:space="preserve"> in timing of </w:t>
      </w:r>
      <w:r w:rsidR="00865D94" w:rsidRPr="00321163">
        <w:rPr>
          <w:rFonts w:ascii="Book Antiqua" w:hAnsi="Book Antiqua" w:cs="Arial"/>
        </w:rPr>
        <w:t xml:space="preserve">patient </w:t>
      </w:r>
      <w:r w:rsidR="00805407" w:rsidRPr="00321163">
        <w:rPr>
          <w:rFonts w:ascii="Book Antiqua" w:hAnsi="Book Antiqua" w:cs="Arial"/>
        </w:rPr>
        <w:t>presentation to abdominal ultrasound to ERCP</w:t>
      </w:r>
      <w:r w:rsidR="00F40893" w:rsidRPr="00321163">
        <w:rPr>
          <w:rFonts w:ascii="Book Antiqua" w:hAnsi="Book Antiqua" w:cs="Arial"/>
        </w:rPr>
        <w:t xml:space="preserve"> from one to six days</w:t>
      </w:r>
      <w:r w:rsidR="00805407" w:rsidRPr="00321163">
        <w:rPr>
          <w:rFonts w:ascii="Book Antiqua" w:hAnsi="Book Antiqua" w:cs="Arial"/>
        </w:rPr>
        <w:t>.</w:t>
      </w:r>
      <w:r w:rsidR="00922966" w:rsidRPr="00321163">
        <w:rPr>
          <w:rFonts w:ascii="Book Antiqua" w:hAnsi="Book Antiqua" w:cs="Arial"/>
        </w:rPr>
        <w:t xml:space="preserve"> </w:t>
      </w:r>
      <w:r w:rsidR="000B6C90" w:rsidRPr="00321163">
        <w:rPr>
          <w:rFonts w:ascii="Book Antiqua" w:hAnsi="Book Antiqua" w:cs="Arial"/>
        </w:rPr>
        <w:t xml:space="preserve">However, the majority of procedures occurred less than 48 h of presentation with a mean of </w:t>
      </w:r>
      <w:r w:rsidR="00DF15D3" w:rsidRPr="00321163">
        <w:rPr>
          <w:rFonts w:ascii="Book Antiqua" w:hAnsi="Book Antiqua" w:cs="Arial"/>
        </w:rPr>
        <w:t>1.9 (</w:t>
      </w:r>
      <w:r w:rsidR="00593E8D" w:rsidRPr="00321163">
        <w:rPr>
          <w:rFonts w:ascii="Book Antiqua" w:hAnsi="Book Antiqua" w:cs="Arial"/>
        </w:rPr>
        <w:t>±</w:t>
      </w:r>
      <w:r w:rsidR="00593E8D" w:rsidRPr="00321163">
        <w:rPr>
          <w:rFonts w:ascii="Book Antiqua" w:eastAsia="宋体" w:hAnsi="Book Antiqua" w:cs="Arial" w:hint="eastAsia"/>
          <w:lang w:eastAsia="zh-CN"/>
        </w:rPr>
        <w:t xml:space="preserve"> </w:t>
      </w:r>
      <w:r w:rsidR="00DF15D3" w:rsidRPr="00321163">
        <w:rPr>
          <w:rFonts w:ascii="Book Antiqua" w:hAnsi="Book Antiqua" w:cs="Arial"/>
        </w:rPr>
        <w:t xml:space="preserve">1.3) </w:t>
      </w:r>
      <w:r w:rsidRPr="00321163">
        <w:rPr>
          <w:rFonts w:ascii="Book Antiqua" w:hAnsi="Book Antiqua" w:cs="Arial"/>
        </w:rPr>
        <w:t>d. A</w:t>
      </w:r>
      <w:r w:rsidR="00F40893" w:rsidRPr="00321163">
        <w:rPr>
          <w:rFonts w:ascii="Book Antiqua" w:hAnsi="Book Antiqua" w:cs="Arial"/>
        </w:rPr>
        <w:t>pproximately one-fourth of pa</w:t>
      </w:r>
      <w:r w:rsidR="000B6C90" w:rsidRPr="00321163">
        <w:rPr>
          <w:rFonts w:ascii="Book Antiqua" w:hAnsi="Book Antiqua" w:cs="Arial"/>
        </w:rPr>
        <w:t>tients had MRCP prior to ERCP, frequently</w:t>
      </w:r>
      <w:r w:rsidR="00F40893" w:rsidRPr="00321163">
        <w:rPr>
          <w:rFonts w:ascii="Book Antiqua" w:hAnsi="Book Antiqua" w:cs="Arial"/>
        </w:rPr>
        <w:t xml:space="preserve"> extending time to definitive procedure by 12-24 h.</w:t>
      </w:r>
      <w:r w:rsidR="00922966" w:rsidRPr="00321163">
        <w:rPr>
          <w:rFonts w:ascii="Book Antiqua" w:hAnsi="Book Antiqua" w:cs="Arial"/>
        </w:rPr>
        <w:t xml:space="preserve"> </w:t>
      </w:r>
      <w:r w:rsidR="00DD2743" w:rsidRPr="00321163">
        <w:rPr>
          <w:rFonts w:ascii="Book Antiqua" w:hAnsi="Book Antiqua" w:cs="Arial"/>
        </w:rPr>
        <w:t>In the patients with a positive MRCP, but negative CBDS, that variability was accentuated and likely contributed to the passage of stones during the interim period.</w:t>
      </w:r>
      <w:r w:rsidR="00922966" w:rsidRPr="00321163">
        <w:rPr>
          <w:rFonts w:ascii="Book Antiqua" w:hAnsi="Book Antiqua" w:cs="Arial"/>
        </w:rPr>
        <w:t xml:space="preserve"> </w:t>
      </w:r>
      <w:r w:rsidR="00DD2743" w:rsidRPr="00321163">
        <w:rPr>
          <w:rFonts w:ascii="Book Antiqua" w:hAnsi="Book Antiqua" w:cs="Arial"/>
        </w:rPr>
        <w:t>Timing of MRCP and its relationship to ERCP should be considered when planning procedures. Due to restrictions or delays in either of these modalities, it can be expected to have some stone passage, but these should be mitigated by process improvement actions.</w:t>
      </w:r>
      <w:r w:rsidR="00922966" w:rsidRPr="00321163">
        <w:rPr>
          <w:rFonts w:ascii="Book Antiqua" w:hAnsi="Book Antiqua" w:cs="Arial"/>
        </w:rPr>
        <w:t xml:space="preserve"> </w:t>
      </w:r>
      <w:r w:rsidR="00F40893" w:rsidRPr="00321163">
        <w:rPr>
          <w:rFonts w:ascii="Book Antiqua" w:hAnsi="Book Antiqua" w:cs="Arial"/>
        </w:rPr>
        <w:t>B</w:t>
      </w:r>
      <w:r w:rsidR="00B031A1" w:rsidRPr="00321163">
        <w:rPr>
          <w:rFonts w:ascii="Book Antiqua" w:hAnsi="Book Antiqua" w:cs="Arial"/>
        </w:rPr>
        <w:t>ased on patient selection</w:t>
      </w:r>
      <w:r w:rsidR="00FC5305" w:rsidRPr="00321163">
        <w:rPr>
          <w:rFonts w:ascii="Book Antiqua" w:hAnsi="Book Antiqua" w:cs="Arial"/>
        </w:rPr>
        <w:t xml:space="preserve"> completed during routine clinical practice</w:t>
      </w:r>
      <w:r w:rsidR="00B031A1" w:rsidRPr="00321163">
        <w:rPr>
          <w:rFonts w:ascii="Book Antiqua" w:hAnsi="Book Antiqua" w:cs="Arial"/>
        </w:rPr>
        <w:t xml:space="preserve">, and low rate of negative ERCP, our data is likely </w:t>
      </w:r>
      <w:r w:rsidR="00F40893" w:rsidRPr="00321163">
        <w:rPr>
          <w:rFonts w:ascii="Book Antiqua" w:hAnsi="Book Antiqua" w:cs="Arial"/>
        </w:rPr>
        <w:t>to represent a reasonable pop</w:t>
      </w:r>
      <w:r w:rsidR="00CE3138" w:rsidRPr="00321163">
        <w:rPr>
          <w:rFonts w:ascii="Book Antiqua" w:hAnsi="Book Antiqua" w:cs="Arial"/>
        </w:rPr>
        <w:t>ulation in which to make predic</w:t>
      </w:r>
      <w:r w:rsidR="00F40893" w:rsidRPr="00321163">
        <w:rPr>
          <w:rFonts w:ascii="Book Antiqua" w:hAnsi="Book Antiqua" w:cs="Arial"/>
        </w:rPr>
        <w:t xml:space="preserve">tions. </w:t>
      </w:r>
      <w:r w:rsidR="00EE40D7" w:rsidRPr="00321163">
        <w:rPr>
          <w:rFonts w:ascii="Book Antiqua" w:hAnsi="Book Antiqua" w:cs="Arial"/>
        </w:rPr>
        <w:t>G</w:t>
      </w:r>
      <w:r w:rsidR="00F40893" w:rsidRPr="00321163">
        <w:rPr>
          <w:rFonts w:ascii="Book Antiqua" w:hAnsi="Book Antiqua" w:cs="Arial"/>
        </w:rPr>
        <w:t>iv</w:t>
      </w:r>
      <w:r w:rsidR="00FC5305" w:rsidRPr="00321163">
        <w:rPr>
          <w:rFonts w:ascii="Book Antiqua" w:hAnsi="Book Antiqua" w:cs="Arial"/>
        </w:rPr>
        <w:t>en</w:t>
      </w:r>
      <w:r w:rsidR="00F40893" w:rsidRPr="00321163">
        <w:rPr>
          <w:rFonts w:ascii="Book Antiqua" w:hAnsi="Book Antiqua" w:cs="Arial"/>
        </w:rPr>
        <w:t xml:space="preserve"> </w:t>
      </w:r>
      <w:r w:rsidR="008C0FAF" w:rsidRPr="00321163">
        <w:rPr>
          <w:rFonts w:ascii="Book Antiqua" w:hAnsi="Book Antiqua" w:cs="Arial"/>
        </w:rPr>
        <w:t>th</w:t>
      </w:r>
      <w:r w:rsidR="00CE3138" w:rsidRPr="00321163">
        <w:rPr>
          <w:rFonts w:ascii="Book Antiqua" w:hAnsi="Book Antiqua" w:cs="Arial"/>
        </w:rPr>
        <w:t>e</w:t>
      </w:r>
      <w:r w:rsidR="008C0FAF" w:rsidRPr="00321163">
        <w:rPr>
          <w:rFonts w:ascii="Book Antiqua" w:hAnsi="Book Antiqua" w:cs="Arial"/>
        </w:rPr>
        <w:t xml:space="preserve"> </w:t>
      </w:r>
      <w:r w:rsidR="00F40893" w:rsidRPr="00321163">
        <w:rPr>
          <w:rFonts w:ascii="Book Antiqua" w:hAnsi="Book Antiqua" w:cs="Arial"/>
        </w:rPr>
        <w:t>reported rates of</w:t>
      </w:r>
      <w:r w:rsidR="008C0FAF" w:rsidRPr="00321163">
        <w:rPr>
          <w:rFonts w:ascii="Book Antiqua" w:hAnsi="Book Antiqua" w:cs="Arial"/>
        </w:rPr>
        <w:t xml:space="preserve"> stone migration</w:t>
      </w:r>
      <w:r w:rsidR="00922966" w:rsidRPr="00321163">
        <w:rPr>
          <w:rFonts w:ascii="Book Antiqua" w:hAnsi="Book Antiqua" w:cs="Arial"/>
        </w:rPr>
        <w:t xml:space="preserve"> </w:t>
      </w:r>
      <w:r w:rsidR="008C0FAF" w:rsidRPr="00321163">
        <w:rPr>
          <w:rFonts w:ascii="Book Antiqua" w:hAnsi="Book Antiqua" w:cs="Arial"/>
        </w:rPr>
        <w:t>(21% t</w:t>
      </w:r>
      <w:r w:rsidR="007D11B1" w:rsidRPr="00321163">
        <w:rPr>
          <w:rFonts w:ascii="Book Antiqua" w:hAnsi="Book Antiqua" w:cs="Arial"/>
        </w:rPr>
        <w:t xml:space="preserve">o 80%), </w:t>
      </w:r>
      <w:r w:rsidR="00F40893" w:rsidRPr="00321163">
        <w:rPr>
          <w:rFonts w:ascii="Book Antiqua" w:hAnsi="Book Antiqua" w:cs="Arial"/>
        </w:rPr>
        <w:t>we</w:t>
      </w:r>
      <w:r w:rsidR="008C0FAF" w:rsidRPr="00321163">
        <w:rPr>
          <w:rFonts w:ascii="Book Antiqua" w:hAnsi="Book Antiqua" w:cs="Arial"/>
        </w:rPr>
        <w:t xml:space="preserve"> anticipate that data</w:t>
      </w:r>
      <w:r w:rsidR="00F40893" w:rsidRPr="00321163">
        <w:rPr>
          <w:rFonts w:ascii="Book Antiqua" w:hAnsi="Book Antiqua" w:cs="Arial"/>
        </w:rPr>
        <w:t xml:space="preserve"> used </w:t>
      </w:r>
      <w:r w:rsidR="008C0FAF" w:rsidRPr="00321163">
        <w:rPr>
          <w:rFonts w:ascii="Book Antiqua" w:hAnsi="Book Antiqua" w:cs="Arial"/>
        </w:rPr>
        <w:t xml:space="preserve">within 24 h of ERCP, </w:t>
      </w:r>
      <w:r w:rsidR="00F40893" w:rsidRPr="00321163">
        <w:rPr>
          <w:rFonts w:ascii="Book Antiqua" w:hAnsi="Book Antiqua" w:cs="Arial"/>
        </w:rPr>
        <w:t>is</w:t>
      </w:r>
      <w:r w:rsidR="009C7223" w:rsidRPr="00321163">
        <w:rPr>
          <w:rFonts w:ascii="Book Antiqua" w:hAnsi="Book Antiqua" w:cs="Arial"/>
        </w:rPr>
        <w:t xml:space="preserve"> applicable to optimize </w:t>
      </w:r>
      <w:r w:rsidR="00F40893" w:rsidRPr="00321163">
        <w:rPr>
          <w:rFonts w:ascii="Book Antiqua" w:hAnsi="Book Antiqua" w:cs="Arial"/>
        </w:rPr>
        <w:t xml:space="preserve">patient </w:t>
      </w:r>
      <w:proofErr w:type="gramStart"/>
      <w:r w:rsidR="00F40893" w:rsidRPr="00321163">
        <w:rPr>
          <w:rFonts w:ascii="Book Antiqua" w:hAnsi="Book Antiqua" w:cs="Arial"/>
        </w:rPr>
        <w:t>selection</w:t>
      </w:r>
      <w:r w:rsidR="00593E8D" w:rsidRPr="00321163">
        <w:rPr>
          <w:rFonts w:ascii="Book Antiqua" w:hAnsi="Book Antiqua" w:cs="Arial"/>
          <w:vertAlign w:val="superscript"/>
        </w:rPr>
        <w:t>[</w:t>
      </w:r>
      <w:proofErr w:type="gramEnd"/>
      <w:r w:rsidR="00593E8D" w:rsidRPr="00321163">
        <w:rPr>
          <w:rFonts w:ascii="Book Antiqua" w:hAnsi="Book Antiqua" w:cs="Arial"/>
          <w:vertAlign w:val="superscript"/>
        </w:rPr>
        <w:t>14,29]</w:t>
      </w:r>
      <w:r w:rsidR="00F40893" w:rsidRPr="00321163">
        <w:rPr>
          <w:rFonts w:ascii="Book Antiqua" w:hAnsi="Book Antiqua" w:cs="Arial"/>
        </w:rPr>
        <w:t>.</w:t>
      </w:r>
      <w:r w:rsidR="007D11B1" w:rsidRPr="00321163">
        <w:rPr>
          <w:rFonts w:ascii="Book Antiqua" w:hAnsi="Book Antiqua" w:cs="Arial"/>
        </w:rPr>
        <w:t xml:space="preserve"> </w:t>
      </w:r>
      <w:r w:rsidR="00DC32BB" w:rsidRPr="00321163">
        <w:rPr>
          <w:rFonts w:ascii="Book Antiqua" w:hAnsi="Book Antiqua" w:cs="Arial"/>
        </w:rPr>
        <w:t>Another limitation of this study is the limited sample of patients that had ERCP in which CBDS were not identified.</w:t>
      </w:r>
      <w:r w:rsidR="00922966" w:rsidRPr="00321163">
        <w:rPr>
          <w:rFonts w:ascii="Book Antiqua" w:hAnsi="Book Antiqua" w:cs="Arial"/>
        </w:rPr>
        <w:t xml:space="preserve"> </w:t>
      </w:r>
      <w:r w:rsidR="00E110A3" w:rsidRPr="00321163">
        <w:rPr>
          <w:rFonts w:ascii="Book Antiqua" w:hAnsi="Book Antiqua" w:cs="Arial"/>
        </w:rPr>
        <w:t xml:space="preserve">Although there was a clinical suspicion for a stone in those cases for which ERCP </w:t>
      </w:r>
      <w:r w:rsidR="00E110A3" w:rsidRPr="00321163">
        <w:rPr>
          <w:rFonts w:ascii="Book Antiqua" w:hAnsi="Book Antiqua" w:cs="Arial"/>
        </w:rPr>
        <w:lastRenderedPageBreak/>
        <w:t>was considered</w:t>
      </w:r>
      <w:r w:rsidR="00425651" w:rsidRPr="00321163">
        <w:rPr>
          <w:rFonts w:ascii="Book Antiqua" w:hAnsi="Book Antiqua" w:cs="Arial"/>
        </w:rPr>
        <w:t xml:space="preserve"> (</w:t>
      </w:r>
      <w:r w:rsidR="00425651" w:rsidRPr="00321163">
        <w:rPr>
          <w:rFonts w:ascii="Book Antiqua" w:hAnsi="Book Antiqua" w:cs="Arial"/>
          <w:i/>
        </w:rPr>
        <w:t>e</w:t>
      </w:r>
      <w:r w:rsidR="00593E8D" w:rsidRPr="00321163">
        <w:rPr>
          <w:rFonts w:ascii="Book Antiqua" w:eastAsia="宋体" w:hAnsi="Book Antiqua" w:cs="Arial" w:hint="eastAsia"/>
          <w:i/>
          <w:lang w:eastAsia="zh-CN"/>
        </w:rPr>
        <w:t>.</w:t>
      </w:r>
      <w:r w:rsidR="00425651" w:rsidRPr="00321163">
        <w:rPr>
          <w:rFonts w:ascii="Book Antiqua" w:hAnsi="Book Antiqua" w:cs="Arial"/>
          <w:i/>
        </w:rPr>
        <w:t>g.</w:t>
      </w:r>
      <w:r w:rsidR="00593E8D" w:rsidRPr="00321163">
        <w:rPr>
          <w:rFonts w:ascii="Book Antiqua" w:eastAsia="宋体" w:hAnsi="Book Antiqua" w:cs="Arial" w:hint="eastAsia"/>
          <w:lang w:eastAsia="zh-CN"/>
        </w:rPr>
        <w:t>,</w:t>
      </w:r>
      <w:r w:rsidR="00425651" w:rsidRPr="00321163">
        <w:rPr>
          <w:rFonts w:ascii="Book Antiqua" w:hAnsi="Book Antiqua" w:cs="Arial"/>
        </w:rPr>
        <w:t xml:space="preserve"> </w:t>
      </w:r>
      <w:r w:rsidR="00593E8D" w:rsidRPr="00321163">
        <w:rPr>
          <w:rFonts w:ascii="Book Antiqua" w:hAnsi="Book Antiqua" w:cs="Arial"/>
        </w:rPr>
        <w:t>k</w:t>
      </w:r>
      <w:r w:rsidR="00425651" w:rsidRPr="00321163">
        <w:rPr>
          <w:rFonts w:ascii="Book Antiqua" w:hAnsi="Book Antiqua" w:cs="Arial"/>
        </w:rPr>
        <w:t>nown gallstone disease)</w:t>
      </w:r>
      <w:r w:rsidR="00E110A3" w:rsidRPr="00321163">
        <w:rPr>
          <w:rFonts w:ascii="Book Antiqua" w:hAnsi="Book Antiqua" w:cs="Arial"/>
        </w:rPr>
        <w:t>, a passed stone</w:t>
      </w:r>
      <w:r w:rsidR="00425651" w:rsidRPr="00321163">
        <w:rPr>
          <w:rFonts w:ascii="Book Antiqua" w:hAnsi="Book Antiqua" w:cs="Arial"/>
        </w:rPr>
        <w:t xml:space="preserve">, </w:t>
      </w:r>
      <w:proofErr w:type="spellStart"/>
      <w:r w:rsidR="00425651" w:rsidRPr="00321163">
        <w:rPr>
          <w:rFonts w:ascii="Book Antiqua" w:hAnsi="Book Antiqua" w:cs="Arial"/>
        </w:rPr>
        <w:t>suprapapillary</w:t>
      </w:r>
      <w:proofErr w:type="spellEnd"/>
      <w:r w:rsidR="00425651" w:rsidRPr="00321163">
        <w:rPr>
          <w:rFonts w:ascii="Book Antiqua" w:hAnsi="Book Antiqua" w:cs="Arial"/>
        </w:rPr>
        <w:t xml:space="preserve"> stricture or</w:t>
      </w:r>
      <w:r w:rsidR="00E110A3" w:rsidRPr="00321163">
        <w:rPr>
          <w:rFonts w:ascii="Book Antiqua" w:hAnsi="Book Antiqua" w:cs="Arial"/>
        </w:rPr>
        <w:t xml:space="preserve"> papillary stenosis from a stone was </w:t>
      </w:r>
      <w:r w:rsidR="00425651" w:rsidRPr="00321163">
        <w:rPr>
          <w:rFonts w:ascii="Book Antiqua" w:hAnsi="Book Antiqua" w:cs="Arial"/>
        </w:rPr>
        <w:t>suspected</w:t>
      </w:r>
      <w:r w:rsidR="00E110A3" w:rsidRPr="00321163">
        <w:rPr>
          <w:rFonts w:ascii="Book Antiqua" w:hAnsi="Book Antiqua" w:cs="Arial"/>
        </w:rPr>
        <w:t>.</w:t>
      </w:r>
      <w:r w:rsidR="00DC32BB" w:rsidRPr="00321163">
        <w:rPr>
          <w:rFonts w:ascii="Book Antiqua" w:hAnsi="Book Antiqua" w:cs="Arial"/>
        </w:rPr>
        <w:t xml:space="preserve"> </w:t>
      </w:r>
      <w:r w:rsidR="00F266AC" w:rsidRPr="00321163">
        <w:rPr>
          <w:rFonts w:ascii="Book Antiqua" w:hAnsi="Book Antiqua" w:cs="Arial"/>
        </w:rPr>
        <w:t>In the absence of stone this information was identified in the post-procedure note, but based on a normal appearing ampulla or post-</w:t>
      </w:r>
      <w:proofErr w:type="spellStart"/>
      <w:r w:rsidR="00F266AC" w:rsidRPr="00321163">
        <w:rPr>
          <w:rFonts w:ascii="Book Antiqua" w:hAnsi="Book Antiqua" w:cs="Arial"/>
        </w:rPr>
        <w:t>sphincterotomy</w:t>
      </w:r>
      <w:proofErr w:type="spellEnd"/>
      <w:r w:rsidR="00F266AC" w:rsidRPr="00321163">
        <w:rPr>
          <w:rFonts w:ascii="Book Antiqua" w:hAnsi="Book Antiqua" w:cs="Arial"/>
        </w:rPr>
        <w:t xml:space="preserve"> where the dilated bile duct is traced to a stenotic area above the ampulla (</w:t>
      </w:r>
      <w:proofErr w:type="spellStart"/>
      <w:r w:rsidR="00F266AC" w:rsidRPr="00321163">
        <w:rPr>
          <w:rFonts w:ascii="Book Antiqua" w:hAnsi="Book Antiqua" w:cs="Arial"/>
        </w:rPr>
        <w:t>suprapapillary</w:t>
      </w:r>
      <w:proofErr w:type="spellEnd"/>
      <w:r w:rsidR="00F266AC" w:rsidRPr="00321163">
        <w:rPr>
          <w:rFonts w:ascii="Book Antiqua" w:hAnsi="Book Antiqua" w:cs="Arial"/>
        </w:rPr>
        <w:t xml:space="preserve"> stricture) or tactile perception or visibly </w:t>
      </w:r>
      <w:proofErr w:type="spellStart"/>
      <w:r w:rsidR="00F266AC" w:rsidRPr="00321163">
        <w:rPr>
          <w:rFonts w:ascii="Book Antiqua" w:hAnsi="Book Antiqua" w:cs="Arial"/>
        </w:rPr>
        <w:t>stenosed</w:t>
      </w:r>
      <w:proofErr w:type="spellEnd"/>
      <w:r w:rsidR="00F266AC" w:rsidRPr="00321163">
        <w:rPr>
          <w:rFonts w:ascii="Book Antiqua" w:hAnsi="Book Antiqua" w:cs="Arial"/>
        </w:rPr>
        <w:t xml:space="preserve"> </w:t>
      </w:r>
      <w:proofErr w:type="spellStart"/>
      <w:r w:rsidR="00F266AC" w:rsidRPr="00321163">
        <w:rPr>
          <w:rFonts w:ascii="Book Antiqua" w:hAnsi="Book Antiqua" w:cs="Arial"/>
        </w:rPr>
        <w:t>ampullary</w:t>
      </w:r>
      <w:proofErr w:type="spellEnd"/>
      <w:r w:rsidR="00F266AC" w:rsidRPr="00321163">
        <w:rPr>
          <w:rFonts w:ascii="Book Antiqua" w:hAnsi="Book Antiqua" w:cs="Arial"/>
        </w:rPr>
        <w:t xml:space="preserve"> </w:t>
      </w:r>
      <w:proofErr w:type="spellStart"/>
      <w:r w:rsidR="00F266AC" w:rsidRPr="00321163">
        <w:rPr>
          <w:rFonts w:ascii="Book Antiqua" w:hAnsi="Book Antiqua" w:cs="Arial"/>
        </w:rPr>
        <w:t>os</w:t>
      </w:r>
      <w:proofErr w:type="spellEnd"/>
      <w:r w:rsidR="00F266AC" w:rsidRPr="00321163">
        <w:rPr>
          <w:rFonts w:ascii="Book Antiqua" w:hAnsi="Book Antiqua" w:cs="Arial"/>
        </w:rPr>
        <w:t xml:space="preserve"> (papillary stenosis). </w:t>
      </w:r>
    </w:p>
    <w:p w14:paraId="7748CD0D" w14:textId="20BA2D7A" w:rsidR="008C0FAF" w:rsidRPr="00321163" w:rsidRDefault="009F68B3" w:rsidP="00593E8D">
      <w:pPr>
        <w:spacing w:line="360" w:lineRule="auto"/>
        <w:ind w:firstLineChars="100" w:firstLine="240"/>
        <w:jc w:val="both"/>
        <w:rPr>
          <w:rFonts w:ascii="Book Antiqua" w:hAnsi="Book Antiqua" w:cs="Arial"/>
        </w:rPr>
      </w:pPr>
      <w:r w:rsidRPr="00321163">
        <w:rPr>
          <w:rFonts w:ascii="Book Antiqua" w:hAnsi="Book Antiqua" w:cs="Arial"/>
        </w:rPr>
        <w:t>Since the primary endpoint was the presence of a stone, t</w:t>
      </w:r>
      <w:r w:rsidR="00DC32BB" w:rsidRPr="00321163">
        <w:rPr>
          <w:rFonts w:ascii="Book Antiqua" w:hAnsi="Book Antiqua" w:cs="Arial"/>
        </w:rPr>
        <w:t xml:space="preserve">his resulted in wide </w:t>
      </w:r>
      <w:r w:rsidR="00127E67" w:rsidRPr="00321163">
        <w:rPr>
          <w:rFonts w:ascii="Book Antiqua" w:hAnsi="Book Antiqua" w:cs="Arial"/>
        </w:rPr>
        <w:t>confidence intervals</w:t>
      </w:r>
      <w:r w:rsidR="00372219" w:rsidRPr="00321163">
        <w:rPr>
          <w:rFonts w:ascii="Book Antiqua" w:hAnsi="Book Antiqua" w:cs="Arial"/>
        </w:rPr>
        <w:t xml:space="preserve"> and did not allow for appropriate ROC curve representation</w:t>
      </w:r>
      <w:r w:rsidR="00127E67" w:rsidRPr="00321163">
        <w:rPr>
          <w:rFonts w:ascii="Book Antiqua" w:hAnsi="Book Antiqua" w:cs="Arial"/>
        </w:rPr>
        <w:t>.</w:t>
      </w:r>
      <w:r w:rsidR="00922966" w:rsidRPr="00321163">
        <w:rPr>
          <w:rFonts w:ascii="Book Antiqua" w:hAnsi="Book Antiqua" w:cs="Arial"/>
        </w:rPr>
        <w:t xml:space="preserve"> </w:t>
      </w:r>
      <w:r w:rsidR="00127E67" w:rsidRPr="00321163">
        <w:rPr>
          <w:rFonts w:ascii="Book Antiqua" w:hAnsi="Book Antiqua" w:cs="Arial"/>
        </w:rPr>
        <w:t xml:space="preserve">Similarly, </w:t>
      </w:r>
      <w:r w:rsidR="00372219" w:rsidRPr="00321163">
        <w:rPr>
          <w:rFonts w:ascii="Book Antiqua" w:hAnsi="Book Antiqua" w:cs="Arial"/>
        </w:rPr>
        <w:t xml:space="preserve">due to the zero denominator in several calculations, </w:t>
      </w:r>
      <w:r w:rsidR="00127E67" w:rsidRPr="00321163">
        <w:rPr>
          <w:rFonts w:ascii="Book Antiqua" w:hAnsi="Book Antiqua" w:cs="Arial"/>
        </w:rPr>
        <w:t>imputed odds ratios were calculated for the following categories: Total Bilirubin &gt;</w:t>
      </w:r>
      <w:r w:rsidR="00593E8D" w:rsidRPr="00321163">
        <w:rPr>
          <w:rFonts w:ascii="Book Antiqua" w:eastAsia="宋体" w:hAnsi="Book Antiqua" w:cs="Arial" w:hint="eastAsia"/>
          <w:lang w:eastAsia="zh-CN"/>
        </w:rPr>
        <w:t xml:space="preserve"> </w:t>
      </w:r>
      <w:r w:rsidR="00127E67" w:rsidRPr="00321163">
        <w:rPr>
          <w:rFonts w:ascii="Book Antiqua" w:hAnsi="Book Antiqua" w:cs="Arial"/>
        </w:rPr>
        <w:t>4 mg/</w:t>
      </w:r>
      <w:proofErr w:type="spellStart"/>
      <w:r w:rsidR="00127E67" w:rsidRPr="00321163">
        <w:rPr>
          <w:rFonts w:ascii="Book Antiqua" w:hAnsi="Book Antiqua" w:cs="Arial"/>
        </w:rPr>
        <w:t>dL</w:t>
      </w:r>
      <w:proofErr w:type="spellEnd"/>
      <w:r w:rsidR="00127E67" w:rsidRPr="00321163">
        <w:rPr>
          <w:rFonts w:ascii="Book Antiqua" w:hAnsi="Book Antiqua" w:cs="Arial"/>
        </w:rPr>
        <w:t>, VS-Adult criteria, and CBDS by US</w:t>
      </w:r>
      <w:r w:rsidR="00752418" w:rsidRPr="00321163">
        <w:rPr>
          <w:rFonts w:ascii="Book Antiqua" w:hAnsi="Book Antiqua" w:cs="Arial"/>
        </w:rPr>
        <w:t xml:space="preserve">, </w:t>
      </w:r>
      <w:r w:rsidR="00372219" w:rsidRPr="00321163">
        <w:rPr>
          <w:rFonts w:ascii="Book Antiqua" w:hAnsi="Book Antiqua" w:cs="Arial"/>
        </w:rPr>
        <w:t xml:space="preserve">but </w:t>
      </w:r>
      <w:r w:rsidR="00752418" w:rsidRPr="00321163">
        <w:rPr>
          <w:rFonts w:ascii="Book Antiqua" w:hAnsi="Book Antiqua" w:cs="Arial"/>
        </w:rPr>
        <w:t>likely underestimating these factors</w:t>
      </w:r>
      <w:r w:rsidR="00127E67" w:rsidRPr="00321163">
        <w:rPr>
          <w:rFonts w:ascii="Book Antiqua" w:hAnsi="Book Antiqua" w:cs="Arial"/>
        </w:rPr>
        <w:t>.</w:t>
      </w:r>
      <w:r w:rsidR="00922966" w:rsidRPr="00321163">
        <w:rPr>
          <w:rFonts w:ascii="Book Antiqua" w:hAnsi="Book Antiqua" w:cs="Arial"/>
        </w:rPr>
        <w:t xml:space="preserve"> </w:t>
      </w:r>
    </w:p>
    <w:p w14:paraId="035C85A4" w14:textId="49930B12" w:rsidR="00BE5125" w:rsidRPr="00321163" w:rsidRDefault="00BE5125" w:rsidP="00593E8D">
      <w:pPr>
        <w:spacing w:line="360" w:lineRule="auto"/>
        <w:ind w:firstLineChars="100" w:firstLine="240"/>
        <w:jc w:val="both"/>
        <w:rPr>
          <w:rFonts w:ascii="Book Antiqua" w:hAnsi="Book Antiqua" w:cs="Arial"/>
        </w:rPr>
      </w:pPr>
      <w:r w:rsidRPr="00321163">
        <w:rPr>
          <w:rFonts w:ascii="Book Antiqua" w:hAnsi="Book Antiqua" w:cs="Arial"/>
        </w:rPr>
        <w:t xml:space="preserve">There are also major differences in normal laboratory values and testing, such as alkaline phosphatase, typically several fold higher in pediatric patients compared to </w:t>
      </w:r>
      <w:proofErr w:type="gramStart"/>
      <w:r w:rsidRPr="00321163">
        <w:rPr>
          <w:rFonts w:ascii="Book Antiqua" w:hAnsi="Book Antiqua" w:cs="Arial"/>
        </w:rPr>
        <w:t>adults</w:t>
      </w:r>
      <w:r w:rsidR="00593E8D" w:rsidRPr="00321163">
        <w:rPr>
          <w:rFonts w:ascii="Book Antiqua" w:hAnsi="Book Antiqua" w:cs="Arial"/>
          <w:vertAlign w:val="superscript"/>
        </w:rPr>
        <w:t>[</w:t>
      </w:r>
      <w:proofErr w:type="gramEnd"/>
      <w:r w:rsidR="00593E8D" w:rsidRPr="00321163">
        <w:rPr>
          <w:rFonts w:ascii="Book Antiqua" w:hAnsi="Book Antiqua" w:cs="Arial"/>
          <w:vertAlign w:val="superscript"/>
        </w:rPr>
        <w:t>30]</w:t>
      </w:r>
      <w:r w:rsidRPr="00321163">
        <w:rPr>
          <w:rFonts w:ascii="Book Antiqua" w:hAnsi="Book Antiqua" w:cs="Arial"/>
        </w:rPr>
        <w:t>. Similarly, conjugated bilirubin is more often utilized rather than total bilirubin in pediatric laboratory investigations of hepatobiliary inflammation and obstruction.</w:t>
      </w:r>
      <w:r w:rsidR="00922966" w:rsidRPr="00321163">
        <w:rPr>
          <w:rFonts w:ascii="Book Antiqua" w:hAnsi="Book Antiqua" w:cs="Arial"/>
        </w:rPr>
        <w:t xml:space="preserve"> </w:t>
      </w:r>
      <w:r w:rsidR="00CB3C81" w:rsidRPr="00321163">
        <w:rPr>
          <w:rFonts w:ascii="Book Antiqua" w:hAnsi="Book Antiqua" w:cs="Arial"/>
        </w:rPr>
        <w:t>Conjugated bilirubin is a thus a more sensitive marker of significant biliary obstruction, even when patients with hemolytic disease were separated from the analysis (</w:t>
      </w:r>
      <w:r w:rsidR="00593E8D" w:rsidRPr="00321163">
        <w:rPr>
          <w:rFonts w:ascii="Book Antiqua" w:hAnsi="Book Antiqua" w:cs="Arial"/>
          <w:i/>
        </w:rPr>
        <w:t>P</w:t>
      </w:r>
      <w:r w:rsidR="00CB3C81" w:rsidRPr="00321163">
        <w:rPr>
          <w:rFonts w:ascii="Book Antiqua" w:hAnsi="Book Antiqua" w:cs="Arial"/>
        </w:rPr>
        <w:t xml:space="preserve"> &lt;</w:t>
      </w:r>
      <w:r w:rsidR="00593E8D" w:rsidRPr="00321163">
        <w:rPr>
          <w:rFonts w:ascii="Book Antiqua" w:eastAsia="宋体" w:hAnsi="Book Antiqua" w:cs="Arial" w:hint="eastAsia"/>
          <w:lang w:eastAsia="zh-CN"/>
        </w:rPr>
        <w:t xml:space="preserve"> 0</w:t>
      </w:r>
      <w:r w:rsidR="00593E8D" w:rsidRPr="00321163">
        <w:rPr>
          <w:rFonts w:ascii="Book Antiqua" w:hAnsi="Book Antiqua" w:cs="Arial"/>
        </w:rPr>
        <w:t xml:space="preserve">.004 </w:t>
      </w:r>
      <w:r w:rsidR="00593E8D" w:rsidRPr="00321163">
        <w:rPr>
          <w:rFonts w:ascii="Book Antiqua" w:hAnsi="Book Antiqua" w:cs="Arial"/>
          <w:i/>
        </w:rPr>
        <w:t>vs</w:t>
      </w:r>
      <w:r w:rsidR="00CB3C81" w:rsidRPr="00321163">
        <w:rPr>
          <w:rFonts w:ascii="Book Antiqua" w:hAnsi="Book Antiqua" w:cs="Arial"/>
        </w:rPr>
        <w:t xml:space="preserve"> </w:t>
      </w:r>
      <w:r w:rsidR="00593E8D" w:rsidRPr="00321163">
        <w:rPr>
          <w:rFonts w:ascii="Book Antiqua" w:eastAsia="宋体" w:hAnsi="Book Antiqua" w:cs="Arial" w:hint="eastAsia"/>
          <w:lang w:eastAsia="zh-CN"/>
        </w:rPr>
        <w:t>0</w:t>
      </w:r>
      <w:r w:rsidR="00CB3C81" w:rsidRPr="00321163">
        <w:rPr>
          <w:rFonts w:ascii="Book Antiqua" w:hAnsi="Book Antiqua" w:cs="Arial"/>
        </w:rPr>
        <w:t>.02 respectively). Cholesterol stone disease is now more common in pediatric patients compared to pigmented stones from hemolytic disease, but the laboratory examinations in patients with hemolytic disease typically</w:t>
      </w:r>
      <w:r w:rsidR="00713D61" w:rsidRPr="00321163">
        <w:rPr>
          <w:rFonts w:ascii="Book Antiqua" w:hAnsi="Book Antiqua" w:cs="Arial"/>
        </w:rPr>
        <w:t xml:space="preserve"> often </w:t>
      </w:r>
      <w:r w:rsidR="00CB3C81" w:rsidRPr="00321163">
        <w:rPr>
          <w:rFonts w:ascii="Book Antiqua" w:hAnsi="Book Antiqua" w:cs="Arial"/>
        </w:rPr>
        <w:t>have marked elevations in both total and conjugated bilirubin.</w:t>
      </w:r>
    </w:p>
    <w:p w14:paraId="50525F29" w14:textId="3534C2D1" w:rsidR="0099773E" w:rsidRPr="00321163" w:rsidRDefault="00BD74F7" w:rsidP="00E81C62">
      <w:pPr>
        <w:spacing w:line="360" w:lineRule="auto"/>
        <w:ind w:firstLineChars="100" w:firstLine="240"/>
        <w:jc w:val="both"/>
        <w:rPr>
          <w:rFonts w:ascii="Book Antiqua" w:hAnsi="Book Antiqua"/>
        </w:rPr>
      </w:pPr>
      <w:r w:rsidRPr="00321163">
        <w:rPr>
          <w:rFonts w:ascii="Book Antiqua" w:hAnsi="Book Antiqua"/>
        </w:rPr>
        <w:t xml:space="preserve">Our data is probably most applicable when the ASGE criteria are applied to adolescents, as they are more similar in mechanisms of disease and </w:t>
      </w:r>
      <w:proofErr w:type="gramStart"/>
      <w:r w:rsidRPr="00321163">
        <w:rPr>
          <w:rFonts w:ascii="Book Antiqua" w:hAnsi="Book Antiqua"/>
        </w:rPr>
        <w:t>anatomy</w:t>
      </w:r>
      <w:r w:rsidR="00536496">
        <w:rPr>
          <w:rFonts w:ascii="Book Antiqua" w:eastAsia="宋体" w:hAnsi="Book Antiqua" w:hint="eastAsia"/>
          <w:vertAlign w:val="superscript"/>
          <w:lang w:eastAsia="zh-CN"/>
        </w:rPr>
        <w:t>[</w:t>
      </w:r>
      <w:proofErr w:type="gramEnd"/>
      <w:r w:rsidR="00536496">
        <w:rPr>
          <w:rFonts w:ascii="Book Antiqua" w:eastAsia="宋体" w:hAnsi="Book Antiqua" w:hint="eastAsia"/>
          <w:vertAlign w:val="superscript"/>
          <w:lang w:eastAsia="zh-CN"/>
        </w:rPr>
        <w:t>2]</w:t>
      </w:r>
      <w:r w:rsidR="007D11B1" w:rsidRPr="00321163">
        <w:rPr>
          <w:rFonts w:ascii="Book Antiqua" w:hAnsi="Book Antiqua"/>
        </w:rPr>
        <w:t xml:space="preserve">. </w:t>
      </w:r>
      <w:r w:rsidRPr="00321163">
        <w:rPr>
          <w:rFonts w:ascii="Book Antiqua" w:hAnsi="Book Antiqua"/>
        </w:rPr>
        <w:t>However,</w:t>
      </w:r>
      <w:r w:rsidR="00546F9B" w:rsidRPr="00321163">
        <w:rPr>
          <w:rFonts w:ascii="Book Antiqua" w:hAnsi="Book Antiqua"/>
        </w:rPr>
        <w:t xml:space="preserve"> </w:t>
      </w:r>
      <w:r w:rsidRPr="00321163">
        <w:rPr>
          <w:rFonts w:ascii="Book Antiqua" w:hAnsi="Book Antiqua"/>
        </w:rPr>
        <w:t>when consideration for bile duct size is taken into account, and with increases for advancing age, the use of imaging criteria (</w:t>
      </w:r>
      <w:r w:rsidR="00754647" w:rsidRPr="00321163">
        <w:rPr>
          <w:rFonts w:ascii="Book Antiqua" w:hAnsi="Book Antiqua"/>
          <w:i/>
        </w:rPr>
        <w:t>e.g.</w:t>
      </w:r>
      <w:r w:rsidR="00E81C62" w:rsidRPr="00321163">
        <w:rPr>
          <w:rFonts w:ascii="Book Antiqua" w:eastAsia="宋体" w:hAnsi="Book Antiqua" w:hint="eastAsia"/>
          <w:lang w:eastAsia="zh-CN"/>
        </w:rPr>
        <w:t>,</w:t>
      </w:r>
      <w:r w:rsidRPr="00321163">
        <w:rPr>
          <w:rFonts w:ascii="Book Antiqua" w:hAnsi="Book Antiqua"/>
        </w:rPr>
        <w:t xml:space="preserve"> common bile duct diameter) may require a higher threshold for use in children and adolescents</w:t>
      </w:r>
      <w:r w:rsidR="00E81C62" w:rsidRPr="00321163">
        <w:rPr>
          <w:rFonts w:ascii="Book Antiqua" w:hAnsi="Book Antiqua"/>
          <w:vertAlign w:val="superscript"/>
        </w:rPr>
        <w:t>[18,31</w:t>
      </w:r>
      <w:r w:rsidR="006F6A8C" w:rsidRPr="00321163">
        <w:rPr>
          <w:rFonts w:ascii="Book Antiqua" w:eastAsia="宋体" w:hAnsi="Book Antiqua" w:hint="eastAsia"/>
          <w:vertAlign w:val="superscript"/>
          <w:lang w:eastAsia="zh-CN"/>
        </w:rPr>
        <w:t>,</w:t>
      </w:r>
      <w:r w:rsidR="00E81C62" w:rsidRPr="00321163">
        <w:rPr>
          <w:rFonts w:ascii="Book Antiqua" w:hAnsi="Book Antiqua"/>
          <w:vertAlign w:val="superscript"/>
        </w:rPr>
        <w:t>32]</w:t>
      </w:r>
      <w:r w:rsidRPr="00321163">
        <w:rPr>
          <w:rFonts w:ascii="Book Antiqua" w:hAnsi="Book Antiqua"/>
        </w:rPr>
        <w:t>.</w:t>
      </w:r>
      <w:r w:rsidR="00922966" w:rsidRPr="00321163">
        <w:rPr>
          <w:rFonts w:ascii="Book Antiqua" w:hAnsi="Book Antiqua"/>
        </w:rPr>
        <w:t xml:space="preserve"> </w:t>
      </w:r>
      <w:r w:rsidRPr="00321163">
        <w:rPr>
          <w:rFonts w:ascii="Book Antiqua" w:hAnsi="Book Antiqua"/>
        </w:rPr>
        <w:t>Management algorithms are highly dependent on patient population (</w:t>
      </w:r>
      <w:r w:rsidR="00754647" w:rsidRPr="00321163">
        <w:rPr>
          <w:rFonts w:ascii="Book Antiqua" w:hAnsi="Book Antiqua"/>
          <w:i/>
        </w:rPr>
        <w:t>e.g</w:t>
      </w:r>
      <w:r w:rsidR="00754647" w:rsidRPr="00321163">
        <w:rPr>
          <w:rFonts w:ascii="Book Antiqua" w:hAnsi="Book Antiqua"/>
        </w:rPr>
        <w:t>.</w:t>
      </w:r>
      <w:r w:rsidR="00E81C62" w:rsidRPr="00321163">
        <w:rPr>
          <w:rFonts w:ascii="Book Antiqua" w:eastAsia="宋体" w:hAnsi="Book Antiqua" w:hint="eastAsia"/>
          <w:lang w:eastAsia="zh-CN"/>
        </w:rPr>
        <w:t>,</w:t>
      </w:r>
      <w:r w:rsidRPr="00321163">
        <w:rPr>
          <w:rFonts w:ascii="Book Antiqua" w:hAnsi="Book Antiqua"/>
        </w:rPr>
        <w:t xml:space="preserve"> rate of hemolytic disease or obesity), local expertise and availability of ERCP, surgical techniques, and different radiographic modalities.</w:t>
      </w:r>
      <w:r w:rsidR="00922966" w:rsidRPr="00321163">
        <w:rPr>
          <w:rFonts w:ascii="Book Antiqua" w:hAnsi="Book Antiqua"/>
        </w:rPr>
        <w:t xml:space="preserve"> </w:t>
      </w:r>
      <w:r w:rsidR="00DC32BB" w:rsidRPr="00321163">
        <w:rPr>
          <w:rFonts w:ascii="Book Antiqua" w:hAnsi="Book Antiqua"/>
        </w:rPr>
        <w:lastRenderedPageBreak/>
        <w:t xml:space="preserve">Although the current guidelines for adults use an accepted likelihood of stone identification of greater than fifty percent, a higher cut-off </w:t>
      </w:r>
      <w:r w:rsidR="00FC5305" w:rsidRPr="00321163">
        <w:rPr>
          <w:rFonts w:ascii="Book Antiqua" w:hAnsi="Book Antiqua"/>
        </w:rPr>
        <w:t xml:space="preserve">may be more </w:t>
      </w:r>
      <w:r w:rsidR="00DC32BB" w:rsidRPr="00321163">
        <w:rPr>
          <w:rFonts w:ascii="Book Antiqua" w:hAnsi="Book Antiqua"/>
        </w:rPr>
        <w:t xml:space="preserve">appropriate for </w:t>
      </w:r>
      <w:proofErr w:type="gramStart"/>
      <w:r w:rsidR="00DC32BB" w:rsidRPr="00321163">
        <w:rPr>
          <w:rFonts w:ascii="Book Antiqua" w:hAnsi="Book Antiqua"/>
        </w:rPr>
        <w:t>children</w:t>
      </w:r>
      <w:r w:rsidR="00E81C62" w:rsidRPr="00321163">
        <w:rPr>
          <w:rFonts w:ascii="Book Antiqua" w:hAnsi="Book Antiqua"/>
          <w:vertAlign w:val="superscript"/>
        </w:rPr>
        <w:t>[</w:t>
      </w:r>
      <w:proofErr w:type="gramEnd"/>
      <w:r w:rsidR="00E81C62" w:rsidRPr="00321163">
        <w:rPr>
          <w:rFonts w:ascii="Book Antiqua" w:hAnsi="Book Antiqua"/>
          <w:vertAlign w:val="superscript"/>
        </w:rPr>
        <w:t>10,21,28]</w:t>
      </w:r>
      <w:r w:rsidR="004825AF" w:rsidRPr="00321163">
        <w:rPr>
          <w:rFonts w:ascii="Book Antiqua" w:hAnsi="Book Antiqua"/>
        </w:rPr>
        <w:t>.</w:t>
      </w:r>
      <w:r w:rsidR="00713D61" w:rsidRPr="00321163">
        <w:rPr>
          <w:rFonts w:ascii="Book Antiqua" w:hAnsi="Book Antiqua"/>
        </w:rPr>
        <w:t xml:space="preserve"> </w:t>
      </w:r>
      <w:r w:rsidR="00FC5305" w:rsidRPr="00321163">
        <w:rPr>
          <w:rFonts w:ascii="Book Antiqua" w:hAnsi="Book Antiqua"/>
        </w:rPr>
        <w:t xml:space="preserve">It is our hope that the </w:t>
      </w:r>
      <w:r w:rsidRPr="00321163">
        <w:rPr>
          <w:rFonts w:ascii="Book Antiqua" w:hAnsi="Book Antiqua"/>
        </w:rPr>
        <w:t>findings may serve as a clinical framework to pursue multi-center studies to identify optimal lab and imaging criteria in children in the management of CBDS</w:t>
      </w:r>
      <w:r w:rsidR="00FC5305" w:rsidRPr="00321163">
        <w:rPr>
          <w:rFonts w:ascii="Book Antiqua" w:hAnsi="Book Antiqua"/>
        </w:rPr>
        <w:t xml:space="preserve"> prospectively.</w:t>
      </w:r>
      <w:r w:rsidR="00713D61" w:rsidRPr="00321163">
        <w:rPr>
          <w:rFonts w:ascii="Book Antiqua" w:hAnsi="Book Antiqua"/>
        </w:rPr>
        <w:t xml:space="preserve"> </w:t>
      </w:r>
    </w:p>
    <w:p w14:paraId="2F6326F4" w14:textId="67BCB697" w:rsidR="00BD74F7" w:rsidRPr="00321163" w:rsidRDefault="00713D61" w:rsidP="00E81C62">
      <w:pPr>
        <w:spacing w:line="360" w:lineRule="auto"/>
        <w:ind w:firstLineChars="100" w:firstLine="240"/>
        <w:jc w:val="both"/>
        <w:rPr>
          <w:rFonts w:ascii="Book Antiqua" w:hAnsi="Book Antiqua"/>
        </w:rPr>
      </w:pPr>
      <w:r w:rsidRPr="00321163">
        <w:rPr>
          <w:rFonts w:ascii="Book Antiqua" w:hAnsi="Book Antiqua"/>
        </w:rPr>
        <w:t>Due to the relative variability in each of the available tests as well as the reported rates of both missed stones at ERCP and rates of stone passage, clinical experience should complement these tools</w:t>
      </w:r>
      <w:r w:rsidR="0099773E" w:rsidRPr="00321163">
        <w:rPr>
          <w:rFonts w:ascii="Book Antiqua" w:hAnsi="Book Antiqua"/>
        </w:rPr>
        <w:t xml:space="preserve"> and should take into consideration </w:t>
      </w:r>
      <w:r w:rsidRPr="00321163">
        <w:rPr>
          <w:rFonts w:ascii="Book Antiqua" w:hAnsi="Book Antiqua"/>
        </w:rPr>
        <w:t>the inherent risks of the procedure with the risks of a retained stone (</w:t>
      </w:r>
      <w:r w:rsidRPr="00321163">
        <w:rPr>
          <w:rFonts w:ascii="Book Antiqua" w:hAnsi="Book Antiqua"/>
          <w:i/>
        </w:rPr>
        <w:t>e</w:t>
      </w:r>
      <w:r w:rsidR="00E81C62" w:rsidRPr="00321163">
        <w:rPr>
          <w:rFonts w:ascii="Book Antiqua" w:eastAsia="宋体" w:hAnsi="Book Antiqua" w:hint="eastAsia"/>
          <w:i/>
          <w:lang w:eastAsia="zh-CN"/>
        </w:rPr>
        <w:t>.</w:t>
      </w:r>
      <w:r w:rsidRPr="00321163">
        <w:rPr>
          <w:rFonts w:ascii="Book Antiqua" w:hAnsi="Book Antiqua"/>
          <w:i/>
        </w:rPr>
        <w:t>g.</w:t>
      </w:r>
      <w:r w:rsidR="00E81C62" w:rsidRPr="00321163">
        <w:rPr>
          <w:rFonts w:ascii="Book Antiqua" w:eastAsia="宋体" w:hAnsi="Book Antiqua" w:hint="eastAsia"/>
          <w:lang w:eastAsia="zh-CN"/>
        </w:rPr>
        <w:t>,</w:t>
      </w:r>
      <w:r w:rsidRPr="00321163">
        <w:rPr>
          <w:rFonts w:ascii="Book Antiqua" w:hAnsi="Book Antiqua"/>
        </w:rPr>
        <w:t xml:space="preserve"> </w:t>
      </w:r>
      <w:r w:rsidR="0099773E" w:rsidRPr="00321163">
        <w:rPr>
          <w:rFonts w:ascii="Book Antiqua" w:hAnsi="Book Antiqua"/>
        </w:rPr>
        <w:t xml:space="preserve">cholangitis, </w:t>
      </w:r>
      <w:r w:rsidRPr="00321163">
        <w:rPr>
          <w:rFonts w:ascii="Book Antiqua" w:hAnsi="Book Antiqua"/>
        </w:rPr>
        <w:t>pancreatitis)</w:t>
      </w:r>
      <w:r w:rsidR="0099773E" w:rsidRPr="00321163">
        <w:rPr>
          <w:rFonts w:ascii="Book Antiqua" w:hAnsi="Book Antiqua"/>
        </w:rPr>
        <w:t>. It is also</w:t>
      </w:r>
      <w:r w:rsidR="00EC111A" w:rsidRPr="00321163">
        <w:rPr>
          <w:rFonts w:ascii="Book Antiqua" w:hAnsi="Book Antiqua"/>
        </w:rPr>
        <w:t xml:space="preserve"> important</w:t>
      </w:r>
      <w:r w:rsidR="0099773E" w:rsidRPr="00321163">
        <w:rPr>
          <w:rFonts w:ascii="Book Antiqua" w:hAnsi="Book Antiqua"/>
        </w:rPr>
        <w:t xml:space="preserve"> to consider</w:t>
      </w:r>
      <w:r w:rsidR="00EC111A" w:rsidRPr="00321163">
        <w:rPr>
          <w:rFonts w:ascii="Book Antiqua" w:hAnsi="Book Antiqua"/>
        </w:rPr>
        <w:t xml:space="preserve"> the possibility of an </w:t>
      </w:r>
      <w:r w:rsidRPr="00321163">
        <w:rPr>
          <w:rFonts w:ascii="Book Antiqua" w:hAnsi="Book Antiqua"/>
        </w:rPr>
        <w:t xml:space="preserve">alternative diagnosis contributing to </w:t>
      </w:r>
      <w:proofErr w:type="spellStart"/>
      <w:r w:rsidRPr="00321163">
        <w:rPr>
          <w:rFonts w:ascii="Book Antiqua" w:hAnsi="Book Antiqua"/>
        </w:rPr>
        <w:t>intraductal</w:t>
      </w:r>
      <w:proofErr w:type="spellEnd"/>
      <w:r w:rsidRPr="00321163">
        <w:rPr>
          <w:rFonts w:ascii="Book Antiqua" w:hAnsi="Book Antiqua"/>
        </w:rPr>
        <w:t xml:space="preserve"> stones such as familial intrahepatic cholestasis or </w:t>
      </w:r>
      <w:proofErr w:type="spellStart"/>
      <w:r w:rsidRPr="00321163">
        <w:rPr>
          <w:rFonts w:ascii="Book Antiqua" w:hAnsi="Book Antiqua"/>
        </w:rPr>
        <w:t>sclerosing</w:t>
      </w:r>
      <w:proofErr w:type="spellEnd"/>
      <w:r w:rsidRPr="00321163">
        <w:rPr>
          <w:rFonts w:ascii="Book Antiqua" w:hAnsi="Book Antiqua"/>
        </w:rPr>
        <w:t xml:space="preserve"> cholangitis</w:t>
      </w:r>
      <w:r w:rsidR="00EC111A" w:rsidRPr="00321163">
        <w:rPr>
          <w:rFonts w:ascii="Book Antiqua" w:hAnsi="Book Antiqua"/>
        </w:rPr>
        <w:t>, both carrying malignancy risks.</w:t>
      </w:r>
      <w:r w:rsidR="00922966" w:rsidRPr="00321163">
        <w:rPr>
          <w:rFonts w:ascii="Book Antiqua" w:hAnsi="Book Antiqua"/>
        </w:rPr>
        <w:t xml:space="preserve"> </w:t>
      </w:r>
      <w:r w:rsidR="00EC111A" w:rsidRPr="00321163">
        <w:rPr>
          <w:rFonts w:ascii="Book Antiqua" w:hAnsi="Book Antiqua"/>
        </w:rPr>
        <w:t xml:space="preserve">Intrahepatic stone disease has also been linked to </w:t>
      </w:r>
      <w:proofErr w:type="gramStart"/>
      <w:r w:rsidR="00EC111A" w:rsidRPr="00321163">
        <w:rPr>
          <w:rFonts w:ascii="Book Antiqua" w:hAnsi="Book Antiqua"/>
        </w:rPr>
        <w:t>cholangiocarcinoma</w:t>
      </w:r>
      <w:r w:rsidR="00E81C62" w:rsidRPr="00321163">
        <w:rPr>
          <w:rFonts w:ascii="Book Antiqua" w:hAnsi="Book Antiqua"/>
          <w:vertAlign w:val="superscript"/>
        </w:rPr>
        <w:t>[</w:t>
      </w:r>
      <w:proofErr w:type="gramEnd"/>
      <w:r w:rsidR="00E81C62" w:rsidRPr="00321163">
        <w:rPr>
          <w:rFonts w:ascii="Book Antiqua" w:hAnsi="Book Antiqua"/>
          <w:vertAlign w:val="superscript"/>
        </w:rPr>
        <w:t>33]</w:t>
      </w:r>
      <w:r w:rsidR="00EC111A" w:rsidRPr="00321163">
        <w:rPr>
          <w:rFonts w:ascii="Book Antiqua" w:hAnsi="Book Antiqua"/>
        </w:rPr>
        <w:t>.</w:t>
      </w:r>
    </w:p>
    <w:p w14:paraId="13177F79" w14:textId="2CFFCE67" w:rsidR="00D05074" w:rsidRPr="00321163" w:rsidRDefault="007A1E36" w:rsidP="00E81C62">
      <w:pPr>
        <w:spacing w:line="360" w:lineRule="auto"/>
        <w:ind w:firstLineChars="100" w:firstLine="240"/>
        <w:jc w:val="both"/>
        <w:rPr>
          <w:rFonts w:ascii="Book Antiqua" w:hAnsi="Book Antiqua"/>
        </w:rPr>
      </w:pPr>
      <w:r w:rsidRPr="00321163">
        <w:rPr>
          <w:rFonts w:ascii="Book Antiqua" w:hAnsi="Book Antiqua" w:cs="Arial"/>
        </w:rPr>
        <w:t xml:space="preserve">Using ASGE guidelines </w:t>
      </w:r>
      <w:r w:rsidR="00D2508A" w:rsidRPr="00321163">
        <w:rPr>
          <w:rFonts w:ascii="Book Antiqua" w:hAnsi="Book Antiqua" w:cs="Arial"/>
        </w:rPr>
        <w:t xml:space="preserve">in a series of pediatric patients </w:t>
      </w:r>
      <w:r w:rsidRPr="00321163">
        <w:rPr>
          <w:rFonts w:ascii="Book Antiqua" w:hAnsi="Book Antiqua" w:cs="Arial"/>
        </w:rPr>
        <w:t xml:space="preserve">with suspected CBDS, stones were appropriately identified in </w:t>
      </w:r>
      <w:r w:rsidR="00843AF9" w:rsidRPr="00321163">
        <w:rPr>
          <w:rFonts w:ascii="Book Antiqua" w:hAnsi="Book Antiqua" w:cs="Arial"/>
        </w:rPr>
        <w:t xml:space="preserve">the </w:t>
      </w:r>
      <w:r w:rsidRPr="00321163">
        <w:rPr>
          <w:rFonts w:ascii="Book Antiqua" w:hAnsi="Book Antiqua" w:cs="Arial"/>
        </w:rPr>
        <w:t xml:space="preserve">majority of cases, while US was poorly predictive of </w:t>
      </w:r>
      <w:r w:rsidR="00224BA4" w:rsidRPr="00321163">
        <w:rPr>
          <w:rFonts w:ascii="Book Antiqua" w:hAnsi="Book Antiqua" w:cs="Arial"/>
        </w:rPr>
        <w:t>a sensitivity of 42%.</w:t>
      </w:r>
      <w:r w:rsidR="00922966" w:rsidRPr="00321163">
        <w:rPr>
          <w:rFonts w:ascii="Book Antiqua" w:hAnsi="Book Antiqua" w:cs="Arial"/>
        </w:rPr>
        <w:t xml:space="preserve"> </w:t>
      </w:r>
      <w:r w:rsidR="009F68B3" w:rsidRPr="00321163">
        <w:rPr>
          <w:rFonts w:ascii="Book Antiqua" w:hAnsi="Book Antiqua"/>
        </w:rPr>
        <w:t>Modified criteria using conjugated bilirubin ≥ 0.5 mg/</w:t>
      </w:r>
      <w:proofErr w:type="spellStart"/>
      <w:r w:rsidR="009F68B3" w:rsidRPr="00321163">
        <w:rPr>
          <w:rFonts w:ascii="Book Antiqua" w:hAnsi="Book Antiqua"/>
        </w:rPr>
        <w:t>dL</w:t>
      </w:r>
      <w:proofErr w:type="spellEnd"/>
      <w:r w:rsidR="009F68B3" w:rsidRPr="00321163">
        <w:rPr>
          <w:rFonts w:ascii="Book Antiqua" w:hAnsi="Book Antiqua"/>
        </w:rPr>
        <w:t xml:space="preserve"> instead of total bilirubin performed better at identification of CBDS.</w:t>
      </w:r>
      <w:r w:rsidR="00922966" w:rsidRPr="00321163">
        <w:rPr>
          <w:rFonts w:ascii="Book Antiqua" w:hAnsi="Book Antiqua"/>
          <w:b/>
        </w:rPr>
        <w:t xml:space="preserve"> </w:t>
      </w:r>
      <w:r w:rsidRPr="00321163">
        <w:rPr>
          <w:rFonts w:ascii="Book Antiqua" w:hAnsi="Book Antiqua" w:cs="Arial"/>
        </w:rPr>
        <w:t xml:space="preserve">Conjugated bilirubin, </w:t>
      </w:r>
      <w:r w:rsidR="007964B4" w:rsidRPr="00321163">
        <w:rPr>
          <w:rFonts w:ascii="Book Antiqua" w:hAnsi="Book Antiqua" w:cs="Arial"/>
        </w:rPr>
        <w:sym w:font="Symbol" w:char="F067"/>
      </w:r>
      <w:r w:rsidR="007964B4" w:rsidRPr="00321163">
        <w:rPr>
          <w:rFonts w:ascii="Book Antiqua" w:hAnsi="Book Antiqua" w:cs="Arial"/>
        </w:rPr>
        <w:t>GT</w:t>
      </w:r>
      <w:r w:rsidRPr="00321163">
        <w:rPr>
          <w:rFonts w:ascii="Book Antiqua" w:hAnsi="Book Antiqua" w:cs="Arial"/>
        </w:rPr>
        <w:t>, ALT and AST may</w:t>
      </w:r>
      <w:r w:rsidR="003452DC" w:rsidRPr="00321163">
        <w:rPr>
          <w:rFonts w:ascii="Book Antiqua" w:hAnsi="Book Antiqua" w:cs="Arial"/>
        </w:rPr>
        <w:t xml:space="preserve"> improve specificity</w:t>
      </w:r>
      <w:r w:rsidRPr="00321163">
        <w:rPr>
          <w:rFonts w:ascii="Book Antiqua" w:hAnsi="Book Antiqua" w:cs="Arial"/>
        </w:rPr>
        <w:t xml:space="preserve"> in identification of CBDS. </w:t>
      </w:r>
      <w:r w:rsidR="003452DC" w:rsidRPr="00321163">
        <w:rPr>
          <w:rFonts w:ascii="Book Antiqua" w:hAnsi="Book Antiqua"/>
        </w:rPr>
        <w:t xml:space="preserve">Future </w:t>
      </w:r>
      <w:r w:rsidR="00BD3DDD" w:rsidRPr="00321163">
        <w:rPr>
          <w:rFonts w:ascii="Book Antiqua" w:hAnsi="Book Antiqua"/>
        </w:rPr>
        <w:t>studies are needed to assess</w:t>
      </w:r>
      <w:r w:rsidR="00D2508A" w:rsidRPr="00321163">
        <w:rPr>
          <w:rFonts w:ascii="Book Antiqua" w:hAnsi="Book Antiqua"/>
        </w:rPr>
        <w:t xml:space="preserve"> </w:t>
      </w:r>
      <w:r w:rsidR="003452DC" w:rsidRPr="00321163">
        <w:rPr>
          <w:rFonts w:ascii="Book Antiqua" w:hAnsi="Book Antiqua"/>
        </w:rPr>
        <w:t xml:space="preserve">pediatric </w:t>
      </w:r>
      <w:r w:rsidR="00D2508A" w:rsidRPr="00321163">
        <w:rPr>
          <w:rFonts w:ascii="Book Antiqua" w:hAnsi="Book Antiqua"/>
        </w:rPr>
        <w:t>specific criteria in children including both imaging</w:t>
      </w:r>
      <w:r w:rsidR="00713D61" w:rsidRPr="00321163">
        <w:rPr>
          <w:rFonts w:ascii="Book Antiqua" w:hAnsi="Book Antiqua"/>
        </w:rPr>
        <w:t xml:space="preserve"> (US, MRCP and EUS)</w:t>
      </w:r>
      <w:r w:rsidR="00D2508A" w:rsidRPr="00321163">
        <w:rPr>
          <w:rFonts w:ascii="Book Antiqua" w:hAnsi="Book Antiqua"/>
        </w:rPr>
        <w:t xml:space="preserve"> and laboratory data.</w:t>
      </w:r>
      <w:r w:rsidR="00922966" w:rsidRPr="00321163">
        <w:rPr>
          <w:rFonts w:ascii="Book Antiqua" w:hAnsi="Book Antiqua"/>
        </w:rPr>
        <w:t xml:space="preserve"> </w:t>
      </w:r>
      <w:r w:rsidRPr="00321163">
        <w:rPr>
          <w:rFonts w:ascii="Book Antiqua" w:hAnsi="Book Antiqua" w:cs="Arial"/>
        </w:rPr>
        <w:t>In the future, pediatric specific guidelines should be developed to optimize ERCP management in children with suspected CBDS.</w:t>
      </w:r>
      <w:r w:rsidR="00922966" w:rsidRPr="00321163">
        <w:rPr>
          <w:rFonts w:ascii="Book Antiqua" w:hAnsi="Book Antiqua"/>
        </w:rPr>
        <w:t xml:space="preserve"> </w:t>
      </w:r>
    </w:p>
    <w:p w14:paraId="0781F477" w14:textId="77777777" w:rsidR="00507B4D" w:rsidRPr="00321163" w:rsidRDefault="00507B4D" w:rsidP="00CA6249">
      <w:pPr>
        <w:spacing w:line="360" w:lineRule="auto"/>
        <w:jc w:val="both"/>
        <w:rPr>
          <w:rFonts w:ascii="Book Antiqua" w:eastAsia="宋体" w:hAnsi="Book Antiqua"/>
          <w:lang w:eastAsia="zh-CN"/>
        </w:rPr>
      </w:pPr>
    </w:p>
    <w:p w14:paraId="26594ED3" w14:textId="521A2D7E" w:rsidR="00AE72C1" w:rsidRPr="00321163" w:rsidRDefault="00AE72C1" w:rsidP="00E81C62">
      <w:pPr>
        <w:autoSpaceDE w:val="0"/>
        <w:autoSpaceDN w:val="0"/>
        <w:adjustRightInd w:val="0"/>
        <w:spacing w:line="360" w:lineRule="auto"/>
        <w:jc w:val="both"/>
        <w:rPr>
          <w:rFonts w:ascii="Book Antiqua" w:eastAsia="宋体" w:hAnsi="Book Antiqua"/>
          <w:b/>
          <w:lang w:eastAsia="zh-CN"/>
        </w:rPr>
      </w:pPr>
      <w:r w:rsidRPr="00321163">
        <w:rPr>
          <w:rFonts w:ascii="Book Antiqua" w:hAnsi="Book Antiqua"/>
          <w:b/>
        </w:rPr>
        <w:t>COMMENTS</w:t>
      </w:r>
    </w:p>
    <w:p w14:paraId="1E0F58C0" w14:textId="51501210" w:rsidR="00C4722B" w:rsidRPr="00321163" w:rsidRDefault="00C4722B" w:rsidP="00CA6249">
      <w:pPr>
        <w:spacing w:line="360" w:lineRule="auto"/>
        <w:jc w:val="both"/>
        <w:rPr>
          <w:rFonts w:ascii="Book Antiqua" w:eastAsia="宋体" w:hAnsi="Book Antiqua"/>
          <w:b/>
          <w:i/>
          <w:lang w:eastAsia="zh-CN"/>
        </w:rPr>
      </w:pPr>
      <w:r w:rsidRPr="00321163">
        <w:rPr>
          <w:rFonts w:ascii="Book Antiqua" w:eastAsia="宋体" w:hAnsi="Book Antiqua"/>
          <w:b/>
          <w:i/>
          <w:lang w:eastAsia="zh-CN"/>
        </w:rPr>
        <w:t>Background</w:t>
      </w:r>
    </w:p>
    <w:p w14:paraId="74DD0BA5" w14:textId="5D126036" w:rsidR="00C4722B" w:rsidRPr="00321163" w:rsidRDefault="00C4722B" w:rsidP="00CA6249">
      <w:pPr>
        <w:spacing w:line="360" w:lineRule="auto"/>
        <w:jc w:val="both"/>
        <w:rPr>
          <w:rFonts w:ascii="Book Antiqua" w:eastAsia="宋体" w:hAnsi="Book Antiqua"/>
          <w:lang w:eastAsia="zh-CN"/>
        </w:rPr>
      </w:pPr>
      <w:r w:rsidRPr="00321163">
        <w:rPr>
          <w:rFonts w:ascii="Book Antiqua" w:eastAsia="宋体" w:hAnsi="Book Antiqua"/>
          <w:lang w:eastAsia="zh-CN"/>
        </w:rPr>
        <w:t xml:space="preserve">Gallstones are an increasingly reported problem in children and reported rates of choledocholithiasis may be higher in pediatric patients than adults. In patients with suspected </w:t>
      </w:r>
      <w:proofErr w:type="spellStart"/>
      <w:r w:rsidRPr="00321163">
        <w:rPr>
          <w:rFonts w:ascii="Book Antiqua" w:eastAsia="宋体" w:hAnsi="Book Antiqua"/>
          <w:lang w:eastAsia="zh-CN"/>
        </w:rPr>
        <w:t>choledocholithiais</w:t>
      </w:r>
      <w:proofErr w:type="spellEnd"/>
      <w:r w:rsidRPr="00321163">
        <w:rPr>
          <w:rFonts w:ascii="Book Antiqua" w:eastAsia="宋体" w:hAnsi="Book Antiqua"/>
          <w:lang w:eastAsia="zh-CN"/>
        </w:rPr>
        <w:t xml:space="preserve">, criteria have been proposed for adults to help predict the likelihood of identifying and ultimately removing a stone at </w:t>
      </w:r>
      <w:r w:rsidR="00333748" w:rsidRPr="00321163">
        <w:rPr>
          <w:rFonts w:ascii="Book Antiqua" w:eastAsia="宋体" w:hAnsi="Book Antiqua"/>
          <w:lang w:eastAsia="zh-CN"/>
        </w:rPr>
        <w:lastRenderedPageBreak/>
        <w:t xml:space="preserve">endoscopic retrograde cholangiography </w:t>
      </w:r>
      <w:r w:rsidR="00333748" w:rsidRPr="00321163">
        <w:rPr>
          <w:rFonts w:ascii="Book Antiqua" w:eastAsia="宋体" w:hAnsi="Book Antiqua" w:hint="eastAsia"/>
          <w:lang w:eastAsia="zh-CN"/>
        </w:rPr>
        <w:t>(</w:t>
      </w:r>
      <w:r w:rsidRPr="00321163">
        <w:rPr>
          <w:rFonts w:ascii="Book Antiqua" w:eastAsia="宋体" w:hAnsi="Book Antiqua"/>
          <w:lang w:eastAsia="zh-CN"/>
        </w:rPr>
        <w:t>ERCP</w:t>
      </w:r>
      <w:r w:rsidR="00333748" w:rsidRPr="00321163">
        <w:rPr>
          <w:rFonts w:ascii="Book Antiqua" w:eastAsia="宋体" w:hAnsi="Book Antiqua" w:hint="eastAsia"/>
          <w:lang w:eastAsia="zh-CN"/>
        </w:rPr>
        <w:t>)</w:t>
      </w:r>
      <w:r w:rsidRPr="00321163">
        <w:rPr>
          <w:rFonts w:ascii="Book Antiqua" w:eastAsia="宋体" w:hAnsi="Book Antiqua"/>
          <w:lang w:eastAsia="zh-CN"/>
        </w:rPr>
        <w:t>. Limited data is available specific to children to guide management for this problem.</w:t>
      </w:r>
    </w:p>
    <w:p w14:paraId="3A20A5FA" w14:textId="77777777" w:rsidR="00C4722B" w:rsidRPr="00321163" w:rsidRDefault="00C4722B" w:rsidP="00CA6249">
      <w:pPr>
        <w:spacing w:line="360" w:lineRule="auto"/>
        <w:jc w:val="both"/>
        <w:rPr>
          <w:rFonts w:ascii="Book Antiqua" w:eastAsia="宋体" w:hAnsi="Book Antiqua"/>
          <w:lang w:eastAsia="zh-CN"/>
        </w:rPr>
      </w:pPr>
    </w:p>
    <w:p w14:paraId="118C4748" w14:textId="140AAE0A" w:rsidR="00C4722B" w:rsidRPr="00321163" w:rsidRDefault="00C4722B" w:rsidP="00CA6249">
      <w:pPr>
        <w:spacing w:line="360" w:lineRule="auto"/>
        <w:jc w:val="both"/>
        <w:rPr>
          <w:rFonts w:ascii="Book Antiqua" w:eastAsia="宋体" w:hAnsi="Book Antiqua"/>
          <w:b/>
          <w:i/>
          <w:lang w:eastAsia="zh-CN"/>
        </w:rPr>
      </w:pPr>
      <w:r w:rsidRPr="00321163">
        <w:rPr>
          <w:rFonts w:ascii="Book Antiqua" w:eastAsia="宋体" w:hAnsi="Book Antiqua"/>
          <w:b/>
          <w:i/>
          <w:lang w:eastAsia="zh-CN"/>
        </w:rPr>
        <w:t>Research frontiers</w:t>
      </w:r>
    </w:p>
    <w:p w14:paraId="4DCC6DEE" w14:textId="11800C89" w:rsidR="00C4722B" w:rsidRPr="00321163" w:rsidRDefault="00DC34FF" w:rsidP="00CA6249">
      <w:pPr>
        <w:spacing w:line="360" w:lineRule="auto"/>
        <w:jc w:val="both"/>
        <w:rPr>
          <w:rFonts w:ascii="Book Antiqua" w:eastAsia="宋体" w:hAnsi="Book Antiqua"/>
          <w:lang w:eastAsia="zh-CN"/>
        </w:rPr>
      </w:pPr>
      <w:r w:rsidRPr="00321163">
        <w:rPr>
          <w:rFonts w:ascii="Book Antiqua" w:eastAsia="宋体" w:hAnsi="Book Antiqua"/>
          <w:lang w:eastAsia="zh-CN"/>
        </w:rPr>
        <w:t>There is great interest in the study of choledocholithiasis and its related management.</w:t>
      </w:r>
      <w:r w:rsidR="00922966" w:rsidRPr="00321163">
        <w:rPr>
          <w:rFonts w:ascii="Book Antiqua" w:eastAsia="宋体" w:hAnsi="Book Antiqua"/>
          <w:lang w:eastAsia="zh-CN"/>
        </w:rPr>
        <w:t xml:space="preserve"> </w:t>
      </w:r>
      <w:r w:rsidRPr="00321163">
        <w:rPr>
          <w:rFonts w:ascii="Book Antiqua" w:eastAsia="宋体" w:hAnsi="Book Antiqua"/>
          <w:lang w:eastAsia="zh-CN"/>
        </w:rPr>
        <w:t>It offers opportunity to improve patient care by decreasing risks of a given procedure or related sedation.</w:t>
      </w:r>
      <w:r w:rsidR="00922966" w:rsidRPr="00321163">
        <w:rPr>
          <w:rFonts w:ascii="Book Antiqua" w:eastAsia="宋体" w:hAnsi="Book Antiqua"/>
          <w:lang w:eastAsia="zh-CN"/>
        </w:rPr>
        <w:t xml:space="preserve"> </w:t>
      </w:r>
      <w:r w:rsidRPr="00321163">
        <w:rPr>
          <w:rFonts w:ascii="Book Antiqua" w:eastAsia="宋体" w:hAnsi="Book Antiqua"/>
          <w:lang w:eastAsia="zh-CN"/>
        </w:rPr>
        <w:t xml:space="preserve">There is also great variability in the management in these patients despite guidelines due to numerous factors, which may impact both patients and </w:t>
      </w:r>
      <w:proofErr w:type="spellStart"/>
      <w:r w:rsidRPr="00321163">
        <w:rPr>
          <w:rFonts w:ascii="Book Antiqua" w:eastAsia="宋体" w:hAnsi="Book Antiqua"/>
          <w:lang w:eastAsia="zh-CN"/>
        </w:rPr>
        <w:t>endoscopists</w:t>
      </w:r>
      <w:proofErr w:type="spellEnd"/>
      <w:r w:rsidRPr="00321163">
        <w:rPr>
          <w:rFonts w:ascii="Book Antiqua" w:eastAsia="宋体" w:hAnsi="Book Antiqua"/>
          <w:lang w:eastAsia="zh-CN"/>
        </w:rPr>
        <w:t>.</w:t>
      </w:r>
    </w:p>
    <w:p w14:paraId="41694E0A" w14:textId="77777777" w:rsidR="00DC34FF" w:rsidRPr="00321163" w:rsidRDefault="00DC34FF" w:rsidP="00CA6249">
      <w:pPr>
        <w:spacing w:line="360" w:lineRule="auto"/>
        <w:jc w:val="both"/>
        <w:rPr>
          <w:rFonts w:ascii="Book Antiqua" w:eastAsia="宋体" w:hAnsi="Book Antiqua"/>
          <w:lang w:eastAsia="zh-CN"/>
        </w:rPr>
      </w:pPr>
    </w:p>
    <w:p w14:paraId="42181EBA" w14:textId="1D4A4B9A" w:rsidR="00333748" w:rsidRPr="00321163" w:rsidRDefault="00333748" w:rsidP="00CA6249">
      <w:pPr>
        <w:spacing w:line="360" w:lineRule="auto"/>
        <w:jc w:val="both"/>
        <w:rPr>
          <w:rFonts w:ascii="Book Antiqua" w:eastAsia="宋体" w:hAnsi="Book Antiqua"/>
          <w:b/>
          <w:i/>
          <w:lang w:eastAsia="zh-CN"/>
        </w:rPr>
      </w:pPr>
      <w:r w:rsidRPr="00321163">
        <w:rPr>
          <w:rFonts w:ascii="Book Antiqua" w:eastAsia="宋体" w:hAnsi="Book Antiqua"/>
          <w:b/>
          <w:i/>
          <w:lang w:eastAsia="zh-CN"/>
        </w:rPr>
        <w:t>Innovations and breakthroughs</w:t>
      </w:r>
    </w:p>
    <w:p w14:paraId="7FE39ACA" w14:textId="22A8B706" w:rsidR="00DC34FF" w:rsidRPr="00321163" w:rsidRDefault="00DC34FF" w:rsidP="00CA6249">
      <w:pPr>
        <w:spacing w:line="360" w:lineRule="auto"/>
        <w:jc w:val="both"/>
        <w:rPr>
          <w:rFonts w:ascii="Book Antiqua" w:eastAsia="宋体" w:hAnsi="Book Antiqua"/>
          <w:lang w:eastAsia="zh-CN"/>
        </w:rPr>
      </w:pPr>
      <w:r w:rsidRPr="00321163">
        <w:rPr>
          <w:rFonts w:ascii="Book Antiqua" w:eastAsia="宋体" w:hAnsi="Book Antiqua"/>
          <w:lang w:eastAsia="zh-CN"/>
        </w:rPr>
        <w:t>Using both a standard “adult” scoring system as well as a modified scoring system in a series of pediatric patients, the majority of patients could be identified.</w:t>
      </w:r>
      <w:r w:rsidR="00922966" w:rsidRPr="00321163">
        <w:rPr>
          <w:rFonts w:ascii="Book Antiqua" w:eastAsia="宋体" w:hAnsi="Book Antiqua"/>
          <w:lang w:eastAsia="zh-CN"/>
        </w:rPr>
        <w:t xml:space="preserve"> </w:t>
      </w:r>
      <w:r w:rsidRPr="00321163">
        <w:rPr>
          <w:rFonts w:ascii="Book Antiqua" w:eastAsia="宋体" w:hAnsi="Book Antiqua"/>
          <w:lang w:eastAsia="zh-CN"/>
        </w:rPr>
        <w:t>Specific laboratory tests such as bilirubin or findings on abdominal ultrasounds can assist in directing care for a pediatric patient with choledocholithiasis.</w:t>
      </w:r>
    </w:p>
    <w:p w14:paraId="14C43AD9" w14:textId="77777777" w:rsidR="00DC34FF" w:rsidRPr="00321163" w:rsidRDefault="00DC34FF" w:rsidP="00CA6249">
      <w:pPr>
        <w:spacing w:line="360" w:lineRule="auto"/>
        <w:jc w:val="both"/>
        <w:rPr>
          <w:rFonts w:ascii="Book Antiqua" w:eastAsia="宋体" w:hAnsi="Book Antiqua"/>
          <w:lang w:eastAsia="zh-CN"/>
        </w:rPr>
      </w:pPr>
    </w:p>
    <w:p w14:paraId="254078C9" w14:textId="14854CF8" w:rsidR="00DC34FF" w:rsidRPr="00321163" w:rsidRDefault="00333748" w:rsidP="00CA6249">
      <w:pPr>
        <w:spacing w:line="360" w:lineRule="auto"/>
        <w:jc w:val="both"/>
        <w:rPr>
          <w:rFonts w:ascii="Book Antiqua" w:eastAsia="宋体" w:hAnsi="Book Antiqua"/>
          <w:b/>
          <w:i/>
          <w:lang w:eastAsia="zh-CN"/>
        </w:rPr>
      </w:pPr>
      <w:r w:rsidRPr="00321163">
        <w:rPr>
          <w:rFonts w:ascii="Book Antiqua" w:eastAsia="宋体" w:hAnsi="Book Antiqua"/>
          <w:b/>
          <w:i/>
          <w:lang w:eastAsia="zh-CN"/>
        </w:rPr>
        <w:t>Applications</w:t>
      </w:r>
    </w:p>
    <w:p w14:paraId="1EE24F6B" w14:textId="68BF2072" w:rsidR="00DC34FF" w:rsidRPr="00321163" w:rsidRDefault="00DC34FF" w:rsidP="00CA6249">
      <w:pPr>
        <w:spacing w:line="360" w:lineRule="auto"/>
        <w:jc w:val="both"/>
        <w:rPr>
          <w:rFonts w:ascii="Book Antiqua" w:eastAsia="宋体" w:hAnsi="Book Antiqua"/>
          <w:lang w:eastAsia="zh-CN"/>
        </w:rPr>
      </w:pPr>
      <w:r w:rsidRPr="00321163">
        <w:rPr>
          <w:rFonts w:ascii="Book Antiqua" w:eastAsia="宋体" w:hAnsi="Book Antiqua"/>
          <w:lang w:eastAsia="zh-CN"/>
        </w:rPr>
        <w:t>Using a combination of labs and imaging as well as clinical experience can help in identifying appropriate patients for ERCP.</w:t>
      </w:r>
      <w:r w:rsidR="00922966" w:rsidRPr="00321163">
        <w:rPr>
          <w:rFonts w:ascii="Book Antiqua" w:eastAsia="宋体" w:hAnsi="Book Antiqua"/>
          <w:lang w:eastAsia="zh-CN"/>
        </w:rPr>
        <w:t xml:space="preserve"> </w:t>
      </w:r>
      <w:r w:rsidR="00DB7A13" w:rsidRPr="00321163">
        <w:rPr>
          <w:rFonts w:ascii="Book Antiqua" w:eastAsia="宋体" w:hAnsi="Book Antiqua"/>
          <w:lang w:eastAsia="zh-CN"/>
        </w:rPr>
        <w:t xml:space="preserve">Utilization of newer applications such as endoscopic ultrasound or </w:t>
      </w:r>
      <w:r w:rsidR="00333748" w:rsidRPr="00321163">
        <w:rPr>
          <w:rFonts w:ascii="Book Antiqua" w:hAnsi="Book Antiqua"/>
        </w:rPr>
        <w:t>magnetic resonance cholangiopancreatography</w:t>
      </w:r>
      <w:r w:rsidR="00DB7A13" w:rsidRPr="00321163">
        <w:rPr>
          <w:rFonts w:ascii="Book Antiqua" w:eastAsia="宋体" w:hAnsi="Book Antiqua"/>
          <w:lang w:eastAsia="zh-CN"/>
        </w:rPr>
        <w:t xml:space="preserve"> may improve our patient selection for ERCP.</w:t>
      </w:r>
      <w:r w:rsidR="00922966" w:rsidRPr="00321163">
        <w:rPr>
          <w:rFonts w:ascii="Book Antiqua" w:eastAsia="宋体" w:hAnsi="Book Antiqua"/>
          <w:lang w:eastAsia="zh-CN"/>
        </w:rPr>
        <w:t xml:space="preserve"> </w:t>
      </w:r>
      <w:r w:rsidR="00DB7A13" w:rsidRPr="00321163">
        <w:rPr>
          <w:rFonts w:ascii="Book Antiqua" w:eastAsia="宋体" w:hAnsi="Book Antiqua"/>
          <w:lang w:eastAsia="zh-CN"/>
        </w:rPr>
        <w:t>Multicenter studies may help to corroborate this data or identify other factors so that pediatric specific guidelines can be created.</w:t>
      </w:r>
    </w:p>
    <w:p w14:paraId="35667908" w14:textId="77777777" w:rsidR="00DC34FF" w:rsidRPr="00321163" w:rsidRDefault="00DC34FF" w:rsidP="00CA6249">
      <w:pPr>
        <w:spacing w:line="360" w:lineRule="auto"/>
        <w:jc w:val="both"/>
        <w:rPr>
          <w:rFonts w:ascii="Book Antiqua" w:eastAsia="宋体" w:hAnsi="Book Antiqua"/>
          <w:lang w:eastAsia="zh-CN"/>
        </w:rPr>
      </w:pPr>
    </w:p>
    <w:p w14:paraId="4B31B790" w14:textId="345909FC" w:rsidR="00AE72C1" w:rsidRPr="00321163" w:rsidRDefault="00333748" w:rsidP="00CA6249">
      <w:pPr>
        <w:spacing w:line="360" w:lineRule="auto"/>
        <w:jc w:val="both"/>
        <w:rPr>
          <w:rFonts w:ascii="Book Antiqua" w:eastAsia="宋体" w:hAnsi="Book Antiqua"/>
          <w:b/>
          <w:i/>
          <w:lang w:eastAsia="zh-CN"/>
        </w:rPr>
      </w:pPr>
      <w:r w:rsidRPr="00321163">
        <w:rPr>
          <w:rFonts w:ascii="Book Antiqua" w:eastAsia="宋体" w:hAnsi="Book Antiqua"/>
          <w:b/>
          <w:i/>
          <w:lang w:eastAsia="zh-CN"/>
        </w:rPr>
        <w:t>Terminology</w:t>
      </w:r>
    </w:p>
    <w:p w14:paraId="31C26B2B" w14:textId="063750AF" w:rsidR="00DB7A13" w:rsidRPr="00321163" w:rsidRDefault="00A430BA" w:rsidP="00CA6249">
      <w:pPr>
        <w:spacing w:line="360" w:lineRule="auto"/>
        <w:jc w:val="both"/>
        <w:rPr>
          <w:rFonts w:ascii="Book Antiqua" w:eastAsia="宋体" w:hAnsi="Book Antiqua"/>
          <w:lang w:eastAsia="zh-CN"/>
        </w:rPr>
      </w:pPr>
      <w:r w:rsidRPr="00321163">
        <w:rPr>
          <w:rFonts w:ascii="Book Antiqua" w:eastAsia="宋体" w:hAnsi="Book Antiqua"/>
          <w:lang w:eastAsia="zh-CN"/>
        </w:rPr>
        <w:t>ERCP: Endoscopic retrograde cholangiography, an endoscopic procedure used with X-ray to evaluate the biliary and pancreatic systems.</w:t>
      </w:r>
    </w:p>
    <w:p w14:paraId="4D5BF105" w14:textId="77777777" w:rsidR="00AE72C1" w:rsidRPr="00321163" w:rsidRDefault="00AE72C1" w:rsidP="00CA6249">
      <w:pPr>
        <w:spacing w:line="360" w:lineRule="auto"/>
        <w:jc w:val="both"/>
        <w:rPr>
          <w:rFonts w:ascii="Book Antiqua" w:eastAsia="宋体" w:hAnsi="Book Antiqua"/>
          <w:lang w:eastAsia="zh-CN"/>
        </w:rPr>
      </w:pPr>
    </w:p>
    <w:p w14:paraId="64C9CC0D" w14:textId="3520C885" w:rsidR="00333748" w:rsidRPr="00321163" w:rsidRDefault="00333748" w:rsidP="00760E24">
      <w:pPr>
        <w:spacing w:line="360" w:lineRule="auto"/>
        <w:jc w:val="both"/>
        <w:rPr>
          <w:rFonts w:ascii="Book Antiqua" w:eastAsia="宋体" w:hAnsi="Book Antiqua"/>
          <w:b/>
          <w:i/>
          <w:lang w:eastAsia="zh-CN"/>
        </w:rPr>
      </w:pPr>
      <w:r w:rsidRPr="00321163">
        <w:rPr>
          <w:rFonts w:ascii="Book Antiqua" w:eastAsia="宋体" w:hAnsi="Book Antiqua"/>
          <w:b/>
          <w:i/>
          <w:lang w:eastAsia="zh-CN"/>
        </w:rPr>
        <w:t>Peer-review</w:t>
      </w:r>
    </w:p>
    <w:p w14:paraId="657A09FF" w14:textId="1F9842E6" w:rsidR="0076778B" w:rsidRPr="00321163" w:rsidRDefault="00F83F7C" w:rsidP="00760E24">
      <w:pPr>
        <w:spacing w:line="360" w:lineRule="auto"/>
        <w:jc w:val="both"/>
        <w:rPr>
          <w:rFonts w:ascii="Book Antiqua" w:eastAsia="宋体" w:hAnsi="Book Antiqua"/>
          <w:lang w:eastAsia="zh-CN"/>
        </w:rPr>
      </w:pPr>
      <w:r w:rsidRPr="00321163">
        <w:rPr>
          <w:rFonts w:ascii="Book Antiqua" w:hAnsi="Book Antiqua"/>
        </w:rPr>
        <w:lastRenderedPageBreak/>
        <w:t>This manuscript applied the current adult guidelines from the ASGE in pediatric patients with suspected CBDS to identify factors that may be predictive in the pediatric population. It is well designed and performed.</w:t>
      </w:r>
    </w:p>
    <w:p w14:paraId="2F4B22EF" w14:textId="77777777" w:rsidR="00F83F7C" w:rsidRPr="00321163" w:rsidRDefault="00F83F7C" w:rsidP="00760E24">
      <w:pPr>
        <w:spacing w:line="360" w:lineRule="auto"/>
        <w:jc w:val="both"/>
        <w:rPr>
          <w:rFonts w:ascii="Book Antiqua" w:eastAsia="宋体" w:hAnsi="Book Antiqua"/>
          <w:b/>
          <w:i/>
          <w:lang w:eastAsia="zh-CN"/>
        </w:rPr>
      </w:pPr>
    </w:p>
    <w:p w14:paraId="59DF1176" w14:textId="77777777" w:rsidR="00760E24" w:rsidRPr="00321163" w:rsidRDefault="00760E24">
      <w:pPr>
        <w:rPr>
          <w:rFonts w:ascii="Book Antiqua" w:eastAsia="宋体" w:hAnsi="Book Antiqua"/>
          <w:b/>
          <w:lang w:eastAsia="zh-CN"/>
        </w:rPr>
      </w:pPr>
      <w:r w:rsidRPr="00321163">
        <w:rPr>
          <w:rFonts w:ascii="Book Antiqua" w:eastAsia="宋体" w:hAnsi="Book Antiqua"/>
          <w:b/>
          <w:lang w:eastAsia="zh-CN"/>
        </w:rPr>
        <w:br w:type="page"/>
      </w:r>
    </w:p>
    <w:p w14:paraId="15DE6E48" w14:textId="1EFFE41E" w:rsidR="0076778B" w:rsidRPr="00321163" w:rsidRDefault="0076778B" w:rsidP="00760E24">
      <w:pPr>
        <w:spacing w:line="360" w:lineRule="auto"/>
        <w:jc w:val="both"/>
        <w:rPr>
          <w:rFonts w:ascii="Book Antiqua" w:eastAsia="宋体" w:hAnsi="Book Antiqua"/>
          <w:b/>
          <w:lang w:eastAsia="zh-CN"/>
        </w:rPr>
      </w:pPr>
      <w:r w:rsidRPr="00321163">
        <w:rPr>
          <w:rFonts w:ascii="Book Antiqua" w:eastAsia="宋体" w:hAnsi="Book Antiqua"/>
          <w:b/>
          <w:lang w:eastAsia="zh-CN"/>
        </w:rPr>
        <w:lastRenderedPageBreak/>
        <w:t>REFERENCES</w:t>
      </w:r>
    </w:p>
    <w:p w14:paraId="55F4BF1A" w14:textId="77777777" w:rsidR="00760E24" w:rsidRPr="00760E24" w:rsidRDefault="00760E24" w:rsidP="00760E24">
      <w:pPr>
        <w:spacing w:line="360" w:lineRule="auto"/>
        <w:jc w:val="both"/>
        <w:rPr>
          <w:rFonts w:ascii="Book Antiqua" w:eastAsia="宋体" w:hAnsi="Book Antiqua" w:cs="宋体"/>
          <w:lang w:eastAsia="zh-CN"/>
        </w:rPr>
      </w:pPr>
      <w:proofErr w:type="gramStart"/>
      <w:r w:rsidRPr="00760E24">
        <w:rPr>
          <w:rFonts w:ascii="Book Antiqua" w:eastAsia="宋体" w:hAnsi="Book Antiqua" w:cs="宋体"/>
          <w:lang w:eastAsia="zh-CN"/>
        </w:rPr>
        <w:t xml:space="preserve">1 </w:t>
      </w:r>
      <w:proofErr w:type="spellStart"/>
      <w:r w:rsidRPr="00760E24">
        <w:rPr>
          <w:rFonts w:ascii="Book Antiqua" w:eastAsia="宋体" w:hAnsi="Book Antiqua" w:cs="宋体"/>
          <w:b/>
          <w:bCs/>
          <w:lang w:eastAsia="zh-CN"/>
        </w:rPr>
        <w:t>Petelin</w:t>
      </w:r>
      <w:proofErr w:type="spellEnd"/>
      <w:r w:rsidRPr="00760E24">
        <w:rPr>
          <w:rFonts w:ascii="Book Antiqua" w:eastAsia="宋体" w:hAnsi="Book Antiqua" w:cs="宋体"/>
          <w:b/>
          <w:bCs/>
          <w:lang w:eastAsia="zh-CN"/>
        </w:rPr>
        <w:t xml:space="preserve"> JB</w:t>
      </w:r>
      <w:r w:rsidRPr="00760E24">
        <w:rPr>
          <w:rFonts w:ascii="Book Antiqua" w:eastAsia="宋体" w:hAnsi="Book Antiqua" w:cs="宋体"/>
          <w:lang w:eastAsia="zh-CN"/>
        </w:rPr>
        <w:t>.</w:t>
      </w:r>
      <w:proofErr w:type="gramEnd"/>
      <w:r w:rsidRPr="00760E24">
        <w:rPr>
          <w:rFonts w:ascii="Book Antiqua" w:eastAsia="宋体" w:hAnsi="Book Antiqua" w:cs="宋体"/>
          <w:lang w:eastAsia="zh-CN"/>
        </w:rPr>
        <w:t xml:space="preserve"> </w:t>
      </w:r>
      <w:proofErr w:type="gramStart"/>
      <w:r w:rsidRPr="00760E24">
        <w:rPr>
          <w:rFonts w:ascii="Book Antiqua" w:eastAsia="宋体" w:hAnsi="Book Antiqua" w:cs="宋体"/>
          <w:lang w:eastAsia="zh-CN"/>
        </w:rPr>
        <w:t>Laparoscopic common bile duct exploration.</w:t>
      </w:r>
      <w:proofErr w:type="gramEnd"/>
      <w:r w:rsidRPr="00760E24">
        <w:rPr>
          <w:rFonts w:ascii="Book Antiqua" w:eastAsia="宋体" w:hAnsi="Book Antiqua" w:cs="宋体"/>
          <w:lang w:eastAsia="zh-CN"/>
        </w:rPr>
        <w:t xml:space="preserve"> </w:t>
      </w:r>
      <w:proofErr w:type="spellStart"/>
      <w:r w:rsidRPr="00760E24">
        <w:rPr>
          <w:rFonts w:ascii="Book Antiqua" w:eastAsia="宋体" w:hAnsi="Book Antiqua" w:cs="宋体"/>
          <w:i/>
          <w:iCs/>
          <w:lang w:eastAsia="zh-CN"/>
        </w:rPr>
        <w:t>Surg</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Endosc</w:t>
      </w:r>
      <w:proofErr w:type="spellEnd"/>
      <w:r w:rsidRPr="00760E24">
        <w:rPr>
          <w:rFonts w:ascii="Book Antiqua" w:eastAsia="宋体" w:hAnsi="Book Antiqua" w:cs="宋体"/>
          <w:lang w:eastAsia="zh-CN"/>
        </w:rPr>
        <w:t xml:space="preserve"> 2003; </w:t>
      </w:r>
      <w:r w:rsidRPr="00760E24">
        <w:rPr>
          <w:rFonts w:ascii="Book Antiqua" w:eastAsia="宋体" w:hAnsi="Book Antiqua" w:cs="宋体"/>
          <w:b/>
          <w:bCs/>
          <w:lang w:eastAsia="zh-CN"/>
        </w:rPr>
        <w:t>17</w:t>
      </w:r>
      <w:r w:rsidRPr="00760E24">
        <w:rPr>
          <w:rFonts w:ascii="Book Antiqua" w:eastAsia="宋体" w:hAnsi="Book Antiqua" w:cs="宋体"/>
          <w:lang w:eastAsia="zh-CN"/>
        </w:rPr>
        <w:t>: 1705-1715 [PMID: 12958681 DOI: 10.1007/s00464-002-8917-4]</w:t>
      </w:r>
    </w:p>
    <w:p w14:paraId="29543984"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2 </w:t>
      </w:r>
      <w:r w:rsidRPr="00760E24">
        <w:rPr>
          <w:rFonts w:ascii="Book Antiqua" w:eastAsia="宋体" w:hAnsi="Book Antiqua" w:cs="宋体"/>
          <w:b/>
          <w:bCs/>
          <w:lang w:eastAsia="zh-CN"/>
        </w:rPr>
        <w:t>Mehta S</w:t>
      </w:r>
      <w:r w:rsidRPr="00760E24">
        <w:rPr>
          <w:rFonts w:ascii="Book Antiqua" w:eastAsia="宋体" w:hAnsi="Book Antiqua" w:cs="宋体"/>
          <w:lang w:eastAsia="zh-CN"/>
        </w:rPr>
        <w:t xml:space="preserve">, Lopez ME, </w:t>
      </w:r>
      <w:proofErr w:type="spellStart"/>
      <w:r w:rsidRPr="00760E24">
        <w:rPr>
          <w:rFonts w:ascii="Book Antiqua" w:eastAsia="宋体" w:hAnsi="Book Antiqua" w:cs="宋体"/>
          <w:lang w:eastAsia="zh-CN"/>
        </w:rPr>
        <w:t>Chumpitazi</w:t>
      </w:r>
      <w:proofErr w:type="spellEnd"/>
      <w:r w:rsidRPr="00760E24">
        <w:rPr>
          <w:rFonts w:ascii="Book Antiqua" w:eastAsia="宋体" w:hAnsi="Book Antiqua" w:cs="宋体"/>
          <w:lang w:eastAsia="zh-CN"/>
        </w:rPr>
        <w:t xml:space="preserve"> BP, </w:t>
      </w:r>
      <w:proofErr w:type="spellStart"/>
      <w:r w:rsidRPr="00760E24">
        <w:rPr>
          <w:rFonts w:ascii="Book Antiqua" w:eastAsia="宋体" w:hAnsi="Book Antiqua" w:cs="宋体"/>
          <w:lang w:eastAsia="zh-CN"/>
        </w:rPr>
        <w:t>Mazziotti</w:t>
      </w:r>
      <w:proofErr w:type="spellEnd"/>
      <w:r w:rsidRPr="00760E24">
        <w:rPr>
          <w:rFonts w:ascii="Book Antiqua" w:eastAsia="宋体" w:hAnsi="Book Antiqua" w:cs="宋体"/>
          <w:lang w:eastAsia="zh-CN"/>
        </w:rPr>
        <w:t xml:space="preserve"> MV, Brandt ML, Fishman DS. </w:t>
      </w:r>
      <w:proofErr w:type="gramStart"/>
      <w:r w:rsidRPr="00760E24">
        <w:rPr>
          <w:rFonts w:ascii="Book Antiqua" w:eastAsia="宋体" w:hAnsi="Book Antiqua" w:cs="宋体"/>
          <w:lang w:eastAsia="zh-CN"/>
        </w:rPr>
        <w:t>Clinical characteristics and risk factors for symptomatic pediatric gallbladder disease.</w:t>
      </w:r>
      <w:proofErr w:type="gramEnd"/>
      <w:r w:rsidRPr="00760E24">
        <w:rPr>
          <w:rFonts w:ascii="Book Antiqua" w:eastAsia="宋体" w:hAnsi="Book Antiqua" w:cs="宋体"/>
          <w:lang w:eastAsia="zh-CN"/>
        </w:rPr>
        <w:t xml:space="preserve"> </w:t>
      </w:r>
      <w:r w:rsidRPr="00760E24">
        <w:rPr>
          <w:rFonts w:ascii="Book Antiqua" w:eastAsia="宋体" w:hAnsi="Book Antiqua" w:cs="宋体"/>
          <w:i/>
          <w:iCs/>
          <w:lang w:eastAsia="zh-CN"/>
        </w:rPr>
        <w:t>Pediatrics</w:t>
      </w:r>
      <w:r w:rsidRPr="00760E24">
        <w:rPr>
          <w:rFonts w:ascii="Book Antiqua" w:eastAsia="宋体" w:hAnsi="Book Antiqua" w:cs="宋体"/>
          <w:lang w:eastAsia="zh-CN"/>
        </w:rPr>
        <w:t xml:space="preserve"> 2012; </w:t>
      </w:r>
      <w:r w:rsidRPr="00760E24">
        <w:rPr>
          <w:rFonts w:ascii="Book Antiqua" w:eastAsia="宋体" w:hAnsi="Book Antiqua" w:cs="宋体"/>
          <w:b/>
          <w:bCs/>
          <w:lang w:eastAsia="zh-CN"/>
        </w:rPr>
        <w:t>129</w:t>
      </w:r>
      <w:r w:rsidRPr="00760E24">
        <w:rPr>
          <w:rFonts w:ascii="Book Antiqua" w:eastAsia="宋体" w:hAnsi="Book Antiqua" w:cs="宋体"/>
          <w:lang w:eastAsia="zh-CN"/>
        </w:rPr>
        <w:t>: e82-e88 [PMID: 22157135 DOI: 10.1542/peds.2011-0579]</w:t>
      </w:r>
    </w:p>
    <w:p w14:paraId="1F2F341A"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3 </w:t>
      </w:r>
      <w:r w:rsidRPr="00760E24">
        <w:rPr>
          <w:rFonts w:ascii="Book Antiqua" w:eastAsia="宋体" w:hAnsi="Book Antiqua" w:cs="宋体"/>
          <w:b/>
          <w:bCs/>
          <w:lang w:eastAsia="zh-CN"/>
        </w:rPr>
        <w:t>Herzog D</w:t>
      </w:r>
      <w:r w:rsidRPr="00760E24">
        <w:rPr>
          <w:rFonts w:ascii="Book Antiqua" w:eastAsia="宋体" w:hAnsi="Book Antiqua" w:cs="宋体"/>
          <w:lang w:eastAsia="zh-CN"/>
        </w:rPr>
        <w:t xml:space="preserve">, Bouchard G. High rate of complicated idiopathic gallstone disease in pediatric patients of a North American tertiary care center. </w:t>
      </w:r>
      <w:r w:rsidRPr="00760E24">
        <w:rPr>
          <w:rFonts w:ascii="Book Antiqua" w:eastAsia="宋体" w:hAnsi="Book Antiqua" w:cs="宋体"/>
          <w:i/>
          <w:iCs/>
          <w:lang w:eastAsia="zh-CN"/>
        </w:rPr>
        <w:t xml:space="preserve">World J </w:t>
      </w:r>
      <w:proofErr w:type="spellStart"/>
      <w:r w:rsidRPr="00760E24">
        <w:rPr>
          <w:rFonts w:ascii="Book Antiqua" w:eastAsia="宋体" w:hAnsi="Book Antiqua" w:cs="宋体"/>
          <w:i/>
          <w:iCs/>
          <w:lang w:eastAsia="zh-CN"/>
        </w:rPr>
        <w:t>Gastroenterol</w:t>
      </w:r>
      <w:proofErr w:type="spellEnd"/>
      <w:r w:rsidRPr="00760E24">
        <w:rPr>
          <w:rFonts w:ascii="Book Antiqua" w:eastAsia="宋体" w:hAnsi="Book Antiqua" w:cs="宋体"/>
          <w:lang w:eastAsia="zh-CN"/>
        </w:rPr>
        <w:t xml:space="preserve"> 2008; </w:t>
      </w:r>
      <w:r w:rsidRPr="00760E24">
        <w:rPr>
          <w:rFonts w:ascii="Book Antiqua" w:eastAsia="宋体" w:hAnsi="Book Antiqua" w:cs="宋体"/>
          <w:b/>
          <w:bCs/>
          <w:lang w:eastAsia="zh-CN"/>
        </w:rPr>
        <w:t>14</w:t>
      </w:r>
      <w:r w:rsidRPr="00760E24">
        <w:rPr>
          <w:rFonts w:ascii="Book Antiqua" w:eastAsia="宋体" w:hAnsi="Book Antiqua" w:cs="宋体"/>
          <w:lang w:eastAsia="zh-CN"/>
        </w:rPr>
        <w:t>: 1544-1548 [PMID: 18330945 DOI: 10.3748/wjg.14.1544]</w:t>
      </w:r>
    </w:p>
    <w:p w14:paraId="70EE974B"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4 </w:t>
      </w:r>
      <w:r w:rsidRPr="00760E24">
        <w:rPr>
          <w:rFonts w:ascii="Book Antiqua" w:eastAsia="宋体" w:hAnsi="Book Antiqua" w:cs="宋体"/>
          <w:b/>
          <w:bCs/>
          <w:lang w:eastAsia="zh-CN"/>
        </w:rPr>
        <w:t>Bogue CO</w:t>
      </w:r>
      <w:r w:rsidRPr="00760E24">
        <w:rPr>
          <w:rFonts w:ascii="Book Antiqua" w:eastAsia="宋体" w:hAnsi="Book Antiqua" w:cs="宋体"/>
          <w:lang w:eastAsia="zh-CN"/>
        </w:rPr>
        <w:t xml:space="preserve">, Murphy AJ, </w:t>
      </w:r>
      <w:proofErr w:type="spellStart"/>
      <w:r w:rsidRPr="00760E24">
        <w:rPr>
          <w:rFonts w:ascii="Book Antiqua" w:eastAsia="宋体" w:hAnsi="Book Antiqua" w:cs="宋体"/>
          <w:lang w:eastAsia="zh-CN"/>
        </w:rPr>
        <w:t>Gerstle</w:t>
      </w:r>
      <w:proofErr w:type="spellEnd"/>
      <w:r w:rsidRPr="00760E24">
        <w:rPr>
          <w:rFonts w:ascii="Book Antiqua" w:eastAsia="宋体" w:hAnsi="Book Antiqua" w:cs="宋体"/>
          <w:lang w:eastAsia="zh-CN"/>
        </w:rPr>
        <w:t xml:space="preserve"> JT, </w:t>
      </w:r>
      <w:proofErr w:type="spellStart"/>
      <w:r w:rsidRPr="00760E24">
        <w:rPr>
          <w:rFonts w:ascii="Book Antiqua" w:eastAsia="宋体" w:hAnsi="Book Antiqua" w:cs="宋体"/>
          <w:lang w:eastAsia="zh-CN"/>
        </w:rPr>
        <w:t>Moineddin</w:t>
      </w:r>
      <w:proofErr w:type="spellEnd"/>
      <w:r w:rsidRPr="00760E24">
        <w:rPr>
          <w:rFonts w:ascii="Book Antiqua" w:eastAsia="宋体" w:hAnsi="Book Antiqua" w:cs="宋体"/>
          <w:lang w:eastAsia="zh-CN"/>
        </w:rPr>
        <w:t xml:space="preserve"> R, </w:t>
      </w:r>
      <w:proofErr w:type="spellStart"/>
      <w:r w:rsidRPr="00760E24">
        <w:rPr>
          <w:rFonts w:ascii="Book Antiqua" w:eastAsia="宋体" w:hAnsi="Book Antiqua" w:cs="宋体"/>
          <w:lang w:eastAsia="zh-CN"/>
        </w:rPr>
        <w:t>Daneman</w:t>
      </w:r>
      <w:proofErr w:type="spellEnd"/>
      <w:r w:rsidRPr="00760E24">
        <w:rPr>
          <w:rFonts w:ascii="Book Antiqua" w:eastAsia="宋体" w:hAnsi="Book Antiqua" w:cs="宋体"/>
          <w:lang w:eastAsia="zh-CN"/>
        </w:rPr>
        <w:t xml:space="preserve"> A. Risk factors, complications, and outcomes of gallstones in children: a single-center review. </w:t>
      </w:r>
      <w:r w:rsidRPr="00760E24">
        <w:rPr>
          <w:rFonts w:ascii="Book Antiqua" w:eastAsia="宋体" w:hAnsi="Book Antiqua" w:cs="宋体"/>
          <w:i/>
          <w:iCs/>
          <w:lang w:eastAsia="zh-CN"/>
        </w:rPr>
        <w:t xml:space="preserve">J </w:t>
      </w:r>
      <w:proofErr w:type="spellStart"/>
      <w:r w:rsidRPr="00760E24">
        <w:rPr>
          <w:rFonts w:ascii="Book Antiqua" w:eastAsia="宋体" w:hAnsi="Book Antiqua" w:cs="宋体"/>
          <w:i/>
          <w:iCs/>
          <w:lang w:eastAsia="zh-CN"/>
        </w:rPr>
        <w:t>Pediatr</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Gastroenterol</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Nutr</w:t>
      </w:r>
      <w:proofErr w:type="spellEnd"/>
      <w:r w:rsidRPr="00760E24">
        <w:rPr>
          <w:rFonts w:ascii="Book Antiqua" w:eastAsia="宋体" w:hAnsi="Book Antiqua" w:cs="宋体"/>
          <w:lang w:eastAsia="zh-CN"/>
        </w:rPr>
        <w:t xml:space="preserve"> 2010; </w:t>
      </w:r>
      <w:r w:rsidRPr="00760E24">
        <w:rPr>
          <w:rFonts w:ascii="Book Antiqua" w:eastAsia="宋体" w:hAnsi="Book Antiqua" w:cs="宋体"/>
          <w:b/>
          <w:bCs/>
          <w:lang w:eastAsia="zh-CN"/>
        </w:rPr>
        <w:t>50</w:t>
      </w:r>
      <w:r w:rsidRPr="00760E24">
        <w:rPr>
          <w:rFonts w:ascii="Book Antiqua" w:eastAsia="宋体" w:hAnsi="Book Antiqua" w:cs="宋体"/>
          <w:lang w:eastAsia="zh-CN"/>
        </w:rPr>
        <w:t>: 303-308 [PMID: 20118803 DOI: 10.1097/MPG.0b013e3181b99c72]</w:t>
      </w:r>
    </w:p>
    <w:p w14:paraId="0C2F0DE3" w14:textId="77777777" w:rsidR="00760E24" w:rsidRPr="00760E24" w:rsidRDefault="00760E24" w:rsidP="00760E24">
      <w:pPr>
        <w:spacing w:line="360" w:lineRule="auto"/>
        <w:jc w:val="both"/>
        <w:rPr>
          <w:rFonts w:ascii="Book Antiqua" w:eastAsia="宋体" w:hAnsi="Book Antiqua" w:cs="宋体"/>
          <w:lang w:eastAsia="zh-CN"/>
        </w:rPr>
      </w:pPr>
      <w:proofErr w:type="gramStart"/>
      <w:r w:rsidRPr="00760E24">
        <w:rPr>
          <w:rFonts w:ascii="Book Antiqua" w:eastAsia="宋体" w:hAnsi="Book Antiqua" w:cs="宋体"/>
          <w:lang w:eastAsia="zh-CN"/>
        </w:rPr>
        <w:t xml:space="preserve">5 </w:t>
      </w:r>
      <w:proofErr w:type="spellStart"/>
      <w:r w:rsidRPr="00760E24">
        <w:rPr>
          <w:rFonts w:ascii="Book Antiqua" w:eastAsia="宋体" w:hAnsi="Book Antiqua" w:cs="宋体"/>
          <w:b/>
          <w:bCs/>
          <w:lang w:eastAsia="zh-CN"/>
        </w:rPr>
        <w:t>Tse</w:t>
      </w:r>
      <w:proofErr w:type="spellEnd"/>
      <w:r w:rsidRPr="00760E24">
        <w:rPr>
          <w:rFonts w:ascii="Book Antiqua" w:eastAsia="宋体" w:hAnsi="Book Antiqua" w:cs="宋体"/>
          <w:b/>
          <w:bCs/>
          <w:lang w:eastAsia="zh-CN"/>
        </w:rPr>
        <w:t xml:space="preserve"> F</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Barkun</w:t>
      </w:r>
      <w:proofErr w:type="spellEnd"/>
      <w:r w:rsidRPr="00760E24">
        <w:rPr>
          <w:rFonts w:ascii="Book Antiqua" w:eastAsia="宋体" w:hAnsi="Book Antiqua" w:cs="宋体"/>
          <w:lang w:eastAsia="zh-CN"/>
        </w:rPr>
        <w:t xml:space="preserve"> JS, </w:t>
      </w:r>
      <w:proofErr w:type="spellStart"/>
      <w:r w:rsidRPr="00760E24">
        <w:rPr>
          <w:rFonts w:ascii="Book Antiqua" w:eastAsia="宋体" w:hAnsi="Book Antiqua" w:cs="宋体"/>
          <w:lang w:eastAsia="zh-CN"/>
        </w:rPr>
        <w:t>Barkun</w:t>
      </w:r>
      <w:proofErr w:type="spellEnd"/>
      <w:r w:rsidRPr="00760E24">
        <w:rPr>
          <w:rFonts w:ascii="Book Antiqua" w:eastAsia="宋体" w:hAnsi="Book Antiqua" w:cs="宋体"/>
          <w:lang w:eastAsia="zh-CN"/>
        </w:rPr>
        <w:t xml:space="preserve"> AN.</w:t>
      </w:r>
      <w:proofErr w:type="gramEnd"/>
      <w:r w:rsidRPr="00760E24">
        <w:rPr>
          <w:rFonts w:ascii="Book Antiqua" w:eastAsia="宋体" w:hAnsi="Book Antiqua" w:cs="宋体"/>
          <w:lang w:eastAsia="zh-CN"/>
        </w:rPr>
        <w:t xml:space="preserve"> The elective evaluation of patients with suspected </w:t>
      </w:r>
      <w:proofErr w:type="spellStart"/>
      <w:r w:rsidRPr="00760E24">
        <w:rPr>
          <w:rFonts w:ascii="Book Antiqua" w:eastAsia="宋体" w:hAnsi="Book Antiqua" w:cs="宋体"/>
          <w:lang w:eastAsia="zh-CN"/>
        </w:rPr>
        <w:t>choledocholithiasis</w:t>
      </w:r>
      <w:proofErr w:type="spellEnd"/>
      <w:r w:rsidRPr="00760E24">
        <w:rPr>
          <w:rFonts w:ascii="Book Antiqua" w:eastAsia="宋体" w:hAnsi="Book Antiqua" w:cs="宋体"/>
          <w:lang w:eastAsia="zh-CN"/>
        </w:rPr>
        <w:t xml:space="preserve"> undergoing laparoscopic cholecystectomy. </w:t>
      </w:r>
      <w:proofErr w:type="spellStart"/>
      <w:r w:rsidRPr="00760E24">
        <w:rPr>
          <w:rFonts w:ascii="Book Antiqua" w:eastAsia="宋体" w:hAnsi="Book Antiqua" w:cs="宋体"/>
          <w:i/>
          <w:iCs/>
          <w:lang w:eastAsia="zh-CN"/>
        </w:rPr>
        <w:t>Gastrointest</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Endosc</w:t>
      </w:r>
      <w:proofErr w:type="spellEnd"/>
      <w:r w:rsidRPr="00760E24">
        <w:rPr>
          <w:rFonts w:ascii="Book Antiqua" w:eastAsia="宋体" w:hAnsi="Book Antiqua" w:cs="宋体"/>
          <w:lang w:eastAsia="zh-CN"/>
        </w:rPr>
        <w:t xml:space="preserve"> 2004; </w:t>
      </w:r>
      <w:r w:rsidRPr="00760E24">
        <w:rPr>
          <w:rFonts w:ascii="Book Antiqua" w:eastAsia="宋体" w:hAnsi="Book Antiqua" w:cs="宋体"/>
          <w:b/>
          <w:bCs/>
          <w:lang w:eastAsia="zh-CN"/>
        </w:rPr>
        <w:t>60</w:t>
      </w:r>
      <w:r w:rsidRPr="00760E24">
        <w:rPr>
          <w:rFonts w:ascii="Book Antiqua" w:eastAsia="宋体" w:hAnsi="Book Antiqua" w:cs="宋体"/>
          <w:lang w:eastAsia="zh-CN"/>
        </w:rPr>
        <w:t>: 437-448 [PMID: 15332044 DOI: 10.1016/S0016-5107(04)01457-9]</w:t>
      </w:r>
    </w:p>
    <w:p w14:paraId="043477D7"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6 </w:t>
      </w:r>
      <w:r w:rsidRPr="00760E24">
        <w:rPr>
          <w:rFonts w:ascii="Book Antiqua" w:eastAsia="宋体" w:hAnsi="Book Antiqua" w:cs="宋体"/>
          <w:b/>
          <w:bCs/>
          <w:lang w:eastAsia="zh-CN"/>
        </w:rPr>
        <w:t>Prat F</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Meduri</w:t>
      </w:r>
      <w:proofErr w:type="spellEnd"/>
      <w:r w:rsidRPr="00760E24">
        <w:rPr>
          <w:rFonts w:ascii="Book Antiqua" w:eastAsia="宋体" w:hAnsi="Book Antiqua" w:cs="宋体"/>
          <w:lang w:eastAsia="zh-CN"/>
        </w:rPr>
        <w:t xml:space="preserve"> B, </w:t>
      </w:r>
      <w:proofErr w:type="spellStart"/>
      <w:r w:rsidRPr="00760E24">
        <w:rPr>
          <w:rFonts w:ascii="Book Antiqua" w:eastAsia="宋体" w:hAnsi="Book Antiqua" w:cs="宋体"/>
          <w:lang w:eastAsia="zh-CN"/>
        </w:rPr>
        <w:t>Ducot</w:t>
      </w:r>
      <w:proofErr w:type="spellEnd"/>
      <w:r w:rsidRPr="00760E24">
        <w:rPr>
          <w:rFonts w:ascii="Book Antiqua" w:eastAsia="宋体" w:hAnsi="Book Antiqua" w:cs="宋体"/>
          <w:lang w:eastAsia="zh-CN"/>
        </w:rPr>
        <w:t xml:space="preserve"> B, </w:t>
      </w:r>
      <w:proofErr w:type="spellStart"/>
      <w:r w:rsidRPr="00760E24">
        <w:rPr>
          <w:rFonts w:ascii="Book Antiqua" w:eastAsia="宋体" w:hAnsi="Book Antiqua" w:cs="宋体"/>
          <w:lang w:eastAsia="zh-CN"/>
        </w:rPr>
        <w:t>Chiche</w:t>
      </w:r>
      <w:proofErr w:type="spellEnd"/>
      <w:r w:rsidRPr="00760E24">
        <w:rPr>
          <w:rFonts w:ascii="Book Antiqua" w:eastAsia="宋体" w:hAnsi="Book Antiqua" w:cs="宋体"/>
          <w:lang w:eastAsia="zh-CN"/>
        </w:rPr>
        <w:t xml:space="preserve"> R, </w:t>
      </w:r>
      <w:proofErr w:type="spellStart"/>
      <w:r w:rsidRPr="00760E24">
        <w:rPr>
          <w:rFonts w:ascii="Book Antiqua" w:eastAsia="宋体" w:hAnsi="Book Antiqua" w:cs="宋体"/>
          <w:lang w:eastAsia="zh-CN"/>
        </w:rPr>
        <w:t>Salimbeni-Bartolini</w:t>
      </w:r>
      <w:proofErr w:type="spellEnd"/>
      <w:r w:rsidRPr="00760E24">
        <w:rPr>
          <w:rFonts w:ascii="Book Antiqua" w:eastAsia="宋体" w:hAnsi="Book Antiqua" w:cs="宋体"/>
          <w:lang w:eastAsia="zh-CN"/>
        </w:rPr>
        <w:t xml:space="preserve"> R, Pelletier G. Prediction of common bile duct stones by noninvasive tests. </w:t>
      </w:r>
      <w:r w:rsidRPr="00760E24">
        <w:rPr>
          <w:rFonts w:ascii="Book Antiqua" w:eastAsia="宋体" w:hAnsi="Book Antiqua" w:cs="宋体"/>
          <w:i/>
          <w:iCs/>
          <w:lang w:eastAsia="zh-CN"/>
        </w:rPr>
        <w:t xml:space="preserve">Ann </w:t>
      </w:r>
      <w:proofErr w:type="spellStart"/>
      <w:r w:rsidRPr="00760E24">
        <w:rPr>
          <w:rFonts w:ascii="Book Antiqua" w:eastAsia="宋体" w:hAnsi="Book Antiqua" w:cs="宋体"/>
          <w:i/>
          <w:iCs/>
          <w:lang w:eastAsia="zh-CN"/>
        </w:rPr>
        <w:t>Surg</w:t>
      </w:r>
      <w:proofErr w:type="spellEnd"/>
      <w:r w:rsidRPr="00760E24">
        <w:rPr>
          <w:rFonts w:ascii="Book Antiqua" w:eastAsia="宋体" w:hAnsi="Book Antiqua" w:cs="宋体"/>
          <w:lang w:eastAsia="zh-CN"/>
        </w:rPr>
        <w:t xml:space="preserve"> 1999; </w:t>
      </w:r>
      <w:r w:rsidRPr="00760E24">
        <w:rPr>
          <w:rFonts w:ascii="Book Antiqua" w:eastAsia="宋体" w:hAnsi="Book Antiqua" w:cs="宋体"/>
          <w:b/>
          <w:bCs/>
          <w:lang w:eastAsia="zh-CN"/>
        </w:rPr>
        <w:t>229</w:t>
      </w:r>
      <w:r w:rsidRPr="00760E24">
        <w:rPr>
          <w:rFonts w:ascii="Book Antiqua" w:eastAsia="宋体" w:hAnsi="Book Antiqua" w:cs="宋体"/>
          <w:lang w:eastAsia="zh-CN"/>
        </w:rPr>
        <w:t>: 362-368 [PMID: 10077048 DOI: 10.1097/00000658-199903000-00009]</w:t>
      </w:r>
    </w:p>
    <w:p w14:paraId="6BE61353"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7 </w:t>
      </w:r>
      <w:proofErr w:type="spellStart"/>
      <w:r w:rsidRPr="00760E24">
        <w:rPr>
          <w:rFonts w:ascii="Book Antiqua" w:eastAsia="宋体" w:hAnsi="Book Antiqua" w:cs="宋体"/>
          <w:b/>
          <w:bCs/>
          <w:lang w:eastAsia="zh-CN"/>
        </w:rPr>
        <w:t>Abboud</w:t>
      </w:r>
      <w:proofErr w:type="spellEnd"/>
      <w:r w:rsidRPr="00760E24">
        <w:rPr>
          <w:rFonts w:ascii="Book Antiqua" w:eastAsia="宋体" w:hAnsi="Book Antiqua" w:cs="宋体"/>
          <w:b/>
          <w:bCs/>
          <w:lang w:eastAsia="zh-CN"/>
        </w:rPr>
        <w:t xml:space="preserve"> PA</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Malet</w:t>
      </w:r>
      <w:proofErr w:type="spellEnd"/>
      <w:r w:rsidRPr="00760E24">
        <w:rPr>
          <w:rFonts w:ascii="Book Antiqua" w:eastAsia="宋体" w:hAnsi="Book Antiqua" w:cs="宋体"/>
          <w:lang w:eastAsia="zh-CN"/>
        </w:rPr>
        <w:t xml:space="preserve"> PF, Berlin JA, </w:t>
      </w:r>
      <w:proofErr w:type="spellStart"/>
      <w:r w:rsidRPr="00760E24">
        <w:rPr>
          <w:rFonts w:ascii="Book Antiqua" w:eastAsia="宋体" w:hAnsi="Book Antiqua" w:cs="宋体"/>
          <w:lang w:eastAsia="zh-CN"/>
        </w:rPr>
        <w:t>Staroscik</w:t>
      </w:r>
      <w:proofErr w:type="spellEnd"/>
      <w:r w:rsidRPr="00760E24">
        <w:rPr>
          <w:rFonts w:ascii="Book Antiqua" w:eastAsia="宋体" w:hAnsi="Book Antiqua" w:cs="宋体"/>
          <w:lang w:eastAsia="zh-CN"/>
        </w:rPr>
        <w:t xml:space="preserve"> R, Cabana MD, Clarke JR, Shea JA, Schwartz JS, Williams SV. Predictors of common bile duct stones prior to cholecystectomy: a meta-analysis. </w:t>
      </w:r>
      <w:proofErr w:type="spellStart"/>
      <w:r w:rsidRPr="00760E24">
        <w:rPr>
          <w:rFonts w:ascii="Book Antiqua" w:eastAsia="宋体" w:hAnsi="Book Antiqua" w:cs="宋体"/>
          <w:i/>
          <w:iCs/>
          <w:lang w:eastAsia="zh-CN"/>
        </w:rPr>
        <w:t>Gastrointest</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Endosc</w:t>
      </w:r>
      <w:proofErr w:type="spellEnd"/>
      <w:r w:rsidRPr="00760E24">
        <w:rPr>
          <w:rFonts w:ascii="Book Antiqua" w:eastAsia="宋体" w:hAnsi="Book Antiqua" w:cs="宋体"/>
          <w:lang w:eastAsia="zh-CN"/>
        </w:rPr>
        <w:t xml:space="preserve"> 1996; </w:t>
      </w:r>
      <w:r w:rsidRPr="00760E24">
        <w:rPr>
          <w:rFonts w:ascii="Book Antiqua" w:eastAsia="宋体" w:hAnsi="Book Antiqua" w:cs="宋体"/>
          <w:b/>
          <w:bCs/>
          <w:lang w:eastAsia="zh-CN"/>
        </w:rPr>
        <w:t>44</w:t>
      </w:r>
      <w:r w:rsidRPr="00760E24">
        <w:rPr>
          <w:rFonts w:ascii="Book Antiqua" w:eastAsia="宋体" w:hAnsi="Book Antiqua" w:cs="宋体"/>
          <w:lang w:eastAsia="zh-CN"/>
        </w:rPr>
        <w:t>: 450-455 [PMID: 8905367 DOI: 10.1016/S0016-5107(96)70098-6]</w:t>
      </w:r>
    </w:p>
    <w:p w14:paraId="74803509"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8 </w:t>
      </w:r>
      <w:proofErr w:type="spellStart"/>
      <w:r w:rsidRPr="00760E24">
        <w:rPr>
          <w:rFonts w:ascii="Book Antiqua" w:eastAsia="宋体" w:hAnsi="Book Antiqua" w:cs="宋体"/>
          <w:b/>
          <w:bCs/>
          <w:lang w:eastAsia="zh-CN"/>
        </w:rPr>
        <w:t>Tham</w:t>
      </w:r>
      <w:proofErr w:type="spellEnd"/>
      <w:r w:rsidRPr="00760E24">
        <w:rPr>
          <w:rFonts w:ascii="Book Antiqua" w:eastAsia="宋体" w:hAnsi="Book Antiqua" w:cs="宋体"/>
          <w:b/>
          <w:bCs/>
          <w:lang w:eastAsia="zh-CN"/>
        </w:rPr>
        <w:t xml:space="preserve"> TC</w:t>
      </w:r>
      <w:r w:rsidRPr="00760E24">
        <w:rPr>
          <w:rFonts w:ascii="Book Antiqua" w:eastAsia="宋体" w:hAnsi="Book Antiqua" w:cs="宋体"/>
          <w:lang w:eastAsia="zh-CN"/>
        </w:rPr>
        <w:t xml:space="preserve">, Lichtenstein DR, </w:t>
      </w:r>
      <w:proofErr w:type="spellStart"/>
      <w:r w:rsidRPr="00760E24">
        <w:rPr>
          <w:rFonts w:ascii="Book Antiqua" w:eastAsia="宋体" w:hAnsi="Book Antiqua" w:cs="宋体"/>
          <w:lang w:eastAsia="zh-CN"/>
        </w:rPr>
        <w:t>Vandervoort</w:t>
      </w:r>
      <w:proofErr w:type="spellEnd"/>
      <w:r w:rsidRPr="00760E24">
        <w:rPr>
          <w:rFonts w:ascii="Book Antiqua" w:eastAsia="宋体" w:hAnsi="Book Antiqua" w:cs="宋体"/>
          <w:lang w:eastAsia="zh-CN"/>
        </w:rPr>
        <w:t xml:space="preserve"> J, Wong RC, Brooks D, Van Dam J, </w:t>
      </w:r>
      <w:proofErr w:type="spellStart"/>
      <w:r w:rsidRPr="00760E24">
        <w:rPr>
          <w:rFonts w:ascii="Book Antiqua" w:eastAsia="宋体" w:hAnsi="Book Antiqua" w:cs="宋体"/>
          <w:lang w:eastAsia="zh-CN"/>
        </w:rPr>
        <w:t>Ruymann</w:t>
      </w:r>
      <w:proofErr w:type="spellEnd"/>
      <w:r w:rsidRPr="00760E24">
        <w:rPr>
          <w:rFonts w:ascii="Book Antiqua" w:eastAsia="宋体" w:hAnsi="Book Antiqua" w:cs="宋体"/>
          <w:lang w:eastAsia="zh-CN"/>
        </w:rPr>
        <w:t xml:space="preserve"> F, </w:t>
      </w:r>
      <w:proofErr w:type="spellStart"/>
      <w:r w:rsidRPr="00760E24">
        <w:rPr>
          <w:rFonts w:ascii="Book Antiqua" w:eastAsia="宋体" w:hAnsi="Book Antiqua" w:cs="宋体"/>
          <w:lang w:eastAsia="zh-CN"/>
        </w:rPr>
        <w:t>Farraye</w:t>
      </w:r>
      <w:proofErr w:type="spellEnd"/>
      <w:r w:rsidRPr="00760E24">
        <w:rPr>
          <w:rFonts w:ascii="Book Antiqua" w:eastAsia="宋体" w:hAnsi="Book Antiqua" w:cs="宋体"/>
          <w:lang w:eastAsia="zh-CN"/>
        </w:rPr>
        <w:t xml:space="preserve"> F, Carr-Locke DL. Role of endoscopic retrograde cholangiopancreatography for suspected </w:t>
      </w:r>
      <w:proofErr w:type="spellStart"/>
      <w:r w:rsidRPr="00760E24">
        <w:rPr>
          <w:rFonts w:ascii="Book Antiqua" w:eastAsia="宋体" w:hAnsi="Book Antiqua" w:cs="宋体"/>
          <w:lang w:eastAsia="zh-CN"/>
        </w:rPr>
        <w:t>choledocholithiasis</w:t>
      </w:r>
      <w:proofErr w:type="spellEnd"/>
      <w:r w:rsidRPr="00760E24">
        <w:rPr>
          <w:rFonts w:ascii="Book Antiqua" w:eastAsia="宋体" w:hAnsi="Book Antiqua" w:cs="宋体"/>
          <w:lang w:eastAsia="zh-CN"/>
        </w:rPr>
        <w:t xml:space="preserve"> in patients undergoing laparoscopic cholecystectomy. </w:t>
      </w:r>
      <w:proofErr w:type="spellStart"/>
      <w:r w:rsidRPr="00760E24">
        <w:rPr>
          <w:rFonts w:ascii="Book Antiqua" w:eastAsia="宋体" w:hAnsi="Book Antiqua" w:cs="宋体"/>
          <w:i/>
          <w:iCs/>
          <w:lang w:eastAsia="zh-CN"/>
        </w:rPr>
        <w:t>Gastrointest</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Endosc</w:t>
      </w:r>
      <w:proofErr w:type="spellEnd"/>
      <w:r w:rsidRPr="00760E24">
        <w:rPr>
          <w:rFonts w:ascii="Book Antiqua" w:eastAsia="宋体" w:hAnsi="Book Antiqua" w:cs="宋体"/>
          <w:lang w:eastAsia="zh-CN"/>
        </w:rPr>
        <w:t xml:space="preserve"> 1998; </w:t>
      </w:r>
      <w:r w:rsidRPr="00760E24">
        <w:rPr>
          <w:rFonts w:ascii="Book Antiqua" w:eastAsia="宋体" w:hAnsi="Book Antiqua" w:cs="宋体"/>
          <w:b/>
          <w:bCs/>
          <w:lang w:eastAsia="zh-CN"/>
        </w:rPr>
        <w:t>47</w:t>
      </w:r>
      <w:r w:rsidRPr="00760E24">
        <w:rPr>
          <w:rFonts w:ascii="Book Antiqua" w:eastAsia="宋体" w:hAnsi="Book Antiqua" w:cs="宋体"/>
          <w:lang w:eastAsia="zh-CN"/>
        </w:rPr>
        <w:t>: 50-56 [PMID: 9468423 DOI: 10.1016/S0016-5107(98)70298-6]</w:t>
      </w:r>
    </w:p>
    <w:p w14:paraId="757F8B09"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lastRenderedPageBreak/>
        <w:t xml:space="preserve">9 </w:t>
      </w:r>
      <w:proofErr w:type="spellStart"/>
      <w:r w:rsidRPr="00760E24">
        <w:rPr>
          <w:rFonts w:ascii="Book Antiqua" w:eastAsia="宋体" w:hAnsi="Book Antiqua" w:cs="宋体"/>
          <w:b/>
          <w:bCs/>
          <w:lang w:eastAsia="zh-CN"/>
        </w:rPr>
        <w:t>Barkun</w:t>
      </w:r>
      <w:proofErr w:type="spellEnd"/>
      <w:r w:rsidRPr="00760E24">
        <w:rPr>
          <w:rFonts w:ascii="Book Antiqua" w:eastAsia="宋体" w:hAnsi="Book Antiqua" w:cs="宋体"/>
          <w:b/>
          <w:bCs/>
          <w:lang w:eastAsia="zh-CN"/>
        </w:rPr>
        <w:t xml:space="preserve"> AN</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Barkun</w:t>
      </w:r>
      <w:proofErr w:type="spellEnd"/>
      <w:r w:rsidRPr="00760E24">
        <w:rPr>
          <w:rFonts w:ascii="Book Antiqua" w:eastAsia="宋体" w:hAnsi="Book Antiqua" w:cs="宋体"/>
          <w:lang w:eastAsia="zh-CN"/>
        </w:rPr>
        <w:t xml:space="preserve"> JS, Fried GM, </w:t>
      </w:r>
      <w:proofErr w:type="spellStart"/>
      <w:r w:rsidRPr="00760E24">
        <w:rPr>
          <w:rFonts w:ascii="Book Antiqua" w:eastAsia="宋体" w:hAnsi="Book Antiqua" w:cs="宋体"/>
          <w:lang w:eastAsia="zh-CN"/>
        </w:rPr>
        <w:t>Ghitulescu</w:t>
      </w:r>
      <w:proofErr w:type="spellEnd"/>
      <w:r w:rsidRPr="00760E24">
        <w:rPr>
          <w:rFonts w:ascii="Book Antiqua" w:eastAsia="宋体" w:hAnsi="Book Antiqua" w:cs="宋体"/>
          <w:lang w:eastAsia="zh-CN"/>
        </w:rPr>
        <w:t xml:space="preserve"> G, Steinmetz O, Pham C, </w:t>
      </w:r>
      <w:proofErr w:type="spellStart"/>
      <w:r w:rsidRPr="00760E24">
        <w:rPr>
          <w:rFonts w:ascii="Book Antiqua" w:eastAsia="宋体" w:hAnsi="Book Antiqua" w:cs="宋体"/>
          <w:lang w:eastAsia="zh-CN"/>
        </w:rPr>
        <w:t>Meakins</w:t>
      </w:r>
      <w:proofErr w:type="spellEnd"/>
      <w:r w:rsidRPr="00760E24">
        <w:rPr>
          <w:rFonts w:ascii="Book Antiqua" w:eastAsia="宋体" w:hAnsi="Book Antiqua" w:cs="宋体"/>
          <w:lang w:eastAsia="zh-CN"/>
        </w:rPr>
        <w:t xml:space="preserve"> JL, </w:t>
      </w:r>
      <w:proofErr w:type="spellStart"/>
      <w:r w:rsidRPr="00760E24">
        <w:rPr>
          <w:rFonts w:ascii="Book Antiqua" w:eastAsia="宋体" w:hAnsi="Book Antiqua" w:cs="宋体"/>
          <w:lang w:eastAsia="zh-CN"/>
        </w:rPr>
        <w:t>Goresky</w:t>
      </w:r>
      <w:proofErr w:type="spellEnd"/>
      <w:r w:rsidRPr="00760E24">
        <w:rPr>
          <w:rFonts w:ascii="Book Antiqua" w:eastAsia="宋体" w:hAnsi="Book Antiqua" w:cs="宋体"/>
          <w:lang w:eastAsia="zh-CN"/>
        </w:rPr>
        <w:t xml:space="preserve"> CA. Useful predictors of bile duct stones in patients undergoing laparoscopic cholecystectomy. McGill Gallstone Treatment Group. </w:t>
      </w:r>
      <w:r w:rsidRPr="00760E24">
        <w:rPr>
          <w:rFonts w:ascii="Book Antiqua" w:eastAsia="宋体" w:hAnsi="Book Antiqua" w:cs="宋体"/>
          <w:i/>
          <w:iCs/>
          <w:lang w:eastAsia="zh-CN"/>
        </w:rPr>
        <w:t xml:space="preserve">Ann </w:t>
      </w:r>
      <w:proofErr w:type="spellStart"/>
      <w:r w:rsidRPr="00760E24">
        <w:rPr>
          <w:rFonts w:ascii="Book Antiqua" w:eastAsia="宋体" w:hAnsi="Book Antiqua" w:cs="宋体"/>
          <w:i/>
          <w:iCs/>
          <w:lang w:eastAsia="zh-CN"/>
        </w:rPr>
        <w:t>Surg</w:t>
      </w:r>
      <w:proofErr w:type="spellEnd"/>
      <w:r w:rsidRPr="00760E24">
        <w:rPr>
          <w:rFonts w:ascii="Book Antiqua" w:eastAsia="宋体" w:hAnsi="Book Antiqua" w:cs="宋体"/>
          <w:lang w:eastAsia="zh-CN"/>
        </w:rPr>
        <w:t xml:space="preserve"> 1994; </w:t>
      </w:r>
      <w:r w:rsidRPr="00760E24">
        <w:rPr>
          <w:rFonts w:ascii="Book Antiqua" w:eastAsia="宋体" w:hAnsi="Book Antiqua" w:cs="宋体"/>
          <w:b/>
          <w:bCs/>
          <w:lang w:eastAsia="zh-CN"/>
        </w:rPr>
        <w:t>220</w:t>
      </w:r>
      <w:r w:rsidRPr="00760E24">
        <w:rPr>
          <w:rFonts w:ascii="Book Antiqua" w:eastAsia="宋体" w:hAnsi="Book Antiqua" w:cs="宋体"/>
          <w:lang w:eastAsia="zh-CN"/>
        </w:rPr>
        <w:t>: 32-39 [PMID: 7517657 DOI: 10.1097/00000658-199407000-00006]</w:t>
      </w:r>
    </w:p>
    <w:p w14:paraId="3905C058"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10 </w:t>
      </w:r>
      <w:r w:rsidRPr="00760E24">
        <w:rPr>
          <w:rFonts w:ascii="Book Antiqua" w:eastAsia="宋体" w:hAnsi="Book Antiqua" w:cs="宋体"/>
          <w:b/>
          <w:bCs/>
          <w:lang w:eastAsia="zh-CN"/>
        </w:rPr>
        <w:t>Maple JT</w:t>
      </w:r>
      <w:r w:rsidRPr="00760E24">
        <w:rPr>
          <w:rFonts w:ascii="Book Antiqua" w:eastAsia="宋体" w:hAnsi="Book Antiqua" w:cs="宋体"/>
          <w:lang w:eastAsia="zh-CN"/>
        </w:rPr>
        <w:t xml:space="preserve">, Ben-Menachem T, Anderson MA, </w:t>
      </w:r>
      <w:proofErr w:type="spellStart"/>
      <w:r w:rsidRPr="00760E24">
        <w:rPr>
          <w:rFonts w:ascii="Book Antiqua" w:eastAsia="宋体" w:hAnsi="Book Antiqua" w:cs="宋体"/>
          <w:lang w:eastAsia="zh-CN"/>
        </w:rPr>
        <w:t>Appalaneni</w:t>
      </w:r>
      <w:proofErr w:type="spellEnd"/>
      <w:r w:rsidRPr="00760E24">
        <w:rPr>
          <w:rFonts w:ascii="Book Antiqua" w:eastAsia="宋体" w:hAnsi="Book Antiqua" w:cs="宋体"/>
          <w:lang w:eastAsia="zh-CN"/>
        </w:rPr>
        <w:t xml:space="preserve"> V, Banerjee S, Cash BD, Fisher L, Harrison ME, </w:t>
      </w:r>
      <w:proofErr w:type="spellStart"/>
      <w:r w:rsidRPr="00760E24">
        <w:rPr>
          <w:rFonts w:ascii="Book Antiqua" w:eastAsia="宋体" w:hAnsi="Book Antiqua" w:cs="宋体"/>
          <w:lang w:eastAsia="zh-CN"/>
        </w:rPr>
        <w:t>Fanelli</w:t>
      </w:r>
      <w:proofErr w:type="spellEnd"/>
      <w:r w:rsidRPr="00760E24">
        <w:rPr>
          <w:rFonts w:ascii="Book Antiqua" w:eastAsia="宋体" w:hAnsi="Book Antiqua" w:cs="宋体"/>
          <w:lang w:eastAsia="zh-CN"/>
        </w:rPr>
        <w:t xml:space="preserve"> RD, </w:t>
      </w:r>
      <w:proofErr w:type="spellStart"/>
      <w:r w:rsidRPr="00760E24">
        <w:rPr>
          <w:rFonts w:ascii="Book Antiqua" w:eastAsia="宋体" w:hAnsi="Book Antiqua" w:cs="宋体"/>
          <w:lang w:eastAsia="zh-CN"/>
        </w:rPr>
        <w:t>Fukami</w:t>
      </w:r>
      <w:proofErr w:type="spellEnd"/>
      <w:r w:rsidRPr="00760E24">
        <w:rPr>
          <w:rFonts w:ascii="Book Antiqua" w:eastAsia="宋体" w:hAnsi="Book Antiqua" w:cs="宋体"/>
          <w:lang w:eastAsia="zh-CN"/>
        </w:rPr>
        <w:t xml:space="preserve"> N, </w:t>
      </w:r>
      <w:proofErr w:type="spellStart"/>
      <w:r w:rsidRPr="00760E24">
        <w:rPr>
          <w:rFonts w:ascii="Book Antiqua" w:eastAsia="宋体" w:hAnsi="Book Antiqua" w:cs="宋体"/>
          <w:lang w:eastAsia="zh-CN"/>
        </w:rPr>
        <w:t>Ikenberry</w:t>
      </w:r>
      <w:proofErr w:type="spellEnd"/>
      <w:r w:rsidRPr="00760E24">
        <w:rPr>
          <w:rFonts w:ascii="Book Antiqua" w:eastAsia="宋体" w:hAnsi="Book Antiqua" w:cs="宋体"/>
          <w:lang w:eastAsia="zh-CN"/>
        </w:rPr>
        <w:t xml:space="preserve"> SO, Jain R, Khan K, </w:t>
      </w:r>
      <w:proofErr w:type="spellStart"/>
      <w:r w:rsidRPr="00760E24">
        <w:rPr>
          <w:rFonts w:ascii="Book Antiqua" w:eastAsia="宋体" w:hAnsi="Book Antiqua" w:cs="宋体"/>
          <w:lang w:eastAsia="zh-CN"/>
        </w:rPr>
        <w:t>Krinsky</w:t>
      </w:r>
      <w:proofErr w:type="spellEnd"/>
      <w:r w:rsidRPr="00760E24">
        <w:rPr>
          <w:rFonts w:ascii="Book Antiqua" w:eastAsia="宋体" w:hAnsi="Book Antiqua" w:cs="宋体"/>
          <w:lang w:eastAsia="zh-CN"/>
        </w:rPr>
        <w:t xml:space="preserve"> ML, </w:t>
      </w:r>
      <w:proofErr w:type="spellStart"/>
      <w:r w:rsidRPr="00760E24">
        <w:rPr>
          <w:rFonts w:ascii="Book Antiqua" w:eastAsia="宋体" w:hAnsi="Book Antiqua" w:cs="宋体"/>
          <w:lang w:eastAsia="zh-CN"/>
        </w:rPr>
        <w:t>Strohmeyer</w:t>
      </w:r>
      <w:proofErr w:type="spellEnd"/>
      <w:r w:rsidRPr="00760E24">
        <w:rPr>
          <w:rFonts w:ascii="Book Antiqua" w:eastAsia="宋体" w:hAnsi="Book Antiqua" w:cs="宋体"/>
          <w:lang w:eastAsia="zh-CN"/>
        </w:rPr>
        <w:t xml:space="preserve"> L, </w:t>
      </w:r>
      <w:proofErr w:type="spellStart"/>
      <w:r w:rsidRPr="00760E24">
        <w:rPr>
          <w:rFonts w:ascii="Book Antiqua" w:eastAsia="宋体" w:hAnsi="Book Antiqua" w:cs="宋体"/>
          <w:lang w:eastAsia="zh-CN"/>
        </w:rPr>
        <w:t>Dominitz</w:t>
      </w:r>
      <w:proofErr w:type="spellEnd"/>
      <w:r w:rsidRPr="00760E24">
        <w:rPr>
          <w:rFonts w:ascii="Book Antiqua" w:eastAsia="宋体" w:hAnsi="Book Antiqua" w:cs="宋体"/>
          <w:lang w:eastAsia="zh-CN"/>
        </w:rPr>
        <w:t xml:space="preserve"> JA. </w:t>
      </w:r>
      <w:proofErr w:type="gramStart"/>
      <w:r w:rsidRPr="00760E24">
        <w:rPr>
          <w:rFonts w:ascii="Book Antiqua" w:eastAsia="宋体" w:hAnsi="Book Antiqua" w:cs="宋体"/>
          <w:lang w:eastAsia="zh-CN"/>
        </w:rPr>
        <w:t xml:space="preserve">The role of endoscopy in the evaluation of suspected </w:t>
      </w:r>
      <w:proofErr w:type="spellStart"/>
      <w:r w:rsidRPr="00760E24">
        <w:rPr>
          <w:rFonts w:ascii="Book Antiqua" w:eastAsia="宋体" w:hAnsi="Book Antiqua" w:cs="宋体"/>
          <w:lang w:eastAsia="zh-CN"/>
        </w:rPr>
        <w:t>choledocholithiasis</w:t>
      </w:r>
      <w:proofErr w:type="spellEnd"/>
      <w:r w:rsidRPr="00760E24">
        <w:rPr>
          <w:rFonts w:ascii="Book Antiqua" w:eastAsia="宋体" w:hAnsi="Book Antiqua" w:cs="宋体"/>
          <w:lang w:eastAsia="zh-CN"/>
        </w:rPr>
        <w:t>.</w:t>
      </w:r>
      <w:proofErr w:type="gramEnd"/>
      <w:r w:rsidRPr="00760E24">
        <w:rPr>
          <w:rFonts w:ascii="Book Antiqua" w:eastAsia="宋体" w:hAnsi="Book Antiqua" w:cs="宋体"/>
          <w:lang w:eastAsia="zh-CN"/>
        </w:rPr>
        <w:t xml:space="preserve"> </w:t>
      </w:r>
      <w:proofErr w:type="spellStart"/>
      <w:r w:rsidRPr="00760E24">
        <w:rPr>
          <w:rFonts w:ascii="Book Antiqua" w:eastAsia="宋体" w:hAnsi="Book Antiqua" w:cs="宋体"/>
          <w:i/>
          <w:iCs/>
          <w:lang w:eastAsia="zh-CN"/>
        </w:rPr>
        <w:t>Gastrointest</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Endosc</w:t>
      </w:r>
      <w:proofErr w:type="spellEnd"/>
      <w:r w:rsidRPr="00760E24">
        <w:rPr>
          <w:rFonts w:ascii="Book Antiqua" w:eastAsia="宋体" w:hAnsi="Book Antiqua" w:cs="宋体"/>
          <w:lang w:eastAsia="zh-CN"/>
        </w:rPr>
        <w:t xml:space="preserve"> 2010; </w:t>
      </w:r>
      <w:r w:rsidRPr="00760E24">
        <w:rPr>
          <w:rFonts w:ascii="Book Antiqua" w:eastAsia="宋体" w:hAnsi="Book Antiqua" w:cs="宋体"/>
          <w:b/>
          <w:bCs/>
          <w:lang w:eastAsia="zh-CN"/>
        </w:rPr>
        <w:t>71</w:t>
      </w:r>
      <w:r w:rsidRPr="00760E24">
        <w:rPr>
          <w:rFonts w:ascii="Book Antiqua" w:eastAsia="宋体" w:hAnsi="Book Antiqua" w:cs="宋体"/>
          <w:lang w:eastAsia="zh-CN"/>
        </w:rPr>
        <w:t>: 1-9 [PMID: 20105473 DOI: 10.1016/j.gie.2009.09.041]</w:t>
      </w:r>
    </w:p>
    <w:p w14:paraId="2CB0D559"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11 </w:t>
      </w:r>
      <w:r w:rsidRPr="00760E24">
        <w:rPr>
          <w:rFonts w:ascii="Book Antiqua" w:eastAsia="宋体" w:hAnsi="Book Antiqua" w:cs="宋体"/>
          <w:b/>
          <w:bCs/>
          <w:lang w:eastAsia="zh-CN"/>
        </w:rPr>
        <w:t>Fox VL</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Werlin</w:t>
      </w:r>
      <w:proofErr w:type="spellEnd"/>
      <w:r w:rsidRPr="00760E24">
        <w:rPr>
          <w:rFonts w:ascii="Book Antiqua" w:eastAsia="宋体" w:hAnsi="Book Antiqua" w:cs="宋体"/>
          <w:lang w:eastAsia="zh-CN"/>
        </w:rPr>
        <w:t xml:space="preserve"> SL, </w:t>
      </w:r>
      <w:proofErr w:type="spellStart"/>
      <w:r w:rsidRPr="00760E24">
        <w:rPr>
          <w:rFonts w:ascii="Book Antiqua" w:eastAsia="宋体" w:hAnsi="Book Antiqua" w:cs="宋体"/>
          <w:lang w:eastAsia="zh-CN"/>
        </w:rPr>
        <w:t>Heyman</w:t>
      </w:r>
      <w:proofErr w:type="spellEnd"/>
      <w:r w:rsidRPr="00760E24">
        <w:rPr>
          <w:rFonts w:ascii="Book Antiqua" w:eastAsia="宋体" w:hAnsi="Book Antiqua" w:cs="宋体"/>
          <w:lang w:eastAsia="zh-CN"/>
        </w:rPr>
        <w:t xml:space="preserve"> MB. </w:t>
      </w:r>
      <w:proofErr w:type="gramStart"/>
      <w:r w:rsidRPr="00760E24">
        <w:rPr>
          <w:rFonts w:ascii="Book Antiqua" w:eastAsia="宋体" w:hAnsi="Book Antiqua" w:cs="宋体"/>
          <w:lang w:eastAsia="zh-CN"/>
        </w:rPr>
        <w:t>Endoscopic retrograde cholangiopancreatography in children.</w:t>
      </w:r>
      <w:proofErr w:type="gramEnd"/>
      <w:r w:rsidRPr="00760E24">
        <w:rPr>
          <w:rFonts w:ascii="Book Antiqua" w:eastAsia="宋体" w:hAnsi="Book Antiqua" w:cs="宋体"/>
          <w:lang w:eastAsia="zh-CN"/>
        </w:rPr>
        <w:t xml:space="preserve"> </w:t>
      </w:r>
      <w:proofErr w:type="gramStart"/>
      <w:r w:rsidRPr="00760E24">
        <w:rPr>
          <w:rFonts w:ascii="Book Antiqua" w:eastAsia="宋体" w:hAnsi="Book Antiqua" w:cs="宋体"/>
          <w:lang w:eastAsia="zh-CN"/>
        </w:rPr>
        <w:t>Subcommittee on Endoscopy and Procedures of the Patient Care Committee of the North American Society for Pediatric Gastroenterology and Nutrition.</w:t>
      </w:r>
      <w:proofErr w:type="gramEnd"/>
      <w:r w:rsidRPr="00760E24">
        <w:rPr>
          <w:rFonts w:ascii="Book Antiqua" w:eastAsia="宋体" w:hAnsi="Book Antiqua" w:cs="宋体"/>
          <w:lang w:eastAsia="zh-CN"/>
        </w:rPr>
        <w:t xml:space="preserve"> </w:t>
      </w:r>
      <w:r w:rsidRPr="00760E24">
        <w:rPr>
          <w:rFonts w:ascii="Book Antiqua" w:eastAsia="宋体" w:hAnsi="Book Antiqua" w:cs="宋体"/>
          <w:i/>
          <w:iCs/>
          <w:lang w:eastAsia="zh-CN"/>
        </w:rPr>
        <w:t xml:space="preserve">J </w:t>
      </w:r>
      <w:proofErr w:type="spellStart"/>
      <w:r w:rsidRPr="00760E24">
        <w:rPr>
          <w:rFonts w:ascii="Book Antiqua" w:eastAsia="宋体" w:hAnsi="Book Antiqua" w:cs="宋体"/>
          <w:i/>
          <w:iCs/>
          <w:lang w:eastAsia="zh-CN"/>
        </w:rPr>
        <w:t>Pediatr</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Gastroenterol</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Nutr</w:t>
      </w:r>
      <w:proofErr w:type="spellEnd"/>
      <w:r w:rsidRPr="00760E24">
        <w:rPr>
          <w:rFonts w:ascii="Book Antiqua" w:eastAsia="宋体" w:hAnsi="Book Antiqua" w:cs="宋体"/>
          <w:lang w:eastAsia="zh-CN"/>
        </w:rPr>
        <w:t xml:space="preserve"> 2000; </w:t>
      </w:r>
      <w:r w:rsidRPr="00760E24">
        <w:rPr>
          <w:rFonts w:ascii="Book Antiqua" w:eastAsia="宋体" w:hAnsi="Book Antiqua" w:cs="宋体"/>
          <w:b/>
          <w:bCs/>
          <w:lang w:eastAsia="zh-CN"/>
        </w:rPr>
        <w:t>30</w:t>
      </w:r>
      <w:r w:rsidRPr="00760E24">
        <w:rPr>
          <w:rFonts w:ascii="Book Antiqua" w:eastAsia="宋体" w:hAnsi="Book Antiqua" w:cs="宋体"/>
          <w:lang w:eastAsia="zh-CN"/>
        </w:rPr>
        <w:t>: 335-342 [PMID: 10749424 DOI: 10.1097/00005176-200003000-00025]</w:t>
      </w:r>
    </w:p>
    <w:p w14:paraId="16F587F5" w14:textId="110FF115" w:rsidR="00760E24" w:rsidRPr="00760E24" w:rsidRDefault="00760E24" w:rsidP="00760E24">
      <w:pPr>
        <w:spacing w:line="360" w:lineRule="auto"/>
        <w:jc w:val="both"/>
        <w:rPr>
          <w:rFonts w:ascii="Book Antiqua" w:eastAsia="宋体" w:hAnsi="Book Antiqua" w:cs="宋体"/>
          <w:lang w:eastAsia="zh-CN"/>
        </w:rPr>
      </w:pPr>
      <w:proofErr w:type="gramStart"/>
      <w:r w:rsidRPr="00760E24">
        <w:rPr>
          <w:rFonts w:ascii="Book Antiqua" w:eastAsia="宋体" w:hAnsi="Book Antiqua" w:cs="宋体"/>
          <w:lang w:eastAsia="zh-CN"/>
        </w:rPr>
        <w:t xml:space="preserve">12 </w:t>
      </w:r>
      <w:proofErr w:type="spellStart"/>
      <w:r w:rsidRPr="00760E24">
        <w:rPr>
          <w:rFonts w:ascii="Book Antiqua" w:eastAsia="宋体" w:hAnsi="Book Antiqua" w:cs="宋体"/>
          <w:b/>
          <w:bCs/>
          <w:lang w:eastAsia="zh-CN"/>
        </w:rPr>
        <w:t>Mah</w:t>
      </w:r>
      <w:proofErr w:type="spellEnd"/>
      <w:r w:rsidRPr="00760E24">
        <w:rPr>
          <w:rFonts w:ascii="Book Antiqua" w:eastAsia="宋体" w:hAnsi="Book Antiqua" w:cs="宋体"/>
          <w:b/>
          <w:bCs/>
          <w:lang w:eastAsia="zh-CN"/>
        </w:rPr>
        <w:t xml:space="preserve"> D</w:t>
      </w:r>
      <w:r w:rsidRPr="00760E24">
        <w:rPr>
          <w:rFonts w:ascii="Book Antiqua" w:eastAsia="宋体" w:hAnsi="Book Antiqua" w:cs="宋体"/>
          <w:lang w:eastAsia="zh-CN"/>
        </w:rPr>
        <w:t xml:space="preserve">, Wales P, </w:t>
      </w:r>
      <w:proofErr w:type="spellStart"/>
      <w:r w:rsidRPr="00760E24">
        <w:rPr>
          <w:rFonts w:ascii="Book Antiqua" w:eastAsia="宋体" w:hAnsi="Book Antiqua" w:cs="宋体"/>
          <w:lang w:eastAsia="zh-CN"/>
        </w:rPr>
        <w:t>Njere</w:t>
      </w:r>
      <w:proofErr w:type="spellEnd"/>
      <w:r w:rsidRPr="00760E24">
        <w:rPr>
          <w:rFonts w:ascii="Book Antiqua" w:eastAsia="宋体" w:hAnsi="Book Antiqua" w:cs="宋体"/>
          <w:lang w:eastAsia="zh-CN"/>
        </w:rPr>
        <w:t xml:space="preserve"> I, </w:t>
      </w:r>
      <w:proofErr w:type="spellStart"/>
      <w:r w:rsidRPr="00760E24">
        <w:rPr>
          <w:rFonts w:ascii="Book Antiqua" w:eastAsia="宋体" w:hAnsi="Book Antiqua" w:cs="宋体"/>
          <w:lang w:eastAsia="zh-CN"/>
        </w:rPr>
        <w:t>Kortan</w:t>
      </w:r>
      <w:proofErr w:type="spellEnd"/>
      <w:r w:rsidRPr="00760E24">
        <w:rPr>
          <w:rFonts w:ascii="Book Antiqua" w:eastAsia="宋体" w:hAnsi="Book Antiqua" w:cs="宋体"/>
          <w:lang w:eastAsia="zh-CN"/>
        </w:rPr>
        <w:t xml:space="preserve"> P, </w:t>
      </w:r>
      <w:proofErr w:type="spellStart"/>
      <w:r w:rsidRPr="00760E24">
        <w:rPr>
          <w:rFonts w:ascii="Book Antiqua" w:eastAsia="宋体" w:hAnsi="Book Antiqua" w:cs="宋体"/>
          <w:lang w:eastAsia="zh-CN"/>
        </w:rPr>
        <w:t>Masiakos</w:t>
      </w:r>
      <w:proofErr w:type="spellEnd"/>
      <w:r w:rsidRPr="00760E24">
        <w:rPr>
          <w:rFonts w:ascii="Book Antiqua" w:eastAsia="宋体" w:hAnsi="Book Antiqua" w:cs="宋体"/>
          <w:lang w:eastAsia="zh-CN"/>
        </w:rPr>
        <w:t xml:space="preserve"> P, Kim PC.</w:t>
      </w:r>
      <w:proofErr w:type="gramEnd"/>
      <w:r w:rsidRPr="00760E24">
        <w:rPr>
          <w:rFonts w:ascii="Book Antiqua" w:eastAsia="宋体" w:hAnsi="Book Antiqua" w:cs="宋体"/>
          <w:lang w:eastAsia="zh-CN"/>
        </w:rPr>
        <w:t xml:space="preserve"> Management of suspected common bile duct stones in children: role of selective intraoperative cholangiogram and endoscopic retrograde cholangiopancreatography. </w:t>
      </w:r>
      <w:r w:rsidRPr="00760E24">
        <w:rPr>
          <w:rFonts w:ascii="Book Antiqua" w:eastAsia="宋体" w:hAnsi="Book Antiqua" w:cs="宋体"/>
          <w:i/>
          <w:iCs/>
          <w:lang w:eastAsia="zh-CN"/>
        </w:rPr>
        <w:t xml:space="preserve">J </w:t>
      </w:r>
      <w:proofErr w:type="spellStart"/>
      <w:r w:rsidRPr="00760E24">
        <w:rPr>
          <w:rFonts w:ascii="Book Antiqua" w:eastAsia="宋体" w:hAnsi="Book Antiqua" w:cs="宋体"/>
          <w:i/>
          <w:iCs/>
          <w:lang w:eastAsia="zh-CN"/>
        </w:rPr>
        <w:t>Pediatr</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Surg</w:t>
      </w:r>
      <w:proofErr w:type="spellEnd"/>
      <w:r w:rsidRPr="00760E24">
        <w:rPr>
          <w:rFonts w:ascii="Book Antiqua" w:eastAsia="宋体" w:hAnsi="Book Antiqua" w:cs="宋体"/>
          <w:lang w:eastAsia="zh-CN"/>
        </w:rPr>
        <w:t xml:space="preserve"> 2004; </w:t>
      </w:r>
      <w:r w:rsidRPr="00760E24">
        <w:rPr>
          <w:rFonts w:ascii="Book Antiqua" w:eastAsia="宋体" w:hAnsi="Book Antiqua" w:cs="宋体"/>
          <w:b/>
          <w:bCs/>
          <w:lang w:eastAsia="zh-CN"/>
        </w:rPr>
        <w:t>39</w:t>
      </w:r>
      <w:r w:rsidRPr="00760E24">
        <w:rPr>
          <w:rFonts w:ascii="Book Antiqua" w:eastAsia="宋体" w:hAnsi="Book Antiqua" w:cs="宋体"/>
          <w:lang w:eastAsia="zh-CN"/>
        </w:rPr>
        <w:t>: 808-</w:t>
      </w:r>
      <w:r w:rsidR="00E11FAA" w:rsidRPr="00321163">
        <w:rPr>
          <w:rFonts w:ascii="Book Antiqua" w:eastAsia="宋体" w:hAnsi="Book Antiqua" w:cs="宋体" w:hint="eastAsia"/>
          <w:lang w:eastAsia="zh-CN"/>
        </w:rPr>
        <w:t>8</w:t>
      </w:r>
      <w:r w:rsidRPr="00760E24">
        <w:rPr>
          <w:rFonts w:ascii="Book Antiqua" w:eastAsia="宋体" w:hAnsi="Book Antiqua" w:cs="宋体"/>
          <w:lang w:eastAsia="zh-CN"/>
        </w:rPr>
        <w:t>12; discussion 808-</w:t>
      </w:r>
      <w:r w:rsidR="00E11FAA" w:rsidRPr="00321163">
        <w:rPr>
          <w:rFonts w:ascii="Book Antiqua" w:eastAsia="宋体" w:hAnsi="Book Antiqua" w:cs="宋体" w:hint="eastAsia"/>
          <w:lang w:eastAsia="zh-CN"/>
        </w:rPr>
        <w:t>8</w:t>
      </w:r>
      <w:r w:rsidRPr="00760E24">
        <w:rPr>
          <w:rFonts w:ascii="Book Antiqua" w:eastAsia="宋体" w:hAnsi="Book Antiqua" w:cs="宋体"/>
          <w:lang w:eastAsia="zh-CN"/>
        </w:rPr>
        <w:t>12 [PMID: 15185201 DOI: 10.1016/j.jpedsurg.2004.02.019]</w:t>
      </w:r>
    </w:p>
    <w:p w14:paraId="646D8690" w14:textId="407E9642" w:rsidR="00760E24" w:rsidRPr="00760E24" w:rsidRDefault="00E11FAA" w:rsidP="00760E24">
      <w:pPr>
        <w:spacing w:line="360" w:lineRule="auto"/>
        <w:jc w:val="both"/>
        <w:rPr>
          <w:rFonts w:ascii="Book Antiqua" w:eastAsia="宋体" w:hAnsi="Book Antiqua" w:cs="宋体"/>
          <w:lang w:eastAsia="zh-CN"/>
        </w:rPr>
      </w:pPr>
      <w:r w:rsidRPr="00321163">
        <w:rPr>
          <w:rFonts w:ascii="Book Antiqua" w:eastAsia="宋体" w:hAnsi="Book Antiqua" w:cs="宋体"/>
          <w:lang w:eastAsia="zh-CN"/>
        </w:rPr>
        <w:t xml:space="preserve">13 </w:t>
      </w:r>
      <w:proofErr w:type="spellStart"/>
      <w:r w:rsidR="00760E24" w:rsidRPr="00760E24">
        <w:rPr>
          <w:rFonts w:ascii="Book Antiqua" w:eastAsia="宋体" w:hAnsi="Book Antiqua" w:cs="宋体"/>
          <w:b/>
          <w:lang w:eastAsia="zh-CN"/>
        </w:rPr>
        <w:t>Guelrud</w:t>
      </w:r>
      <w:proofErr w:type="spellEnd"/>
      <w:r w:rsidR="00760E24" w:rsidRPr="00760E24">
        <w:rPr>
          <w:rFonts w:ascii="Book Antiqua" w:eastAsia="宋体" w:hAnsi="Book Antiqua" w:cs="宋体"/>
          <w:b/>
          <w:lang w:eastAsia="zh-CN"/>
        </w:rPr>
        <w:t xml:space="preserve"> M</w:t>
      </w:r>
      <w:r w:rsidR="00760E24" w:rsidRPr="00760E24">
        <w:rPr>
          <w:rFonts w:ascii="Book Antiqua" w:eastAsia="宋体" w:hAnsi="Book Antiqua" w:cs="宋体"/>
          <w:lang w:eastAsia="zh-CN"/>
        </w:rPr>
        <w:t xml:space="preserve">. ERCP in Pediatric Practice: Diagnosis and Management. In: Carr-Locke D, Fox VL, </w:t>
      </w:r>
      <w:proofErr w:type="spellStart"/>
      <w:r w:rsidR="00760E24" w:rsidRPr="00760E24">
        <w:rPr>
          <w:rFonts w:ascii="Book Antiqua" w:eastAsia="宋体" w:hAnsi="Book Antiqua" w:cs="宋体"/>
          <w:lang w:eastAsia="zh-CN"/>
        </w:rPr>
        <w:t>Guelerud</w:t>
      </w:r>
      <w:proofErr w:type="spellEnd"/>
      <w:r w:rsidR="00760E24" w:rsidRPr="00760E24">
        <w:rPr>
          <w:rFonts w:ascii="Book Antiqua" w:eastAsia="宋体" w:hAnsi="Book Antiqua" w:cs="宋体"/>
          <w:lang w:eastAsia="zh-CN"/>
        </w:rPr>
        <w:t xml:space="preserve"> M, editors. CRC Press, 1988: 54</w:t>
      </w:r>
    </w:p>
    <w:p w14:paraId="58D023DE"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14 </w:t>
      </w:r>
      <w:proofErr w:type="spellStart"/>
      <w:r w:rsidRPr="00760E24">
        <w:rPr>
          <w:rFonts w:ascii="Book Antiqua" w:eastAsia="宋体" w:hAnsi="Book Antiqua" w:cs="宋体"/>
          <w:b/>
          <w:bCs/>
          <w:lang w:eastAsia="zh-CN"/>
        </w:rPr>
        <w:t>Vrochides</w:t>
      </w:r>
      <w:proofErr w:type="spellEnd"/>
      <w:r w:rsidRPr="00760E24">
        <w:rPr>
          <w:rFonts w:ascii="Book Antiqua" w:eastAsia="宋体" w:hAnsi="Book Antiqua" w:cs="宋体"/>
          <w:b/>
          <w:bCs/>
          <w:lang w:eastAsia="zh-CN"/>
        </w:rPr>
        <w:t xml:space="preserve"> DV</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Sorrells</w:t>
      </w:r>
      <w:proofErr w:type="spellEnd"/>
      <w:r w:rsidRPr="00760E24">
        <w:rPr>
          <w:rFonts w:ascii="Book Antiqua" w:eastAsia="宋体" w:hAnsi="Book Antiqua" w:cs="宋体"/>
          <w:lang w:eastAsia="zh-CN"/>
        </w:rPr>
        <w:t xml:space="preserve"> DL, </w:t>
      </w:r>
      <w:proofErr w:type="spellStart"/>
      <w:r w:rsidRPr="00760E24">
        <w:rPr>
          <w:rFonts w:ascii="Book Antiqua" w:eastAsia="宋体" w:hAnsi="Book Antiqua" w:cs="宋体"/>
          <w:lang w:eastAsia="zh-CN"/>
        </w:rPr>
        <w:t>Kurkchubasche</w:t>
      </w:r>
      <w:proofErr w:type="spellEnd"/>
      <w:r w:rsidRPr="00760E24">
        <w:rPr>
          <w:rFonts w:ascii="Book Antiqua" w:eastAsia="宋体" w:hAnsi="Book Antiqua" w:cs="宋体"/>
          <w:lang w:eastAsia="zh-CN"/>
        </w:rPr>
        <w:t xml:space="preserve"> AG, </w:t>
      </w:r>
      <w:proofErr w:type="spellStart"/>
      <w:r w:rsidRPr="00760E24">
        <w:rPr>
          <w:rFonts w:ascii="Book Antiqua" w:eastAsia="宋体" w:hAnsi="Book Antiqua" w:cs="宋体"/>
          <w:lang w:eastAsia="zh-CN"/>
        </w:rPr>
        <w:t>Wesselhoeft</w:t>
      </w:r>
      <w:proofErr w:type="spellEnd"/>
      <w:r w:rsidRPr="00760E24">
        <w:rPr>
          <w:rFonts w:ascii="Book Antiqua" w:eastAsia="宋体" w:hAnsi="Book Antiqua" w:cs="宋体"/>
          <w:lang w:eastAsia="zh-CN"/>
        </w:rPr>
        <w:t xml:space="preserve"> CW, Tracy TF, Luks FI. Is there a role for routine preoperative endoscopic retrograde cholangiopancreatography for suspected </w:t>
      </w:r>
      <w:proofErr w:type="spellStart"/>
      <w:r w:rsidRPr="00760E24">
        <w:rPr>
          <w:rFonts w:ascii="Book Antiqua" w:eastAsia="宋体" w:hAnsi="Book Antiqua" w:cs="宋体"/>
          <w:lang w:eastAsia="zh-CN"/>
        </w:rPr>
        <w:t>choledocholithiasis</w:t>
      </w:r>
      <w:proofErr w:type="spellEnd"/>
      <w:r w:rsidRPr="00760E24">
        <w:rPr>
          <w:rFonts w:ascii="Book Antiqua" w:eastAsia="宋体" w:hAnsi="Book Antiqua" w:cs="宋体"/>
          <w:lang w:eastAsia="zh-CN"/>
        </w:rPr>
        <w:t xml:space="preserve"> in children? </w:t>
      </w:r>
      <w:r w:rsidRPr="00760E24">
        <w:rPr>
          <w:rFonts w:ascii="Book Antiqua" w:eastAsia="宋体" w:hAnsi="Book Antiqua" w:cs="宋体"/>
          <w:i/>
          <w:iCs/>
          <w:lang w:eastAsia="zh-CN"/>
        </w:rPr>
        <w:t xml:space="preserve">Arch </w:t>
      </w:r>
      <w:proofErr w:type="spellStart"/>
      <w:r w:rsidRPr="00760E24">
        <w:rPr>
          <w:rFonts w:ascii="Book Antiqua" w:eastAsia="宋体" w:hAnsi="Book Antiqua" w:cs="宋体"/>
          <w:i/>
          <w:iCs/>
          <w:lang w:eastAsia="zh-CN"/>
        </w:rPr>
        <w:t>Surg</w:t>
      </w:r>
      <w:proofErr w:type="spellEnd"/>
      <w:r w:rsidRPr="00760E24">
        <w:rPr>
          <w:rFonts w:ascii="Book Antiqua" w:eastAsia="宋体" w:hAnsi="Book Antiqua" w:cs="宋体"/>
          <w:lang w:eastAsia="zh-CN"/>
        </w:rPr>
        <w:t xml:space="preserve"> 2005; </w:t>
      </w:r>
      <w:r w:rsidRPr="00760E24">
        <w:rPr>
          <w:rFonts w:ascii="Book Antiqua" w:eastAsia="宋体" w:hAnsi="Book Antiqua" w:cs="宋体"/>
          <w:b/>
          <w:bCs/>
          <w:lang w:eastAsia="zh-CN"/>
        </w:rPr>
        <w:t>140</w:t>
      </w:r>
      <w:r w:rsidRPr="00760E24">
        <w:rPr>
          <w:rFonts w:ascii="Book Antiqua" w:eastAsia="宋体" w:hAnsi="Book Antiqua" w:cs="宋体"/>
          <w:lang w:eastAsia="zh-CN"/>
        </w:rPr>
        <w:t>: 359-361 [PMID: 15837886 DOI: 10.1001/archsurg.140.4.359]</w:t>
      </w:r>
    </w:p>
    <w:p w14:paraId="43FCE885"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15 </w:t>
      </w:r>
      <w:r w:rsidRPr="00760E24">
        <w:rPr>
          <w:rFonts w:ascii="Book Antiqua" w:eastAsia="宋体" w:hAnsi="Book Antiqua" w:cs="宋体"/>
          <w:b/>
          <w:bCs/>
          <w:lang w:eastAsia="zh-CN"/>
        </w:rPr>
        <w:t>Iqbal CW</w:t>
      </w:r>
      <w:r w:rsidRPr="00760E24">
        <w:rPr>
          <w:rFonts w:ascii="Book Antiqua" w:eastAsia="宋体" w:hAnsi="Book Antiqua" w:cs="宋体"/>
          <w:lang w:eastAsia="zh-CN"/>
        </w:rPr>
        <w:t xml:space="preserve">, Baron TH, Moir CR, </w:t>
      </w:r>
      <w:proofErr w:type="spellStart"/>
      <w:r w:rsidRPr="00760E24">
        <w:rPr>
          <w:rFonts w:ascii="Book Antiqua" w:eastAsia="宋体" w:hAnsi="Book Antiqua" w:cs="宋体"/>
          <w:lang w:eastAsia="zh-CN"/>
        </w:rPr>
        <w:t>Ishitani</w:t>
      </w:r>
      <w:proofErr w:type="spellEnd"/>
      <w:r w:rsidRPr="00760E24">
        <w:rPr>
          <w:rFonts w:ascii="Book Antiqua" w:eastAsia="宋体" w:hAnsi="Book Antiqua" w:cs="宋体"/>
          <w:lang w:eastAsia="zh-CN"/>
        </w:rPr>
        <w:t xml:space="preserve"> MB. </w:t>
      </w:r>
      <w:proofErr w:type="gramStart"/>
      <w:r w:rsidRPr="00760E24">
        <w:rPr>
          <w:rFonts w:ascii="Book Antiqua" w:eastAsia="宋体" w:hAnsi="Book Antiqua" w:cs="宋体"/>
          <w:lang w:eastAsia="zh-CN"/>
        </w:rPr>
        <w:t>Post-ERCP pancreatitis in pediatric patients.</w:t>
      </w:r>
      <w:proofErr w:type="gramEnd"/>
      <w:r w:rsidRPr="00760E24">
        <w:rPr>
          <w:rFonts w:ascii="Book Antiqua" w:eastAsia="宋体" w:hAnsi="Book Antiqua" w:cs="宋体"/>
          <w:lang w:eastAsia="zh-CN"/>
        </w:rPr>
        <w:t xml:space="preserve"> </w:t>
      </w:r>
      <w:r w:rsidRPr="00760E24">
        <w:rPr>
          <w:rFonts w:ascii="Book Antiqua" w:eastAsia="宋体" w:hAnsi="Book Antiqua" w:cs="宋体"/>
          <w:i/>
          <w:iCs/>
          <w:lang w:eastAsia="zh-CN"/>
        </w:rPr>
        <w:t xml:space="preserve">J </w:t>
      </w:r>
      <w:proofErr w:type="spellStart"/>
      <w:r w:rsidRPr="00760E24">
        <w:rPr>
          <w:rFonts w:ascii="Book Antiqua" w:eastAsia="宋体" w:hAnsi="Book Antiqua" w:cs="宋体"/>
          <w:i/>
          <w:iCs/>
          <w:lang w:eastAsia="zh-CN"/>
        </w:rPr>
        <w:t>Pediatr</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Gastroenterol</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Nutr</w:t>
      </w:r>
      <w:proofErr w:type="spellEnd"/>
      <w:r w:rsidRPr="00760E24">
        <w:rPr>
          <w:rFonts w:ascii="Book Antiqua" w:eastAsia="宋体" w:hAnsi="Book Antiqua" w:cs="宋体"/>
          <w:lang w:eastAsia="zh-CN"/>
        </w:rPr>
        <w:t xml:space="preserve"> 2009; </w:t>
      </w:r>
      <w:r w:rsidRPr="00760E24">
        <w:rPr>
          <w:rFonts w:ascii="Book Antiqua" w:eastAsia="宋体" w:hAnsi="Book Antiqua" w:cs="宋体"/>
          <w:b/>
          <w:bCs/>
          <w:lang w:eastAsia="zh-CN"/>
        </w:rPr>
        <w:t>49</w:t>
      </w:r>
      <w:r w:rsidRPr="00760E24">
        <w:rPr>
          <w:rFonts w:ascii="Book Antiqua" w:eastAsia="宋体" w:hAnsi="Book Antiqua" w:cs="宋体"/>
          <w:lang w:eastAsia="zh-CN"/>
        </w:rPr>
        <w:t>: 430-434 [PMID: 20032630 DOI: 10.1097/MPG.0b013e318186c4a6]</w:t>
      </w:r>
    </w:p>
    <w:p w14:paraId="58710D3B" w14:textId="77777777" w:rsidR="00760E24" w:rsidRPr="00760E24" w:rsidRDefault="00760E24" w:rsidP="00760E24">
      <w:pPr>
        <w:spacing w:line="360" w:lineRule="auto"/>
        <w:jc w:val="both"/>
        <w:rPr>
          <w:rFonts w:ascii="Book Antiqua" w:eastAsia="宋体" w:hAnsi="Book Antiqua" w:cs="宋体"/>
          <w:lang w:eastAsia="zh-CN"/>
        </w:rPr>
      </w:pPr>
      <w:proofErr w:type="gramStart"/>
      <w:r w:rsidRPr="00760E24">
        <w:rPr>
          <w:rFonts w:ascii="Book Antiqua" w:eastAsia="宋体" w:hAnsi="Book Antiqua" w:cs="宋体"/>
          <w:lang w:eastAsia="zh-CN"/>
        </w:rPr>
        <w:lastRenderedPageBreak/>
        <w:t xml:space="preserve">16 </w:t>
      </w:r>
      <w:proofErr w:type="spellStart"/>
      <w:r w:rsidRPr="00760E24">
        <w:rPr>
          <w:rFonts w:ascii="Book Antiqua" w:eastAsia="宋体" w:hAnsi="Book Antiqua" w:cs="宋体"/>
          <w:b/>
          <w:bCs/>
          <w:lang w:eastAsia="zh-CN"/>
        </w:rPr>
        <w:t>Cronan</w:t>
      </w:r>
      <w:proofErr w:type="spellEnd"/>
      <w:r w:rsidRPr="00760E24">
        <w:rPr>
          <w:rFonts w:ascii="Book Antiqua" w:eastAsia="宋体" w:hAnsi="Book Antiqua" w:cs="宋体"/>
          <w:b/>
          <w:bCs/>
          <w:lang w:eastAsia="zh-CN"/>
        </w:rPr>
        <w:t xml:space="preserve"> JJ</w:t>
      </w:r>
      <w:r w:rsidRPr="00760E24">
        <w:rPr>
          <w:rFonts w:ascii="Book Antiqua" w:eastAsia="宋体" w:hAnsi="Book Antiqua" w:cs="宋体"/>
          <w:lang w:eastAsia="zh-CN"/>
        </w:rPr>
        <w:t>.</w:t>
      </w:r>
      <w:proofErr w:type="gramEnd"/>
      <w:r w:rsidRPr="00760E24">
        <w:rPr>
          <w:rFonts w:ascii="Book Antiqua" w:eastAsia="宋体" w:hAnsi="Book Antiqua" w:cs="宋体"/>
          <w:lang w:eastAsia="zh-CN"/>
        </w:rPr>
        <w:t xml:space="preserve"> US diagnosis of </w:t>
      </w:r>
      <w:proofErr w:type="spellStart"/>
      <w:r w:rsidRPr="00760E24">
        <w:rPr>
          <w:rFonts w:ascii="Book Antiqua" w:eastAsia="宋体" w:hAnsi="Book Antiqua" w:cs="宋体"/>
          <w:lang w:eastAsia="zh-CN"/>
        </w:rPr>
        <w:t>choledocholithiasis</w:t>
      </w:r>
      <w:proofErr w:type="spellEnd"/>
      <w:r w:rsidRPr="00760E24">
        <w:rPr>
          <w:rFonts w:ascii="Book Antiqua" w:eastAsia="宋体" w:hAnsi="Book Antiqua" w:cs="宋体"/>
          <w:lang w:eastAsia="zh-CN"/>
        </w:rPr>
        <w:t xml:space="preserve">: a reappraisal. </w:t>
      </w:r>
      <w:r w:rsidRPr="00760E24">
        <w:rPr>
          <w:rFonts w:ascii="Book Antiqua" w:eastAsia="宋体" w:hAnsi="Book Antiqua" w:cs="宋体"/>
          <w:i/>
          <w:iCs/>
          <w:lang w:eastAsia="zh-CN"/>
        </w:rPr>
        <w:t>Radiology</w:t>
      </w:r>
      <w:r w:rsidRPr="00760E24">
        <w:rPr>
          <w:rFonts w:ascii="Book Antiqua" w:eastAsia="宋体" w:hAnsi="Book Antiqua" w:cs="宋体"/>
          <w:lang w:eastAsia="zh-CN"/>
        </w:rPr>
        <w:t xml:space="preserve"> 1986; </w:t>
      </w:r>
      <w:r w:rsidRPr="00760E24">
        <w:rPr>
          <w:rFonts w:ascii="Book Antiqua" w:eastAsia="宋体" w:hAnsi="Book Antiqua" w:cs="宋体"/>
          <w:b/>
          <w:bCs/>
          <w:lang w:eastAsia="zh-CN"/>
        </w:rPr>
        <w:t>161</w:t>
      </w:r>
      <w:r w:rsidRPr="00760E24">
        <w:rPr>
          <w:rFonts w:ascii="Book Antiqua" w:eastAsia="宋体" w:hAnsi="Book Antiqua" w:cs="宋体"/>
          <w:lang w:eastAsia="zh-CN"/>
        </w:rPr>
        <w:t>: 133-134 [PMID: 3532178 DOI: 10.1148/radiology.161.1.3532178]</w:t>
      </w:r>
    </w:p>
    <w:p w14:paraId="04158540"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17 </w:t>
      </w:r>
      <w:r w:rsidRPr="00760E24">
        <w:rPr>
          <w:rFonts w:ascii="Book Antiqua" w:eastAsia="宋体" w:hAnsi="Book Antiqua" w:cs="宋体"/>
          <w:b/>
          <w:bCs/>
          <w:lang w:eastAsia="zh-CN"/>
        </w:rPr>
        <w:t>Chawla S</w:t>
      </w:r>
      <w:r w:rsidRPr="00760E24">
        <w:rPr>
          <w:rFonts w:ascii="Book Antiqua" w:eastAsia="宋体" w:hAnsi="Book Antiqua" w:cs="宋体"/>
          <w:lang w:eastAsia="zh-CN"/>
        </w:rPr>
        <w:t xml:space="preserve">, Trick WE, </w:t>
      </w:r>
      <w:proofErr w:type="spellStart"/>
      <w:r w:rsidRPr="00760E24">
        <w:rPr>
          <w:rFonts w:ascii="Book Antiqua" w:eastAsia="宋体" w:hAnsi="Book Antiqua" w:cs="宋体"/>
          <w:lang w:eastAsia="zh-CN"/>
        </w:rPr>
        <w:t>Gilkey</w:t>
      </w:r>
      <w:proofErr w:type="spellEnd"/>
      <w:r w:rsidRPr="00760E24">
        <w:rPr>
          <w:rFonts w:ascii="Book Antiqua" w:eastAsia="宋体" w:hAnsi="Book Antiqua" w:cs="宋体"/>
          <w:lang w:eastAsia="zh-CN"/>
        </w:rPr>
        <w:t xml:space="preserve"> S, Attar BM. Does cholecystectomy status influence the common bile duct diameter? </w:t>
      </w:r>
      <w:proofErr w:type="gramStart"/>
      <w:r w:rsidRPr="00760E24">
        <w:rPr>
          <w:rFonts w:ascii="Book Antiqua" w:eastAsia="宋体" w:hAnsi="Book Antiqua" w:cs="宋体"/>
          <w:lang w:eastAsia="zh-CN"/>
        </w:rPr>
        <w:t>A matched-pair analysis.</w:t>
      </w:r>
      <w:proofErr w:type="gramEnd"/>
      <w:r w:rsidRPr="00760E24">
        <w:rPr>
          <w:rFonts w:ascii="Book Antiqua" w:eastAsia="宋体" w:hAnsi="Book Antiqua" w:cs="宋体"/>
          <w:lang w:eastAsia="zh-CN"/>
        </w:rPr>
        <w:t xml:space="preserve"> </w:t>
      </w:r>
      <w:r w:rsidRPr="00760E24">
        <w:rPr>
          <w:rFonts w:ascii="Book Antiqua" w:eastAsia="宋体" w:hAnsi="Book Antiqua" w:cs="宋体"/>
          <w:i/>
          <w:iCs/>
          <w:lang w:eastAsia="zh-CN"/>
        </w:rPr>
        <w:t xml:space="preserve">Dig Dis </w:t>
      </w:r>
      <w:proofErr w:type="spellStart"/>
      <w:r w:rsidRPr="00760E24">
        <w:rPr>
          <w:rFonts w:ascii="Book Antiqua" w:eastAsia="宋体" w:hAnsi="Book Antiqua" w:cs="宋体"/>
          <w:i/>
          <w:iCs/>
          <w:lang w:eastAsia="zh-CN"/>
        </w:rPr>
        <w:t>Sci</w:t>
      </w:r>
      <w:proofErr w:type="spellEnd"/>
      <w:r w:rsidRPr="00760E24">
        <w:rPr>
          <w:rFonts w:ascii="Book Antiqua" w:eastAsia="宋体" w:hAnsi="Book Antiqua" w:cs="宋体"/>
          <w:lang w:eastAsia="zh-CN"/>
        </w:rPr>
        <w:t xml:space="preserve"> 2010; </w:t>
      </w:r>
      <w:r w:rsidRPr="00760E24">
        <w:rPr>
          <w:rFonts w:ascii="Book Antiqua" w:eastAsia="宋体" w:hAnsi="Book Antiqua" w:cs="宋体"/>
          <w:b/>
          <w:bCs/>
          <w:lang w:eastAsia="zh-CN"/>
        </w:rPr>
        <w:t>55</w:t>
      </w:r>
      <w:r w:rsidRPr="00760E24">
        <w:rPr>
          <w:rFonts w:ascii="Book Antiqua" w:eastAsia="宋体" w:hAnsi="Book Antiqua" w:cs="宋体"/>
          <w:lang w:eastAsia="zh-CN"/>
        </w:rPr>
        <w:t>: 1155-1160 [PMID: 19455421 DOI: 10.1007/s10620-009-0836-y]</w:t>
      </w:r>
    </w:p>
    <w:p w14:paraId="48A5A28B"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18 </w:t>
      </w:r>
      <w:proofErr w:type="spellStart"/>
      <w:r w:rsidRPr="00760E24">
        <w:rPr>
          <w:rFonts w:ascii="Book Antiqua" w:eastAsia="宋体" w:hAnsi="Book Antiqua" w:cs="宋体"/>
          <w:b/>
          <w:bCs/>
          <w:lang w:eastAsia="zh-CN"/>
        </w:rPr>
        <w:t>Hernanz</w:t>
      </w:r>
      <w:proofErr w:type="spellEnd"/>
      <w:r w:rsidRPr="00760E24">
        <w:rPr>
          <w:rFonts w:ascii="Book Antiqua" w:eastAsia="宋体" w:hAnsi="Book Antiqua" w:cs="宋体"/>
          <w:b/>
          <w:bCs/>
          <w:lang w:eastAsia="zh-CN"/>
        </w:rPr>
        <w:t>-Schulman M</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Ambrosino</w:t>
      </w:r>
      <w:proofErr w:type="spellEnd"/>
      <w:r w:rsidRPr="00760E24">
        <w:rPr>
          <w:rFonts w:ascii="Book Antiqua" w:eastAsia="宋体" w:hAnsi="Book Antiqua" w:cs="宋体"/>
          <w:lang w:eastAsia="zh-CN"/>
        </w:rPr>
        <w:t xml:space="preserve"> MM, Freeman PC, Quinn CB. Common bile duct in children: sonographic dimensions. </w:t>
      </w:r>
      <w:r w:rsidRPr="00760E24">
        <w:rPr>
          <w:rFonts w:ascii="Book Antiqua" w:eastAsia="宋体" w:hAnsi="Book Antiqua" w:cs="宋体"/>
          <w:i/>
          <w:iCs/>
          <w:lang w:eastAsia="zh-CN"/>
        </w:rPr>
        <w:t>Radiology</w:t>
      </w:r>
      <w:r w:rsidRPr="00760E24">
        <w:rPr>
          <w:rFonts w:ascii="Book Antiqua" w:eastAsia="宋体" w:hAnsi="Book Antiqua" w:cs="宋体"/>
          <w:lang w:eastAsia="zh-CN"/>
        </w:rPr>
        <w:t xml:space="preserve"> 1995; </w:t>
      </w:r>
      <w:r w:rsidRPr="00760E24">
        <w:rPr>
          <w:rFonts w:ascii="Book Antiqua" w:eastAsia="宋体" w:hAnsi="Book Antiqua" w:cs="宋体"/>
          <w:b/>
          <w:bCs/>
          <w:lang w:eastAsia="zh-CN"/>
        </w:rPr>
        <w:t>195</w:t>
      </w:r>
      <w:r w:rsidRPr="00760E24">
        <w:rPr>
          <w:rFonts w:ascii="Book Antiqua" w:eastAsia="宋体" w:hAnsi="Book Antiqua" w:cs="宋体"/>
          <w:lang w:eastAsia="zh-CN"/>
        </w:rPr>
        <w:t>: 193-195 [PMID: 7892467 DOI: 10.1148/radiology.195.1.7892467]</w:t>
      </w:r>
    </w:p>
    <w:p w14:paraId="1559947A"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19 </w:t>
      </w:r>
      <w:proofErr w:type="spellStart"/>
      <w:r w:rsidRPr="00760E24">
        <w:rPr>
          <w:rFonts w:ascii="Book Antiqua" w:eastAsia="宋体" w:hAnsi="Book Antiqua" w:cs="宋体"/>
          <w:b/>
          <w:bCs/>
          <w:lang w:eastAsia="zh-CN"/>
        </w:rPr>
        <w:t>Witcombe</w:t>
      </w:r>
      <w:proofErr w:type="spellEnd"/>
      <w:r w:rsidRPr="00760E24">
        <w:rPr>
          <w:rFonts w:ascii="Book Antiqua" w:eastAsia="宋体" w:hAnsi="Book Antiqua" w:cs="宋体"/>
          <w:b/>
          <w:bCs/>
          <w:lang w:eastAsia="zh-CN"/>
        </w:rPr>
        <w:t xml:space="preserve"> JB</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Cremin</w:t>
      </w:r>
      <w:proofErr w:type="spellEnd"/>
      <w:r w:rsidRPr="00760E24">
        <w:rPr>
          <w:rFonts w:ascii="Book Antiqua" w:eastAsia="宋体" w:hAnsi="Book Antiqua" w:cs="宋体"/>
          <w:lang w:eastAsia="zh-CN"/>
        </w:rPr>
        <w:t xml:space="preserve"> BJ. </w:t>
      </w:r>
      <w:proofErr w:type="gramStart"/>
      <w:r w:rsidRPr="00760E24">
        <w:rPr>
          <w:rFonts w:ascii="Book Antiqua" w:eastAsia="宋体" w:hAnsi="Book Antiqua" w:cs="宋体"/>
          <w:lang w:eastAsia="zh-CN"/>
        </w:rPr>
        <w:t>The width of the common bile duct in childhood.</w:t>
      </w:r>
      <w:proofErr w:type="gramEnd"/>
      <w:r w:rsidRPr="00760E24">
        <w:rPr>
          <w:rFonts w:ascii="Book Antiqua" w:eastAsia="宋体" w:hAnsi="Book Antiqua" w:cs="宋体"/>
          <w:lang w:eastAsia="zh-CN"/>
        </w:rPr>
        <w:t xml:space="preserve"> </w:t>
      </w:r>
      <w:proofErr w:type="spellStart"/>
      <w:r w:rsidRPr="00760E24">
        <w:rPr>
          <w:rFonts w:ascii="Book Antiqua" w:eastAsia="宋体" w:hAnsi="Book Antiqua" w:cs="宋体"/>
          <w:i/>
          <w:iCs/>
          <w:lang w:eastAsia="zh-CN"/>
        </w:rPr>
        <w:t>Pediatr</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Radiol</w:t>
      </w:r>
      <w:proofErr w:type="spellEnd"/>
      <w:r w:rsidRPr="00760E24">
        <w:rPr>
          <w:rFonts w:ascii="Book Antiqua" w:eastAsia="宋体" w:hAnsi="Book Antiqua" w:cs="宋体"/>
          <w:lang w:eastAsia="zh-CN"/>
        </w:rPr>
        <w:t xml:space="preserve"> 1978; </w:t>
      </w:r>
      <w:r w:rsidRPr="00760E24">
        <w:rPr>
          <w:rFonts w:ascii="Book Antiqua" w:eastAsia="宋体" w:hAnsi="Book Antiqua" w:cs="宋体"/>
          <w:b/>
          <w:bCs/>
          <w:lang w:eastAsia="zh-CN"/>
        </w:rPr>
        <w:t>7</w:t>
      </w:r>
      <w:r w:rsidRPr="00760E24">
        <w:rPr>
          <w:rFonts w:ascii="Book Antiqua" w:eastAsia="宋体" w:hAnsi="Book Antiqua" w:cs="宋体"/>
          <w:lang w:eastAsia="zh-CN"/>
        </w:rPr>
        <w:t>: 147-149 [PMID: 714527 DOI: 10.1007/BF00975437]</w:t>
      </w:r>
    </w:p>
    <w:p w14:paraId="28A1C7F7" w14:textId="77777777" w:rsidR="00760E24" w:rsidRPr="00760E24" w:rsidRDefault="00760E24" w:rsidP="00760E24">
      <w:pPr>
        <w:spacing w:line="360" w:lineRule="auto"/>
        <w:jc w:val="both"/>
        <w:rPr>
          <w:rFonts w:ascii="Book Antiqua" w:eastAsia="宋体" w:hAnsi="Book Antiqua" w:cs="宋体"/>
          <w:lang w:eastAsia="zh-CN"/>
        </w:rPr>
      </w:pPr>
      <w:proofErr w:type="gramStart"/>
      <w:r w:rsidRPr="00760E24">
        <w:rPr>
          <w:rFonts w:ascii="Book Antiqua" w:eastAsia="宋体" w:hAnsi="Book Antiqua" w:cs="宋体"/>
          <w:lang w:eastAsia="zh-CN"/>
        </w:rPr>
        <w:t xml:space="preserve">20 </w:t>
      </w:r>
      <w:proofErr w:type="spellStart"/>
      <w:r w:rsidRPr="00760E24">
        <w:rPr>
          <w:rFonts w:ascii="Book Antiqua" w:eastAsia="宋体" w:hAnsi="Book Antiqua" w:cs="宋体"/>
          <w:b/>
          <w:bCs/>
          <w:lang w:eastAsia="zh-CN"/>
        </w:rPr>
        <w:t>Parulekar</w:t>
      </w:r>
      <w:proofErr w:type="spellEnd"/>
      <w:r w:rsidRPr="00760E24">
        <w:rPr>
          <w:rFonts w:ascii="Book Antiqua" w:eastAsia="宋体" w:hAnsi="Book Antiqua" w:cs="宋体"/>
          <w:b/>
          <w:bCs/>
          <w:lang w:eastAsia="zh-CN"/>
        </w:rPr>
        <w:t xml:space="preserve"> SG</w:t>
      </w:r>
      <w:r w:rsidRPr="00760E24">
        <w:rPr>
          <w:rFonts w:ascii="Book Antiqua" w:eastAsia="宋体" w:hAnsi="Book Antiqua" w:cs="宋体"/>
          <w:lang w:eastAsia="zh-CN"/>
        </w:rPr>
        <w:t>.</w:t>
      </w:r>
      <w:proofErr w:type="gramEnd"/>
      <w:r w:rsidRPr="00760E24">
        <w:rPr>
          <w:rFonts w:ascii="Book Antiqua" w:eastAsia="宋体" w:hAnsi="Book Antiqua" w:cs="宋体"/>
          <w:lang w:eastAsia="zh-CN"/>
        </w:rPr>
        <w:t xml:space="preserve"> </w:t>
      </w:r>
      <w:proofErr w:type="gramStart"/>
      <w:r w:rsidRPr="00760E24">
        <w:rPr>
          <w:rFonts w:ascii="Book Antiqua" w:eastAsia="宋体" w:hAnsi="Book Antiqua" w:cs="宋体"/>
          <w:lang w:eastAsia="zh-CN"/>
        </w:rPr>
        <w:t>Ultrasound evaluation of common bile duct size.</w:t>
      </w:r>
      <w:proofErr w:type="gramEnd"/>
      <w:r w:rsidRPr="00760E24">
        <w:rPr>
          <w:rFonts w:ascii="Book Antiqua" w:eastAsia="宋体" w:hAnsi="Book Antiqua" w:cs="宋体"/>
          <w:lang w:eastAsia="zh-CN"/>
        </w:rPr>
        <w:t xml:space="preserve"> </w:t>
      </w:r>
      <w:r w:rsidRPr="00760E24">
        <w:rPr>
          <w:rFonts w:ascii="Book Antiqua" w:eastAsia="宋体" w:hAnsi="Book Antiqua" w:cs="宋体"/>
          <w:i/>
          <w:iCs/>
          <w:lang w:eastAsia="zh-CN"/>
        </w:rPr>
        <w:t>Radiology</w:t>
      </w:r>
      <w:r w:rsidRPr="00760E24">
        <w:rPr>
          <w:rFonts w:ascii="Book Antiqua" w:eastAsia="宋体" w:hAnsi="Book Antiqua" w:cs="宋体"/>
          <w:lang w:eastAsia="zh-CN"/>
        </w:rPr>
        <w:t xml:space="preserve"> 1979; </w:t>
      </w:r>
      <w:r w:rsidRPr="00760E24">
        <w:rPr>
          <w:rFonts w:ascii="Book Antiqua" w:eastAsia="宋体" w:hAnsi="Book Antiqua" w:cs="宋体"/>
          <w:b/>
          <w:bCs/>
          <w:lang w:eastAsia="zh-CN"/>
        </w:rPr>
        <w:t>133</w:t>
      </w:r>
      <w:r w:rsidRPr="00760E24">
        <w:rPr>
          <w:rFonts w:ascii="Book Antiqua" w:eastAsia="宋体" w:hAnsi="Book Antiqua" w:cs="宋体"/>
          <w:lang w:eastAsia="zh-CN"/>
        </w:rPr>
        <w:t>: 703-707 [PMID: 504652 DOI: 10.1148/133.3.703]</w:t>
      </w:r>
    </w:p>
    <w:p w14:paraId="618118AF"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21 </w:t>
      </w:r>
      <w:r w:rsidRPr="00760E24">
        <w:rPr>
          <w:rFonts w:ascii="Book Antiqua" w:eastAsia="宋体" w:hAnsi="Book Antiqua" w:cs="宋体"/>
          <w:b/>
          <w:bCs/>
          <w:lang w:eastAsia="zh-CN"/>
        </w:rPr>
        <w:t>Maple JT</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Ikenberry</w:t>
      </w:r>
      <w:proofErr w:type="spellEnd"/>
      <w:r w:rsidRPr="00760E24">
        <w:rPr>
          <w:rFonts w:ascii="Book Antiqua" w:eastAsia="宋体" w:hAnsi="Book Antiqua" w:cs="宋体"/>
          <w:lang w:eastAsia="zh-CN"/>
        </w:rPr>
        <w:t xml:space="preserve"> SO, Anderson MA, </w:t>
      </w:r>
      <w:proofErr w:type="spellStart"/>
      <w:r w:rsidRPr="00760E24">
        <w:rPr>
          <w:rFonts w:ascii="Book Antiqua" w:eastAsia="宋体" w:hAnsi="Book Antiqua" w:cs="宋体"/>
          <w:lang w:eastAsia="zh-CN"/>
        </w:rPr>
        <w:t>Appalaneni</w:t>
      </w:r>
      <w:proofErr w:type="spellEnd"/>
      <w:r w:rsidRPr="00760E24">
        <w:rPr>
          <w:rFonts w:ascii="Book Antiqua" w:eastAsia="宋体" w:hAnsi="Book Antiqua" w:cs="宋体"/>
          <w:lang w:eastAsia="zh-CN"/>
        </w:rPr>
        <w:t xml:space="preserve"> V, Decker GA, Early D, Evans JA, </w:t>
      </w:r>
      <w:proofErr w:type="spellStart"/>
      <w:r w:rsidRPr="00760E24">
        <w:rPr>
          <w:rFonts w:ascii="Book Antiqua" w:eastAsia="宋体" w:hAnsi="Book Antiqua" w:cs="宋体"/>
          <w:lang w:eastAsia="zh-CN"/>
        </w:rPr>
        <w:t>Fanelli</w:t>
      </w:r>
      <w:proofErr w:type="spellEnd"/>
      <w:r w:rsidRPr="00760E24">
        <w:rPr>
          <w:rFonts w:ascii="Book Antiqua" w:eastAsia="宋体" w:hAnsi="Book Antiqua" w:cs="宋体"/>
          <w:lang w:eastAsia="zh-CN"/>
        </w:rPr>
        <w:t xml:space="preserve"> RD, Fisher D, Fisher L, </w:t>
      </w:r>
      <w:proofErr w:type="spellStart"/>
      <w:r w:rsidRPr="00760E24">
        <w:rPr>
          <w:rFonts w:ascii="Book Antiqua" w:eastAsia="宋体" w:hAnsi="Book Antiqua" w:cs="宋体"/>
          <w:lang w:eastAsia="zh-CN"/>
        </w:rPr>
        <w:t>Fukami</w:t>
      </w:r>
      <w:proofErr w:type="spellEnd"/>
      <w:r w:rsidRPr="00760E24">
        <w:rPr>
          <w:rFonts w:ascii="Book Antiqua" w:eastAsia="宋体" w:hAnsi="Book Antiqua" w:cs="宋体"/>
          <w:lang w:eastAsia="zh-CN"/>
        </w:rPr>
        <w:t xml:space="preserve"> N, Hwang JH, Jain R, </w:t>
      </w:r>
      <w:proofErr w:type="spellStart"/>
      <w:r w:rsidRPr="00760E24">
        <w:rPr>
          <w:rFonts w:ascii="Book Antiqua" w:eastAsia="宋体" w:hAnsi="Book Antiqua" w:cs="宋体"/>
          <w:lang w:eastAsia="zh-CN"/>
        </w:rPr>
        <w:t>Jue</w:t>
      </w:r>
      <w:proofErr w:type="spellEnd"/>
      <w:r w:rsidRPr="00760E24">
        <w:rPr>
          <w:rFonts w:ascii="Book Antiqua" w:eastAsia="宋体" w:hAnsi="Book Antiqua" w:cs="宋体"/>
          <w:lang w:eastAsia="zh-CN"/>
        </w:rPr>
        <w:t xml:space="preserve"> T, Khan K, </w:t>
      </w:r>
      <w:proofErr w:type="spellStart"/>
      <w:r w:rsidRPr="00760E24">
        <w:rPr>
          <w:rFonts w:ascii="Book Antiqua" w:eastAsia="宋体" w:hAnsi="Book Antiqua" w:cs="宋体"/>
          <w:lang w:eastAsia="zh-CN"/>
        </w:rPr>
        <w:t>Krinsky</w:t>
      </w:r>
      <w:proofErr w:type="spellEnd"/>
      <w:r w:rsidRPr="00760E24">
        <w:rPr>
          <w:rFonts w:ascii="Book Antiqua" w:eastAsia="宋体" w:hAnsi="Book Antiqua" w:cs="宋体"/>
          <w:lang w:eastAsia="zh-CN"/>
        </w:rPr>
        <w:t xml:space="preserve"> ML, </w:t>
      </w:r>
      <w:proofErr w:type="spellStart"/>
      <w:r w:rsidRPr="00760E24">
        <w:rPr>
          <w:rFonts w:ascii="Book Antiqua" w:eastAsia="宋体" w:hAnsi="Book Antiqua" w:cs="宋体"/>
          <w:lang w:eastAsia="zh-CN"/>
        </w:rPr>
        <w:t>Malpas</w:t>
      </w:r>
      <w:proofErr w:type="spellEnd"/>
      <w:r w:rsidRPr="00760E24">
        <w:rPr>
          <w:rFonts w:ascii="Book Antiqua" w:eastAsia="宋体" w:hAnsi="Book Antiqua" w:cs="宋体"/>
          <w:lang w:eastAsia="zh-CN"/>
        </w:rPr>
        <w:t xml:space="preserve"> P, Ben-Menachem T, </w:t>
      </w:r>
      <w:proofErr w:type="spellStart"/>
      <w:r w:rsidRPr="00760E24">
        <w:rPr>
          <w:rFonts w:ascii="Book Antiqua" w:eastAsia="宋体" w:hAnsi="Book Antiqua" w:cs="宋体"/>
          <w:lang w:eastAsia="zh-CN"/>
        </w:rPr>
        <w:t>Sharaf</w:t>
      </w:r>
      <w:proofErr w:type="spellEnd"/>
      <w:r w:rsidRPr="00760E24">
        <w:rPr>
          <w:rFonts w:ascii="Book Antiqua" w:eastAsia="宋体" w:hAnsi="Book Antiqua" w:cs="宋体"/>
          <w:lang w:eastAsia="zh-CN"/>
        </w:rPr>
        <w:t xml:space="preserve"> RN, </w:t>
      </w:r>
      <w:proofErr w:type="spellStart"/>
      <w:r w:rsidRPr="00760E24">
        <w:rPr>
          <w:rFonts w:ascii="Book Antiqua" w:eastAsia="宋体" w:hAnsi="Book Antiqua" w:cs="宋体"/>
          <w:lang w:eastAsia="zh-CN"/>
        </w:rPr>
        <w:t>Dominitz</w:t>
      </w:r>
      <w:proofErr w:type="spellEnd"/>
      <w:r w:rsidRPr="00760E24">
        <w:rPr>
          <w:rFonts w:ascii="Book Antiqua" w:eastAsia="宋体" w:hAnsi="Book Antiqua" w:cs="宋体"/>
          <w:lang w:eastAsia="zh-CN"/>
        </w:rPr>
        <w:t xml:space="preserve"> JA. </w:t>
      </w:r>
      <w:proofErr w:type="gramStart"/>
      <w:r w:rsidRPr="00760E24">
        <w:rPr>
          <w:rFonts w:ascii="Book Antiqua" w:eastAsia="宋体" w:hAnsi="Book Antiqua" w:cs="宋体"/>
          <w:lang w:eastAsia="zh-CN"/>
        </w:rPr>
        <w:t xml:space="preserve">The role of endoscopy in the management of </w:t>
      </w:r>
      <w:proofErr w:type="spellStart"/>
      <w:r w:rsidRPr="00760E24">
        <w:rPr>
          <w:rFonts w:ascii="Book Antiqua" w:eastAsia="宋体" w:hAnsi="Book Antiqua" w:cs="宋体"/>
          <w:lang w:eastAsia="zh-CN"/>
        </w:rPr>
        <w:t>choledocholithiasis</w:t>
      </w:r>
      <w:proofErr w:type="spellEnd"/>
      <w:r w:rsidRPr="00760E24">
        <w:rPr>
          <w:rFonts w:ascii="Book Antiqua" w:eastAsia="宋体" w:hAnsi="Book Antiqua" w:cs="宋体"/>
          <w:lang w:eastAsia="zh-CN"/>
        </w:rPr>
        <w:t>.</w:t>
      </w:r>
      <w:proofErr w:type="gramEnd"/>
      <w:r w:rsidRPr="00760E24">
        <w:rPr>
          <w:rFonts w:ascii="Book Antiqua" w:eastAsia="宋体" w:hAnsi="Book Antiqua" w:cs="宋体"/>
          <w:lang w:eastAsia="zh-CN"/>
        </w:rPr>
        <w:t xml:space="preserve"> </w:t>
      </w:r>
      <w:proofErr w:type="spellStart"/>
      <w:r w:rsidRPr="00760E24">
        <w:rPr>
          <w:rFonts w:ascii="Book Antiqua" w:eastAsia="宋体" w:hAnsi="Book Antiqua" w:cs="宋体"/>
          <w:i/>
          <w:iCs/>
          <w:lang w:eastAsia="zh-CN"/>
        </w:rPr>
        <w:t>Gastrointest</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Endosc</w:t>
      </w:r>
      <w:proofErr w:type="spellEnd"/>
      <w:r w:rsidRPr="00760E24">
        <w:rPr>
          <w:rFonts w:ascii="Book Antiqua" w:eastAsia="宋体" w:hAnsi="Book Antiqua" w:cs="宋体"/>
          <w:lang w:eastAsia="zh-CN"/>
        </w:rPr>
        <w:t xml:space="preserve"> 2011; </w:t>
      </w:r>
      <w:r w:rsidRPr="00760E24">
        <w:rPr>
          <w:rFonts w:ascii="Book Antiqua" w:eastAsia="宋体" w:hAnsi="Book Antiqua" w:cs="宋体"/>
          <w:b/>
          <w:bCs/>
          <w:lang w:eastAsia="zh-CN"/>
        </w:rPr>
        <w:t>74</w:t>
      </w:r>
      <w:r w:rsidRPr="00760E24">
        <w:rPr>
          <w:rFonts w:ascii="Book Antiqua" w:eastAsia="宋体" w:hAnsi="Book Antiqua" w:cs="宋体"/>
          <w:lang w:eastAsia="zh-CN"/>
        </w:rPr>
        <w:t>: 731-744 [PMID: 21951472 DOI: 10.1016/j.gie.2011.04.012]</w:t>
      </w:r>
    </w:p>
    <w:p w14:paraId="309CD621" w14:textId="77777777" w:rsidR="00760E24" w:rsidRPr="00760E24" w:rsidRDefault="00760E24" w:rsidP="00760E24">
      <w:pPr>
        <w:spacing w:line="360" w:lineRule="auto"/>
        <w:jc w:val="both"/>
        <w:rPr>
          <w:rFonts w:ascii="Book Antiqua" w:eastAsia="宋体" w:hAnsi="Book Antiqua" w:cs="宋体"/>
          <w:lang w:eastAsia="zh-CN"/>
        </w:rPr>
      </w:pPr>
      <w:proofErr w:type="gramStart"/>
      <w:r w:rsidRPr="00760E24">
        <w:rPr>
          <w:rFonts w:ascii="Book Antiqua" w:eastAsia="宋体" w:hAnsi="Book Antiqua" w:cs="宋体"/>
          <w:lang w:eastAsia="zh-CN"/>
        </w:rPr>
        <w:t xml:space="preserve">22 </w:t>
      </w:r>
      <w:proofErr w:type="spellStart"/>
      <w:r w:rsidRPr="00760E24">
        <w:rPr>
          <w:rFonts w:ascii="Book Antiqua" w:eastAsia="宋体" w:hAnsi="Book Antiqua" w:cs="宋体"/>
          <w:b/>
          <w:bCs/>
          <w:lang w:eastAsia="zh-CN"/>
        </w:rPr>
        <w:t>Tipnis</w:t>
      </w:r>
      <w:proofErr w:type="spellEnd"/>
      <w:r w:rsidRPr="00760E24">
        <w:rPr>
          <w:rFonts w:ascii="Book Antiqua" w:eastAsia="宋体" w:hAnsi="Book Antiqua" w:cs="宋体"/>
          <w:b/>
          <w:bCs/>
          <w:lang w:eastAsia="zh-CN"/>
        </w:rPr>
        <w:t xml:space="preserve"> NA</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Dua</w:t>
      </w:r>
      <w:proofErr w:type="spellEnd"/>
      <w:r w:rsidRPr="00760E24">
        <w:rPr>
          <w:rFonts w:ascii="Book Antiqua" w:eastAsia="宋体" w:hAnsi="Book Antiqua" w:cs="宋体"/>
          <w:lang w:eastAsia="zh-CN"/>
        </w:rPr>
        <w:t xml:space="preserve"> KS, </w:t>
      </w:r>
      <w:proofErr w:type="spellStart"/>
      <w:r w:rsidRPr="00760E24">
        <w:rPr>
          <w:rFonts w:ascii="Book Antiqua" w:eastAsia="宋体" w:hAnsi="Book Antiqua" w:cs="宋体"/>
          <w:lang w:eastAsia="zh-CN"/>
        </w:rPr>
        <w:t>Werlin</w:t>
      </w:r>
      <w:proofErr w:type="spellEnd"/>
      <w:r w:rsidRPr="00760E24">
        <w:rPr>
          <w:rFonts w:ascii="Book Antiqua" w:eastAsia="宋体" w:hAnsi="Book Antiqua" w:cs="宋体"/>
          <w:lang w:eastAsia="zh-CN"/>
        </w:rPr>
        <w:t xml:space="preserve"> SL.</w:t>
      </w:r>
      <w:proofErr w:type="gramEnd"/>
      <w:r w:rsidRPr="00760E24">
        <w:rPr>
          <w:rFonts w:ascii="Book Antiqua" w:eastAsia="宋体" w:hAnsi="Book Antiqua" w:cs="宋体"/>
          <w:lang w:eastAsia="zh-CN"/>
        </w:rPr>
        <w:t xml:space="preserve"> </w:t>
      </w:r>
      <w:proofErr w:type="gramStart"/>
      <w:r w:rsidRPr="00760E24">
        <w:rPr>
          <w:rFonts w:ascii="Book Antiqua" w:eastAsia="宋体" w:hAnsi="Book Antiqua" w:cs="宋体"/>
          <w:lang w:eastAsia="zh-CN"/>
        </w:rPr>
        <w:t>A retrospective assessment of magnetic resonance cholangiopancreatography in children.</w:t>
      </w:r>
      <w:proofErr w:type="gramEnd"/>
      <w:r w:rsidRPr="00760E24">
        <w:rPr>
          <w:rFonts w:ascii="Book Antiqua" w:eastAsia="宋体" w:hAnsi="Book Antiqua" w:cs="宋体"/>
          <w:lang w:eastAsia="zh-CN"/>
        </w:rPr>
        <w:t xml:space="preserve"> </w:t>
      </w:r>
      <w:r w:rsidRPr="00760E24">
        <w:rPr>
          <w:rFonts w:ascii="Book Antiqua" w:eastAsia="宋体" w:hAnsi="Book Antiqua" w:cs="宋体"/>
          <w:i/>
          <w:iCs/>
          <w:lang w:eastAsia="zh-CN"/>
        </w:rPr>
        <w:t xml:space="preserve">J </w:t>
      </w:r>
      <w:proofErr w:type="spellStart"/>
      <w:r w:rsidRPr="00760E24">
        <w:rPr>
          <w:rFonts w:ascii="Book Antiqua" w:eastAsia="宋体" w:hAnsi="Book Antiqua" w:cs="宋体"/>
          <w:i/>
          <w:iCs/>
          <w:lang w:eastAsia="zh-CN"/>
        </w:rPr>
        <w:t>Pediatr</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Gastroenterol</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Nutr</w:t>
      </w:r>
      <w:proofErr w:type="spellEnd"/>
      <w:r w:rsidRPr="00760E24">
        <w:rPr>
          <w:rFonts w:ascii="Book Antiqua" w:eastAsia="宋体" w:hAnsi="Book Antiqua" w:cs="宋体"/>
          <w:lang w:eastAsia="zh-CN"/>
        </w:rPr>
        <w:t xml:space="preserve"> 2008; </w:t>
      </w:r>
      <w:r w:rsidRPr="00760E24">
        <w:rPr>
          <w:rFonts w:ascii="Book Antiqua" w:eastAsia="宋体" w:hAnsi="Book Antiqua" w:cs="宋体"/>
          <w:b/>
          <w:bCs/>
          <w:lang w:eastAsia="zh-CN"/>
        </w:rPr>
        <w:t>46</w:t>
      </w:r>
      <w:r w:rsidRPr="00760E24">
        <w:rPr>
          <w:rFonts w:ascii="Book Antiqua" w:eastAsia="宋体" w:hAnsi="Book Antiqua" w:cs="宋体"/>
          <w:lang w:eastAsia="zh-CN"/>
        </w:rPr>
        <w:t>: 59-64 [PMID: 18162835 DOI: 10.1097/01.mpg.0000304455.76928.0e]</w:t>
      </w:r>
    </w:p>
    <w:p w14:paraId="0BCF80B1" w14:textId="2952BFCD" w:rsidR="00760E24" w:rsidRPr="00760E24" w:rsidRDefault="00760E24" w:rsidP="00760E24">
      <w:pPr>
        <w:spacing w:line="360" w:lineRule="auto"/>
        <w:jc w:val="both"/>
        <w:rPr>
          <w:rFonts w:ascii="Book Antiqua" w:eastAsia="宋体" w:hAnsi="Book Antiqua" w:cs="宋体"/>
          <w:lang w:eastAsia="zh-CN"/>
        </w:rPr>
      </w:pPr>
      <w:proofErr w:type="gramStart"/>
      <w:r w:rsidRPr="00760E24">
        <w:rPr>
          <w:rFonts w:ascii="Book Antiqua" w:eastAsia="宋体" w:hAnsi="Book Antiqua" w:cs="宋体"/>
          <w:lang w:eastAsia="zh-CN"/>
        </w:rPr>
        <w:t xml:space="preserve">23 </w:t>
      </w:r>
      <w:proofErr w:type="spellStart"/>
      <w:r w:rsidRPr="00760E24">
        <w:rPr>
          <w:rFonts w:ascii="Book Antiqua" w:eastAsia="宋体" w:hAnsi="Book Antiqua" w:cs="宋体"/>
          <w:b/>
          <w:bCs/>
          <w:lang w:eastAsia="zh-CN"/>
        </w:rPr>
        <w:t>Fitoz</w:t>
      </w:r>
      <w:proofErr w:type="spellEnd"/>
      <w:r w:rsidRPr="00760E24">
        <w:rPr>
          <w:rFonts w:ascii="Book Antiqua" w:eastAsia="宋体" w:hAnsi="Book Antiqua" w:cs="宋体"/>
          <w:b/>
          <w:bCs/>
          <w:lang w:eastAsia="zh-CN"/>
        </w:rPr>
        <w:t xml:space="preserve"> S</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Erden</w:t>
      </w:r>
      <w:proofErr w:type="spellEnd"/>
      <w:r w:rsidRPr="00760E24">
        <w:rPr>
          <w:rFonts w:ascii="Book Antiqua" w:eastAsia="宋体" w:hAnsi="Book Antiqua" w:cs="宋体"/>
          <w:lang w:eastAsia="zh-CN"/>
        </w:rPr>
        <w:t xml:space="preserve"> A, </w:t>
      </w:r>
      <w:proofErr w:type="spellStart"/>
      <w:r w:rsidRPr="00760E24">
        <w:rPr>
          <w:rFonts w:ascii="Book Antiqua" w:eastAsia="宋体" w:hAnsi="Book Antiqua" w:cs="宋体"/>
          <w:lang w:eastAsia="zh-CN"/>
        </w:rPr>
        <w:t>Boruban</w:t>
      </w:r>
      <w:proofErr w:type="spellEnd"/>
      <w:r w:rsidRPr="00760E24">
        <w:rPr>
          <w:rFonts w:ascii="Book Antiqua" w:eastAsia="宋体" w:hAnsi="Book Antiqua" w:cs="宋体"/>
          <w:lang w:eastAsia="zh-CN"/>
        </w:rPr>
        <w:t xml:space="preserve"> S. Magnetic resonance cholangiopancreatography of biliary system abnormalities in children.</w:t>
      </w:r>
      <w:proofErr w:type="gramEnd"/>
      <w:r w:rsidRPr="00760E24">
        <w:rPr>
          <w:rFonts w:ascii="Book Antiqua" w:eastAsia="宋体" w:hAnsi="Book Antiqua" w:cs="宋体"/>
          <w:lang w:eastAsia="zh-CN"/>
        </w:rPr>
        <w:t xml:space="preserve"> </w:t>
      </w:r>
      <w:proofErr w:type="spellStart"/>
      <w:r w:rsidRPr="00760E24">
        <w:rPr>
          <w:rFonts w:ascii="Book Antiqua" w:eastAsia="宋体" w:hAnsi="Book Antiqua" w:cs="宋体"/>
          <w:i/>
          <w:iCs/>
          <w:lang w:eastAsia="zh-CN"/>
        </w:rPr>
        <w:t>Clin</w:t>
      </w:r>
      <w:proofErr w:type="spellEnd"/>
      <w:r w:rsidRPr="00760E24">
        <w:rPr>
          <w:rFonts w:ascii="Book Antiqua" w:eastAsia="宋体" w:hAnsi="Book Antiqua" w:cs="宋体"/>
          <w:i/>
          <w:iCs/>
          <w:lang w:eastAsia="zh-CN"/>
        </w:rPr>
        <w:t xml:space="preserve"> Imaging</w:t>
      </w:r>
      <w:r w:rsidRPr="00760E24">
        <w:rPr>
          <w:rFonts w:ascii="Book Antiqua" w:eastAsia="宋体" w:hAnsi="Book Antiqua" w:cs="宋体"/>
          <w:lang w:eastAsia="zh-CN"/>
        </w:rPr>
        <w:t xml:space="preserve"> </w:t>
      </w:r>
      <w:r w:rsidR="007F4EE7" w:rsidRPr="00321163">
        <w:rPr>
          <w:rFonts w:ascii="Book Antiqua" w:eastAsia="宋体" w:hAnsi="Book Antiqua" w:cs="宋体" w:hint="eastAsia"/>
          <w:lang w:eastAsia="zh-CN"/>
        </w:rPr>
        <w:t>2007</w:t>
      </w:r>
      <w:r w:rsidRPr="00760E24">
        <w:rPr>
          <w:rFonts w:ascii="Book Antiqua" w:eastAsia="宋体" w:hAnsi="Book Antiqua" w:cs="宋体"/>
          <w:lang w:eastAsia="zh-CN"/>
        </w:rPr>
        <w:t xml:space="preserve">; </w:t>
      </w:r>
      <w:r w:rsidRPr="00760E24">
        <w:rPr>
          <w:rFonts w:ascii="Book Antiqua" w:eastAsia="宋体" w:hAnsi="Book Antiqua" w:cs="宋体"/>
          <w:b/>
          <w:bCs/>
          <w:lang w:eastAsia="zh-CN"/>
        </w:rPr>
        <w:t>31</w:t>
      </w:r>
      <w:r w:rsidRPr="00760E24">
        <w:rPr>
          <w:rFonts w:ascii="Book Antiqua" w:eastAsia="宋体" w:hAnsi="Book Antiqua" w:cs="宋体"/>
          <w:lang w:eastAsia="zh-CN"/>
        </w:rPr>
        <w:t>: 93-101 [PMID: 17320775 DOI: 10.1016/j.clinimag.2006.11.002]</w:t>
      </w:r>
    </w:p>
    <w:p w14:paraId="3288AB77" w14:textId="77777777" w:rsidR="00760E24" w:rsidRPr="00760E24" w:rsidRDefault="00760E24" w:rsidP="00760E24">
      <w:pPr>
        <w:spacing w:line="360" w:lineRule="auto"/>
        <w:jc w:val="both"/>
        <w:rPr>
          <w:rFonts w:ascii="Book Antiqua" w:eastAsia="宋体" w:hAnsi="Book Antiqua" w:cs="宋体"/>
          <w:lang w:eastAsia="zh-CN"/>
        </w:rPr>
      </w:pPr>
      <w:proofErr w:type="gramStart"/>
      <w:r w:rsidRPr="00760E24">
        <w:rPr>
          <w:rFonts w:ascii="Book Antiqua" w:eastAsia="宋体" w:hAnsi="Book Antiqua" w:cs="宋体"/>
          <w:lang w:eastAsia="zh-CN"/>
        </w:rPr>
        <w:t xml:space="preserve">24 </w:t>
      </w:r>
      <w:r w:rsidRPr="00760E24">
        <w:rPr>
          <w:rFonts w:ascii="Book Antiqua" w:eastAsia="宋体" w:hAnsi="Book Antiqua" w:cs="宋体"/>
          <w:b/>
          <w:bCs/>
          <w:lang w:eastAsia="zh-CN"/>
        </w:rPr>
        <w:t>Attila T</w:t>
      </w:r>
      <w:r w:rsidRPr="00760E24">
        <w:rPr>
          <w:rFonts w:ascii="Book Antiqua" w:eastAsia="宋体" w:hAnsi="Book Antiqua" w:cs="宋体"/>
          <w:lang w:eastAsia="zh-CN"/>
        </w:rPr>
        <w:t xml:space="preserve">, Adler DG, Hilden K, </w:t>
      </w:r>
      <w:proofErr w:type="spellStart"/>
      <w:r w:rsidRPr="00760E24">
        <w:rPr>
          <w:rFonts w:ascii="Book Antiqua" w:eastAsia="宋体" w:hAnsi="Book Antiqua" w:cs="宋体"/>
          <w:lang w:eastAsia="zh-CN"/>
        </w:rPr>
        <w:t>Faigel</w:t>
      </w:r>
      <w:proofErr w:type="spellEnd"/>
      <w:r w:rsidRPr="00760E24">
        <w:rPr>
          <w:rFonts w:ascii="Book Antiqua" w:eastAsia="宋体" w:hAnsi="Book Antiqua" w:cs="宋体"/>
          <w:lang w:eastAsia="zh-CN"/>
        </w:rPr>
        <w:t xml:space="preserve"> DO.</w:t>
      </w:r>
      <w:proofErr w:type="gramEnd"/>
      <w:r w:rsidRPr="00760E24">
        <w:rPr>
          <w:rFonts w:ascii="Book Antiqua" w:eastAsia="宋体" w:hAnsi="Book Antiqua" w:cs="宋体"/>
          <w:lang w:eastAsia="zh-CN"/>
        </w:rPr>
        <w:t xml:space="preserve"> </w:t>
      </w:r>
      <w:proofErr w:type="gramStart"/>
      <w:r w:rsidRPr="00760E24">
        <w:rPr>
          <w:rFonts w:ascii="Book Antiqua" w:eastAsia="宋体" w:hAnsi="Book Antiqua" w:cs="宋体"/>
          <w:lang w:eastAsia="zh-CN"/>
        </w:rPr>
        <w:t>EUS in pediatric patients.</w:t>
      </w:r>
      <w:proofErr w:type="gramEnd"/>
      <w:r w:rsidRPr="00760E24">
        <w:rPr>
          <w:rFonts w:ascii="Book Antiqua" w:eastAsia="宋体" w:hAnsi="Book Antiqua" w:cs="宋体"/>
          <w:lang w:eastAsia="zh-CN"/>
        </w:rPr>
        <w:t xml:space="preserve"> </w:t>
      </w:r>
      <w:proofErr w:type="spellStart"/>
      <w:r w:rsidRPr="00760E24">
        <w:rPr>
          <w:rFonts w:ascii="Book Antiqua" w:eastAsia="宋体" w:hAnsi="Book Antiqua" w:cs="宋体"/>
          <w:i/>
          <w:iCs/>
          <w:lang w:eastAsia="zh-CN"/>
        </w:rPr>
        <w:t>Gastrointest</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Endosc</w:t>
      </w:r>
      <w:proofErr w:type="spellEnd"/>
      <w:r w:rsidRPr="00760E24">
        <w:rPr>
          <w:rFonts w:ascii="Book Antiqua" w:eastAsia="宋体" w:hAnsi="Book Antiqua" w:cs="宋体"/>
          <w:lang w:eastAsia="zh-CN"/>
        </w:rPr>
        <w:t xml:space="preserve"> 2009; </w:t>
      </w:r>
      <w:r w:rsidRPr="00760E24">
        <w:rPr>
          <w:rFonts w:ascii="Book Antiqua" w:eastAsia="宋体" w:hAnsi="Book Antiqua" w:cs="宋体"/>
          <w:b/>
          <w:bCs/>
          <w:lang w:eastAsia="zh-CN"/>
        </w:rPr>
        <w:t>70</w:t>
      </w:r>
      <w:r w:rsidRPr="00760E24">
        <w:rPr>
          <w:rFonts w:ascii="Book Antiqua" w:eastAsia="宋体" w:hAnsi="Book Antiqua" w:cs="宋体"/>
          <w:lang w:eastAsia="zh-CN"/>
        </w:rPr>
        <w:t>: 892-898 [PMID: 19577744 DOI: 10.1016/j.gie.2009.04.012]</w:t>
      </w:r>
    </w:p>
    <w:p w14:paraId="4026D1AB"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25 </w:t>
      </w:r>
      <w:proofErr w:type="spellStart"/>
      <w:r w:rsidRPr="00760E24">
        <w:rPr>
          <w:rFonts w:ascii="Book Antiqua" w:eastAsia="宋体" w:hAnsi="Book Antiqua" w:cs="宋体"/>
          <w:b/>
          <w:bCs/>
          <w:lang w:eastAsia="zh-CN"/>
        </w:rPr>
        <w:t>Scheers</w:t>
      </w:r>
      <w:proofErr w:type="spellEnd"/>
      <w:r w:rsidRPr="00760E24">
        <w:rPr>
          <w:rFonts w:ascii="Book Antiqua" w:eastAsia="宋体" w:hAnsi="Book Antiqua" w:cs="宋体"/>
          <w:b/>
          <w:bCs/>
          <w:lang w:eastAsia="zh-CN"/>
        </w:rPr>
        <w:t xml:space="preserve"> I</w:t>
      </w:r>
      <w:r w:rsidRPr="00760E24">
        <w:rPr>
          <w:rFonts w:ascii="Book Antiqua" w:eastAsia="宋体" w:hAnsi="Book Antiqua" w:cs="宋体"/>
          <w:lang w:eastAsia="zh-CN"/>
        </w:rPr>
        <w:t xml:space="preserve">, Ergun M, </w:t>
      </w:r>
      <w:proofErr w:type="spellStart"/>
      <w:r w:rsidRPr="00760E24">
        <w:rPr>
          <w:rFonts w:ascii="Book Antiqua" w:eastAsia="宋体" w:hAnsi="Book Antiqua" w:cs="宋体"/>
          <w:lang w:eastAsia="zh-CN"/>
        </w:rPr>
        <w:t>Aouattah</w:t>
      </w:r>
      <w:proofErr w:type="spellEnd"/>
      <w:r w:rsidRPr="00760E24">
        <w:rPr>
          <w:rFonts w:ascii="Book Antiqua" w:eastAsia="宋体" w:hAnsi="Book Antiqua" w:cs="宋体"/>
          <w:lang w:eastAsia="zh-CN"/>
        </w:rPr>
        <w:t xml:space="preserve"> T, </w:t>
      </w:r>
      <w:proofErr w:type="spellStart"/>
      <w:r w:rsidRPr="00760E24">
        <w:rPr>
          <w:rFonts w:ascii="Book Antiqua" w:eastAsia="宋体" w:hAnsi="Book Antiqua" w:cs="宋体"/>
          <w:lang w:eastAsia="zh-CN"/>
        </w:rPr>
        <w:t>Piessevaux</w:t>
      </w:r>
      <w:proofErr w:type="spellEnd"/>
      <w:r w:rsidRPr="00760E24">
        <w:rPr>
          <w:rFonts w:ascii="Book Antiqua" w:eastAsia="宋体" w:hAnsi="Book Antiqua" w:cs="宋体"/>
          <w:lang w:eastAsia="zh-CN"/>
        </w:rPr>
        <w:t xml:space="preserve"> H, </w:t>
      </w:r>
      <w:proofErr w:type="spellStart"/>
      <w:r w:rsidRPr="00760E24">
        <w:rPr>
          <w:rFonts w:ascii="Book Antiqua" w:eastAsia="宋体" w:hAnsi="Book Antiqua" w:cs="宋体"/>
          <w:lang w:eastAsia="zh-CN"/>
        </w:rPr>
        <w:t>Borbath</w:t>
      </w:r>
      <w:proofErr w:type="spellEnd"/>
      <w:r w:rsidRPr="00760E24">
        <w:rPr>
          <w:rFonts w:ascii="Book Antiqua" w:eastAsia="宋体" w:hAnsi="Book Antiqua" w:cs="宋体"/>
          <w:lang w:eastAsia="zh-CN"/>
        </w:rPr>
        <w:t xml:space="preserve"> I, </w:t>
      </w:r>
      <w:proofErr w:type="spellStart"/>
      <w:r w:rsidRPr="00760E24">
        <w:rPr>
          <w:rFonts w:ascii="Book Antiqua" w:eastAsia="宋体" w:hAnsi="Book Antiqua" w:cs="宋体"/>
          <w:lang w:eastAsia="zh-CN"/>
        </w:rPr>
        <w:t>Stephenne</w:t>
      </w:r>
      <w:proofErr w:type="spellEnd"/>
      <w:r w:rsidRPr="00760E24">
        <w:rPr>
          <w:rFonts w:ascii="Book Antiqua" w:eastAsia="宋体" w:hAnsi="Book Antiqua" w:cs="宋体"/>
          <w:lang w:eastAsia="zh-CN"/>
        </w:rPr>
        <w:t xml:space="preserve"> X, De </w:t>
      </w:r>
      <w:proofErr w:type="spellStart"/>
      <w:r w:rsidRPr="00760E24">
        <w:rPr>
          <w:rFonts w:ascii="Book Antiqua" w:eastAsia="宋体" w:hAnsi="Book Antiqua" w:cs="宋体"/>
          <w:lang w:eastAsia="zh-CN"/>
        </w:rPr>
        <w:t>Magnée</w:t>
      </w:r>
      <w:proofErr w:type="spellEnd"/>
      <w:r w:rsidRPr="00760E24">
        <w:rPr>
          <w:rFonts w:ascii="Book Antiqua" w:eastAsia="宋体" w:hAnsi="Book Antiqua" w:cs="宋体"/>
          <w:lang w:eastAsia="zh-CN"/>
        </w:rPr>
        <w:t xml:space="preserve"> C, </w:t>
      </w:r>
      <w:proofErr w:type="spellStart"/>
      <w:r w:rsidRPr="00760E24">
        <w:rPr>
          <w:rFonts w:ascii="Book Antiqua" w:eastAsia="宋体" w:hAnsi="Book Antiqua" w:cs="宋体"/>
          <w:lang w:eastAsia="zh-CN"/>
        </w:rPr>
        <w:t>Reding</w:t>
      </w:r>
      <w:proofErr w:type="spellEnd"/>
      <w:r w:rsidRPr="00760E24">
        <w:rPr>
          <w:rFonts w:ascii="Book Antiqua" w:eastAsia="宋体" w:hAnsi="Book Antiqua" w:cs="宋体"/>
          <w:lang w:eastAsia="zh-CN"/>
        </w:rPr>
        <w:t xml:space="preserve"> R, </w:t>
      </w:r>
      <w:proofErr w:type="spellStart"/>
      <w:r w:rsidRPr="00760E24">
        <w:rPr>
          <w:rFonts w:ascii="Book Antiqua" w:eastAsia="宋体" w:hAnsi="Book Antiqua" w:cs="宋体"/>
          <w:lang w:eastAsia="zh-CN"/>
        </w:rPr>
        <w:t>Sokal</w:t>
      </w:r>
      <w:proofErr w:type="spellEnd"/>
      <w:r w:rsidRPr="00760E24">
        <w:rPr>
          <w:rFonts w:ascii="Book Antiqua" w:eastAsia="宋体" w:hAnsi="Book Antiqua" w:cs="宋体"/>
          <w:lang w:eastAsia="zh-CN"/>
        </w:rPr>
        <w:t xml:space="preserve"> E, </w:t>
      </w:r>
      <w:proofErr w:type="spellStart"/>
      <w:r w:rsidRPr="00760E24">
        <w:rPr>
          <w:rFonts w:ascii="Book Antiqua" w:eastAsia="宋体" w:hAnsi="Book Antiqua" w:cs="宋体"/>
          <w:lang w:eastAsia="zh-CN"/>
        </w:rPr>
        <w:t>Veyckemans</w:t>
      </w:r>
      <w:proofErr w:type="spellEnd"/>
      <w:r w:rsidRPr="00760E24">
        <w:rPr>
          <w:rFonts w:ascii="Book Antiqua" w:eastAsia="宋体" w:hAnsi="Book Antiqua" w:cs="宋体"/>
          <w:lang w:eastAsia="zh-CN"/>
        </w:rPr>
        <w:t xml:space="preserve"> F, </w:t>
      </w:r>
      <w:proofErr w:type="spellStart"/>
      <w:r w:rsidRPr="00760E24">
        <w:rPr>
          <w:rFonts w:ascii="Book Antiqua" w:eastAsia="宋体" w:hAnsi="Book Antiqua" w:cs="宋体"/>
          <w:lang w:eastAsia="zh-CN"/>
        </w:rPr>
        <w:t>Weynand</w:t>
      </w:r>
      <w:proofErr w:type="spellEnd"/>
      <w:r w:rsidRPr="00760E24">
        <w:rPr>
          <w:rFonts w:ascii="Book Antiqua" w:eastAsia="宋体" w:hAnsi="Book Antiqua" w:cs="宋体"/>
          <w:lang w:eastAsia="zh-CN"/>
        </w:rPr>
        <w:t xml:space="preserve"> B, </w:t>
      </w:r>
      <w:proofErr w:type="spellStart"/>
      <w:r w:rsidRPr="00760E24">
        <w:rPr>
          <w:rFonts w:ascii="Book Antiqua" w:eastAsia="宋体" w:hAnsi="Book Antiqua" w:cs="宋体"/>
          <w:lang w:eastAsia="zh-CN"/>
        </w:rPr>
        <w:t>Deprez</w:t>
      </w:r>
      <w:proofErr w:type="spellEnd"/>
      <w:r w:rsidRPr="00760E24">
        <w:rPr>
          <w:rFonts w:ascii="Book Antiqua" w:eastAsia="宋体" w:hAnsi="Book Antiqua" w:cs="宋体"/>
          <w:lang w:eastAsia="zh-CN"/>
        </w:rPr>
        <w:t xml:space="preserve"> PH. Diagnostic and Therapeutic Roles of Endoscopic Ultrasound in Pediatric </w:t>
      </w:r>
      <w:proofErr w:type="spellStart"/>
      <w:r w:rsidRPr="00760E24">
        <w:rPr>
          <w:rFonts w:ascii="Book Antiqua" w:eastAsia="宋体" w:hAnsi="Book Antiqua" w:cs="宋体"/>
          <w:lang w:eastAsia="zh-CN"/>
        </w:rPr>
        <w:lastRenderedPageBreak/>
        <w:t>Pancreaticobiliary</w:t>
      </w:r>
      <w:proofErr w:type="spellEnd"/>
      <w:r w:rsidRPr="00760E24">
        <w:rPr>
          <w:rFonts w:ascii="Book Antiqua" w:eastAsia="宋体" w:hAnsi="Book Antiqua" w:cs="宋体"/>
          <w:lang w:eastAsia="zh-CN"/>
        </w:rPr>
        <w:t xml:space="preserve"> Disorders. </w:t>
      </w:r>
      <w:r w:rsidRPr="00760E24">
        <w:rPr>
          <w:rFonts w:ascii="Book Antiqua" w:eastAsia="宋体" w:hAnsi="Book Antiqua" w:cs="宋体"/>
          <w:i/>
          <w:iCs/>
          <w:lang w:eastAsia="zh-CN"/>
        </w:rPr>
        <w:t xml:space="preserve">J </w:t>
      </w:r>
      <w:proofErr w:type="spellStart"/>
      <w:r w:rsidRPr="00760E24">
        <w:rPr>
          <w:rFonts w:ascii="Book Antiqua" w:eastAsia="宋体" w:hAnsi="Book Antiqua" w:cs="宋体"/>
          <w:i/>
          <w:iCs/>
          <w:lang w:eastAsia="zh-CN"/>
        </w:rPr>
        <w:t>Pediatr</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Gastroenterol</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Nutr</w:t>
      </w:r>
      <w:proofErr w:type="spellEnd"/>
      <w:r w:rsidRPr="00760E24">
        <w:rPr>
          <w:rFonts w:ascii="Book Antiqua" w:eastAsia="宋体" w:hAnsi="Book Antiqua" w:cs="宋体"/>
          <w:lang w:eastAsia="zh-CN"/>
        </w:rPr>
        <w:t xml:space="preserve"> 2015; </w:t>
      </w:r>
      <w:r w:rsidRPr="00760E24">
        <w:rPr>
          <w:rFonts w:ascii="Book Antiqua" w:eastAsia="宋体" w:hAnsi="Book Antiqua" w:cs="宋体"/>
          <w:b/>
          <w:bCs/>
          <w:lang w:eastAsia="zh-CN"/>
        </w:rPr>
        <w:t>61</w:t>
      </w:r>
      <w:r w:rsidRPr="00760E24">
        <w:rPr>
          <w:rFonts w:ascii="Book Antiqua" w:eastAsia="宋体" w:hAnsi="Book Antiqua" w:cs="宋体"/>
          <w:lang w:eastAsia="zh-CN"/>
        </w:rPr>
        <w:t>: 238-247 [PMID: 25564818 DOI: 10.1097/MPG.0000000000000692]</w:t>
      </w:r>
    </w:p>
    <w:p w14:paraId="2C465401"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26 </w:t>
      </w:r>
      <w:r w:rsidRPr="00760E24">
        <w:rPr>
          <w:rFonts w:ascii="Book Antiqua" w:eastAsia="宋体" w:hAnsi="Book Antiqua" w:cs="宋体"/>
          <w:b/>
          <w:bCs/>
          <w:lang w:eastAsia="zh-CN"/>
        </w:rPr>
        <w:t>Cohen S</w:t>
      </w:r>
      <w:r w:rsidRPr="00760E24">
        <w:rPr>
          <w:rFonts w:ascii="Book Antiqua" w:eastAsia="宋体" w:hAnsi="Book Antiqua" w:cs="宋体"/>
          <w:lang w:eastAsia="zh-CN"/>
        </w:rPr>
        <w:t xml:space="preserve">, Kalinin M, </w:t>
      </w:r>
      <w:proofErr w:type="spellStart"/>
      <w:r w:rsidRPr="00760E24">
        <w:rPr>
          <w:rFonts w:ascii="Book Antiqua" w:eastAsia="宋体" w:hAnsi="Book Antiqua" w:cs="宋体"/>
          <w:lang w:eastAsia="zh-CN"/>
        </w:rPr>
        <w:t>Yaron</w:t>
      </w:r>
      <w:proofErr w:type="spellEnd"/>
      <w:r w:rsidRPr="00760E24">
        <w:rPr>
          <w:rFonts w:ascii="Book Antiqua" w:eastAsia="宋体" w:hAnsi="Book Antiqua" w:cs="宋体"/>
          <w:lang w:eastAsia="zh-CN"/>
        </w:rPr>
        <w:t xml:space="preserve"> A, </w:t>
      </w:r>
      <w:proofErr w:type="spellStart"/>
      <w:r w:rsidRPr="00760E24">
        <w:rPr>
          <w:rFonts w:ascii="Book Antiqua" w:eastAsia="宋体" w:hAnsi="Book Antiqua" w:cs="宋体"/>
          <w:lang w:eastAsia="zh-CN"/>
        </w:rPr>
        <w:t>Givony</w:t>
      </w:r>
      <w:proofErr w:type="spellEnd"/>
      <w:r w:rsidRPr="00760E24">
        <w:rPr>
          <w:rFonts w:ascii="Book Antiqua" w:eastAsia="宋体" w:hAnsi="Book Antiqua" w:cs="宋体"/>
          <w:lang w:eastAsia="zh-CN"/>
        </w:rPr>
        <w:t xml:space="preserve"> S, </w:t>
      </w:r>
      <w:proofErr w:type="spellStart"/>
      <w:r w:rsidRPr="00760E24">
        <w:rPr>
          <w:rFonts w:ascii="Book Antiqua" w:eastAsia="宋体" w:hAnsi="Book Antiqua" w:cs="宋体"/>
          <w:lang w:eastAsia="zh-CN"/>
        </w:rPr>
        <w:t>Reif</w:t>
      </w:r>
      <w:proofErr w:type="spellEnd"/>
      <w:r w:rsidRPr="00760E24">
        <w:rPr>
          <w:rFonts w:ascii="Book Antiqua" w:eastAsia="宋体" w:hAnsi="Book Antiqua" w:cs="宋体"/>
          <w:lang w:eastAsia="zh-CN"/>
        </w:rPr>
        <w:t xml:space="preserve"> S, Santo E. Endoscopic ultrasonography in pediatric patients with gastrointestinal disorders. </w:t>
      </w:r>
      <w:r w:rsidRPr="00760E24">
        <w:rPr>
          <w:rFonts w:ascii="Book Antiqua" w:eastAsia="宋体" w:hAnsi="Book Antiqua" w:cs="宋体"/>
          <w:i/>
          <w:iCs/>
          <w:lang w:eastAsia="zh-CN"/>
        </w:rPr>
        <w:t xml:space="preserve">J </w:t>
      </w:r>
      <w:proofErr w:type="spellStart"/>
      <w:r w:rsidRPr="00760E24">
        <w:rPr>
          <w:rFonts w:ascii="Book Antiqua" w:eastAsia="宋体" w:hAnsi="Book Antiqua" w:cs="宋体"/>
          <w:i/>
          <w:iCs/>
          <w:lang w:eastAsia="zh-CN"/>
        </w:rPr>
        <w:t>Pediatr</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Gastroenterol</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Nutr</w:t>
      </w:r>
      <w:proofErr w:type="spellEnd"/>
      <w:r w:rsidRPr="00760E24">
        <w:rPr>
          <w:rFonts w:ascii="Book Antiqua" w:eastAsia="宋体" w:hAnsi="Book Antiqua" w:cs="宋体"/>
          <w:lang w:eastAsia="zh-CN"/>
        </w:rPr>
        <w:t xml:space="preserve"> 2008; </w:t>
      </w:r>
      <w:r w:rsidRPr="00760E24">
        <w:rPr>
          <w:rFonts w:ascii="Book Antiqua" w:eastAsia="宋体" w:hAnsi="Book Antiqua" w:cs="宋体"/>
          <w:b/>
          <w:bCs/>
          <w:lang w:eastAsia="zh-CN"/>
        </w:rPr>
        <w:t>46</w:t>
      </w:r>
      <w:r w:rsidRPr="00760E24">
        <w:rPr>
          <w:rFonts w:ascii="Book Antiqua" w:eastAsia="宋体" w:hAnsi="Book Antiqua" w:cs="宋体"/>
          <w:lang w:eastAsia="zh-CN"/>
        </w:rPr>
        <w:t>: 551-554 [PMID: 18493211 DOI: 10.1097/MPG.0b013e31815ce571]</w:t>
      </w:r>
    </w:p>
    <w:p w14:paraId="21117DC3" w14:textId="0BA918A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27 </w:t>
      </w:r>
      <w:hyperlink r:id="rId11" w:history="1">
        <w:r w:rsidR="006142F5" w:rsidRPr="00321163">
          <w:rPr>
            <w:rFonts w:ascii="Book Antiqua" w:eastAsia="宋体" w:hAnsi="Book Antiqua" w:cs="宋体"/>
            <w:b/>
            <w:lang w:eastAsia="zh-CN"/>
          </w:rPr>
          <w:t>Gordon K</w:t>
        </w:r>
      </w:hyperlink>
      <w:r w:rsidR="006142F5" w:rsidRPr="00321163">
        <w:rPr>
          <w:rFonts w:ascii="Book Antiqua" w:eastAsia="宋体" w:hAnsi="Book Antiqua" w:cs="宋体"/>
          <w:lang w:eastAsia="zh-CN"/>
        </w:rPr>
        <w:t>, </w:t>
      </w:r>
      <w:hyperlink r:id="rId12" w:history="1">
        <w:r w:rsidR="006142F5" w:rsidRPr="00321163">
          <w:rPr>
            <w:rFonts w:ascii="Book Antiqua" w:eastAsia="宋体" w:hAnsi="Book Antiqua" w:cs="宋体"/>
            <w:lang w:eastAsia="zh-CN"/>
          </w:rPr>
          <w:t>Conway J</w:t>
        </w:r>
      </w:hyperlink>
      <w:r w:rsidR="006142F5" w:rsidRPr="00321163">
        <w:rPr>
          <w:rFonts w:ascii="Book Antiqua" w:eastAsia="宋体" w:hAnsi="Book Antiqua" w:cs="宋体"/>
          <w:lang w:eastAsia="zh-CN"/>
        </w:rPr>
        <w:t>, </w:t>
      </w:r>
      <w:hyperlink r:id="rId13" w:history="1">
        <w:r w:rsidR="006142F5" w:rsidRPr="00321163">
          <w:rPr>
            <w:rFonts w:ascii="Book Antiqua" w:eastAsia="宋体" w:hAnsi="Book Antiqua" w:cs="宋体"/>
            <w:lang w:eastAsia="zh-CN"/>
          </w:rPr>
          <w:t>Evans J</w:t>
        </w:r>
      </w:hyperlink>
      <w:r w:rsidR="006142F5" w:rsidRPr="00321163">
        <w:rPr>
          <w:rFonts w:ascii="Book Antiqua" w:eastAsia="宋体" w:hAnsi="Book Antiqua" w:cs="宋体"/>
          <w:lang w:eastAsia="zh-CN"/>
        </w:rPr>
        <w:t>, </w:t>
      </w:r>
      <w:hyperlink r:id="rId14" w:history="1">
        <w:r w:rsidR="006142F5" w:rsidRPr="00321163">
          <w:rPr>
            <w:rFonts w:ascii="Book Antiqua" w:eastAsia="宋体" w:hAnsi="Book Antiqua" w:cs="宋体"/>
            <w:lang w:eastAsia="zh-CN"/>
          </w:rPr>
          <w:t>Petty J</w:t>
        </w:r>
      </w:hyperlink>
      <w:r w:rsidR="006142F5" w:rsidRPr="00321163">
        <w:rPr>
          <w:rFonts w:ascii="Book Antiqua" w:eastAsia="宋体" w:hAnsi="Book Antiqua" w:cs="宋体"/>
          <w:lang w:eastAsia="zh-CN"/>
        </w:rPr>
        <w:t>, </w:t>
      </w:r>
      <w:hyperlink r:id="rId15" w:history="1">
        <w:r w:rsidR="006142F5" w:rsidRPr="00321163">
          <w:rPr>
            <w:rFonts w:ascii="Book Antiqua" w:eastAsia="宋体" w:hAnsi="Book Antiqua" w:cs="宋体"/>
            <w:lang w:eastAsia="zh-CN"/>
          </w:rPr>
          <w:t>Fortunato JE</w:t>
        </w:r>
      </w:hyperlink>
      <w:r w:rsidR="006142F5" w:rsidRPr="00321163">
        <w:rPr>
          <w:rFonts w:ascii="Book Antiqua" w:eastAsia="宋体" w:hAnsi="Book Antiqua" w:cs="宋体"/>
          <w:lang w:eastAsia="zh-CN"/>
        </w:rPr>
        <w:t>, </w:t>
      </w:r>
      <w:hyperlink r:id="rId16" w:history="1">
        <w:r w:rsidR="006142F5" w:rsidRPr="00321163">
          <w:rPr>
            <w:rFonts w:ascii="Book Antiqua" w:eastAsia="宋体" w:hAnsi="Book Antiqua" w:cs="宋体"/>
            <w:lang w:eastAsia="zh-CN"/>
          </w:rPr>
          <w:t>Mishra G</w:t>
        </w:r>
      </w:hyperlink>
      <w:r w:rsidR="006142F5" w:rsidRPr="00321163">
        <w:rPr>
          <w:rFonts w:ascii="Book Antiqua" w:eastAsia="宋体" w:hAnsi="Book Antiqua" w:cs="宋体"/>
          <w:lang w:eastAsia="zh-CN"/>
        </w:rPr>
        <w:t>.</w:t>
      </w:r>
      <w:r w:rsidRPr="00760E24">
        <w:rPr>
          <w:rFonts w:ascii="Book Antiqua" w:eastAsia="宋体" w:hAnsi="Book Antiqua" w:cs="宋体"/>
          <w:lang w:eastAsia="zh-CN"/>
        </w:rPr>
        <w:t xml:space="preserve"> "EUS and EUS Guided Interventions Alter Clinical Management in Children with Digestive Diseases". </w:t>
      </w:r>
      <w:r w:rsidRPr="00760E24">
        <w:rPr>
          <w:rFonts w:ascii="Book Antiqua" w:eastAsia="宋体" w:hAnsi="Book Antiqua" w:cs="宋体"/>
          <w:i/>
          <w:iCs/>
          <w:lang w:eastAsia="zh-CN"/>
        </w:rPr>
        <w:t xml:space="preserve">J </w:t>
      </w:r>
      <w:proofErr w:type="spellStart"/>
      <w:r w:rsidRPr="00760E24">
        <w:rPr>
          <w:rFonts w:ascii="Book Antiqua" w:eastAsia="宋体" w:hAnsi="Book Antiqua" w:cs="宋体"/>
          <w:i/>
          <w:iCs/>
          <w:lang w:eastAsia="zh-CN"/>
        </w:rPr>
        <w:t>Pediatr</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Gastroenterol</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Nutr</w:t>
      </w:r>
      <w:proofErr w:type="spellEnd"/>
      <w:r w:rsidR="006142F5" w:rsidRPr="00321163">
        <w:rPr>
          <w:rFonts w:ascii="Book Antiqua" w:eastAsia="宋体" w:hAnsi="Book Antiqua" w:cs="宋体"/>
          <w:lang w:eastAsia="zh-CN"/>
        </w:rPr>
        <w:t xml:space="preserve"> 2015</w:t>
      </w:r>
      <w:r w:rsidRPr="00760E24">
        <w:rPr>
          <w:rFonts w:ascii="Book Antiqua" w:eastAsia="宋体" w:hAnsi="Book Antiqua" w:cs="宋体"/>
          <w:lang w:eastAsia="zh-CN"/>
        </w:rPr>
        <w:t>:</w:t>
      </w:r>
      <w:r w:rsidR="006142F5" w:rsidRPr="00321163">
        <w:rPr>
          <w:rFonts w:ascii="Book Antiqua" w:eastAsia="宋体" w:hAnsi="Book Antiqua" w:cs="宋体"/>
          <w:lang w:eastAsia="zh-CN"/>
        </w:rPr>
        <w:t xml:space="preserve"> </w:t>
      </w:r>
      <w:proofErr w:type="spellStart"/>
      <w:r w:rsidR="006142F5" w:rsidRPr="00321163">
        <w:rPr>
          <w:rFonts w:ascii="Book Antiqua" w:eastAsia="宋体" w:hAnsi="Book Antiqua" w:cs="宋体"/>
          <w:lang w:eastAsia="zh-CN"/>
        </w:rPr>
        <w:t>Epub</w:t>
      </w:r>
      <w:proofErr w:type="spellEnd"/>
      <w:r w:rsidR="006142F5" w:rsidRPr="00321163">
        <w:rPr>
          <w:rFonts w:ascii="Book Antiqua" w:eastAsia="宋体" w:hAnsi="Book Antiqua" w:cs="宋体"/>
          <w:lang w:eastAsia="zh-CN"/>
        </w:rPr>
        <w:t xml:space="preserve"> ahead of print</w:t>
      </w:r>
      <w:r w:rsidRPr="00760E24">
        <w:rPr>
          <w:rFonts w:ascii="Book Antiqua" w:eastAsia="宋体" w:hAnsi="Book Antiqua" w:cs="宋体"/>
          <w:lang w:eastAsia="zh-CN"/>
        </w:rPr>
        <w:t xml:space="preserve"> [PMID: 26720768 DOI: 10.1097/MPG.0000000000001101]</w:t>
      </w:r>
    </w:p>
    <w:p w14:paraId="37125BAF"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28 </w:t>
      </w:r>
      <w:r w:rsidRPr="00760E24">
        <w:rPr>
          <w:rFonts w:ascii="Book Antiqua" w:eastAsia="宋体" w:hAnsi="Book Antiqua" w:cs="宋体"/>
          <w:b/>
          <w:bCs/>
          <w:lang w:eastAsia="zh-CN"/>
        </w:rPr>
        <w:t>Adams MA</w:t>
      </w:r>
      <w:r w:rsidRPr="00760E24">
        <w:rPr>
          <w:rFonts w:ascii="Book Antiqua" w:eastAsia="宋体" w:hAnsi="Book Antiqua" w:cs="宋体"/>
          <w:lang w:eastAsia="zh-CN"/>
        </w:rPr>
        <w:t xml:space="preserve">, Hosmer AE, </w:t>
      </w:r>
      <w:proofErr w:type="spellStart"/>
      <w:r w:rsidRPr="00760E24">
        <w:rPr>
          <w:rFonts w:ascii="Book Antiqua" w:eastAsia="宋体" w:hAnsi="Book Antiqua" w:cs="宋体"/>
          <w:lang w:eastAsia="zh-CN"/>
        </w:rPr>
        <w:t>Wamsteker</w:t>
      </w:r>
      <w:proofErr w:type="spellEnd"/>
      <w:r w:rsidRPr="00760E24">
        <w:rPr>
          <w:rFonts w:ascii="Book Antiqua" w:eastAsia="宋体" w:hAnsi="Book Antiqua" w:cs="宋体"/>
          <w:lang w:eastAsia="zh-CN"/>
        </w:rPr>
        <w:t xml:space="preserve"> EJ, Anderson MA, </w:t>
      </w:r>
      <w:proofErr w:type="spellStart"/>
      <w:r w:rsidRPr="00760E24">
        <w:rPr>
          <w:rFonts w:ascii="Book Antiqua" w:eastAsia="宋体" w:hAnsi="Book Antiqua" w:cs="宋体"/>
          <w:lang w:eastAsia="zh-CN"/>
        </w:rPr>
        <w:t>Elta</w:t>
      </w:r>
      <w:proofErr w:type="spellEnd"/>
      <w:r w:rsidRPr="00760E24">
        <w:rPr>
          <w:rFonts w:ascii="Book Antiqua" w:eastAsia="宋体" w:hAnsi="Book Antiqua" w:cs="宋体"/>
          <w:lang w:eastAsia="zh-CN"/>
        </w:rPr>
        <w:t xml:space="preserve"> GH, </w:t>
      </w:r>
      <w:proofErr w:type="spellStart"/>
      <w:r w:rsidRPr="00760E24">
        <w:rPr>
          <w:rFonts w:ascii="Book Antiqua" w:eastAsia="宋体" w:hAnsi="Book Antiqua" w:cs="宋体"/>
          <w:lang w:eastAsia="zh-CN"/>
        </w:rPr>
        <w:t>Kubiliun</w:t>
      </w:r>
      <w:proofErr w:type="spellEnd"/>
      <w:r w:rsidRPr="00760E24">
        <w:rPr>
          <w:rFonts w:ascii="Book Antiqua" w:eastAsia="宋体" w:hAnsi="Book Antiqua" w:cs="宋体"/>
          <w:lang w:eastAsia="zh-CN"/>
        </w:rPr>
        <w:t xml:space="preserve"> NM, Kwon RS, </w:t>
      </w:r>
      <w:proofErr w:type="spellStart"/>
      <w:r w:rsidRPr="00760E24">
        <w:rPr>
          <w:rFonts w:ascii="Book Antiqua" w:eastAsia="宋体" w:hAnsi="Book Antiqua" w:cs="宋体"/>
          <w:lang w:eastAsia="zh-CN"/>
        </w:rPr>
        <w:t>Piraka</w:t>
      </w:r>
      <w:proofErr w:type="spellEnd"/>
      <w:r w:rsidRPr="00760E24">
        <w:rPr>
          <w:rFonts w:ascii="Book Antiqua" w:eastAsia="宋体" w:hAnsi="Book Antiqua" w:cs="宋体"/>
          <w:lang w:eastAsia="zh-CN"/>
        </w:rPr>
        <w:t xml:space="preserve"> CR, </w:t>
      </w:r>
      <w:proofErr w:type="spellStart"/>
      <w:r w:rsidRPr="00760E24">
        <w:rPr>
          <w:rFonts w:ascii="Book Antiqua" w:eastAsia="宋体" w:hAnsi="Book Antiqua" w:cs="宋体"/>
          <w:lang w:eastAsia="zh-CN"/>
        </w:rPr>
        <w:t>Scheiman</w:t>
      </w:r>
      <w:proofErr w:type="spellEnd"/>
      <w:r w:rsidRPr="00760E24">
        <w:rPr>
          <w:rFonts w:ascii="Book Antiqua" w:eastAsia="宋体" w:hAnsi="Book Antiqua" w:cs="宋体"/>
          <w:lang w:eastAsia="zh-CN"/>
        </w:rPr>
        <w:t xml:space="preserve"> JM, </w:t>
      </w:r>
      <w:proofErr w:type="spellStart"/>
      <w:r w:rsidRPr="00760E24">
        <w:rPr>
          <w:rFonts w:ascii="Book Antiqua" w:eastAsia="宋体" w:hAnsi="Book Antiqua" w:cs="宋体"/>
          <w:lang w:eastAsia="zh-CN"/>
        </w:rPr>
        <w:t>Waljee</w:t>
      </w:r>
      <w:proofErr w:type="spellEnd"/>
      <w:r w:rsidRPr="00760E24">
        <w:rPr>
          <w:rFonts w:ascii="Book Antiqua" w:eastAsia="宋体" w:hAnsi="Book Antiqua" w:cs="宋体"/>
          <w:lang w:eastAsia="zh-CN"/>
        </w:rPr>
        <w:t xml:space="preserve"> AK, Hussain HK, </w:t>
      </w:r>
      <w:proofErr w:type="spellStart"/>
      <w:r w:rsidRPr="00760E24">
        <w:rPr>
          <w:rFonts w:ascii="Book Antiqua" w:eastAsia="宋体" w:hAnsi="Book Antiqua" w:cs="宋体"/>
          <w:lang w:eastAsia="zh-CN"/>
        </w:rPr>
        <w:t>Elmunzer</w:t>
      </w:r>
      <w:proofErr w:type="spellEnd"/>
      <w:r w:rsidRPr="00760E24">
        <w:rPr>
          <w:rFonts w:ascii="Book Antiqua" w:eastAsia="宋体" w:hAnsi="Book Antiqua" w:cs="宋体"/>
          <w:lang w:eastAsia="zh-CN"/>
        </w:rPr>
        <w:t xml:space="preserve"> BJ. Predicting the likelihood of a persistent bile duct stone in patients with suspected </w:t>
      </w:r>
      <w:proofErr w:type="spellStart"/>
      <w:r w:rsidRPr="00760E24">
        <w:rPr>
          <w:rFonts w:ascii="Book Antiqua" w:eastAsia="宋体" w:hAnsi="Book Antiqua" w:cs="宋体"/>
          <w:lang w:eastAsia="zh-CN"/>
        </w:rPr>
        <w:t>choledocholithiasis</w:t>
      </w:r>
      <w:proofErr w:type="spellEnd"/>
      <w:r w:rsidRPr="00760E24">
        <w:rPr>
          <w:rFonts w:ascii="Book Antiqua" w:eastAsia="宋体" w:hAnsi="Book Antiqua" w:cs="宋体"/>
          <w:lang w:eastAsia="zh-CN"/>
        </w:rPr>
        <w:t xml:space="preserve">: accuracy of existing guidelines and the impact of laboratory trends. </w:t>
      </w:r>
      <w:proofErr w:type="spellStart"/>
      <w:r w:rsidRPr="00760E24">
        <w:rPr>
          <w:rFonts w:ascii="Book Antiqua" w:eastAsia="宋体" w:hAnsi="Book Antiqua" w:cs="宋体"/>
          <w:i/>
          <w:iCs/>
          <w:lang w:eastAsia="zh-CN"/>
        </w:rPr>
        <w:t>Gastrointest</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Endosc</w:t>
      </w:r>
      <w:proofErr w:type="spellEnd"/>
      <w:r w:rsidRPr="00760E24">
        <w:rPr>
          <w:rFonts w:ascii="Book Antiqua" w:eastAsia="宋体" w:hAnsi="Book Antiqua" w:cs="宋体"/>
          <w:lang w:eastAsia="zh-CN"/>
        </w:rPr>
        <w:t xml:space="preserve"> 2015; </w:t>
      </w:r>
      <w:r w:rsidRPr="00760E24">
        <w:rPr>
          <w:rFonts w:ascii="Book Antiqua" w:eastAsia="宋体" w:hAnsi="Book Antiqua" w:cs="宋体"/>
          <w:b/>
          <w:bCs/>
          <w:lang w:eastAsia="zh-CN"/>
        </w:rPr>
        <w:t>82</w:t>
      </w:r>
      <w:r w:rsidRPr="00760E24">
        <w:rPr>
          <w:rFonts w:ascii="Book Antiqua" w:eastAsia="宋体" w:hAnsi="Book Antiqua" w:cs="宋体"/>
          <w:lang w:eastAsia="zh-CN"/>
        </w:rPr>
        <w:t>: 88-93 [PMID: 25792387 DOI: 10.1016/j.gie.2014.12.023]</w:t>
      </w:r>
    </w:p>
    <w:p w14:paraId="56542B1B"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29 </w:t>
      </w:r>
      <w:proofErr w:type="spellStart"/>
      <w:r w:rsidRPr="00760E24">
        <w:rPr>
          <w:rFonts w:ascii="Book Antiqua" w:eastAsia="宋体" w:hAnsi="Book Antiqua" w:cs="宋体"/>
          <w:b/>
          <w:bCs/>
          <w:lang w:eastAsia="zh-CN"/>
        </w:rPr>
        <w:t>Frossard</w:t>
      </w:r>
      <w:proofErr w:type="spellEnd"/>
      <w:r w:rsidRPr="00760E24">
        <w:rPr>
          <w:rFonts w:ascii="Book Antiqua" w:eastAsia="宋体" w:hAnsi="Book Antiqua" w:cs="宋体"/>
          <w:b/>
          <w:bCs/>
          <w:lang w:eastAsia="zh-CN"/>
        </w:rPr>
        <w:t xml:space="preserve"> JL</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Hadengue</w:t>
      </w:r>
      <w:proofErr w:type="spellEnd"/>
      <w:r w:rsidRPr="00760E24">
        <w:rPr>
          <w:rFonts w:ascii="Book Antiqua" w:eastAsia="宋体" w:hAnsi="Book Antiqua" w:cs="宋体"/>
          <w:lang w:eastAsia="zh-CN"/>
        </w:rPr>
        <w:t xml:space="preserve"> A, </w:t>
      </w:r>
      <w:proofErr w:type="spellStart"/>
      <w:r w:rsidRPr="00760E24">
        <w:rPr>
          <w:rFonts w:ascii="Book Antiqua" w:eastAsia="宋体" w:hAnsi="Book Antiqua" w:cs="宋体"/>
          <w:lang w:eastAsia="zh-CN"/>
        </w:rPr>
        <w:t>Amouyal</w:t>
      </w:r>
      <w:proofErr w:type="spellEnd"/>
      <w:r w:rsidRPr="00760E24">
        <w:rPr>
          <w:rFonts w:ascii="Book Antiqua" w:eastAsia="宋体" w:hAnsi="Book Antiqua" w:cs="宋体"/>
          <w:lang w:eastAsia="zh-CN"/>
        </w:rPr>
        <w:t xml:space="preserve"> G, </w:t>
      </w:r>
      <w:proofErr w:type="spellStart"/>
      <w:r w:rsidRPr="00760E24">
        <w:rPr>
          <w:rFonts w:ascii="Book Antiqua" w:eastAsia="宋体" w:hAnsi="Book Antiqua" w:cs="宋体"/>
          <w:lang w:eastAsia="zh-CN"/>
        </w:rPr>
        <w:t>Choury</w:t>
      </w:r>
      <w:proofErr w:type="spellEnd"/>
      <w:r w:rsidRPr="00760E24">
        <w:rPr>
          <w:rFonts w:ascii="Book Antiqua" w:eastAsia="宋体" w:hAnsi="Book Antiqua" w:cs="宋体"/>
          <w:lang w:eastAsia="zh-CN"/>
        </w:rPr>
        <w:t xml:space="preserve"> A, Marty O, </w:t>
      </w:r>
      <w:proofErr w:type="spellStart"/>
      <w:r w:rsidRPr="00760E24">
        <w:rPr>
          <w:rFonts w:ascii="Book Antiqua" w:eastAsia="宋体" w:hAnsi="Book Antiqua" w:cs="宋体"/>
          <w:lang w:eastAsia="zh-CN"/>
        </w:rPr>
        <w:t>Giostra</w:t>
      </w:r>
      <w:proofErr w:type="spellEnd"/>
      <w:r w:rsidRPr="00760E24">
        <w:rPr>
          <w:rFonts w:ascii="Book Antiqua" w:eastAsia="宋体" w:hAnsi="Book Antiqua" w:cs="宋体"/>
          <w:lang w:eastAsia="zh-CN"/>
        </w:rPr>
        <w:t xml:space="preserve"> E, </w:t>
      </w:r>
      <w:proofErr w:type="spellStart"/>
      <w:r w:rsidRPr="00760E24">
        <w:rPr>
          <w:rFonts w:ascii="Book Antiqua" w:eastAsia="宋体" w:hAnsi="Book Antiqua" w:cs="宋体"/>
          <w:lang w:eastAsia="zh-CN"/>
        </w:rPr>
        <w:t>Sivignon</w:t>
      </w:r>
      <w:proofErr w:type="spellEnd"/>
      <w:r w:rsidRPr="00760E24">
        <w:rPr>
          <w:rFonts w:ascii="Book Antiqua" w:eastAsia="宋体" w:hAnsi="Book Antiqua" w:cs="宋体"/>
          <w:lang w:eastAsia="zh-CN"/>
        </w:rPr>
        <w:t xml:space="preserve"> F, Sosa L, </w:t>
      </w:r>
      <w:proofErr w:type="spellStart"/>
      <w:r w:rsidRPr="00760E24">
        <w:rPr>
          <w:rFonts w:ascii="Book Antiqua" w:eastAsia="宋体" w:hAnsi="Book Antiqua" w:cs="宋体"/>
          <w:lang w:eastAsia="zh-CN"/>
        </w:rPr>
        <w:t>Amouyal</w:t>
      </w:r>
      <w:proofErr w:type="spellEnd"/>
      <w:r w:rsidRPr="00760E24">
        <w:rPr>
          <w:rFonts w:ascii="Book Antiqua" w:eastAsia="宋体" w:hAnsi="Book Antiqua" w:cs="宋体"/>
          <w:lang w:eastAsia="zh-CN"/>
        </w:rPr>
        <w:t xml:space="preserve"> P. </w:t>
      </w:r>
      <w:proofErr w:type="spellStart"/>
      <w:r w:rsidRPr="00760E24">
        <w:rPr>
          <w:rFonts w:ascii="Book Antiqua" w:eastAsia="宋体" w:hAnsi="Book Antiqua" w:cs="宋体"/>
          <w:lang w:eastAsia="zh-CN"/>
        </w:rPr>
        <w:t>Choledocholithiasis</w:t>
      </w:r>
      <w:proofErr w:type="spellEnd"/>
      <w:r w:rsidRPr="00760E24">
        <w:rPr>
          <w:rFonts w:ascii="Book Antiqua" w:eastAsia="宋体" w:hAnsi="Book Antiqua" w:cs="宋体"/>
          <w:lang w:eastAsia="zh-CN"/>
        </w:rPr>
        <w:t xml:space="preserve">: a prospective study of spontaneous common bile duct stone migration. </w:t>
      </w:r>
      <w:proofErr w:type="spellStart"/>
      <w:r w:rsidRPr="00760E24">
        <w:rPr>
          <w:rFonts w:ascii="Book Antiqua" w:eastAsia="宋体" w:hAnsi="Book Antiqua" w:cs="宋体"/>
          <w:i/>
          <w:iCs/>
          <w:lang w:eastAsia="zh-CN"/>
        </w:rPr>
        <w:t>Gastrointest</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Endosc</w:t>
      </w:r>
      <w:proofErr w:type="spellEnd"/>
      <w:r w:rsidRPr="00760E24">
        <w:rPr>
          <w:rFonts w:ascii="Book Antiqua" w:eastAsia="宋体" w:hAnsi="Book Antiqua" w:cs="宋体"/>
          <w:lang w:eastAsia="zh-CN"/>
        </w:rPr>
        <w:t xml:space="preserve"> 2000; </w:t>
      </w:r>
      <w:r w:rsidRPr="00760E24">
        <w:rPr>
          <w:rFonts w:ascii="Book Antiqua" w:eastAsia="宋体" w:hAnsi="Book Antiqua" w:cs="宋体"/>
          <w:b/>
          <w:bCs/>
          <w:lang w:eastAsia="zh-CN"/>
        </w:rPr>
        <w:t>51</w:t>
      </w:r>
      <w:r w:rsidRPr="00760E24">
        <w:rPr>
          <w:rFonts w:ascii="Book Antiqua" w:eastAsia="宋体" w:hAnsi="Book Antiqua" w:cs="宋体"/>
          <w:lang w:eastAsia="zh-CN"/>
        </w:rPr>
        <w:t>: 175-179 [PMID: 10650260 DOI: 10.1016/S0016-5107(00)70414-7]</w:t>
      </w:r>
    </w:p>
    <w:p w14:paraId="76067F2D"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30 </w:t>
      </w:r>
      <w:r w:rsidRPr="00760E24">
        <w:rPr>
          <w:rFonts w:ascii="Book Antiqua" w:eastAsia="宋体" w:hAnsi="Book Antiqua" w:cs="宋体"/>
          <w:b/>
          <w:bCs/>
          <w:lang w:eastAsia="zh-CN"/>
        </w:rPr>
        <w:t>Van Hoof VO</w:t>
      </w:r>
      <w:r w:rsidRPr="00760E24">
        <w:rPr>
          <w:rFonts w:ascii="Book Antiqua" w:eastAsia="宋体" w:hAnsi="Book Antiqua" w:cs="宋体"/>
          <w:lang w:eastAsia="zh-CN"/>
        </w:rPr>
        <w:t xml:space="preserve">, </w:t>
      </w:r>
      <w:proofErr w:type="spellStart"/>
      <w:r w:rsidRPr="00760E24">
        <w:rPr>
          <w:rFonts w:ascii="Book Antiqua" w:eastAsia="宋体" w:hAnsi="Book Antiqua" w:cs="宋体"/>
          <w:lang w:eastAsia="zh-CN"/>
        </w:rPr>
        <w:t>Hoylaerts</w:t>
      </w:r>
      <w:proofErr w:type="spellEnd"/>
      <w:r w:rsidRPr="00760E24">
        <w:rPr>
          <w:rFonts w:ascii="Book Antiqua" w:eastAsia="宋体" w:hAnsi="Book Antiqua" w:cs="宋体"/>
          <w:lang w:eastAsia="zh-CN"/>
        </w:rPr>
        <w:t xml:space="preserve"> MF, </w:t>
      </w:r>
      <w:proofErr w:type="spellStart"/>
      <w:r w:rsidRPr="00760E24">
        <w:rPr>
          <w:rFonts w:ascii="Book Antiqua" w:eastAsia="宋体" w:hAnsi="Book Antiqua" w:cs="宋体"/>
          <w:lang w:eastAsia="zh-CN"/>
        </w:rPr>
        <w:t>Geryl</w:t>
      </w:r>
      <w:proofErr w:type="spellEnd"/>
      <w:r w:rsidRPr="00760E24">
        <w:rPr>
          <w:rFonts w:ascii="Book Antiqua" w:eastAsia="宋体" w:hAnsi="Book Antiqua" w:cs="宋体"/>
          <w:lang w:eastAsia="zh-CN"/>
        </w:rPr>
        <w:t xml:space="preserve"> H, Van </w:t>
      </w:r>
      <w:proofErr w:type="spellStart"/>
      <w:r w:rsidRPr="00760E24">
        <w:rPr>
          <w:rFonts w:ascii="Book Antiqua" w:eastAsia="宋体" w:hAnsi="Book Antiqua" w:cs="宋体"/>
          <w:lang w:eastAsia="zh-CN"/>
        </w:rPr>
        <w:t>Mullem</w:t>
      </w:r>
      <w:proofErr w:type="spellEnd"/>
      <w:r w:rsidRPr="00760E24">
        <w:rPr>
          <w:rFonts w:ascii="Book Antiqua" w:eastAsia="宋体" w:hAnsi="Book Antiqua" w:cs="宋体"/>
          <w:lang w:eastAsia="zh-CN"/>
        </w:rPr>
        <w:t xml:space="preserve"> M, </w:t>
      </w:r>
      <w:proofErr w:type="spellStart"/>
      <w:r w:rsidRPr="00760E24">
        <w:rPr>
          <w:rFonts w:ascii="Book Antiqua" w:eastAsia="宋体" w:hAnsi="Book Antiqua" w:cs="宋体"/>
          <w:lang w:eastAsia="zh-CN"/>
        </w:rPr>
        <w:t>Lepoutre</w:t>
      </w:r>
      <w:proofErr w:type="spellEnd"/>
      <w:r w:rsidRPr="00760E24">
        <w:rPr>
          <w:rFonts w:ascii="Book Antiqua" w:eastAsia="宋体" w:hAnsi="Book Antiqua" w:cs="宋体"/>
          <w:lang w:eastAsia="zh-CN"/>
        </w:rPr>
        <w:t xml:space="preserve"> LG, De </w:t>
      </w:r>
      <w:proofErr w:type="spellStart"/>
      <w:r w:rsidRPr="00760E24">
        <w:rPr>
          <w:rFonts w:ascii="Book Antiqua" w:eastAsia="宋体" w:hAnsi="Book Antiqua" w:cs="宋体"/>
          <w:lang w:eastAsia="zh-CN"/>
        </w:rPr>
        <w:t>Broe</w:t>
      </w:r>
      <w:proofErr w:type="spellEnd"/>
      <w:r w:rsidRPr="00760E24">
        <w:rPr>
          <w:rFonts w:ascii="Book Antiqua" w:eastAsia="宋体" w:hAnsi="Book Antiqua" w:cs="宋体"/>
          <w:lang w:eastAsia="zh-CN"/>
        </w:rPr>
        <w:t xml:space="preserve"> ME. </w:t>
      </w:r>
      <w:proofErr w:type="gramStart"/>
      <w:r w:rsidRPr="00760E24">
        <w:rPr>
          <w:rFonts w:ascii="Book Antiqua" w:eastAsia="宋体" w:hAnsi="Book Antiqua" w:cs="宋体"/>
          <w:lang w:eastAsia="zh-CN"/>
        </w:rPr>
        <w:t>Age and sex distribution of alkaline phosphatase isoenzymes by agarose electrophoresis.</w:t>
      </w:r>
      <w:proofErr w:type="gramEnd"/>
      <w:r w:rsidRPr="00760E24">
        <w:rPr>
          <w:rFonts w:ascii="Book Antiqua" w:eastAsia="宋体" w:hAnsi="Book Antiqua" w:cs="宋体"/>
          <w:lang w:eastAsia="zh-CN"/>
        </w:rPr>
        <w:t xml:space="preserve"> </w:t>
      </w:r>
      <w:proofErr w:type="spellStart"/>
      <w:r w:rsidRPr="00760E24">
        <w:rPr>
          <w:rFonts w:ascii="Book Antiqua" w:eastAsia="宋体" w:hAnsi="Book Antiqua" w:cs="宋体"/>
          <w:i/>
          <w:iCs/>
          <w:lang w:eastAsia="zh-CN"/>
        </w:rPr>
        <w:t>Clin</w:t>
      </w:r>
      <w:proofErr w:type="spellEnd"/>
      <w:r w:rsidRPr="00760E24">
        <w:rPr>
          <w:rFonts w:ascii="Book Antiqua" w:eastAsia="宋体" w:hAnsi="Book Antiqua" w:cs="宋体"/>
          <w:i/>
          <w:iCs/>
          <w:lang w:eastAsia="zh-CN"/>
        </w:rPr>
        <w:t xml:space="preserve"> </w:t>
      </w:r>
      <w:proofErr w:type="spellStart"/>
      <w:r w:rsidRPr="00760E24">
        <w:rPr>
          <w:rFonts w:ascii="Book Antiqua" w:eastAsia="宋体" w:hAnsi="Book Antiqua" w:cs="宋体"/>
          <w:i/>
          <w:iCs/>
          <w:lang w:eastAsia="zh-CN"/>
        </w:rPr>
        <w:t>Chem</w:t>
      </w:r>
      <w:proofErr w:type="spellEnd"/>
      <w:r w:rsidRPr="00760E24">
        <w:rPr>
          <w:rFonts w:ascii="Book Antiqua" w:eastAsia="宋体" w:hAnsi="Book Antiqua" w:cs="宋体"/>
          <w:lang w:eastAsia="zh-CN"/>
        </w:rPr>
        <w:t xml:space="preserve"> 1990; </w:t>
      </w:r>
      <w:r w:rsidRPr="00760E24">
        <w:rPr>
          <w:rFonts w:ascii="Book Antiqua" w:eastAsia="宋体" w:hAnsi="Book Antiqua" w:cs="宋体"/>
          <w:b/>
          <w:bCs/>
          <w:lang w:eastAsia="zh-CN"/>
        </w:rPr>
        <w:t>36</w:t>
      </w:r>
      <w:r w:rsidRPr="00760E24">
        <w:rPr>
          <w:rFonts w:ascii="Book Antiqua" w:eastAsia="宋体" w:hAnsi="Book Antiqua" w:cs="宋体"/>
          <w:lang w:eastAsia="zh-CN"/>
        </w:rPr>
        <w:t>: 875-878 [PMID: 2357825]</w:t>
      </w:r>
    </w:p>
    <w:p w14:paraId="7249CF6A"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31 </w:t>
      </w:r>
      <w:proofErr w:type="spellStart"/>
      <w:r w:rsidRPr="00760E24">
        <w:rPr>
          <w:rFonts w:ascii="Book Antiqua" w:eastAsia="宋体" w:hAnsi="Book Antiqua" w:cs="宋体"/>
          <w:b/>
          <w:bCs/>
          <w:lang w:eastAsia="zh-CN"/>
        </w:rPr>
        <w:t>Bruneton</w:t>
      </w:r>
      <w:proofErr w:type="spellEnd"/>
      <w:r w:rsidRPr="00760E24">
        <w:rPr>
          <w:rFonts w:ascii="Book Antiqua" w:eastAsia="宋体" w:hAnsi="Book Antiqua" w:cs="宋体"/>
          <w:b/>
          <w:bCs/>
          <w:lang w:eastAsia="zh-CN"/>
        </w:rPr>
        <w:t xml:space="preserve"> JN</w:t>
      </w:r>
      <w:r w:rsidRPr="00760E24">
        <w:rPr>
          <w:rFonts w:ascii="Book Antiqua" w:eastAsia="宋体" w:hAnsi="Book Antiqua" w:cs="宋体"/>
          <w:lang w:eastAsia="zh-CN"/>
        </w:rPr>
        <w:t xml:space="preserve">, Roux P, </w:t>
      </w:r>
      <w:proofErr w:type="spellStart"/>
      <w:r w:rsidRPr="00760E24">
        <w:rPr>
          <w:rFonts w:ascii="Book Antiqua" w:eastAsia="宋体" w:hAnsi="Book Antiqua" w:cs="宋体"/>
          <w:lang w:eastAsia="zh-CN"/>
        </w:rPr>
        <w:t>Fenart</w:t>
      </w:r>
      <w:proofErr w:type="spellEnd"/>
      <w:r w:rsidRPr="00760E24">
        <w:rPr>
          <w:rFonts w:ascii="Book Antiqua" w:eastAsia="宋体" w:hAnsi="Book Antiqua" w:cs="宋体"/>
          <w:lang w:eastAsia="zh-CN"/>
        </w:rPr>
        <w:t xml:space="preserve"> D, </w:t>
      </w:r>
      <w:proofErr w:type="spellStart"/>
      <w:r w:rsidRPr="00760E24">
        <w:rPr>
          <w:rFonts w:ascii="Book Antiqua" w:eastAsia="宋体" w:hAnsi="Book Antiqua" w:cs="宋体"/>
          <w:lang w:eastAsia="zh-CN"/>
        </w:rPr>
        <w:t>Caramella</w:t>
      </w:r>
      <w:proofErr w:type="spellEnd"/>
      <w:r w:rsidRPr="00760E24">
        <w:rPr>
          <w:rFonts w:ascii="Book Antiqua" w:eastAsia="宋体" w:hAnsi="Book Antiqua" w:cs="宋体"/>
          <w:lang w:eastAsia="zh-CN"/>
        </w:rPr>
        <w:t xml:space="preserve"> E, </w:t>
      </w:r>
      <w:proofErr w:type="spellStart"/>
      <w:r w:rsidRPr="00760E24">
        <w:rPr>
          <w:rFonts w:ascii="Book Antiqua" w:eastAsia="宋体" w:hAnsi="Book Antiqua" w:cs="宋体"/>
          <w:lang w:eastAsia="zh-CN"/>
        </w:rPr>
        <w:t>Occelli</w:t>
      </w:r>
      <w:proofErr w:type="spellEnd"/>
      <w:r w:rsidRPr="00760E24">
        <w:rPr>
          <w:rFonts w:ascii="Book Antiqua" w:eastAsia="宋体" w:hAnsi="Book Antiqua" w:cs="宋体"/>
          <w:lang w:eastAsia="zh-CN"/>
        </w:rPr>
        <w:t xml:space="preserve"> JP. </w:t>
      </w:r>
      <w:proofErr w:type="gramStart"/>
      <w:r w:rsidRPr="00760E24">
        <w:rPr>
          <w:rFonts w:ascii="Book Antiqua" w:eastAsia="宋体" w:hAnsi="Book Antiqua" w:cs="宋体"/>
          <w:lang w:eastAsia="zh-CN"/>
        </w:rPr>
        <w:t>Ultrasound evaluation of common bile duct size in normal adult patients and following cholecystectomy.</w:t>
      </w:r>
      <w:proofErr w:type="gramEnd"/>
      <w:r w:rsidRPr="00760E24">
        <w:rPr>
          <w:rFonts w:ascii="Book Antiqua" w:eastAsia="宋体" w:hAnsi="Book Antiqua" w:cs="宋体"/>
          <w:lang w:eastAsia="zh-CN"/>
        </w:rPr>
        <w:t xml:space="preserve"> </w:t>
      </w:r>
      <w:proofErr w:type="gramStart"/>
      <w:r w:rsidRPr="00760E24">
        <w:rPr>
          <w:rFonts w:ascii="Book Antiqua" w:eastAsia="宋体" w:hAnsi="Book Antiqua" w:cs="宋体"/>
          <w:lang w:eastAsia="zh-CN"/>
        </w:rPr>
        <w:t>A report of 750 cases.</w:t>
      </w:r>
      <w:proofErr w:type="gramEnd"/>
      <w:r w:rsidRPr="00760E24">
        <w:rPr>
          <w:rFonts w:ascii="Book Antiqua" w:eastAsia="宋体" w:hAnsi="Book Antiqua" w:cs="宋体"/>
          <w:lang w:eastAsia="zh-CN"/>
        </w:rPr>
        <w:t xml:space="preserve"> </w:t>
      </w:r>
      <w:proofErr w:type="spellStart"/>
      <w:r w:rsidRPr="00760E24">
        <w:rPr>
          <w:rFonts w:ascii="Book Antiqua" w:eastAsia="宋体" w:hAnsi="Book Antiqua" w:cs="宋体"/>
          <w:i/>
          <w:iCs/>
          <w:lang w:eastAsia="zh-CN"/>
        </w:rPr>
        <w:t>Eur</w:t>
      </w:r>
      <w:proofErr w:type="spellEnd"/>
      <w:r w:rsidRPr="00760E24">
        <w:rPr>
          <w:rFonts w:ascii="Book Antiqua" w:eastAsia="宋体" w:hAnsi="Book Antiqua" w:cs="宋体"/>
          <w:i/>
          <w:iCs/>
          <w:lang w:eastAsia="zh-CN"/>
        </w:rPr>
        <w:t xml:space="preserve"> J </w:t>
      </w:r>
      <w:proofErr w:type="spellStart"/>
      <w:r w:rsidRPr="00760E24">
        <w:rPr>
          <w:rFonts w:ascii="Book Antiqua" w:eastAsia="宋体" w:hAnsi="Book Antiqua" w:cs="宋体"/>
          <w:i/>
          <w:iCs/>
          <w:lang w:eastAsia="zh-CN"/>
        </w:rPr>
        <w:t>Radiol</w:t>
      </w:r>
      <w:proofErr w:type="spellEnd"/>
      <w:r w:rsidRPr="00760E24">
        <w:rPr>
          <w:rFonts w:ascii="Book Antiqua" w:eastAsia="宋体" w:hAnsi="Book Antiqua" w:cs="宋体"/>
          <w:lang w:eastAsia="zh-CN"/>
        </w:rPr>
        <w:t xml:space="preserve"> 1981; </w:t>
      </w:r>
      <w:r w:rsidRPr="00760E24">
        <w:rPr>
          <w:rFonts w:ascii="Book Antiqua" w:eastAsia="宋体" w:hAnsi="Book Antiqua" w:cs="宋体"/>
          <w:b/>
          <w:bCs/>
          <w:lang w:eastAsia="zh-CN"/>
        </w:rPr>
        <w:t>1</w:t>
      </w:r>
      <w:r w:rsidRPr="00760E24">
        <w:rPr>
          <w:rFonts w:ascii="Book Antiqua" w:eastAsia="宋体" w:hAnsi="Book Antiqua" w:cs="宋体"/>
          <w:lang w:eastAsia="zh-CN"/>
        </w:rPr>
        <w:t>: 171-172 [PMID: 7338243]</w:t>
      </w:r>
    </w:p>
    <w:p w14:paraId="14A70F45"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t xml:space="preserve">32 </w:t>
      </w:r>
      <w:proofErr w:type="spellStart"/>
      <w:r w:rsidRPr="00760E24">
        <w:rPr>
          <w:rFonts w:ascii="Book Antiqua" w:eastAsia="宋体" w:hAnsi="Book Antiqua" w:cs="宋体"/>
          <w:b/>
          <w:bCs/>
          <w:lang w:eastAsia="zh-CN"/>
        </w:rPr>
        <w:t>Bachar</w:t>
      </w:r>
      <w:proofErr w:type="spellEnd"/>
      <w:r w:rsidRPr="00760E24">
        <w:rPr>
          <w:rFonts w:ascii="Book Antiqua" w:eastAsia="宋体" w:hAnsi="Book Antiqua" w:cs="宋体"/>
          <w:b/>
          <w:bCs/>
          <w:lang w:eastAsia="zh-CN"/>
        </w:rPr>
        <w:t xml:space="preserve"> GN</w:t>
      </w:r>
      <w:r w:rsidRPr="00760E24">
        <w:rPr>
          <w:rFonts w:ascii="Book Antiqua" w:eastAsia="宋体" w:hAnsi="Book Antiqua" w:cs="宋体"/>
          <w:lang w:eastAsia="zh-CN"/>
        </w:rPr>
        <w:t xml:space="preserve">, Cohen M, </w:t>
      </w:r>
      <w:proofErr w:type="spellStart"/>
      <w:r w:rsidRPr="00760E24">
        <w:rPr>
          <w:rFonts w:ascii="Book Antiqua" w:eastAsia="宋体" w:hAnsi="Book Antiqua" w:cs="宋体"/>
          <w:lang w:eastAsia="zh-CN"/>
        </w:rPr>
        <w:t>Belenky</w:t>
      </w:r>
      <w:proofErr w:type="spellEnd"/>
      <w:r w:rsidRPr="00760E24">
        <w:rPr>
          <w:rFonts w:ascii="Book Antiqua" w:eastAsia="宋体" w:hAnsi="Book Antiqua" w:cs="宋体"/>
          <w:lang w:eastAsia="zh-CN"/>
        </w:rPr>
        <w:t xml:space="preserve"> A, </w:t>
      </w:r>
      <w:proofErr w:type="spellStart"/>
      <w:r w:rsidRPr="00760E24">
        <w:rPr>
          <w:rFonts w:ascii="Book Antiqua" w:eastAsia="宋体" w:hAnsi="Book Antiqua" w:cs="宋体"/>
          <w:lang w:eastAsia="zh-CN"/>
        </w:rPr>
        <w:t>Atar</w:t>
      </w:r>
      <w:proofErr w:type="spellEnd"/>
      <w:r w:rsidRPr="00760E24">
        <w:rPr>
          <w:rFonts w:ascii="Book Antiqua" w:eastAsia="宋体" w:hAnsi="Book Antiqua" w:cs="宋体"/>
          <w:lang w:eastAsia="zh-CN"/>
        </w:rPr>
        <w:t xml:space="preserve"> E, Gideon S. Effect of aging on the adult extrahepatic bile duct: a sonographic study. </w:t>
      </w:r>
      <w:r w:rsidRPr="00760E24">
        <w:rPr>
          <w:rFonts w:ascii="Book Antiqua" w:eastAsia="宋体" w:hAnsi="Book Antiqua" w:cs="宋体"/>
          <w:i/>
          <w:iCs/>
          <w:lang w:eastAsia="zh-CN"/>
        </w:rPr>
        <w:t>J Ultrasound Med</w:t>
      </w:r>
      <w:r w:rsidRPr="00760E24">
        <w:rPr>
          <w:rFonts w:ascii="Book Antiqua" w:eastAsia="宋体" w:hAnsi="Book Antiqua" w:cs="宋体"/>
          <w:lang w:eastAsia="zh-CN"/>
        </w:rPr>
        <w:t xml:space="preserve"> 2003; </w:t>
      </w:r>
      <w:r w:rsidRPr="00760E24">
        <w:rPr>
          <w:rFonts w:ascii="Book Antiqua" w:eastAsia="宋体" w:hAnsi="Book Antiqua" w:cs="宋体"/>
          <w:b/>
          <w:bCs/>
          <w:lang w:eastAsia="zh-CN"/>
        </w:rPr>
        <w:t>22</w:t>
      </w:r>
      <w:r w:rsidRPr="00760E24">
        <w:rPr>
          <w:rFonts w:ascii="Book Antiqua" w:eastAsia="宋体" w:hAnsi="Book Antiqua" w:cs="宋体"/>
          <w:lang w:eastAsia="zh-CN"/>
        </w:rPr>
        <w:t>: 879-82; quiz 883-5 [PMID: 14510259]</w:t>
      </w:r>
    </w:p>
    <w:p w14:paraId="680183FC" w14:textId="77777777" w:rsidR="00760E24" w:rsidRPr="00760E24" w:rsidRDefault="00760E24" w:rsidP="00760E24">
      <w:pPr>
        <w:spacing w:line="360" w:lineRule="auto"/>
        <w:jc w:val="both"/>
        <w:rPr>
          <w:rFonts w:ascii="Book Antiqua" w:eastAsia="宋体" w:hAnsi="Book Antiqua" w:cs="宋体"/>
          <w:lang w:eastAsia="zh-CN"/>
        </w:rPr>
      </w:pPr>
      <w:r w:rsidRPr="00760E24">
        <w:rPr>
          <w:rFonts w:ascii="Book Antiqua" w:eastAsia="宋体" w:hAnsi="Book Antiqua" w:cs="宋体"/>
          <w:lang w:eastAsia="zh-CN"/>
        </w:rPr>
        <w:lastRenderedPageBreak/>
        <w:t xml:space="preserve">33 </w:t>
      </w:r>
      <w:proofErr w:type="spellStart"/>
      <w:r w:rsidRPr="00760E24">
        <w:rPr>
          <w:rFonts w:ascii="Book Antiqua" w:eastAsia="宋体" w:hAnsi="Book Antiqua" w:cs="宋体"/>
          <w:b/>
          <w:bCs/>
          <w:lang w:eastAsia="zh-CN"/>
        </w:rPr>
        <w:t>Cai</w:t>
      </w:r>
      <w:proofErr w:type="spellEnd"/>
      <w:r w:rsidRPr="00760E24">
        <w:rPr>
          <w:rFonts w:ascii="Book Antiqua" w:eastAsia="宋体" w:hAnsi="Book Antiqua" w:cs="宋体"/>
          <w:b/>
          <w:bCs/>
          <w:lang w:eastAsia="zh-CN"/>
        </w:rPr>
        <w:t xml:space="preserve"> H</w:t>
      </w:r>
      <w:r w:rsidRPr="00760E24">
        <w:rPr>
          <w:rFonts w:ascii="Book Antiqua" w:eastAsia="宋体" w:hAnsi="Book Antiqua" w:cs="宋体"/>
          <w:lang w:eastAsia="zh-CN"/>
        </w:rPr>
        <w:t xml:space="preserve">, Kong WT, Chen CB, Shi GM, Huang C, Shen YH, Sun HC. </w:t>
      </w:r>
      <w:proofErr w:type="spellStart"/>
      <w:r w:rsidRPr="00760E24">
        <w:rPr>
          <w:rFonts w:ascii="Book Antiqua" w:eastAsia="宋体" w:hAnsi="Book Antiqua" w:cs="宋体"/>
          <w:lang w:eastAsia="zh-CN"/>
        </w:rPr>
        <w:t>Cholelithiasis</w:t>
      </w:r>
      <w:proofErr w:type="spellEnd"/>
      <w:r w:rsidRPr="00760E24">
        <w:rPr>
          <w:rFonts w:ascii="Book Antiqua" w:eastAsia="宋体" w:hAnsi="Book Antiqua" w:cs="宋体"/>
          <w:lang w:eastAsia="zh-CN"/>
        </w:rPr>
        <w:t xml:space="preserve"> and the risk of intrahepatic cholangiocarcinoma: a meta-analysis of observational studies. </w:t>
      </w:r>
      <w:r w:rsidRPr="00760E24">
        <w:rPr>
          <w:rFonts w:ascii="Book Antiqua" w:eastAsia="宋体" w:hAnsi="Book Antiqua" w:cs="宋体"/>
          <w:i/>
          <w:iCs/>
          <w:lang w:eastAsia="zh-CN"/>
        </w:rPr>
        <w:t>BMC Cancer</w:t>
      </w:r>
      <w:r w:rsidRPr="00760E24">
        <w:rPr>
          <w:rFonts w:ascii="Book Antiqua" w:eastAsia="宋体" w:hAnsi="Book Antiqua" w:cs="宋体"/>
          <w:lang w:eastAsia="zh-CN"/>
        </w:rPr>
        <w:t xml:space="preserve"> 2015; </w:t>
      </w:r>
      <w:r w:rsidRPr="00760E24">
        <w:rPr>
          <w:rFonts w:ascii="Book Antiqua" w:eastAsia="宋体" w:hAnsi="Book Antiqua" w:cs="宋体"/>
          <w:b/>
          <w:bCs/>
          <w:lang w:eastAsia="zh-CN"/>
        </w:rPr>
        <w:t>15</w:t>
      </w:r>
      <w:r w:rsidRPr="00760E24">
        <w:rPr>
          <w:rFonts w:ascii="Book Antiqua" w:eastAsia="宋体" w:hAnsi="Book Antiqua" w:cs="宋体"/>
          <w:lang w:eastAsia="zh-CN"/>
        </w:rPr>
        <w:t>: 831 [PMID: 26526500 DOI: 10.1186/s12885-015-1870-0]</w:t>
      </w:r>
    </w:p>
    <w:p w14:paraId="3832F449" w14:textId="77777777" w:rsidR="0076778B" w:rsidRPr="00321163" w:rsidRDefault="0076778B" w:rsidP="00760E24">
      <w:pPr>
        <w:spacing w:line="360" w:lineRule="auto"/>
        <w:jc w:val="both"/>
        <w:rPr>
          <w:rFonts w:ascii="Book Antiqua" w:eastAsia="宋体" w:hAnsi="Book Antiqua"/>
          <w:b/>
          <w:lang w:eastAsia="zh-CN"/>
        </w:rPr>
      </w:pPr>
    </w:p>
    <w:p w14:paraId="15D26BF7" w14:textId="463DEE21" w:rsidR="0076778B" w:rsidRPr="00321163" w:rsidRDefault="0076778B" w:rsidP="007E4065">
      <w:pPr>
        <w:spacing w:line="360" w:lineRule="auto"/>
        <w:jc w:val="right"/>
        <w:rPr>
          <w:rFonts w:ascii="Book Antiqua" w:eastAsia="宋体" w:hAnsi="Book Antiqua"/>
          <w:b/>
          <w:lang w:eastAsia="zh-CN"/>
        </w:rPr>
      </w:pPr>
      <w:r w:rsidRPr="00321163">
        <w:rPr>
          <w:rFonts w:ascii="Book Antiqua" w:hAnsi="Book Antiqua"/>
          <w:b/>
        </w:rPr>
        <w:t xml:space="preserve">P-Reviewer: </w:t>
      </w:r>
      <w:r w:rsidR="00346D15" w:rsidRPr="00321163">
        <w:rPr>
          <w:rFonts w:ascii="Book Antiqua" w:hAnsi="Book Antiqua"/>
        </w:rPr>
        <w:t>Chen</w:t>
      </w:r>
      <w:r w:rsidR="00346D15" w:rsidRPr="00321163">
        <w:rPr>
          <w:rFonts w:ascii="Book Antiqua" w:eastAsia="宋体" w:hAnsi="Book Antiqua"/>
          <w:lang w:eastAsia="zh-CN"/>
        </w:rPr>
        <w:t xml:space="preserve"> CH, </w:t>
      </w:r>
      <w:r w:rsidR="00346D15" w:rsidRPr="00321163">
        <w:rPr>
          <w:rFonts w:ascii="Book Antiqua" w:hAnsi="Book Antiqua"/>
        </w:rPr>
        <w:t>Lai</w:t>
      </w:r>
      <w:r w:rsidR="00346D15" w:rsidRPr="00321163">
        <w:rPr>
          <w:rFonts w:ascii="Book Antiqua" w:eastAsia="宋体" w:hAnsi="Book Antiqua"/>
          <w:lang w:eastAsia="zh-CN"/>
        </w:rPr>
        <w:t xml:space="preserve"> KH, </w:t>
      </w:r>
      <w:proofErr w:type="spellStart"/>
      <w:r w:rsidR="00346D15" w:rsidRPr="00321163">
        <w:rPr>
          <w:rFonts w:ascii="Book Antiqua" w:hAnsi="Book Antiqua"/>
        </w:rPr>
        <w:t>Sergi</w:t>
      </w:r>
      <w:proofErr w:type="spellEnd"/>
      <w:r w:rsidR="00346D15" w:rsidRPr="00321163">
        <w:rPr>
          <w:rFonts w:ascii="Book Antiqua" w:eastAsia="宋体" w:hAnsi="Book Antiqua"/>
          <w:lang w:eastAsia="zh-CN"/>
        </w:rPr>
        <w:t xml:space="preserve"> CM, </w:t>
      </w:r>
      <w:r w:rsidR="00346D15" w:rsidRPr="00321163">
        <w:rPr>
          <w:rFonts w:ascii="Book Antiqua" w:hAnsi="Book Antiqua"/>
        </w:rPr>
        <w:t>Sun</w:t>
      </w:r>
      <w:r w:rsidR="00346D15" w:rsidRPr="00321163">
        <w:rPr>
          <w:rFonts w:ascii="Book Antiqua" w:eastAsia="宋体" w:hAnsi="Book Antiqua"/>
          <w:lang w:eastAsia="zh-CN"/>
        </w:rPr>
        <w:t xml:space="preserve"> LM </w:t>
      </w:r>
      <w:r w:rsidRPr="00321163">
        <w:rPr>
          <w:rFonts w:ascii="Book Antiqua" w:hAnsi="Book Antiqua"/>
          <w:b/>
        </w:rPr>
        <w:t xml:space="preserve">S-Editor: </w:t>
      </w:r>
      <w:r w:rsidRPr="00321163">
        <w:rPr>
          <w:rFonts w:ascii="Book Antiqua" w:hAnsi="Book Antiqua"/>
        </w:rPr>
        <w:t>Ji FF</w:t>
      </w:r>
      <w:r w:rsidRPr="00321163">
        <w:rPr>
          <w:rFonts w:ascii="Book Antiqua" w:hAnsi="Book Antiqua"/>
          <w:b/>
        </w:rPr>
        <w:t xml:space="preserve"> L-Editor: E-Editor:</w:t>
      </w:r>
    </w:p>
    <w:p w14:paraId="40346558" w14:textId="6C8B552E" w:rsidR="0076778B" w:rsidRPr="00321163" w:rsidRDefault="0076778B" w:rsidP="00760E24">
      <w:pPr>
        <w:spacing w:line="360" w:lineRule="auto"/>
        <w:jc w:val="both"/>
        <w:rPr>
          <w:rFonts w:ascii="Book Antiqua" w:eastAsia="宋体" w:hAnsi="Book Antiqua"/>
          <w:lang w:eastAsia="zh-CN"/>
        </w:rPr>
      </w:pPr>
      <w:r w:rsidRPr="00321163">
        <w:rPr>
          <w:rFonts w:ascii="Book Antiqua" w:eastAsia="宋体" w:hAnsi="Book Antiqua"/>
          <w:lang w:eastAsia="zh-CN"/>
        </w:rPr>
        <w:br w:type="page"/>
      </w:r>
    </w:p>
    <w:p w14:paraId="124C6611" w14:textId="0B42D92D" w:rsidR="006C42CB" w:rsidRPr="00321163" w:rsidRDefault="006D6D41" w:rsidP="00CA6249">
      <w:pPr>
        <w:spacing w:line="360" w:lineRule="auto"/>
        <w:jc w:val="both"/>
        <w:rPr>
          <w:rFonts w:ascii="Book Antiqua" w:hAnsi="Book Antiqua"/>
        </w:rPr>
      </w:pPr>
      <w:r w:rsidRPr="00321163">
        <w:rPr>
          <w:rFonts w:ascii="Book Antiqua" w:hAnsi="Book Antiqua"/>
          <w:noProof/>
          <w:lang w:eastAsia="en-US"/>
        </w:rPr>
        <w:lastRenderedPageBreak/>
        <w:drawing>
          <wp:inline distT="0" distB="0" distL="0" distR="0" wp14:anchorId="3804223C" wp14:editId="5D1C325A">
            <wp:extent cx="5486400" cy="5144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graph.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5144770"/>
                    </a:xfrm>
                    <a:prstGeom prst="rect">
                      <a:avLst/>
                    </a:prstGeom>
                  </pic:spPr>
                </pic:pic>
              </a:graphicData>
            </a:graphic>
          </wp:inline>
        </w:drawing>
      </w:r>
    </w:p>
    <w:p w14:paraId="17F454D9" w14:textId="77777777" w:rsidR="006C42CB" w:rsidRPr="00321163" w:rsidRDefault="006C42CB" w:rsidP="00CA6249">
      <w:pPr>
        <w:spacing w:line="360" w:lineRule="auto"/>
        <w:jc w:val="both"/>
        <w:rPr>
          <w:rFonts w:ascii="Book Antiqua" w:hAnsi="Book Antiqua"/>
        </w:rPr>
      </w:pPr>
    </w:p>
    <w:p w14:paraId="6FAB495E" w14:textId="235951A9" w:rsidR="007E1300" w:rsidRPr="00321163" w:rsidRDefault="007E1300" w:rsidP="007E1300">
      <w:pPr>
        <w:spacing w:line="360" w:lineRule="auto"/>
        <w:jc w:val="both"/>
        <w:rPr>
          <w:rFonts w:ascii="Book Antiqua" w:hAnsi="Book Antiqua" w:cs="Arial"/>
        </w:rPr>
      </w:pPr>
      <w:r w:rsidRPr="00321163">
        <w:rPr>
          <w:rFonts w:ascii="Book Antiqua" w:hAnsi="Book Antiqua"/>
          <w:b/>
        </w:rPr>
        <w:t xml:space="preserve">Figure 1 Laboratory comparison of patients with common bile duct stones at </w:t>
      </w:r>
      <w:r w:rsidRPr="00321163">
        <w:rPr>
          <w:rFonts w:ascii="Book Antiqua" w:eastAsia="宋体" w:hAnsi="Book Antiqua"/>
          <w:b/>
          <w:lang w:eastAsia="zh-CN"/>
        </w:rPr>
        <w:t>endoscopic retrograde cholangiography</w:t>
      </w:r>
      <w:r w:rsidRPr="00321163">
        <w:rPr>
          <w:rFonts w:ascii="Book Antiqua" w:eastAsia="宋体" w:hAnsi="Book Antiqua" w:hint="eastAsia"/>
          <w:b/>
          <w:lang w:eastAsia="zh-CN"/>
        </w:rPr>
        <w:t>.</w:t>
      </w:r>
      <w:r w:rsidR="00922966" w:rsidRPr="00321163">
        <w:rPr>
          <w:rFonts w:ascii="Book Antiqua" w:hAnsi="Book Antiqua"/>
          <w:b/>
        </w:rPr>
        <w:t xml:space="preserve"> </w:t>
      </w:r>
      <w:r w:rsidRPr="00321163">
        <w:rPr>
          <w:rFonts w:ascii="Book Antiqua" w:hAnsi="Book Antiqua"/>
        </w:rPr>
        <w:t>Laboratory parameters (conjugated bilirubin, total bilirubin, alanine aminotransferase (ALT), and gamma-</w:t>
      </w:r>
      <w:proofErr w:type="spellStart"/>
      <w:r w:rsidRPr="00321163">
        <w:rPr>
          <w:rFonts w:ascii="Book Antiqua" w:hAnsi="Book Antiqua"/>
        </w:rPr>
        <w:t>glutamyl</w:t>
      </w:r>
      <w:proofErr w:type="spellEnd"/>
      <w:r w:rsidRPr="00321163">
        <w:rPr>
          <w:rFonts w:ascii="Book Antiqua" w:hAnsi="Book Antiqua"/>
        </w:rPr>
        <w:t xml:space="preserve"> transferase</w:t>
      </w:r>
      <w:r w:rsidRPr="00321163">
        <w:rPr>
          <w:rFonts w:ascii="Book Antiqua" w:eastAsia="宋体" w:hAnsi="Book Antiqua"/>
          <w:lang w:eastAsia="zh-CN"/>
        </w:rPr>
        <w:t xml:space="preserve"> </w:t>
      </w:r>
      <w:r w:rsidRPr="00321163">
        <w:rPr>
          <w:rFonts w:ascii="Book Antiqua" w:hAnsi="Book Antiqua"/>
        </w:rPr>
        <w:t>(</w:t>
      </w:r>
      <w:r w:rsidRPr="00321163">
        <w:rPr>
          <w:rFonts w:ascii="Book Antiqua" w:hAnsi="Book Antiqua" w:cs="Arial"/>
        </w:rPr>
        <w:sym w:font="Symbol" w:char="F067"/>
      </w:r>
      <w:r w:rsidRPr="00321163">
        <w:rPr>
          <w:rFonts w:ascii="Book Antiqua" w:hAnsi="Book Antiqua" w:cs="Arial"/>
        </w:rPr>
        <w:t>GT) in patients with and without stones.</w:t>
      </w:r>
      <w:r w:rsidRPr="00321163">
        <w:rPr>
          <w:rFonts w:ascii="Book Antiqua" w:eastAsia="宋体" w:hAnsi="Book Antiqua"/>
          <w:lang w:eastAsia="zh-CN"/>
        </w:rPr>
        <w:t xml:space="preserve"> ERCP: Endoscopic retrograde cholangiography</w:t>
      </w:r>
      <w:r w:rsidRPr="00321163">
        <w:rPr>
          <w:rFonts w:ascii="Book Antiqua" w:eastAsia="宋体" w:hAnsi="Book Antiqua" w:hint="eastAsia"/>
          <w:lang w:eastAsia="zh-CN"/>
        </w:rPr>
        <w:t>.</w:t>
      </w:r>
    </w:p>
    <w:p w14:paraId="1FF8D59A" w14:textId="77777777" w:rsidR="00EF0C46" w:rsidRPr="00321163" w:rsidRDefault="00EF0C46" w:rsidP="00CA6249">
      <w:pPr>
        <w:spacing w:line="360" w:lineRule="auto"/>
        <w:jc w:val="both"/>
        <w:rPr>
          <w:rFonts w:ascii="Book Antiqua" w:eastAsia="宋体" w:hAnsi="Book Antiqua"/>
          <w:lang w:eastAsia="zh-CN"/>
        </w:rPr>
      </w:pPr>
    </w:p>
    <w:p w14:paraId="2A693180" w14:textId="77777777" w:rsidR="007E1300" w:rsidRPr="00321163" w:rsidRDefault="007E1300">
      <w:pPr>
        <w:rPr>
          <w:rFonts w:ascii="Book Antiqua" w:hAnsi="Book Antiqua" w:cs="Arial"/>
        </w:rPr>
      </w:pPr>
      <w:r w:rsidRPr="00321163">
        <w:rPr>
          <w:rFonts w:ascii="Book Antiqua" w:hAnsi="Book Antiqua" w:cs="Arial"/>
        </w:rPr>
        <w:br w:type="page"/>
      </w:r>
    </w:p>
    <w:p w14:paraId="65C8C46B" w14:textId="2F3BF66B" w:rsidR="007E1300" w:rsidRPr="00321163" w:rsidRDefault="007E1300" w:rsidP="007E1300">
      <w:pPr>
        <w:spacing w:line="360" w:lineRule="auto"/>
        <w:jc w:val="both"/>
        <w:rPr>
          <w:rFonts w:ascii="Book Antiqua" w:hAnsi="Book Antiqua" w:cs="Arial"/>
          <w:b/>
        </w:rPr>
      </w:pPr>
      <w:r w:rsidRPr="00321163">
        <w:rPr>
          <w:rFonts w:ascii="Book Antiqua" w:hAnsi="Book Antiqua" w:cs="Arial"/>
          <w:b/>
        </w:rPr>
        <w:lastRenderedPageBreak/>
        <w:t xml:space="preserve">Table </w:t>
      </w:r>
      <w:proofErr w:type="gramStart"/>
      <w:r w:rsidRPr="00321163">
        <w:rPr>
          <w:rFonts w:ascii="Book Antiqua" w:hAnsi="Book Antiqua" w:cs="Arial"/>
          <w:b/>
        </w:rPr>
        <w:t xml:space="preserve">1 Patient demographics of patients with suspected </w:t>
      </w:r>
      <w:proofErr w:type="spellStart"/>
      <w:r w:rsidRPr="00321163">
        <w:rPr>
          <w:rFonts w:ascii="Book Antiqua" w:hAnsi="Book Antiqua" w:cs="Arial"/>
          <w:b/>
        </w:rPr>
        <w:t>choledocholithiasis</w:t>
      </w:r>
      <w:proofErr w:type="spellEnd"/>
      <w:proofErr w:type="gramEnd"/>
    </w:p>
    <w:p w14:paraId="0EFA8580" w14:textId="6354ADCF" w:rsidR="006C42CB" w:rsidRPr="00321163" w:rsidRDefault="00922966" w:rsidP="00CA6249">
      <w:pPr>
        <w:spacing w:line="360" w:lineRule="auto"/>
        <w:jc w:val="both"/>
        <w:rPr>
          <w:rFonts w:ascii="Book Antiqua" w:eastAsia="宋体" w:hAnsi="Book Antiqua"/>
          <w:lang w:eastAsia="zh-CN"/>
        </w:rPr>
      </w:pPr>
      <w:r w:rsidRPr="00321163">
        <w:rPr>
          <w:rFonts w:ascii="Book Antiqua" w:hAnsi="Book Antiqua"/>
        </w:rPr>
        <w:t xml:space="preserve">  </w:t>
      </w:r>
    </w:p>
    <w:tbl>
      <w:tblPr>
        <w:tblStyle w:val="TableGrid"/>
        <w:tblW w:w="0" w:type="auto"/>
        <w:tblLook w:val="04A0" w:firstRow="1" w:lastRow="0" w:firstColumn="1" w:lastColumn="0" w:noHBand="0" w:noVBand="1"/>
      </w:tblPr>
      <w:tblGrid>
        <w:gridCol w:w="1771"/>
        <w:gridCol w:w="1847"/>
        <w:gridCol w:w="1080"/>
        <w:gridCol w:w="2386"/>
        <w:gridCol w:w="1214"/>
      </w:tblGrid>
      <w:tr w:rsidR="00321163" w:rsidRPr="00321163" w14:paraId="6737F6D4" w14:textId="77777777" w:rsidTr="00431DF2">
        <w:tc>
          <w:tcPr>
            <w:tcW w:w="1771" w:type="dxa"/>
          </w:tcPr>
          <w:p w14:paraId="7FB316E7" w14:textId="7DBFFE95" w:rsidR="005B5213" w:rsidRPr="00321163" w:rsidRDefault="00D42723" w:rsidP="00CA6249">
            <w:pPr>
              <w:spacing w:line="360" w:lineRule="auto"/>
              <w:jc w:val="both"/>
              <w:rPr>
                <w:rFonts w:ascii="Book Antiqua" w:hAnsi="Book Antiqua"/>
              </w:rPr>
            </w:pPr>
            <w:r w:rsidRPr="00321163">
              <w:rPr>
                <w:rFonts w:ascii="Book Antiqua" w:hAnsi="Book Antiqua"/>
              </w:rPr>
              <w:t xml:space="preserve">Group </w:t>
            </w:r>
            <w:r w:rsidR="00536496" w:rsidRPr="00321163">
              <w:rPr>
                <w:rFonts w:ascii="Book Antiqua" w:hAnsi="Book Antiqua"/>
              </w:rPr>
              <w:t>n</w:t>
            </w:r>
            <w:r w:rsidRPr="00321163">
              <w:rPr>
                <w:rFonts w:ascii="Book Antiqua" w:hAnsi="Book Antiqua"/>
              </w:rPr>
              <w:t>umber</w:t>
            </w:r>
          </w:p>
          <w:p w14:paraId="160198D8" w14:textId="3B32C1F8" w:rsidR="00D42723" w:rsidRPr="00321163" w:rsidRDefault="007E1300" w:rsidP="00CA6249">
            <w:pPr>
              <w:spacing w:line="360" w:lineRule="auto"/>
              <w:jc w:val="both"/>
              <w:rPr>
                <w:rFonts w:ascii="Book Antiqua" w:hAnsi="Book Antiqua"/>
              </w:rPr>
            </w:pPr>
            <w:r w:rsidRPr="00321163">
              <w:rPr>
                <w:rFonts w:ascii="Book Antiqua" w:hAnsi="Book Antiqua"/>
              </w:rPr>
              <w:t>(</w:t>
            </w:r>
            <w:r w:rsidRPr="00321163">
              <w:rPr>
                <w:rFonts w:ascii="Book Antiqua" w:hAnsi="Book Antiqua"/>
                <w:i/>
              </w:rPr>
              <w:t>n</w:t>
            </w:r>
            <w:r w:rsidR="00D42723" w:rsidRPr="00321163">
              <w:rPr>
                <w:rFonts w:ascii="Book Antiqua" w:hAnsi="Book Antiqua"/>
              </w:rPr>
              <w:t>)</w:t>
            </w:r>
          </w:p>
        </w:tc>
        <w:tc>
          <w:tcPr>
            <w:tcW w:w="1847" w:type="dxa"/>
          </w:tcPr>
          <w:p w14:paraId="5651479F" w14:textId="77777777" w:rsidR="005B5213" w:rsidRPr="00321163" w:rsidRDefault="005B5213" w:rsidP="00CA6249">
            <w:pPr>
              <w:spacing w:line="360" w:lineRule="auto"/>
              <w:jc w:val="both"/>
              <w:rPr>
                <w:rFonts w:ascii="Book Antiqua" w:hAnsi="Book Antiqua"/>
              </w:rPr>
            </w:pPr>
          </w:p>
        </w:tc>
        <w:tc>
          <w:tcPr>
            <w:tcW w:w="1080" w:type="dxa"/>
          </w:tcPr>
          <w:p w14:paraId="01ED6573" w14:textId="77777777" w:rsidR="005B5213" w:rsidRPr="00321163" w:rsidRDefault="00D42723" w:rsidP="00CA6249">
            <w:pPr>
              <w:spacing w:line="360" w:lineRule="auto"/>
              <w:jc w:val="both"/>
              <w:rPr>
                <w:rFonts w:ascii="Book Antiqua" w:hAnsi="Book Antiqua"/>
              </w:rPr>
            </w:pPr>
            <w:r w:rsidRPr="00321163">
              <w:rPr>
                <w:rFonts w:ascii="Book Antiqua" w:hAnsi="Book Antiqua"/>
              </w:rPr>
              <w:t xml:space="preserve"> 1</w:t>
            </w:r>
            <w:r w:rsidR="005B5213" w:rsidRPr="00321163">
              <w:rPr>
                <w:rFonts w:ascii="Book Antiqua" w:hAnsi="Book Antiqua"/>
              </w:rPr>
              <w:t xml:space="preserve"> </w:t>
            </w:r>
          </w:p>
          <w:p w14:paraId="07357E99" w14:textId="36DBDED0" w:rsidR="00D42723" w:rsidRPr="00321163" w:rsidRDefault="00D42723" w:rsidP="00CA6249">
            <w:pPr>
              <w:spacing w:line="360" w:lineRule="auto"/>
              <w:jc w:val="both"/>
              <w:rPr>
                <w:rFonts w:ascii="Book Antiqua" w:hAnsi="Book Antiqua"/>
              </w:rPr>
            </w:pPr>
            <w:r w:rsidRPr="00321163">
              <w:rPr>
                <w:rFonts w:ascii="Book Antiqua" w:hAnsi="Book Antiqua"/>
              </w:rPr>
              <w:t>37</w:t>
            </w:r>
          </w:p>
        </w:tc>
        <w:tc>
          <w:tcPr>
            <w:tcW w:w="2386" w:type="dxa"/>
          </w:tcPr>
          <w:p w14:paraId="325B9F5B" w14:textId="77777777" w:rsidR="005B5213" w:rsidRPr="00321163" w:rsidRDefault="00D42723" w:rsidP="00CA6249">
            <w:pPr>
              <w:spacing w:line="360" w:lineRule="auto"/>
              <w:jc w:val="both"/>
              <w:rPr>
                <w:rFonts w:ascii="Book Antiqua" w:hAnsi="Book Antiqua"/>
              </w:rPr>
            </w:pPr>
            <w:r w:rsidRPr="00321163">
              <w:rPr>
                <w:rFonts w:ascii="Book Antiqua" w:hAnsi="Book Antiqua"/>
              </w:rPr>
              <w:t>2</w:t>
            </w:r>
          </w:p>
          <w:p w14:paraId="2A467346" w14:textId="44DB904C" w:rsidR="00D42723" w:rsidRPr="00321163" w:rsidRDefault="00D42723" w:rsidP="00CA6249">
            <w:pPr>
              <w:spacing w:line="360" w:lineRule="auto"/>
              <w:jc w:val="both"/>
              <w:rPr>
                <w:rFonts w:ascii="Book Antiqua" w:hAnsi="Book Antiqua"/>
              </w:rPr>
            </w:pPr>
            <w:r w:rsidRPr="00321163">
              <w:rPr>
                <w:rFonts w:ascii="Book Antiqua" w:hAnsi="Book Antiqua"/>
              </w:rPr>
              <w:t>7</w:t>
            </w:r>
          </w:p>
        </w:tc>
        <w:tc>
          <w:tcPr>
            <w:tcW w:w="1214" w:type="dxa"/>
          </w:tcPr>
          <w:p w14:paraId="01E480F8" w14:textId="77777777" w:rsidR="005B5213" w:rsidRPr="00321163" w:rsidRDefault="005B5213" w:rsidP="00CA6249">
            <w:pPr>
              <w:spacing w:line="360" w:lineRule="auto"/>
              <w:jc w:val="both"/>
              <w:rPr>
                <w:rFonts w:ascii="Book Antiqua" w:hAnsi="Book Antiqua"/>
              </w:rPr>
            </w:pPr>
            <w:r w:rsidRPr="00321163">
              <w:rPr>
                <w:rFonts w:ascii="Book Antiqua" w:hAnsi="Book Antiqua"/>
              </w:rPr>
              <w:t xml:space="preserve">Total </w:t>
            </w:r>
          </w:p>
          <w:p w14:paraId="6BC1070A" w14:textId="27390608" w:rsidR="00D42723" w:rsidRPr="00321163" w:rsidRDefault="00D42723" w:rsidP="00CA6249">
            <w:pPr>
              <w:spacing w:line="360" w:lineRule="auto"/>
              <w:jc w:val="both"/>
              <w:rPr>
                <w:rFonts w:ascii="Book Antiqua" w:hAnsi="Book Antiqua"/>
              </w:rPr>
            </w:pPr>
            <w:r w:rsidRPr="00321163">
              <w:rPr>
                <w:rFonts w:ascii="Book Antiqua" w:hAnsi="Book Antiqua"/>
              </w:rPr>
              <w:t>44</w:t>
            </w:r>
          </w:p>
        </w:tc>
      </w:tr>
      <w:tr w:rsidR="00321163" w:rsidRPr="00321163" w14:paraId="155CCA18" w14:textId="77777777" w:rsidTr="00431DF2">
        <w:tc>
          <w:tcPr>
            <w:tcW w:w="1771" w:type="dxa"/>
          </w:tcPr>
          <w:p w14:paraId="690507F1" w14:textId="59809560" w:rsidR="005B5213" w:rsidRPr="00321163" w:rsidRDefault="005B5213" w:rsidP="00CA6249">
            <w:pPr>
              <w:spacing w:line="360" w:lineRule="auto"/>
              <w:jc w:val="both"/>
              <w:rPr>
                <w:rFonts w:ascii="Book Antiqua" w:hAnsi="Book Antiqua"/>
              </w:rPr>
            </w:pPr>
            <w:r w:rsidRPr="00321163">
              <w:rPr>
                <w:rFonts w:ascii="Book Antiqua" w:hAnsi="Book Antiqua"/>
              </w:rPr>
              <w:t xml:space="preserve">Mean </w:t>
            </w:r>
            <w:r w:rsidR="007E1300" w:rsidRPr="00321163">
              <w:rPr>
                <w:rFonts w:ascii="Book Antiqua" w:hAnsi="Book Antiqua"/>
              </w:rPr>
              <w:t>a</w:t>
            </w:r>
            <w:r w:rsidRPr="00321163">
              <w:rPr>
                <w:rFonts w:ascii="Book Antiqua" w:hAnsi="Book Antiqua"/>
              </w:rPr>
              <w:t>ge</w:t>
            </w:r>
          </w:p>
        </w:tc>
        <w:tc>
          <w:tcPr>
            <w:tcW w:w="1847" w:type="dxa"/>
          </w:tcPr>
          <w:p w14:paraId="010E9C18" w14:textId="77777777" w:rsidR="005B5213" w:rsidRPr="00321163" w:rsidRDefault="005B5213" w:rsidP="00CA6249">
            <w:pPr>
              <w:spacing w:line="360" w:lineRule="auto"/>
              <w:jc w:val="both"/>
              <w:rPr>
                <w:rFonts w:ascii="Book Antiqua" w:hAnsi="Book Antiqua"/>
              </w:rPr>
            </w:pPr>
          </w:p>
        </w:tc>
        <w:tc>
          <w:tcPr>
            <w:tcW w:w="1080" w:type="dxa"/>
          </w:tcPr>
          <w:p w14:paraId="2886FBA5" w14:textId="4B1C86F2" w:rsidR="005B5213" w:rsidRPr="00321163" w:rsidRDefault="00D42723" w:rsidP="00CA6249">
            <w:pPr>
              <w:spacing w:line="360" w:lineRule="auto"/>
              <w:jc w:val="both"/>
              <w:rPr>
                <w:rFonts w:ascii="Book Antiqua" w:hAnsi="Book Antiqua"/>
              </w:rPr>
            </w:pPr>
            <w:r w:rsidRPr="00321163">
              <w:rPr>
                <w:rFonts w:ascii="Book Antiqua" w:hAnsi="Book Antiqua"/>
              </w:rPr>
              <w:t>14.5 (±</w:t>
            </w:r>
            <w:r w:rsidR="007E1300" w:rsidRPr="00321163">
              <w:rPr>
                <w:rFonts w:ascii="Book Antiqua" w:eastAsia="宋体" w:hAnsi="Book Antiqua" w:hint="eastAsia"/>
                <w:lang w:eastAsia="zh-CN"/>
              </w:rPr>
              <w:t xml:space="preserve"> </w:t>
            </w:r>
            <w:r w:rsidRPr="00321163">
              <w:rPr>
                <w:rFonts w:ascii="Book Antiqua" w:hAnsi="Book Antiqua"/>
              </w:rPr>
              <w:t>3.8)</w:t>
            </w:r>
          </w:p>
        </w:tc>
        <w:tc>
          <w:tcPr>
            <w:tcW w:w="2386" w:type="dxa"/>
          </w:tcPr>
          <w:p w14:paraId="191BF48E" w14:textId="77777777" w:rsidR="00D42723" w:rsidRPr="00321163" w:rsidRDefault="00D42723" w:rsidP="00CA6249">
            <w:pPr>
              <w:spacing w:line="360" w:lineRule="auto"/>
              <w:jc w:val="both"/>
              <w:rPr>
                <w:rFonts w:ascii="Book Antiqua" w:hAnsi="Book Antiqua"/>
              </w:rPr>
            </w:pPr>
            <w:r w:rsidRPr="00321163">
              <w:rPr>
                <w:rFonts w:ascii="Book Antiqua" w:hAnsi="Book Antiqua"/>
              </w:rPr>
              <w:t>14.5</w:t>
            </w:r>
          </w:p>
          <w:p w14:paraId="5D70A1E3" w14:textId="2071CDEE" w:rsidR="005B5213" w:rsidRPr="00321163" w:rsidRDefault="00D42723" w:rsidP="00CA6249">
            <w:pPr>
              <w:spacing w:line="360" w:lineRule="auto"/>
              <w:jc w:val="both"/>
              <w:rPr>
                <w:rFonts w:ascii="Book Antiqua" w:hAnsi="Book Antiqua"/>
              </w:rPr>
            </w:pPr>
            <w:r w:rsidRPr="00321163">
              <w:rPr>
                <w:rFonts w:ascii="Book Antiqua" w:hAnsi="Book Antiqua"/>
              </w:rPr>
              <w:t>(±</w:t>
            </w:r>
            <w:r w:rsidR="007E1300" w:rsidRPr="00321163">
              <w:rPr>
                <w:rFonts w:ascii="Book Antiqua" w:eastAsia="宋体" w:hAnsi="Book Antiqua" w:hint="eastAsia"/>
                <w:lang w:eastAsia="zh-CN"/>
              </w:rPr>
              <w:t xml:space="preserve"> </w:t>
            </w:r>
            <w:r w:rsidRPr="00321163">
              <w:rPr>
                <w:rFonts w:ascii="Book Antiqua" w:hAnsi="Book Antiqua"/>
              </w:rPr>
              <w:t>2.0)</w:t>
            </w:r>
          </w:p>
        </w:tc>
        <w:tc>
          <w:tcPr>
            <w:tcW w:w="1214" w:type="dxa"/>
          </w:tcPr>
          <w:p w14:paraId="76934CD9" w14:textId="77777777" w:rsidR="00D42723" w:rsidRPr="00321163" w:rsidRDefault="00D42723" w:rsidP="00CA6249">
            <w:pPr>
              <w:spacing w:line="360" w:lineRule="auto"/>
              <w:jc w:val="both"/>
              <w:rPr>
                <w:rFonts w:ascii="Book Antiqua" w:hAnsi="Book Antiqua"/>
              </w:rPr>
            </w:pPr>
            <w:r w:rsidRPr="00321163">
              <w:rPr>
                <w:rFonts w:ascii="Book Antiqua" w:hAnsi="Book Antiqua"/>
              </w:rPr>
              <w:t xml:space="preserve">14.5 </w:t>
            </w:r>
          </w:p>
          <w:p w14:paraId="44FF689B" w14:textId="48F5D909" w:rsidR="005B5213" w:rsidRPr="00321163" w:rsidRDefault="00D42723" w:rsidP="00CA6249">
            <w:pPr>
              <w:spacing w:line="360" w:lineRule="auto"/>
              <w:jc w:val="both"/>
              <w:rPr>
                <w:rFonts w:ascii="Book Antiqua" w:hAnsi="Book Antiqua"/>
              </w:rPr>
            </w:pPr>
            <w:r w:rsidRPr="00321163">
              <w:rPr>
                <w:rFonts w:ascii="Book Antiqua" w:hAnsi="Book Antiqua"/>
              </w:rPr>
              <w:t>(±</w:t>
            </w:r>
            <w:r w:rsidR="007E1300" w:rsidRPr="00321163">
              <w:rPr>
                <w:rFonts w:ascii="Book Antiqua" w:eastAsia="宋体" w:hAnsi="Book Antiqua" w:hint="eastAsia"/>
                <w:lang w:eastAsia="zh-CN"/>
              </w:rPr>
              <w:t xml:space="preserve"> </w:t>
            </w:r>
            <w:r w:rsidRPr="00321163">
              <w:rPr>
                <w:rFonts w:ascii="Book Antiqua" w:hAnsi="Book Antiqua"/>
              </w:rPr>
              <w:t>3.5)</w:t>
            </w:r>
          </w:p>
        </w:tc>
      </w:tr>
      <w:tr w:rsidR="00321163" w:rsidRPr="00321163" w14:paraId="3195692A" w14:textId="77777777" w:rsidTr="00431DF2">
        <w:tc>
          <w:tcPr>
            <w:tcW w:w="1771" w:type="dxa"/>
          </w:tcPr>
          <w:p w14:paraId="1E48FFFD" w14:textId="36F6924F" w:rsidR="005B5213" w:rsidRPr="00321163" w:rsidRDefault="00D42723" w:rsidP="00CA6249">
            <w:pPr>
              <w:spacing w:line="360" w:lineRule="auto"/>
              <w:jc w:val="both"/>
              <w:rPr>
                <w:rFonts w:ascii="Book Antiqua" w:hAnsi="Book Antiqua"/>
              </w:rPr>
            </w:pPr>
            <w:r w:rsidRPr="00321163">
              <w:rPr>
                <w:rFonts w:ascii="Book Antiqua" w:hAnsi="Book Antiqua"/>
              </w:rPr>
              <w:t>Sex</w:t>
            </w:r>
          </w:p>
        </w:tc>
        <w:tc>
          <w:tcPr>
            <w:tcW w:w="1847" w:type="dxa"/>
          </w:tcPr>
          <w:p w14:paraId="289469D1" w14:textId="77777777" w:rsidR="005B5213" w:rsidRPr="00321163" w:rsidRDefault="00D42723" w:rsidP="00CA6249">
            <w:pPr>
              <w:spacing w:line="360" w:lineRule="auto"/>
              <w:jc w:val="both"/>
              <w:rPr>
                <w:rFonts w:ascii="Book Antiqua" w:hAnsi="Book Antiqua"/>
              </w:rPr>
            </w:pPr>
            <w:r w:rsidRPr="00321163">
              <w:rPr>
                <w:rFonts w:ascii="Book Antiqua" w:hAnsi="Book Antiqua"/>
              </w:rPr>
              <w:t>Male</w:t>
            </w:r>
          </w:p>
          <w:p w14:paraId="71915344" w14:textId="4A6A411D" w:rsidR="00D42723" w:rsidRPr="00321163" w:rsidRDefault="00D42723" w:rsidP="00CA6249">
            <w:pPr>
              <w:spacing w:line="360" w:lineRule="auto"/>
              <w:jc w:val="both"/>
              <w:rPr>
                <w:rFonts w:ascii="Book Antiqua" w:hAnsi="Book Antiqua"/>
              </w:rPr>
            </w:pPr>
            <w:r w:rsidRPr="00321163">
              <w:rPr>
                <w:rFonts w:ascii="Book Antiqua" w:hAnsi="Book Antiqua"/>
              </w:rPr>
              <w:t>Female</w:t>
            </w:r>
          </w:p>
        </w:tc>
        <w:tc>
          <w:tcPr>
            <w:tcW w:w="1080" w:type="dxa"/>
          </w:tcPr>
          <w:p w14:paraId="2D6BA2A2" w14:textId="77777777" w:rsidR="005B5213" w:rsidRPr="00321163" w:rsidRDefault="00D42723" w:rsidP="00CA6249">
            <w:pPr>
              <w:spacing w:line="360" w:lineRule="auto"/>
              <w:jc w:val="both"/>
              <w:rPr>
                <w:rFonts w:ascii="Book Antiqua" w:hAnsi="Book Antiqua"/>
              </w:rPr>
            </w:pPr>
            <w:r w:rsidRPr="00321163">
              <w:rPr>
                <w:rFonts w:ascii="Book Antiqua" w:hAnsi="Book Antiqua"/>
              </w:rPr>
              <w:t>14</w:t>
            </w:r>
          </w:p>
          <w:p w14:paraId="6F34470B" w14:textId="1C198F41" w:rsidR="00D42723" w:rsidRPr="00321163" w:rsidRDefault="00D42723" w:rsidP="00CA6249">
            <w:pPr>
              <w:spacing w:line="360" w:lineRule="auto"/>
              <w:jc w:val="both"/>
              <w:rPr>
                <w:rFonts w:ascii="Book Antiqua" w:hAnsi="Book Antiqua"/>
              </w:rPr>
            </w:pPr>
            <w:r w:rsidRPr="00321163">
              <w:rPr>
                <w:rFonts w:ascii="Book Antiqua" w:hAnsi="Book Antiqua"/>
              </w:rPr>
              <w:t>23</w:t>
            </w:r>
          </w:p>
        </w:tc>
        <w:tc>
          <w:tcPr>
            <w:tcW w:w="2386" w:type="dxa"/>
          </w:tcPr>
          <w:p w14:paraId="3D308EEF" w14:textId="77777777" w:rsidR="005B5213" w:rsidRPr="00321163" w:rsidRDefault="00D42723" w:rsidP="00CA6249">
            <w:pPr>
              <w:spacing w:line="360" w:lineRule="auto"/>
              <w:jc w:val="both"/>
              <w:rPr>
                <w:rFonts w:ascii="Book Antiqua" w:hAnsi="Book Antiqua"/>
              </w:rPr>
            </w:pPr>
            <w:r w:rsidRPr="00321163">
              <w:rPr>
                <w:rFonts w:ascii="Book Antiqua" w:hAnsi="Book Antiqua"/>
              </w:rPr>
              <w:t>0</w:t>
            </w:r>
          </w:p>
          <w:p w14:paraId="43966E34" w14:textId="161B280E" w:rsidR="00D42723" w:rsidRPr="00321163" w:rsidRDefault="00D42723" w:rsidP="00CA6249">
            <w:pPr>
              <w:spacing w:line="360" w:lineRule="auto"/>
              <w:jc w:val="both"/>
              <w:rPr>
                <w:rFonts w:ascii="Book Antiqua" w:hAnsi="Book Antiqua"/>
              </w:rPr>
            </w:pPr>
            <w:r w:rsidRPr="00321163">
              <w:rPr>
                <w:rFonts w:ascii="Book Antiqua" w:hAnsi="Book Antiqua"/>
              </w:rPr>
              <w:t>7</w:t>
            </w:r>
          </w:p>
        </w:tc>
        <w:tc>
          <w:tcPr>
            <w:tcW w:w="1214" w:type="dxa"/>
          </w:tcPr>
          <w:p w14:paraId="7C782B37" w14:textId="77777777" w:rsidR="005B5213" w:rsidRPr="00321163" w:rsidRDefault="00D42723" w:rsidP="00CA6249">
            <w:pPr>
              <w:spacing w:line="360" w:lineRule="auto"/>
              <w:jc w:val="both"/>
              <w:rPr>
                <w:rFonts w:ascii="Book Antiqua" w:hAnsi="Book Antiqua"/>
              </w:rPr>
            </w:pPr>
            <w:r w:rsidRPr="00321163">
              <w:rPr>
                <w:rFonts w:ascii="Book Antiqua" w:hAnsi="Book Antiqua"/>
              </w:rPr>
              <w:t>14</w:t>
            </w:r>
          </w:p>
          <w:p w14:paraId="7D0E8872" w14:textId="1239455F" w:rsidR="00D42723" w:rsidRPr="00321163" w:rsidRDefault="00D42723" w:rsidP="00CA6249">
            <w:pPr>
              <w:spacing w:line="360" w:lineRule="auto"/>
              <w:jc w:val="both"/>
              <w:rPr>
                <w:rFonts w:ascii="Book Antiqua" w:hAnsi="Book Antiqua"/>
              </w:rPr>
            </w:pPr>
            <w:r w:rsidRPr="00321163">
              <w:rPr>
                <w:rFonts w:ascii="Book Antiqua" w:hAnsi="Book Antiqua"/>
              </w:rPr>
              <w:t>30</w:t>
            </w:r>
          </w:p>
        </w:tc>
      </w:tr>
      <w:tr w:rsidR="00321163" w:rsidRPr="00321163" w14:paraId="743E4852" w14:textId="77777777" w:rsidTr="00431DF2">
        <w:tc>
          <w:tcPr>
            <w:tcW w:w="1771" w:type="dxa"/>
          </w:tcPr>
          <w:p w14:paraId="4BF02B87" w14:textId="64AD1A04" w:rsidR="005B5213" w:rsidRPr="00321163" w:rsidRDefault="00D42723" w:rsidP="00CA6249">
            <w:pPr>
              <w:spacing w:line="360" w:lineRule="auto"/>
              <w:jc w:val="both"/>
              <w:rPr>
                <w:rFonts w:ascii="Book Antiqua" w:hAnsi="Book Antiqua"/>
              </w:rPr>
            </w:pPr>
            <w:r w:rsidRPr="00321163">
              <w:rPr>
                <w:rFonts w:ascii="Book Antiqua" w:hAnsi="Book Antiqua"/>
              </w:rPr>
              <w:t>Ethnicity</w:t>
            </w:r>
          </w:p>
        </w:tc>
        <w:tc>
          <w:tcPr>
            <w:tcW w:w="1847" w:type="dxa"/>
          </w:tcPr>
          <w:p w14:paraId="6BD2A3B9" w14:textId="77777777" w:rsidR="005B5213" w:rsidRPr="00321163" w:rsidRDefault="00D42723" w:rsidP="00CA6249">
            <w:pPr>
              <w:spacing w:line="360" w:lineRule="auto"/>
              <w:jc w:val="both"/>
              <w:rPr>
                <w:rFonts w:ascii="Book Antiqua" w:hAnsi="Book Antiqua"/>
              </w:rPr>
            </w:pPr>
            <w:r w:rsidRPr="00321163">
              <w:rPr>
                <w:rFonts w:ascii="Book Antiqua" w:hAnsi="Book Antiqua"/>
              </w:rPr>
              <w:t>White</w:t>
            </w:r>
          </w:p>
          <w:p w14:paraId="3CB7F3F2" w14:textId="77777777" w:rsidR="00D42723" w:rsidRPr="00321163" w:rsidRDefault="00D42723" w:rsidP="00CA6249">
            <w:pPr>
              <w:spacing w:line="360" w:lineRule="auto"/>
              <w:jc w:val="both"/>
              <w:rPr>
                <w:rFonts w:ascii="Book Antiqua" w:hAnsi="Book Antiqua"/>
              </w:rPr>
            </w:pPr>
            <w:r w:rsidRPr="00321163">
              <w:rPr>
                <w:rFonts w:ascii="Book Antiqua" w:hAnsi="Book Antiqua"/>
              </w:rPr>
              <w:t>African-American</w:t>
            </w:r>
          </w:p>
          <w:p w14:paraId="232A9829" w14:textId="77777777" w:rsidR="00D42723" w:rsidRPr="00321163" w:rsidRDefault="00D42723" w:rsidP="00CA6249">
            <w:pPr>
              <w:spacing w:line="360" w:lineRule="auto"/>
              <w:jc w:val="both"/>
              <w:rPr>
                <w:rFonts w:ascii="Book Antiqua" w:hAnsi="Book Antiqua"/>
              </w:rPr>
            </w:pPr>
            <w:r w:rsidRPr="00321163">
              <w:rPr>
                <w:rFonts w:ascii="Book Antiqua" w:hAnsi="Book Antiqua"/>
              </w:rPr>
              <w:t>Latino-Hispanic</w:t>
            </w:r>
          </w:p>
          <w:p w14:paraId="57C2A785" w14:textId="36CBFA3B" w:rsidR="00D42723" w:rsidRPr="00321163" w:rsidRDefault="00D42723" w:rsidP="00CA6249">
            <w:pPr>
              <w:spacing w:line="360" w:lineRule="auto"/>
              <w:jc w:val="both"/>
              <w:rPr>
                <w:rFonts w:ascii="Book Antiqua" w:hAnsi="Book Antiqua"/>
              </w:rPr>
            </w:pPr>
            <w:r w:rsidRPr="00321163">
              <w:rPr>
                <w:rFonts w:ascii="Book Antiqua" w:hAnsi="Book Antiqua"/>
              </w:rPr>
              <w:t>Other</w:t>
            </w:r>
          </w:p>
        </w:tc>
        <w:tc>
          <w:tcPr>
            <w:tcW w:w="1080" w:type="dxa"/>
          </w:tcPr>
          <w:p w14:paraId="1DE726F5" w14:textId="77777777" w:rsidR="005B5213" w:rsidRPr="00321163" w:rsidRDefault="00D42723" w:rsidP="00CA6249">
            <w:pPr>
              <w:spacing w:line="360" w:lineRule="auto"/>
              <w:jc w:val="both"/>
              <w:rPr>
                <w:rFonts w:ascii="Book Antiqua" w:hAnsi="Book Antiqua"/>
              </w:rPr>
            </w:pPr>
            <w:r w:rsidRPr="00321163">
              <w:rPr>
                <w:rFonts w:ascii="Book Antiqua" w:hAnsi="Book Antiqua"/>
              </w:rPr>
              <w:t>4</w:t>
            </w:r>
          </w:p>
          <w:p w14:paraId="4EFD4579" w14:textId="77777777" w:rsidR="00D42723" w:rsidRPr="00321163" w:rsidRDefault="00D42723" w:rsidP="00CA6249">
            <w:pPr>
              <w:spacing w:line="360" w:lineRule="auto"/>
              <w:jc w:val="both"/>
              <w:rPr>
                <w:rFonts w:ascii="Book Antiqua" w:hAnsi="Book Antiqua"/>
              </w:rPr>
            </w:pPr>
            <w:r w:rsidRPr="00321163">
              <w:rPr>
                <w:rFonts w:ascii="Book Antiqua" w:hAnsi="Book Antiqua"/>
              </w:rPr>
              <w:t>12</w:t>
            </w:r>
          </w:p>
          <w:p w14:paraId="3172D493" w14:textId="77777777" w:rsidR="00D42723" w:rsidRPr="00321163" w:rsidRDefault="00D42723" w:rsidP="00CA6249">
            <w:pPr>
              <w:spacing w:line="360" w:lineRule="auto"/>
              <w:jc w:val="both"/>
              <w:rPr>
                <w:rFonts w:ascii="Book Antiqua" w:hAnsi="Book Antiqua"/>
              </w:rPr>
            </w:pPr>
            <w:r w:rsidRPr="00321163">
              <w:rPr>
                <w:rFonts w:ascii="Book Antiqua" w:hAnsi="Book Antiqua"/>
              </w:rPr>
              <w:t>20</w:t>
            </w:r>
          </w:p>
          <w:p w14:paraId="61A16C1C" w14:textId="07B19C2C" w:rsidR="00D42723" w:rsidRPr="00321163" w:rsidRDefault="00D42723" w:rsidP="00CA6249">
            <w:pPr>
              <w:spacing w:line="360" w:lineRule="auto"/>
              <w:jc w:val="both"/>
              <w:rPr>
                <w:rFonts w:ascii="Book Antiqua" w:hAnsi="Book Antiqua"/>
              </w:rPr>
            </w:pPr>
            <w:r w:rsidRPr="00321163">
              <w:rPr>
                <w:rFonts w:ascii="Book Antiqua" w:hAnsi="Book Antiqua"/>
              </w:rPr>
              <w:t>1</w:t>
            </w:r>
          </w:p>
        </w:tc>
        <w:tc>
          <w:tcPr>
            <w:tcW w:w="2386" w:type="dxa"/>
          </w:tcPr>
          <w:p w14:paraId="46535B27" w14:textId="77777777" w:rsidR="005B5213" w:rsidRPr="00321163" w:rsidRDefault="00D42723" w:rsidP="00CA6249">
            <w:pPr>
              <w:spacing w:line="360" w:lineRule="auto"/>
              <w:jc w:val="both"/>
              <w:rPr>
                <w:rFonts w:ascii="Book Antiqua" w:hAnsi="Book Antiqua"/>
              </w:rPr>
            </w:pPr>
            <w:r w:rsidRPr="00321163">
              <w:rPr>
                <w:rFonts w:ascii="Book Antiqua" w:hAnsi="Book Antiqua"/>
              </w:rPr>
              <w:t>2</w:t>
            </w:r>
          </w:p>
          <w:p w14:paraId="4E4BEDB7" w14:textId="77777777" w:rsidR="00D42723" w:rsidRPr="00321163" w:rsidRDefault="00D42723" w:rsidP="00CA6249">
            <w:pPr>
              <w:spacing w:line="360" w:lineRule="auto"/>
              <w:jc w:val="both"/>
              <w:rPr>
                <w:rFonts w:ascii="Book Antiqua" w:hAnsi="Book Antiqua"/>
              </w:rPr>
            </w:pPr>
            <w:r w:rsidRPr="00321163">
              <w:rPr>
                <w:rFonts w:ascii="Book Antiqua" w:hAnsi="Book Antiqua"/>
              </w:rPr>
              <w:t>0</w:t>
            </w:r>
          </w:p>
          <w:p w14:paraId="4D41A3A2" w14:textId="77777777" w:rsidR="00D42723" w:rsidRPr="00321163" w:rsidRDefault="00D42723" w:rsidP="00CA6249">
            <w:pPr>
              <w:spacing w:line="360" w:lineRule="auto"/>
              <w:jc w:val="both"/>
              <w:rPr>
                <w:rFonts w:ascii="Book Antiqua" w:hAnsi="Book Antiqua"/>
              </w:rPr>
            </w:pPr>
            <w:r w:rsidRPr="00321163">
              <w:rPr>
                <w:rFonts w:ascii="Book Antiqua" w:hAnsi="Book Antiqua"/>
              </w:rPr>
              <w:t>5</w:t>
            </w:r>
          </w:p>
          <w:p w14:paraId="08BD635D" w14:textId="5A04F7A9" w:rsidR="00D42723" w:rsidRPr="00321163" w:rsidRDefault="00D42723" w:rsidP="00CA6249">
            <w:pPr>
              <w:spacing w:line="360" w:lineRule="auto"/>
              <w:jc w:val="both"/>
              <w:rPr>
                <w:rFonts w:ascii="Book Antiqua" w:hAnsi="Book Antiqua"/>
              </w:rPr>
            </w:pPr>
            <w:r w:rsidRPr="00321163">
              <w:rPr>
                <w:rFonts w:ascii="Book Antiqua" w:hAnsi="Book Antiqua"/>
              </w:rPr>
              <w:t>0</w:t>
            </w:r>
          </w:p>
        </w:tc>
        <w:tc>
          <w:tcPr>
            <w:tcW w:w="1214" w:type="dxa"/>
          </w:tcPr>
          <w:p w14:paraId="0C0050D4" w14:textId="77777777" w:rsidR="005B5213" w:rsidRPr="00321163" w:rsidRDefault="00D42723" w:rsidP="00CA6249">
            <w:pPr>
              <w:spacing w:line="360" w:lineRule="auto"/>
              <w:jc w:val="both"/>
              <w:rPr>
                <w:rFonts w:ascii="Book Antiqua" w:hAnsi="Book Antiqua"/>
              </w:rPr>
            </w:pPr>
            <w:r w:rsidRPr="00321163">
              <w:rPr>
                <w:rFonts w:ascii="Book Antiqua" w:hAnsi="Book Antiqua"/>
              </w:rPr>
              <w:t>6</w:t>
            </w:r>
          </w:p>
          <w:p w14:paraId="24381CC7" w14:textId="77777777" w:rsidR="00D42723" w:rsidRPr="00321163" w:rsidRDefault="00D42723" w:rsidP="00CA6249">
            <w:pPr>
              <w:spacing w:line="360" w:lineRule="auto"/>
              <w:jc w:val="both"/>
              <w:rPr>
                <w:rFonts w:ascii="Book Antiqua" w:hAnsi="Book Antiqua"/>
              </w:rPr>
            </w:pPr>
            <w:r w:rsidRPr="00321163">
              <w:rPr>
                <w:rFonts w:ascii="Book Antiqua" w:hAnsi="Book Antiqua"/>
              </w:rPr>
              <w:t>12</w:t>
            </w:r>
          </w:p>
          <w:p w14:paraId="53332B74" w14:textId="77777777" w:rsidR="00D42723" w:rsidRPr="00321163" w:rsidRDefault="00D42723" w:rsidP="00CA6249">
            <w:pPr>
              <w:spacing w:line="360" w:lineRule="auto"/>
              <w:jc w:val="both"/>
              <w:rPr>
                <w:rFonts w:ascii="Book Antiqua" w:hAnsi="Book Antiqua"/>
              </w:rPr>
            </w:pPr>
            <w:r w:rsidRPr="00321163">
              <w:rPr>
                <w:rFonts w:ascii="Book Antiqua" w:hAnsi="Book Antiqua"/>
              </w:rPr>
              <w:t>25</w:t>
            </w:r>
          </w:p>
          <w:p w14:paraId="64999D8E" w14:textId="0000D306" w:rsidR="00D42723" w:rsidRPr="00321163" w:rsidRDefault="00D42723" w:rsidP="00CA6249">
            <w:pPr>
              <w:spacing w:line="360" w:lineRule="auto"/>
              <w:jc w:val="both"/>
              <w:rPr>
                <w:rFonts w:ascii="Book Antiqua" w:hAnsi="Book Antiqua"/>
              </w:rPr>
            </w:pPr>
            <w:r w:rsidRPr="00321163">
              <w:rPr>
                <w:rFonts w:ascii="Book Antiqua" w:hAnsi="Book Antiqua"/>
              </w:rPr>
              <w:t>1</w:t>
            </w:r>
          </w:p>
        </w:tc>
      </w:tr>
      <w:tr w:rsidR="00321163" w:rsidRPr="00321163" w14:paraId="4AF711E3" w14:textId="77777777" w:rsidTr="00431DF2">
        <w:tc>
          <w:tcPr>
            <w:tcW w:w="1771" w:type="dxa"/>
          </w:tcPr>
          <w:p w14:paraId="146955AC" w14:textId="45B4FC8E" w:rsidR="005B5213" w:rsidRPr="00321163" w:rsidRDefault="00D42723" w:rsidP="00CA6249">
            <w:pPr>
              <w:spacing w:line="360" w:lineRule="auto"/>
              <w:jc w:val="both"/>
              <w:rPr>
                <w:rFonts w:ascii="Book Antiqua" w:hAnsi="Book Antiqua"/>
              </w:rPr>
            </w:pPr>
            <w:r w:rsidRPr="00321163">
              <w:rPr>
                <w:rFonts w:ascii="Book Antiqua" w:hAnsi="Book Antiqua"/>
              </w:rPr>
              <w:t>Imaging</w:t>
            </w:r>
          </w:p>
        </w:tc>
        <w:tc>
          <w:tcPr>
            <w:tcW w:w="1847" w:type="dxa"/>
          </w:tcPr>
          <w:p w14:paraId="65E225BC" w14:textId="77777777" w:rsidR="005B5213" w:rsidRPr="00321163" w:rsidRDefault="00D42723" w:rsidP="00CA6249">
            <w:pPr>
              <w:spacing w:line="360" w:lineRule="auto"/>
              <w:jc w:val="both"/>
              <w:rPr>
                <w:rFonts w:ascii="Book Antiqua" w:hAnsi="Book Antiqua"/>
              </w:rPr>
            </w:pPr>
            <w:r w:rsidRPr="00321163">
              <w:rPr>
                <w:rFonts w:ascii="Book Antiqua" w:hAnsi="Book Antiqua"/>
              </w:rPr>
              <w:t>CBDS on US</w:t>
            </w:r>
          </w:p>
          <w:p w14:paraId="02BB117F" w14:textId="77777777" w:rsidR="00D42723" w:rsidRPr="00321163" w:rsidRDefault="00D42723" w:rsidP="00CA6249">
            <w:pPr>
              <w:spacing w:line="360" w:lineRule="auto"/>
              <w:jc w:val="both"/>
              <w:rPr>
                <w:rFonts w:ascii="Book Antiqua" w:hAnsi="Book Antiqua"/>
              </w:rPr>
            </w:pPr>
            <w:r w:rsidRPr="00321163">
              <w:rPr>
                <w:rFonts w:ascii="Book Antiqua" w:hAnsi="Book Antiqua"/>
              </w:rPr>
              <w:t>No CBDS on US</w:t>
            </w:r>
          </w:p>
          <w:p w14:paraId="28085FE8" w14:textId="756C83F7" w:rsidR="00D42723" w:rsidRPr="00321163" w:rsidRDefault="00D42723" w:rsidP="00CA6249">
            <w:pPr>
              <w:spacing w:line="360" w:lineRule="auto"/>
              <w:jc w:val="both"/>
              <w:rPr>
                <w:rFonts w:ascii="Book Antiqua" w:hAnsi="Book Antiqua"/>
              </w:rPr>
            </w:pPr>
            <w:r w:rsidRPr="00321163">
              <w:rPr>
                <w:rFonts w:ascii="Book Antiqua" w:hAnsi="Book Antiqua"/>
              </w:rPr>
              <w:t>CBDS on MRCP</w:t>
            </w:r>
          </w:p>
        </w:tc>
        <w:tc>
          <w:tcPr>
            <w:tcW w:w="1080" w:type="dxa"/>
          </w:tcPr>
          <w:p w14:paraId="583CE670" w14:textId="77777777" w:rsidR="005B5213" w:rsidRPr="00321163" w:rsidRDefault="00D42723" w:rsidP="00CA6249">
            <w:pPr>
              <w:spacing w:line="360" w:lineRule="auto"/>
              <w:jc w:val="both"/>
              <w:rPr>
                <w:rFonts w:ascii="Book Antiqua" w:hAnsi="Book Antiqua"/>
              </w:rPr>
            </w:pPr>
            <w:r w:rsidRPr="00321163">
              <w:rPr>
                <w:rFonts w:ascii="Book Antiqua" w:hAnsi="Book Antiqua"/>
              </w:rPr>
              <w:t>16</w:t>
            </w:r>
          </w:p>
          <w:p w14:paraId="318CC85B" w14:textId="77777777" w:rsidR="00D42723" w:rsidRPr="00321163" w:rsidRDefault="00D42723" w:rsidP="00CA6249">
            <w:pPr>
              <w:spacing w:line="360" w:lineRule="auto"/>
              <w:jc w:val="both"/>
              <w:rPr>
                <w:rFonts w:ascii="Book Antiqua" w:hAnsi="Book Antiqua"/>
              </w:rPr>
            </w:pPr>
            <w:r w:rsidRPr="00321163">
              <w:rPr>
                <w:rFonts w:ascii="Book Antiqua" w:hAnsi="Book Antiqua"/>
              </w:rPr>
              <w:t>21</w:t>
            </w:r>
          </w:p>
          <w:p w14:paraId="2A74B1FA" w14:textId="77777777" w:rsidR="00431DF2" w:rsidRPr="00321163" w:rsidRDefault="00431DF2" w:rsidP="00CA6249">
            <w:pPr>
              <w:spacing w:line="360" w:lineRule="auto"/>
              <w:jc w:val="both"/>
              <w:rPr>
                <w:rFonts w:ascii="Book Antiqua" w:hAnsi="Book Antiqua"/>
              </w:rPr>
            </w:pPr>
          </w:p>
          <w:p w14:paraId="64541880" w14:textId="2751EC1A" w:rsidR="00D42723" w:rsidRPr="00321163" w:rsidRDefault="00D42723" w:rsidP="00CA6249">
            <w:pPr>
              <w:spacing w:line="360" w:lineRule="auto"/>
              <w:jc w:val="both"/>
              <w:rPr>
                <w:rFonts w:ascii="Book Antiqua" w:hAnsi="Book Antiqua"/>
              </w:rPr>
            </w:pPr>
            <w:r w:rsidRPr="00321163">
              <w:rPr>
                <w:rFonts w:ascii="Book Antiqua" w:hAnsi="Book Antiqua"/>
              </w:rPr>
              <w:t>6 of 8</w:t>
            </w:r>
          </w:p>
        </w:tc>
        <w:tc>
          <w:tcPr>
            <w:tcW w:w="2386" w:type="dxa"/>
          </w:tcPr>
          <w:p w14:paraId="1645DE71" w14:textId="77777777" w:rsidR="005B5213" w:rsidRPr="00321163" w:rsidRDefault="00D42723" w:rsidP="00CA6249">
            <w:pPr>
              <w:spacing w:line="360" w:lineRule="auto"/>
              <w:jc w:val="both"/>
              <w:rPr>
                <w:rFonts w:ascii="Book Antiqua" w:hAnsi="Book Antiqua"/>
              </w:rPr>
            </w:pPr>
            <w:r w:rsidRPr="00321163">
              <w:rPr>
                <w:rFonts w:ascii="Book Antiqua" w:hAnsi="Book Antiqua"/>
              </w:rPr>
              <w:t>0</w:t>
            </w:r>
          </w:p>
          <w:p w14:paraId="1EAEA0FE" w14:textId="77777777" w:rsidR="00D42723" w:rsidRPr="00321163" w:rsidRDefault="00D42723" w:rsidP="00CA6249">
            <w:pPr>
              <w:spacing w:line="360" w:lineRule="auto"/>
              <w:jc w:val="both"/>
              <w:rPr>
                <w:rFonts w:ascii="Book Antiqua" w:hAnsi="Book Antiqua"/>
              </w:rPr>
            </w:pPr>
            <w:r w:rsidRPr="00321163">
              <w:rPr>
                <w:rFonts w:ascii="Book Antiqua" w:hAnsi="Book Antiqua"/>
              </w:rPr>
              <w:t>7</w:t>
            </w:r>
          </w:p>
          <w:p w14:paraId="59DC8049" w14:textId="77777777" w:rsidR="00431DF2" w:rsidRPr="00321163" w:rsidRDefault="00431DF2" w:rsidP="00CA6249">
            <w:pPr>
              <w:spacing w:line="360" w:lineRule="auto"/>
              <w:jc w:val="both"/>
              <w:rPr>
                <w:rFonts w:ascii="Book Antiqua" w:hAnsi="Book Antiqua"/>
              </w:rPr>
            </w:pPr>
          </w:p>
          <w:p w14:paraId="093CE2CF" w14:textId="5195CB9C" w:rsidR="00D42723" w:rsidRPr="00321163" w:rsidRDefault="00D42723" w:rsidP="00CA6249">
            <w:pPr>
              <w:spacing w:line="360" w:lineRule="auto"/>
              <w:jc w:val="both"/>
              <w:rPr>
                <w:rFonts w:ascii="Book Antiqua" w:hAnsi="Book Antiqua"/>
              </w:rPr>
            </w:pPr>
            <w:r w:rsidRPr="00321163">
              <w:rPr>
                <w:rFonts w:ascii="Book Antiqua" w:hAnsi="Book Antiqua"/>
              </w:rPr>
              <w:t>3 of 6</w:t>
            </w:r>
          </w:p>
        </w:tc>
        <w:tc>
          <w:tcPr>
            <w:tcW w:w="1214" w:type="dxa"/>
          </w:tcPr>
          <w:p w14:paraId="3C56FEDB" w14:textId="77777777" w:rsidR="005B5213" w:rsidRPr="00321163" w:rsidRDefault="00D42723" w:rsidP="00CA6249">
            <w:pPr>
              <w:spacing w:line="360" w:lineRule="auto"/>
              <w:jc w:val="both"/>
              <w:rPr>
                <w:rFonts w:ascii="Book Antiqua" w:hAnsi="Book Antiqua"/>
              </w:rPr>
            </w:pPr>
            <w:r w:rsidRPr="00321163">
              <w:rPr>
                <w:rFonts w:ascii="Book Antiqua" w:hAnsi="Book Antiqua"/>
              </w:rPr>
              <w:t>16</w:t>
            </w:r>
          </w:p>
          <w:p w14:paraId="79971F8D" w14:textId="77777777" w:rsidR="00D42723" w:rsidRPr="00321163" w:rsidRDefault="00D42723" w:rsidP="00CA6249">
            <w:pPr>
              <w:spacing w:line="360" w:lineRule="auto"/>
              <w:jc w:val="both"/>
              <w:rPr>
                <w:rFonts w:ascii="Book Antiqua" w:hAnsi="Book Antiqua"/>
              </w:rPr>
            </w:pPr>
            <w:r w:rsidRPr="00321163">
              <w:rPr>
                <w:rFonts w:ascii="Book Antiqua" w:hAnsi="Book Antiqua"/>
              </w:rPr>
              <w:t>28</w:t>
            </w:r>
          </w:p>
          <w:p w14:paraId="7B3260C2" w14:textId="77777777" w:rsidR="00431DF2" w:rsidRPr="00321163" w:rsidRDefault="00431DF2" w:rsidP="00CA6249">
            <w:pPr>
              <w:spacing w:line="360" w:lineRule="auto"/>
              <w:jc w:val="both"/>
              <w:rPr>
                <w:rFonts w:ascii="Book Antiqua" w:hAnsi="Book Antiqua"/>
              </w:rPr>
            </w:pPr>
          </w:p>
          <w:p w14:paraId="7FD5DFC9" w14:textId="4807562A" w:rsidR="00D42723" w:rsidRPr="00321163" w:rsidRDefault="00D42723" w:rsidP="00CA6249">
            <w:pPr>
              <w:spacing w:line="360" w:lineRule="auto"/>
              <w:jc w:val="both"/>
              <w:rPr>
                <w:rFonts w:ascii="Book Antiqua" w:hAnsi="Book Antiqua"/>
              </w:rPr>
            </w:pPr>
            <w:r w:rsidRPr="00321163">
              <w:rPr>
                <w:rFonts w:ascii="Book Antiqua" w:hAnsi="Book Antiqua"/>
              </w:rPr>
              <w:t>9 of 14</w:t>
            </w:r>
          </w:p>
        </w:tc>
      </w:tr>
      <w:tr w:rsidR="00D42723" w:rsidRPr="00321163" w14:paraId="761B510B" w14:textId="77777777" w:rsidTr="00431DF2">
        <w:tc>
          <w:tcPr>
            <w:tcW w:w="1771" w:type="dxa"/>
          </w:tcPr>
          <w:p w14:paraId="037612A7" w14:textId="35A24F85" w:rsidR="005B5213" w:rsidRPr="00321163" w:rsidRDefault="00D42723" w:rsidP="00CA6249">
            <w:pPr>
              <w:spacing w:line="360" w:lineRule="auto"/>
              <w:jc w:val="both"/>
              <w:rPr>
                <w:rFonts w:ascii="Book Antiqua" w:hAnsi="Book Antiqua"/>
              </w:rPr>
            </w:pPr>
            <w:r w:rsidRPr="00321163">
              <w:rPr>
                <w:rFonts w:ascii="Book Antiqua" w:hAnsi="Book Antiqua"/>
              </w:rPr>
              <w:t>Clinical</w:t>
            </w:r>
          </w:p>
        </w:tc>
        <w:tc>
          <w:tcPr>
            <w:tcW w:w="1847" w:type="dxa"/>
          </w:tcPr>
          <w:p w14:paraId="63B63455" w14:textId="1834C4AC" w:rsidR="005B5213" w:rsidRPr="00321163" w:rsidRDefault="00D42723" w:rsidP="00CA6249">
            <w:pPr>
              <w:spacing w:line="360" w:lineRule="auto"/>
              <w:jc w:val="both"/>
              <w:rPr>
                <w:rFonts w:ascii="Book Antiqua" w:hAnsi="Book Antiqua"/>
              </w:rPr>
            </w:pPr>
            <w:r w:rsidRPr="00321163">
              <w:rPr>
                <w:rFonts w:ascii="Book Antiqua" w:hAnsi="Book Antiqua"/>
              </w:rPr>
              <w:t>Gallstone pancreatitis</w:t>
            </w:r>
          </w:p>
        </w:tc>
        <w:tc>
          <w:tcPr>
            <w:tcW w:w="1080" w:type="dxa"/>
          </w:tcPr>
          <w:p w14:paraId="60028C66" w14:textId="1370E1FE" w:rsidR="005B5213" w:rsidRPr="00321163" w:rsidRDefault="00D42723" w:rsidP="00CA6249">
            <w:pPr>
              <w:spacing w:line="360" w:lineRule="auto"/>
              <w:jc w:val="both"/>
              <w:rPr>
                <w:rFonts w:ascii="Book Antiqua" w:hAnsi="Book Antiqua"/>
              </w:rPr>
            </w:pPr>
            <w:r w:rsidRPr="00321163">
              <w:rPr>
                <w:rFonts w:ascii="Book Antiqua" w:hAnsi="Book Antiqua"/>
              </w:rPr>
              <w:t>11</w:t>
            </w:r>
          </w:p>
        </w:tc>
        <w:tc>
          <w:tcPr>
            <w:tcW w:w="2386" w:type="dxa"/>
          </w:tcPr>
          <w:p w14:paraId="5CD117FE" w14:textId="6C9A883D" w:rsidR="005B5213" w:rsidRPr="00321163" w:rsidRDefault="00D42723" w:rsidP="00CA6249">
            <w:pPr>
              <w:spacing w:line="360" w:lineRule="auto"/>
              <w:jc w:val="both"/>
              <w:rPr>
                <w:rFonts w:ascii="Book Antiqua" w:hAnsi="Book Antiqua"/>
              </w:rPr>
            </w:pPr>
            <w:r w:rsidRPr="00321163">
              <w:rPr>
                <w:rFonts w:ascii="Book Antiqua" w:hAnsi="Book Antiqua"/>
              </w:rPr>
              <w:t>4</w:t>
            </w:r>
          </w:p>
        </w:tc>
        <w:tc>
          <w:tcPr>
            <w:tcW w:w="1214" w:type="dxa"/>
          </w:tcPr>
          <w:p w14:paraId="5C925D8A" w14:textId="7F698A7C" w:rsidR="005B5213" w:rsidRPr="00321163" w:rsidRDefault="00D42723" w:rsidP="00CA6249">
            <w:pPr>
              <w:spacing w:line="360" w:lineRule="auto"/>
              <w:jc w:val="both"/>
              <w:rPr>
                <w:rFonts w:ascii="Book Antiqua" w:hAnsi="Book Antiqua"/>
              </w:rPr>
            </w:pPr>
            <w:r w:rsidRPr="00321163">
              <w:rPr>
                <w:rFonts w:ascii="Book Antiqua" w:hAnsi="Book Antiqua"/>
              </w:rPr>
              <w:t>15</w:t>
            </w:r>
          </w:p>
        </w:tc>
      </w:tr>
    </w:tbl>
    <w:p w14:paraId="79526F4E" w14:textId="5166DEE6" w:rsidR="002344BF" w:rsidRPr="00321163" w:rsidRDefault="002344BF" w:rsidP="00CA6249">
      <w:pPr>
        <w:spacing w:line="360" w:lineRule="auto"/>
        <w:jc w:val="both"/>
        <w:rPr>
          <w:rFonts w:ascii="Book Antiqua" w:hAnsi="Book Antiqua"/>
        </w:rPr>
      </w:pPr>
    </w:p>
    <w:p w14:paraId="1E03AB1D" w14:textId="38865B31" w:rsidR="006C42CB" w:rsidRPr="00321163" w:rsidRDefault="00AA0A72" w:rsidP="00CA6249">
      <w:pPr>
        <w:spacing w:line="360" w:lineRule="auto"/>
        <w:jc w:val="both"/>
        <w:rPr>
          <w:rFonts w:ascii="Book Antiqua" w:eastAsia="宋体" w:hAnsi="Book Antiqua"/>
          <w:lang w:eastAsia="zh-CN"/>
        </w:rPr>
      </w:pPr>
      <w:r w:rsidRPr="00321163">
        <w:rPr>
          <w:rFonts w:ascii="Book Antiqua" w:hAnsi="Book Antiqua"/>
        </w:rPr>
        <w:t>CBDS:</w:t>
      </w:r>
      <w:r w:rsidR="00922966" w:rsidRPr="00321163">
        <w:rPr>
          <w:rFonts w:ascii="Book Antiqua" w:hAnsi="Book Antiqua"/>
        </w:rPr>
        <w:t xml:space="preserve"> </w:t>
      </w:r>
      <w:r w:rsidR="007E1300" w:rsidRPr="00321163">
        <w:rPr>
          <w:rFonts w:ascii="Book Antiqua" w:hAnsi="Book Antiqua"/>
        </w:rPr>
        <w:t>C</w:t>
      </w:r>
      <w:r w:rsidRPr="00321163">
        <w:rPr>
          <w:rFonts w:ascii="Book Antiqua" w:hAnsi="Book Antiqua"/>
        </w:rPr>
        <w:t>ommon bile duct stone</w:t>
      </w:r>
      <w:r w:rsidR="007E1300" w:rsidRPr="00321163">
        <w:rPr>
          <w:rFonts w:ascii="Book Antiqua" w:eastAsia="宋体" w:hAnsi="Book Antiqua" w:hint="eastAsia"/>
          <w:lang w:eastAsia="zh-CN"/>
        </w:rPr>
        <w:t>;</w:t>
      </w:r>
      <w:r w:rsidRPr="00321163">
        <w:rPr>
          <w:rFonts w:ascii="Book Antiqua" w:hAnsi="Book Antiqua"/>
        </w:rPr>
        <w:t xml:space="preserve"> US: </w:t>
      </w:r>
      <w:r w:rsidR="007E1300" w:rsidRPr="00321163">
        <w:rPr>
          <w:rFonts w:ascii="Book Antiqua" w:hAnsi="Book Antiqua"/>
        </w:rPr>
        <w:t>U</w:t>
      </w:r>
      <w:r w:rsidRPr="00321163">
        <w:rPr>
          <w:rFonts w:ascii="Book Antiqua" w:hAnsi="Book Antiqua"/>
        </w:rPr>
        <w:t>ltrasound</w:t>
      </w:r>
      <w:r w:rsidR="007E1300" w:rsidRPr="00321163">
        <w:rPr>
          <w:rFonts w:ascii="Book Antiqua" w:eastAsia="宋体" w:hAnsi="Book Antiqua" w:hint="eastAsia"/>
          <w:lang w:eastAsia="zh-CN"/>
        </w:rPr>
        <w:t>;</w:t>
      </w:r>
      <w:r w:rsidRPr="00321163">
        <w:rPr>
          <w:rFonts w:ascii="Book Antiqua" w:hAnsi="Book Antiqua"/>
        </w:rPr>
        <w:t xml:space="preserve"> MRCP: </w:t>
      </w:r>
      <w:r w:rsidR="007E1300" w:rsidRPr="00321163">
        <w:rPr>
          <w:rFonts w:ascii="Book Antiqua" w:hAnsi="Book Antiqua"/>
        </w:rPr>
        <w:t>M</w:t>
      </w:r>
      <w:r w:rsidRPr="00321163">
        <w:rPr>
          <w:rFonts w:ascii="Book Antiqua" w:hAnsi="Book Antiqua"/>
        </w:rPr>
        <w:t>agnetic resonance cholangiopancreatography</w:t>
      </w:r>
      <w:r w:rsidR="007E1300" w:rsidRPr="00321163">
        <w:rPr>
          <w:rFonts w:ascii="Book Antiqua" w:eastAsia="宋体" w:hAnsi="Book Antiqua" w:hint="eastAsia"/>
          <w:lang w:eastAsia="zh-CN"/>
        </w:rPr>
        <w:t>.</w:t>
      </w:r>
    </w:p>
    <w:p w14:paraId="1B41BCAF" w14:textId="77777777" w:rsidR="007E1300" w:rsidRPr="00321163" w:rsidRDefault="007E1300">
      <w:pPr>
        <w:rPr>
          <w:rFonts w:ascii="Book Antiqua" w:hAnsi="Book Antiqua"/>
        </w:rPr>
      </w:pPr>
      <w:r w:rsidRPr="00321163">
        <w:rPr>
          <w:rFonts w:ascii="Book Antiqua" w:hAnsi="Book Antiqua"/>
        </w:rPr>
        <w:br w:type="page"/>
      </w:r>
    </w:p>
    <w:p w14:paraId="251E8407" w14:textId="1C94F89A" w:rsidR="006C42CB" w:rsidRPr="00321163" w:rsidRDefault="006C42CB" w:rsidP="00CA6249">
      <w:pPr>
        <w:spacing w:line="360" w:lineRule="auto"/>
        <w:jc w:val="both"/>
        <w:rPr>
          <w:rFonts w:ascii="Book Antiqua" w:hAnsi="Book Antiqua"/>
          <w:b/>
        </w:rPr>
      </w:pPr>
      <w:r w:rsidRPr="00321163">
        <w:rPr>
          <w:rFonts w:ascii="Book Antiqua" w:hAnsi="Book Antiqua"/>
          <w:b/>
        </w:rPr>
        <w:lastRenderedPageBreak/>
        <w:t xml:space="preserve">Table </w:t>
      </w:r>
      <w:r w:rsidR="00980152" w:rsidRPr="00321163">
        <w:rPr>
          <w:rFonts w:ascii="Book Antiqua" w:eastAsia="宋体" w:hAnsi="Book Antiqua" w:hint="eastAsia"/>
          <w:b/>
          <w:lang w:eastAsia="zh-CN"/>
        </w:rPr>
        <w:t>2</w:t>
      </w:r>
      <w:r w:rsidRPr="00321163">
        <w:rPr>
          <w:rFonts w:ascii="Book Antiqua" w:hAnsi="Book Antiqua"/>
          <w:b/>
        </w:rPr>
        <w:t xml:space="preserve"> Univariate </w:t>
      </w:r>
      <w:r w:rsidR="0009370F" w:rsidRPr="00321163">
        <w:rPr>
          <w:rFonts w:ascii="Book Antiqua" w:hAnsi="Book Antiqua"/>
          <w:b/>
        </w:rPr>
        <w:t>analysis of clinical parameters with interquartile ra</w:t>
      </w:r>
      <w:r w:rsidRPr="00321163">
        <w:rPr>
          <w:rFonts w:ascii="Book Antiqua" w:hAnsi="Book Antiqua"/>
          <w:b/>
        </w:rPr>
        <w:t>nges</w:t>
      </w:r>
    </w:p>
    <w:p w14:paraId="1EBBD4FD" w14:textId="77777777" w:rsidR="006C42CB" w:rsidRPr="00321163" w:rsidRDefault="006C42CB" w:rsidP="00CA6249">
      <w:pPr>
        <w:spacing w:line="360" w:lineRule="auto"/>
        <w:jc w:val="both"/>
        <w:rPr>
          <w:rFonts w:ascii="Book Antiqua" w:hAnsi="Book Antiqua"/>
        </w:rPr>
      </w:pPr>
    </w:p>
    <w:tbl>
      <w:tblPr>
        <w:tblStyle w:val="TableGrid"/>
        <w:tblW w:w="0" w:type="auto"/>
        <w:tblLayout w:type="fixed"/>
        <w:tblLook w:val="04A0" w:firstRow="1" w:lastRow="0" w:firstColumn="1" w:lastColumn="0" w:noHBand="0" w:noVBand="1"/>
      </w:tblPr>
      <w:tblGrid>
        <w:gridCol w:w="2257"/>
        <w:gridCol w:w="1721"/>
        <w:gridCol w:w="2070"/>
        <w:gridCol w:w="1890"/>
      </w:tblGrid>
      <w:tr w:rsidR="00321163" w:rsidRPr="00321163" w14:paraId="6A03AAAB" w14:textId="77777777" w:rsidTr="0009370F">
        <w:tc>
          <w:tcPr>
            <w:tcW w:w="2257" w:type="dxa"/>
          </w:tcPr>
          <w:p w14:paraId="26E6BC96" w14:textId="77777777" w:rsidR="006C42CB" w:rsidRPr="00321163" w:rsidRDefault="006C42CB" w:rsidP="00CA6249">
            <w:pPr>
              <w:spacing w:line="360" w:lineRule="auto"/>
              <w:jc w:val="both"/>
              <w:rPr>
                <w:rFonts w:ascii="Book Antiqua" w:eastAsia="MS Gothic" w:hAnsi="Book Antiqua"/>
                <w:b/>
                <w:bCs/>
              </w:rPr>
            </w:pPr>
          </w:p>
        </w:tc>
        <w:tc>
          <w:tcPr>
            <w:tcW w:w="1721" w:type="dxa"/>
          </w:tcPr>
          <w:p w14:paraId="7CDD95B0" w14:textId="66BAC0FD"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 xml:space="preserve">Combined </w:t>
            </w:r>
            <w:r w:rsidR="00C91F82" w:rsidRPr="00321163">
              <w:rPr>
                <w:rFonts w:ascii="Book Antiqua" w:eastAsia="MS Gothic" w:hAnsi="Book Antiqua"/>
                <w:b/>
                <w:bCs/>
              </w:rPr>
              <w:t>group data</w:t>
            </w:r>
          </w:p>
          <w:p w14:paraId="5BC480EA" w14:textId="5322F26A" w:rsidR="006C42CB" w:rsidRPr="00321163" w:rsidRDefault="00C91F82" w:rsidP="00CA6249">
            <w:pPr>
              <w:spacing w:line="360" w:lineRule="auto"/>
              <w:jc w:val="both"/>
              <w:rPr>
                <w:rFonts w:ascii="Book Antiqua" w:eastAsia="MS Gothic" w:hAnsi="Book Antiqua"/>
                <w:b/>
                <w:bCs/>
              </w:rPr>
            </w:pPr>
            <w:r w:rsidRPr="00321163">
              <w:rPr>
                <w:rFonts w:ascii="Book Antiqua" w:eastAsia="MS Gothic" w:hAnsi="Book Antiqua"/>
                <w:b/>
                <w:bCs/>
              </w:rPr>
              <w:t>me</w:t>
            </w:r>
            <w:r w:rsidR="006C42CB" w:rsidRPr="00321163">
              <w:rPr>
                <w:rFonts w:ascii="Book Antiqua" w:eastAsia="MS Gothic" w:hAnsi="Book Antiqua"/>
                <w:b/>
                <w:bCs/>
              </w:rPr>
              <w:t>dian</w:t>
            </w:r>
          </w:p>
          <w:p w14:paraId="1C927424" w14:textId="77777777"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(IQR)</w:t>
            </w:r>
          </w:p>
        </w:tc>
        <w:tc>
          <w:tcPr>
            <w:tcW w:w="2070" w:type="dxa"/>
          </w:tcPr>
          <w:p w14:paraId="397E4878" w14:textId="77777777"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Group 1</w:t>
            </w:r>
          </w:p>
          <w:p w14:paraId="3CAEF0B2" w14:textId="5A612C6F" w:rsidR="006C42CB" w:rsidRPr="00321163" w:rsidRDefault="00C91F82" w:rsidP="00CA6249">
            <w:pPr>
              <w:spacing w:line="360" w:lineRule="auto"/>
              <w:jc w:val="both"/>
              <w:rPr>
                <w:rFonts w:ascii="Book Antiqua" w:eastAsia="MS Gothic" w:hAnsi="Book Antiqua"/>
                <w:b/>
                <w:bCs/>
              </w:rPr>
            </w:pPr>
            <w:r w:rsidRPr="00321163">
              <w:rPr>
                <w:rFonts w:ascii="Book Antiqua" w:eastAsia="MS Gothic" w:hAnsi="Book Antiqua"/>
                <w:b/>
                <w:bCs/>
              </w:rPr>
              <w:t>m</w:t>
            </w:r>
            <w:r w:rsidR="006C42CB" w:rsidRPr="00321163">
              <w:rPr>
                <w:rFonts w:ascii="Book Antiqua" w:eastAsia="MS Gothic" w:hAnsi="Book Antiqua"/>
                <w:b/>
                <w:bCs/>
              </w:rPr>
              <w:t>edian</w:t>
            </w:r>
          </w:p>
          <w:p w14:paraId="1E54B2FC" w14:textId="77777777"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(IQR)</w:t>
            </w:r>
          </w:p>
        </w:tc>
        <w:tc>
          <w:tcPr>
            <w:tcW w:w="1890" w:type="dxa"/>
          </w:tcPr>
          <w:p w14:paraId="32632A9D" w14:textId="77777777"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 xml:space="preserve"> Group 2</w:t>
            </w:r>
          </w:p>
          <w:p w14:paraId="2166A44D" w14:textId="5D323257" w:rsidR="006C42CB" w:rsidRPr="00321163" w:rsidRDefault="00C91F82" w:rsidP="00CA6249">
            <w:pPr>
              <w:spacing w:line="360" w:lineRule="auto"/>
              <w:jc w:val="both"/>
              <w:rPr>
                <w:rFonts w:ascii="Book Antiqua" w:eastAsia="MS Gothic" w:hAnsi="Book Antiqua"/>
                <w:b/>
                <w:bCs/>
              </w:rPr>
            </w:pPr>
            <w:r w:rsidRPr="00321163">
              <w:rPr>
                <w:rFonts w:ascii="Book Antiqua" w:eastAsia="MS Gothic" w:hAnsi="Book Antiqua"/>
                <w:b/>
                <w:bCs/>
              </w:rPr>
              <w:t>m</w:t>
            </w:r>
            <w:r w:rsidR="006C42CB" w:rsidRPr="00321163">
              <w:rPr>
                <w:rFonts w:ascii="Book Antiqua" w:eastAsia="MS Gothic" w:hAnsi="Book Antiqua"/>
                <w:b/>
                <w:bCs/>
              </w:rPr>
              <w:t>edian</w:t>
            </w:r>
          </w:p>
          <w:p w14:paraId="79B9DA96" w14:textId="77777777"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(IQR)</w:t>
            </w:r>
          </w:p>
        </w:tc>
      </w:tr>
      <w:tr w:rsidR="00321163" w:rsidRPr="00321163" w14:paraId="40C72B33" w14:textId="77777777" w:rsidTr="0009370F">
        <w:tc>
          <w:tcPr>
            <w:tcW w:w="2257" w:type="dxa"/>
          </w:tcPr>
          <w:p w14:paraId="29B75DD4" w14:textId="79228163" w:rsidR="006C42CB" w:rsidRPr="00321163" w:rsidRDefault="00C91F82" w:rsidP="00CA6249">
            <w:pPr>
              <w:spacing w:line="360" w:lineRule="auto"/>
              <w:jc w:val="both"/>
              <w:rPr>
                <w:rFonts w:ascii="Book Antiqua" w:eastAsia="MS Gothic" w:hAnsi="Book Antiqua"/>
                <w:b/>
                <w:bCs/>
              </w:rPr>
            </w:pPr>
            <w:r w:rsidRPr="00321163">
              <w:rPr>
                <w:rFonts w:ascii="Book Antiqua" w:eastAsia="MS Gothic" w:hAnsi="Book Antiqua"/>
                <w:b/>
                <w:bCs/>
              </w:rPr>
              <w:t>Age (</w:t>
            </w:r>
            <w:proofErr w:type="spellStart"/>
            <w:r w:rsidRPr="00321163">
              <w:rPr>
                <w:rFonts w:ascii="Book Antiqua" w:eastAsia="MS Gothic" w:hAnsi="Book Antiqua"/>
                <w:b/>
                <w:bCs/>
              </w:rPr>
              <w:t>yr</w:t>
            </w:r>
            <w:proofErr w:type="spellEnd"/>
            <w:r w:rsidR="006C42CB" w:rsidRPr="00321163">
              <w:rPr>
                <w:rFonts w:ascii="Book Antiqua" w:eastAsia="MS Gothic" w:hAnsi="Book Antiqua"/>
                <w:b/>
                <w:bCs/>
              </w:rPr>
              <w:t>)</w:t>
            </w:r>
          </w:p>
        </w:tc>
        <w:tc>
          <w:tcPr>
            <w:tcW w:w="1721" w:type="dxa"/>
          </w:tcPr>
          <w:p w14:paraId="7A976395" w14:textId="77777777" w:rsidR="006C42CB" w:rsidRPr="00321163" w:rsidRDefault="006C42CB" w:rsidP="00CA6249">
            <w:pPr>
              <w:spacing w:line="360" w:lineRule="auto"/>
              <w:jc w:val="both"/>
              <w:rPr>
                <w:rFonts w:ascii="Book Antiqua" w:hAnsi="Book Antiqua"/>
              </w:rPr>
            </w:pPr>
            <w:r w:rsidRPr="00321163">
              <w:rPr>
                <w:rFonts w:ascii="Book Antiqua" w:hAnsi="Book Antiqua"/>
              </w:rPr>
              <w:t>15.8</w:t>
            </w:r>
          </w:p>
          <w:p w14:paraId="1CD4359B" w14:textId="3BCA9AAB" w:rsidR="006C42CB" w:rsidRPr="00321163" w:rsidRDefault="006C42CB" w:rsidP="00CA6249">
            <w:pPr>
              <w:spacing w:line="360" w:lineRule="auto"/>
              <w:jc w:val="both"/>
              <w:rPr>
                <w:rFonts w:ascii="Book Antiqua" w:hAnsi="Book Antiqua"/>
              </w:rPr>
            </w:pPr>
            <w:r w:rsidRPr="00321163">
              <w:rPr>
                <w:rFonts w:ascii="Book Antiqua" w:hAnsi="Book Antiqua"/>
              </w:rPr>
              <w:t>(12.5,</w:t>
            </w:r>
            <w:r w:rsidR="00C91F82" w:rsidRPr="00321163">
              <w:rPr>
                <w:rFonts w:ascii="Book Antiqua" w:eastAsia="宋体" w:hAnsi="Book Antiqua" w:hint="eastAsia"/>
                <w:lang w:eastAsia="zh-CN"/>
              </w:rPr>
              <w:t xml:space="preserve"> </w:t>
            </w:r>
            <w:r w:rsidRPr="00321163">
              <w:rPr>
                <w:rFonts w:ascii="Book Antiqua" w:hAnsi="Book Antiqua"/>
              </w:rPr>
              <w:t>17.3)</w:t>
            </w:r>
          </w:p>
        </w:tc>
        <w:tc>
          <w:tcPr>
            <w:tcW w:w="2070" w:type="dxa"/>
          </w:tcPr>
          <w:p w14:paraId="14193322" w14:textId="77777777" w:rsidR="006C42CB" w:rsidRPr="00321163" w:rsidRDefault="006C42CB" w:rsidP="00CA6249">
            <w:pPr>
              <w:spacing w:line="360" w:lineRule="auto"/>
              <w:jc w:val="both"/>
              <w:rPr>
                <w:rFonts w:ascii="Book Antiqua" w:hAnsi="Book Antiqua"/>
              </w:rPr>
            </w:pPr>
            <w:r w:rsidRPr="00321163">
              <w:rPr>
                <w:rFonts w:ascii="Book Antiqua" w:hAnsi="Book Antiqua"/>
              </w:rPr>
              <w:t>16.1</w:t>
            </w:r>
          </w:p>
          <w:p w14:paraId="25CB5F31" w14:textId="669C5495" w:rsidR="006C42CB" w:rsidRPr="00321163" w:rsidRDefault="006C42CB" w:rsidP="00CA6249">
            <w:pPr>
              <w:spacing w:line="360" w:lineRule="auto"/>
              <w:jc w:val="both"/>
              <w:rPr>
                <w:rFonts w:ascii="Book Antiqua" w:hAnsi="Book Antiqua"/>
              </w:rPr>
            </w:pPr>
            <w:r w:rsidRPr="00321163">
              <w:rPr>
                <w:rFonts w:ascii="Book Antiqua" w:hAnsi="Book Antiqua"/>
              </w:rPr>
              <w:t>(12.2,</w:t>
            </w:r>
            <w:r w:rsidR="00C91F82" w:rsidRPr="00321163">
              <w:rPr>
                <w:rFonts w:ascii="Book Antiqua" w:eastAsia="宋体" w:hAnsi="Book Antiqua" w:hint="eastAsia"/>
                <w:lang w:eastAsia="zh-CN"/>
              </w:rPr>
              <w:t xml:space="preserve"> </w:t>
            </w:r>
            <w:r w:rsidRPr="00321163">
              <w:rPr>
                <w:rFonts w:ascii="Book Antiqua" w:hAnsi="Book Antiqua"/>
              </w:rPr>
              <w:t>17.3)</w:t>
            </w:r>
          </w:p>
        </w:tc>
        <w:tc>
          <w:tcPr>
            <w:tcW w:w="1890" w:type="dxa"/>
          </w:tcPr>
          <w:p w14:paraId="060FAB5A" w14:textId="77777777" w:rsidR="006C42CB" w:rsidRPr="00321163" w:rsidRDefault="006C42CB" w:rsidP="00CA6249">
            <w:pPr>
              <w:spacing w:line="360" w:lineRule="auto"/>
              <w:jc w:val="both"/>
              <w:rPr>
                <w:rFonts w:ascii="Book Antiqua" w:hAnsi="Book Antiqua"/>
              </w:rPr>
            </w:pPr>
            <w:r w:rsidRPr="00321163">
              <w:rPr>
                <w:rFonts w:ascii="Book Antiqua" w:hAnsi="Book Antiqua"/>
              </w:rPr>
              <w:t>14.8</w:t>
            </w:r>
          </w:p>
          <w:p w14:paraId="222D594A" w14:textId="1665B664" w:rsidR="006C42CB" w:rsidRPr="00321163" w:rsidRDefault="006C42CB" w:rsidP="00CA6249">
            <w:pPr>
              <w:spacing w:line="360" w:lineRule="auto"/>
              <w:jc w:val="both"/>
              <w:rPr>
                <w:rFonts w:ascii="Book Antiqua" w:hAnsi="Book Antiqua"/>
              </w:rPr>
            </w:pPr>
            <w:r w:rsidRPr="00321163">
              <w:rPr>
                <w:rFonts w:ascii="Book Antiqua" w:hAnsi="Book Antiqua"/>
              </w:rPr>
              <w:t>(12.5,</w:t>
            </w:r>
            <w:r w:rsidR="00C91F82" w:rsidRPr="00321163">
              <w:rPr>
                <w:rFonts w:ascii="Book Antiqua" w:eastAsia="宋体" w:hAnsi="Book Antiqua" w:hint="eastAsia"/>
                <w:lang w:eastAsia="zh-CN"/>
              </w:rPr>
              <w:t xml:space="preserve"> </w:t>
            </w:r>
            <w:r w:rsidRPr="00321163">
              <w:rPr>
                <w:rFonts w:ascii="Book Antiqua" w:hAnsi="Book Antiqua"/>
              </w:rPr>
              <w:t>15.4)</w:t>
            </w:r>
          </w:p>
        </w:tc>
      </w:tr>
      <w:tr w:rsidR="00321163" w:rsidRPr="00321163" w14:paraId="2BDE53BB" w14:textId="77777777" w:rsidTr="0009370F">
        <w:tc>
          <w:tcPr>
            <w:tcW w:w="2257" w:type="dxa"/>
          </w:tcPr>
          <w:p w14:paraId="33D109A9" w14:textId="12D02937" w:rsidR="006C42CB" w:rsidRPr="00321163" w:rsidRDefault="00C91F82" w:rsidP="00CA6249">
            <w:pPr>
              <w:spacing w:line="360" w:lineRule="auto"/>
              <w:jc w:val="both"/>
              <w:rPr>
                <w:rFonts w:ascii="Book Antiqua" w:eastAsia="MS Gothic" w:hAnsi="Book Antiqua"/>
                <w:b/>
                <w:bCs/>
              </w:rPr>
            </w:pPr>
            <w:r w:rsidRPr="00321163">
              <w:rPr>
                <w:rFonts w:ascii="Book Antiqua" w:eastAsia="MS Gothic" w:hAnsi="Book Antiqua"/>
                <w:b/>
                <w:bCs/>
              </w:rPr>
              <w:t>Time to procedure (d</w:t>
            </w:r>
            <w:r w:rsidR="006C42CB" w:rsidRPr="00321163">
              <w:rPr>
                <w:rFonts w:ascii="Book Antiqua" w:eastAsia="MS Gothic" w:hAnsi="Book Antiqua"/>
                <w:b/>
                <w:bCs/>
              </w:rPr>
              <w:t>)</w:t>
            </w:r>
          </w:p>
        </w:tc>
        <w:tc>
          <w:tcPr>
            <w:tcW w:w="1721" w:type="dxa"/>
          </w:tcPr>
          <w:p w14:paraId="756C72D4" w14:textId="77777777" w:rsidR="006C42CB" w:rsidRPr="00321163" w:rsidRDefault="006C42CB" w:rsidP="00CA6249">
            <w:pPr>
              <w:spacing w:line="360" w:lineRule="auto"/>
              <w:jc w:val="both"/>
              <w:rPr>
                <w:rFonts w:ascii="Book Antiqua" w:hAnsi="Book Antiqua"/>
              </w:rPr>
            </w:pPr>
            <w:r w:rsidRPr="00321163">
              <w:rPr>
                <w:rFonts w:ascii="Book Antiqua" w:hAnsi="Book Antiqua"/>
              </w:rPr>
              <w:t>2.0</w:t>
            </w:r>
          </w:p>
          <w:p w14:paraId="5C7E386F" w14:textId="77777777" w:rsidR="006C42CB" w:rsidRPr="00321163" w:rsidRDefault="006C42CB" w:rsidP="00CA6249">
            <w:pPr>
              <w:spacing w:line="360" w:lineRule="auto"/>
              <w:jc w:val="both"/>
              <w:rPr>
                <w:rFonts w:ascii="Book Antiqua" w:hAnsi="Book Antiqua"/>
              </w:rPr>
            </w:pPr>
            <w:r w:rsidRPr="00321163">
              <w:rPr>
                <w:rFonts w:ascii="Book Antiqua" w:hAnsi="Book Antiqua"/>
              </w:rPr>
              <w:t>(1.0, 2.3)</w:t>
            </w:r>
          </w:p>
        </w:tc>
        <w:tc>
          <w:tcPr>
            <w:tcW w:w="2070" w:type="dxa"/>
          </w:tcPr>
          <w:p w14:paraId="7147D941" w14:textId="77777777" w:rsidR="006C42CB" w:rsidRPr="00321163" w:rsidRDefault="006C42CB" w:rsidP="00CA6249">
            <w:pPr>
              <w:spacing w:line="360" w:lineRule="auto"/>
              <w:jc w:val="both"/>
              <w:rPr>
                <w:rFonts w:ascii="Book Antiqua" w:hAnsi="Book Antiqua"/>
              </w:rPr>
            </w:pPr>
            <w:r w:rsidRPr="00321163">
              <w:rPr>
                <w:rFonts w:ascii="Book Antiqua" w:hAnsi="Book Antiqua"/>
              </w:rPr>
              <w:t>2.0</w:t>
            </w:r>
          </w:p>
          <w:p w14:paraId="6C669822" w14:textId="5712E122" w:rsidR="006C42CB" w:rsidRPr="00321163" w:rsidRDefault="006C42CB" w:rsidP="00CA6249">
            <w:pPr>
              <w:spacing w:line="360" w:lineRule="auto"/>
              <w:jc w:val="both"/>
              <w:rPr>
                <w:rFonts w:ascii="Book Antiqua" w:hAnsi="Book Antiqua"/>
              </w:rPr>
            </w:pPr>
            <w:r w:rsidRPr="00321163">
              <w:rPr>
                <w:rFonts w:ascii="Book Antiqua" w:hAnsi="Book Antiqua"/>
              </w:rPr>
              <w:t>(1.0,</w:t>
            </w:r>
            <w:r w:rsidR="00C91F82" w:rsidRPr="00321163">
              <w:rPr>
                <w:rFonts w:ascii="Book Antiqua" w:eastAsia="宋体" w:hAnsi="Book Antiqua" w:hint="eastAsia"/>
                <w:lang w:eastAsia="zh-CN"/>
              </w:rPr>
              <w:t xml:space="preserve"> </w:t>
            </w:r>
            <w:r w:rsidRPr="00321163">
              <w:rPr>
                <w:rFonts w:ascii="Book Antiqua" w:hAnsi="Book Antiqua"/>
              </w:rPr>
              <w:t>2.0)</w:t>
            </w:r>
          </w:p>
        </w:tc>
        <w:tc>
          <w:tcPr>
            <w:tcW w:w="1890" w:type="dxa"/>
          </w:tcPr>
          <w:p w14:paraId="36E74491" w14:textId="77777777" w:rsidR="006C42CB" w:rsidRPr="00321163" w:rsidRDefault="006C42CB" w:rsidP="00CA6249">
            <w:pPr>
              <w:spacing w:line="360" w:lineRule="auto"/>
              <w:jc w:val="both"/>
              <w:rPr>
                <w:rFonts w:ascii="Book Antiqua" w:hAnsi="Book Antiqua"/>
              </w:rPr>
            </w:pPr>
            <w:r w:rsidRPr="00321163">
              <w:rPr>
                <w:rFonts w:ascii="Book Antiqua" w:hAnsi="Book Antiqua"/>
              </w:rPr>
              <w:t>2.0</w:t>
            </w:r>
          </w:p>
          <w:p w14:paraId="613E3E06" w14:textId="77777777" w:rsidR="006C42CB" w:rsidRPr="00321163" w:rsidRDefault="006C42CB" w:rsidP="00CA6249">
            <w:pPr>
              <w:spacing w:line="360" w:lineRule="auto"/>
              <w:jc w:val="both"/>
              <w:rPr>
                <w:rFonts w:ascii="Book Antiqua" w:hAnsi="Book Antiqua"/>
              </w:rPr>
            </w:pPr>
            <w:r w:rsidRPr="00321163">
              <w:rPr>
                <w:rFonts w:ascii="Book Antiqua" w:hAnsi="Book Antiqua"/>
              </w:rPr>
              <w:t>(1.0-3.0)</w:t>
            </w:r>
          </w:p>
        </w:tc>
      </w:tr>
      <w:tr w:rsidR="00321163" w:rsidRPr="00321163" w14:paraId="6D0E4A92" w14:textId="77777777" w:rsidTr="0009370F">
        <w:tc>
          <w:tcPr>
            <w:tcW w:w="2257" w:type="dxa"/>
          </w:tcPr>
          <w:p w14:paraId="0B3F07D3" w14:textId="77777777"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US CBD diameter (mm)</w:t>
            </w:r>
          </w:p>
        </w:tc>
        <w:tc>
          <w:tcPr>
            <w:tcW w:w="1721" w:type="dxa"/>
          </w:tcPr>
          <w:p w14:paraId="0C1BE9CB" w14:textId="77777777" w:rsidR="006C42CB" w:rsidRPr="00321163" w:rsidRDefault="006C42CB" w:rsidP="00CA6249">
            <w:pPr>
              <w:spacing w:line="360" w:lineRule="auto"/>
              <w:jc w:val="both"/>
              <w:rPr>
                <w:rFonts w:ascii="Book Antiqua" w:hAnsi="Book Antiqua"/>
              </w:rPr>
            </w:pPr>
            <w:r w:rsidRPr="00321163">
              <w:rPr>
                <w:rFonts w:ascii="Book Antiqua" w:hAnsi="Book Antiqua"/>
              </w:rPr>
              <w:t>8.8</w:t>
            </w:r>
          </w:p>
          <w:p w14:paraId="25E4D6CE" w14:textId="77777777" w:rsidR="006C42CB" w:rsidRPr="00321163" w:rsidRDefault="006C42CB" w:rsidP="00CA6249">
            <w:pPr>
              <w:spacing w:line="360" w:lineRule="auto"/>
              <w:jc w:val="both"/>
              <w:rPr>
                <w:rFonts w:ascii="Book Antiqua" w:hAnsi="Book Antiqua"/>
              </w:rPr>
            </w:pPr>
            <w:r w:rsidRPr="00321163">
              <w:rPr>
                <w:rFonts w:ascii="Book Antiqua" w:hAnsi="Book Antiqua"/>
              </w:rPr>
              <w:t>(6.8, 10.5)</w:t>
            </w:r>
          </w:p>
        </w:tc>
        <w:tc>
          <w:tcPr>
            <w:tcW w:w="2070" w:type="dxa"/>
          </w:tcPr>
          <w:p w14:paraId="5711704E" w14:textId="77777777" w:rsidR="006C42CB" w:rsidRPr="00321163" w:rsidRDefault="006C42CB" w:rsidP="00CA6249">
            <w:pPr>
              <w:spacing w:line="360" w:lineRule="auto"/>
              <w:jc w:val="both"/>
              <w:rPr>
                <w:rFonts w:ascii="Book Antiqua" w:hAnsi="Book Antiqua"/>
              </w:rPr>
            </w:pPr>
            <w:r w:rsidRPr="00321163">
              <w:rPr>
                <w:rFonts w:ascii="Book Antiqua" w:hAnsi="Book Antiqua"/>
              </w:rPr>
              <w:t>9.0</w:t>
            </w:r>
          </w:p>
          <w:p w14:paraId="530E4783" w14:textId="56C9E78A" w:rsidR="006C42CB" w:rsidRPr="00321163" w:rsidRDefault="006C42CB" w:rsidP="00CA6249">
            <w:pPr>
              <w:spacing w:line="360" w:lineRule="auto"/>
              <w:jc w:val="both"/>
              <w:rPr>
                <w:rFonts w:ascii="Book Antiqua" w:hAnsi="Book Antiqua"/>
              </w:rPr>
            </w:pPr>
            <w:r w:rsidRPr="00321163">
              <w:rPr>
                <w:rFonts w:ascii="Book Antiqua" w:hAnsi="Book Antiqua"/>
              </w:rPr>
              <w:t>(7.0,</w:t>
            </w:r>
            <w:r w:rsidR="00C91F82" w:rsidRPr="00321163">
              <w:rPr>
                <w:rFonts w:ascii="Book Antiqua" w:eastAsia="宋体" w:hAnsi="Book Antiqua" w:hint="eastAsia"/>
                <w:lang w:eastAsia="zh-CN"/>
              </w:rPr>
              <w:t xml:space="preserve"> </w:t>
            </w:r>
            <w:r w:rsidRPr="00321163">
              <w:rPr>
                <w:rFonts w:ascii="Book Antiqua" w:hAnsi="Book Antiqua"/>
              </w:rPr>
              <w:t>11.0)</w:t>
            </w:r>
          </w:p>
        </w:tc>
        <w:tc>
          <w:tcPr>
            <w:tcW w:w="1890" w:type="dxa"/>
          </w:tcPr>
          <w:p w14:paraId="65DA4AFF" w14:textId="77777777" w:rsidR="006C42CB" w:rsidRPr="00321163" w:rsidRDefault="006C42CB" w:rsidP="00CA6249">
            <w:pPr>
              <w:spacing w:line="360" w:lineRule="auto"/>
              <w:jc w:val="both"/>
              <w:rPr>
                <w:rFonts w:ascii="Book Antiqua" w:hAnsi="Book Antiqua"/>
              </w:rPr>
            </w:pPr>
            <w:r w:rsidRPr="00321163">
              <w:rPr>
                <w:rFonts w:ascii="Book Antiqua" w:hAnsi="Book Antiqua"/>
              </w:rPr>
              <w:t>8.0</w:t>
            </w:r>
          </w:p>
          <w:p w14:paraId="027C13BF" w14:textId="77777777" w:rsidR="006C42CB" w:rsidRPr="00321163" w:rsidRDefault="006C42CB" w:rsidP="00CA6249">
            <w:pPr>
              <w:spacing w:line="360" w:lineRule="auto"/>
              <w:jc w:val="both"/>
              <w:rPr>
                <w:rFonts w:ascii="Book Antiqua" w:hAnsi="Book Antiqua"/>
              </w:rPr>
            </w:pPr>
            <w:r w:rsidRPr="00321163">
              <w:rPr>
                <w:rFonts w:ascii="Book Antiqua" w:hAnsi="Book Antiqua"/>
              </w:rPr>
              <w:t>(6.1-10.0)</w:t>
            </w:r>
          </w:p>
        </w:tc>
      </w:tr>
      <w:tr w:rsidR="00321163" w:rsidRPr="00321163" w14:paraId="33337943" w14:textId="77777777" w:rsidTr="0009370F">
        <w:tc>
          <w:tcPr>
            <w:tcW w:w="2257" w:type="dxa"/>
          </w:tcPr>
          <w:p w14:paraId="584FA81E" w14:textId="3488271C"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ERCP</w:t>
            </w:r>
            <w:r w:rsidR="0017158B" w:rsidRPr="00321163">
              <w:rPr>
                <w:rFonts w:ascii="Book Antiqua" w:eastAsia="MS Gothic" w:hAnsi="Book Antiqua"/>
                <w:b/>
                <w:bCs/>
              </w:rPr>
              <w:t xml:space="preserve"> </w:t>
            </w:r>
            <w:r w:rsidRPr="00321163">
              <w:rPr>
                <w:rFonts w:ascii="Book Antiqua" w:eastAsia="MS Gothic" w:hAnsi="Book Antiqua"/>
                <w:b/>
                <w:bCs/>
              </w:rPr>
              <w:t>CBD diameter (mm)</w:t>
            </w:r>
          </w:p>
        </w:tc>
        <w:tc>
          <w:tcPr>
            <w:tcW w:w="1721" w:type="dxa"/>
          </w:tcPr>
          <w:p w14:paraId="02F17905" w14:textId="77777777" w:rsidR="006C42CB" w:rsidRPr="00321163" w:rsidRDefault="006C42CB" w:rsidP="00CA6249">
            <w:pPr>
              <w:spacing w:line="360" w:lineRule="auto"/>
              <w:jc w:val="both"/>
              <w:rPr>
                <w:rFonts w:ascii="Book Antiqua" w:hAnsi="Book Antiqua"/>
              </w:rPr>
            </w:pPr>
            <w:r w:rsidRPr="00321163">
              <w:rPr>
                <w:rFonts w:ascii="Book Antiqua" w:hAnsi="Book Antiqua"/>
              </w:rPr>
              <w:t>11.0</w:t>
            </w:r>
          </w:p>
          <w:p w14:paraId="04BC5A6F" w14:textId="77777777" w:rsidR="006C42CB" w:rsidRPr="00321163" w:rsidRDefault="006C42CB" w:rsidP="00CA6249">
            <w:pPr>
              <w:spacing w:line="360" w:lineRule="auto"/>
              <w:jc w:val="both"/>
              <w:rPr>
                <w:rFonts w:ascii="Book Antiqua" w:hAnsi="Book Antiqua"/>
              </w:rPr>
            </w:pPr>
            <w:r w:rsidRPr="00321163">
              <w:rPr>
                <w:rFonts w:ascii="Book Antiqua" w:hAnsi="Book Antiqua"/>
              </w:rPr>
              <w:t>(9.0, 13.0)</w:t>
            </w:r>
          </w:p>
        </w:tc>
        <w:tc>
          <w:tcPr>
            <w:tcW w:w="2070" w:type="dxa"/>
          </w:tcPr>
          <w:p w14:paraId="48E60ED8" w14:textId="77777777" w:rsidR="006C42CB" w:rsidRPr="00321163" w:rsidRDefault="006C42CB" w:rsidP="00CA6249">
            <w:pPr>
              <w:spacing w:line="360" w:lineRule="auto"/>
              <w:jc w:val="both"/>
              <w:rPr>
                <w:rFonts w:ascii="Book Antiqua" w:hAnsi="Book Antiqua"/>
              </w:rPr>
            </w:pPr>
            <w:r w:rsidRPr="00321163">
              <w:rPr>
                <w:rFonts w:ascii="Book Antiqua" w:hAnsi="Book Antiqua"/>
              </w:rPr>
              <w:t>11.0</w:t>
            </w:r>
          </w:p>
          <w:p w14:paraId="3CD45FFB" w14:textId="7EA39ECE" w:rsidR="006C42CB" w:rsidRPr="00321163" w:rsidRDefault="006C42CB" w:rsidP="00CA6249">
            <w:pPr>
              <w:spacing w:line="360" w:lineRule="auto"/>
              <w:jc w:val="both"/>
              <w:rPr>
                <w:rFonts w:ascii="Book Antiqua" w:hAnsi="Book Antiqua"/>
              </w:rPr>
            </w:pPr>
            <w:r w:rsidRPr="00321163">
              <w:rPr>
                <w:rFonts w:ascii="Book Antiqua" w:hAnsi="Book Antiqua"/>
              </w:rPr>
              <w:t>(9.3,</w:t>
            </w:r>
            <w:r w:rsidR="00C91F82" w:rsidRPr="00321163">
              <w:rPr>
                <w:rFonts w:ascii="Book Antiqua" w:eastAsia="宋体" w:hAnsi="Book Antiqua" w:hint="eastAsia"/>
                <w:lang w:eastAsia="zh-CN"/>
              </w:rPr>
              <w:t xml:space="preserve"> </w:t>
            </w:r>
            <w:r w:rsidRPr="00321163">
              <w:rPr>
                <w:rFonts w:ascii="Book Antiqua" w:hAnsi="Book Antiqua"/>
              </w:rPr>
              <w:t>13)</w:t>
            </w:r>
          </w:p>
        </w:tc>
        <w:tc>
          <w:tcPr>
            <w:tcW w:w="1890" w:type="dxa"/>
          </w:tcPr>
          <w:p w14:paraId="3A7303D7" w14:textId="77777777" w:rsidR="006C42CB" w:rsidRPr="00321163" w:rsidRDefault="006C42CB" w:rsidP="00CA6249">
            <w:pPr>
              <w:spacing w:line="360" w:lineRule="auto"/>
              <w:jc w:val="both"/>
              <w:rPr>
                <w:rFonts w:ascii="Book Antiqua" w:hAnsi="Book Antiqua"/>
              </w:rPr>
            </w:pPr>
            <w:r w:rsidRPr="00321163">
              <w:rPr>
                <w:rFonts w:ascii="Book Antiqua" w:hAnsi="Book Antiqua"/>
              </w:rPr>
              <w:t>9.0</w:t>
            </w:r>
          </w:p>
          <w:p w14:paraId="696718E8" w14:textId="1AC47AB1" w:rsidR="006C42CB" w:rsidRPr="00321163" w:rsidRDefault="006C42CB" w:rsidP="00CA6249">
            <w:pPr>
              <w:spacing w:line="360" w:lineRule="auto"/>
              <w:jc w:val="both"/>
              <w:rPr>
                <w:rFonts w:ascii="Book Antiqua" w:hAnsi="Book Antiqua"/>
              </w:rPr>
            </w:pPr>
            <w:r w:rsidRPr="00321163">
              <w:rPr>
                <w:rFonts w:ascii="Book Antiqua" w:hAnsi="Book Antiqua"/>
              </w:rPr>
              <w:t>(7.0,</w:t>
            </w:r>
            <w:r w:rsidR="00C91F82" w:rsidRPr="00321163">
              <w:rPr>
                <w:rFonts w:ascii="Book Antiqua" w:eastAsia="宋体" w:hAnsi="Book Antiqua" w:hint="eastAsia"/>
                <w:lang w:eastAsia="zh-CN"/>
              </w:rPr>
              <w:t xml:space="preserve"> </w:t>
            </w:r>
            <w:r w:rsidRPr="00321163">
              <w:rPr>
                <w:rFonts w:ascii="Book Antiqua" w:hAnsi="Book Antiqua"/>
              </w:rPr>
              <w:t>10.0)</w:t>
            </w:r>
          </w:p>
        </w:tc>
      </w:tr>
      <w:tr w:rsidR="00321163" w:rsidRPr="00321163" w14:paraId="343C95FF" w14:textId="77777777" w:rsidTr="0009370F">
        <w:tc>
          <w:tcPr>
            <w:tcW w:w="2257" w:type="dxa"/>
          </w:tcPr>
          <w:p w14:paraId="58BFD847" w14:textId="56FB04DE"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 xml:space="preserve">Total </w:t>
            </w:r>
            <w:r w:rsidR="005677FA" w:rsidRPr="00321163">
              <w:rPr>
                <w:rFonts w:ascii="Book Antiqua" w:eastAsia="MS Gothic" w:hAnsi="Book Antiqua"/>
                <w:b/>
                <w:bCs/>
              </w:rPr>
              <w:t>b</w:t>
            </w:r>
            <w:r w:rsidRPr="00321163">
              <w:rPr>
                <w:rFonts w:ascii="Book Antiqua" w:eastAsia="MS Gothic" w:hAnsi="Book Antiqua"/>
                <w:b/>
                <w:bCs/>
              </w:rPr>
              <w:t>ilirubin (mg/</w:t>
            </w:r>
            <w:proofErr w:type="spellStart"/>
            <w:r w:rsidRPr="00321163">
              <w:rPr>
                <w:rFonts w:ascii="Book Antiqua" w:eastAsia="MS Gothic" w:hAnsi="Book Antiqua"/>
                <w:b/>
                <w:bCs/>
              </w:rPr>
              <w:t>dL</w:t>
            </w:r>
            <w:proofErr w:type="spellEnd"/>
            <w:r w:rsidRPr="00321163">
              <w:rPr>
                <w:rFonts w:ascii="Book Antiqua" w:eastAsia="MS Gothic" w:hAnsi="Book Antiqua"/>
                <w:b/>
                <w:bCs/>
              </w:rPr>
              <w:t>)</w:t>
            </w:r>
          </w:p>
        </w:tc>
        <w:tc>
          <w:tcPr>
            <w:tcW w:w="1721" w:type="dxa"/>
          </w:tcPr>
          <w:p w14:paraId="52D90CEF" w14:textId="77777777" w:rsidR="006C42CB" w:rsidRPr="00321163" w:rsidRDefault="006C42CB" w:rsidP="00CA6249">
            <w:pPr>
              <w:spacing w:line="360" w:lineRule="auto"/>
              <w:jc w:val="both"/>
              <w:rPr>
                <w:rFonts w:ascii="Book Antiqua" w:hAnsi="Book Antiqua"/>
              </w:rPr>
            </w:pPr>
            <w:r w:rsidRPr="00321163">
              <w:rPr>
                <w:rFonts w:ascii="Book Antiqua" w:hAnsi="Book Antiqua"/>
              </w:rPr>
              <w:t>2.0</w:t>
            </w:r>
          </w:p>
          <w:p w14:paraId="6BD2114D" w14:textId="77777777" w:rsidR="006C42CB" w:rsidRPr="00321163" w:rsidRDefault="006C42CB" w:rsidP="00CA6249">
            <w:pPr>
              <w:spacing w:line="360" w:lineRule="auto"/>
              <w:jc w:val="both"/>
              <w:rPr>
                <w:rFonts w:ascii="Book Antiqua" w:hAnsi="Book Antiqua"/>
              </w:rPr>
            </w:pPr>
            <w:r w:rsidRPr="00321163">
              <w:rPr>
                <w:rFonts w:ascii="Book Antiqua" w:hAnsi="Book Antiqua"/>
              </w:rPr>
              <w:t>(0.8, 3.6)</w:t>
            </w:r>
          </w:p>
        </w:tc>
        <w:tc>
          <w:tcPr>
            <w:tcW w:w="2070" w:type="dxa"/>
          </w:tcPr>
          <w:p w14:paraId="74EEA710" w14:textId="77777777" w:rsidR="006C42CB" w:rsidRPr="00321163" w:rsidRDefault="006C42CB" w:rsidP="00CA6249">
            <w:pPr>
              <w:spacing w:line="360" w:lineRule="auto"/>
              <w:jc w:val="both"/>
              <w:rPr>
                <w:rFonts w:ascii="Book Antiqua" w:hAnsi="Book Antiqua"/>
              </w:rPr>
            </w:pPr>
            <w:r w:rsidRPr="00321163">
              <w:rPr>
                <w:rFonts w:ascii="Book Antiqua" w:hAnsi="Book Antiqua"/>
              </w:rPr>
              <w:t>2.5</w:t>
            </w:r>
          </w:p>
          <w:p w14:paraId="028C06D4" w14:textId="6610421D" w:rsidR="006C42CB" w:rsidRPr="00321163" w:rsidRDefault="006C42CB" w:rsidP="00CA6249">
            <w:pPr>
              <w:spacing w:line="360" w:lineRule="auto"/>
              <w:jc w:val="both"/>
              <w:rPr>
                <w:rFonts w:ascii="Book Antiqua" w:hAnsi="Book Antiqua"/>
              </w:rPr>
            </w:pPr>
            <w:r w:rsidRPr="00321163">
              <w:rPr>
                <w:rFonts w:ascii="Book Antiqua" w:hAnsi="Book Antiqua"/>
              </w:rPr>
              <w:t>(0.9,</w:t>
            </w:r>
            <w:r w:rsidR="00C91F82" w:rsidRPr="00321163">
              <w:rPr>
                <w:rFonts w:ascii="Book Antiqua" w:eastAsia="宋体" w:hAnsi="Book Antiqua" w:hint="eastAsia"/>
                <w:lang w:eastAsia="zh-CN"/>
              </w:rPr>
              <w:t xml:space="preserve"> </w:t>
            </w:r>
            <w:r w:rsidRPr="00321163">
              <w:rPr>
                <w:rFonts w:ascii="Book Antiqua" w:hAnsi="Book Antiqua"/>
              </w:rPr>
              <w:t>3.8)</w:t>
            </w:r>
          </w:p>
        </w:tc>
        <w:tc>
          <w:tcPr>
            <w:tcW w:w="1890" w:type="dxa"/>
          </w:tcPr>
          <w:p w14:paraId="50EEA9CA" w14:textId="77777777" w:rsidR="006C42CB" w:rsidRPr="00321163" w:rsidRDefault="006C42CB" w:rsidP="00CA6249">
            <w:pPr>
              <w:spacing w:line="360" w:lineRule="auto"/>
              <w:jc w:val="both"/>
              <w:rPr>
                <w:rFonts w:ascii="Book Antiqua" w:hAnsi="Book Antiqua"/>
              </w:rPr>
            </w:pPr>
            <w:r w:rsidRPr="00321163">
              <w:rPr>
                <w:rFonts w:ascii="Book Antiqua" w:hAnsi="Book Antiqua"/>
              </w:rPr>
              <w:t>0.9</w:t>
            </w:r>
          </w:p>
          <w:p w14:paraId="6EF47BC1" w14:textId="77777777" w:rsidR="006C42CB" w:rsidRPr="00321163" w:rsidRDefault="006C42CB" w:rsidP="00CA6249">
            <w:pPr>
              <w:spacing w:line="360" w:lineRule="auto"/>
              <w:jc w:val="both"/>
              <w:rPr>
                <w:rFonts w:ascii="Book Antiqua" w:hAnsi="Book Antiqua"/>
              </w:rPr>
            </w:pPr>
            <w:r w:rsidRPr="00321163">
              <w:rPr>
                <w:rFonts w:ascii="Book Antiqua" w:hAnsi="Book Antiqua"/>
              </w:rPr>
              <w:t>(0.6-1.5)</w:t>
            </w:r>
          </w:p>
        </w:tc>
      </w:tr>
      <w:tr w:rsidR="00321163" w:rsidRPr="00321163" w14:paraId="7E3AE616" w14:textId="77777777" w:rsidTr="0009370F">
        <w:tc>
          <w:tcPr>
            <w:tcW w:w="2257" w:type="dxa"/>
          </w:tcPr>
          <w:p w14:paraId="13532D48" w14:textId="453866DB"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 xml:space="preserve">Conjugated </w:t>
            </w:r>
            <w:r w:rsidR="00C91F82" w:rsidRPr="00321163">
              <w:rPr>
                <w:rFonts w:ascii="Book Antiqua" w:eastAsia="MS Gothic" w:hAnsi="Book Antiqua"/>
                <w:b/>
                <w:bCs/>
              </w:rPr>
              <w:t>b</w:t>
            </w:r>
            <w:r w:rsidRPr="00321163">
              <w:rPr>
                <w:rFonts w:ascii="Book Antiqua" w:eastAsia="MS Gothic" w:hAnsi="Book Antiqua"/>
                <w:b/>
                <w:bCs/>
              </w:rPr>
              <w:t>ilirubin (mg/</w:t>
            </w:r>
            <w:proofErr w:type="spellStart"/>
            <w:r w:rsidRPr="00321163">
              <w:rPr>
                <w:rFonts w:ascii="Book Antiqua" w:eastAsia="MS Gothic" w:hAnsi="Book Antiqua"/>
                <w:b/>
                <w:bCs/>
              </w:rPr>
              <w:t>dL</w:t>
            </w:r>
            <w:proofErr w:type="spellEnd"/>
            <w:r w:rsidRPr="00321163">
              <w:rPr>
                <w:rFonts w:ascii="Book Antiqua" w:eastAsia="MS Gothic" w:hAnsi="Book Antiqua"/>
                <w:b/>
                <w:bCs/>
              </w:rPr>
              <w:t>)</w:t>
            </w:r>
          </w:p>
        </w:tc>
        <w:tc>
          <w:tcPr>
            <w:tcW w:w="1721" w:type="dxa"/>
          </w:tcPr>
          <w:p w14:paraId="78FCEE3B" w14:textId="77777777" w:rsidR="006C42CB" w:rsidRPr="00321163" w:rsidRDefault="006C42CB" w:rsidP="00CA6249">
            <w:pPr>
              <w:spacing w:line="360" w:lineRule="auto"/>
              <w:jc w:val="both"/>
              <w:rPr>
                <w:rFonts w:ascii="Book Antiqua" w:hAnsi="Book Antiqua"/>
              </w:rPr>
            </w:pPr>
            <w:r w:rsidRPr="00321163">
              <w:rPr>
                <w:rFonts w:ascii="Book Antiqua" w:hAnsi="Book Antiqua"/>
              </w:rPr>
              <w:t>1.0</w:t>
            </w:r>
          </w:p>
          <w:p w14:paraId="1A4C4DCA" w14:textId="77777777" w:rsidR="006C42CB" w:rsidRPr="00321163" w:rsidRDefault="006C42CB" w:rsidP="00CA6249">
            <w:pPr>
              <w:spacing w:line="360" w:lineRule="auto"/>
              <w:jc w:val="both"/>
              <w:rPr>
                <w:rFonts w:ascii="Book Antiqua" w:hAnsi="Book Antiqua"/>
              </w:rPr>
            </w:pPr>
            <w:r w:rsidRPr="00321163">
              <w:rPr>
                <w:rFonts w:ascii="Book Antiqua" w:hAnsi="Book Antiqua"/>
              </w:rPr>
              <w:t>(0.0-2.1)</w:t>
            </w:r>
          </w:p>
        </w:tc>
        <w:tc>
          <w:tcPr>
            <w:tcW w:w="2070" w:type="dxa"/>
          </w:tcPr>
          <w:p w14:paraId="7C50F7B3" w14:textId="77777777" w:rsidR="006C42CB" w:rsidRPr="00321163" w:rsidRDefault="006C42CB" w:rsidP="00CA6249">
            <w:pPr>
              <w:spacing w:line="360" w:lineRule="auto"/>
              <w:jc w:val="both"/>
              <w:rPr>
                <w:rFonts w:ascii="Book Antiqua" w:hAnsi="Book Antiqua"/>
              </w:rPr>
            </w:pPr>
            <w:r w:rsidRPr="00321163">
              <w:rPr>
                <w:rFonts w:ascii="Book Antiqua" w:hAnsi="Book Antiqua"/>
              </w:rPr>
              <w:t>1.3</w:t>
            </w:r>
          </w:p>
          <w:p w14:paraId="493B8C82" w14:textId="634F01FD" w:rsidR="006C42CB" w:rsidRPr="00321163" w:rsidRDefault="006C42CB" w:rsidP="00CA6249">
            <w:pPr>
              <w:spacing w:line="360" w:lineRule="auto"/>
              <w:jc w:val="both"/>
              <w:rPr>
                <w:rFonts w:ascii="Book Antiqua" w:hAnsi="Book Antiqua"/>
              </w:rPr>
            </w:pPr>
            <w:r w:rsidRPr="00321163">
              <w:rPr>
                <w:rFonts w:ascii="Book Antiqua" w:hAnsi="Book Antiqua"/>
              </w:rPr>
              <w:t>(0.0,</w:t>
            </w:r>
            <w:r w:rsidR="00C91F82" w:rsidRPr="00321163">
              <w:rPr>
                <w:rFonts w:ascii="Book Antiqua" w:eastAsia="宋体" w:hAnsi="Book Antiqua" w:hint="eastAsia"/>
                <w:lang w:eastAsia="zh-CN"/>
              </w:rPr>
              <w:t xml:space="preserve"> </w:t>
            </w:r>
            <w:r w:rsidRPr="00321163">
              <w:rPr>
                <w:rFonts w:ascii="Book Antiqua" w:hAnsi="Book Antiqua"/>
              </w:rPr>
              <w:t>2.4)</w:t>
            </w:r>
          </w:p>
        </w:tc>
        <w:tc>
          <w:tcPr>
            <w:tcW w:w="1890" w:type="dxa"/>
          </w:tcPr>
          <w:p w14:paraId="0C8A2215" w14:textId="77777777" w:rsidR="006C42CB" w:rsidRPr="00321163" w:rsidRDefault="006C42CB" w:rsidP="00CA6249">
            <w:pPr>
              <w:spacing w:line="360" w:lineRule="auto"/>
              <w:jc w:val="both"/>
              <w:rPr>
                <w:rFonts w:ascii="Book Antiqua" w:hAnsi="Book Antiqua"/>
              </w:rPr>
            </w:pPr>
            <w:r w:rsidRPr="00321163">
              <w:rPr>
                <w:rFonts w:ascii="Book Antiqua" w:hAnsi="Book Antiqua"/>
              </w:rPr>
              <w:t>0.0</w:t>
            </w:r>
          </w:p>
          <w:p w14:paraId="2A4A44B7" w14:textId="18C5475A" w:rsidR="006C42CB" w:rsidRPr="00321163" w:rsidRDefault="006C42CB" w:rsidP="00CA6249">
            <w:pPr>
              <w:spacing w:line="360" w:lineRule="auto"/>
              <w:jc w:val="both"/>
              <w:rPr>
                <w:rFonts w:ascii="Book Antiqua" w:hAnsi="Book Antiqua"/>
              </w:rPr>
            </w:pPr>
            <w:r w:rsidRPr="00321163">
              <w:rPr>
                <w:rFonts w:ascii="Book Antiqua" w:hAnsi="Book Antiqua"/>
              </w:rPr>
              <w:t>(0,</w:t>
            </w:r>
            <w:r w:rsidR="00C91F82" w:rsidRPr="00321163">
              <w:rPr>
                <w:rFonts w:ascii="Book Antiqua" w:eastAsia="宋体" w:hAnsi="Book Antiqua" w:hint="eastAsia"/>
                <w:lang w:eastAsia="zh-CN"/>
              </w:rPr>
              <w:t xml:space="preserve"> </w:t>
            </w:r>
            <w:r w:rsidRPr="00321163">
              <w:rPr>
                <w:rFonts w:ascii="Book Antiqua" w:hAnsi="Book Antiqua"/>
              </w:rPr>
              <w:t>0)</w:t>
            </w:r>
          </w:p>
        </w:tc>
      </w:tr>
      <w:tr w:rsidR="00321163" w:rsidRPr="00321163" w14:paraId="56DF04BB" w14:textId="77777777" w:rsidTr="0009370F">
        <w:tc>
          <w:tcPr>
            <w:tcW w:w="2257" w:type="dxa"/>
          </w:tcPr>
          <w:p w14:paraId="3499D061" w14:textId="39698284" w:rsidR="006C42CB" w:rsidRPr="00321163" w:rsidRDefault="00C91F82" w:rsidP="00CA6249">
            <w:pPr>
              <w:spacing w:line="360" w:lineRule="auto"/>
              <w:jc w:val="both"/>
              <w:rPr>
                <w:rFonts w:ascii="Book Antiqua" w:eastAsia="MS Gothic" w:hAnsi="Book Antiqua"/>
                <w:b/>
                <w:bCs/>
              </w:rPr>
            </w:pPr>
            <w:r w:rsidRPr="00321163">
              <w:rPr>
                <w:rFonts w:ascii="Book Antiqua" w:eastAsia="MS Gothic" w:hAnsi="Book Antiqua"/>
                <w:b/>
                <w:bCs/>
              </w:rPr>
              <w:t>ALT</w:t>
            </w:r>
            <w:r w:rsidR="006C42CB" w:rsidRPr="00321163">
              <w:rPr>
                <w:rFonts w:ascii="Book Antiqua" w:eastAsia="MS Gothic" w:hAnsi="Book Antiqua"/>
                <w:b/>
                <w:bCs/>
              </w:rPr>
              <w:t xml:space="preserve"> (u/L)</w:t>
            </w:r>
          </w:p>
        </w:tc>
        <w:tc>
          <w:tcPr>
            <w:tcW w:w="1721" w:type="dxa"/>
          </w:tcPr>
          <w:p w14:paraId="0BDBF2C8" w14:textId="77777777" w:rsidR="006C42CB" w:rsidRPr="00321163" w:rsidRDefault="006C42CB" w:rsidP="00CA6249">
            <w:pPr>
              <w:spacing w:line="360" w:lineRule="auto"/>
              <w:jc w:val="both"/>
              <w:rPr>
                <w:rFonts w:ascii="Book Antiqua" w:hAnsi="Book Antiqua"/>
              </w:rPr>
            </w:pPr>
            <w:r w:rsidRPr="00321163">
              <w:rPr>
                <w:rFonts w:ascii="Book Antiqua" w:hAnsi="Book Antiqua"/>
              </w:rPr>
              <w:t>242.0</w:t>
            </w:r>
          </w:p>
          <w:p w14:paraId="0FFD9875" w14:textId="77777777" w:rsidR="006C42CB" w:rsidRPr="00321163" w:rsidRDefault="006C42CB" w:rsidP="00CA6249">
            <w:pPr>
              <w:spacing w:line="360" w:lineRule="auto"/>
              <w:jc w:val="both"/>
              <w:rPr>
                <w:rFonts w:ascii="Book Antiqua" w:hAnsi="Book Antiqua"/>
              </w:rPr>
            </w:pPr>
            <w:r w:rsidRPr="00321163">
              <w:rPr>
                <w:rFonts w:ascii="Book Antiqua" w:hAnsi="Book Antiqua"/>
              </w:rPr>
              <w:t>(142.5, 386.5)</w:t>
            </w:r>
          </w:p>
        </w:tc>
        <w:tc>
          <w:tcPr>
            <w:tcW w:w="2070" w:type="dxa"/>
          </w:tcPr>
          <w:p w14:paraId="0ECE8405" w14:textId="77777777" w:rsidR="006C42CB" w:rsidRPr="00321163" w:rsidRDefault="006C42CB" w:rsidP="00CA6249">
            <w:pPr>
              <w:spacing w:line="360" w:lineRule="auto"/>
              <w:jc w:val="both"/>
              <w:rPr>
                <w:rFonts w:ascii="Book Antiqua" w:hAnsi="Book Antiqua"/>
              </w:rPr>
            </w:pPr>
            <w:r w:rsidRPr="00321163">
              <w:rPr>
                <w:rFonts w:ascii="Book Antiqua" w:hAnsi="Book Antiqua"/>
              </w:rPr>
              <w:t>253.0</w:t>
            </w:r>
          </w:p>
          <w:p w14:paraId="23AB5A2F" w14:textId="690C2CE3" w:rsidR="006C42CB" w:rsidRPr="00321163" w:rsidRDefault="006C42CB" w:rsidP="00CA6249">
            <w:pPr>
              <w:spacing w:line="360" w:lineRule="auto"/>
              <w:jc w:val="both"/>
              <w:rPr>
                <w:rFonts w:ascii="Book Antiqua" w:hAnsi="Book Antiqua"/>
              </w:rPr>
            </w:pPr>
            <w:r w:rsidRPr="00321163">
              <w:rPr>
                <w:rFonts w:ascii="Book Antiqua" w:hAnsi="Book Antiqua"/>
              </w:rPr>
              <w:t>(145.0,</w:t>
            </w:r>
            <w:r w:rsidR="00C91F82" w:rsidRPr="00321163">
              <w:rPr>
                <w:rFonts w:ascii="Book Antiqua" w:eastAsia="宋体" w:hAnsi="Book Antiqua" w:hint="eastAsia"/>
                <w:lang w:eastAsia="zh-CN"/>
              </w:rPr>
              <w:t xml:space="preserve"> </w:t>
            </w:r>
            <w:r w:rsidRPr="00321163">
              <w:rPr>
                <w:rFonts w:ascii="Book Antiqua" w:hAnsi="Book Antiqua"/>
              </w:rPr>
              <w:t>403.0)</w:t>
            </w:r>
          </w:p>
        </w:tc>
        <w:tc>
          <w:tcPr>
            <w:tcW w:w="1890" w:type="dxa"/>
          </w:tcPr>
          <w:p w14:paraId="7FAF708C" w14:textId="77777777" w:rsidR="006C42CB" w:rsidRPr="00321163" w:rsidRDefault="006C42CB" w:rsidP="00CA6249">
            <w:pPr>
              <w:spacing w:line="360" w:lineRule="auto"/>
              <w:jc w:val="both"/>
              <w:rPr>
                <w:rFonts w:ascii="Book Antiqua" w:hAnsi="Book Antiqua"/>
              </w:rPr>
            </w:pPr>
            <w:r w:rsidRPr="00321163">
              <w:rPr>
                <w:rFonts w:ascii="Book Antiqua" w:hAnsi="Book Antiqua"/>
              </w:rPr>
              <w:t>166</w:t>
            </w:r>
          </w:p>
          <w:p w14:paraId="087DA2E6" w14:textId="77777777" w:rsidR="006C42CB" w:rsidRPr="00321163" w:rsidRDefault="006C42CB" w:rsidP="00CA6249">
            <w:pPr>
              <w:spacing w:line="360" w:lineRule="auto"/>
              <w:jc w:val="both"/>
              <w:rPr>
                <w:rFonts w:ascii="Book Antiqua" w:hAnsi="Book Antiqua"/>
              </w:rPr>
            </w:pPr>
            <w:r w:rsidRPr="00321163">
              <w:rPr>
                <w:rFonts w:ascii="Book Antiqua" w:hAnsi="Book Antiqua"/>
              </w:rPr>
              <w:t>(122.0-166.0)</w:t>
            </w:r>
          </w:p>
        </w:tc>
      </w:tr>
      <w:tr w:rsidR="00321163" w:rsidRPr="00321163" w14:paraId="12E01744" w14:textId="77777777" w:rsidTr="0009370F">
        <w:tc>
          <w:tcPr>
            <w:tcW w:w="2257" w:type="dxa"/>
          </w:tcPr>
          <w:p w14:paraId="44C55618" w14:textId="58D99DAC" w:rsidR="006C42CB" w:rsidRPr="00321163" w:rsidRDefault="00C91F82" w:rsidP="00CA6249">
            <w:pPr>
              <w:spacing w:line="360" w:lineRule="auto"/>
              <w:jc w:val="both"/>
              <w:rPr>
                <w:rFonts w:ascii="Book Antiqua" w:eastAsia="MS Gothic" w:hAnsi="Book Antiqua"/>
                <w:b/>
                <w:bCs/>
              </w:rPr>
            </w:pPr>
            <w:r w:rsidRPr="00321163">
              <w:rPr>
                <w:rFonts w:ascii="Book Antiqua" w:eastAsia="MS Gothic" w:hAnsi="Book Antiqua"/>
                <w:b/>
                <w:bCs/>
              </w:rPr>
              <w:t>AST</w:t>
            </w:r>
            <w:r w:rsidR="006C42CB" w:rsidRPr="00321163">
              <w:rPr>
                <w:rFonts w:ascii="Book Antiqua" w:eastAsia="MS Gothic" w:hAnsi="Book Antiqua"/>
                <w:b/>
                <w:bCs/>
              </w:rPr>
              <w:t xml:space="preserve"> (u/L)</w:t>
            </w:r>
          </w:p>
        </w:tc>
        <w:tc>
          <w:tcPr>
            <w:tcW w:w="1721" w:type="dxa"/>
          </w:tcPr>
          <w:p w14:paraId="6184C097" w14:textId="77777777" w:rsidR="006C42CB" w:rsidRPr="00321163" w:rsidRDefault="006C42CB" w:rsidP="00CA6249">
            <w:pPr>
              <w:spacing w:line="360" w:lineRule="auto"/>
              <w:jc w:val="both"/>
              <w:rPr>
                <w:rFonts w:ascii="Book Antiqua" w:hAnsi="Book Antiqua"/>
              </w:rPr>
            </w:pPr>
            <w:r w:rsidRPr="00321163">
              <w:rPr>
                <w:rFonts w:ascii="Book Antiqua" w:hAnsi="Book Antiqua"/>
              </w:rPr>
              <w:t>128.0</w:t>
            </w:r>
          </w:p>
          <w:p w14:paraId="3CDD53F2" w14:textId="77777777" w:rsidR="006C42CB" w:rsidRPr="00321163" w:rsidRDefault="006C42CB" w:rsidP="00CA6249">
            <w:pPr>
              <w:spacing w:line="360" w:lineRule="auto"/>
              <w:jc w:val="both"/>
              <w:rPr>
                <w:rFonts w:ascii="Book Antiqua" w:hAnsi="Book Antiqua"/>
              </w:rPr>
            </w:pPr>
            <w:r w:rsidRPr="00321163">
              <w:rPr>
                <w:rFonts w:ascii="Book Antiqua" w:hAnsi="Book Antiqua"/>
              </w:rPr>
              <w:t>(86.0, 188.0)</w:t>
            </w:r>
          </w:p>
        </w:tc>
        <w:tc>
          <w:tcPr>
            <w:tcW w:w="2070" w:type="dxa"/>
          </w:tcPr>
          <w:p w14:paraId="11EA44C2" w14:textId="77777777" w:rsidR="006C42CB" w:rsidRPr="00321163" w:rsidRDefault="006C42CB" w:rsidP="00CA6249">
            <w:pPr>
              <w:spacing w:line="360" w:lineRule="auto"/>
              <w:jc w:val="both"/>
              <w:rPr>
                <w:rFonts w:ascii="Book Antiqua" w:hAnsi="Book Antiqua"/>
              </w:rPr>
            </w:pPr>
            <w:r w:rsidRPr="00321163">
              <w:rPr>
                <w:rFonts w:ascii="Book Antiqua" w:hAnsi="Book Antiqua"/>
              </w:rPr>
              <w:t>129.0</w:t>
            </w:r>
          </w:p>
          <w:p w14:paraId="635C71C9" w14:textId="1FCEC790" w:rsidR="006C42CB" w:rsidRPr="00321163" w:rsidRDefault="006C42CB" w:rsidP="00CA6249">
            <w:pPr>
              <w:spacing w:line="360" w:lineRule="auto"/>
              <w:jc w:val="both"/>
              <w:rPr>
                <w:rFonts w:ascii="Book Antiqua" w:hAnsi="Book Antiqua"/>
              </w:rPr>
            </w:pPr>
            <w:r w:rsidRPr="00321163">
              <w:rPr>
                <w:rFonts w:ascii="Book Antiqua" w:hAnsi="Book Antiqua"/>
              </w:rPr>
              <w:t>(89.0,</w:t>
            </w:r>
            <w:r w:rsidR="00C91F82" w:rsidRPr="00321163">
              <w:rPr>
                <w:rFonts w:ascii="Book Antiqua" w:eastAsia="宋体" w:hAnsi="Book Antiqua" w:hint="eastAsia"/>
                <w:lang w:eastAsia="zh-CN"/>
              </w:rPr>
              <w:t xml:space="preserve"> </w:t>
            </w:r>
            <w:r w:rsidRPr="00321163">
              <w:rPr>
                <w:rFonts w:ascii="Book Antiqua" w:hAnsi="Book Antiqua"/>
              </w:rPr>
              <w:t>215.0)</w:t>
            </w:r>
          </w:p>
        </w:tc>
        <w:tc>
          <w:tcPr>
            <w:tcW w:w="1890" w:type="dxa"/>
          </w:tcPr>
          <w:p w14:paraId="6C860568" w14:textId="77777777" w:rsidR="006C42CB" w:rsidRPr="00321163" w:rsidRDefault="006C42CB" w:rsidP="00CA6249">
            <w:pPr>
              <w:spacing w:line="360" w:lineRule="auto"/>
              <w:jc w:val="both"/>
              <w:rPr>
                <w:rFonts w:ascii="Book Antiqua" w:hAnsi="Book Antiqua"/>
              </w:rPr>
            </w:pPr>
            <w:r w:rsidRPr="00321163">
              <w:rPr>
                <w:rFonts w:ascii="Book Antiqua" w:hAnsi="Book Antiqua"/>
              </w:rPr>
              <w:t>119.0</w:t>
            </w:r>
          </w:p>
          <w:p w14:paraId="6C8A5B5E" w14:textId="77777777" w:rsidR="006C42CB" w:rsidRPr="00321163" w:rsidRDefault="006C42CB" w:rsidP="00CA6249">
            <w:pPr>
              <w:spacing w:line="360" w:lineRule="auto"/>
              <w:jc w:val="both"/>
              <w:rPr>
                <w:rFonts w:ascii="Book Antiqua" w:hAnsi="Book Antiqua"/>
              </w:rPr>
            </w:pPr>
            <w:r w:rsidRPr="00321163">
              <w:rPr>
                <w:rFonts w:ascii="Book Antiqua" w:hAnsi="Book Antiqua"/>
              </w:rPr>
              <w:t>(53-150)</w:t>
            </w:r>
          </w:p>
        </w:tc>
      </w:tr>
      <w:tr w:rsidR="00321163" w:rsidRPr="00321163" w14:paraId="35A71CF5" w14:textId="77777777" w:rsidTr="0009370F">
        <w:tc>
          <w:tcPr>
            <w:tcW w:w="2257" w:type="dxa"/>
          </w:tcPr>
          <w:p w14:paraId="39E957C2" w14:textId="3C5705E9" w:rsidR="006C42CB" w:rsidRPr="00321163" w:rsidRDefault="00AA0A72" w:rsidP="00CA6249">
            <w:pPr>
              <w:spacing w:line="360" w:lineRule="auto"/>
              <w:jc w:val="both"/>
              <w:rPr>
                <w:rFonts w:ascii="Book Antiqua" w:eastAsia="MS Gothic" w:hAnsi="Book Antiqua"/>
                <w:b/>
                <w:bCs/>
              </w:rPr>
            </w:pPr>
            <w:r w:rsidRPr="00321163">
              <w:rPr>
                <w:rFonts w:ascii="Book Antiqua" w:hAnsi="Book Antiqua" w:cs="Arial"/>
              </w:rPr>
              <w:sym w:font="Symbol" w:char="F067"/>
            </w:r>
            <w:r w:rsidRPr="00321163">
              <w:rPr>
                <w:rFonts w:ascii="Book Antiqua" w:hAnsi="Book Antiqua" w:cs="Arial"/>
              </w:rPr>
              <w:t>GT</w:t>
            </w:r>
            <w:r w:rsidR="006C42CB" w:rsidRPr="00321163">
              <w:rPr>
                <w:rFonts w:ascii="Book Antiqua" w:eastAsia="MS Gothic" w:hAnsi="Book Antiqua"/>
                <w:b/>
                <w:bCs/>
              </w:rPr>
              <w:t xml:space="preserve"> (u/L)</w:t>
            </w:r>
          </w:p>
        </w:tc>
        <w:tc>
          <w:tcPr>
            <w:tcW w:w="1721" w:type="dxa"/>
          </w:tcPr>
          <w:p w14:paraId="47D86EF7" w14:textId="77777777" w:rsidR="006C42CB" w:rsidRPr="00321163" w:rsidRDefault="006C42CB" w:rsidP="00CA6249">
            <w:pPr>
              <w:spacing w:line="360" w:lineRule="auto"/>
              <w:jc w:val="both"/>
              <w:rPr>
                <w:rFonts w:ascii="Book Antiqua" w:hAnsi="Book Antiqua"/>
              </w:rPr>
            </w:pPr>
            <w:r w:rsidRPr="00321163">
              <w:rPr>
                <w:rFonts w:ascii="Book Antiqua" w:hAnsi="Book Antiqua"/>
              </w:rPr>
              <w:t>259.0</w:t>
            </w:r>
          </w:p>
          <w:p w14:paraId="5525CA21" w14:textId="77777777" w:rsidR="006C42CB" w:rsidRPr="00321163" w:rsidRDefault="006C42CB" w:rsidP="00CA6249">
            <w:pPr>
              <w:spacing w:line="360" w:lineRule="auto"/>
              <w:jc w:val="both"/>
              <w:rPr>
                <w:rFonts w:ascii="Book Antiqua" w:hAnsi="Book Antiqua"/>
              </w:rPr>
            </w:pPr>
            <w:r w:rsidRPr="00321163">
              <w:rPr>
                <w:rFonts w:ascii="Book Antiqua" w:hAnsi="Book Antiqua"/>
              </w:rPr>
              <w:t>(177.0, 453.5)</w:t>
            </w:r>
          </w:p>
        </w:tc>
        <w:tc>
          <w:tcPr>
            <w:tcW w:w="2070" w:type="dxa"/>
          </w:tcPr>
          <w:p w14:paraId="25C82A02" w14:textId="77777777" w:rsidR="006C42CB" w:rsidRPr="00321163" w:rsidRDefault="006C42CB" w:rsidP="00CA6249">
            <w:pPr>
              <w:spacing w:line="360" w:lineRule="auto"/>
              <w:jc w:val="both"/>
              <w:rPr>
                <w:rFonts w:ascii="Book Antiqua" w:hAnsi="Book Antiqua"/>
              </w:rPr>
            </w:pPr>
            <w:r w:rsidRPr="00321163">
              <w:rPr>
                <w:rFonts w:ascii="Book Antiqua" w:hAnsi="Book Antiqua"/>
              </w:rPr>
              <w:t>259.0</w:t>
            </w:r>
          </w:p>
          <w:p w14:paraId="0B005649" w14:textId="5ACA9748" w:rsidR="006C42CB" w:rsidRPr="00321163" w:rsidRDefault="006C42CB" w:rsidP="00CA6249">
            <w:pPr>
              <w:spacing w:line="360" w:lineRule="auto"/>
              <w:jc w:val="both"/>
              <w:rPr>
                <w:rFonts w:ascii="Book Antiqua" w:hAnsi="Book Antiqua"/>
              </w:rPr>
            </w:pPr>
            <w:r w:rsidRPr="00321163">
              <w:rPr>
                <w:rFonts w:ascii="Book Antiqua" w:hAnsi="Book Antiqua"/>
              </w:rPr>
              <w:t>(181.0,</w:t>
            </w:r>
            <w:r w:rsidR="00C91F82" w:rsidRPr="00321163">
              <w:rPr>
                <w:rFonts w:ascii="Book Antiqua" w:eastAsia="宋体" w:hAnsi="Book Antiqua" w:hint="eastAsia"/>
                <w:lang w:eastAsia="zh-CN"/>
              </w:rPr>
              <w:t xml:space="preserve"> </w:t>
            </w:r>
            <w:r w:rsidRPr="00321163">
              <w:rPr>
                <w:rFonts w:ascii="Book Antiqua" w:hAnsi="Book Antiqua"/>
              </w:rPr>
              <w:t>521.0)</w:t>
            </w:r>
          </w:p>
        </w:tc>
        <w:tc>
          <w:tcPr>
            <w:tcW w:w="1890" w:type="dxa"/>
          </w:tcPr>
          <w:p w14:paraId="26FAF3E8" w14:textId="77777777" w:rsidR="006C42CB" w:rsidRPr="00321163" w:rsidRDefault="006C42CB" w:rsidP="00CA6249">
            <w:pPr>
              <w:spacing w:line="360" w:lineRule="auto"/>
              <w:jc w:val="both"/>
              <w:rPr>
                <w:rFonts w:ascii="Book Antiqua" w:hAnsi="Book Antiqua"/>
              </w:rPr>
            </w:pPr>
            <w:r w:rsidRPr="00321163">
              <w:rPr>
                <w:rFonts w:ascii="Book Antiqua" w:hAnsi="Book Antiqua"/>
              </w:rPr>
              <w:t>203.0</w:t>
            </w:r>
          </w:p>
          <w:p w14:paraId="046BC667" w14:textId="77777777" w:rsidR="006C42CB" w:rsidRPr="00321163" w:rsidRDefault="006C42CB" w:rsidP="00CA6249">
            <w:pPr>
              <w:spacing w:line="360" w:lineRule="auto"/>
              <w:jc w:val="both"/>
              <w:rPr>
                <w:rFonts w:ascii="Book Antiqua" w:hAnsi="Book Antiqua"/>
              </w:rPr>
            </w:pPr>
            <w:r w:rsidRPr="00321163">
              <w:rPr>
                <w:rFonts w:ascii="Book Antiqua" w:hAnsi="Book Antiqua"/>
              </w:rPr>
              <w:t>(159.0-333)</w:t>
            </w:r>
          </w:p>
        </w:tc>
      </w:tr>
      <w:tr w:rsidR="00321163" w:rsidRPr="00321163" w14:paraId="0F6721E6" w14:textId="77777777" w:rsidTr="0009370F">
        <w:tc>
          <w:tcPr>
            <w:tcW w:w="2257" w:type="dxa"/>
          </w:tcPr>
          <w:p w14:paraId="670EBE0A" w14:textId="7C77C0E9" w:rsidR="006C42CB" w:rsidRPr="00321163" w:rsidRDefault="006C42CB" w:rsidP="00CA6249">
            <w:pPr>
              <w:spacing w:line="360" w:lineRule="auto"/>
              <w:jc w:val="both"/>
              <w:rPr>
                <w:rFonts w:ascii="Book Antiqua" w:eastAsia="MS Gothic" w:hAnsi="Book Antiqua"/>
                <w:b/>
                <w:bCs/>
              </w:rPr>
            </w:pPr>
            <w:r w:rsidRPr="00321163">
              <w:rPr>
                <w:rFonts w:ascii="Book Antiqua" w:eastAsia="MS Gothic" w:hAnsi="Book Antiqua"/>
                <w:b/>
                <w:bCs/>
              </w:rPr>
              <w:t xml:space="preserve">Alkaline </w:t>
            </w:r>
            <w:r w:rsidR="00C91F82" w:rsidRPr="00321163">
              <w:rPr>
                <w:rFonts w:ascii="Book Antiqua" w:eastAsia="MS Gothic" w:hAnsi="Book Antiqua"/>
                <w:b/>
                <w:bCs/>
              </w:rPr>
              <w:t>p</w:t>
            </w:r>
            <w:r w:rsidRPr="00321163">
              <w:rPr>
                <w:rFonts w:ascii="Book Antiqua" w:eastAsia="MS Gothic" w:hAnsi="Book Antiqua"/>
                <w:b/>
                <w:bCs/>
              </w:rPr>
              <w:t>hosphatase (u/L)</w:t>
            </w:r>
          </w:p>
        </w:tc>
        <w:tc>
          <w:tcPr>
            <w:tcW w:w="1721" w:type="dxa"/>
          </w:tcPr>
          <w:p w14:paraId="3B9D7A12" w14:textId="77777777" w:rsidR="006C42CB" w:rsidRPr="00321163" w:rsidRDefault="006C42CB" w:rsidP="00CA6249">
            <w:pPr>
              <w:spacing w:line="360" w:lineRule="auto"/>
              <w:jc w:val="both"/>
              <w:rPr>
                <w:rFonts w:ascii="Book Antiqua" w:hAnsi="Book Antiqua"/>
              </w:rPr>
            </w:pPr>
            <w:r w:rsidRPr="00321163">
              <w:rPr>
                <w:rFonts w:ascii="Book Antiqua" w:hAnsi="Book Antiqua"/>
              </w:rPr>
              <w:t>252.0</w:t>
            </w:r>
          </w:p>
          <w:p w14:paraId="2360E8B8" w14:textId="77777777" w:rsidR="006C42CB" w:rsidRPr="00321163" w:rsidRDefault="006C42CB" w:rsidP="00CA6249">
            <w:pPr>
              <w:spacing w:line="360" w:lineRule="auto"/>
              <w:jc w:val="both"/>
              <w:rPr>
                <w:rFonts w:ascii="Book Antiqua" w:hAnsi="Book Antiqua"/>
              </w:rPr>
            </w:pPr>
            <w:r w:rsidRPr="00321163">
              <w:rPr>
                <w:rFonts w:ascii="Book Antiqua" w:hAnsi="Book Antiqua"/>
              </w:rPr>
              <w:t>(179.0, 349.0)</w:t>
            </w:r>
          </w:p>
        </w:tc>
        <w:tc>
          <w:tcPr>
            <w:tcW w:w="2070" w:type="dxa"/>
          </w:tcPr>
          <w:p w14:paraId="57CCAF10" w14:textId="77777777" w:rsidR="006C42CB" w:rsidRPr="00321163" w:rsidRDefault="006C42CB" w:rsidP="00CA6249">
            <w:pPr>
              <w:spacing w:line="360" w:lineRule="auto"/>
              <w:jc w:val="both"/>
              <w:rPr>
                <w:rFonts w:ascii="Book Antiqua" w:hAnsi="Book Antiqua"/>
              </w:rPr>
            </w:pPr>
            <w:r w:rsidRPr="00321163">
              <w:rPr>
                <w:rFonts w:ascii="Book Antiqua" w:hAnsi="Book Antiqua"/>
              </w:rPr>
              <w:t>254.0</w:t>
            </w:r>
          </w:p>
          <w:p w14:paraId="6264D8F2" w14:textId="77777777" w:rsidR="006C42CB" w:rsidRPr="00321163" w:rsidRDefault="006C42CB" w:rsidP="00CA6249">
            <w:pPr>
              <w:spacing w:line="360" w:lineRule="auto"/>
              <w:jc w:val="both"/>
              <w:rPr>
                <w:rFonts w:ascii="Book Antiqua" w:hAnsi="Book Antiqua"/>
              </w:rPr>
            </w:pPr>
            <w:r w:rsidRPr="00321163">
              <w:rPr>
                <w:rFonts w:ascii="Book Antiqua" w:hAnsi="Book Antiqua"/>
              </w:rPr>
              <w:t>(182.0, 405.0)</w:t>
            </w:r>
          </w:p>
        </w:tc>
        <w:tc>
          <w:tcPr>
            <w:tcW w:w="1890" w:type="dxa"/>
          </w:tcPr>
          <w:p w14:paraId="51E3977A" w14:textId="77777777" w:rsidR="006C42CB" w:rsidRPr="00321163" w:rsidRDefault="006C42CB" w:rsidP="00CA6249">
            <w:pPr>
              <w:spacing w:line="360" w:lineRule="auto"/>
              <w:jc w:val="both"/>
              <w:rPr>
                <w:rFonts w:ascii="Book Antiqua" w:hAnsi="Book Antiqua"/>
              </w:rPr>
            </w:pPr>
            <w:r w:rsidRPr="00321163">
              <w:rPr>
                <w:rFonts w:ascii="Book Antiqua" w:hAnsi="Book Antiqua"/>
              </w:rPr>
              <w:t>208.0</w:t>
            </w:r>
          </w:p>
          <w:p w14:paraId="2336FBD0" w14:textId="77777777" w:rsidR="006C42CB" w:rsidRPr="00321163" w:rsidRDefault="006C42CB" w:rsidP="00CA6249">
            <w:pPr>
              <w:spacing w:line="360" w:lineRule="auto"/>
              <w:jc w:val="both"/>
              <w:rPr>
                <w:rFonts w:ascii="Book Antiqua" w:hAnsi="Book Antiqua"/>
              </w:rPr>
            </w:pPr>
            <w:r w:rsidRPr="00321163">
              <w:rPr>
                <w:rFonts w:ascii="Book Antiqua" w:hAnsi="Book Antiqua"/>
              </w:rPr>
              <w:t>(107.0-256.0)</w:t>
            </w:r>
          </w:p>
        </w:tc>
      </w:tr>
    </w:tbl>
    <w:p w14:paraId="028C250A" w14:textId="77777777" w:rsidR="006C42CB" w:rsidRPr="00321163" w:rsidRDefault="006C42CB" w:rsidP="00CA6249">
      <w:pPr>
        <w:spacing w:line="360" w:lineRule="auto"/>
        <w:jc w:val="both"/>
        <w:rPr>
          <w:rFonts w:ascii="Book Antiqua" w:hAnsi="Book Antiqua"/>
        </w:rPr>
      </w:pPr>
    </w:p>
    <w:p w14:paraId="3CDBD2A6" w14:textId="623BF8AA" w:rsidR="00980152" w:rsidRPr="00321163" w:rsidRDefault="00C84BA3" w:rsidP="00CA6249">
      <w:pPr>
        <w:spacing w:line="360" w:lineRule="auto"/>
        <w:jc w:val="both"/>
        <w:rPr>
          <w:rFonts w:ascii="Book Antiqua" w:eastAsia="宋体" w:hAnsi="Book Antiqua" w:cs="Arial"/>
          <w:lang w:eastAsia="zh-CN"/>
        </w:rPr>
      </w:pPr>
      <w:r w:rsidRPr="00321163">
        <w:rPr>
          <w:rFonts w:ascii="Book Antiqua" w:hAnsi="Book Antiqua" w:cs="Arial"/>
        </w:rPr>
        <w:t>Combined group data, Group 1 (patients with CBDS) and Group 2 (patients without CBDS).</w:t>
      </w:r>
      <w:r w:rsidRPr="00321163">
        <w:rPr>
          <w:rFonts w:ascii="Book Antiqua" w:eastAsia="宋体" w:hAnsi="Book Antiqua" w:cs="Arial" w:hint="eastAsia"/>
          <w:lang w:eastAsia="zh-CN"/>
        </w:rPr>
        <w:t xml:space="preserve"> </w:t>
      </w:r>
      <w:r w:rsidR="006C42CB" w:rsidRPr="00321163">
        <w:rPr>
          <w:rFonts w:ascii="Book Antiqua" w:hAnsi="Book Antiqua"/>
        </w:rPr>
        <w:t xml:space="preserve">IQR: Interquartile </w:t>
      </w:r>
      <w:r w:rsidR="00C91F82" w:rsidRPr="00321163">
        <w:rPr>
          <w:rFonts w:ascii="Book Antiqua" w:hAnsi="Book Antiqua"/>
        </w:rPr>
        <w:t>r</w:t>
      </w:r>
      <w:r w:rsidR="006C42CB" w:rsidRPr="00321163">
        <w:rPr>
          <w:rFonts w:ascii="Book Antiqua" w:hAnsi="Book Antiqua"/>
        </w:rPr>
        <w:t>ange</w:t>
      </w:r>
      <w:r w:rsidR="00C91F82" w:rsidRPr="00321163">
        <w:rPr>
          <w:rFonts w:ascii="Book Antiqua" w:eastAsia="宋体" w:hAnsi="Book Antiqua" w:hint="eastAsia"/>
          <w:lang w:eastAsia="zh-CN"/>
        </w:rPr>
        <w:t>;</w:t>
      </w:r>
      <w:r w:rsidR="006C42CB" w:rsidRPr="00321163">
        <w:rPr>
          <w:rFonts w:ascii="Book Antiqua" w:hAnsi="Book Antiqua"/>
        </w:rPr>
        <w:t xml:space="preserve"> VS-PM: Very Strong Pediatric </w:t>
      </w:r>
      <w:r w:rsidR="006C42CB" w:rsidRPr="00321163">
        <w:rPr>
          <w:rFonts w:ascii="Book Antiqua" w:hAnsi="Book Antiqua"/>
        </w:rPr>
        <w:lastRenderedPageBreak/>
        <w:t>“Modified”</w:t>
      </w:r>
      <w:r w:rsidR="00C91F82" w:rsidRPr="00321163">
        <w:rPr>
          <w:rFonts w:ascii="Book Antiqua" w:eastAsia="宋体" w:hAnsi="Book Antiqua" w:hint="eastAsia"/>
          <w:lang w:eastAsia="zh-CN"/>
        </w:rPr>
        <w:t>;</w:t>
      </w:r>
      <w:r w:rsidR="00980152" w:rsidRPr="00321163">
        <w:rPr>
          <w:rFonts w:ascii="Book Antiqua" w:hAnsi="Book Antiqua"/>
        </w:rPr>
        <w:t xml:space="preserve"> </w:t>
      </w:r>
      <w:r w:rsidR="006C42CB" w:rsidRPr="00321163">
        <w:rPr>
          <w:rFonts w:ascii="Book Antiqua" w:hAnsi="Book Antiqua"/>
        </w:rPr>
        <w:t>S-PM: Strong Pediatric “Modified”</w:t>
      </w:r>
      <w:r w:rsidR="00C91F82" w:rsidRPr="00321163">
        <w:rPr>
          <w:rFonts w:ascii="Book Antiqua" w:eastAsia="宋体" w:hAnsi="Book Antiqua" w:hint="eastAsia"/>
          <w:lang w:eastAsia="zh-CN"/>
        </w:rPr>
        <w:t xml:space="preserve">; </w:t>
      </w:r>
      <w:r w:rsidR="006C42CB" w:rsidRPr="00321163">
        <w:rPr>
          <w:rFonts w:ascii="Book Antiqua" w:hAnsi="Book Antiqua"/>
        </w:rPr>
        <w:t xml:space="preserve">CBDS: </w:t>
      </w:r>
      <w:r w:rsidR="00C91F82" w:rsidRPr="00321163">
        <w:rPr>
          <w:rFonts w:ascii="Book Antiqua" w:hAnsi="Book Antiqua"/>
        </w:rPr>
        <w:t>C</w:t>
      </w:r>
      <w:r w:rsidR="006C42CB" w:rsidRPr="00321163">
        <w:rPr>
          <w:rFonts w:ascii="Book Antiqua" w:hAnsi="Book Antiqua"/>
        </w:rPr>
        <w:t>ommon bile duct stone</w:t>
      </w:r>
      <w:r w:rsidR="00C91F82" w:rsidRPr="00321163">
        <w:rPr>
          <w:rFonts w:ascii="Book Antiqua" w:eastAsia="宋体" w:hAnsi="Book Antiqua" w:hint="eastAsia"/>
          <w:lang w:eastAsia="zh-CN"/>
        </w:rPr>
        <w:t>;</w:t>
      </w:r>
      <w:r w:rsidR="006C42CB" w:rsidRPr="00321163">
        <w:rPr>
          <w:rFonts w:ascii="Book Antiqua" w:hAnsi="Book Antiqua"/>
        </w:rPr>
        <w:t xml:space="preserve"> CB:</w:t>
      </w:r>
      <w:r w:rsidR="00C91F82" w:rsidRPr="00321163">
        <w:rPr>
          <w:rFonts w:ascii="Book Antiqua" w:hAnsi="Book Antiqua"/>
        </w:rPr>
        <w:t xml:space="preserve"> C</w:t>
      </w:r>
      <w:r w:rsidR="006C42CB" w:rsidRPr="00321163">
        <w:rPr>
          <w:rFonts w:ascii="Book Antiqua" w:hAnsi="Book Antiqua"/>
        </w:rPr>
        <w:t>onjugated bilirubin</w:t>
      </w:r>
      <w:r w:rsidR="00C91F82" w:rsidRPr="00321163">
        <w:rPr>
          <w:rFonts w:ascii="Book Antiqua" w:eastAsia="宋体" w:hAnsi="Book Antiqua" w:hint="eastAsia"/>
          <w:lang w:eastAsia="zh-CN"/>
        </w:rPr>
        <w:t xml:space="preserve">; </w:t>
      </w:r>
      <w:r w:rsidR="00C91F82" w:rsidRPr="00321163">
        <w:rPr>
          <w:rFonts w:ascii="Book Antiqua" w:hAnsi="Book Antiqua"/>
        </w:rPr>
        <w:t>ALT:</w:t>
      </w:r>
      <w:r w:rsidR="00922966" w:rsidRPr="00321163">
        <w:rPr>
          <w:rFonts w:ascii="Book Antiqua" w:hAnsi="Book Antiqua"/>
        </w:rPr>
        <w:t xml:space="preserve"> </w:t>
      </w:r>
      <w:r w:rsidR="00C91F82" w:rsidRPr="00321163">
        <w:rPr>
          <w:rFonts w:ascii="Book Antiqua" w:hAnsi="Book Antiqua"/>
        </w:rPr>
        <w:t>Alanine aminotransferase</w:t>
      </w:r>
      <w:r w:rsidR="00C91F82" w:rsidRPr="00321163">
        <w:rPr>
          <w:rFonts w:ascii="Book Antiqua" w:eastAsia="宋体" w:hAnsi="Book Antiqua" w:hint="eastAsia"/>
          <w:lang w:eastAsia="zh-CN"/>
        </w:rPr>
        <w:t>;</w:t>
      </w:r>
      <w:r w:rsidR="00C91F82" w:rsidRPr="00321163">
        <w:rPr>
          <w:rFonts w:ascii="Book Antiqua" w:hAnsi="Book Antiqua"/>
        </w:rPr>
        <w:t xml:space="preserve"> AST: Aspartate aminotransferase</w:t>
      </w:r>
      <w:r w:rsidR="00C91F82" w:rsidRPr="00321163">
        <w:rPr>
          <w:rFonts w:ascii="Book Antiqua" w:eastAsia="宋体" w:hAnsi="Book Antiqua" w:hint="eastAsia"/>
          <w:lang w:eastAsia="zh-CN"/>
        </w:rPr>
        <w:t>;</w:t>
      </w:r>
      <w:r w:rsidR="00C91F82" w:rsidRPr="00321163">
        <w:rPr>
          <w:rFonts w:ascii="Book Antiqua" w:hAnsi="Book Antiqua"/>
        </w:rPr>
        <w:t xml:space="preserve"> </w:t>
      </w:r>
      <w:r w:rsidR="00C91F82" w:rsidRPr="00321163">
        <w:rPr>
          <w:rFonts w:ascii="Book Antiqua" w:hAnsi="Book Antiqua" w:cs="Arial"/>
        </w:rPr>
        <w:sym w:font="Symbol" w:char="F067"/>
      </w:r>
      <w:r w:rsidR="00C91F82" w:rsidRPr="00321163">
        <w:rPr>
          <w:rFonts w:ascii="Book Antiqua" w:hAnsi="Book Antiqua" w:cs="Arial"/>
        </w:rPr>
        <w:t>GT:</w:t>
      </w:r>
      <w:r w:rsidR="00922966" w:rsidRPr="00321163">
        <w:rPr>
          <w:rFonts w:ascii="Book Antiqua" w:hAnsi="Book Antiqua" w:cs="Arial"/>
        </w:rPr>
        <w:t xml:space="preserve"> </w:t>
      </w:r>
      <w:r w:rsidR="00C91F82" w:rsidRPr="00321163">
        <w:rPr>
          <w:rFonts w:ascii="Book Antiqua" w:hAnsi="Book Antiqua" w:cs="Arial"/>
        </w:rPr>
        <w:t>Gamma-</w:t>
      </w:r>
      <w:proofErr w:type="spellStart"/>
      <w:r w:rsidR="00C91F82" w:rsidRPr="00321163">
        <w:rPr>
          <w:rFonts w:ascii="Book Antiqua" w:hAnsi="Book Antiqua" w:cs="Arial"/>
        </w:rPr>
        <w:t>glutamyl</w:t>
      </w:r>
      <w:proofErr w:type="spellEnd"/>
      <w:r w:rsidR="00C91F82" w:rsidRPr="00321163">
        <w:rPr>
          <w:rFonts w:ascii="Book Antiqua" w:hAnsi="Book Antiqua" w:cs="Arial"/>
        </w:rPr>
        <w:t xml:space="preserve"> transferase</w:t>
      </w:r>
      <w:r w:rsidR="00C91F82" w:rsidRPr="00321163">
        <w:rPr>
          <w:rFonts w:ascii="Book Antiqua" w:eastAsia="宋体" w:hAnsi="Book Antiqua" w:cs="Arial" w:hint="eastAsia"/>
          <w:lang w:eastAsia="zh-CN"/>
        </w:rPr>
        <w:t>.</w:t>
      </w:r>
    </w:p>
    <w:p w14:paraId="3CBB3EE3" w14:textId="77777777" w:rsidR="00980152" w:rsidRPr="00321163" w:rsidRDefault="00980152">
      <w:pPr>
        <w:rPr>
          <w:rFonts w:ascii="Book Antiqua" w:eastAsia="宋体" w:hAnsi="Book Antiqua" w:cs="Arial"/>
          <w:lang w:eastAsia="zh-CN"/>
        </w:rPr>
      </w:pPr>
      <w:r w:rsidRPr="00321163">
        <w:rPr>
          <w:rFonts w:ascii="Book Antiqua" w:eastAsia="宋体" w:hAnsi="Book Antiqua" w:cs="Arial"/>
          <w:lang w:eastAsia="zh-CN"/>
        </w:rPr>
        <w:br w:type="page"/>
      </w:r>
    </w:p>
    <w:p w14:paraId="76686A72" w14:textId="77777777" w:rsidR="00980152" w:rsidRPr="00321163" w:rsidRDefault="00980152" w:rsidP="00980152">
      <w:pPr>
        <w:spacing w:line="360" w:lineRule="auto"/>
        <w:jc w:val="both"/>
        <w:rPr>
          <w:rFonts w:ascii="Book Antiqua" w:hAnsi="Book Antiqua"/>
          <w:b/>
        </w:rPr>
      </w:pPr>
      <w:r w:rsidRPr="00321163">
        <w:rPr>
          <w:rFonts w:ascii="Book Antiqua" w:hAnsi="Book Antiqua"/>
          <w:b/>
        </w:rPr>
        <w:lastRenderedPageBreak/>
        <w:t xml:space="preserve">Table </w:t>
      </w:r>
      <w:r w:rsidRPr="00321163">
        <w:rPr>
          <w:rFonts w:ascii="Book Antiqua" w:eastAsia="宋体" w:hAnsi="Book Antiqua" w:hint="eastAsia"/>
          <w:b/>
          <w:lang w:eastAsia="zh-CN"/>
        </w:rPr>
        <w:t>3</w:t>
      </w:r>
      <w:r w:rsidRPr="00321163">
        <w:rPr>
          <w:rFonts w:ascii="Book Antiqua" w:hAnsi="Book Antiqua"/>
          <w:b/>
        </w:rPr>
        <w:t xml:space="preserve"> Univariate characteristics in the evaluation of </w:t>
      </w:r>
      <w:proofErr w:type="spellStart"/>
      <w:r w:rsidRPr="00321163">
        <w:rPr>
          <w:rFonts w:ascii="Book Antiqua" w:hAnsi="Book Antiqua"/>
          <w:b/>
        </w:rPr>
        <w:t>choledocholithiasis</w:t>
      </w:r>
      <w:proofErr w:type="spellEnd"/>
    </w:p>
    <w:p w14:paraId="1EC88B68" w14:textId="77777777" w:rsidR="00980152" w:rsidRPr="00321163" w:rsidRDefault="00980152" w:rsidP="00980152">
      <w:pPr>
        <w:spacing w:line="360" w:lineRule="auto"/>
        <w:jc w:val="both"/>
        <w:rPr>
          <w:rFonts w:ascii="Book Antiqua" w:eastAsia="宋体" w:hAnsi="Book Antiqua"/>
          <w:lang w:eastAsia="zh-CN"/>
        </w:rPr>
      </w:pPr>
    </w:p>
    <w:tbl>
      <w:tblPr>
        <w:tblStyle w:val="TableGrid"/>
        <w:tblW w:w="7488" w:type="dxa"/>
        <w:tblLook w:val="00A0" w:firstRow="1" w:lastRow="0" w:firstColumn="1" w:lastColumn="0" w:noHBand="0" w:noVBand="0"/>
      </w:tblPr>
      <w:tblGrid>
        <w:gridCol w:w="1056"/>
        <w:gridCol w:w="1676"/>
        <w:gridCol w:w="1603"/>
        <w:gridCol w:w="1096"/>
        <w:gridCol w:w="1096"/>
        <w:gridCol w:w="1096"/>
        <w:gridCol w:w="876"/>
      </w:tblGrid>
      <w:tr w:rsidR="00321163" w:rsidRPr="00321163" w14:paraId="2AAA5177" w14:textId="77777777" w:rsidTr="0080449B">
        <w:trPr>
          <w:trHeight w:val="840"/>
        </w:trPr>
        <w:tc>
          <w:tcPr>
            <w:tcW w:w="1076" w:type="dxa"/>
          </w:tcPr>
          <w:p w14:paraId="0E98CF27"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Criteria</w:t>
            </w:r>
          </w:p>
        </w:tc>
        <w:tc>
          <w:tcPr>
            <w:tcW w:w="1154" w:type="dxa"/>
          </w:tcPr>
          <w:p w14:paraId="174FD1C1"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Sensitivity % (95%CI)</w:t>
            </w:r>
          </w:p>
        </w:tc>
        <w:tc>
          <w:tcPr>
            <w:tcW w:w="1143" w:type="dxa"/>
          </w:tcPr>
          <w:p w14:paraId="6C2E90A2"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Specificity%</w:t>
            </w:r>
          </w:p>
          <w:p w14:paraId="516F878B"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(95%CI)</w:t>
            </w:r>
          </w:p>
        </w:tc>
        <w:tc>
          <w:tcPr>
            <w:tcW w:w="1022" w:type="dxa"/>
          </w:tcPr>
          <w:p w14:paraId="3EAFC087"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PPV%</w:t>
            </w:r>
          </w:p>
          <w:p w14:paraId="7779DD7F"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(95%CI)</w:t>
            </w:r>
          </w:p>
        </w:tc>
        <w:tc>
          <w:tcPr>
            <w:tcW w:w="951" w:type="dxa"/>
          </w:tcPr>
          <w:p w14:paraId="193344E7"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NPV%</w:t>
            </w:r>
          </w:p>
          <w:p w14:paraId="5EE71DD2"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(95%CI)</w:t>
            </w:r>
          </w:p>
        </w:tc>
        <w:tc>
          <w:tcPr>
            <w:tcW w:w="1067" w:type="dxa"/>
          </w:tcPr>
          <w:p w14:paraId="636FDB34"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 xml:space="preserve">Odds </w:t>
            </w:r>
          </w:p>
          <w:p w14:paraId="55393288"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ratio</w:t>
            </w:r>
          </w:p>
          <w:p w14:paraId="0E5460AE" w14:textId="77777777" w:rsidR="00980152" w:rsidRPr="00321163" w:rsidRDefault="00980152" w:rsidP="0080449B">
            <w:pPr>
              <w:spacing w:line="360" w:lineRule="auto"/>
              <w:jc w:val="both"/>
              <w:rPr>
                <w:rFonts w:ascii="Book Antiqua" w:hAnsi="Book Antiqua"/>
                <w:b/>
              </w:rPr>
            </w:pPr>
            <w:r w:rsidRPr="00321163">
              <w:rPr>
                <w:rFonts w:ascii="Book Antiqua" w:hAnsi="Book Antiqua"/>
                <w:b/>
              </w:rPr>
              <w:t>(95%CI)</w:t>
            </w:r>
          </w:p>
        </w:tc>
        <w:tc>
          <w:tcPr>
            <w:tcW w:w="1075" w:type="dxa"/>
          </w:tcPr>
          <w:p w14:paraId="560D9B72" w14:textId="77777777" w:rsidR="00980152" w:rsidRPr="00321163" w:rsidRDefault="00980152" w:rsidP="0080449B">
            <w:pPr>
              <w:spacing w:line="360" w:lineRule="auto"/>
              <w:jc w:val="both"/>
              <w:rPr>
                <w:rFonts w:ascii="Book Antiqua" w:hAnsi="Book Antiqua"/>
                <w:b/>
              </w:rPr>
            </w:pPr>
            <w:r w:rsidRPr="00321163">
              <w:rPr>
                <w:rFonts w:ascii="Book Antiqua" w:hAnsi="Book Antiqua"/>
                <w:b/>
                <w:i/>
              </w:rPr>
              <w:t>P</w:t>
            </w:r>
            <w:r w:rsidRPr="00321163">
              <w:rPr>
                <w:rFonts w:ascii="Book Antiqua" w:hAnsi="Book Antiqua"/>
                <w:b/>
              </w:rPr>
              <w:t>-value</w:t>
            </w:r>
          </w:p>
          <w:p w14:paraId="63115302" w14:textId="77777777" w:rsidR="00980152" w:rsidRPr="00321163" w:rsidRDefault="00980152" w:rsidP="0080449B">
            <w:pPr>
              <w:spacing w:line="360" w:lineRule="auto"/>
              <w:jc w:val="both"/>
              <w:rPr>
                <w:rFonts w:ascii="Book Antiqua" w:hAnsi="Book Antiqua"/>
                <w:b/>
              </w:rPr>
            </w:pPr>
          </w:p>
        </w:tc>
      </w:tr>
      <w:tr w:rsidR="00321163" w:rsidRPr="00321163" w14:paraId="23476660" w14:textId="77777777" w:rsidTr="0080449B">
        <w:trPr>
          <w:trHeight w:val="840"/>
        </w:trPr>
        <w:tc>
          <w:tcPr>
            <w:tcW w:w="1076" w:type="dxa"/>
          </w:tcPr>
          <w:p w14:paraId="6303FE9F" w14:textId="77777777" w:rsidR="00980152" w:rsidRPr="00321163" w:rsidRDefault="00980152" w:rsidP="0080449B">
            <w:pPr>
              <w:spacing w:line="360" w:lineRule="auto"/>
              <w:jc w:val="both"/>
              <w:rPr>
                <w:rFonts w:ascii="Book Antiqua" w:hAnsi="Book Antiqua"/>
              </w:rPr>
            </w:pPr>
            <w:r w:rsidRPr="00321163">
              <w:rPr>
                <w:rFonts w:ascii="Book Antiqua" w:hAnsi="Book Antiqua"/>
              </w:rPr>
              <w:t>VS-PM</w:t>
            </w:r>
          </w:p>
        </w:tc>
        <w:tc>
          <w:tcPr>
            <w:tcW w:w="1154" w:type="dxa"/>
          </w:tcPr>
          <w:p w14:paraId="2B4C030A"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81.2 </w:t>
            </w:r>
          </w:p>
          <w:p w14:paraId="1E1D51FA" w14:textId="77777777" w:rsidR="00980152" w:rsidRPr="00321163" w:rsidRDefault="00980152" w:rsidP="0080449B">
            <w:pPr>
              <w:spacing w:line="360" w:lineRule="auto"/>
              <w:jc w:val="both"/>
              <w:rPr>
                <w:rFonts w:ascii="Book Antiqua" w:hAnsi="Book Antiqua"/>
              </w:rPr>
            </w:pPr>
            <w:r w:rsidRPr="00321163">
              <w:rPr>
                <w:rFonts w:ascii="Book Antiqua" w:hAnsi="Book Antiqua"/>
              </w:rPr>
              <w:t>(64-91)</w:t>
            </w:r>
          </w:p>
        </w:tc>
        <w:tc>
          <w:tcPr>
            <w:tcW w:w="1143" w:type="dxa"/>
          </w:tcPr>
          <w:p w14:paraId="65DEB843" w14:textId="77777777" w:rsidR="00980152" w:rsidRPr="00321163" w:rsidRDefault="00980152" w:rsidP="0080449B">
            <w:pPr>
              <w:spacing w:line="360" w:lineRule="auto"/>
              <w:jc w:val="both"/>
              <w:rPr>
                <w:rFonts w:ascii="Book Antiqua" w:hAnsi="Book Antiqua"/>
              </w:rPr>
            </w:pPr>
            <w:r w:rsidRPr="00321163">
              <w:rPr>
                <w:rFonts w:ascii="Book Antiqua" w:hAnsi="Book Antiqua"/>
              </w:rPr>
              <w:t>85.7</w:t>
            </w:r>
          </w:p>
          <w:p w14:paraId="2C4FD761" w14:textId="77777777" w:rsidR="00980152" w:rsidRPr="00321163" w:rsidRDefault="00980152" w:rsidP="0080449B">
            <w:pPr>
              <w:spacing w:line="360" w:lineRule="auto"/>
              <w:jc w:val="both"/>
              <w:rPr>
                <w:rFonts w:ascii="Book Antiqua" w:hAnsi="Book Antiqua"/>
              </w:rPr>
            </w:pPr>
            <w:r w:rsidRPr="00321163">
              <w:rPr>
                <w:rFonts w:ascii="Book Antiqua" w:hAnsi="Book Antiqua"/>
              </w:rPr>
              <w:t>(42-99)</w:t>
            </w:r>
          </w:p>
        </w:tc>
        <w:tc>
          <w:tcPr>
            <w:tcW w:w="1022" w:type="dxa"/>
          </w:tcPr>
          <w:p w14:paraId="0E067371" w14:textId="77777777" w:rsidR="00980152" w:rsidRPr="00321163" w:rsidRDefault="00980152" w:rsidP="0080449B">
            <w:pPr>
              <w:spacing w:line="360" w:lineRule="auto"/>
              <w:jc w:val="both"/>
              <w:rPr>
                <w:rFonts w:ascii="Book Antiqua" w:hAnsi="Book Antiqua"/>
              </w:rPr>
            </w:pPr>
            <w:r w:rsidRPr="00321163">
              <w:rPr>
                <w:rFonts w:ascii="Book Antiqua" w:hAnsi="Book Antiqua"/>
              </w:rPr>
              <w:t>96.8</w:t>
            </w:r>
          </w:p>
          <w:p w14:paraId="2887694E" w14:textId="77777777" w:rsidR="00980152" w:rsidRPr="00321163" w:rsidRDefault="00980152" w:rsidP="0080449B">
            <w:pPr>
              <w:spacing w:line="360" w:lineRule="auto"/>
              <w:jc w:val="both"/>
              <w:rPr>
                <w:rFonts w:ascii="Book Antiqua" w:hAnsi="Book Antiqua"/>
              </w:rPr>
            </w:pPr>
            <w:r w:rsidRPr="00321163">
              <w:rPr>
                <w:rFonts w:ascii="Book Antiqua" w:hAnsi="Book Antiqua"/>
              </w:rPr>
              <w:t>(81-100)</w:t>
            </w:r>
          </w:p>
        </w:tc>
        <w:tc>
          <w:tcPr>
            <w:tcW w:w="951" w:type="dxa"/>
          </w:tcPr>
          <w:p w14:paraId="6DDF921A" w14:textId="77777777" w:rsidR="00980152" w:rsidRPr="00321163" w:rsidRDefault="00980152" w:rsidP="0080449B">
            <w:pPr>
              <w:spacing w:line="360" w:lineRule="auto"/>
              <w:jc w:val="both"/>
              <w:rPr>
                <w:rFonts w:ascii="Book Antiqua" w:hAnsi="Book Antiqua"/>
              </w:rPr>
            </w:pPr>
            <w:r w:rsidRPr="00321163">
              <w:rPr>
                <w:rFonts w:ascii="Book Antiqua" w:hAnsi="Book Antiqua"/>
              </w:rPr>
              <w:t>46.2</w:t>
            </w:r>
          </w:p>
          <w:p w14:paraId="34F4D533" w14:textId="77777777" w:rsidR="00980152" w:rsidRPr="00321163" w:rsidRDefault="00980152" w:rsidP="0080449B">
            <w:pPr>
              <w:spacing w:line="360" w:lineRule="auto"/>
              <w:jc w:val="both"/>
              <w:rPr>
                <w:rFonts w:ascii="Book Antiqua" w:hAnsi="Book Antiqua"/>
              </w:rPr>
            </w:pPr>
            <w:r w:rsidRPr="00321163">
              <w:rPr>
                <w:rFonts w:ascii="Book Antiqua" w:hAnsi="Book Antiqua"/>
              </w:rPr>
              <w:t>(20-74)</w:t>
            </w:r>
          </w:p>
        </w:tc>
        <w:tc>
          <w:tcPr>
            <w:tcW w:w="1067" w:type="dxa"/>
          </w:tcPr>
          <w:p w14:paraId="2FA3D2C8" w14:textId="77777777" w:rsidR="00980152" w:rsidRPr="00321163" w:rsidRDefault="00980152" w:rsidP="0080449B">
            <w:pPr>
              <w:spacing w:line="360" w:lineRule="auto"/>
              <w:jc w:val="both"/>
              <w:rPr>
                <w:rFonts w:ascii="Book Antiqua" w:hAnsi="Book Antiqua"/>
              </w:rPr>
            </w:pPr>
            <w:r w:rsidRPr="00321163">
              <w:rPr>
                <w:rFonts w:ascii="Book Antiqua" w:hAnsi="Book Antiqua"/>
              </w:rPr>
              <w:t>25.7</w:t>
            </w:r>
          </w:p>
          <w:p w14:paraId="3ADA008C" w14:textId="77777777" w:rsidR="00980152" w:rsidRPr="00321163" w:rsidRDefault="00980152" w:rsidP="0080449B">
            <w:pPr>
              <w:spacing w:line="360" w:lineRule="auto"/>
              <w:jc w:val="both"/>
              <w:rPr>
                <w:rFonts w:ascii="Book Antiqua" w:hAnsi="Book Antiqua"/>
              </w:rPr>
            </w:pPr>
            <w:r w:rsidRPr="00321163">
              <w:rPr>
                <w:rFonts w:ascii="Book Antiqua" w:hAnsi="Book Antiqua"/>
              </w:rPr>
              <w:t>(2.65-249)</w:t>
            </w:r>
          </w:p>
        </w:tc>
        <w:tc>
          <w:tcPr>
            <w:tcW w:w="1075" w:type="dxa"/>
          </w:tcPr>
          <w:p w14:paraId="5853D60C"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.07</w:t>
            </w:r>
          </w:p>
        </w:tc>
      </w:tr>
      <w:tr w:rsidR="00321163" w:rsidRPr="00321163" w14:paraId="6AAFC3CC" w14:textId="77777777" w:rsidTr="0080449B">
        <w:trPr>
          <w:trHeight w:val="840"/>
        </w:trPr>
        <w:tc>
          <w:tcPr>
            <w:tcW w:w="1076" w:type="dxa"/>
          </w:tcPr>
          <w:p w14:paraId="052F2674" w14:textId="77777777" w:rsidR="00980152" w:rsidRPr="00321163" w:rsidRDefault="00980152" w:rsidP="0080449B">
            <w:pPr>
              <w:spacing w:line="360" w:lineRule="auto"/>
              <w:jc w:val="both"/>
              <w:rPr>
                <w:rFonts w:ascii="Book Antiqua" w:hAnsi="Book Antiqua"/>
              </w:rPr>
            </w:pPr>
            <w:r w:rsidRPr="00321163">
              <w:rPr>
                <w:rFonts w:ascii="Book Antiqua" w:hAnsi="Book Antiqua"/>
              </w:rPr>
              <w:t>S-PM</w:t>
            </w:r>
          </w:p>
        </w:tc>
        <w:tc>
          <w:tcPr>
            <w:tcW w:w="1154" w:type="dxa"/>
          </w:tcPr>
          <w:p w14:paraId="7CE2DEBE" w14:textId="77777777" w:rsidR="00980152" w:rsidRPr="00321163" w:rsidRDefault="00980152" w:rsidP="0080449B">
            <w:pPr>
              <w:spacing w:line="360" w:lineRule="auto"/>
              <w:jc w:val="both"/>
              <w:rPr>
                <w:rFonts w:ascii="Book Antiqua" w:hAnsi="Book Antiqua"/>
              </w:rPr>
            </w:pPr>
            <w:r w:rsidRPr="00321163">
              <w:rPr>
                <w:rFonts w:ascii="Book Antiqua" w:hAnsi="Book Antiqua"/>
              </w:rPr>
              <w:t>59.5</w:t>
            </w:r>
          </w:p>
          <w:p w14:paraId="26881E7A" w14:textId="77777777" w:rsidR="00980152" w:rsidRPr="00321163" w:rsidRDefault="00980152" w:rsidP="0080449B">
            <w:pPr>
              <w:spacing w:line="360" w:lineRule="auto"/>
              <w:jc w:val="both"/>
              <w:rPr>
                <w:rFonts w:ascii="Book Antiqua" w:hAnsi="Book Antiqua"/>
              </w:rPr>
            </w:pPr>
            <w:r w:rsidRPr="00321163">
              <w:rPr>
                <w:rFonts w:ascii="Book Antiqua" w:hAnsi="Book Antiqua"/>
              </w:rPr>
              <w:t>(42-75)</w:t>
            </w:r>
          </w:p>
        </w:tc>
        <w:tc>
          <w:tcPr>
            <w:tcW w:w="1143" w:type="dxa"/>
          </w:tcPr>
          <w:p w14:paraId="4F06071C" w14:textId="77777777" w:rsidR="00980152" w:rsidRPr="00321163" w:rsidRDefault="00980152" w:rsidP="0080449B">
            <w:pPr>
              <w:spacing w:line="360" w:lineRule="auto"/>
              <w:jc w:val="both"/>
              <w:rPr>
                <w:rFonts w:ascii="Book Antiqua" w:hAnsi="Book Antiqua"/>
              </w:rPr>
            </w:pPr>
            <w:r w:rsidRPr="00321163">
              <w:rPr>
                <w:rFonts w:ascii="Book Antiqua" w:hAnsi="Book Antiqua"/>
              </w:rPr>
              <w:t>85.7</w:t>
            </w:r>
          </w:p>
          <w:p w14:paraId="354BA061" w14:textId="77777777" w:rsidR="00980152" w:rsidRPr="00321163" w:rsidRDefault="00980152" w:rsidP="0080449B">
            <w:pPr>
              <w:spacing w:line="360" w:lineRule="auto"/>
              <w:jc w:val="both"/>
              <w:rPr>
                <w:rFonts w:ascii="Book Antiqua" w:hAnsi="Book Antiqua"/>
              </w:rPr>
            </w:pPr>
            <w:r w:rsidRPr="00321163">
              <w:rPr>
                <w:rFonts w:ascii="Book Antiqua" w:hAnsi="Book Antiqua"/>
              </w:rPr>
              <w:t>(42-99)</w:t>
            </w:r>
          </w:p>
        </w:tc>
        <w:tc>
          <w:tcPr>
            <w:tcW w:w="1022" w:type="dxa"/>
          </w:tcPr>
          <w:p w14:paraId="31546F99" w14:textId="77777777" w:rsidR="00980152" w:rsidRPr="00321163" w:rsidRDefault="00980152" w:rsidP="0080449B">
            <w:pPr>
              <w:spacing w:line="360" w:lineRule="auto"/>
              <w:jc w:val="both"/>
              <w:rPr>
                <w:rFonts w:ascii="Book Antiqua" w:hAnsi="Book Antiqua"/>
              </w:rPr>
            </w:pPr>
            <w:r w:rsidRPr="00321163">
              <w:rPr>
                <w:rFonts w:ascii="Book Antiqua" w:hAnsi="Book Antiqua"/>
              </w:rPr>
              <w:t>95.7</w:t>
            </w:r>
          </w:p>
          <w:p w14:paraId="0F4A0991" w14:textId="77777777" w:rsidR="00980152" w:rsidRPr="00321163" w:rsidRDefault="00980152" w:rsidP="0080449B">
            <w:pPr>
              <w:spacing w:line="360" w:lineRule="auto"/>
              <w:jc w:val="both"/>
              <w:rPr>
                <w:rFonts w:ascii="Book Antiqua" w:hAnsi="Book Antiqua"/>
              </w:rPr>
            </w:pPr>
            <w:r w:rsidRPr="00321163">
              <w:rPr>
                <w:rFonts w:ascii="Book Antiqua" w:hAnsi="Book Antiqua"/>
              </w:rPr>
              <w:t>(76-100)</w:t>
            </w:r>
          </w:p>
        </w:tc>
        <w:tc>
          <w:tcPr>
            <w:tcW w:w="951" w:type="dxa"/>
          </w:tcPr>
          <w:p w14:paraId="265DB002" w14:textId="77777777" w:rsidR="00980152" w:rsidRPr="00321163" w:rsidRDefault="00980152" w:rsidP="0080449B">
            <w:pPr>
              <w:spacing w:line="360" w:lineRule="auto"/>
              <w:jc w:val="both"/>
              <w:rPr>
                <w:rFonts w:ascii="Book Antiqua" w:hAnsi="Book Antiqua"/>
              </w:rPr>
            </w:pPr>
            <w:r w:rsidRPr="00321163">
              <w:rPr>
                <w:rFonts w:ascii="Book Antiqua" w:hAnsi="Book Antiqua"/>
              </w:rPr>
              <w:t>28.6</w:t>
            </w:r>
          </w:p>
          <w:p w14:paraId="7335F645" w14:textId="77777777" w:rsidR="00980152" w:rsidRPr="00321163" w:rsidRDefault="00980152" w:rsidP="0080449B">
            <w:pPr>
              <w:spacing w:line="360" w:lineRule="auto"/>
              <w:jc w:val="both"/>
              <w:rPr>
                <w:rFonts w:ascii="Book Antiqua" w:hAnsi="Book Antiqua"/>
              </w:rPr>
            </w:pPr>
            <w:r w:rsidRPr="00321163">
              <w:rPr>
                <w:rFonts w:ascii="Book Antiqua" w:hAnsi="Book Antiqua"/>
              </w:rPr>
              <w:t>(12-52)</w:t>
            </w:r>
          </w:p>
        </w:tc>
        <w:tc>
          <w:tcPr>
            <w:tcW w:w="1067" w:type="dxa"/>
          </w:tcPr>
          <w:p w14:paraId="7835A215" w14:textId="77777777" w:rsidR="00980152" w:rsidRPr="00321163" w:rsidRDefault="00980152" w:rsidP="0080449B">
            <w:pPr>
              <w:spacing w:line="360" w:lineRule="auto"/>
              <w:jc w:val="both"/>
              <w:rPr>
                <w:rFonts w:ascii="Book Antiqua" w:hAnsi="Book Antiqua"/>
              </w:rPr>
            </w:pPr>
            <w:r w:rsidRPr="00321163">
              <w:rPr>
                <w:rFonts w:ascii="Book Antiqua" w:hAnsi="Book Antiqua"/>
              </w:rPr>
              <w:t>8.8</w:t>
            </w:r>
          </w:p>
          <w:p w14:paraId="3C980AEC"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.96-80.7)</w:t>
            </w:r>
          </w:p>
        </w:tc>
        <w:tc>
          <w:tcPr>
            <w:tcW w:w="1075" w:type="dxa"/>
          </w:tcPr>
          <w:p w14:paraId="2FE7CCFD"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.001</w:t>
            </w:r>
          </w:p>
        </w:tc>
      </w:tr>
      <w:tr w:rsidR="00321163" w:rsidRPr="00321163" w14:paraId="426DBD97" w14:textId="77777777" w:rsidTr="0080449B">
        <w:trPr>
          <w:trHeight w:val="840"/>
        </w:trPr>
        <w:tc>
          <w:tcPr>
            <w:tcW w:w="1076" w:type="dxa"/>
          </w:tcPr>
          <w:p w14:paraId="73F76AA8" w14:textId="77777777" w:rsidR="00980152" w:rsidRPr="00321163" w:rsidRDefault="00980152" w:rsidP="0080449B">
            <w:pPr>
              <w:spacing w:line="360" w:lineRule="auto"/>
              <w:jc w:val="both"/>
              <w:rPr>
                <w:rFonts w:ascii="Book Antiqua" w:hAnsi="Book Antiqua"/>
              </w:rPr>
            </w:pPr>
            <w:r w:rsidRPr="00321163">
              <w:rPr>
                <w:rFonts w:ascii="Book Antiqua" w:hAnsi="Book Antiqua"/>
              </w:rPr>
              <w:t>VS-Adult</w:t>
            </w:r>
          </w:p>
        </w:tc>
        <w:tc>
          <w:tcPr>
            <w:tcW w:w="1154" w:type="dxa"/>
          </w:tcPr>
          <w:p w14:paraId="75C3B167"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59.5 </w:t>
            </w:r>
          </w:p>
          <w:p w14:paraId="6F79BEB7" w14:textId="77777777" w:rsidR="00980152" w:rsidRPr="00321163" w:rsidRDefault="00980152" w:rsidP="0080449B">
            <w:pPr>
              <w:spacing w:line="360" w:lineRule="auto"/>
              <w:jc w:val="both"/>
              <w:rPr>
                <w:rFonts w:ascii="Book Antiqua" w:hAnsi="Book Antiqua"/>
              </w:rPr>
            </w:pPr>
            <w:r w:rsidRPr="00321163">
              <w:rPr>
                <w:rFonts w:ascii="Book Antiqua" w:hAnsi="Book Antiqua"/>
              </w:rPr>
              <w:t>(42-75)</w:t>
            </w:r>
          </w:p>
        </w:tc>
        <w:tc>
          <w:tcPr>
            <w:tcW w:w="1143" w:type="dxa"/>
          </w:tcPr>
          <w:p w14:paraId="2C966DE4" w14:textId="77777777" w:rsidR="00980152" w:rsidRPr="00321163" w:rsidRDefault="00980152" w:rsidP="0080449B">
            <w:pPr>
              <w:spacing w:line="360" w:lineRule="auto"/>
              <w:jc w:val="both"/>
              <w:rPr>
                <w:rFonts w:ascii="Book Antiqua" w:hAnsi="Book Antiqua"/>
              </w:rPr>
            </w:pPr>
            <w:r w:rsidRPr="00321163">
              <w:rPr>
                <w:rFonts w:ascii="Book Antiqua" w:hAnsi="Book Antiqua"/>
              </w:rPr>
              <w:t>100</w:t>
            </w:r>
          </w:p>
          <w:p w14:paraId="22027D9A" w14:textId="77777777" w:rsidR="00980152" w:rsidRPr="00321163" w:rsidRDefault="00980152" w:rsidP="0080449B">
            <w:pPr>
              <w:spacing w:line="360" w:lineRule="auto"/>
              <w:jc w:val="both"/>
              <w:rPr>
                <w:rFonts w:ascii="Book Antiqua" w:hAnsi="Book Antiqua"/>
              </w:rPr>
            </w:pPr>
            <w:r w:rsidRPr="00321163">
              <w:rPr>
                <w:rFonts w:ascii="Book Antiqua" w:hAnsi="Book Antiqua"/>
              </w:rPr>
              <w:t>(56-100)</w:t>
            </w:r>
          </w:p>
        </w:tc>
        <w:tc>
          <w:tcPr>
            <w:tcW w:w="1022" w:type="dxa"/>
          </w:tcPr>
          <w:p w14:paraId="54993225"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100 </w:t>
            </w:r>
          </w:p>
          <w:p w14:paraId="14258DEF" w14:textId="77777777" w:rsidR="00980152" w:rsidRPr="00321163" w:rsidRDefault="00980152" w:rsidP="0080449B">
            <w:pPr>
              <w:spacing w:line="360" w:lineRule="auto"/>
              <w:jc w:val="both"/>
              <w:rPr>
                <w:rFonts w:ascii="Book Antiqua" w:hAnsi="Book Antiqua"/>
              </w:rPr>
            </w:pPr>
            <w:r w:rsidRPr="00321163">
              <w:rPr>
                <w:rFonts w:ascii="Book Antiqua" w:hAnsi="Book Antiqua"/>
              </w:rPr>
              <w:t>(81-100)</w:t>
            </w:r>
          </w:p>
        </w:tc>
        <w:tc>
          <w:tcPr>
            <w:tcW w:w="951" w:type="dxa"/>
          </w:tcPr>
          <w:p w14:paraId="7FC2D127" w14:textId="77777777" w:rsidR="00980152" w:rsidRPr="00321163" w:rsidRDefault="00980152" w:rsidP="0080449B">
            <w:pPr>
              <w:spacing w:line="360" w:lineRule="auto"/>
              <w:jc w:val="both"/>
              <w:rPr>
                <w:rFonts w:ascii="Book Antiqua" w:hAnsi="Book Antiqua"/>
              </w:rPr>
            </w:pPr>
            <w:r w:rsidRPr="00321163">
              <w:rPr>
                <w:rFonts w:ascii="Book Antiqua" w:hAnsi="Book Antiqua"/>
              </w:rPr>
              <w:t>31.8</w:t>
            </w:r>
          </w:p>
          <w:p w14:paraId="6FDEC25F" w14:textId="77777777" w:rsidR="00980152" w:rsidRPr="00321163" w:rsidRDefault="00980152" w:rsidP="0080449B">
            <w:pPr>
              <w:spacing w:line="360" w:lineRule="auto"/>
              <w:jc w:val="both"/>
              <w:rPr>
                <w:rFonts w:ascii="Book Antiqua" w:hAnsi="Book Antiqua"/>
              </w:rPr>
            </w:pPr>
            <w:r w:rsidRPr="00321163">
              <w:rPr>
                <w:rFonts w:ascii="Book Antiqua" w:hAnsi="Book Antiqua"/>
              </w:rPr>
              <w:t>(15-55)</w:t>
            </w:r>
          </w:p>
        </w:tc>
        <w:tc>
          <w:tcPr>
            <w:tcW w:w="1067" w:type="dxa"/>
          </w:tcPr>
          <w:p w14:paraId="4FD3A46E"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vertAlign w:val="superscript"/>
                <w:lang w:eastAsia="zh-CN"/>
              </w:rPr>
              <w:t>1</w:t>
            </w:r>
            <w:r w:rsidRPr="00321163">
              <w:rPr>
                <w:rFonts w:ascii="Book Antiqua" w:hAnsi="Book Antiqua"/>
              </w:rPr>
              <w:t>8.8</w:t>
            </w:r>
          </w:p>
          <w:p w14:paraId="0557FBC9"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.96-80.7)</w:t>
            </w:r>
          </w:p>
        </w:tc>
        <w:tc>
          <w:tcPr>
            <w:tcW w:w="1075" w:type="dxa"/>
          </w:tcPr>
          <w:p w14:paraId="1B63101C"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.0001</w:t>
            </w:r>
          </w:p>
        </w:tc>
      </w:tr>
      <w:tr w:rsidR="00321163" w:rsidRPr="00321163" w14:paraId="04F8BE1D" w14:textId="77777777" w:rsidTr="0080449B">
        <w:trPr>
          <w:trHeight w:val="840"/>
        </w:trPr>
        <w:tc>
          <w:tcPr>
            <w:tcW w:w="1076" w:type="dxa"/>
          </w:tcPr>
          <w:p w14:paraId="070F2546" w14:textId="77777777" w:rsidR="00980152" w:rsidRPr="00321163" w:rsidRDefault="00980152" w:rsidP="0080449B">
            <w:pPr>
              <w:spacing w:line="360" w:lineRule="auto"/>
              <w:jc w:val="both"/>
              <w:rPr>
                <w:rFonts w:ascii="Book Antiqua" w:hAnsi="Book Antiqua"/>
              </w:rPr>
            </w:pPr>
            <w:r w:rsidRPr="00321163">
              <w:rPr>
                <w:rFonts w:ascii="Book Antiqua" w:hAnsi="Book Antiqua"/>
              </w:rPr>
              <w:t>S-Adult</w:t>
            </w:r>
          </w:p>
        </w:tc>
        <w:tc>
          <w:tcPr>
            <w:tcW w:w="1154" w:type="dxa"/>
          </w:tcPr>
          <w:p w14:paraId="6B15929E" w14:textId="77777777" w:rsidR="00980152" w:rsidRPr="00321163" w:rsidRDefault="00980152" w:rsidP="0080449B">
            <w:pPr>
              <w:spacing w:line="360" w:lineRule="auto"/>
              <w:jc w:val="both"/>
              <w:rPr>
                <w:rFonts w:ascii="Book Antiqua" w:hAnsi="Book Antiqua"/>
              </w:rPr>
            </w:pPr>
            <w:r w:rsidRPr="00321163">
              <w:rPr>
                <w:rFonts w:ascii="Book Antiqua" w:hAnsi="Book Antiqua"/>
              </w:rPr>
              <w:t>48.6</w:t>
            </w:r>
          </w:p>
          <w:p w14:paraId="35A6AD56" w14:textId="77777777" w:rsidR="00980152" w:rsidRPr="00321163" w:rsidRDefault="00980152" w:rsidP="0080449B">
            <w:pPr>
              <w:spacing w:line="360" w:lineRule="auto"/>
              <w:jc w:val="both"/>
              <w:rPr>
                <w:rFonts w:ascii="Book Antiqua" w:hAnsi="Book Antiqua"/>
              </w:rPr>
            </w:pPr>
            <w:r w:rsidRPr="00321163">
              <w:rPr>
                <w:rFonts w:ascii="Book Antiqua" w:hAnsi="Book Antiqua"/>
              </w:rPr>
              <w:t>(32-65)</w:t>
            </w:r>
          </w:p>
        </w:tc>
        <w:tc>
          <w:tcPr>
            <w:tcW w:w="1143" w:type="dxa"/>
          </w:tcPr>
          <w:p w14:paraId="5654927C"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85.7 </w:t>
            </w:r>
          </w:p>
          <w:p w14:paraId="05847B83" w14:textId="77777777" w:rsidR="00980152" w:rsidRPr="00321163" w:rsidRDefault="00980152" w:rsidP="0080449B">
            <w:pPr>
              <w:spacing w:line="360" w:lineRule="auto"/>
              <w:jc w:val="both"/>
              <w:rPr>
                <w:rFonts w:ascii="Book Antiqua" w:hAnsi="Book Antiqua"/>
              </w:rPr>
            </w:pPr>
            <w:r w:rsidRPr="00321163">
              <w:rPr>
                <w:rFonts w:ascii="Book Antiqua" w:hAnsi="Book Antiqua"/>
              </w:rPr>
              <w:t>42-99)</w:t>
            </w:r>
          </w:p>
        </w:tc>
        <w:tc>
          <w:tcPr>
            <w:tcW w:w="1022" w:type="dxa"/>
          </w:tcPr>
          <w:p w14:paraId="4683099C" w14:textId="77777777" w:rsidR="00980152" w:rsidRPr="00321163" w:rsidRDefault="00980152" w:rsidP="0080449B">
            <w:pPr>
              <w:spacing w:line="360" w:lineRule="auto"/>
              <w:jc w:val="both"/>
              <w:rPr>
                <w:rFonts w:ascii="Book Antiqua" w:hAnsi="Book Antiqua"/>
              </w:rPr>
            </w:pPr>
            <w:r w:rsidRPr="00321163">
              <w:rPr>
                <w:rFonts w:ascii="Book Antiqua" w:hAnsi="Book Antiqua"/>
              </w:rPr>
              <w:t>94.7</w:t>
            </w:r>
          </w:p>
          <w:p w14:paraId="2C148847" w14:textId="77777777" w:rsidR="00980152" w:rsidRPr="00321163" w:rsidRDefault="00980152" w:rsidP="0080449B">
            <w:pPr>
              <w:spacing w:line="360" w:lineRule="auto"/>
              <w:jc w:val="both"/>
              <w:rPr>
                <w:rFonts w:ascii="Book Antiqua" w:hAnsi="Book Antiqua"/>
              </w:rPr>
            </w:pPr>
            <w:r w:rsidRPr="00321163">
              <w:rPr>
                <w:rFonts w:ascii="Book Antiqua" w:hAnsi="Book Antiqua"/>
              </w:rPr>
              <w:t>(72-100)</w:t>
            </w:r>
          </w:p>
        </w:tc>
        <w:tc>
          <w:tcPr>
            <w:tcW w:w="951" w:type="dxa"/>
          </w:tcPr>
          <w:p w14:paraId="2ABCE722" w14:textId="77777777" w:rsidR="00980152" w:rsidRPr="00321163" w:rsidRDefault="00980152" w:rsidP="0080449B">
            <w:pPr>
              <w:spacing w:line="360" w:lineRule="auto"/>
              <w:jc w:val="both"/>
              <w:rPr>
                <w:rFonts w:ascii="Book Antiqua" w:hAnsi="Book Antiqua"/>
              </w:rPr>
            </w:pPr>
            <w:r w:rsidRPr="00321163">
              <w:rPr>
                <w:rFonts w:ascii="Book Antiqua" w:hAnsi="Book Antiqua"/>
              </w:rPr>
              <w:t>24.0</w:t>
            </w:r>
          </w:p>
          <w:p w14:paraId="2BFBC6F0" w14:textId="77777777" w:rsidR="00980152" w:rsidRPr="00321163" w:rsidRDefault="00980152" w:rsidP="0080449B">
            <w:pPr>
              <w:spacing w:line="360" w:lineRule="auto"/>
              <w:jc w:val="both"/>
              <w:rPr>
                <w:rFonts w:ascii="Book Antiqua" w:hAnsi="Book Antiqua"/>
              </w:rPr>
            </w:pPr>
            <w:r w:rsidRPr="00321163">
              <w:rPr>
                <w:rFonts w:ascii="Book Antiqua" w:hAnsi="Book Antiqua"/>
              </w:rPr>
              <w:t>(10-45)</w:t>
            </w:r>
          </w:p>
        </w:tc>
        <w:tc>
          <w:tcPr>
            <w:tcW w:w="1067" w:type="dxa"/>
          </w:tcPr>
          <w:p w14:paraId="750BB8E1" w14:textId="77777777" w:rsidR="00980152" w:rsidRPr="00321163" w:rsidRDefault="00980152" w:rsidP="0080449B">
            <w:pPr>
              <w:spacing w:line="360" w:lineRule="auto"/>
              <w:jc w:val="both"/>
              <w:rPr>
                <w:rFonts w:ascii="Book Antiqua" w:hAnsi="Book Antiqua"/>
              </w:rPr>
            </w:pPr>
            <w:r w:rsidRPr="00321163">
              <w:rPr>
                <w:rFonts w:ascii="Book Antiqua" w:hAnsi="Book Antiqua"/>
              </w:rPr>
              <w:t>5.68</w:t>
            </w:r>
          </w:p>
          <w:p w14:paraId="5DC08BD1"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.62-51.97)</w:t>
            </w:r>
          </w:p>
        </w:tc>
        <w:tc>
          <w:tcPr>
            <w:tcW w:w="1075" w:type="dxa"/>
          </w:tcPr>
          <w:p w14:paraId="3EC0C956"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.0001</w:t>
            </w:r>
          </w:p>
        </w:tc>
      </w:tr>
      <w:tr w:rsidR="00321163" w:rsidRPr="00321163" w14:paraId="4E070176" w14:textId="77777777" w:rsidTr="0080449B">
        <w:trPr>
          <w:trHeight w:val="840"/>
        </w:trPr>
        <w:tc>
          <w:tcPr>
            <w:tcW w:w="1076" w:type="dxa"/>
          </w:tcPr>
          <w:p w14:paraId="55A21827" w14:textId="77777777" w:rsidR="00980152" w:rsidRPr="00321163" w:rsidRDefault="00980152" w:rsidP="0080449B">
            <w:pPr>
              <w:spacing w:line="360" w:lineRule="auto"/>
              <w:jc w:val="both"/>
              <w:rPr>
                <w:rFonts w:ascii="Book Antiqua" w:hAnsi="Book Antiqua"/>
              </w:rPr>
            </w:pPr>
            <w:r w:rsidRPr="00321163">
              <w:rPr>
                <w:rFonts w:ascii="Book Antiqua" w:hAnsi="Book Antiqua"/>
              </w:rPr>
              <w:t>CBDS by US</w:t>
            </w:r>
          </w:p>
        </w:tc>
        <w:tc>
          <w:tcPr>
            <w:tcW w:w="1154" w:type="dxa"/>
          </w:tcPr>
          <w:p w14:paraId="46858428"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43.2 </w:t>
            </w:r>
          </w:p>
          <w:p w14:paraId="0B2BD344" w14:textId="77777777" w:rsidR="00980152" w:rsidRPr="00321163" w:rsidRDefault="00980152" w:rsidP="0080449B">
            <w:pPr>
              <w:spacing w:line="360" w:lineRule="auto"/>
              <w:jc w:val="both"/>
              <w:rPr>
                <w:rFonts w:ascii="Book Antiqua" w:hAnsi="Book Antiqua"/>
              </w:rPr>
            </w:pPr>
            <w:r w:rsidRPr="00321163">
              <w:rPr>
                <w:rFonts w:ascii="Book Antiqua" w:hAnsi="Book Antiqua"/>
              </w:rPr>
              <w:t>(28-60)</w:t>
            </w:r>
          </w:p>
        </w:tc>
        <w:tc>
          <w:tcPr>
            <w:tcW w:w="1143" w:type="dxa"/>
          </w:tcPr>
          <w:p w14:paraId="2B549E4A"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100 </w:t>
            </w:r>
          </w:p>
          <w:p w14:paraId="68493467" w14:textId="77777777" w:rsidR="00980152" w:rsidRPr="00321163" w:rsidRDefault="00980152" w:rsidP="0080449B">
            <w:pPr>
              <w:spacing w:line="360" w:lineRule="auto"/>
              <w:jc w:val="both"/>
              <w:rPr>
                <w:rFonts w:ascii="Book Antiqua" w:hAnsi="Book Antiqua"/>
              </w:rPr>
            </w:pPr>
            <w:r w:rsidRPr="00321163">
              <w:rPr>
                <w:rFonts w:ascii="Book Antiqua" w:hAnsi="Book Antiqua"/>
              </w:rPr>
              <w:t>(56-100)</w:t>
            </w:r>
          </w:p>
        </w:tc>
        <w:tc>
          <w:tcPr>
            <w:tcW w:w="1022" w:type="dxa"/>
          </w:tcPr>
          <w:p w14:paraId="5B6C441C" w14:textId="77777777" w:rsidR="00980152" w:rsidRPr="00321163" w:rsidRDefault="00980152" w:rsidP="0080449B">
            <w:pPr>
              <w:spacing w:line="360" w:lineRule="auto"/>
              <w:jc w:val="both"/>
              <w:rPr>
                <w:rFonts w:ascii="Book Antiqua" w:hAnsi="Book Antiqua"/>
              </w:rPr>
            </w:pPr>
            <w:r w:rsidRPr="00321163">
              <w:rPr>
                <w:rFonts w:ascii="Book Antiqua" w:hAnsi="Book Antiqua"/>
              </w:rPr>
              <w:t>100</w:t>
            </w:r>
          </w:p>
          <w:p w14:paraId="637DC734" w14:textId="77777777" w:rsidR="00980152" w:rsidRPr="00321163" w:rsidRDefault="00980152" w:rsidP="0080449B">
            <w:pPr>
              <w:spacing w:line="360" w:lineRule="auto"/>
              <w:jc w:val="both"/>
              <w:rPr>
                <w:rFonts w:ascii="Book Antiqua" w:hAnsi="Book Antiqua"/>
              </w:rPr>
            </w:pPr>
            <w:r w:rsidRPr="00321163">
              <w:rPr>
                <w:rFonts w:ascii="Book Antiqua" w:hAnsi="Book Antiqua"/>
              </w:rPr>
              <w:t>(76-100)</w:t>
            </w:r>
          </w:p>
        </w:tc>
        <w:tc>
          <w:tcPr>
            <w:tcW w:w="951" w:type="dxa"/>
          </w:tcPr>
          <w:p w14:paraId="6B4FF858" w14:textId="77777777" w:rsidR="00980152" w:rsidRPr="00321163" w:rsidRDefault="00980152" w:rsidP="0080449B">
            <w:pPr>
              <w:spacing w:line="360" w:lineRule="auto"/>
              <w:jc w:val="both"/>
              <w:rPr>
                <w:rFonts w:ascii="Book Antiqua" w:hAnsi="Book Antiqua"/>
              </w:rPr>
            </w:pPr>
            <w:r w:rsidRPr="00321163">
              <w:rPr>
                <w:rFonts w:ascii="Book Antiqua" w:hAnsi="Book Antiqua"/>
              </w:rPr>
              <w:t>25.0</w:t>
            </w:r>
          </w:p>
          <w:p w14:paraId="75F73BBB" w14:textId="77777777" w:rsidR="00980152" w:rsidRPr="00321163" w:rsidRDefault="00980152" w:rsidP="0080449B">
            <w:pPr>
              <w:spacing w:line="360" w:lineRule="auto"/>
              <w:jc w:val="both"/>
              <w:rPr>
                <w:rFonts w:ascii="Book Antiqua" w:hAnsi="Book Antiqua"/>
              </w:rPr>
            </w:pPr>
            <w:r w:rsidRPr="00321163">
              <w:rPr>
                <w:rFonts w:ascii="Book Antiqua" w:hAnsi="Book Antiqua"/>
              </w:rPr>
              <w:t>(11-45)</w:t>
            </w:r>
          </w:p>
        </w:tc>
        <w:tc>
          <w:tcPr>
            <w:tcW w:w="1067" w:type="dxa"/>
          </w:tcPr>
          <w:p w14:paraId="28BB6733"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vertAlign w:val="superscript"/>
                <w:lang w:eastAsia="zh-CN"/>
              </w:rPr>
              <w:t>1</w:t>
            </w:r>
            <w:r w:rsidRPr="00321163">
              <w:rPr>
                <w:rFonts w:ascii="Book Antiqua" w:hAnsi="Book Antiqua"/>
              </w:rPr>
              <w:t>4.57</w:t>
            </w:r>
          </w:p>
          <w:p w14:paraId="3872E984"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.50-41.9)</w:t>
            </w:r>
          </w:p>
        </w:tc>
        <w:tc>
          <w:tcPr>
            <w:tcW w:w="1075" w:type="dxa"/>
          </w:tcPr>
          <w:p w14:paraId="2B754C90"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.0001</w:t>
            </w:r>
          </w:p>
        </w:tc>
      </w:tr>
      <w:tr w:rsidR="00321163" w:rsidRPr="00321163" w14:paraId="6704FD58" w14:textId="77777777" w:rsidTr="0080449B">
        <w:trPr>
          <w:trHeight w:val="840"/>
        </w:trPr>
        <w:tc>
          <w:tcPr>
            <w:tcW w:w="1076" w:type="dxa"/>
          </w:tcPr>
          <w:p w14:paraId="7DCFDAD7" w14:textId="77777777" w:rsidR="00980152" w:rsidRPr="00321163" w:rsidRDefault="00980152" w:rsidP="0080449B">
            <w:pPr>
              <w:spacing w:line="360" w:lineRule="auto"/>
              <w:jc w:val="both"/>
              <w:rPr>
                <w:rFonts w:ascii="Book Antiqua" w:hAnsi="Book Antiqua"/>
              </w:rPr>
            </w:pPr>
            <w:r w:rsidRPr="00321163">
              <w:rPr>
                <w:rFonts w:ascii="Book Antiqua" w:hAnsi="Book Antiqua"/>
              </w:rPr>
              <w:t>CBD &gt; 6 mm</w:t>
            </w:r>
          </w:p>
        </w:tc>
        <w:tc>
          <w:tcPr>
            <w:tcW w:w="1154" w:type="dxa"/>
          </w:tcPr>
          <w:p w14:paraId="2A0B552E" w14:textId="77777777" w:rsidR="00980152" w:rsidRPr="00321163" w:rsidRDefault="00980152" w:rsidP="0080449B">
            <w:pPr>
              <w:spacing w:line="360" w:lineRule="auto"/>
              <w:jc w:val="both"/>
              <w:rPr>
                <w:rFonts w:ascii="Book Antiqua" w:hAnsi="Book Antiqua"/>
              </w:rPr>
            </w:pPr>
            <w:r w:rsidRPr="00321163">
              <w:rPr>
                <w:rFonts w:ascii="Book Antiqua" w:hAnsi="Book Antiqua"/>
              </w:rPr>
              <w:t>81.1</w:t>
            </w:r>
          </w:p>
          <w:p w14:paraId="0FCF8EEB" w14:textId="77777777" w:rsidR="00980152" w:rsidRPr="00321163" w:rsidRDefault="00980152" w:rsidP="0080449B">
            <w:pPr>
              <w:spacing w:line="360" w:lineRule="auto"/>
              <w:jc w:val="both"/>
              <w:rPr>
                <w:rFonts w:ascii="Book Antiqua" w:hAnsi="Book Antiqua"/>
              </w:rPr>
            </w:pPr>
            <w:r w:rsidRPr="00321163">
              <w:rPr>
                <w:rFonts w:ascii="Book Antiqua" w:hAnsi="Book Antiqua"/>
              </w:rPr>
              <w:t>(64-91)</w:t>
            </w:r>
          </w:p>
        </w:tc>
        <w:tc>
          <w:tcPr>
            <w:tcW w:w="1143" w:type="dxa"/>
          </w:tcPr>
          <w:p w14:paraId="28AA929B" w14:textId="77777777" w:rsidR="00980152" w:rsidRPr="00321163" w:rsidRDefault="00980152" w:rsidP="0080449B">
            <w:pPr>
              <w:spacing w:line="360" w:lineRule="auto"/>
              <w:jc w:val="both"/>
              <w:rPr>
                <w:rFonts w:ascii="Book Antiqua" w:hAnsi="Book Antiqua"/>
              </w:rPr>
            </w:pPr>
            <w:r w:rsidRPr="00321163">
              <w:rPr>
                <w:rFonts w:ascii="Book Antiqua" w:hAnsi="Book Antiqua"/>
              </w:rPr>
              <w:t>14.3</w:t>
            </w:r>
          </w:p>
          <w:p w14:paraId="32C717DB" w14:textId="77777777" w:rsidR="00980152" w:rsidRPr="00321163" w:rsidRDefault="00980152" w:rsidP="0080449B">
            <w:pPr>
              <w:spacing w:line="360" w:lineRule="auto"/>
              <w:jc w:val="both"/>
              <w:rPr>
                <w:rFonts w:ascii="Book Antiqua" w:hAnsi="Book Antiqua"/>
              </w:rPr>
            </w:pPr>
            <w:r w:rsidRPr="00321163">
              <w:rPr>
                <w:rFonts w:ascii="Book Antiqua" w:hAnsi="Book Antiqua"/>
              </w:rPr>
              <w:t>(1-58)</w:t>
            </w:r>
          </w:p>
        </w:tc>
        <w:tc>
          <w:tcPr>
            <w:tcW w:w="1022" w:type="dxa"/>
          </w:tcPr>
          <w:p w14:paraId="1AEAF458" w14:textId="77777777" w:rsidR="00980152" w:rsidRPr="00321163" w:rsidRDefault="00980152" w:rsidP="0080449B">
            <w:pPr>
              <w:spacing w:line="360" w:lineRule="auto"/>
              <w:jc w:val="both"/>
              <w:rPr>
                <w:rFonts w:ascii="Book Antiqua" w:hAnsi="Book Antiqua"/>
              </w:rPr>
            </w:pPr>
            <w:r w:rsidRPr="00321163">
              <w:rPr>
                <w:rFonts w:ascii="Book Antiqua" w:hAnsi="Book Antiqua"/>
              </w:rPr>
              <w:t>83.3</w:t>
            </w:r>
          </w:p>
          <w:p w14:paraId="42AC87E5" w14:textId="77777777" w:rsidR="00980152" w:rsidRPr="00321163" w:rsidRDefault="00980152" w:rsidP="0080449B">
            <w:pPr>
              <w:spacing w:line="360" w:lineRule="auto"/>
              <w:jc w:val="both"/>
              <w:rPr>
                <w:rFonts w:ascii="Book Antiqua" w:hAnsi="Book Antiqua"/>
              </w:rPr>
            </w:pPr>
            <w:r w:rsidRPr="00321163">
              <w:rPr>
                <w:rFonts w:ascii="Book Antiqua" w:hAnsi="Book Antiqua"/>
              </w:rPr>
              <w:t>(67-93)</w:t>
            </w:r>
          </w:p>
        </w:tc>
        <w:tc>
          <w:tcPr>
            <w:tcW w:w="951" w:type="dxa"/>
          </w:tcPr>
          <w:p w14:paraId="6FE6314F" w14:textId="77777777" w:rsidR="00980152" w:rsidRPr="00321163" w:rsidRDefault="00980152" w:rsidP="0080449B">
            <w:pPr>
              <w:spacing w:line="360" w:lineRule="auto"/>
              <w:jc w:val="both"/>
              <w:rPr>
                <w:rFonts w:ascii="Book Antiqua" w:hAnsi="Book Antiqua"/>
              </w:rPr>
            </w:pPr>
            <w:r w:rsidRPr="00321163">
              <w:rPr>
                <w:rFonts w:ascii="Book Antiqua" w:hAnsi="Book Antiqua"/>
              </w:rPr>
              <w:t>12.5</w:t>
            </w:r>
          </w:p>
          <w:p w14:paraId="6CFE8AB9" w14:textId="77777777" w:rsidR="00980152" w:rsidRPr="00321163" w:rsidRDefault="00980152" w:rsidP="0080449B">
            <w:pPr>
              <w:spacing w:line="360" w:lineRule="auto"/>
              <w:jc w:val="both"/>
              <w:rPr>
                <w:rFonts w:ascii="Book Antiqua" w:hAnsi="Book Antiqua"/>
              </w:rPr>
            </w:pPr>
            <w:r w:rsidRPr="00321163">
              <w:rPr>
                <w:rFonts w:ascii="Book Antiqua" w:hAnsi="Book Antiqua"/>
              </w:rPr>
              <w:t>(1-33)</w:t>
            </w:r>
          </w:p>
        </w:tc>
        <w:tc>
          <w:tcPr>
            <w:tcW w:w="1067" w:type="dxa"/>
          </w:tcPr>
          <w:p w14:paraId="7C1CD21D"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.714</w:t>
            </w:r>
          </w:p>
          <w:p w14:paraId="78B5ACED"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.074-6.92)</w:t>
            </w:r>
          </w:p>
        </w:tc>
        <w:tc>
          <w:tcPr>
            <w:tcW w:w="1075" w:type="dxa"/>
          </w:tcPr>
          <w:p w14:paraId="6CB7ECD1" w14:textId="77777777" w:rsidR="00980152" w:rsidRPr="00321163" w:rsidRDefault="00980152" w:rsidP="0080449B">
            <w:pPr>
              <w:spacing w:line="360" w:lineRule="auto"/>
              <w:jc w:val="both"/>
              <w:rPr>
                <w:rFonts w:ascii="Book Antiqua" w:hAnsi="Book Antiqua"/>
              </w:rPr>
            </w:pPr>
            <w:r w:rsidRPr="00321163">
              <w:rPr>
                <w:rFonts w:ascii="Book Antiqua" w:hAnsi="Book Antiqua"/>
              </w:rPr>
              <w:t>1.0</w:t>
            </w:r>
          </w:p>
        </w:tc>
      </w:tr>
      <w:tr w:rsidR="00321163" w:rsidRPr="00321163" w14:paraId="2F5A2EA2" w14:textId="77777777" w:rsidTr="0080449B">
        <w:trPr>
          <w:trHeight w:val="840"/>
        </w:trPr>
        <w:tc>
          <w:tcPr>
            <w:tcW w:w="1076" w:type="dxa"/>
          </w:tcPr>
          <w:p w14:paraId="4577F6B4" w14:textId="77777777" w:rsidR="00980152" w:rsidRPr="00321163" w:rsidRDefault="00980152" w:rsidP="0080449B">
            <w:pPr>
              <w:spacing w:line="360" w:lineRule="auto"/>
              <w:jc w:val="both"/>
              <w:rPr>
                <w:rFonts w:ascii="Book Antiqua" w:hAnsi="Book Antiqua"/>
              </w:rPr>
            </w:pPr>
            <w:r w:rsidRPr="00321163">
              <w:rPr>
                <w:rFonts w:ascii="Book Antiqua" w:hAnsi="Book Antiqua"/>
              </w:rPr>
              <w:t>CBD &gt; 8 mm</w:t>
            </w:r>
          </w:p>
        </w:tc>
        <w:tc>
          <w:tcPr>
            <w:tcW w:w="1154" w:type="dxa"/>
          </w:tcPr>
          <w:p w14:paraId="26403A26" w14:textId="77777777" w:rsidR="00980152" w:rsidRPr="00321163" w:rsidRDefault="00980152" w:rsidP="0080449B">
            <w:pPr>
              <w:spacing w:line="360" w:lineRule="auto"/>
              <w:jc w:val="both"/>
              <w:rPr>
                <w:rFonts w:ascii="Book Antiqua" w:hAnsi="Book Antiqua"/>
              </w:rPr>
            </w:pPr>
            <w:r w:rsidRPr="00321163">
              <w:rPr>
                <w:rFonts w:ascii="Book Antiqua" w:hAnsi="Book Antiqua"/>
              </w:rPr>
              <w:t>91.7</w:t>
            </w:r>
          </w:p>
          <w:p w14:paraId="090386B8" w14:textId="77777777" w:rsidR="00980152" w:rsidRPr="00321163" w:rsidRDefault="00980152" w:rsidP="0080449B">
            <w:pPr>
              <w:spacing w:line="360" w:lineRule="auto"/>
              <w:jc w:val="both"/>
              <w:rPr>
                <w:rFonts w:ascii="Book Antiqua" w:hAnsi="Book Antiqua"/>
              </w:rPr>
            </w:pPr>
            <w:r w:rsidRPr="00321163">
              <w:rPr>
                <w:rFonts w:ascii="Book Antiqua" w:hAnsi="Book Antiqua"/>
              </w:rPr>
              <w:t>(76-98)</w:t>
            </w:r>
          </w:p>
        </w:tc>
        <w:tc>
          <w:tcPr>
            <w:tcW w:w="1143" w:type="dxa"/>
          </w:tcPr>
          <w:p w14:paraId="6753FC2F" w14:textId="77777777" w:rsidR="00980152" w:rsidRPr="00321163" w:rsidRDefault="00980152" w:rsidP="0080449B">
            <w:pPr>
              <w:spacing w:line="360" w:lineRule="auto"/>
              <w:jc w:val="both"/>
              <w:rPr>
                <w:rFonts w:ascii="Book Antiqua" w:hAnsi="Book Antiqua"/>
              </w:rPr>
            </w:pPr>
            <w:r w:rsidRPr="00321163">
              <w:rPr>
                <w:rFonts w:ascii="Book Antiqua" w:hAnsi="Book Antiqua"/>
              </w:rPr>
              <w:t>28.6</w:t>
            </w:r>
          </w:p>
          <w:p w14:paraId="1BFE91E2" w14:textId="77777777" w:rsidR="00980152" w:rsidRPr="00321163" w:rsidRDefault="00980152" w:rsidP="0080449B">
            <w:pPr>
              <w:spacing w:line="360" w:lineRule="auto"/>
              <w:jc w:val="both"/>
              <w:rPr>
                <w:rFonts w:ascii="Book Antiqua" w:hAnsi="Book Antiqua"/>
              </w:rPr>
            </w:pPr>
            <w:r w:rsidRPr="00321163">
              <w:rPr>
                <w:rFonts w:ascii="Book Antiqua" w:hAnsi="Book Antiqua"/>
              </w:rPr>
              <w:t>(5-70)</w:t>
            </w:r>
          </w:p>
        </w:tc>
        <w:tc>
          <w:tcPr>
            <w:tcW w:w="1022" w:type="dxa"/>
          </w:tcPr>
          <w:p w14:paraId="102F59C8" w14:textId="77777777" w:rsidR="00980152" w:rsidRPr="00321163" w:rsidRDefault="00980152" w:rsidP="0080449B">
            <w:pPr>
              <w:spacing w:line="360" w:lineRule="auto"/>
              <w:jc w:val="both"/>
              <w:rPr>
                <w:rFonts w:ascii="Book Antiqua" w:hAnsi="Book Antiqua"/>
              </w:rPr>
            </w:pPr>
            <w:r w:rsidRPr="00321163">
              <w:rPr>
                <w:rFonts w:ascii="Book Antiqua" w:hAnsi="Book Antiqua"/>
              </w:rPr>
              <w:t>86.8</w:t>
            </w:r>
          </w:p>
          <w:p w14:paraId="0393F67F" w14:textId="77777777" w:rsidR="00980152" w:rsidRPr="00321163" w:rsidRDefault="00980152" w:rsidP="0080449B">
            <w:pPr>
              <w:spacing w:line="360" w:lineRule="auto"/>
              <w:jc w:val="both"/>
              <w:rPr>
                <w:rFonts w:ascii="Book Antiqua" w:hAnsi="Book Antiqua"/>
              </w:rPr>
            </w:pPr>
            <w:r w:rsidRPr="00321163">
              <w:rPr>
                <w:rFonts w:ascii="Book Antiqua" w:hAnsi="Book Antiqua"/>
              </w:rPr>
              <w:t>(71-95)</w:t>
            </w:r>
          </w:p>
        </w:tc>
        <w:tc>
          <w:tcPr>
            <w:tcW w:w="951" w:type="dxa"/>
          </w:tcPr>
          <w:p w14:paraId="5E641963" w14:textId="77777777" w:rsidR="00980152" w:rsidRPr="00321163" w:rsidRDefault="00980152" w:rsidP="0080449B">
            <w:pPr>
              <w:spacing w:line="360" w:lineRule="auto"/>
              <w:jc w:val="both"/>
              <w:rPr>
                <w:rFonts w:ascii="Book Antiqua" w:hAnsi="Book Antiqua"/>
              </w:rPr>
            </w:pPr>
            <w:r w:rsidRPr="00321163">
              <w:rPr>
                <w:rFonts w:ascii="Book Antiqua" w:hAnsi="Book Antiqua"/>
              </w:rPr>
              <w:t>40.0</w:t>
            </w:r>
          </w:p>
          <w:p w14:paraId="412ECE18" w14:textId="77777777" w:rsidR="00980152" w:rsidRPr="00321163" w:rsidRDefault="00980152" w:rsidP="0080449B">
            <w:pPr>
              <w:spacing w:line="360" w:lineRule="auto"/>
              <w:jc w:val="both"/>
              <w:rPr>
                <w:rFonts w:ascii="Book Antiqua" w:hAnsi="Book Antiqua"/>
              </w:rPr>
            </w:pPr>
            <w:r w:rsidRPr="00321163">
              <w:rPr>
                <w:rFonts w:ascii="Book Antiqua" w:hAnsi="Book Antiqua"/>
              </w:rPr>
              <w:t>(7-83)</w:t>
            </w:r>
          </w:p>
        </w:tc>
        <w:tc>
          <w:tcPr>
            <w:tcW w:w="1067" w:type="dxa"/>
          </w:tcPr>
          <w:p w14:paraId="3BA55479" w14:textId="77777777" w:rsidR="00980152" w:rsidRPr="00321163" w:rsidRDefault="00980152" w:rsidP="0080449B">
            <w:pPr>
              <w:spacing w:line="360" w:lineRule="auto"/>
              <w:jc w:val="both"/>
              <w:rPr>
                <w:rFonts w:ascii="Book Antiqua" w:hAnsi="Book Antiqua"/>
              </w:rPr>
            </w:pPr>
            <w:r w:rsidRPr="00321163">
              <w:rPr>
                <w:rFonts w:ascii="Book Antiqua" w:hAnsi="Book Antiqua"/>
              </w:rPr>
              <w:t>4.4</w:t>
            </w:r>
          </w:p>
          <w:p w14:paraId="50A6730F"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.58-33.2)</w:t>
            </w:r>
          </w:p>
        </w:tc>
        <w:tc>
          <w:tcPr>
            <w:tcW w:w="1075" w:type="dxa"/>
          </w:tcPr>
          <w:p w14:paraId="1C98DCC5"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.727</w:t>
            </w:r>
          </w:p>
        </w:tc>
      </w:tr>
      <w:tr w:rsidR="00321163" w:rsidRPr="00321163" w14:paraId="277FD402" w14:textId="77777777" w:rsidTr="0080449B">
        <w:trPr>
          <w:trHeight w:val="840"/>
        </w:trPr>
        <w:tc>
          <w:tcPr>
            <w:tcW w:w="1076" w:type="dxa"/>
          </w:tcPr>
          <w:p w14:paraId="31BBD81E" w14:textId="795EF24F" w:rsidR="00980152" w:rsidRPr="00321163" w:rsidRDefault="00980152" w:rsidP="0080449B">
            <w:pPr>
              <w:spacing w:line="360" w:lineRule="auto"/>
              <w:jc w:val="both"/>
              <w:rPr>
                <w:rFonts w:ascii="Book Antiqua" w:hAnsi="Book Antiqua"/>
              </w:rPr>
            </w:pPr>
            <w:r w:rsidRPr="00321163">
              <w:rPr>
                <w:rFonts w:ascii="Book Antiqua" w:hAnsi="Book Antiqua"/>
              </w:rPr>
              <w:t>TB</w:t>
            </w:r>
            <w:r w:rsidR="000779F7">
              <w:rPr>
                <w:rFonts w:ascii="Book Antiqua" w:eastAsia="宋体" w:hAnsi="Book Antiqua" w:hint="eastAsia"/>
                <w:lang w:eastAsia="zh-CN"/>
              </w:rPr>
              <w:t xml:space="preserve"> </w:t>
            </w:r>
            <w:r w:rsidRPr="00321163">
              <w:rPr>
                <w:rFonts w:ascii="Book Antiqua" w:hAnsi="Book Antiqua"/>
              </w:rPr>
              <w:t>&gt;</w:t>
            </w:r>
            <w:r w:rsidR="000779F7">
              <w:rPr>
                <w:rFonts w:ascii="Book Antiqua" w:eastAsia="宋体" w:hAnsi="Book Antiqua" w:hint="eastAsia"/>
                <w:lang w:eastAsia="zh-CN"/>
              </w:rPr>
              <w:t xml:space="preserve"> </w:t>
            </w:r>
            <w:r w:rsidRPr="00321163">
              <w:rPr>
                <w:rFonts w:ascii="Book Antiqua" w:hAnsi="Book Antiqua"/>
              </w:rPr>
              <w:t>4.0</w:t>
            </w:r>
          </w:p>
        </w:tc>
        <w:tc>
          <w:tcPr>
            <w:tcW w:w="1154" w:type="dxa"/>
          </w:tcPr>
          <w:p w14:paraId="0E5EB385" w14:textId="77777777" w:rsidR="00980152" w:rsidRPr="00321163" w:rsidRDefault="00980152" w:rsidP="0080449B">
            <w:pPr>
              <w:spacing w:line="360" w:lineRule="auto"/>
              <w:jc w:val="both"/>
              <w:rPr>
                <w:rFonts w:ascii="Book Antiqua" w:hAnsi="Book Antiqua"/>
              </w:rPr>
            </w:pPr>
            <w:r w:rsidRPr="00321163">
              <w:rPr>
                <w:rFonts w:ascii="Book Antiqua" w:hAnsi="Book Antiqua"/>
              </w:rPr>
              <w:t>21.6</w:t>
            </w:r>
          </w:p>
          <w:p w14:paraId="6219A6C4" w14:textId="77777777" w:rsidR="00980152" w:rsidRPr="00321163" w:rsidRDefault="00980152" w:rsidP="0080449B">
            <w:pPr>
              <w:spacing w:line="360" w:lineRule="auto"/>
              <w:jc w:val="both"/>
              <w:rPr>
                <w:rFonts w:ascii="Book Antiqua" w:hAnsi="Book Antiqua"/>
              </w:rPr>
            </w:pPr>
            <w:r w:rsidRPr="00321163">
              <w:rPr>
                <w:rFonts w:ascii="Book Antiqua" w:hAnsi="Book Antiqua"/>
              </w:rPr>
              <w:t>(10-39)</w:t>
            </w:r>
          </w:p>
        </w:tc>
        <w:tc>
          <w:tcPr>
            <w:tcW w:w="1143" w:type="dxa"/>
          </w:tcPr>
          <w:p w14:paraId="0D1FA8EA" w14:textId="77777777" w:rsidR="00980152" w:rsidRPr="00321163" w:rsidRDefault="00980152" w:rsidP="0080449B">
            <w:pPr>
              <w:spacing w:line="360" w:lineRule="auto"/>
              <w:jc w:val="both"/>
              <w:rPr>
                <w:rFonts w:ascii="Book Antiqua" w:hAnsi="Book Antiqua"/>
              </w:rPr>
            </w:pPr>
            <w:r w:rsidRPr="00321163">
              <w:rPr>
                <w:rFonts w:ascii="Book Antiqua" w:hAnsi="Book Antiqua"/>
              </w:rPr>
              <w:t>100</w:t>
            </w:r>
          </w:p>
          <w:p w14:paraId="129FC837" w14:textId="77777777" w:rsidR="00980152" w:rsidRPr="00321163" w:rsidRDefault="00980152" w:rsidP="0080449B">
            <w:pPr>
              <w:spacing w:line="360" w:lineRule="auto"/>
              <w:jc w:val="both"/>
              <w:rPr>
                <w:rFonts w:ascii="Book Antiqua" w:hAnsi="Book Antiqua"/>
              </w:rPr>
            </w:pPr>
            <w:r w:rsidRPr="00321163">
              <w:rPr>
                <w:rFonts w:ascii="Book Antiqua" w:hAnsi="Book Antiqua"/>
              </w:rPr>
              <w:t>(56-100)</w:t>
            </w:r>
          </w:p>
        </w:tc>
        <w:tc>
          <w:tcPr>
            <w:tcW w:w="1022" w:type="dxa"/>
          </w:tcPr>
          <w:p w14:paraId="16D0AA18" w14:textId="77777777" w:rsidR="00980152" w:rsidRPr="00321163" w:rsidRDefault="00980152" w:rsidP="0080449B">
            <w:pPr>
              <w:spacing w:line="360" w:lineRule="auto"/>
              <w:jc w:val="both"/>
              <w:rPr>
                <w:rFonts w:ascii="Book Antiqua" w:hAnsi="Book Antiqua"/>
              </w:rPr>
            </w:pPr>
            <w:r w:rsidRPr="00321163">
              <w:rPr>
                <w:rFonts w:ascii="Book Antiqua" w:hAnsi="Book Antiqua"/>
              </w:rPr>
              <w:t>100</w:t>
            </w:r>
          </w:p>
          <w:p w14:paraId="5E1A1277" w14:textId="77777777" w:rsidR="00980152" w:rsidRPr="00321163" w:rsidRDefault="00980152" w:rsidP="0080449B">
            <w:pPr>
              <w:spacing w:line="360" w:lineRule="auto"/>
              <w:jc w:val="both"/>
              <w:rPr>
                <w:rFonts w:ascii="Book Antiqua" w:hAnsi="Book Antiqua"/>
              </w:rPr>
            </w:pPr>
            <w:r w:rsidRPr="00321163">
              <w:rPr>
                <w:rFonts w:ascii="Book Antiqua" w:hAnsi="Book Antiqua"/>
              </w:rPr>
              <w:t>(60-100)</w:t>
            </w:r>
          </w:p>
        </w:tc>
        <w:tc>
          <w:tcPr>
            <w:tcW w:w="951" w:type="dxa"/>
          </w:tcPr>
          <w:p w14:paraId="29433E77" w14:textId="77777777" w:rsidR="00980152" w:rsidRPr="00321163" w:rsidRDefault="00980152" w:rsidP="0080449B">
            <w:pPr>
              <w:spacing w:line="360" w:lineRule="auto"/>
              <w:jc w:val="both"/>
              <w:rPr>
                <w:rFonts w:ascii="Book Antiqua" w:hAnsi="Book Antiqua"/>
              </w:rPr>
            </w:pPr>
            <w:r w:rsidRPr="00321163">
              <w:rPr>
                <w:rFonts w:ascii="Book Antiqua" w:hAnsi="Book Antiqua"/>
              </w:rPr>
              <w:t>19.4</w:t>
            </w:r>
          </w:p>
          <w:p w14:paraId="13C02FE7" w14:textId="77777777" w:rsidR="00980152" w:rsidRPr="00321163" w:rsidRDefault="00980152" w:rsidP="0080449B">
            <w:pPr>
              <w:spacing w:line="360" w:lineRule="auto"/>
              <w:jc w:val="both"/>
              <w:rPr>
                <w:rFonts w:ascii="Book Antiqua" w:hAnsi="Book Antiqua"/>
              </w:rPr>
            </w:pPr>
            <w:r w:rsidRPr="00321163">
              <w:rPr>
                <w:rFonts w:ascii="Book Antiqua" w:hAnsi="Book Antiqua"/>
              </w:rPr>
              <w:t>(8-37)</w:t>
            </w:r>
          </w:p>
        </w:tc>
        <w:tc>
          <w:tcPr>
            <w:tcW w:w="1067" w:type="dxa"/>
          </w:tcPr>
          <w:p w14:paraId="4EFA6E22"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vertAlign w:val="superscript"/>
                <w:lang w:eastAsia="zh-CN"/>
              </w:rPr>
              <w:t>1</w:t>
            </w:r>
            <w:r w:rsidRPr="00321163">
              <w:rPr>
                <w:rFonts w:ascii="Book Antiqua" w:hAnsi="Book Antiqua"/>
              </w:rPr>
              <w:t>1.66</w:t>
            </w:r>
          </w:p>
          <w:p w14:paraId="785FF78C"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.17-15.82)</w:t>
            </w:r>
          </w:p>
        </w:tc>
        <w:tc>
          <w:tcPr>
            <w:tcW w:w="1075" w:type="dxa"/>
          </w:tcPr>
          <w:p w14:paraId="14A8B6F7"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.0001</w:t>
            </w:r>
          </w:p>
        </w:tc>
      </w:tr>
      <w:tr w:rsidR="00321163" w:rsidRPr="00321163" w14:paraId="29662DE1" w14:textId="77777777" w:rsidTr="0080449B">
        <w:trPr>
          <w:trHeight w:val="840"/>
        </w:trPr>
        <w:tc>
          <w:tcPr>
            <w:tcW w:w="1076" w:type="dxa"/>
          </w:tcPr>
          <w:p w14:paraId="6DF525FE" w14:textId="14DBD37E" w:rsidR="00980152" w:rsidRPr="00321163" w:rsidRDefault="00980152" w:rsidP="0080449B">
            <w:pPr>
              <w:spacing w:line="360" w:lineRule="auto"/>
              <w:jc w:val="both"/>
              <w:rPr>
                <w:rFonts w:ascii="Book Antiqua" w:hAnsi="Book Antiqua"/>
              </w:rPr>
            </w:pPr>
            <w:r w:rsidRPr="00321163">
              <w:rPr>
                <w:rFonts w:ascii="Book Antiqua" w:hAnsi="Book Antiqua"/>
              </w:rPr>
              <w:lastRenderedPageBreak/>
              <w:t>TB</w:t>
            </w:r>
            <w:r w:rsidR="000779F7">
              <w:rPr>
                <w:rFonts w:ascii="Book Antiqua" w:eastAsia="宋体" w:hAnsi="Book Antiqua" w:hint="eastAsia"/>
                <w:lang w:eastAsia="zh-CN"/>
              </w:rPr>
              <w:t xml:space="preserve"> </w:t>
            </w:r>
            <w:r w:rsidRPr="00321163">
              <w:rPr>
                <w:rFonts w:ascii="Book Antiqua" w:hAnsi="Book Antiqua"/>
              </w:rPr>
              <w:t>≥</w:t>
            </w:r>
            <w:r w:rsidR="000779F7">
              <w:rPr>
                <w:rFonts w:ascii="Book Antiqua" w:eastAsia="宋体" w:hAnsi="Book Antiqua" w:hint="eastAsia"/>
                <w:lang w:eastAsia="zh-CN"/>
              </w:rPr>
              <w:t xml:space="preserve"> </w:t>
            </w:r>
            <w:r w:rsidRPr="00321163">
              <w:rPr>
                <w:rFonts w:ascii="Book Antiqua" w:hAnsi="Book Antiqua"/>
              </w:rPr>
              <w:t>1.8</w:t>
            </w:r>
          </w:p>
        </w:tc>
        <w:tc>
          <w:tcPr>
            <w:tcW w:w="1154" w:type="dxa"/>
          </w:tcPr>
          <w:p w14:paraId="70BF763C" w14:textId="77777777" w:rsidR="00980152" w:rsidRPr="00321163" w:rsidRDefault="00980152" w:rsidP="0080449B">
            <w:pPr>
              <w:spacing w:line="360" w:lineRule="auto"/>
              <w:jc w:val="both"/>
              <w:rPr>
                <w:rFonts w:ascii="Book Antiqua" w:hAnsi="Book Antiqua"/>
              </w:rPr>
            </w:pPr>
            <w:r w:rsidRPr="00321163">
              <w:rPr>
                <w:rFonts w:ascii="Book Antiqua" w:hAnsi="Book Antiqua"/>
              </w:rPr>
              <w:t>56.8</w:t>
            </w:r>
          </w:p>
          <w:p w14:paraId="7C27CA76" w14:textId="77777777" w:rsidR="00980152" w:rsidRPr="00321163" w:rsidRDefault="00980152" w:rsidP="0080449B">
            <w:pPr>
              <w:spacing w:line="360" w:lineRule="auto"/>
              <w:jc w:val="both"/>
              <w:rPr>
                <w:rFonts w:ascii="Book Antiqua" w:hAnsi="Book Antiqua"/>
              </w:rPr>
            </w:pPr>
            <w:r w:rsidRPr="00321163">
              <w:rPr>
                <w:rFonts w:ascii="Book Antiqua" w:hAnsi="Book Antiqua"/>
              </w:rPr>
              <w:t>(41-71)</w:t>
            </w:r>
          </w:p>
        </w:tc>
        <w:tc>
          <w:tcPr>
            <w:tcW w:w="1143" w:type="dxa"/>
          </w:tcPr>
          <w:p w14:paraId="1D8F1C03" w14:textId="77777777" w:rsidR="00980152" w:rsidRPr="00321163" w:rsidRDefault="00980152" w:rsidP="0080449B">
            <w:pPr>
              <w:spacing w:line="360" w:lineRule="auto"/>
              <w:jc w:val="both"/>
              <w:rPr>
                <w:rFonts w:ascii="Book Antiqua" w:hAnsi="Book Antiqua"/>
              </w:rPr>
            </w:pPr>
            <w:r w:rsidRPr="00321163">
              <w:rPr>
                <w:rFonts w:ascii="Book Antiqua" w:hAnsi="Book Antiqua"/>
              </w:rPr>
              <w:t>85.7</w:t>
            </w:r>
          </w:p>
          <w:p w14:paraId="16325E68" w14:textId="77777777" w:rsidR="00980152" w:rsidRPr="00321163" w:rsidRDefault="00980152" w:rsidP="0080449B">
            <w:pPr>
              <w:spacing w:line="360" w:lineRule="auto"/>
              <w:jc w:val="both"/>
              <w:rPr>
                <w:rFonts w:ascii="Book Antiqua" w:hAnsi="Book Antiqua"/>
              </w:rPr>
            </w:pPr>
            <w:r w:rsidRPr="00321163">
              <w:rPr>
                <w:rFonts w:ascii="Book Antiqua" w:hAnsi="Book Antiqua"/>
              </w:rPr>
              <w:t>(49-97)</w:t>
            </w:r>
          </w:p>
        </w:tc>
        <w:tc>
          <w:tcPr>
            <w:tcW w:w="1022" w:type="dxa"/>
          </w:tcPr>
          <w:p w14:paraId="255C81EB" w14:textId="77777777" w:rsidR="00980152" w:rsidRPr="00321163" w:rsidRDefault="00980152" w:rsidP="0080449B">
            <w:pPr>
              <w:spacing w:line="360" w:lineRule="auto"/>
              <w:jc w:val="both"/>
              <w:rPr>
                <w:rFonts w:ascii="Book Antiqua" w:hAnsi="Book Antiqua"/>
              </w:rPr>
            </w:pPr>
            <w:r w:rsidRPr="00321163">
              <w:rPr>
                <w:rFonts w:ascii="Book Antiqua" w:hAnsi="Book Antiqua"/>
              </w:rPr>
              <w:t>95.5</w:t>
            </w:r>
          </w:p>
          <w:p w14:paraId="68F0C872" w14:textId="77777777" w:rsidR="00980152" w:rsidRPr="00321163" w:rsidRDefault="00980152" w:rsidP="0080449B">
            <w:pPr>
              <w:spacing w:line="360" w:lineRule="auto"/>
              <w:jc w:val="both"/>
              <w:rPr>
                <w:rFonts w:ascii="Book Antiqua" w:hAnsi="Book Antiqua"/>
              </w:rPr>
            </w:pPr>
            <w:r w:rsidRPr="00321163">
              <w:rPr>
                <w:rFonts w:ascii="Book Antiqua" w:hAnsi="Book Antiqua"/>
              </w:rPr>
              <w:t>(75-100)</w:t>
            </w:r>
          </w:p>
        </w:tc>
        <w:tc>
          <w:tcPr>
            <w:tcW w:w="951" w:type="dxa"/>
          </w:tcPr>
          <w:p w14:paraId="7846A077" w14:textId="77777777" w:rsidR="00980152" w:rsidRPr="00321163" w:rsidRDefault="00980152" w:rsidP="0080449B">
            <w:pPr>
              <w:spacing w:line="360" w:lineRule="auto"/>
              <w:jc w:val="both"/>
              <w:rPr>
                <w:rFonts w:ascii="Book Antiqua" w:hAnsi="Book Antiqua"/>
              </w:rPr>
            </w:pPr>
            <w:r w:rsidRPr="00321163">
              <w:rPr>
                <w:rFonts w:ascii="Book Antiqua" w:hAnsi="Book Antiqua"/>
              </w:rPr>
              <w:t>27.3</w:t>
            </w:r>
          </w:p>
          <w:p w14:paraId="4886FA61" w14:textId="77777777" w:rsidR="00980152" w:rsidRPr="00321163" w:rsidRDefault="00980152" w:rsidP="0080449B">
            <w:pPr>
              <w:spacing w:line="360" w:lineRule="auto"/>
              <w:jc w:val="both"/>
              <w:rPr>
                <w:rFonts w:ascii="Book Antiqua" w:hAnsi="Book Antiqua"/>
              </w:rPr>
            </w:pPr>
            <w:r w:rsidRPr="00321163">
              <w:rPr>
                <w:rFonts w:ascii="Book Antiqua" w:hAnsi="Book Antiqua"/>
              </w:rPr>
              <w:t>(12-50)</w:t>
            </w:r>
          </w:p>
        </w:tc>
        <w:tc>
          <w:tcPr>
            <w:tcW w:w="1067" w:type="dxa"/>
          </w:tcPr>
          <w:p w14:paraId="7D402C88" w14:textId="77777777" w:rsidR="00980152" w:rsidRPr="00321163" w:rsidRDefault="00980152" w:rsidP="0080449B">
            <w:pPr>
              <w:spacing w:line="360" w:lineRule="auto"/>
              <w:jc w:val="both"/>
              <w:rPr>
                <w:rFonts w:ascii="Book Antiqua" w:hAnsi="Book Antiqua"/>
              </w:rPr>
            </w:pPr>
            <w:r w:rsidRPr="00321163">
              <w:rPr>
                <w:rFonts w:ascii="Book Antiqua" w:hAnsi="Book Antiqua"/>
              </w:rPr>
              <w:t>7.88</w:t>
            </w:r>
          </w:p>
          <w:p w14:paraId="21F960AF"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.86-72.12)</w:t>
            </w:r>
          </w:p>
        </w:tc>
        <w:tc>
          <w:tcPr>
            <w:tcW w:w="1075" w:type="dxa"/>
          </w:tcPr>
          <w:p w14:paraId="76FED60A"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.0001</w:t>
            </w:r>
          </w:p>
        </w:tc>
      </w:tr>
      <w:tr w:rsidR="00321163" w:rsidRPr="00321163" w14:paraId="39F3C8C7" w14:textId="77777777" w:rsidTr="0080449B">
        <w:trPr>
          <w:trHeight w:val="840"/>
        </w:trPr>
        <w:tc>
          <w:tcPr>
            <w:tcW w:w="1076" w:type="dxa"/>
          </w:tcPr>
          <w:p w14:paraId="4FFAC81C"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CB </w:t>
            </w:r>
            <w:r w:rsidRPr="00321163">
              <w:rPr>
                <w:rFonts w:ascii="Book Antiqua" w:hAnsi="Book Antiqua"/>
                <w:b/>
              </w:rPr>
              <w:t>≥</w:t>
            </w:r>
            <w:r w:rsidRPr="00321163">
              <w:rPr>
                <w:rFonts w:ascii="Book Antiqua" w:hAnsi="Book Antiqua"/>
              </w:rPr>
              <w:t xml:space="preserve"> 0.5</w:t>
            </w:r>
          </w:p>
        </w:tc>
        <w:tc>
          <w:tcPr>
            <w:tcW w:w="1154" w:type="dxa"/>
          </w:tcPr>
          <w:p w14:paraId="62DBBCED"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67.6 </w:t>
            </w:r>
          </w:p>
          <w:p w14:paraId="22EBB960" w14:textId="77777777" w:rsidR="00980152" w:rsidRPr="00321163" w:rsidRDefault="00980152" w:rsidP="0080449B">
            <w:pPr>
              <w:spacing w:line="360" w:lineRule="auto"/>
              <w:jc w:val="both"/>
              <w:rPr>
                <w:rFonts w:ascii="Book Antiqua" w:hAnsi="Book Antiqua"/>
              </w:rPr>
            </w:pPr>
            <w:r w:rsidRPr="00321163">
              <w:rPr>
                <w:rFonts w:ascii="Book Antiqua" w:hAnsi="Book Antiqua"/>
              </w:rPr>
              <w:t>(50-81)</w:t>
            </w:r>
          </w:p>
        </w:tc>
        <w:tc>
          <w:tcPr>
            <w:tcW w:w="1143" w:type="dxa"/>
          </w:tcPr>
          <w:p w14:paraId="48335338"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85.7 </w:t>
            </w:r>
          </w:p>
          <w:p w14:paraId="740C5FC9" w14:textId="77777777" w:rsidR="00980152" w:rsidRPr="00321163" w:rsidRDefault="00980152" w:rsidP="0080449B">
            <w:pPr>
              <w:spacing w:line="360" w:lineRule="auto"/>
              <w:jc w:val="both"/>
              <w:rPr>
                <w:rFonts w:ascii="Book Antiqua" w:hAnsi="Book Antiqua"/>
              </w:rPr>
            </w:pPr>
            <w:r w:rsidRPr="00321163">
              <w:rPr>
                <w:rFonts w:ascii="Book Antiqua" w:hAnsi="Book Antiqua"/>
              </w:rPr>
              <w:t>(42-99)</w:t>
            </w:r>
          </w:p>
        </w:tc>
        <w:tc>
          <w:tcPr>
            <w:tcW w:w="1022" w:type="dxa"/>
          </w:tcPr>
          <w:p w14:paraId="19C3970F" w14:textId="77777777" w:rsidR="00980152" w:rsidRPr="00321163" w:rsidRDefault="00980152" w:rsidP="0080449B">
            <w:pPr>
              <w:spacing w:line="360" w:lineRule="auto"/>
              <w:jc w:val="both"/>
              <w:rPr>
                <w:rFonts w:ascii="Book Antiqua" w:hAnsi="Book Antiqua"/>
              </w:rPr>
            </w:pPr>
            <w:r w:rsidRPr="00321163">
              <w:rPr>
                <w:rFonts w:ascii="Book Antiqua" w:hAnsi="Book Antiqua"/>
              </w:rPr>
              <w:t>96.2 (78-100)</w:t>
            </w:r>
          </w:p>
        </w:tc>
        <w:tc>
          <w:tcPr>
            <w:tcW w:w="951" w:type="dxa"/>
          </w:tcPr>
          <w:p w14:paraId="7F86E9CB" w14:textId="77777777" w:rsidR="00980152" w:rsidRPr="00321163" w:rsidRDefault="00980152" w:rsidP="0080449B">
            <w:pPr>
              <w:spacing w:line="360" w:lineRule="auto"/>
              <w:jc w:val="both"/>
              <w:rPr>
                <w:rFonts w:ascii="Book Antiqua" w:hAnsi="Book Antiqua"/>
              </w:rPr>
            </w:pPr>
            <w:r w:rsidRPr="00321163">
              <w:rPr>
                <w:rFonts w:ascii="Book Antiqua" w:hAnsi="Book Antiqua"/>
              </w:rPr>
              <w:t>33.3</w:t>
            </w:r>
          </w:p>
          <w:p w14:paraId="75C41EA8" w14:textId="77777777" w:rsidR="00980152" w:rsidRPr="00321163" w:rsidRDefault="00980152" w:rsidP="0080449B">
            <w:pPr>
              <w:spacing w:line="360" w:lineRule="auto"/>
              <w:jc w:val="both"/>
              <w:rPr>
                <w:rFonts w:ascii="Book Antiqua" w:hAnsi="Book Antiqua"/>
              </w:rPr>
            </w:pPr>
            <w:r w:rsidRPr="00321163">
              <w:rPr>
                <w:rFonts w:ascii="Book Antiqua" w:hAnsi="Book Antiqua"/>
              </w:rPr>
              <w:t>(14-59)</w:t>
            </w:r>
          </w:p>
        </w:tc>
        <w:tc>
          <w:tcPr>
            <w:tcW w:w="1067" w:type="dxa"/>
          </w:tcPr>
          <w:p w14:paraId="7FD9146E" w14:textId="77777777" w:rsidR="00980152" w:rsidRPr="00321163" w:rsidRDefault="00980152" w:rsidP="0080449B">
            <w:pPr>
              <w:spacing w:line="360" w:lineRule="auto"/>
              <w:jc w:val="both"/>
              <w:rPr>
                <w:rFonts w:ascii="Book Antiqua" w:hAnsi="Book Antiqua"/>
              </w:rPr>
            </w:pPr>
            <w:r w:rsidRPr="00321163">
              <w:rPr>
                <w:rFonts w:ascii="Book Antiqua" w:hAnsi="Book Antiqua"/>
              </w:rPr>
              <w:t>12.5</w:t>
            </w:r>
          </w:p>
          <w:p w14:paraId="45F1B479" w14:textId="77777777" w:rsidR="00980152" w:rsidRPr="00321163" w:rsidRDefault="00980152" w:rsidP="0080449B">
            <w:pPr>
              <w:spacing w:line="360" w:lineRule="auto"/>
              <w:jc w:val="both"/>
              <w:rPr>
                <w:rFonts w:ascii="Book Antiqua" w:hAnsi="Book Antiqua"/>
              </w:rPr>
            </w:pPr>
            <w:r w:rsidRPr="00321163">
              <w:rPr>
                <w:rFonts w:ascii="Book Antiqua" w:hAnsi="Book Antiqua"/>
              </w:rPr>
              <w:t>(1-115)</w:t>
            </w:r>
          </w:p>
        </w:tc>
        <w:tc>
          <w:tcPr>
            <w:tcW w:w="1075" w:type="dxa"/>
          </w:tcPr>
          <w:p w14:paraId="64A5712D"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.003</w:t>
            </w:r>
          </w:p>
        </w:tc>
      </w:tr>
      <w:tr w:rsidR="00321163" w:rsidRPr="00321163" w14:paraId="0C206D8F" w14:textId="77777777" w:rsidTr="0080449B">
        <w:trPr>
          <w:trHeight w:val="840"/>
        </w:trPr>
        <w:tc>
          <w:tcPr>
            <w:tcW w:w="1076" w:type="dxa"/>
          </w:tcPr>
          <w:p w14:paraId="586A56AE" w14:textId="77777777" w:rsidR="00980152" w:rsidRPr="00321163" w:rsidRDefault="00980152" w:rsidP="0080449B">
            <w:pPr>
              <w:spacing w:line="360" w:lineRule="auto"/>
              <w:jc w:val="both"/>
              <w:rPr>
                <w:rFonts w:ascii="Book Antiqua" w:hAnsi="Book Antiqua"/>
              </w:rPr>
            </w:pPr>
            <w:r w:rsidRPr="00321163">
              <w:rPr>
                <w:rFonts w:ascii="Book Antiqua" w:hAnsi="Book Antiqua"/>
              </w:rPr>
              <w:t>ALT &gt; 300</w:t>
            </w:r>
          </w:p>
        </w:tc>
        <w:tc>
          <w:tcPr>
            <w:tcW w:w="1154" w:type="dxa"/>
          </w:tcPr>
          <w:p w14:paraId="028C29A1" w14:textId="77777777" w:rsidR="00980152" w:rsidRPr="00321163" w:rsidRDefault="00980152" w:rsidP="0080449B">
            <w:pPr>
              <w:spacing w:line="360" w:lineRule="auto"/>
              <w:jc w:val="both"/>
              <w:rPr>
                <w:rFonts w:ascii="Book Antiqua" w:hAnsi="Book Antiqua"/>
              </w:rPr>
            </w:pPr>
            <w:r w:rsidRPr="00321163">
              <w:rPr>
                <w:rFonts w:ascii="Book Antiqua" w:hAnsi="Book Antiqua"/>
              </w:rPr>
              <w:t>56.8</w:t>
            </w:r>
          </w:p>
          <w:p w14:paraId="5625C5DA" w14:textId="77777777" w:rsidR="00980152" w:rsidRPr="00321163" w:rsidRDefault="00980152" w:rsidP="0080449B">
            <w:pPr>
              <w:spacing w:line="360" w:lineRule="auto"/>
              <w:jc w:val="both"/>
              <w:rPr>
                <w:rFonts w:ascii="Book Antiqua" w:hAnsi="Book Antiqua"/>
              </w:rPr>
            </w:pPr>
            <w:r w:rsidRPr="00321163">
              <w:rPr>
                <w:rFonts w:ascii="Book Antiqua" w:hAnsi="Book Antiqua"/>
              </w:rPr>
              <w:t>(40-72)</w:t>
            </w:r>
          </w:p>
        </w:tc>
        <w:tc>
          <w:tcPr>
            <w:tcW w:w="1143" w:type="dxa"/>
          </w:tcPr>
          <w:p w14:paraId="0224172A" w14:textId="77777777" w:rsidR="00980152" w:rsidRPr="00321163" w:rsidRDefault="00980152" w:rsidP="0080449B">
            <w:pPr>
              <w:spacing w:line="360" w:lineRule="auto"/>
              <w:jc w:val="both"/>
              <w:rPr>
                <w:rFonts w:ascii="Book Antiqua" w:hAnsi="Book Antiqua"/>
              </w:rPr>
            </w:pPr>
            <w:r w:rsidRPr="00321163">
              <w:rPr>
                <w:rFonts w:ascii="Book Antiqua" w:hAnsi="Book Antiqua"/>
              </w:rPr>
              <w:t>14.3</w:t>
            </w:r>
          </w:p>
          <w:p w14:paraId="3D995E01" w14:textId="77777777" w:rsidR="00980152" w:rsidRPr="00321163" w:rsidRDefault="00980152" w:rsidP="0080449B">
            <w:pPr>
              <w:spacing w:line="360" w:lineRule="auto"/>
              <w:jc w:val="both"/>
              <w:rPr>
                <w:rFonts w:ascii="Book Antiqua" w:hAnsi="Book Antiqua"/>
              </w:rPr>
            </w:pPr>
            <w:r w:rsidRPr="00321163">
              <w:rPr>
                <w:rFonts w:ascii="Book Antiqua" w:hAnsi="Book Antiqua"/>
              </w:rPr>
              <w:t>(1-58)</w:t>
            </w:r>
          </w:p>
        </w:tc>
        <w:tc>
          <w:tcPr>
            <w:tcW w:w="1022" w:type="dxa"/>
          </w:tcPr>
          <w:p w14:paraId="3FB82B9A" w14:textId="77777777" w:rsidR="00980152" w:rsidRPr="00321163" w:rsidRDefault="00980152" w:rsidP="0080449B">
            <w:pPr>
              <w:spacing w:line="360" w:lineRule="auto"/>
              <w:jc w:val="both"/>
              <w:rPr>
                <w:rFonts w:ascii="Book Antiqua" w:hAnsi="Book Antiqua"/>
              </w:rPr>
            </w:pPr>
            <w:r w:rsidRPr="00321163">
              <w:rPr>
                <w:rFonts w:ascii="Book Antiqua" w:hAnsi="Book Antiqua"/>
              </w:rPr>
              <w:t>77.8</w:t>
            </w:r>
          </w:p>
          <w:p w14:paraId="176D7842" w14:textId="77777777" w:rsidR="00980152" w:rsidRPr="00321163" w:rsidRDefault="00980152" w:rsidP="0080449B">
            <w:pPr>
              <w:spacing w:line="360" w:lineRule="auto"/>
              <w:jc w:val="both"/>
              <w:rPr>
                <w:rFonts w:ascii="Book Antiqua" w:hAnsi="Book Antiqua"/>
              </w:rPr>
            </w:pPr>
            <w:r w:rsidRPr="00321163">
              <w:rPr>
                <w:rFonts w:ascii="Book Antiqua" w:hAnsi="Book Antiqua"/>
              </w:rPr>
              <w:t>(57-91)</w:t>
            </w:r>
          </w:p>
        </w:tc>
        <w:tc>
          <w:tcPr>
            <w:tcW w:w="951" w:type="dxa"/>
          </w:tcPr>
          <w:p w14:paraId="5DAB3020" w14:textId="77777777" w:rsidR="00980152" w:rsidRPr="00321163" w:rsidRDefault="00980152" w:rsidP="0080449B">
            <w:pPr>
              <w:spacing w:line="360" w:lineRule="auto"/>
              <w:jc w:val="both"/>
              <w:rPr>
                <w:rFonts w:ascii="Book Antiqua" w:hAnsi="Book Antiqua"/>
              </w:rPr>
            </w:pPr>
            <w:r w:rsidRPr="00321163">
              <w:rPr>
                <w:rFonts w:ascii="Book Antiqua" w:hAnsi="Book Antiqua"/>
              </w:rPr>
              <w:t>5.9</w:t>
            </w:r>
          </w:p>
          <w:p w14:paraId="0B6225A7" w14:textId="77777777" w:rsidR="00980152" w:rsidRPr="00321163" w:rsidRDefault="00980152" w:rsidP="0080449B">
            <w:pPr>
              <w:spacing w:line="360" w:lineRule="auto"/>
              <w:jc w:val="both"/>
              <w:rPr>
                <w:rFonts w:ascii="Book Antiqua" w:hAnsi="Book Antiqua"/>
              </w:rPr>
            </w:pPr>
            <w:r w:rsidRPr="00321163">
              <w:rPr>
                <w:rFonts w:ascii="Book Antiqua" w:hAnsi="Book Antiqua"/>
              </w:rPr>
              <w:t>(0-31)</w:t>
            </w:r>
          </w:p>
        </w:tc>
        <w:tc>
          <w:tcPr>
            <w:tcW w:w="1067" w:type="dxa"/>
          </w:tcPr>
          <w:p w14:paraId="4F4B2BF8"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.219</w:t>
            </w:r>
          </w:p>
          <w:p w14:paraId="11E29AB2"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.024-2.00)</w:t>
            </w:r>
          </w:p>
        </w:tc>
        <w:tc>
          <w:tcPr>
            <w:tcW w:w="1075" w:type="dxa"/>
          </w:tcPr>
          <w:p w14:paraId="3D554AB9"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.052</w:t>
            </w:r>
          </w:p>
        </w:tc>
      </w:tr>
      <w:tr w:rsidR="00321163" w:rsidRPr="00321163" w14:paraId="5723CE13" w14:textId="77777777" w:rsidTr="0080449B">
        <w:trPr>
          <w:trHeight w:val="840"/>
        </w:trPr>
        <w:tc>
          <w:tcPr>
            <w:tcW w:w="1076" w:type="dxa"/>
          </w:tcPr>
          <w:p w14:paraId="5317ABF7" w14:textId="77777777" w:rsidR="00980152" w:rsidRPr="00321163" w:rsidRDefault="00980152" w:rsidP="0080449B">
            <w:pPr>
              <w:spacing w:line="360" w:lineRule="auto"/>
              <w:jc w:val="both"/>
              <w:rPr>
                <w:rFonts w:ascii="Book Antiqua" w:hAnsi="Book Antiqua"/>
              </w:rPr>
            </w:pPr>
            <w:r w:rsidRPr="00321163">
              <w:rPr>
                <w:rFonts w:ascii="Book Antiqua" w:hAnsi="Book Antiqua"/>
              </w:rPr>
              <w:t>ALT &gt; 350</w:t>
            </w:r>
          </w:p>
        </w:tc>
        <w:tc>
          <w:tcPr>
            <w:tcW w:w="1154" w:type="dxa"/>
          </w:tcPr>
          <w:p w14:paraId="4E2CF23B" w14:textId="77777777" w:rsidR="00980152" w:rsidRPr="00321163" w:rsidRDefault="00980152" w:rsidP="0080449B">
            <w:pPr>
              <w:spacing w:line="360" w:lineRule="auto"/>
              <w:jc w:val="both"/>
              <w:rPr>
                <w:rFonts w:ascii="Book Antiqua" w:hAnsi="Book Antiqua"/>
              </w:rPr>
            </w:pPr>
            <w:r w:rsidRPr="00321163">
              <w:rPr>
                <w:rFonts w:ascii="Book Antiqua" w:hAnsi="Book Antiqua"/>
              </w:rPr>
              <w:t>40.5</w:t>
            </w:r>
          </w:p>
          <w:p w14:paraId="2D55908F" w14:textId="77777777" w:rsidR="00980152" w:rsidRPr="00321163" w:rsidRDefault="00980152" w:rsidP="0080449B">
            <w:pPr>
              <w:spacing w:line="360" w:lineRule="auto"/>
              <w:jc w:val="both"/>
              <w:rPr>
                <w:rFonts w:ascii="Book Antiqua" w:hAnsi="Book Antiqua"/>
              </w:rPr>
            </w:pPr>
            <w:r w:rsidRPr="00321163">
              <w:rPr>
                <w:rFonts w:ascii="Book Antiqua" w:hAnsi="Book Antiqua"/>
              </w:rPr>
              <w:t>(26-57)</w:t>
            </w:r>
          </w:p>
        </w:tc>
        <w:tc>
          <w:tcPr>
            <w:tcW w:w="1143" w:type="dxa"/>
          </w:tcPr>
          <w:p w14:paraId="46979098"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100 </w:t>
            </w:r>
          </w:p>
          <w:p w14:paraId="3F92FE78" w14:textId="77777777" w:rsidR="00980152" w:rsidRPr="00321163" w:rsidRDefault="00980152" w:rsidP="0080449B">
            <w:pPr>
              <w:spacing w:line="360" w:lineRule="auto"/>
              <w:jc w:val="both"/>
              <w:rPr>
                <w:rFonts w:ascii="Book Antiqua" w:hAnsi="Book Antiqua"/>
              </w:rPr>
            </w:pPr>
            <w:r w:rsidRPr="00321163">
              <w:rPr>
                <w:rFonts w:ascii="Book Antiqua" w:hAnsi="Book Antiqua"/>
              </w:rPr>
              <w:t>(56-100)</w:t>
            </w:r>
          </w:p>
        </w:tc>
        <w:tc>
          <w:tcPr>
            <w:tcW w:w="1022" w:type="dxa"/>
          </w:tcPr>
          <w:p w14:paraId="053926FA"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100 </w:t>
            </w:r>
          </w:p>
          <w:p w14:paraId="7C98EF14" w14:textId="77777777" w:rsidR="00980152" w:rsidRPr="00321163" w:rsidRDefault="00980152" w:rsidP="0080449B">
            <w:pPr>
              <w:spacing w:line="360" w:lineRule="auto"/>
              <w:jc w:val="both"/>
              <w:rPr>
                <w:rFonts w:ascii="Book Antiqua" w:hAnsi="Book Antiqua"/>
              </w:rPr>
            </w:pPr>
            <w:r w:rsidRPr="00321163">
              <w:rPr>
                <w:rFonts w:ascii="Book Antiqua" w:hAnsi="Book Antiqua"/>
              </w:rPr>
              <w:t>(80-100)</w:t>
            </w:r>
          </w:p>
        </w:tc>
        <w:tc>
          <w:tcPr>
            <w:tcW w:w="951" w:type="dxa"/>
          </w:tcPr>
          <w:p w14:paraId="1218BD31" w14:textId="77777777" w:rsidR="00980152" w:rsidRPr="00321163" w:rsidRDefault="00980152" w:rsidP="0080449B">
            <w:pPr>
              <w:spacing w:line="360" w:lineRule="auto"/>
              <w:jc w:val="both"/>
              <w:rPr>
                <w:rFonts w:ascii="Book Antiqua" w:hAnsi="Book Antiqua"/>
              </w:rPr>
            </w:pPr>
            <w:r w:rsidRPr="00321163">
              <w:rPr>
                <w:rFonts w:ascii="Book Antiqua" w:hAnsi="Book Antiqua"/>
              </w:rPr>
              <w:t>24.1 (11-42)</w:t>
            </w:r>
          </w:p>
        </w:tc>
        <w:tc>
          <w:tcPr>
            <w:tcW w:w="1067" w:type="dxa"/>
          </w:tcPr>
          <w:p w14:paraId="5A1EBC11"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vertAlign w:val="superscript"/>
                <w:lang w:eastAsia="zh-CN"/>
              </w:rPr>
              <w:t>1</w:t>
            </w:r>
            <w:r w:rsidRPr="00321163">
              <w:rPr>
                <w:rFonts w:ascii="Book Antiqua" w:hAnsi="Book Antiqua"/>
              </w:rPr>
              <w:t>4.1</w:t>
            </w:r>
          </w:p>
          <w:p w14:paraId="6821CC03"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.45-37.5)</w:t>
            </w:r>
          </w:p>
        </w:tc>
        <w:tc>
          <w:tcPr>
            <w:tcW w:w="1075" w:type="dxa"/>
          </w:tcPr>
          <w:p w14:paraId="739C883F"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.0001</w:t>
            </w:r>
          </w:p>
        </w:tc>
      </w:tr>
      <w:tr w:rsidR="00321163" w:rsidRPr="00321163" w14:paraId="089CB3DD" w14:textId="77777777" w:rsidTr="0080449B">
        <w:trPr>
          <w:trHeight w:val="840"/>
        </w:trPr>
        <w:tc>
          <w:tcPr>
            <w:tcW w:w="1076" w:type="dxa"/>
          </w:tcPr>
          <w:p w14:paraId="13A58C0B" w14:textId="504D4E28" w:rsidR="00980152" w:rsidRPr="00321163" w:rsidRDefault="00980152" w:rsidP="0080449B">
            <w:pPr>
              <w:spacing w:line="360" w:lineRule="auto"/>
              <w:jc w:val="both"/>
              <w:rPr>
                <w:rFonts w:ascii="Book Antiqua" w:hAnsi="Book Antiqua"/>
              </w:rPr>
            </w:pPr>
            <w:r w:rsidRPr="00321163">
              <w:rPr>
                <w:rFonts w:ascii="Book Antiqua" w:hAnsi="Book Antiqua"/>
              </w:rPr>
              <w:t>AST &gt;</w:t>
            </w:r>
            <w:r w:rsidR="000779F7">
              <w:rPr>
                <w:rFonts w:ascii="Book Antiqua" w:eastAsia="宋体" w:hAnsi="Book Antiqua" w:hint="eastAsia"/>
                <w:lang w:eastAsia="zh-CN"/>
              </w:rPr>
              <w:t xml:space="preserve"> </w:t>
            </w:r>
            <w:r w:rsidRPr="00321163">
              <w:rPr>
                <w:rFonts w:ascii="Book Antiqua" w:hAnsi="Book Antiqua"/>
              </w:rPr>
              <w:t>155</w:t>
            </w:r>
          </w:p>
        </w:tc>
        <w:tc>
          <w:tcPr>
            <w:tcW w:w="1154" w:type="dxa"/>
          </w:tcPr>
          <w:p w14:paraId="50FA2D01" w14:textId="77777777" w:rsidR="00980152" w:rsidRPr="00321163" w:rsidRDefault="00980152" w:rsidP="0080449B">
            <w:pPr>
              <w:spacing w:line="360" w:lineRule="auto"/>
              <w:jc w:val="both"/>
              <w:rPr>
                <w:rFonts w:ascii="Book Antiqua" w:hAnsi="Book Antiqua"/>
              </w:rPr>
            </w:pPr>
            <w:r w:rsidRPr="00321163">
              <w:rPr>
                <w:rFonts w:ascii="Book Antiqua" w:hAnsi="Book Antiqua"/>
              </w:rPr>
              <w:t>43.2</w:t>
            </w:r>
          </w:p>
          <w:p w14:paraId="289D633F" w14:textId="77777777" w:rsidR="00980152" w:rsidRPr="00321163" w:rsidRDefault="00980152" w:rsidP="0080449B">
            <w:pPr>
              <w:spacing w:line="360" w:lineRule="auto"/>
              <w:jc w:val="both"/>
              <w:rPr>
                <w:rFonts w:ascii="Book Antiqua" w:hAnsi="Book Antiqua"/>
              </w:rPr>
            </w:pPr>
            <w:r w:rsidRPr="00321163">
              <w:rPr>
                <w:rFonts w:ascii="Book Antiqua" w:hAnsi="Book Antiqua"/>
              </w:rPr>
              <w:t>(28-60)</w:t>
            </w:r>
          </w:p>
        </w:tc>
        <w:tc>
          <w:tcPr>
            <w:tcW w:w="1143" w:type="dxa"/>
          </w:tcPr>
          <w:p w14:paraId="38F5203C" w14:textId="77777777" w:rsidR="00980152" w:rsidRPr="00321163" w:rsidRDefault="00980152" w:rsidP="0080449B">
            <w:pPr>
              <w:spacing w:line="360" w:lineRule="auto"/>
              <w:jc w:val="both"/>
              <w:rPr>
                <w:rFonts w:ascii="Book Antiqua" w:hAnsi="Book Antiqua"/>
              </w:rPr>
            </w:pPr>
            <w:r w:rsidRPr="00321163">
              <w:rPr>
                <w:rFonts w:ascii="Book Antiqua" w:hAnsi="Book Antiqua"/>
              </w:rPr>
              <w:t>85.7</w:t>
            </w:r>
          </w:p>
          <w:p w14:paraId="2EE2680D" w14:textId="77777777" w:rsidR="00980152" w:rsidRPr="00321163" w:rsidRDefault="00980152" w:rsidP="0080449B">
            <w:pPr>
              <w:spacing w:line="360" w:lineRule="auto"/>
              <w:jc w:val="both"/>
              <w:rPr>
                <w:rFonts w:ascii="Book Antiqua" w:hAnsi="Book Antiqua"/>
              </w:rPr>
            </w:pPr>
            <w:r w:rsidRPr="00321163">
              <w:rPr>
                <w:rFonts w:ascii="Book Antiqua" w:hAnsi="Book Antiqua"/>
              </w:rPr>
              <w:t>(42-99)</w:t>
            </w:r>
          </w:p>
        </w:tc>
        <w:tc>
          <w:tcPr>
            <w:tcW w:w="1022" w:type="dxa"/>
          </w:tcPr>
          <w:p w14:paraId="3EBE94C9" w14:textId="77777777" w:rsidR="00980152" w:rsidRPr="00321163" w:rsidRDefault="00980152" w:rsidP="0080449B">
            <w:pPr>
              <w:spacing w:line="360" w:lineRule="auto"/>
              <w:jc w:val="both"/>
              <w:rPr>
                <w:rFonts w:ascii="Book Antiqua" w:hAnsi="Book Antiqua"/>
              </w:rPr>
            </w:pPr>
            <w:r w:rsidRPr="00321163">
              <w:rPr>
                <w:rFonts w:ascii="Book Antiqua" w:hAnsi="Book Antiqua"/>
              </w:rPr>
              <w:t>94</w:t>
            </w:r>
          </w:p>
          <w:p w14:paraId="305EC999" w14:textId="77777777" w:rsidR="00980152" w:rsidRPr="00321163" w:rsidRDefault="00980152" w:rsidP="0080449B">
            <w:pPr>
              <w:spacing w:line="360" w:lineRule="auto"/>
              <w:jc w:val="both"/>
              <w:rPr>
                <w:rFonts w:ascii="Book Antiqua" w:hAnsi="Book Antiqua"/>
              </w:rPr>
            </w:pPr>
            <w:r w:rsidRPr="00321163">
              <w:rPr>
                <w:rFonts w:ascii="Book Antiqua" w:hAnsi="Book Antiqua"/>
              </w:rPr>
              <w:t>(69-100)</w:t>
            </w:r>
          </w:p>
        </w:tc>
        <w:tc>
          <w:tcPr>
            <w:tcW w:w="951" w:type="dxa"/>
          </w:tcPr>
          <w:p w14:paraId="3F68BF9C" w14:textId="77777777" w:rsidR="00980152" w:rsidRPr="00321163" w:rsidRDefault="00980152" w:rsidP="0080449B">
            <w:pPr>
              <w:spacing w:line="360" w:lineRule="auto"/>
              <w:jc w:val="both"/>
              <w:rPr>
                <w:rFonts w:ascii="Book Antiqua" w:hAnsi="Book Antiqua"/>
              </w:rPr>
            </w:pPr>
            <w:r w:rsidRPr="00321163">
              <w:rPr>
                <w:rFonts w:ascii="Book Antiqua" w:hAnsi="Book Antiqua"/>
              </w:rPr>
              <w:t>22.2</w:t>
            </w:r>
          </w:p>
          <w:p w14:paraId="308B9306" w14:textId="77777777" w:rsidR="00980152" w:rsidRPr="00321163" w:rsidRDefault="00980152" w:rsidP="0080449B">
            <w:pPr>
              <w:spacing w:line="360" w:lineRule="auto"/>
              <w:jc w:val="both"/>
              <w:rPr>
                <w:rFonts w:ascii="Book Antiqua" w:hAnsi="Book Antiqua"/>
              </w:rPr>
            </w:pPr>
            <w:r w:rsidRPr="00321163">
              <w:rPr>
                <w:rFonts w:ascii="Book Antiqua" w:hAnsi="Book Antiqua"/>
              </w:rPr>
              <w:t>(9-43)</w:t>
            </w:r>
          </w:p>
        </w:tc>
        <w:tc>
          <w:tcPr>
            <w:tcW w:w="1067" w:type="dxa"/>
          </w:tcPr>
          <w:p w14:paraId="75940E5D" w14:textId="77777777" w:rsidR="00980152" w:rsidRPr="00321163" w:rsidRDefault="00980152" w:rsidP="0080449B">
            <w:pPr>
              <w:spacing w:line="360" w:lineRule="auto"/>
              <w:jc w:val="both"/>
              <w:rPr>
                <w:rFonts w:ascii="Book Antiqua" w:hAnsi="Book Antiqua"/>
              </w:rPr>
            </w:pPr>
            <w:r w:rsidRPr="00321163">
              <w:rPr>
                <w:rFonts w:ascii="Book Antiqua" w:hAnsi="Book Antiqua"/>
              </w:rPr>
              <w:t>4.57</w:t>
            </w:r>
          </w:p>
          <w:p w14:paraId="4BF80709" w14:textId="77777777" w:rsidR="00980152" w:rsidRPr="00321163" w:rsidRDefault="00980152" w:rsidP="0080449B">
            <w:pPr>
              <w:spacing w:line="360" w:lineRule="auto"/>
              <w:jc w:val="both"/>
              <w:rPr>
                <w:rFonts w:ascii="Book Antiqua" w:eastAsia="宋体" w:hAnsi="Book Antiqua"/>
                <w:lang w:eastAsia="zh-CN"/>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.499-41.9)</w:t>
            </w:r>
          </w:p>
        </w:tc>
        <w:tc>
          <w:tcPr>
            <w:tcW w:w="1075" w:type="dxa"/>
          </w:tcPr>
          <w:p w14:paraId="0532CADA"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.0001</w:t>
            </w:r>
          </w:p>
        </w:tc>
      </w:tr>
      <w:tr w:rsidR="00321163" w:rsidRPr="00321163" w14:paraId="3D229125" w14:textId="77777777" w:rsidTr="0080449B">
        <w:trPr>
          <w:trHeight w:val="840"/>
        </w:trPr>
        <w:tc>
          <w:tcPr>
            <w:tcW w:w="1076" w:type="dxa"/>
          </w:tcPr>
          <w:p w14:paraId="7EACCE44" w14:textId="40BC3603" w:rsidR="00980152" w:rsidRPr="00321163" w:rsidRDefault="00980152" w:rsidP="0080449B">
            <w:pPr>
              <w:spacing w:line="360" w:lineRule="auto"/>
              <w:jc w:val="both"/>
              <w:rPr>
                <w:rFonts w:ascii="Book Antiqua" w:hAnsi="Book Antiqua"/>
              </w:rPr>
            </w:pPr>
            <w:r w:rsidRPr="00321163">
              <w:rPr>
                <w:rFonts w:ascii="Book Antiqua" w:hAnsi="Book Antiqua" w:cs="Arial"/>
              </w:rPr>
              <w:sym w:font="Symbol" w:char="F067"/>
            </w:r>
            <w:r w:rsidRPr="00321163">
              <w:rPr>
                <w:rFonts w:ascii="Book Antiqua" w:hAnsi="Book Antiqua" w:cs="Arial"/>
              </w:rPr>
              <w:t>GT</w:t>
            </w:r>
            <w:r w:rsidRPr="00321163">
              <w:rPr>
                <w:rFonts w:ascii="Book Antiqua" w:hAnsi="Book Antiqua"/>
              </w:rPr>
              <w:t xml:space="preserve"> &gt;</w:t>
            </w:r>
            <w:r w:rsidR="000779F7">
              <w:rPr>
                <w:rFonts w:ascii="Book Antiqua" w:eastAsia="宋体" w:hAnsi="Book Antiqua" w:hint="eastAsia"/>
                <w:lang w:eastAsia="zh-CN"/>
              </w:rPr>
              <w:t xml:space="preserve"> </w:t>
            </w:r>
            <w:r w:rsidRPr="00321163">
              <w:rPr>
                <w:rFonts w:ascii="Book Antiqua" w:hAnsi="Book Antiqua"/>
              </w:rPr>
              <w:t>400</w:t>
            </w:r>
          </w:p>
        </w:tc>
        <w:tc>
          <w:tcPr>
            <w:tcW w:w="1154" w:type="dxa"/>
          </w:tcPr>
          <w:p w14:paraId="4672149E" w14:textId="77777777" w:rsidR="00980152" w:rsidRPr="00321163" w:rsidRDefault="00980152" w:rsidP="0080449B">
            <w:pPr>
              <w:spacing w:line="360" w:lineRule="auto"/>
              <w:jc w:val="both"/>
              <w:rPr>
                <w:rFonts w:ascii="Book Antiqua" w:hAnsi="Book Antiqua"/>
              </w:rPr>
            </w:pPr>
            <w:r w:rsidRPr="00321163">
              <w:rPr>
                <w:rFonts w:ascii="Book Antiqua" w:hAnsi="Book Antiqua"/>
              </w:rPr>
              <w:t xml:space="preserve">35.1 </w:t>
            </w:r>
          </w:p>
          <w:p w14:paraId="218DCC70" w14:textId="77777777" w:rsidR="00980152" w:rsidRPr="00321163" w:rsidRDefault="00980152" w:rsidP="0080449B">
            <w:pPr>
              <w:spacing w:line="360" w:lineRule="auto"/>
              <w:jc w:val="both"/>
              <w:rPr>
                <w:rFonts w:ascii="Book Antiqua" w:hAnsi="Book Antiqua"/>
              </w:rPr>
            </w:pPr>
            <w:r w:rsidRPr="00321163">
              <w:rPr>
                <w:rFonts w:ascii="Book Antiqua" w:hAnsi="Book Antiqua"/>
              </w:rPr>
              <w:t>(21-53)</w:t>
            </w:r>
          </w:p>
        </w:tc>
        <w:tc>
          <w:tcPr>
            <w:tcW w:w="1143" w:type="dxa"/>
          </w:tcPr>
          <w:p w14:paraId="57E8B2C3" w14:textId="77777777" w:rsidR="00980152" w:rsidRPr="00321163" w:rsidRDefault="00980152" w:rsidP="0080449B">
            <w:pPr>
              <w:spacing w:line="360" w:lineRule="auto"/>
              <w:jc w:val="both"/>
              <w:rPr>
                <w:rFonts w:ascii="Book Antiqua" w:hAnsi="Book Antiqua"/>
              </w:rPr>
            </w:pPr>
            <w:r w:rsidRPr="00321163">
              <w:rPr>
                <w:rFonts w:ascii="Book Antiqua" w:hAnsi="Book Antiqua"/>
              </w:rPr>
              <w:t>100</w:t>
            </w:r>
          </w:p>
          <w:p w14:paraId="151EC706" w14:textId="77777777" w:rsidR="00980152" w:rsidRPr="00321163" w:rsidRDefault="00980152" w:rsidP="0080449B">
            <w:pPr>
              <w:spacing w:line="360" w:lineRule="auto"/>
              <w:jc w:val="both"/>
              <w:rPr>
                <w:rFonts w:ascii="Book Antiqua" w:hAnsi="Book Antiqua"/>
              </w:rPr>
            </w:pPr>
            <w:r w:rsidRPr="00321163">
              <w:rPr>
                <w:rFonts w:ascii="Book Antiqua" w:hAnsi="Book Antiqua"/>
              </w:rPr>
              <w:t>(56-100)</w:t>
            </w:r>
          </w:p>
        </w:tc>
        <w:tc>
          <w:tcPr>
            <w:tcW w:w="1022" w:type="dxa"/>
          </w:tcPr>
          <w:p w14:paraId="58C5DF09" w14:textId="77777777" w:rsidR="00980152" w:rsidRPr="00321163" w:rsidRDefault="00980152" w:rsidP="0080449B">
            <w:pPr>
              <w:spacing w:line="360" w:lineRule="auto"/>
              <w:jc w:val="both"/>
              <w:rPr>
                <w:rFonts w:ascii="Book Antiqua" w:hAnsi="Book Antiqua"/>
              </w:rPr>
            </w:pPr>
            <w:r w:rsidRPr="00321163">
              <w:rPr>
                <w:rFonts w:ascii="Book Antiqua" w:hAnsi="Book Antiqua"/>
              </w:rPr>
              <w:t>100</w:t>
            </w:r>
          </w:p>
          <w:p w14:paraId="3A0A3C67" w14:textId="77777777" w:rsidR="00980152" w:rsidRPr="00321163" w:rsidRDefault="00980152" w:rsidP="0080449B">
            <w:pPr>
              <w:spacing w:line="360" w:lineRule="auto"/>
              <w:jc w:val="both"/>
              <w:rPr>
                <w:rFonts w:ascii="Book Antiqua" w:hAnsi="Book Antiqua"/>
              </w:rPr>
            </w:pPr>
            <w:r w:rsidRPr="00321163">
              <w:rPr>
                <w:rFonts w:ascii="Book Antiqua" w:hAnsi="Book Antiqua"/>
              </w:rPr>
              <w:t>(72-100)</w:t>
            </w:r>
          </w:p>
        </w:tc>
        <w:tc>
          <w:tcPr>
            <w:tcW w:w="951" w:type="dxa"/>
          </w:tcPr>
          <w:p w14:paraId="35BC16FB" w14:textId="77777777" w:rsidR="00980152" w:rsidRPr="00321163" w:rsidRDefault="00980152" w:rsidP="0080449B">
            <w:pPr>
              <w:spacing w:line="360" w:lineRule="auto"/>
              <w:jc w:val="both"/>
              <w:rPr>
                <w:rFonts w:ascii="Book Antiqua" w:hAnsi="Book Antiqua"/>
              </w:rPr>
            </w:pPr>
            <w:r w:rsidRPr="00321163">
              <w:rPr>
                <w:rFonts w:ascii="Book Antiqua" w:hAnsi="Book Antiqua"/>
              </w:rPr>
              <w:t>22.6 (10-42)</w:t>
            </w:r>
          </w:p>
        </w:tc>
        <w:tc>
          <w:tcPr>
            <w:tcW w:w="1067" w:type="dxa"/>
          </w:tcPr>
          <w:p w14:paraId="0BCA73AD"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vertAlign w:val="superscript"/>
                <w:lang w:eastAsia="zh-CN"/>
              </w:rPr>
              <w:t>1</w:t>
            </w:r>
            <w:r w:rsidRPr="00321163">
              <w:rPr>
                <w:rFonts w:ascii="Book Antiqua" w:hAnsi="Book Antiqua"/>
              </w:rPr>
              <w:t>3.25</w:t>
            </w:r>
          </w:p>
          <w:p w14:paraId="70C47B2D" w14:textId="77777777" w:rsidR="00980152" w:rsidRPr="00321163" w:rsidRDefault="00980152" w:rsidP="0080449B">
            <w:pPr>
              <w:spacing w:line="360" w:lineRule="auto"/>
              <w:jc w:val="both"/>
              <w:rPr>
                <w:rFonts w:ascii="Book Antiqua" w:hAnsi="Book Antiqua"/>
              </w:rPr>
            </w:pPr>
            <w:r w:rsidRPr="00321163">
              <w:rPr>
                <w:rFonts w:ascii="Book Antiqua" w:hAnsi="Book Antiqua"/>
              </w:rPr>
              <w:t>(</w:t>
            </w:r>
            <w:r w:rsidRPr="00321163">
              <w:rPr>
                <w:rFonts w:ascii="Book Antiqua" w:eastAsia="宋体" w:hAnsi="Book Antiqua" w:hint="eastAsia"/>
                <w:lang w:eastAsia="zh-CN"/>
              </w:rPr>
              <w:t>0</w:t>
            </w:r>
            <w:r w:rsidRPr="00321163">
              <w:rPr>
                <w:rFonts w:ascii="Book Antiqua" w:hAnsi="Book Antiqua"/>
              </w:rPr>
              <w:t>.352-30.0)</w:t>
            </w:r>
          </w:p>
        </w:tc>
        <w:tc>
          <w:tcPr>
            <w:tcW w:w="1075" w:type="dxa"/>
          </w:tcPr>
          <w:p w14:paraId="3CB66A8E" w14:textId="77777777" w:rsidR="00980152" w:rsidRPr="00321163" w:rsidRDefault="00980152" w:rsidP="0080449B">
            <w:pPr>
              <w:spacing w:line="360" w:lineRule="auto"/>
              <w:jc w:val="both"/>
              <w:rPr>
                <w:rFonts w:ascii="Book Antiqua" w:hAnsi="Book Antiqua"/>
              </w:rPr>
            </w:pPr>
            <w:r w:rsidRPr="00321163">
              <w:rPr>
                <w:rFonts w:ascii="Book Antiqua" w:eastAsia="宋体" w:hAnsi="Book Antiqua" w:hint="eastAsia"/>
                <w:lang w:eastAsia="zh-CN"/>
              </w:rPr>
              <w:t>0</w:t>
            </w:r>
            <w:r w:rsidRPr="00321163">
              <w:rPr>
                <w:rFonts w:ascii="Book Antiqua" w:hAnsi="Book Antiqua"/>
              </w:rPr>
              <w:t>.0001</w:t>
            </w:r>
          </w:p>
        </w:tc>
      </w:tr>
    </w:tbl>
    <w:p w14:paraId="7226FDD3" w14:textId="77777777" w:rsidR="00980152" w:rsidRPr="00321163" w:rsidRDefault="00980152" w:rsidP="00980152">
      <w:pPr>
        <w:spacing w:line="360" w:lineRule="auto"/>
        <w:jc w:val="both"/>
        <w:rPr>
          <w:rFonts w:ascii="Book Antiqua" w:hAnsi="Book Antiqua"/>
        </w:rPr>
      </w:pPr>
    </w:p>
    <w:p w14:paraId="4C9CDDE1" w14:textId="391CD78C" w:rsidR="001C756F" w:rsidRPr="00321163" w:rsidRDefault="00980152" w:rsidP="00CA6249">
      <w:pPr>
        <w:spacing w:line="360" w:lineRule="auto"/>
        <w:jc w:val="both"/>
        <w:rPr>
          <w:rFonts w:ascii="Book Antiqua" w:eastAsia="宋体" w:hAnsi="Book Antiqua"/>
          <w:lang w:eastAsia="zh-CN"/>
        </w:rPr>
      </w:pPr>
      <w:r w:rsidRPr="00321163">
        <w:rPr>
          <w:rFonts w:ascii="Book Antiqua" w:eastAsia="宋体" w:hAnsi="Book Antiqua" w:hint="eastAsia"/>
          <w:vertAlign w:val="superscript"/>
          <w:lang w:eastAsia="zh-CN"/>
        </w:rPr>
        <w:t>1</w:t>
      </w:r>
      <w:r w:rsidRPr="00321163">
        <w:rPr>
          <w:rFonts w:ascii="Book Antiqua" w:hAnsi="Book Antiqua"/>
        </w:rPr>
        <w:t>A zero denominator was substituted with a unit of one for odds ratio only</w:t>
      </w:r>
      <w:r w:rsidRPr="00321163">
        <w:rPr>
          <w:rFonts w:ascii="Book Antiqua" w:eastAsia="宋体" w:hAnsi="Book Antiqua" w:hint="eastAsia"/>
          <w:lang w:eastAsia="zh-CN"/>
        </w:rPr>
        <w:t xml:space="preserve">. </w:t>
      </w:r>
      <w:r w:rsidRPr="00321163">
        <w:rPr>
          <w:rFonts w:ascii="Book Antiqua" w:hAnsi="Book Antiqua" w:cs="Arial"/>
        </w:rPr>
        <w:t>Includes sensitivity, specificity, positive predictive value, and odds ratio.</w:t>
      </w:r>
      <w:r w:rsidR="00922966" w:rsidRPr="00321163">
        <w:rPr>
          <w:rFonts w:ascii="Book Antiqua" w:hAnsi="Book Antiqua" w:cs="Arial"/>
        </w:rPr>
        <w:t xml:space="preserve"> </w:t>
      </w:r>
      <w:r w:rsidRPr="00321163">
        <w:rPr>
          <w:rFonts w:ascii="Book Antiqua" w:hAnsi="Book Antiqua" w:cs="Arial"/>
          <w:i/>
        </w:rPr>
        <w:t>P-</w:t>
      </w:r>
      <w:r w:rsidRPr="00321163">
        <w:rPr>
          <w:rFonts w:ascii="Book Antiqua" w:hAnsi="Book Antiqua" w:cs="Arial"/>
        </w:rPr>
        <w:t xml:space="preserve">values were calculated for each category for differences between patients with and without stones using </w:t>
      </w:r>
      <w:proofErr w:type="spellStart"/>
      <w:r w:rsidRPr="00321163">
        <w:rPr>
          <w:rFonts w:ascii="Book Antiqua" w:hAnsi="Book Antiqua" w:cs="Arial"/>
        </w:rPr>
        <w:t>McNemar’s</w:t>
      </w:r>
      <w:proofErr w:type="spellEnd"/>
      <w:r w:rsidRPr="00321163">
        <w:rPr>
          <w:rFonts w:ascii="Book Antiqua" w:hAnsi="Book Antiqua" w:cs="Arial"/>
        </w:rPr>
        <w:t xml:space="preserve"> test.</w:t>
      </w:r>
      <w:r w:rsidRPr="00321163">
        <w:rPr>
          <w:rFonts w:ascii="Book Antiqua" w:hAnsi="Book Antiqua"/>
        </w:rPr>
        <w:t xml:space="preserve"> PPV: Positive predictive value</w:t>
      </w:r>
      <w:r w:rsidRPr="00321163">
        <w:rPr>
          <w:rFonts w:ascii="Book Antiqua" w:eastAsia="宋体" w:hAnsi="Book Antiqua" w:hint="eastAsia"/>
          <w:lang w:eastAsia="zh-CN"/>
        </w:rPr>
        <w:t>;</w:t>
      </w:r>
      <w:r w:rsidRPr="00321163">
        <w:rPr>
          <w:rFonts w:ascii="Book Antiqua" w:hAnsi="Book Antiqua"/>
        </w:rPr>
        <w:t xml:space="preserve"> NPV: Negative predictive value</w:t>
      </w:r>
      <w:r w:rsidRPr="00321163">
        <w:rPr>
          <w:rFonts w:ascii="Book Antiqua" w:eastAsia="宋体" w:hAnsi="Book Antiqua" w:hint="eastAsia"/>
          <w:lang w:eastAsia="zh-CN"/>
        </w:rPr>
        <w:t xml:space="preserve">; </w:t>
      </w:r>
      <w:r w:rsidRPr="00321163">
        <w:rPr>
          <w:rFonts w:ascii="Book Antiqua" w:hAnsi="Book Antiqua"/>
        </w:rPr>
        <w:t>VS-PM: Very Strong Pediatric “Modified”</w:t>
      </w:r>
      <w:r w:rsidRPr="00321163">
        <w:rPr>
          <w:rFonts w:ascii="Book Antiqua" w:eastAsia="宋体" w:hAnsi="Book Antiqua" w:hint="eastAsia"/>
          <w:lang w:eastAsia="zh-CN"/>
        </w:rPr>
        <w:t>;</w:t>
      </w:r>
      <w:r w:rsidRPr="00321163">
        <w:rPr>
          <w:rFonts w:ascii="Book Antiqua" w:hAnsi="Book Antiqua"/>
        </w:rPr>
        <w:t xml:space="preserve"> S-PM: Strong Pediatric “Modified”</w:t>
      </w:r>
      <w:r w:rsidRPr="00321163">
        <w:rPr>
          <w:rFonts w:ascii="Book Antiqua" w:eastAsia="宋体" w:hAnsi="Book Antiqua" w:hint="eastAsia"/>
          <w:lang w:eastAsia="zh-CN"/>
        </w:rPr>
        <w:t>;</w:t>
      </w:r>
      <w:r w:rsidRPr="00321163">
        <w:rPr>
          <w:rFonts w:ascii="Book Antiqua" w:hAnsi="Book Antiqua"/>
        </w:rPr>
        <w:t xml:space="preserve"> VS-Adult: Very Strong Adult</w:t>
      </w:r>
      <w:r w:rsidRPr="00321163">
        <w:rPr>
          <w:rFonts w:ascii="Book Antiqua" w:eastAsia="宋体" w:hAnsi="Book Antiqua" w:hint="eastAsia"/>
          <w:lang w:eastAsia="zh-CN"/>
        </w:rPr>
        <w:t>;</w:t>
      </w:r>
      <w:r w:rsidRPr="00321163">
        <w:rPr>
          <w:rFonts w:ascii="Book Antiqua" w:hAnsi="Book Antiqua"/>
        </w:rPr>
        <w:t xml:space="preserve"> S-Adult: Strong Adult</w:t>
      </w:r>
      <w:r w:rsidRPr="00321163">
        <w:rPr>
          <w:rFonts w:ascii="Book Antiqua" w:eastAsia="宋体" w:hAnsi="Book Antiqua" w:hint="eastAsia"/>
          <w:lang w:eastAsia="zh-CN"/>
        </w:rPr>
        <w:t>;</w:t>
      </w:r>
      <w:r w:rsidRPr="00321163">
        <w:rPr>
          <w:rFonts w:ascii="Book Antiqua" w:hAnsi="Book Antiqua"/>
        </w:rPr>
        <w:t xml:space="preserve"> CBDS: Common bile duct stone</w:t>
      </w:r>
      <w:r w:rsidRPr="00321163">
        <w:rPr>
          <w:rFonts w:ascii="Book Antiqua" w:eastAsia="宋体" w:hAnsi="Book Antiqua" w:hint="eastAsia"/>
          <w:lang w:eastAsia="zh-CN"/>
        </w:rPr>
        <w:t>;</w:t>
      </w:r>
      <w:r w:rsidRPr="00321163">
        <w:rPr>
          <w:rFonts w:ascii="Book Antiqua" w:hAnsi="Book Antiqua"/>
        </w:rPr>
        <w:t xml:space="preserve"> CB: Conjugated bilirubin</w:t>
      </w:r>
      <w:r w:rsidRPr="00321163">
        <w:rPr>
          <w:rFonts w:ascii="Book Antiqua" w:eastAsia="宋体" w:hAnsi="Book Antiqua" w:hint="eastAsia"/>
          <w:lang w:eastAsia="zh-CN"/>
        </w:rPr>
        <w:t xml:space="preserve">; </w:t>
      </w:r>
      <w:r w:rsidRPr="00321163">
        <w:rPr>
          <w:rFonts w:ascii="Book Antiqua" w:hAnsi="Book Antiqua"/>
        </w:rPr>
        <w:t>TB: Total Bilirubin</w:t>
      </w:r>
      <w:r w:rsidRPr="00321163">
        <w:rPr>
          <w:rFonts w:ascii="Book Antiqua" w:eastAsia="宋体" w:hAnsi="Book Antiqua" w:hint="eastAsia"/>
          <w:lang w:eastAsia="zh-CN"/>
        </w:rPr>
        <w:t>;</w:t>
      </w:r>
      <w:r w:rsidRPr="00321163">
        <w:rPr>
          <w:rFonts w:ascii="Book Antiqua" w:hAnsi="Book Antiqua"/>
        </w:rPr>
        <w:t xml:space="preserve"> ALT:</w:t>
      </w:r>
      <w:r w:rsidR="00922966" w:rsidRPr="00321163">
        <w:rPr>
          <w:rFonts w:ascii="Book Antiqua" w:hAnsi="Book Antiqua"/>
        </w:rPr>
        <w:t xml:space="preserve"> </w:t>
      </w:r>
      <w:r w:rsidRPr="00321163">
        <w:rPr>
          <w:rFonts w:ascii="Book Antiqua" w:hAnsi="Book Antiqua"/>
        </w:rPr>
        <w:t>Alanine aminotransferase</w:t>
      </w:r>
      <w:r w:rsidRPr="00321163">
        <w:rPr>
          <w:rFonts w:ascii="Book Antiqua" w:eastAsia="宋体" w:hAnsi="Book Antiqua" w:hint="eastAsia"/>
          <w:lang w:eastAsia="zh-CN"/>
        </w:rPr>
        <w:t>;</w:t>
      </w:r>
      <w:r w:rsidRPr="00321163">
        <w:rPr>
          <w:rFonts w:ascii="Book Antiqua" w:hAnsi="Book Antiqua"/>
        </w:rPr>
        <w:t xml:space="preserve"> AST: Aspartate aminotransferase</w:t>
      </w:r>
      <w:r w:rsidRPr="00321163">
        <w:rPr>
          <w:rFonts w:ascii="Book Antiqua" w:eastAsia="宋体" w:hAnsi="Book Antiqua" w:hint="eastAsia"/>
          <w:lang w:eastAsia="zh-CN"/>
        </w:rPr>
        <w:t>;</w:t>
      </w:r>
      <w:r w:rsidR="00922966" w:rsidRPr="00321163">
        <w:rPr>
          <w:rFonts w:ascii="Book Antiqua" w:hAnsi="Book Antiqua"/>
        </w:rPr>
        <w:t xml:space="preserve"> </w:t>
      </w:r>
      <w:r w:rsidRPr="00321163">
        <w:rPr>
          <w:rFonts w:ascii="Book Antiqua" w:hAnsi="Book Antiqua" w:cs="Arial"/>
        </w:rPr>
        <w:sym w:font="Symbol" w:char="F067"/>
      </w:r>
      <w:r w:rsidRPr="00321163">
        <w:rPr>
          <w:rFonts w:ascii="Book Antiqua" w:hAnsi="Book Antiqua" w:cs="Arial"/>
        </w:rPr>
        <w:t>GT:</w:t>
      </w:r>
      <w:r w:rsidR="00922966" w:rsidRPr="00321163">
        <w:rPr>
          <w:rFonts w:ascii="Book Antiqua" w:hAnsi="Book Antiqua" w:cs="Arial"/>
        </w:rPr>
        <w:t xml:space="preserve"> </w:t>
      </w:r>
      <w:r w:rsidRPr="00321163">
        <w:rPr>
          <w:rFonts w:ascii="Book Antiqua" w:hAnsi="Book Antiqua" w:cs="Arial"/>
        </w:rPr>
        <w:t>Gamma-</w:t>
      </w:r>
      <w:proofErr w:type="spellStart"/>
      <w:r w:rsidRPr="00321163">
        <w:rPr>
          <w:rFonts w:ascii="Book Antiqua" w:hAnsi="Book Antiqua" w:cs="Arial"/>
        </w:rPr>
        <w:t>glutamyl</w:t>
      </w:r>
      <w:proofErr w:type="spellEnd"/>
      <w:r w:rsidRPr="00321163">
        <w:rPr>
          <w:rFonts w:ascii="Book Antiqua" w:hAnsi="Book Antiqua" w:cs="Arial"/>
        </w:rPr>
        <w:t xml:space="preserve"> transferase</w:t>
      </w:r>
      <w:r w:rsidRPr="00321163">
        <w:rPr>
          <w:rFonts w:ascii="Book Antiqua" w:eastAsia="宋体" w:hAnsi="Book Antiqua" w:cs="Arial" w:hint="eastAsia"/>
          <w:lang w:eastAsia="zh-CN"/>
        </w:rPr>
        <w:t>.</w:t>
      </w:r>
    </w:p>
    <w:sectPr w:rsidR="001C756F" w:rsidRPr="00321163" w:rsidSect="007A6E9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6D2F0" w14:textId="77777777" w:rsidR="002826AD" w:rsidRDefault="002826AD" w:rsidP="00832D6A">
      <w:r>
        <w:separator/>
      </w:r>
    </w:p>
  </w:endnote>
  <w:endnote w:type="continuationSeparator" w:id="0">
    <w:p w14:paraId="34C52FBF" w14:textId="77777777" w:rsidR="002826AD" w:rsidRDefault="002826AD" w:rsidP="0083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14AB" w14:textId="77777777" w:rsidR="002826AD" w:rsidRDefault="002826AD" w:rsidP="00832D6A">
      <w:r>
        <w:separator/>
      </w:r>
    </w:p>
  </w:footnote>
  <w:footnote w:type="continuationSeparator" w:id="0">
    <w:p w14:paraId="17FBF9D6" w14:textId="77777777" w:rsidR="002826AD" w:rsidRDefault="002826AD" w:rsidP="00832D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794ABA0"/>
    <w:lvl w:ilvl="0" w:tplc="92E87292">
      <w:numFmt w:val="none"/>
      <w:lvlText w:val=""/>
      <w:lvlJc w:val="left"/>
      <w:pPr>
        <w:tabs>
          <w:tab w:val="num" w:pos="360"/>
        </w:tabs>
      </w:pPr>
    </w:lvl>
    <w:lvl w:ilvl="1" w:tplc="B7BC2608">
      <w:numFmt w:val="decimal"/>
      <w:lvlText w:val=""/>
      <w:lvlJc w:val="left"/>
    </w:lvl>
    <w:lvl w:ilvl="2" w:tplc="51C0C396">
      <w:numFmt w:val="decimal"/>
      <w:lvlText w:val=""/>
      <w:lvlJc w:val="left"/>
    </w:lvl>
    <w:lvl w:ilvl="3" w:tplc="C9EE2B72">
      <w:numFmt w:val="decimal"/>
      <w:lvlText w:val=""/>
      <w:lvlJc w:val="left"/>
    </w:lvl>
    <w:lvl w:ilvl="4" w:tplc="2340AF30">
      <w:numFmt w:val="decimal"/>
      <w:lvlText w:val=""/>
      <w:lvlJc w:val="left"/>
    </w:lvl>
    <w:lvl w:ilvl="5" w:tplc="61D0D116">
      <w:numFmt w:val="decimal"/>
      <w:lvlText w:val=""/>
      <w:lvlJc w:val="left"/>
    </w:lvl>
    <w:lvl w:ilvl="6" w:tplc="C8F4F656">
      <w:numFmt w:val="decimal"/>
      <w:lvlText w:val=""/>
      <w:lvlJc w:val="left"/>
    </w:lvl>
    <w:lvl w:ilvl="7" w:tplc="ED706AC2">
      <w:numFmt w:val="decimal"/>
      <w:lvlText w:val=""/>
      <w:lvlJc w:val="left"/>
    </w:lvl>
    <w:lvl w:ilvl="8" w:tplc="0256E97A">
      <w:numFmt w:val="decimal"/>
      <w:lvlText w:val=""/>
      <w:lvlJc w:val="left"/>
    </w:lvl>
  </w:abstractNum>
  <w:abstractNum w:abstractNumId="1">
    <w:nsid w:val="00000002"/>
    <w:multiLevelType w:val="hybridMultilevel"/>
    <w:tmpl w:val="7E6EC09E"/>
    <w:lvl w:ilvl="0" w:tplc="FC38B06A">
      <w:numFmt w:val="none"/>
      <w:lvlText w:val=""/>
      <w:lvlJc w:val="left"/>
      <w:pPr>
        <w:tabs>
          <w:tab w:val="num" w:pos="360"/>
        </w:tabs>
      </w:pPr>
    </w:lvl>
    <w:lvl w:ilvl="1" w:tplc="67128656">
      <w:numFmt w:val="decimal"/>
      <w:lvlText w:val=""/>
      <w:lvlJc w:val="left"/>
    </w:lvl>
    <w:lvl w:ilvl="2" w:tplc="2466D908">
      <w:numFmt w:val="decimal"/>
      <w:lvlText w:val=""/>
      <w:lvlJc w:val="left"/>
    </w:lvl>
    <w:lvl w:ilvl="3" w:tplc="9AE26D7E">
      <w:numFmt w:val="decimal"/>
      <w:lvlText w:val=""/>
      <w:lvlJc w:val="left"/>
    </w:lvl>
    <w:lvl w:ilvl="4" w:tplc="F678FC1A">
      <w:numFmt w:val="decimal"/>
      <w:lvlText w:val=""/>
      <w:lvlJc w:val="left"/>
    </w:lvl>
    <w:lvl w:ilvl="5" w:tplc="11A2E886">
      <w:numFmt w:val="decimal"/>
      <w:lvlText w:val=""/>
      <w:lvlJc w:val="left"/>
    </w:lvl>
    <w:lvl w:ilvl="6" w:tplc="D8FCC134">
      <w:numFmt w:val="decimal"/>
      <w:lvlText w:val=""/>
      <w:lvlJc w:val="left"/>
    </w:lvl>
    <w:lvl w:ilvl="7" w:tplc="7696CCB8">
      <w:numFmt w:val="decimal"/>
      <w:lvlText w:val=""/>
      <w:lvlJc w:val="left"/>
    </w:lvl>
    <w:lvl w:ilvl="8" w:tplc="2C2ACBAE">
      <w:numFmt w:val="decimal"/>
      <w:lvlText w:val=""/>
      <w:lvlJc w:val="left"/>
    </w:lvl>
  </w:abstractNum>
  <w:abstractNum w:abstractNumId="2">
    <w:nsid w:val="00E1643E"/>
    <w:multiLevelType w:val="hybridMultilevel"/>
    <w:tmpl w:val="0B9A65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CAA5B94"/>
    <w:multiLevelType w:val="hybridMultilevel"/>
    <w:tmpl w:val="577452FE"/>
    <w:lvl w:ilvl="0" w:tplc="5030B94E">
      <w:start w:val="1"/>
      <w:numFmt w:val="decimal"/>
      <w:lvlText w:val="%1."/>
      <w:lvlJc w:val="left"/>
      <w:pPr>
        <w:tabs>
          <w:tab w:val="num" w:pos="720"/>
        </w:tabs>
        <w:ind w:left="720" w:hanging="360"/>
      </w:pPr>
      <w:rPr>
        <w:rFonts w:ascii="Arial" w:hAnsi="Arial" w:cs="Arial" w:hint="default"/>
        <w:i w:val="0"/>
        <w:color w:val="auto"/>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91"/>
    <w:rsid w:val="00000645"/>
    <w:rsid w:val="000072BC"/>
    <w:rsid w:val="00020AC7"/>
    <w:rsid w:val="000264B9"/>
    <w:rsid w:val="00035433"/>
    <w:rsid w:val="00037253"/>
    <w:rsid w:val="00040C0C"/>
    <w:rsid w:val="000613C1"/>
    <w:rsid w:val="0006203B"/>
    <w:rsid w:val="00064ACA"/>
    <w:rsid w:val="00067B90"/>
    <w:rsid w:val="000717F6"/>
    <w:rsid w:val="000754C4"/>
    <w:rsid w:val="00076078"/>
    <w:rsid w:val="00077386"/>
    <w:rsid w:val="000779F7"/>
    <w:rsid w:val="000804F3"/>
    <w:rsid w:val="00092A36"/>
    <w:rsid w:val="0009370F"/>
    <w:rsid w:val="000A067D"/>
    <w:rsid w:val="000A07AA"/>
    <w:rsid w:val="000A1430"/>
    <w:rsid w:val="000A2CE3"/>
    <w:rsid w:val="000B2662"/>
    <w:rsid w:val="000B492B"/>
    <w:rsid w:val="000B517B"/>
    <w:rsid w:val="000B6C90"/>
    <w:rsid w:val="000B7272"/>
    <w:rsid w:val="000C6174"/>
    <w:rsid w:val="000D1960"/>
    <w:rsid w:val="000D4EE3"/>
    <w:rsid w:val="000D7359"/>
    <w:rsid w:val="000E0857"/>
    <w:rsid w:val="000E29DD"/>
    <w:rsid w:val="000E7F45"/>
    <w:rsid w:val="000F3F20"/>
    <w:rsid w:val="000F5C5D"/>
    <w:rsid w:val="000F78B2"/>
    <w:rsid w:val="001035E5"/>
    <w:rsid w:val="00110D29"/>
    <w:rsid w:val="001165AD"/>
    <w:rsid w:val="00121681"/>
    <w:rsid w:val="0012363E"/>
    <w:rsid w:val="0012579D"/>
    <w:rsid w:val="00125B8E"/>
    <w:rsid w:val="00127E67"/>
    <w:rsid w:val="001337D5"/>
    <w:rsid w:val="00137219"/>
    <w:rsid w:val="00137C91"/>
    <w:rsid w:val="00141E67"/>
    <w:rsid w:val="00143FD4"/>
    <w:rsid w:val="00155E17"/>
    <w:rsid w:val="001628BA"/>
    <w:rsid w:val="00165709"/>
    <w:rsid w:val="00165C92"/>
    <w:rsid w:val="0017158B"/>
    <w:rsid w:val="00173AD4"/>
    <w:rsid w:val="001745E4"/>
    <w:rsid w:val="00177A0C"/>
    <w:rsid w:val="00186CC0"/>
    <w:rsid w:val="00193894"/>
    <w:rsid w:val="00196FB3"/>
    <w:rsid w:val="001A1D1B"/>
    <w:rsid w:val="001A3E1F"/>
    <w:rsid w:val="001A3F88"/>
    <w:rsid w:val="001A47F1"/>
    <w:rsid w:val="001B10C4"/>
    <w:rsid w:val="001B1A98"/>
    <w:rsid w:val="001B3F76"/>
    <w:rsid w:val="001C2CB5"/>
    <w:rsid w:val="001C658B"/>
    <w:rsid w:val="001C74E3"/>
    <w:rsid w:val="001C756F"/>
    <w:rsid w:val="001E4112"/>
    <w:rsid w:val="001E4545"/>
    <w:rsid w:val="001F1D1A"/>
    <w:rsid w:val="001F31A7"/>
    <w:rsid w:val="001F6B43"/>
    <w:rsid w:val="001F7812"/>
    <w:rsid w:val="001F7B65"/>
    <w:rsid w:val="00200C30"/>
    <w:rsid w:val="0020268F"/>
    <w:rsid w:val="002061DB"/>
    <w:rsid w:val="002106DE"/>
    <w:rsid w:val="00224BA4"/>
    <w:rsid w:val="002272E0"/>
    <w:rsid w:val="0023271A"/>
    <w:rsid w:val="002344BF"/>
    <w:rsid w:val="00235ECE"/>
    <w:rsid w:val="0024150C"/>
    <w:rsid w:val="002435DA"/>
    <w:rsid w:val="002451F4"/>
    <w:rsid w:val="002536C8"/>
    <w:rsid w:val="0025725C"/>
    <w:rsid w:val="00260F5B"/>
    <w:rsid w:val="002651F5"/>
    <w:rsid w:val="00266CBA"/>
    <w:rsid w:val="00271459"/>
    <w:rsid w:val="002826AD"/>
    <w:rsid w:val="002916FF"/>
    <w:rsid w:val="00294D85"/>
    <w:rsid w:val="00296B31"/>
    <w:rsid w:val="002A7C3A"/>
    <w:rsid w:val="002B4818"/>
    <w:rsid w:val="002C0226"/>
    <w:rsid w:val="002C04EF"/>
    <w:rsid w:val="002C3E16"/>
    <w:rsid w:val="002C70EF"/>
    <w:rsid w:val="002D097D"/>
    <w:rsid w:val="002D4A8D"/>
    <w:rsid w:val="002D7153"/>
    <w:rsid w:val="002D7549"/>
    <w:rsid w:val="002E55D9"/>
    <w:rsid w:val="002F12D6"/>
    <w:rsid w:val="002F7D7E"/>
    <w:rsid w:val="00306248"/>
    <w:rsid w:val="00314E61"/>
    <w:rsid w:val="00321163"/>
    <w:rsid w:val="00321CF0"/>
    <w:rsid w:val="003334AE"/>
    <w:rsid w:val="00333748"/>
    <w:rsid w:val="00340ADC"/>
    <w:rsid w:val="00341AC0"/>
    <w:rsid w:val="00341D67"/>
    <w:rsid w:val="00344D99"/>
    <w:rsid w:val="003452DC"/>
    <w:rsid w:val="00346D15"/>
    <w:rsid w:val="003478ED"/>
    <w:rsid w:val="00351EC3"/>
    <w:rsid w:val="003634ED"/>
    <w:rsid w:val="0036664E"/>
    <w:rsid w:val="00367DC2"/>
    <w:rsid w:val="00371384"/>
    <w:rsid w:val="00372219"/>
    <w:rsid w:val="003729BD"/>
    <w:rsid w:val="00391CB3"/>
    <w:rsid w:val="00393C5A"/>
    <w:rsid w:val="003970F6"/>
    <w:rsid w:val="003A2750"/>
    <w:rsid w:val="003A3E47"/>
    <w:rsid w:val="003A3FD6"/>
    <w:rsid w:val="003A485C"/>
    <w:rsid w:val="003A64C6"/>
    <w:rsid w:val="003B3EBB"/>
    <w:rsid w:val="003C6A13"/>
    <w:rsid w:val="003D280F"/>
    <w:rsid w:val="003E06F5"/>
    <w:rsid w:val="003E39C4"/>
    <w:rsid w:val="003E64FA"/>
    <w:rsid w:val="003F372D"/>
    <w:rsid w:val="003F4AEA"/>
    <w:rsid w:val="003F5C9B"/>
    <w:rsid w:val="003F6F1E"/>
    <w:rsid w:val="003F7F91"/>
    <w:rsid w:val="004037C2"/>
    <w:rsid w:val="00410780"/>
    <w:rsid w:val="0041162E"/>
    <w:rsid w:val="00417CB2"/>
    <w:rsid w:val="00424F71"/>
    <w:rsid w:val="00425651"/>
    <w:rsid w:val="00431DF2"/>
    <w:rsid w:val="00431F17"/>
    <w:rsid w:val="00447883"/>
    <w:rsid w:val="0045207C"/>
    <w:rsid w:val="00452F75"/>
    <w:rsid w:val="004547DE"/>
    <w:rsid w:val="00460357"/>
    <w:rsid w:val="00463D2E"/>
    <w:rsid w:val="00467B6A"/>
    <w:rsid w:val="00480FA6"/>
    <w:rsid w:val="004825AF"/>
    <w:rsid w:val="0049286C"/>
    <w:rsid w:val="00495D65"/>
    <w:rsid w:val="004968B6"/>
    <w:rsid w:val="004A334D"/>
    <w:rsid w:val="004B3DE2"/>
    <w:rsid w:val="004C2A12"/>
    <w:rsid w:val="004C505F"/>
    <w:rsid w:val="004D5527"/>
    <w:rsid w:val="004D599C"/>
    <w:rsid w:val="004D67C9"/>
    <w:rsid w:val="004E3889"/>
    <w:rsid w:val="004E4813"/>
    <w:rsid w:val="004E70B4"/>
    <w:rsid w:val="004F0D89"/>
    <w:rsid w:val="004F1665"/>
    <w:rsid w:val="004F3213"/>
    <w:rsid w:val="004F361E"/>
    <w:rsid w:val="004F3ADC"/>
    <w:rsid w:val="00503963"/>
    <w:rsid w:val="00507B4D"/>
    <w:rsid w:val="00536496"/>
    <w:rsid w:val="00536BB6"/>
    <w:rsid w:val="005404C8"/>
    <w:rsid w:val="00546F9B"/>
    <w:rsid w:val="00554F09"/>
    <w:rsid w:val="005608A3"/>
    <w:rsid w:val="005677FA"/>
    <w:rsid w:val="005756F0"/>
    <w:rsid w:val="00580A0E"/>
    <w:rsid w:val="00583C47"/>
    <w:rsid w:val="00593E8D"/>
    <w:rsid w:val="00594870"/>
    <w:rsid w:val="005A1BDF"/>
    <w:rsid w:val="005A2830"/>
    <w:rsid w:val="005A6DE1"/>
    <w:rsid w:val="005A773E"/>
    <w:rsid w:val="005B5213"/>
    <w:rsid w:val="005B6570"/>
    <w:rsid w:val="005B6AF5"/>
    <w:rsid w:val="005C4AEB"/>
    <w:rsid w:val="005D0BB8"/>
    <w:rsid w:val="005D5350"/>
    <w:rsid w:val="005E2FEC"/>
    <w:rsid w:val="005E341D"/>
    <w:rsid w:val="005E5CB7"/>
    <w:rsid w:val="005F126F"/>
    <w:rsid w:val="005F7B55"/>
    <w:rsid w:val="00601FDE"/>
    <w:rsid w:val="00603AE1"/>
    <w:rsid w:val="00605273"/>
    <w:rsid w:val="00610988"/>
    <w:rsid w:val="006125AE"/>
    <w:rsid w:val="006142F5"/>
    <w:rsid w:val="006146F5"/>
    <w:rsid w:val="00614855"/>
    <w:rsid w:val="00634FEC"/>
    <w:rsid w:val="006439DF"/>
    <w:rsid w:val="0064682B"/>
    <w:rsid w:val="00652E77"/>
    <w:rsid w:val="00655791"/>
    <w:rsid w:val="00673F07"/>
    <w:rsid w:val="00677C85"/>
    <w:rsid w:val="0068681C"/>
    <w:rsid w:val="006957EF"/>
    <w:rsid w:val="006970C1"/>
    <w:rsid w:val="006A1DDC"/>
    <w:rsid w:val="006A4F3A"/>
    <w:rsid w:val="006A590C"/>
    <w:rsid w:val="006B0239"/>
    <w:rsid w:val="006C42CB"/>
    <w:rsid w:val="006C4C8D"/>
    <w:rsid w:val="006D1B88"/>
    <w:rsid w:val="006D52F6"/>
    <w:rsid w:val="006D57F1"/>
    <w:rsid w:val="006D583E"/>
    <w:rsid w:val="006D6D41"/>
    <w:rsid w:val="006E2E3F"/>
    <w:rsid w:val="006E5EA2"/>
    <w:rsid w:val="006E6383"/>
    <w:rsid w:val="006E7F80"/>
    <w:rsid w:val="006F03C5"/>
    <w:rsid w:val="006F61D9"/>
    <w:rsid w:val="006F6A8C"/>
    <w:rsid w:val="00705E85"/>
    <w:rsid w:val="007068EC"/>
    <w:rsid w:val="00710FD8"/>
    <w:rsid w:val="0071189A"/>
    <w:rsid w:val="00713D61"/>
    <w:rsid w:val="0072171F"/>
    <w:rsid w:val="00727EA5"/>
    <w:rsid w:val="00730417"/>
    <w:rsid w:val="0073420B"/>
    <w:rsid w:val="00734A5A"/>
    <w:rsid w:val="00735B85"/>
    <w:rsid w:val="00752418"/>
    <w:rsid w:val="00754647"/>
    <w:rsid w:val="00754A73"/>
    <w:rsid w:val="00755ACF"/>
    <w:rsid w:val="00760E24"/>
    <w:rsid w:val="007656AA"/>
    <w:rsid w:val="00765DEB"/>
    <w:rsid w:val="0076778B"/>
    <w:rsid w:val="007776DD"/>
    <w:rsid w:val="007964B4"/>
    <w:rsid w:val="007A0A1E"/>
    <w:rsid w:val="007A1E36"/>
    <w:rsid w:val="007A1FB0"/>
    <w:rsid w:val="007A364E"/>
    <w:rsid w:val="007A6C1D"/>
    <w:rsid w:val="007A6E91"/>
    <w:rsid w:val="007B2082"/>
    <w:rsid w:val="007B2D7E"/>
    <w:rsid w:val="007B52B4"/>
    <w:rsid w:val="007C1C6E"/>
    <w:rsid w:val="007C3307"/>
    <w:rsid w:val="007C53CF"/>
    <w:rsid w:val="007D11B1"/>
    <w:rsid w:val="007D2F75"/>
    <w:rsid w:val="007D4183"/>
    <w:rsid w:val="007D6661"/>
    <w:rsid w:val="007E114F"/>
    <w:rsid w:val="007E1300"/>
    <w:rsid w:val="007E4065"/>
    <w:rsid w:val="007E5B21"/>
    <w:rsid w:val="007E7AAD"/>
    <w:rsid w:val="007F4EE7"/>
    <w:rsid w:val="00805407"/>
    <w:rsid w:val="00813551"/>
    <w:rsid w:val="008175C4"/>
    <w:rsid w:val="00832D6A"/>
    <w:rsid w:val="0083485E"/>
    <w:rsid w:val="00843AF9"/>
    <w:rsid w:val="00854C44"/>
    <w:rsid w:val="0086480C"/>
    <w:rsid w:val="00865D94"/>
    <w:rsid w:val="00873D8A"/>
    <w:rsid w:val="00873ECD"/>
    <w:rsid w:val="00874976"/>
    <w:rsid w:val="008777F0"/>
    <w:rsid w:val="008901A8"/>
    <w:rsid w:val="008938CB"/>
    <w:rsid w:val="008A19F0"/>
    <w:rsid w:val="008A63DC"/>
    <w:rsid w:val="008A7E5D"/>
    <w:rsid w:val="008B4A28"/>
    <w:rsid w:val="008B5B11"/>
    <w:rsid w:val="008C0D31"/>
    <w:rsid w:val="008C0FAF"/>
    <w:rsid w:val="008C4F7C"/>
    <w:rsid w:val="008D1704"/>
    <w:rsid w:val="008D1F19"/>
    <w:rsid w:val="008E0938"/>
    <w:rsid w:val="008E1AA9"/>
    <w:rsid w:val="008E6781"/>
    <w:rsid w:val="008F5C99"/>
    <w:rsid w:val="0090265B"/>
    <w:rsid w:val="009176A0"/>
    <w:rsid w:val="00922966"/>
    <w:rsid w:val="00923CC2"/>
    <w:rsid w:val="0092641A"/>
    <w:rsid w:val="00940F81"/>
    <w:rsid w:val="009428BB"/>
    <w:rsid w:val="00943116"/>
    <w:rsid w:val="00944321"/>
    <w:rsid w:val="0094560D"/>
    <w:rsid w:val="009459F5"/>
    <w:rsid w:val="00947165"/>
    <w:rsid w:val="00950F27"/>
    <w:rsid w:val="00951D92"/>
    <w:rsid w:val="0096185D"/>
    <w:rsid w:val="009619EC"/>
    <w:rsid w:val="009637BE"/>
    <w:rsid w:val="00966F5C"/>
    <w:rsid w:val="00980152"/>
    <w:rsid w:val="00983BC7"/>
    <w:rsid w:val="00991687"/>
    <w:rsid w:val="0099295D"/>
    <w:rsid w:val="0099773E"/>
    <w:rsid w:val="009A1CC9"/>
    <w:rsid w:val="009A63F4"/>
    <w:rsid w:val="009B4BAB"/>
    <w:rsid w:val="009B7783"/>
    <w:rsid w:val="009C6CBF"/>
    <w:rsid w:val="009C7223"/>
    <w:rsid w:val="009E4620"/>
    <w:rsid w:val="009F68B3"/>
    <w:rsid w:val="00A02D57"/>
    <w:rsid w:val="00A02F3C"/>
    <w:rsid w:val="00A03538"/>
    <w:rsid w:val="00A13D7B"/>
    <w:rsid w:val="00A23B2F"/>
    <w:rsid w:val="00A24A01"/>
    <w:rsid w:val="00A25687"/>
    <w:rsid w:val="00A319E3"/>
    <w:rsid w:val="00A4064C"/>
    <w:rsid w:val="00A419C0"/>
    <w:rsid w:val="00A42DAE"/>
    <w:rsid w:val="00A430BA"/>
    <w:rsid w:val="00A471D9"/>
    <w:rsid w:val="00A4757B"/>
    <w:rsid w:val="00A524A1"/>
    <w:rsid w:val="00A53C8D"/>
    <w:rsid w:val="00A54FB3"/>
    <w:rsid w:val="00A57816"/>
    <w:rsid w:val="00A638AD"/>
    <w:rsid w:val="00A75B92"/>
    <w:rsid w:val="00A77251"/>
    <w:rsid w:val="00A80CF2"/>
    <w:rsid w:val="00A82734"/>
    <w:rsid w:val="00A867E7"/>
    <w:rsid w:val="00A94537"/>
    <w:rsid w:val="00AA0A72"/>
    <w:rsid w:val="00AA14F9"/>
    <w:rsid w:val="00AB584A"/>
    <w:rsid w:val="00AB7857"/>
    <w:rsid w:val="00AC0149"/>
    <w:rsid w:val="00AC2ECF"/>
    <w:rsid w:val="00AD1DF9"/>
    <w:rsid w:val="00AD42FA"/>
    <w:rsid w:val="00AD5717"/>
    <w:rsid w:val="00AD5BEA"/>
    <w:rsid w:val="00AE512F"/>
    <w:rsid w:val="00AE72C1"/>
    <w:rsid w:val="00B014F7"/>
    <w:rsid w:val="00B01705"/>
    <w:rsid w:val="00B01F72"/>
    <w:rsid w:val="00B031A1"/>
    <w:rsid w:val="00B035AF"/>
    <w:rsid w:val="00B07F95"/>
    <w:rsid w:val="00B1338C"/>
    <w:rsid w:val="00B15B5C"/>
    <w:rsid w:val="00B24A03"/>
    <w:rsid w:val="00B30818"/>
    <w:rsid w:val="00B347F9"/>
    <w:rsid w:val="00B537E6"/>
    <w:rsid w:val="00B663FF"/>
    <w:rsid w:val="00B667E2"/>
    <w:rsid w:val="00B73445"/>
    <w:rsid w:val="00B80DD1"/>
    <w:rsid w:val="00B82BD6"/>
    <w:rsid w:val="00B85B72"/>
    <w:rsid w:val="00B860AB"/>
    <w:rsid w:val="00B951AE"/>
    <w:rsid w:val="00BA0E2D"/>
    <w:rsid w:val="00BA1E09"/>
    <w:rsid w:val="00BA32D7"/>
    <w:rsid w:val="00BA3A77"/>
    <w:rsid w:val="00BB5ACE"/>
    <w:rsid w:val="00BB695F"/>
    <w:rsid w:val="00BB7A92"/>
    <w:rsid w:val="00BC1CF0"/>
    <w:rsid w:val="00BC36BB"/>
    <w:rsid w:val="00BC46EC"/>
    <w:rsid w:val="00BD36C7"/>
    <w:rsid w:val="00BD3DDD"/>
    <w:rsid w:val="00BD74F7"/>
    <w:rsid w:val="00BD755D"/>
    <w:rsid w:val="00BE3DC4"/>
    <w:rsid w:val="00BE5125"/>
    <w:rsid w:val="00C01CA7"/>
    <w:rsid w:val="00C02657"/>
    <w:rsid w:val="00C0288B"/>
    <w:rsid w:val="00C07631"/>
    <w:rsid w:val="00C10BAE"/>
    <w:rsid w:val="00C1621C"/>
    <w:rsid w:val="00C205CA"/>
    <w:rsid w:val="00C20F55"/>
    <w:rsid w:val="00C210A2"/>
    <w:rsid w:val="00C22FD9"/>
    <w:rsid w:val="00C25BCC"/>
    <w:rsid w:val="00C313B9"/>
    <w:rsid w:val="00C34348"/>
    <w:rsid w:val="00C34520"/>
    <w:rsid w:val="00C37F65"/>
    <w:rsid w:val="00C431AD"/>
    <w:rsid w:val="00C43FDF"/>
    <w:rsid w:val="00C44743"/>
    <w:rsid w:val="00C449A0"/>
    <w:rsid w:val="00C4722B"/>
    <w:rsid w:val="00C47932"/>
    <w:rsid w:val="00C502C5"/>
    <w:rsid w:val="00C564CA"/>
    <w:rsid w:val="00C573C2"/>
    <w:rsid w:val="00C6159C"/>
    <w:rsid w:val="00C6590C"/>
    <w:rsid w:val="00C70325"/>
    <w:rsid w:val="00C73E59"/>
    <w:rsid w:val="00C75819"/>
    <w:rsid w:val="00C82C30"/>
    <w:rsid w:val="00C83045"/>
    <w:rsid w:val="00C833DA"/>
    <w:rsid w:val="00C83734"/>
    <w:rsid w:val="00C84BA3"/>
    <w:rsid w:val="00C91F82"/>
    <w:rsid w:val="00C944D0"/>
    <w:rsid w:val="00C96787"/>
    <w:rsid w:val="00CA02EC"/>
    <w:rsid w:val="00CA2257"/>
    <w:rsid w:val="00CA6249"/>
    <w:rsid w:val="00CA71BF"/>
    <w:rsid w:val="00CB0997"/>
    <w:rsid w:val="00CB3C81"/>
    <w:rsid w:val="00CC5F59"/>
    <w:rsid w:val="00CE0AC3"/>
    <w:rsid w:val="00CE3138"/>
    <w:rsid w:val="00CE3473"/>
    <w:rsid w:val="00CE39DF"/>
    <w:rsid w:val="00CE3EAB"/>
    <w:rsid w:val="00CE6909"/>
    <w:rsid w:val="00CE7120"/>
    <w:rsid w:val="00CF056C"/>
    <w:rsid w:val="00CF4818"/>
    <w:rsid w:val="00D00EAF"/>
    <w:rsid w:val="00D014CA"/>
    <w:rsid w:val="00D04202"/>
    <w:rsid w:val="00D05074"/>
    <w:rsid w:val="00D10BAE"/>
    <w:rsid w:val="00D13390"/>
    <w:rsid w:val="00D2085E"/>
    <w:rsid w:val="00D21944"/>
    <w:rsid w:val="00D2508A"/>
    <w:rsid w:val="00D353DB"/>
    <w:rsid w:val="00D377AB"/>
    <w:rsid w:val="00D378D4"/>
    <w:rsid w:val="00D412B5"/>
    <w:rsid w:val="00D42723"/>
    <w:rsid w:val="00D47508"/>
    <w:rsid w:val="00D50B07"/>
    <w:rsid w:val="00D54F8C"/>
    <w:rsid w:val="00D57E69"/>
    <w:rsid w:val="00D661C7"/>
    <w:rsid w:val="00D67166"/>
    <w:rsid w:val="00D700D2"/>
    <w:rsid w:val="00D74792"/>
    <w:rsid w:val="00D74B4F"/>
    <w:rsid w:val="00D84139"/>
    <w:rsid w:val="00D841FD"/>
    <w:rsid w:val="00D85E39"/>
    <w:rsid w:val="00DA4C21"/>
    <w:rsid w:val="00DB0F62"/>
    <w:rsid w:val="00DB26F4"/>
    <w:rsid w:val="00DB3BDE"/>
    <w:rsid w:val="00DB7A13"/>
    <w:rsid w:val="00DC2D5A"/>
    <w:rsid w:val="00DC32BB"/>
    <w:rsid w:val="00DC34FF"/>
    <w:rsid w:val="00DC44C0"/>
    <w:rsid w:val="00DD2743"/>
    <w:rsid w:val="00DD5190"/>
    <w:rsid w:val="00DE4BD5"/>
    <w:rsid w:val="00DE513F"/>
    <w:rsid w:val="00DE6C13"/>
    <w:rsid w:val="00DE7673"/>
    <w:rsid w:val="00DF15D3"/>
    <w:rsid w:val="00E066CD"/>
    <w:rsid w:val="00E110A3"/>
    <w:rsid w:val="00E11FAA"/>
    <w:rsid w:val="00E203BC"/>
    <w:rsid w:val="00E2147F"/>
    <w:rsid w:val="00E3234E"/>
    <w:rsid w:val="00E45C7B"/>
    <w:rsid w:val="00E563E2"/>
    <w:rsid w:val="00E72407"/>
    <w:rsid w:val="00E81C62"/>
    <w:rsid w:val="00E823BE"/>
    <w:rsid w:val="00E90D63"/>
    <w:rsid w:val="00E970BB"/>
    <w:rsid w:val="00E9745C"/>
    <w:rsid w:val="00E974C0"/>
    <w:rsid w:val="00EA2CF5"/>
    <w:rsid w:val="00EA753D"/>
    <w:rsid w:val="00EB2F63"/>
    <w:rsid w:val="00EB5667"/>
    <w:rsid w:val="00EC111A"/>
    <w:rsid w:val="00EC338A"/>
    <w:rsid w:val="00EE24C4"/>
    <w:rsid w:val="00EE3733"/>
    <w:rsid w:val="00EE40D7"/>
    <w:rsid w:val="00EE7D98"/>
    <w:rsid w:val="00EF0C46"/>
    <w:rsid w:val="00F01DC6"/>
    <w:rsid w:val="00F025DC"/>
    <w:rsid w:val="00F05D18"/>
    <w:rsid w:val="00F06484"/>
    <w:rsid w:val="00F15E31"/>
    <w:rsid w:val="00F20706"/>
    <w:rsid w:val="00F2104C"/>
    <w:rsid w:val="00F266AC"/>
    <w:rsid w:val="00F33F94"/>
    <w:rsid w:val="00F3465F"/>
    <w:rsid w:val="00F3645B"/>
    <w:rsid w:val="00F3793D"/>
    <w:rsid w:val="00F40893"/>
    <w:rsid w:val="00F47887"/>
    <w:rsid w:val="00F51511"/>
    <w:rsid w:val="00F5474A"/>
    <w:rsid w:val="00F56F44"/>
    <w:rsid w:val="00F66AE1"/>
    <w:rsid w:val="00F71481"/>
    <w:rsid w:val="00F7435D"/>
    <w:rsid w:val="00F80278"/>
    <w:rsid w:val="00F80A57"/>
    <w:rsid w:val="00F81517"/>
    <w:rsid w:val="00F83F7C"/>
    <w:rsid w:val="00FB0DBA"/>
    <w:rsid w:val="00FC377A"/>
    <w:rsid w:val="00FC5305"/>
    <w:rsid w:val="00FD28DD"/>
    <w:rsid w:val="00FE0852"/>
    <w:rsid w:val="00FE2DBC"/>
    <w:rsid w:val="00FE42A5"/>
    <w:rsid w:val="00FE42BB"/>
    <w:rsid w:val="00FF28F7"/>
    <w:rsid w:val="00FF64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39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annotation text" w:uiPriority="99"/>
    <w:lsdException w:name="annotation reference" w:uiPriority="99"/>
    <w:lsdException w:name="Default Paragraph Font" w:uiPriority="1"/>
    <w:lsdException w:name="Emphasis" w:qFormat="1"/>
    <w:lsdException w:name="Normal (Web)" w:uiPriority="99"/>
    <w:lsdException w:name="No List" w:uiPriority="99"/>
    <w:lsdException w:name="List Paragraph" w:uiPriority="34"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36C7"/>
    <w:rPr>
      <w:rFonts w:ascii="Tahoma" w:hAnsi="Tahoma" w:cs="Tahoma"/>
      <w:sz w:val="16"/>
      <w:szCs w:val="16"/>
    </w:rPr>
  </w:style>
  <w:style w:type="character" w:customStyle="1" w:styleId="BalloonTextChar">
    <w:name w:val="Balloon Text Char"/>
    <w:link w:val="BalloonText"/>
    <w:rsid w:val="00BD36C7"/>
    <w:rPr>
      <w:rFonts w:ascii="Tahoma" w:hAnsi="Tahoma" w:cs="Tahoma"/>
      <w:sz w:val="16"/>
      <w:szCs w:val="16"/>
    </w:rPr>
  </w:style>
  <w:style w:type="character" w:styleId="CommentReference">
    <w:name w:val="annotation reference"/>
    <w:uiPriority w:val="99"/>
    <w:rsid w:val="00BD36C7"/>
    <w:rPr>
      <w:sz w:val="16"/>
      <w:szCs w:val="16"/>
    </w:rPr>
  </w:style>
  <w:style w:type="paragraph" w:styleId="CommentText">
    <w:name w:val="annotation text"/>
    <w:basedOn w:val="Normal"/>
    <w:link w:val="CommentTextChar"/>
    <w:uiPriority w:val="99"/>
    <w:rsid w:val="00BD36C7"/>
    <w:rPr>
      <w:sz w:val="20"/>
      <w:szCs w:val="20"/>
    </w:rPr>
  </w:style>
  <w:style w:type="character" w:customStyle="1" w:styleId="CommentTextChar">
    <w:name w:val="Comment Text Char"/>
    <w:link w:val="CommentText"/>
    <w:uiPriority w:val="99"/>
    <w:rsid w:val="00BD36C7"/>
    <w:rPr>
      <w:sz w:val="20"/>
      <w:szCs w:val="20"/>
    </w:rPr>
  </w:style>
  <w:style w:type="paragraph" w:styleId="CommentSubject">
    <w:name w:val="annotation subject"/>
    <w:basedOn w:val="CommentText"/>
    <w:next w:val="CommentText"/>
    <w:link w:val="CommentSubjectChar"/>
    <w:rsid w:val="00BD36C7"/>
    <w:rPr>
      <w:b/>
      <w:bCs/>
    </w:rPr>
  </w:style>
  <w:style w:type="character" w:customStyle="1" w:styleId="CommentSubjectChar">
    <w:name w:val="Comment Subject Char"/>
    <w:link w:val="CommentSubject"/>
    <w:rsid w:val="00BD36C7"/>
    <w:rPr>
      <w:b/>
      <w:bCs/>
      <w:sz w:val="20"/>
      <w:szCs w:val="20"/>
    </w:rPr>
  </w:style>
  <w:style w:type="paragraph" w:styleId="Revision">
    <w:name w:val="Revision"/>
    <w:hidden/>
    <w:rsid w:val="007068EC"/>
    <w:rPr>
      <w:sz w:val="24"/>
      <w:szCs w:val="24"/>
      <w:lang w:eastAsia="ja-JP"/>
    </w:rPr>
  </w:style>
  <w:style w:type="character" w:styleId="Hyperlink">
    <w:name w:val="Hyperlink"/>
    <w:rsid w:val="006439DF"/>
    <w:rPr>
      <w:color w:val="0000FF"/>
      <w:u w:val="single"/>
    </w:rPr>
  </w:style>
  <w:style w:type="table" w:styleId="TableGrid">
    <w:name w:val="Table Grid"/>
    <w:basedOn w:val="TableNormal"/>
    <w:rsid w:val="0050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
    <w:name w:val="Colorful Shading"/>
    <w:basedOn w:val="TableNormal"/>
    <w:rsid w:val="0094560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Grid">
    <w:name w:val="Light Grid"/>
    <w:basedOn w:val="TableNormal"/>
    <w:rsid w:val="0094560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rsid w:val="00EE24C4"/>
    <w:pPr>
      <w:spacing w:beforeLines="1" w:afterLines="1"/>
    </w:pPr>
    <w:rPr>
      <w:rFonts w:ascii="Times" w:hAnsi="Times"/>
      <w:sz w:val="20"/>
      <w:szCs w:val="20"/>
      <w:lang w:eastAsia="en-US"/>
    </w:rPr>
  </w:style>
  <w:style w:type="paragraph" w:styleId="ListParagraph">
    <w:name w:val="List Paragraph"/>
    <w:basedOn w:val="Normal"/>
    <w:uiPriority w:val="34"/>
    <w:qFormat/>
    <w:rsid w:val="00AE72C1"/>
    <w:pPr>
      <w:widowControl w:val="0"/>
      <w:ind w:firstLineChars="200" w:firstLine="420"/>
      <w:jc w:val="both"/>
    </w:pPr>
    <w:rPr>
      <w:rFonts w:asciiTheme="minorHAnsi" w:eastAsiaTheme="minorEastAsia" w:hAnsiTheme="minorHAnsi" w:cstheme="minorBidi"/>
      <w:kern w:val="2"/>
      <w:sz w:val="21"/>
      <w:szCs w:val="22"/>
      <w:lang w:eastAsia="zh-CN"/>
    </w:rPr>
  </w:style>
  <w:style w:type="table" w:styleId="ColorfulGrid-Accent1">
    <w:name w:val="Colorful Grid Accent 1"/>
    <w:basedOn w:val="TableNormal"/>
    <w:rsid w:val="005B52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
    <w:name w:val="Colorful Grid"/>
    <w:basedOn w:val="TableNormal"/>
    <w:rsid w:val="005B52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6142F5"/>
  </w:style>
  <w:style w:type="paragraph" w:styleId="Header">
    <w:name w:val="header"/>
    <w:basedOn w:val="Normal"/>
    <w:link w:val="HeaderChar"/>
    <w:rsid w:val="00832D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2D6A"/>
    <w:rPr>
      <w:sz w:val="18"/>
      <w:szCs w:val="18"/>
      <w:lang w:eastAsia="ja-JP"/>
    </w:rPr>
  </w:style>
  <w:style w:type="paragraph" w:styleId="Footer">
    <w:name w:val="footer"/>
    <w:basedOn w:val="Normal"/>
    <w:link w:val="FooterChar"/>
    <w:rsid w:val="00832D6A"/>
    <w:pPr>
      <w:tabs>
        <w:tab w:val="center" w:pos="4153"/>
        <w:tab w:val="right" w:pos="8306"/>
      </w:tabs>
      <w:snapToGrid w:val="0"/>
    </w:pPr>
    <w:rPr>
      <w:sz w:val="18"/>
      <w:szCs w:val="18"/>
    </w:rPr>
  </w:style>
  <w:style w:type="character" w:customStyle="1" w:styleId="FooterChar">
    <w:name w:val="Footer Char"/>
    <w:basedOn w:val="DefaultParagraphFont"/>
    <w:link w:val="Footer"/>
    <w:rsid w:val="00832D6A"/>
    <w:rPr>
      <w:sz w:val="18"/>
      <w:szCs w:val="18"/>
      <w:lang w:eastAsia="ja-JP"/>
    </w:rPr>
  </w:style>
  <w:style w:type="character" w:styleId="Emphasis">
    <w:name w:val="Emphasis"/>
    <w:qFormat/>
    <w:rsid w:val="0003725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Normal" w:qFormat="1"/>
    <w:lsdException w:name="annotation text" w:uiPriority="99"/>
    <w:lsdException w:name="annotation reference" w:uiPriority="99"/>
    <w:lsdException w:name="Default Paragraph Font" w:uiPriority="1"/>
    <w:lsdException w:name="Emphasis" w:qFormat="1"/>
    <w:lsdException w:name="Normal (Web)" w:uiPriority="99"/>
    <w:lsdException w:name="No List" w:uiPriority="99"/>
    <w:lsdException w:name="List Paragraph" w:uiPriority="34"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36C7"/>
    <w:rPr>
      <w:rFonts w:ascii="Tahoma" w:hAnsi="Tahoma" w:cs="Tahoma"/>
      <w:sz w:val="16"/>
      <w:szCs w:val="16"/>
    </w:rPr>
  </w:style>
  <w:style w:type="character" w:customStyle="1" w:styleId="BalloonTextChar">
    <w:name w:val="Balloon Text Char"/>
    <w:link w:val="BalloonText"/>
    <w:rsid w:val="00BD36C7"/>
    <w:rPr>
      <w:rFonts w:ascii="Tahoma" w:hAnsi="Tahoma" w:cs="Tahoma"/>
      <w:sz w:val="16"/>
      <w:szCs w:val="16"/>
    </w:rPr>
  </w:style>
  <w:style w:type="character" w:styleId="CommentReference">
    <w:name w:val="annotation reference"/>
    <w:uiPriority w:val="99"/>
    <w:rsid w:val="00BD36C7"/>
    <w:rPr>
      <w:sz w:val="16"/>
      <w:szCs w:val="16"/>
    </w:rPr>
  </w:style>
  <w:style w:type="paragraph" w:styleId="CommentText">
    <w:name w:val="annotation text"/>
    <w:basedOn w:val="Normal"/>
    <w:link w:val="CommentTextChar"/>
    <w:uiPriority w:val="99"/>
    <w:rsid w:val="00BD36C7"/>
    <w:rPr>
      <w:sz w:val="20"/>
      <w:szCs w:val="20"/>
    </w:rPr>
  </w:style>
  <w:style w:type="character" w:customStyle="1" w:styleId="CommentTextChar">
    <w:name w:val="Comment Text Char"/>
    <w:link w:val="CommentText"/>
    <w:uiPriority w:val="99"/>
    <w:rsid w:val="00BD36C7"/>
    <w:rPr>
      <w:sz w:val="20"/>
      <w:szCs w:val="20"/>
    </w:rPr>
  </w:style>
  <w:style w:type="paragraph" w:styleId="CommentSubject">
    <w:name w:val="annotation subject"/>
    <w:basedOn w:val="CommentText"/>
    <w:next w:val="CommentText"/>
    <w:link w:val="CommentSubjectChar"/>
    <w:rsid w:val="00BD36C7"/>
    <w:rPr>
      <w:b/>
      <w:bCs/>
    </w:rPr>
  </w:style>
  <w:style w:type="character" w:customStyle="1" w:styleId="CommentSubjectChar">
    <w:name w:val="Comment Subject Char"/>
    <w:link w:val="CommentSubject"/>
    <w:rsid w:val="00BD36C7"/>
    <w:rPr>
      <w:b/>
      <w:bCs/>
      <w:sz w:val="20"/>
      <w:szCs w:val="20"/>
    </w:rPr>
  </w:style>
  <w:style w:type="paragraph" w:styleId="Revision">
    <w:name w:val="Revision"/>
    <w:hidden/>
    <w:rsid w:val="007068EC"/>
    <w:rPr>
      <w:sz w:val="24"/>
      <w:szCs w:val="24"/>
      <w:lang w:eastAsia="ja-JP"/>
    </w:rPr>
  </w:style>
  <w:style w:type="character" w:styleId="Hyperlink">
    <w:name w:val="Hyperlink"/>
    <w:rsid w:val="006439DF"/>
    <w:rPr>
      <w:color w:val="0000FF"/>
      <w:u w:val="single"/>
    </w:rPr>
  </w:style>
  <w:style w:type="table" w:styleId="TableGrid">
    <w:name w:val="Table Grid"/>
    <w:basedOn w:val="TableNormal"/>
    <w:rsid w:val="0050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
    <w:name w:val="Colorful Shading"/>
    <w:basedOn w:val="TableNormal"/>
    <w:rsid w:val="0094560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ghtGrid">
    <w:name w:val="Light Grid"/>
    <w:basedOn w:val="TableNormal"/>
    <w:rsid w:val="0094560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rsid w:val="00EE24C4"/>
    <w:pPr>
      <w:spacing w:beforeLines="1" w:afterLines="1"/>
    </w:pPr>
    <w:rPr>
      <w:rFonts w:ascii="Times" w:hAnsi="Times"/>
      <w:sz w:val="20"/>
      <w:szCs w:val="20"/>
      <w:lang w:eastAsia="en-US"/>
    </w:rPr>
  </w:style>
  <w:style w:type="paragraph" w:styleId="ListParagraph">
    <w:name w:val="List Paragraph"/>
    <w:basedOn w:val="Normal"/>
    <w:uiPriority w:val="34"/>
    <w:qFormat/>
    <w:rsid w:val="00AE72C1"/>
    <w:pPr>
      <w:widowControl w:val="0"/>
      <w:ind w:firstLineChars="200" w:firstLine="420"/>
      <w:jc w:val="both"/>
    </w:pPr>
    <w:rPr>
      <w:rFonts w:asciiTheme="minorHAnsi" w:eastAsiaTheme="minorEastAsia" w:hAnsiTheme="minorHAnsi" w:cstheme="minorBidi"/>
      <w:kern w:val="2"/>
      <w:sz w:val="21"/>
      <w:szCs w:val="22"/>
      <w:lang w:eastAsia="zh-CN"/>
    </w:rPr>
  </w:style>
  <w:style w:type="table" w:styleId="ColorfulGrid-Accent1">
    <w:name w:val="Colorful Grid Accent 1"/>
    <w:basedOn w:val="TableNormal"/>
    <w:rsid w:val="005B52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
    <w:name w:val="Colorful Grid"/>
    <w:basedOn w:val="TableNormal"/>
    <w:rsid w:val="005B521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apple-converted-space">
    <w:name w:val="apple-converted-space"/>
    <w:basedOn w:val="DefaultParagraphFont"/>
    <w:rsid w:val="006142F5"/>
  </w:style>
  <w:style w:type="paragraph" w:styleId="Header">
    <w:name w:val="header"/>
    <w:basedOn w:val="Normal"/>
    <w:link w:val="HeaderChar"/>
    <w:rsid w:val="00832D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2D6A"/>
    <w:rPr>
      <w:sz w:val="18"/>
      <w:szCs w:val="18"/>
      <w:lang w:eastAsia="ja-JP"/>
    </w:rPr>
  </w:style>
  <w:style w:type="paragraph" w:styleId="Footer">
    <w:name w:val="footer"/>
    <w:basedOn w:val="Normal"/>
    <w:link w:val="FooterChar"/>
    <w:rsid w:val="00832D6A"/>
    <w:pPr>
      <w:tabs>
        <w:tab w:val="center" w:pos="4153"/>
        <w:tab w:val="right" w:pos="8306"/>
      </w:tabs>
      <w:snapToGrid w:val="0"/>
    </w:pPr>
    <w:rPr>
      <w:sz w:val="18"/>
      <w:szCs w:val="18"/>
    </w:rPr>
  </w:style>
  <w:style w:type="character" w:customStyle="1" w:styleId="FooterChar">
    <w:name w:val="Footer Char"/>
    <w:basedOn w:val="DefaultParagraphFont"/>
    <w:link w:val="Footer"/>
    <w:rsid w:val="00832D6A"/>
    <w:rPr>
      <w:sz w:val="18"/>
      <w:szCs w:val="18"/>
      <w:lang w:eastAsia="ja-JP"/>
    </w:rPr>
  </w:style>
  <w:style w:type="character" w:styleId="Emphasis">
    <w:name w:val="Emphasis"/>
    <w:qFormat/>
    <w:rsid w:val="0003725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264076">
      <w:bodyDiv w:val="1"/>
      <w:marLeft w:val="0"/>
      <w:marRight w:val="0"/>
      <w:marTop w:val="0"/>
      <w:marBottom w:val="0"/>
      <w:divBdr>
        <w:top w:val="none" w:sz="0" w:space="0" w:color="auto"/>
        <w:left w:val="none" w:sz="0" w:space="0" w:color="auto"/>
        <w:bottom w:val="none" w:sz="0" w:space="0" w:color="auto"/>
        <w:right w:val="none" w:sz="0" w:space="0" w:color="auto"/>
      </w:divBdr>
    </w:div>
    <w:div w:id="1213535938">
      <w:bodyDiv w:val="1"/>
      <w:marLeft w:val="0"/>
      <w:marRight w:val="0"/>
      <w:marTop w:val="0"/>
      <w:marBottom w:val="0"/>
      <w:divBdr>
        <w:top w:val="none" w:sz="0" w:space="0" w:color="auto"/>
        <w:left w:val="none" w:sz="0" w:space="0" w:color="auto"/>
        <w:bottom w:val="none" w:sz="0" w:space="0" w:color="auto"/>
        <w:right w:val="none" w:sz="0" w:space="0" w:color="auto"/>
      </w:divBdr>
    </w:div>
    <w:div w:id="1287656492">
      <w:bodyDiv w:val="1"/>
      <w:marLeft w:val="0"/>
      <w:marRight w:val="0"/>
      <w:marTop w:val="0"/>
      <w:marBottom w:val="0"/>
      <w:divBdr>
        <w:top w:val="none" w:sz="0" w:space="0" w:color="auto"/>
        <w:left w:val="none" w:sz="0" w:space="0" w:color="auto"/>
        <w:bottom w:val="none" w:sz="0" w:space="0" w:color="auto"/>
        <w:right w:val="none" w:sz="0" w:space="0" w:color="auto"/>
      </w:divBdr>
    </w:div>
    <w:div w:id="1687321571">
      <w:bodyDiv w:val="1"/>
      <w:marLeft w:val="0"/>
      <w:marRight w:val="0"/>
      <w:marTop w:val="0"/>
      <w:marBottom w:val="0"/>
      <w:divBdr>
        <w:top w:val="none" w:sz="0" w:space="0" w:color="auto"/>
        <w:left w:val="none" w:sz="0" w:space="0" w:color="auto"/>
        <w:bottom w:val="none" w:sz="0" w:space="0" w:color="auto"/>
        <w:right w:val="none" w:sz="0" w:space="0" w:color="auto"/>
      </w:divBdr>
    </w:div>
    <w:div w:id="1702633872">
      <w:bodyDiv w:val="1"/>
      <w:marLeft w:val="0"/>
      <w:marRight w:val="0"/>
      <w:marTop w:val="0"/>
      <w:marBottom w:val="0"/>
      <w:divBdr>
        <w:top w:val="none" w:sz="0" w:space="0" w:color="auto"/>
        <w:left w:val="none" w:sz="0" w:space="0" w:color="auto"/>
        <w:bottom w:val="none" w:sz="0" w:space="0" w:color="auto"/>
        <w:right w:val="none" w:sz="0" w:space="0" w:color="auto"/>
      </w:divBdr>
      <w:divsChild>
        <w:div w:id="1619217471">
          <w:marLeft w:val="0"/>
          <w:marRight w:val="0"/>
          <w:marTop w:val="0"/>
          <w:marBottom w:val="0"/>
          <w:divBdr>
            <w:top w:val="none" w:sz="0" w:space="0" w:color="auto"/>
            <w:left w:val="none" w:sz="0" w:space="0" w:color="auto"/>
            <w:bottom w:val="none" w:sz="0" w:space="0" w:color="auto"/>
            <w:right w:val="none" w:sz="0" w:space="0" w:color="auto"/>
          </w:divBdr>
          <w:divsChild>
            <w:div w:id="1085759540">
              <w:marLeft w:val="0"/>
              <w:marRight w:val="0"/>
              <w:marTop w:val="0"/>
              <w:marBottom w:val="0"/>
              <w:divBdr>
                <w:top w:val="none" w:sz="0" w:space="0" w:color="auto"/>
                <w:left w:val="none" w:sz="0" w:space="0" w:color="auto"/>
                <w:bottom w:val="none" w:sz="0" w:space="0" w:color="auto"/>
                <w:right w:val="none" w:sz="0" w:space="0" w:color="auto"/>
              </w:divBdr>
            </w:div>
            <w:div w:id="1159804547">
              <w:marLeft w:val="0"/>
              <w:marRight w:val="0"/>
              <w:marTop w:val="0"/>
              <w:marBottom w:val="0"/>
              <w:divBdr>
                <w:top w:val="none" w:sz="0" w:space="0" w:color="auto"/>
                <w:left w:val="none" w:sz="0" w:space="0" w:color="auto"/>
                <w:bottom w:val="none" w:sz="0" w:space="0" w:color="auto"/>
                <w:right w:val="none" w:sz="0" w:space="0" w:color="auto"/>
              </w:divBdr>
            </w:div>
            <w:div w:id="1532765967">
              <w:marLeft w:val="0"/>
              <w:marRight w:val="0"/>
              <w:marTop w:val="0"/>
              <w:marBottom w:val="0"/>
              <w:divBdr>
                <w:top w:val="none" w:sz="0" w:space="0" w:color="auto"/>
                <w:left w:val="none" w:sz="0" w:space="0" w:color="auto"/>
                <w:bottom w:val="none" w:sz="0" w:space="0" w:color="auto"/>
                <w:right w:val="none" w:sz="0" w:space="0" w:color="auto"/>
              </w:divBdr>
            </w:div>
            <w:div w:id="65802821">
              <w:marLeft w:val="0"/>
              <w:marRight w:val="0"/>
              <w:marTop w:val="0"/>
              <w:marBottom w:val="0"/>
              <w:divBdr>
                <w:top w:val="none" w:sz="0" w:space="0" w:color="auto"/>
                <w:left w:val="none" w:sz="0" w:space="0" w:color="auto"/>
                <w:bottom w:val="none" w:sz="0" w:space="0" w:color="auto"/>
                <w:right w:val="none" w:sz="0" w:space="0" w:color="auto"/>
              </w:divBdr>
            </w:div>
            <w:div w:id="1955600928">
              <w:marLeft w:val="0"/>
              <w:marRight w:val="0"/>
              <w:marTop w:val="0"/>
              <w:marBottom w:val="0"/>
              <w:divBdr>
                <w:top w:val="none" w:sz="0" w:space="0" w:color="auto"/>
                <w:left w:val="none" w:sz="0" w:space="0" w:color="auto"/>
                <w:bottom w:val="none" w:sz="0" w:space="0" w:color="auto"/>
                <w:right w:val="none" w:sz="0" w:space="0" w:color="auto"/>
              </w:divBdr>
            </w:div>
            <w:div w:id="1007752344">
              <w:marLeft w:val="0"/>
              <w:marRight w:val="0"/>
              <w:marTop w:val="0"/>
              <w:marBottom w:val="0"/>
              <w:divBdr>
                <w:top w:val="none" w:sz="0" w:space="0" w:color="auto"/>
                <w:left w:val="none" w:sz="0" w:space="0" w:color="auto"/>
                <w:bottom w:val="none" w:sz="0" w:space="0" w:color="auto"/>
                <w:right w:val="none" w:sz="0" w:space="0" w:color="auto"/>
              </w:divBdr>
            </w:div>
            <w:div w:id="514226553">
              <w:marLeft w:val="0"/>
              <w:marRight w:val="0"/>
              <w:marTop w:val="0"/>
              <w:marBottom w:val="0"/>
              <w:divBdr>
                <w:top w:val="none" w:sz="0" w:space="0" w:color="auto"/>
                <w:left w:val="none" w:sz="0" w:space="0" w:color="auto"/>
                <w:bottom w:val="none" w:sz="0" w:space="0" w:color="auto"/>
                <w:right w:val="none" w:sz="0" w:space="0" w:color="auto"/>
              </w:divBdr>
            </w:div>
            <w:div w:id="964236001">
              <w:marLeft w:val="0"/>
              <w:marRight w:val="0"/>
              <w:marTop w:val="0"/>
              <w:marBottom w:val="0"/>
              <w:divBdr>
                <w:top w:val="none" w:sz="0" w:space="0" w:color="auto"/>
                <w:left w:val="none" w:sz="0" w:space="0" w:color="auto"/>
                <w:bottom w:val="none" w:sz="0" w:space="0" w:color="auto"/>
                <w:right w:val="none" w:sz="0" w:space="0" w:color="auto"/>
              </w:divBdr>
            </w:div>
            <w:div w:id="1400444201">
              <w:marLeft w:val="0"/>
              <w:marRight w:val="0"/>
              <w:marTop w:val="0"/>
              <w:marBottom w:val="0"/>
              <w:divBdr>
                <w:top w:val="none" w:sz="0" w:space="0" w:color="auto"/>
                <w:left w:val="none" w:sz="0" w:space="0" w:color="auto"/>
                <w:bottom w:val="none" w:sz="0" w:space="0" w:color="auto"/>
                <w:right w:val="none" w:sz="0" w:space="0" w:color="auto"/>
              </w:divBdr>
            </w:div>
            <w:div w:id="1642660058">
              <w:marLeft w:val="0"/>
              <w:marRight w:val="0"/>
              <w:marTop w:val="0"/>
              <w:marBottom w:val="0"/>
              <w:divBdr>
                <w:top w:val="none" w:sz="0" w:space="0" w:color="auto"/>
                <w:left w:val="none" w:sz="0" w:space="0" w:color="auto"/>
                <w:bottom w:val="none" w:sz="0" w:space="0" w:color="auto"/>
                <w:right w:val="none" w:sz="0" w:space="0" w:color="auto"/>
              </w:divBdr>
            </w:div>
            <w:div w:id="773476320">
              <w:marLeft w:val="0"/>
              <w:marRight w:val="0"/>
              <w:marTop w:val="0"/>
              <w:marBottom w:val="0"/>
              <w:divBdr>
                <w:top w:val="none" w:sz="0" w:space="0" w:color="auto"/>
                <w:left w:val="none" w:sz="0" w:space="0" w:color="auto"/>
                <w:bottom w:val="none" w:sz="0" w:space="0" w:color="auto"/>
                <w:right w:val="none" w:sz="0" w:space="0" w:color="auto"/>
              </w:divBdr>
            </w:div>
            <w:div w:id="1905338310">
              <w:marLeft w:val="0"/>
              <w:marRight w:val="0"/>
              <w:marTop w:val="0"/>
              <w:marBottom w:val="0"/>
              <w:divBdr>
                <w:top w:val="none" w:sz="0" w:space="0" w:color="auto"/>
                <w:left w:val="none" w:sz="0" w:space="0" w:color="auto"/>
                <w:bottom w:val="none" w:sz="0" w:space="0" w:color="auto"/>
                <w:right w:val="none" w:sz="0" w:space="0" w:color="auto"/>
              </w:divBdr>
            </w:div>
            <w:div w:id="1700818117">
              <w:marLeft w:val="0"/>
              <w:marRight w:val="0"/>
              <w:marTop w:val="0"/>
              <w:marBottom w:val="0"/>
              <w:divBdr>
                <w:top w:val="none" w:sz="0" w:space="0" w:color="auto"/>
                <w:left w:val="none" w:sz="0" w:space="0" w:color="auto"/>
                <w:bottom w:val="none" w:sz="0" w:space="0" w:color="auto"/>
                <w:right w:val="none" w:sz="0" w:space="0" w:color="auto"/>
              </w:divBdr>
            </w:div>
            <w:div w:id="1951083237">
              <w:marLeft w:val="0"/>
              <w:marRight w:val="0"/>
              <w:marTop w:val="0"/>
              <w:marBottom w:val="0"/>
              <w:divBdr>
                <w:top w:val="none" w:sz="0" w:space="0" w:color="auto"/>
                <w:left w:val="none" w:sz="0" w:space="0" w:color="auto"/>
                <w:bottom w:val="none" w:sz="0" w:space="0" w:color="auto"/>
                <w:right w:val="none" w:sz="0" w:space="0" w:color="auto"/>
              </w:divBdr>
            </w:div>
            <w:div w:id="781648677">
              <w:marLeft w:val="0"/>
              <w:marRight w:val="0"/>
              <w:marTop w:val="0"/>
              <w:marBottom w:val="0"/>
              <w:divBdr>
                <w:top w:val="none" w:sz="0" w:space="0" w:color="auto"/>
                <w:left w:val="none" w:sz="0" w:space="0" w:color="auto"/>
                <w:bottom w:val="none" w:sz="0" w:space="0" w:color="auto"/>
                <w:right w:val="none" w:sz="0" w:space="0" w:color="auto"/>
              </w:divBdr>
            </w:div>
            <w:div w:id="1014695010">
              <w:marLeft w:val="0"/>
              <w:marRight w:val="0"/>
              <w:marTop w:val="0"/>
              <w:marBottom w:val="0"/>
              <w:divBdr>
                <w:top w:val="none" w:sz="0" w:space="0" w:color="auto"/>
                <w:left w:val="none" w:sz="0" w:space="0" w:color="auto"/>
                <w:bottom w:val="none" w:sz="0" w:space="0" w:color="auto"/>
                <w:right w:val="none" w:sz="0" w:space="0" w:color="auto"/>
              </w:divBdr>
            </w:div>
            <w:div w:id="437796399">
              <w:marLeft w:val="0"/>
              <w:marRight w:val="0"/>
              <w:marTop w:val="0"/>
              <w:marBottom w:val="0"/>
              <w:divBdr>
                <w:top w:val="none" w:sz="0" w:space="0" w:color="auto"/>
                <w:left w:val="none" w:sz="0" w:space="0" w:color="auto"/>
                <w:bottom w:val="none" w:sz="0" w:space="0" w:color="auto"/>
                <w:right w:val="none" w:sz="0" w:space="0" w:color="auto"/>
              </w:divBdr>
            </w:div>
            <w:div w:id="727150802">
              <w:marLeft w:val="0"/>
              <w:marRight w:val="0"/>
              <w:marTop w:val="0"/>
              <w:marBottom w:val="0"/>
              <w:divBdr>
                <w:top w:val="none" w:sz="0" w:space="0" w:color="auto"/>
                <w:left w:val="none" w:sz="0" w:space="0" w:color="auto"/>
                <w:bottom w:val="none" w:sz="0" w:space="0" w:color="auto"/>
                <w:right w:val="none" w:sz="0" w:space="0" w:color="auto"/>
              </w:divBdr>
            </w:div>
            <w:div w:id="1214003636">
              <w:marLeft w:val="0"/>
              <w:marRight w:val="0"/>
              <w:marTop w:val="0"/>
              <w:marBottom w:val="0"/>
              <w:divBdr>
                <w:top w:val="none" w:sz="0" w:space="0" w:color="auto"/>
                <w:left w:val="none" w:sz="0" w:space="0" w:color="auto"/>
                <w:bottom w:val="none" w:sz="0" w:space="0" w:color="auto"/>
                <w:right w:val="none" w:sz="0" w:space="0" w:color="auto"/>
              </w:divBdr>
            </w:div>
            <w:div w:id="1263606126">
              <w:marLeft w:val="0"/>
              <w:marRight w:val="0"/>
              <w:marTop w:val="0"/>
              <w:marBottom w:val="0"/>
              <w:divBdr>
                <w:top w:val="none" w:sz="0" w:space="0" w:color="auto"/>
                <w:left w:val="none" w:sz="0" w:space="0" w:color="auto"/>
                <w:bottom w:val="none" w:sz="0" w:space="0" w:color="auto"/>
                <w:right w:val="none" w:sz="0" w:space="0" w:color="auto"/>
              </w:divBdr>
            </w:div>
            <w:div w:id="739982147">
              <w:marLeft w:val="0"/>
              <w:marRight w:val="0"/>
              <w:marTop w:val="0"/>
              <w:marBottom w:val="0"/>
              <w:divBdr>
                <w:top w:val="none" w:sz="0" w:space="0" w:color="auto"/>
                <w:left w:val="none" w:sz="0" w:space="0" w:color="auto"/>
                <w:bottom w:val="none" w:sz="0" w:space="0" w:color="auto"/>
                <w:right w:val="none" w:sz="0" w:space="0" w:color="auto"/>
              </w:divBdr>
            </w:div>
            <w:div w:id="320275183">
              <w:marLeft w:val="0"/>
              <w:marRight w:val="0"/>
              <w:marTop w:val="0"/>
              <w:marBottom w:val="0"/>
              <w:divBdr>
                <w:top w:val="none" w:sz="0" w:space="0" w:color="auto"/>
                <w:left w:val="none" w:sz="0" w:space="0" w:color="auto"/>
                <w:bottom w:val="none" w:sz="0" w:space="0" w:color="auto"/>
                <w:right w:val="none" w:sz="0" w:space="0" w:color="auto"/>
              </w:divBdr>
            </w:div>
            <w:div w:id="211158438">
              <w:marLeft w:val="0"/>
              <w:marRight w:val="0"/>
              <w:marTop w:val="0"/>
              <w:marBottom w:val="0"/>
              <w:divBdr>
                <w:top w:val="none" w:sz="0" w:space="0" w:color="auto"/>
                <w:left w:val="none" w:sz="0" w:space="0" w:color="auto"/>
                <w:bottom w:val="none" w:sz="0" w:space="0" w:color="auto"/>
                <w:right w:val="none" w:sz="0" w:space="0" w:color="auto"/>
              </w:divBdr>
            </w:div>
            <w:div w:id="751393167">
              <w:marLeft w:val="0"/>
              <w:marRight w:val="0"/>
              <w:marTop w:val="0"/>
              <w:marBottom w:val="0"/>
              <w:divBdr>
                <w:top w:val="none" w:sz="0" w:space="0" w:color="auto"/>
                <w:left w:val="none" w:sz="0" w:space="0" w:color="auto"/>
                <w:bottom w:val="none" w:sz="0" w:space="0" w:color="auto"/>
                <w:right w:val="none" w:sz="0" w:space="0" w:color="auto"/>
              </w:divBdr>
            </w:div>
            <w:div w:id="1513298587">
              <w:marLeft w:val="0"/>
              <w:marRight w:val="0"/>
              <w:marTop w:val="0"/>
              <w:marBottom w:val="0"/>
              <w:divBdr>
                <w:top w:val="none" w:sz="0" w:space="0" w:color="auto"/>
                <w:left w:val="none" w:sz="0" w:space="0" w:color="auto"/>
                <w:bottom w:val="none" w:sz="0" w:space="0" w:color="auto"/>
                <w:right w:val="none" w:sz="0" w:space="0" w:color="auto"/>
              </w:divBdr>
            </w:div>
            <w:div w:id="1059129145">
              <w:marLeft w:val="0"/>
              <w:marRight w:val="0"/>
              <w:marTop w:val="0"/>
              <w:marBottom w:val="0"/>
              <w:divBdr>
                <w:top w:val="none" w:sz="0" w:space="0" w:color="auto"/>
                <w:left w:val="none" w:sz="0" w:space="0" w:color="auto"/>
                <w:bottom w:val="none" w:sz="0" w:space="0" w:color="auto"/>
                <w:right w:val="none" w:sz="0" w:space="0" w:color="auto"/>
              </w:divBdr>
            </w:div>
            <w:div w:id="571474153">
              <w:marLeft w:val="0"/>
              <w:marRight w:val="0"/>
              <w:marTop w:val="0"/>
              <w:marBottom w:val="0"/>
              <w:divBdr>
                <w:top w:val="none" w:sz="0" w:space="0" w:color="auto"/>
                <w:left w:val="none" w:sz="0" w:space="0" w:color="auto"/>
                <w:bottom w:val="none" w:sz="0" w:space="0" w:color="auto"/>
                <w:right w:val="none" w:sz="0" w:space="0" w:color="auto"/>
              </w:divBdr>
            </w:div>
            <w:div w:id="1741363376">
              <w:marLeft w:val="0"/>
              <w:marRight w:val="0"/>
              <w:marTop w:val="0"/>
              <w:marBottom w:val="0"/>
              <w:divBdr>
                <w:top w:val="none" w:sz="0" w:space="0" w:color="auto"/>
                <w:left w:val="none" w:sz="0" w:space="0" w:color="auto"/>
                <w:bottom w:val="none" w:sz="0" w:space="0" w:color="auto"/>
                <w:right w:val="none" w:sz="0" w:space="0" w:color="auto"/>
              </w:divBdr>
            </w:div>
            <w:div w:id="361369476">
              <w:marLeft w:val="0"/>
              <w:marRight w:val="0"/>
              <w:marTop w:val="0"/>
              <w:marBottom w:val="0"/>
              <w:divBdr>
                <w:top w:val="none" w:sz="0" w:space="0" w:color="auto"/>
                <w:left w:val="none" w:sz="0" w:space="0" w:color="auto"/>
                <w:bottom w:val="none" w:sz="0" w:space="0" w:color="auto"/>
                <w:right w:val="none" w:sz="0" w:space="0" w:color="auto"/>
              </w:divBdr>
            </w:div>
            <w:div w:id="1257517089">
              <w:marLeft w:val="0"/>
              <w:marRight w:val="0"/>
              <w:marTop w:val="0"/>
              <w:marBottom w:val="0"/>
              <w:divBdr>
                <w:top w:val="none" w:sz="0" w:space="0" w:color="auto"/>
                <w:left w:val="none" w:sz="0" w:space="0" w:color="auto"/>
                <w:bottom w:val="none" w:sz="0" w:space="0" w:color="auto"/>
                <w:right w:val="none" w:sz="0" w:space="0" w:color="auto"/>
              </w:divBdr>
            </w:div>
            <w:div w:id="49546799">
              <w:marLeft w:val="0"/>
              <w:marRight w:val="0"/>
              <w:marTop w:val="0"/>
              <w:marBottom w:val="0"/>
              <w:divBdr>
                <w:top w:val="none" w:sz="0" w:space="0" w:color="auto"/>
                <w:left w:val="none" w:sz="0" w:space="0" w:color="auto"/>
                <w:bottom w:val="none" w:sz="0" w:space="0" w:color="auto"/>
                <w:right w:val="none" w:sz="0" w:space="0" w:color="auto"/>
              </w:divBdr>
            </w:div>
            <w:div w:id="1407535534">
              <w:marLeft w:val="0"/>
              <w:marRight w:val="0"/>
              <w:marTop w:val="0"/>
              <w:marBottom w:val="0"/>
              <w:divBdr>
                <w:top w:val="none" w:sz="0" w:space="0" w:color="auto"/>
                <w:left w:val="none" w:sz="0" w:space="0" w:color="auto"/>
                <w:bottom w:val="none" w:sz="0" w:space="0" w:color="auto"/>
                <w:right w:val="none" w:sz="0" w:space="0" w:color="auto"/>
              </w:divBdr>
            </w:div>
            <w:div w:id="7552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745">
      <w:bodyDiv w:val="1"/>
      <w:marLeft w:val="0"/>
      <w:marRight w:val="0"/>
      <w:marTop w:val="0"/>
      <w:marBottom w:val="0"/>
      <w:divBdr>
        <w:top w:val="none" w:sz="0" w:space="0" w:color="auto"/>
        <w:left w:val="none" w:sz="0" w:space="0" w:color="auto"/>
        <w:bottom w:val="none" w:sz="0" w:space="0" w:color="auto"/>
        <w:right w:val="none" w:sz="0" w:space="0" w:color="auto"/>
      </w:divBdr>
    </w:div>
    <w:div w:id="1981381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Gordon%20K%5BAuthor%5D&amp;cauthor=true&amp;cauthor_uid=26720768" TargetMode="External"/><Relationship Id="rId12" Type="http://schemas.openxmlformats.org/officeDocument/2006/relationships/hyperlink" Target="http://www.ncbi.nlm.nih.gov/pubmed/?term=Conway%20J%5BAuthor%5D&amp;cauthor=true&amp;cauthor_uid=26720768" TargetMode="External"/><Relationship Id="rId13" Type="http://schemas.openxmlformats.org/officeDocument/2006/relationships/hyperlink" Target="http://www.ncbi.nlm.nih.gov/pubmed/?term=Evans%20J%5BAuthor%5D&amp;cauthor=true&amp;cauthor_uid=26720768" TargetMode="External"/><Relationship Id="rId14" Type="http://schemas.openxmlformats.org/officeDocument/2006/relationships/hyperlink" Target="http://www.ncbi.nlm.nih.gov/pubmed/?term=Petty%20J%5BAuthor%5D&amp;cauthor=true&amp;cauthor_uid=26720768" TargetMode="External"/><Relationship Id="rId15" Type="http://schemas.openxmlformats.org/officeDocument/2006/relationships/hyperlink" Target="http://www.ncbi.nlm.nih.gov/pubmed/?term=Fortunato%20JE%5BAuthor%5D&amp;cauthor=true&amp;cauthor_uid=26720768" TargetMode="External"/><Relationship Id="rId16" Type="http://schemas.openxmlformats.org/officeDocument/2006/relationships/hyperlink" Target="http://www.ncbi.nlm.nih.gov/pubmed/?term=Mishra%20G%5BAuthor%5D&amp;cauthor=true&amp;cauthor_uid=26720768" TargetMode="External"/><Relationship Id="rId17" Type="http://schemas.openxmlformats.org/officeDocument/2006/relationships/image" Target="media/image1.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ugfishman@gmail.com" TargetMode="External"/><Relationship Id="rId10" Type="http://schemas.openxmlformats.org/officeDocument/2006/relationships/hyperlink" Target="http://vassarstats.net/cli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175D-3316-E442-B045-BDC96E54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6247</Words>
  <Characters>35612</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41776</CharactersWithSpaces>
  <SharedDoc>false</SharedDoc>
  <HLinks>
    <vt:vector size="12" baseType="variant">
      <vt:variant>
        <vt:i4>655417</vt:i4>
      </vt:variant>
      <vt:variant>
        <vt:i4>0</vt:i4>
      </vt:variant>
      <vt:variant>
        <vt:i4>0</vt:i4>
      </vt:variant>
      <vt:variant>
        <vt:i4>5</vt:i4>
      </vt:variant>
      <vt:variant>
        <vt:lpwstr>http://vassarstats.net/clin1.html</vt:lpwstr>
      </vt:variant>
      <vt:variant>
        <vt:lpwstr/>
      </vt:variant>
      <vt:variant>
        <vt:i4>983073</vt:i4>
      </vt:variant>
      <vt:variant>
        <vt:i4>29189</vt:i4>
      </vt:variant>
      <vt:variant>
        <vt:i4>1025</vt:i4>
      </vt:variant>
      <vt:variant>
        <vt:i4>1</vt:i4>
      </vt:variant>
      <vt:variant>
        <vt:lpwstr>Untitled1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Fishman</dc:creator>
  <cp:keywords/>
  <dc:description/>
  <cp:lastModifiedBy>Na Ma</cp:lastModifiedBy>
  <cp:revision>2</cp:revision>
  <dcterms:created xsi:type="dcterms:W3CDTF">2016-03-08T20:18:00Z</dcterms:created>
  <dcterms:modified xsi:type="dcterms:W3CDTF">2016-03-08T20:18:00Z</dcterms:modified>
</cp:coreProperties>
</file>