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41F78" w14:textId="7FBF3E98" w:rsidR="00296C61" w:rsidRPr="00A828B6" w:rsidRDefault="00296C61" w:rsidP="001A5A01">
      <w:pPr>
        <w:adjustRightInd w:val="0"/>
        <w:snapToGrid w:val="0"/>
        <w:spacing w:after="0" w:line="360" w:lineRule="auto"/>
        <w:jc w:val="both"/>
        <w:rPr>
          <w:rFonts w:ascii="Book Antiqua" w:eastAsia="Times New Roman" w:hAnsi="Book Antiqua" w:cs="宋体"/>
          <w:b/>
          <w:kern w:val="2"/>
          <w:sz w:val="24"/>
          <w:szCs w:val="24"/>
        </w:rPr>
      </w:pPr>
      <w:bookmarkStart w:id="0" w:name="OLE_LINK546"/>
      <w:bookmarkStart w:id="1" w:name="OLE_LINK545"/>
      <w:r w:rsidRPr="00A828B6">
        <w:rPr>
          <w:rFonts w:ascii="Book Antiqua" w:eastAsia="Times New Roman" w:hAnsi="Book Antiqua" w:cs="宋体"/>
          <w:b/>
          <w:sz w:val="24"/>
          <w:szCs w:val="24"/>
        </w:rPr>
        <w:t xml:space="preserve">Name of </w:t>
      </w:r>
      <w:r w:rsidR="007F2F36">
        <w:rPr>
          <w:rFonts w:ascii="Book Antiqua" w:hAnsi="Book Antiqua" w:cs="宋体" w:hint="eastAsia"/>
          <w:b/>
          <w:sz w:val="24"/>
          <w:szCs w:val="24"/>
          <w:lang w:eastAsia="zh-CN"/>
        </w:rPr>
        <w:t>J</w:t>
      </w:r>
      <w:r w:rsidRPr="00A828B6">
        <w:rPr>
          <w:rFonts w:ascii="Book Antiqua" w:eastAsia="Times New Roman" w:hAnsi="Book Antiqua" w:cs="宋体"/>
          <w:b/>
          <w:sz w:val="24"/>
          <w:szCs w:val="24"/>
        </w:rPr>
        <w:t xml:space="preserve">ournal: </w:t>
      </w:r>
      <w:bookmarkStart w:id="2" w:name="OLE_LINK718"/>
      <w:bookmarkStart w:id="3" w:name="OLE_LINK719"/>
      <w:bookmarkStart w:id="4" w:name="OLE_LINK645"/>
      <w:bookmarkStart w:id="5" w:name="OLE_LINK661"/>
      <w:bookmarkStart w:id="6" w:name="OLE_LINK1068"/>
      <w:r w:rsidR="00DF414C" w:rsidRPr="00A828B6">
        <w:rPr>
          <w:rFonts w:ascii="Book Antiqua" w:eastAsia="Times New Roman" w:hAnsi="Book Antiqua" w:cs="宋体"/>
          <w:b/>
          <w:i/>
          <w:sz w:val="24"/>
          <w:szCs w:val="24"/>
        </w:rPr>
        <w:t>World Journal of Hepatology</w:t>
      </w:r>
      <w:bookmarkEnd w:id="2"/>
      <w:bookmarkEnd w:id="3"/>
      <w:bookmarkEnd w:id="4"/>
      <w:bookmarkEnd w:id="5"/>
      <w:bookmarkEnd w:id="6"/>
    </w:p>
    <w:p w14:paraId="589831D5" w14:textId="77777777" w:rsidR="00296C61" w:rsidRPr="00A828B6" w:rsidRDefault="00296C61" w:rsidP="001A5A01">
      <w:pPr>
        <w:adjustRightInd w:val="0"/>
        <w:snapToGrid w:val="0"/>
        <w:spacing w:after="0" w:line="360" w:lineRule="auto"/>
        <w:jc w:val="both"/>
        <w:rPr>
          <w:rFonts w:ascii="Book Antiqua" w:eastAsia="宋体" w:hAnsi="Book Antiqua" w:cs="Arial"/>
          <w:sz w:val="24"/>
          <w:szCs w:val="24"/>
          <w:lang w:val="en" w:eastAsia="zh-CN"/>
        </w:rPr>
      </w:pPr>
      <w:r w:rsidRPr="00A828B6">
        <w:rPr>
          <w:rFonts w:ascii="Book Antiqua" w:hAnsi="Book Antiqua" w:cs="Arial"/>
          <w:b/>
          <w:sz w:val="24"/>
          <w:szCs w:val="24"/>
          <w:lang w:val="en"/>
        </w:rPr>
        <w:t xml:space="preserve">ESPS Manuscript NO: </w:t>
      </w:r>
      <w:r w:rsidRPr="00A828B6">
        <w:rPr>
          <w:rFonts w:ascii="Book Antiqua" w:hAnsi="Book Antiqua" w:cs="Arial"/>
          <w:b/>
          <w:sz w:val="24"/>
          <w:szCs w:val="24"/>
          <w:lang w:val="en" w:eastAsia="zh-CN"/>
        </w:rPr>
        <w:t>23401</w:t>
      </w:r>
    </w:p>
    <w:p w14:paraId="61BCA027" w14:textId="5ACC9DF1" w:rsidR="00296C61" w:rsidRPr="00A828B6" w:rsidRDefault="00296C61" w:rsidP="001A5A01">
      <w:pPr>
        <w:spacing w:after="0" w:line="360" w:lineRule="auto"/>
        <w:jc w:val="both"/>
        <w:rPr>
          <w:rFonts w:ascii="Book Antiqua" w:hAnsi="Book Antiqua"/>
          <w:b/>
          <w:sz w:val="24"/>
          <w:szCs w:val="24"/>
          <w:lang w:eastAsia="zh-CN"/>
        </w:rPr>
      </w:pPr>
      <w:r w:rsidRPr="00A828B6">
        <w:rPr>
          <w:rFonts w:ascii="Book Antiqua" w:hAnsi="Book Antiqua"/>
          <w:b/>
          <w:sz w:val="24"/>
          <w:szCs w:val="24"/>
        </w:rPr>
        <w:t xml:space="preserve">Manuscript Type: </w:t>
      </w:r>
      <w:bookmarkEnd w:id="0"/>
      <w:bookmarkEnd w:id="1"/>
      <w:r w:rsidR="007F2F36" w:rsidRPr="00A828B6">
        <w:rPr>
          <w:rFonts w:ascii="Book Antiqua" w:hAnsi="Book Antiqua"/>
          <w:b/>
          <w:sz w:val="24"/>
          <w:szCs w:val="24"/>
        </w:rPr>
        <w:t>Ev</w:t>
      </w:r>
      <w:r w:rsidR="007F2F36">
        <w:rPr>
          <w:rFonts w:ascii="Book Antiqua" w:hAnsi="Book Antiqua"/>
          <w:b/>
          <w:sz w:val="24"/>
          <w:szCs w:val="24"/>
          <w:lang w:eastAsia="zh-CN"/>
        </w:rPr>
        <w:t>i</w:t>
      </w:r>
      <w:r w:rsidR="007F2F36" w:rsidRPr="00A828B6">
        <w:rPr>
          <w:rFonts w:ascii="Book Antiqua" w:hAnsi="Book Antiqua"/>
          <w:b/>
          <w:sz w:val="24"/>
          <w:szCs w:val="24"/>
        </w:rPr>
        <w:t>dence-</w:t>
      </w:r>
      <w:r w:rsidR="00DF414C" w:rsidRPr="00A828B6">
        <w:rPr>
          <w:rFonts w:ascii="Book Antiqua" w:hAnsi="Book Antiqua"/>
          <w:b/>
          <w:sz w:val="24"/>
          <w:szCs w:val="24"/>
        </w:rPr>
        <w:t>B</w:t>
      </w:r>
      <w:r w:rsidR="007F2F36" w:rsidRPr="00A828B6">
        <w:rPr>
          <w:rFonts w:ascii="Book Antiqua" w:hAnsi="Book Antiqua"/>
          <w:b/>
          <w:sz w:val="24"/>
          <w:szCs w:val="24"/>
        </w:rPr>
        <w:t>ased</w:t>
      </w:r>
      <w:r w:rsidR="00DF414C" w:rsidRPr="00A828B6">
        <w:rPr>
          <w:rFonts w:ascii="Book Antiqua" w:hAnsi="Book Antiqua"/>
          <w:b/>
          <w:sz w:val="24"/>
          <w:szCs w:val="24"/>
        </w:rPr>
        <w:t xml:space="preserve"> M</w:t>
      </w:r>
      <w:r w:rsidR="007F2F36" w:rsidRPr="00A828B6">
        <w:rPr>
          <w:rFonts w:ascii="Book Antiqua" w:hAnsi="Book Antiqua"/>
          <w:b/>
          <w:sz w:val="24"/>
          <w:szCs w:val="24"/>
        </w:rPr>
        <w:t>edicine</w:t>
      </w:r>
    </w:p>
    <w:p w14:paraId="1C58E7F7" w14:textId="77777777" w:rsidR="00296C61" w:rsidRPr="00A828B6" w:rsidRDefault="00296C61" w:rsidP="001A5A01">
      <w:pPr>
        <w:spacing w:after="0" w:line="360" w:lineRule="auto"/>
        <w:jc w:val="both"/>
        <w:rPr>
          <w:rFonts w:ascii="Book Antiqua" w:hAnsi="Book Antiqua"/>
          <w:b/>
          <w:sz w:val="24"/>
          <w:szCs w:val="24"/>
          <w:lang w:eastAsia="zh-CN"/>
        </w:rPr>
      </w:pPr>
    </w:p>
    <w:p w14:paraId="19C7A282" w14:textId="4C860848" w:rsidR="009678F7" w:rsidRPr="00A828B6" w:rsidRDefault="00296C61" w:rsidP="001A5A01">
      <w:pPr>
        <w:spacing w:after="0" w:line="360" w:lineRule="auto"/>
        <w:jc w:val="both"/>
        <w:rPr>
          <w:rFonts w:ascii="Book Antiqua" w:hAnsi="Book Antiqua"/>
          <w:b/>
          <w:sz w:val="24"/>
          <w:szCs w:val="24"/>
          <w:lang w:eastAsia="zh-CN"/>
        </w:rPr>
      </w:pPr>
      <w:r w:rsidRPr="00A828B6">
        <w:rPr>
          <w:rFonts w:ascii="Book Antiqua" w:hAnsi="Book Antiqua"/>
          <w:b/>
          <w:sz w:val="24"/>
          <w:szCs w:val="24"/>
        </w:rPr>
        <w:t xml:space="preserve">Significant </w:t>
      </w:r>
      <w:r w:rsidR="009678F7" w:rsidRPr="00A828B6">
        <w:rPr>
          <w:rFonts w:ascii="Book Antiqua" w:hAnsi="Book Antiqua"/>
          <w:b/>
          <w:sz w:val="24"/>
          <w:szCs w:val="24"/>
        </w:rPr>
        <w:t xml:space="preserve">cohort of </w:t>
      </w:r>
      <w:r w:rsidR="00DF414C" w:rsidRPr="00A828B6">
        <w:rPr>
          <w:rFonts w:ascii="Book Antiqua" w:hAnsi="Book Antiqua"/>
          <w:b/>
          <w:sz w:val="24"/>
          <w:szCs w:val="24"/>
        </w:rPr>
        <w:t xml:space="preserve">non-alcoholic fatty liver disease </w:t>
      </w:r>
      <w:r w:rsidR="009678F7" w:rsidRPr="00A828B6">
        <w:rPr>
          <w:rFonts w:ascii="Book Antiqua" w:hAnsi="Book Antiqua"/>
          <w:b/>
          <w:sz w:val="24"/>
          <w:szCs w:val="24"/>
        </w:rPr>
        <w:t xml:space="preserve">with portal vein thrombosis in </w:t>
      </w:r>
      <w:r w:rsidR="000F0CA2" w:rsidRPr="00A828B6">
        <w:rPr>
          <w:rFonts w:ascii="Book Antiqua" w:hAnsi="Book Antiqua"/>
          <w:b/>
          <w:sz w:val="24"/>
          <w:szCs w:val="24"/>
        </w:rPr>
        <w:t>transplant waiting list</w:t>
      </w:r>
    </w:p>
    <w:p w14:paraId="188F3BC9" w14:textId="77777777" w:rsidR="00DF414C" w:rsidRPr="00A828B6" w:rsidRDefault="00DF414C" w:rsidP="001A5A01">
      <w:pPr>
        <w:spacing w:after="0" w:line="360" w:lineRule="auto"/>
        <w:jc w:val="both"/>
        <w:rPr>
          <w:rFonts w:ascii="Book Antiqua" w:hAnsi="Book Antiqua"/>
          <w:b/>
          <w:sz w:val="24"/>
          <w:szCs w:val="24"/>
          <w:lang w:eastAsia="zh-CN"/>
        </w:rPr>
      </w:pPr>
    </w:p>
    <w:p w14:paraId="1AB21C69" w14:textId="68DE9033" w:rsidR="00296C61" w:rsidRPr="00A828B6" w:rsidRDefault="00DF414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 xml:space="preserve">Basaranoglu </w:t>
      </w:r>
      <w:r w:rsidRPr="00A828B6">
        <w:rPr>
          <w:rFonts w:ascii="Book Antiqua" w:hAnsi="Book Antiqua"/>
          <w:bCs/>
          <w:sz w:val="24"/>
          <w:szCs w:val="24"/>
          <w:lang w:val="en-US" w:eastAsia="zh-CN"/>
        </w:rPr>
        <w:t>M</w:t>
      </w:r>
      <w:r w:rsidRPr="00A828B6">
        <w:rPr>
          <w:rFonts w:ascii="Book Antiqua" w:hAnsi="Book Antiqua"/>
          <w:bCs/>
          <w:i/>
          <w:sz w:val="24"/>
          <w:szCs w:val="24"/>
          <w:lang w:val="en-US" w:eastAsia="zh-CN"/>
        </w:rPr>
        <w:t xml:space="preserve"> et al. </w:t>
      </w:r>
      <w:r w:rsidR="00296C61" w:rsidRPr="00A828B6">
        <w:rPr>
          <w:rFonts w:ascii="Book Antiqua" w:hAnsi="Book Antiqua"/>
          <w:bCs/>
          <w:sz w:val="24"/>
          <w:szCs w:val="24"/>
          <w:lang w:val="en-US"/>
        </w:rPr>
        <w:t xml:space="preserve">Increased prevalence of </w:t>
      </w:r>
      <w:r w:rsidR="00296C61" w:rsidRPr="00A828B6">
        <w:rPr>
          <w:rFonts w:ascii="Book Antiqua" w:eastAsia="Times New Roman" w:hAnsi="Book Antiqua"/>
          <w:bCs/>
          <w:sz w:val="24"/>
          <w:szCs w:val="24"/>
          <w:lang w:val="en-US" w:eastAsia="tr-TR"/>
        </w:rPr>
        <w:t>NAFLD with portal vein thrombosis</w:t>
      </w:r>
    </w:p>
    <w:p w14:paraId="3DF8B10D" w14:textId="77777777" w:rsidR="00296C61" w:rsidRPr="00A828B6" w:rsidRDefault="00296C61" w:rsidP="001A5A01">
      <w:pPr>
        <w:spacing w:after="0" w:line="360" w:lineRule="auto"/>
        <w:jc w:val="both"/>
        <w:rPr>
          <w:rFonts w:ascii="Book Antiqua" w:hAnsi="Book Antiqua"/>
          <w:b/>
          <w:sz w:val="24"/>
          <w:szCs w:val="24"/>
          <w:shd w:val="clear" w:color="auto" w:fill="FFFFFF"/>
          <w:lang w:val="en-US" w:eastAsia="zh-CN"/>
        </w:rPr>
      </w:pPr>
    </w:p>
    <w:p w14:paraId="08AD0F73" w14:textId="2088FD7B" w:rsidR="00301DED" w:rsidRPr="007A0AE7" w:rsidRDefault="00301DED" w:rsidP="001A5A01">
      <w:pPr>
        <w:spacing w:after="0" w:line="360" w:lineRule="auto"/>
        <w:jc w:val="both"/>
        <w:rPr>
          <w:rFonts w:ascii="Book Antiqua" w:hAnsi="Book Antiqua"/>
          <w:b/>
          <w:bCs/>
          <w:sz w:val="24"/>
          <w:szCs w:val="24"/>
          <w:lang w:val="en-US" w:eastAsia="zh-CN"/>
        </w:rPr>
      </w:pPr>
      <w:r w:rsidRPr="007A0AE7">
        <w:rPr>
          <w:rFonts w:ascii="Book Antiqua" w:hAnsi="Book Antiqua"/>
          <w:b/>
          <w:bCs/>
          <w:sz w:val="24"/>
          <w:szCs w:val="24"/>
          <w:lang w:val="en-US"/>
        </w:rPr>
        <w:t xml:space="preserve">Metin Basaranoglu, Sonia </w:t>
      </w:r>
      <w:r w:rsidR="00C11636" w:rsidRPr="007A0AE7">
        <w:rPr>
          <w:rFonts w:ascii="Book Antiqua" w:hAnsi="Book Antiqua"/>
          <w:b/>
          <w:bCs/>
          <w:sz w:val="24"/>
          <w:szCs w:val="24"/>
          <w:lang w:val="en-US"/>
        </w:rPr>
        <w:t xml:space="preserve">M </w:t>
      </w:r>
      <w:r w:rsidRPr="007A0AE7">
        <w:rPr>
          <w:rFonts w:ascii="Book Antiqua" w:hAnsi="Book Antiqua"/>
          <w:b/>
          <w:bCs/>
          <w:sz w:val="24"/>
          <w:szCs w:val="24"/>
          <w:lang w:val="en-US"/>
        </w:rPr>
        <w:t>Najjar, Ali</w:t>
      </w:r>
      <w:r w:rsidR="00C11636" w:rsidRPr="007A0AE7">
        <w:rPr>
          <w:rFonts w:ascii="Book Antiqua" w:hAnsi="Book Antiqua"/>
          <w:b/>
          <w:bCs/>
          <w:sz w:val="24"/>
          <w:szCs w:val="24"/>
          <w:lang w:val="en-US"/>
        </w:rPr>
        <w:t xml:space="preserve"> E</w:t>
      </w:r>
      <w:r w:rsidR="00B44293" w:rsidRPr="007A0AE7">
        <w:rPr>
          <w:rFonts w:ascii="Book Antiqua" w:hAnsi="Book Antiqua"/>
          <w:b/>
          <w:bCs/>
          <w:sz w:val="24"/>
          <w:szCs w:val="24"/>
          <w:lang w:val="en-US"/>
        </w:rPr>
        <w:t>bag</w:t>
      </w:r>
      <w:r w:rsidRPr="007A0AE7">
        <w:rPr>
          <w:rFonts w:ascii="Book Antiqua" w:hAnsi="Book Antiqua"/>
          <w:b/>
          <w:bCs/>
          <w:sz w:val="24"/>
          <w:szCs w:val="24"/>
          <w:lang w:val="en-US"/>
        </w:rPr>
        <w:t xml:space="preserve"> Demirbag, </w:t>
      </w:r>
      <w:r w:rsidR="00FC1E56" w:rsidRPr="007A0AE7">
        <w:rPr>
          <w:rFonts w:ascii="Book Antiqua" w:hAnsi="Book Antiqua"/>
          <w:b/>
          <w:bCs/>
          <w:sz w:val="24"/>
          <w:szCs w:val="24"/>
          <w:lang w:val="en-US"/>
        </w:rPr>
        <w:t>Hakan Senturk</w:t>
      </w:r>
    </w:p>
    <w:p w14:paraId="72366C71" w14:textId="77777777" w:rsidR="00352C79" w:rsidRPr="00A828B6" w:rsidRDefault="00352C79" w:rsidP="001A5A01">
      <w:pPr>
        <w:spacing w:after="0" w:line="360" w:lineRule="auto"/>
        <w:jc w:val="both"/>
        <w:rPr>
          <w:rFonts w:ascii="Book Antiqua" w:hAnsi="Book Antiqua"/>
          <w:bCs/>
          <w:sz w:val="24"/>
          <w:szCs w:val="24"/>
          <w:lang w:val="en-US" w:eastAsia="zh-CN"/>
        </w:rPr>
      </w:pPr>
    </w:p>
    <w:p w14:paraId="748B08CC" w14:textId="718A206B" w:rsidR="00DF414C" w:rsidRPr="00A828B6" w:rsidRDefault="00DF414C" w:rsidP="001A5A01">
      <w:pPr>
        <w:spacing w:after="0" w:line="360" w:lineRule="auto"/>
        <w:jc w:val="both"/>
        <w:rPr>
          <w:rFonts w:ascii="Book Antiqua" w:hAnsi="Book Antiqua"/>
          <w:bCs/>
          <w:sz w:val="24"/>
          <w:szCs w:val="24"/>
          <w:lang w:eastAsia="zh-CN"/>
        </w:rPr>
      </w:pPr>
      <w:r w:rsidRPr="00A828B6">
        <w:rPr>
          <w:rFonts w:ascii="Book Antiqua" w:hAnsi="Book Antiqua"/>
          <w:b/>
          <w:bCs/>
          <w:sz w:val="24"/>
          <w:szCs w:val="24"/>
          <w:lang w:val="en-US"/>
        </w:rPr>
        <w:t>Metin Basaranoglu,</w:t>
      </w:r>
      <w:r w:rsidRPr="00A828B6">
        <w:rPr>
          <w:rFonts w:ascii="Book Antiqua" w:hAnsi="Book Antiqua"/>
          <w:b/>
          <w:bCs/>
          <w:sz w:val="24"/>
          <w:szCs w:val="24"/>
          <w:lang w:val="en-US" w:eastAsia="zh-CN"/>
        </w:rPr>
        <w:t xml:space="preserve"> </w:t>
      </w:r>
      <w:r w:rsidRPr="00A828B6">
        <w:rPr>
          <w:rFonts w:ascii="Book Antiqua" w:hAnsi="Book Antiqua"/>
          <w:b/>
          <w:bCs/>
          <w:sz w:val="24"/>
          <w:szCs w:val="24"/>
          <w:lang w:val="en-US"/>
        </w:rPr>
        <w:t>Hakan Sentur</w:t>
      </w:r>
      <w:r w:rsidRPr="00A828B6">
        <w:rPr>
          <w:rFonts w:ascii="Book Antiqua" w:hAnsi="Book Antiqua"/>
          <w:b/>
          <w:bCs/>
          <w:sz w:val="24"/>
          <w:szCs w:val="24"/>
          <w:lang w:eastAsia="zh-CN"/>
        </w:rPr>
        <w:t xml:space="preserve">, </w:t>
      </w:r>
      <w:r w:rsidR="0089654D" w:rsidRPr="00A828B6">
        <w:rPr>
          <w:rFonts w:ascii="Book Antiqua" w:hAnsi="Book Antiqua"/>
          <w:bCs/>
          <w:sz w:val="24"/>
          <w:szCs w:val="24"/>
        </w:rPr>
        <w:t xml:space="preserve">Division of Gastroenterology, Department of </w:t>
      </w:r>
      <w:proofErr w:type="gramStart"/>
      <w:r w:rsidR="0089654D" w:rsidRPr="00A828B6">
        <w:rPr>
          <w:rFonts w:ascii="Book Antiqua" w:hAnsi="Book Antiqua"/>
          <w:bCs/>
          <w:sz w:val="24"/>
          <w:szCs w:val="24"/>
        </w:rPr>
        <w:t>Internal Medicine</w:t>
      </w:r>
      <w:proofErr w:type="gramEnd"/>
      <w:r w:rsidR="0089654D" w:rsidRPr="00A828B6">
        <w:rPr>
          <w:rFonts w:ascii="Book Antiqua" w:hAnsi="Book Antiqua"/>
          <w:bCs/>
          <w:sz w:val="24"/>
          <w:szCs w:val="24"/>
        </w:rPr>
        <w:t xml:space="preserve">, Bezmialem Vakif University Faculty of Medicine, </w:t>
      </w:r>
      <w:r w:rsidRPr="00A828B6">
        <w:rPr>
          <w:rFonts w:ascii="Book Antiqua" w:hAnsi="Book Antiqua"/>
          <w:bCs/>
          <w:sz w:val="24"/>
          <w:szCs w:val="24"/>
        </w:rPr>
        <w:t>Fatih</w:t>
      </w:r>
      <w:r w:rsidR="003C6D76" w:rsidRPr="00A828B6">
        <w:rPr>
          <w:rFonts w:ascii="Book Antiqua" w:hAnsi="Book Antiqua"/>
          <w:bCs/>
          <w:sz w:val="24"/>
          <w:szCs w:val="24"/>
        </w:rPr>
        <w:t xml:space="preserve"> 34000, </w:t>
      </w:r>
      <w:r w:rsidRPr="00A828B6">
        <w:rPr>
          <w:rFonts w:ascii="Book Antiqua" w:hAnsi="Book Antiqua"/>
          <w:bCs/>
          <w:sz w:val="24"/>
          <w:szCs w:val="24"/>
        </w:rPr>
        <w:t>Istanbul, Turkey</w:t>
      </w:r>
    </w:p>
    <w:p w14:paraId="0C65A65F" w14:textId="77777777" w:rsidR="00DF414C" w:rsidRPr="00A828B6" w:rsidRDefault="00DF414C" w:rsidP="001A5A01">
      <w:pPr>
        <w:spacing w:after="0" w:line="360" w:lineRule="auto"/>
        <w:jc w:val="both"/>
        <w:rPr>
          <w:rFonts w:ascii="Book Antiqua" w:hAnsi="Book Antiqua"/>
          <w:bCs/>
          <w:sz w:val="24"/>
          <w:szCs w:val="24"/>
          <w:lang w:eastAsia="zh-CN"/>
        </w:rPr>
      </w:pPr>
    </w:p>
    <w:p w14:paraId="4CF89549" w14:textId="3B2CE89C" w:rsidR="00DF414C" w:rsidRPr="00A828B6" w:rsidRDefault="00DF414C" w:rsidP="001A5A01">
      <w:pPr>
        <w:spacing w:after="0" w:line="360" w:lineRule="auto"/>
        <w:jc w:val="both"/>
        <w:rPr>
          <w:rFonts w:ascii="Book Antiqua" w:hAnsi="Book Antiqua"/>
          <w:bCs/>
          <w:sz w:val="24"/>
          <w:szCs w:val="24"/>
          <w:lang w:val="en-US" w:eastAsia="zh-CN"/>
        </w:rPr>
      </w:pPr>
      <w:r w:rsidRPr="00A828B6">
        <w:rPr>
          <w:rFonts w:ascii="Book Antiqua" w:hAnsi="Book Antiqua"/>
          <w:b/>
          <w:bCs/>
          <w:sz w:val="24"/>
          <w:szCs w:val="24"/>
          <w:lang w:val="en-US"/>
        </w:rPr>
        <w:t xml:space="preserve">Metin Basaranoglu, Ali Ebag Demirbag, </w:t>
      </w:r>
      <w:r w:rsidR="0089654D" w:rsidRPr="00A828B6">
        <w:rPr>
          <w:rFonts w:ascii="Book Antiqua" w:hAnsi="Book Antiqua"/>
          <w:bCs/>
          <w:sz w:val="24"/>
          <w:szCs w:val="24"/>
        </w:rPr>
        <w:t>Ga</w:t>
      </w:r>
      <w:r w:rsidR="003C6D76" w:rsidRPr="00A828B6">
        <w:rPr>
          <w:rFonts w:ascii="Book Antiqua" w:hAnsi="Book Antiqua"/>
          <w:bCs/>
          <w:sz w:val="24"/>
          <w:szCs w:val="24"/>
        </w:rPr>
        <w:t>s</w:t>
      </w:r>
      <w:r w:rsidR="00210884" w:rsidRPr="00A828B6">
        <w:rPr>
          <w:rFonts w:ascii="Book Antiqua" w:hAnsi="Book Antiqua"/>
          <w:bCs/>
          <w:sz w:val="24"/>
          <w:szCs w:val="24"/>
          <w:lang w:val="en-US"/>
        </w:rPr>
        <w:t>troenterology and Gastrointestinal Surgery Divisions, TürkiyeYüksek</w:t>
      </w:r>
      <w:r w:rsidR="00855D62" w:rsidRPr="00A828B6">
        <w:rPr>
          <w:rFonts w:ascii="Book Antiqua" w:hAnsi="Book Antiqua"/>
          <w:bCs/>
          <w:sz w:val="24"/>
          <w:szCs w:val="24"/>
          <w:lang w:val="en-US"/>
        </w:rPr>
        <w:t xml:space="preserve"> </w:t>
      </w:r>
      <w:r w:rsidRPr="00A828B6">
        <w:rPr>
          <w:rFonts w:ascii="Book Antiqua" w:hAnsi="Book Antiqua"/>
          <w:bCs/>
          <w:sz w:val="24"/>
          <w:szCs w:val="24"/>
          <w:lang w:val="en-US"/>
        </w:rPr>
        <w:t>Ihtisas Hospital, Sihhiye</w:t>
      </w:r>
      <w:r w:rsidR="00210884" w:rsidRPr="00A828B6">
        <w:rPr>
          <w:rFonts w:ascii="Book Antiqua" w:hAnsi="Book Antiqua"/>
          <w:bCs/>
          <w:sz w:val="24"/>
          <w:szCs w:val="24"/>
          <w:lang w:val="en-US"/>
        </w:rPr>
        <w:t xml:space="preserve"> 06010, Ankara</w:t>
      </w:r>
    </w:p>
    <w:p w14:paraId="1CB20589" w14:textId="77777777" w:rsidR="00DF414C" w:rsidRPr="00A828B6" w:rsidRDefault="00DF414C" w:rsidP="001A5A01">
      <w:pPr>
        <w:spacing w:after="0" w:line="360" w:lineRule="auto"/>
        <w:jc w:val="both"/>
        <w:rPr>
          <w:rFonts w:ascii="Book Antiqua" w:hAnsi="Book Antiqua"/>
          <w:bCs/>
          <w:sz w:val="24"/>
          <w:szCs w:val="24"/>
          <w:lang w:val="en-US" w:eastAsia="zh-CN"/>
        </w:rPr>
      </w:pPr>
    </w:p>
    <w:p w14:paraId="2CEB17B3" w14:textId="40BD89D4" w:rsidR="0089654D" w:rsidRPr="00A828B6" w:rsidRDefault="00DF414C" w:rsidP="001A5A01">
      <w:pPr>
        <w:spacing w:after="0" w:line="360" w:lineRule="auto"/>
        <w:jc w:val="both"/>
        <w:rPr>
          <w:rFonts w:ascii="Book Antiqua" w:hAnsi="Book Antiqua"/>
          <w:bCs/>
          <w:sz w:val="24"/>
          <w:szCs w:val="24"/>
          <w:lang w:val="en-US" w:eastAsia="zh-CN"/>
        </w:rPr>
      </w:pPr>
      <w:r w:rsidRPr="00A828B6">
        <w:rPr>
          <w:rFonts w:ascii="Book Antiqua" w:hAnsi="Book Antiqua"/>
          <w:b/>
          <w:bCs/>
          <w:sz w:val="24"/>
          <w:szCs w:val="24"/>
          <w:lang w:val="en-US"/>
        </w:rPr>
        <w:t>Sonia M Najjar,</w:t>
      </w:r>
      <w:r w:rsidRPr="00A828B6">
        <w:rPr>
          <w:rFonts w:ascii="Book Antiqua" w:hAnsi="Book Antiqua"/>
          <w:b/>
          <w:bCs/>
          <w:sz w:val="24"/>
          <w:szCs w:val="24"/>
          <w:lang w:val="en-US" w:eastAsia="zh-CN"/>
        </w:rPr>
        <w:t xml:space="preserve"> </w:t>
      </w:r>
      <w:r w:rsidR="007F013F" w:rsidRPr="00A828B6">
        <w:rPr>
          <w:rFonts w:ascii="Book Antiqua" w:hAnsi="Book Antiqua"/>
          <w:bCs/>
          <w:sz w:val="24"/>
          <w:szCs w:val="24"/>
          <w:lang w:val="en-US"/>
        </w:rPr>
        <w:t>Dep</w:t>
      </w:r>
      <w:r w:rsidR="0064648F" w:rsidRPr="00A828B6">
        <w:rPr>
          <w:rFonts w:ascii="Book Antiqua" w:hAnsi="Book Antiqua"/>
          <w:bCs/>
          <w:sz w:val="24"/>
          <w:szCs w:val="24"/>
          <w:lang w:val="en-US"/>
        </w:rPr>
        <w:t xml:space="preserve">artment of </w:t>
      </w:r>
      <w:r w:rsidR="007F013F" w:rsidRPr="00A828B6">
        <w:rPr>
          <w:rFonts w:ascii="Book Antiqua" w:hAnsi="Book Antiqua"/>
          <w:bCs/>
          <w:sz w:val="24"/>
          <w:szCs w:val="24"/>
          <w:lang w:val="en-US"/>
        </w:rPr>
        <w:t>Physiology and Pharmacology</w:t>
      </w:r>
      <w:r w:rsidR="002F18D1" w:rsidRPr="00A828B6">
        <w:rPr>
          <w:rFonts w:ascii="Book Antiqua" w:hAnsi="Book Antiqua"/>
          <w:bCs/>
          <w:sz w:val="24"/>
          <w:szCs w:val="24"/>
          <w:lang w:val="en-US"/>
        </w:rPr>
        <w:t>,</w:t>
      </w:r>
      <w:r w:rsidR="007F013F" w:rsidRPr="00A828B6">
        <w:rPr>
          <w:rFonts w:ascii="Book Antiqua" w:hAnsi="Book Antiqua"/>
          <w:bCs/>
          <w:sz w:val="24"/>
          <w:szCs w:val="24"/>
          <w:lang w:val="en-US"/>
        </w:rPr>
        <w:t xml:space="preserve"> Center for Diabetes and Endocrine Research (CeDER), U</w:t>
      </w:r>
      <w:r w:rsidR="0089654D" w:rsidRPr="00A828B6">
        <w:rPr>
          <w:rFonts w:ascii="Book Antiqua" w:hAnsi="Book Antiqua"/>
          <w:bCs/>
          <w:sz w:val="24"/>
          <w:szCs w:val="24"/>
          <w:lang w:val="en-US"/>
        </w:rPr>
        <w:t>niversity of Toledo College of Medicine and Life Sciences, Health Science Campus 3000 Arlington Avenue</w:t>
      </w:r>
      <w:r w:rsidRPr="00A828B6">
        <w:rPr>
          <w:rFonts w:ascii="Book Antiqua" w:hAnsi="Book Antiqua"/>
          <w:bCs/>
          <w:sz w:val="24"/>
          <w:szCs w:val="24"/>
          <w:lang w:val="en-US" w:eastAsia="zh-CN"/>
        </w:rPr>
        <w:t>,</w:t>
      </w:r>
      <w:r w:rsidR="0089654D" w:rsidRPr="00A828B6">
        <w:rPr>
          <w:rFonts w:ascii="Book Antiqua" w:hAnsi="Book Antiqua"/>
          <w:bCs/>
          <w:sz w:val="24"/>
          <w:szCs w:val="24"/>
          <w:lang w:val="en-US"/>
        </w:rPr>
        <w:t xml:space="preserve"> </w:t>
      </w:r>
      <w:r w:rsidR="0064648F" w:rsidRPr="00A828B6">
        <w:rPr>
          <w:rFonts w:ascii="Book Antiqua" w:hAnsi="Book Antiqua"/>
          <w:bCs/>
          <w:sz w:val="24"/>
          <w:szCs w:val="24"/>
          <w:lang w:val="en-US"/>
        </w:rPr>
        <w:t xml:space="preserve">Ohio </w:t>
      </w:r>
      <w:r w:rsidR="0089654D" w:rsidRPr="00A828B6">
        <w:rPr>
          <w:rFonts w:ascii="Book Antiqua" w:hAnsi="Book Antiqua"/>
          <w:bCs/>
          <w:sz w:val="24"/>
          <w:szCs w:val="24"/>
          <w:lang w:val="en-US"/>
        </w:rPr>
        <w:t>43614-5804</w:t>
      </w:r>
      <w:r w:rsidR="0064648F" w:rsidRPr="00A828B6">
        <w:rPr>
          <w:rFonts w:ascii="Book Antiqua" w:hAnsi="Book Antiqua"/>
          <w:bCs/>
          <w:sz w:val="24"/>
          <w:szCs w:val="24"/>
          <w:lang w:val="en-US"/>
        </w:rPr>
        <w:t xml:space="preserve">, </w:t>
      </w:r>
      <w:r w:rsidRPr="00A828B6">
        <w:rPr>
          <w:rFonts w:ascii="Book Antiqua" w:hAnsi="Book Antiqua"/>
          <w:bCs/>
          <w:sz w:val="24"/>
          <w:szCs w:val="24"/>
          <w:lang w:val="en-US"/>
        </w:rPr>
        <w:t>United States</w:t>
      </w:r>
    </w:p>
    <w:p w14:paraId="36C87087" w14:textId="77777777" w:rsidR="00DF414C" w:rsidRPr="00A828B6" w:rsidRDefault="00DF414C" w:rsidP="001A5A01">
      <w:pPr>
        <w:spacing w:after="0" w:line="360" w:lineRule="auto"/>
        <w:jc w:val="both"/>
        <w:rPr>
          <w:rFonts w:ascii="Book Antiqua" w:hAnsi="Book Antiqua"/>
          <w:bCs/>
          <w:sz w:val="24"/>
          <w:szCs w:val="24"/>
          <w:lang w:val="en-US" w:eastAsia="zh-CN"/>
        </w:rPr>
      </w:pPr>
    </w:p>
    <w:p w14:paraId="5C202C91" w14:textId="77777777" w:rsidR="000E6621" w:rsidRDefault="00DF414C" w:rsidP="001A5A01">
      <w:pPr>
        <w:spacing w:after="0" w:line="360" w:lineRule="auto"/>
        <w:jc w:val="both"/>
        <w:rPr>
          <w:rFonts w:ascii="Book Antiqua" w:hAnsi="Book Antiqua"/>
          <w:bCs/>
          <w:sz w:val="24"/>
          <w:szCs w:val="24"/>
          <w:lang w:val="en-US" w:eastAsia="zh-CN"/>
        </w:rPr>
      </w:pPr>
      <w:bookmarkStart w:id="7" w:name="OLE_LINK28"/>
      <w:bookmarkStart w:id="8" w:name="OLE_LINK29"/>
      <w:bookmarkStart w:id="9" w:name="OLE_LINK81"/>
      <w:bookmarkStart w:id="10" w:name="OLE_LINK125"/>
      <w:bookmarkStart w:id="11" w:name="OLE_LINK152"/>
      <w:bookmarkStart w:id="12" w:name="OLE_LINK173"/>
      <w:bookmarkStart w:id="13" w:name="OLE_LINK190"/>
      <w:bookmarkStart w:id="14" w:name="OLE_LINK228"/>
      <w:bookmarkStart w:id="15" w:name="OLE_LINK296"/>
      <w:r w:rsidRPr="00A828B6">
        <w:rPr>
          <w:rFonts w:ascii="Book Antiqua" w:eastAsia="MS Mincho" w:hAnsi="Book Antiqua"/>
          <w:b/>
          <w:sz w:val="24"/>
          <w:lang w:eastAsia="ja-JP"/>
        </w:rPr>
        <w:t>Author contributions:</w:t>
      </w:r>
      <w:bookmarkEnd w:id="7"/>
      <w:bookmarkEnd w:id="8"/>
      <w:bookmarkEnd w:id="9"/>
      <w:bookmarkEnd w:id="10"/>
      <w:bookmarkEnd w:id="11"/>
      <w:bookmarkEnd w:id="12"/>
      <w:bookmarkEnd w:id="13"/>
      <w:bookmarkEnd w:id="14"/>
      <w:bookmarkEnd w:id="15"/>
      <w:r w:rsidRPr="00A828B6">
        <w:rPr>
          <w:rFonts w:ascii="Book Antiqua" w:hAnsi="Book Antiqua"/>
          <w:b/>
          <w:sz w:val="24"/>
          <w:lang w:eastAsia="zh-CN"/>
        </w:rPr>
        <w:t xml:space="preserve"> </w:t>
      </w:r>
      <w:r w:rsidRPr="00A828B6">
        <w:rPr>
          <w:rFonts w:ascii="Book Antiqua" w:hAnsi="Book Antiqua"/>
          <w:bCs/>
          <w:sz w:val="24"/>
          <w:szCs w:val="24"/>
          <w:lang w:val="en-US"/>
        </w:rPr>
        <w:t xml:space="preserve">Basaranoglu </w:t>
      </w:r>
      <w:r w:rsidRPr="00A828B6">
        <w:rPr>
          <w:rFonts w:ascii="Book Antiqua" w:hAnsi="Book Antiqua"/>
          <w:bCs/>
          <w:sz w:val="24"/>
          <w:szCs w:val="24"/>
          <w:lang w:val="en-US" w:eastAsia="zh-CN"/>
        </w:rPr>
        <w:t xml:space="preserve">M </w:t>
      </w:r>
      <w:r w:rsidRPr="00A828B6">
        <w:rPr>
          <w:rFonts w:ascii="Book Antiqua" w:hAnsi="Book Antiqua"/>
          <w:bCs/>
          <w:sz w:val="24"/>
          <w:szCs w:val="24"/>
          <w:lang w:val="en-US"/>
        </w:rPr>
        <w:t>was involved in the study concept and design; study supervision, data acquisition, analysis and interpretation; drafting of the manuscript; critical revision of the manuscript for important intellectual content; raising fund; and providing administrative, technical, and material support</w:t>
      </w:r>
      <w:r w:rsidR="000E6621">
        <w:rPr>
          <w:rFonts w:ascii="Book Antiqua" w:hAnsi="Book Antiqua" w:hint="eastAsia"/>
          <w:bCs/>
          <w:sz w:val="24"/>
          <w:szCs w:val="24"/>
          <w:lang w:val="en-US" w:eastAsia="zh-CN"/>
        </w:rPr>
        <w:t xml:space="preserve">; </w:t>
      </w:r>
      <w:r w:rsidRPr="00A828B6">
        <w:rPr>
          <w:rFonts w:ascii="Book Antiqua" w:hAnsi="Book Antiqua"/>
          <w:bCs/>
          <w:sz w:val="24"/>
          <w:szCs w:val="24"/>
          <w:lang w:val="en-US"/>
        </w:rPr>
        <w:t xml:space="preserve">Demirbag </w:t>
      </w:r>
      <w:r w:rsidRPr="00A828B6">
        <w:rPr>
          <w:rFonts w:ascii="Book Antiqua" w:hAnsi="Book Antiqua"/>
          <w:bCs/>
          <w:sz w:val="24"/>
          <w:szCs w:val="24"/>
          <w:lang w:val="en-US" w:eastAsia="zh-CN"/>
        </w:rPr>
        <w:t xml:space="preserve">AE </w:t>
      </w:r>
      <w:r w:rsidRPr="00A828B6">
        <w:rPr>
          <w:rFonts w:ascii="Book Antiqua" w:hAnsi="Book Antiqua"/>
          <w:bCs/>
          <w:sz w:val="24"/>
          <w:szCs w:val="24"/>
          <w:lang w:val="en-US"/>
        </w:rPr>
        <w:t>performed statistical analysis</w:t>
      </w:r>
      <w:r w:rsidR="000E6621">
        <w:rPr>
          <w:rFonts w:ascii="Book Antiqua" w:hAnsi="Book Antiqua" w:hint="eastAsia"/>
          <w:bCs/>
          <w:sz w:val="24"/>
          <w:szCs w:val="24"/>
          <w:lang w:val="en-US" w:eastAsia="zh-CN"/>
        </w:rPr>
        <w:t xml:space="preserve">; </w:t>
      </w:r>
      <w:r w:rsidRPr="00A828B6">
        <w:rPr>
          <w:rFonts w:ascii="Book Antiqua" w:hAnsi="Book Antiqua"/>
          <w:bCs/>
          <w:sz w:val="24"/>
          <w:szCs w:val="24"/>
          <w:lang w:val="en-US"/>
        </w:rPr>
        <w:t xml:space="preserve">Najjar </w:t>
      </w:r>
      <w:r w:rsidRPr="00A828B6">
        <w:rPr>
          <w:rFonts w:ascii="Book Antiqua" w:hAnsi="Book Antiqua"/>
          <w:bCs/>
          <w:sz w:val="24"/>
          <w:szCs w:val="24"/>
          <w:lang w:val="en-US" w:eastAsia="zh-CN"/>
        </w:rPr>
        <w:t xml:space="preserve">SM </w:t>
      </w:r>
      <w:r w:rsidRPr="00A828B6">
        <w:rPr>
          <w:rFonts w:ascii="Book Antiqua" w:hAnsi="Book Antiqua"/>
          <w:bCs/>
          <w:sz w:val="24"/>
          <w:szCs w:val="24"/>
          <w:lang w:val="en-US"/>
        </w:rPr>
        <w:t>critically analyzed and reviewed data analysis and interpretation</w:t>
      </w:r>
      <w:r w:rsidRPr="00A828B6">
        <w:rPr>
          <w:rFonts w:ascii="Book Antiqua" w:hAnsi="Book Antiqua"/>
          <w:bCs/>
          <w:sz w:val="24"/>
          <w:szCs w:val="24"/>
          <w:lang w:val="en-US" w:eastAsia="zh-CN"/>
        </w:rPr>
        <w:t>,</w:t>
      </w:r>
      <w:r w:rsidRPr="00A828B6">
        <w:rPr>
          <w:rFonts w:ascii="Book Antiqua" w:hAnsi="Book Antiqua"/>
          <w:bCs/>
          <w:sz w:val="24"/>
          <w:szCs w:val="24"/>
          <w:lang w:val="en-US"/>
        </w:rPr>
        <w:t xml:space="preserve"> and provided critical revision of the manuscript for important intellectual content</w:t>
      </w:r>
      <w:r w:rsidRPr="00A828B6">
        <w:rPr>
          <w:rFonts w:ascii="Book Antiqua" w:hAnsi="Book Antiqua"/>
          <w:bCs/>
          <w:sz w:val="24"/>
          <w:szCs w:val="24"/>
          <w:lang w:val="en-US" w:eastAsia="zh-CN"/>
        </w:rPr>
        <w:t>;</w:t>
      </w:r>
      <w:r w:rsidRPr="00A828B6">
        <w:rPr>
          <w:rFonts w:ascii="Book Antiqua" w:hAnsi="Book Antiqua"/>
          <w:bCs/>
          <w:sz w:val="24"/>
          <w:szCs w:val="24"/>
          <w:lang w:val="en-US"/>
        </w:rPr>
        <w:t xml:space="preserve"> Sentürk </w:t>
      </w:r>
      <w:r w:rsidRPr="00A828B6">
        <w:rPr>
          <w:rFonts w:ascii="Book Antiqua" w:hAnsi="Book Antiqua"/>
          <w:bCs/>
          <w:sz w:val="24"/>
          <w:szCs w:val="24"/>
          <w:lang w:val="en-US" w:eastAsia="zh-CN"/>
        </w:rPr>
        <w:t xml:space="preserve">H </w:t>
      </w:r>
      <w:r w:rsidRPr="00A828B6">
        <w:rPr>
          <w:rFonts w:ascii="Book Antiqua" w:hAnsi="Book Antiqua"/>
          <w:bCs/>
          <w:sz w:val="24"/>
          <w:szCs w:val="24"/>
          <w:lang w:val="en-US"/>
        </w:rPr>
        <w:t>approved the final version of the manuscript.</w:t>
      </w:r>
    </w:p>
    <w:p w14:paraId="060A3FBA" w14:textId="77777777" w:rsidR="000E6621" w:rsidRDefault="000E6621" w:rsidP="001A5A01">
      <w:pPr>
        <w:spacing w:after="0" w:line="360" w:lineRule="auto"/>
        <w:jc w:val="both"/>
        <w:rPr>
          <w:rFonts w:ascii="Book Antiqua" w:hAnsi="Book Antiqua"/>
          <w:bCs/>
          <w:sz w:val="24"/>
          <w:szCs w:val="24"/>
          <w:lang w:val="en-US" w:eastAsia="zh-CN"/>
        </w:rPr>
      </w:pPr>
    </w:p>
    <w:p w14:paraId="56234A30" w14:textId="595AA8CA" w:rsidR="00352C79" w:rsidRPr="00A828B6" w:rsidRDefault="00DF414C" w:rsidP="001A5A01">
      <w:pPr>
        <w:spacing w:after="0" w:line="360" w:lineRule="auto"/>
        <w:jc w:val="both"/>
        <w:rPr>
          <w:rFonts w:ascii="Book Antiqua" w:hAnsi="Book Antiqua"/>
          <w:bCs/>
          <w:sz w:val="24"/>
          <w:szCs w:val="24"/>
          <w:lang w:val="en-US" w:eastAsia="zh-CN"/>
        </w:rPr>
      </w:pPr>
      <w:r w:rsidRPr="00A828B6">
        <w:rPr>
          <w:rFonts w:ascii="Book Antiqua" w:hAnsi="Book Antiqua" w:cs="TimesNewRomanPS-BoldItalicMT"/>
          <w:b/>
          <w:bCs/>
          <w:iCs/>
          <w:sz w:val="24"/>
        </w:rPr>
        <w:t>Conflict-of-interest</w:t>
      </w:r>
      <w:r w:rsidRPr="00A828B6">
        <w:rPr>
          <w:rFonts w:ascii="Book Antiqua" w:hAnsi="Book Antiqua"/>
        </w:rPr>
        <w:t xml:space="preserve"> </w:t>
      </w:r>
      <w:r w:rsidRPr="00A828B6">
        <w:rPr>
          <w:rFonts w:ascii="Book Antiqua" w:hAnsi="Book Antiqua" w:cs="TimesNewRomanPS-BoldItalicMT"/>
          <w:b/>
          <w:bCs/>
          <w:iCs/>
          <w:sz w:val="24"/>
        </w:rPr>
        <w:t>statement:</w:t>
      </w:r>
      <w:r w:rsidR="00D42609" w:rsidRPr="00A828B6">
        <w:rPr>
          <w:rFonts w:ascii="Book Antiqua" w:hAnsi="Book Antiqua"/>
          <w:bCs/>
          <w:sz w:val="24"/>
          <w:szCs w:val="24"/>
          <w:lang w:val="en-US"/>
        </w:rPr>
        <w:t xml:space="preserve"> The authors declare that they have no competing interests.</w:t>
      </w:r>
    </w:p>
    <w:p w14:paraId="146F3356" w14:textId="77777777" w:rsidR="00DF414C" w:rsidRPr="00A828B6" w:rsidRDefault="00DF414C" w:rsidP="001A5A01">
      <w:pPr>
        <w:spacing w:after="0" w:line="360" w:lineRule="auto"/>
        <w:jc w:val="both"/>
        <w:rPr>
          <w:rFonts w:ascii="Book Antiqua" w:hAnsi="Book Antiqua"/>
          <w:bCs/>
          <w:sz w:val="24"/>
          <w:szCs w:val="24"/>
          <w:lang w:val="en-US" w:eastAsia="zh-CN"/>
        </w:rPr>
      </w:pPr>
    </w:p>
    <w:p w14:paraId="4E5B7310" w14:textId="74353288" w:rsidR="00DF414C" w:rsidRPr="00A828B6" w:rsidRDefault="00DF414C" w:rsidP="001A5A01">
      <w:pPr>
        <w:autoSpaceDE w:val="0"/>
        <w:autoSpaceDN w:val="0"/>
        <w:adjustRightInd w:val="0"/>
        <w:spacing w:after="0" w:line="360" w:lineRule="auto"/>
        <w:jc w:val="both"/>
        <w:rPr>
          <w:rFonts w:ascii="Book Antiqua" w:hAnsi="Book Antiqua" w:cs="TimesNewRomanPS-BoldItalicMT"/>
          <w:bCs/>
          <w:iCs/>
          <w:sz w:val="24"/>
          <w:lang w:eastAsia="zh-CN"/>
        </w:rPr>
      </w:pPr>
      <w:bookmarkStart w:id="16" w:name="OLE_LINK441"/>
      <w:bookmarkStart w:id="17" w:name="OLE_LINK183"/>
      <w:bookmarkStart w:id="18" w:name="OLE_LINK155"/>
      <w:r w:rsidRPr="00A828B6">
        <w:rPr>
          <w:rFonts w:ascii="Book Antiqua" w:hAnsi="Book Antiqua" w:cs="TimesNewRomanPS-BoldItalicMT"/>
          <w:b/>
          <w:bCs/>
          <w:iCs/>
          <w:sz w:val="24"/>
        </w:rPr>
        <w:t>Data sharing</w:t>
      </w:r>
      <w:r w:rsidRPr="00A828B6">
        <w:rPr>
          <w:rFonts w:ascii="Book Antiqua" w:hAnsi="Book Antiqua"/>
          <w:b/>
          <w:bCs/>
          <w:iCs/>
          <w:sz w:val="24"/>
        </w:rPr>
        <w:t xml:space="preserve"> statement</w:t>
      </w:r>
      <w:r w:rsidRPr="00A828B6">
        <w:rPr>
          <w:rFonts w:ascii="Book Antiqua" w:hAnsi="Book Antiqua" w:cs="TimesNewRomanPS-BoldItalicMT"/>
          <w:b/>
          <w:bCs/>
          <w:iCs/>
          <w:sz w:val="24"/>
        </w:rPr>
        <w:t>:</w:t>
      </w:r>
      <w:r w:rsidRPr="00A828B6">
        <w:rPr>
          <w:rFonts w:ascii="Book Antiqua" w:hAnsi="Book Antiqua" w:cs="TimesNewRomanPS-BoldItalicMT"/>
          <w:b/>
          <w:bCs/>
          <w:iCs/>
          <w:sz w:val="24"/>
          <w:lang w:eastAsia="zh-CN"/>
        </w:rPr>
        <w:t xml:space="preserve"> </w:t>
      </w:r>
      <w:r w:rsidRPr="00A828B6">
        <w:rPr>
          <w:rFonts w:ascii="Book Antiqua" w:hAnsi="Book Antiqua" w:cs="TimesNewRomanPS-BoldItalicMT"/>
          <w:bCs/>
          <w:iCs/>
          <w:sz w:val="24"/>
          <w:lang w:eastAsia="zh-CN"/>
        </w:rPr>
        <w:t>No additional data are available.</w:t>
      </w:r>
    </w:p>
    <w:p w14:paraId="7359C123" w14:textId="77777777" w:rsidR="00DF414C" w:rsidRPr="00A828B6" w:rsidRDefault="00DF414C" w:rsidP="001A5A01">
      <w:pPr>
        <w:spacing w:after="0" w:line="360" w:lineRule="auto"/>
        <w:jc w:val="both"/>
        <w:rPr>
          <w:rFonts w:ascii="Book Antiqua" w:hAnsi="Book Antiqua" w:cs="TimesNewRomanPS-BoldItalicMT"/>
          <w:b/>
          <w:bCs/>
          <w:iCs/>
          <w:sz w:val="24"/>
          <w:lang w:eastAsia="zh-CN"/>
        </w:rPr>
      </w:pPr>
    </w:p>
    <w:p w14:paraId="150E078D" w14:textId="77777777" w:rsidR="00296C61" w:rsidRPr="00A828B6" w:rsidRDefault="00296C61" w:rsidP="001A5A01">
      <w:pPr>
        <w:spacing w:after="0" w:line="360" w:lineRule="auto"/>
        <w:jc w:val="both"/>
        <w:rPr>
          <w:rFonts w:ascii="Book Antiqua" w:hAnsi="Book Antiqua"/>
          <w:b/>
          <w:sz w:val="24"/>
        </w:rPr>
      </w:pPr>
      <w:r w:rsidRPr="00A828B6">
        <w:rPr>
          <w:rFonts w:ascii="Book Antiqua" w:hAnsi="Book Antiqua"/>
          <w:b/>
          <w:sz w:val="24"/>
        </w:rPr>
        <w:t xml:space="preserve">Open-Access: </w:t>
      </w:r>
      <w:r w:rsidRPr="00A828B6">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
      <w:bookmarkEnd w:id="17"/>
      <w:bookmarkEnd w:id="18"/>
    </w:p>
    <w:p w14:paraId="564472A7" w14:textId="77777777" w:rsidR="00296C61" w:rsidRPr="00A828B6" w:rsidRDefault="00296C61" w:rsidP="001A5A01">
      <w:pPr>
        <w:spacing w:after="0" w:line="360" w:lineRule="auto"/>
        <w:jc w:val="both"/>
        <w:rPr>
          <w:rFonts w:ascii="Book Antiqua" w:hAnsi="Book Antiqua"/>
          <w:bCs/>
          <w:sz w:val="24"/>
          <w:szCs w:val="24"/>
          <w:lang w:eastAsia="zh-CN"/>
        </w:rPr>
      </w:pPr>
    </w:p>
    <w:p w14:paraId="71C38F67" w14:textId="129EC7D0" w:rsidR="00DF414C" w:rsidRPr="00A828B6" w:rsidRDefault="00296C61" w:rsidP="001A5A01">
      <w:pPr>
        <w:spacing w:after="0" w:line="360" w:lineRule="auto"/>
        <w:jc w:val="both"/>
        <w:rPr>
          <w:rFonts w:ascii="Book Antiqua" w:hAnsi="Book Antiqua"/>
          <w:bCs/>
          <w:sz w:val="24"/>
          <w:szCs w:val="24"/>
          <w:lang w:eastAsia="zh-CN"/>
        </w:rPr>
      </w:pPr>
      <w:bookmarkStart w:id="19" w:name="OLE_LINK536"/>
      <w:bookmarkStart w:id="20" w:name="OLE_LINK535"/>
      <w:r w:rsidRPr="00A828B6">
        <w:rPr>
          <w:rFonts w:ascii="Book Antiqua" w:hAnsi="Book Antiqua"/>
          <w:b/>
          <w:sz w:val="24"/>
        </w:rPr>
        <w:t>Correspondence to:</w:t>
      </w:r>
      <w:bookmarkEnd w:id="19"/>
      <w:bookmarkEnd w:id="20"/>
      <w:r w:rsidRPr="00A828B6">
        <w:rPr>
          <w:rFonts w:ascii="Book Antiqua" w:hAnsi="Book Antiqua"/>
          <w:b/>
          <w:sz w:val="24"/>
          <w:lang w:eastAsia="zh-CN"/>
        </w:rPr>
        <w:t xml:space="preserve"> </w:t>
      </w:r>
      <w:r w:rsidR="0089654D" w:rsidRPr="00A828B6">
        <w:rPr>
          <w:rFonts w:ascii="Book Antiqua" w:hAnsi="Book Antiqua"/>
          <w:b/>
          <w:bCs/>
          <w:sz w:val="24"/>
          <w:szCs w:val="24"/>
        </w:rPr>
        <w:t>Metin Basaranoglu</w:t>
      </w:r>
      <w:r w:rsidRPr="00A828B6">
        <w:rPr>
          <w:rFonts w:ascii="Book Antiqua" w:hAnsi="Book Antiqua"/>
          <w:b/>
          <w:bCs/>
          <w:sz w:val="24"/>
          <w:szCs w:val="24"/>
          <w:lang w:eastAsia="zh-CN"/>
        </w:rPr>
        <w:t>,</w:t>
      </w:r>
      <w:r w:rsidR="009E3FCB" w:rsidRPr="00A828B6">
        <w:rPr>
          <w:rFonts w:ascii="Book Antiqua" w:hAnsi="Book Antiqua"/>
          <w:b/>
          <w:bCs/>
          <w:sz w:val="24"/>
          <w:szCs w:val="24"/>
        </w:rPr>
        <w:t xml:space="preserve"> MD</w:t>
      </w:r>
      <w:r w:rsidRPr="00A828B6">
        <w:rPr>
          <w:rFonts w:ascii="Book Antiqua" w:hAnsi="Book Antiqua"/>
          <w:b/>
          <w:bCs/>
          <w:sz w:val="24"/>
          <w:szCs w:val="24"/>
          <w:lang w:eastAsia="zh-CN"/>
        </w:rPr>
        <w:t>,</w:t>
      </w:r>
      <w:r w:rsidR="009E3FCB" w:rsidRPr="00A828B6">
        <w:rPr>
          <w:rFonts w:ascii="Book Antiqua" w:hAnsi="Book Antiqua"/>
          <w:b/>
          <w:bCs/>
          <w:sz w:val="24"/>
          <w:szCs w:val="24"/>
        </w:rPr>
        <w:t xml:space="preserve"> PhD</w:t>
      </w:r>
      <w:r w:rsidR="0089654D" w:rsidRPr="00A828B6">
        <w:rPr>
          <w:rFonts w:ascii="Book Antiqua" w:hAnsi="Book Antiqua"/>
          <w:b/>
          <w:bCs/>
          <w:sz w:val="24"/>
          <w:szCs w:val="24"/>
        </w:rPr>
        <w:t>,</w:t>
      </w:r>
      <w:r w:rsidR="0089654D" w:rsidRPr="00A828B6">
        <w:rPr>
          <w:rFonts w:ascii="Book Antiqua" w:hAnsi="Book Antiqua"/>
          <w:bCs/>
          <w:sz w:val="24"/>
          <w:szCs w:val="24"/>
        </w:rPr>
        <w:t xml:space="preserve"> Division of Gastroenterology, Department of Internal Medicine, Bezmialem Vakif University Faculty of Medicine, </w:t>
      </w:r>
      <w:r w:rsidR="00D738B1">
        <w:rPr>
          <w:rFonts w:ascii="Book Antiqua" w:hAnsi="Book Antiqua"/>
          <w:bCs/>
          <w:sz w:val="24"/>
          <w:szCs w:val="24"/>
        </w:rPr>
        <w:t>Fatih</w:t>
      </w:r>
      <w:r w:rsidR="003C6D76" w:rsidRPr="00A828B6">
        <w:rPr>
          <w:rFonts w:ascii="Book Antiqua" w:hAnsi="Book Antiqua"/>
          <w:bCs/>
          <w:sz w:val="24"/>
          <w:szCs w:val="24"/>
        </w:rPr>
        <w:t xml:space="preserve"> 34000, </w:t>
      </w:r>
      <w:r w:rsidR="0089654D" w:rsidRPr="00A828B6">
        <w:rPr>
          <w:rFonts w:ascii="Book Antiqua" w:hAnsi="Book Antiqua"/>
          <w:bCs/>
          <w:sz w:val="24"/>
          <w:szCs w:val="24"/>
        </w:rPr>
        <w:t xml:space="preserve">Istanbul, Turkey. </w:t>
      </w:r>
      <w:r w:rsidR="00DF414C" w:rsidRPr="00A828B6">
        <w:rPr>
          <w:rFonts w:ascii="Book Antiqua" w:hAnsi="Book Antiqua"/>
          <w:bCs/>
          <w:sz w:val="24"/>
          <w:szCs w:val="24"/>
        </w:rPr>
        <w:t>metin_basaranoglu@yahoo.com</w:t>
      </w:r>
    </w:p>
    <w:p w14:paraId="23403054" w14:textId="66433C4D" w:rsidR="00DF414C" w:rsidRPr="00A828B6" w:rsidRDefault="00DF414C" w:rsidP="001A5A01">
      <w:pPr>
        <w:spacing w:after="0" w:line="360" w:lineRule="auto"/>
        <w:jc w:val="both"/>
        <w:rPr>
          <w:rFonts w:ascii="Book Antiqua" w:hAnsi="Book Antiqua"/>
          <w:bCs/>
          <w:sz w:val="24"/>
          <w:szCs w:val="24"/>
          <w:lang w:eastAsia="zh-CN"/>
        </w:rPr>
      </w:pPr>
      <w:r w:rsidRPr="00A828B6">
        <w:rPr>
          <w:rFonts w:ascii="Book Antiqua" w:hAnsi="Book Antiqua"/>
          <w:b/>
          <w:bCs/>
          <w:sz w:val="24"/>
          <w:szCs w:val="24"/>
          <w:lang w:eastAsia="zh-CN"/>
        </w:rPr>
        <w:t>Tele</w:t>
      </w:r>
      <w:r w:rsidRPr="00A828B6">
        <w:rPr>
          <w:rFonts w:ascii="Book Antiqua" w:hAnsi="Book Antiqua"/>
          <w:b/>
          <w:bCs/>
          <w:sz w:val="24"/>
          <w:szCs w:val="24"/>
        </w:rPr>
        <w:t>p</w:t>
      </w:r>
      <w:r w:rsidR="0089654D" w:rsidRPr="00A828B6">
        <w:rPr>
          <w:rFonts w:ascii="Book Antiqua" w:hAnsi="Book Antiqua"/>
          <w:b/>
          <w:bCs/>
          <w:sz w:val="24"/>
          <w:szCs w:val="24"/>
        </w:rPr>
        <w:t>hone</w:t>
      </w:r>
      <w:r w:rsidR="0089654D" w:rsidRPr="00A828B6">
        <w:rPr>
          <w:rFonts w:ascii="Book Antiqua" w:hAnsi="Book Antiqua"/>
          <w:bCs/>
          <w:sz w:val="24"/>
          <w:szCs w:val="24"/>
        </w:rPr>
        <w:t>:</w:t>
      </w:r>
      <w:r w:rsidR="00F6251A">
        <w:rPr>
          <w:rFonts w:ascii="Book Antiqua" w:hAnsi="Book Antiqua" w:hint="eastAsia"/>
          <w:bCs/>
          <w:sz w:val="24"/>
          <w:szCs w:val="24"/>
          <w:lang w:eastAsia="zh-CN"/>
        </w:rPr>
        <w:t xml:space="preserve"> </w:t>
      </w:r>
      <w:r w:rsidR="0089654D" w:rsidRPr="00A828B6">
        <w:rPr>
          <w:rFonts w:ascii="Book Antiqua" w:hAnsi="Book Antiqua"/>
          <w:bCs/>
          <w:sz w:val="24"/>
          <w:szCs w:val="24"/>
        </w:rPr>
        <w:t>+90</w:t>
      </w:r>
      <w:r w:rsidRPr="00A828B6">
        <w:rPr>
          <w:rFonts w:ascii="Book Antiqua" w:hAnsi="Book Antiqua"/>
          <w:bCs/>
          <w:sz w:val="24"/>
          <w:szCs w:val="24"/>
          <w:lang w:eastAsia="zh-CN"/>
        </w:rPr>
        <w:t>-</w:t>
      </w:r>
      <w:r w:rsidR="0089654D" w:rsidRPr="00A828B6">
        <w:rPr>
          <w:rFonts w:ascii="Book Antiqua" w:hAnsi="Book Antiqua"/>
          <w:bCs/>
          <w:sz w:val="24"/>
          <w:szCs w:val="24"/>
        </w:rPr>
        <w:t>2</w:t>
      </w:r>
      <w:r w:rsidR="00A530FC" w:rsidRPr="00A828B6">
        <w:rPr>
          <w:rFonts w:ascii="Book Antiqua" w:hAnsi="Book Antiqua"/>
          <w:bCs/>
          <w:sz w:val="24"/>
          <w:szCs w:val="24"/>
        </w:rPr>
        <w:t>12</w:t>
      </w:r>
      <w:r w:rsidRPr="00A828B6">
        <w:rPr>
          <w:rFonts w:ascii="Book Antiqua" w:hAnsi="Book Antiqua"/>
          <w:bCs/>
          <w:sz w:val="24"/>
          <w:szCs w:val="24"/>
          <w:lang w:eastAsia="zh-CN"/>
        </w:rPr>
        <w:t>-</w:t>
      </w:r>
      <w:r w:rsidR="0089654D" w:rsidRPr="00A828B6">
        <w:rPr>
          <w:rFonts w:ascii="Book Antiqua" w:hAnsi="Book Antiqua"/>
          <w:bCs/>
          <w:sz w:val="24"/>
          <w:szCs w:val="24"/>
        </w:rPr>
        <w:t>554</w:t>
      </w:r>
      <w:r w:rsidRPr="00A828B6">
        <w:rPr>
          <w:rFonts w:ascii="Book Antiqua" w:hAnsi="Book Antiqua"/>
          <w:bCs/>
          <w:sz w:val="24"/>
          <w:szCs w:val="24"/>
        </w:rPr>
        <w:t>0000</w:t>
      </w:r>
    </w:p>
    <w:p w14:paraId="1AEF66FB" w14:textId="0C8F086F" w:rsidR="009A74BD" w:rsidRPr="00A828B6" w:rsidRDefault="0089654D" w:rsidP="001A5A01">
      <w:pPr>
        <w:spacing w:after="0" w:line="360" w:lineRule="auto"/>
        <w:jc w:val="both"/>
        <w:rPr>
          <w:rFonts w:ascii="Book Antiqua" w:hAnsi="Book Antiqua"/>
          <w:b/>
          <w:sz w:val="24"/>
        </w:rPr>
      </w:pPr>
      <w:r w:rsidRPr="00A828B6">
        <w:rPr>
          <w:rFonts w:ascii="Book Antiqua" w:hAnsi="Book Antiqua"/>
          <w:b/>
          <w:bCs/>
          <w:sz w:val="24"/>
          <w:szCs w:val="24"/>
        </w:rPr>
        <w:t>Fax</w:t>
      </w:r>
      <w:r w:rsidR="00A530FC" w:rsidRPr="00A828B6">
        <w:rPr>
          <w:rFonts w:ascii="Book Antiqua" w:hAnsi="Book Antiqua"/>
          <w:bCs/>
          <w:sz w:val="24"/>
          <w:szCs w:val="24"/>
        </w:rPr>
        <w:t>:</w:t>
      </w:r>
      <w:r w:rsidR="00F6251A">
        <w:rPr>
          <w:rFonts w:ascii="Book Antiqua" w:hAnsi="Book Antiqua" w:hint="eastAsia"/>
          <w:bCs/>
          <w:sz w:val="24"/>
          <w:szCs w:val="24"/>
          <w:lang w:eastAsia="zh-CN"/>
        </w:rPr>
        <w:t xml:space="preserve"> </w:t>
      </w:r>
      <w:r w:rsidR="00A530FC" w:rsidRPr="00A828B6">
        <w:rPr>
          <w:rFonts w:ascii="Book Antiqua" w:hAnsi="Book Antiqua"/>
          <w:bCs/>
          <w:sz w:val="24"/>
          <w:szCs w:val="24"/>
        </w:rPr>
        <w:t>+90</w:t>
      </w:r>
      <w:r w:rsidR="00DF414C" w:rsidRPr="00A828B6">
        <w:rPr>
          <w:rFonts w:ascii="Book Antiqua" w:hAnsi="Book Antiqua"/>
          <w:bCs/>
          <w:sz w:val="24"/>
          <w:szCs w:val="24"/>
          <w:lang w:eastAsia="zh-CN"/>
        </w:rPr>
        <w:t>-</w:t>
      </w:r>
      <w:r w:rsidRPr="00A828B6">
        <w:rPr>
          <w:rFonts w:ascii="Book Antiqua" w:hAnsi="Book Antiqua"/>
          <w:bCs/>
          <w:sz w:val="24"/>
          <w:szCs w:val="24"/>
        </w:rPr>
        <w:t>2</w:t>
      </w:r>
      <w:r w:rsidR="00A530FC" w:rsidRPr="00A828B6">
        <w:rPr>
          <w:rFonts w:ascii="Book Antiqua" w:hAnsi="Book Antiqua"/>
          <w:bCs/>
          <w:sz w:val="24"/>
          <w:szCs w:val="24"/>
        </w:rPr>
        <w:t>12</w:t>
      </w:r>
      <w:r w:rsidR="00DF414C" w:rsidRPr="00A828B6">
        <w:rPr>
          <w:rFonts w:ascii="Book Antiqua" w:hAnsi="Book Antiqua"/>
          <w:bCs/>
          <w:sz w:val="24"/>
          <w:szCs w:val="24"/>
          <w:lang w:eastAsia="zh-CN"/>
        </w:rPr>
        <w:t>-</w:t>
      </w:r>
      <w:r w:rsidRPr="00A828B6">
        <w:rPr>
          <w:rFonts w:ascii="Book Antiqua" w:hAnsi="Book Antiqua"/>
          <w:bCs/>
          <w:sz w:val="24"/>
          <w:szCs w:val="24"/>
        </w:rPr>
        <w:t>55</w:t>
      </w:r>
      <w:r w:rsidR="00DF414C" w:rsidRPr="00A828B6">
        <w:rPr>
          <w:rFonts w:ascii="Book Antiqua" w:hAnsi="Book Antiqua"/>
          <w:bCs/>
          <w:sz w:val="24"/>
          <w:szCs w:val="24"/>
        </w:rPr>
        <w:t>40000</w:t>
      </w:r>
      <w:r w:rsidR="00A530FC" w:rsidRPr="00A828B6">
        <w:rPr>
          <w:rFonts w:ascii="Book Antiqua" w:hAnsi="Book Antiqua"/>
          <w:bCs/>
          <w:sz w:val="24"/>
          <w:szCs w:val="24"/>
        </w:rPr>
        <w:t xml:space="preserve"> </w:t>
      </w:r>
    </w:p>
    <w:p w14:paraId="6D4E7DC1" w14:textId="77777777" w:rsidR="009A74BD" w:rsidRPr="00A828B6" w:rsidRDefault="009A74BD" w:rsidP="001A5A01">
      <w:pPr>
        <w:spacing w:after="0" w:line="240" w:lineRule="auto"/>
        <w:jc w:val="both"/>
        <w:rPr>
          <w:rFonts w:ascii="Book Antiqua" w:eastAsia="Times New Roman" w:hAnsi="Book Antiqua"/>
          <w:sz w:val="24"/>
          <w:szCs w:val="24"/>
          <w:lang w:val="en-US" w:eastAsia="tr-TR"/>
        </w:rPr>
      </w:pPr>
    </w:p>
    <w:p w14:paraId="773B3565" w14:textId="74E49C18" w:rsidR="00296C61" w:rsidRPr="00A828B6" w:rsidRDefault="00296C61" w:rsidP="001A5A01">
      <w:pPr>
        <w:spacing w:after="0" w:line="360" w:lineRule="auto"/>
        <w:jc w:val="both"/>
        <w:rPr>
          <w:rFonts w:ascii="Book Antiqua" w:hAnsi="Book Antiqua"/>
          <w:sz w:val="24"/>
          <w:lang w:eastAsia="zh-CN"/>
        </w:rPr>
      </w:pPr>
      <w:bookmarkStart w:id="21" w:name="OLE_LINK557"/>
      <w:bookmarkStart w:id="22" w:name="OLE_LINK528"/>
      <w:bookmarkStart w:id="23" w:name="OLE_LINK117"/>
      <w:bookmarkStart w:id="24" w:name="OLE_LINK477"/>
      <w:bookmarkStart w:id="25" w:name="OLE_LINK476"/>
      <w:bookmarkStart w:id="26" w:name="OLE_LINK212"/>
      <w:bookmarkStart w:id="27" w:name="OLE_LINK12"/>
      <w:r w:rsidRPr="00A828B6">
        <w:rPr>
          <w:rFonts w:ascii="Book Antiqua" w:hAnsi="Book Antiqua"/>
          <w:b/>
          <w:sz w:val="24"/>
        </w:rPr>
        <w:t>Received:</w:t>
      </w:r>
      <w:r w:rsidR="00DF414C" w:rsidRPr="00A828B6">
        <w:rPr>
          <w:rFonts w:ascii="Book Antiqua" w:hAnsi="Book Antiqua"/>
          <w:b/>
          <w:sz w:val="24"/>
          <w:lang w:eastAsia="zh-CN"/>
        </w:rPr>
        <w:t xml:space="preserve"> </w:t>
      </w:r>
      <w:r w:rsidR="00DF414C" w:rsidRPr="00A828B6">
        <w:rPr>
          <w:rFonts w:ascii="Book Antiqua" w:hAnsi="Book Antiqua"/>
          <w:sz w:val="24"/>
          <w:lang w:eastAsia="zh-CN"/>
        </w:rPr>
        <w:t>November 15, 2015</w:t>
      </w:r>
    </w:p>
    <w:p w14:paraId="357C4D44" w14:textId="42914B26" w:rsidR="00296C61" w:rsidRPr="00A828B6" w:rsidRDefault="00296C61" w:rsidP="001A5A01">
      <w:pPr>
        <w:spacing w:after="0" w:line="360" w:lineRule="auto"/>
        <w:jc w:val="both"/>
        <w:rPr>
          <w:rFonts w:ascii="Book Antiqua" w:hAnsi="Book Antiqua"/>
          <w:b/>
          <w:sz w:val="24"/>
        </w:rPr>
      </w:pPr>
      <w:r w:rsidRPr="00A828B6">
        <w:rPr>
          <w:rFonts w:ascii="Book Antiqua" w:hAnsi="Book Antiqua"/>
          <w:b/>
          <w:sz w:val="24"/>
        </w:rPr>
        <w:t>Peer-review started:</w:t>
      </w:r>
      <w:r w:rsidR="00DF414C" w:rsidRPr="00A828B6">
        <w:rPr>
          <w:rFonts w:ascii="Book Antiqua" w:hAnsi="Book Antiqua"/>
          <w:sz w:val="24"/>
          <w:lang w:eastAsia="zh-CN"/>
        </w:rPr>
        <w:t xml:space="preserve"> November 16, 2015</w:t>
      </w:r>
    </w:p>
    <w:p w14:paraId="7CAD00FE" w14:textId="5AFCC40C" w:rsidR="00296C61" w:rsidRPr="00A828B6" w:rsidRDefault="00296C61" w:rsidP="001A5A01">
      <w:pPr>
        <w:spacing w:after="0" w:line="360" w:lineRule="auto"/>
        <w:jc w:val="both"/>
        <w:rPr>
          <w:rFonts w:ascii="Book Antiqua" w:hAnsi="Book Antiqua"/>
          <w:sz w:val="24"/>
          <w:lang w:eastAsia="zh-CN"/>
        </w:rPr>
      </w:pPr>
      <w:r w:rsidRPr="00A828B6">
        <w:rPr>
          <w:rFonts w:ascii="Book Antiqua" w:hAnsi="Book Antiqua"/>
          <w:b/>
          <w:sz w:val="24"/>
        </w:rPr>
        <w:t>First decision:</w:t>
      </w:r>
      <w:r w:rsidR="00DF414C" w:rsidRPr="00A828B6">
        <w:rPr>
          <w:rFonts w:ascii="Book Antiqua" w:hAnsi="Book Antiqua"/>
          <w:b/>
          <w:sz w:val="24"/>
          <w:lang w:eastAsia="zh-CN"/>
        </w:rPr>
        <w:t xml:space="preserve"> </w:t>
      </w:r>
      <w:r w:rsidR="00DF414C" w:rsidRPr="00A828B6">
        <w:rPr>
          <w:rFonts w:ascii="Book Antiqua" w:hAnsi="Book Antiqua"/>
          <w:sz w:val="24"/>
          <w:lang w:eastAsia="zh-CN"/>
        </w:rPr>
        <w:t>December 18, 2015</w:t>
      </w:r>
    </w:p>
    <w:p w14:paraId="140C0191" w14:textId="2DF9F8FF" w:rsidR="00296C61" w:rsidRPr="00A828B6" w:rsidRDefault="00296C61" w:rsidP="001A5A01">
      <w:pPr>
        <w:spacing w:after="0" w:line="360" w:lineRule="auto"/>
        <w:jc w:val="both"/>
        <w:rPr>
          <w:rFonts w:ascii="Book Antiqua" w:hAnsi="Book Antiqua"/>
          <w:sz w:val="24"/>
          <w:lang w:eastAsia="zh-CN"/>
        </w:rPr>
      </w:pPr>
      <w:r w:rsidRPr="00A828B6">
        <w:rPr>
          <w:rFonts w:ascii="Book Antiqua" w:hAnsi="Book Antiqua"/>
          <w:b/>
          <w:sz w:val="24"/>
        </w:rPr>
        <w:t>Revised:</w:t>
      </w:r>
      <w:r w:rsidR="00DF414C" w:rsidRPr="00A828B6">
        <w:rPr>
          <w:rFonts w:ascii="Book Antiqua" w:hAnsi="Book Antiqua"/>
          <w:b/>
          <w:sz w:val="24"/>
          <w:lang w:eastAsia="zh-CN"/>
        </w:rPr>
        <w:t xml:space="preserve"> </w:t>
      </w:r>
      <w:r w:rsidR="00DF414C" w:rsidRPr="00A828B6">
        <w:rPr>
          <w:rFonts w:ascii="Book Antiqua" w:hAnsi="Book Antiqua"/>
          <w:sz w:val="24"/>
          <w:lang w:eastAsia="zh-CN"/>
        </w:rPr>
        <w:t>January 15, 2016</w:t>
      </w:r>
    </w:p>
    <w:p w14:paraId="2BA4E3BB" w14:textId="7A42ECC9" w:rsidR="00296C61" w:rsidRPr="001C0FDC" w:rsidRDefault="00296C61" w:rsidP="001C0FDC">
      <w:pPr>
        <w:rPr>
          <w:rFonts w:ascii="Book Antiqua" w:hAnsi="Book Antiqua"/>
          <w:iCs/>
          <w:sz w:val="24"/>
        </w:rPr>
      </w:pPr>
      <w:r w:rsidRPr="00A828B6">
        <w:rPr>
          <w:rFonts w:ascii="Book Antiqua" w:hAnsi="Book Antiqua"/>
          <w:b/>
          <w:sz w:val="24"/>
        </w:rPr>
        <w:t xml:space="preserve">Accepted: </w:t>
      </w:r>
      <w:r w:rsidR="001C0FDC">
        <w:rPr>
          <w:rStyle w:val="Emphasis"/>
        </w:rPr>
        <w:t xml:space="preserve">February </w:t>
      </w:r>
      <w:r w:rsidR="001C0FDC">
        <w:rPr>
          <w:rStyle w:val="Emphasis"/>
          <w:rFonts w:ascii="宋体" w:hAnsi="宋体" w:cs="宋体" w:hint="eastAsia"/>
        </w:rPr>
        <w:t>23</w:t>
      </w:r>
      <w:r w:rsidR="001C0FDC" w:rsidRPr="00235CD4">
        <w:rPr>
          <w:rStyle w:val="Emphasis"/>
        </w:rPr>
        <w:t>,</w:t>
      </w:r>
      <w:r w:rsidR="001C0FDC">
        <w:rPr>
          <w:rStyle w:val="Emphasis"/>
        </w:rPr>
        <w:t xml:space="preserve"> 2016</w:t>
      </w:r>
      <w:bookmarkStart w:id="28" w:name="_GoBack"/>
      <w:bookmarkEnd w:id="28"/>
      <w:r w:rsidRPr="00A828B6">
        <w:rPr>
          <w:rFonts w:ascii="Book Antiqua" w:hAnsi="Book Antiqua"/>
          <w:b/>
          <w:sz w:val="24"/>
        </w:rPr>
        <w:t xml:space="preserve"> </w:t>
      </w:r>
    </w:p>
    <w:p w14:paraId="6FC13E6B" w14:textId="77777777" w:rsidR="00296C61" w:rsidRPr="00A828B6" w:rsidRDefault="00296C61" w:rsidP="001A5A01">
      <w:pPr>
        <w:spacing w:after="0" w:line="360" w:lineRule="auto"/>
        <w:jc w:val="both"/>
        <w:rPr>
          <w:rFonts w:ascii="Book Antiqua" w:hAnsi="Book Antiqua"/>
          <w:b/>
          <w:sz w:val="24"/>
        </w:rPr>
      </w:pPr>
      <w:r w:rsidRPr="00A828B6">
        <w:rPr>
          <w:rFonts w:ascii="Book Antiqua" w:hAnsi="Book Antiqua"/>
          <w:b/>
          <w:sz w:val="24"/>
        </w:rPr>
        <w:t>Article in press:</w:t>
      </w:r>
    </w:p>
    <w:p w14:paraId="638485A1" w14:textId="77777777" w:rsidR="00296C61" w:rsidRPr="00A828B6" w:rsidRDefault="00296C61" w:rsidP="001A5A01">
      <w:pPr>
        <w:spacing w:after="0" w:line="360" w:lineRule="auto"/>
        <w:jc w:val="both"/>
        <w:rPr>
          <w:rFonts w:ascii="Book Antiqua" w:hAnsi="Book Antiqua"/>
          <w:b/>
          <w:sz w:val="24"/>
        </w:rPr>
      </w:pPr>
      <w:r w:rsidRPr="00A828B6">
        <w:rPr>
          <w:rFonts w:ascii="Book Antiqua" w:hAnsi="Book Antiqua"/>
          <w:b/>
          <w:sz w:val="24"/>
        </w:rPr>
        <w:t>Published online:</w:t>
      </w:r>
    </w:p>
    <w:bookmarkEnd w:id="21"/>
    <w:bookmarkEnd w:id="22"/>
    <w:bookmarkEnd w:id="23"/>
    <w:bookmarkEnd w:id="24"/>
    <w:bookmarkEnd w:id="25"/>
    <w:bookmarkEnd w:id="26"/>
    <w:bookmarkEnd w:id="27"/>
    <w:p w14:paraId="5CA83BDC" w14:textId="77777777" w:rsidR="00DF414C" w:rsidRPr="00A828B6" w:rsidRDefault="00DF414C" w:rsidP="001A5A01">
      <w:pPr>
        <w:spacing w:after="0" w:line="240" w:lineRule="auto"/>
        <w:jc w:val="both"/>
        <w:rPr>
          <w:rFonts w:ascii="Book Antiqua" w:eastAsia="Times New Roman" w:hAnsi="Book Antiqua"/>
          <w:b/>
          <w:sz w:val="24"/>
          <w:szCs w:val="24"/>
          <w:lang w:val="en-US" w:eastAsia="tr-TR"/>
        </w:rPr>
      </w:pPr>
      <w:r w:rsidRPr="00A828B6">
        <w:rPr>
          <w:rFonts w:ascii="Book Antiqua" w:eastAsia="Times New Roman" w:hAnsi="Book Antiqua"/>
          <w:b/>
          <w:sz w:val="24"/>
          <w:szCs w:val="24"/>
          <w:lang w:val="en-US" w:eastAsia="tr-TR"/>
        </w:rPr>
        <w:br w:type="page"/>
      </w:r>
    </w:p>
    <w:p w14:paraId="7A79504C" w14:textId="70753CBE" w:rsidR="009A74BD" w:rsidRPr="00A828B6" w:rsidRDefault="009A74BD" w:rsidP="001A5A01">
      <w:pPr>
        <w:spacing w:after="0" w:line="360" w:lineRule="auto"/>
        <w:jc w:val="both"/>
        <w:rPr>
          <w:rFonts w:ascii="Book Antiqua" w:eastAsia="Times New Roman" w:hAnsi="Book Antiqua"/>
          <w:b/>
          <w:sz w:val="24"/>
          <w:szCs w:val="24"/>
          <w:lang w:val="en-US" w:eastAsia="tr-TR"/>
        </w:rPr>
      </w:pPr>
      <w:r w:rsidRPr="00A828B6">
        <w:rPr>
          <w:rFonts w:ascii="Book Antiqua" w:eastAsia="Times New Roman" w:hAnsi="Book Antiqua"/>
          <w:b/>
          <w:sz w:val="24"/>
          <w:szCs w:val="24"/>
          <w:lang w:val="en-US" w:eastAsia="tr-TR"/>
        </w:rPr>
        <w:lastRenderedPageBreak/>
        <w:t>Abstract</w:t>
      </w:r>
    </w:p>
    <w:p w14:paraId="1B0A6773" w14:textId="76CF77B9" w:rsidR="00296C61" w:rsidRPr="00A828B6" w:rsidRDefault="009A74BD" w:rsidP="001A5A01">
      <w:pPr>
        <w:spacing w:after="0" w:line="360" w:lineRule="auto"/>
        <w:jc w:val="both"/>
        <w:rPr>
          <w:rFonts w:ascii="Book Antiqua" w:hAnsi="Book Antiqua"/>
          <w:sz w:val="24"/>
          <w:szCs w:val="24"/>
          <w:lang w:val="en-US" w:eastAsia="zh-CN"/>
        </w:rPr>
      </w:pPr>
      <w:r w:rsidRPr="00A828B6">
        <w:rPr>
          <w:rFonts w:ascii="Book Antiqua" w:eastAsia="Times New Roman" w:hAnsi="Book Antiqua"/>
          <w:b/>
          <w:sz w:val="24"/>
          <w:szCs w:val="24"/>
          <w:lang w:val="en-US" w:eastAsia="tr-TR"/>
        </w:rPr>
        <w:t>AIM</w:t>
      </w:r>
      <w:r w:rsidRPr="00A828B6">
        <w:rPr>
          <w:rFonts w:ascii="Book Antiqua" w:eastAsia="Times New Roman" w:hAnsi="Book Antiqua"/>
          <w:sz w:val="24"/>
          <w:szCs w:val="24"/>
          <w:lang w:val="en-US" w:eastAsia="tr-TR"/>
        </w:rPr>
        <w:t xml:space="preserve">: </w:t>
      </w:r>
      <w:r w:rsidR="00296C61" w:rsidRPr="00A828B6">
        <w:rPr>
          <w:rFonts w:ascii="Book Antiqua" w:hAnsi="Book Antiqua"/>
          <w:sz w:val="24"/>
          <w:szCs w:val="24"/>
          <w:lang w:val="en-US"/>
        </w:rPr>
        <w:t xml:space="preserve">To </w:t>
      </w:r>
      <w:r w:rsidRPr="00A828B6">
        <w:rPr>
          <w:rFonts w:ascii="Book Antiqua" w:hAnsi="Book Antiqua"/>
          <w:sz w:val="24"/>
          <w:szCs w:val="24"/>
          <w:lang w:val="en-US"/>
        </w:rPr>
        <w:t xml:space="preserve">characterize </w:t>
      </w:r>
      <w:r w:rsidR="004835D3" w:rsidRPr="00A828B6">
        <w:rPr>
          <w:rFonts w:ascii="Book Antiqua" w:eastAsia="Times New Roman" w:hAnsi="Book Antiqua"/>
          <w:sz w:val="24"/>
          <w:szCs w:val="24"/>
          <w:lang w:val="en-US" w:eastAsia="tr-TR"/>
        </w:rPr>
        <w:t>non-alcoholic fatty liver disease (</w:t>
      </w:r>
      <w:r w:rsidRPr="00A828B6">
        <w:rPr>
          <w:rFonts w:ascii="Book Antiqua" w:hAnsi="Book Antiqua"/>
          <w:sz w:val="24"/>
          <w:szCs w:val="24"/>
          <w:lang w:val="en-US"/>
        </w:rPr>
        <w:t>NAFLD</w:t>
      </w:r>
      <w:r w:rsidR="004835D3" w:rsidRPr="00A828B6">
        <w:rPr>
          <w:rFonts w:ascii="Book Antiqua" w:hAnsi="Book Antiqua"/>
          <w:sz w:val="24"/>
          <w:szCs w:val="24"/>
          <w:lang w:val="en-US"/>
        </w:rPr>
        <w:t>)</w:t>
      </w:r>
      <w:r w:rsidRPr="00A828B6">
        <w:rPr>
          <w:rFonts w:ascii="Book Antiqua" w:hAnsi="Book Antiqua"/>
          <w:sz w:val="24"/>
          <w:szCs w:val="24"/>
          <w:lang w:val="en-US"/>
        </w:rPr>
        <w:t xml:space="preserve"> presentation </w:t>
      </w:r>
      <w:r w:rsidRPr="00A828B6">
        <w:rPr>
          <w:rFonts w:ascii="Book Antiqua" w:eastAsia="Times New Roman" w:hAnsi="Book Antiqua"/>
          <w:sz w:val="24"/>
          <w:szCs w:val="24"/>
          <w:lang w:val="en-US" w:eastAsia="tr-TR"/>
        </w:rPr>
        <w:t xml:space="preserve">with esophageal varices. </w:t>
      </w:r>
    </w:p>
    <w:p w14:paraId="792F79B8" w14:textId="77777777" w:rsidR="00296C61" w:rsidRPr="00A828B6" w:rsidRDefault="00296C61" w:rsidP="001A5A01">
      <w:pPr>
        <w:spacing w:after="0" w:line="360" w:lineRule="auto"/>
        <w:jc w:val="both"/>
        <w:rPr>
          <w:rFonts w:ascii="Book Antiqua" w:hAnsi="Book Antiqua"/>
          <w:sz w:val="24"/>
          <w:szCs w:val="24"/>
          <w:lang w:val="en-US" w:eastAsia="zh-CN"/>
        </w:rPr>
      </w:pPr>
    </w:p>
    <w:p w14:paraId="2D5D8AF8" w14:textId="3D06E0F7" w:rsidR="00296C61" w:rsidRPr="00A828B6" w:rsidRDefault="009A74BD" w:rsidP="001A5A01">
      <w:pPr>
        <w:spacing w:after="0" w:line="360" w:lineRule="auto"/>
        <w:jc w:val="both"/>
        <w:rPr>
          <w:rFonts w:ascii="Book Antiqua" w:hAnsi="Book Antiqua"/>
          <w:sz w:val="24"/>
          <w:szCs w:val="24"/>
          <w:lang w:val="en-US" w:eastAsia="zh-CN"/>
        </w:rPr>
      </w:pPr>
      <w:r w:rsidRPr="00A828B6">
        <w:rPr>
          <w:rFonts w:ascii="Book Antiqua" w:eastAsia="Times New Roman" w:hAnsi="Book Antiqua"/>
          <w:b/>
          <w:sz w:val="24"/>
          <w:szCs w:val="24"/>
          <w:lang w:val="en-US" w:eastAsia="tr-TR"/>
        </w:rPr>
        <w:t>METHODS</w:t>
      </w:r>
      <w:r w:rsidRPr="00A828B6">
        <w:rPr>
          <w:rFonts w:ascii="Book Antiqua" w:eastAsia="Times New Roman" w:hAnsi="Book Antiqua"/>
          <w:sz w:val="24"/>
          <w:szCs w:val="24"/>
          <w:lang w:val="en-US" w:eastAsia="tr-TR"/>
        </w:rPr>
        <w:t xml:space="preserve">: We </w:t>
      </w:r>
      <w:r w:rsidRPr="00A828B6">
        <w:rPr>
          <w:rFonts w:ascii="Book Antiqua" w:hAnsi="Book Antiqua"/>
          <w:sz w:val="24"/>
          <w:szCs w:val="24"/>
          <w:lang w:val="en-US"/>
        </w:rPr>
        <w:t xml:space="preserve">carried out </w:t>
      </w:r>
      <w:r w:rsidRPr="00A828B6">
        <w:rPr>
          <w:rFonts w:ascii="Book Antiqua" w:eastAsia="Times New Roman" w:hAnsi="Book Antiqua"/>
          <w:sz w:val="24"/>
          <w:szCs w:val="24"/>
          <w:lang w:val="en-US" w:eastAsia="tr-TR"/>
        </w:rPr>
        <w:t xml:space="preserve">a retrospective cohort study on 258 patients with esophageal varices at a single tertiary referral center. These patients underwent diagnosis of several liver diseases, including: NAFLD-associated cirrhosis, hepatitis B, hepatitis C, Wilson disease, autoimune liver diseases, and others. </w:t>
      </w:r>
    </w:p>
    <w:p w14:paraId="78A92122" w14:textId="77777777" w:rsidR="00296C61" w:rsidRPr="00A828B6" w:rsidRDefault="00296C61" w:rsidP="001A5A01">
      <w:pPr>
        <w:spacing w:after="0" w:line="360" w:lineRule="auto"/>
        <w:jc w:val="both"/>
        <w:rPr>
          <w:rFonts w:ascii="Book Antiqua" w:hAnsi="Book Antiqua"/>
          <w:sz w:val="24"/>
          <w:szCs w:val="24"/>
          <w:lang w:val="en-US" w:eastAsia="zh-CN"/>
        </w:rPr>
      </w:pPr>
    </w:p>
    <w:p w14:paraId="0B691BC7" w14:textId="138BEE0D" w:rsidR="00296C61" w:rsidRPr="00A828B6" w:rsidRDefault="009A74BD" w:rsidP="001A5A01">
      <w:pPr>
        <w:spacing w:after="0" w:line="360" w:lineRule="auto"/>
        <w:jc w:val="both"/>
        <w:rPr>
          <w:rFonts w:ascii="Book Antiqua" w:hAnsi="Book Antiqua"/>
          <w:sz w:val="24"/>
          <w:szCs w:val="24"/>
          <w:lang w:val="en-US" w:eastAsia="zh-CN"/>
        </w:rPr>
      </w:pPr>
      <w:r w:rsidRPr="00A828B6">
        <w:rPr>
          <w:rFonts w:ascii="Book Antiqua" w:eastAsia="Times New Roman" w:hAnsi="Book Antiqua"/>
          <w:b/>
          <w:sz w:val="24"/>
          <w:szCs w:val="24"/>
          <w:lang w:val="en-US" w:eastAsia="tr-TR"/>
        </w:rPr>
        <w:t>RESULTS:</w:t>
      </w:r>
      <w:r w:rsidRPr="00A828B6">
        <w:rPr>
          <w:rFonts w:ascii="Book Antiqua" w:eastAsia="Times New Roman" w:hAnsi="Book Antiqua"/>
          <w:sz w:val="24"/>
          <w:szCs w:val="24"/>
          <w:lang w:val="en-US" w:eastAsia="tr-TR"/>
        </w:rPr>
        <w:t xml:space="preserve"> Of the 258 patients, 39% of patients exhibited esophageal varices due to NAFLD-associated cirrhosis. Of the 38 (14.7%) patients developed hepatocellular carcinoma during follow-up, 52% were due to hepatitis B, 26% due to hepatitis C and 13.2% due to NAFLD. Of the 258 patients, 50.0% with NAFLD, 33.3% with hepatitis B, 26.3% with hepatitis C, and 58.3% with other diseases were alive at the end of the 5-year period with a significant difference according to the Kaplan-Meier log Rank test (</w:t>
      </w:r>
      <w:r w:rsidRPr="00A828B6">
        <w:rPr>
          <w:rFonts w:ascii="Book Antiqua" w:eastAsia="Times New Roman" w:hAnsi="Book Antiqua"/>
          <w:i/>
          <w:sz w:val="24"/>
          <w:szCs w:val="24"/>
          <w:lang w:val="en-US" w:eastAsia="tr-TR"/>
        </w:rPr>
        <w:t>P</w:t>
      </w:r>
      <w:r w:rsidR="00DF414C" w:rsidRPr="00A828B6">
        <w:rPr>
          <w:rFonts w:ascii="Book Antiqua" w:hAnsi="Book Antiqua"/>
          <w:sz w:val="24"/>
          <w:szCs w:val="24"/>
          <w:lang w:val="en-US" w:eastAsia="zh-CN"/>
        </w:rPr>
        <w:t xml:space="preserve"> =</w:t>
      </w:r>
      <w:r w:rsidR="00DF414C" w:rsidRPr="00A828B6">
        <w:rPr>
          <w:rFonts w:ascii="Book Antiqua" w:eastAsia="Times New Roman" w:hAnsi="Book Antiqua"/>
          <w:sz w:val="24"/>
          <w:szCs w:val="24"/>
          <w:lang w:val="en-US" w:eastAsia="tr-TR"/>
        </w:rPr>
        <w:t xml:space="preserve"> 0.040). Portal vein thrombosis</w:t>
      </w:r>
      <w:r w:rsidRPr="00A828B6">
        <w:rPr>
          <w:rFonts w:ascii="Book Antiqua" w:eastAsia="Times New Roman" w:hAnsi="Book Antiqua"/>
          <w:sz w:val="24"/>
          <w:szCs w:val="24"/>
          <w:lang w:val="en-US" w:eastAsia="tr-TR"/>
        </w:rPr>
        <w:t xml:space="preserve"> was shown 47.5% in patients with NAFLD, 29% in hepatitis B, 17% in hepatitis C, and 62% in patients with other related diseases (</w:t>
      </w:r>
      <w:r w:rsidRPr="00A828B6">
        <w:rPr>
          <w:rFonts w:ascii="Book Antiqua" w:eastAsia="Times New Roman" w:hAnsi="Book Antiqua"/>
          <w:i/>
          <w:sz w:val="24"/>
          <w:szCs w:val="24"/>
          <w:lang w:val="en-US" w:eastAsia="tr-TR"/>
        </w:rPr>
        <w:t>P</w:t>
      </w:r>
      <w:r w:rsidR="00DF414C" w:rsidRPr="00A828B6">
        <w:rPr>
          <w:rFonts w:ascii="Book Antiqua" w:hAnsi="Book Antiqua"/>
          <w:i/>
          <w:sz w:val="24"/>
          <w:szCs w:val="24"/>
          <w:lang w:val="en-US" w:eastAsia="zh-CN"/>
        </w:rPr>
        <w:t xml:space="preserve"> </w:t>
      </w:r>
      <w:r w:rsidRPr="00A828B6">
        <w:rPr>
          <w:rFonts w:ascii="Book Antiqua" w:eastAsia="Times New Roman" w:hAnsi="Book Antiqua"/>
          <w:sz w:val="24"/>
          <w:szCs w:val="24"/>
          <w:lang w:val="en-US" w:eastAsia="tr-TR"/>
        </w:rPr>
        <w:t>&lt;</w:t>
      </w:r>
      <w:r w:rsidR="00DF414C" w:rsidRPr="00A828B6">
        <w:rPr>
          <w:rFonts w:ascii="Book Antiqua" w:hAnsi="Book Antiqua"/>
          <w:sz w:val="24"/>
          <w:szCs w:val="24"/>
          <w:lang w:val="en-US" w:eastAsia="zh-CN"/>
        </w:rPr>
        <w:t xml:space="preserve"> </w:t>
      </w:r>
      <w:r w:rsidRPr="00A828B6">
        <w:rPr>
          <w:rFonts w:ascii="Book Antiqua" w:eastAsia="Times New Roman" w:hAnsi="Book Antiqua"/>
          <w:sz w:val="24"/>
          <w:szCs w:val="24"/>
          <w:lang w:val="en-US" w:eastAsia="tr-TR"/>
        </w:rPr>
        <w:t xml:space="preserve">0.0001). </w:t>
      </w:r>
    </w:p>
    <w:p w14:paraId="5A5B4FAC" w14:textId="77777777" w:rsidR="00296C61" w:rsidRPr="00A828B6" w:rsidRDefault="00296C61" w:rsidP="001A5A01">
      <w:pPr>
        <w:spacing w:after="0" w:line="360" w:lineRule="auto"/>
        <w:jc w:val="both"/>
        <w:rPr>
          <w:rFonts w:ascii="Book Antiqua" w:hAnsi="Book Antiqua"/>
          <w:sz w:val="24"/>
          <w:szCs w:val="24"/>
          <w:lang w:val="en-US" w:eastAsia="zh-CN"/>
        </w:rPr>
      </w:pPr>
    </w:p>
    <w:p w14:paraId="7C0C6407" w14:textId="77777777" w:rsidR="009A74BD" w:rsidRPr="00A828B6" w:rsidRDefault="009A74BD" w:rsidP="001A5A01">
      <w:pPr>
        <w:spacing w:after="0" w:line="360" w:lineRule="auto"/>
        <w:jc w:val="both"/>
        <w:rPr>
          <w:rFonts w:ascii="Book Antiqua" w:eastAsia="Times New Roman" w:hAnsi="Book Antiqua"/>
          <w:sz w:val="24"/>
          <w:szCs w:val="24"/>
          <w:lang w:val="en-US" w:eastAsia="tr-TR"/>
        </w:rPr>
      </w:pPr>
      <w:r w:rsidRPr="00A828B6">
        <w:rPr>
          <w:rFonts w:ascii="Book Antiqua" w:eastAsia="Times New Roman" w:hAnsi="Book Antiqua"/>
          <w:b/>
          <w:sz w:val="24"/>
          <w:szCs w:val="24"/>
          <w:lang w:val="en-US" w:eastAsia="tr-TR"/>
        </w:rPr>
        <w:t xml:space="preserve">DISCUSSION: </w:t>
      </w:r>
      <w:r w:rsidRPr="00A828B6">
        <w:rPr>
          <w:rFonts w:ascii="Book Antiqua" w:eastAsia="Times New Roman" w:hAnsi="Book Antiqua"/>
          <w:sz w:val="24"/>
          <w:szCs w:val="24"/>
          <w:lang w:val="en-US" w:eastAsia="tr-TR"/>
        </w:rPr>
        <w:t xml:space="preserve">Our study showed a proportionally greater elevation in liver transplant candidacy in patients with NAFLD and portal vein thrombosis. Older patients were more prone to developing cirrhosis, hepatocellular carcinoma and a high mortality rate. However, younger patients exhibited more portal vein thrombosis and gastric varices. </w:t>
      </w:r>
    </w:p>
    <w:p w14:paraId="58823E00" w14:textId="77777777" w:rsidR="00DF414C" w:rsidRPr="00A828B6" w:rsidRDefault="00DF414C" w:rsidP="001A5A01">
      <w:pPr>
        <w:spacing w:after="0" w:line="360" w:lineRule="auto"/>
        <w:jc w:val="both"/>
        <w:rPr>
          <w:rFonts w:ascii="Book Antiqua" w:hAnsi="Book Antiqua"/>
          <w:b/>
          <w:sz w:val="24"/>
          <w:szCs w:val="24"/>
          <w:lang w:val="en-US" w:eastAsia="zh-CN"/>
        </w:rPr>
      </w:pPr>
    </w:p>
    <w:p w14:paraId="2E497DBC" w14:textId="45ABB20E" w:rsidR="00296C61" w:rsidRPr="00A828B6" w:rsidRDefault="00296C61" w:rsidP="001A5A01">
      <w:pPr>
        <w:spacing w:after="0" w:line="360" w:lineRule="auto"/>
        <w:jc w:val="both"/>
        <w:rPr>
          <w:rFonts w:ascii="Book Antiqua" w:hAnsi="Book Antiqua"/>
          <w:bCs/>
          <w:sz w:val="24"/>
          <w:szCs w:val="24"/>
          <w:lang w:val="en-US" w:eastAsia="zh-CN"/>
        </w:rPr>
      </w:pPr>
      <w:r w:rsidRPr="00A828B6">
        <w:rPr>
          <w:rFonts w:ascii="Book Antiqua" w:hAnsi="Book Antiqua"/>
          <w:b/>
          <w:bCs/>
          <w:sz w:val="24"/>
          <w:szCs w:val="24"/>
          <w:lang w:val="en-US"/>
        </w:rPr>
        <w:t>Key words:</w:t>
      </w:r>
      <w:r w:rsidRPr="00A828B6">
        <w:rPr>
          <w:rFonts w:ascii="Book Antiqua" w:hAnsi="Book Antiqua"/>
          <w:bCs/>
          <w:sz w:val="24"/>
          <w:szCs w:val="24"/>
          <w:lang w:val="en-US"/>
        </w:rPr>
        <w:t xml:space="preserve"> </w:t>
      </w:r>
      <w:r w:rsidR="00DF414C" w:rsidRPr="00A828B6">
        <w:rPr>
          <w:rFonts w:ascii="Book Antiqua" w:eastAsia="Times New Roman" w:hAnsi="Book Antiqua"/>
          <w:bCs/>
          <w:sz w:val="24"/>
          <w:szCs w:val="24"/>
          <w:lang w:val="en-US" w:eastAsia="tr-TR"/>
        </w:rPr>
        <w:t>Non</w:t>
      </w:r>
      <w:r w:rsidR="00A768A8" w:rsidRPr="00A828B6">
        <w:rPr>
          <w:rFonts w:ascii="Book Antiqua" w:eastAsia="Times New Roman" w:hAnsi="Book Antiqua"/>
          <w:bCs/>
          <w:sz w:val="24"/>
          <w:szCs w:val="24"/>
          <w:lang w:val="en-US" w:eastAsia="tr-TR"/>
        </w:rPr>
        <w:t>-</w:t>
      </w:r>
      <w:r w:rsidRPr="00A828B6">
        <w:rPr>
          <w:rFonts w:ascii="Book Antiqua" w:eastAsia="Times New Roman" w:hAnsi="Book Antiqua"/>
          <w:bCs/>
          <w:sz w:val="24"/>
          <w:szCs w:val="24"/>
          <w:lang w:val="en-US" w:eastAsia="tr-TR"/>
        </w:rPr>
        <w:t xml:space="preserve">alcoholic fatty liver disease; </w:t>
      </w:r>
      <w:r w:rsidR="00DF414C" w:rsidRPr="00A828B6">
        <w:rPr>
          <w:rFonts w:ascii="Book Antiqua" w:eastAsia="Times New Roman" w:hAnsi="Book Antiqua"/>
          <w:bCs/>
          <w:sz w:val="24"/>
          <w:szCs w:val="24"/>
          <w:lang w:val="en-US" w:eastAsia="tr-TR"/>
        </w:rPr>
        <w:t xml:space="preserve">Hepatocellular </w:t>
      </w:r>
      <w:r w:rsidRPr="00A828B6">
        <w:rPr>
          <w:rFonts w:ascii="Book Antiqua" w:eastAsia="Times New Roman" w:hAnsi="Book Antiqua"/>
          <w:bCs/>
          <w:sz w:val="24"/>
          <w:szCs w:val="24"/>
          <w:lang w:val="en-US" w:eastAsia="tr-TR"/>
        </w:rPr>
        <w:t xml:space="preserve">carcinoma; </w:t>
      </w:r>
      <w:r w:rsidR="00DF414C" w:rsidRPr="00A828B6">
        <w:rPr>
          <w:rFonts w:ascii="Book Antiqua" w:eastAsia="Times New Roman" w:hAnsi="Book Antiqua"/>
          <w:bCs/>
          <w:sz w:val="24"/>
          <w:szCs w:val="24"/>
          <w:lang w:val="en-US" w:eastAsia="tr-TR"/>
        </w:rPr>
        <w:t xml:space="preserve">Portal </w:t>
      </w:r>
      <w:r w:rsidRPr="00A828B6">
        <w:rPr>
          <w:rFonts w:ascii="Book Antiqua" w:eastAsia="Times New Roman" w:hAnsi="Book Antiqua"/>
          <w:bCs/>
          <w:sz w:val="24"/>
          <w:szCs w:val="24"/>
          <w:lang w:val="en-US" w:eastAsia="tr-TR"/>
        </w:rPr>
        <w:t xml:space="preserve">vein thrombosis; </w:t>
      </w:r>
      <w:r w:rsidR="00DF414C" w:rsidRPr="00A828B6">
        <w:rPr>
          <w:rFonts w:ascii="Book Antiqua" w:eastAsia="Times New Roman" w:hAnsi="Book Antiqua"/>
          <w:sz w:val="24"/>
          <w:szCs w:val="24"/>
          <w:lang w:val="en-US" w:eastAsia="tr-TR"/>
        </w:rPr>
        <w:t xml:space="preserve">Esophageal </w:t>
      </w:r>
      <w:r w:rsidRPr="00A828B6">
        <w:rPr>
          <w:rFonts w:ascii="Book Antiqua" w:eastAsia="Times New Roman" w:hAnsi="Book Antiqua"/>
          <w:sz w:val="24"/>
          <w:szCs w:val="24"/>
          <w:lang w:val="en-US" w:eastAsia="tr-TR"/>
        </w:rPr>
        <w:t>varices</w:t>
      </w:r>
    </w:p>
    <w:p w14:paraId="5469714F" w14:textId="77777777" w:rsidR="00296C61" w:rsidRPr="00A828B6" w:rsidRDefault="00296C61" w:rsidP="001A5A01">
      <w:pPr>
        <w:spacing w:after="0" w:line="360" w:lineRule="auto"/>
        <w:jc w:val="both"/>
        <w:rPr>
          <w:rFonts w:ascii="Book Antiqua" w:hAnsi="Book Antiqua"/>
          <w:bCs/>
          <w:sz w:val="24"/>
          <w:szCs w:val="24"/>
          <w:lang w:val="en-US" w:eastAsia="zh-CN"/>
        </w:rPr>
      </w:pPr>
    </w:p>
    <w:p w14:paraId="6C2CD6A3" w14:textId="4F3AAFE0" w:rsidR="00296C61" w:rsidRPr="00A828B6" w:rsidRDefault="00296C61" w:rsidP="001A5A01">
      <w:pPr>
        <w:spacing w:after="0" w:line="360" w:lineRule="auto"/>
        <w:jc w:val="both"/>
        <w:rPr>
          <w:rFonts w:ascii="Book Antiqua" w:hAnsi="Book Antiqua" w:cs="Arial"/>
          <w:sz w:val="24"/>
          <w:szCs w:val="24"/>
          <w:lang w:eastAsia="zh-CN"/>
        </w:rPr>
      </w:pPr>
      <w:bookmarkStart w:id="29" w:name="OLE_LINK56"/>
      <w:bookmarkStart w:id="30" w:name="OLE_LINK55"/>
      <w:bookmarkStart w:id="31" w:name="OLE_LINK89"/>
      <w:bookmarkStart w:id="32" w:name="OLE_LINK116"/>
      <w:bookmarkStart w:id="33" w:name="OLE_LINK105"/>
      <w:r w:rsidRPr="00A828B6">
        <w:rPr>
          <w:rFonts w:ascii="Book Antiqua" w:hAnsi="Book Antiqua"/>
          <w:b/>
          <w:sz w:val="24"/>
          <w:szCs w:val="24"/>
        </w:rPr>
        <w:t>©</w:t>
      </w:r>
      <w:bookmarkEnd w:id="29"/>
      <w:bookmarkEnd w:id="30"/>
      <w:r w:rsidRPr="00A828B6">
        <w:rPr>
          <w:rFonts w:ascii="Book Antiqua" w:hAnsi="Book Antiqua"/>
          <w:b/>
          <w:sz w:val="24"/>
          <w:szCs w:val="24"/>
        </w:rPr>
        <w:t xml:space="preserve"> </w:t>
      </w:r>
      <w:r w:rsidRPr="00A828B6">
        <w:rPr>
          <w:rFonts w:ascii="Book Antiqua" w:hAnsi="Book Antiqua" w:cs="Arial"/>
          <w:b/>
          <w:sz w:val="24"/>
          <w:szCs w:val="24"/>
        </w:rPr>
        <w:t>The Author(s) 201</w:t>
      </w:r>
      <w:r w:rsidR="000E6621">
        <w:rPr>
          <w:rFonts w:ascii="Book Antiqua" w:hAnsi="Book Antiqua" w:cs="Arial" w:hint="eastAsia"/>
          <w:b/>
          <w:sz w:val="24"/>
          <w:szCs w:val="24"/>
          <w:lang w:eastAsia="zh-CN"/>
        </w:rPr>
        <w:t>6</w:t>
      </w:r>
      <w:r w:rsidRPr="00A828B6">
        <w:rPr>
          <w:rFonts w:ascii="Book Antiqua" w:hAnsi="Book Antiqua" w:cs="Arial"/>
          <w:b/>
          <w:sz w:val="24"/>
          <w:szCs w:val="24"/>
        </w:rPr>
        <w:t xml:space="preserve">. </w:t>
      </w:r>
      <w:r w:rsidRPr="00A828B6">
        <w:rPr>
          <w:rFonts w:ascii="Book Antiqua" w:hAnsi="Book Antiqua" w:cs="Arial"/>
          <w:sz w:val="24"/>
          <w:szCs w:val="24"/>
        </w:rPr>
        <w:t>Published by Baishideng Publishing Group Inc. All rights reserved.</w:t>
      </w:r>
      <w:bookmarkEnd w:id="31"/>
      <w:bookmarkEnd w:id="32"/>
      <w:bookmarkEnd w:id="33"/>
    </w:p>
    <w:p w14:paraId="0F331D7C" w14:textId="77777777" w:rsidR="00296C61" w:rsidRPr="00A828B6" w:rsidRDefault="00296C61" w:rsidP="001A5A01">
      <w:pPr>
        <w:spacing w:after="0" w:line="360" w:lineRule="auto"/>
        <w:jc w:val="both"/>
        <w:rPr>
          <w:rFonts w:ascii="Book Antiqua" w:hAnsi="Book Antiqua" w:cs="Arial"/>
          <w:sz w:val="24"/>
          <w:szCs w:val="24"/>
          <w:lang w:eastAsia="zh-CN"/>
        </w:rPr>
      </w:pPr>
    </w:p>
    <w:p w14:paraId="36FED1AC" w14:textId="29DB3D06" w:rsidR="00DE1730" w:rsidRPr="00A828B6" w:rsidRDefault="00296C61" w:rsidP="001A5A01">
      <w:pPr>
        <w:spacing w:after="0" w:line="360" w:lineRule="auto"/>
        <w:jc w:val="both"/>
        <w:rPr>
          <w:rFonts w:ascii="Book Antiqua" w:hAnsi="Book Antiqua"/>
          <w:sz w:val="24"/>
          <w:szCs w:val="24"/>
          <w:lang w:val="en-US" w:eastAsia="zh-CN"/>
        </w:rPr>
      </w:pPr>
      <w:r w:rsidRPr="00A828B6">
        <w:rPr>
          <w:rFonts w:ascii="Book Antiqua" w:eastAsia="Times New Roman" w:hAnsi="Book Antiqua" w:cs="Arial Unicode MS"/>
          <w:b/>
          <w:sz w:val="24"/>
          <w:szCs w:val="24"/>
        </w:rPr>
        <w:lastRenderedPageBreak/>
        <w:t>Core tip:</w:t>
      </w:r>
      <w:r w:rsidR="00DE1730" w:rsidRPr="00A828B6">
        <w:rPr>
          <w:rFonts w:ascii="Book Antiqua" w:eastAsia="Times New Roman" w:hAnsi="Book Antiqua"/>
          <w:sz w:val="24"/>
          <w:szCs w:val="24"/>
          <w:lang w:val="en-US" w:eastAsia="tr-TR"/>
        </w:rPr>
        <w:t xml:space="preserve"> We aimed to</w:t>
      </w:r>
      <w:r w:rsidR="00DE1730" w:rsidRPr="00A828B6">
        <w:rPr>
          <w:rFonts w:ascii="Book Antiqua" w:hAnsi="Book Antiqua"/>
          <w:sz w:val="24"/>
          <w:szCs w:val="24"/>
          <w:lang w:val="en-US"/>
        </w:rPr>
        <w:t xml:space="preserve"> characterize </w:t>
      </w:r>
      <w:r w:rsidR="00DF414C" w:rsidRPr="00A828B6">
        <w:rPr>
          <w:rFonts w:ascii="Book Antiqua" w:eastAsia="Times New Roman" w:hAnsi="Book Antiqua"/>
          <w:sz w:val="24"/>
          <w:szCs w:val="24"/>
          <w:lang w:val="en-US" w:eastAsia="tr-TR"/>
        </w:rPr>
        <w:t>non-alcoholic fatty liver disease (</w:t>
      </w:r>
      <w:r w:rsidR="00DF414C" w:rsidRPr="00A828B6">
        <w:rPr>
          <w:rFonts w:ascii="Book Antiqua" w:hAnsi="Book Antiqua"/>
          <w:sz w:val="24"/>
          <w:szCs w:val="24"/>
          <w:lang w:val="en-US"/>
        </w:rPr>
        <w:t>NAFLD)</w:t>
      </w:r>
      <w:r w:rsidR="00DF414C" w:rsidRPr="00A828B6">
        <w:rPr>
          <w:rFonts w:ascii="Book Antiqua" w:hAnsi="Book Antiqua"/>
          <w:sz w:val="24"/>
          <w:szCs w:val="24"/>
          <w:lang w:val="en-US" w:eastAsia="zh-CN"/>
        </w:rPr>
        <w:t xml:space="preserve"> </w:t>
      </w:r>
      <w:r w:rsidR="00DE1730" w:rsidRPr="00A828B6">
        <w:rPr>
          <w:rFonts w:ascii="Book Antiqua" w:hAnsi="Book Antiqua"/>
          <w:sz w:val="24"/>
          <w:szCs w:val="24"/>
          <w:lang w:val="en-US"/>
        </w:rPr>
        <w:t xml:space="preserve">presentation </w:t>
      </w:r>
      <w:r w:rsidR="00DE1730" w:rsidRPr="00A828B6">
        <w:rPr>
          <w:rFonts w:ascii="Book Antiqua" w:eastAsia="Times New Roman" w:hAnsi="Book Antiqua"/>
          <w:sz w:val="24"/>
          <w:szCs w:val="24"/>
          <w:lang w:val="en-US" w:eastAsia="tr-TR"/>
        </w:rPr>
        <w:t>with esophageal varices</w:t>
      </w:r>
      <w:r w:rsidR="00836BD1" w:rsidRPr="00A828B6">
        <w:rPr>
          <w:rFonts w:ascii="Book Antiqua" w:eastAsia="Times New Roman" w:hAnsi="Book Antiqua"/>
          <w:sz w:val="24"/>
          <w:szCs w:val="24"/>
          <w:lang w:val="en-US" w:eastAsia="tr-TR"/>
        </w:rPr>
        <w:t xml:space="preserve">. </w:t>
      </w:r>
      <w:r w:rsidR="00DE1730" w:rsidRPr="00A828B6">
        <w:rPr>
          <w:rFonts w:ascii="Book Antiqua" w:eastAsia="Times New Roman" w:hAnsi="Book Antiqua"/>
          <w:sz w:val="24"/>
          <w:szCs w:val="24"/>
          <w:lang w:val="en-US" w:eastAsia="tr-TR"/>
        </w:rPr>
        <w:t xml:space="preserve">We </w:t>
      </w:r>
      <w:r w:rsidR="00DE1730" w:rsidRPr="00A828B6">
        <w:rPr>
          <w:rFonts w:ascii="Book Antiqua" w:hAnsi="Book Antiqua"/>
          <w:sz w:val="24"/>
          <w:szCs w:val="24"/>
          <w:lang w:val="en-US"/>
        </w:rPr>
        <w:t xml:space="preserve">carried out </w:t>
      </w:r>
      <w:r w:rsidR="00DE1730" w:rsidRPr="00A828B6">
        <w:rPr>
          <w:rFonts w:ascii="Book Antiqua" w:eastAsia="Times New Roman" w:hAnsi="Book Antiqua"/>
          <w:sz w:val="24"/>
          <w:szCs w:val="24"/>
          <w:lang w:val="en-US" w:eastAsia="tr-TR"/>
        </w:rPr>
        <w:t xml:space="preserve">a retrospective cohort study on 258 patients with esophageal varices at a single tertiary referral center. Of the 258 patients, 39% of patients exhibited esophageal varices due to NAFLD-associated cirrhosis. </w:t>
      </w:r>
      <w:r w:rsidR="00C63B2E" w:rsidRPr="00A828B6">
        <w:rPr>
          <w:rFonts w:ascii="Book Antiqua" w:eastAsia="Times New Roman" w:hAnsi="Book Antiqua"/>
          <w:sz w:val="24"/>
          <w:szCs w:val="24"/>
          <w:lang w:val="en-US" w:eastAsia="tr-TR"/>
        </w:rPr>
        <w:t>The incidence of p</w:t>
      </w:r>
      <w:r w:rsidR="00DE1730" w:rsidRPr="00A828B6">
        <w:rPr>
          <w:rFonts w:ascii="Book Antiqua" w:eastAsia="Times New Roman" w:hAnsi="Book Antiqua"/>
          <w:sz w:val="24"/>
          <w:szCs w:val="24"/>
          <w:lang w:val="en-US" w:eastAsia="tr-TR"/>
        </w:rPr>
        <w:t>ortal vein thrombosis</w:t>
      </w:r>
      <w:r w:rsidR="00DF414C" w:rsidRPr="00A828B6">
        <w:rPr>
          <w:rFonts w:ascii="Book Antiqua" w:hAnsi="Book Antiqua"/>
          <w:sz w:val="24"/>
          <w:szCs w:val="24"/>
          <w:lang w:val="en-US" w:eastAsia="zh-CN"/>
        </w:rPr>
        <w:t xml:space="preserve"> </w:t>
      </w:r>
      <w:r w:rsidR="00DE1730" w:rsidRPr="00A828B6">
        <w:rPr>
          <w:rFonts w:ascii="Book Antiqua" w:eastAsia="Times New Roman" w:hAnsi="Book Antiqua"/>
          <w:sz w:val="24"/>
          <w:szCs w:val="24"/>
          <w:lang w:val="en-US" w:eastAsia="tr-TR"/>
        </w:rPr>
        <w:t>was 47.5% in patients with NAFLD, 29% in hepatitis B, 17% in hepatitis C, and 62% in patients with other related diseases (</w:t>
      </w:r>
      <w:r w:rsidR="00DE1730" w:rsidRPr="00A828B6">
        <w:rPr>
          <w:rFonts w:ascii="Book Antiqua" w:eastAsia="Times New Roman" w:hAnsi="Book Antiqua"/>
          <w:i/>
          <w:sz w:val="24"/>
          <w:szCs w:val="24"/>
          <w:lang w:val="en-US" w:eastAsia="tr-TR"/>
        </w:rPr>
        <w:t>P</w:t>
      </w:r>
      <w:r w:rsidR="00DF414C" w:rsidRPr="00A828B6">
        <w:rPr>
          <w:rFonts w:ascii="Book Antiqua" w:hAnsi="Book Antiqua"/>
          <w:i/>
          <w:sz w:val="24"/>
          <w:szCs w:val="24"/>
          <w:lang w:val="en-US" w:eastAsia="zh-CN"/>
        </w:rPr>
        <w:t xml:space="preserve"> </w:t>
      </w:r>
      <w:r w:rsidR="00DE1730" w:rsidRPr="00A828B6">
        <w:rPr>
          <w:rFonts w:ascii="Book Antiqua" w:eastAsia="Times New Roman" w:hAnsi="Book Antiqua"/>
          <w:sz w:val="24"/>
          <w:szCs w:val="24"/>
          <w:lang w:val="en-US" w:eastAsia="tr-TR"/>
        </w:rPr>
        <w:t>&lt;</w:t>
      </w:r>
      <w:r w:rsidR="00DF414C" w:rsidRPr="00A828B6">
        <w:rPr>
          <w:rFonts w:ascii="Book Antiqua" w:hAnsi="Book Antiqua"/>
          <w:sz w:val="24"/>
          <w:szCs w:val="24"/>
          <w:lang w:val="en-US" w:eastAsia="zh-CN"/>
        </w:rPr>
        <w:t xml:space="preserve"> </w:t>
      </w:r>
      <w:r w:rsidR="00DE1730" w:rsidRPr="00A828B6">
        <w:rPr>
          <w:rFonts w:ascii="Book Antiqua" w:eastAsia="Times New Roman" w:hAnsi="Book Antiqua"/>
          <w:sz w:val="24"/>
          <w:szCs w:val="24"/>
          <w:lang w:val="en-US" w:eastAsia="tr-TR"/>
        </w:rPr>
        <w:t xml:space="preserve">0.0001). Our study showed a proportionally greater elevation in liver transplant candidacy in patients with NAFLD and portal vein thrombosis. </w:t>
      </w:r>
    </w:p>
    <w:p w14:paraId="68BE9317" w14:textId="77777777" w:rsidR="00296C61" w:rsidRPr="00A828B6" w:rsidRDefault="00296C61" w:rsidP="001A5A01">
      <w:pPr>
        <w:spacing w:after="0" w:line="360" w:lineRule="auto"/>
        <w:jc w:val="both"/>
        <w:rPr>
          <w:rFonts w:ascii="Book Antiqua" w:hAnsi="Book Antiqua" w:cs="Arial Unicode MS"/>
          <w:b/>
          <w:sz w:val="24"/>
          <w:szCs w:val="24"/>
        </w:rPr>
      </w:pPr>
    </w:p>
    <w:p w14:paraId="1949CD79" w14:textId="77777777" w:rsidR="00DF414C" w:rsidRPr="00A828B6" w:rsidRDefault="00DF414C" w:rsidP="001A5A01">
      <w:pPr>
        <w:spacing w:after="0" w:line="360" w:lineRule="auto"/>
        <w:jc w:val="both"/>
        <w:rPr>
          <w:rFonts w:ascii="Book Antiqua" w:hAnsi="Book Antiqua"/>
          <w:bCs/>
          <w:sz w:val="24"/>
          <w:szCs w:val="24"/>
          <w:lang w:val="en-US" w:eastAsia="zh-CN"/>
        </w:rPr>
      </w:pPr>
      <w:r w:rsidRPr="00A828B6">
        <w:rPr>
          <w:rFonts w:ascii="Book Antiqua" w:hAnsi="Book Antiqua"/>
          <w:bCs/>
          <w:sz w:val="24"/>
          <w:szCs w:val="24"/>
          <w:lang w:val="en-US"/>
        </w:rPr>
        <w:t>Basaranoglu</w:t>
      </w:r>
      <w:r w:rsidRPr="00A828B6">
        <w:rPr>
          <w:rFonts w:ascii="Book Antiqua" w:hAnsi="Book Antiqua"/>
          <w:bCs/>
          <w:sz w:val="24"/>
          <w:szCs w:val="24"/>
          <w:lang w:val="en-US" w:eastAsia="zh-CN"/>
        </w:rPr>
        <w:t xml:space="preserve"> M, </w:t>
      </w:r>
      <w:r w:rsidRPr="00A828B6">
        <w:rPr>
          <w:rFonts w:ascii="Book Antiqua" w:hAnsi="Book Antiqua"/>
          <w:bCs/>
          <w:sz w:val="24"/>
          <w:szCs w:val="24"/>
          <w:lang w:val="en-US"/>
        </w:rPr>
        <w:t>Najjar</w:t>
      </w:r>
      <w:r w:rsidRPr="00A828B6">
        <w:rPr>
          <w:rFonts w:ascii="Book Antiqua" w:hAnsi="Book Antiqua"/>
          <w:bCs/>
          <w:sz w:val="24"/>
          <w:szCs w:val="24"/>
          <w:lang w:val="en-US" w:eastAsia="zh-CN"/>
        </w:rPr>
        <w:t xml:space="preserve"> SM, </w:t>
      </w:r>
      <w:r w:rsidRPr="00A828B6">
        <w:rPr>
          <w:rFonts w:ascii="Book Antiqua" w:hAnsi="Book Antiqua"/>
          <w:bCs/>
          <w:sz w:val="24"/>
          <w:szCs w:val="24"/>
          <w:lang w:val="en-US"/>
        </w:rPr>
        <w:t>Demirbag</w:t>
      </w:r>
      <w:r w:rsidRPr="00A828B6">
        <w:rPr>
          <w:rFonts w:ascii="Book Antiqua" w:hAnsi="Book Antiqua"/>
          <w:bCs/>
          <w:sz w:val="24"/>
          <w:szCs w:val="24"/>
          <w:lang w:val="en-US" w:eastAsia="zh-CN"/>
        </w:rPr>
        <w:t xml:space="preserve"> AE, </w:t>
      </w:r>
      <w:r w:rsidRPr="00A828B6">
        <w:rPr>
          <w:rFonts w:ascii="Book Antiqua" w:hAnsi="Book Antiqua"/>
          <w:bCs/>
          <w:sz w:val="24"/>
          <w:szCs w:val="24"/>
          <w:lang w:val="en-US"/>
        </w:rPr>
        <w:t>Senturk</w:t>
      </w:r>
      <w:r w:rsidRPr="00A828B6">
        <w:rPr>
          <w:rFonts w:ascii="Book Antiqua" w:hAnsi="Book Antiqua"/>
          <w:bCs/>
          <w:sz w:val="24"/>
          <w:szCs w:val="24"/>
          <w:lang w:val="en-US" w:eastAsia="zh-CN"/>
        </w:rPr>
        <w:t xml:space="preserve"> H. Significant cohort of non-alcoholic fatty liver disease with portal vein thrombosis in transplant waiting list. </w:t>
      </w:r>
      <w:r w:rsidRPr="00A828B6">
        <w:rPr>
          <w:rFonts w:ascii="Book Antiqua" w:hAnsi="Book Antiqua"/>
          <w:bCs/>
          <w:i/>
          <w:sz w:val="24"/>
          <w:szCs w:val="24"/>
          <w:lang w:val="en-US" w:eastAsia="zh-CN"/>
        </w:rPr>
        <w:t>World J Hepatol</w:t>
      </w:r>
      <w:r w:rsidRPr="00A828B6">
        <w:rPr>
          <w:rFonts w:ascii="Book Antiqua" w:hAnsi="Book Antiqua"/>
          <w:bCs/>
          <w:sz w:val="24"/>
          <w:szCs w:val="24"/>
          <w:lang w:val="en-US" w:eastAsia="zh-CN"/>
        </w:rPr>
        <w:t xml:space="preserve"> 2016; </w:t>
      </w:r>
      <w:proofErr w:type="gramStart"/>
      <w:r w:rsidRPr="00A828B6">
        <w:rPr>
          <w:rFonts w:ascii="Book Antiqua" w:hAnsi="Book Antiqua"/>
          <w:bCs/>
          <w:sz w:val="24"/>
          <w:szCs w:val="24"/>
          <w:lang w:val="en-US" w:eastAsia="zh-CN"/>
        </w:rPr>
        <w:t>In</w:t>
      </w:r>
      <w:proofErr w:type="gramEnd"/>
      <w:r w:rsidRPr="00A828B6">
        <w:rPr>
          <w:rFonts w:ascii="Book Antiqua" w:hAnsi="Book Antiqua"/>
          <w:bCs/>
          <w:sz w:val="24"/>
          <w:szCs w:val="24"/>
          <w:lang w:val="en-US" w:eastAsia="zh-CN"/>
        </w:rPr>
        <w:t xml:space="preserve"> press</w:t>
      </w:r>
    </w:p>
    <w:p w14:paraId="437E1B8A" w14:textId="77777777" w:rsidR="00296C61" w:rsidRPr="00A828B6" w:rsidRDefault="00296C61" w:rsidP="001A5A01">
      <w:pPr>
        <w:spacing w:after="0" w:line="240" w:lineRule="auto"/>
        <w:jc w:val="both"/>
        <w:rPr>
          <w:rFonts w:ascii="Book Antiqua" w:hAnsi="Book Antiqua"/>
          <w:b/>
          <w:sz w:val="24"/>
          <w:szCs w:val="24"/>
          <w:lang w:val="en-US"/>
        </w:rPr>
      </w:pPr>
      <w:r w:rsidRPr="00A828B6">
        <w:rPr>
          <w:rFonts w:ascii="Book Antiqua" w:hAnsi="Book Antiqua"/>
          <w:b/>
          <w:sz w:val="24"/>
          <w:szCs w:val="24"/>
          <w:lang w:val="en-US"/>
        </w:rPr>
        <w:br w:type="page"/>
      </w:r>
    </w:p>
    <w:p w14:paraId="3B3186FB" w14:textId="77777777" w:rsidR="00DF414C" w:rsidRPr="00A828B6" w:rsidRDefault="002470CD" w:rsidP="001A5A01">
      <w:pPr>
        <w:shd w:val="clear" w:color="auto" w:fill="FFFFFF"/>
        <w:spacing w:after="0" w:line="360" w:lineRule="auto"/>
        <w:jc w:val="both"/>
        <w:textAlignment w:val="baseline"/>
        <w:rPr>
          <w:rFonts w:ascii="Book Antiqua" w:hAnsi="Book Antiqua"/>
          <w:b/>
          <w:sz w:val="24"/>
          <w:szCs w:val="24"/>
          <w:lang w:val="en-US" w:eastAsia="zh-CN"/>
        </w:rPr>
      </w:pPr>
      <w:r w:rsidRPr="00A828B6">
        <w:rPr>
          <w:rFonts w:ascii="Book Antiqua" w:hAnsi="Book Antiqua"/>
          <w:b/>
          <w:sz w:val="24"/>
          <w:szCs w:val="24"/>
          <w:lang w:val="en-US"/>
        </w:rPr>
        <w:lastRenderedPageBreak/>
        <w:t>INTRODUCTION</w:t>
      </w:r>
    </w:p>
    <w:p w14:paraId="0A8FE207" w14:textId="455246C8" w:rsidR="00031E36" w:rsidRPr="00A828B6" w:rsidRDefault="00031E36" w:rsidP="001A5A01">
      <w:pPr>
        <w:shd w:val="clear" w:color="auto" w:fill="FFFFFF"/>
        <w:spacing w:after="0" w:line="360" w:lineRule="auto"/>
        <w:jc w:val="both"/>
        <w:textAlignment w:val="baseline"/>
        <w:rPr>
          <w:rFonts w:ascii="Book Antiqua" w:hAnsi="Book Antiqua"/>
          <w:b/>
          <w:sz w:val="24"/>
          <w:szCs w:val="24"/>
          <w:lang w:val="en-US"/>
        </w:rPr>
      </w:pPr>
      <w:r w:rsidRPr="00A828B6">
        <w:rPr>
          <w:rFonts w:ascii="Book Antiqua" w:hAnsi="Book Antiqua"/>
          <w:sz w:val="24"/>
          <w:szCs w:val="24"/>
          <w:lang w:val="en-US"/>
        </w:rPr>
        <w:t xml:space="preserve">Excessive accumulation of fat </w:t>
      </w:r>
      <w:r w:rsidR="00D16FB1" w:rsidRPr="00A828B6">
        <w:rPr>
          <w:rFonts w:ascii="Book Antiqua" w:hAnsi="Book Antiqua"/>
          <w:sz w:val="24"/>
          <w:szCs w:val="24"/>
          <w:lang w:val="en-US"/>
        </w:rPr>
        <w:t xml:space="preserve">in </w:t>
      </w:r>
      <w:r w:rsidRPr="00A828B6">
        <w:rPr>
          <w:rFonts w:ascii="Book Antiqua" w:hAnsi="Book Antiqua"/>
          <w:sz w:val="24"/>
          <w:szCs w:val="24"/>
          <w:lang w:val="en-US"/>
        </w:rPr>
        <w:t xml:space="preserve">hepatocytes in the absence of significant alcohol consumption occurs in up to 30% of </w:t>
      </w:r>
      <w:proofErr w:type="gramStart"/>
      <w:r w:rsidRPr="00A828B6">
        <w:rPr>
          <w:rFonts w:ascii="Book Antiqua" w:hAnsi="Book Antiqua"/>
          <w:sz w:val="24"/>
          <w:szCs w:val="24"/>
          <w:lang w:val="en-US"/>
        </w:rPr>
        <w:t>adults</w:t>
      </w:r>
      <w:r w:rsidR="00296C61" w:rsidRPr="00A828B6">
        <w:rPr>
          <w:rFonts w:ascii="Book Antiqua" w:hAnsi="Book Antiqua"/>
          <w:sz w:val="24"/>
          <w:szCs w:val="24"/>
          <w:vertAlign w:val="superscript"/>
          <w:lang w:val="en-US" w:eastAsia="zh-CN"/>
        </w:rPr>
        <w:t>[</w:t>
      </w:r>
      <w:proofErr w:type="gramEnd"/>
      <w:r w:rsidR="007927D2" w:rsidRPr="00A828B6">
        <w:rPr>
          <w:rFonts w:ascii="Book Antiqua" w:hAnsi="Book Antiqua"/>
          <w:bCs/>
          <w:sz w:val="24"/>
          <w:szCs w:val="24"/>
          <w:vertAlign w:val="superscript"/>
          <w:lang w:val="en-US"/>
        </w:rPr>
        <w:t>1,2</w:t>
      </w:r>
      <w:r w:rsidR="00296C61" w:rsidRPr="00A828B6">
        <w:rPr>
          <w:rFonts w:ascii="Book Antiqua" w:hAnsi="Book Antiqua"/>
          <w:bCs/>
          <w:sz w:val="24"/>
          <w:szCs w:val="24"/>
          <w:vertAlign w:val="superscript"/>
          <w:lang w:val="en-US" w:eastAsia="zh-CN"/>
        </w:rPr>
        <w:t>]</w:t>
      </w:r>
      <w:r w:rsidRPr="00A828B6">
        <w:rPr>
          <w:rFonts w:ascii="Book Antiqua" w:hAnsi="Book Antiqua"/>
          <w:sz w:val="24"/>
          <w:szCs w:val="24"/>
          <w:lang w:val="en-US"/>
        </w:rPr>
        <w:t xml:space="preserve">. </w:t>
      </w:r>
      <w:r w:rsidR="00D16FB1" w:rsidRPr="00A828B6">
        <w:rPr>
          <w:rFonts w:ascii="Book Antiqua" w:hAnsi="Book Antiqua"/>
          <w:sz w:val="24"/>
          <w:szCs w:val="24"/>
          <w:lang w:val="en-US"/>
        </w:rPr>
        <w:t>This condition, termed</w:t>
      </w:r>
      <w:r w:rsidRPr="00A828B6">
        <w:rPr>
          <w:rFonts w:ascii="Book Antiqua" w:hAnsi="Book Antiqua"/>
          <w:sz w:val="24"/>
          <w:szCs w:val="24"/>
          <w:lang w:val="en-US"/>
        </w:rPr>
        <w:t xml:space="preserve"> non</w:t>
      </w:r>
      <w:r w:rsidR="00A768A8" w:rsidRPr="00A828B6">
        <w:rPr>
          <w:rFonts w:ascii="Book Antiqua" w:hAnsi="Book Antiqua"/>
          <w:sz w:val="24"/>
          <w:szCs w:val="24"/>
          <w:lang w:val="en-US"/>
        </w:rPr>
        <w:t>-</w:t>
      </w:r>
      <w:r w:rsidRPr="00A828B6">
        <w:rPr>
          <w:rFonts w:ascii="Book Antiqua" w:hAnsi="Book Antiqua"/>
          <w:sz w:val="24"/>
          <w:szCs w:val="24"/>
          <w:lang w:val="en-US"/>
        </w:rPr>
        <w:t>alcoholic fatty liver disease (NAFLD), predisposes to non</w:t>
      </w:r>
      <w:r w:rsidR="00A768A8" w:rsidRPr="00A828B6">
        <w:rPr>
          <w:rFonts w:ascii="Book Antiqua" w:hAnsi="Book Antiqua"/>
          <w:sz w:val="24"/>
          <w:szCs w:val="24"/>
          <w:lang w:val="en-US"/>
        </w:rPr>
        <w:t>-</w:t>
      </w:r>
      <w:r w:rsidRPr="00A828B6">
        <w:rPr>
          <w:rFonts w:ascii="Book Antiqua" w:hAnsi="Book Antiqua"/>
          <w:sz w:val="24"/>
          <w:szCs w:val="24"/>
          <w:lang w:val="en-US"/>
        </w:rPr>
        <w:t>alcoholic steatohepatitis (NASH)</w:t>
      </w:r>
      <w:r w:rsidR="00151C11" w:rsidRPr="00A828B6">
        <w:rPr>
          <w:rFonts w:ascii="Book Antiqua" w:hAnsi="Book Antiqua"/>
          <w:sz w:val="24"/>
          <w:szCs w:val="24"/>
          <w:lang w:val="en-US"/>
        </w:rPr>
        <w:t xml:space="preserve">, which progresses to </w:t>
      </w:r>
      <w:r w:rsidRPr="00A828B6">
        <w:rPr>
          <w:rFonts w:ascii="Book Antiqua" w:hAnsi="Book Antiqua"/>
          <w:sz w:val="24"/>
          <w:szCs w:val="24"/>
          <w:lang w:val="en-US"/>
        </w:rPr>
        <w:t>cirrhosis and its complications, including</w:t>
      </w:r>
      <w:r w:rsidR="007927D2" w:rsidRPr="00A828B6">
        <w:rPr>
          <w:rFonts w:ascii="Book Antiqua" w:hAnsi="Book Antiqua"/>
          <w:sz w:val="24"/>
          <w:szCs w:val="24"/>
          <w:lang w:val="en-US"/>
        </w:rPr>
        <w:t xml:space="preserve"> hepatocellular carcinoma (HCC)</w:t>
      </w:r>
      <w:r w:rsidR="00DE1730" w:rsidRPr="00A828B6">
        <w:rPr>
          <w:rFonts w:ascii="Book Antiqua" w:hAnsi="Book Antiqua"/>
          <w:sz w:val="24"/>
          <w:szCs w:val="24"/>
          <w:vertAlign w:val="superscript"/>
          <w:lang w:val="en-US" w:eastAsia="zh-CN"/>
        </w:rPr>
        <w:t>[</w:t>
      </w:r>
      <w:r w:rsidR="00DE1730" w:rsidRPr="00A828B6">
        <w:rPr>
          <w:rFonts w:ascii="Book Antiqua" w:hAnsi="Book Antiqua"/>
          <w:bCs/>
          <w:sz w:val="24"/>
          <w:szCs w:val="24"/>
          <w:vertAlign w:val="superscript"/>
          <w:lang w:val="en-US"/>
        </w:rPr>
        <w:t>2-4</w:t>
      </w:r>
      <w:r w:rsidR="00DE1730" w:rsidRPr="00A828B6">
        <w:rPr>
          <w:rFonts w:ascii="Book Antiqua" w:hAnsi="Book Antiqua"/>
          <w:bCs/>
          <w:sz w:val="24"/>
          <w:szCs w:val="24"/>
          <w:vertAlign w:val="superscript"/>
          <w:lang w:val="en-US" w:eastAsia="zh-CN"/>
        </w:rPr>
        <w:t>]</w:t>
      </w:r>
      <w:r w:rsidR="00DE1730" w:rsidRPr="00A828B6">
        <w:rPr>
          <w:rFonts w:ascii="Book Antiqua" w:hAnsi="Book Antiqua"/>
          <w:sz w:val="24"/>
          <w:szCs w:val="24"/>
          <w:lang w:val="en-US"/>
        </w:rPr>
        <w:t xml:space="preserve">. </w:t>
      </w:r>
      <w:r w:rsidR="008F09C4" w:rsidRPr="00A828B6">
        <w:rPr>
          <w:rFonts w:ascii="Book Antiqua" w:hAnsi="Book Antiqua"/>
          <w:sz w:val="24"/>
          <w:szCs w:val="24"/>
          <w:lang w:val="en-US"/>
        </w:rPr>
        <w:t xml:space="preserve">Several studies have also reported </w:t>
      </w:r>
      <w:r w:rsidR="00151C11" w:rsidRPr="00A828B6">
        <w:rPr>
          <w:rFonts w:ascii="Book Antiqua" w:hAnsi="Book Antiqua"/>
          <w:sz w:val="24"/>
          <w:szCs w:val="24"/>
          <w:lang w:val="en-US"/>
        </w:rPr>
        <w:t xml:space="preserve">that </w:t>
      </w:r>
      <w:r w:rsidR="00467D89" w:rsidRPr="00A828B6">
        <w:rPr>
          <w:rFonts w:ascii="Book Antiqua" w:hAnsi="Book Antiqua"/>
          <w:sz w:val="24"/>
          <w:szCs w:val="24"/>
          <w:lang w:val="en-US"/>
        </w:rPr>
        <w:t xml:space="preserve">in some patients, </w:t>
      </w:r>
      <w:r w:rsidR="008F09C4" w:rsidRPr="00A828B6">
        <w:rPr>
          <w:rFonts w:ascii="Book Antiqua" w:hAnsi="Book Antiqua"/>
          <w:sz w:val="24"/>
          <w:szCs w:val="24"/>
          <w:lang w:val="en-US"/>
        </w:rPr>
        <w:t xml:space="preserve">NAFLD </w:t>
      </w:r>
      <w:r w:rsidR="00151C11" w:rsidRPr="00A828B6">
        <w:rPr>
          <w:rFonts w:ascii="Book Antiqua" w:hAnsi="Book Antiqua"/>
          <w:sz w:val="24"/>
          <w:szCs w:val="24"/>
          <w:lang w:val="en-US"/>
        </w:rPr>
        <w:t xml:space="preserve">can lead to </w:t>
      </w:r>
      <w:r w:rsidR="008F09C4" w:rsidRPr="00A828B6">
        <w:rPr>
          <w:rFonts w:ascii="Book Antiqua" w:hAnsi="Book Antiqua"/>
          <w:sz w:val="24"/>
          <w:szCs w:val="24"/>
          <w:lang w:val="en-US"/>
        </w:rPr>
        <w:t xml:space="preserve">HCC without </w:t>
      </w:r>
      <w:r w:rsidR="00467D89" w:rsidRPr="00A828B6">
        <w:rPr>
          <w:rFonts w:ascii="Book Antiqua" w:hAnsi="Book Antiqua"/>
          <w:sz w:val="24"/>
          <w:szCs w:val="24"/>
          <w:lang w:val="en-US"/>
        </w:rPr>
        <w:t xml:space="preserve">transitioning through </w:t>
      </w:r>
      <w:proofErr w:type="gramStart"/>
      <w:r w:rsidR="008F09C4" w:rsidRPr="00A828B6">
        <w:rPr>
          <w:rFonts w:ascii="Book Antiqua" w:hAnsi="Book Antiqua"/>
          <w:sz w:val="24"/>
          <w:szCs w:val="24"/>
          <w:lang w:val="en-US"/>
        </w:rPr>
        <w:t>cirrhosis</w:t>
      </w:r>
      <w:r w:rsidR="00DE1730" w:rsidRPr="00A828B6">
        <w:rPr>
          <w:rFonts w:ascii="Book Antiqua" w:hAnsi="Book Antiqua"/>
          <w:sz w:val="24"/>
          <w:szCs w:val="24"/>
          <w:vertAlign w:val="superscript"/>
          <w:lang w:val="en-US" w:eastAsia="zh-CN"/>
        </w:rPr>
        <w:t>[</w:t>
      </w:r>
      <w:proofErr w:type="gramEnd"/>
      <w:r w:rsidR="00DF414C" w:rsidRPr="00A828B6">
        <w:rPr>
          <w:rFonts w:ascii="Book Antiqua" w:hAnsi="Book Antiqua"/>
          <w:bCs/>
          <w:sz w:val="24"/>
          <w:szCs w:val="24"/>
          <w:vertAlign w:val="superscript"/>
          <w:lang w:val="en-US"/>
        </w:rPr>
        <w:t>4,</w:t>
      </w:r>
      <w:r w:rsidR="00DE1730" w:rsidRPr="00A828B6">
        <w:rPr>
          <w:rFonts w:ascii="Book Antiqua" w:hAnsi="Book Antiqua"/>
          <w:bCs/>
          <w:sz w:val="24"/>
          <w:szCs w:val="24"/>
          <w:vertAlign w:val="superscript"/>
          <w:lang w:val="en-US" w:eastAsia="zh-CN"/>
        </w:rPr>
        <w:t>5-10]</w:t>
      </w:r>
      <w:r w:rsidR="007927D2" w:rsidRPr="00A828B6">
        <w:rPr>
          <w:rFonts w:ascii="Book Antiqua" w:hAnsi="Book Antiqua"/>
          <w:sz w:val="24"/>
          <w:szCs w:val="24"/>
          <w:lang w:val="en-US"/>
        </w:rPr>
        <w:t xml:space="preserve">. </w:t>
      </w:r>
      <w:r w:rsidR="00151C11" w:rsidRPr="00A828B6">
        <w:rPr>
          <w:rFonts w:ascii="Book Antiqua" w:hAnsi="Book Antiqua"/>
          <w:sz w:val="24"/>
          <w:szCs w:val="24"/>
          <w:lang w:val="en-US"/>
        </w:rPr>
        <w:t>Currently</w:t>
      </w:r>
      <w:r w:rsidR="008F09C4" w:rsidRPr="00A828B6">
        <w:rPr>
          <w:rFonts w:ascii="Book Antiqua" w:hAnsi="Book Antiqua"/>
          <w:sz w:val="24"/>
          <w:szCs w:val="24"/>
          <w:lang w:val="en-US"/>
        </w:rPr>
        <w:t>, it is estimated that NAFLD is the third leading cause of HCC after hepatitis C and B.</w:t>
      </w:r>
      <w:r w:rsidR="003D251E" w:rsidRPr="00A828B6">
        <w:rPr>
          <w:rFonts w:ascii="Book Antiqua" w:hAnsi="Book Antiqua"/>
          <w:sz w:val="24"/>
          <w:szCs w:val="24"/>
          <w:lang w:val="en-US"/>
        </w:rPr>
        <w:t xml:space="preserve"> Although earlier studies suggested that NAFLD may be less severe </w:t>
      </w:r>
      <w:r w:rsidR="00BD2744" w:rsidRPr="00A828B6">
        <w:rPr>
          <w:rFonts w:ascii="Book Antiqua" w:hAnsi="Book Antiqua"/>
          <w:sz w:val="24"/>
          <w:szCs w:val="24"/>
          <w:lang w:val="en-US"/>
        </w:rPr>
        <w:t>and progresses</w:t>
      </w:r>
      <w:r w:rsidR="00230EAF" w:rsidRPr="00A828B6">
        <w:rPr>
          <w:rFonts w:ascii="Book Antiqua" w:hAnsi="Book Antiqua"/>
          <w:sz w:val="24"/>
          <w:szCs w:val="24"/>
          <w:lang w:val="en-US"/>
        </w:rPr>
        <w:t xml:space="preserve">s </w:t>
      </w:r>
      <w:r w:rsidR="00BD2744" w:rsidRPr="00A828B6">
        <w:rPr>
          <w:rFonts w:ascii="Book Antiqua" w:hAnsi="Book Antiqua"/>
          <w:sz w:val="24"/>
          <w:szCs w:val="24"/>
          <w:lang w:val="en-US"/>
        </w:rPr>
        <w:t xml:space="preserve">slowly </w:t>
      </w:r>
      <w:r w:rsidR="00467D89" w:rsidRPr="00A828B6">
        <w:rPr>
          <w:rFonts w:ascii="Book Antiqua" w:hAnsi="Book Antiqua"/>
          <w:sz w:val="24"/>
          <w:szCs w:val="24"/>
          <w:lang w:val="en-US"/>
        </w:rPr>
        <w:t xml:space="preserve">in </w:t>
      </w:r>
      <w:r w:rsidR="003D251E" w:rsidRPr="00A828B6">
        <w:rPr>
          <w:rFonts w:ascii="Book Antiqua" w:hAnsi="Book Antiqua"/>
          <w:sz w:val="24"/>
          <w:szCs w:val="24"/>
          <w:lang w:val="en-US"/>
        </w:rPr>
        <w:t xml:space="preserve">Asian populations, the progression of fibrosis and cirrhosis in patients with NAFLD is </w:t>
      </w:r>
      <w:r w:rsidR="00006D4F" w:rsidRPr="00A828B6">
        <w:rPr>
          <w:rFonts w:ascii="Book Antiqua" w:hAnsi="Book Antiqua"/>
          <w:sz w:val="24"/>
          <w:szCs w:val="24"/>
          <w:lang w:val="en-US"/>
        </w:rPr>
        <w:t xml:space="preserve">no longer </w:t>
      </w:r>
      <w:r w:rsidR="003D251E" w:rsidRPr="00A828B6">
        <w:rPr>
          <w:rFonts w:ascii="Book Antiqua" w:hAnsi="Book Antiqua"/>
          <w:sz w:val="24"/>
          <w:szCs w:val="24"/>
          <w:lang w:val="en-US"/>
        </w:rPr>
        <w:t>believed to differ significan</w:t>
      </w:r>
      <w:r w:rsidR="007927D2" w:rsidRPr="00A828B6">
        <w:rPr>
          <w:rFonts w:ascii="Book Antiqua" w:hAnsi="Book Antiqua"/>
          <w:sz w:val="24"/>
          <w:szCs w:val="24"/>
          <w:lang w:val="en-US"/>
        </w:rPr>
        <w:t xml:space="preserve">tly by </w:t>
      </w:r>
      <w:proofErr w:type="gramStart"/>
      <w:r w:rsidR="007927D2" w:rsidRPr="00A828B6">
        <w:rPr>
          <w:rFonts w:ascii="Book Antiqua" w:hAnsi="Book Antiqua"/>
          <w:sz w:val="24"/>
          <w:szCs w:val="24"/>
          <w:lang w:val="en-US"/>
        </w:rPr>
        <w:t>ethnicity</w:t>
      </w:r>
      <w:r w:rsidR="00697163" w:rsidRPr="00A828B6">
        <w:rPr>
          <w:rFonts w:ascii="Book Antiqua" w:hAnsi="Book Antiqua"/>
          <w:sz w:val="24"/>
          <w:szCs w:val="24"/>
          <w:vertAlign w:val="superscript"/>
          <w:lang w:val="en-US" w:eastAsia="zh-CN"/>
        </w:rPr>
        <w:t>[</w:t>
      </w:r>
      <w:proofErr w:type="gramEnd"/>
      <w:r w:rsidR="00697163" w:rsidRPr="00A828B6">
        <w:rPr>
          <w:rFonts w:ascii="Book Antiqua" w:hAnsi="Book Antiqua"/>
          <w:bCs/>
          <w:sz w:val="24"/>
          <w:szCs w:val="24"/>
          <w:vertAlign w:val="superscript"/>
          <w:lang w:val="en-US"/>
        </w:rPr>
        <w:t>11-13</w:t>
      </w:r>
      <w:r w:rsidR="00697163" w:rsidRPr="00A828B6">
        <w:rPr>
          <w:rFonts w:ascii="Book Antiqua" w:hAnsi="Book Antiqua"/>
          <w:bCs/>
          <w:sz w:val="24"/>
          <w:szCs w:val="24"/>
          <w:vertAlign w:val="superscript"/>
          <w:lang w:val="en-US" w:eastAsia="zh-CN"/>
        </w:rPr>
        <w:t>]</w:t>
      </w:r>
      <w:r w:rsidR="003D251E" w:rsidRPr="00A828B6">
        <w:rPr>
          <w:rFonts w:ascii="Book Antiqua" w:hAnsi="Book Antiqua"/>
          <w:sz w:val="24"/>
          <w:szCs w:val="24"/>
          <w:lang w:val="en-US"/>
        </w:rPr>
        <w:t>.</w:t>
      </w:r>
    </w:p>
    <w:p w14:paraId="4CDEEA5A" w14:textId="4B8C062D" w:rsidR="0083086F" w:rsidRPr="00A828B6" w:rsidRDefault="00031E36" w:rsidP="001A5A01">
      <w:pPr>
        <w:spacing w:after="0" w:line="360" w:lineRule="auto"/>
        <w:ind w:firstLine="360"/>
        <w:jc w:val="both"/>
        <w:rPr>
          <w:rFonts w:ascii="Book Antiqua" w:hAnsi="Book Antiqua"/>
          <w:sz w:val="24"/>
          <w:szCs w:val="24"/>
          <w:lang w:val="en-US"/>
        </w:rPr>
      </w:pPr>
      <w:r w:rsidRPr="00A828B6">
        <w:rPr>
          <w:rFonts w:ascii="Book Antiqua" w:hAnsi="Book Antiqua"/>
          <w:sz w:val="24"/>
          <w:szCs w:val="24"/>
          <w:lang w:val="en-US"/>
        </w:rPr>
        <w:t xml:space="preserve">The prevalence of NASH </w:t>
      </w:r>
      <w:r w:rsidR="00BF4969" w:rsidRPr="00A828B6">
        <w:rPr>
          <w:rFonts w:ascii="Book Antiqua" w:hAnsi="Book Antiqua"/>
          <w:sz w:val="24"/>
          <w:szCs w:val="24"/>
          <w:lang w:val="en-US"/>
        </w:rPr>
        <w:t>as a precursor of NAFLD</w:t>
      </w:r>
      <w:r w:rsidR="00BD2744" w:rsidRPr="00A828B6">
        <w:rPr>
          <w:rFonts w:ascii="Book Antiqua" w:hAnsi="Book Antiqua"/>
          <w:sz w:val="24"/>
          <w:szCs w:val="24"/>
          <w:lang w:val="en-US"/>
        </w:rPr>
        <w:t>-</w:t>
      </w:r>
      <w:r w:rsidR="00BF4969" w:rsidRPr="00A828B6">
        <w:rPr>
          <w:rFonts w:ascii="Book Antiqua" w:hAnsi="Book Antiqua"/>
          <w:sz w:val="24"/>
          <w:szCs w:val="24"/>
          <w:lang w:val="en-US"/>
        </w:rPr>
        <w:t xml:space="preserve">associated cirrhosis </w:t>
      </w:r>
      <w:r w:rsidRPr="00A828B6">
        <w:rPr>
          <w:rFonts w:ascii="Book Antiqua" w:hAnsi="Book Antiqua"/>
          <w:sz w:val="24"/>
          <w:szCs w:val="24"/>
          <w:lang w:val="en-US"/>
        </w:rPr>
        <w:t>is 3% and 20% in non</w:t>
      </w:r>
      <w:r w:rsidR="00786386" w:rsidRPr="00A828B6">
        <w:rPr>
          <w:rFonts w:ascii="Book Antiqua" w:hAnsi="Book Antiqua"/>
          <w:sz w:val="24"/>
          <w:szCs w:val="24"/>
          <w:lang w:val="en-US"/>
        </w:rPr>
        <w:t>-</w:t>
      </w:r>
      <w:r w:rsidRPr="00A828B6">
        <w:rPr>
          <w:rFonts w:ascii="Book Antiqua" w:hAnsi="Book Antiqua"/>
          <w:sz w:val="24"/>
          <w:szCs w:val="24"/>
          <w:lang w:val="en-US"/>
        </w:rPr>
        <w:t xml:space="preserve">obese and obese subjects, </w:t>
      </w:r>
      <w:proofErr w:type="gramStart"/>
      <w:r w:rsidRPr="00A828B6">
        <w:rPr>
          <w:rFonts w:ascii="Book Antiqua" w:hAnsi="Book Antiqua"/>
          <w:sz w:val="24"/>
          <w:szCs w:val="24"/>
          <w:lang w:val="en-US"/>
        </w:rPr>
        <w:t>respectively</w:t>
      </w:r>
      <w:r w:rsidR="00697163" w:rsidRPr="00A828B6">
        <w:rPr>
          <w:rFonts w:ascii="Book Antiqua" w:hAnsi="Book Antiqua"/>
          <w:sz w:val="24"/>
          <w:szCs w:val="24"/>
          <w:vertAlign w:val="superscript"/>
          <w:lang w:val="en-US" w:eastAsia="zh-CN"/>
        </w:rPr>
        <w:t>[</w:t>
      </w:r>
      <w:proofErr w:type="gramEnd"/>
      <w:r w:rsidR="00697163" w:rsidRPr="00A828B6">
        <w:rPr>
          <w:rFonts w:ascii="Book Antiqua" w:hAnsi="Book Antiqua"/>
          <w:bCs/>
          <w:sz w:val="24"/>
          <w:szCs w:val="24"/>
          <w:vertAlign w:val="superscript"/>
          <w:lang w:val="en-US"/>
        </w:rPr>
        <w:t>14</w:t>
      </w:r>
      <w:r w:rsidR="00697163" w:rsidRPr="00A828B6">
        <w:rPr>
          <w:rFonts w:ascii="Book Antiqua" w:hAnsi="Book Antiqua"/>
          <w:bCs/>
          <w:sz w:val="24"/>
          <w:szCs w:val="24"/>
          <w:vertAlign w:val="superscript"/>
          <w:lang w:val="en-US" w:eastAsia="zh-CN"/>
        </w:rPr>
        <w:t>]</w:t>
      </w:r>
      <w:r w:rsidRPr="00A828B6">
        <w:rPr>
          <w:rFonts w:ascii="Book Antiqua" w:hAnsi="Book Antiqua"/>
          <w:sz w:val="24"/>
          <w:szCs w:val="24"/>
          <w:lang w:val="en-US"/>
        </w:rPr>
        <w:t xml:space="preserve">. The global obesity epidemic has been associated with the increasing burden of NAFLD. </w:t>
      </w:r>
      <w:r w:rsidR="00F20407" w:rsidRPr="00A828B6">
        <w:rPr>
          <w:rFonts w:ascii="Book Antiqua" w:hAnsi="Book Antiqua"/>
          <w:sz w:val="24"/>
          <w:szCs w:val="24"/>
          <w:lang w:val="en-US"/>
        </w:rPr>
        <w:t>It has been estimated that the rising prevalence of NAFLD will soon lead to large cohorts of patients with decompensated cirrhosis</w:t>
      </w:r>
      <w:r w:rsidR="00405461" w:rsidRPr="00A828B6">
        <w:rPr>
          <w:rFonts w:ascii="Book Antiqua" w:hAnsi="Book Antiqua"/>
          <w:sz w:val="24"/>
          <w:szCs w:val="24"/>
          <w:lang w:val="en-US"/>
        </w:rPr>
        <w:t>. In this respect, NAFLD</w:t>
      </w:r>
      <w:r w:rsidR="0008747F" w:rsidRPr="00A828B6">
        <w:rPr>
          <w:rFonts w:ascii="Book Antiqua" w:hAnsi="Book Antiqua"/>
          <w:sz w:val="24"/>
          <w:szCs w:val="24"/>
          <w:lang w:val="en-US"/>
        </w:rPr>
        <w:t xml:space="preserve"> </w:t>
      </w:r>
      <w:r w:rsidR="00405461" w:rsidRPr="00A828B6">
        <w:rPr>
          <w:rFonts w:ascii="Book Antiqua" w:hAnsi="Book Antiqua"/>
          <w:sz w:val="24"/>
          <w:szCs w:val="24"/>
          <w:lang w:val="en-US"/>
        </w:rPr>
        <w:t xml:space="preserve">is expected to </w:t>
      </w:r>
      <w:r w:rsidR="00F20407" w:rsidRPr="00A828B6">
        <w:rPr>
          <w:rFonts w:ascii="Book Antiqua" w:hAnsi="Book Antiqua"/>
          <w:sz w:val="24"/>
          <w:szCs w:val="24"/>
          <w:lang w:val="en-US"/>
        </w:rPr>
        <w:t>become the leading indicat</w:t>
      </w:r>
      <w:r w:rsidR="009A389E" w:rsidRPr="00A828B6">
        <w:rPr>
          <w:rFonts w:ascii="Book Antiqua" w:hAnsi="Book Antiqua"/>
          <w:sz w:val="24"/>
          <w:szCs w:val="24"/>
          <w:lang w:val="en-US"/>
        </w:rPr>
        <w:t>ion</w:t>
      </w:r>
      <w:r w:rsidR="00F20407" w:rsidRPr="00A828B6">
        <w:rPr>
          <w:rFonts w:ascii="Book Antiqua" w:hAnsi="Book Antiqua"/>
          <w:sz w:val="24"/>
          <w:szCs w:val="24"/>
          <w:lang w:val="en-US"/>
        </w:rPr>
        <w:t xml:space="preserve"> for liver transplantation in </w:t>
      </w:r>
      <w:r w:rsidR="0067466D" w:rsidRPr="00A828B6">
        <w:rPr>
          <w:rFonts w:ascii="Book Antiqua" w:hAnsi="Book Antiqua"/>
          <w:sz w:val="24"/>
          <w:szCs w:val="24"/>
          <w:lang w:val="en-US"/>
        </w:rPr>
        <w:t>the W</w:t>
      </w:r>
      <w:r w:rsidR="00F20407" w:rsidRPr="00A828B6">
        <w:rPr>
          <w:rFonts w:ascii="Book Antiqua" w:hAnsi="Book Antiqua"/>
          <w:sz w:val="24"/>
          <w:szCs w:val="24"/>
          <w:lang w:val="en-US"/>
        </w:rPr>
        <w:t>estern world, pa</w:t>
      </w:r>
      <w:r w:rsidR="0008747F" w:rsidRPr="00A828B6">
        <w:rPr>
          <w:rFonts w:ascii="Book Antiqua" w:hAnsi="Book Antiqua"/>
          <w:sz w:val="24"/>
          <w:szCs w:val="24"/>
          <w:lang w:val="en-US"/>
        </w:rPr>
        <w:t xml:space="preserve">rticularly in the United States. </w:t>
      </w:r>
      <w:r w:rsidR="00834CCA" w:rsidRPr="00A828B6">
        <w:rPr>
          <w:rFonts w:ascii="Book Antiqua" w:hAnsi="Book Antiqua"/>
          <w:sz w:val="24"/>
          <w:szCs w:val="24"/>
          <w:lang w:val="en-US"/>
        </w:rPr>
        <w:t>L</w:t>
      </w:r>
      <w:r w:rsidR="005E0178" w:rsidRPr="00A828B6">
        <w:rPr>
          <w:rFonts w:ascii="Book Antiqua" w:hAnsi="Book Antiqua"/>
          <w:sz w:val="24"/>
          <w:szCs w:val="24"/>
          <w:lang w:val="en-US"/>
        </w:rPr>
        <w:t xml:space="preserve">ongitudinal follow-up studies showed </w:t>
      </w:r>
      <w:r w:rsidR="000F0B97" w:rsidRPr="00A828B6">
        <w:rPr>
          <w:rFonts w:ascii="Book Antiqua" w:hAnsi="Book Antiqua"/>
          <w:sz w:val="24"/>
          <w:szCs w:val="24"/>
          <w:lang w:val="en-US"/>
        </w:rPr>
        <w:t xml:space="preserve">an increase in the </w:t>
      </w:r>
      <w:r w:rsidR="005E0178" w:rsidRPr="00A828B6">
        <w:rPr>
          <w:rFonts w:ascii="Book Antiqua" w:hAnsi="Book Antiqua"/>
          <w:sz w:val="24"/>
          <w:szCs w:val="24"/>
          <w:lang w:val="en-US"/>
        </w:rPr>
        <w:t>mortality rate</w:t>
      </w:r>
      <w:r w:rsidR="0008747F" w:rsidRPr="00A828B6">
        <w:rPr>
          <w:rFonts w:ascii="Book Antiqua" w:hAnsi="Book Antiqua"/>
          <w:sz w:val="24"/>
          <w:szCs w:val="24"/>
          <w:lang w:val="en-US"/>
        </w:rPr>
        <w:t xml:space="preserve"> </w:t>
      </w:r>
      <w:r w:rsidR="00FA7848" w:rsidRPr="00A828B6">
        <w:rPr>
          <w:rFonts w:ascii="Book Antiqua" w:hAnsi="Book Antiqua"/>
          <w:sz w:val="24"/>
          <w:szCs w:val="24"/>
          <w:lang w:val="en-US"/>
        </w:rPr>
        <w:t>among patients with NAFLD</w:t>
      </w:r>
      <w:r w:rsidR="0008747F" w:rsidRPr="00A828B6">
        <w:rPr>
          <w:rFonts w:ascii="Book Antiqua" w:hAnsi="Book Antiqua"/>
          <w:sz w:val="24"/>
          <w:szCs w:val="24"/>
          <w:lang w:val="en-US"/>
        </w:rPr>
        <w:t xml:space="preserve"> </w:t>
      </w:r>
      <w:r w:rsidR="008F09C4" w:rsidRPr="00A828B6">
        <w:rPr>
          <w:rFonts w:ascii="Book Antiqua" w:hAnsi="Book Antiqua"/>
          <w:sz w:val="24"/>
          <w:szCs w:val="24"/>
          <w:lang w:val="en-US"/>
        </w:rPr>
        <w:t xml:space="preserve">due to hepatic </w:t>
      </w:r>
      <w:proofErr w:type="gramStart"/>
      <w:r w:rsidR="008F09C4" w:rsidRPr="00A828B6">
        <w:rPr>
          <w:rFonts w:ascii="Book Antiqua" w:hAnsi="Book Antiqua"/>
          <w:sz w:val="24"/>
          <w:szCs w:val="24"/>
          <w:lang w:val="en-US"/>
        </w:rPr>
        <w:t>de</w:t>
      </w:r>
      <w:r w:rsidR="000711C7" w:rsidRPr="00A828B6">
        <w:rPr>
          <w:rFonts w:ascii="Book Antiqua" w:hAnsi="Book Antiqua"/>
          <w:sz w:val="24"/>
          <w:szCs w:val="24"/>
          <w:lang w:val="en-US"/>
        </w:rPr>
        <w:t>compensation</w:t>
      </w:r>
      <w:r w:rsidR="00697163" w:rsidRPr="00A828B6">
        <w:rPr>
          <w:rFonts w:ascii="Book Antiqua" w:hAnsi="Book Antiqua"/>
          <w:sz w:val="24"/>
          <w:szCs w:val="24"/>
          <w:vertAlign w:val="superscript"/>
          <w:lang w:val="en-US" w:eastAsia="zh-CN"/>
        </w:rPr>
        <w:t>[</w:t>
      </w:r>
      <w:proofErr w:type="gramEnd"/>
      <w:r w:rsidR="00697163" w:rsidRPr="00A828B6">
        <w:rPr>
          <w:rFonts w:ascii="Book Antiqua" w:hAnsi="Book Antiqua"/>
          <w:bCs/>
          <w:sz w:val="24"/>
          <w:szCs w:val="24"/>
          <w:vertAlign w:val="superscript"/>
          <w:lang w:val="en-US"/>
        </w:rPr>
        <w:t>15-19</w:t>
      </w:r>
      <w:r w:rsidR="00697163" w:rsidRPr="00A828B6">
        <w:rPr>
          <w:rFonts w:ascii="Book Antiqua" w:hAnsi="Book Antiqua"/>
          <w:bCs/>
          <w:sz w:val="24"/>
          <w:szCs w:val="24"/>
          <w:vertAlign w:val="superscript"/>
          <w:lang w:val="en-US" w:eastAsia="zh-CN"/>
        </w:rPr>
        <w:t>]</w:t>
      </w:r>
      <w:r w:rsidR="005E0178" w:rsidRPr="00A828B6">
        <w:rPr>
          <w:rFonts w:ascii="Book Antiqua" w:hAnsi="Book Antiqua"/>
          <w:sz w:val="24"/>
          <w:szCs w:val="24"/>
          <w:lang w:val="en-US"/>
        </w:rPr>
        <w:t>.</w:t>
      </w:r>
      <w:r w:rsidR="0008747F" w:rsidRPr="00A828B6">
        <w:rPr>
          <w:rFonts w:ascii="Book Antiqua" w:hAnsi="Book Antiqua"/>
          <w:sz w:val="24"/>
          <w:szCs w:val="24"/>
          <w:lang w:val="en-US"/>
        </w:rPr>
        <w:t xml:space="preserve"> T</w:t>
      </w:r>
      <w:r w:rsidR="000B4B61" w:rsidRPr="00A828B6">
        <w:rPr>
          <w:rFonts w:ascii="Book Antiqua" w:hAnsi="Book Antiqua"/>
          <w:sz w:val="24"/>
          <w:szCs w:val="24"/>
          <w:lang w:val="en-US"/>
        </w:rPr>
        <w:t>hese studies</w:t>
      </w:r>
      <w:r w:rsidR="0008747F" w:rsidRPr="00A828B6">
        <w:rPr>
          <w:rFonts w:ascii="Book Antiqua" w:hAnsi="Book Antiqua"/>
          <w:sz w:val="24"/>
          <w:szCs w:val="24"/>
          <w:lang w:val="en-US"/>
        </w:rPr>
        <w:t xml:space="preserve"> </w:t>
      </w:r>
      <w:r w:rsidR="00834CCA" w:rsidRPr="00A828B6">
        <w:rPr>
          <w:rFonts w:ascii="Book Antiqua" w:hAnsi="Book Antiqua"/>
          <w:sz w:val="24"/>
          <w:szCs w:val="24"/>
          <w:lang w:val="en-US"/>
        </w:rPr>
        <w:t xml:space="preserve">usually </w:t>
      </w:r>
      <w:r w:rsidR="00E97C24" w:rsidRPr="00A828B6">
        <w:rPr>
          <w:rFonts w:ascii="Book Antiqua" w:hAnsi="Book Antiqua"/>
          <w:sz w:val="24"/>
          <w:szCs w:val="24"/>
          <w:lang w:val="en-US"/>
        </w:rPr>
        <w:t xml:space="preserve">included </w:t>
      </w:r>
      <w:r w:rsidR="0067466D" w:rsidRPr="00A828B6">
        <w:rPr>
          <w:rFonts w:ascii="Book Antiqua" w:hAnsi="Book Antiqua"/>
          <w:sz w:val="24"/>
          <w:szCs w:val="24"/>
          <w:lang w:val="en-US"/>
        </w:rPr>
        <w:t xml:space="preserve">a </w:t>
      </w:r>
      <w:r w:rsidR="00E97C24" w:rsidRPr="00A828B6">
        <w:rPr>
          <w:rFonts w:ascii="Book Antiqua" w:hAnsi="Book Antiqua"/>
          <w:sz w:val="24"/>
          <w:szCs w:val="24"/>
          <w:lang w:val="en-US"/>
        </w:rPr>
        <w:t xml:space="preserve">limited number of patients with short follow-up </w:t>
      </w:r>
      <w:r w:rsidR="000E3E71" w:rsidRPr="00A828B6">
        <w:rPr>
          <w:rFonts w:ascii="Book Antiqua" w:hAnsi="Book Antiqua"/>
          <w:sz w:val="24"/>
          <w:szCs w:val="24"/>
          <w:lang w:val="en-US"/>
        </w:rPr>
        <w:t xml:space="preserve">period </w:t>
      </w:r>
      <w:r w:rsidR="00E97C24" w:rsidRPr="00A828B6">
        <w:rPr>
          <w:rFonts w:ascii="Book Antiqua" w:hAnsi="Book Antiqua"/>
          <w:sz w:val="24"/>
          <w:szCs w:val="24"/>
          <w:lang w:val="en-US"/>
        </w:rPr>
        <w:t xml:space="preserve">and with selected patients such as </w:t>
      </w:r>
      <w:r w:rsidR="00A11388" w:rsidRPr="00A828B6">
        <w:rPr>
          <w:rFonts w:ascii="Book Antiqua" w:hAnsi="Book Antiqua"/>
          <w:sz w:val="24"/>
          <w:szCs w:val="24"/>
          <w:lang w:val="en-US"/>
        </w:rPr>
        <w:t>compensated cirrhosis</w:t>
      </w:r>
      <w:r w:rsidR="00E97C24" w:rsidRPr="00A828B6">
        <w:rPr>
          <w:rFonts w:ascii="Book Antiqua" w:hAnsi="Book Antiqua"/>
          <w:sz w:val="24"/>
          <w:szCs w:val="24"/>
          <w:lang w:val="en-US"/>
        </w:rPr>
        <w:t>.</w:t>
      </w:r>
    </w:p>
    <w:p w14:paraId="1ED1674C" w14:textId="714ABF2C" w:rsidR="00306865" w:rsidRPr="00A828B6" w:rsidRDefault="0051214D" w:rsidP="001A5A01">
      <w:pPr>
        <w:spacing w:after="0" w:line="360" w:lineRule="auto"/>
        <w:ind w:firstLine="360"/>
        <w:jc w:val="both"/>
        <w:rPr>
          <w:rFonts w:ascii="Book Antiqua" w:hAnsi="Book Antiqua"/>
          <w:sz w:val="24"/>
          <w:szCs w:val="24"/>
          <w:lang w:val="en-US"/>
        </w:rPr>
      </w:pPr>
      <w:r w:rsidRPr="00A828B6">
        <w:rPr>
          <w:rFonts w:ascii="Book Antiqua" w:hAnsi="Book Antiqua"/>
          <w:sz w:val="24"/>
          <w:szCs w:val="24"/>
          <w:lang w:val="en-US"/>
        </w:rPr>
        <w:t>It is possible that r</w:t>
      </w:r>
      <w:r w:rsidR="000D068B" w:rsidRPr="00A828B6">
        <w:rPr>
          <w:rFonts w:ascii="Book Antiqua" w:hAnsi="Book Antiqua"/>
          <w:sz w:val="24"/>
          <w:szCs w:val="24"/>
          <w:lang w:val="en-US"/>
        </w:rPr>
        <w:t xml:space="preserve">isk factors </w:t>
      </w:r>
      <w:r w:rsidR="00467D89" w:rsidRPr="00A828B6">
        <w:rPr>
          <w:rFonts w:ascii="Book Antiqua" w:hAnsi="Book Antiqua"/>
          <w:sz w:val="24"/>
          <w:szCs w:val="24"/>
          <w:lang w:val="en-US"/>
        </w:rPr>
        <w:t xml:space="preserve">for </w:t>
      </w:r>
      <w:r w:rsidR="000D068B" w:rsidRPr="00A828B6">
        <w:rPr>
          <w:rFonts w:ascii="Book Antiqua" w:hAnsi="Book Antiqua"/>
          <w:sz w:val="24"/>
          <w:szCs w:val="24"/>
          <w:lang w:val="en-US"/>
        </w:rPr>
        <w:t>NAFLD-associated cirrhosis and HCC in East</w:t>
      </w:r>
      <w:r w:rsidR="00205157" w:rsidRPr="00A828B6">
        <w:rPr>
          <w:rFonts w:ascii="Book Antiqua" w:hAnsi="Book Antiqua"/>
          <w:sz w:val="24"/>
          <w:szCs w:val="24"/>
          <w:lang w:val="en-US"/>
        </w:rPr>
        <w:t>ern countries</w:t>
      </w:r>
      <w:r w:rsidR="000D068B" w:rsidRPr="00A828B6">
        <w:rPr>
          <w:rFonts w:ascii="Book Antiqua" w:hAnsi="Book Antiqua"/>
          <w:sz w:val="24"/>
          <w:szCs w:val="24"/>
          <w:lang w:val="en-US"/>
        </w:rPr>
        <w:t xml:space="preserve"> differ from those in the West. Thus, </w:t>
      </w:r>
      <w:r w:rsidR="00A34325" w:rsidRPr="00A828B6">
        <w:rPr>
          <w:rFonts w:ascii="Book Antiqua" w:hAnsi="Book Antiqua"/>
          <w:sz w:val="24"/>
          <w:szCs w:val="24"/>
          <w:lang w:val="en-US"/>
        </w:rPr>
        <w:t>we aimed to</w:t>
      </w:r>
      <w:r w:rsidR="000D068B" w:rsidRPr="00A828B6">
        <w:rPr>
          <w:rFonts w:ascii="Book Antiqua" w:hAnsi="Book Antiqua"/>
          <w:sz w:val="24"/>
          <w:szCs w:val="24"/>
          <w:lang w:val="en-US"/>
        </w:rPr>
        <w:t xml:space="preserve"> document the characteristics of patients with NAFLD</w:t>
      </w:r>
      <w:r w:rsidR="00A34325" w:rsidRPr="00A828B6">
        <w:rPr>
          <w:rFonts w:ascii="Book Antiqua" w:hAnsi="Book Antiqua"/>
          <w:sz w:val="24"/>
          <w:szCs w:val="24"/>
          <w:lang w:val="en-US"/>
        </w:rPr>
        <w:t xml:space="preserve">-associated </w:t>
      </w:r>
      <w:r w:rsidR="000D068B" w:rsidRPr="00A828B6">
        <w:rPr>
          <w:rFonts w:ascii="Book Antiqua" w:hAnsi="Book Antiqua"/>
          <w:sz w:val="24"/>
          <w:szCs w:val="24"/>
          <w:lang w:val="en-US"/>
        </w:rPr>
        <w:t xml:space="preserve">cirrhosis from Turkey, a European country sharing 97% of its borders with Asia. Relative to other Europeans, the Turkish population exhibits a higher rate of obesity that is comparable to that in the United States. In Turkey, 47.7% of all deaths have been attributed to cardiovascular diseases (most likely cerebrovascular and ischemic heart diseases), which are highly correlated with </w:t>
      </w:r>
      <w:proofErr w:type="gramStart"/>
      <w:r w:rsidR="000D068B" w:rsidRPr="00A828B6">
        <w:rPr>
          <w:rFonts w:ascii="Book Antiqua" w:hAnsi="Book Antiqua"/>
          <w:sz w:val="24"/>
          <w:szCs w:val="24"/>
          <w:lang w:val="en-US"/>
        </w:rPr>
        <w:t>obesity</w:t>
      </w:r>
      <w:r w:rsidR="00697163" w:rsidRPr="00A828B6">
        <w:rPr>
          <w:rFonts w:ascii="Book Antiqua" w:hAnsi="Book Antiqua"/>
          <w:sz w:val="24"/>
          <w:szCs w:val="24"/>
          <w:vertAlign w:val="superscript"/>
          <w:lang w:val="en-US" w:eastAsia="zh-CN"/>
        </w:rPr>
        <w:t>[</w:t>
      </w:r>
      <w:proofErr w:type="gramEnd"/>
      <w:r w:rsidR="00697163" w:rsidRPr="00A828B6">
        <w:rPr>
          <w:rFonts w:ascii="Book Antiqua" w:hAnsi="Book Antiqua"/>
          <w:bCs/>
          <w:sz w:val="24"/>
          <w:szCs w:val="24"/>
          <w:vertAlign w:val="superscript"/>
          <w:lang w:val="en-US"/>
        </w:rPr>
        <w:t>20</w:t>
      </w:r>
      <w:r w:rsidR="00697163" w:rsidRPr="00A828B6">
        <w:rPr>
          <w:rFonts w:ascii="Book Antiqua" w:hAnsi="Book Antiqua"/>
          <w:bCs/>
          <w:sz w:val="24"/>
          <w:szCs w:val="24"/>
          <w:vertAlign w:val="superscript"/>
          <w:lang w:val="en-US" w:eastAsia="zh-CN"/>
        </w:rPr>
        <w:t>]</w:t>
      </w:r>
      <w:r w:rsidR="00697163" w:rsidRPr="00A828B6">
        <w:rPr>
          <w:rFonts w:ascii="Book Antiqua" w:hAnsi="Book Antiqua"/>
          <w:sz w:val="24"/>
          <w:szCs w:val="24"/>
          <w:lang w:val="en-US"/>
        </w:rPr>
        <w:t xml:space="preserve">. </w:t>
      </w:r>
      <w:r w:rsidR="000D068B" w:rsidRPr="00A828B6">
        <w:rPr>
          <w:rFonts w:ascii="Book Antiqua" w:hAnsi="Book Antiqua"/>
          <w:sz w:val="24"/>
          <w:szCs w:val="24"/>
          <w:lang w:val="en-US"/>
        </w:rPr>
        <w:t xml:space="preserve"> </w:t>
      </w:r>
      <w:r w:rsidR="00306865" w:rsidRPr="00A828B6">
        <w:rPr>
          <w:rFonts w:ascii="Book Antiqua" w:hAnsi="Book Antiqua"/>
          <w:sz w:val="24"/>
          <w:szCs w:val="24"/>
          <w:lang w:val="en-US"/>
        </w:rPr>
        <w:t>Overall, 56% of the Turkish population is overweight, especially preobese (body-mass index: 25-29.9 kg/m</w:t>
      </w:r>
      <w:r w:rsidR="00306865" w:rsidRPr="00A828B6">
        <w:rPr>
          <w:rFonts w:ascii="Book Antiqua" w:hAnsi="Book Antiqua"/>
          <w:b/>
          <w:bCs/>
          <w:sz w:val="24"/>
          <w:szCs w:val="24"/>
          <w:vertAlign w:val="superscript"/>
        </w:rPr>
        <w:t>2</w:t>
      </w:r>
      <w:r w:rsidR="00306865" w:rsidRPr="00A828B6">
        <w:rPr>
          <w:rFonts w:ascii="Book Antiqua" w:hAnsi="Book Antiqua"/>
          <w:sz w:val="24"/>
          <w:szCs w:val="24"/>
          <w:lang w:val="en-US"/>
        </w:rPr>
        <w:t xml:space="preserve">). This has been attributed in </w:t>
      </w:r>
      <w:r w:rsidR="00306865" w:rsidRPr="00A828B6">
        <w:rPr>
          <w:rFonts w:ascii="Book Antiqua" w:hAnsi="Book Antiqua"/>
          <w:sz w:val="24"/>
          <w:szCs w:val="24"/>
          <w:lang w:val="en-US"/>
        </w:rPr>
        <w:lastRenderedPageBreak/>
        <w:t xml:space="preserve">part, to the predominance of non-working women who manifest a higher incidence rate of obesity than their working counterparts (33% </w:t>
      </w:r>
      <w:r w:rsidR="00DF414C" w:rsidRPr="00A828B6">
        <w:rPr>
          <w:rFonts w:ascii="Book Antiqua" w:hAnsi="Book Antiqua"/>
          <w:i/>
          <w:sz w:val="24"/>
          <w:szCs w:val="24"/>
          <w:lang w:val="en-US" w:eastAsia="zh-CN"/>
        </w:rPr>
        <w:t>vs</w:t>
      </w:r>
      <w:r w:rsidR="00306865" w:rsidRPr="00A828B6">
        <w:rPr>
          <w:rFonts w:ascii="Book Antiqua" w:hAnsi="Book Antiqua"/>
          <w:sz w:val="24"/>
          <w:szCs w:val="24"/>
          <w:lang w:val="en-US"/>
        </w:rPr>
        <w:t xml:space="preserve"> 14%). </w:t>
      </w:r>
    </w:p>
    <w:p w14:paraId="627497F6" w14:textId="54F07C27" w:rsidR="00267A17" w:rsidRPr="00A828B6" w:rsidRDefault="00676BFD" w:rsidP="001A5A01">
      <w:pPr>
        <w:widowControl w:val="0"/>
        <w:autoSpaceDE w:val="0"/>
        <w:autoSpaceDN w:val="0"/>
        <w:adjustRightInd w:val="0"/>
        <w:spacing w:after="0" w:line="360" w:lineRule="auto"/>
        <w:ind w:firstLine="360"/>
        <w:jc w:val="both"/>
        <w:rPr>
          <w:rFonts w:ascii="Book Antiqua" w:hAnsi="Book Antiqua"/>
          <w:sz w:val="24"/>
          <w:szCs w:val="24"/>
          <w:lang w:val="en-US"/>
        </w:rPr>
      </w:pPr>
      <w:r w:rsidRPr="00A828B6">
        <w:rPr>
          <w:rFonts w:ascii="Book Antiqua" w:hAnsi="Book Antiqua"/>
          <w:sz w:val="24"/>
          <w:szCs w:val="24"/>
          <w:lang w:val="en-US"/>
        </w:rPr>
        <w:t xml:space="preserve">In light of the epidemic spread of obesity in Turkey, and </w:t>
      </w:r>
      <w:r w:rsidR="00B23DB0" w:rsidRPr="00A828B6">
        <w:rPr>
          <w:rFonts w:ascii="Book Antiqua" w:hAnsi="Book Antiqua"/>
          <w:sz w:val="24"/>
          <w:szCs w:val="24"/>
          <w:lang w:val="en-US"/>
        </w:rPr>
        <w:t xml:space="preserve">the </w:t>
      </w:r>
      <w:r w:rsidRPr="00A828B6">
        <w:rPr>
          <w:rFonts w:ascii="Book Antiqua" w:hAnsi="Book Antiqua"/>
          <w:sz w:val="24"/>
          <w:szCs w:val="24"/>
          <w:lang w:val="en-US"/>
        </w:rPr>
        <w:t xml:space="preserve">association </w:t>
      </w:r>
      <w:r w:rsidR="00B23DB0" w:rsidRPr="00A828B6">
        <w:rPr>
          <w:rFonts w:ascii="Book Antiqua" w:hAnsi="Book Antiqua"/>
          <w:sz w:val="24"/>
          <w:szCs w:val="24"/>
          <w:lang w:val="en-US"/>
        </w:rPr>
        <w:t xml:space="preserve">of this disease </w:t>
      </w:r>
      <w:r w:rsidRPr="00A828B6">
        <w:rPr>
          <w:rFonts w:ascii="Book Antiqua" w:hAnsi="Book Antiqua"/>
          <w:sz w:val="24"/>
          <w:szCs w:val="24"/>
          <w:lang w:val="en-US"/>
        </w:rPr>
        <w:t xml:space="preserve">with NAFLD, </w:t>
      </w:r>
      <w:r w:rsidR="000E3E71" w:rsidRPr="00A828B6">
        <w:rPr>
          <w:rFonts w:ascii="Book Antiqua" w:hAnsi="Book Antiqua"/>
          <w:sz w:val="24"/>
          <w:szCs w:val="24"/>
          <w:lang w:val="en-US"/>
        </w:rPr>
        <w:t xml:space="preserve">the current </w:t>
      </w:r>
      <w:r w:rsidR="00F306B2" w:rsidRPr="00A828B6">
        <w:rPr>
          <w:rFonts w:ascii="Book Antiqua" w:hAnsi="Book Antiqua"/>
          <w:sz w:val="24"/>
          <w:szCs w:val="24"/>
          <w:lang w:val="en-US"/>
        </w:rPr>
        <w:t xml:space="preserve">follow-up </w:t>
      </w:r>
      <w:r w:rsidR="00726168" w:rsidRPr="00A828B6">
        <w:rPr>
          <w:rFonts w:ascii="Book Antiqua" w:hAnsi="Book Antiqua"/>
          <w:sz w:val="24"/>
          <w:szCs w:val="24"/>
          <w:lang w:val="en-US"/>
        </w:rPr>
        <w:t>study</w:t>
      </w:r>
      <w:r w:rsidR="002B5451" w:rsidRPr="00A828B6">
        <w:rPr>
          <w:rFonts w:ascii="Book Antiqua" w:hAnsi="Book Antiqua"/>
          <w:sz w:val="24"/>
          <w:szCs w:val="24"/>
          <w:lang w:val="en-US"/>
        </w:rPr>
        <w:t xml:space="preserve"> </w:t>
      </w:r>
      <w:r w:rsidR="00F306B2" w:rsidRPr="00A828B6">
        <w:rPr>
          <w:rFonts w:ascii="Book Antiqua" w:hAnsi="Book Antiqua"/>
          <w:sz w:val="24"/>
          <w:szCs w:val="24"/>
          <w:lang w:val="en-US"/>
        </w:rPr>
        <w:t>evaluated</w:t>
      </w:r>
      <w:r w:rsidR="00726168" w:rsidRPr="00A828B6">
        <w:rPr>
          <w:rFonts w:ascii="Book Antiqua" w:hAnsi="Book Antiqua"/>
          <w:sz w:val="24"/>
          <w:szCs w:val="24"/>
          <w:lang w:val="en-US"/>
        </w:rPr>
        <w:t xml:space="preserve"> p</w:t>
      </w:r>
      <w:r w:rsidR="000E0D01" w:rsidRPr="00A828B6">
        <w:rPr>
          <w:rFonts w:ascii="Book Antiqua" w:hAnsi="Book Antiqua"/>
          <w:sz w:val="24"/>
          <w:szCs w:val="24"/>
          <w:lang w:val="en-US"/>
        </w:rPr>
        <w:t>atients with esophageal varices</w:t>
      </w:r>
      <w:r w:rsidR="002B5451" w:rsidRPr="00A828B6">
        <w:rPr>
          <w:rFonts w:ascii="Book Antiqua" w:hAnsi="Book Antiqua"/>
          <w:sz w:val="24"/>
          <w:szCs w:val="24"/>
          <w:lang w:val="en-US"/>
        </w:rPr>
        <w:t xml:space="preserve"> </w:t>
      </w:r>
      <w:r w:rsidR="002267D8" w:rsidRPr="00A828B6">
        <w:rPr>
          <w:rFonts w:ascii="Book Antiqua" w:hAnsi="Book Antiqua"/>
          <w:sz w:val="24"/>
          <w:szCs w:val="24"/>
          <w:lang w:val="en-US"/>
        </w:rPr>
        <w:t>from</w:t>
      </w:r>
      <w:r w:rsidR="00171678" w:rsidRPr="00A828B6">
        <w:rPr>
          <w:rFonts w:ascii="Book Antiqua" w:hAnsi="Book Antiqua"/>
          <w:sz w:val="24"/>
          <w:szCs w:val="24"/>
          <w:lang w:val="en-US"/>
        </w:rPr>
        <w:t xml:space="preserve"> 2003 </w:t>
      </w:r>
      <w:r w:rsidR="005A2964" w:rsidRPr="00A828B6">
        <w:rPr>
          <w:rFonts w:ascii="Book Antiqua" w:hAnsi="Book Antiqua"/>
          <w:sz w:val="24"/>
          <w:szCs w:val="24"/>
          <w:lang w:val="en-US"/>
        </w:rPr>
        <w:t>a</w:t>
      </w:r>
      <w:r w:rsidR="00092294" w:rsidRPr="00A828B6">
        <w:rPr>
          <w:rFonts w:ascii="Book Antiqua" w:hAnsi="Book Antiqua"/>
          <w:sz w:val="24"/>
          <w:szCs w:val="24"/>
          <w:lang w:val="en-US"/>
        </w:rPr>
        <w:t>t</w:t>
      </w:r>
      <w:r w:rsidR="002B5451" w:rsidRPr="00A828B6">
        <w:rPr>
          <w:rFonts w:ascii="Book Antiqua" w:hAnsi="Book Antiqua"/>
          <w:sz w:val="24"/>
          <w:szCs w:val="24"/>
          <w:lang w:val="en-US"/>
        </w:rPr>
        <w:t xml:space="preserve"> </w:t>
      </w:r>
      <w:r w:rsidR="00726168" w:rsidRPr="00A828B6">
        <w:rPr>
          <w:rFonts w:ascii="Book Antiqua" w:hAnsi="Book Antiqua"/>
          <w:sz w:val="24"/>
          <w:szCs w:val="24"/>
          <w:lang w:val="en-US"/>
        </w:rPr>
        <w:t xml:space="preserve">a </w:t>
      </w:r>
      <w:r w:rsidR="006A21DC" w:rsidRPr="00A828B6">
        <w:rPr>
          <w:rFonts w:ascii="Book Antiqua" w:hAnsi="Book Antiqua"/>
          <w:sz w:val="24"/>
          <w:szCs w:val="24"/>
          <w:lang w:val="en-US"/>
        </w:rPr>
        <w:t xml:space="preserve">single </w:t>
      </w:r>
      <w:r w:rsidR="00726168" w:rsidRPr="00A828B6">
        <w:rPr>
          <w:rFonts w:ascii="Book Antiqua" w:hAnsi="Book Antiqua"/>
          <w:sz w:val="24"/>
          <w:szCs w:val="24"/>
          <w:lang w:val="en-US"/>
        </w:rPr>
        <w:t xml:space="preserve">tertiary referral </w:t>
      </w:r>
      <w:r w:rsidR="00FA7848" w:rsidRPr="00A828B6">
        <w:rPr>
          <w:rFonts w:ascii="Book Antiqua" w:hAnsi="Book Antiqua"/>
          <w:sz w:val="24"/>
          <w:szCs w:val="24"/>
          <w:lang w:val="en-US"/>
        </w:rPr>
        <w:t xml:space="preserve">liver </w:t>
      </w:r>
      <w:r w:rsidR="003A0C39" w:rsidRPr="00A828B6">
        <w:rPr>
          <w:rFonts w:ascii="Book Antiqua" w:hAnsi="Book Antiqua"/>
          <w:sz w:val="24"/>
          <w:szCs w:val="24"/>
          <w:lang w:val="en-US"/>
        </w:rPr>
        <w:t>cente</w:t>
      </w:r>
      <w:r w:rsidR="00871C89" w:rsidRPr="00A828B6">
        <w:rPr>
          <w:rFonts w:ascii="Book Antiqua" w:hAnsi="Book Antiqua"/>
          <w:sz w:val="24"/>
          <w:szCs w:val="24"/>
          <w:lang w:val="en-US"/>
        </w:rPr>
        <w:t>r</w:t>
      </w:r>
      <w:r w:rsidR="002267D8" w:rsidRPr="00A828B6">
        <w:rPr>
          <w:rFonts w:ascii="Book Antiqua" w:hAnsi="Book Antiqua"/>
          <w:sz w:val="24"/>
          <w:szCs w:val="24"/>
          <w:lang w:val="en-US"/>
        </w:rPr>
        <w:t>, with the aim to</w:t>
      </w:r>
      <w:r w:rsidR="002B5451" w:rsidRPr="00A828B6">
        <w:rPr>
          <w:rFonts w:ascii="Book Antiqua" w:hAnsi="Book Antiqua"/>
          <w:sz w:val="24"/>
          <w:szCs w:val="24"/>
          <w:lang w:val="en-US"/>
        </w:rPr>
        <w:t xml:space="preserve"> </w:t>
      </w:r>
      <w:r w:rsidR="00DD5274" w:rsidRPr="00A828B6">
        <w:rPr>
          <w:rFonts w:ascii="Book Antiqua" w:hAnsi="Book Antiqua"/>
          <w:sz w:val="24"/>
          <w:szCs w:val="24"/>
          <w:lang w:val="en-US"/>
        </w:rPr>
        <w:t xml:space="preserve">investigate </w:t>
      </w:r>
      <w:r w:rsidR="0067466D" w:rsidRPr="00A828B6">
        <w:rPr>
          <w:rFonts w:ascii="Book Antiqua" w:hAnsi="Book Antiqua"/>
          <w:sz w:val="24"/>
          <w:szCs w:val="24"/>
          <w:lang w:val="en-US"/>
        </w:rPr>
        <w:t xml:space="preserve">the relationship </w:t>
      </w:r>
      <w:r w:rsidR="002267D8" w:rsidRPr="00A828B6">
        <w:rPr>
          <w:rFonts w:ascii="Book Antiqua" w:hAnsi="Book Antiqua"/>
          <w:sz w:val="24"/>
          <w:szCs w:val="24"/>
          <w:lang w:val="en-US"/>
        </w:rPr>
        <w:t xml:space="preserve">between </w:t>
      </w:r>
      <w:r w:rsidRPr="00A828B6">
        <w:rPr>
          <w:rFonts w:ascii="Book Antiqua" w:hAnsi="Book Antiqua"/>
          <w:sz w:val="24"/>
          <w:szCs w:val="24"/>
          <w:lang w:val="en-US"/>
        </w:rPr>
        <w:t xml:space="preserve">esophageal varices </w:t>
      </w:r>
      <w:r w:rsidR="002267D8" w:rsidRPr="00A828B6">
        <w:rPr>
          <w:rFonts w:ascii="Book Antiqua" w:hAnsi="Book Antiqua"/>
          <w:sz w:val="24"/>
          <w:szCs w:val="24"/>
          <w:lang w:val="en-US"/>
        </w:rPr>
        <w:t>and</w:t>
      </w:r>
      <w:r w:rsidR="0067466D" w:rsidRPr="00A828B6">
        <w:rPr>
          <w:rFonts w:ascii="Book Antiqua" w:hAnsi="Book Antiqua"/>
          <w:sz w:val="24"/>
          <w:szCs w:val="24"/>
          <w:lang w:val="en-US"/>
        </w:rPr>
        <w:t xml:space="preserve"> NAFLD</w:t>
      </w:r>
      <w:r w:rsidR="00DA0CE7" w:rsidRPr="00A828B6">
        <w:rPr>
          <w:rFonts w:ascii="Book Antiqua" w:hAnsi="Book Antiqua"/>
          <w:sz w:val="24"/>
          <w:szCs w:val="24"/>
          <w:lang w:val="en-US"/>
        </w:rPr>
        <w:t xml:space="preserve">. The results were </w:t>
      </w:r>
      <w:r w:rsidR="00DD5274" w:rsidRPr="00A828B6">
        <w:rPr>
          <w:rFonts w:ascii="Book Antiqua" w:hAnsi="Book Antiqua"/>
          <w:sz w:val="24"/>
          <w:szCs w:val="24"/>
          <w:lang w:val="en-US"/>
        </w:rPr>
        <w:t>compare</w:t>
      </w:r>
      <w:r w:rsidR="00DA0CE7" w:rsidRPr="00A828B6">
        <w:rPr>
          <w:rFonts w:ascii="Book Antiqua" w:hAnsi="Book Antiqua"/>
          <w:sz w:val="24"/>
          <w:szCs w:val="24"/>
          <w:lang w:val="en-US"/>
        </w:rPr>
        <w:t>d</w:t>
      </w:r>
      <w:r w:rsidR="002B5451" w:rsidRPr="00A828B6">
        <w:rPr>
          <w:rFonts w:ascii="Book Antiqua" w:hAnsi="Book Antiqua"/>
          <w:sz w:val="24"/>
          <w:szCs w:val="24"/>
          <w:lang w:val="en-US"/>
        </w:rPr>
        <w:t xml:space="preserve"> </w:t>
      </w:r>
      <w:r w:rsidR="00F930D0" w:rsidRPr="00A828B6">
        <w:rPr>
          <w:rFonts w:ascii="Book Antiqua" w:hAnsi="Book Antiqua"/>
          <w:sz w:val="24"/>
          <w:szCs w:val="24"/>
          <w:lang w:val="en-US"/>
        </w:rPr>
        <w:t xml:space="preserve">in terms of the </w:t>
      </w:r>
      <w:r w:rsidR="00E57CFB" w:rsidRPr="00A828B6">
        <w:rPr>
          <w:rFonts w:ascii="Book Antiqua" w:hAnsi="Book Antiqua"/>
          <w:sz w:val="24"/>
          <w:szCs w:val="24"/>
          <w:lang w:val="en-US"/>
        </w:rPr>
        <w:t>development</w:t>
      </w:r>
      <w:r w:rsidR="00F930D0" w:rsidRPr="00A828B6">
        <w:rPr>
          <w:rFonts w:ascii="Book Antiqua" w:hAnsi="Book Antiqua"/>
          <w:sz w:val="24"/>
          <w:szCs w:val="24"/>
          <w:lang w:val="en-US"/>
        </w:rPr>
        <w:t xml:space="preserve"> of</w:t>
      </w:r>
      <w:r w:rsidR="002B5451" w:rsidRPr="00A828B6">
        <w:rPr>
          <w:rFonts w:ascii="Book Antiqua" w:hAnsi="Book Antiqua"/>
          <w:sz w:val="24"/>
          <w:szCs w:val="24"/>
          <w:lang w:val="en-US"/>
        </w:rPr>
        <w:t xml:space="preserve"> </w:t>
      </w:r>
      <w:r w:rsidR="008F6BFA" w:rsidRPr="00A828B6">
        <w:rPr>
          <w:rFonts w:ascii="Book Antiqua" w:hAnsi="Book Antiqua"/>
          <w:sz w:val="24"/>
          <w:szCs w:val="24"/>
          <w:lang w:val="en-US"/>
        </w:rPr>
        <w:t>portal vein thrombosis (</w:t>
      </w:r>
      <w:r w:rsidR="002A5675" w:rsidRPr="00A828B6">
        <w:rPr>
          <w:rFonts w:ascii="Book Antiqua" w:hAnsi="Book Antiqua"/>
          <w:sz w:val="24"/>
          <w:szCs w:val="24"/>
          <w:lang w:val="en-US"/>
        </w:rPr>
        <w:t>PVT</w:t>
      </w:r>
      <w:r w:rsidR="008F6BFA" w:rsidRPr="00A828B6">
        <w:rPr>
          <w:rFonts w:ascii="Book Antiqua" w:hAnsi="Book Antiqua"/>
          <w:sz w:val="24"/>
          <w:szCs w:val="24"/>
          <w:lang w:val="en-US"/>
        </w:rPr>
        <w:t>)</w:t>
      </w:r>
      <w:r w:rsidR="00DA0CE7" w:rsidRPr="00A828B6">
        <w:rPr>
          <w:rFonts w:ascii="Book Antiqua" w:hAnsi="Book Antiqua"/>
          <w:sz w:val="24"/>
          <w:szCs w:val="24"/>
          <w:lang w:val="en-US"/>
        </w:rPr>
        <w:t xml:space="preserve">, </w:t>
      </w:r>
      <w:r w:rsidR="006A21DC" w:rsidRPr="00A828B6">
        <w:rPr>
          <w:rFonts w:ascii="Book Antiqua" w:hAnsi="Book Antiqua"/>
          <w:sz w:val="24"/>
          <w:szCs w:val="24"/>
          <w:lang w:val="en-US"/>
        </w:rPr>
        <w:t xml:space="preserve">HCC, </w:t>
      </w:r>
      <w:r w:rsidR="00DD5274" w:rsidRPr="00A828B6">
        <w:rPr>
          <w:rFonts w:ascii="Book Antiqua" w:hAnsi="Book Antiqua"/>
          <w:sz w:val="24"/>
          <w:szCs w:val="24"/>
          <w:lang w:val="en-US"/>
        </w:rPr>
        <w:t>survival</w:t>
      </w:r>
      <w:r w:rsidR="006A21DC" w:rsidRPr="00A828B6">
        <w:rPr>
          <w:rFonts w:ascii="Book Antiqua" w:hAnsi="Book Antiqua"/>
          <w:sz w:val="24"/>
          <w:szCs w:val="24"/>
          <w:lang w:val="en-US"/>
        </w:rPr>
        <w:t xml:space="preserve"> and </w:t>
      </w:r>
      <w:r w:rsidR="003A0C39" w:rsidRPr="00A828B6">
        <w:rPr>
          <w:rFonts w:ascii="Book Antiqua" w:hAnsi="Book Antiqua"/>
          <w:sz w:val="24"/>
          <w:szCs w:val="24"/>
          <w:lang w:val="en-US"/>
        </w:rPr>
        <w:t>mortality</w:t>
      </w:r>
      <w:r w:rsidR="00092294" w:rsidRPr="00A828B6">
        <w:rPr>
          <w:rFonts w:ascii="Book Antiqua" w:hAnsi="Book Antiqua"/>
          <w:sz w:val="24"/>
          <w:szCs w:val="24"/>
          <w:lang w:val="en-US"/>
        </w:rPr>
        <w:t>.</w:t>
      </w:r>
      <w:r w:rsidR="00BC3D48" w:rsidRPr="00A828B6">
        <w:rPr>
          <w:rFonts w:ascii="Book Antiqua" w:hAnsi="Book Antiqua"/>
          <w:sz w:val="24"/>
          <w:szCs w:val="24"/>
          <w:lang w:val="en-US"/>
        </w:rPr>
        <w:t xml:space="preserve"> The</w:t>
      </w:r>
      <w:r w:rsidR="002467F6" w:rsidRPr="00A828B6">
        <w:rPr>
          <w:rFonts w:ascii="Book Antiqua" w:hAnsi="Book Antiqua"/>
          <w:sz w:val="24"/>
          <w:szCs w:val="24"/>
          <w:lang w:val="en-US"/>
        </w:rPr>
        <w:t xml:space="preserve"> </w:t>
      </w:r>
      <w:r w:rsidR="00027E68" w:rsidRPr="00A828B6">
        <w:rPr>
          <w:rFonts w:ascii="Book Antiqua" w:hAnsi="Book Antiqua"/>
          <w:sz w:val="24"/>
          <w:szCs w:val="24"/>
          <w:lang w:val="en-US"/>
        </w:rPr>
        <w:t xml:space="preserve">association </w:t>
      </w:r>
      <w:r w:rsidR="00130849" w:rsidRPr="00A828B6">
        <w:rPr>
          <w:rFonts w:ascii="Book Antiqua" w:hAnsi="Book Antiqua"/>
          <w:sz w:val="24"/>
          <w:szCs w:val="24"/>
          <w:lang w:val="en-US"/>
        </w:rPr>
        <w:t xml:space="preserve">between esophageal varices and </w:t>
      </w:r>
      <w:r w:rsidR="004B57FB" w:rsidRPr="00A828B6">
        <w:rPr>
          <w:rFonts w:ascii="Book Antiqua" w:hAnsi="Book Antiqua"/>
          <w:sz w:val="24"/>
          <w:szCs w:val="24"/>
          <w:lang w:val="en-US"/>
        </w:rPr>
        <w:t>hepatitis B and hepatitis C</w:t>
      </w:r>
      <w:r w:rsidR="00027E68" w:rsidRPr="00A828B6">
        <w:rPr>
          <w:rFonts w:ascii="Book Antiqua" w:hAnsi="Book Antiqua"/>
          <w:sz w:val="24"/>
          <w:szCs w:val="24"/>
          <w:lang w:val="en-US"/>
        </w:rPr>
        <w:t xml:space="preserve"> was also </w:t>
      </w:r>
      <w:r w:rsidR="00F306B2" w:rsidRPr="00A828B6">
        <w:rPr>
          <w:rFonts w:ascii="Book Antiqua" w:hAnsi="Book Antiqua"/>
          <w:sz w:val="24"/>
          <w:szCs w:val="24"/>
          <w:lang w:val="en-US"/>
        </w:rPr>
        <w:t>examined</w:t>
      </w:r>
      <w:r w:rsidR="004B57FB" w:rsidRPr="00A828B6">
        <w:rPr>
          <w:rFonts w:ascii="Book Antiqua" w:hAnsi="Book Antiqua"/>
          <w:sz w:val="24"/>
          <w:szCs w:val="24"/>
          <w:lang w:val="en-US"/>
        </w:rPr>
        <w:t>, as these etiologies are also of importance to esophageal varices. According to the World Health Organization (WHO), Turkey is one of the countries with intermediate (2%-8%) endemic</w:t>
      </w:r>
      <w:r w:rsidR="00B05AB9" w:rsidRPr="00A828B6">
        <w:rPr>
          <w:rFonts w:ascii="Book Antiqua" w:hAnsi="Book Antiqua"/>
          <w:sz w:val="24"/>
          <w:szCs w:val="24"/>
          <w:lang w:val="en-US"/>
        </w:rPr>
        <w:t xml:space="preserve"> rate </w:t>
      </w:r>
      <w:r w:rsidR="004B57FB" w:rsidRPr="00A828B6">
        <w:rPr>
          <w:rFonts w:ascii="Book Antiqua" w:hAnsi="Book Antiqua"/>
          <w:sz w:val="24"/>
          <w:szCs w:val="24"/>
          <w:lang w:val="en-US"/>
        </w:rPr>
        <w:t xml:space="preserve">for hepatitis B and less than 2% </w:t>
      </w:r>
      <w:r w:rsidR="007D4AA1" w:rsidRPr="00A828B6">
        <w:rPr>
          <w:rFonts w:ascii="Book Antiqua" w:hAnsi="Book Antiqua"/>
          <w:sz w:val="24"/>
          <w:szCs w:val="24"/>
          <w:lang w:val="en-US"/>
        </w:rPr>
        <w:t xml:space="preserve">(1.0-1.9) </w:t>
      </w:r>
      <w:r w:rsidR="004B57FB" w:rsidRPr="00A828B6">
        <w:rPr>
          <w:rFonts w:ascii="Book Antiqua" w:hAnsi="Book Antiqua"/>
          <w:sz w:val="24"/>
          <w:szCs w:val="24"/>
          <w:lang w:val="en-US"/>
        </w:rPr>
        <w:t xml:space="preserve">for hepatitis </w:t>
      </w:r>
      <w:proofErr w:type="gramStart"/>
      <w:r w:rsidR="004B57FB" w:rsidRPr="00A828B6">
        <w:rPr>
          <w:rFonts w:ascii="Book Antiqua" w:hAnsi="Book Antiqua"/>
          <w:sz w:val="24"/>
          <w:szCs w:val="24"/>
          <w:lang w:val="en-US"/>
        </w:rPr>
        <w:t>C</w:t>
      </w:r>
      <w:r w:rsidR="00697163" w:rsidRPr="00A828B6">
        <w:rPr>
          <w:rFonts w:ascii="Book Antiqua" w:hAnsi="Book Antiqua"/>
          <w:sz w:val="24"/>
          <w:szCs w:val="24"/>
          <w:vertAlign w:val="superscript"/>
          <w:lang w:val="en-US" w:eastAsia="zh-CN"/>
        </w:rPr>
        <w:t>[</w:t>
      </w:r>
      <w:proofErr w:type="gramEnd"/>
      <w:r w:rsidR="00697163" w:rsidRPr="00A828B6">
        <w:rPr>
          <w:rFonts w:ascii="Book Antiqua" w:hAnsi="Book Antiqua"/>
          <w:bCs/>
          <w:sz w:val="24"/>
          <w:szCs w:val="24"/>
          <w:vertAlign w:val="superscript"/>
          <w:lang w:val="en-US"/>
        </w:rPr>
        <w:t xml:space="preserve">21, </w:t>
      </w:r>
      <w:r w:rsidR="00697163" w:rsidRPr="00A828B6">
        <w:rPr>
          <w:rFonts w:ascii="Book Antiqua" w:hAnsi="Book Antiqua"/>
          <w:bCs/>
          <w:sz w:val="24"/>
          <w:szCs w:val="24"/>
          <w:vertAlign w:val="superscript"/>
          <w:lang w:val="en-US" w:eastAsia="zh-CN"/>
        </w:rPr>
        <w:t>22]</w:t>
      </w:r>
      <w:r w:rsidR="00697163" w:rsidRPr="00A828B6">
        <w:rPr>
          <w:rFonts w:ascii="Book Antiqua" w:hAnsi="Book Antiqua"/>
          <w:sz w:val="24"/>
          <w:szCs w:val="24"/>
          <w:lang w:val="en-US"/>
        </w:rPr>
        <w:t>.</w:t>
      </w:r>
    </w:p>
    <w:p w14:paraId="7D72523C" w14:textId="77777777" w:rsidR="00DF414C" w:rsidRPr="00A828B6" w:rsidRDefault="00DF414C" w:rsidP="001A5A01">
      <w:pPr>
        <w:widowControl w:val="0"/>
        <w:autoSpaceDE w:val="0"/>
        <w:autoSpaceDN w:val="0"/>
        <w:adjustRightInd w:val="0"/>
        <w:spacing w:after="0" w:line="360" w:lineRule="auto"/>
        <w:jc w:val="both"/>
        <w:rPr>
          <w:rFonts w:ascii="Book Antiqua" w:hAnsi="Book Antiqua"/>
          <w:sz w:val="24"/>
          <w:szCs w:val="24"/>
          <w:lang w:val="en-US" w:eastAsia="zh-CN"/>
        </w:rPr>
      </w:pPr>
    </w:p>
    <w:p w14:paraId="2DF6B1E7" w14:textId="5B94FB1C" w:rsidR="00432E00" w:rsidRPr="00A828B6" w:rsidRDefault="00720FA8" w:rsidP="001A5A01">
      <w:pPr>
        <w:widowControl w:val="0"/>
        <w:autoSpaceDE w:val="0"/>
        <w:autoSpaceDN w:val="0"/>
        <w:adjustRightInd w:val="0"/>
        <w:spacing w:after="0" w:line="360" w:lineRule="auto"/>
        <w:jc w:val="both"/>
        <w:rPr>
          <w:rFonts w:ascii="Book Antiqua" w:hAnsi="Book Antiqua"/>
          <w:sz w:val="24"/>
          <w:szCs w:val="24"/>
          <w:lang w:val="en-US"/>
        </w:rPr>
      </w:pPr>
      <w:r w:rsidRPr="00A828B6">
        <w:rPr>
          <w:rFonts w:ascii="Book Antiqua" w:hAnsi="Book Antiqua"/>
          <w:b/>
          <w:sz w:val="24"/>
          <w:szCs w:val="24"/>
          <w:lang w:val="en-US"/>
        </w:rPr>
        <w:t>MATERIALS AND</w:t>
      </w:r>
      <w:r w:rsidR="002467F6" w:rsidRPr="00A828B6">
        <w:rPr>
          <w:rFonts w:ascii="Book Antiqua" w:hAnsi="Book Antiqua"/>
          <w:b/>
          <w:sz w:val="24"/>
          <w:szCs w:val="24"/>
          <w:lang w:val="en-US"/>
        </w:rPr>
        <w:t xml:space="preserve"> </w:t>
      </w:r>
      <w:r w:rsidR="00A7632B" w:rsidRPr="00A828B6">
        <w:rPr>
          <w:rFonts w:ascii="Book Antiqua" w:hAnsi="Book Antiqua"/>
          <w:b/>
          <w:sz w:val="24"/>
          <w:szCs w:val="24"/>
          <w:lang w:val="en-US"/>
        </w:rPr>
        <w:t>METHODS</w:t>
      </w:r>
    </w:p>
    <w:p w14:paraId="4B42713D" w14:textId="539CEB6B" w:rsidR="00635AF8" w:rsidRPr="00A828B6" w:rsidRDefault="00092294" w:rsidP="001A5A01">
      <w:pPr>
        <w:widowControl w:val="0"/>
        <w:autoSpaceDE w:val="0"/>
        <w:autoSpaceDN w:val="0"/>
        <w:adjustRightInd w:val="0"/>
        <w:spacing w:after="0" w:line="360" w:lineRule="auto"/>
        <w:jc w:val="both"/>
        <w:rPr>
          <w:rFonts w:ascii="Book Antiqua" w:hAnsi="Book Antiqua"/>
          <w:b/>
          <w:i/>
          <w:sz w:val="24"/>
          <w:szCs w:val="24"/>
          <w:lang w:val="en-US"/>
        </w:rPr>
      </w:pPr>
      <w:r w:rsidRPr="00A828B6">
        <w:rPr>
          <w:rFonts w:ascii="Book Antiqua" w:hAnsi="Book Antiqua"/>
          <w:b/>
          <w:i/>
          <w:sz w:val="24"/>
          <w:szCs w:val="24"/>
          <w:lang w:val="en-US"/>
        </w:rPr>
        <w:t xml:space="preserve">Retrospective </w:t>
      </w:r>
      <w:r w:rsidR="00DF414C" w:rsidRPr="00A828B6">
        <w:rPr>
          <w:rFonts w:ascii="Book Antiqua" w:hAnsi="Book Antiqua"/>
          <w:b/>
          <w:i/>
          <w:sz w:val="24"/>
          <w:szCs w:val="24"/>
          <w:lang w:val="en-US"/>
        </w:rPr>
        <w:t>cohort study design</w:t>
      </w:r>
    </w:p>
    <w:p w14:paraId="4EFF0468" w14:textId="460057E4" w:rsidR="002E502D" w:rsidRPr="00A828B6" w:rsidRDefault="008F25B5" w:rsidP="001A5A01">
      <w:pPr>
        <w:widowControl w:val="0"/>
        <w:autoSpaceDE w:val="0"/>
        <w:autoSpaceDN w:val="0"/>
        <w:adjustRightInd w:val="0"/>
        <w:spacing w:after="0" w:line="360" w:lineRule="auto"/>
        <w:jc w:val="both"/>
        <w:rPr>
          <w:rFonts w:ascii="Book Antiqua" w:hAnsi="Book Antiqua"/>
          <w:sz w:val="24"/>
          <w:szCs w:val="24"/>
          <w:lang w:val="en-US"/>
        </w:rPr>
      </w:pPr>
      <w:r w:rsidRPr="00A828B6">
        <w:rPr>
          <w:rFonts w:ascii="Book Antiqua" w:hAnsi="Book Antiqua"/>
          <w:sz w:val="24"/>
          <w:szCs w:val="24"/>
          <w:lang w:val="en-US"/>
        </w:rPr>
        <w:t>We have</w:t>
      </w:r>
      <w:r w:rsidR="00092294" w:rsidRPr="00A828B6">
        <w:rPr>
          <w:rFonts w:ascii="Book Antiqua" w:hAnsi="Book Antiqua"/>
          <w:sz w:val="24"/>
          <w:szCs w:val="24"/>
          <w:lang w:val="en-US"/>
        </w:rPr>
        <w:t xml:space="preserve"> kept the records of</w:t>
      </w:r>
      <w:r w:rsidRPr="00A828B6">
        <w:rPr>
          <w:rFonts w:ascii="Book Antiqua" w:hAnsi="Book Antiqua"/>
          <w:sz w:val="24"/>
          <w:szCs w:val="24"/>
          <w:lang w:val="en-US"/>
        </w:rPr>
        <w:t xml:space="preserve"> </w:t>
      </w:r>
      <w:r w:rsidR="000D7CA6" w:rsidRPr="00A828B6">
        <w:rPr>
          <w:rFonts w:ascii="Book Antiqua" w:hAnsi="Book Antiqua"/>
          <w:sz w:val="24"/>
          <w:szCs w:val="24"/>
          <w:lang w:val="en-US"/>
        </w:rPr>
        <w:t xml:space="preserve">patients with hepatitis B </w:t>
      </w:r>
      <w:r w:rsidR="00CC4DFF" w:rsidRPr="00A828B6">
        <w:rPr>
          <w:rFonts w:ascii="Book Antiqua" w:hAnsi="Book Antiqua"/>
          <w:sz w:val="24"/>
          <w:szCs w:val="24"/>
          <w:lang w:val="en-US"/>
        </w:rPr>
        <w:t>or</w:t>
      </w:r>
      <w:r w:rsidR="000D7CA6" w:rsidRPr="00A828B6">
        <w:rPr>
          <w:rFonts w:ascii="Book Antiqua" w:hAnsi="Book Antiqua"/>
          <w:sz w:val="24"/>
          <w:szCs w:val="24"/>
          <w:lang w:val="en-US"/>
        </w:rPr>
        <w:t xml:space="preserve"> C </w:t>
      </w:r>
      <w:r w:rsidR="009D021D" w:rsidRPr="00A828B6">
        <w:rPr>
          <w:rFonts w:ascii="Book Antiqua" w:hAnsi="Book Antiqua"/>
          <w:sz w:val="24"/>
          <w:szCs w:val="24"/>
          <w:lang w:val="en-US"/>
        </w:rPr>
        <w:t>who</w:t>
      </w:r>
      <w:r w:rsidR="002467F6" w:rsidRPr="00A828B6">
        <w:rPr>
          <w:rFonts w:ascii="Book Antiqua" w:hAnsi="Book Antiqua"/>
          <w:sz w:val="24"/>
          <w:szCs w:val="24"/>
          <w:lang w:val="en-US"/>
        </w:rPr>
        <w:t xml:space="preserve"> </w:t>
      </w:r>
      <w:r w:rsidR="009D021D" w:rsidRPr="00A828B6">
        <w:rPr>
          <w:rFonts w:ascii="Book Antiqua" w:hAnsi="Book Antiqua"/>
          <w:sz w:val="24"/>
          <w:szCs w:val="24"/>
          <w:lang w:val="en-US"/>
        </w:rPr>
        <w:t>have been</w:t>
      </w:r>
      <w:r w:rsidR="00B74F19" w:rsidRPr="00A828B6">
        <w:rPr>
          <w:rFonts w:ascii="Book Antiqua" w:hAnsi="Book Antiqua"/>
          <w:sz w:val="24"/>
          <w:szCs w:val="24"/>
          <w:lang w:val="en-US"/>
        </w:rPr>
        <w:t xml:space="preserve"> followed prospectively at </w:t>
      </w:r>
      <w:r w:rsidR="003718EA" w:rsidRPr="00A828B6">
        <w:rPr>
          <w:rFonts w:ascii="Book Antiqua" w:hAnsi="Book Antiqua"/>
          <w:sz w:val="24"/>
          <w:szCs w:val="24"/>
          <w:lang w:val="en-US"/>
        </w:rPr>
        <w:t xml:space="preserve">our hepatology unit and </w:t>
      </w:r>
      <w:r w:rsidR="00092294" w:rsidRPr="00A828B6">
        <w:rPr>
          <w:rFonts w:ascii="Book Antiqua" w:hAnsi="Book Antiqua"/>
          <w:sz w:val="24"/>
          <w:szCs w:val="24"/>
          <w:lang w:val="en-US"/>
        </w:rPr>
        <w:t xml:space="preserve">affiliated </w:t>
      </w:r>
      <w:r w:rsidR="00B571FC" w:rsidRPr="00A828B6">
        <w:rPr>
          <w:rFonts w:ascii="Book Antiqua" w:hAnsi="Book Antiqua"/>
          <w:sz w:val="24"/>
          <w:szCs w:val="24"/>
          <w:lang w:val="en-US"/>
        </w:rPr>
        <w:t>liver cent</w:t>
      </w:r>
      <w:r w:rsidR="00092294" w:rsidRPr="00A828B6">
        <w:rPr>
          <w:rFonts w:ascii="Book Antiqua" w:hAnsi="Book Antiqua"/>
          <w:sz w:val="24"/>
          <w:szCs w:val="24"/>
          <w:lang w:val="en-US"/>
        </w:rPr>
        <w:t>er</w:t>
      </w:r>
      <w:r w:rsidR="00B74F19" w:rsidRPr="00A828B6">
        <w:rPr>
          <w:rFonts w:ascii="Book Antiqua" w:hAnsi="Book Antiqua"/>
          <w:sz w:val="24"/>
          <w:szCs w:val="24"/>
          <w:lang w:val="en-US"/>
        </w:rPr>
        <w:t xml:space="preserve">. </w:t>
      </w:r>
      <w:r w:rsidR="00210884" w:rsidRPr="00A828B6">
        <w:rPr>
          <w:rFonts w:ascii="Book Antiqua" w:hAnsi="Book Antiqua"/>
          <w:sz w:val="24"/>
          <w:szCs w:val="24"/>
          <w:lang w:val="en-US"/>
        </w:rPr>
        <w:t>C</w:t>
      </w:r>
      <w:r w:rsidR="000D7CA6" w:rsidRPr="00A828B6">
        <w:rPr>
          <w:rFonts w:ascii="Book Antiqua" w:hAnsi="Book Antiqua"/>
          <w:sz w:val="24"/>
          <w:szCs w:val="24"/>
          <w:lang w:val="en-US"/>
        </w:rPr>
        <w:t>onfidentiality of records was maintained accord</w:t>
      </w:r>
      <w:r w:rsidR="00893637" w:rsidRPr="00A828B6">
        <w:rPr>
          <w:rFonts w:ascii="Book Antiqua" w:hAnsi="Book Antiqua"/>
          <w:sz w:val="24"/>
          <w:szCs w:val="24"/>
          <w:lang w:val="en-US"/>
        </w:rPr>
        <w:t xml:space="preserve">ing to the guidelines issued by </w:t>
      </w:r>
      <w:r w:rsidR="00965CB0" w:rsidRPr="00A828B6">
        <w:rPr>
          <w:rFonts w:ascii="Book Antiqua" w:hAnsi="Book Antiqua"/>
          <w:sz w:val="24"/>
          <w:szCs w:val="24"/>
          <w:lang w:val="en-US"/>
        </w:rPr>
        <w:t>Türkiye Yuksek Ihtisas Hospital I</w:t>
      </w:r>
      <w:r w:rsidR="00893637" w:rsidRPr="00A828B6">
        <w:rPr>
          <w:rFonts w:ascii="Book Antiqua" w:hAnsi="Book Antiqua"/>
          <w:sz w:val="24"/>
          <w:szCs w:val="24"/>
          <w:lang w:val="en-US"/>
        </w:rPr>
        <w:t>nstutional</w:t>
      </w:r>
      <w:r w:rsidR="002467F6" w:rsidRPr="00A828B6">
        <w:rPr>
          <w:rFonts w:ascii="Book Antiqua" w:hAnsi="Book Antiqua"/>
          <w:sz w:val="24"/>
          <w:szCs w:val="24"/>
          <w:lang w:val="en-US"/>
        </w:rPr>
        <w:t xml:space="preserve"> </w:t>
      </w:r>
      <w:r w:rsidR="00965CB0" w:rsidRPr="00A828B6">
        <w:rPr>
          <w:rFonts w:ascii="Book Antiqua" w:hAnsi="Book Antiqua"/>
          <w:sz w:val="24"/>
          <w:szCs w:val="24"/>
          <w:lang w:val="en-US"/>
        </w:rPr>
        <w:t>Ethics Committee</w:t>
      </w:r>
      <w:r w:rsidR="000D7CA6" w:rsidRPr="00A828B6">
        <w:rPr>
          <w:rFonts w:ascii="Book Antiqua" w:hAnsi="Book Antiqua"/>
          <w:sz w:val="24"/>
          <w:szCs w:val="24"/>
          <w:lang w:val="en-US"/>
        </w:rPr>
        <w:t>.</w:t>
      </w:r>
      <w:r w:rsidR="00B74F19" w:rsidRPr="00A828B6">
        <w:rPr>
          <w:rFonts w:ascii="Book Antiqua" w:hAnsi="Book Antiqua"/>
          <w:sz w:val="24"/>
          <w:szCs w:val="24"/>
          <w:lang w:val="en-US"/>
        </w:rPr>
        <w:t xml:space="preserve"> Data were collected for esophageal varices only at the advanced end</w:t>
      </w:r>
      <w:r w:rsidR="00C1762C" w:rsidRPr="00A828B6">
        <w:rPr>
          <w:rFonts w:ascii="Book Antiqua" w:hAnsi="Book Antiqua"/>
          <w:sz w:val="24"/>
          <w:szCs w:val="24"/>
          <w:lang w:val="en-US"/>
        </w:rPr>
        <w:t xml:space="preserve">oscopy unit. A cohort of </w:t>
      </w:r>
      <w:r w:rsidR="00B74F19" w:rsidRPr="00A828B6">
        <w:rPr>
          <w:rFonts w:ascii="Book Antiqua" w:hAnsi="Book Antiqua"/>
          <w:sz w:val="24"/>
          <w:szCs w:val="24"/>
          <w:lang w:val="en-US"/>
        </w:rPr>
        <w:t xml:space="preserve">patients </w:t>
      </w:r>
      <w:r w:rsidR="00B571FC" w:rsidRPr="00A828B6">
        <w:rPr>
          <w:rFonts w:ascii="Book Antiqua" w:hAnsi="Book Antiqua"/>
          <w:sz w:val="24"/>
          <w:szCs w:val="24"/>
          <w:lang w:val="en-US"/>
        </w:rPr>
        <w:t xml:space="preserve">with esophageal varices </w:t>
      </w:r>
      <w:r w:rsidR="00B74F19" w:rsidRPr="00A828B6">
        <w:rPr>
          <w:rFonts w:ascii="Book Antiqua" w:hAnsi="Book Antiqua"/>
          <w:sz w:val="24"/>
          <w:szCs w:val="24"/>
          <w:lang w:val="en-US"/>
        </w:rPr>
        <w:t>from 2003 to 2014 w</w:t>
      </w:r>
      <w:r w:rsidR="004976C4" w:rsidRPr="00A828B6">
        <w:rPr>
          <w:rFonts w:ascii="Book Antiqua" w:hAnsi="Book Antiqua"/>
          <w:sz w:val="24"/>
          <w:szCs w:val="24"/>
          <w:lang w:val="en-US"/>
        </w:rPr>
        <w:t>as</w:t>
      </w:r>
      <w:r w:rsidR="00B74F19" w:rsidRPr="00A828B6">
        <w:rPr>
          <w:rFonts w:ascii="Book Antiqua" w:hAnsi="Book Antiqua"/>
          <w:sz w:val="24"/>
          <w:szCs w:val="24"/>
          <w:lang w:val="en-US"/>
        </w:rPr>
        <w:t xml:space="preserve"> reviewed.</w:t>
      </w:r>
      <w:r w:rsidR="000D7CA6" w:rsidRPr="00A828B6">
        <w:rPr>
          <w:rFonts w:ascii="Book Antiqua" w:hAnsi="Book Antiqua"/>
          <w:sz w:val="24"/>
          <w:szCs w:val="24"/>
          <w:lang w:val="en-US"/>
        </w:rPr>
        <w:t xml:space="preserve"> All patients were </w:t>
      </w:r>
      <w:r w:rsidR="003718EA" w:rsidRPr="00A828B6">
        <w:rPr>
          <w:rFonts w:ascii="Book Antiqua" w:hAnsi="Book Antiqua"/>
          <w:sz w:val="24"/>
          <w:szCs w:val="24"/>
          <w:lang w:val="en-US"/>
        </w:rPr>
        <w:t xml:space="preserve">of </w:t>
      </w:r>
      <w:r w:rsidR="000D7CA6" w:rsidRPr="00A828B6">
        <w:rPr>
          <w:rFonts w:ascii="Book Antiqua" w:hAnsi="Book Antiqua"/>
          <w:sz w:val="24"/>
          <w:szCs w:val="24"/>
          <w:lang w:val="en-US"/>
        </w:rPr>
        <w:t>Turkish origin</w:t>
      </w:r>
      <w:r w:rsidR="00210884" w:rsidRPr="00A828B6">
        <w:rPr>
          <w:rFonts w:ascii="Book Antiqua" w:hAnsi="Book Antiqua"/>
          <w:sz w:val="24"/>
          <w:szCs w:val="24"/>
          <w:lang w:val="en-US"/>
        </w:rPr>
        <w:t xml:space="preserve"> and were informed</w:t>
      </w:r>
      <w:r w:rsidR="00B417C1" w:rsidRPr="00A828B6">
        <w:rPr>
          <w:rFonts w:ascii="Book Antiqua" w:hAnsi="Book Antiqua"/>
          <w:sz w:val="24"/>
          <w:szCs w:val="24"/>
          <w:lang w:val="en-US"/>
        </w:rPr>
        <w:t xml:space="preserve"> and consented</w:t>
      </w:r>
      <w:r w:rsidR="00210884" w:rsidRPr="00A828B6">
        <w:rPr>
          <w:rFonts w:ascii="Book Antiqua" w:hAnsi="Book Antiqua"/>
          <w:sz w:val="24"/>
          <w:szCs w:val="24"/>
          <w:lang w:val="en-US"/>
        </w:rPr>
        <w:t xml:space="preserve"> abou</w:t>
      </w:r>
      <w:r w:rsidR="00893637" w:rsidRPr="00A828B6">
        <w:rPr>
          <w:rFonts w:ascii="Book Antiqua" w:hAnsi="Book Antiqua"/>
          <w:sz w:val="24"/>
          <w:szCs w:val="24"/>
          <w:lang w:val="en-US"/>
        </w:rPr>
        <w:t xml:space="preserve">t </w:t>
      </w:r>
      <w:r w:rsidR="00E6096C" w:rsidRPr="00A828B6">
        <w:rPr>
          <w:rFonts w:ascii="Book Antiqua" w:hAnsi="Book Antiqua"/>
          <w:sz w:val="24"/>
          <w:szCs w:val="24"/>
          <w:lang w:val="en-US"/>
        </w:rPr>
        <w:t>t</w:t>
      </w:r>
      <w:r w:rsidR="003718EA" w:rsidRPr="00A828B6">
        <w:rPr>
          <w:rFonts w:ascii="Book Antiqua" w:hAnsi="Book Antiqua"/>
          <w:sz w:val="24"/>
          <w:szCs w:val="24"/>
          <w:lang w:val="en-US"/>
        </w:rPr>
        <w:t xml:space="preserve">he </w:t>
      </w:r>
      <w:r w:rsidR="00210884" w:rsidRPr="00A828B6">
        <w:rPr>
          <w:rFonts w:ascii="Book Antiqua" w:hAnsi="Book Antiqua"/>
          <w:sz w:val="24"/>
          <w:szCs w:val="24"/>
          <w:lang w:val="en-US"/>
        </w:rPr>
        <w:t>investigation and treatment</w:t>
      </w:r>
      <w:r w:rsidR="000D7CA6" w:rsidRPr="00A828B6">
        <w:rPr>
          <w:rFonts w:ascii="Book Antiqua" w:hAnsi="Book Antiqua"/>
          <w:sz w:val="24"/>
          <w:szCs w:val="24"/>
          <w:lang w:val="en-US"/>
        </w:rPr>
        <w:t xml:space="preserve">. </w:t>
      </w:r>
      <w:r w:rsidR="004926CD" w:rsidRPr="00A828B6">
        <w:rPr>
          <w:rFonts w:ascii="Book Antiqua" w:hAnsi="Book Antiqua"/>
          <w:sz w:val="24"/>
          <w:szCs w:val="24"/>
          <w:lang w:val="en-US"/>
        </w:rPr>
        <w:t xml:space="preserve">Eligible patients were </w:t>
      </w:r>
      <w:r w:rsidR="00707BE0" w:rsidRPr="00A828B6">
        <w:rPr>
          <w:rFonts w:ascii="Book Antiqua" w:hAnsi="Book Antiqua"/>
          <w:sz w:val="24"/>
          <w:szCs w:val="24"/>
          <w:lang w:val="en-US"/>
        </w:rPr>
        <w:t>≥</w:t>
      </w:r>
      <w:r w:rsidR="00DF414C" w:rsidRPr="00A828B6">
        <w:rPr>
          <w:rFonts w:ascii="Book Antiqua" w:hAnsi="Book Antiqua"/>
          <w:sz w:val="24"/>
          <w:szCs w:val="24"/>
          <w:lang w:val="en-US" w:eastAsia="zh-CN"/>
        </w:rPr>
        <w:t xml:space="preserve"> </w:t>
      </w:r>
      <w:r w:rsidR="004926CD" w:rsidRPr="00A828B6">
        <w:rPr>
          <w:rFonts w:ascii="Book Antiqua" w:hAnsi="Book Antiqua"/>
          <w:sz w:val="24"/>
          <w:szCs w:val="24"/>
          <w:lang w:val="en-US"/>
        </w:rPr>
        <w:t>18 years of age and ha</w:t>
      </w:r>
      <w:r w:rsidR="003718EA" w:rsidRPr="00A828B6">
        <w:rPr>
          <w:rFonts w:ascii="Book Antiqua" w:hAnsi="Book Antiqua"/>
          <w:sz w:val="24"/>
          <w:szCs w:val="24"/>
          <w:lang w:val="en-US"/>
        </w:rPr>
        <w:t>ve</w:t>
      </w:r>
      <w:r w:rsidR="004926CD" w:rsidRPr="00A828B6">
        <w:rPr>
          <w:rFonts w:ascii="Book Antiqua" w:hAnsi="Book Antiqua"/>
          <w:sz w:val="24"/>
          <w:szCs w:val="24"/>
          <w:lang w:val="en-US"/>
        </w:rPr>
        <w:t xml:space="preserve"> had esophageal varices diagnosed by upper gastrointestinal endoscopy examination.</w:t>
      </w:r>
      <w:r w:rsidR="00F00E7D" w:rsidRPr="00A828B6">
        <w:rPr>
          <w:rFonts w:ascii="Book Antiqua" w:hAnsi="Book Antiqua"/>
          <w:sz w:val="24"/>
          <w:szCs w:val="24"/>
          <w:lang w:val="en-US"/>
        </w:rPr>
        <w:t xml:space="preserve"> They had regular clinical follow-up and endoscopic examinations at our clinic. Efficacy data w</w:t>
      </w:r>
      <w:r w:rsidR="00F52B7D" w:rsidRPr="00A828B6">
        <w:rPr>
          <w:rFonts w:ascii="Book Antiqua" w:hAnsi="Book Antiqua"/>
          <w:sz w:val="24"/>
          <w:szCs w:val="24"/>
          <w:lang w:val="en-US"/>
        </w:rPr>
        <w:t>ere</w:t>
      </w:r>
      <w:r w:rsidR="00F00E7D" w:rsidRPr="00A828B6">
        <w:rPr>
          <w:rFonts w:ascii="Book Antiqua" w:hAnsi="Book Antiqua"/>
          <w:sz w:val="24"/>
          <w:szCs w:val="24"/>
          <w:lang w:val="en-US"/>
        </w:rPr>
        <w:t xml:space="preserve"> based on the last evaluation.</w:t>
      </w:r>
      <w:r w:rsidR="00E6096C" w:rsidRPr="00A828B6">
        <w:rPr>
          <w:rFonts w:ascii="Book Antiqua" w:hAnsi="Book Antiqua"/>
          <w:sz w:val="24"/>
          <w:szCs w:val="24"/>
          <w:lang w:val="en-US"/>
        </w:rPr>
        <w:t xml:space="preserve"> T</w:t>
      </w:r>
      <w:r w:rsidR="00834CCA" w:rsidRPr="00A828B6">
        <w:rPr>
          <w:rFonts w:ascii="Book Antiqua" w:hAnsi="Book Antiqua"/>
          <w:sz w:val="24"/>
          <w:szCs w:val="24"/>
          <w:lang w:val="en-US"/>
        </w:rPr>
        <w:t>ransplanted cases were excluded.</w:t>
      </w:r>
      <w:r w:rsidR="00F579FB" w:rsidRPr="00A828B6">
        <w:rPr>
          <w:rFonts w:ascii="Book Antiqua" w:hAnsi="Book Antiqua"/>
          <w:sz w:val="24"/>
          <w:szCs w:val="24"/>
          <w:lang w:val="en-US"/>
        </w:rPr>
        <w:t xml:space="preserve"> </w:t>
      </w:r>
      <w:r w:rsidR="00834CCA" w:rsidRPr="00A828B6">
        <w:rPr>
          <w:rFonts w:ascii="Book Antiqua" w:hAnsi="Book Antiqua"/>
          <w:sz w:val="24"/>
          <w:szCs w:val="24"/>
          <w:lang w:val="en-US"/>
        </w:rPr>
        <w:t>The main inclusion criterion was th</w:t>
      </w:r>
      <w:r w:rsidR="003A05ED" w:rsidRPr="00A828B6">
        <w:rPr>
          <w:rFonts w:ascii="Book Antiqua" w:hAnsi="Book Antiqua"/>
          <w:sz w:val="24"/>
          <w:szCs w:val="24"/>
          <w:lang w:val="en-US"/>
        </w:rPr>
        <w:t xml:space="preserve">e presence of esophageal </w:t>
      </w:r>
      <w:r w:rsidR="008A2066" w:rsidRPr="00A828B6">
        <w:rPr>
          <w:rFonts w:ascii="Book Antiqua" w:hAnsi="Book Antiqua"/>
          <w:sz w:val="24"/>
          <w:szCs w:val="24"/>
          <w:lang w:val="en-US"/>
        </w:rPr>
        <w:t>varices with or without</w:t>
      </w:r>
      <w:r w:rsidR="003A05ED" w:rsidRPr="00A828B6">
        <w:rPr>
          <w:rFonts w:ascii="Book Antiqua" w:hAnsi="Book Antiqua"/>
          <w:sz w:val="24"/>
          <w:szCs w:val="24"/>
          <w:lang w:val="en-US"/>
        </w:rPr>
        <w:t xml:space="preserve"> gastric varices</w:t>
      </w:r>
      <w:r w:rsidR="00834CCA" w:rsidRPr="00A828B6">
        <w:rPr>
          <w:rFonts w:ascii="Book Antiqua" w:hAnsi="Book Antiqua"/>
          <w:sz w:val="24"/>
          <w:szCs w:val="24"/>
          <w:lang w:val="en-US"/>
        </w:rPr>
        <w:t xml:space="preserve">. </w:t>
      </w:r>
    </w:p>
    <w:p w14:paraId="2858DC0E" w14:textId="1EE5230F" w:rsidR="002E502D" w:rsidRPr="00A828B6" w:rsidRDefault="00B74F19" w:rsidP="001A5A01">
      <w:pPr>
        <w:widowControl w:val="0"/>
        <w:autoSpaceDE w:val="0"/>
        <w:autoSpaceDN w:val="0"/>
        <w:adjustRightInd w:val="0"/>
        <w:spacing w:after="0" w:line="360" w:lineRule="auto"/>
        <w:ind w:firstLine="360"/>
        <w:jc w:val="both"/>
        <w:rPr>
          <w:rFonts w:ascii="Book Antiqua" w:hAnsi="Book Antiqua"/>
          <w:sz w:val="24"/>
          <w:szCs w:val="24"/>
          <w:lang w:val="en-US"/>
        </w:rPr>
      </w:pPr>
      <w:r w:rsidRPr="00A828B6">
        <w:rPr>
          <w:rFonts w:ascii="Book Antiqua" w:hAnsi="Book Antiqua"/>
          <w:sz w:val="24"/>
          <w:szCs w:val="24"/>
          <w:lang w:val="en-US"/>
        </w:rPr>
        <w:t>Only</w:t>
      </w:r>
      <w:r w:rsidR="008A2066" w:rsidRPr="00A828B6">
        <w:rPr>
          <w:rFonts w:ascii="Book Antiqua" w:hAnsi="Book Antiqua"/>
          <w:sz w:val="24"/>
          <w:szCs w:val="24"/>
          <w:lang w:val="en-US"/>
        </w:rPr>
        <w:t xml:space="preserve"> </w:t>
      </w:r>
      <w:r w:rsidR="001466DC" w:rsidRPr="00A828B6">
        <w:rPr>
          <w:rFonts w:ascii="Book Antiqua" w:hAnsi="Book Antiqua"/>
          <w:sz w:val="24"/>
          <w:szCs w:val="24"/>
          <w:lang w:val="en-US"/>
        </w:rPr>
        <w:t xml:space="preserve">258 patients </w:t>
      </w:r>
      <w:r w:rsidR="00C925B6" w:rsidRPr="00A828B6">
        <w:rPr>
          <w:rFonts w:ascii="Book Antiqua" w:hAnsi="Book Antiqua"/>
          <w:sz w:val="24"/>
          <w:szCs w:val="24"/>
          <w:lang w:val="en-US"/>
        </w:rPr>
        <w:t>with endoscopically</w:t>
      </w:r>
      <w:r w:rsidR="008A2066" w:rsidRPr="00A828B6">
        <w:rPr>
          <w:rFonts w:ascii="Book Antiqua" w:hAnsi="Book Antiqua"/>
          <w:sz w:val="24"/>
          <w:szCs w:val="24"/>
          <w:lang w:val="en-US"/>
        </w:rPr>
        <w:t xml:space="preserve"> </w:t>
      </w:r>
      <w:r w:rsidR="00C925B6" w:rsidRPr="00A828B6">
        <w:rPr>
          <w:rFonts w:ascii="Book Antiqua" w:hAnsi="Book Antiqua"/>
          <w:sz w:val="24"/>
          <w:szCs w:val="24"/>
          <w:lang w:val="en-US"/>
        </w:rPr>
        <w:t xml:space="preserve">defined high risk varices </w:t>
      </w:r>
      <w:r w:rsidR="001466DC" w:rsidRPr="00A828B6">
        <w:rPr>
          <w:rFonts w:ascii="Book Antiqua" w:hAnsi="Book Antiqua"/>
          <w:sz w:val="24"/>
          <w:szCs w:val="24"/>
          <w:lang w:val="en-US"/>
        </w:rPr>
        <w:t xml:space="preserve">had </w:t>
      </w:r>
      <w:r w:rsidR="00210884" w:rsidRPr="00A828B6">
        <w:rPr>
          <w:rFonts w:ascii="Book Antiqua" w:hAnsi="Book Antiqua"/>
          <w:sz w:val="24"/>
          <w:szCs w:val="24"/>
          <w:lang w:val="en-US"/>
        </w:rPr>
        <w:t>reliable</w:t>
      </w:r>
      <w:r w:rsidR="001466DC" w:rsidRPr="00A828B6">
        <w:rPr>
          <w:rFonts w:ascii="Book Antiqua" w:hAnsi="Book Antiqua"/>
          <w:sz w:val="24"/>
          <w:szCs w:val="24"/>
          <w:lang w:val="en-US"/>
        </w:rPr>
        <w:t xml:space="preserve"> data and were included in this study</w:t>
      </w:r>
      <w:r w:rsidR="00243BD4" w:rsidRPr="00A828B6">
        <w:rPr>
          <w:rFonts w:ascii="Book Antiqua" w:hAnsi="Book Antiqua"/>
          <w:sz w:val="24"/>
          <w:szCs w:val="24"/>
          <w:lang w:val="en-US"/>
        </w:rPr>
        <w:t xml:space="preserve">. </w:t>
      </w:r>
      <w:r w:rsidR="00BE0BF6" w:rsidRPr="00A828B6">
        <w:rPr>
          <w:rFonts w:ascii="Book Antiqua" w:hAnsi="Book Antiqua"/>
          <w:sz w:val="24"/>
          <w:szCs w:val="24"/>
          <w:lang w:val="en-US"/>
        </w:rPr>
        <w:t>Eac</w:t>
      </w:r>
      <w:r w:rsidR="00893637" w:rsidRPr="00A828B6">
        <w:rPr>
          <w:rFonts w:ascii="Book Antiqua" w:hAnsi="Book Antiqua"/>
          <w:sz w:val="24"/>
          <w:szCs w:val="24"/>
          <w:lang w:val="en-US"/>
        </w:rPr>
        <w:t xml:space="preserve">h </w:t>
      </w:r>
      <w:r w:rsidR="00BE0BF6" w:rsidRPr="00A828B6">
        <w:rPr>
          <w:rFonts w:ascii="Book Antiqua" w:hAnsi="Book Antiqua"/>
          <w:sz w:val="24"/>
          <w:szCs w:val="24"/>
          <w:lang w:val="en-US"/>
        </w:rPr>
        <w:t xml:space="preserve">patient was evaluated for fundal varices, </w:t>
      </w:r>
      <w:r w:rsidR="00DF414C" w:rsidRPr="00A828B6">
        <w:rPr>
          <w:rFonts w:ascii="Book Antiqua" w:hAnsi="Book Antiqua"/>
          <w:sz w:val="24"/>
          <w:szCs w:val="24"/>
          <w:lang w:val="en-US"/>
        </w:rPr>
        <w:t>PVT</w:t>
      </w:r>
      <w:r w:rsidR="00DF414C" w:rsidRPr="00A828B6">
        <w:rPr>
          <w:rFonts w:ascii="Book Antiqua" w:hAnsi="Book Antiqua"/>
          <w:sz w:val="24"/>
          <w:szCs w:val="24"/>
          <w:lang w:val="en-US" w:eastAsia="zh-CN"/>
        </w:rPr>
        <w:t>,</w:t>
      </w:r>
      <w:r w:rsidR="00BE0BF6" w:rsidRPr="00A828B6">
        <w:rPr>
          <w:rFonts w:ascii="Book Antiqua" w:hAnsi="Book Antiqua"/>
          <w:sz w:val="24"/>
          <w:szCs w:val="24"/>
          <w:lang w:val="en-US"/>
        </w:rPr>
        <w:t xml:space="preserve"> cirrhosis, HCC, and mortality. </w:t>
      </w:r>
      <w:r w:rsidR="001466DC" w:rsidRPr="00A828B6">
        <w:rPr>
          <w:rFonts w:ascii="Book Antiqua" w:hAnsi="Book Antiqua"/>
          <w:sz w:val="24"/>
          <w:szCs w:val="24"/>
          <w:lang w:val="en-US"/>
        </w:rPr>
        <w:t xml:space="preserve">After the first evaluation, patients </w:t>
      </w:r>
      <w:r w:rsidR="00F02654" w:rsidRPr="00A828B6">
        <w:rPr>
          <w:rFonts w:ascii="Book Antiqua" w:hAnsi="Book Antiqua"/>
          <w:sz w:val="24"/>
          <w:szCs w:val="24"/>
          <w:lang w:val="en-US"/>
        </w:rPr>
        <w:t xml:space="preserve">were divided </w:t>
      </w:r>
      <w:r w:rsidR="001466DC" w:rsidRPr="00A828B6">
        <w:rPr>
          <w:rFonts w:ascii="Book Antiqua" w:hAnsi="Book Antiqua"/>
          <w:sz w:val="24"/>
          <w:szCs w:val="24"/>
          <w:lang w:val="en-US"/>
        </w:rPr>
        <w:t>into 4 groups</w:t>
      </w:r>
      <w:r w:rsidR="00D47EAF" w:rsidRPr="00A828B6">
        <w:rPr>
          <w:rFonts w:ascii="Book Antiqua" w:hAnsi="Book Antiqua"/>
          <w:sz w:val="24"/>
          <w:szCs w:val="24"/>
          <w:lang w:val="en-US"/>
        </w:rPr>
        <w:t xml:space="preserve">: those </w:t>
      </w:r>
      <w:r w:rsidR="00B571FC" w:rsidRPr="00A828B6">
        <w:rPr>
          <w:rFonts w:ascii="Book Antiqua" w:hAnsi="Book Antiqua"/>
          <w:sz w:val="24"/>
          <w:szCs w:val="24"/>
          <w:lang w:val="en-US"/>
        </w:rPr>
        <w:t xml:space="preserve">with </w:t>
      </w:r>
      <w:r w:rsidR="001466DC" w:rsidRPr="00A828B6">
        <w:rPr>
          <w:rFonts w:ascii="Book Antiqua" w:hAnsi="Book Antiqua"/>
          <w:sz w:val="24"/>
          <w:szCs w:val="24"/>
          <w:lang w:val="en-US"/>
        </w:rPr>
        <w:t>hepatitis B, hepatitis C,</w:t>
      </w:r>
      <w:r w:rsidR="008A2066" w:rsidRPr="00A828B6">
        <w:rPr>
          <w:rFonts w:ascii="Book Antiqua" w:hAnsi="Book Antiqua"/>
          <w:sz w:val="24"/>
          <w:szCs w:val="24"/>
          <w:lang w:val="en-US"/>
        </w:rPr>
        <w:t xml:space="preserve"> </w:t>
      </w:r>
      <w:r w:rsidR="001466DC" w:rsidRPr="00A828B6">
        <w:rPr>
          <w:rFonts w:ascii="Book Antiqua" w:hAnsi="Book Antiqua"/>
          <w:sz w:val="24"/>
          <w:szCs w:val="24"/>
          <w:lang w:val="en-US"/>
        </w:rPr>
        <w:t xml:space="preserve">NAFLD and </w:t>
      </w:r>
      <w:r w:rsidR="00432E00" w:rsidRPr="00A828B6">
        <w:rPr>
          <w:rFonts w:ascii="Book Antiqua" w:hAnsi="Book Antiqua"/>
          <w:sz w:val="24"/>
          <w:szCs w:val="24"/>
          <w:lang w:val="en-US"/>
        </w:rPr>
        <w:t>others</w:t>
      </w:r>
      <w:r w:rsidR="00D47EAF" w:rsidRPr="00A828B6">
        <w:rPr>
          <w:rFonts w:ascii="Book Antiqua" w:hAnsi="Book Antiqua"/>
          <w:sz w:val="24"/>
          <w:szCs w:val="24"/>
          <w:lang w:val="en-US"/>
        </w:rPr>
        <w:t xml:space="preserve"> related </w:t>
      </w:r>
      <w:r w:rsidR="00432E00" w:rsidRPr="00A828B6">
        <w:rPr>
          <w:rFonts w:ascii="Book Antiqua" w:hAnsi="Book Antiqua"/>
          <w:sz w:val="24"/>
          <w:szCs w:val="24"/>
          <w:lang w:val="en-US"/>
        </w:rPr>
        <w:t xml:space="preserve">to </w:t>
      </w:r>
      <w:r w:rsidR="008F25B5" w:rsidRPr="00A828B6">
        <w:rPr>
          <w:rFonts w:ascii="Book Antiqua" w:hAnsi="Book Antiqua"/>
          <w:sz w:val="24"/>
          <w:szCs w:val="24"/>
          <w:lang w:val="en-US"/>
        </w:rPr>
        <w:lastRenderedPageBreak/>
        <w:t>autoimmune hepatitis (</w:t>
      </w:r>
      <w:r w:rsidR="00432E00" w:rsidRPr="00A828B6">
        <w:rPr>
          <w:rFonts w:ascii="Book Antiqua" w:hAnsi="Book Antiqua"/>
          <w:sz w:val="24"/>
          <w:szCs w:val="24"/>
          <w:lang w:val="en-US"/>
        </w:rPr>
        <w:t>OIH</w:t>
      </w:r>
      <w:r w:rsidR="008F25B5" w:rsidRPr="00A828B6">
        <w:rPr>
          <w:rFonts w:ascii="Book Antiqua" w:hAnsi="Book Antiqua"/>
          <w:sz w:val="24"/>
          <w:szCs w:val="24"/>
          <w:lang w:val="en-US"/>
        </w:rPr>
        <w:t>)</w:t>
      </w:r>
      <w:r w:rsidR="00432E00" w:rsidRPr="00A828B6">
        <w:rPr>
          <w:rFonts w:ascii="Book Antiqua" w:hAnsi="Book Antiqua"/>
          <w:sz w:val="24"/>
          <w:szCs w:val="24"/>
          <w:lang w:val="en-US"/>
        </w:rPr>
        <w:t xml:space="preserve">, </w:t>
      </w:r>
      <w:r w:rsidR="008F25B5" w:rsidRPr="00A828B6">
        <w:rPr>
          <w:rFonts w:ascii="Book Antiqua" w:hAnsi="Book Antiqua"/>
          <w:sz w:val="24"/>
          <w:szCs w:val="24"/>
          <w:lang w:val="en-US"/>
        </w:rPr>
        <w:t>Wilson Disease (</w:t>
      </w:r>
      <w:r w:rsidR="00432E00" w:rsidRPr="00A828B6">
        <w:rPr>
          <w:rFonts w:ascii="Book Antiqua" w:hAnsi="Book Antiqua"/>
          <w:sz w:val="24"/>
          <w:szCs w:val="24"/>
          <w:lang w:val="en-US"/>
        </w:rPr>
        <w:t>WD</w:t>
      </w:r>
      <w:r w:rsidR="008F25B5" w:rsidRPr="00A828B6">
        <w:rPr>
          <w:rFonts w:ascii="Book Antiqua" w:hAnsi="Book Antiqua"/>
          <w:sz w:val="24"/>
          <w:szCs w:val="24"/>
          <w:lang w:val="en-US"/>
        </w:rPr>
        <w:t>)</w:t>
      </w:r>
      <w:r w:rsidR="00432E00" w:rsidRPr="00A828B6">
        <w:rPr>
          <w:rFonts w:ascii="Book Antiqua" w:hAnsi="Book Antiqua"/>
          <w:sz w:val="24"/>
          <w:szCs w:val="24"/>
          <w:lang w:val="en-US"/>
        </w:rPr>
        <w:t xml:space="preserve">, </w:t>
      </w:r>
      <w:r w:rsidR="008F25B5" w:rsidRPr="00A828B6">
        <w:rPr>
          <w:rFonts w:ascii="Book Antiqua" w:hAnsi="Book Antiqua"/>
          <w:sz w:val="24"/>
          <w:szCs w:val="24"/>
          <w:lang w:val="en-US"/>
        </w:rPr>
        <w:t>primary biliary cirrhosis (</w:t>
      </w:r>
      <w:r w:rsidR="00432E00" w:rsidRPr="00A828B6">
        <w:rPr>
          <w:rFonts w:ascii="Book Antiqua" w:hAnsi="Book Antiqua"/>
          <w:sz w:val="24"/>
          <w:szCs w:val="24"/>
          <w:lang w:val="en-US"/>
        </w:rPr>
        <w:t>PBC</w:t>
      </w:r>
      <w:r w:rsidR="008F25B5" w:rsidRPr="00A828B6">
        <w:rPr>
          <w:rFonts w:ascii="Book Antiqua" w:hAnsi="Book Antiqua"/>
          <w:sz w:val="24"/>
          <w:szCs w:val="24"/>
          <w:lang w:val="en-US"/>
        </w:rPr>
        <w:t xml:space="preserve">), </w:t>
      </w:r>
      <w:r w:rsidR="00432E00" w:rsidRPr="00A828B6">
        <w:rPr>
          <w:rFonts w:ascii="Book Antiqua" w:hAnsi="Book Antiqua"/>
          <w:i/>
          <w:sz w:val="24"/>
          <w:szCs w:val="24"/>
          <w:lang w:val="en-US"/>
        </w:rPr>
        <w:t>etc</w:t>
      </w:r>
      <w:r w:rsidR="00D47EAF" w:rsidRPr="00A828B6">
        <w:rPr>
          <w:rFonts w:ascii="Book Antiqua" w:hAnsi="Book Antiqua"/>
          <w:i/>
          <w:sz w:val="24"/>
          <w:szCs w:val="24"/>
          <w:lang w:val="en-US"/>
        </w:rPr>
        <w:t xml:space="preserve">. </w:t>
      </w:r>
    </w:p>
    <w:p w14:paraId="73FEC97E" w14:textId="7F5B375D" w:rsidR="00427ABD" w:rsidRPr="00A828B6" w:rsidRDefault="00164BE6" w:rsidP="001A5A01">
      <w:pPr>
        <w:widowControl w:val="0"/>
        <w:autoSpaceDE w:val="0"/>
        <w:autoSpaceDN w:val="0"/>
        <w:adjustRightInd w:val="0"/>
        <w:spacing w:after="0" w:line="360" w:lineRule="auto"/>
        <w:ind w:firstLine="360"/>
        <w:jc w:val="both"/>
        <w:rPr>
          <w:rFonts w:ascii="Book Antiqua" w:hAnsi="Book Antiqua"/>
          <w:sz w:val="24"/>
          <w:szCs w:val="24"/>
          <w:lang w:val="en-US"/>
        </w:rPr>
      </w:pPr>
      <w:r w:rsidRPr="00A828B6">
        <w:rPr>
          <w:rFonts w:ascii="Book Antiqua" w:hAnsi="Book Antiqua"/>
          <w:sz w:val="24"/>
          <w:szCs w:val="24"/>
          <w:lang w:val="en-US"/>
        </w:rPr>
        <w:t xml:space="preserve">Alcohol history was </w:t>
      </w:r>
      <w:r w:rsidR="00E9217B" w:rsidRPr="00A828B6">
        <w:rPr>
          <w:rFonts w:ascii="Book Antiqua" w:hAnsi="Book Antiqua"/>
          <w:sz w:val="24"/>
          <w:szCs w:val="24"/>
          <w:lang w:val="en-US"/>
        </w:rPr>
        <w:t>determined through</w:t>
      </w:r>
      <w:r w:rsidR="00647E06" w:rsidRPr="00A828B6">
        <w:rPr>
          <w:rFonts w:ascii="Book Antiqua" w:hAnsi="Book Antiqua"/>
          <w:sz w:val="24"/>
          <w:szCs w:val="24"/>
          <w:lang w:val="en-US"/>
        </w:rPr>
        <w:t xml:space="preserve"> </w:t>
      </w:r>
      <w:r w:rsidRPr="00A828B6">
        <w:rPr>
          <w:rFonts w:ascii="Book Antiqua" w:eastAsia="Batang" w:hAnsi="Book Antiqua"/>
          <w:sz w:val="24"/>
          <w:szCs w:val="24"/>
          <w:lang w:val="en-US" w:eastAsia="ko-KR"/>
        </w:rPr>
        <w:t>self-reporting and</w:t>
      </w:r>
      <w:r w:rsidR="00E9217B" w:rsidRPr="00A828B6">
        <w:rPr>
          <w:rFonts w:ascii="Book Antiqua" w:eastAsia="Batang" w:hAnsi="Book Antiqua"/>
          <w:sz w:val="24"/>
          <w:szCs w:val="24"/>
          <w:lang w:val="en-US" w:eastAsia="ko-KR"/>
        </w:rPr>
        <w:t>/</w:t>
      </w:r>
      <w:r w:rsidR="00746922" w:rsidRPr="00A828B6">
        <w:rPr>
          <w:rFonts w:ascii="Book Antiqua" w:eastAsia="Batang" w:hAnsi="Book Antiqua"/>
          <w:sz w:val="24"/>
          <w:szCs w:val="24"/>
          <w:lang w:val="en-US" w:eastAsia="ko-KR"/>
        </w:rPr>
        <w:t>or</w:t>
      </w:r>
      <w:r w:rsidR="00F95AA4" w:rsidRPr="00A828B6">
        <w:rPr>
          <w:rFonts w:ascii="Book Antiqua" w:eastAsia="Batang" w:hAnsi="Book Antiqua"/>
          <w:sz w:val="24"/>
          <w:szCs w:val="24"/>
          <w:lang w:val="en-US" w:eastAsia="ko-KR"/>
        </w:rPr>
        <w:t xml:space="preserve"> </w:t>
      </w:r>
      <w:r w:rsidR="00714857" w:rsidRPr="00A828B6">
        <w:rPr>
          <w:rFonts w:ascii="Book Antiqua" w:eastAsia="Batang" w:hAnsi="Book Antiqua"/>
          <w:sz w:val="24"/>
          <w:szCs w:val="24"/>
          <w:lang w:val="en-US" w:eastAsia="ko-KR"/>
        </w:rPr>
        <w:t xml:space="preserve">from information provided by </w:t>
      </w:r>
      <w:r w:rsidRPr="00A828B6">
        <w:rPr>
          <w:rFonts w:ascii="Book Antiqua" w:eastAsia="Batang" w:hAnsi="Book Antiqua"/>
          <w:sz w:val="24"/>
          <w:szCs w:val="24"/>
          <w:lang w:val="en-US" w:eastAsia="ko-KR"/>
        </w:rPr>
        <w:t>family members.</w:t>
      </w:r>
      <w:r w:rsidR="00F95AA4" w:rsidRPr="00A828B6">
        <w:rPr>
          <w:rFonts w:ascii="Book Antiqua" w:eastAsia="Batang" w:hAnsi="Book Antiqua"/>
          <w:sz w:val="24"/>
          <w:szCs w:val="24"/>
          <w:lang w:val="en-US" w:eastAsia="ko-KR"/>
        </w:rPr>
        <w:t xml:space="preserve"> </w:t>
      </w:r>
      <w:r w:rsidR="00871C89" w:rsidRPr="00A828B6">
        <w:rPr>
          <w:rFonts w:ascii="Book Antiqua" w:hAnsi="Book Antiqua"/>
          <w:sz w:val="24"/>
          <w:szCs w:val="24"/>
          <w:lang w:val="en-US"/>
        </w:rPr>
        <w:t>H</w:t>
      </w:r>
      <w:r w:rsidRPr="00A828B6">
        <w:rPr>
          <w:rFonts w:ascii="Book Antiqua" w:hAnsi="Book Antiqua"/>
          <w:sz w:val="24"/>
          <w:szCs w:val="24"/>
          <w:lang w:val="en-US"/>
        </w:rPr>
        <w:t>istor</w:t>
      </w:r>
      <w:r w:rsidR="00893637" w:rsidRPr="00A828B6">
        <w:rPr>
          <w:rFonts w:ascii="Book Antiqua" w:hAnsi="Book Antiqua"/>
          <w:sz w:val="24"/>
          <w:szCs w:val="24"/>
          <w:lang w:val="en-US"/>
        </w:rPr>
        <w:t>y o</w:t>
      </w:r>
      <w:r w:rsidRPr="00A828B6">
        <w:rPr>
          <w:rFonts w:ascii="Book Antiqua" w:hAnsi="Book Antiqua"/>
          <w:sz w:val="24"/>
          <w:szCs w:val="24"/>
          <w:lang w:val="en-US"/>
        </w:rPr>
        <w:t xml:space="preserve">f </w:t>
      </w:r>
      <w:r w:rsidR="00871C89" w:rsidRPr="00A828B6">
        <w:rPr>
          <w:rFonts w:ascii="Book Antiqua" w:hAnsi="Book Antiqua"/>
          <w:sz w:val="24"/>
          <w:szCs w:val="24"/>
          <w:lang w:val="en-US"/>
        </w:rPr>
        <w:t>drug</w:t>
      </w:r>
      <w:r w:rsidR="005D593F" w:rsidRPr="00A828B6">
        <w:rPr>
          <w:rFonts w:ascii="Book Antiqua" w:hAnsi="Book Antiqua"/>
          <w:sz w:val="24"/>
          <w:szCs w:val="24"/>
          <w:lang w:val="en-US"/>
        </w:rPr>
        <w:t xml:space="preserve"> abuse</w:t>
      </w:r>
      <w:r w:rsidR="00871C89" w:rsidRPr="00A828B6">
        <w:rPr>
          <w:rFonts w:ascii="Book Antiqua" w:hAnsi="Book Antiqua"/>
          <w:sz w:val="24"/>
          <w:szCs w:val="24"/>
          <w:lang w:val="en-US"/>
        </w:rPr>
        <w:t xml:space="preserve">, </w:t>
      </w:r>
      <w:r w:rsidRPr="00A828B6">
        <w:rPr>
          <w:rFonts w:ascii="Book Antiqua" w:hAnsi="Book Antiqua"/>
          <w:sz w:val="24"/>
          <w:szCs w:val="24"/>
          <w:lang w:val="en-US"/>
        </w:rPr>
        <w:t>chronic hepatitis, hypertension</w:t>
      </w:r>
      <w:r w:rsidR="005A099C" w:rsidRPr="00A828B6">
        <w:rPr>
          <w:rFonts w:ascii="Book Antiqua" w:hAnsi="Book Antiqua"/>
          <w:sz w:val="24"/>
          <w:szCs w:val="24"/>
          <w:lang w:val="en-US"/>
        </w:rPr>
        <w:t>,</w:t>
      </w:r>
      <w:r w:rsidRPr="00A828B6">
        <w:rPr>
          <w:rFonts w:ascii="Book Antiqua" w:hAnsi="Book Antiqua"/>
          <w:sz w:val="24"/>
          <w:szCs w:val="24"/>
          <w:lang w:val="en-US"/>
        </w:rPr>
        <w:t xml:space="preserve"> and diabetes w</w:t>
      </w:r>
      <w:r w:rsidR="00201570" w:rsidRPr="00A828B6">
        <w:rPr>
          <w:rFonts w:ascii="Book Antiqua" w:hAnsi="Book Antiqua"/>
          <w:sz w:val="24"/>
          <w:szCs w:val="24"/>
          <w:lang w:val="en-US"/>
        </w:rPr>
        <w:t>as</w:t>
      </w:r>
      <w:r w:rsidR="00F95AA4" w:rsidRPr="00A828B6">
        <w:rPr>
          <w:rFonts w:ascii="Book Antiqua" w:hAnsi="Book Antiqua"/>
          <w:sz w:val="24"/>
          <w:szCs w:val="24"/>
          <w:lang w:val="en-US"/>
        </w:rPr>
        <w:t xml:space="preserve"> </w:t>
      </w:r>
      <w:r w:rsidR="00F74514" w:rsidRPr="00A828B6">
        <w:rPr>
          <w:rFonts w:ascii="Book Antiqua" w:hAnsi="Book Antiqua"/>
          <w:sz w:val="24"/>
          <w:szCs w:val="24"/>
          <w:lang w:val="en-US"/>
        </w:rPr>
        <w:t>also recorded</w:t>
      </w:r>
      <w:r w:rsidR="008F1E35" w:rsidRPr="00A828B6">
        <w:rPr>
          <w:rFonts w:ascii="Book Antiqua" w:hAnsi="Book Antiqua"/>
          <w:sz w:val="24"/>
          <w:szCs w:val="24"/>
          <w:lang w:val="en-US"/>
        </w:rPr>
        <w:t>.</w:t>
      </w:r>
      <w:r w:rsidR="00F579FB" w:rsidRPr="00A828B6">
        <w:rPr>
          <w:rFonts w:ascii="Book Antiqua" w:hAnsi="Book Antiqua"/>
          <w:sz w:val="24"/>
          <w:szCs w:val="24"/>
          <w:lang w:val="en-US"/>
        </w:rPr>
        <w:t xml:space="preserve"> </w:t>
      </w:r>
      <w:r w:rsidRPr="00A828B6">
        <w:rPr>
          <w:rFonts w:ascii="Book Antiqua" w:hAnsi="Book Antiqua"/>
          <w:sz w:val="24"/>
          <w:szCs w:val="24"/>
          <w:lang w:val="en-US"/>
        </w:rPr>
        <w:t xml:space="preserve">Ultrasonographic evaluation of the hepatobiliary system </w:t>
      </w:r>
      <w:r w:rsidR="00E9217B" w:rsidRPr="00A828B6">
        <w:rPr>
          <w:rFonts w:ascii="Book Antiqua" w:hAnsi="Book Antiqua"/>
          <w:sz w:val="24"/>
          <w:szCs w:val="24"/>
          <w:lang w:val="en-US"/>
        </w:rPr>
        <w:t>was</w:t>
      </w:r>
      <w:r w:rsidRPr="00A828B6">
        <w:rPr>
          <w:rFonts w:ascii="Book Antiqua" w:hAnsi="Book Antiqua"/>
          <w:sz w:val="24"/>
          <w:szCs w:val="24"/>
          <w:lang w:val="en-US"/>
        </w:rPr>
        <w:t xml:space="preserve"> performed</w:t>
      </w:r>
      <w:r w:rsidR="005A099C" w:rsidRPr="00A828B6">
        <w:rPr>
          <w:rFonts w:ascii="Book Antiqua" w:hAnsi="Book Antiqua"/>
          <w:sz w:val="24"/>
          <w:szCs w:val="24"/>
          <w:lang w:val="en-US"/>
        </w:rPr>
        <w:t xml:space="preserve"> in each patient</w:t>
      </w:r>
      <w:r w:rsidRPr="00A828B6">
        <w:rPr>
          <w:rFonts w:ascii="Book Antiqua" w:hAnsi="Book Antiqua"/>
          <w:sz w:val="24"/>
          <w:szCs w:val="24"/>
          <w:lang w:val="en-US"/>
        </w:rPr>
        <w:t xml:space="preserve">. </w:t>
      </w:r>
      <w:r w:rsidR="00E9217B" w:rsidRPr="00A828B6">
        <w:rPr>
          <w:rFonts w:ascii="Book Antiqua" w:hAnsi="Book Antiqua"/>
          <w:sz w:val="24"/>
          <w:szCs w:val="24"/>
          <w:lang w:val="en-US"/>
        </w:rPr>
        <w:t>F</w:t>
      </w:r>
      <w:r w:rsidRPr="00A828B6">
        <w:rPr>
          <w:rFonts w:ascii="Book Antiqua" w:hAnsi="Book Antiqua"/>
          <w:sz w:val="24"/>
          <w:szCs w:val="24"/>
          <w:lang w:val="en-US"/>
        </w:rPr>
        <w:t xml:space="preserve">atty liver </w:t>
      </w:r>
      <w:r w:rsidR="00315BB8" w:rsidRPr="00A828B6">
        <w:rPr>
          <w:rFonts w:ascii="Book Antiqua" w:hAnsi="Book Antiqua"/>
          <w:sz w:val="24"/>
          <w:szCs w:val="24"/>
          <w:lang w:val="en-US"/>
        </w:rPr>
        <w:t>was</w:t>
      </w:r>
      <w:r w:rsidRPr="00A828B6">
        <w:rPr>
          <w:rFonts w:ascii="Book Antiqua" w:hAnsi="Book Antiqua"/>
          <w:sz w:val="24"/>
          <w:szCs w:val="24"/>
          <w:lang w:val="en-US"/>
        </w:rPr>
        <w:t xml:space="preserve"> diagnosed by increased echogenicity or increased liver-kidney contrast. </w:t>
      </w:r>
      <w:r w:rsidR="00315BB8" w:rsidRPr="00A828B6">
        <w:rPr>
          <w:rFonts w:ascii="Book Antiqua" w:hAnsi="Book Antiqua"/>
          <w:sz w:val="24"/>
          <w:szCs w:val="24"/>
          <w:lang w:val="en-US"/>
        </w:rPr>
        <w:t xml:space="preserve">NAFLD was diagnosed according to standard </w:t>
      </w:r>
      <w:proofErr w:type="gramStart"/>
      <w:r w:rsidR="00315BB8" w:rsidRPr="00A828B6">
        <w:rPr>
          <w:rFonts w:ascii="Book Antiqua" w:hAnsi="Book Antiqua"/>
          <w:sz w:val="24"/>
          <w:szCs w:val="24"/>
          <w:lang w:val="en-US"/>
        </w:rPr>
        <w:t>criteria</w:t>
      </w:r>
      <w:r w:rsidR="00F579FB" w:rsidRPr="00A828B6">
        <w:rPr>
          <w:rFonts w:ascii="Book Antiqua" w:hAnsi="Book Antiqua"/>
          <w:sz w:val="24"/>
          <w:szCs w:val="24"/>
          <w:vertAlign w:val="superscript"/>
          <w:lang w:val="en-US" w:eastAsia="zh-CN"/>
        </w:rPr>
        <w:t>[</w:t>
      </w:r>
      <w:proofErr w:type="gramEnd"/>
      <w:r w:rsidR="00F579FB" w:rsidRPr="00A828B6">
        <w:rPr>
          <w:rFonts w:ascii="Book Antiqua" w:hAnsi="Book Antiqua"/>
          <w:bCs/>
          <w:sz w:val="24"/>
          <w:szCs w:val="24"/>
          <w:vertAlign w:val="superscript"/>
          <w:lang w:val="en-US"/>
        </w:rPr>
        <w:t>19</w:t>
      </w:r>
      <w:r w:rsidR="00F579FB" w:rsidRPr="00A828B6">
        <w:rPr>
          <w:rFonts w:ascii="Book Antiqua" w:hAnsi="Book Antiqua"/>
          <w:bCs/>
          <w:sz w:val="24"/>
          <w:szCs w:val="24"/>
          <w:vertAlign w:val="superscript"/>
          <w:lang w:val="en-US" w:eastAsia="zh-CN"/>
        </w:rPr>
        <w:t>]</w:t>
      </w:r>
      <w:r w:rsidR="00315BB8" w:rsidRPr="00A828B6">
        <w:rPr>
          <w:rFonts w:ascii="Book Antiqua" w:hAnsi="Book Antiqua"/>
          <w:sz w:val="24"/>
          <w:szCs w:val="24"/>
          <w:lang w:val="en-US"/>
        </w:rPr>
        <w:t xml:space="preserve">. </w:t>
      </w:r>
      <w:proofErr w:type="gramStart"/>
      <w:r w:rsidRPr="00A828B6">
        <w:rPr>
          <w:rFonts w:ascii="Book Antiqua" w:hAnsi="Book Antiqua"/>
          <w:sz w:val="24"/>
          <w:szCs w:val="24"/>
          <w:lang w:val="en-US"/>
        </w:rPr>
        <w:t>Serum serology of HBsAg (hepatitis B surface antigen), anti-HBs (anti-hepatitis B surface), anti-HBc-total (anti-hepatitis B core-total) and anti-HCV (anti-hepatitis C virus) were measured</w:t>
      </w:r>
      <w:r w:rsidR="00746922" w:rsidRPr="00A828B6">
        <w:rPr>
          <w:rFonts w:ascii="Book Antiqua" w:hAnsi="Book Antiqua"/>
          <w:sz w:val="24"/>
          <w:szCs w:val="24"/>
          <w:lang w:val="en-US"/>
        </w:rPr>
        <w:t xml:space="preserve"> by ELISA</w:t>
      </w:r>
      <w:proofErr w:type="gramEnd"/>
      <w:r w:rsidR="00AF25CF" w:rsidRPr="00A828B6">
        <w:rPr>
          <w:rFonts w:ascii="Book Antiqua" w:hAnsi="Book Antiqua"/>
          <w:sz w:val="24"/>
          <w:szCs w:val="24"/>
          <w:lang w:val="en-US"/>
        </w:rPr>
        <w:t xml:space="preserve">. </w:t>
      </w:r>
      <w:r w:rsidRPr="00A828B6">
        <w:rPr>
          <w:rFonts w:ascii="Book Antiqua" w:hAnsi="Book Antiqua"/>
          <w:sz w:val="24"/>
          <w:szCs w:val="24"/>
          <w:lang w:val="en-US"/>
        </w:rPr>
        <w:t xml:space="preserve">If necessary, liver biopsies were </w:t>
      </w:r>
      <w:r w:rsidR="005A099C" w:rsidRPr="00A828B6">
        <w:rPr>
          <w:rFonts w:ascii="Book Antiqua" w:hAnsi="Book Antiqua"/>
          <w:sz w:val="24"/>
          <w:szCs w:val="24"/>
          <w:lang w:val="en-US"/>
        </w:rPr>
        <w:t>re-</w:t>
      </w:r>
      <w:r w:rsidR="00E9217B" w:rsidRPr="00A828B6">
        <w:rPr>
          <w:rFonts w:ascii="Book Antiqua" w:hAnsi="Book Antiqua"/>
          <w:sz w:val="24"/>
          <w:szCs w:val="24"/>
          <w:lang w:val="en-US"/>
        </w:rPr>
        <w:t>evaluated</w:t>
      </w:r>
      <w:r w:rsidRPr="00A828B6">
        <w:rPr>
          <w:rFonts w:ascii="Book Antiqua" w:hAnsi="Book Antiqua"/>
          <w:sz w:val="24"/>
          <w:szCs w:val="24"/>
          <w:lang w:val="en-US"/>
        </w:rPr>
        <w:t xml:space="preserve"> by a</w:t>
      </w:r>
      <w:r w:rsidR="00893637" w:rsidRPr="00A828B6">
        <w:rPr>
          <w:rFonts w:ascii="Book Antiqua" w:hAnsi="Book Antiqua"/>
          <w:sz w:val="24"/>
          <w:szCs w:val="24"/>
          <w:lang w:val="en-US"/>
        </w:rPr>
        <w:t xml:space="preserve">n </w:t>
      </w:r>
      <w:r w:rsidR="0073261D" w:rsidRPr="00A828B6">
        <w:rPr>
          <w:rFonts w:ascii="Book Antiqua" w:hAnsi="Book Antiqua"/>
          <w:sz w:val="24"/>
          <w:szCs w:val="24"/>
          <w:lang w:val="en-US"/>
        </w:rPr>
        <w:t xml:space="preserve">experienced </w:t>
      </w:r>
      <w:r w:rsidRPr="00A828B6">
        <w:rPr>
          <w:rFonts w:ascii="Book Antiqua" w:hAnsi="Book Antiqua"/>
          <w:sz w:val="24"/>
          <w:szCs w:val="24"/>
          <w:lang w:val="en-US"/>
        </w:rPr>
        <w:t>pathologist</w:t>
      </w:r>
      <w:r w:rsidR="005A099C" w:rsidRPr="00A828B6">
        <w:rPr>
          <w:rFonts w:ascii="Book Antiqua" w:hAnsi="Book Antiqua"/>
          <w:sz w:val="24"/>
          <w:szCs w:val="24"/>
          <w:lang w:val="en-US"/>
        </w:rPr>
        <w:t xml:space="preserve"> according to established criteria</w:t>
      </w:r>
      <w:r w:rsidR="00FD1282" w:rsidRPr="00A828B6">
        <w:rPr>
          <w:rFonts w:ascii="Book Antiqua" w:hAnsi="Book Antiqua"/>
          <w:sz w:val="24"/>
          <w:szCs w:val="24"/>
          <w:lang w:val="en-US"/>
        </w:rPr>
        <w:t>.</w:t>
      </w:r>
    </w:p>
    <w:p w14:paraId="1084E0C3" w14:textId="47D22FD3" w:rsidR="002E502D" w:rsidRPr="00A828B6" w:rsidRDefault="00871C89" w:rsidP="001A5A01">
      <w:pPr>
        <w:widowControl w:val="0"/>
        <w:autoSpaceDE w:val="0"/>
        <w:autoSpaceDN w:val="0"/>
        <w:adjustRightInd w:val="0"/>
        <w:spacing w:after="0" w:line="360" w:lineRule="auto"/>
        <w:ind w:firstLine="360"/>
        <w:jc w:val="both"/>
        <w:rPr>
          <w:rFonts w:ascii="Book Antiqua" w:hAnsi="Book Antiqua"/>
          <w:sz w:val="24"/>
          <w:szCs w:val="24"/>
          <w:lang w:val="en-US"/>
        </w:rPr>
      </w:pPr>
      <w:r w:rsidRPr="00A828B6">
        <w:rPr>
          <w:rFonts w:ascii="Book Antiqua" w:hAnsi="Book Antiqua"/>
          <w:sz w:val="24"/>
          <w:szCs w:val="24"/>
          <w:lang w:val="en-US"/>
        </w:rPr>
        <w:t xml:space="preserve">The </w:t>
      </w:r>
      <w:r w:rsidR="000C64C9" w:rsidRPr="00A828B6">
        <w:rPr>
          <w:rFonts w:ascii="Book Antiqua" w:hAnsi="Book Antiqua"/>
          <w:sz w:val="24"/>
          <w:szCs w:val="24"/>
          <w:lang w:val="en-US"/>
        </w:rPr>
        <w:t>cla</w:t>
      </w:r>
      <w:r w:rsidR="00925E79" w:rsidRPr="00A828B6">
        <w:rPr>
          <w:rFonts w:ascii="Book Antiqua" w:hAnsi="Book Antiqua"/>
          <w:sz w:val="24"/>
          <w:szCs w:val="24"/>
          <w:lang w:val="en-US"/>
        </w:rPr>
        <w:t>s</w:t>
      </w:r>
      <w:r w:rsidR="000C64C9" w:rsidRPr="00A828B6">
        <w:rPr>
          <w:rFonts w:ascii="Book Antiqua" w:hAnsi="Book Antiqua"/>
          <w:sz w:val="24"/>
          <w:szCs w:val="24"/>
          <w:lang w:val="en-US"/>
        </w:rPr>
        <w:t>sification</w:t>
      </w:r>
      <w:r w:rsidR="00BF713B" w:rsidRPr="00A828B6">
        <w:rPr>
          <w:rFonts w:ascii="Book Antiqua" w:hAnsi="Book Antiqua"/>
          <w:sz w:val="24"/>
          <w:szCs w:val="24"/>
          <w:lang w:val="en-US"/>
        </w:rPr>
        <w:t xml:space="preserve"> system</w:t>
      </w:r>
      <w:r w:rsidRPr="00A828B6">
        <w:rPr>
          <w:rFonts w:ascii="Book Antiqua" w:hAnsi="Book Antiqua"/>
          <w:sz w:val="24"/>
          <w:szCs w:val="24"/>
          <w:lang w:val="en-US"/>
        </w:rPr>
        <w:t xml:space="preserve"> of</w:t>
      </w:r>
      <w:r w:rsidR="00BF713B" w:rsidRPr="00A828B6">
        <w:rPr>
          <w:rFonts w:ascii="Book Antiqua" w:hAnsi="Book Antiqua"/>
          <w:sz w:val="24"/>
          <w:szCs w:val="24"/>
          <w:lang w:val="en-US"/>
        </w:rPr>
        <w:t xml:space="preserve"> varices</w:t>
      </w:r>
      <w:r w:rsidRPr="00A828B6">
        <w:rPr>
          <w:rFonts w:ascii="Book Antiqua" w:hAnsi="Book Antiqua"/>
          <w:sz w:val="24"/>
          <w:szCs w:val="24"/>
          <w:lang w:val="en-US"/>
        </w:rPr>
        <w:t xml:space="preserve"> </w:t>
      </w:r>
      <w:r w:rsidR="001C73C0" w:rsidRPr="00A828B6">
        <w:rPr>
          <w:rFonts w:ascii="Book Antiqua" w:hAnsi="Book Antiqua"/>
          <w:sz w:val="24"/>
          <w:szCs w:val="24"/>
          <w:lang w:val="en-US"/>
        </w:rPr>
        <w:t xml:space="preserve">described by Sarin </w:t>
      </w:r>
      <w:r w:rsidR="001C73C0" w:rsidRPr="00A828B6">
        <w:rPr>
          <w:rFonts w:ascii="Book Antiqua" w:hAnsi="Book Antiqua"/>
          <w:i/>
          <w:sz w:val="24"/>
          <w:szCs w:val="24"/>
          <w:lang w:val="en-US"/>
        </w:rPr>
        <w:t xml:space="preserve">et </w:t>
      </w:r>
      <w:proofErr w:type="gramStart"/>
      <w:r w:rsidR="001C73C0" w:rsidRPr="00A828B6">
        <w:rPr>
          <w:rFonts w:ascii="Book Antiqua" w:hAnsi="Book Antiqua"/>
          <w:i/>
          <w:sz w:val="24"/>
          <w:szCs w:val="24"/>
          <w:lang w:val="en-US"/>
        </w:rPr>
        <w:t>al</w:t>
      </w:r>
      <w:r w:rsidR="005658BE" w:rsidRPr="00A828B6">
        <w:rPr>
          <w:rFonts w:ascii="Book Antiqua" w:hAnsi="Book Antiqua"/>
          <w:sz w:val="24"/>
          <w:szCs w:val="24"/>
          <w:vertAlign w:val="superscript"/>
          <w:lang w:val="en-US" w:eastAsia="zh-CN"/>
        </w:rPr>
        <w:t>[</w:t>
      </w:r>
      <w:proofErr w:type="gramEnd"/>
      <w:r w:rsidR="005658BE" w:rsidRPr="00A828B6">
        <w:rPr>
          <w:rFonts w:ascii="Book Antiqua" w:hAnsi="Book Antiqua"/>
          <w:bCs/>
          <w:sz w:val="24"/>
          <w:szCs w:val="24"/>
          <w:vertAlign w:val="superscript"/>
          <w:lang w:val="en-US"/>
        </w:rPr>
        <w:t>23</w:t>
      </w:r>
      <w:r w:rsidR="005658BE" w:rsidRPr="00A828B6">
        <w:rPr>
          <w:rFonts w:ascii="Book Antiqua" w:hAnsi="Book Antiqua"/>
          <w:bCs/>
          <w:sz w:val="24"/>
          <w:szCs w:val="24"/>
          <w:vertAlign w:val="superscript"/>
          <w:lang w:val="en-US" w:eastAsia="zh-CN"/>
        </w:rPr>
        <w:t>]</w:t>
      </w:r>
      <w:r w:rsidR="001C73C0" w:rsidRPr="00A828B6">
        <w:rPr>
          <w:rFonts w:ascii="Book Antiqua" w:hAnsi="Book Antiqua"/>
          <w:sz w:val="24"/>
          <w:szCs w:val="24"/>
          <w:lang w:val="en-US"/>
        </w:rPr>
        <w:t xml:space="preserve"> </w:t>
      </w:r>
      <w:r w:rsidRPr="00A828B6">
        <w:rPr>
          <w:rFonts w:ascii="Book Antiqua" w:hAnsi="Book Antiqua"/>
          <w:sz w:val="24"/>
          <w:szCs w:val="24"/>
          <w:lang w:val="en-US"/>
        </w:rPr>
        <w:t>was used in our endoscopy unit</w:t>
      </w:r>
      <w:r w:rsidR="00F579FB" w:rsidRPr="00A828B6">
        <w:rPr>
          <w:rFonts w:ascii="Book Antiqua" w:hAnsi="Book Antiqua"/>
          <w:sz w:val="24"/>
          <w:szCs w:val="24"/>
          <w:lang w:val="en-US"/>
        </w:rPr>
        <w:t xml:space="preserve">. </w:t>
      </w:r>
      <w:r w:rsidR="00BF713B" w:rsidRPr="00A828B6">
        <w:rPr>
          <w:rFonts w:ascii="Book Antiqua" w:hAnsi="Book Antiqua"/>
          <w:sz w:val="24"/>
          <w:szCs w:val="24"/>
          <w:lang w:val="en-US"/>
        </w:rPr>
        <w:t>According</w:t>
      </w:r>
      <w:r w:rsidRPr="00A828B6">
        <w:rPr>
          <w:rFonts w:ascii="Book Antiqua" w:hAnsi="Book Antiqua"/>
          <w:sz w:val="24"/>
          <w:szCs w:val="24"/>
          <w:lang w:val="en-US"/>
        </w:rPr>
        <w:t xml:space="preserve">ly, </w:t>
      </w:r>
      <w:r w:rsidR="000703BD" w:rsidRPr="00A828B6">
        <w:rPr>
          <w:rFonts w:ascii="Book Antiqua" w:hAnsi="Book Antiqua"/>
          <w:sz w:val="24"/>
          <w:szCs w:val="24"/>
          <w:lang w:val="en-US"/>
        </w:rPr>
        <w:t>varices are endoscopically classified as gastroesophageal varices type I (lesser curvature), gastroesophageal varices type II (greater curvature), isolated gastric varices type I (gastric fundus), or isolated gastric varices type II (</w:t>
      </w:r>
      <w:r w:rsidR="0086631B" w:rsidRPr="00A828B6">
        <w:rPr>
          <w:rFonts w:ascii="Book Antiqua" w:hAnsi="Book Antiqua"/>
          <w:sz w:val="24"/>
          <w:szCs w:val="24"/>
          <w:lang w:val="en-US"/>
        </w:rPr>
        <w:t>gastric-</w:t>
      </w:r>
      <w:r w:rsidRPr="00A828B6">
        <w:rPr>
          <w:rFonts w:ascii="Book Antiqua" w:hAnsi="Book Antiqua"/>
          <w:sz w:val="24"/>
          <w:szCs w:val="24"/>
          <w:lang w:val="en-US"/>
        </w:rPr>
        <w:t>excluding the fundus</w:t>
      </w:r>
      <w:r w:rsidR="000703BD" w:rsidRPr="00A828B6">
        <w:rPr>
          <w:rFonts w:ascii="Book Antiqua" w:hAnsi="Book Antiqua"/>
          <w:sz w:val="24"/>
          <w:szCs w:val="24"/>
          <w:lang w:val="en-US"/>
        </w:rPr>
        <w:t>).</w:t>
      </w:r>
    </w:p>
    <w:p w14:paraId="16388E83" w14:textId="77777777" w:rsidR="00DF414C" w:rsidRPr="00A828B6" w:rsidRDefault="00DF414C" w:rsidP="001A5A01">
      <w:pPr>
        <w:pStyle w:val="NormalWeb"/>
        <w:spacing w:before="0" w:beforeAutospacing="0" w:after="0" w:afterAutospacing="0" w:line="360" w:lineRule="auto"/>
        <w:jc w:val="both"/>
        <w:rPr>
          <w:rFonts w:ascii="Book Antiqua" w:eastAsiaTheme="minorEastAsia" w:hAnsi="Book Antiqua"/>
          <w:lang w:val="en-US" w:eastAsia="zh-CN"/>
        </w:rPr>
      </w:pPr>
    </w:p>
    <w:p w14:paraId="54AF413A" w14:textId="775CACA5" w:rsidR="004B57FB" w:rsidRPr="00A828B6" w:rsidRDefault="00D650C9" w:rsidP="001A5A01">
      <w:pPr>
        <w:pStyle w:val="NormalWeb"/>
        <w:spacing w:before="0" w:beforeAutospacing="0" w:after="0" w:afterAutospacing="0" w:line="360" w:lineRule="auto"/>
        <w:jc w:val="both"/>
        <w:rPr>
          <w:rFonts w:ascii="Book Antiqua" w:hAnsi="Book Antiqua"/>
          <w:b/>
          <w:i/>
          <w:lang w:val="en-US"/>
        </w:rPr>
      </w:pPr>
      <w:r w:rsidRPr="00A828B6">
        <w:rPr>
          <w:rFonts w:ascii="Book Antiqua" w:hAnsi="Book Antiqua"/>
          <w:b/>
          <w:i/>
          <w:lang w:val="en-US"/>
        </w:rPr>
        <w:t xml:space="preserve">Statistical </w:t>
      </w:r>
      <w:r w:rsidR="00DF414C" w:rsidRPr="00A828B6">
        <w:rPr>
          <w:rFonts w:ascii="Book Antiqua" w:hAnsi="Book Antiqua"/>
          <w:b/>
          <w:i/>
          <w:lang w:val="en-US"/>
        </w:rPr>
        <w:t>analyses</w:t>
      </w:r>
    </w:p>
    <w:p w14:paraId="6266243C" w14:textId="2040B395" w:rsidR="00DF74BF" w:rsidRPr="00A828B6" w:rsidRDefault="002D36BB" w:rsidP="001A5A01">
      <w:pPr>
        <w:pStyle w:val="NormalWeb"/>
        <w:spacing w:before="0" w:beforeAutospacing="0" w:after="0" w:afterAutospacing="0" w:line="360" w:lineRule="auto"/>
        <w:jc w:val="both"/>
        <w:rPr>
          <w:rFonts w:ascii="Book Antiqua" w:hAnsi="Book Antiqua"/>
          <w:lang w:val="en-US"/>
        </w:rPr>
      </w:pPr>
      <w:r w:rsidRPr="00A828B6">
        <w:rPr>
          <w:rFonts w:ascii="Book Antiqua" w:hAnsi="Book Antiqua"/>
          <w:lang w:val="en-US"/>
        </w:rPr>
        <w:t>D</w:t>
      </w:r>
      <w:r w:rsidR="00194C52" w:rsidRPr="00A828B6">
        <w:rPr>
          <w:rFonts w:ascii="Book Antiqua" w:hAnsi="Book Antiqua"/>
          <w:lang w:val="en-US"/>
        </w:rPr>
        <w:t xml:space="preserve">ata were coded and recorded </w:t>
      </w:r>
      <w:r w:rsidR="00AF25CF" w:rsidRPr="00A828B6">
        <w:rPr>
          <w:rFonts w:ascii="Book Antiqua" w:hAnsi="Book Antiqua"/>
          <w:lang w:val="en-US"/>
        </w:rPr>
        <w:t>electronically</w:t>
      </w:r>
      <w:r w:rsidR="00194C52" w:rsidRPr="00A828B6">
        <w:rPr>
          <w:rFonts w:ascii="Book Antiqua" w:hAnsi="Book Antiqua"/>
          <w:lang w:val="en-US"/>
        </w:rPr>
        <w:t xml:space="preserve"> using an IBM Statistical Package for the Social Sciences (SPSS; Armonk, NY, </w:t>
      </w:r>
      <w:r w:rsidR="00DF414C" w:rsidRPr="00A828B6">
        <w:rPr>
          <w:rFonts w:ascii="Book Antiqua" w:hAnsi="Book Antiqua"/>
          <w:lang w:val="en-US"/>
        </w:rPr>
        <w:t>United States</w:t>
      </w:r>
      <w:r w:rsidR="00194C52" w:rsidRPr="00A828B6">
        <w:rPr>
          <w:rFonts w:ascii="Book Antiqua" w:hAnsi="Book Antiqua"/>
          <w:lang w:val="en-US"/>
        </w:rPr>
        <w:t>) fo</w:t>
      </w:r>
      <w:r w:rsidR="00191801" w:rsidRPr="00A828B6">
        <w:rPr>
          <w:rFonts w:ascii="Book Antiqua" w:hAnsi="Book Antiqua"/>
          <w:lang w:val="en-US"/>
        </w:rPr>
        <w:t>r Windows version 17.0 (2007</w:t>
      </w:r>
      <w:r w:rsidR="00194C52" w:rsidRPr="00A828B6">
        <w:rPr>
          <w:rFonts w:ascii="Book Antiqua" w:hAnsi="Book Antiqua"/>
          <w:lang w:val="en-US"/>
        </w:rPr>
        <w:t>). The Chi-square</w:t>
      </w:r>
      <w:r w:rsidR="00191801" w:rsidRPr="00A828B6">
        <w:rPr>
          <w:rFonts w:ascii="Book Antiqua" w:hAnsi="Book Antiqua"/>
          <w:lang w:val="en-US"/>
        </w:rPr>
        <w:t xml:space="preserve"> and </w:t>
      </w:r>
      <w:r w:rsidR="00746922" w:rsidRPr="00A828B6">
        <w:rPr>
          <w:rFonts w:ascii="Book Antiqua" w:hAnsi="Book Antiqua"/>
          <w:lang w:val="en-US"/>
        </w:rPr>
        <w:t xml:space="preserve">Fisher’s exact test was </w:t>
      </w:r>
      <w:r w:rsidR="00194C52" w:rsidRPr="00A828B6">
        <w:rPr>
          <w:rFonts w:ascii="Book Antiqua" w:hAnsi="Book Antiqua"/>
          <w:lang w:val="en-US"/>
        </w:rPr>
        <w:t xml:space="preserve">used </w:t>
      </w:r>
      <w:r w:rsidR="00AF25CF" w:rsidRPr="00A828B6">
        <w:rPr>
          <w:rFonts w:ascii="Book Antiqua" w:hAnsi="Book Antiqua"/>
          <w:lang w:val="en-US"/>
        </w:rPr>
        <w:t xml:space="preserve">to </w:t>
      </w:r>
      <w:r w:rsidR="00194C52" w:rsidRPr="00A828B6">
        <w:rPr>
          <w:rFonts w:ascii="Book Antiqua" w:hAnsi="Book Antiqua"/>
          <w:lang w:val="en-US"/>
        </w:rPr>
        <w:t>compar</w:t>
      </w:r>
      <w:r w:rsidR="00AF25CF" w:rsidRPr="00A828B6">
        <w:rPr>
          <w:rFonts w:ascii="Book Antiqua" w:hAnsi="Book Antiqua"/>
          <w:lang w:val="en-US"/>
        </w:rPr>
        <w:t>e</w:t>
      </w:r>
      <w:r w:rsidR="00194C52" w:rsidRPr="00A828B6">
        <w:rPr>
          <w:rFonts w:ascii="Book Antiqua" w:hAnsi="Book Antiqua"/>
          <w:lang w:val="en-US"/>
        </w:rPr>
        <w:t xml:space="preserve"> the groups</w:t>
      </w:r>
      <w:r w:rsidR="00191801" w:rsidRPr="00A828B6">
        <w:rPr>
          <w:rFonts w:ascii="Book Antiqua" w:hAnsi="Book Antiqua"/>
          <w:lang w:val="en-US"/>
        </w:rPr>
        <w:t xml:space="preserve"> for</w:t>
      </w:r>
      <w:r w:rsidR="00C418CF" w:rsidRPr="00A828B6">
        <w:rPr>
          <w:rFonts w:ascii="Book Antiqua" w:hAnsi="Book Antiqua"/>
          <w:lang w:val="en-US"/>
        </w:rPr>
        <w:t xml:space="preserve"> </w:t>
      </w:r>
      <w:r w:rsidR="00191801" w:rsidRPr="00A828B6">
        <w:rPr>
          <w:rFonts w:ascii="Book Antiqua" w:hAnsi="Book Antiqua"/>
          <w:lang w:val="en-US"/>
        </w:rPr>
        <w:t xml:space="preserve">the distribution of cirrhosis, </w:t>
      </w:r>
      <w:r w:rsidR="00CC792A" w:rsidRPr="00A828B6">
        <w:rPr>
          <w:rFonts w:ascii="Book Antiqua" w:hAnsi="Book Antiqua"/>
          <w:lang w:val="en-US"/>
        </w:rPr>
        <w:t>PVT</w:t>
      </w:r>
      <w:r w:rsidR="00191801" w:rsidRPr="00A828B6">
        <w:rPr>
          <w:rFonts w:ascii="Book Antiqua" w:hAnsi="Book Antiqua"/>
          <w:lang w:val="en-US"/>
        </w:rPr>
        <w:t>, HCC, and mortality</w:t>
      </w:r>
      <w:r w:rsidR="00194C52" w:rsidRPr="00A828B6">
        <w:rPr>
          <w:rFonts w:ascii="Book Antiqua" w:hAnsi="Book Antiqua"/>
          <w:lang w:val="en-US"/>
        </w:rPr>
        <w:t xml:space="preserve">. </w:t>
      </w:r>
      <w:r w:rsidR="00191801" w:rsidRPr="00A828B6">
        <w:rPr>
          <w:rFonts w:ascii="Book Antiqua" w:hAnsi="Book Antiqua"/>
          <w:lang w:val="en-US"/>
        </w:rPr>
        <w:t xml:space="preserve">Mean age </w:t>
      </w:r>
      <w:r w:rsidR="00746922" w:rsidRPr="00A828B6">
        <w:rPr>
          <w:rFonts w:ascii="Book Antiqua" w:hAnsi="Book Antiqua"/>
          <w:lang w:val="en-US"/>
        </w:rPr>
        <w:t>compar</w:t>
      </w:r>
      <w:r w:rsidR="00191801" w:rsidRPr="00A828B6">
        <w:rPr>
          <w:rFonts w:ascii="Book Antiqua" w:hAnsi="Book Antiqua"/>
          <w:lang w:val="en-US"/>
        </w:rPr>
        <w:t xml:space="preserve">ed by one-way ANOVA test </w:t>
      </w:r>
      <w:r w:rsidR="00746922" w:rsidRPr="00A828B6">
        <w:rPr>
          <w:rFonts w:ascii="Book Antiqua" w:hAnsi="Book Antiqua"/>
          <w:lang w:val="en-US"/>
        </w:rPr>
        <w:t xml:space="preserve">in four groups </w:t>
      </w:r>
      <w:r w:rsidR="00191801" w:rsidRPr="00A828B6">
        <w:rPr>
          <w:rFonts w:ascii="Book Antiqua" w:hAnsi="Book Antiqua"/>
          <w:lang w:val="en-US"/>
        </w:rPr>
        <w:t>and compared by Student’s t</w:t>
      </w:r>
      <w:r w:rsidR="00CC792A" w:rsidRPr="00A828B6">
        <w:rPr>
          <w:rFonts w:ascii="Book Antiqua" w:hAnsi="Book Antiqua"/>
          <w:lang w:val="en-US"/>
        </w:rPr>
        <w:t>-</w:t>
      </w:r>
      <w:r w:rsidR="00191801" w:rsidRPr="00A828B6">
        <w:rPr>
          <w:rFonts w:ascii="Book Antiqua" w:hAnsi="Book Antiqua"/>
          <w:lang w:val="en-US"/>
        </w:rPr>
        <w:t>test</w:t>
      </w:r>
      <w:r w:rsidR="00746922" w:rsidRPr="00A828B6">
        <w:rPr>
          <w:rFonts w:ascii="Book Antiqua" w:hAnsi="Book Antiqua"/>
          <w:lang w:val="en-US"/>
        </w:rPr>
        <w:t xml:space="preserve"> between </w:t>
      </w:r>
      <w:r w:rsidR="00AF25CF" w:rsidRPr="00A828B6">
        <w:rPr>
          <w:rFonts w:ascii="Book Antiqua" w:hAnsi="Book Antiqua"/>
          <w:lang w:val="en-US"/>
        </w:rPr>
        <w:t>both genders</w:t>
      </w:r>
      <w:r w:rsidR="00191801" w:rsidRPr="00A828B6">
        <w:rPr>
          <w:rFonts w:ascii="Book Antiqua" w:hAnsi="Book Antiqua"/>
          <w:lang w:val="en-US"/>
        </w:rPr>
        <w:t xml:space="preserve">. </w:t>
      </w:r>
      <w:r w:rsidR="00194C52" w:rsidRPr="00A828B6">
        <w:rPr>
          <w:rFonts w:ascii="Book Antiqua" w:hAnsi="Book Antiqua"/>
          <w:lang w:val="en-US"/>
        </w:rPr>
        <w:t>After the statistically significant ANOVA, we used pos</w:t>
      </w:r>
      <w:r w:rsidR="00746922" w:rsidRPr="00A828B6">
        <w:rPr>
          <w:rFonts w:ascii="Book Antiqua" w:hAnsi="Book Antiqua"/>
          <w:lang w:val="en-US"/>
        </w:rPr>
        <w:t>t</w:t>
      </w:r>
      <w:r w:rsidR="00AF25CF" w:rsidRPr="00A828B6">
        <w:rPr>
          <w:rFonts w:ascii="Book Antiqua" w:hAnsi="Book Antiqua"/>
          <w:lang w:val="en-US"/>
        </w:rPr>
        <w:t>-</w:t>
      </w:r>
      <w:r w:rsidR="00746922" w:rsidRPr="00A828B6">
        <w:rPr>
          <w:rFonts w:ascii="Book Antiqua" w:hAnsi="Book Antiqua"/>
          <w:lang w:val="en-US"/>
        </w:rPr>
        <w:t>hoc multiple comparison tests Bonferroni</w:t>
      </w:r>
      <w:r w:rsidR="009E671B" w:rsidRPr="00A828B6">
        <w:rPr>
          <w:rFonts w:ascii="Book Antiqua" w:hAnsi="Book Antiqua"/>
          <w:lang w:val="en-US"/>
        </w:rPr>
        <w:t xml:space="preserve"> </w:t>
      </w:r>
      <w:r w:rsidR="00194C52" w:rsidRPr="00A828B6">
        <w:rPr>
          <w:rFonts w:ascii="Book Antiqua" w:hAnsi="Book Antiqua"/>
          <w:lang w:val="en-US"/>
        </w:rPr>
        <w:t xml:space="preserve">in order to identify statistically significant pairs. </w:t>
      </w:r>
      <w:r w:rsidR="006B1418" w:rsidRPr="00A828B6">
        <w:rPr>
          <w:rFonts w:ascii="Book Antiqua" w:hAnsi="Book Antiqua"/>
          <w:lang w:val="en-US"/>
        </w:rPr>
        <w:t>Kaplan-</w:t>
      </w:r>
      <w:r w:rsidR="00786A4C" w:rsidRPr="00A828B6">
        <w:rPr>
          <w:rFonts w:ascii="Book Antiqua" w:hAnsi="Book Antiqua"/>
          <w:lang w:val="en-US"/>
        </w:rPr>
        <w:t>Meier L</w:t>
      </w:r>
      <w:r w:rsidR="00746922" w:rsidRPr="00A828B6">
        <w:rPr>
          <w:rFonts w:ascii="Book Antiqua" w:hAnsi="Book Antiqua"/>
          <w:lang w:val="en-US"/>
        </w:rPr>
        <w:t>og</w:t>
      </w:r>
      <w:r w:rsidR="008C17FA" w:rsidRPr="00A828B6">
        <w:rPr>
          <w:rFonts w:ascii="Book Antiqua" w:hAnsi="Book Antiqua"/>
          <w:lang w:val="en-US"/>
        </w:rPr>
        <w:t xml:space="preserve"> R</w:t>
      </w:r>
      <w:r w:rsidR="00746922" w:rsidRPr="00A828B6">
        <w:rPr>
          <w:rFonts w:ascii="Book Antiqua" w:hAnsi="Book Antiqua"/>
          <w:lang w:val="en-US"/>
        </w:rPr>
        <w:t>ank</w:t>
      </w:r>
      <w:r w:rsidR="00786A4C" w:rsidRPr="00A828B6">
        <w:rPr>
          <w:rFonts w:ascii="Book Antiqua" w:hAnsi="Book Antiqua"/>
          <w:lang w:val="en-US"/>
        </w:rPr>
        <w:t xml:space="preserve"> test was used </w:t>
      </w:r>
      <w:r w:rsidR="00AF25CF" w:rsidRPr="00A828B6">
        <w:rPr>
          <w:rFonts w:ascii="Book Antiqua" w:hAnsi="Book Antiqua"/>
          <w:lang w:val="en-US"/>
        </w:rPr>
        <w:t>to compare</w:t>
      </w:r>
      <w:r w:rsidR="00786A4C" w:rsidRPr="00A828B6">
        <w:rPr>
          <w:rFonts w:ascii="Book Antiqua" w:hAnsi="Book Antiqua"/>
          <w:lang w:val="en-US"/>
        </w:rPr>
        <w:t xml:space="preserve">survival </w:t>
      </w:r>
      <w:r w:rsidR="00746922" w:rsidRPr="00A828B6">
        <w:rPr>
          <w:rFonts w:ascii="Book Antiqua" w:hAnsi="Book Antiqua"/>
          <w:lang w:val="en-US"/>
        </w:rPr>
        <w:t>in four groups</w:t>
      </w:r>
      <w:r w:rsidR="00BE0B57" w:rsidRPr="00A828B6">
        <w:rPr>
          <w:rFonts w:ascii="Book Antiqua" w:hAnsi="Book Antiqua"/>
          <w:lang w:val="en-US"/>
        </w:rPr>
        <w:t>.</w:t>
      </w:r>
      <w:r w:rsidR="009E671B" w:rsidRPr="00A828B6">
        <w:rPr>
          <w:rFonts w:ascii="Book Antiqua" w:hAnsi="Book Antiqua"/>
          <w:lang w:val="en-US"/>
        </w:rPr>
        <w:t xml:space="preserve"> </w:t>
      </w:r>
      <w:r w:rsidR="00AF25CF" w:rsidRPr="00A828B6">
        <w:rPr>
          <w:rFonts w:ascii="Book Antiqua" w:hAnsi="Book Antiqua"/>
          <w:i/>
          <w:lang w:val="en-US"/>
        </w:rPr>
        <w:t>P</w:t>
      </w:r>
      <w:r w:rsidR="00DF414C" w:rsidRPr="00A828B6">
        <w:rPr>
          <w:rFonts w:ascii="Book Antiqua" w:eastAsiaTheme="minorEastAsia" w:hAnsi="Book Antiqua"/>
          <w:i/>
          <w:lang w:val="en-US" w:eastAsia="zh-CN"/>
        </w:rPr>
        <w:t xml:space="preserve"> </w:t>
      </w:r>
      <w:r w:rsidR="00746922" w:rsidRPr="00A828B6">
        <w:rPr>
          <w:rFonts w:ascii="Book Antiqua" w:hAnsi="Book Antiqua"/>
          <w:lang w:val="en-US"/>
        </w:rPr>
        <w:t>&lt;</w:t>
      </w:r>
      <w:r w:rsidR="00DF414C" w:rsidRPr="00A828B6">
        <w:rPr>
          <w:rFonts w:ascii="Book Antiqua" w:eastAsiaTheme="minorEastAsia" w:hAnsi="Book Antiqua"/>
          <w:lang w:val="en-US" w:eastAsia="zh-CN"/>
        </w:rPr>
        <w:t xml:space="preserve"> </w:t>
      </w:r>
      <w:r w:rsidR="00746922" w:rsidRPr="00A828B6">
        <w:rPr>
          <w:rFonts w:ascii="Book Antiqua" w:hAnsi="Book Antiqua"/>
          <w:lang w:val="en-US"/>
        </w:rPr>
        <w:t xml:space="preserve">0.05 was considered statistically significant in all </w:t>
      </w:r>
      <w:r w:rsidR="00421F69" w:rsidRPr="00A828B6">
        <w:rPr>
          <w:rFonts w:ascii="Book Antiqua" w:hAnsi="Book Antiqua"/>
          <w:lang w:val="en-US"/>
        </w:rPr>
        <w:t xml:space="preserve">of </w:t>
      </w:r>
      <w:r w:rsidR="00746922" w:rsidRPr="00A828B6">
        <w:rPr>
          <w:rFonts w:ascii="Book Antiqua" w:hAnsi="Book Antiqua"/>
          <w:lang w:val="en-US"/>
        </w:rPr>
        <w:t>the tests.</w:t>
      </w:r>
    </w:p>
    <w:p w14:paraId="4EBCC7D4" w14:textId="77777777" w:rsidR="00DF414C" w:rsidRPr="00A828B6" w:rsidRDefault="00DF414C" w:rsidP="001A5A01">
      <w:pPr>
        <w:pStyle w:val="NormalWeb"/>
        <w:spacing w:before="0" w:beforeAutospacing="0" w:after="0" w:afterAutospacing="0" w:line="360" w:lineRule="auto"/>
        <w:jc w:val="both"/>
        <w:rPr>
          <w:rFonts w:ascii="Book Antiqua" w:eastAsiaTheme="minorEastAsia" w:hAnsi="Book Antiqua"/>
          <w:lang w:val="en-US" w:eastAsia="zh-CN"/>
        </w:rPr>
      </w:pPr>
    </w:p>
    <w:p w14:paraId="03890DA8" w14:textId="6D36147C" w:rsidR="004447AE" w:rsidRPr="00A828B6" w:rsidRDefault="002D64AB" w:rsidP="001A5A01">
      <w:pPr>
        <w:pStyle w:val="NormalWeb"/>
        <w:spacing w:before="0" w:beforeAutospacing="0" w:after="0" w:afterAutospacing="0" w:line="360" w:lineRule="auto"/>
        <w:jc w:val="both"/>
        <w:rPr>
          <w:rFonts w:ascii="Book Antiqua" w:hAnsi="Book Antiqua"/>
          <w:b/>
          <w:lang w:val="en-US"/>
        </w:rPr>
      </w:pPr>
      <w:r w:rsidRPr="00A828B6">
        <w:rPr>
          <w:rFonts w:ascii="Book Antiqua" w:hAnsi="Book Antiqua"/>
          <w:b/>
          <w:lang w:val="en-US"/>
        </w:rPr>
        <w:t>RESULTS</w:t>
      </w:r>
    </w:p>
    <w:p w14:paraId="40C9B137" w14:textId="77777777" w:rsidR="00F17EDC" w:rsidRPr="00A828B6" w:rsidRDefault="00F17EDC" w:rsidP="001A5A01">
      <w:pPr>
        <w:widowControl w:val="0"/>
        <w:autoSpaceDE w:val="0"/>
        <w:autoSpaceDN w:val="0"/>
        <w:adjustRightInd w:val="0"/>
        <w:spacing w:after="0" w:line="360" w:lineRule="auto"/>
        <w:jc w:val="both"/>
        <w:rPr>
          <w:rFonts w:ascii="Book Antiqua" w:hAnsi="Book Antiqua"/>
          <w:sz w:val="24"/>
          <w:szCs w:val="24"/>
          <w:lang w:val="en-US"/>
        </w:rPr>
      </w:pPr>
      <w:r w:rsidRPr="00A828B6">
        <w:rPr>
          <w:rFonts w:ascii="Book Antiqua" w:hAnsi="Book Antiqua"/>
          <w:sz w:val="24"/>
          <w:szCs w:val="24"/>
          <w:lang w:val="en-US"/>
        </w:rPr>
        <w:t xml:space="preserve">Primary end-point of the study </w:t>
      </w:r>
      <w:r w:rsidRPr="00A828B6">
        <w:rPr>
          <w:rFonts w:ascii="Book Antiqua" w:eastAsia="Times New Roman" w:hAnsi="Book Antiqua"/>
          <w:sz w:val="24"/>
          <w:szCs w:val="24"/>
          <w:lang w:val="en-US" w:eastAsia="tr-TR"/>
        </w:rPr>
        <w:t xml:space="preserve">was </w:t>
      </w:r>
      <w:r w:rsidR="00943608" w:rsidRPr="00A828B6">
        <w:rPr>
          <w:rFonts w:ascii="Book Antiqua" w:eastAsia="Times New Roman" w:hAnsi="Book Antiqua"/>
          <w:sz w:val="24"/>
          <w:szCs w:val="24"/>
          <w:lang w:val="en-US" w:eastAsia="tr-TR"/>
        </w:rPr>
        <w:t xml:space="preserve">to use this cohort of patients with esophageal varices to </w:t>
      </w:r>
      <w:r w:rsidRPr="00A828B6">
        <w:rPr>
          <w:rFonts w:ascii="Book Antiqua" w:eastAsia="Times New Roman" w:hAnsi="Book Antiqua"/>
          <w:sz w:val="24"/>
          <w:szCs w:val="24"/>
          <w:lang w:val="en-US" w:eastAsia="tr-TR"/>
        </w:rPr>
        <w:t xml:space="preserve">evaluate the </w:t>
      </w:r>
      <w:r w:rsidR="00943608" w:rsidRPr="00A828B6">
        <w:rPr>
          <w:rFonts w:ascii="Book Antiqua" w:eastAsia="Times New Roman" w:hAnsi="Book Antiqua"/>
          <w:sz w:val="24"/>
          <w:szCs w:val="24"/>
          <w:lang w:val="en-US" w:eastAsia="tr-TR"/>
        </w:rPr>
        <w:t xml:space="preserve">relationship between this disease and several etiologies, </w:t>
      </w:r>
      <w:r w:rsidR="00943608" w:rsidRPr="00A828B6">
        <w:rPr>
          <w:rFonts w:ascii="Book Antiqua" w:eastAsia="Times New Roman" w:hAnsi="Book Antiqua"/>
          <w:sz w:val="24"/>
          <w:szCs w:val="24"/>
          <w:lang w:val="en-US" w:eastAsia="tr-TR"/>
        </w:rPr>
        <w:lastRenderedPageBreak/>
        <w:t xml:space="preserve">including NAFLD (in the presence or absence of cirrhosis), </w:t>
      </w:r>
      <w:r w:rsidR="00943608" w:rsidRPr="00A828B6">
        <w:rPr>
          <w:rFonts w:ascii="Book Antiqua" w:hAnsi="Book Antiqua"/>
          <w:sz w:val="24"/>
          <w:szCs w:val="24"/>
          <w:lang w:val="en-US"/>
        </w:rPr>
        <w:t xml:space="preserve">hepatitis B, hepatitis C or other liver-related diseases. </w:t>
      </w:r>
      <w:r w:rsidR="002C73B6" w:rsidRPr="00A828B6">
        <w:rPr>
          <w:rFonts w:ascii="Book Antiqua" w:hAnsi="Book Antiqua"/>
          <w:sz w:val="24"/>
          <w:szCs w:val="24"/>
          <w:lang w:val="en-US"/>
        </w:rPr>
        <w:t xml:space="preserve">Second end-point </w:t>
      </w:r>
      <w:r w:rsidR="009B1BB5" w:rsidRPr="00A828B6">
        <w:rPr>
          <w:rFonts w:ascii="Book Antiqua" w:hAnsi="Book Antiqua"/>
          <w:sz w:val="24"/>
          <w:szCs w:val="24"/>
          <w:lang w:val="en-US"/>
        </w:rPr>
        <w:t>was</w:t>
      </w:r>
      <w:r w:rsidR="009E671B" w:rsidRPr="00A828B6">
        <w:rPr>
          <w:rFonts w:ascii="Book Antiqua" w:hAnsi="Book Antiqua"/>
          <w:sz w:val="24"/>
          <w:szCs w:val="24"/>
          <w:lang w:val="en-US"/>
        </w:rPr>
        <w:t xml:space="preserve"> </w:t>
      </w:r>
      <w:r w:rsidR="002C73B6" w:rsidRPr="00A828B6">
        <w:rPr>
          <w:rFonts w:ascii="Book Antiqua" w:hAnsi="Book Antiqua"/>
          <w:sz w:val="24"/>
          <w:szCs w:val="24"/>
          <w:lang w:val="en-US"/>
        </w:rPr>
        <w:t xml:space="preserve">to </w:t>
      </w:r>
      <w:r w:rsidR="00A81C4A" w:rsidRPr="00A828B6">
        <w:rPr>
          <w:rFonts w:ascii="Book Antiqua" w:hAnsi="Book Antiqua"/>
          <w:sz w:val="24"/>
          <w:szCs w:val="24"/>
          <w:lang w:val="en-US"/>
        </w:rPr>
        <w:t xml:space="preserve">draw this comparison </w:t>
      </w:r>
      <w:r w:rsidR="002C73B6" w:rsidRPr="00A828B6">
        <w:rPr>
          <w:rFonts w:ascii="Book Antiqua" w:hAnsi="Book Antiqua"/>
          <w:sz w:val="24"/>
          <w:szCs w:val="24"/>
          <w:lang w:val="en-US"/>
        </w:rPr>
        <w:t>in terms of</w:t>
      </w:r>
      <w:r w:rsidR="009E671B" w:rsidRPr="00A828B6">
        <w:rPr>
          <w:rFonts w:ascii="Book Antiqua" w:hAnsi="Book Antiqua"/>
          <w:sz w:val="24"/>
          <w:szCs w:val="24"/>
          <w:lang w:val="en-US"/>
        </w:rPr>
        <w:t xml:space="preserve"> </w:t>
      </w:r>
      <w:r w:rsidRPr="00A828B6">
        <w:rPr>
          <w:rFonts w:ascii="Book Antiqua" w:hAnsi="Book Antiqua"/>
          <w:sz w:val="24"/>
          <w:szCs w:val="24"/>
          <w:lang w:val="en-US"/>
        </w:rPr>
        <w:t xml:space="preserve">PVT, HCC, survival and mortality. </w:t>
      </w:r>
    </w:p>
    <w:p w14:paraId="14A069D8" w14:textId="77777777" w:rsidR="00263E7B" w:rsidRPr="00A828B6" w:rsidRDefault="00263E7B" w:rsidP="001A5A01">
      <w:pPr>
        <w:spacing w:after="0" w:line="360" w:lineRule="auto"/>
        <w:ind w:firstLine="360"/>
        <w:jc w:val="both"/>
        <w:rPr>
          <w:rFonts w:ascii="Book Antiqua" w:hAnsi="Book Antiqua"/>
          <w:sz w:val="24"/>
          <w:szCs w:val="24"/>
          <w:lang w:val="en-US" w:eastAsia="tr-TR"/>
        </w:rPr>
      </w:pPr>
    </w:p>
    <w:p w14:paraId="6909354B" w14:textId="77777777" w:rsidR="00FC63A7" w:rsidRPr="00A828B6" w:rsidRDefault="00FC63A7" w:rsidP="001A5A01">
      <w:pPr>
        <w:spacing w:after="0" w:line="360" w:lineRule="auto"/>
        <w:jc w:val="both"/>
        <w:rPr>
          <w:rFonts w:ascii="Book Antiqua" w:hAnsi="Book Antiqua"/>
          <w:b/>
          <w:i/>
          <w:sz w:val="24"/>
          <w:szCs w:val="24"/>
          <w:lang w:val="en-US" w:eastAsia="tr-TR"/>
        </w:rPr>
      </w:pPr>
      <w:r w:rsidRPr="00A828B6">
        <w:rPr>
          <w:rFonts w:ascii="Book Antiqua" w:hAnsi="Book Antiqua"/>
          <w:b/>
          <w:i/>
          <w:sz w:val="24"/>
          <w:szCs w:val="24"/>
          <w:lang w:val="en-US" w:eastAsia="tr-TR"/>
        </w:rPr>
        <w:t>Etiology</w:t>
      </w:r>
    </w:p>
    <w:p w14:paraId="214E766F" w14:textId="77777777" w:rsidR="00FC63A7" w:rsidRPr="00A828B6" w:rsidRDefault="00FC63A7" w:rsidP="001A5A01">
      <w:pPr>
        <w:spacing w:after="0" w:line="360" w:lineRule="auto"/>
        <w:jc w:val="both"/>
        <w:rPr>
          <w:rFonts w:ascii="Book Antiqua" w:hAnsi="Book Antiqua"/>
          <w:sz w:val="24"/>
          <w:szCs w:val="24"/>
          <w:lang w:val="en-US" w:eastAsia="tr-TR"/>
        </w:rPr>
      </w:pPr>
      <w:r w:rsidRPr="00A828B6">
        <w:rPr>
          <w:rFonts w:ascii="Book Antiqua" w:hAnsi="Book Antiqua"/>
          <w:sz w:val="24"/>
          <w:szCs w:val="24"/>
          <w:lang w:val="en-US" w:eastAsia="tr-TR"/>
        </w:rPr>
        <w:t xml:space="preserve">As shown in Table 1, the etiology </w:t>
      </w:r>
      <w:r w:rsidR="003B7237" w:rsidRPr="00A828B6">
        <w:rPr>
          <w:rFonts w:ascii="Book Antiqua" w:hAnsi="Book Antiqua"/>
          <w:sz w:val="24"/>
          <w:szCs w:val="24"/>
          <w:lang w:val="en-US" w:eastAsia="tr-TR"/>
        </w:rPr>
        <w:t xml:space="preserve">of the total 258 </w:t>
      </w:r>
      <w:r w:rsidRPr="00A828B6">
        <w:rPr>
          <w:rFonts w:ascii="Book Antiqua" w:hAnsi="Book Antiqua"/>
          <w:sz w:val="24"/>
          <w:szCs w:val="24"/>
          <w:lang w:val="en-US" w:eastAsia="tr-TR"/>
        </w:rPr>
        <w:t>patients with esophageal varices was</w:t>
      </w:r>
      <w:r w:rsidR="003B7237" w:rsidRPr="00A828B6">
        <w:rPr>
          <w:rFonts w:ascii="Book Antiqua" w:hAnsi="Book Antiqua"/>
          <w:sz w:val="24"/>
          <w:szCs w:val="24"/>
          <w:lang w:val="en-US" w:eastAsia="tr-TR"/>
        </w:rPr>
        <w:t xml:space="preserve"> attributed to</w:t>
      </w:r>
      <w:r w:rsidRPr="00A828B6">
        <w:rPr>
          <w:rFonts w:ascii="Book Antiqua" w:hAnsi="Book Antiqua"/>
          <w:sz w:val="24"/>
          <w:szCs w:val="24"/>
          <w:lang w:val="en-US" w:eastAsia="tr-TR"/>
        </w:rPr>
        <w:t xml:space="preserve">: NAFLD in 39.0% (101 patients), hepatitis B </w:t>
      </w:r>
      <w:r w:rsidR="008C17FA" w:rsidRPr="00A828B6">
        <w:rPr>
          <w:rFonts w:ascii="Book Antiqua" w:hAnsi="Book Antiqua"/>
          <w:sz w:val="24"/>
          <w:szCs w:val="24"/>
          <w:lang w:val="en-US" w:eastAsia="tr-TR"/>
        </w:rPr>
        <w:t xml:space="preserve">virus </w:t>
      </w:r>
      <w:r w:rsidRPr="00A828B6">
        <w:rPr>
          <w:rFonts w:ascii="Book Antiqua" w:hAnsi="Book Antiqua"/>
          <w:sz w:val="24"/>
          <w:szCs w:val="24"/>
          <w:lang w:val="en-US" w:eastAsia="tr-TR"/>
        </w:rPr>
        <w:t>(H</w:t>
      </w:r>
      <w:r w:rsidR="008C17FA" w:rsidRPr="00A828B6">
        <w:rPr>
          <w:rFonts w:ascii="Book Antiqua" w:hAnsi="Book Antiqua"/>
          <w:sz w:val="24"/>
          <w:szCs w:val="24"/>
          <w:lang w:val="en-US" w:eastAsia="tr-TR"/>
        </w:rPr>
        <w:t>BV</w:t>
      </w:r>
      <w:r w:rsidRPr="00A828B6">
        <w:rPr>
          <w:rFonts w:ascii="Book Antiqua" w:hAnsi="Book Antiqua"/>
          <w:sz w:val="24"/>
          <w:szCs w:val="24"/>
          <w:lang w:val="en-US" w:eastAsia="tr-TR"/>
        </w:rPr>
        <w:t>) in 29.1% (75 patients) and hepatitis C</w:t>
      </w:r>
      <w:r w:rsidR="008C17FA" w:rsidRPr="00A828B6">
        <w:rPr>
          <w:rFonts w:ascii="Book Antiqua" w:hAnsi="Book Antiqua"/>
          <w:sz w:val="24"/>
          <w:szCs w:val="24"/>
          <w:lang w:val="en-US" w:eastAsia="tr-TR"/>
        </w:rPr>
        <w:t xml:space="preserve"> virus</w:t>
      </w:r>
      <w:r w:rsidRPr="00A828B6">
        <w:rPr>
          <w:rFonts w:ascii="Book Antiqua" w:hAnsi="Book Antiqua"/>
          <w:sz w:val="24"/>
          <w:szCs w:val="24"/>
          <w:lang w:val="en-US" w:eastAsia="tr-TR"/>
        </w:rPr>
        <w:t xml:space="preserve"> (H</w:t>
      </w:r>
      <w:r w:rsidR="008C17FA" w:rsidRPr="00A828B6">
        <w:rPr>
          <w:rFonts w:ascii="Book Antiqua" w:hAnsi="Book Antiqua"/>
          <w:sz w:val="24"/>
          <w:szCs w:val="24"/>
          <w:lang w:val="en-US" w:eastAsia="tr-TR"/>
        </w:rPr>
        <w:t>CV</w:t>
      </w:r>
      <w:r w:rsidRPr="00A828B6">
        <w:rPr>
          <w:rFonts w:ascii="Book Antiqua" w:hAnsi="Book Antiqua"/>
          <w:sz w:val="24"/>
          <w:szCs w:val="24"/>
          <w:lang w:val="en-US" w:eastAsia="tr-TR"/>
        </w:rPr>
        <w:t>) in 11.2</w:t>
      </w:r>
      <w:r w:rsidR="003B7237" w:rsidRPr="00A828B6">
        <w:rPr>
          <w:rFonts w:ascii="Book Antiqua" w:hAnsi="Book Antiqua"/>
          <w:sz w:val="24"/>
          <w:szCs w:val="24"/>
          <w:lang w:val="en-US" w:eastAsia="tr-TR"/>
        </w:rPr>
        <w:t xml:space="preserve">% </w:t>
      </w:r>
      <w:r w:rsidRPr="00A828B6">
        <w:rPr>
          <w:rFonts w:ascii="Book Antiqua" w:hAnsi="Book Antiqua"/>
          <w:sz w:val="24"/>
          <w:szCs w:val="24"/>
          <w:lang w:val="en-US" w:eastAsia="tr-TR"/>
        </w:rPr>
        <w:t>(29 patients). In the rest of the patients (20.5%, 53 patients), the etiology was: hepatoportal sclerosis in 7.8%, isolated portal vein thrombosis without any other pathology in 4.3%, chronic alcohol consumptionin 3.1%, primary sclorasing cholangitis in 1.9%, autoimmune hepatitis in 1.2%, primary biliary cirrhosis in 1.2%, Wilson Disease in 0.8% and chronic pancreatitis in 0.4% of this group of patients.</w:t>
      </w:r>
    </w:p>
    <w:p w14:paraId="5A224149" w14:textId="77777777" w:rsidR="00FC63A7" w:rsidRPr="00A828B6" w:rsidRDefault="00FC63A7" w:rsidP="001A5A01">
      <w:pPr>
        <w:spacing w:after="0" w:line="360" w:lineRule="auto"/>
        <w:ind w:firstLine="360"/>
        <w:jc w:val="both"/>
        <w:rPr>
          <w:rFonts w:ascii="Book Antiqua" w:hAnsi="Book Antiqua"/>
          <w:sz w:val="24"/>
          <w:szCs w:val="24"/>
          <w:lang w:val="en-US" w:eastAsia="tr-TR"/>
        </w:rPr>
      </w:pPr>
    </w:p>
    <w:p w14:paraId="6F2F79DD" w14:textId="77777777" w:rsidR="00DF74BF" w:rsidRPr="00A828B6" w:rsidRDefault="00252CDC" w:rsidP="001A5A01">
      <w:pPr>
        <w:spacing w:after="0" w:line="360" w:lineRule="auto"/>
        <w:jc w:val="both"/>
        <w:rPr>
          <w:rFonts w:ascii="Book Antiqua" w:hAnsi="Book Antiqua"/>
          <w:b/>
          <w:i/>
          <w:sz w:val="24"/>
          <w:szCs w:val="24"/>
          <w:lang w:val="en-US" w:eastAsia="tr-TR"/>
        </w:rPr>
      </w:pPr>
      <w:r w:rsidRPr="00A828B6">
        <w:rPr>
          <w:rFonts w:ascii="Book Antiqua" w:hAnsi="Book Antiqua"/>
          <w:b/>
          <w:i/>
          <w:sz w:val="24"/>
          <w:szCs w:val="24"/>
          <w:lang w:val="en-US" w:eastAsia="tr-TR"/>
        </w:rPr>
        <w:t>Age</w:t>
      </w:r>
    </w:p>
    <w:p w14:paraId="0B630627" w14:textId="06CD9F66" w:rsidR="0045059E" w:rsidRPr="00A828B6" w:rsidRDefault="00743CAD" w:rsidP="001A5A01">
      <w:pPr>
        <w:spacing w:after="0" w:line="360" w:lineRule="auto"/>
        <w:jc w:val="both"/>
        <w:rPr>
          <w:rFonts w:ascii="Book Antiqua" w:hAnsi="Book Antiqua"/>
          <w:sz w:val="24"/>
          <w:szCs w:val="24"/>
          <w:lang w:val="en-US" w:eastAsia="tr-TR"/>
        </w:rPr>
      </w:pPr>
      <w:r w:rsidRPr="00A828B6">
        <w:rPr>
          <w:rFonts w:ascii="Book Antiqua" w:hAnsi="Book Antiqua"/>
          <w:sz w:val="24"/>
          <w:szCs w:val="24"/>
          <w:lang w:val="en-US" w:eastAsia="tr-TR"/>
        </w:rPr>
        <w:t xml:space="preserve">As </w:t>
      </w:r>
      <w:r w:rsidR="00FE2B39" w:rsidRPr="00A828B6">
        <w:rPr>
          <w:rFonts w:ascii="Book Antiqua" w:hAnsi="Book Antiqua"/>
          <w:sz w:val="24"/>
          <w:szCs w:val="24"/>
          <w:lang w:val="en-US" w:eastAsia="tr-TR"/>
        </w:rPr>
        <w:t xml:space="preserve">Table </w:t>
      </w:r>
      <w:r w:rsidR="003A60C7" w:rsidRPr="00A828B6">
        <w:rPr>
          <w:rFonts w:ascii="Book Antiqua" w:hAnsi="Book Antiqua"/>
          <w:sz w:val="24"/>
          <w:szCs w:val="24"/>
          <w:lang w:val="en-US" w:eastAsia="tr-TR"/>
        </w:rPr>
        <w:t xml:space="preserve">1 </w:t>
      </w:r>
      <w:r w:rsidR="00FE2B39" w:rsidRPr="00A828B6">
        <w:rPr>
          <w:rFonts w:ascii="Book Antiqua" w:hAnsi="Book Antiqua"/>
          <w:sz w:val="24"/>
          <w:szCs w:val="24"/>
          <w:lang w:val="en-US" w:eastAsia="tr-TR"/>
        </w:rPr>
        <w:t>reveals</w:t>
      </w:r>
      <w:r w:rsidRPr="00A828B6">
        <w:rPr>
          <w:rFonts w:ascii="Book Antiqua" w:hAnsi="Book Antiqua"/>
          <w:sz w:val="24"/>
          <w:szCs w:val="24"/>
          <w:lang w:val="en-US" w:eastAsia="tr-TR"/>
        </w:rPr>
        <w:t>, there is no statistical difference</w:t>
      </w:r>
      <w:r w:rsidR="005A06FE" w:rsidRPr="00A828B6">
        <w:rPr>
          <w:rFonts w:ascii="Book Antiqua" w:hAnsi="Book Antiqua"/>
          <w:sz w:val="24"/>
          <w:szCs w:val="24"/>
          <w:lang w:val="en-US" w:eastAsia="tr-TR"/>
        </w:rPr>
        <w:t xml:space="preserve"> in </w:t>
      </w:r>
      <w:r w:rsidR="000D289D" w:rsidRPr="00A828B6">
        <w:rPr>
          <w:rFonts w:ascii="Book Antiqua" w:hAnsi="Book Antiqua"/>
          <w:sz w:val="24"/>
          <w:szCs w:val="24"/>
          <w:lang w:val="en-US" w:eastAsia="tr-TR"/>
        </w:rPr>
        <w:t xml:space="preserve">the </w:t>
      </w:r>
      <w:r w:rsidR="005A06FE" w:rsidRPr="00A828B6">
        <w:rPr>
          <w:rFonts w:ascii="Book Antiqua" w:hAnsi="Book Antiqua"/>
          <w:sz w:val="24"/>
          <w:szCs w:val="24"/>
          <w:lang w:val="en-US" w:eastAsia="tr-TR"/>
        </w:rPr>
        <w:t xml:space="preserve">mean age between groups with NAFLD, hepatitis B and hepatitis C. However, </w:t>
      </w:r>
      <w:r w:rsidR="004A33C3" w:rsidRPr="00A828B6">
        <w:rPr>
          <w:rFonts w:ascii="Book Antiqua" w:hAnsi="Book Antiqua"/>
          <w:sz w:val="24"/>
          <w:szCs w:val="24"/>
          <w:lang w:val="en-US" w:eastAsia="tr-TR"/>
        </w:rPr>
        <w:t>the mean age of patients with the</w:t>
      </w:r>
      <w:r w:rsidR="00952B83" w:rsidRPr="00A828B6">
        <w:rPr>
          <w:rFonts w:ascii="Book Antiqua" w:hAnsi="Book Antiqua"/>
          <w:sz w:val="24"/>
          <w:szCs w:val="24"/>
          <w:lang w:val="en-US" w:eastAsia="tr-TR"/>
        </w:rPr>
        <w:t>se</w:t>
      </w:r>
      <w:r w:rsidR="004A33C3" w:rsidRPr="00A828B6">
        <w:rPr>
          <w:rFonts w:ascii="Book Antiqua" w:hAnsi="Book Antiqua"/>
          <w:sz w:val="24"/>
          <w:szCs w:val="24"/>
          <w:lang w:val="en-US" w:eastAsia="tr-TR"/>
        </w:rPr>
        <w:t xml:space="preserve"> three etiologies </w:t>
      </w:r>
      <w:r w:rsidR="00BC51A9" w:rsidRPr="00A828B6">
        <w:rPr>
          <w:rFonts w:ascii="Book Antiqua" w:hAnsi="Book Antiqua"/>
          <w:sz w:val="24"/>
          <w:szCs w:val="24"/>
          <w:lang w:val="en-US" w:eastAsia="tr-TR"/>
        </w:rPr>
        <w:t>(</w:t>
      </w:r>
      <w:r w:rsidR="00DF414C" w:rsidRPr="00A828B6">
        <w:rPr>
          <w:rFonts w:ascii="Book Antiqua" w:hAnsi="Book Antiqua"/>
          <w:sz w:val="24"/>
          <w:szCs w:val="24"/>
          <w:lang w:val="en-US" w:eastAsia="zh-CN"/>
        </w:rPr>
        <w:t xml:space="preserve">about </w:t>
      </w:r>
      <w:r w:rsidR="00BC51A9" w:rsidRPr="00A828B6">
        <w:rPr>
          <w:rFonts w:ascii="Book Antiqua" w:hAnsi="Book Antiqua"/>
          <w:sz w:val="24"/>
          <w:szCs w:val="24"/>
          <w:lang w:val="en-US" w:eastAsia="tr-TR"/>
        </w:rPr>
        <w:t xml:space="preserve">60 years) </w:t>
      </w:r>
      <w:r w:rsidR="004A33C3" w:rsidRPr="00A828B6">
        <w:rPr>
          <w:rFonts w:ascii="Book Antiqua" w:hAnsi="Book Antiqua"/>
          <w:sz w:val="24"/>
          <w:szCs w:val="24"/>
          <w:lang w:val="en-US" w:eastAsia="tr-TR"/>
        </w:rPr>
        <w:t>was higher than that in patients with other liver-related diseases</w:t>
      </w:r>
      <w:r w:rsidR="00BC51A9" w:rsidRPr="00A828B6">
        <w:rPr>
          <w:rFonts w:ascii="Book Antiqua" w:hAnsi="Book Antiqua"/>
          <w:sz w:val="24"/>
          <w:szCs w:val="24"/>
          <w:lang w:val="en-US" w:eastAsia="tr-TR"/>
        </w:rPr>
        <w:t xml:space="preserve"> (48 years) </w:t>
      </w:r>
      <w:r w:rsidR="004A33C3" w:rsidRPr="00A828B6">
        <w:rPr>
          <w:rFonts w:ascii="Book Antiqua" w:hAnsi="Book Antiqua"/>
          <w:sz w:val="24"/>
          <w:szCs w:val="24"/>
          <w:lang w:val="en-US" w:eastAsia="tr-TR"/>
        </w:rPr>
        <w:t>(</w:t>
      </w:r>
      <w:r w:rsidR="00842996" w:rsidRPr="00A828B6">
        <w:rPr>
          <w:rFonts w:ascii="Book Antiqua" w:hAnsi="Book Antiqua"/>
          <w:sz w:val="24"/>
          <w:szCs w:val="24"/>
          <w:lang w:val="en-US" w:eastAsia="tr-TR"/>
        </w:rPr>
        <w:t>Table 1</w:t>
      </w:r>
      <w:r w:rsidR="00DF414C" w:rsidRPr="00A828B6">
        <w:rPr>
          <w:rFonts w:ascii="Book Antiqua" w:hAnsi="Book Antiqua"/>
          <w:sz w:val="24"/>
          <w:szCs w:val="24"/>
          <w:lang w:val="en-US" w:eastAsia="zh-CN"/>
        </w:rPr>
        <w:t>;</w:t>
      </w:r>
      <w:r w:rsidR="004A33C3" w:rsidRPr="00A828B6">
        <w:rPr>
          <w:rFonts w:ascii="Book Antiqua" w:hAnsi="Book Antiqua"/>
          <w:sz w:val="24"/>
          <w:szCs w:val="24"/>
          <w:lang w:val="en-US" w:eastAsia="tr-TR"/>
        </w:rPr>
        <w:t xml:space="preserve"> </w:t>
      </w:r>
      <w:r w:rsidR="004A33C3" w:rsidRPr="00A828B6">
        <w:rPr>
          <w:rFonts w:ascii="Book Antiqua" w:hAnsi="Book Antiqua"/>
          <w:i/>
          <w:sz w:val="24"/>
          <w:szCs w:val="24"/>
          <w:lang w:val="en-US" w:eastAsia="tr-TR"/>
        </w:rPr>
        <w:t>P</w:t>
      </w:r>
      <w:r w:rsidR="00DF414C" w:rsidRPr="00A828B6">
        <w:rPr>
          <w:rFonts w:ascii="Book Antiqua" w:hAnsi="Book Antiqua"/>
          <w:i/>
          <w:sz w:val="24"/>
          <w:szCs w:val="24"/>
          <w:lang w:val="en-US" w:eastAsia="zh-CN"/>
        </w:rPr>
        <w:t xml:space="preserve"> </w:t>
      </w:r>
      <w:r w:rsidR="004A33C3" w:rsidRPr="00A828B6">
        <w:rPr>
          <w:rFonts w:ascii="Book Antiqua" w:hAnsi="Book Antiqua"/>
          <w:sz w:val="24"/>
          <w:szCs w:val="24"/>
          <w:lang w:val="en-US" w:eastAsia="tr-TR"/>
        </w:rPr>
        <w:t>&lt;</w:t>
      </w:r>
      <w:r w:rsidR="00DF414C" w:rsidRPr="00A828B6">
        <w:rPr>
          <w:rFonts w:ascii="Book Antiqua" w:hAnsi="Book Antiqua"/>
          <w:sz w:val="24"/>
          <w:szCs w:val="24"/>
          <w:lang w:val="en-US" w:eastAsia="zh-CN"/>
        </w:rPr>
        <w:t xml:space="preserve"> </w:t>
      </w:r>
      <w:r w:rsidR="004A33C3" w:rsidRPr="00A828B6">
        <w:rPr>
          <w:rFonts w:ascii="Book Antiqua" w:hAnsi="Book Antiqua"/>
          <w:sz w:val="24"/>
          <w:szCs w:val="24"/>
          <w:lang w:val="en-US" w:eastAsia="tr-TR"/>
        </w:rPr>
        <w:t>0.0001)</w:t>
      </w:r>
      <w:r w:rsidR="001E21E9" w:rsidRPr="00A828B6">
        <w:rPr>
          <w:rFonts w:ascii="Book Antiqua" w:hAnsi="Book Antiqua"/>
          <w:sz w:val="24"/>
          <w:szCs w:val="24"/>
          <w:lang w:val="en-US" w:eastAsia="tr-TR"/>
        </w:rPr>
        <w:t>.</w:t>
      </w:r>
      <w:r w:rsidR="00827A82" w:rsidRPr="00A828B6">
        <w:rPr>
          <w:rFonts w:ascii="Book Antiqua" w:hAnsi="Book Antiqua"/>
          <w:sz w:val="24"/>
          <w:szCs w:val="24"/>
          <w:lang w:val="en-US" w:eastAsia="tr-TR"/>
        </w:rPr>
        <w:t xml:space="preserve"> </w:t>
      </w:r>
      <w:r w:rsidR="0045059E" w:rsidRPr="00A828B6">
        <w:rPr>
          <w:rFonts w:ascii="Book Antiqua" w:hAnsi="Book Antiqua"/>
          <w:sz w:val="24"/>
          <w:szCs w:val="24"/>
          <w:lang w:val="en-US" w:eastAsia="tr-TR"/>
        </w:rPr>
        <w:t xml:space="preserve">The mean age of </w:t>
      </w:r>
      <w:r w:rsidR="00A93986" w:rsidRPr="00A828B6">
        <w:rPr>
          <w:rFonts w:ascii="Book Antiqua" w:hAnsi="Book Antiqua"/>
          <w:sz w:val="24"/>
          <w:szCs w:val="24"/>
          <w:lang w:val="en-US" w:eastAsia="tr-TR"/>
        </w:rPr>
        <w:t>women with esophageal varices</w:t>
      </w:r>
      <w:r w:rsidR="0045059E" w:rsidRPr="00A828B6">
        <w:rPr>
          <w:rFonts w:ascii="Book Antiqua" w:hAnsi="Book Antiqua"/>
          <w:sz w:val="24"/>
          <w:szCs w:val="24"/>
          <w:lang w:val="en-US" w:eastAsia="tr-TR"/>
        </w:rPr>
        <w:t xml:space="preserve"> (60.4</w:t>
      </w:r>
      <w:r w:rsidR="00DF414C" w:rsidRPr="00A828B6">
        <w:rPr>
          <w:rFonts w:ascii="Book Antiqua" w:hAnsi="Book Antiqua"/>
          <w:sz w:val="24"/>
          <w:szCs w:val="24"/>
          <w:lang w:val="en-US" w:eastAsia="zh-CN"/>
        </w:rPr>
        <w:t xml:space="preserve"> </w:t>
      </w:r>
      <w:r w:rsidR="0045059E" w:rsidRPr="00A828B6">
        <w:rPr>
          <w:rFonts w:ascii="Book Antiqua" w:hAnsi="Book Antiqua"/>
          <w:sz w:val="24"/>
          <w:szCs w:val="24"/>
          <w:lang w:val="en-US" w:eastAsia="tr-TR"/>
        </w:rPr>
        <w:t>±</w:t>
      </w:r>
      <w:r w:rsidR="00DF414C" w:rsidRPr="00A828B6">
        <w:rPr>
          <w:rFonts w:ascii="Book Antiqua" w:hAnsi="Book Antiqua"/>
          <w:sz w:val="24"/>
          <w:szCs w:val="24"/>
          <w:lang w:val="en-US" w:eastAsia="zh-CN"/>
        </w:rPr>
        <w:t xml:space="preserve"> </w:t>
      </w:r>
      <w:r w:rsidR="0045059E" w:rsidRPr="00A828B6">
        <w:rPr>
          <w:rFonts w:ascii="Book Antiqua" w:hAnsi="Book Antiqua"/>
          <w:sz w:val="24"/>
          <w:szCs w:val="24"/>
          <w:lang w:val="en-US" w:eastAsia="tr-TR"/>
        </w:rPr>
        <w:t>14.8 years, median:</w:t>
      </w:r>
      <w:r w:rsidR="001F3DEB" w:rsidRPr="00A828B6">
        <w:rPr>
          <w:rFonts w:ascii="Book Antiqua" w:hAnsi="Book Antiqua"/>
          <w:sz w:val="24"/>
          <w:szCs w:val="24"/>
          <w:lang w:val="en-US" w:eastAsia="tr-TR"/>
        </w:rPr>
        <w:t xml:space="preserve"> </w:t>
      </w:r>
      <w:r w:rsidR="0045059E" w:rsidRPr="00A828B6">
        <w:rPr>
          <w:rFonts w:ascii="Book Antiqua" w:hAnsi="Book Antiqua"/>
          <w:sz w:val="24"/>
          <w:szCs w:val="24"/>
          <w:lang w:val="en-US" w:eastAsia="tr-TR"/>
        </w:rPr>
        <w:t xml:space="preserve">64, and range: 27-90) was higher than that </w:t>
      </w:r>
      <w:r w:rsidR="00A93986" w:rsidRPr="00A828B6">
        <w:rPr>
          <w:rFonts w:ascii="Book Antiqua" w:hAnsi="Book Antiqua"/>
          <w:sz w:val="24"/>
          <w:szCs w:val="24"/>
          <w:lang w:val="en-US" w:eastAsia="tr-TR"/>
        </w:rPr>
        <w:t xml:space="preserve">in men </w:t>
      </w:r>
      <w:r w:rsidR="0045059E" w:rsidRPr="00A828B6">
        <w:rPr>
          <w:rFonts w:ascii="Book Antiqua" w:hAnsi="Book Antiqua"/>
          <w:sz w:val="24"/>
          <w:szCs w:val="24"/>
          <w:lang w:val="en-US" w:eastAsia="tr-TR"/>
        </w:rPr>
        <w:t>(53.5</w:t>
      </w:r>
      <w:r w:rsidR="00DF414C" w:rsidRPr="00A828B6">
        <w:rPr>
          <w:rFonts w:ascii="Book Antiqua" w:hAnsi="Book Antiqua"/>
          <w:sz w:val="24"/>
          <w:szCs w:val="24"/>
          <w:lang w:val="en-US" w:eastAsia="zh-CN"/>
        </w:rPr>
        <w:t xml:space="preserve"> </w:t>
      </w:r>
      <w:r w:rsidR="0045059E" w:rsidRPr="00A828B6">
        <w:rPr>
          <w:rFonts w:ascii="Book Antiqua" w:hAnsi="Book Antiqua"/>
          <w:sz w:val="24"/>
          <w:szCs w:val="24"/>
          <w:lang w:val="en-US" w:eastAsia="tr-TR"/>
        </w:rPr>
        <w:t>±</w:t>
      </w:r>
      <w:r w:rsidR="00DF414C" w:rsidRPr="00A828B6">
        <w:rPr>
          <w:rFonts w:ascii="Book Antiqua" w:hAnsi="Book Antiqua"/>
          <w:sz w:val="24"/>
          <w:szCs w:val="24"/>
          <w:lang w:val="en-US" w:eastAsia="zh-CN"/>
        </w:rPr>
        <w:t xml:space="preserve"> </w:t>
      </w:r>
      <w:r w:rsidR="0045059E" w:rsidRPr="00A828B6">
        <w:rPr>
          <w:rFonts w:ascii="Book Antiqua" w:hAnsi="Book Antiqua"/>
          <w:sz w:val="24"/>
          <w:szCs w:val="24"/>
          <w:lang w:val="en-US" w:eastAsia="tr-TR"/>
        </w:rPr>
        <w:t>14.6, median:</w:t>
      </w:r>
      <w:r w:rsidR="001F3DEB" w:rsidRPr="00A828B6">
        <w:rPr>
          <w:rFonts w:ascii="Book Antiqua" w:hAnsi="Book Antiqua"/>
          <w:sz w:val="24"/>
          <w:szCs w:val="24"/>
          <w:lang w:val="en-US" w:eastAsia="tr-TR"/>
        </w:rPr>
        <w:t xml:space="preserve"> </w:t>
      </w:r>
      <w:r w:rsidR="0045059E" w:rsidRPr="00A828B6">
        <w:rPr>
          <w:rFonts w:ascii="Book Antiqua" w:hAnsi="Book Antiqua"/>
          <w:sz w:val="24"/>
          <w:szCs w:val="24"/>
          <w:lang w:val="en-US" w:eastAsia="tr-TR"/>
        </w:rPr>
        <w:t xml:space="preserve">56; and range: 24-84), </w:t>
      </w:r>
      <w:r w:rsidR="001B2911" w:rsidRPr="00A828B6">
        <w:rPr>
          <w:rFonts w:ascii="Book Antiqua" w:hAnsi="Book Antiqua"/>
          <w:i/>
          <w:sz w:val="24"/>
          <w:szCs w:val="24"/>
          <w:lang w:val="en-US" w:eastAsia="tr-TR"/>
        </w:rPr>
        <w:t>P</w:t>
      </w:r>
      <w:r w:rsidR="00DF414C" w:rsidRPr="00A828B6">
        <w:rPr>
          <w:rFonts w:ascii="Book Antiqua" w:hAnsi="Book Antiqua"/>
          <w:i/>
          <w:sz w:val="24"/>
          <w:szCs w:val="24"/>
          <w:lang w:val="en-US" w:eastAsia="zh-CN"/>
        </w:rPr>
        <w:t xml:space="preserve"> </w:t>
      </w:r>
      <w:r w:rsidR="0045059E" w:rsidRPr="00A828B6">
        <w:rPr>
          <w:rFonts w:ascii="Book Antiqua" w:hAnsi="Book Antiqua"/>
          <w:sz w:val="24"/>
          <w:szCs w:val="24"/>
          <w:lang w:val="en-US" w:eastAsia="tr-TR"/>
        </w:rPr>
        <w:t>&lt;</w:t>
      </w:r>
      <w:r w:rsidR="00DF414C" w:rsidRPr="00A828B6">
        <w:rPr>
          <w:rFonts w:ascii="Book Antiqua" w:hAnsi="Book Antiqua"/>
          <w:sz w:val="24"/>
          <w:szCs w:val="24"/>
          <w:lang w:val="en-US" w:eastAsia="zh-CN"/>
        </w:rPr>
        <w:t xml:space="preserve"> </w:t>
      </w:r>
      <w:r w:rsidR="0045059E" w:rsidRPr="00A828B6">
        <w:rPr>
          <w:rFonts w:ascii="Book Antiqua" w:hAnsi="Book Antiqua"/>
          <w:sz w:val="24"/>
          <w:szCs w:val="24"/>
          <w:lang w:val="en-US" w:eastAsia="tr-TR"/>
        </w:rPr>
        <w:t>0.001</w:t>
      </w:r>
      <w:r w:rsidR="00A93986" w:rsidRPr="00A828B6">
        <w:rPr>
          <w:rFonts w:ascii="Book Antiqua" w:hAnsi="Book Antiqua"/>
          <w:sz w:val="24"/>
          <w:szCs w:val="24"/>
          <w:lang w:val="en-US" w:eastAsia="tr-TR"/>
        </w:rPr>
        <w:t>)</w:t>
      </w:r>
      <w:r w:rsidR="0045059E" w:rsidRPr="00A828B6">
        <w:rPr>
          <w:rFonts w:ascii="Book Antiqua" w:hAnsi="Book Antiqua"/>
          <w:sz w:val="24"/>
          <w:szCs w:val="24"/>
          <w:lang w:val="en-US" w:eastAsia="tr-TR"/>
        </w:rPr>
        <w:t>.</w:t>
      </w:r>
      <w:r w:rsidR="009E671B" w:rsidRPr="00A828B6">
        <w:rPr>
          <w:rFonts w:ascii="Book Antiqua" w:hAnsi="Book Antiqua"/>
          <w:sz w:val="24"/>
          <w:szCs w:val="24"/>
          <w:lang w:val="en-US" w:eastAsia="tr-TR"/>
        </w:rPr>
        <w:t xml:space="preserve"> </w:t>
      </w:r>
      <w:r w:rsidR="00383163" w:rsidRPr="00A828B6">
        <w:rPr>
          <w:rFonts w:ascii="Book Antiqua" w:hAnsi="Book Antiqua"/>
          <w:sz w:val="24"/>
          <w:szCs w:val="24"/>
          <w:lang w:val="en-US" w:eastAsia="tr-TR"/>
        </w:rPr>
        <w:t xml:space="preserve">In terms of etiology, men exhibited a higher percentage of hepatitis B than </w:t>
      </w:r>
      <w:r w:rsidR="0001796B" w:rsidRPr="00A828B6">
        <w:rPr>
          <w:rFonts w:ascii="Book Antiqua" w:hAnsi="Book Antiqua"/>
          <w:sz w:val="24"/>
          <w:szCs w:val="24"/>
          <w:lang w:val="en-US" w:eastAsia="tr-TR"/>
        </w:rPr>
        <w:t>NAFLD, hepatitis C and others</w:t>
      </w:r>
      <w:r w:rsidR="00383163" w:rsidRPr="00A828B6">
        <w:rPr>
          <w:rFonts w:ascii="Book Antiqua" w:hAnsi="Book Antiqua"/>
          <w:sz w:val="24"/>
          <w:szCs w:val="24"/>
          <w:lang w:val="en-US" w:eastAsia="tr-TR"/>
        </w:rPr>
        <w:t xml:space="preserve"> (</w:t>
      </w:r>
      <w:r w:rsidR="0001796B" w:rsidRPr="00A828B6">
        <w:rPr>
          <w:rFonts w:ascii="Book Antiqua" w:hAnsi="Book Antiqua"/>
          <w:sz w:val="24"/>
          <w:szCs w:val="24"/>
          <w:lang w:val="en-US" w:eastAsia="tr-TR"/>
        </w:rPr>
        <w:t xml:space="preserve">80% </w:t>
      </w:r>
      <w:r w:rsidR="00DF414C" w:rsidRPr="00A828B6">
        <w:rPr>
          <w:rFonts w:ascii="Book Antiqua" w:hAnsi="Book Antiqua"/>
          <w:i/>
          <w:sz w:val="24"/>
          <w:szCs w:val="24"/>
          <w:lang w:val="en-US" w:eastAsia="zh-CN"/>
        </w:rPr>
        <w:t>vs</w:t>
      </w:r>
      <w:r w:rsidR="0001796B" w:rsidRPr="00A828B6">
        <w:rPr>
          <w:rFonts w:ascii="Book Antiqua" w:hAnsi="Book Antiqua"/>
          <w:sz w:val="24"/>
          <w:szCs w:val="24"/>
          <w:lang w:val="en-US" w:eastAsia="tr-TR"/>
        </w:rPr>
        <w:t xml:space="preserve"> 62.4</w:t>
      </w:r>
      <w:r w:rsidR="001362E6" w:rsidRPr="00A828B6">
        <w:rPr>
          <w:rFonts w:ascii="Book Antiqua" w:hAnsi="Book Antiqua"/>
          <w:sz w:val="24"/>
          <w:szCs w:val="24"/>
          <w:lang w:val="en-US" w:eastAsia="tr-TR"/>
        </w:rPr>
        <w:t>, 58.6 and 58.5</w:t>
      </w:r>
      <w:r w:rsidR="0001796B" w:rsidRPr="00A828B6">
        <w:rPr>
          <w:rFonts w:ascii="Book Antiqua" w:hAnsi="Book Antiqua"/>
          <w:sz w:val="24"/>
          <w:szCs w:val="24"/>
          <w:lang w:val="en-US" w:eastAsia="tr-TR"/>
        </w:rPr>
        <w:t>%</w:t>
      </w:r>
      <w:r w:rsidR="001362E6" w:rsidRPr="00A828B6">
        <w:rPr>
          <w:rFonts w:ascii="Book Antiqua" w:hAnsi="Book Antiqua"/>
          <w:sz w:val="24"/>
          <w:szCs w:val="24"/>
          <w:lang w:val="en-US" w:eastAsia="tr-TR"/>
        </w:rPr>
        <w:t>, respectively</w:t>
      </w:r>
      <w:r w:rsidR="000E6621">
        <w:rPr>
          <w:rFonts w:ascii="Book Antiqua" w:hAnsi="Book Antiqua" w:hint="eastAsia"/>
          <w:sz w:val="24"/>
          <w:szCs w:val="24"/>
          <w:lang w:val="en-US" w:eastAsia="zh-CN"/>
        </w:rPr>
        <w:t>,</w:t>
      </w:r>
      <w:r w:rsidR="0001796B" w:rsidRPr="00A828B6">
        <w:rPr>
          <w:rFonts w:ascii="Book Antiqua" w:hAnsi="Book Antiqua"/>
          <w:sz w:val="24"/>
          <w:szCs w:val="24"/>
          <w:lang w:val="en-US" w:eastAsia="tr-TR"/>
        </w:rPr>
        <w:t xml:space="preserve"> </w:t>
      </w:r>
      <w:r w:rsidR="0001796B" w:rsidRPr="00A828B6">
        <w:rPr>
          <w:rFonts w:ascii="Book Antiqua" w:hAnsi="Book Antiqua"/>
          <w:i/>
          <w:sz w:val="24"/>
          <w:szCs w:val="24"/>
          <w:lang w:val="en-US" w:eastAsia="tr-TR"/>
        </w:rPr>
        <w:t>P</w:t>
      </w:r>
      <w:r w:rsidR="00DF414C" w:rsidRPr="00A828B6">
        <w:rPr>
          <w:rFonts w:ascii="Book Antiqua" w:hAnsi="Book Antiqua"/>
          <w:sz w:val="24"/>
          <w:szCs w:val="24"/>
          <w:lang w:val="en-US" w:eastAsia="zh-CN"/>
        </w:rPr>
        <w:t xml:space="preserve"> =</w:t>
      </w:r>
      <w:r w:rsidR="0001796B" w:rsidRPr="00A828B6">
        <w:rPr>
          <w:rFonts w:ascii="Book Antiqua" w:hAnsi="Book Antiqua"/>
          <w:sz w:val="24"/>
          <w:szCs w:val="24"/>
          <w:lang w:val="en-US" w:eastAsia="tr-TR"/>
        </w:rPr>
        <w:t xml:space="preserve"> 0.027</w:t>
      </w:r>
      <w:r w:rsidR="00383163" w:rsidRPr="00A828B6">
        <w:rPr>
          <w:rFonts w:ascii="Book Antiqua" w:hAnsi="Book Antiqua"/>
          <w:sz w:val="24"/>
          <w:szCs w:val="24"/>
          <w:lang w:val="en-US" w:eastAsia="tr-TR"/>
        </w:rPr>
        <w:t>)</w:t>
      </w:r>
      <w:r w:rsidR="00C418CF" w:rsidRPr="00A828B6">
        <w:rPr>
          <w:rFonts w:ascii="Book Antiqua" w:hAnsi="Book Antiqua"/>
          <w:sz w:val="24"/>
          <w:szCs w:val="24"/>
          <w:lang w:val="en-US" w:eastAsia="tr-TR"/>
        </w:rPr>
        <w:t xml:space="preserve"> </w:t>
      </w:r>
      <w:r w:rsidR="0001796B" w:rsidRPr="00A828B6">
        <w:rPr>
          <w:rFonts w:ascii="Book Antiqua" w:hAnsi="Book Antiqua"/>
          <w:sz w:val="24"/>
          <w:szCs w:val="24"/>
          <w:lang w:val="en-US" w:eastAsia="tr-TR"/>
        </w:rPr>
        <w:t xml:space="preserve">(Table 1). </w:t>
      </w:r>
    </w:p>
    <w:p w14:paraId="70EFCB2D" w14:textId="6246790D" w:rsidR="005D2D0E" w:rsidRPr="00A828B6" w:rsidRDefault="00842996" w:rsidP="001A5A01">
      <w:pPr>
        <w:spacing w:after="0" w:line="360" w:lineRule="auto"/>
        <w:ind w:firstLine="360"/>
        <w:jc w:val="both"/>
        <w:rPr>
          <w:rFonts w:ascii="Book Antiqua" w:hAnsi="Book Antiqua"/>
          <w:sz w:val="24"/>
          <w:szCs w:val="24"/>
          <w:lang w:val="en-US" w:eastAsia="tr-TR"/>
        </w:rPr>
      </w:pPr>
      <w:r w:rsidRPr="00A828B6">
        <w:rPr>
          <w:rFonts w:ascii="Book Antiqua" w:hAnsi="Book Antiqua"/>
          <w:sz w:val="24"/>
          <w:szCs w:val="24"/>
          <w:lang w:val="en-US" w:eastAsia="tr-TR"/>
        </w:rPr>
        <w:t xml:space="preserve">We also compared </w:t>
      </w:r>
      <w:r w:rsidR="00421F69" w:rsidRPr="00A828B6">
        <w:rPr>
          <w:rFonts w:ascii="Book Antiqua" w:hAnsi="Book Antiqua"/>
          <w:sz w:val="24"/>
          <w:szCs w:val="24"/>
          <w:lang w:val="en-US" w:eastAsia="tr-TR"/>
        </w:rPr>
        <w:t xml:space="preserve">and found a difference in the mean </w:t>
      </w:r>
      <w:r w:rsidRPr="00A828B6">
        <w:rPr>
          <w:rFonts w:ascii="Book Antiqua" w:hAnsi="Book Antiqua"/>
          <w:sz w:val="24"/>
          <w:szCs w:val="24"/>
          <w:lang w:val="en-US" w:eastAsia="tr-TR"/>
        </w:rPr>
        <w:t xml:space="preserve">age of patients with </w:t>
      </w:r>
      <w:r w:rsidR="001B0C07" w:rsidRPr="00A828B6">
        <w:rPr>
          <w:rFonts w:ascii="Book Antiqua" w:hAnsi="Book Antiqua"/>
          <w:sz w:val="24"/>
          <w:szCs w:val="24"/>
          <w:lang w:val="en-US" w:eastAsia="tr-TR"/>
        </w:rPr>
        <w:t xml:space="preserve">and without </w:t>
      </w:r>
      <w:r w:rsidRPr="00A828B6">
        <w:rPr>
          <w:rFonts w:ascii="Book Antiqua" w:hAnsi="Book Antiqua"/>
          <w:sz w:val="24"/>
          <w:szCs w:val="24"/>
          <w:lang w:val="en-US" w:eastAsia="tr-TR"/>
        </w:rPr>
        <w:t>PVT (</w:t>
      </w:r>
      <w:r w:rsidR="003966E9" w:rsidRPr="00A828B6">
        <w:rPr>
          <w:rFonts w:ascii="Book Antiqua" w:hAnsi="Book Antiqua"/>
          <w:sz w:val="24"/>
          <w:szCs w:val="24"/>
          <w:lang w:val="en-US" w:eastAsia="tr-TR"/>
        </w:rPr>
        <w:t>52</w:t>
      </w:r>
      <w:r w:rsidR="00DF414C" w:rsidRPr="00A828B6">
        <w:rPr>
          <w:rFonts w:ascii="Book Antiqua" w:hAnsi="Book Antiqua"/>
          <w:sz w:val="24"/>
          <w:szCs w:val="24"/>
          <w:lang w:val="en-US" w:eastAsia="zh-CN"/>
        </w:rPr>
        <w:t xml:space="preserve"> </w:t>
      </w:r>
      <w:r w:rsidR="003966E9" w:rsidRPr="00A828B6">
        <w:rPr>
          <w:rFonts w:ascii="Book Antiqua" w:hAnsi="Book Antiqua"/>
          <w:sz w:val="24"/>
          <w:szCs w:val="24"/>
          <w:lang w:val="en-US" w:eastAsia="tr-TR"/>
        </w:rPr>
        <w:t>±</w:t>
      </w:r>
      <w:r w:rsidR="00DF414C" w:rsidRPr="00A828B6">
        <w:rPr>
          <w:rFonts w:ascii="Book Antiqua" w:hAnsi="Book Antiqua"/>
          <w:sz w:val="24"/>
          <w:szCs w:val="24"/>
          <w:lang w:val="en-US" w:eastAsia="zh-CN"/>
        </w:rPr>
        <w:t xml:space="preserve"> </w:t>
      </w:r>
      <w:r w:rsidR="003966E9" w:rsidRPr="00A828B6">
        <w:rPr>
          <w:rFonts w:ascii="Book Antiqua" w:hAnsi="Book Antiqua"/>
          <w:sz w:val="24"/>
          <w:szCs w:val="24"/>
          <w:lang w:val="en-US" w:eastAsia="tr-TR"/>
        </w:rPr>
        <w:t xml:space="preserve">15 </w:t>
      </w:r>
      <w:r w:rsidR="003966E9" w:rsidRPr="00A828B6">
        <w:rPr>
          <w:rFonts w:ascii="Book Antiqua" w:hAnsi="Book Antiqua"/>
          <w:i/>
          <w:sz w:val="24"/>
          <w:szCs w:val="24"/>
          <w:lang w:val="en-US" w:eastAsia="tr-TR"/>
        </w:rPr>
        <w:t>vs</w:t>
      </w:r>
      <w:r w:rsidR="003966E9" w:rsidRPr="00A828B6">
        <w:rPr>
          <w:rFonts w:ascii="Book Antiqua" w:hAnsi="Book Antiqua"/>
          <w:sz w:val="24"/>
          <w:szCs w:val="24"/>
          <w:lang w:val="en-US" w:eastAsia="tr-TR"/>
        </w:rPr>
        <w:t xml:space="preserve"> 58.5</w:t>
      </w:r>
      <w:r w:rsidR="00DF414C" w:rsidRPr="00A828B6">
        <w:rPr>
          <w:rFonts w:ascii="Book Antiqua" w:hAnsi="Book Antiqua"/>
          <w:sz w:val="24"/>
          <w:szCs w:val="24"/>
          <w:lang w:val="en-US" w:eastAsia="zh-CN"/>
        </w:rPr>
        <w:t xml:space="preserve"> </w:t>
      </w:r>
      <w:r w:rsidR="003966E9" w:rsidRPr="00A828B6">
        <w:rPr>
          <w:rFonts w:ascii="Book Antiqua" w:hAnsi="Book Antiqua"/>
          <w:sz w:val="24"/>
          <w:szCs w:val="24"/>
          <w:lang w:val="en-US" w:eastAsia="tr-TR"/>
        </w:rPr>
        <w:t>±</w:t>
      </w:r>
      <w:r w:rsidR="00DF414C" w:rsidRPr="00A828B6">
        <w:rPr>
          <w:rFonts w:ascii="Book Antiqua" w:hAnsi="Book Antiqua"/>
          <w:sz w:val="24"/>
          <w:szCs w:val="24"/>
          <w:lang w:val="en-US" w:eastAsia="zh-CN"/>
        </w:rPr>
        <w:t xml:space="preserve"> </w:t>
      </w:r>
      <w:r w:rsidR="003966E9" w:rsidRPr="00A828B6">
        <w:rPr>
          <w:rFonts w:ascii="Book Antiqua" w:hAnsi="Book Antiqua"/>
          <w:sz w:val="24"/>
          <w:szCs w:val="24"/>
          <w:lang w:val="en-US" w:eastAsia="tr-TR"/>
        </w:rPr>
        <w:t>14.5 years</w:t>
      </w:r>
      <w:r w:rsidRPr="00A828B6">
        <w:rPr>
          <w:rFonts w:ascii="Book Antiqua" w:hAnsi="Book Antiqua"/>
          <w:sz w:val="24"/>
          <w:szCs w:val="24"/>
          <w:lang w:val="en-US" w:eastAsia="tr-TR"/>
        </w:rPr>
        <w:t>, respectively</w:t>
      </w:r>
      <w:r w:rsidR="00DF414C" w:rsidRPr="00A828B6">
        <w:rPr>
          <w:rFonts w:ascii="Book Antiqua" w:hAnsi="Book Antiqua"/>
          <w:sz w:val="24"/>
          <w:szCs w:val="24"/>
          <w:lang w:val="en-US" w:eastAsia="zh-CN"/>
        </w:rPr>
        <w:t xml:space="preserve">, </w:t>
      </w:r>
      <w:r w:rsidRPr="00A828B6">
        <w:rPr>
          <w:rFonts w:ascii="Book Antiqua" w:hAnsi="Book Antiqua"/>
          <w:i/>
          <w:sz w:val="24"/>
          <w:szCs w:val="24"/>
          <w:lang w:val="en-US" w:eastAsia="tr-TR"/>
        </w:rPr>
        <w:t>P</w:t>
      </w:r>
      <w:r w:rsidR="00DF414C" w:rsidRPr="00A828B6">
        <w:rPr>
          <w:rFonts w:ascii="Book Antiqua" w:hAnsi="Book Antiqua"/>
          <w:sz w:val="24"/>
          <w:szCs w:val="24"/>
          <w:lang w:val="en-US" w:eastAsia="zh-CN"/>
        </w:rPr>
        <w:t xml:space="preserve"> =</w:t>
      </w:r>
      <w:r w:rsidRPr="00A828B6">
        <w:rPr>
          <w:rFonts w:ascii="Book Antiqua" w:hAnsi="Book Antiqua"/>
          <w:sz w:val="24"/>
          <w:szCs w:val="24"/>
          <w:lang w:val="en-US" w:eastAsia="tr-TR"/>
        </w:rPr>
        <w:t xml:space="preserve"> 0.001), with and without cirrhosis (56.3</w:t>
      </w:r>
      <w:r w:rsidR="00DF414C" w:rsidRPr="00A828B6">
        <w:rPr>
          <w:rFonts w:ascii="Book Antiqua" w:hAnsi="Book Antiqua"/>
          <w:sz w:val="24"/>
          <w:szCs w:val="24"/>
          <w:lang w:val="en-US" w:eastAsia="zh-CN"/>
        </w:rPr>
        <w:t xml:space="preserve"> </w:t>
      </w:r>
      <w:r w:rsidRPr="00A828B6">
        <w:rPr>
          <w:rFonts w:ascii="Book Antiqua" w:hAnsi="Book Antiqua"/>
          <w:sz w:val="24"/>
          <w:szCs w:val="24"/>
          <w:lang w:val="en-US" w:eastAsia="tr-TR"/>
        </w:rPr>
        <w:t>±</w:t>
      </w:r>
      <w:r w:rsidR="00DF414C" w:rsidRPr="00A828B6">
        <w:rPr>
          <w:rFonts w:ascii="Book Antiqua" w:hAnsi="Book Antiqua"/>
          <w:sz w:val="24"/>
          <w:szCs w:val="24"/>
          <w:lang w:val="en-US" w:eastAsia="zh-CN"/>
        </w:rPr>
        <w:t xml:space="preserve"> </w:t>
      </w:r>
      <w:r w:rsidRPr="00A828B6">
        <w:rPr>
          <w:rFonts w:ascii="Book Antiqua" w:hAnsi="Book Antiqua"/>
          <w:sz w:val="24"/>
          <w:szCs w:val="24"/>
          <w:lang w:val="en-US" w:eastAsia="tr-TR"/>
        </w:rPr>
        <w:t xml:space="preserve">15 </w:t>
      </w:r>
      <w:r w:rsidRPr="00A828B6">
        <w:rPr>
          <w:rFonts w:ascii="Book Antiqua" w:hAnsi="Book Antiqua"/>
          <w:i/>
          <w:sz w:val="24"/>
          <w:szCs w:val="24"/>
          <w:lang w:val="en-US" w:eastAsia="tr-TR"/>
        </w:rPr>
        <w:t>vs</w:t>
      </w:r>
      <w:r w:rsidRPr="00A828B6">
        <w:rPr>
          <w:rFonts w:ascii="Book Antiqua" w:hAnsi="Book Antiqua"/>
          <w:sz w:val="24"/>
          <w:szCs w:val="24"/>
          <w:lang w:val="en-US" w:eastAsia="tr-TR"/>
        </w:rPr>
        <w:t xml:space="preserve"> 51.9</w:t>
      </w:r>
      <w:r w:rsidR="00DF414C" w:rsidRPr="00A828B6">
        <w:rPr>
          <w:rFonts w:ascii="Book Antiqua" w:hAnsi="Book Antiqua"/>
          <w:sz w:val="24"/>
          <w:szCs w:val="24"/>
          <w:lang w:val="en-US" w:eastAsia="zh-CN"/>
        </w:rPr>
        <w:t xml:space="preserve"> </w:t>
      </w:r>
      <w:r w:rsidRPr="00A828B6">
        <w:rPr>
          <w:rFonts w:ascii="Book Antiqua" w:hAnsi="Book Antiqua"/>
          <w:sz w:val="24"/>
          <w:szCs w:val="24"/>
          <w:lang w:val="en-US" w:eastAsia="tr-TR"/>
        </w:rPr>
        <w:t>±</w:t>
      </w:r>
      <w:r w:rsidR="00DF414C" w:rsidRPr="00A828B6">
        <w:rPr>
          <w:rFonts w:ascii="Book Antiqua" w:hAnsi="Book Antiqua"/>
          <w:sz w:val="24"/>
          <w:szCs w:val="24"/>
          <w:lang w:val="en-US" w:eastAsia="zh-CN"/>
        </w:rPr>
        <w:t xml:space="preserve"> </w:t>
      </w:r>
      <w:r w:rsidRPr="00A828B6">
        <w:rPr>
          <w:rFonts w:ascii="Book Antiqua" w:hAnsi="Book Antiqua"/>
          <w:sz w:val="24"/>
          <w:szCs w:val="24"/>
          <w:lang w:val="en-US" w:eastAsia="tr-TR"/>
        </w:rPr>
        <w:t>13.8</w:t>
      </w:r>
      <w:r w:rsidR="00555C6D" w:rsidRPr="00A828B6">
        <w:rPr>
          <w:rFonts w:ascii="Book Antiqua" w:hAnsi="Book Antiqua"/>
          <w:sz w:val="24"/>
          <w:szCs w:val="24"/>
          <w:lang w:val="en-US" w:eastAsia="tr-TR"/>
        </w:rPr>
        <w:t xml:space="preserve"> years</w:t>
      </w:r>
      <w:r w:rsidRPr="00A828B6">
        <w:rPr>
          <w:rFonts w:ascii="Book Antiqua" w:hAnsi="Book Antiqua"/>
          <w:sz w:val="24"/>
          <w:szCs w:val="24"/>
          <w:lang w:val="en-US" w:eastAsia="tr-TR"/>
        </w:rPr>
        <w:t>, respectively</w:t>
      </w:r>
      <w:r w:rsidR="00DF414C" w:rsidRPr="00A828B6">
        <w:rPr>
          <w:rFonts w:ascii="Book Antiqua" w:hAnsi="Book Antiqua"/>
          <w:sz w:val="24"/>
          <w:szCs w:val="24"/>
          <w:lang w:val="en-US" w:eastAsia="zh-CN"/>
        </w:rPr>
        <w:t xml:space="preserve">, </w:t>
      </w:r>
      <w:r w:rsidR="00C013A9" w:rsidRPr="00A828B6">
        <w:rPr>
          <w:rFonts w:ascii="Book Antiqua" w:hAnsi="Book Antiqua"/>
          <w:i/>
          <w:sz w:val="24"/>
          <w:szCs w:val="24"/>
          <w:lang w:val="en-US" w:eastAsia="tr-TR"/>
        </w:rPr>
        <w:t>P</w:t>
      </w:r>
      <w:r w:rsidR="00DF414C" w:rsidRPr="00A828B6">
        <w:rPr>
          <w:rFonts w:ascii="Book Antiqua" w:hAnsi="Book Antiqua"/>
          <w:i/>
          <w:sz w:val="24"/>
          <w:szCs w:val="24"/>
          <w:lang w:val="en-US" w:eastAsia="zh-CN"/>
        </w:rPr>
        <w:t xml:space="preserve"> </w:t>
      </w:r>
      <w:r w:rsidRPr="00A828B6">
        <w:rPr>
          <w:rFonts w:ascii="Book Antiqua" w:hAnsi="Book Antiqua"/>
          <w:sz w:val="24"/>
          <w:szCs w:val="24"/>
          <w:lang w:val="en-US" w:eastAsia="tr-TR"/>
        </w:rPr>
        <w:t>&lt; 0.05)</w:t>
      </w:r>
      <w:r w:rsidR="00893637" w:rsidRPr="00A828B6">
        <w:rPr>
          <w:rFonts w:ascii="Book Antiqua" w:hAnsi="Book Antiqua"/>
          <w:sz w:val="24"/>
          <w:szCs w:val="24"/>
          <w:lang w:val="en-US" w:eastAsia="tr-TR"/>
        </w:rPr>
        <w:t xml:space="preserve">, </w:t>
      </w:r>
      <w:r w:rsidRPr="00A828B6">
        <w:rPr>
          <w:rFonts w:ascii="Book Antiqua" w:hAnsi="Book Antiqua"/>
          <w:sz w:val="24"/>
          <w:szCs w:val="24"/>
          <w:lang w:val="en-US" w:eastAsia="tr-TR"/>
        </w:rPr>
        <w:t>with and without HCC (</w:t>
      </w:r>
      <w:r w:rsidR="002E4767" w:rsidRPr="00A828B6">
        <w:rPr>
          <w:rFonts w:ascii="Book Antiqua" w:hAnsi="Book Antiqua"/>
          <w:sz w:val="24"/>
          <w:szCs w:val="24"/>
          <w:lang w:val="en-US" w:eastAsia="tr-TR"/>
        </w:rPr>
        <w:t>62.7</w:t>
      </w:r>
      <w:r w:rsidR="00DF414C" w:rsidRPr="00A828B6">
        <w:rPr>
          <w:rFonts w:ascii="Book Antiqua" w:hAnsi="Book Antiqua"/>
          <w:sz w:val="24"/>
          <w:szCs w:val="24"/>
          <w:lang w:val="en-US" w:eastAsia="zh-CN"/>
        </w:rPr>
        <w:t xml:space="preserve"> </w:t>
      </w:r>
      <w:r w:rsidR="002E4767" w:rsidRPr="00A828B6">
        <w:rPr>
          <w:rFonts w:ascii="Book Antiqua" w:hAnsi="Book Antiqua"/>
          <w:sz w:val="24"/>
          <w:szCs w:val="24"/>
          <w:lang w:val="en-US" w:eastAsia="tr-TR"/>
        </w:rPr>
        <w:t>±</w:t>
      </w:r>
      <w:r w:rsidR="00DF414C" w:rsidRPr="00A828B6">
        <w:rPr>
          <w:rFonts w:ascii="Book Antiqua" w:hAnsi="Book Antiqua"/>
          <w:sz w:val="24"/>
          <w:szCs w:val="24"/>
          <w:lang w:val="en-US" w:eastAsia="zh-CN"/>
        </w:rPr>
        <w:t xml:space="preserve"> </w:t>
      </w:r>
      <w:r w:rsidR="002E4767" w:rsidRPr="00A828B6">
        <w:rPr>
          <w:rFonts w:ascii="Book Antiqua" w:hAnsi="Book Antiqua"/>
          <w:sz w:val="24"/>
          <w:szCs w:val="24"/>
          <w:lang w:val="en-US" w:eastAsia="tr-TR"/>
        </w:rPr>
        <w:t xml:space="preserve">9.7 </w:t>
      </w:r>
      <w:r w:rsidR="002E4767" w:rsidRPr="00A828B6">
        <w:rPr>
          <w:rFonts w:ascii="Book Antiqua" w:hAnsi="Book Antiqua"/>
          <w:i/>
          <w:sz w:val="24"/>
          <w:szCs w:val="24"/>
          <w:lang w:val="en-US" w:eastAsia="tr-TR"/>
        </w:rPr>
        <w:t>vs</w:t>
      </w:r>
      <w:r w:rsidR="002E4767" w:rsidRPr="00A828B6">
        <w:rPr>
          <w:rFonts w:ascii="Book Antiqua" w:hAnsi="Book Antiqua"/>
          <w:sz w:val="24"/>
          <w:szCs w:val="24"/>
          <w:lang w:val="en-US" w:eastAsia="tr-TR"/>
        </w:rPr>
        <w:t xml:space="preserve"> 54.6</w:t>
      </w:r>
      <w:r w:rsidR="00DF414C" w:rsidRPr="00A828B6">
        <w:rPr>
          <w:rFonts w:ascii="Book Antiqua" w:hAnsi="Book Antiqua"/>
          <w:sz w:val="24"/>
          <w:szCs w:val="24"/>
          <w:lang w:val="en-US" w:eastAsia="zh-CN"/>
        </w:rPr>
        <w:t xml:space="preserve"> </w:t>
      </w:r>
      <w:r w:rsidR="002E4767" w:rsidRPr="00A828B6">
        <w:rPr>
          <w:rFonts w:ascii="Book Antiqua" w:hAnsi="Book Antiqua"/>
          <w:sz w:val="24"/>
          <w:szCs w:val="24"/>
          <w:lang w:val="en-US" w:eastAsia="tr-TR"/>
        </w:rPr>
        <w:t>±</w:t>
      </w:r>
      <w:r w:rsidR="00DF414C" w:rsidRPr="00A828B6">
        <w:rPr>
          <w:rFonts w:ascii="Book Antiqua" w:hAnsi="Book Antiqua"/>
          <w:sz w:val="24"/>
          <w:szCs w:val="24"/>
          <w:lang w:val="en-US" w:eastAsia="zh-CN"/>
        </w:rPr>
        <w:t xml:space="preserve"> </w:t>
      </w:r>
      <w:r w:rsidR="002E4767" w:rsidRPr="00A828B6">
        <w:rPr>
          <w:rFonts w:ascii="Book Antiqua" w:hAnsi="Book Antiqua"/>
          <w:sz w:val="24"/>
          <w:szCs w:val="24"/>
          <w:lang w:val="en-US" w:eastAsia="tr-TR"/>
        </w:rPr>
        <w:t>15.4 years</w:t>
      </w:r>
      <w:r w:rsidRPr="00A828B6">
        <w:rPr>
          <w:rFonts w:ascii="Book Antiqua" w:hAnsi="Book Antiqua"/>
          <w:sz w:val="24"/>
          <w:szCs w:val="24"/>
          <w:lang w:val="en-US" w:eastAsia="tr-TR"/>
        </w:rPr>
        <w:t>, respectively</w:t>
      </w:r>
      <w:r w:rsidR="000E6621">
        <w:rPr>
          <w:rFonts w:ascii="Book Antiqua" w:hAnsi="Book Antiqua" w:hint="eastAsia"/>
          <w:sz w:val="24"/>
          <w:szCs w:val="24"/>
          <w:lang w:val="en-US" w:eastAsia="zh-CN"/>
        </w:rPr>
        <w:t>,</w:t>
      </w:r>
      <w:r w:rsidRPr="00A828B6">
        <w:rPr>
          <w:rFonts w:ascii="Book Antiqua" w:hAnsi="Book Antiqua"/>
          <w:sz w:val="24"/>
          <w:szCs w:val="24"/>
          <w:lang w:val="en-US" w:eastAsia="tr-TR"/>
        </w:rPr>
        <w:t xml:space="preserve"> </w:t>
      </w:r>
      <w:r w:rsidR="00C013A9" w:rsidRPr="00A828B6">
        <w:rPr>
          <w:rFonts w:ascii="Book Antiqua" w:hAnsi="Book Antiqua"/>
          <w:i/>
          <w:sz w:val="24"/>
          <w:szCs w:val="24"/>
          <w:lang w:val="en-US" w:eastAsia="tr-TR"/>
        </w:rPr>
        <w:t>P</w:t>
      </w:r>
      <w:r w:rsidR="00DF414C" w:rsidRPr="00A828B6">
        <w:rPr>
          <w:rFonts w:ascii="Book Antiqua" w:hAnsi="Book Antiqua"/>
          <w:sz w:val="24"/>
          <w:szCs w:val="24"/>
          <w:lang w:val="en-US" w:eastAsia="zh-CN"/>
        </w:rPr>
        <w:t xml:space="preserve"> =</w:t>
      </w:r>
      <w:r w:rsidR="00827A82" w:rsidRPr="00A828B6">
        <w:rPr>
          <w:rFonts w:ascii="Book Antiqua" w:hAnsi="Book Antiqua"/>
          <w:sz w:val="24"/>
          <w:szCs w:val="24"/>
          <w:lang w:val="en-US" w:eastAsia="tr-TR"/>
        </w:rPr>
        <w:t xml:space="preserve"> </w:t>
      </w:r>
      <w:r w:rsidR="002E4767" w:rsidRPr="00A828B6">
        <w:rPr>
          <w:rFonts w:ascii="Book Antiqua" w:hAnsi="Book Antiqua"/>
          <w:sz w:val="24"/>
          <w:szCs w:val="24"/>
          <w:lang w:val="en-US" w:eastAsia="tr-TR"/>
        </w:rPr>
        <w:t>0.001)</w:t>
      </w:r>
      <w:r w:rsidR="009E671B" w:rsidRPr="00A828B6">
        <w:rPr>
          <w:rFonts w:ascii="Book Antiqua" w:hAnsi="Book Antiqua"/>
          <w:sz w:val="24"/>
          <w:szCs w:val="24"/>
          <w:lang w:val="en-US" w:eastAsia="tr-TR"/>
        </w:rPr>
        <w:t xml:space="preserve"> </w:t>
      </w:r>
      <w:r w:rsidR="002E4767" w:rsidRPr="00A828B6">
        <w:rPr>
          <w:rFonts w:ascii="Book Antiqua" w:hAnsi="Book Antiqua"/>
          <w:sz w:val="24"/>
          <w:szCs w:val="24"/>
          <w:lang w:val="en-US" w:eastAsia="tr-TR"/>
        </w:rPr>
        <w:t xml:space="preserve">and </w:t>
      </w:r>
      <w:r w:rsidRPr="00A828B6">
        <w:rPr>
          <w:rFonts w:ascii="Book Antiqua" w:hAnsi="Book Antiqua"/>
          <w:sz w:val="24"/>
          <w:szCs w:val="24"/>
          <w:lang w:val="en-US" w:eastAsia="tr-TR"/>
        </w:rPr>
        <w:t xml:space="preserve">the </w:t>
      </w:r>
      <w:r w:rsidR="00421F69" w:rsidRPr="00A828B6">
        <w:rPr>
          <w:rFonts w:ascii="Book Antiqua" w:hAnsi="Book Antiqua"/>
          <w:sz w:val="24"/>
          <w:szCs w:val="24"/>
          <w:lang w:val="en-US" w:eastAsia="tr-TR"/>
        </w:rPr>
        <w:t xml:space="preserve">mean </w:t>
      </w:r>
      <w:r w:rsidRPr="00A828B6">
        <w:rPr>
          <w:rFonts w:ascii="Book Antiqua" w:hAnsi="Book Antiqua"/>
          <w:sz w:val="24"/>
          <w:szCs w:val="24"/>
          <w:lang w:val="en-US" w:eastAsia="tr-TR"/>
        </w:rPr>
        <w:t xml:space="preserve">age of patients </w:t>
      </w:r>
      <w:r w:rsidR="00421F69" w:rsidRPr="00A828B6">
        <w:rPr>
          <w:rFonts w:ascii="Book Antiqua" w:hAnsi="Book Antiqua"/>
          <w:sz w:val="24"/>
          <w:szCs w:val="24"/>
          <w:lang w:val="en-US" w:eastAsia="tr-TR"/>
        </w:rPr>
        <w:t xml:space="preserve">that have died </w:t>
      </w:r>
      <w:r w:rsidRPr="00A828B6">
        <w:rPr>
          <w:rFonts w:ascii="Book Antiqua" w:hAnsi="Book Antiqua"/>
          <w:sz w:val="24"/>
          <w:szCs w:val="24"/>
          <w:lang w:val="en-US" w:eastAsia="tr-TR"/>
        </w:rPr>
        <w:t xml:space="preserve">and </w:t>
      </w:r>
      <w:r w:rsidR="00421F69" w:rsidRPr="00A828B6">
        <w:rPr>
          <w:rFonts w:ascii="Book Antiqua" w:hAnsi="Book Antiqua"/>
          <w:sz w:val="24"/>
          <w:szCs w:val="24"/>
          <w:lang w:val="en-US" w:eastAsia="tr-TR"/>
        </w:rPr>
        <w:t xml:space="preserve">those that are </w:t>
      </w:r>
      <w:r w:rsidRPr="00A828B6">
        <w:rPr>
          <w:rFonts w:ascii="Book Antiqua" w:hAnsi="Book Antiqua"/>
          <w:sz w:val="24"/>
          <w:szCs w:val="24"/>
          <w:lang w:val="en-US" w:eastAsia="tr-TR"/>
        </w:rPr>
        <w:t>still aliv</w:t>
      </w:r>
      <w:r w:rsidR="00421F69" w:rsidRPr="00A828B6">
        <w:rPr>
          <w:rFonts w:ascii="Book Antiqua" w:hAnsi="Book Antiqua"/>
          <w:sz w:val="24"/>
          <w:szCs w:val="24"/>
          <w:lang w:val="en-US" w:eastAsia="tr-TR"/>
        </w:rPr>
        <w:t>e</w:t>
      </w:r>
      <w:r w:rsidRPr="00A828B6">
        <w:rPr>
          <w:rFonts w:ascii="Book Antiqua" w:hAnsi="Book Antiqua"/>
          <w:sz w:val="24"/>
          <w:szCs w:val="24"/>
          <w:lang w:val="en-US" w:eastAsia="tr-TR"/>
        </w:rPr>
        <w:t xml:space="preserve"> (</w:t>
      </w:r>
      <w:r w:rsidR="002E4767" w:rsidRPr="00A828B6">
        <w:rPr>
          <w:rFonts w:ascii="Book Antiqua" w:hAnsi="Book Antiqua"/>
          <w:sz w:val="24"/>
          <w:szCs w:val="24"/>
          <w:lang w:val="en-US" w:eastAsia="tr-TR"/>
        </w:rPr>
        <w:t>61.1</w:t>
      </w:r>
      <w:r w:rsidR="00DF414C" w:rsidRPr="00A828B6">
        <w:rPr>
          <w:rFonts w:ascii="Book Antiqua" w:hAnsi="Book Antiqua"/>
          <w:sz w:val="24"/>
          <w:szCs w:val="24"/>
          <w:lang w:val="en-US" w:eastAsia="zh-CN"/>
        </w:rPr>
        <w:t xml:space="preserve"> </w:t>
      </w:r>
      <w:r w:rsidR="002E4767" w:rsidRPr="00A828B6">
        <w:rPr>
          <w:rFonts w:ascii="Book Antiqua" w:hAnsi="Book Antiqua"/>
          <w:sz w:val="24"/>
          <w:szCs w:val="24"/>
          <w:lang w:val="en-US" w:eastAsia="tr-TR"/>
        </w:rPr>
        <w:t>±</w:t>
      </w:r>
      <w:r w:rsidR="00DF414C" w:rsidRPr="00A828B6">
        <w:rPr>
          <w:rFonts w:ascii="Book Antiqua" w:hAnsi="Book Antiqua"/>
          <w:sz w:val="24"/>
          <w:szCs w:val="24"/>
          <w:lang w:val="en-US" w:eastAsia="zh-CN"/>
        </w:rPr>
        <w:t xml:space="preserve"> </w:t>
      </w:r>
      <w:r w:rsidR="00774FE4" w:rsidRPr="00A828B6">
        <w:rPr>
          <w:rFonts w:ascii="Book Antiqua" w:hAnsi="Book Antiqua"/>
          <w:sz w:val="24"/>
          <w:szCs w:val="24"/>
          <w:lang w:val="en-US" w:eastAsia="tr-TR"/>
        </w:rPr>
        <w:t xml:space="preserve">13.3 </w:t>
      </w:r>
      <w:r w:rsidR="00774FE4" w:rsidRPr="00A828B6">
        <w:rPr>
          <w:rFonts w:ascii="Book Antiqua" w:hAnsi="Book Antiqua"/>
          <w:i/>
          <w:sz w:val="24"/>
          <w:szCs w:val="24"/>
          <w:lang w:val="en-US" w:eastAsia="tr-TR"/>
        </w:rPr>
        <w:t>vs</w:t>
      </w:r>
      <w:r w:rsidR="00774FE4" w:rsidRPr="00A828B6">
        <w:rPr>
          <w:rFonts w:ascii="Book Antiqua" w:hAnsi="Book Antiqua"/>
          <w:sz w:val="24"/>
          <w:szCs w:val="24"/>
          <w:lang w:val="en-US" w:eastAsia="tr-TR"/>
        </w:rPr>
        <w:t xml:space="preserve"> 51.8</w:t>
      </w:r>
      <w:r w:rsidR="00DF414C" w:rsidRPr="00A828B6">
        <w:rPr>
          <w:rFonts w:ascii="Book Antiqua" w:hAnsi="Book Antiqua"/>
          <w:sz w:val="24"/>
          <w:szCs w:val="24"/>
          <w:lang w:val="en-US" w:eastAsia="zh-CN"/>
        </w:rPr>
        <w:t xml:space="preserve"> </w:t>
      </w:r>
      <w:r w:rsidR="002E4767" w:rsidRPr="00A828B6">
        <w:rPr>
          <w:rFonts w:ascii="Book Antiqua" w:hAnsi="Book Antiqua"/>
          <w:sz w:val="24"/>
          <w:szCs w:val="24"/>
          <w:lang w:val="en-US" w:eastAsia="tr-TR"/>
        </w:rPr>
        <w:t>±</w:t>
      </w:r>
      <w:r w:rsidR="00DF414C" w:rsidRPr="00A828B6">
        <w:rPr>
          <w:rFonts w:ascii="Book Antiqua" w:hAnsi="Book Antiqua"/>
          <w:sz w:val="24"/>
          <w:szCs w:val="24"/>
          <w:lang w:val="en-US" w:eastAsia="zh-CN"/>
        </w:rPr>
        <w:t xml:space="preserve"> </w:t>
      </w:r>
      <w:r w:rsidR="008541EA" w:rsidRPr="00A828B6">
        <w:rPr>
          <w:rFonts w:ascii="Book Antiqua" w:hAnsi="Book Antiqua"/>
          <w:sz w:val="24"/>
          <w:szCs w:val="24"/>
          <w:lang w:val="en-US" w:eastAsia="tr-TR"/>
        </w:rPr>
        <w:t>15 years</w:t>
      </w:r>
      <w:r w:rsidRPr="00A828B6">
        <w:rPr>
          <w:rFonts w:ascii="Book Antiqua" w:hAnsi="Book Antiqua"/>
          <w:sz w:val="24"/>
          <w:szCs w:val="24"/>
          <w:lang w:val="en-US" w:eastAsia="tr-TR"/>
        </w:rPr>
        <w:t xml:space="preserve">, respectively; </w:t>
      </w:r>
      <w:r w:rsidR="00C013A9" w:rsidRPr="00A828B6">
        <w:rPr>
          <w:rFonts w:ascii="Book Antiqua" w:hAnsi="Book Antiqua"/>
          <w:i/>
          <w:sz w:val="24"/>
          <w:szCs w:val="24"/>
          <w:lang w:val="en-US" w:eastAsia="tr-TR"/>
        </w:rPr>
        <w:t>P</w:t>
      </w:r>
      <w:r w:rsidR="00DF414C" w:rsidRPr="00A828B6">
        <w:rPr>
          <w:rFonts w:ascii="Book Antiqua" w:hAnsi="Book Antiqua"/>
          <w:i/>
          <w:sz w:val="24"/>
          <w:szCs w:val="24"/>
          <w:lang w:val="en-US" w:eastAsia="zh-CN"/>
        </w:rPr>
        <w:t xml:space="preserve"> </w:t>
      </w:r>
      <w:r w:rsidR="008541EA" w:rsidRPr="00A828B6">
        <w:rPr>
          <w:rFonts w:ascii="Book Antiqua" w:hAnsi="Book Antiqua"/>
          <w:sz w:val="24"/>
          <w:szCs w:val="24"/>
          <w:lang w:val="en-US" w:eastAsia="tr-TR"/>
        </w:rPr>
        <w:t>&lt;</w:t>
      </w:r>
      <w:r w:rsidR="00DF414C" w:rsidRPr="00A828B6">
        <w:rPr>
          <w:rFonts w:ascii="Book Antiqua" w:hAnsi="Book Antiqua"/>
          <w:sz w:val="24"/>
          <w:szCs w:val="24"/>
          <w:lang w:val="en-US" w:eastAsia="zh-CN"/>
        </w:rPr>
        <w:t xml:space="preserve"> </w:t>
      </w:r>
      <w:r w:rsidR="00774FE4" w:rsidRPr="00A828B6">
        <w:rPr>
          <w:rFonts w:ascii="Book Antiqua" w:hAnsi="Book Antiqua"/>
          <w:sz w:val="24"/>
          <w:szCs w:val="24"/>
          <w:lang w:val="en-US" w:eastAsia="tr-TR"/>
        </w:rPr>
        <w:t>0.0001)</w:t>
      </w:r>
      <w:r w:rsidR="001576B3" w:rsidRPr="00A828B6">
        <w:rPr>
          <w:rFonts w:ascii="Book Antiqua" w:hAnsi="Book Antiqua"/>
          <w:sz w:val="24"/>
          <w:szCs w:val="24"/>
          <w:lang w:val="en-US" w:eastAsia="tr-TR"/>
        </w:rPr>
        <w:t xml:space="preserve">. </w:t>
      </w:r>
      <w:r w:rsidR="00421F69" w:rsidRPr="00A828B6">
        <w:rPr>
          <w:rFonts w:ascii="Book Antiqua" w:hAnsi="Book Antiqua"/>
          <w:sz w:val="24"/>
          <w:szCs w:val="24"/>
          <w:lang w:val="en-US" w:eastAsia="tr-TR"/>
        </w:rPr>
        <w:t>However, there was no difference in the mean age of patients with and without fundic varices (54.9</w:t>
      </w:r>
      <w:r w:rsidR="00DF414C" w:rsidRPr="00A828B6">
        <w:rPr>
          <w:rFonts w:ascii="Book Antiqua" w:hAnsi="Book Antiqua"/>
          <w:sz w:val="24"/>
          <w:szCs w:val="24"/>
          <w:lang w:val="en-US" w:eastAsia="zh-CN"/>
        </w:rPr>
        <w:t xml:space="preserve"> </w:t>
      </w:r>
      <w:r w:rsidR="00421F69" w:rsidRPr="00A828B6">
        <w:rPr>
          <w:rFonts w:ascii="Book Antiqua" w:hAnsi="Book Antiqua"/>
          <w:sz w:val="24"/>
          <w:szCs w:val="24"/>
          <w:lang w:val="en-US" w:eastAsia="tr-TR"/>
        </w:rPr>
        <w:t>±</w:t>
      </w:r>
      <w:r w:rsidR="00DF414C" w:rsidRPr="00A828B6">
        <w:rPr>
          <w:rFonts w:ascii="Book Antiqua" w:hAnsi="Book Antiqua"/>
          <w:sz w:val="24"/>
          <w:szCs w:val="24"/>
          <w:lang w:val="en-US" w:eastAsia="zh-CN"/>
        </w:rPr>
        <w:t xml:space="preserve"> </w:t>
      </w:r>
      <w:r w:rsidR="00421F69" w:rsidRPr="00A828B6">
        <w:rPr>
          <w:rFonts w:ascii="Book Antiqua" w:hAnsi="Book Antiqua"/>
          <w:sz w:val="24"/>
          <w:szCs w:val="24"/>
          <w:lang w:val="en-US" w:eastAsia="tr-TR"/>
        </w:rPr>
        <w:t xml:space="preserve">15.3 </w:t>
      </w:r>
      <w:r w:rsidR="00421F69" w:rsidRPr="00A828B6">
        <w:rPr>
          <w:rFonts w:ascii="Book Antiqua" w:hAnsi="Book Antiqua"/>
          <w:i/>
          <w:sz w:val="24"/>
          <w:szCs w:val="24"/>
          <w:lang w:val="en-US" w:eastAsia="tr-TR"/>
        </w:rPr>
        <w:t>vs</w:t>
      </w:r>
      <w:r w:rsidR="00421F69" w:rsidRPr="00A828B6">
        <w:rPr>
          <w:rFonts w:ascii="Book Antiqua" w:hAnsi="Book Antiqua"/>
          <w:sz w:val="24"/>
          <w:szCs w:val="24"/>
          <w:lang w:val="en-US" w:eastAsia="tr-TR"/>
        </w:rPr>
        <w:t xml:space="preserve"> 56.5</w:t>
      </w:r>
      <w:r w:rsidR="00DF414C" w:rsidRPr="00A828B6">
        <w:rPr>
          <w:rFonts w:ascii="Book Antiqua" w:hAnsi="Book Antiqua"/>
          <w:sz w:val="24"/>
          <w:szCs w:val="24"/>
          <w:lang w:val="en-US" w:eastAsia="zh-CN"/>
        </w:rPr>
        <w:t xml:space="preserve"> </w:t>
      </w:r>
      <w:r w:rsidR="00421F69" w:rsidRPr="00A828B6">
        <w:rPr>
          <w:rFonts w:ascii="Book Antiqua" w:hAnsi="Book Antiqua"/>
          <w:sz w:val="24"/>
          <w:szCs w:val="24"/>
          <w:lang w:val="en-US" w:eastAsia="tr-TR"/>
        </w:rPr>
        <w:t>±</w:t>
      </w:r>
      <w:r w:rsidR="00DF414C" w:rsidRPr="00A828B6">
        <w:rPr>
          <w:rFonts w:ascii="Book Antiqua" w:hAnsi="Book Antiqua"/>
          <w:sz w:val="24"/>
          <w:szCs w:val="24"/>
          <w:lang w:val="en-US" w:eastAsia="zh-CN"/>
        </w:rPr>
        <w:t xml:space="preserve"> </w:t>
      </w:r>
      <w:r w:rsidR="00421F69" w:rsidRPr="00A828B6">
        <w:rPr>
          <w:rFonts w:ascii="Book Antiqua" w:hAnsi="Book Antiqua"/>
          <w:sz w:val="24"/>
          <w:szCs w:val="24"/>
          <w:lang w:val="en-US" w:eastAsia="tr-TR"/>
        </w:rPr>
        <w:t>14.8 years, respectively</w:t>
      </w:r>
      <w:r w:rsidR="00DF414C" w:rsidRPr="00A828B6">
        <w:rPr>
          <w:rFonts w:ascii="Book Antiqua" w:hAnsi="Book Antiqua"/>
          <w:sz w:val="24"/>
          <w:szCs w:val="24"/>
          <w:lang w:val="en-US" w:eastAsia="zh-CN"/>
        </w:rPr>
        <w:t>,</w:t>
      </w:r>
      <w:r w:rsidR="00421F69" w:rsidRPr="00A828B6">
        <w:rPr>
          <w:rFonts w:ascii="Book Antiqua" w:hAnsi="Book Antiqua"/>
          <w:sz w:val="24"/>
          <w:szCs w:val="24"/>
          <w:lang w:val="en-US" w:eastAsia="tr-TR"/>
        </w:rPr>
        <w:t xml:space="preserve"> </w:t>
      </w:r>
      <w:r w:rsidR="00CB70D6" w:rsidRPr="00A828B6">
        <w:rPr>
          <w:rFonts w:ascii="Book Antiqua" w:hAnsi="Book Antiqua"/>
          <w:i/>
          <w:sz w:val="24"/>
          <w:szCs w:val="24"/>
          <w:lang w:val="en-US" w:eastAsia="tr-TR"/>
        </w:rPr>
        <w:t>P</w:t>
      </w:r>
      <w:r w:rsidR="00DF414C" w:rsidRPr="00A828B6">
        <w:rPr>
          <w:rFonts w:ascii="Book Antiqua" w:hAnsi="Book Antiqua"/>
          <w:i/>
          <w:sz w:val="24"/>
          <w:szCs w:val="24"/>
          <w:lang w:val="en-US" w:eastAsia="zh-CN"/>
        </w:rPr>
        <w:t xml:space="preserve"> </w:t>
      </w:r>
      <w:r w:rsidR="00421F69" w:rsidRPr="00A828B6">
        <w:rPr>
          <w:rFonts w:ascii="Book Antiqua" w:hAnsi="Book Antiqua"/>
          <w:sz w:val="24"/>
          <w:szCs w:val="24"/>
          <w:lang w:val="en-US" w:eastAsia="tr-TR"/>
        </w:rPr>
        <w:t>&gt; 0.05).</w:t>
      </w:r>
    </w:p>
    <w:p w14:paraId="3A52625A" w14:textId="77777777" w:rsidR="00B57A98" w:rsidRPr="00A828B6" w:rsidRDefault="00B57A98" w:rsidP="001A5A01">
      <w:pPr>
        <w:spacing w:after="0" w:line="360" w:lineRule="auto"/>
        <w:ind w:firstLine="360"/>
        <w:jc w:val="both"/>
        <w:rPr>
          <w:rFonts w:ascii="Book Antiqua" w:hAnsi="Book Antiqua"/>
          <w:sz w:val="24"/>
          <w:szCs w:val="24"/>
          <w:lang w:val="en-US" w:eastAsia="tr-TR"/>
        </w:rPr>
      </w:pPr>
    </w:p>
    <w:p w14:paraId="0593EAD8" w14:textId="56B153D2" w:rsidR="00DF74BF" w:rsidRPr="00A828B6" w:rsidRDefault="00DF414C" w:rsidP="001A5A01">
      <w:pPr>
        <w:spacing w:after="0" w:line="360" w:lineRule="auto"/>
        <w:jc w:val="both"/>
        <w:rPr>
          <w:rFonts w:ascii="Book Antiqua" w:hAnsi="Book Antiqua"/>
          <w:b/>
          <w:i/>
          <w:sz w:val="24"/>
          <w:szCs w:val="24"/>
          <w:lang w:val="en-US" w:eastAsia="zh-CN"/>
        </w:rPr>
      </w:pPr>
      <w:r w:rsidRPr="00A828B6">
        <w:rPr>
          <w:rFonts w:ascii="Book Antiqua" w:hAnsi="Book Antiqua"/>
          <w:b/>
          <w:i/>
          <w:sz w:val="24"/>
          <w:szCs w:val="24"/>
          <w:lang w:val="en-US" w:eastAsia="tr-TR"/>
        </w:rPr>
        <w:lastRenderedPageBreak/>
        <w:t>PVT</w:t>
      </w:r>
    </w:p>
    <w:p w14:paraId="16A51346" w14:textId="60750B3E" w:rsidR="00EF23BE" w:rsidRPr="00A828B6" w:rsidRDefault="005639C4" w:rsidP="001A5A01">
      <w:pPr>
        <w:spacing w:after="0" w:line="360" w:lineRule="auto"/>
        <w:jc w:val="both"/>
        <w:rPr>
          <w:rFonts w:ascii="Book Antiqua" w:hAnsi="Book Antiqua"/>
          <w:sz w:val="24"/>
          <w:szCs w:val="24"/>
          <w:lang w:val="en-US" w:eastAsia="tr-TR"/>
        </w:rPr>
      </w:pPr>
      <w:r w:rsidRPr="00A828B6">
        <w:rPr>
          <w:rFonts w:ascii="Book Antiqua" w:hAnsi="Book Antiqua"/>
          <w:sz w:val="24"/>
          <w:szCs w:val="24"/>
          <w:lang w:val="en-US" w:eastAsia="tr-TR"/>
        </w:rPr>
        <w:t>T</w:t>
      </w:r>
      <w:r w:rsidR="00BA6798" w:rsidRPr="00A828B6">
        <w:rPr>
          <w:rFonts w:ascii="Book Antiqua" w:hAnsi="Book Antiqua"/>
          <w:sz w:val="24"/>
          <w:szCs w:val="24"/>
          <w:lang w:val="en-US" w:eastAsia="tr-TR"/>
        </w:rPr>
        <w:t xml:space="preserve">he </w:t>
      </w:r>
      <w:r w:rsidR="003115AB" w:rsidRPr="00A828B6">
        <w:rPr>
          <w:rFonts w:ascii="Book Antiqua" w:hAnsi="Book Antiqua"/>
          <w:sz w:val="24"/>
          <w:szCs w:val="24"/>
          <w:lang w:val="en-US" w:eastAsia="tr-TR"/>
        </w:rPr>
        <w:t xml:space="preserve">incidence </w:t>
      </w:r>
      <w:r w:rsidR="00BA6798" w:rsidRPr="00A828B6">
        <w:rPr>
          <w:rFonts w:ascii="Book Antiqua" w:hAnsi="Book Antiqua"/>
          <w:sz w:val="24"/>
          <w:szCs w:val="24"/>
          <w:lang w:val="en-US" w:eastAsia="tr-TR"/>
        </w:rPr>
        <w:t xml:space="preserve">rate of </w:t>
      </w:r>
      <w:r w:rsidR="00A40A8C" w:rsidRPr="00A828B6">
        <w:rPr>
          <w:rFonts w:ascii="Book Antiqua" w:hAnsi="Book Antiqua"/>
          <w:sz w:val="24"/>
          <w:szCs w:val="24"/>
          <w:lang w:val="en-US" w:eastAsia="tr-TR"/>
        </w:rPr>
        <w:t xml:space="preserve">PVT </w:t>
      </w:r>
      <w:r w:rsidR="00BA6798" w:rsidRPr="00A828B6">
        <w:rPr>
          <w:rFonts w:ascii="Book Antiqua" w:hAnsi="Book Antiqua"/>
          <w:sz w:val="24"/>
          <w:szCs w:val="24"/>
          <w:lang w:val="en-US" w:eastAsia="tr-TR"/>
        </w:rPr>
        <w:t>was</w:t>
      </w:r>
      <w:r w:rsidR="009E671B" w:rsidRPr="00A828B6">
        <w:rPr>
          <w:rFonts w:ascii="Book Antiqua" w:hAnsi="Book Antiqua"/>
          <w:sz w:val="24"/>
          <w:szCs w:val="24"/>
          <w:lang w:val="en-US" w:eastAsia="tr-TR"/>
        </w:rPr>
        <w:t xml:space="preserve"> </w:t>
      </w:r>
      <w:r w:rsidR="00594474" w:rsidRPr="00A828B6">
        <w:rPr>
          <w:rFonts w:ascii="Book Antiqua" w:hAnsi="Book Antiqua"/>
          <w:sz w:val="24"/>
          <w:szCs w:val="24"/>
          <w:lang w:val="en-US" w:eastAsia="tr-TR"/>
        </w:rPr>
        <w:t>41.9%</w:t>
      </w:r>
      <w:r w:rsidR="009E671B" w:rsidRPr="00A828B6">
        <w:rPr>
          <w:rFonts w:ascii="Book Antiqua" w:hAnsi="Book Antiqua"/>
          <w:sz w:val="24"/>
          <w:szCs w:val="24"/>
          <w:lang w:val="en-US" w:eastAsia="tr-TR"/>
        </w:rPr>
        <w:t xml:space="preserve"> </w:t>
      </w:r>
      <w:r w:rsidR="000B14C8" w:rsidRPr="00A828B6">
        <w:rPr>
          <w:rFonts w:ascii="Book Antiqua" w:hAnsi="Book Antiqua"/>
          <w:sz w:val="24"/>
          <w:szCs w:val="24"/>
          <w:lang w:val="en-US" w:eastAsia="tr-TR"/>
        </w:rPr>
        <w:t>(</w:t>
      </w:r>
      <w:r w:rsidR="009A6C54" w:rsidRPr="00A828B6">
        <w:rPr>
          <w:rFonts w:ascii="Book Antiqua" w:hAnsi="Book Antiqua"/>
          <w:sz w:val="24"/>
          <w:szCs w:val="24"/>
          <w:lang w:val="en-US" w:eastAsia="tr-TR"/>
        </w:rPr>
        <w:t>being detected in 108 out of 258 patients with esophageal varices</w:t>
      </w:r>
      <w:r w:rsidR="000B14C8" w:rsidRPr="00A828B6">
        <w:rPr>
          <w:rFonts w:ascii="Book Antiqua" w:hAnsi="Book Antiqua"/>
          <w:sz w:val="24"/>
          <w:szCs w:val="24"/>
          <w:lang w:val="en-US" w:eastAsia="tr-TR"/>
        </w:rPr>
        <w:t>)</w:t>
      </w:r>
      <w:r w:rsidRPr="00A828B6">
        <w:rPr>
          <w:rFonts w:ascii="Book Antiqua" w:hAnsi="Book Antiqua"/>
          <w:sz w:val="24"/>
          <w:szCs w:val="24"/>
          <w:lang w:val="en-US" w:eastAsia="tr-TR"/>
        </w:rPr>
        <w:t xml:space="preserve"> (Table 2)</w:t>
      </w:r>
      <w:r w:rsidR="009A6C54" w:rsidRPr="00A828B6">
        <w:rPr>
          <w:rFonts w:ascii="Book Antiqua" w:hAnsi="Book Antiqua"/>
          <w:sz w:val="24"/>
          <w:szCs w:val="24"/>
          <w:lang w:val="en-US" w:eastAsia="tr-TR"/>
        </w:rPr>
        <w:t xml:space="preserve">. </w:t>
      </w:r>
      <w:r w:rsidR="00341EF6" w:rsidRPr="00A828B6">
        <w:rPr>
          <w:rFonts w:ascii="Book Antiqua" w:hAnsi="Book Antiqua"/>
          <w:sz w:val="24"/>
          <w:szCs w:val="24"/>
          <w:lang w:val="en-US" w:eastAsia="tr-TR"/>
        </w:rPr>
        <w:t>As Fig</w:t>
      </w:r>
      <w:r w:rsidR="00DF414C" w:rsidRPr="00A828B6">
        <w:rPr>
          <w:rFonts w:ascii="Book Antiqua" w:hAnsi="Book Antiqua"/>
          <w:sz w:val="24"/>
          <w:szCs w:val="24"/>
          <w:lang w:val="en-US" w:eastAsia="zh-CN"/>
        </w:rPr>
        <w:t xml:space="preserve">ure </w:t>
      </w:r>
      <w:r w:rsidR="00341EF6" w:rsidRPr="00A828B6">
        <w:rPr>
          <w:rFonts w:ascii="Book Antiqua" w:hAnsi="Book Antiqua"/>
          <w:sz w:val="24"/>
          <w:szCs w:val="24"/>
          <w:lang w:val="en-US" w:eastAsia="tr-TR"/>
        </w:rPr>
        <w:t>1</w:t>
      </w:r>
      <w:r w:rsidR="00FC077C" w:rsidRPr="00A828B6">
        <w:rPr>
          <w:rFonts w:ascii="Book Antiqua" w:hAnsi="Book Antiqua"/>
          <w:sz w:val="24"/>
          <w:szCs w:val="24"/>
          <w:lang w:val="en-US" w:eastAsia="tr-TR"/>
        </w:rPr>
        <w:t xml:space="preserve"> and Table 2</w:t>
      </w:r>
      <w:r w:rsidR="00341EF6" w:rsidRPr="00A828B6">
        <w:rPr>
          <w:rFonts w:ascii="Book Antiqua" w:hAnsi="Book Antiqua"/>
          <w:sz w:val="24"/>
          <w:szCs w:val="24"/>
          <w:lang w:val="en-US" w:eastAsia="tr-TR"/>
        </w:rPr>
        <w:t xml:space="preserve"> indicate, </w:t>
      </w:r>
      <w:r w:rsidR="00BA6798" w:rsidRPr="00A828B6">
        <w:rPr>
          <w:rFonts w:ascii="Book Antiqua" w:hAnsi="Book Antiqua"/>
          <w:sz w:val="24"/>
          <w:szCs w:val="24"/>
          <w:lang w:val="en-US" w:eastAsia="tr-TR"/>
        </w:rPr>
        <w:t xml:space="preserve">PVT </w:t>
      </w:r>
      <w:r w:rsidR="00E243B0" w:rsidRPr="00A828B6">
        <w:rPr>
          <w:rFonts w:ascii="Book Antiqua" w:hAnsi="Book Antiqua"/>
          <w:sz w:val="24"/>
          <w:szCs w:val="24"/>
          <w:lang w:val="en-US" w:eastAsia="tr-TR"/>
        </w:rPr>
        <w:t>was</w:t>
      </w:r>
      <w:r w:rsidR="009E671B" w:rsidRPr="00A828B6">
        <w:rPr>
          <w:rFonts w:ascii="Book Antiqua" w:hAnsi="Book Antiqua"/>
          <w:sz w:val="24"/>
          <w:szCs w:val="24"/>
          <w:lang w:val="en-US" w:eastAsia="tr-TR"/>
        </w:rPr>
        <w:t xml:space="preserve"> </w:t>
      </w:r>
      <w:r w:rsidR="00D62103" w:rsidRPr="00A828B6">
        <w:rPr>
          <w:rFonts w:ascii="Book Antiqua" w:hAnsi="Book Antiqua"/>
          <w:sz w:val="24"/>
          <w:szCs w:val="24"/>
          <w:lang w:val="en-US" w:eastAsia="tr-TR"/>
        </w:rPr>
        <w:t>observed in</w:t>
      </w:r>
      <w:r w:rsidR="009E671B" w:rsidRPr="00A828B6">
        <w:rPr>
          <w:rFonts w:ascii="Book Antiqua" w:hAnsi="Book Antiqua"/>
          <w:sz w:val="24"/>
          <w:szCs w:val="24"/>
          <w:lang w:val="en-US" w:eastAsia="tr-TR"/>
        </w:rPr>
        <w:t xml:space="preserve"> </w:t>
      </w:r>
      <w:r w:rsidR="009B3F9F" w:rsidRPr="00A828B6">
        <w:rPr>
          <w:rFonts w:ascii="Book Antiqua" w:hAnsi="Book Antiqua"/>
          <w:sz w:val="24"/>
          <w:szCs w:val="24"/>
          <w:lang w:val="en-US" w:eastAsia="tr-TR"/>
        </w:rPr>
        <w:t xml:space="preserve">47.5% </w:t>
      </w:r>
      <w:r w:rsidR="00D62103" w:rsidRPr="00A828B6">
        <w:rPr>
          <w:rFonts w:ascii="Book Antiqua" w:hAnsi="Book Antiqua"/>
          <w:sz w:val="24"/>
          <w:szCs w:val="24"/>
          <w:lang w:val="en-US" w:eastAsia="tr-TR"/>
        </w:rPr>
        <w:t xml:space="preserve">of patients with </w:t>
      </w:r>
      <w:r w:rsidR="009B3F9F" w:rsidRPr="00A828B6">
        <w:rPr>
          <w:rFonts w:ascii="Book Antiqua" w:hAnsi="Book Antiqua"/>
          <w:sz w:val="24"/>
          <w:szCs w:val="24"/>
          <w:lang w:val="en-US" w:eastAsia="tr-TR"/>
        </w:rPr>
        <w:t>NAFLD, 29</w:t>
      </w:r>
      <w:r w:rsidR="00341EF6" w:rsidRPr="00A828B6">
        <w:rPr>
          <w:rFonts w:ascii="Book Antiqua" w:hAnsi="Book Antiqua"/>
          <w:sz w:val="24"/>
          <w:szCs w:val="24"/>
          <w:lang w:val="en-US" w:eastAsia="tr-TR"/>
        </w:rPr>
        <w:t>.3</w:t>
      </w:r>
      <w:r w:rsidR="009B3F9F" w:rsidRPr="00A828B6">
        <w:rPr>
          <w:rFonts w:ascii="Book Antiqua" w:hAnsi="Book Antiqua"/>
          <w:sz w:val="24"/>
          <w:szCs w:val="24"/>
          <w:lang w:val="en-US" w:eastAsia="tr-TR"/>
        </w:rPr>
        <w:t xml:space="preserve">% </w:t>
      </w:r>
      <w:r w:rsidR="00DB135C" w:rsidRPr="00A828B6">
        <w:rPr>
          <w:rFonts w:ascii="Book Antiqua" w:hAnsi="Book Antiqua"/>
          <w:sz w:val="24"/>
          <w:szCs w:val="24"/>
          <w:lang w:val="en-US" w:eastAsia="tr-TR"/>
        </w:rPr>
        <w:t xml:space="preserve">of </w:t>
      </w:r>
      <w:r w:rsidR="007B1B3A" w:rsidRPr="00A828B6">
        <w:rPr>
          <w:rFonts w:ascii="Book Antiqua" w:hAnsi="Book Antiqua"/>
          <w:sz w:val="24"/>
          <w:szCs w:val="24"/>
          <w:lang w:val="en-US" w:eastAsia="tr-TR"/>
        </w:rPr>
        <w:t xml:space="preserve">patients with </w:t>
      </w:r>
      <w:r w:rsidR="00D34CCA" w:rsidRPr="00A828B6">
        <w:rPr>
          <w:rFonts w:ascii="Book Antiqua" w:hAnsi="Book Antiqua"/>
          <w:sz w:val="24"/>
          <w:szCs w:val="24"/>
          <w:lang w:val="en-US" w:eastAsia="tr-TR"/>
        </w:rPr>
        <w:t>h</w:t>
      </w:r>
      <w:r w:rsidR="009B3F9F" w:rsidRPr="00A828B6">
        <w:rPr>
          <w:rFonts w:ascii="Book Antiqua" w:hAnsi="Book Antiqua"/>
          <w:sz w:val="24"/>
          <w:szCs w:val="24"/>
          <w:lang w:val="en-US" w:eastAsia="tr-TR"/>
        </w:rPr>
        <w:t>ep</w:t>
      </w:r>
      <w:r w:rsidR="00E243B0" w:rsidRPr="00A828B6">
        <w:rPr>
          <w:rFonts w:ascii="Book Antiqua" w:hAnsi="Book Antiqua"/>
          <w:sz w:val="24"/>
          <w:szCs w:val="24"/>
          <w:lang w:val="en-US" w:eastAsia="tr-TR"/>
        </w:rPr>
        <w:t xml:space="preserve">atitis </w:t>
      </w:r>
      <w:r w:rsidR="009B3F9F" w:rsidRPr="00A828B6">
        <w:rPr>
          <w:rFonts w:ascii="Book Antiqua" w:hAnsi="Book Antiqua"/>
          <w:sz w:val="24"/>
          <w:szCs w:val="24"/>
          <w:lang w:val="en-US" w:eastAsia="tr-TR"/>
        </w:rPr>
        <w:t>B, 17</w:t>
      </w:r>
      <w:r w:rsidR="00341EF6" w:rsidRPr="00A828B6">
        <w:rPr>
          <w:rFonts w:ascii="Book Antiqua" w:hAnsi="Book Antiqua"/>
          <w:sz w:val="24"/>
          <w:szCs w:val="24"/>
          <w:lang w:val="en-US" w:eastAsia="tr-TR"/>
        </w:rPr>
        <w:t>.2</w:t>
      </w:r>
      <w:r w:rsidR="009B3F9F" w:rsidRPr="00A828B6">
        <w:rPr>
          <w:rFonts w:ascii="Book Antiqua" w:hAnsi="Book Antiqua"/>
          <w:sz w:val="24"/>
          <w:szCs w:val="24"/>
          <w:lang w:val="en-US" w:eastAsia="tr-TR"/>
        </w:rPr>
        <w:t xml:space="preserve">% </w:t>
      </w:r>
      <w:r w:rsidR="00DB135C" w:rsidRPr="00A828B6">
        <w:rPr>
          <w:rFonts w:ascii="Book Antiqua" w:hAnsi="Book Antiqua"/>
          <w:sz w:val="24"/>
          <w:szCs w:val="24"/>
          <w:lang w:val="en-US" w:eastAsia="tr-TR"/>
        </w:rPr>
        <w:t xml:space="preserve">of </w:t>
      </w:r>
      <w:r w:rsidR="007B1B3A" w:rsidRPr="00A828B6">
        <w:rPr>
          <w:rFonts w:ascii="Book Antiqua" w:hAnsi="Book Antiqua"/>
          <w:sz w:val="24"/>
          <w:szCs w:val="24"/>
          <w:lang w:val="en-US" w:eastAsia="tr-TR"/>
        </w:rPr>
        <w:t xml:space="preserve">patients with </w:t>
      </w:r>
      <w:r w:rsidR="00D34CCA" w:rsidRPr="00A828B6">
        <w:rPr>
          <w:rFonts w:ascii="Book Antiqua" w:hAnsi="Book Antiqua"/>
          <w:sz w:val="24"/>
          <w:szCs w:val="24"/>
          <w:lang w:val="en-US" w:eastAsia="tr-TR"/>
        </w:rPr>
        <w:t>h</w:t>
      </w:r>
      <w:r w:rsidR="009B3F9F" w:rsidRPr="00A828B6">
        <w:rPr>
          <w:rFonts w:ascii="Book Antiqua" w:hAnsi="Book Antiqua"/>
          <w:sz w:val="24"/>
          <w:szCs w:val="24"/>
          <w:lang w:val="en-US" w:eastAsia="tr-TR"/>
        </w:rPr>
        <w:t>ep</w:t>
      </w:r>
      <w:r w:rsidR="007B1B3A" w:rsidRPr="00A828B6">
        <w:rPr>
          <w:rFonts w:ascii="Book Antiqua" w:hAnsi="Book Antiqua"/>
          <w:sz w:val="24"/>
          <w:szCs w:val="24"/>
          <w:lang w:val="en-US" w:eastAsia="tr-TR"/>
        </w:rPr>
        <w:t xml:space="preserve">atitis </w:t>
      </w:r>
      <w:r w:rsidR="009B3F9F" w:rsidRPr="00A828B6">
        <w:rPr>
          <w:rFonts w:ascii="Book Antiqua" w:hAnsi="Book Antiqua"/>
          <w:sz w:val="24"/>
          <w:szCs w:val="24"/>
          <w:lang w:val="en-US" w:eastAsia="tr-TR"/>
        </w:rPr>
        <w:t>C, and 62</w:t>
      </w:r>
      <w:r w:rsidR="00341EF6" w:rsidRPr="00A828B6">
        <w:rPr>
          <w:rFonts w:ascii="Book Antiqua" w:hAnsi="Book Antiqua"/>
          <w:sz w:val="24"/>
          <w:szCs w:val="24"/>
          <w:lang w:val="en-US" w:eastAsia="tr-TR"/>
        </w:rPr>
        <w:t>.3</w:t>
      </w:r>
      <w:r w:rsidR="009B3F9F" w:rsidRPr="00A828B6">
        <w:rPr>
          <w:rFonts w:ascii="Book Antiqua" w:hAnsi="Book Antiqua"/>
          <w:sz w:val="24"/>
          <w:szCs w:val="24"/>
          <w:lang w:val="en-US" w:eastAsia="tr-TR"/>
        </w:rPr>
        <w:t xml:space="preserve">% </w:t>
      </w:r>
      <w:r w:rsidR="00A500CF" w:rsidRPr="00A828B6">
        <w:rPr>
          <w:rFonts w:ascii="Book Antiqua" w:hAnsi="Book Antiqua"/>
          <w:sz w:val="24"/>
          <w:szCs w:val="24"/>
          <w:lang w:val="en-US" w:eastAsia="tr-TR"/>
        </w:rPr>
        <w:t xml:space="preserve">of </w:t>
      </w:r>
      <w:r w:rsidR="00A65C5F" w:rsidRPr="00A828B6">
        <w:rPr>
          <w:rFonts w:ascii="Book Antiqua" w:hAnsi="Book Antiqua"/>
          <w:sz w:val="24"/>
          <w:szCs w:val="24"/>
          <w:lang w:val="en-US" w:eastAsia="tr-TR"/>
        </w:rPr>
        <w:t xml:space="preserve">patients with other liver-related diseases </w:t>
      </w:r>
      <w:r w:rsidR="009B3F9F" w:rsidRPr="00A828B6">
        <w:rPr>
          <w:rFonts w:ascii="Book Antiqua" w:hAnsi="Book Antiqua"/>
          <w:sz w:val="24"/>
          <w:szCs w:val="24"/>
          <w:lang w:val="en-US" w:eastAsia="tr-TR"/>
        </w:rPr>
        <w:t>(</w:t>
      </w:r>
      <w:r w:rsidR="0051635F" w:rsidRPr="00A828B6">
        <w:rPr>
          <w:rFonts w:ascii="Book Antiqua" w:hAnsi="Book Antiqua"/>
          <w:i/>
          <w:sz w:val="24"/>
          <w:szCs w:val="24"/>
          <w:lang w:val="en-US" w:eastAsia="tr-TR"/>
        </w:rPr>
        <w:t>P</w:t>
      </w:r>
      <w:r w:rsidR="00DF414C" w:rsidRPr="00A828B6">
        <w:rPr>
          <w:rFonts w:ascii="Book Antiqua" w:hAnsi="Book Antiqua"/>
          <w:i/>
          <w:sz w:val="24"/>
          <w:szCs w:val="24"/>
          <w:lang w:val="en-US" w:eastAsia="zh-CN"/>
        </w:rPr>
        <w:t xml:space="preserve"> </w:t>
      </w:r>
      <w:r w:rsidR="009B3F9F" w:rsidRPr="00A828B6">
        <w:rPr>
          <w:rFonts w:ascii="Book Antiqua" w:hAnsi="Book Antiqua"/>
          <w:sz w:val="24"/>
          <w:szCs w:val="24"/>
          <w:lang w:val="en-US" w:eastAsia="tr-TR"/>
        </w:rPr>
        <w:t>&lt;</w:t>
      </w:r>
      <w:r w:rsidR="00DF414C" w:rsidRPr="00A828B6">
        <w:rPr>
          <w:rFonts w:ascii="Book Antiqua" w:hAnsi="Book Antiqua"/>
          <w:sz w:val="24"/>
          <w:szCs w:val="24"/>
          <w:lang w:val="en-US" w:eastAsia="zh-CN"/>
        </w:rPr>
        <w:t xml:space="preserve"> </w:t>
      </w:r>
      <w:r w:rsidR="009B3F9F" w:rsidRPr="00A828B6">
        <w:rPr>
          <w:rFonts w:ascii="Book Antiqua" w:hAnsi="Book Antiqua"/>
          <w:sz w:val="24"/>
          <w:szCs w:val="24"/>
          <w:lang w:val="en-US" w:eastAsia="tr-TR"/>
        </w:rPr>
        <w:t xml:space="preserve">0.0001). </w:t>
      </w:r>
      <w:r w:rsidR="00052A3E" w:rsidRPr="00A828B6">
        <w:rPr>
          <w:rFonts w:ascii="Book Antiqua" w:hAnsi="Book Antiqua"/>
          <w:sz w:val="24"/>
          <w:szCs w:val="24"/>
          <w:lang w:val="en-US" w:eastAsia="tr-TR"/>
        </w:rPr>
        <w:t xml:space="preserve">The incidence of PVT was </w:t>
      </w:r>
      <w:r w:rsidR="00444300" w:rsidRPr="00A828B6">
        <w:rPr>
          <w:rFonts w:ascii="Book Antiqua" w:hAnsi="Book Antiqua"/>
          <w:sz w:val="24"/>
          <w:szCs w:val="24"/>
          <w:lang w:val="en-US" w:eastAsia="tr-TR"/>
        </w:rPr>
        <w:t>36</w:t>
      </w:r>
      <w:r w:rsidR="009C733B" w:rsidRPr="00A828B6">
        <w:rPr>
          <w:rFonts w:ascii="Book Antiqua" w:hAnsi="Book Antiqua"/>
          <w:sz w:val="24"/>
          <w:szCs w:val="24"/>
          <w:lang w:val="en-US" w:eastAsia="tr-TR"/>
        </w:rPr>
        <w:t>.</w:t>
      </w:r>
      <w:r w:rsidR="00444300" w:rsidRPr="00A828B6">
        <w:rPr>
          <w:rFonts w:ascii="Book Antiqua" w:hAnsi="Book Antiqua"/>
          <w:sz w:val="24"/>
          <w:szCs w:val="24"/>
          <w:lang w:val="en-US" w:eastAsia="tr-TR"/>
        </w:rPr>
        <w:t xml:space="preserve">8% </w:t>
      </w:r>
      <w:r w:rsidR="00553DAB" w:rsidRPr="00A828B6">
        <w:rPr>
          <w:rFonts w:ascii="Book Antiqua" w:hAnsi="Book Antiqua"/>
          <w:sz w:val="24"/>
          <w:szCs w:val="24"/>
          <w:lang w:val="en-US" w:eastAsia="tr-TR"/>
        </w:rPr>
        <w:t xml:space="preserve">and 42.7% </w:t>
      </w:r>
      <w:r w:rsidR="00052A3E" w:rsidRPr="00A828B6">
        <w:rPr>
          <w:rFonts w:ascii="Book Antiqua" w:hAnsi="Book Antiqua"/>
          <w:sz w:val="24"/>
          <w:szCs w:val="24"/>
          <w:lang w:val="en-US" w:eastAsia="tr-TR"/>
        </w:rPr>
        <w:t xml:space="preserve">in patients with and without HCC, </w:t>
      </w:r>
      <w:r w:rsidR="00553DAB" w:rsidRPr="00A828B6">
        <w:rPr>
          <w:rFonts w:ascii="Book Antiqua" w:hAnsi="Book Antiqua"/>
          <w:sz w:val="24"/>
          <w:szCs w:val="24"/>
          <w:lang w:val="en-US" w:eastAsia="tr-TR"/>
        </w:rPr>
        <w:t>respectively</w:t>
      </w:r>
      <w:r w:rsidR="00BA6798" w:rsidRPr="00A828B6">
        <w:rPr>
          <w:rFonts w:ascii="Book Antiqua" w:hAnsi="Book Antiqua"/>
          <w:sz w:val="24"/>
          <w:szCs w:val="24"/>
          <w:lang w:val="en-US" w:eastAsia="tr-TR"/>
        </w:rPr>
        <w:t xml:space="preserve"> (</w:t>
      </w:r>
      <w:r w:rsidR="00D756A0" w:rsidRPr="00A828B6">
        <w:rPr>
          <w:rFonts w:ascii="Book Antiqua" w:hAnsi="Book Antiqua"/>
          <w:i/>
          <w:sz w:val="24"/>
          <w:szCs w:val="24"/>
          <w:lang w:val="en-US" w:eastAsia="tr-TR"/>
        </w:rPr>
        <w:t>P</w:t>
      </w:r>
      <w:r w:rsidR="00DF414C" w:rsidRPr="00A828B6">
        <w:rPr>
          <w:rFonts w:ascii="Book Antiqua" w:hAnsi="Book Antiqua"/>
          <w:i/>
          <w:sz w:val="24"/>
          <w:szCs w:val="24"/>
          <w:lang w:val="en-US" w:eastAsia="zh-CN"/>
        </w:rPr>
        <w:t xml:space="preserve"> </w:t>
      </w:r>
      <w:r w:rsidR="00BA6798" w:rsidRPr="00A828B6">
        <w:rPr>
          <w:rFonts w:ascii="Book Antiqua" w:hAnsi="Book Antiqua"/>
          <w:sz w:val="24"/>
          <w:szCs w:val="24"/>
          <w:lang w:val="en-US" w:eastAsia="tr-TR"/>
        </w:rPr>
        <w:t>&gt;</w:t>
      </w:r>
      <w:r w:rsidR="00DF414C" w:rsidRPr="00A828B6">
        <w:rPr>
          <w:rFonts w:ascii="Book Antiqua" w:hAnsi="Book Antiqua"/>
          <w:sz w:val="24"/>
          <w:szCs w:val="24"/>
          <w:lang w:val="en-US" w:eastAsia="zh-CN"/>
        </w:rPr>
        <w:t xml:space="preserve"> </w:t>
      </w:r>
      <w:r w:rsidR="00BA6798" w:rsidRPr="00A828B6">
        <w:rPr>
          <w:rFonts w:ascii="Book Antiqua" w:hAnsi="Book Antiqua"/>
          <w:sz w:val="24"/>
          <w:szCs w:val="24"/>
          <w:lang w:val="en-US" w:eastAsia="tr-TR"/>
        </w:rPr>
        <w:t>0.05)</w:t>
      </w:r>
      <w:r w:rsidR="00EA2380" w:rsidRPr="00A828B6">
        <w:rPr>
          <w:rFonts w:ascii="Book Antiqua" w:hAnsi="Book Antiqua"/>
          <w:sz w:val="24"/>
          <w:szCs w:val="24"/>
          <w:lang w:val="en-US" w:eastAsia="tr-TR"/>
        </w:rPr>
        <w:t>,</w:t>
      </w:r>
      <w:r w:rsidR="009E671B" w:rsidRPr="00A828B6">
        <w:rPr>
          <w:rFonts w:ascii="Book Antiqua" w:hAnsi="Book Antiqua"/>
          <w:sz w:val="24"/>
          <w:szCs w:val="24"/>
          <w:lang w:val="en-US" w:eastAsia="tr-TR"/>
        </w:rPr>
        <w:t xml:space="preserve"> </w:t>
      </w:r>
      <w:r w:rsidR="00634AFF" w:rsidRPr="00A828B6">
        <w:rPr>
          <w:rFonts w:ascii="Book Antiqua" w:hAnsi="Book Antiqua"/>
          <w:sz w:val="24"/>
          <w:szCs w:val="24"/>
          <w:lang w:val="en-US" w:eastAsia="tr-TR"/>
        </w:rPr>
        <w:t>40.4</w:t>
      </w:r>
      <w:r w:rsidR="0028714D" w:rsidRPr="00A828B6">
        <w:rPr>
          <w:rFonts w:ascii="Book Antiqua" w:hAnsi="Book Antiqua"/>
          <w:sz w:val="24"/>
          <w:szCs w:val="24"/>
          <w:lang w:val="en-US" w:eastAsia="tr-TR"/>
        </w:rPr>
        <w:t xml:space="preserve">% </w:t>
      </w:r>
      <w:r w:rsidR="00634AFF" w:rsidRPr="00A828B6">
        <w:rPr>
          <w:rFonts w:ascii="Book Antiqua" w:hAnsi="Book Antiqua"/>
          <w:sz w:val="24"/>
          <w:szCs w:val="24"/>
          <w:lang w:val="en-US" w:eastAsia="tr-TR"/>
        </w:rPr>
        <w:t>and 53.6</w:t>
      </w:r>
      <w:r w:rsidR="0028714D" w:rsidRPr="00A828B6">
        <w:rPr>
          <w:rFonts w:ascii="Book Antiqua" w:hAnsi="Book Antiqua"/>
          <w:sz w:val="24"/>
          <w:szCs w:val="24"/>
          <w:lang w:val="en-US" w:eastAsia="tr-TR"/>
        </w:rPr>
        <w:t xml:space="preserve">% </w:t>
      </w:r>
      <w:r w:rsidR="00EA2380" w:rsidRPr="00A828B6">
        <w:rPr>
          <w:rFonts w:ascii="Book Antiqua" w:hAnsi="Book Antiqua"/>
          <w:sz w:val="24"/>
          <w:szCs w:val="24"/>
          <w:lang w:val="en-US" w:eastAsia="tr-TR"/>
        </w:rPr>
        <w:t xml:space="preserve">in patients with and without cirrhosis, </w:t>
      </w:r>
      <w:r w:rsidR="0028714D" w:rsidRPr="00A828B6">
        <w:rPr>
          <w:rFonts w:ascii="Book Antiqua" w:hAnsi="Book Antiqua"/>
          <w:sz w:val="24"/>
          <w:szCs w:val="24"/>
          <w:lang w:val="en-US" w:eastAsia="tr-TR"/>
        </w:rPr>
        <w:t>respectively</w:t>
      </w:r>
      <w:r w:rsidR="00BA6798" w:rsidRPr="00A828B6">
        <w:rPr>
          <w:rFonts w:ascii="Book Antiqua" w:hAnsi="Book Antiqua"/>
          <w:sz w:val="24"/>
          <w:szCs w:val="24"/>
          <w:lang w:val="en-US" w:eastAsia="tr-TR"/>
        </w:rPr>
        <w:t xml:space="preserve"> (</w:t>
      </w:r>
      <w:r w:rsidR="00DD0797" w:rsidRPr="00A828B6">
        <w:rPr>
          <w:rFonts w:ascii="Book Antiqua" w:hAnsi="Book Antiqua"/>
          <w:i/>
          <w:sz w:val="24"/>
          <w:szCs w:val="24"/>
          <w:lang w:val="en-US" w:eastAsia="tr-TR"/>
        </w:rPr>
        <w:t>P</w:t>
      </w:r>
      <w:r w:rsidR="00DF414C" w:rsidRPr="00A828B6">
        <w:rPr>
          <w:rFonts w:ascii="Book Antiqua" w:hAnsi="Book Antiqua"/>
          <w:i/>
          <w:sz w:val="24"/>
          <w:szCs w:val="24"/>
          <w:lang w:val="en-US" w:eastAsia="zh-CN"/>
        </w:rPr>
        <w:t xml:space="preserve"> </w:t>
      </w:r>
      <w:r w:rsidR="00BA6798" w:rsidRPr="00A828B6">
        <w:rPr>
          <w:rFonts w:ascii="Book Antiqua" w:hAnsi="Book Antiqua"/>
          <w:sz w:val="24"/>
          <w:szCs w:val="24"/>
          <w:lang w:val="en-US" w:eastAsia="tr-TR"/>
        </w:rPr>
        <w:t>&gt;</w:t>
      </w:r>
      <w:r w:rsidR="00DF414C" w:rsidRPr="00A828B6">
        <w:rPr>
          <w:rFonts w:ascii="Book Antiqua" w:hAnsi="Book Antiqua"/>
          <w:sz w:val="24"/>
          <w:szCs w:val="24"/>
          <w:lang w:val="en-US" w:eastAsia="zh-CN"/>
        </w:rPr>
        <w:t xml:space="preserve"> </w:t>
      </w:r>
      <w:r w:rsidR="00BA6798" w:rsidRPr="00A828B6">
        <w:rPr>
          <w:rFonts w:ascii="Book Antiqua" w:hAnsi="Book Antiqua"/>
          <w:sz w:val="24"/>
          <w:szCs w:val="24"/>
          <w:lang w:val="en-US" w:eastAsia="tr-TR"/>
        </w:rPr>
        <w:t>0.05)</w:t>
      </w:r>
      <w:r w:rsidR="00EA2380" w:rsidRPr="00A828B6">
        <w:rPr>
          <w:rFonts w:ascii="Book Antiqua" w:hAnsi="Book Antiqua"/>
          <w:sz w:val="24"/>
          <w:szCs w:val="24"/>
          <w:lang w:val="en-US" w:eastAsia="tr-TR"/>
        </w:rPr>
        <w:t xml:space="preserve">, and </w:t>
      </w:r>
      <w:r w:rsidR="00BA6798" w:rsidRPr="00A828B6">
        <w:rPr>
          <w:rFonts w:ascii="Book Antiqua" w:hAnsi="Book Antiqua"/>
          <w:sz w:val="24"/>
          <w:szCs w:val="24"/>
          <w:lang w:val="en-US" w:eastAsia="tr-TR"/>
        </w:rPr>
        <w:t xml:space="preserve">56.9% and 29.8% </w:t>
      </w:r>
      <w:r w:rsidR="00EA2380" w:rsidRPr="00A828B6">
        <w:rPr>
          <w:rFonts w:ascii="Book Antiqua" w:hAnsi="Book Antiqua"/>
          <w:sz w:val="24"/>
          <w:szCs w:val="24"/>
          <w:lang w:val="en-US" w:eastAsia="tr-TR"/>
        </w:rPr>
        <w:t>in patients with and without fundic varices</w:t>
      </w:r>
      <w:r w:rsidR="00BA6798" w:rsidRPr="00A828B6">
        <w:rPr>
          <w:rFonts w:ascii="Book Antiqua" w:hAnsi="Book Antiqua"/>
          <w:sz w:val="24"/>
          <w:szCs w:val="24"/>
          <w:lang w:val="en-US" w:eastAsia="tr-TR"/>
        </w:rPr>
        <w:t xml:space="preserve">, respectively </w:t>
      </w:r>
      <w:r w:rsidR="00634AFF" w:rsidRPr="00A828B6">
        <w:rPr>
          <w:rFonts w:ascii="Book Antiqua" w:hAnsi="Book Antiqua"/>
          <w:sz w:val="24"/>
          <w:szCs w:val="24"/>
          <w:lang w:val="en-US" w:eastAsia="tr-TR"/>
        </w:rPr>
        <w:t>(</w:t>
      </w:r>
      <w:r w:rsidR="00DD0797" w:rsidRPr="00A828B6">
        <w:rPr>
          <w:rFonts w:ascii="Book Antiqua" w:hAnsi="Book Antiqua"/>
          <w:i/>
          <w:sz w:val="24"/>
          <w:szCs w:val="24"/>
          <w:lang w:val="en-US" w:eastAsia="tr-TR"/>
        </w:rPr>
        <w:t>P</w:t>
      </w:r>
      <w:r w:rsidR="00DF414C" w:rsidRPr="00A828B6">
        <w:rPr>
          <w:rFonts w:ascii="Book Antiqua" w:hAnsi="Book Antiqua"/>
          <w:i/>
          <w:sz w:val="24"/>
          <w:szCs w:val="24"/>
          <w:lang w:val="en-US" w:eastAsia="zh-CN"/>
        </w:rPr>
        <w:t xml:space="preserve"> </w:t>
      </w:r>
      <w:r w:rsidR="00634AFF" w:rsidRPr="00A828B6">
        <w:rPr>
          <w:rFonts w:ascii="Book Antiqua" w:hAnsi="Book Antiqua"/>
          <w:sz w:val="24"/>
          <w:szCs w:val="24"/>
          <w:lang w:val="en-US" w:eastAsia="tr-TR"/>
        </w:rPr>
        <w:t>&lt;</w:t>
      </w:r>
      <w:r w:rsidR="00DF414C" w:rsidRPr="00A828B6">
        <w:rPr>
          <w:rFonts w:ascii="Book Antiqua" w:hAnsi="Book Antiqua"/>
          <w:sz w:val="24"/>
          <w:szCs w:val="24"/>
          <w:lang w:val="en-US" w:eastAsia="zh-CN"/>
        </w:rPr>
        <w:t xml:space="preserve"> </w:t>
      </w:r>
      <w:r w:rsidR="00634AFF" w:rsidRPr="00A828B6">
        <w:rPr>
          <w:rFonts w:ascii="Book Antiqua" w:hAnsi="Book Antiqua"/>
          <w:sz w:val="24"/>
          <w:szCs w:val="24"/>
          <w:lang w:val="en-US" w:eastAsia="tr-TR"/>
        </w:rPr>
        <w:t xml:space="preserve">0.0001). </w:t>
      </w:r>
      <w:r w:rsidR="003F7FB4" w:rsidRPr="00A828B6">
        <w:rPr>
          <w:rFonts w:ascii="Book Antiqua" w:hAnsi="Book Antiqua"/>
          <w:sz w:val="24"/>
          <w:szCs w:val="24"/>
          <w:lang w:val="en-US" w:eastAsia="tr-TR"/>
        </w:rPr>
        <w:t xml:space="preserve">Of the 111 patients (43%) </w:t>
      </w:r>
      <w:r w:rsidR="00FE19A1" w:rsidRPr="00A828B6">
        <w:rPr>
          <w:rFonts w:ascii="Book Antiqua" w:hAnsi="Book Antiqua"/>
          <w:sz w:val="24"/>
          <w:szCs w:val="24"/>
          <w:lang w:val="en-US" w:eastAsia="tr-TR"/>
        </w:rPr>
        <w:t>that died</w:t>
      </w:r>
      <w:r w:rsidR="00BA6798" w:rsidRPr="00A828B6">
        <w:rPr>
          <w:rFonts w:ascii="Book Antiqua" w:hAnsi="Book Antiqua"/>
          <w:sz w:val="24"/>
          <w:szCs w:val="24"/>
          <w:lang w:val="en-US" w:eastAsia="tr-TR"/>
        </w:rPr>
        <w:t xml:space="preserve"> during the study period</w:t>
      </w:r>
      <w:r w:rsidR="003F7FB4" w:rsidRPr="00A828B6">
        <w:rPr>
          <w:rFonts w:ascii="Book Antiqua" w:hAnsi="Book Antiqua"/>
          <w:sz w:val="24"/>
          <w:szCs w:val="24"/>
          <w:lang w:val="en-US" w:eastAsia="tr-TR"/>
        </w:rPr>
        <w:t>, 72 patients (64.9</w:t>
      </w:r>
      <w:r w:rsidR="00BA6798" w:rsidRPr="00A828B6">
        <w:rPr>
          <w:rFonts w:ascii="Book Antiqua" w:hAnsi="Book Antiqua"/>
          <w:sz w:val="24"/>
          <w:szCs w:val="24"/>
          <w:lang w:val="en-US" w:eastAsia="tr-TR"/>
        </w:rPr>
        <w:t>%</w:t>
      </w:r>
      <w:r w:rsidR="003F7FB4" w:rsidRPr="00A828B6">
        <w:rPr>
          <w:rFonts w:ascii="Book Antiqua" w:hAnsi="Book Antiqua"/>
          <w:sz w:val="24"/>
          <w:szCs w:val="24"/>
          <w:lang w:val="en-US" w:eastAsia="tr-TR"/>
        </w:rPr>
        <w:t xml:space="preserve">) had no </w:t>
      </w:r>
      <w:r w:rsidR="00CC51B3" w:rsidRPr="00A828B6">
        <w:rPr>
          <w:rFonts w:ascii="Book Antiqua" w:hAnsi="Book Antiqua"/>
          <w:sz w:val="24"/>
          <w:szCs w:val="24"/>
          <w:lang w:val="en-US" w:eastAsia="tr-TR"/>
        </w:rPr>
        <w:t xml:space="preserve">PVT </w:t>
      </w:r>
      <w:r w:rsidR="003F7FB4" w:rsidRPr="00A828B6">
        <w:rPr>
          <w:rFonts w:ascii="Book Antiqua" w:hAnsi="Book Antiqua"/>
          <w:sz w:val="24"/>
          <w:szCs w:val="24"/>
          <w:lang w:val="en-US" w:eastAsia="tr-TR"/>
        </w:rPr>
        <w:t>(</w:t>
      </w:r>
      <w:r w:rsidR="00DD0797" w:rsidRPr="00A828B6">
        <w:rPr>
          <w:rFonts w:ascii="Book Antiqua" w:hAnsi="Book Antiqua"/>
          <w:i/>
          <w:sz w:val="24"/>
          <w:szCs w:val="24"/>
          <w:lang w:val="en-US" w:eastAsia="tr-TR"/>
        </w:rPr>
        <w:t>P</w:t>
      </w:r>
      <w:r w:rsidR="000E6621">
        <w:rPr>
          <w:rFonts w:ascii="Book Antiqua" w:hAnsi="Book Antiqua" w:hint="eastAsia"/>
          <w:sz w:val="24"/>
          <w:szCs w:val="24"/>
          <w:lang w:val="en-US" w:eastAsia="zh-CN"/>
        </w:rPr>
        <w:t xml:space="preserve"> =</w:t>
      </w:r>
      <w:r w:rsidR="006B60C7" w:rsidRPr="00A828B6">
        <w:rPr>
          <w:rFonts w:ascii="Book Antiqua" w:hAnsi="Book Antiqua"/>
          <w:sz w:val="24"/>
          <w:szCs w:val="24"/>
          <w:lang w:val="en-US" w:eastAsia="tr-TR"/>
        </w:rPr>
        <w:t xml:space="preserve"> </w:t>
      </w:r>
      <w:r w:rsidR="003F7FB4" w:rsidRPr="00A828B6">
        <w:rPr>
          <w:rFonts w:ascii="Book Antiqua" w:hAnsi="Book Antiqua"/>
          <w:sz w:val="24"/>
          <w:szCs w:val="24"/>
          <w:lang w:val="en-US" w:eastAsia="tr-TR"/>
        </w:rPr>
        <w:t>0.057).</w:t>
      </w:r>
    </w:p>
    <w:p w14:paraId="55E11DC0" w14:textId="77777777" w:rsidR="003653B6" w:rsidRPr="00A828B6" w:rsidRDefault="003653B6" w:rsidP="001A5A01">
      <w:pPr>
        <w:spacing w:after="0" w:line="360" w:lineRule="auto"/>
        <w:ind w:firstLine="708"/>
        <w:jc w:val="both"/>
        <w:rPr>
          <w:rFonts w:ascii="Book Antiqua" w:hAnsi="Book Antiqua"/>
          <w:sz w:val="24"/>
          <w:szCs w:val="24"/>
          <w:lang w:val="en-US" w:eastAsia="tr-TR"/>
        </w:rPr>
      </w:pPr>
    </w:p>
    <w:p w14:paraId="383F26DE" w14:textId="01D37136" w:rsidR="00DF74BF" w:rsidRPr="00A828B6" w:rsidRDefault="00513F2F" w:rsidP="001A5A01">
      <w:pPr>
        <w:spacing w:after="0" w:line="360" w:lineRule="auto"/>
        <w:jc w:val="both"/>
        <w:rPr>
          <w:rFonts w:ascii="Book Antiqua" w:hAnsi="Book Antiqua"/>
          <w:b/>
          <w:i/>
          <w:sz w:val="24"/>
          <w:szCs w:val="24"/>
          <w:lang w:val="en-US" w:eastAsia="tr-TR"/>
        </w:rPr>
      </w:pPr>
      <w:r w:rsidRPr="00A828B6">
        <w:rPr>
          <w:rFonts w:ascii="Book Antiqua" w:hAnsi="Book Antiqua"/>
          <w:b/>
          <w:i/>
          <w:sz w:val="24"/>
          <w:szCs w:val="24"/>
          <w:lang w:val="en-US" w:eastAsia="tr-TR"/>
        </w:rPr>
        <w:t xml:space="preserve">Fundic </w:t>
      </w:r>
      <w:r w:rsidR="00DF414C" w:rsidRPr="00A828B6">
        <w:rPr>
          <w:rFonts w:ascii="Book Antiqua" w:hAnsi="Book Antiqua"/>
          <w:b/>
          <w:i/>
          <w:sz w:val="24"/>
          <w:szCs w:val="24"/>
          <w:lang w:val="en-US" w:eastAsia="tr-TR"/>
        </w:rPr>
        <w:t>varices</w:t>
      </w:r>
    </w:p>
    <w:p w14:paraId="69C2DD80" w14:textId="6E55A3BD" w:rsidR="005D2D0E" w:rsidRPr="00A828B6" w:rsidRDefault="00B76DAB" w:rsidP="001A5A01">
      <w:pPr>
        <w:spacing w:after="0" w:line="360" w:lineRule="auto"/>
        <w:jc w:val="both"/>
        <w:rPr>
          <w:rFonts w:ascii="Book Antiqua" w:hAnsi="Book Antiqua"/>
          <w:sz w:val="24"/>
          <w:szCs w:val="24"/>
          <w:lang w:val="en-US" w:eastAsia="tr-TR"/>
        </w:rPr>
      </w:pPr>
      <w:r w:rsidRPr="00A828B6">
        <w:rPr>
          <w:rFonts w:ascii="Book Antiqua" w:hAnsi="Book Antiqua"/>
          <w:sz w:val="24"/>
          <w:szCs w:val="24"/>
          <w:lang w:val="en-US" w:eastAsia="tr-TR"/>
        </w:rPr>
        <w:t>The condition of f</w:t>
      </w:r>
      <w:r w:rsidR="00A40A8C" w:rsidRPr="00A828B6">
        <w:rPr>
          <w:rFonts w:ascii="Book Antiqua" w:hAnsi="Book Antiqua"/>
          <w:sz w:val="24"/>
          <w:szCs w:val="24"/>
          <w:lang w:val="en-US" w:eastAsia="tr-TR"/>
        </w:rPr>
        <w:t>undic varice</w:t>
      </w:r>
      <w:r w:rsidR="00E5341C" w:rsidRPr="00A828B6">
        <w:rPr>
          <w:rFonts w:ascii="Book Antiqua" w:hAnsi="Book Antiqua"/>
          <w:sz w:val="24"/>
          <w:szCs w:val="24"/>
          <w:lang w:val="en-US" w:eastAsia="tr-TR"/>
        </w:rPr>
        <w:t>s</w:t>
      </w:r>
      <w:r w:rsidR="00A40A8C" w:rsidRPr="00A828B6">
        <w:rPr>
          <w:rFonts w:ascii="Book Antiqua" w:hAnsi="Book Antiqua"/>
          <w:sz w:val="24"/>
          <w:szCs w:val="24"/>
          <w:lang w:val="en-US" w:eastAsia="tr-TR"/>
        </w:rPr>
        <w:t xml:space="preserve"> was found in 116 (45%) patients; </w:t>
      </w:r>
      <w:r w:rsidR="005F4187" w:rsidRPr="00A828B6">
        <w:rPr>
          <w:rFonts w:ascii="Book Antiqua" w:hAnsi="Book Antiqua"/>
          <w:sz w:val="24"/>
          <w:szCs w:val="24"/>
          <w:lang w:val="en-US" w:eastAsia="tr-TR"/>
        </w:rPr>
        <w:t>evenly spread among women and men (</w:t>
      </w:r>
      <w:r w:rsidR="00A40A8C" w:rsidRPr="00A828B6">
        <w:rPr>
          <w:rFonts w:ascii="Book Antiqua" w:hAnsi="Book Antiqua"/>
          <w:sz w:val="24"/>
          <w:szCs w:val="24"/>
          <w:lang w:val="en-US" w:eastAsia="tr-TR"/>
        </w:rPr>
        <w:t xml:space="preserve">46% </w:t>
      </w:r>
      <w:r w:rsidR="00A72641" w:rsidRPr="00A828B6">
        <w:rPr>
          <w:rFonts w:ascii="Book Antiqua" w:hAnsi="Book Antiqua"/>
          <w:sz w:val="24"/>
          <w:szCs w:val="24"/>
          <w:lang w:val="en-US" w:eastAsia="tr-TR"/>
        </w:rPr>
        <w:t>and 44.4%</w:t>
      </w:r>
      <w:r w:rsidR="005F4187" w:rsidRPr="00A828B6">
        <w:rPr>
          <w:rFonts w:ascii="Book Antiqua" w:hAnsi="Book Antiqua"/>
          <w:sz w:val="24"/>
          <w:szCs w:val="24"/>
          <w:lang w:val="en-US" w:eastAsia="tr-TR"/>
        </w:rPr>
        <w:t xml:space="preserve">, respectively, </w:t>
      </w:r>
      <w:r w:rsidR="00E5341C" w:rsidRPr="00A828B6">
        <w:rPr>
          <w:rFonts w:ascii="Book Antiqua" w:hAnsi="Book Antiqua"/>
          <w:i/>
          <w:sz w:val="24"/>
          <w:szCs w:val="24"/>
          <w:lang w:val="en-US" w:eastAsia="tr-TR"/>
        </w:rPr>
        <w:t>P</w:t>
      </w:r>
      <w:r w:rsidR="00DF414C" w:rsidRPr="00A828B6">
        <w:rPr>
          <w:rFonts w:ascii="Book Antiqua" w:hAnsi="Book Antiqua"/>
          <w:i/>
          <w:sz w:val="24"/>
          <w:szCs w:val="24"/>
          <w:lang w:val="en-US" w:eastAsia="zh-CN"/>
        </w:rPr>
        <w:t xml:space="preserve"> </w:t>
      </w:r>
      <w:r w:rsidR="00A72641" w:rsidRPr="00A828B6">
        <w:rPr>
          <w:rFonts w:ascii="Book Antiqua" w:hAnsi="Book Antiqua"/>
          <w:sz w:val="24"/>
          <w:szCs w:val="24"/>
          <w:lang w:val="en-US" w:eastAsia="tr-TR"/>
        </w:rPr>
        <w:t>&gt;</w:t>
      </w:r>
      <w:r w:rsidR="00DF414C" w:rsidRPr="00A828B6">
        <w:rPr>
          <w:rFonts w:ascii="Book Antiqua" w:hAnsi="Book Antiqua"/>
          <w:sz w:val="24"/>
          <w:szCs w:val="24"/>
          <w:lang w:val="en-US" w:eastAsia="zh-CN"/>
        </w:rPr>
        <w:t xml:space="preserve"> </w:t>
      </w:r>
      <w:r w:rsidR="00A72641" w:rsidRPr="00A828B6">
        <w:rPr>
          <w:rFonts w:ascii="Book Antiqua" w:hAnsi="Book Antiqua"/>
          <w:sz w:val="24"/>
          <w:szCs w:val="24"/>
          <w:lang w:val="en-US" w:eastAsia="tr-TR"/>
        </w:rPr>
        <w:t xml:space="preserve">0.05). Etiology among patients with fundic varices was as follows: </w:t>
      </w:r>
      <w:r w:rsidR="00E5341C" w:rsidRPr="00A828B6">
        <w:rPr>
          <w:rFonts w:ascii="Book Antiqua" w:hAnsi="Book Antiqua"/>
          <w:sz w:val="24"/>
          <w:szCs w:val="24"/>
          <w:lang w:val="en-US" w:eastAsia="tr-TR"/>
        </w:rPr>
        <w:t xml:space="preserve">NAFLD in </w:t>
      </w:r>
      <w:r w:rsidR="00A72641" w:rsidRPr="00A828B6">
        <w:rPr>
          <w:rFonts w:ascii="Book Antiqua" w:hAnsi="Book Antiqua"/>
          <w:sz w:val="24"/>
          <w:szCs w:val="24"/>
          <w:lang w:val="en-US" w:eastAsia="tr-TR"/>
        </w:rPr>
        <w:t>39.7% (46 patients)</w:t>
      </w:r>
      <w:proofErr w:type="gramStart"/>
      <w:r w:rsidR="00E5341C" w:rsidRPr="00A828B6">
        <w:rPr>
          <w:rFonts w:ascii="Book Antiqua" w:hAnsi="Book Antiqua"/>
          <w:sz w:val="24"/>
          <w:szCs w:val="24"/>
          <w:lang w:val="en-US" w:eastAsia="tr-TR"/>
        </w:rPr>
        <w:t>;</w:t>
      </w:r>
      <w:proofErr w:type="gramEnd"/>
      <w:r w:rsidR="00E5341C" w:rsidRPr="00A828B6">
        <w:rPr>
          <w:rFonts w:ascii="Book Antiqua" w:hAnsi="Book Antiqua"/>
          <w:sz w:val="24"/>
          <w:szCs w:val="24"/>
          <w:lang w:val="en-US" w:eastAsia="tr-TR"/>
        </w:rPr>
        <w:t xml:space="preserve"> hepatitis B in </w:t>
      </w:r>
      <w:r w:rsidR="00516241" w:rsidRPr="00A828B6">
        <w:rPr>
          <w:rFonts w:ascii="Book Antiqua" w:hAnsi="Book Antiqua"/>
          <w:sz w:val="24"/>
          <w:szCs w:val="24"/>
          <w:lang w:val="en-US" w:eastAsia="tr-TR"/>
        </w:rPr>
        <w:t>33.6</w:t>
      </w:r>
      <w:r w:rsidR="00A72641" w:rsidRPr="00A828B6">
        <w:rPr>
          <w:rFonts w:ascii="Book Antiqua" w:hAnsi="Book Antiqua"/>
          <w:sz w:val="24"/>
          <w:szCs w:val="24"/>
          <w:lang w:val="en-US" w:eastAsia="tr-TR"/>
        </w:rPr>
        <w:t>% (</w:t>
      </w:r>
      <w:r w:rsidR="00516241" w:rsidRPr="00A828B6">
        <w:rPr>
          <w:rFonts w:ascii="Book Antiqua" w:hAnsi="Book Antiqua"/>
          <w:sz w:val="24"/>
          <w:szCs w:val="24"/>
          <w:lang w:val="en-US" w:eastAsia="tr-TR"/>
        </w:rPr>
        <w:t>39</w:t>
      </w:r>
      <w:r w:rsidR="00A72641" w:rsidRPr="00A828B6">
        <w:rPr>
          <w:rFonts w:ascii="Book Antiqua" w:hAnsi="Book Antiqua"/>
          <w:sz w:val="24"/>
          <w:szCs w:val="24"/>
          <w:lang w:val="en-US" w:eastAsia="tr-TR"/>
        </w:rPr>
        <w:t xml:space="preserve"> patients)</w:t>
      </w:r>
      <w:r w:rsidR="00516241" w:rsidRPr="00A828B6">
        <w:rPr>
          <w:rFonts w:ascii="Book Antiqua" w:hAnsi="Book Antiqua"/>
          <w:sz w:val="24"/>
          <w:szCs w:val="24"/>
          <w:lang w:val="en-US" w:eastAsia="tr-TR"/>
        </w:rPr>
        <w:t>,</w:t>
      </w:r>
      <w:r w:rsidR="009E671B" w:rsidRPr="00A828B6">
        <w:rPr>
          <w:rFonts w:ascii="Book Antiqua" w:hAnsi="Book Antiqua"/>
          <w:sz w:val="24"/>
          <w:szCs w:val="24"/>
          <w:lang w:val="en-US" w:eastAsia="tr-TR"/>
        </w:rPr>
        <w:t xml:space="preserve"> </w:t>
      </w:r>
      <w:r w:rsidR="00E5341C" w:rsidRPr="00A828B6">
        <w:rPr>
          <w:rFonts w:ascii="Book Antiqua" w:hAnsi="Book Antiqua"/>
          <w:sz w:val="24"/>
          <w:szCs w:val="24"/>
          <w:lang w:val="en-US" w:eastAsia="tr-TR"/>
        </w:rPr>
        <w:t xml:space="preserve">hepatitis C in </w:t>
      </w:r>
      <w:r w:rsidR="00516241" w:rsidRPr="00A828B6">
        <w:rPr>
          <w:rFonts w:ascii="Book Antiqua" w:hAnsi="Book Antiqua"/>
          <w:sz w:val="24"/>
          <w:szCs w:val="24"/>
          <w:lang w:val="en-US" w:eastAsia="tr-TR"/>
        </w:rPr>
        <w:t>6.9</w:t>
      </w:r>
      <w:r w:rsidR="00295063" w:rsidRPr="00A828B6">
        <w:rPr>
          <w:rFonts w:ascii="Book Antiqua" w:hAnsi="Book Antiqua"/>
          <w:sz w:val="24"/>
          <w:szCs w:val="24"/>
          <w:lang w:val="en-US" w:eastAsia="tr-TR"/>
        </w:rPr>
        <w:t>%</w:t>
      </w:r>
      <w:r w:rsidR="00A72641" w:rsidRPr="00A828B6">
        <w:rPr>
          <w:rFonts w:ascii="Book Antiqua" w:hAnsi="Book Antiqua"/>
          <w:sz w:val="24"/>
          <w:szCs w:val="24"/>
          <w:lang w:val="en-US" w:eastAsia="tr-TR"/>
        </w:rPr>
        <w:t xml:space="preserve"> (</w:t>
      </w:r>
      <w:r w:rsidR="00516241" w:rsidRPr="00A828B6">
        <w:rPr>
          <w:rFonts w:ascii="Book Antiqua" w:hAnsi="Book Antiqua"/>
          <w:sz w:val="24"/>
          <w:szCs w:val="24"/>
          <w:lang w:val="en-US" w:eastAsia="tr-TR"/>
        </w:rPr>
        <w:t xml:space="preserve">8 patients) and </w:t>
      </w:r>
      <w:r w:rsidR="00E5341C" w:rsidRPr="00A828B6">
        <w:rPr>
          <w:rFonts w:ascii="Book Antiqua" w:hAnsi="Book Antiqua"/>
          <w:sz w:val="24"/>
          <w:szCs w:val="24"/>
          <w:lang w:val="en-US" w:eastAsia="tr-TR"/>
        </w:rPr>
        <w:t xml:space="preserve">other </w:t>
      </w:r>
      <w:r w:rsidR="003F4E6E" w:rsidRPr="00A828B6">
        <w:rPr>
          <w:rFonts w:ascii="Book Antiqua" w:hAnsi="Book Antiqua"/>
          <w:sz w:val="24"/>
          <w:szCs w:val="24"/>
          <w:lang w:val="en-US" w:eastAsia="tr-TR"/>
        </w:rPr>
        <w:t xml:space="preserve">diseases </w:t>
      </w:r>
      <w:r w:rsidR="00E5341C" w:rsidRPr="00A828B6">
        <w:rPr>
          <w:rFonts w:ascii="Book Antiqua" w:hAnsi="Book Antiqua"/>
          <w:sz w:val="24"/>
          <w:szCs w:val="24"/>
          <w:lang w:val="en-US" w:eastAsia="tr-TR"/>
        </w:rPr>
        <w:t xml:space="preserve">in </w:t>
      </w:r>
      <w:r w:rsidR="00516241" w:rsidRPr="00A828B6">
        <w:rPr>
          <w:rFonts w:ascii="Book Antiqua" w:hAnsi="Book Antiqua"/>
          <w:sz w:val="24"/>
          <w:szCs w:val="24"/>
          <w:lang w:val="en-US" w:eastAsia="tr-TR"/>
        </w:rPr>
        <w:t>19.8% (23 patients) (</w:t>
      </w:r>
      <w:r w:rsidR="00E5341C" w:rsidRPr="00A828B6">
        <w:rPr>
          <w:rFonts w:ascii="Book Antiqua" w:hAnsi="Book Antiqua"/>
          <w:i/>
          <w:sz w:val="24"/>
          <w:szCs w:val="24"/>
          <w:lang w:val="en-US" w:eastAsia="tr-TR"/>
        </w:rPr>
        <w:t>P</w:t>
      </w:r>
      <w:r w:rsidR="00DF414C" w:rsidRPr="00A828B6">
        <w:rPr>
          <w:rFonts w:ascii="Book Antiqua" w:hAnsi="Book Antiqua"/>
          <w:i/>
          <w:sz w:val="24"/>
          <w:szCs w:val="24"/>
          <w:lang w:val="en-US" w:eastAsia="zh-CN"/>
        </w:rPr>
        <w:t xml:space="preserve"> </w:t>
      </w:r>
      <w:r w:rsidR="00516241" w:rsidRPr="00A828B6">
        <w:rPr>
          <w:rFonts w:ascii="Book Antiqua" w:hAnsi="Book Antiqua"/>
          <w:sz w:val="24"/>
          <w:szCs w:val="24"/>
          <w:lang w:val="en-US" w:eastAsia="tr-TR"/>
        </w:rPr>
        <w:t>&gt;</w:t>
      </w:r>
      <w:r w:rsidR="00DF414C" w:rsidRPr="00A828B6">
        <w:rPr>
          <w:rFonts w:ascii="Book Antiqua" w:hAnsi="Book Antiqua"/>
          <w:sz w:val="24"/>
          <w:szCs w:val="24"/>
          <w:lang w:val="en-US" w:eastAsia="zh-CN"/>
        </w:rPr>
        <w:t xml:space="preserve"> </w:t>
      </w:r>
      <w:r w:rsidR="00516241" w:rsidRPr="00A828B6">
        <w:rPr>
          <w:rFonts w:ascii="Book Antiqua" w:hAnsi="Book Antiqua"/>
          <w:sz w:val="24"/>
          <w:szCs w:val="24"/>
          <w:lang w:val="en-US" w:eastAsia="tr-TR"/>
        </w:rPr>
        <w:t xml:space="preserve">0.05). </w:t>
      </w:r>
      <w:r w:rsidR="003F4E6E" w:rsidRPr="00A828B6">
        <w:rPr>
          <w:rFonts w:ascii="Book Antiqua" w:hAnsi="Book Antiqua"/>
          <w:sz w:val="24"/>
          <w:szCs w:val="24"/>
          <w:lang w:val="en-US" w:eastAsia="tr-TR"/>
        </w:rPr>
        <w:t>The incidence of fundic vari</w:t>
      </w:r>
      <w:r w:rsidR="00D26350" w:rsidRPr="00A828B6">
        <w:rPr>
          <w:rFonts w:ascii="Book Antiqua" w:hAnsi="Book Antiqua"/>
          <w:sz w:val="24"/>
          <w:szCs w:val="24"/>
          <w:lang w:val="en-US" w:eastAsia="tr-TR"/>
        </w:rPr>
        <w:t>c</w:t>
      </w:r>
      <w:r w:rsidR="003F4E6E" w:rsidRPr="00A828B6">
        <w:rPr>
          <w:rFonts w:ascii="Book Antiqua" w:hAnsi="Book Antiqua"/>
          <w:sz w:val="24"/>
          <w:szCs w:val="24"/>
          <w:lang w:val="en-US" w:eastAsia="tr-TR"/>
        </w:rPr>
        <w:t xml:space="preserve">es was </w:t>
      </w:r>
      <w:r w:rsidR="00516241" w:rsidRPr="00A828B6">
        <w:rPr>
          <w:rFonts w:ascii="Book Antiqua" w:hAnsi="Book Antiqua"/>
          <w:sz w:val="24"/>
          <w:szCs w:val="24"/>
          <w:lang w:val="en-US" w:eastAsia="tr-TR"/>
        </w:rPr>
        <w:t>47.4</w:t>
      </w:r>
      <w:r w:rsidR="00A72641" w:rsidRPr="00A828B6">
        <w:rPr>
          <w:rFonts w:ascii="Book Antiqua" w:hAnsi="Book Antiqua"/>
          <w:sz w:val="24"/>
          <w:szCs w:val="24"/>
          <w:lang w:val="en-US" w:eastAsia="tr-TR"/>
        </w:rPr>
        <w:t xml:space="preserve">% </w:t>
      </w:r>
      <w:r w:rsidR="00516241" w:rsidRPr="00A828B6">
        <w:rPr>
          <w:rFonts w:ascii="Book Antiqua" w:hAnsi="Book Antiqua"/>
          <w:sz w:val="24"/>
          <w:szCs w:val="24"/>
          <w:lang w:val="en-US" w:eastAsia="tr-TR"/>
        </w:rPr>
        <w:t>and 44.5</w:t>
      </w:r>
      <w:r w:rsidR="00A72641" w:rsidRPr="00A828B6">
        <w:rPr>
          <w:rFonts w:ascii="Book Antiqua" w:hAnsi="Book Antiqua"/>
          <w:sz w:val="24"/>
          <w:szCs w:val="24"/>
          <w:lang w:val="en-US" w:eastAsia="tr-TR"/>
        </w:rPr>
        <w:t xml:space="preserve">% </w:t>
      </w:r>
      <w:r w:rsidR="003F4E6E" w:rsidRPr="00A828B6">
        <w:rPr>
          <w:rFonts w:ascii="Book Antiqua" w:hAnsi="Book Antiqua"/>
          <w:sz w:val="24"/>
          <w:szCs w:val="24"/>
          <w:lang w:val="en-US" w:eastAsia="tr-TR"/>
        </w:rPr>
        <w:t>in patients with and without HCC</w:t>
      </w:r>
      <w:r w:rsidR="00CB7F80" w:rsidRPr="00A828B6">
        <w:rPr>
          <w:rFonts w:ascii="Book Antiqua" w:hAnsi="Book Antiqua"/>
          <w:sz w:val="24"/>
          <w:szCs w:val="24"/>
          <w:lang w:val="en-US" w:eastAsia="tr-TR"/>
        </w:rPr>
        <w:t>, respectively</w:t>
      </w:r>
      <w:r w:rsidR="00A72641" w:rsidRPr="00A828B6">
        <w:rPr>
          <w:rFonts w:ascii="Book Antiqua" w:hAnsi="Book Antiqua"/>
          <w:sz w:val="24"/>
          <w:szCs w:val="24"/>
          <w:lang w:val="en-US" w:eastAsia="tr-TR"/>
        </w:rPr>
        <w:t xml:space="preserve"> (</w:t>
      </w:r>
      <w:r w:rsidR="00E5341C" w:rsidRPr="00A828B6">
        <w:rPr>
          <w:rFonts w:ascii="Book Antiqua" w:hAnsi="Book Antiqua"/>
          <w:i/>
          <w:sz w:val="24"/>
          <w:szCs w:val="24"/>
          <w:lang w:val="en-US" w:eastAsia="tr-TR"/>
        </w:rPr>
        <w:t>P</w:t>
      </w:r>
      <w:r w:rsidR="00DF414C" w:rsidRPr="00A828B6">
        <w:rPr>
          <w:rFonts w:ascii="Book Antiqua" w:hAnsi="Book Antiqua"/>
          <w:i/>
          <w:sz w:val="24"/>
          <w:szCs w:val="24"/>
          <w:lang w:val="en-US" w:eastAsia="zh-CN"/>
        </w:rPr>
        <w:t xml:space="preserve"> </w:t>
      </w:r>
      <w:r w:rsidR="00A72641" w:rsidRPr="00A828B6">
        <w:rPr>
          <w:rFonts w:ascii="Book Antiqua" w:hAnsi="Book Antiqua"/>
          <w:sz w:val="24"/>
          <w:szCs w:val="24"/>
          <w:lang w:val="en-US" w:eastAsia="tr-TR"/>
        </w:rPr>
        <w:t>&gt;</w:t>
      </w:r>
      <w:r w:rsidR="00DF414C" w:rsidRPr="00A828B6">
        <w:rPr>
          <w:rFonts w:ascii="Book Antiqua" w:hAnsi="Book Antiqua"/>
          <w:sz w:val="24"/>
          <w:szCs w:val="24"/>
          <w:lang w:val="en-US" w:eastAsia="zh-CN"/>
        </w:rPr>
        <w:t xml:space="preserve"> </w:t>
      </w:r>
      <w:r w:rsidR="00A72641" w:rsidRPr="00A828B6">
        <w:rPr>
          <w:rFonts w:ascii="Book Antiqua" w:hAnsi="Book Antiqua"/>
          <w:sz w:val="24"/>
          <w:szCs w:val="24"/>
          <w:lang w:val="en-US" w:eastAsia="tr-TR"/>
        </w:rPr>
        <w:t>0.05)</w:t>
      </w:r>
      <w:r w:rsidR="004A4036" w:rsidRPr="00A828B6">
        <w:rPr>
          <w:rFonts w:ascii="Book Antiqua" w:hAnsi="Book Antiqua"/>
          <w:sz w:val="24"/>
          <w:szCs w:val="24"/>
          <w:lang w:val="en-US" w:eastAsia="tr-TR"/>
        </w:rPr>
        <w:t xml:space="preserve">, </w:t>
      </w:r>
      <w:r w:rsidR="00A72641" w:rsidRPr="00A828B6">
        <w:rPr>
          <w:rFonts w:ascii="Book Antiqua" w:hAnsi="Book Antiqua"/>
          <w:sz w:val="24"/>
          <w:szCs w:val="24"/>
          <w:lang w:val="en-US" w:eastAsia="tr-TR"/>
        </w:rPr>
        <w:t>4</w:t>
      </w:r>
      <w:r w:rsidR="002204C0" w:rsidRPr="00A828B6">
        <w:rPr>
          <w:rFonts w:ascii="Book Antiqua" w:hAnsi="Book Antiqua"/>
          <w:sz w:val="24"/>
          <w:szCs w:val="24"/>
          <w:lang w:val="en-US" w:eastAsia="tr-TR"/>
        </w:rPr>
        <w:t>3.9</w:t>
      </w:r>
      <w:r w:rsidR="00A72641" w:rsidRPr="00A828B6">
        <w:rPr>
          <w:rFonts w:ascii="Book Antiqua" w:hAnsi="Book Antiqua"/>
          <w:sz w:val="24"/>
          <w:szCs w:val="24"/>
          <w:lang w:val="en-US" w:eastAsia="tr-TR"/>
        </w:rPr>
        <w:t>% and 53.6%</w:t>
      </w:r>
      <w:r w:rsidR="00410644" w:rsidRPr="00A828B6">
        <w:rPr>
          <w:rFonts w:ascii="Book Antiqua" w:hAnsi="Book Antiqua"/>
          <w:sz w:val="24"/>
          <w:szCs w:val="24"/>
          <w:lang w:val="en-US" w:eastAsia="tr-TR"/>
        </w:rPr>
        <w:t xml:space="preserve"> in patients with and without cirrhosis, respectively </w:t>
      </w:r>
      <w:r w:rsidR="00A72641" w:rsidRPr="00A828B6">
        <w:rPr>
          <w:rFonts w:ascii="Book Antiqua" w:hAnsi="Book Antiqua"/>
          <w:sz w:val="24"/>
          <w:szCs w:val="24"/>
          <w:lang w:val="en-US" w:eastAsia="tr-TR"/>
        </w:rPr>
        <w:t>(</w:t>
      </w:r>
      <w:r w:rsidR="00EA2FB4" w:rsidRPr="00A828B6">
        <w:rPr>
          <w:rFonts w:ascii="Book Antiqua" w:hAnsi="Book Antiqua"/>
          <w:i/>
          <w:sz w:val="24"/>
          <w:szCs w:val="24"/>
          <w:lang w:val="en-US" w:eastAsia="tr-TR"/>
        </w:rPr>
        <w:t>P</w:t>
      </w:r>
      <w:r w:rsidR="00DF414C" w:rsidRPr="00A828B6">
        <w:rPr>
          <w:rFonts w:ascii="Book Antiqua" w:hAnsi="Book Antiqua"/>
          <w:i/>
          <w:sz w:val="24"/>
          <w:szCs w:val="24"/>
          <w:lang w:val="en-US" w:eastAsia="zh-CN"/>
        </w:rPr>
        <w:t xml:space="preserve"> </w:t>
      </w:r>
      <w:r w:rsidR="00A72641" w:rsidRPr="00A828B6">
        <w:rPr>
          <w:rFonts w:ascii="Book Antiqua" w:hAnsi="Book Antiqua"/>
          <w:sz w:val="24"/>
          <w:szCs w:val="24"/>
          <w:lang w:val="en-US" w:eastAsia="tr-TR"/>
        </w:rPr>
        <w:t>&gt;</w:t>
      </w:r>
      <w:r w:rsidR="00DF414C" w:rsidRPr="00A828B6">
        <w:rPr>
          <w:rFonts w:ascii="Book Antiqua" w:hAnsi="Book Antiqua"/>
          <w:sz w:val="24"/>
          <w:szCs w:val="24"/>
          <w:lang w:val="en-US" w:eastAsia="zh-CN"/>
        </w:rPr>
        <w:t xml:space="preserve"> </w:t>
      </w:r>
      <w:r w:rsidR="00A72641" w:rsidRPr="00A828B6">
        <w:rPr>
          <w:rFonts w:ascii="Book Antiqua" w:hAnsi="Book Antiqua"/>
          <w:sz w:val="24"/>
          <w:szCs w:val="24"/>
          <w:lang w:val="en-US" w:eastAsia="tr-TR"/>
        </w:rPr>
        <w:t xml:space="preserve">0.05), </w:t>
      </w:r>
      <w:r w:rsidR="00410644" w:rsidRPr="00A828B6">
        <w:rPr>
          <w:rFonts w:ascii="Book Antiqua" w:hAnsi="Book Antiqua"/>
          <w:sz w:val="24"/>
          <w:szCs w:val="24"/>
          <w:lang w:val="en-US" w:eastAsia="tr-TR"/>
        </w:rPr>
        <w:t xml:space="preserve">and </w:t>
      </w:r>
      <w:r w:rsidR="00EB23A6" w:rsidRPr="00A828B6">
        <w:rPr>
          <w:rFonts w:ascii="Book Antiqua" w:hAnsi="Book Antiqua"/>
          <w:sz w:val="24"/>
          <w:szCs w:val="24"/>
          <w:lang w:val="en-US" w:eastAsia="tr-TR"/>
        </w:rPr>
        <w:t>61</w:t>
      </w:r>
      <w:r w:rsidR="00A72641" w:rsidRPr="00A828B6">
        <w:rPr>
          <w:rFonts w:ascii="Book Antiqua" w:hAnsi="Book Antiqua"/>
          <w:sz w:val="24"/>
          <w:szCs w:val="24"/>
          <w:lang w:val="en-US" w:eastAsia="tr-TR"/>
        </w:rPr>
        <w:t xml:space="preserve">% and </w:t>
      </w:r>
      <w:r w:rsidR="00EB23A6" w:rsidRPr="00A828B6">
        <w:rPr>
          <w:rFonts w:ascii="Book Antiqua" w:hAnsi="Book Antiqua"/>
          <w:sz w:val="24"/>
          <w:szCs w:val="24"/>
          <w:lang w:val="en-US" w:eastAsia="tr-TR"/>
        </w:rPr>
        <w:t>33</w:t>
      </w:r>
      <w:r w:rsidR="00A72641" w:rsidRPr="00A828B6">
        <w:rPr>
          <w:rFonts w:ascii="Book Antiqua" w:hAnsi="Book Antiqua"/>
          <w:sz w:val="24"/>
          <w:szCs w:val="24"/>
          <w:lang w:val="en-US" w:eastAsia="tr-TR"/>
        </w:rPr>
        <w:t xml:space="preserve">% </w:t>
      </w:r>
      <w:r w:rsidR="00410644" w:rsidRPr="00A828B6">
        <w:rPr>
          <w:rFonts w:ascii="Book Antiqua" w:hAnsi="Book Antiqua"/>
          <w:sz w:val="24"/>
          <w:szCs w:val="24"/>
          <w:lang w:val="en-US" w:eastAsia="tr-TR"/>
        </w:rPr>
        <w:t>in patients with and without PVT, respectively</w:t>
      </w:r>
      <w:r w:rsidR="009E671B" w:rsidRPr="00A828B6">
        <w:rPr>
          <w:rFonts w:ascii="Book Antiqua" w:hAnsi="Book Antiqua"/>
          <w:sz w:val="24"/>
          <w:szCs w:val="24"/>
          <w:lang w:val="en-US" w:eastAsia="tr-TR"/>
        </w:rPr>
        <w:t xml:space="preserve"> </w:t>
      </w:r>
      <w:r w:rsidR="00A72641" w:rsidRPr="00A828B6">
        <w:rPr>
          <w:rFonts w:ascii="Book Antiqua" w:hAnsi="Book Antiqua"/>
          <w:sz w:val="24"/>
          <w:szCs w:val="24"/>
          <w:lang w:val="en-US" w:eastAsia="tr-TR"/>
        </w:rPr>
        <w:t>(</w:t>
      </w:r>
      <w:r w:rsidR="00EA2FB4" w:rsidRPr="00A828B6">
        <w:rPr>
          <w:rFonts w:ascii="Book Antiqua" w:hAnsi="Book Antiqua"/>
          <w:i/>
          <w:sz w:val="24"/>
          <w:szCs w:val="24"/>
          <w:lang w:val="en-US" w:eastAsia="tr-TR"/>
        </w:rPr>
        <w:t>P</w:t>
      </w:r>
      <w:r w:rsidR="00DF414C" w:rsidRPr="00A828B6">
        <w:rPr>
          <w:rFonts w:ascii="Book Antiqua" w:hAnsi="Book Antiqua"/>
          <w:i/>
          <w:sz w:val="24"/>
          <w:szCs w:val="24"/>
          <w:lang w:val="en-US" w:eastAsia="zh-CN"/>
        </w:rPr>
        <w:t xml:space="preserve"> </w:t>
      </w:r>
      <w:r w:rsidR="00A72641" w:rsidRPr="00A828B6">
        <w:rPr>
          <w:rFonts w:ascii="Book Antiqua" w:hAnsi="Book Antiqua"/>
          <w:sz w:val="24"/>
          <w:szCs w:val="24"/>
          <w:lang w:val="en-US" w:eastAsia="tr-TR"/>
        </w:rPr>
        <w:t xml:space="preserve">&lt; 0.0001). Of the 111 patients (43%) </w:t>
      </w:r>
      <w:r w:rsidR="00EA2FB4" w:rsidRPr="00A828B6">
        <w:rPr>
          <w:rFonts w:ascii="Book Antiqua" w:hAnsi="Book Antiqua"/>
          <w:sz w:val="24"/>
          <w:szCs w:val="24"/>
          <w:lang w:val="en-US" w:eastAsia="tr-TR"/>
        </w:rPr>
        <w:t>that died</w:t>
      </w:r>
      <w:r w:rsidR="00276EB1" w:rsidRPr="00A828B6">
        <w:rPr>
          <w:rFonts w:ascii="Book Antiqua" w:hAnsi="Book Antiqua"/>
          <w:sz w:val="24"/>
          <w:szCs w:val="24"/>
          <w:lang w:val="en-US" w:eastAsia="tr-TR"/>
        </w:rPr>
        <w:t xml:space="preserve"> during the </w:t>
      </w:r>
      <w:r w:rsidR="00E97175" w:rsidRPr="00A828B6">
        <w:rPr>
          <w:rFonts w:ascii="Book Antiqua" w:hAnsi="Book Antiqua"/>
          <w:sz w:val="24"/>
          <w:szCs w:val="24"/>
          <w:lang w:val="en-US" w:eastAsia="tr-TR"/>
        </w:rPr>
        <w:t xml:space="preserve">follow-up </w:t>
      </w:r>
      <w:r w:rsidR="00276EB1" w:rsidRPr="00A828B6">
        <w:rPr>
          <w:rFonts w:ascii="Book Antiqua" w:hAnsi="Book Antiqua"/>
          <w:sz w:val="24"/>
          <w:szCs w:val="24"/>
          <w:lang w:val="en-US" w:eastAsia="tr-TR"/>
        </w:rPr>
        <w:t>study</w:t>
      </w:r>
      <w:r w:rsidR="00A72641" w:rsidRPr="00A828B6">
        <w:rPr>
          <w:rFonts w:ascii="Book Antiqua" w:hAnsi="Book Antiqua"/>
          <w:sz w:val="24"/>
          <w:szCs w:val="24"/>
          <w:lang w:val="en-US" w:eastAsia="tr-TR"/>
        </w:rPr>
        <w:t xml:space="preserve">, </w:t>
      </w:r>
      <w:r w:rsidR="00EB23A6" w:rsidRPr="00A828B6">
        <w:rPr>
          <w:rFonts w:ascii="Book Antiqua" w:hAnsi="Book Antiqua"/>
          <w:sz w:val="24"/>
          <w:szCs w:val="24"/>
          <w:lang w:val="en-US" w:eastAsia="tr-TR"/>
        </w:rPr>
        <w:t>70 (63.1</w:t>
      </w:r>
      <w:r w:rsidR="00EA2FB4" w:rsidRPr="00A828B6">
        <w:rPr>
          <w:rFonts w:ascii="Book Antiqua" w:hAnsi="Book Antiqua"/>
          <w:sz w:val="24"/>
          <w:szCs w:val="24"/>
          <w:lang w:val="en-US" w:eastAsia="tr-TR"/>
        </w:rPr>
        <w:t>%</w:t>
      </w:r>
      <w:r w:rsidR="00A72641" w:rsidRPr="00A828B6">
        <w:rPr>
          <w:rFonts w:ascii="Book Antiqua" w:hAnsi="Book Antiqua"/>
          <w:sz w:val="24"/>
          <w:szCs w:val="24"/>
          <w:lang w:val="en-US" w:eastAsia="tr-TR"/>
        </w:rPr>
        <w:t xml:space="preserve">) had no </w:t>
      </w:r>
      <w:r w:rsidR="00EB23A6" w:rsidRPr="00A828B6">
        <w:rPr>
          <w:rFonts w:ascii="Book Antiqua" w:hAnsi="Book Antiqua"/>
          <w:sz w:val="24"/>
          <w:szCs w:val="24"/>
          <w:lang w:val="en-US" w:eastAsia="tr-TR"/>
        </w:rPr>
        <w:t>fundic varices (</w:t>
      </w:r>
      <w:r w:rsidR="00EA2FB4" w:rsidRPr="00A828B6">
        <w:rPr>
          <w:rFonts w:ascii="Book Antiqua" w:hAnsi="Book Antiqua"/>
          <w:i/>
          <w:sz w:val="24"/>
          <w:szCs w:val="24"/>
          <w:lang w:val="en-US" w:eastAsia="tr-TR"/>
        </w:rPr>
        <w:t>P</w:t>
      </w:r>
      <w:r w:rsidR="00DF414C" w:rsidRPr="00A828B6">
        <w:rPr>
          <w:rFonts w:ascii="Book Antiqua" w:hAnsi="Book Antiqua"/>
          <w:sz w:val="24"/>
          <w:szCs w:val="24"/>
          <w:lang w:val="en-US" w:eastAsia="zh-CN"/>
        </w:rPr>
        <w:t xml:space="preserve"> =</w:t>
      </w:r>
      <w:r w:rsidR="00BD6017" w:rsidRPr="00A828B6">
        <w:rPr>
          <w:rFonts w:ascii="Book Antiqua" w:hAnsi="Book Antiqua"/>
          <w:sz w:val="24"/>
          <w:szCs w:val="24"/>
          <w:lang w:val="en-US" w:eastAsia="tr-TR"/>
        </w:rPr>
        <w:t xml:space="preserve"> </w:t>
      </w:r>
      <w:r w:rsidR="00EB23A6" w:rsidRPr="00A828B6">
        <w:rPr>
          <w:rFonts w:ascii="Book Antiqua" w:hAnsi="Book Antiqua"/>
          <w:sz w:val="24"/>
          <w:szCs w:val="24"/>
          <w:lang w:val="en-US" w:eastAsia="tr-TR"/>
        </w:rPr>
        <w:t>0.024).</w:t>
      </w:r>
      <w:r w:rsidR="00F5390F" w:rsidRPr="00A828B6">
        <w:rPr>
          <w:rFonts w:ascii="Book Antiqua" w:hAnsi="Book Antiqua"/>
          <w:bCs/>
          <w:sz w:val="24"/>
          <w:szCs w:val="24"/>
          <w:lang w:val="en-US" w:eastAsia="tr-TR"/>
        </w:rPr>
        <w:t xml:space="preserve"> The mortality rate </w:t>
      </w:r>
      <w:r w:rsidR="00F31FF1" w:rsidRPr="00A828B6">
        <w:rPr>
          <w:rFonts w:ascii="Book Antiqua" w:hAnsi="Book Antiqua"/>
          <w:bCs/>
          <w:sz w:val="24"/>
          <w:szCs w:val="24"/>
          <w:lang w:val="en-US" w:eastAsia="tr-TR"/>
        </w:rPr>
        <w:t xml:space="preserve">was </w:t>
      </w:r>
      <w:r w:rsidR="00D15B7C" w:rsidRPr="00A828B6">
        <w:rPr>
          <w:rFonts w:ascii="Book Antiqua" w:hAnsi="Book Antiqua"/>
          <w:bCs/>
          <w:sz w:val="24"/>
          <w:szCs w:val="24"/>
          <w:lang w:val="en-US" w:eastAsia="tr-TR"/>
        </w:rPr>
        <w:t>35.6%</w:t>
      </w:r>
      <w:r w:rsidR="009E671B" w:rsidRPr="00A828B6">
        <w:rPr>
          <w:rFonts w:ascii="Book Antiqua" w:hAnsi="Book Antiqua"/>
          <w:bCs/>
          <w:sz w:val="24"/>
          <w:szCs w:val="24"/>
          <w:lang w:val="en-US" w:eastAsia="tr-TR"/>
        </w:rPr>
        <w:t xml:space="preserve"> </w:t>
      </w:r>
      <w:r w:rsidR="00783C59" w:rsidRPr="00A828B6">
        <w:rPr>
          <w:rFonts w:ascii="Book Antiqua" w:hAnsi="Book Antiqua"/>
          <w:bCs/>
          <w:sz w:val="24"/>
          <w:szCs w:val="24"/>
          <w:lang w:val="en-US" w:eastAsia="tr-TR"/>
        </w:rPr>
        <w:t xml:space="preserve">and </w:t>
      </w:r>
      <w:r w:rsidR="00F5390F" w:rsidRPr="00A828B6">
        <w:rPr>
          <w:rFonts w:ascii="Book Antiqua" w:hAnsi="Book Antiqua"/>
          <w:bCs/>
          <w:sz w:val="24"/>
          <w:szCs w:val="24"/>
          <w:lang w:val="en-US" w:eastAsia="tr-TR"/>
        </w:rPr>
        <w:t xml:space="preserve">51.9% in </w:t>
      </w:r>
      <w:r w:rsidR="00F31FF1" w:rsidRPr="00A828B6">
        <w:rPr>
          <w:rFonts w:ascii="Book Antiqua" w:hAnsi="Book Antiqua"/>
          <w:bCs/>
          <w:sz w:val="24"/>
          <w:szCs w:val="24"/>
          <w:lang w:val="en-US" w:eastAsia="tr-TR"/>
        </w:rPr>
        <w:t xml:space="preserve">those </w:t>
      </w:r>
      <w:r w:rsidR="00783C59" w:rsidRPr="00A828B6">
        <w:rPr>
          <w:rFonts w:ascii="Book Antiqua" w:hAnsi="Book Antiqua"/>
          <w:bCs/>
          <w:sz w:val="24"/>
          <w:szCs w:val="24"/>
          <w:lang w:val="en-US" w:eastAsia="tr-TR"/>
        </w:rPr>
        <w:t xml:space="preserve">with and </w:t>
      </w:r>
      <w:r w:rsidR="00F5390F" w:rsidRPr="00A828B6">
        <w:rPr>
          <w:rFonts w:ascii="Book Antiqua" w:hAnsi="Book Antiqua"/>
          <w:bCs/>
          <w:sz w:val="24"/>
          <w:szCs w:val="24"/>
          <w:lang w:val="en-US" w:eastAsia="tr-TR"/>
        </w:rPr>
        <w:t>wi</w:t>
      </w:r>
      <w:r w:rsidR="00F616ED" w:rsidRPr="00A828B6">
        <w:rPr>
          <w:rFonts w:ascii="Book Antiqua" w:hAnsi="Book Antiqua"/>
          <w:bCs/>
          <w:sz w:val="24"/>
          <w:szCs w:val="24"/>
          <w:lang w:val="en-US" w:eastAsia="tr-TR"/>
        </w:rPr>
        <w:t>thout fundic varices</w:t>
      </w:r>
      <w:r w:rsidR="00783C59" w:rsidRPr="00A828B6">
        <w:rPr>
          <w:rFonts w:ascii="Book Antiqua" w:hAnsi="Book Antiqua"/>
          <w:bCs/>
          <w:sz w:val="24"/>
          <w:szCs w:val="24"/>
          <w:lang w:val="en-US" w:eastAsia="tr-TR"/>
        </w:rPr>
        <w:t>, respectively</w:t>
      </w:r>
      <w:r w:rsidR="00F616ED" w:rsidRPr="00A828B6">
        <w:rPr>
          <w:rFonts w:ascii="Book Antiqua" w:hAnsi="Book Antiqua"/>
          <w:bCs/>
          <w:sz w:val="24"/>
          <w:szCs w:val="24"/>
          <w:lang w:val="en-US" w:eastAsia="tr-TR"/>
        </w:rPr>
        <w:t xml:space="preserve"> (</w:t>
      </w:r>
      <w:r w:rsidR="00A6373D" w:rsidRPr="00A828B6">
        <w:rPr>
          <w:rFonts w:ascii="Book Antiqua" w:hAnsi="Book Antiqua"/>
          <w:i/>
          <w:sz w:val="24"/>
          <w:szCs w:val="24"/>
          <w:lang w:val="en-US" w:eastAsia="tr-TR"/>
        </w:rPr>
        <w:t>P</w:t>
      </w:r>
      <w:r w:rsidR="00DF414C" w:rsidRPr="00A828B6">
        <w:rPr>
          <w:rFonts w:ascii="Book Antiqua" w:hAnsi="Book Antiqua"/>
          <w:i/>
          <w:sz w:val="24"/>
          <w:szCs w:val="24"/>
          <w:lang w:val="en-US" w:eastAsia="zh-CN"/>
        </w:rPr>
        <w:t xml:space="preserve"> </w:t>
      </w:r>
      <w:r w:rsidR="00DF414C" w:rsidRPr="00A828B6">
        <w:rPr>
          <w:rFonts w:ascii="Book Antiqua" w:hAnsi="Book Antiqua"/>
          <w:sz w:val="24"/>
          <w:szCs w:val="24"/>
          <w:lang w:val="en-US" w:eastAsia="zh-CN"/>
        </w:rPr>
        <w:t xml:space="preserve">= </w:t>
      </w:r>
      <w:r w:rsidR="00F616ED" w:rsidRPr="00A828B6">
        <w:rPr>
          <w:rFonts w:ascii="Book Antiqua" w:hAnsi="Book Antiqua"/>
          <w:bCs/>
          <w:sz w:val="24"/>
          <w:szCs w:val="24"/>
          <w:lang w:val="en-US" w:eastAsia="tr-TR"/>
        </w:rPr>
        <w:t>0.014).</w:t>
      </w:r>
    </w:p>
    <w:p w14:paraId="73B862F2" w14:textId="77777777" w:rsidR="003653B6" w:rsidRPr="00A828B6" w:rsidRDefault="003653B6" w:rsidP="001A5A01">
      <w:pPr>
        <w:spacing w:after="0" w:line="360" w:lineRule="auto"/>
        <w:ind w:firstLine="360"/>
        <w:jc w:val="both"/>
        <w:rPr>
          <w:rFonts w:ascii="Book Antiqua" w:hAnsi="Book Antiqua"/>
          <w:bCs/>
          <w:sz w:val="24"/>
          <w:szCs w:val="24"/>
          <w:lang w:val="en-US" w:eastAsia="tr-TR"/>
        </w:rPr>
      </w:pPr>
    </w:p>
    <w:p w14:paraId="03B8C9E4" w14:textId="4C7939BD" w:rsidR="00DF74BF" w:rsidRPr="00A828B6" w:rsidRDefault="00DF414C" w:rsidP="001A5A01">
      <w:pPr>
        <w:spacing w:after="0" w:line="360" w:lineRule="auto"/>
        <w:jc w:val="both"/>
        <w:rPr>
          <w:rFonts w:ascii="Book Antiqua" w:hAnsi="Book Antiqua"/>
          <w:b/>
          <w:bCs/>
          <w:i/>
          <w:sz w:val="24"/>
          <w:szCs w:val="24"/>
          <w:lang w:val="en-US" w:eastAsia="zh-CN"/>
        </w:rPr>
      </w:pPr>
      <w:r w:rsidRPr="00A828B6">
        <w:rPr>
          <w:rFonts w:ascii="Book Antiqua" w:hAnsi="Book Antiqua"/>
          <w:b/>
          <w:bCs/>
          <w:i/>
          <w:sz w:val="24"/>
          <w:szCs w:val="24"/>
          <w:lang w:val="en-US" w:eastAsia="tr-TR"/>
        </w:rPr>
        <w:t>HCC</w:t>
      </w:r>
    </w:p>
    <w:p w14:paraId="6325D990" w14:textId="6D542713" w:rsidR="00075E3C" w:rsidRPr="00A828B6" w:rsidRDefault="005B4827" w:rsidP="001A5A01">
      <w:pPr>
        <w:spacing w:after="0" w:line="360" w:lineRule="auto"/>
        <w:jc w:val="both"/>
        <w:rPr>
          <w:rFonts w:ascii="Book Antiqua" w:hAnsi="Book Antiqua"/>
          <w:sz w:val="24"/>
          <w:szCs w:val="24"/>
          <w:lang w:val="en-US"/>
        </w:rPr>
      </w:pPr>
      <w:r w:rsidRPr="00A828B6">
        <w:rPr>
          <w:rFonts w:ascii="Book Antiqua" w:hAnsi="Book Antiqua"/>
          <w:bCs/>
          <w:sz w:val="24"/>
          <w:szCs w:val="24"/>
          <w:lang w:val="en-US" w:eastAsia="tr-TR"/>
        </w:rPr>
        <w:t>HCC was detected in 14.7%</w:t>
      </w:r>
      <w:r w:rsidR="009D22CB" w:rsidRPr="00A828B6">
        <w:rPr>
          <w:rFonts w:ascii="Book Antiqua" w:hAnsi="Book Antiqua"/>
          <w:bCs/>
          <w:sz w:val="24"/>
          <w:szCs w:val="24"/>
          <w:lang w:val="en-US" w:eastAsia="tr-TR"/>
        </w:rPr>
        <w:t xml:space="preserve"> of patients (</w:t>
      </w:r>
      <w:r w:rsidR="009D22CB" w:rsidRPr="00A828B6">
        <w:rPr>
          <w:rFonts w:ascii="Book Antiqua" w:hAnsi="Book Antiqua"/>
          <w:sz w:val="24"/>
          <w:szCs w:val="24"/>
          <w:lang w:val="en-US" w:eastAsia="tr-TR"/>
        </w:rPr>
        <w:t>38 out of 258 total study pool)</w:t>
      </w:r>
      <w:r w:rsidR="00FA2798" w:rsidRPr="00A828B6">
        <w:rPr>
          <w:rFonts w:ascii="Book Antiqua" w:hAnsi="Book Antiqua"/>
          <w:bCs/>
          <w:sz w:val="24"/>
          <w:szCs w:val="24"/>
          <w:lang w:val="en-US" w:eastAsia="tr-TR"/>
        </w:rPr>
        <w:t xml:space="preserve">. </w:t>
      </w:r>
      <w:r w:rsidR="009A2885" w:rsidRPr="00A828B6">
        <w:rPr>
          <w:rFonts w:ascii="Book Antiqua" w:hAnsi="Book Antiqua"/>
          <w:bCs/>
          <w:sz w:val="24"/>
          <w:szCs w:val="24"/>
          <w:lang w:val="en-US" w:eastAsia="tr-TR"/>
        </w:rPr>
        <w:t>As shown in Fig</w:t>
      </w:r>
      <w:r w:rsidR="00A828B6" w:rsidRPr="00A828B6">
        <w:rPr>
          <w:rFonts w:ascii="Book Antiqua" w:hAnsi="Book Antiqua"/>
          <w:bCs/>
          <w:sz w:val="24"/>
          <w:szCs w:val="24"/>
          <w:lang w:val="en-US" w:eastAsia="zh-CN"/>
        </w:rPr>
        <w:t>ure</w:t>
      </w:r>
      <w:r w:rsidR="009A2885" w:rsidRPr="00A828B6">
        <w:rPr>
          <w:rFonts w:ascii="Book Antiqua" w:hAnsi="Book Antiqua"/>
          <w:bCs/>
          <w:sz w:val="24"/>
          <w:szCs w:val="24"/>
          <w:lang w:val="en-US" w:eastAsia="tr-TR"/>
        </w:rPr>
        <w:t xml:space="preserve"> 1 and Table 2, t</w:t>
      </w:r>
      <w:r w:rsidR="00F1672C" w:rsidRPr="00A828B6">
        <w:rPr>
          <w:rFonts w:ascii="Book Antiqua" w:hAnsi="Book Antiqua"/>
          <w:bCs/>
          <w:sz w:val="24"/>
          <w:szCs w:val="24"/>
          <w:lang w:val="en-US" w:eastAsia="tr-TR"/>
        </w:rPr>
        <w:t xml:space="preserve">he incidence rate of </w:t>
      </w:r>
      <w:r w:rsidR="00432E00" w:rsidRPr="00A828B6">
        <w:rPr>
          <w:rFonts w:ascii="Book Antiqua" w:hAnsi="Book Antiqua"/>
          <w:bCs/>
          <w:sz w:val="24"/>
          <w:szCs w:val="24"/>
          <w:lang w:val="en-US" w:eastAsia="tr-TR"/>
        </w:rPr>
        <w:t xml:space="preserve">HCC </w:t>
      </w:r>
      <w:r w:rsidR="00F1672C" w:rsidRPr="00A828B6">
        <w:rPr>
          <w:rFonts w:ascii="Book Antiqua" w:hAnsi="Book Antiqua"/>
          <w:bCs/>
          <w:sz w:val="24"/>
          <w:szCs w:val="24"/>
          <w:lang w:val="en-US" w:eastAsia="tr-TR"/>
        </w:rPr>
        <w:t>was</w:t>
      </w:r>
      <w:r w:rsidR="00FA2798" w:rsidRPr="00A828B6">
        <w:rPr>
          <w:rFonts w:ascii="Book Antiqua" w:hAnsi="Book Antiqua"/>
          <w:bCs/>
          <w:sz w:val="24"/>
          <w:szCs w:val="24"/>
          <w:lang w:val="en-US" w:eastAsia="tr-TR"/>
        </w:rPr>
        <w:t>:</w:t>
      </w:r>
      <w:r w:rsidR="003559CA" w:rsidRPr="00A828B6">
        <w:rPr>
          <w:rFonts w:ascii="Book Antiqua" w:hAnsi="Book Antiqua"/>
          <w:bCs/>
          <w:sz w:val="24"/>
          <w:szCs w:val="24"/>
          <w:lang w:val="en-US" w:eastAsia="tr-TR"/>
        </w:rPr>
        <w:t xml:space="preserve"> </w:t>
      </w:r>
      <w:r w:rsidR="00FA2798" w:rsidRPr="00A828B6">
        <w:rPr>
          <w:rFonts w:ascii="Book Antiqua" w:hAnsi="Book Antiqua"/>
          <w:bCs/>
          <w:sz w:val="24"/>
          <w:szCs w:val="24"/>
          <w:lang w:val="en-US" w:eastAsia="tr-TR"/>
        </w:rPr>
        <w:t>5</w:t>
      </w:r>
      <w:r w:rsidR="003F0519" w:rsidRPr="00A828B6">
        <w:rPr>
          <w:rFonts w:ascii="Book Antiqua" w:hAnsi="Book Antiqua"/>
          <w:bCs/>
          <w:sz w:val="24"/>
          <w:szCs w:val="24"/>
          <w:lang w:val="en-US" w:eastAsia="tr-TR"/>
        </w:rPr>
        <w:t>.0</w:t>
      </w:r>
      <w:r w:rsidR="00FA2798" w:rsidRPr="00A828B6">
        <w:rPr>
          <w:rFonts w:ascii="Book Antiqua" w:hAnsi="Book Antiqua"/>
          <w:bCs/>
          <w:sz w:val="24"/>
          <w:szCs w:val="24"/>
          <w:lang w:val="en-US" w:eastAsia="tr-TR"/>
        </w:rPr>
        <w:t xml:space="preserve">% in </w:t>
      </w:r>
      <w:r w:rsidR="00F1672C" w:rsidRPr="00A828B6">
        <w:rPr>
          <w:rFonts w:ascii="Book Antiqua" w:hAnsi="Book Antiqua"/>
          <w:bCs/>
          <w:sz w:val="24"/>
          <w:szCs w:val="24"/>
          <w:lang w:val="en-US" w:eastAsia="tr-TR"/>
        </w:rPr>
        <w:t xml:space="preserve">patients with </w:t>
      </w:r>
      <w:r w:rsidR="00FA2798" w:rsidRPr="00A828B6">
        <w:rPr>
          <w:rFonts w:ascii="Book Antiqua" w:hAnsi="Book Antiqua"/>
          <w:bCs/>
          <w:sz w:val="24"/>
          <w:szCs w:val="24"/>
          <w:lang w:val="en-US" w:eastAsia="tr-TR"/>
        </w:rPr>
        <w:t xml:space="preserve">NAFLD, 26.7% in </w:t>
      </w:r>
      <w:r w:rsidR="00F1672C" w:rsidRPr="00A828B6">
        <w:rPr>
          <w:rFonts w:ascii="Book Antiqua" w:hAnsi="Book Antiqua"/>
          <w:bCs/>
          <w:sz w:val="24"/>
          <w:szCs w:val="24"/>
          <w:lang w:val="en-US" w:eastAsia="tr-TR"/>
        </w:rPr>
        <w:t xml:space="preserve">patients with </w:t>
      </w:r>
      <w:r w:rsidR="00396273" w:rsidRPr="00A828B6">
        <w:rPr>
          <w:rFonts w:ascii="Book Antiqua" w:hAnsi="Book Antiqua"/>
          <w:bCs/>
          <w:sz w:val="24"/>
          <w:szCs w:val="24"/>
          <w:lang w:val="en-US" w:eastAsia="tr-TR"/>
        </w:rPr>
        <w:t>h</w:t>
      </w:r>
      <w:r w:rsidR="00FA2798" w:rsidRPr="00A828B6">
        <w:rPr>
          <w:rFonts w:ascii="Book Antiqua" w:hAnsi="Book Antiqua"/>
          <w:bCs/>
          <w:sz w:val="24"/>
          <w:szCs w:val="24"/>
          <w:lang w:val="en-US" w:eastAsia="tr-TR"/>
        </w:rPr>
        <w:t xml:space="preserve">epatitis B, 34.5% in </w:t>
      </w:r>
      <w:r w:rsidR="00F1672C" w:rsidRPr="00A828B6">
        <w:rPr>
          <w:rFonts w:ascii="Book Antiqua" w:hAnsi="Book Antiqua"/>
          <w:bCs/>
          <w:sz w:val="24"/>
          <w:szCs w:val="24"/>
          <w:lang w:val="en-US" w:eastAsia="tr-TR"/>
        </w:rPr>
        <w:t xml:space="preserve">patients with </w:t>
      </w:r>
      <w:r w:rsidR="00396273" w:rsidRPr="00A828B6">
        <w:rPr>
          <w:rFonts w:ascii="Book Antiqua" w:hAnsi="Book Antiqua"/>
          <w:bCs/>
          <w:sz w:val="24"/>
          <w:szCs w:val="24"/>
          <w:lang w:val="en-US" w:eastAsia="tr-TR"/>
        </w:rPr>
        <w:t>h</w:t>
      </w:r>
      <w:r w:rsidR="00FA2798" w:rsidRPr="00A828B6">
        <w:rPr>
          <w:rFonts w:ascii="Book Antiqua" w:hAnsi="Book Antiqua"/>
          <w:bCs/>
          <w:sz w:val="24"/>
          <w:szCs w:val="24"/>
          <w:lang w:val="en-US" w:eastAsia="tr-TR"/>
        </w:rPr>
        <w:t xml:space="preserve">epatitis C, and 5.7% in </w:t>
      </w:r>
      <w:r w:rsidR="00432E00" w:rsidRPr="00A828B6">
        <w:rPr>
          <w:rFonts w:ascii="Book Antiqua" w:hAnsi="Book Antiqua"/>
          <w:bCs/>
          <w:sz w:val="24"/>
          <w:szCs w:val="24"/>
          <w:lang w:val="en-US" w:eastAsia="tr-TR"/>
        </w:rPr>
        <w:t>other</w:t>
      </w:r>
      <w:r w:rsidR="00701D95" w:rsidRPr="00A828B6">
        <w:rPr>
          <w:rFonts w:ascii="Book Antiqua" w:hAnsi="Book Antiqua"/>
          <w:bCs/>
          <w:sz w:val="24"/>
          <w:szCs w:val="24"/>
          <w:lang w:val="en-US" w:eastAsia="tr-TR"/>
        </w:rPr>
        <w:t xml:space="preserve"> diseases </w:t>
      </w:r>
      <w:r w:rsidR="00FA2798" w:rsidRPr="00A828B6">
        <w:rPr>
          <w:rFonts w:ascii="Book Antiqua" w:hAnsi="Book Antiqua"/>
          <w:bCs/>
          <w:sz w:val="24"/>
          <w:szCs w:val="24"/>
          <w:lang w:val="en-US" w:eastAsia="tr-TR"/>
        </w:rPr>
        <w:t>(</w:t>
      </w:r>
      <w:r w:rsidR="00701D95" w:rsidRPr="00A828B6">
        <w:rPr>
          <w:rFonts w:ascii="Book Antiqua" w:hAnsi="Book Antiqua"/>
          <w:bCs/>
          <w:i/>
          <w:sz w:val="24"/>
          <w:szCs w:val="24"/>
          <w:lang w:val="en-US" w:eastAsia="tr-TR"/>
        </w:rPr>
        <w:t>P</w:t>
      </w:r>
      <w:r w:rsidR="00A828B6" w:rsidRPr="00A828B6">
        <w:rPr>
          <w:rFonts w:ascii="Book Antiqua" w:hAnsi="Book Antiqua"/>
          <w:bCs/>
          <w:i/>
          <w:sz w:val="24"/>
          <w:szCs w:val="24"/>
          <w:lang w:val="en-US" w:eastAsia="zh-CN"/>
        </w:rPr>
        <w:t xml:space="preserve"> </w:t>
      </w:r>
      <w:r w:rsidR="00FA2798" w:rsidRPr="00A828B6">
        <w:rPr>
          <w:rFonts w:ascii="Book Antiqua" w:hAnsi="Book Antiqua"/>
          <w:bCs/>
          <w:sz w:val="24"/>
          <w:szCs w:val="24"/>
          <w:lang w:val="en-US" w:eastAsia="tr-TR"/>
        </w:rPr>
        <w:t>&lt;</w:t>
      </w:r>
      <w:r w:rsidR="00A828B6" w:rsidRPr="00A828B6">
        <w:rPr>
          <w:rFonts w:ascii="Book Antiqua" w:hAnsi="Book Antiqua"/>
          <w:bCs/>
          <w:sz w:val="24"/>
          <w:szCs w:val="24"/>
          <w:lang w:val="en-US" w:eastAsia="zh-CN"/>
        </w:rPr>
        <w:t xml:space="preserve"> </w:t>
      </w:r>
      <w:r w:rsidR="00FA2798" w:rsidRPr="00A828B6">
        <w:rPr>
          <w:rFonts w:ascii="Book Antiqua" w:hAnsi="Book Antiqua"/>
          <w:bCs/>
          <w:sz w:val="24"/>
          <w:szCs w:val="24"/>
          <w:lang w:val="en-US" w:eastAsia="tr-TR"/>
        </w:rPr>
        <w:t>0.0001). Of the</w:t>
      </w:r>
      <w:r w:rsidR="002F7619" w:rsidRPr="00A828B6">
        <w:rPr>
          <w:rFonts w:ascii="Book Antiqua" w:hAnsi="Book Antiqua"/>
          <w:bCs/>
          <w:sz w:val="24"/>
          <w:szCs w:val="24"/>
          <w:lang w:val="en-US" w:eastAsia="tr-TR"/>
        </w:rPr>
        <w:t xml:space="preserve"> 38 patients with HCC, 13% had PVT</w:t>
      </w:r>
      <w:r w:rsidR="002F76C1" w:rsidRPr="00A828B6">
        <w:rPr>
          <w:rFonts w:ascii="Book Antiqua" w:hAnsi="Book Antiqua"/>
          <w:bCs/>
          <w:sz w:val="24"/>
          <w:szCs w:val="24"/>
          <w:lang w:val="en-US" w:eastAsia="tr-TR"/>
        </w:rPr>
        <w:t xml:space="preserve"> (Table 3)</w:t>
      </w:r>
      <w:r w:rsidR="002F7619" w:rsidRPr="00A828B6">
        <w:rPr>
          <w:rFonts w:ascii="Book Antiqua" w:hAnsi="Book Antiqua"/>
          <w:bCs/>
          <w:sz w:val="24"/>
          <w:szCs w:val="24"/>
          <w:lang w:val="en-US" w:eastAsia="tr-TR"/>
        </w:rPr>
        <w:t xml:space="preserve">. </w:t>
      </w:r>
      <w:r w:rsidR="00D77103" w:rsidRPr="00A828B6">
        <w:rPr>
          <w:rFonts w:ascii="Book Antiqua" w:hAnsi="Book Antiqua"/>
          <w:bCs/>
          <w:sz w:val="24"/>
          <w:szCs w:val="24"/>
          <w:lang w:val="en-US" w:eastAsia="tr-TR"/>
        </w:rPr>
        <w:t xml:space="preserve">Moreover, </w:t>
      </w:r>
      <w:r w:rsidR="00FA2798" w:rsidRPr="00A828B6">
        <w:rPr>
          <w:rFonts w:ascii="Book Antiqua" w:hAnsi="Book Antiqua"/>
          <w:bCs/>
          <w:sz w:val="24"/>
          <w:szCs w:val="24"/>
          <w:lang w:val="en-US" w:eastAsia="tr-TR"/>
        </w:rPr>
        <w:t>HCC increased the morta</w:t>
      </w:r>
      <w:r w:rsidR="00471AB1" w:rsidRPr="00A828B6">
        <w:rPr>
          <w:rFonts w:ascii="Book Antiqua" w:hAnsi="Book Antiqua"/>
          <w:bCs/>
          <w:sz w:val="24"/>
          <w:szCs w:val="24"/>
          <w:lang w:val="en-US" w:eastAsia="tr-TR"/>
        </w:rPr>
        <w:t>lity rate</w:t>
      </w:r>
      <w:r w:rsidR="003559CA" w:rsidRPr="00A828B6">
        <w:rPr>
          <w:rFonts w:ascii="Book Antiqua" w:hAnsi="Book Antiqua"/>
          <w:bCs/>
          <w:sz w:val="24"/>
          <w:szCs w:val="24"/>
          <w:lang w:val="en-US" w:eastAsia="tr-TR"/>
        </w:rPr>
        <w:t xml:space="preserve"> </w:t>
      </w:r>
      <w:r w:rsidR="00471AB1" w:rsidRPr="00A828B6">
        <w:rPr>
          <w:rFonts w:ascii="Book Antiqua" w:hAnsi="Book Antiqua"/>
          <w:bCs/>
          <w:sz w:val="24"/>
          <w:szCs w:val="24"/>
          <w:lang w:val="en-US" w:eastAsia="tr-TR"/>
        </w:rPr>
        <w:t xml:space="preserve">in </w:t>
      </w:r>
      <w:r w:rsidR="002F76C1" w:rsidRPr="00A828B6">
        <w:rPr>
          <w:rFonts w:ascii="Book Antiqua" w:hAnsi="Book Antiqua"/>
          <w:bCs/>
          <w:sz w:val="24"/>
          <w:szCs w:val="24"/>
          <w:lang w:val="en-US" w:eastAsia="tr-TR"/>
        </w:rPr>
        <w:t xml:space="preserve">almost all the </w:t>
      </w:r>
      <w:r w:rsidR="00471AB1" w:rsidRPr="00A828B6">
        <w:rPr>
          <w:rFonts w:ascii="Book Antiqua" w:hAnsi="Book Antiqua"/>
          <w:bCs/>
          <w:sz w:val="24"/>
          <w:szCs w:val="24"/>
          <w:lang w:val="en-US" w:eastAsia="tr-TR"/>
        </w:rPr>
        <w:t>groups</w:t>
      </w:r>
      <w:r w:rsidR="00331C07" w:rsidRPr="00A828B6">
        <w:rPr>
          <w:rFonts w:ascii="Book Antiqua" w:hAnsi="Book Antiqua"/>
          <w:bCs/>
          <w:sz w:val="24"/>
          <w:szCs w:val="24"/>
          <w:lang w:val="en-US" w:eastAsia="tr-TR"/>
        </w:rPr>
        <w:t>. The mortality rate</w:t>
      </w:r>
      <w:r w:rsidR="00471AB1" w:rsidRPr="00A828B6">
        <w:rPr>
          <w:rFonts w:ascii="Book Antiqua" w:hAnsi="Book Antiqua"/>
          <w:bCs/>
          <w:sz w:val="24"/>
          <w:szCs w:val="24"/>
          <w:lang w:val="en-US" w:eastAsia="tr-TR"/>
        </w:rPr>
        <w:t xml:space="preserve"> in hepatitis B group</w:t>
      </w:r>
      <w:r w:rsidR="003559CA" w:rsidRPr="00A828B6">
        <w:rPr>
          <w:rFonts w:ascii="Book Antiqua" w:hAnsi="Book Antiqua"/>
          <w:bCs/>
          <w:sz w:val="24"/>
          <w:szCs w:val="24"/>
          <w:lang w:val="en-US" w:eastAsia="tr-TR"/>
        </w:rPr>
        <w:t xml:space="preserve"> </w:t>
      </w:r>
      <w:r w:rsidR="00D77103" w:rsidRPr="00A828B6">
        <w:rPr>
          <w:rFonts w:ascii="Book Antiqua" w:hAnsi="Book Antiqua"/>
          <w:bCs/>
          <w:sz w:val="24"/>
          <w:szCs w:val="24"/>
          <w:lang w:val="en-US" w:eastAsia="tr-TR"/>
        </w:rPr>
        <w:t xml:space="preserve">increased from 31% </w:t>
      </w:r>
      <w:r w:rsidR="006318E4" w:rsidRPr="00A828B6">
        <w:rPr>
          <w:rFonts w:ascii="Book Antiqua" w:hAnsi="Book Antiqua"/>
          <w:bCs/>
          <w:sz w:val="24"/>
          <w:szCs w:val="24"/>
          <w:lang w:val="en-US" w:eastAsia="tr-TR"/>
        </w:rPr>
        <w:t xml:space="preserve">(17/55) </w:t>
      </w:r>
      <w:r w:rsidR="00D77103" w:rsidRPr="00A828B6">
        <w:rPr>
          <w:rFonts w:ascii="Book Antiqua" w:hAnsi="Book Antiqua"/>
          <w:bCs/>
          <w:sz w:val="24"/>
          <w:szCs w:val="24"/>
          <w:lang w:val="en-US" w:eastAsia="tr-TR"/>
        </w:rPr>
        <w:t>in patients without HC</w:t>
      </w:r>
      <w:r w:rsidR="006318E4" w:rsidRPr="00A828B6">
        <w:rPr>
          <w:rFonts w:ascii="Book Antiqua" w:hAnsi="Book Antiqua"/>
          <w:bCs/>
          <w:sz w:val="24"/>
          <w:szCs w:val="24"/>
          <w:lang w:val="en-US" w:eastAsia="tr-TR"/>
        </w:rPr>
        <w:t>C</w:t>
      </w:r>
      <w:r w:rsidR="00D77103" w:rsidRPr="00A828B6">
        <w:rPr>
          <w:rFonts w:ascii="Book Antiqua" w:hAnsi="Book Antiqua"/>
          <w:bCs/>
          <w:sz w:val="24"/>
          <w:szCs w:val="24"/>
          <w:lang w:val="en-US" w:eastAsia="tr-TR"/>
        </w:rPr>
        <w:t xml:space="preserve"> to </w:t>
      </w:r>
      <w:r w:rsidR="00331C07" w:rsidRPr="00A828B6">
        <w:rPr>
          <w:rFonts w:ascii="Book Antiqua" w:hAnsi="Book Antiqua"/>
          <w:bCs/>
          <w:sz w:val="24"/>
          <w:szCs w:val="24"/>
          <w:lang w:val="en-US" w:eastAsia="tr-TR"/>
        </w:rPr>
        <w:t xml:space="preserve">75% </w:t>
      </w:r>
      <w:r w:rsidR="006318E4" w:rsidRPr="00A828B6">
        <w:rPr>
          <w:rFonts w:ascii="Book Antiqua" w:hAnsi="Book Antiqua"/>
          <w:bCs/>
          <w:sz w:val="24"/>
          <w:szCs w:val="24"/>
          <w:lang w:val="en-US" w:eastAsia="tr-TR"/>
        </w:rPr>
        <w:lastRenderedPageBreak/>
        <w:t xml:space="preserve">(15/20) </w:t>
      </w:r>
      <w:r w:rsidR="00D77103" w:rsidRPr="00A828B6">
        <w:rPr>
          <w:rFonts w:ascii="Book Antiqua" w:hAnsi="Book Antiqua"/>
          <w:bCs/>
          <w:sz w:val="24"/>
          <w:szCs w:val="24"/>
          <w:lang w:val="en-US" w:eastAsia="tr-TR"/>
        </w:rPr>
        <w:t xml:space="preserve">in patients with HCC </w:t>
      </w:r>
      <w:r w:rsidR="002E182B" w:rsidRPr="00A828B6">
        <w:rPr>
          <w:rFonts w:ascii="Book Antiqua" w:hAnsi="Book Antiqua"/>
          <w:bCs/>
          <w:sz w:val="24"/>
          <w:szCs w:val="24"/>
          <w:lang w:val="en-US" w:eastAsia="tr-TR"/>
        </w:rPr>
        <w:t>(</w:t>
      </w:r>
      <w:r w:rsidR="00D77103" w:rsidRPr="00A828B6">
        <w:rPr>
          <w:rFonts w:ascii="Book Antiqua" w:hAnsi="Book Antiqua"/>
          <w:bCs/>
          <w:i/>
          <w:sz w:val="24"/>
          <w:szCs w:val="24"/>
          <w:lang w:val="en-US" w:eastAsia="tr-TR"/>
        </w:rPr>
        <w:t>P</w:t>
      </w:r>
      <w:r w:rsidR="002F76C1" w:rsidRPr="00A828B6">
        <w:rPr>
          <w:rFonts w:ascii="Book Antiqua" w:hAnsi="Book Antiqua"/>
          <w:bCs/>
          <w:sz w:val="24"/>
          <w:szCs w:val="24"/>
          <w:lang w:val="en-US" w:eastAsia="tr-TR"/>
        </w:rPr>
        <w:t xml:space="preserve">: </w:t>
      </w:r>
      <w:r w:rsidR="00471AB1" w:rsidRPr="00A828B6">
        <w:rPr>
          <w:rFonts w:ascii="Book Antiqua" w:hAnsi="Book Antiqua"/>
          <w:bCs/>
          <w:sz w:val="24"/>
          <w:szCs w:val="24"/>
          <w:lang w:val="en-US" w:eastAsia="tr-TR"/>
        </w:rPr>
        <w:t>0.001</w:t>
      </w:r>
      <w:r w:rsidR="002E182B" w:rsidRPr="00A828B6">
        <w:rPr>
          <w:rFonts w:ascii="Book Antiqua" w:hAnsi="Book Antiqua"/>
          <w:bCs/>
          <w:sz w:val="24"/>
          <w:szCs w:val="24"/>
          <w:lang w:val="en-US" w:eastAsia="tr-TR"/>
        </w:rPr>
        <w:t>)</w:t>
      </w:r>
      <w:r w:rsidR="00331C07" w:rsidRPr="00A828B6">
        <w:rPr>
          <w:rFonts w:ascii="Book Antiqua" w:hAnsi="Book Antiqua"/>
          <w:bCs/>
          <w:sz w:val="24"/>
          <w:szCs w:val="24"/>
          <w:lang w:val="en-US" w:eastAsia="tr-TR"/>
        </w:rPr>
        <w:t xml:space="preserve">. In </w:t>
      </w:r>
      <w:r w:rsidR="00D77103" w:rsidRPr="00A828B6">
        <w:rPr>
          <w:rFonts w:ascii="Book Antiqua" w:hAnsi="Book Antiqua"/>
          <w:bCs/>
          <w:sz w:val="24"/>
          <w:szCs w:val="24"/>
          <w:lang w:val="en-US" w:eastAsia="tr-TR"/>
        </w:rPr>
        <w:t xml:space="preserve">the group with </w:t>
      </w:r>
      <w:r w:rsidR="00331C07" w:rsidRPr="00A828B6">
        <w:rPr>
          <w:rFonts w:ascii="Book Antiqua" w:hAnsi="Book Antiqua"/>
          <w:bCs/>
          <w:sz w:val="24"/>
          <w:szCs w:val="24"/>
          <w:lang w:val="en-US" w:eastAsia="tr-TR"/>
        </w:rPr>
        <w:t xml:space="preserve">hepatitis C, </w:t>
      </w:r>
      <w:r w:rsidR="00D77103" w:rsidRPr="00A828B6">
        <w:rPr>
          <w:rFonts w:ascii="Book Antiqua" w:hAnsi="Book Antiqua"/>
          <w:bCs/>
          <w:sz w:val="24"/>
          <w:szCs w:val="24"/>
          <w:lang w:val="en-US" w:eastAsia="tr-TR"/>
        </w:rPr>
        <w:t xml:space="preserve">the </w:t>
      </w:r>
      <w:r w:rsidR="00331C07" w:rsidRPr="00A828B6">
        <w:rPr>
          <w:rFonts w:ascii="Book Antiqua" w:hAnsi="Book Antiqua"/>
          <w:bCs/>
          <w:sz w:val="24"/>
          <w:szCs w:val="24"/>
          <w:lang w:val="en-US" w:eastAsia="tr-TR"/>
        </w:rPr>
        <w:t xml:space="preserve">mortality rate </w:t>
      </w:r>
      <w:r w:rsidR="00D77103" w:rsidRPr="00A828B6">
        <w:rPr>
          <w:rFonts w:ascii="Book Antiqua" w:hAnsi="Book Antiqua"/>
          <w:bCs/>
          <w:sz w:val="24"/>
          <w:szCs w:val="24"/>
          <w:lang w:val="en-US" w:eastAsia="tr-TR"/>
        </w:rPr>
        <w:t xml:space="preserve">increased from </w:t>
      </w:r>
      <w:r w:rsidR="00331C07" w:rsidRPr="00A828B6">
        <w:rPr>
          <w:rFonts w:ascii="Book Antiqua" w:hAnsi="Book Antiqua"/>
          <w:bCs/>
          <w:sz w:val="24"/>
          <w:szCs w:val="24"/>
          <w:lang w:val="en-US" w:eastAsia="tr-TR"/>
        </w:rPr>
        <w:t xml:space="preserve">32% </w:t>
      </w:r>
      <w:r w:rsidR="00471AB1" w:rsidRPr="00A828B6">
        <w:rPr>
          <w:rFonts w:ascii="Book Antiqua" w:hAnsi="Book Antiqua"/>
          <w:bCs/>
          <w:sz w:val="24"/>
          <w:szCs w:val="24"/>
          <w:lang w:val="en-US" w:eastAsia="tr-TR"/>
        </w:rPr>
        <w:t>(6/19</w:t>
      </w:r>
      <w:r w:rsidR="00D77103" w:rsidRPr="00A828B6">
        <w:rPr>
          <w:rFonts w:ascii="Book Antiqua" w:hAnsi="Book Antiqua"/>
          <w:bCs/>
          <w:sz w:val="24"/>
          <w:szCs w:val="24"/>
          <w:lang w:val="en-US" w:eastAsia="tr-TR"/>
        </w:rPr>
        <w:t>)</w:t>
      </w:r>
      <w:r w:rsidR="003559CA" w:rsidRPr="00A828B6">
        <w:rPr>
          <w:rFonts w:ascii="Book Antiqua" w:hAnsi="Book Antiqua"/>
          <w:bCs/>
          <w:sz w:val="24"/>
          <w:szCs w:val="24"/>
          <w:lang w:val="en-US" w:eastAsia="tr-TR"/>
        </w:rPr>
        <w:t xml:space="preserve"> </w:t>
      </w:r>
      <w:r w:rsidR="00D77103" w:rsidRPr="00A828B6">
        <w:rPr>
          <w:rFonts w:ascii="Book Antiqua" w:hAnsi="Book Antiqua"/>
          <w:bCs/>
          <w:sz w:val="24"/>
          <w:szCs w:val="24"/>
          <w:lang w:val="en-US" w:eastAsia="tr-TR"/>
        </w:rPr>
        <w:t xml:space="preserve">in patients </w:t>
      </w:r>
      <w:r w:rsidR="00471AB1" w:rsidRPr="00A828B6">
        <w:rPr>
          <w:rFonts w:ascii="Book Antiqua" w:hAnsi="Book Antiqua"/>
          <w:bCs/>
          <w:sz w:val="24"/>
          <w:szCs w:val="24"/>
          <w:lang w:val="en-US" w:eastAsia="tr-TR"/>
        </w:rPr>
        <w:t>without HCC</w:t>
      </w:r>
      <w:r w:rsidR="00D77103" w:rsidRPr="00A828B6">
        <w:rPr>
          <w:rFonts w:ascii="Book Antiqua" w:hAnsi="Book Antiqua"/>
          <w:bCs/>
          <w:sz w:val="24"/>
          <w:szCs w:val="24"/>
          <w:lang w:val="en-US" w:eastAsia="tr-TR"/>
        </w:rPr>
        <w:t xml:space="preserve"> to 90% </w:t>
      </w:r>
      <w:r w:rsidR="006318E4" w:rsidRPr="00A828B6">
        <w:rPr>
          <w:rFonts w:ascii="Book Antiqua" w:hAnsi="Book Antiqua"/>
          <w:bCs/>
          <w:sz w:val="24"/>
          <w:szCs w:val="24"/>
          <w:lang w:val="en-US" w:eastAsia="tr-TR"/>
        </w:rPr>
        <w:t xml:space="preserve">(9/10) </w:t>
      </w:r>
      <w:r w:rsidR="00D77103" w:rsidRPr="00A828B6">
        <w:rPr>
          <w:rFonts w:ascii="Book Antiqua" w:hAnsi="Book Antiqua"/>
          <w:bCs/>
          <w:sz w:val="24"/>
          <w:szCs w:val="24"/>
          <w:lang w:val="en-US" w:eastAsia="tr-TR"/>
        </w:rPr>
        <w:t>in patients with HCC</w:t>
      </w:r>
      <w:r w:rsidR="00BA37D6" w:rsidRPr="00A828B6">
        <w:rPr>
          <w:rFonts w:ascii="Book Antiqua" w:hAnsi="Book Antiqua"/>
          <w:bCs/>
          <w:sz w:val="24"/>
          <w:szCs w:val="24"/>
          <w:lang w:val="en-US" w:eastAsia="tr-TR"/>
        </w:rPr>
        <w:t xml:space="preserve"> (</w:t>
      </w:r>
      <w:r w:rsidR="00BA37D6" w:rsidRPr="00A828B6">
        <w:rPr>
          <w:rFonts w:ascii="Book Antiqua" w:hAnsi="Book Antiqua"/>
          <w:bCs/>
          <w:i/>
          <w:sz w:val="24"/>
          <w:szCs w:val="24"/>
          <w:lang w:val="en-US" w:eastAsia="tr-TR"/>
        </w:rPr>
        <w:t>P</w:t>
      </w:r>
      <w:r w:rsidR="00C66BBB" w:rsidRPr="00A828B6">
        <w:rPr>
          <w:rFonts w:ascii="Book Antiqua" w:hAnsi="Book Antiqua"/>
          <w:bCs/>
          <w:sz w:val="24"/>
          <w:szCs w:val="24"/>
          <w:lang w:val="en-US" w:eastAsia="tr-TR"/>
        </w:rPr>
        <w:t xml:space="preserve">: </w:t>
      </w:r>
      <w:r w:rsidR="00471AB1" w:rsidRPr="00A828B6">
        <w:rPr>
          <w:rFonts w:ascii="Book Antiqua" w:hAnsi="Book Antiqua"/>
          <w:bCs/>
          <w:sz w:val="24"/>
          <w:szCs w:val="24"/>
          <w:lang w:val="en-US" w:eastAsia="tr-TR"/>
        </w:rPr>
        <w:t>0.005</w:t>
      </w:r>
      <w:r w:rsidR="002E182B" w:rsidRPr="00A828B6">
        <w:rPr>
          <w:rFonts w:ascii="Book Antiqua" w:hAnsi="Book Antiqua"/>
          <w:bCs/>
          <w:sz w:val="24"/>
          <w:szCs w:val="24"/>
          <w:lang w:val="en-US" w:eastAsia="tr-TR"/>
        </w:rPr>
        <w:t>)</w:t>
      </w:r>
      <w:r w:rsidR="00331C07" w:rsidRPr="00A828B6">
        <w:rPr>
          <w:rFonts w:ascii="Book Antiqua" w:hAnsi="Book Antiqua"/>
          <w:bCs/>
          <w:sz w:val="24"/>
          <w:szCs w:val="24"/>
          <w:lang w:val="en-US" w:eastAsia="tr-TR"/>
        </w:rPr>
        <w:t xml:space="preserve">. </w:t>
      </w:r>
      <w:r w:rsidR="007F4F81" w:rsidRPr="00A828B6">
        <w:rPr>
          <w:rFonts w:ascii="Book Antiqua" w:hAnsi="Book Antiqua"/>
          <w:bCs/>
          <w:sz w:val="24"/>
          <w:szCs w:val="24"/>
          <w:lang w:val="en-US" w:eastAsia="tr-TR"/>
        </w:rPr>
        <w:t>The</w:t>
      </w:r>
      <w:r w:rsidR="00075E3C" w:rsidRPr="00A828B6">
        <w:rPr>
          <w:rFonts w:ascii="Book Antiqua" w:hAnsi="Book Antiqua"/>
          <w:bCs/>
          <w:sz w:val="24"/>
          <w:szCs w:val="24"/>
          <w:lang w:val="en-US"/>
        </w:rPr>
        <w:t xml:space="preserve"> mortality rate in NAFLD patients </w:t>
      </w:r>
      <w:r w:rsidR="007F4F81" w:rsidRPr="00A828B6">
        <w:rPr>
          <w:rFonts w:ascii="Book Antiqua" w:hAnsi="Book Antiqua"/>
          <w:bCs/>
          <w:sz w:val="24"/>
          <w:szCs w:val="24"/>
          <w:lang w:val="en-US"/>
        </w:rPr>
        <w:t>increased from</w:t>
      </w:r>
      <w:r w:rsidR="00075E3C" w:rsidRPr="00A828B6">
        <w:rPr>
          <w:rFonts w:ascii="Book Antiqua" w:hAnsi="Book Antiqua"/>
          <w:bCs/>
          <w:sz w:val="24"/>
          <w:szCs w:val="24"/>
          <w:lang w:val="en-US"/>
        </w:rPr>
        <w:t xml:space="preserve"> 47.5% during follow-up </w:t>
      </w:r>
      <w:r w:rsidR="007F4F81" w:rsidRPr="00A828B6">
        <w:rPr>
          <w:rFonts w:ascii="Book Antiqua" w:hAnsi="Book Antiqua"/>
          <w:bCs/>
          <w:sz w:val="24"/>
          <w:szCs w:val="24"/>
          <w:lang w:val="en-US"/>
        </w:rPr>
        <w:t xml:space="preserve">to </w:t>
      </w:r>
      <w:r w:rsidR="00075E3C" w:rsidRPr="00A828B6">
        <w:rPr>
          <w:rFonts w:ascii="Book Antiqua" w:hAnsi="Book Antiqua"/>
          <w:bCs/>
          <w:sz w:val="24"/>
          <w:szCs w:val="24"/>
          <w:lang w:val="en-US"/>
        </w:rPr>
        <w:t xml:space="preserve">80% after HCC developed. </w:t>
      </w:r>
    </w:p>
    <w:p w14:paraId="3E1849D2" w14:textId="77777777" w:rsidR="00471AB1" w:rsidRPr="00A828B6" w:rsidRDefault="00471AB1" w:rsidP="001A5A01">
      <w:pPr>
        <w:spacing w:after="0" w:line="360" w:lineRule="auto"/>
        <w:ind w:firstLine="360"/>
        <w:jc w:val="both"/>
        <w:rPr>
          <w:rFonts w:ascii="Book Antiqua" w:hAnsi="Book Antiqua"/>
          <w:bCs/>
          <w:sz w:val="24"/>
          <w:szCs w:val="24"/>
          <w:lang w:val="en-US" w:eastAsia="tr-TR"/>
        </w:rPr>
      </w:pPr>
    </w:p>
    <w:p w14:paraId="44D4D554" w14:textId="77777777" w:rsidR="00B16F2C" w:rsidRPr="00A828B6" w:rsidRDefault="00B16F2C" w:rsidP="001A5A01">
      <w:pPr>
        <w:spacing w:after="0" w:line="360" w:lineRule="auto"/>
        <w:jc w:val="both"/>
        <w:rPr>
          <w:rFonts w:ascii="Book Antiqua" w:hAnsi="Book Antiqua"/>
          <w:b/>
          <w:bCs/>
          <w:i/>
          <w:sz w:val="24"/>
          <w:szCs w:val="24"/>
          <w:lang w:val="en-US" w:eastAsia="tr-TR"/>
        </w:rPr>
      </w:pPr>
      <w:r w:rsidRPr="00A828B6">
        <w:rPr>
          <w:rFonts w:ascii="Book Antiqua" w:hAnsi="Book Antiqua"/>
          <w:b/>
          <w:bCs/>
          <w:i/>
          <w:sz w:val="24"/>
          <w:szCs w:val="24"/>
          <w:lang w:val="en-US" w:eastAsia="tr-TR"/>
        </w:rPr>
        <w:t>Mortality</w:t>
      </w:r>
    </w:p>
    <w:p w14:paraId="3408E1C4" w14:textId="3A479F2F" w:rsidR="00B16F2C" w:rsidRPr="00A828B6" w:rsidRDefault="00B16F2C" w:rsidP="001A5A01">
      <w:pPr>
        <w:spacing w:after="0" w:line="360" w:lineRule="auto"/>
        <w:jc w:val="both"/>
        <w:rPr>
          <w:rFonts w:ascii="Book Antiqua" w:hAnsi="Book Antiqua"/>
          <w:bCs/>
          <w:sz w:val="24"/>
          <w:szCs w:val="24"/>
          <w:lang w:val="en-US" w:eastAsia="tr-TR"/>
        </w:rPr>
      </w:pPr>
      <w:r w:rsidRPr="00A828B6">
        <w:rPr>
          <w:rFonts w:ascii="Book Antiqua" w:hAnsi="Book Antiqua"/>
          <w:sz w:val="24"/>
          <w:szCs w:val="24"/>
          <w:lang w:val="en-US" w:eastAsia="tr-TR"/>
        </w:rPr>
        <w:t>As shown in Table 4 and Fig</w:t>
      </w:r>
      <w:r w:rsidR="00A828B6" w:rsidRPr="00A828B6">
        <w:rPr>
          <w:rFonts w:ascii="Book Antiqua" w:hAnsi="Book Antiqua"/>
          <w:sz w:val="24"/>
          <w:szCs w:val="24"/>
          <w:lang w:val="en-US" w:eastAsia="zh-CN"/>
        </w:rPr>
        <w:t>ure</w:t>
      </w:r>
      <w:r w:rsidRPr="00A828B6">
        <w:rPr>
          <w:rFonts w:ascii="Book Antiqua" w:hAnsi="Book Antiqua"/>
          <w:sz w:val="24"/>
          <w:szCs w:val="24"/>
          <w:lang w:val="en-US" w:eastAsia="tr-TR"/>
        </w:rPr>
        <w:t xml:space="preserve"> 2, </w:t>
      </w:r>
      <w:r w:rsidRPr="00A828B6">
        <w:rPr>
          <w:rFonts w:ascii="Book Antiqua" w:hAnsi="Book Antiqua"/>
          <w:bCs/>
          <w:sz w:val="24"/>
          <w:szCs w:val="24"/>
          <w:lang w:val="en-US" w:eastAsia="tr-TR"/>
        </w:rPr>
        <w:t>111 (43%) patients died in this study</w:t>
      </w:r>
      <w:r w:rsidRPr="00A828B6">
        <w:rPr>
          <w:rFonts w:ascii="Book Antiqua" w:hAnsi="Book Antiqua"/>
          <w:sz w:val="24"/>
          <w:szCs w:val="24"/>
          <w:lang w:val="en-US" w:eastAsia="tr-TR"/>
        </w:rPr>
        <w:t xml:space="preserve"> d</w:t>
      </w:r>
      <w:r w:rsidRPr="00A828B6">
        <w:rPr>
          <w:rFonts w:ascii="Book Antiqua" w:hAnsi="Book Antiqua"/>
          <w:bCs/>
          <w:sz w:val="24"/>
          <w:szCs w:val="24"/>
          <w:lang w:val="en-US" w:eastAsia="tr-TR"/>
        </w:rPr>
        <w:t xml:space="preserve">uring follow-up. </w:t>
      </w:r>
      <w:r w:rsidR="00C05D09" w:rsidRPr="00A828B6">
        <w:rPr>
          <w:rFonts w:ascii="Book Antiqua" w:hAnsi="Book Antiqua"/>
          <w:bCs/>
          <w:sz w:val="24"/>
          <w:szCs w:val="24"/>
          <w:lang w:val="en-US" w:eastAsia="tr-TR"/>
        </w:rPr>
        <w:t xml:space="preserve">Of the patients, 50.0% with NAFLD, 33.3% with hepatitis B, 26.3% with hepatitis C, and 58.3% with other diseases were alive at the end of </w:t>
      </w:r>
      <w:r w:rsidR="008D4AD1" w:rsidRPr="00A828B6">
        <w:rPr>
          <w:rFonts w:ascii="Book Antiqua" w:hAnsi="Book Antiqua"/>
          <w:bCs/>
          <w:sz w:val="24"/>
          <w:szCs w:val="24"/>
          <w:lang w:val="en-US" w:eastAsia="tr-TR"/>
        </w:rPr>
        <w:t xml:space="preserve">the </w:t>
      </w:r>
      <w:r w:rsidR="00C05D09" w:rsidRPr="00A828B6">
        <w:rPr>
          <w:rFonts w:ascii="Book Antiqua" w:hAnsi="Book Antiqua"/>
          <w:bCs/>
          <w:sz w:val="24"/>
          <w:szCs w:val="24"/>
          <w:lang w:val="en-US" w:eastAsia="tr-TR"/>
        </w:rPr>
        <w:t>5</w:t>
      </w:r>
      <w:r w:rsidR="008D4AD1" w:rsidRPr="00A828B6">
        <w:rPr>
          <w:rFonts w:ascii="Book Antiqua" w:hAnsi="Book Antiqua"/>
          <w:bCs/>
          <w:sz w:val="24"/>
          <w:szCs w:val="24"/>
          <w:lang w:val="en-US" w:eastAsia="tr-TR"/>
        </w:rPr>
        <w:t>-</w:t>
      </w:r>
      <w:r w:rsidR="00C05D09" w:rsidRPr="00A828B6">
        <w:rPr>
          <w:rFonts w:ascii="Book Antiqua" w:hAnsi="Book Antiqua"/>
          <w:bCs/>
          <w:sz w:val="24"/>
          <w:szCs w:val="24"/>
          <w:lang w:val="en-US" w:eastAsia="tr-TR"/>
        </w:rPr>
        <w:t>year</w:t>
      </w:r>
      <w:r w:rsidR="008D4AD1" w:rsidRPr="00A828B6">
        <w:rPr>
          <w:rFonts w:ascii="Book Antiqua" w:hAnsi="Book Antiqua"/>
          <w:bCs/>
          <w:sz w:val="24"/>
          <w:szCs w:val="24"/>
          <w:lang w:val="en-US" w:eastAsia="tr-TR"/>
        </w:rPr>
        <w:t xml:space="preserve"> period</w:t>
      </w:r>
      <w:r w:rsidR="00C05D09" w:rsidRPr="00A828B6">
        <w:rPr>
          <w:rFonts w:ascii="Book Antiqua" w:hAnsi="Book Antiqua"/>
          <w:bCs/>
          <w:sz w:val="24"/>
          <w:szCs w:val="24"/>
          <w:lang w:val="en-US" w:eastAsia="tr-TR"/>
        </w:rPr>
        <w:t xml:space="preserve"> with a significant difference according to the Kaplan-Meier log Rank test</w:t>
      </w:r>
      <w:r w:rsidR="003559CA" w:rsidRPr="00A828B6">
        <w:rPr>
          <w:rFonts w:ascii="Book Antiqua" w:hAnsi="Book Antiqua"/>
          <w:bCs/>
          <w:sz w:val="24"/>
          <w:szCs w:val="24"/>
          <w:lang w:val="en-US" w:eastAsia="tr-TR"/>
        </w:rPr>
        <w:t xml:space="preserve"> (</w:t>
      </w:r>
      <w:r w:rsidR="00C05D09" w:rsidRPr="00A828B6">
        <w:rPr>
          <w:rFonts w:ascii="Book Antiqua" w:hAnsi="Book Antiqua"/>
          <w:bCs/>
          <w:i/>
          <w:sz w:val="24"/>
          <w:szCs w:val="24"/>
          <w:lang w:val="en-US" w:eastAsia="tr-TR"/>
        </w:rPr>
        <w:t>P</w:t>
      </w:r>
      <w:r w:rsidR="00A828B6" w:rsidRPr="00A828B6">
        <w:rPr>
          <w:rFonts w:ascii="Book Antiqua" w:hAnsi="Book Antiqua"/>
          <w:bCs/>
          <w:sz w:val="24"/>
          <w:szCs w:val="24"/>
          <w:lang w:val="en-US" w:eastAsia="zh-CN"/>
        </w:rPr>
        <w:t xml:space="preserve"> = </w:t>
      </w:r>
      <w:r w:rsidR="003559CA" w:rsidRPr="00A828B6">
        <w:rPr>
          <w:rFonts w:ascii="Book Antiqua" w:hAnsi="Book Antiqua"/>
          <w:bCs/>
          <w:sz w:val="24"/>
          <w:szCs w:val="24"/>
          <w:lang w:val="en-US" w:eastAsia="tr-TR"/>
        </w:rPr>
        <w:t>0.04)</w:t>
      </w:r>
      <w:r w:rsidR="00C05D09" w:rsidRPr="00A828B6">
        <w:rPr>
          <w:rFonts w:ascii="Book Antiqua" w:hAnsi="Book Antiqua"/>
          <w:bCs/>
          <w:sz w:val="24"/>
          <w:szCs w:val="24"/>
          <w:lang w:val="en-US" w:eastAsia="tr-TR"/>
        </w:rPr>
        <w:t xml:space="preserve">. </w:t>
      </w:r>
      <w:r w:rsidRPr="00A828B6">
        <w:rPr>
          <w:rFonts w:ascii="Book Antiqua" w:hAnsi="Book Antiqua"/>
          <w:bCs/>
          <w:sz w:val="24"/>
          <w:szCs w:val="24"/>
          <w:lang w:val="en-US" w:eastAsia="tr-TR"/>
        </w:rPr>
        <w:t>Risk for mortality</w:t>
      </w:r>
      <w:r w:rsidR="00A31EEB" w:rsidRPr="00A828B6">
        <w:rPr>
          <w:rFonts w:ascii="Book Antiqua" w:hAnsi="Book Antiqua"/>
          <w:bCs/>
          <w:sz w:val="24"/>
          <w:szCs w:val="24"/>
          <w:lang w:val="en-US" w:eastAsia="tr-TR"/>
        </w:rPr>
        <w:t>, measured by risk ratio (RR)</w:t>
      </w:r>
      <w:r w:rsidR="008769B5" w:rsidRPr="00A828B6">
        <w:rPr>
          <w:rFonts w:ascii="Book Antiqua" w:hAnsi="Book Antiqua"/>
          <w:bCs/>
          <w:sz w:val="24"/>
          <w:szCs w:val="24"/>
          <w:lang w:val="en-US" w:eastAsia="tr-TR"/>
        </w:rPr>
        <w:t>,</w:t>
      </w:r>
      <w:r w:rsidR="003559CA" w:rsidRPr="00A828B6">
        <w:rPr>
          <w:rFonts w:ascii="Book Antiqua" w:hAnsi="Book Antiqua"/>
          <w:bCs/>
          <w:sz w:val="24"/>
          <w:szCs w:val="24"/>
          <w:lang w:val="en-US" w:eastAsia="tr-TR"/>
        </w:rPr>
        <w:t xml:space="preserve"> </w:t>
      </w:r>
      <w:r w:rsidR="009E1B05" w:rsidRPr="00A828B6">
        <w:rPr>
          <w:rFonts w:ascii="Book Antiqua" w:hAnsi="Book Antiqua"/>
          <w:bCs/>
          <w:sz w:val="24"/>
          <w:szCs w:val="24"/>
          <w:lang w:val="en-US" w:eastAsia="tr-TR"/>
        </w:rPr>
        <w:t xml:space="preserve">did not </w:t>
      </w:r>
      <w:r w:rsidR="00A31EEB" w:rsidRPr="00A828B6">
        <w:rPr>
          <w:rFonts w:ascii="Book Antiqua" w:hAnsi="Book Antiqua"/>
          <w:bCs/>
          <w:sz w:val="24"/>
          <w:szCs w:val="24"/>
          <w:lang w:val="en-US" w:eastAsia="tr-TR"/>
        </w:rPr>
        <w:t>change</w:t>
      </w:r>
      <w:r w:rsidR="009E1B05" w:rsidRPr="00A828B6">
        <w:rPr>
          <w:rFonts w:ascii="Book Antiqua" w:hAnsi="Book Antiqua"/>
          <w:bCs/>
          <w:sz w:val="24"/>
          <w:szCs w:val="24"/>
          <w:lang w:val="en-US" w:eastAsia="tr-TR"/>
        </w:rPr>
        <w:t xml:space="preserve"> per gender </w:t>
      </w:r>
      <w:r w:rsidR="00A31EEB" w:rsidRPr="00A828B6">
        <w:rPr>
          <w:rFonts w:ascii="Book Antiqua" w:hAnsi="Book Antiqua"/>
          <w:bCs/>
          <w:sz w:val="24"/>
          <w:szCs w:val="24"/>
          <w:lang w:val="en-US" w:eastAsia="tr-TR"/>
        </w:rPr>
        <w:t>(</w:t>
      </w:r>
      <w:r w:rsidRPr="00A828B6">
        <w:rPr>
          <w:rFonts w:ascii="Book Antiqua" w:hAnsi="Book Antiqua"/>
          <w:bCs/>
          <w:sz w:val="24"/>
          <w:szCs w:val="24"/>
          <w:lang w:val="en-US" w:eastAsia="tr-TR"/>
        </w:rPr>
        <w:t>RR: male/female</w:t>
      </w:r>
      <w:r w:rsidR="00A828B6" w:rsidRPr="00A828B6">
        <w:rPr>
          <w:rFonts w:ascii="Book Antiqua" w:hAnsi="Book Antiqua"/>
          <w:bCs/>
          <w:sz w:val="24"/>
          <w:szCs w:val="24"/>
          <w:lang w:val="en-US" w:eastAsia="zh-CN"/>
        </w:rPr>
        <w:t xml:space="preserve"> </w:t>
      </w:r>
      <w:r w:rsidRPr="00A828B6">
        <w:rPr>
          <w:rFonts w:ascii="Book Antiqua" w:hAnsi="Book Antiqua"/>
          <w:bCs/>
          <w:sz w:val="24"/>
          <w:szCs w:val="24"/>
          <w:lang w:val="en-US" w:eastAsia="tr-TR"/>
        </w:rPr>
        <w:t>=</w:t>
      </w:r>
      <w:r w:rsidR="00A828B6" w:rsidRPr="00A828B6">
        <w:rPr>
          <w:rFonts w:ascii="Book Antiqua" w:hAnsi="Book Antiqua"/>
          <w:bCs/>
          <w:sz w:val="24"/>
          <w:szCs w:val="24"/>
          <w:lang w:val="en-US" w:eastAsia="zh-CN"/>
        </w:rPr>
        <w:t xml:space="preserve"> </w:t>
      </w:r>
      <w:r w:rsidRPr="00A828B6">
        <w:rPr>
          <w:rFonts w:ascii="Book Antiqua" w:hAnsi="Book Antiqua"/>
          <w:bCs/>
          <w:sz w:val="24"/>
          <w:szCs w:val="24"/>
          <w:lang w:val="en-US" w:eastAsia="tr-TR"/>
        </w:rPr>
        <w:t>43.3/42.5%</w:t>
      </w:r>
      <w:r w:rsidR="000E6621">
        <w:rPr>
          <w:rFonts w:ascii="Book Antiqua" w:hAnsi="Book Antiqua" w:hint="eastAsia"/>
          <w:bCs/>
          <w:sz w:val="24"/>
          <w:szCs w:val="24"/>
          <w:lang w:val="en-US" w:eastAsia="zh-CN"/>
        </w:rPr>
        <w:t xml:space="preserve">, </w:t>
      </w:r>
      <w:r w:rsidRPr="00A828B6">
        <w:rPr>
          <w:rFonts w:ascii="Book Antiqua" w:hAnsi="Book Antiqua"/>
          <w:bCs/>
          <w:i/>
          <w:sz w:val="24"/>
          <w:szCs w:val="24"/>
          <w:lang w:val="en-US" w:eastAsia="tr-TR"/>
        </w:rPr>
        <w:t>P</w:t>
      </w:r>
      <w:r w:rsidR="00A828B6" w:rsidRPr="00A828B6">
        <w:rPr>
          <w:rFonts w:ascii="Book Antiqua" w:hAnsi="Book Antiqua"/>
          <w:bCs/>
          <w:i/>
          <w:sz w:val="24"/>
          <w:szCs w:val="24"/>
          <w:lang w:val="en-US" w:eastAsia="zh-CN"/>
        </w:rPr>
        <w:t xml:space="preserve"> </w:t>
      </w:r>
      <w:r w:rsidRPr="00A828B6">
        <w:rPr>
          <w:rFonts w:ascii="Book Antiqua" w:hAnsi="Book Antiqua"/>
          <w:bCs/>
          <w:sz w:val="24"/>
          <w:szCs w:val="24"/>
          <w:lang w:val="en-US" w:eastAsia="tr-TR"/>
        </w:rPr>
        <w:t>&gt;</w:t>
      </w:r>
      <w:r w:rsidR="00A828B6" w:rsidRPr="00A828B6">
        <w:rPr>
          <w:rFonts w:ascii="Book Antiqua" w:hAnsi="Book Antiqua"/>
          <w:bCs/>
          <w:sz w:val="24"/>
          <w:szCs w:val="24"/>
          <w:lang w:val="en-US" w:eastAsia="zh-CN"/>
        </w:rPr>
        <w:t xml:space="preserve"> </w:t>
      </w:r>
      <w:r w:rsidRPr="00A828B6">
        <w:rPr>
          <w:rFonts w:ascii="Book Antiqua" w:hAnsi="Book Antiqua"/>
          <w:bCs/>
          <w:sz w:val="24"/>
          <w:szCs w:val="24"/>
          <w:lang w:val="en-US" w:eastAsia="tr-TR"/>
        </w:rPr>
        <w:t>0.05</w:t>
      </w:r>
      <w:r w:rsidR="001F7D32" w:rsidRPr="00A828B6">
        <w:rPr>
          <w:rFonts w:ascii="Book Antiqua" w:hAnsi="Book Antiqua"/>
          <w:bCs/>
          <w:sz w:val="24"/>
          <w:szCs w:val="24"/>
          <w:lang w:val="en-US" w:eastAsia="tr-TR"/>
        </w:rPr>
        <w:t>)</w:t>
      </w:r>
      <w:r w:rsidR="00EE0F79" w:rsidRPr="00A828B6">
        <w:rPr>
          <w:rFonts w:ascii="Book Antiqua" w:hAnsi="Book Antiqua"/>
          <w:bCs/>
          <w:sz w:val="24"/>
          <w:szCs w:val="24"/>
          <w:lang w:val="en-US" w:eastAsia="tr-TR"/>
        </w:rPr>
        <w:t xml:space="preserve"> or </w:t>
      </w:r>
      <w:r w:rsidR="00FF684F" w:rsidRPr="00A828B6">
        <w:rPr>
          <w:rFonts w:ascii="Book Antiqua" w:hAnsi="Book Antiqua"/>
          <w:bCs/>
          <w:sz w:val="24"/>
          <w:szCs w:val="24"/>
          <w:lang w:val="en-US" w:eastAsia="tr-TR"/>
        </w:rPr>
        <w:t>with the occurrence of cirrhosis (RR: 44.8/28.6</w:t>
      </w:r>
      <w:r w:rsidR="000E6621">
        <w:rPr>
          <w:rFonts w:ascii="Book Antiqua" w:hAnsi="Book Antiqua" w:hint="eastAsia"/>
          <w:bCs/>
          <w:sz w:val="24"/>
          <w:szCs w:val="24"/>
          <w:lang w:val="en-US" w:eastAsia="zh-CN"/>
        </w:rPr>
        <w:t>,</w:t>
      </w:r>
      <w:r w:rsidR="00A828B6" w:rsidRPr="00A828B6">
        <w:rPr>
          <w:rFonts w:ascii="Book Antiqua" w:hAnsi="Book Antiqua"/>
          <w:bCs/>
          <w:sz w:val="24"/>
          <w:szCs w:val="24"/>
          <w:lang w:val="en-US" w:eastAsia="zh-CN"/>
        </w:rPr>
        <w:t xml:space="preserve"> </w:t>
      </w:r>
      <w:r w:rsidR="00FF684F" w:rsidRPr="00A828B6">
        <w:rPr>
          <w:rFonts w:ascii="Book Antiqua" w:hAnsi="Book Antiqua"/>
          <w:bCs/>
          <w:i/>
          <w:sz w:val="24"/>
          <w:szCs w:val="24"/>
          <w:lang w:val="en-US" w:eastAsia="tr-TR"/>
        </w:rPr>
        <w:t>P</w:t>
      </w:r>
      <w:r w:rsidR="00A828B6" w:rsidRPr="00A828B6">
        <w:rPr>
          <w:rFonts w:ascii="Book Antiqua" w:hAnsi="Book Antiqua"/>
          <w:bCs/>
          <w:i/>
          <w:sz w:val="24"/>
          <w:szCs w:val="24"/>
          <w:lang w:val="en-US" w:eastAsia="zh-CN"/>
        </w:rPr>
        <w:t xml:space="preserve"> </w:t>
      </w:r>
      <w:r w:rsidR="00FF684F" w:rsidRPr="00A828B6">
        <w:rPr>
          <w:rFonts w:ascii="Book Antiqua" w:hAnsi="Book Antiqua"/>
          <w:bCs/>
          <w:sz w:val="24"/>
          <w:szCs w:val="24"/>
          <w:lang w:val="en-US" w:eastAsia="tr-TR"/>
        </w:rPr>
        <w:t>&gt;</w:t>
      </w:r>
      <w:r w:rsidR="00A828B6" w:rsidRPr="00A828B6">
        <w:rPr>
          <w:rFonts w:ascii="Book Antiqua" w:hAnsi="Book Antiqua"/>
          <w:bCs/>
          <w:sz w:val="24"/>
          <w:szCs w:val="24"/>
          <w:lang w:val="en-US" w:eastAsia="zh-CN"/>
        </w:rPr>
        <w:t xml:space="preserve"> </w:t>
      </w:r>
      <w:r w:rsidR="00FF684F" w:rsidRPr="00A828B6">
        <w:rPr>
          <w:rFonts w:ascii="Book Antiqua" w:hAnsi="Book Antiqua"/>
          <w:bCs/>
          <w:sz w:val="24"/>
          <w:szCs w:val="24"/>
          <w:lang w:val="en-US" w:eastAsia="tr-TR"/>
        </w:rPr>
        <w:t>0.05</w:t>
      </w:r>
      <w:r w:rsidR="001F7D32" w:rsidRPr="00A828B6">
        <w:rPr>
          <w:rFonts w:ascii="Book Antiqua" w:hAnsi="Book Antiqua"/>
          <w:bCs/>
          <w:sz w:val="24"/>
          <w:szCs w:val="24"/>
          <w:lang w:val="en-US" w:eastAsia="tr-TR"/>
        </w:rPr>
        <w:t>)</w:t>
      </w:r>
      <w:r w:rsidR="00A31EEB" w:rsidRPr="00A828B6">
        <w:rPr>
          <w:rFonts w:ascii="Book Antiqua" w:hAnsi="Book Antiqua"/>
          <w:bCs/>
          <w:sz w:val="24"/>
          <w:szCs w:val="24"/>
          <w:lang w:val="en-US" w:eastAsia="tr-TR"/>
        </w:rPr>
        <w:t xml:space="preserve">. However, it changed with </w:t>
      </w:r>
      <w:r w:rsidRPr="00A828B6">
        <w:rPr>
          <w:rFonts w:ascii="Book Antiqua" w:hAnsi="Book Antiqua"/>
          <w:bCs/>
          <w:sz w:val="24"/>
          <w:szCs w:val="24"/>
          <w:lang w:val="en-US" w:eastAsia="tr-TR"/>
        </w:rPr>
        <w:t>the existence of fundic varices (RR: 49.3/35.3</w:t>
      </w:r>
      <w:r w:rsidR="000E6621">
        <w:rPr>
          <w:rFonts w:ascii="Book Antiqua" w:hAnsi="Book Antiqua" w:hint="eastAsia"/>
          <w:bCs/>
          <w:sz w:val="24"/>
          <w:szCs w:val="24"/>
          <w:lang w:val="en-US" w:eastAsia="zh-CN"/>
        </w:rPr>
        <w:t>,</w:t>
      </w:r>
      <w:r w:rsidR="003559CA" w:rsidRPr="00A828B6">
        <w:rPr>
          <w:rFonts w:ascii="Book Antiqua" w:hAnsi="Book Antiqua"/>
          <w:bCs/>
          <w:sz w:val="24"/>
          <w:szCs w:val="24"/>
          <w:lang w:val="en-US" w:eastAsia="tr-TR"/>
        </w:rPr>
        <w:t xml:space="preserve"> </w:t>
      </w:r>
      <w:r w:rsidRPr="00A828B6">
        <w:rPr>
          <w:rFonts w:ascii="Book Antiqua" w:hAnsi="Book Antiqua"/>
          <w:bCs/>
          <w:i/>
          <w:sz w:val="24"/>
          <w:szCs w:val="24"/>
          <w:lang w:val="en-US" w:eastAsia="tr-TR"/>
        </w:rPr>
        <w:t>P</w:t>
      </w:r>
      <w:r w:rsidR="00A828B6" w:rsidRPr="00A828B6">
        <w:rPr>
          <w:rFonts w:ascii="Book Antiqua" w:hAnsi="Book Antiqua"/>
          <w:bCs/>
          <w:sz w:val="24"/>
          <w:szCs w:val="24"/>
          <w:lang w:val="en-US" w:eastAsia="zh-CN"/>
        </w:rPr>
        <w:t xml:space="preserve"> =</w:t>
      </w:r>
      <w:r w:rsidRPr="00A828B6">
        <w:rPr>
          <w:rFonts w:ascii="Book Antiqua" w:hAnsi="Book Antiqua"/>
          <w:bCs/>
          <w:sz w:val="24"/>
          <w:szCs w:val="24"/>
          <w:lang w:val="en-US" w:eastAsia="tr-TR"/>
        </w:rPr>
        <w:t xml:space="preserve"> 0.024 in favor of fundic varices </w:t>
      </w:r>
      <w:r w:rsidR="00D14E22" w:rsidRPr="00A828B6">
        <w:rPr>
          <w:rFonts w:ascii="Book Antiqua" w:hAnsi="Book Antiqua"/>
          <w:bCs/>
          <w:sz w:val="24"/>
          <w:szCs w:val="24"/>
          <w:lang w:val="en-US" w:eastAsia="tr-TR"/>
        </w:rPr>
        <w:t>development</w:t>
      </w:r>
      <w:r w:rsidR="00A31EEB" w:rsidRPr="00A828B6">
        <w:rPr>
          <w:rFonts w:ascii="Book Antiqua" w:hAnsi="Book Antiqua"/>
          <w:bCs/>
          <w:sz w:val="24"/>
          <w:szCs w:val="24"/>
          <w:lang w:val="en-US" w:eastAsia="tr-TR"/>
        </w:rPr>
        <w:t xml:space="preserve">) </w:t>
      </w:r>
      <w:r w:rsidRPr="00A828B6">
        <w:rPr>
          <w:rFonts w:ascii="Book Antiqua" w:hAnsi="Book Antiqua"/>
          <w:bCs/>
          <w:sz w:val="24"/>
          <w:szCs w:val="24"/>
          <w:lang w:val="en-US" w:eastAsia="tr-TR"/>
        </w:rPr>
        <w:t>and HCC (RR: 78.9/36.8</w:t>
      </w:r>
      <w:r w:rsidR="000E6621">
        <w:rPr>
          <w:rFonts w:ascii="Book Antiqua" w:hAnsi="Book Antiqua" w:hint="eastAsia"/>
          <w:bCs/>
          <w:sz w:val="24"/>
          <w:szCs w:val="24"/>
          <w:lang w:val="en-US" w:eastAsia="zh-CN"/>
        </w:rPr>
        <w:t xml:space="preserve">, </w:t>
      </w:r>
      <w:r w:rsidRPr="00A828B6">
        <w:rPr>
          <w:rFonts w:ascii="Book Antiqua" w:hAnsi="Book Antiqua"/>
          <w:bCs/>
          <w:i/>
          <w:sz w:val="24"/>
          <w:szCs w:val="24"/>
          <w:lang w:val="en-US" w:eastAsia="tr-TR"/>
        </w:rPr>
        <w:t>P</w:t>
      </w:r>
      <w:r w:rsidR="00A828B6" w:rsidRPr="00A828B6">
        <w:rPr>
          <w:rFonts w:ascii="Book Antiqua" w:hAnsi="Book Antiqua"/>
          <w:bCs/>
          <w:i/>
          <w:sz w:val="24"/>
          <w:szCs w:val="24"/>
          <w:lang w:val="en-US" w:eastAsia="zh-CN"/>
        </w:rPr>
        <w:t xml:space="preserve"> </w:t>
      </w:r>
      <w:r w:rsidRPr="00A828B6">
        <w:rPr>
          <w:rFonts w:ascii="Book Antiqua" w:hAnsi="Book Antiqua"/>
          <w:bCs/>
          <w:sz w:val="24"/>
          <w:szCs w:val="24"/>
          <w:lang w:val="en-US" w:eastAsia="tr-TR"/>
        </w:rPr>
        <w:t xml:space="preserve">&lt; 0.0001 in favor of HCC </w:t>
      </w:r>
      <w:r w:rsidR="00D14E22" w:rsidRPr="00A828B6">
        <w:rPr>
          <w:rFonts w:ascii="Book Antiqua" w:hAnsi="Book Antiqua"/>
          <w:bCs/>
          <w:sz w:val="24"/>
          <w:szCs w:val="24"/>
          <w:lang w:val="en-US" w:eastAsia="tr-TR"/>
        </w:rPr>
        <w:t>development</w:t>
      </w:r>
      <w:r w:rsidRPr="00A828B6">
        <w:rPr>
          <w:rFonts w:ascii="Book Antiqua" w:hAnsi="Book Antiqua"/>
          <w:bCs/>
          <w:sz w:val="24"/>
          <w:szCs w:val="24"/>
          <w:lang w:val="en-US" w:eastAsia="tr-TR"/>
        </w:rPr>
        <w:t>).</w:t>
      </w:r>
    </w:p>
    <w:p w14:paraId="53C9E568" w14:textId="77777777" w:rsidR="00D650C9" w:rsidRPr="00A828B6" w:rsidRDefault="00D650C9" w:rsidP="001A5A01">
      <w:pPr>
        <w:spacing w:after="0" w:line="360" w:lineRule="auto"/>
        <w:ind w:firstLine="360"/>
        <w:jc w:val="both"/>
        <w:rPr>
          <w:rFonts w:ascii="Book Antiqua" w:hAnsi="Book Antiqua"/>
          <w:bCs/>
          <w:sz w:val="24"/>
          <w:szCs w:val="24"/>
          <w:lang w:val="en-US" w:eastAsia="tr-TR"/>
        </w:rPr>
      </w:pPr>
    </w:p>
    <w:p w14:paraId="0372B262" w14:textId="77777777" w:rsidR="00DA35D2" w:rsidRPr="00A828B6" w:rsidRDefault="00DA35D2" w:rsidP="001A5A01">
      <w:pPr>
        <w:spacing w:after="0" w:line="360" w:lineRule="auto"/>
        <w:jc w:val="both"/>
        <w:rPr>
          <w:rFonts w:ascii="Book Antiqua" w:hAnsi="Book Antiqua"/>
          <w:b/>
          <w:bCs/>
          <w:i/>
          <w:sz w:val="24"/>
          <w:szCs w:val="24"/>
          <w:lang w:val="en-US" w:eastAsia="tr-TR"/>
        </w:rPr>
      </w:pPr>
      <w:r w:rsidRPr="00A828B6">
        <w:rPr>
          <w:rFonts w:ascii="Book Antiqua" w:hAnsi="Book Antiqua"/>
          <w:b/>
          <w:bCs/>
          <w:i/>
          <w:sz w:val="24"/>
          <w:szCs w:val="24"/>
          <w:lang w:val="en-US" w:eastAsia="tr-TR"/>
        </w:rPr>
        <w:t xml:space="preserve">NAFLD group </w:t>
      </w:r>
    </w:p>
    <w:p w14:paraId="623206C8" w14:textId="3D6155F8" w:rsidR="00DA35D2" w:rsidRPr="00A828B6" w:rsidRDefault="00DA35D2" w:rsidP="001A5A01">
      <w:pPr>
        <w:spacing w:after="0" w:line="360" w:lineRule="auto"/>
        <w:jc w:val="both"/>
        <w:rPr>
          <w:rFonts w:ascii="Book Antiqua" w:hAnsi="Book Antiqua"/>
          <w:bCs/>
          <w:sz w:val="24"/>
          <w:szCs w:val="24"/>
          <w:lang w:val="en-US" w:eastAsia="tr-TR"/>
        </w:rPr>
      </w:pPr>
      <w:r w:rsidRPr="00A828B6">
        <w:rPr>
          <w:rFonts w:ascii="Book Antiqua" w:hAnsi="Book Antiqua"/>
          <w:bCs/>
          <w:sz w:val="24"/>
          <w:szCs w:val="24"/>
          <w:lang w:val="en-US" w:eastAsia="tr-TR"/>
        </w:rPr>
        <w:t>Of the 258 patients, 39.0% (101 patients) were diagnosed with NAFLD. The mean age of NAFLD was 56.4</w:t>
      </w:r>
      <w:r w:rsidR="00A828B6" w:rsidRPr="00A828B6">
        <w:rPr>
          <w:rFonts w:ascii="Book Antiqua" w:hAnsi="Book Antiqua"/>
          <w:bCs/>
          <w:sz w:val="24"/>
          <w:szCs w:val="24"/>
          <w:lang w:val="en-US" w:eastAsia="zh-CN"/>
        </w:rPr>
        <w:t xml:space="preserve"> </w:t>
      </w:r>
      <w:r w:rsidRPr="00A828B6">
        <w:rPr>
          <w:rFonts w:ascii="Book Antiqua" w:hAnsi="Book Antiqua"/>
          <w:bCs/>
          <w:sz w:val="24"/>
          <w:szCs w:val="24"/>
          <w:lang w:val="en-US" w:eastAsia="tr-TR"/>
        </w:rPr>
        <w:t>±</w:t>
      </w:r>
      <w:r w:rsidR="00A828B6" w:rsidRPr="00A828B6">
        <w:rPr>
          <w:rFonts w:ascii="Book Antiqua" w:hAnsi="Book Antiqua"/>
          <w:bCs/>
          <w:sz w:val="24"/>
          <w:szCs w:val="24"/>
          <w:lang w:val="en-US" w:eastAsia="zh-CN"/>
        </w:rPr>
        <w:t xml:space="preserve"> </w:t>
      </w:r>
      <w:r w:rsidRPr="00A828B6">
        <w:rPr>
          <w:rFonts w:ascii="Book Antiqua" w:hAnsi="Book Antiqua"/>
          <w:bCs/>
          <w:sz w:val="24"/>
          <w:szCs w:val="24"/>
          <w:lang w:val="en-US" w:eastAsia="tr-TR"/>
        </w:rPr>
        <w:t xml:space="preserve">16.0 years and 62% of these patients were men (Table 1). Moreover, 47.5% had PVT, </w:t>
      </w:r>
      <w:r w:rsidR="00CA0751" w:rsidRPr="00A828B6">
        <w:rPr>
          <w:rFonts w:ascii="Book Antiqua" w:hAnsi="Book Antiqua"/>
          <w:bCs/>
          <w:sz w:val="24"/>
          <w:szCs w:val="24"/>
          <w:lang w:val="en-US" w:eastAsia="tr-TR"/>
        </w:rPr>
        <w:t>5</w:t>
      </w:r>
      <w:r w:rsidR="008C17FA" w:rsidRPr="00A828B6">
        <w:rPr>
          <w:rFonts w:ascii="Book Antiqua" w:hAnsi="Book Antiqua"/>
          <w:bCs/>
          <w:sz w:val="24"/>
          <w:szCs w:val="24"/>
          <w:lang w:val="en-US" w:eastAsia="tr-TR"/>
        </w:rPr>
        <w:t>.0</w:t>
      </w:r>
      <w:r w:rsidR="00C418CF" w:rsidRPr="00A828B6">
        <w:rPr>
          <w:rFonts w:ascii="Book Antiqua" w:hAnsi="Book Antiqua"/>
          <w:bCs/>
          <w:sz w:val="24"/>
          <w:szCs w:val="24"/>
          <w:lang w:val="en-US" w:eastAsia="tr-TR"/>
        </w:rPr>
        <w:t>% had HCC</w:t>
      </w:r>
      <w:r w:rsidR="00CA0751" w:rsidRPr="00A828B6">
        <w:rPr>
          <w:rFonts w:ascii="Book Antiqua" w:hAnsi="Book Antiqua"/>
          <w:bCs/>
          <w:sz w:val="24"/>
          <w:szCs w:val="24"/>
          <w:lang w:val="en-US" w:eastAsia="tr-TR"/>
        </w:rPr>
        <w:t xml:space="preserve">, </w:t>
      </w:r>
      <w:r w:rsidRPr="00A828B6">
        <w:rPr>
          <w:rFonts w:ascii="Book Antiqua" w:hAnsi="Book Antiqua"/>
          <w:bCs/>
          <w:sz w:val="24"/>
          <w:szCs w:val="24"/>
          <w:lang w:val="en-US" w:eastAsia="tr-TR"/>
        </w:rPr>
        <w:t>and 45.5% had fundic varices (Table 2 and Fig</w:t>
      </w:r>
      <w:r w:rsidR="00A828B6" w:rsidRPr="00A828B6">
        <w:rPr>
          <w:rFonts w:ascii="Book Antiqua" w:hAnsi="Book Antiqua"/>
          <w:bCs/>
          <w:sz w:val="24"/>
          <w:szCs w:val="24"/>
          <w:lang w:val="en-US" w:eastAsia="zh-CN"/>
        </w:rPr>
        <w:t>ure</w:t>
      </w:r>
      <w:r w:rsidRPr="00A828B6">
        <w:rPr>
          <w:rFonts w:ascii="Book Antiqua" w:hAnsi="Book Antiqua"/>
          <w:bCs/>
          <w:sz w:val="24"/>
          <w:szCs w:val="24"/>
          <w:lang w:val="en-US" w:eastAsia="tr-TR"/>
        </w:rPr>
        <w:t xml:space="preserve"> 1). The mortality rate was 47.5% during follow-up (Table 2 and Fig</w:t>
      </w:r>
      <w:r w:rsidR="00A828B6" w:rsidRPr="00A828B6">
        <w:rPr>
          <w:rFonts w:ascii="Book Antiqua" w:hAnsi="Book Antiqua"/>
          <w:bCs/>
          <w:sz w:val="24"/>
          <w:szCs w:val="24"/>
          <w:lang w:val="en-US" w:eastAsia="zh-CN"/>
        </w:rPr>
        <w:t>ure</w:t>
      </w:r>
      <w:r w:rsidRPr="00A828B6">
        <w:rPr>
          <w:rFonts w:ascii="Book Antiqua" w:hAnsi="Book Antiqua"/>
          <w:bCs/>
          <w:sz w:val="24"/>
          <w:szCs w:val="24"/>
          <w:lang w:val="en-US" w:eastAsia="tr-TR"/>
        </w:rPr>
        <w:t xml:space="preserve"> 1), but increased to 80% in the presence of HCC.</w:t>
      </w:r>
    </w:p>
    <w:p w14:paraId="61F55A43" w14:textId="77777777" w:rsidR="00A828B6" w:rsidRPr="00A828B6" w:rsidRDefault="00A828B6" w:rsidP="001A5A01">
      <w:pPr>
        <w:spacing w:after="0" w:line="360" w:lineRule="auto"/>
        <w:jc w:val="both"/>
        <w:rPr>
          <w:rFonts w:ascii="Book Antiqua" w:hAnsi="Book Antiqua"/>
          <w:bCs/>
          <w:sz w:val="24"/>
          <w:szCs w:val="24"/>
          <w:lang w:val="en-US" w:eastAsia="zh-CN"/>
        </w:rPr>
      </w:pPr>
    </w:p>
    <w:p w14:paraId="7DD0CBF4" w14:textId="6222892C" w:rsidR="004216E1" w:rsidRPr="00A828B6" w:rsidRDefault="002470CD" w:rsidP="001A5A01">
      <w:pPr>
        <w:spacing w:after="0" w:line="360" w:lineRule="auto"/>
        <w:jc w:val="both"/>
        <w:rPr>
          <w:rFonts w:ascii="Book Antiqua" w:hAnsi="Book Antiqua"/>
          <w:b/>
          <w:bCs/>
          <w:sz w:val="24"/>
          <w:szCs w:val="24"/>
          <w:lang w:val="en-US" w:eastAsia="tr-TR"/>
        </w:rPr>
      </w:pPr>
      <w:r w:rsidRPr="00A828B6">
        <w:rPr>
          <w:rFonts w:ascii="Book Antiqua" w:hAnsi="Book Antiqua"/>
          <w:b/>
          <w:caps/>
          <w:sz w:val="24"/>
          <w:szCs w:val="24"/>
          <w:lang w:val="en-US"/>
        </w:rPr>
        <w:t>DISCUSSION</w:t>
      </w:r>
    </w:p>
    <w:p w14:paraId="3D56CC74" w14:textId="08BCC63C" w:rsidR="009836A2" w:rsidRPr="00A828B6" w:rsidRDefault="009836A2"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NAFLD</w:t>
      </w:r>
      <w:r w:rsidR="00406E28" w:rsidRPr="00A828B6">
        <w:rPr>
          <w:rFonts w:ascii="Book Antiqua" w:hAnsi="Book Antiqua"/>
          <w:bCs/>
          <w:sz w:val="24"/>
          <w:szCs w:val="24"/>
          <w:lang w:val="en-US"/>
        </w:rPr>
        <w:t xml:space="preserve">-associated </w:t>
      </w:r>
      <w:r w:rsidR="00B31E30" w:rsidRPr="00A828B6">
        <w:rPr>
          <w:rFonts w:ascii="Book Antiqua" w:hAnsi="Book Antiqua"/>
          <w:bCs/>
          <w:sz w:val="24"/>
          <w:szCs w:val="24"/>
          <w:lang w:val="en-US"/>
        </w:rPr>
        <w:t>cirrhosis</w:t>
      </w:r>
      <w:r w:rsidR="00406E28" w:rsidRPr="00A828B6">
        <w:rPr>
          <w:rFonts w:ascii="Book Antiqua" w:hAnsi="Book Antiqua"/>
          <w:bCs/>
          <w:sz w:val="24"/>
          <w:szCs w:val="24"/>
          <w:lang w:val="en-US"/>
        </w:rPr>
        <w:t xml:space="preserve"> is</w:t>
      </w:r>
      <w:r w:rsidR="009A389E" w:rsidRPr="00A828B6">
        <w:rPr>
          <w:rFonts w:ascii="Book Antiqua" w:hAnsi="Book Antiqua"/>
          <w:bCs/>
          <w:sz w:val="24"/>
          <w:szCs w:val="24"/>
          <w:lang w:val="en-US"/>
        </w:rPr>
        <w:t xml:space="preserve"> predicted to rapidly become the lead</w:t>
      </w:r>
      <w:r w:rsidR="00406E28" w:rsidRPr="00A828B6">
        <w:rPr>
          <w:rFonts w:ascii="Book Antiqua" w:hAnsi="Book Antiqua"/>
          <w:bCs/>
          <w:sz w:val="24"/>
          <w:szCs w:val="24"/>
          <w:lang w:val="en-US"/>
        </w:rPr>
        <w:t>ing</w:t>
      </w:r>
      <w:r w:rsidR="00C418CF" w:rsidRPr="00A828B6">
        <w:rPr>
          <w:rFonts w:ascii="Book Antiqua" w:hAnsi="Book Antiqua"/>
          <w:bCs/>
          <w:sz w:val="24"/>
          <w:szCs w:val="24"/>
          <w:lang w:val="en-US"/>
        </w:rPr>
        <w:t xml:space="preserve"> </w:t>
      </w:r>
      <w:r w:rsidR="00406E28" w:rsidRPr="00A828B6">
        <w:rPr>
          <w:rFonts w:ascii="Book Antiqua" w:hAnsi="Book Antiqua"/>
          <w:bCs/>
          <w:sz w:val="24"/>
          <w:szCs w:val="24"/>
          <w:lang w:val="en-US"/>
        </w:rPr>
        <w:t>indicator for</w:t>
      </w:r>
      <w:r w:rsidR="00C418CF" w:rsidRPr="00A828B6">
        <w:rPr>
          <w:rFonts w:ascii="Book Antiqua" w:hAnsi="Book Antiqua"/>
          <w:bCs/>
          <w:sz w:val="24"/>
          <w:szCs w:val="24"/>
          <w:lang w:val="en-US"/>
        </w:rPr>
        <w:t xml:space="preserve"> </w:t>
      </w:r>
      <w:r w:rsidRPr="00A828B6">
        <w:rPr>
          <w:rFonts w:ascii="Book Antiqua" w:hAnsi="Book Antiqua"/>
          <w:bCs/>
          <w:sz w:val="24"/>
          <w:szCs w:val="24"/>
          <w:lang w:val="en-US"/>
        </w:rPr>
        <w:t xml:space="preserve">liver transplant in the </w:t>
      </w:r>
      <w:r w:rsidR="009A389E" w:rsidRPr="00A828B6">
        <w:rPr>
          <w:rFonts w:ascii="Book Antiqua" w:hAnsi="Book Antiqua"/>
          <w:bCs/>
          <w:sz w:val="24"/>
          <w:szCs w:val="24"/>
          <w:lang w:val="en-US"/>
        </w:rPr>
        <w:t xml:space="preserve">Western </w:t>
      </w:r>
      <w:proofErr w:type="gramStart"/>
      <w:r w:rsidRPr="00A828B6">
        <w:rPr>
          <w:rFonts w:ascii="Book Antiqua" w:hAnsi="Book Antiqua"/>
          <w:bCs/>
          <w:sz w:val="24"/>
          <w:szCs w:val="24"/>
          <w:lang w:val="en-US"/>
        </w:rPr>
        <w:t>world</w:t>
      </w:r>
      <w:r w:rsidR="00B04A38" w:rsidRPr="00A828B6">
        <w:rPr>
          <w:rFonts w:ascii="Book Antiqua" w:hAnsi="Book Antiqua"/>
          <w:sz w:val="24"/>
          <w:szCs w:val="24"/>
          <w:vertAlign w:val="superscript"/>
          <w:lang w:val="en-US" w:eastAsia="zh-CN"/>
        </w:rPr>
        <w:t>[</w:t>
      </w:r>
      <w:proofErr w:type="gramEnd"/>
      <w:r w:rsidR="00A828B6" w:rsidRPr="00A828B6">
        <w:rPr>
          <w:rFonts w:ascii="Book Antiqua" w:hAnsi="Book Antiqua"/>
          <w:bCs/>
          <w:sz w:val="24"/>
          <w:szCs w:val="24"/>
          <w:vertAlign w:val="superscript"/>
          <w:lang w:val="en-US"/>
        </w:rPr>
        <w:t>24,</w:t>
      </w:r>
      <w:r w:rsidR="00B04A38" w:rsidRPr="00A828B6">
        <w:rPr>
          <w:rFonts w:ascii="Book Antiqua" w:hAnsi="Book Antiqua"/>
          <w:bCs/>
          <w:sz w:val="24"/>
          <w:szCs w:val="24"/>
          <w:vertAlign w:val="superscript"/>
          <w:lang w:val="en-US" w:eastAsia="zh-CN"/>
        </w:rPr>
        <w:t>25]</w:t>
      </w:r>
      <w:r w:rsidR="00B04A38" w:rsidRPr="00A828B6">
        <w:rPr>
          <w:rFonts w:ascii="Book Antiqua" w:hAnsi="Book Antiqua"/>
          <w:sz w:val="24"/>
          <w:szCs w:val="24"/>
          <w:lang w:val="en-US"/>
        </w:rPr>
        <w:t xml:space="preserve">. </w:t>
      </w:r>
      <w:r w:rsidR="009A389E" w:rsidRPr="00A828B6">
        <w:rPr>
          <w:rFonts w:ascii="Book Antiqua" w:hAnsi="Book Antiqua"/>
          <w:bCs/>
          <w:sz w:val="24"/>
          <w:szCs w:val="24"/>
          <w:lang w:val="en-US"/>
        </w:rPr>
        <w:t>We herein</w:t>
      </w:r>
      <w:r w:rsidR="00B75E47" w:rsidRPr="00A828B6">
        <w:rPr>
          <w:rFonts w:ascii="Book Antiqua" w:hAnsi="Book Antiqua"/>
          <w:bCs/>
          <w:sz w:val="24"/>
          <w:szCs w:val="24"/>
          <w:lang w:val="en-US"/>
        </w:rPr>
        <w:t xml:space="preserve"> show that NAFLD</w:t>
      </w:r>
      <w:r w:rsidR="00406E28" w:rsidRPr="00A828B6">
        <w:rPr>
          <w:rFonts w:ascii="Book Antiqua" w:hAnsi="Book Antiqua"/>
          <w:bCs/>
          <w:sz w:val="24"/>
          <w:szCs w:val="24"/>
          <w:lang w:val="en-US"/>
        </w:rPr>
        <w:t>-</w:t>
      </w:r>
      <w:r w:rsidR="00B75E47" w:rsidRPr="00A828B6">
        <w:rPr>
          <w:rFonts w:ascii="Book Antiqua" w:hAnsi="Book Antiqua"/>
          <w:bCs/>
          <w:sz w:val="24"/>
          <w:szCs w:val="24"/>
          <w:lang w:val="en-US"/>
        </w:rPr>
        <w:t xml:space="preserve">associated cirrhosis is </w:t>
      </w:r>
      <w:r w:rsidR="009A389E" w:rsidRPr="00A828B6">
        <w:rPr>
          <w:rFonts w:ascii="Book Antiqua" w:hAnsi="Book Antiqua"/>
          <w:bCs/>
          <w:sz w:val="24"/>
          <w:szCs w:val="24"/>
          <w:lang w:val="en-US"/>
        </w:rPr>
        <w:t xml:space="preserve">indeed </w:t>
      </w:r>
      <w:r w:rsidR="00B75E47" w:rsidRPr="00A828B6">
        <w:rPr>
          <w:rFonts w:ascii="Book Antiqua" w:hAnsi="Book Antiqua"/>
          <w:bCs/>
          <w:sz w:val="24"/>
          <w:szCs w:val="24"/>
          <w:lang w:val="en-US"/>
        </w:rPr>
        <w:t xml:space="preserve">the most common cause of </w:t>
      </w:r>
      <w:r w:rsidR="00740275" w:rsidRPr="00A828B6">
        <w:rPr>
          <w:rFonts w:ascii="Book Antiqua" w:hAnsi="Book Antiqua"/>
          <w:bCs/>
          <w:sz w:val="24"/>
          <w:szCs w:val="24"/>
          <w:lang w:val="en-US"/>
        </w:rPr>
        <w:t>end-stage liver disease</w:t>
      </w:r>
      <w:r w:rsidR="00B31E30" w:rsidRPr="00A828B6">
        <w:rPr>
          <w:rFonts w:ascii="Book Antiqua" w:hAnsi="Book Antiqua"/>
          <w:bCs/>
          <w:sz w:val="24"/>
          <w:szCs w:val="24"/>
          <w:lang w:val="en-US"/>
        </w:rPr>
        <w:t xml:space="preserve"> at our liver cente</w:t>
      </w:r>
      <w:r w:rsidR="009A389E" w:rsidRPr="00A828B6">
        <w:rPr>
          <w:rFonts w:ascii="Book Antiqua" w:hAnsi="Book Antiqua"/>
          <w:bCs/>
          <w:sz w:val="24"/>
          <w:szCs w:val="24"/>
          <w:lang w:val="en-US"/>
        </w:rPr>
        <w:t>r</w:t>
      </w:r>
      <w:r w:rsidR="007643A7" w:rsidRPr="00A828B6">
        <w:rPr>
          <w:rFonts w:ascii="Book Antiqua" w:hAnsi="Book Antiqua"/>
          <w:bCs/>
          <w:sz w:val="24"/>
          <w:szCs w:val="24"/>
          <w:lang w:val="en-US"/>
        </w:rPr>
        <w:t xml:space="preserve"> (Table 2 and Fig</w:t>
      </w:r>
      <w:r w:rsidR="00A828B6" w:rsidRPr="00A828B6">
        <w:rPr>
          <w:rFonts w:ascii="Book Antiqua" w:hAnsi="Book Antiqua"/>
          <w:bCs/>
          <w:sz w:val="24"/>
          <w:szCs w:val="24"/>
          <w:lang w:val="en-US" w:eastAsia="zh-CN"/>
        </w:rPr>
        <w:t xml:space="preserve">ure </w:t>
      </w:r>
      <w:r w:rsidR="007643A7" w:rsidRPr="00A828B6">
        <w:rPr>
          <w:rFonts w:ascii="Book Antiqua" w:hAnsi="Book Antiqua"/>
          <w:bCs/>
          <w:sz w:val="24"/>
          <w:szCs w:val="24"/>
          <w:lang w:val="en-US"/>
        </w:rPr>
        <w:t>1)</w:t>
      </w:r>
      <w:r w:rsidR="00B75E47" w:rsidRPr="00A828B6">
        <w:rPr>
          <w:rFonts w:ascii="Book Antiqua" w:hAnsi="Book Antiqua"/>
          <w:bCs/>
          <w:sz w:val="24"/>
          <w:szCs w:val="24"/>
          <w:lang w:val="en-US"/>
        </w:rPr>
        <w:t>.</w:t>
      </w:r>
      <w:r w:rsidR="00416E5F" w:rsidRPr="00A828B6">
        <w:rPr>
          <w:rFonts w:ascii="Book Antiqua" w:hAnsi="Book Antiqua"/>
          <w:bCs/>
          <w:sz w:val="24"/>
          <w:szCs w:val="24"/>
          <w:lang w:val="en-US"/>
        </w:rPr>
        <w:t xml:space="preserve"> </w:t>
      </w:r>
      <w:r w:rsidR="009A389E" w:rsidRPr="00A828B6">
        <w:rPr>
          <w:rFonts w:ascii="Book Antiqua" w:hAnsi="Book Antiqua"/>
          <w:bCs/>
          <w:sz w:val="24"/>
          <w:szCs w:val="24"/>
          <w:lang w:val="en-US"/>
        </w:rPr>
        <w:t xml:space="preserve">By </w:t>
      </w:r>
      <w:r w:rsidR="00763FFB" w:rsidRPr="00A828B6">
        <w:rPr>
          <w:rFonts w:ascii="Book Antiqua" w:hAnsi="Book Antiqua"/>
          <w:bCs/>
          <w:sz w:val="24"/>
          <w:szCs w:val="24"/>
          <w:lang w:val="en-US"/>
        </w:rPr>
        <w:t>retrospectively evaluat</w:t>
      </w:r>
      <w:r w:rsidR="009A389E" w:rsidRPr="00A828B6">
        <w:rPr>
          <w:rFonts w:ascii="Book Antiqua" w:hAnsi="Book Antiqua"/>
          <w:bCs/>
          <w:sz w:val="24"/>
          <w:szCs w:val="24"/>
          <w:lang w:val="en-US"/>
        </w:rPr>
        <w:t>ing</w:t>
      </w:r>
      <w:r w:rsidR="000834CB" w:rsidRPr="00A828B6">
        <w:rPr>
          <w:rFonts w:ascii="Book Antiqua" w:hAnsi="Book Antiqua"/>
          <w:bCs/>
          <w:sz w:val="24"/>
          <w:szCs w:val="24"/>
          <w:lang w:val="en-US"/>
        </w:rPr>
        <w:t xml:space="preserve"> </w:t>
      </w:r>
      <w:r w:rsidR="00740275" w:rsidRPr="00A828B6">
        <w:rPr>
          <w:rFonts w:ascii="Book Antiqua" w:hAnsi="Book Antiqua"/>
          <w:bCs/>
          <w:sz w:val="24"/>
          <w:szCs w:val="24"/>
          <w:lang w:val="en-US"/>
        </w:rPr>
        <w:t>national liver transplant database in the United States</w:t>
      </w:r>
      <w:r w:rsidR="009A389E" w:rsidRPr="00A828B6">
        <w:rPr>
          <w:rFonts w:ascii="Book Antiqua" w:hAnsi="Book Antiqua"/>
          <w:bCs/>
          <w:sz w:val="24"/>
          <w:szCs w:val="24"/>
          <w:lang w:val="en-US"/>
        </w:rPr>
        <w:t xml:space="preserve">, Charlton </w:t>
      </w:r>
      <w:r w:rsidR="009A389E" w:rsidRPr="00A828B6">
        <w:rPr>
          <w:rFonts w:ascii="Book Antiqua" w:hAnsi="Book Antiqua"/>
          <w:bCs/>
          <w:i/>
          <w:sz w:val="24"/>
          <w:szCs w:val="24"/>
          <w:lang w:val="en-US"/>
        </w:rPr>
        <w:t xml:space="preserve">et </w:t>
      </w:r>
      <w:proofErr w:type="gramStart"/>
      <w:r w:rsidR="009A389E" w:rsidRPr="00A828B6">
        <w:rPr>
          <w:rFonts w:ascii="Book Antiqua" w:hAnsi="Book Antiqua"/>
          <w:bCs/>
          <w:i/>
          <w:sz w:val="24"/>
          <w:szCs w:val="24"/>
          <w:lang w:val="en-US"/>
        </w:rPr>
        <w:t>al</w:t>
      </w:r>
      <w:r w:rsidR="00B04A38" w:rsidRPr="00A828B6">
        <w:rPr>
          <w:rFonts w:ascii="Book Antiqua" w:hAnsi="Book Antiqua"/>
          <w:sz w:val="24"/>
          <w:szCs w:val="24"/>
          <w:vertAlign w:val="superscript"/>
          <w:lang w:val="en-US" w:eastAsia="zh-CN"/>
        </w:rPr>
        <w:t>[</w:t>
      </w:r>
      <w:proofErr w:type="gramEnd"/>
      <w:r w:rsidR="000E6621">
        <w:rPr>
          <w:rFonts w:ascii="Book Antiqua" w:hAnsi="Book Antiqua"/>
          <w:bCs/>
          <w:sz w:val="24"/>
          <w:szCs w:val="24"/>
          <w:vertAlign w:val="superscript"/>
          <w:lang w:val="en-US"/>
        </w:rPr>
        <w:t>26,</w:t>
      </w:r>
      <w:r w:rsidR="00B04A38" w:rsidRPr="00A828B6">
        <w:rPr>
          <w:rFonts w:ascii="Book Antiqua" w:hAnsi="Book Antiqua"/>
          <w:bCs/>
          <w:sz w:val="24"/>
          <w:szCs w:val="24"/>
          <w:vertAlign w:val="superscript"/>
          <w:lang w:val="en-US" w:eastAsia="zh-CN"/>
        </w:rPr>
        <w:t>27]</w:t>
      </w:r>
      <w:r w:rsidR="00B04A38" w:rsidRPr="00A828B6">
        <w:rPr>
          <w:rFonts w:ascii="Book Antiqua" w:hAnsi="Book Antiqua"/>
          <w:sz w:val="24"/>
          <w:szCs w:val="24"/>
          <w:lang w:val="en-US"/>
        </w:rPr>
        <w:t xml:space="preserve"> </w:t>
      </w:r>
      <w:r w:rsidR="00416E5F" w:rsidRPr="00A828B6">
        <w:rPr>
          <w:rFonts w:ascii="Book Antiqua" w:hAnsi="Book Antiqua"/>
          <w:bCs/>
          <w:sz w:val="24"/>
          <w:szCs w:val="24"/>
          <w:lang w:val="en-US"/>
        </w:rPr>
        <w:t>and then, Wong</w:t>
      </w:r>
      <w:r w:rsidR="00A828B6" w:rsidRPr="00A828B6">
        <w:rPr>
          <w:rFonts w:ascii="Book Antiqua" w:hAnsi="Book Antiqua"/>
          <w:bCs/>
          <w:i/>
          <w:sz w:val="24"/>
          <w:szCs w:val="24"/>
          <w:lang w:val="en-US"/>
        </w:rPr>
        <w:t xml:space="preserve"> et al</w:t>
      </w:r>
      <w:r w:rsidR="00B04A38" w:rsidRPr="00A828B6">
        <w:rPr>
          <w:rFonts w:ascii="Book Antiqua" w:hAnsi="Book Antiqua"/>
          <w:sz w:val="24"/>
          <w:szCs w:val="24"/>
          <w:vertAlign w:val="superscript"/>
          <w:lang w:val="en-US" w:eastAsia="zh-CN"/>
        </w:rPr>
        <w:t>[</w:t>
      </w:r>
      <w:r w:rsidR="000E6621">
        <w:rPr>
          <w:rFonts w:ascii="Book Antiqua" w:hAnsi="Book Antiqua"/>
          <w:bCs/>
          <w:sz w:val="24"/>
          <w:szCs w:val="24"/>
          <w:vertAlign w:val="superscript"/>
          <w:lang w:val="en-US"/>
        </w:rPr>
        <w:t>24,</w:t>
      </w:r>
      <w:r w:rsidR="00B04A38" w:rsidRPr="00A828B6">
        <w:rPr>
          <w:rFonts w:ascii="Book Antiqua" w:hAnsi="Book Antiqua"/>
          <w:bCs/>
          <w:sz w:val="24"/>
          <w:szCs w:val="24"/>
          <w:vertAlign w:val="superscript"/>
          <w:lang w:val="en-US" w:eastAsia="zh-CN"/>
        </w:rPr>
        <w:t>25]</w:t>
      </w:r>
      <w:r w:rsidR="00B04A38" w:rsidRPr="00A828B6">
        <w:rPr>
          <w:rFonts w:ascii="Book Antiqua" w:hAnsi="Book Antiqua"/>
          <w:sz w:val="24"/>
          <w:szCs w:val="24"/>
          <w:lang w:val="en-US"/>
        </w:rPr>
        <w:t xml:space="preserve"> </w:t>
      </w:r>
      <w:r w:rsidR="00740275" w:rsidRPr="00A828B6">
        <w:rPr>
          <w:rFonts w:ascii="Book Antiqua" w:hAnsi="Book Antiqua"/>
          <w:bCs/>
          <w:sz w:val="24"/>
          <w:szCs w:val="24"/>
          <w:lang w:val="en-US"/>
        </w:rPr>
        <w:t>showed</w:t>
      </w:r>
      <w:r w:rsidR="00763FFB" w:rsidRPr="00A828B6">
        <w:rPr>
          <w:rFonts w:ascii="Book Antiqua" w:hAnsi="Book Antiqua"/>
          <w:bCs/>
          <w:sz w:val="24"/>
          <w:szCs w:val="24"/>
          <w:lang w:val="en-US"/>
        </w:rPr>
        <w:t xml:space="preserve"> a significant increase in the proportion of patients undergoing liver transplant </w:t>
      </w:r>
      <w:r w:rsidR="00F97FFA" w:rsidRPr="00A828B6">
        <w:rPr>
          <w:rFonts w:ascii="Book Antiqua" w:hAnsi="Book Antiqua"/>
          <w:bCs/>
          <w:sz w:val="24"/>
          <w:szCs w:val="24"/>
          <w:lang w:val="en-US"/>
        </w:rPr>
        <w:t>due to</w:t>
      </w:r>
      <w:r w:rsidR="00763FFB" w:rsidRPr="00A828B6">
        <w:rPr>
          <w:rFonts w:ascii="Book Antiqua" w:hAnsi="Book Antiqua"/>
          <w:bCs/>
          <w:sz w:val="24"/>
          <w:szCs w:val="24"/>
          <w:lang w:val="en-US"/>
        </w:rPr>
        <w:t xml:space="preserve"> NASH. </w:t>
      </w:r>
      <w:r w:rsidR="008F55BA" w:rsidRPr="00A828B6">
        <w:rPr>
          <w:rFonts w:ascii="Book Antiqua" w:hAnsi="Book Antiqua"/>
          <w:bCs/>
          <w:sz w:val="24"/>
          <w:szCs w:val="24"/>
          <w:lang w:val="en-US"/>
        </w:rPr>
        <w:t xml:space="preserve">These findings differ from studies carried out in Japan </w:t>
      </w:r>
      <w:r w:rsidR="00947FB0" w:rsidRPr="00A828B6">
        <w:rPr>
          <w:rFonts w:ascii="Book Antiqua" w:hAnsi="Book Antiqua"/>
          <w:bCs/>
          <w:sz w:val="24"/>
          <w:szCs w:val="24"/>
          <w:lang w:val="en-US"/>
        </w:rPr>
        <w:t xml:space="preserve">where the rate of </w:t>
      </w:r>
      <w:r w:rsidR="008F55BA" w:rsidRPr="00A828B6">
        <w:rPr>
          <w:rFonts w:ascii="Book Antiqua" w:hAnsi="Book Antiqua"/>
          <w:bCs/>
          <w:sz w:val="24"/>
          <w:szCs w:val="24"/>
          <w:lang w:val="en-US"/>
        </w:rPr>
        <w:lastRenderedPageBreak/>
        <w:t>seronegative</w:t>
      </w:r>
      <w:r w:rsidR="00416E5F" w:rsidRPr="00A828B6">
        <w:rPr>
          <w:rFonts w:ascii="Book Antiqua" w:hAnsi="Book Antiqua"/>
          <w:bCs/>
          <w:sz w:val="24"/>
          <w:szCs w:val="24"/>
          <w:lang w:val="en-US"/>
        </w:rPr>
        <w:t xml:space="preserve"> </w:t>
      </w:r>
      <w:r w:rsidR="00307B60" w:rsidRPr="00A828B6">
        <w:rPr>
          <w:rFonts w:ascii="Book Antiqua" w:hAnsi="Book Antiqua"/>
          <w:bCs/>
          <w:sz w:val="24"/>
          <w:szCs w:val="24"/>
          <w:lang w:val="en-US"/>
        </w:rPr>
        <w:t>cirrhotic patients was 5</w:t>
      </w:r>
      <w:r w:rsidR="00A828B6" w:rsidRPr="00A828B6">
        <w:rPr>
          <w:rFonts w:ascii="Book Antiqua" w:hAnsi="Book Antiqua"/>
          <w:bCs/>
          <w:sz w:val="24"/>
          <w:szCs w:val="24"/>
          <w:lang w:val="en-US" w:eastAsia="zh-CN"/>
        </w:rPr>
        <w:t>%</w:t>
      </w:r>
      <w:r w:rsidR="00307B60" w:rsidRPr="00A828B6">
        <w:rPr>
          <w:rFonts w:ascii="Book Antiqua" w:hAnsi="Book Antiqua"/>
          <w:bCs/>
          <w:sz w:val="24"/>
          <w:szCs w:val="24"/>
          <w:lang w:val="en-US"/>
        </w:rPr>
        <w:t>-20%</w:t>
      </w:r>
      <w:r w:rsidR="00617ED5" w:rsidRPr="00A828B6">
        <w:rPr>
          <w:rFonts w:ascii="Book Antiqua" w:hAnsi="Book Antiqua"/>
          <w:bCs/>
          <w:sz w:val="24"/>
          <w:szCs w:val="24"/>
          <w:lang w:val="en-US"/>
        </w:rPr>
        <w:t xml:space="preserve">. This finding </w:t>
      </w:r>
      <w:r w:rsidR="00023843" w:rsidRPr="00A828B6">
        <w:rPr>
          <w:rFonts w:ascii="Book Antiqua" w:hAnsi="Book Antiqua"/>
          <w:bCs/>
          <w:sz w:val="24"/>
          <w:szCs w:val="24"/>
          <w:lang w:val="en-US"/>
        </w:rPr>
        <w:t xml:space="preserve">could be explained by the </w:t>
      </w:r>
      <w:r w:rsidR="00430A20" w:rsidRPr="00A828B6">
        <w:rPr>
          <w:rFonts w:ascii="Book Antiqua" w:hAnsi="Book Antiqua"/>
          <w:bCs/>
          <w:sz w:val="24"/>
          <w:szCs w:val="24"/>
          <w:lang w:val="en-US"/>
        </w:rPr>
        <w:t xml:space="preserve">relatively </w:t>
      </w:r>
      <w:r w:rsidR="00023843" w:rsidRPr="00A828B6">
        <w:rPr>
          <w:rFonts w:ascii="Book Antiqua" w:hAnsi="Book Antiqua"/>
          <w:bCs/>
          <w:sz w:val="24"/>
          <w:szCs w:val="24"/>
          <w:lang w:val="en-US"/>
        </w:rPr>
        <w:t xml:space="preserve">lower incidence of NASH </w:t>
      </w:r>
      <w:r w:rsidR="00040B68" w:rsidRPr="00A828B6">
        <w:rPr>
          <w:rFonts w:ascii="Book Antiqua" w:hAnsi="Book Antiqua"/>
          <w:bCs/>
          <w:sz w:val="24"/>
          <w:szCs w:val="24"/>
          <w:lang w:val="en-US"/>
        </w:rPr>
        <w:t>(1</w:t>
      </w:r>
      <w:r w:rsidR="00A828B6" w:rsidRPr="00A828B6">
        <w:rPr>
          <w:rFonts w:ascii="Book Antiqua" w:hAnsi="Book Antiqua"/>
          <w:bCs/>
          <w:sz w:val="24"/>
          <w:szCs w:val="24"/>
          <w:lang w:val="en-US" w:eastAsia="zh-CN"/>
        </w:rPr>
        <w:t>%</w:t>
      </w:r>
      <w:r w:rsidR="00040B68" w:rsidRPr="00A828B6">
        <w:rPr>
          <w:rFonts w:ascii="Book Antiqua" w:hAnsi="Book Antiqua"/>
          <w:bCs/>
          <w:sz w:val="24"/>
          <w:szCs w:val="24"/>
          <w:lang w:val="en-US"/>
        </w:rPr>
        <w:t xml:space="preserve">-3%) </w:t>
      </w:r>
      <w:r w:rsidR="00430A20" w:rsidRPr="00A828B6">
        <w:rPr>
          <w:rFonts w:ascii="Book Antiqua" w:hAnsi="Book Antiqua"/>
          <w:bCs/>
          <w:sz w:val="24"/>
          <w:szCs w:val="24"/>
          <w:lang w:val="en-US"/>
        </w:rPr>
        <w:t xml:space="preserve">by comparison to </w:t>
      </w:r>
      <w:r w:rsidR="00023843" w:rsidRPr="00A828B6">
        <w:rPr>
          <w:rFonts w:ascii="Book Antiqua" w:hAnsi="Book Antiqua"/>
          <w:bCs/>
          <w:sz w:val="24"/>
          <w:szCs w:val="24"/>
          <w:lang w:val="en-US"/>
        </w:rPr>
        <w:t>hepatitis B, hepatitis C and alcoholic liver disease</w:t>
      </w:r>
      <w:r w:rsidR="00002911" w:rsidRPr="00A828B6">
        <w:rPr>
          <w:rFonts w:ascii="Book Antiqua" w:hAnsi="Book Antiqua"/>
          <w:bCs/>
          <w:sz w:val="24"/>
          <w:szCs w:val="24"/>
          <w:lang w:val="en-US"/>
        </w:rPr>
        <w:t xml:space="preserve"> in Japan</w:t>
      </w:r>
      <w:r w:rsidR="00023843" w:rsidRPr="00A828B6">
        <w:rPr>
          <w:rFonts w:ascii="Book Antiqua" w:hAnsi="Book Antiqua"/>
          <w:bCs/>
          <w:sz w:val="24"/>
          <w:szCs w:val="24"/>
          <w:lang w:val="en-US"/>
        </w:rPr>
        <w:t>.</w:t>
      </w:r>
      <w:r w:rsidR="00416E5F" w:rsidRPr="00A828B6">
        <w:rPr>
          <w:rFonts w:ascii="Book Antiqua" w:hAnsi="Book Antiqua"/>
          <w:bCs/>
          <w:sz w:val="24"/>
          <w:szCs w:val="24"/>
          <w:lang w:val="en-US"/>
        </w:rPr>
        <w:t xml:space="preserve"> Among the cohort of our patients who needed liver transplant, a significantly larger proportion developed decompensated cirrhosis due to NAFLD than hepatitis B or C.</w:t>
      </w:r>
    </w:p>
    <w:p w14:paraId="45EE6218" w14:textId="42DED069" w:rsidR="00920903" w:rsidRPr="00A828B6" w:rsidRDefault="00E70DFF" w:rsidP="001A5A01">
      <w:pPr>
        <w:spacing w:after="0" w:line="360" w:lineRule="auto"/>
        <w:ind w:firstLine="360"/>
        <w:jc w:val="both"/>
        <w:rPr>
          <w:rFonts w:ascii="Book Antiqua" w:hAnsi="Book Antiqua"/>
          <w:bCs/>
          <w:sz w:val="24"/>
          <w:szCs w:val="24"/>
          <w:lang w:val="en-US"/>
        </w:rPr>
      </w:pPr>
      <w:r w:rsidRPr="00A828B6">
        <w:rPr>
          <w:rFonts w:ascii="Book Antiqua" w:hAnsi="Book Antiqua"/>
          <w:bCs/>
          <w:sz w:val="24"/>
          <w:szCs w:val="24"/>
          <w:lang w:val="en-US"/>
        </w:rPr>
        <w:t>In a prospective longitudinal cohort study,</w:t>
      </w:r>
      <w:r w:rsidR="00416E5F" w:rsidRPr="00A828B6">
        <w:rPr>
          <w:rFonts w:ascii="Book Antiqua" w:hAnsi="Book Antiqua"/>
          <w:bCs/>
          <w:sz w:val="24"/>
          <w:szCs w:val="24"/>
          <w:lang w:val="en-US"/>
        </w:rPr>
        <w:t xml:space="preserve"> </w:t>
      </w:r>
      <w:r w:rsidR="00900832" w:rsidRPr="00A828B6">
        <w:rPr>
          <w:rFonts w:ascii="Book Antiqua" w:hAnsi="Book Antiqua"/>
          <w:bCs/>
          <w:sz w:val="24"/>
          <w:szCs w:val="24"/>
          <w:lang w:val="en-US"/>
        </w:rPr>
        <w:t xml:space="preserve">Hui </w:t>
      </w:r>
      <w:r w:rsidR="00900832" w:rsidRPr="00A828B6">
        <w:rPr>
          <w:rFonts w:ascii="Book Antiqua" w:hAnsi="Book Antiqua"/>
          <w:bCs/>
          <w:i/>
          <w:sz w:val="24"/>
          <w:szCs w:val="24"/>
          <w:lang w:val="en-US"/>
        </w:rPr>
        <w:t xml:space="preserve">et </w:t>
      </w:r>
      <w:proofErr w:type="gramStart"/>
      <w:r w:rsidR="00900832" w:rsidRPr="00A828B6">
        <w:rPr>
          <w:rFonts w:ascii="Book Antiqua" w:hAnsi="Book Antiqua"/>
          <w:bCs/>
          <w:i/>
          <w:sz w:val="24"/>
          <w:szCs w:val="24"/>
          <w:lang w:val="en-US"/>
        </w:rPr>
        <w:t>al</w:t>
      </w:r>
      <w:r w:rsidR="00B04A38" w:rsidRPr="00A828B6">
        <w:rPr>
          <w:rFonts w:ascii="Book Antiqua" w:hAnsi="Book Antiqua"/>
          <w:sz w:val="24"/>
          <w:szCs w:val="24"/>
          <w:vertAlign w:val="superscript"/>
          <w:lang w:val="en-US" w:eastAsia="zh-CN"/>
        </w:rPr>
        <w:t>[</w:t>
      </w:r>
      <w:proofErr w:type="gramEnd"/>
      <w:r w:rsidR="00B04A38" w:rsidRPr="00A828B6">
        <w:rPr>
          <w:rFonts w:ascii="Book Antiqua" w:hAnsi="Book Antiqua"/>
          <w:bCs/>
          <w:sz w:val="24"/>
          <w:szCs w:val="24"/>
          <w:vertAlign w:val="superscript"/>
          <w:lang w:val="en-US"/>
        </w:rPr>
        <w:t>28</w:t>
      </w:r>
      <w:r w:rsidR="00B04A38" w:rsidRPr="00A828B6">
        <w:rPr>
          <w:rFonts w:ascii="Book Antiqua" w:hAnsi="Book Antiqua"/>
          <w:bCs/>
          <w:sz w:val="24"/>
          <w:szCs w:val="24"/>
          <w:vertAlign w:val="superscript"/>
          <w:lang w:val="en-US" w:eastAsia="zh-CN"/>
        </w:rPr>
        <w:t>]</w:t>
      </w:r>
      <w:r w:rsidR="00B04A38" w:rsidRPr="00A828B6">
        <w:rPr>
          <w:rFonts w:ascii="Book Antiqua" w:hAnsi="Book Antiqua"/>
          <w:sz w:val="24"/>
          <w:szCs w:val="24"/>
          <w:lang w:val="en-US"/>
        </w:rPr>
        <w:t xml:space="preserve"> </w:t>
      </w:r>
      <w:r w:rsidR="00C418CF" w:rsidRPr="00A828B6">
        <w:rPr>
          <w:rFonts w:ascii="Book Antiqua" w:hAnsi="Book Antiqua"/>
          <w:bCs/>
          <w:sz w:val="24"/>
          <w:szCs w:val="24"/>
          <w:vertAlign w:val="superscript"/>
          <w:lang w:val="en-US"/>
        </w:rPr>
        <w:t xml:space="preserve"> </w:t>
      </w:r>
      <w:r w:rsidR="00EE043E" w:rsidRPr="00A828B6">
        <w:rPr>
          <w:rFonts w:ascii="Book Antiqua" w:hAnsi="Book Antiqua"/>
          <w:bCs/>
          <w:sz w:val="24"/>
          <w:szCs w:val="24"/>
          <w:lang w:val="en-US"/>
        </w:rPr>
        <w:t>showed</w:t>
      </w:r>
      <w:r w:rsidR="000F2507" w:rsidRPr="00A828B6">
        <w:rPr>
          <w:rFonts w:ascii="Book Antiqua" w:hAnsi="Book Antiqua"/>
          <w:bCs/>
          <w:sz w:val="24"/>
          <w:szCs w:val="24"/>
          <w:lang w:val="en-US"/>
        </w:rPr>
        <w:t xml:space="preserve"> a</w:t>
      </w:r>
      <w:r w:rsidR="00EE043E" w:rsidRPr="00A828B6">
        <w:rPr>
          <w:rFonts w:ascii="Book Antiqua" w:hAnsi="Book Antiqua"/>
          <w:bCs/>
          <w:sz w:val="24"/>
          <w:szCs w:val="24"/>
          <w:lang w:val="en-US"/>
        </w:rPr>
        <w:t xml:space="preserve"> comparable incidence</w:t>
      </w:r>
      <w:r w:rsidR="000F2507" w:rsidRPr="00A828B6">
        <w:rPr>
          <w:rFonts w:ascii="Book Antiqua" w:hAnsi="Book Antiqua"/>
          <w:bCs/>
          <w:sz w:val="24"/>
          <w:szCs w:val="24"/>
          <w:lang w:val="en-US"/>
        </w:rPr>
        <w:t xml:space="preserve"> and survival rate</w:t>
      </w:r>
      <w:r w:rsidR="00416E5F" w:rsidRPr="00A828B6">
        <w:rPr>
          <w:rFonts w:ascii="Book Antiqua" w:hAnsi="Book Antiqua"/>
          <w:bCs/>
          <w:sz w:val="24"/>
          <w:szCs w:val="24"/>
          <w:lang w:val="en-US"/>
        </w:rPr>
        <w:t xml:space="preserve"> </w:t>
      </w:r>
      <w:r w:rsidR="00002911" w:rsidRPr="00A828B6">
        <w:rPr>
          <w:rFonts w:ascii="Book Antiqua" w:hAnsi="Book Antiqua"/>
          <w:bCs/>
          <w:sz w:val="24"/>
          <w:szCs w:val="24"/>
          <w:lang w:val="en-US"/>
        </w:rPr>
        <w:t xml:space="preserve">of </w:t>
      </w:r>
      <w:r w:rsidR="000F2507" w:rsidRPr="00A828B6">
        <w:rPr>
          <w:rFonts w:ascii="Book Antiqua" w:hAnsi="Book Antiqua"/>
          <w:bCs/>
          <w:sz w:val="24"/>
          <w:szCs w:val="24"/>
          <w:lang w:val="en-US"/>
        </w:rPr>
        <w:t>cirrhosis</w:t>
      </w:r>
      <w:r w:rsidR="00F90D05" w:rsidRPr="00A828B6">
        <w:rPr>
          <w:rFonts w:ascii="Book Antiqua" w:hAnsi="Book Antiqua"/>
          <w:bCs/>
          <w:sz w:val="24"/>
          <w:szCs w:val="24"/>
          <w:lang w:val="en-US"/>
        </w:rPr>
        <w:t xml:space="preserve"> </w:t>
      </w:r>
      <w:r w:rsidR="000F2507" w:rsidRPr="00A828B6">
        <w:rPr>
          <w:rFonts w:ascii="Book Antiqua" w:hAnsi="Book Antiqua"/>
          <w:bCs/>
          <w:sz w:val="24"/>
          <w:szCs w:val="24"/>
          <w:lang w:val="en-US"/>
        </w:rPr>
        <w:t xml:space="preserve">related to </w:t>
      </w:r>
      <w:r w:rsidR="00EE043E" w:rsidRPr="00A828B6">
        <w:rPr>
          <w:rFonts w:ascii="Book Antiqua" w:hAnsi="Book Antiqua"/>
          <w:bCs/>
          <w:sz w:val="24"/>
          <w:szCs w:val="24"/>
          <w:lang w:val="en-US"/>
        </w:rPr>
        <w:t>hepatitis C</w:t>
      </w:r>
      <w:r w:rsidR="00416E5F" w:rsidRPr="00A828B6">
        <w:rPr>
          <w:rFonts w:ascii="Book Antiqua" w:hAnsi="Book Antiqua"/>
          <w:bCs/>
          <w:sz w:val="24"/>
          <w:szCs w:val="24"/>
          <w:lang w:val="en-US"/>
        </w:rPr>
        <w:t xml:space="preserve"> t</w:t>
      </w:r>
      <w:r w:rsidR="00002911" w:rsidRPr="00A828B6">
        <w:rPr>
          <w:rFonts w:ascii="Book Antiqua" w:hAnsi="Book Antiqua"/>
          <w:bCs/>
          <w:sz w:val="24"/>
          <w:szCs w:val="24"/>
          <w:lang w:val="en-US"/>
        </w:rPr>
        <w:t xml:space="preserve">o </w:t>
      </w:r>
      <w:r w:rsidR="000F2507" w:rsidRPr="00A828B6">
        <w:rPr>
          <w:rFonts w:ascii="Book Antiqua" w:hAnsi="Book Antiqua"/>
          <w:bCs/>
          <w:sz w:val="24"/>
          <w:szCs w:val="24"/>
          <w:lang w:val="en-US"/>
        </w:rPr>
        <w:t xml:space="preserve">that related to </w:t>
      </w:r>
      <w:r w:rsidR="009836A2" w:rsidRPr="00A828B6">
        <w:rPr>
          <w:rFonts w:ascii="Book Antiqua" w:hAnsi="Book Antiqua"/>
          <w:bCs/>
          <w:sz w:val="24"/>
          <w:szCs w:val="24"/>
          <w:lang w:val="en-US"/>
        </w:rPr>
        <w:t>NASH</w:t>
      </w:r>
      <w:r w:rsidR="00416E5F" w:rsidRPr="00A828B6">
        <w:rPr>
          <w:rFonts w:ascii="Book Antiqua" w:hAnsi="Book Antiqua"/>
          <w:bCs/>
          <w:sz w:val="24"/>
          <w:szCs w:val="24"/>
          <w:lang w:val="en-US"/>
        </w:rPr>
        <w:t xml:space="preserve">. </w:t>
      </w:r>
      <w:r w:rsidR="00002911" w:rsidRPr="00A828B6">
        <w:rPr>
          <w:rFonts w:ascii="Book Antiqua" w:hAnsi="Book Antiqua"/>
          <w:bCs/>
          <w:sz w:val="24"/>
          <w:szCs w:val="24"/>
          <w:lang w:val="en-US"/>
        </w:rPr>
        <w:t>A</w:t>
      </w:r>
      <w:r w:rsidR="00E3177A" w:rsidRPr="00A828B6">
        <w:rPr>
          <w:rFonts w:ascii="Book Antiqua" w:hAnsi="Book Antiqua"/>
          <w:bCs/>
          <w:sz w:val="24"/>
          <w:szCs w:val="24"/>
          <w:lang w:val="en-US"/>
        </w:rPr>
        <w:t xml:space="preserve">nother </w:t>
      </w:r>
      <w:r w:rsidR="00763FFB" w:rsidRPr="00A828B6">
        <w:rPr>
          <w:rFonts w:ascii="Book Antiqua" w:hAnsi="Book Antiqua"/>
          <w:bCs/>
          <w:sz w:val="24"/>
          <w:szCs w:val="24"/>
          <w:lang w:val="en-US"/>
        </w:rPr>
        <w:t>large multi-center international study</w:t>
      </w:r>
      <w:r w:rsidR="00416E5F" w:rsidRPr="00A828B6">
        <w:rPr>
          <w:rFonts w:ascii="Book Antiqua" w:hAnsi="Book Antiqua"/>
          <w:bCs/>
          <w:sz w:val="24"/>
          <w:szCs w:val="24"/>
          <w:lang w:val="en-US"/>
        </w:rPr>
        <w:t xml:space="preserve"> </w:t>
      </w:r>
      <w:r w:rsidR="00606356" w:rsidRPr="00A828B6">
        <w:rPr>
          <w:rFonts w:ascii="Book Antiqua" w:hAnsi="Book Antiqua"/>
          <w:bCs/>
          <w:sz w:val="24"/>
          <w:szCs w:val="24"/>
          <w:lang w:val="en-US"/>
        </w:rPr>
        <w:t xml:space="preserve">compared </w:t>
      </w:r>
      <w:r w:rsidR="00763FFB" w:rsidRPr="00A828B6">
        <w:rPr>
          <w:rFonts w:ascii="Book Antiqua" w:hAnsi="Book Antiqua"/>
          <w:bCs/>
          <w:sz w:val="24"/>
          <w:szCs w:val="24"/>
          <w:lang w:val="en-US"/>
        </w:rPr>
        <w:t xml:space="preserve">247 patients with advanced fibrosis or cirrhosis secondary to NASH </w:t>
      </w:r>
      <w:r w:rsidR="00606356" w:rsidRPr="00A828B6">
        <w:rPr>
          <w:rFonts w:ascii="Book Antiqua" w:hAnsi="Book Antiqua"/>
          <w:bCs/>
          <w:sz w:val="24"/>
          <w:szCs w:val="24"/>
          <w:lang w:val="en-US"/>
        </w:rPr>
        <w:t>to</w:t>
      </w:r>
      <w:r w:rsidR="00763FFB" w:rsidRPr="00A828B6">
        <w:rPr>
          <w:rFonts w:ascii="Book Antiqua" w:hAnsi="Book Antiqua"/>
          <w:bCs/>
          <w:sz w:val="24"/>
          <w:szCs w:val="24"/>
          <w:lang w:val="en-US"/>
        </w:rPr>
        <w:t xml:space="preserve"> 264 </w:t>
      </w:r>
      <w:r w:rsidR="00CA17D5" w:rsidRPr="00A828B6">
        <w:rPr>
          <w:rFonts w:ascii="Book Antiqua" w:hAnsi="Book Antiqua"/>
          <w:bCs/>
          <w:sz w:val="24"/>
          <w:szCs w:val="24"/>
          <w:lang w:val="en-US"/>
        </w:rPr>
        <w:t xml:space="preserve">patients with </w:t>
      </w:r>
      <w:r w:rsidR="00763FFB" w:rsidRPr="00A828B6">
        <w:rPr>
          <w:rFonts w:ascii="Book Antiqua" w:hAnsi="Book Antiqua"/>
          <w:bCs/>
          <w:sz w:val="24"/>
          <w:szCs w:val="24"/>
          <w:lang w:val="en-US"/>
        </w:rPr>
        <w:t xml:space="preserve">chronic </w:t>
      </w:r>
      <w:r w:rsidR="00CA17D5" w:rsidRPr="00A828B6">
        <w:rPr>
          <w:rFonts w:ascii="Book Antiqua" w:hAnsi="Book Antiqua"/>
          <w:bCs/>
          <w:sz w:val="24"/>
          <w:szCs w:val="24"/>
          <w:lang w:val="en-US"/>
        </w:rPr>
        <w:t xml:space="preserve">hepatitis C </w:t>
      </w:r>
      <w:r w:rsidR="00250D58" w:rsidRPr="00A828B6">
        <w:rPr>
          <w:rFonts w:ascii="Book Antiqua" w:hAnsi="Book Antiqua"/>
          <w:bCs/>
          <w:sz w:val="24"/>
          <w:szCs w:val="24"/>
          <w:lang w:val="en-US"/>
        </w:rPr>
        <w:t>and</w:t>
      </w:r>
      <w:r w:rsidR="007B65CF" w:rsidRPr="00A828B6">
        <w:rPr>
          <w:rFonts w:ascii="Book Antiqua" w:hAnsi="Book Antiqua"/>
          <w:bCs/>
          <w:sz w:val="24"/>
          <w:szCs w:val="24"/>
          <w:lang w:val="en-US"/>
        </w:rPr>
        <w:t xml:space="preserve"> similar stages of </w:t>
      </w:r>
      <w:proofErr w:type="gramStart"/>
      <w:r w:rsidR="007B65CF" w:rsidRPr="00A828B6">
        <w:rPr>
          <w:rFonts w:ascii="Book Antiqua" w:hAnsi="Book Antiqua"/>
          <w:bCs/>
          <w:sz w:val="24"/>
          <w:szCs w:val="24"/>
          <w:lang w:val="en-US"/>
        </w:rPr>
        <w:t>fibrosis</w:t>
      </w:r>
      <w:r w:rsidR="00B04A38" w:rsidRPr="00A828B6">
        <w:rPr>
          <w:rFonts w:ascii="Book Antiqua" w:hAnsi="Book Antiqua"/>
          <w:sz w:val="24"/>
          <w:szCs w:val="24"/>
          <w:vertAlign w:val="superscript"/>
          <w:lang w:val="en-US" w:eastAsia="zh-CN"/>
        </w:rPr>
        <w:t>[</w:t>
      </w:r>
      <w:proofErr w:type="gramEnd"/>
      <w:r w:rsidR="00B04A38" w:rsidRPr="00A828B6">
        <w:rPr>
          <w:rFonts w:ascii="Book Antiqua" w:hAnsi="Book Antiqua"/>
          <w:bCs/>
          <w:sz w:val="24"/>
          <w:szCs w:val="24"/>
          <w:vertAlign w:val="superscript"/>
          <w:lang w:val="en-US"/>
        </w:rPr>
        <w:t>29</w:t>
      </w:r>
      <w:r w:rsidR="00B04A38" w:rsidRPr="00A828B6">
        <w:rPr>
          <w:rFonts w:ascii="Book Antiqua" w:hAnsi="Book Antiqua"/>
          <w:bCs/>
          <w:sz w:val="24"/>
          <w:szCs w:val="24"/>
          <w:vertAlign w:val="superscript"/>
          <w:lang w:val="en-US" w:eastAsia="zh-CN"/>
        </w:rPr>
        <w:t>]</w:t>
      </w:r>
      <w:r w:rsidR="00763FFB" w:rsidRPr="00A828B6">
        <w:rPr>
          <w:rFonts w:ascii="Book Antiqua" w:hAnsi="Book Antiqua"/>
          <w:bCs/>
          <w:sz w:val="24"/>
          <w:szCs w:val="24"/>
          <w:lang w:val="en-US"/>
        </w:rPr>
        <w:t xml:space="preserve">. </w:t>
      </w:r>
      <w:r w:rsidR="00E3792F" w:rsidRPr="00A828B6">
        <w:rPr>
          <w:rFonts w:ascii="Book Antiqua" w:hAnsi="Book Antiqua"/>
          <w:bCs/>
          <w:sz w:val="24"/>
          <w:szCs w:val="24"/>
          <w:lang w:val="en-US"/>
        </w:rPr>
        <w:t xml:space="preserve">In </w:t>
      </w:r>
      <w:r w:rsidR="00B813CC" w:rsidRPr="00A828B6">
        <w:rPr>
          <w:rFonts w:ascii="Book Antiqua" w:hAnsi="Book Antiqua"/>
          <w:bCs/>
          <w:sz w:val="24"/>
          <w:szCs w:val="24"/>
          <w:lang w:val="en-US"/>
        </w:rPr>
        <w:t xml:space="preserve">that </w:t>
      </w:r>
      <w:r w:rsidR="00E3792F" w:rsidRPr="00A828B6">
        <w:rPr>
          <w:rFonts w:ascii="Book Antiqua" w:hAnsi="Book Antiqua"/>
          <w:bCs/>
          <w:sz w:val="24"/>
          <w:szCs w:val="24"/>
          <w:lang w:val="en-US"/>
        </w:rPr>
        <w:t xml:space="preserve">study, </w:t>
      </w:r>
      <w:r w:rsidR="00763FFB" w:rsidRPr="00A828B6">
        <w:rPr>
          <w:rFonts w:ascii="Book Antiqua" w:hAnsi="Book Antiqua"/>
          <w:bCs/>
          <w:sz w:val="24"/>
          <w:szCs w:val="24"/>
          <w:lang w:val="en-US"/>
        </w:rPr>
        <w:t xml:space="preserve">19.4% </w:t>
      </w:r>
      <w:r w:rsidR="00F1363A" w:rsidRPr="00A828B6">
        <w:rPr>
          <w:rFonts w:ascii="Book Antiqua" w:hAnsi="Book Antiqua"/>
          <w:bCs/>
          <w:sz w:val="24"/>
          <w:szCs w:val="24"/>
          <w:lang w:val="en-US"/>
        </w:rPr>
        <w:t xml:space="preserve">of </w:t>
      </w:r>
      <w:r w:rsidR="00944BCE" w:rsidRPr="00A828B6">
        <w:rPr>
          <w:rFonts w:ascii="Book Antiqua" w:hAnsi="Book Antiqua"/>
          <w:bCs/>
          <w:sz w:val="24"/>
          <w:szCs w:val="24"/>
          <w:lang w:val="en-US"/>
        </w:rPr>
        <w:t xml:space="preserve">NASH </w:t>
      </w:r>
      <w:r w:rsidR="00F1363A" w:rsidRPr="00A828B6">
        <w:rPr>
          <w:rFonts w:ascii="Book Antiqua" w:hAnsi="Book Antiqua"/>
          <w:bCs/>
          <w:sz w:val="24"/>
          <w:szCs w:val="24"/>
          <w:lang w:val="en-US"/>
        </w:rPr>
        <w:t xml:space="preserve">patients </w:t>
      </w:r>
      <w:r w:rsidR="00944BCE" w:rsidRPr="00A828B6">
        <w:rPr>
          <w:rFonts w:ascii="Book Antiqua" w:hAnsi="Book Antiqua"/>
          <w:bCs/>
          <w:sz w:val="24"/>
          <w:szCs w:val="24"/>
          <w:lang w:val="en-US"/>
        </w:rPr>
        <w:t xml:space="preserve">developed </w:t>
      </w:r>
      <w:r w:rsidR="00763FFB" w:rsidRPr="00A828B6">
        <w:rPr>
          <w:rFonts w:ascii="Book Antiqua" w:hAnsi="Book Antiqua"/>
          <w:bCs/>
          <w:sz w:val="24"/>
          <w:szCs w:val="24"/>
          <w:lang w:val="en-US"/>
        </w:rPr>
        <w:t xml:space="preserve">liver-related complications and 13.4% </w:t>
      </w:r>
      <w:r w:rsidR="00944BCE" w:rsidRPr="00A828B6">
        <w:rPr>
          <w:rFonts w:ascii="Book Antiqua" w:hAnsi="Book Antiqua"/>
          <w:bCs/>
          <w:sz w:val="24"/>
          <w:szCs w:val="24"/>
          <w:lang w:val="en-US"/>
        </w:rPr>
        <w:t xml:space="preserve">either died </w:t>
      </w:r>
      <w:r w:rsidR="00763FFB" w:rsidRPr="00A828B6">
        <w:rPr>
          <w:rFonts w:ascii="Book Antiqua" w:hAnsi="Book Antiqua"/>
          <w:bCs/>
          <w:sz w:val="24"/>
          <w:szCs w:val="24"/>
          <w:lang w:val="en-US"/>
        </w:rPr>
        <w:t xml:space="preserve">or </w:t>
      </w:r>
      <w:r w:rsidR="00944BCE" w:rsidRPr="00A828B6">
        <w:rPr>
          <w:rFonts w:ascii="Book Antiqua" w:hAnsi="Book Antiqua"/>
          <w:bCs/>
          <w:sz w:val="24"/>
          <w:szCs w:val="24"/>
          <w:lang w:val="en-US"/>
        </w:rPr>
        <w:t xml:space="preserve">underwent </w:t>
      </w:r>
      <w:r w:rsidR="00763FFB" w:rsidRPr="00A828B6">
        <w:rPr>
          <w:rFonts w:ascii="Book Antiqua" w:hAnsi="Book Antiqua"/>
          <w:bCs/>
          <w:sz w:val="24"/>
          <w:szCs w:val="24"/>
          <w:lang w:val="en-US"/>
        </w:rPr>
        <w:t>liver transplant</w:t>
      </w:r>
      <w:r w:rsidR="00002911" w:rsidRPr="00A828B6">
        <w:rPr>
          <w:rFonts w:ascii="Book Antiqua" w:hAnsi="Book Antiqua"/>
          <w:bCs/>
          <w:sz w:val="24"/>
          <w:szCs w:val="24"/>
          <w:lang w:val="en-US"/>
        </w:rPr>
        <w:t>a</w:t>
      </w:r>
      <w:r w:rsidR="00944BCE" w:rsidRPr="00A828B6">
        <w:rPr>
          <w:rFonts w:ascii="Book Antiqua" w:hAnsi="Book Antiqua"/>
          <w:bCs/>
          <w:sz w:val="24"/>
          <w:szCs w:val="24"/>
          <w:lang w:val="en-US"/>
        </w:rPr>
        <w:t>tions</w:t>
      </w:r>
      <w:r w:rsidR="00EF2F79" w:rsidRPr="00A828B6">
        <w:rPr>
          <w:rFonts w:ascii="Book Antiqua" w:hAnsi="Book Antiqua"/>
          <w:bCs/>
          <w:sz w:val="24"/>
          <w:szCs w:val="24"/>
          <w:lang w:val="en-US"/>
        </w:rPr>
        <w:t xml:space="preserve"> </w:t>
      </w:r>
      <w:r w:rsidR="00944BCE" w:rsidRPr="00A828B6">
        <w:rPr>
          <w:rFonts w:ascii="Book Antiqua" w:hAnsi="Book Antiqua"/>
          <w:bCs/>
          <w:sz w:val="24"/>
          <w:szCs w:val="24"/>
          <w:lang w:val="en-US"/>
        </w:rPr>
        <w:t>during follow-up, as compared to</w:t>
      </w:r>
      <w:r w:rsidR="00EF2F79" w:rsidRPr="00A828B6">
        <w:rPr>
          <w:rFonts w:ascii="Book Antiqua" w:hAnsi="Book Antiqua"/>
          <w:bCs/>
          <w:sz w:val="24"/>
          <w:szCs w:val="24"/>
          <w:lang w:val="en-US"/>
        </w:rPr>
        <w:t xml:space="preserve"> </w:t>
      </w:r>
      <w:r w:rsidR="00944BCE" w:rsidRPr="00A828B6">
        <w:rPr>
          <w:rFonts w:ascii="Book Antiqua" w:hAnsi="Book Antiqua"/>
          <w:bCs/>
          <w:sz w:val="24"/>
          <w:szCs w:val="24"/>
          <w:lang w:val="en-US"/>
        </w:rPr>
        <w:t xml:space="preserve">patients with hepatitis C among whom </w:t>
      </w:r>
      <w:r w:rsidR="00763FFB" w:rsidRPr="00A828B6">
        <w:rPr>
          <w:rFonts w:ascii="Book Antiqua" w:hAnsi="Book Antiqua"/>
          <w:bCs/>
          <w:sz w:val="24"/>
          <w:szCs w:val="24"/>
          <w:lang w:val="en-US"/>
        </w:rPr>
        <w:t xml:space="preserve">16.7% </w:t>
      </w:r>
      <w:r w:rsidR="00944BCE" w:rsidRPr="00A828B6">
        <w:rPr>
          <w:rFonts w:ascii="Book Antiqua" w:hAnsi="Book Antiqua"/>
          <w:bCs/>
          <w:sz w:val="24"/>
          <w:szCs w:val="24"/>
          <w:lang w:val="en-US"/>
        </w:rPr>
        <w:t xml:space="preserve">developed </w:t>
      </w:r>
      <w:r w:rsidR="00763FFB" w:rsidRPr="00A828B6">
        <w:rPr>
          <w:rFonts w:ascii="Book Antiqua" w:hAnsi="Book Antiqua"/>
          <w:bCs/>
          <w:sz w:val="24"/>
          <w:szCs w:val="24"/>
          <w:lang w:val="en-US"/>
        </w:rPr>
        <w:t xml:space="preserve">liver-related complications </w:t>
      </w:r>
      <w:r w:rsidR="00944BCE" w:rsidRPr="00A828B6">
        <w:rPr>
          <w:rFonts w:ascii="Book Antiqua" w:hAnsi="Book Antiqua"/>
          <w:bCs/>
          <w:sz w:val="24"/>
          <w:szCs w:val="24"/>
          <w:lang w:val="en-US"/>
        </w:rPr>
        <w:t xml:space="preserve">and </w:t>
      </w:r>
      <w:r w:rsidR="00763FFB" w:rsidRPr="00A828B6">
        <w:rPr>
          <w:rFonts w:ascii="Book Antiqua" w:hAnsi="Book Antiqua"/>
          <w:bCs/>
          <w:sz w:val="24"/>
          <w:szCs w:val="24"/>
          <w:lang w:val="en-US"/>
        </w:rPr>
        <w:t>9.4%</w:t>
      </w:r>
      <w:r w:rsidR="00944BCE" w:rsidRPr="00A828B6">
        <w:rPr>
          <w:rFonts w:ascii="Book Antiqua" w:hAnsi="Book Antiqua"/>
          <w:bCs/>
          <w:sz w:val="24"/>
          <w:szCs w:val="24"/>
          <w:lang w:val="en-US"/>
        </w:rPr>
        <w:t xml:space="preserve"> either died or required </w:t>
      </w:r>
      <w:r w:rsidR="00107F08" w:rsidRPr="00A828B6">
        <w:rPr>
          <w:rFonts w:ascii="Book Antiqua" w:hAnsi="Book Antiqua"/>
          <w:bCs/>
          <w:sz w:val="24"/>
          <w:szCs w:val="24"/>
          <w:lang w:val="en-US"/>
        </w:rPr>
        <w:t xml:space="preserve">transplant </w:t>
      </w:r>
      <w:r w:rsidR="00944BCE" w:rsidRPr="00A828B6">
        <w:rPr>
          <w:rFonts w:ascii="Book Antiqua" w:hAnsi="Book Antiqua"/>
          <w:bCs/>
          <w:sz w:val="24"/>
          <w:szCs w:val="24"/>
          <w:lang w:val="en-US"/>
        </w:rPr>
        <w:t>surgery</w:t>
      </w:r>
      <w:r w:rsidR="00F97FFA" w:rsidRPr="00A828B6">
        <w:rPr>
          <w:rFonts w:ascii="Book Antiqua" w:hAnsi="Book Antiqua"/>
          <w:bCs/>
          <w:sz w:val="24"/>
          <w:szCs w:val="24"/>
          <w:lang w:val="en-US"/>
        </w:rPr>
        <w:t>.</w:t>
      </w:r>
      <w:r w:rsidR="00EF2F79" w:rsidRPr="00A828B6">
        <w:rPr>
          <w:rFonts w:ascii="Book Antiqua" w:hAnsi="Book Antiqua"/>
          <w:bCs/>
          <w:sz w:val="24"/>
          <w:szCs w:val="24"/>
          <w:lang w:val="en-US"/>
        </w:rPr>
        <w:t xml:space="preserve"> </w:t>
      </w:r>
      <w:r w:rsidR="00920903" w:rsidRPr="00A828B6">
        <w:rPr>
          <w:rFonts w:ascii="Book Antiqua" w:hAnsi="Book Antiqua"/>
          <w:bCs/>
          <w:sz w:val="24"/>
          <w:szCs w:val="24"/>
          <w:lang w:val="en-US"/>
        </w:rPr>
        <w:t xml:space="preserve">Our </w:t>
      </w:r>
      <w:r w:rsidR="00B813CC" w:rsidRPr="00A828B6">
        <w:rPr>
          <w:rFonts w:ascii="Book Antiqua" w:hAnsi="Book Antiqua"/>
          <w:bCs/>
          <w:sz w:val="24"/>
          <w:szCs w:val="24"/>
          <w:lang w:val="en-US"/>
        </w:rPr>
        <w:t>observations of</w:t>
      </w:r>
      <w:r w:rsidR="00920903" w:rsidRPr="00A828B6">
        <w:rPr>
          <w:rFonts w:ascii="Book Antiqua" w:hAnsi="Book Antiqua"/>
          <w:bCs/>
          <w:sz w:val="24"/>
          <w:szCs w:val="24"/>
          <w:lang w:val="en-US"/>
        </w:rPr>
        <w:t xml:space="preserve"> higher mortality rates</w:t>
      </w:r>
      <w:r w:rsidR="00B813CC" w:rsidRPr="00A828B6">
        <w:rPr>
          <w:rFonts w:ascii="Book Antiqua" w:hAnsi="Book Antiqua"/>
          <w:bCs/>
          <w:sz w:val="24"/>
          <w:szCs w:val="24"/>
          <w:lang w:val="en-US"/>
        </w:rPr>
        <w:t xml:space="preserve"> in patients with NAFLD</w:t>
      </w:r>
      <w:r w:rsidR="00EF2F79" w:rsidRPr="00A828B6">
        <w:rPr>
          <w:rFonts w:ascii="Book Antiqua" w:hAnsi="Book Antiqua"/>
          <w:bCs/>
          <w:sz w:val="24"/>
          <w:szCs w:val="24"/>
          <w:lang w:val="en-US"/>
        </w:rPr>
        <w:t xml:space="preserve"> </w:t>
      </w:r>
      <w:r w:rsidR="00B813CC" w:rsidRPr="00A828B6">
        <w:rPr>
          <w:rFonts w:ascii="Book Antiqua" w:hAnsi="Book Antiqua"/>
          <w:bCs/>
          <w:sz w:val="24"/>
          <w:szCs w:val="24"/>
          <w:lang w:val="en-US"/>
        </w:rPr>
        <w:t>differ</w:t>
      </w:r>
      <w:r w:rsidR="00920903" w:rsidRPr="00A828B6">
        <w:rPr>
          <w:rFonts w:ascii="Book Antiqua" w:hAnsi="Book Antiqua"/>
          <w:bCs/>
          <w:sz w:val="24"/>
          <w:szCs w:val="24"/>
          <w:lang w:val="en-US"/>
        </w:rPr>
        <w:t xml:space="preserve"> from previously reported survi</w:t>
      </w:r>
      <w:r w:rsidR="00EE46F3" w:rsidRPr="00A828B6">
        <w:rPr>
          <w:rFonts w:ascii="Book Antiqua" w:hAnsi="Book Antiqua"/>
          <w:bCs/>
          <w:sz w:val="24"/>
          <w:szCs w:val="24"/>
          <w:lang w:val="en-US"/>
        </w:rPr>
        <w:t>val</w:t>
      </w:r>
      <w:r w:rsidR="00EF2F79" w:rsidRPr="00A828B6">
        <w:rPr>
          <w:rFonts w:ascii="Book Antiqua" w:hAnsi="Book Antiqua"/>
          <w:bCs/>
          <w:sz w:val="24"/>
          <w:szCs w:val="24"/>
          <w:lang w:val="en-US"/>
        </w:rPr>
        <w:t xml:space="preserve"> </w:t>
      </w:r>
      <w:proofErr w:type="gramStart"/>
      <w:r w:rsidR="00B813CC" w:rsidRPr="00A828B6">
        <w:rPr>
          <w:rFonts w:ascii="Book Antiqua" w:hAnsi="Book Antiqua"/>
          <w:bCs/>
          <w:sz w:val="24"/>
          <w:szCs w:val="24"/>
          <w:lang w:val="en-US"/>
        </w:rPr>
        <w:t>data</w:t>
      </w:r>
      <w:r w:rsidR="00B04A38" w:rsidRPr="00A828B6">
        <w:rPr>
          <w:rFonts w:ascii="Book Antiqua" w:hAnsi="Book Antiqua"/>
          <w:sz w:val="24"/>
          <w:szCs w:val="24"/>
          <w:vertAlign w:val="superscript"/>
          <w:lang w:val="en-US" w:eastAsia="zh-CN"/>
        </w:rPr>
        <w:t>[</w:t>
      </w:r>
      <w:proofErr w:type="gramEnd"/>
      <w:r w:rsidR="00B04A38" w:rsidRPr="00A828B6">
        <w:rPr>
          <w:rFonts w:ascii="Book Antiqua" w:hAnsi="Book Antiqua"/>
          <w:bCs/>
          <w:sz w:val="24"/>
          <w:szCs w:val="24"/>
          <w:vertAlign w:val="superscript"/>
          <w:lang w:val="en-US"/>
        </w:rPr>
        <w:t xml:space="preserve">28, </w:t>
      </w:r>
      <w:r w:rsidR="00B04A38" w:rsidRPr="00A828B6">
        <w:rPr>
          <w:rFonts w:ascii="Book Antiqua" w:hAnsi="Book Antiqua"/>
          <w:bCs/>
          <w:sz w:val="24"/>
          <w:szCs w:val="24"/>
          <w:vertAlign w:val="superscript"/>
          <w:lang w:val="en-US" w:eastAsia="zh-CN"/>
        </w:rPr>
        <w:t>30]</w:t>
      </w:r>
      <w:r w:rsidR="00920903" w:rsidRPr="00A828B6">
        <w:rPr>
          <w:rFonts w:ascii="Book Antiqua" w:hAnsi="Book Antiqua"/>
          <w:bCs/>
          <w:sz w:val="24"/>
          <w:szCs w:val="24"/>
          <w:lang w:val="en-US"/>
        </w:rPr>
        <w:t xml:space="preserve">. </w:t>
      </w:r>
      <w:r w:rsidR="00774528" w:rsidRPr="00A828B6">
        <w:rPr>
          <w:rFonts w:ascii="Book Antiqua" w:hAnsi="Book Antiqua"/>
          <w:bCs/>
          <w:sz w:val="24"/>
          <w:szCs w:val="24"/>
          <w:lang w:val="en-US"/>
        </w:rPr>
        <w:t xml:space="preserve">The first </w:t>
      </w:r>
      <w:proofErr w:type="gramStart"/>
      <w:r w:rsidR="00774528" w:rsidRPr="00A828B6">
        <w:rPr>
          <w:rFonts w:ascii="Book Antiqua" w:hAnsi="Book Antiqua"/>
          <w:bCs/>
          <w:sz w:val="24"/>
          <w:szCs w:val="24"/>
          <w:lang w:val="en-US"/>
        </w:rPr>
        <w:t>study</w:t>
      </w:r>
      <w:r w:rsidR="00B04A38" w:rsidRPr="00A828B6">
        <w:rPr>
          <w:rFonts w:ascii="Book Antiqua" w:hAnsi="Book Antiqua"/>
          <w:sz w:val="24"/>
          <w:szCs w:val="24"/>
          <w:vertAlign w:val="superscript"/>
          <w:lang w:val="en-US" w:eastAsia="zh-CN"/>
        </w:rPr>
        <w:t>[</w:t>
      </w:r>
      <w:proofErr w:type="gramEnd"/>
      <w:r w:rsidR="00B04A38" w:rsidRPr="00A828B6">
        <w:rPr>
          <w:rFonts w:ascii="Book Antiqua" w:hAnsi="Book Antiqua"/>
          <w:bCs/>
          <w:sz w:val="24"/>
          <w:szCs w:val="24"/>
          <w:vertAlign w:val="superscript"/>
          <w:lang w:val="en-US"/>
        </w:rPr>
        <w:t>28</w:t>
      </w:r>
      <w:r w:rsidR="00B04A38" w:rsidRPr="00A828B6">
        <w:rPr>
          <w:rFonts w:ascii="Book Antiqua" w:hAnsi="Book Antiqua"/>
          <w:bCs/>
          <w:sz w:val="24"/>
          <w:szCs w:val="24"/>
          <w:vertAlign w:val="superscript"/>
          <w:lang w:val="en-US" w:eastAsia="zh-CN"/>
        </w:rPr>
        <w:t>]</w:t>
      </w:r>
      <w:r w:rsidR="00774528" w:rsidRPr="00A828B6">
        <w:rPr>
          <w:rFonts w:ascii="Book Antiqua" w:hAnsi="Book Antiqua"/>
          <w:bCs/>
          <w:sz w:val="24"/>
          <w:szCs w:val="24"/>
          <w:lang w:val="en-US"/>
        </w:rPr>
        <w:t xml:space="preserve"> that investigated the survival rate in patients with NASH reported </w:t>
      </w:r>
      <w:r w:rsidR="00F054F1" w:rsidRPr="00A828B6">
        <w:rPr>
          <w:rFonts w:ascii="Book Antiqua" w:hAnsi="Book Antiqua"/>
          <w:bCs/>
          <w:sz w:val="24"/>
          <w:szCs w:val="24"/>
          <w:lang w:val="en-US"/>
        </w:rPr>
        <w:t>a 10</w:t>
      </w:r>
      <w:r w:rsidR="008769B5" w:rsidRPr="00A828B6">
        <w:rPr>
          <w:rFonts w:ascii="Book Antiqua" w:hAnsi="Book Antiqua"/>
          <w:bCs/>
          <w:sz w:val="24"/>
          <w:szCs w:val="24"/>
          <w:lang w:val="en-US"/>
        </w:rPr>
        <w:t>-</w:t>
      </w:r>
      <w:r w:rsidR="00774528" w:rsidRPr="00A828B6">
        <w:rPr>
          <w:rFonts w:ascii="Book Antiqua" w:hAnsi="Book Antiqua"/>
          <w:bCs/>
          <w:sz w:val="24"/>
          <w:szCs w:val="24"/>
          <w:lang w:val="en-US"/>
        </w:rPr>
        <w:t xml:space="preserve">year survival rate </w:t>
      </w:r>
      <w:r w:rsidR="00F054F1" w:rsidRPr="00A828B6">
        <w:rPr>
          <w:rFonts w:ascii="Book Antiqua" w:hAnsi="Book Antiqua"/>
          <w:bCs/>
          <w:sz w:val="24"/>
          <w:szCs w:val="24"/>
          <w:lang w:val="en-US"/>
        </w:rPr>
        <w:t>of</w:t>
      </w:r>
      <w:r w:rsidR="00EF2F79" w:rsidRPr="00A828B6">
        <w:rPr>
          <w:rFonts w:ascii="Book Antiqua" w:hAnsi="Book Antiqua"/>
          <w:bCs/>
          <w:sz w:val="24"/>
          <w:szCs w:val="24"/>
          <w:lang w:val="en-US"/>
        </w:rPr>
        <w:t xml:space="preserve"> </w:t>
      </w:r>
      <w:r w:rsidR="00774528" w:rsidRPr="00A828B6">
        <w:rPr>
          <w:rFonts w:ascii="Book Antiqua" w:hAnsi="Book Antiqua"/>
          <w:bCs/>
          <w:sz w:val="24"/>
          <w:szCs w:val="24"/>
          <w:lang w:val="en-US"/>
        </w:rPr>
        <w:t>84%. Then, Sanyal</w:t>
      </w:r>
      <w:r w:rsidR="00EF2F79" w:rsidRPr="00A828B6">
        <w:rPr>
          <w:rFonts w:ascii="Book Antiqua" w:hAnsi="Book Antiqua"/>
          <w:bCs/>
          <w:i/>
          <w:sz w:val="24"/>
          <w:szCs w:val="24"/>
          <w:lang w:val="en-US"/>
        </w:rPr>
        <w:t xml:space="preserve"> </w:t>
      </w:r>
      <w:r w:rsidR="00774528" w:rsidRPr="00A828B6">
        <w:rPr>
          <w:rFonts w:ascii="Book Antiqua" w:hAnsi="Book Antiqua"/>
          <w:bCs/>
          <w:i/>
          <w:sz w:val="24"/>
          <w:szCs w:val="24"/>
          <w:lang w:val="en-US"/>
        </w:rPr>
        <w:t xml:space="preserve">et </w:t>
      </w:r>
      <w:proofErr w:type="gramStart"/>
      <w:r w:rsidR="00774528" w:rsidRPr="00A828B6">
        <w:rPr>
          <w:rFonts w:ascii="Book Antiqua" w:hAnsi="Book Antiqua"/>
          <w:bCs/>
          <w:i/>
          <w:sz w:val="24"/>
          <w:szCs w:val="24"/>
          <w:lang w:val="en-US"/>
        </w:rPr>
        <w:t>al</w:t>
      </w:r>
      <w:r w:rsidR="00B04A38" w:rsidRPr="00A828B6">
        <w:rPr>
          <w:rFonts w:ascii="Book Antiqua" w:hAnsi="Book Antiqua"/>
          <w:sz w:val="24"/>
          <w:szCs w:val="24"/>
          <w:vertAlign w:val="superscript"/>
          <w:lang w:val="en-US" w:eastAsia="zh-CN"/>
        </w:rPr>
        <w:t>[</w:t>
      </w:r>
      <w:proofErr w:type="gramEnd"/>
      <w:r w:rsidR="00B04A38" w:rsidRPr="00A828B6">
        <w:rPr>
          <w:rFonts w:ascii="Book Antiqua" w:hAnsi="Book Antiqua"/>
          <w:bCs/>
          <w:sz w:val="24"/>
          <w:szCs w:val="24"/>
          <w:vertAlign w:val="superscript"/>
          <w:lang w:val="en-US"/>
        </w:rPr>
        <w:t>30</w:t>
      </w:r>
      <w:r w:rsidR="00B04A38" w:rsidRPr="00A828B6">
        <w:rPr>
          <w:rFonts w:ascii="Book Antiqua" w:hAnsi="Book Antiqua"/>
          <w:bCs/>
          <w:sz w:val="24"/>
          <w:szCs w:val="24"/>
          <w:vertAlign w:val="superscript"/>
          <w:lang w:val="en-US" w:eastAsia="zh-CN"/>
        </w:rPr>
        <w:t>]</w:t>
      </w:r>
      <w:r w:rsidR="00774528" w:rsidRPr="00A828B6">
        <w:rPr>
          <w:rFonts w:ascii="Book Antiqua" w:hAnsi="Book Antiqua"/>
          <w:bCs/>
          <w:sz w:val="24"/>
          <w:szCs w:val="24"/>
          <w:lang w:val="en-US"/>
        </w:rPr>
        <w:t xml:space="preserve"> reported </w:t>
      </w:r>
      <w:r w:rsidR="00F054F1" w:rsidRPr="00A828B6">
        <w:rPr>
          <w:rFonts w:ascii="Book Antiqua" w:hAnsi="Book Antiqua"/>
          <w:bCs/>
          <w:sz w:val="24"/>
          <w:szCs w:val="24"/>
          <w:lang w:val="en-US"/>
        </w:rPr>
        <w:t>a</w:t>
      </w:r>
      <w:r w:rsidR="00774528" w:rsidRPr="00A828B6">
        <w:rPr>
          <w:rFonts w:ascii="Book Antiqua" w:hAnsi="Book Antiqua"/>
          <w:bCs/>
          <w:sz w:val="24"/>
          <w:szCs w:val="24"/>
          <w:lang w:val="en-US"/>
        </w:rPr>
        <w:t xml:space="preserve"> 10-year mortality rate </w:t>
      </w:r>
      <w:r w:rsidR="00F054F1" w:rsidRPr="00A828B6">
        <w:rPr>
          <w:rFonts w:ascii="Book Antiqua" w:hAnsi="Book Antiqua"/>
          <w:bCs/>
          <w:sz w:val="24"/>
          <w:szCs w:val="24"/>
          <w:lang w:val="en-US"/>
        </w:rPr>
        <w:t xml:space="preserve">of </w:t>
      </w:r>
      <w:r w:rsidR="00774528" w:rsidRPr="00A828B6">
        <w:rPr>
          <w:rFonts w:ascii="Book Antiqua" w:hAnsi="Book Antiqua"/>
          <w:bCs/>
          <w:sz w:val="24"/>
          <w:szCs w:val="24"/>
          <w:lang w:val="en-US"/>
        </w:rPr>
        <w:t xml:space="preserve">19.1% in patients with NASH cirrhosis </w:t>
      </w:r>
      <w:r w:rsidR="00D013E4" w:rsidRPr="00A828B6">
        <w:rPr>
          <w:rFonts w:ascii="Book Antiqua" w:hAnsi="Book Antiqua"/>
          <w:bCs/>
          <w:sz w:val="24"/>
          <w:szCs w:val="24"/>
          <w:lang w:val="en-US"/>
        </w:rPr>
        <w:t xml:space="preserve">as opposed to </w:t>
      </w:r>
      <w:r w:rsidR="00EF2F79" w:rsidRPr="00A828B6">
        <w:rPr>
          <w:rFonts w:ascii="Book Antiqua" w:hAnsi="Book Antiqua"/>
          <w:bCs/>
          <w:sz w:val="24"/>
          <w:szCs w:val="24"/>
          <w:lang w:val="en-US"/>
        </w:rPr>
        <w:t>4.1% in</w:t>
      </w:r>
      <w:r w:rsidR="00F054F1" w:rsidRPr="00A828B6">
        <w:rPr>
          <w:rFonts w:ascii="Book Antiqua" w:hAnsi="Book Antiqua"/>
          <w:bCs/>
          <w:sz w:val="24"/>
          <w:szCs w:val="24"/>
          <w:lang w:val="en-US"/>
        </w:rPr>
        <w:t xml:space="preserve"> patients with</w:t>
      </w:r>
      <w:r w:rsidR="00EF2F79" w:rsidRPr="00A828B6">
        <w:rPr>
          <w:rFonts w:ascii="Book Antiqua" w:hAnsi="Book Antiqua"/>
          <w:bCs/>
          <w:sz w:val="24"/>
          <w:szCs w:val="24"/>
          <w:lang w:val="en-US"/>
        </w:rPr>
        <w:t xml:space="preserve"> </w:t>
      </w:r>
      <w:r w:rsidR="00CF54C1" w:rsidRPr="00A828B6">
        <w:rPr>
          <w:rFonts w:ascii="Book Antiqua" w:hAnsi="Book Antiqua"/>
          <w:bCs/>
          <w:sz w:val="24"/>
          <w:szCs w:val="24"/>
          <w:lang w:val="en-US"/>
        </w:rPr>
        <w:t xml:space="preserve">compensated </w:t>
      </w:r>
      <w:r w:rsidR="00EF2F79" w:rsidRPr="00A828B6">
        <w:rPr>
          <w:rFonts w:ascii="Book Antiqua" w:hAnsi="Book Antiqua"/>
          <w:bCs/>
          <w:sz w:val="24"/>
          <w:szCs w:val="24"/>
          <w:lang w:val="en-US"/>
        </w:rPr>
        <w:t>cirrhosis</w:t>
      </w:r>
      <w:r w:rsidR="00774528" w:rsidRPr="00A828B6">
        <w:rPr>
          <w:rFonts w:ascii="Book Antiqua" w:hAnsi="Book Antiqua"/>
          <w:bCs/>
          <w:sz w:val="24"/>
          <w:szCs w:val="24"/>
          <w:lang w:val="en-US"/>
        </w:rPr>
        <w:t xml:space="preserve">.  </w:t>
      </w:r>
      <w:r w:rsidR="00285C5E" w:rsidRPr="00A828B6">
        <w:rPr>
          <w:rFonts w:ascii="Book Antiqua" w:hAnsi="Book Antiqua"/>
          <w:sz w:val="24"/>
          <w:szCs w:val="24"/>
          <w:lang w:val="en-US"/>
        </w:rPr>
        <w:t>Yatsuji</w:t>
      </w:r>
      <w:r w:rsidR="00285C5E" w:rsidRPr="00A828B6">
        <w:rPr>
          <w:rFonts w:ascii="Book Antiqua" w:hAnsi="Book Antiqua"/>
          <w:i/>
          <w:sz w:val="24"/>
          <w:szCs w:val="24"/>
          <w:lang w:val="en-US"/>
        </w:rPr>
        <w:t xml:space="preserve"> et </w:t>
      </w:r>
      <w:proofErr w:type="gramStart"/>
      <w:r w:rsidR="00285C5E" w:rsidRPr="00A828B6">
        <w:rPr>
          <w:rFonts w:ascii="Book Antiqua" w:hAnsi="Book Antiqua"/>
          <w:i/>
          <w:sz w:val="24"/>
          <w:szCs w:val="24"/>
          <w:lang w:val="en-US"/>
        </w:rPr>
        <w:t>al</w:t>
      </w:r>
      <w:r w:rsidR="00197FC5" w:rsidRPr="00A828B6">
        <w:rPr>
          <w:rFonts w:ascii="Book Antiqua" w:hAnsi="Book Antiqua"/>
          <w:sz w:val="24"/>
          <w:szCs w:val="24"/>
          <w:vertAlign w:val="superscript"/>
          <w:lang w:val="en-US" w:eastAsia="zh-CN"/>
        </w:rPr>
        <w:t>[</w:t>
      </w:r>
      <w:proofErr w:type="gramEnd"/>
      <w:r w:rsidR="00197FC5" w:rsidRPr="00A828B6">
        <w:rPr>
          <w:rFonts w:ascii="Book Antiqua" w:hAnsi="Book Antiqua"/>
          <w:bCs/>
          <w:sz w:val="24"/>
          <w:szCs w:val="24"/>
          <w:vertAlign w:val="superscript"/>
          <w:lang w:val="en-US"/>
        </w:rPr>
        <w:t>31</w:t>
      </w:r>
      <w:r w:rsidR="00197FC5" w:rsidRPr="00A828B6">
        <w:rPr>
          <w:rFonts w:ascii="Book Antiqua" w:hAnsi="Book Antiqua"/>
          <w:bCs/>
          <w:sz w:val="24"/>
          <w:szCs w:val="24"/>
          <w:vertAlign w:val="superscript"/>
          <w:lang w:val="en-US" w:eastAsia="zh-CN"/>
        </w:rPr>
        <w:t>]</w:t>
      </w:r>
      <w:r w:rsidR="00197FC5" w:rsidRPr="00A828B6">
        <w:rPr>
          <w:rFonts w:ascii="Book Antiqua" w:hAnsi="Book Antiqua"/>
          <w:sz w:val="24"/>
          <w:szCs w:val="24"/>
          <w:lang w:val="en-US"/>
        </w:rPr>
        <w:t xml:space="preserve"> </w:t>
      </w:r>
      <w:r w:rsidR="00285C5E" w:rsidRPr="00A828B6">
        <w:rPr>
          <w:rFonts w:ascii="Book Antiqua" w:hAnsi="Book Antiqua"/>
          <w:bCs/>
          <w:sz w:val="24"/>
          <w:szCs w:val="24"/>
          <w:lang w:val="en-US"/>
        </w:rPr>
        <w:t>observed</w:t>
      </w:r>
      <w:r w:rsidR="00B7128C" w:rsidRPr="00A828B6">
        <w:rPr>
          <w:rFonts w:ascii="Book Antiqua" w:hAnsi="Book Antiqua"/>
          <w:bCs/>
          <w:sz w:val="24"/>
          <w:szCs w:val="24"/>
          <w:lang w:val="en-US"/>
        </w:rPr>
        <w:t xml:space="preserve"> </w:t>
      </w:r>
      <w:r w:rsidR="00A23F0F" w:rsidRPr="00A828B6">
        <w:rPr>
          <w:rFonts w:ascii="Book Antiqua" w:hAnsi="Book Antiqua"/>
          <w:bCs/>
          <w:sz w:val="24"/>
          <w:szCs w:val="24"/>
          <w:lang w:val="en-US"/>
        </w:rPr>
        <w:t xml:space="preserve">a </w:t>
      </w:r>
      <w:r w:rsidR="00967463" w:rsidRPr="00A828B6">
        <w:rPr>
          <w:rFonts w:ascii="Book Antiqua" w:hAnsi="Book Antiqua"/>
          <w:bCs/>
          <w:sz w:val="24"/>
          <w:szCs w:val="24"/>
          <w:lang w:val="en-US"/>
        </w:rPr>
        <w:t xml:space="preserve">5-year </w:t>
      </w:r>
      <w:r w:rsidR="00821380" w:rsidRPr="00A828B6">
        <w:rPr>
          <w:rFonts w:ascii="Book Antiqua" w:hAnsi="Book Antiqua"/>
          <w:bCs/>
          <w:sz w:val="24"/>
          <w:szCs w:val="24"/>
          <w:lang w:val="en-US"/>
        </w:rPr>
        <w:t xml:space="preserve">HCC rate </w:t>
      </w:r>
      <w:r w:rsidR="00285C5E" w:rsidRPr="00A828B6">
        <w:rPr>
          <w:rFonts w:ascii="Book Antiqua" w:hAnsi="Book Antiqua"/>
          <w:bCs/>
          <w:sz w:val="24"/>
          <w:szCs w:val="24"/>
          <w:lang w:val="en-US"/>
        </w:rPr>
        <w:t>of</w:t>
      </w:r>
      <w:r w:rsidR="00485372" w:rsidRPr="00A828B6">
        <w:rPr>
          <w:rFonts w:ascii="Book Antiqua" w:hAnsi="Book Antiqua"/>
          <w:bCs/>
          <w:sz w:val="24"/>
          <w:szCs w:val="24"/>
          <w:lang w:val="en-US"/>
        </w:rPr>
        <w:t xml:space="preserve"> </w:t>
      </w:r>
      <w:r w:rsidR="00821380" w:rsidRPr="00A828B6">
        <w:rPr>
          <w:rFonts w:ascii="Book Antiqua" w:hAnsi="Book Antiqua"/>
          <w:bCs/>
          <w:sz w:val="24"/>
          <w:szCs w:val="24"/>
          <w:lang w:val="en-US"/>
        </w:rPr>
        <w:t xml:space="preserve">11.3% for NASH-associated </w:t>
      </w:r>
      <w:r w:rsidR="00B7128C" w:rsidRPr="00A828B6">
        <w:rPr>
          <w:rFonts w:ascii="Book Antiqua" w:hAnsi="Book Antiqua"/>
          <w:bCs/>
          <w:sz w:val="24"/>
          <w:szCs w:val="24"/>
          <w:lang w:val="en-US"/>
        </w:rPr>
        <w:t xml:space="preserve">cirrhosis and 30.5% for HCV cirrhosis; and </w:t>
      </w:r>
      <w:r w:rsidR="00264AF9" w:rsidRPr="00A828B6">
        <w:rPr>
          <w:rFonts w:ascii="Book Antiqua" w:hAnsi="Book Antiqua"/>
          <w:bCs/>
          <w:sz w:val="24"/>
          <w:szCs w:val="24"/>
          <w:lang w:val="en-US"/>
        </w:rPr>
        <w:t>a</w:t>
      </w:r>
      <w:r w:rsidR="00EE46F3" w:rsidRPr="00A828B6">
        <w:rPr>
          <w:rFonts w:ascii="Book Antiqua" w:hAnsi="Book Antiqua"/>
          <w:bCs/>
          <w:sz w:val="24"/>
          <w:szCs w:val="24"/>
          <w:lang w:val="en-US"/>
        </w:rPr>
        <w:t xml:space="preserve"> </w:t>
      </w:r>
      <w:r w:rsidR="00B7128C" w:rsidRPr="00A828B6">
        <w:rPr>
          <w:rFonts w:ascii="Book Antiqua" w:hAnsi="Book Antiqua"/>
          <w:bCs/>
          <w:sz w:val="24"/>
          <w:szCs w:val="24"/>
          <w:lang w:val="en-US"/>
        </w:rPr>
        <w:t>5</w:t>
      </w:r>
      <w:r w:rsidR="00EE46F3" w:rsidRPr="00A828B6">
        <w:rPr>
          <w:rFonts w:ascii="Book Antiqua" w:hAnsi="Book Antiqua"/>
          <w:bCs/>
          <w:sz w:val="24"/>
          <w:szCs w:val="24"/>
          <w:lang w:val="en-US"/>
        </w:rPr>
        <w:t>-</w:t>
      </w:r>
      <w:r w:rsidR="00B7128C" w:rsidRPr="00A828B6">
        <w:rPr>
          <w:rFonts w:ascii="Book Antiqua" w:hAnsi="Book Antiqua"/>
          <w:bCs/>
          <w:sz w:val="24"/>
          <w:szCs w:val="24"/>
          <w:lang w:val="en-US"/>
        </w:rPr>
        <w:t xml:space="preserve">year </w:t>
      </w:r>
      <w:r w:rsidR="00967463" w:rsidRPr="00A828B6">
        <w:rPr>
          <w:rFonts w:ascii="Book Antiqua" w:hAnsi="Book Antiqua"/>
          <w:bCs/>
          <w:sz w:val="24"/>
          <w:szCs w:val="24"/>
          <w:lang w:val="en-US"/>
        </w:rPr>
        <w:t xml:space="preserve">survival rate </w:t>
      </w:r>
      <w:r w:rsidR="00B7128C" w:rsidRPr="00A828B6">
        <w:rPr>
          <w:rFonts w:ascii="Book Antiqua" w:hAnsi="Book Antiqua"/>
          <w:bCs/>
          <w:sz w:val="24"/>
          <w:szCs w:val="24"/>
          <w:lang w:val="en-US"/>
        </w:rPr>
        <w:t xml:space="preserve">was </w:t>
      </w:r>
      <w:r w:rsidR="00967463" w:rsidRPr="00A828B6">
        <w:rPr>
          <w:rFonts w:ascii="Book Antiqua" w:hAnsi="Book Antiqua"/>
          <w:bCs/>
          <w:sz w:val="24"/>
          <w:szCs w:val="24"/>
          <w:lang w:val="en-US"/>
        </w:rPr>
        <w:t xml:space="preserve">75.2% </w:t>
      </w:r>
      <w:r w:rsidR="00821380" w:rsidRPr="00A828B6">
        <w:rPr>
          <w:rFonts w:ascii="Book Antiqua" w:hAnsi="Book Antiqua"/>
          <w:bCs/>
          <w:sz w:val="24"/>
          <w:szCs w:val="24"/>
          <w:lang w:val="en-US"/>
        </w:rPr>
        <w:t xml:space="preserve">in NASH-associated </w:t>
      </w:r>
      <w:r w:rsidR="00B7128C" w:rsidRPr="00A828B6">
        <w:rPr>
          <w:rFonts w:ascii="Book Antiqua" w:hAnsi="Book Antiqua"/>
          <w:bCs/>
          <w:sz w:val="24"/>
          <w:szCs w:val="24"/>
          <w:lang w:val="en-US"/>
        </w:rPr>
        <w:t>cirrhosis and 73.8% in HCV cirrhosis</w:t>
      </w:r>
      <w:r w:rsidR="00285C5E" w:rsidRPr="00A828B6">
        <w:rPr>
          <w:rFonts w:ascii="Book Antiqua" w:hAnsi="Book Antiqua"/>
          <w:bCs/>
          <w:sz w:val="24"/>
          <w:szCs w:val="24"/>
          <w:lang w:val="en-US"/>
        </w:rPr>
        <w:t xml:space="preserve"> in a study carried out on Japanese patients</w:t>
      </w:r>
      <w:r w:rsidR="00967463" w:rsidRPr="00A828B6">
        <w:rPr>
          <w:rFonts w:ascii="Book Antiqua" w:hAnsi="Book Antiqua"/>
          <w:bCs/>
          <w:sz w:val="24"/>
          <w:szCs w:val="24"/>
          <w:lang w:val="en-US"/>
        </w:rPr>
        <w:t xml:space="preserve">. </w:t>
      </w:r>
      <w:r w:rsidR="00B813CC" w:rsidRPr="00A828B6">
        <w:rPr>
          <w:rFonts w:ascii="Book Antiqua" w:hAnsi="Book Antiqua"/>
          <w:bCs/>
          <w:sz w:val="24"/>
          <w:szCs w:val="24"/>
          <w:lang w:val="en-US"/>
        </w:rPr>
        <w:t>Our study</w:t>
      </w:r>
      <w:r w:rsidR="00EF2F79" w:rsidRPr="00A828B6">
        <w:rPr>
          <w:rFonts w:ascii="Book Antiqua" w:hAnsi="Book Antiqua"/>
          <w:bCs/>
          <w:sz w:val="24"/>
          <w:szCs w:val="24"/>
          <w:lang w:val="en-US"/>
        </w:rPr>
        <w:t xml:space="preserve"> </w:t>
      </w:r>
      <w:r w:rsidR="005D1764" w:rsidRPr="00A828B6">
        <w:rPr>
          <w:rFonts w:ascii="Book Antiqua" w:hAnsi="Book Antiqua"/>
          <w:bCs/>
          <w:sz w:val="24"/>
          <w:szCs w:val="24"/>
          <w:lang w:val="en-US"/>
        </w:rPr>
        <w:t>found</w:t>
      </w:r>
      <w:r w:rsidR="00B7128C" w:rsidRPr="00A828B6">
        <w:rPr>
          <w:rFonts w:ascii="Book Antiqua" w:hAnsi="Book Antiqua"/>
          <w:bCs/>
          <w:sz w:val="24"/>
          <w:szCs w:val="24"/>
          <w:lang w:val="en-US"/>
        </w:rPr>
        <w:t xml:space="preserve"> </w:t>
      </w:r>
      <w:r w:rsidR="00330AA3" w:rsidRPr="00A828B6">
        <w:rPr>
          <w:rFonts w:ascii="Book Antiqua" w:hAnsi="Book Antiqua"/>
          <w:bCs/>
          <w:sz w:val="24"/>
          <w:szCs w:val="24"/>
          <w:lang w:val="en-US"/>
        </w:rPr>
        <w:t xml:space="preserve">the </w:t>
      </w:r>
      <w:r w:rsidR="00DB07FC" w:rsidRPr="00A828B6">
        <w:rPr>
          <w:rFonts w:ascii="Book Antiqua" w:hAnsi="Book Antiqua"/>
          <w:bCs/>
          <w:sz w:val="24"/>
          <w:szCs w:val="24"/>
          <w:lang w:val="en-US"/>
        </w:rPr>
        <w:t>m</w:t>
      </w:r>
      <w:r w:rsidR="005D1764" w:rsidRPr="00A828B6">
        <w:rPr>
          <w:rFonts w:ascii="Book Antiqua" w:hAnsi="Book Antiqua"/>
          <w:bCs/>
          <w:sz w:val="24"/>
          <w:szCs w:val="24"/>
          <w:lang w:val="en-US"/>
        </w:rPr>
        <w:t xml:space="preserve">ortality rate </w:t>
      </w:r>
      <w:r w:rsidR="00F97FFA" w:rsidRPr="00A828B6">
        <w:rPr>
          <w:rFonts w:ascii="Book Antiqua" w:hAnsi="Book Antiqua"/>
          <w:bCs/>
          <w:sz w:val="24"/>
          <w:szCs w:val="24"/>
          <w:lang w:val="en-US"/>
        </w:rPr>
        <w:t xml:space="preserve">in NAFLD </w:t>
      </w:r>
      <w:r w:rsidR="00EE46F3" w:rsidRPr="00A828B6">
        <w:rPr>
          <w:rFonts w:ascii="Book Antiqua" w:hAnsi="Book Antiqua"/>
          <w:bCs/>
          <w:sz w:val="24"/>
          <w:szCs w:val="24"/>
          <w:lang w:val="en-US"/>
        </w:rPr>
        <w:t xml:space="preserve">to be </w:t>
      </w:r>
      <w:r w:rsidR="006E7195" w:rsidRPr="00A828B6">
        <w:rPr>
          <w:rFonts w:ascii="Book Antiqua" w:hAnsi="Book Antiqua"/>
          <w:bCs/>
          <w:sz w:val="24"/>
          <w:szCs w:val="24"/>
          <w:lang w:val="en-US"/>
        </w:rPr>
        <w:t>46</w:t>
      </w:r>
      <w:r w:rsidR="00DB07FC" w:rsidRPr="00A828B6">
        <w:rPr>
          <w:rFonts w:ascii="Book Antiqua" w:hAnsi="Book Antiqua"/>
          <w:bCs/>
          <w:sz w:val="24"/>
          <w:szCs w:val="24"/>
          <w:lang w:val="en-US"/>
        </w:rPr>
        <w:t>% during follow-up and 80% after HCC developed</w:t>
      </w:r>
      <w:r w:rsidR="00B7128C" w:rsidRPr="00A828B6">
        <w:rPr>
          <w:rFonts w:ascii="Book Antiqua" w:hAnsi="Book Antiqua"/>
          <w:bCs/>
          <w:sz w:val="24"/>
          <w:szCs w:val="24"/>
          <w:lang w:val="en-US"/>
        </w:rPr>
        <w:t>. These rates were higher than those</w:t>
      </w:r>
      <w:r w:rsidR="006858F8" w:rsidRPr="00A828B6">
        <w:rPr>
          <w:rFonts w:ascii="Book Antiqua" w:hAnsi="Book Antiqua"/>
          <w:bCs/>
          <w:sz w:val="24"/>
          <w:szCs w:val="24"/>
          <w:lang w:val="en-US"/>
        </w:rPr>
        <w:t xml:space="preserve"> in patients with hepatitis in whom mortality rate </w:t>
      </w:r>
      <w:r w:rsidR="00F477EB" w:rsidRPr="00A828B6">
        <w:rPr>
          <w:rFonts w:ascii="Book Antiqua" w:hAnsi="Book Antiqua"/>
          <w:bCs/>
          <w:sz w:val="24"/>
          <w:szCs w:val="24"/>
          <w:lang w:val="en-US"/>
        </w:rPr>
        <w:t xml:space="preserve">was </w:t>
      </w:r>
      <w:r w:rsidR="004E6DB7" w:rsidRPr="00A828B6">
        <w:rPr>
          <w:rFonts w:ascii="Book Antiqua" w:hAnsi="Book Antiqua"/>
          <w:bCs/>
          <w:sz w:val="24"/>
          <w:szCs w:val="24"/>
          <w:lang w:val="en-US"/>
        </w:rPr>
        <w:t>31</w:t>
      </w:r>
      <w:r w:rsidR="006858F8" w:rsidRPr="00A828B6">
        <w:rPr>
          <w:rFonts w:ascii="Book Antiqua" w:hAnsi="Book Antiqua"/>
          <w:bCs/>
          <w:sz w:val="24"/>
          <w:szCs w:val="24"/>
          <w:lang w:val="en-US"/>
        </w:rPr>
        <w:t>-32</w:t>
      </w:r>
      <w:r w:rsidR="008D4436" w:rsidRPr="00A828B6">
        <w:rPr>
          <w:rFonts w:ascii="Book Antiqua" w:hAnsi="Book Antiqua"/>
          <w:bCs/>
          <w:sz w:val="24"/>
          <w:szCs w:val="24"/>
          <w:lang w:val="en-US"/>
        </w:rPr>
        <w:t>%</w:t>
      </w:r>
      <w:r w:rsidR="00B7128C" w:rsidRPr="00A828B6">
        <w:rPr>
          <w:rFonts w:ascii="Book Antiqua" w:hAnsi="Book Antiqua"/>
          <w:bCs/>
          <w:sz w:val="24"/>
          <w:szCs w:val="24"/>
          <w:lang w:val="en-US"/>
        </w:rPr>
        <w:t xml:space="preserve"> </w:t>
      </w:r>
      <w:r w:rsidR="006858F8" w:rsidRPr="00A828B6">
        <w:rPr>
          <w:rFonts w:ascii="Book Antiqua" w:hAnsi="Book Antiqua"/>
          <w:bCs/>
          <w:sz w:val="24"/>
          <w:szCs w:val="24"/>
          <w:lang w:val="en-US"/>
        </w:rPr>
        <w:t xml:space="preserve">in the absence of HCC, </w:t>
      </w:r>
      <w:r w:rsidR="004E6DB7" w:rsidRPr="00A828B6">
        <w:rPr>
          <w:rFonts w:ascii="Book Antiqua" w:hAnsi="Book Antiqua"/>
          <w:bCs/>
          <w:sz w:val="24"/>
          <w:szCs w:val="24"/>
          <w:lang w:val="en-US"/>
        </w:rPr>
        <w:t xml:space="preserve">and </w:t>
      </w:r>
      <w:r w:rsidR="006858F8" w:rsidRPr="00A828B6">
        <w:rPr>
          <w:rFonts w:ascii="Book Antiqua" w:hAnsi="Book Antiqua"/>
          <w:bCs/>
          <w:sz w:val="24"/>
          <w:szCs w:val="24"/>
          <w:lang w:val="en-US"/>
        </w:rPr>
        <w:t xml:space="preserve">increased to </w:t>
      </w:r>
      <w:r w:rsidR="004E6DB7" w:rsidRPr="00A828B6">
        <w:rPr>
          <w:rFonts w:ascii="Book Antiqua" w:hAnsi="Book Antiqua"/>
          <w:bCs/>
          <w:sz w:val="24"/>
          <w:szCs w:val="24"/>
          <w:lang w:val="en-US"/>
        </w:rPr>
        <w:t>75%</w:t>
      </w:r>
      <w:r w:rsidR="006858F8" w:rsidRPr="00A828B6">
        <w:rPr>
          <w:rFonts w:ascii="Book Antiqua" w:hAnsi="Book Antiqua"/>
          <w:bCs/>
          <w:sz w:val="24"/>
          <w:szCs w:val="24"/>
          <w:lang w:val="en-US"/>
        </w:rPr>
        <w:t xml:space="preserve"> and </w:t>
      </w:r>
      <w:r w:rsidR="004E6DB7" w:rsidRPr="00A828B6">
        <w:rPr>
          <w:rFonts w:ascii="Book Antiqua" w:hAnsi="Book Antiqua"/>
          <w:bCs/>
          <w:sz w:val="24"/>
          <w:szCs w:val="24"/>
          <w:lang w:val="en-US"/>
        </w:rPr>
        <w:t>90%</w:t>
      </w:r>
      <w:r w:rsidR="00B7128C" w:rsidRPr="00A828B6">
        <w:rPr>
          <w:rFonts w:ascii="Book Antiqua" w:hAnsi="Book Antiqua"/>
          <w:bCs/>
          <w:sz w:val="24"/>
          <w:szCs w:val="24"/>
          <w:lang w:val="en-US"/>
        </w:rPr>
        <w:t xml:space="preserve"> </w:t>
      </w:r>
      <w:r w:rsidR="00920903" w:rsidRPr="00A828B6">
        <w:rPr>
          <w:rFonts w:ascii="Book Antiqua" w:hAnsi="Book Antiqua"/>
          <w:bCs/>
          <w:sz w:val="24"/>
          <w:szCs w:val="24"/>
          <w:lang w:val="en-US"/>
        </w:rPr>
        <w:t>in patients with h</w:t>
      </w:r>
      <w:r w:rsidR="006E7195" w:rsidRPr="00A828B6">
        <w:rPr>
          <w:rFonts w:ascii="Book Antiqua" w:hAnsi="Book Antiqua"/>
          <w:bCs/>
          <w:sz w:val="24"/>
          <w:szCs w:val="24"/>
          <w:lang w:val="en-US"/>
        </w:rPr>
        <w:t xml:space="preserve">epatitis </w:t>
      </w:r>
      <w:r w:rsidR="006858F8" w:rsidRPr="00A828B6">
        <w:rPr>
          <w:rFonts w:ascii="Book Antiqua" w:hAnsi="Book Antiqua"/>
          <w:bCs/>
          <w:sz w:val="24"/>
          <w:szCs w:val="24"/>
          <w:lang w:val="en-US"/>
        </w:rPr>
        <w:t xml:space="preserve">B and </w:t>
      </w:r>
      <w:r w:rsidR="006E7195" w:rsidRPr="00A828B6">
        <w:rPr>
          <w:rFonts w:ascii="Book Antiqua" w:hAnsi="Book Antiqua"/>
          <w:bCs/>
          <w:sz w:val="24"/>
          <w:szCs w:val="24"/>
          <w:lang w:val="en-US"/>
        </w:rPr>
        <w:t>C</w:t>
      </w:r>
      <w:r w:rsidR="00B7128C" w:rsidRPr="00A828B6">
        <w:rPr>
          <w:rFonts w:ascii="Book Antiqua" w:hAnsi="Book Antiqua"/>
          <w:bCs/>
          <w:sz w:val="24"/>
          <w:szCs w:val="24"/>
          <w:lang w:val="en-US"/>
        </w:rPr>
        <w:t xml:space="preserve"> after HCC developed</w:t>
      </w:r>
      <w:r w:rsidR="006858F8" w:rsidRPr="00A828B6">
        <w:rPr>
          <w:rFonts w:ascii="Book Antiqua" w:hAnsi="Book Antiqua"/>
          <w:bCs/>
          <w:sz w:val="24"/>
          <w:szCs w:val="24"/>
          <w:lang w:val="en-US"/>
        </w:rPr>
        <w:t>, respectively</w:t>
      </w:r>
      <w:r w:rsidR="00017B97" w:rsidRPr="00A828B6">
        <w:rPr>
          <w:rFonts w:ascii="Book Antiqua" w:hAnsi="Book Antiqua"/>
          <w:bCs/>
          <w:sz w:val="24"/>
          <w:szCs w:val="24"/>
          <w:lang w:val="en-US"/>
        </w:rPr>
        <w:t>.</w:t>
      </w:r>
      <w:r w:rsidR="00B7128C" w:rsidRPr="00A828B6">
        <w:rPr>
          <w:rFonts w:ascii="Book Antiqua" w:hAnsi="Book Antiqua"/>
          <w:b/>
          <w:bCs/>
          <w:sz w:val="24"/>
          <w:szCs w:val="24"/>
          <w:lang w:val="en-US"/>
        </w:rPr>
        <w:t xml:space="preserve"> </w:t>
      </w:r>
      <w:r w:rsidR="00A07BB4" w:rsidRPr="00A828B6">
        <w:rPr>
          <w:rFonts w:ascii="Book Antiqua" w:hAnsi="Book Antiqua"/>
          <w:sz w:val="24"/>
          <w:szCs w:val="24"/>
        </w:rPr>
        <w:t xml:space="preserve">The cohort of this study showed significantly higher mortality in comparison to </w:t>
      </w:r>
      <w:r w:rsidR="003B320D" w:rsidRPr="00A828B6">
        <w:rPr>
          <w:rFonts w:ascii="Book Antiqua" w:hAnsi="Book Antiqua"/>
          <w:sz w:val="24"/>
          <w:szCs w:val="24"/>
        </w:rPr>
        <w:t xml:space="preserve">reports </w:t>
      </w:r>
      <w:r w:rsidR="00A07BB4" w:rsidRPr="00A828B6">
        <w:rPr>
          <w:rFonts w:ascii="Book Antiqua" w:hAnsi="Book Antiqua"/>
          <w:sz w:val="24"/>
          <w:szCs w:val="24"/>
        </w:rPr>
        <w:t xml:space="preserve">in </w:t>
      </w:r>
      <w:r w:rsidR="003B320D" w:rsidRPr="00A828B6">
        <w:rPr>
          <w:rFonts w:ascii="Book Antiqua" w:hAnsi="Book Antiqua"/>
          <w:sz w:val="24"/>
          <w:szCs w:val="24"/>
        </w:rPr>
        <w:t xml:space="preserve">other </w:t>
      </w:r>
      <w:r w:rsidR="00A07BB4" w:rsidRPr="00A828B6">
        <w:rPr>
          <w:rFonts w:ascii="Book Antiqua" w:hAnsi="Book Antiqua"/>
          <w:sz w:val="24"/>
          <w:szCs w:val="24"/>
        </w:rPr>
        <w:t xml:space="preserve">ethnic groups. </w:t>
      </w:r>
      <w:r w:rsidR="003B320D" w:rsidRPr="00A828B6">
        <w:rPr>
          <w:rFonts w:ascii="Book Antiqua" w:hAnsi="Book Antiqua"/>
          <w:sz w:val="24"/>
          <w:szCs w:val="24"/>
        </w:rPr>
        <w:t xml:space="preserve">This difference could be due to </w:t>
      </w:r>
      <w:r w:rsidR="0019759D" w:rsidRPr="00A828B6">
        <w:rPr>
          <w:rFonts w:ascii="Book Antiqua" w:hAnsi="Book Antiqua"/>
          <w:sz w:val="24"/>
          <w:szCs w:val="24"/>
        </w:rPr>
        <w:t>several factors</w:t>
      </w:r>
      <w:r w:rsidR="00723C56" w:rsidRPr="00A828B6">
        <w:rPr>
          <w:rFonts w:ascii="Book Antiqua" w:hAnsi="Book Antiqua"/>
          <w:sz w:val="24"/>
          <w:szCs w:val="24"/>
        </w:rPr>
        <w:t>,</w:t>
      </w:r>
      <w:r w:rsidR="00FD6247" w:rsidRPr="00A828B6">
        <w:rPr>
          <w:rFonts w:ascii="Book Antiqua" w:hAnsi="Book Antiqua"/>
          <w:sz w:val="24"/>
          <w:szCs w:val="24"/>
        </w:rPr>
        <w:t xml:space="preserve"> such as: </w:t>
      </w:r>
      <w:r w:rsidR="00A828B6" w:rsidRPr="00A828B6">
        <w:rPr>
          <w:rFonts w:ascii="Book Antiqua" w:hAnsi="Book Antiqua" w:hint="eastAsia"/>
          <w:sz w:val="24"/>
          <w:szCs w:val="24"/>
          <w:lang w:eastAsia="zh-CN"/>
        </w:rPr>
        <w:t>(</w:t>
      </w:r>
      <w:r w:rsidR="00FD6247" w:rsidRPr="00A828B6">
        <w:rPr>
          <w:rFonts w:ascii="Book Antiqua" w:hAnsi="Book Antiqua"/>
          <w:sz w:val="24"/>
          <w:szCs w:val="24"/>
        </w:rPr>
        <w:t xml:space="preserve">1) </w:t>
      </w:r>
      <w:r w:rsidR="001E0980" w:rsidRPr="00A828B6">
        <w:rPr>
          <w:rFonts w:ascii="Book Antiqua" w:hAnsi="Book Antiqua"/>
          <w:sz w:val="24"/>
          <w:szCs w:val="24"/>
        </w:rPr>
        <w:t xml:space="preserve">The severity of the disease in </w:t>
      </w:r>
      <w:r w:rsidR="00EA62A5" w:rsidRPr="00A828B6">
        <w:rPr>
          <w:rFonts w:ascii="Book Antiqua" w:hAnsi="Book Antiqua"/>
          <w:sz w:val="24"/>
          <w:szCs w:val="24"/>
        </w:rPr>
        <w:t xml:space="preserve">our cohort </w:t>
      </w:r>
      <w:r w:rsidR="00FD6247" w:rsidRPr="00A828B6">
        <w:rPr>
          <w:rFonts w:ascii="Book Antiqua" w:hAnsi="Book Antiqua"/>
          <w:sz w:val="24"/>
          <w:szCs w:val="24"/>
        </w:rPr>
        <w:t xml:space="preserve">that included patients </w:t>
      </w:r>
      <w:r w:rsidR="007A56D2" w:rsidRPr="00A828B6">
        <w:rPr>
          <w:rFonts w:ascii="Book Antiqua" w:hAnsi="Book Antiqua"/>
          <w:bCs/>
          <w:sz w:val="24"/>
          <w:szCs w:val="24"/>
          <w:lang w:val="en-US"/>
        </w:rPr>
        <w:t xml:space="preserve">with </w:t>
      </w:r>
      <w:r w:rsidR="007533CE" w:rsidRPr="00A828B6">
        <w:rPr>
          <w:rFonts w:ascii="Book Antiqua" w:hAnsi="Book Antiqua"/>
          <w:bCs/>
          <w:sz w:val="24"/>
          <w:szCs w:val="24"/>
          <w:lang w:val="en-US"/>
        </w:rPr>
        <w:t xml:space="preserve">cirrhosis </w:t>
      </w:r>
      <w:r w:rsidR="00FD6247" w:rsidRPr="00A828B6">
        <w:rPr>
          <w:rFonts w:ascii="Book Antiqua" w:hAnsi="Book Antiqua"/>
          <w:bCs/>
          <w:sz w:val="24"/>
          <w:szCs w:val="24"/>
          <w:lang w:val="en-US"/>
        </w:rPr>
        <w:t xml:space="preserve">and </w:t>
      </w:r>
      <w:r w:rsidR="00835684" w:rsidRPr="00A828B6">
        <w:rPr>
          <w:rFonts w:ascii="Book Antiqua" w:hAnsi="Book Antiqua"/>
          <w:bCs/>
          <w:sz w:val="24"/>
          <w:szCs w:val="24"/>
          <w:lang w:val="en-US"/>
        </w:rPr>
        <w:t>esophageal varices</w:t>
      </w:r>
      <w:r w:rsidR="00A828B6" w:rsidRPr="00A828B6">
        <w:rPr>
          <w:rFonts w:ascii="Book Antiqua" w:hAnsi="Book Antiqua" w:hint="eastAsia"/>
          <w:bCs/>
          <w:sz w:val="24"/>
          <w:szCs w:val="24"/>
          <w:lang w:val="en-US" w:eastAsia="zh-CN"/>
        </w:rPr>
        <w:t>;</w:t>
      </w:r>
      <w:r w:rsidR="00723C56" w:rsidRPr="00A828B6">
        <w:rPr>
          <w:rFonts w:ascii="Book Antiqua" w:hAnsi="Book Antiqua"/>
          <w:bCs/>
          <w:sz w:val="24"/>
          <w:szCs w:val="24"/>
          <w:lang w:val="en-US"/>
        </w:rPr>
        <w:t xml:space="preserve"> and </w:t>
      </w:r>
      <w:r w:rsidR="00A828B6" w:rsidRPr="00A828B6">
        <w:rPr>
          <w:rFonts w:ascii="Book Antiqua" w:hAnsi="Book Antiqua" w:hint="eastAsia"/>
          <w:bCs/>
          <w:sz w:val="24"/>
          <w:szCs w:val="24"/>
          <w:lang w:val="en-US" w:eastAsia="zh-CN"/>
        </w:rPr>
        <w:t>(</w:t>
      </w:r>
      <w:r w:rsidR="00FD6247" w:rsidRPr="00A828B6">
        <w:rPr>
          <w:rFonts w:ascii="Book Antiqua" w:hAnsi="Book Antiqua"/>
          <w:bCs/>
          <w:sz w:val="24"/>
          <w:szCs w:val="24"/>
          <w:lang w:val="en-US"/>
        </w:rPr>
        <w:t xml:space="preserve">2) </w:t>
      </w:r>
      <w:r w:rsidR="00E91175" w:rsidRPr="00A828B6">
        <w:rPr>
          <w:rFonts w:ascii="Book Antiqua" w:hAnsi="Book Antiqua"/>
          <w:bCs/>
          <w:sz w:val="24"/>
          <w:szCs w:val="24"/>
          <w:lang w:val="en-US"/>
        </w:rPr>
        <w:t xml:space="preserve">a higher rate of consumption of diet rich in fat (red meat) and carbohydrates (sweets) in Turkey, as opposed to other countries where </w:t>
      </w:r>
      <w:r w:rsidR="007533CE" w:rsidRPr="00A828B6">
        <w:rPr>
          <w:rFonts w:ascii="Book Antiqua" w:hAnsi="Book Antiqua"/>
          <w:bCs/>
          <w:sz w:val="24"/>
          <w:szCs w:val="24"/>
          <w:lang w:val="en-US"/>
        </w:rPr>
        <w:t xml:space="preserve">fish and white meat </w:t>
      </w:r>
      <w:r w:rsidR="00E91175" w:rsidRPr="00A828B6">
        <w:rPr>
          <w:rFonts w:ascii="Book Antiqua" w:hAnsi="Book Antiqua"/>
          <w:bCs/>
          <w:sz w:val="24"/>
          <w:szCs w:val="24"/>
          <w:lang w:val="en-US"/>
        </w:rPr>
        <w:t>(</w:t>
      </w:r>
      <w:r w:rsidR="007533CE" w:rsidRPr="00A828B6">
        <w:rPr>
          <w:rFonts w:ascii="Book Antiqua" w:hAnsi="Book Antiqua"/>
          <w:bCs/>
          <w:sz w:val="24"/>
          <w:szCs w:val="24"/>
          <w:lang w:val="en-US"/>
        </w:rPr>
        <w:t>chicken</w:t>
      </w:r>
      <w:r w:rsidR="00E91175" w:rsidRPr="00A828B6">
        <w:rPr>
          <w:rFonts w:ascii="Book Antiqua" w:hAnsi="Book Antiqua"/>
          <w:bCs/>
          <w:sz w:val="24"/>
          <w:szCs w:val="24"/>
          <w:lang w:val="en-US"/>
        </w:rPr>
        <w:t>) are more common</w:t>
      </w:r>
      <w:r w:rsidR="00572DC7" w:rsidRPr="00A828B6">
        <w:rPr>
          <w:rFonts w:ascii="Book Antiqua" w:hAnsi="Book Antiqua"/>
          <w:bCs/>
          <w:sz w:val="24"/>
          <w:szCs w:val="24"/>
          <w:lang w:val="en-US"/>
        </w:rPr>
        <w:t>ly</w:t>
      </w:r>
      <w:r w:rsidR="00E91175" w:rsidRPr="00A828B6">
        <w:rPr>
          <w:rFonts w:ascii="Book Antiqua" w:hAnsi="Book Antiqua"/>
          <w:bCs/>
          <w:sz w:val="24"/>
          <w:szCs w:val="24"/>
          <w:lang w:val="en-US"/>
        </w:rPr>
        <w:t xml:space="preserve"> </w:t>
      </w:r>
      <w:r w:rsidR="00EB2974" w:rsidRPr="00A828B6">
        <w:rPr>
          <w:rFonts w:ascii="Book Antiqua" w:hAnsi="Book Antiqua"/>
          <w:bCs/>
          <w:sz w:val="24"/>
          <w:szCs w:val="24"/>
          <w:lang w:val="en-US"/>
        </w:rPr>
        <w:t>used</w:t>
      </w:r>
      <w:r w:rsidR="00723C56" w:rsidRPr="00A828B6">
        <w:rPr>
          <w:rFonts w:ascii="Book Antiqua" w:hAnsi="Book Antiqua"/>
          <w:bCs/>
          <w:sz w:val="24"/>
          <w:szCs w:val="24"/>
          <w:lang w:val="en-US"/>
        </w:rPr>
        <w:t>.</w:t>
      </w:r>
      <w:r w:rsidR="00CC1936" w:rsidRPr="00A828B6">
        <w:rPr>
          <w:rFonts w:ascii="Book Antiqua" w:hAnsi="Book Antiqua"/>
          <w:bCs/>
          <w:sz w:val="24"/>
          <w:szCs w:val="24"/>
          <w:lang w:val="en-US"/>
        </w:rPr>
        <w:t xml:space="preserve"> </w:t>
      </w:r>
      <w:r w:rsidR="00723C56" w:rsidRPr="00A828B6">
        <w:rPr>
          <w:rFonts w:ascii="Book Antiqua" w:hAnsi="Book Antiqua"/>
          <w:bCs/>
          <w:sz w:val="24"/>
          <w:szCs w:val="24"/>
          <w:lang w:val="en-US"/>
        </w:rPr>
        <w:t>A</w:t>
      </w:r>
      <w:r w:rsidR="00AA7214" w:rsidRPr="00A828B6">
        <w:rPr>
          <w:rFonts w:ascii="Book Antiqua" w:hAnsi="Book Antiqua"/>
          <w:bCs/>
          <w:sz w:val="24"/>
          <w:szCs w:val="24"/>
          <w:lang w:val="en-US"/>
        </w:rPr>
        <w:t xml:space="preserve">lthough </w:t>
      </w:r>
      <w:r w:rsidR="001431EB" w:rsidRPr="00A828B6">
        <w:rPr>
          <w:rFonts w:ascii="Book Antiqua" w:hAnsi="Book Antiqua"/>
          <w:bCs/>
          <w:sz w:val="24"/>
          <w:szCs w:val="24"/>
          <w:lang w:val="en-US"/>
        </w:rPr>
        <w:t>t</w:t>
      </w:r>
      <w:r w:rsidR="00572DC7" w:rsidRPr="00A828B6">
        <w:rPr>
          <w:rFonts w:ascii="Book Antiqua" w:hAnsi="Book Antiqua"/>
          <w:bCs/>
          <w:sz w:val="24"/>
          <w:szCs w:val="24"/>
          <w:lang w:val="en-US"/>
        </w:rPr>
        <w:t xml:space="preserve">he role of </w:t>
      </w:r>
      <w:r w:rsidR="007A56D2" w:rsidRPr="00A828B6">
        <w:rPr>
          <w:rFonts w:ascii="Book Antiqua" w:hAnsi="Book Antiqua"/>
          <w:sz w:val="24"/>
          <w:szCs w:val="24"/>
        </w:rPr>
        <w:t>ethn</w:t>
      </w:r>
      <w:r w:rsidR="002852C3" w:rsidRPr="00A828B6">
        <w:rPr>
          <w:rFonts w:ascii="Book Antiqua" w:hAnsi="Book Antiqua"/>
          <w:sz w:val="24"/>
          <w:szCs w:val="24"/>
        </w:rPr>
        <w:t xml:space="preserve">icity </w:t>
      </w:r>
      <w:r w:rsidR="007C232B" w:rsidRPr="00A828B6">
        <w:rPr>
          <w:rFonts w:ascii="Book Antiqua" w:hAnsi="Book Antiqua"/>
          <w:sz w:val="24"/>
          <w:szCs w:val="24"/>
        </w:rPr>
        <w:t xml:space="preserve">and/or genetics </w:t>
      </w:r>
      <w:r w:rsidR="00945067" w:rsidRPr="00A828B6">
        <w:rPr>
          <w:rFonts w:ascii="Book Antiqua" w:hAnsi="Book Antiqua"/>
          <w:sz w:val="24"/>
          <w:szCs w:val="24"/>
        </w:rPr>
        <w:lastRenderedPageBreak/>
        <w:t xml:space="preserve">remains </w:t>
      </w:r>
      <w:r w:rsidR="002852C3" w:rsidRPr="00A828B6">
        <w:rPr>
          <w:rFonts w:ascii="Book Antiqua" w:hAnsi="Book Antiqua"/>
          <w:sz w:val="24"/>
          <w:szCs w:val="24"/>
        </w:rPr>
        <w:t>contr</w:t>
      </w:r>
      <w:r w:rsidR="001431EB" w:rsidRPr="00A828B6">
        <w:rPr>
          <w:rFonts w:ascii="Book Antiqua" w:hAnsi="Book Antiqua"/>
          <w:sz w:val="24"/>
          <w:szCs w:val="24"/>
        </w:rPr>
        <w:t>o</w:t>
      </w:r>
      <w:r w:rsidR="002852C3" w:rsidRPr="00A828B6">
        <w:rPr>
          <w:rFonts w:ascii="Book Antiqua" w:hAnsi="Book Antiqua"/>
          <w:sz w:val="24"/>
          <w:szCs w:val="24"/>
        </w:rPr>
        <w:t>versi</w:t>
      </w:r>
      <w:r w:rsidR="001431EB" w:rsidRPr="00A828B6">
        <w:rPr>
          <w:rFonts w:ascii="Book Antiqua" w:hAnsi="Book Antiqua"/>
          <w:sz w:val="24"/>
          <w:szCs w:val="24"/>
        </w:rPr>
        <w:t xml:space="preserve">al, </w:t>
      </w:r>
      <w:r w:rsidR="00B018D5" w:rsidRPr="00A828B6">
        <w:rPr>
          <w:rFonts w:ascii="Book Antiqua" w:hAnsi="Book Antiqua"/>
          <w:sz w:val="24"/>
          <w:szCs w:val="24"/>
        </w:rPr>
        <w:t xml:space="preserve">it is possible that the </w:t>
      </w:r>
      <w:r w:rsidR="008F3498" w:rsidRPr="00A828B6">
        <w:rPr>
          <w:rFonts w:ascii="Book Antiqua" w:hAnsi="Book Antiqua"/>
          <w:bCs/>
          <w:sz w:val="24"/>
          <w:szCs w:val="24"/>
          <w:lang w:val="en-US"/>
        </w:rPr>
        <w:t xml:space="preserve">heterogenecity </w:t>
      </w:r>
      <w:r w:rsidR="00854ADF" w:rsidRPr="00A828B6">
        <w:rPr>
          <w:rFonts w:ascii="Book Antiqua" w:hAnsi="Book Antiqua"/>
          <w:bCs/>
          <w:sz w:val="24"/>
          <w:szCs w:val="24"/>
          <w:lang w:val="en-US"/>
        </w:rPr>
        <w:t>in terms of age,</w:t>
      </w:r>
      <w:r w:rsidR="008F3498" w:rsidRPr="00A828B6">
        <w:rPr>
          <w:rFonts w:ascii="Book Antiqua" w:hAnsi="Book Antiqua"/>
          <w:bCs/>
          <w:sz w:val="24"/>
          <w:szCs w:val="24"/>
          <w:lang w:val="en-US"/>
        </w:rPr>
        <w:t xml:space="preserve"> genetic and env</w:t>
      </w:r>
      <w:r w:rsidR="00854ADF" w:rsidRPr="00A828B6">
        <w:rPr>
          <w:rFonts w:ascii="Book Antiqua" w:hAnsi="Book Antiqua"/>
          <w:bCs/>
          <w:sz w:val="24"/>
          <w:szCs w:val="24"/>
          <w:lang w:val="en-US"/>
        </w:rPr>
        <w:t xml:space="preserve">ironmental </w:t>
      </w:r>
      <w:r w:rsidR="008F3498" w:rsidRPr="00A828B6">
        <w:rPr>
          <w:rFonts w:ascii="Book Antiqua" w:hAnsi="Book Antiqua"/>
          <w:bCs/>
          <w:sz w:val="24"/>
          <w:szCs w:val="24"/>
          <w:lang w:val="en-US"/>
        </w:rPr>
        <w:t>factors</w:t>
      </w:r>
      <w:r w:rsidR="00854ADF" w:rsidRPr="00A828B6">
        <w:rPr>
          <w:rFonts w:ascii="Book Antiqua" w:hAnsi="Book Antiqua"/>
          <w:bCs/>
          <w:sz w:val="24"/>
          <w:szCs w:val="24"/>
          <w:lang w:val="en-US"/>
        </w:rPr>
        <w:t xml:space="preserve"> in patients studied in </w:t>
      </w:r>
      <w:r w:rsidR="00EB2974" w:rsidRPr="00A828B6">
        <w:rPr>
          <w:rFonts w:ascii="Book Antiqua" w:hAnsi="Book Antiqua"/>
          <w:bCs/>
          <w:sz w:val="24"/>
          <w:szCs w:val="24"/>
          <w:lang w:val="en-US"/>
        </w:rPr>
        <w:t xml:space="preserve">other </w:t>
      </w:r>
      <w:proofErr w:type="gramStart"/>
      <w:r w:rsidR="00854ADF" w:rsidRPr="00A828B6">
        <w:rPr>
          <w:rFonts w:ascii="Book Antiqua" w:hAnsi="Book Antiqua"/>
          <w:bCs/>
          <w:sz w:val="24"/>
          <w:szCs w:val="24"/>
          <w:lang w:val="en-US"/>
        </w:rPr>
        <w:t>reports</w:t>
      </w:r>
      <w:r w:rsidR="008F3498" w:rsidRPr="00A828B6">
        <w:rPr>
          <w:rFonts w:ascii="Book Antiqua" w:hAnsi="Book Antiqua"/>
          <w:sz w:val="24"/>
          <w:szCs w:val="24"/>
          <w:vertAlign w:val="superscript"/>
          <w:lang w:val="en-US" w:eastAsia="zh-CN"/>
        </w:rPr>
        <w:t>[</w:t>
      </w:r>
      <w:proofErr w:type="gramEnd"/>
      <w:r w:rsidR="00A828B6" w:rsidRPr="00A828B6">
        <w:rPr>
          <w:rFonts w:ascii="Book Antiqua" w:hAnsi="Book Antiqua"/>
          <w:bCs/>
          <w:sz w:val="24"/>
          <w:szCs w:val="24"/>
          <w:vertAlign w:val="superscript"/>
          <w:lang w:val="en-US"/>
        </w:rPr>
        <w:t>1-4,</w:t>
      </w:r>
      <w:r w:rsidR="008F3498" w:rsidRPr="00A828B6">
        <w:rPr>
          <w:rFonts w:ascii="Book Antiqua" w:hAnsi="Book Antiqua"/>
          <w:bCs/>
          <w:sz w:val="24"/>
          <w:szCs w:val="24"/>
          <w:vertAlign w:val="superscript"/>
          <w:lang w:val="en-US" w:eastAsia="zh-CN"/>
        </w:rPr>
        <w:t>14]</w:t>
      </w:r>
      <w:r w:rsidR="00854ADF" w:rsidRPr="00A828B6">
        <w:rPr>
          <w:rFonts w:ascii="Book Antiqua" w:hAnsi="Book Antiqua"/>
          <w:sz w:val="24"/>
          <w:szCs w:val="24"/>
          <w:lang w:val="en-US"/>
        </w:rPr>
        <w:t xml:space="preserve"> contribute</w:t>
      </w:r>
      <w:r w:rsidR="00723C56" w:rsidRPr="00A828B6">
        <w:rPr>
          <w:rFonts w:ascii="Book Antiqua" w:hAnsi="Book Antiqua"/>
          <w:sz w:val="24"/>
          <w:szCs w:val="24"/>
          <w:lang w:val="en-US"/>
        </w:rPr>
        <w:t>s</w:t>
      </w:r>
      <w:r w:rsidR="00854ADF" w:rsidRPr="00A828B6">
        <w:rPr>
          <w:rFonts w:ascii="Book Antiqua" w:hAnsi="Book Antiqua"/>
          <w:sz w:val="24"/>
          <w:szCs w:val="24"/>
          <w:lang w:val="en-US"/>
        </w:rPr>
        <w:t xml:space="preserve"> to </w:t>
      </w:r>
      <w:r w:rsidR="000F301D" w:rsidRPr="00A828B6">
        <w:rPr>
          <w:rFonts w:ascii="Book Antiqua" w:hAnsi="Book Antiqua"/>
          <w:sz w:val="24"/>
          <w:szCs w:val="24"/>
          <w:lang w:val="en-US"/>
        </w:rPr>
        <w:t xml:space="preserve">the difference between their observations </w:t>
      </w:r>
      <w:r w:rsidR="0082437C" w:rsidRPr="00A828B6">
        <w:rPr>
          <w:rFonts w:ascii="Book Antiqua" w:hAnsi="Book Antiqua"/>
          <w:sz w:val="24"/>
          <w:szCs w:val="24"/>
          <w:lang w:val="en-US"/>
        </w:rPr>
        <w:t>and those in the current studies</w:t>
      </w:r>
      <w:r w:rsidR="000F301D" w:rsidRPr="00A828B6">
        <w:rPr>
          <w:rFonts w:ascii="Book Antiqua" w:hAnsi="Book Antiqua"/>
          <w:sz w:val="24"/>
          <w:szCs w:val="24"/>
          <w:lang w:val="en-US"/>
        </w:rPr>
        <w:t>. T</w:t>
      </w:r>
      <w:r w:rsidR="00854ADF" w:rsidRPr="00A828B6">
        <w:rPr>
          <w:rFonts w:ascii="Book Antiqua" w:hAnsi="Book Antiqua"/>
          <w:sz w:val="24"/>
          <w:szCs w:val="24"/>
          <w:lang w:val="en-US"/>
        </w:rPr>
        <w:t xml:space="preserve">he observed </w:t>
      </w:r>
      <w:r w:rsidR="00DF7E34" w:rsidRPr="00A828B6">
        <w:rPr>
          <w:rFonts w:ascii="Book Antiqua" w:hAnsi="Book Antiqua"/>
          <w:sz w:val="24"/>
          <w:szCs w:val="24"/>
          <w:lang w:val="en-US"/>
        </w:rPr>
        <w:t xml:space="preserve">higher mortality rate in </w:t>
      </w:r>
      <w:r w:rsidR="0082437C" w:rsidRPr="00A828B6">
        <w:rPr>
          <w:rFonts w:ascii="Book Antiqua" w:hAnsi="Book Antiqua"/>
          <w:sz w:val="24"/>
          <w:szCs w:val="24"/>
          <w:lang w:val="en-US"/>
        </w:rPr>
        <w:t xml:space="preserve">our </w:t>
      </w:r>
      <w:r w:rsidR="00DF7E34" w:rsidRPr="00A828B6">
        <w:rPr>
          <w:rFonts w:ascii="Book Antiqua" w:hAnsi="Book Antiqua"/>
          <w:sz w:val="24"/>
          <w:szCs w:val="24"/>
          <w:lang w:val="en-US"/>
        </w:rPr>
        <w:t xml:space="preserve">cohort </w:t>
      </w:r>
      <w:r w:rsidR="000F301D" w:rsidRPr="00A828B6">
        <w:rPr>
          <w:rFonts w:ascii="Book Antiqua" w:hAnsi="Book Antiqua"/>
          <w:sz w:val="24"/>
          <w:szCs w:val="24"/>
          <w:lang w:val="en-US"/>
        </w:rPr>
        <w:t xml:space="preserve">could in part be attributed to </w:t>
      </w:r>
      <w:r w:rsidR="00FE3574" w:rsidRPr="00A828B6">
        <w:rPr>
          <w:rFonts w:ascii="Book Antiqua" w:hAnsi="Book Antiqua"/>
          <w:sz w:val="24"/>
          <w:szCs w:val="24"/>
          <w:lang w:val="en-US"/>
        </w:rPr>
        <w:t>its</w:t>
      </w:r>
      <w:r w:rsidR="000F301D" w:rsidRPr="00A828B6">
        <w:rPr>
          <w:rFonts w:ascii="Book Antiqua" w:hAnsi="Book Antiqua"/>
          <w:sz w:val="24"/>
          <w:szCs w:val="24"/>
          <w:lang w:val="en-US"/>
        </w:rPr>
        <w:t xml:space="preserve"> relative ethnical</w:t>
      </w:r>
      <w:r w:rsidR="0091249C" w:rsidRPr="00A828B6">
        <w:rPr>
          <w:rFonts w:ascii="Book Antiqua" w:hAnsi="Book Antiqua"/>
          <w:sz w:val="24"/>
          <w:szCs w:val="24"/>
          <w:lang w:val="en-US"/>
        </w:rPr>
        <w:t xml:space="preserve"> </w:t>
      </w:r>
      <w:r w:rsidR="0082437C" w:rsidRPr="00A828B6">
        <w:rPr>
          <w:rFonts w:ascii="Book Antiqua" w:hAnsi="Book Antiqua"/>
          <w:sz w:val="24"/>
          <w:szCs w:val="24"/>
          <w:lang w:val="en-US"/>
        </w:rPr>
        <w:t xml:space="preserve">homogeneity since it </w:t>
      </w:r>
      <w:r w:rsidR="00483E95" w:rsidRPr="00A828B6">
        <w:rPr>
          <w:rFonts w:ascii="Book Antiqua" w:hAnsi="Book Antiqua"/>
          <w:sz w:val="24"/>
          <w:szCs w:val="24"/>
          <w:lang w:val="en-US"/>
        </w:rPr>
        <w:t xml:space="preserve">basically </w:t>
      </w:r>
      <w:r w:rsidR="0082437C" w:rsidRPr="00A828B6">
        <w:rPr>
          <w:rFonts w:ascii="Book Antiqua" w:hAnsi="Book Antiqua"/>
          <w:sz w:val="24"/>
          <w:szCs w:val="24"/>
          <w:lang w:val="en-US"/>
        </w:rPr>
        <w:t xml:space="preserve">consists of </w:t>
      </w:r>
      <w:r w:rsidR="0091249C" w:rsidRPr="00A828B6">
        <w:rPr>
          <w:rFonts w:ascii="Book Antiqua" w:hAnsi="Book Antiqua"/>
          <w:sz w:val="24"/>
          <w:szCs w:val="24"/>
          <w:lang w:val="en-US"/>
        </w:rPr>
        <w:t>Caucasian</w:t>
      </w:r>
      <w:r w:rsidR="0082437C" w:rsidRPr="00A828B6">
        <w:rPr>
          <w:rFonts w:ascii="Book Antiqua" w:hAnsi="Book Antiqua"/>
          <w:sz w:val="24"/>
          <w:szCs w:val="24"/>
          <w:lang w:val="en-US"/>
        </w:rPr>
        <w:t xml:space="preserve"> patients </w:t>
      </w:r>
      <w:r w:rsidR="0091249C" w:rsidRPr="00A828B6">
        <w:rPr>
          <w:rFonts w:ascii="Book Antiqua" w:hAnsi="Book Antiqua"/>
          <w:sz w:val="24"/>
          <w:szCs w:val="24"/>
          <w:lang w:val="en-US"/>
        </w:rPr>
        <w:t>from a Turkish origin.</w:t>
      </w:r>
    </w:p>
    <w:p w14:paraId="65361865" w14:textId="4DED9C95" w:rsidR="000139AE" w:rsidRPr="00A828B6" w:rsidRDefault="00BC1444" w:rsidP="001A5A01">
      <w:pPr>
        <w:spacing w:after="0" w:line="360" w:lineRule="auto"/>
        <w:ind w:firstLine="360"/>
        <w:jc w:val="both"/>
        <w:rPr>
          <w:rFonts w:ascii="Book Antiqua" w:hAnsi="Book Antiqua"/>
          <w:bCs/>
          <w:sz w:val="24"/>
          <w:szCs w:val="24"/>
          <w:lang w:val="en-US"/>
        </w:rPr>
      </w:pPr>
      <w:r w:rsidRPr="00A828B6">
        <w:rPr>
          <w:rFonts w:ascii="Book Antiqua" w:hAnsi="Book Antiqua"/>
          <w:bCs/>
          <w:sz w:val="24"/>
          <w:szCs w:val="24"/>
          <w:lang w:val="en-US"/>
        </w:rPr>
        <w:t xml:space="preserve">Although </w:t>
      </w:r>
      <w:r w:rsidR="000139AE" w:rsidRPr="00A828B6">
        <w:rPr>
          <w:rFonts w:ascii="Book Antiqua" w:hAnsi="Book Antiqua"/>
          <w:bCs/>
          <w:sz w:val="24"/>
          <w:szCs w:val="24"/>
          <w:lang w:val="en-US"/>
        </w:rPr>
        <w:t xml:space="preserve">NAFLD is a risk </w:t>
      </w:r>
      <w:r w:rsidR="00F51438" w:rsidRPr="00A828B6">
        <w:rPr>
          <w:rFonts w:ascii="Book Antiqua" w:hAnsi="Book Antiqua"/>
          <w:bCs/>
          <w:sz w:val="24"/>
          <w:szCs w:val="24"/>
          <w:lang w:val="en-US"/>
        </w:rPr>
        <w:t xml:space="preserve">factor </w:t>
      </w:r>
      <w:r w:rsidR="00910CE7" w:rsidRPr="00A828B6">
        <w:rPr>
          <w:rFonts w:ascii="Book Antiqua" w:hAnsi="Book Antiqua"/>
          <w:bCs/>
          <w:sz w:val="24"/>
          <w:szCs w:val="24"/>
          <w:lang w:val="en-US"/>
        </w:rPr>
        <w:t xml:space="preserve">for </w:t>
      </w:r>
      <w:r w:rsidR="000139AE" w:rsidRPr="00A828B6">
        <w:rPr>
          <w:rFonts w:ascii="Book Antiqua" w:hAnsi="Book Antiqua"/>
          <w:bCs/>
          <w:sz w:val="24"/>
          <w:szCs w:val="24"/>
          <w:lang w:val="en-US"/>
        </w:rPr>
        <w:t>HC</w:t>
      </w:r>
      <w:r w:rsidRPr="00A828B6">
        <w:rPr>
          <w:rFonts w:ascii="Book Antiqua" w:hAnsi="Book Antiqua"/>
          <w:bCs/>
          <w:sz w:val="24"/>
          <w:szCs w:val="24"/>
          <w:lang w:val="en-US"/>
        </w:rPr>
        <w:t xml:space="preserve">C, the </w:t>
      </w:r>
      <w:r w:rsidR="000139AE" w:rsidRPr="00A828B6">
        <w:rPr>
          <w:rFonts w:ascii="Book Antiqua" w:hAnsi="Book Antiqua"/>
          <w:bCs/>
          <w:sz w:val="24"/>
          <w:szCs w:val="24"/>
          <w:lang w:val="en-US"/>
        </w:rPr>
        <w:t>prevalence</w:t>
      </w:r>
      <w:r w:rsidRPr="00A828B6">
        <w:rPr>
          <w:rFonts w:ascii="Book Antiqua" w:hAnsi="Book Antiqua"/>
          <w:bCs/>
          <w:sz w:val="24"/>
          <w:szCs w:val="24"/>
          <w:lang w:val="en-US"/>
        </w:rPr>
        <w:t xml:space="preserve"> rate</w:t>
      </w:r>
      <w:r w:rsidR="000139AE" w:rsidRPr="00A828B6">
        <w:rPr>
          <w:rFonts w:ascii="Book Antiqua" w:hAnsi="Book Antiqua"/>
          <w:bCs/>
          <w:sz w:val="24"/>
          <w:szCs w:val="24"/>
          <w:lang w:val="en-US"/>
        </w:rPr>
        <w:t xml:space="preserve"> of HCC in cirrhotic NAFLD </w:t>
      </w:r>
      <w:r w:rsidR="00920903" w:rsidRPr="00A828B6">
        <w:rPr>
          <w:rFonts w:ascii="Book Antiqua" w:hAnsi="Book Antiqua"/>
          <w:bCs/>
          <w:sz w:val="24"/>
          <w:szCs w:val="24"/>
          <w:lang w:val="en-US"/>
        </w:rPr>
        <w:t xml:space="preserve">has not been </w:t>
      </w:r>
      <w:r w:rsidRPr="00A828B6">
        <w:rPr>
          <w:rFonts w:ascii="Book Antiqua" w:hAnsi="Book Antiqua"/>
          <w:bCs/>
          <w:sz w:val="24"/>
          <w:szCs w:val="24"/>
          <w:lang w:val="en-US"/>
        </w:rPr>
        <w:t xml:space="preserve">well </w:t>
      </w:r>
      <w:r w:rsidR="00920903" w:rsidRPr="00A828B6">
        <w:rPr>
          <w:rFonts w:ascii="Book Antiqua" w:hAnsi="Book Antiqua"/>
          <w:bCs/>
          <w:sz w:val="24"/>
          <w:szCs w:val="24"/>
          <w:lang w:val="en-US"/>
        </w:rPr>
        <w:t>established</w:t>
      </w:r>
      <w:r w:rsidR="00E42ABA" w:rsidRPr="00A828B6">
        <w:rPr>
          <w:rFonts w:ascii="Book Antiqua" w:hAnsi="Book Antiqua"/>
          <w:bCs/>
          <w:sz w:val="24"/>
          <w:szCs w:val="24"/>
          <w:lang w:val="en-US"/>
        </w:rPr>
        <w:t xml:space="preserve">, despite </w:t>
      </w:r>
      <w:r w:rsidR="007D242F" w:rsidRPr="00A828B6">
        <w:rPr>
          <w:rFonts w:ascii="Book Antiqua" w:hAnsi="Book Antiqua"/>
          <w:bCs/>
          <w:sz w:val="24"/>
          <w:szCs w:val="24"/>
          <w:lang w:val="en-US"/>
        </w:rPr>
        <w:t>its reported range of 2.4</w:t>
      </w:r>
      <w:r w:rsidR="00B7128C" w:rsidRPr="00A828B6">
        <w:rPr>
          <w:rFonts w:ascii="Book Antiqua" w:hAnsi="Book Antiqua"/>
          <w:bCs/>
          <w:sz w:val="24"/>
          <w:szCs w:val="24"/>
          <w:lang w:val="en-US"/>
        </w:rPr>
        <w:t xml:space="preserve"> </w:t>
      </w:r>
      <w:r w:rsidR="007D242F" w:rsidRPr="00A828B6">
        <w:rPr>
          <w:rFonts w:ascii="Book Antiqua" w:hAnsi="Book Antiqua"/>
          <w:bCs/>
          <w:sz w:val="24"/>
          <w:szCs w:val="24"/>
          <w:lang w:val="en-US"/>
        </w:rPr>
        <w:t xml:space="preserve">to </w:t>
      </w:r>
      <w:r w:rsidR="00E42ABA" w:rsidRPr="00A828B6">
        <w:rPr>
          <w:rFonts w:ascii="Book Antiqua" w:hAnsi="Book Antiqua"/>
          <w:bCs/>
          <w:sz w:val="24"/>
          <w:szCs w:val="24"/>
          <w:lang w:val="en-US"/>
        </w:rPr>
        <w:t>12.8%</w:t>
      </w:r>
      <w:r w:rsidR="00B04A38" w:rsidRPr="00A828B6">
        <w:rPr>
          <w:rFonts w:ascii="Book Antiqua" w:hAnsi="Book Antiqua"/>
          <w:sz w:val="24"/>
          <w:szCs w:val="24"/>
          <w:vertAlign w:val="superscript"/>
          <w:lang w:val="en-US" w:eastAsia="zh-CN"/>
        </w:rPr>
        <w:t>[</w:t>
      </w:r>
      <w:r w:rsidR="00B04A38" w:rsidRPr="00A828B6">
        <w:rPr>
          <w:rFonts w:ascii="Book Antiqua" w:hAnsi="Book Antiqua"/>
          <w:bCs/>
          <w:sz w:val="24"/>
          <w:szCs w:val="24"/>
          <w:vertAlign w:val="superscript"/>
          <w:lang w:val="en-US"/>
        </w:rPr>
        <w:t>32</w:t>
      </w:r>
      <w:r w:rsidR="00B04A38" w:rsidRPr="00A828B6">
        <w:rPr>
          <w:rFonts w:ascii="Book Antiqua" w:hAnsi="Book Antiqua"/>
          <w:bCs/>
          <w:sz w:val="24"/>
          <w:szCs w:val="24"/>
          <w:vertAlign w:val="superscript"/>
          <w:lang w:val="en-US" w:eastAsia="zh-CN"/>
        </w:rPr>
        <w:t>]</w:t>
      </w:r>
      <w:r w:rsidR="00B04A38" w:rsidRPr="00A828B6">
        <w:rPr>
          <w:rFonts w:ascii="Book Antiqua" w:hAnsi="Book Antiqua"/>
          <w:sz w:val="24"/>
          <w:szCs w:val="24"/>
          <w:lang w:val="en-US"/>
        </w:rPr>
        <w:t xml:space="preserve">. </w:t>
      </w:r>
      <w:r w:rsidR="0082229C" w:rsidRPr="00A828B6">
        <w:rPr>
          <w:rFonts w:ascii="Book Antiqua" w:hAnsi="Book Antiqua"/>
          <w:bCs/>
          <w:sz w:val="24"/>
          <w:szCs w:val="24"/>
          <w:lang w:val="en-US"/>
        </w:rPr>
        <w:t>S</w:t>
      </w:r>
      <w:r w:rsidRPr="00A828B6">
        <w:rPr>
          <w:rFonts w:ascii="Book Antiqua" w:hAnsi="Book Antiqua"/>
          <w:bCs/>
          <w:sz w:val="24"/>
          <w:szCs w:val="24"/>
          <w:lang w:val="en-US"/>
        </w:rPr>
        <w:t xml:space="preserve">cientists </w:t>
      </w:r>
      <w:r w:rsidR="000139AE" w:rsidRPr="00A828B6">
        <w:rPr>
          <w:rFonts w:ascii="Book Antiqua" w:hAnsi="Book Antiqua"/>
          <w:bCs/>
          <w:sz w:val="24"/>
          <w:szCs w:val="24"/>
          <w:lang w:val="en-US"/>
        </w:rPr>
        <w:t>from Sweden described three and five cases of HCC in cohorts of 129 and 256 subjects with NAFLD followed for 13.7 and 21</w:t>
      </w:r>
      <w:r w:rsidR="00ED59E8" w:rsidRPr="00A828B6">
        <w:rPr>
          <w:rFonts w:ascii="Book Antiqua" w:hAnsi="Book Antiqua"/>
          <w:bCs/>
          <w:sz w:val="24"/>
          <w:szCs w:val="24"/>
          <w:lang w:val="en-US"/>
        </w:rPr>
        <w:t xml:space="preserve"> </w:t>
      </w:r>
      <w:r w:rsidR="000139AE" w:rsidRPr="00A828B6">
        <w:rPr>
          <w:rFonts w:ascii="Book Antiqua" w:hAnsi="Book Antiqua"/>
          <w:bCs/>
          <w:sz w:val="24"/>
          <w:szCs w:val="24"/>
          <w:lang w:val="en-US"/>
        </w:rPr>
        <w:t xml:space="preserve">years, </w:t>
      </w:r>
      <w:proofErr w:type="gramStart"/>
      <w:r w:rsidR="000139AE" w:rsidRPr="00A828B6">
        <w:rPr>
          <w:rFonts w:ascii="Book Antiqua" w:hAnsi="Book Antiqua"/>
          <w:bCs/>
          <w:sz w:val="24"/>
          <w:szCs w:val="24"/>
          <w:lang w:val="en-US"/>
        </w:rPr>
        <w:t>respectively</w:t>
      </w:r>
      <w:r w:rsidR="00B04A38" w:rsidRPr="00A828B6">
        <w:rPr>
          <w:rFonts w:ascii="Book Antiqua" w:hAnsi="Book Antiqua"/>
          <w:sz w:val="24"/>
          <w:szCs w:val="24"/>
          <w:vertAlign w:val="superscript"/>
          <w:lang w:val="en-US" w:eastAsia="zh-CN"/>
        </w:rPr>
        <w:t>[</w:t>
      </w:r>
      <w:proofErr w:type="gramEnd"/>
      <w:r w:rsidR="00B04A38" w:rsidRPr="00A828B6">
        <w:rPr>
          <w:rFonts w:ascii="Book Antiqua" w:hAnsi="Book Antiqua"/>
          <w:bCs/>
          <w:sz w:val="24"/>
          <w:szCs w:val="24"/>
          <w:vertAlign w:val="superscript"/>
          <w:lang w:val="en-US"/>
        </w:rPr>
        <w:t>33</w:t>
      </w:r>
      <w:r w:rsidR="00B04A38" w:rsidRPr="00A828B6">
        <w:rPr>
          <w:rFonts w:ascii="Book Antiqua" w:hAnsi="Book Antiqua"/>
          <w:bCs/>
          <w:sz w:val="24"/>
          <w:szCs w:val="24"/>
          <w:vertAlign w:val="superscript"/>
          <w:lang w:val="en-US" w:eastAsia="zh-CN"/>
        </w:rPr>
        <w:t>]</w:t>
      </w:r>
      <w:r w:rsidR="00B04A38" w:rsidRPr="00A828B6">
        <w:rPr>
          <w:rFonts w:ascii="Book Antiqua" w:hAnsi="Book Antiqua"/>
          <w:sz w:val="24"/>
          <w:szCs w:val="24"/>
          <w:lang w:val="en-US"/>
        </w:rPr>
        <w:t xml:space="preserve">. </w:t>
      </w:r>
      <w:r w:rsidR="00BD78A8" w:rsidRPr="00A828B6">
        <w:rPr>
          <w:rFonts w:ascii="Book Antiqua" w:hAnsi="Book Antiqua"/>
          <w:bCs/>
          <w:sz w:val="24"/>
          <w:szCs w:val="24"/>
          <w:lang w:val="en-US"/>
        </w:rPr>
        <w:t>Previous r</w:t>
      </w:r>
      <w:r w:rsidR="000139AE" w:rsidRPr="00A828B6">
        <w:rPr>
          <w:rFonts w:ascii="Book Antiqua" w:hAnsi="Book Antiqua"/>
          <w:bCs/>
          <w:sz w:val="24"/>
          <w:szCs w:val="24"/>
          <w:lang w:val="en-US"/>
        </w:rPr>
        <w:t>eports indicate</w:t>
      </w:r>
      <w:r w:rsidR="009832FF" w:rsidRPr="00A828B6">
        <w:rPr>
          <w:rFonts w:ascii="Book Antiqua" w:hAnsi="Book Antiqua"/>
          <w:bCs/>
          <w:sz w:val="24"/>
          <w:szCs w:val="24"/>
          <w:lang w:val="en-US"/>
        </w:rPr>
        <w:t>d</w:t>
      </w:r>
      <w:r w:rsidR="000139AE" w:rsidRPr="00A828B6">
        <w:rPr>
          <w:rFonts w:ascii="Book Antiqua" w:hAnsi="Book Antiqua"/>
          <w:bCs/>
          <w:sz w:val="24"/>
          <w:szCs w:val="24"/>
          <w:lang w:val="en-US"/>
        </w:rPr>
        <w:t xml:space="preserve"> that the risk of HCC due to NAFLD is less than </w:t>
      </w:r>
      <w:r w:rsidR="00F97FFA" w:rsidRPr="00A828B6">
        <w:rPr>
          <w:rFonts w:ascii="Book Antiqua" w:hAnsi="Book Antiqua"/>
          <w:bCs/>
          <w:sz w:val="24"/>
          <w:szCs w:val="24"/>
          <w:lang w:val="en-US"/>
        </w:rPr>
        <w:t>the risk resulting from</w:t>
      </w:r>
      <w:r w:rsidR="000139AE" w:rsidRPr="00A828B6">
        <w:rPr>
          <w:rFonts w:ascii="Book Antiqua" w:hAnsi="Book Antiqua"/>
          <w:bCs/>
          <w:sz w:val="24"/>
          <w:szCs w:val="24"/>
          <w:lang w:val="en-US"/>
        </w:rPr>
        <w:t xml:space="preserve"> chronic hepatitis C. In a </w:t>
      </w:r>
      <w:r w:rsidR="00ED59E8" w:rsidRPr="00A828B6">
        <w:rPr>
          <w:rFonts w:ascii="Book Antiqua" w:hAnsi="Book Antiqua"/>
          <w:bCs/>
          <w:sz w:val="24"/>
          <w:szCs w:val="24"/>
          <w:lang w:val="en-US"/>
        </w:rPr>
        <w:t>10</w:t>
      </w:r>
      <w:r w:rsidR="000139AE" w:rsidRPr="00A828B6">
        <w:rPr>
          <w:rFonts w:ascii="Book Antiqua" w:hAnsi="Book Antiqua"/>
          <w:bCs/>
          <w:sz w:val="24"/>
          <w:szCs w:val="24"/>
          <w:lang w:val="en-US"/>
        </w:rPr>
        <w:t xml:space="preserve">-year prospective study, </w:t>
      </w:r>
      <w:r w:rsidR="00E70DFF" w:rsidRPr="00A828B6">
        <w:rPr>
          <w:rFonts w:ascii="Book Antiqua" w:hAnsi="Book Antiqua"/>
          <w:bCs/>
          <w:sz w:val="24"/>
          <w:szCs w:val="24"/>
          <w:lang w:val="en-US"/>
        </w:rPr>
        <w:t xml:space="preserve">10 </w:t>
      </w:r>
      <w:r w:rsidR="000139AE" w:rsidRPr="00A828B6">
        <w:rPr>
          <w:rFonts w:ascii="Book Antiqua" w:hAnsi="Book Antiqua"/>
          <w:bCs/>
          <w:sz w:val="24"/>
          <w:szCs w:val="24"/>
          <w:lang w:val="en-US"/>
        </w:rPr>
        <w:t xml:space="preserve">out of 149 American patients with NAFLD-associated cirrhosis developed HCC compared to 25 out of 147 patients with hepatitis C virus-associated </w:t>
      </w:r>
      <w:proofErr w:type="gramStart"/>
      <w:r w:rsidR="000139AE" w:rsidRPr="00A828B6">
        <w:rPr>
          <w:rFonts w:ascii="Book Antiqua" w:hAnsi="Book Antiqua"/>
          <w:bCs/>
          <w:sz w:val="24"/>
          <w:szCs w:val="24"/>
          <w:lang w:val="en-US"/>
        </w:rPr>
        <w:t>cirrhosis</w:t>
      </w:r>
      <w:r w:rsidR="00B04A38" w:rsidRPr="00A828B6">
        <w:rPr>
          <w:rFonts w:ascii="Book Antiqua" w:hAnsi="Book Antiqua"/>
          <w:sz w:val="24"/>
          <w:szCs w:val="24"/>
          <w:vertAlign w:val="superscript"/>
          <w:lang w:val="en-US" w:eastAsia="zh-CN"/>
        </w:rPr>
        <w:t>[</w:t>
      </w:r>
      <w:proofErr w:type="gramEnd"/>
      <w:r w:rsidR="00B04A38" w:rsidRPr="00A828B6">
        <w:rPr>
          <w:rFonts w:ascii="Book Antiqua" w:hAnsi="Book Antiqua"/>
          <w:bCs/>
          <w:sz w:val="24"/>
          <w:szCs w:val="24"/>
          <w:vertAlign w:val="superscript"/>
          <w:lang w:val="en-US"/>
        </w:rPr>
        <w:t>4</w:t>
      </w:r>
      <w:r w:rsidR="00B04A38" w:rsidRPr="00A828B6">
        <w:rPr>
          <w:rFonts w:ascii="Book Antiqua" w:hAnsi="Book Antiqua"/>
          <w:bCs/>
          <w:sz w:val="24"/>
          <w:szCs w:val="24"/>
          <w:vertAlign w:val="superscript"/>
          <w:lang w:val="en-US" w:eastAsia="zh-CN"/>
        </w:rPr>
        <w:t>]</w:t>
      </w:r>
      <w:r w:rsidR="000139AE" w:rsidRPr="00A828B6">
        <w:rPr>
          <w:rFonts w:ascii="Book Antiqua" w:hAnsi="Book Antiqua"/>
          <w:bCs/>
          <w:sz w:val="24"/>
          <w:szCs w:val="24"/>
          <w:lang w:val="en-US"/>
        </w:rPr>
        <w:t xml:space="preserve">. </w:t>
      </w:r>
      <w:r w:rsidR="00763FFB" w:rsidRPr="00A828B6">
        <w:rPr>
          <w:rFonts w:ascii="Book Antiqua" w:hAnsi="Book Antiqua"/>
          <w:bCs/>
          <w:sz w:val="24"/>
          <w:szCs w:val="24"/>
          <w:lang w:val="en-US"/>
        </w:rPr>
        <w:t xml:space="preserve">A large retrospective cohort study from South Korea evaluated 329 patients with </w:t>
      </w:r>
      <w:r w:rsidR="00CB538E" w:rsidRPr="00A828B6">
        <w:rPr>
          <w:rFonts w:ascii="Book Antiqua" w:hAnsi="Book Antiqua"/>
          <w:bCs/>
          <w:sz w:val="24"/>
          <w:szCs w:val="24"/>
          <w:lang w:val="en-US"/>
        </w:rPr>
        <w:t xml:space="preserve">HCC associated with </w:t>
      </w:r>
      <w:r w:rsidR="00763FFB" w:rsidRPr="00A828B6">
        <w:rPr>
          <w:rFonts w:ascii="Book Antiqua" w:hAnsi="Book Antiqua"/>
          <w:bCs/>
          <w:sz w:val="24"/>
          <w:szCs w:val="24"/>
          <w:lang w:val="en-US"/>
        </w:rPr>
        <w:t>fatty liver disease and demonstrated an increase in NAFLD-related HCC from 3.8% in 2001-2005 to 12.2% in 2006-2010</w:t>
      </w:r>
      <w:r w:rsidR="00B04A38" w:rsidRPr="00A828B6">
        <w:rPr>
          <w:rFonts w:ascii="Book Antiqua" w:hAnsi="Book Antiqua"/>
          <w:sz w:val="24"/>
          <w:szCs w:val="24"/>
          <w:vertAlign w:val="superscript"/>
          <w:lang w:val="en-US" w:eastAsia="zh-CN"/>
        </w:rPr>
        <w:t>[</w:t>
      </w:r>
      <w:r w:rsidR="00B04A38" w:rsidRPr="00A828B6">
        <w:rPr>
          <w:rFonts w:ascii="Book Antiqua" w:hAnsi="Book Antiqua"/>
          <w:bCs/>
          <w:sz w:val="24"/>
          <w:szCs w:val="24"/>
          <w:vertAlign w:val="superscript"/>
          <w:lang w:val="en-US"/>
        </w:rPr>
        <w:t>34</w:t>
      </w:r>
      <w:r w:rsidR="00B04A38" w:rsidRPr="00A828B6">
        <w:rPr>
          <w:rFonts w:ascii="Book Antiqua" w:hAnsi="Book Antiqua"/>
          <w:bCs/>
          <w:sz w:val="24"/>
          <w:szCs w:val="24"/>
          <w:vertAlign w:val="superscript"/>
          <w:lang w:val="en-US" w:eastAsia="zh-CN"/>
        </w:rPr>
        <w:t>]</w:t>
      </w:r>
      <w:r w:rsidR="00763FFB" w:rsidRPr="00A828B6">
        <w:rPr>
          <w:rFonts w:ascii="Book Antiqua" w:hAnsi="Book Antiqua"/>
          <w:bCs/>
          <w:sz w:val="24"/>
          <w:szCs w:val="24"/>
          <w:lang w:val="en-US"/>
        </w:rPr>
        <w:t>. A United States based study evaluated 195 NASH-cirrhosis patients from 2003-2007 with serial abdominal computed tomography and serum alpha-fetoprotein every 6 mo</w:t>
      </w:r>
      <w:r w:rsidR="00390066" w:rsidRPr="00A828B6">
        <w:rPr>
          <w:rFonts w:ascii="Book Antiqua" w:hAnsi="Book Antiqua"/>
          <w:bCs/>
          <w:sz w:val="24"/>
          <w:szCs w:val="24"/>
          <w:lang w:val="en-US"/>
        </w:rPr>
        <w:t>nths</w:t>
      </w:r>
      <w:r w:rsidR="00763FFB" w:rsidRPr="00A828B6">
        <w:rPr>
          <w:rFonts w:ascii="Book Antiqua" w:hAnsi="Book Antiqua"/>
          <w:bCs/>
          <w:sz w:val="24"/>
          <w:szCs w:val="24"/>
          <w:lang w:val="en-US"/>
        </w:rPr>
        <w:t xml:space="preserve"> with a median follow up of 3.2 </w:t>
      </w:r>
      <w:proofErr w:type="gramStart"/>
      <w:r w:rsidR="00763FFB" w:rsidRPr="00A828B6">
        <w:rPr>
          <w:rFonts w:ascii="Book Antiqua" w:hAnsi="Book Antiqua"/>
          <w:bCs/>
          <w:sz w:val="24"/>
          <w:szCs w:val="24"/>
          <w:lang w:val="en-US"/>
        </w:rPr>
        <w:t>years</w:t>
      </w:r>
      <w:r w:rsidR="00B04A38" w:rsidRPr="00A828B6">
        <w:rPr>
          <w:rFonts w:ascii="Book Antiqua" w:hAnsi="Book Antiqua"/>
          <w:sz w:val="24"/>
          <w:szCs w:val="24"/>
          <w:vertAlign w:val="superscript"/>
          <w:lang w:val="en-US" w:eastAsia="zh-CN"/>
        </w:rPr>
        <w:t>[</w:t>
      </w:r>
      <w:proofErr w:type="gramEnd"/>
      <w:r w:rsidR="00B04A38" w:rsidRPr="00A828B6">
        <w:rPr>
          <w:rFonts w:ascii="Book Antiqua" w:hAnsi="Book Antiqua"/>
          <w:bCs/>
          <w:sz w:val="24"/>
          <w:szCs w:val="24"/>
          <w:vertAlign w:val="superscript"/>
          <w:lang w:val="en-US"/>
        </w:rPr>
        <w:t>3</w:t>
      </w:r>
      <w:r w:rsidR="00B04A38" w:rsidRPr="00A828B6">
        <w:rPr>
          <w:rFonts w:ascii="Book Antiqua" w:hAnsi="Book Antiqua"/>
          <w:bCs/>
          <w:sz w:val="24"/>
          <w:szCs w:val="24"/>
          <w:vertAlign w:val="superscript"/>
          <w:lang w:val="en-US" w:eastAsia="zh-CN"/>
        </w:rPr>
        <w:t>5]</w:t>
      </w:r>
      <w:r w:rsidR="00B04A38" w:rsidRPr="00A828B6">
        <w:rPr>
          <w:rFonts w:ascii="Book Antiqua" w:hAnsi="Book Antiqua"/>
          <w:sz w:val="24"/>
          <w:szCs w:val="24"/>
          <w:lang w:val="en-US"/>
        </w:rPr>
        <w:t xml:space="preserve">. </w:t>
      </w:r>
      <w:r w:rsidR="00763FFB" w:rsidRPr="00A828B6">
        <w:rPr>
          <w:rFonts w:ascii="Book Antiqua" w:hAnsi="Book Antiqua"/>
          <w:bCs/>
          <w:sz w:val="24"/>
          <w:szCs w:val="24"/>
          <w:lang w:val="en-US"/>
        </w:rPr>
        <w:t>Among this cohort for NASH-related cirrhosis patients, 12.8% (</w:t>
      </w:r>
      <w:r w:rsidR="00763FFB" w:rsidRPr="00A828B6">
        <w:rPr>
          <w:rFonts w:ascii="Book Antiqua" w:hAnsi="Book Antiqua"/>
          <w:bCs/>
          <w:i/>
          <w:iCs/>
          <w:sz w:val="24"/>
          <w:szCs w:val="24"/>
          <w:lang w:val="en-US"/>
        </w:rPr>
        <w:t>n</w:t>
      </w:r>
      <w:r w:rsidR="00A828B6" w:rsidRPr="00A828B6">
        <w:rPr>
          <w:rFonts w:ascii="Book Antiqua" w:hAnsi="Book Antiqua" w:hint="eastAsia"/>
          <w:bCs/>
          <w:iCs/>
          <w:sz w:val="24"/>
          <w:szCs w:val="24"/>
          <w:lang w:val="en-US" w:eastAsia="zh-CN"/>
        </w:rPr>
        <w:t xml:space="preserve"> </w:t>
      </w:r>
      <w:r w:rsidR="00763FFB" w:rsidRPr="00A828B6">
        <w:rPr>
          <w:rFonts w:ascii="Book Antiqua" w:hAnsi="Book Antiqua"/>
          <w:bCs/>
          <w:sz w:val="24"/>
          <w:szCs w:val="24"/>
          <w:lang w:val="en-US"/>
        </w:rPr>
        <w:t xml:space="preserve">= 25) developed HCC with an annual cumulative incidence </w:t>
      </w:r>
      <w:r w:rsidR="00775622" w:rsidRPr="00A828B6">
        <w:rPr>
          <w:rFonts w:ascii="Book Antiqua" w:hAnsi="Book Antiqua"/>
          <w:bCs/>
          <w:sz w:val="24"/>
          <w:szCs w:val="24"/>
          <w:lang w:val="en-US"/>
        </w:rPr>
        <w:t xml:space="preserve">rate </w:t>
      </w:r>
      <w:r w:rsidR="00763FFB" w:rsidRPr="00A828B6">
        <w:rPr>
          <w:rFonts w:ascii="Book Antiqua" w:hAnsi="Book Antiqua"/>
          <w:bCs/>
          <w:sz w:val="24"/>
          <w:szCs w:val="24"/>
          <w:lang w:val="en-US"/>
        </w:rPr>
        <w:t>of 2.6%.</w:t>
      </w:r>
      <w:r w:rsidR="00C34D31" w:rsidRPr="00A828B6">
        <w:rPr>
          <w:rFonts w:ascii="Book Antiqua" w:hAnsi="Book Antiqua"/>
          <w:bCs/>
          <w:sz w:val="24"/>
          <w:szCs w:val="24"/>
          <w:lang w:val="en-US"/>
        </w:rPr>
        <w:t xml:space="preserve"> </w:t>
      </w:r>
      <w:r w:rsidR="00D167DE" w:rsidRPr="00A828B6">
        <w:rPr>
          <w:rFonts w:ascii="Book Antiqua" w:hAnsi="Book Antiqua"/>
          <w:bCs/>
          <w:sz w:val="24"/>
          <w:szCs w:val="24"/>
          <w:lang w:val="en-US"/>
        </w:rPr>
        <w:t xml:space="preserve">In a prospective cohort study, </w:t>
      </w:r>
      <w:r w:rsidR="00763FFB" w:rsidRPr="00A828B6">
        <w:rPr>
          <w:rFonts w:ascii="Book Antiqua" w:hAnsi="Book Antiqua"/>
          <w:bCs/>
          <w:sz w:val="24"/>
          <w:szCs w:val="24"/>
          <w:lang w:val="en-US"/>
        </w:rPr>
        <w:t>Ya</w:t>
      </w:r>
      <w:r w:rsidR="00241386" w:rsidRPr="00A828B6">
        <w:rPr>
          <w:rFonts w:ascii="Book Antiqua" w:hAnsi="Book Antiqua"/>
          <w:bCs/>
          <w:sz w:val="24"/>
          <w:szCs w:val="24"/>
          <w:lang w:val="en-US"/>
        </w:rPr>
        <w:t>t</w:t>
      </w:r>
      <w:r w:rsidR="00763FFB" w:rsidRPr="00A828B6">
        <w:rPr>
          <w:rFonts w:ascii="Book Antiqua" w:hAnsi="Book Antiqua"/>
          <w:bCs/>
          <w:sz w:val="24"/>
          <w:szCs w:val="24"/>
          <w:lang w:val="en-US"/>
        </w:rPr>
        <w:t>su</w:t>
      </w:r>
      <w:r w:rsidR="00241386" w:rsidRPr="00A828B6">
        <w:rPr>
          <w:rFonts w:ascii="Book Antiqua" w:hAnsi="Book Antiqua"/>
          <w:bCs/>
          <w:sz w:val="24"/>
          <w:szCs w:val="24"/>
          <w:lang w:val="en-US"/>
        </w:rPr>
        <w:t>j</w:t>
      </w:r>
      <w:r w:rsidR="00763FFB" w:rsidRPr="00A828B6">
        <w:rPr>
          <w:rFonts w:ascii="Book Antiqua" w:hAnsi="Book Antiqua"/>
          <w:bCs/>
          <w:sz w:val="24"/>
          <w:szCs w:val="24"/>
          <w:lang w:val="en-US"/>
        </w:rPr>
        <w:t>i</w:t>
      </w:r>
      <w:r w:rsidR="00A828B6" w:rsidRPr="00A828B6">
        <w:rPr>
          <w:rFonts w:ascii="Book Antiqua" w:hAnsi="Book Antiqua" w:hint="eastAsia"/>
          <w:bCs/>
          <w:sz w:val="24"/>
          <w:szCs w:val="24"/>
          <w:lang w:val="en-US" w:eastAsia="zh-CN"/>
        </w:rPr>
        <w:t xml:space="preserve"> </w:t>
      </w:r>
      <w:r w:rsidR="00763FFB" w:rsidRPr="00A828B6">
        <w:rPr>
          <w:rFonts w:ascii="Book Antiqua" w:hAnsi="Book Antiqua"/>
          <w:bCs/>
          <w:i/>
          <w:sz w:val="24"/>
          <w:szCs w:val="24"/>
          <w:lang w:val="en-US"/>
        </w:rPr>
        <w:t xml:space="preserve">et </w:t>
      </w:r>
      <w:proofErr w:type="gramStart"/>
      <w:r w:rsidR="00763FFB" w:rsidRPr="00A828B6">
        <w:rPr>
          <w:rFonts w:ascii="Book Antiqua" w:hAnsi="Book Antiqua"/>
          <w:bCs/>
          <w:i/>
          <w:sz w:val="24"/>
          <w:szCs w:val="24"/>
          <w:lang w:val="en-US"/>
        </w:rPr>
        <w:t>al</w:t>
      </w:r>
      <w:r w:rsidR="00C34D31" w:rsidRPr="00A828B6">
        <w:rPr>
          <w:rFonts w:ascii="Book Antiqua" w:hAnsi="Book Antiqua"/>
          <w:sz w:val="24"/>
          <w:szCs w:val="24"/>
          <w:vertAlign w:val="superscript"/>
          <w:lang w:val="en-US" w:eastAsia="zh-CN"/>
        </w:rPr>
        <w:t>[</w:t>
      </w:r>
      <w:proofErr w:type="gramEnd"/>
      <w:r w:rsidR="00C34D31" w:rsidRPr="00A828B6">
        <w:rPr>
          <w:rFonts w:ascii="Book Antiqua" w:hAnsi="Book Antiqua"/>
          <w:bCs/>
          <w:sz w:val="24"/>
          <w:szCs w:val="24"/>
          <w:vertAlign w:val="superscript"/>
          <w:lang w:val="en-US"/>
        </w:rPr>
        <w:t>31</w:t>
      </w:r>
      <w:r w:rsidR="00C34D31" w:rsidRPr="00A828B6">
        <w:rPr>
          <w:rFonts w:ascii="Book Antiqua" w:hAnsi="Book Antiqua"/>
          <w:bCs/>
          <w:sz w:val="24"/>
          <w:szCs w:val="24"/>
          <w:vertAlign w:val="superscript"/>
          <w:lang w:val="en-US" w:eastAsia="zh-CN"/>
        </w:rPr>
        <w:t>]</w:t>
      </w:r>
      <w:r w:rsidR="00C34D31" w:rsidRPr="00A828B6">
        <w:rPr>
          <w:rFonts w:ascii="Book Antiqua" w:hAnsi="Book Antiqua"/>
          <w:sz w:val="24"/>
          <w:szCs w:val="24"/>
          <w:lang w:val="en-US"/>
        </w:rPr>
        <w:t xml:space="preserve"> </w:t>
      </w:r>
      <w:r w:rsidR="00910CE7" w:rsidRPr="00A828B6">
        <w:rPr>
          <w:rFonts w:ascii="Book Antiqua" w:hAnsi="Book Antiqua"/>
          <w:bCs/>
          <w:sz w:val="24"/>
          <w:szCs w:val="24"/>
          <w:lang w:val="en-US"/>
        </w:rPr>
        <w:t xml:space="preserve">compared </w:t>
      </w:r>
      <w:r w:rsidR="00763FFB" w:rsidRPr="00A828B6">
        <w:rPr>
          <w:rFonts w:ascii="Book Antiqua" w:hAnsi="Book Antiqua"/>
          <w:bCs/>
          <w:sz w:val="24"/>
          <w:szCs w:val="24"/>
          <w:lang w:val="en-US"/>
        </w:rPr>
        <w:t xml:space="preserve">68 patients with NASH-related cirrhosis </w:t>
      </w:r>
      <w:r w:rsidR="00910CE7" w:rsidRPr="00A828B6">
        <w:rPr>
          <w:rFonts w:ascii="Book Antiqua" w:hAnsi="Book Antiqua"/>
          <w:bCs/>
          <w:sz w:val="24"/>
          <w:szCs w:val="24"/>
          <w:lang w:val="en-US"/>
        </w:rPr>
        <w:t>to</w:t>
      </w:r>
      <w:r w:rsidR="00763FFB" w:rsidRPr="00A828B6">
        <w:rPr>
          <w:rFonts w:ascii="Book Antiqua" w:hAnsi="Book Antiqua"/>
          <w:bCs/>
          <w:sz w:val="24"/>
          <w:szCs w:val="24"/>
          <w:lang w:val="en-US"/>
        </w:rPr>
        <w:t xml:space="preserve"> 69 age</w:t>
      </w:r>
      <w:r w:rsidR="00F51438" w:rsidRPr="00A828B6">
        <w:rPr>
          <w:rFonts w:ascii="Book Antiqua" w:hAnsi="Book Antiqua"/>
          <w:bCs/>
          <w:sz w:val="24"/>
          <w:szCs w:val="24"/>
          <w:lang w:val="en-US"/>
        </w:rPr>
        <w:t>-</w:t>
      </w:r>
      <w:r w:rsidR="00763FFB" w:rsidRPr="00A828B6">
        <w:rPr>
          <w:rFonts w:ascii="Book Antiqua" w:hAnsi="Book Antiqua"/>
          <w:bCs/>
          <w:sz w:val="24"/>
          <w:szCs w:val="24"/>
          <w:lang w:val="en-US"/>
        </w:rPr>
        <w:t xml:space="preserve"> and sex</w:t>
      </w:r>
      <w:r w:rsidR="00F51438" w:rsidRPr="00A828B6">
        <w:rPr>
          <w:rFonts w:ascii="Book Antiqua" w:hAnsi="Book Antiqua"/>
          <w:bCs/>
          <w:sz w:val="24"/>
          <w:szCs w:val="24"/>
          <w:lang w:val="en-US"/>
        </w:rPr>
        <w:t>-</w:t>
      </w:r>
      <w:r w:rsidR="00763FFB" w:rsidRPr="00A828B6">
        <w:rPr>
          <w:rFonts w:ascii="Book Antiqua" w:hAnsi="Book Antiqua"/>
          <w:bCs/>
          <w:sz w:val="24"/>
          <w:szCs w:val="24"/>
          <w:lang w:val="en-US"/>
        </w:rPr>
        <w:t xml:space="preserve">matched </w:t>
      </w:r>
      <w:r w:rsidR="00910CE7" w:rsidRPr="00A828B6">
        <w:rPr>
          <w:rFonts w:ascii="Book Antiqua" w:hAnsi="Book Antiqua"/>
          <w:bCs/>
          <w:sz w:val="24"/>
          <w:szCs w:val="24"/>
          <w:lang w:val="en-US"/>
        </w:rPr>
        <w:t xml:space="preserve">patients with </w:t>
      </w:r>
      <w:r w:rsidR="00F51438" w:rsidRPr="00A828B6">
        <w:rPr>
          <w:rFonts w:ascii="Book Antiqua" w:hAnsi="Book Antiqua"/>
          <w:bCs/>
          <w:sz w:val="24"/>
          <w:szCs w:val="24"/>
          <w:lang w:val="en-US"/>
        </w:rPr>
        <w:t>hepatitis C</w:t>
      </w:r>
      <w:r w:rsidR="00763FFB" w:rsidRPr="00A828B6">
        <w:rPr>
          <w:rFonts w:ascii="Book Antiqua" w:hAnsi="Book Antiqua"/>
          <w:bCs/>
          <w:sz w:val="24"/>
          <w:szCs w:val="24"/>
          <w:lang w:val="en-US"/>
        </w:rPr>
        <w:t xml:space="preserve">-related cirrhosis to determine HCC risk. Overall, the 5-year cumulative HCC rate was 11.3% for NASH patients and 30.5% for </w:t>
      </w:r>
      <w:r w:rsidR="00F51438" w:rsidRPr="00A828B6">
        <w:rPr>
          <w:rFonts w:ascii="Book Antiqua" w:hAnsi="Book Antiqua"/>
          <w:bCs/>
          <w:sz w:val="24"/>
          <w:szCs w:val="24"/>
          <w:lang w:val="en-US"/>
        </w:rPr>
        <w:t xml:space="preserve">hepatitis C </w:t>
      </w:r>
      <w:r w:rsidR="00763FFB" w:rsidRPr="00A828B6">
        <w:rPr>
          <w:rFonts w:ascii="Book Antiqua" w:hAnsi="Book Antiqua"/>
          <w:bCs/>
          <w:sz w:val="24"/>
          <w:szCs w:val="24"/>
          <w:lang w:val="en-US"/>
        </w:rPr>
        <w:t>patients. This</w:t>
      </w:r>
      <w:r w:rsidR="00046EC0" w:rsidRPr="00A828B6">
        <w:rPr>
          <w:rFonts w:ascii="Book Antiqua" w:hAnsi="Book Antiqua"/>
          <w:bCs/>
          <w:sz w:val="24"/>
          <w:szCs w:val="24"/>
          <w:lang w:val="en-US"/>
        </w:rPr>
        <w:t xml:space="preserve"> lower HCC risk among NAFLD</w:t>
      </w:r>
      <w:r w:rsidR="00763FFB" w:rsidRPr="00A828B6">
        <w:rPr>
          <w:rFonts w:ascii="Book Antiqua" w:hAnsi="Book Antiqua"/>
          <w:bCs/>
          <w:sz w:val="24"/>
          <w:szCs w:val="24"/>
          <w:lang w:val="en-US"/>
        </w:rPr>
        <w:t xml:space="preserve">-related cirrhosis patients compared with </w:t>
      </w:r>
      <w:r w:rsidR="00F51438" w:rsidRPr="00A828B6">
        <w:rPr>
          <w:rFonts w:ascii="Book Antiqua" w:hAnsi="Book Antiqua"/>
          <w:bCs/>
          <w:sz w:val="24"/>
          <w:szCs w:val="24"/>
          <w:lang w:val="en-US"/>
        </w:rPr>
        <w:t>hepatitis C</w:t>
      </w:r>
      <w:r w:rsidR="00763FFB" w:rsidRPr="00A828B6">
        <w:rPr>
          <w:rFonts w:ascii="Book Antiqua" w:hAnsi="Book Antiqua"/>
          <w:bCs/>
          <w:sz w:val="24"/>
          <w:szCs w:val="24"/>
          <w:lang w:val="en-US"/>
        </w:rPr>
        <w:t xml:space="preserve">-related cirrhosis was </w:t>
      </w:r>
      <w:r w:rsidR="001B274D" w:rsidRPr="00A828B6">
        <w:rPr>
          <w:rFonts w:ascii="Book Antiqua" w:hAnsi="Book Antiqua"/>
          <w:bCs/>
          <w:sz w:val="24"/>
          <w:szCs w:val="24"/>
          <w:lang w:val="en-US"/>
        </w:rPr>
        <w:t xml:space="preserve">also </w:t>
      </w:r>
      <w:r w:rsidR="00763FFB" w:rsidRPr="00A828B6">
        <w:rPr>
          <w:rFonts w:ascii="Book Antiqua" w:hAnsi="Book Antiqua"/>
          <w:bCs/>
          <w:sz w:val="24"/>
          <w:szCs w:val="24"/>
          <w:lang w:val="en-US"/>
        </w:rPr>
        <w:t xml:space="preserve">confirmed </w:t>
      </w:r>
      <w:r w:rsidR="00046EC0" w:rsidRPr="00A828B6">
        <w:rPr>
          <w:rFonts w:ascii="Book Antiqua" w:hAnsi="Book Antiqua"/>
          <w:bCs/>
          <w:sz w:val="24"/>
          <w:szCs w:val="24"/>
          <w:lang w:val="en-US"/>
        </w:rPr>
        <w:t xml:space="preserve">by </w:t>
      </w:r>
      <w:r w:rsidR="006A503E" w:rsidRPr="00A828B6">
        <w:rPr>
          <w:rFonts w:ascii="Book Antiqua" w:hAnsi="Book Antiqua"/>
          <w:bCs/>
          <w:sz w:val="24"/>
          <w:szCs w:val="24"/>
          <w:lang w:val="en-US"/>
        </w:rPr>
        <w:t xml:space="preserve">our </w:t>
      </w:r>
      <w:r w:rsidR="00055BC4" w:rsidRPr="00A828B6">
        <w:rPr>
          <w:rFonts w:ascii="Book Antiqua" w:hAnsi="Book Antiqua"/>
          <w:bCs/>
          <w:sz w:val="24"/>
          <w:szCs w:val="24"/>
          <w:lang w:val="en-US"/>
        </w:rPr>
        <w:t>study</w:t>
      </w:r>
      <w:r w:rsidR="00763FFB" w:rsidRPr="00A828B6">
        <w:rPr>
          <w:rFonts w:ascii="Book Antiqua" w:hAnsi="Book Antiqua"/>
          <w:bCs/>
          <w:sz w:val="24"/>
          <w:szCs w:val="24"/>
          <w:lang w:val="en-US"/>
        </w:rPr>
        <w:t xml:space="preserve">. </w:t>
      </w:r>
      <w:r w:rsidR="00AB4FED" w:rsidRPr="00A828B6">
        <w:rPr>
          <w:rFonts w:ascii="Book Antiqua" w:hAnsi="Book Antiqua"/>
          <w:bCs/>
          <w:sz w:val="24"/>
          <w:szCs w:val="24"/>
          <w:lang w:val="en-US"/>
        </w:rPr>
        <w:t>Our results with 5.0% NAFLD-related HCC with cirrhosis was lower than previously reported with 2.4</w:t>
      </w:r>
      <w:r w:rsidR="00A828B6" w:rsidRPr="00A828B6">
        <w:rPr>
          <w:rFonts w:ascii="Book Antiqua" w:hAnsi="Book Antiqua" w:hint="eastAsia"/>
          <w:bCs/>
          <w:sz w:val="24"/>
          <w:szCs w:val="24"/>
          <w:lang w:val="en-US" w:eastAsia="zh-CN"/>
        </w:rPr>
        <w:t>%</w:t>
      </w:r>
      <w:r w:rsidR="00AB4FED" w:rsidRPr="00A828B6">
        <w:rPr>
          <w:rFonts w:ascii="Book Antiqua" w:hAnsi="Book Antiqua"/>
          <w:bCs/>
          <w:sz w:val="24"/>
          <w:szCs w:val="24"/>
          <w:lang w:val="en-US"/>
        </w:rPr>
        <w:t xml:space="preserve">-12.8% in patients with </w:t>
      </w:r>
      <w:proofErr w:type="gramStart"/>
      <w:r w:rsidR="00AB4FED" w:rsidRPr="00A828B6">
        <w:rPr>
          <w:rFonts w:ascii="Book Antiqua" w:hAnsi="Book Antiqua"/>
          <w:bCs/>
          <w:sz w:val="24"/>
          <w:szCs w:val="24"/>
          <w:lang w:val="en-US"/>
        </w:rPr>
        <w:t>NAFLD</w:t>
      </w:r>
      <w:r w:rsidR="00C34D31" w:rsidRPr="00A828B6">
        <w:rPr>
          <w:rFonts w:ascii="Book Antiqua" w:hAnsi="Book Antiqua"/>
          <w:sz w:val="24"/>
          <w:szCs w:val="24"/>
          <w:vertAlign w:val="superscript"/>
          <w:lang w:val="en-US" w:eastAsia="zh-CN"/>
        </w:rPr>
        <w:t>[</w:t>
      </w:r>
      <w:proofErr w:type="gramEnd"/>
      <w:r w:rsidR="00C34D31" w:rsidRPr="00A828B6">
        <w:rPr>
          <w:rFonts w:ascii="Book Antiqua" w:hAnsi="Book Antiqua"/>
          <w:bCs/>
          <w:sz w:val="24"/>
          <w:szCs w:val="24"/>
          <w:vertAlign w:val="superscript"/>
          <w:lang w:val="en-US"/>
        </w:rPr>
        <w:t>32</w:t>
      </w:r>
      <w:r w:rsidR="00C34D31" w:rsidRPr="00A828B6">
        <w:rPr>
          <w:rFonts w:ascii="Book Antiqua" w:hAnsi="Book Antiqua"/>
          <w:bCs/>
          <w:sz w:val="24"/>
          <w:szCs w:val="24"/>
          <w:vertAlign w:val="superscript"/>
          <w:lang w:val="en-US" w:eastAsia="zh-CN"/>
        </w:rPr>
        <w:t>]</w:t>
      </w:r>
      <w:r w:rsidR="00C34D31" w:rsidRPr="00A828B6">
        <w:rPr>
          <w:rFonts w:ascii="Book Antiqua" w:hAnsi="Book Antiqua"/>
          <w:sz w:val="24"/>
          <w:szCs w:val="24"/>
          <w:lang w:val="en-US"/>
        </w:rPr>
        <w:t>.</w:t>
      </w:r>
    </w:p>
    <w:p w14:paraId="6752C72F" w14:textId="4D0D9F6C" w:rsidR="007348DD" w:rsidRPr="00A828B6" w:rsidRDefault="00684AD0" w:rsidP="001A5A01">
      <w:pPr>
        <w:spacing w:after="0" w:line="360" w:lineRule="auto"/>
        <w:ind w:firstLine="360"/>
        <w:jc w:val="both"/>
        <w:rPr>
          <w:rFonts w:ascii="Book Antiqua" w:hAnsi="Book Antiqua"/>
          <w:bCs/>
          <w:sz w:val="24"/>
          <w:szCs w:val="24"/>
          <w:lang w:val="en-US"/>
        </w:rPr>
      </w:pPr>
      <w:r w:rsidRPr="00A828B6">
        <w:rPr>
          <w:rFonts w:ascii="Book Antiqua" w:hAnsi="Book Antiqua"/>
          <w:bCs/>
          <w:sz w:val="24"/>
          <w:szCs w:val="24"/>
          <w:lang w:val="en-US"/>
        </w:rPr>
        <w:t>The current studies revealed</w:t>
      </w:r>
      <w:r w:rsidR="004E163A" w:rsidRPr="00A828B6">
        <w:rPr>
          <w:rFonts w:ascii="Book Antiqua" w:hAnsi="Book Antiqua"/>
          <w:bCs/>
          <w:sz w:val="24"/>
          <w:szCs w:val="24"/>
          <w:lang w:val="en-US"/>
        </w:rPr>
        <w:t xml:space="preserve"> </w:t>
      </w:r>
      <w:r w:rsidR="0092538E" w:rsidRPr="00A828B6">
        <w:rPr>
          <w:rFonts w:ascii="Book Antiqua" w:hAnsi="Book Antiqua"/>
          <w:bCs/>
          <w:sz w:val="24"/>
          <w:szCs w:val="24"/>
          <w:lang w:val="en-US"/>
        </w:rPr>
        <w:t xml:space="preserve">the </w:t>
      </w:r>
      <w:r w:rsidR="004E163A" w:rsidRPr="00A828B6">
        <w:rPr>
          <w:rFonts w:ascii="Book Antiqua" w:hAnsi="Book Antiqua"/>
          <w:bCs/>
          <w:sz w:val="24"/>
          <w:szCs w:val="24"/>
          <w:lang w:val="en-US"/>
        </w:rPr>
        <w:t xml:space="preserve">prevalence of portal vein thrombosis </w:t>
      </w:r>
      <w:r w:rsidR="00C40296" w:rsidRPr="00A828B6">
        <w:rPr>
          <w:rFonts w:ascii="Book Antiqua" w:hAnsi="Book Antiqua"/>
          <w:bCs/>
          <w:sz w:val="24"/>
          <w:szCs w:val="24"/>
          <w:lang w:val="en-US"/>
        </w:rPr>
        <w:t xml:space="preserve">in </w:t>
      </w:r>
      <w:r w:rsidR="004E163A" w:rsidRPr="00A828B6">
        <w:rPr>
          <w:rFonts w:ascii="Book Antiqua" w:hAnsi="Book Antiqua"/>
          <w:bCs/>
          <w:sz w:val="24"/>
          <w:szCs w:val="24"/>
          <w:lang w:val="en-US"/>
        </w:rPr>
        <w:t xml:space="preserve">patients with </w:t>
      </w:r>
      <w:r w:rsidR="00C40296" w:rsidRPr="00A828B6">
        <w:rPr>
          <w:rFonts w:ascii="Book Antiqua" w:hAnsi="Book Antiqua"/>
          <w:bCs/>
          <w:sz w:val="24"/>
          <w:szCs w:val="24"/>
          <w:lang w:val="en-US"/>
        </w:rPr>
        <w:t xml:space="preserve">NAFLD </w:t>
      </w:r>
      <w:r w:rsidRPr="00A828B6">
        <w:rPr>
          <w:rFonts w:ascii="Book Antiqua" w:hAnsi="Book Antiqua"/>
          <w:bCs/>
          <w:sz w:val="24"/>
          <w:szCs w:val="24"/>
          <w:lang w:val="en-US"/>
        </w:rPr>
        <w:t xml:space="preserve">to be </w:t>
      </w:r>
      <w:r w:rsidR="00B5666B" w:rsidRPr="00A828B6">
        <w:rPr>
          <w:rFonts w:ascii="Book Antiqua" w:hAnsi="Book Antiqua"/>
          <w:bCs/>
          <w:sz w:val="24"/>
          <w:szCs w:val="24"/>
          <w:lang w:val="en-US"/>
        </w:rPr>
        <w:t>significanty</w:t>
      </w:r>
      <w:r w:rsidR="00E60D30" w:rsidRPr="00A828B6">
        <w:rPr>
          <w:rFonts w:ascii="Book Antiqua" w:hAnsi="Book Antiqua"/>
          <w:bCs/>
          <w:sz w:val="24"/>
          <w:szCs w:val="24"/>
          <w:lang w:val="en-US"/>
        </w:rPr>
        <w:t xml:space="preserve"> </w:t>
      </w:r>
      <w:r w:rsidR="000B2127" w:rsidRPr="00A828B6">
        <w:rPr>
          <w:rFonts w:ascii="Book Antiqua" w:hAnsi="Book Antiqua"/>
          <w:bCs/>
          <w:sz w:val="24"/>
          <w:szCs w:val="24"/>
          <w:lang w:val="en-US"/>
        </w:rPr>
        <w:t>higher</w:t>
      </w:r>
      <w:r w:rsidR="006A503E" w:rsidRPr="00A828B6">
        <w:rPr>
          <w:rFonts w:ascii="Book Antiqua" w:hAnsi="Book Antiqua"/>
          <w:bCs/>
          <w:sz w:val="24"/>
          <w:szCs w:val="24"/>
          <w:lang w:val="en-US"/>
        </w:rPr>
        <w:t xml:space="preserve"> </w:t>
      </w:r>
      <w:r w:rsidR="00C40296" w:rsidRPr="00A828B6">
        <w:rPr>
          <w:rFonts w:ascii="Book Antiqua" w:hAnsi="Book Antiqua"/>
          <w:bCs/>
          <w:sz w:val="24"/>
          <w:szCs w:val="24"/>
          <w:lang w:val="en-US"/>
        </w:rPr>
        <w:t xml:space="preserve">than </w:t>
      </w:r>
      <w:r w:rsidR="000B2127" w:rsidRPr="00A828B6">
        <w:rPr>
          <w:rFonts w:ascii="Book Antiqua" w:hAnsi="Book Antiqua"/>
          <w:bCs/>
          <w:sz w:val="24"/>
          <w:szCs w:val="24"/>
          <w:lang w:val="en-US"/>
        </w:rPr>
        <w:t>in patients with h</w:t>
      </w:r>
      <w:r w:rsidR="004E163A" w:rsidRPr="00A828B6">
        <w:rPr>
          <w:rFonts w:ascii="Book Antiqua" w:hAnsi="Book Antiqua"/>
          <w:bCs/>
          <w:sz w:val="24"/>
          <w:szCs w:val="24"/>
          <w:lang w:val="en-US"/>
        </w:rPr>
        <w:t>epatitis B or</w:t>
      </w:r>
      <w:r w:rsidR="000B2127" w:rsidRPr="00A828B6">
        <w:rPr>
          <w:rFonts w:ascii="Book Antiqua" w:hAnsi="Book Antiqua"/>
          <w:bCs/>
          <w:sz w:val="24"/>
          <w:szCs w:val="24"/>
          <w:lang w:val="en-US"/>
        </w:rPr>
        <w:t xml:space="preserve"> h</w:t>
      </w:r>
      <w:r w:rsidR="00C40296" w:rsidRPr="00A828B6">
        <w:rPr>
          <w:rFonts w:ascii="Book Antiqua" w:hAnsi="Book Antiqua"/>
          <w:bCs/>
          <w:sz w:val="24"/>
          <w:szCs w:val="24"/>
          <w:lang w:val="en-US"/>
        </w:rPr>
        <w:t>ep</w:t>
      </w:r>
      <w:r w:rsidR="004E163A" w:rsidRPr="00A828B6">
        <w:rPr>
          <w:rFonts w:ascii="Book Antiqua" w:hAnsi="Book Antiqua"/>
          <w:bCs/>
          <w:sz w:val="24"/>
          <w:szCs w:val="24"/>
          <w:lang w:val="en-US"/>
        </w:rPr>
        <w:t xml:space="preserve">atitis </w:t>
      </w:r>
      <w:r w:rsidR="00B5666B" w:rsidRPr="00A828B6">
        <w:rPr>
          <w:rFonts w:ascii="Book Antiqua" w:hAnsi="Book Antiqua"/>
          <w:bCs/>
          <w:sz w:val="24"/>
          <w:szCs w:val="24"/>
          <w:lang w:val="en-US"/>
        </w:rPr>
        <w:t>C (</w:t>
      </w:r>
      <w:r w:rsidR="005B50CE" w:rsidRPr="00A828B6">
        <w:rPr>
          <w:rFonts w:ascii="Book Antiqua" w:hAnsi="Book Antiqua"/>
          <w:bCs/>
          <w:i/>
          <w:sz w:val="24"/>
          <w:szCs w:val="24"/>
          <w:lang w:val="en-US"/>
        </w:rPr>
        <w:t>P</w:t>
      </w:r>
      <w:r w:rsidR="000E6621">
        <w:rPr>
          <w:rFonts w:ascii="Book Antiqua" w:hAnsi="Book Antiqua" w:hint="eastAsia"/>
          <w:bCs/>
          <w:i/>
          <w:sz w:val="24"/>
          <w:szCs w:val="24"/>
          <w:lang w:val="en-US" w:eastAsia="zh-CN"/>
        </w:rPr>
        <w:t xml:space="preserve"> </w:t>
      </w:r>
      <w:r w:rsidR="00B5666B" w:rsidRPr="00A828B6">
        <w:rPr>
          <w:rFonts w:ascii="Book Antiqua" w:hAnsi="Book Antiqua"/>
          <w:bCs/>
          <w:sz w:val="24"/>
          <w:szCs w:val="24"/>
          <w:lang w:val="en-US"/>
        </w:rPr>
        <w:t xml:space="preserve">&lt; 0.0001). </w:t>
      </w:r>
      <w:r w:rsidR="00C95491" w:rsidRPr="00A828B6">
        <w:rPr>
          <w:rFonts w:ascii="Book Antiqua" w:hAnsi="Book Antiqua"/>
          <w:bCs/>
          <w:sz w:val="24"/>
          <w:szCs w:val="24"/>
          <w:lang w:val="en-US"/>
        </w:rPr>
        <w:t>This could be related to the predisposition of patients with NAFLD to develop</w:t>
      </w:r>
      <w:r w:rsidR="0092538E" w:rsidRPr="00A828B6">
        <w:rPr>
          <w:rFonts w:ascii="Book Antiqua" w:hAnsi="Book Antiqua"/>
          <w:bCs/>
          <w:sz w:val="24"/>
          <w:szCs w:val="24"/>
          <w:lang w:val="en-US"/>
        </w:rPr>
        <w:t>ing</w:t>
      </w:r>
      <w:r w:rsidR="00C95491" w:rsidRPr="00A828B6">
        <w:rPr>
          <w:rFonts w:ascii="Book Antiqua" w:hAnsi="Book Antiqua"/>
          <w:bCs/>
          <w:sz w:val="24"/>
          <w:szCs w:val="24"/>
          <w:lang w:val="en-US"/>
        </w:rPr>
        <w:t xml:space="preserve"> pro-coagulation and</w:t>
      </w:r>
      <w:r w:rsidR="007348DD" w:rsidRPr="00A828B6">
        <w:rPr>
          <w:rFonts w:ascii="Book Antiqua" w:hAnsi="Book Antiqua"/>
          <w:bCs/>
          <w:sz w:val="24"/>
          <w:szCs w:val="24"/>
          <w:lang w:val="en-US"/>
        </w:rPr>
        <w:t xml:space="preserve"> impair</w:t>
      </w:r>
      <w:r w:rsidR="00C95491" w:rsidRPr="00A828B6">
        <w:rPr>
          <w:rFonts w:ascii="Book Antiqua" w:hAnsi="Book Antiqua"/>
          <w:bCs/>
          <w:sz w:val="24"/>
          <w:szCs w:val="24"/>
          <w:lang w:val="en-US"/>
        </w:rPr>
        <w:t>ed</w:t>
      </w:r>
      <w:r w:rsidR="007348DD" w:rsidRPr="00A828B6">
        <w:rPr>
          <w:rFonts w:ascii="Book Antiqua" w:hAnsi="Book Antiqua"/>
          <w:bCs/>
          <w:sz w:val="24"/>
          <w:szCs w:val="24"/>
          <w:lang w:val="en-US"/>
        </w:rPr>
        <w:t xml:space="preserve"> blood flow</w:t>
      </w:r>
      <w:r w:rsidR="0092538E" w:rsidRPr="00A828B6">
        <w:rPr>
          <w:rFonts w:ascii="Book Antiqua" w:hAnsi="Book Antiqua"/>
          <w:bCs/>
          <w:sz w:val="24"/>
          <w:szCs w:val="24"/>
          <w:lang w:val="en-US"/>
        </w:rPr>
        <w:t>, as well as</w:t>
      </w:r>
      <w:r w:rsidR="006A503E" w:rsidRPr="00A828B6">
        <w:rPr>
          <w:rFonts w:ascii="Book Antiqua" w:hAnsi="Book Antiqua"/>
          <w:bCs/>
          <w:sz w:val="24"/>
          <w:szCs w:val="24"/>
          <w:lang w:val="en-US"/>
        </w:rPr>
        <w:t xml:space="preserve"> </w:t>
      </w:r>
      <w:r w:rsidR="0092538E" w:rsidRPr="00A828B6">
        <w:rPr>
          <w:rFonts w:ascii="Book Antiqua" w:hAnsi="Book Antiqua"/>
          <w:bCs/>
          <w:sz w:val="24"/>
          <w:szCs w:val="24"/>
          <w:lang w:val="en-US"/>
        </w:rPr>
        <w:t>a</w:t>
      </w:r>
      <w:r w:rsidR="00C95491" w:rsidRPr="00A828B6">
        <w:rPr>
          <w:rFonts w:ascii="Book Antiqua" w:hAnsi="Book Antiqua"/>
          <w:bCs/>
          <w:sz w:val="24"/>
          <w:szCs w:val="24"/>
          <w:lang w:val="en-US"/>
        </w:rPr>
        <w:t xml:space="preserve"> pro-inflammatory </w:t>
      </w:r>
      <w:r w:rsidR="00C95491" w:rsidRPr="00A828B6">
        <w:rPr>
          <w:rFonts w:ascii="Book Antiqua" w:hAnsi="Book Antiqua"/>
          <w:bCs/>
          <w:sz w:val="24"/>
          <w:szCs w:val="24"/>
          <w:lang w:val="en-US"/>
        </w:rPr>
        <w:lastRenderedPageBreak/>
        <w:t xml:space="preserve">state. </w:t>
      </w:r>
      <w:r w:rsidR="000B2127" w:rsidRPr="00A828B6">
        <w:rPr>
          <w:rFonts w:ascii="Book Antiqua" w:hAnsi="Book Antiqua"/>
          <w:bCs/>
          <w:sz w:val="24"/>
          <w:szCs w:val="24"/>
          <w:lang w:val="en-US"/>
        </w:rPr>
        <w:t>It is wel</w:t>
      </w:r>
      <w:r w:rsidR="005B50CE" w:rsidRPr="00A828B6">
        <w:rPr>
          <w:rFonts w:ascii="Book Antiqua" w:hAnsi="Book Antiqua"/>
          <w:bCs/>
          <w:sz w:val="24"/>
          <w:szCs w:val="24"/>
          <w:lang w:val="en-US"/>
        </w:rPr>
        <w:t>l</w:t>
      </w:r>
      <w:r w:rsidR="006A503E" w:rsidRPr="00A828B6">
        <w:rPr>
          <w:rFonts w:ascii="Book Antiqua" w:hAnsi="Book Antiqua"/>
          <w:bCs/>
          <w:sz w:val="24"/>
          <w:szCs w:val="24"/>
          <w:lang w:val="en-US"/>
        </w:rPr>
        <w:t xml:space="preserve"> </w:t>
      </w:r>
      <w:r w:rsidR="000B2127" w:rsidRPr="00A828B6">
        <w:rPr>
          <w:rFonts w:ascii="Book Antiqua" w:hAnsi="Book Antiqua"/>
          <w:bCs/>
          <w:sz w:val="24"/>
          <w:szCs w:val="24"/>
          <w:lang w:val="en-US"/>
        </w:rPr>
        <w:t>known that</w:t>
      </w:r>
      <w:r w:rsidR="006A503E" w:rsidRPr="00A828B6">
        <w:rPr>
          <w:rFonts w:ascii="Book Antiqua" w:hAnsi="Book Antiqua"/>
          <w:bCs/>
          <w:sz w:val="24"/>
          <w:szCs w:val="24"/>
          <w:lang w:val="en-US"/>
        </w:rPr>
        <w:t xml:space="preserve"> </w:t>
      </w:r>
      <w:r w:rsidR="00C95491" w:rsidRPr="00A828B6">
        <w:rPr>
          <w:rFonts w:ascii="Book Antiqua" w:hAnsi="Book Antiqua"/>
          <w:bCs/>
          <w:sz w:val="24"/>
          <w:szCs w:val="24"/>
          <w:lang w:val="en-US"/>
        </w:rPr>
        <w:t xml:space="preserve">these </w:t>
      </w:r>
      <w:r w:rsidR="00E72065" w:rsidRPr="00A828B6">
        <w:rPr>
          <w:rFonts w:ascii="Book Antiqua" w:hAnsi="Book Antiqua"/>
          <w:bCs/>
          <w:sz w:val="24"/>
          <w:szCs w:val="24"/>
          <w:lang w:val="en-US"/>
        </w:rPr>
        <w:t>patients are common</w:t>
      </w:r>
      <w:r w:rsidR="000B2127" w:rsidRPr="00A828B6">
        <w:rPr>
          <w:rFonts w:ascii="Book Antiqua" w:hAnsi="Book Antiqua"/>
          <w:bCs/>
          <w:sz w:val="24"/>
          <w:szCs w:val="24"/>
          <w:lang w:val="en-US"/>
        </w:rPr>
        <w:t>ly</w:t>
      </w:r>
      <w:r w:rsidR="006A503E" w:rsidRPr="00A828B6">
        <w:rPr>
          <w:rFonts w:ascii="Book Antiqua" w:hAnsi="Book Antiqua"/>
          <w:bCs/>
          <w:sz w:val="24"/>
          <w:szCs w:val="24"/>
          <w:lang w:val="en-US"/>
        </w:rPr>
        <w:t xml:space="preserve"> </w:t>
      </w:r>
      <w:r w:rsidR="007348DD" w:rsidRPr="00A828B6">
        <w:rPr>
          <w:rFonts w:ascii="Book Antiqua" w:hAnsi="Book Antiqua"/>
          <w:bCs/>
          <w:sz w:val="24"/>
          <w:szCs w:val="24"/>
          <w:lang w:val="en-US"/>
        </w:rPr>
        <w:t xml:space="preserve">obese. </w:t>
      </w:r>
      <w:r w:rsidR="00B5666B" w:rsidRPr="00A828B6">
        <w:rPr>
          <w:rFonts w:ascii="Book Antiqua" w:hAnsi="Book Antiqua"/>
          <w:bCs/>
          <w:sz w:val="24"/>
          <w:szCs w:val="24"/>
          <w:lang w:val="en-US"/>
        </w:rPr>
        <w:t>Obesity is associated with low-grade chron</w:t>
      </w:r>
      <w:r w:rsidR="00C0522B" w:rsidRPr="00A828B6">
        <w:rPr>
          <w:rFonts w:ascii="Book Antiqua" w:hAnsi="Book Antiqua"/>
          <w:bCs/>
          <w:sz w:val="24"/>
          <w:szCs w:val="24"/>
          <w:lang w:val="en-US"/>
        </w:rPr>
        <w:t xml:space="preserve">ic inflammation and </w:t>
      </w:r>
      <w:r w:rsidR="00B5666B" w:rsidRPr="00A828B6">
        <w:rPr>
          <w:rFonts w:ascii="Book Antiqua" w:hAnsi="Book Antiqua"/>
          <w:bCs/>
          <w:sz w:val="24"/>
          <w:szCs w:val="24"/>
          <w:lang w:val="en-US"/>
        </w:rPr>
        <w:t xml:space="preserve">is strongly associated with chronic macrophage accumulation </w:t>
      </w:r>
      <w:r w:rsidR="006307D3" w:rsidRPr="00A828B6">
        <w:rPr>
          <w:rFonts w:ascii="Book Antiqua" w:hAnsi="Book Antiqua"/>
          <w:bCs/>
          <w:sz w:val="24"/>
          <w:szCs w:val="24"/>
          <w:lang w:val="en-US"/>
        </w:rPr>
        <w:t>to the hypertrophied</w:t>
      </w:r>
      <w:r w:rsidR="00B5666B" w:rsidRPr="00A828B6">
        <w:rPr>
          <w:rFonts w:ascii="Book Antiqua" w:hAnsi="Book Antiqua"/>
          <w:bCs/>
          <w:sz w:val="24"/>
          <w:szCs w:val="24"/>
          <w:lang w:val="en-US"/>
        </w:rPr>
        <w:t xml:space="preserve"> adipose </w:t>
      </w:r>
      <w:proofErr w:type="gramStart"/>
      <w:r w:rsidR="00B5666B" w:rsidRPr="00A828B6">
        <w:rPr>
          <w:rFonts w:ascii="Book Antiqua" w:hAnsi="Book Antiqua"/>
          <w:bCs/>
          <w:sz w:val="24"/>
          <w:szCs w:val="24"/>
          <w:lang w:val="en-US"/>
        </w:rPr>
        <w:t>tissue</w:t>
      </w:r>
      <w:r w:rsidR="00C34D31" w:rsidRPr="00A828B6">
        <w:rPr>
          <w:rFonts w:ascii="Book Antiqua" w:hAnsi="Book Antiqua"/>
          <w:sz w:val="24"/>
          <w:szCs w:val="24"/>
          <w:vertAlign w:val="superscript"/>
          <w:lang w:val="en-US" w:eastAsia="zh-CN"/>
        </w:rPr>
        <w:t>[</w:t>
      </w:r>
      <w:proofErr w:type="gramEnd"/>
      <w:r w:rsidR="00C34D31" w:rsidRPr="00A828B6">
        <w:rPr>
          <w:rFonts w:ascii="Book Antiqua" w:hAnsi="Book Antiqua"/>
          <w:bCs/>
          <w:sz w:val="24"/>
          <w:szCs w:val="24"/>
          <w:vertAlign w:val="superscript"/>
          <w:lang w:val="en-US"/>
        </w:rPr>
        <w:t>36-9</w:t>
      </w:r>
      <w:r w:rsidR="00C34D31" w:rsidRPr="00A828B6">
        <w:rPr>
          <w:rFonts w:ascii="Book Antiqua" w:hAnsi="Book Antiqua"/>
          <w:bCs/>
          <w:sz w:val="24"/>
          <w:szCs w:val="24"/>
          <w:vertAlign w:val="superscript"/>
          <w:lang w:val="en-US" w:eastAsia="zh-CN"/>
        </w:rPr>
        <w:t>]</w:t>
      </w:r>
      <w:r w:rsidR="00575361" w:rsidRPr="00A828B6">
        <w:rPr>
          <w:rFonts w:ascii="Book Antiqua" w:hAnsi="Book Antiqua"/>
          <w:bCs/>
          <w:sz w:val="24"/>
          <w:szCs w:val="24"/>
          <w:lang w:val="en-US"/>
        </w:rPr>
        <w:t>.</w:t>
      </w:r>
      <w:r w:rsidR="00A339BA" w:rsidRPr="00A828B6">
        <w:rPr>
          <w:rFonts w:ascii="Book Antiqua" w:hAnsi="Book Antiqua"/>
          <w:bCs/>
          <w:sz w:val="24"/>
          <w:szCs w:val="24"/>
          <w:lang w:val="en-US"/>
        </w:rPr>
        <w:t xml:space="preserve"> </w:t>
      </w:r>
      <w:r w:rsidR="00C0522B" w:rsidRPr="00A828B6">
        <w:rPr>
          <w:rFonts w:ascii="Book Antiqua" w:hAnsi="Book Antiqua"/>
          <w:bCs/>
          <w:sz w:val="24"/>
          <w:szCs w:val="24"/>
          <w:lang w:val="en-US"/>
        </w:rPr>
        <w:t>Adipose tissue macrophages produce proinflammatory</w:t>
      </w:r>
      <w:r w:rsidR="00F822CC" w:rsidRPr="00A828B6">
        <w:rPr>
          <w:rFonts w:ascii="Book Antiqua" w:hAnsi="Book Antiqua"/>
          <w:bCs/>
          <w:sz w:val="24"/>
          <w:szCs w:val="24"/>
          <w:lang w:val="en-US"/>
        </w:rPr>
        <w:t xml:space="preserve"> </w:t>
      </w:r>
      <w:r w:rsidR="00C0522B" w:rsidRPr="00A828B6">
        <w:rPr>
          <w:rFonts w:ascii="Book Antiqua" w:hAnsi="Book Antiqua"/>
          <w:bCs/>
          <w:sz w:val="24"/>
          <w:szCs w:val="24"/>
          <w:lang w:val="en-US"/>
        </w:rPr>
        <w:t xml:space="preserve">cytokines such as TNF-α, interleukin-6, and C-reactive protein.  </w:t>
      </w:r>
      <w:r w:rsidR="001F78C8" w:rsidRPr="00A828B6">
        <w:rPr>
          <w:rFonts w:ascii="Book Antiqua" w:hAnsi="Book Antiqua"/>
          <w:bCs/>
          <w:sz w:val="24"/>
          <w:szCs w:val="24"/>
          <w:lang w:val="en-US"/>
        </w:rPr>
        <w:t xml:space="preserve">These </w:t>
      </w:r>
      <w:r w:rsidR="00C0522B" w:rsidRPr="00A828B6">
        <w:rPr>
          <w:rFonts w:ascii="Book Antiqua" w:hAnsi="Book Antiqua"/>
          <w:bCs/>
          <w:sz w:val="24"/>
          <w:szCs w:val="24"/>
          <w:lang w:val="en-US"/>
        </w:rPr>
        <w:t>cytokines</w:t>
      </w:r>
      <w:r w:rsidR="001F78C8" w:rsidRPr="00A828B6">
        <w:rPr>
          <w:rFonts w:ascii="Book Antiqua" w:hAnsi="Book Antiqua"/>
          <w:bCs/>
          <w:sz w:val="24"/>
          <w:szCs w:val="24"/>
          <w:lang w:val="en-US"/>
        </w:rPr>
        <w:t xml:space="preserve"> alter</w:t>
      </w:r>
      <w:r w:rsidR="006307D3" w:rsidRPr="00A828B6">
        <w:rPr>
          <w:rFonts w:ascii="Book Antiqua" w:hAnsi="Book Antiqua"/>
          <w:bCs/>
          <w:sz w:val="24"/>
          <w:szCs w:val="24"/>
          <w:lang w:val="en-US"/>
        </w:rPr>
        <w:t xml:space="preserve"> insulin signaling by </w:t>
      </w:r>
      <w:r w:rsidR="00C0522B" w:rsidRPr="00A828B6">
        <w:rPr>
          <w:rFonts w:ascii="Book Antiqua" w:hAnsi="Book Antiqua"/>
          <w:bCs/>
          <w:sz w:val="24"/>
          <w:szCs w:val="24"/>
          <w:lang w:val="en-US"/>
        </w:rPr>
        <w:t>protein kinase C t</w:t>
      </w:r>
      <w:r w:rsidR="005B50CE" w:rsidRPr="00A828B6">
        <w:rPr>
          <w:rFonts w:ascii="Book Antiqua" w:hAnsi="Book Antiqua"/>
          <w:bCs/>
          <w:sz w:val="24"/>
          <w:szCs w:val="24"/>
          <w:lang w:val="en-US"/>
        </w:rPr>
        <w:t>h</w:t>
      </w:r>
      <w:r w:rsidR="00C0522B" w:rsidRPr="00A828B6">
        <w:rPr>
          <w:rFonts w:ascii="Book Antiqua" w:hAnsi="Book Antiqua"/>
          <w:bCs/>
          <w:sz w:val="24"/>
          <w:szCs w:val="24"/>
          <w:lang w:val="en-US"/>
        </w:rPr>
        <w:t xml:space="preserve">eta (PKCtheta), inhibitor κB kinase β (IKK-β), </w:t>
      </w:r>
      <w:proofErr w:type="gramStart"/>
      <w:r w:rsidR="00C0522B" w:rsidRPr="00A828B6">
        <w:rPr>
          <w:rFonts w:ascii="Book Antiqua" w:hAnsi="Book Antiqua"/>
          <w:bCs/>
          <w:sz w:val="24"/>
          <w:szCs w:val="24"/>
          <w:lang w:val="en-US"/>
        </w:rPr>
        <w:t>suppressors of cytokine signaling (SOCS) and inducible nitric oxide synthase</w:t>
      </w:r>
      <w:proofErr w:type="gramEnd"/>
      <w:r w:rsidR="001F78C8" w:rsidRPr="00A828B6">
        <w:rPr>
          <w:rFonts w:ascii="Book Antiqua" w:hAnsi="Book Antiqua"/>
          <w:bCs/>
          <w:sz w:val="24"/>
          <w:szCs w:val="24"/>
          <w:lang w:val="en-US"/>
        </w:rPr>
        <w:t xml:space="preserve"> to contribute to</w:t>
      </w:r>
      <w:r w:rsidR="00C0522B" w:rsidRPr="00A828B6">
        <w:rPr>
          <w:rFonts w:ascii="Book Antiqua" w:hAnsi="Book Antiqua"/>
          <w:bCs/>
          <w:sz w:val="24"/>
          <w:szCs w:val="24"/>
          <w:lang w:val="en-US"/>
        </w:rPr>
        <w:t xml:space="preserve"> insulin resistance</w:t>
      </w:r>
      <w:r w:rsidR="001F78C8" w:rsidRPr="00A828B6">
        <w:rPr>
          <w:rFonts w:ascii="Book Antiqua" w:hAnsi="Book Antiqua"/>
          <w:bCs/>
          <w:sz w:val="24"/>
          <w:szCs w:val="24"/>
          <w:lang w:val="en-US"/>
        </w:rPr>
        <w:t>. Similarly, increased fat accumulation in liver alters its inflammatory milie</w:t>
      </w:r>
      <w:r w:rsidR="00960618" w:rsidRPr="00A828B6">
        <w:rPr>
          <w:rFonts w:ascii="Book Antiqua" w:hAnsi="Book Antiqua"/>
          <w:bCs/>
          <w:sz w:val="24"/>
          <w:szCs w:val="24"/>
          <w:lang w:val="en-US"/>
        </w:rPr>
        <w:t>u, t</w:t>
      </w:r>
      <w:r w:rsidR="001F78C8" w:rsidRPr="00A828B6">
        <w:rPr>
          <w:rFonts w:ascii="Book Antiqua" w:hAnsi="Book Antiqua"/>
          <w:bCs/>
          <w:sz w:val="24"/>
          <w:szCs w:val="24"/>
          <w:lang w:val="en-US"/>
        </w:rPr>
        <w:t xml:space="preserve">hus modifying </w:t>
      </w:r>
      <w:r w:rsidR="000E0FF5" w:rsidRPr="00A828B6">
        <w:rPr>
          <w:rFonts w:ascii="Book Antiqua" w:hAnsi="Book Antiqua"/>
          <w:bCs/>
          <w:sz w:val="24"/>
          <w:szCs w:val="24"/>
          <w:lang w:val="en-US"/>
        </w:rPr>
        <w:t xml:space="preserve">insulin </w:t>
      </w:r>
      <w:proofErr w:type="gramStart"/>
      <w:r w:rsidR="000E0FF5" w:rsidRPr="00A828B6">
        <w:rPr>
          <w:rFonts w:ascii="Book Antiqua" w:hAnsi="Book Antiqua"/>
          <w:bCs/>
          <w:sz w:val="24"/>
          <w:szCs w:val="24"/>
          <w:lang w:val="en-US"/>
        </w:rPr>
        <w:t>action</w:t>
      </w:r>
      <w:r w:rsidR="00C44C11" w:rsidRPr="00A828B6">
        <w:rPr>
          <w:rFonts w:ascii="Book Antiqua" w:hAnsi="Book Antiqua"/>
          <w:sz w:val="24"/>
          <w:szCs w:val="24"/>
          <w:vertAlign w:val="superscript"/>
          <w:lang w:val="en-US" w:eastAsia="zh-CN"/>
        </w:rPr>
        <w:t>[</w:t>
      </w:r>
      <w:proofErr w:type="gramEnd"/>
      <w:r w:rsidR="00C44C11" w:rsidRPr="00A828B6">
        <w:rPr>
          <w:rFonts w:ascii="Book Antiqua" w:hAnsi="Book Antiqua"/>
          <w:bCs/>
          <w:sz w:val="24"/>
          <w:szCs w:val="24"/>
          <w:vertAlign w:val="superscript"/>
          <w:lang w:val="en-US"/>
        </w:rPr>
        <w:t>40</w:t>
      </w:r>
      <w:r w:rsidR="00C44C11" w:rsidRPr="00A828B6">
        <w:rPr>
          <w:rFonts w:ascii="Book Antiqua" w:hAnsi="Book Antiqua"/>
          <w:bCs/>
          <w:sz w:val="24"/>
          <w:szCs w:val="24"/>
          <w:vertAlign w:val="superscript"/>
          <w:lang w:val="en-US" w:eastAsia="zh-CN"/>
        </w:rPr>
        <w:t>]</w:t>
      </w:r>
      <w:r w:rsidR="00C44C11" w:rsidRPr="00A828B6">
        <w:rPr>
          <w:rFonts w:ascii="Book Antiqua" w:hAnsi="Book Antiqua"/>
          <w:sz w:val="24"/>
          <w:szCs w:val="24"/>
          <w:lang w:val="en-US"/>
        </w:rPr>
        <w:t>.</w:t>
      </w:r>
      <w:r w:rsidR="00C44C11" w:rsidRPr="00A828B6">
        <w:rPr>
          <w:rFonts w:ascii="Book Antiqua" w:hAnsi="Book Antiqua"/>
          <w:bCs/>
          <w:sz w:val="24"/>
          <w:szCs w:val="24"/>
          <w:lang w:val="en-US"/>
        </w:rPr>
        <w:t xml:space="preserve"> </w:t>
      </w:r>
      <w:r w:rsidR="000D09A5" w:rsidRPr="00A828B6">
        <w:rPr>
          <w:rFonts w:ascii="Book Antiqua" w:hAnsi="Book Antiqua"/>
          <w:sz w:val="24"/>
          <w:szCs w:val="24"/>
          <w:lang w:val="en-US"/>
        </w:rPr>
        <w:t xml:space="preserve">The metabolic syndrome and NAFLD are also independently associated with both atherosclerosis and endothelial vascular dysfunction, which are related to a prothrombotic state. </w:t>
      </w:r>
      <w:r w:rsidR="001F78C8" w:rsidRPr="00A828B6">
        <w:rPr>
          <w:rFonts w:ascii="Book Antiqua" w:hAnsi="Book Antiqua"/>
          <w:sz w:val="24"/>
          <w:szCs w:val="24"/>
          <w:lang w:val="en-US"/>
        </w:rPr>
        <w:t xml:space="preserve">Thus, </w:t>
      </w:r>
      <w:r w:rsidR="001F78C8" w:rsidRPr="00A828B6">
        <w:rPr>
          <w:rFonts w:ascii="Book Antiqua" w:hAnsi="Book Antiqua"/>
          <w:bCs/>
          <w:sz w:val="24"/>
          <w:szCs w:val="24"/>
          <w:lang w:val="en-US"/>
        </w:rPr>
        <w:t>i</w:t>
      </w:r>
      <w:r w:rsidR="000D09A5" w:rsidRPr="00A828B6">
        <w:rPr>
          <w:rFonts w:ascii="Book Antiqua" w:hAnsi="Book Antiqua"/>
          <w:bCs/>
          <w:sz w:val="24"/>
          <w:szCs w:val="24"/>
          <w:lang w:val="en-US"/>
        </w:rPr>
        <w:t xml:space="preserve">ncreased systemic inflammation and increased procoagulant factor levels </w:t>
      </w:r>
      <w:r w:rsidR="00C95491" w:rsidRPr="00A828B6">
        <w:rPr>
          <w:rFonts w:ascii="Book Antiqua" w:hAnsi="Book Antiqua"/>
          <w:bCs/>
          <w:sz w:val="24"/>
          <w:szCs w:val="24"/>
          <w:lang w:val="en-US"/>
        </w:rPr>
        <w:t xml:space="preserve">associated with </w:t>
      </w:r>
      <w:r w:rsidR="000D09A5" w:rsidRPr="00A828B6">
        <w:rPr>
          <w:rFonts w:ascii="Book Antiqua" w:hAnsi="Book Antiqua"/>
          <w:bCs/>
          <w:sz w:val="24"/>
          <w:szCs w:val="24"/>
          <w:lang w:val="en-US"/>
        </w:rPr>
        <w:t xml:space="preserve">insulin resistance could explain </w:t>
      </w:r>
      <w:r w:rsidR="005B50CE" w:rsidRPr="00A828B6">
        <w:rPr>
          <w:rFonts w:ascii="Book Antiqua" w:hAnsi="Book Antiqua"/>
          <w:bCs/>
          <w:sz w:val="24"/>
          <w:szCs w:val="24"/>
          <w:lang w:val="en-US"/>
        </w:rPr>
        <w:t xml:space="preserve">the </w:t>
      </w:r>
      <w:r w:rsidR="000D09A5" w:rsidRPr="00A828B6">
        <w:rPr>
          <w:rFonts w:ascii="Book Antiqua" w:hAnsi="Book Antiqua"/>
          <w:bCs/>
          <w:sz w:val="24"/>
          <w:szCs w:val="24"/>
          <w:lang w:val="en-US"/>
        </w:rPr>
        <w:t xml:space="preserve">higher prevalence of portal vein thrombosis </w:t>
      </w:r>
      <w:r w:rsidR="000D09A5" w:rsidRPr="00A828B6">
        <w:rPr>
          <w:rFonts w:ascii="Book Antiqua" w:hAnsi="Book Antiqua"/>
          <w:sz w:val="24"/>
          <w:szCs w:val="24"/>
          <w:lang w:val="en-US"/>
        </w:rPr>
        <w:t>in</w:t>
      </w:r>
      <w:r w:rsidR="005B50CE" w:rsidRPr="00A828B6">
        <w:rPr>
          <w:rFonts w:ascii="Book Antiqua" w:hAnsi="Book Antiqua"/>
          <w:sz w:val="24"/>
          <w:szCs w:val="24"/>
          <w:lang w:val="en-US"/>
        </w:rPr>
        <w:t xml:space="preserve"> our </w:t>
      </w:r>
      <w:r w:rsidR="000D09A5" w:rsidRPr="00A828B6">
        <w:rPr>
          <w:rFonts w:ascii="Book Antiqua" w:hAnsi="Book Antiqua"/>
          <w:sz w:val="24"/>
          <w:szCs w:val="24"/>
          <w:lang w:val="en-US"/>
        </w:rPr>
        <w:t xml:space="preserve">cirrhotic patients with NAFLD. </w:t>
      </w:r>
    </w:p>
    <w:p w14:paraId="6DB056E0" w14:textId="10220D9D" w:rsidR="00FC5692" w:rsidRPr="00A828B6" w:rsidRDefault="007C6277" w:rsidP="001A5A01">
      <w:pPr>
        <w:spacing w:after="0" w:line="360" w:lineRule="auto"/>
        <w:ind w:firstLine="360"/>
        <w:jc w:val="both"/>
        <w:rPr>
          <w:rFonts w:ascii="Book Antiqua" w:hAnsi="Book Antiqua"/>
          <w:sz w:val="24"/>
          <w:szCs w:val="24"/>
          <w:lang w:val="en-US"/>
        </w:rPr>
      </w:pPr>
      <w:r w:rsidRPr="00A828B6">
        <w:rPr>
          <w:rFonts w:ascii="Book Antiqua" w:hAnsi="Book Antiqua"/>
          <w:sz w:val="24"/>
          <w:szCs w:val="24"/>
          <w:lang w:val="en-US"/>
        </w:rPr>
        <w:t>Englesbe</w:t>
      </w:r>
      <w:r w:rsidR="00A828B6" w:rsidRPr="00A828B6">
        <w:rPr>
          <w:rFonts w:ascii="Book Antiqua" w:hAnsi="Book Antiqua" w:hint="eastAsia"/>
          <w:i/>
          <w:sz w:val="24"/>
          <w:szCs w:val="24"/>
          <w:lang w:val="en-US" w:eastAsia="zh-CN"/>
        </w:rPr>
        <w:t xml:space="preserve"> </w:t>
      </w:r>
      <w:r w:rsidRPr="00A828B6">
        <w:rPr>
          <w:rFonts w:ascii="Book Antiqua" w:hAnsi="Book Antiqua"/>
          <w:bCs/>
          <w:i/>
          <w:sz w:val="24"/>
          <w:szCs w:val="24"/>
          <w:lang w:val="en-US"/>
        </w:rPr>
        <w:t xml:space="preserve">et </w:t>
      </w:r>
      <w:proofErr w:type="gramStart"/>
      <w:r w:rsidRPr="00A828B6">
        <w:rPr>
          <w:rFonts w:ascii="Book Antiqua" w:hAnsi="Book Antiqua"/>
          <w:bCs/>
          <w:i/>
          <w:sz w:val="24"/>
          <w:szCs w:val="24"/>
          <w:lang w:val="en-US"/>
        </w:rPr>
        <w:t>al</w:t>
      </w:r>
      <w:r w:rsidR="00612AE4" w:rsidRPr="00A828B6">
        <w:rPr>
          <w:rFonts w:ascii="Book Antiqua" w:hAnsi="Book Antiqua"/>
          <w:sz w:val="24"/>
          <w:szCs w:val="24"/>
          <w:vertAlign w:val="superscript"/>
          <w:lang w:val="en-US" w:eastAsia="zh-CN"/>
        </w:rPr>
        <w:t>[</w:t>
      </w:r>
      <w:proofErr w:type="gramEnd"/>
      <w:r w:rsidR="00612AE4" w:rsidRPr="00A828B6">
        <w:rPr>
          <w:rFonts w:ascii="Book Antiqua" w:hAnsi="Book Antiqua"/>
          <w:bCs/>
          <w:sz w:val="24"/>
          <w:szCs w:val="24"/>
          <w:vertAlign w:val="superscript"/>
          <w:lang w:val="en-US"/>
        </w:rPr>
        <w:t>41</w:t>
      </w:r>
      <w:r w:rsidR="00612AE4" w:rsidRPr="00A828B6">
        <w:rPr>
          <w:rFonts w:ascii="Book Antiqua" w:hAnsi="Book Antiqua"/>
          <w:bCs/>
          <w:sz w:val="24"/>
          <w:szCs w:val="24"/>
          <w:vertAlign w:val="superscript"/>
          <w:lang w:val="en-US" w:eastAsia="zh-CN"/>
        </w:rPr>
        <w:t>]</w:t>
      </w:r>
      <w:r w:rsidRPr="00A828B6">
        <w:rPr>
          <w:rFonts w:ascii="Book Antiqua" w:hAnsi="Book Antiqua"/>
          <w:bCs/>
          <w:sz w:val="24"/>
          <w:szCs w:val="24"/>
          <w:lang w:val="en-US"/>
        </w:rPr>
        <w:t xml:space="preserve"> carried out a </w:t>
      </w:r>
      <w:r w:rsidR="00DC6A9C" w:rsidRPr="00A828B6">
        <w:rPr>
          <w:rFonts w:ascii="Book Antiqua" w:hAnsi="Book Antiqua"/>
          <w:bCs/>
          <w:sz w:val="24"/>
          <w:szCs w:val="24"/>
          <w:lang w:val="en-US"/>
        </w:rPr>
        <w:t xml:space="preserve">retrospective study </w:t>
      </w:r>
      <w:r w:rsidRPr="00A828B6">
        <w:rPr>
          <w:rFonts w:ascii="Book Antiqua" w:hAnsi="Book Antiqua"/>
          <w:bCs/>
          <w:sz w:val="24"/>
          <w:szCs w:val="24"/>
          <w:lang w:val="en-US"/>
        </w:rPr>
        <w:t>evaluating</w:t>
      </w:r>
      <w:r w:rsidR="00DC6A9C" w:rsidRPr="00A828B6">
        <w:rPr>
          <w:rFonts w:ascii="Book Antiqua" w:hAnsi="Book Antiqua"/>
          <w:bCs/>
          <w:sz w:val="24"/>
          <w:szCs w:val="24"/>
          <w:lang w:val="en-US"/>
        </w:rPr>
        <w:t xml:space="preserve"> the survival of </w:t>
      </w:r>
      <w:r w:rsidR="003B2FE7" w:rsidRPr="00A828B6">
        <w:rPr>
          <w:rFonts w:ascii="Book Antiqua" w:hAnsi="Book Antiqua"/>
          <w:bCs/>
          <w:sz w:val="24"/>
          <w:szCs w:val="24"/>
          <w:lang w:val="en-US"/>
        </w:rPr>
        <w:t xml:space="preserve">148 </w:t>
      </w:r>
      <w:r w:rsidR="00DC6A9C" w:rsidRPr="00A828B6">
        <w:rPr>
          <w:rFonts w:ascii="Book Antiqua" w:hAnsi="Book Antiqua"/>
          <w:bCs/>
          <w:sz w:val="24"/>
          <w:szCs w:val="24"/>
          <w:lang w:val="en-US"/>
        </w:rPr>
        <w:t>cirrhotic patie</w:t>
      </w:r>
      <w:r w:rsidR="009F178B" w:rsidRPr="00A828B6">
        <w:rPr>
          <w:rFonts w:ascii="Book Antiqua" w:hAnsi="Book Antiqua"/>
          <w:bCs/>
          <w:sz w:val="24"/>
          <w:szCs w:val="24"/>
          <w:lang w:val="en-US"/>
        </w:rPr>
        <w:t>nts</w:t>
      </w:r>
      <w:r w:rsidRPr="00A828B6">
        <w:rPr>
          <w:rFonts w:ascii="Book Antiqua" w:hAnsi="Book Antiqua"/>
          <w:bCs/>
          <w:sz w:val="24"/>
          <w:szCs w:val="24"/>
          <w:lang w:val="en-US"/>
        </w:rPr>
        <w:t xml:space="preserve"> with </w:t>
      </w:r>
      <w:r w:rsidR="003B2FE7" w:rsidRPr="00A828B6">
        <w:rPr>
          <w:rFonts w:ascii="Book Antiqua" w:hAnsi="Book Antiqua"/>
          <w:bCs/>
          <w:sz w:val="24"/>
          <w:szCs w:val="24"/>
          <w:lang w:val="en-US"/>
        </w:rPr>
        <w:t xml:space="preserve">occlusive </w:t>
      </w:r>
      <w:r w:rsidRPr="00A828B6">
        <w:rPr>
          <w:rFonts w:ascii="Book Antiqua" w:hAnsi="Book Antiqua"/>
          <w:bCs/>
          <w:sz w:val="24"/>
          <w:szCs w:val="24"/>
          <w:lang w:val="en-US"/>
        </w:rPr>
        <w:t>portal vein thrombosis</w:t>
      </w:r>
      <w:r w:rsidR="003B2FE7" w:rsidRPr="00A828B6">
        <w:rPr>
          <w:rFonts w:ascii="Book Antiqua" w:hAnsi="Book Antiqua"/>
          <w:bCs/>
          <w:sz w:val="24"/>
          <w:szCs w:val="24"/>
          <w:lang w:val="en-US"/>
        </w:rPr>
        <w:t xml:space="preserve"> followed over a large period (1995-2007). </w:t>
      </w:r>
      <w:r w:rsidR="00745D00" w:rsidRPr="00A828B6">
        <w:rPr>
          <w:rFonts w:ascii="Book Antiqua" w:hAnsi="Book Antiqua"/>
          <w:bCs/>
          <w:sz w:val="24"/>
          <w:szCs w:val="24"/>
          <w:lang w:val="en-US"/>
        </w:rPr>
        <w:t>The reported rate of death was 54.7%</w:t>
      </w:r>
      <w:proofErr w:type="gramStart"/>
      <w:r w:rsidR="00F822CC" w:rsidRPr="00A828B6">
        <w:rPr>
          <w:rFonts w:ascii="Book Antiqua" w:hAnsi="Book Antiqua"/>
          <w:bCs/>
          <w:sz w:val="24"/>
          <w:szCs w:val="24"/>
          <w:lang w:val="en-US"/>
        </w:rPr>
        <w:t>;</w:t>
      </w:r>
      <w:proofErr w:type="gramEnd"/>
      <w:r w:rsidR="00745D00" w:rsidRPr="00A828B6">
        <w:rPr>
          <w:rFonts w:ascii="Book Antiqua" w:hAnsi="Book Antiqua"/>
          <w:bCs/>
          <w:sz w:val="24"/>
          <w:szCs w:val="24"/>
          <w:lang w:val="en-US"/>
        </w:rPr>
        <w:t xml:space="preserve"> significantly higher than the</w:t>
      </w:r>
      <w:r w:rsidR="00DC6A9C" w:rsidRPr="00A828B6">
        <w:rPr>
          <w:rFonts w:ascii="Book Antiqua" w:hAnsi="Book Antiqua"/>
          <w:bCs/>
          <w:sz w:val="24"/>
          <w:szCs w:val="24"/>
          <w:lang w:val="en-US"/>
        </w:rPr>
        <w:t xml:space="preserve"> 37.2% in patients without </w:t>
      </w:r>
      <w:r w:rsidR="00745D00" w:rsidRPr="00A828B6">
        <w:rPr>
          <w:rFonts w:ascii="Book Antiqua" w:hAnsi="Book Antiqua"/>
          <w:bCs/>
          <w:sz w:val="24"/>
          <w:szCs w:val="24"/>
          <w:lang w:val="en-US"/>
        </w:rPr>
        <w:t xml:space="preserve">portal vein thrombosis. </w:t>
      </w:r>
      <w:r w:rsidR="00E04944" w:rsidRPr="00A828B6">
        <w:rPr>
          <w:rFonts w:ascii="Book Antiqua" w:hAnsi="Book Antiqua"/>
          <w:bCs/>
          <w:sz w:val="24"/>
          <w:szCs w:val="24"/>
          <w:lang w:val="en-US"/>
        </w:rPr>
        <w:t>These result</w:t>
      </w:r>
      <w:r w:rsidR="004A2A1A" w:rsidRPr="00A828B6">
        <w:rPr>
          <w:rFonts w:ascii="Book Antiqua" w:hAnsi="Book Antiqua"/>
          <w:bCs/>
          <w:sz w:val="24"/>
          <w:szCs w:val="24"/>
          <w:lang w:val="en-US"/>
        </w:rPr>
        <w:t>s are similar to our mortality data</w:t>
      </w:r>
      <w:r w:rsidR="006B2285" w:rsidRPr="00A828B6">
        <w:rPr>
          <w:rFonts w:ascii="Book Antiqua" w:hAnsi="Book Antiqua"/>
          <w:bCs/>
          <w:sz w:val="24"/>
          <w:szCs w:val="24"/>
          <w:lang w:val="en-US"/>
        </w:rPr>
        <w:t xml:space="preserve"> that show </w:t>
      </w:r>
      <w:r w:rsidR="00E04944" w:rsidRPr="00A828B6">
        <w:rPr>
          <w:rFonts w:ascii="Book Antiqua" w:hAnsi="Book Antiqua"/>
          <w:bCs/>
          <w:sz w:val="24"/>
          <w:szCs w:val="24"/>
          <w:lang w:val="en-US"/>
        </w:rPr>
        <w:t xml:space="preserve">65% </w:t>
      </w:r>
      <w:r w:rsidR="00497A26" w:rsidRPr="00A828B6">
        <w:rPr>
          <w:rFonts w:ascii="Book Antiqua" w:hAnsi="Book Antiqua"/>
          <w:bCs/>
          <w:sz w:val="24"/>
          <w:szCs w:val="24"/>
          <w:lang w:val="en-US"/>
        </w:rPr>
        <w:t xml:space="preserve">incidence of </w:t>
      </w:r>
      <w:r w:rsidR="006B2285" w:rsidRPr="00A828B6">
        <w:rPr>
          <w:rFonts w:ascii="Book Antiqua" w:hAnsi="Book Antiqua"/>
          <w:bCs/>
          <w:sz w:val="24"/>
          <w:szCs w:val="24"/>
          <w:lang w:val="en-US"/>
        </w:rPr>
        <w:t xml:space="preserve">death </w:t>
      </w:r>
      <w:r w:rsidR="00E72065" w:rsidRPr="00A828B6">
        <w:rPr>
          <w:rFonts w:ascii="Book Antiqua" w:hAnsi="Book Antiqua"/>
          <w:bCs/>
          <w:sz w:val="24"/>
          <w:szCs w:val="24"/>
          <w:lang w:val="en-US"/>
        </w:rPr>
        <w:t xml:space="preserve">in </w:t>
      </w:r>
      <w:r w:rsidR="006B2285" w:rsidRPr="00A828B6">
        <w:rPr>
          <w:rFonts w:ascii="Book Antiqua" w:hAnsi="Book Antiqua"/>
          <w:bCs/>
          <w:sz w:val="24"/>
          <w:szCs w:val="24"/>
          <w:lang w:val="en-US"/>
        </w:rPr>
        <w:t xml:space="preserve">cirrhotic </w:t>
      </w:r>
      <w:r w:rsidR="00E72065" w:rsidRPr="00A828B6">
        <w:rPr>
          <w:rFonts w:ascii="Book Antiqua" w:hAnsi="Book Antiqua"/>
          <w:bCs/>
          <w:sz w:val="24"/>
          <w:szCs w:val="24"/>
          <w:lang w:val="en-US"/>
        </w:rPr>
        <w:t xml:space="preserve">patients with portal vein thrombosis </w:t>
      </w:r>
      <w:r w:rsidR="00A828B6" w:rsidRPr="00A828B6">
        <w:rPr>
          <w:rFonts w:ascii="Book Antiqua" w:hAnsi="Book Antiqua" w:hint="eastAsia"/>
          <w:bCs/>
          <w:i/>
          <w:sz w:val="24"/>
          <w:szCs w:val="24"/>
          <w:lang w:val="en-US" w:eastAsia="zh-CN"/>
        </w:rPr>
        <w:t>vs</w:t>
      </w:r>
      <w:r w:rsidR="006B2285" w:rsidRPr="00A828B6">
        <w:rPr>
          <w:rFonts w:ascii="Book Antiqua" w:hAnsi="Book Antiqua"/>
          <w:bCs/>
          <w:sz w:val="24"/>
          <w:szCs w:val="24"/>
          <w:lang w:val="en-US"/>
        </w:rPr>
        <w:t xml:space="preserve"> </w:t>
      </w:r>
      <w:r w:rsidR="00E04944" w:rsidRPr="00A828B6">
        <w:rPr>
          <w:rFonts w:ascii="Book Antiqua" w:hAnsi="Book Antiqua"/>
          <w:bCs/>
          <w:sz w:val="24"/>
          <w:szCs w:val="24"/>
          <w:lang w:val="en-US"/>
        </w:rPr>
        <w:t>35%</w:t>
      </w:r>
      <w:r w:rsidR="00E72065" w:rsidRPr="00A828B6">
        <w:rPr>
          <w:rFonts w:ascii="Book Antiqua" w:hAnsi="Book Antiqua"/>
          <w:bCs/>
          <w:sz w:val="24"/>
          <w:szCs w:val="24"/>
          <w:lang w:val="en-US"/>
        </w:rPr>
        <w:t xml:space="preserve"> in patients without portal vein thrombosis</w:t>
      </w:r>
      <w:r w:rsidR="00E04944" w:rsidRPr="00A828B6">
        <w:rPr>
          <w:rFonts w:ascii="Book Antiqua" w:hAnsi="Book Antiqua"/>
          <w:bCs/>
          <w:sz w:val="24"/>
          <w:szCs w:val="24"/>
          <w:lang w:val="en-US"/>
        </w:rPr>
        <w:t>.</w:t>
      </w:r>
      <w:r w:rsidR="00612AE4" w:rsidRPr="00A828B6">
        <w:rPr>
          <w:rFonts w:ascii="Book Antiqua" w:hAnsi="Book Antiqua"/>
          <w:bCs/>
          <w:sz w:val="24"/>
          <w:szCs w:val="24"/>
          <w:lang w:val="en-US"/>
        </w:rPr>
        <w:t xml:space="preserve"> </w:t>
      </w:r>
      <w:r w:rsidR="000B2127" w:rsidRPr="00A828B6">
        <w:rPr>
          <w:rFonts w:ascii="Book Antiqua" w:hAnsi="Book Antiqua"/>
          <w:sz w:val="24"/>
          <w:szCs w:val="24"/>
          <w:lang w:val="en-US"/>
        </w:rPr>
        <w:t xml:space="preserve">Additionally, </w:t>
      </w:r>
      <w:r w:rsidR="00E07EE3" w:rsidRPr="00A828B6">
        <w:rPr>
          <w:rFonts w:ascii="Book Antiqua" w:hAnsi="Book Antiqua"/>
          <w:sz w:val="24"/>
          <w:szCs w:val="24"/>
          <w:lang w:val="en-US"/>
        </w:rPr>
        <w:t xml:space="preserve">the </w:t>
      </w:r>
      <w:r w:rsidR="00F0517F" w:rsidRPr="00A828B6">
        <w:rPr>
          <w:rFonts w:ascii="Book Antiqua" w:hAnsi="Book Antiqua"/>
          <w:sz w:val="24"/>
          <w:szCs w:val="24"/>
          <w:lang w:val="en-US"/>
        </w:rPr>
        <w:t xml:space="preserve">incidence of gastric varices </w:t>
      </w:r>
      <w:r w:rsidR="00E07EE3" w:rsidRPr="00A828B6">
        <w:rPr>
          <w:rFonts w:ascii="Book Antiqua" w:hAnsi="Book Antiqua"/>
          <w:sz w:val="24"/>
          <w:szCs w:val="24"/>
          <w:lang w:val="en-US"/>
        </w:rPr>
        <w:t xml:space="preserve">was higher </w:t>
      </w:r>
      <w:r w:rsidR="00F0517F" w:rsidRPr="00A828B6">
        <w:rPr>
          <w:rFonts w:ascii="Book Antiqua" w:hAnsi="Book Antiqua"/>
          <w:sz w:val="24"/>
          <w:szCs w:val="24"/>
          <w:lang w:val="en-US"/>
        </w:rPr>
        <w:t>in NAFLD associated cirrhosis</w:t>
      </w:r>
      <w:r w:rsidR="000B2127" w:rsidRPr="00A828B6">
        <w:rPr>
          <w:rFonts w:ascii="Book Antiqua" w:hAnsi="Book Antiqua"/>
          <w:sz w:val="24"/>
          <w:szCs w:val="24"/>
          <w:lang w:val="en-US"/>
        </w:rPr>
        <w:t xml:space="preserve"> than other groups in our cohort</w:t>
      </w:r>
      <w:r w:rsidR="00F0517F" w:rsidRPr="00A828B6">
        <w:rPr>
          <w:rFonts w:ascii="Book Antiqua" w:hAnsi="Book Antiqua"/>
          <w:sz w:val="24"/>
          <w:szCs w:val="24"/>
          <w:lang w:val="en-US"/>
        </w:rPr>
        <w:t xml:space="preserve">. </w:t>
      </w:r>
    </w:p>
    <w:p w14:paraId="2101B26F" w14:textId="5E53CD3E" w:rsidR="00745D00" w:rsidRPr="00A828B6" w:rsidRDefault="00745D00" w:rsidP="001A5A01">
      <w:pPr>
        <w:spacing w:after="0" w:line="360" w:lineRule="auto"/>
        <w:ind w:firstLine="360"/>
        <w:jc w:val="both"/>
        <w:rPr>
          <w:rFonts w:ascii="Book Antiqua" w:hAnsi="Book Antiqua"/>
          <w:bCs/>
          <w:sz w:val="24"/>
          <w:szCs w:val="24"/>
          <w:lang w:val="en-US"/>
        </w:rPr>
      </w:pPr>
      <w:r w:rsidRPr="00A828B6">
        <w:rPr>
          <w:rFonts w:ascii="Book Antiqua" w:hAnsi="Book Antiqua"/>
          <w:bCs/>
          <w:sz w:val="24"/>
          <w:szCs w:val="24"/>
          <w:lang w:val="en-US"/>
        </w:rPr>
        <w:t xml:space="preserve">It has also been reported that the incidence of portal vein thrombosis rises to 10%-40% in cirrhotic patients upon developing </w:t>
      </w:r>
      <w:proofErr w:type="gramStart"/>
      <w:r w:rsidR="0092538E" w:rsidRPr="00A828B6">
        <w:rPr>
          <w:rFonts w:ascii="Book Antiqua" w:hAnsi="Book Antiqua"/>
          <w:bCs/>
          <w:sz w:val="24"/>
          <w:szCs w:val="24"/>
          <w:lang w:val="en-US"/>
        </w:rPr>
        <w:t>HCC</w:t>
      </w:r>
      <w:r w:rsidR="00D708A6" w:rsidRPr="00A828B6">
        <w:rPr>
          <w:rFonts w:ascii="Book Antiqua" w:hAnsi="Book Antiqua"/>
          <w:sz w:val="24"/>
          <w:szCs w:val="24"/>
          <w:vertAlign w:val="superscript"/>
          <w:lang w:val="en-US" w:eastAsia="zh-CN"/>
        </w:rPr>
        <w:t>[</w:t>
      </w:r>
      <w:proofErr w:type="gramEnd"/>
      <w:r w:rsidR="00D708A6" w:rsidRPr="00A828B6">
        <w:rPr>
          <w:rFonts w:ascii="Book Antiqua" w:hAnsi="Book Antiqua"/>
          <w:bCs/>
          <w:sz w:val="24"/>
          <w:szCs w:val="24"/>
          <w:vertAlign w:val="superscript"/>
          <w:lang w:val="en-US"/>
        </w:rPr>
        <w:t>42</w:t>
      </w:r>
      <w:r w:rsidR="00D708A6" w:rsidRPr="00A828B6">
        <w:rPr>
          <w:rFonts w:ascii="Book Antiqua" w:hAnsi="Book Antiqua"/>
          <w:bCs/>
          <w:sz w:val="24"/>
          <w:szCs w:val="24"/>
          <w:vertAlign w:val="superscript"/>
          <w:lang w:val="en-US" w:eastAsia="zh-CN"/>
        </w:rPr>
        <w:t>]</w:t>
      </w:r>
      <w:r w:rsidR="00D708A6" w:rsidRPr="00A828B6">
        <w:rPr>
          <w:rFonts w:ascii="Book Antiqua" w:hAnsi="Book Antiqua"/>
          <w:sz w:val="24"/>
          <w:szCs w:val="24"/>
          <w:lang w:val="en-US"/>
        </w:rPr>
        <w:t>.</w:t>
      </w:r>
      <w:r w:rsidRPr="00A828B6">
        <w:rPr>
          <w:rFonts w:ascii="Book Antiqua" w:hAnsi="Book Antiqua"/>
          <w:bCs/>
          <w:sz w:val="24"/>
          <w:szCs w:val="24"/>
          <w:lang w:val="en-US"/>
        </w:rPr>
        <w:t xml:space="preserve"> Consistently, our study showed an elevated incidence of portal vein thrombosis in cirrhotic patients with hepatitis C or B</w:t>
      </w:r>
      <w:r w:rsidR="0092538E" w:rsidRPr="00A828B6">
        <w:rPr>
          <w:rFonts w:ascii="Book Antiqua" w:hAnsi="Book Antiqua"/>
          <w:bCs/>
          <w:sz w:val="24"/>
          <w:szCs w:val="24"/>
          <w:lang w:val="en-US"/>
        </w:rPr>
        <w:t xml:space="preserve"> after they</w:t>
      </w:r>
      <w:r w:rsidR="006A503E" w:rsidRPr="00A828B6">
        <w:rPr>
          <w:rFonts w:ascii="Book Antiqua" w:hAnsi="Book Antiqua"/>
          <w:bCs/>
          <w:sz w:val="24"/>
          <w:szCs w:val="24"/>
          <w:lang w:val="en-US"/>
        </w:rPr>
        <w:t xml:space="preserve"> </w:t>
      </w:r>
      <w:r w:rsidRPr="00A828B6">
        <w:rPr>
          <w:rFonts w:ascii="Book Antiqua" w:hAnsi="Book Antiqua"/>
          <w:bCs/>
          <w:sz w:val="24"/>
          <w:szCs w:val="24"/>
          <w:lang w:val="en-US"/>
        </w:rPr>
        <w:t xml:space="preserve">developed HCC.  </w:t>
      </w:r>
      <w:r w:rsidR="0092538E" w:rsidRPr="00A828B6">
        <w:rPr>
          <w:rFonts w:ascii="Book Antiqua" w:hAnsi="Book Antiqua"/>
          <w:bCs/>
          <w:sz w:val="24"/>
          <w:szCs w:val="24"/>
          <w:lang w:val="en-US"/>
        </w:rPr>
        <w:t>In contrast</w:t>
      </w:r>
      <w:r w:rsidRPr="00A828B6">
        <w:rPr>
          <w:rFonts w:ascii="Book Antiqua" w:hAnsi="Book Antiqua"/>
          <w:bCs/>
          <w:sz w:val="24"/>
          <w:szCs w:val="24"/>
          <w:lang w:val="en-US"/>
        </w:rPr>
        <w:t xml:space="preserve">, HCC failed to alter the incidence of portal vein thrombosis in our cirrhotic patients with NAFLD. </w:t>
      </w:r>
    </w:p>
    <w:p w14:paraId="4B7DEC8D" w14:textId="255BF937" w:rsidR="00F312B0" w:rsidRPr="00A828B6" w:rsidRDefault="00674D0A" w:rsidP="001A5A01">
      <w:pPr>
        <w:spacing w:after="0" w:line="360" w:lineRule="auto"/>
        <w:ind w:firstLine="360"/>
        <w:jc w:val="both"/>
        <w:rPr>
          <w:rFonts w:ascii="Book Antiqua" w:hAnsi="Book Antiqua"/>
          <w:b/>
          <w:sz w:val="24"/>
          <w:szCs w:val="24"/>
        </w:rPr>
      </w:pPr>
      <w:r w:rsidRPr="00A828B6">
        <w:rPr>
          <w:rFonts w:ascii="Book Antiqua" w:hAnsi="Book Antiqua"/>
          <w:sz w:val="24"/>
          <w:szCs w:val="24"/>
          <w:lang w:val="en-US"/>
        </w:rPr>
        <w:t xml:space="preserve">Our studies suggest that increase in </w:t>
      </w:r>
      <w:r w:rsidR="00FE0BCB" w:rsidRPr="00A828B6">
        <w:rPr>
          <w:rFonts w:ascii="Book Antiqua" w:hAnsi="Book Antiqua"/>
          <w:sz w:val="24"/>
          <w:szCs w:val="24"/>
          <w:lang w:val="en-US"/>
        </w:rPr>
        <w:t xml:space="preserve">NASH-associated cirrhosis </w:t>
      </w:r>
      <w:r w:rsidRPr="00A828B6">
        <w:rPr>
          <w:rFonts w:ascii="Book Antiqua" w:hAnsi="Book Antiqua"/>
          <w:sz w:val="24"/>
          <w:szCs w:val="24"/>
          <w:lang w:val="en-US"/>
        </w:rPr>
        <w:t>would be</w:t>
      </w:r>
      <w:r w:rsidR="00FE0BCB" w:rsidRPr="00A828B6">
        <w:rPr>
          <w:rFonts w:ascii="Book Antiqua" w:hAnsi="Book Antiqua"/>
          <w:sz w:val="24"/>
          <w:szCs w:val="24"/>
          <w:lang w:val="en-US"/>
        </w:rPr>
        <w:t xml:space="preserve"> an indication for orthotopic liver transplantation in Turkey. </w:t>
      </w:r>
      <w:r w:rsidRPr="00A828B6">
        <w:rPr>
          <w:rFonts w:ascii="Book Antiqua" w:hAnsi="Book Antiqua"/>
          <w:sz w:val="24"/>
          <w:szCs w:val="24"/>
          <w:lang w:val="en-US"/>
        </w:rPr>
        <w:t>I</w:t>
      </w:r>
      <w:r w:rsidR="0050235E" w:rsidRPr="00A828B6">
        <w:rPr>
          <w:rFonts w:ascii="Book Antiqua" w:hAnsi="Book Antiqua"/>
          <w:sz w:val="24"/>
          <w:szCs w:val="24"/>
          <w:lang w:val="en-US"/>
        </w:rPr>
        <w:t>ncreased frequency of NASH</w:t>
      </w:r>
      <w:r w:rsidRPr="00A828B6">
        <w:rPr>
          <w:rFonts w:ascii="Book Antiqua" w:hAnsi="Book Antiqua"/>
          <w:sz w:val="24"/>
          <w:szCs w:val="24"/>
          <w:lang w:val="en-US"/>
        </w:rPr>
        <w:t>-</w:t>
      </w:r>
      <w:r w:rsidR="0050235E" w:rsidRPr="00A828B6">
        <w:rPr>
          <w:rFonts w:ascii="Book Antiqua" w:hAnsi="Book Antiqua"/>
          <w:sz w:val="24"/>
          <w:szCs w:val="24"/>
          <w:lang w:val="en-US"/>
        </w:rPr>
        <w:t xml:space="preserve">associated cirrhosis with portal vein thrombosis in clinical practice </w:t>
      </w:r>
      <w:r w:rsidRPr="00A828B6">
        <w:rPr>
          <w:rFonts w:ascii="Book Antiqua" w:hAnsi="Book Antiqua"/>
          <w:sz w:val="24"/>
          <w:szCs w:val="24"/>
          <w:lang w:val="en-US"/>
        </w:rPr>
        <w:t xml:space="preserve">has been </w:t>
      </w:r>
      <w:r w:rsidR="0050235E" w:rsidRPr="00A828B6">
        <w:rPr>
          <w:rFonts w:ascii="Book Antiqua" w:hAnsi="Book Antiqua"/>
          <w:sz w:val="24"/>
          <w:szCs w:val="24"/>
          <w:lang w:val="en-US"/>
        </w:rPr>
        <w:t xml:space="preserve">a </w:t>
      </w:r>
      <w:r w:rsidRPr="00A828B6">
        <w:rPr>
          <w:rFonts w:ascii="Book Antiqua" w:hAnsi="Book Antiqua"/>
          <w:sz w:val="24"/>
          <w:szCs w:val="24"/>
          <w:lang w:val="en-US"/>
        </w:rPr>
        <w:t xml:space="preserve">subject </w:t>
      </w:r>
      <w:r w:rsidR="0050235E" w:rsidRPr="00A828B6">
        <w:rPr>
          <w:rFonts w:ascii="Book Antiqua" w:hAnsi="Book Antiqua"/>
          <w:sz w:val="24"/>
          <w:szCs w:val="24"/>
          <w:lang w:val="en-US"/>
        </w:rPr>
        <w:t xml:space="preserve">of debate </w:t>
      </w:r>
      <w:r w:rsidRPr="00A828B6">
        <w:rPr>
          <w:rFonts w:ascii="Book Antiqua" w:hAnsi="Book Antiqua"/>
          <w:sz w:val="24"/>
          <w:szCs w:val="24"/>
          <w:lang w:val="en-US"/>
        </w:rPr>
        <w:t xml:space="preserve">among </w:t>
      </w:r>
      <w:r w:rsidR="0050235E" w:rsidRPr="00A828B6">
        <w:rPr>
          <w:rFonts w:ascii="Book Antiqua" w:hAnsi="Book Antiqua"/>
          <w:sz w:val="24"/>
          <w:szCs w:val="24"/>
          <w:lang w:val="en-US"/>
        </w:rPr>
        <w:t xml:space="preserve">transplant surgeons. </w:t>
      </w:r>
      <w:r w:rsidRPr="00A828B6">
        <w:rPr>
          <w:rFonts w:ascii="Book Antiqua" w:hAnsi="Book Antiqua"/>
          <w:sz w:val="24"/>
          <w:szCs w:val="24"/>
          <w:lang w:val="en-US"/>
        </w:rPr>
        <w:t xml:space="preserve">Whereas the high incidence of </w:t>
      </w:r>
      <w:r w:rsidR="00346BF9" w:rsidRPr="00A828B6">
        <w:rPr>
          <w:rFonts w:ascii="Book Antiqua" w:hAnsi="Book Antiqua"/>
          <w:sz w:val="24"/>
          <w:szCs w:val="24"/>
          <w:lang w:val="en-US"/>
        </w:rPr>
        <w:t>PVT</w:t>
      </w:r>
      <w:r w:rsidR="0050235E" w:rsidRPr="00A828B6">
        <w:rPr>
          <w:rFonts w:ascii="Book Antiqua" w:hAnsi="Book Antiqua"/>
          <w:sz w:val="24"/>
          <w:szCs w:val="24"/>
          <w:lang w:val="en-US"/>
        </w:rPr>
        <w:t xml:space="preserve"> </w:t>
      </w:r>
      <w:r w:rsidRPr="00A828B6">
        <w:rPr>
          <w:rFonts w:ascii="Book Antiqua" w:hAnsi="Book Antiqua"/>
          <w:sz w:val="24"/>
          <w:szCs w:val="24"/>
          <w:lang w:val="en-US"/>
        </w:rPr>
        <w:t>(</w:t>
      </w:r>
      <w:r w:rsidR="0050235E" w:rsidRPr="00A828B6">
        <w:rPr>
          <w:rFonts w:ascii="Book Antiqua" w:hAnsi="Book Antiqua"/>
          <w:sz w:val="24"/>
          <w:szCs w:val="24"/>
          <w:lang w:val="en-US"/>
        </w:rPr>
        <w:t xml:space="preserve">up </w:t>
      </w:r>
      <w:r w:rsidR="0050235E" w:rsidRPr="00A828B6">
        <w:rPr>
          <w:rFonts w:ascii="Book Antiqua" w:hAnsi="Book Antiqua"/>
          <w:sz w:val="24"/>
          <w:szCs w:val="24"/>
          <w:lang w:val="en-US"/>
        </w:rPr>
        <w:lastRenderedPageBreak/>
        <w:t>to 26%</w:t>
      </w:r>
      <w:r w:rsidRPr="00A828B6">
        <w:rPr>
          <w:rFonts w:ascii="Book Antiqua" w:hAnsi="Book Antiqua"/>
          <w:sz w:val="24"/>
          <w:szCs w:val="24"/>
          <w:lang w:val="en-US"/>
        </w:rPr>
        <w:t>)</w:t>
      </w:r>
      <w:r w:rsidR="0050235E" w:rsidRPr="00A828B6">
        <w:rPr>
          <w:rFonts w:ascii="Book Antiqua" w:hAnsi="Book Antiqua"/>
          <w:sz w:val="24"/>
          <w:szCs w:val="24"/>
          <w:lang w:val="en-US"/>
        </w:rPr>
        <w:t xml:space="preserve"> </w:t>
      </w:r>
      <w:r w:rsidRPr="00A828B6">
        <w:rPr>
          <w:rFonts w:ascii="Book Antiqua" w:hAnsi="Book Antiqua"/>
          <w:sz w:val="24"/>
          <w:szCs w:val="24"/>
          <w:lang w:val="en-US"/>
        </w:rPr>
        <w:t xml:space="preserve">in </w:t>
      </w:r>
      <w:r w:rsidR="0050235E" w:rsidRPr="00A828B6">
        <w:rPr>
          <w:rFonts w:ascii="Book Antiqua" w:hAnsi="Book Antiqua"/>
          <w:sz w:val="24"/>
          <w:szCs w:val="24"/>
          <w:lang w:val="en-US"/>
        </w:rPr>
        <w:t xml:space="preserve">patients awaiting liver transplantation </w:t>
      </w:r>
      <w:r w:rsidRPr="00A828B6">
        <w:rPr>
          <w:rFonts w:ascii="Book Antiqua" w:hAnsi="Book Antiqua"/>
          <w:sz w:val="24"/>
          <w:szCs w:val="24"/>
          <w:lang w:val="en-US"/>
        </w:rPr>
        <w:t xml:space="preserve">constitutes </w:t>
      </w:r>
      <w:r w:rsidR="0050235E" w:rsidRPr="00A828B6">
        <w:rPr>
          <w:rFonts w:ascii="Book Antiqua" w:hAnsi="Book Antiqua"/>
          <w:sz w:val="24"/>
          <w:szCs w:val="24"/>
          <w:lang w:val="en-US"/>
        </w:rPr>
        <w:t>a risk factor for early post-</w:t>
      </w:r>
      <w:r w:rsidRPr="00A828B6">
        <w:rPr>
          <w:rFonts w:ascii="Book Antiqua" w:hAnsi="Book Antiqua"/>
          <w:sz w:val="24"/>
          <w:szCs w:val="24"/>
          <w:lang w:val="en-US"/>
        </w:rPr>
        <w:t xml:space="preserve">liver </w:t>
      </w:r>
      <w:r w:rsidR="0050235E" w:rsidRPr="00A828B6">
        <w:rPr>
          <w:rFonts w:ascii="Book Antiqua" w:hAnsi="Book Antiqua"/>
          <w:sz w:val="24"/>
          <w:szCs w:val="24"/>
          <w:lang w:val="en-US"/>
        </w:rPr>
        <w:t xml:space="preserve">transplantation </w:t>
      </w:r>
      <w:proofErr w:type="gramStart"/>
      <w:r w:rsidR="0050235E" w:rsidRPr="00A828B6">
        <w:rPr>
          <w:rFonts w:ascii="Book Antiqua" w:hAnsi="Book Antiqua"/>
          <w:sz w:val="24"/>
          <w:szCs w:val="24"/>
          <w:lang w:val="en-US"/>
        </w:rPr>
        <w:t>mortality</w:t>
      </w:r>
      <w:r w:rsidR="0050235E" w:rsidRPr="00A828B6">
        <w:rPr>
          <w:rFonts w:ascii="Book Antiqua" w:hAnsi="Book Antiqua"/>
          <w:sz w:val="24"/>
          <w:szCs w:val="24"/>
          <w:vertAlign w:val="superscript"/>
          <w:lang w:val="en-US" w:eastAsia="zh-CN"/>
        </w:rPr>
        <w:t>[</w:t>
      </w:r>
      <w:proofErr w:type="gramEnd"/>
      <w:r w:rsidR="0050235E" w:rsidRPr="00A828B6">
        <w:rPr>
          <w:rFonts w:ascii="Book Antiqua" w:hAnsi="Book Antiqua"/>
          <w:bCs/>
          <w:sz w:val="24"/>
          <w:szCs w:val="24"/>
          <w:vertAlign w:val="superscript"/>
          <w:lang w:val="en-US"/>
        </w:rPr>
        <w:t>43</w:t>
      </w:r>
      <w:r w:rsidR="00A828B6" w:rsidRPr="00A828B6">
        <w:rPr>
          <w:rFonts w:ascii="Book Antiqua" w:hAnsi="Book Antiqua"/>
          <w:bCs/>
          <w:sz w:val="24"/>
          <w:szCs w:val="24"/>
          <w:vertAlign w:val="superscript"/>
          <w:lang w:val="en-US"/>
        </w:rPr>
        <w:t>,</w:t>
      </w:r>
      <w:r w:rsidR="00A541C3" w:rsidRPr="00A828B6">
        <w:rPr>
          <w:rFonts w:ascii="Book Antiqua" w:hAnsi="Book Antiqua"/>
          <w:bCs/>
          <w:sz w:val="24"/>
          <w:szCs w:val="24"/>
          <w:vertAlign w:val="superscript"/>
          <w:lang w:val="en-US" w:eastAsia="zh-CN"/>
        </w:rPr>
        <w:t>44</w:t>
      </w:r>
      <w:r w:rsidR="0050235E" w:rsidRPr="00A828B6">
        <w:rPr>
          <w:rFonts w:ascii="Book Antiqua" w:hAnsi="Book Antiqua"/>
          <w:bCs/>
          <w:sz w:val="24"/>
          <w:szCs w:val="24"/>
          <w:vertAlign w:val="superscript"/>
          <w:lang w:val="en-US" w:eastAsia="zh-CN"/>
        </w:rPr>
        <w:t>]</w:t>
      </w:r>
      <w:r w:rsidRPr="00A828B6">
        <w:rPr>
          <w:rFonts w:ascii="Book Antiqua" w:hAnsi="Book Antiqua"/>
          <w:sz w:val="24"/>
          <w:szCs w:val="24"/>
          <w:lang w:val="en-US"/>
        </w:rPr>
        <w:t xml:space="preserve">, </w:t>
      </w:r>
      <w:r w:rsidR="00346BF9" w:rsidRPr="00A828B6">
        <w:rPr>
          <w:rFonts w:ascii="Book Antiqua" w:hAnsi="Book Antiqua"/>
          <w:sz w:val="24"/>
          <w:szCs w:val="24"/>
          <w:lang w:val="en-US"/>
        </w:rPr>
        <w:t xml:space="preserve">PVT </w:t>
      </w:r>
      <w:r w:rsidRPr="00A828B6">
        <w:rPr>
          <w:rFonts w:ascii="Book Antiqua" w:hAnsi="Book Antiqua"/>
          <w:sz w:val="24"/>
          <w:szCs w:val="24"/>
          <w:lang w:val="en-US"/>
        </w:rPr>
        <w:t xml:space="preserve">is no longer considered </w:t>
      </w:r>
      <w:r w:rsidR="006D528A" w:rsidRPr="00A828B6">
        <w:rPr>
          <w:rFonts w:ascii="Book Antiqua" w:hAnsi="Book Antiqua"/>
          <w:sz w:val="24"/>
          <w:szCs w:val="24"/>
          <w:lang w:val="en-US"/>
        </w:rPr>
        <w:t>as</w:t>
      </w:r>
      <w:r w:rsidRPr="00A828B6">
        <w:rPr>
          <w:rFonts w:ascii="Book Antiqua" w:hAnsi="Book Antiqua"/>
          <w:sz w:val="24"/>
          <w:szCs w:val="24"/>
          <w:lang w:val="en-US"/>
        </w:rPr>
        <w:t xml:space="preserve"> an absolute contraindication for transplantation. </w:t>
      </w:r>
      <w:r w:rsidR="007A62D5" w:rsidRPr="00A828B6">
        <w:rPr>
          <w:rFonts w:ascii="Book Antiqua" w:hAnsi="Book Antiqua"/>
          <w:sz w:val="24"/>
          <w:szCs w:val="24"/>
          <w:lang w:val="en-US"/>
        </w:rPr>
        <w:t>Unfortunately, we could not</w:t>
      </w:r>
      <w:r w:rsidR="0050235E" w:rsidRPr="00A828B6">
        <w:rPr>
          <w:rFonts w:ascii="Book Antiqua" w:hAnsi="Book Antiqua"/>
          <w:sz w:val="24"/>
          <w:szCs w:val="24"/>
          <w:lang w:val="en-US"/>
        </w:rPr>
        <w:t xml:space="preserve"> reach the records of patients </w:t>
      </w:r>
      <w:r w:rsidR="007A62D5" w:rsidRPr="00A828B6">
        <w:rPr>
          <w:rFonts w:ascii="Book Antiqua" w:hAnsi="Book Antiqua"/>
          <w:sz w:val="24"/>
          <w:szCs w:val="24"/>
          <w:lang w:val="en-US"/>
        </w:rPr>
        <w:t xml:space="preserve">receiving transplant surgery </w:t>
      </w:r>
      <w:r w:rsidR="009E6709" w:rsidRPr="00A828B6">
        <w:rPr>
          <w:rFonts w:ascii="Book Antiqua" w:hAnsi="Book Antiqua"/>
          <w:sz w:val="24"/>
          <w:szCs w:val="24"/>
          <w:lang w:val="en-US"/>
        </w:rPr>
        <w:t>in our studies</w:t>
      </w:r>
      <w:r w:rsidR="00794BE0" w:rsidRPr="00A828B6">
        <w:rPr>
          <w:rFonts w:ascii="Book Antiqua" w:hAnsi="Book Antiqua"/>
          <w:sz w:val="24"/>
          <w:szCs w:val="24"/>
          <w:lang w:val="en-US"/>
        </w:rPr>
        <w:t xml:space="preserve"> to be able to assess </w:t>
      </w:r>
      <w:r w:rsidR="00E36763" w:rsidRPr="00A828B6">
        <w:rPr>
          <w:rFonts w:ascii="Book Antiqua" w:hAnsi="Book Antiqua"/>
          <w:sz w:val="24"/>
          <w:szCs w:val="24"/>
          <w:lang w:val="en-US"/>
        </w:rPr>
        <w:t xml:space="preserve">more concretely the </w:t>
      </w:r>
      <w:r w:rsidR="00794BE0" w:rsidRPr="00A828B6">
        <w:rPr>
          <w:rFonts w:ascii="Book Antiqua" w:hAnsi="Book Antiqua"/>
          <w:sz w:val="24"/>
          <w:szCs w:val="24"/>
          <w:lang w:val="en-US"/>
        </w:rPr>
        <w:t xml:space="preserve">transplantation outcomes in </w:t>
      </w:r>
      <w:r w:rsidR="00E36763" w:rsidRPr="00A828B6">
        <w:rPr>
          <w:rFonts w:ascii="Book Antiqua" w:hAnsi="Book Antiqua"/>
          <w:sz w:val="24"/>
          <w:szCs w:val="24"/>
          <w:lang w:val="en-US"/>
        </w:rPr>
        <w:t xml:space="preserve">our Turkish </w:t>
      </w:r>
      <w:r w:rsidR="00794BE0" w:rsidRPr="00A828B6">
        <w:rPr>
          <w:rFonts w:ascii="Book Antiqua" w:hAnsi="Book Antiqua"/>
          <w:sz w:val="24"/>
          <w:szCs w:val="24"/>
          <w:lang w:val="en-US"/>
        </w:rPr>
        <w:t>patients</w:t>
      </w:r>
      <w:r w:rsidR="00E36763" w:rsidRPr="00A828B6">
        <w:rPr>
          <w:rFonts w:ascii="Book Antiqua" w:hAnsi="Book Antiqua"/>
          <w:sz w:val="24"/>
          <w:szCs w:val="24"/>
          <w:lang w:val="en-US"/>
        </w:rPr>
        <w:t xml:space="preserve"> with NASH-associated cirrhosis and portal vein thrombosis</w:t>
      </w:r>
      <w:r w:rsidR="0050235E" w:rsidRPr="00A828B6">
        <w:rPr>
          <w:rFonts w:ascii="Book Antiqua" w:hAnsi="Book Antiqua"/>
          <w:sz w:val="24"/>
          <w:szCs w:val="24"/>
          <w:lang w:val="en-US"/>
        </w:rPr>
        <w:t xml:space="preserve">. </w:t>
      </w:r>
      <w:r w:rsidR="007211DB" w:rsidRPr="00A828B6">
        <w:rPr>
          <w:rFonts w:ascii="Book Antiqua" w:hAnsi="Book Antiqua"/>
          <w:sz w:val="24"/>
          <w:szCs w:val="24"/>
          <w:lang w:val="en-US"/>
        </w:rPr>
        <w:t xml:space="preserve">However, </w:t>
      </w:r>
      <w:r w:rsidR="00FE0BCB" w:rsidRPr="00A828B6">
        <w:rPr>
          <w:rFonts w:ascii="Book Antiqua" w:hAnsi="Book Antiqua"/>
          <w:sz w:val="24"/>
          <w:szCs w:val="24"/>
          <w:lang w:val="en-US"/>
        </w:rPr>
        <w:t xml:space="preserve">Quilllin </w:t>
      </w:r>
      <w:r w:rsidR="009E6709" w:rsidRPr="00A828B6">
        <w:rPr>
          <w:rFonts w:ascii="Book Antiqua" w:hAnsi="Book Antiqua"/>
          <w:sz w:val="24"/>
          <w:szCs w:val="24"/>
          <w:lang w:val="en-US"/>
        </w:rPr>
        <w:t xml:space="preserve">and </w:t>
      </w:r>
      <w:proofErr w:type="gramStart"/>
      <w:r w:rsidR="009E6709" w:rsidRPr="00A828B6">
        <w:rPr>
          <w:rFonts w:ascii="Book Antiqua" w:hAnsi="Book Antiqua"/>
          <w:sz w:val="24"/>
          <w:szCs w:val="24"/>
          <w:lang w:val="en-US"/>
        </w:rPr>
        <w:t>colleagues</w:t>
      </w:r>
      <w:r w:rsidR="007211DB" w:rsidRPr="00A828B6">
        <w:rPr>
          <w:rFonts w:ascii="Book Antiqua" w:hAnsi="Book Antiqua"/>
          <w:sz w:val="24"/>
          <w:szCs w:val="24"/>
          <w:vertAlign w:val="superscript"/>
          <w:lang w:val="en-US" w:eastAsia="zh-CN"/>
        </w:rPr>
        <w:t>[</w:t>
      </w:r>
      <w:proofErr w:type="gramEnd"/>
      <w:r w:rsidR="007211DB" w:rsidRPr="00A828B6">
        <w:rPr>
          <w:rFonts w:ascii="Book Antiqua" w:hAnsi="Book Antiqua"/>
          <w:bCs/>
          <w:sz w:val="24"/>
          <w:szCs w:val="24"/>
          <w:vertAlign w:val="superscript"/>
          <w:lang w:val="en-US"/>
        </w:rPr>
        <w:t>16</w:t>
      </w:r>
      <w:r w:rsidR="007211DB" w:rsidRPr="00A828B6">
        <w:rPr>
          <w:rFonts w:ascii="Book Antiqua" w:hAnsi="Book Antiqua"/>
          <w:bCs/>
          <w:sz w:val="24"/>
          <w:szCs w:val="24"/>
          <w:vertAlign w:val="superscript"/>
          <w:lang w:val="en-US" w:eastAsia="zh-CN"/>
        </w:rPr>
        <w:t>]</w:t>
      </w:r>
      <w:r w:rsidR="007211DB" w:rsidRPr="00A828B6">
        <w:rPr>
          <w:rFonts w:ascii="Book Antiqua" w:hAnsi="Book Antiqua"/>
          <w:bCs/>
          <w:sz w:val="24"/>
          <w:szCs w:val="24"/>
          <w:lang w:val="en-US"/>
        </w:rPr>
        <w:t xml:space="preserve"> have</w:t>
      </w:r>
      <w:r w:rsidR="00FE0BCB" w:rsidRPr="00A828B6">
        <w:rPr>
          <w:rFonts w:ascii="Book Antiqua" w:hAnsi="Book Antiqua"/>
          <w:sz w:val="24"/>
          <w:szCs w:val="24"/>
          <w:lang w:val="en-US"/>
        </w:rPr>
        <w:t xml:space="preserve"> recently </w:t>
      </w:r>
      <w:r w:rsidR="00E36763" w:rsidRPr="00A828B6">
        <w:rPr>
          <w:rFonts w:ascii="Book Antiqua" w:hAnsi="Book Antiqua"/>
          <w:sz w:val="24"/>
          <w:szCs w:val="24"/>
          <w:lang w:val="en-US"/>
        </w:rPr>
        <w:t xml:space="preserve">observed a strong indication for </w:t>
      </w:r>
      <w:r w:rsidR="00FE0BCB" w:rsidRPr="00A828B6">
        <w:rPr>
          <w:rFonts w:ascii="Book Antiqua" w:hAnsi="Book Antiqua"/>
          <w:sz w:val="24"/>
          <w:szCs w:val="24"/>
          <w:lang w:val="en-US"/>
        </w:rPr>
        <w:t xml:space="preserve">NASH </w:t>
      </w:r>
      <w:r w:rsidR="00E36763" w:rsidRPr="00A828B6">
        <w:rPr>
          <w:rFonts w:ascii="Book Antiqua" w:hAnsi="Book Antiqua"/>
          <w:sz w:val="24"/>
          <w:szCs w:val="24"/>
          <w:lang w:val="en-US"/>
        </w:rPr>
        <w:t>in</w:t>
      </w:r>
      <w:r w:rsidR="00FE0BCB" w:rsidRPr="00A828B6">
        <w:rPr>
          <w:rFonts w:ascii="Book Antiqua" w:hAnsi="Book Antiqua"/>
          <w:sz w:val="24"/>
          <w:szCs w:val="24"/>
          <w:lang w:val="en-US"/>
        </w:rPr>
        <w:t xml:space="preserve"> orthotopic liver transplantation </w:t>
      </w:r>
      <w:r w:rsidR="007211DB" w:rsidRPr="00A828B6">
        <w:rPr>
          <w:rFonts w:ascii="Book Antiqua" w:hAnsi="Book Antiqua"/>
          <w:sz w:val="24"/>
          <w:szCs w:val="24"/>
          <w:lang w:val="en-US"/>
        </w:rPr>
        <w:t xml:space="preserve">in </w:t>
      </w:r>
      <w:r w:rsidR="00FE0BCB" w:rsidRPr="00A828B6">
        <w:rPr>
          <w:rFonts w:ascii="Book Antiqua" w:hAnsi="Book Antiqua"/>
          <w:sz w:val="24"/>
          <w:szCs w:val="24"/>
          <w:lang w:val="en-US"/>
        </w:rPr>
        <w:t>2356 patients</w:t>
      </w:r>
      <w:r w:rsidR="00D62398" w:rsidRPr="00A828B6">
        <w:rPr>
          <w:rFonts w:ascii="Book Antiqua" w:hAnsi="Book Antiqua"/>
          <w:sz w:val="24"/>
          <w:szCs w:val="24"/>
          <w:lang w:val="en-US"/>
        </w:rPr>
        <w:t xml:space="preserve"> in the </w:t>
      </w:r>
      <w:r w:rsidR="007211DB" w:rsidRPr="00A828B6">
        <w:rPr>
          <w:rFonts w:ascii="Book Antiqua" w:hAnsi="Book Antiqua"/>
          <w:sz w:val="24"/>
          <w:szCs w:val="24"/>
          <w:lang w:val="en-US"/>
        </w:rPr>
        <w:t>United States</w:t>
      </w:r>
      <w:r w:rsidR="00A339BA" w:rsidRPr="00A828B6">
        <w:rPr>
          <w:rFonts w:ascii="Book Antiqua" w:hAnsi="Book Antiqua"/>
          <w:sz w:val="24"/>
          <w:szCs w:val="24"/>
          <w:vertAlign w:val="superscript"/>
          <w:lang w:val="en-US" w:eastAsia="zh-CN"/>
        </w:rPr>
        <w:t>[</w:t>
      </w:r>
      <w:r w:rsidR="00A541C3" w:rsidRPr="00A828B6">
        <w:rPr>
          <w:rFonts w:ascii="Book Antiqua" w:hAnsi="Book Antiqua"/>
          <w:bCs/>
          <w:sz w:val="24"/>
          <w:szCs w:val="24"/>
          <w:vertAlign w:val="superscript"/>
          <w:lang w:val="en-US"/>
        </w:rPr>
        <w:t>16</w:t>
      </w:r>
      <w:r w:rsidR="00A339BA" w:rsidRPr="00A828B6">
        <w:rPr>
          <w:rFonts w:ascii="Book Antiqua" w:hAnsi="Book Antiqua"/>
          <w:bCs/>
          <w:sz w:val="24"/>
          <w:szCs w:val="24"/>
          <w:vertAlign w:val="superscript"/>
          <w:lang w:val="en-US" w:eastAsia="zh-CN"/>
        </w:rPr>
        <w:t>]</w:t>
      </w:r>
      <w:r w:rsidR="00634817" w:rsidRPr="00A828B6">
        <w:rPr>
          <w:rFonts w:ascii="Book Antiqua" w:hAnsi="Book Antiqua"/>
          <w:bCs/>
          <w:sz w:val="24"/>
          <w:szCs w:val="24"/>
          <w:lang w:val="en-US"/>
        </w:rPr>
        <w:t>, despite their older age by comparison to</w:t>
      </w:r>
      <w:r w:rsidR="002828ED" w:rsidRPr="00A828B6">
        <w:rPr>
          <w:rFonts w:ascii="Book Antiqua" w:hAnsi="Book Antiqua"/>
          <w:sz w:val="24"/>
          <w:szCs w:val="24"/>
          <w:lang w:val="en-US"/>
        </w:rPr>
        <w:t xml:space="preserve"> patients with hepatitis C and ETOH</w:t>
      </w:r>
      <w:r w:rsidR="00634817" w:rsidRPr="00A828B6">
        <w:rPr>
          <w:rFonts w:ascii="Book Antiqua" w:hAnsi="Book Antiqua"/>
          <w:sz w:val="24"/>
          <w:szCs w:val="24"/>
          <w:lang w:val="en-US"/>
        </w:rPr>
        <w:t xml:space="preserve">. Whether this is related in part to the potential dominance of Caucasians in that study is unclear, but the </w:t>
      </w:r>
      <w:r w:rsidR="002828ED" w:rsidRPr="00A828B6">
        <w:rPr>
          <w:rFonts w:ascii="Book Antiqua" w:hAnsi="Book Antiqua"/>
          <w:sz w:val="24"/>
          <w:szCs w:val="24"/>
          <w:lang w:val="en-US"/>
        </w:rPr>
        <w:t>study su</w:t>
      </w:r>
      <w:r w:rsidR="003406B2" w:rsidRPr="00A828B6">
        <w:rPr>
          <w:rFonts w:ascii="Book Antiqua" w:hAnsi="Book Antiqua"/>
          <w:sz w:val="24"/>
          <w:szCs w:val="24"/>
          <w:lang w:val="en-US"/>
        </w:rPr>
        <w:t xml:space="preserve">pports an equivalent, if not </w:t>
      </w:r>
      <w:r w:rsidR="00F822CC" w:rsidRPr="00A828B6">
        <w:rPr>
          <w:rFonts w:ascii="Book Antiqua" w:hAnsi="Book Antiqua"/>
          <w:sz w:val="24"/>
          <w:szCs w:val="24"/>
          <w:lang w:val="en-US"/>
        </w:rPr>
        <w:t xml:space="preserve">a </w:t>
      </w:r>
      <w:r w:rsidR="003406B2" w:rsidRPr="00A828B6">
        <w:rPr>
          <w:rFonts w:ascii="Book Antiqua" w:hAnsi="Book Antiqua"/>
          <w:sz w:val="24"/>
          <w:szCs w:val="24"/>
          <w:lang w:val="en-US"/>
        </w:rPr>
        <w:t xml:space="preserve">more favorable, outcome </w:t>
      </w:r>
      <w:r w:rsidR="002828ED" w:rsidRPr="00A828B6">
        <w:rPr>
          <w:rFonts w:ascii="Book Antiqua" w:hAnsi="Book Antiqua"/>
          <w:sz w:val="24"/>
          <w:szCs w:val="24"/>
          <w:lang w:val="en-US"/>
        </w:rPr>
        <w:t>for orthotopic liver transplantation</w:t>
      </w:r>
      <w:r w:rsidR="003406B2" w:rsidRPr="00A828B6">
        <w:rPr>
          <w:rFonts w:ascii="Book Antiqua" w:hAnsi="Book Antiqua"/>
          <w:sz w:val="24"/>
          <w:szCs w:val="24"/>
          <w:lang w:val="en-US"/>
        </w:rPr>
        <w:t xml:space="preserve"> in patients with fatty liver disease as compared to other common indications for surgery</w:t>
      </w:r>
      <w:r w:rsidR="002828ED" w:rsidRPr="00A828B6">
        <w:rPr>
          <w:rFonts w:ascii="Book Antiqua" w:hAnsi="Book Antiqua"/>
          <w:sz w:val="24"/>
          <w:szCs w:val="24"/>
          <w:lang w:val="en-US"/>
        </w:rPr>
        <w:t>.</w:t>
      </w:r>
      <w:r w:rsidR="008069DA" w:rsidRPr="00A828B6">
        <w:rPr>
          <w:rFonts w:ascii="Book Antiqua" w:hAnsi="Book Antiqua"/>
          <w:sz w:val="24"/>
          <w:szCs w:val="24"/>
          <w:lang w:val="en-US"/>
        </w:rPr>
        <w:t xml:space="preserve"> </w:t>
      </w:r>
    </w:p>
    <w:p w14:paraId="592704E5" w14:textId="621241E9" w:rsidR="006847D5" w:rsidRPr="00A828B6" w:rsidRDefault="00075925" w:rsidP="001A5A01">
      <w:pPr>
        <w:spacing w:after="0" w:line="360" w:lineRule="auto"/>
        <w:ind w:firstLine="360"/>
        <w:jc w:val="both"/>
        <w:rPr>
          <w:rFonts w:ascii="Book Antiqua" w:hAnsi="Book Antiqua"/>
          <w:bCs/>
          <w:sz w:val="24"/>
          <w:szCs w:val="24"/>
          <w:lang w:val="en-US"/>
        </w:rPr>
      </w:pPr>
      <w:r w:rsidRPr="00A828B6">
        <w:rPr>
          <w:rFonts w:ascii="Book Antiqua" w:hAnsi="Book Antiqua"/>
          <w:bCs/>
          <w:sz w:val="24"/>
          <w:szCs w:val="24"/>
          <w:lang w:val="en-US"/>
        </w:rPr>
        <w:t xml:space="preserve">In conclusion, our </w:t>
      </w:r>
      <w:r w:rsidR="00C16F34" w:rsidRPr="00A828B6">
        <w:rPr>
          <w:rFonts w:ascii="Book Antiqua" w:hAnsi="Book Antiqua"/>
          <w:bCs/>
          <w:sz w:val="24"/>
          <w:szCs w:val="24"/>
          <w:lang w:val="en-US"/>
        </w:rPr>
        <w:t xml:space="preserve">data </w:t>
      </w:r>
      <w:r w:rsidR="00192F89" w:rsidRPr="00A828B6">
        <w:rPr>
          <w:rFonts w:ascii="Book Antiqua" w:hAnsi="Book Antiqua"/>
          <w:bCs/>
          <w:sz w:val="24"/>
          <w:szCs w:val="24"/>
          <w:lang w:val="en-US"/>
        </w:rPr>
        <w:t xml:space="preserve">revealed </w:t>
      </w:r>
      <w:r w:rsidRPr="00A828B6">
        <w:rPr>
          <w:rFonts w:ascii="Book Antiqua" w:hAnsi="Book Antiqua"/>
          <w:bCs/>
          <w:sz w:val="24"/>
          <w:szCs w:val="24"/>
          <w:lang w:val="en-US"/>
        </w:rPr>
        <w:t>a proportionally greater rise in liver transplant candida</w:t>
      </w:r>
      <w:r w:rsidR="00C16F34" w:rsidRPr="00A828B6">
        <w:rPr>
          <w:rFonts w:ascii="Book Antiqua" w:hAnsi="Book Antiqua"/>
          <w:bCs/>
          <w:sz w:val="24"/>
          <w:szCs w:val="24"/>
          <w:lang w:val="en-US"/>
        </w:rPr>
        <w:t>cy</w:t>
      </w:r>
      <w:r w:rsidRPr="00A828B6">
        <w:rPr>
          <w:rFonts w:ascii="Book Antiqua" w:hAnsi="Book Antiqua"/>
          <w:bCs/>
          <w:sz w:val="24"/>
          <w:szCs w:val="24"/>
          <w:lang w:val="en-US"/>
        </w:rPr>
        <w:t xml:space="preserve"> due to NAFLD</w:t>
      </w:r>
      <w:r w:rsidR="009E6709" w:rsidRPr="00A828B6">
        <w:rPr>
          <w:rFonts w:ascii="Book Antiqua" w:hAnsi="Book Antiqua"/>
          <w:bCs/>
          <w:sz w:val="24"/>
          <w:szCs w:val="24"/>
          <w:lang w:val="en-US"/>
        </w:rPr>
        <w:t>-</w:t>
      </w:r>
      <w:r w:rsidR="00F0517F" w:rsidRPr="00A828B6">
        <w:rPr>
          <w:rFonts w:ascii="Book Antiqua" w:hAnsi="Book Antiqua"/>
          <w:bCs/>
          <w:sz w:val="24"/>
          <w:szCs w:val="24"/>
          <w:lang w:val="en-US"/>
        </w:rPr>
        <w:t xml:space="preserve">associated cirrhosis </w:t>
      </w:r>
      <w:r w:rsidRPr="00A828B6">
        <w:rPr>
          <w:rFonts w:ascii="Book Antiqua" w:hAnsi="Book Antiqua"/>
          <w:bCs/>
          <w:sz w:val="24"/>
          <w:szCs w:val="24"/>
          <w:lang w:val="en-US"/>
        </w:rPr>
        <w:t xml:space="preserve">with portal vein thrombosis. </w:t>
      </w:r>
      <w:r w:rsidR="00192F89" w:rsidRPr="00A828B6">
        <w:rPr>
          <w:rFonts w:ascii="Book Antiqua" w:hAnsi="Book Antiqua"/>
          <w:bCs/>
          <w:sz w:val="24"/>
          <w:szCs w:val="24"/>
          <w:lang w:val="en-US"/>
        </w:rPr>
        <w:t>The m</w:t>
      </w:r>
      <w:r w:rsidRPr="00A828B6">
        <w:rPr>
          <w:rFonts w:ascii="Book Antiqua" w:hAnsi="Book Antiqua"/>
          <w:bCs/>
          <w:sz w:val="24"/>
          <w:szCs w:val="24"/>
          <w:lang w:val="en-US"/>
        </w:rPr>
        <w:t xml:space="preserve">ortality rate of </w:t>
      </w:r>
      <w:r w:rsidR="00F0517F" w:rsidRPr="00A828B6">
        <w:rPr>
          <w:rFonts w:ascii="Book Antiqua" w:hAnsi="Book Antiqua"/>
          <w:bCs/>
          <w:sz w:val="24"/>
          <w:szCs w:val="24"/>
          <w:lang w:val="en-US"/>
        </w:rPr>
        <w:t xml:space="preserve">patients with </w:t>
      </w:r>
      <w:r w:rsidRPr="00A828B6">
        <w:rPr>
          <w:rFonts w:ascii="Book Antiqua" w:hAnsi="Book Antiqua"/>
          <w:bCs/>
          <w:sz w:val="24"/>
          <w:szCs w:val="24"/>
          <w:lang w:val="en-US"/>
        </w:rPr>
        <w:t>NAFLD</w:t>
      </w:r>
      <w:r w:rsidR="009E6709" w:rsidRPr="00A828B6">
        <w:rPr>
          <w:rFonts w:ascii="Book Antiqua" w:hAnsi="Book Antiqua"/>
          <w:bCs/>
          <w:sz w:val="24"/>
          <w:szCs w:val="24"/>
          <w:lang w:val="en-US"/>
        </w:rPr>
        <w:t>-</w:t>
      </w:r>
      <w:r w:rsidR="00F0517F" w:rsidRPr="00A828B6">
        <w:rPr>
          <w:rFonts w:ascii="Book Antiqua" w:hAnsi="Book Antiqua"/>
          <w:bCs/>
          <w:sz w:val="24"/>
          <w:szCs w:val="24"/>
          <w:lang w:val="en-US"/>
        </w:rPr>
        <w:t xml:space="preserve">associated </w:t>
      </w:r>
      <w:r w:rsidRPr="00A828B6">
        <w:rPr>
          <w:rFonts w:ascii="Book Antiqua" w:hAnsi="Book Antiqua"/>
          <w:bCs/>
          <w:sz w:val="24"/>
          <w:szCs w:val="24"/>
          <w:lang w:val="en-US"/>
        </w:rPr>
        <w:t xml:space="preserve">cirrhosis </w:t>
      </w:r>
      <w:r w:rsidR="00192F89" w:rsidRPr="00A828B6">
        <w:rPr>
          <w:rFonts w:ascii="Book Antiqua" w:hAnsi="Book Antiqua"/>
          <w:bCs/>
          <w:sz w:val="24"/>
          <w:szCs w:val="24"/>
          <w:lang w:val="en-US"/>
        </w:rPr>
        <w:t>did not differ</w:t>
      </w:r>
      <w:r w:rsidRPr="00A828B6">
        <w:rPr>
          <w:rFonts w:ascii="Book Antiqua" w:hAnsi="Book Antiqua"/>
          <w:bCs/>
          <w:sz w:val="24"/>
          <w:szCs w:val="24"/>
          <w:lang w:val="en-US"/>
        </w:rPr>
        <w:t xml:space="preserve"> from </w:t>
      </w:r>
      <w:r w:rsidR="00192F89" w:rsidRPr="00A828B6">
        <w:rPr>
          <w:rFonts w:ascii="Book Antiqua" w:hAnsi="Book Antiqua"/>
          <w:bCs/>
          <w:sz w:val="24"/>
          <w:szCs w:val="24"/>
          <w:lang w:val="en-US"/>
        </w:rPr>
        <w:t>that in patients with virally</w:t>
      </w:r>
      <w:r w:rsidR="006A503E" w:rsidRPr="00A828B6">
        <w:rPr>
          <w:rFonts w:ascii="Book Antiqua" w:hAnsi="Book Antiqua"/>
          <w:bCs/>
          <w:sz w:val="24"/>
          <w:szCs w:val="24"/>
          <w:lang w:val="en-US"/>
        </w:rPr>
        <w:t xml:space="preserve"> </w:t>
      </w:r>
      <w:r w:rsidR="00192F89" w:rsidRPr="00A828B6">
        <w:rPr>
          <w:rFonts w:ascii="Book Antiqua" w:hAnsi="Book Antiqua"/>
          <w:bCs/>
          <w:sz w:val="24"/>
          <w:szCs w:val="24"/>
          <w:lang w:val="en-US"/>
        </w:rPr>
        <w:t xml:space="preserve">caused </w:t>
      </w:r>
      <w:r w:rsidRPr="00A828B6">
        <w:rPr>
          <w:rFonts w:ascii="Book Antiqua" w:hAnsi="Book Antiqua"/>
          <w:bCs/>
          <w:sz w:val="24"/>
          <w:szCs w:val="24"/>
          <w:lang w:val="en-US"/>
        </w:rPr>
        <w:t xml:space="preserve">cirrhosis. </w:t>
      </w:r>
      <w:r w:rsidR="000B2127" w:rsidRPr="00A828B6">
        <w:rPr>
          <w:rFonts w:ascii="Book Antiqua" w:hAnsi="Book Antiqua"/>
          <w:bCs/>
          <w:sz w:val="24"/>
          <w:szCs w:val="24"/>
          <w:lang w:val="en-US"/>
        </w:rPr>
        <w:t>W</w:t>
      </w:r>
      <w:r w:rsidR="00AF43C7" w:rsidRPr="00A828B6">
        <w:rPr>
          <w:rFonts w:ascii="Book Antiqua" w:hAnsi="Book Antiqua"/>
          <w:bCs/>
          <w:sz w:val="24"/>
          <w:szCs w:val="24"/>
          <w:lang w:val="en-US"/>
        </w:rPr>
        <w:t>e</w:t>
      </w:r>
      <w:r w:rsidR="006A503E" w:rsidRPr="00A828B6">
        <w:rPr>
          <w:rFonts w:ascii="Book Antiqua" w:hAnsi="Book Antiqua"/>
          <w:bCs/>
          <w:sz w:val="24"/>
          <w:szCs w:val="24"/>
          <w:lang w:val="en-US"/>
        </w:rPr>
        <w:t xml:space="preserve"> </w:t>
      </w:r>
      <w:r w:rsidR="00220489" w:rsidRPr="00A828B6">
        <w:rPr>
          <w:rFonts w:ascii="Book Antiqua" w:hAnsi="Book Antiqua"/>
          <w:bCs/>
          <w:sz w:val="24"/>
          <w:szCs w:val="24"/>
          <w:lang w:val="en-US"/>
        </w:rPr>
        <w:t xml:space="preserve">confirmed that NAFLD </w:t>
      </w:r>
      <w:r w:rsidR="00F0517F" w:rsidRPr="00A828B6">
        <w:rPr>
          <w:rFonts w:ascii="Book Antiqua" w:hAnsi="Book Antiqua"/>
          <w:bCs/>
          <w:sz w:val="24"/>
          <w:szCs w:val="24"/>
          <w:lang w:val="en-US"/>
        </w:rPr>
        <w:t xml:space="preserve">was the third </w:t>
      </w:r>
      <w:r w:rsidR="00220489" w:rsidRPr="00A828B6">
        <w:rPr>
          <w:rFonts w:ascii="Book Antiqua" w:hAnsi="Book Antiqua"/>
          <w:bCs/>
          <w:sz w:val="24"/>
          <w:szCs w:val="24"/>
          <w:lang w:val="en-US"/>
        </w:rPr>
        <w:t xml:space="preserve">leading cause of HCC </w:t>
      </w:r>
      <w:r w:rsidR="00192F89" w:rsidRPr="00A828B6">
        <w:rPr>
          <w:rFonts w:ascii="Book Antiqua" w:hAnsi="Book Antiqua"/>
          <w:bCs/>
          <w:sz w:val="24"/>
          <w:szCs w:val="24"/>
          <w:lang w:val="en-US"/>
        </w:rPr>
        <w:t xml:space="preserve">on the </w:t>
      </w:r>
      <w:r w:rsidR="00220489" w:rsidRPr="00A828B6">
        <w:rPr>
          <w:rFonts w:ascii="Book Antiqua" w:hAnsi="Book Antiqua"/>
          <w:bCs/>
          <w:sz w:val="24"/>
          <w:szCs w:val="24"/>
          <w:lang w:val="en-US"/>
        </w:rPr>
        <w:t>transplantation waiting list</w:t>
      </w:r>
      <w:r w:rsidR="00AF43C7" w:rsidRPr="00A828B6">
        <w:rPr>
          <w:rFonts w:ascii="Book Antiqua" w:hAnsi="Book Antiqua"/>
          <w:bCs/>
          <w:sz w:val="24"/>
          <w:szCs w:val="24"/>
          <w:lang w:val="en-US"/>
        </w:rPr>
        <w:t>. Older patients</w:t>
      </w:r>
      <w:r w:rsidR="00192F89" w:rsidRPr="00A828B6">
        <w:rPr>
          <w:rFonts w:ascii="Book Antiqua" w:hAnsi="Book Antiqua"/>
          <w:bCs/>
          <w:sz w:val="24"/>
          <w:szCs w:val="24"/>
          <w:lang w:val="en-US"/>
        </w:rPr>
        <w:t xml:space="preserve"> were </w:t>
      </w:r>
      <w:r w:rsidR="00CA0542" w:rsidRPr="00A828B6">
        <w:rPr>
          <w:rFonts w:ascii="Book Antiqua" w:hAnsi="Book Antiqua"/>
          <w:bCs/>
          <w:sz w:val="24"/>
          <w:szCs w:val="24"/>
          <w:lang w:val="en-US"/>
        </w:rPr>
        <w:t xml:space="preserve">more </w:t>
      </w:r>
      <w:r w:rsidR="00AF43C7" w:rsidRPr="00A828B6">
        <w:rPr>
          <w:rFonts w:ascii="Book Antiqua" w:hAnsi="Book Antiqua"/>
          <w:bCs/>
          <w:sz w:val="24"/>
          <w:szCs w:val="24"/>
          <w:lang w:val="en-US"/>
        </w:rPr>
        <w:t xml:space="preserve">prone to </w:t>
      </w:r>
      <w:r w:rsidR="00C16F34" w:rsidRPr="00A828B6">
        <w:rPr>
          <w:rFonts w:ascii="Book Antiqua" w:hAnsi="Book Antiqua"/>
          <w:bCs/>
          <w:sz w:val="24"/>
          <w:szCs w:val="24"/>
          <w:lang w:val="en-US"/>
        </w:rPr>
        <w:t xml:space="preserve">developing </w:t>
      </w:r>
      <w:r w:rsidR="00AF43C7" w:rsidRPr="00A828B6">
        <w:rPr>
          <w:rFonts w:ascii="Book Antiqua" w:hAnsi="Book Antiqua"/>
          <w:bCs/>
          <w:sz w:val="24"/>
          <w:szCs w:val="24"/>
          <w:lang w:val="en-US"/>
        </w:rPr>
        <w:t xml:space="preserve">more cirrhosis, HCC and high mortality rates. However, </w:t>
      </w:r>
      <w:r w:rsidR="000749CC" w:rsidRPr="00A828B6">
        <w:rPr>
          <w:rFonts w:ascii="Book Antiqua" w:hAnsi="Book Antiqua"/>
          <w:bCs/>
          <w:sz w:val="24"/>
          <w:szCs w:val="24"/>
          <w:lang w:val="en-US"/>
        </w:rPr>
        <w:t xml:space="preserve">the </w:t>
      </w:r>
      <w:r w:rsidR="00AF43C7" w:rsidRPr="00A828B6">
        <w:rPr>
          <w:rFonts w:ascii="Book Antiqua" w:hAnsi="Book Antiqua"/>
          <w:bCs/>
          <w:sz w:val="24"/>
          <w:szCs w:val="24"/>
          <w:lang w:val="en-US"/>
        </w:rPr>
        <w:t xml:space="preserve">younger group had more </w:t>
      </w:r>
      <w:r w:rsidR="003610D2" w:rsidRPr="00A828B6">
        <w:rPr>
          <w:rFonts w:ascii="Book Antiqua" w:hAnsi="Book Antiqua"/>
          <w:bCs/>
          <w:sz w:val="24"/>
          <w:szCs w:val="24"/>
          <w:lang w:val="en-US"/>
        </w:rPr>
        <w:t xml:space="preserve">portal vein thrombosis </w:t>
      </w:r>
      <w:r w:rsidR="00AF43C7" w:rsidRPr="00A828B6">
        <w:rPr>
          <w:rFonts w:ascii="Book Antiqua" w:hAnsi="Book Antiqua"/>
          <w:bCs/>
          <w:sz w:val="24"/>
          <w:szCs w:val="24"/>
          <w:lang w:val="en-US"/>
        </w:rPr>
        <w:t xml:space="preserve">and fundic varices. </w:t>
      </w:r>
      <w:r w:rsidRPr="00A828B6">
        <w:rPr>
          <w:rFonts w:ascii="Book Antiqua" w:hAnsi="Book Antiqua"/>
          <w:bCs/>
          <w:sz w:val="24"/>
          <w:szCs w:val="24"/>
          <w:lang w:val="en-US"/>
        </w:rPr>
        <w:t xml:space="preserve">These findings </w:t>
      </w:r>
      <w:r w:rsidR="00192F89" w:rsidRPr="00A828B6">
        <w:rPr>
          <w:rFonts w:ascii="Book Antiqua" w:hAnsi="Book Antiqua"/>
          <w:bCs/>
          <w:sz w:val="24"/>
          <w:szCs w:val="24"/>
          <w:lang w:val="en-US"/>
        </w:rPr>
        <w:t xml:space="preserve">should constitute areliable </w:t>
      </w:r>
      <w:r w:rsidRPr="00A828B6">
        <w:rPr>
          <w:rFonts w:ascii="Book Antiqua" w:hAnsi="Book Antiqua"/>
          <w:bCs/>
          <w:sz w:val="24"/>
          <w:szCs w:val="24"/>
          <w:lang w:val="en-US"/>
        </w:rPr>
        <w:t>guide</w:t>
      </w:r>
      <w:r w:rsidR="00192F89" w:rsidRPr="00A828B6">
        <w:rPr>
          <w:rFonts w:ascii="Book Antiqua" w:hAnsi="Book Antiqua"/>
          <w:bCs/>
          <w:sz w:val="24"/>
          <w:szCs w:val="24"/>
          <w:lang w:val="en-US"/>
        </w:rPr>
        <w:t>line</w:t>
      </w:r>
      <w:r w:rsidRPr="00A828B6">
        <w:rPr>
          <w:rFonts w:ascii="Book Antiqua" w:hAnsi="Book Antiqua"/>
          <w:bCs/>
          <w:sz w:val="24"/>
          <w:szCs w:val="24"/>
          <w:lang w:val="en-US"/>
        </w:rPr>
        <w:t xml:space="preserve"> for evaluating patients at the transplant center and </w:t>
      </w:r>
      <w:r w:rsidR="00192F89" w:rsidRPr="00A828B6">
        <w:rPr>
          <w:rFonts w:ascii="Book Antiqua" w:hAnsi="Book Antiqua"/>
          <w:bCs/>
          <w:sz w:val="24"/>
          <w:szCs w:val="24"/>
          <w:lang w:val="en-US"/>
        </w:rPr>
        <w:t xml:space="preserve">for </w:t>
      </w:r>
      <w:r w:rsidRPr="00A828B6">
        <w:rPr>
          <w:rFonts w:ascii="Book Antiqua" w:hAnsi="Book Antiqua"/>
          <w:bCs/>
          <w:sz w:val="24"/>
          <w:szCs w:val="24"/>
          <w:lang w:val="en-US"/>
        </w:rPr>
        <w:t>health policy makers</w:t>
      </w:r>
      <w:r w:rsidR="00192F89" w:rsidRPr="00A828B6">
        <w:rPr>
          <w:rFonts w:ascii="Book Antiqua" w:hAnsi="Book Antiqua"/>
          <w:bCs/>
          <w:sz w:val="24"/>
          <w:szCs w:val="24"/>
          <w:lang w:val="en-US"/>
        </w:rPr>
        <w:t xml:space="preserve"> to develop </w:t>
      </w:r>
      <w:r w:rsidR="00CA0542" w:rsidRPr="00A828B6">
        <w:rPr>
          <w:rFonts w:ascii="Book Antiqua" w:hAnsi="Book Antiqua"/>
          <w:bCs/>
          <w:sz w:val="24"/>
          <w:szCs w:val="24"/>
          <w:lang w:val="en-US"/>
        </w:rPr>
        <w:t xml:space="preserve">better </w:t>
      </w:r>
      <w:r w:rsidR="00192F89" w:rsidRPr="00A828B6">
        <w:rPr>
          <w:rFonts w:ascii="Book Antiqua" w:hAnsi="Book Antiqua"/>
          <w:bCs/>
          <w:sz w:val="24"/>
          <w:szCs w:val="24"/>
          <w:lang w:val="en-US"/>
        </w:rPr>
        <w:t>strategic preventive measures</w:t>
      </w:r>
      <w:r w:rsidR="001F6861" w:rsidRPr="00A828B6">
        <w:rPr>
          <w:rFonts w:ascii="Book Antiqua" w:hAnsi="Book Antiqua"/>
          <w:bCs/>
          <w:sz w:val="24"/>
          <w:szCs w:val="24"/>
          <w:lang w:val="en-US"/>
        </w:rPr>
        <w:t xml:space="preserve"> against </w:t>
      </w:r>
      <w:r w:rsidR="000749CC" w:rsidRPr="00A828B6">
        <w:rPr>
          <w:rFonts w:ascii="Book Antiqua" w:hAnsi="Book Antiqua"/>
          <w:bCs/>
          <w:sz w:val="24"/>
          <w:szCs w:val="24"/>
          <w:lang w:val="en-US"/>
        </w:rPr>
        <w:t xml:space="preserve">liver </w:t>
      </w:r>
      <w:r w:rsidR="001F6861" w:rsidRPr="00A828B6">
        <w:rPr>
          <w:rFonts w:ascii="Book Antiqua" w:hAnsi="Book Antiqua"/>
          <w:bCs/>
          <w:sz w:val="24"/>
          <w:szCs w:val="24"/>
          <w:lang w:val="en-US"/>
        </w:rPr>
        <w:t>diseases</w:t>
      </w:r>
      <w:r w:rsidR="00192F89" w:rsidRPr="00A828B6">
        <w:rPr>
          <w:rFonts w:ascii="Book Antiqua" w:hAnsi="Book Antiqua"/>
          <w:bCs/>
          <w:sz w:val="24"/>
          <w:szCs w:val="24"/>
          <w:lang w:val="en-US"/>
        </w:rPr>
        <w:t>.</w:t>
      </w:r>
    </w:p>
    <w:p w14:paraId="4B89CCEB" w14:textId="0087365B" w:rsidR="00FD7DAE" w:rsidRPr="00A828B6" w:rsidRDefault="00FD7DAE" w:rsidP="001A5A01">
      <w:pPr>
        <w:spacing w:after="0" w:line="240" w:lineRule="auto"/>
        <w:jc w:val="both"/>
        <w:rPr>
          <w:rFonts w:ascii="Book Antiqua" w:hAnsi="Book Antiqua"/>
          <w:bCs/>
          <w:sz w:val="24"/>
          <w:szCs w:val="24"/>
          <w:lang w:val="en-US"/>
        </w:rPr>
      </w:pPr>
      <w:r w:rsidRPr="00A828B6">
        <w:rPr>
          <w:rFonts w:ascii="Book Antiqua" w:hAnsi="Book Antiqua"/>
          <w:bCs/>
          <w:sz w:val="24"/>
          <w:szCs w:val="24"/>
          <w:lang w:val="en-US"/>
        </w:rPr>
        <w:br w:type="page"/>
      </w:r>
    </w:p>
    <w:p w14:paraId="5E3CF282" w14:textId="77777777" w:rsidR="00FD7DAE" w:rsidRPr="00A828B6" w:rsidRDefault="00FD7DAE" w:rsidP="001A5A01">
      <w:pPr>
        <w:spacing w:after="0" w:line="360" w:lineRule="auto"/>
        <w:ind w:firstLine="360"/>
        <w:jc w:val="both"/>
        <w:rPr>
          <w:rFonts w:ascii="Book Antiqua" w:hAnsi="Book Antiqua"/>
          <w:sz w:val="24"/>
          <w:szCs w:val="24"/>
          <w:lang w:val="en-US"/>
        </w:rPr>
      </w:pPr>
    </w:p>
    <w:p w14:paraId="48F3A45A" w14:textId="77777777" w:rsidR="00296C61" w:rsidRPr="00A828B6" w:rsidRDefault="00296C61" w:rsidP="001A5A01">
      <w:pPr>
        <w:spacing w:after="0" w:line="360" w:lineRule="auto"/>
        <w:jc w:val="both"/>
        <w:rPr>
          <w:rFonts w:ascii="Book Antiqua" w:hAnsi="Book Antiqua"/>
          <w:b/>
          <w:sz w:val="24"/>
        </w:rPr>
      </w:pPr>
      <w:r w:rsidRPr="00A828B6">
        <w:rPr>
          <w:rFonts w:ascii="Book Antiqua" w:hAnsi="Book Antiqua"/>
          <w:b/>
          <w:sz w:val="24"/>
        </w:rPr>
        <w:t>COMMENTS</w:t>
      </w:r>
    </w:p>
    <w:p w14:paraId="5E04B064" w14:textId="6FA18397" w:rsidR="00296C61" w:rsidRPr="00A828B6" w:rsidRDefault="00296C61" w:rsidP="001A5A01">
      <w:pPr>
        <w:spacing w:after="0" w:line="360" w:lineRule="auto"/>
        <w:jc w:val="both"/>
        <w:rPr>
          <w:rFonts w:ascii="Book Antiqua" w:hAnsi="Book Antiqua"/>
          <w:b/>
          <w:bCs/>
          <w:sz w:val="24"/>
        </w:rPr>
      </w:pPr>
      <w:r w:rsidRPr="00A828B6">
        <w:rPr>
          <w:rFonts w:ascii="Book Antiqua" w:hAnsi="Book Antiqua"/>
          <w:b/>
          <w:bCs/>
          <w:i/>
          <w:sz w:val="24"/>
        </w:rPr>
        <w:t>Background</w:t>
      </w:r>
    </w:p>
    <w:p w14:paraId="31857C19" w14:textId="016C4FBD" w:rsidR="003A6BB5" w:rsidRPr="00A828B6" w:rsidRDefault="00A828B6" w:rsidP="001A5A01">
      <w:pPr>
        <w:spacing w:after="0" w:line="240" w:lineRule="auto"/>
        <w:jc w:val="both"/>
        <w:rPr>
          <w:rFonts w:ascii="Book Antiqua" w:eastAsia="Times New Roman" w:hAnsi="Book Antiqua"/>
          <w:sz w:val="24"/>
          <w:szCs w:val="24"/>
          <w:lang w:val="en-US" w:eastAsia="tr-TR"/>
        </w:rPr>
      </w:pPr>
      <w:r w:rsidRPr="00A828B6">
        <w:rPr>
          <w:rFonts w:ascii="Book Antiqua" w:eastAsia="Times New Roman" w:hAnsi="Book Antiqua"/>
          <w:sz w:val="24"/>
          <w:szCs w:val="24"/>
          <w:lang w:val="en-US" w:eastAsia="tr-TR"/>
        </w:rPr>
        <w:t>Non-alcoholic fatty liver disease (NAFLD)</w:t>
      </w:r>
      <w:r>
        <w:rPr>
          <w:rFonts w:ascii="Book Antiqua" w:hAnsi="Book Antiqua" w:hint="eastAsia"/>
          <w:sz w:val="24"/>
          <w:szCs w:val="24"/>
          <w:lang w:val="en-US" w:eastAsia="zh-CN"/>
        </w:rPr>
        <w:t xml:space="preserve"> </w:t>
      </w:r>
      <w:r w:rsidR="003A6BB5" w:rsidRPr="00A828B6">
        <w:rPr>
          <w:rFonts w:ascii="Book Antiqua" w:eastAsia="Times New Roman" w:hAnsi="Book Antiqua"/>
          <w:sz w:val="24"/>
          <w:szCs w:val="24"/>
          <w:lang w:val="en-US" w:eastAsia="tr-TR"/>
        </w:rPr>
        <w:t xml:space="preserve">predisposes to </w:t>
      </w:r>
      <w:r w:rsidRPr="00A828B6">
        <w:rPr>
          <w:rFonts w:ascii="Book Antiqua" w:hAnsi="Book Antiqua"/>
          <w:sz w:val="24"/>
          <w:szCs w:val="24"/>
          <w:lang w:val="en-US"/>
        </w:rPr>
        <w:t>non-alcoholic steatohepatitis</w:t>
      </w:r>
      <w:r w:rsidR="003A6BB5" w:rsidRPr="00A828B6">
        <w:rPr>
          <w:rFonts w:ascii="Book Antiqua" w:eastAsia="Times New Roman" w:hAnsi="Book Antiqua"/>
          <w:sz w:val="24"/>
          <w:szCs w:val="24"/>
          <w:lang w:val="en-US" w:eastAsia="tr-TR"/>
        </w:rPr>
        <w:t xml:space="preserve">, which progresses to cirrhosis and </w:t>
      </w:r>
      <w:r w:rsidRPr="00A828B6">
        <w:rPr>
          <w:rFonts w:ascii="Book Antiqua" w:eastAsia="Times New Roman" w:hAnsi="Book Antiqua"/>
          <w:sz w:val="24"/>
          <w:szCs w:val="24"/>
          <w:lang w:val="en-US" w:eastAsia="tr-TR"/>
        </w:rPr>
        <w:t>hepatocellular carcinoma</w:t>
      </w:r>
      <w:r>
        <w:rPr>
          <w:rFonts w:ascii="Book Antiqua" w:hAnsi="Book Antiqua" w:hint="eastAsia"/>
          <w:sz w:val="24"/>
          <w:szCs w:val="24"/>
          <w:lang w:val="en-US" w:eastAsia="zh-CN"/>
        </w:rPr>
        <w:t xml:space="preserve"> (HCC)</w:t>
      </w:r>
      <w:r w:rsidR="003A6BB5" w:rsidRPr="00A828B6">
        <w:rPr>
          <w:rFonts w:ascii="Book Antiqua" w:eastAsia="Times New Roman" w:hAnsi="Book Antiqua"/>
          <w:sz w:val="24"/>
          <w:szCs w:val="24"/>
          <w:lang w:val="en-US" w:eastAsia="tr-TR"/>
        </w:rPr>
        <w:t xml:space="preserve">. </w:t>
      </w:r>
    </w:p>
    <w:p w14:paraId="2FD1176E" w14:textId="77777777" w:rsidR="00296C61" w:rsidRPr="00A828B6" w:rsidRDefault="00296C61" w:rsidP="001C0FDC">
      <w:pPr>
        <w:spacing w:after="0" w:line="360" w:lineRule="auto"/>
        <w:ind w:firstLineChars="200" w:firstLine="520"/>
        <w:jc w:val="both"/>
        <w:rPr>
          <w:rFonts w:ascii="Book Antiqua" w:hAnsi="Book Antiqua"/>
          <w:b/>
          <w:bCs/>
          <w:sz w:val="24"/>
        </w:rPr>
      </w:pPr>
    </w:p>
    <w:p w14:paraId="485F989B" w14:textId="22421D63" w:rsidR="003A6BB5" w:rsidRPr="00A828B6" w:rsidRDefault="00296C61" w:rsidP="001A5A01">
      <w:pPr>
        <w:spacing w:after="0" w:line="360" w:lineRule="auto"/>
        <w:jc w:val="both"/>
        <w:rPr>
          <w:rFonts w:ascii="Book Antiqua" w:hAnsi="Book Antiqua"/>
          <w:b/>
          <w:bCs/>
          <w:sz w:val="24"/>
        </w:rPr>
      </w:pPr>
      <w:r w:rsidRPr="00A828B6">
        <w:rPr>
          <w:rFonts w:ascii="Book Antiqua" w:hAnsi="Book Antiqua"/>
          <w:b/>
          <w:bCs/>
          <w:i/>
          <w:sz w:val="24"/>
        </w:rPr>
        <w:t>Research frontiers</w:t>
      </w:r>
    </w:p>
    <w:p w14:paraId="1EBCA354" w14:textId="0DEECC2F" w:rsidR="003A6BB5" w:rsidRPr="00A828B6" w:rsidRDefault="003A6BB5"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NAFLD-associated cirrhosis is predicted to rapidly become the leading indicator for liver transplant. The mortality rate of patients with NAFLD might differ from that in patients with virally</w:t>
      </w:r>
      <w:r w:rsidR="00F822CC" w:rsidRPr="00A828B6">
        <w:rPr>
          <w:rFonts w:ascii="Book Antiqua" w:hAnsi="Book Antiqua"/>
          <w:bCs/>
          <w:sz w:val="24"/>
          <w:szCs w:val="24"/>
          <w:lang w:val="en-US"/>
        </w:rPr>
        <w:t xml:space="preserve"> </w:t>
      </w:r>
      <w:r w:rsidRPr="00A828B6">
        <w:rPr>
          <w:rFonts w:ascii="Book Antiqua" w:hAnsi="Book Antiqua"/>
          <w:bCs/>
          <w:sz w:val="24"/>
          <w:szCs w:val="24"/>
          <w:lang w:val="en-US"/>
        </w:rPr>
        <w:t>caused cirrhosis.</w:t>
      </w:r>
    </w:p>
    <w:p w14:paraId="533D05E9" w14:textId="77777777" w:rsidR="00CC2350" w:rsidRPr="00A828B6" w:rsidRDefault="00CC2350" w:rsidP="001A5A01">
      <w:pPr>
        <w:spacing w:after="0" w:line="360" w:lineRule="auto"/>
        <w:jc w:val="both"/>
        <w:rPr>
          <w:rFonts w:ascii="Book Antiqua" w:hAnsi="Book Antiqua"/>
          <w:b/>
          <w:sz w:val="24"/>
        </w:rPr>
      </w:pPr>
    </w:p>
    <w:p w14:paraId="31ABB386" w14:textId="637E4272" w:rsidR="003A6BB5" w:rsidRPr="00A828B6" w:rsidRDefault="00296C61" w:rsidP="001A5A01">
      <w:pPr>
        <w:spacing w:after="0" w:line="360" w:lineRule="auto"/>
        <w:jc w:val="both"/>
        <w:rPr>
          <w:rFonts w:ascii="Book Antiqua" w:hAnsi="Book Antiqua"/>
          <w:b/>
          <w:bCs/>
          <w:i/>
          <w:sz w:val="24"/>
        </w:rPr>
      </w:pPr>
      <w:r w:rsidRPr="00A828B6">
        <w:rPr>
          <w:rFonts w:ascii="Book Antiqua" w:hAnsi="Book Antiqua"/>
          <w:b/>
          <w:bCs/>
          <w:i/>
          <w:sz w:val="24"/>
        </w:rPr>
        <w:t>Innovations and breakthroughs</w:t>
      </w:r>
    </w:p>
    <w:p w14:paraId="53F1B7BA" w14:textId="1D1BEB56" w:rsidR="003A6BB5" w:rsidRPr="00A828B6" w:rsidRDefault="003A6BB5"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 xml:space="preserve">Our data revealed a proportionally greater rise in liver transplant candidacy due to NAFLD associated cirrhosis with portal vein thrombosis. This could be related to the predisposition of patients with NAFLD to developing pro-coagulation and impaired blood flow, as well as a pro-inflammatory state. Our observations of higher mortality rates in patients with NAFLD differ from previously reported </w:t>
      </w:r>
      <w:r w:rsidR="00CC2350" w:rsidRPr="00A828B6">
        <w:rPr>
          <w:rFonts w:ascii="Book Antiqua" w:hAnsi="Book Antiqua"/>
          <w:bCs/>
          <w:sz w:val="24"/>
          <w:szCs w:val="24"/>
          <w:lang w:val="en-US"/>
        </w:rPr>
        <w:t xml:space="preserve">survival </w:t>
      </w:r>
      <w:r w:rsidRPr="00A828B6">
        <w:rPr>
          <w:rFonts w:ascii="Book Antiqua" w:hAnsi="Book Antiqua"/>
          <w:bCs/>
          <w:sz w:val="24"/>
          <w:szCs w:val="24"/>
          <w:lang w:val="en-US"/>
        </w:rPr>
        <w:t>data.</w:t>
      </w:r>
      <w:r w:rsidRPr="00A828B6">
        <w:rPr>
          <w:rFonts w:ascii="Book Antiqua" w:eastAsia="Times New Roman" w:hAnsi="Book Antiqua"/>
          <w:sz w:val="24"/>
          <w:szCs w:val="24"/>
          <w:lang w:val="en-US" w:eastAsia="tr-TR"/>
        </w:rPr>
        <w:t xml:space="preserve"> Older patients with esophageal varices were more prone to developing cirrhosis, hepatocellular carcinoma and a high mortality rate. </w:t>
      </w:r>
    </w:p>
    <w:p w14:paraId="1D4E525F" w14:textId="58A5F103" w:rsidR="00296C61" w:rsidRPr="00A828B6" w:rsidRDefault="00296C61" w:rsidP="001A5A01">
      <w:pPr>
        <w:spacing w:after="0" w:line="360" w:lineRule="auto"/>
        <w:jc w:val="both"/>
        <w:rPr>
          <w:rFonts w:ascii="Book Antiqua" w:hAnsi="Book Antiqua"/>
          <w:b/>
          <w:bCs/>
          <w:sz w:val="24"/>
        </w:rPr>
      </w:pPr>
    </w:p>
    <w:p w14:paraId="60BAB557" w14:textId="7DC7ED98" w:rsidR="00296C61" w:rsidRPr="00A828B6" w:rsidRDefault="00296C61" w:rsidP="001A5A01">
      <w:pPr>
        <w:spacing w:after="0" w:line="360" w:lineRule="auto"/>
        <w:jc w:val="both"/>
        <w:rPr>
          <w:rFonts w:ascii="Book Antiqua" w:hAnsi="Book Antiqua"/>
          <w:b/>
          <w:bCs/>
          <w:sz w:val="24"/>
        </w:rPr>
      </w:pPr>
      <w:r w:rsidRPr="00A828B6">
        <w:rPr>
          <w:rFonts w:ascii="Book Antiqua" w:hAnsi="Book Antiqua"/>
          <w:b/>
          <w:bCs/>
          <w:i/>
          <w:sz w:val="24"/>
        </w:rPr>
        <w:t>Applications</w:t>
      </w:r>
    </w:p>
    <w:p w14:paraId="2375B84D" w14:textId="35DCE978" w:rsidR="00296C61" w:rsidRPr="00A828B6" w:rsidRDefault="002207A7" w:rsidP="001A5A01">
      <w:pPr>
        <w:spacing w:after="0" w:line="360" w:lineRule="auto"/>
        <w:jc w:val="both"/>
        <w:rPr>
          <w:rFonts w:ascii="Book Antiqua" w:eastAsia="Times New Roman" w:hAnsi="Book Antiqua"/>
          <w:bCs/>
          <w:sz w:val="24"/>
          <w:szCs w:val="24"/>
          <w:lang w:val="en-US" w:eastAsia="tr-TR"/>
        </w:rPr>
      </w:pPr>
      <w:r w:rsidRPr="00A828B6">
        <w:rPr>
          <w:rFonts w:ascii="Book Antiqua" w:hAnsi="Book Antiqua"/>
          <w:bCs/>
          <w:sz w:val="24"/>
          <w:szCs w:val="24"/>
          <w:lang w:val="en-US"/>
        </w:rPr>
        <w:t xml:space="preserve">Our data revealed a proportionally greater rise in liver transplant candidacy due to NAFLD associated cirrhosis with portal vein thrombosis. </w:t>
      </w:r>
      <w:r w:rsidR="00CC2350" w:rsidRPr="00A828B6">
        <w:rPr>
          <w:rFonts w:ascii="Book Antiqua" w:hAnsi="Book Antiqua"/>
          <w:bCs/>
          <w:sz w:val="24"/>
          <w:szCs w:val="24"/>
          <w:lang w:val="en-US"/>
        </w:rPr>
        <w:t xml:space="preserve">The underlying cause for </w:t>
      </w:r>
      <w:r w:rsidR="00CC31B0" w:rsidRPr="00A828B6">
        <w:rPr>
          <w:rFonts w:ascii="Book Antiqua" w:hAnsi="Book Antiqua"/>
          <w:bCs/>
          <w:sz w:val="24"/>
          <w:szCs w:val="24"/>
          <w:lang w:val="en-US"/>
        </w:rPr>
        <w:t>this</w:t>
      </w:r>
      <w:r w:rsidR="00821380" w:rsidRPr="00A828B6">
        <w:rPr>
          <w:rFonts w:ascii="Book Antiqua" w:hAnsi="Book Antiqua"/>
          <w:bCs/>
          <w:sz w:val="24"/>
          <w:szCs w:val="24"/>
          <w:lang w:val="en-US"/>
        </w:rPr>
        <w:t xml:space="preserve"> predisposition</w:t>
      </w:r>
      <w:r w:rsidR="00CC2350" w:rsidRPr="00A828B6">
        <w:rPr>
          <w:rFonts w:ascii="Book Antiqua" w:hAnsi="Book Antiqua"/>
          <w:bCs/>
          <w:sz w:val="24"/>
          <w:szCs w:val="24"/>
          <w:lang w:val="en-US"/>
        </w:rPr>
        <w:t xml:space="preserve"> remains unclear, although both genetic and environmental factors could be implicated.</w:t>
      </w:r>
    </w:p>
    <w:p w14:paraId="7C8C19F3" w14:textId="5EE1ECD2" w:rsidR="00252FFC" w:rsidRPr="00A828B6" w:rsidRDefault="00252FFC" w:rsidP="001A5A01">
      <w:pPr>
        <w:spacing w:after="0" w:line="360" w:lineRule="auto"/>
        <w:ind w:firstLineChars="100" w:firstLine="240"/>
        <w:jc w:val="both"/>
        <w:rPr>
          <w:rFonts w:ascii="Book Antiqua" w:hAnsi="Book Antiqua"/>
          <w:bCs/>
          <w:sz w:val="24"/>
          <w:szCs w:val="24"/>
          <w:lang w:val="en-US"/>
        </w:rPr>
      </w:pPr>
      <w:r w:rsidRPr="00A828B6">
        <w:rPr>
          <w:rFonts w:ascii="Book Antiqua" w:eastAsia="Times New Roman" w:hAnsi="Book Antiqua"/>
          <w:bCs/>
          <w:sz w:val="24"/>
          <w:szCs w:val="24"/>
          <w:lang w:val="en-US" w:eastAsia="tr-TR"/>
        </w:rPr>
        <w:t xml:space="preserve">These findings should constitute a reliable guideline </w:t>
      </w:r>
      <w:r w:rsidR="003D0836" w:rsidRPr="00A828B6">
        <w:rPr>
          <w:rFonts w:ascii="Book Antiqua" w:eastAsia="Times New Roman" w:hAnsi="Book Antiqua"/>
          <w:bCs/>
          <w:sz w:val="24"/>
          <w:szCs w:val="24"/>
          <w:lang w:val="en-US" w:eastAsia="tr-TR"/>
        </w:rPr>
        <w:t>to</w:t>
      </w:r>
      <w:r w:rsidRPr="00A828B6">
        <w:rPr>
          <w:rFonts w:ascii="Book Antiqua" w:eastAsia="Times New Roman" w:hAnsi="Book Antiqua"/>
          <w:bCs/>
          <w:sz w:val="24"/>
          <w:szCs w:val="24"/>
          <w:lang w:val="en-US" w:eastAsia="tr-TR"/>
        </w:rPr>
        <w:t xml:space="preserve"> evaluat</w:t>
      </w:r>
      <w:r w:rsidR="003D0836" w:rsidRPr="00A828B6">
        <w:rPr>
          <w:rFonts w:ascii="Book Antiqua" w:eastAsia="Times New Roman" w:hAnsi="Book Antiqua"/>
          <w:bCs/>
          <w:sz w:val="24"/>
          <w:szCs w:val="24"/>
          <w:lang w:val="en-US" w:eastAsia="tr-TR"/>
        </w:rPr>
        <w:t>e</w:t>
      </w:r>
      <w:r w:rsidRPr="00A828B6">
        <w:rPr>
          <w:rFonts w:ascii="Book Antiqua" w:eastAsia="Times New Roman" w:hAnsi="Book Antiqua"/>
          <w:bCs/>
          <w:sz w:val="24"/>
          <w:szCs w:val="24"/>
          <w:lang w:val="en-US" w:eastAsia="tr-TR"/>
        </w:rPr>
        <w:t xml:space="preserve"> patients at the transplant center.</w:t>
      </w:r>
    </w:p>
    <w:p w14:paraId="17482612" w14:textId="77777777" w:rsidR="00296C61" w:rsidRPr="00A828B6" w:rsidRDefault="00296C61" w:rsidP="001A5A01">
      <w:pPr>
        <w:spacing w:after="0" w:line="360" w:lineRule="auto"/>
        <w:jc w:val="both"/>
        <w:rPr>
          <w:rFonts w:ascii="Book Antiqua" w:hAnsi="Book Antiqua"/>
          <w:b/>
          <w:i/>
          <w:sz w:val="24"/>
        </w:rPr>
      </w:pPr>
      <w:bookmarkStart w:id="34" w:name="OLE_LINK512"/>
      <w:bookmarkStart w:id="35" w:name="OLE_LINK416"/>
      <w:bookmarkStart w:id="36" w:name="OLE_LINK400"/>
      <w:bookmarkStart w:id="37" w:name="OLE_LINK386"/>
      <w:bookmarkStart w:id="38" w:name="OLE_LINK377"/>
      <w:bookmarkStart w:id="39" w:name="OLE_LINK349"/>
      <w:bookmarkStart w:id="40" w:name="OLE_LINK323"/>
      <w:bookmarkStart w:id="41" w:name="OLE_LINK13"/>
    </w:p>
    <w:p w14:paraId="45E94852" w14:textId="77777777" w:rsidR="00296C61" w:rsidRPr="00A828B6" w:rsidRDefault="00296C61" w:rsidP="001A5A01">
      <w:pPr>
        <w:spacing w:after="0" w:line="360" w:lineRule="auto"/>
        <w:jc w:val="both"/>
        <w:rPr>
          <w:rFonts w:ascii="Book Antiqua" w:hAnsi="Book Antiqua"/>
          <w:b/>
          <w:i/>
          <w:sz w:val="24"/>
        </w:rPr>
      </w:pPr>
      <w:bookmarkStart w:id="42" w:name="OLE_LINK599"/>
      <w:bookmarkStart w:id="43" w:name="OLE_LINK598"/>
      <w:r w:rsidRPr="00A828B6">
        <w:rPr>
          <w:rFonts w:ascii="Book Antiqua" w:hAnsi="Book Antiqua"/>
          <w:b/>
          <w:i/>
          <w:sz w:val="24"/>
        </w:rPr>
        <w:t>Peer-review</w:t>
      </w:r>
      <w:bookmarkEnd w:id="34"/>
      <w:bookmarkEnd w:id="35"/>
      <w:bookmarkEnd w:id="36"/>
      <w:bookmarkEnd w:id="37"/>
      <w:bookmarkEnd w:id="38"/>
      <w:bookmarkEnd w:id="39"/>
      <w:bookmarkEnd w:id="40"/>
      <w:bookmarkEnd w:id="41"/>
      <w:bookmarkEnd w:id="42"/>
      <w:bookmarkEnd w:id="43"/>
    </w:p>
    <w:p w14:paraId="333BC37A" w14:textId="77777777" w:rsidR="00A828B6" w:rsidRDefault="00A828B6" w:rsidP="001A5A01">
      <w:pPr>
        <w:autoSpaceDE w:val="0"/>
        <w:autoSpaceDN w:val="0"/>
        <w:adjustRightInd w:val="0"/>
        <w:snapToGrid w:val="0"/>
        <w:spacing w:after="0" w:line="360" w:lineRule="auto"/>
        <w:jc w:val="both"/>
        <w:rPr>
          <w:rFonts w:ascii="Book Antiqua" w:hAnsi="Book Antiqua"/>
          <w:sz w:val="24"/>
          <w:szCs w:val="24"/>
          <w:lang w:val="en-US" w:eastAsia="zh-CN"/>
        </w:rPr>
      </w:pPr>
      <w:r w:rsidRPr="00A828B6">
        <w:rPr>
          <w:rFonts w:ascii="Book Antiqua" w:hAnsi="Book Antiqua"/>
          <w:sz w:val="24"/>
          <w:szCs w:val="24"/>
          <w:lang w:val="en-US"/>
        </w:rPr>
        <w:t xml:space="preserve">This retrospective study describes NAFLD-related clinical diagnosis over 250 patients in Turkish origin. One of the unique and strength of this study is to show </w:t>
      </w:r>
      <w:r w:rsidRPr="00A828B6">
        <w:rPr>
          <w:rFonts w:ascii="Book Antiqua" w:hAnsi="Book Antiqua"/>
          <w:sz w:val="24"/>
          <w:szCs w:val="24"/>
          <w:lang w:val="en-US"/>
        </w:rPr>
        <w:lastRenderedPageBreak/>
        <w:t xml:space="preserve">higher risk of portal vein thrombosis and fundic varices, on the other hand, elderlies are more prone to cirrhosis, HCC and high mortality rates. </w:t>
      </w:r>
    </w:p>
    <w:p w14:paraId="34E76306" w14:textId="05386FA1" w:rsidR="00A914B2" w:rsidRDefault="009971D8" w:rsidP="001A5A01">
      <w:pPr>
        <w:autoSpaceDE w:val="0"/>
        <w:autoSpaceDN w:val="0"/>
        <w:adjustRightInd w:val="0"/>
        <w:snapToGrid w:val="0"/>
        <w:spacing w:after="0" w:line="360" w:lineRule="auto"/>
        <w:jc w:val="both"/>
        <w:rPr>
          <w:rFonts w:ascii="Book Antiqua" w:hAnsi="Book Antiqua"/>
          <w:b/>
          <w:sz w:val="24"/>
          <w:szCs w:val="24"/>
          <w:lang w:eastAsia="zh-CN"/>
        </w:rPr>
      </w:pPr>
      <w:r w:rsidRPr="00A828B6">
        <w:rPr>
          <w:rFonts w:ascii="Book Antiqua" w:hAnsi="Book Antiqua"/>
          <w:sz w:val="24"/>
          <w:szCs w:val="24"/>
          <w:lang w:val="en-US"/>
        </w:rPr>
        <w:br w:type="page"/>
      </w:r>
      <w:bookmarkStart w:id="44" w:name="OLE_LINK347"/>
      <w:bookmarkStart w:id="45" w:name="OLE_LINK346"/>
      <w:r w:rsidR="00296C61" w:rsidRPr="00A828B6">
        <w:rPr>
          <w:rFonts w:ascii="Book Antiqua" w:hAnsi="Book Antiqua"/>
          <w:b/>
          <w:sz w:val="24"/>
          <w:szCs w:val="24"/>
        </w:rPr>
        <w:lastRenderedPageBreak/>
        <w:t>REFERENCES</w:t>
      </w:r>
      <w:bookmarkEnd w:id="44"/>
      <w:bookmarkEnd w:id="45"/>
    </w:p>
    <w:p w14:paraId="01075BD9"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1 </w:t>
      </w:r>
      <w:r w:rsidRPr="00C63AE9">
        <w:rPr>
          <w:rFonts w:ascii="Book Antiqua" w:eastAsia="宋体" w:hAnsi="Book Antiqua" w:cs="宋体"/>
          <w:b/>
          <w:bCs/>
          <w:sz w:val="24"/>
          <w:szCs w:val="24"/>
        </w:rPr>
        <w:t>Basaranoglu M</w:t>
      </w:r>
      <w:r w:rsidRPr="00C63AE9">
        <w:rPr>
          <w:rFonts w:ascii="Book Antiqua" w:eastAsia="宋体" w:hAnsi="Book Antiqua" w:cs="宋体"/>
          <w:sz w:val="24"/>
          <w:szCs w:val="24"/>
        </w:rPr>
        <w:t>, Basaranoglu G, Sabuncu T, Sentürk H. Fructose as a key player in the development of fatty liver disease. </w:t>
      </w:r>
      <w:r w:rsidRPr="00C63AE9">
        <w:rPr>
          <w:rFonts w:ascii="Book Antiqua" w:eastAsia="宋体" w:hAnsi="Book Antiqua" w:cs="宋体"/>
          <w:i/>
          <w:iCs/>
          <w:sz w:val="24"/>
          <w:szCs w:val="24"/>
        </w:rPr>
        <w:t>World J Gastroenterol</w:t>
      </w:r>
      <w:r w:rsidRPr="00C63AE9">
        <w:rPr>
          <w:rFonts w:ascii="Book Antiqua" w:eastAsia="宋体" w:hAnsi="Book Antiqua" w:cs="宋体"/>
          <w:sz w:val="24"/>
          <w:szCs w:val="24"/>
        </w:rPr>
        <w:t> 2013; </w:t>
      </w:r>
      <w:r w:rsidRPr="00C63AE9">
        <w:rPr>
          <w:rFonts w:ascii="Book Antiqua" w:eastAsia="宋体" w:hAnsi="Book Antiqua" w:cs="宋体"/>
          <w:b/>
          <w:bCs/>
          <w:sz w:val="24"/>
          <w:szCs w:val="24"/>
        </w:rPr>
        <w:t>19</w:t>
      </w:r>
      <w:r w:rsidRPr="00C63AE9">
        <w:rPr>
          <w:rFonts w:ascii="Book Antiqua" w:eastAsia="宋体" w:hAnsi="Book Antiqua" w:cs="宋体"/>
          <w:sz w:val="24"/>
          <w:szCs w:val="24"/>
        </w:rPr>
        <w:t>: 1166-1172 [PMID: 23482247</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C63AE9">
        <w:rPr>
          <w:rFonts w:ascii="Book Antiqua" w:eastAsia="宋体" w:hAnsi="Book Antiqua" w:cs="宋体"/>
          <w:sz w:val="24"/>
          <w:szCs w:val="24"/>
        </w:rPr>
        <w:t>10.3748/wjg.v19.i8.1166]</w:t>
      </w:r>
    </w:p>
    <w:p w14:paraId="125B527A"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2 </w:t>
      </w:r>
      <w:r w:rsidRPr="00C63AE9">
        <w:rPr>
          <w:rFonts w:ascii="Book Antiqua" w:eastAsia="宋体" w:hAnsi="Book Antiqua" w:cs="宋体"/>
          <w:b/>
          <w:bCs/>
          <w:sz w:val="24"/>
          <w:szCs w:val="24"/>
        </w:rPr>
        <w:t>Caldwell S</w:t>
      </w:r>
      <w:r w:rsidRPr="00C63AE9">
        <w:rPr>
          <w:rFonts w:ascii="Book Antiqua" w:eastAsia="宋体" w:hAnsi="Book Antiqua" w:cs="宋体"/>
          <w:sz w:val="24"/>
          <w:szCs w:val="24"/>
        </w:rPr>
        <w:t>, Argo C. The natural history of non-alcoholic fatty liver disease. </w:t>
      </w:r>
      <w:r w:rsidRPr="00C63AE9">
        <w:rPr>
          <w:rFonts w:ascii="Book Antiqua" w:eastAsia="宋体" w:hAnsi="Book Antiqua" w:cs="宋体"/>
          <w:i/>
          <w:iCs/>
          <w:sz w:val="24"/>
          <w:szCs w:val="24"/>
        </w:rPr>
        <w:t>Dig Dis</w:t>
      </w:r>
      <w:r w:rsidRPr="00C63AE9">
        <w:rPr>
          <w:rFonts w:ascii="Book Antiqua" w:eastAsia="宋体" w:hAnsi="Book Antiqua" w:cs="宋体"/>
          <w:sz w:val="24"/>
          <w:szCs w:val="24"/>
        </w:rPr>
        <w:t> 2010; </w:t>
      </w:r>
      <w:r w:rsidRPr="00C63AE9">
        <w:rPr>
          <w:rFonts w:ascii="Book Antiqua" w:eastAsia="宋体" w:hAnsi="Book Antiqua" w:cs="宋体"/>
          <w:b/>
          <w:bCs/>
          <w:sz w:val="24"/>
          <w:szCs w:val="24"/>
        </w:rPr>
        <w:t>28</w:t>
      </w:r>
      <w:r w:rsidRPr="00C63AE9">
        <w:rPr>
          <w:rFonts w:ascii="Book Antiqua" w:eastAsia="宋体" w:hAnsi="Book Antiqua" w:cs="宋体"/>
          <w:sz w:val="24"/>
          <w:szCs w:val="24"/>
        </w:rPr>
        <w:t>: 162-168 [PMID: 20460906</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C63AE9">
        <w:rPr>
          <w:rFonts w:ascii="Book Antiqua" w:eastAsia="宋体" w:hAnsi="Book Antiqua" w:cs="宋体"/>
          <w:sz w:val="24"/>
          <w:szCs w:val="24"/>
        </w:rPr>
        <w:t>10.1159/000282081]</w:t>
      </w:r>
    </w:p>
    <w:p w14:paraId="5477C01A"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3 </w:t>
      </w:r>
      <w:r w:rsidRPr="00C63AE9">
        <w:rPr>
          <w:rFonts w:ascii="Book Antiqua" w:eastAsia="宋体" w:hAnsi="Book Antiqua" w:cs="宋体"/>
          <w:b/>
          <w:bCs/>
          <w:sz w:val="24"/>
          <w:szCs w:val="24"/>
        </w:rPr>
        <w:t>Mittal S</w:t>
      </w:r>
      <w:r w:rsidRPr="00C63AE9">
        <w:rPr>
          <w:rFonts w:ascii="Book Antiqua" w:eastAsia="宋体" w:hAnsi="Book Antiqua" w:cs="宋体"/>
          <w:sz w:val="24"/>
          <w:szCs w:val="24"/>
        </w:rPr>
        <w:t>, Sada YH, El-Serag HB, Kanwal F, Duan Z, Temple S, May SB, Kramer JR, Richardson PA, Davila JA. Temporal trends of nonalcoholic fatty liver disease-related hepatocellular carcinoma in the veteran affairs population. </w:t>
      </w:r>
      <w:r w:rsidRPr="00C63AE9">
        <w:rPr>
          <w:rFonts w:ascii="Book Antiqua" w:eastAsia="宋体" w:hAnsi="Book Antiqua" w:cs="宋体"/>
          <w:i/>
          <w:iCs/>
          <w:sz w:val="24"/>
          <w:szCs w:val="24"/>
        </w:rPr>
        <w:t>Clin Gastroenterol Hepatol</w:t>
      </w:r>
      <w:r w:rsidRPr="00C63AE9">
        <w:rPr>
          <w:rFonts w:ascii="Book Antiqua" w:eastAsia="宋体" w:hAnsi="Book Antiqua" w:cs="宋体"/>
          <w:sz w:val="24"/>
          <w:szCs w:val="24"/>
        </w:rPr>
        <w:t> 2015; </w:t>
      </w:r>
      <w:r w:rsidRPr="00C63AE9">
        <w:rPr>
          <w:rFonts w:ascii="Book Antiqua" w:eastAsia="宋体" w:hAnsi="Book Antiqua" w:cs="宋体"/>
          <w:b/>
          <w:bCs/>
          <w:sz w:val="24"/>
          <w:szCs w:val="24"/>
        </w:rPr>
        <w:t>13</w:t>
      </w:r>
      <w:r w:rsidRPr="00C63AE9">
        <w:rPr>
          <w:rFonts w:ascii="Book Antiqua" w:eastAsia="宋体" w:hAnsi="Book Antiqua" w:cs="宋体"/>
          <w:sz w:val="24"/>
          <w:szCs w:val="24"/>
        </w:rPr>
        <w:t>: 594-601.e1 [PMID: 25148760 DOI: 10.1016/j.cgh.2014.08.013</w:t>
      </w:r>
      <w:r>
        <w:rPr>
          <w:rFonts w:ascii="Book Antiqua" w:eastAsia="宋体" w:hAnsi="Book Antiqua" w:cs="宋体"/>
          <w:sz w:val="24"/>
          <w:szCs w:val="24"/>
        </w:rPr>
        <w:t>]</w:t>
      </w:r>
    </w:p>
    <w:p w14:paraId="11118A1D"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4 </w:t>
      </w:r>
      <w:r w:rsidRPr="00C63AE9">
        <w:rPr>
          <w:rFonts w:ascii="Book Antiqua" w:eastAsia="宋体" w:hAnsi="Book Antiqua" w:cs="宋体"/>
          <w:b/>
          <w:bCs/>
          <w:sz w:val="24"/>
          <w:szCs w:val="24"/>
        </w:rPr>
        <w:t>Baffy G</w:t>
      </w:r>
      <w:r w:rsidRPr="00C63AE9">
        <w:rPr>
          <w:rFonts w:ascii="Book Antiqua" w:eastAsia="宋体" w:hAnsi="Book Antiqua" w:cs="宋体"/>
          <w:sz w:val="24"/>
          <w:szCs w:val="24"/>
        </w:rPr>
        <w:t>, Brunt EM, Caldwell SH. Hepatocellular carcinoma in non-alcoholic fatty liver disease: an emerging menace. </w:t>
      </w:r>
      <w:r w:rsidRPr="00C63AE9">
        <w:rPr>
          <w:rFonts w:ascii="Book Antiqua" w:eastAsia="宋体" w:hAnsi="Book Antiqua" w:cs="宋体"/>
          <w:i/>
          <w:iCs/>
          <w:sz w:val="24"/>
          <w:szCs w:val="24"/>
        </w:rPr>
        <w:t>J Hepatol</w:t>
      </w:r>
      <w:r w:rsidRPr="00C63AE9">
        <w:rPr>
          <w:rFonts w:ascii="Book Antiqua" w:eastAsia="宋体" w:hAnsi="Book Antiqua" w:cs="宋体"/>
          <w:sz w:val="24"/>
          <w:szCs w:val="24"/>
        </w:rPr>
        <w:t> 2012; </w:t>
      </w:r>
      <w:r w:rsidRPr="00C63AE9">
        <w:rPr>
          <w:rFonts w:ascii="Book Antiqua" w:eastAsia="宋体" w:hAnsi="Book Antiqua" w:cs="宋体"/>
          <w:b/>
          <w:bCs/>
          <w:sz w:val="24"/>
          <w:szCs w:val="24"/>
        </w:rPr>
        <w:t>56</w:t>
      </w:r>
      <w:r w:rsidRPr="00C63AE9">
        <w:rPr>
          <w:rFonts w:ascii="Book Antiqua" w:eastAsia="宋体" w:hAnsi="Book Antiqua" w:cs="宋体"/>
          <w:sz w:val="24"/>
          <w:szCs w:val="24"/>
        </w:rPr>
        <w:t>: 1384-1391 [PMID: 22326465</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C63AE9">
        <w:rPr>
          <w:rFonts w:ascii="Book Antiqua" w:eastAsia="宋体" w:hAnsi="Book Antiqua" w:cs="宋体"/>
          <w:sz w:val="24"/>
          <w:szCs w:val="24"/>
        </w:rPr>
        <w:t>10.1016/j.jhep.2011.10.027]</w:t>
      </w:r>
    </w:p>
    <w:p w14:paraId="68EC428A"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5 </w:t>
      </w:r>
      <w:r w:rsidRPr="00C63AE9">
        <w:rPr>
          <w:rFonts w:ascii="Book Antiqua" w:eastAsia="宋体" w:hAnsi="Book Antiqua" w:cs="宋体"/>
          <w:b/>
          <w:bCs/>
          <w:sz w:val="24"/>
          <w:szCs w:val="24"/>
        </w:rPr>
        <w:t>Schütte K</w:t>
      </w:r>
      <w:r w:rsidRPr="00C63AE9">
        <w:rPr>
          <w:rFonts w:ascii="Book Antiqua" w:eastAsia="宋体" w:hAnsi="Book Antiqua" w:cs="宋体"/>
          <w:sz w:val="24"/>
          <w:szCs w:val="24"/>
        </w:rPr>
        <w:t>, Schulz C, Poranzke J, Antweiler K, Bornschein J, Bretschneider T, Arend J, Ricke J, Malfertheiner P. Characterization and prognosis of patients with hepatocellular carcinoma (HCC) in the non-cirrhotic liver. </w:t>
      </w:r>
      <w:r w:rsidRPr="00C63AE9">
        <w:rPr>
          <w:rFonts w:ascii="Book Antiqua" w:eastAsia="宋体" w:hAnsi="Book Antiqua" w:cs="宋体"/>
          <w:i/>
          <w:iCs/>
          <w:sz w:val="24"/>
          <w:szCs w:val="24"/>
        </w:rPr>
        <w:t>BMC Gastroenterol</w:t>
      </w:r>
      <w:r w:rsidRPr="00C63AE9">
        <w:rPr>
          <w:rFonts w:ascii="Book Antiqua" w:eastAsia="宋体" w:hAnsi="Book Antiqua" w:cs="宋体"/>
          <w:sz w:val="24"/>
          <w:szCs w:val="24"/>
        </w:rPr>
        <w:t> 2014; </w:t>
      </w:r>
      <w:r w:rsidRPr="00C63AE9">
        <w:rPr>
          <w:rFonts w:ascii="Book Antiqua" w:eastAsia="宋体" w:hAnsi="Book Antiqua" w:cs="宋体"/>
          <w:b/>
          <w:bCs/>
          <w:sz w:val="24"/>
          <w:szCs w:val="24"/>
        </w:rPr>
        <w:t>14</w:t>
      </w:r>
      <w:r w:rsidRPr="00C63AE9">
        <w:rPr>
          <w:rFonts w:ascii="Book Antiqua" w:eastAsia="宋体" w:hAnsi="Book Antiqua" w:cs="宋体"/>
          <w:sz w:val="24"/>
          <w:szCs w:val="24"/>
        </w:rPr>
        <w:t>: 117 [PMID: 24990270 DOI: 10.1186/1471-230X-14-117</w:t>
      </w:r>
      <w:r>
        <w:rPr>
          <w:rFonts w:ascii="Book Antiqua" w:eastAsia="宋体" w:hAnsi="Book Antiqua" w:cs="宋体"/>
          <w:sz w:val="24"/>
          <w:szCs w:val="24"/>
        </w:rPr>
        <w:t>]</w:t>
      </w:r>
    </w:p>
    <w:p w14:paraId="4AC19753"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6 </w:t>
      </w:r>
      <w:r w:rsidRPr="00C63AE9">
        <w:rPr>
          <w:rFonts w:ascii="Book Antiqua" w:eastAsia="宋体" w:hAnsi="Book Antiqua" w:cs="宋体"/>
          <w:b/>
          <w:bCs/>
          <w:sz w:val="24"/>
          <w:szCs w:val="24"/>
        </w:rPr>
        <w:t>Bencheqroun R</w:t>
      </w:r>
      <w:r w:rsidRPr="00C63AE9">
        <w:rPr>
          <w:rFonts w:ascii="Book Antiqua" w:eastAsia="宋体" w:hAnsi="Book Antiqua" w:cs="宋体"/>
          <w:sz w:val="24"/>
          <w:szCs w:val="24"/>
        </w:rPr>
        <w:t>, Duvoux C, Luciani A, Zafrani ES, Dhumeaux D. [Hepatocellular carcinoma without cirrhosis in a patient with nonalcoholic steatohepatitis]. </w:t>
      </w:r>
      <w:r w:rsidRPr="00C63AE9">
        <w:rPr>
          <w:rFonts w:ascii="Book Antiqua" w:eastAsia="宋体" w:hAnsi="Book Antiqua" w:cs="宋体"/>
          <w:i/>
          <w:iCs/>
          <w:sz w:val="24"/>
          <w:szCs w:val="24"/>
        </w:rPr>
        <w:t>Gastroenterol Clin Biol</w:t>
      </w:r>
      <w:r w:rsidRPr="00C63AE9">
        <w:rPr>
          <w:rFonts w:ascii="Book Antiqua" w:eastAsia="宋体" w:hAnsi="Book Antiqua" w:cs="宋体"/>
          <w:sz w:val="24"/>
          <w:szCs w:val="24"/>
        </w:rPr>
        <w:t> 2004; </w:t>
      </w:r>
      <w:r w:rsidRPr="00C63AE9">
        <w:rPr>
          <w:rFonts w:ascii="Book Antiqua" w:eastAsia="宋体" w:hAnsi="Book Antiqua" w:cs="宋体"/>
          <w:b/>
          <w:bCs/>
          <w:sz w:val="24"/>
          <w:szCs w:val="24"/>
        </w:rPr>
        <w:t>28</w:t>
      </w:r>
      <w:r w:rsidRPr="00C63AE9">
        <w:rPr>
          <w:rFonts w:ascii="Book Antiqua" w:eastAsia="宋体" w:hAnsi="Book Antiqua" w:cs="宋体"/>
          <w:sz w:val="24"/>
          <w:szCs w:val="24"/>
        </w:rPr>
        <w:t>: 497-499 [PMID: 15243330</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C63AE9">
        <w:rPr>
          <w:rFonts w:ascii="Book Antiqua" w:eastAsia="宋体" w:hAnsi="Book Antiqua" w:cs="宋体"/>
          <w:sz w:val="24"/>
          <w:szCs w:val="24"/>
        </w:rPr>
        <w:t>10.1016/S0399-8320(04)94971-8]</w:t>
      </w:r>
    </w:p>
    <w:p w14:paraId="7FD73A44"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7 </w:t>
      </w:r>
      <w:r w:rsidRPr="00C63AE9">
        <w:rPr>
          <w:rFonts w:ascii="Book Antiqua" w:eastAsia="宋体" w:hAnsi="Book Antiqua" w:cs="宋体"/>
          <w:b/>
          <w:bCs/>
          <w:sz w:val="24"/>
          <w:szCs w:val="24"/>
        </w:rPr>
        <w:t>Bullock RE</w:t>
      </w:r>
      <w:r w:rsidRPr="00C63AE9">
        <w:rPr>
          <w:rFonts w:ascii="Book Antiqua" w:eastAsia="宋体" w:hAnsi="Book Antiqua" w:cs="宋体"/>
          <w:sz w:val="24"/>
          <w:szCs w:val="24"/>
        </w:rPr>
        <w:t>, Zaitoun AM, Aithal GP, Ryder SD, Beckingham IJ, Lobo DN. Association of non-alcoholic steatohepatitis without significant fibrosis with hepatocellular carcinoma. </w:t>
      </w:r>
      <w:r w:rsidRPr="00C63AE9">
        <w:rPr>
          <w:rFonts w:ascii="Book Antiqua" w:eastAsia="宋体" w:hAnsi="Book Antiqua" w:cs="宋体"/>
          <w:i/>
          <w:iCs/>
          <w:sz w:val="24"/>
          <w:szCs w:val="24"/>
        </w:rPr>
        <w:t>J Hepatol</w:t>
      </w:r>
      <w:r w:rsidRPr="00C63AE9">
        <w:rPr>
          <w:rFonts w:ascii="Book Antiqua" w:eastAsia="宋体" w:hAnsi="Book Antiqua" w:cs="宋体"/>
          <w:sz w:val="24"/>
          <w:szCs w:val="24"/>
        </w:rPr>
        <w:t> 2004; </w:t>
      </w:r>
      <w:r w:rsidRPr="00C63AE9">
        <w:rPr>
          <w:rFonts w:ascii="Book Antiqua" w:eastAsia="宋体" w:hAnsi="Book Antiqua" w:cs="宋体"/>
          <w:b/>
          <w:bCs/>
          <w:sz w:val="24"/>
          <w:szCs w:val="24"/>
        </w:rPr>
        <w:t>41</w:t>
      </w:r>
      <w:r w:rsidRPr="00C63AE9">
        <w:rPr>
          <w:rFonts w:ascii="Book Antiqua" w:eastAsia="宋体" w:hAnsi="Book Antiqua" w:cs="宋体"/>
          <w:sz w:val="24"/>
          <w:szCs w:val="24"/>
        </w:rPr>
        <w:t>: 685-686 [PMID: 15464253</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C63AE9">
        <w:rPr>
          <w:rFonts w:ascii="Book Antiqua" w:eastAsia="宋体" w:hAnsi="Book Antiqua" w:cs="宋体"/>
          <w:sz w:val="24"/>
          <w:szCs w:val="24"/>
        </w:rPr>
        <w:t>10.1016/j.jhep.2004.05.008]</w:t>
      </w:r>
    </w:p>
    <w:p w14:paraId="7EE35137"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8 </w:t>
      </w:r>
      <w:r w:rsidRPr="00C63AE9">
        <w:rPr>
          <w:rFonts w:ascii="Book Antiqua" w:eastAsia="宋体" w:hAnsi="Book Antiqua" w:cs="宋体"/>
          <w:b/>
          <w:bCs/>
          <w:sz w:val="24"/>
          <w:szCs w:val="24"/>
        </w:rPr>
        <w:t>Gonzalez L</w:t>
      </w:r>
      <w:r w:rsidRPr="00C63AE9">
        <w:rPr>
          <w:rFonts w:ascii="Book Antiqua" w:eastAsia="宋体" w:hAnsi="Book Antiqua" w:cs="宋体"/>
          <w:sz w:val="24"/>
          <w:szCs w:val="24"/>
        </w:rPr>
        <w:t xml:space="preserve">, Blanc JF, Sa Cunha A, Rullier A, Saric J, Le Bail B, Balabaud C, Bioulac-Sage P. Obesity as a risk factor for hepatocellular carcinoma in a noncirrhotic </w:t>
      </w:r>
      <w:r w:rsidRPr="00C63AE9">
        <w:rPr>
          <w:rFonts w:ascii="Book Antiqua" w:eastAsia="宋体" w:hAnsi="Book Antiqua" w:cs="宋体"/>
          <w:sz w:val="24"/>
          <w:szCs w:val="24"/>
        </w:rPr>
        <w:lastRenderedPageBreak/>
        <w:t>patient. </w:t>
      </w:r>
      <w:r w:rsidRPr="00C63AE9">
        <w:rPr>
          <w:rFonts w:ascii="Book Antiqua" w:eastAsia="宋体" w:hAnsi="Book Antiqua" w:cs="宋体"/>
          <w:i/>
          <w:iCs/>
          <w:sz w:val="24"/>
          <w:szCs w:val="24"/>
        </w:rPr>
        <w:t>Semin Liver Dis</w:t>
      </w:r>
      <w:r w:rsidRPr="00C63AE9">
        <w:rPr>
          <w:rFonts w:ascii="Book Antiqua" w:eastAsia="宋体" w:hAnsi="Book Antiqua" w:cs="宋体"/>
          <w:sz w:val="24"/>
          <w:szCs w:val="24"/>
        </w:rPr>
        <w:t> 2004; </w:t>
      </w:r>
      <w:r w:rsidRPr="00C63AE9">
        <w:rPr>
          <w:rFonts w:ascii="Book Antiqua" w:eastAsia="宋体" w:hAnsi="Book Antiqua" w:cs="宋体"/>
          <w:b/>
          <w:bCs/>
          <w:sz w:val="24"/>
          <w:szCs w:val="24"/>
        </w:rPr>
        <w:t>24</w:t>
      </w:r>
      <w:r w:rsidRPr="00C63AE9">
        <w:rPr>
          <w:rFonts w:ascii="Book Antiqua" w:eastAsia="宋体" w:hAnsi="Book Antiqua" w:cs="宋体"/>
          <w:sz w:val="24"/>
          <w:szCs w:val="24"/>
        </w:rPr>
        <w:t>: 415-419 [PMID: 15605309</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C63AE9">
        <w:rPr>
          <w:rFonts w:ascii="Book Antiqua" w:eastAsia="宋体" w:hAnsi="Book Antiqua" w:cs="宋体"/>
          <w:sz w:val="24"/>
          <w:szCs w:val="24"/>
        </w:rPr>
        <w:t>10.1055/s-2004-860870]</w:t>
      </w:r>
    </w:p>
    <w:p w14:paraId="71AF9740"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9 </w:t>
      </w:r>
      <w:r w:rsidRPr="00C63AE9">
        <w:rPr>
          <w:rFonts w:ascii="Book Antiqua" w:eastAsia="宋体" w:hAnsi="Book Antiqua" w:cs="宋体"/>
          <w:b/>
          <w:bCs/>
          <w:sz w:val="24"/>
          <w:szCs w:val="24"/>
        </w:rPr>
        <w:t>Hai S</w:t>
      </w:r>
      <w:r w:rsidRPr="00C63AE9">
        <w:rPr>
          <w:rFonts w:ascii="Book Antiqua" w:eastAsia="宋体" w:hAnsi="Book Antiqua" w:cs="宋体"/>
          <w:sz w:val="24"/>
          <w:szCs w:val="24"/>
        </w:rPr>
        <w:t>, Kubo S, Shuto T, Tanaka H, Takemura S, Yamamoto T, Kanazawa A, Ogawa M, Hirohashi K, Wakasa K. Hepatocellular carcinoma arising from nonalcoholic steatohepatitis: report of two cases. </w:t>
      </w:r>
      <w:r w:rsidRPr="00C63AE9">
        <w:rPr>
          <w:rFonts w:ascii="Book Antiqua" w:eastAsia="宋体" w:hAnsi="Book Antiqua" w:cs="宋体"/>
          <w:i/>
          <w:iCs/>
          <w:sz w:val="24"/>
          <w:szCs w:val="24"/>
        </w:rPr>
        <w:t>Surg Today</w:t>
      </w:r>
      <w:r w:rsidRPr="00C63AE9">
        <w:rPr>
          <w:rFonts w:ascii="Book Antiqua" w:eastAsia="宋体" w:hAnsi="Book Antiqua" w:cs="宋体"/>
          <w:sz w:val="24"/>
          <w:szCs w:val="24"/>
        </w:rPr>
        <w:t> 2006; </w:t>
      </w:r>
      <w:r w:rsidRPr="00C63AE9">
        <w:rPr>
          <w:rFonts w:ascii="Book Antiqua" w:eastAsia="宋体" w:hAnsi="Book Antiqua" w:cs="宋体"/>
          <w:b/>
          <w:bCs/>
          <w:sz w:val="24"/>
          <w:szCs w:val="24"/>
        </w:rPr>
        <w:t>36</w:t>
      </w:r>
      <w:r w:rsidRPr="00C63AE9">
        <w:rPr>
          <w:rFonts w:ascii="Book Antiqua" w:eastAsia="宋体" w:hAnsi="Book Antiqua" w:cs="宋体"/>
          <w:sz w:val="24"/>
          <w:szCs w:val="24"/>
        </w:rPr>
        <w:t>: 390-394 [PMID: 16554999</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C63AE9">
        <w:rPr>
          <w:rFonts w:ascii="Book Antiqua" w:eastAsia="宋体" w:hAnsi="Book Antiqua" w:cs="宋体"/>
          <w:sz w:val="24"/>
          <w:szCs w:val="24"/>
        </w:rPr>
        <w:t>10.1007/s00595-005-3167-4]</w:t>
      </w:r>
    </w:p>
    <w:p w14:paraId="784A5E38"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10 </w:t>
      </w:r>
      <w:r w:rsidRPr="00C63AE9">
        <w:rPr>
          <w:rFonts w:ascii="Book Antiqua" w:eastAsia="宋体" w:hAnsi="Book Antiqua" w:cs="宋体"/>
          <w:b/>
          <w:bCs/>
          <w:sz w:val="24"/>
          <w:szCs w:val="24"/>
        </w:rPr>
        <w:t>Hashizume H</w:t>
      </w:r>
      <w:r w:rsidRPr="00C63AE9">
        <w:rPr>
          <w:rFonts w:ascii="Book Antiqua" w:eastAsia="宋体" w:hAnsi="Book Antiqua" w:cs="宋体"/>
          <w:sz w:val="24"/>
          <w:szCs w:val="24"/>
        </w:rPr>
        <w:t>, Sato K, Takagi H, Hirokawa T, Kojima A, Sohara N, Kakizaki S, Mochida Y, Shimura T, Sunose Y, Ohwada S, Mori M. Primary liver cancers with nonalcoholic steatohepatitis. </w:t>
      </w:r>
      <w:r w:rsidRPr="00C63AE9">
        <w:rPr>
          <w:rFonts w:ascii="Book Antiqua" w:eastAsia="宋体" w:hAnsi="Book Antiqua" w:cs="宋体"/>
          <w:i/>
          <w:iCs/>
          <w:sz w:val="24"/>
          <w:szCs w:val="24"/>
        </w:rPr>
        <w:t>Eur J Gastroenterol Hepatol</w:t>
      </w:r>
      <w:r w:rsidRPr="00C63AE9">
        <w:rPr>
          <w:rFonts w:ascii="Book Antiqua" w:eastAsia="宋体" w:hAnsi="Book Antiqua" w:cs="宋体"/>
          <w:sz w:val="24"/>
          <w:szCs w:val="24"/>
        </w:rPr>
        <w:t> 2007; </w:t>
      </w:r>
      <w:r w:rsidRPr="00C63AE9">
        <w:rPr>
          <w:rFonts w:ascii="Book Antiqua" w:eastAsia="宋体" w:hAnsi="Book Antiqua" w:cs="宋体"/>
          <w:b/>
          <w:bCs/>
          <w:sz w:val="24"/>
          <w:szCs w:val="24"/>
        </w:rPr>
        <w:t>19</w:t>
      </w:r>
      <w:r w:rsidRPr="00C63AE9">
        <w:rPr>
          <w:rFonts w:ascii="Book Antiqua" w:eastAsia="宋体" w:hAnsi="Book Antiqua" w:cs="宋体"/>
          <w:sz w:val="24"/>
          <w:szCs w:val="24"/>
        </w:rPr>
        <w:t>: 827-834 [PMID: 17873605</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C63AE9">
        <w:rPr>
          <w:rFonts w:ascii="Book Antiqua" w:eastAsia="宋体" w:hAnsi="Book Antiqua" w:cs="宋体"/>
          <w:sz w:val="24"/>
          <w:szCs w:val="24"/>
        </w:rPr>
        <w:t>10.1097/MEG.0b013e3282748ef2]</w:t>
      </w:r>
    </w:p>
    <w:p w14:paraId="580D80CE"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11 </w:t>
      </w:r>
      <w:r w:rsidRPr="00C63AE9">
        <w:rPr>
          <w:rFonts w:ascii="Book Antiqua" w:eastAsia="宋体" w:hAnsi="Book Antiqua" w:cs="宋体"/>
          <w:b/>
          <w:bCs/>
          <w:sz w:val="24"/>
          <w:szCs w:val="24"/>
        </w:rPr>
        <w:t>Sung KC</w:t>
      </w:r>
      <w:r w:rsidRPr="00C63AE9">
        <w:rPr>
          <w:rFonts w:ascii="Book Antiqua" w:eastAsia="宋体" w:hAnsi="Book Antiqua" w:cs="宋体"/>
          <w:sz w:val="24"/>
          <w:szCs w:val="24"/>
        </w:rPr>
        <w:t>, Ryan MC, Wilson AM. The severity of nonalcoholic fatty liver disease is associated with increased cardiovascular risk in a large cohort of non-obese Asian subjects. </w:t>
      </w:r>
      <w:r w:rsidRPr="00C63AE9">
        <w:rPr>
          <w:rFonts w:ascii="Book Antiqua" w:eastAsia="宋体" w:hAnsi="Book Antiqua" w:cs="宋体"/>
          <w:i/>
          <w:iCs/>
          <w:sz w:val="24"/>
          <w:szCs w:val="24"/>
        </w:rPr>
        <w:t>Atherosclerosis</w:t>
      </w:r>
      <w:r w:rsidRPr="00C63AE9">
        <w:rPr>
          <w:rFonts w:ascii="Book Antiqua" w:eastAsia="宋体" w:hAnsi="Book Antiqua" w:cs="宋体"/>
          <w:sz w:val="24"/>
          <w:szCs w:val="24"/>
        </w:rPr>
        <w:t> 2009; </w:t>
      </w:r>
      <w:r w:rsidRPr="00C63AE9">
        <w:rPr>
          <w:rFonts w:ascii="Book Antiqua" w:eastAsia="宋体" w:hAnsi="Book Antiqua" w:cs="宋体"/>
          <w:b/>
          <w:bCs/>
          <w:sz w:val="24"/>
          <w:szCs w:val="24"/>
        </w:rPr>
        <w:t>203</w:t>
      </w:r>
      <w:r w:rsidRPr="00C63AE9">
        <w:rPr>
          <w:rFonts w:ascii="Book Antiqua" w:eastAsia="宋体" w:hAnsi="Book Antiqua" w:cs="宋体"/>
          <w:sz w:val="24"/>
          <w:szCs w:val="24"/>
        </w:rPr>
        <w:t>: 581-586 [PMID: 18774133 DOI: 10.1016/j.atherosclerosis.2008.07.024</w:t>
      </w:r>
      <w:r>
        <w:rPr>
          <w:rFonts w:ascii="Book Antiqua" w:eastAsia="宋体" w:hAnsi="Book Antiqua" w:cs="宋体"/>
          <w:sz w:val="24"/>
          <w:szCs w:val="24"/>
        </w:rPr>
        <w:t>]</w:t>
      </w:r>
    </w:p>
    <w:p w14:paraId="19133F6C"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12 </w:t>
      </w:r>
      <w:r w:rsidRPr="00C63AE9">
        <w:rPr>
          <w:rFonts w:ascii="Book Antiqua" w:eastAsia="宋体" w:hAnsi="Book Antiqua" w:cs="宋体"/>
          <w:b/>
          <w:bCs/>
          <w:sz w:val="24"/>
          <w:szCs w:val="24"/>
        </w:rPr>
        <w:t>Sinn DH</w:t>
      </w:r>
      <w:r w:rsidRPr="00C63AE9">
        <w:rPr>
          <w:rFonts w:ascii="Book Antiqua" w:eastAsia="宋体" w:hAnsi="Book Antiqua" w:cs="宋体"/>
          <w:sz w:val="24"/>
          <w:szCs w:val="24"/>
        </w:rPr>
        <w:t>, Gwak GY, Park HN, Kim JE, Min YW, Kim KM, Kim YJ, Choi MS, Lee JH, Koh KC, Paik SW, Yoo BC. Ultrasonographically detected non-alcoholic fatty liver disease is an independent predictor for identifying patients with insulin resistance in non-obese, non-diabetic middle-aged Asian adults. </w:t>
      </w:r>
      <w:r w:rsidRPr="00C63AE9">
        <w:rPr>
          <w:rFonts w:ascii="Book Antiqua" w:eastAsia="宋体" w:hAnsi="Book Antiqua" w:cs="宋体"/>
          <w:i/>
          <w:iCs/>
          <w:sz w:val="24"/>
          <w:szCs w:val="24"/>
        </w:rPr>
        <w:t>Am J Gastroenterol</w:t>
      </w:r>
      <w:r w:rsidRPr="00C63AE9">
        <w:rPr>
          <w:rFonts w:ascii="Book Antiqua" w:eastAsia="宋体" w:hAnsi="Book Antiqua" w:cs="宋体"/>
          <w:sz w:val="24"/>
          <w:szCs w:val="24"/>
        </w:rPr>
        <w:t> 2012; </w:t>
      </w:r>
      <w:r w:rsidRPr="00C63AE9">
        <w:rPr>
          <w:rFonts w:ascii="Book Antiqua" w:eastAsia="宋体" w:hAnsi="Book Antiqua" w:cs="宋体"/>
          <w:b/>
          <w:bCs/>
          <w:sz w:val="24"/>
          <w:szCs w:val="24"/>
        </w:rPr>
        <w:t>107</w:t>
      </w:r>
      <w:r w:rsidRPr="00C63AE9">
        <w:rPr>
          <w:rFonts w:ascii="Book Antiqua" w:eastAsia="宋体" w:hAnsi="Book Antiqua" w:cs="宋体"/>
          <w:sz w:val="24"/>
          <w:szCs w:val="24"/>
        </w:rPr>
        <w:t>: 561-567 [PMID: 22108448 DOI: 10.1038/ajg.2011.400</w:t>
      </w:r>
      <w:r>
        <w:rPr>
          <w:rFonts w:ascii="Book Antiqua" w:eastAsia="宋体" w:hAnsi="Book Antiqua" w:cs="宋体"/>
          <w:sz w:val="24"/>
          <w:szCs w:val="24"/>
        </w:rPr>
        <w:t>]</w:t>
      </w:r>
    </w:p>
    <w:p w14:paraId="1274CAE2"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13 </w:t>
      </w:r>
      <w:r w:rsidRPr="00C63AE9">
        <w:rPr>
          <w:rFonts w:ascii="Book Antiqua" w:eastAsia="宋体" w:hAnsi="Book Antiqua" w:cs="宋体"/>
          <w:b/>
          <w:bCs/>
          <w:sz w:val="24"/>
          <w:szCs w:val="24"/>
        </w:rPr>
        <w:t>Farrell GC</w:t>
      </w:r>
      <w:r w:rsidRPr="00C63AE9">
        <w:rPr>
          <w:rFonts w:ascii="Book Antiqua" w:eastAsia="宋体" w:hAnsi="Book Antiqua" w:cs="宋体"/>
          <w:sz w:val="24"/>
          <w:szCs w:val="24"/>
        </w:rPr>
        <w:t>, Wong VW, Chitturi S. NAFLD in Asia--as common and important as in the West. </w:t>
      </w:r>
      <w:r w:rsidRPr="00C63AE9">
        <w:rPr>
          <w:rFonts w:ascii="Book Antiqua" w:eastAsia="宋体" w:hAnsi="Book Antiqua" w:cs="宋体"/>
          <w:i/>
          <w:iCs/>
          <w:sz w:val="24"/>
          <w:szCs w:val="24"/>
        </w:rPr>
        <w:t>Nat Rev Gastroenterol Hepatol</w:t>
      </w:r>
      <w:r w:rsidRPr="00C63AE9">
        <w:rPr>
          <w:rFonts w:ascii="Book Antiqua" w:eastAsia="宋体" w:hAnsi="Book Antiqua" w:cs="宋体"/>
          <w:sz w:val="24"/>
          <w:szCs w:val="24"/>
        </w:rPr>
        <w:t> 2013; </w:t>
      </w:r>
      <w:r w:rsidRPr="00C63AE9">
        <w:rPr>
          <w:rFonts w:ascii="Book Antiqua" w:eastAsia="宋体" w:hAnsi="Book Antiqua" w:cs="宋体"/>
          <w:b/>
          <w:bCs/>
          <w:sz w:val="24"/>
          <w:szCs w:val="24"/>
        </w:rPr>
        <w:t>10</w:t>
      </w:r>
      <w:r w:rsidRPr="00C63AE9">
        <w:rPr>
          <w:rFonts w:ascii="Book Antiqua" w:eastAsia="宋体" w:hAnsi="Book Antiqua" w:cs="宋体"/>
          <w:sz w:val="24"/>
          <w:szCs w:val="24"/>
        </w:rPr>
        <w:t>: 307-318 [PMID: 23458891 DOI: 10.1038/nrgastro.2013.34</w:t>
      </w:r>
      <w:r>
        <w:rPr>
          <w:rFonts w:ascii="Book Antiqua" w:eastAsia="宋体" w:hAnsi="Book Antiqua" w:cs="宋体"/>
          <w:sz w:val="24"/>
          <w:szCs w:val="24"/>
        </w:rPr>
        <w:t>]</w:t>
      </w:r>
    </w:p>
    <w:p w14:paraId="2597FFDE"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14 </w:t>
      </w:r>
      <w:r w:rsidRPr="00C63AE9">
        <w:rPr>
          <w:rFonts w:ascii="Book Antiqua" w:eastAsia="宋体" w:hAnsi="Book Antiqua" w:cs="宋体"/>
          <w:b/>
          <w:bCs/>
          <w:sz w:val="24"/>
          <w:szCs w:val="24"/>
        </w:rPr>
        <w:t>Basaranoglu M</w:t>
      </w:r>
      <w:r w:rsidRPr="00C63AE9">
        <w:rPr>
          <w:rFonts w:ascii="Book Antiqua" w:eastAsia="宋体" w:hAnsi="Book Antiqua" w:cs="宋体"/>
          <w:sz w:val="24"/>
          <w:szCs w:val="24"/>
        </w:rPr>
        <w:t>, Basaranoglu G, Sentürk H. From fatty liver to fibrosis: a tale of "second hit". </w:t>
      </w:r>
      <w:r w:rsidRPr="00C63AE9">
        <w:rPr>
          <w:rFonts w:ascii="Book Antiqua" w:eastAsia="宋体" w:hAnsi="Book Antiqua" w:cs="宋体"/>
          <w:i/>
          <w:iCs/>
          <w:sz w:val="24"/>
          <w:szCs w:val="24"/>
        </w:rPr>
        <w:t>World J Gastroenterol</w:t>
      </w:r>
      <w:r w:rsidRPr="00C63AE9">
        <w:rPr>
          <w:rFonts w:ascii="Book Antiqua" w:eastAsia="宋体" w:hAnsi="Book Antiqua" w:cs="宋体"/>
          <w:sz w:val="24"/>
          <w:szCs w:val="24"/>
        </w:rPr>
        <w:t> 2013; </w:t>
      </w:r>
      <w:r w:rsidRPr="00C63AE9">
        <w:rPr>
          <w:rFonts w:ascii="Book Antiqua" w:eastAsia="宋体" w:hAnsi="Book Antiqua" w:cs="宋体"/>
          <w:b/>
          <w:bCs/>
          <w:sz w:val="24"/>
          <w:szCs w:val="24"/>
        </w:rPr>
        <w:t>19</w:t>
      </w:r>
      <w:r w:rsidRPr="00C63AE9">
        <w:rPr>
          <w:rFonts w:ascii="Book Antiqua" w:eastAsia="宋体" w:hAnsi="Book Antiqua" w:cs="宋体"/>
          <w:sz w:val="24"/>
          <w:szCs w:val="24"/>
        </w:rPr>
        <w:t>: 1158-1165 [PMID: 23483818 DOI: 10.3748/wjg.v19.i8.1158</w:t>
      </w:r>
      <w:r>
        <w:rPr>
          <w:rFonts w:ascii="Book Antiqua" w:eastAsia="宋体" w:hAnsi="Book Antiqua" w:cs="宋体"/>
          <w:sz w:val="24"/>
          <w:szCs w:val="24"/>
        </w:rPr>
        <w:t>]</w:t>
      </w:r>
    </w:p>
    <w:p w14:paraId="533FB13A"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15 </w:t>
      </w:r>
      <w:r w:rsidRPr="00C63AE9">
        <w:rPr>
          <w:rFonts w:ascii="Book Antiqua" w:eastAsia="宋体" w:hAnsi="Book Antiqua" w:cs="宋体"/>
          <w:b/>
          <w:bCs/>
          <w:sz w:val="24"/>
          <w:szCs w:val="24"/>
        </w:rPr>
        <w:t>Siddiqui MS</w:t>
      </w:r>
      <w:r w:rsidRPr="00C63AE9">
        <w:rPr>
          <w:rFonts w:ascii="Book Antiqua" w:eastAsia="宋体" w:hAnsi="Book Antiqua" w:cs="宋体"/>
          <w:sz w:val="24"/>
          <w:szCs w:val="24"/>
        </w:rPr>
        <w:t xml:space="preserve">, Fuchs M, Idowu MO, Luketic VA, Boyett S, Sargeant C, Stravitz RT, Puri P, Matherly S, Sterling RK, Contos M, Sanyal AJ. Severity of nonalcoholic fatty liver disease and progression to cirrhosis are associated with atherogenic lipoprotein </w:t>
      </w:r>
      <w:r w:rsidRPr="00C63AE9">
        <w:rPr>
          <w:rFonts w:ascii="Book Antiqua" w:eastAsia="宋体" w:hAnsi="Book Antiqua" w:cs="宋体"/>
          <w:sz w:val="24"/>
          <w:szCs w:val="24"/>
        </w:rPr>
        <w:lastRenderedPageBreak/>
        <w:t>profile. </w:t>
      </w:r>
      <w:r w:rsidRPr="00C63AE9">
        <w:rPr>
          <w:rFonts w:ascii="Book Antiqua" w:eastAsia="宋体" w:hAnsi="Book Antiqua" w:cs="宋体"/>
          <w:i/>
          <w:iCs/>
          <w:sz w:val="24"/>
          <w:szCs w:val="24"/>
        </w:rPr>
        <w:t>Clin Gastroenterol Hepatol</w:t>
      </w:r>
      <w:r w:rsidRPr="00C63AE9">
        <w:rPr>
          <w:rFonts w:ascii="Book Antiqua" w:eastAsia="宋体" w:hAnsi="Book Antiqua" w:cs="宋体"/>
          <w:sz w:val="24"/>
          <w:szCs w:val="24"/>
        </w:rPr>
        <w:t> 2015; </w:t>
      </w:r>
      <w:r w:rsidRPr="00C63AE9">
        <w:rPr>
          <w:rFonts w:ascii="Book Antiqua" w:eastAsia="宋体" w:hAnsi="Book Antiqua" w:cs="宋体"/>
          <w:b/>
          <w:bCs/>
          <w:sz w:val="24"/>
          <w:szCs w:val="24"/>
        </w:rPr>
        <w:t>13</w:t>
      </w:r>
      <w:r w:rsidRPr="00C63AE9">
        <w:rPr>
          <w:rFonts w:ascii="Book Antiqua" w:eastAsia="宋体" w:hAnsi="Book Antiqua" w:cs="宋体"/>
          <w:sz w:val="24"/>
          <w:szCs w:val="24"/>
        </w:rPr>
        <w:t>: 1000-8.e3 [PMID: 25311381 DOI: 10.1016/j.cgh.2014.10.008</w:t>
      </w:r>
      <w:r>
        <w:rPr>
          <w:rFonts w:ascii="Book Antiqua" w:eastAsia="宋体" w:hAnsi="Book Antiqua" w:cs="宋体"/>
          <w:sz w:val="24"/>
          <w:szCs w:val="24"/>
        </w:rPr>
        <w:t>]</w:t>
      </w:r>
    </w:p>
    <w:p w14:paraId="4D7EE625"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16 </w:t>
      </w:r>
      <w:r w:rsidRPr="00C63AE9">
        <w:rPr>
          <w:rFonts w:ascii="Book Antiqua" w:eastAsia="宋体" w:hAnsi="Book Antiqua" w:cs="宋体"/>
          <w:b/>
          <w:bCs/>
          <w:sz w:val="24"/>
          <w:szCs w:val="24"/>
        </w:rPr>
        <w:t>Quillin RC</w:t>
      </w:r>
      <w:r w:rsidRPr="00C63AE9">
        <w:rPr>
          <w:rFonts w:ascii="Book Antiqua" w:eastAsia="宋体" w:hAnsi="Book Antiqua" w:cs="宋体"/>
          <w:sz w:val="24"/>
          <w:szCs w:val="24"/>
        </w:rPr>
        <w:t>, Wilson GC, Sutton JM, Hanseman DJ, Paterno F, Cuffy MC, Paquette IM, Diwan TS, Woodle ES, Abbott DE, Shah SA. Increasing prevalence of nonalcoholic steatohepatitis as an indication for liver transplantation. </w:t>
      </w:r>
      <w:r w:rsidRPr="00C63AE9">
        <w:rPr>
          <w:rFonts w:ascii="Book Antiqua" w:eastAsia="宋体" w:hAnsi="Book Antiqua" w:cs="宋体"/>
          <w:i/>
          <w:iCs/>
          <w:sz w:val="24"/>
          <w:szCs w:val="24"/>
        </w:rPr>
        <w:t>Surgery</w:t>
      </w:r>
      <w:r w:rsidRPr="00C63AE9">
        <w:rPr>
          <w:rFonts w:ascii="Book Antiqua" w:eastAsia="宋体" w:hAnsi="Book Antiqua" w:cs="宋体"/>
          <w:sz w:val="24"/>
          <w:szCs w:val="24"/>
        </w:rPr>
        <w:t> 2014; </w:t>
      </w:r>
      <w:r w:rsidRPr="00C63AE9">
        <w:rPr>
          <w:rFonts w:ascii="Book Antiqua" w:eastAsia="宋体" w:hAnsi="Book Antiqua" w:cs="宋体"/>
          <w:b/>
          <w:bCs/>
          <w:sz w:val="24"/>
          <w:szCs w:val="24"/>
        </w:rPr>
        <w:t>156</w:t>
      </w:r>
      <w:r w:rsidRPr="00C63AE9">
        <w:rPr>
          <w:rFonts w:ascii="Book Antiqua" w:eastAsia="宋体" w:hAnsi="Book Antiqua" w:cs="宋体"/>
          <w:sz w:val="24"/>
          <w:szCs w:val="24"/>
        </w:rPr>
        <w:t>: 1049-1056 [PMID: 25239365 DOI: 10.1016/j.surg.2014.06.075</w:t>
      </w:r>
      <w:r>
        <w:rPr>
          <w:rFonts w:ascii="Book Antiqua" w:eastAsia="宋体" w:hAnsi="Book Antiqua" w:cs="宋体"/>
          <w:sz w:val="24"/>
          <w:szCs w:val="24"/>
        </w:rPr>
        <w:t>]</w:t>
      </w:r>
    </w:p>
    <w:p w14:paraId="184FFEBF"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17 </w:t>
      </w:r>
      <w:r w:rsidRPr="00C63AE9">
        <w:rPr>
          <w:rFonts w:ascii="Book Antiqua" w:eastAsia="宋体" w:hAnsi="Book Antiqua" w:cs="宋体"/>
          <w:b/>
          <w:bCs/>
          <w:sz w:val="24"/>
          <w:szCs w:val="24"/>
        </w:rPr>
        <w:t>Seko Y</w:t>
      </w:r>
      <w:r w:rsidRPr="00C63AE9">
        <w:rPr>
          <w:rFonts w:ascii="Book Antiqua" w:eastAsia="宋体" w:hAnsi="Book Antiqua" w:cs="宋体"/>
          <w:sz w:val="24"/>
          <w:szCs w:val="24"/>
        </w:rPr>
        <w:t>, Sumida Y, Tanaka S, Taketani H, Kanemasa K, Ishiba H, Okajima A, Nishimura T, Yamaguchi K, Moriguchi M, Mitsuyoshi H, Yasui K, Minami M, Itoh Y. Predictors of malignancies and overall mortality in Japanese patients with biopsy-proven non-alcoholic fatty liver disease. </w:t>
      </w:r>
      <w:r w:rsidRPr="00C63AE9">
        <w:rPr>
          <w:rFonts w:ascii="Book Antiqua" w:eastAsia="宋体" w:hAnsi="Book Antiqua" w:cs="宋体"/>
          <w:i/>
          <w:iCs/>
          <w:sz w:val="24"/>
          <w:szCs w:val="24"/>
        </w:rPr>
        <w:t>Hepatol Res</w:t>
      </w:r>
      <w:r w:rsidRPr="00C63AE9">
        <w:rPr>
          <w:rFonts w:ascii="Book Antiqua" w:eastAsia="宋体" w:hAnsi="Book Antiqua" w:cs="宋体"/>
          <w:sz w:val="24"/>
          <w:szCs w:val="24"/>
        </w:rPr>
        <w:t> 2015; </w:t>
      </w:r>
      <w:r w:rsidRPr="00C63AE9">
        <w:rPr>
          <w:rFonts w:ascii="Book Antiqua" w:eastAsia="宋体" w:hAnsi="Book Antiqua" w:cs="宋体"/>
          <w:b/>
          <w:bCs/>
          <w:sz w:val="24"/>
          <w:szCs w:val="24"/>
        </w:rPr>
        <w:t>45</w:t>
      </w:r>
      <w:r w:rsidRPr="00C63AE9">
        <w:rPr>
          <w:rFonts w:ascii="Book Antiqua" w:eastAsia="宋体" w:hAnsi="Book Antiqua" w:cs="宋体"/>
          <w:sz w:val="24"/>
          <w:szCs w:val="24"/>
        </w:rPr>
        <w:t>: 728-738 [PMID: 25165040 DOI: 10.1111/hepr.12407</w:t>
      </w:r>
      <w:r>
        <w:rPr>
          <w:rFonts w:ascii="Book Antiqua" w:eastAsia="宋体" w:hAnsi="Book Antiqua" w:cs="宋体"/>
          <w:sz w:val="24"/>
          <w:szCs w:val="24"/>
        </w:rPr>
        <w:t>]</w:t>
      </w:r>
    </w:p>
    <w:p w14:paraId="4FECAF0A"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18 </w:t>
      </w:r>
      <w:r w:rsidRPr="00C63AE9">
        <w:rPr>
          <w:rFonts w:ascii="Book Antiqua" w:eastAsia="宋体" w:hAnsi="Book Antiqua" w:cs="宋体"/>
          <w:b/>
          <w:bCs/>
          <w:sz w:val="24"/>
          <w:szCs w:val="24"/>
        </w:rPr>
        <w:t>Önnerhag K</w:t>
      </w:r>
      <w:r w:rsidRPr="00C63AE9">
        <w:rPr>
          <w:rFonts w:ascii="Book Antiqua" w:eastAsia="宋体" w:hAnsi="Book Antiqua" w:cs="宋体"/>
          <w:sz w:val="24"/>
          <w:szCs w:val="24"/>
        </w:rPr>
        <w:t>, Nilsson PM, Lindgren S. Increased risk of cirrhosis and hepatocellular cancer during long-term follow-up of patients with biopsy-proven NAFLD. </w:t>
      </w:r>
      <w:r w:rsidRPr="00C63AE9">
        <w:rPr>
          <w:rFonts w:ascii="Book Antiqua" w:eastAsia="宋体" w:hAnsi="Book Antiqua" w:cs="宋体"/>
          <w:i/>
          <w:iCs/>
          <w:sz w:val="24"/>
          <w:szCs w:val="24"/>
        </w:rPr>
        <w:t>Scand J Gastroenterol</w:t>
      </w:r>
      <w:r w:rsidRPr="00C63AE9">
        <w:rPr>
          <w:rFonts w:ascii="Book Antiqua" w:eastAsia="宋体" w:hAnsi="Book Antiqua" w:cs="宋体"/>
          <w:sz w:val="24"/>
          <w:szCs w:val="24"/>
        </w:rPr>
        <w:t> 2014; </w:t>
      </w:r>
      <w:r w:rsidRPr="00C63AE9">
        <w:rPr>
          <w:rFonts w:ascii="Book Antiqua" w:eastAsia="宋体" w:hAnsi="Book Antiqua" w:cs="宋体"/>
          <w:b/>
          <w:bCs/>
          <w:sz w:val="24"/>
          <w:szCs w:val="24"/>
        </w:rPr>
        <w:t>49</w:t>
      </w:r>
      <w:r w:rsidRPr="00C63AE9">
        <w:rPr>
          <w:rFonts w:ascii="Book Antiqua" w:eastAsia="宋体" w:hAnsi="Book Antiqua" w:cs="宋体"/>
          <w:sz w:val="24"/>
          <w:szCs w:val="24"/>
        </w:rPr>
        <w:t>: 1111-1118 [PMID: 24990583 DOI: 10.3109/00365521.2014.934911</w:t>
      </w:r>
      <w:r>
        <w:rPr>
          <w:rFonts w:ascii="Book Antiqua" w:eastAsia="宋体" w:hAnsi="Book Antiqua" w:cs="宋体"/>
          <w:sz w:val="24"/>
          <w:szCs w:val="24"/>
        </w:rPr>
        <w:t>]</w:t>
      </w:r>
    </w:p>
    <w:p w14:paraId="460401AD"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19 </w:t>
      </w:r>
      <w:r w:rsidRPr="00C63AE9">
        <w:rPr>
          <w:rFonts w:ascii="Book Antiqua" w:eastAsia="宋体" w:hAnsi="Book Antiqua" w:cs="宋体"/>
          <w:b/>
          <w:bCs/>
          <w:sz w:val="24"/>
          <w:szCs w:val="24"/>
        </w:rPr>
        <w:t>Yeh MM</w:t>
      </w:r>
      <w:r w:rsidRPr="00C63AE9">
        <w:rPr>
          <w:rFonts w:ascii="Book Antiqua" w:eastAsia="宋体" w:hAnsi="Book Antiqua" w:cs="宋体"/>
          <w:sz w:val="24"/>
          <w:szCs w:val="24"/>
        </w:rPr>
        <w:t>, Brunt EM. Pathological features of fatty liver disease. </w:t>
      </w:r>
      <w:r w:rsidRPr="00C63AE9">
        <w:rPr>
          <w:rFonts w:ascii="Book Antiqua" w:eastAsia="宋体" w:hAnsi="Book Antiqua" w:cs="宋体"/>
          <w:i/>
          <w:iCs/>
          <w:sz w:val="24"/>
          <w:szCs w:val="24"/>
        </w:rPr>
        <w:t>Gastroenterology</w:t>
      </w:r>
      <w:r w:rsidRPr="00C63AE9">
        <w:rPr>
          <w:rFonts w:ascii="Book Antiqua" w:eastAsia="宋体" w:hAnsi="Book Antiqua" w:cs="宋体"/>
          <w:sz w:val="24"/>
          <w:szCs w:val="24"/>
        </w:rPr>
        <w:t> 2014; </w:t>
      </w:r>
      <w:r w:rsidRPr="00C63AE9">
        <w:rPr>
          <w:rFonts w:ascii="Book Antiqua" w:eastAsia="宋体" w:hAnsi="Book Antiqua" w:cs="宋体"/>
          <w:b/>
          <w:bCs/>
          <w:sz w:val="24"/>
          <w:szCs w:val="24"/>
        </w:rPr>
        <w:t>147</w:t>
      </w:r>
      <w:r w:rsidRPr="00C63AE9">
        <w:rPr>
          <w:rFonts w:ascii="Book Antiqua" w:eastAsia="宋体" w:hAnsi="Book Antiqua" w:cs="宋体"/>
          <w:sz w:val="24"/>
          <w:szCs w:val="24"/>
        </w:rPr>
        <w:t>: 754-764 [PMID: 25109884 DOI: 10.1053/j.gastro.2014.07.056</w:t>
      </w:r>
      <w:r>
        <w:rPr>
          <w:rFonts w:ascii="Book Antiqua" w:eastAsia="宋体" w:hAnsi="Book Antiqua" w:cs="宋体"/>
          <w:sz w:val="24"/>
          <w:szCs w:val="24"/>
        </w:rPr>
        <w:t>]</w:t>
      </w:r>
    </w:p>
    <w:p w14:paraId="22C12B08"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20 </w:t>
      </w:r>
      <w:r w:rsidRPr="00C63AE9">
        <w:rPr>
          <w:rFonts w:ascii="Book Antiqua" w:eastAsia="宋体" w:hAnsi="Book Antiqua" w:cs="宋体"/>
          <w:b/>
          <w:bCs/>
          <w:sz w:val="24"/>
          <w:szCs w:val="24"/>
        </w:rPr>
        <w:t>Iseri A</w:t>
      </w:r>
      <w:r w:rsidRPr="00C63AE9">
        <w:rPr>
          <w:rFonts w:ascii="Book Antiqua" w:eastAsia="宋体" w:hAnsi="Book Antiqua" w:cs="宋体"/>
          <w:sz w:val="24"/>
          <w:szCs w:val="24"/>
        </w:rPr>
        <w:t>, Arslan N. Obesity in adults in Turkey: age and regional effects. </w:t>
      </w:r>
      <w:r w:rsidRPr="00C63AE9">
        <w:rPr>
          <w:rFonts w:ascii="Book Antiqua" w:eastAsia="宋体" w:hAnsi="Book Antiqua" w:cs="宋体"/>
          <w:i/>
          <w:iCs/>
          <w:sz w:val="24"/>
          <w:szCs w:val="24"/>
        </w:rPr>
        <w:t>Eur J Public Health</w:t>
      </w:r>
      <w:r w:rsidRPr="00C63AE9">
        <w:rPr>
          <w:rFonts w:ascii="Book Antiqua" w:eastAsia="宋体" w:hAnsi="Book Antiqua" w:cs="宋体"/>
          <w:sz w:val="24"/>
          <w:szCs w:val="24"/>
        </w:rPr>
        <w:t> 2009; </w:t>
      </w:r>
      <w:r w:rsidRPr="00C63AE9">
        <w:rPr>
          <w:rFonts w:ascii="Book Antiqua" w:eastAsia="宋体" w:hAnsi="Book Antiqua" w:cs="宋体"/>
          <w:b/>
          <w:bCs/>
          <w:sz w:val="24"/>
          <w:szCs w:val="24"/>
        </w:rPr>
        <w:t>19</w:t>
      </w:r>
      <w:r w:rsidRPr="00C63AE9">
        <w:rPr>
          <w:rFonts w:ascii="Book Antiqua" w:eastAsia="宋体" w:hAnsi="Book Antiqua" w:cs="宋体"/>
          <w:sz w:val="24"/>
          <w:szCs w:val="24"/>
        </w:rPr>
        <w:t>: 91-94 [PMID: 19091784 DOI: 10.1093/eurpub/ckn107</w:t>
      </w:r>
      <w:r>
        <w:rPr>
          <w:rFonts w:ascii="Book Antiqua" w:eastAsia="宋体" w:hAnsi="Book Antiqua" w:cs="宋体"/>
          <w:sz w:val="24"/>
          <w:szCs w:val="24"/>
        </w:rPr>
        <w:t>]</w:t>
      </w:r>
    </w:p>
    <w:p w14:paraId="679C9BEF"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21 </w:t>
      </w:r>
      <w:r w:rsidRPr="00C63AE9">
        <w:rPr>
          <w:rFonts w:ascii="Book Antiqua" w:eastAsia="宋体" w:hAnsi="Book Antiqua" w:cs="宋体"/>
          <w:b/>
          <w:bCs/>
          <w:sz w:val="24"/>
          <w:szCs w:val="24"/>
        </w:rPr>
        <w:t>Acar A</w:t>
      </w:r>
      <w:r w:rsidRPr="00C63AE9">
        <w:rPr>
          <w:rFonts w:ascii="Book Antiqua" w:eastAsia="宋体" w:hAnsi="Book Antiqua" w:cs="宋体"/>
          <w:sz w:val="24"/>
          <w:szCs w:val="24"/>
        </w:rPr>
        <w:t>, Kemahli S, Altunay H, Kosan E, Oncul O, Gorenek L, Cavuslu S. HBV, HCV and HIV seroprevalence among blood donors in Istanbul, Turkey: how effective are the changes in the national blood transfusion policies? </w:t>
      </w:r>
      <w:r w:rsidRPr="00C63AE9">
        <w:rPr>
          <w:rFonts w:ascii="Book Antiqua" w:eastAsia="宋体" w:hAnsi="Book Antiqua" w:cs="宋体"/>
          <w:i/>
          <w:iCs/>
          <w:sz w:val="24"/>
          <w:szCs w:val="24"/>
        </w:rPr>
        <w:t>Braz J Infect Dis</w:t>
      </w:r>
      <w:r w:rsidRPr="00C63AE9">
        <w:rPr>
          <w:rFonts w:ascii="Book Antiqua" w:eastAsia="宋体" w:hAnsi="Book Antiqua" w:cs="宋体"/>
          <w:sz w:val="24"/>
          <w:szCs w:val="24"/>
        </w:rPr>
        <w:t> </w:t>
      </w:r>
      <w:r>
        <w:rPr>
          <w:rFonts w:ascii="Book Antiqua" w:eastAsia="宋体" w:hAnsi="Book Antiqua" w:cs="宋体" w:hint="eastAsia"/>
          <w:sz w:val="24"/>
          <w:szCs w:val="24"/>
        </w:rPr>
        <w:t>2010</w:t>
      </w:r>
      <w:r w:rsidRPr="00C63AE9">
        <w:rPr>
          <w:rFonts w:ascii="Book Antiqua" w:eastAsia="宋体" w:hAnsi="Book Antiqua" w:cs="宋体"/>
          <w:sz w:val="24"/>
          <w:szCs w:val="24"/>
        </w:rPr>
        <w:t>; </w:t>
      </w:r>
      <w:r w:rsidRPr="00C63AE9">
        <w:rPr>
          <w:rFonts w:ascii="Book Antiqua" w:eastAsia="宋体" w:hAnsi="Book Antiqua" w:cs="宋体"/>
          <w:b/>
          <w:bCs/>
          <w:sz w:val="24"/>
          <w:szCs w:val="24"/>
        </w:rPr>
        <w:t>14</w:t>
      </w:r>
      <w:r w:rsidRPr="00C63AE9">
        <w:rPr>
          <w:rFonts w:ascii="Book Antiqua" w:eastAsia="宋体" w:hAnsi="Book Antiqua" w:cs="宋体"/>
          <w:sz w:val="24"/>
          <w:szCs w:val="24"/>
        </w:rPr>
        <w:t>: 41-46 [PMID: 20428653]</w:t>
      </w:r>
    </w:p>
    <w:p w14:paraId="7E170B58"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22 </w:t>
      </w:r>
      <w:r w:rsidRPr="00C63AE9">
        <w:rPr>
          <w:rFonts w:ascii="Book Antiqua" w:eastAsia="宋体" w:hAnsi="Book Antiqua" w:cs="宋体"/>
          <w:b/>
          <w:bCs/>
          <w:sz w:val="24"/>
          <w:szCs w:val="24"/>
        </w:rPr>
        <w:t>Acar A</w:t>
      </w:r>
      <w:r w:rsidRPr="00C63AE9">
        <w:rPr>
          <w:rFonts w:ascii="Book Antiqua" w:eastAsia="宋体" w:hAnsi="Book Antiqua" w:cs="宋体"/>
          <w:sz w:val="24"/>
          <w:szCs w:val="24"/>
        </w:rPr>
        <w:t xml:space="preserve">, Kemahli S, Altunay H, Kosan E, Oncul O, Gorenek L, Cavuslu S. The significance of repeat testing in Turkish blood donors screened with HBV, HCV and HIV immunoassays and the importance of S/CO ratios in the interpretation of </w:t>
      </w:r>
      <w:r w:rsidRPr="00C63AE9">
        <w:rPr>
          <w:rFonts w:ascii="Book Antiqua" w:eastAsia="宋体" w:hAnsi="Book Antiqua" w:cs="宋体"/>
          <w:sz w:val="24"/>
          <w:szCs w:val="24"/>
        </w:rPr>
        <w:lastRenderedPageBreak/>
        <w:t>HCV/HIV screening test results and as a determinant for further confirmatory testing. </w:t>
      </w:r>
      <w:r w:rsidRPr="00C63AE9">
        <w:rPr>
          <w:rFonts w:ascii="Book Antiqua" w:eastAsia="宋体" w:hAnsi="Book Antiqua" w:cs="宋体"/>
          <w:i/>
          <w:iCs/>
          <w:sz w:val="24"/>
          <w:szCs w:val="24"/>
        </w:rPr>
        <w:t>Transfus Med</w:t>
      </w:r>
      <w:r w:rsidRPr="00C63AE9">
        <w:rPr>
          <w:rFonts w:ascii="Book Antiqua" w:eastAsia="宋体" w:hAnsi="Book Antiqua" w:cs="宋体"/>
          <w:sz w:val="24"/>
          <w:szCs w:val="24"/>
        </w:rPr>
        <w:t> 2010; </w:t>
      </w:r>
      <w:r w:rsidRPr="00C63AE9">
        <w:rPr>
          <w:rFonts w:ascii="Book Antiqua" w:eastAsia="宋体" w:hAnsi="Book Antiqua" w:cs="宋体"/>
          <w:b/>
          <w:bCs/>
          <w:sz w:val="24"/>
          <w:szCs w:val="24"/>
        </w:rPr>
        <w:t>20</w:t>
      </w:r>
      <w:r w:rsidRPr="00C63AE9">
        <w:rPr>
          <w:rFonts w:ascii="Book Antiqua" w:eastAsia="宋体" w:hAnsi="Book Antiqua" w:cs="宋体"/>
          <w:sz w:val="24"/>
          <w:szCs w:val="24"/>
        </w:rPr>
        <w:t>: 152-159 [PMID: 20059750 DOI: 10.1111/j.1365-3148.2009.00987.x</w:t>
      </w:r>
      <w:r>
        <w:rPr>
          <w:rFonts w:ascii="Book Antiqua" w:eastAsia="宋体" w:hAnsi="Book Antiqua" w:cs="宋体"/>
          <w:sz w:val="24"/>
          <w:szCs w:val="24"/>
        </w:rPr>
        <w:t>]</w:t>
      </w:r>
    </w:p>
    <w:p w14:paraId="551B21E8"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23 </w:t>
      </w:r>
      <w:r w:rsidRPr="00C63AE9">
        <w:rPr>
          <w:rFonts w:ascii="Book Antiqua" w:eastAsia="宋体" w:hAnsi="Book Antiqua" w:cs="宋体"/>
          <w:b/>
          <w:bCs/>
          <w:sz w:val="24"/>
          <w:szCs w:val="24"/>
        </w:rPr>
        <w:t>Sarin SK</w:t>
      </w:r>
      <w:r w:rsidRPr="00C63AE9">
        <w:rPr>
          <w:rFonts w:ascii="Book Antiqua" w:eastAsia="宋体" w:hAnsi="Book Antiqua" w:cs="宋体"/>
          <w:sz w:val="24"/>
          <w:szCs w:val="24"/>
        </w:rPr>
        <w:t>, Kumar A. Gastric varices: profile, classification, and management. </w:t>
      </w:r>
      <w:r w:rsidRPr="00C63AE9">
        <w:rPr>
          <w:rFonts w:ascii="Book Antiqua" w:eastAsia="宋体" w:hAnsi="Book Antiqua" w:cs="宋体"/>
          <w:i/>
          <w:iCs/>
          <w:sz w:val="24"/>
          <w:szCs w:val="24"/>
        </w:rPr>
        <w:t>Am J Gastroenterol</w:t>
      </w:r>
      <w:r w:rsidRPr="00C63AE9">
        <w:rPr>
          <w:rFonts w:ascii="Book Antiqua" w:eastAsia="宋体" w:hAnsi="Book Antiqua" w:cs="宋体"/>
          <w:sz w:val="24"/>
          <w:szCs w:val="24"/>
        </w:rPr>
        <w:t> 1989; </w:t>
      </w:r>
      <w:r w:rsidRPr="00C63AE9">
        <w:rPr>
          <w:rFonts w:ascii="Book Antiqua" w:eastAsia="宋体" w:hAnsi="Book Antiqua" w:cs="宋体"/>
          <w:b/>
          <w:bCs/>
          <w:sz w:val="24"/>
          <w:szCs w:val="24"/>
        </w:rPr>
        <w:t>84</w:t>
      </w:r>
      <w:r w:rsidRPr="00C63AE9">
        <w:rPr>
          <w:rFonts w:ascii="Book Antiqua" w:eastAsia="宋体" w:hAnsi="Book Antiqua" w:cs="宋体"/>
          <w:sz w:val="24"/>
          <w:szCs w:val="24"/>
        </w:rPr>
        <w:t>: 1244-1249 [PMID: 2679046]</w:t>
      </w:r>
    </w:p>
    <w:p w14:paraId="0CF0B38D"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24 </w:t>
      </w:r>
      <w:r w:rsidRPr="00C63AE9">
        <w:rPr>
          <w:rFonts w:ascii="Book Antiqua" w:eastAsia="宋体" w:hAnsi="Book Antiqua" w:cs="宋体"/>
          <w:b/>
          <w:bCs/>
          <w:sz w:val="24"/>
          <w:szCs w:val="24"/>
        </w:rPr>
        <w:t>Wong RJ</w:t>
      </w:r>
      <w:r w:rsidRPr="00C63AE9">
        <w:rPr>
          <w:rFonts w:ascii="Book Antiqua" w:eastAsia="宋体" w:hAnsi="Book Antiqua" w:cs="宋体"/>
          <w:sz w:val="24"/>
          <w:szCs w:val="24"/>
        </w:rPr>
        <w:t>, Aguilar M, Cheung R, Perumpail RB, Harrison SA, Younossi ZM, Ahmed A. Nonalcoholic steatohepatitis is the second leading etiology of liver disease among adults awaiting liver transplantation in the United States. </w:t>
      </w:r>
      <w:r w:rsidRPr="00C63AE9">
        <w:rPr>
          <w:rFonts w:ascii="Book Antiqua" w:eastAsia="宋体" w:hAnsi="Book Antiqua" w:cs="宋体"/>
          <w:i/>
          <w:iCs/>
          <w:sz w:val="24"/>
          <w:szCs w:val="24"/>
        </w:rPr>
        <w:t>Gastroenterology</w:t>
      </w:r>
      <w:r w:rsidRPr="00C63AE9">
        <w:rPr>
          <w:rFonts w:ascii="Book Antiqua" w:eastAsia="宋体" w:hAnsi="Book Antiqua" w:cs="宋体"/>
          <w:sz w:val="24"/>
          <w:szCs w:val="24"/>
        </w:rPr>
        <w:t> 2015; </w:t>
      </w:r>
      <w:r w:rsidRPr="00C63AE9">
        <w:rPr>
          <w:rFonts w:ascii="Book Antiqua" w:eastAsia="宋体" w:hAnsi="Book Antiqua" w:cs="宋体"/>
          <w:b/>
          <w:bCs/>
          <w:sz w:val="24"/>
          <w:szCs w:val="24"/>
        </w:rPr>
        <w:t>148</w:t>
      </w:r>
      <w:r w:rsidRPr="00C63AE9">
        <w:rPr>
          <w:rFonts w:ascii="Book Antiqua" w:eastAsia="宋体" w:hAnsi="Book Antiqua" w:cs="宋体"/>
          <w:sz w:val="24"/>
          <w:szCs w:val="24"/>
        </w:rPr>
        <w:t>: 547-555 [PMID: 25461851 DOI: 10.1053/j.gastro.2014.11.039</w:t>
      </w:r>
      <w:r>
        <w:rPr>
          <w:rFonts w:ascii="Book Antiqua" w:eastAsia="宋体" w:hAnsi="Book Antiqua" w:cs="宋体"/>
          <w:sz w:val="24"/>
          <w:szCs w:val="24"/>
        </w:rPr>
        <w:t>]</w:t>
      </w:r>
    </w:p>
    <w:p w14:paraId="0924DBC7" w14:textId="77777777" w:rsidR="00D738B1" w:rsidRPr="001A5A01" w:rsidRDefault="00D738B1" w:rsidP="001A5A01">
      <w:pPr>
        <w:spacing w:line="360" w:lineRule="auto"/>
        <w:jc w:val="both"/>
        <w:rPr>
          <w:rFonts w:ascii="Book Antiqua" w:eastAsia="宋体" w:hAnsi="Book Antiqua" w:cs="宋体"/>
          <w:sz w:val="24"/>
          <w:szCs w:val="24"/>
        </w:rPr>
      </w:pPr>
      <w:r w:rsidRPr="001A5A01">
        <w:rPr>
          <w:rFonts w:ascii="Book Antiqua" w:eastAsia="宋体" w:hAnsi="Book Antiqua" w:cs="宋体"/>
          <w:sz w:val="24"/>
          <w:szCs w:val="24"/>
        </w:rPr>
        <w:t>25 </w:t>
      </w:r>
      <w:r w:rsidRPr="001A5A01">
        <w:rPr>
          <w:rFonts w:ascii="Book Antiqua" w:eastAsia="宋体" w:hAnsi="Book Antiqua" w:cs="宋体"/>
          <w:b/>
          <w:bCs/>
          <w:sz w:val="24"/>
          <w:szCs w:val="24"/>
        </w:rPr>
        <w:t>Wong RJ</w:t>
      </w:r>
      <w:r w:rsidRPr="001A5A01">
        <w:rPr>
          <w:rFonts w:ascii="Book Antiqua" w:eastAsia="宋体" w:hAnsi="Book Antiqua" w:cs="宋体"/>
          <w:sz w:val="24"/>
          <w:szCs w:val="24"/>
        </w:rPr>
        <w:t>, Cheung R, Ahmed A. Nonalcoholic steatohepatitis is the most rapidly growing indication for liver transplantation in patients with hepatocellular carcinoma in the U.S. </w:t>
      </w:r>
      <w:r w:rsidRPr="001A5A01">
        <w:rPr>
          <w:rFonts w:ascii="Book Antiqua" w:eastAsia="宋体" w:hAnsi="Book Antiqua" w:cs="宋体"/>
          <w:i/>
          <w:iCs/>
          <w:sz w:val="24"/>
          <w:szCs w:val="24"/>
        </w:rPr>
        <w:t>Hepatology</w:t>
      </w:r>
      <w:r w:rsidRPr="001A5A01">
        <w:rPr>
          <w:rFonts w:ascii="Book Antiqua" w:eastAsia="宋体" w:hAnsi="Book Antiqua" w:cs="宋体"/>
          <w:sz w:val="24"/>
          <w:szCs w:val="24"/>
        </w:rPr>
        <w:t> 2014; </w:t>
      </w:r>
      <w:r w:rsidRPr="001A5A01">
        <w:rPr>
          <w:rFonts w:ascii="Book Antiqua" w:eastAsia="宋体" w:hAnsi="Book Antiqua" w:cs="宋体"/>
          <w:b/>
          <w:bCs/>
          <w:sz w:val="24"/>
          <w:szCs w:val="24"/>
        </w:rPr>
        <w:t>59</w:t>
      </w:r>
      <w:r w:rsidRPr="001A5A01">
        <w:rPr>
          <w:rFonts w:ascii="Book Antiqua" w:eastAsia="宋体" w:hAnsi="Book Antiqua" w:cs="宋体"/>
          <w:sz w:val="24"/>
          <w:szCs w:val="24"/>
        </w:rPr>
        <w:t>: 2188-2195 [PMID: 24375711 DOI: 10.1002/hep.26986]</w:t>
      </w:r>
    </w:p>
    <w:p w14:paraId="6CCF0D6C" w14:textId="66F60D44" w:rsidR="007A2E34" w:rsidRPr="001A5A01" w:rsidRDefault="00D738B1" w:rsidP="001A5A01">
      <w:pPr>
        <w:spacing w:line="360" w:lineRule="auto"/>
        <w:jc w:val="both"/>
        <w:rPr>
          <w:rFonts w:ascii="Book Antiqua" w:eastAsia="宋体" w:hAnsi="Book Antiqua" w:cs="宋体"/>
          <w:bCs/>
          <w:sz w:val="24"/>
          <w:szCs w:val="24"/>
        </w:rPr>
      </w:pPr>
      <w:r w:rsidRPr="001A5A01">
        <w:rPr>
          <w:rFonts w:ascii="Book Antiqua" w:eastAsia="宋体" w:hAnsi="Book Antiqua" w:cs="宋体" w:hint="eastAsia"/>
          <w:sz w:val="24"/>
          <w:szCs w:val="24"/>
        </w:rPr>
        <w:t>26</w:t>
      </w:r>
      <w:r w:rsidRPr="001A5A01">
        <w:rPr>
          <w:rFonts w:ascii="Book Antiqua" w:eastAsia="宋体" w:hAnsi="Book Antiqua" w:cs="宋体"/>
          <w:sz w:val="24"/>
          <w:szCs w:val="24"/>
        </w:rPr>
        <w:t> </w:t>
      </w:r>
      <w:r w:rsidR="007A2E34" w:rsidRPr="001A5A01">
        <w:rPr>
          <w:rFonts w:ascii="Book Antiqua" w:eastAsia="宋体" w:hAnsi="Book Antiqua" w:cs="宋体"/>
          <w:b/>
          <w:bCs/>
          <w:sz w:val="24"/>
          <w:szCs w:val="24"/>
        </w:rPr>
        <w:t>Byrne CD,</w:t>
      </w:r>
      <w:r w:rsidR="007A2E34" w:rsidRPr="007A2E34">
        <w:rPr>
          <w:rFonts w:ascii="Book Antiqua" w:eastAsia="宋体" w:hAnsi="Book Antiqua" w:cs="宋体"/>
          <w:b/>
          <w:bCs/>
          <w:sz w:val="24"/>
          <w:szCs w:val="24"/>
        </w:rPr>
        <w:t xml:space="preserve"> </w:t>
      </w:r>
      <w:r w:rsidR="007A2E34" w:rsidRPr="001A5A01">
        <w:rPr>
          <w:rFonts w:ascii="Book Antiqua" w:eastAsia="宋体" w:hAnsi="Book Antiqua" w:cs="宋体"/>
          <w:bCs/>
          <w:sz w:val="24"/>
          <w:szCs w:val="24"/>
        </w:rPr>
        <w:t xml:space="preserve">Targher G. NAFLD: a multisystem disease. </w:t>
      </w:r>
      <w:r w:rsidR="001A5A01">
        <w:rPr>
          <w:rFonts w:ascii="Book Antiqua" w:eastAsia="宋体" w:hAnsi="Book Antiqua" w:cs="宋体"/>
          <w:bCs/>
          <w:i/>
          <w:sz w:val="24"/>
          <w:szCs w:val="24"/>
        </w:rPr>
        <w:t>J Hepatol</w:t>
      </w:r>
      <w:r w:rsidR="001A5A01">
        <w:rPr>
          <w:rFonts w:ascii="Book Antiqua" w:eastAsia="宋体" w:hAnsi="Book Antiqua" w:cs="宋体" w:hint="eastAsia"/>
          <w:bCs/>
          <w:i/>
          <w:sz w:val="24"/>
          <w:szCs w:val="24"/>
          <w:lang w:eastAsia="zh-CN"/>
        </w:rPr>
        <w:t xml:space="preserve"> </w:t>
      </w:r>
      <w:r w:rsidR="007A2E34" w:rsidRPr="001A5A01">
        <w:rPr>
          <w:rFonts w:ascii="Book Antiqua" w:eastAsia="宋体" w:hAnsi="Book Antiqua" w:cs="宋体"/>
          <w:bCs/>
          <w:sz w:val="24"/>
          <w:szCs w:val="24"/>
        </w:rPr>
        <w:t>2015;</w:t>
      </w:r>
      <w:r w:rsidR="001A5A01">
        <w:rPr>
          <w:rFonts w:ascii="Book Antiqua" w:eastAsia="宋体" w:hAnsi="Book Antiqua" w:cs="宋体" w:hint="eastAsia"/>
          <w:bCs/>
          <w:sz w:val="24"/>
          <w:szCs w:val="24"/>
          <w:lang w:eastAsia="zh-CN"/>
        </w:rPr>
        <w:t xml:space="preserve"> </w:t>
      </w:r>
      <w:r w:rsidR="007A2E34" w:rsidRPr="001A5A01">
        <w:rPr>
          <w:rFonts w:ascii="Book Antiqua" w:eastAsia="宋体" w:hAnsi="Book Antiqua" w:cs="宋体"/>
          <w:b/>
          <w:bCs/>
          <w:sz w:val="24"/>
          <w:szCs w:val="24"/>
        </w:rPr>
        <w:t>62</w:t>
      </w:r>
      <w:r w:rsidR="001A5A01">
        <w:rPr>
          <w:rFonts w:ascii="Book Antiqua" w:eastAsia="宋体" w:hAnsi="Book Antiqua" w:cs="宋体" w:hint="eastAsia"/>
          <w:bCs/>
          <w:sz w:val="24"/>
          <w:szCs w:val="24"/>
          <w:lang w:eastAsia="zh-CN"/>
        </w:rPr>
        <w:t xml:space="preserve"> </w:t>
      </w:r>
      <w:r w:rsidR="007A2E34" w:rsidRPr="001A5A01">
        <w:rPr>
          <w:rFonts w:ascii="Book Antiqua" w:eastAsia="宋体" w:hAnsi="Book Antiqua" w:cs="宋体"/>
          <w:bCs/>
          <w:sz w:val="24"/>
          <w:szCs w:val="24"/>
        </w:rPr>
        <w:t>(1</w:t>
      </w:r>
      <w:r w:rsidR="001A5A01">
        <w:rPr>
          <w:rFonts w:ascii="Book Antiqua" w:eastAsia="宋体" w:hAnsi="Book Antiqua" w:cs="宋体" w:hint="eastAsia"/>
          <w:bCs/>
          <w:sz w:val="24"/>
          <w:szCs w:val="24"/>
          <w:lang w:eastAsia="zh-CN"/>
        </w:rPr>
        <w:t xml:space="preserve"> </w:t>
      </w:r>
      <w:r w:rsidR="007A2E34" w:rsidRPr="001A5A01">
        <w:rPr>
          <w:rFonts w:ascii="Book Antiqua" w:eastAsia="宋体" w:hAnsi="Book Antiqua" w:cs="宋体"/>
          <w:bCs/>
          <w:sz w:val="24"/>
          <w:szCs w:val="24"/>
        </w:rPr>
        <w:t>Suppl):</w:t>
      </w:r>
      <w:r w:rsidR="001A5A01">
        <w:rPr>
          <w:rFonts w:ascii="Book Antiqua" w:eastAsia="宋体" w:hAnsi="Book Antiqua" w:cs="宋体" w:hint="eastAsia"/>
          <w:bCs/>
          <w:sz w:val="24"/>
          <w:szCs w:val="24"/>
          <w:lang w:eastAsia="zh-CN"/>
        </w:rPr>
        <w:t xml:space="preserve"> </w:t>
      </w:r>
      <w:r w:rsidR="001A5A01">
        <w:rPr>
          <w:rFonts w:ascii="Book Antiqua" w:eastAsia="宋体" w:hAnsi="Book Antiqua" w:cs="宋体"/>
          <w:bCs/>
          <w:sz w:val="24"/>
          <w:szCs w:val="24"/>
        </w:rPr>
        <w:t>S47-64</w:t>
      </w:r>
      <w:r w:rsidR="007A2E34" w:rsidRPr="001A5A01">
        <w:rPr>
          <w:rFonts w:ascii="Book Antiqua" w:eastAsia="宋体" w:hAnsi="Book Antiqua" w:cs="宋体"/>
          <w:bCs/>
          <w:sz w:val="24"/>
          <w:szCs w:val="24"/>
        </w:rPr>
        <w:t xml:space="preserve"> </w:t>
      </w:r>
      <w:r w:rsidR="001A5A01">
        <w:rPr>
          <w:rFonts w:ascii="Book Antiqua" w:eastAsia="宋体" w:hAnsi="Book Antiqua" w:cs="宋体" w:hint="eastAsia"/>
          <w:bCs/>
          <w:sz w:val="24"/>
          <w:szCs w:val="24"/>
          <w:lang w:eastAsia="zh-CN"/>
        </w:rPr>
        <w:t>[</w:t>
      </w:r>
      <w:r w:rsidR="001A5A01">
        <w:rPr>
          <w:rFonts w:ascii="Book Antiqua" w:eastAsia="宋体" w:hAnsi="Book Antiqua" w:cs="宋体"/>
          <w:bCs/>
          <w:sz w:val="24"/>
          <w:szCs w:val="24"/>
        </w:rPr>
        <w:t>PMID: 25920090</w:t>
      </w:r>
      <w:r w:rsidR="001A5A01">
        <w:rPr>
          <w:rFonts w:ascii="Book Antiqua" w:eastAsia="宋体" w:hAnsi="Book Antiqua" w:cs="宋体" w:hint="eastAsia"/>
          <w:bCs/>
          <w:sz w:val="24"/>
          <w:szCs w:val="24"/>
          <w:lang w:eastAsia="zh-CN"/>
        </w:rPr>
        <w:t xml:space="preserve"> </w:t>
      </w:r>
      <w:r w:rsidR="001A5A01" w:rsidRPr="001A5A01">
        <w:rPr>
          <w:rFonts w:ascii="Book Antiqua" w:eastAsia="宋体" w:hAnsi="Book Antiqua" w:cs="宋体"/>
          <w:bCs/>
          <w:sz w:val="24"/>
          <w:szCs w:val="24"/>
        </w:rPr>
        <w:t>DOİ</w:t>
      </w:r>
      <w:r w:rsidR="007A2E34" w:rsidRPr="001A5A01">
        <w:rPr>
          <w:rFonts w:ascii="Book Antiqua" w:eastAsia="宋体" w:hAnsi="Book Antiqua" w:cs="宋体"/>
          <w:bCs/>
          <w:sz w:val="24"/>
          <w:szCs w:val="24"/>
        </w:rPr>
        <w:t>: 10.1016/j.jhep.2014.12.012</w:t>
      </w:r>
      <w:r w:rsidR="001A5A01">
        <w:rPr>
          <w:rFonts w:ascii="Book Antiqua" w:eastAsia="宋体" w:hAnsi="Book Antiqua" w:cs="宋体" w:hint="eastAsia"/>
          <w:bCs/>
          <w:sz w:val="24"/>
          <w:szCs w:val="24"/>
          <w:lang w:eastAsia="zh-CN"/>
        </w:rPr>
        <w:t>]</w:t>
      </w:r>
      <w:r w:rsidR="007A2E34" w:rsidRPr="001A5A01">
        <w:rPr>
          <w:rFonts w:ascii="Book Antiqua" w:eastAsia="宋体" w:hAnsi="Book Antiqua" w:cs="宋体"/>
          <w:bCs/>
          <w:sz w:val="24"/>
          <w:szCs w:val="24"/>
        </w:rPr>
        <w:t xml:space="preserve"> </w:t>
      </w:r>
    </w:p>
    <w:p w14:paraId="11CB9D50" w14:textId="5E42D135"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27 </w:t>
      </w:r>
      <w:r w:rsidRPr="00C63AE9">
        <w:rPr>
          <w:rFonts w:ascii="Book Antiqua" w:eastAsia="宋体" w:hAnsi="Book Antiqua" w:cs="宋体"/>
          <w:b/>
          <w:bCs/>
          <w:sz w:val="24"/>
          <w:szCs w:val="24"/>
        </w:rPr>
        <w:t>Charlton M</w:t>
      </w:r>
      <w:r w:rsidRPr="00C63AE9">
        <w:rPr>
          <w:rFonts w:ascii="Book Antiqua" w:eastAsia="宋体" w:hAnsi="Book Antiqua" w:cs="宋体"/>
          <w:sz w:val="24"/>
          <w:szCs w:val="24"/>
        </w:rPr>
        <w:t>. Evolving aspects of liver transplantation for nonalcoholic steatohepatitis. </w:t>
      </w:r>
      <w:r w:rsidRPr="00C63AE9">
        <w:rPr>
          <w:rFonts w:ascii="Book Antiqua" w:eastAsia="宋体" w:hAnsi="Book Antiqua" w:cs="宋体"/>
          <w:i/>
          <w:iCs/>
          <w:sz w:val="24"/>
          <w:szCs w:val="24"/>
        </w:rPr>
        <w:t>Curr Opin Organ Transplant</w:t>
      </w:r>
      <w:r w:rsidRPr="00C63AE9">
        <w:rPr>
          <w:rFonts w:ascii="Book Antiqua" w:eastAsia="宋体" w:hAnsi="Book Antiqua" w:cs="宋体"/>
          <w:sz w:val="24"/>
          <w:szCs w:val="24"/>
        </w:rPr>
        <w:t> 2013; </w:t>
      </w:r>
      <w:r w:rsidRPr="00C63AE9">
        <w:rPr>
          <w:rFonts w:ascii="Book Antiqua" w:eastAsia="宋体" w:hAnsi="Book Antiqua" w:cs="宋体"/>
          <w:b/>
          <w:bCs/>
          <w:sz w:val="24"/>
          <w:szCs w:val="24"/>
        </w:rPr>
        <w:t>18</w:t>
      </w:r>
      <w:r w:rsidRPr="00C63AE9">
        <w:rPr>
          <w:rFonts w:ascii="Book Antiqua" w:eastAsia="宋体" w:hAnsi="Book Antiqua" w:cs="宋体"/>
          <w:sz w:val="24"/>
          <w:szCs w:val="24"/>
        </w:rPr>
        <w:t>: 251-258 [PMID: 23652610 DOI: 10.1097/MOT.0b013e3283615d30</w:t>
      </w:r>
      <w:r>
        <w:rPr>
          <w:rFonts w:ascii="Book Antiqua" w:eastAsia="宋体" w:hAnsi="Book Antiqua" w:cs="宋体"/>
          <w:sz w:val="24"/>
          <w:szCs w:val="24"/>
        </w:rPr>
        <w:t>]</w:t>
      </w:r>
    </w:p>
    <w:p w14:paraId="4B5EAE4C"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28 </w:t>
      </w:r>
      <w:r w:rsidRPr="00C63AE9">
        <w:rPr>
          <w:rFonts w:ascii="Book Antiqua" w:eastAsia="宋体" w:hAnsi="Book Antiqua" w:cs="宋体"/>
          <w:b/>
          <w:bCs/>
          <w:sz w:val="24"/>
          <w:szCs w:val="24"/>
        </w:rPr>
        <w:t>Hui JM</w:t>
      </w:r>
      <w:r w:rsidRPr="00C63AE9">
        <w:rPr>
          <w:rFonts w:ascii="Book Antiqua" w:eastAsia="宋体" w:hAnsi="Book Antiqua" w:cs="宋体"/>
          <w:sz w:val="24"/>
          <w:szCs w:val="24"/>
        </w:rPr>
        <w:t>, Kench JG, Chitturi S, Sud A, Farrell GC, Byth K, Hall P, Khan M, George J. Long-term outcomes of cirrhosis in nonalcoholic steatohepatitis compared with hepatitis C. </w:t>
      </w:r>
      <w:r w:rsidRPr="00C63AE9">
        <w:rPr>
          <w:rFonts w:ascii="Book Antiqua" w:eastAsia="宋体" w:hAnsi="Book Antiqua" w:cs="宋体"/>
          <w:i/>
          <w:iCs/>
          <w:sz w:val="24"/>
          <w:szCs w:val="24"/>
        </w:rPr>
        <w:t>Hepatology</w:t>
      </w:r>
      <w:r w:rsidRPr="00C63AE9">
        <w:rPr>
          <w:rFonts w:ascii="Book Antiqua" w:eastAsia="宋体" w:hAnsi="Book Antiqua" w:cs="宋体"/>
          <w:sz w:val="24"/>
          <w:szCs w:val="24"/>
        </w:rPr>
        <w:t> 2003; </w:t>
      </w:r>
      <w:r w:rsidRPr="00C63AE9">
        <w:rPr>
          <w:rFonts w:ascii="Book Antiqua" w:eastAsia="宋体" w:hAnsi="Book Antiqua" w:cs="宋体"/>
          <w:b/>
          <w:bCs/>
          <w:sz w:val="24"/>
          <w:szCs w:val="24"/>
        </w:rPr>
        <w:t>38</w:t>
      </w:r>
      <w:r w:rsidRPr="00C63AE9">
        <w:rPr>
          <w:rFonts w:ascii="Book Antiqua" w:eastAsia="宋体" w:hAnsi="Book Antiqua" w:cs="宋体"/>
          <w:sz w:val="24"/>
          <w:szCs w:val="24"/>
        </w:rPr>
        <w:t>: 420-427 [PMID: 12883486</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C63AE9">
        <w:rPr>
          <w:rFonts w:ascii="Book Antiqua" w:eastAsia="宋体" w:hAnsi="Book Antiqua" w:cs="宋体"/>
          <w:sz w:val="24"/>
          <w:szCs w:val="24"/>
        </w:rPr>
        <w:t>10.1053/jhep.2003.50320]</w:t>
      </w:r>
    </w:p>
    <w:p w14:paraId="0A518835"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29 </w:t>
      </w:r>
      <w:r w:rsidRPr="00C63AE9">
        <w:rPr>
          <w:rFonts w:ascii="Book Antiqua" w:eastAsia="宋体" w:hAnsi="Book Antiqua" w:cs="宋体"/>
          <w:b/>
          <w:bCs/>
          <w:sz w:val="24"/>
          <w:szCs w:val="24"/>
        </w:rPr>
        <w:t>Bhala N</w:t>
      </w:r>
      <w:r w:rsidRPr="00C63AE9">
        <w:rPr>
          <w:rFonts w:ascii="Book Antiqua" w:eastAsia="宋体" w:hAnsi="Book Antiqua" w:cs="宋体"/>
          <w:sz w:val="24"/>
          <w:szCs w:val="24"/>
        </w:rPr>
        <w:t>, Angulo P, van der Poorten D, Lee E, Hui JM, Saracco G, Adams LA, Charatcharoenwitthaya P, Topping JH, Bugianesi E, Day CP, George J. The natural history of nonalcoholic fatty liver disease with advanced fibrosis or cirrhosis: an international collaborative study. </w:t>
      </w:r>
      <w:r w:rsidRPr="00C63AE9">
        <w:rPr>
          <w:rFonts w:ascii="Book Antiqua" w:eastAsia="宋体" w:hAnsi="Book Antiqua" w:cs="宋体"/>
          <w:i/>
          <w:iCs/>
          <w:sz w:val="24"/>
          <w:szCs w:val="24"/>
        </w:rPr>
        <w:t>Hepatology</w:t>
      </w:r>
      <w:r w:rsidRPr="00C63AE9">
        <w:rPr>
          <w:rFonts w:ascii="Book Antiqua" w:eastAsia="宋体" w:hAnsi="Book Antiqua" w:cs="宋体"/>
          <w:sz w:val="24"/>
          <w:szCs w:val="24"/>
        </w:rPr>
        <w:t> 2011; </w:t>
      </w:r>
      <w:r w:rsidRPr="00C63AE9">
        <w:rPr>
          <w:rFonts w:ascii="Book Antiqua" w:eastAsia="宋体" w:hAnsi="Book Antiqua" w:cs="宋体"/>
          <w:b/>
          <w:bCs/>
          <w:sz w:val="24"/>
          <w:szCs w:val="24"/>
        </w:rPr>
        <w:t>54</w:t>
      </w:r>
      <w:r w:rsidRPr="00C63AE9">
        <w:rPr>
          <w:rFonts w:ascii="Book Antiqua" w:eastAsia="宋体" w:hAnsi="Book Antiqua" w:cs="宋体"/>
          <w:sz w:val="24"/>
          <w:szCs w:val="24"/>
        </w:rPr>
        <w:t>: 1208-1216 [PMID: 21688282 DOI: 10.1002/hep.24491</w:t>
      </w:r>
      <w:r>
        <w:rPr>
          <w:rFonts w:ascii="Book Antiqua" w:eastAsia="宋体" w:hAnsi="Book Antiqua" w:cs="宋体"/>
          <w:sz w:val="24"/>
          <w:szCs w:val="24"/>
        </w:rPr>
        <w:t>]</w:t>
      </w:r>
    </w:p>
    <w:p w14:paraId="74E3109F"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lastRenderedPageBreak/>
        <w:t>30 </w:t>
      </w:r>
      <w:r w:rsidRPr="00C63AE9">
        <w:rPr>
          <w:rFonts w:ascii="Book Antiqua" w:eastAsia="宋体" w:hAnsi="Book Antiqua" w:cs="宋体"/>
          <w:b/>
          <w:bCs/>
          <w:sz w:val="24"/>
          <w:szCs w:val="24"/>
        </w:rPr>
        <w:t>Sanyal AJ</w:t>
      </w:r>
      <w:r w:rsidRPr="00C63AE9">
        <w:rPr>
          <w:rFonts w:ascii="Book Antiqua" w:eastAsia="宋体" w:hAnsi="Book Antiqua" w:cs="宋体"/>
          <w:sz w:val="24"/>
          <w:szCs w:val="24"/>
        </w:rPr>
        <w:t>, Banas C, Sargeant C, Luketic VA, Sterling RK, Stravitz RT, Shiffman ML, Heuman D, Coterrell A, Fisher RA, Contos MJ, Mills AS. Similarities and differences in outcomes of cirrhosis due to nonalcoholic steatohepatitis and hepatitis C. </w:t>
      </w:r>
      <w:r w:rsidRPr="00C63AE9">
        <w:rPr>
          <w:rFonts w:ascii="Book Antiqua" w:eastAsia="宋体" w:hAnsi="Book Antiqua" w:cs="宋体"/>
          <w:i/>
          <w:iCs/>
          <w:sz w:val="24"/>
          <w:szCs w:val="24"/>
        </w:rPr>
        <w:t>Hepatology</w:t>
      </w:r>
      <w:r w:rsidRPr="00C63AE9">
        <w:rPr>
          <w:rFonts w:ascii="Book Antiqua" w:eastAsia="宋体" w:hAnsi="Book Antiqua" w:cs="宋体"/>
          <w:sz w:val="24"/>
          <w:szCs w:val="24"/>
        </w:rPr>
        <w:t> 2006; </w:t>
      </w:r>
      <w:r w:rsidRPr="00C63AE9">
        <w:rPr>
          <w:rFonts w:ascii="Book Antiqua" w:eastAsia="宋体" w:hAnsi="Book Antiqua" w:cs="宋体"/>
          <w:b/>
          <w:bCs/>
          <w:sz w:val="24"/>
          <w:szCs w:val="24"/>
        </w:rPr>
        <w:t>43</w:t>
      </w:r>
      <w:r w:rsidRPr="00C63AE9">
        <w:rPr>
          <w:rFonts w:ascii="Book Antiqua" w:eastAsia="宋体" w:hAnsi="Book Antiqua" w:cs="宋体"/>
          <w:sz w:val="24"/>
          <w:szCs w:val="24"/>
        </w:rPr>
        <w:t>: 682-689 [PMID: 16502396</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C63AE9">
        <w:rPr>
          <w:rFonts w:ascii="Book Antiqua" w:eastAsia="宋体" w:hAnsi="Book Antiqua" w:cs="宋体"/>
          <w:sz w:val="24"/>
          <w:szCs w:val="24"/>
        </w:rPr>
        <w:t>10.1002/hep.21103]</w:t>
      </w:r>
    </w:p>
    <w:p w14:paraId="4601ACE1"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31 </w:t>
      </w:r>
      <w:r w:rsidRPr="00C63AE9">
        <w:rPr>
          <w:rFonts w:ascii="Book Antiqua" w:eastAsia="宋体" w:hAnsi="Book Antiqua" w:cs="宋体"/>
          <w:b/>
          <w:bCs/>
          <w:sz w:val="24"/>
          <w:szCs w:val="24"/>
        </w:rPr>
        <w:t>Yatsuji S</w:t>
      </w:r>
      <w:r w:rsidRPr="00C63AE9">
        <w:rPr>
          <w:rFonts w:ascii="Book Antiqua" w:eastAsia="宋体" w:hAnsi="Book Antiqua" w:cs="宋体"/>
          <w:sz w:val="24"/>
          <w:szCs w:val="24"/>
        </w:rPr>
        <w:t>, Hashimoto E, Tobari M, Taniai M, Tokushige K, Shiratori K. Clinical features and outcomes of cirrhosis due to non-alcoholic steatohepatitis compared with cirrhosis caused by chronic hepatitis C. </w:t>
      </w:r>
      <w:r w:rsidRPr="00C63AE9">
        <w:rPr>
          <w:rFonts w:ascii="Book Antiqua" w:eastAsia="宋体" w:hAnsi="Book Antiqua" w:cs="宋体"/>
          <w:i/>
          <w:iCs/>
          <w:sz w:val="24"/>
          <w:szCs w:val="24"/>
        </w:rPr>
        <w:t>J Gastroenterol Hepatol</w:t>
      </w:r>
      <w:r w:rsidRPr="00C63AE9">
        <w:rPr>
          <w:rFonts w:ascii="Book Antiqua" w:eastAsia="宋体" w:hAnsi="Book Antiqua" w:cs="宋体"/>
          <w:sz w:val="24"/>
          <w:szCs w:val="24"/>
        </w:rPr>
        <w:t> 2009; </w:t>
      </w:r>
      <w:r w:rsidRPr="00C63AE9">
        <w:rPr>
          <w:rFonts w:ascii="Book Antiqua" w:eastAsia="宋体" w:hAnsi="Book Antiqua" w:cs="宋体"/>
          <w:b/>
          <w:bCs/>
          <w:sz w:val="24"/>
          <w:szCs w:val="24"/>
        </w:rPr>
        <w:t>24</w:t>
      </w:r>
      <w:r w:rsidRPr="00C63AE9">
        <w:rPr>
          <w:rFonts w:ascii="Book Antiqua" w:eastAsia="宋体" w:hAnsi="Book Antiqua" w:cs="宋体"/>
          <w:sz w:val="24"/>
          <w:szCs w:val="24"/>
        </w:rPr>
        <w:t>: 248-254 [PMID: 19032450 DOI: 10.1111/j.1440-1746.2008.05640.x</w:t>
      </w:r>
      <w:r>
        <w:rPr>
          <w:rFonts w:ascii="Book Antiqua" w:eastAsia="宋体" w:hAnsi="Book Antiqua" w:cs="宋体"/>
          <w:sz w:val="24"/>
          <w:szCs w:val="24"/>
        </w:rPr>
        <w:t>]</w:t>
      </w:r>
    </w:p>
    <w:p w14:paraId="49521D03"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32 </w:t>
      </w:r>
      <w:r w:rsidRPr="00C63AE9">
        <w:rPr>
          <w:rFonts w:ascii="Book Antiqua" w:eastAsia="宋体" w:hAnsi="Book Antiqua" w:cs="宋体"/>
          <w:b/>
          <w:bCs/>
          <w:sz w:val="24"/>
          <w:szCs w:val="24"/>
        </w:rPr>
        <w:t>White DL</w:t>
      </w:r>
      <w:r w:rsidRPr="00C63AE9">
        <w:rPr>
          <w:rFonts w:ascii="Book Antiqua" w:eastAsia="宋体" w:hAnsi="Book Antiqua" w:cs="宋体"/>
          <w:sz w:val="24"/>
          <w:szCs w:val="24"/>
        </w:rPr>
        <w:t>, Kanwal F, El-Serag HB. Association between nonalcoholic fatty liver disease and risk for hepatocellular cancer, based on systematic review. </w:t>
      </w:r>
      <w:r w:rsidRPr="00C63AE9">
        <w:rPr>
          <w:rFonts w:ascii="Book Antiqua" w:eastAsia="宋体" w:hAnsi="Book Antiqua" w:cs="宋体"/>
          <w:i/>
          <w:iCs/>
          <w:sz w:val="24"/>
          <w:szCs w:val="24"/>
        </w:rPr>
        <w:t>Clin Gastroenterol Hepatol</w:t>
      </w:r>
      <w:r w:rsidRPr="00C63AE9">
        <w:rPr>
          <w:rFonts w:ascii="Book Antiqua" w:eastAsia="宋体" w:hAnsi="Book Antiqua" w:cs="宋体"/>
          <w:sz w:val="24"/>
          <w:szCs w:val="24"/>
        </w:rPr>
        <w:t> 2012; </w:t>
      </w:r>
      <w:r w:rsidRPr="00C63AE9">
        <w:rPr>
          <w:rFonts w:ascii="Book Antiqua" w:eastAsia="宋体" w:hAnsi="Book Antiqua" w:cs="宋体"/>
          <w:b/>
          <w:bCs/>
          <w:sz w:val="24"/>
          <w:szCs w:val="24"/>
        </w:rPr>
        <w:t>10</w:t>
      </w:r>
      <w:r w:rsidRPr="00C63AE9">
        <w:rPr>
          <w:rFonts w:ascii="Book Antiqua" w:eastAsia="宋体" w:hAnsi="Book Antiqua" w:cs="宋体"/>
          <w:sz w:val="24"/>
          <w:szCs w:val="24"/>
        </w:rPr>
        <w:t>: 1342-1359.e2 [PMID: 23041539 DOI: 10.1016/j.cgh.2012.10.001</w:t>
      </w:r>
      <w:r>
        <w:rPr>
          <w:rFonts w:ascii="Book Antiqua" w:eastAsia="宋体" w:hAnsi="Book Antiqua" w:cs="宋体"/>
          <w:sz w:val="24"/>
          <w:szCs w:val="24"/>
        </w:rPr>
        <w:t>]</w:t>
      </w:r>
    </w:p>
    <w:p w14:paraId="6E2FDDCB"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33 </w:t>
      </w:r>
      <w:r w:rsidRPr="00C63AE9">
        <w:rPr>
          <w:rFonts w:ascii="Book Antiqua" w:eastAsia="宋体" w:hAnsi="Book Antiqua" w:cs="宋体"/>
          <w:b/>
          <w:bCs/>
          <w:sz w:val="24"/>
          <w:szCs w:val="24"/>
        </w:rPr>
        <w:t>Ekstedt M</w:t>
      </w:r>
      <w:r w:rsidRPr="00C63AE9">
        <w:rPr>
          <w:rFonts w:ascii="Book Antiqua" w:eastAsia="宋体" w:hAnsi="Book Antiqua" w:cs="宋体"/>
          <w:sz w:val="24"/>
          <w:szCs w:val="24"/>
        </w:rPr>
        <w:t>, Franzén LE, Mathiesen UL, Thorelius L, Holmqvist M, Bodemar G, Kechagias S. Long-term follow-up of patients with NAFLD and elevated liver enzymes. </w:t>
      </w:r>
      <w:r w:rsidRPr="00C63AE9">
        <w:rPr>
          <w:rFonts w:ascii="Book Antiqua" w:eastAsia="宋体" w:hAnsi="Book Antiqua" w:cs="宋体"/>
          <w:i/>
          <w:iCs/>
          <w:sz w:val="24"/>
          <w:szCs w:val="24"/>
        </w:rPr>
        <w:t>Hepatology</w:t>
      </w:r>
      <w:r w:rsidRPr="00C63AE9">
        <w:rPr>
          <w:rFonts w:ascii="Book Antiqua" w:eastAsia="宋体" w:hAnsi="Book Antiqua" w:cs="宋体"/>
          <w:sz w:val="24"/>
          <w:szCs w:val="24"/>
        </w:rPr>
        <w:t> 2006; </w:t>
      </w:r>
      <w:r w:rsidRPr="00C63AE9">
        <w:rPr>
          <w:rFonts w:ascii="Book Antiqua" w:eastAsia="宋体" w:hAnsi="Book Antiqua" w:cs="宋体"/>
          <w:b/>
          <w:bCs/>
          <w:sz w:val="24"/>
          <w:szCs w:val="24"/>
        </w:rPr>
        <w:t>44</w:t>
      </w:r>
      <w:r w:rsidRPr="00C63AE9">
        <w:rPr>
          <w:rFonts w:ascii="Book Antiqua" w:eastAsia="宋体" w:hAnsi="Book Antiqua" w:cs="宋体"/>
          <w:sz w:val="24"/>
          <w:szCs w:val="24"/>
        </w:rPr>
        <w:t>: 865-873 [PMID: 17006923</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C63AE9">
        <w:rPr>
          <w:rFonts w:ascii="Book Antiqua" w:eastAsia="宋体" w:hAnsi="Book Antiqua" w:cs="宋体"/>
          <w:sz w:val="24"/>
          <w:szCs w:val="24"/>
        </w:rPr>
        <w:t>10.1002/hep.21327]</w:t>
      </w:r>
    </w:p>
    <w:p w14:paraId="3D5CAF8E"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34 </w:t>
      </w:r>
      <w:r w:rsidRPr="00C63AE9">
        <w:rPr>
          <w:rFonts w:ascii="Book Antiqua" w:eastAsia="宋体" w:hAnsi="Book Antiqua" w:cs="宋体"/>
          <w:b/>
          <w:bCs/>
          <w:sz w:val="24"/>
          <w:szCs w:val="24"/>
        </w:rPr>
        <w:t>Lee SS</w:t>
      </w:r>
      <w:r w:rsidRPr="00C63AE9">
        <w:rPr>
          <w:rFonts w:ascii="Book Antiqua" w:eastAsia="宋体" w:hAnsi="Book Antiqua" w:cs="宋体"/>
          <w:sz w:val="24"/>
          <w:szCs w:val="24"/>
        </w:rPr>
        <w:t>, Jeong SH, Byoun YS, Chung SM, Seong MH, Sohn HR, Min BY, Jang ES, Kim JW, Park GJ, Lee YJ, Lee KH, Ahn S. Clinical features and outcome of cryptogenic hepatocellular carcinoma compared to those of viral and alcoholic hepatocellular carcinoma. </w:t>
      </w:r>
      <w:r w:rsidRPr="00C63AE9">
        <w:rPr>
          <w:rFonts w:ascii="Book Antiqua" w:eastAsia="宋体" w:hAnsi="Book Antiqua" w:cs="宋体"/>
          <w:i/>
          <w:iCs/>
          <w:sz w:val="24"/>
          <w:szCs w:val="24"/>
        </w:rPr>
        <w:t>BMC Cancer</w:t>
      </w:r>
      <w:r w:rsidRPr="00C63AE9">
        <w:rPr>
          <w:rFonts w:ascii="Book Antiqua" w:eastAsia="宋体" w:hAnsi="Book Antiqua" w:cs="宋体"/>
          <w:sz w:val="24"/>
          <w:szCs w:val="24"/>
        </w:rPr>
        <w:t> 2013; </w:t>
      </w:r>
      <w:r w:rsidRPr="00C63AE9">
        <w:rPr>
          <w:rFonts w:ascii="Book Antiqua" w:eastAsia="宋体" w:hAnsi="Book Antiqua" w:cs="宋体"/>
          <w:b/>
          <w:bCs/>
          <w:sz w:val="24"/>
          <w:szCs w:val="24"/>
        </w:rPr>
        <w:t>13</w:t>
      </w:r>
      <w:r w:rsidRPr="00C63AE9">
        <w:rPr>
          <w:rFonts w:ascii="Book Antiqua" w:eastAsia="宋体" w:hAnsi="Book Antiqua" w:cs="宋体"/>
          <w:sz w:val="24"/>
          <w:szCs w:val="24"/>
        </w:rPr>
        <w:t>: 335 [PMID: 23829392 DOI: 10.1186/1471-2407-13-335</w:t>
      </w:r>
      <w:r>
        <w:rPr>
          <w:rFonts w:ascii="Book Antiqua" w:eastAsia="宋体" w:hAnsi="Book Antiqua" w:cs="宋体"/>
          <w:sz w:val="24"/>
          <w:szCs w:val="24"/>
        </w:rPr>
        <w:t>]</w:t>
      </w:r>
    </w:p>
    <w:p w14:paraId="27C7A956"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35 </w:t>
      </w:r>
      <w:r w:rsidRPr="00C63AE9">
        <w:rPr>
          <w:rFonts w:ascii="Book Antiqua" w:eastAsia="宋体" w:hAnsi="Book Antiqua" w:cs="宋体"/>
          <w:b/>
          <w:bCs/>
          <w:sz w:val="24"/>
          <w:szCs w:val="24"/>
        </w:rPr>
        <w:t>Ascha MS</w:t>
      </w:r>
      <w:r w:rsidRPr="00C63AE9">
        <w:rPr>
          <w:rFonts w:ascii="Book Antiqua" w:eastAsia="宋体" w:hAnsi="Book Antiqua" w:cs="宋体"/>
          <w:sz w:val="24"/>
          <w:szCs w:val="24"/>
        </w:rPr>
        <w:t>, Hanouneh IA, Lopez R, Tamimi TA, Feldstein AF, Zein NN. The incidence and risk factors of hepatocellular carcinoma in patients with nonalcoholic steatohepatitis. </w:t>
      </w:r>
      <w:r w:rsidRPr="00C63AE9">
        <w:rPr>
          <w:rFonts w:ascii="Book Antiqua" w:eastAsia="宋体" w:hAnsi="Book Antiqua" w:cs="宋体"/>
          <w:i/>
          <w:iCs/>
          <w:sz w:val="24"/>
          <w:szCs w:val="24"/>
        </w:rPr>
        <w:t>Hepatology</w:t>
      </w:r>
      <w:r w:rsidRPr="00C63AE9">
        <w:rPr>
          <w:rFonts w:ascii="Book Antiqua" w:eastAsia="宋体" w:hAnsi="Book Antiqua" w:cs="宋体"/>
          <w:sz w:val="24"/>
          <w:szCs w:val="24"/>
        </w:rPr>
        <w:t> 2010; </w:t>
      </w:r>
      <w:r w:rsidRPr="00C63AE9">
        <w:rPr>
          <w:rFonts w:ascii="Book Antiqua" w:eastAsia="宋体" w:hAnsi="Book Antiqua" w:cs="宋体"/>
          <w:b/>
          <w:bCs/>
          <w:sz w:val="24"/>
          <w:szCs w:val="24"/>
        </w:rPr>
        <w:t>51</w:t>
      </w:r>
      <w:r w:rsidRPr="00C63AE9">
        <w:rPr>
          <w:rFonts w:ascii="Book Antiqua" w:eastAsia="宋体" w:hAnsi="Book Antiqua" w:cs="宋体"/>
          <w:sz w:val="24"/>
          <w:szCs w:val="24"/>
        </w:rPr>
        <w:t>: 1972-1978 [PMID: 20209604 DOI: 10.1002/hep.23527</w:t>
      </w:r>
      <w:r>
        <w:rPr>
          <w:rFonts w:ascii="Book Antiqua" w:eastAsia="宋体" w:hAnsi="Book Antiqua" w:cs="宋体"/>
          <w:sz w:val="24"/>
          <w:szCs w:val="24"/>
        </w:rPr>
        <w:t>]</w:t>
      </w:r>
    </w:p>
    <w:p w14:paraId="31B81E69"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36 </w:t>
      </w:r>
      <w:r w:rsidRPr="00C63AE9">
        <w:rPr>
          <w:rFonts w:ascii="Book Antiqua" w:eastAsia="宋体" w:hAnsi="Book Antiqua" w:cs="宋体"/>
          <w:b/>
          <w:bCs/>
          <w:sz w:val="24"/>
          <w:szCs w:val="24"/>
        </w:rPr>
        <w:t>Basaranoglu M</w:t>
      </w:r>
      <w:r w:rsidRPr="00C63AE9">
        <w:rPr>
          <w:rFonts w:ascii="Book Antiqua" w:eastAsia="宋体" w:hAnsi="Book Antiqua" w:cs="宋体"/>
          <w:sz w:val="24"/>
          <w:szCs w:val="24"/>
        </w:rPr>
        <w:t>, Basaranoglu G. Pathophysiology of insulin resistance and steatosis in patients with chronic viral hepatitis. </w:t>
      </w:r>
      <w:r w:rsidRPr="00C63AE9">
        <w:rPr>
          <w:rFonts w:ascii="Book Antiqua" w:eastAsia="宋体" w:hAnsi="Book Antiqua" w:cs="宋体"/>
          <w:i/>
          <w:iCs/>
          <w:sz w:val="24"/>
          <w:szCs w:val="24"/>
        </w:rPr>
        <w:t>World J Gastroenterol</w:t>
      </w:r>
      <w:r w:rsidRPr="00C63AE9">
        <w:rPr>
          <w:rFonts w:ascii="Book Antiqua" w:eastAsia="宋体" w:hAnsi="Book Antiqua" w:cs="宋体"/>
          <w:sz w:val="24"/>
          <w:szCs w:val="24"/>
        </w:rPr>
        <w:t> 2011; </w:t>
      </w:r>
      <w:r w:rsidRPr="00C63AE9">
        <w:rPr>
          <w:rFonts w:ascii="Book Antiqua" w:eastAsia="宋体" w:hAnsi="Book Antiqua" w:cs="宋体"/>
          <w:b/>
          <w:bCs/>
          <w:sz w:val="24"/>
          <w:szCs w:val="24"/>
        </w:rPr>
        <w:t>17</w:t>
      </w:r>
      <w:r w:rsidRPr="00C63AE9">
        <w:rPr>
          <w:rFonts w:ascii="Book Antiqua" w:eastAsia="宋体" w:hAnsi="Book Antiqua" w:cs="宋体"/>
          <w:sz w:val="24"/>
          <w:szCs w:val="24"/>
        </w:rPr>
        <w:t>: 4055-4062 [PMID: 22039318 DOI: 10.3748/wjg.v17.i36.4055</w:t>
      </w:r>
      <w:r>
        <w:rPr>
          <w:rFonts w:ascii="Book Antiqua" w:eastAsia="宋体" w:hAnsi="Book Antiqua" w:cs="宋体"/>
          <w:sz w:val="24"/>
          <w:szCs w:val="24"/>
        </w:rPr>
        <w:t>]</w:t>
      </w:r>
    </w:p>
    <w:p w14:paraId="7F7377A2"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lastRenderedPageBreak/>
        <w:t>37 </w:t>
      </w:r>
      <w:r w:rsidRPr="00C63AE9">
        <w:rPr>
          <w:rFonts w:ascii="Book Antiqua" w:eastAsia="宋体" w:hAnsi="Book Antiqua" w:cs="宋体"/>
          <w:b/>
          <w:bCs/>
          <w:sz w:val="24"/>
          <w:szCs w:val="24"/>
        </w:rPr>
        <w:t>Basaranoglu M</w:t>
      </w:r>
      <w:r w:rsidRPr="00C63AE9">
        <w:rPr>
          <w:rFonts w:ascii="Book Antiqua" w:eastAsia="宋体" w:hAnsi="Book Antiqua" w:cs="宋体"/>
          <w:sz w:val="24"/>
          <w:szCs w:val="24"/>
        </w:rPr>
        <w:t>, Kayacetin S, Yilmaz N, Kayacetin E, Tarcin O, Sonsuz A. Understanding mechanisms of the pathogenesis of nonalcoholic fatty liver disease. </w:t>
      </w:r>
      <w:r w:rsidRPr="00C63AE9">
        <w:rPr>
          <w:rFonts w:ascii="Book Antiqua" w:eastAsia="宋体" w:hAnsi="Book Antiqua" w:cs="宋体"/>
          <w:i/>
          <w:iCs/>
          <w:sz w:val="24"/>
          <w:szCs w:val="24"/>
        </w:rPr>
        <w:t>World J Gastroenterol</w:t>
      </w:r>
      <w:r w:rsidRPr="00C63AE9">
        <w:rPr>
          <w:rFonts w:ascii="Book Antiqua" w:eastAsia="宋体" w:hAnsi="Book Antiqua" w:cs="宋体"/>
          <w:sz w:val="24"/>
          <w:szCs w:val="24"/>
        </w:rPr>
        <w:t> 2010; </w:t>
      </w:r>
      <w:r w:rsidRPr="00C63AE9">
        <w:rPr>
          <w:rFonts w:ascii="Book Antiqua" w:eastAsia="宋体" w:hAnsi="Book Antiqua" w:cs="宋体"/>
          <w:b/>
          <w:bCs/>
          <w:sz w:val="24"/>
          <w:szCs w:val="24"/>
        </w:rPr>
        <w:t>16</w:t>
      </w:r>
      <w:r w:rsidRPr="00C63AE9">
        <w:rPr>
          <w:rFonts w:ascii="Book Antiqua" w:eastAsia="宋体" w:hAnsi="Book Antiqua" w:cs="宋体"/>
          <w:sz w:val="24"/>
          <w:szCs w:val="24"/>
        </w:rPr>
        <w:t>: 2223-2226 [PMID: 2045875</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C63AE9">
        <w:rPr>
          <w:rFonts w:ascii="Book Antiqua" w:eastAsia="宋体" w:hAnsi="Book Antiqua" w:cs="宋体"/>
          <w:sz w:val="24"/>
          <w:szCs w:val="24"/>
        </w:rPr>
        <w:t>10.3748/wjg.v16.i18.22238]</w:t>
      </w:r>
    </w:p>
    <w:p w14:paraId="0BC18BB9"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38 </w:t>
      </w:r>
      <w:r w:rsidRPr="00C63AE9">
        <w:rPr>
          <w:rFonts w:ascii="Book Antiqua" w:eastAsia="宋体" w:hAnsi="Book Antiqua" w:cs="宋体"/>
          <w:b/>
          <w:bCs/>
          <w:sz w:val="24"/>
          <w:szCs w:val="24"/>
        </w:rPr>
        <w:t>Tetri LH</w:t>
      </w:r>
      <w:r w:rsidRPr="00C63AE9">
        <w:rPr>
          <w:rFonts w:ascii="Book Antiqua" w:eastAsia="宋体" w:hAnsi="Book Antiqua" w:cs="宋体"/>
          <w:sz w:val="24"/>
          <w:szCs w:val="24"/>
        </w:rPr>
        <w:t>, Basaranoglu M, Brunt EM, Yerian LM, Neuschwander-Tetri BA. Severe NAFLD with hepatic necroinflammatory changes in mice fed trans fats and a high-fructose corn syrup equivalent. </w:t>
      </w:r>
      <w:r w:rsidRPr="00C63AE9">
        <w:rPr>
          <w:rFonts w:ascii="Book Antiqua" w:eastAsia="宋体" w:hAnsi="Book Antiqua" w:cs="宋体"/>
          <w:i/>
          <w:iCs/>
          <w:sz w:val="24"/>
          <w:szCs w:val="24"/>
        </w:rPr>
        <w:t>Am J Physiol Gastrointest Liver Physiol</w:t>
      </w:r>
      <w:r w:rsidRPr="00C63AE9">
        <w:rPr>
          <w:rFonts w:ascii="Book Antiqua" w:eastAsia="宋体" w:hAnsi="Book Antiqua" w:cs="宋体"/>
          <w:sz w:val="24"/>
          <w:szCs w:val="24"/>
        </w:rPr>
        <w:t> 2008; </w:t>
      </w:r>
      <w:r w:rsidRPr="00C63AE9">
        <w:rPr>
          <w:rFonts w:ascii="Book Antiqua" w:eastAsia="宋体" w:hAnsi="Book Antiqua" w:cs="宋体"/>
          <w:b/>
          <w:bCs/>
          <w:sz w:val="24"/>
          <w:szCs w:val="24"/>
        </w:rPr>
        <w:t>295</w:t>
      </w:r>
      <w:r w:rsidRPr="00C63AE9">
        <w:rPr>
          <w:rFonts w:ascii="Book Antiqua" w:eastAsia="宋体" w:hAnsi="Book Antiqua" w:cs="宋体"/>
          <w:sz w:val="24"/>
          <w:szCs w:val="24"/>
        </w:rPr>
        <w:t>: G987-G995 [PMID: 18772365 DOI: 10.1152/ajpgi.90272.2008</w:t>
      </w:r>
      <w:r>
        <w:rPr>
          <w:rFonts w:ascii="Book Antiqua" w:eastAsia="宋体" w:hAnsi="Book Antiqua" w:cs="宋体"/>
          <w:sz w:val="24"/>
          <w:szCs w:val="24"/>
        </w:rPr>
        <w:t>]</w:t>
      </w:r>
    </w:p>
    <w:p w14:paraId="1B19F414"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39 </w:t>
      </w:r>
      <w:r w:rsidRPr="00C63AE9">
        <w:rPr>
          <w:rFonts w:ascii="Book Antiqua" w:eastAsia="宋体" w:hAnsi="Book Antiqua" w:cs="宋体"/>
          <w:b/>
          <w:bCs/>
          <w:sz w:val="24"/>
          <w:szCs w:val="24"/>
        </w:rPr>
        <w:t>Neuschwander-Tetri BA</w:t>
      </w:r>
      <w:r w:rsidRPr="00C63AE9">
        <w:rPr>
          <w:rFonts w:ascii="Book Antiqua" w:eastAsia="宋体" w:hAnsi="Book Antiqua" w:cs="宋体"/>
          <w:sz w:val="24"/>
          <w:szCs w:val="24"/>
        </w:rPr>
        <w:t>, Ford DA, Acharya S, Gilkey G, Basaranoglu M, Tetri LH, Brunt EM. Dietary trans-fatty acid induced NASH is normalized following loss of trans-fatty acids from hepatic lipid pools. </w:t>
      </w:r>
      <w:r w:rsidRPr="00C63AE9">
        <w:rPr>
          <w:rFonts w:ascii="Book Antiqua" w:eastAsia="宋体" w:hAnsi="Book Antiqua" w:cs="宋体"/>
          <w:i/>
          <w:iCs/>
          <w:sz w:val="24"/>
          <w:szCs w:val="24"/>
        </w:rPr>
        <w:t>Lipids</w:t>
      </w:r>
      <w:r w:rsidRPr="00C63AE9">
        <w:rPr>
          <w:rFonts w:ascii="Book Antiqua" w:eastAsia="宋体" w:hAnsi="Book Antiqua" w:cs="宋体"/>
          <w:sz w:val="24"/>
          <w:szCs w:val="24"/>
        </w:rPr>
        <w:t> 2012; </w:t>
      </w:r>
      <w:r w:rsidRPr="00C63AE9">
        <w:rPr>
          <w:rFonts w:ascii="Book Antiqua" w:eastAsia="宋体" w:hAnsi="Book Antiqua" w:cs="宋体"/>
          <w:b/>
          <w:bCs/>
          <w:sz w:val="24"/>
          <w:szCs w:val="24"/>
        </w:rPr>
        <w:t>47</w:t>
      </w:r>
      <w:r w:rsidRPr="00C63AE9">
        <w:rPr>
          <w:rFonts w:ascii="Book Antiqua" w:eastAsia="宋体" w:hAnsi="Book Antiqua" w:cs="宋体"/>
          <w:sz w:val="24"/>
          <w:szCs w:val="24"/>
        </w:rPr>
        <w:t>: 941-950 [PMID: 22923371]</w:t>
      </w:r>
    </w:p>
    <w:p w14:paraId="4DB55BC3"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40 </w:t>
      </w:r>
      <w:r w:rsidRPr="00C63AE9">
        <w:rPr>
          <w:rFonts w:ascii="Book Antiqua" w:eastAsia="宋体" w:hAnsi="Book Antiqua" w:cs="宋体"/>
          <w:b/>
          <w:bCs/>
          <w:sz w:val="24"/>
          <w:szCs w:val="24"/>
        </w:rPr>
        <w:t>Najjar SM</w:t>
      </w:r>
      <w:r w:rsidRPr="00C63AE9">
        <w:rPr>
          <w:rFonts w:ascii="Book Antiqua" w:eastAsia="宋体" w:hAnsi="Book Antiqua" w:cs="宋体"/>
          <w:sz w:val="24"/>
          <w:szCs w:val="24"/>
        </w:rPr>
        <w:t>, Russo L. CEACAM1 loss links inflammation to insulin resistance in obesity and non-alcoholic steatohepatitis (NASH). </w:t>
      </w:r>
      <w:r w:rsidRPr="00C63AE9">
        <w:rPr>
          <w:rFonts w:ascii="Book Antiqua" w:eastAsia="宋体" w:hAnsi="Book Antiqua" w:cs="宋体"/>
          <w:i/>
          <w:iCs/>
          <w:sz w:val="24"/>
          <w:szCs w:val="24"/>
        </w:rPr>
        <w:t>Semin Immunopathol</w:t>
      </w:r>
      <w:r w:rsidRPr="00C63AE9">
        <w:rPr>
          <w:rFonts w:ascii="Book Antiqua" w:eastAsia="宋体" w:hAnsi="Book Antiqua" w:cs="宋体"/>
          <w:sz w:val="24"/>
          <w:szCs w:val="24"/>
        </w:rPr>
        <w:t> 2014; </w:t>
      </w:r>
      <w:r w:rsidRPr="00C63AE9">
        <w:rPr>
          <w:rFonts w:ascii="Book Antiqua" w:eastAsia="宋体" w:hAnsi="Book Antiqua" w:cs="宋体"/>
          <w:b/>
          <w:bCs/>
          <w:sz w:val="24"/>
          <w:szCs w:val="24"/>
        </w:rPr>
        <w:t>36</w:t>
      </w:r>
      <w:r w:rsidRPr="00C63AE9">
        <w:rPr>
          <w:rFonts w:ascii="Book Antiqua" w:eastAsia="宋体" w:hAnsi="Book Antiqua" w:cs="宋体"/>
          <w:sz w:val="24"/>
          <w:szCs w:val="24"/>
        </w:rPr>
        <w:t>: 55-71 [PMID: 24258517 DOI: 10.1007/s00281-013-0407-3</w:t>
      </w:r>
      <w:r>
        <w:rPr>
          <w:rFonts w:ascii="Book Antiqua" w:eastAsia="宋体" w:hAnsi="Book Antiqua" w:cs="宋体"/>
          <w:sz w:val="24"/>
          <w:szCs w:val="24"/>
        </w:rPr>
        <w:t>]</w:t>
      </w:r>
    </w:p>
    <w:p w14:paraId="418E2008"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41 </w:t>
      </w:r>
      <w:r w:rsidRPr="00C63AE9">
        <w:rPr>
          <w:rFonts w:ascii="Book Antiqua" w:eastAsia="宋体" w:hAnsi="Book Antiqua" w:cs="宋体"/>
          <w:b/>
          <w:bCs/>
          <w:sz w:val="24"/>
          <w:szCs w:val="24"/>
        </w:rPr>
        <w:t>Englesbe MJ</w:t>
      </w:r>
      <w:r w:rsidRPr="00C63AE9">
        <w:rPr>
          <w:rFonts w:ascii="Book Antiqua" w:eastAsia="宋体" w:hAnsi="Book Antiqua" w:cs="宋体"/>
          <w:sz w:val="24"/>
          <w:szCs w:val="24"/>
        </w:rPr>
        <w:t>, Kubus J, Muhammad W, Sonnenday CJ, Welling T, Punch JD, Lynch RJ, Marrero JA, Pelletier SJ. Portal vein thrombosis and survival in patients with cirrhosis. </w:t>
      </w:r>
      <w:r w:rsidRPr="00C63AE9">
        <w:rPr>
          <w:rFonts w:ascii="Book Antiqua" w:eastAsia="宋体" w:hAnsi="Book Antiqua" w:cs="宋体"/>
          <w:i/>
          <w:iCs/>
          <w:sz w:val="24"/>
          <w:szCs w:val="24"/>
        </w:rPr>
        <w:t>Liver Transpl</w:t>
      </w:r>
      <w:r w:rsidRPr="00C63AE9">
        <w:rPr>
          <w:rFonts w:ascii="Book Antiqua" w:eastAsia="宋体" w:hAnsi="Book Antiqua" w:cs="宋体"/>
          <w:sz w:val="24"/>
          <w:szCs w:val="24"/>
        </w:rPr>
        <w:t> 2010; </w:t>
      </w:r>
      <w:r w:rsidRPr="00C63AE9">
        <w:rPr>
          <w:rFonts w:ascii="Book Antiqua" w:eastAsia="宋体" w:hAnsi="Book Antiqua" w:cs="宋体"/>
          <w:b/>
          <w:bCs/>
          <w:sz w:val="24"/>
          <w:szCs w:val="24"/>
        </w:rPr>
        <w:t>16</w:t>
      </w:r>
      <w:r w:rsidRPr="00C63AE9">
        <w:rPr>
          <w:rFonts w:ascii="Book Antiqua" w:eastAsia="宋体" w:hAnsi="Book Antiqua" w:cs="宋体"/>
          <w:sz w:val="24"/>
          <w:szCs w:val="24"/>
        </w:rPr>
        <w:t>: 83-90 [PMID: 20035521 DOI: 10.1002/lt.21941</w:t>
      </w:r>
      <w:r>
        <w:rPr>
          <w:rFonts w:ascii="Book Antiqua" w:eastAsia="宋体" w:hAnsi="Book Antiqua" w:cs="宋体"/>
          <w:sz w:val="24"/>
          <w:szCs w:val="24"/>
        </w:rPr>
        <w:t>]</w:t>
      </w:r>
    </w:p>
    <w:p w14:paraId="046FA4BB"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42 </w:t>
      </w:r>
      <w:r w:rsidRPr="00C63AE9">
        <w:rPr>
          <w:rFonts w:ascii="Book Antiqua" w:eastAsia="宋体" w:hAnsi="Book Antiqua" w:cs="宋体"/>
          <w:b/>
          <w:bCs/>
          <w:sz w:val="24"/>
          <w:szCs w:val="24"/>
        </w:rPr>
        <w:t>Giorgio A</w:t>
      </w:r>
      <w:r w:rsidRPr="00C63AE9">
        <w:rPr>
          <w:rFonts w:ascii="Book Antiqua" w:eastAsia="宋体" w:hAnsi="Book Antiqua" w:cs="宋体"/>
          <w:sz w:val="24"/>
          <w:szCs w:val="24"/>
        </w:rPr>
        <w:t>, Calisti G, Montesarchio L, Scognamiglio U, Matteucci P, Coppola C, Scarano F, Amendola F, Giorgio V. Hepatocellular carcinoma invading portal venous system in cirrhosis: long-term results of percutaneous radiofrequency ablation of both the nodule and portal vein tumor thrombus. A case control study. </w:t>
      </w:r>
      <w:r w:rsidRPr="00C63AE9">
        <w:rPr>
          <w:rFonts w:ascii="Book Antiqua" w:eastAsia="宋体" w:hAnsi="Book Antiqua" w:cs="宋体"/>
          <w:i/>
          <w:iCs/>
          <w:sz w:val="24"/>
          <w:szCs w:val="24"/>
        </w:rPr>
        <w:t>Anticancer Res</w:t>
      </w:r>
      <w:r w:rsidRPr="00C63AE9">
        <w:rPr>
          <w:rFonts w:ascii="Book Antiqua" w:eastAsia="宋体" w:hAnsi="Book Antiqua" w:cs="宋体"/>
          <w:sz w:val="24"/>
          <w:szCs w:val="24"/>
        </w:rPr>
        <w:t> 2014; </w:t>
      </w:r>
      <w:r w:rsidRPr="00C63AE9">
        <w:rPr>
          <w:rFonts w:ascii="Book Antiqua" w:eastAsia="宋体" w:hAnsi="Book Antiqua" w:cs="宋体"/>
          <w:b/>
          <w:bCs/>
          <w:sz w:val="24"/>
          <w:szCs w:val="24"/>
        </w:rPr>
        <w:t>34</w:t>
      </w:r>
      <w:r w:rsidRPr="00C63AE9">
        <w:rPr>
          <w:rFonts w:ascii="Book Antiqua" w:eastAsia="宋体" w:hAnsi="Book Antiqua" w:cs="宋体"/>
          <w:sz w:val="24"/>
          <w:szCs w:val="24"/>
        </w:rPr>
        <w:t>: 6785-6790 [PMID: 25368292]</w:t>
      </w:r>
    </w:p>
    <w:p w14:paraId="4A0F5AE5"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43 </w:t>
      </w:r>
      <w:r w:rsidRPr="00C63AE9">
        <w:rPr>
          <w:rFonts w:ascii="Book Antiqua" w:eastAsia="宋体" w:hAnsi="Book Antiqua" w:cs="宋体"/>
          <w:b/>
          <w:bCs/>
          <w:sz w:val="24"/>
          <w:szCs w:val="24"/>
        </w:rPr>
        <w:t>Tarantino G</w:t>
      </w:r>
      <w:r w:rsidRPr="00C63AE9">
        <w:rPr>
          <w:rFonts w:ascii="Book Antiqua" w:eastAsia="宋体" w:hAnsi="Book Antiqua" w:cs="宋体"/>
          <w:sz w:val="24"/>
          <w:szCs w:val="24"/>
        </w:rPr>
        <w:t>, Citro V, Esposito P, Giaquinto S, de Leone A, Milan G, Tripodi FS, Cirillo M, Lobello R. Blood ammonia levels in liver cirrhosis: a clue for the presence of portosystemic collateral veins. </w:t>
      </w:r>
      <w:r w:rsidRPr="00C63AE9">
        <w:rPr>
          <w:rFonts w:ascii="Book Antiqua" w:eastAsia="宋体" w:hAnsi="Book Antiqua" w:cs="宋体"/>
          <w:i/>
          <w:iCs/>
          <w:sz w:val="24"/>
          <w:szCs w:val="24"/>
        </w:rPr>
        <w:t>BMC Gastroenterol</w:t>
      </w:r>
      <w:r w:rsidRPr="00C63AE9">
        <w:rPr>
          <w:rFonts w:ascii="Book Antiqua" w:eastAsia="宋体" w:hAnsi="Book Antiqua" w:cs="宋体"/>
          <w:sz w:val="24"/>
          <w:szCs w:val="24"/>
        </w:rPr>
        <w:t> 2009; </w:t>
      </w:r>
      <w:r w:rsidRPr="00C63AE9">
        <w:rPr>
          <w:rFonts w:ascii="Book Antiqua" w:eastAsia="宋体" w:hAnsi="Book Antiqua" w:cs="宋体"/>
          <w:b/>
          <w:bCs/>
          <w:sz w:val="24"/>
          <w:szCs w:val="24"/>
        </w:rPr>
        <w:t>9</w:t>
      </w:r>
      <w:r w:rsidRPr="00C63AE9">
        <w:rPr>
          <w:rFonts w:ascii="Book Antiqua" w:eastAsia="宋体" w:hAnsi="Book Antiqua" w:cs="宋体"/>
          <w:sz w:val="24"/>
          <w:szCs w:val="24"/>
        </w:rPr>
        <w:t>: 21 [PMID: 19292923 DOI: 10.1186/1471-230X-9-21</w:t>
      </w:r>
      <w:r>
        <w:rPr>
          <w:rFonts w:ascii="Book Antiqua" w:eastAsia="宋体" w:hAnsi="Book Antiqua" w:cs="宋体"/>
          <w:sz w:val="24"/>
          <w:szCs w:val="24"/>
        </w:rPr>
        <w:t>]</w:t>
      </w:r>
    </w:p>
    <w:p w14:paraId="4A1EEF8A" w14:textId="77777777" w:rsidR="00D738B1" w:rsidRPr="00C63AE9" w:rsidRDefault="00D738B1" w:rsidP="001A5A01">
      <w:pPr>
        <w:spacing w:line="360" w:lineRule="auto"/>
        <w:jc w:val="both"/>
        <w:rPr>
          <w:rFonts w:ascii="Book Antiqua" w:eastAsia="宋体" w:hAnsi="Book Antiqua" w:cs="宋体"/>
          <w:sz w:val="24"/>
          <w:szCs w:val="24"/>
        </w:rPr>
      </w:pPr>
      <w:r w:rsidRPr="00C63AE9">
        <w:rPr>
          <w:rFonts w:ascii="Book Antiqua" w:eastAsia="宋体" w:hAnsi="Book Antiqua" w:cs="宋体"/>
          <w:sz w:val="24"/>
          <w:szCs w:val="24"/>
        </w:rPr>
        <w:t>44 </w:t>
      </w:r>
      <w:r w:rsidRPr="00C63AE9">
        <w:rPr>
          <w:rFonts w:ascii="Book Antiqua" w:eastAsia="宋体" w:hAnsi="Book Antiqua" w:cs="宋体"/>
          <w:b/>
          <w:bCs/>
          <w:sz w:val="24"/>
          <w:szCs w:val="24"/>
        </w:rPr>
        <w:t>Tarantino G</w:t>
      </w:r>
      <w:r w:rsidRPr="00C63AE9">
        <w:rPr>
          <w:rFonts w:ascii="Book Antiqua" w:eastAsia="宋体" w:hAnsi="Book Antiqua" w:cs="宋体"/>
          <w:sz w:val="24"/>
          <w:szCs w:val="24"/>
        </w:rPr>
        <w:t xml:space="preserve">, Citro V, Conca P, Riccio A, Tarantino M, Capone D, Cirillo M, Lobello R, Iaccarino V. What are the implications of the spontaneous spleno-renal </w:t>
      </w:r>
      <w:r w:rsidRPr="00C63AE9">
        <w:rPr>
          <w:rFonts w:ascii="Book Antiqua" w:eastAsia="宋体" w:hAnsi="Book Antiqua" w:cs="宋体"/>
          <w:sz w:val="24"/>
          <w:szCs w:val="24"/>
        </w:rPr>
        <w:lastRenderedPageBreak/>
        <w:t>shunts in liver cirrhosis? </w:t>
      </w:r>
      <w:r w:rsidRPr="00C63AE9">
        <w:rPr>
          <w:rFonts w:ascii="Book Antiqua" w:eastAsia="宋体" w:hAnsi="Book Antiqua" w:cs="宋体"/>
          <w:i/>
          <w:iCs/>
          <w:sz w:val="24"/>
          <w:szCs w:val="24"/>
        </w:rPr>
        <w:t>BMC Gastroenterol</w:t>
      </w:r>
      <w:r w:rsidRPr="00C63AE9">
        <w:rPr>
          <w:rFonts w:ascii="Book Antiqua" w:eastAsia="宋体" w:hAnsi="Book Antiqua" w:cs="宋体"/>
          <w:sz w:val="24"/>
          <w:szCs w:val="24"/>
        </w:rPr>
        <w:t> 2009; </w:t>
      </w:r>
      <w:r w:rsidRPr="00C63AE9">
        <w:rPr>
          <w:rFonts w:ascii="Book Antiqua" w:eastAsia="宋体" w:hAnsi="Book Antiqua" w:cs="宋体"/>
          <w:b/>
          <w:bCs/>
          <w:sz w:val="24"/>
          <w:szCs w:val="24"/>
        </w:rPr>
        <w:t>9</w:t>
      </w:r>
      <w:r w:rsidRPr="00C63AE9">
        <w:rPr>
          <w:rFonts w:ascii="Book Antiqua" w:eastAsia="宋体" w:hAnsi="Book Antiqua" w:cs="宋体"/>
          <w:sz w:val="24"/>
          <w:szCs w:val="24"/>
        </w:rPr>
        <w:t>: 89 [PMID: 19930687 DOI: 10.1186/1471-230X-9-89</w:t>
      </w:r>
      <w:r>
        <w:rPr>
          <w:rFonts w:ascii="Book Antiqua" w:eastAsia="宋体" w:hAnsi="Book Antiqua" w:cs="宋体"/>
          <w:sz w:val="24"/>
          <w:szCs w:val="24"/>
        </w:rPr>
        <w:t>]</w:t>
      </w:r>
    </w:p>
    <w:p w14:paraId="5D6D977C" w14:textId="77777777" w:rsidR="00A339BA" w:rsidRPr="00A828B6" w:rsidRDefault="00A339BA" w:rsidP="001A5A01">
      <w:pPr>
        <w:spacing w:after="0" w:line="360" w:lineRule="auto"/>
        <w:jc w:val="both"/>
        <w:rPr>
          <w:rFonts w:ascii="Book Antiqua" w:hAnsi="Book Antiqua"/>
          <w:sz w:val="24"/>
          <w:szCs w:val="24"/>
          <w:lang w:val="en-US" w:eastAsia="zh-CN"/>
        </w:rPr>
      </w:pPr>
    </w:p>
    <w:p w14:paraId="131ED21B" w14:textId="2CBB82BB" w:rsidR="00A828B6" w:rsidRPr="00712F63" w:rsidRDefault="00A828B6" w:rsidP="001A5A01">
      <w:pPr>
        <w:pStyle w:val="ListParagraph"/>
        <w:wordWrap w:val="0"/>
        <w:spacing w:line="360" w:lineRule="auto"/>
        <w:ind w:left="360" w:right="120"/>
        <w:jc w:val="both"/>
        <w:rPr>
          <w:rFonts w:ascii="Book Antiqua" w:eastAsia="宋体" w:hAnsi="Book Antiqua"/>
          <w:b/>
          <w:bCs/>
          <w:color w:val="000000"/>
          <w:lang w:eastAsia="zh-CN"/>
        </w:rPr>
      </w:pPr>
      <w:bookmarkStart w:id="46" w:name="OLE_LINK427"/>
      <w:bookmarkStart w:id="47" w:name="OLE_LINK435"/>
      <w:bookmarkStart w:id="48" w:name="OLE_LINK516"/>
      <w:bookmarkStart w:id="49" w:name="OLE_LINK45"/>
      <w:bookmarkStart w:id="50" w:name="OLE_LINK132"/>
      <w:bookmarkStart w:id="51" w:name="OLE_LINK529"/>
      <w:bookmarkStart w:id="52" w:name="OLE_LINK541"/>
      <w:bookmarkStart w:id="53" w:name="OLE_LINK560"/>
      <w:bookmarkStart w:id="54" w:name="OLE_LINK558"/>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sidR="00D738B1" w:rsidRPr="00D738B1">
        <w:rPr>
          <w:rFonts w:ascii="Book Antiqua" w:hAnsi="Book Antiqua"/>
          <w:bCs/>
          <w:color w:val="000000"/>
        </w:rPr>
        <w:t>Kita</w:t>
      </w:r>
      <w:r w:rsidR="00D738B1">
        <w:rPr>
          <w:rFonts w:ascii="Book Antiqua" w:hAnsi="Book Antiqua" w:hint="eastAsia"/>
          <w:bCs/>
          <w:color w:val="000000"/>
          <w:lang w:eastAsia="zh-CN"/>
        </w:rPr>
        <w:t xml:space="preserve"> K, </w:t>
      </w:r>
      <w:r w:rsidR="00D738B1">
        <w:rPr>
          <w:rFonts w:ascii="Book Antiqua" w:hAnsi="Book Antiqua"/>
          <w:bCs/>
          <w:color w:val="000000"/>
          <w:lang w:eastAsia="zh-CN"/>
        </w:rPr>
        <w:t>Mikolasevic</w:t>
      </w:r>
      <w:r w:rsidR="00D738B1">
        <w:rPr>
          <w:rFonts w:ascii="Book Antiqua" w:hAnsi="Book Antiqua" w:hint="eastAsia"/>
          <w:bCs/>
          <w:color w:val="000000"/>
          <w:lang w:eastAsia="zh-CN"/>
        </w:rPr>
        <w:t xml:space="preserve"> </w:t>
      </w:r>
      <w:r w:rsidR="00D738B1" w:rsidRPr="00D738B1">
        <w:rPr>
          <w:rFonts w:ascii="Book Antiqua" w:hAnsi="Book Antiqua"/>
          <w:bCs/>
          <w:color w:val="000000"/>
          <w:lang w:eastAsia="zh-CN"/>
        </w:rPr>
        <w:t>I</w:t>
      </w:r>
      <w:r w:rsidR="00D738B1">
        <w:rPr>
          <w:rFonts w:ascii="Book Antiqua" w:hAnsi="Book Antiqua" w:hint="eastAsia"/>
          <w:bCs/>
          <w:color w:val="000000"/>
          <w:lang w:eastAsia="zh-CN"/>
        </w:rPr>
        <w:t xml:space="preserve">, </w:t>
      </w:r>
      <w:r w:rsidR="00D738B1" w:rsidRPr="00D738B1">
        <w:rPr>
          <w:rFonts w:ascii="Book Antiqua" w:hAnsi="Book Antiqua"/>
          <w:bCs/>
          <w:color w:val="000000"/>
          <w:lang w:eastAsia="zh-CN"/>
        </w:rPr>
        <w:t>Tarantino</w:t>
      </w:r>
      <w:r w:rsidR="00D738B1">
        <w:rPr>
          <w:rFonts w:ascii="Book Antiqua" w:hAnsi="Book Antiqua" w:hint="eastAsia"/>
          <w:bCs/>
          <w:color w:val="000000"/>
          <w:lang w:eastAsia="zh-CN"/>
        </w:rPr>
        <w:t xml:space="preserve"> G</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46"/>
    <w:bookmarkEnd w:id="47"/>
    <w:bookmarkEnd w:id="48"/>
    <w:bookmarkEnd w:id="49"/>
    <w:bookmarkEnd w:id="50"/>
    <w:bookmarkEnd w:id="51"/>
    <w:bookmarkEnd w:id="52"/>
    <w:bookmarkEnd w:id="53"/>
    <w:bookmarkEnd w:id="54"/>
    <w:p w14:paraId="3EAB476D" w14:textId="77777777" w:rsidR="003C4D70" w:rsidRPr="00A828B6" w:rsidRDefault="003C4D70" w:rsidP="001A5A01">
      <w:pPr>
        <w:tabs>
          <w:tab w:val="left" w:pos="3015"/>
        </w:tabs>
        <w:spacing w:after="0" w:line="360" w:lineRule="auto"/>
        <w:jc w:val="both"/>
        <w:rPr>
          <w:rFonts w:ascii="Book Antiqua" w:hAnsi="Book Antiqua"/>
          <w:sz w:val="24"/>
          <w:szCs w:val="24"/>
        </w:rPr>
      </w:pPr>
    </w:p>
    <w:p w14:paraId="4BDFF03F" w14:textId="77777777" w:rsidR="002E502D" w:rsidRPr="00A828B6" w:rsidRDefault="00FB6E62" w:rsidP="001A5A01">
      <w:pPr>
        <w:spacing w:after="0" w:line="360" w:lineRule="auto"/>
        <w:jc w:val="both"/>
        <w:rPr>
          <w:rFonts w:ascii="Book Antiqua" w:hAnsi="Book Antiqua"/>
          <w:sz w:val="24"/>
          <w:szCs w:val="24"/>
          <w:lang w:val="en-US"/>
        </w:rPr>
      </w:pPr>
      <w:r w:rsidRPr="00A828B6">
        <w:rPr>
          <w:rFonts w:ascii="Book Antiqua" w:hAnsi="Book Antiqua"/>
          <w:sz w:val="24"/>
          <w:szCs w:val="24"/>
          <w:lang w:val="en-US"/>
        </w:rPr>
        <w:br w:type="page"/>
      </w:r>
    </w:p>
    <w:p w14:paraId="36FA0436" w14:textId="50AC6F1C" w:rsidR="00AD3F83" w:rsidRPr="00DB7E09" w:rsidRDefault="00DB7E09" w:rsidP="001A5A01">
      <w:pPr>
        <w:spacing w:after="0" w:line="360" w:lineRule="auto"/>
        <w:jc w:val="both"/>
        <w:rPr>
          <w:rFonts w:ascii="Book Antiqua" w:hAnsi="Book Antiqua"/>
          <w:b/>
          <w:sz w:val="24"/>
          <w:szCs w:val="24"/>
          <w:vertAlign w:val="superscript"/>
          <w:lang w:eastAsia="zh-CN"/>
        </w:rPr>
      </w:pPr>
      <w:r w:rsidRPr="00A828B6">
        <w:rPr>
          <w:rFonts w:ascii="Book Antiqua" w:hAnsi="Book Antiqua"/>
          <w:noProof/>
          <w:sz w:val="24"/>
          <w:szCs w:val="24"/>
          <w:lang w:val="en-US"/>
        </w:rPr>
        <w:lastRenderedPageBreak/>
        <w:drawing>
          <wp:inline distT="0" distB="0" distL="0" distR="0" wp14:anchorId="34B1201A" wp14:editId="64B872A4">
            <wp:extent cx="5759450" cy="364871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59450" cy="3648710"/>
                    </a:xfrm>
                    <a:prstGeom prst="rect">
                      <a:avLst/>
                    </a:prstGeom>
                  </pic:spPr>
                </pic:pic>
              </a:graphicData>
            </a:graphic>
          </wp:inline>
        </w:drawing>
      </w:r>
      <w:r w:rsidR="00BC6664" w:rsidRPr="00DB7E09">
        <w:rPr>
          <w:rFonts w:ascii="Book Antiqua" w:hAnsi="Book Antiqua"/>
          <w:b/>
          <w:bCs/>
          <w:sz w:val="24"/>
          <w:szCs w:val="24"/>
          <w:lang w:val="en-US"/>
        </w:rPr>
        <w:t>Fig</w:t>
      </w:r>
      <w:r w:rsidRPr="00DB7E09">
        <w:rPr>
          <w:rFonts w:ascii="Book Antiqua" w:hAnsi="Book Antiqua" w:hint="eastAsia"/>
          <w:b/>
          <w:bCs/>
          <w:sz w:val="24"/>
          <w:szCs w:val="24"/>
          <w:lang w:val="en-US" w:eastAsia="zh-CN"/>
        </w:rPr>
        <w:t xml:space="preserve">ure </w:t>
      </w:r>
      <w:r w:rsidR="00BC6664" w:rsidRPr="00DB7E09">
        <w:rPr>
          <w:rFonts w:ascii="Book Antiqua" w:hAnsi="Book Antiqua"/>
          <w:b/>
          <w:bCs/>
          <w:sz w:val="24"/>
          <w:szCs w:val="24"/>
          <w:lang w:val="en-US"/>
        </w:rPr>
        <w:t>1</w:t>
      </w:r>
      <w:r w:rsidR="00AD3F83" w:rsidRPr="00DB7E09">
        <w:rPr>
          <w:rFonts w:ascii="Book Antiqua" w:hAnsi="Book Antiqua"/>
          <w:b/>
          <w:bCs/>
          <w:sz w:val="24"/>
          <w:szCs w:val="24"/>
          <w:lang w:val="en-US"/>
        </w:rPr>
        <w:t xml:space="preserve"> </w:t>
      </w:r>
      <w:r w:rsidRPr="00DB7E09">
        <w:rPr>
          <w:rFonts w:ascii="Book Antiqua" w:hAnsi="Book Antiqua"/>
          <w:b/>
          <w:bCs/>
          <w:sz w:val="24"/>
          <w:szCs w:val="24"/>
          <w:lang w:val="en-US"/>
        </w:rPr>
        <w:t xml:space="preserve">Incidence </w:t>
      </w:r>
      <w:r w:rsidR="00AD3F83" w:rsidRPr="00DB7E09">
        <w:rPr>
          <w:rFonts w:ascii="Book Antiqua" w:hAnsi="Book Antiqua"/>
          <w:b/>
          <w:bCs/>
          <w:sz w:val="24"/>
          <w:szCs w:val="24"/>
          <w:lang w:val="en-US"/>
        </w:rPr>
        <w:t xml:space="preserve">of portal vein thrombosis, cirrhosis, </w:t>
      </w:r>
      <w:r w:rsidR="00BC6664" w:rsidRPr="00DB7E09">
        <w:rPr>
          <w:rFonts w:ascii="Book Antiqua" w:hAnsi="Book Antiqua"/>
          <w:b/>
          <w:bCs/>
          <w:sz w:val="24"/>
          <w:szCs w:val="24"/>
          <w:lang w:val="en-US"/>
        </w:rPr>
        <w:t xml:space="preserve">and </w:t>
      </w:r>
      <w:r w:rsidR="00AD3F83" w:rsidRPr="00DB7E09">
        <w:rPr>
          <w:rFonts w:ascii="Book Antiqua" w:hAnsi="Book Antiqua"/>
          <w:b/>
          <w:bCs/>
          <w:sz w:val="24"/>
          <w:szCs w:val="24"/>
          <w:lang w:val="en-US"/>
        </w:rPr>
        <w:t xml:space="preserve">hepatocellular cancer, </w:t>
      </w:r>
      <w:r w:rsidR="00BC6664" w:rsidRPr="00DB7E09">
        <w:rPr>
          <w:rFonts w:ascii="Book Antiqua" w:hAnsi="Book Antiqua"/>
          <w:b/>
          <w:bCs/>
          <w:sz w:val="24"/>
          <w:szCs w:val="24"/>
          <w:lang w:val="en-US"/>
        </w:rPr>
        <w:t>in addition to</w:t>
      </w:r>
      <w:r w:rsidR="00AD3F83" w:rsidRPr="00DB7E09">
        <w:rPr>
          <w:rFonts w:ascii="Book Antiqua" w:hAnsi="Book Antiqua"/>
          <w:b/>
          <w:bCs/>
          <w:sz w:val="24"/>
          <w:szCs w:val="24"/>
          <w:lang w:val="en-US"/>
        </w:rPr>
        <w:t xml:space="preserve"> mortality rate in patients with </w:t>
      </w:r>
      <w:r w:rsidR="00390EBB" w:rsidRPr="00DB7E09">
        <w:rPr>
          <w:rFonts w:ascii="Book Antiqua" w:hAnsi="Book Antiqua"/>
          <w:b/>
          <w:bCs/>
          <w:sz w:val="24"/>
          <w:szCs w:val="24"/>
          <w:lang w:val="en-US"/>
        </w:rPr>
        <w:t>non</w:t>
      </w:r>
      <w:r w:rsidR="004653E8" w:rsidRPr="00DB7E09">
        <w:rPr>
          <w:rFonts w:ascii="Book Antiqua" w:hAnsi="Book Antiqua"/>
          <w:b/>
          <w:bCs/>
          <w:sz w:val="24"/>
          <w:szCs w:val="24"/>
          <w:lang w:val="en-US"/>
        </w:rPr>
        <w:t>-</w:t>
      </w:r>
      <w:r w:rsidR="00390EBB" w:rsidRPr="00DB7E09">
        <w:rPr>
          <w:rFonts w:ascii="Book Antiqua" w:hAnsi="Book Antiqua"/>
          <w:b/>
          <w:bCs/>
          <w:sz w:val="24"/>
          <w:szCs w:val="24"/>
          <w:lang w:val="en-US"/>
        </w:rPr>
        <w:t>alcoholic fatty liver disease</w:t>
      </w:r>
      <w:r w:rsidR="00AD3F83" w:rsidRPr="00DB7E09">
        <w:rPr>
          <w:rFonts w:ascii="Book Antiqua" w:hAnsi="Book Antiqua"/>
          <w:b/>
          <w:bCs/>
          <w:sz w:val="24"/>
          <w:szCs w:val="24"/>
          <w:lang w:val="en-US"/>
        </w:rPr>
        <w:t>,</w:t>
      </w:r>
      <w:r w:rsidR="00C86D5C">
        <w:rPr>
          <w:rFonts w:ascii="Book Antiqua" w:hAnsi="Book Antiqua"/>
          <w:b/>
          <w:bCs/>
          <w:sz w:val="24"/>
          <w:szCs w:val="24"/>
          <w:lang w:val="en-US"/>
        </w:rPr>
        <w:t xml:space="preserve"> hepatitis B, hepatitis C</w:t>
      </w:r>
      <w:r w:rsidR="00AD3F83" w:rsidRPr="00DB7E09">
        <w:rPr>
          <w:rFonts w:ascii="Book Antiqua" w:hAnsi="Book Antiqua"/>
          <w:b/>
          <w:bCs/>
          <w:sz w:val="24"/>
          <w:szCs w:val="24"/>
          <w:lang w:val="en-US"/>
        </w:rPr>
        <w:t xml:space="preserve"> and other liver-related diseases (other</w:t>
      </w:r>
      <w:r w:rsidR="00390EBB" w:rsidRPr="00DB7E09">
        <w:rPr>
          <w:rFonts w:ascii="Book Antiqua" w:hAnsi="Book Antiqua"/>
          <w:b/>
          <w:bCs/>
          <w:sz w:val="24"/>
          <w:szCs w:val="24"/>
          <w:lang w:val="en-US"/>
        </w:rPr>
        <w:t>s).</w:t>
      </w:r>
      <w:r w:rsidR="00C86D5C" w:rsidRPr="00C86D5C">
        <w:rPr>
          <w:rFonts w:ascii="Book Antiqua" w:hAnsi="Book Antiqua"/>
          <w:b/>
          <w:bCs/>
          <w:sz w:val="24"/>
          <w:szCs w:val="24"/>
          <w:lang w:val="en-US"/>
        </w:rPr>
        <w:t xml:space="preserve"> </w:t>
      </w:r>
      <w:r w:rsidR="00C86D5C" w:rsidRPr="00C86D5C">
        <w:rPr>
          <w:rFonts w:ascii="Book Antiqua" w:hAnsi="Book Antiqua"/>
          <w:bCs/>
          <w:sz w:val="24"/>
          <w:szCs w:val="24"/>
          <w:lang w:val="en-US"/>
        </w:rPr>
        <w:t>PVT</w:t>
      </w:r>
      <w:r w:rsidR="00C86D5C" w:rsidRPr="00C86D5C">
        <w:rPr>
          <w:rFonts w:ascii="Book Antiqua" w:hAnsi="Book Antiqua" w:hint="eastAsia"/>
          <w:bCs/>
          <w:sz w:val="24"/>
          <w:szCs w:val="24"/>
          <w:lang w:val="en-US" w:eastAsia="zh-CN"/>
        </w:rPr>
        <w:t xml:space="preserve">: </w:t>
      </w:r>
      <w:r w:rsidR="00C86D5C" w:rsidRPr="00C86D5C">
        <w:rPr>
          <w:rFonts w:ascii="Book Antiqua" w:hAnsi="Book Antiqua"/>
          <w:bCs/>
          <w:sz w:val="24"/>
          <w:szCs w:val="24"/>
          <w:lang w:val="en-US"/>
        </w:rPr>
        <w:t>Portal vein thrombosis</w:t>
      </w:r>
      <w:r w:rsidR="00C86D5C" w:rsidRPr="00C86D5C">
        <w:rPr>
          <w:rFonts w:ascii="Book Antiqua" w:hAnsi="Book Antiqua" w:hint="eastAsia"/>
          <w:bCs/>
          <w:sz w:val="24"/>
          <w:szCs w:val="24"/>
          <w:lang w:val="en-US" w:eastAsia="zh-CN"/>
        </w:rPr>
        <w:t>;</w:t>
      </w:r>
      <w:r w:rsidR="00C86D5C" w:rsidRPr="00C86D5C">
        <w:rPr>
          <w:rFonts w:ascii="Book Antiqua" w:hAnsi="Book Antiqua"/>
          <w:bCs/>
          <w:sz w:val="24"/>
          <w:szCs w:val="24"/>
          <w:lang w:val="en-US"/>
        </w:rPr>
        <w:t xml:space="preserve"> HCC</w:t>
      </w:r>
      <w:r w:rsidR="00C86D5C" w:rsidRPr="00C86D5C">
        <w:rPr>
          <w:rFonts w:ascii="Book Antiqua" w:hAnsi="Book Antiqua" w:hint="eastAsia"/>
          <w:bCs/>
          <w:sz w:val="24"/>
          <w:szCs w:val="24"/>
          <w:lang w:val="en-US" w:eastAsia="zh-CN"/>
        </w:rPr>
        <w:t xml:space="preserve">: </w:t>
      </w:r>
      <w:r w:rsidR="00C86D5C" w:rsidRPr="00C86D5C">
        <w:rPr>
          <w:rFonts w:ascii="Book Antiqua" w:hAnsi="Book Antiqua"/>
          <w:bCs/>
          <w:sz w:val="24"/>
          <w:szCs w:val="24"/>
          <w:lang w:val="en-US"/>
        </w:rPr>
        <w:t>Hepatocellular cancer</w:t>
      </w:r>
      <w:r w:rsidR="00C86D5C" w:rsidRPr="00C86D5C">
        <w:rPr>
          <w:rFonts w:ascii="Book Antiqua" w:hAnsi="Book Antiqua" w:hint="eastAsia"/>
          <w:bCs/>
          <w:sz w:val="24"/>
          <w:szCs w:val="24"/>
          <w:lang w:val="en-US" w:eastAsia="zh-CN"/>
        </w:rPr>
        <w:t xml:space="preserve">; </w:t>
      </w:r>
      <w:r w:rsidR="00C86D5C" w:rsidRPr="00C86D5C">
        <w:rPr>
          <w:rFonts w:ascii="Book Antiqua" w:hAnsi="Book Antiqua"/>
          <w:bCs/>
          <w:sz w:val="24"/>
          <w:szCs w:val="24"/>
          <w:lang w:val="en-US"/>
        </w:rPr>
        <w:t>NAFLD</w:t>
      </w:r>
      <w:r w:rsidR="00C86D5C" w:rsidRPr="00C86D5C">
        <w:rPr>
          <w:rFonts w:ascii="Book Antiqua" w:hAnsi="Book Antiqua" w:hint="eastAsia"/>
          <w:bCs/>
          <w:sz w:val="24"/>
          <w:szCs w:val="24"/>
          <w:lang w:val="en-US" w:eastAsia="zh-CN"/>
        </w:rPr>
        <w:t xml:space="preserve">: </w:t>
      </w:r>
      <w:r w:rsidR="00C86D5C" w:rsidRPr="00C86D5C">
        <w:rPr>
          <w:rFonts w:ascii="Book Antiqua" w:hAnsi="Book Antiqua"/>
          <w:bCs/>
          <w:sz w:val="24"/>
          <w:szCs w:val="24"/>
          <w:lang w:val="en-US"/>
        </w:rPr>
        <w:t>Non-alcoholic fatty liver disease</w:t>
      </w:r>
      <w:r w:rsidR="00C86D5C" w:rsidRPr="00C86D5C">
        <w:rPr>
          <w:rFonts w:ascii="Book Antiqua" w:hAnsi="Book Antiqua" w:hint="eastAsia"/>
          <w:bCs/>
          <w:sz w:val="24"/>
          <w:szCs w:val="24"/>
          <w:lang w:val="en-US" w:eastAsia="zh-CN"/>
        </w:rPr>
        <w:t xml:space="preserve">; </w:t>
      </w:r>
      <w:r w:rsidR="00C86D5C" w:rsidRPr="00C86D5C">
        <w:rPr>
          <w:rFonts w:ascii="Book Antiqua" w:hAnsi="Book Antiqua"/>
          <w:bCs/>
          <w:sz w:val="24"/>
          <w:szCs w:val="24"/>
          <w:lang w:val="en-US"/>
        </w:rPr>
        <w:t>HBV</w:t>
      </w:r>
      <w:r w:rsidR="00C86D5C" w:rsidRPr="00C86D5C">
        <w:rPr>
          <w:rFonts w:ascii="Book Antiqua" w:hAnsi="Book Antiqua" w:hint="eastAsia"/>
          <w:bCs/>
          <w:sz w:val="24"/>
          <w:szCs w:val="24"/>
          <w:lang w:val="en-US" w:eastAsia="zh-CN"/>
        </w:rPr>
        <w:t xml:space="preserve">: </w:t>
      </w:r>
      <w:r w:rsidR="00C86D5C" w:rsidRPr="00C86D5C">
        <w:rPr>
          <w:rFonts w:ascii="Book Antiqua" w:hAnsi="Book Antiqua"/>
          <w:bCs/>
          <w:sz w:val="24"/>
          <w:szCs w:val="24"/>
          <w:lang w:val="en-US"/>
        </w:rPr>
        <w:t>Hepatitis B</w:t>
      </w:r>
      <w:r w:rsidR="00C86D5C" w:rsidRPr="00C86D5C">
        <w:rPr>
          <w:rFonts w:ascii="Book Antiqua" w:hAnsi="Book Antiqua" w:hint="eastAsia"/>
          <w:bCs/>
          <w:sz w:val="24"/>
          <w:szCs w:val="24"/>
          <w:lang w:val="en-US" w:eastAsia="zh-CN"/>
        </w:rPr>
        <w:t xml:space="preserve">; </w:t>
      </w:r>
      <w:r w:rsidR="00C86D5C" w:rsidRPr="00C86D5C">
        <w:rPr>
          <w:rFonts w:ascii="Book Antiqua" w:hAnsi="Book Antiqua"/>
          <w:bCs/>
          <w:sz w:val="24"/>
          <w:szCs w:val="24"/>
          <w:lang w:val="en-US"/>
        </w:rPr>
        <w:t>HCV</w:t>
      </w:r>
      <w:r w:rsidR="00C86D5C" w:rsidRPr="00C86D5C">
        <w:rPr>
          <w:rFonts w:ascii="Book Antiqua" w:hAnsi="Book Antiqua" w:hint="eastAsia"/>
          <w:bCs/>
          <w:sz w:val="24"/>
          <w:szCs w:val="24"/>
          <w:lang w:val="en-US" w:eastAsia="zh-CN"/>
        </w:rPr>
        <w:t xml:space="preserve">: </w:t>
      </w:r>
      <w:r w:rsidR="00C86D5C" w:rsidRPr="00C86D5C">
        <w:rPr>
          <w:rFonts w:ascii="Book Antiqua" w:hAnsi="Book Antiqua"/>
          <w:bCs/>
          <w:sz w:val="24"/>
          <w:szCs w:val="24"/>
          <w:lang w:val="en-US" w:eastAsia="zh-CN"/>
        </w:rPr>
        <w:t>Hepatitis C</w:t>
      </w:r>
      <w:r w:rsidR="00C86D5C" w:rsidRPr="00C86D5C">
        <w:rPr>
          <w:rFonts w:ascii="Book Antiqua" w:hAnsi="Book Antiqua" w:hint="eastAsia"/>
          <w:bCs/>
          <w:sz w:val="24"/>
          <w:szCs w:val="24"/>
          <w:lang w:val="en-US" w:eastAsia="zh-CN"/>
        </w:rPr>
        <w:t>.</w:t>
      </w:r>
    </w:p>
    <w:p w14:paraId="308069F4" w14:textId="77777777" w:rsidR="00EE0048" w:rsidRPr="00DB7E09" w:rsidRDefault="00EE0048" w:rsidP="001A5A01">
      <w:pPr>
        <w:spacing w:after="0" w:line="360" w:lineRule="auto"/>
        <w:jc w:val="both"/>
        <w:rPr>
          <w:rFonts w:ascii="Book Antiqua" w:hAnsi="Book Antiqua"/>
          <w:bCs/>
          <w:sz w:val="24"/>
          <w:szCs w:val="24"/>
        </w:rPr>
      </w:pPr>
    </w:p>
    <w:p w14:paraId="43E8BDC0" w14:textId="77777777" w:rsidR="00DB7E09" w:rsidRDefault="00DB7E09" w:rsidP="001A5A01">
      <w:pPr>
        <w:spacing w:after="0" w:line="360" w:lineRule="auto"/>
        <w:jc w:val="both"/>
        <w:rPr>
          <w:rFonts w:ascii="Book Antiqua" w:hAnsi="Book Antiqua"/>
          <w:sz w:val="24"/>
          <w:szCs w:val="24"/>
          <w:lang w:val="en-US" w:eastAsia="zh-CN"/>
        </w:rPr>
      </w:pPr>
      <w:r w:rsidRPr="00A828B6">
        <w:rPr>
          <w:rFonts w:ascii="Book Antiqua" w:hAnsi="Book Antiqua"/>
          <w:noProof/>
          <w:sz w:val="24"/>
          <w:szCs w:val="24"/>
          <w:lang w:val="en-US"/>
        </w:rPr>
        <w:lastRenderedPageBreak/>
        <w:drawing>
          <wp:inline distT="0" distB="0" distL="0" distR="0" wp14:anchorId="50138281" wp14:editId="17825D8A">
            <wp:extent cx="5155506" cy="42595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5506" cy="4259580"/>
                    </a:xfrm>
                    <a:prstGeom prst="rect">
                      <a:avLst/>
                    </a:prstGeom>
                  </pic:spPr>
                </pic:pic>
              </a:graphicData>
            </a:graphic>
          </wp:inline>
        </w:drawing>
      </w:r>
    </w:p>
    <w:p w14:paraId="496D836A" w14:textId="4CE894FA" w:rsidR="003013B4" w:rsidRPr="00A828B6" w:rsidRDefault="004A09A7" w:rsidP="001A5A01">
      <w:pPr>
        <w:spacing w:after="0" w:line="360" w:lineRule="auto"/>
        <w:jc w:val="both"/>
        <w:rPr>
          <w:rFonts w:ascii="Book Antiqua" w:hAnsi="Book Antiqua"/>
          <w:bCs/>
          <w:sz w:val="24"/>
          <w:szCs w:val="24"/>
          <w:lang w:val="en-US"/>
        </w:rPr>
      </w:pPr>
      <w:r w:rsidRPr="00DB7E09">
        <w:rPr>
          <w:rFonts w:ascii="Book Antiqua" w:hAnsi="Book Antiqua"/>
          <w:b/>
          <w:sz w:val="24"/>
          <w:szCs w:val="24"/>
          <w:lang w:val="en-US"/>
        </w:rPr>
        <w:t>Fig</w:t>
      </w:r>
      <w:r w:rsidR="00DB7E09">
        <w:rPr>
          <w:rFonts w:ascii="Book Antiqua" w:hAnsi="Book Antiqua" w:hint="eastAsia"/>
          <w:b/>
          <w:sz w:val="24"/>
          <w:szCs w:val="24"/>
          <w:lang w:val="en-US" w:eastAsia="zh-CN"/>
        </w:rPr>
        <w:t>ure</w:t>
      </w:r>
      <w:r w:rsidR="00DB7E09">
        <w:rPr>
          <w:rFonts w:ascii="Book Antiqua" w:hAnsi="Book Antiqua"/>
          <w:b/>
          <w:sz w:val="24"/>
          <w:szCs w:val="24"/>
          <w:lang w:val="en-US"/>
        </w:rPr>
        <w:t xml:space="preserve"> 2</w:t>
      </w:r>
      <w:r w:rsidR="00E25FE7" w:rsidRPr="00DB7E09">
        <w:rPr>
          <w:rFonts w:ascii="Book Antiqua" w:hAnsi="Book Antiqua"/>
          <w:b/>
          <w:sz w:val="24"/>
          <w:szCs w:val="24"/>
          <w:lang w:val="en-US"/>
        </w:rPr>
        <w:t xml:space="preserve"> Survival functions in patients with </w:t>
      </w:r>
      <w:r w:rsidR="00C86D5C" w:rsidRPr="00DB7E09">
        <w:rPr>
          <w:rFonts w:ascii="Book Antiqua" w:hAnsi="Book Antiqua"/>
          <w:b/>
          <w:bCs/>
          <w:sz w:val="24"/>
          <w:szCs w:val="24"/>
          <w:lang w:val="en-US"/>
        </w:rPr>
        <w:t>non-alcoholic fatty liver disease</w:t>
      </w:r>
      <w:r w:rsidR="00E25FE7" w:rsidRPr="00DB7E09">
        <w:rPr>
          <w:rFonts w:ascii="Book Antiqua" w:hAnsi="Book Antiqua"/>
          <w:b/>
          <w:sz w:val="24"/>
          <w:szCs w:val="24"/>
          <w:lang w:val="en-US"/>
        </w:rPr>
        <w:t>, hepatitis B</w:t>
      </w:r>
      <w:r w:rsidR="003A416D" w:rsidRPr="00DB7E09">
        <w:rPr>
          <w:rFonts w:ascii="Book Antiqua" w:hAnsi="Book Antiqua"/>
          <w:b/>
          <w:sz w:val="24"/>
          <w:szCs w:val="24"/>
          <w:lang w:val="en-US"/>
        </w:rPr>
        <w:t xml:space="preserve">, </w:t>
      </w:r>
      <w:r w:rsidR="00E25FE7" w:rsidRPr="00DB7E09">
        <w:rPr>
          <w:rFonts w:ascii="Book Antiqua" w:hAnsi="Book Antiqua"/>
          <w:b/>
          <w:sz w:val="24"/>
          <w:szCs w:val="24"/>
          <w:lang w:val="en-US"/>
        </w:rPr>
        <w:t xml:space="preserve">hepatitis C and </w:t>
      </w:r>
      <w:r w:rsidR="00390EBB" w:rsidRPr="00DB7E09">
        <w:rPr>
          <w:rFonts w:ascii="Book Antiqua" w:hAnsi="Book Antiqua"/>
          <w:b/>
          <w:bCs/>
          <w:sz w:val="24"/>
          <w:szCs w:val="24"/>
          <w:lang w:val="en-US"/>
        </w:rPr>
        <w:t>other liver-related diseases (</w:t>
      </w:r>
      <w:r w:rsidR="00E25FE7" w:rsidRPr="00DB7E09">
        <w:rPr>
          <w:rFonts w:ascii="Book Antiqua" w:hAnsi="Book Antiqua"/>
          <w:b/>
          <w:sz w:val="24"/>
          <w:szCs w:val="24"/>
          <w:lang w:val="en-US"/>
        </w:rPr>
        <w:t>others</w:t>
      </w:r>
      <w:r w:rsidR="00390EBB" w:rsidRPr="00DB7E09">
        <w:rPr>
          <w:rFonts w:ascii="Book Antiqua" w:hAnsi="Book Antiqua"/>
          <w:b/>
          <w:sz w:val="24"/>
          <w:szCs w:val="24"/>
          <w:lang w:val="en-US"/>
        </w:rPr>
        <w:t>)</w:t>
      </w:r>
      <w:r w:rsidR="00E25FE7" w:rsidRPr="00DB7E09">
        <w:rPr>
          <w:rFonts w:ascii="Book Antiqua" w:hAnsi="Book Antiqua"/>
          <w:b/>
          <w:sz w:val="24"/>
          <w:szCs w:val="24"/>
          <w:lang w:val="en-US"/>
        </w:rPr>
        <w:t>.</w:t>
      </w:r>
      <w:r w:rsidR="00E25FE7" w:rsidRPr="00A828B6">
        <w:rPr>
          <w:rFonts w:ascii="Book Antiqua" w:hAnsi="Book Antiqua"/>
          <w:sz w:val="24"/>
          <w:szCs w:val="24"/>
          <w:lang w:val="en-US"/>
        </w:rPr>
        <w:t xml:space="preserve"> </w:t>
      </w:r>
      <w:r w:rsidR="005A4D6B" w:rsidRPr="00A828B6">
        <w:rPr>
          <w:rFonts w:ascii="Book Antiqua" w:hAnsi="Book Antiqua"/>
          <w:bCs/>
          <w:sz w:val="24"/>
          <w:szCs w:val="24"/>
          <w:lang w:val="en-US"/>
        </w:rPr>
        <w:t>Of the patients, 50.0% with NAFLD, 33.3% with hepatitis B, 26.3% with hepatitis C, and 58.3% with other diseases were alive at the end of the 5</w:t>
      </w:r>
      <w:r w:rsidR="00FB6E62" w:rsidRPr="00A828B6">
        <w:rPr>
          <w:rFonts w:ascii="Book Antiqua" w:hAnsi="Book Antiqua"/>
          <w:bCs/>
          <w:sz w:val="24"/>
          <w:szCs w:val="24"/>
          <w:lang w:val="en-US"/>
        </w:rPr>
        <w:t>-</w:t>
      </w:r>
      <w:r w:rsidR="005A4D6B" w:rsidRPr="00A828B6">
        <w:rPr>
          <w:rFonts w:ascii="Book Antiqua" w:hAnsi="Book Antiqua"/>
          <w:bCs/>
          <w:sz w:val="24"/>
          <w:szCs w:val="24"/>
          <w:lang w:val="en-US"/>
        </w:rPr>
        <w:t>year</w:t>
      </w:r>
      <w:r w:rsidR="00FB6E62" w:rsidRPr="00A828B6">
        <w:rPr>
          <w:rFonts w:ascii="Book Antiqua" w:hAnsi="Book Antiqua"/>
          <w:bCs/>
          <w:sz w:val="24"/>
          <w:szCs w:val="24"/>
          <w:lang w:val="en-US"/>
        </w:rPr>
        <w:t xml:space="preserve"> period</w:t>
      </w:r>
      <w:r w:rsidR="005A4D6B" w:rsidRPr="00A828B6">
        <w:rPr>
          <w:rFonts w:ascii="Book Antiqua" w:hAnsi="Book Antiqua"/>
          <w:bCs/>
          <w:sz w:val="24"/>
          <w:szCs w:val="24"/>
          <w:lang w:val="en-US"/>
        </w:rPr>
        <w:t xml:space="preserve"> with a significant difference according to the Kaplan-Meier log Rank test (</w:t>
      </w:r>
      <w:r w:rsidR="005A4D6B" w:rsidRPr="00A828B6">
        <w:rPr>
          <w:rFonts w:ascii="Book Antiqua" w:hAnsi="Book Antiqua"/>
          <w:bCs/>
          <w:i/>
          <w:sz w:val="24"/>
          <w:szCs w:val="24"/>
          <w:lang w:val="en-US"/>
        </w:rPr>
        <w:t>P</w:t>
      </w:r>
      <w:r w:rsidR="00DB7E09">
        <w:rPr>
          <w:rFonts w:ascii="Book Antiqua" w:hAnsi="Book Antiqua" w:hint="eastAsia"/>
          <w:bCs/>
          <w:sz w:val="24"/>
          <w:szCs w:val="24"/>
          <w:lang w:val="en-US" w:eastAsia="zh-CN"/>
        </w:rPr>
        <w:t xml:space="preserve"> = </w:t>
      </w:r>
      <w:r w:rsidR="005A4D6B" w:rsidRPr="00A828B6">
        <w:rPr>
          <w:rFonts w:ascii="Book Antiqua" w:hAnsi="Book Antiqua"/>
          <w:bCs/>
          <w:sz w:val="24"/>
          <w:szCs w:val="24"/>
          <w:lang w:val="en-US"/>
        </w:rPr>
        <w:t>0.040).</w:t>
      </w:r>
    </w:p>
    <w:p w14:paraId="0957682E" w14:textId="795CF128" w:rsidR="005C62A9" w:rsidRPr="00A828B6" w:rsidRDefault="005C62A9" w:rsidP="001A5A01">
      <w:pPr>
        <w:spacing w:after="0" w:line="240" w:lineRule="auto"/>
        <w:jc w:val="both"/>
        <w:rPr>
          <w:rFonts w:ascii="Book Antiqua" w:hAnsi="Book Antiqua"/>
          <w:bCs/>
          <w:sz w:val="24"/>
          <w:szCs w:val="24"/>
          <w:lang w:val="en-US"/>
        </w:rPr>
      </w:pPr>
      <w:r w:rsidRPr="00A828B6">
        <w:rPr>
          <w:rFonts w:ascii="Book Antiqua" w:hAnsi="Book Antiqua"/>
          <w:bCs/>
          <w:sz w:val="24"/>
          <w:szCs w:val="24"/>
          <w:lang w:val="en-US"/>
        </w:rPr>
        <w:br w:type="page"/>
      </w:r>
    </w:p>
    <w:p w14:paraId="50CBB05B" w14:textId="33DEEBE5" w:rsidR="001E2AC3" w:rsidRPr="00A828B6" w:rsidRDefault="00DB7E09" w:rsidP="001A5A01">
      <w:pPr>
        <w:spacing w:after="0" w:line="360" w:lineRule="auto"/>
        <w:jc w:val="both"/>
        <w:rPr>
          <w:rFonts w:ascii="Book Antiqua" w:hAnsi="Book Antiqua"/>
          <w:bCs/>
          <w:sz w:val="24"/>
          <w:szCs w:val="24"/>
          <w:lang w:val="en-US"/>
        </w:rPr>
      </w:pPr>
      <w:r w:rsidRPr="00DB7E09">
        <w:rPr>
          <w:rFonts w:ascii="Book Antiqua" w:hAnsi="Book Antiqua"/>
          <w:b/>
          <w:bCs/>
          <w:sz w:val="24"/>
          <w:szCs w:val="24"/>
          <w:lang w:val="en-US"/>
        </w:rPr>
        <w:lastRenderedPageBreak/>
        <w:t>Table 1</w:t>
      </w:r>
      <w:r w:rsidR="005C62A9" w:rsidRPr="00DB7E09">
        <w:rPr>
          <w:rFonts w:ascii="Book Antiqua" w:hAnsi="Book Antiqua"/>
          <w:b/>
          <w:bCs/>
          <w:sz w:val="24"/>
          <w:szCs w:val="24"/>
          <w:lang w:val="en-US"/>
        </w:rPr>
        <w:t xml:space="preserve"> </w:t>
      </w:r>
      <w:r>
        <w:rPr>
          <w:rFonts w:ascii="Book Antiqua" w:hAnsi="Book Antiqua"/>
          <w:b/>
          <w:bCs/>
          <w:sz w:val="24"/>
          <w:szCs w:val="24"/>
          <w:lang w:val="en-US"/>
        </w:rPr>
        <w:t>Classification of study groups</w:t>
      </w:r>
      <w:r>
        <w:rPr>
          <w:rFonts w:ascii="Book Antiqua" w:hAnsi="Book Antiqua" w:hint="eastAsia"/>
          <w:b/>
          <w:bCs/>
          <w:sz w:val="24"/>
          <w:szCs w:val="24"/>
          <w:lang w:val="en-US" w:eastAsia="zh-CN"/>
        </w:rPr>
        <w:t xml:space="preserve"> </w:t>
      </w:r>
    </w:p>
    <w:tbl>
      <w:tblPr>
        <w:tblW w:w="9782" w:type="dxa"/>
        <w:tblInd w:w="-176" w:type="dxa"/>
        <w:tblBorders>
          <w:top w:val="single" w:sz="4" w:space="0" w:color="auto"/>
          <w:bottom w:val="single" w:sz="4" w:space="0" w:color="auto"/>
        </w:tblBorders>
        <w:tblLayout w:type="fixed"/>
        <w:tblLook w:val="04A0" w:firstRow="1" w:lastRow="0" w:firstColumn="1" w:lastColumn="0" w:noHBand="0" w:noVBand="1"/>
      </w:tblPr>
      <w:tblGrid>
        <w:gridCol w:w="1364"/>
        <w:gridCol w:w="1350"/>
        <w:gridCol w:w="1440"/>
        <w:gridCol w:w="1440"/>
        <w:gridCol w:w="1350"/>
        <w:gridCol w:w="1440"/>
        <w:gridCol w:w="1398"/>
      </w:tblGrid>
      <w:tr w:rsidR="00C86D5C" w:rsidRPr="00A828B6" w14:paraId="7C82B402" w14:textId="77777777" w:rsidTr="00C86D5C">
        <w:trPr>
          <w:trHeight w:val="525"/>
        </w:trPr>
        <w:tc>
          <w:tcPr>
            <w:tcW w:w="1364" w:type="dxa"/>
            <w:tcBorders>
              <w:top w:val="single" w:sz="4" w:space="0" w:color="auto"/>
              <w:bottom w:val="single" w:sz="4" w:space="0" w:color="auto"/>
            </w:tcBorders>
            <w:shd w:val="clear" w:color="auto" w:fill="auto"/>
          </w:tcPr>
          <w:p w14:paraId="31397CC9" w14:textId="77777777" w:rsidR="001E2AC3" w:rsidRPr="00A828B6" w:rsidRDefault="001E2AC3" w:rsidP="001A5A01">
            <w:pPr>
              <w:spacing w:after="0" w:line="360" w:lineRule="auto"/>
              <w:jc w:val="both"/>
              <w:rPr>
                <w:rFonts w:ascii="Book Antiqua" w:hAnsi="Book Antiqua"/>
                <w:b/>
                <w:bCs/>
                <w:sz w:val="24"/>
                <w:szCs w:val="24"/>
                <w:lang w:val="en-US"/>
              </w:rPr>
            </w:pPr>
          </w:p>
        </w:tc>
        <w:tc>
          <w:tcPr>
            <w:tcW w:w="1350" w:type="dxa"/>
            <w:tcBorders>
              <w:top w:val="single" w:sz="4" w:space="0" w:color="auto"/>
              <w:bottom w:val="single" w:sz="4" w:space="0" w:color="auto"/>
            </w:tcBorders>
            <w:shd w:val="clear" w:color="auto" w:fill="auto"/>
          </w:tcPr>
          <w:p w14:paraId="0574E9D0" w14:textId="77777777"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NAFLD</w:t>
            </w:r>
          </w:p>
        </w:tc>
        <w:tc>
          <w:tcPr>
            <w:tcW w:w="1440" w:type="dxa"/>
            <w:tcBorders>
              <w:top w:val="single" w:sz="4" w:space="0" w:color="auto"/>
              <w:bottom w:val="single" w:sz="4" w:space="0" w:color="auto"/>
            </w:tcBorders>
            <w:shd w:val="clear" w:color="auto" w:fill="auto"/>
          </w:tcPr>
          <w:p w14:paraId="713A8C47" w14:textId="77777777"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Hepatitis B</w:t>
            </w:r>
          </w:p>
        </w:tc>
        <w:tc>
          <w:tcPr>
            <w:tcW w:w="1440" w:type="dxa"/>
            <w:tcBorders>
              <w:top w:val="single" w:sz="4" w:space="0" w:color="auto"/>
              <w:bottom w:val="single" w:sz="4" w:space="0" w:color="auto"/>
            </w:tcBorders>
            <w:shd w:val="clear" w:color="auto" w:fill="auto"/>
          </w:tcPr>
          <w:p w14:paraId="6E247714" w14:textId="77777777"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Hepatitis C</w:t>
            </w:r>
          </w:p>
        </w:tc>
        <w:tc>
          <w:tcPr>
            <w:tcW w:w="1350" w:type="dxa"/>
            <w:tcBorders>
              <w:top w:val="single" w:sz="4" w:space="0" w:color="auto"/>
              <w:bottom w:val="single" w:sz="4" w:space="0" w:color="auto"/>
            </w:tcBorders>
            <w:shd w:val="clear" w:color="auto" w:fill="auto"/>
          </w:tcPr>
          <w:p w14:paraId="07F91AB4" w14:textId="77777777"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Others</w:t>
            </w:r>
          </w:p>
        </w:tc>
        <w:tc>
          <w:tcPr>
            <w:tcW w:w="1440" w:type="dxa"/>
            <w:tcBorders>
              <w:top w:val="single" w:sz="4" w:space="0" w:color="auto"/>
              <w:bottom w:val="single" w:sz="4" w:space="0" w:color="auto"/>
            </w:tcBorders>
          </w:tcPr>
          <w:p w14:paraId="7A82162C" w14:textId="77777777"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 xml:space="preserve">Total </w:t>
            </w:r>
          </w:p>
        </w:tc>
        <w:tc>
          <w:tcPr>
            <w:tcW w:w="1398" w:type="dxa"/>
            <w:tcBorders>
              <w:top w:val="single" w:sz="4" w:space="0" w:color="auto"/>
              <w:bottom w:val="single" w:sz="4" w:space="0" w:color="auto"/>
            </w:tcBorders>
          </w:tcPr>
          <w:p w14:paraId="6B998B52" w14:textId="77777777"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i/>
                <w:sz w:val="24"/>
                <w:szCs w:val="24"/>
                <w:lang w:val="en-US"/>
              </w:rPr>
              <w:t>P</w:t>
            </w:r>
            <w:r w:rsidRPr="00A828B6">
              <w:rPr>
                <w:rFonts w:ascii="Book Antiqua" w:hAnsi="Book Antiqua"/>
                <w:b/>
                <w:bCs/>
                <w:sz w:val="24"/>
                <w:szCs w:val="24"/>
                <w:lang w:val="en-US"/>
              </w:rPr>
              <w:t xml:space="preserve"> value</w:t>
            </w:r>
          </w:p>
        </w:tc>
      </w:tr>
      <w:tr w:rsidR="00C86D5C" w:rsidRPr="00A828B6" w14:paraId="65FA4097" w14:textId="77777777" w:rsidTr="00C86D5C">
        <w:trPr>
          <w:trHeight w:val="614"/>
        </w:trPr>
        <w:tc>
          <w:tcPr>
            <w:tcW w:w="1364" w:type="dxa"/>
            <w:tcBorders>
              <w:top w:val="single" w:sz="4" w:space="0" w:color="auto"/>
            </w:tcBorders>
            <w:shd w:val="clear" w:color="auto" w:fill="auto"/>
          </w:tcPr>
          <w:p w14:paraId="3D40AE3B" w14:textId="6519D843" w:rsidR="001E2AC3" w:rsidRPr="00A828B6" w:rsidRDefault="00C86D5C" w:rsidP="001A5A01">
            <w:pPr>
              <w:spacing w:after="0" w:line="360" w:lineRule="auto"/>
              <w:jc w:val="both"/>
              <w:rPr>
                <w:rFonts w:ascii="Book Antiqua" w:hAnsi="Book Antiqua"/>
                <w:bCs/>
                <w:sz w:val="24"/>
                <w:szCs w:val="24"/>
                <w:lang w:val="en-US"/>
              </w:rPr>
            </w:pPr>
            <w:proofErr w:type="gramStart"/>
            <w:r w:rsidRPr="00C86D5C">
              <w:rPr>
                <w:rFonts w:ascii="Book Antiqua" w:hAnsi="Book Antiqua" w:hint="eastAsia"/>
                <w:bCs/>
                <w:i/>
                <w:sz w:val="24"/>
                <w:szCs w:val="24"/>
                <w:lang w:val="en-US" w:eastAsia="zh-CN"/>
              </w:rPr>
              <w:t>n</w:t>
            </w:r>
            <w:proofErr w:type="gramEnd"/>
            <w:r w:rsidR="001E2AC3" w:rsidRPr="00A828B6">
              <w:rPr>
                <w:rFonts w:ascii="Book Antiqua" w:hAnsi="Book Antiqua"/>
                <w:bCs/>
                <w:sz w:val="24"/>
                <w:szCs w:val="24"/>
                <w:lang w:val="en-US"/>
              </w:rPr>
              <w:t xml:space="preserve"> (%) </w:t>
            </w:r>
          </w:p>
        </w:tc>
        <w:tc>
          <w:tcPr>
            <w:tcW w:w="1350" w:type="dxa"/>
            <w:tcBorders>
              <w:top w:val="single" w:sz="4" w:space="0" w:color="auto"/>
            </w:tcBorders>
            <w:shd w:val="clear" w:color="auto" w:fill="auto"/>
          </w:tcPr>
          <w:p w14:paraId="7568F0DC" w14:textId="798B7983" w:rsidR="001E2AC3" w:rsidRPr="00A828B6" w:rsidRDefault="00C86D5C" w:rsidP="001A5A01">
            <w:pPr>
              <w:spacing w:after="0" w:line="360" w:lineRule="auto"/>
              <w:jc w:val="both"/>
              <w:rPr>
                <w:rFonts w:ascii="Book Antiqua" w:hAnsi="Book Antiqua"/>
                <w:bCs/>
                <w:sz w:val="24"/>
                <w:szCs w:val="24"/>
                <w:lang w:val="en-US"/>
              </w:rPr>
            </w:pPr>
            <w:r>
              <w:rPr>
                <w:rFonts w:ascii="Book Antiqua" w:hAnsi="Book Antiqua"/>
                <w:bCs/>
                <w:sz w:val="24"/>
                <w:szCs w:val="24"/>
                <w:lang w:val="en-US"/>
              </w:rPr>
              <w:t>101 (39.0</w:t>
            </w:r>
            <w:r w:rsidR="001E2AC3" w:rsidRPr="00A828B6">
              <w:rPr>
                <w:rFonts w:ascii="Book Antiqua" w:hAnsi="Book Antiqua"/>
                <w:bCs/>
                <w:sz w:val="24"/>
                <w:szCs w:val="24"/>
                <w:lang w:val="en-US"/>
              </w:rPr>
              <w:t>)</w:t>
            </w:r>
          </w:p>
        </w:tc>
        <w:tc>
          <w:tcPr>
            <w:tcW w:w="1440" w:type="dxa"/>
            <w:tcBorders>
              <w:top w:val="single" w:sz="4" w:space="0" w:color="auto"/>
            </w:tcBorders>
            <w:shd w:val="clear" w:color="auto" w:fill="auto"/>
          </w:tcPr>
          <w:p w14:paraId="55ED298C" w14:textId="7C01F8A5" w:rsidR="001E2AC3" w:rsidRPr="00A828B6" w:rsidRDefault="00C86D5C" w:rsidP="001A5A01">
            <w:pPr>
              <w:spacing w:after="0" w:line="360" w:lineRule="auto"/>
              <w:jc w:val="both"/>
              <w:rPr>
                <w:rFonts w:ascii="Book Antiqua" w:hAnsi="Book Antiqua"/>
                <w:bCs/>
                <w:sz w:val="24"/>
                <w:szCs w:val="24"/>
                <w:lang w:val="en-US"/>
              </w:rPr>
            </w:pPr>
            <w:r>
              <w:rPr>
                <w:rFonts w:ascii="Book Antiqua" w:hAnsi="Book Antiqua"/>
                <w:bCs/>
                <w:sz w:val="24"/>
                <w:szCs w:val="24"/>
                <w:lang w:val="en-US"/>
              </w:rPr>
              <w:t>75 (29.1</w:t>
            </w:r>
            <w:r w:rsidR="001E2AC3" w:rsidRPr="00A828B6">
              <w:rPr>
                <w:rFonts w:ascii="Book Antiqua" w:hAnsi="Book Antiqua"/>
                <w:bCs/>
                <w:sz w:val="24"/>
                <w:szCs w:val="24"/>
                <w:lang w:val="en-US"/>
              </w:rPr>
              <w:t>)</w:t>
            </w:r>
          </w:p>
        </w:tc>
        <w:tc>
          <w:tcPr>
            <w:tcW w:w="1440" w:type="dxa"/>
            <w:tcBorders>
              <w:top w:val="single" w:sz="4" w:space="0" w:color="auto"/>
            </w:tcBorders>
            <w:shd w:val="clear" w:color="auto" w:fill="auto"/>
          </w:tcPr>
          <w:p w14:paraId="065FC2FE" w14:textId="69ECF3DC" w:rsidR="001E2AC3" w:rsidRPr="00A828B6" w:rsidRDefault="00C86D5C" w:rsidP="001A5A01">
            <w:pPr>
              <w:spacing w:after="0" w:line="360" w:lineRule="auto"/>
              <w:jc w:val="both"/>
              <w:rPr>
                <w:rFonts w:ascii="Book Antiqua" w:hAnsi="Book Antiqua"/>
                <w:bCs/>
                <w:sz w:val="24"/>
                <w:szCs w:val="24"/>
                <w:lang w:val="en-US"/>
              </w:rPr>
            </w:pPr>
            <w:r>
              <w:rPr>
                <w:rFonts w:ascii="Book Antiqua" w:hAnsi="Book Antiqua"/>
                <w:bCs/>
                <w:sz w:val="24"/>
                <w:szCs w:val="24"/>
                <w:lang w:val="en-US"/>
              </w:rPr>
              <w:t>29 (11.2</w:t>
            </w:r>
            <w:r w:rsidR="001E2AC3" w:rsidRPr="00A828B6">
              <w:rPr>
                <w:rFonts w:ascii="Book Antiqua" w:hAnsi="Book Antiqua"/>
                <w:bCs/>
                <w:sz w:val="24"/>
                <w:szCs w:val="24"/>
                <w:lang w:val="en-US"/>
              </w:rPr>
              <w:t>)</w:t>
            </w:r>
          </w:p>
        </w:tc>
        <w:tc>
          <w:tcPr>
            <w:tcW w:w="1350" w:type="dxa"/>
            <w:tcBorders>
              <w:top w:val="single" w:sz="4" w:space="0" w:color="auto"/>
            </w:tcBorders>
            <w:shd w:val="clear" w:color="auto" w:fill="auto"/>
          </w:tcPr>
          <w:p w14:paraId="22C849AA" w14:textId="334BD437" w:rsidR="001E2AC3" w:rsidRPr="00A828B6" w:rsidRDefault="00C86D5C" w:rsidP="001A5A01">
            <w:pPr>
              <w:spacing w:after="0" w:line="360" w:lineRule="auto"/>
              <w:jc w:val="both"/>
              <w:rPr>
                <w:rFonts w:ascii="Book Antiqua" w:hAnsi="Book Antiqua"/>
                <w:bCs/>
                <w:sz w:val="24"/>
                <w:szCs w:val="24"/>
                <w:lang w:val="en-US"/>
              </w:rPr>
            </w:pPr>
            <w:r>
              <w:rPr>
                <w:rFonts w:ascii="Book Antiqua" w:hAnsi="Book Antiqua"/>
                <w:bCs/>
                <w:sz w:val="24"/>
                <w:szCs w:val="24"/>
                <w:lang w:val="en-US"/>
              </w:rPr>
              <w:t>53 (20.5</w:t>
            </w:r>
            <w:r w:rsidR="001E2AC3" w:rsidRPr="00A828B6">
              <w:rPr>
                <w:rFonts w:ascii="Book Antiqua" w:hAnsi="Book Antiqua"/>
                <w:bCs/>
                <w:sz w:val="24"/>
                <w:szCs w:val="24"/>
                <w:lang w:val="en-US"/>
              </w:rPr>
              <w:t>)</w:t>
            </w:r>
          </w:p>
        </w:tc>
        <w:tc>
          <w:tcPr>
            <w:tcW w:w="1440" w:type="dxa"/>
            <w:tcBorders>
              <w:top w:val="single" w:sz="4" w:space="0" w:color="auto"/>
            </w:tcBorders>
          </w:tcPr>
          <w:p w14:paraId="78BECBDB" w14:textId="7E9B37FF" w:rsidR="001E2AC3" w:rsidRPr="00A828B6" w:rsidRDefault="00C86D5C" w:rsidP="001A5A01">
            <w:pPr>
              <w:spacing w:after="0" w:line="360" w:lineRule="auto"/>
              <w:jc w:val="both"/>
              <w:rPr>
                <w:rFonts w:ascii="Book Antiqua" w:hAnsi="Book Antiqua"/>
                <w:bCs/>
                <w:sz w:val="24"/>
                <w:szCs w:val="24"/>
                <w:lang w:val="en-US"/>
              </w:rPr>
            </w:pPr>
            <w:r>
              <w:rPr>
                <w:rFonts w:ascii="Book Antiqua" w:hAnsi="Book Antiqua"/>
                <w:bCs/>
                <w:sz w:val="24"/>
                <w:szCs w:val="24"/>
                <w:lang w:val="en-US"/>
              </w:rPr>
              <w:t>258 (100</w:t>
            </w:r>
            <w:r w:rsidR="001E2AC3" w:rsidRPr="00A828B6">
              <w:rPr>
                <w:rFonts w:ascii="Book Antiqua" w:hAnsi="Book Antiqua"/>
                <w:bCs/>
                <w:sz w:val="24"/>
                <w:szCs w:val="24"/>
                <w:lang w:val="en-US"/>
              </w:rPr>
              <w:t>)</w:t>
            </w:r>
          </w:p>
        </w:tc>
        <w:tc>
          <w:tcPr>
            <w:tcW w:w="1398" w:type="dxa"/>
            <w:tcBorders>
              <w:top w:val="single" w:sz="4" w:space="0" w:color="auto"/>
            </w:tcBorders>
          </w:tcPr>
          <w:p w14:paraId="4A9F8D3D" w14:textId="77777777" w:rsidR="001E2AC3" w:rsidRPr="00A828B6" w:rsidRDefault="001E2AC3" w:rsidP="001A5A01">
            <w:pPr>
              <w:spacing w:after="0" w:line="360" w:lineRule="auto"/>
              <w:jc w:val="both"/>
              <w:rPr>
                <w:rFonts w:ascii="Book Antiqua" w:hAnsi="Book Antiqua"/>
                <w:bCs/>
                <w:sz w:val="24"/>
                <w:szCs w:val="24"/>
                <w:lang w:val="en-US"/>
              </w:rPr>
            </w:pPr>
          </w:p>
        </w:tc>
      </w:tr>
      <w:tr w:rsidR="00C86D5C" w:rsidRPr="00A828B6" w14:paraId="7C42418B" w14:textId="77777777" w:rsidTr="00C86D5C">
        <w:trPr>
          <w:trHeight w:val="614"/>
        </w:trPr>
        <w:tc>
          <w:tcPr>
            <w:tcW w:w="1364" w:type="dxa"/>
            <w:shd w:val="clear" w:color="auto" w:fill="auto"/>
          </w:tcPr>
          <w:p w14:paraId="4C8CBC1E"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Mean age (median; range of years)</w:t>
            </w:r>
          </w:p>
        </w:tc>
        <w:tc>
          <w:tcPr>
            <w:tcW w:w="1350" w:type="dxa"/>
            <w:shd w:val="clear" w:color="auto" w:fill="auto"/>
          </w:tcPr>
          <w:p w14:paraId="4E19ADE1" w14:textId="7A09E21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56.4</w:t>
            </w:r>
            <w:r w:rsidR="00C86D5C">
              <w:rPr>
                <w:rFonts w:ascii="Book Antiqua" w:hAnsi="Book Antiqua" w:hint="eastAsia"/>
                <w:bCs/>
                <w:sz w:val="24"/>
                <w:szCs w:val="24"/>
                <w:lang w:val="en-US" w:eastAsia="zh-CN"/>
              </w:rPr>
              <w:t xml:space="preserve"> </w:t>
            </w:r>
            <w:r w:rsidRPr="00A828B6">
              <w:rPr>
                <w:rFonts w:ascii="Book Antiqua" w:hAnsi="Book Antiqua"/>
                <w:bCs/>
                <w:sz w:val="24"/>
                <w:szCs w:val="24"/>
                <w:lang w:val="en-US"/>
              </w:rPr>
              <w:t>±</w:t>
            </w:r>
            <w:r w:rsidR="00C86D5C">
              <w:rPr>
                <w:rFonts w:ascii="Book Antiqua" w:hAnsi="Book Antiqua" w:hint="eastAsia"/>
                <w:bCs/>
                <w:sz w:val="24"/>
                <w:szCs w:val="24"/>
                <w:lang w:val="en-US" w:eastAsia="zh-CN"/>
              </w:rPr>
              <w:t xml:space="preserve"> </w:t>
            </w:r>
            <w:r w:rsidRPr="00A828B6">
              <w:rPr>
                <w:rFonts w:ascii="Book Antiqua" w:hAnsi="Book Antiqua"/>
                <w:bCs/>
                <w:sz w:val="24"/>
                <w:szCs w:val="24"/>
                <w:lang w:val="en-US"/>
              </w:rPr>
              <w:t>16.0 (59; 24-83)</w:t>
            </w:r>
          </w:p>
        </w:tc>
        <w:tc>
          <w:tcPr>
            <w:tcW w:w="1440" w:type="dxa"/>
            <w:shd w:val="clear" w:color="auto" w:fill="auto"/>
          </w:tcPr>
          <w:p w14:paraId="4A30688E" w14:textId="1B5C6A71"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57.8</w:t>
            </w:r>
            <w:r w:rsidR="00C86D5C">
              <w:rPr>
                <w:rFonts w:ascii="Book Antiqua" w:hAnsi="Book Antiqua" w:hint="eastAsia"/>
                <w:bCs/>
                <w:sz w:val="24"/>
                <w:szCs w:val="24"/>
                <w:lang w:val="en-US" w:eastAsia="zh-CN"/>
              </w:rPr>
              <w:t xml:space="preserve"> </w:t>
            </w:r>
            <w:r w:rsidRPr="00A828B6">
              <w:rPr>
                <w:rFonts w:ascii="Book Antiqua" w:hAnsi="Book Antiqua"/>
                <w:bCs/>
                <w:sz w:val="24"/>
                <w:szCs w:val="24"/>
                <w:lang w:val="en-US"/>
              </w:rPr>
              <w:t>±</w:t>
            </w:r>
            <w:r w:rsidR="00C86D5C">
              <w:rPr>
                <w:rFonts w:ascii="Book Antiqua" w:hAnsi="Book Antiqua" w:hint="eastAsia"/>
                <w:bCs/>
                <w:sz w:val="24"/>
                <w:szCs w:val="24"/>
                <w:lang w:val="en-US" w:eastAsia="zh-CN"/>
              </w:rPr>
              <w:t xml:space="preserve"> </w:t>
            </w:r>
            <w:r w:rsidRPr="00A828B6">
              <w:rPr>
                <w:rFonts w:ascii="Book Antiqua" w:hAnsi="Book Antiqua"/>
                <w:bCs/>
                <w:sz w:val="24"/>
                <w:szCs w:val="24"/>
                <w:lang w:val="en-US"/>
              </w:rPr>
              <w:t>13.3 (58; 24-90)</w:t>
            </w:r>
          </w:p>
        </w:tc>
        <w:tc>
          <w:tcPr>
            <w:tcW w:w="1440" w:type="dxa"/>
            <w:shd w:val="clear" w:color="auto" w:fill="auto"/>
          </w:tcPr>
          <w:p w14:paraId="3E27E4EE" w14:textId="2926652C"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62.9</w:t>
            </w:r>
            <w:r w:rsidR="00C86D5C">
              <w:rPr>
                <w:rFonts w:ascii="Book Antiqua" w:hAnsi="Book Antiqua" w:hint="eastAsia"/>
                <w:bCs/>
                <w:sz w:val="24"/>
                <w:szCs w:val="24"/>
                <w:lang w:val="en-US" w:eastAsia="zh-CN"/>
              </w:rPr>
              <w:t xml:space="preserve"> </w:t>
            </w:r>
            <w:r w:rsidRPr="00A828B6">
              <w:rPr>
                <w:rFonts w:ascii="Book Antiqua" w:hAnsi="Book Antiqua"/>
                <w:bCs/>
                <w:sz w:val="24"/>
                <w:szCs w:val="24"/>
                <w:lang w:val="en-US"/>
              </w:rPr>
              <w:t>±</w:t>
            </w:r>
            <w:r w:rsidR="00C86D5C">
              <w:rPr>
                <w:rFonts w:ascii="Book Antiqua" w:hAnsi="Book Antiqua" w:hint="eastAsia"/>
                <w:bCs/>
                <w:sz w:val="24"/>
                <w:szCs w:val="24"/>
                <w:lang w:val="en-US" w:eastAsia="zh-CN"/>
              </w:rPr>
              <w:t xml:space="preserve"> </w:t>
            </w:r>
            <w:r w:rsidRPr="00A828B6">
              <w:rPr>
                <w:rFonts w:ascii="Book Antiqua" w:hAnsi="Book Antiqua"/>
                <w:bCs/>
                <w:sz w:val="24"/>
                <w:szCs w:val="24"/>
                <w:lang w:val="en-US"/>
              </w:rPr>
              <w:t>12.2 (65; 28-79)</w:t>
            </w:r>
          </w:p>
        </w:tc>
        <w:tc>
          <w:tcPr>
            <w:tcW w:w="1350" w:type="dxa"/>
            <w:shd w:val="clear" w:color="auto" w:fill="auto"/>
          </w:tcPr>
          <w:p w14:paraId="1B865408" w14:textId="15772A55"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48.1</w:t>
            </w:r>
            <w:r w:rsidR="00C86D5C">
              <w:rPr>
                <w:rFonts w:ascii="Book Antiqua" w:hAnsi="Book Antiqua" w:hint="eastAsia"/>
                <w:bCs/>
                <w:sz w:val="24"/>
                <w:szCs w:val="24"/>
                <w:lang w:val="en-US" w:eastAsia="zh-CN"/>
              </w:rPr>
              <w:t xml:space="preserve"> </w:t>
            </w:r>
            <w:r w:rsidRPr="00A828B6">
              <w:rPr>
                <w:rFonts w:ascii="Book Antiqua" w:hAnsi="Book Antiqua"/>
                <w:bCs/>
                <w:sz w:val="24"/>
                <w:szCs w:val="24"/>
                <w:lang w:val="en-US"/>
              </w:rPr>
              <w:t>±</w:t>
            </w:r>
            <w:r w:rsidR="00C86D5C">
              <w:rPr>
                <w:rFonts w:ascii="Book Antiqua" w:hAnsi="Book Antiqua" w:hint="eastAsia"/>
                <w:bCs/>
                <w:sz w:val="24"/>
                <w:szCs w:val="24"/>
                <w:lang w:val="en-US" w:eastAsia="zh-CN"/>
              </w:rPr>
              <w:t xml:space="preserve"> </w:t>
            </w:r>
            <w:r w:rsidRPr="00A828B6">
              <w:rPr>
                <w:rFonts w:ascii="Book Antiqua" w:hAnsi="Book Antiqua"/>
                <w:bCs/>
                <w:sz w:val="24"/>
                <w:szCs w:val="24"/>
                <w:lang w:val="en-US"/>
              </w:rPr>
              <w:t>13.9</w:t>
            </w:r>
            <w:r w:rsidR="00C86D5C">
              <w:rPr>
                <w:rFonts w:ascii="Book Antiqua" w:hAnsi="Book Antiqua" w:hint="eastAsia"/>
                <w:bCs/>
                <w:sz w:val="24"/>
                <w:szCs w:val="24"/>
                <w:vertAlign w:val="superscript"/>
                <w:lang w:eastAsia="zh-CN"/>
              </w:rPr>
              <w:t xml:space="preserve">b </w:t>
            </w:r>
            <w:r w:rsidRPr="00A828B6">
              <w:rPr>
                <w:rFonts w:ascii="Book Antiqua" w:hAnsi="Book Antiqua"/>
                <w:bCs/>
                <w:sz w:val="24"/>
                <w:szCs w:val="24"/>
                <w:lang w:val="en-US"/>
              </w:rPr>
              <w:t>(48; 25-81)</w:t>
            </w:r>
          </w:p>
        </w:tc>
        <w:tc>
          <w:tcPr>
            <w:tcW w:w="1440" w:type="dxa"/>
          </w:tcPr>
          <w:p w14:paraId="0B527B05" w14:textId="0B24950F"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55.8</w:t>
            </w:r>
            <w:r w:rsidR="00C86D5C">
              <w:rPr>
                <w:rFonts w:ascii="Book Antiqua" w:hAnsi="Book Antiqua" w:hint="eastAsia"/>
                <w:bCs/>
                <w:sz w:val="24"/>
                <w:szCs w:val="24"/>
                <w:lang w:val="en-US" w:eastAsia="zh-CN"/>
              </w:rPr>
              <w:t xml:space="preserve"> </w:t>
            </w:r>
            <w:r w:rsidRPr="00A828B6">
              <w:rPr>
                <w:rFonts w:ascii="Book Antiqua" w:hAnsi="Book Antiqua"/>
                <w:bCs/>
                <w:sz w:val="24"/>
                <w:szCs w:val="24"/>
                <w:lang w:val="en-US"/>
              </w:rPr>
              <w:t>±</w:t>
            </w:r>
            <w:r w:rsidR="00C86D5C">
              <w:rPr>
                <w:rFonts w:ascii="Book Antiqua" w:hAnsi="Book Antiqua" w:hint="eastAsia"/>
                <w:bCs/>
                <w:sz w:val="24"/>
                <w:szCs w:val="24"/>
                <w:lang w:val="en-US" w:eastAsia="zh-CN"/>
              </w:rPr>
              <w:t xml:space="preserve"> </w:t>
            </w:r>
            <w:r w:rsidRPr="00A828B6">
              <w:rPr>
                <w:rFonts w:ascii="Book Antiqua" w:hAnsi="Book Antiqua"/>
                <w:bCs/>
                <w:sz w:val="24"/>
                <w:szCs w:val="24"/>
                <w:lang w:val="en-US"/>
              </w:rPr>
              <w:t>15.0 (58; 24-90)</w:t>
            </w:r>
          </w:p>
        </w:tc>
        <w:tc>
          <w:tcPr>
            <w:tcW w:w="1398" w:type="dxa"/>
          </w:tcPr>
          <w:p w14:paraId="7646268F" w14:textId="77777777" w:rsidR="001E2AC3" w:rsidRPr="00A828B6" w:rsidRDefault="001E2AC3" w:rsidP="001A5A01">
            <w:pPr>
              <w:spacing w:after="0" w:line="360" w:lineRule="auto"/>
              <w:jc w:val="both"/>
              <w:rPr>
                <w:rFonts w:ascii="Book Antiqua" w:hAnsi="Book Antiqua"/>
                <w:bCs/>
                <w:sz w:val="24"/>
                <w:szCs w:val="24"/>
                <w:lang w:val="en-US"/>
              </w:rPr>
            </w:pPr>
            <w:proofErr w:type="gramStart"/>
            <w:r w:rsidRPr="00A828B6">
              <w:rPr>
                <w:rFonts w:ascii="Book Antiqua" w:hAnsi="Book Antiqua"/>
                <w:bCs/>
                <w:sz w:val="24"/>
                <w:szCs w:val="24"/>
                <w:lang w:val="en-US"/>
              </w:rPr>
              <w:t>&lt;.0001</w:t>
            </w:r>
            <w:proofErr w:type="gramEnd"/>
          </w:p>
        </w:tc>
      </w:tr>
      <w:tr w:rsidR="00C86D5C" w:rsidRPr="00A828B6" w14:paraId="46893E36" w14:textId="77777777" w:rsidTr="00C86D5C">
        <w:trPr>
          <w:trHeight w:val="614"/>
        </w:trPr>
        <w:tc>
          <w:tcPr>
            <w:tcW w:w="1364" w:type="dxa"/>
            <w:shd w:val="clear" w:color="auto" w:fill="auto"/>
          </w:tcPr>
          <w:p w14:paraId="14D96C9B" w14:textId="412C9EC4" w:rsidR="001E2AC3" w:rsidRPr="00A828B6" w:rsidRDefault="00C86D5C" w:rsidP="001A5A01">
            <w:pPr>
              <w:spacing w:after="0" w:line="360" w:lineRule="auto"/>
              <w:jc w:val="both"/>
              <w:rPr>
                <w:rFonts w:ascii="Book Antiqua" w:hAnsi="Book Antiqua"/>
                <w:bCs/>
                <w:sz w:val="24"/>
                <w:szCs w:val="24"/>
                <w:lang w:val="en-US"/>
              </w:rPr>
            </w:pPr>
            <w:r>
              <w:rPr>
                <w:rFonts w:ascii="Book Antiqua" w:hAnsi="Book Antiqua" w:hint="eastAsia"/>
                <w:bCs/>
                <w:sz w:val="24"/>
                <w:szCs w:val="24"/>
                <w:lang w:val="en-US" w:eastAsia="zh-CN"/>
              </w:rPr>
              <w:t>%</w:t>
            </w:r>
            <w:r w:rsidR="001E2AC3" w:rsidRPr="00A828B6">
              <w:rPr>
                <w:rFonts w:ascii="Book Antiqua" w:hAnsi="Book Antiqua"/>
                <w:bCs/>
                <w:sz w:val="24"/>
                <w:szCs w:val="24"/>
                <w:lang w:val="en-US"/>
              </w:rPr>
              <w:t xml:space="preserve"> Men</w:t>
            </w:r>
          </w:p>
        </w:tc>
        <w:tc>
          <w:tcPr>
            <w:tcW w:w="1350" w:type="dxa"/>
            <w:shd w:val="clear" w:color="auto" w:fill="auto"/>
          </w:tcPr>
          <w:p w14:paraId="74283A91"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62.4%</w:t>
            </w:r>
          </w:p>
        </w:tc>
        <w:tc>
          <w:tcPr>
            <w:tcW w:w="1440" w:type="dxa"/>
            <w:shd w:val="clear" w:color="auto" w:fill="auto"/>
          </w:tcPr>
          <w:p w14:paraId="465BB8B9" w14:textId="5F668F67" w:rsidR="001E2AC3" w:rsidRPr="00A828B6" w:rsidRDefault="001E2AC3" w:rsidP="001A5A01">
            <w:pPr>
              <w:spacing w:after="0" w:line="360" w:lineRule="auto"/>
              <w:jc w:val="both"/>
              <w:rPr>
                <w:rFonts w:ascii="Book Antiqua" w:hAnsi="Book Antiqua"/>
                <w:bCs/>
                <w:sz w:val="24"/>
                <w:szCs w:val="24"/>
                <w:lang w:val="en-US" w:eastAsia="zh-CN"/>
              </w:rPr>
            </w:pPr>
            <w:r w:rsidRPr="00A828B6">
              <w:rPr>
                <w:rFonts w:ascii="Book Antiqua" w:hAnsi="Book Antiqua"/>
                <w:bCs/>
                <w:sz w:val="24"/>
                <w:szCs w:val="24"/>
                <w:lang w:val="en-US"/>
              </w:rPr>
              <w:t>80.0%</w:t>
            </w:r>
            <w:r w:rsidR="00C86D5C">
              <w:rPr>
                <w:rFonts w:ascii="Book Antiqua" w:hAnsi="Book Antiqua" w:hint="eastAsia"/>
                <w:b/>
                <w:bCs/>
                <w:sz w:val="24"/>
                <w:szCs w:val="24"/>
                <w:vertAlign w:val="superscript"/>
                <w:lang w:eastAsia="zh-CN"/>
              </w:rPr>
              <w:t>a</w:t>
            </w:r>
          </w:p>
        </w:tc>
        <w:tc>
          <w:tcPr>
            <w:tcW w:w="1440" w:type="dxa"/>
            <w:shd w:val="clear" w:color="auto" w:fill="auto"/>
          </w:tcPr>
          <w:p w14:paraId="47CA6859"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58.6%</w:t>
            </w:r>
          </w:p>
        </w:tc>
        <w:tc>
          <w:tcPr>
            <w:tcW w:w="1350" w:type="dxa"/>
            <w:shd w:val="clear" w:color="auto" w:fill="auto"/>
          </w:tcPr>
          <w:p w14:paraId="3B1201B0"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58.5%</w:t>
            </w:r>
          </w:p>
        </w:tc>
        <w:tc>
          <w:tcPr>
            <w:tcW w:w="1440" w:type="dxa"/>
          </w:tcPr>
          <w:p w14:paraId="3CD7913B"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66.3%</w:t>
            </w:r>
          </w:p>
        </w:tc>
        <w:tc>
          <w:tcPr>
            <w:tcW w:w="1398" w:type="dxa"/>
          </w:tcPr>
          <w:p w14:paraId="34EB6B89"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&lt; 0.05</w:t>
            </w:r>
          </w:p>
        </w:tc>
      </w:tr>
    </w:tbl>
    <w:p w14:paraId="03E236DC" w14:textId="35EC1C53" w:rsidR="00927353" w:rsidRPr="00A828B6" w:rsidRDefault="00DB7E09"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Study groups were classified per etiology: NAFLD, hepatitis B, hepatitis C and others. Mean age in patients with NAFLD, hepatitis B and C that was higher than the mean age of patients with other etiologies (</w:t>
      </w:r>
      <w:r w:rsidR="00C86D5C">
        <w:rPr>
          <w:rFonts w:ascii="Book Antiqua" w:hAnsi="Book Antiqua" w:hint="eastAsia"/>
          <w:bCs/>
          <w:sz w:val="24"/>
          <w:szCs w:val="24"/>
          <w:vertAlign w:val="superscript"/>
          <w:lang w:eastAsia="zh-CN"/>
        </w:rPr>
        <w:t>b</w:t>
      </w:r>
      <w:r w:rsidRPr="00A828B6">
        <w:rPr>
          <w:rFonts w:ascii="Book Antiqua" w:hAnsi="Book Antiqua"/>
          <w:bCs/>
          <w:i/>
          <w:sz w:val="24"/>
          <w:szCs w:val="24"/>
          <w:lang w:val="en-US"/>
        </w:rPr>
        <w:t>P</w:t>
      </w:r>
      <w:r w:rsidR="00C86D5C">
        <w:rPr>
          <w:rFonts w:ascii="Book Antiqua" w:hAnsi="Book Antiqua" w:hint="eastAsia"/>
          <w:bCs/>
          <w:i/>
          <w:sz w:val="24"/>
          <w:szCs w:val="24"/>
          <w:lang w:val="en-US" w:eastAsia="zh-CN"/>
        </w:rPr>
        <w:t xml:space="preserve"> </w:t>
      </w:r>
      <w:r w:rsidRPr="00A828B6">
        <w:rPr>
          <w:rFonts w:ascii="Book Antiqua" w:hAnsi="Book Antiqua"/>
          <w:bCs/>
          <w:sz w:val="24"/>
          <w:szCs w:val="24"/>
          <w:lang w:val="en-US"/>
        </w:rPr>
        <w:t>&lt;</w:t>
      </w:r>
      <w:r w:rsidR="00C86D5C">
        <w:rPr>
          <w:rFonts w:ascii="Book Antiqua" w:hAnsi="Book Antiqua" w:hint="eastAsia"/>
          <w:bCs/>
          <w:sz w:val="24"/>
          <w:szCs w:val="24"/>
          <w:lang w:val="en-US" w:eastAsia="zh-CN"/>
        </w:rPr>
        <w:t xml:space="preserve"> </w:t>
      </w:r>
      <w:r w:rsidRPr="00A828B6">
        <w:rPr>
          <w:rFonts w:ascii="Book Antiqua" w:hAnsi="Book Antiqua"/>
          <w:bCs/>
          <w:sz w:val="24"/>
          <w:szCs w:val="24"/>
          <w:lang w:val="en-US"/>
        </w:rPr>
        <w:t xml:space="preserve">0.0001 others </w:t>
      </w:r>
      <w:r w:rsidR="00C86D5C" w:rsidRPr="00C86D5C">
        <w:rPr>
          <w:rFonts w:ascii="Book Antiqua" w:hAnsi="Book Antiqua"/>
          <w:bCs/>
          <w:i/>
          <w:sz w:val="24"/>
          <w:szCs w:val="24"/>
          <w:lang w:val="en-US"/>
        </w:rPr>
        <w:t>vs</w:t>
      </w:r>
      <w:r w:rsidR="00C86D5C" w:rsidRPr="00A828B6">
        <w:rPr>
          <w:rFonts w:ascii="Book Antiqua" w:hAnsi="Book Antiqua"/>
          <w:bCs/>
          <w:sz w:val="24"/>
          <w:szCs w:val="24"/>
          <w:lang w:val="en-US"/>
        </w:rPr>
        <w:t xml:space="preserve"> </w:t>
      </w:r>
      <w:r w:rsidRPr="00A828B6">
        <w:rPr>
          <w:rFonts w:ascii="Book Antiqua" w:hAnsi="Book Antiqua"/>
          <w:bCs/>
          <w:sz w:val="24"/>
          <w:szCs w:val="24"/>
          <w:lang w:val="en-US"/>
        </w:rPr>
        <w:t xml:space="preserve">each of NAFLD, hepatitis B and C </w:t>
      </w:r>
      <w:r w:rsidRPr="00C86D5C">
        <w:rPr>
          <w:rFonts w:ascii="Book Antiqua" w:hAnsi="Book Antiqua"/>
          <w:bCs/>
          <w:i/>
          <w:sz w:val="24"/>
          <w:szCs w:val="24"/>
          <w:lang w:val="en-US"/>
        </w:rPr>
        <w:t>vs</w:t>
      </w:r>
      <w:r w:rsidRPr="00A828B6">
        <w:rPr>
          <w:rFonts w:ascii="Book Antiqua" w:hAnsi="Book Antiqua"/>
          <w:bCs/>
          <w:sz w:val="24"/>
          <w:szCs w:val="24"/>
          <w:lang w:val="en-US"/>
        </w:rPr>
        <w:t xml:space="preserve"> other etiologies). Percentage of men with hepatitis B was higher than those with NAFLD, hepatitis C and other etiologies (</w:t>
      </w:r>
      <w:r w:rsidR="00C86D5C">
        <w:rPr>
          <w:rFonts w:ascii="Book Antiqua" w:hAnsi="Book Antiqua" w:hint="eastAsia"/>
          <w:bCs/>
          <w:sz w:val="24"/>
          <w:szCs w:val="24"/>
          <w:vertAlign w:val="superscript"/>
          <w:lang w:eastAsia="zh-CN"/>
        </w:rPr>
        <w:t>a</w:t>
      </w:r>
      <w:r w:rsidRPr="00A828B6">
        <w:rPr>
          <w:rFonts w:ascii="Book Antiqua" w:hAnsi="Book Antiqua"/>
          <w:bCs/>
          <w:i/>
          <w:sz w:val="24"/>
          <w:szCs w:val="24"/>
          <w:lang w:val="en-US"/>
        </w:rPr>
        <w:t>P</w:t>
      </w:r>
      <w:r w:rsidR="00C86D5C">
        <w:rPr>
          <w:rFonts w:ascii="Book Antiqua" w:hAnsi="Book Antiqua" w:hint="eastAsia"/>
          <w:bCs/>
          <w:i/>
          <w:sz w:val="24"/>
          <w:szCs w:val="24"/>
          <w:lang w:val="en-US" w:eastAsia="zh-CN"/>
        </w:rPr>
        <w:t xml:space="preserve"> </w:t>
      </w:r>
      <w:r w:rsidRPr="00A828B6">
        <w:rPr>
          <w:rFonts w:ascii="Book Antiqua" w:hAnsi="Book Antiqua"/>
          <w:bCs/>
          <w:sz w:val="24"/>
          <w:szCs w:val="24"/>
          <w:lang w:val="en-US"/>
        </w:rPr>
        <w:t>&lt;</w:t>
      </w:r>
      <w:r w:rsidR="00C86D5C">
        <w:rPr>
          <w:rFonts w:ascii="Book Antiqua" w:hAnsi="Book Antiqua" w:hint="eastAsia"/>
          <w:bCs/>
          <w:sz w:val="24"/>
          <w:szCs w:val="24"/>
          <w:lang w:val="en-US" w:eastAsia="zh-CN"/>
        </w:rPr>
        <w:t xml:space="preserve"> </w:t>
      </w:r>
      <w:r w:rsidRPr="00A828B6">
        <w:rPr>
          <w:rFonts w:ascii="Book Antiqua" w:hAnsi="Book Antiqua"/>
          <w:bCs/>
          <w:sz w:val="24"/>
          <w:szCs w:val="24"/>
          <w:lang w:val="en-US"/>
        </w:rPr>
        <w:t xml:space="preserve">0.05 patients with hepatitis B </w:t>
      </w:r>
      <w:r w:rsidRPr="00C86D5C">
        <w:rPr>
          <w:rFonts w:ascii="Book Antiqua" w:hAnsi="Book Antiqua"/>
          <w:bCs/>
          <w:i/>
          <w:sz w:val="24"/>
          <w:szCs w:val="24"/>
          <w:lang w:val="en-US"/>
        </w:rPr>
        <w:t>vs</w:t>
      </w:r>
      <w:r w:rsidRPr="00A828B6">
        <w:rPr>
          <w:rFonts w:ascii="Book Antiqua" w:hAnsi="Book Antiqua"/>
          <w:bCs/>
          <w:sz w:val="24"/>
          <w:szCs w:val="24"/>
          <w:lang w:val="en-US"/>
        </w:rPr>
        <w:t xml:space="preserve"> NAFLD, hepatitis C and other etiologies).</w:t>
      </w:r>
      <w:r w:rsidR="00927353" w:rsidRPr="00A828B6">
        <w:rPr>
          <w:rFonts w:ascii="Book Antiqua" w:hAnsi="Book Antiqua"/>
          <w:bCs/>
          <w:sz w:val="24"/>
          <w:szCs w:val="24"/>
          <w:lang w:val="en-US"/>
        </w:rPr>
        <w:br w:type="page"/>
      </w:r>
    </w:p>
    <w:p w14:paraId="185F5829" w14:textId="3617F85B" w:rsidR="001E2AC3" w:rsidRPr="00A828B6" w:rsidRDefault="00C86D5C" w:rsidP="001A5A01">
      <w:pPr>
        <w:spacing w:after="0" w:line="360" w:lineRule="auto"/>
        <w:jc w:val="both"/>
        <w:rPr>
          <w:rFonts w:ascii="Book Antiqua" w:hAnsi="Book Antiqua"/>
          <w:bCs/>
          <w:sz w:val="24"/>
          <w:szCs w:val="24"/>
        </w:rPr>
      </w:pPr>
      <w:r w:rsidRPr="00C86D5C">
        <w:rPr>
          <w:rFonts w:ascii="Book Antiqua" w:hAnsi="Book Antiqua"/>
          <w:b/>
          <w:bCs/>
          <w:sz w:val="24"/>
          <w:szCs w:val="24"/>
          <w:lang w:val="en-US"/>
        </w:rPr>
        <w:lastRenderedPageBreak/>
        <w:t>Table 2</w:t>
      </w:r>
      <w:r w:rsidR="00927353" w:rsidRPr="00C86D5C">
        <w:rPr>
          <w:rFonts w:ascii="Book Antiqua" w:hAnsi="Book Antiqua"/>
          <w:b/>
          <w:bCs/>
          <w:sz w:val="24"/>
          <w:szCs w:val="24"/>
          <w:lang w:val="en-US"/>
        </w:rPr>
        <w:t xml:space="preserve"> </w:t>
      </w:r>
      <w:r w:rsidR="001E2AC3" w:rsidRPr="00C86D5C">
        <w:rPr>
          <w:rFonts w:ascii="Book Antiqua" w:hAnsi="Book Antiqua"/>
          <w:b/>
          <w:bCs/>
          <w:sz w:val="24"/>
          <w:szCs w:val="24"/>
          <w:lang w:val="en-US"/>
        </w:rPr>
        <w:t>Incidence of pathologies and mortality</w:t>
      </w:r>
      <w:r w:rsidR="00927353" w:rsidRPr="00C86D5C">
        <w:rPr>
          <w:rFonts w:ascii="Book Antiqua" w:hAnsi="Book Antiqua"/>
          <w:b/>
          <w:bCs/>
          <w:sz w:val="24"/>
          <w:szCs w:val="24"/>
          <w:lang w:val="en-U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1310"/>
        <w:gridCol w:w="1310"/>
        <w:gridCol w:w="1303"/>
        <w:gridCol w:w="1290"/>
        <w:gridCol w:w="1290"/>
      </w:tblGrid>
      <w:tr w:rsidR="00C86D5C" w:rsidRPr="00A828B6" w14:paraId="10C40ED5" w14:textId="77777777" w:rsidTr="00C86D5C">
        <w:tc>
          <w:tcPr>
            <w:tcW w:w="1523" w:type="dxa"/>
            <w:tcBorders>
              <w:top w:val="single" w:sz="4" w:space="0" w:color="auto"/>
              <w:bottom w:val="single" w:sz="4" w:space="0" w:color="auto"/>
            </w:tcBorders>
          </w:tcPr>
          <w:p w14:paraId="1CC5E640" w14:textId="77777777" w:rsidR="001E2AC3" w:rsidRPr="00A828B6" w:rsidRDefault="001E2AC3" w:rsidP="001A5A01">
            <w:pPr>
              <w:spacing w:after="0" w:line="360" w:lineRule="auto"/>
              <w:jc w:val="both"/>
              <w:rPr>
                <w:rFonts w:ascii="Book Antiqua" w:hAnsi="Book Antiqua"/>
                <w:b/>
                <w:bCs/>
                <w:sz w:val="24"/>
                <w:szCs w:val="24"/>
                <w:lang w:val="en-US"/>
              </w:rPr>
            </w:pPr>
          </w:p>
        </w:tc>
        <w:tc>
          <w:tcPr>
            <w:tcW w:w="1310" w:type="dxa"/>
            <w:tcBorders>
              <w:top w:val="single" w:sz="4" w:space="0" w:color="auto"/>
              <w:bottom w:val="single" w:sz="4" w:space="0" w:color="auto"/>
            </w:tcBorders>
          </w:tcPr>
          <w:p w14:paraId="6F1EF86B" w14:textId="77777777"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Cirrhosis</w:t>
            </w:r>
          </w:p>
        </w:tc>
        <w:tc>
          <w:tcPr>
            <w:tcW w:w="1310" w:type="dxa"/>
            <w:tcBorders>
              <w:top w:val="single" w:sz="4" w:space="0" w:color="auto"/>
              <w:bottom w:val="single" w:sz="4" w:space="0" w:color="auto"/>
            </w:tcBorders>
          </w:tcPr>
          <w:p w14:paraId="122D128A" w14:textId="77777777"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PVT</w:t>
            </w:r>
          </w:p>
        </w:tc>
        <w:tc>
          <w:tcPr>
            <w:tcW w:w="1303" w:type="dxa"/>
            <w:tcBorders>
              <w:top w:val="single" w:sz="4" w:space="0" w:color="auto"/>
              <w:bottom w:val="single" w:sz="4" w:space="0" w:color="auto"/>
            </w:tcBorders>
          </w:tcPr>
          <w:p w14:paraId="662D00BC" w14:textId="77777777"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HCC</w:t>
            </w:r>
          </w:p>
        </w:tc>
        <w:tc>
          <w:tcPr>
            <w:tcW w:w="1290" w:type="dxa"/>
            <w:tcBorders>
              <w:top w:val="single" w:sz="4" w:space="0" w:color="auto"/>
              <w:bottom w:val="single" w:sz="4" w:space="0" w:color="auto"/>
            </w:tcBorders>
          </w:tcPr>
          <w:p w14:paraId="67822CDF" w14:textId="77777777"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Fundic varices</w:t>
            </w:r>
          </w:p>
        </w:tc>
        <w:tc>
          <w:tcPr>
            <w:tcW w:w="1290" w:type="dxa"/>
            <w:tcBorders>
              <w:top w:val="single" w:sz="4" w:space="0" w:color="auto"/>
              <w:bottom w:val="single" w:sz="4" w:space="0" w:color="auto"/>
            </w:tcBorders>
          </w:tcPr>
          <w:p w14:paraId="08005B87" w14:textId="77777777"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Mortality</w:t>
            </w:r>
          </w:p>
        </w:tc>
      </w:tr>
      <w:tr w:rsidR="00C86D5C" w:rsidRPr="00A828B6" w14:paraId="7177C7A5" w14:textId="77777777" w:rsidTr="00C86D5C">
        <w:tc>
          <w:tcPr>
            <w:tcW w:w="1523" w:type="dxa"/>
            <w:tcBorders>
              <w:top w:val="single" w:sz="4" w:space="0" w:color="auto"/>
            </w:tcBorders>
          </w:tcPr>
          <w:p w14:paraId="4C79AB1D" w14:textId="77777777" w:rsidR="001E2AC3" w:rsidRPr="00C86D5C" w:rsidRDefault="001E2AC3" w:rsidP="001A5A01">
            <w:pPr>
              <w:spacing w:after="0" w:line="360" w:lineRule="auto"/>
              <w:jc w:val="both"/>
              <w:rPr>
                <w:rFonts w:ascii="Book Antiqua" w:hAnsi="Book Antiqua"/>
                <w:bCs/>
                <w:sz w:val="24"/>
                <w:szCs w:val="24"/>
                <w:lang w:val="en-US"/>
              </w:rPr>
            </w:pPr>
            <w:r w:rsidRPr="00C86D5C">
              <w:rPr>
                <w:rFonts w:ascii="Book Antiqua" w:hAnsi="Book Antiqua"/>
                <w:bCs/>
                <w:sz w:val="24"/>
                <w:szCs w:val="24"/>
                <w:lang w:val="en-US"/>
              </w:rPr>
              <w:t>NAFLD</w:t>
            </w:r>
          </w:p>
        </w:tc>
        <w:tc>
          <w:tcPr>
            <w:tcW w:w="1310" w:type="dxa"/>
            <w:tcBorders>
              <w:top w:val="single" w:sz="4" w:space="0" w:color="auto"/>
            </w:tcBorders>
          </w:tcPr>
          <w:p w14:paraId="72A6580A"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100%</w:t>
            </w:r>
          </w:p>
        </w:tc>
        <w:tc>
          <w:tcPr>
            <w:tcW w:w="1310" w:type="dxa"/>
            <w:tcBorders>
              <w:top w:val="single" w:sz="4" w:space="0" w:color="auto"/>
            </w:tcBorders>
          </w:tcPr>
          <w:p w14:paraId="728C7609"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47.5%</w:t>
            </w:r>
          </w:p>
        </w:tc>
        <w:tc>
          <w:tcPr>
            <w:tcW w:w="1303" w:type="dxa"/>
            <w:tcBorders>
              <w:top w:val="single" w:sz="4" w:space="0" w:color="auto"/>
            </w:tcBorders>
          </w:tcPr>
          <w:p w14:paraId="11992199" w14:textId="6A97743B" w:rsidR="001E2AC3" w:rsidRPr="00A828B6" w:rsidRDefault="001E2AC3" w:rsidP="001A5A01">
            <w:pPr>
              <w:spacing w:after="0" w:line="360" w:lineRule="auto"/>
              <w:jc w:val="both"/>
              <w:rPr>
                <w:rFonts w:ascii="Book Antiqua" w:hAnsi="Book Antiqua"/>
                <w:bCs/>
                <w:sz w:val="24"/>
                <w:szCs w:val="24"/>
                <w:lang w:val="en-US" w:eastAsia="zh-CN"/>
              </w:rPr>
            </w:pPr>
            <w:r w:rsidRPr="00A828B6">
              <w:rPr>
                <w:rFonts w:ascii="Book Antiqua" w:hAnsi="Book Antiqua"/>
                <w:bCs/>
                <w:sz w:val="24"/>
                <w:szCs w:val="24"/>
                <w:lang w:val="en-US"/>
              </w:rPr>
              <w:t>5.0%</w:t>
            </w:r>
            <w:r w:rsidR="00C86D5C">
              <w:rPr>
                <w:rFonts w:ascii="Book Antiqua" w:hAnsi="Book Antiqua" w:hint="eastAsia"/>
                <w:bCs/>
                <w:sz w:val="24"/>
                <w:szCs w:val="24"/>
                <w:vertAlign w:val="superscript"/>
                <w:lang w:val="en-US" w:eastAsia="zh-CN"/>
              </w:rPr>
              <w:t>b</w:t>
            </w:r>
          </w:p>
        </w:tc>
        <w:tc>
          <w:tcPr>
            <w:tcW w:w="1290" w:type="dxa"/>
            <w:tcBorders>
              <w:top w:val="single" w:sz="4" w:space="0" w:color="auto"/>
            </w:tcBorders>
          </w:tcPr>
          <w:p w14:paraId="3AAA9478"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45.5%</w:t>
            </w:r>
          </w:p>
        </w:tc>
        <w:tc>
          <w:tcPr>
            <w:tcW w:w="1290" w:type="dxa"/>
            <w:tcBorders>
              <w:top w:val="single" w:sz="4" w:space="0" w:color="auto"/>
            </w:tcBorders>
          </w:tcPr>
          <w:p w14:paraId="3D0E87AD"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47.5%</w:t>
            </w:r>
          </w:p>
        </w:tc>
      </w:tr>
      <w:tr w:rsidR="00C86D5C" w:rsidRPr="00A828B6" w14:paraId="60452D25" w14:textId="77777777" w:rsidTr="00C86D5C">
        <w:tc>
          <w:tcPr>
            <w:tcW w:w="1523" w:type="dxa"/>
          </w:tcPr>
          <w:p w14:paraId="1B32EFF1" w14:textId="77777777" w:rsidR="001E2AC3" w:rsidRPr="00C86D5C" w:rsidRDefault="001E2AC3" w:rsidP="001A5A01">
            <w:pPr>
              <w:spacing w:after="0" w:line="360" w:lineRule="auto"/>
              <w:jc w:val="both"/>
              <w:rPr>
                <w:rFonts w:ascii="Book Antiqua" w:hAnsi="Book Antiqua"/>
                <w:bCs/>
                <w:sz w:val="24"/>
                <w:szCs w:val="24"/>
                <w:lang w:val="en-US"/>
              </w:rPr>
            </w:pPr>
            <w:r w:rsidRPr="00C86D5C">
              <w:rPr>
                <w:rFonts w:ascii="Book Antiqua" w:hAnsi="Book Antiqua"/>
                <w:bCs/>
                <w:sz w:val="24"/>
                <w:szCs w:val="24"/>
                <w:lang w:val="en-US"/>
              </w:rPr>
              <w:t>Hepatitis B</w:t>
            </w:r>
          </w:p>
        </w:tc>
        <w:tc>
          <w:tcPr>
            <w:tcW w:w="1310" w:type="dxa"/>
          </w:tcPr>
          <w:p w14:paraId="0C2BB2B7"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86.7%</w:t>
            </w:r>
          </w:p>
        </w:tc>
        <w:tc>
          <w:tcPr>
            <w:tcW w:w="1310" w:type="dxa"/>
          </w:tcPr>
          <w:p w14:paraId="0373D8DF"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29.3%</w:t>
            </w:r>
          </w:p>
        </w:tc>
        <w:tc>
          <w:tcPr>
            <w:tcW w:w="1303" w:type="dxa"/>
          </w:tcPr>
          <w:p w14:paraId="0E5393F1"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26.7%</w:t>
            </w:r>
          </w:p>
        </w:tc>
        <w:tc>
          <w:tcPr>
            <w:tcW w:w="1290" w:type="dxa"/>
          </w:tcPr>
          <w:p w14:paraId="375F4F7B"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52.0%</w:t>
            </w:r>
          </w:p>
        </w:tc>
        <w:tc>
          <w:tcPr>
            <w:tcW w:w="1290" w:type="dxa"/>
          </w:tcPr>
          <w:p w14:paraId="5E78EDBC"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42.7%</w:t>
            </w:r>
          </w:p>
        </w:tc>
      </w:tr>
      <w:tr w:rsidR="00C86D5C" w:rsidRPr="00A828B6" w14:paraId="06BD92FF" w14:textId="77777777" w:rsidTr="00C86D5C">
        <w:tc>
          <w:tcPr>
            <w:tcW w:w="1523" w:type="dxa"/>
          </w:tcPr>
          <w:p w14:paraId="58E1DB34" w14:textId="77777777" w:rsidR="001E2AC3" w:rsidRPr="00C86D5C" w:rsidRDefault="001E2AC3" w:rsidP="001A5A01">
            <w:pPr>
              <w:spacing w:after="0" w:line="360" w:lineRule="auto"/>
              <w:jc w:val="both"/>
              <w:rPr>
                <w:rFonts w:ascii="Book Antiqua" w:hAnsi="Book Antiqua"/>
                <w:bCs/>
                <w:sz w:val="24"/>
                <w:szCs w:val="24"/>
                <w:lang w:val="en-US"/>
              </w:rPr>
            </w:pPr>
            <w:r w:rsidRPr="00C86D5C">
              <w:rPr>
                <w:rFonts w:ascii="Book Antiqua" w:hAnsi="Book Antiqua"/>
                <w:bCs/>
                <w:sz w:val="24"/>
                <w:szCs w:val="24"/>
                <w:lang w:val="en-US"/>
              </w:rPr>
              <w:t>Hepatitis C</w:t>
            </w:r>
          </w:p>
        </w:tc>
        <w:tc>
          <w:tcPr>
            <w:tcW w:w="1310" w:type="dxa"/>
          </w:tcPr>
          <w:p w14:paraId="6BA32FE8"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93.1%</w:t>
            </w:r>
          </w:p>
        </w:tc>
        <w:tc>
          <w:tcPr>
            <w:tcW w:w="1310" w:type="dxa"/>
          </w:tcPr>
          <w:p w14:paraId="6E71C533" w14:textId="3640AC82" w:rsidR="001E2AC3" w:rsidRPr="00A828B6" w:rsidRDefault="001E2AC3" w:rsidP="001A5A01">
            <w:pPr>
              <w:spacing w:after="0" w:line="360" w:lineRule="auto"/>
              <w:jc w:val="both"/>
              <w:rPr>
                <w:rFonts w:ascii="Book Antiqua" w:hAnsi="Book Antiqua"/>
                <w:bCs/>
                <w:sz w:val="24"/>
                <w:szCs w:val="24"/>
                <w:lang w:val="en-US" w:eastAsia="zh-CN"/>
              </w:rPr>
            </w:pPr>
            <w:r w:rsidRPr="00A828B6">
              <w:rPr>
                <w:rFonts w:ascii="Book Antiqua" w:hAnsi="Book Antiqua"/>
                <w:bCs/>
                <w:sz w:val="24"/>
                <w:szCs w:val="24"/>
                <w:lang w:val="en-US"/>
              </w:rPr>
              <w:t>17.2%</w:t>
            </w:r>
            <w:r w:rsidR="00C86D5C">
              <w:rPr>
                <w:rFonts w:ascii="Book Antiqua" w:hAnsi="Book Antiqua" w:hint="eastAsia"/>
                <w:bCs/>
                <w:sz w:val="24"/>
                <w:szCs w:val="24"/>
                <w:vertAlign w:val="superscript"/>
                <w:lang w:eastAsia="zh-CN"/>
              </w:rPr>
              <w:t>a</w:t>
            </w:r>
          </w:p>
        </w:tc>
        <w:tc>
          <w:tcPr>
            <w:tcW w:w="1303" w:type="dxa"/>
          </w:tcPr>
          <w:p w14:paraId="1DA7215A"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34.5%</w:t>
            </w:r>
          </w:p>
        </w:tc>
        <w:tc>
          <w:tcPr>
            <w:tcW w:w="1290" w:type="dxa"/>
          </w:tcPr>
          <w:p w14:paraId="2FB73BDC"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27.6%</w:t>
            </w:r>
          </w:p>
        </w:tc>
        <w:tc>
          <w:tcPr>
            <w:tcW w:w="1290" w:type="dxa"/>
          </w:tcPr>
          <w:p w14:paraId="2380294F"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51.7%</w:t>
            </w:r>
          </w:p>
        </w:tc>
      </w:tr>
      <w:tr w:rsidR="00C86D5C" w:rsidRPr="00A828B6" w14:paraId="4F8E1057" w14:textId="77777777" w:rsidTr="00C86D5C">
        <w:tc>
          <w:tcPr>
            <w:tcW w:w="1523" w:type="dxa"/>
          </w:tcPr>
          <w:p w14:paraId="31BCE534" w14:textId="77777777" w:rsidR="001E2AC3" w:rsidRPr="00C86D5C" w:rsidRDefault="001E2AC3" w:rsidP="001A5A01">
            <w:pPr>
              <w:spacing w:after="0" w:line="360" w:lineRule="auto"/>
              <w:jc w:val="both"/>
              <w:rPr>
                <w:rFonts w:ascii="Book Antiqua" w:hAnsi="Book Antiqua"/>
                <w:bCs/>
                <w:sz w:val="24"/>
                <w:szCs w:val="24"/>
                <w:lang w:val="en-US"/>
              </w:rPr>
            </w:pPr>
            <w:r w:rsidRPr="00C86D5C">
              <w:rPr>
                <w:rFonts w:ascii="Book Antiqua" w:hAnsi="Book Antiqua"/>
                <w:bCs/>
                <w:sz w:val="24"/>
                <w:szCs w:val="24"/>
                <w:lang w:val="en-US"/>
              </w:rPr>
              <w:t>Others</w:t>
            </w:r>
          </w:p>
        </w:tc>
        <w:tc>
          <w:tcPr>
            <w:tcW w:w="1310" w:type="dxa"/>
          </w:tcPr>
          <w:p w14:paraId="36B1C7F2" w14:textId="0F8E5BAF" w:rsidR="001E2AC3" w:rsidRPr="00A828B6" w:rsidRDefault="001E2AC3" w:rsidP="001A5A01">
            <w:pPr>
              <w:spacing w:after="0" w:line="360" w:lineRule="auto"/>
              <w:jc w:val="both"/>
              <w:rPr>
                <w:rFonts w:ascii="Book Antiqua" w:hAnsi="Book Antiqua"/>
                <w:bCs/>
                <w:sz w:val="24"/>
                <w:szCs w:val="24"/>
                <w:lang w:val="en-US" w:eastAsia="zh-CN"/>
              </w:rPr>
            </w:pPr>
            <w:r w:rsidRPr="00A828B6">
              <w:rPr>
                <w:rFonts w:ascii="Book Antiqua" w:hAnsi="Book Antiqua"/>
                <w:bCs/>
                <w:sz w:val="24"/>
                <w:szCs w:val="24"/>
                <w:lang w:val="en-US"/>
              </w:rPr>
              <w:t>69.8%</w:t>
            </w:r>
            <w:r w:rsidR="00C86D5C">
              <w:rPr>
                <w:rFonts w:ascii="Book Antiqua" w:hAnsi="Book Antiqua" w:hint="eastAsia"/>
                <w:b/>
                <w:bCs/>
                <w:sz w:val="24"/>
                <w:szCs w:val="24"/>
                <w:vertAlign w:val="superscript"/>
                <w:lang w:eastAsia="zh-CN"/>
              </w:rPr>
              <w:t>c</w:t>
            </w:r>
          </w:p>
        </w:tc>
        <w:tc>
          <w:tcPr>
            <w:tcW w:w="1310" w:type="dxa"/>
          </w:tcPr>
          <w:p w14:paraId="5D505066"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62.3%</w:t>
            </w:r>
          </w:p>
        </w:tc>
        <w:tc>
          <w:tcPr>
            <w:tcW w:w="1303" w:type="dxa"/>
          </w:tcPr>
          <w:p w14:paraId="6D294FD0" w14:textId="39E3580C" w:rsidR="001E2AC3" w:rsidRPr="00A828B6" w:rsidRDefault="001E2AC3" w:rsidP="001A5A01">
            <w:pPr>
              <w:spacing w:after="0" w:line="360" w:lineRule="auto"/>
              <w:jc w:val="both"/>
              <w:rPr>
                <w:rFonts w:ascii="Book Antiqua" w:hAnsi="Book Antiqua"/>
                <w:bCs/>
                <w:sz w:val="24"/>
                <w:szCs w:val="24"/>
                <w:lang w:val="en-US" w:eastAsia="zh-CN"/>
              </w:rPr>
            </w:pPr>
            <w:r w:rsidRPr="00A828B6">
              <w:rPr>
                <w:rFonts w:ascii="Book Antiqua" w:hAnsi="Book Antiqua"/>
                <w:bCs/>
                <w:sz w:val="24"/>
                <w:szCs w:val="24"/>
                <w:lang w:val="en-US"/>
              </w:rPr>
              <w:t>5.7%</w:t>
            </w:r>
            <w:r w:rsidR="00C86D5C">
              <w:rPr>
                <w:rFonts w:ascii="Book Antiqua" w:hAnsi="Book Antiqua" w:hint="eastAsia"/>
                <w:bCs/>
                <w:sz w:val="24"/>
                <w:szCs w:val="24"/>
                <w:vertAlign w:val="superscript"/>
                <w:lang w:val="en-US" w:eastAsia="zh-CN"/>
              </w:rPr>
              <w:t>b</w:t>
            </w:r>
          </w:p>
        </w:tc>
        <w:tc>
          <w:tcPr>
            <w:tcW w:w="1290" w:type="dxa"/>
          </w:tcPr>
          <w:p w14:paraId="64E7DAF1"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43.4%</w:t>
            </w:r>
          </w:p>
        </w:tc>
        <w:tc>
          <w:tcPr>
            <w:tcW w:w="1290" w:type="dxa"/>
          </w:tcPr>
          <w:p w14:paraId="2DC73D79"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30.2%</w:t>
            </w:r>
          </w:p>
        </w:tc>
      </w:tr>
      <w:tr w:rsidR="00C86D5C" w:rsidRPr="00A828B6" w14:paraId="443CBE22" w14:textId="77777777" w:rsidTr="00C86D5C">
        <w:tc>
          <w:tcPr>
            <w:tcW w:w="1523" w:type="dxa"/>
          </w:tcPr>
          <w:p w14:paraId="1815BB17" w14:textId="77777777" w:rsidR="001E2AC3" w:rsidRPr="00C86D5C" w:rsidRDefault="001E2AC3" w:rsidP="001A5A01">
            <w:pPr>
              <w:spacing w:after="0" w:line="360" w:lineRule="auto"/>
              <w:jc w:val="both"/>
              <w:rPr>
                <w:rFonts w:ascii="Book Antiqua" w:hAnsi="Book Antiqua"/>
                <w:bCs/>
                <w:sz w:val="24"/>
                <w:szCs w:val="24"/>
                <w:lang w:val="en-US"/>
              </w:rPr>
            </w:pPr>
            <w:r w:rsidRPr="00C86D5C">
              <w:rPr>
                <w:rFonts w:ascii="Book Antiqua" w:hAnsi="Book Antiqua"/>
                <w:bCs/>
                <w:sz w:val="24"/>
                <w:szCs w:val="24"/>
                <w:lang w:val="en-US"/>
              </w:rPr>
              <w:t>Total</w:t>
            </w:r>
          </w:p>
        </w:tc>
        <w:tc>
          <w:tcPr>
            <w:tcW w:w="1310" w:type="dxa"/>
          </w:tcPr>
          <w:p w14:paraId="14B720E6"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89.1%</w:t>
            </w:r>
          </w:p>
        </w:tc>
        <w:tc>
          <w:tcPr>
            <w:tcW w:w="1310" w:type="dxa"/>
          </w:tcPr>
          <w:p w14:paraId="5075CC3B"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41.9%</w:t>
            </w:r>
          </w:p>
        </w:tc>
        <w:tc>
          <w:tcPr>
            <w:tcW w:w="1303" w:type="dxa"/>
          </w:tcPr>
          <w:p w14:paraId="5228C182"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14.7%</w:t>
            </w:r>
          </w:p>
        </w:tc>
        <w:tc>
          <w:tcPr>
            <w:tcW w:w="1290" w:type="dxa"/>
          </w:tcPr>
          <w:p w14:paraId="00947C69"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45.0%</w:t>
            </w:r>
          </w:p>
        </w:tc>
        <w:tc>
          <w:tcPr>
            <w:tcW w:w="1290" w:type="dxa"/>
          </w:tcPr>
          <w:p w14:paraId="5B757600"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43.0%</w:t>
            </w:r>
          </w:p>
        </w:tc>
      </w:tr>
      <w:tr w:rsidR="00C86D5C" w:rsidRPr="00A828B6" w14:paraId="3AB51016" w14:textId="77777777" w:rsidTr="00C86D5C">
        <w:tc>
          <w:tcPr>
            <w:tcW w:w="1523" w:type="dxa"/>
          </w:tcPr>
          <w:p w14:paraId="69570560" w14:textId="77777777" w:rsidR="001E2AC3" w:rsidRPr="00C86D5C" w:rsidRDefault="001E2AC3" w:rsidP="001A5A01">
            <w:pPr>
              <w:spacing w:after="0" w:line="360" w:lineRule="auto"/>
              <w:jc w:val="both"/>
              <w:rPr>
                <w:rFonts w:ascii="Book Antiqua" w:hAnsi="Book Antiqua"/>
                <w:bCs/>
                <w:sz w:val="24"/>
                <w:szCs w:val="24"/>
                <w:lang w:val="en-US"/>
              </w:rPr>
            </w:pPr>
            <w:r w:rsidRPr="00C86D5C">
              <w:rPr>
                <w:rFonts w:ascii="Book Antiqua" w:hAnsi="Book Antiqua"/>
                <w:bCs/>
                <w:i/>
                <w:sz w:val="24"/>
                <w:szCs w:val="24"/>
                <w:lang w:val="en-US"/>
              </w:rPr>
              <w:t>P</w:t>
            </w:r>
            <w:r w:rsidRPr="00C86D5C">
              <w:rPr>
                <w:rFonts w:ascii="Book Antiqua" w:hAnsi="Book Antiqua"/>
                <w:bCs/>
                <w:sz w:val="24"/>
                <w:szCs w:val="24"/>
                <w:lang w:val="en-US"/>
              </w:rPr>
              <w:t xml:space="preserve"> value</w:t>
            </w:r>
          </w:p>
        </w:tc>
        <w:tc>
          <w:tcPr>
            <w:tcW w:w="1310" w:type="dxa"/>
          </w:tcPr>
          <w:p w14:paraId="4A762AB6"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&lt; 0.0001</w:t>
            </w:r>
          </w:p>
        </w:tc>
        <w:tc>
          <w:tcPr>
            <w:tcW w:w="1310" w:type="dxa"/>
          </w:tcPr>
          <w:p w14:paraId="3251651B"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&lt; 0.0001</w:t>
            </w:r>
          </w:p>
        </w:tc>
        <w:tc>
          <w:tcPr>
            <w:tcW w:w="1303" w:type="dxa"/>
          </w:tcPr>
          <w:p w14:paraId="77A0803E"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&lt; 0.0001</w:t>
            </w:r>
          </w:p>
        </w:tc>
        <w:tc>
          <w:tcPr>
            <w:tcW w:w="1290" w:type="dxa"/>
          </w:tcPr>
          <w:p w14:paraId="6364B6A5"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&gt; 0.05</w:t>
            </w:r>
          </w:p>
        </w:tc>
        <w:tc>
          <w:tcPr>
            <w:tcW w:w="1290" w:type="dxa"/>
          </w:tcPr>
          <w:p w14:paraId="29BFB5FA"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&gt; 0.05</w:t>
            </w:r>
          </w:p>
        </w:tc>
      </w:tr>
    </w:tbl>
    <w:p w14:paraId="4F36F4C8" w14:textId="1DC73DB0" w:rsidR="001E2AC3" w:rsidRPr="00A828B6" w:rsidRDefault="00C86D5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 xml:space="preserve">The distribution of portal vein thrombosis (PVT), cirrhosis, hepatocellular cancer (HCC), fundic varices, and mortality rate in patients with NAFLD, hepatitis B, hepatitis C and other liver-related diseases (others) is shown. </w:t>
      </w:r>
      <w:r>
        <w:rPr>
          <w:rFonts w:ascii="Book Antiqua" w:hAnsi="Book Antiqua" w:hint="eastAsia"/>
          <w:bCs/>
          <w:sz w:val="24"/>
          <w:szCs w:val="24"/>
          <w:vertAlign w:val="superscript"/>
          <w:lang w:eastAsia="zh-CN"/>
        </w:rPr>
        <w:t>a</w:t>
      </w:r>
      <w:r w:rsidRPr="00A828B6">
        <w:rPr>
          <w:rFonts w:ascii="Book Antiqua" w:hAnsi="Book Antiqua"/>
          <w:bCs/>
          <w:i/>
          <w:sz w:val="24"/>
          <w:szCs w:val="24"/>
          <w:lang w:val="en-US"/>
        </w:rPr>
        <w:t>P</w:t>
      </w:r>
      <w:r>
        <w:rPr>
          <w:rFonts w:ascii="Book Antiqua" w:hAnsi="Book Antiqua" w:hint="eastAsia"/>
          <w:bCs/>
          <w:i/>
          <w:sz w:val="24"/>
          <w:szCs w:val="24"/>
          <w:lang w:val="en-US" w:eastAsia="zh-CN"/>
        </w:rPr>
        <w:t xml:space="preserve"> </w:t>
      </w:r>
      <w:r w:rsidRPr="00A828B6">
        <w:rPr>
          <w:rFonts w:ascii="Book Antiqua" w:hAnsi="Book Antiqua"/>
          <w:bCs/>
          <w:sz w:val="24"/>
          <w:szCs w:val="24"/>
          <w:lang w:val="en-US"/>
        </w:rPr>
        <w:t xml:space="preserve">&lt; 0.0001; </w:t>
      </w:r>
      <w:r>
        <w:rPr>
          <w:rFonts w:ascii="Book Antiqua" w:hAnsi="Book Antiqua" w:hint="eastAsia"/>
          <w:bCs/>
          <w:sz w:val="24"/>
          <w:szCs w:val="24"/>
          <w:vertAlign w:val="superscript"/>
          <w:lang w:eastAsia="zh-CN"/>
        </w:rPr>
        <w:t>b</w:t>
      </w:r>
      <w:r w:rsidRPr="00A828B6">
        <w:rPr>
          <w:rFonts w:ascii="Book Antiqua" w:hAnsi="Book Antiqua"/>
          <w:bCs/>
          <w:i/>
          <w:sz w:val="24"/>
          <w:szCs w:val="24"/>
          <w:lang w:val="en-US"/>
        </w:rPr>
        <w:t>P</w:t>
      </w:r>
      <w:r>
        <w:rPr>
          <w:rFonts w:ascii="Book Antiqua" w:hAnsi="Book Antiqua" w:hint="eastAsia"/>
          <w:bCs/>
          <w:i/>
          <w:sz w:val="24"/>
          <w:szCs w:val="24"/>
          <w:lang w:val="en-US" w:eastAsia="zh-CN"/>
        </w:rPr>
        <w:t xml:space="preserve"> </w:t>
      </w:r>
      <w:r w:rsidRPr="00A828B6">
        <w:rPr>
          <w:rFonts w:ascii="Book Antiqua" w:hAnsi="Book Antiqua"/>
          <w:bCs/>
          <w:sz w:val="24"/>
          <w:szCs w:val="24"/>
          <w:lang w:val="en-US"/>
        </w:rPr>
        <w:t xml:space="preserve">&lt; 0.0001; and </w:t>
      </w:r>
      <w:r>
        <w:rPr>
          <w:rFonts w:ascii="Book Antiqua" w:hAnsi="Book Antiqua" w:hint="eastAsia"/>
          <w:b/>
          <w:bCs/>
          <w:sz w:val="24"/>
          <w:szCs w:val="24"/>
          <w:vertAlign w:val="superscript"/>
          <w:lang w:eastAsia="zh-CN"/>
        </w:rPr>
        <w:t>c</w:t>
      </w:r>
      <w:r w:rsidRPr="00A828B6">
        <w:rPr>
          <w:rFonts w:ascii="Book Antiqua" w:hAnsi="Book Antiqua"/>
          <w:bCs/>
          <w:i/>
          <w:sz w:val="24"/>
          <w:szCs w:val="24"/>
          <w:lang w:val="en-US"/>
        </w:rPr>
        <w:t>P</w:t>
      </w:r>
      <w:r>
        <w:rPr>
          <w:rFonts w:ascii="Book Antiqua" w:hAnsi="Book Antiqua" w:hint="eastAsia"/>
          <w:bCs/>
          <w:i/>
          <w:sz w:val="24"/>
          <w:szCs w:val="24"/>
          <w:lang w:val="en-US" w:eastAsia="zh-CN"/>
        </w:rPr>
        <w:t xml:space="preserve"> </w:t>
      </w:r>
      <w:r w:rsidRPr="00A828B6">
        <w:rPr>
          <w:rFonts w:ascii="Book Antiqua" w:hAnsi="Book Antiqua"/>
          <w:bCs/>
          <w:sz w:val="24"/>
          <w:szCs w:val="24"/>
          <w:lang w:val="en-US"/>
        </w:rPr>
        <w:t>&lt; 0.0001. Different symbols were used in order to emphasize comparison within each etiology group.</w:t>
      </w:r>
      <w:r w:rsidR="001E2AC3" w:rsidRPr="00A828B6">
        <w:rPr>
          <w:rFonts w:ascii="Book Antiqua" w:hAnsi="Book Antiqua"/>
          <w:bCs/>
          <w:sz w:val="24"/>
          <w:szCs w:val="24"/>
          <w:lang w:val="en-US"/>
        </w:rPr>
        <w:br w:type="page"/>
      </w:r>
    </w:p>
    <w:p w14:paraId="0A597FDD" w14:textId="2A36B6F4" w:rsidR="001E2AC3" w:rsidRPr="00A828B6" w:rsidRDefault="00C86D5C" w:rsidP="001A5A01">
      <w:pPr>
        <w:spacing w:after="0" w:line="360" w:lineRule="auto"/>
        <w:jc w:val="both"/>
        <w:rPr>
          <w:rFonts w:ascii="Book Antiqua" w:hAnsi="Book Antiqua"/>
          <w:bCs/>
          <w:sz w:val="24"/>
          <w:szCs w:val="24"/>
          <w:lang w:val="en-US" w:eastAsia="zh-CN"/>
        </w:rPr>
      </w:pPr>
      <w:r w:rsidRPr="00C86D5C">
        <w:rPr>
          <w:rFonts w:ascii="Book Antiqua" w:hAnsi="Book Antiqua"/>
          <w:b/>
          <w:bCs/>
          <w:sz w:val="24"/>
          <w:szCs w:val="24"/>
          <w:lang w:val="en-US"/>
        </w:rPr>
        <w:lastRenderedPageBreak/>
        <w:t>Table 3</w:t>
      </w:r>
      <w:r w:rsidR="00817951" w:rsidRPr="00C86D5C">
        <w:rPr>
          <w:rFonts w:ascii="Book Antiqua" w:hAnsi="Book Antiqua"/>
          <w:b/>
          <w:bCs/>
          <w:sz w:val="24"/>
          <w:szCs w:val="24"/>
          <w:lang w:val="en-US"/>
        </w:rPr>
        <w:t xml:space="preserve"> </w:t>
      </w:r>
      <w:r w:rsidR="001E2AC3" w:rsidRPr="00C86D5C">
        <w:rPr>
          <w:rFonts w:ascii="Book Antiqua" w:hAnsi="Book Antiqua"/>
          <w:b/>
          <w:bCs/>
          <w:sz w:val="24"/>
          <w:szCs w:val="24"/>
          <w:lang w:val="en-US"/>
        </w:rPr>
        <w:t>Inci</w:t>
      </w:r>
      <w:r>
        <w:rPr>
          <w:rFonts w:ascii="Book Antiqua" w:hAnsi="Book Antiqua"/>
          <w:b/>
          <w:bCs/>
          <w:sz w:val="24"/>
          <w:szCs w:val="24"/>
          <w:lang w:val="en-US"/>
        </w:rPr>
        <w:t>dence of portal vein thrombosis</w:t>
      </w:r>
    </w:p>
    <w:tbl>
      <w:tblPr>
        <w:tblW w:w="0" w:type="auto"/>
        <w:tblInd w:w="108" w:type="dxa"/>
        <w:tblBorders>
          <w:top w:val="single" w:sz="4" w:space="0" w:color="auto"/>
          <w:bottom w:val="single" w:sz="4" w:space="0" w:color="auto"/>
        </w:tblBorders>
        <w:tblLayout w:type="fixed"/>
        <w:tblLook w:val="04A0" w:firstRow="1" w:lastRow="0" w:firstColumn="1" w:lastColumn="0" w:noHBand="0" w:noVBand="1"/>
      </w:tblPr>
      <w:tblGrid>
        <w:gridCol w:w="1080"/>
        <w:gridCol w:w="1867"/>
        <w:gridCol w:w="1868"/>
        <w:gridCol w:w="1867"/>
        <w:gridCol w:w="1868"/>
      </w:tblGrid>
      <w:tr w:rsidR="00C86D5C" w:rsidRPr="00A828B6" w14:paraId="4F49E7B2" w14:textId="77777777" w:rsidTr="00C86D5C">
        <w:trPr>
          <w:trHeight w:val="50"/>
        </w:trPr>
        <w:tc>
          <w:tcPr>
            <w:tcW w:w="1080" w:type="dxa"/>
            <w:tcBorders>
              <w:top w:val="single" w:sz="4" w:space="0" w:color="auto"/>
              <w:bottom w:val="single" w:sz="4" w:space="0" w:color="auto"/>
            </w:tcBorders>
            <w:shd w:val="clear" w:color="auto" w:fill="auto"/>
          </w:tcPr>
          <w:p w14:paraId="268B07A5" w14:textId="77777777" w:rsidR="001E2AC3" w:rsidRPr="00A828B6" w:rsidRDefault="001E2AC3" w:rsidP="001A5A01">
            <w:pPr>
              <w:spacing w:after="0" w:line="360" w:lineRule="auto"/>
              <w:jc w:val="both"/>
              <w:rPr>
                <w:rFonts w:ascii="Book Antiqua" w:hAnsi="Book Antiqua"/>
                <w:b/>
                <w:bCs/>
                <w:sz w:val="24"/>
                <w:szCs w:val="24"/>
                <w:lang w:val="en-US"/>
              </w:rPr>
            </w:pPr>
          </w:p>
        </w:tc>
        <w:tc>
          <w:tcPr>
            <w:tcW w:w="1867" w:type="dxa"/>
            <w:tcBorders>
              <w:top w:val="single" w:sz="4" w:space="0" w:color="auto"/>
              <w:bottom w:val="single" w:sz="4" w:space="0" w:color="auto"/>
            </w:tcBorders>
            <w:shd w:val="clear" w:color="auto" w:fill="auto"/>
          </w:tcPr>
          <w:p w14:paraId="3EB10DEC" w14:textId="77777777"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Cirrhosis</w:t>
            </w:r>
          </w:p>
          <w:p w14:paraId="296FED6E" w14:textId="3CFBEC0D"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w:t>
            </w:r>
            <w:r w:rsidRPr="00A828B6">
              <w:rPr>
                <w:rFonts w:ascii="Book Antiqua" w:hAnsi="Book Antiqua"/>
                <w:b/>
                <w:bCs/>
                <w:i/>
                <w:sz w:val="24"/>
                <w:szCs w:val="24"/>
                <w:lang w:val="en-US"/>
              </w:rPr>
              <w:t>P</w:t>
            </w:r>
            <w:r w:rsidR="00C86D5C">
              <w:rPr>
                <w:rFonts w:ascii="Book Antiqua" w:hAnsi="Book Antiqua" w:hint="eastAsia"/>
                <w:b/>
                <w:bCs/>
                <w:i/>
                <w:sz w:val="24"/>
                <w:szCs w:val="24"/>
                <w:lang w:val="en-US" w:eastAsia="zh-CN"/>
              </w:rPr>
              <w:t xml:space="preserve"> </w:t>
            </w:r>
            <w:r w:rsidRPr="00A828B6">
              <w:rPr>
                <w:rFonts w:ascii="Book Antiqua" w:hAnsi="Book Antiqua"/>
                <w:b/>
                <w:bCs/>
                <w:sz w:val="24"/>
                <w:szCs w:val="24"/>
                <w:lang w:val="en-US"/>
              </w:rPr>
              <w:t>&gt;</w:t>
            </w:r>
            <w:r w:rsidR="00C86D5C">
              <w:rPr>
                <w:rFonts w:ascii="Book Antiqua" w:hAnsi="Book Antiqua" w:hint="eastAsia"/>
                <w:b/>
                <w:bCs/>
                <w:sz w:val="24"/>
                <w:szCs w:val="24"/>
                <w:lang w:val="en-US" w:eastAsia="zh-CN"/>
              </w:rPr>
              <w:t xml:space="preserve"> </w:t>
            </w:r>
            <w:r w:rsidRPr="00A828B6">
              <w:rPr>
                <w:rFonts w:ascii="Book Antiqua" w:hAnsi="Book Antiqua"/>
                <w:b/>
                <w:bCs/>
                <w:sz w:val="24"/>
                <w:szCs w:val="24"/>
                <w:lang w:val="en-US"/>
              </w:rPr>
              <w:t>0.05)</w:t>
            </w:r>
          </w:p>
        </w:tc>
        <w:tc>
          <w:tcPr>
            <w:tcW w:w="1868" w:type="dxa"/>
            <w:tcBorders>
              <w:top w:val="single" w:sz="4" w:space="0" w:color="auto"/>
              <w:bottom w:val="single" w:sz="4" w:space="0" w:color="auto"/>
            </w:tcBorders>
            <w:shd w:val="clear" w:color="auto" w:fill="auto"/>
          </w:tcPr>
          <w:p w14:paraId="45F44E81" w14:textId="77777777"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HCC</w:t>
            </w:r>
          </w:p>
          <w:p w14:paraId="487497E2" w14:textId="158AC5B6"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w:t>
            </w:r>
            <w:r w:rsidRPr="00A828B6">
              <w:rPr>
                <w:rFonts w:ascii="Book Antiqua" w:hAnsi="Book Antiqua"/>
                <w:b/>
                <w:bCs/>
                <w:i/>
                <w:sz w:val="24"/>
                <w:szCs w:val="24"/>
                <w:lang w:val="en-US"/>
              </w:rPr>
              <w:t>P</w:t>
            </w:r>
            <w:r w:rsidR="00C86D5C">
              <w:rPr>
                <w:rFonts w:ascii="Book Antiqua" w:hAnsi="Book Antiqua" w:hint="eastAsia"/>
                <w:b/>
                <w:bCs/>
                <w:i/>
                <w:sz w:val="24"/>
                <w:szCs w:val="24"/>
                <w:lang w:val="en-US" w:eastAsia="zh-CN"/>
              </w:rPr>
              <w:t xml:space="preserve"> </w:t>
            </w:r>
            <w:r w:rsidRPr="00A828B6">
              <w:rPr>
                <w:rFonts w:ascii="Book Antiqua" w:hAnsi="Book Antiqua"/>
                <w:b/>
                <w:bCs/>
                <w:sz w:val="24"/>
                <w:szCs w:val="24"/>
                <w:lang w:val="en-US"/>
              </w:rPr>
              <w:t>&gt;</w:t>
            </w:r>
            <w:r w:rsidR="00C86D5C">
              <w:rPr>
                <w:rFonts w:ascii="Book Antiqua" w:hAnsi="Book Antiqua" w:hint="eastAsia"/>
                <w:b/>
                <w:bCs/>
                <w:sz w:val="24"/>
                <w:szCs w:val="24"/>
                <w:lang w:val="en-US" w:eastAsia="zh-CN"/>
              </w:rPr>
              <w:t xml:space="preserve"> </w:t>
            </w:r>
            <w:r w:rsidRPr="00A828B6">
              <w:rPr>
                <w:rFonts w:ascii="Book Antiqua" w:hAnsi="Book Antiqua"/>
                <w:b/>
                <w:bCs/>
                <w:sz w:val="24"/>
                <w:szCs w:val="24"/>
                <w:lang w:val="en-US"/>
              </w:rPr>
              <w:t>0.05)</w:t>
            </w:r>
          </w:p>
        </w:tc>
        <w:tc>
          <w:tcPr>
            <w:tcW w:w="1867" w:type="dxa"/>
            <w:tcBorders>
              <w:top w:val="single" w:sz="4" w:space="0" w:color="auto"/>
              <w:bottom w:val="single" w:sz="4" w:space="0" w:color="auto"/>
            </w:tcBorders>
            <w:shd w:val="clear" w:color="auto" w:fill="auto"/>
          </w:tcPr>
          <w:p w14:paraId="3BF39DF5" w14:textId="77777777"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Fundic Varices</w:t>
            </w:r>
          </w:p>
          <w:p w14:paraId="0BFF8637" w14:textId="40AB7364"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w:t>
            </w:r>
            <w:r w:rsidRPr="00A828B6">
              <w:rPr>
                <w:rFonts w:ascii="Book Antiqua" w:hAnsi="Book Antiqua"/>
                <w:b/>
                <w:bCs/>
                <w:i/>
                <w:sz w:val="24"/>
                <w:szCs w:val="24"/>
                <w:lang w:val="en-US"/>
              </w:rPr>
              <w:t>P</w:t>
            </w:r>
            <w:r w:rsidR="00C86D5C">
              <w:rPr>
                <w:rFonts w:ascii="Book Antiqua" w:hAnsi="Book Antiqua" w:hint="eastAsia"/>
                <w:b/>
                <w:bCs/>
                <w:i/>
                <w:sz w:val="24"/>
                <w:szCs w:val="24"/>
                <w:lang w:val="en-US" w:eastAsia="zh-CN"/>
              </w:rPr>
              <w:t xml:space="preserve"> </w:t>
            </w:r>
            <w:r w:rsidRPr="00A828B6">
              <w:rPr>
                <w:rFonts w:ascii="Book Antiqua" w:hAnsi="Book Antiqua"/>
                <w:b/>
                <w:bCs/>
                <w:sz w:val="24"/>
                <w:szCs w:val="24"/>
                <w:lang w:val="en-US"/>
              </w:rPr>
              <w:t>&lt;</w:t>
            </w:r>
            <w:r w:rsidR="00C86D5C">
              <w:rPr>
                <w:rFonts w:ascii="Book Antiqua" w:hAnsi="Book Antiqua" w:hint="eastAsia"/>
                <w:b/>
                <w:bCs/>
                <w:sz w:val="24"/>
                <w:szCs w:val="24"/>
                <w:lang w:val="en-US" w:eastAsia="zh-CN"/>
              </w:rPr>
              <w:t xml:space="preserve"> </w:t>
            </w:r>
            <w:r w:rsidRPr="00A828B6">
              <w:rPr>
                <w:rFonts w:ascii="Book Antiqua" w:hAnsi="Book Antiqua"/>
                <w:b/>
                <w:bCs/>
                <w:sz w:val="24"/>
                <w:szCs w:val="24"/>
                <w:lang w:val="en-US"/>
              </w:rPr>
              <w:t>0.0001)</w:t>
            </w:r>
          </w:p>
        </w:tc>
        <w:tc>
          <w:tcPr>
            <w:tcW w:w="1868" w:type="dxa"/>
            <w:tcBorders>
              <w:top w:val="single" w:sz="4" w:space="0" w:color="auto"/>
              <w:bottom w:val="single" w:sz="4" w:space="0" w:color="auto"/>
            </w:tcBorders>
            <w:shd w:val="clear" w:color="auto" w:fill="auto"/>
          </w:tcPr>
          <w:p w14:paraId="64CCA706" w14:textId="16817F72"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 xml:space="preserve">Mortality </w:t>
            </w:r>
            <w:r w:rsidR="002E1340" w:rsidRPr="00A828B6">
              <w:rPr>
                <w:rFonts w:ascii="Book Antiqua" w:hAnsi="Book Antiqua"/>
                <w:b/>
                <w:bCs/>
                <w:sz w:val="24"/>
                <w:szCs w:val="24"/>
                <w:lang w:val="en-US"/>
              </w:rPr>
              <w:t>rate</w:t>
            </w:r>
          </w:p>
          <w:p w14:paraId="1A30701E" w14:textId="60F86831" w:rsidR="001E2AC3" w:rsidRPr="00A828B6" w:rsidRDefault="001E2AC3" w:rsidP="001A5A01">
            <w:pPr>
              <w:spacing w:after="0" w:line="360" w:lineRule="auto"/>
              <w:jc w:val="both"/>
              <w:rPr>
                <w:rFonts w:ascii="Book Antiqua" w:hAnsi="Book Antiqua"/>
                <w:b/>
                <w:bCs/>
                <w:sz w:val="24"/>
                <w:szCs w:val="24"/>
                <w:lang w:val="en-US"/>
              </w:rPr>
            </w:pPr>
            <w:r w:rsidRPr="00A828B6">
              <w:rPr>
                <w:rFonts w:ascii="Book Antiqua" w:hAnsi="Book Antiqua"/>
                <w:b/>
                <w:bCs/>
                <w:sz w:val="24"/>
                <w:szCs w:val="24"/>
                <w:lang w:val="en-US"/>
              </w:rPr>
              <w:t>(</w:t>
            </w:r>
            <w:r w:rsidRPr="00A828B6">
              <w:rPr>
                <w:rFonts w:ascii="Book Antiqua" w:hAnsi="Book Antiqua"/>
                <w:b/>
                <w:bCs/>
                <w:i/>
                <w:sz w:val="24"/>
                <w:szCs w:val="24"/>
                <w:lang w:val="en-US"/>
              </w:rPr>
              <w:t>P</w:t>
            </w:r>
            <w:r w:rsidR="00C86D5C">
              <w:rPr>
                <w:rFonts w:ascii="Book Antiqua" w:hAnsi="Book Antiqua" w:hint="eastAsia"/>
                <w:b/>
                <w:bCs/>
                <w:sz w:val="24"/>
                <w:szCs w:val="24"/>
                <w:lang w:val="en-US" w:eastAsia="zh-CN"/>
              </w:rPr>
              <w:t xml:space="preserve"> = </w:t>
            </w:r>
            <w:r w:rsidRPr="00A828B6">
              <w:rPr>
                <w:rFonts w:ascii="Book Antiqua" w:hAnsi="Book Antiqua"/>
                <w:b/>
                <w:bCs/>
                <w:sz w:val="24"/>
                <w:szCs w:val="24"/>
                <w:lang w:val="en-US"/>
              </w:rPr>
              <w:t>0.057)</w:t>
            </w:r>
          </w:p>
        </w:tc>
      </w:tr>
      <w:tr w:rsidR="00C86D5C" w:rsidRPr="00A828B6" w14:paraId="6724B3CD" w14:textId="77777777" w:rsidTr="00C86D5C">
        <w:tc>
          <w:tcPr>
            <w:tcW w:w="1080" w:type="dxa"/>
            <w:tcBorders>
              <w:top w:val="single" w:sz="4" w:space="0" w:color="auto"/>
            </w:tcBorders>
            <w:shd w:val="clear" w:color="auto" w:fill="auto"/>
          </w:tcPr>
          <w:p w14:paraId="614A655D" w14:textId="77777777" w:rsidR="001E2AC3" w:rsidRPr="00C86D5C" w:rsidRDefault="001E2AC3" w:rsidP="001A5A01">
            <w:pPr>
              <w:spacing w:after="0" w:line="360" w:lineRule="auto"/>
              <w:jc w:val="both"/>
              <w:rPr>
                <w:rFonts w:ascii="Book Antiqua" w:hAnsi="Book Antiqua"/>
                <w:bCs/>
                <w:sz w:val="24"/>
                <w:szCs w:val="24"/>
                <w:lang w:val="en-US"/>
              </w:rPr>
            </w:pPr>
            <w:r w:rsidRPr="00C86D5C">
              <w:rPr>
                <w:rFonts w:ascii="Book Antiqua" w:hAnsi="Book Antiqua"/>
                <w:bCs/>
                <w:sz w:val="24"/>
                <w:szCs w:val="24"/>
                <w:lang w:val="en-US"/>
              </w:rPr>
              <w:t>PVT (+)</w:t>
            </w:r>
          </w:p>
        </w:tc>
        <w:tc>
          <w:tcPr>
            <w:tcW w:w="1867" w:type="dxa"/>
            <w:tcBorders>
              <w:top w:val="single" w:sz="4" w:space="0" w:color="auto"/>
            </w:tcBorders>
            <w:shd w:val="clear" w:color="auto" w:fill="auto"/>
          </w:tcPr>
          <w:p w14:paraId="7E1F887C"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86%</w:t>
            </w:r>
          </w:p>
          <w:p w14:paraId="1AC3E5E0"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(93 patients)</w:t>
            </w:r>
          </w:p>
        </w:tc>
        <w:tc>
          <w:tcPr>
            <w:tcW w:w="1868" w:type="dxa"/>
            <w:tcBorders>
              <w:top w:val="single" w:sz="4" w:space="0" w:color="auto"/>
            </w:tcBorders>
            <w:shd w:val="clear" w:color="auto" w:fill="auto"/>
          </w:tcPr>
          <w:p w14:paraId="68567A58"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13%</w:t>
            </w:r>
          </w:p>
          <w:p w14:paraId="58A0761B"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(14 patients)</w:t>
            </w:r>
          </w:p>
        </w:tc>
        <w:tc>
          <w:tcPr>
            <w:tcW w:w="1867" w:type="dxa"/>
            <w:tcBorders>
              <w:top w:val="single" w:sz="4" w:space="0" w:color="auto"/>
            </w:tcBorders>
            <w:shd w:val="clear" w:color="auto" w:fill="auto"/>
          </w:tcPr>
          <w:p w14:paraId="1EDFD87B" w14:textId="65339589" w:rsidR="001E2AC3" w:rsidRPr="00A828B6" w:rsidRDefault="001E2AC3" w:rsidP="001A5A01">
            <w:pPr>
              <w:spacing w:after="0" w:line="360" w:lineRule="auto"/>
              <w:jc w:val="both"/>
              <w:rPr>
                <w:rFonts w:ascii="Book Antiqua" w:hAnsi="Book Antiqua"/>
                <w:bCs/>
                <w:sz w:val="24"/>
                <w:szCs w:val="24"/>
                <w:lang w:val="en-US" w:eastAsia="zh-CN"/>
              </w:rPr>
            </w:pPr>
            <w:r w:rsidRPr="00A828B6">
              <w:rPr>
                <w:rFonts w:ascii="Book Antiqua" w:hAnsi="Book Antiqua"/>
                <w:bCs/>
                <w:sz w:val="24"/>
                <w:szCs w:val="24"/>
                <w:lang w:val="en-US"/>
              </w:rPr>
              <w:t>61%</w:t>
            </w:r>
            <w:r w:rsidR="00C86D5C">
              <w:rPr>
                <w:rFonts w:ascii="Book Antiqua" w:hAnsi="Book Antiqua" w:hint="eastAsia"/>
                <w:bCs/>
                <w:sz w:val="24"/>
                <w:szCs w:val="24"/>
                <w:vertAlign w:val="superscript"/>
                <w:lang w:val="en-US" w:eastAsia="zh-CN"/>
              </w:rPr>
              <w:t>a</w:t>
            </w:r>
          </w:p>
          <w:p w14:paraId="0C80A507"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(66 patients)</w:t>
            </w:r>
          </w:p>
        </w:tc>
        <w:tc>
          <w:tcPr>
            <w:tcW w:w="1868" w:type="dxa"/>
            <w:tcBorders>
              <w:top w:val="single" w:sz="4" w:space="0" w:color="auto"/>
            </w:tcBorders>
            <w:shd w:val="clear" w:color="auto" w:fill="auto"/>
          </w:tcPr>
          <w:p w14:paraId="3E47B5D1"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36.1%</w:t>
            </w:r>
          </w:p>
          <w:p w14:paraId="6016D636"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(39 patients)</w:t>
            </w:r>
          </w:p>
        </w:tc>
      </w:tr>
      <w:tr w:rsidR="00C86D5C" w:rsidRPr="00A828B6" w14:paraId="2F557B2F" w14:textId="77777777" w:rsidTr="00C86D5C">
        <w:tc>
          <w:tcPr>
            <w:tcW w:w="1080" w:type="dxa"/>
            <w:shd w:val="clear" w:color="auto" w:fill="auto"/>
          </w:tcPr>
          <w:p w14:paraId="0612A5AE" w14:textId="77777777" w:rsidR="001E2AC3" w:rsidRPr="00C86D5C" w:rsidRDefault="001E2AC3" w:rsidP="001A5A01">
            <w:pPr>
              <w:spacing w:after="0" w:line="360" w:lineRule="auto"/>
              <w:jc w:val="both"/>
              <w:rPr>
                <w:rFonts w:ascii="Book Antiqua" w:hAnsi="Book Antiqua"/>
                <w:bCs/>
                <w:sz w:val="24"/>
                <w:szCs w:val="24"/>
                <w:lang w:val="en-US"/>
              </w:rPr>
            </w:pPr>
            <w:r w:rsidRPr="00C86D5C">
              <w:rPr>
                <w:rFonts w:ascii="Book Antiqua" w:hAnsi="Book Antiqua"/>
                <w:bCs/>
                <w:sz w:val="24"/>
                <w:szCs w:val="24"/>
                <w:lang w:val="en-US"/>
              </w:rPr>
              <w:t>PVT (–)</w:t>
            </w:r>
          </w:p>
        </w:tc>
        <w:tc>
          <w:tcPr>
            <w:tcW w:w="1867" w:type="dxa"/>
            <w:shd w:val="clear" w:color="auto" w:fill="auto"/>
          </w:tcPr>
          <w:p w14:paraId="146AAE66"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91%</w:t>
            </w:r>
          </w:p>
          <w:p w14:paraId="5BB13CA5"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(137 patients)</w:t>
            </w:r>
          </w:p>
        </w:tc>
        <w:tc>
          <w:tcPr>
            <w:tcW w:w="1868" w:type="dxa"/>
            <w:shd w:val="clear" w:color="auto" w:fill="auto"/>
          </w:tcPr>
          <w:p w14:paraId="39706B9F"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16%</w:t>
            </w:r>
          </w:p>
          <w:p w14:paraId="28DD78E5"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(24 patients)</w:t>
            </w:r>
          </w:p>
        </w:tc>
        <w:tc>
          <w:tcPr>
            <w:tcW w:w="1867" w:type="dxa"/>
            <w:shd w:val="clear" w:color="auto" w:fill="auto"/>
          </w:tcPr>
          <w:p w14:paraId="5373C3A1"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33%</w:t>
            </w:r>
          </w:p>
          <w:p w14:paraId="1B24DA8C"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(50 patients)</w:t>
            </w:r>
          </w:p>
        </w:tc>
        <w:tc>
          <w:tcPr>
            <w:tcW w:w="1868" w:type="dxa"/>
            <w:shd w:val="clear" w:color="auto" w:fill="auto"/>
          </w:tcPr>
          <w:p w14:paraId="6FE0E547"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48.0%</w:t>
            </w:r>
          </w:p>
          <w:p w14:paraId="21C8CC61"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(72 patients)</w:t>
            </w:r>
          </w:p>
        </w:tc>
      </w:tr>
    </w:tbl>
    <w:p w14:paraId="7D637AA9" w14:textId="06FC8FBA" w:rsidR="00817951" w:rsidRPr="00A828B6" w:rsidRDefault="00C86D5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 xml:space="preserve">The incidence of portal vein thrombosis (PVT) in patients with cirrhosis, hepatocellular cancer (HCC) and fundic varices are shown. Also reported is the relationship between PVT and the mortality rate. Each of these pathologies and mortality rate was compared in patients with and without PVT. </w:t>
      </w:r>
      <w:proofErr w:type="gramStart"/>
      <w:r>
        <w:rPr>
          <w:rFonts w:ascii="Book Antiqua" w:hAnsi="Book Antiqua" w:hint="eastAsia"/>
          <w:bCs/>
          <w:sz w:val="24"/>
          <w:szCs w:val="24"/>
          <w:vertAlign w:val="superscript"/>
          <w:lang w:val="en-US" w:eastAsia="zh-CN"/>
        </w:rPr>
        <w:t>a</w:t>
      </w:r>
      <w:r w:rsidRPr="00A828B6">
        <w:rPr>
          <w:rFonts w:ascii="Book Antiqua" w:hAnsi="Book Antiqua"/>
          <w:bCs/>
          <w:i/>
          <w:sz w:val="24"/>
          <w:szCs w:val="24"/>
          <w:lang w:val="en-US"/>
        </w:rPr>
        <w:t>P</w:t>
      </w:r>
      <w:proofErr w:type="gramEnd"/>
      <w:r>
        <w:rPr>
          <w:rFonts w:ascii="Book Antiqua" w:hAnsi="Book Antiqua" w:hint="eastAsia"/>
          <w:bCs/>
          <w:i/>
          <w:sz w:val="24"/>
          <w:szCs w:val="24"/>
          <w:lang w:val="en-US" w:eastAsia="zh-CN"/>
        </w:rPr>
        <w:t xml:space="preserve"> </w:t>
      </w:r>
      <w:r w:rsidRPr="00A828B6">
        <w:rPr>
          <w:rFonts w:ascii="Book Antiqua" w:hAnsi="Book Antiqua"/>
          <w:bCs/>
          <w:sz w:val="24"/>
          <w:szCs w:val="24"/>
          <w:lang w:val="en-US"/>
        </w:rPr>
        <w:t xml:space="preserve">&lt; 0.0001 in the presence </w:t>
      </w:r>
      <w:r w:rsidRPr="00C86D5C">
        <w:rPr>
          <w:rFonts w:ascii="Book Antiqua" w:hAnsi="Book Antiqua"/>
          <w:bCs/>
          <w:i/>
          <w:sz w:val="24"/>
          <w:szCs w:val="24"/>
          <w:lang w:val="en-US"/>
        </w:rPr>
        <w:t>vs</w:t>
      </w:r>
      <w:r w:rsidRPr="00A828B6">
        <w:rPr>
          <w:rFonts w:ascii="Book Antiqua" w:hAnsi="Book Antiqua"/>
          <w:bCs/>
          <w:sz w:val="24"/>
          <w:szCs w:val="24"/>
          <w:lang w:val="en-US"/>
        </w:rPr>
        <w:t xml:space="preserve"> absence of PVT.</w:t>
      </w:r>
    </w:p>
    <w:p w14:paraId="174DF1D5" w14:textId="77777777" w:rsidR="00817951" w:rsidRPr="00A828B6" w:rsidRDefault="00817951" w:rsidP="001A5A01">
      <w:pPr>
        <w:spacing w:after="0" w:line="240" w:lineRule="auto"/>
        <w:jc w:val="both"/>
        <w:rPr>
          <w:rFonts w:ascii="Book Antiqua" w:hAnsi="Book Antiqua"/>
          <w:bCs/>
          <w:sz w:val="24"/>
          <w:szCs w:val="24"/>
          <w:lang w:val="en-US"/>
        </w:rPr>
      </w:pPr>
      <w:r w:rsidRPr="00A828B6">
        <w:rPr>
          <w:rFonts w:ascii="Book Antiqua" w:hAnsi="Book Antiqua"/>
          <w:bCs/>
          <w:sz w:val="24"/>
          <w:szCs w:val="24"/>
          <w:lang w:val="en-US"/>
        </w:rPr>
        <w:br w:type="page"/>
      </w:r>
    </w:p>
    <w:p w14:paraId="6C659543" w14:textId="5A61B5D9" w:rsidR="001E2AC3" w:rsidRPr="00C86D5C" w:rsidRDefault="00C86D5C" w:rsidP="001A5A01">
      <w:pPr>
        <w:spacing w:after="0" w:line="360" w:lineRule="auto"/>
        <w:jc w:val="both"/>
        <w:rPr>
          <w:rFonts w:ascii="Book Antiqua" w:hAnsi="Book Antiqua"/>
          <w:b/>
          <w:bCs/>
          <w:sz w:val="24"/>
          <w:szCs w:val="24"/>
          <w:lang w:val="en-US"/>
        </w:rPr>
      </w:pPr>
      <w:r w:rsidRPr="00C86D5C">
        <w:rPr>
          <w:rFonts w:ascii="Book Antiqua" w:hAnsi="Book Antiqua"/>
          <w:b/>
          <w:bCs/>
          <w:sz w:val="24"/>
          <w:szCs w:val="24"/>
          <w:lang w:val="en-US"/>
        </w:rPr>
        <w:lastRenderedPageBreak/>
        <w:t>Table 4</w:t>
      </w:r>
      <w:r w:rsidR="001E2AC3" w:rsidRPr="00C86D5C">
        <w:rPr>
          <w:rFonts w:ascii="Book Antiqua" w:hAnsi="Book Antiqua"/>
          <w:b/>
          <w:bCs/>
          <w:sz w:val="24"/>
          <w:szCs w:val="24"/>
          <w:lang w:val="en-US"/>
        </w:rPr>
        <w:t xml:space="preserve"> </w:t>
      </w:r>
      <w:r w:rsidRPr="00C86D5C">
        <w:rPr>
          <w:rFonts w:ascii="Book Antiqua" w:hAnsi="Book Antiqua"/>
          <w:b/>
          <w:bCs/>
          <w:sz w:val="24"/>
          <w:szCs w:val="24"/>
          <w:lang w:val="en-US"/>
        </w:rPr>
        <w:t xml:space="preserve">Relationship </w:t>
      </w:r>
      <w:r w:rsidR="001E2AC3" w:rsidRPr="00C86D5C">
        <w:rPr>
          <w:rFonts w:ascii="Book Antiqua" w:hAnsi="Book Antiqua"/>
          <w:b/>
          <w:bCs/>
          <w:sz w:val="24"/>
          <w:szCs w:val="24"/>
          <w:lang w:val="en-US"/>
        </w:rPr>
        <w:t xml:space="preserve">among fundic varices, cirrhosis, </w:t>
      </w:r>
      <w:r w:rsidR="00D738B1" w:rsidRPr="00D738B1">
        <w:rPr>
          <w:rFonts w:ascii="Book Antiqua" w:hAnsi="Book Antiqua"/>
          <w:b/>
          <w:bCs/>
          <w:sz w:val="24"/>
          <w:szCs w:val="24"/>
          <w:lang w:val="en-US"/>
        </w:rPr>
        <w:t>hepatocellular cancer</w:t>
      </w:r>
      <w:r w:rsidR="001E2AC3" w:rsidRPr="00C86D5C">
        <w:rPr>
          <w:rFonts w:ascii="Book Antiqua" w:hAnsi="Book Antiqua"/>
          <w:b/>
          <w:bCs/>
          <w:sz w:val="24"/>
          <w:szCs w:val="24"/>
          <w:lang w:val="en-US"/>
        </w:rPr>
        <w:t>, and mortality rate</w:t>
      </w:r>
    </w:p>
    <w:tbl>
      <w:tblPr>
        <w:tblW w:w="8010" w:type="dxa"/>
        <w:tblInd w:w="108" w:type="dxa"/>
        <w:tblBorders>
          <w:top w:val="single" w:sz="4" w:space="0" w:color="auto"/>
          <w:bottom w:val="single" w:sz="4" w:space="0" w:color="auto"/>
        </w:tblBorders>
        <w:tblLook w:val="04A0" w:firstRow="1" w:lastRow="0" w:firstColumn="1" w:lastColumn="0" w:noHBand="0" w:noVBand="1"/>
      </w:tblPr>
      <w:tblGrid>
        <w:gridCol w:w="1800"/>
        <w:gridCol w:w="1800"/>
        <w:gridCol w:w="1800"/>
        <w:gridCol w:w="2610"/>
      </w:tblGrid>
      <w:tr w:rsidR="00C86D5C" w:rsidRPr="00C86D5C" w14:paraId="26E8CD9E" w14:textId="77777777" w:rsidTr="00C86D5C">
        <w:tc>
          <w:tcPr>
            <w:tcW w:w="1800" w:type="dxa"/>
            <w:tcBorders>
              <w:top w:val="single" w:sz="4" w:space="0" w:color="auto"/>
              <w:bottom w:val="single" w:sz="4" w:space="0" w:color="auto"/>
            </w:tcBorders>
            <w:shd w:val="clear" w:color="auto" w:fill="auto"/>
          </w:tcPr>
          <w:p w14:paraId="101C0C86" w14:textId="77777777" w:rsidR="001E2AC3" w:rsidRPr="00C86D5C" w:rsidRDefault="001E2AC3" w:rsidP="001A5A01">
            <w:pPr>
              <w:spacing w:after="0" w:line="360" w:lineRule="auto"/>
              <w:jc w:val="both"/>
              <w:rPr>
                <w:rFonts w:ascii="Book Antiqua" w:hAnsi="Book Antiqua"/>
                <w:b/>
                <w:bCs/>
                <w:sz w:val="24"/>
                <w:szCs w:val="24"/>
                <w:lang w:val="en-US"/>
              </w:rPr>
            </w:pPr>
            <w:r w:rsidRPr="00C86D5C">
              <w:rPr>
                <w:rFonts w:ascii="Book Antiqua" w:hAnsi="Book Antiqua"/>
                <w:b/>
                <w:bCs/>
                <w:sz w:val="24"/>
                <w:szCs w:val="24"/>
                <w:lang w:val="en-US"/>
              </w:rPr>
              <w:t>Fundic Varices</w:t>
            </w:r>
          </w:p>
        </w:tc>
        <w:tc>
          <w:tcPr>
            <w:tcW w:w="1800" w:type="dxa"/>
            <w:tcBorders>
              <w:top w:val="single" w:sz="4" w:space="0" w:color="auto"/>
              <w:bottom w:val="single" w:sz="4" w:space="0" w:color="auto"/>
            </w:tcBorders>
            <w:shd w:val="clear" w:color="auto" w:fill="auto"/>
          </w:tcPr>
          <w:p w14:paraId="1F193AC9" w14:textId="77777777" w:rsidR="001E2AC3" w:rsidRPr="00C86D5C" w:rsidRDefault="001E2AC3" w:rsidP="001A5A01">
            <w:pPr>
              <w:spacing w:after="0" w:line="360" w:lineRule="auto"/>
              <w:jc w:val="both"/>
              <w:rPr>
                <w:rFonts w:ascii="Book Antiqua" w:hAnsi="Book Antiqua"/>
                <w:b/>
                <w:bCs/>
                <w:sz w:val="24"/>
                <w:szCs w:val="24"/>
                <w:lang w:val="en-US"/>
              </w:rPr>
            </w:pPr>
            <w:r w:rsidRPr="00C86D5C">
              <w:rPr>
                <w:rFonts w:ascii="Book Antiqua" w:hAnsi="Book Antiqua"/>
                <w:b/>
                <w:bCs/>
                <w:sz w:val="24"/>
                <w:szCs w:val="24"/>
                <w:lang w:val="en-US"/>
              </w:rPr>
              <w:t>Cirrhosis</w:t>
            </w:r>
          </w:p>
        </w:tc>
        <w:tc>
          <w:tcPr>
            <w:tcW w:w="1800" w:type="dxa"/>
            <w:tcBorders>
              <w:top w:val="single" w:sz="4" w:space="0" w:color="auto"/>
              <w:bottom w:val="single" w:sz="4" w:space="0" w:color="auto"/>
            </w:tcBorders>
            <w:shd w:val="clear" w:color="auto" w:fill="auto"/>
          </w:tcPr>
          <w:p w14:paraId="25F0FD26" w14:textId="77777777" w:rsidR="001E2AC3" w:rsidRPr="00C86D5C" w:rsidRDefault="001E2AC3" w:rsidP="001A5A01">
            <w:pPr>
              <w:spacing w:after="0" w:line="360" w:lineRule="auto"/>
              <w:jc w:val="both"/>
              <w:rPr>
                <w:rFonts w:ascii="Book Antiqua" w:hAnsi="Book Antiqua"/>
                <w:b/>
                <w:bCs/>
                <w:sz w:val="24"/>
                <w:szCs w:val="24"/>
                <w:lang w:val="en-US"/>
              </w:rPr>
            </w:pPr>
            <w:r w:rsidRPr="00C86D5C">
              <w:rPr>
                <w:rFonts w:ascii="Book Antiqua" w:hAnsi="Book Antiqua"/>
                <w:b/>
                <w:bCs/>
                <w:sz w:val="24"/>
                <w:szCs w:val="24"/>
                <w:lang w:val="en-US"/>
              </w:rPr>
              <w:t>HCC</w:t>
            </w:r>
          </w:p>
        </w:tc>
        <w:tc>
          <w:tcPr>
            <w:tcW w:w="2610" w:type="dxa"/>
            <w:tcBorders>
              <w:top w:val="single" w:sz="4" w:space="0" w:color="auto"/>
              <w:bottom w:val="single" w:sz="4" w:space="0" w:color="auto"/>
            </w:tcBorders>
            <w:shd w:val="clear" w:color="auto" w:fill="auto"/>
          </w:tcPr>
          <w:p w14:paraId="292C6343" w14:textId="77777777" w:rsidR="001E2AC3" w:rsidRPr="00C86D5C" w:rsidRDefault="001E2AC3" w:rsidP="001A5A01">
            <w:pPr>
              <w:spacing w:after="0" w:line="360" w:lineRule="auto"/>
              <w:jc w:val="both"/>
              <w:rPr>
                <w:rFonts w:ascii="Book Antiqua" w:hAnsi="Book Antiqua"/>
                <w:b/>
                <w:bCs/>
                <w:sz w:val="24"/>
                <w:szCs w:val="24"/>
                <w:lang w:val="en-US"/>
              </w:rPr>
            </w:pPr>
            <w:r w:rsidRPr="00C86D5C">
              <w:rPr>
                <w:rFonts w:ascii="Book Antiqua" w:hAnsi="Book Antiqua"/>
                <w:b/>
                <w:bCs/>
                <w:sz w:val="24"/>
                <w:szCs w:val="24"/>
                <w:lang w:val="en-US"/>
              </w:rPr>
              <w:t>Mortality Rate</w:t>
            </w:r>
          </w:p>
        </w:tc>
      </w:tr>
      <w:tr w:rsidR="00C86D5C" w:rsidRPr="00A828B6" w14:paraId="5ADB58AC" w14:textId="77777777" w:rsidTr="00C86D5C">
        <w:tc>
          <w:tcPr>
            <w:tcW w:w="1800" w:type="dxa"/>
            <w:vMerge w:val="restart"/>
            <w:tcBorders>
              <w:top w:val="single" w:sz="4" w:space="0" w:color="auto"/>
            </w:tcBorders>
            <w:shd w:val="clear" w:color="auto" w:fill="auto"/>
          </w:tcPr>
          <w:p w14:paraId="4C24FCCA" w14:textId="72AC3DBE" w:rsidR="001E2AC3" w:rsidRPr="00A828B6" w:rsidRDefault="00C86D5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Yes</w:t>
            </w:r>
          </w:p>
        </w:tc>
        <w:tc>
          <w:tcPr>
            <w:tcW w:w="1800" w:type="dxa"/>
            <w:vMerge w:val="restart"/>
            <w:tcBorders>
              <w:top w:val="single" w:sz="4" w:space="0" w:color="auto"/>
            </w:tcBorders>
            <w:shd w:val="clear" w:color="auto" w:fill="auto"/>
          </w:tcPr>
          <w:p w14:paraId="4202BBC8" w14:textId="55EB820B" w:rsidR="001E2AC3" w:rsidRPr="00A828B6" w:rsidRDefault="00C86D5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Yes</w:t>
            </w:r>
          </w:p>
        </w:tc>
        <w:tc>
          <w:tcPr>
            <w:tcW w:w="1800" w:type="dxa"/>
            <w:tcBorders>
              <w:top w:val="single" w:sz="4" w:space="0" w:color="auto"/>
            </w:tcBorders>
            <w:shd w:val="clear" w:color="auto" w:fill="auto"/>
          </w:tcPr>
          <w:p w14:paraId="7DEABECB" w14:textId="6B6FDE6B" w:rsidR="001E2AC3" w:rsidRPr="00A828B6" w:rsidRDefault="00C86D5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Yes</w:t>
            </w:r>
          </w:p>
        </w:tc>
        <w:tc>
          <w:tcPr>
            <w:tcW w:w="2610" w:type="dxa"/>
            <w:tcBorders>
              <w:top w:val="single" w:sz="4" w:space="0" w:color="auto"/>
            </w:tcBorders>
            <w:shd w:val="clear" w:color="auto" w:fill="auto"/>
          </w:tcPr>
          <w:p w14:paraId="31A67B77"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70.6%</w:t>
            </w:r>
          </w:p>
        </w:tc>
      </w:tr>
      <w:tr w:rsidR="00C86D5C" w:rsidRPr="00A828B6" w14:paraId="3900727B" w14:textId="77777777" w:rsidTr="00C86D5C">
        <w:tc>
          <w:tcPr>
            <w:tcW w:w="1800" w:type="dxa"/>
            <w:vMerge/>
            <w:shd w:val="clear" w:color="auto" w:fill="auto"/>
          </w:tcPr>
          <w:p w14:paraId="2BE5B386" w14:textId="77777777" w:rsidR="001E2AC3" w:rsidRPr="00A828B6" w:rsidRDefault="001E2AC3" w:rsidP="001A5A01">
            <w:pPr>
              <w:spacing w:after="0" w:line="360" w:lineRule="auto"/>
              <w:jc w:val="both"/>
              <w:rPr>
                <w:rFonts w:ascii="Book Antiqua" w:hAnsi="Book Antiqua"/>
                <w:bCs/>
                <w:sz w:val="24"/>
                <w:szCs w:val="24"/>
                <w:lang w:val="en-US"/>
              </w:rPr>
            </w:pPr>
          </w:p>
        </w:tc>
        <w:tc>
          <w:tcPr>
            <w:tcW w:w="1800" w:type="dxa"/>
            <w:vMerge/>
            <w:shd w:val="clear" w:color="auto" w:fill="auto"/>
          </w:tcPr>
          <w:p w14:paraId="2624EAE1" w14:textId="77777777" w:rsidR="001E2AC3" w:rsidRPr="00A828B6" w:rsidRDefault="001E2AC3" w:rsidP="001A5A01">
            <w:pPr>
              <w:spacing w:after="0" w:line="360" w:lineRule="auto"/>
              <w:jc w:val="both"/>
              <w:rPr>
                <w:rFonts w:ascii="Book Antiqua" w:hAnsi="Book Antiqua"/>
                <w:bCs/>
                <w:sz w:val="24"/>
                <w:szCs w:val="24"/>
                <w:lang w:val="en-US"/>
              </w:rPr>
            </w:pPr>
          </w:p>
        </w:tc>
        <w:tc>
          <w:tcPr>
            <w:tcW w:w="1800" w:type="dxa"/>
            <w:shd w:val="clear" w:color="auto" w:fill="auto"/>
          </w:tcPr>
          <w:p w14:paraId="7153935A" w14:textId="54350589" w:rsidR="001E2AC3" w:rsidRPr="00A828B6" w:rsidRDefault="00C86D5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No</w:t>
            </w:r>
          </w:p>
        </w:tc>
        <w:tc>
          <w:tcPr>
            <w:tcW w:w="2610" w:type="dxa"/>
            <w:shd w:val="clear" w:color="auto" w:fill="auto"/>
          </w:tcPr>
          <w:p w14:paraId="2E48C6D4"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28.6%</w:t>
            </w:r>
          </w:p>
        </w:tc>
      </w:tr>
      <w:tr w:rsidR="00C86D5C" w:rsidRPr="00A828B6" w14:paraId="558D30AF" w14:textId="77777777" w:rsidTr="00C86D5C">
        <w:tc>
          <w:tcPr>
            <w:tcW w:w="1800" w:type="dxa"/>
            <w:vMerge/>
            <w:shd w:val="clear" w:color="auto" w:fill="auto"/>
          </w:tcPr>
          <w:p w14:paraId="6134ACC0" w14:textId="77777777" w:rsidR="001E2AC3" w:rsidRPr="00A828B6" w:rsidRDefault="001E2AC3" w:rsidP="001A5A01">
            <w:pPr>
              <w:spacing w:after="0" w:line="360" w:lineRule="auto"/>
              <w:jc w:val="both"/>
              <w:rPr>
                <w:rFonts w:ascii="Book Antiqua" w:hAnsi="Book Antiqua"/>
                <w:bCs/>
                <w:sz w:val="24"/>
                <w:szCs w:val="24"/>
                <w:lang w:val="en-US"/>
              </w:rPr>
            </w:pPr>
          </w:p>
        </w:tc>
        <w:tc>
          <w:tcPr>
            <w:tcW w:w="1800" w:type="dxa"/>
            <w:vMerge w:val="restart"/>
            <w:shd w:val="clear" w:color="auto" w:fill="auto"/>
          </w:tcPr>
          <w:p w14:paraId="3CD43A4F" w14:textId="6907B050" w:rsidR="001E2AC3" w:rsidRPr="00A828B6" w:rsidRDefault="00C86D5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No</w:t>
            </w:r>
          </w:p>
        </w:tc>
        <w:tc>
          <w:tcPr>
            <w:tcW w:w="1800" w:type="dxa"/>
            <w:shd w:val="clear" w:color="auto" w:fill="auto"/>
          </w:tcPr>
          <w:p w14:paraId="34CDCC81" w14:textId="1CAF3B82" w:rsidR="001E2AC3" w:rsidRPr="00A828B6" w:rsidRDefault="00C86D5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Yes</w:t>
            </w:r>
          </w:p>
        </w:tc>
        <w:tc>
          <w:tcPr>
            <w:tcW w:w="2610" w:type="dxa"/>
            <w:shd w:val="clear" w:color="auto" w:fill="auto"/>
          </w:tcPr>
          <w:p w14:paraId="562B489A"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100%</w:t>
            </w:r>
          </w:p>
        </w:tc>
      </w:tr>
      <w:tr w:rsidR="00C86D5C" w:rsidRPr="00A828B6" w14:paraId="0C016F60" w14:textId="77777777" w:rsidTr="00C86D5C">
        <w:tc>
          <w:tcPr>
            <w:tcW w:w="1800" w:type="dxa"/>
            <w:vMerge/>
            <w:shd w:val="clear" w:color="auto" w:fill="auto"/>
          </w:tcPr>
          <w:p w14:paraId="24918344" w14:textId="77777777" w:rsidR="001E2AC3" w:rsidRPr="00A828B6" w:rsidRDefault="001E2AC3" w:rsidP="001A5A01">
            <w:pPr>
              <w:spacing w:after="0" w:line="360" w:lineRule="auto"/>
              <w:jc w:val="both"/>
              <w:rPr>
                <w:rFonts w:ascii="Book Antiqua" w:hAnsi="Book Antiqua"/>
                <w:bCs/>
                <w:sz w:val="24"/>
                <w:szCs w:val="24"/>
                <w:lang w:val="en-US"/>
              </w:rPr>
            </w:pPr>
          </w:p>
        </w:tc>
        <w:tc>
          <w:tcPr>
            <w:tcW w:w="1800" w:type="dxa"/>
            <w:vMerge/>
            <w:shd w:val="clear" w:color="auto" w:fill="auto"/>
          </w:tcPr>
          <w:p w14:paraId="7D658B6F" w14:textId="77777777" w:rsidR="001E2AC3" w:rsidRPr="00A828B6" w:rsidRDefault="001E2AC3" w:rsidP="001A5A01">
            <w:pPr>
              <w:spacing w:after="0" w:line="360" w:lineRule="auto"/>
              <w:jc w:val="both"/>
              <w:rPr>
                <w:rFonts w:ascii="Book Antiqua" w:hAnsi="Book Antiqua"/>
                <w:bCs/>
                <w:sz w:val="24"/>
                <w:szCs w:val="24"/>
                <w:lang w:val="en-US"/>
              </w:rPr>
            </w:pPr>
          </w:p>
        </w:tc>
        <w:tc>
          <w:tcPr>
            <w:tcW w:w="1800" w:type="dxa"/>
            <w:shd w:val="clear" w:color="auto" w:fill="auto"/>
          </w:tcPr>
          <w:p w14:paraId="3BA32952" w14:textId="265DADBA" w:rsidR="001E2AC3" w:rsidRPr="00A828B6" w:rsidRDefault="00C86D5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No</w:t>
            </w:r>
          </w:p>
        </w:tc>
        <w:tc>
          <w:tcPr>
            <w:tcW w:w="2610" w:type="dxa"/>
            <w:shd w:val="clear" w:color="auto" w:fill="auto"/>
          </w:tcPr>
          <w:p w14:paraId="7D74FC56"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28.6%</w:t>
            </w:r>
          </w:p>
        </w:tc>
      </w:tr>
      <w:tr w:rsidR="00C86D5C" w:rsidRPr="00A828B6" w14:paraId="7EDF455F" w14:textId="77777777" w:rsidTr="00C86D5C">
        <w:tc>
          <w:tcPr>
            <w:tcW w:w="1800" w:type="dxa"/>
            <w:vMerge w:val="restart"/>
            <w:shd w:val="clear" w:color="auto" w:fill="auto"/>
          </w:tcPr>
          <w:p w14:paraId="2E1A5A5E" w14:textId="5E0E4A0D" w:rsidR="001E2AC3" w:rsidRPr="00A828B6" w:rsidRDefault="00C86D5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No</w:t>
            </w:r>
          </w:p>
        </w:tc>
        <w:tc>
          <w:tcPr>
            <w:tcW w:w="1800" w:type="dxa"/>
            <w:vMerge w:val="restart"/>
            <w:shd w:val="clear" w:color="auto" w:fill="auto"/>
          </w:tcPr>
          <w:p w14:paraId="44098D3B" w14:textId="3E6DD2EF" w:rsidR="001E2AC3" w:rsidRPr="00A828B6" w:rsidRDefault="00C86D5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Yes</w:t>
            </w:r>
          </w:p>
        </w:tc>
        <w:tc>
          <w:tcPr>
            <w:tcW w:w="1800" w:type="dxa"/>
            <w:shd w:val="clear" w:color="auto" w:fill="auto"/>
          </w:tcPr>
          <w:p w14:paraId="3D7BFC68" w14:textId="7846129A" w:rsidR="001E2AC3" w:rsidRPr="00A828B6" w:rsidRDefault="00C86D5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Yes</w:t>
            </w:r>
          </w:p>
        </w:tc>
        <w:tc>
          <w:tcPr>
            <w:tcW w:w="2610" w:type="dxa"/>
            <w:shd w:val="clear" w:color="auto" w:fill="auto"/>
          </w:tcPr>
          <w:p w14:paraId="588EF1CE"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85%</w:t>
            </w:r>
          </w:p>
        </w:tc>
      </w:tr>
      <w:tr w:rsidR="00C86D5C" w:rsidRPr="00A828B6" w14:paraId="76D5D6AF" w14:textId="77777777" w:rsidTr="00C86D5C">
        <w:tc>
          <w:tcPr>
            <w:tcW w:w="1800" w:type="dxa"/>
            <w:vMerge/>
            <w:shd w:val="clear" w:color="auto" w:fill="auto"/>
          </w:tcPr>
          <w:p w14:paraId="56755009" w14:textId="77777777" w:rsidR="001E2AC3" w:rsidRPr="00A828B6" w:rsidRDefault="001E2AC3" w:rsidP="001A5A01">
            <w:pPr>
              <w:spacing w:after="0" w:line="360" w:lineRule="auto"/>
              <w:jc w:val="both"/>
              <w:rPr>
                <w:rFonts w:ascii="Book Antiqua" w:hAnsi="Book Antiqua"/>
                <w:bCs/>
                <w:sz w:val="24"/>
                <w:szCs w:val="24"/>
                <w:lang w:val="en-US"/>
              </w:rPr>
            </w:pPr>
          </w:p>
        </w:tc>
        <w:tc>
          <w:tcPr>
            <w:tcW w:w="1800" w:type="dxa"/>
            <w:vMerge/>
            <w:shd w:val="clear" w:color="auto" w:fill="auto"/>
          </w:tcPr>
          <w:p w14:paraId="6D8C534A" w14:textId="77777777" w:rsidR="001E2AC3" w:rsidRPr="00A828B6" w:rsidRDefault="001E2AC3" w:rsidP="001A5A01">
            <w:pPr>
              <w:spacing w:after="0" w:line="360" w:lineRule="auto"/>
              <w:jc w:val="both"/>
              <w:rPr>
                <w:rFonts w:ascii="Book Antiqua" w:hAnsi="Book Antiqua"/>
                <w:bCs/>
                <w:sz w:val="24"/>
                <w:szCs w:val="24"/>
                <w:lang w:val="en-US"/>
              </w:rPr>
            </w:pPr>
          </w:p>
        </w:tc>
        <w:tc>
          <w:tcPr>
            <w:tcW w:w="1800" w:type="dxa"/>
            <w:shd w:val="clear" w:color="auto" w:fill="auto"/>
          </w:tcPr>
          <w:p w14:paraId="3B643EE9" w14:textId="6BA49BD7" w:rsidR="001E2AC3" w:rsidRPr="00A828B6" w:rsidRDefault="00C86D5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No</w:t>
            </w:r>
          </w:p>
        </w:tc>
        <w:tc>
          <w:tcPr>
            <w:tcW w:w="2610" w:type="dxa"/>
            <w:shd w:val="clear" w:color="auto" w:fill="auto"/>
          </w:tcPr>
          <w:p w14:paraId="0FCE4265"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23.1%</w:t>
            </w:r>
          </w:p>
        </w:tc>
      </w:tr>
      <w:tr w:rsidR="00C86D5C" w:rsidRPr="00A828B6" w14:paraId="6C744DE0" w14:textId="77777777" w:rsidTr="00C86D5C">
        <w:tc>
          <w:tcPr>
            <w:tcW w:w="1800" w:type="dxa"/>
            <w:vMerge/>
            <w:shd w:val="clear" w:color="auto" w:fill="auto"/>
          </w:tcPr>
          <w:p w14:paraId="0499E80C" w14:textId="77777777" w:rsidR="001E2AC3" w:rsidRPr="00A828B6" w:rsidRDefault="001E2AC3" w:rsidP="001A5A01">
            <w:pPr>
              <w:spacing w:after="0" w:line="360" w:lineRule="auto"/>
              <w:jc w:val="both"/>
              <w:rPr>
                <w:rFonts w:ascii="Book Antiqua" w:hAnsi="Book Antiqua"/>
                <w:bCs/>
                <w:sz w:val="24"/>
                <w:szCs w:val="24"/>
                <w:lang w:val="en-US"/>
              </w:rPr>
            </w:pPr>
          </w:p>
        </w:tc>
        <w:tc>
          <w:tcPr>
            <w:tcW w:w="1800" w:type="dxa"/>
            <w:vMerge w:val="restart"/>
            <w:shd w:val="clear" w:color="auto" w:fill="auto"/>
          </w:tcPr>
          <w:p w14:paraId="1F67BA33" w14:textId="5F43A1BA" w:rsidR="001E2AC3" w:rsidRPr="00A828B6" w:rsidRDefault="00C86D5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No</w:t>
            </w:r>
          </w:p>
        </w:tc>
        <w:tc>
          <w:tcPr>
            <w:tcW w:w="1800" w:type="dxa"/>
            <w:shd w:val="clear" w:color="auto" w:fill="auto"/>
          </w:tcPr>
          <w:p w14:paraId="695F05F3" w14:textId="5CD2D1A2" w:rsidR="001E2AC3" w:rsidRPr="00A828B6" w:rsidRDefault="00C86D5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Yes</w:t>
            </w:r>
          </w:p>
        </w:tc>
        <w:tc>
          <w:tcPr>
            <w:tcW w:w="2610" w:type="dxa"/>
            <w:shd w:val="clear" w:color="auto" w:fill="auto"/>
          </w:tcPr>
          <w:p w14:paraId="7D7429CB" w14:textId="4407AD6C" w:rsidR="001E2AC3" w:rsidRPr="00A828B6" w:rsidRDefault="00C86D5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 xml:space="preserve">No </w:t>
            </w:r>
            <w:r w:rsidR="001E2AC3" w:rsidRPr="00A828B6">
              <w:rPr>
                <w:rFonts w:ascii="Book Antiqua" w:hAnsi="Book Antiqua"/>
                <w:bCs/>
                <w:sz w:val="24"/>
                <w:szCs w:val="24"/>
                <w:lang w:val="en-US"/>
              </w:rPr>
              <w:t>patients in this group</w:t>
            </w:r>
          </w:p>
        </w:tc>
      </w:tr>
      <w:tr w:rsidR="00C86D5C" w:rsidRPr="00A828B6" w14:paraId="60D4A1BF" w14:textId="77777777" w:rsidTr="00C86D5C">
        <w:tc>
          <w:tcPr>
            <w:tcW w:w="1800" w:type="dxa"/>
            <w:vMerge/>
            <w:shd w:val="clear" w:color="auto" w:fill="auto"/>
          </w:tcPr>
          <w:p w14:paraId="44DC7167" w14:textId="77777777" w:rsidR="001E2AC3" w:rsidRPr="00A828B6" w:rsidRDefault="001E2AC3" w:rsidP="001A5A01">
            <w:pPr>
              <w:spacing w:after="0" w:line="360" w:lineRule="auto"/>
              <w:jc w:val="both"/>
              <w:rPr>
                <w:rFonts w:ascii="Book Antiqua" w:hAnsi="Book Antiqua"/>
                <w:bCs/>
                <w:sz w:val="24"/>
                <w:szCs w:val="24"/>
                <w:lang w:val="en-US"/>
              </w:rPr>
            </w:pPr>
          </w:p>
        </w:tc>
        <w:tc>
          <w:tcPr>
            <w:tcW w:w="1800" w:type="dxa"/>
            <w:vMerge/>
            <w:shd w:val="clear" w:color="auto" w:fill="auto"/>
          </w:tcPr>
          <w:p w14:paraId="57F74CF7" w14:textId="77777777" w:rsidR="001E2AC3" w:rsidRPr="00A828B6" w:rsidRDefault="001E2AC3" w:rsidP="001A5A01">
            <w:pPr>
              <w:spacing w:after="0" w:line="360" w:lineRule="auto"/>
              <w:jc w:val="both"/>
              <w:rPr>
                <w:rFonts w:ascii="Book Antiqua" w:hAnsi="Book Antiqua"/>
                <w:bCs/>
                <w:sz w:val="24"/>
                <w:szCs w:val="24"/>
                <w:lang w:val="en-US"/>
              </w:rPr>
            </w:pPr>
          </w:p>
        </w:tc>
        <w:tc>
          <w:tcPr>
            <w:tcW w:w="1800" w:type="dxa"/>
            <w:shd w:val="clear" w:color="auto" w:fill="auto"/>
          </w:tcPr>
          <w:p w14:paraId="455083AF" w14:textId="73F13A86" w:rsidR="001E2AC3" w:rsidRPr="00A828B6" w:rsidRDefault="00C86D5C"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No</w:t>
            </w:r>
          </w:p>
        </w:tc>
        <w:tc>
          <w:tcPr>
            <w:tcW w:w="2610" w:type="dxa"/>
            <w:shd w:val="clear" w:color="auto" w:fill="auto"/>
          </w:tcPr>
          <w:p w14:paraId="3CD8B641" w14:textId="77777777" w:rsidR="001E2AC3" w:rsidRPr="00A828B6" w:rsidRDefault="001E2AC3" w:rsidP="001A5A01">
            <w:pPr>
              <w:spacing w:after="0" w:line="360" w:lineRule="auto"/>
              <w:jc w:val="both"/>
              <w:rPr>
                <w:rFonts w:ascii="Book Antiqua" w:hAnsi="Book Antiqua"/>
                <w:bCs/>
                <w:sz w:val="24"/>
                <w:szCs w:val="24"/>
                <w:lang w:val="en-US"/>
              </w:rPr>
            </w:pPr>
            <w:r w:rsidRPr="00A828B6">
              <w:rPr>
                <w:rFonts w:ascii="Book Antiqua" w:hAnsi="Book Antiqua"/>
                <w:bCs/>
                <w:sz w:val="24"/>
                <w:szCs w:val="24"/>
                <w:lang w:val="en-US"/>
              </w:rPr>
              <w:t>23.1%</w:t>
            </w:r>
          </w:p>
        </w:tc>
      </w:tr>
    </w:tbl>
    <w:p w14:paraId="5220A915" w14:textId="7FCA2166" w:rsidR="001E2AC3" w:rsidRPr="00A828B6" w:rsidRDefault="00C86D5C" w:rsidP="001A5A01">
      <w:pPr>
        <w:spacing w:after="0" w:line="360" w:lineRule="auto"/>
        <w:jc w:val="both"/>
        <w:rPr>
          <w:rFonts w:ascii="Book Antiqua" w:hAnsi="Book Antiqua"/>
          <w:sz w:val="24"/>
          <w:szCs w:val="24"/>
          <w:lang w:val="en-US" w:eastAsia="zh-CN"/>
        </w:rPr>
      </w:pPr>
      <w:r w:rsidRPr="00A828B6">
        <w:rPr>
          <w:rFonts w:ascii="Book Antiqua" w:hAnsi="Book Antiqua"/>
          <w:bCs/>
          <w:sz w:val="24"/>
          <w:szCs w:val="24"/>
          <w:lang w:val="en-US"/>
        </w:rPr>
        <w:t>HCC</w:t>
      </w:r>
      <w:r>
        <w:rPr>
          <w:rFonts w:ascii="Book Antiqua" w:hAnsi="Book Antiqua" w:hint="eastAsia"/>
          <w:bCs/>
          <w:sz w:val="24"/>
          <w:szCs w:val="24"/>
          <w:lang w:val="en-US" w:eastAsia="zh-CN"/>
        </w:rPr>
        <w:t xml:space="preserve">: </w:t>
      </w:r>
      <w:r w:rsidRPr="00A828B6">
        <w:rPr>
          <w:rFonts w:ascii="Book Antiqua" w:hAnsi="Book Antiqua"/>
          <w:bCs/>
          <w:sz w:val="24"/>
          <w:szCs w:val="24"/>
          <w:lang w:val="en-US"/>
        </w:rPr>
        <w:t>Hepatocellular cancer</w:t>
      </w:r>
      <w:r>
        <w:rPr>
          <w:rFonts w:ascii="Book Antiqua" w:hAnsi="Book Antiqua" w:hint="eastAsia"/>
          <w:bCs/>
          <w:sz w:val="24"/>
          <w:szCs w:val="24"/>
          <w:lang w:val="en-US" w:eastAsia="zh-CN"/>
        </w:rPr>
        <w:t>.</w:t>
      </w:r>
    </w:p>
    <w:sectPr w:rsidR="001E2AC3" w:rsidRPr="00A828B6" w:rsidSect="00032CBC">
      <w:headerReference w:type="default" r:id="rId11"/>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A79BD3" w15:done="0"/>
  <w15:commentEx w15:paraId="48272B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6CEA2" w14:textId="77777777" w:rsidR="0056247C" w:rsidRDefault="0056247C" w:rsidP="00BE42DC">
      <w:pPr>
        <w:spacing w:after="0" w:line="240" w:lineRule="auto"/>
      </w:pPr>
      <w:r>
        <w:separator/>
      </w:r>
    </w:p>
  </w:endnote>
  <w:endnote w:type="continuationSeparator" w:id="0">
    <w:p w14:paraId="19029E41" w14:textId="77777777" w:rsidR="0056247C" w:rsidRDefault="0056247C" w:rsidP="00BE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altName w:val="Consolas"/>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A00002BF" w:usb1="68C7FCFB" w:usb2="00000010"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CFFC2" w14:textId="77777777" w:rsidR="0056247C" w:rsidRDefault="0056247C" w:rsidP="00BE42DC">
      <w:pPr>
        <w:spacing w:after="0" w:line="240" w:lineRule="auto"/>
      </w:pPr>
      <w:r>
        <w:separator/>
      </w:r>
    </w:p>
  </w:footnote>
  <w:footnote w:type="continuationSeparator" w:id="0">
    <w:p w14:paraId="63084043" w14:textId="77777777" w:rsidR="0056247C" w:rsidRDefault="0056247C" w:rsidP="00BE42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4BC72" w14:textId="77777777" w:rsidR="00DF414C" w:rsidRDefault="00DF414C">
    <w:pPr>
      <w:pStyle w:val="Header"/>
    </w:pPr>
    <w:r>
      <w:fldChar w:fldCharType="begin"/>
    </w:r>
    <w:r>
      <w:instrText xml:space="preserve"> PAGE   \* MERGEFORMAT </w:instrText>
    </w:r>
    <w:r>
      <w:fldChar w:fldCharType="separate"/>
    </w:r>
    <w:r w:rsidR="001C0FDC">
      <w:rPr>
        <w:noProof/>
      </w:rPr>
      <w:t>29</w:t>
    </w:r>
    <w:r>
      <w:fldChar w:fldCharType="end"/>
    </w:r>
  </w:p>
  <w:p w14:paraId="49CE23BA" w14:textId="77777777" w:rsidR="00DF414C" w:rsidRDefault="00DF41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886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517F0A"/>
    <w:multiLevelType w:val="hybridMultilevel"/>
    <w:tmpl w:val="524C8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A61D2A"/>
    <w:multiLevelType w:val="hybridMultilevel"/>
    <w:tmpl w:val="70F25A5E"/>
    <w:lvl w:ilvl="0" w:tplc="B2ECAE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443DF"/>
    <w:multiLevelType w:val="hybridMultilevel"/>
    <w:tmpl w:val="2AF6A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B4799"/>
    <w:multiLevelType w:val="hybridMultilevel"/>
    <w:tmpl w:val="EDC438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35434F3"/>
    <w:multiLevelType w:val="hybridMultilevel"/>
    <w:tmpl w:val="440E327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6501D98"/>
    <w:multiLevelType w:val="hybridMultilevel"/>
    <w:tmpl w:val="440E327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AB"/>
    <w:rsid w:val="00001665"/>
    <w:rsid w:val="00002911"/>
    <w:rsid w:val="00002951"/>
    <w:rsid w:val="00002D93"/>
    <w:rsid w:val="00004D6D"/>
    <w:rsid w:val="00004FAC"/>
    <w:rsid w:val="0000582F"/>
    <w:rsid w:val="000064C2"/>
    <w:rsid w:val="00006C6E"/>
    <w:rsid w:val="00006D4F"/>
    <w:rsid w:val="00006DFC"/>
    <w:rsid w:val="00010372"/>
    <w:rsid w:val="00011F88"/>
    <w:rsid w:val="000139AE"/>
    <w:rsid w:val="00013E9B"/>
    <w:rsid w:val="000145B9"/>
    <w:rsid w:val="00015C6A"/>
    <w:rsid w:val="0001692C"/>
    <w:rsid w:val="0001796B"/>
    <w:rsid w:val="00017B97"/>
    <w:rsid w:val="00020CDE"/>
    <w:rsid w:val="00021487"/>
    <w:rsid w:val="00021FF9"/>
    <w:rsid w:val="00022056"/>
    <w:rsid w:val="00022392"/>
    <w:rsid w:val="00022991"/>
    <w:rsid w:val="00023843"/>
    <w:rsid w:val="000238C7"/>
    <w:rsid w:val="00023F13"/>
    <w:rsid w:val="00027E68"/>
    <w:rsid w:val="00031C51"/>
    <w:rsid w:val="00031E36"/>
    <w:rsid w:val="0003208D"/>
    <w:rsid w:val="00032CBC"/>
    <w:rsid w:val="0003418E"/>
    <w:rsid w:val="00035D21"/>
    <w:rsid w:val="00036474"/>
    <w:rsid w:val="00037B0B"/>
    <w:rsid w:val="00037FB7"/>
    <w:rsid w:val="00040B68"/>
    <w:rsid w:val="00041754"/>
    <w:rsid w:val="00042128"/>
    <w:rsid w:val="000428ED"/>
    <w:rsid w:val="00042E17"/>
    <w:rsid w:val="00043FD7"/>
    <w:rsid w:val="00044373"/>
    <w:rsid w:val="00046EC0"/>
    <w:rsid w:val="00050CC9"/>
    <w:rsid w:val="0005123C"/>
    <w:rsid w:val="00051CA6"/>
    <w:rsid w:val="00052A3E"/>
    <w:rsid w:val="00053062"/>
    <w:rsid w:val="00053680"/>
    <w:rsid w:val="00055BC4"/>
    <w:rsid w:val="00055E5A"/>
    <w:rsid w:val="000562C0"/>
    <w:rsid w:val="00065029"/>
    <w:rsid w:val="00066A18"/>
    <w:rsid w:val="00066D65"/>
    <w:rsid w:val="000703BD"/>
    <w:rsid w:val="00070665"/>
    <w:rsid w:val="000711C7"/>
    <w:rsid w:val="00071ACA"/>
    <w:rsid w:val="00072A51"/>
    <w:rsid w:val="000749CC"/>
    <w:rsid w:val="00075925"/>
    <w:rsid w:val="00075E3C"/>
    <w:rsid w:val="00076003"/>
    <w:rsid w:val="00076738"/>
    <w:rsid w:val="00081D69"/>
    <w:rsid w:val="00082FC8"/>
    <w:rsid w:val="000834CB"/>
    <w:rsid w:val="00083F1F"/>
    <w:rsid w:val="00085372"/>
    <w:rsid w:val="000856DC"/>
    <w:rsid w:val="0008747F"/>
    <w:rsid w:val="000909FE"/>
    <w:rsid w:val="000913E7"/>
    <w:rsid w:val="00091962"/>
    <w:rsid w:val="00092294"/>
    <w:rsid w:val="000A0F64"/>
    <w:rsid w:val="000A2BD5"/>
    <w:rsid w:val="000A4646"/>
    <w:rsid w:val="000A6ABB"/>
    <w:rsid w:val="000A7968"/>
    <w:rsid w:val="000B0C09"/>
    <w:rsid w:val="000B14C8"/>
    <w:rsid w:val="000B2127"/>
    <w:rsid w:val="000B4B61"/>
    <w:rsid w:val="000B4CD3"/>
    <w:rsid w:val="000B6806"/>
    <w:rsid w:val="000B6C71"/>
    <w:rsid w:val="000C307C"/>
    <w:rsid w:val="000C399F"/>
    <w:rsid w:val="000C64C9"/>
    <w:rsid w:val="000C660E"/>
    <w:rsid w:val="000D068B"/>
    <w:rsid w:val="000D09A5"/>
    <w:rsid w:val="000D0AA8"/>
    <w:rsid w:val="000D1589"/>
    <w:rsid w:val="000D2190"/>
    <w:rsid w:val="000D276E"/>
    <w:rsid w:val="000D289D"/>
    <w:rsid w:val="000D3D9A"/>
    <w:rsid w:val="000D4618"/>
    <w:rsid w:val="000D6FDA"/>
    <w:rsid w:val="000D7004"/>
    <w:rsid w:val="000D7CA6"/>
    <w:rsid w:val="000E0AC1"/>
    <w:rsid w:val="000E0ACF"/>
    <w:rsid w:val="000E0D01"/>
    <w:rsid w:val="000E0FF5"/>
    <w:rsid w:val="000E246E"/>
    <w:rsid w:val="000E247E"/>
    <w:rsid w:val="000E2E35"/>
    <w:rsid w:val="000E389D"/>
    <w:rsid w:val="000E3E71"/>
    <w:rsid w:val="000E43EB"/>
    <w:rsid w:val="000E4522"/>
    <w:rsid w:val="000E496E"/>
    <w:rsid w:val="000E4DF4"/>
    <w:rsid w:val="000E650F"/>
    <w:rsid w:val="000E6621"/>
    <w:rsid w:val="000F0259"/>
    <w:rsid w:val="000F0B97"/>
    <w:rsid w:val="000F0CA2"/>
    <w:rsid w:val="000F13F8"/>
    <w:rsid w:val="000F2507"/>
    <w:rsid w:val="000F2642"/>
    <w:rsid w:val="000F301D"/>
    <w:rsid w:val="000F30AC"/>
    <w:rsid w:val="000F48DD"/>
    <w:rsid w:val="000F6249"/>
    <w:rsid w:val="000F6D5A"/>
    <w:rsid w:val="00101317"/>
    <w:rsid w:val="00102249"/>
    <w:rsid w:val="00102A95"/>
    <w:rsid w:val="00102B65"/>
    <w:rsid w:val="00102C97"/>
    <w:rsid w:val="00103755"/>
    <w:rsid w:val="0010384B"/>
    <w:rsid w:val="00107F08"/>
    <w:rsid w:val="001149D5"/>
    <w:rsid w:val="0011539D"/>
    <w:rsid w:val="00116CF3"/>
    <w:rsid w:val="0012097B"/>
    <w:rsid w:val="00122291"/>
    <w:rsid w:val="00123145"/>
    <w:rsid w:val="00125A65"/>
    <w:rsid w:val="00126E43"/>
    <w:rsid w:val="001277D8"/>
    <w:rsid w:val="00130849"/>
    <w:rsid w:val="001310F6"/>
    <w:rsid w:val="00131EB7"/>
    <w:rsid w:val="00133F89"/>
    <w:rsid w:val="00134774"/>
    <w:rsid w:val="00134F85"/>
    <w:rsid w:val="001362E6"/>
    <w:rsid w:val="001362EA"/>
    <w:rsid w:val="00137E77"/>
    <w:rsid w:val="00140038"/>
    <w:rsid w:val="00140A48"/>
    <w:rsid w:val="00140ED8"/>
    <w:rsid w:val="001431EB"/>
    <w:rsid w:val="00143C8C"/>
    <w:rsid w:val="001447D6"/>
    <w:rsid w:val="00144C5D"/>
    <w:rsid w:val="001456C8"/>
    <w:rsid w:val="00145B66"/>
    <w:rsid w:val="001466DC"/>
    <w:rsid w:val="0014717F"/>
    <w:rsid w:val="00151794"/>
    <w:rsid w:val="00151A68"/>
    <w:rsid w:val="00151C11"/>
    <w:rsid w:val="00155E95"/>
    <w:rsid w:val="0015725E"/>
    <w:rsid w:val="001576B3"/>
    <w:rsid w:val="00160E3E"/>
    <w:rsid w:val="0016171B"/>
    <w:rsid w:val="00162DB4"/>
    <w:rsid w:val="001632D2"/>
    <w:rsid w:val="00163D97"/>
    <w:rsid w:val="001646C5"/>
    <w:rsid w:val="00164BE6"/>
    <w:rsid w:val="00164DF5"/>
    <w:rsid w:val="001667DC"/>
    <w:rsid w:val="001707A6"/>
    <w:rsid w:val="00170A92"/>
    <w:rsid w:val="00171678"/>
    <w:rsid w:val="0017360D"/>
    <w:rsid w:val="001737F7"/>
    <w:rsid w:val="00173970"/>
    <w:rsid w:val="00175257"/>
    <w:rsid w:val="001754A7"/>
    <w:rsid w:val="00177BFF"/>
    <w:rsid w:val="00180244"/>
    <w:rsid w:val="00182C13"/>
    <w:rsid w:val="00183163"/>
    <w:rsid w:val="00183A70"/>
    <w:rsid w:val="00183B54"/>
    <w:rsid w:val="00184B23"/>
    <w:rsid w:val="00184D20"/>
    <w:rsid w:val="00190DEB"/>
    <w:rsid w:val="001913E9"/>
    <w:rsid w:val="00191801"/>
    <w:rsid w:val="00192F89"/>
    <w:rsid w:val="00194B02"/>
    <w:rsid w:val="00194C52"/>
    <w:rsid w:val="00196F77"/>
    <w:rsid w:val="0019759D"/>
    <w:rsid w:val="00197FC5"/>
    <w:rsid w:val="001A169B"/>
    <w:rsid w:val="001A1B54"/>
    <w:rsid w:val="001A27D9"/>
    <w:rsid w:val="001A2951"/>
    <w:rsid w:val="001A337B"/>
    <w:rsid w:val="001A5A01"/>
    <w:rsid w:val="001A5FB6"/>
    <w:rsid w:val="001B07C0"/>
    <w:rsid w:val="001B0C07"/>
    <w:rsid w:val="001B274D"/>
    <w:rsid w:val="001B27DC"/>
    <w:rsid w:val="001B2911"/>
    <w:rsid w:val="001B3520"/>
    <w:rsid w:val="001B44EC"/>
    <w:rsid w:val="001B6B3C"/>
    <w:rsid w:val="001B6E7D"/>
    <w:rsid w:val="001C019C"/>
    <w:rsid w:val="001C0FDC"/>
    <w:rsid w:val="001C147A"/>
    <w:rsid w:val="001C3DC6"/>
    <w:rsid w:val="001C4379"/>
    <w:rsid w:val="001C5321"/>
    <w:rsid w:val="001C5DC3"/>
    <w:rsid w:val="001C677A"/>
    <w:rsid w:val="001C67B5"/>
    <w:rsid w:val="001C73C0"/>
    <w:rsid w:val="001D15B2"/>
    <w:rsid w:val="001D4049"/>
    <w:rsid w:val="001D4B62"/>
    <w:rsid w:val="001D7DF4"/>
    <w:rsid w:val="001E0980"/>
    <w:rsid w:val="001E21E9"/>
    <w:rsid w:val="001E2AC3"/>
    <w:rsid w:val="001E4D09"/>
    <w:rsid w:val="001E5961"/>
    <w:rsid w:val="001E5EF8"/>
    <w:rsid w:val="001E7FA9"/>
    <w:rsid w:val="001F03B6"/>
    <w:rsid w:val="001F0A75"/>
    <w:rsid w:val="001F15FA"/>
    <w:rsid w:val="001F3383"/>
    <w:rsid w:val="001F35DF"/>
    <w:rsid w:val="001F3DEB"/>
    <w:rsid w:val="001F4203"/>
    <w:rsid w:val="001F6861"/>
    <w:rsid w:val="001F78C8"/>
    <w:rsid w:val="001F7D32"/>
    <w:rsid w:val="00201570"/>
    <w:rsid w:val="00201F6C"/>
    <w:rsid w:val="00202DE9"/>
    <w:rsid w:val="002032C2"/>
    <w:rsid w:val="002040BC"/>
    <w:rsid w:val="00205157"/>
    <w:rsid w:val="00206478"/>
    <w:rsid w:val="00206EC8"/>
    <w:rsid w:val="00207198"/>
    <w:rsid w:val="00207B58"/>
    <w:rsid w:val="00207E50"/>
    <w:rsid w:val="00210884"/>
    <w:rsid w:val="002112ED"/>
    <w:rsid w:val="00212CC2"/>
    <w:rsid w:val="0021336F"/>
    <w:rsid w:val="0021467F"/>
    <w:rsid w:val="00216474"/>
    <w:rsid w:val="00216B31"/>
    <w:rsid w:val="00220489"/>
    <w:rsid w:val="002204C0"/>
    <w:rsid w:val="002207A7"/>
    <w:rsid w:val="00220CA9"/>
    <w:rsid w:val="002217E2"/>
    <w:rsid w:val="002267D8"/>
    <w:rsid w:val="00226FA3"/>
    <w:rsid w:val="0022780E"/>
    <w:rsid w:val="00230EAF"/>
    <w:rsid w:val="002320EF"/>
    <w:rsid w:val="00232960"/>
    <w:rsid w:val="0023616C"/>
    <w:rsid w:val="00236AC0"/>
    <w:rsid w:val="00240016"/>
    <w:rsid w:val="00241386"/>
    <w:rsid w:val="00243BD4"/>
    <w:rsid w:val="00243C90"/>
    <w:rsid w:val="00245DE2"/>
    <w:rsid w:val="002467F6"/>
    <w:rsid w:val="002470CD"/>
    <w:rsid w:val="00247246"/>
    <w:rsid w:val="002500D5"/>
    <w:rsid w:val="00250D58"/>
    <w:rsid w:val="00252CDC"/>
    <w:rsid w:val="00252FFC"/>
    <w:rsid w:val="002575ED"/>
    <w:rsid w:val="00260866"/>
    <w:rsid w:val="00261369"/>
    <w:rsid w:val="002613B1"/>
    <w:rsid w:val="00261CF4"/>
    <w:rsid w:val="00261E37"/>
    <w:rsid w:val="00263E7B"/>
    <w:rsid w:val="00264AF9"/>
    <w:rsid w:val="00267A17"/>
    <w:rsid w:val="00270CFF"/>
    <w:rsid w:val="002721E1"/>
    <w:rsid w:val="00273F97"/>
    <w:rsid w:val="00275486"/>
    <w:rsid w:val="002756F1"/>
    <w:rsid w:val="00275F33"/>
    <w:rsid w:val="00276532"/>
    <w:rsid w:val="00276EB1"/>
    <w:rsid w:val="00277336"/>
    <w:rsid w:val="002775F3"/>
    <w:rsid w:val="0028051E"/>
    <w:rsid w:val="00281810"/>
    <w:rsid w:val="002828ED"/>
    <w:rsid w:val="00282C7C"/>
    <w:rsid w:val="002833FA"/>
    <w:rsid w:val="0028357C"/>
    <w:rsid w:val="002852C3"/>
    <w:rsid w:val="00285C5E"/>
    <w:rsid w:val="002868CD"/>
    <w:rsid w:val="0028714D"/>
    <w:rsid w:val="002908ED"/>
    <w:rsid w:val="00290C09"/>
    <w:rsid w:val="00291A22"/>
    <w:rsid w:val="002927D9"/>
    <w:rsid w:val="00293062"/>
    <w:rsid w:val="00294B2D"/>
    <w:rsid w:val="00294CD6"/>
    <w:rsid w:val="00295063"/>
    <w:rsid w:val="00296C61"/>
    <w:rsid w:val="002A056D"/>
    <w:rsid w:val="002A21A0"/>
    <w:rsid w:val="002A4F67"/>
    <w:rsid w:val="002A5675"/>
    <w:rsid w:val="002A5E82"/>
    <w:rsid w:val="002A6480"/>
    <w:rsid w:val="002A720A"/>
    <w:rsid w:val="002A73D8"/>
    <w:rsid w:val="002A7E81"/>
    <w:rsid w:val="002A7EF1"/>
    <w:rsid w:val="002B0528"/>
    <w:rsid w:val="002B0E26"/>
    <w:rsid w:val="002B23AF"/>
    <w:rsid w:val="002B2D03"/>
    <w:rsid w:val="002B37F9"/>
    <w:rsid w:val="002B4CFE"/>
    <w:rsid w:val="002B4F56"/>
    <w:rsid w:val="002B5451"/>
    <w:rsid w:val="002B566A"/>
    <w:rsid w:val="002C02D2"/>
    <w:rsid w:val="002C30D1"/>
    <w:rsid w:val="002C32C3"/>
    <w:rsid w:val="002C34FB"/>
    <w:rsid w:val="002C5AB7"/>
    <w:rsid w:val="002C5FC5"/>
    <w:rsid w:val="002C652B"/>
    <w:rsid w:val="002C6CB6"/>
    <w:rsid w:val="002C6D4B"/>
    <w:rsid w:val="002C73B6"/>
    <w:rsid w:val="002D1436"/>
    <w:rsid w:val="002D1B5B"/>
    <w:rsid w:val="002D24D3"/>
    <w:rsid w:val="002D2F2A"/>
    <w:rsid w:val="002D36BB"/>
    <w:rsid w:val="002D497B"/>
    <w:rsid w:val="002D4A6D"/>
    <w:rsid w:val="002D61F1"/>
    <w:rsid w:val="002D64AB"/>
    <w:rsid w:val="002E07A3"/>
    <w:rsid w:val="002E0863"/>
    <w:rsid w:val="002E1340"/>
    <w:rsid w:val="002E182B"/>
    <w:rsid w:val="002E4767"/>
    <w:rsid w:val="002E502D"/>
    <w:rsid w:val="002E63BC"/>
    <w:rsid w:val="002E6E49"/>
    <w:rsid w:val="002F0ED9"/>
    <w:rsid w:val="002F18D1"/>
    <w:rsid w:val="002F1A74"/>
    <w:rsid w:val="002F1F4F"/>
    <w:rsid w:val="002F27B4"/>
    <w:rsid w:val="002F29A8"/>
    <w:rsid w:val="002F3B09"/>
    <w:rsid w:val="002F3CEA"/>
    <w:rsid w:val="002F457D"/>
    <w:rsid w:val="002F6DDE"/>
    <w:rsid w:val="002F7619"/>
    <w:rsid w:val="002F76C1"/>
    <w:rsid w:val="003013B4"/>
    <w:rsid w:val="00301DED"/>
    <w:rsid w:val="00302232"/>
    <w:rsid w:val="003026BA"/>
    <w:rsid w:val="00302DE9"/>
    <w:rsid w:val="0030389D"/>
    <w:rsid w:val="00305E50"/>
    <w:rsid w:val="00306865"/>
    <w:rsid w:val="00307B60"/>
    <w:rsid w:val="00307E14"/>
    <w:rsid w:val="003115AB"/>
    <w:rsid w:val="00313091"/>
    <w:rsid w:val="003145EA"/>
    <w:rsid w:val="00315987"/>
    <w:rsid w:val="00315BB8"/>
    <w:rsid w:val="00315F15"/>
    <w:rsid w:val="0031672C"/>
    <w:rsid w:val="00320758"/>
    <w:rsid w:val="00322F57"/>
    <w:rsid w:val="00326987"/>
    <w:rsid w:val="00326BBB"/>
    <w:rsid w:val="0032780C"/>
    <w:rsid w:val="00330AA3"/>
    <w:rsid w:val="00331682"/>
    <w:rsid w:val="00331C07"/>
    <w:rsid w:val="00332285"/>
    <w:rsid w:val="00332CAB"/>
    <w:rsid w:val="00334567"/>
    <w:rsid w:val="00334EA0"/>
    <w:rsid w:val="00334ED1"/>
    <w:rsid w:val="00335FCA"/>
    <w:rsid w:val="0033621D"/>
    <w:rsid w:val="00340608"/>
    <w:rsid w:val="003406B2"/>
    <w:rsid w:val="00341EF6"/>
    <w:rsid w:val="00343DF2"/>
    <w:rsid w:val="00346BF9"/>
    <w:rsid w:val="003474DD"/>
    <w:rsid w:val="00352C79"/>
    <w:rsid w:val="00352F74"/>
    <w:rsid w:val="003538F1"/>
    <w:rsid w:val="003541CE"/>
    <w:rsid w:val="003552DB"/>
    <w:rsid w:val="003559CA"/>
    <w:rsid w:val="003574B4"/>
    <w:rsid w:val="003610D2"/>
    <w:rsid w:val="00361771"/>
    <w:rsid w:val="00363937"/>
    <w:rsid w:val="00363C99"/>
    <w:rsid w:val="003653B6"/>
    <w:rsid w:val="00367335"/>
    <w:rsid w:val="003701BF"/>
    <w:rsid w:val="003708A5"/>
    <w:rsid w:val="00371198"/>
    <w:rsid w:val="003718EA"/>
    <w:rsid w:val="00371E58"/>
    <w:rsid w:val="003739CF"/>
    <w:rsid w:val="00373D17"/>
    <w:rsid w:val="00375FB4"/>
    <w:rsid w:val="0037786A"/>
    <w:rsid w:val="003812A8"/>
    <w:rsid w:val="00383163"/>
    <w:rsid w:val="00383B88"/>
    <w:rsid w:val="00390066"/>
    <w:rsid w:val="00390EBB"/>
    <w:rsid w:val="00391E26"/>
    <w:rsid w:val="0039247B"/>
    <w:rsid w:val="003926AD"/>
    <w:rsid w:val="00393206"/>
    <w:rsid w:val="00393F44"/>
    <w:rsid w:val="0039411B"/>
    <w:rsid w:val="0039519C"/>
    <w:rsid w:val="00395E40"/>
    <w:rsid w:val="00396248"/>
    <w:rsid w:val="00396273"/>
    <w:rsid w:val="003966E9"/>
    <w:rsid w:val="003A00EA"/>
    <w:rsid w:val="003A05ED"/>
    <w:rsid w:val="003A0C39"/>
    <w:rsid w:val="003A2AE8"/>
    <w:rsid w:val="003A2BBC"/>
    <w:rsid w:val="003A2D11"/>
    <w:rsid w:val="003A2E8E"/>
    <w:rsid w:val="003A416D"/>
    <w:rsid w:val="003A60C7"/>
    <w:rsid w:val="003A6BB5"/>
    <w:rsid w:val="003A6F14"/>
    <w:rsid w:val="003B2FE7"/>
    <w:rsid w:val="003B320D"/>
    <w:rsid w:val="003B382A"/>
    <w:rsid w:val="003B4454"/>
    <w:rsid w:val="003B4F62"/>
    <w:rsid w:val="003B603D"/>
    <w:rsid w:val="003B7237"/>
    <w:rsid w:val="003C0921"/>
    <w:rsid w:val="003C20EF"/>
    <w:rsid w:val="003C25F3"/>
    <w:rsid w:val="003C4830"/>
    <w:rsid w:val="003C4ADD"/>
    <w:rsid w:val="003C4D70"/>
    <w:rsid w:val="003C6D76"/>
    <w:rsid w:val="003C75FB"/>
    <w:rsid w:val="003D0836"/>
    <w:rsid w:val="003D251E"/>
    <w:rsid w:val="003D52A4"/>
    <w:rsid w:val="003D52EF"/>
    <w:rsid w:val="003D7E4D"/>
    <w:rsid w:val="003E00A0"/>
    <w:rsid w:val="003E07D4"/>
    <w:rsid w:val="003E2084"/>
    <w:rsid w:val="003E3276"/>
    <w:rsid w:val="003E74DA"/>
    <w:rsid w:val="003F0519"/>
    <w:rsid w:val="003F1027"/>
    <w:rsid w:val="003F19E9"/>
    <w:rsid w:val="003F2B69"/>
    <w:rsid w:val="003F4972"/>
    <w:rsid w:val="003F4B59"/>
    <w:rsid w:val="003F4E6E"/>
    <w:rsid w:val="003F63D3"/>
    <w:rsid w:val="003F73BA"/>
    <w:rsid w:val="003F7FB4"/>
    <w:rsid w:val="00401D47"/>
    <w:rsid w:val="004026B0"/>
    <w:rsid w:val="00403308"/>
    <w:rsid w:val="00405461"/>
    <w:rsid w:val="00406E28"/>
    <w:rsid w:val="00410545"/>
    <w:rsid w:val="004105CD"/>
    <w:rsid w:val="00410644"/>
    <w:rsid w:val="00411320"/>
    <w:rsid w:val="00411BAA"/>
    <w:rsid w:val="004139C4"/>
    <w:rsid w:val="00414754"/>
    <w:rsid w:val="00416E5F"/>
    <w:rsid w:val="004216E1"/>
    <w:rsid w:val="00421F69"/>
    <w:rsid w:val="00423A72"/>
    <w:rsid w:val="00424BB5"/>
    <w:rsid w:val="0042785A"/>
    <w:rsid w:val="00427ABD"/>
    <w:rsid w:val="00430A20"/>
    <w:rsid w:val="00432E00"/>
    <w:rsid w:val="0043324E"/>
    <w:rsid w:val="00435685"/>
    <w:rsid w:val="00443626"/>
    <w:rsid w:val="00443BA9"/>
    <w:rsid w:val="00444300"/>
    <w:rsid w:val="004447AE"/>
    <w:rsid w:val="004503FC"/>
    <w:rsid w:val="0045059E"/>
    <w:rsid w:val="00450F1A"/>
    <w:rsid w:val="004511B9"/>
    <w:rsid w:val="00455512"/>
    <w:rsid w:val="00456E20"/>
    <w:rsid w:val="00456EB9"/>
    <w:rsid w:val="00457A79"/>
    <w:rsid w:val="004605E1"/>
    <w:rsid w:val="004641EA"/>
    <w:rsid w:val="00464C5E"/>
    <w:rsid w:val="00465168"/>
    <w:rsid w:val="004653E8"/>
    <w:rsid w:val="00466345"/>
    <w:rsid w:val="00466ED0"/>
    <w:rsid w:val="00466F96"/>
    <w:rsid w:val="00467D89"/>
    <w:rsid w:val="00471AB1"/>
    <w:rsid w:val="00471E6D"/>
    <w:rsid w:val="0047266E"/>
    <w:rsid w:val="00473E9F"/>
    <w:rsid w:val="00475456"/>
    <w:rsid w:val="004805A5"/>
    <w:rsid w:val="004820D0"/>
    <w:rsid w:val="00482A4A"/>
    <w:rsid w:val="004835D3"/>
    <w:rsid w:val="004838C4"/>
    <w:rsid w:val="004839F2"/>
    <w:rsid w:val="00483E95"/>
    <w:rsid w:val="00485372"/>
    <w:rsid w:val="00485BDE"/>
    <w:rsid w:val="00490944"/>
    <w:rsid w:val="00491B28"/>
    <w:rsid w:val="00492624"/>
    <w:rsid w:val="004926CD"/>
    <w:rsid w:val="0049747C"/>
    <w:rsid w:val="004976C4"/>
    <w:rsid w:val="00497A26"/>
    <w:rsid w:val="004A056E"/>
    <w:rsid w:val="004A09A7"/>
    <w:rsid w:val="004A0B93"/>
    <w:rsid w:val="004A2A1A"/>
    <w:rsid w:val="004A33C3"/>
    <w:rsid w:val="004A4036"/>
    <w:rsid w:val="004A63B2"/>
    <w:rsid w:val="004B0879"/>
    <w:rsid w:val="004B08D7"/>
    <w:rsid w:val="004B0B50"/>
    <w:rsid w:val="004B1875"/>
    <w:rsid w:val="004B2BAD"/>
    <w:rsid w:val="004B3BC9"/>
    <w:rsid w:val="004B568A"/>
    <w:rsid w:val="004B57FB"/>
    <w:rsid w:val="004B6678"/>
    <w:rsid w:val="004C13F8"/>
    <w:rsid w:val="004C2775"/>
    <w:rsid w:val="004C40F7"/>
    <w:rsid w:val="004C622A"/>
    <w:rsid w:val="004C677A"/>
    <w:rsid w:val="004C790C"/>
    <w:rsid w:val="004D0C0D"/>
    <w:rsid w:val="004D3402"/>
    <w:rsid w:val="004D3652"/>
    <w:rsid w:val="004D3E36"/>
    <w:rsid w:val="004D494F"/>
    <w:rsid w:val="004D523F"/>
    <w:rsid w:val="004D57ED"/>
    <w:rsid w:val="004E163A"/>
    <w:rsid w:val="004E3638"/>
    <w:rsid w:val="004E4D67"/>
    <w:rsid w:val="004E5D84"/>
    <w:rsid w:val="004E6DB7"/>
    <w:rsid w:val="004F01D6"/>
    <w:rsid w:val="004F05D4"/>
    <w:rsid w:val="004F0FCF"/>
    <w:rsid w:val="004F1896"/>
    <w:rsid w:val="004F23EA"/>
    <w:rsid w:val="004F2E4F"/>
    <w:rsid w:val="004F355F"/>
    <w:rsid w:val="004F4117"/>
    <w:rsid w:val="004F4188"/>
    <w:rsid w:val="004F46F2"/>
    <w:rsid w:val="004F4F69"/>
    <w:rsid w:val="004F5060"/>
    <w:rsid w:val="00500E97"/>
    <w:rsid w:val="00500F6F"/>
    <w:rsid w:val="00501B2B"/>
    <w:rsid w:val="00501DDD"/>
    <w:rsid w:val="0050235E"/>
    <w:rsid w:val="005023F2"/>
    <w:rsid w:val="0050459B"/>
    <w:rsid w:val="005052DF"/>
    <w:rsid w:val="0051214D"/>
    <w:rsid w:val="00513559"/>
    <w:rsid w:val="00513F2F"/>
    <w:rsid w:val="00515809"/>
    <w:rsid w:val="00516241"/>
    <w:rsid w:val="0051635F"/>
    <w:rsid w:val="0051729B"/>
    <w:rsid w:val="005174B2"/>
    <w:rsid w:val="005177AE"/>
    <w:rsid w:val="00517990"/>
    <w:rsid w:val="00517B93"/>
    <w:rsid w:val="00522C68"/>
    <w:rsid w:val="00523346"/>
    <w:rsid w:val="00523684"/>
    <w:rsid w:val="00524203"/>
    <w:rsid w:val="0053064E"/>
    <w:rsid w:val="00533CA8"/>
    <w:rsid w:val="005343D3"/>
    <w:rsid w:val="005357B0"/>
    <w:rsid w:val="00535C60"/>
    <w:rsid w:val="005361AA"/>
    <w:rsid w:val="0053734E"/>
    <w:rsid w:val="00537543"/>
    <w:rsid w:val="00542776"/>
    <w:rsid w:val="00543FBD"/>
    <w:rsid w:val="00545DCD"/>
    <w:rsid w:val="00546A6A"/>
    <w:rsid w:val="00546CBE"/>
    <w:rsid w:val="00547DB0"/>
    <w:rsid w:val="0055001B"/>
    <w:rsid w:val="00550113"/>
    <w:rsid w:val="0055125A"/>
    <w:rsid w:val="00551BF9"/>
    <w:rsid w:val="005528C7"/>
    <w:rsid w:val="0055347C"/>
    <w:rsid w:val="005537F7"/>
    <w:rsid w:val="00553DAB"/>
    <w:rsid w:val="00555C33"/>
    <w:rsid w:val="00555C6D"/>
    <w:rsid w:val="00555FE6"/>
    <w:rsid w:val="0055619D"/>
    <w:rsid w:val="00556CDF"/>
    <w:rsid w:val="0056247C"/>
    <w:rsid w:val="005627C3"/>
    <w:rsid w:val="00562C8D"/>
    <w:rsid w:val="00563450"/>
    <w:rsid w:val="005639C4"/>
    <w:rsid w:val="00563ADB"/>
    <w:rsid w:val="005658BE"/>
    <w:rsid w:val="00566946"/>
    <w:rsid w:val="005671F9"/>
    <w:rsid w:val="00567598"/>
    <w:rsid w:val="005712FF"/>
    <w:rsid w:val="005728E3"/>
    <w:rsid w:val="00572988"/>
    <w:rsid w:val="00572DC7"/>
    <w:rsid w:val="00574F21"/>
    <w:rsid w:val="00575361"/>
    <w:rsid w:val="0057585C"/>
    <w:rsid w:val="00575D08"/>
    <w:rsid w:val="00582611"/>
    <w:rsid w:val="0058421C"/>
    <w:rsid w:val="005848CA"/>
    <w:rsid w:val="0058528F"/>
    <w:rsid w:val="00586B72"/>
    <w:rsid w:val="00586D43"/>
    <w:rsid w:val="00590290"/>
    <w:rsid w:val="00590986"/>
    <w:rsid w:val="005937F6"/>
    <w:rsid w:val="00594474"/>
    <w:rsid w:val="0059571C"/>
    <w:rsid w:val="005960FA"/>
    <w:rsid w:val="00596234"/>
    <w:rsid w:val="005A0334"/>
    <w:rsid w:val="005A06FE"/>
    <w:rsid w:val="005A099C"/>
    <w:rsid w:val="005A0DEE"/>
    <w:rsid w:val="005A23CE"/>
    <w:rsid w:val="005A289B"/>
    <w:rsid w:val="005A2964"/>
    <w:rsid w:val="005A3332"/>
    <w:rsid w:val="005A4D6B"/>
    <w:rsid w:val="005A60C4"/>
    <w:rsid w:val="005B4556"/>
    <w:rsid w:val="005B4827"/>
    <w:rsid w:val="005B50CE"/>
    <w:rsid w:val="005B5321"/>
    <w:rsid w:val="005B7096"/>
    <w:rsid w:val="005B770C"/>
    <w:rsid w:val="005B7ABB"/>
    <w:rsid w:val="005C18DA"/>
    <w:rsid w:val="005C201B"/>
    <w:rsid w:val="005C20AF"/>
    <w:rsid w:val="005C4DC3"/>
    <w:rsid w:val="005C62A9"/>
    <w:rsid w:val="005C6A2E"/>
    <w:rsid w:val="005D02F8"/>
    <w:rsid w:val="005D1764"/>
    <w:rsid w:val="005D2CD7"/>
    <w:rsid w:val="005D2D0E"/>
    <w:rsid w:val="005D3309"/>
    <w:rsid w:val="005D3426"/>
    <w:rsid w:val="005D3F66"/>
    <w:rsid w:val="005D579B"/>
    <w:rsid w:val="005D593F"/>
    <w:rsid w:val="005D6961"/>
    <w:rsid w:val="005E0084"/>
    <w:rsid w:val="005E0178"/>
    <w:rsid w:val="005E4594"/>
    <w:rsid w:val="005E596C"/>
    <w:rsid w:val="005E5F0E"/>
    <w:rsid w:val="005E6F8E"/>
    <w:rsid w:val="005E7D1C"/>
    <w:rsid w:val="005F0218"/>
    <w:rsid w:val="005F28F4"/>
    <w:rsid w:val="005F30F8"/>
    <w:rsid w:val="005F4187"/>
    <w:rsid w:val="005F4B1E"/>
    <w:rsid w:val="005F6E7A"/>
    <w:rsid w:val="005F75F9"/>
    <w:rsid w:val="006004B3"/>
    <w:rsid w:val="00600937"/>
    <w:rsid w:val="006018C9"/>
    <w:rsid w:val="006027E2"/>
    <w:rsid w:val="00604A89"/>
    <w:rsid w:val="00606356"/>
    <w:rsid w:val="00606778"/>
    <w:rsid w:val="0060715E"/>
    <w:rsid w:val="00610524"/>
    <w:rsid w:val="0061191B"/>
    <w:rsid w:val="00612AE4"/>
    <w:rsid w:val="00617ED5"/>
    <w:rsid w:val="00620E46"/>
    <w:rsid w:val="00621217"/>
    <w:rsid w:val="00622C0F"/>
    <w:rsid w:val="00622DC5"/>
    <w:rsid w:val="006254A2"/>
    <w:rsid w:val="00627140"/>
    <w:rsid w:val="00627BA1"/>
    <w:rsid w:val="006307D3"/>
    <w:rsid w:val="006318E4"/>
    <w:rsid w:val="00632844"/>
    <w:rsid w:val="0063408B"/>
    <w:rsid w:val="00634817"/>
    <w:rsid w:val="00634AFF"/>
    <w:rsid w:val="00635379"/>
    <w:rsid w:val="00635AF8"/>
    <w:rsid w:val="0063673F"/>
    <w:rsid w:val="0063686D"/>
    <w:rsid w:val="00636F16"/>
    <w:rsid w:val="00641307"/>
    <w:rsid w:val="0064397C"/>
    <w:rsid w:val="0064648F"/>
    <w:rsid w:val="00646D43"/>
    <w:rsid w:val="0064711C"/>
    <w:rsid w:val="00647E06"/>
    <w:rsid w:val="00650715"/>
    <w:rsid w:val="00651835"/>
    <w:rsid w:val="00652AF4"/>
    <w:rsid w:val="006537EA"/>
    <w:rsid w:val="006541EA"/>
    <w:rsid w:val="00655DF9"/>
    <w:rsid w:val="006576E6"/>
    <w:rsid w:val="006577B1"/>
    <w:rsid w:val="00657EF4"/>
    <w:rsid w:val="0066130B"/>
    <w:rsid w:val="006616E9"/>
    <w:rsid w:val="006621FF"/>
    <w:rsid w:val="0066261D"/>
    <w:rsid w:val="00663474"/>
    <w:rsid w:val="00666148"/>
    <w:rsid w:val="006661C8"/>
    <w:rsid w:val="00666A24"/>
    <w:rsid w:val="00666F77"/>
    <w:rsid w:val="0066797D"/>
    <w:rsid w:val="00667AE3"/>
    <w:rsid w:val="006709DB"/>
    <w:rsid w:val="006726E2"/>
    <w:rsid w:val="006729D9"/>
    <w:rsid w:val="00673A28"/>
    <w:rsid w:val="0067466D"/>
    <w:rsid w:val="00674D0A"/>
    <w:rsid w:val="006752D8"/>
    <w:rsid w:val="00676B25"/>
    <w:rsid w:val="00676BFD"/>
    <w:rsid w:val="006778BD"/>
    <w:rsid w:val="00680000"/>
    <w:rsid w:val="00680247"/>
    <w:rsid w:val="006847D5"/>
    <w:rsid w:val="00684AD0"/>
    <w:rsid w:val="00684FF3"/>
    <w:rsid w:val="0068501E"/>
    <w:rsid w:val="006858F8"/>
    <w:rsid w:val="00685C51"/>
    <w:rsid w:val="00686579"/>
    <w:rsid w:val="00686E66"/>
    <w:rsid w:val="0069196D"/>
    <w:rsid w:val="00692C4A"/>
    <w:rsid w:val="00692D1B"/>
    <w:rsid w:val="00696604"/>
    <w:rsid w:val="006968FF"/>
    <w:rsid w:val="00696AD9"/>
    <w:rsid w:val="006970EB"/>
    <w:rsid w:val="00697163"/>
    <w:rsid w:val="006A21DC"/>
    <w:rsid w:val="006A4B18"/>
    <w:rsid w:val="006A5008"/>
    <w:rsid w:val="006A503E"/>
    <w:rsid w:val="006A5492"/>
    <w:rsid w:val="006A67FB"/>
    <w:rsid w:val="006A69DD"/>
    <w:rsid w:val="006A78B3"/>
    <w:rsid w:val="006A793E"/>
    <w:rsid w:val="006B063F"/>
    <w:rsid w:val="006B1418"/>
    <w:rsid w:val="006B211D"/>
    <w:rsid w:val="006B2285"/>
    <w:rsid w:val="006B25AC"/>
    <w:rsid w:val="006B2BC7"/>
    <w:rsid w:val="006B39AD"/>
    <w:rsid w:val="006B60C7"/>
    <w:rsid w:val="006B61AA"/>
    <w:rsid w:val="006B6991"/>
    <w:rsid w:val="006C00A8"/>
    <w:rsid w:val="006C15A5"/>
    <w:rsid w:val="006C3170"/>
    <w:rsid w:val="006C3E12"/>
    <w:rsid w:val="006C3E31"/>
    <w:rsid w:val="006C4702"/>
    <w:rsid w:val="006C53E1"/>
    <w:rsid w:val="006C77B2"/>
    <w:rsid w:val="006D0254"/>
    <w:rsid w:val="006D1C1A"/>
    <w:rsid w:val="006D2352"/>
    <w:rsid w:val="006D2811"/>
    <w:rsid w:val="006D2E41"/>
    <w:rsid w:val="006D37E0"/>
    <w:rsid w:val="006D528A"/>
    <w:rsid w:val="006E1CCA"/>
    <w:rsid w:val="006E3AE5"/>
    <w:rsid w:val="006E4249"/>
    <w:rsid w:val="006E4450"/>
    <w:rsid w:val="006E5213"/>
    <w:rsid w:val="006E573F"/>
    <w:rsid w:val="006E62CC"/>
    <w:rsid w:val="006E6540"/>
    <w:rsid w:val="006E66AF"/>
    <w:rsid w:val="006E6F0E"/>
    <w:rsid w:val="006E7195"/>
    <w:rsid w:val="006F29CF"/>
    <w:rsid w:val="006F345B"/>
    <w:rsid w:val="006F4490"/>
    <w:rsid w:val="006F7062"/>
    <w:rsid w:val="00701D95"/>
    <w:rsid w:val="007028DD"/>
    <w:rsid w:val="00704CE3"/>
    <w:rsid w:val="00704CF9"/>
    <w:rsid w:val="00707BE0"/>
    <w:rsid w:val="007112EB"/>
    <w:rsid w:val="00712B1C"/>
    <w:rsid w:val="00714857"/>
    <w:rsid w:val="00717289"/>
    <w:rsid w:val="00717ABD"/>
    <w:rsid w:val="00720FA8"/>
    <w:rsid w:val="007211DB"/>
    <w:rsid w:val="00722BC0"/>
    <w:rsid w:val="007235ED"/>
    <w:rsid w:val="00723C56"/>
    <w:rsid w:val="00726168"/>
    <w:rsid w:val="00726D38"/>
    <w:rsid w:val="0072729D"/>
    <w:rsid w:val="00727788"/>
    <w:rsid w:val="007277FC"/>
    <w:rsid w:val="00727A6F"/>
    <w:rsid w:val="00730870"/>
    <w:rsid w:val="0073261D"/>
    <w:rsid w:val="007348DD"/>
    <w:rsid w:val="00740275"/>
    <w:rsid w:val="00743CAD"/>
    <w:rsid w:val="00745352"/>
    <w:rsid w:val="00745793"/>
    <w:rsid w:val="00745D00"/>
    <w:rsid w:val="00746922"/>
    <w:rsid w:val="00746BD2"/>
    <w:rsid w:val="00750518"/>
    <w:rsid w:val="00753310"/>
    <w:rsid w:val="007533CE"/>
    <w:rsid w:val="00754954"/>
    <w:rsid w:val="00754AE7"/>
    <w:rsid w:val="00755FD3"/>
    <w:rsid w:val="00756DBA"/>
    <w:rsid w:val="0075734D"/>
    <w:rsid w:val="00760F3A"/>
    <w:rsid w:val="00761B12"/>
    <w:rsid w:val="00763FFB"/>
    <w:rsid w:val="007643A7"/>
    <w:rsid w:val="00765A2C"/>
    <w:rsid w:val="007665A9"/>
    <w:rsid w:val="0076775B"/>
    <w:rsid w:val="00770C86"/>
    <w:rsid w:val="00771035"/>
    <w:rsid w:val="00771C95"/>
    <w:rsid w:val="00771F08"/>
    <w:rsid w:val="00772E1C"/>
    <w:rsid w:val="00773322"/>
    <w:rsid w:val="00773D74"/>
    <w:rsid w:val="00774528"/>
    <w:rsid w:val="00774873"/>
    <w:rsid w:val="00774FE4"/>
    <w:rsid w:val="00775622"/>
    <w:rsid w:val="00777C93"/>
    <w:rsid w:val="007811AB"/>
    <w:rsid w:val="00782F7D"/>
    <w:rsid w:val="00783526"/>
    <w:rsid w:val="007836D3"/>
    <w:rsid w:val="007838C3"/>
    <w:rsid w:val="00783C59"/>
    <w:rsid w:val="00784A29"/>
    <w:rsid w:val="007856EE"/>
    <w:rsid w:val="007856F4"/>
    <w:rsid w:val="00786386"/>
    <w:rsid w:val="0078675E"/>
    <w:rsid w:val="00786A4C"/>
    <w:rsid w:val="00790AA5"/>
    <w:rsid w:val="007927D2"/>
    <w:rsid w:val="00792BC7"/>
    <w:rsid w:val="0079402C"/>
    <w:rsid w:val="00794130"/>
    <w:rsid w:val="0079431F"/>
    <w:rsid w:val="00794BE0"/>
    <w:rsid w:val="007A0AE7"/>
    <w:rsid w:val="007A26DD"/>
    <w:rsid w:val="007A2A77"/>
    <w:rsid w:val="007A2E34"/>
    <w:rsid w:val="007A5407"/>
    <w:rsid w:val="007A56D2"/>
    <w:rsid w:val="007A62D5"/>
    <w:rsid w:val="007B1476"/>
    <w:rsid w:val="007B160B"/>
    <w:rsid w:val="007B1B3A"/>
    <w:rsid w:val="007B2008"/>
    <w:rsid w:val="007B3200"/>
    <w:rsid w:val="007B65CF"/>
    <w:rsid w:val="007B6F4B"/>
    <w:rsid w:val="007B7B4B"/>
    <w:rsid w:val="007C232B"/>
    <w:rsid w:val="007C2482"/>
    <w:rsid w:val="007C2499"/>
    <w:rsid w:val="007C292F"/>
    <w:rsid w:val="007C2F84"/>
    <w:rsid w:val="007C4852"/>
    <w:rsid w:val="007C4F02"/>
    <w:rsid w:val="007C5129"/>
    <w:rsid w:val="007C52F8"/>
    <w:rsid w:val="007C5930"/>
    <w:rsid w:val="007C6277"/>
    <w:rsid w:val="007D066F"/>
    <w:rsid w:val="007D1298"/>
    <w:rsid w:val="007D242F"/>
    <w:rsid w:val="007D2A35"/>
    <w:rsid w:val="007D36C6"/>
    <w:rsid w:val="007D464C"/>
    <w:rsid w:val="007D4AA1"/>
    <w:rsid w:val="007D61DC"/>
    <w:rsid w:val="007D63D0"/>
    <w:rsid w:val="007D6C17"/>
    <w:rsid w:val="007D7B00"/>
    <w:rsid w:val="007E0702"/>
    <w:rsid w:val="007E0847"/>
    <w:rsid w:val="007E4EFB"/>
    <w:rsid w:val="007E7BCF"/>
    <w:rsid w:val="007F013F"/>
    <w:rsid w:val="007F2F36"/>
    <w:rsid w:val="007F484E"/>
    <w:rsid w:val="007F4F81"/>
    <w:rsid w:val="007F6AC2"/>
    <w:rsid w:val="00801202"/>
    <w:rsid w:val="0080125C"/>
    <w:rsid w:val="0080203B"/>
    <w:rsid w:val="00802051"/>
    <w:rsid w:val="00802D48"/>
    <w:rsid w:val="00803C3F"/>
    <w:rsid w:val="008069DA"/>
    <w:rsid w:val="00806AF5"/>
    <w:rsid w:val="00807141"/>
    <w:rsid w:val="00811555"/>
    <w:rsid w:val="008129C1"/>
    <w:rsid w:val="00813941"/>
    <w:rsid w:val="0081416F"/>
    <w:rsid w:val="00814FD0"/>
    <w:rsid w:val="0081635B"/>
    <w:rsid w:val="00816806"/>
    <w:rsid w:val="008173DB"/>
    <w:rsid w:val="00817951"/>
    <w:rsid w:val="00821380"/>
    <w:rsid w:val="0082180A"/>
    <w:rsid w:val="00821D9B"/>
    <w:rsid w:val="0082229C"/>
    <w:rsid w:val="0082437C"/>
    <w:rsid w:val="00825D09"/>
    <w:rsid w:val="00826F99"/>
    <w:rsid w:val="00827A82"/>
    <w:rsid w:val="0083086F"/>
    <w:rsid w:val="008320BD"/>
    <w:rsid w:val="008322AA"/>
    <w:rsid w:val="0083280D"/>
    <w:rsid w:val="0083479C"/>
    <w:rsid w:val="00834883"/>
    <w:rsid w:val="00834CCA"/>
    <w:rsid w:val="00835684"/>
    <w:rsid w:val="00836BD1"/>
    <w:rsid w:val="00836CC9"/>
    <w:rsid w:val="008379E3"/>
    <w:rsid w:val="00837BBA"/>
    <w:rsid w:val="00840F2B"/>
    <w:rsid w:val="00841EBC"/>
    <w:rsid w:val="00841FF4"/>
    <w:rsid w:val="00842996"/>
    <w:rsid w:val="0084770B"/>
    <w:rsid w:val="00847A54"/>
    <w:rsid w:val="00852100"/>
    <w:rsid w:val="00853544"/>
    <w:rsid w:val="008541EA"/>
    <w:rsid w:val="00854ADF"/>
    <w:rsid w:val="00855D62"/>
    <w:rsid w:val="008571CB"/>
    <w:rsid w:val="008574CA"/>
    <w:rsid w:val="00857F59"/>
    <w:rsid w:val="008621D1"/>
    <w:rsid w:val="00862BC4"/>
    <w:rsid w:val="00864621"/>
    <w:rsid w:val="0086631B"/>
    <w:rsid w:val="00866E18"/>
    <w:rsid w:val="00867216"/>
    <w:rsid w:val="00871C89"/>
    <w:rsid w:val="0087204E"/>
    <w:rsid w:val="00872391"/>
    <w:rsid w:val="00872C3E"/>
    <w:rsid w:val="00875F6F"/>
    <w:rsid w:val="008769B5"/>
    <w:rsid w:val="0087757A"/>
    <w:rsid w:val="008802DD"/>
    <w:rsid w:val="0088165F"/>
    <w:rsid w:val="00882BCB"/>
    <w:rsid w:val="00883A0A"/>
    <w:rsid w:val="00885370"/>
    <w:rsid w:val="008859E5"/>
    <w:rsid w:val="00887BCF"/>
    <w:rsid w:val="008933E8"/>
    <w:rsid w:val="00893637"/>
    <w:rsid w:val="008936E1"/>
    <w:rsid w:val="00893B0F"/>
    <w:rsid w:val="008946CD"/>
    <w:rsid w:val="0089490B"/>
    <w:rsid w:val="00895857"/>
    <w:rsid w:val="00896342"/>
    <w:rsid w:val="008963B0"/>
    <w:rsid w:val="0089654D"/>
    <w:rsid w:val="00896BCA"/>
    <w:rsid w:val="00897828"/>
    <w:rsid w:val="008A1C25"/>
    <w:rsid w:val="008A2066"/>
    <w:rsid w:val="008A2F53"/>
    <w:rsid w:val="008A5FD6"/>
    <w:rsid w:val="008A7640"/>
    <w:rsid w:val="008B1520"/>
    <w:rsid w:val="008B176C"/>
    <w:rsid w:val="008B2213"/>
    <w:rsid w:val="008B634C"/>
    <w:rsid w:val="008B66EA"/>
    <w:rsid w:val="008B7988"/>
    <w:rsid w:val="008C17FA"/>
    <w:rsid w:val="008C1C77"/>
    <w:rsid w:val="008C4CF4"/>
    <w:rsid w:val="008C54A4"/>
    <w:rsid w:val="008C6995"/>
    <w:rsid w:val="008D069F"/>
    <w:rsid w:val="008D0CDC"/>
    <w:rsid w:val="008D2974"/>
    <w:rsid w:val="008D4436"/>
    <w:rsid w:val="008D4AD1"/>
    <w:rsid w:val="008D64B4"/>
    <w:rsid w:val="008E0C15"/>
    <w:rsid w:val="008E1702"/>
    <w:rsid w:val="008E2E39"/>
    <w:rsid w:val="008E3153"/>
    <w:rsid w:val="008E3872"/>
    <w:rsid w:val="008E4C01"/>
    <w:rsid w:val="008E510E"/>
    <w:rsid w:val="008E6D69"/>
    <w:rsid w:val="008F09C4"/>
    <w:rsid w:val="008F0C63"/>
    <w:rsid w:val="008F1E35"/>
    <w:rsid w:val="008F2582"/>
    <w:rsid w:val="008F25B5"/>
    <w:rsid w:val="008F3498"/>
    <w:rsid w:val="008F34EE"/>
    <w:rsid w:val="008F55BA"/>
    <w:rsid w:val="008F5B1E"/>
    <w:rsid w:val="008F6BFA"/>
    <w:rsid w:val="008F7E79"/>
    <w:rsid w:val="00900793"/>
    <w:rsid w:val="00900832"/>
    <w:rsid w:val="009008AD"/>
    <w:rsid w:val="009009C2"/>
    <w:rsid w:val="009010CF"/>
    <w:rsid w:val="00901A25"/>
    <w:rsid w:val="00903F90"/>
    <w:rsid w:val="00905381"/>
    <w:rsid w:val="009058AF"/>
    <w:rsid w:val="00906652"/>
    <w:rsid w:val="00907F6F"/>
    <w:rsid w:val="00910CE7"/>
    <w:rsid w:val="0091249C"/>
    <w:rsid w:val="00912AB4"/>
    <w:rsid w:val="00912DD2"/>
    <w:rsid w:val="009134B4"/>
    <w:rsid w:val="00913CF5"/>
    <w:rsid w:val="00913D06"/>
    <w:rsid w:val="009146BF"/>
    <w:rsid w:val="00917AB2"/>
    <w:rsid w:val="00920903"/>
    <w:rsid w:val="00921849"/>
    <w:rsid w:val="00923694"/>
    <w:rsid w:val="00924A3C"/>
    <w:rsid w:val="00924D49"/>
    <w:rsid w:val="0092538E"/>
    <w:rsid w:val="00925E79"/>
    <w:rsid w:val="0092685E"/>
    <w:rsid w:val="00927353"/>
    <w:rsid w:val="009314DD"/>
    <w:rsid w:val="0093186F"/>
    <w:rsid w:val="009319F2"/>
    <w:rsid w:val="009329FD"/>
    <w:rsid w:val="00933A46"/>
    <w:rsid w:val="00935125"/>
    <w:rsid w:val="00936561"/>
    <w:rsid w:val="009365F2"/>
    <w:rsid w:val="00937805"/>
    <w:rsid w:val="00943608"/>
    <w:rsid w:val="00944BCE"/>
    <w:rsid w:val="00944E9F"/>
    <w:rsid w:val="00944F5E"/>
    <w:rsid w:val="00945067"/>
    <w:rsid w:val="009464F6"/>
    <w:rsid w:val="00946B53"/>
    <w:rsid w:val="009470D9"/>
    <w:rsid w:val="00947FB0"/>
    <w:rsid w:val="0095080F"/>
    <w:rsid w:val="00951B5F"/>
    <w:rsid w:val="00952B83"/>
    <w:rsid w:val="00952ED3"/>
    <w:rsid w:val="00954C64"/>
    <w:rsid w:val="00955AF8"/>
    <w:rsid w:val="00956A13"/>
    <w:rsid w:val="0095796F"/>
    <w:rsid w:val="00957BE2"/>
    <w:rsid w:val="0096054C"/>
    <w:rsid w:val="00960618"/>
    <w:rsid w:val="009620DC"/>
    <w:rsid w:val="00965CB0"/>
    <w:rsid w:val="0096663A"/>
    <w:rsid w:val="00966AD1"/>
    <w:rsid w:val="00967463"/>
    <w:rsid w:val="009678F7"/>
    <w:rsid w:val="00972445"/>
    <w:rsid w:val="00976385"/>
    <w:rsid w:val="00976BE1"/>
    <w:rsid w:val="00976D4A"/>
    <w:rsid w:val="00977430"/>
    <w:rsid w:val="00977A5F"/>
    <w:rsid w:val="00983006"/>
    <w:rsid w:val="009832FF"/>
    <w:rsid w:val="009836A2"/>
    <w:rsid w:val="00983AFA"/>
    <w:rsid w:val="00983FF9"/>
    <w:rsid w:val="00984866"/>
    <w:rsid w:val="00984AD8"/>
    <w:rsid w:val="009856FC"/>
    <w:rsid w:val="00985988"/>
    <w:rsid w:val="00990151"/>
    <w:rsid w:val="0099111B"/>
    <w:rsid w:val="009929F2"/>
    <w:rsid w:val="00992FA4"/>
    <w:rsid w:val="00994ABD"/>
    <w:rsid w:val="009971D8"/>
    <w:rsid w:val="00997CCC"/>
    <w:rsid w:val="00997FC8"/>
    <w:rsid w:val="009A02C4"/>
    <w:rsid w:val="009A17EF"/>
    <w:rsid w:val="009A19B2"/>
    <w:rsid w:val="009A2885"/>
    <w:rsid w:val="009A2D4B"/>
    <w:rsid w:val="009A36C9"/>
    <w:rsid w:val="009A389E"/>
    <w:rsid w:val="009A5C06"/>
    <w:rsid w:val="009A6C54"/>
    <w:rsid w:val="009A74BD"/>
    <w:rsid w:val="009B1BB5"/>
    <w:rsid w:val="009B3F9F"/>
    <w:rsid w:val="009B3FDD"/>
    <w:rsid w:val="009B49B0"/>
    <w:rsid w:val="009B63EB"/>
    <w:rsid w:val="009B6EBB"/>
    <w:rsid w:val="009C1108"/>
    <w:rsid w:val="009C2993"/>
    <w:rsid w:val="009C2A03"/>
    <w:rsid w:val="009C2B60"/>
    <w:rsid w:val="009C37FC"/>
    <w:rsid w:val="009C6FA6"/>
    <w:rsid w:val="009C71D2"/>
    <w:rsid w:val="009C733B"/>
    <w:rsid w:val="009C79C3"/>
    <w:rsid w:val="009D021D"/>
    <w:rsid w:val="009D22CB"/>
    <w:rsid w:val="009D276D"/>
    <w:rsid w:val="009D3246"/>
    <w:rsid w:val="009D598A"/>
    <w:rsid w:val="009D7A5D"/>
    <w:rsid w:val="009E1B05"/>
    <w:rsid w:val="009E393B"/>
    <w:rsid w:val="009E3FCB"/>
    <w:rsid w:val="009E4DE5"/>
    <w:rsid w:val="009E5299"/>
    <w:rsid w:val="009E56FB"/>
    <w:rsid w:val="009E63A4"/>
    <w:rsid w:val="009E6709"/>
    <w:rsid w:val="009E671B"/>
    <w:rsid w:val="009F178B"/>
    <w:rsid w:val="009F27BE"/>
    <w:rsid w:val="009F4211"/>
    <w:rsid w:val="009F61B9"/>
    <w:rsid w:val="009F6241"/>
    <w:rsid w:val="00A00230"/>
    <w:rsid w:val="00A0069D"/>
    <w:rsid w:val="00A01B28"/>
    <w:rsid w:val="00A03281"/>
    <w:rsid w:val="00A07BB4"/>
    <w:rsid w:val="00A11388"/>
    <w:rsid w:val="00A11A64"/>
    <w:rsid w:val="00A11C2A"/>
    <w:rsid w:val="00A121BE"/>
    <w:rsid w:val="00A12237"/>
    <w:rsid w:val="00A12B74"/>
    <w:rsid w:val="00A12CFF"/>
    <w:rsid w:val="00A16D48"/>
    <w:rsid w:val="00A206B4"/>
    <w:rsid w:val="00A21726"/>
    <w:rsid w:val="00A23D7A"/>
    <w:rsid w:val="00A23F0F"/>
    <w:rsid w:val="00A24468"/>
    <w:rsid w:val="00A246AB"/>
    <w:rsid w:val="00A2650D"/>
    <w:rsid w:val="00A274C7"/>
    <w:rsid w:val="00A27E41"/>
    <w:rsid w:val="00A31EEB"/>
    <w:rsid w:val="00A32E52"/>
    <w:rsid w:val="00A33928"/>
    <w:rsid w:val="00A339BA"/>
    <w:rsid w:val="00A34325"/>
    <w:rsid w:val="00A349F4"/>
    <w:rsid w:val="00A36393"/>
    <w:rsid w:val="00A36399"/>
    <w:rsid w:val="00A40A8C"/>
    <w:rsid w:val="00A4169B"/>
    <w:rsid w:val="00A42563"/>
    <w:rsid w:val="00A4262C"/>
    <w:rsid w:val="00A42850"/>
    <w:rsid w:val="00A42CFF"/>
    <w:rsid w:val="00A441AC"/>
    <w:rsid w:val="00A446E9"/>
    <w:rsid w:val="00A4527B"/>
    <w:rsid w:val="00A45287"/>
    <w:rsid w:val="00A4631C"/>
    <w:rsid w:val="00A47316"/>
    <w:rsid w:val="00A47367"/>
    <w:rsid w:val="00A500CF"/>
    <w:rsid w:val="00A5049C"/>
    <w:rsid w:val="00A51389"/>
    <w:rsid w:val="00A52A82"/>
    <w:rsid w:val="00A530FC"/>
    <w:rsid w:val="00A541C3"/>
    <w:rsid w:val="00A54E09"/>
    <w:rsid w:val="00A56951"/>
    <w:rsid w:val="00A56E6B"/>
    <w:rsid w:val="00A56F64"/>
    <w:rsid w:val="00A57240"/>
    <w:rsid w:val="00A57697"/>
    <w:rsid w:val="00A6178C"/>
    <w:rsid w:val="00A629C2"/>
    <w:rsid w:val="00A62D51"/>
    <w:rsid w:val="00A63073"/>
    <w:rsid w:val="00A6373D"/>
    <w:rsid w:val="00A6402C"/>
    <w:rsid w:val="00A65C5F"/>
    <w:rsid w:val="00A70E87"/>
    <w:rsid w:val="00A714C5"/>
    <w:rsid w:val="00A72641"/>
    <w:rsid w:val="00A7275D"/>
    <w:rsid w:val="00A7537F"/>
    <w:rsid w:val="00A7632B"/>
    <w:rsid w:val="00A768A8"/>
    <w:rsid w:val="00A7734E"/>
    <w:rsid w:val="00A80E09"/>
    <w:rsid w:val="00A81C4A"/>
    <w:rsid w:val="00A82684"/>
    <w:rsid w:val="00A828B6"/>
    <w:rsid w:val="00A84C69"/>
    <w:rsid w:val="00A874F6"/>
    <w:rsid w:val="00A914B2"/>
    <w:rsid w:val="00A93322"/>
    <w:rsid w:val="00A934D0"/>
    <w:rsid w:val="00A93986"/>
    <w:rsid w:val="00A942E4"/>
    <w:rsid w:val="00A94661"/>
    <w:rsid w:val="00A96773"/>
    <w:rsid w:val="00AA0D6A"/>
    <w:rsid w:val="00AA102B"/>
    <w:rsid w:val="00AA170D"/>
    <w:rsid w:val="00AA3E47"/>
    <w:rsid w:val="00AA4DA1"/>
    <w:rsid w:val="00AA7214"/>
    <w:rsid w:val="00AB005A"/>
    <w:rsid w:val="00AB4E84"/>
    <w:rsid w:val="00AB4FED"/>
    <w:rsid w:val="00AB6C65"/>
    <w:rsid w:val="00AB6FB9"/>
    <w:rsid w:val="00AB72E6"/>
    <w:rsid w:val="00AB774E"/>
    <w:rsid w:val="00AC064A"/>
    <w:rsid w:val="00AC149E"/>
    <w:rsid w:val="00AC15C0"/>
    <w:rsid w:val="00AC1D97"/>
    <w:rsid w:val="00AC2383"/>
    <w:rsid w:val="00AC3C82"/>
    <w:rsid w:val="00AD0A35"/>
    <w:rsid w:val="00AD0BF0"/>
    <w:rsid w:val="00AD352C"/>
    <w:rsid w:val="00AD39ED"/>
    <w:rsid w:val="00AD3F83"/>
    <w:rsid w:val="00AD6FBC"/>
    <w:rsid w:val="00AD7371"/>
    <w:rsid w:val="00AD73E9"/>
    <w:rsid w:val="00AD754C"/>
    <w:rsid w:val="00AD7F59"/>
    <w:rsid w:val="00AE1197"/>
    <w:rsid w:val="00AE24F5"/>
    <w:rsid w:val="00AE528C"/>
    <w:rsid w:val="00AE6DBB"/>
    <w:rsid w:val="00AF0ED1"/>
    <w:rsid w:val="00AF17BB"/>
    <w:rsid w:val="00AF2503"/>
    <w:rsid w:val="00AF25CF"/>
    <w:rsid w:val="00AF43C7"/>
    <w:rsid w:val="00AF5ABD"/>
    <w:rsid w:val="00AF5CF5"/>
    <w:rsid w:val="00AF6EEF"/>
    <w:rsid w:val="00AF7F99"/>
    <w:rsid w:val="00B0002B"/>
    <w:rsid w:val="00B00FEC"/>
    <w:rsid w:val="00B018D5"/>
    <w:rsid w:val="00B0269B"/>
    <w:rsid w:val="00B04326"/>
    <w:rsid w:val="00B04A38"/>
    <w:rsid w:val="00B04DC8"/>
    <w:rsid w:val="00B04E43"/>
    <w:rsid w:val="00B04F33"/>
    <w:rsid w:val="00B054AE"/>
    <w:rsid w:val="00B05AB9"/>
    <w:rsid w:val="00B05D5C"/>
    <w:rsid w:val="00B05F9A"/>
    <w:rsid w:val="00B069EF"/>
    <w:rsid w:val="00B07385"/>
    <w:rsid w:val="00B103F5"/>
    <w:rsid w:val="00B12A9C"/>
    <w:rsid w:val="00B146D5"/>
    <w:rsid w:val="00B1590E"/>
    <w:rsid w:val="00B16F2C"/>
    <w:rsid w:val="00B20ABD"/>
    <w:rsid w:val="00B20D66"/>
    <w:rsid w:val="00B20E2E"/>
    <w:rsid w:val="00B224DF"/>
    <w:rsid w:val="00B23DB0"/>
    <w:rsid w:val="00B30DBE"/>
    <w:rsid w:val="00B31E30"/>
    <w:rsid w:val="00B3283C"/>
    <w:rsid w:val="00B417C1"/>
    <w:rsid w:val="00B42132"/>
    <w:rsid w:val="00B44293"/>
    <w:rsid w:val="00B44670"/>
    <w:rsid w:val="00B47327"/>
    <w:rsid w:val="00B503C0"/>
    <w:rsid w:val="00B53202"/>
    <w:rsid w:val="00B53239"/>
    <w:rsid w:val="00B539A6"/>
    <w:rsid w:val="00B541CE"/>
    <w:rsid w:val="00B55774"/>
    <w:rsid w:val="00B5666B"/>
    <w:rsid w:val="00B571FC"/>
    <w:rsid w:val="00B57A98"/>
    <w:rsid w:val="00B57F0E"/>
    <w:rsid w:val="00B618F5"/>
    <w:rsid w:val="00B63A99"/>
    <w:rsid w:val="00B658D9"/>
    <w:rsid w:val="00B65B0E"/>
    <w:rsid w:val="00B65D37"/>
    <w:rsid w:val="00B66DBA"/>
    <w:rsid w:val="00B704BD"/>
    <w:rsid w:val="00B7128C"/>
    <w:rsid w:val="00B73491"/>
    <w:rsid w:val="00B74720"/>
    <w:rsid w:val="00B74F19"/>
    <w:rsid w:val="00B75E47"/>
    <w:rsid w:val="00B76DAB"/>
    <w:rsid w:val="00B813CC"/>
    <w:rsid w:val="00B81E94"/>
    <w:rsid w:val="00B833CD"/>
    <w:rsid w:val="00B901BD"/>
    <w:rsid w:val="00B930B0"/>
    <w:rsid w:val="00B9327B"/>
    <w:rsid w:val="00B94386"/>
    <w:rsid w:val="00B947EF"/>
    <w:rsid w:val="00B94A60"/>
    <w:rsid w:val="00B94B0A"/>
    <w:rsid w:val="00B9594D"/>
    <w:rsid w:val="00B962DE"/>
    <w:rsid w:val="00BA0FE4"/>
    <w:rsid w:val="00BA37D6"/>
    <w:rsid w:val="00BA40E9"/>
    <w:rsid w:val="00BA41C5"/>
    <w:rsid w:val="00BA5AA8"/>
    <w:rsid w:val="00BA6541"/>
    <w:rsid w:val="00BA6798"/>
    <w:rsid w:val="00BA6D38"/>
    <w:rsid w:val="00BB0850"/>
    <w:rsid w:val="00BB1895"/>
    <w:rsid w:val="00BB5140"/>
    <w:rsid w:val="00BB5189"/>
    <w:rsid w:val="00BB79FF"/>
    <w:rsid w:val="00BB7C82"/>
    <w:rsid w:val="00BC1444"/>
    <w:rsid w:val="00BC1BBF"/>
    <w:rsid w:val="00BC20A3"/>
    <w:rsid w:val="00BC3D48"/>
    <w:rsid w:val="00BC42D4"/>
    <w:rsid w:val="00BC4674"/>
    <w:rsid w:val="00BC4CAE"/>
    <w:rsid w:val="00BC51A9"/>
    <w:rsid w:val="00BC6664"/>
    <w:rsid w:val="00BD1687"/>
    <w:rsid w:val="00BD24D2"/>
    <w:rsid w:val="00BD2744"/>
    <w:rsid w:val="00BD5155"/>
    <w:rsid w:val="00BD59DE"/>
    <w:rsid w:val="00BD6017"/>
    <w:rsid w:val="00BD6832"/>
    <w:rsid w:val="00BD7202"/>
    <w:rsid w:val="00BD78A8"/>
    <w:rsid w:val="00BE0B57"/>
    <w:rsid w:val="00BE0BF6"/>
    <w:rsid w:val="00BE3151"/>
    <w:rsid w:val="00BE42DC"/>
    <w:rsid w:val="00BE4F0C"/>
    <w:rsid w:val="00BE54C4"/>
    <w:rsid w:val="00BE6265"/>
    <w:rsid w:val="00BE6C06"/>
    <w:rsid w:val="00BE70EF"/>
    <w:rsid w:val="00BF0056"/>
    <w:rsid w:val="00BF05EF"/>
    <w:rsid w:val="00BF217A"/>
    <w:rsid w:val="00BF3ABD"/>
    <w:rsid w:val="00BF4969"/>
    <w:rsid w:val="00BF49E6"/>
    <w:rsid w:val="00BF585D"/>
    <w:rsid w:val="00BF713B"/>
    <w:rsid w:val="00C0074B"/>
    <w:rsid w:val="00C012E3"/>
    <w:rsid w:val="00C013A9"/>
    <w:rsid w:val="00C01A83"/>
    <w:rsid w:val="00C01E43"/>
    <w:rsid w:val="00C01FC0"/>
    <w:rsid w:val="00C02227"/>
    <w:rsid w:val="00C03CEC"/>
    <w:rsid w:val="00C0522B"/>
    <w:rsid w:val="00C05413"/>
    <w:rsid w:val="00C05D09"/>
    <w:rsid w:val="00C07E51"/>
    <w:rsid w:val="00C11636"/>
    <w:rsid w:val="00C11BDA"/>
    <w:rsid w:val="00C12B66"/>
    <w:rsid w:val="00C13A7B"/>
    <w:rsid w:val="00C14863"/>
    <w:rsid w:val="00C151A6"/>
    <w:rsid w:val="00C157B4"/>
    <w:rsid w:val="00C15CA2"/>
    <w:rsid w:val="00C16F34"/>
    <w:rsid w:val="00C1762C"/>
    <w:rsid w:val="00C17E81"/>
    <w:rsid w:val="00C203BD"/>
    <w:rsid w:val="00C204FD"/>
    <w:rsid w:val="00C2219E"/>
    <w:rsid w:val="00C241C4"/>
    <w:rsid w:val="00C25FF5"/>
    <w:rsid w:val="00C278B8"/>
    <w:rsid w:val="00C31032"/>
    <w:rsid w:val="00C311A3"/>
    <w:rsid w:val="00C322F8"/>
    <w:rsid w:val="00C324D7"/>
    <w:rsid w:val="00C329CC"/>
    <w:rsid w:val="00C334B1"/>
    <w:rsid w:val="00C344A5"/>
    <w:rsid w:val="00C34D31"/>
    <w:rsid w:val="00C37BD8"/>
    <w:rsid w:val="00C40296"/>
    <w:rsid w:val="00C403F2"/>
    <w:rsid w:val="00C418CF"/>
    <w:rsid w:val="00C41CBB"/>
    <w:rsid w:val="00C44C11"/>
    <w:rsid w:val="00C45957"/>
    <w:rsid w:val="00C46DE9"/>
    <w:rsid w:val="00C56D5B"/>
    <w:rsid w:val="00C57B55"/>
    <w:rsid w:val="00C60C72"/>
    <w:rsid w:val="00C61A8B"/>
    <w:rsid w:val="00C63B2E"/>
    <w:rsid w:val="00C66BBB"/>
    <w:rsid w:val="00C66E44"/>
    <w:rsid w:val="00C702C6"/>
    <w:rsid w:val="00C70631"/>
    <w:rsid w:val="00C713CF"/>
    <w:rsid w:val="00C718F8"/>
    <w:rsid w:val="00C71DA1"/>
    <w:rsid w:val="00C7208B"/>
    <w:rsid w:val="00C738CB"/>
    <w:rsid w:val="00C76FB4"/>
    <w:rsid w:val="00C77043"/>
    <w:rsid w:val="00C77774"/>
    <w:rsid w:val="00C80159"/>
    <w:rsid w:val="00C81A6C"/>
    <w:rsid w:val="00C82332"/>
    <w:rsid w:val="00C86D5C"/>
    <w:rsid w:val="00C86E27"/>
    <w:rsid w:val="00C879B0"/>
    <w:rsid w:val="00C92181"/>
    <w:rsid w:val="00C925B6"/>
    <w:rsid w:val="00C93847"/>
    <w:rsid w:val="00C93BB7"/>
    <w:rsid w:val="00C95491"/>
    <w:rsid w:val="00C95A2C"/>
    <w:rsid w:val="00C97603"/>
    <w:rsid w:val="00C97AAA"/>
    <w:rsid w:val="00CA0542"/>
    <w:rsid w:val="00CA0751"/>
    <w:rsid w:val="00CA09EF"/>
    <w:rsid w:val="00CA0E44"/>
    <w:rsid w:val="00CA17D5"/>
    <w:rsid w:val="00CA2B4E"/>
    <w:rsid w:val="00CA3DB5"/>
    <w:rsid w:val="00CA53FB"/>
    <w:rsid w:val="00CA5756"/>
    <w:rsid w:val="00CA6861"/>
    <w:rsid w:val="00CA72B4"/>
    <w:rsid w:val="00CB2A1F"/>
    <w:rsid w:val="00CB380E"/>
    <w:rsid w:val="00CB538E"/>
    <w:rsid w:val="00CB70D6"/>
    <w:rsid w:val="00CB7B00"/>
    <w:rsid w:val="00CB7F80"/>
    <w:rsid w:val="00CC0017"/>
    <w:rsid w:val="00CC06F6"/>
    <w:rsid w:val="00CC1936"/>
    <w:rsid w:val="00CC2350"/>
    <w:rsid w:val="00CC2AE0"/>
    <w:rsid w:val="00CC31B0"/>
    <w:rsid w:val="00CC38B8"/>
    <w:rsid w:val="00CC4BCA"/>
    <w:rsid w:val="00CC4DFF"/>
    <w:rsid w:val="00CC51B3"/>
    <w:rsid w:val="00CC5F84"/>
    <w:rsid w:val="00CC7681"/>
    <w:rsid w:val="00CC792A"/>
    <w:rsid w:val="00CC7F5B"/>
    <w:rsid w:val="00CD06F4"/>
    <w:rsid w:val="00CD0B7D"/>
    <w:rsid w:val="00CD3483"/>
    <w:rsid w:val="00CD6372"/>
    <w:rsid w:val="00CD637A"/>
    <w:rsid w:val="00CD68AA"/>
    <w:rsid w:val="00CE17BF"/>
    <w:rsid w:val="00CE278A"/>
    <w:rsid w:val="00CE2B2E"/>
    <w:rsid w:val="00CF350D"/>
    <w:rsid w:val="00CF3804"/>
    <w:rsid w:val="00CF3A3D"/>
    <w:rsid w:val="00CF54C1"/>
    <w:rsid w:val="00CF630E"/>
    <w:rsid w:val="00CF6513"/>
    <w:rsid w:val="00CF675D"/>
    <w:rsid w:val="00D00F1F"/>
    <w:rsid w:val="00D013E4"/>
    <w:rsid w:val="00D02963"/>
    <w:rsid w:val="00D04900"/>
    <w:rsid w:val="00D04D70"/>
    <w:rsid w:val="00D062A9"/>
    <w:rsid w:val="00D074E2"/>
    <w:rsid w:val="00D102F7"/>
    <w:rsid w:val="00D107BB"/>
    <w:rsid w:val="00D11DBC"/>
    <w:rsid w:val="00D1250E"/>
    <w:rsid w:val="00D14E22"/>
    <w:rsid w:val="00D15790"/>
    <w:rsid w:val="00D159F4"/>
    <w:rsid w:val="00D15B7C"/>
    <w:rsid w:val="00D16427"/>
    <w:rsid w:val="00D164E3"/>
    <w:rsid w:val="00D167DE"/>
    <w:rsid w:val="00D16FB1"/>
    <w:rsid w:val="00D21FF0"/>
    <w:rsid w:val="00D22EA5"/>
    <w:rsid w:val="00D235C4"/>
    <w:rsid w:val="00D23C6C"/>
    <w:rsid w:val="00D244C9"/>
    <w:rsid w:val="00D26350"/>
    <w:rsid w:val="00D2724D"/>
    <w:rsid w:val="00D276DB"/>
    <w:rsid w:val="00D30C02"/>
    <w:rsid w:val="00D33962"/>
    <w:rsid w:val="00D34CCA"/>
    <w:rsid w:val="00D35CF2"/>
    <w:rsid w:val="00D36EE1"/>
    <w:rsid w:val="00D42609"/>
    <w:rsid w:val="00D43F12"/>
    <w:rsid w:val="00D463B1"/>
    <w:rsid w:val="00D4774D"/>
    <w:rsid w:val="00D47EAF"/>
    <w:rsid w:val="00D507A5"/>
    <w:rsid w:val="00D511A7"/>
    <w:rsid w:val="00D51277"/>
    <w:rsid w:val="00D51AB9"/>
    <w:rsid w:val="00D53930"/>
    <w:rsid w:val="00D54FB4"/>
    <w:rsid w:val="00D55C9F"/>
    <w:rsid w:val="00D60455"/>
    <w:rsid w:val="00D60609"/>
    <w:rsid w:val="00D62103"/>
    <w:rsid w:val="00D62398"/>
    <w:rsid w:val="00D62BF8"/>
    <w:rsid w:val="00D63AEE"/>
    <w:rsid w:val="00D63D2A"/>
    <w:rsid w:val="00D64496"/>
    <w:rsid w:val="00D650C9"/>
    <w:rsid w:val="00D659F6"/>
    <w:rsid w:val="00D65E87"/>
    <w:rsid w:val="00D673E6"/>
    <w:rsid w:val="00D708A6"/>
    <w:rsid w:val="00D71D86"/>
    <w:rsid w:val="00D7383A"/>
    <w:rsid w:val="00D738B1"/>
    <w:rsid w:val="00D743F7"/>
    <w:rsid w:val="00D756A0"/>
    <w:rsid w:val="00D761BA"/>
    <w:rsid w:val="00D77103"/>
    <w:rsid w:val="00D7767B"/>
    <w:rsid w:val="00D809E1"/>
    <w:rsid w:val="00D81BB4"/>
    <w:rsid w:val="00D838E4"/>
    <w:rsid w:val="00D847F0"/>
    <w:rsid w:val="00D85E8A"/>
    <w:rsid w:val="00D865AD"/>
    <w:rsid w:val="00D87215"/>
    <w:rsid w:val="00D8741E"/>
    <w:rsid w:val="00D87CEC"/>
    <w:rsid w:val="00D9044A"/>
    <w:rsid w:val="00D91E32"/>
    <w:rsid w:val="00D92F74"/>
    <w:rsid w:val="00D942DF"/>
    <w:rsid w:val="00D96191"/>
    <w:rsid w:val="00DA0CA8"/>
    <w:rsid w:val="00DA0CE7"/>
    <w:rsid w:val="00DA129D"/>
    <w:rsid w:val="00DA241D"/>
    <w:rsid w:val="00DA33BA"/>
    <w:rsid w:val="00DA35D2"/>
    <w:rsid w:val="00DA3833"/>
    <w:rsid w:val="00DA4FEE"/>
    <w:rsid w:val="00DA509D"/>
    <w:rsid w:val="00DA607E"/>
    <w:rsid w:val="00DA67CE"/>
    <w:rsid w:val="00DA7761"/>
    <w:rsid w:val="00DB07FC"/>
    <w:rsid w:val="00DB0935"/>
    <w:rsid w:val="00DB135C"/>
    <w:rsid w:val="00DB2EAE"/>
    <w:rsid w:val="00DB3736"/>
    <w:rsid w:val="00DB5910"/>
    <w:rsid w:val="00DB6868"/>
    <w:rsid w:val="00DB6F83"/>
    <w:rsid w:val="00DB7528"/>
    <w:rsid w:val="00DB75FB"/>
    <w:rsid w:val="00DB7E09"/>
    <w:rsid w:val="00DC56DE"/>
    <w:rsid w:val="00DC6A9C"/>
    <w:rsid w:val="00DC7CCB"/>
    <w:rsid w:val="00DD06CA"/>
    <w:rsid w:val="00DD0797"/>
    <w:rsid w:val="00DD43DA"/>
    <w:rsid w:val="00DD5274"/>
    <w:rsid w:val="00DD59D1"/>
    <w:rsid w:val="00DE1730"/>
    <w:rsid w:val="00DE3E34"/>
    <w:rsid w:val="00DE44BF"/>
    <w:rsid w:val="00DE509D"/>
    <w:rsid w:val="00DF414C"/>
    <w:rsid w:val="00DF65F1"/>
    <w:rsid w:val="00DF672E"/>
    <w:rsid w:val="00DF74BF"/>
    <w:rsid w:val="00DF7C42"/>
    <w:rsid w:val="00DF7E34"/>
    <w:rsid w:val="00E0266D"/>
    <w:rsid w:val="00E02A80"/>
    <w:rsid w:val="00E03B3D"/>
    <w:rsid w:val="00E03F4C"/>
    <w:rsid w:val="00E04944"/>
    <w:rsid w:val="00E04B13"/>
    <w:rsid w:val="00E04C97"/>
    <w:rsid w:val="00E07186"/>
    <w:rsid w:val="00E07EE3"/>
    <w:rsid w:val="00E13131"/>
    <w:rsid w:val="00E141E7"/>
    <w:rsid w:val="00E1505B"/>
    <w:rsid w:val="00E15183"/>
    <w:rsid w:val="00E16EDE"/>
    <w:rsid w:val="00E176AC"/>
    <w:rsid w:val="00E212BC"/>
    <w:rsid w:val="00E243B0"/>
    <w:rsid w:val="00E25FE7"/>
    <w:rsid w:val="00E260FA"/>
    <w:rsid w:val="00E269DF"/>
    <w:rsid w:val="00E30549"/>
    <w:rsid w:val="00E3128E"/>
    <w:rsid w:val="00E3177A"/>
    <w:rsid w:val="00E35210"/>
    <w:rsid w:val="00E36763"/>
    <w:rsid w:val="00E3792F"/>
    <w:rsid w:val="00E40E50"/>
    <w:rsid w:val="00E42ABA"/>
    <w:rsid w:val="00E42F29"/>
    <w:rsid w:val="00E44DB1"/>
    <w:rsid w:val="00E44F0B"/>
    <w:rsid w:val="00E455E6"/>
    <w:rsid w:val="00E46B98"/>
    <w:rsid w:val="00E47AF1"/>
    <w:rsid w:val="00E51CBA"/>
    <w:rsid w:val="00E5341C"/>
    <w:rsid w:val="00E5562A"/>
    <w:rsid w:val="00E57CFB"/>
    <w:rsid w:val="00E6096C"/>
    <w:rsid w:val="00E60D30"/>
    <w:rsid w:val="00E6524A"/>
    <w:rsid w:val="00E653AE"/>
    <w:rsid w:val="00E668C7"/>
    <w:rsid w:val="00E66ED5"/>
    <w:rsid w:val="00E70DFF"/>
    <w:rsid w:val="00E71BBD"/>
    <w:rsid w:val="00E72065"/>
    <w:rsid w:val="00E7267E"/>
    <w:rsid w:val="00E73318"/>
    <w:rsid w:val="00E73C67"/>
    <w:rsid w:val="00E742BD"/>
    <w:rsid w:val="00E8141D"/>
    <w:rsid w:val="00E82484"/>
    <w:rsid w:val="00E82C79"/>
    <w:rsid w:val="00E84D35"/>
    <w:rsid w:val="00E85BD1"/>
    <w:rsid w:val="00E91175"/>
    <w:rsid w:val="00E9205A"/>
    <w:rsid w:val="00E9217B"/>
    <w:rsid w:val="00E92503"/>
    <w:rsid w:val="00E937D6"/>
    <w:rsid w:val="00E9705E"/>
    <w:rsid w:val="00E97175"/>
    <w:rsid w:val="00E97C24"/>
    <w:rsid w:val="00EA0E3D"/>
    <w:rsid w:val="00EA2157"/>
    <w:rsid w:val="00EA2380"/>
    <w:rsid w:val="00EA2FB4"/>
    <w:rsid w:val="00EA5922"/>
    <w:rsid w:val="00EA62A5"/>
    <w:rsid w:val="00EA6BC6"/>
    <w:rsid w:val="00EB1773"/>
    <w:rsid w:val="00EB1E8F"/>
    <w:rsid w:val="00EB1F4E"/>
    <w:rsid w:val="00EB23A6"/>
    <w:rsid w:val="00EB2974"/>
    <w:rsid w:val="00EB2F0C"/>
    <w:rsid w:val="00EB7CAB"/>
    <w:rsid w:val="00EC1A4A"/>
    <w:rsid w:val="00EC570F"/>
    <w:rsid w:val="00EC5A7A"/>
    <w:rsid w:val="00EC7B5D"/>
    <w:rsid w:val="00ED0623"/>
    <w:rsid w:val="00ED082C"/>
    <w:rsid w:val="00ED2273"/>
    <w:rsid w:val="00ED3359"/>
    <w:rsid w:val="00ED3CFC"/>
    <w:rsid w:val="00ED59E8"/>
    <w:rsid w:val="00ED64CC"/>
    <w:rsid w:val="00ED78CE"/>
    <w:rsid w:val="00ED79DC"/>
    <w:rsid w:val="00ED7A07"/>
    <w:rsid w:val="00ED7FC3"/>
    <w:rsid w:val="00EE0048"/>
    <w:rsid w:val="00EE043E"/>
    <w:rsid w:val="00EE0F79"/>
    <w:rsid w:val="00EE2593"/>
    <w:rsid w:val="00EE2920"/>
    <w:rsid w:val="00EE3A69"/>
    <w:rsid w:val="00EE46F3"/>
    <w:rsid w:val="00EE51D4"/>
    <w:rsid w:val="00EE66B0"/>
    <w:rsid w:val="00EE7D7C"/>
    <w:rsid w:val="00EF23BE"/>
    <w:rsid w:val="00EF23FA"/>
    <w:rsid w:val="00EF2F79"/>
    <w:rsid w:val="00EF6491"/>
    <w:rsid w:val="00F0013F"/>
    <w:rsid w:val="00F00E7D"/>
    <w:rsid w:val="00F02654"/>
    <w:rsid w:val="00F03771"/>
    <w:rsid w:val="00F0517F"/>
    <w:rsid w:val="00F054F1"/>
    <w:rsid w:val="00F05DB9"/>
    <w:rsid w:val="00F06570"/>
    <w:rsid w:val="00F0769D"/>
    <w:rsid w:val="00F0782A"/>
    <w:rsid w:val="00F11DA9"/>
    <w:rsid w:val="00F12916"/>
    <w:rsid w:val="00F1363A"/>
    <w:rsid w:val="00F13C7E"/>
    <w:rsid w:val="00F16692"/>
    <w:rsid w:val="00F1672C"/>
    <w:rsid w:val="00F17EDC"/>
    <w:rsid w:val="00F20407"/>
    <w:rsid w:val="00F20504"/>
    <w:rsid w:val="00F2122A"/>
    <w:rsid w:val="00F238F9"/>
    <w:rsid w:val="00F24CF4"/>
    <w:rsid w:val="00F26D23"/>
    <w:rsid w:val="00F27251"/>
    <w:rsid w:val="00F30316"/>
    <w:rsid w:val="00F306B2"/>
    <w:rsid w:val="00F312B0"/>
    <w:rsid w:val="00F313CE"/>
    <w:rsid w:val="00F31FF1"/>
    <w:rsid w:val="00F32136"/>
    <w:rsid w:val="00F33027"/>
    <w:rsid w:val="00F356CF"/>
    <w:rsid w:val="00F368CF"/>
    <w:rsid w:val="00F372AE"/>
    <w:rsid w:val="00F41A65"/>
    <w:rsid w:val="00F43381"/>
    <w:rsid w:val="00F437BC"/>
    <w:rsid w:val="00F43BBF"/>
    <w:rsid w:val="00F44792"/>
    <w:rsid w:val="00F45D55"/>
    <w:rsid w:val="00F46B88"/>
    <w:rsid w:val="00F477EB"/>
    <w:rsid w:val="00F47AC8"/>
    <w:rsid w:val="00F47C24"/>
    <w:rsid w:val="00F502D6"/>
    <w:rsid w:val="00F5061A"/>
    <w:rsid w:val="00F51438"/>
    <w:rsid w:val="00F516D4"/>
    <w:rsid w:val="00F52B5D"/>
    <w:rsid w:val="00F52B7D"/>
    <w:rsid w:val="00F5390F"/>
    <w:rsid w:val="00F53ECD"/>
    <w:rsid w:val="00F579FB"/>
    <w:rsid w:val="00F60B55"/>
    <w:rsid w:val="00F616ED"/>
    <w:rsid w:val="00F6251A"/>
    <w:rsid w:val="00F63509"/>
    <w:rsid w:val="00F63A35"/>
    <w:rsid w:val="00F66021"/>
    <w:rsid w:val="00F66E28"/>
    <w:rsid w:val="00F704C5"/>
    <w:rsid w:val="00F708B4"/>
    <w:rsid w:val="00F72EB2"/>
    <w:rsid w:val="00F74514"/>
    <w:rsid w:val="00F74D27"/>
    <w:rsid w:val="00F756D4"/>
    <w:rsid w:val="00F822B4"/>
    <w:rsid w:val="00F822CC"/>
    <w:rsid w:val="00F826B4"/>
    <w:rsid w:val="00F837F6"/>
    <w:rsid w:val="00F83CCD"/>
    <w:rsid w:val="00F84713"/>
    <w:rsid w:val="00F86165"/>
    <w:rsid w:val="00F865F1"/>
    <w:rsid w:val="00F90896"/>
    <w:rsid w:val="00F90D05"/>
    <w:rsid w:val="00F91EB9"/>
    <w:rsid w:val="00F92217"/>
    <w:rsid w:val="00F92429"/>
    <w:rsid w:val="00F930D0"/>
    <w:rsid w:val="00F95AA4"/>
    <w:rsid w:val="00F97FFA"/>
    <w:rsid w:val="00FA0A14"/>
    <w:rsid w:val="00FA0DDA"/>
    <w:rsid w:val="00FA176C"/>
    <w:rsid w:val="00FA2798"/>
    <w:rsid w:val="00FA3295"/>
    <w:rsid w:val="00FA3327"/>
    <w:rsid w:val="00FA5AD5"/>
    <w:rsid w:val="00FA5E08"/>
    <w:rsid w:val="00FA7848"/>
    <w:rsid w:val="00FA7969"/>
    <w:rsid w:val="00FB0222"/>
    <w:rsid w:val="00FB1FC5"/>
    <w:rsid w:val="00FB1FD4"/>
    <w:rsid w:val="00FB42CC"/>
    <w:rsid w:val="00FB48F8"/>
    <w:rsid w:val="00FB55F1"/>
    <w:rsid w:val="00FB5D1F"/>
    <w:rsid w:val="00FB6318"/>
    <w:rsid w:val="00FB6E62"/>
    <w:rsid w:val="00FB718F"/>
    <w:rsid w:val="00FB7A5B"/>
    <w:rsid w:val="00FC077C"/>
    <w:rsid w:val="00FC0BAB"/>
    <w:rsid w:val="00FC0DBC"/>
    <w:rsid w:val="00FC1E56"/>
    <w:rsid w:val="00FC2624"/>
    <w:rsid w:val="00FC35E8"/>
    <w:rsid w:val="00FC5692"/>
    <w:rsid w:val="00FC63A7"/>
    <w:rsid w:val="00FD001A"/>
    <w:rsid w:val="00FD0090"/>
    <w:rsid w:val="00FD1282"/>
    <w:rsid w:val="00FD19E6"/>
    <w:rsid w:val="00FD20AF"/>
    <w:rsid w:val="00FD3435"/>
    <w:rsid w:val="00FD3508"/>
    <w:rsid w:val="00FD3F1A"/>
    <w:rsid w:val="00FD4514"/>
    <w:rsid w:val="00FD500F"/>
    <w:rsid w:val="00FD6247"/>
    <w:rsid w:val="00FD6387"/>
    <w:rsid w:val="00FD6D8A"/>
    <w:rsid w:val="00FD6DE7"/>
    <w:rsid w:val="00FD771F"/>
    <w:rsid w:val="00FD7DAE"/>
    <w:rsid w:val="00FE05D7"/>
    <w:rsid w:val="00FE0BCB"/>
    <w:rsid w:val="00FE19A1"/>
    <w:rsid w:val="00FE2B39"/>
    <w:rsid w:val="00FE3574"/>
    <w:rsid w:val="00FE453F"/>
    <w:rsid w:val="00FE5BD5"/>
    <w:rsid w:val="00FE61FA"/>
    <w:rsid w:val="00FE7938"/>
    <w:rsid w:val="00FF094B"/>
    <w:rsid w:val="00FF1A54"/>
    <w:rsid w:val="00FF2230"/>
    <w:rsid w:val="00FF2A80"/>
    <w:rsid w:val="00FF3211"/>
    <w:rsid w:val="00FF4094"/>
    <w:rsid w:val="00FF4E7B"/>
    <w:rsid w:val="00FF684F"/>
    <w:rsid w:val="00FF6E34"/>
    <w:rsid w:val="00FF7AAC"/>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E1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7A"/>
    <w:pPr>
      <w:spacing w:after="200" w:line="276" w:lineRule="auto"/>
    </w:pPr>
    <w:rPr>
      <w:sz w:val="22"/>
      <w:szCs w:val="22"/>
      <w:lang w:val="tr-TR"/>
    </w:rPr>
  </w:style>
  <w:style w:type="paragraph" w:styleId="Heading1">
    <w:name w:val="heading 1"/>
    <w:basedOn w:val="Normal"/>
    <w:next w:val="Normal"/>
    <w:link w:val="Heading1Char"/>
    <w:uiPriority w:val="9"/>
    <w:qFormat/>
    <w:rsid w:val="009D3246"/>
    <w:pPr>
      <w:keepNext/>
      <w:spacing w:before="240" w:after="60"/>
      <w:outlineLvl w:val="0"/>
    </w:pPr>
    <w:rPr>
      <w:rFonts w:ascii="Calibri Light" w:eastAsia="Times New Roman" w:hAnsi="Calibri Light"/>
      <w:b/>
      <w:bCs/>
      <w:kern w:val="32"/>
      <w:sz w:val="32"/>
      <w:szCs w:val="32"/>
      <w:lang w:val="x-none"/>
    </w:rPr>
  </w:style>
  <w:style w:type="paragraph" w:styleId="Heading2">
    <w:name w:val="heading 2"/>
    <w:basedOn w:val="Normal"/>
    <w:next w:val="Normal"/>
    <w:link w:val="Heading2Char"/>
    <w:uiPriority w:val="9"/>
    <w:qFormat/>
    <w:rsid w:val="009470D9"/>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link w:val="Heading3Char"/>
    <w:uiPriority w:val="9"/>
    <w:qFormat/>
    <w:rsid w:val="00A7632B"/>
    <w:pPr>
      <w:spacing w:before="100" w:beforeAutospacing="1" w:after="100" w:afterAutospacing="1" w:line="240" w:lineRule="auto"/>
      <w:outlineLvl w:val="2"/>
    </w:pPr>
    <w:rPr>
      <w:rFonts w:ascii="Times New Roman" w:eastAsia="Times New Roman" w:hAnsi="Times New Roman"/>
      <w:b/>
      <w:bCs/>
      <w:sz w:val="27"/>
      <w:szCs w:val="27"/>
      <w:lang w:val="x-none"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7632B"/>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A7632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ref">
    <w:name w:val="ref"/>
    <w:basedOn w:val="DefaultParagraphFont"/>
    <w:rsid w:val="00A7632B"/>
  </w:style>
  <w:style w:type="character" w:styleId="Hyperlink">
    <w:name w:val="Hyperlink"/>
    <w:uiPriority w:val="99"/>
    <w:unhideWhenUsed/>
    <w:rsid w:val="00A7632B"/>
    <w:rPr>
      <w:color w:val="0000FF"/>
      <w:u w:val="single"/>
    </w:rPr>
  </w:style>
  <w:style w:type="character" w:customStyle="1" w:styleId="apple-converted-space">
    <w:name w:val="apple-converted-space"/>
    <w:basedOn w:val="DefaultParagraphFont"/>
    <w:rsid w:val="00A7632B"/>
  </w:style>
  <w:style w:type="character" w:customStyle="1" w:styleId="table">
    <w:name w:val="table"/>
    <w:basedOn w:val="DefaultParagraphFont"/>
    <w:rsid w:val="00A7632B"/>
  </w:style>
  <w:style w:type="character" w:customStyle="1" w:styleId="figuretitle">
    <w:name w:val="figuretitle"/>
    <w:basedOn w:val="DefaultParagraphFont"/>
    <w:rsid w:val="00A7632B"/>
  </w:style>
  <w:style w:type="character" w:customStyle="1" w:styleId="figurecaption">
    <w:name w:val="figurecaption"/>
    <w:basedOn w:val="DefaultParagraphFont"/>
    <w:rsid w:val="00A7632B"/>
  </w:style>
  <w:style w:type="paragraph" w:styleId="BalloonText">
    <w:name w:val="Balloon Text"/>
    <w:basedOn w:val="Normal"/>
    <w:link w:val="BalloonTextChar"/>
    <w:uiPriority w:val="99"/>
    <w:semiHidden/>
    <w:unhideWhenUsed/>
    <w:rsid w:val="00A7632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7632B"/>
    <w:rPr>
      <w:rFonts w:ascii="Tahoma" w:hAnsi="Tahoma" w:cs="Tahoma"/>
      <w:sz w:val="16"/>
      <w:szCs w:val="16"/>
    </w:rPr>
  </w:style>
  <w:style w:type="paragraph" w:styleId="Header">
    <w:name w:val="header"/>
    <w:basedOn w:val="Normal"/>
    <w:link w:val="HeaderChar"/>
    <w:uiPriority w:val="99"/>
    <w:unhideWhenUsed/>
    <w:rsid w:val="00BE42DC"/>
    <w:pPr>
      <w:tabs>
        <w:tab w:val="center" w:pos="4536"/>
        <w:tab w:val="right" w:pos="9072"/>
      </w:tabs>
    </w:pPr>
    <w:rPr>
      <w:lang w:val="x-none"/>
    </w:rPr>
  </w:style>
  <w:style w:type="character" w:customStyle="1" w:styleId="HeaderChar">
    <w:name w:val="Header Char"/>
    <w:link w:val="Header"/>
    <w:uiPriority w:val="99"/>
    <w:rsid w:val="00BE42DC"/>
    <w:rPr>
      <w:sz w:val="22"/>
      <w:szCs w:val="22"/>
      <w:lang w:eastAsia="en-US"/>
    </w:rPr>
  </w:style>
  <w:style w:type="paragraph" w:styleId="Footer">
    <w:name w:val="footer"/>
    <w:basedOn w:val="Normal"/>
    <w:link w:val="FooterChar"/>
    <w:uiPriority w:val="99"/>
    <w:unhideWhenUsed/>
    <w:rsid w:val="00BE42DC"/>
    <w:pPr>
      <w:tabs>
        <w:tab w:val="center" w:pos="4536"/>
        <w:tab w:val="right" w:pos="9072"/>
      </w:tabs>
    </w:pPr>
    <w:rPr>
      <w:lang w:val="x-none"/>
    </w:rPr>
  </w:style>
  <w:style w:type="character" w:customStyle="1" w:styleId="FooterChar">
    <w:name w:val="Footer Char"/>
    <w:link w:val="Footer"/>
    <w:uiPriority w:val="99"/>
    <w:rsid w:val="00BE42DC"/>
    <w:rPr>
      <w:sz w:val="22"/>
      <w:szCs w:val="22"/>
      <w:lang w:eastAsia="en-US"/>
    </w:rPr>
  </w:style>
  <w:style w:type="table" w:styleId="TableGrid">
    <w:name w:val="Table Grid"/>
    <w:basedOn w:val="TableNormal"/>
    <w:uiPriority w:val="59"/>
    <w:rsid w:val="00247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9470D9"/>
    <w:rPr>
      <w:rFonts w:ascii="Calibri Light" w:eastAsia="Times New Roman" w:hAnsi="Calibri Light" w:cs="Times New Roman"/>
      <w:b/>
      <w:bCs/>
      <w:i/>
      <w:iCs/>
      <w:sz w:val="28"/>
      <w:szCs w:val="28"/>
      <w:lang w:eastAsia="en-US"/>
    </w:rPr>
  </w:style>
  <w:style w:type="character" w:customStyle="1" w:styleId="Heading1Char">
    <w:name w:val="Heading 1 Char"/>
    <w:link w:val="Heading1"/>
    <w:uiPriority w:val="9"/>
    <w:rsid w:val="009D3246"/>
    <w:rPr>
      <w:rFonts w:ascii="Calibri Light" w:eastAsia="Times New Roman" w:hAnsi="Calibri Light" w:cs="Times New Roman"/>
      <w:b/>
      <w:bCs/>
      <w:kern w:val="32"/>
      <w:sz w:val="32"/>
      <w:szCs w:val="32"/>
      <w:lang w:eastAsia="en-US"/>
    </w:rPr>
  </w:style>
  <w:style w:type="character" w:customStyle="1" w:styleId="bibref">
    <w:name w:val="bibref"/>
    <w:basedOn w:val="DefaultParagraphFont"/>
    <w:rsid w:val="006E1CCA"/>
  </w:style>
  <w:style w:type="paragraph" w:customStyle="1" w:styleId="p">
    <w:name w:val="p"/>
    <w:basedOn w:val="Normal"/>
    <w:rsid w:val="00E71BBD"/>
    <w:pPr>
      <w:spacing w:before="100" w:beforeAutospacing="1" w:after="100" w:afterAutospacing="1" w:line="240" w:lineRule="auto"/>
    </w:pPr>
    <w:rPr>
      <w:rFonts w:ascii="Times New Roman" w:eastAsia="Times New Roman" w:hAnsi="Times New Roman"/>
      <w:sz w:val="24"/>
      <w:szCs w:val="24"/>
      <w:lang w:eastAsia="tr-TR"/>
    </w:rPr>
  </w:style>
  <w:style w:type="paragraph" w:styleId="HTMLPreformatted">
    <w:name w:val="HTML Preformatted"/>
    <w:basedOn w:val="Normal"/>
    <w:link w:val="HTMLPreformattedChar"/>
    <w:uiPriority w:val="99"/>
    <w:rsid w:val="00241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styleId="CommentReference">
    <w:name w:val="annotation reference"/>
    <w:basedOn w:val="DefaultParagraphFont"/>
    <w:unhideWhenUsed/>
    <w:rsid w:val="00707BE0"/>
    <w:rPr>
      <w:sz w:val="18"/>
      <w:szCs w:val="18"/>
    </w:rPr>
  </w:style>
  <w:style w:type="paragraph" w:styleId="CommentText">
    <w:name w:val="annotation text"/>
    <w:basedOn w:val="Normal"/>
    <w:link w:val="CommentTextChar"/>
    <w:unhideWhenUsed/>
    <w:rsid w:val="00707BE0"/>
    <w:pPr>
      <w:spacing w:line="240" w:lineRule="auto"/>
    </w:pPr>
    <w:rPr>
      <w:sz w:val="24"/>
      <w:szCs w:val="24"/>
    </w:rPr>
  </w:style>
  <w:style w:type="character" w:customStyle="1" w:styleId="CommentTextChar">
    <w:name w:val="Comment Text Char"/>
    <w:basedOn w:val="DefaultParagraphFont"/>
    <w:link w:val="CommentText"/>
    <w:rsid w:val="00707BE0"/>
    <w:rPr>
      <w:sz w:val="24"/>
      <w:szCs w:val="24"/>
      <w:lang w:val="tr-TR"/>
    </w:rPr>
  </w:style>
  <w:style w:type="paragraph" w:styleId="CommentSubject">
    <w:name w:val="annotation subject"/>
    <w:basedOn w:val="CommentText"/>
    <w:next w:val="CommentText"/>
    <w:link w:val="CommentSubjectChar"/>
    <w:uiPriority w:val="99"/>
    <w:semiHidden/>
    <w:unhideWhenUsed/>
    <w:rsid w:val="00707BE0"/>
    <w:rPr>
      <w:b/>
      <w:bCs/>
      <w:sz w:val="20"/>
      <w:szCs w:val="20"/>
    </w:rPr>
  </w:style>
  <w:style w:type="character" w:customStyle="1" w:styleId="CommentSubjectChar">
    <w:name w:val="Comment Subject Char"/>
    <w:basedOn w:val="CommentTextChar"/>
    <w:link w:val="CommentSubject"/>
    <w:uiPriority w:val="99"/>
    <w:semiHidden/>
    <w:rsid w:val="00707BE0"/>
    <w:rPr>
      <w:b/>
      <w:bCs/>
      <w:sz w:val="24"/>
      <w:szCs w:val="24"/>
      <w:lang w:val="tr-TR"/>
    </w:rPr>
  </w:style>
  <w:style w:type="paragraph" w:styleId="Revision">
    <w:name w:val="Revision"/>
    <w:hidden/>
    <w:uiPriority w:val="71"/>
    <w:rsid w:val="00871C89"/>
    <w:rPr>
      <w:sz w:val="22"/>
      <w:szCs w:val="22"/>
      <w:lang w:val="tr-TR"/>
    </w:rPr>
  </w:style>
  <w:style w:type="character" w:customStyle="1" w:styleId="normalchar">
    <w:name w:val="normal__char"/>
    <w:uiPriority w:val="99"/>
    <w:rsid w:val="006027E2"/>
    <w:rPr>
      <w:rFonts w:cs="Times New Roman"/>
    </w:rPr>
  </w:style>
  <w:style w:type="character" w:customStyle="1" w:styleId="HTMLPreformattedChar">
    <w:name w:val="HTML Preformatted Char"/>
    <w:basedOn w:val="DefaultParagraphFont"/>
    <w:link w:val="HTMLPreformatted"/>
    <w:uiPriority w:val="99"/>
    <w:rsid w:val="00C418CF"/>
    <w:rPr>
      <w:rFonts w:ascii="Courier New" w:eastAsia="MS Mincho" w:hAnsi="Courier New" w:cs="Courier New"/>
      <w:lang w:val="tr-TR" w:eastAsia="ja-JP"/>
    </w:rPr>
  </w:style>
  <w:style w:type="paragraph" w:styleId="ListParagraph">
    <w:name w:val="List Paragraph"/>
    <w:basedOn w:val="Normal"/>
    <w:uiPriority w:val="34"/>
    <w:qFormat/>
    <w:rsid w:val="00C418CF"/>
    <w:pPr>
      <w:ind w:left="720"/>
      <w:contextualSpacing/>
    </w:pPr>
  </w:style>
  <w:style w:type="character" w:styleId="Strong">
    <w:name w:val="Strong"/>
    <w:basedOn w:val="DefaultParagraphFont"/>
    <w:uiPriority w:val="22"/>
    <w:qFormat/>
    <w:rsid w:val="00296C61"/>
    <w:rPr>
      <w:b/>
      <w:bCs/>
    </w:rPr>
  </w:style>
  <w:style w:type="character" w:customStyle="1" w:styleId="labellist1">
    <w:name w:val="label_list1"/>
    <w:rsid w:val="00296C61"/>
  </w:style>
  <w:style w:type="character" w:styleId="Emphasis">
    <w:name w:val="Emphasis"/>
    <w:qFormat/>
    <w:rsid w:val="001C0FD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7A"/>
    <w:pPr>
      <w:spacing w:after="200" w:line="276" w:lineRule="auto"/>
    </w:pPr>
    <w:rPr>
      <w:sz w:val="22"/>
      <w:szCs w:val="22"/>
      <w:lang w:val="tr-TR"/>
    </w:rPr>
  </w:style>
  <w:style w:type="paragraph" w:styleId="Heading1">
    <w:name w:val="heading 1"/>
    <w:basedOn w:val="Normal"/>
    <w:next w:val="Normal"/>
    <w:link w:val="Heading1Char"/>
    <w:uiPriority w:val="9"/>
    <w:qFormat/>
    <w:rsid w:val="009D3246"/>
    <w:pPr>
      <w:keepNext/>
      <w:spacing w:before="240" w:after="60"/>
      <w:outlineLvl w:val="0"/>
    </w:pPr>
    <w:rPr>
      <w:rFonts w:ascii="Calibri Light" w:eastAsia="Times New Roman" w:hAnsi="Calibri Light"/>
      <w:b/>
      <w:bCs/>
      <w:kern w:val="32"/>
      <w:sz w:val="32"/>
      <w:szCs w:val="32"/>
      <w:lang w:val="x-none"/>
    </w:rPr>
  </w:style>
  <w:style w:type="paragraph" w:styleId="Heading2">
    <w:name w:val="heading 2"/>
    <w:basedOn w:val="Normal"/>
    <w:next w:val="Normal"/>
    <w:link w:val="Heading2Char"/>
    <w:uiPriority w:val="9"/>
    <w:qFormat/>
    <w:rsid w:val="009470D9"/>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link w:val="Heading3Char"/>
    <w:uiPriority w:val="9"/>
    <w:qFormat/>
    <w:rsid w:val="00A7632B"/>
    <w:pPr>
      <w:spacing w:before="100" w:beforeAutospacing="1" w:after="100" w:afterAutospacing="1" w:line="240" w:lineRule="auto"/>
      <w:outlineLvl w:val="2"/>
    </w:pPr>
    <w:rPr>
      <w:rFonts w:ascii="Times New Roman" w:eastAsia="Times New Roman" w:hAnsi="Times New Roman"/>
      <w:b/>
      <w:bCs/>
      <w:sz w:val="27"/>
      <w:szCs w:val="27"/>
      <w:lang w:val="x-none"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7632B"/>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A7632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ref">
    <w:name w:val="ref"/>
    <w:basedOn w:val="DefaultParagraphFont"/>
    <w:rsid w:val="00A7632B"/>
  </w:style>
  <w:style w:type="character" w:styleId="Hyperlink">
    <w:name w:val="Hyperlink"/>
    <w:uiPriority w:val="99"/>
    <w:unhideWhenUsed/>
    <w:rsid w:val="00A7632B"/>
    <w:rPr>
      <w:color w:val="0000FF"/>
      <w:u w:val="single"/>
    </w:rPr>
  </w:style>
  <w:style w:type="character" w:customStyle="1" w:styleId="apple-converted-space">
    <w:name w:val="apple-converted-space"/>
    <w:basedOn w:val="DefaultParagraphFont"/>
    <w:rsid w:val="00A7632B"/>
  </w:style>
  <w:style w:type="character" w:customStyle="1" w:styleId="table">
    <w:name w:val="table"/>
    <w:basedOn w:val="DefaultParagraphFont"/>
    <w:rsid w:val="00A7632B"/>
  </w:style>
  <w:style w:type="character" w:customStyle="1" w:styleId="figuretitle">
    <w:name w:val="figuretitle"/>
    <w:basedOn w:val="DefaultParagraphFont"/>
    <w:rsid w:val="00A7632B"/>
  </w:style>
  <w:style w:type="character" w:customStyle="1" w:styleId="figurecaption">
    <w:name w:val="figurecaption"/>
    <w:basedOn w:val="DefaultParagraphFont"/>
    <w:rsid w:val="00A7632B"/>
  </w:style>
  <w:style w:type="paragraph" w:styleId="BalloonText">
    <w:name w:val="Balloon Text"/>
    <w:basedOn w:val="Normal"/>
    <w:link w:val="BalloonTextChar"/>
    <w:uiPriority w:val="99"/>
    <w:semiHidden/>
    <w:unhideWhenUsed/>
    <w:rsid w:val="00A7632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7632B"/>
    <w:rPr>
      <w:rFonts w:ascii="Tahoma" w:hAnsi="Tahoma" w:cs="Tahoma"/>
      <w:sz w:val="16"/>
      <w:szCs w:val="16"/>
    </w:rPr>
  </w:style>
  <w:style w:type="paragraph" w:styleId="Header">
    <w:name w:val="header"/>
    <w:basedOn w:val="Normal"/>
    <w:link w:val="HeaderChar"/>
    <w:uiPriority w:val="99"/>
    <w:unhideWhenUsed/>
    <w:rsid w:val="00BE42DC"/>
    <w:pPr>
      <w:tabs>
        <w:tab w:val="center" w:pos="4536"/>
        <w:tab w:val="right" w:pos="9072"/>
      </w:tabs>
    </w:pPr>
    <w:rPr>
      <w:lang w:val="x-none"/>
    </w:rPr>
  </w:style>
  <w:style w:type="character" w:customStyle="1" w:styleId="HeaderChar">
    <w:name w:val="Header Char"/>
    <w:link w:val="Header"/>
    <w:uiPriority w:val="99"/>
    <w:rsid w:val="00BE42DC"/>
    <w:rPr>
      <w:sz w:val="22"/>
      <w:szCs w:val="22"/>
      <w:lang w:eastAsia="en-US"/>
    </w:rPr>
  </w:style>
  <w:style w:type="paragraph" w:styleId="Footer">
    <w:name w:val="footer"/>
    <w:basedOn w:val="Normal"/>
    <w:link w:val="FooterChar"/>
    <w:uiPriority w:val="99"/>
    <w:unhideWhenUsed/>
    <w:rsid w:val="00BE42DC"/>
    <w:pPr>
      <w:tabs>
        <w:tab w:val="center" w:pos="4536"/>
        <w:tab w:val="right" w:pos="9072"/>
      </w:tabs>
    </w:pPr>
    <w:rPr>
      <w:lang w:val="x-none"/>
    </w:rPr>
  </w:style>
  <w:style w:type="character" w:customStyle="1" w:styleId="FooterChar">
    <w:name w:val="Footer Char"/>
    <w:link w:val="Footer"/>
    <w:uiPriority w:val="99"/>
    <w:rsid w:val="00BE42DC"/>
    <w:rPr>
      <w:sz w:val="22"/>
      <w:szCs w:val="22"/>
      <w:lang w:eastAsia="en-US"/>
    </w:rPr>
  </w:style>
  <w:style w:type="table" w:styleId="TableGrid">
    <w:name w:val="Table Grid"/>
    <w:basedOn w:val="TableNormal"/>
    <w:uiPriority w:val="59"/>
    <w:rsid w:val="00247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9470D9"/>
    <w:rPr>
      <w:rFonts w:ascii="Calibri Light" w:eastAsia="Times New Roman" w:hAnsi="Calibri Light" w:cs="Times New Roman"/>
      <w:b/>
      <w:bCs/>
      <w:i/>
      <w:iCs/>
      <w:sz w:val="28"/>
      <w:szCs w:val="28"/>
      <w:lang w:eastAsia="en-US"/>
    </w:rPr>
  </w:style>
  <w:style w:type="character" w:customStyle="1" w:styleId="Heading1Char">
    <w:name w:val="Heading 1 Char"/>
    <w:link w:val="Heading1"/>
    <w:uiPriority w:val="9"/>
    <w:rsid w:val="009D3246"/>
    <w:rPr>
      <w:rFonts w:ascii="Calibri Light" w:eastAsia="Times New Roman" w:hAnsi="Calibri Light" w:cs="Times New Roman"/>
      <w:b/>
      <w:bCs/>
      <w:kern w:val="32"/>
      <w:sz w:val="32"/>
      <w:szCs w:val="32"/>
      <w:lang w:eastAsia="en-US"/>
    </w:rPr>
  </w:style>
  <w:style w:type="character" w:customStyle="1" w:styleId="bibref">
    <w:name w:val="bibref"/>
    <w:basedOn w:val="DefaultParagraphFont"/>
    <w:rsid w:val="006E1CCA"/>
  </w:style>
  <w:style w:type="paragraph" w:customStyle="1" w:styleId="p">
    <w:name w:val="p"/>
    <w:basedOn w:val="Normal"/>
    <w:rsid w:val="00E71BBD"/>
    <w:pPr>
      <w:spacing w:before="100" w:beforeAutospacing="1" w:after="100" w:afterAutospacing="1" w:line="240" w:lineRule="auto"/>
    </w:pPr>
    <w:rPr>
      <w:rFonts w:ascii="Times New Roman" w:eastAsia="Times New Roman" w:hAnsi="Times New Roman"/>
      <w:sz w:val="24"/>
      <w:szCs w:val="24"/>
      <w:lang w:eastAsia="tr-TR"/>
    </w:rPr>
  </w:style>
  <w:style w:type="paragraph" w:styleId="HTMLPreformatted">
    <w:name w:val="HTML Preformatted"/>
    <w:basedOn w:val="Normal"/>
    <w:link w:val="HTMLPreformattedChar"/>
    <w:uiPriority w:val="99"/>
    <w:rsid w:val="00241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styleId="CommentReference">
    <w:name w:val="annotation reference"/>
    <w:basedOn w:val="DefaultParagraphFont"/>
    <w:unhideWhenUsed/>
    <w:rsid w:val="00707BE0"/>
    <w:rPr>
      <w:sz w:val="18"/>
      <w:szCs w:val="18"/>
    </w:rPr>
  </w:style>
  <w:style w:type="paragraph" w:styleId="CommentText">
    <w:name w:val="annotation text"/>
    <w:basedOn w:val="Normal"/>
    <w:link w:val="CommentTextChar"/>
    <w:unhideWhenUsed/>
    <w:rsid w:val="00707BE0"/>
    <w:pPr>
      <w:spacing w:line="240" w:lineRule="auto"/>
    </w:pPr>
    <w:rPr>
      <w:sz w:val="24"/>
      <w:szCs w:val="24"/>
    </w:rPr>
  </w:style>
  <w:style w:type="character" w:customStyle="1" w:styleId="CommentTextChar">
    <w:name w:val="Comment Text Char"/>
    <w:basedOn w:val="DefaultParagraphFont"/>
    <w:link w:val="CommentText"/>
    <w:rsid w:val="00707BE0"/>
    <w:rPr>
      <w:sz w:val="24"/>
      <w:szCs w:val="24"/>
      <w:lang w:val="tr-TR"/>
    </w:rPr>
  </w:style>
  <w:style w:type="paragraph" w:styleId="CommentSubject">
    <w:name w:val="annotation subject"/>
    <w:basedOn w:val="CommentText"/>
    <w:next w:val="CommentText"/>
    <w:link w:val="CommentSubjectChar"/>
    <w:uiPriority w:val="99"/>
    <w:semiHidden/>
    <w:unhideWhenUsed/>
    <w:rsid w:val="00707BE0"/>
    <w:rPr>
      <w:b/>
      <w:bCs/>
      <w:sz w:val="20"/>
      <w:szCs w:val="20"/>
    </w:rPr>
  </w:style>
  <w:style w:type="character" w:customStyle="1" w:styleId="CommentSubjectChar">
    <w:name w:val="Comment Subject Char"/>
    <w:basedOn w:val="CommentTextChar"/>
    <w:link w:val="CommentSubject"/>
    <w:uiPriority w:val="99"/>
    <w:semiHidden/>
    <w:rsid w:val="00707BE0"/>
    <w:rPr>
      <w:b/>
      <w:bCs/>
      <w:sz w:val="24"/>
      <w:szCs w:val="24"/>
      <w:lang w:val="tr-TR"/>
    </w:rPr>
  </w:style>
  <w:style w:type="paragraph" w:styleId="Revision">
    <w:name w:val="Revision"/>
    <w:hidden/>
    <w:uiPriority w:val="71"/>
    <w:rsid w:val="00871C89"/>
    <w:rPr>
      <w:sz w:val="22"/>
      <w:szCs w:val="22"/>
      <w:lang w:val="tr-TR"/>
    </w:rPr>
  </w:style>
  <w:style w:type="character" w:customStyle="1" w:styleId="normalchar">
    <w:name w:val="normal__char"/>
    <w:uiPriority w:val="99"/>
    <w:rsid w:val="006027E2"/>
    <w:rPr>
      <w:rFonts w:cs="Times New Roman"/>
    </w:rPr>
  </w:style>
  <w:style w:type="character" w:customStyle="1" w:styleId="HTMLPreformattedChar">
    <w:name w:val="HTML Preformatted Char"/>
    <w:basedOn w:val="DefaultParagraphFont"/>
    <w:link w:val="HTMLPreformatted"/>
    <w:uiPriority w:val="99"/>
    <w:rsid w:val="00C418CF"/>
    <w:rPr>
      <w:rFonts w:ascii="Courier New" w:eastAsia="MS Mincho" w:hAnsi="Courier New" w:cs="Courier New"/>
      <w:lang w:val="tr-TR" w:eastAsia="ja-JP"/>
    </w:rPr>
  </w:style>
  <w:style w:type="paragraph" w:styleId="ListParagraph">
    <w:name w:val="List Paragraph"/>
    <w:basedOn w:val="Normal"/>
    <w:uiPriority w:val="34"/>
    <w:qFormat/>
    <w:rsid w:val="00C418CF"/>
    <w:pPr>
      <w:ind w:left="720"/>
      <w:contextualSpacing/>
    </w:pPr>
  </w:style>
  <w:style w:type="character" w:styleId="Strong">
    <w:name w:val="Strong"/>
    <w:basedOn w:val="DefaultParagraphFont"/>
    <w:uiPriority w:val="22"/>
    <w:qFormat/>
    <w:rsid w:val="00296C61"/>
    <w:rPr>
      <w:b/>
      <w:bCs/>
    </w:rPr>
  </w:style>
  <w:style w:type="character" w:customStyle="1" w:styleId="labellist1">
    <w:name w:val="label_list1"/>
    <w:rsid w:val="00296C61"/>
  </w:style>
  <w:style w:type="character" w:styleId="Emphasis">
    <w:name w:val="Emphasis"/>
    <w:qFormat/>
    <w:rsid w:val="001C0FD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8244">
      <w:bodyDiv w:val="1"/>
      <w:marLeft w:val="0"/>
      <w:marRight w:val="0"/>
      <w:marTop w:val="0"/>
      <w:marBottom w:val="0"/>
      <w:divBdr>
        <w:top w:val="none" w:sz="0" w:space="0" w:color="auto"/>
        <w:left w:val="none" w:sz="0" w:space="0" w:color="auto"/>
        <w:bottom w:val="none" w:sz="0" w:space="0" w:color="auto"/>
        <w:right w:val="none" w:sz="0" w:space="0" w:color="auto"/>
      </w:divBdr>
    </w:div>
    <w:div w:id="107235429">
      <w:bodyDiv w:val="1"/>
      <w:marLeft w:val="0"/>
      <w:marRight w:val="0"/>
      <w:marTop w:val="0"/>
      <w:marBottom w:val="0"/>
      <w:divBdr>
        <w:top w:val="none" w:sz="0" w:space="0" w:color="auto"/>
        <w:left w:val="none" w:sz="0" w:space="0" w:color="auto"/>
        <w:bottom w:val="none" w:sz="0" w:space="0" w:color="auto"/>
        <w:right w:val="none" w:sz="0" w:space="0" w:color="auto"/>
      </w:divBdr>
    </w:div>
    <w:div w:id="144593730">
      <w:bodyDiv w:val="1"/>
      <w:marLeft w:val="0"/>
      <w:marRight w:val="0"/>
      <w:marTop w:val="0"/>
      <w:marBottom w:val="0"/>
      <w:divBdr>
        <w:top w:val="none" w:sz="0" w:space="0" w:color="auto"/>
        <w:left w:val="none" w:sz="0" w:space="0" w:color="auto"/>
        <w:bottom w:val="none" w:sz="0" w:space="0" w:color="auto"/>
        <w:right w:val="none" w:sz="0" w:space="0" w:color="auto"/>
      </w:divBdr>
    </w:div>
    <w:div w:id="149830333">
      <w:bodyDiv w:val="1"/>
      <w:marLeft w:val="0"/>
      <w:marRight w:val="0"/>
      <w:marTop w:val="0"/>
      <w:marBottom w:val="0"/>
      <w:divBdr>
        <w:top w:val="none" w:sz="0" w:space="0" w:color="auto"/>
        <w:left w:val="none" w:sz="0" w:space="0" w:color="auto"/>
        <w:bottom w:val="none" w:sz="0" w:space="0" w:color="auto"/>
        <w:right w:val="none" w:sz="0" w:space="0" w:color="auto"/>
      </w:divBdr>
    </w:div>
    <w:div w:id="221867744">
      <w:bodyDiv w:val="1"/>
      <w:marLeft w:val="0"/>
      <w:marRight w:val="0"/>
      <w:marTop w:val="0"/>
      <w:marBottom w:val="0"/>
      <w:divBdr>
        <w:top w:val="none" w:sz="0" w:space="0" w:color="auto"/>
        <w:left w:val="none" w:sz="0" w:space="0" w:color="auto"/>
        <w:bottom w:val="none" w:sz="0" w:space="0" w:color="auto"/>
        <w:right w:val="none" w:sz="0" w:space="0" w:color="auto"/>
      </w:divBdr>
    </w:div>
    <w:div w:id="309947624">
      <w:bodyDiv w:val="1"/>
      <w:marLeft w:val="0"/>
      <w:marRight w:val="0"/>
      <w:marTop w:val="0"/>
      <w:marBottom w:val="0"/>
      <w:divBdr>
        <w:top w:val="none" w:sz="0" w:space="0" w:color="auto"/>
        <w:left w:val="none" w:sz="0" w:space="0" w:color="auto"/>
        <w:bottom w:val="none" w:sz="0" w:space="0" w:color="auto"/>
        <w:right w:val="none" w:sz="0" w:space="0" w:color="auto"/>
      </w:divBdr>
    </w:div>
    <w:div w:id="314650580">
      <w:bodyDiv w:val="1"/>
      <w:marLeft w:val="0"/>
      <w:marRight w:val="0"/>
      <w:marTop w:val="0"/>
      <w:marBottom w:val="0"/>
      <w:divBdr>
        <w:top w:val="none" w:sz="0" w:space="0" w:color="auto"/>
        <w:left w:val="none" w:sz="0" w:space="0" w:color="auto"/>
        <w:bottom w:val="none" w:sz="0" w:space="0" w:color="auto"/>
        <w:right w:val="none" w:sz="0" w:space="0" w:color="auto"/>
      </w:divBdr>
    </w:div>
    <w:div w:id="500319204">
      <w:bodyDiv w:val="1"/>
      <w:marLeft w:val="0"/>
      <w:marRight w:val="0"/>
      <w:marTop w:val="0"/>
      <w:marBottom w:val="0"/>
      <w:divBdr>
        <w:top w:val="none" w:sz="0" w:space="0" w:color="auto"/>
        <w:left w:val="none" w:sz="0" w:space="0" w:color="auto"/>
        <w:bottom w:val="none" w:sz="0" w:space="0" w:color="auto"/>
        <w:right w:val="none" w:sz="0" w:space="0" w:color="auto"/>
      </w:divBdr>
      <w:divsChild>
        <w:div w:id="958032457">
          <w:marLeft w:val="0"/>
          <w:marRight w:val="0"/>
          <w:marTop w:val="0"/>
          <w:marBottom w:val="0"/>
          <w:divBdr>
            <w:top w:val="none" w:sz="0" w:space="0" w:color="auto"/>
            <w:left w:val="none" w:sz="0" w:space="0" w:color="auto"/>
            <w:bottom w:val="none" w:sz="0" w:space="0" w:color="auto"/>
            <w:right w:val="none" w:sz="0" w:space="0" w:color="auto"/>
          </w:divBdr>
        </w:div>
        <w:div w:id="1470589378">
          <w:marLeft w:val="0"/>
          <w:marRight w:val="0"/>
          <w:marTop w:val="0"/>
          <w:marBottom w:val="0"/>
          <w:divBdr>
            <w:top w:val="none" w:sz="0" w:space="0" w:color="auto"/>
            <w:left w:val="none" w:sz="0" w:space="0" w:color="auto"/>
            <w:bottom w:val="none" w:sz="0" w:space="0" w:color="auto"/>
            <w:right w:val="none" w:sz="0" w:space="0" w:color="auto"/>
          </w:divBdr>
        </w:div>
        <w:div w:id="1645769137">
          <w:marLeft w:val="0"/>
          <w:marRight w:val="0"/>
          <w:marTop w:val="0"/>
          <w:marBottom w:val="0"/>
          <w:divBdr>
            <w:top w:val="none" w:sz="0" w:space="0" w:color="auto"/>
            <w:left w:val="none" w:sz="0" w:space="0" w:color="auto"/>
            <w:bottom w:val="none" w:sz="0" w:space="0" w:color="auto"/>
            <w:right w:val="none" w:sz="0" w:space="0" w:color="auto"/>
          </w:divBdr>
        </w:div>
        <w:div w:id="1689788570">
          <w:marLeft w:val="0"/>
          <w:marRight w:val="0"/>
          <w:marTop w:val="0"/>
          <w:marBottom w:val="0"/>
          <w:divBdr>
            <w:top w:val="none" w:sz="0" w:space="0" w:color="auto"/>
            <w:left w:val="none" w:sz="0" w:space="0" w:color="auto"/>
            <w:bottom w:val="none" w:sz="0" w:space="0" w:color="auto"/>
            <w:right w:val="none" w:sz="0" w:space="0" w:color="auto"/>
          </w:divBdr>
        </w:div>
      </w:divsChild>
    </w:div>
    <w:div w:id="526215330">
      <w:bodyDiv w:val="1"/>
      <w:marLeft w:val="0"/>
      <w:marRight w:val="0"/>
      <w:marTop w:val="0"/>
      <w:marBottom w:val="0"/>
      <w:divBdr>
        <w:top w:val="none" w:sz="0" w:space="0" w:color="auto"/>
        <w:left w:val="none" w:sz="0" w:space="0" w:color="auto"/>
        <w:bottom w:val="none" w:sz="0" w:space="0" w:color="auto"/>
        <w:right w:val="none" w:sz="0" w:space="0" w:color="auto"/>
      </w:divBdr>
    </w:div>
    <w:div w:id="626662468">
      <w:bodyDiv w:val="1"/>
      <w:marLeft w:val="0"/>
      <w:marRight w:val="0"/>
      <w:marTop w:val="0"/>
      <w:marBottom w:val="0"/>
      <w:divBdr>
        <w:top w:val="none" w:sz="0" w:space="0" w:color="auto"/>
        <w:left w:val="none" w:sz="0" w:space="0" w:color="auto"/>
        <w:bottom w:val="none" w:sz="0" w:space="0" w:color="auto"/>
        <w:right w:val="none" w:sz="0" w:space="0" w:color="auto"/>
      </w:divBdr>
    </w:div>
    <w:div w:id="645207167">
      <w:bodyDiv w:val="1"/>
      <w:marLeft w:val="0"/>
      <w:marRight w:val="0"/>
      <w:marTop w:val="0"/>
      <w:marBottom w:val="0"/>
      <w:divBdr>
        <w:top w:val="none" w:sz="0" w:space="0" w:color="auto"/>
        <w:left w:val="none" w:sz="0" w:space="0" w:color="auto"/>
        <w:bottom w:val="none" w:sz="0" w:space="0" w:color="auto"/>
        <w:right w:val="none" w:sz="0" w:space="0" w:color="auto"/>
      </w:divBdr>
    </w:div>
    <w:div w:id="794132405">
      <w:bodyDiv w:val="1"/>
      <w:marLeft w:val="0"/>
      <w:marRight w:val="0"/>
      <w:marTop w:val="0"/>
      <w:marBottom w:val="0"/>
      <w:divBdr>
        <w:top w:val="none" w:sz="0" w:space="0" w:color="auto"/>
        <w:left w:val="none" w:sz="0" w:space="0" w:color="auto"/>
        <w:bottom w:val="none" w:sz="0" w:space="0" w:color="auto"/>
        <w:right w:val="none" w:sz="0" w:space="0" w:color="auto"/>
      </w:divBdr>
    </w:div>
    <w:div w:id="831214605">
      <w:bodyDiv w:val="1"/>
      <w:marLeft w:val="0"/>
      <w:marRight w:val="0"/>
      <w:marTop w:val="0"/>
      <w:marBottom w:val="0"/>
      <w:divBdr>
        <w:top w:val="none" w:sz="0" w:space="0" w:color="auto"/>
        <w:left w:val="none" w:sz="0" w:space="0" w:color="auto"/>
        <w:bottom w:val="none" w:sz="0" w:space="0" w:color="auto"/>
        <w:right w:val="none" w:sz="0" w:space="0" w:color="auto"/>
      </w:divBdr>
    </w:div>
    <w:div w:id="831336267">
      <w:bodyDiv w:val="1"/>
      <w:marLeft w:val="0"/>
      <w:marRight w:val="0"/>
      <w:marTop w:val="0"/>
      <w:marBottom w:val="0"/>
      <w:divBdr>
        <w:top w:val="none" w:sz="0" w:space="0" w:color="auto"/>
        <w:left w:val="none" w:sz="0" w:space="0" w:color="auto"/>
        <w:bottom w:val="none" w:sz="0" w:space="0" w:color="auto"/>
        <w:right w:val="none" w:sz="0" w:space="0" w:color="auto"/>
      </w:divBdr>
    </w:div>
    <w:div w:id="846947686">
      <w:bodyDiv w:val="1"/>
      <w:marLeft w:val="0"/>
      <w:marRight w:val="0"/>
      <w:marTop w:val="0"/>
      <w:marBottom w:val="0"/>
      <w:divBdr>
        <w:top w:val="none" w:sz="0" w:space="0" w:color="auto"/>
        <w:left w:val="none" w:sz="0" w:space="0" w:color="auto"/>
        <w:bottom w:val="none" w:sz="0" w:space="0" w:color="auto"/>
        <w:right w:val="none" w:sz="0" w:space="0" w:color="auto"/>
      </w:divBdr>
    </w:div>
    <w:div w:id="867370403">
      <w:bodyDiv w:val="1"/>
      <w:marLeft w:val="0"/>
      <w:marRight w:val="0"/>
      <w:marTop w:val="0"/>
      <w:marBottom w:val="0"/>
      <w:divBdr>
        <w:top w:val="none" w:sz="0" w:space="0" w:color="auto"/>
        <w:left w:val="none" w:sz="0" w:space="0" w:color="auto"/>
        <w:bottom w:val="none" w:sz="0" w:space="0" w:color="auto"/>
        <w:right w:val="none" w:sz="0" w:space="0" w:color="auto"/>
      </w:divBdr>
    </w:div>
    <w:div w:id="868421775">
      <w:bodyDiv w:val="1"/>
      <w:marLeft w:val="0"/>
      <w:marRight w:val="0"/>
      <w:marTop w:val="0"/>
      <w:marBottom w:val="0"/>
      <w:divBdr>
        <w:top w:val="none" w:sz="0" w:space="0" w:color="auto"/>
        <w:left w:val="none" w:sz="0" w:space="0" w:color="auto"/>
        <w:bottom w:val="none" w:sz="0" w:space="0" w:color="auto"/>
        <w:right w:val="none" w:sz="0" w:space="0" w:color="auto"/>
      </w:divBdr>
    </w:div>
    <w:div w:id="880284635">
      <w:bodyDiv w:val="1"/>
      <w:marLeft w:val="0"/>
      <w:marRight w:val="0"/>
      <w:marTop w:val="0"/>
      <w:marBottom w:val="0"/>
      <w:divBdr>
        <w:top w:val="none" w:sz="0" w:space="0" w:color="auto"/>
        <w:left w:val="none" w:sz="0" w:space="0" w:color="auto"/>
        <w:bottom w:val="none" w:sz="0" w:space="0" w:color="auto"/>
        <w:right w:val="none" w:sz="0" w:space="0" w:color="auto"/>
      </w:divBdr>
    </w:div>
    <w:div w:id="886457716">
      <w:bodyDiv w:val="1"/>
      <w:marLeft w:val="0"/>
      <w:marRight w:val="0"/>
      <w:marTop w:val="0"/>
      <w:marBottom w:val="0"/>
      <w:divBdr>
        <w:top w:val="none" w:sz="0" w:space="0" w:color="auto"/>
        <w:left w:val="none" w:sz="0" w:space="0" w:color="auto"/>
        <w:bottom w:val="none" w:sz="0" w:space="0" w:color="auto"/>
        <w:right w:val="none" w:sz="0" w:space="0" w:color="auto"/>
      </w:divBdr>
    </w:div>
    <w:div w:id="894703003">
      <w:bodyDiv w:val="1"/>
      <w:marLeft w:val="0"/>
      <w:marRight w:val="0"/>
      <w:marTop w:val="0"/>
      <w:marBottom w:val="0"/>
      <w:divBdr>
        <w:top w:val="none" w:sz="0" w:space="0" w:color="auto"/>
        <w:left w:val="none" w:sz="0" w:space="0" w:color="auto"/>
        <w:bottom w:val="none" w:sz="0" w:space="0" w:color="auto"/>
        <w:right w:val="none" w:sz="0" w:space="0" w:color="auto"/>
      </w:divBdr>
    </w:div>
    <w:div w:id="926382885">
      <w:bodyDiv w:val="1"/>
      <w:marLeft w:val="0"/>
      <w:marRight w:val="0"/>
      <w:marTop w:val="0"/>
      <w:marBottom w:val="0"/>
      <w:divBdr>
        <w:top w:val="none" w:sz="0" w:space="0" w:color="auto"/>
        <w:left w:val="none" w:sz="0" w:space="0" w:color="auto"/>
        <w:bottom w:val="none" w:sz="0" w:space="0" w:color="auto"/>
        <w:right w:val="none" w:sz="0" w:space="0" w:color="auto"/>
      </w:divBdr>
    </w:div>
    <w:div w:id="947781820">
      <w:bodyDiv w:val="1"/>
      <w:marLeft w:val="0"/>
      <w:marRight w:val="0"/>
      <w:marTop w:val="0"/>
      <w:marBottom w:val="0"/>
      <w:divBdr>
        <w:top w:val="none" w:sz="0" w:space="0" w:color="auto"/>
        <w:left w:val="none" w:sz="0" w:space="0" w:color="auto"/>
        <w:bottom w:val="none" w:sz="0" w:space="0" w:color="auto"/>
        <w:right w:val="none" w:sz="0" w:space="0" w:color="auto"/>
      </w:divBdr>
    </w:div>
    <w:div w:id="950282696">
      <w:bodyDiv w:val="1"/>
      <w:marLeft w:val="0"/>
      <w:marRight w:val="0"/>
      <w:marTop w:val="0"/>
      <w:marBottom w:val="0"/>
      <w:divBdr>
        <w:top w:val="none" w:sz="0" w:space="0" w:color="auto"/>
        <w:left w:val="none" w:sz="0" w:space="0" w:color="auto"/>
        <w:bottom w:val="none" w:sz="0" w:space="0" w:color="auto"/>
        <w:right w:val="none" w:sz="0" w:space="0" w:color="auto"/>
      </w:divBdr>
    </w:div>
    <w:div w:id="996542761">
      <w:bodyDiv w:val="1"/>
      <w:marLeft w:val="0"/>
      <w:marRight w:val="0"/>
      <w:marTop w:val="0"/>
      <w:marBottom w:val="0"/>
      <w:divBdr>
        <w:top w:val="none" w:sz="0" w:space="0" w:color="auto"/>
        <w:left w:val="none" w:sz="0" w:space="0" w:color="auto"/>
        <w:bottom w:val="none" w:sz="0" w:space="0" w:color="auto"/>
        <w:right w:val="none" w:sz="0" w:space="0" w:color="auto"/>
      </w:divBdr>
    </w:div>
    <w:div w:id="1004863626">
      <w:bodyDiv w:val="1"/>
      <w:marLeft w:val="0"/>
      <w:marRight w:val="0"/>
      <w:marTop w:val="0"/>
      <w:marBottom w:val="0"/>
      <w:divBdr>
        <w:top w:val="none" w:sz="0" w:space="0" w:color="auto"/>
        <w:left w:val="none" w:sz="0" w:space="0" w:color="auto"/>
        <w:bottom w:val="none" w:sz="0" w:space="0" w:color="auto"/>
        <w:right w:val="none" w:sz="0" w:space="0" w:color="auto"/>
      </w:divBdr>
    </w:div>
    <w:div w:id="1131827119">
      <w:bodyDiv w:val="1"/>
      <w:marLeft w:val="0"/>
      <w:marRight w:val="0"/>
      <w:marTop w:val="0"/>
      <w:marBottom w:val="0"/>
      <w:divBdr>
        <w:top w:val="none" w:sz="0" w:space="0" w:color="auto"/>
        <w:left w:val="none" w:sz="0" w:space="0" w:color="auto"/>
        <w:bottom w:val="none" w:sz="0" w:space="0" w:color="auto"/>
        <w:right w:val="none" w:sz="0" w:space="0" w:color="auto"/>
      </w:divBdr>
    </w:div>
    <w:div w:id="1227717785">
      <w:bodyDiv w:val="1"/>
      <w:marLeft w:val="0"/>
      <w:marRight w:val="0"/>
      <w:marTop w:val="0"/>
      <w:marBottom w:val="0"/>
      <w:divBdr>
        <w:top w:val="none" w:sz="0" w:space="0" w:color="auto"/>
        <w:left w:val="none" w:sz="0" w:space="0" w:color="auto"/>
        <w:bottom w:val="none" w:sz="0" w:space="0" w:color="auto"/>
        <w:right w:val="none" w:sz="0" w:space="0" w:color="auto"/>
      </w:divBdr>
    </w:div>
    <w:div w:id="1241599071">
      <w:bodyDiv w:val="1"/>
      <w:marLeft w:val="0"/>
      <w:marRight w:val="0"/>
      <w:marTop w:val="0"/>
      <w:marBottom w:val="0"/>
      <w:divBdr>
        <w:top w:val="none" w:sz="0" w:space="0" w:color="auto"/>
        <w:left w:val="none" w:sz="0" w:space="0" w:color="auto"/>
        <w:bottom w:val="none" w:sz="0" w:space="0" w:color="auto"/>
        <w:right w:val="none" w:sz="0" w:space="0" w:color="auto"/>
      </w:divBdr>
    </w:div>
    <w:div w:id="1347093386">
      <w:bodyDiv w:val="1"/>
      <w:marLeft w:val="0"/>
      <w:marRight w:val="0"/>
      <w:marTop w:val="0"/>
      <w:marBottom w:val="0"/>
      <w:divBdr>
        <w:top w:val="none" w:sz="0" w:space="0" w:color="auto"/>
        <w:left w:val="none" w:sz="0" w:space="0" w:color="auto"/>
        <w:bottom w:val="none" w:sz="0" w:space="0" w:color="auto"/>
        <w:right w:val="none" w:sz="0" w:space="0" w:color="auto"/>
      </w:divBdr>
    </w:div>
    <w:div w:id="1359745212">
      <w:bodyDiv w:val="1"/>
      <w:marLeft w:val="0"/>
      <w:marRight w:val="0"/>
      <w:marTop w:val="0"/>
      <w:marBottom w:val="0"/>
      <w:divBdr>
        <w:top w:val="none" w:sz="0" w:space="0" w:color="auto"/>
        <w:left w:val="none" w:sz="0" w:space="0" w:color="auto"/>
        <w:bottom w:val="none" w:sz="0" w:space="0" w:color="auto"/>
        <w:right w:val="none" w:sz="0" w:space="0" w:color="auto"/>
      </w:divBdr>
      <w:divsChild>
        <w:div w:id="25493824">
          <w:marLeft w:val="0"/>
          <w:marRight w:val="0"/>
          <w:marTop w:val="0"/>
          <w:marBottom w:val="225"/>
          <w:divBdr>
            <w:top w:val="none" w:sz="0" w:space="0" w:color="auto"/>
            <w:left w:val="none" w:sz="0" w:space="0" w:color="auto"/>
            <w:bottom w:val="none" w:sz="0" w:space="0" w:color="auto"/>
            <w:right w:val="none" w:sz="0" w:space="0" w:color="auto"/>
          </w:divBdr>
          <w:divsChild>
            <w:div w:id="715588521">
              <w:marLeft w:val="0"/>
              <w:marRight w:val="0"/>
              <w:marTop w:val="0"/>
              <w:marBottom w:val="0"/>
              <w:divBdr>
                <w:top w:val="none" w:sz="0" w:space="0" w:color="auto"/>
                <w:left w:val="none" w:sz="0" w:space="0" w:color="auto"/>
                <w:bottom w:val="none" w:sz="0" w:space="0" w:color="auto"/>
                <w:right w:val="none" w:sz="0" w:space="0" w:color="auto"/>
              </w:divBdr>
            </w:div>
          </w:divsChild>
        </w:div>
        <w:div w:id="2100828264">
          <w:marLeft w:val="0"/>
          <w:marRight w:val="0"/>
          <w:marTop w:val="0"/>
          <w:marBottom w:val="225"/>
          <w:divBdr>
            <w:top w:val="none" w:sz="0" w:space="0" w:color="auto"/>
            <w:left w:val="none" w:sz="0" w:space="0" w:color="auto"/>
            <w:bottom w:val="none" w:sz="0" w:space="0" w:color="auto"/>
            <w:right w:val="none" w:sz="0" w:space="0" w:color="auto"/>
          </w:divBdr>
        </w:div>
      </w:divsChild>
    </w:div>
    <w:div w:id="1367370896">
      <w:bodyDiv w:val="1"/>
      <w:marLeft w:val="0"/>
      <w:marRight w:val="0"/>
      <w:marTop w:val="0"/>
      <w:marBottom w:val="0"/>
      <w:divBdr>
        <w:top w:val="none" w:sz="0" w:space="0" w:color="auto"/>
        <w:left w:val="none" w:sz="0" w:space="0" w:color="auto"/>
        <w:bottom w:val="none" w:sz="0" w:space="0" w:color="auto"/>
        <w:right w:val="none" w:sz="0" w:space="0" w:color="auto"/>
      </w:divBdr>
    </w:div>
    <w:div w:id="1537113884">
      <w:bodyDiv w:val="1"/>
      <w:marLeft w:val="0"/>
      <w:marRight w:val="0"/>
      <w:marTop w:val="0"/>
      <w:marBottom w:val="0"/>
      <w:divBdr>
        <w:top w:val="none" w:sz="0" w:space="0" w:color="auto"/>
        <w:left w:val="none" w:sz="0" w:space="0" w:color="auto"/>
        <w:bottom w:val="none" w:sz="0" w:space="0" w:color="auto"/>
        <w:right w:val="none" w:sz="0" w:space="0" w:color="auto"/>
      </w:divBdr>
    </w:div>
    <w:div w:id="1566379421">
      <w:bodyDiv w:val="1"/>
      <w:marLeft w:val="0"/>
      <w:marRight w:val="0"/>
      <w:marTop w:val="0"/>
      <w:marBottom w:val="0"/>
      <w:divBdr>
        <w:top w:val="none" w:sz="0" w:space="0" w:color="auto"/>
        <w:left w:val="none" w:sz="0" w:space="0" w:color="auto"/>
        <w:bottom w:val="none" w:sz="0" w:space="0" w:color="auto"/>
        <w:right w:val="none" w:sz="0" w:space="0" w:color="auto"/>
      </w:divBdr>
    </w:div>
    <w:div w:id="1581408279">
      <w:bodyDiv w:val="1"/>
      <w:marLeft w:val="0"/>
      <w:marRight w:val="0"/>
      <w:marTop w:val="0"/>
      <w:marBottom w:val="0"/>
      <w:divBdr>
        <w:top w:val="none" w:sz="0" w:space="0" w:color="auto"/>
        <w:left w:val="none" w:sz="0" w:space="0" w:color="auto"/>
        <w:bottom w:val="none" w:sz="0" w:space="0" w:color="auto"/>
        <w:right w:val="none" w:sz="0" w:space="0" w:color="auto"/>
      </w:divBdr>
    </w:div>
    <w:div w:id="1640647027">
      <w:bodyDiv w:val="1"/>
      <w:marLeft w:val="0"/>
      <w:marRight w:val="0"/>
      <w:marTop w:val="0"/>
      <w:marBottom w:val="0"/>
      <w:divBdr>
        <w:top w:val="none" w:sz="0" w:space="0" w:color="auto"/>
        <w:left w:val="none" w:sz="0" w:space="0" w:color="auto"/>
        <w:bottom w:val="none" w:sz="0" w:space="0" w:color="auto"/>
        <w:right w:val="none" w:sz="0" w:space="0" w:color="auto"/>
      </w:divBdr>
    </w:div>
    <w:div w:id="1691376992">
      <w:bodyDiv w:val="1"/>
      <w:marLeft w:val="0"/>
      <w:marRight w:val="0"/>
      <w:marTop w:val="0"/>
      <w:marBottom w:val="0"/>
      <w:divBdr>
        <w:top w:val="none" w:sz="0" w:space="0" w:color="auto"/>
        <w:left w:val="none" w:sz="0" w:space="0" w:color="auto"/>
        <w:bottom w:val="none" w:sz="0" w:space="0" w:color="auto"/>
        <w:right w:val="none" w:sz="0" w:space="0" w:color="auto"/>
      </w:divBdr>
    </w:div>
    <w:div w:id="1698847308">
      <w:bodyDiv w:val="1"/>
      <w:marLeft w:val="0"/>
      <w:marRight w:val="0"/>
      <w:marTop w:val="0"/>
      <w:marBottom w:val="0"/>
      <w:divBdr>
        <w:top w:val="none" w:sz="0" w:space="0" w:color="auto"/>
        <w:left w:val="none" w:sz="0" w:space="0" w:color="auto"/>
        <w:bottom w:val="none" w:sz="0" w:space="0" w:color="auto"/>
        <w:right w:val="none" w:sz="0" w:space="0" w:color="auto"/>
      </w:divBdr>
      <w:divsChild>
        <w:div w:id="59526045">
          <w:marLeft w:val="0"/>
          <w:marRight w:val="0"/>
          <w:marTop w:val="0"/>
          <w:marBottom w:val="0"/>
          <w:divBdr>
            <w:top w:val="none" w:sz="0" w:space="0" w:color="auto"/>
            <w:left w:val="none" w:sz="0" w:space="0" w:color="auto"/>
            <w:bottom w:val="none" w:sz="0" w:space="0" w:color="auto"/>
            <w:right w:val="none" w:sz="0" w:space="0" w:color="auto"/>
          </w:divBdr>
        </w:div>
        <w:div w:id="1055161106">
          <w:marLeft w:val="0"/>
          <w:marRight w:val="0"/>
          <w:marTop w:val="0"/>
          <w:marBottom w:val="0"/>
          <w:divBdr>
            <w:top w:val="none" w:sz="0" w:space="0" w:color="auto"/>
            <w:left w:val="none" w:sz="0" w:space="0" w:color="auto"/>
            <w:bottom w:val="none" w:sz="0" w:space="0" w:color="auto"/>
            <w:right w:val="none" w:sz="0" w:space="0" w:color="auto"/>
          </w:divBdr>
        </w:div>
      </w:divsChild>
    </w:div>
    <w:div w:id="1795713549">
      <w:bodyDiv w:val="1"/>
      <w:marLeft w:val="0"/>
      <w:marRight w:val="0"/>
      <w:marTop w:val="0"/>
      <w:marBottom w:val="0"/>
      <w:divBdr>
        <w:top w:val="none" w:sz="0" w:space="0" w:color="auto"/>
        <w:left w:val="none" w:sz="0" w:space="0" w:color="auto"/>
        <w:bottom w:val="none" w:sz="0" w:space="0" w:color="auto"/>
        <w:right w:val="none" w:sz="0" w:space="0" w:color="auto"/>
      </w:divBdr>
    </w:div>
    <w:div w:id="1819765054">
      <w:bodyDiv w:val="1"/>
      <w:marLeft w:val="0"/>
      <w:marRight w:val="0"/>
      <w:marTop w:val="0"/>
      <w:marBottom w:val="0"/>
      <w:divBdr>
        <w:top w:val="none" w:sz="0" w:space="0" w:color="auto"/>
        <w:left w:val="none" w:sz="0" w:space="0" w:color="auto"/>
        <w:bottom w:val="none" w:sz="0" w:space="0" w:color="auto"/>
        <w:right w:val="none" w:sz="0" w:space="0" w:color="auto"/>
      </w:divBdr>
    </w:div>
    <w:div w:id="1836339088">
      <w:bodyDiv w:val="1"/>
      <w:marLeft w:val="0"/>
      <w:marRight w:val="0"/>
      <w:marTop w:val="0"/>
      <w:marBottom w:val="0"/>
      <w:divBdr>
        <w:top w:val="none" w:sz="0" w:space="0" w:color="auto"/>
        <w:left w:val="none" w:sz="0" w:space="0" w:color="auto"/>
        <w:bottom w:val="none" w:sz="0" w:space="0" w:color="auto"/>
        <w:right w:val="none" w:sz="0" w:space="0" w:color="auto"/>
      </w:divBdr>
      <w:divsChild>
        <w:div w:id="1897625451">
          <w:marLeft w:val="0"/>
          <w:marRight w:val="0"/>
          <w:marTop w:val="0"/>
          <w:marBottom w:val="225"/>
          <w:divBdr>
            <w:top w:val="none" w:sz="0" w:space="0" w:color="auto"/>
            <w:left w:val="none" w:sz="0" w:space="0" w:color="auto"/>
            <w:bottom w:val="none" w:sz="0" w:space="0" w:color="auto"/>
            <w:right w:val="none" w:sz="0" w:space="0" w:color="auto"/>
          </w:divBdr>
        </w:div>
        <w:div w:id="2101290586">
          <w:marLeft w:val="0"/>
          <w:marRight w:val="0"/>
          <w:marTop w:val="0"/>
          <w:marBottom w:val="225"/>
          <w:divBdr>
            <w:top w:val="none" w:sz="0" w:space="0" w:color="auto"/>
            <w:left w:val="none" w:sz="0" w:space="0" w:color="auto"/>
            <w:bottom w:val="none" w:sz="0" w:space="0" w:color="auto"/>
            <w:right w:val="none" w:sz="0" w:space="0" w:color="auto"/>
          </w:divBdr>
        </w:div>
      </w:divsChild>
    </w:div>
    <w:div w:id="1837920683">
      <w:bodyDiv w:val="1"/>
      <w:marLeft w:val="0"/>
      <w:marRight w:val="0"/>
      <w:marTop w:val="0"/>
      <w:marBottom w:val="0"/>
      <w:divBdr>
        <w:top w:val="none" w:sz="0" w:space="0" w:color="auto"/>
        <w:left w:val="none" w:sz="0" w:space="0" w:color="auto"/>
        <w:bottom w:val="none" w:sz="0" w:space="0" w:color="auto"/>
        <w:right w:val="none" w:sz="0" w:space="0" w:color="auto"/>
      </w:divBdr>
    </w:div>
    <w:div w:id="1859275963">
      <w:bodyDiv w:val="1"/>
      <w:marLeft w:val="0"/>
      <w:marRight w:val="0"/>
      <w:marTop w:val="0"/>
      <w:marBottom w:val="0"/>
      <w:divBdr>
        <w:top w:val="none" w:sz="0" w:space="0" w:color="auto"/>
        <w:left w:val="none" w:sz="0" w:space="0" w:color="auto"/>
        <w:bottom w:val="none" w:sz="0" w:space="0" w:color="auto"/>
        <w:right w:val="none" w:sz="0" w:space="0" w:color="auto"/>
      </w:divBdr>
    </w:div>
    <w:div w:id="1874460695">
      <w:bodyDiv w:val="1"/>
      <w:marLeft w:val="0"/>
      <w:marRight w:val="0"/>
      <w:marTop w:val="0"/>
      <w:marBottom w:val="0"/>
      <w:divBdr>
        <w:top w:val="none" w:sz="0" w:space="0" w:color="auto"/>
        <w:left w:val="none" w:sz="0" w:space="0" w:color="auto"/>
        <w:bottom w:val="none" w:sz="0" w:space="0" w:color="auto"/>
        <w:right w:val="none" w:sz="0" w:space="0" w:color="auto"/>
      </w:divBdr>
    </w:div>
    <w:div w:id="1911500980">
      <w:bodyDiv w:val="1"/>
      <w:marLeft w:val="0"/>
      <w:marRight w:val="0"/>
      <w:marTop w:val="0"/>
      <w:marBottom w:val="0"/>
      <w:divBdr>
        <w:top w:val="none" w:sz="0" w:space="0" w:color="auto"/>
        <w:left w:val="none" w:sz="0" w:space="0" w:color="auto"/>
        <w:bottom w:val="none" w:sz="0" w:space="0" w:color="auto"/>
        <w:right w:val="none" w:sz="0" w:space="0" w:color="auto"/>
      </w:divBdr>
    </w:div>
    <w:div w:id="1932543208">
      <w:bodyDiv w:val="1"/>
      <w:marLeft w:val="0"/>
      <w:marRight w:val="0"/>
      <w:marTop w:val="0"/>
      <w:marBottom w:val="0"/>
      <w:divBdr>
        <w:top w:val="none" w:sz="0" w:space="0" w:color="auto"/>
        <w:left w:val="none" w:sz="0" w:space="0" w:color="auto"/>
        <w:bottom w:val="none" w:sz="0" w:space="0" w:color="auto"/>
        <w:right w:val="none" w:sz="0" w:space="0" w:color="auto"/>
      </w:divBdr>
    </w:div>
    <w:div w:id="1961372989">
      <w:bodyDiv w:val="1"/>
      <w:marLeft w:val="0"/>
      <w:marRight w:val="0"/>
      <w:marTop w:val="0"/>
      <w:marBottom w:val="0"/>
      <w:divBdr>
        <w:top w:val="none" w:sz="0" w:space="0" w:color="auto"/>
        <w:left w:val="none" w:sz="0" w:space="0" w:color="auto"/>
        <w:bottom w:val="none" w:sz="0" w:space="0" w:color="auto"/>
        <w:right w:val="none" w:sz="0" w:space="0" w:color="auto"/>
      </w:divBdr>
    </w:div>
    <w:div w:id="1984309414">
      <w:bodyDiv w:val="1"/>
      <w:marLeft w:val="0"/>
      <w:marRight w:val="0"/>
      <w:marTop w:val="0"/>
      <w:marBottom w:val="0"/>
      <w:divBdr>
        <w:top w:val="none" w:sz="0" w:space="0" w:color="auto"/>
        <w:left w:val="none" w:sz="0" w:space="0" w:color="auto"/>
        <w:bottom w:val="none" w:sz="0" w:space="0" w:color="auto"/>
        <w:right w:val="none" w:sz="0" w:space="0" w:color="auto"/>
      </w:divBdr>
    </w:div>
    <w:div w:id="2015454514">
      <w:bodyDiv w:val="1"/>
      <w:marLeft w:val="0"/>
      <w:marRight w:val="0"/>
      <w:marTop w:val="0"/>
      <w:marBottom w:val="0"/>
      <w:divBdr>
        <w:top w:val="none" w:sz="0" w:space="0" w:color="auto"/>
        <w:left w:val="none" w:sz="0" w:space="0" w:color="auto"/>
        <w:bottom w:val="none" w:sz="0" w:space="0" w:color="auto"/>
        <w:right w:val="none" w:sz="0" w:space="0" w:color="auto"/>
      </w:divBdr>
    </w:div>
    <w:div w:id="2026402487">
      <w:bodyDiv w:val="1"/>
      <w:marLeft w:val="0"/>
      <w:marRight w:val="0"/>
      <w:marTop w:val="0"/>
      <w:marBottom w:val="0"/>
      <w:divBdr>
        <w:top w:val="none" w:sz="0" w:space="0" w:color="auto"/>
        <w:left w:val="none" w:sz="0" w:space="0" w:color="auto"/>
        <w:bottom w:val="none" w:sz="0" w:space="0" w:color="auto"/>
        <w:right w:val="none" w:sz="0" w:space="0" w:color="auto"/>
      </w:divBdr>
    </w:div>
    <w:div w:id="2089229440">
      <w:bodyDiv w:val="1"/>
      <w:marLeft w:val="0"/>
      <w:marRight w:val="0"/>
      <w:marTop w:val="0"/>
      <w:marBottom w:val="0"/>
      <w:divBdr>
        <w:top w:val="none" w:sz="0" w:space="0" w:color="auto"/>
        <w:left w:val="none" w:sz="0" w:space="0" w:color="auto"/>
        <w:bottom w:val="none" w:sz="0" w:space="0" w:color="auto"/>
        <w:right w:val="none" w:sz="0" w:space="0" w:color="auto"/>
      </w:divBdr>
    </w:div>
    <w:div w:id="2126120835">
      <w:bodyDiv w:val="1"/>
      <w:marLeft w:val="0"/>
      <w:marRight w:val="0"/>
      <w:marTop w:val="0"/>
      <w:marBottom w:val="0"/>
      <w:divBdr>
        <w:top w:val="none" w:sz="0" w:space="0" w:color="auto"/>
        <w:left w:val="none" w:sz="0" w:space="0" w:color="auto"/>
        <w:bottom w:val="none" w:sz="0" w:space="0" w:color="auto"/>
        <w:right w:val="none" w:sz="0" w:space="0" w:color="auto"/>
      </w:divBdr>
      <w:divsChild>
        <w:div w:id="1736732796">
          <w:marLeft w:val="0"/>
          <w:marRight w:val="0"/>
          <w:marTop w:val="0"/>
          <w:marBottom w:val="225"/>
          <w:divBdr>
            <w:top w:val="none" w:sz="0" w:space="0" w:color="auto"/>
            <w:left w:val="none" w:sz="0" w:space="0" w:color="auto"/>
            <w:bottom w:val="none" w:sz="0" w:space="0" w:color="auto"/>
            <w:right w:val="none" w:sz="0" w:space="0" w:color="auto"/>
          </w:divBdr>
        </w:div>
        <w:div w:id="1839073417">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039D-10EA-AF44-8CE2-3CC1AC18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6528</Words>
  <Characters>37210</Characters>
  <Application>Microsoft Macintosh Word</Application>
  <DocSecurity>0</DocSecurity>
  <Lines>310</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As a significant cohort “nonalcoholic fatty liver disease associated hepatocellular carcinoma” impacting the liver transplantation waiting list: 10 years experience of a single centre</vt:lpstr>
      <vt:lpstr>As a significant cohort “nonalcoholic fatty liver disease associated hepatocellular carcinoma” impacting the liver transplantation waiting list: 10 years experience of a single centre</vt:lpstr>
    </vt:vector>
  </TitlesOfParts>
  <Company/>
  <LinksUpToDate>false</LinksUpToDate>
  <CharactersWithSpaces>43651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significant cohort “nonalcoholic fatty liver disease associated hepatocellular carcinoma” impacting the liver transplantation waiting list: 10 years experience of a single centre</dc:title>
  <dc:subject/>
  <dc:creator>tyih</dc:creator>
  <cp:keywords/>
  <dc:description/>
  <cp:lastModifiedBy>Na Ma</cp:lastModifiedBy>
  <cp:revision>2</cp:revision>
  <cp:lastPrinted>2015-02-22T16:38:00Z</cp:lastPrinted>
  <dcterms:created xsi:type="dcterms:W3CDTF">2016-02-23T22:02:00Z</dcterms:created>
  <dcterms:modified xsi:type="dcterms:W3CDTF">2016-02-23T22:02:00Z</dcterms:modified>
</cp:coreProperties>
</file>