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943" w:rsidRPr="00B27B47" w:rsidRDefault="003E1943" w:rsidP="003E1943">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r w:rsidRPr="00B27B47">
        <w:rPr>
          <w:rFonts w:ascii="Book Antiqua" w:eastAsia="Times New Roman" w:hAnsi="Book Antiqua" w:cs="SimSun"/>
          <w:b/>
          <w:kern w:val="2"/>
          <w:sz w:val="24"/>
          <w:szCs w:val="24"/>
          <w:lang w:val="en-US" w:eastAsia="zh-CN"/>
        </w:rPr>
        <w:t xml:space="preserve">Name of journal: </w:t>
      </w:r>
      <w:bookmarkStart w:id="19" w:name="OLE_LINK718"/>
      <w:bookmarkStart w:id="20" w:name="OLE_LINK719"/>
      <w:bookmarkStart w:id="21" w:name="OLE_LINK645"/>
      <w:bookmarkStart w:id="22" w:name="OLE_LINK661"/>
      <w:bookmarkStart w:id="23" w:name="OLE_LINK696"/>
      <w:bookmarkStart w:id="24" w:name="OLE_LINK1068"/>
      <w:bookmarkStart w:id="25" w:name="OLE_LINK335"/>
      <w:r w:rsidRPr="00B27B47">
        <w:rPr>
          <w:rFonts w:ascii="Book Antiqua" w:eastAsia="Times New Roman" w:hAnsi="Book Antiqua" w:cs="SimSun"/>
          <w:i/>
          <w:sz w:val="24"/>
          <w:szCs w:val="21"/>
          <w:lang w:val="en-US" w:eastAsia="zh-CN"/>
        </w:rPr>
        <w:t>World Journal of Gastroenterology</w:t>
      </w:r>
      <w:bookmarkEnd w:id="19"/>
      <w:bookmarkEnd w:id="20"/>
      <w:bookmarkEnd w:id="21"/>
      <w:bookmarkEnd w:id="22"/>
      <w:bookmarkEnd w:id="23"/>
      <w:bookmarkEnd w:id="24"/>
      <w:bookmarkEnd w:id="25"/>
    </w:p>
    <w:p w:rsidR="003E1943" w:rsidRPr="00B27B47" w:rsidRDefault="003E1943" w:rsidP="003E1943">
      <w:pPr>
        <w:widowControl w:val="0"/>
        <w:spacing w:after="0" w:line="360" w:lineRule="auto"/>
        <w:jc w:val="both"/>
        <w:rPr>
          <w:rFonts w:ascii="Book Antiqua" w:eastAsia="Times New Roman" w:hAnsi="Book Antiqua" w:cs="SimSun"/>
          <w:b/>
          <w:i/>
          <w:kern w:val="2"/>
          <w:sz w:val="24"/>
          <w:szCs w:val="24"/>
          <w:lang w:val="en-US" w:eastAsia="zh-CN"/>
        </w:rPr>
      </w:pPr>
      <w:bookmarkStart w:id="26" w:name="OLE_LINK19"/>
      <w:bookmarkStart w:id="27" w:name="OLE_LINK21"/>
      <w:bookmarkStart w:id="28" w:name="OLE_LINK2694"/>
      <w:r w:rsidRPr="00B27B47">
        <w:rPr>
          <w:rFonts w:ascii="Book Antiqua" w:eastAsia="SimSun" w:hAnsi="Book Antiqua" w:cs="Arial"/>
          <w:b/>
          <w:kern w:val="2"/>
          <w:sz w:val="24"/>
          <w:szCs w:val="24"/>
          <w:lang w:val="en" w:eastAsia="zh-CN"/>
        </w:rPr>
        <w:t xml:space="preserve">ESPS Manuscript NO: </w:t>
      </w:r>
      <w:r w:rsidRPr="00B27B47">
        <w:rPr>
          <w:rFonts w:ascii="Book Antiqua" w:eastAsia="SimSun" w:hAnsi="Book Antiqua" w:cs="Arial" w:hint="eastAsia"/>
          <w:b/>
          <w:kern w:val="2"/>
          <w:sz w:val="24"/>
          <w:szCs w:val="24"/>
          <w:lang w:val="en" w:eastAsia="zh-CN"/>
        </w:rPr>
        <w:t>23558</w:t>
      </w:r>
    </w:p>
    <w:p w:rsidR="003E1943" w:rsidRPr="00B27B47" w:rsidRDefault="003E1943" w:rsidP="003E1943">
      <w:pPr>
        <w:widowControl w:val="0"/>
        <w:spacing w:after="0" w:line="240" w:lineRule="auto"/>
        <w:jc w:val="both"/>
        <w:rPr>
          <w:rFonts w:ascii="Book Antiqua" w:eastAsia="SimSun" w:hAnsi="Book Antiqua" w:cs="Times New Roman"/>
          <w:b/>
          <w:kern w:val="2"/>
          <w:sz w:val="24"/>
          <w:szCs w:val="24"/>
          <w:lang w:val="en-US" w:eastAsia="zh-CN"/>
        </w:rPr>
      </w:pPr>
      <w:bookmarkStart w:id="29" w:name="OLE_LINK886"/>
      <w:bookmarkStart w:id="30" w:name="OLE_LINK887"/>
      <w:bookmarkStart w:id="31" w:name="OLE_LINK888"/>
      <w:bookmarkStart w:id="32" w:name="OLE_LINK1072"/>
      <w:bookmarkStart w:id="33" w:name="OLE_LINK863"/>
      <w:bookmarkStart w:id="34" w:name="OLE_LINK965"/>
      <w:bookmarkStart w:id="35" w:name="OLE_LINK897"/>
      <w:bookmarkStart w:id="36" w:name="OLE_LINK1021"/>
      <w:bookmarkStart w:id="37" w:name="OLE_LINK870"/>
      <w:bookmarkStart w:id="38" w:name="OLE_LINK1029"/>
      <w:bookmarkStart w:id="39" w:name="OLE_LINK1154"/>
      <w:bookmarkStart w:id="40" w:name="OLE_LINK950"/>
      <w:bookmarkStart w:id="41" w:name="OLE_LINK1191"/>
      <w:bookmarkStart w:id="42" w:name="OLE_LINK1225"/>
      <w:bookmarkStart w:id="43" w:name="OLE_LINK1131"/>
      <w:bookmarkStart w:id="44" w:name="OLE_LINK1064"/>
      <w:bookmarkStart w:id="45" w:name="OLE_LINK1165"/>
      <w:bookmarkStart w:id="46" w:name="OLE_LINK1333"/>
      <w:bookmarkStart w:id="47" w:name="OLE_LINK1367"/>
      <w:bookmarkStart w:id="48" w:name="OLE_LINK1400"/>
      <w:bookmarkStart w:id="49" w:name="OLE_LINK1616"/>
      <w:bookmarkStart w:id="50" w:name="OLE_LINK1378"/>
      <w:bookmarkStart w:id="51" w:name="OLE_LINK1489"/>
      <w:bookmarkStart w:id="52" w:name="OLE_LINK1379"/>
      <w:bookmarkStart w:id="53" w:name="OLE_LINK1638"/>
      <w:bookmarkStart w:id="54" w:name="OLE_LINK1758"/>
      <w:bookmarkStart w:id="55" w:name="OLE_LINK1764"/>
      <w:bookmarkStart w:id="56" w:name="OLE_LINK1715"/>
      <w:bookmarkStart w:id="57" w:name="OLE_LINK1893"/>
      <w:bookmarkStart w:id="58" w:name="OLE_LINK1929"/>
      <w:bookmarkStart w:id="59" w:name="OLE_LINK1972"/>
      <w:bookmarkStart w:id="60" w:name="OLE_LINK1717"/>
      <w:bookmarkStart w:id="61" w:name="OLE_LINK1785"/>
      <w:bookmarkStart w:id="62" w:name="OLE_LINK1908"/>
      <w:bookmarkStart w:id="63" w:name="OLE_LINK1933"/>
      <w:bookmarkStart w:id="64" w:name="OLE_LINK1867"/>
      <w:bookmarkStart w:id="65" w:name="OLE_LINK1904"/>
      <w:bookmarkStart w:id="66" w:name="OLE_LINK1937"/>
      <w:bookmarkStart w:id="67" w:name="OLE_LINK2022"/>
      <w:bookmarkStart w:id="68" w:name="OLE_LINK2062"/>
      <w:bookmarkStart w:id="69" w:name="OLE_LINK2119"/>
      <w:bookmarkStart w:id="70" w:name="OLE_LINK2067"/>
      <w:bookmarkStart w:id="71" w:name="OLE_LINK2244"/>
      <w:bookmarkStart w:id="72" w:name="OLE_LINK2000"/>
      <w:bookmarkStart w:id="73" w:name="OLE_LINK3"/>
      <w:bookmarkStart w:id="74" w:name="OLE_LINK4"/>
      <w:bookmarkStart w:id="75" w:name="OLE_LINK5"/>
      <w:bookmarkEnd w:id="0"/>
      <w:bookmarkEnd w:id="1"/>
      <w:bookmarkEnd w:id="26"/>
      <w:bookmarkEnd w:id="27"/>
      <w:bookmarkEnd w:id="28"/>
      <w:r w:rsidRPr="00B27B47">
        <w:rPr>
          <w:rFonts w:ascii="Book Antiqua" w:eastAsia="SimSun" w:hAnsi="Book Antiqua" w:cs="Times New Roman"/>
          <w:b/>
          <w:kern w:val="2"/>
          <w:sz w:val="24"/>
          <w:szCs w:val="24"/>
          <w:lang w:val="en-US" w:eastAsia="zh-CN"/>
        </w:rPr>
        <w:t>Manuscript Type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B27B47">
        <w:rPr>
          <w:rFonts w:ascii="Book Antiqua" w:eastAsia="SimSun" w:hAnsi="Book Antiqua" w:cs="Times New Roman"/>
          <w:b/>
          <w:sz w:val="24"/>
          <w:szCs w:val="24"/>
          <w:lang w:val="en-US" w:eastAsia="zh-CN"/>
        </w:rPr>
        <w:t>:</w:t>
      </w:r>
      <w:bookmarkEnd w:id="2"/>
      <w:bookmarkEnd w:id="3"/>
      <w:r w:rsidRPr="00B27B47">
        <w:rPr>
          <w:rFonts w:ascii="Book Antiqua" w:eastAsia="SimSun" w:hAnsi="Book Antiqua" w:cs="Times New Roman"/>
          <w:b/>
          <w:sz w:val="24"/>
          <w:szCs w:val="24"/>
          <w:lang w:val="en-US" w:eastAsia="zh-CN"/>
        </w:rPr>
        <w:t xml:space="preserve"> </w:t>
      </w:r>
      <w:bookmarkStart w:id="76" w:name="OLE_LINK7"/>
      <w:bookmarkStart w:id="77" w:name="OLE_LINK8"/>
      <w:bookmarkStart w:id="78" w:name="OLE_LINK1386"/>
      <w:bookmarkStart w:id="79" w:name="OLE_LINK37"/>
      <w:bookmarkEnd w:id="4"/>
      <w:bookmarkEnd w:id="5"/>
      <w:bookmarkEnd w:id="6"/>
      <w:bookmarkEnd w:id="73"/>
      <w:bookmarkEnd w:id="74"/>
      <w:r w:rsidR="0055209B" w:rsidRPr="00B27B47">
        <w:rPr>
          <w:rFonts w:ascii="Book Antiqua" w:eastAsia="SimSun" w:hAnsi="Book Antiqua" w:cs="Times New Roman"/>
          <w:b/>
          <w:sz w:val="24"/>
          <w:szCs w:val="24"/>
          <w:lang w:val="en-US" w:eastAsia="zh-CN"/>
        </w:rPr>
        <w:t>MINIREVIEWS</w:t>
      </w:r>
    </w:p>
    <w:bookmarkEnd w:id="7"/>
    <w:bookmarkEnd w:id="8"/>
    <w:bookmarkEnd w:id="9"/>
    <w:bookmarkEnd w:id="10"/>
    <w:bookmarkEnd w:id="11"/>
    <w:bookmarkEnd w:id="12"/>
    <w:bookmarkEnd w:id="13"/>
    <w:bookmarkEnd w:id="14"/>
    <w:bookmarkEnd w:id="15"/>
    <w:bookmarkEnd w:id="16"/>
    <w:bookmarkEnd w:id="17"/>
    <w:bookmarkEnd w:id="18"/>
    <w:bookmarkEnd w:id="75"/>
    <w:bookmarkEnd w:id="76"/>
    <w:bookmarkEnd w:id="77"/>
    <w:bookmarkEnd w:id="78"/>
    <w:bookmarkEnd w:id="79"/>
    <w:p w:rsidR="003E1943" w:rsidRPr="000164C7" w:rsidRDefault="003E1943" w:rsidP="003E1943">
      <w:pPr>
        <w:adjustRightInd w:val="0"/>
        <w:snapToGrid w:val="0"/>
        <w:spacing w:after="0" w:line="360" w:lineRule="auto"/>
        <w:jc w:val="both"/>
        <w:rPr>
          <w:rFonts w:ascii="Book Antiqua" w:hAnsi="Book Antiqua" w:cs="Calibri"/>
          <w:b/>
          <w:sz w:val="24"/>
          <w:szCs w:val="24"/>
          <w:lang w:val="en-US" w:eastAsia="zh-CN"/>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lang w:val="en-US" w:eastAsia="de-DE"/>
        </w:rPr>
      </w:pPr>
      <w:bookmarkStart w:id="80" w:name="OLE_LINK2852"/>
      <w:bookmarkStart w:id="81" w:name="OLE_LINK2853"/>
      <w:r w:rsidRPr="00B27B47">
        <w:rPr>
          <w:rFonts w:ascii="Book Antiqua" w:eastAsia="Times New Roman" w:hAnsi="Book Antiqua" w:cs="Calibri"/>
          <w:b/>
          <w:sz w:val="24"/>
          <w:szCs w:val="24"/>
          <w:lang w:val="en-US" w:eastAsia="de-DE"/>
        </w:rPr>
        <w:t>Lipids in liver transplant recipients</w:t>
      </w:r>
    </w:p>
    <w:bookmarkEnd w:id="80"/>
    <w:bookmarkEnd w:id="81"/>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lang w:val="en-US" w:eastAsia="de-DE"/>
        </w:rPr>
      </w:pPr>
    </w:p>
    <w:p w:rsidR="000F7598" w:rsidRPr="00B27B47" w:rsidRDefault="003E1943" w:rsidP="003E1943">
      <w:pPr>
        <w:adjustRightInd w:val="0"/>
        <w:snapToGrid w:val="0"/>
        <w:spacing w:after="0" w:line="360" w:lineRule="auto"/>
        <w:jc w:val="both"/>
        <w:rPr>
          <w:rFonts w:ascii="Book Antiqua" w:eastAsia="Times New Roman" w:hAnsi="Book Antiqua" w:cs="Calibri"/>
          <w:sz w:val="24"/>
          <w:szCs w:val="24"/>
          <w:lang w:val="en-US" w:eastAsia="de-DE"/>
        </w:rPr>
      </w:pPr>
      <w:r w:rsidRPr="00B27B47">
        <w:rPr>
          <w:rFonts w:ascii="Book Antiqua" w:eastAsia="Times New Roman" w:hAnsi="Book Antiqua" w:cs="Calibri"/>
          <w:sz w:val="24"/>
          <w:szCs w:val="24"/>
          <w:lang w:val="en-US" w:eastAsia="de-DE"/>
        </w:rPr>
        <w:t xml:space="preserve">Hüsing </w:t>
      </w:r>
      <w:r w:rsidRPr="00B27B47">
        <w:rPr>
          <w:rFonts w:ascii="Book Antiqua" w:hAnsi="Book Antiqua" w:cs="Calibri" w:hint="eastAsia"/>
          <w:sz w:val="24"/>
          <w:szCs w:val="24"/>
          <w:lang w:val="en-US" w:eastAsia="zh-CN"/>
        </w:rPr>
        <w:t xml:space="preserve">A </w:t>
      </w:r>
      <w:r w:rsidRPr="00B27B47">
        <w:rPr>
          <w:rFonts w:ascii="Book Antiqua" w:hAnsi="Book Antiqua" w:cs="Calibri" w:hint="eastAsia"/>
          <w:i/>
          <w:sz w:val="24"/>
          <w:szCs w:val="24"/>
          <w:lang w:val="en-US" w:eastAsia="zh-CN"/>
        </w:rPr>
        <w:t>et al.</w:t>
      </w:r>
      <w:r w:rsidRPr="00B27B47">
        <w:rPr>
          <w:rFonts w:ascii="Book Antiqua" w:hAnsi="Book Antiqua" w:cs="Calibri" w:hint="eastAsia"/>
          <w:sz w:val="24"/>
          <w:szCs w:val="24"/>
          <w:lang w:val="en-US" w:eastAsia="zh-CN"/>
        </w:rPr>
        <w:t xml:space="preserve"> </w:t>
      </w:r>
      <w:r w:rsidR="000F7598" w:rsidRPr="00B27B47">
        <w:rPr>
          <w:rFonts w:ascii="Book Antiqua" w:eastAsia="Times New Roman" w:hAnsi="Book Antiqua" w:cs="Calibri"/>
          <w:sz w:val="24"/>
          <w:szCs w:val="24"/>
          <w:lang w:val="en-US" w:eastAsia="de-DE"/>
        </w:rPr>
        <w:t>Dyslipidemia in liver transplant recipients</w:t>
      </w:r>
    </w:p>
    <w:p w:rsidR="000F7598" w:rsidRPr="00B27B47" w:rsidRDefault="000F7598" w:rsidP="003E1943">
      <w:pPr>
        <w:adjustRightInd w:val="0"/>
        <w:snapToGrid w:val="0"/>
        <w:spacing w:after="0" w:line="360" w:lineRule="auto"/>
        <w:jc w:val="both"/>
        <w:rPr>
          <w:rFonts w:ascii="Book Antiqua" w:hAnsi="Book Antiqua" w:cs="Calibri"/>
          <w:b/>
          <w:sz w:val="24"/>
          <w:szCs w:val="24"/>
          <w:lang w:val="en-US" w:eastAsia="zh-CN"/>
        </w:rPr>
      </w:pPr>
    </w:p>
    <w:p w:rsidR="003E1943" w:rsidRPr="00B27B47" w:rsidRDefault="003E1943" w:rsidP="003E1943">
      <w:pPr>
        <w:adjustRightInd w:val="0"/>
        <w:snapToGrid w:val="0"/>
        <w:spacing w:after="0" w:line="360" w:lineRule="auto"/>
        <w:jc w:val="both"/>
        <w:rPr>
          <w:rFonts w:ascii="Book Antiqua" w:hAnsi="Book Antiqua" w:cs="Calibri"/>
          <w:sz w:val="24"/>
          <w:szCs w:val="24"/>
          <w:lang w:val="en-US" w:eastAsia="zh-CN"/>
        </w:rPr>
      </w:pPr>
      <w:bookmarkStart w:id="82" w:name="OLE_LINK2850"/>
      <w:bookmarkStart w:id="83" w:name="OLE_LINK2851"/>
      <w:bookmarkStart w:id="84" w:name="OLE_LINK2854"/>
      <w:bookmarkStart w:id="85" w:name="OLE_LINK2855"/>
      <w:r w:rsidRPr="00B27B47">
        <w:rPr>
          <w:rFonts w:ascii="Book Antiqua" w:hAnsi="Book Antiqua" w:cs="Calibri"/>
          <w:sz w:val="24"/>
          <w:szCs w:val="24"/>
          <w:lang w:val="en-US" w:eastAsia="zh-CN"/>
        </w:rPr>
        <w:t>Anna Hüsing</w:t>
      </w:r>
      <w:bookmarkEnd w:id="82"/>
      <w:bookmarkEnd w:id="83"/>
      <w:r w:rsidRPr="00B27B47">
        <w:rPr>
          <w:rFonts w:ascii="Book Antiqua" w:hAnsi="Book Antiqua" w:cs="Calibri"/>
          <w:sz w:val="24"/>
          <w:szCs w:val="24"/>
          <w:lang w:val="en-US" w:eastAsia="zh-CN"/>
        </w:rPr>
        <w:t>, Iyad Kabar, Hartmut H Schmidt</w:t>
      </w:r>
    </w:p>
    <w:bookmarkEnd w:id="84"/>
    <w:bookmarkEnd w:id="85"/>
    <w:p w:rsidR="003E1943" w:rsidRPr="00B27B47" w:rsidRDefault="003E1943" w:rsidP="003E1943">
      <w:pPr>
        <w:adjustRightInd w:val="0"/>
        <w:snapToGrid w:val="0"/>
        <w:spacing w:after="0" w:line="360" w:lineRule="auto"/>
        <w:jc w:val="both"/>
        <w:rPr>
          <w:rFonts w:ascii="Book Antiqua" w:hAnsi="Book Antiqua" w:cs="Calibri"/>
          <w:b/>
          <w:sz w:val="24"/>
          <w:szCs w:val="24"/>
          <w:lang w:val="en-US" w:eastAsia="zh-CN"/>
        </w:rPr>
      </w:pPr>
    </w:p>
    <w:p w:rsidR="000F7598" w:rsidRPr="00B27B47" w:rsidRDefault="000F7598" w:rsidP="003E1943">
      <w:pPr>
        <w:adjustRightInd w:val="0"/>
        <w:snapToGrid w:val="0"/>
        <w:spacing w:after="0" w:line="360" w:lineRule="auto"/>
        <w:jc w:val="both"/>
        <w:rPr>
          <w:rFonts w:ascii="Book Antiqua" w:eastAsia="Times New Roman" w:hAnsi="Book Antiqua" w:cs="Calibri"/>
          <w:sz w:val="24"/>
          <w:szCs w:val="24"/>
          <w:lang w:val="en-US" w:eastAsia="de-DE"/>
        </w:rPr>
      </w:pPr>
      <w:bookmarkStart w:id="86" w:name="OLE_LINK2823"/>
      <w:bookmarkStart w:id="87" w:name="OLE_LINK2824"/>
      <w:r w:rsidRPr="00B27B47">
        <w:rPr>
          <w:rFonts w:ascii="Book Antiqua" w:eastAsia="Times New Roman" w:hAnsi="Book Antiqua" w:cs="Calibri"/>
          <w:b/>
          <w:sz w:val="24"/>
          <w:szCs w:val="24"/>
          <w:lang w:val="en-US" w:eastAsia="de-DE"/>
        </w:rPr>
        <w:t>Anna Hüsing, Iyad Kabar, Hartmut H Schmidt</w:t>
      </w:r>
      <w:bookmarkEnd w:id="86"/>
      <w:bookmarkEnd w:id="87"/>
      <w:r w:rsidRPr="00B27B47">
        <w:rPr>
          <w:rFonts w:ascii="Book Antiqua" w:eastAsia="Times New Roman" w:hAnsi="Book Antiqua" w:cs="Calibri"/>
          <w:b/>
          <w:sz w:val="24"/>
          <w:szCs w:val="24"/>
          <w:lang w:val="en-US" w:eastAsia="de-DE"/>
        </w:rPr>
        <w:t>,</w:t>
      </w:r>
      <w:r w:rsidRPr="00B27B47">
        <w:rPr>
          <w:rFonts w:ascii="Book Antiqua" w:eastAsia="Times New Roman" w:hAnsi="Book Antiqua" w:cs="Calibri"/>
          <w:sz w:val="24"/>
          <w:szCs w:val="24"/>
          <w:vertAlign w:val="superscript"/>
          <w:lang w:val="en-US" w:eastAsia="de-DE"/>
        </w:rPr>
        <w:t xml:space="preserve"> </w:t>
      </w:r>
      <w:r w:rsidRPr="00B27B47">
        <w:rPr>
          <w:rFonts w:ascii="Book Antiqua" w:eastAsia="Times New Roman" w:hAnsi="Book Antiqua" w:cs="Calibri"/>
          <w:sz w:val="24"/>
          <w:szCs w:val="24"/>
          <w:lang w:val="en-US" w:eastAsia="de-DE"/>
        </w:rPr>
        <w:t xml:space="preserve">Department of Transplant Medicine, </w:t>
      </w:r>
      <w:r w:rsidR="003663B8" w:rsidRPr="003663B8">
        <w:rPr>
          <w:rFonts w:ascii="Book Antiqua" w:eastAsia="Times New Roman" w:hAnsi="Book Antiqua" w:cs="Calibri"/>
          <w:sz w:val="24"/>
          <w:szCs w:val="24"/>
          <w:lang w:val="en-US" w:eastAsia="de-DE"/>
        </w:rPr>
        <w:t xml:space="preserve">University Hospital Münster, </w:t>
      </w:r>
      <w:r w:rsidRPr="00B27B47">
        <w:rPr>
          <w:rFonts w:ascii="Book Antiqua" w:eastAsia="Times New Roman" w:hAnsi="Book Antiqua" w:cs="Calibri"/>
          <w:sz w:val="24"/>
          <w:szCs w:val="24"/>
          <w:lang w:val="en-US" w:eastAsia="de-DE"/>
        </w:rPr>
        <w:t>Münster 48149, Germany</w:t>
      </w:r>
    </w:p>
    <w:p w:rsidR="000F7598" w:rsidRPr="00B27B47" w:rsidRDefault="000F7598" w:rsidP="003E1943">
      <w:pPr>
        <w:adjustRightInd w:val="0"/>
        <w:snapToGrid w:val="0"/>
        <w:spacing w:after="0" w:line="360" w:lineRule="auto"/>
        <w:jc w:val="both"/>
        <w:rPr>
          <w:rFonts w:ascii="Book Antiqua" w:hAnsi="Book Antiqua" w:cs="Calibri"/>
          <w:b/>
          <w:sz w:val="24"/>
          <w:szCs w:val="24"/>
          <w:lang w:val="en-US" w:eastAsia="zh-CN"/>
        </w:rPr>
      </w:pPr>
    </w:p>
    <w:p w:rsidR="000F7598" w:rsidRPr="00B27B47" w:rsidRDefault="000F7598" w:rsidP="003E1943">
      <w:pPr>
        <w:adjustRightInd w:val="0"/>
        <w:snapToGrid w:val="0"/>
        <w:spacing w:after="0" w:line="360" w:lineRule="auto"/>
        <w:jc w:val="both"/>
        <w:rPr>
          <w:rFonts w:ascii="Book Antiqua" w:eastAsia="Times New Roman" w:hAnsi="Book Antiqua" w:cs="Calibri"/>
          <w:sz w:val="24"/>
          <w:szCs w:val="24"/>
          <w:lang w:val="en-US" w:eastAsia="de-DE"/>
        </w:rPr>
      </w:pPr>
      <w:r w:rsidRPr="00B27B47">
        <w:rPr>
          <w:rFonts w:ascii="Book Antiqua" w:eastAsia="Times New Roman" w:hAnsi="Book Antiqua" w:cs="Calibri"/>
          <w:b/>
          <w:sz w:val="24"/>
          <w:szCs w:val="24"/>
          <w:lang w:val="en-US" w:eastAsia="de-DE"/>
        </w:rPr>
        <w:t xml:space="preserve">Author contributions: </w:t>
      </w:r>
      <w:r w:rsidRPr="00B27B47">
        <w:rPr>
          <w:rFonts w:ascii="Book Antiqua" w:eastAsia="Times New Roman" w:hAnsi="Book Antiqua" w:cs="Calibri"/>
          <w:sz w:val="24"/>
          <w:szCs w:val="24"/>
          <w:lang w:val="en-US" w:eastAsia="de-DE"/>
        </w:rPr>
        <w:t xml:space="preserve">Hüsing A, Kabar I and Schmidt HH analyzed the literature and wrote the paper. </w:t>
      </w:r>
    </w:p>
    <w:p w:rsidR="000F7598" w:rsidRPr="00B27B47" w:rsidRDefault="000F7598" w:rsidP="003E1943">
      <w:pPr>
        <w:adjustRightInd w:val="0"/>
        <w:snapToGrid w:val="0"/>
        <w:spacing w:after="0" w:line="360" w:lineRule="auto"/>
        <w:jc w:val="both"/>
        <w:rPr>
          <w:rFonts w:ascii="Book Antiqua" w:hAnsi="Book Antiqua" w:cs="Calibri"/>
          <w:b/>
          <w:sz w:val="24"/>
          <w:szCs w:val="24"/>
          <w:lang w:val="en-US" w:eastAsia="zh-CN"/>
        </w:rPr>
      </w:pPr>
    </w:p>
    <w:p w:rsidR="000F7598" w:rsidRPr="00B27B47" w:rsidRDefault="000F7598" w:rsidP="003E1943">
      <w:pPr>
        <w:adjustRightInd w:val="0"/>
        <w:snapToGrid w:val="0"/>
        <w:spacing w:after="0" w:line="360" w:lineRule="auto"/>
        <w:jc w:val="both"/>
        <w:rPr>
          <w:rFonts w:ascii="Book Antiqua" w:hAnsi="Book Antiqua" w:cs="Calibri"/>
          <w:sz w:val="24"/>
          <w:szCs w:val="24"/>
          <w:lang w:val="en-US" w:eastAsia="zh-CN"/>
        </w:rPr>
      </w:pPr>
      <w:r w:rsidRPr="00B27B47">
        <w:rPr>
          <w:rFonts w:ascii="Book Antiqua" w:eastAsia="Times New Roman" w:hAnsi="Book Antiqua" w:cs="Calibri"/>
          <w:b/>
          <w:sz w:val="24"/>
          <w:szCs w:val="24"/>
          <w:lang w:val="en-US" w:eastAsia="de-DE"/>
        </w:rPr>
        <w:t xml:space="preserve">Conflict-of-interest statement: </w:t>
      </w:r>
      <w:r w:rsidRPr="00B27B47">
        <w:rPr>
          <w:rFonts w:ascii="Book Antiqua" w:eastAsia="Times New Roman" w:hAnsi="Book Antiqua" w:cs="Calibri"/>
          <w:sz w:val="24"/>
          <w:szCs w:val="24"/>
          <w:lang w:val="en-US" w:eastAsia="de-DE"/>
        </w:rPr>
        <w:t>The authors declare no conflict of interest in publication of the article.</w:t>
      </w:r>
    </w:p>
    <w:p w:rsidR="003E1943" w:rsidRPr="00B27B47" w:rsidRDefault="003E1943" w:rsidP="003E1943">
      <w:pPr>
        <w:adjustRightInd w:val="0"/>
        <w:snapToGrid w:val="0"/>
        <w:spacing w:after="0" w:line="360" w:lineRule="auto"/>
        <w:jc w:val="both"/>
        <w:rPr>
          <w:rFonts w:ascii="Book Antiqua" w:hAnsi="Book Antiqua" w:cs="Calibri"/>
          <w:sz w:val="24"/>
          <w:szCs w:val="24"/>
          <w:lang w:val="en-US" w:eastAsia="zh-CN"/>
        </w:rPr>
      </w:pPr>
    </w:p>
    <w:p w:rsidR="003E1943" w:rsidRPr="00B27B47" w:rsidRDefault="003E1943" w:rsidP="003E1943">
      <w:pPr>
        <w:spacing w:after="0" w:line="360" w:lineRule="auto"/>
        <w:jc w:val="both"/>
        <w:rPr>
          <w:rFonts w:ascii="Book Antiqua" w:eastAsia="SimSun" w:hAnsi="Book Antiqua" w:cs="SimSun"/>
          <w:sz w:val="24"/>
          <w:szCs w:val="24"/>
          <w:lang w:val="en-US" w:eastAsia="zh-CN"/>
        </w:rPr>
      </w:pPr>
      <w:bookmarkStart w:id="88" w:name="OLE_LINK441"/>
      <w:bookmarkStart w:id="89" w:name="OLE_LINK442"/>
      <w:bookmarkStart w:id="90" w:name="OLE_LINK1032"/>
      <w:bookmarkStart w:id="91" w:name="OLE_LINK1232"/>
      <w:bookmarkStart w:id="92" w:name="OLE_LINK1460"/>
      <w:bookmarkStart w:id="93" w:name="OLE_LINK1568"/>
      <w:bookmarkStart w:id="94" w:name="OLE_LINK1708"/>
      <w:bookmarkStart w:id="95" w:name="OLE_LINK1435"/>
      <w:bookmarkStart w:id="96" w:name="OLE_LINK1478"/>
      <w:bookmarkStart w:id="97" w:name="OLE_LINK1428"/>
      <w:bookmarkStart w:id="98" w:name="OLE_LINK1355"/>
      <w:bookmarkStart w:id="99" w:name="OLE_LINK1425"/>
      <w:bookmarkStart w:id="100" w:name="OLE_LINK1504"/>
      <w:bookmarkStart w:id="101" w:name="OLE_LINK1544"/>
      <w:bookmarkStart w:id="102" w:name="OLE_LINK1680"/>
      <w:bookmarkStart w:id="103" w:name="OLE_LINK1710"/>
      <w:bookmarkStart w:id="104" w:name="OLE_LINK3317"/>
      <w:bookmarkStart w:id="105" w:name="OLE_LINK22"/>
      <w:bookmarkStart w:id="106" w:name="OLE_LINK1818"/>
      <w:bookmarkStart w:id="107" w:name="OLE_LINK1684"/>
      <w:bookmarkStart w:id="108" w:name="OLE_LINK1885"/>
      <w:bookmarkStart w:id="109" w:name="OLE_LINK1799"/>
      <w:bookmarkStart w:id="110" w:name="OLE_LINK1894"/>
      <w:bookmarkStart w:id="111" w:name="OLE_LINK27"/>
      <w:bookmarkStart w:id="112" w:name="OLE_LINK732"/>
      <w:bookmarkStart w:id="113" w:name="OLE_LINK2053"/>
      <w:bookmarkStart w:id="114" w:name="OLE_LINK2096"/>
      <w:bookmarkStart w:id="115" w:name="OLE_LINK2174"/>
      <w:bookmarkStart w:id="116" w:name="OLE_LINK2108"/>
      <w:bookmarkStart w:id="117" w:name="OLE_LINK2183"/>
      <w:bookmarkStart w:id="118" w:name="OLE_LINK2328"/>
      <w:bookmarkStart w:id="119" w:name="OLE_LINK766"/>
      <w:bookmarkStart w:id="120" w:name="OLE_LINK2256"/>
      <w:bookmarkStart w:id="121" w:name="OLE_LINK38"/>
      <w:bookmarkStart w:id="122" w:name="OLE_LINK2368"/>
      <w:bookmarkStart w:id="123" w:name="OLE_LINK2351"/>
      <w:bookmarkStart w:id="124" w:name="OLE_LINK2446"/>
      <w:bookmarkStart w:id="125" w:name="OLE_LINK2509"/>
      <w:bookmarkStart w:id="126" w:name="OLE_LINK2651"/>
      <w:bookmarkStart w:id="127" w:name="OLE_LINK2842"/>
      <w:r w:rsidRPr="00B27B47">
        <w:rPr>
          <w:rFonts w:ascii="Book Antiqua" w:eastAsia="SimSun" w:hAnsi="Book Antiqua" w:cs="Times New Roman"/>
          <w:b/>
          <w:sz w:val="24"/>
          <w:szCs w:val="24"/>
          <w:lang w:val="en-US" w:eastAsia="zh-CN"/>
        </w:rPr>
        <w:t xml:space="preserve">Open-Access: </w:t>
      </w:r>
      <w:bookmarkStart w:id="128" w:name="OLE_LINK479"/>
      <w:bookmarkStart w:id="129" w:name="OLE_LINK496"/>
      <w:bookmarkStart w:id="130" w:name="OLE_LINK506"/>
      <w:bookmarkStart w:id="131" w:name="OLE_LINK507"/>
      <w:r w:rsidRPr="00B27B47">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27B47">
          <w:rPr>
            <w:rFonts w:ascii="Book Antiqua" w:eastAsia="SimSun" w:hAnsi="Book Antiqua" w:cs="Times New Roman"/>
            <w:kern w:val="2"/>
            <w:sz w:val="24"/>
            <w:szCs w:val="24"/>
            <w:u w:val="single"/>
            <w:lang w:val="en-US" w:eastAsia="zh-CN"/>
          </w:rPr>
          <w:t>http://creativecommons.org/licenses/by-nc/4.0/</w:t>
        </w:r>
      </w:hyperlink>
      <w:bookmarkEnd w:id="128"/>
      <w:bookmarkEnd w:id="129"/>
      <w:bookmarkEnd w:id="130"/>
      <w:bookmarkEnd w:id="131"/>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0F7598" w:rsidRPr="00B27B47" w:rsidRDefault="000F7598" w:rsidP="003E1943">
      <w:pPr>
        <w:adjustRightInd w:val="0"/>
        <w:snapToGrid w:val="0"/>
        <w:spacing w:after="0" w:line="360" w:lineRule="auto"/>
        <w:jc w:val="both"/>
        <w:rPr>
          <w:rFonts w:ascii="Book Antiqua" w:hAnsi="Book Antiqua" w:cs="Calibri"/>
          <w:sz w:val="24"/>
          <w:szCs w:val="24"/>
          <w:lang w:val="en-US" w:eastAsia="zh-CN"/>
        </w:rPr>
      </w:pPr>
    </w:p>
    <w:p w:rsidR="000F7598" w:rsidRPr="00B27B47" w:rsidRDefault="00912048" w:rsidP="008F655C">
      <w:pPr>
        <w:adjustRightInd w:val="0"/>
        <w:snapToGrid w:val="0"/>
        <w:spacing w:after="0" w:line="360" w:lineRule="auto"/>
        <w:jc w:val="both"/>
        <w:rPr>
          <w:rFonts w:ascii="Book Antiqua" w:hAnsi="Book Antiqua" w:cs="Calibri"/>
          <w:sz w:val="24"/>
          <w:szCs w:val="24"/>
          <w:lang w:val="en-US" w:eastAsia="zh-CN"/>
        </w:rPr>
      </w:pPr>
      <w:bookmarkStart w:id="132" w:name="OLE_LINK1529"/>
      <w:bookmarkStart w:id="133" w:name="OLE_LINK1530"/>
      <w:bookmarkStart w:id="134" w:name="OLE_LINK1233"/>
      <w:bookmarkStart w:id="135" w:name="OLE_LINK1234"/>
      <w:bookmarkStart w:id="136" w:name="OLE_LINK1343"/>
      <w:bookmarkStart w:id="137" w:name="OLE_LINK1701"/>
      <w:bookmarkStart w:id="138" w:name="OLE_LINK2843"/>
      <w:r w:rsidRPr="00B27B47">
        <w:rPr>
          <w:rFonts w:ascii="Book Antiqua" w:hAnsi="Book Antiqua"/>
          <w:b/>
          <w:sz w:val="24"/>
        </w:rPr>
        <w:t xml:space="preserve">Correspondence </w:t>
      </w:r>
      <w:bookmarkEnd w:id="132"/>
      <w:bookmarkEnd w:id="133"/>
      <w:r w:rsidRPr="00B27B47">
        <w:rPr>
          <w:rFonts w:ascii="Book Antiqua" w:hAnsi="Book Antiqua"/>
          <w:b/>
          <w:sz w:val="24"/>
        </w:rPr>
        <w:t>to:</w:t>
      </w:r>
      <w:bookmarkEnd w:id="134"/>
      <w:bookmarkEnd w:id="135"/>
      <w:bookmarkEnd w:id="136"/>
      <w:bookmarkEnd w:id="137"/>
      <w:bookmarkEnd w:id="138"/>
      <w:r w:rsidRPr="00B27B47">
        <w:rPr>
          <w:rFonts w:ascii="Book Antiqua" w:hAnsi="Book Antiqua" w:hint="eastAsia"/>
          <w:b/>
          <w:sz w:val="24"/>
          <w:lang w:eastAsia="zh-CN"/>
        </w:rPr>
        <w:t xml:space="preserve"> </w:t>
      </w:r>
      <w:bookmarkStart w:id="139" w:name="OLE_LINK2856"/>
      <w:bookmarkStart w:id="140" w:name="OLE_LINK2857"/>
      <w:r w:rsidRPr="00B27B47">
        <w:rPr>
          <w:rFonts w:ascii="Book Antiqua" w:eastAsia="Times New Roman" w:hAnsi="Book Antiqua" w:cs="Calibri"/>
          <w:b/>
          <w:sz w:val="24"/>
          <w:szCs w:val="24"/>
          <w:lang w:val="en-US" w:eastAsia="de-DE"/>
        </w:rPr>
        <w:t>Hartmut H</w:t>
      </w:r>
      <w:r w:rsidR="000F7598" w:rsidRPr="00B27B47">
        <w:rPr>
          <w:rFonts w:ascii="Book Antiqua" w:eastAsia="Times New Roman" w:hAnsi="Book Antiqua" w:cs="Calibri"/>
          <w:b/>
          <w:sz w:val="24"/>
          <w:szCs w:val="24"/>
          <w:lang w:val="en-US" w:eastAsia="de-DE"/>
        </w:rPr>
        <w:t xml:space="preserve"> Schmidt, MD</w:t>
      </w:r>
      <w:r w:rsidRPr="00B27B47">
        <w:rPr>
          <w:rFonts w:ascii="Book Antiqua" w:hAnsi="Book Antiqua" w:cs="Calibri" w:hint="eastAsia"/>
          <w:b/>
          <w:sz w:val="24"/>
          <w:szCs w:val="24"/>
          <w:lang w:val="en-US" w:eastAsia="zh-CN"/>
        </w:rPr>
        <w:t>,</w:t>
      </w:r>
      <w:r w:rsidR="000F7598" w:rsidRPr="00B27B47">
        <w:rPr>
          <w:rFonts w:ascii="Book Antiqua" w:eastAsia="Times New Roman" w:hAnsi="Book Antiqua" w:cs="Calibri"/>
          <w:b/>
          <w:sz w:val="24"/>
          <w:szCs w:val="24"/>
          <w:lang w:val="en-US" w:eastAsia="de-DE"/>
        </w:rPr>
        <w:t xml:space="preserve"> Professor of Medicine</w:t>
      </w:r>
      <w:r w:rsidRPr="00B27B47">
        <w:rPr>
          <w:rFonts w:ascii="Book Antiqua" w:hAnsi="Book Antiqua" w:cs="Calibri" w:hint="eastAsia"/>
          <w:b/>
          <w:sz w:val="24"/>
          <w:szCs w:val="24"/>
          <w:lang w:val="en-US" w:eastAsia="zh-CN"/>
        </w:rPr>
        <w:t>,</w:t>
      </w:r>
      <w:r w:rsidRPr="00B27B47">
        <w:rPr>
          <w:rFonts w:ascii="Book Antiqua" w:hAnsi="Book Antiqua" w:cs="Calibri" w:hint="eastAsia"/>
          <w:sz w:val="24"/>
          <w:szCs w:val="24"/>
          <w:lang w:val="en-US" w:eastAsia="zh-CN"/>
        </w:rPr>
        <w:t xml:space="preserve"> </w:t>
      </w:r>
      <w:r w:rsidR="000F7598" w:rsidRPr="00B27B47">
        <w:rPr>
          <w:rFonts w:ascii="Book Antiqua" w:eastAsia="Times New Roman" w:hAnsi="Book Antiqua" w:cs="Calibri"/>
          <w:sz w:val="24"/>
          <w:szCs w:val="24"/>
          <w:lang w:val="en-US" w:eastAsia="de-DE"/>
        </w:rPr>
        <w:t>Department of Transplant Medicine</w:t>
      </w:r>
      <w:r w:rsidRPr="00B27B47">
        <w:rPr>
          <w:rFonts w:ascii="Book Antiqua" w:hAnsi="Book Antiqua" w:cs="Calibri" w:hint="eastAsia"/>
          <w:sz w:val="24"/>
          <w:szCs w:val="24"/>
          <w:lang w:val="en-US" w:eastAsia="zh-CN"/>
        </w:rPr>
        <w:t xml:space="preserve">, </w:t>
      </w:r>
      <w:r w:rsidR="003663B8" w:rsidRPr="003663B8">
        <w:rPr>
          <w:rFonts w:ascii="Book Antiqua" w:hAnsi="Book Antiqua" w:cs="Calibri"/>
          <w:sz w:val="24"/>
          <w:szCs w:val="24"/>
          <w:lang w:val="en-US" w:eastAsia="zh-CN"/>
        </w:rPr>
        <w:t>University Hospital Münster</w:t>
      </w:r>
      <w:r w:rsidR="003663B8" w:rsidRPr="003663B8">
        <w:rPr>
          <w:rFonts w:ascii="Book Antiqua" w:hAnsi="Book Antiqua" w:cs="Calibri" w:hint="eastAsia"/>
          <w:sz w:val="24"/>
          <w:szCs w:val="24"/>
          <w:lang w:val="en-US" w:eastAsia="zh-CN"/>
        </w:rPr>
        <w:t xml:space="preserve">, </w:t>
      </w:r>
      <w:r w:rsidR="000F7598" w:rsidRPr="00B27B47">
        <w:rPr>
          <w:rFonts w:ascii="Book Antiqua" w:eastAsia="Times New Roman" w:hAnsi="Book Antiqua" w:cs="Calibri"/>
          <w:sz w:val="24"/>
          <w:szCs w:val="24"/>
          <w:lang w:val="en-US" w:eastAsia="de-DE"/>
        </w:rPr>
        <w:t>Albert-Schweitzer-Campus 1, Gebäude A14, Münster 48149, Germany</w:t>
      </w:r>
      <w:r w:rsidRPr="00B27B47">
        <w:rPr>
          <w:rFonts w:ascii="Book Antiqua" w:hAnsi="Book Antiqua" w:cs="Calibri" w:hint="eastAsia"/>
          <w:sz w:val="24"/>
          <w:szCs w:val="24"/>
          <w:lang w:val="en-US" w:eastAsia="zh-CN"/>
        </w:rPr>
        <w:t xml:space="preserve">. </w:t>
      </w:r>
      <w:r w:rsidR="000F7598" w:rsidRPr="00B27B47">
        <w:rPr>
          <w:rFonts w:ascii="Book Antiqua" w:eastAsia="Times New Roman" w:hAnsi="Book Antiqua" w:cs="Calibri"/>
          <w:sz w:val="24"/>
          <w:szCs w:val="24"/>
          <w:lang w:val="en-US" w:eastAsia="de-DE"/>
        </w:rPr>
        <w:t>hepar@ukmuenster.de</w:t>
      </w:r>
    </w:p>
    <w:bookmarkEnd w:id="139"/>
    <w:bookmarkEnd w:id="140"/>
    <w:p w:rsidR="000F7598" w:rsidRPr="00B27B47" w:rsidRDefault="000F7598" w:rsidP="003E1943">
      <w:pPr>
        <w:adjustRightInd w:val="0"/>
        <w:snapToGrid w:val="0"/>
        <w:spacing w:after="0" w:line="360" w:lineRule="auto"/>
        <w:jc w:val="both"/>
        <w:rPr>
          <w:rFonts w:ascii="Book Antiqua" w:eastAsia="Times New Roman" w:hAnsi="Book Antiqua" w:cs="Calibri"/>
          <w:sz w:val="24"/>
          <w:szCs w:val="24"/>
          <w:lang w:val="en-US" w:eastAsia="de-DE"/>
        </w:rPr>
      </w:pPr>
      <w:r w:rsidRPr="00B27B47">
        <w:rPr>
          <w:rFonts w:ascii="Book Antiqua" w:eastAsia="Times New Roman" w:hAnsi="Book Antiqua" w:cs="Calibri"/>
          <w:b/>
          <w:sz w:val="24"/>
          <w:szCs w:val="24"/>
          <w:lang w:val="en-US" w:eastAsia="de-DE"/>
        </w:rPr>
        <w:t xml:space="preserve">Telephone: </w:t>
      </w:r>
      <w:r w:rsidR="00190524" w:rsidRPr="00B27B47">
        <w:rPr>
          <w:rFonts w:ascii="Book Antiqua" w:eastAsia="Times New Roman" w:hAnsi="Book Antiqua" w:cs="Calibri"/>
          <w:sz w:val="24"/>
          <w:szCs w:val="24"/>
          <w:lang w:val="en-US" w:eastAsia="de-DE"/>
        </w:rPr>
        <w:t>+49-251-83</w:t>
      </w:r>
      <w:r w:rsidRPr="00B27B47">
        <w:rPr>
          <w:rFonts w:ascii="Book Antiqua" w:eastAsia="Times New Roman" w:hAnsi="Book Antiqua" w:cs="Calibri"/>
          <w:sz w:val="24"/>
          <w:szCs w:val="24"/>
          <w:lang w:val="en-US" w:eastAsia="de-DE"/>
        </w:rPr>
        <w:t>57770</w:t>
      </w:r>
    </w:p>
    <w:p w:rsidR="000F7598" w:rsidRPr="00B27B47" w:rsidRDefault="000F7598" w:rsidP="003E1943">
      <w:pPr>
        <w:adjustRightInd w:val="0"/>
        <w:snapToGrid w:val="0"/>
        <w:spacing w:after="0" w:line="360" w:lineRule="auto"/>
        <w:jc w:val="both"/>
        <w:rPr>
          <w:rFonts w:ascii="Book Antiqua" w:eastAsia="Times New Roman" w:hAnsi="Book Antiqua" w:cs="Calibri"/>
          <w:sz w:val="24"/>
          <w:szCs w:val="24"/>
          <w:lang w:val="en-US" w:eastAsia="de-DE"/>
        </w:rPr>
      </w:pPr>
      <w:r w:rsidRPr="00B27B47">
        <w:rPr>
          <w:rFonts w:ascii="Book Antiqua" w:eastAsia="Times New Roman" w:hAnsi="Book Antiqua" w:cs="Calibri"/>
          <w:b/>
          <w:sz w:val="24"/>
          <w:szCs w:val="24"/>
          <w:lang w:val="en-US" w:eastAsia="de-DE"/>
        </w:rPr>
        <w:t>Fax:</w:t>
      </w:r>
      <w:r w:rsidRPr="00B27B47">
        <w:rPr>
          <w:rFonts w:ascii="Book Antiqua" w:eastAsia="Times New Roman" w:hAnsi="Book Antiqua" w:cs="Calibri"/>
          <w:sz w:val="24"/>
          <w:szCs w:val="24"/>
          <w:lang w:val="en-US" w:eastAsia="de-DE"/>
        </w:rPr>
        <w:t xml:space="preserve"> +49-251-8357771</w:t>
      </w:r>
    </w:p>
    <w:p w:rsidR="000F7598" w:rsidRPr="00B27B47" w:rsidRDefault="000F7598" w:rsidP="003E1943">
      <w:pPr>
        <w:adjustRightInd w:val="0"/>
        <w:snapToGrid w:val="0"/>
        <w:spacing w:after="0" w:line="360" w:lineRule="auto"/>
        <w:jc w:val="both"/>
        <w:rPr>
          <w:rFonts w:ascii="Book Antiqua" w:eastAsia="Times New Roman" w:hAnsi="Book Antiqua" w:cs="Calibri"/>
          <w:sz w:val="24"/>
          <w:szCs w:val="24"/>
          <w:lang w:val="en-US" w:eastAsia="de-DE"/>
        </w:rPr>
      </w:pPr>
    </w:p>
    <w:p w:rsidR="00FA7FF1" w:rsidRPr="00B27B47" w:rsidRDefault="00FA7FF1" w:rsidP="00FA7FF1">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41" w:name="OLE_LINK1346"/>
      <w:bookmarkStart w:id="142" w:name="OLE_LINK1347"/>
      <w:bookmarkStart w:id="143" w:name="OLE_LINK1461"/>
      <w:bookmarkStart w:id="144" w:name="OLE_LINK1437"/>
      <w:bookmarkStart w:id="145" w:name="OLE_LINK1493"/>
      <w:bookmarkStart w:id="146" w:name="OLE_LINK1436"/>
      <w:bookmarkStart w:id="147" w:name="OLE_LINK1584"/>
      <w:bookmarkStart w:id="148" w:name="OLE_LINK1426"/>
      <w:bookmarkStart w:id="149" w:name="OLE_LINK1470"/>
      <w:bookmarkStart w:id="150" w:name="OLE_LINK1726"/>
      <w:bookmarkStart w:id="151" w:name="OLE_LINK1773"/>
      <w:bookmarkStart w:id="152" w:name="OLE_LINK1819"/>
      <w:bookmarkStart w:id="153" w:name="OLE_LINK1886"/>
      <w:bookmarkStart w:id="154" w:name="OLE_LINK1800"/>
      <w:bookmarkStart w:id="155" w:name="OLE_LINK1718"/>
      <w:bookmarkStart w:id="156" w:name="OLE_LINK1832"/>
      <w:bookmarkStart w:id="157" w:name="OLE_LINK1895"/>
      <w:bookmarkStart w:id="158" w:name="OLE_LINK1973"/>
      <w:bookmarkStart w:id="159" w:name="OLE_LINK25"/>
      <w:bookmarkStart w:id="160" w:name="OLE_LINK29"/>
      <w:bookmarkStart w:id="161" w:name="OLE_LINK733"/>
      <w:bookmarkStart w:id="162" w:name="OLE_LINK2054"/>
      <w:bookmarkStart w:id="163" w:name="OLE_LINK2097"/>
      <w:bookmarkStart w:id="164" w:name="OLE_LINK2100"/>
      <w:bookmarkStart w:id="165" w:name="OLE_LINK2184"/>
      <w:bookmarkStart w:id="166" w:name="OLE_LINK767"/>
      <w:bookmarkStart w:id="167" w:name="OLE_LINK39"/>
      <w:bookmarkStart w:id="168" w:name="OLE_LINK42"/>
      <w:bookmarkStart w:id="169" w:name="OLE_LINK2412"/>
      <w:bookmarkStart w:id="170" w:name="OLE_LINK2447"/>
      <w:bookmarkStart w:id="171" w:name="OLE_LINK2378"/>
      <w:bookmarkStart w:id="172" w:name="OLE_LINK2510"/>
      <w:bookmarkStart w:id="173" w:name="OLE_LINK2774"/>
      <w:bookmarkStart w:id="174" w:name="OLE_LINK43"/>
      <w:r w:rsidRPr="00B27B47">
        <w:rPr>
          <w:rFonts w:ascii="Book Antiqua" w:eastAsia="SimSun" w:hAnsi="Book Antiqua" w:cs="Times New Roman"/>
          <w:b/>
          <w:bCs/>
          <w:kern w:val="2"/>
          <w:sz w:val="24"/>
          <w:szCs w:val="24"/>
          <w:lang w:val="en-US" w:eastAsia="zh-CN"/>
        </w:rPr>
        <w:t xml:space="preserve">Received: </w:t>
      </w:r>
      <w:r w:rsidR="00B11D45" w:rsidRPr="00B27B47">
        <w:rPr>
          <w:rFonts w:ascii="Book Antiqua" w:eastAsia="SimSun" w:hAnsi="Book Antiqua" w:cs="Times New Roman" w:hint="eastAsia"/>
          <w:bCs/>
          <w:kern w:val="2"/>
          <w:sz w:val="24"/>
          <w:szCs w:val="24"/>
          <w:lang w:val="en-US" w:eastAsia="zh-CN"/>
        </w:rPr>
        <w:t>November</w:t>
      </w:r>
      <w:r w:rsidRPr="00B27B47">
        <w:rPr>
          <w:rFonts w:ascii="Book Antiqua" w:eastAsia="SimSun" w:hAnsi="Book Antiqua" w:cs="Times New Roman" w:hint="eastAsia"/>
          <w:bCs/>
          <w:kern w:val="2"/>
          <w:sz w:val="24"/>
          <w:szCs w:val="24"/>
          <w:lang w:val="en-US" w:eastAsia="zh-CN"/>
        </w:rPr>
        <w:t xml:space="preserve"> </w:t>
      </w:r>
      <w:r w:rsidR="00B11D45" w:rsidRPr="00B27B47">
        <w:rPr>
          <w:rFonts w:ascii="Book Antiqua" w:eastAsia="SimSun" w:hAnsi="Book Antiqua" w:cs="Times New Roman" w:hint="eastAsia"/>
          <w:bCs/>
          <w:kern w:val="2"/>
          <w:sz w:val="24"/>
          <w:szCs w:val="24"/>
          <w:lang w:val="en-US" w:eastAsia="zh-CN"/>
        </w:rPr>
        <w:t>30</w:t>
      </w:r>
      <w:r w:rsidRPr="00B27B47">
        <w:rPr>
          <w:rFonts w:ascii="Book Antiqua" w:eastAsia="SimSun" w:hAnsi="Book Antiqua" w:cs="Times New Roman" w:hint="eastAsia"/>
          <w:bCs/>
          <w:kern w:val="2"/>
          <w:sz w:val="24"/>
          <w:szCs w:val="24"/>
          <w:lang w:val="en-US" w:eastAsia="zh-CN"/>
        </w:rPr>
        <w:t>, 2015</w:t>
      </w:r>
    </w:p>
    <w:p w:rsidR="00FA7FF1" w:rsidRPr="00B27B47" w:rsidRDefault="00FA7FF1" w:rsidP="00FA7FF1">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B27B47">
        <w:rPr>
          <w:rFonts w:ascii="Book Antiqua" w:eastAsia="SimSun" w:hAnsi="Book Antiqua" w:cs="Times New Roman"/>
          <w:b/>
          <w:bCs/>
          <w:kern w:val="2"/>
          <w:sz w:val="24"/>
          <w:szCs w:val="24"/>
          <w:lang w:val="en-US" w:eastAsia="zh-CN"/>
        </w:rPr>
        <w:t>Peer-review started:</w:t>
      </w:r>
      <w:r w:rsidRPr="00B27B47">
        <w:rPr>
          <w:rFonts w:ascii="Book Antiqua" w:eastAsia="SimSun" w:hAnsi="Book Antiqua" w:cs="Times New Roman" w:hint="eastAsia"/>
          <w:bCs/>
          <w:kern w:val="2"/>
          <w:sz w:val="24"/>
          <w:szCs w:val="24"/>
          <w:lang w:val="en-US" w:eastAsia="zh-CN"/>
        </w:rPr>
        <w:t xml:space="preserve"> </w:t>
      </w:r>
      <w:r w:rsidR="00B11D45" w:rsidRPr="00B27B47">
        <w:rPr>
          <w:rFonts w:ascii="Book Antiqua" w:eastAsia="SimSun" w:hAnsi="Book Antiqua" w:cs="Times New Roman" w:hint="eastAsia"/>
          <w:bCs/>
          <w:kern w:val="2"/>
          <w:sz w:val="24"/>
          <w:szCs w:val="24"/>
          <w:lang w:val="en-US" w:eastAsia="zh-CN"/>
        </w:rPr>
        <w:t>December</w:t>
      </w:r>
      <w:r w:rsidRPr="00B27B47">
        <w:rPr>
          <w:rFonts w:ascii="Book Antiqua" w:eastAsia="SimSun" w:hAnsi="Book Antiqua" w:cs="Times New Roman" w:hint="eastAsia"/>
          <w:bCs/>
          <w:kern w:val="2"/>
          <w:sz w:val="24"/>
          <w:szCs w:val="24"/>
          <w:lang w:val="en-US" w:eastAsia="zh-CN"/>
        </w:rPr>
        <w:t xml:space="preserve"> </w:t>
      </w:r>
      <w:r w:rsidR="00B11D45" w:rsidRPr="00B27B47">
        <w:rPr>
          <w:rFonts w:ascii="Book Antiqua" w:eastAsia="SimSun" w:hAnsi="Book Antiqua" w:cs="Times New Roman" w:hint="eastAsia"/>
          <w:bCs/>
          <w:kern w:val="2"/>
          <w:sz w:val="24"/>
          <w:szCs w:val="24"/>
          <w:lang w:val="en-US" w:eastAsia="zh-CN"/>
        </w:rPr>
        <w:t>1</w:t>
      </w:r>
      <w:r w:rsidRPr="00B27B47">
        <w:rPr>
          <w:rFonts w:ascii="Book Antiqua" w:eastAsia="SimSun" w:hAnsi="Book Antiqua" w:cs="Times New Roman" w:hint="eastAsia"/>
          <w:bCs/>
          <w:kern w:val="2"/>
          <w:sz w:val="24"/>
          <w:szCs w:val="24"/>
          <w:lang w:val="en-US" w:eastAsia="zh-CN"/>
        </w:rPr>
        <w:t>, 2015</w:t>
      </w:r>
    </w:p>
    <w:p w:rsidR="00FA7FF1" w:rsidRPr="00B27B47" w:rsidRDefault="00FA7FF1" w:rsidP="00FA7FF1">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175" w:name="OLE_LINK23"/>
      <w:bookmarkStart w:id="176" w:name="OLE_LINK24"/>
      <w:r w:rsidRPr="00B27B47">
        <w:rPr>
          <w:rFonts w:ascii="Book Antiqua" w:eastAsia="SimSun" w:hAnsi="Book Antiqua" w:cs="Times New Roman"/>
          <w:b/>
          <w:bCs/>
          <w:kern w:val="2"/>
          <w:sz w:val="24"/>
          <w:szCs w:val="24"/>
          <w:lang w:val="en-US" w:eastAsia="zh-CN"/>
        </w:rPr>
        <w:t>First decision:</w:t>
      </w:r>
      <w:r w:rsidRPr="00B27B47">
        <w:rPr>
          <w:rFonts w:ascii="Book Antiqua" w:eastAsia="SimSun" w:hAnsi="Book Antiqua" w:cs="Times New Roman" w:hint="eastAsia"/>
          <w:bCs/>
          <w:kern w:val="2"/>
          <w:sz w:val="24"/>
          <w:szCs w:val="24"/>
          <w:lang w:val="en-US" w:eastAsia="zh-CN"/>
        </w:rPr>
        <w:t xml:space="preserve"> </w:t>
      </w:r>
      <w:r w:rsidR="00B11D45" w:rsidRPr="00B27B47">
        <w:rPr>
          <w:rFonts w:ascii="Book Antiqua" w:eastAsia="SimSun" w:hAnsi="Book Antiqua" w:cs="Times New Roman" w:hint="eastAsia"/>
          <w:bCs/>
          <w:kern w:val="2"/>
          <w:sz w:val="24"/>
          <w:szCs w:val="24"/>
          <w:lang w:val="en-US" w:eastAsia="zh-CN"/>
        </w:rPr>
        <w:t>December</w:t>
      </w:r>
      <w:r w:rsidRPr="00B27B47">
        <w:rPr>
          <w:rFonts w:ascii="Book Antiqua" w:eastAsia="SimSun" w:hAnsi="Book Antiqua" w:cs="Times New Roman" w:hint="eastAsia"/>
          <w:bCs/>
          <w:kern w:val="2"/>
          <w:sz w:val="24"/>
          <w:szCs w:val="24"/>
          <w:lang w:val="en-US" w:eastAsia="zh-CN"/>
        </w:rPr>
        <w:t xml:space="preserve"> </w:t>
      </w:r>
      <w:r w:rsidR="00B11D45" w:rsidRPr="00B27B47">
        <w:rPr>
          <w:rFonts w:ascii="Book Antiqua" w:eastAsia="SimSun" w:hAnsi="Book Antiqua" w:cs="Times New Roman" w:hint="eastAsia"/>
          <w:bCs/>
          <w:kern w:val="2"/>
          <w:sz w:val="24"/>
          <w:szCs w:val="24"/>
          <w:lang w:val="en-US" w:eastAsia="zh-CN"/>
        </w:rPr>
        <w:t>21</w:t>
      </w:r>
      <w:r w:rsidRPr="00B27B47">
        <w:rPr>
          <w:rFonts w:ascii="Book Antiqua" w:eastAsia="SimSun" w:hAnsi="Book Antiqua" w:cs="Times New Roman" w:hint="eastAsia"/>
          <w:bCs/>
          <w:kern w:val="2"/>
          <w:sz w:val="24"/>
          <w:szCs w:val="24"/>
          <w:lang w:val="en-US" w:eastAsia="zh-CN"/>
        </w:rPr>
        <w:t>, 2015</w:t>
      </w:r>
    </w:p>
    <w:p w:rsidR="00FA7FF1" w:rsidRPr="00B27B47" w:rsidRDefault="00FA7FF1" w:rsidP="00FA7FF1">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B27B47">
        <w:rPr>
          <w:rFonts w:ascii="Book Antiqua" w:eastAsia="SimSun" w:hAnsi="Book Antiqua" w:cs="Times New Roman"/>
          <w:b/>
          <w:bCs/>
          <w:kern w:val="2"/>
          <w:sz w:val="24"/>
          <w:szCs w:val="24"/>
          <w:lang w:val="en-US" w:eastAsia="zh-CN"/>
        </w:rPr>
        <w:t>Revised:</w:t>
      </w:r>
      <w:r w:rsidRPr="00B27B47">
        <w:rPr>
          <w:rFonts w:ascii="Book Antiqua" w:eastAsia="SimSun" w:hAnsi="Book Antiqua" w:cs="Times New Roman" w:hint="eastAsia"/>
          <w:bCs/>
          <w:kern w:val="2"/>
          <w:sz w:val="24"/>
          <w:szCs w:val="24"/>
          <w:lang w:val="en-US" w:eastAsia="zh-CN"/>
        </w:rPr>
        <w:t xml:space="preserve"> </w:t>
      </w:r>
      <w:r w:rsidR="00B11D45" w:rsidRPr="00B27B47">
        <w:rPr>
          <w:rFonts w:ascii="Book Antiqua" w:eastAsia="SimSun" w:hAnsi="Book Antiqua" w:cs="Times New Roman" w:hint="eastAsia"/>
          <w:bCs/>
          <w:kern w:val="2"/>
          <w:sz w:val="24"/>
          <w:szCs w:val="24"/>
          <w:lang w:val="en-US" w:eastAsia="zh-CN"/>
        </w:rPr>
        <w:t>January</w:t>
      </w:r>
      <w:r w:rsidRPr="00B27B47">
        <w:rPr>
          <w:rFonts w:ascii="Book Antiqua" w:eastAsia="SimSun" w:hAnsi="Book Antiqua" w:cs="Times New Roman" w:hint="eastAsia"/>
          <w:bCs/>
          <w:kern w:val="2"/>
          <w:sz w:val="24"/>
          <w:szCs w:val="24"/>
          <w:lang w:val="en-US" w:eastAsia="zh-CN"/>
        </w:rPr>
        <w:t xml:space="preserve"> </w:t>
      </w:r>
      <w:r w:rsidR="00B11D45" w:rsidRPr="00B27B47">
        <w:rPr>
          <w:rFonts w:ascii="Book Antiqua" w:eastAsia="SimSun" w:hAnsi="Book Antiqua" w:cs="Times New Roman" w:hint="eastAsia"/>
          <w:bCs/>
          <w:kern w:val="2"/>
          <w:sz w:val="24"/>
          <w:szCs w:val="24"/>
          <w:lang w:val="en-US" w:eastAsia="zh-CN"/>
        </w:rPr>
        <w:t>19, 2016</w:t>
      </w:r>
    </w:p>
    <w:p w:rsidR="00FA7FF1" w:rsidRPr="00C5178E" w:rsidRDefault="00FA7FF1" w:rsidP="00C5178E">
      <w:pPr>
        <w:spacing w:line="360" w:lineRule="auto"/>
        <w:rPr>
          <w:rFonts w:ascii="Book Antiqua" w:hAnsi="Book Antiqua"/>
          <w:color w:val="000000"/>
          <w:sz w:val="24"/>
        </w:rPr>
      </w:pPr>
      <w:r w:rsidRPr="00B27B47">
        <w:rPr>
          <w:rFonts w:ascii="Book Antiqua" w:eastAsia="SimSun" w:hAnsi="Book Antiqua" w:cs="Times New Roman"/>
          <w:b/>
          <w:bCs/>
          <w:kern w:val="2"/>
          <w:sz w:val="24"/>
          <w:szCs w:val="24"/>
          <w:lang w:val="en-US" w:eastAsia="zh-CN"/>
        </w:rPr>
        <w:t>Accepted:</w:t>
      </w:r>
      <w:bookmarkStart w:id="177" w:name="OLE_LINK98"/>
      <w:bookmarkStart w:id="178" w:name="OLE_LINK99"/>
      <w:bookmarkStart w:id="179" w:name="OLE_LINK104"/>
      <w:bookmarkStart w:id="180" w:name="OLE_LINK115"/>
      <w:bookmarkStart w:id="181" w:name="OLE_LINK116"/>
      <w:bookmarkStart w:id="182" w:name="OLE_LINK117"/>
      <w:bookmarkStart w:id="183" w:name="OLE_LINK118"/>
      <w:bookmarkStart w:id="184" w:name="OLE_LINK119"/>
      <w:bookmarkStart w:id="185" w:name="OLE_LINK121"/>
      <w:bookmarkStart w:id="186" w:name="OLE_LINK122"/>
      <w:bookmarkStart w:id="187" w:name="OLE_LINK125"/>
      <w:bookmarkStart w:id="188" w:name="OLE_LINK126"/>
      <w:bookmarkStart w:id="189" w:name="OLE_LINK127"/>
      <w:bookmarkStart w:id="190" w:name="OLE_LINK129"/>
      <w:bookmarkStart w:id="191" w:name="OLE_LINK132"/>
      <w:bookmarkStart w:id="192" w:name="OLE_LINK134"/>
      <w:bookmarkStart w:id="193" w:name="OLE_LINK135"/>
      <w:bookmarkStart w:id="194" w:name="OLE_LINK136"/>
      <w:bookmarkStart w:id="195" w:name="OLE_LINK137"/>
      <w:bookmarkStart w:id="196" w:name="OLE_LINK138"/>
      <w:bookmarkStart w:id="197" w:name="OLE_LINK139"/>
      <w:bookmarkStart w:id="198" w:name="OLE_LINK141"/>
      <w:bookmarkStart w:id="199" w:name="OLE_LINK142"/>
      <w:bookmarkStart w:id="200" w:name="OLE_LINK143"/>
      <w:bookmarkStart w:id="201" w:name="OLE_LINK144"/>
      <w:bookmarkStart w:id="202" w:name="OLE_LINK145"/>
      <w:bookmarkStart w:id="203" w:name="OLE_LINK146"/>
      <w:bookmarkStart w:id="204" w:name="OLE_LINK147"/>
      <w:r w:rsidR="00C5178E" w:rsidRPr="00C5178E">
        <w:rPr>
          <w:rFonts w:ascii="Book Antiqua" w:hAnsi="Book Antiqua"/>
          <w:color w:val="000000"/>
          <w:sz w:val="24"/>
        </w:rPr>
        <w:t xml:space="preserve"> </w:t>
      </w:r>
      <w:r w:rsidR="00C5178E">
        <w:rPr>
          <w:rFonts w:ascii="Book Antiqua" w:hAnsi="Book Antiqua"/>
          <w:color w:val="000000"/>
          <w:sz w:val="24"/>
        </w:rPr>
        <w:t>January 30</w:t>
      </w:r>
      <w:r w:rsidR="00C5178E" w:rsidRPr="00D55413">
        <w:rPr>
          <w:rFonts w:ascii="Book Antiqua" w:hAnsi="Book Antiqua"/>
          <w:color w:val="000000"/>
          <w:sz w:val="24"/>
        </w:rPr>
        <w:t>, 2016</w:t>
      </w:r>
      <w:bookmarkStart w:id="205" w:name="_GoBack"/>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307FD3" w:rsidRPr="00B27B47">
        <w:rPr>
          <w:rFonts w:ascii="Book Antiqua" w:eastAsia="SimSun" w:hAnsi="Book Antiqua" w:cs="Times New Roman"/>
          <w:b/>
          <w:bCs/>
          <w:kern w:val="2"/>
          <w:sz w:val="24"/>
          <w:szCs w:val="24"/>
          <w:lang w:val="en-US" w:eastAsia="zh-CN"/>
        </w:rPr>
        <w:t xml:space="preserve"> </w:t>
      </w:r>
    </w:p>
    <w:p w:rsidR="00FA7FF1" w:rsidRPr="00B27B47" w:rsidRDefault="00FA7FF1" w:rsidP="00FA7FF1">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B27B47">
        <w:rPr>
          <w:rFonts w:ascii="Book Antiqua" w:eastAsia="SimSun" w:hAnsi="Book Antiqua" w:cs="Times New Roman"/>
          <w:b/>
          <w:bCs/>
          <w:kern w:val="2"/>
          <w:sz w:val="24"/>
          <w:szCs w:val="24"/>
          <w:lang w:val="en-US" w:eastAsia="zh-CN"/>
        </w:rPr>
        <w:t>Article in press:</w:t>
      </w:r>
    </w:p>
    <w:p w:rsidR="00FA7FF1" w:rsidRPr="00B27B47" w:rsidRDefault="00FA7FF1" w:rsidP="00FA7FF1">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B27B47">
        <w:rPr>
          <w:rFonts w:ascii="Book Antiqua" w:eastAsia="SimSun" w:hAnsi="Book Antiqua" w:cs="Times New Roman"/>
          <w:b/>
          <w:bCs/>
          <w:kern w:val="2"/>
          <w:sz w:val="24"/>
          <w:szCs w:val="24"/>
          <w:lang w:val="en-US" w:eastAsia="zh-CN"/>
        </w:rPr>
        <w:t xml:space="preserve">Published online: </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rsidR="000F7598" w:rsidRPr="00B27B47" w:rsidRDefault="000F7598" w:rsidP="003E1943">
      <w:pPr>
        <w:adjustRightInd w:val="0"/>
        <w:snapToGrid w:val="0"/>
        <w:spacing w:after="0" w:line="360" w:lineRule="auto"/>
        <w:jc w:val="both"/>
        <w:rPr>
          <w:rFonts w:ascii="Book Antiqua" w:eastAsia="Times New Roman" w:hAnsi="Book Antiqua" w:cs="Calibri"/>
          <w:sz w:val="24"/>
          <w:szCs w:val="24"/>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u w:val="single"/>
          <w:lang w:val="en-US" w:eastAsia="de-DE"/>
        </w:rPr>
      </w:pPr>
      <w:r w:rsidRPr="00B27B47">
        <w:rPr>
          <w:rFonts w:ascii="Book Antiqua" w:eastAsia="Times New Roman" w:hAnsi="Book Antiqua" w:cs="Calibri"/>
          <w:b/>
          <w:sz w:val="24"/>
          <w:szCs w:val="24"/>
          <w:u w:val="single"/>
          <w:lang w:val="en-US" w:eastAsia="de-DE"/>
        </w:rPr>
        <w:br w:type="page"/>
      </w: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lastRenderedPageBreak/>
        <w:t>Abstract</w:t>
      </w:r>
    </w:p>
    <w:p w:rsidR="000F7598" w:rsidRPr="00B27B47" w:rsidRDefault="000F7598" w:rsidP="003E1943">
      <w:pPr>
        <w:adjustRightInd w:val="0"/>
        <w:snapToGrid w:val="0"/>
        <w:spacing w:after="0" w:line="360" w:lineRule="auto"/>
        <w:jc w:val="both"/>
        <w:rPr>
          <w:rFonts w:ascii="Book Antiqua" w:eastAsia="Times New Roman" w:hAnsi="Book Antiqua" w:cs="Calibri"/>
          <w:sz w:val="24"/>
          <w:szCs w:val="24"/>
          <w:lang w:val="en-US" w:eastAsia="de-DE"/>
        </w:rPr>
      </w:pPr>
      <w:r w:rsidRPr="00B27B47">
        <w:rPr>
          <w:rFonts w:ascii="Book Antiqua" w:eastAsia="Times New Roman" w:hAnsi="Book Antiqua" w:cs="Calibri"/>
          <w:sz w:val="24"/>
          <w:szCs w:val="24"/>
          <w:lang w:val="en-US" w:eastAsia="de-DE"/>
        </w:rPr>
        <w:t>Hyperlipidemia is very common after liver transplantation and can be observed in up to 71% of patients. The etiology of lipid disorders in these patients is multifactorial, with different lipid profiles observed depending on the immunosuppressive agents administered and the presence of additional risk factors, such as obesity, diabetes mellitus and nutrition. Due to recent improvements in survival of liver transplant recipients, the prevention of cardiovascular events has become more important, especially as approximately 64% of liver transplant recipients present with an increased risk of cardiovascular events. Management of dyslipidemia and of other modifiable cardiovascular risk factors, such as hypertension, diabetes and smoking, has therefore become essential in these patients. Treatment of hyperlipidemia after liver transplantation consists of life style modification, modifying the dose or type of immunosuppressive agents and use of lipid lowering agents. At the start of administration of lipid lowering medications, it is important to monitor drug-drug interactions, especially between lipid lowering agents and immunosuppressive drugs. Furthermore, as combinations of various lipid lowering drugs can lead to severe side effects, such as myopathies and rhabdomyolysis, these combinations should therefore be avoided. To our knowledge, there are no current guidelines targeting the management of lipid metabolism disorders in liver transplant recipients. This paper therefore recommends an approach of managing lipid abnormalities occurring after liver transplantation.</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
          <w:bCs/>
          <w:sz w:val="24"/>
          <w:szCs w:val="24"/>
          <w:lang w:val="en-US" w:eastAsia="de-DE"/>
        </w:rPr>
        <w:t>Key words</w:t>
      </w:r>
      <w:r w:rsidRPr="00B27B47">
        <w:rPr>
          <w:rFonts w:ascii="Book Antiqua" w:eastAsia="Times New Roman" w:hAnsi="Book Antiqua" w:cs="Calibri"/>
          <w:bCs/>
          <w:sz w:val="24"/>
          <w:szCs w:val="24"/>
          <w:lang w:val="en-US" w:eastAsia="de-DE"/>
        </w:rPr>
        <w:t xml:space="preserve">: </w:t>
      </w:r>
      <w:r w:rsidR="00B53566" w:rsidRPr="00B27B47">
        <w:rPr>
          <w:rFonts w:ascii="Book Antiqua" w:eastAsia="Times New Roman" w:hAnsi="Book Antiqua" w:cs="Calibri"/>
          <w:bCs/>
          <w:sz w:val="24"/>
          <w:szCs w:val="24"/>
          <w:lang w:val="en-US" w:eastAsia="de-DE"/>
        </w:rPr>
        <w:t xml:space="preserve">Liver </w:t>
      </w:r>
      <w:r w:rsidRPr="00B27B47">
        <w:rPr>
          <w:rFonts w:ascii="Book Antiqua" w:eastAsia="Times New Roman" w:hAnsi="Book Antiqua" w:cs="Calibri"/>
          <w:bCs/>
          <w:sz w:val="24"/>
          <w:szCs w:val="24"/>
          <w:lang w:val="en-US" w:eastAsia="de-DE"/>
        </w:rPr>
        <w:t>transplantation</w:t>
      </w:r>
      <w:r w:rsidR="00B53566"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w:t>
      </w:r>
      <w:r w:rsidR="00B53566" w:rsidRPr="00B27B47">
        <w:rPr>
          <w:rFonts w:ascii="Book Antiqua" w:eastAsia="Times New Roman" w:hAnsi="Book Antiqua" w:cs="Calibri"/>
          <w:bCs/>
          <w:sz w:val="24"/>
          <w:szCs w:val="24"/>
          <w:lang w:val="en-US" w:eastAsia="de-DE"/>
        </w:rPr>
        <w:t>Dyslipidemia</w:t>
      </w:r>
      <w:r w:rsidR="00B53566" w:rsidRPr="00B27B47">
        <w:rPr>
          <w:rFonts w:ascii="Book Antiqua" w:hAnsi="Book Antiqua" w:cs="Calibri" w:hint="eastAsia"/>
          <w:bCs/>
          <w:sz w:val="24"/>
          <w:szCs w:val="24"/>
          <w:lang w:val="en-US" w:eastAsia="zh-CN"/>
        </w:rPr>
        <w:t>;</w:t>
      </w:r>
      <w:r w:rsidR="00B53566" w:rsidRPr="00B27B47">
        <w:rPr>
          <w:rFonts w:ascii="Book Antiqua" w:eastAsia="Times New Roman" w:hAnsi="Book Antiqua" w:cs="Calibri"/>
          <w:bCs/>
          <w:sz w:val="24"/>
          <w:szCs w:val="24"/>
          <w:lang w:val="en-US" w:eastAsia="de-DE"/>
        </w:rPr>
        <w:t xml:space="preserve"> Lipid</w:t>
      </w:r>
      <w:r w:rsidRPr="00B27B47">
        <w:rPr>
          <w:rFonts w:ascii="Book Antiqua" w:eastAsia="Times New Roman" w:hAnsi="Book Antiqua" w:cs="Calibri"/>
          <w:bCs/>
          <w:sz w:val="24"/>
          <w:szCs w:val="24"/>
          <w:lang w:val="en-US" w:eastAsia="de-DE"/>
        </w:rPr>
        <w:t xml:space="preserve"> management</w:t>
      </w:r>
      <w:r w:rsidR="00B53566"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w:t>
      </w:r>
      <w:r w:rsidR="00B53566" w:rsidRPr="00B27B47">
        <w:rPr>
          <w:rFonts w:ascii="Book Antiqua" w:eastAsia="Times New Roman" w:hAnsi="Book Antiqua" w:cs="Calibri"/>
          <w:bCs/>
          <w:sz w:val="24"/>
          <w:szCs w:val="24"/>
          <w:lang w:val="en-US" w:eastAsia="de-DE"/>
        </w:rPr>
        <w:t>Immunosuppression</w:t>
      </w:r>
      <w:r w:rsidR="00B53566"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w:t>
      </w:r>
      <w:r w:rsidR="00B53566" w:rsidRPr="00B27B47">
        <w:rPr>
          <w:rFonts w:ascii="Book Antiqua" w:eastAsia="Times New Roman" w:hAnsi="Book Antiqua" w:cs="Calibri"/>
          <w:bCs/>
          <w:sz w:val="24"/>
          <w:szCs w:val="24"/>
          <w:lang w:val="en-US" w:eastAsia="de-DE"/>
        </w:rPr>
        <w:t>m</w:t>
      </w:r>
      <w:r w:rsidRPr="00B27B47">
        <w:rPr>
          <w:rFonts w:ascii="Book Antiqua" w:eastAsia="Times New Roman" w:hAnsi="Book Antiqua" w:cs="Calibri"/>
          <w:bCs/>
          <w:sz w:val="24"/>
          <w:szCs w:val="24"/>
          <w:lang w:val="en-US" w:eastAsia="de-DE"/>
        </w:rPr>
        <w:t>TOR-inhibition</w:t>
      </w:r>
      <w:r w:rsidR="00B53566" w:rsidRPr="00B27B47">
        <w:rPr>
          <w:rFonts w:ascii="Book Antiqua" w:hAnsi="Book Antiqua" w:cs="Calibri" w:hint="eastAsia"/>
          <w:bCs/>
          <w:sz w:val="24"/>
          <w:szCs w:val="24"/>
          <w:lang w:val="en-US" w:eastAsia="zh-CN"/>
        </w:rPr>
        <w:t xml:space="preserve">; </w:t>
      </w:r>
      <w:r w:rsidR="00B53566" w:rsidRPr="00B27B47">
        <w:rPr>
          <w:rFonts w:ascii="Book Antiqua" w:eastAsia="Times New Roman" w:hAnsi="Book Antiqua" w:cs="Calibri"/>
          <w:bCs/>
          <w:sz w:val="24"/>
          <w:szCs w:val="24"/>
          <w:lang w:val="en-US" w:eastAsia="de-DE"/>
        </w:rPr>
        <w:t>Treatment</w:t>
      </w:r>
    </w:p>
    <w:p w:rsidR="00B53566" w:rsidRPr="00B27B47" w:rsidRDefault="00B53566" w:rsidP="00B53566">
      <w:pPr>
        <w:widowControl w:val="0"/>
        <w:adjustRightInd w:val="0"/>
        <w:snapToGrid w:val="0"/>
        <w:spacing w:after="0" w:line="360" w:lineRule="auto"/>
        <w:jc w:val="both"/>
        <w:rPr>
          <w:rFonts w:ascii="Times New Roman" w:eastAsia="SimSun" w:hAnsi="Times New Roman" w:cs="Times New Roman"/>
          <w:kern w:val="2"/>
          <w:sz w:val="21"/>
          <w:szCs w:val="24"/>
          <w:lang w:val="en-US" w:eastAsia="zh-CN"/>
        </w:rPr>
      </w:pPr>
    </w:p>
    <w:p w:rsidR="00B53566" w:rsidRPr="00B27B47" w:rsidRDefault="00B53566" w:rsidP="00B5356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206" w:name="OLE_LINK363"/>
      <w:bookmarkStart w:id="207" w:name="OLE_LINK364"/>
      <w:bookmarkStart w:id="208" w:name="OLE_LINK359"/>
      <w:bookmarkStart w:id="209" w:name="OLE_LINK2"/>
      <w:bookmarkStart w:id="210" w:name="OLE_LINK1037"/>
      <w:bookmarkStart w:id="211" w:name="OLE_LINK1195"/>
      <w:bookmarkStart w:id="212" w:name="OLE_LINK1140"/>
      <w:bookmarkStart w:id="213" w:name="OLE_LINK1062"/>
      <w:bookmarkStart w:id="214" w:name="OLE_LINK1327"/>
      <w:bookmarkStart w:id="215" w:name="OLE_LINK1174"/>
      <w:bookmarkStart w:id="216" w:name="OLE_LINK1348"/>
      <w:bookmarkStart w:id="217" w:name="OLE_LINK1519"/>
      <w:bookmarkStart w:id="218" w:name="OLE_LINK1571"/>
      <w:bookmarkStart w:id="219" w:name="OLE_LINK1666"/>
      <w:bookmarkStart w:id="220" w:name="OLE_LINK11"/>
      <w:bookmarkStart w:id="221" w:name="OLE_LINK1438"/>
      <w:bookmarkStart w:id="222" w:name="OLE_LINK1375"/>
      <w:bookmarkStart w:id="223" w:name="OLE_LINK1429"/>
      <w:bookmarkStart w:id="224" w:name="OLE_LINK1497"/>
      <w:bookmarkStart w:id="225" w:name="OLE_LINK1581"/>
      <w:bookmarkStart w:id="226" w:name="OLE_LINK1356"/>
      <w:bookmarkStart w:id="227" w:name="OLE_LINK1469"/>
      <w:bookmarkStart w:id="228" w:name="OLE_LINK1546"/>
      <w:bookmarkStart w:id="229" w:name="OLE_LINK1694"/>
      <w:bookmarkStart w:id="230" w:name="OLE_LINK1727"/>
      <w:bookmarkStart w:id="231" w:name="OLE_LINK1797"/>
      <w:bookmarkStart w:id="232" w:name="OLE_LINK1887"/>
      <w:bookmarkStart w:id="233" w:name="OLE_LINK1975"/>
      <w:bookmarkStart w:id="234" w:name="OLE_LINK2186"/>
      <w:bookmarkStart w:id="235" w:name="OLE_LINK768"/>
      <w:bookmarkStart w:id="236" w:name="OLE_LINK2332"/>
      <w:bookmarkStart w:id="237" w:name="OLE_LINK2353"/>
      <w:bookmarkStart w:id="238" w:name="OLE_LINK2448"/>
      <w:bookmarkStart w:id="239" w:name="OLE_LINK2467"/>
      <w:bookmarkStart w:id="240" w:name="OLE_LINK2563"/>
      <w:bookmarkStart w:id="241" w:name="OLE_LINK2608"/>
      <w:bookmarkStart w:id="242" w:name="OLE_LINK2654"/>
      <w:bookmarkStart w:id="243" w:name="OLE_LINK2695"/>
      <w:bookmarkStart w:id="244" w:name="OLE_LINK2732"/>
      <w:bookmarkStart w:id="245" w:name="OLE_LINK2658"/>
      <w:bookmarkStart w:id="246" w:name="OLE_LINK2775"/>
      <w:bookmarkStart w:id="247" w:name="OLE_LINK52"/>
      <w:r w:rsidRPr="00B27B47">
        <w:rPr>
          <w:rFonts w:ascii="Book Antiqua" w:eastAsia="SimSun" w:hAnsi="Book Antiqua" w:cs="Times New Roman" w:hint="eastAsia"/>
          <w:b/>
          <w:kern w:val="2"/>
          <w:sz w:val="24"/>
          <w:szCs w:val="24"/>
          <w:lang w:val="en-US" w:eastAsia="zh-CN"/>
        </w:rPr>
        <w:t>©</w:t>
      </w:r>
      <w:r w:rsidRPr="00B27B47">
        <w:rPr>
          <w:rFonts w:ascii="Book Antiqua" w:eastAsia="SimSun" w:hAnsi="Book Antiqua" w:cs="Times New Roman"/>
          <w:b/>
          <w:kern w:val="2"/>
          <w:sz w:val="24"/>
          <w:szCs w:val="24"/>
          <w:lang w:val="en-US" w:eastAsia="zh-CN"/>
        </w:rPr>
        <w:t xml:space="preserve"> The Author(s) 201</w:t>
      </w:r>
      <w:r w:rsidRPr="00B27B47">
        <w:rPr>
          <w:rFonts w:ascii="Book Antiqua" w:eastAsia="SimSun" w:hAnsi="Book Antiqua" w:cs="Times New Roman" w:hint="eastAsia"/>
          <w:b/>
          <w:kern w:val="2"/>
          <w:sz w:val="24"/>
          <w:szCs w:val="24"/>
          <w:lang w:val="en-US" w:eastAsia="zh-CN"/>
        </w:rPr>
        <w:t>6</w:t>
      </w:r>
      <w:r w:rsidRPr="00B27B47">
        <w:rPr>
          <w:rFonts w:ascii="Book Antiqua" w:eastAsia="SimSun" w:hAnsi="Book Antiqua" w:cs="Times New Roman"/>
          <w:b/>
          <w:kern w:val="2"/>
          <w:sz w:val="24"/>
          <w:szCs w:val="24"/>
          <w:lang w:val="en-US" w:eastAsia="zh-CN"/>
        </w:rPr>
        <w:t>.</w:t>
      </w:r>
      <w:r w:rsidRPr="00B27B47">
        <w:rPr>
          <w:rFonts w:ascii="Book Antiqua" w:eastAsia="SimSun" w:hAnsi="Book Antiqua" w:cs="Times New Roman"/>
          <w:kern w:val="2"/>
          <w:sz w:val="24"/>
          <w:szCs w:val="24"/>
          <w:lang w:val="en-US" w:eastAsia="zh-CN"/>
        </w:rPr>
        <w:t xml:space="preserve"> Published by Baishideng Publishing Group Inc. All rights reserved.</w:t>
      </w:r>
    </w:p>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rsidR="000F7598" w:rsidRPr="00B27B47" w:rsidRDefault="000F7598" w:rsidP="003E1943">
      <w:pPr>
        <w:adjustRightInd w:val="0"/>
        <w:snapToGrid w:val="0"/>
        <w:spacing w:after="0" w:line="360" w:lineRule="auto"/>
        <w:jc w:val="both"/>
        <w:rPr>
          <w:rFonts w:ascii="Book Antiqua" w:eastAsia="Times New Roman" w:hAnsi="Book Antiqua" w:cs="Calibri"/>
          <w:b/>
          <w:bCs/>
          <w:sz w:val="24"/>
          <w:szCs w:val="24"/>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Core tip:</w:t>
      </w:r>
      <w:r w:rsidR="00B53566" w:rsidRPr="00B27B47">
        <w:rPr>
          <w:rFonts w:ascii="Book Antiqua" w:hAnsi="Book Antiqua" w:cs="Calibri" w:hint="eastAsia"/>
          <w:b/>
          <w:bCs/>
          <w:sz w:val="24"/>
          <w:szCs w:val="24"/>
          <w:lang w:val="en-US" w:eastAsia="zh-CN"/>
        </w:rPr>
        <w:t xml:space="preserve"> </w:t>
      </w:r>
      <w:r w:rsidRPr="00B27B47">
        <w:rPr>
          <w:rFonts w:ascii="Book Antiqua" w:eastAsia="Times New Roman" w:hAnsi="Book Antiqua" w:cs="Calibri"/>
          <w:bCs/>
          <w:sz w:val="24"/>
          <w:szCs w:val="24"/>
          <w:lang w:val="en-US" w:eastAsia="de-DE"/>
        </w:rPr>
        <w:t xml:space="preserve">Lipid disorders after liver transplantation are common and can significantly increase the risk of cardiovascular events in liver transplant recipients. Furthermore, dyslipidemia may also impair graft function and survival. Therefore management of dyslipidemia is of great importance in preventing cardiovascular diseases and graft </w:t>
      </w:r>
      <w:r w:rsidRPr="00B27B47">
        <w:rPr>
          <w:rFonts w:ascii="Book Antiqua" w:eastAsia="Times New Roman" w:hAnsi="Book Antiqua" w:cs="Calibri"/>
          <w:bCs/>
          <w:sz w:val="24"/>
          <w:szCs w:val="24"/>
          <w:lang w:val="en-US" w:eastAsia="de-DE"/>
        </w:rPr>
        <w:lastRenderedPageBreak/>
        <w:t>dysfunction in these patients. Knowledge of the different manifestations of lipid disorders after liver transplantation, the role of immunosuppressive agents and of drug-drug interactions is therefore essential for management and follow-up of these patients.</w:t>
      </w:r>
    </w:p>
    <w:p w:rsidR="000F7598" w:rsidRPr="00B27B47" w:rsidRDefault="000F7598" w:rsidP="003E1943">
      <w:pPr>
        <w:adjustRightInd w:val="0"/>
        <w:snapToGrid w:val="0"/>
        <w:spacing w:after="0" w:line="360" w:lineRule="auto"/>
        <w:jc w:val="both"/>
        <w:rPr>
          <w:rFonts w:ascii="Book Antiqua" w:hAnsi="Book Antiqua" w:cs="Calibri"/>
          <w:b/>
          <w:bCs/>
          <w:sz w:val="24"/>
          <w:szCs w:val="24"/>
          <w:lang w:val="en-US" w:eastAsia="zh-CN"/>
        </w:rPr>
      </w:pPr>
    </w:p>
    <w:p w:rsidR="00DC3223" w:rsidRPr="00B27B47" w:rsidRDefault="00DC3223" w:rsidP="00DC3223">
      <w:pPr>
        <w:adjustRightInd w:val="0"/>
        <w:snapToGrid w:val="0"/>
        <w:spacing w:line="360" w:lineRule="auto"/>
        <w:jc w:val="both"/>
        <w:rPr>
          <w:rFonts w:ascii="Book Antiqua" w:eastAsia="SimSun" w:hAnsi="Book Antiqua" w:cs="Times New Roman"/>
          <w:kern w:val="2"/>
          <w:sz w:val="24"/>
          <w:szCs w:val="24"/>
          <w:lang w:val="en-US" w:eastAsia="zh-CN"/>
        </w:rPr>
      </w:pPr>
      <w:r w:rsidRPr="00B27B47">
        <w:rPr>
          <w:rFonts w:ascii="Book Antiqua" w:hAnsi="Book Antiqua" w:cs="Calibri"/>
          <w:bCs/>
          <w:sz w:val="24"/>
          <w:szCs w:val="24"/>
          <w:lang w:val="en-US" w:eastAsia="zh-CN"/>
        </w:rPr>
        <w:t>Hüsing</w:t>
      </w:r>
      <w:r w:rsidRPr="00B27B47">
        <w:rPr>
          <w:rFonts w:ascii="Book Antiqua" w:hAnsi="Book Antiqua" w:cs="Calibri" w:hint="eastAsia"/>
          <w:bCs/>
          <w:sz w:val="24"/>
          <w:szCs w:val="24"/>
          <w:lang w:val="en-US" w:eastAsia="zh-CN"/>
        </w:rPr>
        <w:t xml:space="preserve"> A</w:t>
      </w:r>
      <w:r w:rsidRPr="00B27B47">
        <w:rPr>
          <w:rFonts w:ascii="Book Antiqua" w:hAnsi="Book Antiqua" w:cs="Calibri"/>
          <w:bCs/>
          <w:sz w:val="24"/>
          <w:szCs w:val="24"/>
          <w:lang w:val="en-US" w:eastAsia="zh-CN"/>
        </w:rPr>
        <w:t>, Kabar</w:t>
      </w:r>
      <w:r w:rsidRPr="00B27B47">
        <w:rPr>
          <w:rFonts w:ascii="Book Antiqua" w:hAnsi="Book Antiqua" w:cs="Calibri" w:hint="eastAsia"/>
          <w:bCs/>
          <w:sz w:val="24"/>
          <w:szCs w:val="24"/>
          <w:lang w:val="en-US" w:eastAsia="zh-CN"/>
        </w:rPr>
        <w:t xml:space="preserve"> I</w:t>
      </w:r>
      <w:r w:rsidRPr="00B27B47">
        <w:rPr>
          <w:rFonts w:ascii="Book Antiqua" w:hAnsi="Book Antiqua" w:cs="Calibri"/>
          <w:bCs/>
          <w:sz w:val="24"/>
          <w:szCs w:val="24"/>
          <w:lang w:val="en-US" w:eastAsia="zh-CN"/>
        </w:rPr>
        <w:t>, Schmidt</w:t>
      </w:r>
      <w:r w:rsidRPr="00B27B47">
        <w:rPr>
          <w:rFonts w:ascii="Book Antiqua" w:hAnsi="Book Antiqua" w:cs="Calibri" w:hint="eastAsia"/>
          <w:bCs/>
          <w:sz w:val="24"/>
          <w:szCs w:val="24"/>
          <w:lang w:val="en-US" w:eastAsia="zh-CN"/>
        </w:rPr>
        <w:t xml:space="preserve"> HH. </w:t>
      </w:r>
      <w:r w:rsidRPr="00B27B47">
        <w:rPr>
          <w:rFonts w:ascii="Book Antiqua" w:hAnsi="Book Antiqua" w:cs="Calibri"/>
          <w:bCs/>
          <w:sz w:val="24"/>
          <w:szCs w:val="24"/>
          <w:lang w:val="en-US" w:eastAsia="zh-CN"/>
        </w:rPr>
        <w:t>Lipids in liver transplant recipients</w:t>
      </w:r>
      <w:r w:rsidRPr="00B27B47">
        <w:rPr>
          <w:rFonts w:ascii="Book Antiqua" w:hAnsi="Book Antiqua" w:cs="Calibri" w:hint="eastAsia"/>
          <w:bCs/>
          <w:sz w:val="24"/>
          <w:szCs w:val="24"/>
          <w:lang w:val="en-US" w:eastAsia="zh-CN"/>
        </w:rPr>
        <w:t xml:space="preserve">. </w:t>
      </w:r>
      <w:bookmarkStart w:id="248" w:name="OLE_LINK2756"/>
      <w:bookmarkStart w:id="249" w:name="OLE_LINK2349"/>
      <w:bookmarkStart w:id="250" w:name="OLE_LINK2413"/>
      <w:bookmarkStart w:id="251" w:name="OLE_LINK2287"/>
      <w:bookmarkStart w:id="252" w:name="OLE_LINK2309"/>
      <w:bookmarkStart w:id="253" w:name="OLE_LINK2329"/>
      <w:bookmarkStart w:id="254" w:name="OLE_LINK2285"/>
      <w:bookmarkStart w:id="255" w:name="OLE_LINK2245"/>
      <w:bookmarkStart w:id="256" w:name="OLE_LINK2212"/>
      <w:bookmarkStart w:id="257" w:name="OLE_LINK2178"/>
      <w:bookmarkStart w:id="258" w:name="OLE_LINK2039"/>
      <w:bookmarkStart w:id="259" w:name="OLE_LINK3369"/>
      <w:bookmarkStart w:id="260" w:name="OLE_LINK3314"/>
      <w:bookmarkStart w:id="261" w:name="OLE_LINK2028"/>
      <w:bookmarkStart w:id="262" w:name="OLE_LINK2206"/>
      <w:bookmarkStart w:id="263" w:name="OLE_LINK2158"/>
      <w:bookmarkStart w:id="264" w:name="OLE_LINK2074"/>
      <w:bookmarkStart w:id="265" w:name="OLE_LINK2176"/>
      <w:bookmarkStart w:id="266" w:name="OLE_LINK1942"/>
      <w:bookmarkStart w:id="267" w:name="OLE_LINK1917"/>
      <w:bookmarkStart w:id="268" w:name="OLE_LINK1875"/>
      <w:bookmarkStart w:id="269" w:name="OLE_LINK1869"/>
      <w:bookmarkStart w:id="270" w:name="OLE_LINK1796"/>
      <w:bookmarkStart w:id="271" w:name="OLE_LINK1719"/>
      <w:bookmarkStart w:id="272" w:name="OLE_LINK1802"/>
      <w:bookmarkStart w:id="273" w:name="OLE_LINK1369"/>
      <w:bookmarkStart w:id="274" w:name="OLE_LINK1236"/>
      <w:bookmarkStart w:id="275" w:name="OLE_LINK658"/>
      <w:bookmarkStart w:id="276" w:name="OLE_LINK699"/>
      <w:bookmarkStart w:id="277" w:name="OLE_LINK140"/>
      <w:bookmarkStart w:id="278" w:name="OLE_LINK111"/>
      <w:bookmarkStart w:id="279" w:name="OLE_LINK110"/>
      <w:bookmarkStart w:id="280" w:name="OLE_LINK47"/>
      <w:bookmarkStart w:id="281" w:name="OLE_LINK48"/>
      <w:r w:rsidRPr="00B27B47">
        <w:rPr>
          <w:rFonts w:ascii="Book Antiqua" w:eastAsia="SimSun" w:hAnsi="Book Antiqua" w:cs="Times New Roman"/>
          <w:i/>
          <w:kern w:val="2"/>
          <w:sz w:val="24"/>
          <w:szCs w:val="24"/>
          <w:lang w:val="en-US" w:eastAsia="zh-CN"/>
        </w:rPr>
        <w:t xml:space="preserve">World J Gastroenterol </w:t>
      </w:r>
      <w:r w:rsidRPr="00B27B47">
        <w:rPr>
          <w:rFonts w:ascii="Book Antiqua" w:eastAsia="SimSun" w:hAnsi="Book Antiqua" w:cs="Times New Roman"/>
          <w:kern w:val="2"/>
          <w:sz w:val="24"/>
          <w:szCs w:val="24"/>
          <w:lang w:val="en-US" w:eastAsia="zh-CN"/>
        </w:rPr>
        <w:t>2016; In press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bookmarkEnd w:id="280"/>
    <w:bookmarkEnd w:id="281"/>
    <w:p w:rsidR="00DC3223" w:rsidRPr="00B27B47" w:rsidRDefault="00DC3223" w:rsidP="00DC3223">
      <w:pPr>
        <w:adjustRightInd w:val="0"/>
        <w:snapToGrid w:val="0"/>
        <w:spacing w:after="0" w:line="360" w:lineRule="auto"/>
        <w:jc w:val="both"/>
        <w:rPr>
          <w:rFonts w:ascii="Book Antiqua" w:hAnsi="Book Antiqua" w:cs="Calibri"/>
          <w:bCs/>
          <w:sz w:val="24"/>
          <w:szCs w:val="24"/>
          <w:lang w:val="en-US" w:eastAsia="zh-CN"/>
        </w:rPr>
      </w:pPr>
    </w:p>
    <w:p w:rsidR="00DC3223" w:rsidRPr="00B27B47" w:rsidRDefault="00DC3223" w:rsidP="003E1943">
      <w:pPr>
        <w:adjustRightInd w:val="0"/>
        <w:snapToGrid w:val="0"/>
        <w:spacing w:after="0" w:line="360" w:lineRule="auto"/>
        <w:jc w:val="both"/>
        <w:rPr>
          <w:rFonts w:ascii="Book Antiqua" w:hAnsi="Book Antiqua" w:cs="Calibri"/>
          <w:b/>
          <w:bCs/>
          <w:sz w:val="24"/>
          <w:szCs w:val="24"/>
          <w:lang w:val="en-US" w:eastAsia="zh-CN"/>
        </w:rPr>
      </w:pPr>
    </w:p>
    <w:p w:rsidR="005645FF" w:rsidRPr="00B27B47" w:rsidRDefault="005645FF">
      <w:pPr>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br w:type="page"/>
      </w:r>
    </w:p>
    <w:p w:rsidR="000F7598" w:rsidRPr="00B27B47" w:rsidRDefault="005645FF" w:rsidP="003E1943">
      <w:pPr>
        <w:adjustRightInd w:val="0"/>
        <w:snapToGrid w:val="0"/>
        <w:spacing w:after="0" w:line="360" w:lineRule="auto"/>
        <w:jc w:val="both"/>
        <w:rPr>
          <w:rFonts w:ascii="Book Antiqua" w:hAnsi="Book Antiqua" w:cs="Calibri"/>
          <w:b/>
          <w:bCs/>
          <w:sz w:val="24"/>
          <w:szCs w:val="24"/>
          <w:lang w:val="en-US" w:eastAsia="zh-CN"/>
        </w:rPr>
      </w:pPr>
      <w:r w:rsidRPr="00B27B47">
        <w:rPr>
          <w:rFonts w:ascii="Book Antiqua" w:eastAsia="Times New Roman" w:hAnsi="Book Antiqua" w:cs="Calibri"/>
          <w:b/>
          <w:bCs/>
          <w:sz w:val="24"/>
          <w:szCs w:val="24"/>
          <w:lang w:val="en-US" w:eastAsia="de-DE"/>
        </w:rPr>
        <w:lastRenderedPageBreak/>
        <w:t>INTRODUCTION</w:t>
      </w:r>
    </w:p>
    <w:p w:rsidR="000F7598" w:rsidRPr="00B27B47" w:rsidRDefault="000F7598" w:rsidP="003E1943">
      <w:pPr>
        <w:adjustRightInd w:val="0"/>
        <w:snapToGrid w:val="0"/>
        <w:spacing w:after="0" w:line="360" w:lineRule="auto"/>
        <w:jc w:val="both"/>
        <w:rPr>
          <w:rFonts w:ascii="Book Antiqua" w:eastAsia="Times New Roman" w:hAnsi="Book Antiqua" w:cs="Calibri"/>
          <w:bCs/>
          <w:i/>
          <w:sz w:val="24"/>
          <w:szCs w:val="24"/>
          <w:lang w:val="en-US" w:eastAsia="de-DE"/>
        </w:rPr>
      </w:pPr>
      <w:r w:rsidRPr="00B27B47">
        <w:rPr>
          <w:rFonts w:ascii="Book Antiqua" w:eastAsia="Times New Roman" w:hAnsi="Book Antiqua" w:cs="Calibri"/>
          <w:bCs/>
          <w:sz w:val="24"/>
          <w:szCs w:val="24"/>
          <w:lang w:val="en-US" w:eastAsia="de-DE"/>
        </w:rPr>
        <w:t>Hyperlipidemia (HLP) is considered one of the most important risk factors for the development of atherosclerosis. The prevalence of HLP in liver transplant (LT) recipients is high and has been estimated to vary from 27% to 71%</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&lt;EndNote&gt;&lt;Cite&gt;&lt;Author&gt;Laish&lt;/Author&gt;&lt;RecNum&gt;3&lt;/RecNum&gt;&lt;record&gt;&lt;rec-number&gt;3&lt;/rec-number&gt;&lt;ref-type name='Journal Article'&gt;17&lt;/ref-type&gt;&lt;contributors&gt;&lt;authors&gt;&lt;author&gt;Laish, I.&lt;/author&gt;&lt;author&gt;Braun, M.&lt;/author&gt;&lt;author&gt;Mor, E.&lt;/author&gt;&lt;author&gt;Sulkes, J.&lt;/author&gt;&lt;author&gt;Harif, Y.&lt;/author&gt;&lt;author&gt;Ben Ari, Z.&lt;/author&gt;&lt;/authors&gt;&lt;/contributors&gt;&lt;auth-address&gt;Department of Internal Medicine A, Rabin Medical Center, Beilinson Hospital, Petah Tiqwa, Israel.&lt;/auth-address&gt;&lt;titles&gt;&lt;title&gt;Metabolic syndrome in liver transplant recipients: prevalence, risk factors, and association with cardiovascular events&lt;/title&gt;&lt;secondary-title&gt;Liver Transpl&lt;/secondary-title&gt;&lt;/titles&gt;&lt;periodical&gt;&lt;full-title&gt;Liver Transpl&lt;/full-title&gt;&lt;/periodical&gt;&lt;pages&gt;15-22&lt;/pages&gt;&lt;volume&gt;17&lt;/volume&gt;&lt;number&gt;1&lt;/number&gt;&lt;keywords&gt;&lt;keyword&gt;Adult&lt;/keyword&gt;&lt;keyword&gt;Aged&lt;/keyword&gt;&lt;keyword&gt;Cardiovascular Diseases/ epidemiology/mortality&lt;/keyword&gt;&lt;keyword&gt;Chi-Square Distribution&lt;/keyword&gt;&lt;keyword&gt;Female&lt;/keyword&gt;&lt;keyword&gt;Humans&lt;/keyword&gt;&lt;keyword&gt;Israel/epidemiology&lt;/keyword&gt;&lt;keyword&gt;Liver Transplantation/ adverse effects/mortality&lt;/keyword&gt;&lt;keyword&gt;Logistic Models&lt;/keyword&gt;&lt;keyword&gt;Male&lt;/keyword&gt;&lt;keyword&gt;Metabolic Syndrome X/ epidemiology/mortality&lt;/keyword&gt;&lt;keyword&gt;Middle Aged&lt;/keyword&gt;&lt;keyword&gt;Odds Ratio&lt;/keyword&gt;&lt;keyword&gt;Prevalence&lt;/keyword&gt;&lt;keyword&gt;Prognosis&lt;/keyword&gt;&lt;keyword&gt;Retrospective Studies&lt;/keyword&gt;&lt;keyword&gt;Risk Assessment&lt;/keyword&gt;&lt;keyword&gt;Risk Factors&lt;/keyword&gt;&lt;keyword&gt;Time Factors&lt;/keyword&gt;&lt;/keywords&gt;&lt;dates&gt;&lt;pub-dates&gt;&lt;date&gt;Jan&lt;/date&gt;&lt;/pub-dates&gt;&lt;/dates&gt;&lt;isbn&gt;1527-6473 (Electronic)&amp;#xD;1527-6465 (Linking)&lt;/isbn&gt;&lt;accession-num&gt;21254340&lt;/accession-num&gt;&lt;urls&gt;&lt;/urls&gt;&lt;/record&gt;&lt;/Cite&gt;&lt;Cite&gt;&lt;Author&gt;Mells&lt;/Author&gt;&lt;Year&gt;2007&lt;/Year&gt;&lt;RecNum&gt;1&lt;/RecNum&gt;&lt;record&gt;&lt;rec-number&gt;1&lt;/rec-number&gt;&lt;ref-type name="Journal Article"&gt;17&lt;/ref-type&gt;&lt;contributors&gt;&lt;authors&gt;&lt;author&gt;Mells, G.&lt;/author&gt;&lt;author&gt;Neuberger, J.&lt;/author&gt;&lt;/authors&gt;&lt;/contributors&gt;&lt;auth-address&gt;Liver Unit, Queen Elizabeth Hospital, Birmingham, United Kingdom.&lt;/auth-address&gt;&lt;titles&gt;&lt;title&gt;Reducing the risks of cardiovascular disease in liver allograft recipients&lt;/title&gt;&lt;secondary-title&gt;Transplantation&lt;/secondary-title&gt;&lt;/titles&gt;&lt;pages&gt;1141-50&lt;/pages&gt;&lt;volume&gt;83&lt;/volume&gt;&lt;number&gt;9&lt;/number&gt;&lt;keywords&gt;&lt;keyword&gt;Cardiovascular Diseases/ etiology/ prevention &amp;amp; control&lt;/keyword&gt;&lt;keyword&gt;Cerebrovascular Disorders/epidemiology/etiology&lt;/keyword&gt;&lt;keyword&gt;Diabetes Complications&lt;/keyword&gt;&lt;keyword&gt;Diabetes Mellitus/drug therapy/etiology&lt;/keyword&gt;&lt;keyword&gt;Dyslipidemias/complications/etiology/therapy&lt;/keyword&gt;&lt;keyword&gt;Humans&lt;/keyword&gt;&lt;keyword&gt;Hypertension/complications/etiology/therapy&lt;/keyword&gt;&lt;keyword&gt;Incidence&lt;/keyword&gt;&lt;keyword&gt;Liver Transplantation/ adverse effects&lt;/keyword&gt;&lt;keyword&gt;Risk Factors&lt;/keyword&gt;&lt;keyword&gt;Transplantation, Homologous&lt;/keyword&gt;&lt;keyword&gt;Vascular Diseases/etiology/prevention &amp;amp; control&lt;/keyword&gt;&lt;/keywords&gt;&lt;dates&gt;&lt;year&gt;2007&lt;/year&gt;&lt;pub-dates&gt;&lt;date&gt;May 15&lt;/date&gt;&lt;/pub-dates&gt;&lt;/dates&gt;&lt;isbn&gt;0041-1337 (Print)&amp;#xD;0041-1337 (Linking)&lt;/isbn&gt;&lt;accession-num&gt;17496526&lt;/accession-num&gt;&lt;urls&gt;&lt;/urls&gt;&lt;/record&gt;&lt;/Cite&gt;&lt;/EndNote&gt;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00830FB9" w:rsidRPr="00B27B47">
        <w:rPr>
          <w:rFonts w:ascii="Book Antiqua" w:eastAsia="Times New Roman" w:hAnsi="Book Antiqua" w:cs="Calibri"/>
          <w:bCs/>
          <w:sz w:val="24"/>
          <w:szCs w:val="24"/>
          <w:vertAlign w:val="superscript"/>
          <w:lang w:val="en-US" w:eastAsia="de-DE"/>
        </w:rPr>
        <w:t>1,</w:t>
      </w:r>
      <w:r w:rsidRPr="00B27B47">
        <w:rPr>
          <w:rFonts w:ascii="Book Antiqua" w:eastAsia="Times New Roman" w:hAnsi="Book Antiqua" w:cs="Calibri"/>
          <w:bCs/>
          <w:sz w:val="24"/>
          <w:szCs w:val="24"/>
          <w:vertAlign w:val="superscript"/>
          <w:lang w:val="en-US" w:eastAsia="de-DE"/>
        </w:rPr>
        <w:t>2</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i/>
          <w:sz w:val="24"/>
          <w:szCs w:val="24"/>
          <w:lang w:val="en-US" w:eastAsia="de-DE"/>
        </w:rPr>
        <w:t>.</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Development of HLP is multifactorial, including in LT recipients. Immunosuppressive agents administered after liver transplantation may lead to lipid metabolism disorders and HLP. Although some studies have reported that immunosuppressive therapy is not a risk factor for cardiovascular events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&lt;EndNote&gt;&lt;Cite&gt;&lt;Author&gt;Laish&lt;/Author&gt;&lt;RecNum&gt;3&lt;/RecNum&gt;&lt;record&gt;&lt;rec-number&gt;3&lt;/rec-number&gt;&lt;ref-type name="Journal Article"&gt;17&lt;/ref-type&gt;&lt;contributors&gt;&lt;authors&gt;&lt;author&gt;Laish, I.&lt;/author&gt;&lt;author&gt;Braun, M.&lt;/author&gt;&lt;author&gt;Mor, E.&lt;/author&gt;&lt;author&gt;Sulkes, J.&lt;/author&gt;&lt;author&gt;Harif, Y.&lt;/author&gt;&lt;author&gt;Ben Ari, Z.&lt;/author&gt;&lt;/authors&gt;&lt;/contributors&gt;&lt;auth-address&gt;Department of Internal Medicine A, Rabin Medical Center, Beilinson Hospital, Petah Tiqwa, Israel.&lt;/auth-address&gt;&lt;titles&gt;&lt;title&gt;Metabolic syndrome in liver transplant recipients: prevalence, risk factors, and association with cardiovascular events&lt;/title&gt;&lt;secondary-title&gt;Liver Transpl&lt;/secondary-title&gt;&lt;/titles&gt;&lt;periodical&gt;&lt;full-title&gt;Liver Transpl&lt;/full-title&gt;&lt;/periodical&gt;&lt;pages&gt;15-22&lt;/pages&gt;&lt;volume&gt;17&lt;/volume&gt;&lt;number&gt;1&lt;/number&gt;&lt;keywords&gt;&lt;keyword&gt;Adult&lt;/keyword&gt;&lt;keyword&gt;Aged&lt;/keyword&gt;&lt;keyword&gt;Cardiovascular Diseases/ epidemiology/mortality&lt;/keyword&gt;&lt;keyword&gt;Chi-Square Distribution&lt;/keyword&gt;&lt;keyword&gt;Female&lt;/keyword&gt;&lt;keyword&gt;Humans&lt;/keyword&gt;&lt;keyword&gt;Israel/epidemiology&lt;/keyword&gt;&lt;keyword&gt;Liver Transplantation/ adverse effects/mortality&lt;/keyword&gt;&lt;keyword&gt;Logistic Models&lt;/keyword&gt;&lt;keyword&gt;Male&lt;/keyword&gt;&lt;keyword&gt;Metabolic Syndrome X/ epidemiology/mortality&lt;/keyword&gt;&lt;keyword&gt;Middle Aged&lt;/keyword&gt;&lt;keyword&gt;Odds Ratio&lt;/keyword&gt;&lt;keyword&gt;Prevalence&lt;/keyword&gt;&lt;keyword&gt;Prognosis&lt;/keyword&gt;&lt;keyword&gt;Retrospective Studies&lt;/keyword&gt;&lt;keyword&gt;Risk Assessment&lt;/keyword&gt;&lt;keyword&gt;Risk Factors&lt;/keyword&gt;&lt;keyword&gt;Time Factors&lt;/keyword&gt;&lt;/keywords&gt;&lt;dates&gt;&lt;pub-dates&gt;&lt;date&gt;Jan&lt;/date&gt;&lt;/pub-dates&gt;&lt;/dates&gt;&lt;isbn&gt;1527-6473 (Electronic)&amp;#xD;1527-6465 (Linking)&lt;/isbn&gt;&lt;accession-num&gt;21254340&lt;/accession-num&gt;&lt;urls&gt;&lt;/urls&gt;&lt;/record&gt;&lt;/Cite&gt;&lt;/EndNote&gt;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i/>
          <w:sz w:val="24"/>
          <w:szCs w:val="24"/>
          <w:lang w:val="en-US" w:eastAsia="de-DE"/>
        </w:rPr>
        <w:t>,</w:t>
      </w:r>
      <w:r w:rsidRPr="00B27B47">
        <w:rPr>
          <w:rFonts w:ascii="Book Antiqua" w:eastAsia="Times New Roman" w:hAnsi="Book Antiqua" w:cs="Calibri"/>
          <w:bCs/>
          <w:sz w:val="24"/>
          <w:szCs w:val="24"/>
          <w:lang w:val="en-US" w:eastAsia="de-DE"/>
        </w:rPr>
        <w:t xml:space="preserve"> others have found that the adverse event profiles of immunosuppressive agents can contribute to cardiovascular risk in transplant recipients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&lt;EndNote&gt;&lt;Cite&gt;&lt;Author&gt;Kasiske&lt;/Author&gt;&lt;Year&gt;2000&lt;/Year&gt;&lt;RecNum&gt;4&lt;/RecNum&gt;&lt;record&gt;&lt;rec-number&gt;4&lt;/rec-number&gt;&lt;ref-type name="Journal Article"&gt;17&lt;/ref-type&gt;&lt;contributors&gt;&lt;authors&gt;&lt;author&gt;Kasiske, B. L.&lt;/author&gt;&lt;author&gt;Chakkera, H. A.&lt;/author&gt;&lt;author&gt;Roel, J.&lt;/author&gt;&lt;/authors&gt;&lt;/contributors&gt;&lt;auth-address&gt;Department of Medicine, Hennepin County Medical Center, Minneapolis, Minnesota 55415, USA. kasis001@tc.umn.edu&lt;/auth-address&gt;&lt;titles&gt;&lt;title&gt;Explained and unexplained ischemic heart disease risk after renal transplantation&lt;/title&gt;&lt;secondary-title&gt;J Am Soc Nephrol&lt;/secondary-title&gt;&lt;/titles&gt;&lt;periodical&gt;&lt;full-title&gt;J Am Soc Nephrol&lt;/full-title&gt;&lt;/periodical&gt;&lt;pages&gt;1735-43&lt;/pages&gt;&lt;volume&gt;11&lt;/volume&gt;&lt;number&gt;9&lt;/number&gt;&lt;keywords&gt;&lt;keyword&gt;Adult&lt;/keyword&gt;&lt;keyword&gt;Calcium Channel Blockers/adverse effects&lt;/keyword&gt;&lt;keyword&gt;Cholesterol, HDL/blood&lt;/keyword&gt;&lt;keyword&gt;Cohort Studies&lt;/keyword&gt;&lt;keyword&gt;Diabetes Complications&lt;/keyword&gt;&lt;keyword&gt;Dihydropyridines/adverse effects&lt;/keyword&gt;&lt;keyword&gt;Female&lt;/keyword&gt;&lt;keyword&gt;Humans&lt;/keyword&gt;&lt;keyword&gt;Kidney Transplantation&lt;/keyword&gt;&lt;keyword&gt;Lipids/blood&lt;/keyword&gt;&lt;keyword&gt;Male&lt;/keyword&gt;&lt;keyword&gt;Middle Aged&lt;/keyword&gt;&lt;keyword&gt;Myocardial Ischemia/chemically induced/ etiology&lt;/keyword&gt;&lt;keyword&gt;Postoperative Complications/ etiology&lt;/keyword&gt;&lt;keyword&gt;Proportional Hazards Models&lt;/keyword&gt;&lt;keyword&gt;Risk Factors&lt;/keyword&gt;&lt;keyword&gt;Smoking/adverse effects&lt;/keyword&gt;&lt;/keywords&gt;&lt;dates&gt;&lt;year&gt;2000&lt;/year&gt;&lt;pub-dates&gt;&lt;date&gt;Sep&lt;/date&gt;&lt;/pub-dates&gt;&lt;/dates&gt;&lt;isbn&gt;1046-6673 (Print)&amp;#xD;1046-6673 (Linking)&lt;/isbn&gt;&lt;accession-num&gt;10966499&lt;/accession-num&gt;&lt;urls&gt;&lt;/urls&gt;&lt;/record&gt;&lt;/Cite&gt;&lt;Cite&gt;&lt;Author&gt;Miller&lt;/Author&gt;&lt;Year&gt;2002&lt;/Year&gt;&lt;RecNum&gt;5&lt;/RecNum&gt;&lt;record&gt;&lt;rec-number&gt;5&lt;/rec-number&gt;&lt;ref-type name="Journal Article"&gt;17&lt;/ref-type&gt;&lt;contributors&gt;&lt;authors&gt;&lt;author&gt;Miller, L. W.&lt;/author&gt;&lt;/authors&gt;&lt;/contributors&gt;&lt;auth-address&gt;Cardiovascular Division, University of Minnesota, Minneapolis, USA. mille278@tc.umn.edu&lt;/auth-address&gt;&lt;titles&gt;&lt;title&gt;Cardiovascular toxicities of immunosuppressive agents&lt;/title&gt;&lt;secondary-title&gt;Am J Transplant&lt;/secondary-title&gt;&lt;/titles&gt;&lt;periodical&gt;&lt;full-title&gt;Am J Transplant&lt;/full-title&gt;&lt;/periodical&gt;&lt;pages&gt;807-18&lt;/pages&gt;&lt;volume&gt;2&lt;/volume&gt;&lt;number&gt;9&lt;/number&gt;&lt;keywords&gt;&lt;keyword&gt;Adrenal Cortex Hormones/toxicity&lt;/keyword&gt;&lt;keyword&gt;Animals&lt;/keyword&gt;&lt;keyword&gt;Cardiovascular System/ physiopathology&lt;/keyword&gt;&lt;keyword&gt;Coronary Artery Disease/physiopathology&lt;/keyword&gt;&lt;keyword&gt;Cyclosporine/toxicity&lt;/keyword&gt;&lt;keyword&gt;Diabetes Mellitus/physiopathology&lt;/keyword&gt;&lt;keyword&gt;Humans&lt;/keyword&gt;&lt;keyword&gt;Hyperlipidemias/physiopathology&lt;/keyword&gt;&lt;keyword&gt;Hypertension/physiopathology&lt;/keyword&gt;&lt;keyword&gt;Immunosuppressive Agents/ toxicity&lt;/keyword&gt;&lt;keyword&gt;Sirolimus/toxicity&lt;/keyword&gt;&lt;keyword&gt;Tacrolimus/toxicity&lt;/keyword&gt;&lt;/keywords&gt;&lt;dates&gt;&lt;year&gt;2002&lt;/year&gt;&lt;pub-dates&gt;&lt;date&gt;Oct&lt;/date&gt;&lt;/pub-dates&gt;&lt;/dates&gt;&lt;isbn&gt;1600-6135 (Print)&amp;#xD;1600-6135 (Linking)&lt;/isbn&gt;&lt;accession-num&gt;12392286&lt;/accession-num&gt;&lt;urls&gt;&lt;/urls&gt;&lt;/record&gt;&lt;/Cite&gt;&lt;/EndNote&gt;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00751D25" w:rsidRPr="00B27B47">
        <w:rPr>
          <w:rFonts w:ascii="Book Antiqua" w:eastAsia="Times New Roman" w:hAnsi="Book Antiqua" w:cs="Calibri"/>
          <w:bCs/>
          <w:sz w:val="24"/>
          <w:szCs w:val="24"/>
          <w:vertAlign w:val="superscript"/>
          <w:lang w:val="en-US" w:eastAsia="de-DE"/>
        </w:rPr>
        <w:t>3,</w:t>
      </w:r>
      <w:r w:rsidRPr="00B27B47">
        <w:rPr>
          <w:rFonts w:ascii="Book Antiqua" w:eastAsia="Times New Roman" w:hAnsi="Book Antiqua" w:cs="Calibri"/>
          <w:bCs/>
          <w:sz w:val="24"/>
          <w:szCs w:val="24"/>
          <w:vertAlign w:val="superscript"/>
          <w:lang w:val="en-US" w:eastAsia="de-DE"/>
        </w:rPr>
        <w:t>4</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i/>
          <w:sz w:val="24"/>
          <w:szCs w:val="24"/>
          <w:lang w:val="en-US" w:eastAsia="de-DE"/>
        </w:rPr>
        <w:t>.</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A meta-analysis reporting pooled estimates from population-based and nested case-control studies found that post-LT recipients have an approximately 64% greater risk of cardiovascular events than the general population</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i/>
          <w:sz w:val="24"/>
          <w:szCs w:val="24"/>
          <w:lang w:val="en-US" w:eastAsia="de-DE"/>
        </w:rPr>
        <w:fldChar w:fldCharType="begin"/>
      </w:r>
      <w:r w:rsidRPr="00B27B47">
        <w:rPr>
          <w:rFonts w:ascii="Book Antiqua" w:eastAsia="Times New Roman" w:hAnsi="Book Antiqua" w:cs="Calibri"/>
          <w:bCs/>
          <w:i/>
          <w:sz w:val="24"/>
          <w:szCs w:val="24"/>
          <w:lang w:val="en-US" w:eastAsia="de-DE"/>
        </w:rPr>
        <w:instrText xml:space="preserve"> ADDIN EN.CITE &lt;EndNote&gt;&lt;Cite&gt;&lt;Author&gt;Madhwal&lt;/Author&gt;&lt;RecNum&gt;6&lt;/RecNum&gt;&lt;record&gt;&lt;rec-number&gt;6&lt;/rec-number&gt;&lt;ref-type name="Journal Article"&gt;17&lt;/ref-type&gt;&lt;contributors&gt;&lt;authors&gt;&lt;author&gt;Madhwal, S.&lt;/author&gt;&lt;author&gt;Atreja, A.&lt;/author&gt;&lt;author&gt;Albeldawi, M.&lt;/author&gt;&lt;author&gt;Lopez, R.&lt;/author&gt;&lt;author&gt;Post, A.&lt;/author&gt;&lt;author&gt;Costa, M. A.&lt;/author&gt;&lt;/authors&gt;&lt;/contributors&gt;&lt;auth-address&gt;University Hospitals Case Medical Center, Cleveland, OH 44106, USA. madhwas@gmail.com&lt;/auth-address&gt;&lt;titles&gt;&lt;title&gt;Is liver transplantation a risk factor for cardiovascular disease? A meta-analysis of observational studies&lt;/title&gt;&lt;secondary-title&gt;Liver Transpl&lt;/secondary-title&gt;&lt;/titles&gt;&lt;periodical&gt;&lt;full-title&gt;Liver Transpl&lt;/full-title&gt;&lt;/periodical&gt;&lt;pages&gt;1140-6&lt;/pages&gt;&lt;volume&gt;18&lt;/volume&gt;&lt;number&gt;10&lt;/number&gt;&lt;keywords&gt;&lt;keyword&gt;Cardiovascular Diseases/ epidemiology/mortality&lt;/keyword&gt;&lt;keyword&gt;Humans&lt;/keyword&gt;&lt;keyword&gt;Incidence&lt;/keyword&gt;&lt;keyword&gt;Liver Transplantation/ adverse effects&lt;/keyword&gt;&lt;keyword&gt;Metabolic Syndrome X/complications&lt;/keyword&gt;&lt;keyword&gt;Risk Factors&lt;/keyword&gt;&lt;keyword&gt;Survival Rate&lt;/keyword&gt;&lt;/keywords&gt;&lt;dates&gt;&lt;pub-dates&gt;&lt;date&gt;Oct&lt;/date&gt;&lt;/pub-dates&gt;&lt;/dates&gt;&lt;isbn&gt;1527-6473 (Electronic)&amp;#xD;1527-6465 (Linking)&lt;/isbn&gt;&lt;accession-num&gt;22821899&lt;/accession-num&gt;&lt;urls&gt;&lt;/urls&gt;&lt;/record&gt;&lt;/Cite&gt;&lt;/EndNote&gt;</w:instrText>
      </w:r>
      <w:r w:rsidRPr="00B27B47">
        <w:rPr>
          <w:rFonts w:ascii="Book Antiqua" w:eastAsia="Times New Roman" w:hAnsi="Book Antiqua" w:cs="Calibri"/>
          <w:bCs/>
          <w:i/>
          <w:sz w:val="24"/>
          <w:szCs w:val="24"/>
          <w:lang w:val="en-US" w:eastAsia="de-DE"/>
        </w:rPr>
        <w:fldChar w:fldCharType="separate"/>
      </w:r>
      <w:r w:rsidRPr="00B27B47">
        <w:rPr>
          <w:rFonts w:ascii="Book Antiqua" w:eastAsia="Times New Roman" w:hAnsi="Book Antiqua" w:cs="Calibri"/>
          <w:bCs/>
          <w:i/>
          <w:sz w:val="24"/>
          <w:szCs w:val="24"/>
          <w:vertAlign w:val="superscript"/>
          <w:lang w:val="en-US" w:eastAsia="de-DE"/>
        </w:rPr>
        <w:t>5</w:t>
      </w:r>
      <w:r w:rsidRPr="00B27B47">
        <w:rPr>
          <w:rFonts w:ascii="Book Antiqua" w:eastAsia="Times New Roman" w:hAnsi="Book Antiqua" w:cs="Calibri"/>
          <w:bCs/>
          <w:i/>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Although the increased risk for atherosclerosis-associated events in transplant recipients suggests that all of these patients be treated prophylactically with lipid lowering drugs, drug interactions and other side effects limit this approach. In practice many transplant physicians remain cautious about treating LT recipients with lipid lowering drugs.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Cardiovascular diseases are emerging as the main cause of non–graft-related mortality in LT recipients, especially in older subjects, thus affecting their long-term outcomes and causes of death</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&lt;EndNote&gt;&lt;Cite&gt;&lt;Author&gt;Pruthi&lt;/Author&gt;&lt;Year&gt;2001&lt;/Year&gt;&lt;RecNum&gt;7&lt;/RecNum&gt;&lt;record&gt;&lt;rec-number&gt;7&lt;/rec-number&gt;&lt;ref-type name="Journal Article"&gt;17&lt;/ref-type&gt;&lt;contributors&gt;&lt;authors&gt;&lt;author&gt;Pruthi, J.&lt;/author&gt;&lt;author&gt;Medkiff, K. A.&lt;/author&gt;&lt;author&gt;Esrason, K. T.&lt;/author&gt;&lt;author&gt;Donovan, J. A.&lt;/author&gt;&lt;author&gt;Yoshida, E. M.&lt;/author&gt;&lt;author&gt;Erb, S. R.&lt;/author&gt;&lt;author&gt;Steinbrecher, U. P.&lt;/author&gt;&lt;author&gt;Fong, T. L.&lt;/author&gt;&lt;/authors&gt;&lt;/contributors&gt;&lt;auth-address&gt;Division of Liver Transplantation, Southern California Permanente Medical Group, Los Angeles, CA, USA.&lt;/auth-address&gt;&lt;titles&gt;&lt;title&gt;Analysis of causes of death in liver transplant recipients who survived more than 3 years&lt;/title&gt;&lt;secondary-title&gt;Liver Transpl&lt;/secondary-title&gt;&lt;/titles&gt;&lt;periodical&gt;&lt;full-title&gt;Liver Transpl&lt;/full-title&gt;&lt;/periodical&gt;&lt;pages&gt;811-5&lt;/pages&gt;&lt;volume&gt;7&lt;/volume&gt;&lt;number&gt;9&lt;/number&gt;&lt;keywords&gt;&lt;keyword&gt;Adult&lt;/keyword&gt;&lt;keyword&gt;Cardiovascular Diseases/mortality&lt;/keyword&gt;&lt;keyword&gt;Cause of Death&lt;/keyword&gt;&lt;keyword&gt;Female&lt;/keyword&gt;&lt;keyword&gt;Graft Rejection/mortality&lt;/keyword&gt;&lt;keyword&gt;Hepatitis C/mortality&lt;/keyword&gt;&lt;keyword&gt;Humans&lt;/keyword&gt;&lt;keyword&gt;Liver Diseases/mortality&lt;/keyword&gt;&lt;keyword&gt;Liver Transplantation/ mortality&lt;/keyword&gt;&lt;keyword&gt;Male&lt;/keyword&gt;&lt;keyword&gt;Middle Aged&lt;/keyword&gt;&lt;keyword&gt;Neoplasms/mortality&lt;/keyword&gt;&lt;keyword&gt;Recurrence&lt;/keyword&gt;&lt;keyword&gt;Survival Analysis&lt;/keyword&gt;&lt;keyword&gt;Time Factors&lt;/keyword&gt;&lt;/keywords&gt;&lt;dates&gt;&lt;year&gt;2001&lt;/year&gt;&lt;pub-dates&gt;&lt;date&gt;Sep&lt;/date&gt;&lt;/pub-dates&gt;&lt;/dates&gt;&lt;isbn&gt;1527-6465 (Print)&amp;#xD;1527-6465 (Linking)&lt;/isbn&gt;&lt;accession-num&gt;11552217&lt;/accession-num&gt;&lt;urls&gt;&lt;/urls&gt;&lt;/record&gt;&lt;/Cite&gt;&lt;Cite&gt;&lt;Author&gt;Johnston&lt;/Author&gt;&lt;Year&gt;2002&lt;/Year&gt;&lt;RecNum&gt;8&lt;/RecNum&gt;&lt;record&gt;&lt;rec-number&gt;8&lt;/rec-number&gt;&lt;ref-type name="Journal Article"&gt;17&lt;/ref-type&gt;&lt;contributors&gt;&lt;authors&gt;&lt;author&gt;Johnston, S. D.&lt;/author&gt;&lt;author&gt;Morris, J. K.&lt;/author&gt;&lt;author&gt;Cramb, R.&lt;/author&gt;&lt;author&gt;Gunson, B. K.&lt;/author&gt;&lt;author&gt;Neuberger, J.&lt;/author&gt;&lt;/authors&gt;&lt;/contributors&gt;&lt;auth-address&gt;Liver Unit, Queen Elizabeth Hospital, Birmingham, B15 2TH, UK. sdjohnston@utvinternet.com.&lt;/auth-address&gt;&lt;titles&gt;&lt;title&gt;Cardiovascular morbidity and mortality after orthotopic liver transplantation&lt;/title&gt;&lt;secondary-title&gt;Transplantation&lt;/secondary-title&gt;&lt;/titles&gt;&lt;periodical&gt;&lt;full-title&gt;Transplantation&lt;/full-title&gt;&lt;/periodical&gt;&lt;pages&gt;901-6&lt;/pages&gt;&lt;volume&gt;73&lt;/volume&gt;&lt;number&gt;6&lt;/number&gt;&lt;keywords&gt;&lt;keyword&gt;Adolescent&lt;/keyword&gt;&lt;keyword&gt;Blood Pressure&lt;/keyword&gt;&lt;keyword&gt;Cardiovascular Diseases/ epidemiology/mortality&lt;/keyword&gt;&lt;keyword&gt;Cause of Death&lt;/keyword&gt;&lt;keyword&gt;Child&lt;/keyword&gt;&lt;keyword&gt;Child, Preschool&lt;/keyword&gt;&lt;keyword&gt;Cholesterol/blood&lt;/keyword&gt;&lt;keyword&gt;Female&lt;/keyword&gt;&lt;keyword&gt;Humans&lt;/keyword&gt;&lt;keyword&gt;Hypertension/epidemiology&lt;/keyword&gt;&lt;keyword&gt;Infant&lt;/keyword&gt;&lt;keyword&gt;Liver Transplantation/ adverse effects/mortality&lt;/keyword&gt;&lt;keyword&gt;Male&lt;/keyword&gt;&lt;keyword&gt;Middle Aged&lt;/keyword&gt;&lt;keyword&gt;Morbidity&lt;/keyword&gt;&lt;keyword&gt;Myocardial Ischemia/epidemiology&lt;/keyword&gt;&lt;keyword&gt;Postoperative Complications/epidemiology/mortality&lt;/keyword&gt;&lt;keyword&gt;Prevalence&lt;/keyword&gt;&lt;keyword&gt;Reoperation&lt;/keyword&gt;&lt;keyword&gt;Retrospective Studies&lt;/keyword&gt;&lt;keyword&gt;Risk Factors&lt;/keyword&gt;&lt;keyword&gt;Time Factors&lt;/keyword&gt;&lt;keyword&gt;Transplantation, Homologous&lt;/keyword&gt;&lt;/keywords&gt;&lt;dates&gt;&lt;year&gt;2002&lt;/year&gt;&lt;pub-dates&gt;&lt;date&gt;Mar 27&lt;/date&gt;&lt;/pub-dates&gt;&lt;/dates&gt;&lt;isbn&gt;0041-1337 (Print)&amp;#xD;0041-1337 (Linking)&lt;/isbn&gt;&lt;accession-num&gt;11923689&lt;/accession-num&gt;&lt;urls&gt;&lt;/urls&gt;&lt;/record&gt;&lt;/Cite&gt;&lt;/EndNote&gt;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00830FB9" w:rsidRPr="00B27B47">
        <w:rPr>
          <w:rFonts w:ascii="Book Antiqua" w:eastAsia="Times New Roman" w:hAnsi="Book Antiqua" w:cs="Calibri"/>
          <w:bCs/>
          <w:sz w:val="24"/>
          <w:szCs w:val="24"/>
          <w:vertAlign w:val="superscript"/>
          <w:lang w:val="en-US" w:eastAsia="de-DE"/>
        </w:rPr>
        <w:t>6,</w:t>
      </w:r>
      <w:r w:rsidRPr="00B27B47">
        <w:rPr>
          <w:rFonts w:ascii="Book Antiqua" w:eastAsia="Times New Roman" w:hAnsi="Book Antiqua" w:cs="Calibri"/>
          <w:bCs/>
          <w:sz w:val="24"/>
          <w:szCs w:val="24"/>
          <w:vertAlign w:val="superscript"/>
          <w:lang w:val="en-US" w:eastAsia="de-DE"/>
        </w:rPr>
        <w:t>7</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Optimal follow up of these patients should include continuous observation and management of cardiovascular risk factors such as dyslipidemia.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Post-LT HLP, however, occurs frequently after LT, independent of administration of immunosuppressive agents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&lt;EndNote&gt;&lt;Cite&gt;&lt;Author&gt;Mathe&lt;/Author&gt;&lt;Year&gt;1992&lt;/Year&gt;&lt;RecNum&gt;9&lt;/RecNum&gt;&lt;record&gt;&lt;rec-number&gt;9&lt;/rec-number&gt;&lt;ref-type name="Journal Article"&gt;17&lt;/ref-type&gt;&lt;contributors&gt;&lt;authors&gt;&lt;author&gt;Mathe, D.&lt;/author&gt;&lt;author&gt;Adam, R.&lt;/author&gt;&lt;author&gt;Malmendier, C.&lt;/author&gt;&lt;author&gt;Gigou, M.&lt;/author&gt;&lt;author&gt;Lontie, J. F.&lt;/author&gt;&lt;author&gt;Dubois, D.&lt;/author&gt;&lt;author&gt;Martin, C.&lt;/author&gt;&lt;author&gt;Bismuth, H.&lt;/author&gt;&lt;author&gt;Jacotot, B.&lt;/author&gt;&lt;/authors&gt;&lt;/contributors&gt;&lt;auth-address&gt;Unite de Recherche sur les dylipidemies et l&amp;apos;atherosclerose, INSERM U 32, Hopital H. Mondor, Creteil, France.&lt;/auth-address&gt;&lt;titles&gt;&lt;title&gt;Prevalence of dyslipidemia in liver transplant recipients&lt;/title&gt;&lt;secondary-title&gt;Transplantation&lt;/secondary-title&gt;&lt;/titles&gt;&lt;periodical&gt;&lt;full-title&gt;Transplantation&lt;/full-title&gt;&lt;/periodical&gt;&lt;pages&gt;167-70&lt;/pages&gt;&lt;volume&gt;54&lt;/volume&gt;&lt;number&gt;1&lt;/number&gt;&lt;keywords&gt;&lt;keyword&gt;Adolescent&lt;/keyword&gt;&lt;keyword&gt;Adult&lt;/keyword&gt;&lt;keyword&gt;Apolipoproteins/blood&lt;/keyword&gt;&lt;keyword&gt;Female&lt;/keyword&gt;&lt;keyword&gt;Humans&lt;/keyword&gt;&lt;keyword&gt;Hyperlipidemias/ etiology&lt;/keyword&gt;&lt;keyword&gt;Lipids/blood&lt;/keyword&gt;&lt;keyword&gt;Lipoproteins/blood&lt;/keyword&gt;&lt;keyword&gt;Liver Transplantation/ adverse effects&lt;/keyword&gt;&lt;keyword&gt;Male&lt;/keyword&gt;&lt;keyword&gt;Middle Aged&lt;/keyword&gt;&lt;/keywords&gt;&lt;dates&gt;&lt;year&gt;1992&lt;/year&gt;&lt;pub-dates&gt;&lt;date&gt;Jul&lt;/date&gt;&lt;/pub-dates&gt;&lt;/dates&gt;&lt;isbn&gt;0041-1337 (Print)&amp;#xD;0041-1337 (Linking)&lt;/isbn&gt;&lt;accession-num&gt;1631928&lt;/accession-num&gt;&lt;urls&gt;&lt;/urls&gt;&lt;/record&gt;&lt;/Cite&gt;&lt;/EndNote&gt;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8</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Additional causes of HLP include increased body weight, malnutrition, abnormal renal function, impaired glucose metabolism and genetic predisposition. Since genetically associated HLP also occurs in the general population, HLP may also result from a liver donor carrying, </w:t>
      </w:r>
      <w:r w:rsidRPr="00B27B47">
        <w:rPr>
          <w:rFonts w:ascii="Book Antiqua" w:eastAsia="Times New Roman" w:hAnsi="Book Antiqua" w:cs="Calibri"/>
          <w:bCs/>
          <w:i/>
          <w:sz w:val="24"/>
          <w:szCs w:val="24"/>
          <w:lang w:val="en-US" w:eastAsia="de-DE"/>
        </w:rPr>
        <w:t>e.g.</w:t>
      </w:r>
      <w:r w:rsidRPr="00B27B47">
        <w:rPr>
          <w:rFonts w:ascii="Book Antiqua" w:eastAsia="Times New Roman" w:hAnsi="Book Antiqua" w:cs="Calibri"/>
          <w:bCs/>
          <w:sz w:val="24"/>
          <w:szCs w:val="24"/>
          <w:lang w:val="en-US" w:eastAsia="de-DE"/>
        </w:rPr>
        <w:t>, a low-density lipoprotein-cholesterol (LDL-C) receptor deficient variant or an apolipoprotein E defective variant expressed by the liver</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&lt;EndNote&gt;&lt;Cite&gt;&lt;Author&gt;Marz&lt;/Author&gt;&lt;Year&gt;1993&lt;/Year&gt;&lt;RecNum&gt;16&lt;/RecNum&gt;&lt;record&gt;&lt;rec-number&gt;16&lt;/rec-number&gt;&lt;ref-type name="Journal Article"&gt;17&lt;/ref-type&gt;&lt;contributors&gt;&lt;authors&gt;&lt;author&gt;Marz, W.&lt;/author&gt;&lt;author&gt;Peschke, B.&lt;/author&gt;&lt;author&gt;Ruzicka, V.&lt;/author&gt;&lt;author&gt;Siekmeier, R.&lt;/author&gt;&lt;author&gt;Gross, W.&lt;/author&gt;&lt;author&gt;Schoeppe, W.&lt;/author&gt;&lt;author&gt;Scheuermann, E.&lt;/author&gt;&lt;/authors&gt;&lt;/contributors&gt;&lt;auth-address&gt;Gustav Embden-Centre of Biological Chemistry, J. W. Goethe-University, Frankfurt/Main, Federal Republic of Germany.&lt;/auth-address&gt;&lt;titles&gt;&lt;title&gt;Type III hyperlipoproteinemia acquired by liver transplantation&lt;/title&gt;&lt;secondary-title&gt;Transplantation&lt;/secondary-title&gt;&lt;/titles&gt;&lt;periodical&gt;&lt;full-title&gt;Transplantation&lt;/full-title&gt;&lt;/periodical&gt;&lt;pages&gt;284-8&lt;/pages&gt;&lt;volume&gt;55&lt;/volume&gt;&lt;number&gt;2&lt;/number&gt;&lt;keywords&gt;&lt;keyword&gt;Apolipoproteins E/analysis/genetics&lt;/keyword&gt;&lt;keyword&gt;Female&lt;/keyword&gt;&lt;keyword&gt;Humans&lt;/keyword&gt;&lt;keyword&gt;Hyperlipoproteinemia Type III/ etiology&lt;/keyword&gt;&lt;keyword&gt;Liver Transplantation/ adverse effects&lt;/keyword&gt;&lt;keyword&gt;Middle Aged&lt;/keyword&gt;&lt;keyword&gt;Phenotype&lt;/keyword&gt;&lt;/keywords&gt;&lt;dates&gt;&lt;year&gt;1993&lt;/year&gt;&lt;pub-dates&gt;&lt;date&gt;Feb&lt;/date&gt;&lt;/pub-dates&gt;&lt;/dates&gt;&lt;isbn&gt;0041-1337 (Print)&amp;#xD;0041-1337 (Linking)&lt;/isbn&gt;&lt;accession-num&gt;8434377&lt;/accession-num&gt;&lt;urls&gt;&lt;/urls&gt;&lt;/record&gt;&lt;/Cite&gt;&lt;Cite&gt;&lt;Author&gt;Nikkila&lt;/Author&gt;&lt;RecNum&gt;17&lt;/RecNum&gt;&lt;record&gt;&lt;rec-number&gt;17&lt;/rec-number&gt;&lt;ref-type name="Journal Article"&gt;17&lt;/ref-type&gt;&lt;contributors&gt;&lt;authors&gt;&lt;author&gt;Nikkila, K.&lt;/author&gt;&lt;author&gt;Aberg, F.&lt;/author&gt;&lt;author&gt;Isoniemi, H.&lt;/author&gt;&lt;/authors&gt;&lt;/contributors&gt;&lt;auth-address&gt;Transplantation and Liver Surgery Clinic, Helsinki University Hospital, Helsinki, Finland.&lt;/auth-address&gt;&lt;titles&gt;&lt;title&gt;Transmission of LDLR mutation from donor through liver transplantation resulting in hypercholesterolemia in the recipient&lt;/title&gt;&lt;secondary-title&gt;Am J Transplant&lt;/secondary-title&gt;&lt;/titles&gt;&lt;periodical&gt;&lt;full-title&gt;Am J Transplant&lt;/full-title&gt;&lt;/periodical&gt;&lt;pages&gt;2898-902&lt;/pages&gt;&lt;volume&gt;14&lt;/volume&gt;&lt;number&gt;12&lt;/number&gt;&lt;keywords&gt;&lt;keyword&gt;Clinical research/practice&lt;/keyword&gt;&lt;keyword&gt;disease pathogenesis&lt;/keyword&gt;&lt;keyword&gt;donors and donation&lt;/keyword&gt;&lt;keyword&gt;genetics&lt;/keyword&gt;&lt;keyword&gt;hyperlipidemia&lt;/keyword&gt;&lt;keyword&gt;liver disease: congenital&lt;/keyword&gt;&lt;keyword&gt;liver transplantation/hepatology&lt;/keyword&gt;&lt;keyword&gt;translational research/science&lt;/keyword&gt;&lt;/keywords&gt;&lt;dates&gt;&lt;pub-dates&gt;&lt;date&gt;Dec&lt;/date&gt;&lt;/pub-dates&gt;&lt;/dates&gt;&lt;isbn&gt;1600-6143 (Electronic)&amp;#xD;1600-6135 (Linking)&lt;/isbn&gt;&lt;accession-num&gt;25231171&lt;/accession-num&gt;&lt;urls&gt;&lt;/urls&gt;&lt;/record&gt;&lt;/Cite&gt;&lt;/EndNote&gt;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00830FB9" w:rsidRPr="00B27B47">
        <w:rPr>
          <w:rFonts w:ascii="Book Antiqua" w:eastAsia="Times New Roman" w:hAnsi="Book Antiqua" w:cs="Calibri"/>
          <w:bCs/>
          <w:sz w:val="24"/>
          <w:szCs w:val="24"/>
          <w:vertAlign w:val="superscript"/>
          <w:lang w:val="en-US" w:eastAsia="de-DE"/>
        </w:rPr>
        <w:t>9,</w:t>
      </w:r>
      <w:r w:rsidRPr="00B27B47">
        <w:rPr>
          <w:rFonts w:ascii="Book Antiqua" w:eastAsia="Times New Roman" w:hAnsi="Book Antiqua" w:cs="Calibri"/>
          <w:bCs/>
          <w:sz w:val="24"/>
          <w:szCs w:val="24"/>
          <w:vertAlign w:val="superscript"/>
          <w:lang w:val="en-US" w:eastAsia="de-DE"/>
        </w:rPr>
        <w:t>10</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To date, guidelines have not been formulated for the prevention and treatment of lipid metabolism disorders after LT. Based on the recommendations of the 2011 guidelines formulated by the Task Force for the management of dyslipidemias of the European Society of Cardiology (ESC) </w:t>
      </w:r>
      <w:r w:rsidRPr="00B27B47">
        <w:rPr>
          <w:rFonts w:ascii="Book Antiqua" w:eastAsia="Times New Roman" w:hAnsi="Book Antiqua" w:cs="Calibri"/>
          <w:bCs/>
          <w:sz w:val="24"/>
          <w:szCs w:val="24"/>
          <w:lang w:val="en-US" w:eastAsia="de-DE"/>
        </w:rPr>
        <w:lastRenderedPageBreak/>
        <w:t>and the European Atherosclerosis Society (EAS)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&lt;EndNote&gt;&lt;Cite&gt;&lt;Author&gt;Catapano&lt;/Author&gt;&lt;RecNum&gt;51&lt;/RecNum&gt;&lt;record&gt;&lt;rec-number&gt;51&lt;/rec-number&gt;&lt;ref-type name="Journal Article"&gt;17&lt;/ref-type&gt;&lt;contributors&gt;&lt;authors&gt;&lt;author&gt;Catapano, A. L.&lt;/author&gt;&lt;author&gt;Reiner, Z.&lt;/author&gt;&lt;author&gt;De Backer, G.&lt;/author&gt;&lt;author&gt;Graham, I.&lt;/author&gt;&lt;author&gt;Taskinen, M. R.&lt;/author&gt;&lt;author&gt;Wiklund, O.&lt;/author&gt;&lt;author&gt;Agewall, S.&lt;/author&gt;&lt;author&gt;Alegria, E.&lt;/author&gt;&lt;author&gt;Chapman, M. J.&lt;/author&gt;&lt;author&gt;Durrington, P.&lt;/author&gt;&lt;author&gt;Erdine, S.&lt;/author&gt;&lt;author&gt;Halcox, J.&lt;/author&gt;&lt;author&gt;Hobbs, R.&lt;/author&gt;&lt;author&gt;Kjekshus, J.&lt;/author&gt;&lt;author&gt;Perrone Filardi, P.&lt;/author&gt;&lt;author&gt;Riccardi, G.&lt;/author&gt;&lt;author&gt;Storey, R. F.&lt;/author&gt;&lt;author&gt;Wood, D.&lt;/author&gt;&lt;/authors&gt;&lt;/contributors&gt;&lt;titles&gt;&lt;title&gt;ESC/EAS Guidelines for the management of dyslipidaemias: the Task Force for the management of dyslipidaemias of the European Society of Cardiology (ESC) and the European Atherosclerosis Society (EAS)&lt;/title&gt;&lt;secondary-title&gt;Atherosclerosis&lt;/secondary-title&gt;&lt;/titles&gt;&lt;periodical&gt;&lt;full-title&gt;Atherosclerosis&lt;/full-title&gt;&lt;/periodical&gt;&lt;pages&gt;S1-44&lt;/pages&gt;&lt;volume&gt;217 Suppl 1&lt;/volume&gt;&lt;keywords&gt;&lt;keyword&gt;Adolescent&lt;/keyword&gt;&lt;keyword&gt;Adult&lt;/keyword&gt;&lt;keyword&gt;Aged&lt;/keyword&gt;&lt;keyword&gt;Atherosclerosis/ therapy&lt;/keyword&gt;&lt;keyword&gt;Cardiology/ methods&lt;/keyword&gt;&lt;keyword&gt;Cardiovascular Diseases/therapy&lt;/keyword&gt;&lt;keyword&gt;Child&lt;/keyword&gt;&lt;keyword&gt;Cholesterol/metabolism&lt;/keyword&gt;&lt;keyword&gt;Clinical Trials as Topic&lt;/keyword&gt;&lt;keyword&gt;Dyslipidemias/ therapy&lt;/keyword&gt;&lt;keyword&gt;Europe&lt;/keyword&gt;&lt;keyword&gt;Female&lt;/keyword&gt;&lt;keyword&gt;Genotype&lt;/keyword&gt;&lt;keyword&gt;Humans&lt;/keyword&gt;&lt;keyword&gt;Life Style&lt;/keyword&gt;&lt;keyword&gt;Lipids/blood&lt;/keyword&gt;&lt;keyword&gt;Lipoproteins/metabolism&lt;/keyword&gt;&lt;keyword&gt;Male&lt;/keyword&gt;&lt;keyword&gt;Middle Aged&lt;/keyword&gt;&lt;keyword&gt;Practice Guidelines as Topic&lt;/keyword&gt;&lt;keyword&gt;Societies, Medical&lt;/keyword&gt;&lt;/keywords&gt;&lt;dates&gt;&lt;pub-dates&gt;&lt;date&gt;Jul&lt;/date&gt;&lt;/pub-dates&gt;&lt;/dates&gt;&lt;isbn&gt;1879-1484 (Electronic)&amp;#xD;0021-9150 (Linking)&lt;/isbn&gt;&lt;accession-num&gt;21723445&lt;/accession-num&gt;&lt;urls&gt;&lt;/urls&gt;&lt;/record&gt;&lt;/Cite&gt;&lt;/EndNote&gt;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11</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in addition to the guidelines of the American College of Cardiology (ACC) and the American Heart Association</w:t>
      </w:r>
      <w:r w:rsidRPr="00B27B47" w:rsidDel="00425646">
        <w:rPr>
          <w:rFonts w:ascii="Book Antiqua" w:eastAsia="Times New Roman" w:hAnsi="Book Antiqua" w:cs="Calibri"/>
          <w:bCs/>
          <w:sz w:val="24"/>
          <w:szCs w:val="24"/>
          <w:lang w:val="en-US" w:eastAsia="de-DE"/>
        </w:rPr>
        <w:t xml:space="preserve"> </w:t>
      </w:r>
      <w:r w:rsidRPr="00B27B47">
        <w:rPr>
          <w:rFonts w:ascii="Book Antiqua" w:eastAsia="Times New Roman" w:hAnsi="Book Antiqua" w:cs="Calibri"/>
          <w:bCs/>
          <w:sz w:val="24"/>
          <w:szCs w:val="24"/>
          <w:lang w:val="en-US" w:eastAsia="de-DE"/>
        </w:rPr>
        <w:t>(AHA)</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&lt;EndNote&gt;&lt;Cite&gt;&lt;Author&gt;Stone&lt;/Author&gt;&lt;RecNum&gt;54&lt;/RecNum&gt;&lt;record&gt;&lt;rec-number&gt;54&lt;/rec-number&gt;&lt;ref-type name="Journal Article"&gt;17&lt;/ref-type&gt;&lt;contributors&gt;&lt;authors&gt;&lt;author&gt;Stone, N. J.&lt;/author&gt;&lt;author&gt;Robinson, J. G.&lt;/author&gt;&lt;author&gt;Lichtenstein, A. H.&lt;/author&gt;&lt;author&gt;Goff, D. C., Jr.&lt;/author&gt;&lt;author&gt;Lloyd-Jones, D. M.&lt;/author&gt;&lt;author&gt;Smith, S. C., Jr.&lt;/author&gt;&lt;author&gt;Blum, C.&lt;/author&gt;&lt;author&gt;Schwartz, J. S.&lt;/author&gt;&lt;/authors&gt;&lt;/contributors&gt;&lt;titles&gt;&lt;title&gt;Treatment of blood cholesterol to reduce atherosclerotic cardiovascular disease risk in adults: synopsis of the 2013 American College of Cardiology/American Heart Association cholesterol guideline&lt;/title&gt;&lt;secondary-title&gt;Ann Intern Med&lt;/secondary-title&gt;&lt;/titles&gt;&lt;pages&gt;339-43&lt;/pages&gt;&lt;volume&gt;160&lt;/volume&gt;&lt;number&gt;5&lt;/number&gt;&lt;keywords&gt;&lt;keyword&gt;Cholesterol, HDL/blood&lt;/keyword&gt;&lt;keyword&gt;Cholesterol, LDL/blood&lt;/keyword&gt;&lt;keyword&gt;Coronary Artery Disease/ prevention &amp;amp; control&lt;/keyword&gt;&lt;keyword&gt;Humans&lt;/keyword&gt;&lt;keyword&gt;Hydroxymethylglutaryl-CoA Reductase Inhibitors/therapeutic use&lt;/keyword&gt;&lt;keyword&gt;Hypercholesterolemia/blood/ drug therapy&lt;/keyword&gt;&lt;keyword&gt;Life Style&lt;/keyword&gt;&lt;keyword&gt;Monitoring, Physiologic&lt;/keyword&gt;&lt;keyword&gt;Risk Factors&lt;/keyword&gt;&lt;/keywords&gt;&lt;dates&gt;&lt;pub-dates&gt;&lt;date&gt;Mar 4&lt;/date&gt;&lt;/pub-dates&gt;&lt;/dates&gt;&lt;isbn&gt;1539-3704 (Electronic)&amp;#xD;0003-4819 (Linking)&lt;/isbn&gt;&lt;accession-num&gt;24474185&lt;/accession-num&gt;&lt;urls&gt;&lt;/urls&gt;&lt;/record&gt;&lt;/Cite&gt;&lt;/EndNote&gt;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12</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and our practical experience treating LT recipients, we here propose strategies to manage dyslipidemia in this patient population. </w:t>
      </w:r>
    </w:p>
    <w:p w:rsidR="000F7598" w:rsidRPr="00B27B47" w:rsidRDefault="000F7598" w:rsidP="003E1943">
      <w:pPr>
        <w:adjustRightInd w:val="0"/>
        <w:snapToGrid w:val="0"/>
        <w:spacing w:after="0" w:line="360" w:lineRule="auto"/>
        <w:jc w:val="both"/>
        <w:rPr>
          <w:rFonts w:ascii="Book Antiqua" w:eastAsia="Times New Roman" w:hAnsi="Book Antiqua" w:cs="Calibri"/>
          <w:b/>
          <w:bCs/>
          <w:sz w:val="24"/>
          <w:szCs w:val="24"/>
          <w:lang w:val="en-US" w:eastAsia="de-DE"/>
        </w:rPr>
      </w:pPr>
    </w:p>
    <w:p w:rsidR="000F7598" w:rsidRPr="00B27B47" w:rsidRDefault="00830FB9" w:rsidP="003E1943">
      <w:pPr>
        <w:adjustRightInd w:val="0"/>
        <w:snapToGrid w:val="0"/>
        <w:spacing w:after="0" w:line="360" w:lineRule="auto"/>
        <w:jc w:val="both"/>
        <w:rPr>
          <w:rFonts w:ascii="Book Antiqua" w:hAnsi="Book Antiqua" w:cs="Calibri"/>
          <w:b/>
          <w:bCs/>
          <w:i/>
          <w:sz w:val="24"/>
          <w:szCs w:val="24"/>
          <w:lang w:val="en-US" w:eastAsia="zh-CN"/>
        </w:rPr>
      </w:pPr>
      <w:r w:rsidRPr="00B27B47">
        <w:rPr>
          <w:rFonts w:ascii="Book Antiqua" w:eastAsia="Times New Roman" w:hAnsi="Book Antiqua" w:cs="Calibri"/>
          <w:b/>
          <w:bCs/>
          <w:i/>
          <w:sz w:val="24"/>
          <w:szCs w:val="24"/>
          <w:lang w:val="en-US" w:eastAsia="de-DE"/>
        </w:rPr>
        <w:t>HLP classification</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Various types of HLP have been identified, including HLP with increased triglycerides (hypertriglyceridemia), HLP with high LDL-C (hypercholesterolemia) and their combination, HLP with both hypertriglyceridemia and hypercholesterolemia. Statin treatment should be tailored to the type of HLP, as these agents, when administered independent of the type of HLP, may result in reduced efficacy and metabolic control, a secondary increase in triglycerides, and increased side effects. </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830FB9" w:rsidP="003E1943">
      <w:pPr>
        <w:adjustRightInd w:val="0"/>
        <w:snapToGrid w:val="0"/>
        <w:spacing w:after="0" w:line="360" w:lineRule="auto"/>
        <w:jc w:val="both"/>
        <w:rPr>
          <w:rFonts w:ascii="Book Antiqua" w:hAnsi="Book Antiqua" w:cs="Calibri"/>
          <w:b/>
          <w:bCs/>
          <w:i/>
          <w:sz w:val="24"/>
          <w:szCs w:val="24"/>
          <w:lang w:val="en-US" w:eastAsia="zh-CN"/>
        </w:rPr>
      </w:pPr>
      <w:r w:rsidRPr="00B27B47">
        <w:rPr>
          <w:rFonts w:ascii="Book Antiqua" w:eastAsia="Times New Roman" w:hAnsi="Book Antiqua" w:cs="Calibri"/>
          <w:b/>
          <w:bCs/>
          <w:i/>
          <w:sz w:val="24"/>
          <w:szCs w:val="24"/>
          <w:lang w:val="en-US" w:eastAsia="de-DE"/>
        </w:rPr>
        <w:t>LDL-C and atherogenesis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Epidemiological studies have shown that HLP with high serum LDL-C is a particular risk factor for the development of atherosclerosis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&lt;EndNote&gt;&lt;Cite&gt;&lt;Author&gt;Stamler&lt;/Author&gt;&lt;Year&gt;1986&lt;/Year&gt;&lt;RecNum&gt;11&lt;/RecNum&gt;&lt;record&gt;&lt;rec-number&gt;11&lt;/rec-number&gt;&lt;ref-type name='Journal Article'&gt;17&lt;/ref-type&gt;&lt;contributors&gt;&lt;authors&gt;&lt;author&gt;Stamler, J.&lt;/author&gt;&lt;author&gt;Wentworth, D.&lt;/author&gt;&lt;author&gt;Neaton, J. D.&lt;/author&gt;&lt;/authors&gt;&lt;/contributors&gt;&lt;titles&gt;&lt;title&gt;Is relationship between serum cholesterol and risk of premature death from coronary heart disease continuous and graded? Findings in 356,222 primary screenees of the Multiple Risk Factor Intervention Trial (MRFIT)&lt;/title&gt;&lt;secondary-title&gt;Jama&lt;/secondary-title&gt;&lt;/titles&gt;&lt;periodical&gt;&lt;full-title&gt;Jama&lt;/full-title&gt;&lt;/periodical&gt;&lt;pages&gt;2823-8&lt;/pages&gt;&lt;volume&gt;256&lt;/volume&gt;&lt;number&gt;20&lt;/number&gt;&lt;keywords&gt;&lt;keyword&gt;Adult&lt;/keyword&gt;&lt;keyword&gt;Age Factors&lt;/keyword&gt;&lt;keyword&gt;Blood Pressure&lt;/keyword&gt;&lt;keyword&gt;Cholesterol/ blood&lt;/keyword&gt;&lt;keyword&gt;Coronary Disease/ blood/mortality&lt;/keyword&gt;&lt;keyword&gt;Humans&lt;/keyword&gt;&lt;keyword&gt;Male&lt;/keyword&gt;&lt;keyword&gt;Mass Screening&lt;/keyword&gt;&lt;keyword&gt;Middle Aged&lt;/keyword&gt;&lt;keyword&gt;Risk&lt;/keyword&gt;&lt;keyword&gt;Smoking&lt;/keyword&gt;&lt;keyword&gt;United States&lt;/keyword&gt;&lt;/keywords&gt;&lt;dates&gt;&lt;year&gt;1986&lt;/year&gt;&lt;pub-dates&gt;&lt;date&gt;Nov 28&lt;/date&gt;&lt;/pub-dates&gt;&lt;/dates&gt;&lt;isbn&gt;0098-7484 (Print)&amp;#xD;0098-7484 (Linking)&lt;/isbn&gt;&lt;accession-num&gt;3773199&lt;/accession-num&gt;&lt;urls&gt;&lt;/urls&gt;&lt;/record&gt;&lt;/Cite&gt;&lt;Cite&gt;&lt;Author&gt;Schmidt&lt;/Author&gt;&lt;Year&gt;1996&lt;/Year&gt;&lt;RecNum&gt;22&lt;/RecNum&gt;&lt;record&gt;&lt;rec-number&gt;22&lt;/rec-number&gt;&lt;ref-type name="Journal Article"&gt;17&lt;/ref-type&gt;&lt;contributors&gt;&lt;authors&gt;&lt;author&gt;Schmidt, H. H.&lt;/author&gt;&lt;author&gt;Hill, S.&lt;/author&gt;&lt;author&gt;Makariou, E. V.&lt;/author&gt;&lt;author&gt;Feuerstein, I. M.&lt;/author&gt;&lt;author&gt;Dugi, K. A.&lt;/author&gt;&lt;author&gt;Hoeg, J. M.&lt;/author&gt;&lt;/authors&gt;&lt;/contributors&gt;&lt;auth-address&gt;Molecular Disease Branch of the National Heart, Lung, and Blood Institute, National Institutes of Health, Bethesda, Maryland 20892, USA.&lt;/auth-address&gt;&lt;titles&gt;&lt;title&gt;Relation of cholesterol-year score to severity of calcific atherosclerosis and tissue deposition in homozygous familial hypercholesterolemia&lt;/title&gt;&lt;secondary-title&gt;Am J Cardiol&lt;/secondary-title&gt;&lt;/titles&gt;&lt;periodical&gt;&lt;full-title&gt;Am J Cardiol&lt;/full-title&gt;&lt;/periodical&gt;&lt;pages&gt;575-80&lt;/pages&gt;&lt;volume&gt;77&lt;/volume&gt;&lt;number&gt;8&lt;/number&gt;&lt;keywords&gt;&lt;keyword&gt;Achilles Tendon/ pathology&lt;/keyword&gt;&lt;keyword&gt;Adolescent&lt;/keyword&gt;&lt;keyword&gt;Adult&lt;/keyword&gt;&lt;keyword&gt;Arteriosclerosis/ pathology&lt;/keyword&gt;&lt;keyword&gt;Calcinosis/ pathology&lt;/keyword&gt;&lt;keyword&gt;Child&lt;/keyword&gt;&lt;keyword&gt;Child, Preschool&lt;/keyword&gt;&lt;keyword&gt;Cholesterol/blood&lt;/keyword&gt;&lt;keyword&gt;Female&lt;/keyword&gt;&lt;keyword&gt;Humans&lt;/keyword&gt;&lt;keyword&gt;Hyperlipoproteinemia Type II/ pathology&lt;/keyword&gt;&lt;keyword&gt;Male&lt;/keyword&gt;&lt;keyword&gt;Middle Aged&lt;/keyword&gt;&lt;keyword&gt;Prospective Studies&lt;/keyword&gt;&lt;keyword&gt;Regression Analysis&lt;/keyword&gt;&lt;keyword&gt;Tomography&lt;/keyword&gt;&lt;keyword&gt;Xanthomatosis/ pathology&lt;/keyword&gt;&lt;/keywords&gt;&lt;dates&gt;&lt;year&gt;1996&lt;/year&gt;&lt;pub-dates&gt;&lt;date&gt;Mar 15&lt;/date&gt;&lt;/pub-dates&gt;&lt;/dates&gt;&lt;isbn&gt;0002-9149 (Print)&amp;#xD;0002-9149 (Linking)&lt;/isbn&gt;&lt;accession-num&gt;8610605&lt;/accession-num&gt;&lt;urls&gt;&lt;/urls&gt;&lt;/record&gt;&lt;/Cite&gt;&lt;/EndNote&gt;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00830FB9" w:rsidRPr="00B27B47">
        <w:rPr>
          <w:rFonts w:ascii="Book Antiqua" w:eastAsia="Times New Roman" w:hAnsi="Book Antiqua" w:cs="Calibri"/>
          <w:bCs/>
          <w:sz w:val="24"/>
          <w:szCs w:val="24"/>
          <w:vertAlign w:val="superscript"/>
          <w:lang w:val="en-US" w:eastAsia="de-DE"/>
        </w:rPr>
        <w:t>13,</w:t>
      </w:r>
      <w:r w:rsidRPr="00B27B47">
        <w:rPr>
          <w:rFonts w:ascii="Book Antiqua" w:eastAsia="Times New Roman" w:hAnsi="Book Antiqua" w:cs="Calibri"/>
          <w:bCs/>
          <w:sz w:val="24"/>
          <w:szCs w:val="24"/>
          <w:vertAlign w:val="superscript"/>
          <w:lang w:val="en-US" w:eastAsia="de-DE"/>
        </w:rPr>
        <w:t>14</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Table 1 shows the relationship between LDL-C concentrations and potential atherogenicity in the general population. Indications for treatment of LT recipients with lipid lowering drugs depend on each patient’s individual risk profile.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Cardiovascular risk shows a greater association with serum LDL-C than total cholesterol concentrations. Hypercholesterolemia may also be due to increases in serum high density lipoprotein-cholesterol (HDL-C) concentrations, which have no clinical relevance.</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Alterations in diet may show have moderate effects on serum LDL-C concentrations, but they are often not sufficient. Familial hypercholesterolemia, for example, does not significantly respond to dietary approaches. Cardiovascular events such as myocardial infarction can occur as early as the fourth to sixth decade of life in the absence of lipid lowering treatment. Most trials of lipid-lowering agents have assessed response to therapy by measuring serum LDL-C concentrations, indicating the importance of reducing serum LDL-C concentrations in managing dyslipidemia. A meta-analysis by the Cholesterol Treatment Trialists' Collaboration </w:t>
      </w:r>
      <w:r w:rsidRPr="00B27B47">
        <w:rPr>
          <w:rFonts w:ascii="Book Antiqua" w:eastAsia="Times New Roman" w:hAnsi="Book Antiqua" w:cs="Calibri"/>
          <w:bCs/>
          <w:sz w:val="24"/>
          <w:szCs w:val="24"/>
          <w:lang w:val="en-US" w:eastAsia="de-DE"/>
        </w:rPr>
        <w:lastRenderedPageBreak/>
        <w:t>(CTT) of several trials involving &gt;</w:t>
      </w:r>
      <w:r w:rsidR="00830FB9" w:rsidRPr="00B27B47">
        <w:rPr>
          <w:rFonts w:ascii="Book Antiqua" w:hAnsi="Book Antiqua" w:cs="Calibri" w:hint="eastAsia"/>
          <w:bCs/>
          <w:sz w:val="24"/>
          <w:szCs w:val="24"/>
          <w:lang w:val="en-US" w:eastAsia="zh-CN"/>
        </w:rPr>
        <w:t xml:space="preserve"> </w:t>
      </w:r>
      <w:r w:rsidR="00830FB9" w:rsidRPr="00B27B47">
        <w:rPr>
          <w:rFonts w:ascii="Book Antiqua" w:eastAsia="Times New Roman" w:hAnsi="Book Antiqua" w:cs="Calibri"/>
          <w:bCs/>
          <w:sz w:val="24"/>
          <w:szCs w:val="24"/>
          <w:lang w:val="en-US" w:eastAsia="de-DE"/>
        </w:rPr>
        <w:t>170</w:t>
      </w:r>
      <w:r w:rsidRPr="00B27B47">
        <w:rPr>
          <w:rFonts w:ascii="Book Antiqua" w:eastAsia="Times New Roman" w:hAnsi="Book Antiqua" w:cs="Calibri"/>
          <w:bCs/>
          <w:sz w:val="24"/>
          <w:szCs w:val="24"/>
          <w:lang w:val="en-US" w:eastAsia="de-DE"/>
        </w:rPr>
        <w:t>000 patients also showed that lowering LDL-C concentration reduced the risk of cardiovascular disease (CVD)</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&lt;EndNote&gt;&lt;Cite&gt;&lt;Author&gt;Baigent&lt;/Author&gt;&lt;RecNum&gt;76&lt;/RecNum&gt;&lt;record&gt;&lt;rec-number&gt;76&lt;/rec-number&gt;&lt;ref-type name="Journal Article"&gt;17&lt;/ref-type&gt;&lt;contributors&gt;&lt;authors&gt;&lt;author&gt;Baigent, C.&lt;/author&gt;&lt;author&gt;Blackwell, L.&lt;/author&gt;&lt;author&gt;Emberson, J.&lt;/author&gt;&lt;author&gt;Holland, L. E.&lt;/author&gt;&lt;author&gt;Reith, C.&lt;/author&gt;&lt;author&gt;Bhala, N.&lt;/author&gt;&lt;author&gt;Peto, R.&lt;/author&gt;&lt;author&gt;Barnes, E. H.&lt;/author&gt;&lt;author&gt;Keech, A.&lt;/author&gt;&lt;author&gt;Simes, J.&lt;/author&gt;&lt;author&gt;Collins, R.&lt;/author&gt;&lt;/authors&gt;&lt;/contributors&gt;&lt;auth-address&gt;Clinical Trial Service Unit and Epidemiological Studies Unit(CTSU), Richard Doll Building, Old Road Campus, Roosevelt Drive, Oxford OX3 7LF, UK.&lt;/auth-address&gt;&lt;titles&gt;&lt;title&gt;Efficacy and safety of more intensive lowering of LDL cholesterol: a meta-analysis of data from 170,000 participants in 26 randomised trials&lt;/title&gt;&lt;secondary-title&gt;Lancet&lt;/secondary-title&gt;&lt;/titles&gt;&lt;periodical&gt;&lt;full-title&gt;Lancet&lt;/full-title&gt;&lt;/periodical&gt;&lt;pages&gt;1670-81&lt;/pages&gt;&lt;volume&gt;376&lt;/volume&gt;&lt;number&gt;9753&lt;/number&gt;&lt;keywords&gt;&lt;keyword&gt;Cholesterol, LDL/ blood&lt;/keyword&gt;&lt;keyword&gt;Coronary Disease/mortality/prevention &amp;amp; control&lt;/keyword&gt;&lt;keyword&gt;Humans&lt;/keyword&gt;&lt;keyword&gt;Hydroxymethylglutaryl-CoA Reductase Inhibitors/ administration &amp;amp; dosage/adverse&lt;/keyword&gt;&lt;keyword&gt;effects&lt;/keyword&gt;&lt;keyword&gt;Myocardial Infarction/prevention &amp;amp; control&lt;/keyword&gt;&lt;keyword&gt;Randomized Controlled Trials as Topic&lt;/keyword&gt;&lt;keyword&gt;Stroke/prevention &amp;amp; control&lt;/keyword&gt;&lt;/keywords&gt;&lt;dates&gt;&lt;pub-dates&gt;&lt;date&gt;Nov 13&lt;/date&gt;&lt;/pub-dates&gt;&lt;/dates&gt;&lt;isbn&gt;1474-547X (Electronic)&amp;#xD;0140-6736 (Linking)&lt;/isbn&gt;&lt;accession-num&gt;21067804&lt;/accession-num&gt;&lt;urls&gt;&lt;/urls&gt;&lt;/record&gt;&lt;/Cite&gt;&lt;/EndNote&gt;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15</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Moreover, reducing LDL-C concentration to below 1.8 mmol/L (below </w:t>
      </w:r>
      <w:r w:rsidRPr="00B27B47">
        <w:rPr>
          <w:rFonts w:ascii="Cambria Math" w:eastAsia="Times New Roman" w:hAnsi="Cambria Math" w:cs="Cambria Math"/>
          <w:bCs/>
          <w:sz w:val="24"/>
          <w:szCs w:val="24"/>
          <w:lang w:val="en-US" w:eastAsia="de-DE"/>
        </w:rPr>
        <w:t>∼</w:t>
      </w:r>
      <w:r w:rsidRPr="00B27B47">
        <w:rPr>
          <w:rFonts w:ascii="Book Antiqua" w:eastAsia="Times New Roman" w:hAnsi="Book Antiqua" w:cs="Calibri"/>
          <w:bCs/>
          <w:sz w:val="24"/>
          <w:szCs w:val="24"/>
          <w:lang w:val="en-US" w:eastAsia="de-DE"/>
        </w:rPr>
        <w:t>70 mg/dL), or to &lt;</w:t>
      </w:r>
      <w:r w:rsidR="00830FB9"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50% of baseline, was optimal in reducing the risk of CVD</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&lt;EndNote&gt;&lt;Cite&gt;&lt;Author&gt;Baigent&lt;/Author&gt;&lt;RecNum&gt;76&lt;/RecNum&gt;&lt;record&gt;&lt;rec-number&gt;76&lt;/rec-number&gt;&lt;ref-type name="Journal Article"&gt;17&lt;/ref-type&gt;&lt;contributors&gt;&lt;authors&gt;&lt;author&gt;Baigent, C.&lt;/author&gt;&lt;author&gt;Blackwell, L.&lt;/author&gt;&lt;author&gt;Emberson, J.&lt;/author&gt;&lt;author&gt;Holland, L. E.&lt;/author&gt;&lt;author&gt;Reith, C.&lt;/author&gt;&lt;author&gt;Bhala, N.&lt;/author&gt;&lt;author&gt;Peto, R.&lt;/author&gt;&lt;author&gt;Barnes, E. H.&lt;/author&gt;&lt;author&gt;Keech, A.&lt;/author&gt;&lt;author&gt;Simes, J.&lt;/author&gt;&lt;author&gt;Collins, R.&lt;/author&gt;&lt;/authors&gt;&lt;/contributors&gt;&lt;auth-address&gt;Clinical Trial Service Unit and Epidemiological Studies Unit(CTSU), Richard Doll Building, Old Road Campus, Roosevelt Drive, Oxford OX3 7LF, UK.&lt;/auth-address&gt;&lt;titles&gt;&lt;title&gt;Efficacy and safety of more intensive lowering of LDL cholesterol: a meta-analysis of data from 170,000 participants in 26 randomised trials&lt;/title&gt;&lt;secondary-title&gt;Lancet&lt;/secondary-title&gt;&lt;/titles&gt;&lt;periodical&gt;&lt;full-title&gt;Lancet&lt;/full-title&gt;&lt;/periodical&gt;&lt;pages&gt;1670-81&lt;/pages&gt;&lt;volume&gt;376&lt;/volume&gt;&lt;number&gt;9753&lt;/number&gt;&lt;keywords&gt;&lt;keyword&gt;Cholesterol, LDL/ blood&lt;/keyword&gt;&lt;keyword&gt;Coronary Disease/mortality/prevention &amp;amp; control&lt;/keyword&gt;&lt;keyword&gt;Humans&lt;/keyword&gt;&lt;keyword&gt;Hydroxymethylglutaryl-CoA Reductase Inhibitors/ administration &amp;amp; dosage/adverse&lt;/keyword&gt;&lt;keyword&gt;effects&lt;/keyword&gt;&lt;keyword&gt;Myocardial Infarction/prevention &amp;amp; control&lt;/keyword&gt;&lt;keyword&gt;Randomized Controlled Trials as Topic&lt;/keyword&gt;&lt;keyword&gt;Stroke/prevention &amp;amp; control&lt;/keyword&gt;&lt;/keywords&gt;&lt;dates&gt;&lt;pub-dates&gt;&lt;date&gt;Nov 13&lt;/date&gt;&lt;/pub-dates&gt;&lt;/dates&gt;&lt;isbn&gt;1474-547X (Electronic)&amp;#xD;0140-6736 (Linking)&lt;/isbn&gt;&lt;accession-num&gt;21067804&lt;/accession-num&gt;&lt;urls&gt;&lt;/urls&gt;&lt;/record&gt;&lt;/Cite&gt;&lt;/EndNote&gt;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15</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w:t>
      </w:r>
      <w:r w:rsidR="00307FD3" w:rsidRPr="00B27B47">
        <w:rPr>
          <w:rFonts w:ascii="Book Antiqua" w:eastAsia="Times New Roman" w:hAnsi="Book Antiqua" w:cs="Calibri"/>
          <w:bCs/>
          <w:sz w:val="24"/>
          <w:szCs w:val="24"/>
          <w:lang w:val="en-US" w:eastAsia="de-DE"/>
        </w:rPr>
        <w:t xml:space="preserve"> </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830FB9" w:rsidP="003E1943">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 xml:space="preserve">HYPERTRIGLYCERIDEMIA AND ITS METABOLIC IMPACT </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Metabolic complications occur frequently in patients with hypertriglyceridemia, with long-term hypertriglyceridemia often causing lipomatosis of the liver and pancreas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&lt;EndNote&gt;&lt;Cite&gt;&lt;Author&gt;Lee&lt;/Author&gt;&lt;Year&gt;2009&lt;/Year&gt;&lt;RecNum&gt;7&lt;/RecNum&gt;&lt;record&gt;&lt;rec-number&gt;7&lt;/rec-number&gt;&lt;ref-type name="Journal Article"&gt;17&lt;/ref-type&gt;&lt;contributors&gt;&lt;authors&gt;&lt;author&gt;Lee, J. S.&lt;/author&gt;&lt;author&gt;Kim, S. H.&lt;/author&gt;&lt;author&gt;Jun, D. W.&lt;/author&gt;&lt;author&gt;Han, J. H.&lt;/author&gt;&lt;author&gt;Jang, E. C.&lt;/author&gt;&lt;author&gt;Park, J. Y.&lt;/author&gt;&lt;author&gt;Son, B. K.&lt;/author&gt;&lt;author&gt;Kim, S. H.&lt;/author&gt;&lt;author&gt;Jo, Y. J.&lt;/author&gt;&lt;author&gt;Park, Y. S.&lt;/author&gt;&lt;author&gt;Kim, Y. S.&lt;/author&gt;&lt;/authors&gt;&lt;/contributors&gt;&lt;auth-address&gt;Department of Department of Internal Medicine, Eulji University School of Medicine, Nowon-gu, Seoul, South Korea.&lt;/auth-address&gt;&lt;titles&gt;&lt;title&gt;Clinical implications of fatty pancreas: correlations between fatty pancreas and metabolic syndrome&lt;/title&gt;&lt;secondary-title&gt;World J Gastroenterol&lt;/secondary-title&gt;&lt;/titles&gt;&lt;periodical&gt;&lt;full-title&gt;World J Gastroenterol&lt;/full-title&gt;&lt;/periodical&gt;&lt;pages&gt;1869-75&lt;/pages&gt;&lt;volume&gt;15&lt;/volume&gt;&lt;number&gt;15&lt;/number&gt;&lt;keywords&gt;&lt;keyword&gt;Adult&lt;/keyword&gt;&lt;keyword&gt;Animals&lt;/keyword&gt;&lt;keyword&gt;Fatty Liver/pathology/ultrasonography&lt;/keyword&gt;&lt;keyword&gt;Female&lt;/keyword&gt;&lt;keyword&gt;Humans&lt;/keyword&gt;&lt;keyword&gt;Insulin Resistance&lt;/keyword&gt;&lt;keyword&gt;Intra-Abdominal Fat/metabolism/pathology/ultrasonography&lt;/keyword&gt;&lt;keyword&gt;Lipid Metabolism&lt;/keyword&gt;&lt;keyword&gt;Male&lt;/keyword&gt;&lt;keyword&gt;Metabolic Syndrome X/pathology/physiopathology/ultrasonography&lt;/keyword&gt;&lt;keyword&gt;Middle Aged&lt;/keyword&gt;&lt;keyword&gt;Pancreas/pathology/ultrasonography&lt;/keyword&gt;&lt;keyword&gt;Pancreatic Diseases/pathology/physiopathology/ultrasonography&lt;/keyword&gt;&lt;keyword&gt;Regression Analysis&lt;/keyword&gt;&lt;keyword&gt;Tomography, X-Ray Computed&lt;/keyword&gt;&lt;/keywords&gt;&lt;dates&gt;&lt;year&gt;2009&lt;/year&gt;&lt;pub-dates&gt;&lt;date&gt;Apr 21&lt;/date&gt;&lt;/pub-dates&gt;&lt;/dates&gt;&lt;isbn&gt;2219-2840 (Electronic)&amp;#xD;1007-9327 (Linking)&lt;/isbn&gt;&lt;accession-num&gt;19370785&lt;/accession-num&gt;&lt;urls&gt;&lt;/urls&gt;&lt;/record&gt;&lt;/Cite&gt;&lt;/EndNote&gt;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16</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These pathological alterations may impair glucose metabolism, especially peripheral insulin resistance, resulting in diabetes mellitus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&lt;EndNote&gt;&lt;Cite&gt;&lt;Author&gt;Lee&lt;/Author&gt;&lt;Year&gt;2009&lt;/Year&gt;&lt;RecNum&gt;7&lt;/RecNum&gt;&lt;record&gt;&lt;rec-number&gt;7&lt;/rec-number&gt;&lt;ref-type name="Journal Article"&gt;17&lt;/ref-type&gt;&lt;contributors&gt;&lt;authors&gt;&lt;author&gt;Lee, J. S.&lt;/author&gt;&lt;author&gt;Kim, S. H.&lt;/author&gt;&lt;author&gt;Jun, D. W.&lt;/author&gt;&lt;author&gt;Han, J. H.&lt;/author&gt;&lt;author&gt;Jang, E. C.&lt;/author&gt;&lt;author&gt;Park, J. Y.&lt;/author&gt;&lt;author&gt;Son, B. K.&lt;/author&gt;&lt;author&gt;Kim, S. H.&lt;/author&gt;&lt;author&gt;Jo, Y. J.&lt;/author&gt;&lt;author&gt;Park, Y. S.&lt;/author&gt;&lt;author&gt;Kim, Y. S.&lt;/author&gt;&lt;/authors&gt;&lt;/contributors&gt;&lt;auth-address&gt;Department of Department of Internal Medicine, Eulji University School of Medicine, Nowon-gu, Seoul, South Korea.&lt;/auth-address&gt;&lt;titles&gt;&lt;title&gt;Clinical implications of fatty pancreas: correlations between fatty pancreas and metabolic syndrome&lt;/title&gt;&lt;secondary-title&gt;World J Gastroenterol&lt;/secondary-title&gt;&lt;/titles&gt;&lt;periodical&gt;&lt;full-title&gt;World J Gastroenterol&lt;/full-title&gt;&lt;/periodical&gt;&lt;pages&gt;1869-75&lt;/pages&gt;&lt;volume&gt;15&lt;/volume&gt;&lt;number&gt;15&lt;/number&gt;&lt;keywords&gt;&lt;keyword&gt;Adult&lt;/keyword&gt;&lt;keyword&gt;Animals&lt;/keyword&gt;&lt;keyword&gt;Fatty Liver/pathology/ultrasonography&lt;/keyword&gt;&lt;keyword&gt;Female&lt;/keyword&gt;&lt;keyword&gt;Humans&lt;/keyword&gt;&lt;keyword&gt;Insulin Resistance&lt;/keyword&gt;&lt;keyword&gt;Intra-Abdominal Fat/metabolism/pathology/ultrasonography&lt;/keyword&gt;&lt;keyword&gt;Lipid Metabolism&lt;/keyword&gt;&lt;keyword&gt;Male&lt;/keyword&gt;&lt;keyword&gt;Metabolic Syndrome X/pathology/physiopathology/ultrasonography&lt;/keyword&gt;&lt;keyword&gt;Middle Aged&lt;/keyword&gt;&lt;keyword&gt;Pancreas/pathology/ultrasonography&lt;/keyword&gt;&lt;keyword&gt;Pancreatic Diseases/pathology/physiopathology/ultrasonography&lt;/keyword&gt;&lt;keyword&gt;Regression Analysis&lt;/keyword&gt;&lt;keyword&gt;Tomography, X-Ray Computed&lt;/keyword&gt;&lt;/keywords&gt;&lt;dates&gt;&lt;year&gt;2009&lt;/year&gt;&lt;pub-dates&gt;&lt;date&gt;Apr 21&lt;/date&gt;&lt;/pub-dates&gt;&lt;/dates&gt;&lt;isbn&gt;2219-2840 (Electronic)&amp;#xD;1007-9327 (Linking)&lt;/isbn&gt;&lt;accession-num&gt;19370785&lt;/accession-num&gt;&lt;urls&gt;&lt;/urls&gt;&lt;/record&gt;&lt;/Cite&gt;&lt;/EndNote&gt;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16</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Table 2 shows a classification of serum triglyceride concentrations in the general population, and Table </w:t>
      </w:r>
      <w:r w:rsidR="008F4ED8" w:rsidRPr="00B27B47">
        <w:rPr>
          <w:rFonts w:ascii="Book Antiqua" w:hAnsi="Book Antiqua" w:cs="Calibri" w:hint="eastAsia"/>
          <w:bCs/>
          <w:sz w:val="24"/>
          <w:szCs w:val="24"/>
          <w:lang w:val="en-US" w:eastAsia="zh-CN"/>
        </w:rPr>
        <w:t>3</w:t>
      </w:r>
      <w:r w:rsidRPr="00B27B47">
        <w:rPr>
          <w:rFonts w:ascii="Book Antiqua" w:eastAsia="Times New Roman" w:hAnsi="Book Antiqua" w:cs="Calibri"/>
          <w:bCs/>
          <w:sz w:val="24"/>
          <w:szCs w:val="24"/>
          <w:lang w:val="en-US" w:eastAsia="de-DE"/>
        </w:rPr>
        <w:t xml:space="preserve"> shows serum concentration limits and treatment recommendations with mTOR inhibitors in LT recipients.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Specific treatment targets for hypertriglyceridemia have not yet been determined. Moreover, serum triglyceride concentrations are highly variable, increasing during the day in most individuals. Treatment to reduce the risk of pancreatitis, however, is recommended when serum triglyceride concentrations exceed 1000 mg/dL</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&lt;EndNote&gt;&lt;Cite&gt;&lt;Author&gt;Berglund&lt;/Author&gt;&lt;RecNum&gt;78&lt;/RecNum&gt;&lt;record&gt;&lt;rec-number&gt;78&lt;/rec-number&gt;&lt;ref-type name="Journal Article"&gt;17&lt;/ref-type&gt;&lt;contributors&gt;&lt;authors&gt;&lt;author&gt;Berglund, L.&lt;/author&gt;&lt;author&gt;Brunzell, J. D.&lt;/author&gt;&lt;author&gt;Goldberg, A. C.&lt;/author&gt;&lt;author&gt;Goldberg, I. J.&lt;/author&gt;&lt;author&gt;Sacks, F.&lt;/author&gt;&lt;author&gt;Murad, M. H.&lt;/author&gt;&lt;author&gt;Stalenhoef, A. F.&lt;/author&gt;&lt;/authors&gt;&lt;/contributors&gt;&lt;auth-address&gt;University of California, Davis, Sacramento, California 95817, USA.&lt;/auth-address&gt;&lt;titles&gt;&lt;title&gt;Evaluation and treatment of hypertriglyceridemia: an Endocrine Society clinical practice guideline&lt;/title&gt;&lt;secondary-title&gt;J Clin Endocrinol Metab&lt;/secondary-title&gt;&lt;/titles&gt;&lt;periodical&gt;&lt;full-title&gt;J Clin Endocrinol Metab&lt;/full-title&gt;&lt;/periodical&gt;&lt;pages&gt;2969-89&lt;/pages&gt;&lt;volume&gt;97&lt;/volume&gt;&lt;number&gt;9&lt;/number&gt;&lt;keywords&gt;&lt;keyword&gt;Evidence-Based Medicine&lt;/keyword&gt;&lt;keyword&gt;Exercise Therapy&lt;/keyword&gt;&lt;keyword&gt;Humans&lt;/keyword&gt;&lt;keyword&gt;Hypertriglyceridemia/diagnosis/ diet therapy/drug&lt;/keyword&gt;&lt;keyword&gt;therapy/etiology/genetics/ therapy&lt;/keyword&gt;&lt;keyword&gt;Terminology as Topic&lt;/keyword&gt;&lt;keyword&gt;Triglycerides/blood&lt;/keyword&gt;&lt;/keywords&gt;&lt;dates&gt;&lt;pub-dates&gt;&lt;date&gt;Sep&lt;/date&gt;&lt;/pub-dates&gt;&lt;/dates&gt;&lt;isbn&gt;1945-7197 (Electronic)&amp;#xD;0021-972X (Linking)&lt;/isbn&gt;&lt;accession-num&gt;22962670&lt;/accession-num&gt;&lt;urls&gt;&lt;/urls&gt;&lt;/record&gt;&lt;/Cite&gt;&lt;/EndNote&gt;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17</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Causes of elevated serum triglyceride concentrations include obesity, alcohol consumption, high carbohydrate diet, diabetes mellitus, reduced kidney function, nephrotic syndrome; treatment with steroids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&lt;EndNote&gt;&lt;Cite&gt;&lt;Author&gt;Vathsala&lt;/Author&gt;&lt;Year&gt;1989&lt;/Year&gt;&lt;RecNum&gt;8&lt;/RecNum&gt;&lt;record&gt;&lt;rec-number&gt;8&lt;/rec-number&gt;&lt;ref-type name="Journal Article"&gt;17&lt;/ref-type&gt;&lt;contributors&gt;&lt;authors&gt;&lt;author&gt;Vathsala, A.&lt;/author&gt;&lt;author&gt;Weinberg, R. B.&lt;/author&gt;&lt;author&gt;Schoenberg, L.&lt;/author&gt;&lt;author&gt;Grevel, J.&lt;/author&gt;&lt;author&gt;Goldstein, R. A.&lt;/author&gt;&lt;author&gt;Van Buren, C. T.&lt;/author&gt;&lt;author&gt;Lewis, R. M.&lt;/author&gt;&lt;author&gt;Kahan, B. D.&lt;/author&gt;&lt;/authors&gt;&lt;/contributors&gt;&lt;auth-address&gt;Department of Surgery, University of Texas Medical School, Houston 77030.&lt;/auth-address&gt;&lt;titles&gt;&lt;title&gt;Lipid abnormalities in cyclosporine-prednisone-treated renal transplant recipients&lt;/title&gt;&lt;secondary-title&gt;Transplantation&lt;/secondary-title&gt;&lt;/titles&gt;&lt;periodical&gt;&lt;full-title&gt;Transplantation&lt;/full-title&gt;&lt;/periodical&gt;&lt;pages&gt;37-43&lt;/pages&gt;&lt;volume&gt;48&lt;/volume&gt;&lt;number&gt;1&lt;/number&gt;&lt;keywords&gt;&lt;keyword&gt;Adult&lt;/keyword&gt;&lt;keyword&gt;Cholesterol, LDL/metabolism&lt;/keyword&gt;&lt;keyword&gt;Cyclosporins/ therapeutic use&lt;/keyword&gt;&lt;keyword&gt;Diabetes Mellitus/metabolism&lt;/keyword&gt;&lt;keyword&gt;Female&lt;/keyword&gt;&lt;keyword&gt;Humans&lt;/keyword&gt;&lt;keyword&gt;Hyperlipidemias/epidemiology/ metabolism&lt;/keyword&gt;&lt;keyword&gt;Kidney/physiology&lt;/keyword&gt;&lt;keyword&gt;Kidney Transplantation&lt;/keyword&gt;&lt;keyword&gt;Longitudinal Studies&lt;/keyword&gt;&lt;keyword&gt;Male&lt;/keyword&gt;&lt;keyword&gt;Middle Aged&lt;/keyword&gt;&lt;keyword&gt;Obesity/metabolism&lt;/keyword&gt;&lt;keyword&gt;Prednisone/ therapeutic use&lt;/keyword&gt;&lt;keyword&gt;Statistics as Topic&lt;/keyword&gt;&lt;keyword&gt;Time Factors&lt;/keyword&gt;&lt;keyword&gt;Transplantation, Homologous/adverse effects&lt;/keyword&gt;&lt;keyword&gt;Triglycerides/blood&lt;/keyword&gt;&lt;/keywords&gt;&lt;dates&gt;&lt;year&gt;1989&lt;/year&gt;&lt;pub-dates&gt;&lt;date&gt;Jul&lt;/date&gt;&lt;/pub-dates&gt;&lt;/dates&gt;&lt;isbn&gt;0041-1337 (Print)&amp;#xD;0041-1337 (Linking)&lt;/isbn&gt;&lt;accession-num&gt;2665233&lt;/accession-num&gt;&lt;urls&gt;&lt;/urls&gt;&lt;/record&gt;&lt;/Cite&gt;&lt;/EndNote&gt;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18</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protease inhibitors, hormone substitutes, calcineurin inhibiting drugs (CNI)</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&lt;EndNote&gt;&lt;Cite&gt;&lt;Author&gt;Kuster&lt;/Author&gt;&lt;Year&gt;1994&lt;/Year&gt;&lt;RecNum&gt;9&lt;/RecNum&gt;&lt;record&gt;&lt;rec-number&gt;9&lt;/rec-number&gt;&lt;ref-type name="Journal Article"&gt;17&lt;/ref-type&gt;&lt;contributors&gt;&lt;authors&gt;&lt;author&gt;Kuster, G. M.&lt;/author&gt;&lt;author&gt;Drexel, H.&lt;/author&gt;&lt;author&gt;Bleisch, J. A.&lt;/author&gt;&lt;author&gt;Rentsch, K.&lt;/author&gt;&lt;author&gt;Pei, P.&lt;/author&gt;&lt;author&gt;Binswanger, U.&lt;/author&gt;&lt;author&gt;Amann, F. W.&lt;/author&gt;&lt;/authors&gt;&lt;/contributors&gt;&lt;auth-address&gt;Division of Cardiology, University Hospital, Zurich, Switzerland.&lt;/auth-address&gt;&lt;titles&gt;&lt;title&gt;Relation of cyclosporine blood levels to adverse effects on lipoproteins&lt;/title&gt;&lt;secondary-title&gt;Transplantation&lt;/secondary-title&gt;&lt;/titles&gt;&lt;periodical&gt;&lt;full-title&gt;Transplantation&lt;/full-title&gt;&lt;/periodical&gt;&lt;pages&gt;1479-83&lt;/pages&gt;&lt;volume&gt;57&lt;/volume&gt;&lt;number&gt;10&lt;/number&gt;&lt;keywords&gt;&lt;keyword&gt;Adult&lt;/keyword&gt;&lt;keyword&gt;Apolipoproteins/metabolism&lt;/keyword&gt;&lt;keyword&gt;Cyclosporine/ blood&lt;/keyword&gt;&lt;keyword&gt;Female&lt;/keyword&gt;&lt;keyword&gt;Humans&lt;/keyword&gt;&lt;keyword&gt;Hyperlipidemias/ complications&lt;/keyword&gt;&lt;keyword&gt;Kidney Transplantation&lt;/keyword&gt;&lt;keyword&gt;Lipids/blood&lt;/keyword&gt;&lt;keyword&gt;Lipoproteins/ blood&lt;/keyword&gt;&lt;keyword&gt;Male&lt;/keyword&gt;&lt;keyword&gt;Middle Aged&lt;/keyword&gt;&lt;/keywords&gt;&lt;dates&gt;&lt;year&gt;1994&lt;/year&gt;&lt;pub-dates&gt;&lt;date&gt;May 27&lt;/date&gt;&lt;/pub-dates&gt;&lt;/dates&gt;&lt;isbn&gt;0041-1337 (Print)&amp;#xD;0041-1337 (Linking)&lt;/isbn&gt;&lt;accession-num&gt;8197611&lt;/accession-num&gt;&lt;urls&gt;&lt;/urls&gt;&lt;/record&gt;&lt;/Cite&gt;&lt;/EndNote&gt;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19</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00CB0CDE">
        <w:rPr>
          <w:rFonts w:ascii="Book Antiqua" w:eastAsia="Times New Roman" w:hAnsi="Book Antiqua" w:cs="Calibri"/>
          <w:bCs/>
          <w:sz w:val="24"/>
          <w:szCs w:val="24"/>
          <w:lang w:val="en-US" w:eastAsia="de-DE"/>
        </w:rPr>
        <w:t>, m</w:t>
      </w:r>
      <w:r w:rsidRPr="00B27B47">
        <w:rPr>
          <w:rFonts w:ascii="Book Antiqua" w:eastAsia="Times New Roman" w:hAnsi="Book Antiqua" w:cs="Calibri"/>
          <w:bCs/>
          <w:sz w:val="24"/>
          <w:szCs w:val="24"/>
          <w:lang w:val="en-US" w:eastAsia="de-DE"/>
        </w:rPr>
        <w:t>TOR inhibiting drugs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&lt;EndNote&gt;&lt;Cite&gt;&lt;Author&gt;Holdaas&lt;/Author&gt;&lt;RecNum&gt;10&lt;/RecNum&gt;&lt;record&gt;&lt;rec-number&gt;10&lt;/rec-number&gt;&lt;ref-type name="Journal Article"&gt;17&lt;/ref-type&gt;&lt;contributors&gt;&lt;authors&gt;&lt;author&gt;Holdaas, H.&lt;/author&gt;&lt;author&gt;Potena, L.&lt;/author&gt;&lt;author&gt;Saliba, F.&lt;/author&gt;&lt;/authors&gt;&lt;/contributors&gt;&lt;auth-address&gt;Section of Nephrology, Department of Transplant Medicine, Oslo University Hospital, Rikshospitalet, Oslo, Norway. Electronic address: hallvard.holdaas@rikshospitalet.no.&amp;#xD;Heart Failure and Heart Transplant Program, Academic Hospital S. Orsola-Malpighi, Alma-Mater University of Bologna, Bologna, Italy.&amp;#xD;AP-HP Hopital Paul Brousse, Centre Hepato-Biliaire, Villejuif, France.&lt;/auth-address&gt;&lt;titles&gt;&lt;title&gt;mTOR inhibitors and dyslipidemia in transplant recipients: A cause for concern?&lt;/title&gt;&lt;secondary-title&gt;Transplant Rev (Orlando)&lt;/secondary-title&gt;&lt;/titles&gt;&lt;periodical&gt;&lt;full-title&gt;Transplant Rev (Orlando)&lt;/full-title&gt;&lt;/periodical&gt;&lt;dates&gt;&lt;pub-dates&gt;&lt;date&gt;Aug 27&lt;/date&gt;&lt;/pub-dates&gt;&lt;/dates&gt;&lt;isbn&gt;1557-9816 (Electronic)&amp;#xD;0955-470X (Linking)&lt;/isbn&gt;&lt;accession-num&gt;25227328&lt;/accession-num&gt;&lt;urls&gt;&lt;/urls&gt;&lt;/record&gt;&lt;/Cite&gt;&lt;/EndNote&gt;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20</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and predisposing genetic factors. In contrast to elevated LDL-C levels, hypertriglyceridemia can be influenced by diet. A weight loss of 2–3 kg can result in a significant reduction in serum triglyceride concentrations, of up to 200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&lt;EndNote&gt;&lt;Cite&gt;&lt;Author&gt;Mateo-Gallego&lt;/Author&gt;&lt;RecNum&gt;23&lt;/RecNum&gt;&lt;record&gt;&lt;rec-number&gt;23&lt;/rec-number&gt;&lt;ref-type name="Journal Article"&gt;17&lt;/ref-type&gt;&lt;contributors&gt;&lt;authors&gt;&lt;author&gt;Mateo-Gallego, R.&lt;/author&gt;&lt;author&gt;Perez-Calahorra, S.&lt;/author&gt;&lt;author&gt;Cofan, M.&lt;/author&gt;&lt;author&gt;Baila-Rueda, L.&lt;/author&gt;&lt;author&gt;Cenarro, A.&lt;/author&gt;&lt;author&gt;Ros, E.&lt;/author&gt;&lt;author&gt;Puzo, J.&lt;/author&gt;&lt;author&gt;Civeira, F.&lt;/author&gt;&lt;/authors&gt;&lt;/contributors&gt;&lt;auth-address&gt;Unidad de Lipidos and Laboratorio de Investigacion Molecular, Hospital Universitario Miguel Servet, Instituto Aragones de Ciencias de la Salud, Zaragoza, Spain rmateo.iacs@aragon.es.&amp;#xD;Unidad de Lipidos and Laboratorio de Investigacion Molecular, Hospital Universitario Miguel Servet, Instituto Aragones de Ciencias de la Salud, Zaragoza, Spain.&amp;#xD;Lipid Clinic, Endocrinology and Nutrition Service, Institut d&amp;apos;Investigacions Biomediques August Pi Sunyer, Hospital Clinic, Barcelona, Spain CIBER Fisiopatologia de la Obesidad y Nutricion, Instituto de Salud Carlos III, Madrid, Spain; and.&amp;#xD;Unidad de Lipidos and Laboratorio de Investigacion Molecular, Hospital Universitario Miguel Servet, Instituto Aragones de Ciencias de la Salud, Zaragoza, Spain.&amp;#xD;Unidad de Lipidos and Laboratorio de Investigacion Molecular, Hospital Universitario Miguel Servet, Instituto Aragones de Ciencias de la Salud, Zaragoza, Spain.&amp;#xD;Lipid Clinic, Endocrinology and Nutrition Service, Institut d&amp;apos;Investigacions Biomediques August Pi Sunyer, Hospital Clinic, Barcelona, Spain CIBER Fisiopatologia de la Obesidad y Nutricion, Instituto de Salud Carlos III, Madrid, Spain; and.&amp;#xD;Unidad de Lipidos, Bioquimica Clinica, Hospital San Jorge, Huesca, Spain.&amp;#xD;Unidad de Lipidos and Laboratorio de Investigacion Molecular, Hospital Universitario Miguel Servet, Instituto Aragones de Ciencias de la Salud, Zaragoza, Spain.&lt;/auth-address&gt;&lt;titles&gt;&lt;title&gt;Serum lipid responses to weight loss differ between overweight adults with familial hypercholesterolemia and those with familial combined hyperlipidemia&lt;/title&gt;&lt;secondary-title&gt;J Nutr&lt;/secondary-title&gt;&lt;/titles&gt;&lt;periodical&gt;&lt;full-title&gt;J Nutr&lt;/full-title&gt;&lt;/periodical&gt;&lt;pages&gt;1219-26&lt;/pages&gt;&lt;volume&gt;144&lt;/volume&gt;&lt;number&gt;8&lt;/number&gt;&lt;keywords&gt;&lt;keyword&gt;Adult&lt;/keyword&gt;&lt;keyword&gt;Body Mass Index&lt;/keyword&gt;&lt;keyword&gt;Cholesterol/blood&lt;/keyword&gt;&lt;keyword&gt;Cholesterol, HDL/blood&lt;/keyword&gt;&lt;keyword&gt;Female&lt;/keyword&gt;&lt;keyword&gt;Humans&lt;/keyword&gt;&lt;keyword&gt;Hyperlipidemia, Familial Combined/ blood/complications&lt;/keyword&gt;&lt;keyword&gt;Hyperlipoproteinemia Type II/ blood/complications&lt;/keyword&gt;&lt;keyword&gt;Intervention Studies&lt;/keyword&gt;&lt;keyword&gt;Linear Models&lt;/keyword&gt;&lt;keyword&gt;Male&lt;/keyword&gt;&lt;keyword&gt;Middle Aged&lt;/keyword&gt;&lt;keyword&gt;Overweight/ blood/complications&lt;/keyword&gt;&lt;keyword&gt;Triglycerides/blood&lt;/keyword&gt;&lt;keyword&gt;Weight Loss&lt;/keyword&gt;&lt;/keywords&gt;&lt;dates&gt;&lt;pub-dates&gt;&lt;date&gt;Aug&lt;/date&gt;&lt;/pub-dates&gt;&lt;/dates&gt;&lt;isbn&gt;1541-6100 (Electronic)&amp;#xD;0022-3166 (Linking)&lt;/isbn&gt;&lt;accession-num&gt;24899155&lt;/accession-num&gt;&lt;urls&gt;&lt;/urls&gt;&lt;/record&gt;&lt;/Cite&gt;&lt;/EndNote&gt;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21</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In contrast, a weight loss of more than 10 kg may reduce serum LDL-C concentrations by only 30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Fruit juices and other high-carbohydrate products, as well as small amounts of alcohol, may exacerbate hypertriglyceridemia temporarily. </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830FB9" w:rsidP="003E1943">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COMBINED HLP</w:t>
      </w:r>
    </w:p>
    <w:p w:rsidR="000F7598" w:rsidRPr="00B27B47" w:rsidRDefault="000F7598" w:rsidP="003E1943">
      <w:pPr>
        <w:adjustRightInd w:val="0"/>
        <w:snapToGrid w:val="0"/>
        <w:spacing w:after="0" w:line="360" w:lineRule="auto"/>
        <w:jc w:val="both"/>
        <w:rPr>
          <w:rFonts w:ascii="Book Antiqua" w:eastAsia="Times New Roman" w:hAnsi="Book Antiqua" w:cs="Calibri"/>
          <w:b/>
          <w:bCs/>
          <w:sz w:val="24"/>
          <w:szCs w:val="24"/>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Treatment of patients with combined HLP depends on serum LDL-C and triglyceride concentrations and their risks of atherosclerosis and metabolic symptoms. As combinations of lipid-lowering agents may cause side effects, including rhabdomyolysis, both atherosclerosis and metabolic risks must be evaluated. Based on a patient’s individual risk profile, we recommend lipid lowering treatment targeting either LDL-C or triglyceride concentrations. Combinations of drugs that lower serum cholesterol and triglyceride concentrations should be avoided in LT recipients due to their interactions with immunosuppressants. Liver enzymes and creatinine kinase should be measured weekly in patients started on both cholesterol and triglyceride lowering drugs.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830FB9" w:rsidP="003E1943">
      <w:pPr>
        <w:adjustRightInd w:val="0"/>
        <w:snapToGrid w:val="0"/>
        <w:spacing w:after="0" w:line="360" w:lineRule="auto"/>
        <w:jc w:val="both"/>
        <w:rPr>
          <w:rFonts w:ascii="Book Antiqua" w:eastAsia="Times New Roman" w:hAnsi="Book Antiqua" w:cs="Calibri"/>
          <w:b/>
          <w:bCs/>
          <w:i/>
          <w:sz w:val="24"/>
          <w:szCs w:val="24"/>
          <w:lang w:val="en-US" w:eastAsia="de-DE"/>
        </w:rPr>
      </w:pPr>
      <w:r w:rsidRPr="00B27B47">
        <w:rPr>
          <w:rFonts w:ascii="Book Antiqua" w:eastAsia="Times New Roman" w:hAnsi="Book Antiqua" w:cs="Calibri"/>
          <w:b/>
          <w:bCs/>
          <w:i/>
          <w:sz w:val="24"/>
          <w:szCs w:val="24"/>
          <w:lang w:val="en-US" w:eastAsia="de-DE"/>
        </w:rPr>
        <w:t>Lipoprotein (a) and atherogenesis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Lipoprotein (a) </w:t>
      </w:r>
      <w:r w:rsidR="00830FB9"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Lp(a)</w:t>
      </w:r>
      <w:r w:rsidR="00830FB9"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is a risk factor for atherogenesis and may play roles in plasma viscosity and the coagulation cascade</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&lt;EndNote&gt;&lt;Cite&gt;&lt;Author&gt;Schaefer&lt;/Author&gt;&lt;Year&gt;1994&lt;/Year&gt;&lt;RecNum&gt;30&lt;/RecNum&gt;&lt;record&gt;&lt;rec-number&gt;30&lt;/rec-number&gt;&lt;ref-type name="Journal Article"&gt;17&lt;/ref-type&gt;&lt;contributors&gt;&lt;authors&gt;&lt;author&gt;Schaefer, E. J.&lt;/author&gt;&lt;author&gt;Lamon-Fava, S.&lt;/author&gt;&lt;author&gt;Jenner, J. L.&lt;/author&gt;&lt;author&gt;McNamara, J. R.&lt;/author&gt;&lt;author&gt;Ordovas, J. M.&lt;/author&gt;&lt;author&gt;Davis, C. E.&lt;/author&gt;&lt;author&gt;Abolafia, J. M.&lt;/author&gt;&lt;author&gt;Lippel, K.&lt;/author&gt;&lt;author&gt;Levy, R. I.&lt;/author&gt;&lt;/authors&gt;&lt;/contributors&gt;&lt;auth-address&gt;Lipid Metabolism Laboratory, US Department of Agriculture Human Nutrition Research Center on Aging at Tufts University, Boston, Mass 02111.&lt;/auth-address&gt;&lt;titles&gt;&lt;title&gt;Lipoprotein(a) levels and risk of coronary heart disease in men. The lipid Research Clinics Coronary Primary Prevention Trial&lt;/title&gt;&lt;secondary-title&gt;Jama&lt;/secondary-title&gt;&lt;/titles&gt;&lt;periodical&gt;&lt;full-title&gt;Jama&lt;/full-title&gt;&lt;/periodical&gt;&lt;pages&gt;999-1003&lt;/pages&gt;&lt;volume&gt;271&lt;/volume&gt;&lt;number&gt;13&lt;/number&gt;&lt;keywords&gt;&lt;keyword&gt;Adult&lt;/keyword&gt;&lt;keyword&gt;Aged&lt;/keyword&gt;&lt;keyword&gt;Case-Control Studies&lt;/keyword&gt;&lt;keyword&gt;Cholestyramine Resin/therapeutic use&lt;/keyword&gt;&lt;keyword&gt;Coronary Disease/ blood/epidemiology&lt;/keyword&gt;&lt;keyword&gt;Humans&lt;/keyword&gt;&lt;keyword&gt;Hypercholesterolemia/ blood/ drug therapy/physiopathology&lt;/keyword&gt;&lt;keyword&gt;Lipids/blood&lt;/keyword&gt;&lt;keyword&gt;Lipoprotein(a)/ blood&lt;/keyword&gt;&lt;keyword&gt;Logistic Models&lt;/keyword&gt;&lt;keyword&gt;Longitudinal Studies&lt;/keyword&gt;&lt;keyword&gt;Male&lt;/keyword&gt;&lt;keyword&gt;Middle Aged&lt;/keyword&gt;&lt;keyword&gt;Prospective Studies&lt;/keyword&gt;&lt;keyword&gt;Risk Factors&lt;/keyword&gt;&lt;/keywords&gt;&lt;dates&gt;&lt;year&gt;1994&lt;/year&gt;&lt;pub-dates&gt;&lt;date&gt;Apr 6&lt;/date&gt;&lt;/pub-dates&gt;&lt;/dates&gt;&lt;isbn&gt;0098-7484 (Print)&amp;#xD;0098-7484 (Linking)&lt;/isbn&gt;&lt;accession-num&gt;8139085&lt;/accession-num&gt;&lt;urls&gt;&lt;/urls&gt;&lt;/record&gt;&lt;/Cite&gt;&lt;Cite&gt;&lt;Author&gt;McLean&lt;/Author&gt;&lt;Year&gt;1987&lt;/Year&gt;&lt;RecNum&gt;31&lt;/RecNum&gt;&lt;record&gt;&lt;rec-number&gt;31&lt;/rec-number&gt;&lt;ref-type name="Journal Article"&gt;17&lt;/ref-type&gt;&lt;contributors&gt;&lt;authors&gt;&lt;author&gt;McLean, J. W.&lt;/author&gt;&lt;author&gt;Tomlinson, J. E.&lt;/author&gt;&lt;author&gt;Kuang, W. J.&lt;/author&gt;&lt;author&gt;Eaton, D. L.&lt;/author&gt;&lt;author&gt;Chen, E. Y.&lt;/author&gt;&lt;author&gt;Fless, G. M.&lt;/author&gt;&lt;author&gt;Scanu, A. M.&lt;/author&gt;&lt;author&gt;Lawn, R. M.&lt;/author&gt;&lt;/authors&gt;&lt;/contributors&gt;&lt;auth-address&gt;Department of Cardiovascular Research, Genentech, Inc., South San Francisco, California 94080.&lt;/auth-address&gt;&lt;titles&gt;&lt;title&gt;cDNA sequence of human apolipoprotein(a) is homologous to plasminogen&lt;/title&gt;&lt;secondary-title&gt;Nature&lt;/secondary-title&gt;&lt;/titles&gt;&lt;periodical&gt;&lt;full-title&gt;Nature&lt;/full-title&gt;&lt;/periodical&gt;&lt;pages&gt;132-7&lt;/pages&gt;&lt;volume&gt;330&lt;/volume&gt;&lt;number&gt;6144&lt;/number&gt;&lt;keywords&gt;&lt;keyword&gt;Amino Acid Sequence&lt;/keyword&gt;&lt;keyword&gt;Apolipoproteins A/ genetics&lt;/keyword&gt;&lt;keyword&gt;Base Sequence&lt;/keyword&gt;&lt;keyword&gt;Biological Evolution&lt;/keyword&gt;&lt;keyword&gt;DNA/ isolation &amp;amp; purification&lt;/keyword&gt;&lt;keyword&gt;Humans&lt;/keyword&gt;&lt;keyword&gt;Molecular Sequence Data&lt;/keyword&gt;&lt;keyword&gt;Plasminogen/ genetics&lt;/keyword&gt;&lt;keyword&gt;Protein Conformation&lt;/keyword&gt;&lt;keyword&gt;Sequence Homology, Nucleic Acid&lt;/keyword&gt;&lt;/keywords&gt;&lt;dates&gt;&lt;year&gt;1987&lt;/year&gt;&lt;pub-dates&gt;&lt;date&gt;Nov 12-18&lt;/date&gt;&lt;/pub-dates&gt;&lt;/dates&gt;&lt;isbn&gt;0028-0836 (Print)&amp;#xD;0028-0836 (Linking)&lt;/isbn&gt;&lt;accession-num&gt;3670400&lt;/accession-num&gt;&lt;urls&gt;&lt;/urls&gt;&lt;/record&gt;&lt;/Cite&gt;&lt;Cite&gt;&lt;Author&gt;Kurt&lt;/Author&gt;&lt;RecNum&gt;32&lt;/RecNum&gt;&lt;record&gt;&lt;rec-number&gt;32&lt;/rec-number&gt;&lt;ref-type name="Journal Article"&gt;17&lt;/ref-type&gt;&lt;contributors&gt;&lt;authors&gt;&lt;author&gt;Kurt, B.&lt;/author&gt;&lt;author&gt;Soufi, M.&lt;/author&gt;&lt;author&gt;Sattler, A.&lt;/author&gt;&lt;author&gt;Schaefer, J. R.&lt;/author&gt;&lt;/authors&gt;&lt;/contributors&gt;&lt;auth-address&gt;Internal Medicine, Preventive Cardiology, University Clinic Giessen and Marburg, 35033, Marburg, Germany.&lt;/auth-address&gt;&lt;titles&gt;&lt;title&gt;Lipoprotein(a)-clinical aspects and future challenges&lt;/title&gt;&lt;secondary-title&gt;Clin Res Cardiol Suppl&lt;/secondary-title&gt;&lt;/titles&gt;&lt;periodical&gt;&lt;full-title&gt;Clin Res Cardiol Suppl&lt;/full-title&gt;&lt;/periodical&gt;&lt;pages&gt;26-32&lt;/pages&gt;&lt;volume&gt;10&lt;/volume&gt;&lt;number&gt;Supplement 1&lt;/number&gt;&lt;dates&gt;&lt;pub-dates&gt;&lt;date&gt;Apr&lt;/date&gt;&lt;/pub-dates&gt;&lt;/dates&gt;&lt;isbn&gt;1861-0714 (Electronic)&amp;#xD;1861-0706 (Linking)&lt;/isbn&gt;&lt;accession-num&gt;25732622&lt;/accession-num&gt;&lt;urls&gt;&lt;/urls&gt;&lt;/record&gt;&lt;/Cite&gt;&lt;/EndNote&gt;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22-24</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Lp(a) should be monitored regularly in patients with myocardial infarction and other cardiovascular end points such as cerebral insult. Serum Lp(a) concentrations &lt; 30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are regarded as normal. Elevated serum Lp(a) concentrations in patients with hypertriglyceridemia may respond to dietary modifications or treatment with nicotinic acid. However, statin treatment of patients with elevated Lp(a) and LDL-C does not significantly reduce Lp(a) concentrations. LDL-apheresis may be successful in treatment of patients with persistently high LDL-C and/or Lp(a). In Germany, LDL-apheresis is currently used to treat selected patients with manifest atherosclerosis and Lp(a) &gt;</w:t>
      </w:r>
      <w:r w:rsidR="00830FB9"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60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830FB9" w:rsidP="003E1943">
      <w:pPr>
        <w:adjustRightInd w:val="0"/>
        <w:snapToGrid w:val="0"/>
        <w:spacing w:after="0" w:line="360" w:lineRule="auto"/>
        <w:jc w:val="both"/>
        <w:rPr>
          <w:rFonts w:ascii="Book Antiqua" w:hAnsi="Book Antiqua" w:cs="Calibri"/>
          <w:b/>
          <w:bCs/>
          <w:i/>
          <w:sz w:val="24"/>
          <w:szCs w:val="24"/>
          <w:lang w:val="en-US" w:eastAsia="zh-CN"/>
        </w:rPr>
      </w:pPr>
      <w:r w:rsidRPr="00B27B47">
        <w:rPr>
          <w:rFonts w:ascii="Book Antiqua" w:eastAsia="Times New Roman" w:hAnsi="Book Antiqua" w:cs="Calibri"/>
          <w:b/>
          <w:bCs/>
          <w:i/>
          <w:sz w:val="24"/>
          <w:szCs w:val="24"/>
          <w:lang w:val="en-US" w:eastAsia="de-DE"/>
        </w:rPr>
        <w:t>HDL-</w:t>
      </w:r>
      <w:r w:rsidRPr="00B27B47">
        <w:rPr>
          <w:rFonts w:ascii="Book Antiqua" w:hAnsi="Book Antiqua" w:cs="Calibri" w:hint="eastAsia"/>
          <w:b/>
          <w:bCs/>
          <w:i/>
          <w:sz w:val="24"/>
          <w:szCs w:val="24"/>
          <w:lang w:val="en-US" w:eastAsia="zh-CN"/>
        </w:rPr>
        <w:t>C</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Serum HDL-C concentration &lt; 40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is a known risk factor for coronary heart disease</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&lt;EndNote&gt;&lt;Cite&gt;&lt;Author&gt;health)&lt;/Author&gt;&lt;RecNum&gt;9&lt;/RecNum&gt;&lt;record&gt;&lt;rec-number&gt;9&lt;/rec-number&gt;&lt;ref-type name='Web Page'&gt;12&lt;/ref-type&gt;&lt;contributors&gt;&lt;authors&gt;&lt;author&gt;NIH (national institutes of health) &lt;/author&gt;&lt;/authors&gt;&lt;/contributors&gt;&lt;titles&gt;&lt;title&gt;ATP III Update 2004: Implications of recent clinical trials for the ATP III guidelines. &lt;/title&gt;&lt;/titles&gt;&lt;dates&gt;&lt;/dates&gt;&lt;urls&gt;&lt;related-urls&gt;&lt;url&gt;www.nhlbi.nih.gov/guidelines/cholesterol/atp3upd04.htm&lt;/url&gt;&lt;/related-urls&gt;&lt;/urls&gt;&lt;access-date&gt;10.01.2015&lt;/access-date&gt;&lt;/record&gt;&lt;/Cite&gt;&lt;Cite&gt;&lt;Author&gt;Catapano&lt;/Author&gt;&lt;RecNum&gt;51&lt;/RecNum&gt;&lt;record&gt;&lt;rec-number&gt;51&lt;/rec-number&gt;&lt;ref-type name="Journal Article"&gt;17&lt;/ref-type&gt;&lt;contributors&gt;&lt;authors&gt;&lt;author&gt;Catapano, A. L.&lt;/author&gt;&lt;author&gt;Reiner, Z.&lt;/author&gt;&lt;author&gt;De Backer, G.&lt;/author&gt;&lt;author&gt;Graham, I.&lt;/author&gt;&lt;author&gt;Taskinen, M. R.&lt;/author&gt;&lt;author&gt;Wiklund, O.&lt;/author&gt;&lt;author&gt;Agewall, S.&lt;/author&gt;&lt;author&gt;Alegria, E.&lt;/author&gt;&lt;author&gt;Chapman, M. J.&lt;/author&gt;&lt;author&gt;Durrington, P.&lt;/author&gt;&lt;author&gt;Erdine, S.&lt;/author&gt;&lt;author&gt;Halcox, J.&lt;/author&gt;&lt;author&gt;Hobbs, R.&lt;/author&gt;&lt;author&gt;Kjekshus, J.&lt;/author&gt;&lt;author&gt;Perrone Filardi, P.&lt;/author&gt;&lt;author&gt;Riccardi, G.&lt;/author&gt;&lt;author&gt;Storey, R. F.&lt;/author&gt;&lt;author&gt;Wood, D.&lt;/author&gt;&lt;/authors&gt;&lt;/contributors&gt;&lt;titles&gt;&lt;title&gt;ESC/EAS Guidelines for the management of dyslipidaemias: the Task Force for the management of dyslipidaemias of the European Society of Cardiology (ESC) and the European Atherosclerosis Society (EAS)&lt;/title&gt;&lt;secondary-title&gt;Atherosclerosis&lt;/secondary-title&gt;&lt;/titles&gt;&lt;periodical&gt;&lt;full-title&gt;Atherosclerosis&lt;/full-title&gt;&lt;/periodical&gt;&lt;pages&gt;S1-44&lt;/pages&gt;&lt;volume&gt;217 Suppl 1&lt;/volume&gt;&lt;keywords&gt;&lt;keyword&gt;Adolescent&lt;/keyword&gt;&lt;keyword&gt;Adult&lt;/keyword&gt;&lt;keyword&gt;Aged&lt;/keyword&gt;&lt;keyword&gt;Atherosclerosis/ therapy&lt;/keyword&gt;&lt;keyword&gt;Cardiology/ methods&lt;/keyword&gt;&lt;keyword&gt;Cardiovascular Diseases/therapy&lt;/keyword&gt;&lt;keyword&gt;Child&lt;/keyword&gt;&lt;keyword&gt;Cholesterol/metabolism&lt;/keyword&gt;&lt;keyword&gt;Clinical Trials as Topic&lt;/keyword&gt;&lt;keyword&gt;Dyslipidemias/ therapy&lt;/keyword&gt;&lt;keyword&gt;Europe&lt;/keyword&gt;&lt;keyword&gt;Female&lt;/keyword&gt;&lt;keyword&gt;Genotype&lt;/keyword&gt;&lt;keyword&gt;Humans&lt;/keyword&gt;&lt;keyword&gt;Life Style&lt;/keyword&gt;&lt;keyword&gt;Lipids/blood&lt;/keyword&gt;&lt;keyword&gt;Lipoproteins/metabolism&lt;/keyword&gt;&lt;keyword&gt;Male&lt;/keyword&gt;&lt;keyword&gt;Middle Aged&lt;/keyword&gt;&lt;keyword&gt;Practice Guidelines as Topic&lt;/keyword&gt;&lt;keyword&gt;Societies, Medical&lt;/keyword&gt;&lt;/keywords&gt;&lt;dates&gt;&lt;pub-dates&gt;&lt;date&gt;Jul&lt;/date&gt;&lt;/pub-dates&gt;&lt;/dates&gt;&lt;isbn&gt;1879-1484 (Electronic)&amp;#xD;0021-9150 (Linking)&lt;/isbn&gt;&lt;accession-num&gt;21723445&lt;/accession-num&gt;&lt;urls&gt;&lt;/urls&gt;&lt;/record&gt;&lt;/Cite&gt;&lt;/EndNote&gt;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00830FB9" w:rsidRPr="00B27B47">
        <w:rPr>
          <w:rFonts w:ascii="Book Antiqua" w:eastAsia="Times New Roman" w:hAnsi="Book Antiqua" w:cs="Calibri"/>
          <w:bCs/>
          <w:sz w:val="24"/>
          <w:szCs w:val="24"/>
          <w:vertAlign w:val="superscript"/>
          <w:lang w:val="en-US" w:eastAsia="de-DE"/>
        </w:rPr>
        <w:t>11,</w:t>
      </w:r>
      <w:r w:rsidRPr="00B27B47">
        <w:rPr>
          <w:rFonts w:ascii="Book Antiqua" w:eastAsia="Times New Roman" w:hAnsi="Book Antiqua" w:cs="Calibri"/>
          <w:bCs/>
          <w:sz w:val="24"/>
          <w:szCs w:val="24"/>
          <w:vertAlign w:val="superscript"/>
          <w:lang w:val="en-US" w:eastAsia="de-DE"/>
        </w:rPr>
        <w:t>25</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High serum HDL-C does not protect against atherosclerosis in patients with high serum LDL-C (Table </w:t>
      </w:r>
      <w:r w:rsidR="008F4ED8" w:rsidRPr="00B27B47">
        <w:rPr>
          <w:rFonts w:ascii="Book Antiqua" w:hAnsi="Book Antiqua" w:cs="Calibri" w:hint="eastAsia"/>
          <w:bCs/>
          <w:sz w:val="24"/>
          <w:szCs w:val="24"/>
          <w:lang w:val="en-US" w:eastAsia="zh-CN"/>
        </w:rPr>
        <w:t>4</w:t>
      </w:r>
      <w:r w:rsidRPr="00B27B47">
        <w:rPr>
          <w:rFonts w:ascii="Book Antiqua" w:eastAsia="Times New Roman" w:hAnsi="Book Antiqua" w:cs="Calibri"/>
          <w:bCs/>
          <w:sz w:val="24"/>
          <w:szCs w:val="24"/>
          <w:lang w:val="en-US" w:eastAsia="de-DE"/>
        </w:rPr>
        <w:t>)</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&lt;EndNote&gt;&lt;Cite&gt;&lt;Author&gt;Schmidt&lt;/Author&gt;&lt;Year&gt;1998&lt;/Year&gt;&lt;RecNum&gt;24&lt;/RecNum&gt;&lt;record&gt;&lt;rec-number&gt;24&lt;/rec-number&gt;&lt;ref-type name="Journal Article"&gt;17&lt;/ref-type&gt;&lt;contributors&gt;&lt;authors&gt;&lt;author&gt;Schmidt, H. H.&lt;/author&gt;&lt;author&gt;Gregg, R. E.&lt;/author&gt;&lt;author&gt;Tietge, U. J.&lt;/author&gt;&lt;author&gt;Beisiegel, U.&lt;/author&gt;&lt;author&gt;Zech, L. A.&lt;/author&gt;&lt;author&gt;Brewer, H. B., Jr.&lt;/author&gt;&lt;author&gt;Manns, M. P.&lt;/author&gt;&lt;author&gt;Bojanovski, D.&lt;/author&gt;&lt;/authors&gt;&lt;/contributors&gt;&lt;auth-address&gt;Medizinische Hochschule Hannover, Abteilung fur Gastroenterologie und Hepatologie, Germany.&lt;/auth-address&gt;&lt;titles&gt;&lt;title&gt;Upregulated synthesis of both apolipoprotein A-I and apolipoprotein B in familial hyperalphalipoproteinemia and hyperbetalipoproteinemia&lt;/title&gt;&lt;secondary-title&gt;Metabolism&lt;/secondary-title&gt;&lt;/titles&gt;&lt;periodical&gt;&lt;full-title&gt;Metabolism&lt;/full-title&gt;&lt;/periodical&gt;&lt;pages&gt;1160-6&lt;/pages&gt;&lt;volume&gt;47&lt;/volume&gt;&lt;number&gt;9&lt;/number&gt;&lt;keywords&gt;&lt;keyword&gt;Adult&lt;/keyword&gt;&lt;keyword&gt;Aged&lt;/keyword&gt;&lt;keyword&gt;Apolipoprotein A-I/ biosynthesis&lt;/keyword&gt;&lt;keyword&gt;Apolipoproteins B/ biosynthesis&lt;/keyword&gt;&lt;keyword&gt;Carrier Proteins/blood&lt;/keyword&gt;&lt;keyword&gt;Cholesterol Ester Transfer Proteins&lt;/keyword&gt;&lt;keyword&gt;Coronary Disease/etiology&lt;/keyword&gt;&lt;keyword&gt;Female&lt;/keyword&gt;&lt;keyword&gt;Glycoproteins&lt;/keyword&gt;&lt;keyword&gt;Humans&lt;/keyword&gt;&lt;keyword&gt;Hyperlipoproteinemia Type II/ metabolism&lt;/keyword&gt;&lt;keyword&gt;Hyperlipoproteinemias/ metabolism&lt;/keyword&gt;&lt;keyword&gt;Male&lt;/keyword&gt;&lt;keyword&gt;Middle Aged&lt;/keyword&gt;&lt;keyword&gt;Up-Regulation&lt;/keyword&gt;&lt;/keywords&gt;&lt;dates&gt;&lt;year&gt;1998&lt;/year&gt;&lt;pub-dates&gt;&lt;date&gt;Sep&lt;/date&gt;&lt;/pub-dates&gt;&lt;/dates&gt;&lt;isbn&gt;0026-0495 (Print)&amp;#xD;0026-0495 (Linking)&lt;/isbn&gt;&lt;accession-num&gt;9751249&lt;/accession-num&gt;&lt;urls&gt;&lt;/urls&gt;&lt;/record&gt;&lt;/Cite&gt;&lt;/EndNote&gt;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26</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High serum triglyceride concentrations, overweight, obesity and a high carbohydrate diet may reduce serum HDL-C concentrations. Life style modifications, triglyceride lowering and antidiabetic interventions can improve and normalize serum HDL-C. </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9A4928" w:rsidP="003E1943">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DIAGNOSTICS OF LIPID STATUS</w:t>
      </w:r>
    </w:p>
    <w:p w:rsidR="000F7598" w:rsidRPr="00B27B47" w:rsidRDefault="000F7598" w:rsidP="003E1943">
      <w:pPr>
        <w:adjustRightInd w:val="0"/>
        <w:snapToGrid w:val="0"/>
        <w:spacing w:after="0" w:line="360" w:lineRule="auto"/>
        <w:jc w:val="both"/>
        <w:rPr>
          <w:rFonts w:ascii="Book Antiqua" w:eastAsia="Times New Roman" w:hAnsi="Book Antiqua" w:cs="Calibri"/>
          <w:b/>
          <w:bCs/>
          <w:sz w:val="24"/>
          <w:szCs w:val="24"/>
          <w:lang w:val="en-US" w:eastAsia="de-DE"/>
        </w:rPr>
      </w:pP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Serum lipid concentrations should be measured in a fasting state. Postprandial synthesis of chylomicrones may increase serum cholesterol and especially triglyceride concentrations. Total serum cholesterol concentration is the sum of serum HDL-C, LDL-C, and very low density lipoprotein (VLDL)-C</w:t>
      </w:r>
      <w:r w:rsidRPr="00B27B47" w:rsidDel="0061592C">
        <w:rPr>
          <w:rFonts w:ascii="Book Antiqua" w:eastAsia="Times New Roman" w:hAnsi="Book Antiqua" w:cs="Calibri"/>
          <w:bCs/>
          <w:sz w:val="24"/>
          <w:szCs w:val="24"/>
          <w:lang w:val="en-US" w:eastAsia="de-DE"/>
        </w:rPr>
        <w:t xml:space="preserve"> </w:t>
      </w:r>
      <w:r w:rsidRPr="00B27B47">
        <w:rPr>
          <w:rFonts w:ascii="Book Antiqua" w:eastAsia="Times New Roman" w:hAnsi="Book Antiqua" w:cs="Calibri"/>
          <w:bCs/>
          <w:sz w:val="24"/>
          <w:szCs w:val="24"/>
          <w:lang w:val="en-US" w:eastAsia="de-DE"/>
        </w:rPr>
        <w:t xml:space="preserve">concentrations.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Targets for lipid lowering agents include serum LDL-C, total cholesterol (TC) and non-HDL-C concentrations. The 2011 ESC/EAS guidelines have reported that most studies of lipid lowering therapy strategies determine risk by measuring serum TC and LDL-C concentrations. Many clinical trials have shown that reducing TC or LDL-C, even in high-risk-patients, is associated with statistically and clinically significant reductions in cardiovascular mortality</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&lt;EndNote&gt;&lt;Cite&gt;&lt;Author&gt;Catapano&lt;/Author&gt;&lt;RecNum&gt;14&lt;/RecNum&gt;&lt;record&gt;&lt;rec-number&gt;14&lt;/rec-number&gt;&lt;ref-type name="Journal Article"&gt;17&lt;/ref-type&gt;&lt;contributors&gt;&lt;authors&gt;&lt;author&gt;Catapano, A. L.&lt;/author&gt;&lt;author&gt;Reiner, Z.&lt;/author&gt;&lt;author&gt;De Backer, G.&lt;/author&gt;&lt;author&gt;Graham, I.&lt;/author&gt;&lt;author&gt;Taskinen, M. R.&lt;/author&gt;&lt;author&gt;Wiklund, O.&lt;/author&gt;&lt;author&gt;Agewall, S.&lt;/author&gt;&lt;author&gt;Alegria, E.&lt;/author&gt;&lt;author&gt;Chapman, M. J.&lt;/author&gt;&lt;author&gt;Durrington, P.&lt;/author&gt;&lt;author&gt;Erdine, S.&lt;/author&gt;&lt;author&gt;Halcox, J.&lt;/author&gt;&lt;author&gt;Hobbs, R.&lt;/author&gt;&lt;author&gt;Kjekshus, J.&lt;/author&gt;&lt;author&gt;Perrone Filardi, P.&lt;/author&gt;&lt;author&gt;Riccardi, G.&lt;/author&gt;&lt;author&gt;Storey, R. F.&lt;/author&gt;&lt;author&gt;Wood, D.&lt;/author&gt;&lt;/authors&gt;&lt;/contributors&gt;&lt;titles&gt;&lt;title&gt;ESC/EAS Guidelines for the management of dyslipidaemias: the Task Force for the management of dyslipidaemias of the European Society of Cardiology (ESC) and the European Atherosclerosis Society (EAS)&lt;/title&gt;&lt;secondary-title&gt;Atherosclerosis&lt;/secondary-title&gt;&lt;/titles&gt;&lt;pages&gt;S1-44&lt;/pages&gt;&lt;volume&gt;217 Suppl 1&lt;/volume&gt;&lt;keywords&gt;&lt;keyword&gt;Adolescent&lt;/keyword&gt;&lt;keyword&gt;Adult&lt;/keyword&gt;&lt;keyword&gt;Aged&lt;/keyword&gt;&lt;keyword&gt;Atherosclerosis/ therapy&lt;/keyword&gt;&lt;keyword&gt;Cardiology/ methods&lt;/keyword&gt;&lt;keyword&gt;Cardiovascular Diseases/therapy&lt;/keyword&gt;&lt;keyword&gt;Child&lt;/keyword&gt;&lt;keyword&gt;Cholesterol/metabolism&lt;/keyword&gt;&lt;keyword&gt;Clinical Trials as Topic&lt;/keyword&gt;&lt;keyword&gt;Dyslipidemias/ therapy&lt;/keyword&gt;&lt;keyword&gt;Europe&lt;/keyword&gt;&lt;keyword&gt;Female&lt;/keyword&gt;&lt;keyword&gt;Genotype&lt;/keyword&gt;&lt;keyword&gt;Humans&lt;/keyword&gt;&lt;keyword&gt;Life Style&lt;/keyword&gt;&lt;keyword&gt;Lipids/blood&lt;/keyword&gt;&lt;keyword&gt;Lipoproteins/metabolism&lt;/keyword&gt;&lt;keyword&gt;Male&lt;/keyword&gt;&lt;keyword&gt;Middle Aged&lt;/keyword&gt;&lt;keyword&gt;Practice Guidelines as Topic&lt;/keyword&gt;&lt;keyword&gt;Societies, Medical&lt;/keyword&gt;&lt;/keywords&gt;&lt;dates&gt;&lt;pub-dates&gt;&lt;date&gt;Jul&lt;/date&gt;&lt;/pub-dates&gt;&lt;/dates&gt;&lt;isbn&gt;1879-1484 (Electronic)&amp;#xD;0021-9150 (Linking)&lt;/isbn&gt;&lt;accession-num&gt;21723445&lt;/accession-num&gt;&lt;urls&gt;&lt;/urls&gt;&lt;/record&gt;&lt;/Cite&gt;&lt;/EndNote&gt;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11</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In addition, the 2013 ACC/AHA guidelines have targeted serum LDL-C, TC and non-HDL-C in reducing the risk of atherogenesis.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Non-modifiable risk factors for coronary heart disease include age, sex (male) and genetic factors (family history). Modifiable risk factors for cardiovascular events include arterial hypertension, nicotine consumption (smoking), diabetes mellitus, dyslipoproteinemia (high LDL-C, low HDL-C), obesity and physical inactivity. Measurement of serum lipid concentrations, evaluation of risk factors and diagnosis of glucose metabolism disorders can identify patients with metabolic syndrome (Table </w:t>
      </w:r>
      <w:r w:rsidR="008F4ED8" w:rsidRPr="00B27B47">
        <w:rPr>
          <w:rFonts w:ascii="Book Antiqua" w:hAnsi="Book Antiqua" w:cs="Calibri" w:hint="eastAsia"/>
          <w:bCs/>
          <w:sz w:val="24"/>
          <w:szCs w:val="24"/>
          <w:lang w:val="en-US" w:eastAsia="zh-CN"/>
        </w:rPr>
        <w:t>5</w:t>
      </w:r>
      <w:r w:rsidRPr="00B27B47">
        <w:rPr>
          <w:rFonts w:ascii="Book Antiqua" w:eastAsia="Times New Roman" w:hAnsi="Book Antiqua" w:cs="Calibri"/>
          <w:bCs/>
          <w:sz w:val="24"/>
          <w:szCs w:val="24"/>
          <w:lang w:val="en-US" w:eastAsia="de-DE"/>
        </w:rPr>
        <w:t xml:space="preserve">). Table </w:t>
      </w:r>
      <w:r w:rsidR="008F4ED8" w:rsidRPr="00B27B47">
        <w:rPr>
          <w:rFonts w:ascii="Book Antiqua" w:hAnsi="Book Antiqua" w:cs="Calibri" w:hint="eastAsia"/>
          <w:bCs/>
          <w:sz w:val="24"/>
          <w:szCs w:val="24"/>
          <w:lang w:val="en-US" w:eastAsia="zh-CN"/>
        </w:rPr>
        <w:t>6</w:t>
      </w:r>
      <w:r w:rsidRPr="00B27B47">
        <w:rPr>
          <w:rFonts w:ascii="Book Antiqua" w:eastAsia="Times New Roman" w:hAnsi="Book Antiqua" w:cs="Calibri"/>
          <w:bCs/>
          <w:sz w:val="24"/>
          <w:szCs w:val="24"/>
          <w:lang w:val="en-US" w:eastAsia="de-DE"/>
        </w:rPr>
        <w:t xml:space="preserve"> shows proposed target serum LDL-C concentrations as a function of individual risk factors. These patients have an increased risk of developing insulin resistance and subsequent cardiovascular events, suggesting they be regularly monitored for cardiovascular risk factors. </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9A4928" w:rsidP="003E1943">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CHARACTERISTICS OF LIVER TRANSPLANT RECIPIENTS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Risk factors for atherosclerosis and cardiovascular events in LT recipients are qualitatively the same as those in the non-transplant population. Quantitatively, LT recipients are at abnormally high risk for the development of atherosclerosis and metabolic dysfunction than the non-transplant population. For example, the reported rate of coronary heart </w:t>
      </w:r>
      <w:r w:rsidR="00830FB9" w:rsidRPr="00B27B47">
        <w:rPr>
          <w:rFonts w:ascii="Book Antiqua" w:eastAsia="Times New Roman" w:hAnsi="Book Antiqua" w:cs="Calibri"/>
          <w:bCs/>
          <w:sz w:val="24"/>
          <w:szCs w:val="24"/>
          <w:lang w:val="en-US" w:eastAsia="de-DE"/>
        </w:rPr>
        <w:t>disease in LT recipients is 30%</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&lt;EndNote&gt;&lt;Cite&gt;&lt;Author&gt;Carey&lt;/Author&gt;&lt;Year&gt;1995&lt;/Year&gt;&lt;RecNum&gt;12&lt;/RecNum&gt;&lt;record&gt;&lt;rec-number&gt;12&lt;/rec-number&gt;&lt;ref-type name="Journal Article"&gt;17&lt;/ref-type&gt;&lt;contributors&gt;&lt;authors&gt;&lt;author&gt;Carey, W. D.&lt;/author&gt;&lt;author&gt;Dumot, J. A.&lt;/author&gt;&lt;author&gt;Pimentel, R. R.&lt;/author&gt;&lt;author&gt;Barnes, D. S.&lt;/author&gt;&lt;author&gt;Hobbs, R. E.&lt;/author&gt;&lt;author&gt;Henderson, J. M.&lt;/author&gt;&lt;author&gt;Vogt, D. P.&lt;/author&gt;&lt;author&gt;Mayes, J. T.&lt;/author&gt;&lt;author&gt;Westveer, M. K.&lt;/author&gt;&lt;author&gt;Easley, K. A.&lt;/author&gt;&lt;/authors&gt;&lt;/contributors&gt;&lt;auth-address&gt;Department of Gastroenterology, Cleveland Clinic Foundation, Ohio 44195, USA.&lt;/auth-address&gt;&lt;titles&gt;&lt;title&gt;The prevalence of coronary artery disease in liver transplant candidates over age 50&lt;/title&gt;&lt;secondary-title&gt;Transplantation&lt;/secondary-title&gt;&lt;/titles&gt;&lt;periodical&gt;&lt;full-title&gt;Transplantation&lt;/full-title&gt;&lt;/periodical&gt;&lt;pages&gt;859-64&lt;/pages&gt;&lt;volume&gt;59&lt;/volume&gt;&lt;number&gt;6&lt;/number&gt;&lt;keywords&gt;&lt;keyword&gt;Age Factors&lt;/keyword&gt;&lt;keyword&gt;Aged&lt;/keyword&gt;&lt;keyword&gt;Angiography&lt;/keyword&gt;&lt;keyword&gt;Coronary Disease/ complications/epidemiology/radiography&lt;/keyword&gt;&lt;keyword&gt;Female&lt;/keyword&gt;&lt;keyword&gt;Humans&lt;/keyword&gt;&lt;keyword&gt;Liver Diseases/ complications/surgery&lt;/keyword&gt;&lt;keyword&gt;Liver Transplantation&lt;/keyword&gt;&lt;keyword&gt;Male&lt;/keyword&gt;&lt;keyword&gt;Middle Aged&lt;/keyword&gt;&lt;keyword&gt;Prevalence&lt;/keyword&gt;&lt;keyword&gt;Prognosis&lt;/keyword&gt;&lt;keyword&gt;Risk Factors&lt;/keyword&gt;&lt;/keywords&gt;&lt;dates&gt;&lt;year&gt;1995&lt;/year&gt;&lt;pub-dates&gt;&lt;date&gt;Mar 27&lt;/date&gt;&lt;/pub-dates&gt;&lt;/dates&gt;&lt;isbn&gt;0041-1337 (Print)&amp;#xD;0041-1337 (Linking)&lt;/isbn&gt;&lt;accession-num&gt;7701580&lt;/accession-num&gt;&lt;urls&gt;&lt;/urls&gt;&lt;/record&gt;&lt;/Cite&gt;&lt;/EndNote&gt;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27</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compared with 9% in the general population</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&lt;EndNote&gt;&lt;Cite&gt;&lt;Author&gt;Gosswald&lt;/Author&gt;&lt;RecNum&gt;12&lt;/RecNum&gt;&lt;record&gt;&lt;rec-number&gt;12&lt;/rec-number&gt;&lt;ref-type name="Journal Article"&gt;17&lt;/ref-type&gt;&lt;contributors&gt;&lt;authors&gt;&lt;author&gt;Gosswald, A.&lt;/author&gt;&lt;author&gt;Schienkiewitz, A.&lt;/author&gt;&lt;author&gt;Nowossadeck, E.&lt;/author&gt;&lt;author&gt;Busch, M. A.&lt;/author&gt;&lt;/authors&gt;&lt;/contributors&gt;&lt;auth-address&gt;Abteilung fur Epidemiologie und Gesundheitsmonitoring, Robert Koch-Institut, General-Pape-Str. 62-66, 12101 Berlin, Deutschland. goesswalda@rki.de&lt;/auth-address&gt;&lt;titles&gt;&lt;title&gt;[Prevalence of myocardial infarction and coronary heart disease in adults aged 40-79 years in Germany: results of the German Health Interview and Examination Survey for Adults (DEGS1)]&lt;/title&gt;&lt;secondary-title&gt;Bundesgesundheitsblatt Gesundheitsforschung Gesundheitsschutz&lt;/secondary-title&gt;&lt;/titles&gt;&lt;periodical&gt;&lt;full-title&gt;Bundesgesundheitsblatt Gesundheitsforschung Gesundheitsschutz&lt;/full-title&gt;&lt;/periodical&gt;&lt;pages&gt;650-5&lt;/pages&gt;&lt;volume&gt;56&lt;/volume&gt;&lt;number&gt;5-6&lt;/number&gt;&lt;keywords&gt;&lt;keyword&gt;Adult&lt;/keyword&gt;&lt;keyword&gt;Aged&lt;/keyword&gt;&lt;keyword&gt;Comorbidity&lt;/keyword&gt;&lt;keyword&gt;Coronary Artery Disease/ mortality&lt;/keyword&gt;&lt;keyword&gt;Female&lt;/keyword&gt;&lt;keyword&gt;Germany/epidemiology&lt;/keyword&gt;&lt;keyword&gt;Health Status&lt;/keyword&gt;&lt;keyword&gt;Health Surveys/ statistics &amp;amp; numerical data&lt;/keyword&gt;&lt;keyword&gt;Humans&lt;/keyword&gt;&lt;keyword&gt;Interviews as Topic/ methods&lt;/keyword&gt;&lt;keyword&gt;Male&lt;/keyword&gt;&lt;keyword&gt;Middle Aged&lt;/keyword&gt;&lt;keyword&gt;Myocardial Infarction/ mortality&lt;/keyword&gt;&lt;keyword&gt;Prevalence&lt;/keyword&gt;&lt;keyword&gt;Risk Assessment&lt;/keyword&gt;&lt;keyword&gt;Survival Analysis&lt;/keyword&gt;&lt;keyword&gt;Survival Rate&lt;/keyword&gt;&lt;/keywords&gt;&lt;dates&gt;&lt;pub-dates&gt;&lt;date&gt;May&lt;/date&gt;&lt;/pub-dates&gt;&lt;/dates&gt;&lt;isbn&gt;1437-1588 (Electronic)&lt;/isbn&gt;&lt;accession-num&gt;23703482&lt;/accession-num&gt;&lt;urls&gt;&lt;/urls&gt;&lt;/record&gt;&lt;/Cite&gt;&lt;/EndNote&gt;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28</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w:t>
      </w:r>
    </w:p>
    <w:p w:rsidR="000F7598" w:rsidRPr="00B27B47" w:rsidRDefault="000F7598" w:rsidP="003E1943">
      <w:pPr>
        <w:shd w:val="clear" w:color="auto" w:fill="FFFFFF"/>
        <w:adjustRightInd w:val="0"/>
        <w:snapToGrid w:val="0"/>
        <w:spacing w:after="0" w:line="360" w:lineRule="auto"/>
        <w:jc w:val="both"/>
        <w:textAlignment w:val="top"/>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Due to the increased life expectancy of LT recipients, it has become a challenge to manage metabolic disorders, which are also associated with immunosuppressive agents in these patients. Therefore, recommendations for lipid management in LT recipients are urgently required, including the consideration of additional cardiovascular risk factors and the effects of immunosuppressive agents.</w:t>
      </w:r>
    </w:p>
    <w:p w:rsidR="000F7598" w:rsidRPr="00B27B47" w:rsidRDefault="000F7598" w:rsidP="00830FB9">
      <w:pPr>
        <w:shd w:val="clear" w:color="auto" w:fill="FFFFFF"/>
        <w:adjustRightInd w:val="0"/>
        <w:snapToGrid w:val="0"/>
        <w:spacing w:after="0" w:line="360" w:lineRule="auto"/>
        <w:ind w:firstLineChars="100" w:firstLine="240"/>
        <w:jc w:val="both"/>
        <w:textAlignment w:val="top"/>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Table </w:t>
      </w:r>
      <w:r w:rsidR="00A27F63" w:rsidRPr="00B27B47">
        <w:rPr>
          <w:rFonts w:ascii="Book Antiqua" w:hAnsi="Book Antiqua" w:cs="Calibri" w:hint="eastAsia"/>
          <w:bCs/>
          <w:sz w:val="24"/>
          <w:szCs w:val="24"/>
          <w:lang w:val="en-US" w:eastAsia="zh-CN"/>
        </w:rPr>
        <w:t>6</w:t>
      </w:r>
      <w:r w:rsidRPr="00B27B47">
        <w:rPr>
          <w:rFonts w:ascii="Book Antiqua" w:eastAsia="Times New Roman" w:hAnsi="Book Antiqua" w:cs="Calibri"/>
          <w:bCs/>
          <w:sz w:val="24"/>
          <w:szCs w:val="24"/>
          <w:lang w:val="en-US" w:eastAsia="de-DE"/>
        </w:rPr>
        <w:t xml:space="preserve"> shows targeted serum LDL-C concentrations in LT recipients. These concentrations are dependent on patient risk category. Long-term serum LDL-C concentrations &gt;</w:t>
      </w:r>
      <w:r w:rsidR="00830FB9"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160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should be avoided. Patients should begin by modifying diet and life style for at least three months; if serum LDL-C concentrations remain higher than recommended, patients whould be started on lipid reducing agents. </w:t>
      </w:r>
    </w:p>
    <w:p w:rsidR="000F7598" w:rsidRPr="00B27B47" w:rsidRDefault="000F7598" w:rsidP="003E1943">
      <w:pPr>
        <w:shd w:val="clear" w:color="auto" w:fill="FFFFFF"/>
        <w:adjustRightInd w:val="0"/>
        <w:snapToGrid w:val="0"/>
        <w:spacing w:after="0" w:line="360" w:lineRule="auto"/>
        <w:jc w:val="both"/>
        <w:textAlignment w:val="top"/>
        <w:rPr>
          <w:rFonts w:ascii="Book Antiqua" w:eastAsia="Times New Roman" w:hAnsi="Book Antiqua" w:cs="Calibri"/>
          <w:bCs/>
          <w:sz w:val="24"/>
          <w:szCs w:val="24"/>
          <w:lang w:val="en-US" w:eastAsia="de-DE"/>
        </w:rPr>
      </w:pPr>
    </w:p>
    <w:p w:rsidR="000F7598" w:rsidRPr="00B27B47" w:rsidRDefault="009A4928" w:rsidP="003E1943">
      <w:pPr>
        <w:shd w:val="clear" w:color="auto" w:fill="FFFFFF"/>
        <w:adjustRightInd w:val="0"/>
        <w:snapToGrid w:val="0"/>
        <w:spacing w:after="0" w:line="360" w:lineRule="auto"/>
        <w:jc w:val="both"/>
        <w:textAlignment w:val="top"/>
        <w:rPr>
          <w:rFonts w:ascii="Book Antiqua" w:eastAsia="Times New Roman" w:hAnsi="Book Antiqua" w:cs="Calibri"/>
          <w:b/>
          <w:sz w:val="24"/>
          <w:szCs w:val="24"/>
          <w:lang w:val="en-US" w:eastAsia="de-DE"/>
        </w:rPr>
      </w:pPr>
      <w:bookmarkStart w:id="282" w:name="OLE_LINK2848"/>
      <w:bookmarkStart w:id="283" w:name="OLE_LINK2849"/>
      <w:r w:rsidRPr="00B27B47">
        <w:rPr>
          <w:rFonts w:ascii="Book Antiqua" w:eastAsia="Times New Roman" w:hAnsi="Book Antiqua" w:cs="Calibri"/>
          <w:b/>
          <w:sz w:val="24"/>
          <w:szCs w:val="24"/>
          <w:lang w:val="en-US" w:eastAsia="de-DE"/>
        </w:rPr>
        <w:t>IMMUNOSUPPRESSIVE THERAPY AND THE DEVELOPMENT OF HLP</w:t>
      </w:r>
    </w:p>
    <w:bookmarkEnd w:id="282"/>
    <w:bookmarkEnd w:id="283"/>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HLP has been observed in up to 45% of LT recipients, regardless of immunosuppressive medication</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&lt;EndNote&gt;&lt;Cite&gt;&lt;Author&gt;Mathe&lt;/Author&gt;&lt;Year&gt;1992&lt;/Year&gt;&lt;RecNum&gt;9&lt;/RecNum&gt;&lt;record&gt;&lt;rec-number&gt;9&lt;/rec-number&gt;&lt;ref-type name="Journal Article"&gt;17&lt;/ref-type&gt;&lt;contributors&gt;&lt;authors&gt;&lt;author&gt;Mathe, D.&lt;/author&gt;&lt;author&gt;Adam, R.&lt;/author&gt;&lt;author&gt;Malmendier, C.&lt;/author&gt;&lt;author&gt;Gigou, M.&lt;/author&gt;&lt;author&gt;Lontie, J. F.&lt;/author&gt;&lt;author&gt;Dubois, D.&lt;/author&gt;&lt;author&gt;Martin, C.&lt;/author&gt;&lt;author&gt;Bismuth, H.&lt;/author&gt;&lt;author&gt;Jacotot, B.&lt;/author&gt;&lt;/authors&gt;&lt;/contributors&gt;&lt;auth-address&gt;Unite de Recherche sur les dylipidemies et l&amp;apos;atherosclerose, INSERM U 32, Hopital H. Mondor, Creteil, France.&lt;/auth-address&gt;&lt;titles&gt;&lt;title&gt;Prevalence of dyslipidemia in liver transplant recipients&lt;/title&gt;&lt;secondary-title&gt;Transplantation&lt;/secondary-title&gt;&lt;/titles&gt;&lt;periodical&gt;&lt;full-title&gt;Transplantation&lt;/full-title&gt;&lt;/periodical&gt;&lt;pages&gt;167-70&lt;/pages&gt;&lt;volume&gt;54&lt;/volume&gt;&lt;number&gt;1&lt;/number&gt;&lt;keywords&gt;&lt;keyword&gt;Adolescent&lt;/keyword&gt;&lt;keyword&gt;Adult&lt;/keyword&gt;&lt;keyword&gt;Apolipoproteins/blood&lt;/keyword&gt;&lt;keyword&gt;Female&lt;/keyword&gt;&lt;keyword&gt;Humans&lt;/keyword&gt;&lt;keyword&gt;Hyperlipidemias/ etiology&lt;/keyword&gt;&lt;keyword&gt;Lipids/blood&lt;/keyword&gt;&lt;keyword&gt;Lipoproteins/blood&lt;/keyword&gt;&lt;keyword&gt;Liver Transplantation/ adverse effects&lt;/keyword&gt;&lt;keyword&gt;Male&lt;/keyword&gt;&lt;keyword&gt;Middle Aged&lt;/keyword&gt;&lt;/keywords&gt;&lt;dates&gt;&lt;year&gt;1992&lt;/year&gt;&lt;pub-dates&gt;&lt;date&gt;Jul&lt;/date&gt;&lt;/pub-dates&gt;&lt;/dates&gt;&lt;isbn&gt;0041-1337 (Print)&amp;#xD;0041-1337 (Linking)&lt;/isbn&gt;&lt;accession-num&gt;1631928&lt;/accession-num&gt;&lt;urls&gt;&lt;/urls&gt;&lt;/record&gt;&lt;/Cite&gt;&lt;/EndNote&gt;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8</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and recent studies have reported HLP in 32%–49% of LT recipients after 10–23 </w:t>
      </w:r>
      <w:r w:rsidR="00830FB9" w:rsidRPr="00B27B47">
        <w:rPr>
          <w:rFonts w:ascii="Book Antiqua" w:hAnsi="Book Antiqua" w:cs="Calibri" w:hint="eastAsia"/>
          <w:bCs/>
          <w:sz w:val="24"/>
          <w:szCs w:val="24"/>
          <w:lang w:val="en-US" w:eastAsia="zh-CN"/>
        </w:rPr>
        <w:t>mo</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&lt;EndNote&gt;&lt;Cite&gt;&lt;Author&gt;Morard&lt;/Author&gt;&lt;Year&gt;2007&lt;/Year&gt;&lt;RecNum&gt;13&lt;/RecNum&gt;&lt;record&gt;&lt;rec-number&gt;13&lt;/rec-number&gt;&lt;ref-type name='Journal Article'&gt;17&lt;/ref-type&gt;&lt;contributors&gt;&lt;authors&gt;&lt;author&gt;Morard, I.&lt;/author&gt;&lt;author&gt;Dumortier, J.&lt;/author&gt;&lt;author&gt;Spahr, L.&lt;/author&gt;&lt;author&gt;Hadengue, A.&lt;/author&gt;&lt;author&gt;Majno, P.&lt;/author&gt;&lt;author&gt;Morel, P.&lt;/author&gt;&lt;author&gt;Mentha, G.&lt;/author&gt;&lt;author&gt;Giostra, E.&lt;/author&gt;&lt;/authors&gt;&lt;/contributors&gt;&lt;auth-address&gt;Hepatogastroenterology, Geneva University Hospital, Geneva, Switzerland.&lt;/auth-address&gt;&lt;titles&gt;&lt;title&gt;Conversion to sirolimus-based immunosuppression in maintenance liver transplantation patients&lt;/title&gt;&lt;secondary-title&gt;Liver Transpl&lt;/secondary-title&gt;&lt;/titles&gt;&lt;periodical&gt;&lt;full-title&gt;Liver Transpl&lt;/full-title&gt;&lt;/periodical&gt;&lt;pages&gt;658-64&lt;/pages&gt;&lt;volume&gt;13&lt;/volume&gt;&lt;number&gt;5&lt;/number&gt;&lt;keywords&gt;&lt;keyword&gt;Aged&lt;/keyword&gt;&lt;keyword&gt;Calcineurin Inhibitors&lt;/keyword&gt;&lt;keyword&gt;Feasibility Studies&lt;/keyword&gt;&lt;keyword&gt;Female&lt;/keyword&gt;&lt;keyword&gt;Follow-Up Studies&lt;/keyword&gt;&lt;keyword&gt;Glomerular Filtration Rate/drug effects&lt;/keyword&gt;&lt;keyword&gt;Humans&lt;/keyword&gt;&lt;keyword&gt;Immunosuppressive Agents/adverse effects/ therapeutic use&lt;/keyword&gt;&lt;keyword&gt;Kidney/drug effects/physiopathology&lt;/keyword&gt;&lt;keyword&gt;Liver Transplantation/adverse effects&lt;/keyword&gt;&lt;keyword&gt;Male&lt;/keyword&gt;&lt;keyword&gt;Middle Aged&lt;/keyword&gt;&lt;keyword&gt;Neoplasms/etiology&lt;/keyword&gt;&lt;keyword&gt;Nervous System Diseases/chemically induced&lt;/keyword&gt;&lt;keyword&gt;Postoperative Care&lt;/keyword&gt;&lt;keyword&gt;Retreatment&lt;/keyword&gt;&lt;keyword&gt;Sirolimus/adverse effects/ therapeutic use&lt;/keyword&gt;&lt;keyword&gt;Treatment Outcome&lt;/keyword&gt;&lt;/keywords&gt;&lt;dates&gt;&lt;year&gt;2007&lt;/year&gt;&lt;pub-dates&gt;&lt;date&gt;May&lt;/date&gt;&lt;/pub-dates&gt;&lt;/dates&gt;&lt;isbn&gt;1527-6465 (Print)&amp;#xD;1527-6465 (Linking)&lt;/isbn&gt;&lt;accession-num&gt;17457887&lt;/accession-num&gt;&lt;urls&gt;&lt;/urls&gt;&lt;/record&gt;&lt;/Cite&gt;&lt;Cite&gt;&lt;Author&gt;Morard&lt;/Author&gt;&lt;RecNum&gt;14&lt;/RecNum&gt;&lt;record&gt;&lt;rec-number&gt;14&lt;/rec-number&gt;&lt;ref-type name='Journal Article'&gt;17&lt;/ref-type&gt;&lt;contributors&gt;&lt;authors&gt;&lt;author&gt;Morard, I.&lt;/author&gt;&lt;author&gt;Dumortier, J.&lt;/author&gt;&lt;author&gt;Spahr, L.&lt;/author&gt;&lt;author&gt;Hadengue, A.&lt;/author&gt;&lt;author&gt;Majno, P.&lt;/author&gt;&lt;author&gt;Morel, P.&lt;/author&gt;&lt;author&gt;Mentha, G.&lt;/author&gt;&lt;author&gt;Giostra, E.&lt;/author&gt;&lt;/authors&gt;&lt;/contributors&gt;&lt;titles&gt;&lt;title&gt;Conversion to sirolimus-based immunosuppression in maintenance liver transplantation patients&lt;/title&gt;&lt;secondary-title&gt;Liver Transpl. 2007 May;13(5):658-64.&lt;/secondary-title&gt;&lt;/titles&gt;&lt;periodical&gt;&lt;full-title&gt;Liver Transpl. 2007 May;13(5):658-64.&lt;/full-title&gt;&lt;/periodical&gt;&lt;dates&gt;&lt;/dates&gt;&lt;urls&gt;&lt;/urls&gt;&lt;/record&gt;&lt;/Cite&gt;&lt;Cite&gt;&lt;Author&gt;De Simone&lt;/Author&gt;&lt;Year&gt;2009&lt;/Year&gt;&lt;RecNum&gt;15&lt;/RecNum&gt;&lt;record&gt;&lt;rec-number&gt;15&lt;/rec-number&gt;&lt;ref-type name='Journal Article'&gt;17&lt;/ref-type&gt;&lt;contributors&gt;&lt;authors&gt;&lt;author&gt;De Simone, P.&lt;/author&gt;&lt;author&gt;Precisi, A.&lt;/author&gt;&lt;author&gt;Petruccelli, S.&lt;/author&gt;&lt;author&gt;Balzano, E.&lt;/author&gt;&lt;author&gt;Carrai, P.&lt;/author&gt;&lt;author&gt;Catalano, G.&lt;/author&gt;&lt;author&gt;Campani, D.&lt;/author&gt;&lt;author&gt;Filipponi, F.&lt;/author&gt;&lt;/authors&gt;&lt;/contributors&gt;&lt;auth-address&gt;Unita Operativa Chirurgia Generale e Trapianti di Fegato, Azienda Ospedaliero-Universitaria Pisana, Pisa, Italy.&lt;/auth-address&gt;&lt;titles&gt;&lt;title&gt;The impact of everolimus on renal function in maintenance liver transplantation&lt;/title&gt;&lt;secondary-title&gt;Transplant Proc&lt;/secondary-title&gt;&lt;/titles&gt;&lt;periodical&gt;&lt;full-title&gt;Transplant Proc&lt;/full-title&gt;&lt;/periodical&gt;&lt;pages&gt;1300-2&lt;/pages&gt;&lt;volume&gt;41&lt;/volume&gt;&lt;number&gt;4&lt;/number&gt;&lt;keywords&gt;&lt;keyword&gt;Adult&lt;/keyword&gt;&lt;keyword&gt;Aged&lt;/keyword&gt;&lt;keyword&gt;Female&lt;/keyword&gt;&lt;keyword&gt;Humans&lt;/keyword&gt;&lt;keyword&gt;Immunosuppressive Agents/administration &amp;amp; dosage/ adverse effects&lt;/keyword&gt;&lt;keyword&gt;Kidney/ drug effects/physiopathology&lt;/keyword&gt;&lt;keyword&gt;Liver Transplantation&lt;/keyword&gt;&lt;keyword&gt;Male&lt;/keyword&gt;&lt;keyword&gt;Middle Aged&lt;/keyword&gt;&lt;keyword&gt;Sirolimus/administration &amp;amp; dosage/adverse effects/ analogs &amp;amp; derivatives&lt;/keyword&gt;&lt;/keywords&gt;&lt;dates&gt;&lt;year&gt;2009&lt;/year&gt;&lt;pub-dates&gt;&lt;date&gt;May&lt;/date&gt;&lt;/pub-dates&gt;&lt;/dates&gt;&lt;isbn&gt;1873-2623 (Electronic)&amp;#xD;0041-1345 (Linking)&lt;/isbn&gt;&lt;accession-num&gt;19460545&lt;/accession-num&gt;&lt;urls&gt;&lt;/urls&gt;&lt;/record&gt;&lt;/Cite&gt;&lt;Cite&gt;&lt;Author&gt;Schleicher&lt;/Author&gt;&lt;RecNum&gt;16&lt;/RecNum&gt;&lt;record&gt;&lt;rec-number&gt;16&lt;/rec-number&gt;&lt;ref-type name='Journal Article'&gt;17&lt;/ref-type&gt;&lt;contributors&gt;&lt;authors&gt;&lt;author&gt;Schleicher, C.&lt;/author&gt;&lt;author&gt;Palmes, D.&lt;/author&gt;&lt;author&gt;Utech, M.&lt;/author&gt;&lt;author&gt;Bonrath, E.&lt;/author&gt;&lt;author&gt;Senninger, N.&lt;/author&gt;&lt;author&gt;Schmidt, H.&lt;/author&gt;&lt;author&gt;Wolters, H.&lt;/author&gt;&lt;/authors&gt;&lt;/contributors&gt;&lt;auth-address&gt;Department of General and Visceral Surgery, University of Muenster, Germany. christina.schleicher@ukmuenster.de&lt;/auth-address&gt;&lt;titles&gt;&lt;title&gt;Timing of conversion to mammalian target of rapamycin inhibitors is crucial in liver transplant recipients with impaired renal function at transplantation&lt;/title&gt;&lt;secondary-title&gt;Transplant Proc&lt;/secondary-title&gt;&lt;/titles&gt;&lt;periodical&gt;&lt;full-title&gt;Transplant Proc&lt;/full-title&gt;&lt;/periodical&gt;&lt;pages&gt;2572-5&lt;/pages&gt;&lt;volume&gt;42&lt;/volume&gt;&lt;number&gt;7&lt;/number&gt;&lt;keywords&gt;&lt;keyword&gt;Adult&lt;/keyword&gt;&lt;keyword&gt;Aged&lt;/keyword&gt;&lt;keyword&gt;Creatinine/blood&lt;/keyword&gt;&lt;keyword&gt;Female&lt;/keyword&gt;&lt;keyword&gt;Glomerular Filtration Rate/drug effects&lt;/keyword&gt;&lt;keyword&gt;Humans&lt;/keyword&gt;&lt;keyword&gt;Immunosuppressive Agents/ therapeutic use&lt;/keyword&gt;&lt;keyword&gt;Kidney Diseases/etiology/immunology&lt;/keyword&gt;&lt;keyword&gt;Liver Diseases/classification/surgery&lt;/keyword&gt;&lt;keyword&gt;Liver Transplantation/ adverse effects/ immunology&lt;/keyword&gt;&lt;keyword&gt;Male&lt;/keyword&gt;&lt;keyword&gt;Middle Aged&lt;/keyword&gt;&lt;keyword&gt;Sirolimus/analogs &amp;amp; derivatives/therapeutic use&lt;/keyword&gt;&lt;keyword&gt;TOR Serine-Threonine Kinases/ antagonists &amp;amp; inhibitors&lt;/keyword&gt;&lt;/keywords&gt;&lt;dates&gt;&lt;pub-dates&gt;&lt;date&gt;Sep&lt;/date&gt;&lt;/pub-dates&gt;&lt;/dates&gt;&lt;isbn&gt;1873-2623 (Electronic)&amp;#xD;0041-1345 (Linking)&lt;/isbn&gt;&lt;accession-num&gt;20832546&lt;/accession-num&gt;&lt;urls&gt;&lt;/urls&gt;&lt;/record&gt;&lt;/Cite&gt;&lt;Cite&gt;&lt;Author&gt;Vallin&lt;/Author&gt;&lt;RecNum&gt;17&lt;/RecNum&gt;&lt;record&gt;&lt;rec-number&gt;17&lt;/rec-number&gt;&lt;ref-type name='Journal Article'&gt;17&lt;/ref-type&gt;&lt;contributors&gt;&lt;authors&gt;&lt;author&gt;Vallin, M.&lt;/author&gt;&lt;author&gt;Guillaud, O.&lt;/author&gt;&lt;author&gt;Morard, I.&lt;/author&gt;&lt;author&gt;Gagnieu, M. C.&lt;/author&gt;&lt;author&gt;Mentha, G.&lt;/author&gt;&lt;author&gt;Adham, M.&lt;/author&gt;&lt;author&gt;Morelon, E.&lt;/author&gt;&lt;author&gt;Boillot, O.&lt;/author&gt;&lt;author&gt;Giostra, E.&lt;/author&gt;&lt;author&gt;Dumortier, J.&lt;/author&gt;&lt;/authors&gt;&lt;/contributors&gt;&lt;auth-address&gt;Liver Transplantation Unit, Edouard Herriot Hospital, Lyon, France.&lt;/auth-address&gt;&lt;titles&gt;&lt;title&gt;Tolerability of everolimus-based immunosuppression in maintenance liver transplant recipients&lt;/title&gt;&lt;secondary-title&gt;Clin Transplant&lt;/secondary-title&gt;&lt;/titles&gt;&lt;periodical&gt;&lt;full-title&gt;Clin Transplant&lt;/full-title&gt;&lt;/periodical&gt;&lt;pages&gt;660-9&lt;/pages&gt;&lt;volume&gt;25&lt;/volume&gt;&lt;number&gt;4&lt;/number&gt;&lt;keywords&gt;&lt;keyword&gt;Calcineurin Inhibitors&lt;/keyword&gt;&lt;keyword&gt;Cohort Studies&lt;/keyword&gt;&lt;keyword&gt;Cyclosporine/ therapeutic use&lt;/keyword&gt;&lt;keyword&gt;Female&lt;/keyword&gt;&lt;keyword&gt;Follow-Up Studies&lt;/keyword&gt;&lt;keyword&gt;Graft Rejection/ drug therapy&lt;/keyword&gt;&lt;keyword&gt;Graft Survival&lt;/keyword&gt;&lt;keyword&gt;Humans&lt;/keyword&gt;&lt;keyword&gt;Immune Tolerance/ drug effects&lt;/keyword&gt;&lt;keyword&gt;Immunosuppressive Agents/ therapeutic use&lt;/keyword&gt;&lt;keyword&gt;Liver Transplantation&lt;/keyword&gt;&lt;keyword&gt;Male&lt;/keyword&gt;&lt;keyword&gt;Middle Aged&lt;/keyword&gt;&lt;keyword&gt;Sirolimus/ analogs &amp;amp; derivatives/therapeutic use&lt;/keyword&gt;&lt;keyword&gt;Survival Rate&lt;/keyword&gt;&lt;keyword&gt;Tacrolimus/ therapeutic use&lt;/keyword&gt;&lt;keyword&gt;Treatment Outcome&lt;/keyword&gt;&lt;/keywords&gt;&lt;dates&gt;&lt;pub-dates&gt;&lt;date&gt;Jul-Aug&lt;/date&gt;&lt;/pub-dates&gt;&lt;/dates&gt;&lt;isbn&gt;1399-0012 (Electronic)&amp;#xD;0902-0063 (Linking)&lt;/isbn&gt;&lt;accession-num&gt;21158921&lt;/accession-num&gt;&lt;urls&gt;&lt;/urls&gt;&lt;/record&gt;&lt;/Cite&gt;&lt;Cite&gt;&lt;Author&gt;M. Vallin&lt;/Author&gt;&lt;Year&gt;2009&lt;/Year&gt;&lt;RecNum&gt;30&lt;/RecNum&gt;&lt;record&gt;&lt;rec-number&gt;30&lt;/rec-number&gt;&lt;ref-type name="Journal Article"&gt;17&lt;/ref-type&gt;&lt;contributors&gt;&lt;authors&gt;&lt;author&gt;M. Vallin, O. Guillaud, I. Morard, M.-C. Gagnieu, G. Mentha, M. Adham, E. Morelon, E. Giostra, and others&lt;/author&gt;&lt;/authors&gt;&lt;/contributors&gt;&lt;titles&gt;&lt;title&gt;CONVERSION TO EVEROLIMUS-BASED IMMUNOSUPPRESSION IN MAINTENANCE LIVER TRANSPLANT PATIENTS: RESULTS FROM 94 PATIENTS&lt;/title&gt;&lt;secondary-title&gt;Journal of Hepatology&lt;/secondary-title&gt;&lt;/titles&gt;&lt;periodical&gt;&lt;full-title&gt;Journal of Hepatology&lt;/full-title&gt;&lt;/periodical&gt;&lt;pages&gt;186&lt;/pages&gt;&lt;volume&gt;50&lt;/volume&gt;&lt;dates&gt;&lt;year&gt;2009&lt;/year&gt;&lt;/dates&gt;&lt;urls&gt;&lt;/urls&gt;&lt;/record&gt;&lt;/Cite&gt;&lt;/EndNote&gt;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29-3</w:t>
      </w:r>
      <w:r w:rsidR="00751D25" w:rsidRPr="00B27B47">
        <w:rPr>
          <w:rFonts w:ascii="Book Antiqua" w:hAnsi="Book Antiqua" w:cs="Calibri" w:hint="eastAsia"/>
          <w:bCs/>
          <w:sz w:val="24"/>
          <w:szCs w:val="24"/>
          <w:vertAlign w:val="superscript"/>
          <w:lang w:val="en-US" w:eastAsia="zh-CN"/>
        </w:rPr>
        <w:t>3</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Hypercholesterolemia has been reported in 13%–46% of LT recipients after 11–20 </w:t>
      </w:r>
      <w:r w:rsidR="00830FB9" w:rsidRPr="00B27B47">
        <w:rPr>
          <w:rFonts w:ascii="Book Antiqua" w:hAnsi="Book Antiqua" w:cs="Calibri" w:hint="eastAsia"/>
          <w:bCs/>
          <w:sz w:val="24"/>
          <w:szCs w:val="24"/>
          <w:lang w:val="en-US" w:eastAsia="zh-CN"/>
        </w:rPr>
        <w:t>mo</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&lt;EndNote&gt;&lt;Cite&gt;&lt;Author&gt;Castroagudin&lt;/Author&gt;&lt;Year&gt;2009&lt;/Year&gt;&lt;RecNum&gt;18&lt;/RecNum&gt;&lt;record&gt;&lt;rec-number&gt;18&lt;/rec-number&gt;&lt;ref-type name="Journal Article"&gt;17&lt;/ref-type&gt;&lt;contributors&gt;&lt;authors&gt;&lt;author&gt;Castroagudin, J. F.&lt;/author&gt;&lt;author&gt;Molina, E.&lt;/author&gt;&lt;author&gt;Romero, R.&lt;/author&gt;&lt;author&gt;Otero, E.&lt;/author&gt;&lt;author&gt;Tome, S.&lt;/author&gt;&lt;author&gt;Varo, E.&lt;/author&gt;&lt;/authors&gt;&lt;/contributors&gt;&lt;auth-address&gt;Liver Transplantation Unit, Hospital Clinico Universitario de Santiago, Santiago de Compostela, Spain.&lt;/auth-address&gt;&lt;titles&gt;&lt;title&gt;Improvement of renal function after the switch from a calcineurin inhibitor to everolimus in liver transplant recipients with chronic renal dysfunction&lt;/title&gt;&lt;secondary-title&gt;Liver Transpl&lt;/secondary-title&gt;&lt;/titles&gt;&lt;periodical&gt;&lt;full-title&gt;Liver Transpl&lt;/full-title&gt;&lt;/periodical&gt;&lt;pages&gt;1792-7&lt;/pages&gt;&lt;volume&gt;15&lt;/volume&gt;&lt;number&gt;12&lt;/number&gt;&lt;keywords&gt;&lt;keyword&gt;Adult&lt;/keyword&gt;&lt;keyword&gt;Aged&lt;/keyword&gt;&lt;keyword&gt;Biological Markers/blood&lt;/keyword&gt;&lt;keyword&gt;Calcineurin Inhibitors&lt;/keyword&gt;&lt;keyword&gt;Chronic Disease&lt;/keyword&gt;&lt;keyword&gt;Creatinine/blood&lt;/keyword&gt;&lt;keyword&gt;Cyclosporine/ administration &amp;amp; dosage/adverse effects&lt;/keyword&gt;&lt;keyword&gt;Drug Administration Schedule&lt;/keyword&gt;&lt;keyword&gt;Feasibility Studies&lt;/keyword&gt;&lt;keyword&gt;Female&lt;/keyword&gt;&lt;keyword&gt;Glomerular Filtration Rate/drug effects&lt;/keyword&gt;&lt;keyword&gt;Graft Rejection/etiology/prevention &amp;amp; control&lt;/keyword&gt;&lt;keyword&gt;Humans&lt;/keyword&gt;&lt;keyword&gt;Immunosuppressive Agents/ administration &amp;amp; dosage/adverse effects&lt;/keyword&gt;&lt;keyword&gt;Kidney Diseases/etiology/physiopathology/ prevention &amp;amp; control&lt;/keyword&gt;&lt;keyword&gt;Liver Diseases/ surgery&lt;/keyword&gt;&lt;keyword&gt;Liver Transplantation/ adverse effects&lt;/keyword&gt;&lt;keyword&gt;Male&lt;/keyword&gt;&lt;keyword&gt;Middle Aged&lt;/keyword&gt;&lt;keyword&gt;Prospective Studies&lt;/keyword&gt;&lt;keyword&gt;Sirolimus/administration &amp;amp; dosage/adverse effects/ analogs &amp;amp; derivatives&lt;/keyword&gt;&lt;keyword&gt;Tacrolimus/ administration &amp;amp; dosage/adverse effects&lt;/keyword&gt;&lt;keyword&gt;Time Factors&lt;/keyword&gt;&lt;keyword&gt;Treatment Outcome&lt;/keyword&gt;&lt;/keywords&gt;&lt;dates&gt;&lt;year&gt;2009&lt;/year&gt;&lt;pub-dates&gt;&lt;date&gt;Dec&lt;/date&gt;&lt;/pub-dates&gt;&lt;/dates&gt;&lt;isbn&gt;1527-6473 (Electronic)&amp;#xD;1527-6465 (Linking)&lt;/isbn&gt;&lt;accession-num&gt;19938140&lt;/accession-num&gt;&lt;urls&gt;&lt;/urls&gt;&lt;/record&gt;&lt;/Cite&gt;&lt;Cite&gt;&lt;Author&gt;Martinez&lt;/Author&gt;&lt;RecNum&gt;19&lt;/RecNum&gt;&lt;record&gt;&lt;rec-number&gt;19&lt;/rec-number&gt;&lt;ref-type name="Journal Article"&gt;17&lt;/ref-type&gt;&lt;contributors&gt;&lt;authors&gt;&lt;author&gt;Martinez, J. M.&lt;/author&gt;&lt;author&gt;Pulido, L. B.&lt;/author&gt;&lt;author&gt;Bellido, C. B.&lt;/author&gt;&lt;author&gt;Usero, D. D.&lt;/author&gt;&lt;author&gt;Aguilar, L. T.&lt;/author&gt;&lt;author&gt;Moreno, J. L.&lt;/author&gt;&lt;author&gt;Artacho, G. S.&lt;/author&gt;&lt;author&gt;Diez-Canedo, J. S.&lt;/author&gt;&lt;author&gt;Gomez, L. M.&lt;/author&gt;&lt;author&gt;Bravo, M. A.&lt;/author&gt;&lt;/authors&gt;&lt;/contributors&gt;&lt;auth-address&gt;Liver Transplant Unit, Virgen del Rocio Hospital, Seville, Spain. jmalamom@terra.es&lt;/auth-address&gt;&lt;titles&gt;&lt;title&gt;Rescue immunosuppression with mammalian target of rapamycin inhibitor drugs in liver transplantation&lt;/title&gt;&lt;secondary-title&gt;Transplant Proc&lt;/secondary-title&gt;&lt;/titles&gt;&lt;periodical&gt;&lt;full-title&gt;Transplant Proc&lt;/full-title&gt;&lt;/periodical&gt;&lt;pages&gt;641-3&lt;/pages&gt;&lt;volume&gt;42&lt;/volume&gt;&lt;number&gt;2&lt;/number&gt;&lt;keywords&gt;&lt;keyword&gt;Carcinoma, Hepatocellular/surgery&lt;/keyword&gt;&lt;keyword&gt;Graft Rejection/immunology&lt;/keyword&gt;&lt;keyword&gt;Humans&lt;/keyword&gt;&lt;keyword&gt;Immunosuppressive Agents/adverse effects/ therapeutic use&lt;/keyword&gt;&lt;keyword&gt;Intracellular Signaling Peptides and Proteins/ antagonists &amp;amp; inhibitors&lt;/keyword&gt;&lt;keyword&gt;Liver Neoplasms/surgery&lt;/keyword&gt;&lt;keyword&gt;Liver Transplantation/ immunology&lt;/keyword&gt;&lt;keyword&gt;Neoplasm Recurrence, Local/epidemiology&lt;/keyword&gt;&lt;keyword&gt;Protein-Serine-Threonine Kinases/ antagonists &amp;amp; inhibitors&lt;/keyword&gt;&lt;keyword&gt;Safety&lt;/keyword&gt;&lt;keyword&gt;Sirolimus/adverse effects/ analogs &amp;amp; derivatives/ therapeutic use&lt;/keyword&gt;&lt;keyword&gt;TOR Serine-Threonine Kinases&lt;/keyword&gt;&lt;/keywords&gt;&lt;dates&gt;&lt;pub-dates&gt;&lt;date&gt;Mar&lt;/date&gt;&lt;/pub-dates&gt;&lt;/dates&gt;&lt;isbn&gt;1873-2623 (Electronic)&amp;#xD;0041-1345 (Linking)&lt;/isbn&gt;&lt;accession-num&gt;20304212&lt;/accession-num&gt;&lt;urls&gt;&lt;/urls&gt;&lt;/record&gt;&lt;/Cite&gt;&lt;Cite&gt;&lt;Author&gt;Saliba&lt;/Author&gt;&lt;RecNum&gt;25&lt;/RecNum&gt;&lt;record&gt;&lt;rec-number&gt;25&lt;/rec-number&gt;&lt;ref-type name="Journal Article"&gt;17&lt;/ref-type&gt;&lt;contributors&gt;&lt;authors&gt;&lt;author&gt;Saliba, F.&lt;/author&gt;&lt;author&gt;Dharancy, S.&lt;/author&gt;&lt;author&gt;Lorho, R.&lt;/author&gt;&lt;author&gt;Conti, F.&lt;/author&gt;&lt;author&gt;Radenne, S.&lt;/author&gt;&lt;author&gt;Neau-Cransac, M.&lt;/author&gt;&lt;author&gt;Hurtova, M.&lt;/author&gt;&lt;author&gt;Hardwigsen, J.&lt;/author&gt;&lt;author&gt;Calmus, Y.&lt;/author&gt;&lt;author&gt;Dumortier, J.&lt;/author&gt;&lt;/authors&gt;&lt;/contributors&gt;&lt;auth-address&gt;Centre Hepato-Biliaire, Hopital Paul Brousse, Assistance Publique-Hopitaux de Paris, Universite Paris-Sud, Villejuif, France. faouzi.saliba@pbr.aphp.fr&lt;/auth-address&gt;&lt;titles&gt;&lt;title&gt;Conversion to everolimus in maintenance liver transplant patients: a multicenter, retrospective analysis&lt;/title&gt;&lt;secondary-title&gt;Liver Transpl&lt;/secondary-title&gt;&lt;/titles&gt;&lt;periodical&gt;&lt;full-title&gt;Liver Transpl&lt;/full-title&gt;&lt;/periodical&gt;&lt;pages&gt;905-13&lt;/pages&gt;&lt;volume&gt;17&lt;/volume&gt;&lt;number&gt;8&lt;/number&gt;&lt;keywords&gt;&lt;keyword&gt;Adult&lt;/keyword&gt;&lt;keyword&gt;Aged&lt;/keyword&gt;&lt;keyword&gt;Biopsy&lt;/keyword&gt;&lt;keyword&gt;Calcineurin Inhibitors&lt;/keyword&gt;&lt;keyword&gt;Female&lt;/keyword&gt;&lt;keyword&gt;Glomerular Filtration Rate&lt;/keyword&gt;&lt;keyword&gt;Graft Rejection&lt;/keyword&gt;&lt;keyword&gt;Humans&lt;/keyword&gt;&lt;keyword&gt;Immunosuppressive Agents/therapeutic use&lt;/keyword&gt;&lt;keyword&gt;Liver Transplantation/ methods&lt;/keyword&gt;&lt;keyword&gt;Male&lt;/keyword&gt;&lt;keyword&gt;Middle Aged&lt;/keyword&gt;&lt;keyword&gt;Retrospective Studies&lt;/keyword&gt;&lt;keyword&gt;Risk&lt;/keyword&gt;&lt;keyword&gt;Sirolimus/ analogs &amp;amp; derivatives/therapeutic use&lt;/keyword&gt;&lt;keyword&gt;Time Factors&lt;/keyword&gt;&lt;keyword&gt;Treatment Outcome&lt;/keyword&gt;&lt;keyword&gt;Triglycerides/metabolism&lt;/keyword&gt;&lt;/keywords&gt;&lt;dates&gt;&lt;pub-dates&gt;&lt;date&gt;Aug&lt;/date&gt;&lt;/pub-dates&gt;&lt;/dates&gt;&lt;isbn&gt;1527-6473 (Electronic)&amp;#xD;1527-6465 (Linking)&lt;/isbn&gt;&lt;accession-num&gt;21384525&lt;/accession-num&gt;&lt;urls&gt;&lt;/urls&gt;&lt;/record&gt;&lt;/Cite&gt;&lt;/EndNote&gt;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3</w:t>
      </w:r>
      <w:r w:rsidR="00751D25" w:rsidRPr="00B27B47">
        <w:rPr>
          <w:rFonts w:ascii="Book Antiqua" w:hAnsi="Book Antiqua" w:cs="Calibri" w:hint="eastAsia"/>
          <w:bCs/>
          <w:sz w:val="24"/>
          <w:szCs w:val="24"/>
          <w:vertAlign w:val="superscript"/>
          <w:lang w:val="en-US" w:eastAsia="zh-CN"/>
        </w:rPr>
        <w:t>4</w:t>
      </w:r>
      <w:r w:rsidRPr="00B27B47">
        <w:rPr>
          <w:rFonts w:ascii="Book Antiqua" w:eastAsia="Times New Roman" w:hAnsi="Book Antiqua" w:cs="Calibri"/>
          <w:bCs/>
          <w:sz w:val="24"/>
          <w:szCs w:val="24"/>
          <w:vertAlign w:val="superscript"/>
          <w:lang w:val="en-US" w:eastAsia="de-DE"/>
        </w:rPr>
        <w:t>-3</w:t>
      </w:r>
      <w:r w:rsidR="00751D25" w:rsidRPr="00B27B47">
        <w:rPr>
          <w:rFonts w:ascii="Book Antiqua" w:hAnsi="Book Antiqua" w:cs="Calibri" w:hint="eastAsia"/>
          <w:bCs/>
          <w:sz w:val="24"/>
          <w:szCs w:val="24"/>
          <w:vertAlign w:val="superscript"/>
          <w:lang w:val="en-US" w:eastAsia="zh-CN"/>
        </w:rPr>
        <w:t>6</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and hypertriglyceridemia has been observed in 15%–50% of patients after 11–12 </w:t>
      </w:r>
      <w:r w:rsidR="00830FB9" w:rsidRPr="00B27B47">
        <w:rPr>
          <w:rFonts w:ascii="Book Antiqua" w:hAnsi="Book Antiqua" w:cs="Calibri" w:hint="eastAsia"/>
          <w:bCs/>
          <w:sz w:val="24"/>
          <w:szCs w:val="24"/>
          <w:lang w:val="en-US" w:eastAsia="zh-CN"/>
        </w:rPr>
        <w:t>mo</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&lt;EndNote&gt;&lt;Cite&gt;&lt;Author&gt;Martinez&lt;/Author&gt;&lt;RecNum&gt;23&lt;/RecNum&gt;&lt;record&gt;&lt;rec-number&gt;23&lt;/rec-number&gt;&lt;ref-type name="Journal Article"&gt;17&lt;/ref-type&gt;&lt;contributors&gt;&lt;authors&gt;&lt;author&gt;Martinez, J. M.&lt;/author&gt;&lt;author&gt;Pulido, L. B.&lt;/author&gt;&lt;author&gt;Bellido, C. B.&lt;/author&gt;&lt;author&gt;Usero, D. D.&lt;/author&gt;&lt;author&gt;Aguilar, L. T.&lt;/author&gt;&lt;author&gt;Moreno, J. L.&lt;/author&gt;&lt;author&gt;Artacho, G. S.&lt;/author&gt;&lt;author&gt;Diez-Canedo, J. S.&lt;/author&gt;&lt;author&gt;Gomez, L. M.&lt;/author&gt;&lt;author&gt;Bravo, M. A.&lt;/author&gt;&lt;/authors&gt;&lt;/contributors&gt;&lt;auth-address&gt;Liver Transplant Unit, Virgen del Rocio Hospital, Seville, Spain. jmalamom@terra.es&lt;/auth-address&gt;&lt;titles&gt;&lt;title&gt;Rescue immunosuppression with mammalian target of rapamycin inhibitor drugs in liver transplantation&lt;/title&gt;&lt;secondary-title&gt;Transplant Proc&lt;/secondary-title&gt;&lt;/titles&gt;&lt;periodical&gt;&lt;full-title&gt;Transplant Proc&lt;/full-title&gt;&lt;/periodical&gt;&lt;pages&gt;641-3&lt;/pages&gt;&lt;volume&gt;42&lt;/volume&gt;&lt;number&gt;2&lt;/number&gt;&lt;keywords&gt;&lt;keyword&gt;Carcinoma, Hepatocellular/surgery&lt;/keyword&gt;&lt;keyword&gt;Graft Rejection/immunology&lt;/keyword&gt;&lt;keyword&gt;Humans&lt;/keyword&gt;&lt;keyword&gt;Immunosuppressive Agents/adverse effects/ therapeutic use&lt;/keyword&gt;&lt;keyword&gt;Intracellular Signaling Peptides and Proteins/ antagonists &amp;amp; inhibitors&lt;/keyword&gt;&lt;keyword&gt;Liver Neoplasms/surgery&lt;/keyword&gt;&lt;keyword&gt;Liver Transplantation/ immunology&lt;/keyword&gt;&lt;keyword&gt;Neoplasm Recurrence, Local/epidemiology&lt;/keyword&gt;&lt;keyword&gt;Protein-Serine-Threonine Kinases/ antagonists &amp;amp; inhibitors&lt;/keyword&gt;&lt;keyword&gt;Safety&lt;/keyword&gt;&lt;keyword&gt;Sirolimus/adverse effects/ analogs &amp;amp; derivatives/ therapeutic use&lt;/keyword&gt;&lt;keyword&gt;TOR Serine-Threonine Kinases&lt;/keyword&gt;&lt;/keywords&gt;&lt;dates&gt;&lt;pub-dates&gt;&lt;date&gt;Mar&lt;/date&gt;&lt;/pub-dates&gt;&lt;/dates&gt;&lt;isbn&gt;1873-2623 (Electronic)&amp;#xD;0041-1345 (Linking)&lt;/isbn&gt;&lt;accession-num&gt;20304212&lt;/accession-num&gt;&lt;urls&gt;&lt;/urls&gt;&lt;/record&gt;&lt;/Cite&gt;&lt;Cite&gt;&lt;Author&gt;Saliba&lt;/Author&gt;&lt;RecNum&gt;24&lt;/RecNum&gt;&lt;record&gt;&lt;rec-number&gt;24&lt;/rec-number&gt;&lt;ref-type name="Journal Article"&gt;17&lt;/ref-type&gt;&lt;contributors&gt;&lt;authors&gt;&lt;author&gt;Saliba, F.&lt;/author&gt;&lt;author&gt;Dharancy, S.&lt;/author&gt;&lt;author&gt;Lorho, R.&lt;/author&gt;&lt;author&gt;Conti, F.&lt;/author&gt;&lt;author&gt;Radenne, S.&lt;/author&gt;&lt;author&gt;Neau-Cransac, M.&lt;/author&gt;&lt;author&gt;Hurtova, M.&lt;/author&gt;&lt;author&gt;Hardwigsen, J.&lt;/author&gt;&lt;author&gt;Calmus, Y.&lt;/author&gt;&lt;author&gt;Dumortier, J.&lt;/author&gt;&lt;/authors&gt;&lt;/contributors&gt;&lt;auth-address&gt;Centre Hepato-Biliaire, Hopital Paul Brousse, Assistance Publique-Hopitaux de Paris, Universite Paris-Sud, Villejuif, France. faouzi.saliba@pbr.aphp.fr&lt;/auth-address&gt;&lt;titles&gt;&lt;title&gt;Conversion to everolimus in maintenance liver transplant patients: a multicenter, retrospective analysis&lt;/title&gt;&lt;secondary-title&gt;Liver Transpl&lt;/secondary-title&gt;&lt;/titles&gt;&lt;periodical&gt;&lt;full-title&gt;Liver Transpl&lt;/full-title&gt;&lt;/periodical&gt;&lt;pages&gt;905-13&lt;/pages&gt;&lt;volume&gt;17&lt;/volume&gt;&lt;number&gt;8&lt;/number&gt;&lt;keywords&gt;&lt;keyword&gt;Adult&lt;/keyword&gt;&lt;keyword&gt;Aged&lt;/keyword&gt;&lt;keyword&gt;Biopsy&lt;/keyword&gt;&lt;keyword&gt;Calcineurin Inhibitors&lt;/keyword&gt;&lt;keyword&gt;Female&lt;/keyword&gt;&lt;keyword&gt;Glomerular Filtration Rate&lt;/keyword&gt;&lt;keyword&gt;Graft Rejection&lt;/keyword&gt;&lt;keyword&gt;Humans&lt;/keyword&gt;&lt;keyword&gt;Immunosuppressive Agents/therapeutic use&lt;/keyword&gt;&lt;keyword&gt;Liver Transplantation/ methods&lt;/keyword&gt;&lt;keyword&gt;Male&lt;/keyword&gt;&lt;keyword&gt;Middle Aged&lt;/keyword&gt;&lt;keyword&gt;Retrospective Studies&lt;/keyword&gt;&lt;keyword&gt;Risk&lt;/keyword&gt;&lt;keyword&gt;Sirolimus/ analogs &amp;amp; derivatives/therapeutic use&lt;/keyword&gt;&lt;keyword&gt;Time Factors&lt;/keyword&gt;&lt;keyword&gt;Treatment Outcome&lt;/keyword&gt;&lt;keyword&gt;Triglycerides/metabolism&lt;/keyword&gt;&lt;/keywords&gt;&lt;dates&gt;&lt;pub-dates&gt;&lt;date&gt;Aug&lt;/date&gt;&lt;/pub-dates&gt;&lt;/dates&gt;&lt;isbn&gt;1527-6473 (Electronic)&amp;#xD;1527-6465 (Linking)&lt;/isbn&gt;&lt;accession-num&gt;21384525&lt;/accession-num&gt;&lt;urls&gt;&lt;/urls&gt;&lt;/record&gt;&lt;/Cite&gt;&lt;/EndNote&gt;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00830FB9" w:rsidRPr="00B27B47">
        <w:rPr>
          <w:rFonts w:ascii="Book Antiqua" w:eastAsia="Times New Roman" w:hAnsi="Book Antiqua" w:cs="Calibri"/>
          <w:bCs/>
          <w:sz w:val="24"/>
          <w:szCs w:val="24"/>
          <w:vertAlign w:val="superscript"/>
          <w:lang w:val="en-US" w:eastAsia="de-DE"/>
        </w:rPr>
        <w:t>3</w:t>
      </w:r>
      <w:r w:rsidR="00751D25" w:rsidRPr="00B27B47">
        <w:rPr>
          <w:rFonts w:ascii="Book Antiqua" w:hAnsi="Book Antiqua" w:cs="Calibri" w:hint="eastAsia"/>
          <w:bCs/>
          <w:sz w:val="24"/>
          <w:szCs w:val="24"/>
          <w:vertAlign w:val="superscript"/>
          <w:lang w:val="en-US" w:eastAsia="zh-CN"/>
        </w:rPr>
        <w:t>5</w:t>
      </w:r>
      <w:r w:rsidR="00830FB9"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vertAlign w:val="superscript"/>
          <w:lang w:val="en-US" w:eastAsia="de-DE"/>
        </w:rPr>
        <w:t>3</w:t>
      </w:r>
      <w:r w:rsidR="00751D25" w:rsidRPr="00B27B47">
        <w:rPr>
          <w:rFonts w:ascii="Book Antiqua" w:hAnsi="Book Antiqua" w:cs="Calibri" w:hint="eastAsia"/>
          <w:bCs/>
          <w:sz w:val="24"/>
          <w:szCs w:val="24"/>
          <w:vertAlign w:val="superscript"/>
          <w:lang w:val="en-US" w:eastAsia="zh-CN"/>
        </w:rPr>
        <w:t>6</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Many factors can influence the development of HLP in these patients, including nutri</w:t>
      </w:r>
      <w:r w:rsidRPr="00B27B47">
        <w:rPr>
          <w:rFonts w:ascii="Book Antiqua" w:eastAsia="Times New Roman" w:hAnsi="Book Antiqua" w:cs="Calibri"/>
          <w:b/>
          <w:bCs/>
          <w:sz w:val="24"/>
          <w:szCs w:val="24"/>
          <w:lang w:val="en-US" w:eastAsia="de-DE"/>
        </w:rPr>
        <w:t>t</w:t>
      </w:r>
      <w:r w:rsidRPr="00B27B47">
        <w:rPr>
          <w:rFonts w:ascii="Book Antiqua" w:eastAsia="Times New Roman" w:hAnsi="Book Antiqua" w:cs="Calibri"/>
          <w:bCs/>
          <w:sz w:val="24"/>
          <w:szCs w:val="24"/>
          <w:lang w:val="en-US" w:eastAsia="de-DE"/>
        </w:rPr>
        <w:t xml:space="preserve">ion, body weight, renal function, glucose metabolism, and genetic factors.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Immunosuppressants, including steroids and calcineurin inhibitors, have been shown to interfere with lipid metabolism and increase the risk of hyperlipidemia. Steroid treatment has been associated with both diabetes mellitus and dyslipidemia</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&lt;EndNote&gt;&lt;Cite&gt;&lt;Author&gt;Bagdade&lt;/Author&gt;&lt;Year&gt;1970&lt;/Year&gt;&lt;RecNum&gt;26&lt;/RecNum&gt;&lt;record&gt;&lt;rec-number&gt;26&lt;/rec-number&gt;&lt;ref-type name="Journal Article"&gt;17&lt;/ref-type&gt;&lt;contributors&gt;&lt;authors&gt;&lt;author&gt;Bagdade, J. D.&lt;/author&gt;&lt;author&gt;Porte, D., Jr.&lt;/author&gt;&lt;author&gt;Bierman, E. L.&lt;/author&gt;&lt;/authors&gt;&lt;/contributors&gt;&lt;titles&gt;&lt;title&gt;Steroid-induced lipemia. A complication of high-dosage corticosteroid therapy&lt;/title&gt;&lt;secondary-title&gt;Arch Intern Med&lt;/secondary-title&gt;&lt;/titles&gt;&lt;periodical&gt;&lt;full-title&gt;Arch Intern Med&lt;/full-title&gt;&lt;/periodical&gt;&lt;pages&gt;129-34&lt;/pages&gt;&lt;volume&gt;125&lt;/volume&gt;&lt;number&gt;1&lt;/number&gt;&lt;keywords&gt;&lt;keyword&gt;Adolescent&lt;/keyword&gt;&lt;keyword&gt;Dermatomyositis/ drug therapy&lt;/keyword&gt;&lt;keyword&gt;Dietary Fats/metabolism&lt;/keyword&gt;&lt;keyword&gt;Female&lt;/keyword&gt;&lt;keyword&gt;Glucose Tolerance Test&lt;/keyword&gt;&lt;keyword&gt;Humans&lt;/keyword&gt;&lt;keyword&gt;Hyperlipidemias/ chemically induced&lt;/keyword&gt;&lt;keyword&gt;Male&lt;/keyword&gt;&lt;keyword&gt;Prednisone/ adverse effects&lt;/keyword&gt;&lt;keyword&gt;Triglycerides/blood&lt;/keyword&gt;&lt;/keywords&gt;&lt;dates&gt;&lt;year&gt;1970&lt;/year&gt;&lt;pub-dates&gt;&lt;date&gt;Jan&lt;/date&gt;&lt;/pub-dates&gt;&lt;/dates&gt;&lt;isbn&gt;0003-9926 (Print)&amp;#xD;0003-9926 (Linking)&lt;/isbn&gt;&lt;accession-num&gt;5410646&lt;/accession-num&gt;&lt;urls&gt;&lt;/urls&gt;&lt;/record&gt;&lt;/Cite&gt;&lt;/EndNote&gt;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3</w:t>
      </w:r>
      <w:r w:rsidR="00751D25" w:rsidRPr="00B27B47">
        <w:rPr>
          <w:rFonts w:ascii="Book Antiqua" w:hAnsi="Book Antiqua" w:cs="Calibri" w:hint="eastAsia"/>
          <w:bCs/>
          <w:sz w:val="24"/>
          <w:szCs w:val="24"/>
          <w:vertAlign w:val="superscript"/>
          <w:lang w:val="en-US" w:eastAsia="zh-CN"/>
        </w:rPr>
        <w:t>7</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Steroids upregulate the synthesis of fatty acids, resulting in peripheral insulin resistance and increased VLDL-C synthesis within the liver. This can result in both isolated hypertriglyceridemia and combined HLP. Serum cholesterol concentrations are increased by activation of multiple indirect pathways. Hyperinsulinemia may stimulate VLDL-C synthesis in the liver, as well as downregulating LDL receptors, possibly by suppression of adrenocorticotropic hormone</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&lt;EndNote&gt;&lt;Cite&gt;&lt;Author&gt;Berg&lt;/Author&gt;&lt;Year&gt;1996&lt;/Year&gt;&lt;RecNum&gt;25&lt;/RecNum&gt;&lt;record&gt;&lt;rec-number&gt;25&lt;/rec-number&gt;&lt;ref-type name="Journal Article"&gt;17&lt;/ref-type&gt;&lt;contributors&gt;&lt;authors&gt;&lt;author&gt;Berg, A. L.&lt;/author&gt;&lt;author&gt;Nilsson-Ehle, P.&lt;/author&gt;&lt;/authors&gt;&lt;/contributors&gt;&lt;auth-address&gt;Department of Nephrology, University Hospital, Lund, Sweden.&lt;/auth-address&gt;&lt;titles&gt;&lt;title&gt;ACTH lowers serum lipids in steroid-treated hyperlipemic patients with kidney disease&lt;/title&gt;&lt;secondary-title&gt;Kidney Int&lt;/secondary-title&gt;&lt;/titles&gt;&lt;periodical&gt;&lt;full-title&gt;Kidney Int&lt;/full-title&gt;&lt;/periodical&gt;&lt;pages&gt;538-42&lt;/pages&gt;&lt;volume&gt;50&lt;/volume&gt;&lt;number&gt;2&lt;/number&gt;&lt;keywords&gt;&lt;keyword&gt;Adrenocorticotropic Hormone/deficiency&lt;/keyword&gt;&lt;keyword&gt;Adult&lt;/keyword&gt;&lt;keyword&gt;Cosyntropin/ pharmacology&lt;/keyword&gt;&lt;keyword&gt;Humans&lt;/keyword&gt;&lt;keyword&gt;Hyperlipidemias/blood/ drug therapy/ etiology&lt;/keyword&gt;&lt;keyword&gt;Hypolipidemic Agents/ pharmacology&lt;/keyword&gt;&lt;keyword&gt;Kidney Diseases/blood/ complications/drug therapy&lt;/keyword&gt;&lt;keyword&gt;Lipids/ blood&lt;/keyword&gt;&lt;keyword&gt;Lipoproteins/blood&lt;/keyword&gt;&lt;keyword&gt;Male&lt;/keyword&gt;&lt;keyword&gt;Middle Aged&lt;/keyword&gt;&lt;keyword&gt;Steroids/therapeutic use&lt;/keyword&gt;&lt;keyword&gt;Time Factors&lt;/keyword&gt;&lt;/keywords&gt;&lt;dates&gt;&lt;year&gt;1996&lt;/year&gt;&lt;pub-dates&gt;&lt;date&gt;Aug&lt;/date&gt;&lt;/pub-dates&gt;&lt;/dates&gt;&lt;isbn&gt;0085-2538 (Print)&amp;#xD;0085-2538 (Linking)&lt;/isbn&gt;&lt;accession-num&gt;8840283&lt;/accession-num&gt;&lt;urls&gt;&lt;/urls&gt;&lt;/record&gt;&lt;/Cite&gt;&lt;/EndNote&gt;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3</w:t>
      </w:r>
      <w:r w:rsidR="00751D25" w:rsidRPr="00B27B47">
        <w:rPr>
          <w:rFonts w:ascii="Book Antiqua" w:hAnsi="Book Antiqua" w:cs="Calibri" w:hint="eastAsia"/>
          <w:bCs/>
          <w:sz w:val="24"/>
          <w:szCs w:val="24"/>
          <w:vertAlign w:val="superscript"/>
          <w:lang w:val="en-US" w:eastAsia="zh-CN"/>
        </w:rPr>
        <w:t>8</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A calcineurin inhibitor based regimen may induce HLP independently of concurrent use of steroids</w:t>
      </w:r>
      <w:r w:rsidRPr="00B27B47">
        <w:rPr>
          <w:rFonts w:ascii="Book Antiqua" w:eastAsia="Times New Roman" w:hAnsi="Book Antiqua" w:cs="Calibri"/>
          <w:bCs/>
          <w:sz w:val="24"/>
          <w:szCs w:val="24"/>
          <w:vertAlign w:val="superscript"/>
          <w:lang w:val="en-US" w:eastAsia="de-DE"/>
        </w:rPr>
        <w:t>[</w:t>
      </w:r>
      <w:r w:rsidR="00751D25" w:rsidRPr="00B27B47">
        <w:rPr>
          <w:rFonts w:ascii="Book Antiqua" w:hAnsi="Book Antiqua" w:cs="Calibri" w:hint="eastAsia"/>
          <w:bCs/>
          <w:sz w:val="24"/>
          <w:szCs w:val="24"/>
          <w:vertAlign w:val="superscript"/>
          <w:lang w:val="en-US" w:eastAsia="zh-CN"/>
        </w:rPr>
        <w:t>39</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Cyclosporine was shown to dose-dependently increase serum lipid concentrations. Moreover, increased total and LDL-C, along with </w:t>
      </w:r>
      <w:r w:rsidRPr="00B27B47">
        <w:rPr>
          <w:rFonts w:ascii="Book Antiqua" w:eastAsia="Times New Roman" w:hAnsi="Book Antiqua" w:cs="Calibri"/>
          <w:bCs/>
          <w:sz w:val="24"/>
          <w:szCs w:val="24"/>
          <w:lang w:val="en-US" w:eastAsia="de-DE"/>
        </w:rPr>
        <w:lastRenderedPageBreak/>
        <w:t>reduced HDL-C, have been observed in patients with elevated cyclosporine blood levels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&lt;EndNote&gt;&lt;Cite&gt;&lt;Author&gt;Kuster&lt;/Author&gt;&lt;Year&gt;1994&lt;/Year&gt;&lt;RecNum&gt;9&lt;/RecNum&gt;&lt;record&gt;&lt;rec-number&gt;9&lt;/rec-number&gt;&lt;ref-type name="Journal Article"&gt;17&lt;/ref-type&gt;&lt;contributors&gt;&lt;authors&gt;&lt;author&gt;Kuster, G. M.&lt;/author&gt;&lt;author&gt;Drexel, H.&lt;/author&gt;&lt;author&gt;Bleisch, J. A.&lt;/author&gt;&lt;author&gt;Rentsch, K.&lt;/author&gt;&lt;author&gt;Pei, P.&lt;/author&gt;&lt;author&gt;Binswanger, U.&lt;/author&gt;&lt;author&gt;Amann, F. W.&lt;/author&gt;&lt;/authors&gt;&lt;/contributors&gt;&lt;auth-address&gt;Division of Cardiology, University Hospital, Zurich, Switzerland.&lt;/auth-address&gt;&lt;titles&gt;&lt;title&gt;Relation of cyclosporine blood levels to adverse effects on lipoproteins&lt;/title&gt;&lt;secondary-title&gt;Transplantation&lt;/secondary-title&gt;&lt;/titles&gt;&lt;periodical&gt;&lt;full-title&gt;Transplantation&lt;/full-title&gt;&lt;/periodical&gt;&lt;pages&gt;1479-83&lt;/pages&gt;&lt;volume&gt;57&lt;/volume&gt;&lt;number&gt;10&lt;/number&gt;&lt;keywords&gt;&lt;keyword&gt;Adult&lt;/keyword&gt;&lt;keyword&gt;Apolipoproteins/metabolism&lt;/keyword&gt;&lt;keyword&gt;Cyclosporine/ blood&lt;/keyword&gt;&lt;keyword&gt;Female&lt;/keyword&gt;&lt;keyword&gt;Humans&lt;/keyword&gt;&lt;keyword&gt;Hyperlipidemias/ complications&lt;/keyword&gt;&lt;keyword&gt;Kidney Transplantation&lt;/keyword&gt;&lt;keyword&gt;Lipids/blood&lt;/keyword&gt;&lt;keyword&gt;Lipoproteins/ blood&lt;/keyword&gt;&lt;keyword&gt;Male&lt;/keyword&gt;&lt;keyword&gt;Middle Aged&lt;/keyword&gt;&lt;/keywords&gt;&lt;dates&gt;&lt;year&gt;1994&lt;/year&gt;&lt;pub-dates&gt;&lt;date&gt;May 27&lt;/date&gt;&lt;/pub-dates&gt;&lt;/dates&gt;&lt;isbn&gt;0041-1337 (Print)&amp;#xD;0041-1337 (Linking)&lt;/isbn&gt;&lt;accession-num&gt;8197611&lt;/accession-num&gt;&lt;urls&gt;&lt;/urls&gt;&lt;/record&gt;&lt;/Cite&gt;&lt;/EndNote&gt;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19</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Tacrolimus may have advantages over cyclosporine-based regimens in that the former does not increased serum lipid concentrations in LT recipients. Indeed, a study in which patients were switched from a cyclosporine- to a tacrolimus-based regimen found that serum LDL-C and triglyceride concentrations were reduced compared with a control group maintained on cyclosporin</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&lt;EndNote&gt;&lt;Cite&gt;&lt;Author&gt;Artz&lt;/Author&gt;&lt;Year&gt;2003&lt;/Year&gt;&lt;RecNum&gt;29&lt;/RecNum&gt;&lt;record&gt;&lt;rec-number&gt;29&lt;/rec-number&gt;&lt;ref-type name="Journal Article"&gt;17&lt;/ref-type&gt;&lt;contributors&gt;&lt;authors&gt;&lt;author&gt;Artz, M. A.&lt;/author&gt;&lt;author&gt;Boots, J. M.&lt;/author&gt;&lt;author&gt;Ligtenberg, G.&lt;/author&gt;&lt;author&gt;Roodnat, J. I.&lt;/author&gt;&lt;author&gt;Christiaans, M. H.&lt;/author&gt;&lt;author&gt;Vos, P. F.&lt;/author&gt;&lt;author&gt;Blom, H. J.&lt;/author&gt;&lt;author&gt;Sweep, F. C.&lt;/author&gt;&lt;author&gt;Demacker, P. N.&lt;/author&gt;&lt;author&gt;Hilbrands, L. B.&lt;/author&gt;&lt;/authors&gt;&lt;/contributors&gt;&lt;auth-address&gt;Department of Nephrology, University Medical Center of Nijmegen, PO Box 9101, 6500 HB Nijmegen, the Netherlands. m.artz@nier.umcn.nl&lt;/auth-address&gt;&lt;titles&gt;&lt;title&gt;Improved cardiovascular risk profile and renal function in renal transplant patients after randomized conversion from cyclosporine to tacrolimus&lt;/title&gt;&lt;secondary-title&gt;J Am Soc Nephrol&lt;/secondary-title&gt;&lt;/titles&gt;&lt;periodical&gt;&lt;full-title&gt;J Am Soc Nephrol&lt;/full-title&gt;&lt;/periodical&gt;&lt;pages&gt;1880-8&lt;/pages&gt;&lt;volume&gt;14&lt;/volume&gt;&lt;number&gt;7&lt;/number&gt;&lt;keywords&gt;&lt;keyword&gt;Adult&lt;/keyword&gt;&lt;keyword&gt;Aged&lt;/keyword&gt;&lt;keyword&gt;Analysis of Variance&lt;/keyword&gt;&lt;keyword&gt;Apolipoproteins B/blood&lt;/keyword&gt;&lt;keyword&gt;Blood Glucose/metabolism&lt;/keyword&gt;&lt;keyword&gt;Blood Pressure&lt;/keyword&gt;&lt;keyword&gt;Body Weight&lt;/keyword&gt;&lt;keyword&gt;Cardiovascular System/ drug effects&lt;/keyword&gt;&lt;keyword&gt;Cholesterol/metabolism&lt;/keyword&gt;&lt;keyword&gt;Cyclosporine/ therapeutic use&lt;/keyword&gt;&lt;keyword&gt;Female&lt;/keyword&gt;&lt;keyword&gt;Fibrinogen/metabolism&lt;/keyword&gt;&lt;keyword&gt;Fibrinolysis&lt;/keyword&gt;&lt;keyword&gt;Graft Survival&lt;/keyword&gt;&lt;keyword&gt;Humans&lt;/keyword&gt;&lt;keyword&gt;Immunosuppressive Agents/ therapeutic use&lt;/keyword&gt;&lt;keyword&gt;Kidney/ drug effects&lt;/keyword&gt;&lt;keyword&gt;Kidney Transplantation&lt;/keyword&gt;&lt;keyword&gt;Lipoproteins, LDL/metabolism&lt;/keyword&gt;&lt;keyword&gt;Male&lt;/keyword&gt;&lt;keyword&gt;Middle Aged&lt;/keyword&gt;&lt;keyword&gt;Oxygen/metabolism&lt;/keyword&gt;&lt;keyword&gt;Risk Factors&lt;/keyword&gt;&lt;keyword&gt;Tacrolimus/ therapeutic use&lt;/keyword&gt;&lt;keyword&gt;Time Factors&lt;/keyword&gt;&lt;keyword&gt;Triglycerides/blood&lt;/keyword&gt;&lt;/keywords&gt;&lt;dates&gt;&lt;year&gt;2003&lt;/year&gt;&lt;pub-dates&gt;&lt;date&gt;Jul&lt;/date&gt;&lt;/pub-dates&gt;&lt;/dates&gt;&lt;isbn&gt;1046-6673 (Print)&amp;#xD;1046-6673 (Linking)&lt;/isbn&gt;&lt;accession-num&gt;12819249&lt;/accession-num&gt;&lt;urls&gt;&lt;/urls&gt;&lt;/record&gt;&lt;/Cite&gt;&lt;/EndNote&gt;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0</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However, tacrolimus has been associated with hyperinsulinemia, which may result in HLP, especially hypertriglyceridemia. Both immunosuppressors have therefore been found to result in HLP in LT recipients.</w:t>
      </w:r>
    </w:p>
    <w:p w:rsidR="000F7598" w:rsidRPr="00B27B47" w:rsidRDefault="000F7598" w:rsidP="00830FB9">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The introduction of mTOR inhibitors as immunosuppressive agents has enhanced options in the treatment of transplant recipients. Both sirolimus and everolimus are very promising mTOR inhibitors in transplant patients, but also increase the risk for development of HLP</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&lt;EndNote&gt;&lt;Cite&gt;&lt;Author&gt;Morrisett&lt;/Author&gt;&lt;Year&gt;2003&lt;/Year&gt;&lt;RecNum&gt;13&lt;/RecNum&gt;&lt;record&gt;&lt;rec-number&gt;13&lt;/rec-number&gt;&lt;ref-type name="Journal Article"&gt;17&lt;/ref-type&gt;&lt;contributors&gt;&lt;authors&gt;&lt;author&gt;Morrisett, J. D.&lt;/author&gt;&lt;author&gt;Abdel-Fattah, G.&lt;/author&gt;&lt;author&gt;Kahan, B. D.&lt;/author&gt;&lt;/authors&gt;&lt;/contributors&gt;&lt;auth-address&gt;Department of Medicine, Baylor College of Medicine, Houston, Texas, USA. morrisset@bcm.tmc.edu&lt;/auth-address&gt;&lt;titles&gt;&lt;title&gt;Sirolimus changes lipid concentrations and lipoprotein metabolism in kidney transplant recipients&lt;/title&gt;&lt;secondary-title&gt;Transplant Proc&lt;/secondary-title&gt;&lt;/titles&gt;&lt;periodical&gt;&lt;full-title&gt;Transplant Proc&lt;/full-title&gt;&lt;/periodical&gt;&lt;pages&gt;143S-150S&lt;/pages&gt;&lt;volume&gt;35&lt;/volume&gt;&lt;number&gt;3 Suppl&lt;/number&gt;&lt;keywords&gt;&lt;keyword&gt;Adult&lt;/keyword&gt;&lt;keyword&gt;Cadaver&lt;/keyword&gt;&lt;keyword&gt;Cholesterol/blood&lt;/keyword&gt;&lt;keyword&gt;Cyclosporine/therapeutic use&lt;/keyword&gt;&lt;keyword&gt;Female&lt;/keyword&gt;&lt;keyword&gt;Humans&lt;/keyword&gt;&lt;keyword&gt;Hyperlipidemias/chemically induced/ epidemiology&lt;/keyword&gt;&lt;keyword&gt;Immunosuppressive Agents/adverse effects/ therapeutic use&lt;/keyword&gt;&lt;keyword&gt;Kidney Transplantation/immunology/ physiology&lt;/keyword&gt;&lt;keyword&gt;Lipids/ blood&lt;/keyword&gt;&lt;keyword&gt;Lipoproteins/ blood&lt;/keyword&gt;&lt;keyword&gt;Living Donors&lt;/keyword&gt;&lt;keyword&gt;Male&lt;/keyword&gt;&lt;keyword&gt;Middle Aged&lt;/keyword&gt;&lt;keyword&gt;Prednisone/therapeutic use&lt;/keyword&gt;&lt;keyword&gt;Sirolimus/adverse effects/ therapeutic use&lt;/keyword&gt;&lt;keyword&gt;Tissue Donors&lt;/keyword&gt;&lt;keyword&gt;Transplantation, Homologous&lt;/keyword&gt;&lt;keyword&gt;Triglycerides/blood&lt;/keyword&gt;&lt;/keywords&gt;&lt;dates&gt;&lt;year&gt;2003&lt;/year&gt;&lt;pub-dates&gt;&lt;date&gt;May&lt;/date&gt;&lt;/pub-dates&gt;&lt;/dates&gt;&lt;isbn&gt;0041-1345 (Print)&amp;#xD;0041-1345 (Linking)&lt;/isbn&gt;&lt;accession-num&gt;12742487&lt;/accession-num&gt;&lt;urls&gt;&lt;/urls&gt;&lt;/record&gt;&lt;/Cite&gt;&lt;/EndNote&gt;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1</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Overall all these immunosuppressants may result in HLP, mostly hypertriglyceridemia and combined hyperlipidemia. HLP associated with mTOR inhibitors may, however, be transient in some patients. Although mTOR inhibitors affect lipid metabolism and are therefore more likely to result in HLP, patients with pre-existing HLP still can be treated using mTOR inhibitors. These agents do not exacerbate HLP in all of these patients. Furthermore, mTOR inhibitors may enhance renal recovery, improving lipid status by reducing calcineurin inhibitor (CNI) concentrations.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9A4928" w:rsidP="003E1943">
      <w:pPr>
        <w:adjustRightInd w:val="0"/>
        <w:snapToGrid w:val="0"/>
        <w:spacing w:after="0" w:line="360" w:lineRule="auto"/>
        <w:jc w:val="both"/>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t>HLP IN LIVER TRANSPLANT RECIPIENTS TREATED WITH MTOR INHIBITORS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Table </w:t>
      </w:r>
      <w:r w:rsidR="008F4ED8" w:rsidRPr="00B27B47">
        <w:rPr>
          <w:rFonts w:ascii="Book Antiqua" w:hAnsi="Book Antiqua" w:cs="Calibri" w:hint="eastAsia"/>
          <w:bCs/>
          <w:sz w:val="24"/>
          <w:szCs w:val="24"/>
          <w:lang w:val="en-US" w:eastAsia="zh-CN"/>
        </w:rPr>
        <w:t>3</w:t>
      </w:r>
      <w:r w:rsidRPr="00B27B47">
        <w:rPr>
          <w:rFonts w:ascii="Book Antiqua" w:eastAsia="Times New Roman" w:hAnsi="Book Antiqua" w:cs="Calibri"/>
          <w:bCs/>
          <w:sz w:val="24"/>
          <w:szCs w:val="24"/>
          <w:lang w:val="en-US" w:eastAsia="de-DE"/>
        </w:rPr>
        <w:t xml:space="preserve"> shows recommended target serum concentrations and upper limits of triglycerides in LT patients who receive mTOR inhibitors as immunosuppressive agents. Long-term triglyceride serum concentrations &gt; 400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should be avoided to prevent long term metabolic disorders such as non-alcoholic fatty liver diseases and insulin resistance. Furthermore, triglyceride serum concentrations &gt; 1000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may lead to acute or chronic pancreatitis. Immunosuppressive regimens using mTOR inhibitors should be avoided if triglyceride serum concentrations exceed 500 mg/d</w:t>
      </w:r>
      <w:r w:rsidR="00830FB9" w:rsidRPr="00B27B47">
        <w:rPr>
          <w:rFonts w:ascii="Book Antiqua" w:hAnsi="Book Antiqua" w:cs="Calibri" w:hint="eastAsia"/>
          <w:bCs/>
          <w:sz w:val="24"/>
          <w:szCs w:val="24"/>
          <w:lang w:val="en-US" w:eastAsia="zh-CN"/>
        </w:rPr>
        <w:t xml:space="preserve">L </w:t>
      </w:r>
      <w:r w:rsidRPr="00B27B47">
        <w:rPr>
          <w:rFonts w:ascii="Book Antiqua" w:eastAsia="Times New Roman" w:hAnsi="Book Antiqua" w:cs="Calibri"/>
          <w:bCs/>
          <w:sz w:val="24"/>
          <w:szCs w:val="24"/>
          <w:lang w:val="en-US" w:eastAsia="de-DE"/>
        </w:rPr>
        <w:t xml:space="preserve">despite changes in diet and lifestyle and despite administering lipid-lowering agents. In addition, mTOR inhibitors should not be administered to LT recipients, especially </w:t>
      </w:r>
      <w:r w:rsidRPr="00B27B47">
        <w:rPr>
          <w:rFonts w:ascii="Book Antiqua" w:eastAsia="Times New Roman" w:hAnsi="Book Antiqua" w:cs="Calibri"/>
          <w:bCs/>
          <w:sz w:val="24"/>
          <w:szCs w:val="24"/>
          <w:lang w:val="en-US" w:eastAsia="de-DE"/>
        </w:rPr>
        <w:lastRenderedPageBreak/>
        <w:t>those with atherosclerosis, if their serum LDL-C concentrations are &gt; 250 mg/d</w:t>
      </w:r>
      <w:r w:rsidR="00830FB9"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despite treatment with lipid lowering agents and lifestyle modifications. mTOR inhibitors may also result in proteinuria, aggravating any preexisting HLP. Careful patient monitoring is therefore required to determine the clinical significance of proteinuria and associated HLP.</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9A4928" w:rsidP="003E1943">
      <w:pPr>
        <w:adjustRightInd w:val="0"/>
        <w:snapToGrid w:val="0"/>
        <w:spacing w:after="0" w:line="360" w:lineRule="auto"/>
        <w:jc w:val="both"/>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t>COMBINED HLP AFTER LIVER TRANSPLANT</w:t>
      </w:r>
    </w:p>
    <w:p w:rsidR="000F7598" w:rsidRPr="00B27B47" w:rsidRDefault="009A492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Liver transplant </w:t>
      </w:r>
      <w:r w:rsidR="000F7598" w:rsidRPr="00B27B47">
        <w:rPr>
          <w:rFonts w:ascii="Book Antiqua" w:eastAsia="Times New Roman" w:hAnsi="Book Antiqua" w:cs="Calibri"/>
          <w:bCs/>
          <w:sz w:val="24"/>
          <w:szCs w:val="24"/>
          <w:lang w:val="en-US" w:eastAsia="de-DE"/>
        </w:rPr>
        <w:t>recipients with severe combined HLP, including hypercholesterolemia and hypertriglyceridemia, should be preferentially treate for high serum LDL-C concentrations. However, if fasting serum triglyceride concentrations exceed 500 mg/d</w:t>
      </w:r>
      <w:r w:rsidRPr="00B27B47">
        <w:rPr>
          <w:rFonts w:ascii="Book Antiqua" w:hAnsi="Book Antiqua" w:cs="Calibri" w:hint="eastAsia"/>
          <w:bCs/>
          <w:sz w:val="24"/>
          <w:szCs w:val="24"/>
          <w:lang w:val="en-US" w:eastAsia="zh-CN"/>
        </w:rPr>
        <w:t>L</w:t>
      </w:r>
      <w:r w:rsidR="000F7598" w:rsidRPr="00B27B47">
        <w:rPr>
          <w:rFonts w:ascii="Book Antiqua" w:eastAsia="Times New Roman" w:hAnsi="Book Antiqua" w:cs="Calibri"/>
          <w:bCs/>
          <w:sz w:val="24"/>
          <w:szCs w:val="24"/>
          <w:lang w:val="en-US" w:eastAsia="de-DE"/>
        </w:rPr>
        <w:t>, this condition should be treated first due to the increased risk of pancreatitis. If patients exhibit proteinuria &gt; 1</w:t>
      </w:r>
      <w:r w:rsidRPr="00B27B47">
        <w:rPr>
          <w:rFonts w:ascii="Book Antiqua" w:hAnsi="Book Antiqua" w:cs="Calibri" w:hint="eastAsia"/>
          <w:bCs/>
          <w:sz w:val="24"/>
          <w:szCs w:val="24"/>
          <w:lang w:val="en-US" w:eastAsia="zh-CN"/>
        </w:rPr>
        <w:t xml:space="preserve"> </w:t>
      </w:r>
      <w:r w:rsidR="000F7598" w:rsidRPr="00B27B47">
        <w:rPr>
          <w:rFonts w:ascii="Book Antiqua" w:eastAsia="Times New Roman" w:hAnsi="Book Antiqua" w:cs="Calibri"/>
          <w:bCs/>
          <w:sz w:val="24"/>
          <w:szCs w:val="24"/>
          <w:lang w:val="en-US" w:eastAsia="de-DE"/>
        </w:rPr>
        <w:t>g/d during treatment with mTOR inhibitors, these agents should be reduced or switched. HLP associated with immunosuppressants, including mTOR inhibitors, responds well to all lipid lowering interventions, including changes in diet, weight loss in obese patients, optimization of serum glucose concentrations and modulation of diabetes mellitus, dose reduction of co-medications, modification of immunosuppressants used, and lipid lowering agents</w:t>
      </w:r>
      <w:r w:rsidR="000F7598" w:rsidRPr="00B27B47">
        <w:rPr>
          <w:rFonts w:ascii="Book Antiqua" w:eastAsia="Times New Roman" w:hAnsi="Book Antiqua" w:cs="Calibri"/>
          <w:bCs/>
          <w:sz w:val="24"/>
          <w:szCs w:val="24"/>
          <w:vertAlign w:val="superscript"/>
          <w:lang w:val="en-US" w:eastAsia="de-DE"/>
        </w:rPr>
        <w:t>[</w:t>
      </w:r>
      <w:r w:rsidR="000F7598" w:rsidRPr="00B27B47">
        <w:rPr>
          <w:rFonts w:ascii="Book Antiqua" w:eastAsia="Times New Roman" w:hAnsi="Book Antiqua" w:cs="Calibri"/>
          <w:bCs/>
          <w:sz w:val="24"/>
          <w:szCs w:val="24"/>
          <w:lang w:val="en-US" w:eastAsia="de-DE"/>
        </w:rPr>
        <w:fldChar w:fldCharType="begin"/>
      </w:r>
      <w:r w:rsidR="000F7598" w:rsidRPr="00B27B47">
        <w:rPr>
          <w:rFonts w:ascii="Book Antiqua" w:eastAsia="Times New Roman" w:hAnsi="Book Antiqua" w:cs="Calibri"/>
          <w:bCs/>
          <w:sz w:val="24"/>
          <w:szCs w:val="24"/>
          <w:lang w:val="en-US" w:eastAsia="de-DE"/>
        </w:rPr>
        <w:instrText xml:space="preserve"> ADDIN EN.CITE &lt;EndNote&gt;&lt;Cite&gt;&lt;Author&gt;al.&lt;/Author&gt;&lt;Year&gt;2013&lt;/Year&gt;&lt;RecNum&gt;29&lt;/RecNum&gt;&lt;record&gt;&lt;rec-number&gt;29&lt;/rec-number&gt;&lt;ref-type name="Report"&gt;27&lt;/ref-type&gt;&lt;contributors&gt;&lt;authors&gt;&lt;author&gt;Ganten T et al.&lt;/author&gt;&lt;/authors&gt;&lt;/contributors&gt;&lt;titles&gt;&lt;title&gt;Caremanagement unter Everolimus in der Lebertransplantation.&lt;/title&gt;&lt;/titles&gt;&lt;dates&gt;&lt;year&gt;2013&lt;/year&gt;&lt;/dates&gt;&lt;publisher&gt;Thieme Praxis Report&lt;/publisher&gt;&lt;urls&gt;&lt;/urls&gt;&lt;/record&gt;&lt;/Cite&gt;&lt;/EndNote&gt;</w:instrText>
      </w:r>
      <w:r w:rsidR="000F7598" w:rsidRPr="00B27B47">
        <w:rPr>
          <w:rFonts w:ascii="Book Antiqua" w:eastAsia="Times New Roman" w:hAnsi="Book Antiqua" w:cs="Calibri"/>
          <w:bCs/>
          <w:sz w:val="24"/>
          <w:szCs w:val="24"/>
          <w:lang w:val="en-US" w:eastAsia="de-DE"/>
        </w:rPr>
        <w:fldChar w:fldCharType="separate"/>
      </w:r>
      <w:r w:rsidR="000F7598"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2</w:t>
      </w:r>
      <w:r w:rsidR="000F7598" w:rsidRPr="00B27B47">
        <w:rPr>
          <w:rFonts w:ascii="Book Antiqua" w:eastAsia="Times New Roman" w:hAnsi="Book Antiqua" w:cs="Calibri"/>
          <w:bCs/>
          <w:sz w:val="24"/>
          <w:szCs w:val="24"/>
          <w:lang w:val="en-US" w:eastAsia="de-DE"/>
        </w:rPr>
        <w:fldChar w:fldCharType="end"/>
      </w:r>
      <w:r w:rsidR="000F7598" w:rsidRPr="00B27B47">
        <w:rPr>
          <w:rFonts w:ascii="Book Antiqua" w:eastAsia="Times New Roman" w:hAnsi="Book Antiqua" w:cs="Calibri"/>
          <w:bCs/>
          <w:sz w:val="24"/>
          <w:szCs w:val="24"/>
          <w:vertAlign w:val="superscript"/>
          <w:lang w:val="en-US" w:eastAsia="de-DE"/>
        </w:rPr>
        <w:t>]</w:t>
      </w:r>
      <w:r w:rsidR="000F7598" w:rsidRPr="00B27B47">
        <w:rPr>
          <w:rFonts w:ascii="Book Antiqua" w:eastAsia="Times New Roman" w:hAnsi="Book Antiqua" w:cs="Calibri"/>
          <w:bCs/>
          <w:sz w:val="24"/>
          <w:szCs w:val="24"/>
          <w:lang w:val="en-US" w:eastAsia="de-DE"/>
        </w:rPr>
        <w:t>. It is not yet clear whether reducing the doses of mTOR inhibitors will lower serum lipid concentrations</w:t>
      </w:r>
      <w:r w:rsidR="000F7598" w:rsidRPr="00B27B47">
        <w:rPr>
          <w:rFonts w:ascii="Book Antiqua" w:eastAsia="Times New Roman" w:hAnsi="Book Antiqua" w:cs="Calibri"/>
          <w:bCs/>
          <w:sz w:val="24"/>
          <w:szCs w:val="24"/>
          <w:vertAlign w:val="superscript"/>
          <w:lang w:val="en-US" w:eastAsia="de-DE"/>
        </w:rPr>
        <w:t>[</w:t>
      </w:r>
      <w:r w:rsidR="000F7598" w:rsidRPr="00B27B47">
        <w:rPr>
          <w:rFonts w:ascii="Book Antiqua" w:eastAsia="Times New Roman" w:hAnsi="Book Antiqua" w:cs="Calibri"/>
          <w:bCs/>
          <w:sz w:val="24"/>
          <w:szCs w:val="24"/>
          <w:lang w:val="en-US" w:eastAsia="de-DE"/>
        </w:rPr>
        <w:fldChar w:fldCharType="begin"/>
      </w:r>
      <w:r w:rsidR="000F7598" w:rsidRPr="00B27B47">
        <w:rPr>
          <w:rFonts w:ascii="Book Antiqua" w:eastAsia="Times New Roman" w:hAnsi="Book Antiqua" w:cs="Calibri"/>
          <w:bCs/>
          <w:sz w:val="24"/>
          <w:szCs w:val="24"/>
          <w:lang w:val="en-US" w:eastAsia="de-DE"/>
        </w:rPr>
        <w:instrText xml:space="preserve"> ADDIN EN.CITE &lt;EndNote&gt;&lt;Cite&gt;&lt;Author&gt;Firpi&lt;/Author&gt;&lt;Year&gt;2004&lt;/Year&gt;&lt;RecNum&gt;20&lt;/RecNum&gt;&lt;record&gt;&lt;rec-number&gt;20&lt;/rec-number&gt;&lt;ref-type name="Journal Article"&gt;17&lt;/ref-type&gt;&lt;contributors&gt;&lt;authors&gt;&lt;author&gt;Firpi, R. J.&lt;/author&gt;&lt;author&gt;Tran, T. T.&lt;/author&gt;&lt;author&gt;Flores, P.&lt;/author&gt;&lt;author&gt;Nissen, N.&lt;/author&gt;&lt;author&gt;Colquhoun, S.&lt;/author&gt;&lt;author&gt;Shackleton, C.&lt;/author&gt;&lt;author&gt;Martin, P.&lt;/author&gt;&lt;author&gt;Vierling, J. M.&lt;/author&gt;&lt;author&gt;Poordad, F. F.&lt;/author&gt;&lt;/authors&gt;&lt;/contributors&gt;&lt;auth-address&gt;Center for Liver Diseases and Transplantation, Cedars-Sinai Medical Center, Los Angeles, CA 90048, USA.&lt;/auth-address&gt;&lt;titles&gt;&lt;title&gt;Sirolimus-induced hyperlipidaemia in liver transplant recipients is not dose-dependent&lt;/title&gt;&lt;secondary-title&gt;Aliment Pharmacol Ther&lt;/secondary-title&gt;&lt;/titles&gt;&lt;periodical&gt;&lt;full-title&gt;Aliment Pharmacol Ther&lt;/full-title&gt;&lt;/periodical&gt;&lt;pages&gt;1033-9&lt;/pages&gt;&lt;volume&gt;19&lt;/volume&gt;&lt;number&gt;9&lt;/number&gt;&lt;keywords&gt;&lt;keyword&gt;Adult&lt;/keyword&gt;&lt;keyword&gt;Aged&lt;/keyword&gt;&lt;keyword&gt;Cyclosporine/therapeutic use&lt;/keyword&gt;&lt;keyword&gt;Dose-Response Relationship, Drug&lt;/keyword&gt;&lt;keyword&gt;Drug Therapy, Combination&lt;/keyword&gt;&lt;keyword&gt;Female&lt;/keyword&gt;&lt;keyword&gt;Humans&lt;/keyword&gt;&lt;keyword&gt;Hyperlipidemias/ chemically induced&lt;/keyword&gt;&lt;keyword&gt;Immunosuppressive Agents/ adverse effects&lt;/keyword&gt;&lt;keyword&gt;Kidney Transplantation&lt;/keyword&gt;&lt;keyword&gt;Male&lt;/keyword&gt;&lt;keyword&gt;Middle Aged&lt;/keyword&gt;&lt;keyword&gt;Sirolimus/ adverse effects&lt;/keyword&gt;&lt;keyword&gt;Tacrolimus/therapeutic use&lt;/keyword&gt;&lt;/keywords&gt;&lt;dates&gt;&lt;year&gt;2004&lt;/year&gt;&lt;pub-dates&gt;&lt;date&gt;May 1&lt;/date&gt;&lt;/pub-dates&gt;&lt;/dates&gt;&lt;isbn&gt;0269-2813 (Print)&amp;#xD;0269-2813 (Linking)&lt;/isbn&gt;&lt;accession-num&gt;15113371&lt;/accession-num&gt;&lt;urls&gt;&lt;/urls&gt;&lt;/record&gt;&lt;/Cite&gt;&lt;/EndNote&gt;</w:instrText>
      </w:r>
      <w:r w:rsidR="000F7598" w:rsidRPr="00B27B47">
        <w:rPr>
          <w:rFonts w:ascii="Book Antiqua" w:eastAsia="Times New Roman" w:hAnsi="Book Antiqua" w:cs="Calibri"/>
          <w:bCs/>
          <w:sz w:val="24"/>
          <w:szCs w:val="24"/>
          <w:lang w:val="en-US" w:eastAsia="de-DE"/>
        </w:rPr>
        <w:fldChar w:fldCharType="separate"/>
      </w:r>
      <w:r w:rsidR="000F7598"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3</w:t>
      </w:r>
      <w:r w:rsidR="000F7598" w:rsidRPr="00B27B47">
        <w:rPr>
          <w:rFonts w:ascii="Book Antiqua" w:eastAsia="Times New Roman" w:hAnsi="Book Antiqua" w:cs="Calibri"/>
          <w:bCs/>
          <w:sz w:val="24"/>
          <w:szCs w:val="24"/>
          <w:lang w:val="en-US" w:eastAsia="de-DE"/>
        </w:rPr>
        <w:fldChar w:fldCharType="end"/>
      </w:r>
      <w:r w:rsidR="000F7598" w:rsidRPr="00B27B47">
        <w:rPr>
          <w:rFonts w:ascii="Book Antiqua" w:eastAsia="Times New Roman" w:hAnsi="Book Antiqua" w:cs="Calibri"/>
          <w:bCs/>
          <w:sz w:val="24"/>
          <w:szCs w:val="24"/>
          <w:vertAlign w:val="superscript"/>
          <w:lang w:val="en-US" w:eastAsia="de-DE"/>
        </w:rPr>
        <w:t>]</w:t>
      </w:r>
      <w:r w:rsidR="000F7598" w:rsidRPr="00B27B47">
        <w:rPr>
          <w:rFonts w:ascii="Book Antiqua" w:eastAsia="Times New Roman" w:hAnsi="Book Antiqua" w:cs="Calibri"/>
          <w:bCs/>
          <w:sz w:val="24"/>
          <w:szCs w:val="24"/>
          <w:lang w:val="en-US" w:eastAsia="de-DE"/>
        </w:rPr>
        <w:t>.</w:t>
      </w:r>
    </w:p>
    <w:p w:rsidR="000F7598" w:rsidRPr="00B27B47" w:rsidRDefault="000F7598" w:rsidP="009A4928">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Patients with high serum triglyceride concentrations despite lifestyle interventions should be treated, if possible, with fenofibrate or nicoti</w:t>
      </w:r>
      <w:r w:rsidR="004B43DF" w:rsidRPr="00B27B47">
        <w:rPr>
          <w:rFonts w:ascii="Book Antiqua" w:eastAsia="Times New Roman" w:hAnsi="Book Antiqua" w:cs="Calibri"/>
          <w:bCs/>
          <w:sz w:val="24"/>
          <w:szCs w:val="24"/>
          <w:lang w:val="en-US" w:eastAsia="de-DE"/>
        </w:rPr>
        <w:t>ni</w:t>
      </w:r>
      <w:r w:rsidRPr="00B27B47">
        <w:rPr>
          <w:rFonts w:ascii="Book Antiqua" w:eastAsia="Times New Roman" w:hAnsi="Book Antiqua" w:cs="Calibri"/>
          <w:bCs/>
          <w:sz w:val="24"/>
          <w:szCs w:val="24"/>
          <w:lang w:val="en-US" w:eastAsia="de-DE"/>
        </w:rPr>
        <w:t>c acid. Patients with high serum LDL-C concentrations can be treated with statins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&lt;EndNote&gt;&lt;Cite&gt;&lt;Author&gt;Lisik&lt;/Author&gt;&lt;Year&gt;2007&lt;/Year&gt;&lt;RecNum&gt;21&lt;/RecNum&gt;&lt;record&gt;&lt;rec-number&gt;21&lt;/rec-number&gt;&lt;ref-type name="Journal Article"&gt;17&lt;/ref-type&gt;&lt;contributors&gt;&lt;authors&gt;&lt;author&gt;Lisik, W.&lt;/author&gt;&lt;author&gt;Schoenberg, L.&lt;/author&gt;&lt;author&gt;Lasky, R. E.&lt;/author&gt;&lt;author&gt;Kahan, B. D.&lt;/author&gt;&lt;/authors&gt;&lt;/contributors&gt;&lt;auth-address&gt;Division of Immunology and Organ Transplantation, The University of Texas Medical School at Houston, Houston, Texas 77030, USA.&lt;/auth-address&gt;&lt;titles&gt;&lt;title&gt;Statins benefit outcomes of renal transplant recipients on a sirolimus-cyclosporine regimen&lt;/title&gt;&lt;secondary-title&gt;Transplant Proc&lt;/secondary-title&gt;&lt;/titles&gt;&lt;periodical&gt;&lt;full-title&gt;Transplant Proc&lt;/full-title&gt;&lt;/periodical&gt;&lt;pages&gt;3086-92&lt;/pages&gt;&lt;volume&gt;39&lt;/volume&gt;&lt;number&gt;10&lt;/number&gt;&lt;keywords&gt;&lt;keyword&gt;Aged&lt;/keyword&gt;&lt;keyword&gt;Cholesterol/blood&lt;/keyword&gt;&lt;keyword&gt;Cyclosporine/ therapeutic use&lt;/keyword&gt;&lt;keyword&gt;Drug Prescriptions&lt;/keyword&gt;&lt;keyword&gt;Drug Therapy, Combination&lt;/keyword&gt;&lt;keyword&gt;Female&lt;/keyword&gt;&lt;keyword&gt;Graft Rejection/epidemiology&lt;/keyword&gt;&lt;keyword&gt;Humans&lt;/keyword&gt;&lt;keyword&gt;Hydroxymethylglutaryl-CoA Reductase Inhibitors/ therapeutic use&lt;/keyword&gt;&lt;keyword&gt;Hypercholesterolemia/drug therapy&lt;/keyword&gt;&lt;keyword&gt;Immunosuppressive Agents/ therapeutic use&lt;/keyword&gt;&lt;keyword&gt;Kidney Transplantation/immunology/ physiology&lt;/keyword&gt;&lt;keyword&gt;Male&lt;/keyword&gt;&lt;keyword&gt;Middle Aged&lt;/keyword&gt;&lt;keyword&gt;Peritoneal Dialysis/statistics &amp;amp; numerical data&lt;/keyword&gt;&lt;keyword&gt;Retrospective Studies&lt;/keyword&gt;&lt;keyword&gt;Sirolimus/ therapeutic use&lt;/keyword&gt;&lt;/keywords&gt;&lt;dates&gt;&lt;year&gt;2007&lt;/year&gt;&lt;pub-dates&gt;&lt;date&gt;Dec&lt;/date&gt;&lt;/pub-dates&gt;&lt;/dates&gt;&lt;isbn&gt;0041-1345 (Print)&amp;#xD;0041-1345 (Linking)&lt;/isbn&gt;&lt;accession-num&gt;18089328&lt;/accession-num&gt;&lt;urls&gt;&lt;/urls&gt;&lt;/record&gt;&lt;/Cite&gt;&lt;/EndNote&gt;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4</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Statins have b</w:t>
      </w:r>
      <w:r w:rsidR="00910292" w:rsidRPr="00B27B47">
        <w:rPr>
          <w:rFonts w:ascii="Book Antiqua" w:eastAsia="Times New Roman" w:hAnsi="Book Antiqua" w:cs="Calibri"/>
          <w:bCs/>
          <w:sz w:val="24"/>
          <w:szCs w:val="24"/>
          <w:lang w:val="en-US" w:eastAsia="de-DE"/>
        </w:rPr>
        <w:t>een shown safe in LT recipients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&lt;EndNote&gt;&lt;Cite&gt;&lt;Author&gt;Bays&lt;/Author&gt;&lt;RecNum&gt;52&lt;/RecNum&gt;&lt;record&gt;&lt;rec-number&gt;52&lt;/rec-number&gt;&lt;ref-type name="Journal Article"&gt;17&lt;/ref-type&gt;&lt;contributors&gt;&lt;authors&gt;&lt;author&gt;Bays, H.&lt;/author&gt;&lt;author&gt;Cohen, D. E.&lt;/author&gt;&lt;author&gt;Chalasani, N.&lt;/author&gt;&lt;author&gt;Harrison, S. A.&lt;/author&gt;&lt;author&gt;The National Lipid Association&amp;apos;s Statin Safety Task, Force&lt;/author&gt;&lt;/authors&gt;&lt;/contributors&gt;&lt;auth-address&gt;Louisville Metabolic and Atherosclerosis Research Center, 3288 Illinois Avenue, Louisville, KY 40213, USA. Electronic address: hbaysmd@aol.com.&amp;#xD;Brigham and Women&amp;apos;s Hospital, Harvard Medical School, Boston, MA, USA.&amp;#xD;Indiana University School of Medicine, Indianapolis, IN, USA.&amp;#xD;Brooke Army Medical Center, University of Texas Health Center San Antonio, Uniformed Services University of the Health Sciences, San Antonio, TX, USA.&lt;/auth-address&gt;&lt;titles&gt;&lt;title&gt;An assessment by the Statin Liver Safety Task Force: 2014 update&lt;/title&gt;&lt;secondary-title&gt;J Clin Lipidol&lt;/secondary-title&gt;&lt;/titles&gt;&lt;periodical&gt;&lt;full-title&gt;J Clin Lipidol&lt;/full-title&gt;&lt;/periodical&gt;&lt;pages&gt;S47-57&lt;/pages&gt;&lt;volume&gt;8&lt;/volume&gt;&lt;number&gt;3 Suppl&lt;/number&gt;&lt;keywords&gt;&lt;keyword&gt;Antiviral Agents/pharmacokinetics/therapeutic use&lt;/keyword&gt;&lt;keyword&gt;Cardiovascular Diseases/complications/drug therapy/ prevention &amp;amp; control&lt;/keyword&gt;&lt;keyword&gt;Evidence-Based Medicine&lt;/keyword&gt;&lt;keyword&gt;Hepatitis, Autoimmune/complications&lt;/keyword&gt;&lt;keyword&gt;Humans&lt;/keyword&gt;&lt;keyword&gt;Hydroxymethylglutaryl-CoA Reductase Inhibitors/adverse&lt;/keyword&gt;&lt;keyword&gt;effects/pharmacokinetics/ therapeutic use&lt;/keyword&gt;&lt;keyword&gt;Liver/drug effects/enzymology/metabolism&lt;/keyword&gt;&lt;keyword&gt;Liver Diseases/etiology&lt;/keyword&gt;&lt;keyword&gt;Liver Function Tests&lt;/keyword&gt;&lt;keyword&gt;Liver Transplantation&lt;/keyword&gt;&lt;keyword&gt;Non-alcoholic Fatty Liver Disease/complications&lt;/keyword&gt;&lt;keyword&gt;Virus Diseases/complications/drug therapy&lt;/keyword&gt;&lt;keyword&gt;Cholesterol&lt;/keyword&gt;&lt;keyword&gt;Lipid&lt;/keyword&gt;&lt;keyword&gt;Liver&lt;/keyword&gt;&lt;keyword&gt;National Lipid Association&lt;/keyword&gt;&lt;keyword&gt;Statin&lt;/keyword&gt;&lt;/keywords&gt;&lt;dates&gt;&lt;pub-dates&gt;&lt;date&gt;May-Jun&lt;/date&gt;&lt;/pub-dates&gt;&lt;/dates&gt;&lt;isbn&gt;1933-2874 (Print)&amp;#xD;1876-4789 (Linking)&lt;/isbn&gt;&lt;accession-num&gt;24793441&lt;/accession-num&gt;&lt;urls&gt;&lt;/urls&gt;&lt;/record&gt;&lt;/Cite&gt;&lt;/EndNote&gt;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5</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with pravastatin or fluvastatin showing fewer interactions than other statins with cytochrome P 450 3A4 and thus a reduced risk for interactions with immunosuppressants (Table 7).</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910292" w:rsidP="003E1943">
      <w:pPr>
        <w:adjustRightInd w:val="0"/>
        <w:snapToGrid w:val="0"/>
        <w:spacing w:after="0" w:line="360" w:lineRule="auto"/>
        <w:jc w:val="both"/>
        <w:rPr>
          <w:rFonts w:ascii="Book Antiqua" w:hAnsi="Book Antiqua" w:cs="Calibri"/>
          <w:b/>
          <w:bCs/>
          <w:sz w:val="24"/>
          <w:szCs w:val="24"/>
          <w:lang w:val="en-US" w:eastAsia="zh-CN"/>
        </w:rPr>
      </w:pPr>
      <w:r w:rsidRPr="00B27B47">
        <w:rPr>
          <w:rFonts w:ascii="Book Antiqua" w:eastAsia="Times New Roman" w:hAnsi="Book Antiqua" w:cs="Calibri"/>
          <w:b/>
          <w:bCs/>
          <w:sz w:val="24"/>
          <w:szCs w:val="24"/>
          <w:lang w:val="en-US" w:eastAsia="de-DE"/>
        </w:rPr>
        <w:t>GENERAL TREATMENT RECOMMENDATIONS FOR HLP IN LIVER TRANSPLANT RECIPIENTS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The evidence showing that reducing total cholesterol and LDL-C can prevent atherogenic end points is strong, based on results from multiple randomized controlled trials. Serum total cholesterol and LDL-C concentrations remain the primary targets of therapy. Integrating these findings with the ESC/EAS guidelines </w:t>
      </w:r>
      <w:r w:rsidR="00751D25" w:rsidRPr="00B27B47">
        <w:rPr>
          <w:rFonts w:ascii="Book Antiqua" w:eastAsia="Times New Roman" w:hAnsi="Book Antiqua" w:cs="Calibri"/>
          <w:bCs/>
          <w:sz w:val="24"/>
          <w:szCs w:val="24"/>
          <w:lang w:val="en-US" w:eastAsia="de-DE"/>
        </w:rPr>
        <w:lastRenderedPageBreak/>
        <w:t>for life style changes suggest</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&lt;EndNote&gt;&lt;Cite&gt;&lt;Author&gt;Catapano&lt;/Author&gt;&lt;RecNum&gt;14&lt;/RecNum&gt;&lt;record&gt;&lt;rec-number&gt;14&lt;/rec-number&gt;&lt;ref-type name="Journal Article"&gt;17&lt;/ref-type&gt;&lt;contributors&gt;&lt;authors&gt;&lt;author&gt;Catapano, A. L.&lt;/author&gt;&lt;author&gt;Reiner, Z.&lt;/author&gt;&lt;author&gt;De Backer, G.&lt;/author&gt;&lt;author&gt;Graham, I.&lt;/author&gt;&lt;author&gt;Taskinen, M. R.&lt;/author&gt;&lt;author&gt;Wiklund, O.&lt;/author&gt;&lt;author&gt;Agewall, S.&lt;/author&gt;&lt;author&gt;Alegria, E.&lt;/author&gt;&lt;author&gt;Chapman, M. J.&lt;/author&gt;&lt;author&gt;Durrington, P.&lt;/author&gt;&lt;author&gt;Erdine, S.&lt;/author&gt;&lt;author&gt;Halcox, J.&lt;/author&gt;&lt;author&gt;Hobbs, R.&lt;/author&gt;&lt;author&gt;Kjekshus, J.&lt;/author&gt;&lt;author&gt;Perrone Filardi, P.&lt;/author&gt;&lt;author&gt;Riccardi, G.&lt;/author&gt;&lt;author&gt;Storey, R. F.&lt;/author&gt;&lt;author&gt;Wood, D.&lt;/author&gt;&lt;/authors&gt;&lt;/contributors&gt;&lt;titles&gt;&lt;title&gt;ESC/EAS Guidelines for the management of dyslipidaemias: the Task Force for the management of dyslipidaemias of the European Society of Cardiology (ESC) and the European Atherosclerosis Society (EAS)&lt;/title&gt;&lt;secondary-title&gt;Atherosclerosis&lt;/secondary-title&gt;&lt;/titles&gt;&lt;pages&gt;S1-44&lt;/pages&gt;&lt;volume&gt;217 Suppl 1&lt;/volume&gt;&lt;keywords&gt;&lt;keyword&gt;Adolescent&lt;/keyword&gt;&lt;keyword&gt;Adult&lt;/keyword&gt;&lt;keyword&gt;Aged&lt;/keyword&gt;&lt;keyword&gt;Atherosclerosis/ therapy&lt;/keyword&gt;&lt;keyword&gt;Cardiology/ methods&lt;/keyword&gt;&lt;keyword&gt;Cardiovascular Diseases/therapy&lt;/keyword&gt;&lt;keyword&gt;Child&lt;/keyword&gt;&lt;keyword&gt;Cholesterol/metabolism&lt;/keyword&gt;&lt;keyword&gt;Clinical Trials as Topic&lt;/keyword&gt;&lt;keyword&gt;Dyslipidemias/ therapy&lt;/keyword&gt;&lt;keyword&gt;Europe&lt;/keyword&gt;&lt;keyword&gt;Female&lt;/keyword&gt;&lt;keyword&gt;Genotype&lt;/keyword&gt;&lt;keyword&gt;Humans&lt;/keyword&gt;&lt;keyword&gt;Life Style&lt;/keyword&gt;&lt;keyword&gt;Lipids/blood&lt;/keyword&gt;&lt;keyword&gt;Lipoproteins/metabolism&lt;/keyword&gt;&lt;keyword&gt;Male&lt;/keyword&gt;&lt;keyword&gt;Middle Aged&lt;/keyword&gt;&lt;keyword&gt;Practice Guidelines as Topic&lt;/keyword&gt;&lt;keyword&gt;Societies, Medical&lt;/keyword&gt;&lt;/keywords&gt;&lt;dates&gt;&lt;pub-dates&gt;&lt;date&gt;Jul&lt;/date&gt;&lt;/pub-dates&gt;&lt;/dates&gt;&lt;isbn&gt;1879-1484 (Electronic)&amp;#xD;0021-9150 (Linking)&lt;/isbn&gt;&lt;accession-num&gt;21723445&lt;/accession-num&gt;&lt;urls&gt;&lt;/urls&gt;&lt;/record&gt;&lt;/Cite&gt;&lt;/EndNote&gt;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11</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Reductions in serum LDL-C concentrations require dietary changes, especially reductions in dietary saturated fatty acids, which have the greatest impact on serum LDL-C concentrations. Dietary trans-fats and cholesterol should also be avoided, and dietary fiber increased. Excessive body weight should be reduced. Habitual physical activity should be increased. Serum triglyceride concentrations may be reduced by normalization of body weight, reduced alcohol intake (forbidden for LT recipients) and reduction of mono- and disaccharides, along with increased physical activity and reduced total dietary carbohydrates. Ingestion of n-3-polysaturated fats should be eliminated and replaced by mono- or polyunsaturated fats. Omega-3-fatty acids may also improve severe hypertriglyceridemia in transplant patients since no drug-drug-interactions have been described. The latter are available over the counter and are approved by the FDA for the treatment of patients with very high triglyceride serum concentrations (&gt;</w:t>
      </w:r>
      <w:r w:rsidR="00307FD3" w:rsidRPr="00B27B47">
        <w:rPr>
          <w:rFonts w:ascii="Book Antiqua" w:eastAsia="Times New Roman" w:hAnsi="Book Antiqua" w:cs="Calibri"/>
          <w:bCs/>
          <w:sz w:val="24"/>
          <w:szCs w:val="24"/>
          <w:lang w:val="en-US" w:eastAsia="de-DE"/>
        </w:rPr>
        <w:t xml:space="preserve"> </w:t>
      </w:r>
      <w:r w:rsidRPr="00B27B47">
        <w:rPr>
          <w:rFonts w:ascii="Book Antiqua" w:eastAsia="Times New Roman" w:hAnsi="Book Antiqua" w:cs="Calibri"/>
          <w:bCs/>
          <w:sz w:val="24"/>
          <w:szCs w:val="24"/>
          <w:lang w:val="en-US" w:eastAsia="de-DE"/>
        </w:rPr>
        <w:t>500 mg/dL)</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&lt;EndNote&gt;&lt;Cite&gt;&lt;Author&gt;Harris&lt;/Author&gt;&lt;RecNum&gt;77&lt;/RecNum&gt;&lt;record&gt;&lt;rec-number&gt;77&lt;/rec-number&gt;&lt;ref-type name="Journal Article"&gt;17&lt;/ref-type&gt;&lt;contributors&gt;&lt;authors&gt;&lt;author&gt;Harris, W. S.&lt;/author&gt;&lt;author&gt;Dayspring, T. D.&lt;/author&gt;&lt;author&gt;Moran, T. J.&lt;/author&gt;&lt;/authors&gt;&lt;/contributors&gt;&lt;auth-address&gt;Professor of Medicine, Sanford School of Medicine, University of South Dakota, Sioux Falls, SD; President, OmegaQuant Analytics, LLC, Sioux Falls, SD; Senior Research Scientist, Health Diagnostic Laboratory, Inc, Richmond, VA. Bharris@hdlabinc.com.&lt;/auth-address&gt;&lt;titles&gt;&lt;title&gt;Omega-3 fatty acids and cardiovascular disease: new developments and applications&lt;/title&gt;&lt;secondary-title&gt;Postgrad Med&lt;/secondary-title&gt;&lt;/titles&gt;&lt;periodical&gt;&lt;full-title&gt;Postgrad Med&lt;/full-title&gt;&lt;/periodical&gt;&lt;pages&gt;100-13&lt;/pages&gt;&lt;volume&gt;125&lt;/volume&gt;&lt;number&gt;6&lt;/number&gt;&lt;keywords&gt;&lt;keyword&gt;Cardiovascular Diseases/ drug therapy/ prevention &amp;amp; control&lt;/keyword&gt;&lt;keyword&gt;Diet&lt;/keyword&gt;&lt;keyword&gt;Dietary Supplements&lt;/keyword&gt;&lt;keyword&gt;Docosahexaenoic Acids/pharmacology/therapeutic use&lt;/keyword&gt;&lt;keyword&gt;Eicosapentaenoic Acid/pharmacology/therapeutic use&lt;/keyword&gt;&lt;keyword&gt;Fatty Acids, Omega-3/administration &amp;amp; dosage/pharmacology/ therapeutic use&lt;/keyword&gt;&lt;keyword&gt;Humans&lt;/keyword&gt;&lt;keyword&gt;Hypertriglyceridemia/drug therapy&lt;/keyword&gt;&lt;keyword&gt;Lipids/blood&lt;/keyword&gt;&lt;keyword&gt;Meta-Analysis as Topic&lt;/keyword&gt;&lt;keyword&gt;Practice Guidelines as Topic&lt;/keyword&gt;&lt;keyword&gt;Randomized Controlled Trials as Topic&lt;/keyword&gt;&lt;keyword&gt;Risk Factors&lt;/keyword&gt;&lt;/keywords&gt;&lt;dates&gt;&lt;pub-dates&gt;&lt;date&gt;Nov&lt;/date&gt;&lt;/pub-dates&gt;&lt;/dates&gt;&lt;isbn&gt;1941-9260 (Electronic)&amp;#xD;0032-5481 (Linking)&lt;/isbn&gt;&lt;accession-num&gt;24200766&lt;/accession-num&gt;&lt;urls&gt;&lt;/urls&gt;&lt;/record&gt;&lt;/Cite&gt;&lt;/EndNote&gt;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6</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However, omega-3-fatty acids may increase serum concentrations of LDL-C and TC.</w:t>
      </w:r>
    </w:p>
    <w:p w:rsidR="000F7598" w:rsidRPr="00B27B47" w:rsidRDefault="000F7598" w:rsidP="00910292">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Serum HDL-C concentrations may be increased by reducing dietary trans-fats. Increased physical activity, reduced body weight and replacement of dietary carbohydrates by unsaturated fats can also increase serum HDL-C concentrations. </w:t>
      </w:r>
    </w:p>
    <w:p w:rsidR="000F7598" w:rsidRPr="00B27B47" w:rsidRDefault="000F7598" w:rsidP="00910292">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Depending on additional individual risk factors for cardiovascular events, in addition to LT, medical treatment of hypercholesterinemia should be considered. The ESC/EAS guidelines utilize the SCORE system</w:t>
      </w:r>
      <w:r w:rsidRPr="00B27B47">
        <w:rPr>
          <w:rFonts w:ascii="Book Antiqua" w:eastAsia="Times New Roman" w:hAnsi="Book Antiqua" w:cs="Times New Roman"/>
          <w:sz w:val="24"/>
          <w:szCs w:val="24"/>
          <w:lang w:val="en-US" w:eastAsia="de-DE"/>
        </w:rPr>
        <w:t xml:space="preserve"> to </w:t>
      </w:r>
      <w:r w:rsidRPr="00B27B47">
        <w:rPr>
          <w:rFonts w:ascii="Book Antiqua" w:eastAsia="Times New Roman" w:hAnsi="Book Antiqua" w:cs="Calibri"/>
          <w:bCs/>
          <w:sz w:val="24"/>
          <w:szCs w:val="24"/>
          <w:lang w:val="en-US" w:eastAsia="de-DE"/>
        </w:rPr>
        <w:t>estimate the 10-year risk of a first fatal atherosclerotic event (heart attack, stroke, or other occlusive arterial disease, including sudden cardiac death). This 10-year risk of CVD death can be estimated using tables on the ESC/EAS homepage (http://www.escardio.org/Guidelines-&amp;-Education/Clinical-Practice-Guidelines/Dyslipidaemias-Management-of). The current joint European Guidelines on CVD prevention in clinical practice also recommend the use of the SCORE system because it is based on large, representative European cohort data sets</w:t>
      </w:r>
      <w:r w:rsidRPr="00B27B47">
        <w:rPr>
          <w:rFonts w:ascii="Book Antiqua" w:eastAsia="Times New Roman" w:hAnsi="Book Antiqua" w:cs="Calibri"/>
          <w:bCs/>
          <w:sz w:val="24"/>
          <w:szCs w:val="24"/>
          <w:vertAlign w:val="superscript"/>
          <w:lang w:val="en-US" w:eastAsia="de-DE"/>
        </w:rPr>
        <w:t>[</w:t>
      </w:r>
      <w:r w:rsidR="00751D25" w:rsidRPr="00B27B47">
        <w:rPr>
          <w:rFonts w:ascii="Book Antiqua" w:hAnsi="Book Antiqua" w:cs="Calibri" w:hint="eastAsia"/>
          <w:bCs/>
          <w:sz w:val="24"/>
          <w:szCs w:val="24"/>
          <w:vertAlign w:val="superscript"/>
          <w:lang w:val="en-US" w:eastAsia="zh-CN"/>
        </w:rPr>
        <w:t>47</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The 2013 ACC/AHA guidelines, which also describe the elevated risk for CVD in LT recipients CVD, recommend statin treatment. These guidelines have found a net benefit from statin treatment when 10-year atherosclerosis CVD risk was as low as 5%.</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910292" w:rsidP="003E1943">
      <w:pPr>
        <w:adjustRightInd w:val="0"/>
        <w:snapToGrid w:val="0"/>
        <w:spacing w:after="0" w:line="360" w:lineRule="auto"/>
        <w:jc w:val="both"/>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lastRenderedPageBreak/>
        <w:t>MANAGEMENT OF LIPID LOWERING AGENTS AND PHARMACOLOGICAL INTERACTIONS</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If an LT recipient receiving immunosuppressive therapy has a risk profile indicating the use of lipid lowering agents such as statins, serum concentrations of creatine kinase (CK) and liver enzymes should measured one, two, four, eight and 12 </w:t>
      </w:r>
      <w:r w:rsidR="00910292" w:rsidRPr="00B27B47">
        <w:rPr>
          <w:rFonts w:ascii="Book Antiqua" w:hAnsi="Book Antiqua" w:cs="Calibri" w:hint="eastAsia"/>
          <w:bCs/>
          <w:sz w:val="24"/>
          <w:szCs w:val="24"/>
          <w:lang w:val="en-US" w:eastAsia="zh-CN"/>
        </w:rPr>
        <w:t>wk</w:t>
      </w:r>
      <w:r w:rsidRPr="00B27B47">
        <w:rPr>
          <w:rFonts w:ascii="Book Antiqua" w:eastAsia="Times New Roman" w:hAnsi="Book Antiqua" w:cs="Calibri"/>
          <w:bCs/>
          <w:sz w:val="24"/>
          <w:szCs w:val="24"/>
          <w:lang w:val="en-US" w:eastAsia="de-DE"/>
        </w:rPr>
        <w:t xml:space="preserve"> after starting a lipid lowering treatment, as severe side effects, such as rhabdomyolysis, may occur. Subsequent blood controls may be performed every 3 </w:t>
      </w:r>
      <w:r w:rsidR="00910292" w:rsidRPr="00B27B47">
        <w:rPr>
          <w:rFonts w:ascii="Book Antiqua" w:hAnsi="Book Antiqua" w:cs="Calibri" w:hint="eastAsia"/>
          <w:bCs/>
          <w:sz w:val="24"/>
          <w:szCs w:val="24"/>
          <w:lang w:val="en-US" w:eastAsia="zh-CN"/>
        </w:rPr>
        <w:t>mo</w:t>
      </w:r>
      <w:r w:rsidRPr="00B27B47">
        <w:rPr>
          <w:rFonts w:ascii="Book Antiqua" w:eastAsia="Times New Roman" w:hAnsi="Book Antiqua" w:cs="Calibri"/>
          <w:bCs/>
          <w:sz w:val="24"/>
          <w:szCs w:val="24"/>
          <w:lang w:val="en-US" w:eastAsia="de-DE"/>
        </w:rPr>
        <w:t xml:space="preserve"> or whenever a new drug is introduced. A tolerable elevation of creatine kinase has defined as an increase to five times the upper limit of normal on two occasions. How statins affect skeletal muscle is not clear. Myopathy often occurs in persons, such as LT recipients, taking multiple medications. Myalgia without CK elevation has been reported to occur in 5%–10% of patients. Patients taking statins should be instructed to promptly report unexpected muscle pain or weakness. However, patients complaining of myalgia without elevated serum CK concentrations can continue taking statins if their symptoms are tolerable. If the symptoms are not tolerable or are progressive, the drug should be discontinued</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&lt;EndNote&gt;&lt;Cite&gt;&lt;Author&gt;Catapano&lt;/Author&gt;&lt;RecNum&gt;51&lt;/RecNum&gt;&lt;record&gt;&lt;rec-number&gt;51&lt;/rec-number&gt;&lt;ref-type name="Journal Article"&gt;17&lt;/ref-type&gt;&lt;contributors&gt;&lt;authors&gt;&lt;author&gt;Catapano, A. L.&lt;/author&gt;&lt;author&gt;Reiner, Z.&lt;/author&gt;&lt;author&gt;De Backer, G.&lt;/author&gt;&lt;author&gt;Graham, I.&lt;/author&gt;&lt;author&gt;Taskinen, M. R.&lt;/author&gt;&lt;author&gt;Wiklund, O.&lt;/author&gt;&lt;author&gt;Agewall, S.&lt;/author&gt;&lt;author&gt;Alegria, E.&lt;/author&gt;&lt;author&gt;Chapman, M. J.&lt;/author&gt;&lt;author&gt;Durrington, P.&lt;/author&gt;&lt;author&gt;Erdine, S.&lt;/author&gt;&lt;author&gt;Halcox, J.&lt;/author&gt;&lt;author&gt;Hobbs, R.&lt;/author&gt;&lt;author&gt;Kjekshus, J.&lt;/author&gt;&lt;author&gt;Perrone Filardi, P.&lt;/author&gt;&lt;author&gt;Riccardi, G.&lt;/author&gt;&lt;author&gt;Storey, R. F.&lt;/author&gt;&lt;author&gt;Wood, D.&lt;/author&gt;&lt;/authors&gt;&lt;/contributors&gt;&lt;titles&gt;&lt;title&gt;ESC/EAS Guidelines for the management of dyslipidaemias: the Task Force for the management of dyslipidaemias of the European Society of Cardiology (ESC) and the European Atherosclerosis Society (EAS)&lt;/title&gt;&lt;secondary-title&gt;Atherosclerosis&lt;/secondary-title&gt;&lt;/titles&gt;&lt;periodical&gt;&lt;full-title&gt;Atherosclerosis&lt;/full-title&gt;&lt;/periodical&gt;&lt;pages&gt;S1-44&lt;/pages&gt;&lt;volume&gt;217 Suppl 1&lt;/volume&gt;&lt;keywords&gt;&lt;keyword&gt;Adolescent&lt;/keyword&gt;&lt;keyword&gt;Adult&lt;/keyword&gt;&lt;keyword&gt;Aged&lt;/keyword&gt;&lt;keyword&gt;Atherosclerosis/ therapy&lt;/keyword&gt;&lt;keyword&gt;Cardiology/ methods&lt;/keyword&gt;&lt;keyword&gt;Cardiovascular Diseases/therapy&lt;/keyword&gt;&lt;keyword&gt;Child&lt;/keyword&gt;&lt;keyword&gt;Cholesterol/metabolism&lt;/keyword&gt;&lt;keyword&gt;Clinical Trials as Topic&lt;/keyword&gt;&lt;keyword&gt;Dyslipidemias/ therapy&lt;/keyword&gt;&lt;keyword&gt;Europe&lt;/keyword&gt;&lt;keyword&gt;Female&lt;/keyword&gt;&lt;keyword&gt;Genotype&lt;/keyword&gt;&lt;keyword&gt;Humans&lt;/keyword&gt;&lt;keyword&gt;Life Style&lt;/keyword&gt;&lt;keyword&gt;Lipids/blood&lt;/keyword&gt;&lt;keyword&gt;Lipoproteins/metabolism&lt;/keyword&gt;&lt;keyword&gt;Male&lt;/keyword&gt;&lt;keyword&gt;Middle Aged&lt;/keyword&gt;&lt;keyword&gt;Practice Guidelines as Topic&lt;/keyword&gt;&lt;keyword&gt;Societies, Medical&lt;/keyword&gt;&lt;/keywords&gt;&lt;dates&gt;&lt;pub-dates&gt;&lt;date&gt;Jul&lt;/date&gt;&lt;/pub-dates&gt;&lt;/dates&gt;&lt;isbn&gt;1879-1484 (Electronic)&amp;#xD;0021-9150 (Linking)&lt;/isbn&gt;&lt;accession-num&gt;21723445&lt;/accession-num&gt;&lt;urls&gt;&lt;/urls&gt;&lt;/record&gt;&lt;/Cite&gt;&lt;/EndNote&gt;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11</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w:t>
      </w:r>
    </w:p>
    <w:p w:rsidR="000F7598" w:rsidRPr="00B27B47" w:rsidRDefault="000F7598" w:rsidP="00910292">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Table 7 </w:t>
      </w:r>
      <w:bookmarkStart w:id="284" w:name="OLE_LINK2844"/>
      <w:bookmarkStart w:id="285" w:name="OLE_LINK2845"/>
      <w:r w:rsidRPr="00B27B47">
        <w:rPr>
          <w:rFonts w:ascii="Book Antiqua" w:eastAsia="Times New Roman" w:hAnsi="Book Antiqua" w:cs="Calibri"/>
          <w:bCs/>
          <w:sz w:val="24"/>
          <w:szCs w:val="24"/>
          <w:lang w:val="en-US" w:eastAsia="de-DE"/>
        </w:rPr>
        <w:t xml:space="preserve">highlights additional </w:t>
      </w:r>
      <w:bookmarkEnd w:id="284"/>
      <w:bookmarkEnd w:id="285"/>
      <w:r w:rsidRPr="00B27B47">
        <w:rPr>
          <w:rFonts w:ascii="Book Antiqua" w:eastAsia="Times New Roman" w:hAnsi="Book Antiqua" w:cs="Calibri"/>
          <w:bCs/>
          <w:sz w:val="24"/>
          <w:szCs w:val="24"/>
          <w:lang w:val="en-US" w:eastAsia="de-DE"/>
        </w:rPr>
        <w:t>important and frequently observed drug-drug interactions. Due to the high risk of rhabdomyolysis, combinations of lipid lowering agents should be avoided. Bile acid binding agents may impair the absorption of some co-medications. Therefore, comedications should be administered a least one hour before or four hours after taking bile acid binding agents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&lt;EndNote&gt;&lt;Cite&gt;&lt;Author&gt;Backes&lt;/Author&gt;&lt;Year&gt;2005&lt;/Year&gt;&lt;RecNum&gt;14&lt;/RecNum&gt;&lt;record&gt;&lt;rec-number&gt;14&lt;/rec-number&gt;&lt;ref-type name="Journal Article"&gt;17&lt;/ref-type&gt;&lt;contributors&gt;&lt;authors&gt;&lt;author&gt;Backes, J. M.&lt;/author&gt;&lt;author&gt;Gibson, C. A.&lt;/author&gt;&lt;author&gt;Howard, P. A.&lt;/author&gt;&lt;/authors&gt;&lt;/contributors&gt;&lt;auth-address&gt;Department of Pharmacy Practice, Lipid, Atherosclerosis, Metabolic and LDL Apheresis Center, University of Kansas Medical Center, Kansas City, KS 66160-7231, USA. jbackes@kumc.edu&lt;/auth-address&gt;&lt;titles&gt;&lt;title&gt;Optimal lipid modification: the rationale for combination therapy&lt;/title&gt;&lt;secondary-title&gt;Vasc Health Risk Manag&lt;/secondary-title&gt;&lt;/titles&gt;&lt;periodical&gt;&lt;full-title&gt;Vasc Health Risk Manag&lt;/full-title&gt;&lt;/periodical&gt;&lt;pages&gt;317-31&lt;/pages&gt;&lt;volume&gt;1&lt;/volume&gt;&lt;number&gt;4&lt;/number&gt;&lt;keywords&gt;&lt;keyword&gt;Anticholesteremic Agents/adverse effects/ therapeutic use&lt;/keyword&gt;&lt;keyword&gt;Azetidines/therapeutic use&lt;/keyword&gt;&lt;keyword&gt;Cardiovascular Diseases/etiology/ prevention &amp;amp; control&lt;/keyword&gt;&lt;keyword&gt;Cholesterol, LDL/blood&lt;/keyword&gt;&lt;keyword&gt;Clinical Trials as Topic/methods&lt;/keyword&gt;&lt;keyword&gt;Clofibric Acid/therapeutic use&lt;/keyword&gt;&lt;keyword&gt;Drug Therapy, Combination&lt;/keyword&gt;&lt;keyword&gt;Dyslipidemias/blood/complications/ drug therapy&lt;/keyword&gt;&lt;keyword&gt;Humans&lt;/keyword&gt;&lt;keyword&gt;Hydroxymethylglutaryl-CoA Reductase Inhibitors/therapeutic use&lt;/keyword&gt;&lt;keyword&gt;Niacin/therapeutic use&lt;/keyword&gt;&lt;keyword&gt;Patient Compliance&lt;/keyword&gt;&lt;keyword&gt;Patient Selection&lt;/keyword&gt;&lt;keyword&gt;Practice Guidelines as Topic&lt;/keyword&gt;&lt;keyword&gt;Research Design&lt;/keyword&gt;&lt;keyword&gt;Treatment Outcome&lt;/keyword&gt;&lt;/keywords&gt;&lt;dates&gt;&lt;year&gt;2005&lt;/year&gt;&lt;/dates&gt;&lt;isbn&gt;1176-6344 (Print)&amp;#xD;1176-6344 (Linking)&lt;/isbn&gt;&lt;accession-num&gt;17315604&lt;/accession-num&gt;&lt;urls&gt;&lt;/urls&gt;&lt;/record&gt;&lt;/Cite&gt;&lt;/EndNote&gt;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4</w:t>
      </w:r>
      <w:r w:rsidR="00751D25" w:rsidRPr="00B27B47">
        <w:rPr>
          <w:rFonts w:ascii="Book Antiqua" w:hAnsi="Book Antiqua" w:cs="Calibri" w:hint="eastAsia"/>
          <w:bCs/>
          <w:sz w:val="24"/>
          <w:szCs w:val="24"/>
          <w:vertAlign w:val="superscript"/>
          <w:lang w:val="en-US" w:eastAsia="zh-CN"/>
        </w:rPr>
        <w:t>8</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0F7598" w:rsidRPr="00B27B47" w:rsidRDefault="00910292" w:rsidP="003E1943">
      <w:pPr>
        <w:adjustRightInd w:val="0"/>
        <w:snapToGrid w:val="0"/>
        <w:spacing w:after="0" w:line="360" w:lineRule="auto"/>
        <w:jc w:val="both"/>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t>CONCLUSION</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HLP can include hypercholesterolemia and/or hypertriglyceridemia. High serum LDL-C is associated with the development of atherosclerosis whereas hypertriglyceridemia may have metabolic consequences. As hypertriglyceridemia originates at least partially from malnutrition and obesity, high serum triglyceride concentrations may be reduced by lifestyle modifications, which may also increase serum HDL-C concentrations. Dietary measures have little effect in reducing high serum LDL-C concentrations. Because many LT recipients are at risk for CVD, lipid lowering medication is </w:t>
      </w:r>
      <w:r w:rsidRPr="00B27B47">
        <w:rPr>
          <w:rFonts w:ascii="Book Antiqua" w:eastAsia="Times New Roman" w:hAnsi="Book Antiqua" w:cs="Calibri"/>
          <w:sz w:val="24"/>
          <w:szCs w:val="24"/>
          <w:lang w:val="en-US" w:eastAsia="de-DE"/>
        </w:rPr>
        <w:t xml:space="preserve">frequently </w:t>
      </w:r>
      <w:r w:rsidRPr="00B27B47">
        <w:rPr>
          <w:rFonts w:ascii="Book Antiqua" w:eastAsia="Times New Roman" w:hAnsi="Book Antiqua" w:cs="Calibri"/>
          <w:bCs/>
          <w:sz w:val="24"/>
          <w:szCs w:val="24"/>
          <w:lang w:val="en-US" w:eastAsia="de-DE"/>
        </w:rPr>
        <w:t xml:space="preserve">required in this patient cohort. Modification of immunosuppressive agents according to their side-effect profiles and the early </w:t>
      </w:r>
      <w:r w:rsidRPr="00B27B47">
        <w:rPr>
          <w:rFonts w:ascii="Book Antiqua" w:eastAsia="Times New Roman" w:hAnsi="Book Antiqua" w:cs="Calibri"/>
          <w:bCs/>
          <w:sz w:val="24"/>
          <w:szCs w:val="24"/>
          <w:lang w:val="en-US" w:eastAsia="de-DE"/>
        </w:rPr>
        <w:lastRenderedPageBreak/>
        <w:t xml:space="preserve">initiation of statin treatment to achieve targeted serum LDL-C concentrations may have a positive impact on primary prevention of cardiovascular events in LT patients. </w:t>
      </w:r>
    </w:p>
    <w:p w:rsidR="000F7598" w:rsidRPr="00B27B47" w:rsidRDefault="000F7598" w:rsidP="00910292">
      <w:pPr>
        <w:adjustRightInd w:val="0"/>
        <w:snapToGrid w:val="0"/>
        <w:spacing w:after="0" w:line="360" w:lineRule="auto"/>
        <w:ind w:firstLineChars="100" w:firstLine="240"/>
        <w:jc w:val="both"/>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t>HLP in LT recipients may result from different etiologies, including immunosuppressive agents. Immunosuppression using mTOR inhibiting agents should be administered carefully to patients with known HLP, but should not be avoided generally. Serum lipid concentrations are not always impaired and may sometimes even improve during the use of mTOR inhibitors. LT recipients with serum triglyceride concentrations &gt;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500 mg/d</w:t>
      </w:r>
      <w:r w:rsidR="00910292"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and those with high serum LDL-C concentrations despite treatment with lipid lowering agents should not be administered mTOR inhibitors. Moreover, care should be taken in administering these pagents to patients with high serum LDL-C concentrations. mTOR inhibitors may also result in proteinuria (CAVE: nephrotic syndrome), which in turn increases serum lipid concentrations. Therefore, proteinuria should be monitored regularly in patients receiving these agents.</w:t>
      </w:r>
      <w:r w:rsidR="00307FD3" w:rsidRPr="00B27B47">
        <w:rPr>
          <w:rFonts w:ascii="Book Antiqua" w:eastAsia="Times New Roman" w:hAnsi="Book Antiqua" w:cs="Calibri"/>
          <w:bCs/>
          <w:sz w:val="24"/>
          <w:szCs w:val="24"/>
          <w:lang w:val="en-US" w:eastAsia="de-DE"/>
        </w:rPr>
        <w:t xml:space="preserve"> </w:t>
      </w:r>
    </w:p>
    <w:p w:rsidR="000F7598" w:rsidRPr="00B27B47" w:rsidRDefault="000F7598" w:rsidP="00910292">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Patients should be regularly monitored for drug-drug interactions between lipid lowering and immunosuppressive agents. For example, combining calcineurin inhibitors, mTOR inhibitors and statins may increase the serum concentrations of these drugs. Due to increased risk of rhabdomyolysis, combinations of lipid lowering agents should be avoided in LT recipients. HLP in LT recipients receiving immunosuppressive agents is treatable and responds well to lipid lowering regimens. Transplant recipients should also be monitored for secondary causes of HLP, including hypothyroidism, diabetes and nephrotic syndrome. The latter is characterized by proteinuria exceeding 3.5 g/24 h combined with hypoalbuminemia, edema, hyperlipidemia and lipiduria. Excessive combined hyperlipidemia, mostly type V HLP, occurs in patients with nephrotic syndrome. Therefore, treatment of nephrotic syndrome is important in LT recipients.</w:t>
      </w:r>
    </w:p>
    <w:p w:rsidR="00751D25" w:rsidRPr="00B27B47" w:rsidRDefault="000F7598" w:rsidP="00910292">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We recommend that fasting lipid panel (total cholesterol, LDL-C, HDL-C and triglycerides) be measured in LT recipients before initiating statin therapy. Patients should be followed-up after one, two, four, eight, and 12 </w:t>
      </w:r>
      <w:r w:rsidR="00910292" w:rsidRPr="00B27B47">
        <w:rPr>
          <w:rFonts w:ascii="Book Antiqua" w:hAnsi="Book Antiqua" w:cs="Calibri" w:hint="eastAsia"/>
          <w:bCs/>
          <w:sz w:val="24"/>
          <w:szCs w:val="24"/>
          <w:lang w:val="en-US" w:eastAsia="zh-CN"/>
        </w:rPr>
        <w:t>wk</w:t>
      </w:r>
      <w:r w:rsidRPr="00B27B47">
        <w:rPr>
          <w:rFonts w:ascii="Book Antiqua" w:eastAsia="Times New Roman" w:hAnsi="Book Antiqua" w:cs="Calibri"/>
          <w:bCs/>
          <w:sz w:val="24"/>
          <w:szCs w:val="24"/>
          <w:lang w:val="en-US" w:eastAsia="de-DE"/>
        </w:rPr>
        <w:t xml:space="preserve">, and every three months therafter, to assess safety and efficacy. This is consistent with the ACC/AHA guidelines on the Treatment of Blood cholesterol to Reduce Atherosclerotic </w:t>
      </w:r>
      <w:r w:rsidRPr="00B27B47">
        <w:rPr>
          <w:rFonts w:ascii="Book Antiqua" w:eastAsia="Times New Roman" w:hAnsi="Book Antiqua" w:cs="Calibri"/>
          <w:bCs/>
          <w:sz w:val="24"/>
          <w:szCs w:val="24"/>
          <w:lang w:val="en-US" w:eastAsia="de-DE"/>
        </w:rPr>
        <w:lastRenderedPageBreak/>
        <w:t>Cardiovascular Risk in Adults</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fldChar w:fldCharType="begin"/>
      </w:r>
      <w:r w:rsidRPr="00B27B47">
        <w:rPr>
          <w:rFonts w:ascii="Book Antiqua" w:eastAsia="Times New Roman" w:hAnsi="Book Antiqua" w:cs="Calibri"/>
          <w:bCs/>
          <w:sz w:val="24"/>
          <w:szCs w:val="24"/>
          <w:lang w:val="en-US" w:eastAsia="de-DE"/>
        </w:rPr>
        <w:instrText xml:space="preserve"> ADDIN EN.CITE &lt;EndNote&gt;&lt;Cite&gt;&lt;Author&gt;Stone&lt;/Author&gt;&lt;RecNum&gt;15&lt;/RecNum&gt;&lt;record&gt;&lt;rec-number&gt;15&lt;/rec-number&gt;&lt;ref-type name="Journal Article"&gt;17&lt;/ref-type&gt;&lt;contributors&gt;&lt;authors&gt;&lt;author&gt;Stone, N. J.&lt;/author&gt;&lt;author&gt;Robinson, J. G.&lt;/author&gt;&lt;author&gt;Lichtenstein, A. H.&lt;/author&gt;&lt;author&gt;Goff, D. C., Jr.&lt;/author&gt;&lt;author&gt;Lloyd-Jones, D. M.&lt;/author&gt;&lt;author&gt;Smith, S. C., Jr.&lt;/author&gt;&lt;author&gt;Blum, C.&lt;/author&gt;&lt;author&gt;Schwartz, J. S.&lt;/author&gt;&lt;/authors&gt;&lt;/contributors&gt;&lt;titles&gt;&lt;title&gt;Treatment of blood cholesterol to reduce atherosclerotic cardiovascular disease risk in adults: synopsis of the 2013 American College of Cardiology/American Heart Association cholesterol guideline&lt;/title&gt;&lt;secondary-title&gt;Ann Intern Med&lt;/secondary-title&gt;&lt;/titles&gt;&lt;periodical&gt;&lt;full-title&gt;Ann Intern Med&lt;/full-title&gt;&lt;/periodical&gt;&lt;pages&gt;339-43&lt;/pages&gt;&lt;volume&gt;160&lt;/volume&gt;&lt;number&gt;5&lt;/number&gt;&lt;keywords&gt;&lt;keyword&gt;Cholesterol, HDL/blood&lt;/keyword&gt;&lt;keyword&gt;Cholesterol, LDL/blood&lt;/keyword&gt;&lt;keyword&gt;Coronary Artery Disease/ prevention &amp;amp; control&lt;/keyword&gt;&lt;keyword&gt;Humans&lt;/keyword&gt;&lt;keyword&gt;Hydroxymethylglutaryl-CoA Reductase Inhibitors/therapeutic use&lt;/keyword&gt;&lt;keyword&gt;Hypercholesterolemia/blood/ drug therapy&lt;/keyword&gt;&lt;keyword&gt;Life Style&lt;/keyword&gt;&lt;keyword&gt;Monitoring, Physiologic&lt;/keyword&gt;&lt;keyword&gt;Risk Factors&lt;/keyword&gt;&lt;/keywords&gt;&lt;dates&gt;&lt;pub-dates&gt;&lt;date&gt;Mar 4&lt;/date&gt;&lt;/pub-dates&gt;&lt;/dates&gt;&lt;isbn&gt;1539-3704 (Electronic)&amp;#xD;0003-4819 (Linking)&lt;/isbn&gt;&lt;accession-num&gt;24474185&lt;/accession-num&gt;&lt;urls&gt;&lt;/urls&gt;&lt;/record&gt;&lt;/Cite&gt;&lt;/EndNote&gt;</w:instrText>
      </w:r>
      <w:r w:rsidRPr="00B27B47">
        <w:rPr>
          <w:rFonts w:ascii="Book Antiqua" w:eastAsia="Times New Roman" w:hAnsi="Book Antiqua" w:cs="Calibri"/>
          <w:bCs/>
          <w:sz w:val="24"/>
          <w:szCs w:val="24"/>
          <w:lang w:val="en-US" w:eastAsia="de-DE"/>
        </w:rPr>
        <w:fldChar w:fldCharType="separate"/>
      </w:r>
      <w:r w:rsidRPr="00B27B47">
        <w:rPr>
          <w:rFonts w:ascii="Book Antiqua" w:eastAsia="Times New Roman" w:hAnsi="Book Antiqua" w:cs="Calibri"/>
          <w:bCs/>
          <w:sz w:val="24"/>
          <w:szCs w:val="24"/>
          <w:vertAlign w:val="superscript"/>
          <w:lang w:val="en-US" w:eastAsia="de-DE"/>
        </w:rPr>
        <w:t>12</w:t>
      </w:r>
      <w:r w:rsidRPr="00B27B47">
        <w:rPr>
          <w:rFonts w:ascii="Book Antiqua" w:eastAsia="Times New Roman" w:hAnsi="Book Antiqua" w:cs="Calibri"/>
          <w:bCs/>
          <w:sz w:val="24"/>
          <w:szCs w:val="24"/>
          <w:lang w:val="en-US" w:eastAsia="de-DE"/>
        </w:rPr>
        <w:fldChar w:fldCharType="end"/>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Figure 1 provides an overview, based on these recommendations and our experiences in following up LT patients, on the diagnosis and possible therapeutic interventions in lipid management of LT recipients. As cardiovascular disease is the leading cause of long term mortality in LT recipients, additional prospective studies are warranted to confirm these findings and determine whether these risk-reduction strategies can attenuate the increased cardiovascular risk seen in this population.</w:t>
      </w:r>
    </w:p>
    <w:p w:rsidR="00751D25" w:rsidRPr="00B27B47" w:rsidRDefault="00751D25">
      <w:pP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br w:type="page"/>
      </w:r>
    </w:p>
    <w:p w:rsidR="00751D25" w:rsidRPr="00B27B47" w:rsidRDefault="00751D25" w:rsidP="00751D25">
      <w:pPr>
        <w:spacing w:after="0" w:line="360" w:lineRule="auto"/>
        <w:jc w:val="both"/>
        <w:rPr>
          <w:rFonts w:ascii="Book Antiqua" w:eastAsia="SimSun" w:hAnsi="Book Antiqua" w:cs="SimSun"/>
          <w:b/>
          <w:bCs/>
          <w:sz w:val="24"/>
          <w:szCs w:val="24"/>
          <w:lang w:val="en-US" w:eastAsia="zh-CN"/>
        </w:rPr>
      </w:pPr>
      <w:r w:rsidRPr="00B27B47">
        <w:rPr>
          <w:rFonts w:ascii="Book Antiqua" w:eastAsia="SimSun" w:hAnsi="Book Antiqua" w:cs="SimSun" w:hint="eastAsia"/>
          <w:b/>
          <w:bCs/>
          <w:sz w:val="24"/>
          <w:szCs w:val="24"/>
          <w:lang w:val="en-US" w:eastAsia="zh-CN"/>
        </w:rPr>
        <w:lastRenderedPageBreak/>
        <w:t>REFERENCES</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 </w:t>
      </w:r>
      <w:r w:rsidRPr="00B27B47">
        <w:rPr>
          <w:rFonts w:ascii="Book Antiqua" w:eastAsia="SimSun" w:hAnsi="Book Antiqua" w:cs="SimSun"/>
          <w:b/>
          <w:bCs/>
          <w:sz w:val="24"/>
          <w:szCs w:val="24"/>
          <w:lang w:val="en-US" w:eastAsia="zh-CN"/>
        </w:rPr>
        <w:t>Laish I</w:t>
      </w:r>
      <w:r w:rsidRPr="00B27B47">
        <w:rPr>
          <w:rFonts w:ascii="Book Antiqua" w:eastAsia="SimSun" w:hAnsi="Book Antiqua" w:cs="SimSun"/>
          <w:sz w:val="24"/>
          <w:szCs w:val="24"/>
          <w:lang w:val="en-US" w:eastAsia="zh-CN"/>
        </w:rPr>
        <w:t xml:space="preserve">, Braun M, Mor E, Sulkes J, Harif Y, Ben Ari Z. Metabolic syndrome in liver transplant recipients: prevalence, risk factors, and association with cardiovascular events. </w:t>
      </w:r>
      <w:r w:rsidRPr="00B27B47">
        <w:rPr>
          <w:rFonts w:ascii="Book Antiqua" w:eastAsia="SimSun" w:hAnsi="Book Antiqua" w:cs="SimSun"/>
          <w:i/>
          <w:iCs/>
          <w:sz w:val="24"/>
          <w:szCs w:val="24"/>
          <w:lang w:val="en-US" w:eastAsia="zh-CN"/>
        </w:rPr>
        <w:t>Liver Transpl</w:t>
      </w:r>
      <w:r w:rsidRPr="00B27B47">
        <w:rPr>
          <w:rFonts w:ascii="Book Antiqua" w:eastAsia="SimSun" w:hAnsi="Book Antiqua" w:cs="SimSun"/>
          <w:sz w:val="24"/>
          <w:szCs w:val="24"/>
          <w:lang w:val="en-US" w:eastAsia="zh-CN"/>
        </w:rPr>
        <w:t xml:space="preserve"> 2011; </w:t>
      </w:r>
      <w:r w:rsidRPr="00B27B47">
        <w:rPr>
          <w:rFonts w:ascii="Book Antiqua" w:eastAsia="SimSun" w:hAnsi="Book Antiqua" w:cs="SimSun"/>
          <w:b/>
          <w:bCs/>
          <w:sz w:val="24"/>
          <w:szCs w:val="24"/>
          <w:lang w:val="en-US" w:eastAsia="zh-CN"/>
        </w:rPr>
        <w:t>17</w:t>
      </w:r>
      <w:r w:rsidRPr="00B27B47">
        <w:rPr>
          <w:rFonts w:ascii="Book Antiqua" w:eastAsia="SimSun" w:hAnsi="Book Antiqua" w:cs="SimSun"/>
          <w:sz w:val="24"/>
          <w:szCs w:val="24"/>
          <w:lang w:val="en-US" w:eastAsia="zh-CN"/>
        </w:rPr>
        <w:t>: 15-22 [PMID: 21254340]</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 </w:t>
      </w:r>
      <w:r w:rsidRPr="00B27B47">
        <w:rPr>
          <w:rFonts w:ascii="Book Antiqua" w:eastAsia="SimSun" w:hAnsi="Book Antiqua" w:cs="SimSun"/>
          <w:b/>
          <w:bCs/>
          <w:sz w:val="24"/>
          <w:szCs w:val="24"/>
          <w:lang w:val="en-US" w:eastAsia="zh-CN"/>
        </w:rPr>
        <w:t>Mells G</w:t>
      </w:r>
      <w:r w:rsidRPr="00B27B47">
        <w:rPr>
          <w:rFonts w:ascii="Book Antiqua" w:eastAsia="SimSun" w:hAnsi="Book Antiqua" w:cs="SimSun"/>
          <w:sz w:val="24"/>
          <w:szCs w:val="24"/>
          <w:lang w:val="en-US" w:eastAsia="zh-CN"/>
        </w:rPr>
        <w:t xml:space="preserve">, Neuberger J. Reducing the risks of cardiovascular disease in liver allograft recipients. </w:t>
      </w:r>
      <w:r w:rsidRPr="00B27B47">
        <w:rPr>
          <w:rFonts w:ascii="Book Antiqua" w:eastAsia="SimSun" w:hAnsi="Book Antiqua" w:cs="SimSun"/>
          <w:i/>
          <w:iCs/>
          <w:sz w:val="24"/>
          <w:szCs w:val="24"/>
          <w:lang w:val="en-US" w:eastAsia="zh-CN"/>
        </w:rPr>
        <w:t>Transplantation</w:t>
      </w:r>
      <w:r w:rsidRPr="00B27B47">
        <w:rPr>
          <w:rFonts w:ascii="Book Antiqua" w:eastAsia="SimSun" w:hAnsi="Book Antiqua" w:cs="SimSun"/>
          <w:sz w:val="24"/>
          <w:szCs w:val="24"/>
          <w:lang w:val="en-US" w:eastAsia="zh-CN"/>
        </w:rPr>
        <w:t xml:space="preserve"> 2007; </w:t>
      </w:r>
      <w:r w:rsidRPr="00B27B47">
        <w:rPr>
          <w:rFonts w:ascii="Book Antiqua" w:eastAsia="SimSun" w:hAnsi="Book Antiqua" w:cs="SimSun"/>
          <w:b/>
          <w:bCs/>
          <w:sz w:val="24"/>
          <w:szCs w:val="24"/>
          <w:lang w:val="en-US" w:eastAsia="zh-CN"/>
        </w:rPr>
        <w:t>83</w:t>
      </w:r>
      <w:r w:rsidRPr="00B27B47">
        <w:rPr>
          <w:rFonts w:ascii="Book Antiqua" w:eastAsia="SimSun" w:hAnsi="Book Antiqua" w:cs="SimSun"/>
          <w:sz w:val="24"/>
          <w:szCs w:val="24"/>
          <w:lang w:val="en-US" w:eastAsia="zh-CN"/>
        </w:rPr>
        <w:t>: 1141-1150 [PMID: 17496526 DOI: 10.1097/01.tp.0000262706.28513.6a]</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3 </w:t>
      </w:r>
      <w:r w:rsidRPr="00B27B47">
        <w:rPr>
          <w:rFonts w:ascii="Book Antiqua" w:eastAsia="SimSun" w:hAnsi="Book Antiqua" w:cs="SimSun"/>
          <w:b/>
          <w:bCs/>
          <w:sz w:val="24"/>
          <w:szCs w:val="24"/>
          <w:lang w:val="en-US" w:eastAsia="zh-CN"/>
        </w:rPr>
        <w:t>Kasiske BL</w:t>
      </w:r>
      <w:r w:rsidRPr="00B27B47">
        <w:rPr>
          <w:rFonts w:ascii="Book Antiqua" w:eastAsia="SimSun" w:hAnsi="Book Antiqua" w:cs="SimSun"/>
          <w:sz w:val="24"/>
          <w:szCs w:val="24"/>
          <w:lang w:val="en-US" w:eastAsia="zh-CN"/>
        </w:rPr>
        <w:t xml:space="preserve">, Chakkera HA, Roel J. Explained and unexplained ischemic heart disease risk after renal transplantation. </w:t>
      </w:r>
      <w:r w:rsidRPr="00B27B47">
        <w:rPr>
          <w:rFonts w:ascii="Book Antiqua" w:eastAsia="SimSun" w:hAnsi="Book Antiqua" w:cs="SimSun"/>
          <w:i/>
          <w:iCs/>
          <w:sz w:val="24"/>
          <w:szCs w:val="24"/>
          <w:lang w:val="en-US" w:eastAsia="zh-CN"/>
        </w:rPr>
        <w:t>J Am Soc Nephrol</w:t>
      </w:r>
      <w:r w:rsidRPr="00B27B47">
        <w:rPr>
          <w:rFonts w:ascii="Book Antiqua" w:eastAsia="SimSun" w:hAnsi="Book Antiqua" w:cs="SimSun"/>
          <w:sz w:val="24"/>
          <w:szCs w:val="24"/>
          <w:lang w:val="en-US" w:eastAsia="zh-CN"/>
        </w:rPr>
        <w:t xml:space="preserve"> 2000; </w:t>
      </w:r>
      <w:r w:rsidRPr="00B27B47">
        <w:rPr>
          <w:rFonts w:ascii="Book Antiqua" w:eastAsia="SimSun" w:hAnsi="Book Antiqua" w:cs="SimSun"/>
          <w:b/>
          <w:bCs/>
          <w:sz w:val="24"/>
          <w:szCs w:val="24"/>
          <w:lang w:val="en-US" w:eastAsia="zh-CN"/>
        </w:rPr>
        <w:t>11</w:t>
      </w:r>
      <w:r w:rsidRPr="00B27B47">
        <w:rPr>
          <w:rFonts w:ascii="Book Antiqua" w:eastAsia="SimSun" w:hAnsi="Book Antiqua" w:cs="SimSun"/>
          <w:sz w:val="24"/>
          <w:szCs w:val="24"/>
          <w:lang w:val="en-US" w:eastAsia="zh-CN"/>
        </w:rPr>
        <w:t>: 1735-1743 [PMID: 10966499]</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4 </w:t>
      </w:r>
      <w:r w:rsidRPr="00B27B47">
        <w:rPr>
          <w:rFonts w:ascii="Book Antiqua" w:eastAsia="SimSun" w:hAnsi="Book Antiqua" w:cs="SimSun"/>
          <w:b/>
          <w:bCs/>
          <w:sz w:val="24"/>
          <w:szCs w:val="24"/>
          <w:lang w:val="en-US" w:eastAsia="zh-CN"/>
        </w:rPr>
        <w:t>Miller LW</w:t>
      </w:r>
      <w:r w:rsidRPr="00B27B47">
        <w:rPr>
          <w:rFonts w:ascii="Book Antiqua" w:eastAsia="SimSun" w:hAnsi="Book Antiqua" w:cs="SimSun"/>
          <w:sz w:val="24"/>
          <w:szCs w:val="24"/>
          <w:lang w:val="en-US" w:eastAsia="zh-CN"/>
        </w:rPr>
        <w:t xml:space="preserve">. Cardiovascular toxicities of immunosuppressive agents. </w:t>
      </w:r>
      <w:r w:rsidRPr="00B27B47">
        <w:rPr>
          <w:rFonts w:ascii="Book Antiqua" w:eastAsia="SimSun" w:hAnsi="Book Antiqua" w:cs="SimSun"/>
          <w:i/>
          <w:iCs/>
          <w:sz w:val="24"/>
          <w:szCs w:val="24"/>
          <w:lang w:val="en-US" w:eastAsia="zh-CN"/>
        </w:rPr>
        <w:t>Am J Transplant</w:t>
      </w:r>
      <w:r w:rsidRPr="00B27B47">
        <w:rPr>
          <w:rFonts w:ascii="Book Antiqua" w:eastAsia="SimSun" w:hAnsi="Book Antiqua" w:cs="SimSun"/>
          <w:sz w:val="24"/>
          <w:szCs w:val="24"/>
          <w:lang w:val="en-US" w:eastAsia="zh-CN"/>
        </w:rPr>
        <w:t xml:space="preserve"> 2002; </w:t>
      </w:r>
      <w:r w:rsidRPr="00B27B47">
        <w:rPr>
          <w:rFonts w:ascii="Book Antiqua" w:eastAsia="SimSun" w:hAnsi="Book Antiqua" w:cs="SimSun"/>
          <w:b/>
          <w:bCs/>
          <w:sz w:val="24"/>
          <w:szCs w:val="24"/>
          <w:lang w:val="en-US" w:eastAsia="zh-CN"/>
        </w:rPr>
        <w:t>2</w:t>
      </w:r>
      <w:r w:rsidRPr="00B27B47">
        <w:rPr>
          <w:rFonts w:ascii="Book Antiqua" w:eastAsia="SimSun" w:hAnsi="Book Antiqua" w:cs="SimSun"/>
          <w:sz w:val="24"/>
          <w:szCs w:val="24"/>
          <w:lang w:val="en-US" w:eastAsia="zh-CN"/>
        </w:rPr>
        <w:t>: 807-818 [PMID: 12392286 DOI: 10.1034/j.1600-6143.2002.20902.x]</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A32630">
        <w:rPr>
          <w:rFonts w:ascii="Book Antiqua" w:eastAsia="SimSun" w:hAnsi="Book Antiqua" w:cs="SimSun"/>
          <w:sz w:val="24"/>
          <w:szCs w:val="24"/>
          <w:lang w:val="es-ES_tradnl" w:eastAsia="zh-CN"/>
        </w:rPr>
        <w:t xml:space="preserve">5 </w:t>
      </w:r>
      <w:r w:rsidRPr="00A32630">
        <w:rPr>
          <w:rFonts w:ascii="Book Antiqua" w:eastAsia="SimSun" w:hAnsi="Book Antiqua" w:cs="SimSun"/>
          <w:b/>
          <w:bCs/>
          <w:sz w:val="24"/>
          <w:szCs w:val="24"/>
          <w:lang w:val="es-ES_tradnl" w:eastAsia="zh-CN"/>
        </w:rPr>
        <w:t>Madhwal S</w:t>
      </w:r>
      <w:r w:rsidRPr="00A32630">
        <w:rPr>
          <w:rFonts w:ascii="Book Antiqua" w:eastAsia="SimSun" w:hAnsi="Book Antiqua" w:cs="SimSun"/>
          <w:sz w:val="24"/>
          <w:szCs w:val="24"/>
          <w:lang w:val="es-ES_tradnl" w:eastAsia="zh-CN"/>
        </w:rPr>
        <w:t xml:space="preserve">, Atreja A, Albeldawi M, Lopez R, Post A, Costa MA. </w:t>
      </w:r>
      <w:r w:rsidRPr="00B27B47">
        <w:rPr>
          <w:rFonts w:ascii="Book Antiqua" w:eastAsia="SimSun" w:hAnsi="Book Antiqua" w:cs="SimSun"/>
          <w:sz w:val="24"/>
          <w:szCs w:val="24"/>
          <w:lang w:val="en-US" w:eastAsia="zh-CN"/>
        </w:rPr>
        <w:t xml:space="preserve">Is liver transplantation a risk factor for cardiovascular disease? A meta-analysis of observational studies. </w:t>
      </w:r>
      <w:r w:rsidRPr="00B27B47">
        <w:rPr>
          <w:rFonts w:ascii="Book Antiqua" w:eastAsia="SimSun" w:hAnsi="Book Antiqua" w:cs="SimSun"/>
          <w:i/>
          <w:iCs/>
          <w:sz w:val="24"/>
          <w:szCs w:val="24"/>
          <w:lang w:val="en-US" w:eastAsia="zh-CN"/>
        </w:rPr>
        <w:t>Liver Transpl</w:t>
      </w:r>
      <w:r w:rsidRPr="00B27B47">
        <w:rPr>
          <w:rFonts w:ascii="Book Antiqua" w:eastAsia="SimSun" w:hAnsi="Book Antiqua" w:cs="SimSun"/>
          <w:sz w:val="24"/>
          <w:szCs w:val="24"/>
          <w:lang w:val="en-US" w:eastAsia="zh-CN"/>
        </w:rPr>
        <w:t xml:space="preserve"> 2012; </w:t>
      </w:r>
      <w:r w:rsidRPr="00B27B47">
        <w:rPr>
          <w:rFonts w:ascii="Book Antiqua" w:eastAsia="SimSun" w:hAnsi="Book Antiqua" w:cs="SimSun"/>
          <w:b/>
          <w:bCs/>
          <w:sz w:val="24"/>
          <w:szCs w:val="24"/>
          <w:lang w:val="en-US" w:eastAsia="zh-CN"/>
        </w:rPr>
        <w:t>18</w:t>
      </w:r>
      <w:r w:rsidRPr="00B27B47">
        <w:rPr>
          <w:rFonts w:ascii="Book Antiqua" w:eastAsia="SimSun" w:hAnsi="Book Antiqua" w:cs="SimSun"/>
          <w:sz w:val="24"/>
          <w:szCs w:val="24"/>
          <w:lang w:val="en-US" w:eastAsia="zh-CN"/>
        </w:rPr>
        <w:t>: 1140-1146 [PMID: 22821899 DOI: 10.1002/lt.23508]</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6 </w:t>
      </w:r>
      <w:r w:rsidRPr="00B27B47">
        <w:rPr>
          <w:rFonts w:ascii="Book Antiqua" w:eastAsia="SimSun" w:hAnsi="Book Antiqua" w:cs="SimSun"/>
          <w:b/>
          <w:bCs/>
          <w:sz w:val="24"/>
          <w:szCs w:val="24"/>
          <w:lang w:val="en-US" w:eastAsia="zh-CN"/>
        </w:rPr>
        <w:t>Pruthi J</w:t>
      </w:r>
      <w:r w:rsidRPr="00B27B47">
        <w:rPr>
          <w:rFonts w:ascii="Book Antiqua" w:eastAsia="SimSun" w:hAnsi="Book Antiqua" w:cs="SimSun"/>
          <w:sz w:val="24"/>
          <w:szCs w:val="24"/>
          <w:lang w:val="en-US" w:eastAsia="zh-CN"/>
        </w:rPr>
        <w:t xml:space="preserve">, Medkiff KA, Esrason KT, Donovan JA, Yoshida EM, Erb SR, Steinbrecher UP, Fong TL. Analysis of causes of death in liver transplant recipients who survived more than 3 years. </w:t>
      </w:r>
      <w:r w:rsidRPr="00B27B47">
        <w:rPr>
          <w:rFonts w:ascii="Book Antiqua" w:eastAsia="SimSun" w:hAnsi="Book Antiqua" w:cs="SimSun"/>
          <w:i/>
          <w:iCs/>
          <w:sz w:val="24"/>
          <w:szCs w:val="24"/>
          <w:lang w:val="en-US" w:eastAsia="zh-CN"/>
        </w:rPr>
        <w:t>Liver Transpl</w:t>
      </w:r>
      <w:r w:rsidRPr="00B27B47">
        <w:rPr>
          <w:rFonts w:ascii="Book Antiqua" w:eastAsia="SimSun" w:hAnsi="Book Antiqua" w:cs="SimSun"/>
          <w:sz w:val="24"/>
          <w:szCs w:val="24"/>
          <w:lang w:val="en-US" w:eastAsia="zh-CN"/>
        </w:rPr>
        <w:t xml:space="preserve"> 2001; </w:t>
      </w:r>
      <w:r w:rsidRPr="00B27B47">
        <w:rPr>
          <w:rFonts w:ascii="Book Antiqua" w:eastAsia="SimSun" w:hAnsi="Book Antiqua" w:cs="SimSun"/>
          <w:b/>
          <w:bCs/>
          <w:sz w:val="24"/>
          <w:szCs w:val="24"/>
          <w:lang w:val="en-US" w:eastAsia="zh-CN"/>
        </w:rPr>
        <w:t>7</w:t>
      </w:r>
      <w:r w:rsidRPr="00B27B47">
        <w:rPr>
          <w:rFonts w:ascii="Book Antiqua" w:eastAsia="SimSun" w:hAnsi="Book Antiqua" w:cs="SimSun"/>
          <w:sz w:val="24"/>
          <w:szCs w:val="24"/>
          <w:lang w:val="en-US" w:eastAsia="zh-CN"/>
        </w:rPr>
        <w:t>: 811-815 [PMID: 11552217 DOI: 10.1053/jlts.2001.27084]</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7 </w:t>
      </w:r>
      <w:r w:rsidRPr="00B27B47">
        <w:rPr>
          <w:rFonts w:ascii="Book Antiqua" w:eastAsia="SimSun" w:hAnsi="Book Antiqua" w:cs="SimSun"/>
          <w:b/>
          <w:bCs/>
          <w:sz w:val="24"/>
          <w:szCs w:val="24"/>
          <w:lang w:val="en-US" w:eastAsia="zh-CN"/>
        </w:rPr>
        <w:t>Johnston SD</w:t>
      </w:r>
      <w:r w:rsidRPr="00B27B47">
        <w:rPr>
          <w:rFonts w:ascii="Book Antiqua" w:eastAsia="SimSun" w:hAnsi="Book Antiqua" w:cs="SimSun"/>
          <w:sz w:val="24"/>
          <w:szCs w:val="24"/>
          <w:lang w:val="en-US" w:eastAsia="zh-CN"/>
        </w:rPr>
        <w:t xml:space="preserve">, Morris JK, Cramb R, Gunson BK, Neuberger J. Cardiovascular morbidity and mortality after orthotopic liver transplantation. </w:t>
      </w:r>
      <w:r w:rsidRPr="00B27B47">
        <w:rPr>
          <w:rFonts w:ascii="Book Antiqua" w:eastAsia="SimSun" w:hAnsi="Book Antiqua" w:cs="SimSun"/>
          <w:i/>
          <w:iCs/>
          <w:sz w:val="24"/>
          <w:szCs w:val="24"/>
          <w:lang w:val="en-US" w:eastAsia="zh-CN"/>
        </w:rPr>
        <w:t>Transplantation</w:t>
      </w:r>
      <w:r w:rsidRPr="00B27B47">
        <w:rPr>
          <w:rFonts w:ascii="Book Antiqua" w:eastAsia="SimSun" w:hAnsi="Book Antiqua" w:cs="SimSun"/>
          <w:sz w:val="24"/>
          <w:szCs w:val="24"/>
          <w:lang w:val="en-US" w:eastAsia="zh-CN"/>
        </w:rPr>
        <w:t xml:space="preserve"> 2002; </w:t>
      </w:r>
      <w:r w:rsidRPr="00B27B47">
        <w:rPr>
          <w:rFonts w:ascii="Book Antiqua" w:eastAsia="SimSun" w:hAnsi="Book Antiqua" w:cs="SimSun"/>
          <w:b/>
          <w:bCs/>
          <w:sz w:val="24"/>
          <w:szCs w:val="24"/>
          <w:lang w:val="en-US" w:eastAsia="zh-CN"/>
        </w:rPr>
        <w:t>73</w:t>
      </w:r>
      <w:r w:rsidRPr="00B27B47">
        <w:rPr>
          <w:rFonts w:ascii="Book Antiqua" w:eastAsia="SimSun" w:hAnsi="Book Antiqua" w:cs="SimSun"/>
          <w:sz w:val="24"/>
          <w:szCs w:val="24"/>
          <w:lang w:val="en-US" w:eastAsia="zh-CN"/>
        </w:rPr>
        <w:t>: 901-906 [PMID: 11923689 DOI: 10.1097/00007890-200203270-00012]</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8 </w:t>
      </w:r>
      <w:r w:rsidRPr="00B27B47">
        <w:rPr>
          <w:rFonts w:ascii="Book Antiqua" w:eastAsia="SimSun" w:hAnsi="Book Antiqua" w:cs="SimSun"/>
          <w:b/>
          <w:bCs/>
          <w:sz w:val="24"/>
          <w:szCs w:val="24"/>
          <w:lang w:val="en-US" w:eastAsia="zh-CN"/>
        </w:rPr>
        <w:t>Mathe D</w:t>
      </w:r>
      <w:r w:rsidRPr="00B27B47">
        <w:rPr>
          <w:rFonts w:ascii="Book Antiqua" w:eastAsia="SimSun" w:hAnsi="Book Antiqua" w:cs="SimSun"/>
          <w:sz w:val="24"/>
          <w:szCs w:val="24"/>
          <w:lang w:val="en-US" w:eastAsia="zh-CN"/>
        </w:rPr>
        <w:t xml:space="preserve">, Adam R, Malmendier C, Gigou M, Lontie JF, Dubois D, Martin C, Bismuth H, Jacotot B. Prevalence of dyslipidemia in liver transplant recipients. </w:t>
      </w:r>
      <w:r w:rsidRPr="00B27B47">
        <w:rPr>
          <w:rFonts w:ascii="Book Antiqua" w:eastAsia="SimSun" w:hAnsi="Book Antiqua" w:cs="SimSun"/>
          <w:i/>
          <w:iCs/>
          <w:sz w:val="24"/>
          <w:szCs w:val="24"/>
          <w:lang w:val="en-US" w:eastAsia="zh-CN"/>
        </w:rPr>
        <w:t>Transplantation</w:t>
      </w:r>
      <w:r w:rsidRPr="00B27B47">
        <w:rPr>
          <w:rFonts w:ascii="Book Antiqua" w:eastAsia="SimSun" w:hAnsi="Book Antiqua" w:cs="SimSun"/>
          <w:sz w:val="24"/>
          <w:szCs w:val="24"/>
          <w:lang w:val="en-US" w:eastAsia="zh-CN"/>
        </w:rPr>
        <w:t xml:space="preserve"> 1992; </w:t>
      </w:r>
      <w:r w:rsidRPr="00B27B47">
        <w:rPr>
          <w:rFonts w:ascii="Book Antiqua" w:eastAsia="SimSun" w:hAnsi="Book Antiqua" w:cs="SimSun"/>
          <w:b/>
          <w:bCs/>
          <w:sz w:val="24"/>
          <w:szCs w:val="24"/>
          <w:lang w:val="en-US" w:eastAsia="zh-CN"/>
        </w:rPr>
        <w:t>54</w:t>
      </w:r>
      <w:r w:rsidRPr="00B27B47">
        <w:rPr>
          <w:rFonts w:ascii="Book Antiqua" w:eastAsia="SimSun" w:hAnsi="Book Antiqua" w:cs="SimSun"/>
          <w:sz w:val="24"/>
          <w:szCs w:val="24"/>
          <w:lang w:val="en-US" w:eastAsia="zh-CN"/>
        </w:rPr>
        <w:t>: 167-170 [PMID: 1631928]</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9 </w:t>
      </w:r>
      <w:r w:rsidRPr="00B27B47">
        <w:rPr>
          <w:rFonts w:ascii="Book Antiqua" w:eastAsia="SimSun" w:hAnsi="Book Antiqua" w:cs="SimSun"/>
          <w:b/>
          <w:bCs/>
          <w:sz w:val="24"/>
          <w:szCs w:val="24"/>
          <w:lang w:val="en-US" w:eastAsia="zh-CN"/>
        </w:rPr>
        <w:t>März W</w:t>
      </w:r>
      <w:r w:rsidRPr="00B27B47">
        <w:rPr>
          <w:rFonts w:ascii="Book Antiqua" w:eastAsia="SimSun" w:hAnsi="Book Antiqua" w:cs="SimSun"/>
          <w:sz w:val="24"/>
          <w:szCs w:val="24"/>
          <w:lang w:val="en-US" w:eastAsia="zh-CN"/>
        </w:rPr>
        <w:t xml:space="preserve">, Peschke B, Ruzicka V, Siekmeier R, Gross W, Schoeppe W, Scheuermann E. Type III hyperlipoproteinemia acquired by liver transplantation. </w:t>
      </w:r>
      <w:r w:rsidRPr="00B27B47">
        <w:rPr>
          <w:rFonts w:ascii="Book Antiqua" w:eastAsia="SimSun" w:hAnsi="Book Antiqua" w:cs="SimSun"/>
          <w:i/>
          <w:iCs/>
          <w:sz w:val="24"/>
          <w:szCs w:val="24"/>
          <w:lang w:val="en-US" w:eastAsia="zh-CN"/>
        </w:rPr>
        <w:t>Transplantation</w:t>
      </w:r>
      <w:r w:rsidRPr="00B27B47">
        <w:rPr>
          <w:rFonts w:ascii="Book Antiqua" w:eastAsia="SimSun" w:hAnsi="Book Antiqua" w:cs="SimSun"/>
          <w:sz w:val="24"/>
          <w:szCs w:val="24"/>
          <w:lang w:val="en-US" w:eastAsia="zh-CN"/>
        </w:rPr>
        <w:t xml:space="preserve"> 1993; </w:t>
      </w:r>
      <w:r w:rsidRPr="00B27B47">
        <w:rPr>
          <w:rFonts w:ascii="Book Antiqua" w:eastAsia="SimSun" w:hAnsi="Book Antiqua" w:cs="SimSun"/>
          <w:b/>
          <w:bCs/>
          <w:sz w:val="24"/>
          <w:szCs w:val="24"/>
          <w:lang w:val="en-US" w:eastAsia="zh-CN"/>
        </w:rPr>
        <w:t>55</w:t>
      </w:r>
      <w:r w:rsidRPr="00B27B47">
        <w:rPr>
          <w:rFonts w:ascii="Book Antiqua" w:eastAsia="SimSun" w:hAnsi="Book Antiqua" w:cs="SimSun"/>
          <w:sz w:val="24"/>
          <w:szCs w:val="24"/>
          <w:lang w:val="en-US" w:eastAsia="zh-CN"/>
        </w:rPr>
        <w:t>: 284-288 [PMID: 8434377 DOI: 10.1097/00007890-199302000-00010]</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10 </w:t>
      </w:r>
      <w:r w:rsidRPr="00B27B47">
        <w:rPr>
          <w:rFonts w:ascii="Book Antiqua" w:eastAsia="SimSun" w:hAnsi="Book Antiqua" w:cs="SimSun"/>
          <w:b/>
          <w:bCs/>
          <w:sz w:val="24"/>
          <w:szCs w:val="24"/>
          <w:lang w:val="en-US" w:eastAsia="zh-CN"/>
        </w:rPr>
        <w:t>Nikkilä K</w:t>
      </w:r>
      <w:r w:rsidRPr="00B27B47">
        <w:rPr>
          <w:rFonts w:ascii="Book Antiqua" w:eastAsia="SimSun" w:hAnsi="Book Antiqua" w:cs="SimSun"/>
          <w:sz w:val="24"/>
          <w:szCs w:val="24"/>
          <w:lang w:val="en-US" w:eastAsia="zh-CN"/>
        </w:rPr>
        <w:t xml:space="preserve">, Åberg F, Isoniemi H. Transmission of LDLR mutation from donor through liver transplantation resulting in hypercholesterolemia in the recipient. </w:t>
      </w:r>
      <w:r w:rsidRPr="00B27B47">
        <w:rPr>
          <w:rFonts w:ascii="Book Antiqua" w:eastAsia="SimSun" w:hAnsi="Book Antiqua" w:cs="SimSun"/>
          <w:i/>
          <w:iCs/>
          <w:sz w:val="24"/>
          <w:szCs w:val="24"/>
          <w:lang w:val="en-US" w:eastAsia="zh-CN"/>
        </w:rPr>
        <w:t>Am J Transplant</w:t>
      </w:r>
      <w:r w:rsidRPr="00B27B47">
        <w:rPr>
          <w:rFonts w:ascii="Book Antiqua" w:eastAsia="SimSun" w:hAnsi="Book Antiqua" w:cs="SimSun"/>
          <w:sz w:val="24"/>
          <w:szCs w:val="24"/>
          <w:lang w:val="en-US" w:eastAsia="zh-CN"/>
        </w:rPr>
        <w:t xml:space="preserve"> 2014; </w:t>
      </w:r>
      <w:r w:rsidRPr="00B27B47">
        <w:rPr>
          <w:rFonts w:ascii="Book Antiqua" w:eastAsia="SimSun" w:hAnsi="Book Antiqua" w:cs="SimSun"/>
          <w:b/>
          <w:bCs/>
          <w:sz w:val="24"/>
          <w:szCs w:val="24"/>
          <w:lang w:val="en-US" w:eastAsia="zh-CN"/>
        </w:rPr>
        <w:t>14</w:t>
      </w:r>
      <w:r w:rsidRPr="00B27B47">
        <w:rPr>
          <w:rFonts w:ascii="Book Antiqua" w:eastAsia="SimSun" w:hAnsi="Book Antiqua" w:cs="SimSun"/>
          <w:sz w:val="24"/>
          <w:szCs w:val="24"/>
          <w:lang w:val="en-US" w:eastAsia="zh-CN"/>
        </w:rPr>
        <w:t>: 2898-2902 [PMID: 25231171 DOI: 10.1111/ajt.12961]</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lastRenderedPageBreak/>
        <w:t xml:space="preserve">11 </w:t>
      </w:r>
      <w:r w:rsidRPr="00B27B47">
        <w:rPr>
          <w:rFonts w:ascii="Book Antiqua" w:eastAsia="SimSun" w:hAnsi="Book Antiqua" w:cs="SimSun"/>
          <w:b/>
          <w:bCs/>
          <w:sz w:val="24"/>
          <w:szCs w:val="24"/>
          <w:lang w:val="en-US" w:eastAsia="zh-CN"/>
        </w:rPr>
        <w:t>Catapano AL</w:t>
      </w:r>
      <w:r w:rsidRPr="00B27B47">
        <w:rPr>
          <w:rFonts w:ascii="Book Antiqua" w:eastAsia="SimSun" w:hAnsi="Book Antiqua" w:cs="SimSun"/>
          <w:sz w:val="24"/>
          <w:szCs w:val="24"/>
          <w:lang w:val="en-US" w:eastAsia="zh-CN"/>
        </w:rPr>
        <w:t xml:space="preserve">, Reiner Z, De Backer G, Graham I, Taskinen MR, Wiklund O, Agewall S, Alegria E, Chapman M, Durrington P, Erdine S, Halcox J, Hobbs R, Kjekshus J, Filardi PP, Riccardi G, Storey RF, Wood D. ESC/EAS Guidelines for the management of dyslipidaemias The Task Force for the management of dyslipidaemias of the European Society of Cardiology (ESC) and the European Atherosclerosis Society (EAS). </w:t>
      </w:r>
      <w:r w:rsidRPr="00B27B47">
        <w:rPr>
          <w:rFonts w:ascii="Book Antiqua" w:eastAsia="SimSun" w:hAnsi="Book Antiqua" w:cs="SimSun"/>
          <w:i/>
          <w:iCs/>
          <w:sz w:val="24"/>
          <w:szCs w:val="24"/>
          <w:lang w:val="en-US" w:eastAsia="zh-CN"/>
        </w:rPr>
        <w:t>Atherosclerosis</w:t>
      </w:r>
      <w:r w:rsidRPr="00B27B47">
        <w:rPr>
          <w:rFonts w:ascii="Book Antiqua" w:eastAsia="SimSun" w:hAnsi="Book Antiqua" w:cs="SimSun"/>
          <w:sz w:val="24"/>
          <w:szCs w:val="24"/>
          <w:lang w:val="en-US" w:eastAsia="zh-CN"/>
        </w:rPr>
        <w:t xml:space="preserve"> 2011; </w:t>
      </w:r>
      <w:r w:rsidRPr="00B27B47">
        <w:rPr>
          <w:rFonts w:ascii="Book Antiqua" w:eastAsia="SimSun" w:hAnsi="Book Antiqua" w:cs="SimSun"/>
          <w:b/>
          <w:bCs/>
          <w:sz w:val="24"/>
          <w:szCs w:val="24"/>
          <w:lang w:val="en-US" w:eastAsia="zh-CN"/>
        </w:rPr>
        <w:t>217</w:t>
      </w:r>
      <w:r w:rsidRPr="00B27B47">
        <w:rPr>
          <w:rFonts w:ascii="Book Antiqua" w:eastAsia="SimSun" w:hAnsi="Book Antiqua" w:cs="SimSun"/>
          <w:sz w:val="24"/>
          <w:szCs w:val="24"/>
          <w:lang w:val="en-US" w:eastAsia="zh-CN"/>
        </w:rPr>
        <w:t>: 3-46 [PMID: 21882396 DOI: 10.1016/j.atherosclerosis.2011.06.028]</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12 </w:t>
      </w:r>
      <w:r w:rsidRPr="00B27B47">
        <w:rPr>
          <w:rFonts w:ascii="Book Antiqua" w:eastAsia="SimSun" w:hAnsi="Book Antiqua" w:cs="SimSun"/>
          <w:b/>
          <w:bCs/>
          <w:sz w:val="24"/>
          <w:szCs w:val="24"/>
          <w:lang w:val="en-US" w:eastAsia="zh-CN"/>
        </w:rPr>
        <w:t>Stone NJ</w:t>
      </w:r>
      <w:r w:rsidRPr="00B27B47">
        <w:rPr>
          <w:rFonts w:ascii="Book Antiqua" w:eastAsia="SimSun" w:hAnsi="Book Antiqua" w:cs="SimSun"/>
          <w:sz w:val="24"/>
          <w:szCs w:val="24"/>
          <w:lang w:val="en-US" w:eastAsia="zh-CN"/>
        </w:rPr>
        <w:t xml:space="preserve">, Robinson JG, Lichtenstein AH, Goff DC, Lloyd-Jones DM, Smith SC, Blum C, Schwartz JS. Treatment of blood cholesterol to reduce atherosclerotic cardiovascular disease risk in adults: synopsis of the 2013 American College of Cardiology/American Heart Association cholesterol guideline. </w:t>
      </w:r>
      <w:r w:rsidRPr="00B27B47">
        <w:rPr>
          <w:rFonts w:ascii="Book Antiqua" w:eastAsia="SimSun" w:hAnsi="Book Antiqua" w:cs="SimSun"/>
          <w:i/>
          <w:iCs/>
          <w:sz w:val="24"/>
          <w:szCs w:val="24"/>
          <w:lang w:val="en-US" w:eastAsia="zh-CN"/>
        </w:rPr>
        <w:t>Ann Intern Med</w:t>
      </w:r>
      <w:r w:rsidRPr="00B27B47">
        <w:rPr>
          <w:rFonts w:ascii="Book Antiqua" w:eastAsia="SimSun" w:hAnsi="Book Antiqua" w:cs="SimSun"/>
          <w:sz w:val="24"/>
          <w:szCs w:val="24"/>
          <w:lang w:val="en-US" w:eastAsia="zh-CN"/>
        </w:rPr>
        <w:t xml:space="preserve"> 2014; </w:t>
      </w:r>
      <w:r w:rsidRPr="00B27B47">
        <w:rPr>
          <w:rFonts w:ascii="Book Antiqua" w:eastAsia="SimSun" w:hAnsi="Book Antiqua" w:cs="SimSun"/>
          <w:b/>
          <w:bCs/>
          <w:sz w:val="24"/>
          <w:szCs w:val="24"/>
          <w:lang w:val="en-US" w:eastAsia="zh-CN"/>
        </w:rPr>
        <w:t>160</w:t>
      </w:r>
      <w:r w:rsidRPr="00B27B47">
        <w:rPr>
          <w:rFonts w:ascii="Book Antiqua" w:eastAsia="SimSun" w:hAnsi="Book Antiqua" w:cs="SimSun"/>
          <w:sz w:val="24"/>
          <w:szCs w:val="24"/>
          <w:lang w:val="en-US" w:eastAsia="zh-CN"/>
        </w:rPr>
        <w:t>: 339-343 [PMID: 24474185 DOI: 10.7326/M14-0126]</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13 </w:t>
      </w:r>
      <w:r w:rsidRPr="00B27B47">
        <w:rPr>
          <w:rFonts w:ascii="Book Antiqua" w:eastAsia="SimSun" w:hAnsi="Book Antiqua" w:cs="SimSun"/>
          <w:b/>
          <w:bCs/>
          <w:sz w:val="24"/>
          <w:szCs w:val="24"/>
          <w:lang w:val="en-US" w:eastAsia="zh-CN"/>
        </w:rPr>
        <w:t>Stamler J</w:t>
      </w:r>
      <w:r w:rsidRPr="00B27B47">
        <w:rPr>
          <w:rFonts w:ascii="Book Antiqua" w:eastAsia="SimSun" w:hAnsi="Book Antiqua" w:cs="SimSun"/>
          <w:sz w:val="24"/>
          <w:szCs w:val="24"/>
          <w:lang w:val="en-US" w:eastAsia="zh-CN"/>
        </w:rPr>
        <w:t xml:space="preserve">, Wentworth D, Neaton JD. Is relationship between serum cholesterol and risk of premature death from coronary heart disease continuous and graded? Findings in 356,222 primary screenees of the Multiple Risk Factor Intervention Trial (MRFIT). </w:t>
      </w:r>
      <w:r w:rsidRPr="00B27B47">
        <w:rPr>
          <w:rFonts w:ascii="Book Antiqua" w:eastAsia="SimSun" w:hAnsi="Book Antiqua" w:cs="SimSun"/>
          <w:i/>
          <w:iCs/>
          <w:sz w:val="24"/>
          <w:szCs w:val="24"/>
          <w:lang w:val="en-US" w:eastAsia="zh-CN"/>
        </w:rPr>
        <w:t>JAMA</w:t>
      </w:r>
      <w:r w:rsidRPr="00B27B47">
        <w:rPr>
          <w:rFonts w:ascii="Book Antiqua" w:eastAsia="SimSun" w:hAnsi="Book Antiqua" w:cs="SimSun"/>
          <w:sz w:val="24"/>
          <w:szCs w:val="24"/>
          <w:lang w:val="en-US" w:eastAsia="zh-CN"/>
        </w:rPr>
        <w:t xml:space="preserve"> 1986; </w:t>
      </w:r>
      <w:r w:rsidRPr="00B27B47">
        <w:rPr>
          <w:rFonts w:ascii="Book Antiqua" w:eastAsia="SimSun" w:hAnsi="Book Antiqua" w:cs="SimSun"/>
          <w:b/>
          <w:bCs/>
          <w:sz w:val="24"/>
          <w:szCs w:val="24"/>
          <w:lang w:val="en-US" w:eastAsia="zh-CN"/>
        </w:rPr>
        <w:t>256</w:t>
      </w:r>
      <w:r w:rsidRPr="00B27B47">
        <w:rPr>
          <w:rFonts w:ascii="Book Antiqua" w:eastAsia="SimSun" w:hAnsi="Book Antiqua" w:cs="SimSun"/>
          <w:sz w:val="24"/>
          <w:szCs w:val="24"/>
          <w:lang w:val="en-US" w:eastAsia="zh-CN"/>
        </w:rPr>
        <w:t>: 2823-2828 [PMID: 3773199 DOI: 10.1001/jama.1986.03380200061022]</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14 </w:t>
      </w:r>
      <w:r w:rsidRPr="00B27B47">
        <w:rPr>
          <w:rFonts w:ascii="Book Antiqua" w:eastAsia="SimSun" w:hAnsi="Book Antiqua" w:cs="SimSun"/>
          <w:b/>
          <w:bCs/>
          <w:sz w:val="24"/>
          <w:szCs w:val="24"/>
          <w:lang w:val="en-US" w:eastAsia="zh-CN"/>
        </w:rPr>
        <w:t>Schmidt HH</w:t>
      </w:r>
      <w:r w:rsidRPr="00B27B47">
        <w:rPr>
          <w:rFonts w:ascii="Book Antiqua" w:eastAsia="SimSun" w:hAnsi="Book Antiqua" w:cs="SimSun"/>
          <w:sz w:val="24"/>
          <w:szCs w:val="24"/>
          <w:lang w:val="en-US" w:eastAsia="zh-CN"/>
        </w:rPr>
        <w:t xml:space="preserve">, Hill S, Makariou EV, Feuerstein IM, Dugi KA, Hoeg JM. Relation of cholesterol-year score to severity of calcific atherosclerosis and tissue deposition in homozygous familial hypercholesterolemia. </w:t>
      </w:r>
      <w:r w:rsidRPr="00B27B47">
        <w:rPr>
          <w:rFonts w:ascii="Book Antiqua" w:eastAsia="SimSun" w:hAnsi="Book Antiqua" w:cs="SimSun"/>
          <w:i/>
          <w:iCs/>
          <w:sz w:val="24"/>
          <w:szCs w:val="24"/>
          <w:lang w:val="en-US" w:eastAsia="zh-CN"/>
        </w:rPr>
        <w:t>Am J Cardiol</w:t>
      </w:r>
      <w:r w:rsidRPr="00B27B47">
        <w:rPr>
          <w:rFonts w:ascii="Book Antiqua" w:eastAsia="SimSun" w:hAnsi="Book Antiqua" w:cs="SimSun"/>
          <w:sz w:val="24"/>
          <w:szCs w:val="24"/>
          <w:lang w:val="en-US" w:eastAsia="zh-CN"/>
        </w:rPr>
        <w:t xml:space="preserve"> 1996; </w:t>
      </w:r>
      <w:r w:rsidRPr="00B27B47">
        <w:rPr>
          <w:rFonts w:ascii="Book Antiqua" w:eastAsia="SimSun" w:hAnsi="Book Antiqua" w:cs="SimSun"/>
          <w:b/>
          <w:bCs/>
          <w:sz w:val="24"/>
          <w:szCs w:val="24"/>
          <w:lang w:val="en-US" w:eastAsia="zh-CN"/>
        </w:rPr>
        <w:t>77</w:t>
      </w:r>
      <w:r w:rsidRPr="00B27B47">
        <w:rPr>
          <w:rFonts w:ascii="Book Antiqua" w:eastAsia="SimSun" w:hAnsi="Book Antiqua" w:cs="SimSun"/>
          <w:sz w:val="24"/>
          <w:szCs w:val="24"/>
          <w:lang w:val="en-US" w:eastAsia="zh-CN"/>
        </w:rPr>
        <w:t>: 575-580 [PMID: 8610605 DOI: 10.1016/S0002-9149(97)89309-5]</w:t>
      </w:r>
    </w:p>
    <w:p w:rsidR="00751D25" w:rsidRPr="00B27B47" w:rsidRDefault="00751D25" w:rsidP="00751D25">
      <w:pPr>
        <w:widowControl w:val="0"/>
        <w:adjustRightInd w:val="0"/>
        <w:snapToGrid w:val="0"/>
        <w:spacing w:after="0" w:line="360" w:lineRule="auto"/>
        <w:jc w:val="both"/>
        <w:rPr>
          <w:rFonts w:ascii="Book Antiqua" w:eastAsia="Times New Roman" w:hAnsi="Book Antiqua" w:cs="Times New Roman"/>
          <w:bCs/>
          <w:kern w:val="2"/>
          <w:sz w:val="24"/>
          <w:szCs w:val="24"/>
          <w:lang w:val="en-US" w:eastAsia="de-DE"/>
        </w:rPr>
      </w:pPr>
      <w:r w:rsidRPr="00B27B47">
        <w:rPr>
          <w:rFonts w:ascii="Book Antiqua" w:eastAsia="SimSun" w:hAnsi="Book Antiqua" w:cs="SimSun" w:hint="eastAsia"/>
          <w:sz w:val="24"/>
          <w:szCs w:val="24"/>
          <w:lang w:val="en-US" w:eastAsia="zh-CN"/>
        </w:rPr>
        <w:t xml:space="preserve">15 </w:t>
      </w:r>
      <w:r w:rsidRPr="00B27B47">
        <w:rPr>
          <w:rFonts w:ascii="Book Antiqua" w:eastAsia="Times New Roman" w:hAnsi="Book Antiqua" w:cs="Times New Roman"/>
          <w:b/>
          <w:bCs/>
          <w:kern w:val="2"/>
          <w:sz w:val="24"/>
          <w:szCs w:val="24"/>
          <w:lang w:val="en-US" w:eastAsia="de-DE"/>
        </w:rPr>
        <w:t>Baigent C</w:t>
      </w:r>
      <w:r w:rsidRPr="00B27B47">
        <w:rPr>
          <w:rFonts w:ascii="Book Antiqua" w:eastAsia="Times New Roman" w:hAnsi="Book Antiqua" w:cs="Times New Roman"/>
          <w:bCs/>
          <w:kern w:val="2"/>
          <w:sz w:val="24"/>
          <w:szCs w:val="24"/>
          <w:lang w:val="en-US" w:eastAsia="de-DE"/>
        </w:rPr>
        <w:t xml:space="preserve">, Blackwell L, Emberson J, Holland LE, Reith C, Bhala N, Peto R, Barnes EH, Keech A, Simes J, Collins R. Efficacy and safety of more intensive lowering of LDL cholesterol: a meta-analysis of data from 170,000 participants in 26 randomised trials. </w:t>
      </w:r>
      <w:r w:rsidRPr="00B27B47">
        <w:rPr>
          <w:rFonts w:ascii="Book Antiqua" w:eastAsia="Times New Roman" w:hAnsi="Book Antiqua" w:cs="Times New Roman"/>
          <w:bCs/>
          <w:i/>
          <w:kern w:val="2"/>
          <w:sz w:val="24"/>
          <w:szCs w:val="24"/>
          <w:lang w:val="en-US" w:eastAsia="de-DE"/>
        </w:rPr>
        <w:t>Lancet</w:t>
      </w:r>
      <w:r w:rsidR="00307FD3" w:rsidRPr="00B27B47">
        <w:rPr>
          <w:rFonts w:ascii="Book Antiqua" w:eastAsia="Times New Roman" w:hAnsi="Book Antiqua" w:cs="Times New Roman"/>
          <w:bCs/>
          <w:kern w:val="2"/>
          <w:sz w:val="24"/>
          <w:szCs w:val="24"/>
          <w:lang w:val="en-US" w:eastAsia="de-DE"/>
        </w:rPr>
        <w:t xml:space="preserve"> </w:t>
      </w:r>
      <w:r w:rsidRPr="00B27B47">
        <w:rPr>
          <w:rFonts w:ascii="Book Antiqua" w:eastAsia="SimSun" w:hAnsi="Book Antiqua" w:cs="Times New Roman" w:hint="eastAsia"/>
          <w:bCs/>
          <w:kern w:val="2"/>
          <w:sz w:val="24"/>
          <w:szCs w:val="24"/>
          <w:lang w:val="en-US" w:eastAsia="zh-CN"/>
        </w:rPr>
        <w:t>20</w:t>
      </w:r>
      <w:r w:rsidRPr="00B27B47">
        <w:rPr>
          <w:rFonts w:ascii="Book Antiqua" w:eastAsia="Times New Roman" w:hAnsi="Book Antiqua" w:cs="Times New Roman"/>
          <w:bCs/>
          <w:kern w:val="2"/>
          <w:sz w:val="24"/>
          <w:szCs w:val="24"/>
          <w:lang w:val="en-US" w:eastAsia="de-DE"/>
        </w:rPr>
        <w:t xml:space="preserve">13; </w:t>
      </w:r>
      <w:r w:rsidRPr="00B27B47">
        <w:rPr>
          <w:rFonts w:ascii="Book Antiqua" w:eastAsia="Times New Roman" w:hAnsi="Book Antiqua" w:cs="Times New Roman"/>
          <w:b/>
          <w:bCs/>
          <w:kern w:val="2"/>
          <w:sz w:val="24"/>
          <w:szCs w:val="24"/>
          <w:lang w:val="en-US" w:eastAsia="de-DE"/>
        </w:rPr>
        <w:t>376</w:t>
      </w:r>
      <w:r w:rsidRPr="00B27B47">
        <w:rPr>
          <w:rFonts w:ascii="Book Antiqua" w:eastAsia="Times New Roman" w:hAnsi="Book Antiqua" w:cs="Times New Roman"/>
          <w:bCs/>
          <w:kern w:val="2"/>
          <w:sz w:val="24"/>
          <w:szCs w:val="24"/>
          <w:lang w:val="en-US" w:eastAsia="de-DE"/>
        </w:rPr>
        <w:t>: 1670-1681 [PMID: 21067804 DOI: 10.1016/S0140-6736(10)61350-5]</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16 </w:t>
      </w:r>
      <w:r w:rsidRPr="00B27B47">
        <w:rPr>
          <w:rFonts w:ascii="Book Antiqua" w:eastAsia="SimSun" w:hAnsi="Book Antiqua" w:cs="SimSun"/>
          <w:b/>
          <w:bCs/>
          <w:sz w:val="24"/>
          <w:szCs w:val="24"/>
          <w:lang w:val="en-US" w:eastAsia="zh-CN"/>
        </w:rPr>
        <w:t>Lee JS</w:t>
      </w:r>
      <w:r w:rsidRPr="00B27B47">
        <w:rPr>
          <w:rFonts w:ascii="Book Antiqua" w:eastAsia="SimSun" w:hAnsi="Book Antiqua" w:cs="SimSun"/>
          <w:sz w:val="24"/>
          <w:szCs w:val="24"/>
          <w:lang w:val="en-US" w:eastAsia="zh-CN"/>
        </w:rPr>
        <w:t xml:space="preserve">, Kim SH, Jun DW, Han JH, Jang EC, Park JY, Son BK, Kim SH, Jo YJ, Park YS, Kim YS. Clinical implications of fatty pancreas: correlations between fatty pancreas and metabolic syndrome. </w:t>
      </w:r>
      <w:r w:rsidRPr="00B27B47">
        <w:rPr>
          <w:rFonts w:ascii="Book Antiqua" w:eastAsia="SimSun" w:hAnsi="Book Antiqua" w:cs="SimSun"/>
          <w:i/>
          <w:iCs/>
          <w:sz w:val="24"/>
          <w:szCs w:val="24"/>
          <w:lang w:val="en-US" w:eastAsia="zh-CN"/>
        </w:rPr>
        <w:t>World J Gastroenterol</w:t>
      </w:r>
      <w:r w:rsidRPr="00B27B47">
        <w:rPr>
          <w:rFonts w:ascii="Book Antiqua" w:eastAsia="SimSun" w:hAnsi="Book Antiqua" w:cs="SimSun"/>
          <w:sz w:val="24"/>
          <w:szCs w:val="24"/>
          <w:lang w:val="en-US" w:eastAsia="zh-CN"/>
        </w:rPr>
        <w:t xml:space="preserve"> 2009; </w:t>
      </w:r>
      <w:r w:rsidRPr="00B27B47">
        <w:rPr>
          <w:rFonts w:ascii="Book Antiqua" w:eastAsia="SimSun" w:hAnsi="Book Antiqua" w:cs="SimSun"/>
          <w:b/>
          <w:bCs/>
          <w:sz w:val="24"/>
          <w:szCs w:val="24"/>
          <w:lang w:val="en-US" w:eastAsia="zh-CN"/>
        </w:rPr>
        <w:t>15</w:t>
      </w:r>
      <w:r w:rsidRPr="00B27B47">
        <w:rPr>
          <w:rFonts w:ascii="Book Antiqua" w:eastAsia="SimSun" w:hAnsi="Book Antiqua" w:cs="SimSun"/>
          <w:sz w:val="24"/>
          <w:szCs w:val="24"/>
          <w:lang w:val="en-US" w:eastAsia="zh-CN"/>
        </w:rPr>
        <w:t>: 1869-1875 [PMID: 19370785 DOI: 10.3748/wjg.15.1869]</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17 </w:t>
      </w:r>
      <w:r w:rsidRPr="00B27B47">
        <w:rPr>
          <w:rFonts w:ascii="Book Antiqua" w:eastAsia="SimSun" w:hAnsi="Book Antiqua" w:cs="SimSun"/>
          <w:b/>
          <w:bCs/>
          <w:sz w:val="24"/>
          <w:szCs w:val="24"/>
          <w:lang w:val="en-US" w:eastAsia="zh-CN"/>
        </w:rPr>
        <w:t>Berglund L</w:t>
      </w:r>
      <w:r w:rsidRPr="00B27B47">
        <w:rPr>
          <w:rFonts w:ascii="Book Antiqua" w:eastAsia="SimSun" w:hAnsi="Book Antiqua" w:cs="SimSun"/>
          <w:sz w:val="24"/>
          <w:szCs w:val="24"/>
          <w:lang w:val="en-US" w:eastAsia="zh-CN"/>
        </w:rPr>
        <w:t xml:space="preserve">, Brunzell JD, Goldberg AC, Goldberg IJ, Sacks F, Murad MH, Stalenhoef AF. Evaluation and treatment of hypertriglyceridemia: an Endocrine </w:t>
      </w:r>
      <w:r w:rsidRPr="00B27B47">
        <w:rPr>
          <w:rFonts w:ascii="Book Antiqua" w:eastAsia="SimSun" w:hAnsi="Book Antiqua" w:cs="SimSun"/>
          <w:sz w:val="24"/>
          <w:szCs w:val="24"/>
          <w:lang w:val="en-US" w:eastAsia="zh-CN"/>
        </w:rPr>
        <w:lastRenderedPageBreak/>
        <w:t xml:space="preserve">Society clinical practice guideline. </w:t>
      </w:r>
      <w:r w:rsidRPr="00B27B47">
        <w:rPr>
          <w:rFonts w:ascii="Book Antiqua" w:eastAsia="SimSun" w:hAnsi="Book Antiqua" w:cs="SimSun"/>
          <w:i/>
          <w:iCs/>
          <w:sz w:val="24"/>
          <w:szCs w:val="24"/>
          <w:lang w:val="en-US" w:eastAsia="zh-CN"/>
        </w:rPr>
        <w:t>J Clin Endocrinol Metab</w:t>
      </w:r>
      <w:r w:rsidRPr="00B27B47">
        <w:rPr>
          <w:rFonts w:ascii="Book Antiqua" w:eastAsia="SimSun" w:hAnsi="Book Antiqua" w:cs="SimSun"/>
          <w:sz w:val="24"/>
          <w:szCs w:val="24"/>
          <w:lang w:val="en-US" w:eastAsia="zh-CN"/>
        </w:rPr>
        <w:t xml:space="preserve"> 2012; </w:t>
      </w:r>
      <w:r w:rsidRPr="00B27B47">
        <w:rPr>
          <w:rFonts w:ascii="Book Antiqua" w:eastAsia="SimSun" w:hAnsi="Book Antiqua" w:cs="SimSun"/>
          <w:b/>
          <w:bCs/>
          <w:sz w:val="24"/>
          <w:szCs w:val="24"/>
          <w:lang w:val="en-US" w:eastAsia="zh-CN"/>
        </w:rPr>
        <w:t>97</w:t>
      </w:r>
      <w:r w:rsidRPr="00B27B47">
        <w:rPr>
          <w:rFonts w:ascii="Book Antiqua" w:eastAsia="SimSun" w:hAnsi="Book Antiqua" w:cs="SimSun"/>
          <w:sz w:val="24"/>
          <w:szCs w:val="24"/>
          <w:lang w:val="en-US" w:eastAsia="zh-CN"/>
        </w:rPr>
        <w:t>: 2969-2989 [PMID: 22962670 DOI: 10.1210/jc.2011-3213]</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18 </w:t>
      </w:r>
      <w:r w:rsidRPr="00B27B47">
        <w:rPr>
          <w:rFonts w:ascii="Book Antiqua" w:eastAsia="SimSun" w:hAnsi="Book Antiqua" w:cs="SimSun"/>
          <w:b/>
          <w:bCs/>
          <w:sz w:val="24"/>
          <w:szCs w:val="24"/>
          <w:lang w:val="en-US" w:eastAsia="zh-CN"/>
        </w:rPr>
        <w:t>Vathsala A</w:t>
      </w:r>
      <w:r w:rsidRPr="00B27B47">
        <w:rPr>
          <w:rFonts w:ascii="Book Antiqua" w:eastAsia="SimSun" w:hAnsi="Book Antiqua" w:cs="SimSun"/>
          <w:sz w:val="24"/>
          <w:szCs w:val="24"/>
          <w:lang w:val="en-US" w:eastAsia="zh-CN"/>
        </w:rPr>
        <w:t xml:space="preserve">, Weinberg RB, Schoenberg L, Grevel J, Goldstein RA, Van Buren CT, Lewis RM, Kahan BD. Lipid abnormalities in cyclosporine-prednisone-treated renal transplant recipients. </w:t>
      </w:r>
      <w:r w:rsidRPr="00B27B47">
        <w:rPr>
          <w:rFonts w:ascii="Book Antiqua" w:eastAsia="SimSun" w:hAnsi="Book Antiqua" w:cs="SimSun"/>
          <w:i/>
          <w:iCs/>
          <w:sz w:val="24"/>
          <w:szCs w:val="24"/>
          <w:lang w:val="en-US" w:eastAsia="zh-CN"/>
        </w:rPr>
        <w:t>Transplantation</w:t>
      </w:r>
      <w:r w:rsidRPr="00B27B47">
        <w:rPr>
          <w:rFonts w:ascii="Book Antiqua" w:eastAsia="SimSun" w:hAnsi="Book Antiqua" w:cs="SimSun"/>
          <w:sz w:val="24"/>
          <w:szCs w:val="24"/>
          <w:lang w:val="en-US" w:eastAsia="zh-CN"/>
        </w:rPr>
        <w:t xml:space="preserve"> 1989; </w:t>
      </w:r>
      <w:r w:rsidRPr="00B27B47">
        <w:rPr>
          <w:rFonts w:ascii="Book Antiqua" w:eastAsia="SimSun" w:hAnsi="Book Antiqua" w:cs="SimSun"/>
          <w:b/>
          <w:bCs/>
          <w:sz w:val="24"/>
          <w:szCs w:val="24"/>
          <w:lang w:val="en-US" w:eastAsia="zh-CN"/>
        </w:rPr>
        <w:t>48</w:t>
      </w:r>
      <w:r w:rsidRPr="00B27B47">
        <w:rPr>
          <w:rFonts w:ascii="Book Antiqua" w:eastAsia="SimSun" w:hAnsi="Book Antiqua" w:cs="SimSun"/>
          <w:sz w:val="24"/>
          <w:szCs w:val="24"/>
          <w:lang w:val="en-US" w:eastAsia="zh-CN"/>
        </w:rPr>
        <w:t>: 37-43 [PMID: 2665233 DOI: 10.1097/00007890-198907000-00009]</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19 </w:t>
      </w:r>
      <w:r w:rsidRPr="00B27B47">
        <w:rPr>
          <w:rFonts w:ascii="Book Antiqua" w:eastAsia="SimSun" w:hAnsi="Book Antiqua" w:cs="SimSun"/>
          <w:b/>
          <w:bCs/>
          <w:sz w:val="24"/>
          <w:szCs w:val="24"/>
          <w:lang w:val="en-US" w:eastAsia="zh-CN"/>
        </w:rPr>
        <w:t>Kuster GM</w:t>
      </w:r>
      <w:r w:rsidRPr="00B27B47">
        <w:rPr>
          <w:rFonts w:ascii="Book Antiqua" w:eastAsia="SimSun" w:hAnsi="Book Antiqua" w:cs="SimSun"/>
          <w:sz w:val="24"/>
          <w:szCs w:val="24"/>
          <w:lang w:val="en-US" w:eastAsia="zh-CN"/>
        </w:rPr>
        <w:t xml:space="preserve">, Drexel H, Bleisch JA, Rentsch K, Pei P, Binswanger U, Amann FW. Relation of cyclosporine blood levels to adverse effects on lipoproteins. </w:t>
      </w:r>
      <w:r w:rsidRPr="00B27B47">
        <w:rPr>
          <w:rFonts w:ascii="Book Antiqua" w:eastAsia="SimSun" w:hAnsi="Book Antiqua" w:cs="SimSun"/>
          <w:i/>
          <w:iCs/>
          <w:sz w:val="24"/>
          <w:szCs w:val="24"/>
          <w:lang w:val="en-US" w:eastAsia="zh-CN"/>
        </w:rPr>
        <w:t>Transplantation</w:t>
      </w:r>
      <w:r w:rsidRPr="00B27B47">
        <w:rPr>
          <w:rFonts w:ascii="Book Antiqua" w:eastAsia="SimSun" w:hAnsi="Book Antiqua" w:cs="SimSun"/>
          <w:sz w:val="24"/>
          <w:szCs w:val="24"/>
          <w:lang w:val="en-US" w:eastAsia="zh-CN"/>
        </w:rPr>
        <w:t xml:space="preserve"> 1994; </w:t>
      </w:r>
      <w:r w:rsidRPr="00B27B47">
        <w:rPr>
          <w:rFonts w:ascii="Book Antiqua" w:eastAsia="SimSun" w:hAnsi="Book Antiqua" w:cs="SimSun"/>
          <w:b/>
          <w:bCs/>
          <w:sz w:val="24"/>
          <w:szCs w:val="24"/>
          <w:lang w:val="en-US" w:eastAsia="zh-CN"/>
        </w:rPr>
        <w:t>57</w:t>
      </w:r>
      <w:r w:rsidRPr="00B27B47">
        <w:rPr>
          <w:rFonts w:ascii="Book Antiqua" w:eastAsia="SimSun" w:hAnsi="Book Antiqua" w:cs="SimSun"/>
          <w:sz w:val="24"/>
          <w:szCs w:val="24"/>
          <w:lang w:val="en-US" w:eastAsia="zh-CN"/>
        </w:rPr>
        <w:t>: 1479-1483 [PMID: 8197611 DOI: 10.1097/00007890-199405270-00014]</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20 </w:t>
      </w:r>
      <w:r w:rsidRPr="00B27B47">
        <w:rPr>
          <w:rFonts w:ascii="Book Antiqua" w:eastAsia="SimSun" w:hAnsi="Book Antiqua" w:cs="SimSun"/>
          <w:b/>
          <w:bCs/>
          <w:sz w:val="24"/>
          <w:szCs w:val="24"/>
          <w:lang w:val="en-US" w:eastAsia="zh-CN"/>
        </w:rPr>
        <w:t>Holdaas H</w:t>
      </w:r>
      <w:r w:rsidRPr="00B27B47">
        <w:rPr>
          <w:rFonts w:ascii="Book Antiqua" w:eastAsia="SimSun" w:hAnsi="Book Antiqua" w:cs="SimSun"/>
          <w:sz w:val="24"/>
          <w:szCs w:val="24"/>
          <w:lang w:val="en-US" w:eastAsia="zh-CN"/>
        </w:rPr>
        <w:t xml:space="preserve">, Potena L, Saliba F. mTOR inhibitors and dyslipidemia in transplant recipients: a cause for concern? </w:t>
      </w:r>
      <w:r w:rsidRPr="00B27B47">
        <w:rPr>
          <w:rFonts w:ascii="Book Antiqua" w:eastAsia="SimSun" w:hAnsi="Book Antiqua" w:cs="SimSun"/>
          <w:i/>
          <w:iCs/>
          <w:sz w:val="24"/>
          <w:szCs w:val="24"/>
          <w:lang w:val="en-US" w:eastAsia="zh-CN"/>
        </w:rPr>
        <w:t>Transplant Rev (Orlando)</w:t>
      </w:r>
      <w:r w:rsidRPr="00B27B47">
        <w:rPr>
          <w:rFonts w:ascii="Book Antiqua" w:eastAsia="SimSun" w:hAnsi="Book Antiqua" w:cs="SimSun"/>
          <w:sz w:val="24"/>
          <w:szCs w:val="24"/>
          <w:lang w:val="en-US" w:eastAsia="zh-CN"/>
        </w:rPr>
        <w:t xml:space="preserve"> 2015; </w:t>
      </w:r>
      <w:r w:rsidRPr="00B27B47">
        <w:rPr>
          <w:rFonts w:ascii="Book Antiqua" w:eastAsia="SimSun" w:hAnsi="Book Antiqua" w:cs="SimSun"/>
          <w:b/>
          <w:bCs/>
          <w:sz w:val="24"/>
          <w:szCs w:val="24"/>
          <w:lang w:val="en-US" w:eastAsia="zh-CN"/>
        </w:rPr>
        <w:t>29</w:t>
      </w:r>
      <w:r w:rsidRPr="00B27B47">
        <w:rPr>
          <w:rFonts w:ascii="Book Antiqua" w:eastAsia="SimSun" w:hAnsi="Book Antiqua" w:cs="SimSun"/>
          <w:sz w:val="24"/>
          <w:szCs w:val="24"/>
          <w:lang w:val="en-US" w:eastAsia="zh-CN"/>
        </w:rPr>
        <w:t>: 93-102 [PMID: 25227328 DOI: 10.1016/j.trre.2014.08.003]</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21 </w:t>
      </w:r>
      <w:r w:rsidRPr="00B27B47">
        <w:rPr>
          <w:rFonts w:ascii="Book Antiqua" w:eastAsia="SimSun" w:hAnsi="Book Antiqua" w:cs="SimSun"/>
          <w:b/>
          <w:bCs/>
          <w:sz w:val="24"/>
          <w:szCs w:val="24"/>
          <w:lang w:val="en-US" w:eastAsia="zh-CN"/>
        </w:rPr>
        <w:t>Mateo-Gallego R</w:t>
      </w:r>
      <w:r w:rsidRPr="00B27B47">
        <w:rPr>
          <w:rFonts w:ascii="Book Antiqua" w:eastAsia="SimSun" w:hAnsi="Book Antiqua" w:cs="SimSun"/>
          <w:sz w:val="24"/>
          <w:szCs w:val="24"/>
          <w:lang w:val="en-US" w:eastAsia="zh-CN"/>
        </w:rPr>
        <w:t xml:space="preserve">, Perez-Calahorra S, Cofán M, Baila-Rueda L, Cenarro A, Ros E, Puzo J, Civeira F. Serum lipid responses to weight loss differ between overweight adults with familial hypercholesterolemia and those with familial combined hyperlipidemia. </w:t>
      </w:r>
      <w:r w:rsidRPr="00B27B47">
        <w:rPr>
          <w:rFonts w:ascii="Book Antiqua" w:eastAsia="SimSun" w:hAnsi="Book Antiqua" w:cs="SimSun"/>
          <w:i/>
          <w:iCs/>
          <w:sz w:val="24"/>
          <w:szCs w:val="24"/>
          <w:lang w:val="en-US" w:eastAsia="zh-CN"/>
        </w:rPr>
        <w:t>J Nutr</w:t>
      </w:r>
      <w:r w:rsidRPr="00B27B47">
        <w:rPr>
          <w:rFonts w:ascii="Book Antiqua" w:eastAsia="SimSun" w:hAnsi="Book Antiqua" w:cs="SimSun"/>
          <w:sz w:val="24"/>
          <w:szCs w:val="24"/>
          <w:lang w:val="en-US" w:eastAsia="zh-CN"/>
        </w:rPr>
        <w:t xml:space="preserve"> 2014; </w:t>
      </w:r>
      <w:r w:rsidRPr="00B27B47">
        <w:rPr>
          <w:rFonts w:ascii="Book Antiqua" w:eastAsia="SimSun" w:hAnsi="Book Antiqua" w:cs="SimSun"/>
          <w:b/>
          <w:bCs/>
          <w:sz w:val="24"/>
          <w:szCs w:val="24"/>
          <w:lang w:val="en-US" w:eastAsia="zh-CN"/>
        </w:rPr>
        <w:t>144</w:t>
      </w:r>
      <w:r w:rsidRPr="00B27B47">
        <w:rPr>
          <w:rFonts w:ascii="Book Antiqua" w:eastAsia="SimSun" w:hAnsi="Book Antiqua" w:cs="SimSun"/>
          <w:sz w:val="24"/>
          <w:szCs w:val="24"/>
          <w:lang w:val="en-US" w:eastAsia="zh-CN"/>
        </w:rPr>
        <w:t>: 1219-1226 [PMID: 24899155 DOI: 10.3945/jn.114.191775]</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22 </w:t>
      </w:r>
      <w:r w:rsidRPr="00B27B47">
        <w:rPr>
          <w:rFonts w:ascii="Book Antiqua" w:eastAsia="SimSun" w:hAnsi="Book Antiqua" w:cs="SimSun"/>
          <w:b/>
          <w:bCs/>
          <w:sz w:val="24"/>
          <w:szCs w:val="24"/>
          <w:lang w:val="en-US" w:eastAsia="zh-CN"/>
        </w:rPr>
        <w:t>Schaefer EJ</w:t>
      </w:r>
      <w:r w:rsidRPr="00B27B47">
        <w:rPr>
          <w:rFonts w:ascii="Book Antiqua" w:eastAsia="SimSun" w:hAnsi="Book Antiqua" w:cs="SimSun"/>
          <w:sz w:val="24"/>
          <w:szCs w:val="24"/>
          <w:lang w:val="en-US" w:eastAsia="zh-CN"/>
        </w:rPr>
        <w:t xml:space="preserve">, Lamon-Fava S, Jenner JL, McNamara JR, Ordovas JM, Davis CE, Abolafia JM, Lippel K, Levy RI. Lipoprotein(a) levels and risk of coronary heart disease in men. The lipid Research Clinics Coronary Primary Prevention Trial. </w:t>
      </w:r>
      <w:r w:rsidRPr="00B27B47">
        <w:rPr>
          <w:rFonts w:ascii="Book Antiqua" w:eastAsia="SimSun" w:hAnsi="Book Antiqua" w:cs="SimSun"/>
          <w:i/>
          <w:iCs/>
          <w:sz w:val="24"/>
          <w:szCs w:val="24"/>
          <w:lang w:val="en-US" w:eastAsia="zh-CN"/>
        </w:rPr>
        <w:t>JAMA</w:t>
      </w:r>
      <w:r w:rsidRPr="00B27B47">
        <w:rPr>
          <w:rFonts w:ascii="Book Antiqua" w:eastAsia="SimSun" w:hAnsi="Book Antiqua" w:cs="SimSun"/>
          <w:sz w:val="24"/>
          <w:szCs w:val="24"/>
          <w:lang w:val="en-US" w:eastAsia="zh-CN"/>
        </w:rPr>
        <w:t xml:space="preserve"> 1994; </w:t>
      </w:r>
      <w:r w:rsidRPr="00B27B47">
        <w:rPr>
          <w:rFonts w:ascii="Book Antiqua" w:eastAsia="SimSun" w:hAnsi="Book Antiqua" w:cs="SimSun"/>
          <w:b/>
          <w:bCs/>
          <w:sz w:val="24"/>
          <w:szCs w:val="24"/>
          <w:lang w:val="en-US" w:eastAsia="zh-CN"/>
        </w:rPr>
        <w:t>271</w:t>
      </w:r>
      <w:r w:rsidRPr="00B27B47">
        <w:rPr>
          <w:rFonts w:ascii="Book Antiqua" w:eastAsia="SimSun" w:hAnsi="Book Antiqua" w:cs="SimSun"/>
          <w:sz w:val="24"/>
          <w:szCs w:val="24"/>
          <w:lang w:val="en-US" w:eastAsia="zh-CN"/>
        </w:rPr>
        <w:t>: 999-1003 [PMID: 8139085 DOI: 10.1001/jama.1994.03510370051031]</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23 </w:t>
      </w:r>
      <w:r w:rsidRPr="00B27B47">
        <w:rPr>
          <w:rFonts w:ascii="Book Antiqua" w:eastAsia="SimSun" w:hAnsi="Book Antiqua" w:cs="SimSun"/>
          <w:b/>
          <w:bCs/>
          <w:sz w:val="24"/>
          <w:szCs w:val="24"/>
          <w:lang w:val="en-US" w:eastAsia="zh-CN"/>
        </w:rPr>
        <w:t>McLean JW</w:t>
      </w:r>
      <w:r w:rsidRPr="00B27B47">
        <w:rPr>
          <w:rFonts w:ascii="Book Antiqua" w:eastAsia="SimSun" w:hAnsi="Book Antiqua" w:cs="SimSun"/>
          <w:sz w:val="24"/>
          <w:szCs w:val="24"/>
          <w:lang w:val="en-US" w:eastAsia="zh-CN"/>
        </w:rPr>
        <w:t xml:space="preserve">, Tomlinson JE, Kuang WJ, Eaton DL, Chen EY, Fless GM, Scanu AM, Lawn RM. cDNA sequence of human apolipoprotein(a) is homologous to plasminogen. </w:t>
      </w:r>
      <w:r w:rsidRPr="00B27B47">
        <w:rPr>
          <w:rFonts w:ascii="Book Antiqua" w:eastAsia="SimSun" w:hAnsi="Book Antiqua" w:cs="SimSun"/>
          <w:i/>
          <w:iCs/>
          <w:sz w:val="24"/>
          <w:szCs w:val="24"/>
          <w:lang w:val="en-US" w:eastAsia="zh-CN"/>
        </w:rPr>
        <w:t>Nature</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hint="eastAsia"/>
          <w:sz w:val="24"/>
          <w:szCs w:val="24"/>
          <w:lang w:val="en-US" w:eastAsia="zh-CN"/>
        </w:rPr>
        <w:t>1987</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330</w:t>
      </w:r>
      <w:r w:rsidRPr="00B27B47">
        <w:rPr>
          <w:rFonts w:ascii="Book Antiqua" w:eastAsia="SimSun" w:hAnsi="Book Antiqua" w:cs="SimSun"/>
          <w:sz w:val="24"/>
          <w:szCs w:val="24"/>
          <w:lang w:val="en-US" w:eastAsia="zh-CN"/>
        </w:rPr>
        <w:t>: 132-137 [PMID: 3670400 DOI: 10.1038/330132a0]</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24 </w:t>
      </w:r>
      <w:r w:rsidRPr="00B27B47">
        <w:rPr>
          <w:rFonts w:ascii="Book Antiqua" w:eastAsia="SimSun" w:hAnsi="Book Antiqua" w:cs="SimSun"/>
          <w:b/>
          <w:bCs/>
          <w:sz w:val="24"/>
          <w:szCs w:val="24"/>
          <w:lang w:val="en-US" w:eastAsia="zh-CN"/>
        </w:rPr>
        <w:t>Kurt B</w:t>
      </w:r>
      <w:r w:rsidRPr="00B27B47">
        <w:rPr>
          <w:rFonts w:ascii="Book Antiqua" w:eastAsia="SimSun" w:hAnsi="Book Antiqua" w:cs="SimSun"/>
          <w:sz w:val="24"/>
          <w:szCs w:val="24"/>
          <w:lang w:val="en-US" w:eastAsia="zh-CN"/>
        </w:rPr>
        <w:t xml:space="preserve">, Soufi M, Sattler A, Schaefer JR. Lipoprotein(a)-clinical aspects and future challenges. </w:t>
      </w:r>
      <w:r w:rsidRPr="00B27B47">
        <w:rPr>
          <w:rFonts w:ascii="Book Antiqua" w:eastAsia="SimSun" w:hAnsi="Book Antiqua" w:cs="SimSun"/>
          <w:i/>
          <w:iCs/>
          <w:sz w:val="24"/>
          <w:szCs w:val="24"/>
          <w:lang w:val="en-US" w:eastAsia="zh-CN"/>
        </w:rPr>
        <w:t>Clin Res Cardiol Suppl</w:t>
      </w:r>
      <w:r w:rsidRPr="00B27B47">
        <w:rPr>
          <w:rFonts w:ascii="Book Antiqua" w:eastAsia="SimSun" w:hAnsi="Book Antiqua" w:cs="SimSun"/>
          <w:sz w:val="24"/>
          <w:szCs w:val="24"/>
          <w:lang w:val="en-US" w:eastAsia="zh-CN"/>
        </w:rPr>
        <w:t xml:space="preserve"> 2015; </w:t>
      </w:r>
      <w:r w:rsidRPr="00B27B47">
        <w:rPr>
          <w:rFonts w:ascii="Book Antiqua" w:eastAsia="SimSun" w:hAnsi="Book Antiqua" w:cs="SimSun"/>
          <w:b/>
          <w:bCs/>
          <w:sz w:val="24"/>
          <w:szCs w:val="24"/>
          <w:lang w:val="en-US" w:eastAsia="zh-CN"/>
        </w:rPr>
        <w:t>10</w:t>
      </w:r>
      <w:r w:rsidRPr="00B27B47">
        <w:rPr>
          <w:rFonts w:ascii="Book Antiqua" w:eastAsia="SimSun" w:hAnsi="Book Antiqua" w:cs="SimSun"/>
          <w:sz w:val="24"/>
          <w:szCs w:val="24"/>
          <w:lang w:val="en-US" w:eastAsia="zh-CN"/>
        </w:rPr>
        <w:t>: 26-32 [PMID: 25732622 DOI: 10.1007/s11789-015-0075-z]</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25 </w:t>
      </w:r>
      <w:r w:rsidRPr="00B27B47">
        <w:rPr>
          <w:rFonts w:ascii="Book Antiqua" w:eastAsia="SimSun" w:hAnsi="Book Antiqua" w:cs="SimSun"/>
          <w:b/>
          <w:bCs/>
          <w:sz w:val="24"/>
          <w:szCs w:val="24"/>
          <w:lang w:val="en-US" w:eastAsia="zh-CN"/>
        </w:rPr>
        <w:t>Grundy SM</w:t>
      </w:r>
      <w:r w:rsidRPr="00B27B47">
        <w:rPr>
          <w:rFonts w:ascii="Book Antiqua" w:eastAsia="SimSun" w:hAnsi="Book Antiqua" w:cs="SimSun"/>
          <w:sz w:val="24"/>
          <w:szCs w:val="24"/>
          <w:lang w:val="en-US" w:eastAsia="zh-CN"/>
        </w:rPr>
        <w:t xml:space="preserve">, Cleeman JI, Merz CN, Brewer HB, Clark LT, Hunninghake DB, Pasternak RC, Smith SC, Stone NJ. Implications of recent clinical trials for the National Cholesterol Education Program Adult Treatment Panel III guidelines. </w:t>
      </w:r>
      <w:r w:rsidRPr="00B27B47">
        <w:rPr>
          <w:rFonts w:ascii="Book Antiqua" w:eastAsia="SimSun" w:hAnsi="Book Antiqua" w:cs="SimSun"/>
          <w:i/>
          <w:iCs/>
          <w:sz w:val="24"/>
          <w:szCs w:val="24"/>
          <w:lang w:val="en-US" w:eastAsia="zh-CN"/>
        </w:rPr>
        <w:lastRenderedPageBreak/>
        <w:t>Circulation</w:t>
      </w:r>
      <w:r w:rsidRPr="00B27B47">
        <w:rPr>
          <w:rFonts w:ascii="Book Antiqua" w:eastAsia="SimSun" w:hAnsi="Book Antiqua" w:cs="SimSun"/>
          <w:sz w:val="24"/>
          <w:szCs w:val="24"/>
          <w:lang w:val="en-US" w:eastAsia="zh-CN"/>
        </w:rPr>
        <w:t xml:space="preserve"> 2004; </w:t>
      </w:r>
      <w:r w:rsidRPr="00B27B47">
        <w:rPr>
          <w:rFonts w:ascii="Book Antiqua" w:eastAsia="SimSun" w:hAnsi="Book Antiqua" w:cs="SimSun"/>
          <w:b/>
          <w:bCs/>
          <w:sz w:val="24"/>
          <w:szCs w:val="24"/>
          <w:lang w:val="en-US" w:eastAsia="zh-CN"/>
        </w:rPr>
        <w:t>110</w:t>
      </w:r>
      <w:r w:rsidRPr="00B27B47">
        <w:rPr>
          <w:rFonts w:ascii="Book Antiqua" w:eastAsia="SimSun" w:hAnsi="Book Antiqua" w:cs="SimSun"/>
          <w:sz w:val="24"/>
          <w:szCs w:val="24"/>
          <w:lang w:val="en-US" w:eastAsia="zh-CN"/>
        </w:rPr>
        <w:t>: 227-239 [PMID: 15249516 DOI: 10.1161/01.CIR.0000133317.49796.0E]</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26 </w:t>
      </w:r>
      <w:r w:rsidRPr="00B27B47">
        <w:rPr>
          <w:rFonts w:ascii="Book Antiqua" w:eastAsia="SimSun" w:hAnsi="Book Antiqua" w:cs="SimSun"/>
          <w:b/>
          <w:bCs/>
          <w:sz w:val="24"/>
          <w:szCs w:val="24"/>
          <w:lang w:val="en-US" w:eastAsia="zh-CN"/>
        </w:rPr>
        <w:t>Schmidt HH</w:t>
      </w:r>
      <w:r w:rsidRPr="00B27B47">
        <w:rPr>
          <w:rFonts w:ascii="Book Antiqua" w:eastAsia="SimSun" w:hAnsi="Book Antiqua" w:cs="SimSun"/>
          <w:sz w:val="24"/>
          <w:szCs w:val="24"/>
          <w:lang w:val="en-US" w:eastAsia="zh-CN"/>
        </w:rPr>
        <w:t xml:space="preserve">, Gregg RE, Tietge UJ, Beisiegel U, Zech LA, Brewer HB, Manns MP, Bojanovski D. Upregulated synthesis of both apolipoprotein A-I and apolipoprotein B in familial hyperalphalipoproteinemia and hyperbetalipoproteinemia. </w:t>
      </w:r>
      <w:r w:rsidRPr="00B27B47">
        <w:rPr>
          <w:rFonts w:ascii="Book Antiqua" w:eastAsia="SimSun" w:hAnsi="Book Antiqua" w:cs="SimSun"/>
          <w:i/>
          <w:iCs/>
          <w:sz w:val="24"/>
          <w:szCs w:val="24"/>
          <w:lang w:val="en-US" w:eastAsia="zh-CN"/>
        </w:rPr>
        <w:t>Metabolism</w:t>
      </w:r>
      <w:r w:rsidRPr="00B27B47">
        <w:rPr>
          <w:rFonts w:ascii="Book Antiqua" w:eastAsia="SimSun" w:hAnsi="Book Antiqua" w:cs="SimSun"/>
          <w:sz w:val="24"/>
          <w:szCs w:val="24"/>
          <w:lang w:val="en-US" w:eastAsia="zh-CN"/>
        </w:rPr>
        <w:t xml:space="preserve"> 1998; </w:t>
      </w:r>
      <w:r w:rsidRPr="00B27B47">
        <w:rPr>
          <w:rFonts w:ascii="Book Antiqua" w:eastAsia="SimSun" w:hAnsi="Book Antiqua" w:cs="SimSun"/>
          <w:b/>
          <w:bCs/>
          <w:sz w:val="24"/>
          <w:szCs w:val="24"/>
          <w:lang w:val="en-US" w:eastAsia="zh-CN"/>
        </w:rPr>
        <w:t>47</w:t>
      </w:r>
      <w:r w:rsidRPr="00B27B47">
        <w:rPr>
          <w:rFonts w:ascii="Book Antiqua" w:eastAsia="SimSun" w:hAnsi="Book Antiqua" w:cs="SimSun"/>
          <w:sz w:val="24"/>
          <w:szCs w:val="24"/>
          <w:lang w:val="en-US" w:eastAsia="zh-CN"/>
        </w:rPr>
        <w:t>: 1160-1166 [PMID: 9751249 DOI: 10.1016/S0026-0495(98)90294-3]</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27 </w:t>
      </w:r>
      <w:r w:rsidRPr="00B27B47">
        <w:rPr>
          <w:rFonts w:ascii="Book Antiqua" w:eastAsia="SimSun" w:hAnsi="Book Antiqua" w:cs="SimSun"/>
          <w:b/>
          <w:bCs/>
          <w:sz w:val="24"/>
          <w:szCs w:val="24"/>
          <w:lang w:val="en-US" w:eastAsia="zh-CN"/>
        </w:rPr>
        <w:t>Carey WD</w:t>
      </w:r>
      <w:r w:rsidRPr="00B27B47">
        <w:rPr>
          <w:rFonts w:ascii="Book Antiqua" w:eastAsia="SimSun" w:hAnsi="Book Antiqua" w:cs="SimSun"/>
          <w:sz w:val="24"/>
          <w:szCs w:val="24"/>
          <w:lang w:val="en-US" w:eastAsia="zh-CN"/>
        </w:rPr>
        <w:t xml:space="preserve">, Dumot JA, Pimentel RR, Barnes DS, Hobbs RE, Henderson JM, Vogt DP, Mayes JT, Westveer MK, Easley KA. The prevalence of coronary artery disease in liver transplant candidates over age 50. </w:t>
      </w:r>
      <w:r w:rsidRPr="00B27B47">
        <w:rPr>
          <w:rFonts w:ascii="Book Antiqua" w:eastAsia="SimSun" w:hAnsi="Book Antiqua" w:cs="SimSun"/>
          <w:i/>
          <w:iCs/>
          <w:sz w:val="24"/>
          <w:szCs w:val="24"/>
          <w:lang w:val="en-US" w:eastAsia="zh-CN"/>
        </w:rPr>
        <w:t>Transplantation</w:t>
      </w:r>
      <w:r w:rsidRPr="00B27B47">
        <w:rPr>
          <w:rFonts w:ascii="Book Antiqua" w:eastAsia="SimSun" w:hAnsi="Book Antiqua" w:cs="SimSun"/>
          <w:sz w:val="24"/>
          <w:szCs w:val="24"/>
          <w:lang w:val="en-US" w:eastAsia="zh-CN"/>
        </w:rPr>
        <w:t xml:space="preserve"> 1995; </w:t>
      </w:r>
      <w:r w:rsidRPr="00B27B47">
        <w:rPr>
          <w:rFonts w:ascii="Book Antiqua" w:eastAsia="SimSun" w:hAnsi="Book Antiqua" w:cs="SimSun"/>
          <w:b/>
          <w:bCs/>
          <w:sz w:val="24"/>
          <w:szCs w:val="24"/>
          <w:lang w:val="en-US" w:eastAsia="zh-CN"/>
        </w:rPr>
        <w:t>59</w:t>
      </w:r>
      <w:r w:rsidRPr="00B27B47">
        <w:rPr>
          <w:rFonts w:ascii="Book Antiqua" w:eastAsia="SimSun" w:hAnsi="Book Antiqua" w:cs="SimSun"/>
          <w:sz w:val="24"/>
          <w:szCs w:val="24"/>
          <w:lang w:val="en-US" w:eastAsia="zh-CN"/>
        </w:rPr>
        <w:t>: 859-864 [PMID: 7701580 DOI: 10.1097/00007890-199503000-00010]</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28 </w:t>
      </w:r>
      <w:r w:rsidRPr="00B27B47">
        <w:rPr>
          <w:rFonts w:ascii="Book Antiqua" w:eastAsia="SimSun" w:hAnsi="Book Antiqua" w:cs="SimSun"/>
          <w:b/>
          <w:bCs/>
          <w:sz w:val="24"/>
          <w:szCs w:val="24"/>
          <w:lang w:val="en-US" w:eastAsia="zh-CN"/>
        </w:rPr>
        <w:t>Gößwald A</w:t>
      </w:r>
      <w:r w:rsidRPr="00B27B47">
        <w:rPr>
          <w:rFonts w:ascii="Book Antiqua" w:eastAsia="SimSun" w:hAnsi="Book Antiqua" w:cs="SimSun"/>
          <w:sz w:val="24"/>
          <w:szCs w:val="24"/>
          <w:lang w:val="en-US" w:eastAsia="zh-CN"/>
        </w:rPr>
        <w:t xml:space="preserve">, Schienkiewitz A, Nowossadeck E, Busch MA. [Prevalence of myocardial infarction and coronary heart disease in adults aged 40-79 years in Germany: results of the German Health Interview and Examination Survey for Adults (DEGS1)]. </w:t>
      </w:r>
      <w:r w:rsidRPr="00B27B47">
        <w:rPr>
          <w:rFonts w:ascii="Book Antiqua" w:eastAsia="SimSun" w:hAnsi="Book Antiqua" w:cs="SimSun"/>
          <w:i/>
          <w:iCs/>
          <w:sz w:val="24"/>
          <w:szCs w:val="24"/>
          <w:lang w:val="en-US" w:eastAsia="zh-CN"/>
        </w:rPr>
        <w:t>Bundesgesundheitsblatt Gesundheitsforschung Gesundheitsschutz</w:t>
      </w:r>
      <w:r w:rsidRPr="00B27B47">
        <w:rPr>
          <w:rFonts w:ascii="Book Antiqua" w:eastAsia="SimSun" w:hAnsi="Book Antiqua" w:cs="SimSun"/>
          <w:sz w:val="24"/>
          <w:szCs w:val="24"/>
          <w:lang w:val="en-US" w:eastAsia="zh-CN"/>
        </w:rPr>
        <w:t xml:space="preserve"> 2013; </w:t>
      </w:r>
      <w:r w:rsidRPr="00B27B47">
        <w:rPr>
          <w:rFonts w:ascii="Book Antiqua" w:eastAsia="SimSun" w:hAnsi="Book Antiqua" w:cs="SimSun"/>
          <w:b/>
          <w:bCs/>
          <w:sz w:val="24"/>
          <w:szCs w:val="24"/>
          <w:lang w:val="en-US" w:eastAsia="zh-CN"/>
        </w:rPr>
        <w:t>56</w:t>
      </w:r>
      <w:r w:rsidRPr="00B27B47">
        <w:rPr>
          <w:rFonts w:ascii="Book Antiqua" w:eastAsia="SimSun" w:hAnsi="Book Antiqua" w:cs="SimSun"/>
          <w:sz w:val="24"/>
          <w:szCs w:val="24"/>
          <w:lang w:val="en-US" w:eastAsia="zh-CN"/>
        </w:rPr>
        <w:t>: 650-655 [PMID: 23703482 DOI: 10.1007/s00103-013-1666-9]</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 xml:space="preserve">29 </w:t>
      </w:r>
      <w:r w:rsidRPr="00B27B47">
        <w:rPr>
          <w:rFonts w:ascii="Book Antiqua" w:eastAsia="SimSun" w:hAnsi="Book Antiqua" w:cs="SimSun"/>
          <w:b/>
          <w:bCs/>
          <w:sz w:val="24"/>
          <w:szCs w:val="24"/>
          <w:lang w:val="en-US" w:eastAsia="zh-CN"/>
        </w:rPr>
        <w:t>Morard I</w:t>
      </w:r>
      <w:r w:rsidRPr="00B27B47">
        <w:rPr>
          <w:rFonts w:ascii="Book Antiqua" w:eastAsia="SimSun" w:hAnsi="Book Antiqua" w:cs="SimSun"/>
          <w:sz w:val="24"/>
          <w:szCs w:val="24"/>
          <w:lang w:val="en-US" w:eastAsia="zh-CN"/>
        </w:rPr>
        <w:t xml:space="preserve">, Dumortier J, Spahr L, Hadengue A, Majno P, Morel P, Mentha G, Giostra E. Conversion to sirolimus-based immunosuppression in maintenance liver transplantation patients. </w:t>
      </w:r>
      <w:r w:rsidRPr="00B27B47">
        <w:rPr>
          <w:rFonts w:ascii="Book Antiqua" w:eastAsia="SimSun" w:hAnsi="Book Antiqua" w:cs="SimSun"/>
          <w:i/>
          <w:iCs/>
          <w:sz w:val="24"/>
          <w:szCs w:val="24"/>
          <w:lang w:val="en-US" w:eastAsia="zh-CN"/>
        </w:rPr>
        <w:t>Liver Transpl</w:t>
      </w:r>
      <w:r w:rsidRPr="00B27B47">
        <w:rPr>
          <w:rFonts w:ascii="Book Antiqua" w:eastAsia="SimSun" w:hAnsi="Book Antiqua" w:cs="SimSun"/>
          <w:sz w:val="24"/>
          <w:szCs w:val="24"/>
          <w:lang w:val="en-US" w:eastAsia="zh-CN"/>
        </w:rPr>
        <w:t xml:space="preserve"> 2007; </w:t>
      </w:r>
      <w:r w:rsidRPr="00B27B47">
        <w:rPr>
          <w:rFonts w:ascii="Book Antiqua" w:eastAsia="SimSun" w:hAnsi="Book Antiqua" w:cs="SimSun"/>
          <w:b/>
          <w:bCs/>
          <w:sz w:val="24"/>
          <w:szCs w:val="24"/>
          <w:lang w:val="en-US" w:eastAsia="zh-CN"/>
        </w:rPr>
        <w:t>13</w:t>
      </w:r>
      <w:r w:rsidRPr="00B27B47">
        <w:rPr>
          <w:rFonts w:ascii="Book Antiqua" w:eastAsia="SimSun" w:hAnsi="Book Antiqua" w:cs="SimSun"/>
          <w:sz w:val="24"/>
          <w:szCs w:val="24"/>
          <w:lang w:val="en-US" w:eastAsia="zh-CN"/>
        </w:rPr>
        <w:t>: 658-664 [PMID: 17457887 DOI: 10.1002/lt.21116]</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3</w:t>
      </w:r>
      <w:r w:rsidRPr="00B27B47">
        <w:rPr>
          <w:rFonts w:ascii="Book Antiqua" w:eastAsia="SimSun" w:hAnsi="Book Antiqua" w:cs="SimSun" w:hint="eastAsia"/>
          <w:sz w:val="24"/>
          <w:szCs w:val="24"/>
          <w:lang w:val="en-US" w:eastAsia="zh-CN"/>
        </w:rPr>
        <w:t>0</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De Simone P</w:t>
      </w:r>
      <w:r w:rsidRPr="00B27B47">
        <w:rPr>
          <w:rFonts w:ascii="Book Antiqua" w:eastAsia="SimSun" w:hAnsi="Book Antiqua" w:cs="SimSun"/>
          <w:sz w:val="24"/>
          <w:szCs w:val="24"/>
          <w:lang w:val="en-US" w:eastAsia="zh-CN"/>
        </w:rPr>
        <w:t xml:space="preserve">, Precisi A, Petruccelli S, Balzano E, Carrai P, Catalano G, Campani D, Filipponi F. The impact of everolimus on renal function in maintenance liver transplantation. </w:t>
      </w:r>
      <w:r w:rsidRPr="00B27B47">
        <w:rPr>
          <w:rFonts w:ascii="Book Antiqua" w:eastAsia="SimSun" w:hAnsi="Book Antiqua" w:cs="SimSun"/>
          <w:i/>
          <w:iCs/>
          <w:sz w:val="24"/>
          <w:szCs w:val="24"/>
          <w:lang w:val="en-US" w:eastAsia="zh-CN"/>
        </w:rPr>
        <w:t>Transplant Proc</w:t>
      </w:r>
      <w:r w:rsidRPr="00B27B47">
        <w:rPr>
          <w:rFonts w:ascii="Book Antiqua" w:eastAsia="SimSun" w:hAnsi="Book Antiqua" w:cs="SimSun"/>
          <w:sz w:val="24"/>
          <w:szCs w:val="24"/>
          <w:lang w:val="en-US" w:eastAsia="zh-CN"/>
        </w:rPr>
        <w:t xml:space="preserve"> 2009; </w:t>
      </w:r>
      <w:r w:rsidRPr="00B27B47">
        <w:rPr>
          <w:rFonts w:ascii="Book Antiqua" w:eastAsia="SimSun" w:hAnsi="Book Antiqua" w:cs="SimSun"/>
          <w:b/>
          <w:bCs/>
          <w:sz w:val="24"/>
          <w:szCs w:val="24"/>
          <w:lang w:val="en-US" w:eastAsia="zh-CN"/>
        </w:rPr>
        <w:t>41</w:t>
      </w:r>
      <w:r w:rsidRPr="00B27B47">
        <w:rPr>
          <w:rFonts w:ascii="Book Antiqua" w:eastAsia="SimSun" w:hAnsi="Book Antiqua" w:cs="SimSun"/>
          <w:sz w:val="24"/>
          <w:szCs w:val="24"/>
          <w:lang w:val="en-US" w:eastAsia="zh-CN"/>
        </w:rPr>
        <w:t>: 1300-1302 [PMID: 19460545 DOI: 10.1016/j.transproceed.2009.03.051]</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3</w:t>
      </w:r>
      <w:r w:rsidRPr="00B27B47">
        <w:rPr>
          <w:rFonts w:ascii="Book Antiqua" w:eastAsia="SimSun" w:hAnsi="Book Antiqua" w:cs="SimSun" w:hint="eastAsia"/>
          <w:sz w:val="24"/>
          <w:szCs w:val="24"/>
          <w:lang w:val="en-US" w:eastAsia="zh-CN"/>
        </w:rPr>
        <w:t>1</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Schleicher C</w:t>
      </w:r>
      <w:r w:rsidRPr="00B27B47">
        <w:rPr>
          <w:rFonts w:ascii="Book Antiqua" w:eastAsia="SimSun" w:hAnsi="Book Antiqua" w:cs="SimSun"/>
          <w:sz w:val="24"/>
          <w:szCs w:val="24"/>
          <w:lang w:val="en-US" w:eastAsia="zh-CN"/>
        </w:rPr>
        <w:t xml:space="preserve">, Palmes D, Utech M, Bonrath E, Senninger N, Schmidt H, Wolters H. Timing of conversion to mammalian target of rapamycin inhibitors is crucial in liver transplant recipients with impaired renal function at transplantation. </w:t>
      </w:r>
      <w:r w:rsidRPr="00B27B47">
        <w:rPr>
          <w:rFonts w:ascii="Book Antiqua" w:eastAsia="SimSun" w:hAnsi="Book Antiqua" w:cs="SimSun"/>
          <w:i/>
          <w:iCs/>
          <w:sz w:val="24"/>
          <w:szCs w:val="24"/>
          <w:lang w:val="en-US" w:eastAsia="zh-CN"/>
        </w:rPr>
        <w:t>Transplant Proc</w:t>
      </w:r>
      <w:r w:rsidRPr="00B27B47">
        <w:rPr>
          <w:rFonts w:ascii="Book Antiqua" w:eastAsia="SimSun" w:hAnsi="Book Antiqua" w:cs="SimSun"/>
          <w:sz w:val="24"/>
          <w:szCs w:val="24"/>
          <w:lang w:val="en-US" w:eastAsia="zh-CN"/>
        </w:rPr>
        <w:t xml:space="preserve"> 2010; </w:t>
      </w:r>
      <w:r w:rsidRPr="00B27B47">
        <w:rPr>
          <w:rFonts w:ascii="Book Antiqua" w:eastAsia="SimSun" w:hAnsi="Book Antiqua" w:cs="SimSun"/>
          <w:b/>
          <w:bCs/>
          <w:sz w:val="24"/>
          <w:szCs w:val="24"/>
          <w:lang w:val="en-US" w:eastAsia="zh-CN"/>
        </w:rPr>
        <w:t>42</w:t>
      </w:r>
      <w:r w:rsidRPr="00B27B47">
        <w:rPr>
          <w:rFonts w:ascii="Book Antiqua" w:eastAsia="SimSun" w:hAnsi="Book Antiqua" w:cs="SimSun"/>
          <w:sz w:val="24"/>
          <w:szCs w:val="24"/>
          <w:lang w:val="en-US" w:eastAsia="zh-CN"/>
        </w:rPr>
        <w:t>: 2572-2575 [PMID: 20832546 DOI: 10.1016/j.transproceed.2010.05.159]</w:t>
      </w:r>
    </w:p>
    <w:p w:rsidR="00751D25" w:rsidRPr="00B27B47" w:rsidRDefault="00751D25" w:rsidP="00751D25">
      <w:pPr>
        <w:widowControl w:val="0"/>
        <w:adjustRightInd w:val="0"/>
        <w:snapToGrid w:val="0"/>
        <w:spacing w:after="0" w:line="360" w:lineRule="auto"/>
        <w:jc w:val="both"/>
        <w:rPr>
          <w:rFonts w:ascii="Book Antiqua" w:eastAsia="Times New Roman" w:hAnsi="Book Antiqua" w:cs="Times New Roman"/>
          <w:bCs/>
          <w:kern w:val="2"/>
          <w:sz w:val="24"/>
          <w:szCs w:val="24"/>
          <w:lang w:val="en-US" w:eastAsia="de-DE"/>
        </w:rPr>
      </w:pPr>
      <w:r w:rsidRPr="00B27B47">
        <w:rPr>
          <w:rFonts w:ascii="Book Antiqua" w:eastAsia="SimSun" w:hAnsi="Book Antiqua" w:cs="Times New Roman" w:hint="eastAsia"/>
          <w:bCs/>
          <w:kern w:val="2"/>
          <w:sz w:val="24"/>
          <w:szCs w:val="24"/>
          <w:lang w:val="en-US" w:eastAsia="zh-CN"/>
        </w:rPr>
        <w:t>32</w:t>
      </w:r>
      <w:r w:rsidRPr="00B27B47">
        <w:rPr>
          <w:rFonts w:ascii="Book Antiqua" w:eastAsia="SimSun" w:hAnsi="Book Antiqua" w:cs="Times New Roman" w:hint="eastAsia"/>
          <w:b/>
          <w:bCs/>
          <w:kern w:val="2"/>
          <w:sz w:val="24"/>
          <w:szCs w:val="24"/>
          <w:lang w:val="en-US" w:eastAsia="zh-CN"/>
        </w:rPr>
        <w:t xml:space="preserve"> </w:t>
      </w:r>
      <w:r w:rsidRPr="00B27B47">
        <w:rPr>
          <w:rFonts w:ascii="Book Antiqua" w:eastAsia="Times New Roman" w:hAnsi="Book Antiqua" w:cs="Times New Roman"/>
          <w:b/>
          <w:bCs/>
          <w:kern w:val="2"/>
          <w:sz w:val="24"/>
          <w:szCs w:val="24"/>
          <w:lang w:val="en-US" w:eastAsia="de-DE"/>
        </w:rPr>
        <w:t>Vallin M</w:t>
      </w:r>
      <w:r w:rsidRPr="00B27B47">
        <w:rPr>
          <w:rFonts w:ascii="Book Antiqua" w:eastAsia="Times New Roman" w:hAnsi="Book Antiqua" w:cs="Times New Roman"/>
          <w:bCs/>
          <w:kern w:val="2"/>
          <w:sz w:val="24"/>
          <w:szCs w:val="24"/>
          <w:lang w:val="en-US" w:eastAsia="de-DE"/>
        </w:rPr>
        <w:t xml:space="preserve">, Guillaud O, Morard I, Gagnieu MC, Mentha G, Adham M, Morelon E, Boillot O, Giostra E, Dumortier J. Tolerability of everolimus-based immunosuppression in maintenance liver transplant recipients. </w:t>
      </w:r>
      <w:r w:rsidRPr="00B27B47">
        <w:rPr>
          <w:rFonts w:ascii="Book Antiqua" w:eastAsia="Times New Roman" w:hAnsi="Book Antiqua" w:cs="Times New Roman"/>
          <w:bCs/>
          <w:i/>
          <w:kern w:val="2"/>
          <w:sz w:val="24"/>
          <w:szCs w:val="24"/>
          <w:lang w:val="en-US" w:eastAsia="de-DE"/>
        </w:rPr>
        <w:t>Clin Transplant</w:t>
      </w:r>
      <w:r w:rsidRPr="00B27B47">
        <w:rPr>
          <w:rFonts w:ascii="Book Antiqua" w:eastAsia="SimSun" w:hAnsi="Book Antiqua" w:cs="Times New Roman" w:hint="eastAsia"/>
          <w:bCs/>
          <w:kern w:val="2"/>
          <w:sz w:val="24"/>
          <w:szCs w:val="24"/>
          <w:lang w:val="en-US" w:eastAsia="zh-CN"/>
        </w:rPr>
        <w:t xml:space="preserve"> 2011</w:t>
      </w:r>
      <w:r w:rsidRPr="00B27B47">
        <w:rPr>
          <w:rFonts w:ascii="Book Antiqua" w:eastAsia="Times New Roman" w:hAnsi="Book Antiqua" w:cs="Times New Roman"/>
          <w:bCs/>
          <w:kern w:val="2"/>
          <w:sz w:val="24"/>
          <w:szCs w:val="24"/>
          <w:lang w:val="en-US" w:eastAsia="de-DE"/>
        </w:rPr>
        <w:t xml:space="preserve">; </w:t>
      </w:r>
      <w:r w:rsidRPr="00B27B47">
        <w:rPr>
          <w:rFonts w:ascii="Book Antiqua" w:eastAsia="Times New Roman" w:hAnsi="Book Antiqua" w:cs="Times New Roman"/>
          <w:b/>
          <w:bCs/>
          <w:kern w:val="2"/>
          <w:sz w:val="24"/>
          <w:szCs w:val="24"/>
          <w:lang w:val="en-US" w:eastAsia="de-DE"/>
        </w:rPr>
        <w:t>25</w:t>
      </w:r>
      <w:r w:rsidRPr="00B27B47">
        <w:rPr>
          <w:rFonts w:ascii="Book Antiqua" w:eastAsia="Times New Roman" w:hAnsi="Book Antiqua" w:cs="Times New Roman"/>
          <w:bCs/>
          <w:kern w:val="2"/>
          <w:sz w:val="24"/>
          <w:szCs w:val="24"/>
          <w:lang w:val="en-US" w:eastAsia="de-DE"/>
        </w:rPr>
        <w:t xml:space="preserve">: 660-669 [PMID: </w:t>
      </w:r>
      <w:bookmarkStart w:id="286" w:name="OLE_LINK2838"/>
      <w:bookmarkStart w:id="287" w:name="OLE_LINK2839"/>
      <w:r w:rsidRPr="00B27B47">
        <w:rPr>
          <w:rFonts w:ascii="Book Antiqua" w:eastAsia="Times New Roman" w:hAnsi="Book Antiqua" w:cs="Times New Roman"/>
          <w:bCs/>
          <w:kern w:val="2"/>
          <w:sz w:val="24"/>
          <w:szCs w:val="24"/>
          <w:lang w:val="en-US" w:eastAsia="de-DE"/>
        </w:rPr>
        <w:t xml:space="preserve">21158921 </w:t>
      </w:r>
      <w:bookmarkEnd w:id="286"/>
      <w:bookmarkEnd w:id="287"/>
      <w:r w:rsidRPr="00B27B47">
        <w:rPr>
          <w:rFonts w:ascii="Book Antiqua" w:eastAsia="Times New Roman" w:hAnsi="Book Antiqua" w:cs="Times New Roman"/>
          <w:bCs/>
          <w:kern w:val="2"/>
          <w:sz w:val="24"/>
          <w:szCs w:val="24"/>
          <w:lang w:val="en-US" w:eastAsia="de-DE"/>
        </w:rPr>
        <w:t>DOI: 10.1111/j.1399-0012.2010.01370.x]</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lastRenderedPageBreak/>
        <w:t>3</w:t>
      </w:r>
      <w:r w:rsidRPr="00B27B47">
        <w:rPr>
          <w:rFonts w:ascii="Book Antiqua" w:eastAsia="SimSun" w:hAnsi="Book Antiqua" w:cs="SimSun" w:hint="eastAsia"/>
          <w:sz w:val="24"/>
          <w:szCs w:val="24"/>
          <w:lang w:val="en-US" w:eastAsia="zh-CN"/>
        </w:rPr>
        <w:t>3</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sz w:val="24"/>
          <w:szCs w:val="24"/>
          <w:lang w:val="en-US" w:eastAsia="zh-CN"/>
        </w:rPr>
        <w:t>Vallin M</w:t>
      </w:r>
      <w:r w:rsidRPr="00B27B47">
        <w:rPr>
          <w:rFonts w:ascii="Book Antiqua" w:eastAsia="SimSun" w:hAnsi="Book Antiqua" w:cs="SimSun"/>
          <w:sz w:val="24"/>
          <w:szCs w:val="24"/>
          <w:lang w:val="en-US" w:eastAsia="zh-CN"/>
        </w:rPr>
        <w:t xml:space="preserve">, </w:t>
      </w:r>
      <w:r w:rsidR="00941A0A">
        <w:rPr>
          <w:rFonts w:ascii="Book Antiqua" w:eastAsia="SimSun" w:hAnsi="Book Antiqua" w:cs="SimSun"/>
          <w:sz w:val="24"/>
          <w:szCs w:val="24"/>
          <w:lang w:val="en-US" w:eastAsia="zh-CN"/>
        </w:rPr>
        <w:t>Guillaud O, Morard I, Gagnieu M</w:t>
      </w:r>
      <w:r w:rsidRPr="00B27B47">
        <w:rPr>
          <w:rFonts w:ascii="Book Antiqua" w:eastAsia="SimSun" w:hAnsi="Book Antiqua" w:cs="SimSun"/>
          <w:sz w:val="24"/>
          <w:szCs w:val="24"/>
          <w:lang w:val="en-US" w:eastAsia="zh-CN"/>
        </w:rPr>
        <w:t xml:space="preserve">C, Mentha G, Adham M, Morelon E, Giostra E, Boillot O, Dumotier J. Conversion to everolimus-based immunosuppression in maintenance liver transplant patients: results from 94 patients. </w:t>
      </w:r>
      <w:bookmarkStart w:id="288" w:name="OLE_LINK2835"/>
      <w:bookmarkStart w:id="289" w:name="OLE_LINK2833"/>
      <w:bookmarkStart w:id="290" w:name="OLE_LINK2834"/>
      <w:r w:rsidRPr="00B27B47">
        <w:rPr>
          <w:rFonts w:ascii="Book Antiqua" w:eastAsia="SimSun" w:hAnsi="Book Antiqua" w:cs="SimSun"/>
          <w:i/>
          <w:sz w:val="24"/>
          <w:szCs w:val="24"/>
          <w:lang w:val="en-US" w:eastAsia="zh-CN"/>
        </w:rPr>
        <w:t>Journal of Hepatology</w:t>
      </w:r>
      <w:bookmarkEnd w:id="288"/>
      <w:r w:rsidRPr="00B27B47">
        <w:rPr>
          <w:rFonts w:ascii="Book Antiqua" w:eastAsia="SimSun" w:hAnsi="Book Antiqua" w:cs="SimSun"/>
          <w:sz w:val="24"/>
          <w:szCs w:val="24"/>
          <w:lang w:val="en-US" w:eastAsia="zh-CN"/>
        </w:rPr>
        <w:t xml:space="preserve"> 2009; </w:t>
      </w:r>
      <w:r w:rsidRPr="00B27B47">
        <w:rPr>
          <w:rFonts w:ascii="Book Antiqua" w:eastAsia="SimSun" w:hAnsi="Book Antiqua" w:cs="SimSun"/>
          <w:b/>
          <w:sz w:val="24"/>
          <w:szCs w:val="24"/>
          <w:lang w:val="en-US" w:eastAsia="zh-CN"/>
        </w:rPr>
        <w:t>50</w:t>
      </w:r>
      <w:r w:rsidRPr="00B27B47">
        <w:rPr>
          <w:rFonts w:ascii="Book Antiqua" w:eastAsia="SimSun" w:hAnsi="Book Antiqua" w:cs="SimSun"/>
          <w:sz w:val="24"/>
          <w:szCs w:val="24"/>
          <w:lang w:val="en-US" w:eastAsia="zh-CN"/>
        </w:rPr>
        <w:t>: 186</w:t>
      </w:r>
      <w:bookmarkEnd w:id="289"/>
      <w:bookmarkEnd w:id="290"/>
      <w:r w:rsidRPr="00B27B47">
        <w:rPr>
          <w:rFonts w:ascii="Book Antiqua" w:eastAsia="SimSun" w:hAnsi="Book Antiqua" w:cs="SimSun"/>
          <w:sz w:val="24"/>
          <w:szCs w:val="24"/>
          <w:lang w:val="en-US" w:eastAsia="zh-CN"/>
        </w:rPr>
        <w:t xml:space="preserve"> [DOI: </w:t>
      </w:r>
      <w:bookmarkStart w:id="291" w:name="OLE_LINK2836"/>
      <w:bookmarkStart w:id="292" w:name="OLE_LINK2837"/>
      <w:r w:rsidRPr="00B27B47">
        <w:rPr>
          <w:rFonts w:ascii="Book Antiqua" w:eastAsia="SimSun" w:hAnsi="Book Antiqua" w:cs="SimSun"/>
          <w:sz w:val="24"/>
          <w:szCs w:val="24"/>
          <w:lang w:val="en-US" w:eastAsia="zh-CN"/>
        </w:rPr>
        <w:t>10.1016/S0168-8278(09)60499-2</w:t>
      </w:r>
      <w:bookmarkEnd w:id="291"/>
      <w:bookmarkEnd w:id="292"/>
      <w:r w:rsidRPr="00B27B47">
        <w:rPr>
          <w:rFonts w:ascii="Book Antiqua" w:eastAsia="SimSun" w:hAnsi="Book Antiqua" w:cs="SimSun"/>
          <w:sz w:val="24"/>
          <w:szCs w:val="24"/>
          <w:lang w:val="en-US" w:eastAsia="zh-CN"/>
        </w:rPr>
        <w:t>]</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3</w:t>
      </w:r>
      <w:r w:rsidRPr="00B27B47">
        <w:rPr>
          <w:rFonts w:ascii="Book Antiqua" w:eastAsia="SimSun" w:hAnsi="Book Antiqua" w:cs="SimSun" w:hint="eastAsia"/>
          <w:sz w:val="24"/>
          <w:szCs w:val="24"/>
          <w:lang w:val="en-US" w:eastAsia="zh-CN"/>
        </w:rPr>
        <w:t>4</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Castroagudín JF</w:t>
      </w:r>
      <w:r w:rsidRPr="00B27B47">
        <w:rPr>
          <w:rFonts w:ascii="Book Antiqua" w:eastAsia="SimSun" w:hAnsi="Book Antiqua" w:cs="SimSun"/>
          <w:sz w:val="24"/>
          <w:szCs w:val="24"/>
          <w:lang w:val="en-US" w:eastAsia="zh-CN"/>
        </w:rPr>
        <w:t xml:space="preserve">, Molina E, Romero R, Otero E, Tomé S, Varo E. Improvement of renal function after the switch from a calcineurin inhibitor to everolimus in liver transplant recipients with chronic renal dysfunction. </w:t>
      </w:r>
      <w:r w:rsidRPr="00B27B47">
        <w:rPr>
          <w:rFonts w:ascii="Book Antiqua" w:eastAsia="SimSun" w:hAnsi="Book Antiqua" w:cs="SimSun"/>
          <w:i/>
          <w:iCs/>
          <w:sz w:val="24"/>
          <w:szCs w:val="24"/>
          <w:lang w:val="en-US" w:eastAsia="zh-CN"/>
        </w:rPr>
        <w:t>Liver Transpl</w:t>
      </w:r>
      <w:r w:rsidRPr="00B27B47">
        <w:rPr>
          <w:rFonts w:ascii="Book Antiqua" w:eastAsia="SimSun" w:hAnsi="Book Antiqua" w:cs="SimSun"/>
          <w:sz w:val="24"/>
          <w:szCs w:val="24"/>
          <w:lang w:val="en-US" w:eastAsia="zh-CN"/>
        </w:rPr>
        <w:t xml:space="preserve"> 2009; </w:t>
      </w:r>
      <w:r w:rsidRPr="00B27B47">
        <w:rPr>
          <w:rFonts w:ascii="Book Antiqua" w:eastAsia="SimSun" w:hAnsi="Book Antiqua" w:cs="SimSun"/>
          <w:b/>
          <w:bCs/>
          <w:sz w:val="24"/>
          <w:szCs w:val="24"/>
          <w:lang w:val="en-US" w:eastAsia="zh-CN"/>
        </w:rPr>
        <w:t>15</w:t>
      </w:r>
      <w:r w:rsidRPr="00B27B47">
        <w:rPr>
          <w:rFonts w:ascii="Book Antiqua" w:eastAsia="SimSun" w:hAnsi="Book Antiqua" w:cs="SimSun"/>
          <w:sz w:val="24"/>
          <w:szCs w:val="24"/>
          <w:lang w:val="en-US" w:eastAsia="zh-CN"/>
        </w:rPr>
        <w:t>: 1792-1797 [PMID: 19938140 DOI: 10.1002/lt.21920]</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3</w:t>
      </w:r>
      <w:r w:rsidRPr="00B27B47">
        <w:rPr>
          <w:rFonts w:ascii="Book Antiqua" w:eastAsia="SimSun" w:hAnsi="Book Antiqua" w:cs="SimSun" w:hint="eastAsia"/>
          <w:sz w:val="24"/>
          <w:szCs w:val="24"/>
          <w:lang w:val="en-US" w:eastAsia="zh-CN"/>
        </w:rPr>
        <w:t>5</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Mártinez JM</w:t>
      </w:r>
      <w:r w:rsidRPr="00B27B47">
        <w:rPr>
          <w:rFonts w:ascii="Book Antiqua" w:eastAsia="SimSun" w:hAnsi="Book Antiqua" w:cs="SimSun"/>
          <w:sz w:val="24"/>
          <w:szCs w:val="24"/>
          <w:lang w:val="en-US" w:eastAsia="zh-CN"/>
        </w:rPr>
        <w:t xml:space="preserve">, Pulido LB, Bellido CB, Usero DD, Aguilar LT, Moreno JL, Artacho GS, Díez-Canedo JS, Gómez LM, Bravo MA. Rescue immunosuppression with mammalian target of rapamycin inhibitor drugs in liver transplantation. </w:t>
      </w:r>
      <w:r w:rsidRPr="00B27B47">
        <w:rPr>
          <w:rFonts w:ascii="Book Antiqua" w:eastAsia="SimSun" w:hAnsi="Book Antiqua" w:cs="SimSun"/>
          <w:i/>
          <w:iCs/>
          <w:sz w:val="24"/>
          <w:szCs w:val="24"/>
          <w:lang w:val="en-US" w:eastAsia="zh-CN"/>
        </w:rPr>
        <w:t>Transplant Proc</w:t>
      </w:r>
      <w:r w:rsidRPr="00B27B47">
        <w:rPr>
          <w:rFonts w:ascii="Book Antiqua" w:eastAsia="SimSun" w:hAnsi="Book Antiqua" w:cs="SimSun"/>
          <w:sz w:val="24"/>
          <w:szCs w:val="24"/>
          <w:lang w:val="en-US" w:eastAsia="zh-CN"/>
        </w:rPr>
        <w:t xml:space="preserve"> 2010; </w:t>
      </w:r>
      <w:r w:rsidRPr="00B27B47">
        <w:rPr>
          <w:rFonts w:ascii="Book Antiqua" w:eastAsia="SimSun" w:hAnsi="Book Antiqua" w:cs="SimSun"/>
          <w:b/>
          <w:bCs/>
          <w:sz w:val="24"/>
          <w:szCs w:val="24"/>
          <w:lang w:val="en-US" w:eastAsia="zh-CN"/>
        </w:rPr>
        <w:t>42</w:t>
      </w:r>
      <w:r w:rsidRPr="00B27B47">
        <w:rPr>
          <w:rFonts w:ascii="Book Antiqua" w:eastAsia="SimSun" w:hAnsi="Book Antiqua" w:cs="SimSun"/>
          <w:sz w:val="24"/>
          <w:szCs w:val="24"/>
          <w:lang w:val="en-US" w:eastAsia="zh-CN"/>
        </w:rPr>
        <w:t>: 641-643 [PMID: 20304212 DOI: 10.1016/j.transproceed.2010.02.011]</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3</w:t>
      </w:r>
      <w:r w:rsidRPr="00B27B47">
        <w:rPr>
          <w:rFonts w:ascii="Book Antiqua" w:eastAsia="SimSun" w:hAnsi="Book Antiqua" w:cs="SimSun" w:hint="eastAsia"/>
          <w:sz w:val="24"/>
          <w:szCs w:val="24"/>
          <w:lang w:val="en-US" w:eastAsia="zh-CN"/>
        </w:rPr>
        <w:t>6</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Saliba F</w:t>
      </w:r>
      <w:r w:rsidRPr="00B27B47">
        <w:rPr>
          <w:rFonts w:ascii="Book Antiqua" w:eastAsia="SimSun" w:hAnsi="Book Antiqua" w:cs="SimSun"/>
          <w:sz w:val="24"/>
          <w:szCs w:val="24"/>
          <w:lang w:val="en-US" w:eastAsia="zh-CN"/>
        </w:rPr>
        <w:t xml:space="preserve">, Dharancy S, Lorho R, Conti F, Radenne S, Neau-Cransac M, Hurtova M, Hardwigsen J, Calmus Y, Dumortier J. Conversion to everolimus in maintenance liver transplant patients: a multicenter, retrospective analysis. </w:t>
      </w:r>
      <w:r w:rsidRPr="00B27B47">
        <w:rPr>
          <w:rFonts w:ascii="Book Antiqua" w:eastAsia="SimSun" w:hAnsi="Book Antiqua" w:cs="SimSun"/>
          <w:i/>
          <w:iCs/>
          <w:sz w:val="24"/>
          <w:szCs w:val="24"/>
          <w:lang w:val="en-US" w:eastAsia="zh-CN"/>
        </w:rPr>
        <w:t>Liver Transpl</w:t>
      </w:r>
      <w:r w:rsidRPr="00B27B47">
        <w:rPr>
          <w:rFonts w:ascii="Book Antiqua" w:eastAsia="SimSun" w:hAnsi="Book Antiqua" w:cs="SimSun"/>
          <w:sz w:val="24"/>
          <w:szCs w:val="24"/>
          <w:lang w:val="en-US" w:eastAsia="zh-CN"/>
        </w:rPr>
        <w:t xml:space="preserve"> 2011; </w:t>
      </w:r>
      <w:r w:rsidRPr="00B27B47">
        <w:rPr>
          <w:rFonts w:ascii="Book Antiqua" w:eastAsia="SimSun" w:hAnsi="Book Antiqua" w:cs="SimSun"/>
          <w:b/>
          <w:bCs/>
          <w:sz w:val="24"/>
          <w:szCs w:val="24"/>
          <w:lang w:val="en-US" w:eastAsia="zh-CN"/>
        </w:rPr>
        <w:t>17</w:t>
      </w:r>
      <w:r w:rsidRPr="00B27B47">
        <w:rPr>
          <w:rFonts w:ascii="Book Antiqua" w:eastAsia="SimSun" w:hAnsi="Book Antiqua" w:cs="SimSun"/>
          <w:sz w:val="24"/>
          <w:szCs w:val="24"/>
          <w:lang w:val="en-US" w:eastAsia="zh-CN"/>
        </w:rPr>
        <w:t>: 905-913 [PMID: 21384525 DOI: 10.1002/lt.22292]</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A32630">
        <w:rPr>
          <w:rFonts w:ascii="Book Antiqua" w:eastAsia="SimSun" w:hAnsi="Book Antiqua" w:cs="SimSun"/>
          <w:sz w:val="24"/>
          <w:szCs w:val="24"/>
          <w:lang w:val="es-ES_tradnl" w:eastAsia="zh-CN"/>
        </w:rPr>
        <w:t>3</w:t>
      </w:r>
      <w:r w:rsidRPr="00A32630">
        <w:rPr>
          <w:rFonts w:ascii="Book Antiqua" w:eastAsia="SimSun" w:hAnsi="Book Antiqua" w:cs="SimSun" w:hint="eastAsia"/>
          <w:sz w:val="24"/>
          <w:szCs w:val="24"/>
          <w:lang w:val="es-ES_tradnl" w:eastAsia="zh-CN"/>
        </w:rPr>
        <w:t>7</w:t>
      </w:r>
      <w:r w:rsidRPr="00A32630">
        <w:rPr>
          <w:rFonts w:ascii="Book Antiqua" w:eastAsia="SimSun" w:hAnsi="Book Antiqua" w:cs="SimSun"/>
          <w:sz w:val="24"/>
          <w:szCs w:val="24"/>
          <w:lang w:val="es-ES_tradnl" w:eastAsia="zh-CN"/>
        </w:rPr>
        <w:t xml:space="preserve"> </w:t>
      </w:r>
      <w:r w:rsidRPr="00A32630">
        <w:rPr>
          <w:rFonts w:ascii="Book Antiqua" w:eastAsia="SimSun" w:hAnsi="Book Antiqua" w:cs="SimSun"/>
          <w:b/>
          <w:bCs/>
          <w:sz w:val="24"/>
          <w:szCs w:val="24"/>
          <w:lang w:val="es-ES_tradnl" w:eastAsia="zh-CN"/>
        </w:rPr>
        <w:t>Bagdade JD</w:t>
      </w:r>
      <w:r w:rsidRPr="00A32630">
        <w:rPr>
          <w:rFonts w:ascii="Book Antiqua" w:eastAsia="SimSun" w:hAnsi="Book Antiqua" w:cs="SimSun"/>
          <w:sz w:val="24"/>
          <w:szCs w:val="24"/>
          <w:lang w:val="es-ES_tradnl" w:eastAsia="zh-CN"/>
        </w:rPr>
        <w:t xml:space="preserve">, Porte D, Bierman EL. </w:t>
      </w:r>
      <w:r w:rsidRPr="00B27B47">
        <w:rPr>
          <w:rFonts w:ascii="Book Antiqua" w:eastAsia="SimSun" w:hAnsi="Book Antiqua" w:cs="SimSun"/>
          <w:sz w:val="24"/>
          <w:szCs w:val="24"/>
          <w:lang w:val="en-US" w:eastAsia="zh-CN"/>
        </w:rPr>
        <w:t xml:space="preserve">Steroid-induced lipemia. A complication of high-dosage corticosteroid therapy. </w:t>
      </w:r>
      <w:r w:rsidRPr="00B27B47">
        <w:rPr>
          <w:rFonts w:ascii="Book Antiqua" w:eastAsia="SimSun" w:hAnsi="Book Antiqua" w:cs="SimSun"/>
          <w:i/>
          <w:iCs/>
          <w:sz w:val="24"/>
          <w:szCs w:val="24"/>
          <w:lang w:val="en-US" w:eastAsia="zh-CN"/>
        </w:rPr>
        <w:t>Arch Intern Med</w:t>
      </w:r>
      <w:r w:rsidRPr="00B27B47">
        <w:rPr>
          <w:rFonts w:ascii="Book Antiqua" w:eastAsia="SimSun" w:hAnsi="Book Antiqua" w:cs="SimSun"/>
          <w:sz w:val="24"/>
          <w:szCs w:val="24"/>
          <w:lang w:val="en-US" w:eastAsia="zh-CN"/>
        </w:rPr>
        <w:t xml:space="preserve"> 1970; </w:t>
      </w:r>
      <w:r w:rsidRPr="00B27B47">
        <w:rPr>
          <w:rFonts w:ascii="Book Antiqua" w:eastAsia="SimSun" w:hAnsi="Book Antiqua" w:cs="SimSun"/>
          <w:b/>
          <w:bCs/>
          <w:sz w:val="24"/>
          <w:szCs w:val="24"/>
          <w:lang w:val="en-US" w:eastAsia="zh-CN"/>
        </w:rPr>
        <w:t>125</w:t>
      </w:r>
      <w:r w:rsidRPr="00B27B47">
        <w:rPr>
          <w:rFonts w:ascii="Book Antiqua" w:eastAsia="SimSun" w:hAnsi="Book Antiqua" w:cs="SimSun"/>
          <w:sz w:val="24"/>
          <w:szCs w:val="24"/>
          <w:lang w:val="en-US" w:eastAsia="zh-CN"/>
        </w:rPr>
        <w:t>: 129-134 [PMID: 5410646 DOI: 10.1001/archinte.1970.00310010131015]</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3</w:t>
      </w:r>
      <w:r w:rsidRPr="00B27B47">
        <w:rPr>
          <w:rFonts w:ascii="Book Antiqua" w:eastAsia="SimSun" w:hAnsi="Book Antiqua" w:cs="SimSun" w:hint="eastAsia"/>
          <w:sz w:val="24"/>
          <w:szCs w:val="24"/>
          <w:lang w:val="en-US" w:eastAsia="zh-CN"/>
        </w:rPr>
        <w:t>8</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Berg AL</w:t>
      </w:r>
      <w:r w:rsidRPr="00B27B47">
        <w:rPr>
          <w:rFonts w:ascii="Book Antiqua" w:eastAsia="SimSun" w:hAnsi="Book Antiqua" w:cs="SimSun"/>
          <w:sz w:val="24"/>
          <w:szCs w:val="24"/>
          <w:lang w:val="en-US" w:eastAsia="zh-CN"/>
        </w:rPr>
        <w:t xml:space="preserve">, Nilsson-Ehle P. ACTH lowers serum lipids in steroid-treated hyperlipemic patients with kidney disease. </w:t>
      </w:r>
      <w:r w:rsidRPr="00B27B47">
        <w:rPr>
          <w:rFonts w:ascii="Book Antiqua" w:eastAsia="SimSun" w:hAnsi="Book Antiqua" w:cs="SimSun"/>
          <w:i/>
          <w:iCs/>
          <w:sz w:val="24"/>
          <w:szCs w:val="24"/>
          <w:lang w:val="en-US" w:eastAsia="zh-CN"/>
        </w:rPr>
        <w:t>Kidney Int</w:t>
      </w:r>
      <w:r w:rsidRPr="00B27B47">
        <w:rPr>
          <w:rFonts w:ascii="Book Antiqua" w:eastAsia="SimSun" w:hAnsi="Book Antiqua" w:cs="SimSun"/>
          <w:sz w:val="24"/>
          <w:szCs w:val="24"/>
          <w:lang w:val="en-US" w:eastAsia="zh-CN"/>
        </w:rPr>
        <w:t xml:space="preserve"> 1996; </w:t>
      </w:r>
      <w:r w:rsidRPr="00B27B47">
        <w:rPr>
          <w:rFonts w:ascii="Book Antiqua" w:eastAsia="SimSun" w:hAnsi="Book Antiqua" w:cs="SimSun"/>
          <w:b/>
          <w:bCs/>
          <w:sz w:val="24"/>
          <w:szCs w:val="24"/>
          <w:lang w:val="en-US" w:eastAsia="zh-CN"/>
        </w:rPr>
        <w:t>50</w:t>
      </w:r>
      <w:r w:rsidRPr="00B27B47">
        <w:rPr>
          <w:rFonts w:ascii="Book Antiqua" w:eastAsia="SimSun" w:hAnsi="Book Antiqua" w:cs="SimSun"/>
          <w:sz w:val="24"/>
          <w:szCs w:val="24"/>
          <w:lang w:val="en-US" w:eastAsia="zh-CN"/>
        </w:rPr>
        <w:t>: 538-542 [PMID: 8840283 DOI: 10.1038/ki.1996.346]</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hint="eastAsia"/>
          <w:sz w:val="24"/>
          <w:szCs w:val="24"/>
          <w:lang w:val="en-US" w:eastAsia="zh-CN"/>
        </w:rPr>
        <w:t>39</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Hricik DE</w:t>
      </w:r>
      <w:r w:rsidRPr="00B27B47">
        <w:rPr>
          <w:rFonts w:ascii="Book Antiqua" w:eastAsia="SimSun" w:hAnsi="Book Antiqua" w:cs="SimSun"/>
          <w:sz w:val="24"/>
          <w:szCs w:val="24"/>
          <w:lang w:val="en-US" w:eastAsia="zh-CN"/>
        </w:rPr>
        <w:t xml:space="preserve">, Mayes JT, Schulak JA. Independent effects of cyclosporine and prednisone on posttransplant hypercholesterolemia. </w:t>
      </w:r>
      <w:r w:rsidRPr="00B27B47">
        <w:rPr>
          <w:rFonts w:ascii="Book Antiqua" w:eastAsia="SimSun" w:hAnsi="Book Antiqua" w:cs="SimSun"/>
          <w:i/>
          <w:iCs/>
          <w:sz w:val="24"/>
          <w:szCs w:val="24"/>
          <w:lang w:val="en-US" w:eastAsia="zh-CN"/>
        </w:rPr>
        <w:t>Am J Kidney Dis</w:t>
      </w:r>
      <w:r w:rsidRPr="00B27B47">
        <w:rPr>
          <w:rFonts w:ascii="Book Antiqua" w:eastAsia="SimSun" w:hAnsi="Book Antiqua" w:cs="SimSun"/>
          <w:sz w:val="24"/>
          <w:szCs w:val="24"/>
          <w:lang w:val="en-US" w:eastAsia="zh-CN"/>
        </w:rPr>
        <w:t xml:space="preserve"> 1991; </w:t>
      </w:r>
      <w:r w:rsidRPr="00B27B47">
        <w:rPr>
          <w:rFonts w:ascii="Book Antiqua" w:eastAsia="SimSun" w:hAnsi="Book Antiqua" w:cs="SimSun"/>
          <w:b/>
          <w:bCs/>
          <w:sz w:val="24"/>
          <w:szCs w:val="24"/>
          <w:lang w:val="en-US" w:eastAsia="zh-CN"/>
        </w:rPr>
        <w:t>18</w:t>
      </w:r>
      <w:r w:rsidRPr="00B27B47">
        <w:rPr>
          <w:rFonts w:ascii="Book Antiqua" w:eastAsia="SimSun" w:hAnsi="Book Antiqua" w:cs="SimSun"/>
          <w:sz w:val="24"/>
          <w:szCs w:val="24"/>
          <w:lang w:val="en-US" w:eastAsia="zh-CN"/>
        </w:rPr>
        <w:t>: 353-358 [PMID: 1882828 DOI: 10.1016/S0272-6386(12)80095-3]</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0</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Artz MA</w:t>
      </w:r>
      <w:r w:rsidRPr="00B27B47">
        <w:rPr>
          <w:rFonts w:ascii="Book Antiqua" w:eastAsia="SimSun" w:hAnsi="Book Antiqua" w:cs="SimSun"/>
          <w:sz w:val="24"/>
          <w:szCs w:val="24"/>
          <w:lang w:val="en-US" w:eastAsia="zh-CN"/>
        </w:rPr>
        <w:t xml:space="preserve">, Boots JM, Ligtenberg G, Roodnat JI, Christiaans MH, Vos PF, Blom HJ, Sweep FC, Demacker PN, Hilbrands LB. Improved cardiovascular risk profile and renal function in renal transplant patients after randomized conversion from cyclosporine to tacrolimus. </w:t>
      </w:r>
      <w:r w:rsidRPr="00B27B47">
        <w:rPr>
          <w:rFonts w:ascii="Book Antiqua" w:eastAsia="SimSun" w:hAnsi="Book Antiqua" w:cs="SimSun"/>
          <w:i/>
          <w:iCs/>
          <w:sz w:val="24"/>
          <w:szCs w:val="24"/>
          <w:lang w:val="en-US" w:eastAsia="zh-CN"/>
        </w:rPr>
        <w:t>J Am Soc Nephrol</w:t>
      </w:r>
      <w:r w:rsidRPr="00B27B47">
        <w:rPr>
          <w:rFonts w:ascii="Book Antiqua" w:eastAsia="SimSun" w:hAnsi="Book Antiqua" w:cs="SimSun"/>
          <w:sz w:val="24"/>
          <w:szCs w:val="24"/>
          <w:lang w:val="en-US" w:eastAsia="zh-CN"/>
        </w:rPr>
        <w:t xml:space="preserve"> 2003; </w:t>
      </w:r>
      <w:r w:rsidRPr="00B27B47">
        <w:rPr>
          <w:rFonts w:ascii="Book Antiqua" w:eastAsia="SimSun" w:hAnsi="Book Antiqua" w:cs="SimSun"/>
          <w:b/>
          <w:bCs/>
          <w:sz w:val="24"/>
          <w:szCs w:val="24"/>
          <w:lang w:val="en-US" w:eastAsia="zh-CN"/>
        </w:rPr>
        <w:t>14</w:t>
      </w:r>
      <w:r w:rsidRPr="00B27B47">
        <w:rPr>
          <w:rFonts w:ascii="Book Antiqua" w:eastAsia="SimSun" w:hAnsi="Book Antiqua" w:cs="SimSun"/>
          <w:sz w:val="24"/>
          <w:szCs w:val="24"/>
          <w:lang w:val="en-US" w:eastAsia="zh-CN"/>
        </w:rPr>
        <w:t>: 1880-1888 [PMID: 12819249 DOI: 10.1097/01.ASN.0000071515.27754.67]</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lastRenderedPageBreak/>
        <w:t>4</w:t>
      </w:r>
      <w:r w:rsidRPr="00B27B47">
        <w:rPr>
          <w:rFonts w:ascii="Book Antiqua" w:eastAsia="SimSun" w:hAnsi="Book Antiqua" w:cs="SimSun" w:hint="eastAsia"/>
          <w:sz w:val="24"/>
          <w:szCs w:val="24"/>
          <w:lang w:val="en-US" w:eastAsia="zh-CN"/>
        </w:rPr>
        <w:t>1</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Morrisett JD</w:t>
      </w:r>
      <w:r w:rsidRPr="00B27B47">
        <w:rPr>
          <w:rFonts w:ascii="Book Antiqua" w:eastAsia="SimSun" w:hAnsi="Book Antiqua" w:cs="SimSun"/>
          <w:sz w:val="24"/>
          <w:szCs w:val="24"/>
          <w:lang w:val="en-US" w:eastAsia="zh-CN"/>
        </w:rPr>
        <w:t xml:space="preserve">, Abdel-Fattah G, Kahan BD. Sirolimus changes lipid concentrations and lipoprotein metabolism in kidney transplant recipients. </w:t>
      </w:r>
      <w:r w:rsidRPr="00B27B47">
        <w:rPr>
          <w:rFonts w:ascii="Book Antiqua" w:eastAsia="SimSun" w:hAnsi="Book Antiqua" w:cs="SimSun"/>
          <w:i/>
          <w:iCs/>
          <w:sz w:val="24"/>
          <w:szCs w:val="24"/>
          <w:lang w:val="en-US" w:eastAsia="zh-CN"/>
        </w:rPr>
        <w:t>Transplant Proc</w:t>
      </w:r>
      <w:r w:rsidRPr="00B27B47">
        <w:rPr>
          <w:rFonts w:ascii="Book Antiqua" w:eastAsia="SimSun" w:hAnsi="Book Antiqua" w:cs="SimSun"/>
          <w:sz w:val="24"/>
          <w:szCs w:val="24"/>
          <w:lang w:val="en-US" w:eastAsia="zh-CN"/>
        </w:rPr>
        <w:t xml:space="preserve"> 2003; </w:t>
      </w:r>
      <w:r w:rsidRPr="00B27B47">
        <w:rPr>
          <w:rFonts w:ascii="Book Antiqua" w:eastAsia="SimSun" w:hAnsi="Book Antiqua" w:cs="SimSun"/>
          <w:b/>
          <w:bCs/>
          <w:sz w:val="24"/>
          <w:szCs w:val="24"/>
          <w:lang w:val="en-US" w:eastAsia="zh-CN"/>
        </w:rPr>
        <w:t>35</w:t>
      </w:r>
      <w:r w:rsidRPr="00B27B47">
        <w:rPr>
          <w:rFonts w:ascii="Book Antiqua" w:eastAsia="SimSun" w:hAnsi="Book Antiqua" w:cs="SimSun"/>
          <w:sz w:val="24"/>
          <w:szCs w:val="24"/>
          <w:lang w:val="en-US" w:eastAsia="zh-CN"/>
        </w:rPr>
        <w:t>: 143S-150S [PMID: 12742487 DOI: 10.1016/S0041-1345(03)00233-1]</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2</w:t>
      </w:r>
      <w:r w:rsidRPr="00B27B47">
        <w:rPr>
          <w:rFonts w:ascii="Book Antiqua" w:eastAsia="SimSun" w:hAnsi="Book Antiqua" w:cs="SimSun"/>
          <w:b/>
          <w:sz w:val="24"/>
          <w:szCs w:val="24"/>
          <w:lang w:val="en-US" w:eastAsia="zh-CN"/>
        </w:rPr>
        <w:t xml:space="preserve"> Ganten T</w:t>
      </w:r>
      <w:r w:rsidRPr="00B27B47">
        <w:rPr>
          <w:rFonts w:ascii="Book Antiqua" w:eastAsia="SimSun" w:hAnsi="Book Antiqua" w:cs="SimSun"/>
          <w:sz w:val="24"/>
          <w:szCs w:val="24"/>
          <w:lang w:val="en-US" w:eastAsia="zh-CN"/>
        </w:rPr>
        <w:t>, Schlitt HJ, Witzke O, Schmidt H. Management einer Everolimus-basierten Therapie nach Lebertransplantation. Thieme Praxis Report</w:t>
      </w:r>
      <w:r w:rsidRPr="00B27B47">
        <w:rPr>
          <w:rFonts w:ascii="Book Antiqua" w:eastAsia="SimSun" w:hAnsi="Book Antiqua" w:cs="SimSun" w:hint="eastAsia"/>
          <w:sz w:val="24"/>
          <w:szCs w:val="24"/>
          <w:lang w:val="en-US" w:eastAsia="zh-CN"/>
        </w:rPr>
        <w:t>.</w:t>
      </w:r>
      <w:r w:rsidRPr="00B27B47">
        <w:rPr>
          <w:rFonts w:ascii="Book Antiqua" w:eastAsia="SimSun" w:hAnsi="Book Antiqua" w:cs="SimSun"/>
          <w:sz w:val="24"/>
          <w:szCs w:val="24"/>
          <w:lang w:val="en-US" w:eastAsia="zh-CN"/>
        </w:rPr>
        <w:t xml:space="preserve"> Stuttgart, Germany</w:t>
      </w:r>
      <w:r w:rsidRPr="00B27B47">
        <w:rPr>
          <w:rFonts w:ascii="Book Antiqua" w:eastAsia="SimSun" w:hAnsi="Book Antiqua" w:cs="SimSun" w:hint="eastAsia"/>
          <w:sz w:val="24"/>
          <w:szCs w:val="24"/>
          <w:lang w:val="en-US" w:eastAsia="zh-CN"/>
        </w:rPr>
        <w:t>.</w:t>
      </w:r>
      <w:r w:rsidRPr="00B27B47">
        <w:rPr>
          <w:rFonts w:ascii="Book Antiqua" w:eastAsia="SimSun" w:hAnsi="Book Antiqua" w:cs="SimSun"/>
          <w:sz w:val="24"/>
          <w:szCs w:val="24"/>
          <w:lang w:val="en-US" w:eastAsia="zh-CN"/>
        </w:rPr>
        <w:t xml:space="preserve"> 2013</w:t>
      </w:r>
      <w:r w:rsidRPr="00B27B47">
        <w:rPr>
          <w:rFonts w:ascii="Book Antiqua" w:eastAsia="SimSun" w:hAnsi="Book Antiqua" w:cs="SimSun" w:hint="eastAsia"/>
          <w:sz w:val="24"/>
          <w:szCs w:val="24"/>
          <w:lang w:val="en-US" w:eastAsia="zh-CN"/>
        </w:rPr>
        <w:t xml:space="preserve">: </w:t>
      </w:r>
      <w:r w:rsidRPr="00B27B47">
        <w:rPr>
          <w:rFonts w:ascii="Book Antiqua" w:eastAsia="SimSun" w:hAnsi="Book Antiqua" w:cs="SimSun"/>
          <w:sz w:val="24"/>
          <w:szCs w:val="24"/>
          <w:lang w:val="en-US" w:eastAsia="zh-CN"/>
        </w:rPr>
        <w:t>1-12</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3</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Firpi RJ</w:t>
      </w:r>
      <w:r w:rsidRPr="00B27B47">
        <w:rPr>
          <w:rFonts w:ascii="Book Antiqua" w:eastAsia="SimSun" w:hAnsi="Book Antiqua" w:cs="SimSun"/>
          <w:sz w:val="24"/>
          <w:szCs w:val="24"/>
          <w:lang w:val="en-US" w:eastAsia="zh-CN"/>
        </w:rPr>
        <w:t xml:space="preserve">, Tran TT, Flores P, Nissen N, Colquhoun S, Shackleton C, Martin P, Vierling JM, Poordad FF. Sirolimus-induced hyperlipidaemia in liver transplant recipients is not dose-dependent. </w:t>
      </w:r>
      <w:r w:rsidRPr="00B27B47">
        <w:rPr>
          <w:rFonts w:ascii="Book Antiqua" w:eastAsia="SimSun" w:hAnsi="Book Antiqua" w:cs="SimSun"/>
          <w:i/>
          <w:iCs/>
          <w:sz w:val="24"/>
          <w:szCs w:val="24"/>
          <w:lang w:val="en-US" w:eastAsia="zh-CN"/>
        </w:rPr>
        <w:t>Aliment Pharmacol Ther</w:t>
      </w:r>
      <w:r w:rsidRPr="00B27B47">
        <w:rPr>
          <w:rFonts w:ascii="Book Antiqua" w:eastAsia="SimSun" w:hAnsi="Book Antiqua" w:cs="SimSun"/>
          <w:sz w:val="24"/>
          <w:szCs w:val="24"/>
          <w:lang w:val="en-US" w:eastAsia="zh-CN"/>
        </w:rPr>
        <w:t xml:space="preserve"> 2004; </w:t>
      </w:r>
      <w:r w:rsidRPr="00B27B47">
        <w:rPr>
          <w:rFonts w:ascii="Book Antiqua" w:eastAsia="SimSun" w:hAnsi="Book Antiqua" w:cs="SimSun"/>
          <w:b/>
          <w:bCs/>
          <w:sz w:val="24"/>
          <w:szCs w:val="24"/>
          <w:lang w:val="en-US" w:eastAsia="zh-CN"/>
        </w:rPr>
        <w:t>19</w:t>
      </w:r>
      <w:r w:rsidRPr="00B27B47">
        <w:rPr>
          <w:rFonts w:ascii="Book Antiqua" w:eastAsia="SimSun" w:hAnsi="Book Antiqua" w:cs="SimSun"/>
          <w:sz w:val="24"/>
          <w:szCs w:val="24"/>
          <w:lang w:val="en-US" w:eastAsia="zh-CN"/>
        </w:rPr>
        <w:t>: 1033-1039 [PMID: 15113371 DOI: 10.1111/j.1365-2036.2004.01923.x]</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4</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Lisik W</w:t>
      </w:r>
      <w:r w:rsidRPr="00B27B47">
        <w:rPr>
          <w:rFonts w:ascii="Book Antiqua" w:eastAsia="SimSun" w:hAnsi="Book Antiqua" w:cs="SimSun"/>
          <w:sz w:val="24"/>
          <w:szCs w:val="24"/>
          <w:lang w:val="en-US" w:eastAsia="zh-CN"/>
        </w:rPr>
        <w:t xml:space="preserve">, Schoenberg L, Lasky RE, Kahan BD. Statins benefit outcomes of renal transplant recipients on a sirolimus-cyclosporine regimen. </w:t>
      </w:r>
      <w:r w:rsidRPr="00B27B47">
        <w:rPr>
          <w:rFonts w:ascii="Book Antiqua" w:eastAsia="SimSun" w:hAnsi="Book Antiqua" w:cs="SimSun"/>
          <w:i/>
          <w:iCs/>
          <w:sz w:val="24"/>
          <w:szCs w:val="24"/>
          <w:lang w:val="en-US" w:eastAsia="zh-CN"/>
        </w:rPr>
        <w:t>Transplant Proc</w:t>
      </w:r>
      <w:r w:rsidRPr="00B27B47">
        <w:rPr>
          <w:rFonts w:ascii="Book Antiqua" w:eastAsia="SimSun" w:hAnsi="Book Antiqua" w:cs="SimSun"/>
          <w:sz w:val="24"/>
          <w:szCs w:val="24"/>
          <w:lang w:val="en-US" w:eastAsia="zh-CN"/>
        </w:rPr>
        <w:t xml:space="preserve"> 2007; </w:t>
      </w:r>
      <w:r w:rsidRPr="00B27B47">
        <w:rPr>
          <w:rFonts w:ascii="Book Antiqua" w:eastAsia="SimSun" w:hAnsi="Book Antiqua" w:cs="SimSun"/>
          <w:b/>
          <w:bCs/>
          <w:sz w:val="24"/>
          <w:szCs w:val="24"/>
          <w:lang w:val="en-US" w:eastAsia="zh-CN"/>
        </w:rPr>
        <w:t>39</w:t>
      </w:r>
      <w:r w:rsidRPr="00B27B47">
        <w:rPr>
          <w:rFonts w:ascii="Book Antiqua" w:eastAsia="SimSun" w:hAnsi="Book Antiqua" w:cs="SimSun"/>
          <w:sz w:val="24"/>
          <w:szCs w:val="24"/>
          <w:lang w:val="en-US" w:eastAsia="zh-CN"/>
        </w:rPr>
        <w:t>: 3086-3092 [PMID: 18089328 DOI: 10.1016/j.transproceed.2007.10.008]</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5</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Bays H</w:t>
      </w:r>
      <w:r w:rsidRPr="00B27B47">
        <w:rPr>
          <w:rFonts w:ascii="Book Antiqua" w:eastAsia="SimSun" w:hAnsi="Book Antiqua" w:cs="SimSun"/>
          <w:sz w:val="24"/>
          <w:szCs w:val="24"/>
          <w:lang w:val="en-US" w:eastAsia="zh-CN"/>
        </w:rPr>
        <w:t xml:space="preserve">, Cohen DE, Chalasani N, Harrison SA. An assessment by the Statin Liver Safety Task Force: 2014 update. </w:t>
      </w:r>
      <w:r w:rsidRPr="00B27B47">
        <w:rPr>
          <w:rFonts w:ascii="Book Antiqua" w:eastAsia="SimSun" w:hAnsi="Book Antiqua" w:cs="SimSun"/>
          <w:i/>
          <w:iCs/>
          <w:sz w:val="24"/>
          <w:szCs w:val="24"/>
          <w:lang w:val="en-US" w:eastAsia="zh-CN"/>
        </w:rPr>
        <w:t>J Clin Lipidol</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hint="eastAsia"/>
          <w:sz w:val="24"/>
          <w:szCs w:val="24"/>
          <w:lang w:val="en-US" w:eastAsia="zh-CN"/>
        </w:rPr>
        <w:t>2014</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8</w:t>
      </w:r>
      <w:r w:rsidRPr="00B27B47">
        <w:rPr>
          <w:rFonts w:ascii="Book Antiqua" w:eastAsia="SimSun" w:hAnsi="Book Antiqua" w:cs="SimSun"/>
          <w:sz w:val="24"/>
          <w:szCs w:val="24"/>
          <w:lang w:val="en-US" w:eastAsia="zh-CN"/>
        </w:rPr>
        <w:t>: S47-S57 [PMID: 24793441 DOI: 10.1016/j.jacl.2014.02.011]</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6</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Harris WS</w:t>
      </w:r>
      <w:r w:rsidRPr="00B27B47">
        <w:rPr>
          <w:rFonts w:ascii="Book Antiqua" w:eastAsia="SimSun" w:hAnsi="Book Antiqua" w:cs="SimSun"/>
          <w:sz w:val="24"/>
          <w:szCs w:val="24"/>
          <w:lang w:val="en-US" w:eastAsia="zh-CN"/>
        </w:rPr>
        <w:t xml:space="preserve">, Dayspring TD, Moran TJ. Omega-3 fatty acids and cardiovascular disease: new developments and applications. </w:t>
      </w:r>
      <w:r w:rsidRPr="00B27B47">
        <w:rPr>
          <w:rFonts w:ascii="Book Antiqua" w:eastAsia="SimSun" w:hAnsi="Book Antiqua" w:cs="SimSun"/>
          <w:i/>
          <w:iCs/>
          <w:sz w:val="24"/>
          <w:szCs w:val="24"/>
          <w:lang w:val="en-US" w:eastAsia="zh-CN"/>
        </w:rPr>
        <w:t>Postgrad Med</w:t>
      </w:r>
      <w:r w:rsidRPr="00B27B47">
        <w:rPr>
          <w:rFonts w:ascii="Book Antiqua" w:eastAsia="SimSun" w:hAnsi="Book Antiqua" w:cs="SimSun"/>
          <w:sz w:val="24"/>
          <w:szCs w:val="24"/>
          <w:lang w:val="en-US" w:eastAsia="zh-CN"/>
        </w:rPr>
        <w:t xml:space="preserve"> 2013; </w:t>
      </w:r>
      <w:r w:rsidRPr="00B27B47">
        <w:rPr>
          <w:rFonts w:ascii="Book Antiqua" w:eastAsia="SimSun" w:hAnsi="Book Antiqua" w:cs="SimSun"/>
          <w:b/>
          <w:bCs/>
          <w:sz w:val="24"/>
          <w:szCs w:val="24"/>
          <w:lang w:val="en-US" w:eastAsia="zh-CN"/>
        </w:rPr>
        <w:t>125</w:t>
      </w:r>
      <w:r w:rsidRPr="00B27B47">
        <w:rPr>
          <w:rFonts w:ascii="Book Antiqua" w:eastAsia="SimSun" w:hAnsi="Book Antiqua" w:cs="SimSun"/>
          <w:sz w:val="24"/>
          <w:szCs w:val="24"/>
          <w:lang w:val="en-US" w:eastAsia="zh-CN"/>
        </w:rPr>
        <w:t>: 100-113 [PMID: 24200766 DOI: 10.3810/pgm.2013.11.2717]</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7</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Graham I</w:t>
      </w:r>
      <w:r w:rsidRPr="00B27B47">
        <w:rPr>
          <w:rFonts w:ascii="Book Antiqua" w:eastAsia="SimSun" w:hAnsi="Book Antiqua" w:cs="SimSun"/>
          <w:sz w:val="24"/>
          <w:szCs w:val="24"/>
          <w:lang w:val="en-US" w:eastAsia="zh-CN"/>
        </w:rPr>
        <w:t xml:space="preserve">, Atar D, Borch-Johnsen K, Boysen G, Burell G, Cifkova R, Dallongeville J, De Backer G, Ebrahim S, Gjelsvik B, Herrmann-Lingen C, Hoes A, Humphries S, Knapton M, Perk J, Priori SG, Pyorala K, Reiner Z, Ruilope L, Sans-Menendez S, Op Reimer WS, Weissberg P, Wood D, Yarnell J, Zamorano JL, Walma E, Fitzgerald T, Cooney MT, Dudina A, Vahanian A, Camm J, De Caterina R, Dean V, Dickstein K, Funck-Brentano C, Filippatos G, Hellemans I, Kristensen SD, McGregor K, Sechtem U, Silber S, Tendera M, Widimsky P, Zamorano JL, Altiner A, Bonora E, Durrington PN, Fagard R, Giampaoli S, Hemingway H, Hakansson J, Kjeldsen SE, Larsen ML, Mancia G, Manolis AJ, Orth-Gomer K, Pedersen T, Rayner M, Ryden L, Sammut M, Schneiderman N, Stalenhoef AF, Tokgözoglu L, Wiklund O, Zampelas A. European guidelines on cardiovascular disease prevention in clinical practice: executive summary. Fourth Joint Task Force of the European Society of Cardiology and other societies on cardiovascular disease prevention in clinical practice (constituted by </w:t>
      </w:r>
      <w:r w:rsidRPr="00B27B47">
        <w:rPr>
          <w:rFonts w:ascii="Book Antiqua" w:eastAsia="SimSun" w:hAnsi="Book Antiqua" w:cs="SimSun"/>
          <w:sz w:val="24"/>
          <w:szCs w:val="24"/>
          <w:lang w:val="en-US" w:eastAsia="zh-CN"/>
        </w:rPr>
        <w:lastRenderedPageBreak/>
        <w:t xml:space="preserve">representatives of nine societies and by invited experts). </w:t>
      </w:r>
      <w:r w:rsidRPr="00B27B47">
        <w:rPr>
          <w:rFonts w:ascii="Book Antiqua" w:eastAsia="SimSun" w:hAnsi="Book Antiqua" w:cs="SimSun"/>
          <w:i/>
          <w:iCs/>
          <w:sz w:val="24"/>
          <w:szCs w:val="24"/>
          <w:lang w:val="en-US" w:eastAsia="zh-CN"/>
        </w:rPr>
        <w:t>Eur J Cardiovasc Prev Rehabil</w:t>
      </w:r>
      <w:r w:rsidRPr="00B27B47">
        <w:rPr>
          <w:rFonts w:ascii="Book Antiqua" w:eastAsia="SimSun" w:hAnsi="Book Antiqua" w:cs="SimSun"/>
          <w:sz w:val="24"/>
          <w:szCs w:val="24"/>
          <w:lang w:val="en-US" w:eastAsia="zh-CN"/>
        </w:rPr>
        <w:t xml:space="preserve"> 2007; </w:t>
      </w:r>
      <w:r w:rsidRPr="00B27B47">
        <w:rPr>
          <w:rFonts w:ascii="Book Antiqua" w:eastAsia="SimSun" w:hAnsi="Book Antiqua" w:cs="SimSun"/>
          <w:b/>
          <w:bCs/>
          <w:sz w:val="24"/>
          <w:szCs w:val="24"/>
          <w:lang w:val="en-US" w:eastAsia="zh-CN"/>
        </w:rPr>
        <w:t>14 Suppl 2</w:t>
      </w:r>
      <w:r w:rsidRPr="00B27B47">
        <w:rPr>
          <w:rFonts w:ascii="Book Antiqua" w:eastAsia="SimSun" w:hAnsi="Book Antiqua" w:cs="SimSun"/>
          <w:sz w:val="24"/>
          <w:szCs w:val="24"/>
          <w:lang w:val="en-US" w:eastAsia="zh-CN"/>
        </w:rPr>
        <w:t>: E1-40 [PMID: 17726406 DOI: 10.1097/01.hjr.0000277984.31558.c4]</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4</w:t>
      </w:r>
      <w:r w:rsidRPr="00B27B47">
        <w:rPr>
          <w:rFonts w:ascii="Book Antiqua" w:eastAsia="SimSun" w:hAnsi="Book Antiqua" w:cs="SimSun" w:hint="eastAsia"/>
          <w:sz w:val="24"/>
          <w:szCs w:val="24"/>
          <w:lang w:val="en-US" w:eastAsia="zh-CN"/>
        </w:rPr>
        <w:t>8</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Backes JM</w:t>
      </w:r>
      <w:r w:rsidRPr="00B27B47">
        <w:rPr>
          <w:rFonts w:ascii="Book Antiqua" w:eastAsia="SimSun" w:hAnsi="Book Antiqua" w:cs="SimSun"/>
          <w:sz w:val="24"/>
          <w:szCs w:val="24"/>
          <w:lang w:val="en-US" w:eastAsia="zh-CN"/>
        </w:rPr>
        <w:t xml:space="preserve">, Gibson CA, Howard PA. Optimal lipid modification: the rationale for combination therapy. </w:t>
      </w:r>
      <w:r w:rsidRPr="00B27B47">
        <w:rPr>
          <w:rFonts w:ascii="Book Antiqua" w:eastAsia="SimSun" w:hAnsi="Book Antiqua" w:cs="SimSun"/>
          <w:i/>
          <w:iCs/>
          <w:sz w:val="24"/>
          <w:szCs w:val="24"/>
          <w:lang w:val="en-US" w:eastAsia="zh-CN"/>
        </w:rPr>
        <w:t>Vasc Health Risk Manag</w:t>
      </w:r>
      <w:r w:rsidRPr="00B27B47">
        <w:rPr>
          <w:rFonts w:ascii="Book Antiqua" w:eastAsia="SimSun" w:hAnsi="Book Antiqua" w:cs="SimSun"/>
          <w:sz w:val="24"/>
          <w:szCs w:val="24"/>
          <w:lang w:val="en-US" w:eastAsia="zh-CN"/>
        </w:rPr>
        <w:t xml:space="preserve"> 2005; </w:t>
      </w:r>
      <w:r w:rsidRPr="00B27B47">
        <w:rPr>
          <w:rFonts w:ascii="Book Antiqua" w:eastAsia="SimSun" w:hAnsi="Book Antiqua" w:cs="SimSun"/>
          <w:b/>
          <w:bCs/>
          <w:sz w:val="24"/>
          <w:szCs w:val="24"/>
          <w:lang w:val="en-US" w:eastAsia="zh-CN"/>
        </w:rPr>
        <w:t>1</w:t>
      </w:r>
      <w:r w:rsidRPr="00B27B47">
        <w:rPr>
          <w:rFonts w:ascii="Book Antiqua" w:eastAsia="SimSun" w:hAnsi="Book Antiqua" w:cs="SimSun"/>
          <w:sz w:val="24"/>
          <w:szCs w:val="24"/>
          <w:lang w:val="en-US" w:eastAsia="zh-CN"/>
        </w:rPr>
        <w:t>: 317-331 [PMID: 17315604 DOI: 10.2147/vhrm.2005.1.4.317]</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hint="eastAsia"/>
          <w:sz w:val="24"/>
          <w:szCs w:val="24"/>
          <w:lang w:val="en-US" w:eastAsia="zh-CN"/>
        </w:rPr>
        <w:t>49</w:t>
      </w:r>
      <w:r w:rsidRPr="00B27B47">
        <w:rPr>
          <w:rFonts w:ascii="Book Antiqua" w:eastAsia="SimSun" w:hAnsi="Book Antiqua" w:cs="SimSun"/>
          <w:sz w:val="24"/>
          <w:szCs w:val="24"/>
          <w:lang w:val="en-US" w:eastAsia="zh-CN"/>
        </w:rPr>
        <w:t xml:space="preserve"> </w:t>
      </w:r>
      <w:r w:rsidRPr="00295E51">
        <w:rPr>
          <w:rFonts w:ascii="Book Antiqua" w:eastAsia="SimSun" w:hAnsi="Book Antiqua" w:cs="SimSun"/>
          <w:b/>
          <w:sz w:val="24"/>
          <w:szCs w:val="24"/>
          <w:lang w:val="en-US" w:eastAsia="zh-CN"/>
        </w:rPr>
        <w:t>Schmidt H</w:t>
      </w:r>
      <w:r w:rsidRPr="00B27B47">
        <w:rPr>
          <w:rFonts w:ascii="Book Antiqua" w:eastAsia="SimSun" w:hAnsi="Book Antiqua" w:cs="SimSun"/>
          <w:sz w:val="24"/>
          <w:szCs w:val="24"/>
          <w:lang w:val="en-US" w:eastAsia="zh-CN"/>
        </w:rPr>
        <w:t>. Lipidmanagement nach Lebertransplantation. Thieme Praxis Report, Stu</w:t>
      </w:r>
      <w:r w:rsidR="008D1801">
        <w:rPr>
          <w:rFonts w:ascii="Book Antiqua" w:eastAsia="SimSun" w:hAnsi="Book Antiqua" w:cs="SimSun"/>
          <w:sz w:val="24"/>
          <w:szCs w:val="24"/>
          <w:lang w:val="en-US" w:eastAsia="zh-CN"/>
        </w:rPr>
        <w:t>ttgart, Germany</w:t>
      </w:r>
      <w:r w:rsidR="008D1801">
        <w:rPr>
          <w:rFonts w:ascii="Book Antiqua" w:eastAsia="SimSun" w:hAnsi="Book Antiqua" w:cs="SimSun" w:hint="eastAsia"/>
          <w:sz w:val="24"/>
          <w:szCs w:val="24"/>
          <w:lang w:val="en-US" w:eastAsia="zh-CN"/>
        </w:rPr>
        <w:t>.</w:t>
      </w:r>
      <w:r w:rsidR="008D1801">
        <w:rPr>
          <w:rFonts w:ascii="Book Antiqua" w:eastAsia="SimSun" w:hAnsi="Book Antiqua" w:cs="SimSun"/>
          <w:sz w:val="24"/>
          <w:szCs w:val="24"/>
          <w:lang w:val="en-US" w:eastAsia="zh-CN"/>
        </w:rPr>
        <w:t xml:space="preserve"> 2013</w:t>
      </w:r>
      <w:r w:rsidR="008D1801">
        <w:rPr>
          <w:rFonts w:ascii="Book Antiqua" w:eastAsia="SimSun" w:hAnsi="Book Antiqua" w:cs="SimSun" w:hint="eastAsia"/>
          <w:sz w:val="24"/>
          <w:szCs w:val="24"/>
          <w:lang w:val="en-US" w:eastAsia="zh-CN"/>
        </w:rPr>
        <w:t>:</w:t>
      </w:r>
      <w:r w:rsidR="008D1801">
        <w:rPr>
          <w:rFonts w:ascii="Book Antiqua" w:eastAsia="SimSun" w:hAnsi="Book Antiqua" w:cs="SimSun"/>
          <w:sz w:val="24"/>
          <w:szCs w:val="24"/>
          <w:lang w:val="en-US" w:eastAsia="zh-CN"/>
        </w:rPr>
        <w:t xml:space="preserve"> 1-11</w:t>
      </w:r>
    </w:p>
    <w:p w:rsidR="00751D25" w:rsidRPr="00B27B47" w:rsidRDefault="00751D25" w:rsidP="00751D25">
      <w:pPr>
        <w:spacing w:after="0" w:line="360" w:lineRule="auto"/>
        <w:jc w:val="both"/>
        <w:rPr>
          <w:rFonts w:ascii="Book Antiqua" w:eastAsia="SimSun" w:hAnsi="Book Antiqua" w:cs="SimSun"/>
          <w:sz w:val="24"/>
          <w:szCs w:val="24"/>
          <w:lang w:val="en-US" w:eastAsia="zh-CN"/>
        </w:rPr>
      </w:pPr>
      <w:r w:rsidRPr="00B27B47">
        <w:rPr>
          <w:rFonts w:ascii="Book Antiqua" w:eastAsia="SimSun" w:hAnsi="Book Antiqua" w:cs="SimSun"/>
          <w:sz w:val="24"/>
          <w:szCs w:val="24"/>
          <w:lang w:val="en-US" w:eastAsia="zh-CN"/>
        </w:rPr>
        <w:t>5</w:t>
      </w:r>
      <w:r w:rsidRPr="00B27B47">
        <w:rPr>
          <w:rFonts w:ascii="Book Antiqua" w:eastAsia="SimSun" w:hAnsi="Book Antiqua" w:cs="SimSun" w:hint="eastAsia"/>
          <w:sz w:val="24"/>
          <w:szCs w:val="24"/>
          <w:lang w:val="en-US" w:eastAsia="zh-CN"/>
        </w:rPr>
        <w:t>0</w:t>
      </w:r>
      <w:r w:rsidRPr="00B27B47">
        <w:rPr>
          <w:rFonts w:ascii="Book Antiqua" w:eastAsia="SimSun" w:hAnsi="Book Antiqua" w:cs="SimSun"/>
          <w:sz w:val="24"/>
          <w:szCs w:val="24"/>
          <w:lang w:val="en-US" w:eastAsia="zh-CN"/>
        </w:rPr>
        <w:t xml:space="preserve"> </w:t>
      </w:r>
      <w:r w:rsidRPr="00B27B47">
        <w:rPr>
          <w:rFonts w:ascii="Book Antiqua" w:eastAsia="SimSun" w:hAnsi="Book Antiqua" w:cs="SimSun"/>
          <w:b/>
          <w:bCs/>
          <w:sz w:val="24"/>
          <w:szCs w:val="24"/>
          <w:lang w:val="en-US" w:eastAsia="zh-CN"/>
        </w:rPr>
        <w:t>Almutairi F</w:t>
      </w:r>
      <w:r w:rsidRPr="00B27B47">
        <w:rPr>
          <w:rFonts w:ascii="Book Antiqua" w:eastAsia="SimSun" w:hAnsi="Book Antiqua" w:cs="SimSun"/>
          <w:sz w:val="24"/>
          <w:szCs w:val="24"/>
          <w:lang w:val="en-US" w:eastAsia="zh-CN"/>
        </w:rPr>
        <w:t xml:space="preserve">, Peterson TC, Molinari M, Walsh MJ, Alwayn I, Peltekian KM. Safety and effectiveness of ezetimibe in liver transplant recipients with hypercholesterolemia. </w:t>
      </w:r>
      <w:r w:rsidRPr="00B27B47">
        <w:rPr>
          <w:rFonts w:ascii="Book Antiqua" w:eastAsia="SimSun" w:hAnsi="Book Antiqua" w:cs="SimSun"/>
          <w:i/>
          <w:iCs/>
          <w:sz w:val="24"/>
          <w:szCs w:val="24"/>
          <w:lang w:val="en-US" w:eastAsia="zh-CN"/>
        </w:rPr>
        <w:t>Liver Transpl</w:t>
      </w:r>
      <w:r w:rsidRPr="00B27B47">
        <w:rPr>
          <w:rFonts w:ascii="Book Antiqua" w:eastAsia="SimSun" w:hAnsi="Book Antiqua" w:cs="SimSun"/>
          <w:sz w:val="24"/>
          <w:szCs w:val="24"/>
          <w:lang w:val="en-US" w:eastAsia="zh-CN"/>
        </w:rPr>
        <w:t xml:space="preserve"> 2009; </w:t>
      </w:r>
      <w:r w:rsidRPr="00B27B47">
        <w:rPr>
          <w:rFonts w:ascii="Book Antiqua" w:eastAsia="SimSun" w:hAnsi="Book Antiqua" w:cs="SimSun"/>
          <w:b/>
          <w:bCs/>
          <w:sz w:val="24"/>
          <w:szCs w:val="24"/>
          <w:lang w:val="en-US" w:eastAsia="zh-CN"/>
        </w:rPr>
        <w:t>15</w:t>
      </w:r>
      <w:r w:rsidRPr="00B27B47">
        <w:rPr>
          <w:rFonts w:ascii="Book Antiqua" w:eastAsia="SimSun" w:hAnsi="Book Antiqua" w:cs="SimSun"/>
          <w:sz w:val="24"/>
          <w:szCs w:val="24"/>
          <w:lang w:val="en-US" w:eastAsia="zh-CN"/>
        </w:rPr>
        <w:t>: 504-508 [PMID: 19399742 DOI: 10.1002/lt.21710]</w:t>
      </w:r>
    </w:p>
    <w:p w:rsidR="008F655C" w:rsidRPr="009E3692" w:rsidRDefault="008F655C" w:rsidP="008F655C">
      <w:pPr>
        <w:wordWrap w:val="0"/>
        <w:spacing w:line="360" w:lineRule="auto"/>
        <w:ind w:left="361" w:hangingChars="150" w:hanging="361"/>
        <w:jc w:val="right"/>
        <w:rPr>
          <w:rFonts w:ascii="Book Antiqua" w:hAnsi="Book Antiqua"/>
          <w:sz w:val="24"/>
        </w:rPr>
      </w:pPr>
      <w:bookmarkStart w:id="293" w:name="OLE_LINK51"/>
      <w:bookmarkStart w:id="294" w:name="OLE_LINK75"/>
      <w:bookmarkStart w:id="295" w:name="OLE_LINK120"/>
      <w:bookmarkStart w:id="296" w:name="OLE_LINK148"/>
      <w:bookmarkStart w:id="297" w:name="OLE_LINK72"/>
      <w:bookmarkStart w:id="298" w:name="OLE_LINK112"/>
      <w:bookmarkStart w:id="299" w:name="OLE_LINK320"/>
      <w:bookmarkStart w:id="300" w:name="OLE_LINK387"/>
      <w:bookmarkStart w:id="301" w:name="OLE_LINK183"/>
      <w:bookmarkStart w:id="302" w:name="OLE_LINK254"/>
      <w:bookmarkStart w:id="303" w:name="OLE_LINK149"/>
      <w:bookmarkStart w:id="304" w:name="OLE_LINK225"/>
      <w:bookmarkStart w:id="305" w:name="OLE_LINK207"/>
      <w:bookmarkStart w:id="306" w:name="OLE_LINK226"/>
      <w:bookmarkStart w:id="307" w:name="OLE_LINK212"/>
      <w:bookmarkStart w:id="308" w:name="OLE_LINK250"/>
      <w:bookmarkStart w:id="309" w:name="OLE_LINK281"/>
      <w:bookmarkStart w:id="310" w:name="OLE_LINK240"/>
      <w:bookmarkStart w:id="311" w:name="OLE_LINK282"/>
      <w:bookmarkStart w:id="312" w:name="OLE_LINK313"/>
      <w:bookmarkStart w:id="313" w:name="OLE_LINK304"/>
      <w:bookmarkStart w:id="314" w:name="OLE_LINK321"/>
      <w:bookmarkStart w:id="315" w:name="OLE_LINK385"/>
      <w:bookmarkStart w:id="316" w:name="OLE_LINK400"/>
      <w:bookmarkStart w:id="317" w:name="OLE_LINK346"/>
      <w:bookmarkStart w:id="318" w:name="OLE_LINK371"/>
      <w:bookmarkStart w:id="319" w:name="OLE_LINK334"/>
      <w:bookmarkStart w:id="320" w:name="OLE_LINK1830"/>
      <w:bookmarkStart w:id="321" w:name="OLE_LINK457"/>
      <w:bookmarkStart w:id="322" w:name="OLE_LINK288"/>
      <w:bookmarkStart w:id="323" w:name="OLE_LINK384"/>
      <w:bookmarkStart w:id="324" w:name="OLE_LINK379"/>
      <w:bookmarkStart w:id="325" w:name="OLE_LINK303"/>
      <w:bookmarkStart w:id="326" w:name="OLE_LINK450"/>
      <w:bookmarkStart w:id="327" w:name="OLE_LINK489"/>
      <w:bookmarkStart w:id="328" w:name="OLE_LINK535"/>
      <w:bookmarkStart w:id="329" w:name="OLE_LINK648"/>
      <w:bookmarkStart w:id="330" w:name="OLE_LINK686"/>
      <w:bookmarkStart w:id="331" w:name="OLE_LINK430"/>
      <w:bookmarkStart w:id="332" w:name="OLE_LINK471"/>
      <w:bookmarkStart w:id="333" w:name="OLE_LINK462"/>
      <w:bookmarkStart w:id="334" w:name="OLE_LINK519"/>
      <w:bookmarkStart w:id="335" w:name="OLE_LINK575"/>
      <w:bookmarkStart w:id="336" w:name="OLE_LINK491"/>
      <w:bookmarkStart w:id="337" w:name="OLE_LINK532"/>
      <w:bookmarkStart w:id="338" w:name="OLE_LINK572"/>
      <w:bookmarkStart w:id="339" w:name="OLE_LINK574"/>
      <w:bookmarkStart w:id="340" w:name="OLE_LINK480"/>
      <w:bookmarkStart w:id="341" w:name="OLE_LINK567"/>
      <w:bookmarkStart w:id="342" w:name="OLE_LINK2700"/>
      <w:bookmarkStart w:id="343" w:name="OLE_LINK581"/>
      <w:bookmarkStart w:id="344" w:name="OLE_LINK639"/>
      <w:bookmarkStart w:id="345" w:name="OLE_LINK688"/>
      <w:bookmarkStart w:id="346" w:name="OLE_LINK722"/>
      <w:bookmarkStart w:id="347" w:name="OLE_LINK542"/>
      <w:bookmarkStart w:id="348" w:name="OLE_LINK589"/>
      <w:bookmarkStart w:id="349" w:name="OLE_LINK582"/>
      <w:bookmarkStart w:id="350" w:name="OLE_LINK640"/>
      <w:bookmarkStart w:id="351" w:name="OLE_LINK714"/>
      <w:bookmarkStart w:id="352" w:name="OLE_LINK593"/>
      <w:bookmarkStart w:id="353" w:name="OLE_LINK716"/>
      <w:bookmarkStart w:id="354" w:name="OLE_LINK770"/>
      <w:bookmarkStart w:id="355" w:name="OLE_LINK801"/>
      <w:bookmarkStart w:id="356" w:name="OLE_LINK660"/>
      <w:bookmarkStart w:id="357" w:name="OLE_LINK739"/>
      <w:bookmarkStart w:id="358" w:name="OLE_LINK781"/>
      <w:bookmarkStart w:id="359" w:name="OLE_LINK833"/>
      <w:bookmarkStart w:id="360" w:name="OLE_LINK642"/>
      <w:bookmarkStart w:id="361" w:name="OLE_LINK700"/>
      <w:bookmarkStart w:id="362" w:name="OLE_LINK792"/>
      <w:bookmarkStart w:id="363" w:name="OLE_LINK2882"/>
      <w:bookmarkStart w:id="364" w:name="OLE_LINK836"/>
      <w:bookmarkStart w:id="365" w:name="OLE_LINK889"/>
      <w:bookmarkStart w:id="366" w:name="OLE_LINK782"/>
      <w:bookmarkStart w:id="367" w:name="OLE_LINK826"/>
      <w:bookmarkStart w:id="368" w:name="OLE_LINK865"/>
      <w:bookmarkStart w:id="369" w:name="OLE_LINK2898"/>
      <w:bookmarkStart w:id="370" w:name="OLE_LINK856"/>
      <w:bookmarkStart w:id="371" w:name="OLE_LINK908"/>
      <w:bookmarkStart w:id="372" w:name="OLE_LINK980"/>
      <w:bookmarkStart w:id="373" w:name="OLE_LINK1018"/>
      <w:bookmarkStart w:id="374" w:name="OLE_LINK1049"/>
      <w:bookmarkStart w:id="375" w:name="OLE_LINK1076"/>
      <w:bookmarkStart w:id="376" w:name="OLE_LINK1106"/>
      <w:bookmarkStart w:id="377" w:name="OLE_LINK891"/>
      <w:bookmarkStart w:id="378" w:name="OLE_LINK943"/>
      <w:bookmarkStart w:id="379" w:name="OLE_LINK981"/>
      <w:bookmarkStart w:id="380" w:name="OLE_LINK1030"/>
      <w:bookmarkStart w:id="381" w:name="OLE_LINK847"/>
      <w:bookmarkStart w:id="382" w:name="OLE_LINK909"/>
      <w:bookmarkStart w:id="383" w:name="OLE_LINK898"/>
      <w:bookmarkStart w:id="384" w:name="OLE_LINK906"/>
      <w:bookmarkStart w:id="385" w:name="OLE_LINK992"/>
      <w:bookmarkStart w:id="386" w:name="OLE_LINK993"/>
      <w:bookmarkStart w:id="387" w:name="OLE_LINK1052"/>
      <w:bookmarkStart w:id="388" w:name="OLE_LINK946"/>
      <w:bookmarkStart w:id="389" w:name="OLE_LINK911"/>
      <w:bookmarkStart w:id="390" w:name="OLE_LINK930"/>
      <w:bookmarkStart w:id="391" w:name="OLE_LINK1059"/>
      <w:bookmarkStart w:id="392" w:name="OLE_LINK1137"/>
      <w:bookmarkStart w:id="393" w:name="OLE_LINK1167"/>
      <w:bookmarkStart w:id="394" w:name="OLE_LINK1200"/>
      <w:bookmarkStart w:id="395" w:name="OLE_LINK1241"/>
      <w:bookmarkStart w:id="396" w:name="OLE_LINK1288"/>
      <w:bookmarkStart w:id="397" w:name="OLE_LINK1056"/>
      <w:bookmarkStart w:id="398" w:name="OLE_LINK1158"/>
      <w:bookmarkStart w:id="399" w:name="OLE_LINK1175"/>
      <w:bookmarkStart w:id="400" w:name="OLE_LINK1074"/>
      <w:bookmarkStart w:id="401" w:name="OLE_LINK1169"/>
      <w:bookmarkStart w:id="402" w:name="OLE_LINK1060"/>
      <w:bookmarkStart w:id="403" w:name="OLE_LINK1185"/>
      <w:bookmarkStart w:id="404" w:name="OLE_LINK1172"/>
      <w:bookmarkStart w:id="405" w:name="OLE_LINK1176"/>
      <w:bookmarkStart w:id="406" w:name="OLE_LINK1373"/>
      <w:bookmarkStart w:id="407" w:name="OLE_LINK1410"/>
      <w:bookmarkStart w:id="408" w:name="OLE_LINK1448"/>
      <w:bookmarkStart w:id="409" w:name="OLE_LINK1492"/>
      <w:bookmarkStart w:id="410" w:name="OLE_LINK1585"/>
      <w:bookmarkStart w:id="411" w:name="OLE_LINK1622"/>
      <w:bookmarkStart w:id="412" w:name="OLE_LINK1661"/>
      <w:bookmarkStart w:id="413" w:name="OLE_LINK1691"/>
      <w:bookmarkStart w:id="414" w:name="OLE_LINK1349"/>
      <w:bookmarkStart w:id="415" w:name="OLE_LINK1462"/>
      <w:bookmarkStart w:id="416" w:name="OLE_LINK1531"/>
      <w:bookmarkStart w:id="417" w:name="OLE_LINK1344"/>
      <w:bookmarkStart w:id="418" w:name="OLE_LINK1384"/>
      <w:bookmarkStart w:id="419" w:name="OLE_LINK1457"/>
      <w:bookmarkStart w:id="420" w:name="OLE_LINK1500"/>
      <w:bookmarkStart w:id="421" w:name="OLE_LINK1591"/>
      <w:bookmarkStart w:id="422" w:name="OLE_LINK1370"/>
      <w:bookmarkStart w:id="423" w:name="OLE_LINK1443"/>
      <w:bookmarkStart w:id="424" w:name="OLE_LINK1472"/>
      <w:bookmarkStart w:id="425" w:name="OLE_LINK1503"/>
      <w:bookmarkStart w:id="426" w:name="OLE_LINK1390"/>
      <w:bookmarkStart w:id="427" w:name="OLE_LINK1490"/>
      <w:bookmarkStart w:id="428" w:name="OLE_LINK1576"/>
      <w:bookmarkStart w:id="429" w:name="OLE_LINK1618"/>
      <w:bookmarkStart w:id="430" w:name="OLE_LINK1650"/>
      <w:bookmarkStart w:id="431" w:name="OLE_LINK1721"/>
      <w:bookmarkStart w:id="432" w:name="OLE_LINK1565"/>
      <w:bookmarkStart w:id="433" w:name="OLE_LINK1619"/>
      <w:bookmarkStart w:id="434" w:name="OLE_LINK1671"/>
      <w:bookmarkStart w:id="435" w:name="OLE_LINK1716"/>
      <w:bookmarkStart w:id="436" w:name="OLE_LINK1761"/>
      <w:bookmarkStart w:id="437" w:name="OLE_LINK1586"/>
      <w:bookmarkStart w:id="438" w:name="OLE_LINK1593"/>
      <w:bookmarkStart w:id="439" w:name="OLE_LINK1630"/>
      <w:bookmarkStart w:id="440" w:name="OLE_LINK1699"/>
      <w:bookmarkStart w:id="441" w:name="OLE_LINK1736"/>
      <w:bookmarkStart w:id="442" w:name="OLE_LINK1792"/>
      <w:bookmarkStart w:id="443" w:name="OLE_LINK1825"/>
      <w:bookmarkStart w:id="444" w:name="OLE_LINK1865"/>
      <w:bookmarkStart w:id="445" w:name="OLE_LINK1692"/>
      <w:bookmarkStart w:id="446" w:name="OLE_LINK1808"/>
      <w:bookmarkStart w:id="447" w:name="OLE_LINK1862"/>
      <w:bookmarkStart w:id="448" w:name="OLE_LINK1859"/>
      <w:bookmarkStart w:id="449" w:name="OLE_LINK1901"/>
      <w:bookmarkStart w:id="450" w:name="OLE_LINK1939"/>
      <w:bookmarkStart w:id="451" w:name="OLE_LINK1977"/>
      <w:bookmarkStart w:id="452" w:name="OLE_LINK1841"/>
      <w:bookmarkStart w:id="453" w:name="OLE_LINK1879"/>
      <w:bookmarkStart w:id="454" w:name="OLE_LINK1916"/>
      <w:bookmarkStart w:id="455" w:name="OLE_LINK1960"/>
      <w:bookmarkStart w:id="456" w:name="OLE_LINK1834"/>
      <w:bookmarkStart w:id="457" w:name="OLE_LINK2027"/>
      <w:bookmarkStart w:id="458" w:name="OLE_LINK2056"/>
      <w:bookmarkStart w:id="459" w:name="OLE_LINK1870"/>
      <w:bookmarkStart w:id="460" w:name="OLE_LINK1883"/>
      <w:bookmarkStart w:id="461" w:name="OLE_LINK1890"/>
      <w:bookmarkStart w:id="462" w:name="OLE_LINK1922"/>
      <w:bookmarkStart w:id="463" w:name="OLE_LINK1943"/>
      <w:bookmarkStart w:id="464" w:name="OLE_LINK1970"/>
      <w:bookmarkStart w:id="465" w:name="OLE_LINK1983"/>
      <w:bookmarkStart w:id="466" w:name="OLE_LINK2031"/>
      <w:bookmarkStart w:id="467" w:name="OLE_LINK2066"/>
      <w:bookmarkStart w:id="468" w:name="OLE_LINK2094"/>
      <w:bookmarkStart w:id="469" w:name="OLE_LINK2136"/>
      <w:bookmarkStart w:id="470" w:name="OLE_LINK2192"/>
      <w:bookmarkStart w:id="471" w:name="OLE_LINK1984"/>
      <w:bookmarkStart w:id="472" w:name="OLE_LINK2040"/>
      <w:bookmarkStart w:id="473" w:name="OLE_LINK2087"/>
      <w:bookmarkStart w:id="474" w:name="OLE_LINK2131"/>
      <w:bookmarkStart w:id="475" w:name="OLE_LINK2167"/>
      <w:bookmarkStart w:id="476" w:name="OLE_LINK2211"/>
      <w:bookmarkStart w:id="477" w:name="OLE_LINK2265"/>
      <w:bookmarkStart w:id="478" w:name="OLE_LINK2274"/>
      <w:bookmarkStart w:id="479" w:name="OLE_LINK2071"/>
      <w:bookmarkStart w:id="480" w:name="OLE_LINK3320"/>
      <w:bookmarkStart w:id="481" w:name="OLE_LINK3374"/>
      <w:bookmarkStart w:id="482" w:name="OLE_LINK3410"/>
      <w:bookmarkStart w:id="483" w:name="OLE_LINK1997"/>
      <w:bookmarkStart w:id="484" w:name="OLE_LINK2043"/>
      <w:bookmarkStart w:id="485" w:name="OLE_LINK2041"/>
      <w:bookmarkStart w:id="486" w:name="OLE_LINK2133"/>
      <w:bookmarkStart w:id="487" w:name="OLE_LINK2181"/>
      <w:bookmarkStart w:id="488" w:name="OLE_LINK2101"/>
      <w:bookmarkStart w:id="489" w:name="OLE_LINK2128"/>
      <w:bookmarkStart w:id="490" w:name="OLE_LINK3357"/>
      <w:bookmarkStart w:id="491" w:name="OLE_LINK2139"/>
      <w:bookmarkStart w:id="492" w:name="OLE_LINK2219"/>
      <w:bookmarkStart w:id="493" w:name="OLE_LINK2248"/>
      <w:bookmarkStart w:id="494" w:name="OLE_LINK2281"/>
      <w:bookmarkStart w:id="495" w:name="OLE_LINK2294"/>
      <w:bookmarkStart w:id="496" w:name="OLE_LINK2395"/>
      <w:bookmarkStart w:id="497" w:name="OLE_LINK2148"/>
      <w:bookmarkStart w:id="498" w:name="OLE_LINK2236"/>
      <w:bookmarkStart w:id="499" w:name="OLE_LINK2354"/>
      <w:bookmarkStart w:id="500" w:name="OLE_LINK2273"/>
      <w:bookmarkStart w:id="501" w:name="OLE_LINK2314"/>
      <w:bookmarkStart w:id="502" w:name="OLE_LINK2240"/>
      <w:bookmarkStart w:id="503" w:name="OLE_LINK2290"/>
      <w:bookmarkStart w:id="504" w:name="OLE_LINK2330"/>
      <w:bookmarkStart w:id="505" w:name="OLE_LINK2402"/>
      <w:bookmarkStart w:id="506" w:name="OLE_LINK2432"/>
      <w:bookmarkStart w:id="507" w:name="OLE_LINK2336"/>
      <w:bookmarkStart w:id="508" w:name="OLE_LINK2369"/>
      <w:bookmarkStart w:id="509" w:name="OLE_LINK2427"/>
      <w:bookmarkStart w:id="510" w:name="OLE_LINK2370"/>
      <w:bookmarkStart w:id="511" w:name="OLE_LINK2474"/>
      <w:bookmarkStart w:id="512" w:name="OLE_LINK2382"/>
      <w:bookmarkStart w:id="513" w:name="OLE_LINK2476"/>
      <w:bookmarkStart w:id="514" w:name="OLE_LINK2532"/>
      <w:bookmarkStart w:id="515" w:name="OLE_LINK2471"/>
      <w:bookmarkStart w:id="516" w:name="OLE_LINK2483"/>
      <w:bookmarkStart w:id="517" w:name="OLE_LINK2511"/>
      <w:bookmarkStart w:id="518" w:name="OLE_LINK2583"/>
      <w:bookmarkStart w:id="519" w:name="OLE_LINK2615"/>
      <w:bookmarkStart w:id="520" w:name="OLE_LINK2554"/>
      <w:bookmarkStart w:id="521" w:name="OLE_LINK2528"/>
      <w:bookmarkStart w:id="522" w:name="OLE_LINK2555"/>
      <w:bookmarkStart w:id="523" w:name="OLE_LINK2537"/>
      <w:bookmarkStart w:id="524" w:name="OLE_LINK2550"/>
      <w:bookmarkStart w:id="525" w:name="OLE_LINK2594"/>
      <w:bookmarkStart w:id="526" w:name="OLE_LINK2589"/>
      <w:bookmarkStart w:id="527" w:name="OLE_LINK2648"/>
      <w:bookmarkStart w:id="528" w:name="OLE_LINK2669"/>
      <w:bookmarkStart w:id="529" w:name="OLE_LINK2567"/>
      <w:bookmarkStart w:id="530" w:name="OLE_LINK2593"/>
      <w:bookmarkStart w:id="531" w:name="OLE_LINK2629"/>
      <w:bookmarkStart w:id="532" w:name="OLE_LINK2678"/>
      <w:bookmarkStart w:id="533" w:name="OLE_LINK2703"/>
      <w:bookmarkStart w:id="534" w:name="OLE_LINK2739"/>
      <w:bookmarkStart w:id="535" w:name="OLE_LINK2757"/>
      <w:bookmarkStart w:id="536" w:name="OLE_LINK3464"/>
      <w:bookmarkStart w:id="537" w:name="OLE_LINK3508"/>
      <w:bookmarkStart w:id="538" w:name="OLE_LINK2779"/>
      <w:bookmarkStart w:id="539" w:name="OLE_LINK2724"/>
      <w:bookmarkStart w:id="540" w:name="OLE_LINK2733"/>
      <w:bookmarkStart w:id="541" w:name="OLE_LINK2744"/>
      <w:bookmarkStart w:id="542" w:name="OLE_LINK2777"/>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Pr="00C7591D">
        <w:rPr>
          <w:rFonts w:ascii="Book Antiqua" w:hAnsi="Book Antiqua"/>
          <w:bCs/>
          <w:sz w:val="24"/>
        </w:rPr>
        <w:t xml:space="preserve"> </w:t>
      </w:r>
      <w:r w:rsidR="00054011" w:rsidRPr="00C7591D">
        <w:rPr>
          <w:rFonts w:ascii="Book Antiqua" w:hAnsi="Book Antiqua"/>
          <w:bCs/>
          <w:sz w:val="24"/>
        </w:rPr>
        <w:t>Kim SH</w:t>
      </w:r>
      <w:r w:rsidR="00054011" w:rsidRPr="00C7591D">
        <w:rPr>
          <w:rFonts w:ascii="Book Antiqua" w:hAnsi="Book Antiqua" w:hint="eastAsia"/>
          <w:bCs/>
          <w:sz w:val="24"/>
          <w:lang w:eastAsia="zh-CN"/>
        </w:rPr>
        <w:t xml:space="preserve">, </w:t>
      </w:r>
      <w:r w:rsidR="00054011" w:rsidRPr="00C7591D">
        <w:rPr>
          <w:rFonts w:ascii="Book Antiqua" w:hAnsi="Book Antiqua"/>
          <w:bCs/>
          <w:sz w:val="24"/>
          <w:lang w:eastAsia="zh-CN"/>
        </w:rPr>
        <w:t>Qin</w:t>
      </w:r>
      <w:r w:rsidR="00054011" w:rsidRPr="00C7591D">
        <w:rPr>
          <w:rFonts w:ascii="Book Antiqua" w:hAnsi="Book Antiqua" w:hint="eastAsia"/>
          <w:bCs/>
          <w:sz w:val="24"/>
          <w:lang w:eastAsia="zh-CN"/>
        </w:rPr>
        <w:t xml:space="preserve"> JM</w:t>
      </w:r>
      <w:r w:rsidR="00054011">
        <w:rPr>
          <w:rFonts w:ascii="Book Antiqua" w:hAnsi="Book Antiqua" w:hint="eastAsia"/>
          <w:b/>
          <w:bCs/>
          <w:sz w:val="24"/>
          <w:lang w:eastAsia="zh-CN"/>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rsidR="00751D25" w:rsidRPr="008F655C" w:rsidRDefault="00751D25" w:rsidP="00751D25">
      <w:pPr>
        <w:widowControl w:val="0"/>
        <w:spacing w:after="0" w:line="360" w:lineRule="auto"/>
        <w:jc w:val="both"/>
        <w:rPr>
          <w:rFonts w:ascii="Book Antiqua" w:eastAsia="SimSun" w:hAnsi="Book Antiqua" w:cs="Times New Roman"/>
          <w:kern w:val="2"/>
          <w:sz w:val="24"/>
          <w:szCs w:val="24"/>
          <w:lang w:eastAsia="zh-CN"/>
        </w:rPr>
      </w:pPr>
    </w:p>
    <w:p w:rsidR="006B7E55" w:rsidRPr="00B27B47" w:rsidRDefault="006B7E55" w:rsidP="00910292">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p>
    <w:p w:rsidR="006B7E55" w:rsidRPr="00B27B47" w:rsidRDefault="006B7E55">
      <w:pP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br w:type="page"/>
      </w:r>
    </w:p>
    <w:p w:rsidR="006B7E55" w:rsidRPr="00B27B47" w:rsidRDefault="006B7E55" w:rsidP="006B7E55">
      <w:pPr>
        <w:adjustRightInd w:val="0"/>
        <w:snapToGrid w:val="0"/>
        <w:spacing w:after="0" w:line="360" w:lineRule="auto"/>
        <w:jc w:val="both"/>
        <w:rPr>
          <w:rFonts w:ascii="Book Antiqua" w:hAnsi="Book Antiqua" w:cs="Calibri"/>
          <w:b/>
          <w:sz w:val="24"/>
          <w:szCs w:val="24"/>
          <w:lang w:val="en-US" w:eastAsia="zh-CN"/>
        </w:rPr>
      </w:pPr>
      <w:r w:rsidRPr="00B27B47">
        <w:rPr>
          <w:rFonts w:ascii="Book Antiqua" w:eastAsia="Times New Roman" w:hAnsi="Book Antiqua" w:cs="Times New Roman"/>
          <w:noProof/>
          <w:sz w:val="24"/>
          <w:szCs w:val="24"/>
          <w:lang w:val="en-US" w:eastAsia="zh-CN"/>
        </w:rPr>
        <w:lastRenderedPageBreak/>
        <w:drawing>
          <wp:inline distT="0" distB="0" distL="0" distR="0" wp14:anchorId="0AC95ED9" wp14:editId="6A4872C3">
            <wp:extent cx="5760720" cy="3530211"/>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30211"/>
                    </a:xfrm>
                    <a:prstGeom prst="rect">
                      <a:avLst/>
                    </a:prstGeom>
                    <a:noFill/>
                    <a:ln>
                      <a:noFill/>
                    </a:ln>
                  </pic:spPr>
                </pic:pic>
              </a:graphicData>
            </a:graphic>
          </wp:inline>
        </w:drawing>
      </w:r>
    </w:p>
    <w:p w:rsidR="006B7E55" w:rsidRPr="00B27B47" w:rsidRDefault="006B7E55" w:rsidP="006B7E55">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sz w:val="24"/>
          <w:szCs w:val="24"/>
          <w:lang w:val="en-US" w:eastAsia="de-DE"/>
        </w:rPr>
        <w:t>Figure 1</w:t>
      </w:r>
      <w:r w:rsidRPr="00B27B47">
        <w:rPr>
          <w:rFonts w:ascii="Book Antiqua" w:eastAsia="Times New Roman" w:hAnsi="Book Antiqua" w:cs="Calibri"/>
          <w:b/>
          <w:bCs/>
          <w:sz w:val="24"/>
          <w:szCs w:val="24"/>
          <w:lang w:val="en-US" w:eastAsia="de-DE"/>
        </w:rPr>
        <w:t xml:space="preserve"> Algorithm for the diagnosis and treatment of hyperlipidemia in liver transplant recipients</w:t>
      </w:r>
      <w:r w:rsidRPr="00B27B47">
        <w:rPr>
          <w:rFonts w:ascii="Book Antiqua" w:eastAsia="Times New Roman" w:hAnsi="Book Antiqua" w:cs="Calibri"/>
          <w:b/>
          <w:bCs/>
          <w:sz w:val="24"/>
          <w:szCs w:val="24"/>
          <w:vertAlign w:val="superscript"/>
          <w:lang w:val="en-US" w:eastAsia="de-DE"/>
        </w:rPr>
        <w:t>[</w:t>
      </w:r>
      <w:r w:rsidR="009E7727" w:rsidRPr="00B27B47">
        <w:rPr>
          <w:rFonts w:ascii="Book Antiqua" w:hAnsi="Book Antiqua" w:cs="Calibri" w:hint="eastAsia"/>
          <w:b/>
          <w:bCs/>
          <w:sz w:val="24"/>
          <w:szCs w:val="24"/>
          <w:vertAlign w:val="superscript"/>
          <w:lang w:val="en-US" w:eastAsia="zh-CN"/>
        </w:rPr>
        <w:t>49</w:t>
      </w:r>
      <w:r w:rsidRPr="00B27B47">
        <w:rPr>
          <w:rFonts w:ascii="Book Antiqua" w:eastAsia="Times New Roman" w:hAnsi="Book Antiqua" w:cs="Calibri"/>
          <w:b/>
          <w:bCs/>
          <w:sz w:val="24"/>
          <w:szCs w:val="24"/>
          <w:vertAlign w:val="superscript"/>
          <w:lang w:val="en-US" w:eastAsia="de-DE"/>
        </w:rPr>
        <w:t>]</w:t>
      </w:r>
      <w:r w:rsidRPr="00B27B47">
        <w:rPr>
          <w:rFonts w:ascii="Book Antiqua" w:hAnsi="Book Antiqua" w:cs="Calibri" w:hint="eastAsia"/>
          <w:b/>
          <w:bCs/>
          <w:sz w:val="24"/>
          <w:szCs w:val="24"/>
          <w:lang w:val="en-US" w:eastAsia="zh-CN"/>
        </w:rPr>
        <w:t>.</w:t>
      </w:r>
    </w:p>
    <w:p w:rsidR="000F7598" w:rsidRPr="00B27B47" w:rsidRDefault="006B7E55" w:rsidP="006B7E55">
      <w:pPr>
        <w:adjustRightInd w:val="0"/>
        <w:snapToGrid w:val="0"/>
        <w:spacing w:after="0" w:line="360" w:lineRule="auto"/>
        <w:ind w:firstLineChars="100" w:firstLine="240"/>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br w:type="page"/>
      </w:r>
    </w:p>
    <w:p w:rsidR="000F7598" w:rsidRPr="00B27B47" w:rsidRDefault="000F7598" w:rsidP="003E1943">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sz w:val="24"/>
          <w:szCs w:val="24"/>
          <w:lang w:val="en-US" w:eastAsia="de-DE"/>
        </w:rPr>
        <w:lastRenderedPageBreak/>
        <w:t>Table 1</w:t>
      </w:r>
      <w:r w:rsidRPr="00B27B47">
        <w:rPr>
          <w:rFonts w:ascii="Book Antiqua" w:eastAsia="Times New Roman" w:hAnsi="Book Antiqua" w:cs="Calibri"/>
          <w:b/>
          <w:bCs/>
          <w:sz w:val="24"/>
          <w:szCs w:val="24"/>
          <w:lang w:val="en-US" w:eastAsia="de-DE"/>
        </w:rPr>
        <w:t xml:space="preserve"> Hypercholesterolemia and its estimated atherogenic potential</w:t>
      </w:r>
      <w:r w:rsidRPr="00B27B47">
        <w:rPr>
          <w:rFonts w:ascii="Book Antiqua" w:eastAsia="Times New Roman" w:hAnsi="Book Antiqua" w:cs="Calibri"/>
          <w:b/>
          <w:bCs/>
          <w:sz w:val="24"/>
          <w:szCs w:val="24"/>
          <w:vertAlign w:val="superscript"/>
          <w:lang w:val="en-US" w:eastAsia="de-DE"/>
        </w:rPr>
        <w:t>[</w:t>
      </w:r>
      <w:r w:rsidRPr="00B27B47">
        <w:rPr>
          <w:rFonts w:ascii="Book Antiqua" w:eastAsia="Times New Roman" w:hAnsi="Book Antiqua" w:cs="Calibri"/>
          <w:b/>
          <w:bCs/>
          <w:sz w:val="24"/>
          <w:szCs w:val="24"/>
          <w:lang w:val="en-US" w:eastAsia="de-DE"/>
        </w:rPr>
        <w:fldChar w:fldCharType="begin"/>
      </w:r>
      <w:r w:rsidRPr="00B27B47">
        <w:rPr>
          <w:rFonts w:ascii="Book Antiqua" w:eastAsia="Times New Roman" w:hAnsi="Book Antiqua" w:cs="Calibri"/>
          <w:b/>
          <w:bCs/>
          <w:sz w:val="24"/>
          <w:szCs w:val="24"/>
          <w:lang w:val="en-US" w:eastAsia="de-DE"/>
        </w:rPr>
        <w:instrText xml:space="preserve"> ADDIN EN.CITE &lt;EndNote&gt;&lt;Cite&gt;&lt;Author&gt;health)&lt;/Author&gt;&lt;RecNum&gt;11&lt;/RecNum&gt;&lt;record&gt;&lt;rec-number&gt;11&lt;/rec-number&gt;&lt;ref-type name="Web Page"&gt;12&lt;/ref-type&gt;&lt;contributors&gt;&lt;authors&gt;&lt;author&gt;NIH (national institutes of health) &lt;/author&gt;&lt;/authors&gt;&lt;/contributors&gt;&lt;titles&gt;&lt;title&gt;ATP III Update 2004: Implications of recent clinical trials for the ATP III guidelines. &lt;/title&gt;&lt;/titles&gt;&lt;dates&gt;&lt;/dates&gt;&lt;urls&gt;&lt;related-urls&gt;&lt;url&gt;www.nhlbi.nih.gov/guidelines/cholesterol/atp3upd04.htm&lt;/url&gt;&lt;/related-urls&gt;&lt;/urls&gt;&lt;access-date&gt;10.01.2015&lt;/access-date&gt;&lt;/record&gt;&lt;/Cite&gt;&lt;/EndNote&gt;</w:instrText>
      </w:r>
      <w:r w:rsidRPr="00B27B47">
        <w:rPr>
          <w:rFonts w:ascii="Book Antiqua" w:eastAsia="Times New Roman" w:hAnsi="Book Antiqua" w:cs="Calibri"/>
          <w:b/>
          <w:bCs/>
          <w:sz w:val="24"/>
          <w:szCs w:val="24"/>
          <w:lang w:val="en-US" w:eastAsia="de-DE"/>
        </w:rPr>
        <w:fldChar w:fldCharType="separate"/>
      </w:r>
      <w:r w:rsidRPr="00B27B47">
        <w:rPr>
          <w:rFonts w:ascii="Book Antiqua" w:eastAsia="Times New Roman" w:hAnsi="Book Antiqua" w:cs="Calibri"/>
          <w:b/>
          <w:bCs/>
          <w:sz w:val="24"/>
          <w:szCs w:val="24"/>
          <w:vertAlign w:val="superscript"/>
          <w:lang w:val="en-US" w:eastAsia="de-DE"/>
        </w:rPr>
        <w:t>25</w:t>
      </w:r>
      <w:r w:rsidRPr="00B27B47">
        <w:rPr>
          <w:rFonts w:ascii="Book Antiqua" w:eastAsia="Times New Roman" w:hAnsi="Book Antiqua" w:cs="Calibri"/>
          <w:b/>
          <w:bCs/>
          <w:sz w:val="24"/>
          <w:szCs w:val="24"/>
          <w:lang w:val="en-US" w:eastAsia="de-DE"/>
        </w:rPr>
        <w:fldChar w:fldCharType="end"/>
      </w:r>
      <w:r w:rsidR="00910292" w:rsidRPr="00B27B47">
        <w:rPr>
          <w:rFonts w:ascii="Book Antiqua" w:eastAsia="Times New Roman" w:hAnsi="Book Antiqua" w:cs="Calibri"/>
          <w:b/>
          <w:bCs/>
          <w:sz w:val="24"/>
          <w:szCs w:val="24"/>
          <w:vertAlign w:val="superscript"/>
          <w:lang w:val="en-US" w:eastAsia="de-DE"/>
        </w:rPr>
        <w:t>]</w:t>
      </w:r>
    </w:p>
    <w:tbl>
      <w:tblPr>
        <w:tblW w:w="0" w:type="auto"/>
        <w:tblLook w:val="01E0" w:firstRow="1" w:lastRow="1" w:firstColumn="1" w:lastColumn="1" w:noHBand="0" w:noVBand="0"/>
      </w:tblPr>
      <w:tblGrid>
        <w:gridCol w:w="4606"/>
        <w:gridCol w:w="4606"/>
      </w:tblGrid>
      <w:tr w:rsidR="000F7598" w:rsidRPr="00B27B47" w:rsidTr="00910292">
        <w:tc>
          <w:tcPr>
            <w:tcW w:w="4606" w:type="dxa"/>
            <w:tcBorders>
              <w:top w:val="single" w:sz="4" w:space="0" w:color="auto"/>
              <w:bottom w:val="single" w:sz="4" w:space="0" w:color="auto"/>
            </w:tcBorders>
            <w:shd w:val="clear" w:color="auto" w:fill="auto"/>
          </w:tcPr>
          <w:p w:rsidR="000F7598" w:rsidRPr="00B27B47" w:rsidRDefault="000F7598" w:rsidP="00910292">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LDL-cholesterol (mg/d</w:t>
            </w:r>
            <w:r w:rsidR="00910292" w:rsidRPr="00B27B47">
              <w:rPr>
                <w:rFonts w:ascii="Book Antiqua" w:hAnsi="Book Antiqua" w:cs="Calibri" w:hint="eastAsia"/>
                <w:b/>
                <w:bCs/>
                <w:sz w:val="24"/>
                <w:szCs w:val="24"/>
                <w:lang w:val="en-US" w:eastAsia="zh-CN"/>
              </w:rPr>
              <w:t>L</w:t>
            </w:r>
            <w:r w:rsidRPr="00B27B47">
              <w:rPr>
                <w:rFonts w:ascii="Book Antiqua" w:eastAsia="Times New Roman" w:hAnsi="Book Antiqua" w:cs="Calibri"/>
                <w:b/>
                <w:bCs/>
                <w:sz w:val="24"/>
                <w:szCs w:val="24"/>
                <w:lang w:val="en-US" w:eastAsia="de-DE"/>
              </w:rPr>
              <w:t>)</w:t>
            </w:r>
          </w:p>
        </w:tc>
        <w:tc>
          <w:tcPr>
            <w:tcW w:w="4606" w:type="dxa"/>
            <w:tcBorders>
              <w:top w:val="single" w:sz="4" w:space="0" w:color="auto"/>
              <w:bottom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tc>
      </w:tr>
      <w:tr w:rsidR="000F7598" w:rsidRPr="00B27B47" w:rsidTr="00910292">
        <w:tc>
          <w:tcPr>
            <w:tcW w:w="4606" w:type="dxa"/>
            <w:tcBorders>
              <w:top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100</w:t>
            </w:r>
          </w:p>
        </w:tc>
        <w:tc>
          <w:tcPr>
            <w:tcW w:w="4606" w:type="dxa"/>
            <w:tcBorders>
              <w:top w:val="single" w:sz="4" w:space="0" w:color="auto"/>
            </w:tcBorders>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Optimal</w:t>
            </w:r>
          </w:p>
        </w:tc>
      </w:tr>
      <w:tr w:rsidR="000F7598" w:rsidRPr="00B27B47" w:rsidTr="00910292">
        <w:tc>
          <w:tcPr>
            <w:tcW w:w="4606" w:type="dxa"/>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100-129</w:t>
            </w:r>
          </w:p>
        </w:tc>
        <w:tc>
          <w:tcPr>
            <w:tcW w:w="4606" w:type="dxa"/>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Near/above optimal</w:t>
            </w:r>
          </w:p>
        </w:tc>
      </w:tr>
      <w:tr w:rsidR="000F7598" w:rsidRPr="00B27B47" w:rsidTr="00910292">
        <w:tc>
          <w:tcPr>
            <w:tcW w:w="4606" w:type="dxa"/>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130-159</w:t>
            </w:r>
          </w:p>
        </w:tc>
        <w:tc>
          <w:tcPr>
            <w:tcW w:w="4606" w:type="dxa"/>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Borderline high</w:t>
            </w:r>
          </w:p>
        </w:tc>
      </w:tr>
      <w:tr w:rsidR="000F7598" w:rsidRPr="00B27B47" w:rsidTr="00910292">
        <w:tc>
          <w:tcPr>
            <w:tcW w:w="4606" w:type="dxa"/>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160-189</w:t>
            </w:r>
          </w:p>
        </w:tc>
        <w:tc>
          <w:tcPr>
            <w:tcW w:w="4606" w:type="dxa"/>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High</w:t>
            </w:r>
          </w:p>
        </w:tc>
      </w:tr>
      <w:tr w:rsidR="000F7598" w:rsidRPr="00B27B47" w:rsidTr="00910292">
        <w:tc>
          <w:tcPr>
            <w:tcW w:w="4606" w:type="dxa"/>
            <w:tcBorders>
              <w:bottom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190</w:t>
            </w:r>
          </w:p>
        </w:tc>
        <w:tc>
          <w:tcPr>
            <w:tcW w:w="4606" w:type="dxa"/>
            <w:tcBorders>
              <w:bottom w:val="single" w:sz="4" w:space="0" w:color="auto"/>
            </w:tcBorders>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Very high</w:t>
            </w:r>
          </w:p>
        </w:tc>
      </w:tr>
    </w:tbl>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LDL</w:t>
      </w:r>
      <w:r w:rsidR="00910292" w:rsidRPr="00B27B47">
        <w:rPr>
          <w:rFonts w:ascii="Book Antiqua" w:hAnsi="Book Antiqua" w:cs="Calibri" w:hint="eastAsia"/>
          <w:bCs/>
          <w:sz w:val="24"/>
          <w:szCs w:val="24"/>
          <w:lang w:val="en-US" w:eastAsia="zh-CN"/>
        </w:rPr>
        <w:t xml:space="preserve">: </w:t>
      </w:r>
      <w:bookmarkStart w:id="543" w:name="OLE_LINK2827"/>
      <w:bookmarkStart w:id="544" w:name="OLE_LINK2828"/>
      <w:r w:rsidR="00910292" w:rsidRPr="00B27B47">
        <w:rPr>
          <w:rFonts w:ascii="Book Antiqua" w:eastAsia="Times New Roman" w:hAnsi="Book Antiqua" w:cs="Calibri"/>
          <w:bCs/>
          <w:sz w:val="24"/>
          <w:szCs w:val="24"/>
          <w:lang w:val="en-US" w:eastAsia="de-DE"/>
        </w:rPr>
        <w:t xml:space="preserve">Low </w:t>
      </w:r>
      <w:r w:rsidRPr="00B27B47">
        <w:rPr>
          <w:rFonts w:ascii="Book Antiqua" w:eastAsia="Times New Roman" w:hAnsi="Book Antiqua" w:cs="Calibri"/>
          <w:bCs/>
          <w:sz w:val="24"/>
          <w:szCs w:val="24"/>
          <w:lang w:val="en-US" w:eastAsia="de-DE"/>
        </w:rPr>
        <w:t>density lipoprotein</w:t>
      </w:r>
      <w:bookmarkEnd w:id="543"/>
      <w:bookmarkEnd w:id="544"/>
      <w:r w:rsidRPr="00B27B47">
        <w:rPr>
          <w:rFonts w:ascii="Book Antiqua" w:eastAsia="Times New Roman" w:hAnsi="Book Antiqua" w:cs="Calibri"/>
          <w:bCs/>
          <w:sz w:val="24"/>
          <w:szCs w:val="24"/>
          <w:lang w:val="en-US" w:eastAsia="de-DE"/>
        </w:rPr>
        <w:t>.</w:t>
      </w:r>
    </w:p>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lang w:val="en-US" w:eastAsia="de-DE"/>
        </w:rPr>
      </w:pPr>
    </w:p>
    <w:p w:rsidR="00910292" w:rsidRPr="00B27B47" w:rsidRDefault="00910292">
      <w:pPr>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br w:type="page"/>
      </w:r>
    </w:p>
    <w:p w:rsidR="000F7598" w:rsidRPr="00B27B47" w:rsidRDefault="000F7598" w:rsidP="003E1943">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sz w:val="24"/>
          <w:szCs w:val="24"/>
          <w:lang w:val="en-US" w:eastAsia="de-DE"/>
        </w:rPr>
        <w:lastRenderedPageBreak/>
        <w:t>Table 2</w:t>
      </w:r>
      <w:r w:rsidRPr="00B27B47">
        <w:rPr>
          <w:rFonts w:ascii="Book Antiqua" w:eastAsia="Times New Roman" w:hAnsi="Book Antiqua" w:cs="Calibri"/>
          <w:b/>
          <w:bCs/>
          <w:sz w:val="24"/>
          <w:szCs w:val="24"/>
          <w:lang w:val="en-US" w:eastAsia="de-DE"/>
        </w:rPr>
        <w:t xml:space="preserve"> Hypertriglyceridemia and its estimated atherogenic potential</w:t>
      </w:r>
      <w:r w:rsidRPr="00B27B47">
        <w:rPr>
          <w:rFonts w:ascii="Book Antiqua" w:eastAsia="Times New Roman" w:hAnsi="Book Antiqua" w:cs="Calibri"/>
          <w:b/>
          <w:bCs/>
          <w:sz w:val="24"/>
          <w:szCs w:val="24"/>
          <w:vertAlign w:val="superscript"/>
          <w:lang w:val="en-US" w:eastAsia="de-DE"/>
        </w:rPr>
        <w:t>[</w:t>
      </w:r>
      <w:r w:rsidRPr="00B27B47">
        <w:rPr>
          <w:rFonts w:ascii="Book Antiqua" w:eastAsia="Times New Roman" w:hAnsi="Book Antiqua" w:cs="Calibri"/>
          <w:b/>
          <w:bCs/>
          <w:sz w:val="24"/>
          <w:szCs w:val="24"/>
          <w:lang w:val="en-US" w:eastAsia="de-DE"/>
        </w:rPr>
        <w:fldChar w:fldCharType="begin"/>
      </w:r>
      <w:r w:rsidRPr="00B27B47">
        <w:rPr>
          <w:rFonts w:ascii="Book Antiqua" w:eastAsia="Times New Roman" w:hAnsi="Book Antiqua" w:cs="Calibri"/>
          <w:b/>
          <w:bCs/>
          <w:sz w:val="24"/>
          <w:szCs w:val="24"/>
          <w:lang w:val="en-US" w:eastAsia="de-DE"/>
        </w:rPr>
        <w:instrText xml:space="preserve"> ADDIN EN.CITE &lt;EndNote&gt;&lt;Cite&gt;&lt;Author&gt;health)&lt;/Author&gt;&lt;RecNum&gt;11&lt;/RecNum&gt;&lt;record&gt;&lt;rec-number&gt;11&lt;/rec-number&gt;&lt;ref-type name="Web Page"&gt;12&lt;/ref-type&gt;&lt;contributors&gt;&lt;authors&gt;&lt;author&gt;NIH (national institutes of health) &lt;/author&gt;&lt;/authors&gt;&lt;/contributors&gt;&lt;titles&gt;&lt;title&gt;ATP III Update 2004: Implications of recent clinical trials for the ATP III guidelines. &lt;/title&gt;&lt;/titles&gt;&lt;dates&gt;&lt;/dates&gt;&lt;urls&gt;&lt;related-urls&gt;&lt;url&gt;www.nhlbi.nih.gov/guidelines/cholesterol/atp3upd04.htm&lt;/url&gt;&lt;/related-urls&gt;&lt;/urls&gt;&lt;access-date&gt;10.01.2015&lt;/access-date&gt;&lt;/record&gt;&lt;/Cite&gt;&lt;/EndNote&gt;</w:instrText>
      </w:r>
      <w:r w:rsidRPr="00B27B47">
        <w:rPr>
          <w:rFonts w:ascii="Book Antiqua" w:eastAsia="Times New Roman" w:hAnsi="Book Antiqua" w:cs="Calibri"/>
          <w:b/>
          <w:bCs/>
          <w:sz w:val="24"/>
          <w:szCs w:val="24"/>
          <w:lang w:val="en-US" w:eastAsia="de-DE"/>
        </w:rPr>
        <w:fldChar w:fldCharType="separate"/>
      </w:r>
      <w:r w:rsidRPr="00B27B47">
        <w:rPr>
          <w:rFonts w:ascii="Book Antiqua" w:eastAsia="Times New Roman" w:hAnsi="Book Antiqua" w:cs="Calibri"/>
          <w:b/>
          <w:bCs/>
          <w:sz w:val="24"/>
          <w:szCs w:val="24"/>
          <w:vertAlign w:val="superscript"/>
          <w:lang w:val="en-US" w:eastAsia="de-DE"/>
        </w:rPr>
        <w:t>25</w:t>
      </w:r>
      <w:r w:rsidRPr="00B27B47">
        <w:rPr>
          <w:rFonts w:ascii="Book Antiqua" w:eastAsia="Times New Roman" w:hAnsi="Book Antiqua" w:cs="Calibri"/>
          <w:b/>
          <w:bCs/>
          <w:sz w:val="24"/>
          <w:szCs w:val="24"/>
          <w:lang w:val="en-US" w:eastAsia="de-DE"/>
        </w:rPr>
        <w:fldChar w:fldCharType="end"/>
      </w:r>
      <w:r w:rsidR="00910292" w:rsidRPr="00B27B47">
        <w:rPr>
          <w:rFonts w:ascii="Book Antiqua" w:eastAsia="Times New Roman" w:hAnsi="Book Antiqua" w:cs="Calibri"/>
          <w:b/>
          <w:bCs/>
          <w:sz w:val="24"/>
          <w:szCs w:val="24"/>
          <w:vertAlign w:val="superscript"/>
          <w:lang w:val="en-US" w:eastAsia="de-DE"/>
        </w:rPr>
        <w:t>]</w:t>
      </w:r>
    </w:p>
    <w:tbl>
      <w:tblPr>
        <w:tblW w:w="0" w:type="auto"/>
        <w:tblLook w:val="01E0" w:firstRow="1" w:lastRow="1" w:firstColumn="1" w:lastColumn="1" w:noHBand="0" w:noVBand="0"/>
      </w:tblPr>
      <w:tblGrid>
        <w:gridCol w:w="4606"/>
        <w:gridCol w:w="4606"/>
      </w:tblGrid>
      <w:tr w:rsidR="000F7598" w:rsidRPr="00B27B47" w:rsidTr="00910292">
        <w:tc>
          <w:tcPr>
            <w:tcW w:w="4606" w:type="dxa"/>
            <w:tcBorders>
              <w:top w:val="single" w:sz="4" w:space="0" w:color="auto"/>
              <w:bottom w:val="single" w:sz="4" w:space="0" w:color="auto"/>
            </w:tcBorders>
            <w:shd w:val="clear" w:color="auto" w:fill="auto"/>
          </w:tcPr>
          <w:p w:rsidR="000F7598" w:rsidRPr="00B27B47" w:rsidRDefault="000F7598" w:rsidP="00910292">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Triglycerides (mg/d</w:t>
            </w:r>
            <w:r w:rsidR="00910292" w:rsidRPr="00B27B47">
              <w:rPr>
                <w:rFonts w:ascii="Book Antiqua" w:hAnsi="Book Antiqua" w:cs="Calibri" w:hint="eastAsia"/>
                <w:b/>
                <w:bCs/>
                <w:sz w:val="24"/>
                <w:szCs w:val="24"/>
                <w:lang w:val="en-US" w:eastAsia="zh-CN"/>
              </w:rPr>
              <w:t>L</w:t>
            </w:r>
            <w:r w:rsidRPr="00B27B47">
              <w:rPr>
                <w:rFonts w:ascii="Book Antiqua" w:eastAsia="Times New Roman" w:hAnsi="Book Antiqua" w:cs="Calibri"/>
                <w:b/>
                <w:bCs/>
                <w:sz w:val="24"/>
                <w:szCs w:val="24"/>
                <w:lang w:val="en-US" w:eastAsia="de-DE"/>
              </w:rPr>
              <w:t>)</w:t>
            </w:r>
          </w:p>
        </w:tc>
        <w:tc>
          <w:tcPr>
            <w:tcW w:w="4606" w:type="dxa"/>
            <w:tcBorders>
              <w:top w:val="single" w:sz="4" w:space="0" w:color="auto"/>
              <w:bottom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tc>
      </w:tr>
      <w:tr w:rsidR="000F7598" w:rsidRPr="00B27B47" w:rsidTr="00910292">
        <w:tc>
          <w:tcPr>
            <w:tcW w:w="4606" w:type="dxa"/>
            <w:tcBorders>
              <w:top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150</w:t>
            </w:r>
          </w:p>
        </w:tc>
        <w:tc>
          <w:tcPr>
            <w:tcW w:w="4606" w:type="dxa"/>
            <w:tcBorders>
              <w:top w:val="single" w:sz="4" w:space="0" w:color="auto"/>
            </w:tcBorders>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Optimal</w:t>
            </w:r>
          </w:p>
        </w:tc>
      </w:tr>
      <w:tr w:rsidR="000F7598" w:rsidRPr="00B27B47" w:rsidTr="00910292">
        <w:tc>
          <w:tcPr>
            <w:tcW w:w="4606" w:type="dxa"/>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150-190</w:t>
            </w:r>
          </w:p>
        </w:tc>
        <w:tc>
          <w:tcPr>
            <w:tcW w:w="4606" w:type="dxa"/>
            <w:shd w:val="clear" w:color="auto" w:fill="auto"/>
          </w:tcPr>
          <w:p w:rsidR="000F7598" w:rsidRPr="00B27B47" w:rsidRDefault="00910292"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Near</w:t>
            </w:r>
            <w:r w:rsidR="000F7598" w:rsidRPr="00B27B47">
              <w:rPr>
                <w:rFonts w:ascii="Book Antiqua" w:eastAsia="Times New Roman" w:hAnsi="Book Antiqua" w:cs="Calibri"/>
                <w:bCs/>
                <w:sz w:val="24"/>
                <w:szCs w:val="24"/>
                <w:lang w:val="en-US" w:eastAsia="de-DE"/>
              </w:rPr>
              <w:t>/above optimal</w:t>
            </w:r>
          </w:p>
        </w:tc>
      </w:tr>
      <w:tr w:rsidR="000F7598" w:rsidRPr="00B27B47" w:rsidTr="00910292">
        <w:tc>
          <w:tcPr>
            <w:tcW w:w="4606" w:type="dxa"/>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200-499</w:t>
            </w:r>
          </w:p>
        </w:tc>
        <w:tc>
          <w:tcPr>
            <w:tcW w:w="4606" w:type="dxa"/>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High</w:t>
            </w:r>
          </w:p>
        </w:tc>
      </w:tr>
      <w:tr w:rsidR="000F7598" w:rsidRPr="00B27B47" w:rsidTr="00910292">
        <w:tc>
          <w:tcPr>
            <w:tcW w:w="4606" w:type="dxa"/>
            <w:tcBorders>
              <w:bottom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500</w:t>
            </w:r>
          </w:p>
        </w:tc>
        <w:tc>
          <w:tcPr>
            <w:tcW w:w="4606" w:type="dxa"/>
            <w:tcBorders>
              <w:bottom w:val="single" w:sz="4" w:space="0" w:color="auto"/>
            </w:tcBorders>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very high</w:t>
            </w:r>
          </w:p>
        </w:tc>
      </w:tr>
    </w:tbl>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D65EDB" w:rsidRPr="00B27B47" w:rsidRDefault="008F4ED8">
      <w:pPr>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br w:type="page"/>
      </w:r>
    </w:p>
    <w:p w:rsidR="00D65EDB" w:rsidRPr="00B27B47" w:rsidRDefault="00D65EDB" w:rsidP="00D65EDB">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sz w:val="24"/>
          <w:szCs w:val="24"/>
          <w:lang w:val="en-US" w:eastAsia="de-DE"/>
        </w:rPr>
        <w:lastRenderedPageBreak/>
        <w:t xml:space="preserve">Table </w:t>
      </w:r>
      <w:r w:rsidRPr="00B27B47">
        <w:rPr>
          <w:rFonts w:ascii="Book Antiqua" w:hAnsi="Book Antiqua" w:cs="Calibri" w:hint="eastAsia"/>
          <w:b/>
          <w:sz w:val="24"/>
          <w:szCs w:val="24"/>
          <w:lang w:val="en-US" w:eastAsia="zh-CN"/>
        </w:rPr>
        <w:t xml:space="preserve">3 </w:t>
      </w:r>
      <w:r w:rsidRPr="00B27B47">
        <w:rPr>
          <w:rFonts w:ascii="Book Antiqua" w:eastAsia="Times New Roman" w:hAnsi="Book Antiqua" w:cs="Calibri"/>
          <w:b/>
          <w:bCs/>
          <w:sz w:val="24"/>
          <w:szCs w:val="24"/>
          <w:lang w:val="en-US" w:eastAsia="de-DE"/>
        </w:rPr>
        <w:t>Proposed targeted triglyceride serum concentrations in liver transplant recipients</w:t>
      </w:r>
      <w:r w:rsidRPr="00B27B47">
        <w:rPr>
          <w:rFonts w:ascii="Book Antiqua" w:eastAsia="Times New Roman" w:hAnsi="Book Antiqua" w:cs="Calibri"/>
          <w:b/>
          <w:bCs/>
          <w:sz w:val="24"/>
          <w:szCs w:val="24"/>
          <w:vertAlign w:val="superscript"/>
          <w:lang w:val="en-US" w:eastAsia="de-DE"/>
        </w:rPr>
        <w:t>[</w:t>
      </w:r>
      <w:r w:rsidRPr="00B27B47">
        <w:rPr>
          <w:rFonts w:ascii="Book Antiqua" w:eastAsia="Times New Roman" w:hAnsi="Book Antiqua" w:cs="Calibri"/>
          <w:b/>
          <w:bCs/>
          <w:sz w:val="24"/>
          <w:szCs w:val="24"/>
          <w:lang w:val="en-US" w:eastAsia="de-DE"/>
        </w:rPr>
        <w:fldChar w:fldCharType="begin"/>
      </w:r>
      <w:r w:rsidRPr="00B27B47">
        <w:rPr>
          <w:rFonts w:ascii="Book Antiqua" w:eastAsia="Times New Roman" w:hAnsi="Book Antiqua" w:cs="Calibri"/>
          <w:b/>
          <w:bCs/>
          <w:sz w:val="24"/>
          <w:szCs w:val="24"/>
          <w:lang w:val="en-US" w:eastAsia="de-DE"/>
        </w:rPr>
        <w:instrText xml:space="preserve"> ADDIN EN.CITE &lt;EndNote&gt;&lt;Cite&gt;&lt;Author&gt;al.&lt;/Author&gt;&lt;Year&gt;2013&lt;/Year&gt;&lt;RecNum&gt;29&lt;/RecNum&gt;&lt;record&gt;&lt;rec-number&gt;29&lt;/rec-number&gt;&lt;ref-type name="Report"&gt;27&lt;/ref-type&gt;&lt;contributors&gt;&lt;authors&gt;&lt;author&gt;Ganten T et al.&lt;/author&gt;&lt;/authors&gt;&lt;/contributors&gt;&lt;titles&gt;&lt;title&gt;Caremanagement unter Everolimus in der Lebertransplantation.&lt;/title&gt;&lt;/titles&gt;&lt;dates&gt;&lt;year&gt;2013&lt;/year&gt;&lt;/dates&gt;&lt;publisher&gt;Thieme Praxis Report&lt;/publisher&gt;&lt;urls&gt;&lt;/urls&gt;&lt;/record&gt;&lt;/Cite&gt;&lt;/EndNote&gt;</w:instrText>
      </w:r>
      <w:r w:rsidRPr="00B27B47">
        <w:rPr>
          <w:rFonts w:ascii="Book Antiqua" w:eastAsia="Times New Roman" w:hAnsi="Book Antiqua" w:cs="Calibri"/>
          <w:b/>
          <w:bCs/>
          <w:sz w:val="24"/>
          <w:szCs w:val="24"/>
          <w:lang w:val="en-US" w:eastAsia="de-DE"/>
        </w:rPr>
        <w:fldChar w:fldCharType="separate"/>
      </w:r>
      <w:r w:rsidRPr="00B27B47">
        <w:rPr>
          <w:rFonts w:ascii="Book Antiqua" w:eastAsia="Times New Roman" w:hAnsi="Book Antiqua" w:cs="Calibri"/>
          <w:b/>
          <w:bCs/>
          <w:sz w:val="24"/>
          <w:szCs w:val="24"/>
          <w:vertAlign w:val="superscript"/>
          <w:lang w:val="en-US" w:eastAsia="de-DE"/>
        </w:rPr>
        <w:t>4</w:t>
      </w:r>
      <w:r w:rsidRPr="00B27B47">
        <w:rPr>
          <w:rFonts w:ascii="Book Antiqua" w:hAnsi="Book Antiqua" w:cs="Calibri" w:hint="eastAsia"/>
          <w:b/>
          <w:bCs/>
          <w:sz w:val="24"/>
          <w:szCs w:val="24"/>
          <w:vertAlign w:val="superscript"/>
          <w:lang w:val="en-US" w:eastAsia="zh-CN"/>
        </w:rPr>
        <w:t>2</w:t>
      </w:r>
      <w:r w:rsidRPr="00B27B47">
        <w:rPr>
          <w:rFonts w:ascii="Book Antiqua" w:eastAsia="Times New Roman" w:hAnsi="Book Antiqua" w:cs="Calibri"/>
          <w:b/>
          <w:bCs/>
          <w:sz w:val="24"/>
          <w:szCs w:val="24"/>
          <w:lang w:val="en-US" w:eastAsia="de-DE"/>
        </w:rPr>
        <w:fldChar w:fldCharType="end"/>
      </w:r>
      <w:r w:rsidRPr="00B27B47">
        <w:rPr>
          <w:rFonts w:ascii="Book Antiqua" w:eastAsia="Times New Roman" w:hAnsi="Book Antiqua" w:cs="Calibri"/>
          <w:b/>
          <w:bCs/>
          <w:sz w:val="24"/>
          <w:szCs w:val="24"/>
          <w:vertAlign w:val="superscript"/>
          <w:lang w:val="en-US" w:eastAsia="de-DE"/>
        </w:rPr>
        <w:t>]</w:t>
      </w:r>
    </w:p>
    <w:tbl>
      <w:tblPr>
        <w:tblW w:w="0" w:type="auto"/>
        <w:tblLook w:val="04A0" w:firstRow="1" w:lastRow="0" w:firstColumn="1" w:lastColumn="0" w:noHBand="0" w:noVBand="1"/>
      </w:tblPr>
      <w:tblGrid>
        <w:gridCol w:w="9212"/>
      </w:tblGrid>
      <w:tr w:rsidR="00B27B47" w:rsidRPr="00B27B47" w:rsidTr="00C7415B">
        <w:tc>
          <w:tcPr>
            <w:tcW w:w="9212" w:type="dxa"/>
            <w:tcBorders>
              <w:top w:val="single" w:sz="4" w:space="0" w:color="auto"/>
              <w:bottom w:val="single" w:sz="4" w:space="0" w:color="auto"/>
            </w:tcBorders>
            <w:shd w:val="clear" w:color="auto" w:fill="auto"/>
          </w:tcPr>
          <w:p w:rsidR="00D65EDB" w:rsidRPr="00B27B47" w:rsidRDefault="00D65EDB" w:rsidP="00C7415B">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Triglyceride-targets and –limits</w:t>
            </w:r>
          </w:p>
        </w:tc>
      </w:tr>
      <w:tr w:rsidR="00B27B47" w:rsidRPr="00B27B47" w:rsidTr="00C7415B">
        <w:tc>
          <w:tcPr>
            <w:tcW w:w="9212" w:type="dxa"/>
            <w:tcBorders>
              <w:top w:val="single" w:sz="4" w:space="0" w:color="auto"/>
            </w:tcBorders>
            <w:shd w:val="clear" w:color="auto" w:fill="auto"/>
          </w:tcPr>
          <w:p w:rsidR="00D65EDB" w:rsidRPr="00B27B47" w:rsidRDefault="00D65EDB" w:rsidP="00C7415B">
            <w:pPr>
              <w:adjustRightInd w:val="0"/>
              <w:snapToGrid w:val="0"/>
              <w:spacing w:after="0" w:line="360" w:lineRule="auto"/>
              <w:jc w:val="both"/>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t>Triglyceride-targeted serum concentrations &lt;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200</w:t>
            </w:r>
            <w:r w:rsidR="00E970AA">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mg/d</w:t>
            </w:r>
            <w:r w:rsidRPr="00B27B47">
              <w:rPr>
                <w:rFonts w:ascii="Book Antiqua" w:hAnsi="Book Antiqua" w:cs="Calibri" w:hint="eastAsia"/>
                <w:bCs/>
                <w:sz w:val="24"/>
                <w:szCs w:val="24"/>
                <w:lang w:val="en-US" w:eastAsia="zh-CN"/>
              </w:rPr>
              <w:t>L</w:t>
            </w:r>
          </w:p>
        </w:tc>
      </w:tr>
      <w:tr w:rsidR="00B27B47" w:rsidRPr="00B27B47" w:rsidTr="00C7415B">
        <w:tc>
          <w:tcPr>
            <w:tcW w:w="9212" w:type="dxa"/>
            <w:shd w:val="clear" w:color="auto" w:fill="auto"/>
          </w:tcPr>
          <w:p w:rsidR="00D65EDB" w:rsidRPr="00B27B47" w:rsidRDefault="00D65EDB" w:rsidP="002333F9">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Triglycerides &lt;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400 mg/d</w:t>
            </w:r>
            <w:r w:rsidR="002333F9">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with life-style intervention</w:t>
            </w:r>
            <w:r w:rsidRPr="00B27B47">
              <w:rPr>
                <w:rFonts w:ascii="Book Antiqua" w:hAnsi="Book Antiqua" w:cs="Calibri" w:hint="eastAsia"/>
                <w:bCs/>
                <w:sz w:val="24"/>
                <w:szCs w:val="24"/>
                <w:vertAlign w:val="superscript"/>
                <w:lang w:val="en-US" w:eastAsia="zh-CN"/>
              </w:rPr>
              <w:t>1</w:t>
            </w:r>
            <w:r w:rsidRPr="00B27B47">
              <w:rPr>
                <w:rFonts w:ascii="Book Antiqua" w:eastAsia="Times New Roman" w:hAnsi="Book Antiqua" w:cs="Calibri"/>
                <w:bCs/>
                <w:sz w:val="24"/>
                <w:szCs w:val="24"/>
                <w:lang w:val="en-US" w:eastAsia="de-DE"/>
              </w:rPr>
              <w:t>: tolerable</w:t>
            </w:r>
          </w:p>
        </w:tc>
      </w:tr>
      <w:tr w:rsidR="00B27B47" w:rsidRPr="00B27B47" w:rsidTr="00C7415B">
        <w:tc>
          <w:tcPr>
            <w:tcW w:w="9212" w:type="dxa"/>
            <w:shd w:val="clear" w:color="auto" w:fill="auto"/>
          </w:tcPr>
          <w:p w:rsidR="00D65EDB" w:rsidRPr="00B27B47" w:rsidRDefault="00D65EDB" w:rsidP="00C7415B">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Triglycerides &lt;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500 mg/d</w:t>
            </w:r>
            <w:r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despite lipid-lowering medication before start of immunosuppression: no initiation of therapy with mTOR-inhibitors </w:t>
            </w:r>
          </w:p>
        </w:tc>
      </w:tr>
      <w:tr w:rsidR="00B27B47" w:rsidRPr="00B27B47" w:rsidTr="00C7415B">
        <w:tc>
          <w:tcPr>
            <w:tcW w:w="9212" w:type="dxa"/>
            <w:tcBorders>
              <w:bottom w:val="single" w:sz="4" w:space="0" w:color="auto"/>
            </w:tcBorders>
            <w:shd w:val="clear" w:color="auto" w:fill="auto"/>
          </w:tcPr>
          <w:p w:rsidR="00D65EDB" w:rsidRPr="00B27B47" w:rsidRDefault="00D65EDB" w:rsidP="00C7415B">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Triglycerides &gt;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500 mg/d</w:t>
            </w:r>
            <w:r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xml:space="preserve"> under mTOR-inhibitors: if despite therapy triglycerides &lt;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500 mg/d</w:t>
            </w:r>
            <w:r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 change to different group of immunosuppressant (or reduce doses)</w:t>
            </w:r>
          </w:p>
        </w:tc>
      </w:tr>
    </w:tbl>
    <w:p w:rsidR="00F9016B" w:rsidRPr="00B27B47" w:rsidRDefault="00F9016B" w:rsidP="00F9016B">
      <w:pPr>
        <w:adjustRightInd w:val="0"/>
        <w:snapToGrid w:val="0"/>
        <w:spacing w:after="0" w:line="360" w:lineRule="auto"/>
        <w:jc w:val="both"/>
        <w:rPr>
          <w:rFonts w:ascii="Book Antiqua" w:hAnsi="Book Antiqua" w:cs="Calibri"/>
          <w:bCs/>
          <w:sz w:val="24"/>
          <w:szCs w:val="24"/>
          <w:lang w:val="en-US" w:eastAsia="zh-CN"/>
        </w:rPr>
      </w:pPr>
      <w:r w:rsidRPr="00B27B47">
        <w:rPr>
          <w:rFonts w:ascii="Book Antiqua" w:hAnsi="Book Antiqua" w:cs="Calibri" w:hint="eastAsia"/>
          <w:bCs/>
          <w:sz w:val="24"/>
          <w:szCs w:val="24"/>
          <w:vertAlign w:val="superscript"/>
          <w:lang w:val="en-US" w:eastAsia="zh-CN"/>
        </w:rPr>
        <w:t>1</w:t>
      </w:r>
      <w:r w:rsidRPr="00B27B47">
        <w:rPr>
          <w:rFonts w:ascii="Book Antiqua" w:hAnsi="Book Antiqua" w:cs="Calibri" w:hint="eastAsia"/>
          <w:bCs/>
          <w:sz w:val="24"/>
          <w:szCs w:val="24"/>
          <w:lang w:val="en-US" w:eastAsia="zh-CN"/>
        </w:rPr>
        <w:t>L</w:t>
      </w:r>
      <w:r w:rsidRPr="00B27B47">
        <w:rPr>
          <w:rFonts w:ascii="Book Antiqua" w:eastAsia="Times New Roman" w:hAnsi="Book Antiqua" w:cs="Calibri"/>
          <w:bCs/>
          <w:sz w:val="24"/>
          <w:szCs w:val="24"/>
          <w:lang w:val="en-US" w:eastAsia="de-DE"/>
        </w:rPr>
        <w:t>ife-style modification/ therapy (lipid-lowering medication)</w:t>
      </w:r>
      <w:r w:rsidRPr="00B27B47">
        <w:rPr>
          <w:rFonts w:ascii="Book Antiqua" w:hAnsi="Book Antiqua" w:cs="Calibri" w:hint="eastAsia"/>
          <w:bCs/>
          <w:sz w:val="24"/>
          <w:szCs w:val="24"/>
          <w:lang w:val="en-US" w:eastAsia="zh-CN"/>
        </w:rPr>
        <w:t xml:space="preserve">: (1) </w:t>
      </w:r>
      <w:r w:rsidRPr="00B27B47">
        <w:rPr>
          <w:rFonts w:ascii="Book Antiqua" w:eastAsia="Times New Roman" w:hAnsi="Book Antiqua" w:cs="Calibri"/>
          <w:bCs/>
          <w:sz w:val="24"/>
          <w:szCs w:val="24"/>
          <w:lang w:val="en-US" w:eastAsia="de-DE"/>
        </w:rPr>
        <w:t>weight loss</w:t>
      </w:r>
      <w:r w:rsidRPr="00B27B47">
        <w:rPr>
          <w:rFonts w:ascii="Book Antiqua" w:hAnsi="Book Antiqua" w:cs="Calibri" w:hint="eastAsia"/>
          <w:bCs/>
          <w:sz w:val="24"/>
          <w:szCs w:val="24"/>
          <w:lang w:val="en-US" w:eastAsia="zh-CN"/>
        </w:rPr>
        <w:t xml:space="preserve">; (2) </w:t>
      </w:r>
      <w:r w:rsidRPr="00B27B47">
        <w:rPr>
          <w:rFonts w:ascii="Book Antiqua" w:eastAsia="Times New Roman" w:hAnsi="Book Antiqua" w:cs="Calibri"/>
          <w:bCs/>
          <w:sz w:val="24"/>
          <w:szCs w:val="24"/>
          <w:lang w:val="en-US" w:eastAsia="de-DE"/>
        </w:rPr>
        <w:t>increase physical activity</w:t>
      </w:r>
      <w:r w:rsidRPr="00B27B47">
        <w:rPr>
          <w:rFonts w:ascii="Book Antiqua" w:hAnsi="Book Antiqua" w:cs="Calibri" w:hint="eastAsia"/>
          <w:bCs/>
          <w:sz w:val="24"/>
          <w:szCs w:val="24"/>
          <w:lang w:val="en-US" w:eastAsia="zh-CN"/>
        </w:rPr>
        <w:t xml:space="preserve">; (3) </w:t>
      </w:r>
      <w:r w:rsidRPr="00B27B47">
        <w:rPr>
          <w:rFonts w:ascii="Book Antiqua" w:eastAsia="Times New Roman" w:hAnsi="Book Antiqua" w:cs="Calibri"/>
          <w:bCs/>
          <w:sz w:val="24"/>
          <w:szCs w:val="24"/>
          <w:lang w:val="en-US" w:eastAsia="de-DE"/>
        </w:rPr>
        <w:t>optimize glucose-metabolism</w:t>
      </w:r>
      <w:r w:rsidRPr="00B27B47">
        <w:rPr>
          <w:rFonts w:ascii="Book Antiqua" w:hAnsi="Book Antiqua" w:cs="Calibri" w:hint="eastAsia"/>
          <w:bCs/>
          <w:sz w:val="24"/>
          <w:szCs w:val="24"/>
          <w:lang w:val="en-US" w:eastAsia="zh-CN"/>
        </w:rPr>
        <w:t xml:space="preserve">; and (4) </w:t>
      </w:r>
      <w:r w:rsidRPr="00B27B47">
        <w:rPr>
          <w:rFonts w:ascii="Book Antiqua" w:eastAsia="Times New Roman" w:hAnsi="Book Antiqua" w:cs="Calibri"/>
          <w:bCs/>
          <w:sz w:val="24"/>
          <w:szCs w:val="24"/>
          <w:lang w:val="en-US" w:eastAsia="de-DE"/>
        </w:rPr>
        <w:t>lipid lowering agents</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w:t>
      </w:r>
      <w:r w:rsidRPr="00B27B47">
        <w:rPr>
          <w:rFonts w:ascii="Book Antiqua" w:hAnsi="Book Antiqua" w:cs="Calibri"/>
          <w:bCs/>
          <w:sz w:val="24"/>
          <w:szCs w:val="24"/>
          <w:lang w:val="en-US" w:eastAsia="zh-CN"/>
        </w:rPr>
        <w:t>mTOR</w:t>
      </w:r>
      <w:r w:rsidRPr="00B27B47">
        <w:rPr>
          <w:rFonts w:ascii="Book Antiqua" w:hAnsi="Book Antiqua" w:cs="Calibri" w:hint="eastAsia"/>
          <w:bCs/>
          <w:sz w:val="24"/>
          <w:szCs w:val="24"/>
          <w:lang w:val="en-US" w:eastAsia="zh-CN"/>
        </w:rPr>
        <w:t xml:space="preserve">: </w:t>
      </w:r>
      <w:bookmarkStart w:id="545" w:name="OLE_LINK2829"/>
      <w:bookmarkStart w:id="546" w:name="OLE_LINK2830"/>
      <w:r w:rsidRPr="00B27B47">
        <w:rPr>
          <w:rFonts w:ascii="Book Antiqua" w:hAnsi="Book Antiqua" w:cs="Calibri"/>
          <w:bCs/>
          <w:sz w:val="24"/>
          <w:szCs w:val="24"/>
          <w:lang w:val="en-US" w:eastAsia="zh-CN"/>
        </w:rPr>
        <w:t>Mammalian target of rapamycin</w:t>
      </w:r>
      <w:bookmarkEnd w:id="545"/>
      <w:bookmarkEnd w:id="546"/>
      <w:r w:rsidRPr="00B27B47">
        <w:rPr>
          <w:rFonts w:ascii="Book Antiqua" w:hAnsi="Book Antiqua" w:cs="Calibri"/>
          <w:bCs/>
          <w:sz w:val="24"/>
          <w:szCs w:val="24"/>
          <w:lang w:val="en-US" w:eastAsia="zh-CN"/>
        </w:rPr>
        <w:t>.</w:t>
      </w:r>
    </w:p>
    <w:p w:rsidR="00D65EDB" w:rsidRPr="00B27B47" w:rsidRDefault="00D65EDB">
      <w:r w:rsidRPr="00B27B47">
        <w:br w:type="page"/>
      </w:r>
    </w:p>
    <w:p w:rsidR="008F4ED8" w:rsidRPr="00B27B47" w:rsidRDefault="008F4ED8">
      <w:pPr>
        <w:rPr>
          <w:rFonts w:ascii="Book Antiqua" w:eastAsia="Times New Roman" w:hAnsi="Book Antiqua" w:cs="Calibri"/>
          <w:b/>
          <w:sz w:val="24"/>
          <w:szCs w:val="24"/>
          <w:lang w:val="en-US" w:eastAsia="de-DE"/>
        </w:rPr>
      </w:pPr>
    </w:p>
    <w:p w:rsidR="000F7598" w:rsidRPr="00B27B47" w:rsidRDefault="000F7598" w:rsidP="003E1943">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sz w:val="24"/>
          <w:szCs w:val="24"/>
          <w:lang w:val="en-US" w:eastAsia="de-DE"/>
        </w:rPr>
        <w:t xml:space="preserve">Table </w:t>
      </w:r>
      <w:r w:rsidR="008F4ED8" w:rsidRPr="00B27B47">
        <w:rPr>
          <w:rFonts w:ascii="Book Antiqua" w:hAnsi="Book Antiqua" w:cs="Calibri" w:hint="eastAsia"/>
          <w:b/>
          <w:sz w:val="24"/>
          <w:szCs w:val="24"/>
          <w:lang w:val="en-US" w:eastAsia="zh-CN"/>
        </w:rPr>
        <w:t>4</w:t>
      </w:r>
      <w:r w:rsidRPr="00B27B47">
        <w:rPr>
          <w:rFonts w:ascii="Book Antiqua" w:eastAsia="Times New Roman" w:hAnsi="Book Antiqua" w:cs="Calibri"/>
          <w:b/>
          <w:bCs/>
          <w:sz w:val="24"/>
          <w:szCs w:val="24"/>
          <w:lang w:val="en-US" w:eastAsia="de-DE"/>
        </w:rPr>
        <w:t xml:space="preserve"> Serum </w:t>
      </w:r>
      <w:r w:rsidR="00910292" w:rsidRPr="00B27B47">
        <w:rPr>
          <w:rFonts w:ascii="Book Antiqua" w:eastAsia="Times New Roman" w:hAnsi="Book Antiqua" w:cs="Calibri"/>
          <w:b/>
          <w:bCs/>
          <w:sz w:val="24"/>
          <w:szCs w:val="24"/>
          <w:lang w:val="en-US" w:eastAsia="de-DE"/>
        </w:rPr>
        <w:t>high density lipoprotein</w:t>
      </w:r>
      <w:r w:rsidRPr="00B27B47">
        <w:rPr>
          <w:rFonts w:ascii="Book Antiqua" w:eastAsia="Times New Roman" w:hAnsi="Book Antiqua" w:cs="Calibri"/>
          <w:b/>
          <w:bCs/>
          <w:sz w:val="24"/>
          <w:szCs w:val="24"/>
          <w:lang w:val="en-US" w:eastAsia="de-DE"/>
        </w:rPr>
        <w:t>-cholesterol concentrations and predicted atherogenic impact</w:t>
      </w:r>
      <w:r w:rsidRPr="00B27B47">
        <w:rPr>
          <w:rFonts w:ascii="Book Antiqua" w:eastAsia="Times New Roman" w:hAnsi="Book Antiqua" w:cs="Calibri"/>
          <w:b/>
          <w:bCs/>
          <w:sz w:val="24"/>
          <w:szCs w:val="24"/>
          <w:vertAlign w:val="superscript"/>
          <w:lang w:val="en-US" w:eastAsia="de-DE"/>
        </w:rPr>
        <w:t>[</w:t>
      </w:r>
      <w:r w:rsidRPr="00B27B47">
        <w:rPr>
          <w:rFonts w:ascii="Book Antiqua" w:eastAsia="Times New Roman" w:hAnsi="Book Antiqua" w:cs="Calibri"/>
          <w:b/>
          <w:bCs/>
          <w:sz w:val="24"/>
          <w:szCs w:val="24"/>
          <w:lang w:val="en-US" w:eastAsia="de-DE"/>
        </w:rPr>
        <w:fldChar w:fldCharType="begin"/>
      </w:r>
      <w:r w:rsidRPr="00B27B47">
        <w:rPr>
          <w:rFonts w:ascii="Book Antiqua" w:eastAsia="Times New Roman" w:hAnsi="Book Antiqua" w:cs="Calibri"/>
          <w:b/>
          <w:bCs/>
          <w:sz w:val="24"/>
          <w:szCs w:val="24"/>
          <w:lang w:val="en-US" w:eastAsia="de-DE"/>
        </w:rPr>
        <w:instrText xml:space="preserve"> ADDIN EN.CITE &lt;EndNote&gt;&lt;Cite&gt;&lt;Author&gt;health)&lt;/Author&gt;&lt;RecNum&gt;11&lt;/RecNum&gt;&lt;record&gt;&lt;rec-number&gt;11&lt;/rec-number&gt;&lt;ref-type name="Web Page"&gt;12&lt;/ref-type&gt;&lt;contributors&gt;&lt;authors&gt;&lt;author&gt;NIH (national institutes of health) &lt;/author&gt;&lt;/authors&gt;&lt;/contributors&gt;&lt;titles&gt;&lt;title&gt;ATP III Update 2004: Implications of recent clinical trials for the ATP III guidelines. &lt;/title&gt;&lt;/titles&gt;&lt;dates&gt;&lt;/dates&gt;&lt;urls&gt;&lt;related-urls&gt;&lt;url&gt;www.nhlbi.nih.gov/guidelines/cholesterol/atp3upd04.htm&lt;/url&gt;&lt;/related-urls&gt;&lt;/urls&gt;&lt;access-date&gt;10.01.2015&lt;/access-date&gt;&lt;/record&gt;&lt;/Cite&gt;&lt;/EndNote&gt;</w:instrText>
      </w:r>
      <w:r w:rsidRPr="00B27B47">
        <w:rPr>
          <w:rFonts w:ascii="Book Antiqua" w:eastAsia="Times New Roman" w:hAnsi="Book Antiqua" w:cs="Calibri"/>
          <w:b/>
          <w:bCs/>
          <w:sz w:val="24"/>
          <w:szCs w:val="24"/>
          <w:lang w:val="en-US" w:eastAsia="de-DE"/>
        </w:rPr>
        <w:fldChar w:fldCharType="separate"/>
      </w:r>
      <w:r w:rsidRPr="00B27B47">
        <w:rPr>
          <w:rFonts w:ascii="Book Antiqua" w:eastAsia="Times New Roman" w:hAnsi="Book Antiqua" w:cs="Calibri"/>
          <w:b/>
          <w:bCs/>
          <w:sz w:val="24"/>
          <w:szCs w:val="24"/>
          <w:vertAlign w:val="superscript"/>
          <w:lang w:val="en-US" w:eastAsia="de-DE"/>
        </w:rPr>
        <w:t>25</w:t>
      </w:r>
      <w:r w:rsidRPr="00B27B47">
        <w:rPr>
          <w:rFonts w:ascii="Book Antiqua" w:eastAsia="Times New Roman" w:hAnsi="Book Antiqua" w:cs="Calibri"/>
          <w:b/>
          <w:bCs/>
          <w:sz w:val="24"/>
          <w:szCs w:val="24"/>
          <w:lang w:val="en-US" w:eastAsia="de-DE"/>
        </w:rPr>
        <w:fldChar w:fldCharType="end"/>
      </w:r>
      <w:r w:rsidR="00910292" w:rsidRPr="00B27B47">
        <w:rPr>
          <w:rFonts w:ascii="Book Antiqua" w:eastAsia="Times New Roman" w:hAnsi="Book Antiqua" w:cs="Calibri"/>
          <w:b/>
          <w:bCs/>
          <w:sz w:val="24"/>
          <w:szCs w:val="24"/>
          <w:vertAlign w:val="superscript"/>
          <w:lang w:val="en-US" w:eastAsia="de-DE"/>
        </w:rPr>
        <w:t>]</w:t>
      </w:r>
    </w:p>
    <w:tbl>
      <w:tblPr>
        <w:tblW w:w="0" w:type="auto"/>
        <w:tblLook w:val="01E0" w:firstRow="1" w:lastRow="1" w:firstColumn="1" w:lastColumn="1" w:noHBand="0" w:noVBand="0"/>
      </w:tblPr>
      <w:tblGrid>
        <w:gridCol w:w="4606"/>
        <w:gridCol w:w="4606"/>
      </w:tblGrid>
      <w:tr w:rsidR="000F7598" w:rsidRPr="00B27B47" w:rsidTr="00910292">
        <w:tc>
          <w:tcPr>
            <w:tcW w:w="4606" w:type="dxa"/>
            <w:tcBorders>
              <w:top w:val="single" w:sz="4" w:space="0" w:color="auto"/>
              <w:bottom w:val="single" w:sz="4" w:space="0" w:color="auto"/>
            </w:tcBorders>
            <w:shd w:val="clear" w:color="auto" w:fill="auto"/>
          </w:tcPr>
          <w:p w:rsidR="000F7598" w:rsidRPr="00B27B47" w:rsidRDefault="000F7598" w:rsidP="00910292">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HDL-cholesterol (mg/d</w:t>
            </w:r>
            <w:r w:rsidR="00910292" w:rsidRPr="00B27B47">
              <w:rPr>
                <w:rFonts w:ascii="Book Antiqua" w:hAnsi="Book Antiqua" w:cs="Calibri" w:hint="eastAsia"/>
                <w:b/>
                <w:bCs/>
                <w:sz w:val="24"/>
                <w:szCs w:val="24"/>
                <w:lang w:val="en-US" w:eastAsia="zh-CN"/>
              </w:rPr>
              <w:t>L</w:t>
            </w:r>
            <w:r w:rsidRPr="00B27B47">
              <w:rPr>
                <w:rFonts w:ascii="Book Antiqua" w:eastAsia="Times New Roman" w:hAnsi="Book Antiqua" w:cs="Calibri"/>
                <w:b/>
                <w:bCs/>
                <w:sz w:val="24"/>
                <w:szCs w:val="24"/>
                <w:lang w:val="en-US" w:eastAsia="de-DE"/>
              </w:rPr>
              <w:t>)</w:t>
            </w:r>
          </w:p>
        </w:tc>
        <w:tc>
          <w:tcPr>
            <w:tcW w:w="4606" w:type="dxa"/>
            <w:tcBorders>
              <w:top w:val="single" w:sz="4" w:space="0" w:color="auto"/>
              <w:bottom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tc>
      </w:tr>
      <w:tr w:rsidR="000F7598" w:rsidRPr="00B27B47" w:rsidTr="00910292">
        <w:tc>
          <w:tcPr>
            <w:tcW w:w="4606" w:type="dxa"/>
            <w:tcBorders>
              <w:top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&gt; 60</w:t>
            </w:r>
          </w:p>
        </w:tc>
        <w:tc>
          <w:tcPr>
            <w:tcW w:w="4606" w:type="dxa"/>
            <w:tcBorders>
              <w:top w:val="single" w:sz="4" w:space="0" w:color="auto"/>
            </w:tcBorders>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Optimal</w:t>
            </w:r>
          </w:p>
        </w:tc>
      </w:tr>
      <w:tr w:rsidR="000F7598" w:rsidRPr="00B27B47" w:rsidTr="00910292">
        <w:tc>
          <w:tcPr>
            <w:tcW w:w="4606" w:type="dxa"/>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40-60</w:t>
            </w:r>
          </w:p>
        </w:tc>
        <w:tc>
          <w:tcPr>
            <w:tcW w:w="4606" w:type="dxa"/>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Near </w:t>
            </w:r>
            <w:r w:rsidR="000F7598" w:rsidRPr="00B27B47">
              <w:rPr>
                <w:rFonts w:ascii="Book Antiqua" w:eastAsia="Times New Roman" w:hAnsi="Book Antiqua" w:cs="Calibri"/>
                <w:bCs/>
                <w:sz w:val="24"/>
                <w:szCs w:val="24"/>
                <w:lang w:val="en-US" w:eastAsia="de-DE"/>
              </w:rPr>
              <w:t>optimal</w:t>
            </w:r>
          </w:p>
        </w:tc>
      </w:tr>
      <w:tr w:rsidR="000F7598" w:rsidRPr="00B27B47" w:rsidTr="00910292">
        <w:tc>
          <w:tcPr>
            <w:tcW w:w="4606" w:type="dxa"/>
            <w:tcBorders>
              <w:bottom w:val="single" w:sz="4" w:space="0" w:color="auto"/>
            </w:tcBorders>
            <w:shd w:val="clear" w:color="auto" w:fill="auto"/>
          </w:tcPr>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&lt; 40</w:t>
            </w:r>
          </w:p>
        </w:tc>
        <w:tc>
          <w:tcPr>
            <w:tcW w:w="4606" w:type="dxa"/>
            <w:tcBorders>
              <w:bottom w:val="single" w:sz="4" w:space="0" w:color="auto"/>
            </w:tcBorders>
            <w:shd w:val="clear" w:color="auto" w:fill="auto"/>
          </w:tcPr>
          <w:p w:rsidR="000F7598" w:rsidRPr="00B27B47" w:rsidRDefault="00910292"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Atherogenic</w:t>
            </w:r>
          </w:p>
        </w:tc>
      </w:tr>
    </w:tbl>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HDL</w:t>
      </w:r>
      <w:r w:rsidR="00910292"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w:t>
      </w:r>
      <w:r w:rsidR="00910292" w:rsidRPr="00B27B47">
        <w:rPr>
          <w:rFonts w:ascii="Book Antiqua" w:eastAsia="Times New Roman" w:hAnsi="Book Antiqua" w:cs="Calibri"/>
          <w:bCs/>
          <w:sz w:val="24"/>
          <w:szCs w:val="24"/>
          <w:lang w:val="en-US" w:eastAsia="de-DE"/>
        </w:rPr>
        <w:t xml:space="preserve">High </w:t>
      </w:r>
      <w:r w:rsidRPr="00B27B47">
        <w:rPr>
          <w:rFonts w:ascii="Book Antiqua" w:eastAsia="Times New Roman" w:hAnsi="Book Antiqua" w:cs="Calibri"/>
          <w:bCs/>
          <w:sz w:val="24"/>
          <w:szCs w:val="24"/>
          <w:lang w:val="en-US" w:eastAsia="de-DE"/>
        </w:rPr>
        <w:t>density lipoprotein.</w:t>
      </w:r>
    </w:p>
    <w:p w:rsidR="000F7598" w:rsidRPr="00B27B47" w:rsidRDefault="000F7598" w:rsidP="003E1943">
      <w:pPr>
        <w:adjustRightInd w:val="0"/>
        <w:snapToGrid w:val="0"/>
        <w:spacing w:after="0" w:line="360" w:lineRule="auto"/>
        <w:jc w:val="both"/>
        <w:rPr>
          <w:rFonts w:ascii="Book Antiqua" w:eastAsia="Times New Roman" w:hAnsi="Book Antiqua" w:cs="Calibri"/>
          <w:bCs/>
          <w:sz w:val="24"/>
          <w:szCs w:val="24"/>
          <w:lang w:val="en-US" w:eastAsia="de-DE"/>
        </w:rPr>
      </w:pPr>
    </w:p>
    <w:p w:rsidR="00910292" w:rsidRPr="00B27B47" w:rsidRDefault="00910292">
      <w:pPr>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br w:type="page"/>
      </w:r>
    </w:p>
    <w:p w:rsidR="000F7598" w:rsidRPr="00B27B47" w:rsidRDefault="000F7598" w:rsidP="003E1943">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sz w:val="24"/>
          <w:szCs w:val="24"/>
          <w:lang w:val="en-US" w:eastAsia="de-DE"/>
        </w:rPr>
        <w:lastRenderedPageBreak/>
        <w:t xml:space="preserve">Table </w:t>
      </w:r>
      <w:r w:rsidR="008F4ED8" w:rsidRPr="00B27B47">
        <w:rPr>
          <w:rFonts w:ascii="Book Antiqua" w:hAnsi="Book Antiqua" w:cs="Calibri" w:hint="eastAsia"/>
          <w:b/>
          <w:sz w:val="24"/>
          <w:szCs w:val="24"/>
          <w:lang w:val="en-US" w:eastAsia="zh-CN"/>
        </w:rPr>
        <w:t>5</w:t>
      </w:r>
      <w:r w:rsidR="00910292" w:rsidRPr="00B27B47">
        <w:rPr>
          <w:rFonts w:ascii="Book Antiqua" w:hAnsi="Book Antiqua" w:cs="Calibri" w:hint="eastAsia"/>
          <w:b/>
          <w:sz w:val="24"/>
          <w:szCs w:val="24"/>
          <w:lang w:val="en-US" w:eastAsia="zh-CN"/>
        </w:rPr>
        <w:t xml:space="preserve"> </w:t>
      </w:r>
      <w:r w:rsidRPr="00B27B47">
        <w:rPr>
          <w:rFonts w:ascii="Book Antiqua" w:eastAsia="Times New Roman" w:hAnsi="Book Antiqua" w:cs="Calibri"/>
          <w:b/>
          <w:bCs/>
          <w:sz w:val="24"/>
          <w:szCs w:val="24"/>
          <w:lang w:val="en-US" w:eastAsia="de-DE"/>
        </w:rPr>
        <w:t>Criteria of the metabolic syndrome (3 of 5 criteria have to be fulfilled)</w:t>
      </w:r>
      <w:r w:rsidRPr="00B27B47">
        <w:rPr>
          <w:rFonts w:ascii="Book Antiqua" w:eastAsia="Times New Roman" w:hAnsi="Book Antiqua" w:cs="Calibri"/>
          <w:b/>
          <w:bCs/>
          <w:sz w:val="24"/>
          <w:szCs w:val="24"/>
          <w:vertAlign w:val="superscript"/>
          <w:lang w:val="en-US" w:eastAsia="de-DE"/>
        </w:rPr>
        <w:t>[</w:t>
      </w:r>
      <w:r w:rsidRPr="00B27B47">
        <w:rPr>
          <w:rFonts w:ascii="Book Antiqua" w:eastAsia="Times New Roman" w:hAnsi="Book Antiqua" w:cs="Calibri"/>
          <w:b/>
          <w:bCs/>
          <w:sz w:val="24"/>
          <w:szCs w:val="24"/>
          <w:lang w:val="en-US" w:eastAsia="de-DE"/>
        </w:rPr>
        <w:fldChar w:fldCharType="begin"/>
      </w:r>
      <w:r w:rsidRPr="00B27B47">
        <w:rPr>
          <w:rFonts w:ascii="Book Antiqua" w:eastAsia="Times New Roman" w:hAnsi="Book Antiqua" w:cs="Calibri"/>
          <w:b/>
          <w:bCs/>
          <w:sz w:val="24"/>
          <w:szCs w:val="24"/>
          <w:lang w:val="en-US" w:eastAsia="de-DE"/>
        </w:rPr>
        <w:instrText xml:space="preserve"> ADDIN EN.CITE &lt;EndNote&gt;&lt;Cite&gt;&lt;Author&gt;health)&lt;/Author&gt;&lt;RecNum&gt;11&lt;/RecNum&gt;&lt;record&gt;&lt;rec-number&gt;11&lt;/rec-number&gt;&lt;ref-type name="Web Page"&gt;12&lt;/ref-type&gt;&lt;contributors&gt;&lt;authors&gt;&lt;author&gt;NIH (national institutes of health) &lt;/author&gt;&lt;/authors&gt;&lt;/contributors&gt;&lt;titles&gt;&lt;title&gt;ATP III Update 2004: Implications of recent clinical trials for the ATP III guidelines. &lt;/title&gt;&lt;/titles&gt;&lt;dates&gt;&lt;/dates&gt;&lt;urls&gt;&lt;related-urls&gt;&lt;url&gt;www.nhlbi.nih.gov/guidelines/cholesterol/atp3upd04.htm&lt;/url&gt;&lt;/related-urls&gt;&lt;/urls&gt;&lt;access-date&gt;10.01.2015&lt;/access-date&gt;&lt;/record&gt;&lt;/Cite&gt;&lt;/EndNote&gt;</w:instrText>
      </w:r>
      <w:r w:rsidRPr="00B27B47">
        <w:rPr>
          <w:rFonts w:ascii="Book Antiqua" w:eastAsia="Times New Roman" w:hAnsi="Book Antiqua" w:cs="Calibri"/>
          <w:b/>
          <w:bCs/>
          <w:sz w:val="24"/>
          <w:szCs w:val="24"/>
          <w:lang w:val="en-US" w:eastAsia="de-DE"/>
        </w:rPr>
        <w:fldChar w:fldCharType="separate"/>
      </w:r>
      <w:r w:rsidRPr="00B27B47">
        <w:rPr>
          <w:rFonts w:ascii="Book Antiqua" w:eastAsia="Times New Roman" w:hAnsi="Book Antiqua" w:cs="Calibri"/>
          <w:b/>
          <w:bCs/>
          <w:sz w:val="24"/>
          <w:szCs w:val="24"/>
          <w:vertAlign w:val="superscript"/>
          <w:lang w:val="en-US" w:eastAsia="de-DE"/>
        </w:rPr>
        <w:t>25</w:t>
      </w:r>
      <w:r w:rsidRPr="00B27B47">
        <w:rPr>
          <w:rFonts w:ascii="Book Antiqua" w:eastAsia="Times New Roman" w:hAnsi="Book Antiqua" w:cs="Calibri"/>
          <w:b/>
          <w:bCs/>
          <w:sz w:val="24"/>
          <w:szCs w:val="24"/>
          <w:lang w:val="en-US" w:eastAsia="de-DE"/>
        </w:rPr>
        <w:fldChar w:fldCharType="end"/>
      </w:r>
      <w:r w:rsidR="00910292" w:rsidRPr="00B27B47">
        <w:rPr>
          <w:rFonts w:ascii="Book Antiqua" w:eastAsia="Times New Roman" w:hAnsi="Book Antiqua" w:cs="Calibri"/>
          <w:b/>
          <w:bCs/>
          <w:sz w:val="24"/>
          <w:szCs w:val="24"/>
          <w:vertAlign w:val="superscript"/>
          <w:lang w:val="en-US" w:eastAsia="de-DE"/>
        </w:rPr>
        <w:t>]</w:t>
      </w:r>
    </w:p>
    <w:tbl>
      <w:tblPr>
        <w:tblW w:w="0" w:type="auto"/>
        <w:tblLook w:val="04A0" w:firstRow="1" w:lastRow="0" w:firstColumn="1" w:lastColumn="0" w:noHBand="0" w:noVBand="1"/>
      </w:tblPr>
      <w:tblGrid>
        <w:gridCol w:w="4606"/>
        <w:gridCol w:w="4606"/>
      </w:tblGrid>
      <w:tr w:rsidR="000F7598" w:rsidRPr="00B27B47" w:rsidTr="00910292">
        <w:tc>
          <w:tcPr>
            <w:tcW w:w="4606" w:type="dxa"/>
            <w:tcBorders>
              <w:top w:val="single" w:sz="4" w:space="0" w:color="auto"/>
              <w:bottom w:val="single" w:sz="4" w:space="0" w:color="auto"/>
            </w:tcBorders>
            <w:shd w:val="clear" w:color="auto" w:fill="auto"/>
          </w:tcPr>
          <w:p w:rsidR="000F7598" w:rsidRPr="00B27B47" w:rsidRDefault="000F7598" w:rsidP="00910292">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Risk factor</w:t>
            </w:r>
          </w:p>
        </w:tc>
        <w:tc>
          <w:tcPr>
            <w:tcW w:w="4606" w:type="dxa"/>
            <w:tcBorders>
              <w:top w:val="single" w:sz="4" w:space="0" w:color="auto"/>
              <w:bottom w:val="single" w:sz="4" w:space="0" w:color="auto"/>
            </w:tcBorders>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Limit value</w:t>
            </w:r>
          </w:p>
        </w:tc>
      </w:tr>
      <w:tr w:rsidR="000F7598" w:rsidRPr="00B27B47" w:rsidTr="00910292">
        <w:tc>
          <w:tcPr>
            <w:tcW w:w="4606" w:type="dxa"/>
            <w:tcBorders>
              <w:top w:val="single" w:sz="4" w:space="0" w:color="auto"/>
            </w:tcBorders>
            <w:shd w:val="clear" w:color="auto" w:fill="auto"/>
          </w:tcPr>
          <w:p w:rsidR="000F7598" w:rsidRPr="00B27B47" w:rsidRDefault="000F7598"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Abdominal obesity</w:t>
            </w:r>
          </w:p>
        </w:tc>
        <w:tc>
          <w:tcPr>
            <w:tcW w:w="4606" w:type="dxa"/>
            <w:tcBorders>
              <w:top w:val="single" w:sz="4" w:space="0" w:color="auto"/>
            </w:tcBorders>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Abdominal measurement</w:t>
            </w:r>
          </w:p>
        </w:tc>
      </w:tr>
      <w:tr w:rsidR="000F7598" w:rsidRPr="00B27B47" w:rsidTr="00910292">
        <w:tc>
          <w:tcPr>
            <w:tcW w:w="4606" w:type="dxa"/>
            <w:shd w:val="clear" w:color="auto" w:fill="auto"/>
          </w:tcPr>
          <w:p w:rsidR="000F7598" w:rsidRPr="00B27B47" w:rsidRDefault="00307FD3"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 </w:t>
            </w:r>
            <w:r w:rsidR="000F7598" w:rsidRPr="00B27B47">
              <w:rPr>
                <w:rFonts w:ascii="Book Antiqua" w:eastAsia="Times New Roman" w:hAnsi="Book Antiqua" w:cs="Calibri"/>
                <w:bCs/>
                <w:sz w:val="24"/>
                <w:szCs w:val="24"/>
                <w:lang w:val="en-US" w:eastAsia="de-DE"/>
              </w:rPr>
              <w:t>Men</w:t>
            </w:r>
          </w:p>
        </w:tc>
        <w:tc>
          <w:tcPr>
            <w:tcW w:w="4606" w:type="dxa"/>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&gt;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120 cm</w:t>
            </w:r>
          </w:p>
        </w:tc>
      </w:tr>
      <w:tr w:rsidR="000F7598" w:rsidRPr="00B27B47" w:rsidTr="00910292">
        <w:tc>
          <w:tcPr>
            <w:tcW w:w="4606" w:type="dxa"/>
            <w:shd w:val="clear" w:color="auto" w:fill="auto"/>
          </w:tcPr>
          <w:p w:rsidR="000F7598" w:rsidRPr="00B27B47" w:rsidRDefault="00307FD3"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 </w:t>
            </w:r>
            <w:r w:rsidR="000F7598" w:rsidRPr="00B27B47">
              <w:rPr>
                <w:rFonts w:ascii="Book Antiqua" w:eastAsia="Times New Roman" w:hAnsi="Book Antiqua" w:cs="Calibri"/>
                <w:bCs/>
                <w:sz w:val="24"/>
                <w:szCs w:val="24"/>
                <w:lang w:val="en-US" w:eastAsia="de-DE"/>
              </w:rPr>
              <w:t>Women</w:t>
            </w:r>
          </w:p>
        </w:tc>
        <w:tc>
          <w:tcPr>
            <w:tcW w:w="4606" w:type="dxa"/>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&gt;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88 cm</w:t>
            </w:r>
          </w:p>
        </w:tc>
      </w:tr>
      <w:tr w:rsidR="000F7598" w:rsidRPr="00B27B47" w:rsidTr="00910292">
        <w:tc>
          <w:tcPr>
            <w:tcW w:w="4606" w:type="dxa"/>
            <w:shd w:val="clear" w:color="auto" w:fill="auto"/>
          </w:tcPr>
          <w:p w:rsidR="000F7598" w:rsidRPr="00B27B47" w:rsidRDefault="000F7598"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Triglycerides</w:t>
            </w:r>
          </w:p>
        </w:tc>
        <w:tc>
          <w:tcPr>
            <w:tcW w:w="4606" w:type="dxa"/>
            <w:shd w:val="clear" w:color="auto" w:fill="auto"/>
          </w:tcPr>
          <w:p w:rsidR="000F7598" w:rsidRPr="00B27B47" w:rsidRDefault="000F7598" w:rsidP="00910292">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150 mg/d</w:t>
            </w:r>
            <w:r w:rsidR="00910292" w:rsidRPr="00B27B47">
              <w:rPr>
                <w:rFonts w:ascii="Book Antiqua" w:hAnsi="Book Antiqua" w:cs="Calibri" w:hint="eastAsia"/>
                <w:bCs/>
                <w:sz w:val="24"/>
                <w:szCs w:val="24"/>
                <w:lang w:val="en-US" w:eastAsia="zh-CN"/>
              </w:rPr>
              <w:t>L</w:t>
            </w:r>
          </w:p>
        </w:tc>
      </w:tr>
      <w:tr w:rsidR="000F7598" w:rsidRPr="00B27B47" w:rsidTr="00910292">
        <w:tc>
          <w:tcPr>
            <w:tcW w:w="4606" w:type="dxa"/>
            <w:shd w:val="clear" w:color="auto" w:fill="auto"/>
          </w:tcPr>
          <w:p w:rsidR="000F7598" w:rsidRPr="00B27B47" w:rsidRDefault="000F7598"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HDL-cholesterol</w:t>
            </w:r>
          </w:p>
          <w:p w:rsidR="000F7598" w:rsidRPr="00B27B47" w:rsidRDefault="00307FD3"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 </w:t>
            </w:r>
            <w:r w:rsidR="000F7598" w:rsidRPr="00B27B47">
              <w:rPr>
                <w:rFonts w:ascii="Book Antiqua" w:eastAsia="Times New Roman" w:hAnsi="Book Antiqua" w:cs="Calibri"/>
                <w:bCs/>
                <w:sz w:val="24"/>
                <w:szCs w:val="24"/>
                <w:lang w:val="en-US" w:eastAsia="de-DE"/>
              </w:rPr>
              <w:t>Men</w:t>
            </w:r>
          </w:p>
          <w:p w:rsidR="000F7598" w:rsidRPr="00B27B47" w:rsidRDefault="00307FD3"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 </w:t>
            </w:r>
            <w:r w:rsidR="000F7598" w:rsidRPr="00B27B47">
              <w:rPr>
                <w:rFonts w:ascii="Book Antiqua" w:eastAsia="Times New Roman" w:hAnsi="Book Antiqua" w:cs="Calibri"/>
                <w:bCs/>
                <w:sz w:val="24"/>
                <w:szCs w:val="24"/>
                <w:lang w:val="en-US" w:eastAsia="de-DE"/>
              </w:rPr>
              <w:t>Women</w:t>
            </w:r>
          </w:p>
        </w:tc>
        <w:tc>
          <w:tcPr>
            <w:tcW w:w="4606" w:type="dxa"/>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p>
          <w:p w:rsidR="000F7598" w:rsidRPr="00B27B47" w:rsidRDefault="000F7598" w:rsidP="00910292">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t>&lt;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40 mg/d</w:t>
            </w:r>
            <w:r w:rsidR="00910292" w:rsidRPr="00B27B47">
              <w:rPr>
                <w:rFonts w:ascii="Book Antiqua" w:hAnsi="Book Antiqua" w:cs="Calibri" w:hint="eastAsia"/>
                <w:bCs/>
                <w:sz w:val="24"/>
                <w:szCs w:val="24"/>
                <w:lang w:val="en-US" w:eastAsia="zh-CN"/>
              </w:rPr>
              <w:t>L</w:t>
            </w:r>
          </w:p>
          <w:p w:rsidR="000F7598" w:rsidRPr="00B27B47" w:rsidRDefault="000F7598" w:rsidP="00910292">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t>&lt;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50 mg/d</w:t>
            </w:r>
            <w:r w:rsidR="00910292" w:rsidRPr="00B27B47">
              <w:rPr>
                <w:rFonts w:ascii="Book Antiqua" w:hAnsi="Book Antiqua" w:cs="Calibri" w:hint="eastAsia"/>
                <w:bCs/>
                <w:sz w:val="24"/>
                <w:szCs w:val="24"/>
                <w:lang w:val="en-US" w:eastAsia="zh-CN"/>
              </w:rPr>
              <w:t>L</w:t>
            </w:r>
          </w:p>
        </w:tc>
      </w:tr>
      <w:tr w:rsidR="000F7598" w:rsidRPr="00B27B47" w:rsidTr="00910292">
        <w:tc>
          <w:tcPr>
            <w:tcW w:w="4606" w:type="dxa"/>
            <w:shd w:val="clear" w:color="auto" w:fill="auto"/>
          </w:tcPr>
          <w:p w:rsidR="000F7598" w:rsidRPr="00B27B47" w:rsidRDefault="000F7598"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Blood pressure</w:t>
            </w:r>
          </w:p>
        </w:tc>
        <w:tc>
          <w:tcPr>
            <w:tcW w:w="4606" w:type="dxa"/>
            <w:shd w:val="clear" w:color="auto" w:fill="auto"/>
          </w:tcPr>
          <w:p w:rsidR="000F7598" w:rsidRPr="00B27B47" w:rsidRDefault="000F7598" w:rsidP="00910292">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130/≥</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85 mmHg</w:t>
            </w:r>
          </w:p>
        </w:tc>
      </w:tr>
      <w:tr w:rsidR="000F7598" w:rsidRPr="00B27B47" w:rsidTr="00910292">
        <w:tc>
          <w:tcPr>
            <w:tcW w:w="4606" w:type="dxa"/>
            <w:tcBorders>
              <w:bottom w:val="single" w:sz="4" w:space="0" w:color="auto"/>
            </w:tcBorders>
            <w:shd w:val="clear" w:color="auto" w:fill="auto"/>
          </w:tcPr>
          <w:p w:rsidR="000F7598" w:rsidRPr="00B27B47" w:rsidRDefault="000F7598" w:rsidP="00910292">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Fasting blood sugar or insulin-glucose tolerance test after 60, 120 and 180 min</w:t>
            </w:r>
          </w:p>
        </w:tc>
        <w:tc>
          <w:tcPr>
            <w:tcW w:w="4606" w:type="dxa"/>
            <w:tcBorders>
              <w:bottom w:val="single" w:sz="4" w:space="0" w:color="auto"/>
            </w:tcBorders>
            <w:shd w:val="clear" w:color="auto" w:fill="auto"/>
          </w:tcPr>
          <w:p w:rsidR="000F7598" w:rsidRPr="00B27B47" w:rsidRDefault="000F7598" w:rsidP="00910292">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t>≥</w:t>
            </w:r>
            <w:r w:rsidR="00910292"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110 mg/d</w:t>
            </w:r>
            <w:r w:rsidR="00910292" w:rsidRPr="00B27B47">
              <w:rPr>
                <w:rFonts w:ascii="Book Antiqua" w:hAnsi="Book Antiqua" w:cs="Calibri" w:hint="eastAsia"/>
                <w:bCs/>
                <w:sz w:val="24"/>
                <w:szCs w:val="24"/>
                <w:lang w:val="en-US" w:eastAsia="zh-CN"/>
              </w:rPr>
              <w:t>L</w:t>
            </w:r>
          </w:p>
        </w:tc>
      </w:tr>
    </w:tbl>
    <w:p w:rsidR="000F7598" w:rsidRPr="00B27B47" w:rsidRDefault="000F7598" w:rsidP="003E1943">
      <w:pPr>
        <w:adjustRightInd w:val="0"/>
        <w:snapToGrid w:val="0"/>
        <w:spacing w:after="0" w:line="360" w:lineRule="auto"/>
        <w:jc w:val="both"/>
        <w:rPr>
          <w:rFonts w:ascii="Book Antiqua" w:eastAsia="Times New Roman" w:hAnsi="Book Antiqua" w:cs="Calibri"/>
          <w:b/>
          <w:sz w:val="24"/>
          <w:szCs w:val="24"/>
          <w:lang w:val="en-US" w:eastAsia="de-DE"/>
        </w:rPr>
      </w:pPr>
    </w:p>
    <w:p w:rsidR="008F4ED8" w:rsidRPr="00B27B47" w:rsidRDefault="00951A7E">
      <w:pPr>
        <w:rPr>
          <w:rFonts w:ascii="Book Antiqua" w:eastAsia="Times New Roman" w:hAnsi="Book Antiqua" w:cs="Calibri"/>
          <w:b/>
          <w:sz w:val="24"/>
          <w:szCs w:val="24"/>
          <w:lang w:val="en-US" w:eastAsia="de-DE"/>
        </w:rPr>
      </w:pPr>
      <w:r w:rsidRPr="00B27B47">
        <w:rPr>
          <w:rFonts w:ascii="Book Antiqua" w:eastAsia="Times New Roman" w:hAnsi="Book Antiqua" w:cs="Calibri"/>
          <w:b/>
          <w:sz w:val="24"/>
          <w:szCs w:val="24"/>
          <w:lang w:val="en-US" w:eastAsia="de-DE"/>
        </w:rPr>
        <w:br w:type="page"/>
      </w:r>
    </w:p>
    <w:p w:rsidR="008F4ED8" w:rsidRPr="00B27B47" w:rsidRDefault="008F4ED8" w:rsidP="008F4ED8">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sz w:val="24"/>
          <w:szCs w:val="24"/>
          <w:lang w:val="en-US" w:eastAsia="de-DE"/>
        </w:rPr>
        <w:lastRenderedPageBreak/>
        <w:t xml:space="preserve">Table </w:t>
      </w:r>
      <w:r w:rsidR="00D65EDB" w:rsidRPr="00B27B47">
        <w:rPr>
          <w:rFonts w:ascii="Book Antiqua" w:hAnsi="Book Antiqua" w:cs="Calibri" w:hint="eastAsia"/>
          <w:b/>
          <w:sz w:val="24"/>
          <w:szCs w:val="24"/>
          <w:lang w:val="en-US" w:eastAsia="zh-CN"/>
        </w:rPr>
        <w:t>6</w:t>
      </w:r>
      <w:r w:rsidRPr="00B27B47">
        <w:rPr>
          <w:rFonts w:ascii="Book Antiqua" w:eastAsia="Times New Roman" w:hAnsi="Book Antiqua" w:cs="Calibri"/>
          <w:b/>
          <w:bCs/>
          <w:sz w:val="24"/>
          <w:szCs w:val="24"/>
          <w:lang w:val="en-US" w:eastAsia="de-DE"/>
        </w:rPr>
        <w:t xml:space="preserve"> Proposed low density lipoprotein-cholesterol-serum concentrations and limits for therapeutic interventions</w:t>
      </w:r>
      <w:r w:rsidRPr="00B27B47">
        <w:rPr>
          <w:rFonts w:ascii="Book Antiqua" w:eastAsia="Times New Roman" w:hAnsi="Book Antiqua" w:cs="Calibri"/>
          <w:b/>
          <w:bCs/>
          <w:sz w:val="24"/>
          <w:szCs w:val="24"/>
          <w:vertAlign w:val="superscript"/>
          <w:lang w:val="en-US" w:eastAsia="de-DE"/>
        </w:rPr>
        <w:t>[</w:t>
      </w:r>
      <w:r w:rsidRPr="00B27B47">
        <w:rPr>
          <w:rFonts w:ascii="Book Antiqua" w:eastAsia="Times New Roman" w:hAnsi="Book Antiqua" w:cs="Calibri"/>
          <w:b/>
          <w:bCs/>
          <w:sz w:val="24"/>
          <w:szCs w:val="24"/>
          <w:lang w:val="en-US" w:eastAsia="de-DE"/>
        </w:rPr>
        <w:fldChar w:fldCharType="begin"/>
      </w:r>
      <w:r w:rsidRPr="00B27B47">
        <w:rPr>
          <w:rFonts w:ascii="Book Antiqua" w:eastAsia="Times New Roman" w:hAnsi="Book Antiqua" w:cs="Calibri"/>
          <w:b/>
          <w:bCs/>
          <w:sz w:val="24"/>
          <w:szCs w:val="24"/>
          <w:lang w:val="en-US" w:eastAsia="de-DE"/>
        </w:rPr>
        <w:instrText xml:space="preserve"> ADDIN EN.CITE &lt;EndNote&gt;&lt;Cite&gt;&lt;Author&gt;health)&lt;/Author&gt;&lt;RecNum&gt;11&lt;/RecNum&gt;&lt;record&gt;&lt;rec-number&gt;11&lt;/rec-number&gt;&lt;ref-type name="Web Page"&gt;12&lt;/ref-type&gt;&lt;contributors&gt;&lt;authors&gt;&lt;author&gt;NIH (national institutes of health) &lt;/author&gt;&lt;/authors&gt;&lt;/contributors&gt;&lt;titles&gt;&lt;title&gt;ATP III Update 2004: Implications of recent clinical trials for the ATP III guidelines. &lt;/title&gt;&lt;/titles&gt;&lt;dates&gt;&lt;/dates&gt;&lt;urls&gt;&lt;related-urls&gt;&lt;url&gt;www.nhlbi.nih.gov/guidelines/cholesterol/atp3upd04.htm&lt;/url&gt;&lt;/related-urls&gt;&lt;/urls&gt;&lt;access-date&gt;10.01.2015&lt;/access-date&gt;&lt;/record&gt;&lt;/Cite&gt;&lt;/EndNote&gt;</w:instrText>
      </w:r>
      <w:r w:rsidRPr="00B27B47">
        <w:rPr>
          <w:rFonts w:ascii="Book Antiqua" w:eastAsia="Times New Roman" w:hAnsi="Book Antiqua" w:cs="Calibri"/>
          <w:b/>
          <w:bCs/>
          <w:sz w:val="24"/>
          <w:szCs w:val="24"/>
          <w:lang w:val="en-US" w:eastAsia="de-DE"/>
        </w:rPr>
        <w:fldChar w:fldCharType="separate"/>
      </w:r>
      <w:r w:rsidRPr="00B27B47">
        <w:rPr>
          <w:rFonts w:ascii="Book Antiqua" w:eastAsia="Times New Roman" w:hAnsi="Book Antiqua" w:cs="Calibri"/>
          <w:b/>
          <w:bCs/>
          <w:sz w:val="24"/>
          <w:szCs w:val="24"/>
          <w:vertAlign w:val="superscript"/>
          <w:lang w:val="en-US" w:eastAsia="de-DE"/>
        </w:rPr>
        <w:t>25</w:t>
      </w:r>
      <w:r w:rsidRPr="00B27B47">
        <w:rPr>
          <w:rFonts w:ascii="Book Antiqua" w:eastAsia="Times New Roman" w:hAnsi="Book Antiqua" w:cs="Calibri"/>
          <w:b/>
          <w:bCs/>
          <w:sz w:val="24"/>
          <w:szCs w:val="24"/>
          <w:lang w:val="en-US" w:eastAsia="de-DE"/>
        </w:rPr>
        <w:fldChar w:fldCharType="end"/>
      </w:r>
      <w:r w:rsidRPr="00B27B47">
        <w:rPr>
          <w:rFonts w:ascii="Book Antiqua" w:eastAsia="Times New Roman" w:hAnsi="Book Antiqua" w:cs="Calibri"/>
          <w:b/>
          <w:bCs/>
          <w:sz w:val="24"/>
          <w:szCs w:val="24"/>
          <w:vertAlign w:val="superscript"/>
          <w:lang w:val="en-US" w:eastAsia="de-DE"/>
        </w:rPr>
        <w:t>]</w:t>
      </w:r>
    </w:p>
    <w:tbl>
      <w:tblPr>
        <w:tblW w:w="0" w:type="auto"/>
        <w:tblLook w:val="04A0" w:firstRow="1" w:lastRow="0" w:firstColumn="1" w:lastColumn="0" w:noHBand="0" w:noVBand="1"/>
      </w:tblPr>
      <w:tblGrid>
        <w:gridCol w:w="2303"/>
        <w:gridCol w:w="2303"/>
        <w:gridCol w:w="2303"/>
        <w:gridCol w:w="2303"/>
      </w:tblGrid>
      <w:tr w:rsidR="008F4ED8" w:rsidRPr="00B27B47" w:rsidTr="00C7415B">
        <w:tc>
          <w:tcPr>
            <w:tcW w:w="2303" w:type="dxa"/>
            <w:tcBorders>
              <w:top w:val="single" w:sz="4" w:space="0" w:color="auto"/>
              <w:bottom w:val="single" w:sz="4" w:space="0" w:color="auto"/>
            </w:tcBorders>
            <w:shd w:val="clear" w:color="auto" w:fill="auto"/>
          </w:tcPr>
          <w:p w:rsidR="008F4ED8" w:rsidRPr="00B27B47" w:rsidRDefault="008F4ED8" w:rsidP="00C7415B">
            <w:pPr>
              <w:adjustRightInd w:val="0"/>
              <w:snapToGrid w:val="0"/>
              <w:spacing w:after="0" w:line="360" w:lineRule="auto"/>
              <w:jc w:val="both"/>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Risk category</w:t>
            </w:r>
          </w:p>
        </w:tc>
        <w:tc>
          <w:tcPr>
            <w:tcW w:w="2303" w:type="dxa"/>
            <w:tcBorders>
              <w:top w:val="single" w:sz="4" w:space="0" w:color="auto"/>
              <w:bottom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LDL-targeted serum concentration (mg/d</w:t>
            </w:r>
            <w:r w:rsidRPr="00B27B47">
              <w:rPr>
                <w:rFonts w:ascii="Book Antiqua" w:hAnsi="Book Antiqua" w:cs="Calibri" w:hint="eastAsia"/>
                <w:b/>
                <w:bCs/>
                <w:sz w:val="24"/>
                <w:szCs w:val="24"/>
                <w:lang w:val="en-US" w:eastAsia="zh-CN"/>
              </w:rPr>
              <w:t>L</w:t>
            </w:r>
            <w:r w:rsidRPr="00B27B47">
              <w:rPr>
                <w:rFonts w:ascii="Book Antiqua" w:eastAsia="Times New Roman" w:hAnsi="Book Antiqua" w:cs="Calibri"/>
                <w:b/>
                <w:bCs/>
                <w:sz w:val="24"/>
                <w:szCs w:val="24"/>
                <w:lang w:val="en-US" w:eastAsia="de-DE"/>
              </w:rPr>
              <w:t>)</w:t>
            </w:r>
          </w:p>
        </w:tc>
        <w:tc>
          <w:tcPr>
            <w:tcW w:w="2303" w:type="dxa"/>
            <w:tcBorders>
              <w:top w:val="single" w:sz="4" w:space="0" w:color="auto"/>
              <w:bottom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Life style modification</w:t>
            </w:r>
            <w:r w:rsidRPr="00B27B47">
              <w:rPr>
                <w:rFonts w:ascii="Book Antiqua" w:hAnsi="Book Antiqua" w:cs="Calibri" w:hint="eastAsia"/>
                <w:b/>
                <w:bCs/>
                <w:sz w:val="24"/>
                <w:szCs w:val="24"/>
                <w:vertAlign w:val="superscript"/>
                <w:lang w:val="en-US" w:eastAsia="zh-CN"/>
              </w:rPr>
              <w:t>1,2</w:t>
            </w:r>
            <w:r w:rsidRPr="00B27B47">
              <w:rPr>
                <w:rFonts w:ascii="Book Antiqua" w:eastAsia="Times New Roman" w:hAnsi="Book Antiqua" w:cs="Calibri"/>
                <w:b/>
                <w:bCs/>
                <w:sz w:val="24"/>
                <w:szCs w:val="24"/>
                <w:lang w:val="en-US" w:eastAsia="de-DE"/>
              </w:rPr>
              <w:t xml:space="preserve"> starting at LDL-serum concentrations (mg/d</w:t>
            </w:r>
            <w:r w:rsidRPr="00B27B47">
              <w:rPr>
                <w:rFonts w:ascii="Book Antiqua" w:hAnsi="Book Antiqua" w:cs="Calibri" w:hint="eastAsia"/>
                <w:b/>
                <w:bCs/>
                <w:sz w:val="24"/>
                <w:szCs w:val="24"/>
                <w:lang w:val="en-US" w:eastAsia="zh-CN"/>
              </w:rPr>
              <w:t>L</w:t>
            </w:r>
            <w:r w:rsidRPr="00B27B47">
              <w:rPr>
                <w:rFonts w:ascii="Book Antiqua" w:eastAsia="Times New Roman" w:hAnsi="Book Antiqua" w:cs="Calibri"/>
                <w:b/>
                <w:bCs/>
                <w:sz w:val="24"/>
                <w:szCs w:val="24"/>
                <w:lang w:val="en-US" w:eastAsia="de-DE"/>
              </w:rPr>
              <w:t>)</w:t>
            </w:r>
          </w:p>
        </w:tc>
        <w:tc>
          <w:tcPr>
            <w:tcW w:w="2303" w:type="dxa"/>
            <w:tcBorders>
              <w:top w:val="single" w:sz="4" w:space="0" w:color="auto"/>
              <w:bottom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Medical treatment</w:t>
            </w:r>
          </w:p>
        </w:tc>
      </w:tr>
      <w:tr w:rsidR="008F4ED8" w:rsidRPr="00B27B47" w:rsidTr="00C7415B">
        <w:tc>
          <w:tcPr>
            <w:tcW w:w="2303" w:type="dxa"/>
            <w:tcBorders>
              <w:top w:val="single" w:sz="4" w:space="0" w:color="auto"/>
            </w:tcBorders>
            <w:shd w:val="clear" w:color="auto" w:fill="auto"/>
          </w:tcPr>
          <w:p w:rsidR="008F4ED8" w:rsidRPr="00B27B47" w:rsidRDefault="008F4ED8" w:rsidP="00C7415B">
            <w:pPr>
              <w:adjustRightInd w:val="0"/>
              <w:snapToGrid w:val="0"/>
              <w:spacing w:after="0" w:line="360" w:lineRule="auto"/>
              <w:jc w:val="both"/>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t>CHD, PAD, CVD</w:t>
            </w:r>
            <w:r w:rsidRPr="00B27B47">
              <w:rPr>
                <w:rFonts w:ascii="Book Antiqua" w:hAnsi="Book Antiqua" w:cs="Calibri" w:hint="eastAsia"/>
                <w:bCs/>
                <w:sz w:val="24"/>
                <w:szCs w:val="24"/>
                <w:vertAlign w:val="superscript"/>
                <w:lang w:val="en-US" w:eastAsia="zh-CN"/>
              </w:rPr>
              <w:t>3</w:t>
            </w:r>
          </w:p>
        </w:tc>
        <w:tc>
          <w:tcPr>
            <w:tcW w:w="2303" w:type="dxa"/>
            <w:tcBorders>
              <w:top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100</w:t>
            </w:r>
          </w:p>
        </w:tc>
        <w:tc>
          <w:tcPr>
            <w:tcW w:w="2303" w:type="dxa"/>
            <w:tcBorders>
              <w:top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100</w:t>
            </w:r>
          </w:p>
        </w:tc>
        <w:tc>
          <w:tcPr>
            <w:tcW w:w="2303" w:type="dxa"/>
            <w:tcBorders>
              <w:top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130</w:t>
            </w:r>
          </w:p>
        </w:tc>
      </w:tr>
      <w:tr w:rsidR="008F4ED8" w:rsidRPr="00B27B47" w:rsidTr="00C7415B">
        <w:tc>
          <w:tcPr>
            <w:tcW w:w="2303" w:type="dxa"/>
            <w:shd w:val="clear" w:color="auto" w:fill="auto"/>
          </w:tcPr>
          <w:p w:rsidR="008F4ED8" w:rsidRPr="00B27B47" w:rsidRDefault="008F4ED8" w:rsidP="00C7415B">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2 risk factors</w:t>
            </w:r>
          </w:p>
        </w:tc>
        <w:tc>
          <w:tcPr>
            <w:tcW w:w="2303" w:type="dxa"/>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130</w:t>
            </w:r>
          </w:p>
        </w:tc>
        <w:tc>
          <w:tcPr>
            <w:tcW w:w="2303" w:type="dxa"/>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130</w:t>
            </w:r>
          </w:p>
        </w:tc>
        <w:tc>
          <w:tcPr>
            <w:tcW w:w="2303" w:type="dxa"/>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160</w:t>
            </w:r>
          </w:p>
        </w:tc>
      </w:tr>
      <w:tr w:rsidR="008F4ED8" w:rsidRPr="00B27B47" w:rsidTr="00C7415B">
        <w:tc>
          <w:tcPr>
            <w:tcW w:w="2303" w:type="dxa"/>
            <w:tcBorders>
              <w:bottom w:val="single" w:sz="4" w:space="0" w:color="auto"/>
            </w:tcBorders>
            <w:shd w:val="clear" w:color="auto" w:fill="auto"/>
          </w:tcPr>
          <w:p w:rsidR="008F4ED8" w:rsidRPr="00B27B47" w:rsidRDefault="008F4ED8" w:rsidP="00C7415B">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0-1 risk factor</w:t>
            </w:r>
          </w:p>
        </w:tc>
        <w:tc>
          <w:tcPr>
            <w:tcW w:w="2303" w:type="dxa"/>
            <w:tcBorders>
              <w:bottom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160</w:t>
            </w:r>
          </w:p>
        </w:tc>
        <w:tc>
          <w:tcPr>
            <w:tcW w:w="2303" w:type="dxa"/>
            <w:tcBorders>
              <w:bottom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&gt;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160</w:t>
            </w:r>
          </w:p>
        </w:tc>
        <w:tc>
          <w:tcPr>
            <w:tcW w:w="2303" w:type="dxa"/>
            <w:tcBorders>
              <w:bottom w:val="single" w:sz="4" w:space="0" w:color="auto"/>
            </w:tcBorders>
            <w:shd w:val="clear" w:color="auto" w:fill="auto"/>
          </w:tcPr>
          <w:p w:rsidR="008F4ED8" w:rsidRPr="00B27B47" w:rsidRDefault="008F4ED8"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&gt;</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190</w:t>
            </w:r>
          </w:p>
        </w:tc>
      </w:tr>
    </w:tbl>
    <w:p w:rsidR="00D65EDB" w:rsidRPr="00B27B47" w:rsidRDefault="008F4ED8" w:rsidP="008F4ED8">
      <w:pPr>
        <w:adjustRightInd w:val="0"/>
        <w:snapToGrid w:val="0"/>
        <w:spacing w:after="0" w:line="360" w:lineRule="auto"/>
        <w:jc w:val="both"/>
        <w:rPr>
          <w:rFonts w:ascii="Book Antiqua" w:hAnsi="Book Antiqua" w:cs="Calibri"/>
          <w:bCs/>
          <w:sz w:val="24"/>
          <w:szCs w:val="24"/>
          <w:lang w:val="en-US" w:eastAsia="zh-CN"/>
        </w:rPr>
      </w:pPr>
      <w:r w:rsidRPr="00B27B47">
        <w:rPr>
          <w:rFonts w:ascii="Book Antiqua" w:hAnsi="Book Antiqua" w:cs="Calibri" w:hint="eastAsia"/>
          <w:bCs/>
          <w:sz w:val="24"/>
          <w:szCs w:val="24"/>
          <w:vertAlign w:val="superscript"/>
          <w:lang w:val="en-US" w:eastAsia="zh-CN"/>
        </w:rPr>
        <w:t>1</w:t>
      </w:r>
      <w:r w:rsidRPr="00B27B47">
        <w:rPr>
          <w:rFonts w:ascii="Book Antiqua" w:hAnsi="Book Antiqua" w:cs="Calibri"/>
          <w:bCs/>
          <w:sz w:val="24"/>
          <w:szCs w:val="24"/>
          <w:lang w:val="en-US" w:eastAsia="zh-CN"/>
        </w:rPr>
        <w:t>Aspects of life style modification:</w:t>
      </w:r>
      <w:r w:rsidRPr="00B27B47">
        <w:rPr>
          <w:rFonts w:ascii="Book Antiqua" w:hAnsi="Book Antiqua" w:cs="Calibri" w:hint="eastAsia"/>
          <w:bCs/>
          <w:sz w:val="24"/>
          <w:szCs w:val="24"/>
          <w:lang w:val="en-US" w:eastAsia="zh-CN"/>
        </w:rPr>
        <w:t xml:space="preserve"> (1) </w:t>
      </w:r>
      <w:r w:rsidRPr="00B27B47">
        <w:rPr>
          <w:rFonts w:ascii="Book Antiqua" w:hAnsi="Book Antiqua" w:cs="Calibri"/>
          <w:bCs/>
          <w:sz w:val="24"/>
          <w:szCs w:val="24"/>
          <w:lang w:val="en-US" w:eastAsia="zh-CN"/>
        </w:rPr>
        <w:t>nutrition</w:t>
      </w:r>
      <w:r w:rsidRPr="00B27B47">
        <w:rPr>
          <w:rFonts w:ascii="Book Antiqua" w:hAnsi="Book Antiqua" w:cs="Calibri" w:hint="eastAsia"/>
          <w:bCs/>
          <w:sz w:val="24"/>
          <w:szCs w:val="24"/>
          <w:lang w:val="en-US" w:eastAsia="zh-CN"/>
        </w:rPr>
        <w:t>: (a</w:t>
      </w:r>
      <w:r w:rsidRPr="00B27B47">
        <w:rPr>
          <w:rFonts w:ascii="Book Antiqua" w:hAnsi="Book Antiqua" w:cs="Calibri"/>
          <w:bCs/>
          <w:sz w:val="24"/>
          <w:szCs w:val="24"/>
          <w:lang w:val="en-US" w:eastAsia="zh-CN"/>
        </w:rPr>
        <w:t>)</w:t>
      </w:r>
      <w:r w:rsidRPr="00B27B47">
        <w:rPr>
          <w:rFonts w:ascii="Book Antiqua" w:hAnsi="Book Antiqua" w:cs="Calibri" w:hint="eastAsia"/>
          <w:bCs/>
          <w:sz w:val="24"/>
          <w:szCs w:val="24"/>
          <w:lang w:val="en-US" w:eastAsia="zh-CN"/>
        </w:rPr>
        <w:t xml:space="preserve"> </w:t>
      </w:r>
      <w:r w:rsidRPr="00B27B47">
        <w:rPr>
          <w:rFonts w:ascii="Book Antiqua" w:hAnsi="Book Antiqua" w:cs="Calibri"/>
          <w:bCs/>
          <w:sz w:val="24"/>
          <w:szCs w:val="24"/>
          <w:lang w:val="en-US" w:eastAsia="zh-CN"/>
        </w:rPr>
        <w:t>saturated fats &lt; 7% of calories, dietary cholesterol &lt; 200 mg/d</w:t>
      </w:r>
      <w:r w:rsidRPr="00B27B47">
        <w:rPr>
          <w:rFonts w:ascii="Book Antiqua" w:hAnsi="Book Antiqua" w:cs="Calibri" w:hint="eastAsia"/>
          <w:bCs/>
          <w:sz w:val="24"/>
          <w:szCs w:val="24"/>
          <w:lang w:val="en-US" w:eastAsia="zh-CN"/>
        </w:rPr>
        <w:t>; (b</w:t>
      </w:r>
      <w:r w:rsidRPr="00B27B47">
        <w:rPr>
          <w:rFonts w:ascii="Book Antiqua" w:hAnsi="Book Antiqua" w:cs="Calibri"/>
          <w:bCs/>
          <w:sz w:val="24"/>
          <w:szCs w:val="24"/>
          <w:lang w:val="en-US" w:eastAsia="zh-CN"/>
        </w:rPr>
        <w:t>)</w:t>
      </w:r>
      <w:r w:rsidRPr="00B27B47">
        <w:rPr>
          <w:rFonts w:ascii="Book Antiqua" w:hAnsi="Book Antiqua" w:cs="Calibri" w:hint="eastAsia"/>
          <w:bCs/>
          <w:sz w:val="24"/>
          <w:szCs w:val="24"/>
          <w:lang w:val="en-US" w:eastAsia="zh-CN"/>
        </w:rPr>
        <w:t xml:space="preserve"> </w:t>
      </w:r>
      <w:r w:rsidRPr="00B27B47">
        <w:rPr>
          <w:rFonts w:ascii="Book Antiqua" w:hAnsi="Book Antiqua" w:cs="Calibri"/>
          <w:bCs/>
          <w:sz w:val="24"/>
          <w:szCs w:val="24"/>
          <w:lang w:val="en-US" w:eastAsia="zh-CN"/>
        </w:rPr>
        <w:t>increase of soluble fibers (10-25 g/d) and sterols of vegetable origin (2 g/d) as an option of lowering LDL-levels</w:t>
      </w:r>
      <w:r w:rsidRPr="00B27B47">
        <w:rPr>
          <w:rFonts w:ascii="Book Antiqua" w:hAnsi="Book Antiqua" w:cs="Calibri" w:hint="eastAsia"/>
          <w:bCs/>
          <w:sz w:val="24"/>
          <w:szCs w:val="24"/>
          <w:lang w:val="en-US" w:eastAsia="zh-CN"/>
        </w:rPr>
        <w:t xml:space="preserve">; (2) </w:t>
      </w:r>
      <w:r w:rsidRPr="00B27B47">
        <w:rPr>
          <w:rFonts w:ascii="Book Antiqua" w:hAnsi="Book Antiqua" w:cs="Calibri"/>
          <w:bCs/>
          <w:sz w:val="24"/>
          <w:szCs w:val="24"/>
          <w:lang w:val="en-US" w:eastAsia="zh-CN"/>
        </w:rPr>
        <w:t>weight management</w:t>
      </w:r>
      <w:r w:rsidRPr="00B27B47">
        <w:rPr>
          <w:rFonts w:ascii="Book Antiqua" w:hAnsi="Book Antiqua" w:cs="Calibri" w:hint="eastAsia"/>
          <w:bCs/>
          <w:sz w:val="24"/>
          <w:szCs w:val="24"/>
          <w:lang w:val="en-US" w:eastAsia="zh-CN"/>
        </w:rPr>
        <w:t>;</w:t>
      </w:r>
      <w:r w:rsidRPr="00B27B47">
        <w:rPr>
          <w:rFonts w:ascii="Book Antiqua" w:hAnsi="Book Antiqua" w:cs="Calibri"/>
          <w:bCs/>
          <w:sz w:val="24"/>
          <w:szCs w:val="24"/>
          <w:lang w:val="en-US" w:eastAsia="zh-CN"/>
        </w:rPr>
        <w:t xml:space="preserve"> </w:t>
      </w:r>
      <w:r w:rsidRPr="00B27B47">
        <w:rPr>
          <w:rFonts w:ascii="Book Antiqua" w:hAnsi="Book Antiqua" w:cs="Calibri" w:hint="eastAsia"/>
          <w:bCs/>
          <w:sz w:val="24"/>
          <w:szCs w:val="24"/>
          <w:lang w:val="en-US" w:eastAsia="zh-CN"/>
        </w:rPr>
        <w:t xml:space="preserve">and (3) </w:t>
      </w:r>
      <w:r w:rsidRPr="00B27B47">
        <w:rPr>
          <w:rFonts w:ascii="Book Antiqua" w:hAnsi="Book Antiqua" w:cs="Calibri"/>
          <w:bCs/>
          <w:sz w:val="24"/>
          <w:szCs w:val="24"/>
          <w:lang w:val="en-US" w:eastAsia="zh-CN"/>
        </w:rPr>
        <w:t>physical activity</w:t>
      </w:r>
      <w:r w:rsidRPr="00B27B47">
        <w:rPr>
          <w:rFonts w:ascii="Book Antiqua" w:hAnsi="Book Antiqua" w:cs="Calibri" w:hint="eastAsia"/>
          <w:bCs/>
          <w:sz w:val="24"/>
          <w:szCs w:val="24"/>
          <w:lang w:val="en-US" w:eastAsia="zh-CN"/>
        </w:rPr>
        <w:t xml:space="preserve">; </w:t>
      </w:r>
      <w:r w:rsidRPr="00B27B47">
        <w:rPr>
          <w:rFonts w:ascii="Book Antiqua" w:hAnsi="Book Antiqua" w:cs="Calibri" w:hint="eastAsia"/>
          <w:bCs/>
          <w:sz w:val="24"/>
          <w:szCs w:val="24"/>
          <w:vertAlign w:val="superscript"/>
          <w:lang w:val="en-US" w:eastAsia="zh-CN"/>
        </w:rPr>
        <w:t>2</w:t>
      </w:r>
      <w:r w:rsidRPr="00B27B47">
        <w:rPr>
          <w:rFonts w:ascii="Book Antiqua" w:hAnsi="Book Antiqua" w:cs="Calibri" w:hint="eastAsia"/>
          <w:bCs/>
          <w:sz w:val="24"/>
          <w:szCs w:val="24"/>
          <w:lang w:val="en-US" w:eastAsia="zh-CN"/>
        </w:rPr>
        <w:t>I</w:t>
      </w:r>
      <w:r w:rsidRPr="00B27B47">
        <w:rPr>
          <w:rFonts w:ascii="Book Antiqua" w:hAnsi="Book Antiqua" w:cs="Calibri"/>
          <w:bCs/>
          <w:sz w:val="24"/>
          <w:szCs w:val="24"/>
          <w:lang w:val="en-US" w:eastAsia="zh-CN"/>
        </w:rPr>
        <w:t>f LDL-serum concentrations after 3 mo still elevated, consider medical treatment</w:t>
      </w:r>
      <w:r w:rsidRPr="00B27B47">
        <w:rPr>
          <w:rFonts w:ascii="Book Antiqua" w:hAnsi="Book Antiqua" w:cs="Calibri" w:hint="eastAsia"/>
          <w:bCs/>
          <w:sz w:val="24"/>
          <w:szCs w:val="24"/>
          <w:lang w:val="en-US" w:eastAsia="zh-CN"/>
        </w:rPr>
        <w:t xml:space="preserve">; </w:t>
      </w:r>
      <w:r w:rsidRPr="00B27B47">
        <w:rPr>
          <w:rFonts w:ascii="Book Antiqua" w:hAnsi="Book Antiqua" w:cs="Calibri" w:hint="eastAsia"/>
          <w:bCs/>
          <w:sz w:val="24"/>
          <w:szCs w:val="24"/>
          <w:vertAlign w:val="superscript"/>
          <w:lang w:val="en-US" w:eastAsia="zh-CN"/>
        </w:rPr>
        <w:t>3</w:t>
      </w:r>
      <w:r w:rsidRPr="00B27B47">
        <w:rPr>
          <w:rFonts w:ascii="Book Antiqua" w:hAnsi="Book Antiqua" w:cs="Calibri" w:hint="eastAsia"/>
          <w:bCs/>
          <w:sz w:val="24"/>
          <w:szCs w:val="24"/>
          <w:lang w:val="en-US" w:eastAsia="zh-CN"/>
        </w:rPr>
        <w:t>D</w:t>
      </w:r>
      <w:r w:rsidRPr="00B27B47">
        <w:rPr>
          <w:rFonts w:ascii="Book Antiqua" w:hAnsi="Book Antiqua" w:cs="Calibri"/>
          <w:bCs/>
          <w:sz w:val="24"/>
          <w:szCs w:val="24"/>
          <w:lang w:val="en-US" w:eastAsia="zh-CN"/>
        </w:rPr>
        <w:t>ocumented vascular atherosclerosis</w:t>
      </w:r>
      <w:r w:rsidRPr="00B27B47">
        <w:rPr>
          <w:rFonts w:ascii="Book Antiqua" w:hAnsi="Book Antiqua" w:cs="Calibri" w:hint="eastAsia"/>
          <w:bCs/>
          <w:sz w:val="24"/>
          <w:szCs w:val="24"/>
          <w:lang w:val="en-US" w:eastAsia="zh-CN"/>
        </w:rPr>
        <w:t xml:space="preserve">. </w:t>
      </w:r>
      <w:r w:rsidRPr="00B27B47">
        <w:rPr>
          <w:rFonts w:ascii="Book Antiqua" w:eastAsia="Times New Roman" w:hAnsi="Book Antiqua" w:cs="Calibri"/>
          <w:bCs/>
          <w:sz w:val="24"/>
          <w:szCs w:val="24"/>
          <w:lang w:val="en-US" w:eastAsia="de-DE"/>
        </w:rPr>
        <w:t>CHD</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Coronary heart disease; CVD</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Cardiovascular disease; LDL</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Low density lipoprotein; PAD</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Peripheral artery disease</w:t>
      </w:r>
      <w:r w:rsidRPr="00B27B47">
        <w:rPr>
          <w:rFonts w:ascii="Book Antiqua" w:hAnsi="Book Antiqua" w:cs="Calibri" w:hint="eastAsia"/>
          <w:bCs/>
          <w:sz w:val="24"/>
          <w:szCs w:val="24"/>
          <w:lang w:val="en-US" w:eastAsia="zh-CN"/>
        </w:rPr>
        <w:t>.</w:t>
      </w:r>
    </w:p>
    <w:p w:rsidR="00D65EDB" w:rsidRPr="00B27B47" w:rsidRDefault="00D65EDB">
      <w:pPr>
        <w:rPr>
          <w:rFonts w:ascii="Book Antiqua" w:hAnsi="Book Antiqua" w:cs="Calibri"/>
          <w:bCs/>
          <w:sz w:val="24"/>
          <w:szCs w:val="24"/>
          <w:lang w:val="en-US" w:eastAsia="zh-CN"/>
        </w:rPr>
      </w:pPr>
      <w:r w:rsidRPr="00B27B47">
        <w:rPr>
          <w:rFonts w:ascii="Book Antiqua" w:hAnsi="Book Antiqua" w:cs="Calibri"/>
          <w:bCs/>
          <w:sz w:val="24"/>
          <w:szCs w:val="24"/>
          <w:lang w:val="en-US" w:eastAsia="zh-CN"/>
        </w:rPr>
        <w:br w:type="page"/>
      </w:r>
    </w:p>
    <w:p w:rsidR="008F4ED8" w:rsidRPr="00B27B47" w:rsidRDefault="008F4ED8" w:rsidP="008F4ED8">
      <w:pPr>
        <w:adjustRightInd w:val="0"/>
        <w:snapToGrid w:val="0"/>
        <w:spacing w:after="0" w:line="360" w:lineRule="auto"/>
        <w:jc w:val="both"/>
        <w:rPr>
          <w:rFonts w:ascii="Book Antiqua" w:hAnsi="Book Antiqua" w:cs="Calibri"/>
          <w:bCs/>
          <w:sz w:val="24"/>
          <w:szCs w:val="24"/>
          <w:lang w:val="en-US" w:eastAsia="zh-CN"/>
        </w:rPr>
      </w:pPr>
    </w:p>
    <w:p w:rsidR="008F4ED8" w:rsidRPr="00B27B47" w:rsidRDefault="008F4ED8" w:rsidP="008F4ED8">
      <w:pPr>
        <w:tabs>
          <w:tab w:val="left" w:pos="7935"/>
        </w:tabs>
        <w:adjustRightInd w:val="0"/>
        <w:snapToGrid w:val="0"/>
        <w:spacing w:after="0" w:line="360" w:lineRule="auto"/>
        <w:jc w:val="both"/>
        <w:rPr>
          <w:rFonts w:ascii="Book Antiqua" w:eastAsia="Times New Roman" w:hAnsi="Book Antiqua" w:cs="Calibri"/>
          <w:sz w:val="24"/>
          <w:szCs w:val="24"/>
          <w:lang w:val="en-US" w:eastAsia="de-DE"/>
        </w:rPr>
      </w:pPr>
      <w:r w:rsidRPr="00B27B47">
        <w:rPr>
          <w:rFonts w:ascii="Book Antiqua" w:eastAsia="Times New Roman" w:hAnsi="Book Antiqua" w:cs="Calibri"/>
          <w:sz w:val="24"/>
          <w:szCs w:val="24"/>
          <w:lang w:val="en-US" w:eastAsia="de-DE"/>
        </w:rPr>
        <w:tab/>
      </w:r>
    </w:p>
    <w:p w:rsidR="00D65EDB" w:rsidRPr="00B27B47" w:rsidRDefault="00D65EDB" w:rsidP="00D65EDB">
      <w:pPr>
        <w:adjustRightInd w:val="0"/>
        <w:snapToGrid w:val="0"/>
        <w:spacing w:after="0" w:line="360" w:lineRule="auto"/>
        <w:jc w:val="both"/>
        <w:rPr>
          <w:rFonts w:ascii="Book Antiqua" w:hAnsi="Book Antiqua" w:cs="Calibri"/>
          <w:b/>
          <w:bCs/>
          <w:sz w:val="24"/>
          <w:szCs w:val="24"/>
          <w:vertAlign w:val="superscript"/>
          <w:lang w:val="en-US" w:eastAsia="zh-CN"/>
        </w:rPr>
      </w:pPr>
      <w:r w:rsidRPr="00B27B47">
        <w:rPr>
          <w:rFonts w:ascii="Book Antiqua" w:eastAsia="Times New Roman" w:hAnsi="Book Antiqua" w:cs="Calibri"/>
          <w:b/>
          <w:bCs/>
          <w:sz w:val="24"/>
          <w:szCs w:val="24"/>
          <w:lang w:val="en-US" w:eastAsia="de-DE"/>
        </w:rPr>
        <w:t xml:space="preserve">Table </w:t>
      </w:r>
      <w:r w:rsidRPr="00B27B47">
        <w:rPr>
          <w:rFonts w:ascii="Book Antiqua" w:hAnsi="Book Antiqua" w:cs="Calibri" w:hint="eastAsia"/>
          <w:b/>
          <w:bCs/>
          <w:sz w:val="24"/>
          <w:szCs w:val="24"/>
          <w:lang w:val="en-US" w:eastAsia="zh-CN"/>
        </w:rPr>
        <w:t>7</w:t>
      </w:r>
      <w:r w:rsidRPr="00B27B47">
        <w:rPr>
          <w:rFonts w:ascii="Book Antiqua" w:eastAsia="Times New Roman" w:hAnsi="Book Antiqua" w:cs="Calibri"/>
          <w:b/>
          <w:bCs/>
          <w:sz w:val="24"/>
          <w:szCs w:val="24"/>
          <w:lang w:val="en-US" w:eastAsia="de-DE"/>
        </w:rPr>
        <w:t xml:space="preserve"> Lipid lowering agents, their impact on lipoprotein metabolism, and potential interaction profiles</w:t>
      </w:r>
      <w:r w:rsidRPr="00B27B47">
        <w:rPr>
          <w:rFonts w:ascii="Book Antiqua" w:eastAsia="Times New Roman" w:hAnsi="Book Antiqua" w:cs="Calibri"/>
          <w:b/>
          <w:bCs/>
          <w:sz w:val="24"/>
          <w:szCs w:val="24"/>
          <w:vertAlign w:val="superscript"/>
          <w:lang w:val="en-US" w:eastAsia="de-DE"/>
        </w:rPr>
        <w:t>[</w:t>
      </w:r>
      <w:r w:rsidRPr="00B27B47">
        <w:rPr>
          <w:rFonts w:ascii="Book Antiqua" w:hAnsi="Book Antiqua" w:cs="Calibri" w:hint="eastAsia"/>
          <w:b/>
          <w:bCs/>
          <w:sz w:val="24"/>
          <w:szCs w:val="24"/>
          <w:vertAlign w:val="superscript"/>
          <w:lang w:val="en-US" w:eastAsia="zh-CN"/>
        </w:rPr>
        <w:t>49</w:t>
      </w:r>
      <w:r w:rsidRPr="00B27B47">
        <w:rPr>
          <w:rFonts w:ascii="Book Antiqua" w:eastAsia="Times New Roman" w:hAnsi="Book Antiqua" w:cs="Calibri"/>
          <w:b/>
          <w:bCs/>
          <w:sz w:val="24"/>
          <w:szCs w:val="24"/>
          <w:vertAlign w:val="superscript"/>
          <w:lang w:val="en-US" w:eastAsia="de-DE"/>
        </w:rPr>
        <w:t>]</w:t>
      </w:r>
    </w:p>
    <w:tbl>
      <w:tblPr>
        <w:tblW w:w="0" w:type="auto"/>
        <w:tblLook w:val="04A0" w:firstRow="1" w:lastRow="0" w:firstColumn="1" w:lastColumn="0" w:noHBand="0" w:noVBand="1"/>
      </w:tblPr>
      <w:tblGrid>
        <w:gridCol w:w="2927"/>
        <w:gridCol w:w="3385"/>
        <w:gridCol w:w="2976"/>
      </w:tblGrid>
      <w:tr w:rsidR="00D65EDB" w:rsidRPr="00B27B47" w:rsidTr="00C7415B">
        <w:tc>
          <w:tcPr>
            <w:tcW w:w="2927" w:type="dxa"/>
            <w:tcBorders>
              <w:top w:val="single" w:sz="4" w:space="0" w:color="auto"/>
              <w:bottom w:val="single" w:sz="4" w:space="0" w:color="auto"/>
            </w:tcBorders>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Agent (daily dose)</w:t>
            </w:r>
          </w:p>
        </w:tc>
        <w:tc>
          <w:tcPr>
            <w:tcW w:w="3385" w:type="dxa"/>
            <w:tcBorders>
              <w:top w:val="single" w:sz="4" w:space="0" w:color="auto"/>
              <w:bottom w:val="single" w:sz="4" w:space="0" w:color="auto"/>
            </w:tcBorders>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Interactions</w:t>
            </w:r>
          </w:p>
        </w:tc>
        <w:tc>
          <w:tcPr>
            <w:tcW w:w="2976" w:type="dxa"/>
            <w:tcBorders>
              <w:top w:val="single" w:sz="4" w:space="0" w:color="auto"/>
              <w:bottom w:val="single" w:sz="4" w:space="0" w:color="auto"/>
            </w:tcBorders>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Comment</w:t>
            </w:r>
          </w:p>
        </w:tc>
      </w:tr>
      <w:tr w:rsidR="00D65EDB" w:rsidRPr="00B27B47" w:rsidTr="00C7415B">
        <w:tc>
          <w:tcPr>
            <w:tcW w:w="9288" w:type="dxa"/>
            <w:gridSpan w:val="3"/>
            <w:tcBorders>
              <w:top w:val="single" w:sz="4" w:space="0" w:color="auto"/>
            </w:tcBorders>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HMG-CoA reductase inhibitors (statins)</w:t>
            </w:r>
          </w:p>
        </w:tc>
      </w:tr>
      <w:tr w:rsidR="00D65EDB" w:rsidRPr="00B27B47" w:rsidTr="00C7415B">
        <w:tc>
          <w:tcPr>
            <w:tcW w:w="2927" w:type="dxa"/>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Lovastatin </w:t>
            </w:r>
            <w:r w:rsidRPr="00B27B47">
              <w:rPr>
                <w:rFonts w:ascii="Book Antiqua" w:eastAsia="Times New Roman" w:hAnsi="Book Antiqua" w:cs="Calibri"/>
                <w:bCs/>
                <w:sz w:val="24"/>
                <w:szCs w:val="24"/>
                <w:lang w:val="en-US" w:eastAsia="de-DE"/>
              </w:rPr>
              <w:tab/>
              <w:t>(20–80 mg)</w:t>
            </w:r>
          </w:p>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Pravastatin </w:t>
            </w:r>
            <w:r w:rsidRPr="00B27B47">
              <w:rPr>
                <w:rFonts w:ascii="Book Antiqua" w:eastAsia="Times New Roman" w:hAnsi="Book Antiqua" w:cs="Calibri"/>
                <w:bCs/>
                <w:sz w:val="24"/>
                <w:szCs w:val="24"/>
                <w:lang w:val="en-US" w:eastAsia="de-DE"/>
              </w:rPr>
              <w:tab/>
              <w:t>(20–40 mg)</w:t>
            </w:r>
          </w:p>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Simvastatin </w:t>
            </w:r>
            <w:r w:rsidRPr="00B27B47">
              <w:rPr>
                <w:rFonts w:ascii="Book Antiqua" w:eastAsia="Times New Roman" w:hAnsi="Book Antiqua" w:cs="Calibri"/>
                <w:bCs/>
                <w:sz w:val="24"/>
                <w:szCs w:val="24"/>
                <w:lang w:val="en-US" w:eastAsia="de-DE"/>
              </w:rPr>
              <w:tab/>
              <w:t>(20–80 mg)</w:t>
            </w:r>
          </w:p>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Fluvastatin </w:t>
            </w:r>
            <w:r w:rsidRPr="00B27B47">
              <w:rPr>
                <w:rFonts w:ascii="Book Antiqua" w:eastAsia="Times New Roman" w:hAnsi="Book Antiqua" w:cs="Calibri"/>
                <w:bCs/>
                <w:sz w:val="24"/>
                <w:szCs w:val="24"/>
                <w:lang w:val="en-US" w:eastAsia="de-DE"/>
              </w:rPr>
              <w:tab/>
              <w:t>(20–80 mg)</w:t>
            </w:r>
          </w:p>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Atorvastatin </w:t>
            </w:r>
            <w:r w:rsidRPr="00B27B47">
              <w:rPr>
                <w:rFonts w:ascii="Book Antiqua" w:eastAsia="Times New Roman" w:hAnsi="Book Antiqua" w:cs="Calibri"/>
                <w:bCs/>
                <w:sz w:val="24"/>
                <w:szCs w:val="24"/>
                <w:lang w:val="en-US" w:eastAsia="de-DE"/>
              </w:rPr>
              <w:tab/>
              <w:t>(10–80 mg)</w:t>
            </w:r>
          </w:p>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Cs/>
                <w:sz w:val="24"/>
                <w:szCs w:val="24"/>
                <w:lang w:val="en-US" w:eastAsia="de-DE"/>
              </w:rPr>
              <w:t xml:space="preserve">Rosuvastatin </w:t>
            </w:r>
            <w:r w:rsidRPr="00B27B47">
              <w:rPr>
                <w:rFonts w:ascii="Book Antiqua" w:eastAsia="Times New Roman" w:hAnsi="Book Antiqua" w:cs="Calibri"/>
                <w:bCs/>
                <w:sz w:val="24"/>
                <w:szCs w:val="24"/>
                <w:lang w:val="en-US" w:eastAsia="de-DE"/>
              </w:rPr>
              <w:tab/>
              <w:t>(5–40 mg)</w:t>
            </w:r>
          </w:p>
        </w:tc>
        <w:tc>
          <w:tcPr>
            <w:tcW w:w="3385" w:type="dxa"/>
            <w:shd w:val="clear" w:color="auto" w:fill="auto"/>
          </w:tcPr>
          <w:p w:rsidR="00D65EDB" w:rsidRPr="00B27B47" w:rsidRDefault="00D65EDB" w:rsidP="00C7415B">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Lovastatin, Simvastatin, Atorvastatin are mainly catabolized </w:t>
            </w:r>
            <w:r w:rsidRPr="00B27B47">
              <w:rPr>
                <w:rFonts w:ascii="Book Antiqua" w:eastAsia="Times New Roman" w:hAnsi="Book Antiqua" w:cs="Calibri"/>
                <w:bCs/>
                <w:i/>
                <w:sz w:val="24"/>
                <w:szCs w:val="24"/>
                <w:lang w:val="en-US" w:eastAsia="de-DE"/>
              </w:rPr>
              <w:t>via</w:t>
            </w:r>
            <w:r w:rsidRPr="00B27B47">
              <w:rPr>
                <w:rFonts w:ascii="Book Antiqua" w:eastAsia="Times New Roman" w:hAnsi="Book Antiqua" w:cs="Calibri"/>
                <w:bCs/>
                <w:sz w:val="24"/>
                <w:szCs w:val="24"/>
                <w:lang w:val="en-US" w:eastAsia="de-DE"/>
              </w:rPr>
              <w:t xml:space="preserve"> hepatic CYP3A4: Caution in case of use of CYP3A4-Inhibitors (</w:t>
            </w:r>
            <w:r w:rsidRPr="00B27B47">
              <w:rPr>
                <w:rFonts w:ascii="Book Antiqua" w:eastAsia="Times New Roman" w:hAnsi="Book Antiqua" w:cs="Calibri"/>
                <w:bCs/>
                <w:i/>
                <w:sz w:val="24"/>
                <w:szCs w:val="24"/>
                <w:lang w:val="en-US" w:eastAsia="de-DE"/>
              </w:rPr>
              <w:t>e.g.</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Itraconazole, Ketoconazole,</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HIV-protease-inhibitors Erythromycin, Clarithromycin, Telithromycin,</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Nefazodon).</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Caution if fibrates or nicotinic acid are simultaneously used: high risk of myopathies.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Simultaneous use of calcineurin-inhibiting agents might reduce the elimination of statins: high risk of myopathies and rhabdomyolysis. Monitoring is necessary and low statin doses at the beginning are recommended.</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Caution with dose escalation. </w:t>
            </w:r>
            <w:r w:rsidRPr="00B27B47">
              <w:rPr>
                <w:rFonts w:ascii="Book Antiqua" w:eastAsia="Times New Roman" w:hAnsi="Book Antiqua" w:cs="Calibri"/>
                <w:bCs/>
                <w:sz w:val="24"/>
                <w:szCs w:val="24"/>
                <w:lang w:val="en-US" w:eastAsia="de-DE"/>
              </w:rPr>
              <w:lastRenderedPageBreak/>
              <w:t>No interactions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have been observed between Sirolimus and</w:t>
            </w:r>
          </w:p>
          <w:p w:rsidR="00D65EDB" w:rsidRPr="00B27B47" w:rsidRDefault="00D65EDB"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Cs/>
                <w:sz w:val="24"/>
                <w:szCs w:val="24"/>
                <w:lang w:val="en-US" w:eastAsia="de-DE"/>
              </w:rPr>
              <w:t>Atorvastatin and between Everolimus and Atorvastatin respectively Pravastatin.</w:t>
            </w:r>
          </w:p>
        </w:tc>
        <w:tc>
          <w:tcPr>
            <w:tcW w:w="2976"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Class of drugs with the highest lipid lowering effect</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Contraindications:</w:t>
            </w:r>
          </w:p>
          <w:p w:rsidR="00D65EDB" w:rsidRPr="00B27B47" w:rsidRDefault="00D65EDB" w:rsidP="00C7415B">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hAnsi="Book Antiqua" w:cs="Calibri" w:hint="eastAsia"/>
                <w:bCs/>
                <w:sz w:val="24"/>
                <w:szCs w:val="24"/>
                <w:lang w:val="en-US" w:eastAsia="zh-CN"/>
              </w:rPr>
              <w:t>(1)</w:t>
            </w:r>
            <w:r w:rsidRPr="00B27B47">
              <w:rPr>
                <w:rFonts w:ascii="Book Antiqua" w:eastAsia="Times New Roman" w:hAnsi="Book Antiqua" w:cs="Calibri"/>
                <w:bCs/>
                <w:sz w:val="24"/>
                <w:szCs w:val="24"/>
                <w:lang w:val="en-US" w:eastAsia="de-DE"/>
              </w:rPr>
              <w:t xml:space="preserve"> advanced liver diseases</w:t>
            </w:r>
            <w:r w:rsidRPr="00B27B47">
              <w:rPr>
                <w:rFonts w:ascii="Book Antiqua" w:hAnsi="Book Antiqua" w:cs="Calibri" w:hint="eastAsia"/>
                <w:bCs/>
                <w:sz w:val="24"/>
                <w:szCs w:val="24"/>
                <w:lang w:val="en-US" w:eastAsia="zh-CN"/>
              </w:rPr>
              <w:t>;</w:t>
            </w:r>
          </w:p>
          <w:p w:rsidR="00D65EDB" w:rsidRPr="00B27B47" w:rsidRDefault="00D65EDB" w:rsidP="00C7415B">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hAnsi="Book Antiqua" w:cs="Calibri" w:hint="eastAsia"/>
                <w:bCs/>
                <w:sz w:val="24"/>
                <w:szCs w:val="24"/>
                <w:lang w:val="en-US" w:eastAsia="zh-CN"/>
              </w:rPr>
              <w:t>(2)</w:t>
            </w:r>
            <w:r w:rsidRPr="00B27B47">
              <w:rPr>
                <w:rFonts w:ascii="Book Antiqua" w:eastAsia="Times New Roman" w:hAnsi="Book Antiqua" w:cs="Calibri"/>
                <w:bCs/>
                <w:sz w:val="24"/>
                <w:szCs w:val="24"/>
                <w:lang w:val="en-US" w:eastAsia="de-DE"/>
              </w:rPr>
              <w:t xml:space="preserve"> Rosuvastatin: simultaneous use of Cyclosporine</w:t>
            </w:r>
            <w:r w:rsidRPr="00B27B47">
              <w:rPr>
                <w:rFonts w:ascii="Book Antiqua" w:hAnsi="Book Antiqua" w:cs="Calibri" w:hint="eastAsia"/>
                <w:bCs/>
                <w:sz w:val="24"/>
                <w:szCs w:val="24"/>
                <w:lang w:val="en-US" w:eastAsia="zh-CN"/>
              </w:rPr>
              <w:t>;</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hAnsi="Book Antiqua" w:cs="Calibri" w:hint="eastAsia"/>
                <w:bCs/>
                <w:sz w:val="24"/>
                <w:szCs w:val="24"/>
                <w:lang w:val="en-US" w:eastAsia="zh-CN"/>
              </w:rPr>
              <w:t>(3)</w:t>
            </w:r>
            <w:r w:rsidRPr="00B27B47">
              <w:rPr>
                <w:rFonts w:ascii="Book Antiqua" w:eastAsia="Times New Roman" w:hAnsi="Book Antiqua" w:cs="Calibri"/>
                <w:bCs/>
                <w:sz w:val="24"/>
                <w:szCs w:val="24"/>
                <w:lang w:val="en-US" w:eastAsia="de-DE"/>
              </w:rPr>
              <w:t xml:space="preserve"> Statin intolerance</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Caution: serious interactions due to competitive inhibition of CYP450 3A4-metabolism cannot be ruled out:</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Prefer Fluvastatin</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or Pravastatin for treatment due to absence of CYP450 3A4 metabolisis.</w:t>
            </w:r>
          </w:p>
        </w:tc>
      </w:tr>
      <w:tr w:rsidR="00D65EDB" w:rsidRPr="00B27B47" w:rsidTr="00C7415B">
        <w:tc>
          <w:tcPr>
            <w:tcW w:w="9288" w:type="dxa"/>
            <w:gridSpan w:val="3"/>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lastRenderedPageBreak/>
              <w:t>Bile acid binding anion exchange resins</w:t>
            </w:r>
          </w:p>
        </w:tc>
      </w:tr>
      <w:tr w:rsidR="00D65EDB" w:rsidRPr="00B27B47" w:rsidTr="00C7415B">
        <w:tc>
          <w:tcPr>
            <w:tcW w:w="2927" w:type="dxa"/>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Colestyramin (4–16 g)</w:t>
            </w:r>
          </w:p>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Cs/>
                <w:sz w:val="24"/>
                <w:szCs w:val="24"/>
                <w:lang w:val="en-US" w:eastAsia="de-DE"/>
              </w:rPr>
              <w:t>Colesevelam (2.5–3.75 g)</w:t>
            </w:r>
          </w:p>
        </w:tc>
        <w:tc>
          <w:tcPr>
            <w:tcW w:w="3385"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Caution: may reduce or retard gastrointestinal absorption of simultaneous orally administered agents.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If interactions are possible, agents should be taken &gt; 1 before or &gt; 4 h</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after Colestyramin intake. Colesevelam should be taken 4 h before or after taking other drugs.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Blood level monitoring is required for agents with a narrow therapeutic window.</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Caution with simultaneous use of immunsuppressants or lipid lowering agents.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hAnsi="Book Antiqua" w:cs="Calibri" w:hint="eastAsia"/>
                <w:bCs/>
                <w:i/>
                <w:sz w:val="24"/>
                <w:szCs w:val="24"/>
                <w:lang w:val="en-US" w:eastAsia="zh-CN"/>
              </w:rPr>
              <w:t>e</w:t>
            </w:r>
            <w:r w:rsidRPr="00B27B47">
              <w:rPr>
                <w:rFonts w:ascii="Book Antiqua" w:eastAsia="Times New Roman" w:hAnsi="Book Antiqua" w:cs="Calibri"/>
                <w:bCs/>
                <w:i/>
                <w:sz w:val="24"/>
                <w:szCs w:val="24"/>
                <w:lang w:val="en-US" w:eastAsia="de-DE"/>
              </w:rPr>
              <w:t>.g</w:t>
            </w:r>
            <w:r w:rsidRPr="00B27B47">
              <w:rPr>
                <w:rFonts w:ascii="Book Antiqua" w:eastAsia="Times New Roman" w:hAnsi="Book Antiqua" w:cs="Calibri"/>
                <w:bCs/>
                <w:sz w:val="24"/>
                <w:szCs w:val="24"/>
                <w:lang w:val="en-US" w:eastAsia="de-DE"/>
              </w:rPr>
              <w:t>.</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bioavailability of mycophenolic acid can be reduced due to the simultaneous use of bile acid binding anion exchange resins (40 % in case of MMF + Colestyramin). Intervals of </w:t>
            </w:r>
            <w:r w:rsidRPr="00B27B47">
              <w:rPr>
                <w:rFonts w:ascii="Book Antiqua" w:eastAsia="Times New Roman" w:hAnsi="Book Antiqua" w:cs="Calibri"/>
                <w:bCs/>
                <w:sz w:val="24"/>
                <w:szCs w:val="24"/>
                <w:lang w:val="en-US" w:eastAsia="de-DE"/>
              </w:rPr>
              <w:lastRenderedPageBreak/>
              <w:t>medication intake mentioned above are obligatory.</w:t>
            </w:r>
          </w:p>
        </w:tc>
        <w:tc>
          <w:tcPr>
            <w:tcW w:w="2976"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Lowering of LDL-cholesterol, also used in combination with Statins or</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Ezetimib</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Contraindications:</w:t>
            </w:r>
          </w:p>
          <w:p w:rsidR="00D65EDB" w:rsidRPr="00B27B47" w:rsidRDefault="00D65EDB"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eastAsia="Times New Roman" w:hAnsi="Book Antiqua" w:cs="Calibri"/>
                <w:bCs/>
                <w:sz w:val="24"/>
                <w:szCs w:val="24"/>
                <w:lang w:val="en-US" w:eastAsia="de-DE"/>
              </w:rPr>
              <w:t>Ileus or occlusion of bile ducts</w:t>
            </w:r>
          </w:p>
        </w:tc>
      </w:tr>
      <w:tr w:rsidR="00D65EDB" w:rsidRPr="00B27B47" w:rsidTr="00C7415B">
        <w:tc>
          <w:tcPr>
            <w:tcW w:w="2927" w:type="dxa"/>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lastRenderedPageBreak/>
              <w:t>Nicotinic acid</w:t>
            </w:r>
          </w:p>
        </w:tc>
        <w:tc>
          <w:tcPr>
            <w:tcW w:w="3385"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
                <w:bCs/>
                <w:sz w:val="24"/>
                <w:szCs w:val="24"/>
                <w:lang w:val="en-US" w:eastAsia="de-DE"/>
              </w:rPr>
            </w:pPr>
          </w:p>
        </w:tc>
        <w:tc>
          <w:tcPr>
            <w:tcW w:w="2976"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
                <w:bCs/>
                <w:sz w:val="24"/>
                <w:szCs w:val="24"/>
                <w:lang w:val="en-US" w:eastAsia="de-DE"/>
              </w:rPr>
            </w:pPr>
          </w:p>
        </w:tc>
      </w:tr>
      <w:tr w:rsidR="00D65EDB" w:rsidRPr="00B27B47" w:rsidTr="00C7415B">
        <w:tc>
          <w:tcPr>
            <w:tcW w:w="2927" w:type="dxa"/>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Sustained-release tablets (Niaspan</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w:t>
            </w:r>
          </w:p>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(1–2 g)</w:t>
            </w:r>
          </w:p>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Nicotininc acid / Laropiprant</w:t>
            </w:r>
          </w:p>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Cs/>
                <w:sz w:val="24"/>
                <w:szCs w:val="24"/>
                <w:lang w:val="en-US" w:eastAsia="de-DE"/>
              </w:rPr>
              <w:t>(Tredaptive</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(1–2 g)</w:t>
            </w:r>
          </w:p>
        </w:tc>
        <w:tc>
          <w:tcPr>
            <w:tcW w:w="3385"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In some cases simultaneous use of nicotinic acid and HMG-CoA reductase inhibitors was associated with myopathies/rhabdomyolysis: careful assessment of risks and benefits is required. Tredaptive</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xml:space="preserve"> (according to medicinal product's professional information use was only evaluated in combination with Simvastatin): small increase of AUC and Cmax of Simvastatin (probably without any clinical relevance).</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Hot drinks, alcohol and spicy foods may favor flush. Simultaneous use with nicotinic acid should be avoided.</w:t>
            </w:r>
          </w:p>
        </w:tc>
        <w:tc>
          <w:tcPr>
            <w:tcW w:w="2976"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Lowering of LDL and triglyceride serum concentrations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Contraindications</w:t>
            </w:r>
          </w:p>
          <w:p w:rsidR="00D65EDB" w:rsidRPr="00B27B47" w:rsidRDefault="00D65EDB" w:rsidP="00C7415B">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hAnsi="Book Antiqua" w:cs="Calibri" w:hint="eastAsia"/>
                <w:bCs/>
                <w:sz w:val="24"/>
                <w:szCs w:val="24"/>
                <w:lang w:val="en-US" w:eastAsia="zh-CN"/>
              </w:rPr>
              <w:t xml:space="preserve">(1) </w:t>
            </w:r>
            <w:r w:rsidRPr="00B27B47">
              <w:rPr>
                <w:rFonts w:ascii="Book Antiqua" w:eastAsia="Times New Roman" w:hAnsi="Book Antiqua" w:cs="Calibri"/>
                <w:bCs/>
                <w:sz w:val="24"/>
                <w:szCs w:val="24"/>
                <w:lang w:val="en-US" w:eastAsia="de-DE"/>
              </w:rPr>
              <w:t>advanced liver diseases</w:t>
            </w:r>
            <w:r w:rsidRPr="00B27B47">
              <w:rPr>
                <w:rFonts w:ascii="Book Antiqua" w:hAnsi="Book Antiqua" w:cs="Calibri" w:hint="eastAsia"/>
                <w:bCs/>
                <w:sz w:val="24"/>
                <w:szCs w:val="24"/>
                <w:lang w:val="en-US" w:eastAsia="zh-CN"/>
              </w:rPr>
              <w:t>;</w:t>
            </w:r>
          </w:p>
          <w:p w:rsidR="00D65EDB" w:rsidRPr="00B27B47" w:rsidRDefault="00D65EDB" w:rsidP="00C7415B">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hAnsi="Book Antiqua" w:cs="Calibri" w:hint="eastAsia"/>
                <w:bCs/>
                <w:sz w:val="24"/>
                <w:szCs w:val="24"/>
                <w:lang w:val="en-US" w:eastAsia="zh-CN"/>
              </w:rPr>
              <w:t>(2)</w:t>
            </w:r>
            <w:r w:rsidRPr="00B27B47">
              <w:rPr>
                <w:rFonts w:ascii="Book Antiqua" w:eastAsia="Times New Roman" w:hAnsi="Book Antiqua" w:cs="Calibri"/>
                <w:bCs/>
                <w:sz w:val="24"/>
                <w:szCs w:val="24"/>
                <w:lang w:val="en-US" w:eastAsia="de-DE"/>
              </w:rPr>
              <w:t xml:space="preserve"> acute peptic ulcer</w:t>
            </w:r>
            <w:r w:rsidRPr="00B27B47">
              <w:rPr>
                <w:rFonts w:ascii="Book Antiqua" w:hAnsi="Book Antiqua" w:cs="Calibri" w:hint="eastAsia"/>
                <w:bCs/>
                <w:sz w:val="24"/>
                <w:szCs w:val="24"/>
                <w:lang w:val="en-US" w:eastAsia="zh-CN"/>
              </w:rPr>
              <w:t>;</w:t>
            </w:r>
          </w:p>
          <w:p w:rsidR="00D65EDB" w:rsidRPr="00B27B47" w:rsidRDefault="00D65EDB" w:rsidP="00C7415B">
            <w:pPr>
              <w:adjustRightInd w:val="0"/>
              <w:snapToGrid w:val="0"/>
              <w:spacing w:after="0" w:line="360" w:lineRule="auto"/>
              <w:jc w:val="center"/>
              <w:rPr>
                <w:rFonts w:ascii="Book Antiqua" w:eastAsia="Times New Roman" w:hAnsi="Book Antiqua" w:cs="Calibri"/>
                <w:b/>
                <w:bCs/>
                <w:sz w:val="24"/>
                <w:szCs w:val="24"/>
                <w:lang w:val="en-US" w:eastAsia="de-DE"/>
              </w:rPr>
            </w:pPr>
            <w:r w:rsidRPr="00B27B47">
              <w:rPr>
                <w:rFonts w:ascii="Book Antiqua" w:hAnsi="Book Antiqua" w:cs="Calibri" w:hint="eastAsia"/>
                <w:bCs/>
                <w:sz w:val="24"/>
                <w:szCs w:val="24"/>
                <w:lang w:val="en-US" w:eastAsia="zh-CN"/>
              </w:rPr>
              <w:t xml:space="preserve">(3) </w:t>
            </w:r>
            <w:r w:rsidRPr="00B27B47">
              <w:rPr>
                <w:rFonts w:ascii="Book Antiqua" w:eastAsia="Times New Roman" w:hAnsi="Book Antiqua" w:cs="Calibri"/>
                <w:bCs/>
                <w:sz w:val="24"/>
                <w:szCs w:val="24"/>
                <w:lang w:val="en-US" w:eastAsia="de-DE"/>
              </w:rPr>
              <w:t>arterial bleeding</w:t>
            </w:r>
          </w:p>
        </w:tc>
      </w:tr>
      <w:tr w:rsidR="00D65EDB" w:rsidRPr="00B27B47" w:rsidTr="00C7415B">
        <w:tc>
          <w:tcPr>
            <w:tcW w:w="9288" w:type="dxa"/>
            <w:gridSpan w:val="3"/>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val="en-US" w:eastAsia="de-DE"/>
              </w:rPr>
            </w:pPr>
            <w:r w:rsidRPr="00B27B47">
              <w:rPr>
                <w:rFonts w:ascii="Book Antiqua" w:eastAsia="Times New Roman" w:hAnsi="Book Antiqua" w:cs="Calibri"/>
                <w:b/>
                <w:bCs/>
                <w:sz w:val="24"/>
                <w:szCs w:val="24"/>
                <w:lang w:val="en-US" w:eastAsia="de-DE"/>
              </w:rPr>
              <w:t>Fibrate</w:t>
            </w:r>
          </w:p>
        </w:tc>
      </w:tr>
      <w:tr w:rsidR="00D65EDB" w:rsidRPr="00B27B47" w:rsidTr="00C7415B">
        <w:tc>
          <w:tcPr>
            <w:tcW w:w="2927" w:type="dxa"/>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eastAsia="de-DE"/>
              </w:rPr>
            </w:pPr>
            <w:r w:rsidRPr="00B27B47">
              <w:rPr>
                <w:rFonts w:ascii="Book Antiqua" w:eastAsia="Times New Roman" w:hAnsi="Book Antiqua" w:cs="Calibri"/>
                <w:bCs/>
                <w:sz w:val="24"/>
                <w:szCs w:val="24"/>
                <w:lang w:eastAsia="de-DE"/>
              </w:rPr>
              <w:t>Gemfibrozil (2 × 600 mg)</w:t>
            </w:r>
          </w:p>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eastAsia="de-DE"/>
              </w:rPr>
            </w:pPr>
            <w:r w:rsidRPr="00B27B47">
              <w:rPr>
                <w:rFonts w:ascii="Book Antiqua" w:eastAsia="Times New Roman" w:hAnsi="Book Antiqua" w:cs="Calibri"/>
                <w:bCs/>
                <w:sz w:val="24"/>
                <w:szCs w:val="24"/>
                <w:lang w:eastAsia="de-DE"/>
              </w:rPr>
              <w:t>Fenofibrat (200 mg)</w:t>
            </w:r>
          </w:p>
          <w:p w:rsidR="00D65EDB" w:rsidRPr="00B27B47" w:rsidRDefault="00D65EDB" w:rsidP="00C7415B">
            <w:pPr>
              <w:adjustRightInd w:val="0"/>
              <w:snapToGrid w:val="0"/>
              <w:spacing w:after="0" w:line="360" w:lineRule="auto"/>
              <w:rPr>
                <w:rFonts w:ascii="Book Antiqua" w:eastAsia="Times New Roman" w:hAnsi="Book Antiqua" w:cs="Calibri"/>
                <w:b/>
                <w:bCs/>
                <w:sz w:val="24"/>
                <w:szCs w:val="24"/>
                <w:lang w:eastAsia="de-DE"/>
              </w:rPr>
            </w:pPr>
            <w:r w:rsidRPr="00B27B47">
              <w:rPr>
                <w:rFonts w:ascii="Book Antiqua" w:eastAsia="Times New Roman" w:hAnsi="Book Antiqua" w:cs="Calibri"/>
                <w:bCs/>
                <w:sz w:val="24"/>
                <w:szCs w:val="24"/>
                <w:lang w:eastAsia="de-DE"/>
              </w:rPr>
              <w:t>Bezafibrat (200–600 mg)</w:t>
            </w:r>
          </w:p>
        </w:tc>
        <w:tc>
          <w:tcPr>
            <w:tcW w:w="3385"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 xml:space="preserve">Caution: Simultaneous treatment with HMG-CoA reductase inhibitors leads to an increased risk for </w:t>
            </w:r>
            <w:r w:rsidRPr="00B27B47">
              <w:rPr>
                <w:rFonts w:ascii="Book Antiqua" w:eastAsia="Times New Roman" w:hAnsi="Book Antiqua" w:cs="Calibri"/>
                <w:bCs/>
                <w:sz w:val="24"/>
                <w:szCs w:val="24"/>
                <w:lang w:val="en-US" w:eastAsia="de-DE"/>
              </w:rPr>
              <w:lastRenderedPageBreak/>
              <w:t>myopathies and rhabdomyolysis. Statin serum concentrations can rise: no combination with statins or monitor patients closely.</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Combination with Calcineurin-Inhibitors and mTOR-Inhibitors leads to an increased risk for rhabdomyolysis and other side effects: monitoring is required.</w:t>
            </w:r>
          </w:p>
        </w:tc>
        <w:tc>
          <w:tcPr>
            <w:tcW w:w="2976" w:type="dxa"/>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Reducing triglycerides. Avoid combination with HMG-CoA reductase inhibitors.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Contraindications</w:t>
            </w:r>
          </w:p>
          <w:p w:rsidR="00D65EDB" w:rsidRPr="00B27B47" w:rsidRDefault="00D65EDB" w:rsidP="00C7415B">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hAnsi="Book Antiqua" w:cs="Calibri" w:hint="eastAsia"/>
                <w:bCs/>
                <w:sz w:val="24"/>
                <w:szCs w:val="24"/>
                <w:lang w:val="en-US" w:eastAsia="zh-CN"/>
              </w:rPr>
              <w:t xml:space="preserve">(1) </w:t>
            </w:r>
            <w:r w:rsidRPr="00B27B47">
              <w:rPr>
                <w:rFonts w:ascii="Book Antiqua" w:eastAsia="Times New Roman" w:hAnsi="Book Antiqua" w:cs="Calibri"/>
                <w:bCs/>
                <w:sz w:val="24"/>
                <w:szCs w:val="24"/>
                <w:lang w:val="en-US" w:eastAsia="de-DE"/>
              </w:rPr>
              <w:t>advanced liver dysfunction</w:t>
            </w:r>
            <w:r w:rsidRPr="00B27B47">
              <w:rPr>
                <w:rFonts w:ascii="Book Antiqua" w:hAnsi="Book Antiqua" w:cs="Calibri" w:hint="eastAsia"/>
                <w:bCs/>
                <w:sz w:val="24"/>
                <w:szCs w:val="24"/>
                <w:lang w:val="en-US" w:eastAsia="zh-CN"/>
              </w:rPr>
              <w:t>;</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hAnsi="Book Antiqua" w:cs="Calibri" w:hint="eastAsia"/>
                <w:bCs/>
                <w:sz w:val="24"/>
                <w:szCs w:val="24"/>
                <w:lang w:val="en-US" w:eastAsia="zh-CN"/>
              </w:rPr>
              <w:t>(2)</w:t>
            </w:r>
            <w:r w:rsidRPr="00B27B47">
              <w:rPr>
                <w:rFonts w:ascii="Book Antiqua" w:eastAsia="Times New Roman" w:hAnsi="Book Antiqua" w:cs="Calibri"/>
                <w:bCs/>
                <w:sz w:val="24"/>
                <w:szCs w:val="24"/>
                <w:lang w:val="en-US" w:eastAsia="de-DE"/>
              </w:rPr>
              <w:t xml:space="preserve"> severe renal impairment</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p>
        </w:tc>
      </w:tr>
      <w:tr w:rsidR="00D65EDB" w:rsidRPr="00B27B47" w:rsidTr="00C7415B">
        <w:tc>
          <w:tcPr>
            <w:tcW w:w="9288" w:type="dxa"/>
            <w:gridSpan w:val="3"/>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
                <w:bCs/>
                <w:sz w:val="24"/>
                <w:szCs w:val="24"/>
                <w:lang w:val="en-US" w:eastAsia="de-DE"/>
              </w:rPr>
              <w:lastRenderedPageBreak/>
              <w:t>Cholesterol resorption reducing agents</w:t>
            </w:r>
          </w:p>
        </w:tc>
      </w:tr>
      <w:tr w:rsidR="00D65EDB" w:rsidRPr="00B27B47" w:rsidTr="00C7415B">
        <w:tc>
          <w:tcPr>
            <w:tcW w:w="2927" w:type="dxa"/>
            <w:tcBorders>
              <w:bottom w:val="single" w:sz="4" w:space="0" w:color="auto"/>
            </w:tcBorders>
            <w:shd w:val="clear" w:color="auto" w:fill="auto"/>
          </w:tcPr>
          <w:p w:rsidR="00D65EDB" w:rsidRPr="00B27B47" w:rsidRDefault="00D65EDB" w:rsidP="00C7415B">
            <w:pPr>
              <w:adjustRightInd w:val="0"/>
              <w:snapToGrid w:val="0"/>
              <w:spacing w:after="0" w:line="360" w:lineRule="auto"/>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Ezetimib (Ezetrol</w:t>
            </w:r>
            <w:r w:rsidRPr="00B27B47">
              <w:rPr>
                <w:rFonts w:ascii="Book Antiqua" w:eastAsia="Times New Roman" w:hAnsi="Book Antiqua" w:cs="Calibri"/>
                <w:bCs/>
                <w:sz w:val="24"/>
                <w:szCs w:val="24"/>
                <w:vertAlign w:val="superscript"/>
                <w:lang w:val="en-US" w:eastAsia="de-DE"/>
              </w:rPr>
              <w:t>®</w:t>
            </w:r>
            <w:r w:rsidRPr="00B27B47">
              <w:rPr>
                <w:rFonts w:ascii="Book Antiqua" w:eastAsia="Times New Roman" w:hAnsi="Book Antiqua" w:cs="Calibri"/>
                <w:bCs/>
                <w:sz w:val="24"/>
                <w:szCs w:val="24"/>
                <w:lang w:val="en-US" w:eastAsia="de-DE"/>
              </w:rPr>
              <w:t>) (10 mg)</w:t>
            </w:r>
          </w:p>
        </w:tc>
        <w:tc>
          <w:tcPr>
            <w:tcW w:w="3385" w:type="dxa"/>
            <w:tcBorders>
              <w:bottom w:val="single" w:sz="4" w:space="0" w:color="auto"/>
            </w:tcBorders>
            <w:shd w:val="clear" w:color="auto" w:fill="auto"/>
          </w:tcPr>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Caution: Simultaneous treatment with HMG-CoA reductase inhibitors leads to an increased risk of myopathies and rhabdomyolysis and elevation of liver enzymes: close monitoring of liver function is required.</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No combination with fibrates: tolerability and effectiveness were not evaluated.</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Combination with Fenofibrat leads to an increased risk for cholelithiasis and gall bladder diseases.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Caution with the simultaneous use of Cyclosporine: AUC of Ezetimib rises, no data concerning changes in Cyclosporine- blood levels available. No clinical effects and interactions with other immunosuppressants have been observed to date. Monitoring of immunosuppressive agents is required</w:t>
            </w:r>
            <w:r w:rsidRPr="00B27B47">
              <w:rPr>
                <w:rFonts w:ascii="Book Antiqua" w:hAnsi="Book Antiqua" w:cs="Calibri" w:hint="eastAsia"/>
                <w:bCs/>
                <w:sz w:val="24"/>
                <w:szCs w:val="24"/>
                <w:vertAlign w:val="superscript"/>
                <w:lang w:val="en-US" w:eastAsia="zh-CN"/>
              </w:rPr>
              <w:t>[</w:t>
            </w:r>
            <w:r w:rsidRPr="00B27B47">
              <w:rPr>
                <w:rFonts w:ascii="Book Antiqua" w:hAnsi="Book Antiqua" w:cs="Calibri"/>
                <w:bCs/>
                <w:sz w:val="24"/>
                <w:szCs w:val="24"/>
                <w:vertAlign w:val="superscript"/>
                <w:lang w:val="en-US" w:eastAsia="zh-CN"/>
              </w:rPr>
              <w:fldChar w:fldCharType="begin"/>
            </w:r>
            <w:r w:rsidRPr="00B27B47">
              <w:rPr>
                <w:rFonts w:ascii="Book Antiqua" w:hAnsi="Book Antiqua" w:cs="Calibri"/>
                <w:bCs/>
                <w:sz w:val="24"/>
                <w:szCs w:val="24"/>
                <w:vertAlign w:val="superscript"/>
                <w:lang w:val="en-US" w:eastAsia="zh-CN"/>
              </w:rPr>
              <w:instrText xml:space="preserve"> ADDIN EN.CITE &lt;EndNote&gt;&lt;Cite&gt;&lt;Author&gt;Almutairi&lt;/Author&gt;&lt;Year&gt;2009&lt;/Year&gt;&lt;RecNum&gt;1&lt;/RecNum&gt;&lt;record&gt;&lt;rec-number&gt;1&lt;/rec-number&gt;&lt;ref-type name="Journal Article"&gt;17&lt;/ref-type&gt;&lt;contributors&gt;&lt;authors&gt;&lt;author&gt;Almutairi, F.&lt;/author&gt;&lt;author&gt;Peterson, T. C.&lt;/author&gt;&lt;author&gt;Molinari, M.&lt;/author&gt;&lt;author&gt;Walsh, M. J.&lt;/author&gt;&lt;author&gt;Alwayn, I.&lt;/author&gt;&lt;author&gt;Peltekian, K. M.&lt;/author&gt;&lt;/authors&gt;&lt;/contributors&gt;&lt;auth-address&gt;Department of Medicine, Dalhousie University, Halifax, Nova Scotia, Canada.&lt;/auth-address&gt;&lt;titles&gt;&lt;title&gt;Safety and effectiveness of ezetimibe in liver transplant recipients with hypercholesterolemia&lt;/title&gt;&lt;secondary-title&gt;Liver Transpl&lt;/secondary-title&gt;&lt;/titles&gt;&lt;periodical&gt;&lt;full-title&gt;Liver Transpl&lt;/full-title&gt;&lt;/periodical&gt;&lt;pages&gt;504-8&lt;/pages&gt;&lt;volume&gt;15&lt;/volume&gt;&lt;number&gt;5&lt;/number&gt;&lt;keywords&gt;&lt;keyword&gt;Aged&lt;/keyword&gt;&lt;keyword&gt;Anticholesteremic Agents/adverse effects/ therapeutic use&lt;/keyword&gt;&lt;keyword&gt;Azetidines/adverse effects/ therapeutic use&lt;/keyword&gt;&lt;keyword&gt;Cholesterol, LDL/blood&lt;/keyword&gt;&lt;keyword&gt;Drug Therapy, Combination&lt;/keyword&gt;&lt;keyword&gt;Female&lt;/keyword&gt;&lt;keyword&gt;Humans&lt;/keyword&gt;&lt;keyword&gt;Hydroxymethylglutaryl-CoA Reductase Inhibitors/adverse effects/ therapeutic use&lt;/keyword&gt;&lt;keyword&gt;Hypercholesterolemia/blood/ drug therapy/etiology&lt;/keyword&gt;&lt;keyword&gt;Immunosuppressive Agents/therapeutic use&lt;/keyword&gt;&lt;keyword&gt;Liver Transplantation/ adverse effects&lt;/keyword&gt;&lt;keyword&gt;Male&lt;/keyword&gt;&lt;keyword&gt;Middle Aged&lt;/keyword&gt;&lt;keyword&gt;Retrospective Studies&lt;/keyword&gt;&lt;keyword&gt;Time Factors&lt;/keyword&gt;&lt;keyword&gt;Treatment Outcome&lt;/keyword&gt;&lt;keyword&gt;Triglycerides/blood&lt;/keyword&gt;&lt;/keywords&gt;&lt;dates&gt;&lt;year&gt;2009&lt;/year&gt;&lt;pub-dates&gt;&lt;date&gt;May&lt;/date&gt;&lt;/pub-dates&gt;&lt;/dates&gt;&lt;isbn&gt;1527-6473 (Electronic)&amp;#xD;1527-6465 (Linking)&lt;/isbn&gt;&lt;accession-num&gt;19399742&lt;/accession-num&gt;&lt;urls&gt;&lt;/urls&gt;&lt;/record&gt;&lt;/Cite&gt;&lt;/EndNote&gt;</w:instrText>
            </w:r>
            <w:r w:rsidRPr="00B27B47">
              <w:rPr>
                <w:rFonts w:ascii="Book Antiqua" w:hAnsi="Book Antiqua" w:cs="Calibri"/>
                <w:bCs/>
                <w:sz w:val="24"/>
                <w:szCs w:val="24"/>
                <w:vertAlign w:val="superscript"/>
                <w:lang w:val="en-US" w:eastAsia="zh-CN"/>
              </w:rPr>
              <w:fldChar w:fldCharType="separate"/>
            </w:r>
            <w:r w:rsidRPr="00B27B47">
              <w:rPr>
                <w:rFonts w:ascii="Book Antiqua" w:hAnsi="Book Antiqua" w:cs="Calibri"/>
                <w:bCs/>
                <w:sz w:val="24"/>
                <w:szCs w:val="24"/>
                <w:vertAlign w:val="superscript"/>
                <w:lang w:val="en-US" w:eastAsia="zh-CN"/>
              </w:rPr>
              <w:t>5</w:t>
            </w:r>
            <w:r w:rsidRPr="00B27B47">
              <w:rPr>
                <w:rFonts w:ascii="Book Antiqua" w:hAnsi="Book Antiqua" w:cs="Calibri" w:hint="eastAsia"/>
                <w:bCs/>
                <w:sz w:val="24"/>
                <w:szCs w:val="24"/>
                <w:vertAlign w:val="superscript"/>
                <w:lang w:val="en-US" w:eastAsia="zh-CN"/>
              </w:rPr>
              <w:t>0</w:t>
            </w:r>
            <w:r w:rsidRPr="00B27B47">
              <w:rPr>
                <w:rFonts w:ascii="Book Antiqua" w:hAnsi="Book Antiqua" w:cs="Calibri"/>
                <w:bCs/>
                <w:sz w:val="24"/>
                <w:szCs w:val="24"/>
                <w:vertAlign w:val="superscript"/>
                <w:lang w:val="en-US" w:eastAsia="zh-CN"/>
              </w:rPr>
              <w:fldChar w:fldCharType="end"/>
            </w:r>
            <w:r w:rsidRPr="00B27B47">
              <w:rPr>
                <w:rFonts w:ascii="Book Antiqua" w:hAnsi="Book Antiqua" w:cs="Calibri" w:hint="eastAsia"/>
                <w:bCs/>
                <w:sz w:val="24"/>
                <w:szCs w:val="24"/>
                <w:vertAlign w:val="superscript"/>
                <w:lang w:val="en-US" w:eastAsia="zh-CN"/>
              </w:rPr>
              <w:t>]</w:t>
            </w:r>
            <w:r w:rsidRPr="00B27B47">
              <w:rPr>
                <w:rFonts w:ascii="Book Antiqua" w:eastAsia="Times New Roman" w:hAnsi="Book Antiqua" w:cs="Calibri"/>
                <w:bCs/>
                <w:sz w:val="24"/>
                <w:szCs w:val="24"/>
                <w:lang w:val="en-US" w:eastAsia="de-DE"/>
              </w:rPr>
              <w:t xml:space="preserve">. </w:t>
            </w:r>
          </w:p>
        </w:tc>
        <w:tc>
          <w:tcPr>
            <w:tcW w:w="2976" w:type="dxa"/>
            <w:tcBorders>
              <w:bottom w:val="single" w:sz="4" w:space="0" w:color="auto"/>
            </w:tcBorders>
            <w:shd w:val="clear" w:color="auto" w:fill="auto"/>
          </w:tcPr>
          <w:p w:rsidR="00D65EDB" w:rsidRPr="00B27B47" w:rsidRDefault="00D65EDB" w:rsidP="00C7415B">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eastAsia="Times New Roman" w:hAnsi="Book Antiqua" w:cs="Calibri"/>
                <w:bCs/>
                <w:sz w:val="24"/>
                <w:szCs w:val="24"/>
                <w:lang w:val="en-US" w:eastAsia="de-DE"/>
              </w:rPr>
              <w:lastRenderedPageBreak/>
              <w:t>Lowering of LDL cholesterol</w:t>
            </w:r>
            <w:r w:rsidRPr="00B27B47">
              <w:rPr>
                <w:rFonts w:ascii="Book Antiqua" w:hAnsi="Book Antiqua" w:cs="Calibri" w:hint="eastAsia"/>
                <w:bCs/>
                <w:sz w:val="24"/>
                <w:szCs w:val="24"/>
                <w:lang w:val="en-US" w:eastAsia="zh-CN"/>
              </w:rPr>
              <w:t>:</w:t>
            </w:r>
          </w:p>
          <w:p w:rsidR="00D65EDB" w:rsidRPr="00B27B47" w:rsidRDefault="00D65EDB" w:rsidP="00C7415B">
            <w:pPr>
              <w:adjustRightInd w:val="0"/>
              <w:snapToGrid w:val="0"/>
              <w:spacing w:after="0" w:line="360" w:lineRule="auto"/>
              <w:jc w:val="center"/>
              <w:rPr>
                <w:rFonts w:ascii="Book Antiqua" w:hAnsi="Book Antiqua" w:cs="Calibri"/>
                <w:bCs/>
                <w:sz w:val="24"/>
                <w:szCs w:val="24"/>
                <w:lang w:val="en-US" w:eastAsia="zh-CN"/>
              </w:rPr>
            </w:pPr>
            <w:r w:rsidRPr="00B27B47">
              <w:rPr>
                <w:rFonts w:ascii="Book Antiqua" w:hAnsi="Book Antiqua" w:cs="Calibri" w:hint="eastAsia"/>
                <w:bCs/>
                <w:sz w:val="24"/>
                <w:szCs w:val="24"/>
                <w:lang w:val="en-US" w:eastAsia="zh-CN"/>
              </w:rPr>
              <w:t>(1)</w:t>
            </w:r>
            <w:r w:rsidRPr="00B27B47">
              <w:rPr>
                <w:rFonts w:ascii="Book Antiqua" w:eastAsia="Times New Roman" w:hAnsi="Book Antiqua" w:cs="Calibri"/>
                <w:bCs/>
                <w:sz w:val="24"/>
                <w:szCs w:val="24"/>
                <w:lang w:val="en-US" w:eastAsia="de-DE"/>
              </w:rPr>
              <w:t xml:space="preserve"> advanced liver diseases</w:t>
            </w:r>
            <w:r w:rsidRPr="00B27B47">
              <w:rPr>
                <w:rFonts w:ascii="Book Antiqua" w:hAnsi="Book Antiqua" w:cs="Calibri" w:hint="eastAsia"/>
                <w:bCs/>
                <w:sz w:val="24"/>
                <w:szCs w:val="24"/>
                <w:lang w:val="en-US" w:eastAsia="zh-CN"/>
              </w:rPr>
              <w:t>;</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hAnsi="Book Antiqua" w:cs="Calibri" w:hint="eastAsia"/>
                <w:bCs/>
                <w:sz w:val="24"/>
                <w:szCs w:val="24"/>
                <w:lang w:val="en-US" w:eastAsia="zh-CN"/>
              </w:rPr>
              <w:t>(2)</w:t>
            </w:r>
            <w:r w:rsidRPr="00B27B47">
              <w:rPr>
                <w:rFonts w:ascii="Book Antiqua" w:eastAsia="Times New Roman" w:hAnsi="Book Antiqua" w:cs="Calibri"/>
                <w:bCs/>
                <w:sz w:val="24"/>
                <w:szCs w:val="24"/>
                <w:lang w:val="en-US" w:eastAsia="de-DE"/>
              </w:rPr>
              <w:t xml:space="preserve"> persistent elevated liver enzymes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t>Rare interactions (no induction of CYP450 enzymes)</w:t>
            </w:r>
          </w:p>
          <w:p w:rsidR="00D65EDB" w:rsidRPr="00B27B47" w:rsidRDefault="00D65EDB" w:rsidP="00C7415B">
            <w:pPr>
              <w:adjustRightInd w:val="0"/>
              <w:snapToGrid w:val="0"/>
              <w:spacing w:after="0" w:line="360" w:lineRule="auto"/>
              <w:jc w:val="center"/>
              <w:rPr>
                <w:rFonts w:ascii="Book Antiqua" w:eastAsia="Times New Roman" w:hAnsi="Book Antiqua" w:cs="Calibri"/>
                <w:bCs/>
                <w:sz w:val="24"/>
                <w:szCs w:val="24"/>
                <w:lang w:val="en-US" w:eastAsia="de-DE"/>
              </w:rPr>
            </w:pPr>
          </w:p>
        </w:tc>
      </w:tr>
    </w:tbl>
    <w:p w:rsidR="000F7598" w:rsidRPr="00B27B47" w:rsidRDefault="00D65EDB" w:rsidP="003E1943">
      <w:pPr>
        <w:adjustRightInd w:val="0"/>
        <w:snapToGrid w:val="0"/>
        <w:spacing w:after="0" w:line="360" w:lineRule="auto"/>
        <w:jc w:val="both"/>
        <w:rPr>
          <w:rFonts w:ascii="Book Antiqua" w:eastAsia="Times New Roman" w:hAnsi="Book Antiqua" w:cs="Calibri"/>
          <w:bCs/>
          <w:sz w:val="24"/>
          <w:szCs w:val="24"/>
          <w:lang w:val="en-US" w:eastAsia="de-DE"/>
        </w:rPr>
      </w:pPr>
      <w:r w:rsidRPr="00B27B47">
        <w:rPr>
          <w:rFonts w:ascii="Book Antiqua" w:eastAsia="Times New Roman" w:hAnsi="Book Antiqua" w:cs="Calibri"/>
          <w:bCs/>
          <w:sz w:val="24"/>
          <w:szCs w:val="24"/>
          <w:lang w:val="en-US" w:eastAsia="de-DE"/>
        </w:rPr>
        <w:lastRenderedPageBreak/>
        <w:t>AUC</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Area under the curve; CYP</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Cytochrome P; LDL</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Low density lipoprotein; HIV</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Human immunodeficiency virus; HMG Co A</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3-hydroxy-3-methylglutaryl-coenzyme A; MMF</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Mycophenolate mofetil; mTOR</w:t>
      </w:r>
      <w:r w:rsidRPr="00B27B47">
        <w:rPr>
          <w:rFonts w:ascii="Book Antiqua" w:hAnsi="Book Antiqua" w:cs="Calibri" w:hint="eastAsia"/>
          <w:bCs/>
          <w:sz w:val="24"/>
          <w:szCs w:val="24"/>
          <w:lang w:val="en-US" w:eastAsia="zh-CN"/>
        </w:rPr>
        <w:t>:</w:t>
      </w:r>
      <w:r w:rsidRPr="00B27B47">
        <w:rPr>
          <w:rFonts w:ascii="Book Antiqua" w:eastAsia="Times New Roman" w:hAnsi="Book Antiqua" w:cs="Calibri"/>
          <w:bCs/>
          <w:sz w:val="24"/>
          <w:szCs w:val="24"/>
          <w:lang w:val="en-US" w:eastAsia="de-DE"/>
        </w:rPr>
        <w:t xml:space="preserve"> Mammalian target of rapamycin.</w:t>
      </w:r>
    </w:p>
    <w:sectPr w:rsidR="000F7598" w:rsidRPr="00B27B47" w:rsidSect="00C124E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F0" w:rsidRDefault="005D62F0" w:rsidP="007A09AB">
      <w:pPr>
        <w:spacing w:after="0" w:line="240" w:lineRule="auto"/>
      </w:pPr>
      <w:r>
        <w:separator/>
      </w:r>
    </w:p>
  </w:endnote>
  <w:endnote w:type="continuationSeparator" w:id="0">
    <w:p w:rsidR="005D62F0" w:rsidRDefault="005D62F0" w:rsidP="007A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F0" w:rsidRDefault="005D62F0" w:rsidP="007A09AB">
      <w:pPr>
        <w:spacing w:after="0" w:line="240" w:lineRule="auto"/>
      </w:pPr>
      <w:r>
        <w:separator/>
      </w:r>
    </w:p>
  </w:footnote>
  <w:footnote w:type="continuationSeparator" w:id="0">
    <w:p w:rsidR="005D62F0" w:rsidRDefault="005D62F0" w:rsidP="007A0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4E3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F141B"/>
    <w:multiLevelType w:val="hybridMultilevel"/>
    <w:tmpl w:val="2B6C28EC"/>
    <w:lvl w:ilvl="0" w:tplc="4B324450">
      <w:start w:val="19"/>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C36AD"/>
    <w:multiLevelType w:val="hybridMultilevel"/>
    <w:tmpl w:val="61AEA80A"/>
    <w:lvl w:ilvl="0" w:tplc="B7CA4B7C">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7A72"/>
    <w:multiLevelType w:val="hybridMultilevel"/>
    <w:tmpl w:val="9294C180"/>
    <w:lvl w:ilvl="0" w:tplc="4F82BF0A">
      <w:start w:val="1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70022A"/>
    <w:multiLevelType w:val="hybridMultilevel"/>
    <w:tmpl w:val="A9B658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D76359"/>
    <w:multiLevelType w:val="hybridMultilevel"/>
    <w:tmpl w:val="1F207A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E04CA4"/>
    <w:multiLevelType w:val="hybridMultilevel"/>
    <w:tmpl w:val="D982D718"/>
    <w:lvl w:ilvl="0" w:tplc="4F82BF0A">
      <w:start w:val="1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C03CA8"/>
    <w:multiLevelType w:val="hybridMultilevel"/>
    <w:tmpl w:val="6656784C"/>
    <w:lvl w:ilvl="0" w:tplc="6D3C369C">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576024"/>
    <w:multiLevelType w:val="hybridMultilevel"/>
    <w:tmpl w:val="61D0CE86"/>
    <w:lvl w:ilvl="0" w:tplc="4F82BF0A">
      <w:start w:val="1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F125EA"/>
    <w:multiLevelType w:val="hybridMultilevel"/>
    <w:tmpl w:val="9766D1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8"/>
  </w:num>
  <w:num w:numId="6">
    <w:abstractNumId w:val="5"/>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98"/>
    <w:rsid w:val="000164C7"/>
    <w:rsid w:val="00021796"/>
    <w:rsid w:val="00035EBE"/>
    <w:rsid w:val="00054011"/>
    <w:rsid w:val="00064797"/>
    <w:rsid w:val="000C71E3"/>
    <w:rsid w:val="000E6910"/>
    <w:rsid w:val="000F46A2"/>
    <w:rsid w:val="000F7598"/>
    <w:rsid w:val="001244B2"/>
    <w:rsid w:val="00190524"/>
    <w:rsid w:val="001B3B4A"/>
    <w:rsid w:val="002265C3"/>
    <w:rsid w:val="002333F9"/>
    <w:rsid w:val="002354CB"/>
    <w:rsid w:val="00295E51"/>
    <w:rsid w:val="00307FD3"/>
    <w:rsid w:val="00322D02"/>
    <w:rsid w:val="00347B80"/>
    <w:rsid w:val="003663B8"/>
    <w:rsid w:val="003E1943"/>
    <w:rsid w:val="00402641"/>
    <w:rsid w:val="004222F8"/>
    <w:rsid w:val="00423026"/>
    <w:rsid w:val="004911A7"/>
    <w:rsid w:val="004A3F19"/>
    <w:rsid w:val="004B43DF"/>
    <w:rsid w:val="00504775"/>
    <w:rsid w:val="0050721E"/>
    <w:rsid w:val="00510F72"/>
    <w:rsid w:val="0055209B"/>
    <w:rsid w:val="00560B0B"/>
    <w:rsid w:val="005645FF"/>
    <w:rsid w:val="00582710"/>
    <w:rsid w:val="00594563"/>
    <w:rsid w:val="005A0AD1"/>
    <w:rsid w:val="005A6941"/>
    <w:rsid w:val="005C2AE9"/>
    <w:rsid w:val="005D62F0"/>
    <w:rsid w:val="006523B8"/>
    <w:rsid w:val="00670063"/>
    <w:rsid w:val="006B7E55"/>
    <w:rsid w:val="00724BFA"/>
    <w:rsid w:val="00751D25"/>
    <w:rsid w:val="0075284E"/>
    <w:rsid w:val="00757C3A"/>
    <w:rsid w:val="007A09AB"/>
    <w:rsid w:val="007D2261"/>
    <w:rsid w:val="007D68EC"/>
    <w:rsid w:val="00800BBC"/>
    <w:rsid w:val="00810ABC"/>
    <w:rsid w:val="0081382C"/>
    <w:rsid w:val="008260BC"/>
    <w:rsid w:val="0082653E"/>
    <w:rsid w:val="00830FB9"/>
    <w:rsid w:val="008A4F47"/>
    <w:rsid w:val="008B2B54"/>
    <w:rsid w:val="008D1801"/>
    <w:rsid w:val="008D36FD"/>
    <w:rsid w:val="008F4ED8"/>
    <w:rsid w:val="008F655C"/>
    <w:rsid w:val="00910292"/>
    <w:rsid w:val="00912048"/>
    <w:rsid w:val="00925A19"/>
    <w:rsid w:val="00941A0A"/>
    <w:rsid w:val="00951A7E"/>
    <w:rsid w:val="009968A5"/>
    <w:rsid w:val="009A4928"/>
    <w:rsid w:val="009E7727"/>
    <w:rsid w:val="00A24A6F"/>
    <w:rsid w:val="00A2683F"/>
    <w:rsid w:val="00A27F63"/>
    <w:rsid w:val="00A32630"/>
    <w:rsid w:val="00AC18B9"/>
    <w:rsid w:val="00B11D45"/>
    <w:rsid w:val="00B27AB8"/>
    <w:rsid w:val="00B27B47"/>
    <w:rsid w:val="00B32C79"/>
    <w:rsid w:val="00B45FA8"/>
    <w:rsid w:val="00B53566"/>
    <w:rsid w:val="00BC6BB0"/>
    <w:rsid w:val="00BE5463"/>
    <w:rsid w:val="00BF29BF"/>
    <w:rsid w:val="00BF3E4A"/>
    <w:rsid w:val="00C0567B"/>
    <w:rsid w:val="00C124EC"/>
    <w:rsid w:val="00C5178E"/>
    <w:rsid w:val="00C557CC"/>
    <w:rsid w:val="00C7591D"/>
    <w:rsid w:val="00C9385D"/>
    <w:rsid w:val="00CA51C5"/>
    <w:rsid w:val="00CB0CDE"/>
    <w:rsid w:val="00CE4ED2"/>
    <w:rsid w:val="00D04FBB"/>
    <w:rsid w:val="00D40813"/>
    <w:rsid w:val="00D5038E"/>
    <w:rsid w:val="00D60CD6"/>
    <w:rsid w:val="00D65EDB"/>
    <w:rsid w:val="00D953D9"/>
    <w:rsid w:val="00DB74C8"/>
    <w:rsid w:val="00DC3223"/>
    <w:rsid w:val="00DF2803"/>
    <w:rsid w:val="00E43702"/>
    <w:rsid w:val="00E664DB"/>
    <w:rsid w:val="00E67BB3"/>
    <w:rsid w:val="00E83BDE"/>
    <w:rsid w:val="00E970AA"/>
    <w:rsid w:val="00ED206F"/>
    <w:rsid w:val="00EE2D3A"/>
    <w:rsid w:val="00EF7731"/>
    <w:rsid w:val="00F27E06"/>
    <w:rsid w:val="00F83FA2"/>
    <w:rsid w:val="00F9016B"/>
    <w:rsid w:val="00FA4E86"/>
    <w:rsid w:val="00FA7FF1"/>
    <w:rsid w:val="00FB76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D02359-E224-4FA7-B914-C98A3179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7598"/>
    <w:pPr>
      <w:spacing w:before="240" w:after="120" w:line="240" w:lineRule="auto"/>
      <w:outlineLvl w:val="0"/>
    </w:pPr>
    <w:rPr>
      <w:rFonts w:ascii="Times New Roman" w:eastAsia="Times New Roman" w:hAnsi="Times New Roman" w:cs="Times New Roman"/>
      <w:b/>
      <w:bCs/>
      <w:color w:val="000000"/>
      <w:kern w:val="36"/>
      <w:sz w:val="33"/>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598"/>
    <w:rPr>
      <w:rFonts w:ascii="Times New Roman" w:eastAsia="Times New Roman" w:hAnsi="Times New Roman" w:cs="Times New Roman"/>
      <w:b/>
      <w:bCs/>
      <w:color w:val="000000"/>
      <w:kern w:val="36"/>
      <w:sz w:val="33"/>
      <w:szCs w:val="33"/>
      <w:lang w:val="x-none" w:eastAsia="x-none"/>
    </w:rPr>
  </w:style>
  <w:style w:type="numbering" w:customStyle="1" w:styleId="KeineListe1">
    <w:name w:val="Keine Liste1"/>
    <w:next w:val="NoList"/>
    <w:semiHidden/>
    <w:unhideWhenUsed/>
    <w:rsid w:val="000F7598"/>
  </w:style>
  <w:style w:type="character" w:styleId="Hyperlink">
    <w:name w:val="Hyperlink"/>
    <w:uiPriority w:val="99"/>
    <w:unhideWhenUsed/>
    <w:rsid w:val="000F7598"/>
    <w:rPr>
      <w:color w:val="0000FF"/>
      <w:u w:val="single"/>
    </w:rPr>
  </w:style>
  <w:style w:type="character" w:customStyle="1" w:styleId="shorttext">
    <w:name w:val="short_text"/>
    <w:basedOn w:val="DefaultParagraphFont"/>
    <w:rsid w:val="000F7598"/>
  </w:style>
  <w:style w:type="character" w:customStyle="1" w:styleId="hps">
    <w:name w:val="hps"/>
    <w:basedOn w:val="DefaultParagraphFont"/>
    <w:rsid w:val="000F7598"/>
  </w:style>
  <w:style w:type="table" w:styleId="TableGrid">
    <w:name w:val="Table Grid"/>
    <w:basedOn w:val="TableNormal"/>
    <w:rsid w:val="000F759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7598"/>
    <w:rPr>
      <w:sz w:val="16"/>
      <w:szCs w:val="16"/>
    </w:rPr>
  </w:style>
  <w:style w:type="paragraph" w:styleId="CommentText">
    <w:name w:val="annotation text"/>
    <w:basedOn w:val="Normal"/>
    <w:link w:val="CommentTextChar"/>
    <w:uiPriority w:val="99"/>
    <w:semiHidden/>
    <w:unhideWhenUsed/>
    <w:rsid w:val="000F7598"/>
    <w:pPr>
      <w:spacing w:after="0" w:line="240" w:lineRule="auto"/>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uiPriority w:val="99"/>
    <w:semiHidden/>
    <w:rsid w:val="000F7598"/>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F7598"/>
    <w:rPr>
      <w:b/>
      <w:bCs/>
      <w:lang w:val="x-none" w:eastAsia="x-none"/>
    </w:rPr>
  </w:style>
  <w:style w:type="character" w:customStyle="1" w:styleId="CommentSubjectChar">
    <w:name w:val="Comment Subject Char"/>
    <w:basedOn w:val="CommentTextChar"/>
    <w:link w:val="CommentSubject"/>
    <w:uiPriority w:val="99"/>
    <w:semiHidden/>
    <w:rsid w:val="000F7598"/>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0F759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F7598"/>
    <w:rPr>
      <w:rFonts w:ascii="Tahoma" w:eastAsia="Times New Roman" w:hAnsi="Tahoma" w:cs="Times New Roman"/>
      <w:sz w:val="16"/>
      <w:szCs w:val="16"/>
      <w:lang w:val="x-none" w:eastAsia="x-none"/>
    </w:rPr>
  </w:style>
  <w:style w:type="character" w:customStyle="1" w:styleId="gt-card-ttl-txt">
    <w:name w:val="gt-card-ttl-txt"/>
    <w:basedOn w:val="DefaultParagraphFont"/>
    <w:rsid w:val="000F7598"/>
  </w:style>
  <w:style w:type="paragraph" w:customStyle="1" w:styleId="title1">
    <w:name w:val="title1"/>
    <w:basedOn w:val="Normal"/>
    <w:rsid w:val="000F7598"/>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Normal"/>
    <w:rsid w:val="000F7598"/>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Normal"/>
    <w:rsid w:val="000F7598"/>
    <w:pPr>
      <w:spacing w:after="0" w:line="240" w:lineRule="auto"/>
    </w:pPr>
    <w:rPr>
      <w:rFonts w:ascii="Times New Roman" w:eastAsia="Times New Roman" w:hAnsi="Times New Roman" w:cs="Times New Roman"/>
      <w:lang w:eastAsia="de-DE"/>
    </w:rPr>
  </w:style>
  <w:style w:type="character" w:customStyle="1" w:styleId="jrnl">
    <w:name w:val="jrnl"/>
    <w:rsid w:val="000F7598"/>
  </w:style>
  <w:style w:type="character" w:customStyle="1" w:styleId="highlight2">
    <w:name w:val="highlight2"/>
    <w:rsid w:val="000F7598"/>
  </w:style>
  <w:style w:type="paragraph" w:styleId="Revision">
    <w:name w:val="Revision"/>
    <w:hidden/>
    <w:uiPriority w:val="99"/>
    <w:semiHidden/>
    <w:rsid w:val="000F7598"/>
    <w:pPr>
      <w:spacing w:after="0" w:line="240" w:lineRule="auto"/>
    </w:pPr>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7A09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9AB"/>
    <w:rPr>
      <w:sz w:val="20"/>
      <w:szCs w:val="20"/>
    </w:rPr>
  </w:style>
  <w:style w:type="character" w:styleId="EndnoteReference">
    <w:name w:val="endnote reference"/>
    <w:basedOn w:val="DefaultParagraphFont"/>
    <w:uiPriority w:val="99"/>
    <w:semiHidden/>
    <w:unhideWhenUsed/>
    <w:rsid w:val="007A09AB"/>
    <w:rPr>
      <w:vertAlign w:val="superscript"/>
    </w:rPr>
  </w:style>
  <w:style w:type="paragraph" w:styleId="ListParagraph">
    <w:name w:val="List Paragraph"/>
    <w:basedOn w:val="Normal"/>
    <w:uiPriority w:val="34"/>
    <w:qFormat/>
    <w:rsid w:val="00910292"/>
    <w:pPr>
      <w:ind w:firstLineChars="200" w:firstLine="420"/>
    </w:pPr>
  </w:style>
  <w:style w:type="paragraph" w:styleId="Header">
    <w:name w:val="header"/>
    <w:basedOn w:val="Normal"/>
    <w:link w:val="HeaderChar"/>
    <w:uiPriority w:val="99"/>
    <w:unhideWhenUsed/>
    <w:rsid w:val="005520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5209B"/>
    <w:rPr>
      <w:sz w:val="18"/>
      <w:szCs w:val="18"/>
    </w:rPr>
  </w:style>
  <w:style w:type="paragraph" w:styleId="Footer">
    <w:name w:val="footer"/>
    <w:basedOn w:val="Normal"/>
    <w:link w:val="FooterChar"/>
    <w:uiPriority w:val="99"/>
    <w:unhideWhenUsed/>
    <w:rsid w:val="005520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520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22458</Words>
  <Characters>128013</Characters>
  <Application>Microsoft Office Word</Application>
  <DocSecurity>0</DocSecurity>
  <Lines>1066</Lines>
  <Paragraphs>300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UKM</Company>
  <LinksUpToDate>false</LinksUpToDate>
  <CharactersWithSpaces>150171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Kabar, Iyad</dc:creator>
  <cp:lastModifiedBy>LS Ma</cp:lastModifiedBy>
  <cp:revision>2</cp:revision>
  <dcterms:created xsi:type="dcterms:W3CDTF">2016-01-29T22:10:00Z</dcterms:created>
  <dcterms:modified xsi:type="dcterms:W3CDTF">2016-01-29T22:10:00Z</dcterms:modified>
</cp:coreProperties>
</file>