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55CF9" w14:textId="77777777" w:rsidR="00FF751A" w:rsidRPr="00E23170" w:rsidRDefault="00FF751A" w:rsidP="00AD1560">
      <w:pPr>
        <w:adjustRightInd w:val="0"/>
        <w:snapToGrid w:val="0"/>
        <w:spacing w:after="0" w:line="360" w:lineRule="auto"/>
        <w:jc w:val="both"/>
        <w:rPr>
          <w:rFonts w:ascii="Book Antiqua" w:eastAsia="Times New Roman" w:hAnsi="Book Antiqua" w:cs="宋体"/>
          <w:b/>
          <w:i/>
          <w:color w:val="000000"/>
          <w:sz w:val="24"/>
        </w:rPr>
      </w:pPr>
      <w:bookmarkStart w:id="0" w:name="OLE_LINK545"/>
      <w:bookmarkStart w:id="1" w:name="OLE_LINK546"/>
      <w:r w:rsidRPr="009F19CA">
        <w:rPr>
          <w:rFonts w:ascii="Book Antiqua" w:eastAsia="Times New Roman" w:hAnsi="Book Antiqua" w:cs="宋体"/>
          <w:b/>
          <w:color w:val="000000"/>
          <w:sz w:val="24"/>
        </w:rPr>
        <w:t xml:space="preserve">Name of journal: </w:t>
      </w:r>
      <w:bookmarkStart w:id="2" w:name="OLE_LINK718"/>
      <w:bookmarkStart w:id="3" w:name="OLE_LINK719"/>
      <w:bookmarkStart w:id="4" w:name="OLE_LINK645"/>
      <w:bookmarkStart w:id="5" w:name="OLE_LINK661"/>
      <w:bookmarkStart w:id="6" w:name="OLE_LINK1068"/>
      <w:r w:rsidRPr="00E23170">
        <w:rPr>
          <w:rFonts w:ascii="Book Antiqua" w:eastAsia="Times New Roman" w:hAnsi="Book Antiqua" w:cs="宋体"/>
          <w:b/>
          <w:i/>
          <w:color w:val="000000"/>
          <w:sz w:val="24"/>
        </w:rPr>
        <w:t xml:space="preserve">World Journal of </w:t>
      </w:r>
      <w:bookmarkStart w:id="7" w:name="OLE_LINK1222"/>
      <w:bookmarkStart w:id="8" w:name="OLE_LINK1223"/>
      <w:r w:rsidRPr="00E23170">
        <w:rPr>
          <w:rFonts w:ascii="Book Antiqua" w:eastAsia="Times New Roman" w:hAnsi="Book Antiqua" w:cs="宋体"/>
          <w:b/>
          <w:i/>
          <w:color w:val="000000"/>
          <w:sz w:val="24"/>
        </w:rPr>
        <w:t>Gastroenterology</w:t>
      </w:r>
      <w:bookmarkEnd w:id="2"/>
      <w:bookmarkEnd w:id="3"/>
      <w:bookmarkEnd w:id="4"/>
      <w:bookmarkEnd w:id="5"/>
      <w:bookmarkEnd w:id="6"/>
      <w:bookmarkEnd w:id="7"/>
      <w:bookmarkEnd w:id="8"/>
    </w:p>
    <w:p w14:paraId="322C8C2F" w14:textId="77777777" w:rsidR="00FF751A" w:rsidRPr="009F19CA" w:rsidRDefault="00FF751A" w:rsidP="00AD1560">
      <w:pPr>
        <w:adjustRightInd w:val="0"/>
        <w:snapToGrid w:val="0"/>
        <w:spacing w:after="0" w:line="360" w:lineRule="auto"/>
        <w:jc w:val="both"/>
        <w:rPr>
          <w:rFonts w:ascii="Book Antiqua" w:hAnsi="Book Antiqua" w:cs="Arial"/>
          <w:color w:val="000000"/>
          <w:sz w:val="24"/>
          <w:lang w:eastAsia="zh-CN"/>
        </w:rPr>
      </w:pPr>
      <w:r w:rsidRPr="009F19CA">
        <w:rPr>
          <w:rFonts w:ascii="Book Antiqua" w:hAnsi="Book Antiqua" w:cs="Arial"/>
          <w:b/>
          <w:color w:val="000000"/>
          <w:sz w:val="24"/>
        </w:rPr>
        <w:t xml:space="preserve">ESPS Manuscript NO: </w:t>
      </w:r>
      <w:r>
        <w:rPr>
          <w:rFonts w:ascii="Book Antiqua" w:hAnsi="Book Antiqua" w:cs="Arial" w:hint="eastAsia"/>
          <w:b/>
          <w:color w:val="000000"/>
          <w:sz w:val="24"/>
          <w:lang w:eastAsia="zh-CN"/>
        </w:rPr>
        <w:t>25419</w:t>
      </w:r>
    </w:p>
    <w:p w14:paraId="720AA4BD" w14:textId="453EFA8B" w:rsidR="00FF751A" w:rsidRDefault="00FF751A" w:rsidP="00AD1560">
      <w:pPr>
        <w:spacing w:after="0" w:line="360" w:lineRule="auto"/>
        <w:jc w:val="both"/>
        <w:rPr>
          <w:rFonts w:ascii="Book Antiqua" w:hAnsi="Book Antiqua"/>
          <w:b/>
          <w:sz w:val="24"/>
          <w:lang w:eastAsia="zh-CN"/>
        </w:rPr>
      </w:pPr>
      <w:r w:rsidRPr="00753939">
        <w:rPr>
          <w:rFonts w:ascii="Book Antiqua" w:hAnsi="Book Antiqua"/>
          <w:b/>
          <w:sz w:val="24"/>
        </w:rPr>
        <w:t>Manuscript Type</w:t>
      </w:r>
      <w:r w:rsidRPr="00753939">
        <w:rPr>
          <w:rFonts w:ascii="Book Antiqua" w:hAnsi="Book Antiqua" w:hint="eastAsia"/>
          <w:b/>
          <w:sz w:val="24"/>
        </w:rPr>
        <w:t xml:space="preserve">: </w:t>
      </w:r>
      <w:r w:rsidR="000A2AA9" w:rsidRPr="00FF751A">
        <w:rPr>
          <w:rFonts w:ascii="Book Antiqua" w:hAnsi="Book Antiqua"/>
          <w:b/>
          <w:sz w:val="24"/>
        </w:rPr>
        <w:t>MINIREVIEW</w:t>
      </w:r>
      <w:r w:rsidR="000A2AA9">
        <w:rPr>
          <w:rFonts w:ascii="Book Antiqua" w:hAnsi="Book Antiqua"/>
          <w:b/>
          <w:sz w:val="24"/>
          <w:lang w:eastAsia="zh-CN"/>
        </w:rPr>
        <w:t>S</w:t>
      </w:r>
    </w:p>
    <w:p w14:paraId="1D5ED34F" w14:textId="77777777" w:rsidR="00FF751A" w:rsidRDefault="00FF751A" w:rsidP="00AD1560">
      <w:pPr>
        <w:spacing w:after="0" w:line="360" w:lineRule="auto"/>
        <w:jc w:val="both"/>
        <w:rPr>
          <w:rFonts w:ascii="Book Antiqua" w:hAnsi="Book Antiqua"/>
          <w:b/>
          <w:sz w:val="24"/>
          <w:lang w:eastAsia="zh-CN"/>
        </w:rPr>
      </w:pPr>
    </w:p>
    <w:bookmarkEnd w:id="0"/>
    <w:bookmarkEnd w:id="1"/>
    <w:p w14:paraId="59DD3FDC" w14:textId="77777777" w:rsidR="00132279" w:rsidRDefault="00132279" w:rsidP="00AD1560">
      <w:pPr>
        <w:spacing w:after="0" w:line="360" w:lineRule="auto"/>
        <w:jc w:val="both"/>
        <w:rPr>
          <w:rFonts w:ascii="Book Antiqua" w:hAnsi="Book Antiqua"/>
          <w:b/>
          <w:sz w:val="24"/>
          <w:szCs w:val="24"/>
          <w:lang w:eastAsia="zh-CN"/>
        </w:rPr>
      </w:pPr>
      <w:r w:rsidRPr="00E75F6C">
        <w:rPr>
          <w:rFonts w:ascii="Book Antiqua" w:hAnsi="Book Antiqua"/>
          <w:b/>
          <w:sz w:val="24"/>
          <w:szCs w:val="24"/>
        </w:rPr>
        <w:t xml:space="preserve">Clinical impact of </w:t>
      </w:r>
      <w:proofErr w:type="spellStart"/>
      <w:r w:rsidRPr="00E75F6C">
        <w:rPr>
          <w:rFonts w:ascii="Book Antiqua" w:hAnsi="Book Antiqua"/>
          <w:b/>
          <w:sz w:val="24"/>
          <w:szCs w:val="24"/>
        </w:rPr>
        <w:t>immunomonitoring</w:t>
      </w:r>
      <w:proofErr w:type="spellEnd"/>
      <w:r w:rsidRPr="00E75F6C">
        <w:rPr>
          <w:rFonts w:ascii="Book Antiqua" w:hAnsi="Book Antiqua"/>
          <w:b/>
          <w:sz w:val="24"/>
          <w:szCs w:val="24"/>
        </w:rPr>
        <w:t xml:space="preserve"> in the treatment of </w:t>
      </w:r>
      <w:r w:rsidR="00AD1560" w:rsidRPr="00E75F6C">
        <w:rPr>
          <w:rFonts w:ascii="Book Antiqua" w:hAnsi="Book Antiqua"/>
          <w:b/>
          <w:sz w:val="24"/>
          <w:szCs w:val="24"/>
        </w:rPr>
        <w:t>inflammatory bowel disease</w:t>
      </w:r>
    </w:p>
    <w:p w14:paraId="17E7C3AD" w14:textId="77777777" w:rsidR="00FF751A" w:rsidRPr="00E75F6C" w:rsidRDefault="00FF751A" w:rsidP="00AD1560">
      <w:pPr>
        <w:spacing w:after="0" w:line="360" w:lineRule="auto"/>
        <w:jc w:val="both"/>
        <w:rPr>
          <w:rFonts w:ascii="Book Antiqua" w:hAnsi="Book Antiqua"/>
          <w:b/>
          <w:sz w:val="24"/>
          <w:szCs w:val="24"/>
          <w:lang w:eastAsia="zh-CN"/>
        </w:rPr>
      </w:pPr>
    </w:p>
    <w:p w14:paraId="314A74C7" w14:textId="77777777" w:rsidR="00132279" w:rsidRDefault="00132279" w:rsidP="00AD1560">
      <w:pPr>
        <w:spacing w:after="0" w:line="360" w:lineRule="auto"/>
        <w:jc w:val="both"/>
        <w:rPr>
          <w:rFonts w:ascii="Book Antiqua" w:hAnsi="Book Antiqua"/>
          <w:sz w:val="24"/>
          <w:szCs w:val="24"/>
          <w:lang w:eastAsia="zh-CN"/>
        </w:rPr>
      </w:pPr>
      <w:proofErr w:type="spellStart"/>
      <w:r w:rsidRPr="00E75F6C">
        <w:rPr>
          <w:rFonts w:ascii="Book Antiqua" w:hAnsi="Book Antiqua"/>
          <w:sz w:val="24"/>
          <w:szCs w:val="24"/>
        </w:rPr>
        <w:t>Tighe</w:t>
      </w:r>
      <w:proofErr w:type="spellEnd"/>
      <w:r w:rsidRPr="00E75F6C">
        <w:rPr>
          <w:rFonts w:ascii="Book Antiqua" w:hAnsi="Book Antiqua"/>
          <w:sz w:val="24"/>
          <w:szCs w:val="24"/>
        </w:rPr>
        <w:t xml:space="preserve"> D </w:t>
      </w:r>
      <w:r w:rsidRPr="00AD1560">
        <w:rPr>
          <w:rFonts w:ascii="Book Antiqua" w:hAnsi="Book Antiqua"/>
          <w:i/>
          <w:sz w:val="24"/>
          <w:szCs w:val="24"/>
        </w:rPr>
        <w:t>et al</w:t>
      </w:r>
      <w:r w:rsidRPr="00E75F6C">
        <w:rPr>
          <w:rFonts w:ascii="Book Antiqua" w:hAnsi="Book Antiqua"/>
          <w:sz w:val="24"/>
          <w:szCs w:val="24"/>
        </w:rPr>
        <w:t xml:space="preserve">. </w:t>
      </w:r>
      <w:proofErr w:type="spellStart"/>
      <w:r w:rsidRPr="00E75F6C">
        <w:rPr>
          <w:rFonts w:ascii="Book Antiqua" w:hAnsi="Book Antiqua"/>
          <w:sz w:val="24"/>
          <w:szCs w:val="24"/>
        </w:rPr>
        <w:t>Immunomonitoring</w:t>
      </w:r>
      <w:proofErr w:type="spellEnd"/>
      <w:r w:rsidRPr="00E75F6C">
        <w:rPr>
          <w:rFonts w:ascii="Book Antiqua" w:hAnsi="Book Antiqua"/>
          <w:sz w:val="24"/>
          <w:szCs w:val="24"/>
        </w:rPr>
        <w:t xml:space="preserve"> in</w:t>
      </w:r>
      <w:r w:rsidR="00AD1560" w:rsidRPr="00E75F6C">
        <w:rPr>
          <w:rFonts w:ascii="Book Antiqua" w:hAnsi="Book Antiqua"/>
          <w:sz w:val="24"/>
          <w:szCs w:val="24"/>
        </w:rPr>
        <w:t xml:space="preserve"> </w:t>
      </w:r>
      <w:r w:rsidR="00AD1560">
        <w:rPr>
          <w:rFonts w:ascii="Book Antiqua" w:hAnsi="Book Antiqua" w:hint="eastAsia"/>
          <w:sz w:val="24"/>
          <w:szCs w:val="24"/>
          <w:lang w:eastAsia="zh-CN"/>
        </w:rPr>
        <w:t>IBD</w:t>
      </w:r>
    </w:p>
    <w:p w14:paraId="106EC139" w14:textId="77777777" w:rsidR="00FF751A" w:rsidRPr="00E75F6C" w:rsidRDefault="00FF751A" w:rsidP="00AD1560">
      <w:pPr>
        <w:spacing w:after="0" w:line="360" w:lineRule="auto"/>
        <w:jc w:val="both"/>
        <w:rPr>
          <w:rFonts w:ascii="Book Antiqua" w:hAnsi="Book Antiqua"/>
          <w:sz w:val="24"/>
          <w:szCs w:val="24"/>
          <w:lang w:eastAsia="zh-CN"/>
        </w:rPr>
      </w:pPr>
    </w:p>
    <w:p w14:paraId="03F773C3" w14:textId="77777777" w:rsidR="002D4102" w:rsidRDefault="00132279" w:rsidP="00AD1560">
      <w:pPr>
        <w:spacing w:after="0" w:line="360" w:lineRule="auto"/>
        <w:jc w:val="both"/>
        <w:rPr>
          <w:rFonts w:ascii="Book Antiqua" w:hAnsi="Book Antiqua"/>
          <w:sz w:val="24"/>
          <w:szCs w:val="24"/>
          <w:lang w:eastAsia="zh-CN"/>
        </w:rPr>
      </w:pPr>
      <w:proofErr w:type="spellStart"/>
      <w:r w:rsidRPr="00E75F6C">
        <w:rPr>
          <w:rFonts w:ascii="Book Antiqua" w:hAnsi="Book Antiqua"/>
          <w:sz w:val="24"/>
          <w:szCs w:val="24"/>
        </w:rPr>
        <w:t>Donal</w:t>
      </w:r>
      <w:proofErr w:type="spellEnd"/>
      <w:r w:rsidRPr="00E75F6C">
        <w:rPr>
          <w:rFonts w:ascii="Book Antiqua" w:hAnsi="Book Antiqua"/>
          <w:sz w:val="24"/>
          <w:szCs w:val="24"/>
        </w:rPr>
        <w:t xml:space="preserve"> </w:t>
      </w:r>
      <w:proofErr w:type="spellStart"/>
      <w:r w:rsidR="001A2EC8" w:rsidRPr="00E75F6C">
        <w:rPr>
          <w:rFonts w:ascii="Book Antiqua" w:hAnsi="Book Antiqua"/>
          <w:sz w:val="24"/>
          <w:szCs w:val="24"/>
        </w:rPr>
        <w:t>Tighe</w:t>
      </w:r>
      <w:proofErr w:type="spellEnd"/>
      <w:r w:rsidR="001A2EC8" w:rsidRPr="00E75F6C">
        <w:rPr>
          <w:rFonts w:ascii="Book Antiqua" w:hAnsi="Book Antiqua"/>
          <w:sz w:val="24"/>
          <w:szCs w:val="24"/>
        </w:rPr>
        <w:t>, D</w:t>
      </w:r>
      <w:r w:rsidRPr="00E75F6C">
        <w:rPr>
          <w:rFonts w:ascii="Book Antiqua" w:hAnsi="Book Antiqua"/>
          <w:sz w:val="24"/>
          <w:szCs w:val="24"/>
        </w:rPr>
        <w:t>eirdre</w:t>
      </w:r>
      <w:r w:rsidR="001A2EC8" w:rsidRPr="00E75F6C">
        <w:rPr>
          <w:rFonts w:ascii="Book Antiqua" w:hAnsi="Book Antiqua"/>
          <w:sz w:val="24"/>
          <w:szCs w:val="24"/>
        </w:rPr>
        <w:t xml:space="preserve"> McNamara</w:t>
      </w:r>
    </w:p>
    <w:p w14:paraId="4720C154" w14:textId="77777777" w:rsidR="00FF751A" w:rsidRPr="00E75F6C" w:rsidRDefault="00FF751A" w:rsidP="00AD1560">
      <w:pPr>
        <w:spacing w:after="0" w:line="360" w:lineRule="auto"/>
        <w:jc w:val="both"/>
        <w:rPr>
          <w:rFonts w:ascii="Book Antiqua" w:hAnsi="Book Antiqua"/>
          <w:sz w:val="24"/>
          <w:szCs w:val="24"/>
          <w:lang w:eastAsia="zh-CN"/>
        </w:rPr>
      </w:pPr>
    </w:p>
    <w:p w14:paraId="4EA583EA" w14:textId="77777777" w:rsidR="00132279" w:rsidRDefault="00117991" w:rsidP="00AD1560">
      <w:pPr>
        <w:spacing w:after="0" w:line="360" w:lineRule="auto"/>
        <w:jc w:val="both"/>
        <w:rPr>
          <w:rFonts w:ascii="Book Antiqua" w:hAnsi="Book Antiqua"/>
          <w:sz w:val="24"/>
          <w:szCs w:val="24"/>
          <w:lang w:eastAsia="zh-CN"/>
        </w:rPr>
      </w:pPr>
      <w:proofErr w:type="spellStart"/>
      <w:r w:rsidRPr="00E75F6C">
        <w:rPr>
          <w:rFonts w:ascii="Book Antiqua" w:hAnsi="Book Antiqua"/>
          <w:b/>
          <w:sz w:val="24"/>
          <w:szCs w:val="24"/>
        </w:rPr>
        <w:t>Donal</w:t>
      </w:r>
      <w:proofErr w:type="spellEnd"/>
      <w:r w:rsidRPr="00E75F6C">
        <w:rPr>
          <w:rFonts w:ascii="Book Antiqua" w:hAnsi="Book Antiqua"/>
          <w:b/>
          <w:sz w:val="24"/>
          <w:szCs w:val="24"/>
        </w:rPr>
        <w:t xml:space="preserve"> </w:t>
      </w:r>
      <w:proofErr w:type="spellStart"/>
      <w:r w:rsidRPr="00E75F6C">
        <w:rPr>
          <w:rFonts w:ascii="Book Antiqua" w:hAnsi="Book Antiqua"/>
          <w:b/>
          <w:sz w:val="24"/>
          <w:szCs w:val="24"/>
        </w:rPr>
        <w:t>Tighe</w:t>
      </w:r>
      <w:proofErr w:type="spellEnd"/>
      <w:r w:rsidRPr="00E75F6C">
        <w:rPr>
          <w:rFonts w:ascii="Book Antiqua" w:hAnsi="Book Antiqua"/>
          <w:b/>
          <w:sz w:val="24"/>
          <w:szCs w:val="24"/>
        </w:rPr>
        <w:t>, Deirdre McNamara</w:t>
      </w:r>
      <w:r w:rsidR="00132279" w:rsidRPr="00E75F6C">
        <w:rPr>
          <w:rFonts w:ascii="Book Antiqua" w:hAnsi="Book Antiqua"/>
          <w:b/>
          <w:sz w:val="24"/>
          <w:szCs w:val="24"/>
        </w:rPr>
        <w:t>,</w:t>
      </w:r>
      <w:r w:rsidR="00132279" w:rsidRPr="00FF751A">
        <w:rPr>
          <w:rFonts w:ascii="Book Antiqua" w:hAnsi="Book Antiqua"/>
          <w:sz w:val="24"/>
          <w:szCs w:val="24"/>
        </w:rPr>
        <w:t xml:space="preserve"> </w:t>
      </w:r>
      <w:r w:rsidRPr="00FF751A">
        <w:rPr>
          <w:rFonts w:ascii="Book Antiqua" w:hAnsi="Book Antiqua"/>
          <w:sz w:val="24"/>
          <w:szCs w:val="24"/>
        </w:rPr>
        <w:t xml:space="preserve">Department of Gastroenterology, Adelaide and </w:t>
      </w:r>
      <w:r w:rsidRPr="00047552">
        <w:rPr>
          <w:rFonts w:ascii="Book Antiqua" w:hAnsi="Book Antiqua"/>
          <w:sz w:val="24"/>
          <w:szCs w:val="24"/>
        </w:rPr>
        <w:t xml:space="preserve">Meath incorporating the National Children’s Hospital </w:t>
      </w:r>
      <w:proofErr w:type="spellStart"/>
      <w:r w:rsidRPr="00047552">
        <w:rPr>
          <w:rFonts w:ascii="Book Antiqua" w:hAnsi="Book Antiqua"/>
          <w:sz w:val="24"/>
          <w:szCs w:val="24"/>
        </w:rPr>
        <w:t>Tallaght</w:t>
      </w:r>
      <w:proofErr w:type="spellEnd"/>
      <w:r w:rsidRPr="00047552">
        <w:rPr>
          <w:rFonts w:ascii="Book Antiqua" w:hAnsi="Book Antiqua"/>
          <w:sz w:val="24"/>
          <w:szCs w:val="24"/>
        </w:rPr>
        <w:t>, School of Clinical Medicine</w:t>
      </w:r>
      <w:r w:rsidR="00765E00" w:rsidRPr="00047552">
        <w:rPr>
          <w:rFonts w:ascii="Book Antiqua" w:hAnsi="Book Antiqua"/>
          <w:sz w:val="24"/>
          <w:szCs w:val="24"/>
        </w:rPr>
        <w:t>,</w:t>
      </w:r>
      <w:r w:rsidRPr="00047552">
        <w:rPr>
          <w:rFonts w:ascii="Book Antiqua" w:hAnsi="Book Antiqua"/>
          <w:sz w:val="24"/>
          <w:szCs w:val="24"/>
        </w:rPr>
        <w:t xml:space="preserve"> Trinity College Dublin, Trinity Academic Gastroenterology Group, </w:t>
      </w:r>
      <w:r w:rsidR="0097238D" w:rsidRPr="00047552">
        <w:rPr>
          <w:rFonts w:ascii="Book Antiqua" w:hAnsi="Book Antiqua"/>
          <w:sz w:val="24"/>
          <w:szCs w:val="24"/>
        </w:rPr>
        <w:t>24</w:t>
      </w:r>
      <w:r w:rsidR="0097238D" w:rsidRPr="00047552">
        <w:rPr>
          <w:rFonts w:ascii="Book Antiqua" w:hAnsi="Book Antiqua" w:hint="eastAsia"/>
          <w:sz w:val="24"/>
          <w:szCs w:val="24"/>
          <w:lang w:eastAsia="zh-CN"/>
        </w:rPr>
        <w:t xml:space="preserve"> </w:t>
      </w:r>
      <w:r w:rsidRPr="00047552">
        <w:rPr>
          <w:rFonts w:ascii="Book Antiqua" w:hAnsi="Book Antiqua"/>
          <w:sz w:val="24"/>
          <w:szCs w:val="24"/>
        </w:rPr>
        <w:t>Dublin, Ireland</w:t>
      </w:r>
    </w:p>
    <w:p w14:paraId="3EC27E07" w14:textId="77777777" w:rsidR="00FF751A" w:rsidRPr="00FF751A" w:rsidRDefault="00FF751A" w:rsidP="00AD1560">
      <w:pPr>
        <w:spacing w:after="0" w:line="360" w:lineRule="auto"/>
        <w:jc w:val="both"/>
        <w:rPr>
          <w:rFonts w:ascii="Book Antiqua" w:hAnsi="Book Antiqua"/>
          <w:sz w:val="24"/>
          <w:szCs w:val="24"/>
          <w:lang w:eastAsia="zh-CN"/>
        </w:rPr>
      </w:pPr>
    </w:p>
    <w:p w14:paraId="46699A19" w14:textId="77777777" w:rsidR="00117991" w:rsidRPr="00FF751A" w:rsidRDefault="00117991" w:rsidP="00AD1560">
      <w:pPr>
        <w:spacing w:after="0" w:line="360" w:lineRule="auto"/>
        <w:jc w:val="both"/>
        <w:rPr>
          <w:rFonts w:ascii="Book Antiqua" w:hAnsi="Book Antiqua"/>
          <w:sz w:val="24"/>
          <w:szCs w:val="24"/>
          <w:lang w:eastAsia="zh-CN"/>
        </w:rPr>
      </w:pPr>
      <w:r w:rsidRPr="00E75F6C">
        <w:rPr>
          <w:rFonts w:ascii="Book Antiqua" w:hAnsi="Book Antiqua"/>
          <w:b/>
          <w:sz w:val="24"/>
          <w:szCs w:val="24"/>
        </w:rPr>
        <w:t xml:space="preserve">Author contributions: </w:t>
      </w:r>
      <w:proofErr w:type="spellStart"/>
      <w:r w:rsidR="00AD1560" w:rsidRPr="00E75F6C">
        <w:rPr>
          <w:rFonts w:ascii="Book Antiqua" w:hAnsi="Book Antiqua"/>
          <w:sz w:val="24"/>
          <w:szCs w:val="24"/>
        </w:rPr>
        <w:t>Tighe</w:t>
      </w:r>
      <w:proofErr w:type="spellEnd"/>
      <w:r w:rsidR="00AD1560">
        <w:rPr>
          <w:rFonts w:ascii="Book Antiqua" w:hAnsi="Book Antiqua" w:hint="eastAsia"/>
          <w:sz w:val="24"/>
          <w:szCs w:val="24"/>
          <w:lang w:eastAsia="zh-CN"/>
        </w:rPr>
        <w:t xml:space="preserve"> D</w:t>
      </w:r>
      <w:r w:rsidRPr="00FF751A">
        <w:rPr>
          <w:rFonts w:ascii="Book Antiqua" w:hAnsi="Book Antiqua"/>
          <w:sz w:val="24"/>
          <w:szCs w:val="24"/>
        </w:rPr>
        <w:t xml:space="preserve"> conducted the review</w:t>
      </w:r>
      <w:r w:rsidR="00AD1560">
        <w:rPr>
          <w:rFonts w:ascii="Book Antiqua" w:hAnsi="Book Antiqua" w:hint="eastAsia"/>
          <w:sz w:val="24"/>
          <w:szCs w:val="24"/>
          <w:lang w:eastAsia="zh-CN"/>
        </w:rPr>
        <w:t>;</w:t>
      </w:r>
      <w:r w:rsidRPr="00FF751A">
        <w:rPr>
          <w:rFonts w:ascii="Book Antiqua" w:hAnsi="Book Antiqua"/>
          <w:sz w:val="24"/>
          <w:szCs w:val="24"/>
        </w:rPr>
        <w:t xml:space="preserve"> and </w:t>
      </w:r>
      <w:r w:rsidR="00AD1560" w:rsidRPr="00E75F6C">
        <w:rPr>
          <w:rFonts w:ascii="Book Antiqua" w:hAnsi="Book Antiqua"/>
          <w:sz w:val="24"/>
          <w:szCs w:val="24"/>
        </w:rPr>
        <w:t>McNamara</w:t>
      </w:r>
      <w:r w:rsidR="00AD1560">
        <w:rPr>
          <w:rFonts w:ascii="Book Antiqua" w:hAnsi="Book Antiqua" w:hint="eastAsia"/>
          <w:sz w:val="24"/>
          <w:szCs w:val="24"/>
          <w:lang w:eastAsia="zh-CN"/>
        </w:rPr>
        <w:t xml:space="preserve"> D</w:t>
      </w:r>
      <w:r w:rsidRPr="00FF751A">
        <w:rPr>
          <w:rFonts w:ascii="Book Antiqua" w:hAnsi="Book Antiqua"/>
          <w:sz w:val="24"/>
          <w:szCs w:val="24"/>
        </w:rPr>
        <w:t xml:space="preserve"> provided insight and supervised the review. </w:t>
      </w:r>
    </w:p>
    <w:p w14:paraId="5C499CD4" w14:textId="77777777" w:rsidR="00FF751A" w:rsidRPr="00E75F6C" w:rsidRDefault="00FF751A" w:rsidP="00AD1560">
      <w:pPr>
        <w:spacing w:after="0" w:line="360" w:lineRule="auto"/>
        <w:jc w:val="both"/>
        <w:rPr>
          <w:rFonts w:ascii="Book Antiqua" w:hAnsi="Book Antiqua"/>
          <w:b/>
          <w:sz w:val="24"/>
          <w:szCs w:val="24"/>
          <w:lang w:eastAsia="zh-CN"/>
        </w:rPr>
      </w:pPr>
    </w:p>
    <w:p w14:paraId="0F125280" w14:textId="44503B6D" w:rsidR="00117991" w:rsidRPr="00AD1560" w:rsidRDefault="00FF751A" w:rsidP="00AD1560">
      <w:pPr>
        <w:spacing w:after="0" w:line="360" w:lineRule="auto"/>
        <w:jc w:val="both"/>
        <w:rPr>
          <w:rFonts w:ascii="Book Antiqua" w:hAnsi="Book Antiqua"/>
          <w:sz w:val="24"/>
        </w:rPr>
      </w:pPr>
      <w:bookmarkStart w:id="9" w:name="OLE_LINK330"/>
      <w:bookmarkStart w:id="10" w:name="OLE_LINK331"/>
      <w:r w:rsidRPr="00712F63">
        <w:rPr>
          <w:rFonts w:ascii="Book Antiqua" w:hAnsi="Book Antiqua"/>
          <w:b/>
          <w:sz w:val="24"/>
        </w:rPr>
        <w:t>Supported by</w:t>
      </w:r>
      <w:bookmarkEnd w:id="9"/>
      <w:bookmarkEnd w:id="10"/>
      <w:r w:rsidR="00AD1560">
        <w:rPr>
          <w:rFonts w:ascii="Book Antiqua" w:hAnsi="Book Antiqua" w:hint="eastAsia"/>
          <w:b/>
          <w:sz w:val="24"/>
          <w:lang w:eastAsia="zh-CN"/>
        </w:rPr>
        <w:t xml:space="preserve"> </w:t>
      </w:r>
      <w:r w:rsidR="00765E00" w:rsidRPr="00AD1560">
        <w:rPr>
          <w:rFonts w:ascii="Book Antiqua" w:hAnsi="Book Antiqua"/>
          <w:sz w:val="24"/>
          <w:szCs w:val="24"/>
        </w:rPr>
        <w:t xml:space="preserve">European </w:t>
      </w:r>
      <w:proofErr w:type="spellStart"/>
      <w:r w:rsidR="00765E00" w:rsidRPr="00AD1560">
        <w:rPr>
          <w:rFonts w:ascii="Book Antiqua" w:hAnsi="Book Antiqua"/>
          <w:sz w:val="24"/>
          <w:szCs w:val="24"/>
        </w:rPr>
        <w:t>Crohn’s</w:t>
      </w:r>
      <w:proofErr w:type="spellEnd"/>
      <w:r w:rsidR="00765E00" w:rsidRPr="00AD1560">
        <w:rPr>
          <w:rFonts w:ascii="Book Antiqua" w:hAnsi="Book Antiqua"/>
          <w:sz w:val="24"/>
          <w:szCs w:val="24"/>
        </w:rPr>
        <w:t xml:space="preserve"> and Colitis Organisation</w:t>
      </w:r>
      <w:r w:rsidRPr="00AD1560">
        <w:rPr>
          <w:rFonts w:ascii="Book Antiqua" w:hAnsi="Book Antiqua" w:hint="eastAsia"/>
          <w:sz w:val="24"/>
          <w:szCs w:val="24"/>
          <w:lang w:eastAsia="zh-CN"/>
        </w:rPr>
        <w:t>.</w:t>
      </w:r>
    </w:p>
    <w:p w14:paraId="4CF3B80A" w14:textId="77777777" w:rsidR="00FF751A" w:rsidRPr="00E75F6C" w:rsidRDefault="00FF751A" w:rsidP="00AD1560">
      <w:pPr>
        <w:spacing w:after="0" w:line="360" w:lineRule="auto"/>
        <w:jc w:val="both"/>
        <w:rPr>
          <w:rFonts w:ascii="Book Antiqua" w:hAnsi="Book Antiqua"/>
          <w:b/>
          <w:sz w:val="24"/>
          <w:szCs w:val="24"/>
          <w:lang w:eastAsia="zh-CN"/>
        </w:rPr>
      </w:pPr>
    </w:p>
    <w:p w14:paraId="3CE832AC" w14:textId="77777777" w:rsidR="00117991" w:rsidRDefault="00FF751A" w:rsidP="00AD1560">
      <w:pPr>
        <w:autoSpaceDE w:val="0"/>
        <w:autoSpaceDN w:val="0"/>
        <w:adjustRightInd w:val="0"/>
        <w:spacing w:after="0" w:line="360" w:lineRule="auto"/>
        <w:jc w:val="both"/>
        <w:rPr>
          <w:rFonts w:ascii="Book Antiqua" w:hAnsi="Book Antiqua"/>
          <w:sz w:val="24"/>
          <w:szCs w:val="24"/>
          <w:lang w:eastAsia="zh-CN"/>
        </w:rPr>
      </w:pPr>
      <w:bookmarkStart w:id="11" w:name="OLE_LINK526"/>
      <w:bookmarkStart w:id="12" w:name="OLE_LINK527"/>
      <w:r w:rsidRPr="00BB4403">
        <w:rPr>
          <w:rFonts w:ascii="Book Antiqua" w:hAnsi="Book Antiqua" w:cs="TimesNewRomanPS-BoldItalicMT"/>
          <w:b/>
          <w:bCs/>
          <w:iCs/>
          <w:color w:val="000000"/>
          <w:sz w:val="24"/>
        </w:rPr>
        <w:t>Conflict-of-interest</w:t>
      </w:r>
      <w:r w:rsidRPr="00E93877">
        <w:rPr>
          <w:rFonts w:ascii="Book Antiqua" w:hAnsi="Book Antiqua"/>
          <w:b/>
          <w:bCs/>
          <w:iCs/>
          <w:sz w:val="24"/>
        </w:rPr>
        <w:t xml:space="preserve"> </w:t>
      </w:r>
      <w:r w:rsidRPr="00753939">
        <w:rPr>
          <w:rFonts w:ascii="Book Antiqua" w:hAnsi="Book Antiqua"/>
          <w:b/>
          <w:bCs/>
          <w:iCs/>
          <w:sz w:val="24"/>
        </w:rPr>
        <w:t>statement</w:t>
      </w:r>
      <w:r w:rsidRPr="00BB4403">
        <w:rPr>
          <w:rFonts w:ascii="Book Antiqua" w:hAnsi="Book Antiqua" w:cs="TimesNewRomanPS-BoldItalicMT" w:hint="eastAsia"/>
          <w:b/>
          <w:bCs/>
          <w:iCs/>
          <w:color w:val="000000"/>
          <w:sz w:val="24"/>
        </w:rPr>
        <w:t>:</w:t>
      </w:r>
      <w:bookmarkEnd w:id="11"/>
      <w:bookmarkEnd w:id="12"/>
      <w:r>
        <w:rPr>
          <w:rFonts w:ascii="Book Antiqua" w:hAnsi="Book Antiqua" w:cs="TimesNewRomanPS-BoldItalicMT" w:hint="eastAsia"/>
          <w:b/>
          <w:bCs/>
          <w:iCs/>
          <w:color w:val="000000"/>
          <w:sz w:val="24"/>
          <w:lang w:eastAsia="zh-CN"/>
        </w:rPr>
        <w:t xml:space="preserve"> </w:t>
      </w:r>
      <w:r w:rsidR="00117991" w:rsidRPr="00AD1560">
        <w:rPr>
          <w:rFonts w:ascii="Book Antiqua" w:hAnsi="Book Antiqua"/>
          <w:sz w:val="24"/>
          <w:szCs w:val="24"/>
        </w:rPr>
        <w:t>No potential conflicts of interest. No financial support.</w:t>
      </w:r>
    </w:p>
    <w:p w14:paraId="32ECBE90" w14:textId="77777777" w:rsidR="00AD1560" w:rsidRPr="00AD1560" w:rsidRDefault="00AD1560" w:rsidP="00AD1560">
      <w:pPr>
        <w:autoSpaceDE w:val="0"/>
        <w:autoSpaceDN w:val="0"/>
        <w:adjustRightInd w:val="0"/>
        <w:spacing w:after="0" w:line="360" w:lineRule="auto"/>
        <w:jc w:val="both"/>
        <w:rPr>
          <w:rFonts w:ascii="Book Antiqua" w:hAnsi="Book Antiqua" w:cs="TimesNewRomanPS-BoldItalicMT"/>
          <w:bCs/>
          <w:iCs/>
          <w:color w:val="000000"/>
          <w:sz w:val="24"/>
          <w:lang w:eastAsia="zh-CN"/>
        </w:rPr>
      </w:pPr>
    </w:p>
    <w:p w14:paraId="3F575821" w14:textId="77777777" w:rsidR="00FF751A" w:rsidRPr="00164EDB" w:rsidRDefault="00FF751A" w:rsidP="00AD1560">
      <w:pPr>
        <w:spacing w:after="0" w:line="360" w:lineRule="auto"/>
        <w:jc w:val="both"/>
        <w:rPr>
          <w:rFonts w:ascii="Book Antiqua" w:hAnsi="Book Antiqua"/>
          <w:b/>
          <w:color w:val="000000"/>
          <w:sz w:val="24"/>
        </w:rPr>
      </w:pPr>
      <w:bookmarkStart w:id="13" w:name="OLE_LINK155"/>
      <w:bookmarkStart w:id="14" w:name="OLE_LINK183"/>
      <w:bookmarkStart w:id="15" w:name="OLE_LINK441"/>
      <w:r w:rsidRPr="00164EDB">
        <w:rPr>
          <w:rFonts w:ascii="Book Antiqua" w:hAnsi="Book Antiqua"/>
          <w:b/>
          <w:color w:val="000000"/>
          <w:sz w:val="24"/>
        </w:rPr>
        <w:t xml:space="preserve">Open-Access: </w:t>
      </w:r>
      <w:r w:rsidRPr="00164EDB">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3"/>
    <w:bookmarkEnd w:id="14"/>
    <w:bookmarkEnd w:id="15"/>
    <w:p w14:paraId="14DCBE36" w14:textId="77777777" w:rsidR="00AD1560" w:rsidRDefault="00AD1560" w:rsidP="00AD1560">
      <w:pPr>
        <w:spacing w:after="0" w:line="360" w:lineRule="auto"/>
        <w:rPr>
          <w:rFonts w:ascii="Book Antiqua" w:hAnsi="Book Antiqua" w:cs="Arial Unicode MS"/>
          <w:b/>
          <w:color w:val="000000"/>
          <w:sz w:val="24"/>
          <w:lang w:eastAsia="zh-CN"/>
        </w:rPr>
      </w:pPr>
    </w:p>
    <w:p w14:paraId="7379D762" w14:textId="7A4FE597" w:rsidR="00AD1560" w:rsidRPr="000D1F92" w:rsidRDefault="00AD1560" w:rsidP="00AD1560">
      <w:pPr>
        <w:spacing w:after="0" w:line="360" w:lineRule="auto"/>
        <w:rPr>
          <w:rFonts w:ascii="Book Antiqua" w:hAnsi="Book Antiqua" w:cs="Arial Unicode MS"/>
          <w:color w:val="000000"/>
          <w:sz w:val="24"/>
          <w:lang w:eastAsia="zh-CN"/>
        </w:rPr>
      </w:pPr>
      <w:r w:rsidRPr="000D1F92">
        <w:rPr>
          <w:rFonts w:ascii="Book Antiqua" w:hAnsi="Book Antiqua" w:cs="Arial Unicode MS"/>
          <w:b/>
          <w:color w:val="000000"/>
          <w:sz w:val="24"/>
        </w:rPr>
        <w:t>Manuscript source:</w:t>
      </w:r>
      <w:r w:rsidRPr="000D1F92">
        <w:rPr>
          <w:rFonts w:ascii="Book Antiqua" w:hAnsi="Book Antiqua" w:cs="Arial Unicode MS"/>
          <w:color w:val="000000"/>
          <w:sz w:val="24"/>
        </w:rPr>
        <w:t xml:space="preserve"> </w:t>
      </w:r>
      <w:r w:rsidR="0001016A" w:rsidRPr="00F56B9A">
        <w:rPr>
          <w:rFonts w:ascii="Book Antiqua" w:hAnsi="Book Antiqua" w:cs="Arial Unicode MS"/>
          <w:color w:val="000000"/>
          <w:sz w:val="24"/>
        </w:rPr>
        <w:t>Unsolicited manuscript</w:t>
      </w:r>
    </w:p>
    <w:p w14:paraId="2448CC87" w14:textId="77777777" w:rsidR="00FF751A" w:rsidRPr="00712F63" w:rsidRDefault="00FF751A" w:rsidP="00AD1560">
      <w:pPr>
        <w:spacing w:after="0" w:line="360" w:lineRule="auto"/>
        <w:jc w:val="both"/>
        <w:rPr>
          <w:rFonts w:ascii="Book Antiqua" w:hAnsi="Book Antiqua" w:cs="Arial Unicode MS"/>
          <w:color w:val="000000"/>
          <w:sz w:val="24"/>
        </w:rPr>
      </w:pPr>
    </w:p>
    <w:p w14:paraId="17DB2FB0" w14:textId="03DF92A4" w:rsidR="00117991" w:rsidRPr="00FF751A" w:rsidRDefault="00117991" w:rsidP="00AD1560">
      <w:pPr>
        <w:spacing w:after="0" w:line="360" w:lineRule="auto"/>
        <w:jc w:val="both"/>
        <w:rPr>
          <w:rFonts w:ascii="Book Antiqua" w:hAnsi="Book Antiqua"/>
          <w:sz w:val="24"/>
          <w:szCs w:val="24"/>
        </w:rPr>
      </w:pPr>
      <w:r w:rsidRPr="00E75F6C">
        <w:rPr>
          <w:rFonts w:ascii="Book Antiqua" w:hAnsi="Book Antiqua"/>
          <w:b/>
          <w:sz w:val="24"/>
          <w:szCs w:val="24"/>
        </w:rPr>
        <w:t xml:space="preserve">Correspondence to: </w:t>
      </w:r>
      <w:proofErr w:type="spellStart"/>
      <w:r w:rsidR="00A86824">
        <w:rPr>
          <w:rFonts w:ascii="Book Antiqua" w:hAnsi="Book Antiqua" w:hint="eastAsia"/>
          <w:b/>
          <w:sz w:val="24"/>
          <w:szCs w:val="24"/>
          <w:lang w:eastAsia="zh-CN"/>
        </w:rPr>
        <w:t>Dr.</w:t>
      </w:r>
      <w:proofErr w:type="spellEnd"/>
      <w:r w:rsidR="00A86824">
        <w:rPr>
          <w:rFonts w:ascii="Book Antiqua" w:hAnsi="Book Antiqua" w:hint="eastAsia"/>
          <w:b/>
          <w:sz w:val="24"/>
          <w:szCs w:val="24"/>
          <w:lang w:eastAsia="zh-CN"/>
        </w:rPr>
        <w:t xml:space="preserve"> </w:t>
      </w:r>
      <w:proofErr w:type="spellStart"/>
      <w:r w:rsidRPr="00E75F6C">
        <w:rPr>
          <w:rFonts w:ascii="Book Antiqua" w:hAnsi="Book Antiqua"/>
          <w:b/>
          <w:sz w:val="24"/>
          <w:szCs w:val="24"/>
        </w:rPr>
        <w:t>Donal</w:t>
      </w:r>
      <w:proofErr w:type="spellEnd"/>
      <w:r w:rsidRPr="00E75F6C">
        <w:rPr>
          <w:rFonts w:ascii="Book Antiqua" w:hAnsi="Book Antiqua"/>
          <w:b/>
          <w:sz w:val="24"/>
          <w:szCs w:val="24"/>
        </w:rPr>
        <w:t xml:space="preserve"> </w:t>
      </w:r>
      <w:proofErr w:type="spellStart"/>
      <w:r w:rsidRPr="00E75F6C">
        <w:rPr>
          <w:rFonts w:ascii="Book Antiqua" w:hAnsi="Book Antiqua"/>
          <w:b/>
          <w:sz w:val="24"/>
          <w:szCs w:val="24"/>
        </w:rPr>
        <w:t>Tighe</w:t>
      </w:r>
      <w:proofErr w:type="spellEnd"/>
      <w:r w:rsidRPr="00E75F6C">
        <w:rPr>
          <w:rFonts w:ascii="Book Antiqua" w:hAnsi="Book Antiqua"/>
          <w:b/>
          <w:sz w:val="24"/>
          <w:szCs w:val="24"/>
        </w:rPr>
        <w:t xml:space="preserve">, </w:t>
      </w:r>
      <w:r w:rsidR="0097238D" w:rsidRPr="00FF751A">
        <w:rPr>
          <w:rFonts w:ascii="Book Antiqua" w:hAnsi="Book Antiqua"/>
          <w:sz w:val="24"/>
          <w:szCs w:val="24"/>
        </w:rPr>
        <w:t xml:space="preserve">Department of Gastroenterology, Adelaide and Meath incorporating the National Children’s Hospital </w:t>
      </w:r>
      <w:proofErr w:type="spellStart"/>
      <w:r w:rsidR="0097238D" w:rsidRPr="00FF751A">
        <w:rPr>
          <w:rFonts w:ascii="Book Antiqua" w:hAnsi="Book Antiqua"/>
          <w:sz w:val="24"/>
          <w:szCs w:val="24"/>
        </w:rPr>
        <w:t>Tallaght</w:t>
      </w:r>
      <w:proofErr w:type="spellEnd"/>
      <w:r w:rsidR="0097238D" w:rsidRPr="00FF751A">
        <w:rPr>
          <w:rFonts w:ascii="Book Antiqua" w:hAnsi="Book Antiqua"/>
          <w:sz w:val="24"/>
          <w:szCs w:val="24"/>
        </w:rPr>
        <w:t>, School of Clinical Medicine, Trinity College Dublin, Trinity Academic Gastroenterology Group,</w:t>
      </w:r>
      <w:r w:rsidRPr="00FF751A">
        <w:rPr>
          <w:rFonts w:ascii="Book Antiqua" w:hAnsi="Book Antiqua"/>
          <w:sz w:val="24"/>
          <w:szCs w:val="24"/>
        </w:rPr>
        <w:t xml:space="preserve"> AMNCH </w:t>
      </w:r>
      <w:proofErr w:type="spellStart"/>
      <w:r w:rsidRPr="00FF751A">
        <w:rPr>
          <w:rFonts w:ascii="Book Antiqua" w:hAnsi="Book Antiqua"/>
          <w:sz w:val="24"/>
          <w:szCs w:val="24"/>
        </w:rPr>
        <w:t>Tallaght</w:t>
      </w:r>
      <w:proofErr w:type="spellEnd"/>
      <w:r w:rsidRPr="00FF751A">
        <w:rPr>
          <w:rFonts w:ascii="Book Antiqua" w:hAnsi="Book Antiqua"/>
          <w:sz w:val="24"/>
          <w:szCs w:val="24"/>
        </w:rPr>
        <w:t xml:space="preserve">, </w:t>
      </w:r>
      <w:proofErr w:type="spellStart"/>
      <w:r w:rsidRPr="00FF751A">
        <w:rPr>
          <w:rFonts w:ascii="Book Antiqua" w:hAnsi="Book Antiqua"/>
          <w:sz w:val="24"/>
          <w:szCs w:val="24"/>
        </w:rPr>
        <w:t>Tallaght</w:t>
      </w:r>
      <w:proofErr w:type="spellEnd"/>
      <w:r w:rsidRPr="00FF751A">
        <w:rPr>
          <w:rFonts w:ascii="Book Antiqua" w:hAnsi="Book Antiqua"/>
          <w:sz w:val="24"/>
          <w:szCs w:val="24"/>
        </w:rPr>
        <w:t>, Dublin 24, Ireland. tighedo@tcd.ie</w:t>
      </w:r>
    </w:p>
    <w:p w14:paraId="4EC121D8" w14:textId="398F847E" w:rsidR="00117991" w:rsidRPr="00AD1560" w:rsidRDefault="00117991" w:rsidP="00AD1560">
      <w:pPr>
        <w:spacing w:after="0" w:line="360" w:lineRule="auto"/>
        <w:jc w:val="both"/>
        <w:rPr>
          <w:rFonts w:ascii="Book Antiqua" w:hAnsi="Book Antiqua"/>
          <w:sz w:val="24"/>
          <w:szCs w:val="24"/>
        </w:rPr>
      </w:pPr>
      <w:r w:rsidRPr="00E75F6C">
        <w:rPr>
          <w:rFonts w:ascii="Book Antiqua" w:hAnsi="Book Antiqua"/>
          <w:b/>
          <w:sz w:val="24"/>
          <w:szCs w:val="24"/>
        </w:rPr>
        <w:t>Telephone:</w:t>
      </w:r>
      <w:r w:rsidRPr="00AD1560">
        <w:rPr>
          <w:rFonts w:ascii="Book Antiqua" w:hAnsi="Book Antiqua"/>
          <w:sz w:val="24"/>
          <w:szCs w:val="24"/>
        </w:rPr>
        <w:t xml:space="preserve"> +353-1896</w:t>
      </w:r>
      <w:r w:rsidR="00765E00" w:rsidRPr="00AD1560">
        <w:rPr>
          <w:rFonts w:ascii="Book Antiqua" w:hAnsi="Book Antiqua"/>
          <w:sz w:val="24"/>
          <w:szCs w:val="24"/>
        </w:rPr>
        <w:t>3844</w:t>
      </w:r>
    </w:p>
    <w:p w14:paraId="623C2A11" w14:textId="77777777" w:rsidR="00117991" w:rsidRDefault="00117991" w:rsidP="00AD1560">
      <w:pPr>
        <w:spacing w:after="0" w:line="360" w:lineRule="auto"/>
        <w:jc w:val="both"/>
        <w:rPr>
          <w:rFonts w:ascii="Book Antiqua" w:hAnsi="Book Antiqua"/>
          <w:sz w:val="24"/>
          <w:szCs w:val="24"/>
          <w:lang w:eastAsia="zh-CN"/>
        </w:rPr>
      </w:pPr>
      <w:r w:rsidRPr="00E75F6C">
        <w:rPr>
          <w:rFonts w:ascii="Book Antiqua" w:hAnsi="Book Antiqua"/>
          <w:b/>
          <w:sz w:val="24"/>
          <w:szCs w:val="24"/>
        </w:rPr>
        <w:t xml:space="preserve">Fax: </w:t>
      </w:r>
      <w:r w:rsidRPr="00AD1560">
        <w:rPr>
          <w:rFonts w:ascii="Book Antiqua" w:hAnsi="Book Antiqua"/>
          <w:sz w:val="24"/>
          <w:szCs w:val="24"/>
        </w:rPr>
        <w:t>+1-310-2678772</w:t>
      </w:r>
    </w:p>
    <w:p w14:paraId="3926BCC5" w14:textId="77777777" w:rsidR="00AD1560" w:rsidRPr="00AD1560" w:rsidRDefault="00AD1560" w:rsidP="00AD1560">
      <w:pPr>
        <w:spacing w:after="0" w:line="360" w:lineRule="auto"/>
        <w:jc w:val="both"/>
        <w:rPr>
          <w:rFonts w:ascii="Book Antiqua" w:hAnsi="Book Antiqua"/>
          <w:sz w:val="24"/>
          <w:szCs w:val="24"/>
          <w:lang w:eastAsia="zh-CN"/>
        </w:rPr>
      </w:pPr>
    </w:p>
    <w:p w14:paraId="1E24AF4E" w14:textId="77777777" w:rsidR="00AD1560" w:rsidRDefault="00AD1560" w:rsidP="00AD1560">
      <w:pPr>
        <w:spacing w:after="0" w:line="360" w:lineRule="auto"/>
        <w:rPr>
          <w:rFonts w:ascii="Book Antiqua" w:hAnsi="Book Antiqua"/>
          <w:b/>
          <w:sz w:val="24"/>
          <w:lang w:eastAsia="zh-CN"/>
        </w:rPr>
      </w:pPr>
      <w:bookmarkStart w:id="16" w:name="OLE_LINK476"/>
      <w:bookmarkStart w:id="17" w:name="OLE_LINK477"/>
      <w:bookmarkStart w:id="18" w:name="OLE_LINK117"/>
      <w:bookmarkStart w:id="19" w:name="OLE_LINK528"/>
      <w:bookmarkStart w:id="20" w:name="OLE_LINK557"/>
      <w:r>
        <w:rPr>
          <w:rFonts w:ascii="Book Antiqua" w:hAnsi="Book Antiqua"/>
          <w:b/>
          <w:sz w:val="24"/>
        </w:rPr>
        <w:t>Received:</w:t>
      </w:r>
      <w:r w:rsidR="00523E72">
        <w:rPr>
          <w:rFonts w:ascii="Book Antiqua" w:hAnsi="Book Antiqua" w:hint="eastAsia"/>
          <w:b/>
          <w:sz w:val="24"/>
          <w:lang w:eastAsia="zh-CN"/>
        </w:rPr>
        <w:t xml:space="preserve"> </w:t>
      </w:r>
      <w:r w:rsidR="00523E72" w:rsidRPr="00523E72">
        <w:rPr>
          <w:rFonts w:ascii="Book Antiqua" w:hAnsi="Book Antiqua" w:hint="eastAsia"/>
          <w:sz w:val="24"/>
          <w:lang w:eastAsia="zh-CN"/>
        </w:rPr>
        <w:t>March 8, 2016</w:t>
      </w:r>
    </w:p>
    <w:p w14:paraId="0065FFBB" w14:textId="77777777" w:rsidR="00AD1560" w:rsidRDefault="00AD1560" w:rsidP="00AD1560">
      <w:pPr>
        <w:spacing w:after="0" w:line="360" w:lineRule="auto"/>
        <w:rPr>
          <w:rFonts w:ascii="Book Antiqua" w:hAnsi="Book Antiqua"/>
          <w:b/>
          <w:sz w:val="24"/>
        </w:rPr>
      </w:pPr>
      <w:r w:rsidRPr="009659DA">
        <w:rPr>
          <w:rFonts w:ascii="Book Antiqua" w:hAnsi="Book Antiqua" w:hint="eastAsia"/>
          <w:b/>
          <w:sz w:val="24"/>
        </w:rPr>
        <w:t>Peer-review started</w:t>
      </w:r>
      <w:r>
        <w:rPr>
          <w:rFonts w:ascii="Book Antiqua" w:hAnsi="Book Antiqua"/>
          <w:b/>
          <w:sz w:val="24"/>
        </w:rPr>
        <w:t>:</w:t>
      </w:r>
      <w:r w:rsidR="00523E72" w:rsidRPr="00523E72">
        <w:rPr>
          <w:rFonts w:ascii="Book Antiqua" w:hAnsi="Book Antiqua" w:hint="eastAsia"/>
          <w:sz w:val="24"/>
          <w:lang w:eastAsia="zh-CN"/>
        </w:rPr>
        <w:t xml:space="preserve"> March </w:t>
      </w:r>
      <w:r w:rsidR="00523E72">
        <w:rPr>
          <w:rFonts w:ascii="Book Antiqua" w:hAnsi="Book Antiqua" w:hint="eastAsia"/>
          <w:sz w:val="24"/>
          <w:lang w:eastAsia="zh-CN"/>
        </w:rPr>
        <w:t>9</w:t>
      </w:r>
      <w:r w:rsidR="00523E72" w:rsidRPr="00523E72">
        <w:rPr>
          <w:rFonts w:ascii="Book Antiqua" w:hAnsi="Book Antiqua" w:hint="eastAsia"/>
          <w:sz w:val="24"/>
          <w:lang w:eastAsia="zh-CN"/>
        </w:rPr>
        <w:t>, 2016</w:t>
      </w:r>
    </w:p>
    <w:p w14:paraId="64106BD8" w14:textId="77777777" w:rsidR="00AD1560" w:rsidRPr="00523E72" w:rsidRDefault="00AD1560" w:rsidP="00AD1560">
      <w:pPr>
        <w:spacing w:after="0" w:line="360" w:lineRule="auto"/>
        <w:rPr>
          <w:rFonts w:ascii="Book Antiqua" w:hAnsi="Book Antiqua"/>
          <w:sz w:val="24"/>
          <w:lang w:eastAsia="zh-CN"/>
        </w:rPr>
      </w:pPr>
      <w:r w:rsidRPr="009659DA">
        <w:rPr>
          <w:rFonts w:ascii="Book Antiqua" w:hAnsi="Book Antiqua"/>
          <w:b/>
          <w:sz w:val="24"/>
        </w:rPr>
        <w:t>First decision:</w:t>
      </w:r>
      <w:r w:rsidR="00523E72">
        <w:rPr>
          <w:rFonts w:ascii="Book Antiqua" w:hAnsi="Book Antiqua" w:hint="eastAsia"/>
          <w:b/>
          <w:sz w:val="24"/>
          <w:lang w:eastAsia="zh-CN"/>
        </w:rPr>
        <w:t xml:space="preserve"> </w:t>
      </w:r>
      <w:r w:rsidR="00523E72" w:rsidRPr="00523E72">
        <w:rPr>
          <w:rFonts w:ascii="Book Antiqua" w:hAnsi="Book Antiqua" w:hint="eastAsia"/>
          <w:sz w:val="24"/>
          <w:lang w:eastAsia="zh-CN"/>
        </w:rPr>
        <w:t>April 14, 2016</w:t>
      </w:r>
    </w:p>
    <w:p w14:paraId="65061F2D" w14:textId="77777777" w:rsidR="00AD1560" w:rsidRPr="00523E72" w:rsidRDefault="00AD1560" w:rsidP="00AD1560">
      <w:pPr>
        <w:spacing w:after="0" w:line="360" w:lineRule="auto"/>
        <w:rPr>
          <w:rFonts w:ascii="Book Antiqua" w:hAnsi="Book Antiqua"/>
          <w:sz w:val="24"/>
          <w:lang w:eastAsia="zh-CN"/>
        </w:rPr>
      </w:pPr>
      <w:r>
        <w:rPr>
          <w:rFonts w:ascii="Book Antiqua" w:hAnsi="Book Antiqua"/>
          <w:b/>
          <w:sz w:val="24"/>
        </w:rPr>
        <w:t>Revised:</w:t>
      </w:r>
      <w:r w:rsidR="00523E72">
        <w:rPr>
          <w:rFonts w:ascii="Book Antiqua" w:hAnsi="Book Antiqua" w:hint="eastAsia"/>
          <w:b/>
          <w:sz w:val="24"/>
          <w:lang w:eastAsia="zh-CN"/>
        </w:rPr>
        <w:t xml:space="preserve"> </w:t>
      </w:r>
      <w:r w:rsidR="00523E72" w:rsidRPr="00523E72">
        <w:rPr>
          <w:rFonts w:ascii="Book Antiqua" w:hAnsi="Book Antiqua" w:hint="eastAsia"/>
          <w:sz w:val="24"/>
          <w:lang w:eastAsia="zh-CN"/>
        </w:rPr>
        <w:t xml:space="preserve">April </w:t>
      </w:r>
      <w:r w:rsidR="00523E72">
        <w:rPr>
          <w:rFonts w:ascii="Book Antiqua" w:hAnsi="Book Antiqua" w:hint="eastAsia"/>
          <w:sz w:val="24"/>
          <w:lang w:eastAsia="zh-CN"/>
        </w:rPr>
        <w:t>29</w:t>
      </w:r>
      <w:r w:rsidR="00523E72" w:rsidRPr="00523E72">
        <w:rPr>
          <w:rFonts w:ascii="Book Antiqua" w:hAnsi="Book Antiqua" w:hint="eastAsia"/>
          <w:sz w:val="24"/>
          <w:lang w:eastAsia="zh-CN"/>
        </w:rPr>
        <w:t>, 2016</w:t>
      </w:r>
    </w:p>
    <w:p w14:paraId="36E6E42E" w14:textId="7795B108" w:rsidR="00AD1560" w:rsidRPr="000E2511" w:rsidRDefault="00AD1560" w:rsidP="000E2511">
      <w:pPr>
        <w:spacing w:line="360" w:lineRule="auto"/>
        <w:rPr>
          <w:rFonts w:ascii="Book Antiqua" w:hAnsi="Book Antiqua"/>
          <w:color w:val="000000" w:themeColor="text1"/>
          <w:sz w:val="24"/>
        </w:rPr>
      </w:pPr>
      <w:r>
        <w:rPr>
          <w:rFonts w:ascii="Book Antiqua" w:hAnsi="Book Antiqua"/>
          <w:b/>
          <w:sz w:val="24"/>
        </w:rPr>
        <w:t>Accepted:</w:t>
      </w:r>
      <w:r w:rsidR="000E2511" w:rsidRPr="000E2511">
        <w:rPr>
          <w:rFonts w:ascii="Book Antiqua" w:hAnsi="Book Antiqua"/>
          <w:color w:val="000000" w:themeColor="text1"/>
          <w:sz w:val="24"/>
        </w:rPr>
        <w:t xml:space="preserve"> </w:t>
      </w:r>
      <w:r w:rsidR="000E2511" w:rsidRPr="008D7790">
        <w:rPr>
          <w:rFonts w:ascii="Book Antiqua" w:hAnsi="Book Antiqua"/>
          <w:color w:val="000000" w:themeColor="text1"/>
          <w:sz w:val="24"/>
        </w:rPr>
        <w:t>June 2, 2016</w:t>
      </w:r>
      <w:r>
        <w:rPr>
          <w:rFonts w:ascii="Book Antiqua" w:hAnsi="Book Antiqua" w:hint="eastAsia"/>
          <w:b/>
          <w:sz w:val="24"/>
        </w:rPr>
        <w:t xml:space="preserve">  </w:t>
      </w:r>
    </w:p>
    <w:p w14:paraId="52CC8297" w14:textId="77777777" w:rsidR="00AD1560" w:rsidRDefault="00AD1560" w:rsidP="00AD1560">
      <w:pPr>
        <w:spacing w:after="0" w:line="360" w:lineRule="auto"/>
        <w:rPr>
          <w:rFonts w:ascii="Book Antiqua" w:hAnsi="Book Antiqua"/>
          <w:b/>
          <w:sz w:val="24"/>
        </w:rPr>
      </w:pPr>
      <w:r w:rsidRPr="009659DA">
        <w:rPr>
          <w:rFonts w:ascii="Book Antiqua" w:hAnsi="Book Antiqua"/>
          <w:b/>
          <w:sz w:val="24"/>
        </w:rPr>
        <w:t>Article in press:</w:t>
      </w:r>
    </w:p>
    <w:p w14:paraId="0ABAB872" w14:textId="77777777" w:rsidR="00AD1560" w:rsidRPr="00ED7CB9" w:rsidRDefault="00AD1560" w:rsidP="00AD1560">
      <w:pPr>
        <w:spacing w:after="0" w:line="360" w:lineRule="auto"/>
        <w:rPr>
          <w:rFonts w:ascii="Book Antiqua" w:hAnsi="Book Antiqua"/>
          <w:b/>
          <w:sz w:val="24"/>
        </w:rPr>
      </w:pPr>
      <w:r>
        <w:rPr>
          <w:rFonts w:ascii="Book Antiqua" w:hAnsi="Book Antiqua"/>
          <w:b/>
          <w:sz w:val="24"/>
        </w:rPr>
        <w:t>Published online:</w:t>
      </w:r>
    </w:p>
    <w:bookmarkEnd w:id="16"/>
    <w:bookmarkEnd w:id="17"/>
    <w:bookmarkEnd w:id="18"/>
    <w:bookmarkEnd w:id="19"/>
    <w:bookmarkEnd w:id="20"/>
    <w:p w14:paraId="38429BDF" w14:textId="77777777" w:rsidR="00FF751A" w:rsidRDefault="00FF751A" w:rsidP="00AD1560">
      <w:pPr>
        <w:spacing w:after="0"/>
        <w:jc w:val="both"/>
        <w:rPr>
          <w:rFonts w:ascii="Book Antiqua" w:hAnsi="Book Antiqua"/>
          <w:b/>
          <w:sz w:val="24"/>
          <w:szCs w:val="24"/>
        </w:rPr>
      </w:pPr>
      <w:r>
        <w:rPr>
          <w:rFonts w:ascii="Book Antiqua" w:hAnsi="Book Antiqua"/>
          <w:b/>
          <w:sz w:val="24"/>
          <w:szCs w:val="24"/>
        </w:rPr>
        <w:br w:type="page"/>
      </w:r>
    </w:p>
    <w:p w14:paraId="6E62852A" w14:textId="77777777" w:rsidR="00765E00" w:rsidRPr="00E75F6C" w:rsidRDefault="00FF751A" w:rsidP="00AD1560">
      <w:pPr>
        <w:spacing w:after="0" w:line="360" w:lineRule="auto"/>
        <w:jc w:val="both"/>
        <w:rPr>
          <w:rFonts w:ascii="Book Antiqua" w:hAnsi="Book Antiqua"/>
          <w:b/>
          <w:sz w:val="24"/>
          <w:szCs w:val="24"/>
          <w:lang w:eastAsia="zh-CN"/>
        </w:rPr>
      </w:pPr>
      <w:r>
        <w:rPr>
          <w:rFonts w:ascii="Book Antiqua" w:hAnsi="Book Antiqua"/>
          <w:b/>
          <w:sz w:val="24"/>
          <w:szCs w:val="24"/>
        </w:rPr>
        <w:lastRenderedPageBreak/>
        <w:t>Abstract</w:t>
      </w:r>
    </w:p>
    <w:p w14:paraId="549B7D37" w14:textId="069AEB6F" w:rsidR="00765E00" w:rsidRDefault="00765E00" w:rsidP="00AD1560">
      <w:pPr>
        <w:spacing w:after="0" w:line="360" w:lineRule="auto"/>
        <w:jc w:val="both"/>
        <w:rPr>
          <w:rFonts w:ascii="Book Antiqua" w:hAnsi="Book Antiqua"/>
          <w:sz w:val="24"/>
          <w:szCs w:val="24"/>
          <w:lang w:eastAsia="zh-CN"/>
        </w:rPr>
      </w:pPr>
      <w:r w:rsidRPr="00E75F6C">
        <w:rPr>
          <w:rFonts w:ascii="Book Antiqua" w:hAnsi="Book Antiqua"/>
          <w:sz w:val="24"/>
          <w:szCs w:val="24"/>
        </w:rPr>
        <w:t xml:space="preserve">Despite improvement in outcomes, loss of response </w:t>
      </w:r>
      <w:r w:rsidR="00A001D9" w:rsidRPr="00E75F6C">
        <w:rPr>
          <w:rFonts w:ascii="Book Antiqua" w:hAnsi="Book Antiqua"/>
          <w:sz w:val="24"/>
          <w:szCs w:val="24"/>
        </w:rPr>
        <w:t xml:space="preserve">(LOR) </w:t>
      </w:r>
      <w:r w:rsidRPr="00E75F6C">
        <w:rPr>
          <w:rFonts w:ascii="Book Antiqua" w:hAnsi="Book Antiqua"/>
          <w:sz w:val="24"/>
          <w:szCs w:val="24"/>
        </w:rPr>
        <w:t>to anti-TNF</w:t>
      </w:r>
      <w:r w:rsidR="0055454E">
        <w:rPr>
          <w:rFonts w:ascii="Book Antiqua" w:hAnsi="Book Antiqua"/>
          <w:sz w:val="24"/>
          <w:szCs w:val="24"/>
        </w:rPr>
        <w:sym w:font="Symbol" w:char="F061"/>
      </w:r>
      <w:r w:rsidRPr="00E75F6C">
        <w:rPr>
          <w:rFonts w:ascii="Book Antiqua" w:hAnsi="Book Antiqua"/>
          <w:sz w:val="24"/>
          <w:szCs w:val="24"/>
        </w:rPr>
        <w:t xml:space="preserve"> therapies is a big concern in the management of inflammatory bowel disease. </w:t>
      </w:r>
      <w:r w:rsidR="00A001D9" w:rsidRPr="00E75F6C">
        <w:rPr>
          <w:rFonts w:ascii="Book Antiqua" w:hAnsi="Book Antiqua"/>
          <w:sz w:val="24"/>
          <w:szCs w:val="24"/>
        </w:rPr>
        <w:t xml:space="preserve"> LOR is associated with flares of disease, increased hospitalisation rates, need for surgical interventions, and decline in quality of life.  LOR </w:t>
      </w:r>
      <w:r w:rsidRPr="00E75F6C">
        <w:rPr>
          <w:rFonts w:ascii="Book Antiqua" w:hAnsi="Book Antiqua"/>
          <w:sz w:val="24"/>
          <w:szCs w:val="24"/>
        </w:rPr>
        <w:t>may be multifactorial, but immunogenicity makes a significant contribution. Traditionally doses of anti-TNF</w:t>
      </w:r>
      <w:r w:rsidR="0055454E">
        <w:rPr>
          <w:rFonts w:ascii="Book Antiqua" w:hAnsi="Book Antiqua"/>
          <w:sz w:val="24"/>
          <w:szCs w:val="24"/>
        </w:rPr>
        <w:sym w:font="Symbol" w:char="F061"/>
      </w:r>
      <w:r w:rsidRPr="00E75F6C">
        <w:rPr>
          <w:rFonts w:ascii="Book Antiqua" w:hAnsi="Book Antiqua"/>
          <w:sz w:val="24"/>
          <w:szCs w:val="24"/>
        </w:rPr>
        <w:t xml:space="preserve"> have been adjusted based on clinical response, using a standard approach.  </w:t>
      </w:r>
      <w:proofErr w:type="spellStart"/>
      <w:r w:rsidRPr="00E75F6C">
        <w:rPr>
          <w:rFonts w:ascii="Book Antiqua" w:hAnsi="Book Antiqua"/>
          <w:sz w:val="24"/>
          <w:szCs w:val="24"/>
        </w:rPr>
        <w:t>Immunomonitoring</w:t>
      </w:r>
      <w:proofErr w:type="spellEnd"/>
      <w:r w:rsidRPr="00E75F6C">
        <w:rPr>
          <w:rFonts w:ascii="Book Antiqua" w:hAnsi="Book Antiqua"/>
          <w:sz w:val="24"/>
          <w:szCs w:val="24"/>
        </w:rPr>
        <w:t xml:space="preserve"> involves the measurement of anti-TNF</w:t>
      </w:r>
      <w:r w:rsidR="0055454E">
        <w:rPr>
          <w:rFonts w:ascii="Book Antiqua" w:hAnsi="Book Antiqua"/>
          <w:sz w:val="24"/>
          <w:szCs w:val="24"/>
        </w:rPr>
        <w:sym w:font="Symbol" w:char="F061"/>
      </w:r>
      <w:r w:rsidRPr="00E75F6C">
        <w:rPr>
          <w:rFonts w:ascii="Book Antiqua" w:hAnsi="Book Antiqua"/>
          <w:sz w:val="24"/>
          <w:szCs w:val="24"/>
        </w:rPr>
        <w:t xml:space="preserve"> trough and antibody levels. </w:t>
      </w:r>
      <w:r w:rsidR="00A001D9" w:rsidRPr="00E75F6C">
        <w:rPr>
          <w:rFonts w:ascii="Book Antiqua" w:hAnsi="Book Antiqua"/>
          <w:sz w:val="24"/>
          <w:szCs w:val="24"/>
        </w:rPr>
        <w:t>It takes into account the underlying pharmacokinetics of anti-TNF</w:t>
      </w:r>
      <w:r w:rsidR="0055454E">
        <w:rPr>
          <w:rFonts w:ascii="Book Antiqua" w:hAnsi="Book Antiqua"/>
          <w:sz w:val="24"/>
          <w:szCs w:val="24"/>
        </w:rPr>
        <w:sym w:font="Symbol" w:char="F061"/>
      </w:r>
      <w:r w:rsidR="00A001D9" w:rsidRPr="00E75F6C">
        <w:rPr>
          <w:rFonts w:ascii="Book Antiqua" w:hAnsi="Book Antiqua"/>
          <w:sz w:val="24"/>
          <w:szCs w:val="24"/>
        </w:rPr>
        <w:t xml:space="preserve"> therapies. </w:t>
      </w:r>
      <w:r w:rsidRPr="00E75F6C">
        <w:rPr>
          <w:rFonts w:ascii="Book Antiqua" w:hAnsi="Book Antiqua"/>
          <w:sz w:val="24"/>
          <w:szCs w:val="24"/>
        </w:rPr>
        <w:t xml:space="preserve">Expanding on this a treat to target approach </w:t>
      </w:r>
      <w:r w:rsidR="00A001D9" w:rsidRPr="00E75F6C">
        <w:rPr>
          <w:rFonts w:ascii="Book Antiqua" w:hAnsi="Book Antiqua"/>
          <w:sz w:val="24"/>
          <w:szCs w:val="24"/>
        </w:rPr>
        <w:t xml:space="preserve">may be used, where </w:t>
      </w:r>
      <w:r w:rsidRPr="00E75F6C">
        <w:rPr>
          <w:rFonts w:ascii="Book Antiqua" w:hAnsi="Book Antiqua"/>
          <w:sz w:val="24"/>
          <w:szCs w:val="24"/>
        </w:rPr>
        <w:t xml:space="preserve">doses are intensified, or </w:t>
      </w:r>
      <w:r w:rsidR="00A001D9" w:rsidRPr="00E75F6C">
        <w:rPr>
          <w:rFonts w:ascii="Book Antiqua" w:hAnsi="Book Antiqua"/>
          <w:sz w:val="24"/>
          <w:szCs w:val="24"/>
        </w:rPr>
        <w:t>tailored</w:t>
      </w:r>
      <w:r w:rsidRPr="00E75F6C">
        <w:rPr>
          <w:rFonts w:ascii="Book Antiqua" w:hAnsi="Book Antiqua"/>
          <w:sz w:val="24"/>
          <w:szCs w:val="24"/>
        </w:rPr>
        <w:t xml:space="preserve"> to the individual based on the measurement of anti-TNF</w:t>
      </w:r>
      <w:r w:rsidR="0055454E">
        <w:rPr>
          <w:rFonts w:ascii="Book Antiqua" w:hAnsi="Book Antiqua"/>
          <w:sz w:val="24"/>
          <w:szCs w:val="24"/>
        </w:rPr>
        <w:sym w:font="Symbol" w:char="F061"/>
      </w:r>
      <w:r w:rsidRPr="00E75F6C">
        <w:rPr>
          <w:rFonts w:ascii="Book Antiqua" w:hAnsi="Book Antiqua"/>
          <w:sz w:val="24"/>
          <w:szCs w:val="24"/>
        </w:rPr>
        <w:t xml:space="preserve"> trough and antibody levels. </w:t>
      </w:r>
      <w:r w:rsidR="00A001D9" w:rsidRPr="00E75F6C">
        <w:rPr>
          <w:rFonts w:ascii="Book Antiqua" w:hAnsi="Book Antiqua"/>
          <w:sz w:val="24"/>
          <w:szCs w:val="24"/>
        </w:rPr>
        <w:t xml:space="preserve">This review looks at the history, evolution, and clinical impact that </w:t>
      </w:r>
      <w:proofErr w:type="spellStart"/>
      <w:r w:rsidR="00A001D9" w:rsidRPr="00E75F6C">
        <w:rPr>
          <w:rFonts w:ascii="Book Antiqua" w:hAnsi="Book Antiqua"/>
          <w:sz w:val="24"/>
          <w:szCs w:val="24"/>
        </w:rPr>
        <w:t>immunomonitoring</w:t>
      </w:r>
      <w:proofErr w:type="spellEnd"/>
      <w:r w:rsidR="00A001D9" w:rsidRPr="00E75F6C">
        <w:rPr>
          <w:rFonts w:ascii="Book Antiqua" w:hAnsi="Book Antiqua"/>
          <w:sz w:val="24"/>
          <w:szCs w:val="24"/>
        </w:rPr>
        <w:t xml:space="preserve"> is having in the treatment of </w:t>
      </w:r>
      <w:r w:rsidR="00523E72" w:rsidRPr="00523E72">
        <w:rPr>
          <w:rFonts w:ascii="Book Antiqua" w:hAnsi="Book Antiqua"/>
          <w:sz w:val="24"/>
          <w:szCs w:val="24"/>
        </w:rPr>
        <w:t>inflammatory bowel disease</w:t>
      </w:r>
      <w:r w:rsidR="00A001D9" w:rsidRPr="00E75F6C">
        <w:rPr>
          <w:rFonts w:ascii="Book Antiqua" w:hAnsi="Book Antiqua"/>
          <w:sz w:val="24"/>
          <w:szCs w:val="24"/>
        </w:rPr>
        <w:t xml:space="preserve">. It will focus on the role of </w:t>
      </w:r>
      <w:proofErr w:type="spellStart"/>
      <w:r w:rsidR="00A001D9" w:rsidRPr="00E75F6C">
        <w:rPr>
          <w:rFonts w:ascii="Book Antiqua" w:hAnsi="Book Antiqua"/>
          <w:sz w:val="24"/>
          <w:szCs w:val="24"/>
        </w:rPr>
        <w:t>immunomonitoring</w:t>
      </w:r>
      <w:proofErr w:type="spellEnd"/>
      <w:r w:rsidR="00A001D9" w:rsidRPr="00E75F6C">
        <w:rPr>
          <w:rFonts w:ascii="Book Antiqua" w:hAnsi="Book Antiqua"/>
          <w:sz w:val="24"/>
          <w:szCs w:val="24"/>
        </w:rPr>
        <w:t xml:space="preserve"> in helping to achieve long lasting deep remission and mucosal healing. It will explore the different options in terms of best measuring trough and antibody levels, explore possible advantages of </w:t>
      </w:r>
      <w:proofErr w:type="spellStart"/>
      <w:r w:rsidR="00A001D9" w:rsidRPr="00E75F6C">
        <w:rPr>
          <w:rFonts w:ascii="Book Antiqua" w:hAnsi="Book Antiqua"/>
          <w:sz w:val="24"/>
          <w:szCs w:val="24"/>
        </w:rPr>
        <w:t>immunomonitoring</w:t>
      </w:r>
      <w:proofErr w:type="spellEnd"/>
      <w:r w:rsidR="00A001D9" w:rsidRPr="00E75F6C">
        <w:rPr>
          <w:rFonts w:ascii="Book Antiqua" w:hAnsi="Book Antiqua"/>
          <w:sz w:val="24"/>
          <w:szCs w:val="24"/>
        </w:rPr>
        <w:t xml:space="preserve">, and discuss its role in best optimising response, at induction, during the maintenance phase of treatment, as well as a role in withdrawing or switching therapy. </w:t>
      </w:r>
    </w:p>
    <w:p w14:paraId="6C1F829E" w14:textId="77777777" w:rsidR="00523E72" w:rsidRPr="00E75F6C" w:rsidRDefault="00523E72" w:rsidP="00AD1560">
      <w:pPr>
        <w:spacing w:after="0" w:line="360" w:lineRule="auto"/>
        <w:jc w:val="both"/>
        <w:rPr>
          <w:rFonts w:ascii="Book Antiqua" w:hAnsi="Book Antiqua"/>
          <w:sz w:val="24"/>
          <w:szCs w:val="24"/>
          <w:lang w:eastAsia="zh-CN"/>
        </w:rPr>
      </w:pPr>
    </w:p>
    <w:p w14:paraId="0FE2C6DC" w14:textId="3162675D" w:rsidR="00765E00" w:rsidRDefault="00A001D9" w:rsidP="00AD1560">
      <w:pPr>
        <w:spacing w:after="0" w:line="360" w:lineRule="auto"/>
        <w:jc w:val="both"/>
        <w:rPr>
          <w:rFonts w:ascii="Book Antiqua" w:hAnsi="Book Antiqua"/>
          <w:sz w:val="24"/>
          <w:szCs w:val="24"/>
          <w:lang w:eastAsia="zh-CN"/>
        </w:rPr>
      </w:pPr>
      <w:r w:rsidRPr="00E75F6C">
        <w:rPr>
          <w:rFonts w:ascii="Book Antiqua" w:hAnsi="Book Antiqua"/>
          <w:b/>
          <w:sz w:val="24"/>
          <w:szCs w:val="24"/>
        </w:rPr>
        <w:t xml:space="preserve">Key </w:t>
      </w:r>
      <w:r w:rsidR="00523E72" w:rsidRPr="00E75F6C">
        <w:rPr>
          <w:rFonts w:ascii="Book Antiqua" w:hAnsi="Book Antiqua"/>
          <w:b/>
          <w:sz w:val="24"/>
          <w:szCs w:val="24"/>
        </w:rPr>
        <w:t>words</w:t>
      </w:r>
      <w:r w:rsidRPr="00E75F6C">
        <w:rPr>
          <w:rFonts w:ascii="Book Antiqua" w:hAnsi="Book Antiqua"/>
          <w:b/>
          <w:sz w:val="24"/>
          <w:szCs w:val="24"/>
        </w:rPr>
        <w:t xml:space="preserve">: </w:t>
      </w:r>
      <w:r w:rsidRPr="00E75F6C">
        <w:rPr>
          <w:rFonts w:ascii="Book Antiqua" w:hAnsi="Book Antiqua"/>
          <w:sz w:val="24"/>
          <w:szCs w:val="24"/>
        </w:rPr>
        <w:t xml:space="preserve">Inflammatory bowel disease; </w:t>
      </w:r>
      <w:proofErr w:type="spellStart"/>
      <w:r w:rsidRPr="00E75F6C">
        <w:rPr>
          <w:rFonts w:ascii="Book Antiqua" w:hAnsi="Book Antiqua"/>
          <w:sz w:val="24"/>
          <w:szCs w:val="24"/>
        </w:rPr>
        <w:t>Crohn’s</w:t>
      </w:r>
      <w:proofErr w:type="spellEnd"/>
      <w:r w:rsidRPr="00E75F6C">
        <w:rPr>
          <w:rFonts w:ascii="Book Antiqua" w:hAnsi="Book Antiqua"/>
          <w:sz w:val="24"/>
          <w:szCs w:val="24"/>
        </w:rPr>
        <w:t xml:space="preserve"> disease; Ulcerative colitis; loss of response; immunogenicity; </w:t>
      </w:r>
      <w:proofErr w:type="spellStart"/>
      <w:r w:rsidRPr="00E75F6C">
        <w:rPr>
          <w:rFonts w:ascii="Book Antiqua" w:hAnsi="Book Antiqua"/>
          <w:sz w:val="24"/>
          <w:szCs w:val="24"/>
        </w:rPr>
        <w:t>immunomonitoring</w:t>
      </w:r>
      <w:proofErr w:type="spellEnd"/>
      <w:r w:rsidRPr="00E75F6C">
        <w:rPr>
          <w:rFonts w:ascii="Book Antiqua" w:hAnsi="Book Antiqua"/>
          <w:sz w:val="24"/>
          <w:szCs w:val="24"/>
        </w:rPr>
        <w:t>; Anti-T</w:t>
      </w:r>
      <w:r w:rsidR="00523E72">
        <w:rPr>
          <w:rFonts w:ascii="Book Antiqua" w:hAnsi="Book Antiqua"/>
          <w:sz w:val="24"/>
          <w:szCs w:val="24"/>
        </w:rPr>
        <w:t>NF</w:t>
      </w:r>
      <w:r w:rsidR="0055454E">
        <w:rPr>
          <w:rFonts w:ascii="Book Antiqua" w:hAnsi="Book Antiqua"/>
          <w:sz w:val="24"/>
          <w:szCs w:val="24"/>
        </w:rPr>
        <w:sym w:font="Symbol" w:char="F061"/>
      </w:r>
      <w:r w:rsidR="00523E72">
        <w:rPr>
          <w:rFonts w:ascii="Book Antiqua" w:hAnsi="Book Antiqua"/>
          <w:sz w:val="24"/>
          <w:szCs w:val="24"/>
        </w:rPr>
        <w:t xml:space="preserve"> trough and antibody levels</w:t>
      </w:r>
    </w:p>
    <w:p w14:paraId="09F3A949" w14:textId="77777777" w:rsidR="00523E72" w:rsidRPr="00523E72" w:rsidRDefault="00523E72" w:rsidP="00AD1560">
      <w:pPr>
        <w:spacing w:after="0" w:line="360" w:lineRule="auto"/>
        <w:jc w:val="both"/>
        <w:rPr>
          <w:rFonts w:ascii="Book Antiqua" w:hAnsi="Book Antiqua"/>
          <w:sz w:val="24"/>
          <w:szCs w:val="24"/>
          <w:lang w:eastAsia="zh-CN"/>
        </w:rPr>
      </w:pPr>
    </w:p>
    <w:p w14:paraId="63B2144F" w14:textId="77777777" w:rsidR="00FF751A" w:rsidRDefault="00FF751A" w:rsidP="00AD1560">
      <w:pPr>
        <w:spacing w:after="0" w:line="360" w:lineRule="auto"/>
        <w:jc w:val="both"/>
        <w:rPr>
          <w:rFonts w:ascii="Book Antiqua" w:hAnsi="Book Antiqua" w:cs="Arial"/>
          <w:sz w:val="24"/>
          <w:lang w:eastAsia="zh-CN"/>
        </w:rPr>
      </w:pPr>
      <w:bookmarkStart w:id="21" w:name="OLE_LINK55"/>
      <w:bookmarkStart w:id="22" w:name="OLE_LINK56"/>
      <w:bookmarkStart w:id="23" w:name="OLE_LINK105"/>
      <w:bookmarkStart w:id="24" w:name="OLE_LINK116"/>
      <w:bookmarkStart w:id="25" w:name="OLE_LINK89"/>
      <w:r w:rsidRPr="0071780A">
        <w:rPr>
          <w:rFonts w:ascii="Book Antiqua" w:hAnsi="Book Antiqua"/>
          <w:b/>
          <w:sz w:val="24"/>
        </w:rPr>
        <w:t>©</w:t>
      </w:r>
      <w:bookmarkEnd w:id="21"/>
      <w:bookmarkEnd w:id="22"/>
      <w:r w:rsidRPr="0071780A">
        <w:rPr>
          <w:rFonts w:ascii="Book Antiqua" w:hAnsi="Book Antiqua" w:hint="eastAsia"/>
          <w:b/>
          <w:sz w:val="24"/>
        </w:rPr>
        <w:t xml:space="preserve"> </w:t>
      </w:r>
      <w:r w:rsidRPr="0071780A">
        <w:rPr>
          <w:rFonts w:ascii="Book Antiqua" w:hAnsi="Book Antiqua" w:cs="Arial"/>
          <w:b/>
          <w:sz w:val="24"/>
        </w:rPr>
        <w:t>The Author(s) 201</w:t>
      </w:r>
      <w:r>
        <w:rPr>
          <w:rFonts w:ascii="Book Antiqua" w:hAnsi="Book Antiqua" w:cs="Arial" w:hint="eastAsia"/>
          <w:b/>
          <w:sz w:val="24"/>
        </w:rPr>
        <w:t>6</w:t>
      </w:r>
      <w:r w:rsidRPr="0071780A">
        <w:rPr>
          <w:rFonts w:ascii="Book Antiqua" w:hAnsi="Book Antiqua" w:cs="Arial"/>
          <w:b/>
          <w:sz w:val="24"/>
        </w:rPr>
        <w:t xml:space="preserve">. </w:t>
      </w:r>
      <w:r w:rsidRPr="00B55A90">
        <w:rPr>
          <w:rFonts w:ascii="Book Antiqua" w:hAnsi="Book Antiqua" w:cs="Arial"/>
          <w:sz w:val="24"/>
        </w:rPr>
        <w:t xml:space="preserve">Published by </w:t>
      </w:r>
      <w:proofErr w:type="spellStart"/>
      <w:r w:rsidRPr="00B55A90">
        <w:rPr>
          <w:rFonts w:ascii="Book Antiqua" w:hAnsi="Book Antiqua" w:cs="Arial"/>
          <w:sz w:val="24"/>
        </w:rPr>
        <w:t>Baishideng</w:t>
      </w:r>
      <w:proofErr w:type="spellEnd"/>
      <w:r w:rsidRPr="00B55A90">
        <w:rPr>
          <w:rFonts w:ascii="Book Antiqua" w:hAnsi="Book Antiqua" w:cs="Arial"/>
          <w:sz w:val="24"/>
        </w:rPr>
        <w:t xml:space="preserve"> Publishing Group Inc. All rights reserved.</w:t>
      </w:r>
    </w:p>
    <w:p w14:paraId="41C1FCC8" w14:textId="77777777" w:rsidR="00523E72" w:rsidRDefault="00523E72" w:rsidP="00AD1560">
      <w:pPr>
        <w:spacing w:after="0" w:line="360" w:lineRule="auto"/>
        <w:jc w:val="both"/>
        <w:rPr>
          <w:rFonts w:ascii="Book Antiqua" w:hAnsi="Book Antiqua" w:cs="Arial"/>
          <w:sz w:val="24"/>
          <w:lang w:eastAsia="zh-CN"/>
        </w:rPr>
      </w:pPr>
    </w:p>
    <w:bookmarkEnd w:id="23"/>
    <w:bookmarkEnd w:id="24"/>
    <w:bookmarkEnd w:id="25"/>
    <w:p w14:paraId="4A0B5594" w14:textId="77777777" w:rsidR="00A001D9" w:rsidRDefault="00A001D9" w:rsidP="00AD1560">
      <w:pPr>
        <w:spacing w:after="0" w:line="360" w:lineRule="auto"/>
        <w:jc w:val="both"/>
        <w:rPr>
          <w:rFonts w:ascii="Book Antiqua" w:hAnsi="Book Antiqua"/>
          <w:sz w:val="24"/>
          <w:szCs w:val="24"/>
          <w:lang w:eastAsia="zh-CN"/>
        </w:rPr>
      </w:pPr>
      <w:r w:rsidRPr="00E75F6C">
        <w:rPr>
          <w:rFonts w:ascii="Book Antiqua" w:hAnsi="Book Antiqua"/>
          <w:b/>
          <w:sz w:val="24"/>
          <w:szCs w:val="24"/>
        </w:rPr>
        <w:t xml:space="preserve">Core </w:t>
      </w:r>
      <w:r w:rsidR="00523E72">
        <w:rPr>
          <w:rFonts w:ascii="Book Antiqua" w:hAnsi="Book Antiqua"/>
          <w:b/>
          <w:sz w:val="24"/>
          <w:szCs w:val="24"/>
        </w:rPr>
        <w:t>tip</w:t>
      </w:r>
      <w:r w:rsidRPr="00E75F6C">
        <w:rPr>
          <w:rFonts w:ascii="Book Antiqua" w:hAnsi="Book Antiqua"/>
          <w:b/>
          <w:sz w:val="24"/>
          <w:szCs w:val="24"/>
        </w:rPr>
        <w:t xml:space="preserve">: </w:t>
      </w:r>
      <w:proofErr w:type="spellStart"/>
      <w:r w:rsidRPr="00E75F6C">
        <w:rPr>
          <w:rFonts w:ascii="Book Antiqua" w:hAnsi="Book Antiqua"/>
          <w:sz w:val="24"/>
          <w:szCs w:val="24"/>
        </w:rPr>
        <w:t>Immunomonitoring</w:t>
      </w:r>
      <w:proofErr w:type="spellEnd"/>
      <w:r w:rsidRPr="00E75F6C">
        <w:rPr>
          <w:rFonts w:ascii="Book Antiqua" w:hAnsi="Book Antiqua"/>
          <w:sz w:val="24"/>
          <w:szCs w:val="24"/>
        </w:rPr>
        <w:t xml:space="preserve"> is being increasingly used to optimise response rates in inflammatory bowel disease. The aim of this review article is to explore</w:t>
      </w:r>
      <w:r w:rsidR="005954B3" w:rsidRPr="00E75F6C">
        <w:rPr>
          <w:rFonts w:ascii="Book Antiqua" w:hAnsi="Book Antiqua"/>
          <w:sz w:val="24"/>
          <w:szCs w:val="24"/>
        </w:rPr>
        <w:t xml:space="preserve"> the available literature, and to understand the rationale for using </w:t>
      </w:r>
      <w:proofErr w:type="spellStart"/>
      <w:r w:rsidR="005954B3" w:rsidRPr="00E75F6C">
        <w:rPr>
          <w:rFonts w:ascii="Book Antiqua" w:hAnsi="Book Antiqua"/>
          <w:sz w:val="24"/>
          <w:szCs w:val="24"/>
        </w:rPr>
        <w:t>immunomonitoring</w:t>
      </w:r>
      <w:proofErr w:type="spellEnd"/>
      <w:r w:rsidR="005954B3" w:rsidRPr="00E75F6C">
        <w:rPr>
          <w:rFonts w:ascii="Book Antiqua" w:hAnsi="Book Antiqua"/>
          <w:sz w:val="24"/>
          <w:szCs w:val="24"/>
        </w:rPr>
        <w:t xml:space="preserve"> and to see how this approach can be best incorporated into </w:t>
      </w:r>
      <w:r w:rsidR="00523E72" w:rsidRPr="00523E72">
        <w:rPr>
          <w:rFonts w:ascii="Book Antiqua" w:hAnsi="Book Antiqua"/>
          <w:sz w:val="24"/>
          <w:szCs w:val="24"/>
        </w:rPr>
        <w:t xml:space="preserve">inflammatory bowel disease </w:t>
      </w:r>
      <w:r w:rsidR="005954B3" w:rsidRPr="00E75F6C">
        <w:rPr>
          <w:rFonts w:ascii="Book Antiqua" w:hAnsi="Book Antiqua"/>
          <w:sz w:val="24"/>
          <w:szCs w:val="24"/>
        </w:rPr>
        <w:t xml:space="preserve">treatment algorithms.  The focus of this review article is the role for </w:t>
      </w:r>
      <w:proofErr w:type="spellStart"/>
      <w:r w:rsidR="005954B3" w:rsidRPr="00E75F6C">
        <w:rPr>
          <w:rFonts w:ascii="Book Antiqua" w:hAnsi="Book Antiqua"/>
          <w:sz w:val="24"/>
          <w:szCs w:val="24"/>
        </w:rPr>
        <w:lastRenderedPageBreak/>
        <w:t>immunomonitoring</w:t>
      </w:r>
      <w:proofErr w:type="spellEnd"/>
      <w:r w:rsidR="005954B3" w:rsidRPr="00E75F6C">
        <w:rPr>
          <w:rFonts w:ascii="Book Antiqua" w:hAnsi="Book Antiqua"/>
          <w:sz w:val="24"/>
          <w:szCs w:val="24"/>
        </w:rPr>
        <w:t xml:space="preserve"> at the key points of induction, and at loss of response. It will emphasise the possible </w:t>
      </w:r>
      <w:r w:rsidR="007652BB" w:rsidRPr="00E75F6C">
        <w:rPr>
          <w:rFonts w:ascii="Book Antiqua" w:hAnsi="Book Antiqua"/>
          <w:sz w:val="24"/>
          <w:szCs w:val="24"/>
        </w:rPr>
        <w:t xml:space="preserve">advantages of </w:t>
      </w:r>
      <w:proofErr w:type="spellStart"/>
      <w:r w:rsidR="007652BB" w:rsidRPr="00E75F6C">
        <w:rPr>
          <w:rFonts w:ascii="Book Antiqua" w:hAnsi="Book Antiqua"/>
          <w:sz w:val="24"/>
          <w:szCs w:val="24"/>
        </w:rPr>
        <w:t>immunomonitoring</w:t>
      </w:r>
      <w:proofErr w:type="spellEnd"/>
      <w:r w:rsidR="005954B3" w:rsidRPr="00E75F6C">
        <w:rPr>
          <w:rFonts w:ascii="Book Antiqua" w:hAnsi="Book Antiqua"/>
          <w:sz w:val="24"/>
          <w:szCs w:val="24"/>
        </w:rPr>
        <w:t xml:space="preserve">. </w:t>
      </w:r>
      <w:r w:rsidR="007652BB" w:rsidRPr="00E75F6C">
        <w:rPr>
          <w:rFonts w:ascii="Book Antiqua" w:hAnsi="Book Antiqua"/>
          <w:sz w:val="24"/>
          <w:szCs w:val="24"/>
        </w:rPr>
        <w:t xml:space="preserve">It will define optimal trough levels, </w:t>
      </w:r>
      <w:r w:rsidR="00DF4DB3">
        <w:rPr>
          <w:rFonts w:ascii="Book Antiqua" w:hAnsi="Book Antiqua"/>
          <w:sz w:val="24"/>
          <w:szCs w:val="24"/>
        </w:rPr>
        <w:t xml:space="preserve">plus </w:t>
      </w:r>
      <w:r w:rsidR="007652BB" w:rsidRPr="00E75F6C">
        <w:rPr>
          <w:rFonts w:ascii="Book Antiqua" w:hAnsi="Book Antiqua"/>
          <w:sz w:val="24"/>
          <w:szCs w:val="24"/>
        </w:rPr>
        <w:t xml:space="preserve">targets required to achieve mucosal healing, and help alter the natural history of the disease. </w:t>
      </w:r>
    </w:p>
    <w:p w14:paraId="2FDEEF33" w14:textId="77777777" w:rsidR="00523E72" w:rsidRPr="00E75F6C" w:rsidRDefault="00523E72" w:rsidP="00AD1560">
      <w:pPr>
        <w:spacing w:after="0" w:line="360" w:lineRule="auto"/>
        <w:jc w:val="both"/>
        <w:rPr>
          <w:rFonts w:ascii="Book Antiqua" w:hAnsi="Book Antiqua"/>
          <w:sz w:val="24"/>
          <w:szCs w:val="24"/>
          <w:lang w:eastAsia="zh-CN"/>
        </w:rPr>
      </w:pPr>
    </w:p>
    <w:p w14:paraId="168B489A" w14:textId="77777777" w:rsidR="006F1359" w:rsidRPr="00E75F6C" w:rsidRDefault="006F1359" w:rsidP="00AD1560">
      <w:pPr>
        <w:spacing w:after="0" w:line="360" w:lineRule="auto"/>
        <w:jc w:val="both"/>
        <w:rPr>
          <w:rFonts w:ascii="Book Antiqua" w:hAnsi="Book Antiqua"/>
          <w:sz w:val="24"/>
          <w:szCs w:val="24"/>
        </w:rPr>
      </w:pPr>
      <w:proofErr w:type="spellStart"/>
      <w:r w:rsidRPr="00E75F6C">
        <w:rPr>
          <w:rFonts w:ascii="Book Antiqua" w:hAnsi="Book Antiqua"/>
          <w:sz w:val="24"/>
          <w:szCs w:val="24"/>
        </w:rPr>
        <w:t>Tighe</w:t>
      </w:r>
      <w:proofErr w:type="spellEnd"/>
      <w:r w:rsidRPr="00E75F6C">
        <w:rPr>
          <w:rFonts w:ascii="Book Antiqua" w:hAnsi="Book Antiqua"/>
          <w:sz w:val="24"/>
          <w:szCs w:val="24"/>
        </w:rPr>
        <w:t xml:space="preserve"> D, McNamara D. Clinical impact of </w:t>
      </w:r>
      <w:proofErr w:type="spellStart"/>
      <w:r w:rsidRPr="00E75F6C">
        <w:rPr>
          <w:rFonts w:ascii="Book Antiqua" w:hAnsi="Book Antiqua"/>
          <w:sz w:val="24"/>
          <w:szCs w:val="24"/>
        </w:rPr>
        <w:t>immunomonitoring</w:t>
      </w:r>
      <w:proofErr w:type="spellEnd"/>
      <w:r w:rsidRPr="00E75F6C">
        <w:rPr>
          <w:rFonts w:ascii="Book Antiqua" w:hAnsi="Book Antiqua"/>
          <w:sz w:val="24"/>
          <w:szCs w:val="24"/>
        </w:rPr>
        <w:t xml:space="preserve"> </w:t>
      </w:r>
      <w:r w:rsidR="00523E72" w:rsidRPr="00E75F6C">
        <w:rPr>
          <w:rFonts w:ascii="Book Antiqua" w:hAnsi="Book Antiqua"/>
          <w:sz w:val="24"/>
          <w:szCs w:val="24"/>
        </w:rPr>
        <w:t>in the treatment of inflammatory bowel diseas</w:t>
      </w:r>
      <w:r w:rsidRPr="00E75F6C">
        <w:rPr>
          <w:rFonts w:ascii="Book Antiqua" w:hAnsi="Book Antiqua"/>
          <w:sz w:val="24"/>
          <w:szCs w:val="24"/>
        </w:rPr>
        <w:t>e</w:t>
      </w:r>
      <w:r w:rsidR="00AB1D5C">
        <w:rPr>
          <w:rFonts w:ascii="Book Antiqua" w:hAnsi="Book Antiqua"/>
          <w:sz w:val="24"/>
          <w:szCs w:val="24"/>
        </w:rPr>
        <w:t xml:space="preserve">. </w:t>
      </w:r>
      <w:r w:rsidR="00AB1D5C" w:rsidRPr="00AB1D5C">
        <w:rPr>
          <w:rFonts w:ascii="Book Antiqua" w:hAnsi="Book Antiqua"/>
          <w:i/>
          <w:sz w:val="24"/>
          <w:szCs w:val="24"/>
        </w:rPr>
        <w:t xml:space="preserve">World J </w:t>
      </w:r>
      <w:proofErr w:type="spellStart"/>
      <w:r w:rsidR="00AB1D5C" w:rsidRPr="00AB1D5C">
        <w:rPr>
          <w:rFonts w:ascii="Book Antiqua" w:hAnsi="Book Antiqua"/>
          <w:i/>
          <w:sz w:val="24"/>
          <w:szCs w:val="24"/>
        </w:rPr>
        <w:t>Gastroenterol</w:t>
      </w:r>
      <w:proofErr w:type="spellEnd"/>
      <w:r w:rsidR="00AB1D5C" w:rsidRPr="00AB1D5C">
        <w:rPr>
          <w:rFonts w:ascii="Book Antiqua" w:hAnsi="Book Antiqua"/>
          <w:i/>
          <w:sz w:val="24"/>
          <w:szCs w:val="24"/>
        </w:rPr>
        <w:t xml:space="preserve"> </w:t>
      </w:r>
      <w:r w:rsidR="00AB1D5C" w:rsidRPr="00523E72">
        <w:rPr>
          <w:rFonts w:ascii="Book Antiqua" w:hAnsi="Book Antiqua"/>
          <w:sz w:val="24"/>
          <w:szCs w:val="24"/>
        </w:rPr>
        <w:t>2016</w:t>
      </w:r>
      <w:r w:rsidR="00AB1D5C" w:rsidRPr="00AB1D5C">
        <w:rPr>
          <w:rFonts w:ascii="Book Antiqua" w:hAnsi="Book Antiqua"/>
          <w:sz w:val="24"/>
          <w:szCs w:val="24"/>
        </w:rPr>
        <w:t>; In press</w:t>
      </w:r>
    </w:p>
    <w:p w14:paraId="786D03F3" w14:textId="77777777" w:rsidR="006F1359" w:rsidRPr="00E75F6C" w:rsidRDefault="006F1359" w:rsidP="00AD1560">
      <w:pPr>
        <w:spacing w:after="0" w:line="360" w:lineRule="auto"/>
        <w:jc w:val="both"/>
        <w:rPr>
          <w:rFonts w:ascii="Book Antiqua" w:hAnsi="Book Antiqua"/>
          <w:sz w:val="24"/>
          <w:szCs w:val="24"/>
        </w:rPr>
      </w:pPr>
    </w:p>
    <w:p w14:paraId="093D7079" w14:textId="77777777" w:rsidR="00FF751A" w:rsidRDefault="00FF751A" w:rsidP="00AD1560">
      <w:pPr>
        <w:spacing w:after="0"/>
        <w:jc w:val="both"/>
        <w:rPr>
          <w:rFonts w:ascii="Book Antiqua" w:hAnsi="Book Antiqua"/>
          <w:b/>
          <w:sz w:val="24"/>
          <w:szCs w:val="24"/>
        </w:rPr>
      </w:pPr>
      <w:r>
        <w:rPr>
          <w:rFonts w:ascii="Book Antiqua" w:hAnsi="Book Antiqua"/>
          <w:b/>
          <w:sz w:val="24"/>
          <w:szCs w:val="24"/>
        </w:rPr>
        <w:br w:type="page"/>
      </w:r>
    </w:p>
    <w:p w14:paraId="15109AB7" w14:textId="77777777" w:rsidR="00104B7A" w:rsidRPr="00E75F6C" w:rsidRDefault="00523E72" w:rsidP="00AD1560">
      <w:pPr>
        <w:spacing w:after="0" w:line="360" w:lineRule="auto"/>
        <w:jc w:val="both"/>
        <w:rPr>
          <w:rFonts w:ascii="Book Antiqua" w:hAnsi="Book Antiqua"/>
          <w:b/>
          <w:sz w:val="24"/>
          <w:szCs w:val="24"/>
        </w:rPr>
      </w:pPr>
      <w:r w:rsidRPr="00E75F6C">
        <w:rPr>
          <w:rFonts w:ascii="Book Antiqua" w:hAnsi="Book Antiqua"/>
          <w:b/>
          <w:sz w:val="24"/>
          <w:szCs w:val="24"/>
        </w:rPr>
        <w:lastRenderedPageBreak/>
        <w:t>INTRODUCTION</w:t>
      </w:r>
    </w:p>
    <w:p w14:paraId="390C2045" w14:textId="38BBF3F0" w:rsidR="001C3147" w:rsidRPr="00E75F6C" w:rsidRDefault="005B4584" w:rsidP="00AD1560">
      <w:pPr>
        <w:spacing w:after="0" w:line="360" w:lineRule="auto"/>
        <w:jc w:val="both"/>
        <w:rPr>
          <w:rFonts w:ascii="Book Antiqua" w:hAnsi="Book Antiqua"/>
          <w:sz w:val="24"/>
          <w:szCs w:val="24"/>
        </w:rPr>
      </w:pPr>
      <w:r w:rsidRPr="00E75F6C">
        <w:rPr>
          <w:rFonts w:ascii="Book Antiqua" w:hAnsi="Book Antiqua"/>
          <w:sz w:val="24"/>
          <w:szCs w:val="24"/>
        </w:rPr>
        <w:t xml:space="preserve">Response and remission rates for inflammatory bowel disease (IBD) have improved considerably with greater utilisation of </w:t>
      </w:r>
      <w:proofErr w:type="spellStart"/>
      <w:r w:rsidRPr="00E75F6C">
        <w:rPr>
          <w:rFonts w:ascii="Book Antiqua" w:hAnsi="Book Antiqua"/>
          <w:sz w:val="24"/>
          <w:szCs w:val="24"/>
        </w:rPr>
        <w:t>immunomodulators</w:t>
      </w:r>
      <w:proofErr w:type="spellEnd"/>
      <w:r w:rsidRPr="00E75F6C">
        <w:rPr>
          <w:rFonts w:ascii="Book Antiqua" w:hAnsi="Book Antiqua"/>
          <w:sz w:val="24"/>
          <w:szCs w:val="24"/>
        </w:rPr>
        <w:t xml:space="preserve">, like </w:t>
      </w:r>
      <w:proofErr w:type="spellStart"/>
      <w:r w:rsidRPr="00E75F6C">
        <w:rPr>
          <w:rFonts w:ascii="Book Antiqua" w:hAnsi="Book Antiqua"/>
          <w:sz w:val="24"/>
          <w:szCs w:val="24"/>
        </w:rPr>
        <w:t>azathiopurine</w:t>
      </w:r>
      <w:proofErr w:type="spellEnd"/>
      <w:r w:rsidRPr="00E75F6C">
        <w:rPr>
          <w:rFonts w:ascii="Book Antiqua" w:hAnsi="Book Antiqua"/>
          <w:sz w:val="24"/>
          <w:szCs w:val="24"/>
        </w:rPr>
        <w:t xml:space="preserve"> and earlier introduction of anti-TNF</w:t>
      </w:r>
      <w:r w:rsidR="0055454E">
        <w:rPr>
          <w:rFonts w:ascii="Book Antiqua" w:hAnsi="Book Antiqua"/>
          <w:sz w:val="24"/>
          <w:szCs w:val="24"/>
        </w:rPr>
        <w:sym w:font="Symbol" w:char="F061"/>
      </w:r>
      <w:r w:rsidRPr="00E75F6C">
        <w:rPr>
          <w:rFonts w:ascii="Book Antiqua" w:hAnsi="Book Antiqua"/>
          <w:sz w:val="24"/>
          <w:szCs w:val="24"/>
        </w:rPr>
        <w:t xml:space="preserve"> therapies. </w:t>
      </w:r>
      <w:r w:rsidR="001C3147" w:rsidRPr="00E75F6C">
        <w:rPr>
          <w:rFonts w:ascii="Book Antiqua" w:hAnsi="Book Antiqua"/>
          <w:sz w:val="24"/>
          <w:szCs w:val="24"/>
        </w:rPr>
        <w:t>T</w:t>
      </w:r>
      <w:r w:rsidR="00CF0EC7" w:rsidRPr="00E75F6C">
        <w:rPr>
          <w:rFonts w:ascii="Book Antiqua" w:hAnsi="Book Antiqua"/>
          <w:sz w:val="24"/>
          <w:szCs w:val="24"/>
        </w:rPr>
        <w:t xml:space="preserve">issue </w:t>
      </w:r>
      <w:r w:rsidR="001C3147" w:rsidRPr="00E75F6C">
        <w:rPr>
          <w:rFonts w:ascii="Book Antiqua" w:hAnsi="Book Antiqua"/>
          <w:sz w:val="24"/>
          <w:szCs w:val="24"/>
        </w:rPr>
        <w:t>N</w:t>
      </w:r>
      <w:r w:rsidR="00CF0EC7" w:rsidRPr="00E75F6C">
        <w:rPr>
          <w:rFonts w:ascii="Book Antiqua" w:hAnsi="Book Antiqua"/>
          <w:sz w:val="24"/>
          <w:szCs w:val="24"/>
        </w:rPr>
        <w:t xml:space="preserve">ecrosis </w:t>
      </w:r>
      <w:r w:rsidR="001C3147" w:rsidRPr="00E75F6C">
        <w:rPr>
          <w:rFonts w:ascii="Book Antiqua" w:hAnsi="Book Antiqua"/>
          <w:sz w:val="24"/>
          <w:szCs w:val="24"/>
        </w:rPr>
        <w:t>Fa</w:t>
      </w:r>
      <w:r w:rsidR="00CF0EC7" w:rsidRPr="00E75F6C">
        <w:rPr>
          <w:rFonts w:ascii="Book Antiqua" w:hAnsi="Book Antiqua"/>
          <w:sz w:val="24"/>
          <w:szCs w:val="24"/>
        </w:rPr>
        <w:t>ctor-alpha (TNF</w:t>
      </w:r>
      <w:r w:rsidR="0055454E">
        <w:rPr>
          <w:rFonts w:ascii="Book Antiqua" w:hAnsi="Book Antiqua"/>
          <w:sz w:val="24"/>
          <w:szCs w:val="24"/>
        </w:rPr>
        <w:sym w:font="Symbol" w:char="F061"/>
      </w:r>
      <w:r w:rsidR="00CF0EC7" w:rsidRPr="00E75F6C">
        <w:rPr>
          <w:rFonts w:ascii="Book Antiqua" w:hAnsi="Book Antiqua"/>
          <w:sz w:val="24"/>
          <w:szCs w:val="24"/>
        </w:rPr>
        <w:t>)</w:t>
      </w:r>
      <w:r w:rsidR="001C3147" w:rsidRPr="00E75F6C">
        <w:rPr>
          <w:rFonts w:ascii="Book Antiqua" w:hAnsi="Book Antiqua"/>
          <w:sz w:val="24"/>
          <w:szCs w:val="24"/>
        </w:rPr>
        <w:t xml:space="preserve"> is a major driver of the inflammatory cascade and a key molecule for targeting in managing </w:t>
      </w:r>
      <w:proofErr w:type="gramStart"/>
      <w:r w:rsidR="001C3147" w:rsidRPr="00E75F6C">
        <w:rPr>
          <w:rFonts w:ascii="Book Antiqua" w:hAnsi="Book Antiqua"/>
          <w:sz w:val="24"/>
          <w:szCs w:val="24"/>
        </w:rPr>
        <w:t>IBD</w:t>
      </w:r>
      <w:r w:rsidR="00FF751A" w:rsidRPr="00BA571D">
        <w:rPr>
          <w:rFonts w:ascii="Book Antiqua" w:hAnsi="Book Antiqua" w:hint="eastAsia"/>
          <w:sz w:val="24"/>
          <w:szCs w:val="24"/>
          <w:vertAlign w:val="superscript"/>
          <w:lang w:eastAsia="zh-CN"/>
        </w:rPr>
        <w:t>[</w:t>
      </w:r>
      <w:proofErr w:type="gramEnd"/>
      <w:r w:rsidR="00152AB8" w:rsidRPr="00BA571D">
        <w:rPr>
          <w:rFonts w:ascii="Book Antiqua" w:hAnsi="Book Antiqua"/>
          <w:sz w:val="24"/>
          <w:szCs w:val="24"/>
          <w:vertAlign w:val="superscript"/>
        </w:rPr>
        <w:t>1</w:t>
      </w:r>
      <w:r w:rsidR="00FF751A" w:rsidRPr="00FF751A">
        <w:rPr>
          <w:rFonts w:ascii="Book Antiqua" w:hAnsi="Book Antiqua" w:hint="eastAsia"/>
          <w:sz w:val="24"/>
          <w:szCs w:val="24"/>
          <w:vertAlign w:val="superscript"/>
          <w:lang w:eastAsia="zh-CN"/>
        </w:rPr>
        <w:t>]</w:t>
      </w:r>
      <w:r w:rsidR="000D02E3" w:rsidRPr="00E75F6C">
        <w:rPr>
          <w:rFonts w:ascii="Book Antiqua" w:hAnsi="Book Antiqua"/>
          <w:sz w:val="24"/>
          <w:szCs w:val="24"/>
        </w:rPr>
        <w:t xml:space="preserve">. </w:t>
      </w:r>
      <w:r w:rsidR="001C3147" w:rsidRPr="00E75F6C">
        <w:rPr>
          <w:rFonts w:ascii="Book Antiqua" w:hAnsi="Book Antiqua"/>
          <w:sz w:val="24"/>
          <w:szCs w:val="24"/>
        </w:rPr>
        <w:t>Anti-TNF</w:t>
      </w:r>
      <w:r w:rsidR="0055454E">
        <w:rPr>
          <w:rFonts w:ascii="Book Antiqua" w:hAnsi="Book Antiqua"/>
          <w:sz w:val="24"/>
          <w:szCs w:val="24"/>
        </w:rPr>
        <w:sym w:font="Symbol" w:char="F061"/>
      </w:r>
      <w:r w:rsidR="001C3147" w:rsidRPr="00E75F6C">
        <w:rPr>
          <w:rFonts w:ascii="Book Antiqua" w:hAnsi="Book Antiqua"/>
          <w:sz w:val="24"/>
          <w:szCs w:val="24"/>
        </w:rPr>
        <w:t xml:space="preserve"> therapies have proven efficacy in inducing and maintaining remission in both ulcerative colitis (UC) and </w:t>
      </w:r>
      <w:proofErr w:type="spellStart"/>
      <w:r w:rsidR="001C3147" w:rsidRPr="00E75F6C">
        <w:rPr>
          <w:rFonts w:ascii="Book Antiqua" w:hAnsi="Book Antiqua"/>
          <w:sz w:val="24"/>
          <w:szCs w:val="24"/>
        </w:rPr>
        <w:t>Crohn’s</w:t>
      </w:r>
      <w:proofErr w:type="spellEnd"/>
      <w:r w:rsidR="001C3147" w:rsidRPr="00E75F6C">
        <w:rPr>
          <w:rFonts w:ascii="Book Antiqua" w:hAnsi="Book Antiqua"/>
          <w:sz w:val="24"/>
          <w:szCs w:val="24"/>
        </w:rPr>
        <w:t xml:space="preserve"> disease (CD</w:t>
      </w:r>
      <w:proofErr w:type="gramStart"/>
      <w:r w:rsidR="001C3147" w:rsidRPr="00E75F6C">
        <w:rPr>
          <w:rFonts w:ascii="Book Antiqua" w:hAnsi="Book Antiqua"/>
          <w:sz w:val="24"/>
          <w:szCs w:val="24"/>
        </w:rPr>
        <w:t>)</w:t>
      </w:r>
      <w:r w:rsidR="00BA571D" w:rsidRPr="00BA571D">
        <w:rPr>
          <w:rFonts w:ascii="Book Antiqua" w:hAnsi="Book Antiqua" w:hint="eastAsia"/>
          <w:sz w:val="24"/>
          <w:szCs w:val="24"/>
          <w:vertAlign w:val="superscript"/>
        </w:rPr>
        <w:t>[</w:t>
      </w:r>
      <w:proofErr w:type="gramEnd"/>
      <w:r w:rsidR="00BA571D">
        <w:rPr>
          <w:rFonts w:ascii="Book Antiqua" w:hAnsi="Book Antiqua"/>
          <w:sz w:val="24"/>
          <w:szCs w:val="24"/>
          <w:vertAlign w:val="superscript"/>
        </w:rPr>
        <w:t>2-9</w:t>
      </w:r>
      <w:r w:rsidR="00BA571D" w:rsidRPr="00BA571D">
        <w:rPr>
          <w:rFonts w:ascii="Book Antiqua" w:hAnsi="Book Antiqua" w:hint="eastAsia"/>
          <w:sz w:val="24"/>
          <w:szCs w:val="24"/>
          <w:vertAlign w:val="superscript"/>
        </w:rPr>
        <w:t>]</w:t>
      </w:r>
      <w:r w:rsidR="000D02E3" w:rsidRPr="00E75F6C">
        <w:rPr>
          <w:rFonts w:ascii="Book Antiqua" w:hAnsi="Book Antiqua"/>
          <w:sz w:val="24"/>
          <w:szCs w:val="24"/>
        </w:rPr>
        <w:t xml:space="preserve">. </w:t>
      </w:r>
    </w:p>
    <w:p w14:paraId="213EBCFA" w14:textId="6B7BFEF8" w:rsidR="00104B7A" w:rsidRPr="00E75F6C" w:rsidRDefault="00104B7A" w:rsidP="00523E72">
      <w:pPr>
        <w:spacing w:after="0" w:line="360" w:lineRule="auto"/>
        <w:ind w:firstLineChars="150" w:firstLine="360"/>
        <w:jc w:val="both"/>
        <w:rPr>
          <w:rFonts w:ascii="Book Antiqua" w:hAnsi="Book Antiqua"/>
          <w:sz w:val="24"/>
          <w:szCs w:val="24"/>
        </w:rPr>
      </w:pPr>
      <w:r w:rsidRPr="00E75F6C">
        <w:rPr>
          <w:rFonts w:ascii="Book Antiqua" w:hAnsi="Book Antiqua"/>
          <w:sz w:val="24"/>
          <w:szCs w:val="24"/>
        </w:rPr>
        <w:t>Anti-TNF</w:t>
      </w:r>
      <w:r w:rsidR="0055454E">
        <w:rPr>
          <w:rFonts w:ascii="Book Antiqua" w:hAnsi="Book Antiqua"/>
          <w:sz w:val="24"/>
          <w:szCs w:val="24"/>
        </w:rPr>
        <w:sym w:font="Symbol" w:char="F061"/>
      </w:r>
      <w:r w:rsidRPr="00E75F6C">
        <w:rPr>
          <w:rFonts w:ascii="Book Antiqua" w:hAnsi="Book Antiqua"/>
          <w:sz w:val="24"/>
          <w:szCs w:val="24"/>
        </w:rPr>
        <w:t xml:space="preserve"> therapies have revolutionised the management of IBD, improving response rates, and helping to alter the natural history of the disease, and achieve, long term goals of mucosal healing and deep remission. However loss of response and immunogenicity is a big concern. 80% of patients treated with infliximab in CD respond initially, but overtime 30% of patients will lose response, requirin</w:t>
      </w:r>
      <w:r w:rsidR="00523E72">
        <w:rPr>
          <w:rFonts w:ascii="Book Antiqua" w:hAnsi="Book Antiqua"/>
          <w:sz w:val="24"/>
          <w:szCs w:val="24"/>
        </w:rPr>
        <w:t>g dose and interval adjustments</w:t>
      </w:r>
      <w:r w:rsidR="00BA571D" w:rsidRPr="00BA571D">
        <w:rPr>
          <w:rFonts w:ascii="Book Antiqua" w:hAnsi="Book Antiqua" w:hint="eastAsia"/>
          <w:sz w:val="24"/>
          <w:szCs w:val="24"/>
          <w:vertAlign w:val="superscript"/>
        </w:rPr>
        <w:t>[</w:t>
      </w:r>
      <w:r w:rsidR="00523E72">
        <w:rPr>
          <w:rFonts w:ascii="Book Antiqua" w:hAnsi="Book Antiqua"/>
          <w:sz w:val="24"/>
          <w:szCs w:val="24"/>
          <w:vertAlign w:val="superscript"/>
        </w:rPr>
        <w:t>7,</w:t>
      </w:r>
      <w:r w:rsidR="00BA571D">
        <w:rPr>
          <w:rFonts w:ascii="Book Antiqua" w:hAnsi="Book Antiqua"/>
          <w:sz w:val="24"/>
          <w:szCs w:val="24"/>
          <w:vertAlign w:val="superscript"/>
        </w:rPr>
        <w:t>10</w:t>
      </w:r>
      <w:r w:rsidR="00BA571D" w:rsidRPr="00BA571D">
        <w:rPr>
          <w:rFonts w:ascii="Book Antiqua" w:hAnsi="Book Antiqua" w:hint="eastAsia"/>
          <w:sz w:val="24"/>
          <w:szCs w:val="24"/>
          <w:vertAlign w:val="superscript"/>
        </w:rPr>
        <w:t>]</w:t>
      </w:r>
      <w:r w:rsidR="00BA571D" w:rsidRPr="00523E72">
        <w:rPr>
          <w:rFonts w:ascii="Book Antiqua" w:hAnsi="Book Antiqua"/>
          <w:sz w:val="24"/>
          <w:szCs w:val="24"/>
        </w:rPr>
        <w:t>.</w:t>
      </w:r>
      <w:r w:rsidR="00BA571D">
        <w:rPr>
          <w:rFonts w:ascii="Book Antiqua" w:hAnsi="Book Antiqua"/>
          <w:sz w:val="24"/>
          <w:szCs w:val="24"/>
          <w:vertAlign w:val="superscript"/>
        </w:rPr>
        <w:t xml:space="preserve"> </w:t>
      </w:r>
      <w:r w:rsidRPr="00E75F6C">
        <w:rPr>
          <w:rFonts w:ascii="Book Antiqua" w:hAnsi="Book Antiqua"/>
          <w:sz w:val="24"/>
          <w:szCs w:val="24"/>
        </w:rPr>
        <w:t>LOR is associated with flares of disease, increased hospitalisation rates, need for surgical interventions, and decline in quality of life.  Historically doses have been intensified in a stepwise fashion, based on clinical response. This standard approach involves increasing the doses of anti-TNF</w:t>
      </w:r>
      <w:r w:rsidR="0055454E">
        <w:rPr>
          <w:rFonts w:ascii="Book Antiqua" w:hAnsi="Book Antiqua"/>
          <w:sz w:val="24"/>
          <w:szCs w:val="24"/>
        </w:rPr>
        <w:sym w:font="Symbol" w:char="F061"/>
      </w:r>
      <w:r w:rsidRPr="00E75F6C">
        <w:rPr>
          <w:rFonts w:ascii="Book Antiqua" w:hAnsi="Book Antiqua"/>
          <w:sz w:val="24"/>
          <w:szCs w:val="24"/>
        </w:rPr>
        <w:t xml:space="preserve"> used, and shortening frequency of administration. However this approach does not take into account the underlying pharmacokinetics of anti-TNF</w:t>
      </w:r>
      <w:r w:rsidR="0055454E">
        <w:rPr>
          <w:rFonts w:ascii="Book Antiqua" w:hAnsi="Book Antiqua"/>
          <w:sz w:val="24"/>
          <w:szCs w:val="24"/>
        </w:rPr>
        <w:sym w:font="Symbol" w:char="F061"/>
      </w:r>
      <w:r w:rsidRPr="00E75F6C">
        <w:rPr>
          <w:rFonts w:ascii="Book Antiqua" w:hAnsi="Book Antiqua"/>
          <w:sz w:val="24"/>
          <w:szCs w:val="24"/>
        </w:rPr>
        <w:t xml:space="preserve">, and lacks flexibility for individual patients. </w:t>
      </w:r>
      <w:proofErr w:type="spellStart"/>
      <w:r w:rsidRPr="00E75F6C">
        <w:rPr>
          <w:rFonts w:ascii="Book Antiqua" w:hAnsi="Book Antiqua"/>
          <w:sz w:val="24"/>
          <w:szCs w:val="24"/>
        </w:rPr>
        <w:t>Immunomonitoring</w:t>
      </w:r>
      <w:proofErr w:type="spellEnd"/>
      <w:r w:rsidRPr="00E75F6C">
        <w:rPr>
          <w:rFonts w:ascii="Book Antiqua" w:hAnsi="Book Antiqua"/>
          <w:sz w:val="24"/>
          <w:szCs w:val="24"/>
        </w:rPr>
        <w:t xml:space="preserve"> offers an alternative, treat to target approach, where doses are tailored to the individual, based on individual anti-TNF</w:t>
      </w:r>
      <w:r w:rsidR="0055454E">
        <w:rPr>
          <w:rFonts w:ascii="Book Antiqua" w:hAnsi="Book Antiqua"/>
          <w:sz w:val="24"/>
          <w:szCs w:val="24"/>
        </w:rPr>
        <w:sym w:font="Symbol" w:char="F061"/>
      </w:r>
      <w:r w:rsidRPr="00E75F6C">
        <w:rPr>
          <w:rFonts w:ascii="Book Antiqua" w:hAnsi="Book Antiqua"/>
          <w:sz w:val="24"/>
          <w:szCs w:val="24"/>
        </w:rPr>
        <w:t xml:space="preserve"> trough and antibody levels.  </w:t>
      </w:r>
    </w:p>
    <w:p w14:paraId="7EE4885A" w14:textId="5D293F7A" w:rsidR="00ED38C9" w:rsidRPr="00E75F6C" w:rsidRDefault="00ED38C9" w:rsidP="00523E72">
      <w:pPr>
        <w:spacing w:after="0" w:line="360" w:lineRule="auto"/>
        <w:ind w:firstLineChars="150" w:firstLine="360"/>
        <w:jc w:val="both"/>
        <w:rPr>
          <w:rFonts w:ascii="Book Antiqua" w:hAnsi="Book Antiqua"/>
          <w:sz w:val="24"/>
          <w:szCs w:val="24"/>
        </w:rPr>
      </w:pPr>
      <w:r w:rsidRPr="00E75F6C">
        <w:rPr>
          <w:rFonts w:ascii="Book Antiqua" w:hAnsi="Book Antiqua"/>
          <w:sz w:val="24"/>
          <w:szCs w:val="24"/>
        </w:rPr>
        <w:t xml:space="preserve">There is increasing evidence to suggest that </w:t>
      </w:r>
      <w:r w:rsidR="005B4584" w:rsidRPr="00E75F6C">
        <w:rPr>
          <w:rFonts w:ascii="Book Antiqua" w:hAnsi="Book Antiqua"/>
          <w:sz w:val="24"/>
          <w:szCs w:val="24"/>
        </w:rPr>
        <w:t xml:space="preserve">utilisation of </w:t>
      </w:r>
      <w:proofErr w:type="spellStart"/>
      <w:r w:rsidR="005B4584" w:rsidRPr="00E75F6C">
        <w:rPr>
          <w:rFonts w:ascii="Book Antiqua" w:hAnsi="Book Antiqua"/>
          <w:sz w:val="24"/>
          <w:szCs w:val="24"/>
        </w:rPr>
        <w:t>immunomonitoring</w:t>
      </w:r>
      <w:proofErr w:type="spellEnd"/>
      <w:r w:rsidR="005B4584" w:rsidRPr="00E75F6C">
        <w:rPr>
          <w:rFonts w:ascii="Book Antiqua" w:hAnsi="Book Antiqua"/>
          <w:sz w:val="24"/>
          <w:szCs w:val="24"/>
        </w:rPr>
        <w:t>, is helping</w:t>
      </w:r>
      <w:r w:rsidR="00104B7A" w:rsidRPr="00E75F6C">
        <w:rPr>
          <w:rFonts w:ascii="Book Antiqua" w:hAnsi="Book Antiqua"/>
          <w:sz w:val="24"/>
          <w:szCs w:val="24"/>
        </w:rPr>
        <w:t xml:space="preserve"> to</w:t>
      </w:r>
      <w:r w:rsidR="005B4584" w:rsidRPr="00E75F6C">
        <w:rPr>
          <w:rFonts w:ascii="Book Antiqua" w:hAnsi="Book Antiqua"/>
          <w:sz w:val="24"/>
          <w:szCs w:val="24"/>
        </w:rPr>
        <w:t xml:space="preserve"> overcome LOR, improve remission rates,</w:t>
      </w:r>
      <w:r w:rsidR="00D16425" w:rsidRPr="00E75F6C">
        <w:rPr>
          <w:rFonts w:ascii="Book Antiqua" w:hAnsi="Book Antiqua"/>
          <w:sz w:val="24"/>
          <w:szCs w:val="24"/>
        </w:rPr>
        <w:t xml:space="preserve"> achieve mucosal healing</w:t>
      </w:r>
      <w:r w:rsidR="005B4584" w:rsidRPr="00E75F6C">
        <w:rPr>
          <w:rFonts w:ascii="Book Antiqua" w:hAnsi="Book Antiqua"/>
          <w:sz w:val="24"/>
          <w:szCs w:val="24"/>
        </w:rPr>
        <w:t xml:space="preserve"> and </w:t>
      </w:r>
      <w:r w:rsidR="00152AB8" w:rsidRPr="00E75F6C">
        <w:rPr>
          <w:rFonts w:ascii="Book Antiqua" w:hAnsi="Book Antiqua"/>
          <w:sz w:val="24"/>
          <w:szCs w:val="24"/>
        </w:rPr>
        <w:t xml:space="preserve">thus </w:t>
      </w:r>
      <w:r w:rsidR="005B4584" w:rsidRPr="00E75F6C">
        <w:rPr>
          <w:rFonts w:ascii="Book Antiqua" w:hAnsi="Book Antiqua"/>
          <w:sz w:val="24"/>
          <w:szCs w:val="24"/>
        </w:rPr>
        <w:t>help al</w:t>
      </w:r>
      <w:r w:rsidR="00152AB8" w:rsidRPr="00E75F6C">
        <w:rPr>
          <w:rFonts w:ascii="Book Antiqua" w:hAnsi="Book Antiqua"/>
          <w:sz w:val="24"/>
          <w:szCs w:val="24"/>
        </w:rPr>
        <w:t>ter the natural history of IBD</w:t>
      </w:r>
      <w:r w:rsidR="005B4584" w:rsidRPr="00E75F6C">
        <w:rPr>
          <w:rFonts w:ascii="Book Antiqua" w:hAnsi="Book Antiqua"/>
          <w:sz w:val="24"/>
          <w:szCs w:val="24"/>
        </w:rPr>
        <w:t>.</w:t>
      </w:r>
      <w:r w:rsidRPr="00E75F6C">
        <w:rPr>
          <w:rFonts w:ascii="Book Antiqua" w:hAnsi="Book Antiqua"/>
          <w:sz w:val="24"/>
          <w:szCs w:val="24"/>
        </w:rPr>
        <w:t xml:space="preserve"> By targeting treatment to the individual overall response rates can be improved, and this can be further linked to both biochemical and mucosal healing. </w:t>
      </w:r>
      <w:r w:rsidR="005B4584" w:rsidRPr="00E75F6C">
        <w:rPr>
          <w:rFonts w:ascii="Book Antiqua" w:hAnsi="Book Antiqua"/>
          <w:sz w:val="24"/>
          <w:szCs w:val="24"/>
        </w:rPr>
        <w:t xml:space="preserve"> </w:t>
      </w:r>
      <w:proofErr w:type="spellStart"/>
      <w:r w:rsidR="005B4584" w:rsidRPr="00E75F6C">
        <w:rPr>
          <w:rFonts w:ascii="Book Antiqua" w:hAnsi="Book Antiqua"/>
          <w:sz w:val="24"/>
          <w:szCs w:val="24"/>
        </w:rPr>
        <w:t>Immunomonitoring</w:t>
      </w:r>
      <w:proofErr w:type="spellEnd"/>
      <w:r w:rsidR="005B4584" w:rsidRPr="00E75F6C">
        <w:rPr>
          <w:rFonts w:ascii="Book Antiqua" w:hAnsi="Book Antiqua"/>
          <w:sz w:val="24"/>
          <w:szCs w:val="24"/>
        </w:rPr>
        <w:t xml:space="preserve"> also facilitates more cost effective use of anti-TNF</w:t>
      </w:r>
      <w:r w:rsidR="0055454E">
        <w:rPr>
          <w:rFonts w:ascii="Book Antiqua" w:hAnsi="Book Antiqua"/>
          <w:sz w:val="24"/>
          <w:szCs w:val="24"/>
        </w:rPr>
        <w:sym w:font="Symbol" w:char="F061"/>
      </w:r>
      <w:r w:rsidR="005B4584" w:rsidRPr="00E75F6C">
        <w:rPr>
          <w:rFonts w:ascii="Book Antiqua" w:hAnsi="Book Antiqua"/>
          <w:sz w:val="24"/>
          <w:szCs w:val="24"/>
        </w:rPr>
        <w:t xml:space="preserve"> therapy, and helps reduce side-effect burden, and limit toxicity. </w:t>
      </w:r>
    </w:p>
    <w:p w14:paraId="204FD41E" w14:textId="77777777" w:rsidR="005B4584" w:rsidRDefault="005B4584" w:rsidP="00523E72">
      <w:pPr>
        <w:spacing w:after="0" w:line="360" w:lineRule="auto"/>
        <w:ind w:firstLineChars="150" w:firstLine="360"/>
        <w:jc w:val="both"/>
        <w:rPr>
          <w:rFonts w:ascii="Book Antiqua" w:hAnsi="Book Antiqua"/>
          <w:sz w:val="24"/>
          <w:szCs w:val="24"/>
          <w:lang w:eastAsia="zh-CN"/>
        </w:rPr>
      </w:pPr>
      <w:r w:rsidRPr="00E75F6C">
        <w:rPr>
          <w:rFonts w:ascii="Book Antiqua" w:hAnsi="Book Antiqua"/>
          <w:sz w:val="24"/>
          <w:szCs w:val="24"/>
        </w:rPr>
        <w:t>This review articl</w:t>
      </w:r>
      <w:r w:rsidR="001C3147" w:rsidRPr="00E75F6C">
        <w:rPr>
          <w:rFonts w:ascii="Book Antiqua" w:hAnsi="Book Antiqua"/>
          <w:sz w:val="24"/>
          <w:szCs w:val="24"/>
        </w:rPr>
        <w:t xml:space="preserve">e looks at the history, evolution, and clinical impact that </w:t>
      </w:r>
      <w:proofErr w:type="spellStart"/>
      <w:r w:rsidR="001C3147" w:rsidRPr="00E75F6C">
        <w:rPr>
          <w:rFonts w:ascii="Book Antiqua" w:hAnsi="Book Antiqua"/>
          <w:sz w:val="24"/>
          <w:szCs w:val="24"/>
        </w:rPr>
        <w:t>immunomonitoring</w:t>
      </w:r>
      <w:proofErr w:type="spellEnd"/>
      <w:r w:rsidR="001C3147" w:rsidRPr="00E75F6C">
        <w:rPr>
          <w:rFonts w:ascii="Book Antiqua" w:hAnsi="Book Antiqua"/>
          <w:sz w:val="24"/>
          <w:szCs w:val="24"/>
        </w:rPr>
        <w:t xml:space="preserve"> is having in the treatment of IBD. </w:t>
      </w:r>
      <w:r w:rsidR="00ED38C9" w:rsidRPr="00E75F6C">
        <w:rPr>
          <w:rFonts w:ascii="Book Antiqua" w:hAnsi="Book Antiqua"/>
          <w:sz w:val="24"/>
          <w:szCs w:val="24"/>
        </w:rPr>
        <w:t xml:space="preserve">It will focus on the role of </w:t>
      </w:r>
      <w:proofErr w:type="spellStart"/>
      <w:r w:rsidR="00ED38C9" w:rsidRPr="00E75F6C">
        <w:rPr>
          <w:rFonts w:ascii="Book Antiqua" w:hAnsi="Book Antiqua"/>
          <w:sz w:val="24"/>
          <w:szCs w:val="24"/>
        </w:rPr>
        <w:lastRenderedPageBreak/>
        <w:t>immunomonitoring</w:t>
      </w:r>
      <w:proofErr w:type="spellEnd"/>
      <w:r w:rsidR="00ED38C9" w:rsidRPr="00E75F6C">
        <w:rPr>
          <w:rFonts w:ascii="Book Antiqua" w:hAnsi="Book Antiqua"/>
          <w:sz w:val="24"/>
          <w:szCs w:val="24"/>
        </w:rPr>
        <w:t xml:space="preserve"> in helping to achieve long last</w:t>
      </w:r>
      <w:r w:rsidR="00DB323D" w:rsidRPr="00E75F6C">
        <w:rPr>
          <w:rFonts w:ascii="Book Antiqua" w:hAnsi="Book Antiqua"/>
          <w:sz w:val="24"/>
          <w:szCs w:val="24"/>
        </w:rPr>
        <w:t>ing</w:t>
      </w:r>
      <w:r w:rsidR="00ED38C9" w:rsidRPr="00E75F6C">
        <w:rPr>
          <w:rFonts w:ascii="Book Antiqua" w:hAnsi="Book Antiqua"/>
          <w:sz w:val="24"/>
          <w:szCs w:val="24"/>
        </w:rPr>
        <w:t xml:space="preserve"> deep remission and mucosal healing. </w:t>
      </w:r>
    </w:p>
    <w:p w14:paraId="31893A46" w14:textId="77777777" w:rsidR="00523E72" w:rsidRPr="00E75F6C" w:rsidRDefault="00523E72" w:rsidP="00523E72">
      <w:pPr>
        <w:spacing w:after="0" w:line="360" w:lineRule="auto"/>
        <w:ind w:firstLineChars="150" w:firstLine="360"/>
        <w:jc w:val="both"/>
        <w:rPr>
          <w:rFonts w:ascii="Book Antiqua" w:hAnsi="Book Antiqua"/>
          <w:sz w:val="24"/>
          <w:szCs w:val="24"/>
          <w:lang w:eastAsia="zh-CN"/>
        </w:rPr>
      </w:pPr>
    </w:p>
    <w:p w14:paraId="788D4BD2" w14:textId="77777777" w:rsidR="00023875" w:rsidRPr="00E75F6C" w:rsidRDefault="00523E72" w:rsidP="00AD1560">
      <w:pPr>
        <w:spacing w:after="0" w:line="360" w:lineRule="auto"/>
        <w:jc w:val="both"/>
        <w:rPr>
          <w:rFonts w:ascii="Book Antiqua" w:hAnsi="Book Antiqua"/>
          <w:b/>
          <w:sz w:val="24"/>
          <w:szCs w:val="24"/>
        </w:rPr>
      </w:pPr>
      <w:r w:rsidRPr="00E75F6C">
        <w:rPr>
          <w:rFonts w:ascii="Book Antiqua" w:hAnsi="Book Antiqua"/>
          <w:b/>
          <w:sz w:val="24"/>
          <w:szCs w:val="24"/>
        </w:rPr>
        <w:t xml:space="preserve">WHAT IS IMMUNOMONITORING? </w:t>
      </w:r>
    </w:p>
    <w:p w14:paraId="5FA2A090" w14:textId="5AD0DDFB" w:rsidR="00407F2B" w:rsidRPr="00E75F6C" w:rsidRDefault="00023875" w:rsidP="00AD1560">
      <w:pPr>
        <w:spacing w:after="0" w:line="360" w:lineRule="auto"/>
        <w:jc w:val="both"/>
        <w:rPr>
          <w:rFonts w:ascii="Book Antiqua" w:hAnsi="Book Antiqua"/>
          <w:sz w:val="24"/>
          <w:szCs w:val="24"/>
        </w:rPr>
      </w:pPr>
      <w:r w:rsidRPr="00E75F6C">
        <w:rPr>
          <w:rFonts w:ascii="Book Antiqua" w:hAnsi="Book Antiqua"/>
          <w:sz w:val="24"/>
          <w:szCs w:val="24"/>
        </w:rPr>
        <w:t>Overtime the body’s immune system may recognise anti-TNF</w:t>
      </w:r>
      <w:r w:rsidR="0055454E">
        <w:rPr>
          <w:rFonts w:ascii="Book Antiqua" w:hAnsi="Book Antiqua"/>
          <w:sz w:val="24"/>
          <w:szCs w:val="24"/>
        </w:rPr>
        <w:sym w:font="Symbol" w:char="F061"/>
      </w:r>
      <w:r w:rsidR="0055454E">
        <w:rPr>
          <w:rFonts w:ascii="Book Antiqua" w:hAnsi="Book Antiqua" w:hint="eastAsia"/>
          <w:sz w:val="24"/>
          <w:szCs w:val="24"/>
          <w:lang w:eastAsia="zh-CN"/>
        </w:rPr>
        <w:t xml:space="preserve"> </w:t>
      </w:r>
      <w:r w:rsidRPr="00E75F6C">
        <w:rPr>
          <w:rFonts w:ascii="Book Antiqua" w:hAnsi="Book Antiqua"/>
          <w:sz w:val="24"/>
          <w:szCs w:val="24"/>
        </w:rPr>
        <w:t xml:space="preserve">molecules, as foreign antigens, and result in antibody formation against them. This process is called </w:t>
      </w:r>
      <w:r w:rsidR="00FD4426" w:rsidRPr="00E75F6C">
        <w:rPr>
          <w:rFonts w:ascii="Book Antiqua" w:hAnsi="Book Antiqua"/>
          <w:sz w:val="24"/>
          <w:szCs w:val="24"/>
        </w:rPr>
        <w:t>immunogenicity, and can result</w:t>
      </w:r>
      <w:r w:rsidRPr="00E75F6C">
        <w:rPr>
          <w:rFonts w:ascii="Book Antiqua" w:hAnsi="Book Antiqua"/>
          <w:sz w:val="24"/>
          <w:szCs w:val="24"/>
        </w:rPr>
        <w:t xml:space="preserve"> in increased drug clearance and subsequent loss of response</w:t>
      </w:r>
      <w:r w:rsidR="00FD4426" w:rsidRPr="00E75F6C">
        <w:rPr>
          <w:rFonts w:ascii="Book Antiqua" w:hAnsi="Book Antiqua"/>
          <w:sz w:val="24"/>
          <w:szCs w:val="24"/>
        </w:rPr>
        <w:t xml:space="preserve">. </w:t>
      </w:r>
      <w:r w:rsidR="00CF0EC7" w:rsidRPr="00E75F6C">
        <w:rPr>
          <w:rFonts w:ascii="Book Antiqua" w:hAnsi="Book Antiqua"/>
          <w:sz w:val="24"/>
          <w:szCs w:val="24"/>
        </w:rPr>
        <w:t>Antibodies against Anti-TNF</w:t>
      </w:r>
      <w:r w:rsidR="0055454E">
        <w:rPr>
          <w:rFonts w:ascii="Book Antiqua" w:hAnsi="Book Antiqua"/>
          <w:sz w:val="24"/>
          <w:szCs w:val="24"/>
        </w:rPr>
        <w:sym w:font="Symbol" w:char="F061"/>
      </w:r>
      <w:r w:rsidR="00CF0EC7" w:rsidRPr="00E75F6C">
        <w:rPr>
          <w:rFonts w:ascii="Book Antiqua" w:hAnsi="Book Antiqua"/>
          <w:sz w:val="24"/>
          <w:szCs w:val="24"/>
        </w:rPr>
        <w:t xml:space="preserve"> (ADA)</w:t>
      </w:r>
      <w:r w:rsidR="00407F2B" w:rsidRPr="00E75F6C">
        <w:rPr>
          <w:rFonts w:ascii="Book Antiqua" w:hAnsi="Book Antiqua"/>
          <w:sz w:val="24"/>
          <w:szCs w:val="24"/>
        </w:rPr>
        <w:t xml:space="preserve"> formation can lead to failure of anti-TNF</w:t>
      </w:r>
      <w:r w:rsidR="0055454E">
        <w:rPr>
          <w:rFonts w:ascii="Book Antiqua" w:hAnsi="Book Antiqua"/>
          <w:sz w:val="24"/>
          <w:szCs w:val="24"/>
        </w:rPr>
        <w:sym w:font="Symbol" w:char="F061"/>
      </w:r>
      <w:r w:rsidR="00407F2B" w:rsidRPr="00E75F6C">
        <w:rPr>
          <w:rFonts w:ascii="Book Antiqua" w:hAnsi="Book Antiqua"/>
          <w:sz w:val="24"/>
          <w:szCs w:val="24"/>
        </w:rPr>
        <w:t xml:space="preserve"> which may be due to a change in pharmacokinetics causing a faster clearance or by blocking the drug’s activity in case of neutralizing ADA. Therefore, drug trough concentrations could be the missing link to help understand the clinical impact of ADA</w:t>
      </w:r>
      <w:r w:rsidR="00523E72" w:rsidRPr="00523E72">
        <w:rPr>
          <w:rFonts w:ascii="Book Antiqua" w:hAnsi="Book Antiqua"/>
          <w:sz w:val="24"/>
          <w:szCs w:val="24"/>
          <w:vertAlign w:val="superscript"/>
        </w:rPr>
        <w:t>[</w:t>
      </w:r>
      <w:r w:rsidR="00BA571D">
        <w:rPr>
          <w:rFonts w:ascii="Book Antiqua" w:hAnsi="Book Antiqua"/>
          <w:sz w:val="24"/>
          <w:szCs w:val="24"/>
          <w:vertAlign w:val="superscript"/>
        </w:rPr>
        <w:t>1</w:t>
      </w:r>
      <w:r w:rsidR="00BA571D" w:rsidRPr="00BA571D">
        <w:rPr>
          <w:rFonts w:ascii="Book Antiqua" w:hAnsi="Book Antiqua"/>
          <w:sz w:val="24"/>
          <w:szCs w:val="24"/>
          <w:vertAlign w:val="superscript"/>
        </w:rPr>
        <w:t>1</w:t>
      </w:r>
      <w:r w:rsidR="00BA571D">
        <w:rPr>
          <w:rFonts w:ascii="Book Antiqua" w:hAnsi="Book Antiqua"/>
          <w:sz w:val="24"/>
          <w:szCs w:val="24"/>
          <w:vertAlign w:val="superscript"/>
        </w:rPr>
        <w:t>]</w:t>
      </w:r>
      <w:r w:rsidR="00407F2B" w:rsidRPr="00E75F6C">
        <w:rPr>
          <w:rFonts w:ascii="Book Antiqua" w:hAnsi="Book Antiqua"/>
          <w:sz w:val="24"/>
          <w:szCs w:val="24"/>
        </w:rPr>
        <w:t>.</w:t>
      </w:r>
    </w:p>
    <w:p w14:paraId="7CF69617" w14:textId="77777777" w:rsidR="00FD641F" w:rsidRPr="00E75F6C" w:rsidRDefault="00FD4426" w:rsidP="00523E72">
      <w:pPr>
        <w:spacing w:after="0" w:line="360" w:lineRule="auto"/>
        <w:ind w:firstLineChars="150" w:firstLine="360"/>
        <w:jc w:val="both"/>
        <w:rPr>
          <w:rFonts w:ascii="Book Antiqua" w:hAnsi="Book Antiqua"/>
          <w:sz w:val="24"/>
          <w:szCs w:val="24"/>
        </w:rPr>
      </w:pPr>
      <w:r w:rsidRPr="00E75F6C">
        <w:rPr>
          <w:rFonts w:ascii="Book Antiqua" w:hAnsi="Book Antiqua"/>
          <w:sz w:val="24"/>
          <w:szCs w:val="24"/>
        </w:rPr>
        <w:t>I</w:t>
      </w:r>
      <w:r w:rsidR="00C10F69" w:rsidRPr="00E75F6C">
        <w:rPr>
          <w:rFonts w:ascii="Book Antiqua" w:hAnsi="Book Antiqua"/>
          <w:sz w:val="24"/>
          <w:szCs w:val="24"/>
        </w:rPr>
        <w:t>nfliximab (IFX)</w:t>
      </w:r>
      <w:r w:rsidRPr="00E75F6C">
        <w:rPr>
          <w:rFonts w:ascii="Book Antiqua" w:hAnsi="Book Antiqua"/>
          <w:sz w:val="24"/>
          <w:szCs w:val="24"/>
        </w:rPr>
        <w:t xml:space="preserve"> is a chimeric mouse–human IgG1 molecule and antibodies to IFX </w:t>
      </w:r>
      <w:r w:rsidR="007272BE" w:rsidRPr="00E75F6C">
        <w:rPr>
          <w:rFonts w:ascii="Book Antiqua" w:hAnsi="Book Antiqua"/>
          <w:sz w:val="24"/>
          <w:szCs w:val="24"/>
        </w:rPr>
        <w:t>(ATIs)</w:t>
      </w:r>
      <w:r w:rsidRPr="00E75F6C">
        <w:rPr>
          <w:rFonts w:ascii="Book Antiqua" w:hAnsi="Book Antiqua"/>
          <w:sz w:val="24"/>
          <w:szCs w:val="24"/>
        </w:rPr>
        <w:t xml:space="preserve"> are directed against the murine F(</w:t>
      </w:r>
      <w:proofErr w:type="spellStart"/>
      <w:r w:rsidRPr="00E75F6C">
        <w:rPr>
          <w:rFonts w:ascii="Book Antiqua" w:hAnsi="Book Antiqua"/>
          <w:sz w:val="24"/>
          <w:szCs w:val="24"/>
        </w:rPr>
        <w:t>ab</w:t>
      </w:r>
      <w:proofErr w:type="spellEnd"/>
      <w:r w:rsidRPr="00E75F6C">
        <w:rPr>
          <w:rFonts w:ascii="Book Antiqua" w:hAnsi="Book Antiqua"/>
          <w:sz w:val="24"/>
          <w:szCs w:val="24"/>
        </w:rPr>
        <w:t xml:space="preserve">)2 fragment of </w:t>
      </w:r>
      <w:r w:rsidR="009F42DA" w:rsidRPr="00E75F6C">
        <w:rPr>
          <w:rFonts w:ascii="Book Antiqua" w:hAnsi="Book Antiqua"/>
          <w:sz w:val="24"/>
          <w:szCs w:val="24"/>
        </w:rPr>
        <w:t xml:space="preserve">the </w:t>
      </w:r>
      <w:r w:rsidRPr="00E75F6C">
        <w:rPr>
          <w:rFonts w:ascii="Book Antiqua" w:hAnsi="Book Antiqua"/>
          <w:sz w:val="24"/>
          <w:szCs w:val="24"/>
        </w:rPr>
        <w:t>drug. Antibodies may form against infliximab in a large number of patients (8</w:t>
      </w:r>
      <w:r w:rsidR="00523E72">
        <w:rPr>
          <w:rFonts w:ascii="Book Antiqua" w:hAnsi="Book Antiqua" w:hint="eastAsia"/>
          <w:sz w:val="24"/>
          <w:szCs w:val="24"/>
          <w:lang w:eastAsia="zh-CN"/>
        </w:rPr>
        <w:t>%</w:t>
      </w:r>
      <w:r w:rsidRPr="00E75F6C">
        <w:rPr>
          <w:rFonts w:ascii="Book Antiqua" w:hAnsi="Book Antiqua"/>
          <w:sz w:val="24"/>
          <w:szCs w:val="24"/>
        </w:rPr>
        <w:t>-60%), and indeed may form as soon as after the first infusion</w:t>
      </w:r>
      <w:r w:rsidR="00523E72" w:rsidRPr="00523E72">
        <w:rPr>
          <w:rFonts w:ascii="Book Antiqua" w:hAnsi="Book Antiqua"/>
          <w:sz w:val="24"/>
          <w:szCs w:val="24"/>
          <w:vertAlign w:val="superscript"/>
        </w:rPr>
        <w:t>[</w:t>
      </w:r>
      <w:r w:rsidR="006F39C6" w:rsidRPr="006F39C6">
        <w:rPr>
          <w:rFonts w:ascii="Book Antiqua" w:hAnsi="Book Antiqua"/>
          <w:sz w:val="24"/>
          <w:szCs w:val="24"/>
          <w:vertAlign w:val="superscript"/>
        </w:rPr>
        <w:t>1</w:t>
      </w:r>
      <w:r w:rsidR="006F39C6">
        <w:rPr>
          <w:rFonts w:ascii="Book Antiqua" w:hAnsi="Book Antiqua"/>
          <w:sz w:val="24"/>
          <w:szCs w:val="24"/>
          <w:vertAlign w:val="superscript"/>
        </w:rPr>
        <w:t>0</w:t>
      </w:r>
      <w:r w:rsidR="006F39C6" w:rsidRPr="006F39C6">
        <w:rPr>
          <w:rFonts w:ascii="Book Antiqua" w:hAnsi="Book Antiqua"/>
          <w:sz w:val="24"/>
          <w:szCs w:val="24"/>
          <w:vertAlign w:val="superscript"/>
        </w:rPr>
        <w:t>]</w:t>
      </w:r>
      <w:r w:rsidRPr="00E75F6C">
        <w:rPr>
          <w:rFonts w:ascii="Book Antiqua" w:hAnsi="Book Antiqua"/>
          <w:sz w:val="24"/>
          <w:szCs w:val="24"/>
        </w:rPr>
        <w:t xml:space="preserve">. Immunogenicity, is associated with increased drug clearance, which directly leads to reduced trough levels. This can ultimately lead to loss of response, </w:t>
      </w:r>
      <w:r w:rsidR="00FD641F" w:rsidRPr="00E75F6C">
        <w:rPr>
          <w:rFonts w:ascii="Book Antiqua" w:hAnsi="Book Antiqua"/>
          <w:sz w:val="24"/>
          <w:szCs w:val="24"/>
        </w:rPr>
        <w:t xml:space="preserve">infusion reactions </w:t>
      </w:r>
      <w:r w:rsidRPr="00E75F6C">
        <w:rPr>
          <w:rFonts w:ascii="Book Antiqua" w:hAnsi="Book Antiqua"/>
          <w:sz w:val="24"/>
          <w:szCs w:val="24"/>
        </w:rPr>
        <w:t>and the need for dose intensification, or the need to</w:t>
      </w:r>
      <w:r w:rsidR="00FD641F" w:rsidRPr="00E75F6C">
        <w:rPr>
          <w:rFonts w:ascii="Book Antiqua" w:hAnsi="Book Antiqua"/>
          <w:sz w:val="24"/>
          <w:szCs w:val="24"/>
        </w:rPr>
        <w:t xml:space="preserve"> </w:t>
      </w:r>
      <w:r w:rsidR="005B7558" w:rsidRPr="00E75F6C">
        <w:rPr>
          <w:rFonts w:ascii="Book Antiqua" w:hAnsi="Book Antiqua"/>
          <w:sz w:val="24"/>
          <w:szCs w:val="24"/>
        </w:rPr>
        <w:t>switch to an alternative agent.</w:t>
      </w:r>
      <w:r w:rsidR="00B22F76" w:rsidRPr="00E75F6C">
        <w:rPr>
          <w:rFonts w:ascii="Book Antiqua" w:hAnsi="Book Antiqua"/>
          <w:sz w:val="24"/>
          <w:szCs w:val="24"/>
        </w:rPr>
        <w:t xml:space="preserve"> A two-compartment </w:t>
      </w:r>
      <w:r w:rsidR="00851B9F" w:rsidRPr="00E75F6C">
        <w:rPr>
          <w:rFonts w:ascii="Book Antiqua" w:hAnsi="Book Antiqua"/>
          <w:sz w:val="24"/>
          <w:szCs w:val="24"/>
        </w:rPr>
        <w:t>pharmacokinetic</w:t>
      </w:r>
      <w:r w:rsidR="00B22F76" w:rsidRPr="00E75F6C">
        <w:rPr>
          <w:rFonts w:ascii="Book Antiqua" w:hAnsi="Book Antiqua"/>
          <w:sz w:val="24"/>
          <w:szCs w:val="24"/>
        </w:rPr>
        <w:t xml:space="preserve"> model for infliximab has shown that the clearance increases 2.7-fold in patients positive for</w:t>
      </w:r>
      <w:r w:rsidR="002D4102" w:rsidRPr="00E75F6C">
        <w:rPr>
          <w:rFonts w:ascii="Book Antiqua" w:hAnsi="Book Antiqua"/>
          <w:sz w:val="24"/>
          <w:szCs w:val="24"/>
        </w:rPr>
        <w:t xml:space="preserve"> </w:t>
      </w:r>
      <w:r w:rsidR="00B22F76" w:rsidRPr="00E75F6C">
        <w:rPr>
          <w:rFonts w:ascii="Book Antiqua" w:hAnsi="Book Antiqua"/>
          <w:sz w:val="24"/>
          <w:szCs w:val="24"/>
        </w:rPr>
        <w:t>A</w:t>
      </w:r>
      <w:r w:rsidR="00D16425" w:rsidRPr="00E75F6C">
        <w:rPr>
          <w:rFonts w:ascii="Book Antiqua" w:hAnsi="Book Antiqua"/>
          <w:sz w:val="24"/>
          <w:szCs w:val="24"/>
        </w:rPr>
        <w:t>TI’S</w:t>
      </w:r>
      <w:r w:rsidR="00B22F76" w:rsidRPr="00E75F6C">
        <w:rPr>
          <w:rFonts w:ascii="Book Antiqua" w:hAnsi="Book Antiqua"/>
          <w:sz w:val="24"/>
          <w:szCs w:val="24"/>
        </w:rPr>
        <w:t xml:space="preserve"> as compared with patients without A</w:t>
      </w:r>
      <w:r w:rsidR="00D16425" w:rsidRPr="00E75F6C">
        <w:rPr>
          <w:rFonts w:ascii="Book Antiqua" w:hAnsi="Book Antiqua"/>
          <w:sz w:val="24"/>
          <w:szCs w:val="24"/>
        </w:rPr>
        <w:t>TI’S</w:t>
      </w:r>
      <w:r w:rsidR="00523E72" w:rsidRPr="00523E72">
        <w:rPr>
          <w:rFonts w:ascii="Book Antiqua" w:hAnsi="Book Antiqua"/>
          <w:sz w:val="24"/>
          <w:szCs w:val="24"/>
          <w:vertAlign w:val="superscript"/>
        </w:rPr>
        <w:t>[</w:t>
      </w:r>
      <w:r w:rsidR="006F39C6" w:rsidRPr="006F39C6">
        <w:rPr>
          <w:rFonts w:ascii="Book Antiqua" w:hAnsi="Book Antiqua"/>
          <w:sz w:val="24"/>
          <w:szCs w:val="24"/>
          <w:vertAlign w:val="superscript"/>
        </w:rPr>
        <w:t>1</w:t>
      </w:r>
      <w:r w:rsidR="006F39C6">
        <w:rPr>
          <w:rFonts w:ascii="Book Antiqua" w:hAnsi="Book Antiqua"/>
          <w:sz w:val="24"/>
          <w:szCs w:val="24"/>
          <w:vertAlign w:val="superscript"/>
        </w:rPr>
        <w:t>2</w:t>
      </w:r>
      <w:r w:rsidR="006F39C6" w:rsidRPr="006F39C6">
        <w:rPr>
          <w:rFonts w:ascii="Book Antiqua" w:hAnsi="Book Antiqua"/>
          <w:sz w:val="24"/>
          <w:szCs w:val="24"/>
          <w:vertAlign w:val="superscript"/>
        </w:rPr>
        <w:t>]</w:t>
      </w:r>
      <w:r w:rsidR="002D4102" w:rsidRPr="00E75F6C">
        <w:rPr>
          <w:rFonts w:ascii="Book Antiqua" w:hAnsi="Book Antiqua"/>
          <w:sz w:val="24"/>
          <w:szCs w:val="24"/>
        </w:rPr>
        <w:t>.</w:t>
      </w:r>
    </w:p>
    <w:p w14:paraId="1AE8F222" w14:textId="6747C281" w:rsidR="007A666F" w:rsidRPr="00E75F6C" w:rsidRDefault="00FD641F" w:rsidP="00523E72">
      <w:pPr>
        <w:spacing w:after="0" w:line="360" w:lineRule="auto"/>
        <w:ind w:firstLineChars="150" w:firstLine="360"/>
        <w:jc w:val="both"/>
        <w:rPr>
          <w:rFonts w:ascii="Book Antiqua" w:hAnsi="Book Antiqua"/>
          <w:sz w:val="24"/>
          <w:szCs w:val="24"/>
        </w:rPr>
      </w:pPr>
      <w:proofErr w:type="spellStart"/>
      <w:r w:rsidRPr="00E75F6C">
        <w:rPr>
          <w:rFonts w:ascii="Book Antiqua" w:hAnsi="Book Antiqua"/>
          <w:sz w:val="24"/>
          <w:szCs w:val="24"/>
        </w:rPr>
        <w:t>Ada</w:t>
      </w:r>
      <w:r w:rsidR="00B67645" w:rsidRPr="00E75F6C">
        <w:rPr>
          <w:rFonts w:ascii="Book Antiqua" w:hAnsi="Book Antiqua"/>
          <w:sz w:val="24"/>
          <w:szCs w:val="24"/>
        </w:rPr>
        <w:t>limumab</w:t>
      </w:r>
      <w:proofErr w:type="spellEnd"/>
      <w:r w:rsidRPr="00E75F6C">
        <w:rPr>
          <w:rFonts w:ascii="Book Antiqua" w:hAnsi="Book Antiqua"/>
          <w:sz w:val="24"/>
          <w:szCs w:val="24"/>
        </w:rPr>
        <w:t xml:space="preserve"> is a fully human </w:t>
      </w:r>
      <w:proofErr w:type="spellStart"/>
      <w:r w:rsidRPr="00E75F6C">
        <w:rPr>
          <w:rFonts w:ascii="Book Antiqua" w:hAnsi="Book Antiqua"/>
          <w:sz w:val="24"/>
          <w:szCs w:val="24"/>
        </w:rPr>
        <w:t>IgG</w:t>
      </w:r>
      <w:proofErr w:type="spellEnd"/>
      <w:r w:rsidRPr="00E75F6C">
        <w:rPr>
          <w:rFonts w:ascii="Book Antiqua" w:hAnsi="Book Antiqua"/>
          <w:sz w:val="24"/>
          <w:szCs w:val="24"/>
        </w:rPr>
        <w:t xml:space="preserve"> monoclonal antibody against anti-TNF</w:t>
      </w:r>
      <w:r w:rsidR="0055492C">
        <w:rPr>
          <w:rFonts w:ascii="Book Antiqua" w:hAnsi="Book Antiqua"/>
          <w:sz w:val="24"/>
          <w:szCs w:val="24"/>
        </w:rPr>
        <w:sym w:font="Symbol" w:char="F061"/>
      </w:r>
      <w:r w:rsidRPr="00E75F6C">
        <w:rPr>
          <w:rFonts w:ascii="Book Antiqua" w:hAnsi="Book Antiqua"/>
          <w:sz w:val="24"/>
          <w:szCs w:val="24"/>
        </w:rPr>
        <w:t xml:space="preserve">, which has proven efficacy in the treatment of moderate to severe UC or CD. It was initially thought that antibody formation against </w:t>
      </w:r>
      <w:proofErr w:type="spellStart"/>
      <w:r w:rsidR="00C029D8" w:rsidRPr="00E75F6C">
        <w:rPr>
          <w:rFonts w:ascii="Book Antiqua" w:hAnsi="Book Antiqua"/>
          <w:sz w:val="24"/>
          <w:szCs w:val="24"/>
        </w:rPr>
        <w:t>adalimumab</w:t>
      </w:r>
      <w:proofErr w:type="spellEnd"/>
      <w:r w:rsidRPr="00E75F6C">
        <w:rPr>
          <w:rFonts w:ascii="Book Antiqua" w:hAnsi="Book Antiqua"/>
          <w:sz w:val="24"/>
          <w:szCs w:val="24"/>
        </w:rPr>
        <w:t xml:space="preserve"> would be reduced,</w:t>
      </w:r>
      <w:r w:rsidR="009F42DA" w:rsidRPr="00E75F6C">
        <w:rPr>
          <w:rFonts w:ascii="Book Antiqua" w:hAnsi="Book Antiqua"/>
          <w:sz w:val="24"/>
          <w:szCs w:val="24"/>
        </w:rPr>
        <w:t xml:space="preserve"> </w:t>
      </w:r>
      <w:r w:rsidRPr="00E75F6C">
        <w:rPr>
          <w:rFonts w:ascii="Book Antiqua" w:hAnsi="Book Antiqua"/>
          <w:sz w:val="24"/>
          <w:szCs w:val="24"/>
        </w:rPr>
        <w:t>as it’s a ful</w:t>
      </w:r>
      <w:r w:rsidR="009F42DA" w:rsidRPr="00E75F6C">
        <w:rPr>
          <w:rFonts w:ascii="Book Antiqua" w:hAnsi="Book Antiqua"/>
          <w:sz w:val="24"/>
          <w:szCs w:val="24"/>
        </w:rPr>
        <w:t xml:space="preserve">ly human </w:t>
      </w:r>
      <w:proofErr w:type="spellStart"/>
      <w:r w:rsidR="009F42DA" w:rsidRPr="00E75F6C">
        <w:rPr>
          <w:rFonts w:ascii="Book Antiqua" w:hAnsi="Book Antiqua"/>
          <w:sz w:val="24"/>
          <w:szCs w:val="24"/>
        </w:rPr>
        <w:t>IgG</w:t>
      </w:r>
      <w:proofErr w:type="spellEnd"/>
      <w:r w:rsidR="009F42DA" w:rsidRPr="00E75F6C">
        <w:rPr>
          <w:rFonts w:ascii="Book Antiqua" w:hAnsi="Book Antiqua"/>
          <w:sz w:val="24"/>
          <w:szCs w:val="24"/>
        </w:rPr>
        <w:t xml:space="preserve"> antibody, but </w:t>
      </w:r>
      <w:r w:rsidRPr="00E75F6C">
        <w:rPr>
          <w:rFonts w:ascii="Book Antiqua" w:hAnsi="Book Antiqua"/>
          <w:sz w:val="24"/>
          <w:szCs w:val="24"/>
        </w:rPr>
        <w:t>studies have shown that antibo</w:t>
      </w:r>
      <w:r w:rsidR="009F42DA" w:rsidRPr="00E75F6C">
        <w:rPr>
          <w:rFonts w:ascii="Book Antiqua" w:hAnsi="Book Antiqua"/>
          <w:sz w:val="24"/>
          <w:szCs w:val="24"/>
        </w:rPr>
        <w:t xml:space="preserve">dies against </w:t>
      </w:r>
      <w:proofErr w:type="spellStart"/>
      <w:r w:rsidR="00C029D8" w:rsidRPr="00E75F6C">
        <w:rPr>
          <w:rFonts w:ascii="Book Antiqua" w:hAnsi="Book Antiqua"/>
          <w:sz w:val="24"/>
          <w:szCs w:val="24"/>
        </w:rPr>
        <w:t>adalimumab</w:t>
      </w:r>
      <w:proofErr w:type="spellEnd"/>
      <w:r w:rsidR="00C029D8" w:rsidRPr="00E75F6C">
        <w:rPr>
          <w:rFonts w:ascii="Book Antiqua" w:hAnsi="Book Antiqua"/>
          <w:sz w:val="24"/>
          <w:szCs w:val="24"/>
        </w:rPr>
        <w:t xml:space="preserve"> (</w:t>
      </w:r>
      <w:r w:rsidR="009F42DA" w:rsidRPr="00E75F6C">
        <w:rPr>
          <w:rFonts w:ascii="Book Antiqua" w:hAnsi="Book Antiqua"/>
          <w:sz w:val="24"/>
          <w:szCs w:val="24"/>
        </w:rPr>
        <w:t>AAA)</w:t>
      </w:r>
      <w:r w:rsidR="00770265" w:rsidRPr="00E75F6C">
        <w:rPr>
          <w:rFonts w:ascii="Book Antiqua" w:hAnsi="Book Antiqua"/>
          <w:sz w:val="24"/>
          <w:szCs w:val="24"/>
        </w:rPr>
        <w:t>, are</w:t>
      </w:r>
      <w:r w:rsidR="005B7558" w:rsidRPr="00E75F6C">
        <w:rPr>
          <w:rFonts w:ascii="Book Antiqua" w:hAnsi="Book Antiqua"/>
          <w:sz w:val="24"/>
          <w:szCs w:val="24"/>
        </w:rPr>
        <w:t xml:space="preserve"> a real problem</w:t>
      </w:r>
      <w:r w:rsidR="00523E72" w:rsidRPr="00523E72">
        <w:rPr>
          <w:rFonts w:ascii="Book Antiqua" w:hAnsi="Book Antiqua"/>
          <w:sz w:val="24"/>
          <w:szCs w:val="24"/>
          <w:vertAlign w:val="superscript"/>
        </w:rPr>
        <w:t>[</w:t>
      </w:r>
      <w:r w:rsidR="006F39C6" w:rsidRPr="006F39C6">
        <w:rPr>
          <w:rFonts w:ascii="Book Antiqua" w:hAnsi="Book Antiqua"/>
          <w:sz w:val="24"/>
          <w:szCs w:val="24"/>
          <w:vertAlign w:val="superscript"/>
        </w:rPr>
        <w:t>1</w:t>
      </w:r>
      <w:r w:rsidR="006F39C6">
        <w:rPr>
          <w:rFonts w:ascii="Book Antiqua" w:hAnsi="Book Antiqua"/>
          <w:sz w:val="24"/>
          <w:szCs w:val="24"/>
          <w:vertAlign w:val="superscript"/>
        </w:rPr>
        <w:t>3</w:t>
      </w:r>
      <w:r w:rsidR="006F39C6" w:rsidRPr="006F39C6">
        <w:rPr>
          <w:rFonts w:ascii="Book Antiqua" w:hAnsi="Book Antiqua"/>
          <w:sz w:val="24"/>
          <w:szCs w:val="24"/>
          <w:vertAlign w:val="superscript"/>
        </w:rPr>
        <w:t>]</w:t>
      </w:r>
      <w:r w:rsidR="005B7558" w:rsidRPr="00E75F6C">
        <w:rPr>
          <w:rFonts w:ascii="Book Antiqua" w:hAnsi="Book Antiqua"/>
          <w:sz w:val="24"/>
          <w:szCs w:val="24"/>
        </w:rPr>
        <w:t xml:space="preserve">. </w:t>
      </w:r>
      <w:r w:rsidR="009F42DA" w:rsidRPr="00E75F6C">
        <w:rPr>
          <w:rFonts w:ascii="Book Antiqua" w:hAnsi="Book Antiqua"/>
          <w:sz w:val="24"/>
          <w:szCs w:val="24"/>
        </w:rPr>
        <w:t>AAA formation are</w:t>
      </w:r>
      <w:r w:rsidR="00D16425" w:rsidRPr="00E75F6C">
        <w:rPr>
          <w:rFonts w:ascii="Book Antiqua" w:hAnsi="Book Antiqua"/>
          <w:sz w:val="24"/>
          <w:szCs w:val="24"/>
        </w:rPr>
        <w:t xml:space="preserve"> again</w:t>
      </w:r>
      <w:r w:rsidR="009F42DA" w:rsidRPr="00E75F6C">
        <w:rPr>
          <w:rFonts w:ascii="Book Antiqua" w:hAnsi="Book Antiqua"/>
          <w:sz w:val="24"/>
          <w:szCs w:val="24"/>
        </w:rPr>
        <w:t xml:space="preserve"> associated with low trough levels, and loss of response. </w:t>
      </w:r>
    </w:p>
    <w:p w14:paraId="759DCCE7" w14:textId="267BBD64" w:rsidR="00C029D8" w:rsidRPr="00E75F6C" w:rsidRDefault="00851B9F" w:rsidP="00523E72">
      <w:pPr>
        <w:spacing w:after="0" w:line="360" w:lineRule="auto"/>
        <w:ind w:firstLineChars="150" w:firstLine="360"/>
        <w:jc w:val="both"/>
        <w:rPr>
          <w:rFonts w:ascii="Book Antiqua" w:hAnsi="Book Antiqua"/>
          <w:sz w:val="24"/>
          <w:szCs w:val="24"/>
        </w:rPr>
      </w:pPr>
      <w:r w:rsidRPr="00E75F6C">
        <w:rPr>
          <w:rFonts w:ascii="Book Antiqua" w:hAnsi="Book Antiqua"/>
          <w:sz w:val="24"/>
          <w:szCs w:val="24"/>
        </w:rPr>
        <w:t>Expanding on this</w:t>
      </w:r>
      <w:r w:rsidR="009D09CE" w:rsidRPr="00E75F6C">
        <w:rPr>
          <w:rFonts w:ascii="Book Antiqua" w:hAnsi="Book Antiqua"/>
          <w:sz w:val="24"/>
          <w:szCs w:val="24"/>
        </w:rPr>
        <w:t>,</w:t>
      </w:r>
      <w:r w:rsidRPr="00E75F6C">
        <w:rPr>
          <w:rFonts w:ascii="Book Antiqua" w:hAnsi="Book Antiqua"/>
          <w:sz w:val="24"/>
          <w:szCs w:val="24"/>
        </w:rPr>
        <w:t xml:space="preserve"> </w:t>
      </w:r>
      <w:proofErr w:type="spellStart"/>
      <w:r w:rsidRPr="00E75F6C">
        <w:rPr>
          <w:rFonts w:ascii="Book Antiqua" w:hAnsi="Book Antiqua"/>
          <w:sz w:val="24"/>
          <w:szCs w:val="24"/>
        </w:rPr>
        <w:t>i</w:t>
      </w:r>
      <w:r w:rsidR="009F7D8F" w:rsidRPr="00E75F6C">
        <w:rPr>
          <w:rFonts w:ascii="Book Antiqua" w:hAnsi="Book Antiqua"/>
          <w:sz w:val="24"/>
          <w:szCs w:val="24"/>
        </w:rPr>
        <w:t>mmu</w:t>
      </w:r>
      <w:r w:rsidR="001F1B93" w:rsidRPr="00E75F6C">
        <w:rPr>
          <w:rFonts w:ascii="Book Antiqua" w:hAnsi="Book Antiqua"/>
          <w:sz w:val="24"/>
          <w:szCs w:val="24"/>
        </w:rPr>
        <w:t>nomonitoring</w:t>
      </w:r>
      <w:proofErr w:type="spellEnd"/>
      <w:r w:rsidR="001F1B93" w:rsidRPr="00E75F6C">
        <w:rPr>
          <w:rFonts w:ascii="Book Antiqua" w:hAnsi="Book Antiqua"/>
          <w:sz w:val="24"/>
          <w:szCs w:val="24"/>
        </w:rPr>
        <w:t xml:space="preserve"> is the use of laboratory techniques to measure anti-TNF</w:t>
      </w:r>
      <w:r w:rsidR="0055454E">
        <w:rPr>
          <w:rFonts w:ascii="Book Antiqua" w:hAnsi="Book Antiqua"/>
          <w:sz w:val="24"/>
          <w:szCs w:val="24"/>
        </w:rPr>
        <w:sym w:font="Symbol" w:char="F061"/>
      </w:r>
      <w:r w:rsidR="001F1B93" w:rsidRPr="00E75F6C">
        <w:rPr>
          <w:rFonts w:ascii="Book Antiqua" w:hAnsi="Book Antiqua"/>
          <w:sz w:val="24"/>
          <w:szCs w:val="24"/>
        </w:rPr>
        <w:t xml:space="preserve"> drug and antibody levels. Historically usin</w:t>
      </w:r>
      <w:r w:rsidR="00C10F69" w:rsidRPr="00E75F6C">
        <w:rPr>
          <w:rFonts w:ascii="Book Antiqua" w:hAnsi="Book Antiqua"/>
          <w:sz w:val="24"/>
          <w:szCs w:val="24"/>
        </w:rPr>
        <w:t>g a standard approach, drug doses</w:t>
      </w:r>
      <w:r w:rsidR="001F1B93" w:rsidRPr="00E75F6C">
        <w:rPr>
          <w:rFonts w:ascii="Book Antiqua" w:hAnsi="Book Antiqua"/>
          <w:sz w:val="24"/>
          <w:szCs w:val="24"/>
        </w:rPr>
        <w:t xml:space="preserve"> are adjusted based on clinical need</w:t>
      </w:r>
      <w:r w:rsidRPr="00E75F6C">
        <w:rPr>
          <w:rFonts w:ascii="Book Antiqua" w:hAnsi="Book Antiqua"/>
          <w:sz w:val="24"/>
          <w:szCs w:val="24"/>
        </w:rPr>
        <w:t xml:space="preserve">. </w:t>
      </w:r>
      <w:r w:rsidR="001F1B93" w:rsidRPr="00E75F6C">
        <w:rPr>
          <w:rFonts w:ascii="Book Antiqua" w:hAnsi="Book Antiqua"/>
          <w:sz w:val="24"/>
          <w:szCs w:val="24"/>
        </w:rPr>
        <w:t>However this approach is not patient focused, and doesn’t explore the underlying pharmacokinetics of anti-</w:t>
      </w:r>
      <w:r w:rsidR="001F1B93" w:rsidRPr="00E75F6C">
        <w:rPr>
          <w:rFonts w:ascii="Book Antiqua" w:hAnsi="Book Antiqua"/>
          <w:sz w:val="24"/>
          <w:szCs w:val="24"/>
        </w:rPr>
        <w:lastRenderedPageBreak/>
        <w:t>TNF</w:t>
      </w:r>
      <w:r w:rsidR="0055492C">
        <w:rPr>
          <w:rFonts w:ascii="Book Antiqua" w:hAnsi="Book Antiqua"/>
          <w:sz w:val="24"/>
          <w:szCs w:val="24"/>
        </w:rPr>
        <w:sym w:font="Symbol" w:char="F061"/>
      </w:r>
      <w:r w:rsidR="001F1B93" w:rsidRPr="00E75F6C">
        <w:rPr>
          <w:rFonts w:ascii="Book Antiqua" w:hAnsi="Book Antiqua"/>
          <w:sz w:val="24"/>
          <w:szCs w:val="24"/>
        </w:rPr>
        <w:t xml:space="preserve"> therapy. A treat to target approach with the use of anti-TNF</w:t>
      </w:r>
      <w:r w:rsidR="0055454E">
        <w:rPr>
          <w:rFonts w:ascii="Book Antiqua" w:hAnsi="Book Antiqua"/>
          <w:sz w:val="24"/>
          <w:szCs w:val="24"/>
        </w:rPr>
        <w:sym w:font="Symbol" w:char="F061"/>
      </w:r>
      <w:r w:rsidR="001F1B93" w:rsidRPr="00E75F6C">
        <w:rPr>
          <w:rFonts w:ascii="Book Antiqua" w:hAnsi="Book Antiqua"/>
          <w:sz w:val="24"/>
          <w:szCs w:val="24"/>
        </w:rPr>
        <w:t xml:space="preserve"> drug and antibody levels, </w:t>
      </w:r>
      <w:r w:rsidR="00D16425" w:rsidRPr="00E75F6C">
        <w:rPr>
          <w:rFonts w:ascii="Book Antiqua" w:hAnsi="Book Antiqua"/>
          <w:sz w:val="24"/>
          <w:szCs w:val="24"/>
        </w:rPr>
        <w:t>could</w:t>
      </w:r>
      <w:r w:rsidR="001F1B93" w:rsidRPr="00E75F6C">
        <w:rPr>
          <w:rFonts w:ascii="Book Antiqua" w:hAnsi="Book Antiqua"/>
          <w:sz w:val="24"/>
          <w:szCs w:val="24"/>
        </w:rPr>
        <w:t xml:space="preserve"> help tailor treatment to the individual and may help improve response rates, overcome loss of response, and </w:t>
      </w:r>
      <w:r w:rsidR="00C329EA" w:rsidRPr="00E75F6C">
        <w:rPr>
          <w:rFonts w:ascii="Book Antiqua" w:hAnsi="Book Antiqua"/>
          <w:sz w:val="24"/>
          <w:szCs w:val="24"/>
        </w:rPr>
        <w:t xml:space="preserve">achieve mucosal healing. </w:t>
      </w:r>
      <w:r w:rsidR="00FD641F" w:rsidRPr="00E75F6C">
        <w:rPr>
          <w:rFonts w:ascii="Book Antiqua" w:hAnsi="Book Antiqua"/>
          <w:sz w:val="24"/>
          <w:szCs w:val="24"/>
        </w:rPr>
        <w:t xml:space="preserve">An example of this approach </w:t>
      </w:r>
      <w:r w:rsidR="00D16425" w:rsidRPr="00E75F6C">
        <w:rPr>
          <w:rFonts w:ascii="Book Antiqua" w:hAnsi="Book Antiqua"/>
          <w:sz w:val="24"/>
          <w:szCs w:val="24"/>
        </w:rPr>
        <w:t xml:space="preserve">used to good effect, </w:t>
      </w:r>
      <w:r w:rsidR="00FD641F" w:rsidRPr="00E75F6C">
        <w:rPr>
          <w:rFonts w:ascii="Book Antiqua" w:hAnsi="Book Antiqua"/>
          <w:sz w:val="24"/>
          <w:szCs w:val="24"/>
        </w:rPr>
        <w:t>is from the recent TAXIT study, whereby patients infliximab doses were proactively intensified if trough levels were &lt;</w:t>
      </w:r>
      <w:r w:rsidR="00523E72">
        <w:rPr>
          <w:rFonts w:ascii="Book Antiqua" w:hAnsi="Book Antiqua" w:hint="eastAsia"/>
          <w:sz w:val="24"/>
          <w:szCs w:val="24"/>
          <w:lang w:eastAsia="zh-CN"/>
        </w:rPr>
        <w:t xml:space="preserve"> </w:t>
      </w:r>
      <w:r w:rsidR="00FD641F" w:rsidRPr="00E75F6C">
        <w:rPr>
          <w:rFonts w:ascii="Book Antiqua" w:hAnsi="Book Antiqua"/>
          <w:sz w:val="24"/>
          <w:szCs w:val="24"/>
        </w:rPr>
        <w:t>3</w:t>
      </w:r>
      <w:r w:rsidR="00523E72">
        <w:rPr>
          <w:rFonts w:ascii="Book Antiqua" w:hAnsi="Book Antiqua" w:hint="eastAsia"/>
          <w:sz w:val="24"/>
          <w:szCs w:val="24"/>
          <w:lang w:eastAsia="zh-CN"/>
        </w:rPr>
        <w:t xml:space="preserve"> </w:t>
      </w:r>
      <w:r w:rsidR="00523E72">
        <w:rPr>
          <w:rFonts w:ascii="Book Antiqua" w:hAnsi="Book Antiqua"/>
          <w:sz w:val="24"/>
          <w:szCs w:val="24"/>
        </w:rPr>
        <w:sym w:font="Symbol" w:char="F06D"/>
      </w:r>
      <w:r w:rsidR="00FD641F" w:rsidRPr="00E75F6C">
        <w:rPr>
          <w:rFonts w:ascii="Book Antiqua" w:hAnsi="Book Antiqua"/>
          <w:sz w:val="24"/>
          <w:szCs w:val="24"/>
        </w:rPr>
        <w:t>g/m</w:t>
      </w:r>
      <w:r w:rsidR="00523E72" w:rsidRPr="00E75F6C">
        <w:rPr>
          <w:rFonts w:ascii="Book Antiqua" w:hAnsi="Book Antiqua"/>
          <w:sz w:val="24"/>
          <w:szCs w:val="24"/>
        </w:rPr>
        <w:t>L</w:t>
      </w:r>
      <w:r w:rsidR="00523E72" w:rsidRPr="00523E72">
        <w:rPr>
          <w:rFonts w:ascii="Book Antiqua" w:hAnsi="Book Antiqua"/>
          <w:sz w:val="24"/>
          <w:szCs w:val="24"/>
          <w:vertAlign w:val="superscript"/>
        </w:rPr>
        <w:t>[</w:t>
      </w:r>
      <w:r w:rsidR="006F39C6" w:rsidRPr="006F39C6">
        <w:rPr>
          <w:rFonts w:ascii="Book Antiqua" w:hAnsi="Book Antiqua"/>
          <w:sz w:val="24"/>
          <w:szCs w:val="24"/>
          <w:vertAlign w:val="superscript"/>
        </w:rPr>
        <w:t>1</w:t>
      </w:r>
      <w:r w:rsidR="006F39C6">
        <w:rPr>
          <w:rFonts w:ascii="Book Antiqua" w:hAnsi="Book Antiqua"/>
          <w:sz w:val="24"/>
          <w:szCs w:val="24"/>
          <w:vertAlign w:val="superscript"/>
        </w:rPr>
        <w:t>4</w:t>
      </w:r>
      <w:r w:rsidR="006F39C6" w:rsidRPr="006F39C6">
        <w:rPr>
          <w:rFonts w:ascii="Book Antiqua" w:hAnsi="Book Antiqua"/>
          <w:sz w:val="24"/>
          <w:szCs w:val="24"/>
          <w:vertAlign w:val="superscript"/>
        </w:rPr>
        <w:t>]</w:t>
      </w:r>
      <w:r w:rsidR="00DA0328" w:rsidRPr="00E75F6C">
        <w:rPr>
          <w:rFonts w:ascii="Book Antiqua" w:hAnsi="Book Antiqua"/>
          <w:sz w:val="24"/>
          <w:szCs w:val="24"/>
        </w:rPr>
        <w:t>.</w:t>
      </w:r>
    </w:p>
    <w:p w14:paraId="41CAAFDB" w14:textId="77777777" w:rsidR="009F42DA" w:rsidRDefault="009F42DA" w:rsidP="00523E72">
      <w:pPr>
        <w:spacing w:after="0" w:line="360" w:lineRule="auto"/>
        <w:ind w:firstLineChars="150" w:firstLine="360"/>
        <w:jc w:val="both"/>
        <w:rPr>
          <w:rFonts w:ascii="Book Antiqua" w:hAnsi="Book Antiqua"/>
          <w:sz w:val="24"/>
          <w:szCs w:val="24"/>
          <w:lang w:eastAsia="zh-CN"/>
        </w:rPr>
      </w:pPr>
      <w:r w:rsidRPr="00E75F6C">
        <w:rPr>
          <w:rFonts w:ascii="Book Antiqua" w:hAnsi="Book Antiqua"/>
          <w:sz w:val="24"/>
          <w:szCs w:val="24"/>
        </w:rPr>
        <w:t xml:space="preserve">Key issues at present concerning </w:t>
      </w:r>
      <w:proofErr w:type="spellStart"/>
      <w:r w:rsidRPr="00E75F6C">
        <w:rPr>
          <w:rFonts w:ascii="Book Antiqua" w:hAnsi="Book Antiqua"/>
          <w:sz w:val="24"/>
          <w:szCs w:val="24"/>
        </w:rPr>
        <w:t>immunomonitoring</w:t>
      </w:r>
      <w:proofErr w:type="spellEnd"/>
      <w:r w:rsidRPr="00E75F6C">
        <w:rPr>
          <w:rFonts w:ascii="Book Antiqua" w:hAnsi="Book Antiqua"/>
          <w:sz w:val="24"/>
          <w:szCs w:val="24"/>
        </w:rPr>
        <w:t xml:space="preserve"> include, defining optimal trough le</w:t>
      </w:r>
      <w:r w:rsidR="009F7D8F" w:rsidRPr="00E75F6C">
        <w:rPr>
          <w:rFonts w:ascii="Book Antiqua" w:hAnsi="Book Antiqua"/>
          <w:sz w:val="24"/>
          <w:szCs w:val="24"/>
        </w:rPr>
        <w:t xml:space="preserve">vels. </w:t>
      </w:r>
      <w:r w:rsidR="008F00C4" w:rsidRPr="00E75F6C">
        <w:rPr>
          <w:rFonts w:ascii="Book Antiqua" w:hAnsi="Book Antiqua"/>
          <w:sz w:val="24"/>
          <w:szCs w:val="24"/>
        </w:rPr>
        <w:t xml:space="preserve">Clarifying why low trough levels develop, and forming strategies to improve them. </w:t>
      </w:r>
      <w:r w:rsidR="009F7D8F" w:rsidRPr="00E75F6C">
        <w:rPr>
          <w:rFonts w:ascii="Book Antiqua" w:hAnsi="Book Antiqua"/>
          <w:sz w:val="24"/>
          <w:szCs w:val="24"/>
        </w:rPr>
        <w:t>Do we need higher troughs</w:t>
      </w:r>
      <w:r w:rsidRPr="00E75F6C">
        <w:rPr>
          <w:rFonts w:ascii="Book Antiqua" w:hAnsi="Book Antiqua"/>
          <w:sz w:val="24"/>
          <w:szCs w:val="24"/>
        </w:rPr>
        <w:t xml:space="preserve"> to achieve mucosal healing? Distinguishing between clinically significant and insignificant antibody levels. Clarifying the role for combination therapy, and its impact on immunogenicity. When best to check levels, with perhaps strong consideration to targeting the period around completion of induction therapy. Improvement in </w:t>
      </w:r>
      <w:r w:rsidR="00C029D8" w:rsidRPr="00E75F6C">
        <w:rPr>
          <w:rFonts w:ascii="Book Antiqua" w:hAnsi="Book Antiqua"/>
          <w:sz w:val="24"/>
          <w:szCs w:val="24"/>
        </w:rPr>
        <w:t xml:space="preserve">laboratory ELISA techniques, </w:t>
      </w:r>
      <w:r w:rsidRPr="00E75F6C">
        <w:rPr>
          <w:rFonts w:ascii="Book Antiqua" w:hAnsi="Book Antiqua"/>
          <w:sz w:val="24"/>
          <w:szCs w:val="24"/>
        </w:rPr>
        <w:t xml:space="preserve">reproducibility, and comparability of different assays. </w:t>
      </w:r>
    </w:p>
    <w:p w14:paraId="17C93ACE" w14:textId="77777777" w:rsidR="00523E72" w:rsidRPr="00E75F6C" w:rsidRDefault="00523E72" w:rsidP="00523E72">
      <w:pPr>
        <w:spacing w:after="0" w:line="360" w:lineRule="auto"/>
        <w:ind w:firstLineChars="150" w:firstLine="360"/>
        <w:jc w:val="both"/>
        <w:rPr>
          <w:rFonts w:ascii="Book Antiqua" w:hAnsi="Book Antiqua"/>
          <w:sz w:val="24"/>
          <w:szCs w:val="24"/>
          <w:lang w:eastAsia="zh-CN"/>
        </w:rPr>
      </w:pPr>
    </w:p>
    <w:p w14:paraId="1DE1A6F0" w14:textId="77777777" w:rsidR="00851B9F" w:rsidRPr="00E75F6C" w:rsidRDefault="00523E72" w:rsidP="00AD1560">
      <w:pPr>
        <w:spacing w:after="0" w:line="360" w:lineRule="auto"/>
        <w:jc w:val="both"/>
        <w:rPr>
          <w:rFonts w:ascii="Book Antiqua" w:hAnsi="Book Antiqua"/>
          <w:b/>
          <w:sz w:val="24"/>
          <w:szCs w:val="24"/>
        </w:rPr>
      </w:pPr>
      <w:r w:rsidRPr="00E75F6C">
        <w:rPr>
          <w:rFonts w:ascii="Book Antiqua" w:hAnsi="Book Antiqua"/>
          <w:b/>
          <w:sz w:val="24"/>
          <w:szCs w:val="24"/>
        </w:rPr>
        <w:t xml:space="preserve">DEFINING TROUGH AND ANTIBODY LEVELS? </w:t>
      </w:r>
    </w:p>
    <w:p w14:paraId="74CDFE34" w14:textId="25D61DA5" w:rsidR="00851B9F" w:rsidRPr="00E75F6C" w:rsidRDefault="00851B9F" w:rsidP="00AD1560">
      <w:pPr>
        <w:spacing w:after="0" w:line="360" w:lineRule="auto"/>
        <w:jc w:val="both"/>
        <w:rPr>
          <w:rFonts w:ascii="Book Antiqua" w:hAnsi="Book Antiqua"/>
          <w:sz w:val="24"/>
          <w:szCs w:val="24"/>
        </w:rPr>
      </w:pPr>
      <w:proofErr w:type="gramStart"/>
      <w:r w:rsidRPr="00E75F6C">
        <w:rPr>
          <w:rFonts w:ascii="Book Antiqua" w:hAnsi="Book Antiqua"/>
          <w:sz w:val="24"/>
          <w:szCs w:val="24"/>
        </w:rPr>
        <w:t>As mentioned immunogenicity leads to ADA formation, and sub-therapeutic anti-TNF</w:t>
      </w:r>
      <w:r w:rsidR="0055454E">
        <w:rPr>
          <w:rFonts w:ascii="Book Antiqua" w:hAnsi="Book Antiqua"/>
          <w:sz w:val="24"/>
          <w:szCs w:val="24"/>
        </w:rPr>
        <w:sym w:font="Symbol" w:char="F061"/>
      </w:r>
      <w:r w:rsidRPr="00E75F6C">
        <w:rPr>
          <w:rFonts w:ascii="Book Antiqua" w:hAnsi="Book Antiqua"/>
          <w:sz w:val="24"/>
          <w:szCs w:val="24"/>
        </w:rPr>
        <w:t xml:space="preserve"> trough levels, which can lead to loss of response.</w:t>
      </w:r>
      <w:proofErr w:type="gramEnd"/>
      <w:r w:rsidRPr="00E75F6C">
        <w:rPr>
          <w:rFonts w:ascii="Book Antiqua" w:hAnsi="Book Antiqua"/>
          <w:sz w:val="24"/>
          <w:szCs w:val="24"/>
        </w:rPr>
        <w:t xml:space="preserve"> It’s im</w:t>
      </w:r>
      <w:r w:rsidR="00DC0331" w:rsidRPr="00E75F6C">
        <w:rPr>
          <w:rFonts w:ascii="Book Antiqua" w:hAnsi="Book Antiqua"/>
          <w:sz w:val="24"/>
          <w:szCs w:val="24"/>
        </w:rPr>
        <w:t>portant to define targets when i</w:t>
      </w:r>
      <w:r w:rsidRPr="00E75F6C">
        <w:rPr>
          <w:rFonts w:ascii="Book Antiqua" w:hAnsi="Book Antiqua"/>
          <w:sz w:val="24"/>
          <w:szCs w:val="24"/>
        </w:rPr>
        <w:t xml:space="preserve">ncorporating </w:t>
      </w:r>
      <w:proofErr w:type="spellStart"/>
      <w:r w:rsidRPr="00E75F6C">
        <w:rPr>
          <w:rFonts w:ascii="Book Antiqua" w:hAnsi="Book Antiqua"/>
          <w:sz w:val="24"/>
          <w:szCs w:val="24"/>
        </w:rPr>
        <w:t>immunomonitoring</w:t>
      </w:r>
      <w:proofErr w:type="spellEnd"/>
      <w:r w:rsidRPr="00E75F6C">
        <w:rPr>
          <w:rFonts w:ascii="Book Antiqua" w:hAnsi="Book Antiqua"/>
          <w:sz w:val="24"/>
          <w:szCs w:val="24"/>
        </w:rPr>
        <w:t xml:space="preserve"> into the treatment algorithm of IBD. </w:t>
      </w:r>
      <w:r w:rsidR="00D16425" w:rsidRPr="00E75F6C">
        <w:rPr>
          <w:rFonts w:ascii="Book Antiqua" w:hAnsi="Book Antiqua"/>
          <w:sz w:val="24"/>
          <w:szCs w:val="24"/>
        </w:rPr>
        <w:t>Low trough levels, are defined as trough levels &lt;</w:t>
      </w:r>
      <w:r w:rsidR="00523E72">
        <w:rPr>
          <w:rFonts w:ascii="Book Antiqua" w:hAnsi="Book Antiqua" w:hint="eastAsia"/>
          <w:sz w:val="24"/>
          <w:szCs w:val="24"/>
          <w:lang w:eastAsia="zh-CN"/>
        </w:rPr>
        <w:t xml:space="preserve"> </w:t>
      </w:r>
      <w:r w:rsidR="00D16425" w:rsidRPr="00E75F6C">
        <w:rPr>
          <w:rFonts w:ascii="Book Antiqua" w:hAnsi="Book Antiqua"/>
          <w:sz w:val="24"/>
          <w:szCs w:val="24"/>
        </w:rPr>
        <w:t>1</w:t>
      </w:r>
      <w:r w:rsidR="00523E72">
        <w:rPr>
          <w:rFonts w:ascii="Book Antiqua" w:hAnsi="Book Antiqua" w:hint="eastAsia"/>
          <w:sz w:val="24"/>
          <w:szCs w:val="24"/>
          <w:lang w:eastAsia="zh-CN"/>
        </w:rPr>
        <w:t xml:space="preserve"> </w:t>
      </w:r>
      <w:r w:rsidR="00523E72">
        <w:rPr>
          <w:rFonts w:ascii="Book Antiqua" w:hAnsi="Book Antiqua"/>
          <w:sz w:val="24"/>
          <w:szCs w:val="24"/>
        </w:rPr>
        <w:sym w:font="Symbol" w:char="F06D"/>
      </w:r>
      <w:r w:rsidR="00D16425" w:rsidRPr="00E75F6C">
        <w:rPr>
          <w:rFonts w:ascii="Book Antiqua" w:hAnsi="Book Antiqua"/>
          <w:sz w:val="24"/>
          <w:szCs w:val="24"/>
        </w:rPr>
        <w:t>g/</w:t>
      </w:r>
      <w:proofErr w:type="spellStart"/>
      <w:r w:rsidR="00D16425" w:rsidRPr="00E75F6C">
        <w:rPr>
          <w:rFonts w:ascii="Book Antiqua" w:hAnsi="Book Antiqua"/>
          <w:sz w:val="24"/>
          <w:szCs w:val="24"/>
        </w:rPr>
        <w:t>m</w:t>
      </w:r>
      <w:r w:rsidR="00523E72" w:rsidRPr="00E75F6C">
        <w:rPr>
          <w:rFonts w:ascii="Book Antiqua" w:hAnsi="Book Antiqua"/>
          <w:sz w:val="24"/>
          <w:szCs w:val="24"/>
        </w:rPr>
        <w:t>L</w:t>
      </w:r>
      <w:r w:rsidR="00D16425" w:rsidRPr="00E75F6C">
        <w:rPr>
          <w:rFonts w:ascii="Book Antiqua" w:hAnsi="Book Antiqua"/>
          <w:sz w:val="24"/>
          <w:szCs w:val="24"/>
        </w:rPr>
        <w:t>.</w:t>
      </w:r>
      <w:proofErr w:type="spellEnd"/>
      <w:r w:rsidR="00D16425" w:rsidRPr="00E75F6C">
        <w:rPr>
          <w:rFonts w:ascii="Book Antiqua" w:hAnsi="Book Antiqua"/>
          <w:sz w:val="24"/>
          <w:szCs w:val="24"/>
        </w:rPr>
        <w:t xml:space="preserve"> </w:t>
      </w:r>
      <w:r w:rsidR="00DC0331" w:rsidRPr="00E75F6C">
        <w:rPr>
          <w:rFonts w:ascii="Book Antiqua" w:hAnsi="Book Antiqua"/>
          <w:sz w:val="24"/>
          <w:szCs w:val="24"/>
        </w:rPr>
        <w:t>T</w:t>
      </w:r>
      <w:r w:rsidRPr="00E75F6C">
        <w:rPr>
          <w:rFonts w:ascii="Book Antiqua" w:hAnsi="Book Antiqua"/>
          <w:sz w:val="24"/>
          <w:szCs w:val="24"/>
        </w:rPr>
        <w:t xml:space="preserve">he treat to target approach, involves aiming for </w:t>
      </w:r>
      <w:r w:rsidR="00D16425" w:rsidRPr="00E75F6C">
        <w:rPr>
          <w:rFonts w:ascii="Book Antiqua" w:hAnsi="Book Antiqua"/>
          <w:sz w:val="24"/>
          <w:szCs w:val="24"/>
        </w:rPr>
        <w:t>optimal rather than minimal</w:t>
      </w:r>
      <w:r w:rsidR="007015C9" w:rsidRPr="00E75F6C">
        <w:rPr>
          <w:rFonts w:ascii="Book Antiqua" w:hAnsi="Book Antiqua"/>
          <w:sz w:val="24"/>
          <w:szCs w:val="24"/>
        </w:rPr>
        <w:t xml:space="preserve"> anti-TNF</w:t>
      </w:r>
      <w:r w:rsidR="0055492C">
        <w:rPr>
          <w:rFonts w:ascii="Book Antiqua" w:hAnsi="Book Antiqua"/>
          <w:sz w:val="24"/>
          <w:szCs w:val="24"/>
        </w:rPr>
        <w:sym w:font="Symbol" w:char="F061"/>
      </w:r>
      <w:r w:rsidR="007015C9" w:rsidRPr="00E75F6C">
        <w:rPr>
          <w:rFonts w:ascii="Book Antiqua" w:hAnsi="Book Antiqua"/>
          <w:sz w:val="24"/>
          <w:szCs w:val="24"/>
        </w:rPr>
        <w:t xml:space="preserve"> trough levels. Therapeutic trough levels are currently being redefined, and targets will likely be d</w:t>
      </w:r>
      <w:r w:rsidR="00DC0331" w:rsidRPr="00E75F6C">
        <w:rPr>
          <w:rFonts w:ascii="Book Antiqua" w:hAnsi="Book Antiqua"/>
          <w:sz w:val="24"/>
          <w:szCs w:val="24"/>
        </w:rPr>
        <w:t>rug specific, and trough levels</w:t>
      </w:r>
      <w:r w:rsidR="007015C9" w:rsidRPr="00E75F6C">
        <w:rPr>
          <w:rFonts w:ascii="Book Antiqua" w:hAnsi="Book Antiqua"/>
          <w:sz w:val="24"/>
          <w:szCs w:val="24"/>
        </w:rPr>
        <w:t xml:space="preserve"> will ne</w:t>
      </w:r>
      <w:r w:rsidR="00725683" w:rsidRPr="00E75F6C">
        <w:rPr>
          <w:rFonts w:ascii="Book Antiqua" w:hAnsi="Book Antiqua"/>
          <w:sz w:val="24"/>
          <w:szCs w:val="24"/>
        </w:rPr>
        <w:t>e</w:t>
      </w:r>
      <w:r w:rsidR="007015C9" w:rsidRPr="00E75F6C">
        <w:rPr>
          <w:rFonts w:ascii="Book Antiqua" w:hAnsi="Book Antiqua"/>
          <w:sz w:val="24"/>
          <w:szCs w:val="24"/>
        </w:rPr>
        <w:t xml:space="preserve">d to be improved, to achieve mucosal healing. </w:t>
      </w:r>
      <w:r w:rsidR="00A40BA8" w:rsidRPr="00E75F6C">
        <w:rPr>
          <w:rFonts w:ascii="Book Antiqua" w:hAnsi="Book Antiqua"/>
          <w:sz w:val="24"/>
          <w:szCs w:val="24"/>
        </w:rPr>
        <w:t>This review will explore these targets in further detail. ADA may be defined as be</w:t>
      </w:r>
      <w:r w:rsidR="00DC0331" w:rsidRPr="00E75F6C">
        <w:rPr>
          <w:rFonts w:ascii="Book Antiqua" w:hAnsi="Book Antiqua"/>
          <w:sz w:val="24"/>
          <w:szCs w:val="24"/>
        </w:rPr>
        <w:t xml:space="preserve">ing detectable or undetectable, with specific cut-offs depending on the assay used. </w:t>
      </w:r>
    </w:p>
    <w:p w14:paraId="1D9E19DD" w14:textId="77777777" w:rsidR="009E3A6D" w:rsidRPr="00E75F6C" w:rsidRDefault="009E3A6D" w:rsidP="00523E72">
      <w:pPr>
        <w:spacing w:after="0" w:line="360" w:lineRule="auto"/>
        <w:ind w:firstLineChars="150" w:firstLine="360"/>
        <w:jc w:val="both"/>
        <w:rPr>
          <w:rFonts w:ascii="Book Antiqua" w:hAnsi="Book Antiqua"/>
          <w:sz w:val="24"/>
          <w:szCs w:val="24"/>
        </w:rPr>
      </w:pPr>
      <w:r w:rsidRPr="00E75F6C">
        <w:rPr>
          <w:rFonts w:ascii="Book Antiqua" w:hAnsi="Book Antiqua"/>
          <w:sz w:val="24"/>
          <w:szCs w:val="24"/>
        </w:rPr>
        <w:t>Concerns have been expressed about the risk of high or supra-therapeutic trough levels. A recent study</w:t>
      </w:r>
      <w:r w:rsidR="00DC0331" w:rsidRPr="00E75F6C">
        <w:rPr>
          <w:rFonts w:ascii="Book Antiqua" w:hAnsi="Book Antiqua"/>
          <w:sz w:val="24"/>
          <w:szCs w:val="24"/>
        </w:rPr>
        <w:t xml:space="preserve"> </w:t>
      </w:r>
      <w:r w:rsidRPr="00E75F6C">
        <w:rPr>
          <w:rFonts w:ascii="Book Antiqua" w:hAnsi="Book Antiqua"/>
          <w:sz w:val="24"/>
          <w:szCs w:val="24"/>
        </w:rPr>
        <w:t xml:space="preserve">however has shown IBD patients with higher anti-TNF serum concentrations had significantly </w:t>
      </w:r>
      <w:r w:rsidR="00D16425" w:rsidRPr="00E75F6C">
        <w:rPr>
          <w:rFonts w:ascii="Book Antiqua" w:hAnsi="Book Antiqua"/>
          <w:sz w:val="24"/>
          <w:szCs w:val="24"/>
        </w:rPr>
        <w:t>better</w:t>
      </w:r>
      <w:r w:rsidRPr="00E75F6C">
        <w:rPr>
          <w:rFonts w:ascii="Book Antiqua" w:hAnsi="Book Antiqua"/>
          <w:sz w:val="24"/>
          <w:szCs w:val="24"/>
        </w:rPr>
        <w:t xml:space="preserve"> disease-specific quality-of-life. Fatigue, arthralgia, skin lesions and other side-effects do not occur more often in these </w:t>
      </w:r>
      <w:r w:rsidRPr="00E75F6C">
        <w:rPr>
          <w:rFonts w:ascii="Book Antiqua" w:hAnsi="Book Antiqua"/>
          <w:sz w:val="24"/>
          <w:szCs w:val="24"/>
        </w:rPr>
        <w:lastRenderedPageBreak/>
        <w:t>patients. This study is reassuring in that high serum concentrations of anti-TNF antibodies are not toxic</w:t>
      </w:r>
      <w:r w:rsidR="00523E72" w:rsidRPr="00523E72">
        <w:rPr>
          <w:rFonts w:ascii="Book Antiqua" w:hAnsi="Book Antiqua"/>
          <w:sz w:val="24"/>
          <w:szCs w:val="24"/>
          <w:vertAlign w:val="superscript"/>
        </w:rPr>
        <w:t>[</w:t>
      </w:r>
      <w:r w:rsidR="006F39C6" w:rsidRPr="006F39C6">
        <w:rPr>
          <w:rFonts w:ascii="Book Antiqua" w:hAnsi="Book Antiqua"/>
          <w:sz w:val="24"/>
          <w:szCs w:val="24"/>
          <w:vertAlign w:val="superscript"/>
        </w:rPr>
        <w:t>1</w:t>
      </w:r>
      <w:r w:rsidR="006F39C6">
        <w:rPr>
          <w:rFonts w:ascii="Book Antiqua" w:hAnsi="Book Antiqua"/>
          <w:sz w:val="24"/>
          <w:szCs w:val="24"/>
          <w:vertAlign w:val="superscript"/>
        </w:rPr>
        <w:t>5</w:t>
      </w:r>
      <w:r w:rsidR="006F39C6" w:rsidRPr="006F39C6">
        <w:rPr>
          <w:rFonts w:ascii="Book Antiqua" w:hAnsi="Book Antiqua"/>
          <w:sz w:val="24"/>
          <w:szCs w:val="24"/>
          <w:vertAlign w:val="superscript"/>
        </w:rPr>
        <w:t>]</w:t>
      </w:r>
      <w:r w:rsidRPr="00E75F6C">
        <w:rPr>
          <w:rFonts w:ascii="Book Antiqua" w:hAnsi="Book Antiqua"/>
          <w:sz w:val="24"/>
          <w:szCs w:val="24"/>
        </w:rPr>
        <w:t>.</w:t>
      </w:r>
    </w:p>
    <w:p w14:paraId="5552E842" w14:textId="5EDBE1C0" w:rsidR="002D4102" w:rsidRPr="00E75F6C" w:rsidRDefault="002D4102" w:rsidP="00523E72">
      <w:pPr>
        <w:spacing w:after="0" w:line="360" w:lineRule="auto"/>
        <w:ind w:firstLineChars="150" w:firstLine="360"/>
        <w:jc w:val="both"/>
        <w:rPr>
          <w:rFonts w:ascii="Book Antiqua" w:hAnsi="Book Antiqua"/>
          <w:sz w:val="24"/>
          <w:szCs w:val="24"/>
        </w:rPr>
      </w:pPr>
      <w:r w:rsidRPr="00E75F6C">
        <w:rPr>
          <w:rFonts w:ascii="Book Antiqua" w:hAnsi="Book Antiqua"/>
          <w:sz w:val="24"/>
          <w:szCs w:val="24"/>
        </w:rPr>
        <w:t>Antibody formation to TNF</w:t>
      </w:r>
      <w:r w:rsidR="0055454E">
        <w:rPr>
          <w:rFonts w:ascii="Book Antiqua" w:hAnsi="Book Antiqua"/>
          <w:sz w:val="24"/>
          <w:szCs w:val="24"/>
        </w:rPr>
        <w:sym w:font="Symbol" w:char="F061"/>
      </w:r>
      <w:r w:rsidRPr="00E75F6C">
        <w:rPr>
          <w:rFonts w:ascii="Book Antiqua" w:hAnsi="Book Antiqua"/>
          <w:sz w:val="24"/>
          <w:szCs w:val="24"/>
        </w:rPr>
        <w:t xml:space="preserve"> is </w:t>
      </w:r>
      <w:r w:rsidR="009E3A6D" w:rsidRPr="00E75F6C">
        <w:rPr>
          <w:rFonts w:ascii="Book Antiqua" w:hAnsi="Book Antiqua"/>
          <w:sz w:val="24"/>
          <w:szCs w:val="24"/>
        </w:rPr>
        <w:t>not a fixed</w:t>
      </w:r>
      <w:r w:rsidRPr="00E75F6C">
        <w:rPr>
          <w:rFonts w:ascii="Book Antiqua" w:hAnsi="Book Antiqua"/>
          <w:sz w:val="24"/>
          <w:szCs w:val="24"/>
        </w:rPr>
        <w:t xml:space="preserve"> process. A prospective study of 125 patients with IBD, </w:t>
      </w:r>
      <w:r w:rsidR="00F92249" w:rsidRPr="00E75F6C">
        <w:rPr>
          <w:rFonts w:ascii="Book Antiqua" w:hAnsi="Book Antiqua"/>
          <w:sz w:val="24"/>
          <w:szCs w:val="24"/>
        </w:rPr>
        <w:t xml:space="preserve">treated with infliximab </w:t>
      </w:r>
      <w:r w:rsidRPr="00E75F6C">
        <w:rPr>
          <w:rFonts w:ascii="Book Antiqua" w:hAnsi="Book Antiqua"/>
          <w:sz w:val="24"/>
          <w:szCs w:val="24"/>
        </w:rPr>
        <w:t>showed that ATI formation can fluctuate</w:t>
      </w:r>
      <w:r w:rsidR="00523E72" w:rsidRPr="00523E72">
        <w:rPr>
          <w:rFonts w:ascii="Book Antiqua" w:hAnsi="Book Antiqua"/>
          <w:sz w:val="24"/>
          <w:szCs w:val="24"/>
          <w:vertAlign w:val="superscript"/>
        </w:rPr>
        <w:t>[</w:t>
      </w:r>
      <w:r w:rsidR="006F39C6" w:rsidRPr="006F39C6">
        <w:rPr>
          <w:rFonts w:ascii="Book Antiqua" w:hAnsi="Book Antiqua"/>
          <w:sz w:val="24"/>
          <w:szCs w:val="24"/>
          <w:vertAlign w:val="superscript"/>
        </w:rPr>
        <w:t>1</w:t>
      </w:r>
      <w:r w:rsidR="006F39C6">
        <w:rPr>
          <w:rFonts w:ascii="Book Antiqua" w:hAnsi="Book Antiqua"/>
          <w:sz w:val="24"/>
          <w:szCs w:val="24"/>
          <w:vertAlign w:val="superscript"/>
        </w:rPr>
        <w:t>6</w:t>
      </w:r>
      <w:r w:rsidR="006F39C6" w:rsidRPr="006F39C6">
        <w:rPr>
          <w:rFonts w:ascii="Book Antiqua" w:hAnsi="Book Antiqua"/>
          <w:sz w:val="24"/>
          <w:szCs w:val="24"/>
          <w:vertAlign w:val="superscript"/>
        </w:rPr>
        <w:t>]</w:t>
      </w:r>
      <w:r w:rsidRPr="00E75F6C">
        <w:rPr>
          <w:rFonts w:ascii="Book Antiqua" w:hAnsi="Book Antiqua"/>
          <w:sz w:val="24"/>
          <w:szCs w:val="24"/>
        </w:rPr>
        <w:t xml:space="preserve">. Clinically relevant ATI were typically formed within the first 12 </w:t>
      </w:r>
      <w:proofErr w:type="spellStart"/>
      <w:r w:rsidR="00523E72">
        <w:rPr>
          <w:rFonts w:ascii="Book Antiqua" w:hAnsi="Book Antiqua" w:hint="eastAsia"/>
          <w:sz w:val="24"/>
          <w:szCs w:val="24"/>
          <w:lang w:eastAsia="zh-CN"/>
        </w:rPr>
        <w:t>mo</w:t>
      </w:r>
      <w:proofErr w:type="spellEnd"/>
      <w:r w:rsidRPr="00E75F6C">
        <w:rPr>
          <w:rFonts w:ascii="Book Antiqua" w:hAnsi="Book Antiqua"/>
          <w:sz w:val="24"/>
          <w:szCs w:val="24"/>
        </w:rPr>
        <w:t xml:space="preserve"> but transient ATI, which are of little clinical significance, can be forme</w:t>
      </w:r>
      <w:r w:rsidR="009D09CE" w:rsidRPr="00E75F6C">
        <w:rPr>
          <w:rFonts w:ascii="Book Antiqua" w:hAnsi="Book Antiqua"/>
          <w:sz w:val="24"/>
          <w:szCs w:val="24"/>
        </w:rPr>
        <w:t>d at any time during treatment</w:t>
      </w:r>
      <w:r w:rsidRPr="00E75F6C">
        <w:rPr>
          <w:rFonts w:ascii="Book Antiqua" w:hAnsi="Book Antiqua"/>
          <w:sz w:val="24"/>
          <w:szCs w:val="24"/>
        </w:rPr>
        <w:t>. Loss of response can be predicted based on a combination of CRP, trough levels and stable antibodies with a high degree of accuracy</w:t>
      </w:r>
      <w:r w:rsidR="00523E72" w:rsidRPr="00523E72">
        <w:rPr>
          <w:rFonts w:ascii="Book Antiqua" w:hAnsi="Book Antiqua"/>
          <w:sz w:val="24"/>
          <w:szCs w:val="24"/>
          <w:vertAlign w:val="superscript"/>
        </w:rPr>
        <w:t>[</w:t>
      </w:r>
      <w:r w:rsidR="006F39C6" w:rsidRPr="006F39C6">
        <w:rPr>
          <w:rFonts w:ascii="Book Antiqua" w:hAnsi="Book Antiqua"/>
          <w:sz w:val="24"/>
          <w:szCs w:val="24"/>
          <w:vertAlign w:val="superscript"/>
        </w:rPr>
        <w:t>1</w:t>
      </w:r>
      <w:r w:rsidR="006F39C6">
        <w:rPr>
          <w:rFonts w:ascii="Book Antiqua" w:hAnsi="Book Antiqua"/>
          <w:sz w:val="24"/>
          <w:szCs w:val="24"/>
          <w:vertAlign w:val="superscript"/>
        </w:rPr>
        <w:t>7</w:t>
      </w:r>
      <w:r w:rsidR="006F39C6" w:rsidRPr="006F39C6">
        <w:rPr>
          <w:rFonts w:ascii="Book Antiqua" w:hAnsi="Book Antiqua"/>
          <w:sz w:val="24"/>
          <w:szCs w:val="24"/>
          <w:vertAlign w:val="superscript"/>
        </w:rPr>
        <w:t>]</w:t>
      </w:r>
      <w:r w:rsidRPr="00E75F6C">
        <w:rPr>
          <w:rFonts w:ascii="Book Antiqua" w:hAnsi="Book Antiqua"/>
          <w:sz w:val="24"/>
          <w:szCs w:val="24"/>
        </w:rPr>
        <w:t>. Transient antibody formation is not associated with a loss of response.</w:t>
      </w:r>
    </w:p>
    <w:p w14:paraId="68A515EC" w14:textId="593A74E2" w:rsidR="00875889" w:rsidRDefault="00875889" w:rsidP="00523E72">
      <w:pPr>
        <w:spacing w:after="0" w:line="360" w:lineRule="auto"/>
        <w:ind w:firstLineChars="150" w:firstLine="360"/>
        <w:jc w:val="both"/>
        <w:rPr>
          <w:rFonts w:ascii="Book Antiqua" w:hAnsi="Book Antiqua"/>
          <w:sz w:val="24"/>
          <w:szCs w:val="24"/>
          <w:lang w:eastAsia="zh-CN"/>
        </w:rPr>
      </w:pPr>
      <w:r w:rsidRPr="00E75F6C">
        <w:rPr>
          <w:rFonts w:ascii="Book Antiqua" w:hAnsi="Book Antiqua"/>
          <w:sz w:val="24"/>
          <w:szCs w:val="24"/>
        </w:rPr>
        <w:t xml:space="preserve">Recently there has been an introduction of </w:t>
      </w:r>
      <w:proofErr w:type="spellStart"/>
      <w:r w:rsidRPr="00E75F6C">
        <w:rPr>
          <w:rFonts w:ascii="Book Antiqua" w:hAnsi="Book Antiqua"/>
          <w:sz w:val="24"/>
          <w:szCs w:val="24"/>
        </w:rPr>
        <w:t>biosimilar</w:t>
      </w:r>
      <w:proofErr w:type="spellEnd"/>
      <w:r w:rsidRPr="00E75F6C">
        <w:rPr>
          <w:rFonts w:ascii="Book Antiqua" w:hAnsi="Book Antiqua"/>
          <w:sz w:val="24"/>
          <w:szCs w:val="24"/>
        </w:rPr>
        <w:t xml:space="preserve"> anti-TNF</w:t>
      </w:r>
      <w:r w:rsidR="0055454E">
        <w:rPr>
          <w:rFonts w:ascii="Book Antiqua" w:hAnsi="Book Antiqua"/>
          <w:sz w:val="24"/>
          <w:szCs w:val="24"/>
        </w:rPr>
        <w:sym w:font="Symbol" w:char="F061"/>
      </w:r>
      <w:r w:rsidRPr="00E75F6C">
        <w:rPr>
          <w:rFonts w:ascii="Book Antiqua" w:hAnsi="Book Antiqua"/>
          <w:sz w:val="24"/>
          <w:szCs w:val="24"/>
        </w:rPr>
        <w:t xml:space="preserve"> molecules for treating IBD. European agencies have approved </w:t>
      </w:r>
      <w:proofErr w:type="spellStart"/>
      <w:r w:rsidRPr="00E75F6C">
        <w:rPr>
          <w:rFonts w:ascii="Book Antiqua" w:hAnsi="Book Antiqua"/>
          <w:sz w:val="24"/>
          <w:szCs w:val="24"/>
        </w:rPr>
        <w:t>Remsima</w:t>
      </w:r>
      <w:proofErr w:type="spellEnd"/>
      <w:r w:rsidRPr="00E75F6C">
        <w:rPr>
          <w:rFonts w:ascii="Book Antiqua" w:hAnsi="Book Antiqua"/>
          <w:sz w:val="24"/>
          <w:szCs w:val="24"/>
        </w:rPr>
        <w:t xml:space="preserve"> (CT-P13) for use in Europe across all indications</w:t>
      </w:r>
      <w:r w:rsidR="00523E72" w:rsidRPr="00523E72">
        <w:rPr>
          <w:rFonts w:ascii="Book Antiqua" w:hAnsi="Book Antiqua"/>
          <w:sz w:val="24"/>
          <w:szCs w:val="24"/>
          <w:vertAlign w:val="superscript"/>
        </w:rPr>
        <w:t>[</w:t>
      </w:r>
      <w:r w:rsidR="006F39C6" w:rsidRPr="006F39C6">
        <w:rPr>
          <w:rFonts w:ascii="Book Antiqua" w:hAnsi="Book Antiqua"/>
          <w:sz w:val="24"/>
          <w:szCs w:val="24"/>
          <w:vertAlign w:val="superscript"/>
        </w:rPr>
        <w:t>1</w:t>
      </w:r>
      <w:r w:rsidR="006F39C6">
        <w:rPr>
          <w:rFonts w:ascii="Book Antiqua" w:hAnsi="Book Antiqua"/>
          <w:sz w:val="24"/>
          <w:szCs w:val="24"/>
          <w:vertAlign w:val="superscript"/>
        </w:rPr>
        <w:t>8</w:t>
      </w:r>
      <w:r w:rsidR="006F39C6" w:rsidRPr="006F39C6">
        <w:rPr>
          <w:rFonts w:ascii="Book Antiqua" w:hAnsi="Book Antiqua"/>
          <w:sz w:val="24"/>
          <w:szCs w:val="24"/>
          <w:vertAlign w:val="superscript"/>
        </w:rPr>
        <w:t>]</w:t>
      </w:r>
      <w:r w:rsidRPr="00E75F6C">
        <w:rPr>
          <w:rFonts w:ascii="Book Antiqua" w:hAnsi="Book Antiqua"/>
          <w:sz w:val="24"/>
          <w:szCs w:val="24"/>
        </w:rPr>
        <w:t xml:space="preserve">. A recent study has confirmed the cross-reactivity of </w:t>
      </w:r>
      <w:proofErr w:type="spellStart"/>
      <w:r w:rsidRPr="00E75F6C">
        <w:rPr>
          <w:rFonts w:ascii="Book Antiqua" w:hAnsi="Book Antiqua"/>
          <w:sz w:val="24"/>
          <w:szCs w:val="24"/>
        </w:rPr>
        <w:t>Remsima</w:t>
      </w:r>
      <w:proofErr w:type="spellEnd"/>
      <w:r w:rsidRPr="00E75F6C">
        <w:rPr>
          <w:rFonts w:ascii="Book Antiqua" w:hAnsi="Book Antiqua"/>
          <w:sz w:val="24"/>
          <w:szCs w:val="24"/>
        </w:rPr>
        <w:t xml:space="preserve"> and </w:t>
      </w:r>
      <w:proofErr w:type="spellStart"/>
      <w:r w:rsidRPr="00E75F6C">
        <w:rPr>
          <w:rFonts w:ascii="Book Antiqua" w:hAnsi="Book Antiqua"/>
          <w:sz w:val="24"/>
          <w:szCs w:val="24"/>
        </w:rPr>
        <w:t>Remicade</w:t>
      </w:r>
      <w:proofErr w:type="spellEnd"/>
      <w:r w:rsidRPr="00E75F6C">
        <w:rPr>
          <w:rFonts w:ascii="Book Antiqua" w:hAnsi="Book Antiqua"/>
          <w:sz w:val="24"/>
          <w:szCs w:val="24"/>
        </w:rPr>
        <w:t xml:space="preserve"> (infliximab) suggesting similar </w:t>
      </w:r>
      <w:proofErr w:type="spellStart"/>
      <w:r w:rsidRPr="00E75F6C">
        <w:rPr>
          <w:rFonts w:ascii="Book Antiqua" w:hAnsi="Book Antiqua"/>
          <w:sz w:val="24"/>
          <w:szCs w:val="24"/>
        </w:rPr>
        <w:t>immunodominant</w:t>
      </w:r>
      <w:proofErr w:type="spellEnd"/>
      <w:r w:rsidRPr="00E75F6C">
        <w:rPr>
          <w:rFonts w:ascii="Book Antiqua" w:hAnsi="Book Antiqua"/>
          <w:sz w:val="24"/>
          <w:szCs w:val="24"/>
        </w:rPr>
        <w:t xml:space="preserve"> epitopes and immunogenic potential of the two agents</w:t>
      </w:r>
      <w:r w:rsidR="00523E72" w:rsidRPr="00523E72">
        <w:rPr>
          <w:rFonts w:ascii="Book Antiqua" w:hAnsi="Book Antiqua"/>
          <w:sz w:val="24"/>
          <w:szCs w:val="24"/>
          <w:vertAlign w:val="superscript"/>
        </w:rPr>
        <w:t>[</w:t>
      </w:r>
      <w:r w:rsidR="006F39C6" w:rsidRPr="006F39C6">
        <w:rPr>
          <w:rFonts w:ascii="Book Antiqua" w:hAnsi="Book Antiqua"/>
          <w:sz w:val="24"/>
          <w:szCs w:val="24"/>
          <w:vertAlign w:val="superscript"/>
        </w:rPr>
        <w:t>1</w:t>
      </w:r>
      <w:r w:rsidR="006F39C6">
        <w:rPr>
          <w:rFonts w:ascii="Book Antiqua" w:hAnsi="Book Antiqua"/>
          <w:sz w:val="24"/>
          <w:szCs w:val="24"/>
          <w:vertAlign w:val="superscript"/>
        </w:rPr>
        <w:t>9</w:t>
      </w:r>
      <w:r w:rsidR="006F39C6" w:rsidRPr="006F39C6">
        <w:rPr>
          <w:rFonts w:ascii="Book Antiqua" w:hAnsi="Book Antiqua"/>
          <w:sz w:val="24"/>
          <w:szCs w:val="24"/>
          <w:vertAlign w:val="superscript"/>
        </w:rPr>
        <w:t>]</w:t>
      </w:r>
      <w:r w:rsidRPr="00E75F6C">
        <w:rPr>
          <w:rFonts w:ascii="Book Antiqua" w:hAnsi="Book Antiqua"/>
          <w:sz w:val="24"/>
          <w:szCs w:val="24"/>
        </w:rPr>
        <w:t xml:space="preserve">. It confirms that patients with IBD who develop high-titre antibodies and infusion reaction/loss of response to </w:t>
      </w:r>
      <w:proofErr w:type="spellStart"/>
      <w:r w:rsidRPr="00E75F6C">
        <w:rPr>
          <w:rFonts w:ascii="Book Antiqua" w:hAnsi="Book Antiqua"/>
          <w:sz w:val="24"/>
          <w:szCs w:val="24"/>
        </w:rPr>
        <w:t>Remicade</w:t>
      </w:r>
      <w:proofErr w:type="spellEnd"/>
      <w:r w:rsidRPr="00E75F6C">
        <w:rPr>
          <w:rFonts w:ascii="Book Antiqua" w:hAnsi="Book Antiqua"/>
          <w:sz w:val="24"/>
          <w:szCs w:val="24"/>
        </w:rPr>
        <w:t xml:space="preserve"> should probably not be considered for switching to </w:t>
      </w:r>
      <w:proofErr w:type="spellStart"/>
      <w:r w:rsidRPr="00E75F6C">
        <w:rPr>
          <w:rFonts w:ascii="Book Antiqua" w:hAnsi="Book Antiqua"/>
          <w:sz w:val="24"/>
          <w:szCs w:val="24"/>
        </w:rPr>
        <w:t>Remsima</w:t>
      </w:r>
      <w:proofErr w:type="spellEnd"/>
      <w:r w:rsidRPr="00E75F6C">
        <w:rPr>
          <w:rFonts w:ascii="Book Antiqua" w:hAnsi="Book Antiqua"/>
          <w:sz w:val="24"/>
          <w:szCs w:val="24"/>
        </w:rPr>
        <w:t>. In contrast, patients who develop anti-</w:t>
      </w:r>
      <w:proofErr w:type="spellStart"/>
      <w:r w:rsidRPr="00E75F6C">
        <w:rPr>
          <w:rFonts w:ascii="Book Antiqua" w:hAnsi="Book Antiqua"/>
          <w:sz w:val="24"/>
          <w:szCs w:val="24"/>
        </w:rPr>
        <w:t>adalimumab</w:t>
      </w:r>
      <w:proofErr w:type="spellEnd"/>
      <w:r w:rsidRPr="00E75F6C">
        <w:rPr>
          <w:rFonts w:ascii="Book Antiqua" w:hAnsi="Book Antiqua"/>
          <w:sz w:val="24"/>
          <w:szCs w:val="24"/>
        </w:rPr>
        <w:t xml:space="preserve"> antibodies may be considered for a switch to either </w:t>
      </w:r>
      <w:proofErr w:type="spellStart"/>
      <w:r w:rsidRPr="00E75F6C">
        <w:rPr>
          <w:rFonts w:ascii="Book Antiqua" w:hAnsi="Book Antiqua"/>
          <w:sz w:val="24"/>
          <w:szCs w:val="24"/>
        </w:rPr>
        <w:t>Remicade</w:t>
      </w:r>
      <w:proofErr w:type="spellEnd"/>
      <w:r w:rsidRPr="00E75F6C">
        <w:rPr>
          <w:rFonts w:ascii="Book Antiqua" w:hAnsi="Book Antiqua"/>
          <w:sz w:val="24"/>
          <w:szCs w:val="24"/>
        </w:rPr>
        <w:t xml:space="preserve"> or </w:t>
      </w:r>
      <w:proofErr w:type="spellStart"/>
      <w:r w:rsidRPr="00E75F6C">
        <w:rPr>
          <w:rFonts w:ascii="Book Antiqua" w:hAnsi="Book Antiqua"/>
          <w:sz w:val="24"/>
          <w:szCs w:val="24"/>
        </w:rPr>
        <w:t>Remsima</w:t>
      </w:r>
      <w:proofErr w:type="spellEnd"/>
      <w:r w:rsidRPr="00E75F6C">
        <w:rPr>
          <w:rFonts w:ascii="Book Antiqua" w:hAnsi="Book Antiqua"/>
          <w:sz w:val="24"/>
          <w:szCs w:val="24"/>
        </w:rPr>
        <w:t>, if clinically indicated.</w:t>
      </w:r>
    </w:p>
    <w:p w14:paraId="2046F8CB" w14:textId="77777777" w:rsidR="00523E72" w:rsidRPr="00E75F6C" w:rsidRDefault="00523E72" w:rsidP="00523E72">
      <w:pPr>
        <w:spacing w:after="0" w:line="360" w:lineRule="auto"/>
        <w:ind w:firstLineChars="150" w:firstLine="360"/>
        <w:jc w:val="both"/>
        <w:rPr>
          <w:rFonts w:ascii="Book Antiqua" w:hAnsi="Book Antiqua"/>
          <w:sz w:val="24"/>
          <w:szCs w:val="24"/>
          <w:lang w:eastAsia="zh-CN"/>
        </w:rPr>
      </w:pPr>
    </w:p>
    <w:p w14:paraId="5DC35976" w14:textId="77777777" w:rsidR="00851B9F" w:rsidRPr="00E75F6C" w:rsidRDefault="00523E72" w:rsidP="00AD1560">
      <w:pPr>
        <w:spacing w:after="0" w:line="360" w:lineRule="auto"/>
        <w:jc w:val="both"/>
        <w:rPr>
          <w:rFonts w:ascii="Book Antiqua" w:hAnsi="Book Antiqua"/>
          <w:b/>
          <w:sz w:val="24"/>
          <w:szCs w:val="24"/>
        </w:rPr>
      </w:pPr>
      <w:r w:rsidRPr="00E75F6C">
        <w:rPr>
          <w:rFonts w:ascii="Book Antiqua" w:hAnsi="Book Antiqua"/>
          <w:b/>
          <w:sz w:val="24"/>
          <w:szCs w:val="24"/>
        </w:rPr>
        <w:t>IMMUNOMONITORING, TROUGH AND ANTIBODY ASSAYS</w:t>
      </w:r>
    </w:p>
    <w:p w14:paraId="2A4BFC47" w14:textId="2F26E3D7" w:rsidR="00851B9F" w:rsidRPr="00E75F6C" w:rsidRDefault="00851B9F" w:rsidP="00AD1560">
      <w:pPr>
        <w:spacing w:after="0" w:line="360" w:lineRule="auto"/>
        <w:jc w:val="both"/>
        <w:rPr>
          <w:rFonts w:ascii="Book Antiqua" w:hAnsi="Book Antiqua"/>
          <w:sz w:val="24"/>
          <w:szCs w:val="24"/>
        </w:rPr>
      </w:pPr>
      <w:r w:rsidRPr="00E75F6C">
        <w:rPr>
          <w:rFonts w:ascii="Book Antiqua" w:hAnsi="Book Antiqua"/>
          <w:sz w:val="24"/>
          <w:szCs w:val="24"/>
        </w:rPr>
        <w:t>There are a number of different ways of measuring drug concentration of ant-TNF</w:t>
      </w:r>
      <w:r w:rsidR="0055454E">
        <w:rPr>
          <w:rFonts w:ascii="Book Antiqua" w:hAnsi="Book Antiqua"/>
          <w:sz w:val="24"/>
          <w:szCs w:val="24"/>
        </w:rPr>
        <w:sym w:font="Symbol" w:char="F061"/>
      </w:r>
      <w:r w:rsidRPr="00E75F6C">
        <w:rPr>
          <w:rFonts w:ascii="Book Antiqua" w:hAnsi="Book Antiqua"/>
          <w:sz w:val="24"/>
          <w:szCs w:val="24"/>
        </w:rPr>
        <w:t xml:space="preserve"> molecules in serum. For convenience trough levels are measured. The </w:t>
      </w:r>
      <w:r w:rsidR="00D16425" w:rsidRPr="00E75F6C">
        <w:rPr>
          <w:rFonts w:ascii="Book Antiqua" w:hAnsi="Book Antiqua"/>
          <w:sz w:val="24"/>
          <w:szCs w:val="24"/>
        </w:rPr>
        <w:t>most</w:t>
      </w:r>
      <w:r w:rsidRPr="00E75F6C">
        <w:rPr>
          <w:rFonts w:ascii="Book Antiqua" w:hAnsi="Book Antiqua"/>
          <w:sz w:val="24"/>
          <w:szCs w:val="24"/>
        </w:rPr>
        <w:t xml:space="preserve"> commonly used method is enzyme-linked </w:t>
      </w:r>
      <w:proofErr w:type="spellStart"/>
      <w:r w:rsidRPr="00E75F6C">
        <w:rPr>
          <w:rFonts w:ascii="Book Antiqua" w:hAnsi="Book Antiqua"/>
          <w:sz w:val="24"/>
          <w:szCs w:val="24"/>
        </w:rPr>
        <w:t>immunosorbent</w:t>
      </w:r>
      <w:proofErr w:type="spellEnd"/>
      <w:r w:rsidRPr="00E75F6C">
        <w:rPr>
          <w:rFonts w:ascii="Book Antiqua" w:hAnsi="Book Antiqua"/>
          <w:sz w:val="24"/>
          <w:szCs w:val="24"/>
        </w:rPr>
        <w:t xml:space="preserve"> assay (ELISA)</w:t>
      </w:r>
      <w:r w:rsidR="00523E72" w:rsidRPr="00523E72">
        <w:rPr>
          <w:rFonts w:ascii="Book Antiqua" w:hAnsi="Book Antiqua"/>
          <w:sz w:val="24"/>
          <w:szCs w:val="24"/>
          <w:vertAlign w:val="superscript"/>
        </w:rPr>
        <w:t>[</w:t>
      </w:r>
      <w:r w:rsidR="006F39C6">
        <w:rPr>
          <w:rFonts w:ascii="Book Antiqua" w:hAnsi="Book Antiqua"/>
          <w:sz w:val="24"/>
          <w:szCs w:val="24"/>
          <w:vertAlign w:val="superscript"/>
        </w:rPr>
        <w:t>20-21</w:t>
      </w:r>
      <w:r w:rsidR="006F39C6" w:rsidRPr="006F39C6">
        <w:rPr>
          <w:rFonts w:ascii="Book Antiqua" w:hAnsi="Book Antiqua"/>
          <w:sz w:val="24"/>
          <w:szCs w:val="24"/>
          <w:vertAlign w:val="superscript"/>
        </w:rPr>
        <w:t>]</w:t>
      </w:r>
      <w:r w:rsidRPr="00E75F6C">
        <w:rPr>
          <w:rFonts w:ascii="Book Antiqua" w:hAnsi="Book Antiqua"/>
          <w:sz w:val="24"/>
          <w:szCs w:val="24"/>
        </w:rPr>
        <w:t xml:space="preserve">. The advantage of monoclonal or </w:t>
      </w:r>
      <w:proofErr w:type="spellStart"/>
      <w:r w:rsidRPr="00E75F6C">
        <w:rPr>
          <w:rFonts w:ascii="Book Antiqua" w:hAnsi="Book Antiqua"/>
          <w:sz w:val="24"/>
          <w:szCs w:val="24"/>
        </w:rPr>
        <w:t>monospecific</w:t>
      </w:r>
      <w:proofErr w:type="spellEnd"/>
      <w:r w:rsidRPr="00E75F6C">
        <w:rPr>
          <w:rFonts w:ascii="Book Antiqua" w:hAnsi="Book Antiqua"/>
          <w:sz w:val="24"/>
          <w:szCs w:val="24"/>
        </w:rPr>
        <w:t xml:space="preserve"> polyclonal anti-drug antibody is the specificity toward the anti-TNF drug, which results in lower specific binding</w:t>
      </w:r>
      <w:r w:rsidR="00523E72" w:rsidRPr="00523E72">
        <w:rPr>
          <w:rFonts w:ascii="Book Antiqua" w:hAnsi="Book Antiqua"/>
          <w:sz w:val="24"/>
          <w:szCs w:val="24"/>
          <w:vertAlign w:val="superscript"/>
        </w:rPr>
        <w:t>[</w:t>
      </w:r>
      <w:r w:rsidR="006F39C6">
        <w:rPr>
          <w:rFonts w:ascii="Book Antiqua" w:hAnsi="Book Antiqua"/>
          <w:sz w:val="24"/>
          <w:szCs w:val="24"/>
          <w:vertAlign w:val="superscript"/>
        </w:rPr>
        <w:t>22</w:t>
      </w:r>
      <w:r w:rsidR="006F39C6" w:rsidRPr="006F39C6">
        <w:rPr>
          <w:rFonts w:ascii="Book Antiqua" w:hAnsi="Book Antiqua"/>
          <w:sz w:val="24"/>
          <w:szCs w:val="24"/>
          <w:vertAlign w:val="superscript"/>
        </w:rPr>
        <w:t>]</w:t>
      </w:r>
      <w:r w:rsidRPr="00E75F6C">
        <w:rPr>
          <w:rFonts w:ascii="Book Antiqua" w:hAnsi="Book Antiqua"/>
          <w:sz w:val="24"/>
          <w:szCs w:val="24"/>
        </w:rPr>
        <w:t xml:space="preserve">. This reduces the risk of false positives. </w:t>
      </w:r>
    </w:p>
    <w:p w14:paraId="401A05A9" w14:textId="76F538A7" w:rsidR="00851B9F" w:rsidRPr="00E75F6C" w:rsidRDefault="00851B9F" w:rsidP="00523E72">
      <w:pPr>
        <w:spacing w:after="0" w:line="360" w:lineRule="auto"/>
        <w:ind w:firstLineChars="150" w:firstLine="360"/>
        <w:jc w:val="both"/>
        <w:rPr>
          <w:rFonts w:ascii="Book Antiqua" w:hAnsi="Book Antiqua"/>
          <w:sz w:val="24"/>
          <w:szCs w:val="24"/>
        </w:rPr>
      </w:pPr>
      <w:r w:rsidRPr="00E75F6C">
        <w:rPr>
          <w:rFonts w:ascii="Book Antiqua" w:hAnsi="Book Antiqua"/>
          <w:sz w:val="24"/>
          <w:szCs w:val="24"/>
        </w:rPr>
        <w:t>With regard to detecting ADA the most commonly used assay is the double-antigen (a.k.a. bridging) ELISA in which the anti-TNF drug is both used as capture and detecting antibody</w:t>
      </w:r>
      <w:r w:rsidR="00523E72" w:rsidRPr="00523E72">
        <w:rPr>
          <w:rFonts w:ascii="Book Antiqua" w:hAnsi="Book Antiqua"/>
          <w:sz w:val="24"/>
          <w:szCs w:val="24"/>
          <w:vertAlign w:val="superscript"/>
        </w:rPr>
        <w:t>[</w:t>
      </w:r>
      <w:r w:rsidR="006F39C6">
        <w:rPr>
          <w:rFonts w:ascii="Book Antiqua" w:hAnsi="Book Antiqua"/>
          <w:sz w:val="24"/>
          <w:szCs w:val="24"/>
          <w:vertAlign w:val="superscript"/>
        </w:rPr>
        <w:t>23</w:t>
      </w:r>
      <w:r w:rsidR="006F39C6" w:rsidRPr="006F39C6">
        <w:rPr>
          <w:rFonts w:ascii="Book Antiqua" w:hAnsi="Book Antiqua"/>
          <w:sz w:val="24"/>
          <w:szCs w:val="24"/>
          <w:vertAlign w:val="superscript"/>
        </w:rPr>
        <w:t>]</w:t>
      </w:r>
      <w:r w:rsidRPr="00E75F6C">
        <w:rPr>
          <w:rFonts w:ascii="Book Antiqua" w:hAnsi="Book Antiqua"/>
          <w:sz w:val="24"/>
          <w:szCs w:val="24"/>
        </w:rPr>
        <w:t>. Despite developments and improvements in the assays to measure anti-TNF</w:t>
      </w:r>
      <w:r w:rsidR="0055492C">
        <w:rPr>
          <w:rFonts w:ascii="Book Antiqua" w:hAnsi="Book Antiqua"/>
          <w:sz w:val="24"/>
          <w:szCs w:val="24"/>
        </w:rPr>
        <w:sym w:font="Symbol" w:char="F061"/>
      </w:r>
      <w:r w:rsidRPr="00E75F6C">
        <w:rPr>
          <w:rFonts w:ascii="Book Antiqua" w:hAnsi="Book Antiqua"/>
          <w:sz w:val="24"/>
          <w:szCs w:val="24"/>
        </w:rPr>
        <w:t xml:space="preserve"> and ADA levels, there is still a lack of standardization and </w:t>
      </w:r>
      <w:r w:rsidRPr="00E75F6C">
        <w:rPr>
          <w:rFonts w:ascii="Book Antiqua" w:hAnsi="Book Antiqua"/>
          <w:sz w:val="24"/>
          <w:szCs w:val="24"/>
        </w:rPr>
        <w:lastRenderedPageBreak/>
        <w:t xml:space="preserve">quality control between the established </w:t>
      </w:r>
      <w:proofErr w:type="gramStart"/>
      <w:r w:rsidRPr="00E75F6C">
        <w:rPr>
          <w:rFonts w:ascii="Book Antiqua" w:hAnsi="Book Antiqua"/>
          <w:sz w:val="24"/>
          <w:szCs w:val="24"/>
        </w:rPr>
        <w:t>tests</w:t>
      </w:r>
      <w:r w:rsidR="00523E72" w:rsidRPr="00523E72">
        <w:rPr>
          <w:rFonts w:ascii="Book Antiqua" w:hAnsi="Book Antiqua"/>
          <w:sz w:val="24"/>
          <w:szCs w:val="24"/>
          <w:vertAlign w:val="superscript"/>
        </w:rPr>
        <w:t>[</w:t>
      </w:r>
      <w:proofErr w:type="gramEnd"/>
      <w:r w:rsidR="006F39C6">
        <w:rPr>
          <w:rFonts w:ascii="Book Antiqua" w:hAnsi="Book Antiqua"/>
          <w:sz w:val="24"/>
          <w:szCs w:val="24"/>
          <w:vertAlign w:val="superscript"/>
        </w:rPr>
        <w:t>24</w:t>
      </w:r>
      <w:r w:rsidR="006F39C6" w:rsidRPr="006F39C6">
        <w:rPr>
          <w:rFonts w:ascii="Book Antiqua" w:hAnsi="Book Antiqua"/>
          <w:sz w:val="24"/>
          <w:szCs w:val="24"/>
          <w:vertAlign w:val="superscript"/>
        </w:rPr>
        <w:t>]</w:t>
      </w:r>
      <w:r w:rsidRPr="00E75F6C">
        <w:rPr>
          <w:rFonts w:ascii="Book Antiqua" w:hAnsi="Book Antiqua"/>
          <w:sz w:val="24"/>
          <w:szCs w:val="24"/>
        </w:rPr>
        <w:t>.  This can have clinical implications, as well as issues around reproducibility of results between different centres.</w:t>
      </w:r>
    </w:p>
    <w:p w14:paraId="41580461" w14:textId="77777777" w:rsidR="00851B9F" w:rsidRPr="00E75F6C" w:rsidRDefault="00851B9F" w:rsidP="00523E72">
      <w:pPr>
        <w:spacing w:after="0" w:line="360" w:lineRule="auto"/>
        <w:ind w:firstLineChars="150" w:firstLine="360"/>
        <w:jc w:val="both"/>
        <w:rPr>
          <w:rFonts w:ascii="Book Antiqua" w:hAnsi="Book Antiqua"/>
          <w:sz w:val="24"/>
          <w:szCs w:val="24"/>
        </w:rPr>
      </w:pPr>
      <w:r w:rsidRPr="00E75F6C">
        <w:rPr>
          <w:rFonts w:ascii="Book Antiqua" w:hAnsi="Book Antiqua"/>
          <w:sz w:val="24"/>
          <w:szCs w:val="24"/>
        </w:rPr>
        <w:t xml:space="preserve">A number of factors can influence ADA formation, including the type of assay used, timing involved in antibody measurement as well as the study population. Taking this into account there have been attempts to standardize measurements, specifically for ADA against </w:t>
      </w:r>
      <w:proofErr w:type="spellStart"/>
      <w:r w:rsidRPr="00E75F6C">
        <w:rPr>
          <w:rFonts w:ascii="Book Antiqua" w:hAnsi="Book Antiqua"/>
          <w:sz w:val="24"/>
          <w:szCs w:val="24"/>
        </w:rPr>
        <w:t>adalimumab</w:t>
      </w:r>
      <w:proofErr w:type="spellEnd"/>
      <w:r w:rsidR="00523E72" w:rsidRPr="00523E72">
        <w:rPr>
          <w:rFonts w:ascii="Book Antiqua" w:hAnsi="Book Antiqua"/>
          <w:sz w:val="24"/>
          <w:szCs w:val="24"/>
          <w:vertAlign w:val="superscript"/>
        </w:rPr>
        <w:t>[</w:t>
      </w:r>
      <w:r w:rsidR="006F39C6">
        <w:rPr>
          <w:rFonts w:ascii="Book Antiqua" w:hAnsi="Book Antiqua"/>
          <w:sz w:val="24"/>
          <w:szCs w:val="24"/>
          <w:vertAlign w:val="superscript"/>
        </w:rPr>
        <w:t>25</w:t>
      </w:r>
      <w:r w:rsidR="006F39C6" w:rsidRPr="006F39C6">
        <w:rPr>
          <w:rFonts w:ascii="Book Antiqua" w:hAnsi="Book Antiqua"/>
          <w:sz w:val="24"/>
          <w:szCs w:val="24"/>
          <w:vertAlign w:val="superscript"/>
        </w:rPr>
        <w:t>]</w:t>
      </w:r>
      <w:r w:rsidRPr="00E75F6C">
        <w:rPr>
          <w:rFonts w:ascii="Book Antiqua" w:hAnsi="Book Antiqua"/>
          <w:sz w:val="24"/>
          <w:szCs w:val="24"/>
        </w:rPr>
        <w:t xml:space="preserve">. </w:t>
      </w:r>
    </w:p>
    <w:p w14:paraId="68ACCADD" w14:textId="77777777" w:rsidR="00851B9F" w:rsidRDefault="00851B9F" w:rsidP="00523E72">
      <w:pPr>
        <w:spacing w:after="0" w:line="360" w:lineRule="auto"/>
        <w:ind w:firstLineChars="150" w:firstLine="360"/>
        <w:jc w:val="both"/>
        <w:rPr>
          <w:rFonts w:ascii="Book Antiqua" w:hAnsi="Book Antiqua"/>
          <w:sz w:val="24"/>
          <w:szCs w:val="24"/>
        </w:rPr>
      </w:pPr>
      <w:r w:rsidRPr="00E75F6C">
        <w:rPr>
          <w:rFonts w:ascii="Book Antiqua" w:hAnsi="Book Antiqua"/>
          <w:sz w:val="24"/>
          <w:szCs w:val="24"/>
        </w:rPr>
        <w:t xml:space="preserve">ELISA techniques whilst reproducible and accurate do not offer single patient testing. </w:t>
      </w:r>
      <w:proofErr w:type="spellStart"/>
      <w:r w:rsidRPr="00E75F6C">
        <w:rPr>
          <w:rFonts w:ascii="Book Antiqua" w:hAnsi="Book Antiqua"/>
          <w:sz w:val="24"/>
          <w:szCs w:val="24"/>
        </w:rPr>
        <w:t>Ongoing</w:t>
      </w:r>
      <w:proofErr w:type="spellEnd"/>
      <w:r w:rsidRPr="00E75F6C">
        <w:rPr>
          <w:rFonts w:ascii="Book Antiqua" w:hAnsi="Book Antiqua"/>
          <w:sz w:val="24"/>
          <w:szCs w:val="24"/>
        </w:rPr>
        <w:t xml:space="preserve"> research is looking at more rapid turnaround alternatives. Lu</w:t>
      </w:r>
      <w:r w:rsidRPr="00523E72">
        <w:rPr>
          <w:rFonts w:ascii="Book Antiqua" w:hAnsi="Book Antiqua"/>
          <w:i/>
          <w:sz w:val="24"/>
          <w:szCs w:val="24"/>
        </w:rPr>
        <w:t xml:space="preserve"> et al</w:t>
      </w:r>
      <w:r w:rsidR="00523E72" w:rsidRPr="00523E72">
        <w:rPr>
          <w:rFonts w:ascii="Book Antiqua" w:hAnsi="Book Antiqua"/>
          <w:sz w:val="24"/>
          <w:szCs w:val="24"/>
          <w:vertAlign w:val="superscript"/>
        </w:rPr>
        <w:t>[</w:t>
      </w:r>
      <w:r w:rsidR="00523E72">
        <w:rPr>
          <w:rFonts w:ascii="Book Antiqua" w:hAnsi="Book Antiqua"/>
          <w:sz w:val="24"/>
          <w:szCs w:val="24"/>
          <w:vertAlign w:val="superscript"/>
        </w:rPr>
        <w:t>26</w:t>
      </w:r>
      <w:r w:rsidR="00523E72" w:rsidRPr="006F39C6">
        <w:rPr>
          <w:rFonts w:ascii="Book Antiqua" w:hAnsi="Book Antiqua"/>
          <w:sz w:val="24"/>
          <w:szCs w:val="24"/>
          <w:vertAlign w:val="superscript"/>
        </w:rPr>
        <w:t>]</w:t>
      </w:r>
      <w:r w:rsidRPr="00E75F6C">
        <w:rPr>
          <w:rFonts w:ascii="Book Antiqua" w:hAnsi="Book Antiqua"/>
          <w:sz w:val="24"/>
          <w:szCs w:val="24"/>
        </w:rPr>
        <w:t xml:space="preserve"> have developed a fast bioassay for determining IFX concentration in serum using an in-house developed </w:t>
      </w:r>
      <w:proofErr w:type="spellStart"/>
      <w:r w:rsidRPr="00E75F6C">
        <w:rPr>
          <w:rFonts w:ascii="Book Antiqua" w:hAnsi="Book Antiqua"/>
          <w:sz w:val="24"/>
          <w:szCs w:val="24"/>
        </w:rPr>
        <w:t>fiber</w:t>
      </w:r>
      <w:proofErr w:type="spellEnd"/>
      <w:r w:rsidRPr="00E75F6C">
        <w:rPr>
          <w:rFonts w:ascii="Book Antiqua" w:hAnsi="Book Antiqua"/>
          <w:sz w:val="24"/>
          <w:szCs w:val="24"/>
        </w:rPr>
        <w:t xml:space="preserve">-optic surface </w:t>
      </w:r>
      <w:proofErr w:type="spellStart"/>
      <w:r w:rsidRPr="00E75F6C">
        <w:rPr>
          <w:rFonts w:ascii="Book Antiqua" w:hAnsi="Book Antiqua"/>
          <w:sz w:val="24"/>
          <w:szCs w:val="24"/>
        </w:rPr>
        <w:t>plasmon</w:t>
      </w:r>
      <w:proofErr w:type="spellEnd"/>
      <w:r w:rsidRPr="00E75F6C">
        <w:rPr>
          <w:rFonts w:ascii="Book Antiqua" w:hAnsi="Book Antiqua"/>
          <w:sz w:val="24"/>
          <w:szCs w:val="24"/>
        </w:rPr>
        <w:t xml:space="preserve"> resonance (FO-SPR) biosensor.  The assay turn-around time, was considerably reduced compared to ELISA</w:t>
      </w:r>
      <w:r w:rsidR="00DC0331" w:rsidRPr="00E75F6C">
        <w:rPr>
          <w:rFonts w:ascii="Book Antiqua" w:hAnsi="Book Antiqua"/>
          <w:sz w:val="24"/>
          <w:szCs w:val="24"/>
        </w:rPr>
        <w:t>.</w:t>
      </w:r>
    </w:p>
    <w:p w14:paraId="47EF6104" w14:textId="555067EE" w:rsidR="007F04D1" w:rsidRDefault="007F04D1" w:rsidP="00523E72">
      <w:pPr>
        <w:spacing w:after="0" w:line="360" w:lineRule="auto"/>
        <w:ind w:firstLineChars="150" w:firstLine="360"/>
        <w:jc w:val="both"/>
        <w:rPr>
          <w:rFonts w:ascii="Book Antiqua" w:hAnsi="Book Antiqua"/>
          <w:sz w:val="24"/>
          <w:szCs w:val="24"/>
          <w:lang w:eastAsia="zh-CN"/>
        </w:rPr>
      </w:pPr>
      <w:r>
        <w:rPr>
          <w:rFonts w:ascii="Book Antiqua" w:hAnsi="Book Antiqua"/>
          <w:sz w:val="24"/>
          <w:szCs w:val="24"/>
        </w:rPr>
        <w:t>Tables 1 and 2 illustrate the different options available in terms of measuring anti-TNF</w:t>
      </w:r>
      <w:r w:rsidR="0055492C">
        <w:rPr>
          <w:rFonts w:ascii="Book Antiqua" w:hAnsi="Book Antiqua"/>
          <w:sz w:val="24"/>
          <w:szCs w:val="24"/>
        </w:rPr>
        <w:sym w:font="Symbol" w:char="F061"/>
      </w:r>
      <w:r>
        <w:rPr>
          <w:rFonts w:ascii="Book Antiqua" w:hAnsi="Book Antiqua"/>
          <w:sz w:val="24"/>
          <w:szCs w:val="24"/>
        </w:rPr>
        <w:t xml:space="preserve"> trough and antibody levels. Measuring ADA have proved problematic, and there are </w:t>
      </w:r>
      <w:proofErr w:type="spellStart"/>
      <w:r>
        <w:rPr>
          <w:rFonts w:ascii="Book Antiqua" w:hAnsi="Book Antiqua"/>
          <w:sz w:val="24"/>
          <w:szCs w:val="24"/>
        </w:rPr>
        <w:t>ongoing</w:t>
      </w:r>
      <w:proofErr w:type="spellEnd"/>
      <w:r>
        <w:rPr>
          <w:rFonts w:ascii="Book Antiqua" w:hAnsi="Book Antiqua"/>
          <w:sz w:val="24"/>
          <w:szCs w:val="24"/>
        </w:rPr>
        <w:t xml:space="preserve"> attempts to develop drug tolerant ELISA assays. </w:t>
      </w:r>
    </w:p>
    <w:p w14:paraId="4569C366" w14:textId="77777777" w:rsidR="00523E72" w:rsidRPr="00E75F6C" w:rsidRDefault="00523E72" w:rsidP="00523E72">
      <w:pPr>
        <w:spacing w:after="0" w:line="360" w:lineRule="auto"/>
        <w:ind w:firstLineChars="150" w:firstLine="360"/>
        <w:jc w:val="both"/>
        <w:rPr>
          <w:rFonts w:ascii="Book Antiqua" w:hAnsi="Book Antiqua"/>
          <w:sz w:val="24"/>
          <w:szCs w:val="24"/>
          <w:lang w:eastAsia="zh-CN"/>
        </w:rPr>
      </w:pPr>
    </w:p>
    <w:p w14:paraId="0579FDF2" w14:textId="77777777" w:rsidR="00A868EB" w:rsidRPr="00E75F6C" w:rsidRDefault="00523E72" w:rsidP="00AD1560">
      <w:pPr>
        <w:spacing w:after="0" w:line="360" w:lineRule="auto"/>
        <w:jc w:val="both"/>
        <w:rPr>
          <w:rFonts w:ascii="Book Antiqua" w:hAnsi="Book Antiqua"/>
          <w:b/>
          <w:sz w:val="24"/>
          <w:szCs w:val="24"/>
        </w:rPr>
      </w:pPr>
      <w:r w:rsidRPr="00E75F6C">
        <w:rPr>
          <w:rFonts w:ascii="Book Antiqua" w:hAnsi="Book Antiqua"/>
          <w:b/>
          <w:sz w:val="24"/>
          <w:szCs w:val="24"/>
        </w:rPr>
        <w:t>IMPACT OF IMMUNOGENICITY ON LOSS OF RESPONSE</w:t>
      </w:r>
    </w:p>
    <w:p w14:paraId="340FD0E1" w14:textId="632B2FBC" w:rsidR="00A868EB" w:rsidRPr="00E75F6C" w:rsidRDefault="005B7558" w:rsidP="00AD1560">
      <w:pPr>
        <w:spacing w:after="0" w:line="360" w:lineRule="auto"/>
        <w:jc w:val="both"/>
        <w:rPr>
          <w:rFonts w:ascii="Book Antiqua" w:hAnsi="Book Antiqua"/>
          <w:sz w:val="24"/>
          <w:szCs w:val="24"/>
        </w:rPr>
      </w:pPr>
      <w:r w:rsidRPr="00E75F6C">
        <w:rPr>
          <w:rFonts w:ascii="Book Antiqua" w:hAnsi="Book Antiqua"/>
          <w:sz w:val="24"/>
          <w:szCs w:val="24"/>
        </w:rPr>
        <w:t>As mentioned above</w:t>
      </w:r>
      <w:r w:rsidR="00A868EB" w:rsidRPr="00E75F6C">
        <w:rPr>
          <w:rFonts w:ascii="Book Antiqua" w:hAnsi="Book Antiqua"/>
          <w:sz w:val="24"/>
          <w:szCs w:val="24"/>
        </w:rPr>
        <w:t xml:space="preserve"> antibody formation against an</w:t>
      </w:r>
      <w:r w:rsidRPr="00E75F6C">
        <w:rPr>
          <w:rFonts w:ascii="Book Antiqua" w:hAnsi="Book Antiqua"/>
          <w:sz w:val="24"/>
          <w:szCs w:val="24"/>
        </w:rPr>
        <w:t>ti-TNF</w:t>
      </w:r>
      <w:r w:rsidR="0055454E">
        <w:rPr>
          <w:rFonts w:ascii="Book Antiqua" w:hAnsi="Book Antiqua"/>
          <w:sz w:val="24"/>
          <w:szCs w:val="24"/>
        </w:rPr>
        <w:sym w:font="Symbol" w:char="F061"/>
      </w:r>
      <w:r w:rsidRPr="00E75F6C">
        <w:rPr>
          <w:rFonts w:ascii="Book Antiqua" w:hAnsi="Book Antiqua"/>
          <w:sz w:val="24"/>
          <w:szCs w:val="24"/>
        </w:rPr>
        <w:t xml:space="preserve"> is associated with LOR. </w:t>
      </w:r>
      <w:r w:rsidR="00A868EB" w:rsidRPr="00E75F6C">
        <w:rPr>
          <w:rFonts w:ascii="Book Antiqua" w:hAnsi="Book Antiqua"/>
          <w:sz w:val="24"/>
          <w:szCs w:val="24"/>
        </w:rPr>
        <w:t>In</w:t>
      </w:r>
      <w:r w:rsidR="00A40BA8" w:rsidRPr="00E75F6C">
        <w:rPr>
          <w:rFonts w:ascii="Book Antiqua" w:hAnsi="Book Antiqua"/>
          <w:sz w:val="24"/>
          <w:szCs w:val="24"/>
        </w:rPr>
        <w:t xml:space="preserve"> general low trough levels (&lt;</w:t>
      </w:r>
      <w:r w:rsidR="00523E72">
        <w:rPr>
          <w:rFonts w:ascii="Book Antiqua" w:hAnsi="Book Antiqua" w:hint="eastAsia"/>
          <w:sz w:val="24"/>
          <w:szCs w:val="24"/>
          <w:lang w:eastAsia="zh-CN"/>
        </w:rPr>
        <w:t xml:space="preserve"> </w:t>
      </w:r>
      <w:r w:rsidR="00A40BA8" w:rsidRPr="00E75F6C">
        <w:rPr>
          <w:rFonts w:ascii="Book Antiqua" w:hAnsi="Book Antiqua"/>
          <w:sz w:val="24"/>
          <w:szCs w:val="24"/>
        </w:rPr>
        <w:t>1</w:t>
      </w:r>
      <w:r w:rsidR="00523E72">
        <w:rPr>
          <w:rFonts w:ascii="Book Antiqua" w:hAnsi="Book Antiqua" w:hint="eastAsia"/>
          <w:sz w:val="24"/>
          <w:szCs w:val="24"/>
          <w:lang w:eastAsia="zh-CN"/>
        </w:rPr>
        <w:t xml:space="preserve"> </w:t>
      </w:r>
      <w:r w:rsidR="00523E72">
        <w:rPr>
          <w:rFonts w:ascii="Book Antiqua" w:hAnsi="Book Antiqua"/>
          <w:sz w:val="24"/>
          <w:szCs w:val="24"/>
        </w:rPr>
        <w:sym w:font="Symbol" w:char="F06D"/>
      </w:r>
      <w:r w:rsidR="00A40BA8" w:rsidRPr="00E75F6C">
        <w:rPr>
          <w:rFonts w:ascii="Book Antiqua" w:hAnsi="Book Antiqua"/>
          <w:sz w:val="24"/>
          <w:szCs w:val="24"/>
        </w:rPr>
        <w:t>g/m</w:t>
      </w:r>
      <w:r w:rsidR="00523E72" w:rsidRPr="00E75F6C">
        <w:rPr>
          <w:rFonts w:ascii="Book Antiqua" w:hAnsi="Book Antiqua"/>
          <w:sz w:val="24"/>
          <w:szCs w:val="24"/>
        </w:rPr>
        <w:t>L</w:t>
      </w:r>
      <w:r w:rsidR="00A40BA8" w:rsidRPr="00E75F6C">
        <w:rPr>
          <w:rFonts w:ascii="Book Antiqua" w:hAnsi="Book Antiqua"/>
          <w:sz w:val="24"/>
          <w:szCs w:val="24"/>
        </w:rPr>
        <w:t>)</w:t>
      </w:r>
      <w:r w:rsidR="00A868EB" w:rsidRPr="00E75F6C">
        <w:rPr>
          <w:rFonts w:ascii="Book Antiqua" w:hAnsi="Book Antiqua"/>
          <w:sz w:val="24"/>
          <w:szCs w:val="24"/>
        </w:rPr>
        <w:t xml:space="preserve"> and the </w:t>
      </w:r>
      <w:r w:rsidR="007272BE" w:rsidRPr="00E75F6C">
        <w:rPr>
          <w:rFonts w:ascii="Book Antiqua" w:hAnsi="Book Antiqua"/>
          <w:sz w:val="24"/>
          <w:szCs w:val="24"/>
        </w:rPr>
        <w:t>presence</w:t>
      </w:r>
      <w:r w:rsidR="00A868EB" w:rsidRPr="00E75F6C">
        <w:rPr>
          <w:rFonts w:ascii="Book Antiqua" w:hAnsi="Book Antiqua"/>
          <w:sz w:val="24"/>
          <w:szCs w:val="24"/>
        </w:rPr>
        <w:t xml:space="preserve"> of </w:t>
      </w:r>
      <w:r w:rsidR="00A40BA8" w:rsidRPr="00E75F6C">
        <w:rPr>
          <w:rFonts w:ascii="Book Antiqua" w:hAnsi="Book Antiqua"/>
          <w:sz w:val="24"/>
          <w:szCs w:val="24"/>
        </w:rPr>
        <w:t xml:space="preserve">detectable </w:t>
      </w:r>
      <w:r w:rsidR="00A868EB" w:rsidRPr="00E75F6C">
        <w:rPr>
          <w:rFonts w:ascii="Book Antiqua" w:hAnsi="Book Antiqua"/>
          <w:sz w:val="24"/>
          <w:szCs w:val="24"/>
        </w:rPr>
        <w:t>antibodies are associate</w:t>
      </w:r>
      <w:r w:rsidR="00A40BA8" w:rsidRPr="00E75F6C">
        <w:rPr>
          <w:rFonts w:ascii="Book Antiqua" w:hAnsi="Book Antiqua"/>
          <w:sz w:val="24"/>
          <w:szCs w:val="24"/>
        </w:rPr>
        <w:t xml:space="preserve">d with worse clinical outcomes. </w:t>
      </w:r>
      <w:proofErr w:type="spellStart"/>
      <w:r w:rsidR="00907B46" w:rsidRPr="00E75F6C">
        <w:rPr>
          <w:rFonts w:ascii="Book Antiqua" w:hAnsi="Book Antiqua"/>
          <w:sz w:val="24"/>
          <w:szCs w:val="24"/>
        </w:rPr>
        <w:t>Steenholdt</w:t>
      </w:r>
      <w:proofErr w:type="spellEnd"/>
      <w:r w:rsidR="00907B46" w:rsidRPr="00E75F6C">
        <w:rPr>
          <w:rFonts w:ascii="Book Antiqua" w:hAnsi="Book Antiqua"/>
          <w:sz w:val="24"/>
          <w:szCs w:val="24"/>
        </w:rPr>
        <w:t xml:space="preserve"> </w:t>
      </w:r>
      <w:r w:rsidR="00907B46" w:rsidRPr="0055454E">
        <w:rPr>
          <w:rFonts w:ascii="Book Antiqua" w:hAnsi="Book Antiqua"/>
          <w:i/>
          <w:sz w:val="24"/>
          <w:szCs w:val="24"/>
        </w:rPr>
        <w:t xml:space="preserve">et </w:t>
      </w:r>
      <w:proofErr w:type="gramStart"/>
      <w:r w:rsidR="00907B46" w:rsidRPr="0055454E">
        <w:rPr>
          <w:rFonts w:ascii="Book Antiqua" w:hAnsi="Book Antiqua"/>
          <w:i/>
          <w:sz w:val="24"/>
          <w:szCs w:val="24"/>
        </w:rPr>
        <w:t>al</w:t>
      </w:r>
      <w:r w:rsidR="0055454E" w:rsidRPr="00523E72">
        <w:rPr>
          <w:rFonts w:ascii="Book Antiqua" w:hAnsi="Book Antiqua"/>
          <w:sz w:val="24"/>
          <w:szCs w:val="24"/>
          <w:vertAlign w:val="superscript"/>
        </w:rPr>
        <w:t>[</w:t>
      </w:r>
      <w:proofErr w:type="gramEnd"/>
      <w:r w:rsidR="0055454E">
        <w:rPr>
          <w:rFonts w:ascii="Book Antiqua" w:hAnsi="Book Antiqua"/>
          <w:sz w:val="24"/>
          <w:szCs w:val="24"/>
          <w:vertAlign w:val="superscript"/>
        </w:rPr>
        <w:t>33</w:t>
      </w:r>
      <w:r w:rsidR="0055454E" w:rsidRPr="00D17025">
        <w:rPr>
          <w:rFonts w:ascii="Book Antiqua" w:hAnsi="Book Antiqua"/>
          <w:sz w:val="24"/>
          <w:szCs w:val="24"/>
          <w:vertAlign w:val="superscript"/>
        </w:rPr>
        <w:t>]</w:t>
      </w:r>
      <w:r w:rsidR="00907B46" w:rsidRPr="00E75F6C">
        <w:rPr>
          <w:rFonts w:ascii="Book Antiqua" w:hAnsi="Book Antiqua"/>
          <w:sz w:val="24"/>
          <w:szCs w:val="24"/>
        </w:rPr>
        <w:t xml:space="preserve"> established a cut off of &lt;</w:t>
      </w:r>
      <w:r w:rsidR="00523E72">
        <w:rPr>
          <w:rFonts w:ascii="Book Antiqua" w:hAnsi="Book Antiqua" w:hint="eastAsia"/>
          <w:sz w:val="24"/>
          <w:szCs w:val="24"/>
          <w:lang w:eastAsia="zh-CN"/>
        </w:rPr>
        <w:t xml:space="preserve"> </w:t>
      </w:r>
      <w:r w:rsidR="00907B46" w:rsidRPr="00E75F6C">
        <w:rPr>
          <w:rFonts w:ascii="Book Antiqua" w:hAnsi="Book Antiqua"/>
          <w:sz w:val="24"/>
          <w:szCs w:val="24"/>
        </w:rPr>
        <w:t>0.5</w:t>
      </w:r>
      <w:r w:rsidR="00523E72">
        <w:rPr>
          <w:rFonts w:ascii="Book Antiqua" w:hAnsi="Book Antiqua" w:hint="eastAsia"/>
          <w:sz w:val="24"/>
          <w:szCs w:val="24"/>
          <w:lang w:eastAsia="zh-CN"/>
        </w:rPr>
        <w:t xml:space="preserve"> </w:t>
      </w:r>
      <w:r w:rsidR="00523E72">
        <w:rPr>
          <w:rFonts w:ascii="Book Antiqua" w:hAnsi="Book Antiqua"/>
          <w:sz w:val="24"/>
          <w:szCs w:val="24"/>
        </w:rPr>
        <w:sym w:font="Symbol" w:char="F06D"/>
      </w:r>
      <w:r w:rsidR="00907B46" w:rsidRPr="00E75F6C">
        <w:rPr>
          <w:rFonts w:ascii="Book Antiqua" w:hAnsi="Book Antiqua"/>
          <w:sz w:val="24"/>
          <w:szCs w:val="24"/>
        </w:rPr>
        <w:t>g/m</w:t>
      </w:r>
      <w:r w:rsidR="00523E72" w:rsidRPr="00E75F6C">
        <w:rPr>
          <w:rFonts w:ascii="Book Antiqua" w:hAnsi="Book Antiqua"/>
          <w:sz w:val="24"/>
          <w:szCs w:val="24"/>
        </w:rPr>
        <w:t>L</w:t>
      </w:r>
      <w:r w:rsidR="00907B46" w:rsidRPr="00E75F6C">
        <w:rPr>
          <w:rFonts w:ascii="Book Antiqua" w:hAnsi="Book Antiqua"/>
          <w:sz w:val="24"/>
          <w:szCs w:val="24"/>
        </w:rPr>
        <w:t xml:space="preserve">, </w:t>
      </w:r>
      <w:r w:rsidR="00CF0EC7" w:rsidRPr="00E75F6C">
        <w:rPr>
          <w:rFonts w:ascii="Book Antiqua" w:hAnsi="Book Antiqua"/>
          <w:sz w:val="24"/>
          <w:szCs w:val="24"/>
        </w:rPr>
        <w:t>has</w:t>
      </w:r>
      <w:r w:rsidR="00907B46" w:rsidRPr="00E75F6C">
        <w:rPr>
          <w:rFonts w:ascii="Book Antiqua" w:hAnsi="Book Antiqua"/>
          <w:sz w:val="24"/>
          <w:szCs w:val="24"/>
        </w:rPr>
        <w:t xml:space="preserve"> been associated with loss of response. </w:t>
      </w:r>
      <w:r w:rsidR="00EC3A47" w:rsidRPr="00E75F6C">
        <w:rPr>
          <w:rFonts w:ascii="Book Antiqua" w:hAnsi="Book Antiqua"/>
          <w:sz w:val="24"/>
          <w:szCs w:val="24"/>
        </w:rPr>
        <w:t>It’s clear, that the level of anti-TNF</w:t>
      </w:r>
      <w:r w:rsidR="0055492C">
        <w:rPr>
          <w:rFonts w:ascii="Book Antiqua" w:hAnsi="Book Antiqua"/>
          <w:sz w:val="24"/>
          <w:szCs w:val="24"/>
        </w:rPr>
        <w:sym w:font="Symbol" w:char="F061"/>
      </w:r>
      <w:r w:rsidR="00EC3A47" w:rsidRPr="00E75F6C">
        <w:rPr>
          <w:rFonts w:ascii="Book Antiqua" w:hAnsi="Book Antiqua"/>
          <w:sz w:val="24"/>
          <w:szCs w:val="24"/>
        </w:rPr>
        <w:t xml:space="preserve"> will impact on response rates, and there is ample evidence that higher trough levels are associated with sustained response, and likewise low or undetectable trough levels, increase the likelihood of loss of response. </w:t>
      </w:r>
      <w:r w:rsidR="00A40BA8" w:rsidRPr="00E75F6C">
        <w:rPr>
          <w:rFonts w:ascii="Book Antiqua" w:hAnsi="Book Antiqua"/>
          <w:sz w:val="24"/>
          <w:szCs w:val="24"/>
        </w:rPr>
        <w:t>The following table</w:t>
      </w:r>
      <w:r w:rsidR="00AC40ED" w:rsidRPr="00E75F6C">
        <w:rPr>
          <w:rFonts w:ascii="Book Antiqua" w:hAnsi="Book Antiqua"/>
          <w:sz w:val="24"/>
          <w:szCs w:val="24"/>
        </w:rPr>
        <w:t xml:space="preserve"> from published papers</w:t>
      </w:r>
      <w:r w:rsidR="00A40BA8" w:rsidRPr="00E75F6C">
        <w:rPr>
          <w:rFonts w:ascii="Book Antiqua" w:hAnsi="Book Antiqua"/>
          <w:sz w:val="24"/>
          <w:szCs w:val="24"/>
        </w:rPr>
        <w:t xml:space="preserve"> explores the current evide</w:t>
      </w:r>
      <w:r w:rsidR="00EC3A47" w:rsidRPr="00E75F6C">
        <w:rPr>
          <w:rFonts w:ascii="Book Antiqua" w:hAnsi="Book Antiqua"/>
          <w:sz w:val="24"/>
          <w:szCs w:val="24"/>
        </w:rPr>
        <w:t>nce of the relationship between infliximab trough levels and loss of response</w:t>
      </w:r>
      <w:r w:rsidR="00F156F8">
        <w:rPr>
          <w:rFonts w:ascii="Book Antiqua" w:hAnsi="Book Antiqua" w:hint="eastAsia"/>
          <w:sz w:val="24"/>
          <w:szCs w:val="24"/>
          <w:lang w:eastAsia="zh-CN"/>
        </w:rPr>
        <w:t xml:space="preserve"> </w:t>
      </w:r>
      <w:r w:rsidR="00EA0257" w:rsidRPr="00E75F6C">
        <w:rPr>
          <w:rFonts w:ascii="Book Antiqua" w:hAnsi="Book Antiqua"/>
          <w:sz w:val="24"/>
          <w:szCs w:val="24"/>
        </w:rPr>
        <w:t xml:space="preserve">(Table </w:t>
      </w:r>
      <w:r w:rsidR="007F04D1">
        <w:rPr>
          <w:rFonts w:ascii="Book Antiqua" w:hAnsi="Book Antiqua"/>
          <w:sz w:val="24"/>
          <w:szCs w:val="24"/>
        </w:rPr>
        <w:t>3</w:t>
      </w:r>
      <w:r w:rsidR="00EA0257" w:rsidRPr="00E75F6C">
        <w:rPr>
          <w:rFonts w:ascii="Book Antiqua" w:hAnsi="Book Antiqua"/>
          <w:sz w:val="24"/>
          <w:szCs w:val="24"/>
        </w:rPr>
        <w:t>)</w:t>
      </w:r>
      <w:r w:rsidR="00F156F8">
        <w:rPr>
          <w:rFonts w:ascii="Book Antiqua" w:hAnsi="Book Antiqua" w:hint="eastAsia"/>
          <w:sz w:val="24"/>
          <w:szCs w:val="24"/>
          <w:lang w:eastAsia="zh-CN"/>
        </w:rPr>
        <w:t>.</w:t>
      </w:r>
      <w:r w:rsidR="00EC3A47" w:rsidRPr="00E75F6C">
        <w:rPr>
          <w:rFonts w:ascii="Book Antiqua" w:hAnsi="Book Antiqua"/>
          <w:sz w:val="24"/>
          <w:szCs w:val="24"/>
        </w:rPr>
        <w:t xml:space="preserve"> The data for </w:t>
      </w:r>
      <w:proofErr w:type="spellStart"/>
      <w:r w:rsidR="00CF0EC7" w:rsidRPr="00E75F6C">
        <w:rPr>
          <w:rFonts w:ascii="Book Antiqua" w:hAnsi="Book Antiqua"/>
          <w:sz w:val="24"/>
          <w:szCs w:val="24"/>
        </w:rPr>
        <w:t>adalimumab</w:t>
      </w:r>
      <w:proofErr w:type="spellEnd"/>
      <w:r w:rsidR="00290ABC" w:rsidRPr="00E75F6C">
        <w:rPr>
          <w:rFonts w:ascii="Book Antiqua" w:hAnsi="Book Antiqua"/>
          <w:sz w:val="24"/>
          <w:szCs w:val="24"/>
        </w:rPr>
        <w:t xml:space="preserve"> is somewhat more limited</w:t>
      </w:r>
      <w:r w:rsidR="00EC3A47" w:rsidRPr="00E75F6C">
        <w:rPr>
          <w:rFonts w:ascii="Book Antiqua" w:hAnsi="Book Antiqua"/>
          <w:sz w:val="24"/>
          <w:szCs w:val="24"/>
        </w:rPr>
        <w:t xml:space="preserve"> (Table </w:t>
      </w:r>
      <w:r w:rsidR="007F04D1">
        <w:rPr>
          <w:rFonts w:ascii="Book Antiqua" w:hAnsi="Book Antiqua"/>
          <w:sz w:val="24"/>
          <w:szCs w:val="24"/>
        </w:rPr>
        <w:t>4</w:t>
      </w:r>
      <w:r w:rsidR="00EC3A47" w:rsidRPr="00E75F6C">
        <w:rPr>
          <w:rFonts w:ascii="Book Antiqua" w:hAnsi="Book Antiqua"/>
          <w:sz w:val="24"/>
          <w:szCs w:val="24"/>
        </w:rPr>
        <w:t xml:space="preserve">). </w:t>
      </w:r>
    </w:p>
    <w:p w14:paraId="5DCD28C5" w14:textId="47F2AE01" w:rsidR="00A868EB" w:rsidRPr="00E75F6C" w:rsidRDefault="00A868EB" w:rsidP="00523E72">
      <w:pPr>
        <w:spacing w:after="0" w:line="360" w:lineRule="auto"/>
        <w:ind w:firstLineChars="150" w:firstLine="360"/>
        <w:jc w:val="both"/>
        <w:rPr>
          <w:rFonts w:ascii="Book Antiqua" w:hAnsi="Book Antiqua"/>
          <w:sz w:val="24"/>
          <w:szCs w:val="24"/>
        </w:rPr>
      </w:pPr>
      <w:r w:rsidRPr="00E75F6C">
        <w:rPr>
          <w:rFonts w:ascii="Book Antiqua" w:hAnsi="Book Antiqua"/>
          <w:sz w:val="24"/>
          <w:szCs w:val="24"/>
        </w:rPr>
        <w:t>In addition,</w:t>
      </w:r>
      <w:r w:rsidR="00101C57" w:rsidRPr="00E75F6C">
        <w:rPr>
          <w:rFonts w:ascii="Book Antiqua" w:hAnsi="Book Antiqua"/>
          <w:sz w:val="24"/>
          <w:szCs w:val="24"/>
        </w:rPr>
        <w:t xml:space="preserve"> to ADA formation</w:t>
      </w:r>
      <w:r w:rsidRPr="00E75F6C">
        <w:rPr>
          <w:rFonts w:ascii="Book Antiqua" w:hAnsi="Book Antiqua"/>
          <w:sz w:val="24"/>
          <w:szCs w:val="24"/>
        </w:rPr>
        <w:t xml:space="preserve"> the inflammatory burden may impact on response to anti-TNF</w:t>
      </w:r>
      <w:r w:rsidR="0055454E">
        <w:rPr>
          <w:rFonts w:ascii="Book Antiqua" w:hAnsi="Book Antiqua"/>
          <w:sz w:val="24"/>
          <w:szCs w:val="24"/>
        </w:rPr>
        <w:sym w:font="Symbol" w:char="F061"/>
      </w:r>
      <w:r w:rsidRPr="00E75F6C">
        <w:rPr>
          <w:rFonts w:ascii="Book Antiqua" w:hAnsi="Book Antiqua"/>
          <w:sz w:val="24"/>
          <w:szCs w:val="24"/>
        </w:rPr>
        <w:t xml:space="preserve">. </w:t>
      </w:r>
      <w:r w:rsidR="00E02126" w:rsidRPr="00E75F6C">
        <w:rPr>
          <w:rFonts w:ascii="Book Antiqua" w:hAnsi="Book Antiqua"/>
          <w:sz w:val="24"/>
          <w:szCs w:val="24"/>
        </w:rPr>
        <w:t xml:space="preserve">For example, </w:t>
      </w:r>
      <w:proofErr w:type="spellStart"/>
      <w:r w:rsidRPr="00E75F6C">
        <w:rPr>
          <w:rFonts w:ascii="Book Antiqua" w:hAnsi="Book Antiqua"/>
          <w:sz w:val="24"/>
          <w:szCs w:val="24"/>
        </w:rPr>
        <w:t>Brandse</w:t>
      </w:r>
      <w:proofErr w:type="spellEnd"/>
      <w:r w:rsidRPr="00F156F8">
        <w:rPr>
          <w:rFonts w:ascii="Book Antiqua" w:hAnsi="Book Antiqua"/>
          <w:i/>
          <w:sz w:val="24"/>
          <w:szCs w:val="24"/>
        </w:rPr>
        <w:t xml:space="preserve"> </w:t>
      </w:r>
      <w:r w:rsidR="00F156F8" w:rsidRPr="00F156F8">
        <w:rPr>
          <w:rFonts w:ascii="Book Antiqua" w:hAnsi="Book Antiqua"/>
          <w:i/>
          <w:sz w:val="24"/>
          <w:szCs w:val="24"/>
          <w:lang w:eastAsia="zh-CN"/>
        </w:rPr>
        <w:t>e</w:t>
      </w:r>
      <w:r w:rsidRPr="00F156F8">
        <w:rPr>
          <w:rFonts w:ascii="Book Antiqua" w:hAnsi="Book Antiqua"/>
          <w:i/>
          <w:sz w:val="24"/>
          <w:szCs w:val="24"/>
        </w:rPr>
        <w:t>t al</w:t>
      </w:r>
      <w:r w:rsidR="00F156F8" w:rsidRPr="00523E72">
        <w:rPr>
          <w:rFonts w:ascii="Book Antiqua" w:hAnsi="Book Antiqua"/>
          <w:sz w:val="24"/>
          <w:szCs w:val="24"/>
          <w:vertAlign w:val="superscript"/>
        </w:rPr>
        <w:t>[</w:t>
      </w:r>
      <w:r w:rsidR="00F156F8">
        <w:rPr>
          <w:rFonts w:ascii="Book Antiqua" w:hAnsi="Book Antiqua"/>
          <w:sz w:val="24"/>
          <w:szCs w:val="24"/>
          <w:vertAlign w:val="superscript"/>
        </w:rPr>
        <w:t>45</w:t>
      </w:r>
      <w:r w:rsidR="00F156F8" w:rsidRPr="00847BA2">
        <w:rPr>
          <w:rFonts w:ascii="Book Antiqua" w:hAnsi="Book Antiqua"/>
          <w:sz w:val="24"/>
          <w:szCs w:val="24"/>
          <w:vertAlign w:val="superscript"/>
        </w:rPr>
        <w:t>]</w:t>
      </w:r>
      <w:r w:rsidRPr="00E75F6C">
        <w:rPr>
          <w:rFonts w:ascii="Book Antiqua" w:hAnsi="Book Antiqua"/>
          <w:sz w:val="24"/>
          <w:szCs w:val="24"/>
        </w:rPr>
        <w:t xml:space="preserve"> have shown that in UC, patients with more severe disease loose infliximab in stool, to a greater</w:t>
      </w:r>
      <w:r w:rsidR="00DE32A3" w:rsidRPr="00E75F6C">
        <w:rPr>
          <w:rFonts w:ascii="Book Antiqua" w:hAnsi="Book Antiqua"/>
          <w:sz w:val="24"/>
          <w:szCs w:val="24"/>
        </w:rPr>
        <w:t xml:space="preserve"> level than clinical responders</w:t>
      </w:r>
      <w:r w:rsidR="00AD5469" w:rsidRPr="00E75F6C">
        <w:rPr>
          <w:rFonts w:ascii="Book Antiqua" w:hAnsi="Book Antiqua"/>
          <w:sz w:val="24"/>
          <w:szCs w:val="24"/>
        </w:rPr>
        <w:t>.</w:t>
      </w:r>
      <w:r w:rsidRPr="00E75F6C">
        <w:rPr>
          <w:rFonts w:ascii="Book Antiqua" w:hAnsi="Book Antiqua"/>
          <w:sz w:val="24"/>
          <w:szCs w:val="24"/>
        </w:rPr>
        <w:t xml:space="preserve"> This emphasises the concept of the leaky, inflamed gut, with increased loss of anti-TNF</w:t>
      </w:r>
      <w:r w:rsidR="0055454E">
        <w:rPr>
          <w:rFonts w:ascii="Book Antiqua" w:hAnsi="Book Antiqua"/>
          <w:sz w:val="24"/>
          <w:szCs w:val="24"/>
        </w:rPr>
        <w:sym w:font="Symbol" w:char="F061"/>
      </w:r>
      <w:r w:rsidRPr="00E75F6C">
        <w:rPr>
          <w:rFonts w:ascii="Book Antiqua" w:hAnsi="Book Antiqua"/>
          <w:sz w:val="24"/>
          <w:szCs w:val="24"/>
        </w:rPr>
        <w:t xml:space="preserve"> in severely inflamed tissue. This links in with further research by </w:t>
      </w:r>
      <w:r w:rsidRPr="00E75F6C">
        <w:rPr>
          <w:rFonts w:ascii="Book Antiqua" w:hAnsi="Book Antiqua"/>
          <w:sz w:val="24"/>
          <w:szCs w:val="24"/>
        </w:rPr>
        <w:lastRenderedPageBreak/>
        <w:t xml:space="preserve">Gibson </w:t>
      </w:r>
      <w:r w:rsidRPr="00523E72">
        <w:rPr>
          <w:rFonts w:ascii="Book Antiqua" w:hAnsi="Book Antiqua"/>
          <w:i/>
          <w:sz w:val="24"/>
          <w:szCs w:val="24"/>
        </w:rPr>
        <w:t>et al</w:t>
      </w:r>
      <w:r w:rsidR="00523E72" w:rsidRPr="00523E72">
        <w:rPr>
          <w:rFonts w:ascii="Book Antiqua" w:hAnsi="Book Antiqua"/>
          <w:sz w:val="24"/>
          <w:szCs w:val="24"/>
          <w:vertAlign w:val="superscript"/>
        </w:rPr>
        <w:t>[</w:t>
      </w:r>
      <w:r w:rsidR="00523E72">
        <w:rPr>
          <w:rFonts w:ascii="Book Antiqua" w:hAnsi="Book Antiqua"/>
          <w:sz w:val="24"/>
          <w:szCs w:val="24"/>
          <w:vertAlign w:val="superscript"/>
        </w:rPr>
        <w:t>46</w:t>
      </w:r>
      <w:r w:rsidR="00523E72" w:rsidRPr="00847BA2">
        <w:rPr>
          <w:rFonts w:ascii="Book Antiqua" w:hAnsi="Book Antiqua"/>
          <w:sz w:val="24"/>
          <w:szCs w:val="24"/>
          <w:vertAlign w:val="superscript"/>
        </w:rPr>
        <w:t>]</w:t>
      </w:r>
      <w:r w:rsidRPr="00E75F6C">
        <w:rPr>
          <w:rFonts w:ascii="Book Antiqua" w:hAnsi="Book Antiqua"/>
          <w:sz w:val="24"/>
          <w:szCs w:val="24"/>
        </w:rPr>
        <w:t xml:space="preserve"> showing increase response rates and reduced colectomy rates in patients treated with an accelerated induction course of infliximab for severe UC. </w:t>
      </w:r>
      <w:r w:rsidR="00E02126" w:rsidRPr="00E75F6C">
        <w:rPr>
          <w:rFonts w:ascii="Book Antiqua" w:hAnsi="Book Antiqua"/>
          <w:sz w:val="24"/>
          <w:szCs w:val="24"/>
        </w:rPr>
        <w:t xml:space="preserve">Going forward, it will be useful to check trough levels, during this accelerated protocol, to further define the best treatment strategy for severe UC. </w:t>
      </w:r>
    </w:p>
    <w:p w14:paraId="22A1F006" w14:textId="560AC35B" w:rsidR="00A868EB" w:rsidRPr="00E75F6C" w:rsidRDefault="00A868EB" w:rsidP="00523E72">
      <w:pPr>
        <w:spacing w:after="0" w:line="360" w:lineRule="auto"/>
        <w:ind w:firstLineChars="150" w:firstLine="360"/>
        <w:jc w:val="both"/>
        <w:rPr>
          <w:rFonts w:ascii="Book Antiqua" w:hAnsi="Book Antiqua"/>
          <w:sz w:val="24"/>
          <w:szCs w:val="24"/>
        </w:rPr>
      </w:pPr>
      <w:r w:rsidRPr="00E75F6C">
        <w:rPr>
          <w:rFonts w:ascii="Book Antiqua" w:hAnsi="Book Antiqua"/>
          <w:sz w:val="24"/>
          <w:szCs w:val="24"/>
        </w:rPr>
        <w:t>The ATLAS study</w:t>
      </w:r>
      <w:r w:rsidR="00875889" w:rsidRPr="00E75F6C">
        <w:rPr>
          <w:rFonts w:ascii="Book Antiqua" w:hAnsi="Book Antiqua"/>
          <w:sz w:val="24"/>
          <w:szCs w:val="24"/>
        </w:rPr>
        <w:t xml:space="preserve"> in addition</w:t>
      </w:r>
      <w:r w:rsidRPr="00E75F6C">
        <w:rPr>
          <w:rFonts w:ascii="Book Antiqua" w:hAnsi="Book Antiqua"/>
          <w:sz w:val="24"/>
          <w:szCs w:val="24"/>
        </w:rPr>
        <w:t xml:space="preserve"> explored the relationship between serum and intestinal anti-TNF levels, with endoscopic disease activity and levels of TNF</w:t>
      </w:r>
      <w:r w:rsidR="00523E72" w:rsidRPr="00523E72">
        <w:rPr>
          <w:rFonts w:ascii="Book Antiqua" w:hAnsi="Book Antiqua"/>
          <w:sz w:val="24"/>
          <w:szCs w:val="24"/>
          <w:vertAlign w:val="superscript"/>
        </w:rPr>
        <w:t>[</w:t>
      </w:r>
      <w:r w:rsidR="00847BA2">
        <w:rPr>
          <w:rFonts w:ascii="Book Antiqua" w:hAnsi="Book Antiqua"/>
          <w:sz w:val="24"/>
          <w:szCs w:val="24"/>
          <w:vertAlign w:val="superscript"/>
        </w:rPr>
        <w:t>47</w:t>
      </w:r>
      <w:r w:rsidR="00847BA2" w:rsidRPr="00847BA2">
        <w:rPr>
          <w:rFonts w:ascii="Book Antiqua" w:hAnsi="Book Antiqua"/>
          <w:sz w:val="24"/>
          <w:szCs w:val="24"/>
          <w:vertAlign w:val="superscript"/>
        </w:rPr>
        <w:t>]</w:t>
      </w:r>
      <w:r w:rsidRPr="00E75F6C">
        <w:rPr>
          <w:rFonts w:ascii="Book Antiqua" w:hAnsi="Book Antiqua"/>
          <w:sz w:val="24"/>
          <w:szCs w:val="24"/>
        </w:rPr>
        <w:t>. This study of a cross-sectional group of 30 patients with UC or CD, treated with IFX or ADA showed that anti-TNF</w:t>
      </w:r>
      <w:r w:rsidR="0055454E">
        <w:rPr>
          <w:rFonts w:ascii="Book Antiqua" w:hAnsi="Book Antiqua"/>
          <w:sz w:val="24"/>
          <w:szCs w:val="24"/>
        </w:rPr>
        <w:sym w:font="Symbol" w:char="F061"/>
      </w:r>
      <w:r w:rsidRPr="00E75F6C">
        <w:rPr>
          <w:rFonts w:ascii="Book Antiqua" w:hAnsi="Book Antiqua"/>
          <w:sz w:val="24"/>
          <w:szCs w:val="24"/>
        </w:rPr>
        <w:t xml:space="preserve"> levels were higher in mild to moderately </w:t>
      </w:r>
      <w:proofErr w:type="gramStart"/>
      <w:r w:rsidR="00B67645" w:rsidRPr="00E75F6C">
        <w:rPr>
          <w:rFonts w:ascii="Book Antiqua" w:hAnsi="Book Antiqua"/>
          <w:sz w:val="24"/>
          <w:szCs w:val="24"/>
        </w:rPr>
        <w:t>inflamed</w:t>
      </w:r>
      <w:proofErr w:type="gramEnd"/>
      <w:r w:rsidRPr="00E75F6C">
        <w:rPr>
          <w:rFonts w:ascii="Book Antiqua" w:hAnsi="Book Antiqua"/>
          <w:sz w:val="24"/>
          <w:szCs w:val="24"/>
        </w:rPr>
        <w:t xml:space="preserve"> than in non-inflamed tissue, but this increase was more than negated by the proportionally greater level of TNF in inflamed tissue. Anti-TNF concentration in tissue correlated with degree of endoscopic inflammation, except for tissue with severe inflammation in which anti-TNF levels were again lower (mean normalised anti-TNF in tissue: </w:t>
      </w:r>
      <w:proofErr w:type="spellStart"/>
      <w:r w:rsidRPr="00E75F6C">
        <w:rPr>
          <w:rFonts w:ascii="Book Antiqua" w:hAnsi="Book Antiqua"/>
          <w:sz w:val="24"/>
          <w:szCs w:val="24"/>
        </w:rPr>
        <w:t>uninflamed</w:t>
      </w:r>
      <w:proofErr w:type="spellEnd"/>
      <w:r w:rsidR="00523E72">
        <w:rPr>
          <w:rFonts w:ascii="Book Antiqua" w:hAnsi="Book Antiqua" w:hint="eastAsia"/>
          <w:sz w:val="24"/>
          <w:szCs w:val="24"/>
          <w:lang w:eastAsia="zh-CN"/>
        </w:rPr>
        <w:t xml:space="preserve"> </w:t>
      </w:r>
      <w:r w:rsidRPr="00E75F6C">
        <w:rPr>
          <w:rFonts w:ascii="Book Antiqua" w:hAnsi="Book Antiqua"/>
          <w:sz w:val="24"/>
          <w:szCs w:val="24"/>
        </w:rPr>
        <w:t>=</w:t>
      </w:r>
      <w:r w:rsidR="00523E72">
        <w:rPr>
          <w:rFonts w:ascii="Book Antiqua" w:hAnsi="Book Antiqua" w:hint="eastAsia"/>
          <w:sz w:val="24"/>
          <w:szCs w:val="24"/>
          <w:lang w:eastAsia="zh-CN"/>
        </w:rPr>
        <w:t xml:space="preserve"> </w:t>
      </w:r>
      <w:r w:rsidRPr="00E75F6C">
        <w:rPr>
          <w:rFonts w:ascii="Book Antiqua" w:hAnsi="Book Antiqua"/>
          <w:sz w:val="24"/>
          <w:szCs w:val="24"/>
        </w:rPr>
        <w:t>0.93, mild</w:t>
      </w:r>
      <w:r w:rsidR="00523E72">
        <w:rPr>
          <w:rFonts w:ascii="Book Antiqua" w:hAnsi="Book Antiqua" w:hint="eastAsia"/>
          <w:sz w:val="24"/>
          <w:szCs w:val="24"/>
          <w:lang w:eastAsia="zh-CN"/>
        </w:rPr>
        <w:t xml:space="preserve"> </w:t>
      </w:r>
      <w:r w:rsidRPr="00E75F6C">
        <w:rPr>
          <w:rFonts w:ascii="Book Antiqua" w:hAnsi="Book Antiqua"/>
          <w:sz w:val="24"/>
          <w:szCs w:val="24"/>
        </w:rPr>
        <w:t>=</w:t>
      </w:r>
      <w:r w:rsidR="00523E72">
        <w:rPr>
          <w:rFonts w:ascii="Book Antiqua" w:hAnsi="Book Antiqua" w:hint="eastAsia"/>
          <w:sz w:val="24"/>
          <w:szCs w:val="24"/>
          <w:lang w:eastAsia="zh-CN"/>
        </w:rPr>
        <w:t xml:space="preserve"> </w:t>
      </w:r>
      <w:r w:rsidRPr="00E75F6C">
        <w:rPr>
          <w:rFonts w:ascii="Book Antiqua" w:hAnsi="Book Antiqua"/>
          <w:sz w:val="24"/>
          <w:szCs w:val="24"/>
        </w:rPr>
        <w:t>2.17, moderate</w:t>
      </w:r>
      <w:r w:rsidR="00523E72">
        <w:rPr>
          <w:rFonts w:ascii="Book Antiqua" w:hAnsi="Book Antiqua" w:hint="eastAsia"/>
          <w:sz w:val="24"/>
          <w:szCs w:val="24"/>
          <w:lang w:eastAsia="zh-CN"/>
        </w:rPr>
        <w:t xml:space="preserve"> </w:t>
      </w:r>
      <w:r w:rsidRPr="00E75F6C">
        <w:rPr>
          <w:rFonts w:ascii="Book Antiqua" w:hAnsi="Book Antiqua"/>
          <w:sz w:val="24"/>
          <w:szCs w:val="24"/>
        </w:rPr>
        <w:t>=</w:t>
      </w:r>
      <w:r w:rsidR="00523E72">
        <w:rPr>
          <w:rFonts w:ascii="Book Antiqua" w:hAnsi="Book Antiqua" w:hint="eastAsia"/>
          <w:sz w:val="24"/>
          <w:szCs w:val="24"/>
          <w:lang w:eastAsia="zh-CN"/>
        </w:rPr>
        <w:t xml:space="preserve"> </w:t>
      </w:r>
      <w:r w:rsidRPr="00E75F6C">
        <w:rPr>
          <w:rFonts w:ascii="Book Antiqua" w:hAnsi="Book Antiqua"/>
          <w:sz w:val="24"/>
          <w:szCs w:val="24"/>
        </w:rPr>
        <w:t>13.71, severe</w:t>
      </w:r>
      <w:r w:rsidR="00523E72">
        <w:rPr>
          <w:rFonts w:ascii="Book Antiqua" w:hAnsi="Book Antiqua" w:hint="eastAsia"/>
          <w:sz w:val="24"/>
          <w:szCs w:val="24"/>
          <w:lang w:eastAsia="zh-CN"/>
        </w:rPr>
        <w:t xml:space="preserve"> </w:t>
      </w:r>
      <w:r w:rsidRPr="00E75F6C">
        <w:rPr>
          <w:rFonts w:ascii="Book Antiqua" w:hAnsi="Book Antiqua"/>
          <w:sz w:val="24"/>
          <w:szCs w:val="24"/>
        </w:rPr>
        <w:t>=</w:t>
      </w:r>
      <w:r w:rsidR="00523E72">
        <w:rPr>
          <w:rFonts w:ascii="Book Antiqua" w:hAnsi="Book Antiqua" w:hint="eastAsia"/>
          <w:sz w:val="24"/>
          <w:szCs w:val="24"/>
          <w:lang w:eastAsia="zh-CN"/>
        </w:rPr>
        <w:t xml:space="preserve"> </w:t>
      </w:r>
      <w:r w:rsidRPr="00E75F6C">
        <w:rPr>
          <w:rFonts w:ascii="Book Antiqua" w:hAnsi="Book Antiqua"/>
          <w:sz w:val="24"/>
          <w:szCs w:val="24"/>
        </w:rPr>
        <w:t>2.2 inflammation (</w:t>
      </w:r>
      <w:r w:rsidR="00523E72" w:rsidRPr="00523E72">
        <w:rPr>
          <w:rFonts w:ascii="Book Antiqua" w:hAnsi="Book Antiqua"/>
          <w:i/>
          <w:sz w:val="24"/>
          <w:szCs w:val="24"/>
        </w:rPr>
        <w:t>P</w:t>
      </w:r>
      <w:r w:rsidR="00523E72">
        <w:rPr>
          <w:rFonts w:ascii="Book Antiqua" w:hAnsi="Book Antiqua" w:hint="eastAsia"/>
          <w:sz w:val="24"/>
          <w:szCs w:val="24"/>
          <w:lang w:eastAsia="zh-CN"/>
        </w:rPr>
        <w:t xml:space="preserve"> </w:t>
      </w:r>
      <w:r w:rsidRPr="00E75F6C">
        <w:rPr>
          <w:rFonts w:ascii="Book Antiqua" w:hAnsi="Book Antiqua"/>
          <w:sz w:val="24"/>
          <w:szCs w:val="24"/>
        </w:rPr>
        <w:t>=</w:t>
      </w:r>
      <w:r w:rsidR="00523E72">
        <w:rPr>
          <w:rFonts w:ascii="Book Antiqua" w:hAnsi="Book Antiqua" w:hint="eastAsia"/>
          <w:sz w:val="24"/>
          <w:szCs w:val="24"/>
          <w:lang w:eastAsia="zh-CN"/>
        </w:rPr>
        <w:t xml:space="preserve"> </w:t>
      </w:r>
      <w:r w:rsidR="00943D59">
        <w:rPr>
          <w:rFonts w:ascii="Book Antiqua" w:hAnsi="Book Antiqua"/>
          <w:sz w:val="24"/>
          <w:szCs w:val="24"/>
        </w:rPr>
        <w:t>0.0042)</w:t>
      </w:r>
      <w:r w:rsidRPr="00E75F6C">
        <w:rPr>
          <w:rFonts w:ascii="Book Antiqua" w:hAnsi="Book Antiqua"/>
          <w:sz w:val="24"/>
          <w:szCs w:val="24"/>
        </w:rPr>
        <w:t xml:space="preserve">. </w:t>
      </w:r>
      <w:r w:rsidR="00C029D8" w:rsidRPr="00E75F6C">
        <w:rPr>
          <w:rFonts w:ascii="Book Antiqua" w:hAnsi="Book Antiqua"/>
          <w:sz w:val="24"/>
          <w:szCs w:val="24"/>
        </w:rPr>
        <w:t>T</w:t>
      </w:r>
      <w:r w:rsidRPr="00E75F6C">
        <w:rPr>
          <w:rFonts w:ascii="Book Antiqua" w:hAnsi="Book Antiqua"/>
          <w:sz w:val="24"/>
          <w:szCs w:val="24"/>
        </w:rPr>
        <w:t xml:space="preserve">his may explain why patients with satisfactory anti-TNF levels, have active disease, as the inflamed tissue characterised by an abundance of TNF acts as a sink for the anti-TNF. </w:t>
      </w:r>
      <w:r w:rsidR="00E02126" w:rsidRPr="00E75F6C">
        <w:rPr>
          <w:rFonts w:ascii="Book Antiqua" w:hAnsi="Book Antiqua"/>
          <w:sz w:val="24"/>
          <w:szCs w:val="24"/>
        </w:rPr>
        <w:t xml:space="preserve">This in turn increases the risk of ADA formation. </w:t>
      </w:r>
      <w:r w:rsidRPr="00E75F6C">
        <w:rPr>
          <w:rFonts w:ascii="Book Antiqua" w:hAnsi="Book Antiqua"/>
          <w:sz w:val="24"/>
          <w:szCs w:val="24"/>
        </w:rPr>
        <w:t>These patients might therefore benefit from drug dose intensification.</w:t>
      </w:r>
    </w:p>
    <w:p w14:paraId="3981E395" w14:textId="77777777" w:rsidR="00E02126" w:rsidRPr="00E75F6C" w:rsidRDefault="00E02126" w:rsidP="00523E72">
      <w:pPr>
        <w:spacing w:after="0" w:line="360" w:lineRule="auto"/>
        <w:ind w:firstLineChars="150" w:firstLine="360"/>
        <w:jc w:val="both"/>
        <w:rPr>
          <w:rFonts w:ascii="Book Antiqua" w:hAnsi="Book Antiqua"/>
          <w:sz w:val="24"/>
          <w:szCs w:val="24"/>
        </w:rPr>
      </w:pPr>
      <w:r w:rsidRPr="00E75F6C">
        <w:rPr>
          <w:rFonts w:ascii="Book Antiqua" w:hAnsi="Book Antiqua"/>
          <w:sz w:val="24"/>
          <w:szCs w:val="24"/>
        </w:rPr>
        <w:t>Going forward more work is required to tease out the distinction between clinically significant and insignificant ADA, which undoubtedly has a big impact on loss of response.</w:t>
      </w:r>
    </w:p>
    <w:p w14:paraId="470496F5" w14:textId="77777777" w:rsidR="009F42DA" w:rsidRDefault="00290ABC" w:rsidP="00523E72">
      <w:pPr>
        <w:spacing w:after="0" w:line="360" w:lineRule="auto"/>
        <w:ind w:firstLineChars="150" w:firstLine="360"/>
        <w:jc w:val="both"/>
        <w:rPr>
          <w:rFonts w:ascii="Book Antiqua" w:hAnsi="Book Antiqua"/>
          <w:sz w:val="24"/>
          <w:szCs w:val="24"/>
          <w:lang w:eastAsia="zh-CN"/>
        </w:rPr>
      </w:pPr>
      <w:r w:rsidRPr="00E75F6C">
        <w:rPr>
          <w:rFonts w:ascii="Book Antiqua" w:hAnsi="Book Antiqua"/>
          <w:sz w:val="24"/>
          <w:szCs w:val="24"/>
        </w:rPr>
        <w:t>Finally o</w:t>
      </w:r>
      <w:r w:rsidR="00AC40ED" w:rsidRPr="00E75F6C">
        <w:rPr>
          <w:rFonts w:ascii="Book Antiqua" w:hAnsi="Book Antiqua"/>
          <w:sz w:val="24"/>
          <w:szCs w:val="24"/>
        </w:rPr>
        <w:t xml:space="preserve">ne most also consider alternative explanations for loss of response. Overlap with functional symptoms, small bowel bacterial </w:t>
      </w:r>
      <w:proofErr w:type="spellStart"/>
      <w:r w:rsidR="00AC40ED" w:rsidRPr="00E75F6C">
        <w:rPr>
          <w:rFonts w:ascii="Book Antiqua" w:hAnsi="Book Antiqua"/>
          <w:sz w:val="24"/>
          <w:szCs w:val="24"/>
        </w:rPr>
        <w:t>malabsorption</w:t>
      </w:r>
      <w:proofErr w:type="spellEnd"/>
      <w:r w:rsidR="00AC40ED" w:rsidRPr="00E75F6C">
        <w:rPr>
          <w:rFonts w:ascii="Book Antiqua" w:hAnsi="Book Antiqua"/>
          <w:sz w:val="24"/>
          <w:szCs w:val="24"/>
        </w:rPr>
        <w:t>, non-</w:t>
      </w:r>
      <w:r w:rsidR="00CF0EC7" w:rsidRPr="00E75F6C">
        <w:rPr>
          <w:rFonts w:ascii="Book Antiqua" w:hAnsi="Book Antiqua"/>
          <w:sz w:val="24"/>
          <w:szCs w:val="24"/>
        </w:rPr>
        <w:t>inflammatory</w:t>
      </w:r>
      <w:r w:rsidR="00AC40ED" w:rsidRPr="00E75F6C">
        <w:rPr>
          <w:rFonts w:ascii="Book Antiqua" w:hAnsi="Book Antiqua"/>
          <w:sz w:val="24"/>
          <w:szCs w:val="24"/>
        </w:rPr>
        <w:t xml:space="preserve"> strictures, could all explain alternatives to immunogenicity, in causing loss of response.</w:t>
      </w:r>
    </w:p>
    <w:p w14:paraId="162007F4" w14:textId="77777777" w:rsidR="00523E72" w:rsidRPr="00E75F6C" w:rsidRDefault="00523E72" w:rsidP="00523E72">
      <w:pPr>
        <w:spacing w:after="0" w:line="360" w:lineRule="auto"/>
        <w:ind w:firstLineChars="150" w:firstLine="360"/>
        <w:jc w:val="both"/>
        <w:rPr>
          <w:rFonts w:ascii="Book Antiqua" w:hAnsi="Book Antiqua"/>
          <w:sz w:val="24"/>
          <w:szCs w:val="24"/>
          <w:lang w:eastAsia="zh-CN"/>
        </w:rPr>
      </w:pPr>
    </w:p>
    <w:p w14:paraId="65DDD209" w14:textId="77777777" w:rsidR="00FE2CE4" w:rsidRPr="00E75F6C" w:rsidRDefault="00523E72" w:rsidP="00AD1560">
      <w:pPr>
        <w:spacing w:after="0" w:line="360" w:lineRule="auto"/>
        <w:jc w:val="both"/>
        <w:rPr>
          <w:rFonts w:ascii="Book Antiqua" w:hAnsi="Book Antiqua"/>
          <w:b/>
          <w:sz w:val="24"/>
          <w:szCs w:val="24"/>
        </w:rPr>
      </w:pPr>
      <w:r w:rsidRPr="00E75F6C">
        <w:rPr>
          <w:rFonts w:ascii="Book Antiqua" w:hAnsi="Book Antiqua"/>
          <w:b/>
          <w:sz w:val="24"/>
          <w:szCs w:val="24"/>
        </w:rPr>
        <w:t xml:space="preserve">POSSIBLE ADVANTAGES OF IMMUNOMONITORING? </w:t>
      </w:r>
    </w:p>
    <w:p w14:paraId="09CF9E88" w14:textId="614F9CD3" w:rsidR="00FE2CE4" w:rsidRPr="00523E72" w:rsidRDefault="00FE2CE4" w:rsidP="00523E72">
      <w:pPr>
        <w:spacing w:after="0" w:line="360" w:lineRule="auto"/>
        <w:jc w:val="both"/>
        <w:rPr>
          <w:rFonts w:ascii="Book Antiqua" w:hAnsi="Book Antiqua"/>
          <w:b/>
          <w:i/>
          <w:sz w:val="24"/>
          <w:szCs w:val="24"/>
        </w:rPr>
      </w:pPr>
      <w:r w:rsidRPr="00523E72">
        <w:rPr>
          <w:rFonts w:ascii="Book Antiqua" w:hAnsi="Book Antiqua"/>
          <w:b/>
          <w:i/>
          <w:sz w:val="24"/>
          <w:szCs w:val="24"/>
        </w:rPr>
        <w:t>Dose intensification and treatment outcomes based on anti-TNF</w:t>
      </w:r>
      <w:r w:rsidR="0055454E">
        <w:rPr>
          <w:rFonts w:ascii="Book Antiqua" w:hAnsi="Book Antiqua"/>
          <w:sz w:val="24"/>
          <w:szCs w:val="24"/>
        </w:rPr>
        <w:sym w:font="Symbol" w:char="F061"/>
      </w:r>
      <w:r w:rsidRPr="00523E72">
        <w:rPr>
          <w:rFonts w:ascii="Book Antiqua" w:hAnsi="Book Antiqua"/>
          <w:b/>
          <w:i/>
          <w:sz w:val="24"/>
          <w:szCs w:val="24"/>
        </w:rPr>
        <w:t xml:space="preserve"> trough and ADA</w:t>
      </w:r>
    </w:p>
    <w:p w14:paraId="7D017329" w14:textId="77777777" w:rsidR="00AF33E8" w:rsidRPr="00E75F6C" w:rsidRDefault="00AF33E8" w:rsidP="00AD1560">
      <w:pPr>
        <w:spacing w:after="0" w:line="360" w:lineRule="auto"/>
        <w:jc w:val="both"/>
        <w:rPr>
          <w:rFonts w:ascii="Book Antiqua" w:hAnsi="Book Antiqua"/>
          <w:sz w:val="24"/>
          <w:szCs w:val="24"/>
        </w:rPr>
      </w:pPr>
      <w:proofErr w:type="spellStart"/>
      <w:r w:rsidRPr="00E75F6C">
        <w:rPr>
          <w:rFonts w:ascii="Book Antiqua" w:hAnsi="Book Antiqua"/>
          <w:sz w:val="24"/>
          <w:szCs w:val="24"/>
        </w:rPr>
        <w:t>Immunomonitoring</w:t>
      </w:r>
      <w:proofErr w:type="spellEnd"/>
      <w:r w:rsidRPr="00E75F6C">
        <w:rPr>
          <w:rFonts w:ascii="Book Antiqua" w:hAnsi="Book Antiqua"/>
          <w:sz w:val="24"/>
          <w:szCs w:val="24"/>
        </w:rPr>
        <w:t xml:space="preserve"> has an increasingly important role to play in managing IBD. A prospective examination of a cohort in The Netherlands has shown absence of IFX-trough levels in a significant proportion of their population, suggesting a vital role </w:t>
      </w:r>
      <w:r w:rsidRPr="00E75F6C">
        <w:rPr>
          <w:rFonts w:ascii="Book Antiqua" w:hAnsi="Book Antiqua"/>
          <w:sz w:val="24"/>
          <w:szCs w:val="24"/>
        </w:rPr>
        <w:lastRenderedPageBreak/>
        <w:t xml:space="preserve">for </w:t>
      </w:r>
      <w:proofErr w:type="spellStart"/>
      <w:r w:rsidRPr="00E75F6C">
        <w:rPr>
          <w:rFonts w:ascii="Book Antiqua" w:hAnsi="Book Antiqua"/>
          <w:sz w:val="24"/>
          <w:szCs w:val="24"/>
        </w:rPr>
        <w:t>immunomonitoring</w:t>
      </w:r>
      <w:proofErr w:type="spellEnd"/>
      <w:r w:rsidRPr="00E75F6C">
        <w:rPr>
          <w:rFonts w:ascii="Book Antiqua" w:hAnsi="Book Antiqua"/>
          <w:sz w:val="24"/>
          <w:szCs w:val="24"/>
        </w:rPr>
        <w:t>, in identifying and managing loss of response to anti-TNF therapies</w:t>
      </w:r>
      <w:r w:rsidR="00523E72" w:rsidRPr="00523E72">
        <w:rPr>
          <w:rFonts w:ascii="Book Antiqua" w:hAnsi="Book Antiqua"/>
          <w:sz w:val="24"/>
          <w:szCs w:val="24"/>
          <w:vertAlign w:val="superscript"/>
        </w:rPr>
        <w:t>[</w:t>
      </w:r>
      <w:r w:rsidR="00847BA2">
        <w:rPr>
          <w:rFonts w:ascii="Book Antiqua" w:hAnsi="Book Antiqua"/>
          <w:sz w:val="24"/>
          <w:szCs w:val="24"/>
          <w:vertAlign w:val="superscript"/>
        </w:rPr>
        <w:t>48</w:t>
      </w:r>
      <w:r w:rsidR="00847BA2" w:rsidRPr="00847BA2">
        <w:rPr>
          <w:rFonts w:ascii="Book Antiqua" w:hAnsi="Book Antiqua"/>
          <w:sz w:val="24"/>
          <w:szCs w:val="24"/>
          <w:vertAlign w:val="superscript"/>
        </w:rPr>
        <w:t>]</w:t>
      </w:r>
      <w:r w:rsidRPr="00E75F6C">
        <w:rPr>
          <w:rFonts w:ascii="Book Antiqua" w:hAnsi="Book Antiqua"/>
          <w:sz w:val="24"/>
          <w:szCs w:val="24"/>
        </w:rPr>
        <w:t xml:space="preserve">.  </w:t>
      </w:r>
    </w:p>
    <w:p w14:paraId="3BABEF18" w14:textId="1356BCE7" w:rsidR="00FE2CE4" w:rsidRPr="00E75F6C" w:rsidRDefault="007A666F" w:rsidP="00523E72">
      <w:pPr>
        <w:spacing w:after="0" w:line="360" w:lineRule="auto"/>
        <w:ind w:firstLineChars="150" w:firstLine="360"/>
        <w:jc w:val="both"/>
        <w:rPr>
          <w:rFonts w:ascii="Book Antiqua" w:hAnsi="Book Antiqua"/>
          <w:sz w:val="24"/>
          <w:szCs w:val="24"/>
        </w:rPr>
      </w:pPr>
      <w:r w:rsidRPr="00E75F6C">
        <w:rPr>
          <w:rFonts w:ascii="Book Antiqua" w:hAnsi="Book Antiqua"/>
          <w:sz w:val="24"/>
          <w:szCs w:val="24"/>
        </w:rPr>
        <w:t>As mentioned LOR is a big concern with anti-TNF</w:t>
      </w:r>
      <w:r w:rsidR="0055454E">
        <w:rPr>
          <w:rFonts w:ascii="Book Antiqua" w:hAnsi="Book Antiqua"/>
          <w:sz w:val="24"/>
          <w:szCs w:val="24"/>
        </w:rPr>
        <w:sym w:font="Symbol" w:char="F061"/>
      </w:r>
      <w:r w:rsidRPr="00E75F6C">
        <w:rPr>
          <w:rFonts w:ascii="Book Antiqua" w:hAnsi="Book Antiqua"/>
          <w:sz w:val="24"/>
          <w:szCs w:val="24"/>
        </w:rPr>
        <w:t xml:space="preserve"> therapy. </w:t>
      </w:r>
      <w:proofErr w:type="spellStart"/>
      <w:r w:rsidRPr="00E75F6C">
        <w:rPr>
          <w:rFonts w:ascii="Book Antiqua" w:hAnsi="Book Antiqua"/>
          <w:sz w:val="24"/>
          <w:szCs w:val="24"/>
        </w:rPr>
        <w:t>Immunomonitoring</w:t>
      </w:r>
      <w:proofErr w:type="spellEnd"/>
      <w:r w:rsidRPr="00E75F6C">
        <w:rPr>
          <w:rFonts w:ascii="Book Antiqua" w:hAnsi="Book Antiqua"/>
          <w:sz w:val="24"/>
          <w:szCs w:val="24"/>
        </w:rPr>
        <w:t xml:space="preserve"> has a role to play in helping to explore the pharmacokinetics behind LOR and to develop strategies to overcome it. </w:t>
      </w:r>
      <w:r w:rsidR="00E02126" w:rsidRPr="00E75F6C">
        <w:rPr>
          <w:rFonts w:ascii="Book Antiqua" w:hAnsi="Book Antiqua"/>
          <w:sz w:val="24"/>
          <w:szCs w:val="24"/>
        </w:rPr>
        <w:t>For example, if patients have low trough levels, and no ADA, they may benefit from dose intensification, whereas patients, with adequate trough, and no ADA, are unlikely to benefit. Furthermore in the setting of ADA, and low trough, one strategy is the use of combination therapy, to reduce ADA and im</w:t>
      </w:r>
      <w:r w:rsidR="00FE2CE4" w:rsidRPr="00E75F6C">
        <w:rPr>
          <w:rFonts w:ascii="Book Antiqua" w:hAnsi="Book Antiqua"/>
          <w:sz w:val="24"/>
          <w:szCs w:val="24"/>
        </w:rPr>
        <w:t>pro</w:t>
      </w:r>
      <w:r w:rsidR="00E02126" w:rsidRPr="00E75F6C">
        <w:rPr>
          <w:rFonts w:ascii="Book Antiqua" w:hAnsi="Book Antiqua"/>
          <w:sz w:val="24"/>
          <w:szCs w:val="24"/>
        </w:rPr>
        <w:t>ve trough levels. However in the setting of ADA, and adequate trough levels, inte</w:t>
      </w:r>
      <w:r w:rsidR="00FE2CE4" w:rsidRPr="00E75F6C">
        <w:rPr>
          <w:rFonts w:ascii="Book Antiqua" w:hAnsi="Book Antiqua"/>
          <w:sz w:val="24"/>
          <w:szCs w:val="24"/>
        </w:rPr>
        <w:t>n</w:t>
      </w:r>
      <w:r w:rsidR="00E02126" w:rsidRPr="00E75F6C">
        <w:rPr>
          <w:rFonts w:ascii="Book Antiqua" w:hAnsi="Book Antiqua"/>
          <w:sz w:val="24"/>
          <w:szCs w:val="24"/>
        </w:rPr>
        <w:t>sifying doses, will have no impact, and a dr</w:t>
      </w:r>
      <w:r w:rsidR="00B67DFD" w:rsidRPr="00E75F6C">
        <w:rPr>
          <w:rFonts w:ascii="Book Antiqua" w:hAnsi="Book Antiqua"/>
          <w:sz w:val="24"/>
          <w:szCs w:val="24"/>
        </w:rPr>
        <w:t>ug switch should be considered (</w:t>
      </w:r>
      <w:r w:rsidR="006A04E8" w:rsidRPr="00E75F6C">
        <w:rPr>
          <w:rFonts w:ascii="Book Antiqua" w:hAnsi="Book Antiqua"/>
          <w:sz w:val="24"/>
          <w:szCs w:val="24"/>
        </w:rPr>
        <w:t>Table</w:t>
      </w:r>
      <w:r w:rsidR="00B67DFD" w:rsidRPr="00E75F6C">
        <w:rPr>
          <w:rFonts w:ascii="Book Antiqua" w:hAnsi="Book Antiqua"/>
          <w:sz w:val="24"/>
          <w:szCs w:val="24"/>
        </w:rPr>
        <w:t xml:space="preserve"> </w:t>
      </w:r>
      <w:r w:rsidR="007F04D1">
        <w:rPr>
          <w:rFonts w:ascii="Book Antiqua" w:hAnsi="Book Antiqua"/>
          <w:sz w:val="24"/>
          <w:szCs w:val="24"/>
        </w:rPr>
        <w:t>5</w:t>
      </w:r>
      <w:r w:rsidR="00B67DFD" w:rsidRPr="00E75F6C">
        <w:rPr>
          <w:rFonts w:ascii="Book Antiqua" w:hAnsi="Book Antiqua"/>
          <w:sz w:val="24"/>
          <w:szCs w:val="24"/>
        </w:rPr>
        <w:t xml:space="preserve">). </w:t>
      </w:r>
      <w:r w:rsidRPr="00E75F6C">
        <w:rPr>
          <w:rFonts w:ascii="Book Antiqua" w:hAnsi="Book Antiqua"/>
          <w:sz w:val="24"/>
          <w:szCs w:val="24"/>
        </w:rPr>
        <w:t>There is increasing evidence that adaption of a treat to target approach, with dose intensification based on anti-TNF</w:t>
      </w:r>
      <w:r w:rsidR="0055454E">
        <w:rPr>
          <w:rFonts w:ascii="Book Antiqua" w:hAnsi="Book Antiqua"/>
          <w:sz w:val="24"/>
          <w:szCs w:val="24"/>
        </w:rPr>
        <w:sym w:font="Symbol" w:char="F061"/>
      </w:r>
      <w:r w:rsidRPr="00E75F6C">
        <w:rPr>
          <w:rFonts w:ascii="Book Antiqua" w:hAnsi="Book Antiqua"/>
          <w:sz w:val="24"/>
          <w:szCs w:val="24"/>
        </w:rPr>
        <w:t xml:space="preserve"> trough and antibody levels, </w:t>
      </w:r>
      <w:r w:rsidR="00FE2CE4" w:rsidRPr="00E75F6C">
        <w:rPr>
          <w:rFonts w:ascii="Book Antiqua" w:hAnsi="Book Antiqua"/>
          <w:sz w:val="24"/>
          <w:szCs w:val="24"/>
        </w:rPr>
        <w:t xml:space="preserve">alongside appropriate treatment selection, </w:t>
      </w:r>
      <w:r w:rsidRPr="00E75F6C">
        <w:rPr>
          <w:rFonts w:ascii="Book Antiqua" w:hAnsi="Book Antiqua"/>
          <w:sz w:val="24"/>
          <w:szCs w:val="24"/>
        </w:rPr>
        <w:t>helps</w:t>
      </w:r>
      <w:r w:rsidR="00494A71" w:rsidRPr="00E75F6C">
        <w:rPr>
          <w:rFonts w:ascii="Book Antiqua" w:hAnsi="Book Antiqua"/>
          <w:sz w:val="24"/>
          <w:szCs w:val="24"/>
        </w:rPr>
        <w:t xml:space="preserve"> improve response rates, and achieve mucosal healing. </w:t>
      </w:r>
    </w:p>
    <w:p w14:paraId="4E0047A8" w14:textId="2F05A004" w:rsidR="00AC40ED" w:rsidRPr="00E75F6C" w:rsidRDefault="005C366E" w:rsidP="00523E72">
      <w:pPr>
        <w:spacing w:after="0" w:line="360" w:lineRule="auto"/>
        <w:ind w:firstLineChars="150" w:firstLine="360"/>
        <w:jc w:val="both"/>
        <w:rPr>
          <w:rFonts w:ascii="Book Antiqua" w:hAnsi="Book Antiqua"/>
          <w:sz w:val="24"/>
          <w:szCs w:val="24"/>
        </w:rPr>
      </w:pPr>
      <w:r w:rsidRPr="00E75F6C">
        <w:rPr>
          <w:rFonts w:ascii="Book Antiqua" w:hAnsi="Book Antiqua"/>
          <w:sz w:val="24"/>
          <w:szCs w:val="24"/>
        </w:rPr>
        <w:t xml:space="preserve">There is now proven evidence, that dose escalation of anti-TNF based on </w:t>
      </w:r>
      <w:r w:rsidR="00FE2CE4" w:rsidRPr="00E75F6C">
        <w:rPr>
          <w:rFonts w:ascii="Book Antiqua" w:hAnsi="Book Antiqua"/>
          <w:sz w:val="24"/>
          <w:szCs w:val="24"/>
        </w:rPr>
        <w:t xml:space="preserve">low </w:t>
      </w:r>
      <w:r w:rsidRPr="00E75F6C">
        <w:rPr>
          <w:rFonts w:ascii="Book Antiqua" w:hAnsi="Book Antiqua"/>
          <w:sz w:val="24"/>
          <w:szCs w:val="24"/>
        </w:rPr>
        <w:t>drug trough levels, not only leads to improved clinical response rates, but also to increased mucosal healing.</w:t>
      </w:r>
      <w:r w:rsidR="00FE2CE4" w:rsidRPr="00E75F6C">
        <w:rPr>
          <w:rFonts w:ascii="Book Antiqua" w:hAnsi="Book Antiqua"/>
          <w:sz w:val="24"/>
          <w:szCs w:val="24"/>
        </w:rPr>
        <w:t xml:space="preserve"> </w:t>
      </w:r>
      <w:r w:rsidR="00AC40ED" w:rsidRPr="00E75F6C">
        <w:rPr>
          <w:rFonts w:ascii="Book Antiqua" w:hAnsi="Book Antiqua"/>
          <w:sz w:val="24"/>
          <w:szCs w:val="24"/>
        </w:rPr>
        <w:t>The TAXIT study looked at patients on stable maintenance doses of infliximab in remission and adjusted their infliximab dose to obtain a fixed drug level between 3-7</w:t>
      </w:r>
      <w:r w:rsidR="00523E72">
        <w:rPr>
          <w:rFonts w:ascii="Book Antiqua" w:hAnsi="Book Antiqua" w:hint="eastAsia"/>
          <w:sz w:val="24"/>
          <w:szCs w:val="24"/>
          <w:lang w:eastAsia="zh-CN"/>
        </w:rPr>
        <w:t xml:space="preserve"> </w:t>
      </w:r>
      <w:proofErr w:type="spellStart"/>
      <w:r w:rsidR="00CF0EC7" w:rsidRPr="00E75F6C">
        <w:rPr>
          <w:rFonts w:ascii="Book Antiqua" w:hAnsi="Book Antiqua"/>
          <w:sz w:val="24"/>
          <w:szCs w:val="24"/>
        </w:rPr>
        <w:t>μ</w:t>
      </w:r>
      <w:r w:rsidR="00DB627B" w:rsidRPr="00E75F6C">
        <w:rPr>
          <w:rFonts w:ascii="Book Antiqua" w:hAnsi="Book Antiqua"/>
          <w:sz w:val="24"/>
          <w:szCs w:val="24"/>
        </w:rPr>
        <w:t>g</w:t>
      </w:r>
      <w:proofErr w:type="spellEnd"/>
      <w:r w:rsidR="00DB627B" w:rsidRPr="00E75F6C">
        <w:rPr>
          <w:rFonts w:ascii="Book Antiqua" w:hAnsi="Book Antiqua"/>
          <w:sz w:val="24"/>
          <w:szCs w:val="24"/>
        </w:rPr>
        <w:t>/m</w:t>
      </w:r>
      <w:r w:rsidR="00523E72" w:rsidRPr="00E75F6C">
        <w:rPr>
          <w:rFonts w:ascii="Book Antiqua" w:hAnsi="Book Antiqua"/>
          <w:sz w:val="24"/>
          <w:szCs w:val="24"/>
        </w:rPr>
        <w:t>L</w:t>
      </w:r>
      <w:r w:rsidR="00523E72" w:rsidRPr="00523E72">
        <w:rPr>
          <w:rFonts w:ascii="Book Antiqua" w:hAnsi="Book Antiqua"/>
          <w:sz w:val="24"/>
          <w:szCs w:val="24"/>
          <w:vertAlign w:val="superscript"/>
        </w:rPr>
        <w:t>[</w:t>
      </w:r>
      <w:r w:rsidR="00847BA2">
        <w:rPr>
          <w:rFonts w:ascii="Book Antiqua" w:hAnsi="Book Antiqua"/>
          <w:sz w:val="24"/>
          <w:szCs w:val="24"/>
          <w:vertAlign w:val="superscript"/>
        </w:rPr>
        <w:t>14</w:t>
      </w:r>
      <w:r w:rsidR="00847BA2" w:rsidRPr="00847BA2">
        <w:rPr>
          <w:rFonts w:ascii="Book Antiqua" w:hAnsi="Book Antiqua"/>
          <w:sz w:val="24"/>
          <w:szCs w:val="24"/>
          <w:vertAlign w:val="superscript"/>
        </w:rPr>
        <w:t>]</w:t>
      </w:r>
      <w:r w:rsidR="00847BA2" w:rsidRPr="00523E72">
        <w:rPr>
          <w:rFonts w:ascii="Book Antiqua" w:hAnsi="Book Antiqua"/>
          <w:sz w:val="24"/>
          <w:szCs w:val="24"/>
        </w:rPr>
        <w:t xml:space="preserve">. </w:t>
      </w:r>
      <w:r w:rsidR="00AC40ED" w:rsidRPr="00E75F6C">
        <w:rPr>
          <w:rFonts w:ascii="Book Antiqua" w:hAnsi="Book Antiqua"/>
          <w:sz w:val="24"/>
          <w:szCs w:val="24"/>
        </w:rPr>
        <w:t xml:space="preserve">This resulted in a higher proportion of CD patients in remission than before dose escalation (88% </w:t>
      </w:r>
      <w:proofErr w:type="spellStart"/>
      <w:r w:rsidR="00AC40ED" w:rsidRPr="00523E72">
        <w:rPr>
          <w:rFonts w:ascii="Book Antiqua" w:hAnsi="Book Antiqua"/>
          <w:i/>
          <w:sz w:val="24"/>
          <w:szCs w:val="24"/>
        </w:rPr>
        <w:t>vs</w:t>
      </w:r>
      <w:proofErr w:type="spellEnd"/>
      <w:r w:rsidR="00AC40ED" w:rsidRPr="00E75F6C">
        <w:rPr>
          <w:rFonts w:ascii="Book Antiqua" w:hAnsi="Book Antiqua"/>
          <w:sz w:val="24"/>
          <w:szCs w:val="24"/>
        </w:rPr>
        <w:t xml:space="preserve"> 65%</w:t>
      </w:r>
      <w:r w:rsidR="00523E72">
        <w:rPr>
          <w:rFonts w:ascii="Book Antiqua" w:hAnsi="Book Antiqua" w:hint="eastAsia"/>
          <w:sz w:val="24"/>
          <w:szCs w:val="24"/>
          <w:lang w:eastAsia="zh-CN"/>
        </w:rPr>
        <w:t>,</w:t>
      </w:r>
      <w:r w:rsidR="00AC40ED" w:rsidRPr="00E75F6C">
        <w:rPr>
          <w:rFonts w:ascii="Book Antiqua" w:hAnsi="Book Antiqua"/>
          <w:sz w:val="24"/>
          <w:szCs w:val="24"/>
        </w:rPr>
        <w:t xml:space="preserve"> </w:t>
      </w:r>
      <w:r w:rsidR="00AC40ED" w:rsidRPr="00523E72">
        <w:rPr>
          <w:rFonts w:ascii="Book Antiqua" w:hAnsi="Book Antiqua"/>
          <w:i/>
          <w:sz w:val="24"/>
          <w:szCs w:val="24"/>
        </w:rPr>
        <w:t xml:space="preserve">P </w:t>
      </w:r>
      <w:r w:rsidR="00AC40ED" w:rsidRPr="00E75F6C">
        <w:rPr>
          <w:rFonts w:ascii="Book Antiqua" w:hAnsi="Book Antiqua"/>
          <w:sz w:val="24"/>
          <w:szCs w:val="24"/>
        </w:rPr>
        <w:t xml:space="preserve">= </w:t>
      </w:r>
      <w:r w:rsidR="00523E72">
        <w:rPr>
          <w:rFonts w:ascii="Book Antiqua" w:hAnsi="Book Antiqua" w:hint="eastAsia"/>
          <w:sz w:val="24"/>
          <w:szCs w:val="24"/>
          <w:lang w:eastAsia="zh-CN"/>
        </w:rPr>
        <w:t>0</w:t>
      </w:r>
      <w:r w:rsidR="00AC40ED" w:rsidRPr="00E75F6C">
        <w:rPr>
          <w:rFonts w:ascii="Book Antiqua" w:hAnsi="Book Antiqua"/>
          <w:sz w:val="24"/>
          <w:szCs w:val="24"/>
        </w:rPr>
        <w:t>.020). This approach was also cost-effective, with 72 patients with trough levels &gt;</w:t>
      </w:r>
      <w:r w:rsidR="00523E72">
        <w:rPr>
          <w:rFonts w:ascii="Book Antiqua" w:hAnsi="Book Antiqua" w:hint="eastAsia"/>
          <w:sz w:val="24"/>
          <w:szCs w:val="24"/>
          <w:lang w:eastAsia="zh-CN"/>
        </w:rPr>
        <w:t xml:space="preserve"> </w:t>
      </w:r>
      <w:r w:rsidR="00AC40ED" w:rsidRPr="00E75F6C">
        <w:rPr>
          <w:rFonts w:ascii="Book Antiqua" w:hAnsi="Book Antiqua"/>
          <w:sz w:val="24"/>
          <w:szCs w:val="24"/>
        </w:rPr>
        <w:t xml:space="preserve">7 </w:t>
      </w:r>
      <w:proofErr w:type="spellStart"/>
      <w:r w:rsidR="00AC40ED" w:rsidRPr="00E75F6C">
        <w:rPr>
          <w:rFonts w:ascii="Book Antiqua" w:hAnsi="Book Antiqua"/>
          <w:sz w:val="24"/>
          <w:szCs w:val="24"/>
        </w:rPr>
        <w:t>μg</w:t>
      </w:r>
      <w:proofErr w:type="spellEnd"/>
      <w:r w:rsidR="00AC40ED" w:rsidRPr="00E75F6C">
        <w:rPr>
          <w:rFonts w:ascii="Book Antiqua" w:hAnsi="Book Antiqua"/>
          <w:sz w:val="24"/>
          <w:szCs w:val="24"/>
        </w:rPr>
        <w:t xml:space="preserve">/mL, 67 patients (93%) achieved </w:t>
      </w:r>
      <w:r w:rsidR="00F156F8" w:rsidRPr="00E75F6C">
        <w:rPr>
          <w:rFonts w:ascii="Book Antiqua" w:hAnsi="Book Antiqua"/>
          <w:sz w:val="24"/>
          <w:szCs w:val="24"/>
        </w:rPr>
        <w:t>through</w:t>
      </w:r>
      <w:r w:rsidR="00AC40ED" w:rsidRPr="00E75F6C">
        <w:rPr>
          <w:rFonts w:ascii="Book Antiqua" w:hAnsi="Book Antiqua"/>
          <w:sz w:val="24"/>
          <w:szCs w:val="24"/>
        </w:rPr>
        <w:t xml:space="preserve"> levels of 3-7 </w:t>
      </w:r>
      <w:proofErr w:type="spellStart"/>
      <w:r w:rsidR="00AC40ED" w:rsidRPr="00E75F6C">
        <w:rPr>
          <w:rFonts w:ascii="Book Antiqua" w:hAnsi="Book Antiqua"/>
          <w:sz w:val="24"/>
          <w:szCs w:val="24"/>
        </w:rPr>
        <w:t>μg</w:t>
      </w:r>
      <w:proofErr w:type="spellEnd"/>
      <w:r w:rsidR="00AC40ED" w:rsidRPr="00E75F6C">
        <w:rPr>
          <w:rFonts w:ascii="Book Antiqua" w:hAnsi="Book Antiqua"/>
          <w:sz w:val="24"/>
          <w:szCs w:val="24"/>
        </w:rPr>
        <w:t>/mL after dose reduction. This resulted in a 28% reduction in drug cost from before dose reduction (</w:t>
      </w:r>
      <w:r w:rsidR="00523E72" w:rsidRPr="00523E72">
        <w:rPr>
          <w:rFonts w:ascii="Book Antiqua" w:hAnsi="Book Antiqua"/>
          <w:i/>
          <w:sz w:val="24"/>
          <w:szCs w:val="24"/>
        </w:rPr>
        <w:t>P</w:t>
      </w:r>
      <w:r w:rsidR="00AC40ED" w:rsidRPr="00E75F6C">
        <w:rPr>
          <w:rFonts w:ascii="Book Antiqua" w:hAnsi="Book Antiqua"/>
          <w:sz w:val="24"/>
          <w:szCs w:val="24"/>
        </w:rPr>
        <w:t xml:space="preserve"> &lt; </w:t>
      </w:r>
      <w:r w:rsidR="00523E72">
        <w:rPr>
          <w:rFonts w:ascii="Book Antiqua" w:hAnsi="Book Antiqua" w:hint="eastAsia"/>
          <w:sz w:val="24"/>
          <w:szCs w:val="24"/>
          <w:lang w:eastAsia="zh-CN"/>
        </w:rPr>
        <w:t>0</w:t>
      </w:r>
      <w:r w:rsidR="00AC40ED" w:rsidRPr="00E75F6C">
        <w:rPr>
          <w:rFonts w:ascii="Book Antiqua" w:hAnsi="Book Antiqua"/>
          <w:sz w:val="24"/>
          <w:szCs w:val="24"/>
        </w:rPr>
        <w:t>.001).</w:t>
      </w:r>
    </w:p>
    <w:p w14:paraId="7BC9CCFF" w14:textId="77777777" w:rsidR="00FE2CE4" w:rsidRDefault="00AC40ED" w:rsidP="00523E72">
      <w:pPr>
        <w:spacing w:after="0" w:line="360" w:lineRule="auto"/>
        <w:ind w:firstLineChars="150" w:firstLine="360"/>
        <w:jc w:val="both"/>
        <w:rPr>
          <w:rFonts w:ascii="Book Antiqua" w:hAnsi="Book Antiqua"/>
          <w:sz w:val="24"/>
          <w:szCs w:val="24"/>
          <w:lang w:eastAsia="zh-CN"/>
        </w:rPr>
      </w:pPr>
      <w:r w:rsidRPr="00E75F6C">
        <w:rPr>
          <w:rFonts w:ascii="Book Antiqua" w:hAnsi="Book Antiqua"/>
          <w:sz w:val="24"/>
          <w:szCs w:val="24"/>
        </w:rPr>
        <w:t>In addition a</w:t>
      </w:r>
      <w:r w:rsidR="005C366E" w:rsidRPr="00E75F6C">
        <w:rPr>
          <w:rFonts w:ascii="Book Antiqua" w:hAnsi="Book Antiqua"/>
          <w:sz w:val="24"/>
          <w:szCs w:val="24"/>
        </w:rPr>
        <w:t xml:space="preserve"> recent study has</w:t>
      </w:r>
      <w:r w:rsidR="009E3A6D" w:rsidRPr="00E75F6C">
        <w:rPr>
          <w:rFonts w:ascii="Book Antiqua" w:hAnsi="Book Antiqua"/>
          <w:sz w:val="24"/>
          <w:szCs w:val="24"/>
        </w:rPr>
        <w:t xml:space="preserve"> also</w:t>
      </w:r>
      <w:r w:rsidR="005C366E" w:rsidRPr="00E75F6C">
        <w:rPr>
          <w:rFonts w:ascii="Book Antiqua" w:hAnsi="Book Antiqua"/>
          <w:sz w:val="24"/>
          <w:szCs w:val="24"/>
        </w:rPr>
        <w:t xml:space="preserve"> shown that a therapeutic week 2 IFX trough level is associated with higher likelihood of mucosal healing in a UC population</w:t>
      </w:r>
      <w:r w:rsidR="00523E72" w:rsidRPr="00523E72">
        <w:rPr>
          <w:rFonts w:ascii="Book Antiqua" w:hAnsi="Book Antiqua"/>
          <w:sz w:val="24"/>
          <w:szCs w:val="24"/>
          <w:vertAlign w:val="superscript"/>
        </w:rPr>
        <w:t>[</w:t>
      </w:r>
      <w:r w:rsidR="00847BA2">
        <w:rPr>
          <w:rFonts w:ascii="Book Antiqua" w:hAnsi="Book Antiqua"/>
          <w:sz w:val="24"/>
          <w:szCs w:val="24"/>
          <w:vertAlign w:val="superscript"/>
        </w:rPr>
        <w:t>49</w:t>
      </w:r>
      <w:r w:rsidR="00847BA2" w:rsidRPr="00847BA2">
        <w:rPr>
          <w:rFonts w:ascii="Book Antiqua" w:hAnsi="Book Antiqua"/>
          <w:sz w:val="24"/>
          <w:szCs w:val="24"/>
          <w:vertAlign w:val="superscript"/>
        </w:rPr>
        <w:t>]</w:t>
      </w:r>
      <w:r w:rsidR="005C366E" w:rsidRPr="00E75F6C">
        <w:rPr>
          <w:rFonts w:ascii="Book Antiqua" w:hAnsi="Book Antiqua"/>
          <w:sz w:val="24"/>
          <w:szCs w:val="24"/>
        </w:rPr>
        <w:t xml:space="preserve">. </w:t>
      </w:r>
    </w:p>
    <w:p w14:paraId="07CA5218" w14:textId="77777777" w:rsidR="00523E72" w:rsidRPr="00E75F6C" w:rsidRDefault="00523E72" w:rsidP="00523E72">
      <w:pPr>
        <w:spacing w:after="0" w:line="360" w:lineRule="auto"/>
        <w:ind w:firstLineChars="150" w:firstLine="360"/>
        <w:jc w:val="both"/>
        <w:rPr>
          <w:rFonts w:ascii="Book Antiqua" w:hAnsi="Book Antiqua"/>
          <w:sz w:val="24"/>
          <w:szCs w:val="24"/>
          <w:lang w:eastAsia="zh-CN"/>
        </w:rPr>
      </w:pPr>
    </w:p>
    <w:p w14:paraId="77BC1524" w14:textId="77777777" w:rsidR="00FE2CE4" w:rsidRPr="00523E72" w:rsidRDefault="00FE2CE4" w:rsidP="00AD1560">
      <w:pPr>
        <w:spacing w:after="0" w:line="360" w:lineRule="auto"/>
        <w:jc w:val="both"/>
        <w:rPr>
          <w:rFonts w:ascii="Book Antiqua" w:hAnsi="Book Antiqua"/>
          <w:i/>
          <w:sz w:val="24"/>
          <w:szCs w:val="24"/>
        </w:rPr>
      </w:pPr>
      <w:r w:rsidRPr="00523E72">
        <w:rPr>
          <w:rFonts w:ascii="Book Antiqua" w:hAnsi="Book Antiqua"/>
          <w:b/>
          <w:i/>
          <w:sz w:val="24"/>
          <w:szCs w:val="24"/>
        </w:rPr>
        <w:t>Treatment selection based on trough and ADA</w:t>
      </w:r>
    </w:p>
    <w:p w14:paraId="05840FA6" w14:textId="00235BBE" w:rsidR="00FE2CE4" w:rsidRPr="00E75F6C" w:rsidRDefault="005C366E" w:rsidP="00AD1560">
      <w:pPr>
        <w:spacing w:after="0" w:line="360" w:lineRule="auto"/>
        <w:jc w:val="both"/>
        <w:rPr>
          <w:rFonts w:ascii="Book Antiqua" w:hAnsi="Book Antiqua"/>
          <w:sz w:val="24"/>
          <w:szCs w:val="24"/>
        </w:rPr>
      </w:pPr>
      <w:r w:rsidRPr="00E75F6C">
        <w:rPr>
          <w:rFonts w:ascii="Book Antiqua" w:hAnsi="Book Antiqua"/>
          <w:sz w:val="24"/>
          <w:szCs w:val="24"/>
        </w:rPr>
        <w:t xml:space="preserve">Early trough level assessment is useful at predicting both short and long-term outcomes, as well as facilitating earlier decision making between continuing with the drug or considering alternative options. </w:t>
      </w:r>
      <w:r w:rsidR="00AC40ED" w:rsidRPr="00E75F6C">
        <w:rPr>
          <w:rFonts w:ascii="Book Antiqua" w:hAnsi="Book Antiqua"/>
          <w:sz w:val="24"/>
          <w:szCs w:val="24"/>
        </w:rPr>
        <w:t>There is ample evidence from the literature, that escalating doses of anti-TNF</w:t>
      </w:r>
      <w:r w:rsidR="0055454E">
        <w:rPr>
          <w:rFonts w:ascii="Book Antiqua" w:hAnsi="Book Antiqua"/>
          <w:sz w:val="24"/>
          <w:szCs w:val="24"/>
        </w:rPr>
        <w:sym w:font="Symbol" w:char="F061"/>
      </w:r>
      <w:r w:rsidR="00AC40ED" w:rsidRPr="00E75F6C">
        <w:rPr>
          <w:rFonts w:ascii="Book Antiqua" w:hAnsi="Book Antiqua"/>
          <w:sz w:val="24"/>
          <w:szCs w:val="24"/>
        </w:rPr>
        <w:t xml:space="preserve"> in patients with ADA is unlikely to improve </w:t>
      </w:r>
      <w:r w:rsidR="00AC40ED" w:rsidRPr="00E75F6C">
        <w:rPr>
          <w:rFonts w:ascii="Book Antiqua" w:hAnsi="Book Antiqua"/>
          <w:sz w:val="24"/>
          <w:szCs w:val="24"/>
        </w:rPr>
        <w:lastRenderedPageBreak/>
        <w:t xml:space="preserve">response rates, and alternative agents should be </w:t>
      </w:r>
      <w:proofErr w:type="gramStart"/>
      <w:r w:rsidR="00AC40ED" w:rsidRPr="00E75F6C">
        <w:rPr>
          <w:rFonts w:ascii="Book Antiqua" w:hAnsi="Book Antiqua"/>
          <w:sz w:val="24"/>
          <w:szCs w:val="24"/>
        </w:rPr>
        <w:t>considered</w:t>
      </w:r>
      <w:r w:rsidR="00523E72" w:rsidRPr="00523E72">
        <w:rPr>
          <w:rFonts w:ascii="Book Antiqua" w:hAnsi="Book Antiqua"/>
          <w:sz w:val="24"/>
          <w:szCs w:val="24"/>
          <w:vertAlign w:val="superscript"/>
        </w:rPr>
        <w:t>[</w:t>
      </w:r>
      <w:proofErr w:type="gramEnd"/>
      <w:r w:rsidR="00847BA2">
        <w:rPr>
          <w:rFonts w:ascii="Book Antiqua" w:hAnsi="Book Antiqua"/>
          <w:sz w:val="24"/>
          <w:szCs w:val="24"/>
          <w:vertAlign w:val="superscript"/>
        </w:rPr>
        <w:t>50</w:t>
      </w:r>
      <w:r w:rsidR="00847BA2" w:rsidRPr="00847BA2">
        <w:rPr>
          <w:rFonts w:ascii="Book Antiqua" w:hAnsi="Book Antiqua"/>
          <w:sz w:val="24"/>
          <w:szCs w:val="24"/>
          <w:vertAlign w:val="superscript"/>
        </w:rPr>
        <w:t>]</w:t>
      </w:r>
      <w:r w:rsidR="00AC40ED" w:rsidRPr="00E75F6C">
        <w:rPr>
          <w:rFonts w:ascii="Book Antiqua" w:hAnsi="Book Antiqua"/>
          <w:sz w:val="24"/>
          <w:szCs w:val="24"/>
        </w:rPr>
        <w:t xml:space="preserve">. </w:t>
      </w:r>
      <w:proofErr w:type="spellStart"/>
      <w:r w:rsidR="00AC40ED" w:rsidRPr="00E75F6C">
        <w:rPr>
          <w:rFonts w:ascii="Book Antiqua" w:hAnsi="Book Antiqua"/>
          <w:sz w:val="24"/>
          <w:szCs w:val="24"/>
        </w:rPr>
        <w:t>Immunomonitoring</w:t>
      </w:r>
      <w:proofErr w:type="spellEnd"/>
      <w:r w:rsidR="00AC40ED" w:rsidRPr="00E75F6C">
        <w:rPr>
          <w:rFonts w:ascii="Book Antiqua" w:hAnsi="Book Antiqua"/>
          <w:sz w:val="24"/>
          <w:szCs w:val="24"/>
        </w:rPr>
        <w:t xml:space="preserve"> helps explore this immunogenicity, and helps identify patients loosing response for immune reasons, and to develop strategies to regain response. </w:t>
      </w:r>
    </w:p>
    <w:p w14:paraId="365919AA" w14:textId="77777777" w:rsidR="00523E72" w:rsidRPr="00523E72" w:rsidRDefault="00523E72" w:rsidP="00AD1560">
      <w:pPr>
        <w:spacing w:after="0" w:line="360" w:lineRule="auto"/>
        <w:jc w:val="both"/>
        <w:rPr>
          <w:rFonts w:ascii="Book Antiqua" w:hAnsi="Book Antiqua"/>
          <w:b/>
          <w:i/>
          <w:sz w:val="24"/>
          <w:szCs w:val="24"/>
          <w:lang w:eastAsia="zh-CN"/>
        </w:rPr>
      </w:pPr>
    </w:p>
    <w:p w14:paraId="133A57BE" w14:textId="77777777" w:rsidR="00FE2CE4" w:rsidRPr="00523E72" w:rsidRDefault="00FE2CE4" w:rsidP="00AD1560">
      <w:pPr>
        <w:spacing w:after="0" w:line="360" w:lineRule="auto"/>
        <w:jc w:val="both"/>
        <w:rPr>
          <w:rFonts w:ascii="Book Antiqua" w:hAnsi="Book Antiqua"/>
          <w:b/>
          <w:i/>
          <w:sz w:val="24"/>
          <w:szCs w:val="24"/>
        </w:rPr>
      </w:pPr>
      <w:r w:rsidRPr="00523E72">
        <w:rPr>
          <w:rFonts w:ascii="Book Antiqua" w:hAnsi="Book Antiqua"/>
          <w:b/>
          <w:i/>
          <w:sz w:val="24"/>
          <w:szCs w:val="24"/>
        </w:rPr>
        <w:t xml:space="preserve">Economic </w:t>
      </w:r>
      <w:r w:rsidR="00523E72" w:rsidRPr="00523E72">
        <w:rPr>
          <w:rFonts w:ascii="Book Antiqua" w:hAnsi="Book Antiqua"/>
          <w:b/>
          <w:i/>
          <w:sz w:val="24"/>
          <w:szCs w:val="24"/>
        </w:rPr>
        <w:t>benefit</w:t>
      </w:r>
    </w:p>
    <w:p w14:paraId="4044C45A" w14:textId="77777777" w:rsidR="006A04E8" w:rsidRDefault="005C366E" w:rsidP="00AD1560">
      <w:pPr>
        <w:spacing w:after="0" w:line="360" w:lineRule="auto"/>
        <w:jc w:val="both"/>
        <w:rPr>
          <w:rFonts w:ascii="Book Antiqua" w:hAnsi="Book Antiqua"/>
          <w:sz w:val="24"/>
          <w:szCs w:val="24"/>
          <w:lang w:eastAsia="zh-CN"/>
        </w:rPr>
      </w:pPr>
      <w:r w:rsidRPr="00E75F6C">
        <w:rPr>
          <w:rFonts w:ascii="Book Antiqua" w:hAnsi="Book Antiqua"/>
          <w:sz w:val="24"/>
          <w:szCs w:val="24"/>
        </w:rPr>
        <w:t xml:space="preserve">A Danish study by </w:t>
      </w:r>
      <w:proofErr w:type="spellStart"/>
      <w:r w:rsidRPr="00E75F6C">
        <w:rPr>
          <w:rFonts w:ascii="Book Antiqua" w:hAnsi="Book Antiqua"/>
          <w:sz w:val="24"/>
          <w:szCs w:val="24"/>
        </w:rPr>
        <w:t>Steenholdt</w:t>
      </w:r>
      <w:proofErr w:type="spellEnd"/>
      <w:r w:rsidRPr="00E75F6C">
        <w:rPr>
          <w:rFonts w:ascii="Book Antiqua" w:hAnsi="Book Antiqua"/>
          <w:sz w:val="24"/>
          <w:szCs w:val="24"/>
        </w:rPr>
        <w:t xml:space="preserve"> also confirms that an individualised approach, with adjustment of infliximab doses based on drug antibody and trough levels, is more cost effective, </w:t>
      </w:r>
      <w:r w:rsidR="006A04E8" w:rsidRPr="00E75F6C">
        <w:rPr>
          <w:rFonts w:ascii="Book Antiqua" w:hAnsi="Book Antiqua"/>
          <w:sz w:val="24"/>
          <w:szCs w:val="24"/>
        </w:rPr>
        <w:t>without any obvious negative clinical effect on efficacy</w:t>
      </w:r>
      <w:r w:rsidR="00523E72" w:rsidRPr="00523E72">
        <w:rPr>
          <w:rFonts w:ascii="Book Antiqua" w:hAnsi="Book Antiqua"/>
          <w:sz w:val="24"/>
          <w:szCs w:val="24"/>
          <w:vertAlign w:val="superscript"/>
        </w:rPr>
        <w:t>[</w:t>
      </w:r>
      <w:r w:rsidR="00847BA2">
        <w:rPr>
          <w:rFonts w:ascii="Book Antiqua" w:hAnsi="Book Antiqua"/>
          <w:sz w:val="24"/>
          <w:szCs w:val="24"/>
          <w:vertAlign w:val="superscript"/>
        </w:rPr>
        <w:t>51</w:t>
      </w:r>
      <w:r w:rsidR="00847BA2" w:rsidRPr="00847BA2">
        <w:rPr>
          <w:rFonts w:ascii="Book Antiqua" w:hAnsi="Book Antiqua"/>
          <w:sz w:val="24"/>
          <w:szCs w:val="24"/>
          <w:vertAlign w:val="superscript"/>
        </w:rPr>
        <w:t>]</w:t>
      </w:r>
      <w:r w:rsidRPr="00E75F6C">
        <w:rPr>
          <w:rFonts w:ascii="Book Antiqua" w:hAnsi="Book Antiqua"/>
          <w:sz w:val="24"/>
          <w:szCs w:val="24"/>
        </w:rPr>
        <w:t xml:space="preserve">. </w:t>
      </w:r>
      <w:r w:rsidR="006A04E8" w:rsidRPr="00E75F6C">
        <w:rPr>
          <w:rFonts w:ascii="Book Antiqua" w:hAnsi="Book Antiqua"/>
          <w:sz w:val="24"/>
          <w:szCs w:val="24"/>
        </w:rPr>
        <w:t xml:space="preserve">Costs for intention-to-treat patients were substantially lower (34%) for those treated in accordance with the algorithm than by IFX dose intensification: € 6038 </w:t>
      </w:r>
      <w:proofErr w:type="spellStart"/>
      <w:r w:rsidR="006A04E8" w:rsidRPr="00523E72">
        <w:rPr>
          <w:rFonts w:ascii="Book Antiqua" w:hAnsi="Book Antiqua"/>
          <w:i/>
          <w:sz w:val="24"/>
          <w:szCs w:val="24"/>
        </w:rPr>
        <w:t>vs</w:t>
      </w:r>
      <w:proofErr w:type="spellEnd"/>
      <w:r w:rsidR="006A04E8" w:rsidRPr="00E75F6C">
        <w:rPr>
          <w:rFonts w:ascii="Book Antiqua" w:hAnsi="Book Antiqua"/>
          <w:sz w:val="24"/>
          <w:szCs w:val="24"/>
        </w:rPr>
        <w:t xml:space="preserve"> € 9178, </w:t>
      </w:r>
      <w:r w:rsidR="00523E72" w:rsidRPr="00523E72">
        <w:rPr>
          <w:rFonts w:ascii="Book Antiqua" w:hAnsi="Book Antiqua"/>
          <w:i/>
          <w:sz w:val="24"/>
          <w:szCs w:val="24"/>
        </w:rPr>
        <w:t>P</w:t>
      </w:r>
      <w:r w:rsidR="00523E72">
        <w:rPr>
          <w:rFonts w:ascii="Book Antiqua" w:hAnsi="Book Antiqua" w:hint="eastAsia"/>
          <w:sz w:val="24"/>
          <w:szCs w:val="24"/>
          <w:lang w:eastAsia="zh-CN"/>
        </w:rPr>
        <w:t xml:space="preserve"> </w:t>
      </w:r>
      <w:r w:rsidR="006A04E8" w:rsidRPr="00E75F6C">
        <w:rPr>
          <w:rFonts w:ascii="Book Antiqua" w:hAnsi="Book Antiqua"/>
          <w:sz w:val="24"/>
          <w:szCs w:val="24"/>
        </w:rPr>
        <w:t>&lt;</w:t>
      </w:r>
      <w:r w:rsidR="00523E72">
        <w:rPr>
          <w:rFonts w:ascii="Book Antiqua" w:hAnsi="Book Antiqua" w:hint="eastAsia"/>
          <w:sz w:val="24"/>
          <w:szCs w:val="24"/>
          <w:lang w:eastAsia="zh-CN"/>
        </w:rPr>
        <w:t xml:space="preserve"> </w:t>
      </w:r>
      <w:r w:rsidR="006A04E8" w:rsidRPr="00E75F6C">
        <w:rPr>
          <w:rFonts w:ascii="Book Antiqua" w:hAnsi="Book Antiqua"/>
          <w:sz w:val="24"/>
          <w:szCs w:val="24"/>
        </w:rPr>
        <w:t xml:space="preserve">0.001. However, disease control, as judged by response rates, was similar: 58% and 53%, respectively, </w:t>
      </w:r>
      <w:r w:rsidR="00523E72" w:rsidRPr="00523E72">
        <w:rPr>
          <w:rFonts w:ascii="Book Antiqua" w:hAnsi="Book Antiqua"/>
          <w:i/>
          <w:sz w:val="24"/>
          <w:szCs w:val="24"/>
        </w:rPr>
        <w:t>P</w:t>
      </w:r>
      <w:r w:rsidR="00523E72">
        <w:rPr>
          <w:rFonts w:ascii="Book Antiqua" w:hAnsi="Book Antiqua" w:hint="eastAsia"/>
          <w:sz w:val="24"/>
          <w:szCs w:val="24"/>
          <w:lang w:eastAsia="zh-CN"/>
        </w:rPr>
        <w:t xml:space="preserve"> </w:t>
      </w:r>
      <w:r w:rsidR="006A04E8" w:rsidRPr="00E75F6C">
        <w:rPr>
          <w:rFonts w:ascii="Book Antiqua" w:hAnsi="Book Antiqua"/>
          <w:sz w:val="24"/>
          <w:szCs w:val="24"/>
        </w:rPr>
        <w:t>=</w:t>
      </w:r>
      <w:r w:rsidR="00523E72">
        <w:rPr>
          <w:rFonts w:ascii="Book Antiqua" w:hAnsi="Book Antiqua" w:hint="eastAsia"/>
          <w:sz w:val="24"/>
          <w:szCs w:val="24"/>
          <w:lang w:eastAsia="zh-CN"/>
        </w:rPr>
        <w:t xml:space="preserve"> </w:t>
      </w:r>
      <w:r w:rsidR="006A04E8" w:rsidRPr="00E75F6C">
        <w:rPr>
          <w:rFonts w:ascii="Book Antiqua" w:hAnsi="Book Antiqua"/>
          <w:sz w:val="24"/>
          <w:szCs w:val="24"/>
        </w:rPr>
        <w:t xml:space="preserve">0.81; difference 5% (-19% to 28%). For per-protocol patients, treatment costs were even lower (56%) in the algorithm-treated group (€ 4062 </w:t>
      </w:r>
      <w:proofErr w:type="spellStart"/>
      <w:r w:rsidR="006A04E8" w:rsidRPr="00523E72">
        <w:rPr>
          <w:rFonts w:ascii="Book Antiqua" w:hAnsi="Book Antiqua"/>
          <w:i/>
          <w:sz w:val="24"/>
          <w:szCs w:val="24"/>
        </w:rPr>
        <w:t>vs</w:t>
      </w:r>
      <w:proofErr w:type="spellEnd"/>
      <w:r w:rsidR="006A04E8" w:rsidRPr="00E75F6C">
        <w:rPr>
          <w:rFonts w:ascii="Book Antiqua" w:hAnsi="Book Antiqua"/>
          <w:sz w:val="24"/>
          <w:szCs w:val="24"/>
        </w:rPr>
        <w:t xml:space="preserve"> € 9178, </w:t>
      </w:r>
      <w:r w:rsidR="00523E72" w:rsidRPr="00523E72">
        <w:rPr>
          <w:rFonts w:ascii="Book Antiqua" w:hAnsi="Book Antiqua"/>
          <w:i/>
          <w:sz w:val="24"/>
          <w:szCs w:val="24"/>
        </w:rPr>
        <w:t>P</w:t>
      </w:r>
      <w:r w:rsidR="00523E72">
        <w:rPr>
          <w:rFonts w:ascii="Book Antiqua" w:hAnsi="Book Antiqua" w:hint="eastAsia"/>
          <w:sz w:val="24"/>
          <w:szCs w:val="24"/>
          <w:lang w:eastAsia="zh-CN"/>
        </w:rPr>
        <w:t xml:space="preserve"> </w:t>
      </w:r>
      <w:r w:rsidR="006A04E8" w:rsidRPr="00E75F6C">
        <w:rPr>
          <w:rFonts w:ascii="Book Antiqua" w:hAnsi="Book Antiqua"/>
          <w:sz w:val="24"/>
          <w:szCs w:val="24"/>
        </w:rPr>
        <w:t>&lt;</w:t>
      </w:r>
      <w:r w:rsidR="00523E72">
        <w:rPr>
          <w:rFonts w:ascii="Book Antiqua" w:hAnsi="Book Antiqua" w:hint="eastAsia"/>
          <w:sz w:val="24"/>
          <w:szCs w:val="24"/>
          <w:lang w:eastAsia="zh-CN"/>
        </w:rPr>
        <w:t xml:space="preserve"> </w:t>
      </w:r>
      <w:r w:rsidR="006A04E8" w:rsidRPr="00E75F6C">
        <w:rPr>
          <w:rFonts w:ascii="Book Antiqua" w:hAnsi="Book Antiqua"/>
          <w:sz w:val="24"/>
          <w:szCs w:val="24"/>
        </w:rPr>
        <w:t xml:space="preserve">0.001) and with similar response rates </w:t>
      </w:r>
      <w:r w:rsidR="00523E72">
        <w:rPr>
          <w:rFonts w:ascii="Book Antiqua" w:hAnsi="Book Antiqua" w:hint="eastAsia"/>
          <w:sz w:val="24"/>
          <w:szCs w:val="24"/>
          <w:lang w:eastAsia="zh-CN"/>
        </w:rPr>
        <w:t>[</w:t>
      </w:r>
      <w:r w:rsidR="006A04E8" w:rsidRPr="00E75F6C">
        <w:rPr>
          <w:rFonts w:ascii="Book Antiqua" w:hAnsi="Book Antiqua"/>
          <w:sz w:val="24"/>
          <w:szCs w:val="24"/>
        </w:rPr>
        <w:t xml:space="preserve">47% </w:t>
      </w:r>
      <w:proofErr w:type="spellStart"/>
      <w:r w:rsidR="006A04E8" w:rsidRPr="00523E72">
        <w:rPr>
          <w:rFonts w:ascii="Book Antiqua" w:hAnsi="Book Antiqua"/>
          <w:i/>
          <w:sz w:val="24"/>
          <w:szCs w:val="24"/>
        </w:rPr>
        <w:t>vs</w:t>
      </w:r>
      <w:proofErr w:type="spellEnd"/>
      <w:r w:rsidR="006A04E8" w:rsidRPr="00E75F6C">
        <w:rPr>
          <w:rFonts w:ascii="Book Antiqua" w:hAnsi="Book Antiqua"/>
          <w:sz w:val="24"/>
          <w:szCs w:val="24"/>
        </w:rPr>
        <w:t xml:space="preserve"> 53%, </w:t>
      </w:r>
      <w:r w:rsidR="00523E72" w:rsidRPr="00523E72">
        <w:rPr>
          <w:rFonts w:ascii="Book Antiqua" w:hAnsi="Book Antiqua"/>
          <w:i/>
          <w:sz w:val="24"/>
          <w:szCs w:val="24"/>
        </w:rPr>
        <w:t>P</w:t>
      </w:r>
      <w:r w:rsidR="00523E72" w:rsidRPr="00E75F6C">
        <w:rPr>
          <w:rFonts w:ascii="Book Antiqua" w:hAnsi="Book Antiqua"/>
          <w:sz w:val="24"/>
          <w:szCs w:val="24"/>
        </w:rPr>
        <w:t xml:space="preserve"> </w:t>
      </w:r>
      <w:r w:rsidR="006A04E8" w:rsidRPr="00E75F6C">
        <w:rPr>
          <w:rFonts w:ascii="Book Antiqua" w:hAnsi="Book Antiqua"/>
          <w:sz w:val="24"/>
          <w:szCs w:val="24"/>
        </w:rPr>
        <w:t>=</w:t>
      </w:r>
      <w:r w:rsidR="00523E72">
        <w:rPr>
          <w:rFonts w:ascii="Book Antiqua" w:hAnsi="Book Antiqua" w:hint="eastAsia"/>
          <w:sz w:val="24"/>
          <w:szCs w:val="24"/>
          <w:lang w:eastAsia="zh-CN"/>
        </w:rPr>
        <w:t xml:space="preserve"> </w:t>
      </w:r>
      <w:r w:rsidR="006A04E8" w:rsidRPr="00E75F6C">
        <w:rPr>
          <w:rFonts w:ascii="Book Antiqua" w:hAnsi="Book Antiqua"/>
          <w:sz w:val="24"/>
          <w:szCs w:val="24"/>
        </w:rPr>
        <w:t>0.78; difference -5% (-33% to 22%)</w:t>
      </w:r>
      <w:r w:rsidR="00523E72">
        <w:rPr>
          <w:rFonts w:ascii="Book Antiqua" w:hAnsi="Book Antiqua" w:hint="eastAsia"/>
          <w:sz w:val="24"/>
          <w:szCs w:val="24"/>
          <w:lang w:eastAsia="zh-CN"/>
        </w:rPr>
        <w:t>]</w:t>
      </w:r>
      <w:r w:rsidR="006A04E8" w:rsidRPr="00E75F6C">
        <w:rPr>
          <w:rFonts w:ascii="Book Antiqua" w:hAnsi="Book Antiqua"/>
          <w:sz w:val="24"/>
          <w:szCs w:val="24"/>
        </w:rPr>
        <w:t>.</w:t>
      </w:r>
    </w:p>
    <w:p w14:paraId="292D909B" w14:textId="77777777" w:rsidR="00523E72" w:rsidRPr="00E75F6C" w:rsidRDefault="00523E72" w:rsidP="00AD1560">
      <w:pPr>
        <w:spacing w:after="0" w:line="360" w:lineRule="auto"/>
        <w:jc w:val="both"/>
        <w:rPr>
          <w:rFonts w:ascii="Book Antiqua" w:hAnsi="Book Antiqua"/>
          <w:sz w:val="24"/>
          <w:szCs w:val="24"/>
          <w:lang w:eastAsia="zh-CN"/>
        </w:rPr>
      </w:pPr>
    </w:p>
    <w:p w14:paraId="541150F7" w14:textId="77777777" w:rsidR="00AF33E8" w:rsidRPr="00523E72" w:rsidRDefault="00AF33E8" w:rsidP="00AD1560">
      <w:pPr>
        <w:spacing w:after="0" w:line="360" w:lineRule="auto"/>
        <w:jc w:val="both"/>
        <w:rPr>
          <w:rFonts w:ascii="Book Antiqua" w:hAnsi="Book Antiqua"/>
          <w:i/>
          <w:sz w:val="24"/>
          <w:szCs w:val="24"/>
        </w:rPr>
      </w:pPr>
      <w:r w:rsidRPr="00523E72">
        <w:rPr>
          <w:rFonts w:ascii="Book Antiqua" w:hAnsi="Book Antiqua"/>
          <w:b/>
          <w:i/>
          <w:sz w:val="24"/>
          <w:szCs w:val="24"/>
        </w:rPr>
        <w:t>Reduced toxicity</w:t>
      </w:r>
    </w:p>
    <w:p w14:paraId="375BF896" w14:textId="6BDF7C1F" w:rsidR="0039421A" w:rsidRDefault="00AB1C85" w:rsidP="00AD1560">
      <w:pPr>
        <w:spacing w:after="0" w:line="360" w:lineRule="auto"/>
        <w:jc w:val="both"/>
        <w:rPr>
          <w:rFonts w:ascii="Book Antiqua" w:hAnsi="Book Antiqua"/>
          <w:sz w:val="24"/>
          <w:szCs w:val="24"/>
          <w:lang w:eastAsia="zh-CN"/>
        </w:rPr>
      </w:pPr>
      <w:r w:rsidRPr="00E75F6C">
        <w:rPr>
          <w:rFonts w:ascii="Book Antiqua" w:hAnsi="Book Antiqua"/>
          <w:sz w:val="24"/>
          <w:szCs w:val="24"/>
        </w:rPr>
        <w:t xml:space="preserve">In addition </w:t>
      </w:r>
      <w:proofErr w:type="spellStart"/>
      <w:r w:rsidRPr="00E75F6C">
        <w:rPr>
          <w:rFonts w:ascii="Book Antiqua" w:hAnsi="Book Antiqua"/>
          <w:sz w:val="24"/>
          <w:szCs w:val="24"/>
        </w:rPr>
        <w:t>immunomonitoring</w:t>
      </w:r>
      <w:proofErr w:type="spellEnd"/>
      <w:r w:rsidRPr="00E75F6C">
        <w:rPr>
          <w:rFonts w:ascii="Book Antiqua" w:hAnsi="Book Antiqua"/>
          <w:sz w:val="24"/>
          <w:szCs w:val="24"/>
        </w:rPr>
        <w:t xml:space="preserve"> can be utilised to manage complica</w:t>
      </w:r>
      <w:r w:rsidR="009F7D8F" w:rsidRPr="00E75F6C">
        <w:rPr>
          <w:rFonts w:ascii="Book Antiqua" w:hAnsi="Book Antiqua"/>
          <w:sz w:val="24"/>
          <w:szCs w:val="24"/>
        </w:rPr>
        <w:t>tions or drawbacks to anti-TNF</w:t>
      </w:r>
      <w:r w:rsidR="0055454E">
        <w:rPr>
          <w:rFonts w:ascii="Book Antiqua" w:hAnsi="Book Antiqua"/>
          <w:sz w:val="24"/>
          <w:szCs w:val="24"/>
        </w:rPr>
        <w:sym w:font="Symbol" w:char="F061"/>
      </w:r>
      <w:r w:rsidR="009F7D8F" w:rsidRPr="00E75F6C">
        <w:rPr>
          <w:rFonts w:ascii="Book Antiqua" w:hAnsi="Book Antiqua"/>
          <w:sz w:val="24"/>
          <w:szCs w:val="24"/>
        </w:rPr>
        <w:t xml:space="preserve"> </w:t>
      </w:r>
      <w:r w:rsidRPr="00E75F6C">
        <w:rPr>
          <w:rFonts w:ascii="Book Antiqua" w:hAnsi="Book Antiqua"/>
          <w:sz w:val="24"/>
          <w:szCs w:val="24"/>
        </w:rPr>
        <w:t>therapy. As well as impacting on loss of response</w:t>
      </w:r>
      <w:r w:rsidR="00C10F69" w:rsidRPr="00E75F6C">
        <w:rPr>
          <w:rFonts w:ascii="Book Antiqua" w:hAnsi="Book Antiqua"/>
          <w:sz w:val="24"/>
          <w:szCs w:val="24"/>
        </w:rPr>
        <w:t>, Anti-TNF</w:t>
      </w:r>
      <w:r w:rsidR="0055454E">
        <w:rPr>
          <w:rFonts w:ascii="Book Antiqua" w:hAnsi="Book Antiqua"/>
          <w:sz w:val="24"/>
          <w:szCs w:val="24"/>
        </w:rPr>
        <w:sym w:font="Symbol" w:char="F061"/>
      </w:r>
      <w:r w:rsidR="00C10F69" w:rsidRPr="00E75F6C">
        <w:rPr>
          <w:rFonts w:ascii="Book Antiqua" w:hAnsi="Book Antiqua"/>
          <w:sz w:val="24"/>
          <w:szCs w:val="24"/>
        </w:rPr>
        <w:t xml:space="preserve"> antibody</w:t>
      </w:r>
      <w:r w:rsidR="00DE32A3" w:rsidRPr="00E75F6C">
        <w:rPr>
          <w:rFonts w:ascii="Book Antiqua" w:hAnsi="Book Antiqua"/>
          <w:sz w:val="24"/>
          <w:szCs w:val="24"/>
        </w:rPr>
        <w:t xml:space="preserve"> formation </w:t>
      </w:r>
      <w:r w:rsidRPr="00E75F6C">
        <w:rPr>
          <w:rFonts w:ascii="Book Antiqua" w:hAnsi="Book Antiqua"/>
          <w:sz w:val="24"/>
          <w:szCs w:val="24"/>
        </w:rPr>
        <w:t xml:space="preserve">is also associated with transfusion related reactions and </w:t>
      </w:r>
      <w:proofErr w:type="gramStart"/>
      <w:r w:rsidRPr="00E75F6C">
        <w:rPr>
          <w:rFonts w:ascii="Book Antiqua" w:hAnsi="Book Antiqua"/>
          <w:sz w:val="24"/>
          <w:szCs w:val="24"/>
        </w:rPr>
        <w:t>anaphylaxis</w:t>
      </w:r>
      <w:r w:rsidR="00523E72" w:rsidRPr="00523E72">
        <w:rPr>
          <w:rFonts w:ascii="Book Antiqua" w:hAnsi="Book Antiqua"/>
          <w:sz w:val="24"/>
          <w:szCs w:val="24"/>
          <w:vertAlign w:val="superscript"/>
        </w:rPr>
        <w:t>[</w:t>
      </w:r>
      <w:proofErr w:type="gramEnd"/>
      <w:r w:rsidR="00847BA2">
        <w:rPr>
          <w:rFonts w:ascii="Book Antiqua" w:hAnsi="Book Antiqua"/>
          <w:sz w:val="24"/>
          <w:szCs w:val="24"/>
          <w:vertAlign w:val="superscript"/>
        </w:rPr>
        <w:t>5</w:t>
      </w:r>
      <w:r w:rsidR="00847BA2" w:rsidRPr="00847BA2">
        <w:rPr>
          <w:rFonts w:ascii="Book Antiqua" w:hAnsi="Book Antiqua"/>
          <w:sz w:val="24"/>
          <w:szCs w:val="24"/>
          <w:vertAlign w:val="superscript"/>
        </w:rPr>
        <w:t>2]</w:t>
      </w:r>
      <w:r w:rsidRPr="00E75F6C">
        <w:rPr>
          <w:rFonts w:ascii="Book Antiqua" w:hAnsi="Book Antiqua"/>
          <w:sz w:val="24"/>
          <w:szCs w:val="24"/>
        </w:rPr>
        <w:t>.  For example patients with ATI (antib</w:t>
      </w:r>
      <w:r w:rsidR="00137061" w:rsidRPr="00E75F6C">
        <w:rPr>
          <w:rFonts w:ascii="Book Antiqua" w:hAnsi="Book Antiqua"/>
          <w:sz w:val="24"/>
          <w:szCs w:val="24"/>
        </w:rPr>
        <w:t>odies against infliximab) are at increased risk of acute transfusion reaction, and loss of response, compared to those patients without A</w:t>
      </w:r>
      <w:r w:rsidR="00F92249" w:rsidRPr="00E75F6C">
        <w:rPr>
          <w:rFonts w:ascii="Book Antiqua" w:hAnsi="Book Antiqua"/>
          <w:sz w:val="24"/>
          <w:szCs w:val="24"/>
        </w:rPr>
        <w:t>T</w:t>
      </w:r>
      <w:r w:rsidR="00137061" w:rsidRPr="00E75F6C">
        <w:rPr>
          <w:rFonts w:ascii="Book Antiqua" w:hAnsi="Book Antiqua"/>
          <w:sz w:val="24"/>
          <w:szCs w:val="24"/>
        </w:rPr>
        <w:t>I</w:t>
      </w:r>
      <w:r w:rsidR="00523E72" w:rsidRPr="00523E72">
        <w:rPr>
          <w:rFonts w:ascii="Book Antiqua" w:hAnsi="Book Antiqua"/>
          <w:sz w:val="24"/>
          <w:szCs w:val="24"/>
          <w:vertAlign w:val="superscript"/>
        </w:rPr>
        <w:t>[</w:t>
      </w:r>
      <w:r w:rsidR="00847BA2">
        <w:rPr>
          <w:rFonts w:ascii="Book Antiqua" w:hAnsi="Book Antiqua"/>
          <w:sz w:val="24"/>
          <w:szCs w:val="24"/>
          <w:vertAlign w:val="superscript"/>
        </w:rPr>
        <w:t>53</w:t>
      </w:r>
      <w:r w:rsidR="00847BA2" w:rsidRPr="00847BA2">
        <w:rPr>
          <w:rFonts w:ascii="Book Antiqua" w:hAnsi="Book Antiqua"/>
          <w:sz w:val="24"/>
          <w:szCs w:val="24"/>
          <w:vertAlign w:val="superscript"/>
        </w:rPr>
        <w:t>]</w:t>
      </w:r>
      <w:r w:rsidR="00137061" w:rsidRPr="00E75F6C">
        <w:rPr>
          <w:rFonts w:ascii="Book Antiqua" w:hAnsi="Book Antiqua"/>
          <w:sz w:val="24"/>
          <w:szCs w:val="24"/>
        </w:rPr>
        <w:t xml:space="preserve">). In addition a study by </w:t>
      </w:r>
      <w:proofErr w:type="spellStart"/>
      <w:r w:rsidR="00137061" w:rsidRPr="00E75F6C">
        <w:rPr>
          <w:rFonts w:ascii="Book Antiqua" w:hAnsi="Book Antiqua"/>
          <w:sz w:val="24"/>
          <w:szCs w:val="24"/>
        </w:rPr>
        <w:t>Baert</w:t>
      </w:r>
      <w:proofErr w:type="spellEnd"/>
      <w:r w:rsidR="00137061" w:rsidRPr="00F156F8">
        <w:rPr>
          <w:rFonts w:ascii="Book Antiqua" w:hAnsi="Book Antiqua"/>
          <w:i/>
          <w:sz w:val="24"/>
          <w:szCs w:val="24"/>
        </w:rPr>
        <w:t xml:space="preserve"> et al</w:t>
      </w:r>
      <w:r w:rsidR="00F156F8" w:rsidRPr="00523E72">
        <w:rPr>
          <w:rFonts w:ascii="Book Antiqua" w:hAnsi="Book Antiqua"/>
          <w:sz w:val="24"/>
          <w:szCs w:val="24"/>
          <w:vertAlign w:val="superscript"/>
        </w:rPr>
        <w:t>[</w:t>
      </w:r>
      <w:r w:rsidR="00F156F8">
        <w:rPr>
          <w:rFonts w:ascii="Book Antiqua" w:hAnsi="Book Antiqua"/>
          <w:sz w:val="24"/>
          <w:szCs w:val="24"/>
          <w:vertAlign w:val="superscript"/>
        </w:rPr>
        <w:t>20</w:t>
      </w:r>
      <w:r w:rsidR="00F156F8" w:rsidRPr="00847BA2">
        <w:rPr>
          <w:rFonts w:ascii="Book Antiqua" w:hAnsi="Book Antiqua"/>
          <w:sz w:val="24"/>
          <w:szCs w:val="24"/>
          <w:vertAlign w:val="superscript"/>
        </w:rPr>
        <w:t>]</w:t>
      </w:r>
      <w:r w:rsidR="00137061" w:rsidRPr="00E75F6C">
        <w:rPr>
          <w:rFonts w:ascii="Book Antiqua" w:hAnsi="Book Antiqua"/>
          <w:sz w:val="24"/>
          <w:szCs w:val="24"/>
        </w:rPr>
        <w:t xml:space="preserve"> in which an arbitrary figure for ATI was used in a</w:t>
      </w:r>
      <w:r w:rsidR="006A1DCD" w:rsidRPr="00E75F6C">
        <w:rPr>
          <w:rFonts w:ascii="Book Antiqua" w:hAnsi="Book Antiqua"/>
          <w:sz w:val="24"/>
          <w:szCs w:val="24"/>
        </w:rPr>
        <w:t xml:space="preserve"> population with CD, they showed</w:t>
      </w:r>
      <w:r w:rsidR="00137061" w:rsidRPr="00E75F6C">
        <w:rPr>
          <w:rFonts w:ascii="Book Antiqua" w:hAnsi="Book Antiqua"/>
          <w:sz w:val="24"/>
          <w:szCs w:val="24"/>
        </w:rPr>
        <w:t xml:space="preserve"> that patients with an ATI greater than 8</w:t>
      </w:r>
      <w:r w:rsidR="00F156F8">
        <w:rPr>
          <w:rFonts w:ascii="Book Antiqua" w:hAnsi="Book Antiqua" w:hint="eastAsia"/>
          <w:sz w:val="24"/>
          <w:szCs w:val="24"/>
          <w:lang w:eastAsia="zh-CN"/>
        </w:rPr>
        <w:t xml:space="preserve"> </w:t>
      </w:r>
      <w:proofErr w:type="spellStart"/>
      <w:r w:rsidR="00F92249" w:rsidRPr="00E75F6C">
        <w:rPr>
          <w:rFonts w:ascii="Book Antiqua" w:hAnsi="Book Antiqua"/>
          <w:sz w:val="24"/>
          <w:szCs w:val="24"/>
        </w:rPr>
        <w:t>μ</w:t>
      </w:r>
      <w:r w:rsidR="00137061" w:rsidRPr="00E75F6C">
        <w:rPr>
          <w:rFonts w:ascii="Book Antiqua" w:hAnsi="Book Antiqua"/>
          <w:sz w:val="24"/>
          <w:szCs w:val="24"/>
        </w:rPr>
        <w:t>g</w:t>
      </w:r>
      <w:proofErr w:type="spellEnd"/>
      <w:r w:rsidR="00137061" w:rsidRPr="00E75F6C">
        <w:rPr>
          <w:rFonts w:ascii="Book Antiqua" w:hAnsi="Book Antiqua"/>
          <w:sz w:val="24"/>
          <w:szCs w:val="24"/>
        </w:rPr>
        <w:t>/m</w:t>
      </w:r>
      <w:r w:rsidR="00F156F8" w:rsidRPr="00E75F6C">
        <w:rPr>
          <w:rFonts w:ascii="Book Antiqua" w:hAnsi="Book Antiqua"/>
          <w:sz w:val="24"/>
          <w:szCs w:val="24"/>
        </w:rPr>
        <w:t>L</w:t>
      </w:r>
      <w:r w:rsidR="00137061" w:rsidRPr="00E75F6C">
        <w:rPr>
          <w:rFonts w:ascii="Book Antiqua" w:hAnsi="Book Antiqua"/>
          <w:sz w:val="24"/>
          <w:szCs w:val="24"/>
        </w:rPr>
        <w:t xml:space="preserve">, had increased risk of loss of response, and 2.4 fold increased risk of infusion reaction. </w:t>
      </w:r>
    </w:p>
    <w:p w14:paraId="5E5C58B3" w14:textId="77777777" w:rsidR="00523E72" w:rsidRPr="00E75F6C" w:rsidRDefault="00523E72" w:rsidP="00AD1560">
      <w:pPr>
        <w:spacing w:after="0" w:line="360" w:lineRule="auto"/>
        <w:jc w:val="both"/>
        <w:rPr>
          <w:rFonts w:ascii="Book Antiqua" w:hAnsi="Book Antiqua"/>
          <w:sz w:val="24"/>
          <w:szCs w:val="24"/>
          <w:lang w:eastAsia="zh-CN"/>
        </w:rPr>
      </w:pPr>
    </w:p>
    <w:p w14:paraId="17C3AC70" w14:textId="77777777" w:rsidR="0039421A" w:rsidRPr="00E75F6C" w:rsidRDefault="00523E72" w:rsidP="00AD1560">
      <w:pPr>
        <w:spacing w:after="0" w:line="360" w:lineRule="auto"/>
        <w:jc w:val="both"/>
        <w:rPr>
          <w:rFonts w:ascii="Book Antiqua" w:hAnsi="Book Antiqua"/>
          <w:b/>
          <w:sz w:val="24"/>
          <w:szCs w:val="24"/>
        </w:rPr>
      </w:pPr>
      <w:r w:rsidRPr="00E75F6C">
        <w:rPr>
          <w:rFonts w:ascii="Book Antiqua" w:hAnsi="Book Antiqua"/>
          <w:b/>
          <w:sz w:val="24"/>
          <w:szCs w:val="24"/>
        </w:rPr>
        <w:t>COMBINATION THERAPY AND IMMUNOMONITORING</w:t>
      </w:r>
    </w:p>
    <w:p w14:paraId="48BAFD42" w14:textId="426EE665" w:rsidR="0039421A" w:rsidRPr="00E75F6C" w:rsidRDefault="0039421A" w:rsidP="00AD1560">
      <w:pPr>
        <w:spacing w:after="0" w:line="360" w:lineRule="auto"/>
        <w:jc w:val="both"/>
        <w:rPr>
          <w:rFonts w:ascii="Book Antiqua" w:hAnsi="Book Antiqua" w:cs="Times New Roman"/>
          <w:sz w:val="24"/>
          <w:szCs w:val="24"/>
        </w:rPr>
      </w:pPr>
      <w:r w:rsidRPr="00E75F6C">
        <w:rPr>
          <w:rFonts w:ascii="Book Antiqua" w:hAnsi="Book Antiqua" w:cs="Times New Roman"/>
          <w:sz w:val="24"/>
          <w:szCs w:val="24"/>
        </w:rPr>
        <w:t xml:space="preserve">There is ample evidence that the addition of an </w:t>
      </w:r>
      <w:proofErr w:type="spellStart"/>
      <w:r w:rsidRPr="00E75F6C">
        <w:rPr>
          <w:rFonts w:ascii="Book Antiqua" w:hAnsi="Book Antiqua" w:cs="Times New Roman"/>
          <w:sz w:val="24"/>
          <w:szCs w:val="24"/>
        </w:rPr>
        <w:t>immunomodulator</w:t>
      </w:r>
      <w:proofErr w:type="spellEnd"/>
      <w:r w:rsidRPr="00E75F6C">
        <w:rPr>
          <w:rFonts w:ascii="Book Antiqua" w:hAnsi="Book Antiqua" w:cs="Times New Roman"/>
          <w:sz w:val="24"/>
          <w:szCs w:val="24"/>
        </w:rPr>
        <w:t xml:space="preserve"> like a </w:t>
      </w:r>
      <w:proofErr w:type="spellStart"/>
      <w:r w:rsidRPr="00E75F6C">
        <w:rPr>
          <w:rFonts w:ascii="Book Antiqua" w:hAnsi="Book Antiqua" w:cs="Times New Roman"/>
          <w:sz w:val="24"/>
          <w:szCs w:val="24"/>
        </w:rPr>
        <w:t>thiopurine</w:t>
      </w:r>
      <w:proofErr w:type="spellEnd"/>
      <w:r w:rsidRPr="00E75F6C">
        <w:rPr>
          <w:rFonts w:ascii="Book Antiqua" w:hAnsi="Book Antiqua" w:cs="Times New Roman"/>
          <w:sz w:val="24"/>
          <w:szCs w:val="24"/>
        </w:rPr>
        <w:t xml:space="preserve"> or methotrexate </w:t>
      </w:r>
      <w:r w:rsidR="00AF33E8" w:rsidRPr="00E75F6C">
        <w:rPr>
          <w:rFonts w:ascii="Book Antiqua" w:hAnsi="Book Antiqua" w:cs="Times New Roman"/>
          <w:sz w:val="24"/>
          <w:szCs w:val="24"/>
        </w:rPr>
        <w:t>to anti-TNF</w:t>
      </w:r>
      <w:r w:rsidR="0055454E">
        <w:rPr>
          <w:rFonts w:ascii="Book Antiqua" w:hAnsi="Book Antiqua"/>
          <w:sz w:val="24"/>
          <w:szCs w:val="24"/>
        </w:rPr>
        <w:sym w:font="Symbol" w:char="F061"/>
      </w:r>
      <w:r w:rsidR="00AF33E8" w:rsidRPr="00E75F6C">
        <w:rPr>
          <w:rFonts w:ascii="Book Antiqua" w:hAnsi="Book Antiqua" w:cs="Times New Roman"/>
          <w:sz w:val="24"/>
          <w:szCs w:val="24"/>
        </w:rPr>
        <w:t xml:space="preserve"> therapy </w:t>
      </w:r>
      <w:r w:rsidRPr="00E75F6C">
        <w:rPr>
          <w:rFonts w:ascii="Book Antiqua" w:hAnsi="Book Antiqua" w:cs="Times New Roman"/>
          <w:sz w:val="24"/>
          <w:szCs w:val="24"/>
        </w:rPr>
        <w:t>is associat</w:t>
      </w:r>
      <w:r w:rsidR="006621B4" w:rsidRPr="00E75F6C">
        <w:rPr>
          <w:rFonts w:ascii="Book Antiqua" w:hAnsi="Book Antiqua" w:cs="Times New Roman"/>
          <w:sz w:val="24"/>
          <w:szCs w:val="24"/>
        </w:rPr>
        <w:t xml:space="preserve">ed with improved response rates in IBD. </w:t>
      </w:r>
      <w:r w:rsidRPr="00E75F6C">
        <w:rPr>
          <w:rFonts w:ascii="Book Antiqua" w:hAnsi="Book Antiqua" w:cs="Times New Roman"/>
          <w:sz w:val="24"/>
          <w:szCs w:val="24"/>
        </w:rPr>
        <w:t xml:space="preserve"> </w:t>
      </w:r>
      <w:r w:rsidR="006621B4" w:rsidRPr="00E75F6C">
        <w:rPr>
          <w:rFonts w:ascii="Book Antiqua" w:hAnsi="Book Antiqua" w:cs="Times New Roman"/>
          <w:sz w:val="24"/>
          <w:szCs w:val="24"/>
        </w:rPr>
        <w:t xml:space="preserve">In the SUCCESS (Efficacy and Safety of Infliximab, as </w:t>
      </w:r>
      <w:proofErr w:type="spellStart"/>
      <w:r w:rsidR="006621B4" w:rsidRPr="00E75F6C">
        <w:rPr>
          <w:rFonts w:ascii="Book Antiqua" w:hAnsi="Book Antiqua" w:cs="Times New Roman"/>
          <w:sz w:val="24"/>
          <w:szCs w:val="24"/>
        </w:rPr>
        <w:t>Monotherapy</w:t>
      </w:r>
      <w:proofErr w:type="spellEnd"/>
      <w:r w:rsidR="006621B4" w:rsidRPr="00E75F6C">
        <w:rPr>
          <w:rFonts w:ascii="Book Antiqua" w:hAnsi="Book Antiqua" w:cs="Times New Roman"/>
          <w:sz w:val="24"/>
          <w:szCs w:val="24"/>
        </w:rPr>
        <w:t xml:space="preserve"> or in </w:t>
      </w:r>
      <w:r w:rsidR="006621B4" w:rsidRPr="00E75F6C">
        <w:rPr>
          <w:rFonts w:ascii="Book Antiqua" w:hAnsi="Book Antiqua" w:cs="Times New Roman"/>
          <w:sz w:val="24"/>
          <w:szCs w:val="24"/>
        </w:rPr>
        <w:lastRenderedPageBreak/>
        <w:t xml:space="preserve">Combination with Azathioprine, versus Azathioprine </w:t>
      </w:r>
      <w:proofErr w:type="spellStart"/>
      <w:r w:rsidR="006621B4" w:rsidRPr="00E75F6C">
        <w:rPr>
          <w:rFonts w:ascii="Book Antiqua" w:hAnsi="Book Antiqua" w:cs="Times New Roman"/>
          <w:sz w:val="24"/>
          <w:szCs w:val="24"/>
        </w:rPr>
        <w:t>Monotherapy</w:t>
      </w:r>
      <w:proofErr w:type="spellEnd"/>
      <w:r w:rsidR="006621B4" w:rsidRPr="00E75F6C">
        <w:rPr>
          <w:rFonts w:ascii="Book Antiqua" w:hAnsi="Book Antiqua" w:cs="Times New Roman"/>
          <w:sz w:val="24"/>
          <w:szCs w:val="24"/>
        </w:rPr>
        <w:t xml:space="preserve"> in Moderate to Severe Ulcerative Colitis) trial in UC, steroid-free remission was achieved by 40% of patients receiving infliximab </w:t>
      </w:r>
      <w:r w:rsidR="00B225FE" w:rsidRPr="00E75F6C">
        <w:rPr>
          <w:rFonts w:ascii="Book Antiqua" w:hAnsi="Book Antiqua" w:cs="Times New Roman"/>
          <w:sz w:val="24"/>
          <w:szCs w:val="24"/>
        </w:rPr>
        <w:t>and</w:t>
      </w:r>
      <w:r w:rsidR="006621B4" w:rsidRPr="00E75F6C">
        <w:rPr>
          <w:rFonts w:ascii="Book Antiqua" w:hAnsi="Book Antiqua" w:cs="Times New Roman"/>
          <w:sz w:val="24"/>
          <w:szCs w:val="24"/>
        </w:rPr>
        <w:t xml:space="preserve"> azathioprine, compared with 22% receiving infliximab alone (</w:t>
      </w:r>
      <w:r w:rsidR="006621B4" w:rsidRPr="00523E72">
        <w:rPr>
          <w:rFonts w:ascii="Book Antiqua" w:hAnsi="Book Antiqua" w:cs="Times New Roman"/>
          <w:i/>
          <w:sz w:val="24"/>
          <w:szCs w:val="24"/>
        </w:rPr>
        <w:t>P</w:t>
      </w:r>
      <w:r w:rsidR="00523E72">
        <w:rPr>
          <w:rFonts w:ascii="Book Antiqua" w:hAnsi="Book Antiqua" w:cs="Times New Roman" w:hint="eastAsia"/>
          <w:sz w:val="24"/>
          <w:szCs w:val="24"/>
          <w:lang w:eastAsia="zh-CN"/>
        </w:rPr>
        <w:t xml:space="preserve"> </w:t>
      </w:r>
      <w:r w:rsidR="006621B4" w:rsidRPr="00E75F6C">
        <w:rPr>
          <w:rFonts w:ascii="Book Antiqua" w:hAnsi="Book Antiqua" w:cs="Times New Roman"/>
          <w:sz w:val="24"/>
          <w:szCs w:val="24"/>
        </w:rPr>
        <w:t>=</w:t>
      </w:r>
      <w:r w:rsidR="00523E72">
        <w:rPr>
          <w:rFonts w:ascii="Book Antiqua" w:hAnsi="Book Antiqua" w:cs="Times New Roman" w:hint="eastAsia"/>
          <w:sz w:val="24"/>
          <w:szCs w:val="24"/>
          <w:lang w:eastAsia="zh-CN"/>
        </w:rPr>
        <w:t xml:space="preserve"> </w:t>
      </w:r>
      <w:r w:rsidR="006621B4" w:rsidRPr="00E75F6C">
        <w:rPr>
          <w:rFonts w:ascii="Book Antiqua" w:hAnsi="Book Antiqua" w:cs="Times New Roman"/>
          <w:sz w:val="24"/>
          <w:szCs w:val="24"/>
        </w:rPr>
        <w:t>0.017)</w:t>
      </w:r>
      <w:r w:rsidR="00523E72" w:rsidRPr="00523E72">
        <w:rPr>
          <w:rFonts w:ascii="Book Antiqua" w:hAnsi="Book Antiqua" w:cs="Times New Roman"/>
          <w:sz w:val="24"/>
          <w:szCs w:val="24"/>
          <w:vertAlign w:val="superscript"/>
        </w:rPr>
        <w:t>[</w:t>
      </w:r>
      <w:r w:rsidR="00C031C7">
        <w:rPr>
          <w:rFonts w:ascii="Book Antiqua" w:hAnsi="Book Antiqua" w:cs="Times New Roman"/>
          <w:sz w:val="24"/>
          <w:szCs w:val="24"/>
          <w:vertAlign w:val="superscript"/>
        </w:rPr>
        <w:t>54</w:t>
      </w:r>
      <w:r w:rsidR="00C031C7" w:rsidRPr="00C031C7">
        <w:rPr>
          <w:rFonts w:ascii="Book Antiqua" w:hAnsi="Book Antiqua" w:cs="Times New Roman"/>
          <w:sz w:val="24"/>
          <w:szCs w:val="24"/>
          <w:vertAlign w:val="superscript"/>
        </w:rPr>
        <w:t>]</w:t>
      </w:r>
      <w:r w:rsidR="006621B4" w:rsidRPr="00E75F6C">
        <w:rPr>
          <w:rFonts w:ascii="Book Antiqua" w:hAnsi="Book Antiqua" w:cs="Times New Roman"/>
          <w:sz w:val="24"/>
          <w:szCs w:val="24"/>
        </w:rPr>
        <w:t>.  Furthermore</w:t>
      </w:r>
      <w:r w:rsidRPr="00E75F6C">
        <w:rPr>
          <w:rFonts w:ascii="Book Antiqua" w:hAnsi="Book Antiqua" w:cs="Times New Roman"/>
          <w:sz w:val="24"/>
          <w:szCs w:val="24"/>
        </w:rPr>
        <w:t xml:space="preserve"> it has been shown that combination therapy of infliximab and azathioprine is associated with reduced infliximab antibody formation, as well as reduced systemic inflammation. Post hoc analysis of the SONIC trial data has shown that at week 30, trough levels for the combination of IFX and AZA were 3.5 </w:t>
      </w:r>
      <w:r w:rsidR="00523E72">
        <w:rPr>
          <w:rFonts w:ascii="Book Antiqua" w:hAnsi="Book Antiqua" w:cs="Times New Roman"/>
          <w:sz w:val="24"/>
          <w:szCs w:val="24"/>
        </w:rPr>
        <w:sym w:font="Symbol" w:char="F06D"/>
      </w:r>
      <w:r w:rsidRPr="00E75F6C">
        <w:rPr>
          <w:rFonts w:ascii="Book Antiqua" w:hAnsi="Book Antiqua" w:cs="Times New Roman"/>
          <w:sz w:val="24"/>
          <w:szCs w:val="24"/>
        </w:rPr>
        <w:t>g/m</w:t>
      </w:r>
      <w:r w:rsidR="00523E72" w:rsidRPr="00E75F6C">
        <w:rPr>
          <w:rFonts w:ascii="Book Antiqua" w:hAnsi="Book Antiqua" w:cs="Times New Roman"/>
          <w:sz w:val="24"/>
          <w:szCs w:val="24"/>
        </w:rPr>
        <w:t>L</w:t>
      </w:r>
      <w:r w:rsidRPr="00E75F6C">
        <w:rPr>
          <w:rFonts w:ascii="Book Antiqua" w:hAnsi="Book Antiqua" w:cs="Times New Roman"/>
          <w:sz w:val="24"/>
          <w:szCs w:val="24"/>
        </w:rPr>
        <w:t xml:space="preserve"> </w:t>
      </w:r>
      <w:proofErr w:type="spellStart"/>
      <w:r w:rsidR="00523E72" w:rsidRPr="00523E72">
        <w:rPr>
          <w:rFonts w:ascii="Book Antiqua" w:hAnsi="Book Antiqua" w:cs="Times New Roman" w:hint="eastAsia"/>
          <w:i/>
          <w:sz w:val="24"/>
          <w:szCs w:val="24"/>
          <w:lang w:eastAsia="zh-CN"/>
        </w:rPr>
        <w:t>vs</w:t>
      </w:r>
      <w:proofErr w:type="spellEnd"/>
      <w:r w:rsidRPr="00E75F6C">
        <w:rPr>
          <w:rFonts w:ascii="Book Antiqua" w:hAnsi="Book Antiqua" w:cs="Times New Roman"/>
          <w:sz w:val="24"/>
          <w:szCs w:val="24"/>
        </w:rPr>
        <w:t xml:space="preserve"> 1.6</w:t>
      </w:r>
      <w:r w:rsidR="00523E72">
        <w:rPr>
          <w:rFonts w:ascii="Book Antiqua" w:hAnsi="Book Antiqua" w:cs="Times New Roman" w:hint="eastAsia"/>
          <w:sz w:val="24"/>
          <w:szCs w:val="24"/>
          <w:lang w:eastAsia="zh-CN"/>
        </w:rPr>
        <w:t xml:space="preserve"> </w:t>
      </w:r>
      <w:r w:rsidR="00523E72">
        <w:rPr>
          <w:rFonts w:ascii="Book Antiqua" w:hAnsi="Book Antiqua" w:cs="Times New Roman"/>
          <w:sz w:val="24"/>
          <w:szCs w:val="24"/>
        </w:rPr>
        <w:sym w:font="Symbol" w:char="F06D"/>
      </w:r>
      <w:r w:rsidR="00523E72" w:rsidRPr="00E75F6C">
        <w:rPr>
          <w:rFonts w:ascii="Book Antiqua" w:hAnsi="Book Antiqua" w:cs="Times New Roman"/>
          <w:sz w:val="24"/>
          <w:szCs w:val="24"/>
        </w:rPr>
        <w:t>g/mL</w:t>
      </w:r>
      <w:r w:rsidRPr="00E75F6C">
        <w:rPr>
          <w:rFonts w:ascii="Book Antiqua" w:hAnsi="Book Antiqua" w:cs="Times New Roman"/>
          <w:sz w:val="24"/>
          <w:szCs w:val="24"/>
        </w:rPr>
        <w:t xml:space="preserve"> for the IFX group alone (</w:t>
      </w:r>
      <w:r w:rsidR="00523E72" w:rsidRPr="00523E72">
        <w:rPr>
          <w:rFonts w:ascii="Book Antiqua" w:hAnsi="Book Antiqua" w:cs="Times New Roman"/>
          <w:i/>
          <w:sz w:val="24"/>
          <w:szCs w:val="24"/>
        </w:rPr>
        <w:t>P</w:t>
      </w:r>
      <w:r w:rsidR="00523E72">
        <w:rPr>
          <w:rFonts w:ascii="Book Antiqua" w:hAnsi="Book Antiqua" w:cs="Times New Roman" w:hint="eastAsia"/>
          <w:sz w:val="24"/>
          <w:szCs w:val="24"/>
          <w:lang w:eastAsia="zh-CN"/>
        </w:rPr>
        <w:t xml:space="preserve"> </w:t>
      </w:r>
      <w:r w:rsidRPr="00E75F6C">
        <w:rPr>
          <w:rFonts w:ascii="Book Antiqua" w:hAnsi="Book Antiqua" w:cs="Times New Roman"/>
          <w:sz w:val="24"/>
          <w:szCs w:val="24"/>
        </w:rPr>
        <w:t>&lt;</w:t>
      </w:r>
      <w:r w:rsidR="00523E72">
        <w:rPr>
          <w:rFonts w:ascii="Book Antiqua" w:hAnsi="Book Antiqua" w:cs="Times New Roman" w:hint="eastAsia"/>
          <w:sz w:val="24"/>
          <w:szCs w:val="24"/>
          <w:lang w:eastAsia="zh-CN"/>
        </w:rPr>
        <w:t xml:space="preserve"> </w:t>
      </w:r>
      <w:r w:rsidRPr="00E75F6C">
        <w:rPr>
          <w:rFonts w:ascii="Book Antiqua" w:hAnsi="Book Antiqua" w:cs="Times New Roman"/>
          <w:sz w:val="24"/>
          <w:szCs w:val="24"/>
        </w:rPr>
        <w:t>0.001) The</w:t>
      </w:r>
      <w:r w:rsidR="000D02E3" w:rsidRPr="00E75F6C">
        <w:rPr>
          <w:rFonts w:ascii="Book Antiqua" w:hAnsi="Book Antiqua" w:cs="Times New Roman"/>
          <w:sz w:val="24"/>
          <w:szCs w:val="24"/>
        </w:rPr>
        <w:t xml:space="preserve"> authors also found that only </w:t>
      </w:r>
      <w:r w:rsidRPr="00E75F6C">
        <w:rPr>
          <w:rFonts w:ascii="Book Antiqua" w:hAnsi="Book Antiqua" w:cs="Times New Roman"/>
          <w:sz w:val="24"/>
          <w:szCs w:val="24"/>
        </w:rPr>
        <w:t>1 out of 116 (0.9%) in the combination group had drug antibodies compared to 15 out of 103 (14.6%) in the IFX group alone</w:t>
      </w:r>
      <w:r w:rsidR="00523E72" w:rsidRPr="00523E72">
        <w:rPr>
          <w:rFonts w:ascii="Book Antiqua" w:hAnsi="Book Antiqua" w:cs="Times New Roman"/>
          <w:sz w:val="24"/>
          <w:szCs w:val="24"/>
          <w:vertAlign w:val="superscript"/>
        </w:rPr>
        <w:t>[</w:t>
      </w:r>
      <w:r w:rsidR="00C031C7">
        <w:rPr>
          <w:rFonts w:ascii="Book Antiqua" w:hAnsi="Book Antiqua" w:cs="Times New Roman"/>
          <w:sz w:val="24"/>
          <w:szCs w:val="24"/>
          <w:vertAlign w:val="superscript"/>
        </w:rPr>
        <w:t>55</w:t>
      </w:r>
      <w:r w:rsidR="00C031C7" w:rsidRPr="00C031C7">
        <w:rPr>
          <w:rFonts w:ascii="Book Antiqua" w:hAnsi="Book Antiqua" w:cs="Times New Roman"/>
          <w:sz w:val="24"/>
          <w:szCs w:val="24"/>
          <w:vertAlign w:val="superscript"/>
        </w:rPr>
        <w:t>]</w:t>
      </w:r>
      <w:r w:rsidRPr="00E75F6C">
        <w:rPr>
          <w:rFonts w:ascii="Book Antiqua" w:hAnsi="Book Antiqua" w:cs="Times New Roman"/>
          <w:sz w:val="24"/>
          <w:szCs w:val="24"/>
        </w:rPr>
        <w:t>. Combination therapy has been shown to require less need for dose escalation, surgical intervention or the need for switching to a different class of ant-TNF or alternative agents.</w:t>
      </w:r>
      <w:r w:rsidR="00AF33E8" w:rsidRPr="00E75F6C">
        <w:rPr>
          <w:rFonts w:ascii="Book Antiqua" w:hAnsi="Book Antiqua" w:cs="Times New Roman"/>
          <w:sz w:val="24"/>
          <w:szCs w:val="24"/>
        </w:rPr>
        <w:t xml:space="preserve"> </w:t>
      </w:r>
    </w:p>
    <w:p w14:paraId="4892AC23" w14:textId="77777777" w:rsidR="0039421A" w:rsidRPr="00E75F6C" w:rsidRDefault="0039421A" w:rsidP="00523E72">
      <w:pPr>
        <w:spacing w:after="0" w:line="360" w:lineRule="auto"/>
        <w:ind w:firstLineChars="150" w:firstLine="360"/>
        <w:jc w:val="both"/>
        <w:rPr>
          <w:rFonts w:ascii="Book Antiqua" w:hAnsi="Book Antiqua" w:cs="Times New Roman"/>
          <w:sz w:val="24"/>
          <w:szCs w:val="24"/>
        </w:rPr>
      </w:pPr>
      <w:r w:rsidRPr="00E75F6C">
        <w:rPr>
          <w:rFonts w:ascii="Book Antiqua" w:hAnsi="Book Antiqua" w:cs="Times New Roman"/>
          <w:sz w:val="24"/>
          <w:szCs w:val="24"/>
        </w:rPr>
        <w:t>In addition data from a Dutch study has confirmed the benefits of combination therapy</w:t>
      </w:r>
      <w:r w:rsidR="006621B4" w:rsidRPr="00E75F6C">
        <w:rPr>
          <w:rFonts w:ascii="Book Antiqua" w:hAnsi="Book Antiqua" w:cs="Times New Roman"/>
          <w:sz w:val="24"/>
          <w:szCs w:val="24"/>
        </w:rPr>
        <w:t xml:space="preserve"> in overcoming the problems of immunogenicity</w:t>
      </w:r>
      <w:r w:rsidR="00523E72" w:rsidRPr="00523E72">
        <w:rPr>
          <w:rFonts w:ascii="Book Antiqua" w:hAnsi="Book Antiqua" w:cs="Times New Roman"/>
          <w:sz w:val="24"/>
          <w:szCs w:val="24"/>
          <w:vertAlign w:val="superscript"/>
        </w:rPr>
        <w:t>[</w:t>
      </w:r>
      <w:r w:rsidR="00C031C7">
        <w:rPr>
          <w:rFonts w:ascii="Book Antiqua" w:hAnsi="Book Antiqua" w:cs="Times New Roman"/>
          <w:sz w:val="24"/>
          <w:szCs w:val="24"/>
          <w:vertAlign w:val="superscript"/>
        </w:rPr>
        <w:t>56</w:t>
      </w:r>
      <w:r w:rsidR="00C031C7" w:rsidRPr="00C031C7">
        <w:rPr>
          <w:rFonts w:ascii="Book Antiqua" w:hAnsi="Book Antiqua" w:cs="Times New Roman"/>
          <w:sz w:val="24"/>
          <w:szCs w:val="24"/>
          <w:vertAlign w:val="superscript"/>
        </w:rPr>
        <w:t>]</w:t>
      </w:r>
      <w:r w:rsidRPr="00E75F6C">
        <w:rPr>
          <w:rFonts w:ascii="Book Antiqua" w:hAnsi="Book Antiqua" w:cs="Times New Roman"/>
          <w:sz w:val="24"/>
          <w:szCs w:val="24"/>
        </w:rPr>
        <w:t xml:space="preserve">. In a study involving 217 patients (108 patients IFX; 109 </w:t>
      </w:r>
      <w:r w:rsidR="00CF0EC7" w:rsidRPr="00E75F6C">
        <w:rPr>
          <w:rFonts w:ascii="Book Antiqua" w:hAnsi="Book Antiqua" w:cs="Times New Roman"/>
          <w:sz w:val="24"/>
          <w:szCs w:val="24"/>
        </w:rPr>
        <w:t>patients’</w:t>
      </w:r>
      <w:r w:rsidRPr="00E75F6C">
        <w:rPr>
          <w:rFonts w:ascii="Book Antiqua" w:hAnsi="Book Antiqua" w:cs="Times New Roman"/>
          <w:sz w:val="24"/>
          <w:szCs w:val="24"/>
        </w:rPr>
        <w:t xml:space="preserve"> </w:t>
      </w:r>
      <w:proofErr w:type="spellStart"/>
      <w:r w:rsidRPr="00E75F6C">
        <w:rPr>
          <w:rFonts w:ascii="Book Antiqua" w:hAnsi="Book Antiqua" w:cs="Times New Roman"/>
          <w:sz w:val="24"/>
          <w:szCs w:val="24"/>
        </w:rPr>
        <w:t>adalimumab</w:t>
      </w:r>
      <w:proofErr w:type="spellEnd"/>
      <w:r w:rsidRPr="00E75F6C">
        <w:rPr>
          <w:rFonts w:ascii="Book Antiqua" w:hAnsi="Book Antiqua" w:cs="Times New Roman"/>
          <w:sz w:val="24"/>
          <w:szCs w:val="24"/>
        </w:rPr>
        <w:t xml:space="preserve">). Mean trough levels in the IFX group was higher in the combination therapy group compared with the </w:t>
      </w:r>
      <w:proofErr w:type="spellStart"/>
      <w:r w:rsidRPr="00E75F6C">
        <w:rPr>
          <w:rFonts w:ascii="Book Antiqua" w:hAnsi="Book Antiqua" w:cs="Times New Roman"/>
          <w:sz w:val="24"/>
          <w:szCs w:val="24"/>
        </w:rPr>
        <w:t>monotherapy</w:t>
      </w:r>
      <w:proofErr w:type="spellEnd"/>
      <w:r w:rsidRPr="00E75F6C">
        <w:rPr>
          <w:rFonts w:ascii="Book Antiqua" w:hAnsi="Book Antiqua" w:cs="Times New Roman"/>
          <w:sz w:val="24"/>
          <w:szCs w:val="24"/>
        </w:rPr>
        <w:t xml:space="preserve"> group, 4.6 </w:t>
      </w:r>
      <w:proofErr w:type="spellStart"/>
      <w:r w:rsidR="00523E72" w:rsidRPr="00523E72">
        <w:rPr>
          <w:rFonts w:ascii="Book Antiqua" w:hAnsi="Book Antiqua" w:cs="Times New Roman" w:hint="eastAsia"/>
          <w:i/>
          <w:sz w:val="24"/>
          <w:szCs w:val="24"/>
          <w:lang w:eastAsia="zh-CN"/>
        </w:rPr>
        <w:t>vs</w:t>
      </w:r>
      <w:proofErr w:type="spellEnd"/>
      <w:r w:rsidRPr="00E75F6C">
        <w:rPr>
          <w:rFonts w:ascii="Book Antiqua" w:hAnsi="Book Antiqua" w:cs="Times New Roman"/>
          <w:sz w:val="24"/>
          <w:szCs w:val="24"/>
        </w:rPr>
        <w:t xml:space="preserve"> 7.5 µg/mL, </w:t>
      </w:r>
      <w:r w:rsidRPr="00523E72">
        <w:rPr>
          <w:rFonts w:ascii="Book Antiqua" w:hAnsi="Book Antiqua" w:cs="Times New Roman"/>
          <w:i/>
          <w:sz w:val="24"/>
          <w:szCs w:val="24"/>
        </w:rPr>
        <w:t>P</w:t>
      </w:r>
      <w:r w:rsidRPr="00E75F6C">
        <w:rPr>
          <w:rFonts w:ascii="Book Antiqua" w:hAnsi="Book Antiqua" w:cs="Times New Roman"/>
          <w:sz w:val="24"/>
          <w:szCs w:val="24"/>
        </w:rPr>
        <w:t xml:space="preserve"> = 0.04. In the </w:t>
      </w:r>
      <w:proofErr w:type="spellStart"/>
      <w:r w:rsidRPr="00E75F6C">
        <w:rPr>
          <w:rFonts w:ascii="Book Antiqua" w:hAnsi="Book Antiqua" w:cs="Times New Roman"/>
          <w:sz w:val="24"/>
          <w:szCs w:val="24"/>
        </w:rPr>
        <w:t>adalimumab</w:t>
      </w:r>
      <w:proofErr w:type="spellEnd"/>
      <w:r w:rsidRPr="00E75F6C">
        <w:rPr>
          <w:rFonts w:ascii="Book Antiqua" w:hAnsi="Book Antiqua" w:cs="Times New Roman"/>
          <w:sz w:val="24"/>
          <w:szCs w:val="24"/>
        </w:rPr>
        <w:t xml:space="preserve"> group, the difference was not significant. In patients with IFX </w:t>
      </w:r>
      <w:proofErr w:type="spellStart"/>
      <w:r w:rsidRPr="00E75F6C">
        <w:rPr>
          <w:rFonts w:ascii="Book Antiqua" w:hAnsi="Book Antiqua" w:cs="Times New Roman"/>
          <w:sz w:val="24"/>
          <w:szCs w:val="24"/>
        </w:rPr>
        <w:t>monotherapy</w:t>
      </w:r>
      <w:proofErr w:type="spellEnd"/>
      <w:r w:rsidRPr="00E75F6C">
        <w:rPr>
          <w:rFonts w:ascii="Book Antiqua" w:hAnsi="Book Antiqua" w:cs="Times New Roman"/>
          <w:sz w:val="24"/>
          <w:szCs w:val="24"/>
        </w:rPr>
        <w:t xml:space="preserve">, the incidence of antibody formation was higher compared with patients with combination therapy (29.8% </w:t>
      </w:r>
      <w:proofErr w:type="spellStart"/>
      <w:r w:rsidR="00523E72" w:rsidRPr="00523E72">
        <w:rPr>
          <w:rFonts w:ascii="Book Antiqua" w:hAnsi="Book Antiqua" w:cs="Times New Roman" w:hint="eastAsia"/>
          <w:i/>
          <w:sz w:val="24"/>
          <w:szCs w:val="24"/>
          <w:lang w:eastAsia="zh-CN"/>
        </w:rPr>
        <w:t>vs</w:t>
      </w:r>
      <w:proofErr w:type="spellEnd"/>
      <w:r w:rsidR="00523E72" w:rsidRPr="00E75F6C">
        <w:rPr>
          <w:rFonts w:ascii="Book Antiqua" w:hAnsi="Book Antiqua" w:cs="Times New Roman"/>
          <w:sz w:val="24"/>
          <w:szCs w:val="24"/>
        </w:rPr>
        <w:t xml:space="preserve"> </w:t>
      </w:r>
      <w:r w:rsidRPr="00E75F6C">
        <w:rPr>
          <w:rFonts w:ascii="Book Antiqua" w:hAnsi="Book Antiqua" w:cs="Times New Roman"/>
          <w:sz w:val="24"/>
          <w:szCs w:val="24"/>
        </w:rPr>
        <w:t xml:space="preserve">5.7%, </w:t>
      </w:r>
      <w:r w:rsidR="00523E72" w:rsidRPr="00523E72">
        <w:rPr>
          <w:rFonts w:ascii="Book Antiqua" w:hAnsi="Book Antiqua" w:cs="Times New Roman"/>
          <w:i/>
          <w:sz w:val="24"/>
          <w:szCs w:val="24"/>
        </w:rPr>
        <w:t>P</w:t>
      </w:r>
      <w:r w:rsidR="00523E72" w:rsidRPr="00E75F6C">
        <w:rPr>
          <w:rFonts w:ascii="Book Antiqua" w:hAnsi="Book Antiqua" w:cs="Times New Roman"/>
          <w:sz w:val="24"/>
          <w:szCs w:val="24"/>
        </w:rPr>
        <w:t xml:space="preserve"> </w:t>
      </w:r>
      <w:r w:rsidRPr="00E75F6C">
        <w:rPr>
          <w:rFonts w:ascii="Book Antiqua" w:hAnsi="Book Antiqua" w:cs="Times New Roman"/>
          <w:sz w:val="24"/>
          <w:szCs w:val="24"/>
        </w:rPr>
        <w:t xml:space="preserve">= 0.001. The incidence of antibody formation was lower in IFX patients who immediately started with </w:t>
      </w:r>
      <w:proofErr w:type="spellStart"/>
      <w:r w:rsidRPr="00E75F6C">
        <w:rPr>
          <w:rFonts w:ascii="Book Antiqua" w:hAnsi="Book Antiqua" w:cs="Times New Roman"/>
          <w:sz w:val="24"/>
          <w:szCs w:val="24"/>
        </w:rPr>
        <w:t>immunomodulators</w:t>
      </w:r>
      <w:proofErr w:type="spellEnd"/>
      <w:r w:rsidRPr="00E75F6C">
        <w:rPr>
          <w:rFonts w:ascii="Book Antiqua" w:hAnsi="Book Antiqua" w:cs="Times New Roman"/>
          <w:sz w:val="24"/>
          <w:szCs w:val="24"/>
        </w:rPr>
        <w:t xml:space="preserve"> compared with patients who did not (33.3% </w:t>
      </w:r>
      <w:proofErr w:type="spellStart"/>
      <w:r w:rsidR="00523E72" w:rsidRPr="00523E72">
        <w:rPr>
          <w:rFonts w:ascii="Book Antiqua" w:hAnsi="Book Antiqua" w:cs="Times New Roman" w:hint="eastAsia"/>
          <w:i/>
          <w:sz w:val="24"/>
          <w:szCs w:val="24"/>
          <w:lang w:eastAsia="zh-CN"/>
        </w:rPr>
        <w:t>vs</w:t>
      </w:r>
      <w:proofErr w:type="spellEnd"/>
      <w:r w:rsidR="00523E72" w:rsidRPr="00E75F6C">
        <w:rPr>
          <w:rFonts w:ascii="Book Antiqua" w:hAnsi="Book Antiqua" w:cs="Times New Roman"/>
          <w:sz w:val="24"/>
          <w:szCs w:val="24"/>
        </w:rPr>
        <w:t xml:space="preserve"> </w:t>
      </w:r>
      <w:r w:rsidRPr="00E75F6C">
        <w:rPr>
          <w:rFonts w:ascii="Book Antiqua" w:hAnsi="Book Antiqua" w:cs="Times New Roman"/>
          <w:sz w:val="24"/>
          <w:szCs w:val="24"/>
        </w:rPr>
        <w:t xml:space="preserve">66.7%, </w:t>
      </w:r>
      <w:r w:rsidR="00523E72" w:rsidRPr="00523E72">
        <w:rPr>
          <w:rFonts w:ascii="Book Antiqua" w:hAnsi="Book Antiqua" w:cs="Times New Roman"/>
          <w:i/>
          <w:sz w:val="24"/>
          <w:szCs w:val="24"/>
        </w:rPr>
        <w:t>P</w:t>
      </w:r>
      <w:r w:rsidRPr="00E75F6C">
        <w:rPr>
          <w:rFonts w:ascii="Book Antiqua" w:hAnsi="Book Antiqua" w:cs="Times New Roman"/>
          <w:sz w:val="24"/>
          <w:szCs w:val="24"/>
        </w:rPr>
        <w:t xml:space="preserve"> = 0.04). Thus combination therapy</w:t>
      </w:r>
      <w:r w:rsidR="007040D1" w:rsidRPr="00E75F6C">
        <w:rPr>
          <w:rFonts w:ascii="Book Antiqua" w:hAnsi="Book Antiqua" w:cs="Times New Roman"/>
          <w:sz w:val="24"/>
          <w:szCs w:val="24"/>
        </w:rPr>
        <w:t>, through a synergistic effect on immunogenicity</w:t>
      </w:r>
      <w:r w:rsidRPr="00E75F6C">
        <w:rPr>
          <w:rFonts w:ascii="Book Antiqua" w:hAnsi="Book Antiqua" w:cs="Times New Roman"/>
          <w:sz w:val="24"/>
          <w:szCs w:val="24"/>
        </w:rPr>
        <w:t xml:space="preserve"> clearly results in reduced antibody formation, and </w:t>
      </w:r>
      <w:r w:rsidR="007040D1" w:rsidRPr="00E75F6C">
        <w:rPr>
          <w:rFonts w:ascii="Book Antiqua" w:hAnsi="Book Antiqua" w:cs="Times New Roman"/>
          <w:sz w:val="24"/>
          <w:szCs w:val="24"/>
        </w:rPr>
        <w:t xml:space="preserve">leads to </w:t>
      </w:r>
      <w:r w:rsidRPr="00E75F6C">
        <w:rPr>
          <w:rFonts w:ascii="Book Antiqua" w:hAnsi="Book Antiqua" w:cs="Times New Roman"/>
          <w:sz w:val="24"/>
          <w:szCs w:val="24"/>
        </w:rPr>
        <w:t xml:space="preserve">a greater likelihood of improved response rates. </w:t>
      </w:r>
    </w:p>
    <w:p w14:paraId="3DE2886A" w14:textId="76EF56B1" w:rsidR="0039421A" w:rsidRPr="00E75F6C" w:rsidRDefault="0039421A" w:rsidP="00523E72">
      <w:pPr>
        <w:spacing w:after="0" w:line="360" w:lineRule="auto"/>
        <w:ind w:firstLineChars="150" w:firstLine="360"/>
        <w:jc w:val="both"/>
        <w:rPr>
          <w:rFonts w:ascii="Book Antiqua" w:hAnsi="Book Antiqua" w:cs="Times New Roman"/>
          <w:sz w:val="24"/>
          <w:szCs w:val="24"/>
        </w:rPr>
      </w:pPr>
      <w:r w:rsidRPr="00E75F6C">
        <w:rPr>
          <w:rFonts w:ascii="Book Antiqua" w:hAnsi="Book Antiqua" w:cs="Times New Roman"/>
          <w:sz w:val="24"/>
          <w:szCs w:val="24"/>
        </w:rPr>
        <w:t xml:space="preserve">There is also role for measuring 6-TG levels, the active metabolite of </w:t>
      </w:r>
      <w:r w:rsidR="00770265" w:rsidRPr="00E75F6C">
        <w:rPr>
          <w:rFonts w:ascii="Book Antiqua" w:hAnsi="Book Antiqua" w:cs="Times New Roman"/>
          <w:sz w:val="24"/>
          <w:szCs w:val="24"/>
        </w:rPr>
        <w:t>azathioprine</w:t>
      </w:r>
      <w:r w:rsidR="00523E72" w:rsidRPr="00523E72">
        <w:rPr>
          <w:rFonts w:ascii="Book Antiqua" w:hAnsi="Book Antiqua" w:cs="Times New Roman"/>
          <w:sz w:val="24"/>
          <w:szCs w:val="24"/>
          <w:vertAlign w:val="superscript"/>
        </w:rPr>
        <w:t>[</w:t>
      </w:r>
      <w:r w:rsidR="00C031C7">
        <w:rPr>
          <w:rFonts w:ascii="Book Antiqua" w:hAnsi="Book Antiqua" w:cs="Times New Roman"/>
          <w:sz w:val="24"/>
          <w:szCs w:val="24"/>
          <w:vertAlign w:val="superscript"/>
        </w:rPr>
        <w:t>57</w:t>
      </w:r>
      <w:r w:rsidR="00C031C7" w:rsidRPr="00C031C7">
        <w:rPr>
          <w:rFonts w:ascii="Book Antiqua" w:hAnsi="Book Antiqua" w:cs="Times New Roman"/>
          <w:sz w:val="24"/>
          <w:szCs w:val="24"/>
          <w:vertAlign w:val="superscript"/>
        </w:rPr>
        <w:t>]</w:t>
      </w:r>
      <w:r w:rsidR="0085231E" w:rsidRPr="00E75F6C">
        <w:rPr>
          <w:rFonts w:ascii="Book Antiqua" w:hAnsi="Book Antiqua" w:cs="Times New Roman"/>
          <w:sz w:val="24"/>
          <w:szCs w:val="24"/>
        </w:rPr>
        <w:t xml:space="preserve">. </w:t>
      </w:r>
      <w:r w:rsidR="00AF33E8" w:rsidRPr="00E75F6C">
        <w:rPr>
          <w:rFonts w:ascii="Book Antiqua" w:hAnsi="Book Antiqua" w:cs="Times New Roman"/>
          <w:sz w:val="24"/>
          <w:szCs w:val="24"/>
        </w:rPr>
        <w:t xml:space="preserve">This offers the potential to even further optimise the combination approach. </w:t>
      </w:r>
      <w:r w:rsidRPr="00E75F6C">
        <w:rPr>
          <w:rFonts w:ascii="Book Antiqua" w:hAnsi="Book Antiqua" w:cs="Times New Roman"/>
          <w:sz w:val="24"/>
          <w:szCs w:val="24"/>
        </w:rPr>
        <w:t xml:space="preserve">An interesting study by </w:t>
      </w:r>
      <w:proofErr w:type="spellStart"/>
      <w:r w:rsidRPr="00E75F6C">
        <w:rPr>
          <w:rFonts w:ascii="Book Antiqua" w:hAnsi="Book Antiqua" w:cs="Times New Roman"/>
          <w:sz w:val="24"/>
          <w:szCs w:val="24"/>
        </w:rPr>
        <w:t>Yarur</w:t>
      </w:r>
      <w:proofErr w:type="spellEnd"/>
      <w:r w:rsidRPr="00E75F6C">
        <w:rPr>
          <w:rFonts w:ascii="Book Antiqua" w:hAnsi="Book Antiqua" w:cs="Times New Roman"/>
          <w:sz w:val="24"/>
          <w:szCs w:val="24"/>
        </w:rPr>
        <w:t xml:space="preserve"> </w:t>
      </w:r>
      <w:r w:rsidRPr="00F156F8">
        <w:rPr>
          <w:rFonts w:ascii="Book Antiqua" w:hAnsi="Book Antiqua" w:cs="Times New Roman"/>
          <w:i/>
          <w:sz w:val="24"/>
          <w:szCs w:val="24"/>
        </w:rPr>
        <w:t>et al</w:t>
      </w:r>
      <w:r w:rsidR="00F156F8" w:rsidRPr="00523E72">
        <w:rPr>
          <w:rFonts w:ascii="Book Antiqua" w:hAnsi="Book Antiqua" w:cs="Times New Roman"/>
          <w:sz w:val="24"/>
          <w:szCs w:val="24"/>
          <w:vertAlign w:val="superscript"/>
        </w:rPr>
        <w:t>[</w:t>
      </w:r>
      <w:r w:rsidR="00F156F8">
        <w:rPr>
          <w:rFonts w:ascii="Book Antiqua" w:hAnsi="Book Antiqua" w:cs="Times New Roman"/>
          <w:sz w:val="24"/>
          <w:szCs w:val="24"/>
          <w:vertAlign w:val="superscript"/>
        </w:rPr>
        <w:t>58</w:t>
      </w:r>
      <w:r w:rsidR="00F156F8" w:rsidRPr="00C031C7">
        <w:rPr>
          <w:rFonts w:ascii="Book Antiqua" w:hAnsi="Book Antiqua" w:cs="Times New Roman"/>
          <w:sz w:val="24"/>
          <w:szCs w:val="24"/>
          <w:vertAlign w:val="superscript"/>
        </w:rPr>
        <w:t>]</w:t>
      </w:r>
      <w:r w:rsidRPr="00E75F6C">
        <w:rPr>
          <w:rFonts w:ascii="Book Antiqua" w:hAnsi="Book Antiqua" w:cs="Times New Roman"/>
          <w:sz w:val="24"/>
          <w:szCs w:val="24"/>
        </w:rPr>
        <w:t xml:space="preserve"> looked at the relationship between 6-TG, infliximab trough and antibody levels. They performed a cross-sectional study of 72 patients receiving maintenance therapy with infliximab and a </w:t>
      </w:r>
      <w:proofErr w:type="spellStart"/>
      <w:r w:rsidRPr="00E75F6C">
        <w:rPr>
          <w:rFonts w:ascii="Book Antiqua" w:hAnsi="Book Antiqua" w:cs="Times New Roman"/>
          <w:sz w:val="24"/>
          <w:szCs w:val="24"/>
        </w:rPr>
        <w:t>thiopurine</w:t>
      </w:r>
      <w:proofErr w:type="spellEnd"/>
      <w:r w:rsidRPr="00E75F6C">
        <w:rPr>
          <w:rFonts w:ascii="Book Antiqua" w:hAnsi="Book Antiqua" w:cs="Times New Roman"/>
          <w:sz w:val="24"/>
          <w:szCs w:val="24"/>
        </w:rPr>
        <w:t xml:space="preserve"> for IBD. They found that levels of 6-TG</w:t>
      </w:r>
      <w:r w:rsidRPr="00E75F6C">
        <w:rPr>
          <w:rFonts w:ascii="Book Antiqua" w:eastAsia="Times New Roman" w:hAnsi="Book Antiqua" w:cs="Times New Roman"/>
          <w:sz w:val="24"/>
          <w:szCs w:val="24"/>
        </w:rPr>
        <w:t xml:space="preserve"> correlated with those of infliximab (ρ</w:t>
      </w:r>
      <w:r w:rsidR="00523E72">
        <w:rPr>
          <w:rFonts w:ascii="Book Antiqua" w:hAnsi="Book Antiqua" w:cs="Times New Roman" w:hint="eastAsia"/>
          <w:sz w:val="24"/>
          <w:szCs w:val="24"/>
          <w:lang w:eastAsia="zh-CN"/>
        </w:rPr>
        <w:t xml:space="preserve"> =</w:t>
      </w:r>
      <w:r w:rsidRPr="00E75F6C">
        <w:rPr>
          <w:rFonts w:ascii="Book Antiqua" w:eastAsia="Times New Roman" w:hAnsi="Book Antiqua" w:cs="Times New Roman"/>
          <w:sz w:val="24"/>
          <w:szCs w:val="24"/>
        </w:rPr>
        <w:t xml:space="preserve"> 0.53</w:t>
      </w:r>
      <w:r w:rsidR="00523E72">
        <w:rPr>
          <w:rFonts w:ascii="Book Antiqua" w:hAnsi="Book Antiqua" w:cs="Times New Roman" w:hint="eastAsia"/>
          <w:sz w:val="24"/>
          <w:szCs w:val="24"/>
          <w:lang w:eastAsia="zh-CN"/>
        </w:rPr>
        <w:t>,</w:t>
      </w:r>
      <w:r w:rsidRPr="00523E72">
        <w:rPr>
          <w:rFonts w:ascii="Book Antiqua" w:eastAsia="Times New Roman" w:hAnsi="Book Antiqua" w:cs="Times New Roman"/>
          <w:i/>
          <w:sz w:val="24"/>
          <w:szCs w:val="24"/>
        </w:rPr>
        <w:t xml:space="preserve"> P</w:t>
      </w:r>
      <w:r w:rsidRPr="00E75F6C">
        <w:rPr>
          <w:rFonts w:ascii="Book Antiqua" w:eastAsia="Times New Roman" w:hAnsi="Book Antiqua" w:cs="Times New Roman"/>
          <w:sz w:val="24"/>
          <w:szCs w:val="24"/>
        </w:rPr>
        <w:t xml:space="preserve"> &lt; </w:t>
      </w:r>
      <w:r w:rsidR="00523E72">
        <w:rPr>
          <w:rFonts w:ascii="Book Antiqua" w:hAnsi="Book Antiqua" w:cs="Times New Roman" w:hint="eastAsia"/>
          <w:sz w:val="24"/>
          <w:szCs w:val="24"/>
          <w:lang w:eastAsia="zh-CN"/>
        </w:rPr>
        <w:lastRenderedPageBreak/>
        <w:t>0</w:t>
      </w:r>
      <w:r w:rsidRPr="00E75F6C">
        <w:rPr>
          <w:rFonts w:ascii="Book Antiqua" w:eastAsia="Times New Roman" w:hAnsi="Book Antiqua" w:cs="Times New Roman"/>
          <w:sz w:val="24"/>
          <w:szCs w:val="24"/>
        </w:rPr>
        <w:t>.0</w:t>
      </w:r>
      <w:r w:rsidRPr="00E75F6C">
        <w:rPr>
          <w:rFonts w:ascii="Book Antiqua" w:hAnsi="Book Antiqua" w:cs="Times New Roman"/>
          <w:sz w:val="24"/>
          <w:szCs w:val="24"/>
        </w:rPr>
        <w:t>001). The cut-off point of 6-TG</w:t>
      </w:r>
      <w:r w:rsidRPr="00E75F6C">
        <w:rPr>
          <w:rFonts w:ascii="Book Antiqua" w:eastAsia="Times New Roman" w:hAnsi="Book Antiqua" w:cs="Times New Roman"/>
          <w:sz w:val="24"/>
          <w:szCs w:val="24"/>
        </w:rPr>
        <w:t xml:space="preserve"> that best predicted a higher level of infliximab was 125 </w:t>
      </w:r>
      <w:proofErr w:type="spellStart"/>
      <w:r w:rsidRPr="00E75F6C">
        <w:rPr>
          <w:rFonts w:ascii="Book Antiqua" w:eastAsia="Times New Roman" w:hAnsi="Book Antiqua" w:cs="Times New Roman"/>
          <w:sz w:val="24"/>
          <w:szCs w:val="24"/>
        </w:rPr>
        <w:t>pmol</w:t>
      </w:r>
      <w:proofErr w:type="spellEnd"/>
      <w:r w:rsidRPr="00E75F6C">
        <w:rPr>
          <w:rFonts w:ascii="Book Antiqua" w:eastAsia="Times New Roman" w:hAnsi="Book Antiqua" w:cs="Times New Roman"/>
          <w:sz w:val="24"/>
          <w:szCs w:val="24"/>
        </w:rPr>
        <w:t>/8 × 10</w:t>
      </w:r>
      <w:r w:rsidR="00F156F8">
        <w:rPr>
          <w:rFonts w:ascii="Book Antiqua" w:eastAsia="Times New Roman" w:hAnsi="Book Antiqua" w:cs="Times New Roman"/>
          <w:sz w:val="24"/>
          <w:szCs w:val="24"/>
          <w:vertAlign w:val="superscript"/>
        </w:rPr>
        <w:t>8</w:t>
      </w:r>
      <w:r w:rsidRPr="00E75F6C">
        <w:rPr>
          <w:rFonts w:ascii="Book Antiqua" w:eastAsia="Times New Roman" w:hAnsi="Book Antiqua" w:cs="Times New Roman"/>
          <w:sz w:val="24"/>
          <w:szCs w:val="24"/>
        </w:rPr>
        <w:t xml:space="preserve"> red blood cells (RBCs) </w:t>
      </w:r>
      <w:r w:rsidRPr="00523E72">
        <w:rPr>
          <w:rFonts w:ascii="Book Antiqua" w:eastAsia="Times New Roman" w:hAnsi="Book Antiqua" w:cs="Times New Roman"/>
          <w:i/>
          <w:sz w:val="24"/>
          <w:szCs w:val="24"/>
        </w:rPr>
        <w:t xml:space="preserve">P </w:t>
      </w:r>
      <w:r w:rsidRPr="00E75F6C">
        <w:rPr>
          <w:rFonts w:ascii="Book Antiqua" w:eastAsia="Times New Roman" w:hAnsi="Book Antiqua" w:cs="Times New Roman"/>
          <w:sz w:val="24"/>
          <w:szCs w:val="24"/>
        </w:rPr>
        <w:t xml:space="preserve">&lt; </w:t>
      </w:r>
      <w:r w:rsidR="00523E72">
        <w:rPr>
          <w:rFonts w:ascii="Book Antiqua" w:hAnsi="Book Antiqua" w:cs="Times New Roman" w:hint="eastAsia"/>
          <w:sz w:val="24"/>
          <w:szCs w:val="24"/>
          <w:lang w:eastAsia="zh-CN"/>
        </w:rPr>
        <w:t>0</w:t>
      </w:r>
      <w:r w:rsidRPr="00E75F6C">
        <w:rPr>
          <w:rFonts w:ascii="Book Antiqua" w:eastAsia="Times New Roman" w:hAnsi="Book Antiqua" w:cs="Times New Roman"/>
          <w:sz w:val="24"/>
          <w:szCs w:val="24"/>
        </w:rPr>
        <w:t xml:space="preserve">.001). </w:t>
      </w:r>
      <w:r w:rsidRPr="00E75F6C">
        <w:rPr>
          <w:rFonts w:ascii="Book Antiqua" w:hAnsi="Book Antiqua" w:cs="Times New Roman"/>
          <w:sz w:val="24"/>
          <w:szCs w:val="24"/>
        </w:rPr>
        <w:t>Patients with 6-TG</w:t>
      </w:r>
      <w:r w:rsidRPr="00E75F6C">
        <w:rPr>
          <w:rFonts w:ascii="Book Antiqua" w:eastAsia="Times New Roman" w:hAnsi="Book Antiqua" w:cs="Times New Roman"/>
          <w:sz w:val="24"/>
          <w:szCs w:val="24"/>
        </w:rPr>
        <w:t xml:space="preserve"> levels less than 125 </w:t>
      </w:r>
      <w:proofErr w:type="spellStart"/>
      <w:r w:rsidRPr="00E75F6C">
        <w:rPr>
          <w:rFonts w:ascii="Book Antiqua" w:eastAsia="Times New Roman" w:hAnsi="Book Antiqua" w:cs="Times New Roman"/>
          <w:sz w:val="24"/>
          <w:szCs w:val="24"/>
        </w:rPr>
        <w:t>pmol</w:t>
      </w:r>
      <w:proofErr w:type="spellEnd"/>
      <w:r w:rsidRPr="00E75F6C">
        <w:rPr>
          <w:rFonts w:ascii="Book Antiqua" w:eastAsia="Times New Roman" w:hAnsi="Book Antiqua" w:cs="Times New Roman"/>
          <w:sz w:val="24"/>
          <w:szCs w:val="24"/>
        </w:rPr>
        <w:t>/8 ×</w:t>
      </w:r>
      <w:r w:rsidR="00F156F8" w:rsidRPr="00E75F6C">
        <w:rPr>
          <w:rFonts w:ascii="Book Antiqua" w:eastAsia="Times New Roman" w:hAnsi="Book Antiqua" w:cs="Times New Roman"/>
          <w:sz w:val="24"/>
          <w:szCs w:val="24"/>
        </w:rPr>
        <w:t>10</w:t>
      </w:r>
      <w:r w:rsidR="00F156F8">
        <w:rPr>
          <w:rFonts w:ascii="Book Antiqua" w:eastAsia="Times New Roman" w:hAnsi="Book Antiqua" w:cs="Times New Roman"/>
          <w:sz w:val="24"/>
          <w:szCs w:val="24"/>
          <w:vertAlign w:val="superscript"/>
        </w:rPr>
        <w:t>8</w:t>
      </w:r>
      <w:r w:rsidRPr="00E75F6C">
        <w:rPr>
          <w:rFonts w:ascii="Book Antiqua" w:eastAsia="Times New Roman" w:hAnsi="Book Antiqua" w:cs="Times New Roman"/>
          <w:sz w:val="24"/>
          <w:szCs w:val="24"/>
        </w:rPr>
        <w:t xml:space="preserve"> RBCs were significantly more likely to have ATI (</w:t>
      </w:r>
      <w:r w:rsidR="00523E72">
        <w:rPr>
          <w:rFonts w:ascii="Book Antiqua" w:hAnsi="Book Antiqua" w:cs="Times New Roman" w:hint="eastAsia"/>
          <w:sz w:val="24"/>
          <w:szCs w:val="24"/>
          <w:lang w:eastAsia="zh-CN"/>
        </w:rPr>
        <w:t xml:space="preserve">OR = </w:t>
      </w:r>
      <w:r w:rsidRPr="00E75F6C">
        <w:rPr>
          <w:rFonts w:ascii="Book Antiqua" w:eastAsia="Times New Roman" w:hAnsi="Book Antiqua" w:cs="Times New Roman"/>
          <w:sz w:val="24"/>
          <w:szCs w:val="24"/>
        </w:rPr>
        <w:t>1.3</w:t>
      </w:r>
      <w:r w:rsidR="00523E72">
        <w:rPr>
          <w:rFonts w:ascii="Book Antiqua" w:hAnsi="Book Antiqua" w:cs="Times New Roman" w:hint="eastAsia"/>
          <w:sz w:val="24"/>
          <w:szCs w:val="24"/>
          <w:lang w:eastAsia="zh-CN"/>
        </w:rPr>
        <w:t>,</w:t>
      </w:r>
      <w:r w:rsidRPr="00E75F6C">
        <w:rPr>
          <w:rFonts w:ascii="Book Antiqua" w:eastAsia="Times New Roman" w:hAnsi="Book Antiqua" w:cs="Times New Roman"/>
          <w:sz w:val="24"/>
          <w:szCs w:val="24"/>
        </w:rPr>
        <w:t xml:space="preserve"> 95%</w:t>
      </w:r>
      <w:r w:rsidR="00523E72">
        <w:rPr>
          <w:rFonts w:ascii="Book Antiqua" w:hAnsi="Book Antiqua" w:cs="Times New Roman" w:hint="eastAsia"/>
          <w:sz w:val="24"/>
          <w:szCs w:val="24"/>
          <w:lang w:eastAsia="zh-CN"/>
        </w:rPr>
        <w:t xml:space="preserve">CI: </w:t>
      </w:r>
      <w:r w:rsidRPr="00E75F6C">
        <w:rPr>
          <w:rFonts w:ascii="Book Antiqua" w:eastAsia="Times New Roman" w:hAnsi="Book Antiqua" w:cs="Times New Roman"/>
          <w:sz w:val="24"/>
          <w:szCs w:val="24"/>
        </w:rPr>
        <w:t>2.3-72.5</w:t>
      </w:r>
      <w:r w:rsidR="00523E72">
        <w:rPr>
          <w:rFonts w:ascii="Book Antiqua" w:hAnsi="Book Antiqua" w:cs="Times New Roman" w:hint="eastAsia"/>
          <w:sz w:val="24"/>
          <w:szCs w:val="24"/>
          <w:lang w:eastAsia="zh-CN"/>
        </w:rPr>
        <w:t>,</w:t>
      </w:r>
      <w:r w:rsidRPr="00E75F6C">
        <w:rPr>
          <w:rFonts w:ascii="Book Antiqua" w:eastAsia="Times New Roman" w:hAnsi="Book Antiqua" w:cs="Times New Roman"/>
          <w:sz w:val="24"/>
          <w:szCs w:val="24"/>
        </w:rPr>
        <w:t xml:space="preserve"> </w:t>
      </w:r>
      <w:r w:rsidRPr="00523E72">
        <w:rPr>
          <w:rFonts w:ascii="Book Antiqua" w:eastAsia="Times New Roman" w:hAnsi="Book Antiqua" w:cs="Times New Roman"/>
          <w:i/>
          <w:sz w:val="24"/>
          <w:szCs w:val="24"/>
        </w:rPr>
        <w:t>P</w:t>
      </w:r>
      <w:r w:rsidRPr="00E75F6C">
        <w:rPr>
          <w:rFonts w:ascii="Book Antiqua" w:eastAsia="Times New Roman" w:hAnsi="Book Antiqua" w:cs="Times New Roman"/>
          <w:sz w:val="24"/>
          <w:szCs w:val="24"/>
        </w:rPr>
        <w:t xml:space="preserve"> &lt; </w:t>
      </w:r>
      <w:r w:rsidR="00523E72">
        <w:rPr>
          <w:rFonts w:ascii="Book Antiqua" w:hAnsi="Book Antiqua" w:cs="Times New Roman" w:hint="eastAsia"/>
          <w:sz w:val="24"/>
          <w:szCs w:val="24"/>
          <w:lang w:eastAsia="zh-CN"/>
        </w:rPr>
        <w:t>0</w:t>
      </w:r>
      <w:r w:rsidRPr="00E75F6C">
        <w:rPr>
          <w:rFonts w:ascii="Book Antiqua" w:eastAsia="Times New Roman" w:hAnsi="Book Antiqua" w:cs="Times New Roman"/>
          <w:sz w:val="24"/>
          <w:szCs w:val="24"/>
        </w:rPr>
        <w:t>.01).</w:t>
      </w:r>
      <w:r w:rsidRPr="00E75F6C">
        <w:rPr>
          <w:rFonts w:ascii="Book Antiqua" w:hAnsi="Book Antiqua" w:cs="Times New Roman"/>
          <w:sz w:val="24"/>
          <w:szCs w:val="24"/>
        </w:rPr>
        <w:t xml:space="preserve"> Historically a 6-TG level </w:t>
      </w:r>
      <w:r w:rsidRPr="00E75F6C">
        <w:rPr>
          <w:rFonts w:ascii="Book Antiqua" w:eastAsia="Times New Roman" w:hAnsi="Book Antiqua" w:cs="Times New Roman"/>
          <w:sz w:val="24"/>
          <w:szCs w:val="24"/>
        </w:rPr>
        <w:t xml:space="preserve">230 </w:t>
      </w:r>
      <w:proofErr w:type="spellStart"/>
      <w:r w:rsidRPr="00E75F6C">
        <w:rPr>
          <w:rFonts w:ascii="Book Antiqua" w:eastAsia="Times New Roman" w:hAnsi="Book Antiqua" w:cs="Times New Roman"/>
          <w:sz w:val="24"/>
          <w:szCs w:val="24"/>
        </w:rPr>
        <w:t>pmol</w:t>
      </w:r>
      <w:proofErr w:type="spellEnd"/>
      <w:r w:rsidRPr="00E75F6C">
        <w:rPr>
          <w:rFonts w:ascii="Book Antiqua" w:eastAsia="Times New Roman" w:hAnsi="Book Antiqua" w:cs="Times New Roman"/>
          <w:sz w:val="24"/>
          <w:szCs w:val="24"/>
        </w:rPr>
        <w:t>/8 × 10</w:t>
      </w:r>
      <w:r w:rsidR="00523E72">
        <w:rPr>
          <w:rFonts w:ascii="Book Antiqua" w:eastAsia="Times New Roman" w:hAnsi="Book Antiqua" w:cs="Times New Roman"/>
          <w:sz w:val="24"/>
          <w:szCs w:val="24"/>
          <w:vertAlign w:val="superscript"/>
        </w:rPr>
        <w:t>8</w:t>
      </w:r>
      <w:r w:rsidRPr="00E75F6C">
        <w:rPr>
          <w:rFonts w:ascii="Book Antiqua" w:eastAsia="Times New Roman" w:hAnsi="Book Antiqua" w:cs="Times New Roman"/>
          <w:sz w:val="24"/>
          <w:szCs w:val="24"/>
        </w:rPr>
        <w:t xml:space="preserve"> RBCs have been associated with </w:t>
      </w:r>
      <w:r w:rsidRPr="00E75F6C">
        <w:rPr>
          <w:rFonts w:ascii="Book Antiqua" w:hAnsi="Book Antiqua" w:cs="Times New Roman"/>
          <w:sz w:val="24"/>
          <w:szCs w:val="24"/>
        </w:rPr>
        <w:t>better response rates</w:t>
      </w:r>
      <w:r w:rsidRPr="00E75F6C">
        <w:rPr>
          <w:rFonts w:ascii="Book Antiqua" w:eastAsia="Times New Roman" w:hAnsi="Book Antiqua" w:cs="Times New Roman"/>
          <w:sz w:val="24"/>
          <w:szCs w:val="24"/>
        </w:rPr>
        <w:t xml:space="preserve"> in patients on </w:t>
      </w:r>
      <w:proofErr w:type="spellStart"/>
      <w:r w:rsidRPr="00E75F6C">
        <w:rPr>
          <w:rFonts w:ascii="Book Antiqua" w:eastAsia="Times New Roman" w:hAnsi="Book Antiqua" w:cs="Times New Roman"/>
          <w:sz w:val="24"/>
          <w:szCs w:val="24"/>
        </w:rPr>
        <w:t>monotherapy</w:t>
      </w:r>
      <w:proofErr w:type="spellEnd"/>
      <w:r w:rsidRPr="00E75F6C">
        <w:rPr>
          <w:rFonts w:ascii="Book Antiqua" w:eastAsia="Times New Roman" w:hAnsi="Book Antiqua" w:cs="Times New Roman"/>
          <w:sz w:val="24"/>
          <w:szCs w:val="24"/>
        </w:rPr>
        <w:t>, a level of 6-</w:t>
      </w:r>
      <w:r w:rsidRPr="00E75F6C">
        <w:rPr>
          <w:rFonts w:ascii="Book Antiqua" w:hAnsi="Book Antiqua" w:cs="Times New Roman"/>
          <w:sz w:val="24"/>
          <w:szCs w:val="24"/>
        </w:rPr>
        <w:t>TG</w:t>
      </w:r>
      <w:r w:rsidRPr="00E75F6C">
        <w:rPr>
          <w:rFonts w:ascii="Book Antiqua" w:eastAsia="Times New Roman" w:hAnsi="Book Antiqua" w:cs="Times New Roman"/>
          <w:sz w:val="24"/>
          <w:szCs w:val="24"/>
        </w:rPr>
        <w:t xml:space="preserve"> of 125 </w:t>
      </w:r>
      <w:proofErr w:type="spellStart"/>
      <w:r w:rsidRPr="00E75F6C">
        <w:rPr>
          <w:rFonts w:ascii="Book Antiqua" w:eastAsia="Times New Roman" w:hAnsi="Book Antiqua" w:cs="Times New Roman"/>
          <w:sz w:val="24"/>
          <w:szCs w:val="24"/>
        </w:rPr>
        <w:t>pmol</w:t>
      </w:r>
      <w:proofErr w:type="spellEnd"/>
      <w:r w:rsidRPr="00E75F6C">
        <w:rPr>
          <w:rFonts w:ascii="Book Antiqua" w:eastAsia="Times New Roman" w:hAnsi="Book Antiqua" w:cs="Times New Roman"/>
          <w:sz w:val="24"/>
          <w:szCs w:val="24"/>
        </w:rPr>
        <w:t>/8 ×</w:t>
      </w:r>
      <w:r w:rsidR="00523E72" w:rsidRPr="00E75F6C">
        <w:rPr>
          <w:rFonts w:ascii="Book Antiqua" w:eastAsia="Times New Roman" w:hAnsi="Book Antiqua" w:cs="Times New Roman"/>
          <w:sz w:val="24"/>
          <w:szCs w:val="24"/>
        </w:rPr>
        <w:t>10</w:t>
      </w:r>
      <w:r w:rsidR="00523E72">
        <w:rPr>
          <w:rFonts w:ascii="Book Antiqua" w:eastAsia="Times New Roman" w:hAnsi="Book Antiqua" w:cs="Times New Roman"/>
          <w:sz w:val="24"/>
          <w:szCs w:val="24"/>
          <w:vertAlign w:val="superscript"/>
        </w:rPr>
        <w:t>8</w:t>
      </w:r>
      <w:r w:rsidRPr="00E75F6C">
        <w:rPr>
          <w:rFonts w:ascii="Book Antiqua" w:eastAsia="Times New Roman" w:hAnsi="Book Antiqua" w:cs="Times New Roman"/>
          <w:sz w:val="24"/>
          <w:szCs w:val="24"/>
        </w:rPr>
        <w:t xml:space="preserve"> RBCs or greater may be adequate to achieve therapeutic levels of infliximab. In the long term, this may minimize the toxicity</w:t>
      </w:r>
      <w:r w:rsidRPr="00E75F6C">
        <w:rPr>
          <w:rFonts w:ascii="Book Antiqua" w:hAnsi="Book Antiqua" w:cs="Times New Roman"/>
          <w:sz w:val="24"/>
          <w:szCs w:val="24"/>
        </w:rPr>
        <w:t xml:space="preserve"> and adverse side effects, like malignancy</w:t>
      </w:r>
      <w:r w:rsidRPr="00E75F6C">
        <w:rPr>
          <w:rFonts w:ascii="Book Antiqua" w:eastAsia="Times New Roman" w:hAnsi="Book Antiqua" w:cs="Times New Roman"/>
          <w:sz w:val="24"/>
          <w:szCs w:val="24"/>
        </w:rPr>
        <w:t xml:space="preserve"> for patients on combination therapy</w:t>
      </w:r>
      <w:r w:rsidRPr="00E75F6C">
        <w:rPr>
          <w:rFonts w:ascii="Book Antiqua" w:hAnsi="Book Antiqua" w:cs="Times New Roman"/>
          <w:sz w:val="24"/>
          <w:szCs w:val="24"/>
        </w:rPr>
        <w:t xml:space="preserve">. </w:t>
      </w:r>
    </w:p>
    <w:p w14:paraId="36983236" w14:textId="77777777" w:rsidR="00AF33E8" w:rsidRDefault="00AF33E8" w:rsidP="00523E72">
      <w:pPr>
        <w:spacing w:after="0" w:line="360" w:lineRule="auto"/>
        <w:ind w:firstLineChars="150" w:firstLine="360"/>
        <w:jc w:val="both"/>
        <w:rPr>
          <w:rFonts w:ascii="Book Antiqua" w:hAnsi="Book Antiqua" w:cs="Times New Roman"/>
          <w:sz w:val="24"/>
          <w:szCs w:val="24"/>
          <w:lang w:eastAsia="zh-CN"/>
        </w:rPr>
      </w:pPr>
      <w:r w:rsidRPr="00E75F6C">
        <w:rPr>
          <w:rFonts w:ascii="Book Antiqua" w:hAnsi="Book Antiqua" w:cs="Times New Roman"/>
          <w:sz w:val="24"/>
          <w:szCs w:val="24"/>
        </w:rPr>
        <w:t>However measuring 6-TG levels is complicated, with concerns over reprod</w:t>
      </w:r>
      <w:r w:rsidR="00DC0331" w:rsidRPr="00E75F6C">
        <w:rPr>
          <w:rFonts w:ascii="Book Antiqua" w:hAnsi="Book Antiqua" w:cs="Times New Roman"/>
          <w:sz w:val="24"/>
          <w:szCs w:val="24"/>
        </w:rPr>
        <w:t>ucibility of the assay, as well</w:t>
      </w:r>
      <w:r w:rsidRPr="00E75F6C">
        <w:rPr>
          <w:rFonts w:ascii="Book Antiqua" w:hAnsi="Book Antiqua" w:cs="Times New Roman"/>
          <w:sz w:val="24"/>
          <w:szCs w:val="24"/>
        </w:rPr>
        <w:t xml:space="preserve"> as the potential for increased toxicity, in </w:t>
      </w:r>
      <w:r w:rsidR="00E7004F" w:rsidRPr="00E75F6C">
        <w:rPr>
          <w:rFonts w:ascii="Book Antiqua" w:hAnsi="Book Antiqua" w:cs="Times New Roman"/>
          <w:sz w:val="24"/>
          <w:szCs w:val="24"/>
        </w:rPr>
        <w:t xml:space="preserve">patients with high 6-TG levels. This may restrict the wide-spread use of 6-TG monitoring, as part of the treatment algorithm. </w:t>
      </w:r>
    </w:p>
    <w:p w14:paraId="07CB0415" w14:textId="77777777" w:rsidR="00523E72" w:rsidRPr="00E75F6C" w:rsidRDefault="00523E72" w:rsidP="00523E72">
      <w:pPr>
        <w:spacing w:after="0" w:line="360" w:lineRule="auto"/>
        <w:ind w:firstLineChars="150" w:firstLine="360"/>
        <w:jc w:val="both"/>
        <w:rPr>
          <w:rFonts w:ascii="Book Antiqua" w:hAnsi="Book Antiqua" w:cs="Times New Roman"/>
          <w:sz w:val="24"/>
          <w:szCs w:val="24"/>
          <w:lang w:eastAsia="zh-CN"/>
        </w:rPr>
      </w:pPr>
    </w:p>
    <w:p w14:paraId="12685187" w14:textId="77777777" w:rsidR="007040D1" w:rsidRPr="00E75F6C" w:rsidRDefault="00523E72" w:rsidP="00AD1560">
      <w:pPr>
        <w:spacing w:after="0" w:line="360" w:lineRule="auto"/>
        <w:jc w:val="both"/>
        <w:rPr>
          <w:rFonts w:ascii="Book Antiqua" w:hAnsi="Book Antiqua" w:cs="Times New Roman"/>
          <w:b/>
          <w:sz w:val="24"/>
          <w:szCs w:val="24"/>
        </w:rPr>
      </w:pPr>
      <w:r w:rsidRPr="00E75F6C">
        <w:rPr>
          <w:rFonts w:ascii="Book Antiqua" w:hAnsi="Book Antiqua" w:cs="Times New Roman"/>
          <w:b/>
          <w:sz w:val="24"/>
          <w:szCs w:val="24"/>
        </w:rPr>
        <w:t>IMMUNOMONITORING TO FACILITATE DRUG WITHDRAWAL</w:t>
      </w:r>
    </w:p>
    <w:p w14:paraId="470C6EDA" w14:textId="155AF3F1" w:rsidR="00B6027F" w:rsidRDefault="0039421A" w:rsidP="00AD1560">
      <w:pPr>
        <w:spacing w:after="0" w:line="360" w:lineRule="auto"/>
        <w:jc w:val="both"/>
        <w:rPr>
          <w:rFonts w:ascii="Book Antiqua" w:hAnsi="Book Antiqua" w:cs="Times New Roman"/>
          <w:sz w:val="24"/>
          <w:szCs w:val="24"/>
          <w:lang w:eastAsia="zh-CN"/>
        </w:rPr>
      </w:pPr>
      <w:r w:rsidRPr="00E75F6C">
        <w:rPr>
          <w:rFonts w:ascii="Book Antiqua" w:hAnsi="Book Antiqua" w:cs="Times New Roman"/>
          <w:sz w:val="24"/>
          <w:szCs w:val="24"/>
        </w:rPr>
        <w:t xml:space="preserve">The benefits of combination therapy are proven, with improved response and remission rates. There </w:t>
      </w:r>
      <w:r w:rsidR="00F156F8" w:rsidRPr="00E75F6C">
        <w:rPr>
          <w:rFonts w:ascii="Book Antiqua" w:hAnsi="Book Antiqua" w:cs="Times New Roman"/>
          <w:sz w:val="24"/>
          <w:szCs w:val="24"/>
        </w:rPr>
        <w:t>is</w:t>
      </w:r>
      <w:r w:rsidRPr="00E75F6C">
        <w:rPr>
          <w:rFonts w:ascii="Book Antiqua" w:hAnsi="Book Antiqua" w:cs="Times New Roman"/>
          <w:sz w:val="24"/>
          <w:szCs w:val="24"/>
        </w:rPr>
        <w:t xml:space="preserve"> </w:t>
      </w:r>
      <w:r w:rsidR="00E7004F" w:rsidRPr="00E75F6C">
        <w:rPr>
          <w:rFonts w:ascii="Book Antiqua" w:hAnsi="Book Antiqua" w:cs="Times New Roman"/>
          <w:sz w:val="24"/>
          <w:szCs w:val="24"/>
        </w:rPr>
        <w:t xml:space="preserve">however </w:t>
      </w:r>
      <w:r w:rsidRPr="00E75F6C">
        <w:rPr>
          <w:rFonts w:ascii="Book Antiqua" w:hAnsi="Book Antiqua" w:cs="Times New Roman"/>
          <w:sz w:val="24"/>
          <w:szCs w:val="24"/>
        </w:rPr>
        <w:t xml:space="preserve">long terms concerns about the side-effects of combination therapy, and concerns expressed about risks of </w:t>
      </w:r>
      <w:proofErr w:type="spellStart"/>
      <w:r w:rsidRPr="00E75F6C">
        <w:rPr>
          <w:rFonts w:ascii="Book Antiqua" w:hAnsi="Book Antiqua" w:cs="Times New Roman"/>
          <w:sz w:val="24"/>
          <w:szCs w:val="24"/>
        </w:rPr>
        <w:t>lymphoproliferative</w:t>
      </w:r>
      <w:proofErr w:type="spellEnd"/>
      <w:r w:rsidRPr="00E75F6C">
        <w:rPr>
          <w:rFonts w:ascii="Book Antiqua" w:hAnsi="Book Antiqua" w:cs="Times New Roman"/>
          <w:sz w:val="24"/>
          <w:szCs w:val="24"/>
        </w:rPr>
        <w:t xml:space="preserve"> disorders in particular.</w:t>
      </w:r>
      <w:r w:rsidR="00E7004F" w:rsidRPr="00E75F6C">
        <w:rPr>
          <w:rFonts w:ascii="Book Antiqua" w:hAnsi="Book Antiqua" w:cs="Times New Roman"/>
          <w:sz w:val="24"/>
          <w:szCs w:val="24"/>
        </w:rPr>
        <w:t xml:space="preserve"> Therefore discussions about withdrawal of </w:t>
      </w:r>
      <w:proofErr w:type="spellStart"/>
      <w:r w:rsidR="00E7004F" w:rsidRPr="00E75F6C">
        <w:rPr>
          <w:rFonts w:ascii="Book Antiqua" w:hAnsi="Book Antiqua" w:cs="Times New Roman"/>
          <w:sz w:val="24"/>
          <w:szCs w:val="24"/>
        </w:rPr>
        <w:t>immunomodulators</w:t>
      </w:r>
      <w:proofErr w:type="spellEnd"/>
      <w:r w:rsidR="00E7004F" w:rsidRPr="00E75F6C">
        <w:rPr>
          <w:rFonts w:ascii="Book Antiqua" w:hAnsi="Book Antiqua" w:cs="Times New Roman"/>
          <w:sz w:val="24"/>
          <w:szCs w:val="24"/>
        </w:rPr>
        <w:t xml:space="preserve"> in well patients, achieving remission have been debated. Concerns have been expressed about relapse of disease, with their withdrawal. </w:t>
      </w:r>
      <w:r w:rsidRPr="00E75F6C">
        <w:rPr>
          <w:rFonts w:ascii="Book Antiqua" w:hAnsi="Book Antiqua" w:cs="Times New Roman"/>
          <w:sz w:val="24"/>
          <w:szCs w:val="24"/>
        </w:rPr>
        <w:t xml:space="preserve"> In a retrospective study, among co-treated patients, levels of infliximab remained stable after </w:t>
      </w:r>
      <w:proofErr w:type="spellStart"/>
      <w:r w:rsidRPr="00E75F6C">
        <w:rPr>
          <w:rFonts w:ascii="Book Antiqua" w:hAnsi="Book Antiqua" w:cs="Times New Roman"/>
          <w:sz w:val="24"/>
          <w:szCs w:val="24"/>
        </w:rPr>
        <w:t>immunomodulators</w:t>
      </w:r>
      <w:proofErr w:type="spellEnd"/>
      <w:r w:rsidRPr="00E75F6C">
        <w:rPr>
          <w:rFonts w:ascii="Book Antiqua" w:hAnsi="Book Antiqua" w:cs="Times New Roman"/>
          <w:sz w:val="24"/>
          <w:szCs w:val="24"/>
        </w:rPr>
        <w:t xml:space="preserve"> were withdrawn after at least 6 </w:t>
      </w:r>
      <w:proofErr w:type="spellStart"/>
      <w:r w:rsidR="00523E72">
        <w:rPr>
          <w:rFonts w:ascii="Book Antiqua" w:hAnsi="Book Antiqua" w:cs="Times New Roman" w:hint="eastAsia"/>
          <w:sz w:val="24"/>
          <w:szCs w:val="24"/>
          <w:lang w:eastAsia="zh-CN"/>
        </w:rPr>
        <w:t>mo</w:t>
      </w:r>
      <w:proofErr w:type="spellEnd"/>
      <w:r w:rsidRPr="00E75F6C">
        <w:rPr>
          <w:rFonts w:ascii="Book Antiqua" w:hAnsi="Book Antiqua" w:cs="Times New Roman"/>
          <w:sz w:val="24"/>
          <w:szCs w:val="24"/>
        </w:rPr>
        <w:t xml:space="preserve"> of </w:t>
      </w:r>
      <w:r w:rsidR="00523E72">
        <w:rPr>
          <w:rFonts w:ascii="Book Antiqua" w:hAnsi="Book Antiqua" w:cs="Times New Roman"/>
          <w:sz w:val="24"/>
          <w:szCs w:val="24"/>
        </w:rPr>
        <w:t xml:space="preserve">therapy (before: 3.2 </w:t>
      </w:r>
      <w:proofErr w:type="spellStart"/>
      <w:r w:rsidR="00523E72">
        <w:rPr>
          <w:rFonts w:ascii="Book Antiqua" w:hAnsi="Book Antiqua" w:cs="Times New Roman"/>
          <w:sz w:val="24"/>
          <w:szCs w:val="24"/>
        </w:rPr>
        <w:t>μg</w:t>
      </w:r>
      <w:proofErr w:type="spellEnd"/>
      <w:r w:rsidR="00523E72">
        <w:rPr>
          <w:rFonts w:ascii="Book Antiqua" w:hAnsi="Book Antiqua" w:cs="Times New Roman"/>
          <w:sz w:val="24"/>
          <w:szCs w:val="24"/>
        </w:rPr>
        <w:t>/mL</w:t>
      </w:r>
      <w:r w:rsidR="00523E72">
        <w:rPr>
          <w:rFonts w:ascii="Book Antiqua" w:hAnsi="Book Antiqua" w:cs="Times New Roman" w:hint="eastAsia"/>
          <w:sz w:val="24"/>
          <w:szCs w:val="24"/>
          <w:lang w:eastAsia="zh-CN"/>
        </w:rPr>
        <w:t>,</w:t>
      </w:r>
      <w:r w:rsidR="00523E72">
        <w:rPr>
          <w:rFonts w:ascii="Book Antiqua" w:hAnsi="Book Antiqua" w:cs="Times New Roman"/>
          <w:sz w:val="24"/>
          <w:szCs w:val="24"/>
        </w:rPr>
        <w:t xml:space="preserve"> 95%</w:t>
      </w:r>
      <w:r w:rsidRPr="00E75F6C">
        <w:rPr>
          <w:rFonts w:ascii="Book Antiqua" w:hAnsi="Book Antiqua" w:cs="Times New Roman"/>
          <w:sz w:val="24"/>
          <w:szCs w:val="24"/>
        </w:rPr>
        <w:t>CI</w:t>
      </w:r>
      <w:r w:rsidR="00523E72">
        <w:rPr>
          <w:rFonts w:ascii="Book Antiqua" w:hAnsi="Book Antiqua" w:cs="Times New Roman" w:hint="eastAsia"/>
          <w:sz w:val="24"/>
          <w:szCs w:val="24"/>
          <w:lang w:eastAsia="zh-CN"/>
        </w:rPr>
        <w:t>:</w:t>
      </w:r>
      <w:r w:rsidRPr="00E75F6C">
        <w:rPr>
          <w:rFonts w:ascii="Book Antiqua" w:hAnsi="Book Antiqua" w:cs="Times New Roman"/>
          <w:sz w:val="24"/>
          <w:szCs w:val="24"/>
        </w:rPr>
        <w:t xml:space="preserve"> 1.6-5.8 </w:t>
      </w:r>
      <w:proofErr w:type="spellStart"/>
      <w:r w:rsidRPr="00E75F6C">
        <w:rPr>
          <w:rFonts w:ascii="Book Antiqua" w:hAnsi="Book Antiqua" w:cs="Times New Roman"/>
          <w:sz w:val="24"/>
          <w:szCs w:val="24"/>
        </w:rPr>
        <w:t>μg</w:t>
      </w:r>
      <w:proofErr w:type="spellEnd"/>
      <w:r w:rsidRPr="00E75F6C">
        <w:rPr>
          <w:rFonts w:ascii="Book Antiqua" w:hAnsi="Book Antiqua" w:cs="Times New Roman"/>
          <w:sz w:val="24"/>
          <w:szCs w:val="24"/>
        </w:rPr>
        <w:t xml:space="preserve">/mL and after: 3.7 </w:t>
      </w:r>
      <w:proofErr w:type="spellStart"/>
      <w:r w:rsidRPr="00E75F6C">
        <w:rPr>
          <w:rFonts w:ascii="Book Antiqua" w:hAnsi="Book Antiqua" w:cs="Times New Roman"/>
          <w:sz w:val="24"/>
          <w:szCs w:val="24"/>
        </w:rPr>
        <w:t>μg</w:t>
      </w:r>
      <w:proofErr w:type="spellEnd"/>
      <w:r w:rsidRPr="00E75F6C">
        <w:rPr>
          <w:rFonts w:ascii="Book Antiqua" w:hAnsi="Book Antiqua" w:cs="Times New Roman"/>
          <w:sz w:val="24"/>
          <w:szCs w:val="24"/>
        </w:rPr>
        <w:t>/mL</w:t>
      </w:r>
      <w:r w:rsidR="00523E72">
        <w:rPr>
          <w:rFonts w:ascii="Book Antiqua" w:hAnsi="Book Antiqua" w:cs="Times New Roman" w:hint="eastAsia"/>
          <w:sz w:val="24"/>
          <w:szCs w:val="24"/>
          <w:lang w:eastAsia="zh-CN"/>
        </w:rPr>
        <w:t>,</w:t>
      </w:r>
      <w:r w:rsidRPr="00E75F6C">
        <w:rPr>
          <w:rFonts w:ascii="Book Antiqua" w:hAnsi="Book Antiqua" w:cs="Times New Roman"/>
          <w:sz w:val="24"/>
          <w:szCs w:val="24"/>
        </w:rPr>
        <w:t xml:space="preserve"> </w:t>
      </w:r>
      <w:r w:rsidR="00523E72">
        <w:rPr>
          <w:rFonts w:ascii="Book Antiqua" w:hAnsi="Book Antiqua" w:cs="Times New Roman"/>
          <w:sz w:val="24"/>
          <w:szCs w:val="24"/>
        </w:rPr>
        <w:t>95%</w:t>
      </w:r>
      <w:r w:rsidR="00523E72" w:rsidRPr="00E75F6C">
        <w:rPr>
          <w:rFonts w:ascii="Book Antiqua" w:hAnsi="Book Antiqua" w:cs="Times New Roman"/>
          <w:sz w:val="24"/>
          <w:szCs w:val="24"/>
        </w:rPr>
        <w:t>CI</w:t>
      </w:r>
      <w:r w:rsidR="00523E72">
        <w:rPr>
          <w:rFonts w:ascii="Book Antiqua" w:hAnsi="Book Antiqua" w:cs="Times New Roman" w:hint="eastAsia"/>
          <w:sz w:val="24"/>
          <w:szCs w:val="24"/>
          <w:lang w:eastAsia="zh-CN"/>
        </w:rPr>
        <w:t>:</w:t>
      </w:r>
      <w:r w:rsidRPr="00E75F6C">
        <w:rPr>
          <w:rFonts w:ascii="Book Antiqua" w:hAnsi="Book Antiqua" w:cs="Times New Roman"/>
          <w:sz w:val="24"/>
          <w:szCs w:val="24"/>
        </w:rPr>
        <w:t xml:space="preserve"> 1.3-6.3 </w:t>
      </w:r>
      <w:proofErr w:type="spellStart"/>
      <w:r w:rsidRPr="00E75F6C">
        <w:rPr>
          <w:rFonts w:ascii="Book Antiqua" w:hAnsi="Book Antiqua" w:cs="Times New Roman"/>
          <w:sz w:val="24"/>
          <w:szCs w:val="24"/>
        </w:rPr>
        <w:t>μg</w:t>
      </w:r>
      <w:proofErr w:type="spellEnd"/>
      <w:r w:rsidRPr="00E75F6C">
        <w:rPr>
          <w:rFonts w:ascii="Book Antiqua" w:hAnsi="Book Antiqua" w:cs="Times New Roman"/>
          <w:sz w:val="24"/>
          <w:szCs w:val="24"/>
        </w:rPr>
        <w:t>/mL</w:t>
      </w:r>
      <w:r w:rsidR="00523E72">
        <w:rPr>
          <w:rFonts w:ascii="Book Antiqua" w:hAnsi="Book Antiqua" w:cs="Times New Roman" w:hint="eastAsia"/>
          <w:sz w:val="24"/>
          <w:szCs w:val="24"/>
          <w:lang w:eastAsia="zh-CN"/>
        </w:rPr>
        <w:t>,</w:t>
      </w:r>
      <w:r w:rsidRPr="00E75F6C">
        <w:rPr>
          <w:rFonts w:ascii="Book Antiqua" w:hAnsi="Book Antiqua" w:cs="Times New Roman"/>
          <w:sz w:val="24"/>
          <w:szCs w:val="24"/>
        </w:rPr>
        <w:t xml:space="preserve"> </w:t>
      </w:r>
      <w:r w:rsidRPr="00523E72">
        <w:rPr>
          <w:rFonts w:ascii="Book Antiqua" w:hAnsi="Book Antiqua" w:cs="Times New Roman"/>
          <w:i/>
          <w:sz w:val="24"/>
          <w:szCs w:val="24"/>
        </w:rPr>
        <w:t>P</w:t>
      </w:r>
      <w:r w:rsidRPr="00E75F6C">
        <w:rPr>
          <w:rFonts w:ascii="Book Antiqua" w:hAnsi="Book Antiqua" w:cs="Times New Roman"/>
          <w:sz w:val="24"/>
          <w:szCs w:val="24"/>
        </w:rPr>
        <w:t xml:space="preserve"> = </w:t>
      </w:r>
      <w:r w:rsidR="00523E72">
        <w:rPr>
          <w:rFonts w:ascii="Book Antiqua" w:hAnsi="Book Antiqua" w:cs="Times New Roman" w:hint="eastAsia"/>
          <w:sz w:val="24"/>
          <w:szCs w:val="24"/>
          <w:lang w:eastAsia="zh-CN"/>
        </w:rPr>
        <w:t>0</w:t>
      </w:r>
      <w:r w:rsidRPr="00E75F6C">
        <w:rPr>
          <w:rFonts w:ascii="Book Antiqua" w:hAnsi="Book Antiqua" w:cs="Times New Roman"/>
          <w:sz w:val="24"/>
          <w:szCs w:val="24"/>
        </w:rPr>
        <w:t>.70)</w:t>
      </w:r>
      <w:r w:rsidR="00523E72" w:rsidRPr="00523E72">
        <w:rPr>
          <w:rFonts w:ascii="Book Antiqua" w:hAnsi="Book Antiqua" w:cs="Times New Roman"/>
          <w:sz w:val="24"/>
          <w:szCs w:val="24"/>
          <w:vertAlign w:val="superscript"/>
        </w:rPr>
        <w:t>[</w:t>
      </w:r>
      <w:r w:rsidR="00C031C7">
        <w:rPr>
          <w:rFonts w:ascii="Book Antiqua" w:hAnsi="Book Antiqua" w:cs="Times New Roman"/>
          <w:sz w:val="24"/>
          <w:szCs w:val="24"/>
          <w:vertAlign w:val="superscript"/>
        </w:rPr>
        <w:t>59</w:t>
      </w:r>
      <w:r w:rsidR="00C031C7" w:rsidRPr="00C031C7">
        <w:rPr>
          <w:rFonts w:ascii="Book Antiqua" w:hAnsi="Book Antiqua" w:cs="Times New Roman"/>
          <w:sz w:val="24"/>
          <w:szCs w:val="24"/>
          <w:vertAlign w:val="superscript"/>
        </w:rPr>
        <w:t>]</w:t>
      </w:r>
      <w:r w:rsidRPr="00E75F6C">
        <w:rPr>
          <w:rFonts w:ascii="Book Antiqua" w:hAnsi="Book Antiqua" w:cs="Times New Roman"/>
          <w:sz w:val="24"/>
          <w:szCs w:val="24"/>
        </w:rPr>
        <w:t>. The most striking observation in this study was the fact that none of the 27 patients with infliximab trough levels &gt;</w:t>
      </w:r>
      <w:r w:rsidR="00523E72">
        <w:rPr>
          <w:rFonts w:ascii="Book Antiqua" w:hAnsi="Book Antiqua" w:cs="Times New Roman" w:hint="eastAsia"/>
          <w:sz w:val="24"/>
          <w:szCs w:val="24"/>
          <w:lang w:eastAsia="zh-CN"/>
        </w:rPr>
        <w:t xml:space="preserve"> </w:t>
      </w:r>
      <w:r w:rsidRPr="00E75F6C">
        <w:rPr>
          <w:rFonts w:ascii="Book Antiqua" w:hAnsi="Book Antiqua" w:cs="Times New Roman"/>
          <w:sz w:val="24"/>
          <w:szCs w:val="24"/>
        </w:rPr>
        <w:t xml:space="preserve">5 </w:t>
      </w:r>
      <w:proofErr w:type="spellStart"/>
      <w:r w:rsidRPr="00E75F6C">
        <w:rPr>
          <w:rFonts w:ascii="Book Antiqua" w:hAnsi="Book Antiqua" w:cs="Times New Roman"/>
          <w:sz w:val="24"/>
          <w:szCs w:val="24"/>
        </w:rPr>
        <w:t>μg</w:t>
      </w:r>
      <w:proofErr w:type="spellEnd"/>
      <w:r w:rsidRPr="00E75F6C">
        <w:rPr>
          <w:rFonts w:ascii="Book Antiqua" w:hAnsi="Book Antiqua" w:cs="Times New Roman"/>
          <w:sz w:val="24"/>
          <w:szCs w:val="24"/>
        </w:rPr>
        <w:t xml:space="preserve">/mL at the time of </w:t>
      </w:r>
      <w:proofErr w:type="spellStart"/>
      <w:r w:rsidRPr="00E75F6C">
        <w:rPr>
          <w:rFonts w:ascii="Book Antiqua" w:hAnsi="Book Antiqua" w:cs="Times New Roman"/>
          <w:sz w:val="24"/>
          <w:szCs w:val="24"/>
        </w:rPr>
        <w:t>immunomodulator</w:t>
      </w:r>
      <w:proofErr w:type="spellEnd"/>
      <w:r w:rsidRPr="00E75F6C">
        <w:rPr>
          <w:rFonts w:ascii="Book Antiqua" w:hAnsi="Book Antiqua" w:cs="Times New Roman"/>
          <w:sz w:val="24"/>
          <w:szCs w:val="24"/>
        </w:rPr>
        <w:t xml:space="preserve"> withdrawal lost response to infliximab after withdrawal of </w:t>
      </w:r>
      <w:proofErr w:type="spellStart"/>
      <w:r w:rsidRPr="00E75F6C">
        <w:rPr>
          <w:rFonts w:ascii="Book Antiqua" w:hAnsi="Book Antiqua" w:cs="Times New Roman"/>
          <w:sz w:val="24"/>
          <w:szCs w:val="24"/>
        </w:rPr>
        <w:t>immunomodulator</w:t>
      </w:r>
      <w:proofErr w:type="spellEnd"/>
      <w:r w:rsidRPr="00E75F6C">
        <w:rPr>
          <w:rFonts w:ascii="Book Antiqua" w:hAnsi="Book Antiqua" w:cs="Times New Roman"/>
          <w:sz w:val="24"/>
          <w:szCs w:val="24"/>
        </w:rPr>
        <w:t xml:space="preserve"> during the median follow-up of 29 </w:t>
      </w:r>
      <w:r w:rsidR="00523E72">
        <w:rPr>
          <w:rFonts w:ascii="Book Antiqua" w:hAnsi="Book Antiqua" w:cs="Times New Roman" w:hint="eastAsia"/>
          <w:sz w:val="24"/>
          <w:szCs w:val="24"/>
          <w:lang w:eastAsia="zh-CN"/>
        </w:rPr>
        <w:t>mo</w:t>
      </w:r>
      <w:r w:rsidRPr="00E75F6C">
        <w:rPr>
          <w:rFonts w:ascii="Book Antiqua" w:hAnsi="Book Antiqua" w:cs="Times New Roman"/>
          <w:sz w:val="24"/>
          <w:szCs w:val="24"/>
        </w:rPr>
        <w:t xml:space="preserve">. The authors propose that it is safe to stop </w:t>
      </w:r>
      <w:proofErr w:type="spellStart"/>
      <w:r w:rsidR="00B225FE" w:rsidRPr="00E75F6C">
        <w:rPr>
          <w:rFonts w:ascii="Book Antiqua" w:hAnsi="Book Antiqua" w:cs="Times New Roman"/>
          <w:sz w:val="24"/>
          <w:szCs w:val="24"/>
        </w:rPr>
        <w:t>immunomodulator</w:t>
      </w:r>
      <w:r w:rsidRPr="00E75F6C">
        <w:rPr>
          <w:rFonts w:ascii="Book Antiqua" w:hAnsi="Book Antiqua" w:cs="Times New Roman"/>
          <w:sz w:val="24"/>
          <w:szCs w:val="24"/>
        </w:rPr>
        <w:t>s</w:t>
      </w:r>
      <w:proofErr w:type="spellEnd"/>
      <w:r w:rsidRPr="00E75F6C">
        <w:rPr>
          <w:rFonts w:ascii="Book Antiqua" w:hAnsi="Book Antiqua" w:cs="Times New Roman"/>
          <w:sz w:val="24"/>
          <w:szCs w:val="24"/>
        </w:rPr>
        <w:t xml:space="preserve"> in patients with IFX trough levels greater than 5</w:t>
      </w:r>
      <w:r w:rsidRPr="00E75F6C">
        <w:rPr>
          <w:rFonts w:ascii="Book Antiqua" w:hAnsi="Book Antiqua"/>
          <w:sz w:val="24"/>
          <w:szCs w:val="24"/>
        </w:rPr>
        <w:t xml:space="preserve"> </w:t>
      </w:r>
      <w:proofErr w:type="spellStart"/>
      <w:r w:rsidRPr="00E75F6C">
        <w:rPr>
          <w:rFonts w:ascii="Book Antiqua" w:hAnsi="Book Antiqua" w:cs="Times New Roman"/>
          <w:sz w:val="24"/>
          <w:szCs w:val="24"/>
        </w:rPr>
        <w:t>μg</w:t>
      </w:r>
      <w:proofErr w:type="spellEnd"/>
      <w:r w:rsidRPr="00E75F6C">
        <w:rPr>
          <w:rFonts w:ascii="Book Antiqua" w:hAnsi="Book Antiqua" w:cs="Times New Roman"/>
          <w:sz w:val="24"/>
          <w:szCs w:val="24"/>
        </w:rPr>
        <w:t>/</w:t>
      </w:r>
      <w:proofErr w:type="spellStart"/>
      <w:r w:rsidRPr="00E75F6C">
        <w:rPr>
          <w:rFonts w:ascii="Book Antiqua" w:hAnsi="Book Antiqua" w:cs="Times New Roman"/>
          <w:sz w:val="24"/>
          <w:szCs w:val="24"/>
        </w:rPr>
        <w:t>mL.</w:t>
      </w:r>
      <w:proofErr w:type="spellEnd"/>
      <w:r w:rsidRPr="00E75F6C">
        <w:rPr>
          <w:rFonts w:ascii="Book Antiqua" w:hAnsi="Book Antiqua" w:cs="Times New Roman"/>
          <w:sz w:val="24"/>
          <w:szCs w:val="24"/>
        </w:rPr>
        <w:t xml:space="preserve"> </w:t>
      </w:r>
    </w:p>
    <w:p w14:paraId="43056D9F" w14:textId="77777777" w:rsidR="00523E72" w:rsidRPr="00E75F6C" w:rsidRDefault="00523E72" w:rsidP="00AD1560">
      <w:pPr>
        <w:spacing w:after="0" w:line="360" w:lineRule="auto"/>
        <w:jc w:val="both"/>
        <w:rPr>
          <w:rFonts w:ascii="Book Antiqua" w:hAnsi="Book Antiqua" w:cs="Times New Roman"/>
          <w:sz w:val="24"/>
          <w:szCs w:val="24"/>
          <w:lang w:eastAsia="zh-CN"/>
        </w:rPr>
      </w:pPr>
    </w:p>
    <w:p w14:paraId="424B5117" w14:textId="77777777" w:rsidR="00B6027F" w:rsidRPr="00E75F6C" w:rsidRDefault="00523E72" w:rsidP="00AD1560">
      <w:pPr>
        <w:spacing w:after="0" w:line="360" w:lineRule="auto"/>
        <w:jc w:val="both"/>
        <w:rPr>
          <w:rFonts w:ascii="Book Antiqua" w:hAnsi="Book Antiqua"/>
          <w:b/>
          <w:sz w:val="24"/>
          <w:szCs w:val="24"/>
        </w:rPr>
      </w:pPr>
      <w:r w:rsidRPr="00E75F6C">
        <w:rPr>
          <w:rFonts w:ascii="Book Antiqua" w:hAnsi="Book Antiqua"/>
          <w:b/>
          <w:sz w:val="24"/>
          <w:szCs w:val="24"/>
        </w:rPr>
        <w:t>OPTIMAL TROUGH</w:t>
      </w:r>
    </w:p>
    <w:p w14:paraId="5E72C183" w14:textId="4099BDCD" w:rsidR="00B6027F" w:rsidRPr="00E75F6C" w:rsidRDefault="00B6027F" w:rsidP="00AD1560">
      <w:pPr>
        <w:spacing w:after="0" w:line="360" w:lineRule="auto"/>
        <w:jc w:val="both"/>
        <w:rPr>
          <w:rFonts w:ascii="Book Antiqua" w:hAnsi="Book Antiqua"/>
          <w:sz w:val="24"/>
          <w:szCs w:val="24"/>
        </w:rPr>
      </w:pPr>
      <w:r w:rsidRPr="00E75F6C">
        <w:rPr>
          <w:rFonts w:ascii="Book Antiqua" w:hAnsi="Book Antiqua"/>
          <w:sz w:val="24"/>
          <w:szCs w:val="24"/>
        </w:rPr>
        <w:lastRenderedPageBreak/>
        <w:t>As mentioned above the use of anti-TNF</w:t>
      </w:r>
      <w:r w:rsidR="0055454E">
        <w:rPr>
          <w:rFonts w:ascii="Book Antiqua" w:hAnsi="Book Antiqua"/>
          <w:sz w:val="24"/>
          <w:szCs w:val="24"/>
        </w:rPr>
        <w:sym w:font="Symbol" w:char="F061"/>
      </w:r>
      <w:r w:rsidRPr="00E75F6C">
        <w:rPr>
          <w:rFonts w:ascii="Book Antiqua" w:hAnsi="Book Antiqua"/>
          <w:sz w:val="24"/>
          <w:szCs w:val="24"/>
        </w:rPr>
        <w:t xml:space="preserve"> trough and antibody levels, may be helpful </w:t>
      </w:r>
      <w:r w:rsidR="00E7004F" w:rsidRPr="00E75F6C">
        <w:rPr>
          <w:rFonts w:ascii="Book Antiqua" w:hAnsi="Book Antiqua"/>
          <w:sz w:val="24"/>
          <w:szCs w:val="24"/>
        </w:rPr>
        <w:t>in identifying loss of response.</w:t>
      </w:r>
      <w:r w:rsidR="00DC0331" w:rsidRPr="00E75F6C">
        <w:rPr>
          <w:rFonts w:ascii="Book Antiqua" w:hAnsi="Book Antiqua"/>
          <w:sz w:val="24"/>
          <w:szCs w:val="24"/>
        </w:rPr>
        <w:t xml:space="preserve"> Als</w:t>
      </w:r>
      <w:r w:rsidR="00E7004F" w:rsidRPr="00E75F6C">
        <w:rPr>
          <w:rFonts w:ascii="Book Antiqua" w:hAnsi="Book Antiqua"/>
          <w:sz w:val="24"/>
          <w:szCs w:val="24"/>
        </w:rPr>
        <w:t>o of interest is the potential to</w:t>
      </w:r>
      <w:r w:rsidRPr="00E75F6C">
        <w:rPr>
          <w:rFonts w:ascii="Book Antiqua" w:hAnsi="Book Antiqua"/>
          <w:sz w:val="24"/>
          <w:szCs w:val="24"/>
        </w:rPr>
        <w:t xml:space="preserve"> develop strategies to improve response rates. However there is a need to define optimal trough levels, in terms of </w:t>
      </w:r>
      <w:r w:rsidR="00B67645" w:rsidRPr="00E75F6C">
        <w:rPr>
          <w:rFonts w:ascii="Book Antiqua" w:hAnsi="Book Antiqua"/>
          <w:sz w:val="24"/>
          <w:szCs w:val="24"/>
        </w:rPr>
        <w:t>what’s</w:t>
      </w:r>
      <w:r w:rsidRPr="00E75F6C">
        <w:rPr>
          <w:rFonts w:ascii="Book Antiqua" w:hAnsi="Book Antiqua"/>
          <w:sz w:val="24"/>
          <w:szCs w:val="24"/>
        </w:rPr>
        <w:t xml:space="preserve"> required not only to </w:t>
      </w:r>
      <w:r w:rsidR="00B67645" w:rsidRPr="00E75F6C">
        <w:rPr>
          <w:rFonts w:ascii="Book Antiqua" w:hAnsi="Book Antiqua"/>
          <w:sz w:val="24"/>
          <w:szCs w:val="24"/>
        </w:rPr>
        <w:t>achieve</w:t>
      </w:r>
      <w:r w:rsidRPr="00E75F6C">
        <w:rPr>
          <w:rFonts w:ascii="Book Antiqua" w:hAnsi="Book Antiqua"/>
          <w:sz w:val="24"/>
          <w:szCs w:val="24"/>
        </w:rPr>
        <w:t xml:space="preserve"> clinical remission, but also </w:t>
      </w:r>
      <w:r w:rsidR="00B67645" w:rsidRPr="00E75F6C">
        <w:rPr>
          <w:rFonts w:ascii="Book Antiqua" w:hAnsi="Book Antiqua"/>
          <w:sz w:val="24"/>
          <w:szCs w:val="24"/>
        </w:rPr>
        <w:t>what’s</w:t>
      </w:r>
      <w:r w:rsidRPr="00E75F6C">
        <w:rPr>
          <w:rFonts w:ascii="Book Antiqua" w:hAnsi="Book Antiqua"/>
          <w:sz w:val="24"/>
          <w:szCs w:val="24"/>
        </w:rPr>
        <w:t xml:space="preserve"> </w:t>
      </w:r>
      <w:r w:rsidR="00E7004F" w:rsidRPr="00E75F6C">
        <w:rPr>
          <w:rFonts w:ascii="Book Antiqua" w:hAnsi="Book Antiqua"/>
          <w:sz w:val="24"/>
          <w:szCs w:val="24"/>
        </w:rPr>
        <w:t>necessary</w:t>
      </w:r>
      <w:r w:rsidRPr="00E75F6C">
        <w:rPr>
          <w:rFonts w:ascii="Book Antiqua" w:hAnsi="Book Antiqua"/>
          <w:sz w:val="24"/>
          <w:szCs w:val="24"/>
        </w:rPr>
        <w:t xml:space="preserve"> for </w:t>
      </w:r>
      <w:r w:rsidR="00B67645" w:rsidRPr="00E75F6C">
        <w:rPr>
          <w:rFonts w:ascii="Book Antiqua" w:hAnsi="Book Antiqua"/>
          <w:sz w:val="24"/>
          <w:szCs w:val="24"/>
        </w:rPr>
        <w:t>achieving</w:t>
      </w:r>
      <w:r w:rsidRPr="00E75F6C">
        <w:rPr>
          <w:rFonts w:ascii="Book Antiqua" w:hAnsi="Book Antiqua"/>
          <w:sz w:val="24"/>
          <w:szCs w:val="24"/>
        </w:rPr>
        <w:t xml:space="preserve"> mucos</w:t>
      </w:r>
      <w:r w:rsidR="001E1305" w:rsidRPr="00E75F6C">
        <w:rPr>
          <w:rFonts w:ascii="Book Antiqua" w:hAnsi="Book Antiqua"/>
          <w:sz w:val="24"/>
          <w:szCs w:val="24"/>
        </w:rPr>
        <w:t>al</w:t>
      </w:r>
      <w:r w:rsidRPr="00E75F6C">
        <w:rPr>
          <w:rFonts w:ascii="Book Antiqua" w:hAnsi="Book Antiqua"/>
          <w:sz w:val="24"/>
          <w:szCs w:val="24"/>
        </w:rPr>
        <w:t xml:space="preserve"> healing. As mentio</w:t>
      </w:r>
      <w:r w:rsidR="00E7004F" w:rsidRPr="00E75F6C">
        <w:rPr>
          <w:rFonts w:ascii="Book Antiqua" w:hAnsi="Book Antiqua"/>
          <w:sz w:val="24"/>
          <w:szCs w:val="24"/>
        </w:rPr>
        <w:t xml:space="preserve">ned the TAXIT study, looking at patients who have secondary loss of response to infliximab doses can be safely intensified aiming for a </w:t>
      </w:r>
      <w:r w:rsidRPr="00E75F6C">
        <w:rPr>
          <w:rFonts w:ascii="Book Antiqua" w:hAnsi="Book Antiqua"/>
          <w:sz w:val="24"/>
          <w:szCs w:val="24"/>
        </w:rPr>
        <w:t>trou</w:t>
      </w:r>
      <w:r w:rsidR="001E1305" w:rsidRPr="00E75F6C">
        <w:rPr>
          <w:rFonts w:ascii="Book Antiqua" w:hAnsi="Book Antiqua"/>
          <w:sz w:val="24"/>
          <w:szCs w:val="24"/>
        </w:rPr>
        <w:t xml:space="preserve">gh level of </w:t>
      </w:r>
      <w:r w:rsidR="00B67645" w:rsidRPr="00E75F6C">
        <w:rPr>
          <w:rFonts w:ascii="Book Antiqua" w:hAnsi="Book Antiqua"/>
          <w:sz w:val="24"/>
          <w:szCs w:val="24"/>
        </w:rPr>
        <w:t>between</w:t>
      </w:r>
      <w:r w:rsidR="001E1305" w:rsidRPr="00E75F6C">
        <w:rPr>
          <w:rFonts w:ascii="Book Antiqua" w:hAnsi="Book Antiqua"/>
          <w:sz w:val="24"/>
          <w:szCs w:val="24"/>
        </w:rPr>
        <w:t xml:space="preserve"> 3-7</w:t>
      </w:r>
      <w:r w:rsidR="00523E72">
        <w:rPr>
          <w:rFonts w:ascii="Book Antiqua" w:hAnsi="Book Antiqua" w:hint="eastAsia"/>
          <w:sz w:val="24"/>
          <w:szCs w:val="24"/>
          <w:lang w:eastAsia="zh-CN"/>
        </w:rPr>
        <w:t xml:space="preserve"> </w:t>
      </w:r>
      <w:r w:rsidR="00523E72">
        <w:rPr>
          <w:rFonts w:ascii="Book Antiqua" w:hAnsi="Book Antiqua"/>
          <w:sz w:val="24"/>
          <w:szCs w:val="24"/>
        </w:rPr>
        <w:sym w:font="Symbol" w:char="F06D"/>
      </w:r>
      <w:r w:rsidR="001E1305" w:rsidRPr="00E75F6C">
        <w:rPr>
          <w:rFonts w:ascii="Book Antiqua" w:hAnsi="Book Antiqua"/>
          <w:sz w:val="24"/>
          <w:szCs w:val="24"/>
        </w:rPr>
        <w:t>g/m</w:t>
      </w:r>
      <w:r w:rsidR="00523E72" w:rsidRPr="00E75F6C">
        <w:rPr>
          <w:rFonts w:ascii="Book Antiqua" w:hAnsi="Book Antiqua"/>
          <w:sz w:val="24"/>
          <w:szCs w:val="24"/>
        </w:rPr>
        <w:t>L</w:t>
      </w:r>
      <w:r w:rsidR="00523E72" w:rsidRPr="00523E72">
        <w:rPr>
          <w:rFonts w:ascii="Book Antiqua" w:hAnsi="Book Antiqua"/>
          <w:sz w:val="24"/>
          <w:szCs w:val="24"/>
          <w:vertAlign w:val="superscript"/>
        </w:rPr>
        <w:t>[</w:t>
      </w:r>
      <w:r w:rsidR="00C031C7">
        <w:rPr>
          <w:rFonts w:ascii="Book Antiqua" w:hAnsi="Book Antiqua"/>
          <w:sz w:val="24"/>
          <w:szCs w:val="24"/>
          <w:vertAlign w:val="superscript"/>
        </w:rPr>
        <w:t>14</w:t>
      </w:r>
      <w:r w:rsidR="00C031C7" w:rsidRPr="00C031C7">
        <w:rPr>
          <w:rFonts w:ascii="Book Antiqua" w:hAnsi="Book Antiqua"/>
          <w:sz w:val="24"/>
          <w:szCs w:val="24"/>
          <w:vertAlign w:val="superscript"/>
        </w:rPr>
        <w:t>]</w:t>
      </w:r>
      <w:r w:rsidR="00C031C7">
        <w:rPr>
          <w:rFonts w:ascii="Book Antiqua" w:hAnsi="Book Antiqua"/>
          <w:sz w:val="24"/>
          <w:szCs w:val="24"/>
          <w:vertAlign w:val="superscript"/>
        </w:rPr>
        <w:t xml:space="preserve"> </w:t>
      </w:r>
      <w:r w:rsidR="00C031C7">
        <w:rPr>
          <w:rFonts w:ascii="Book Antiqua" w:hAnsi="Book Antiqua"/>
          <w:sz w:val="24"/>
          <w:szCs w:val="24"/>
        </w:rPr>
        <w:t>.</w:t>
      </w:r>
    </w:p>
    <w:p w14:paraId="7376967A" w14:textId="748DD475" w:rsidR="005C4124" w:rsidRPr="00E75F6C" w:rsidRDefault="00B67645" w:rsidP="00523E72">
      <w:pPr>
        <w:spacing w:after="0" w:line="360" w:lineRule="auto"/>
        <w:ind w:firstLineChars="150" w:firstLine="360"/>
        <w:jc w:val="both"/>
        <w:rPr>
          <w:rFonts w:ascii="Book Antiqua" w:hAnsi="Book Antiqua"/>
          <w:sz w:val="24"/>
          <w:szCs w:val="24"/>
        </w:rPr>
      </w:pPr>
      <w:r w:rsidRPr="00E75F6C">
        <w:rPr>
          <w:rFonts w:ascii="Book Antiqua" w:hAnsi="Book Antiqua"/>
          <w:sz w:val="24"/>
          <w:szCs w:val="24"/>
        </w:rPr>
        <w:t>Similarly</w:t>
      </w:r>
      <w:r w:rsidR="00B53315" w:rsidRPr="00E75F6C">
        <w:rPr>
          <w:rFonts w:ascii="Book Antiqua" w:hAnsi="Book Antiqua"/>
          <w:sz w:val="24"/>
          <w:szCs w:val="24"/>
        </w:rPr>
        <w:t xml:space="preserve"> </w:t>
      </w:r>
      <w:proofErr w:type="spellStart"/>
      <w:r w:rsidR="00B53315" w:rsidRPr="00E75F6C">
        <w:rPr>
          <w:rFonts w:ascii="Book Antiqua" w:hAnsi="Book Antiqua"/>
          <w:sz w:val="24"/>
          <w:szCs w:val="24"/>
        </w:rPr>
        <w:t>Bortlik</w:t>
      </w:r>
      <w:proofErr w:type="spellEnd"/>
      <w:r w:rsidR="00B53315" w:rsidRPr="00E75F6C">
        <w:rPr>
          <w:rFonts w:ascii="Book Antiqua" w:hAnsi="Book Antiqua"/>
          <w:sz w:val="24"/>
          <w:szCs w:val="24"/>
        </w:rPr>
        <w:t xml:space="preserve"> </w:t>
      </w:r>
      <w:r w:rsidR="00B53315" w:rsidRPr="00523E72">
        <w:rPr>
          <w:rFonts w:ascii="Book Antiqua" w:hAnsi="Book Antiqua"/>
          <w:i/>
          <w:sz w:val="24"/>
          <w:szCs w:val="24"/>
        </w:rPr>
        <w:t>et al</w:t>
      </w:r>
      <w:r w:rsidR="00523E72" w:rsidRPr="00523E72">
        <w:rPr>
          <w:rFonts w:ascii="Book Antiqua" w:hAnsi="Book Antiqua"/>
          <w:sz w:val="24"/>
          <w:szCs w:val="24"/>
          <w:vertAlign w:val="superscript"/>
        </w:rPr>
        <w:t>[</w:t>
      </w:r>
      <w:r w:rsidR="00523E72" w:rsidRPr="00C031C7">
        <w:rPr>
          <w:rFonts w:ascii="Book Antiqua" w:hAnsi="Book Antiqua"/>
          <w:sz w:val="24"/>
          <w:szCs w:val="24"/>
          <w:vertAlign w:val="superscript"/>
        </w:rPr>
        <w:t>3</w:t>
      </w:r>
      <w:r w:rsidR="00523E72">
        <w:rPr>
          <w:rFonts w:ascii="Book Antiqua" w:hAnsi="Book Antiqua"/>
          <w:sz w:val="24"/>
          <w:szCs w:val="24"/>
          <w:vertAlign w:val="superscript"/>
        </w:rPr>
        <w:t>9</w:t>
      </w:r>
      <w:r w:rsidR="00523E72" w:rsidRPr="00C031C7">
        <w:rPr>
          <w:rFonts w:ascii="Book Antiqua" w:hAnsi="Book Antiqua"/>
          <w:sz w:val="24"/>
          <w:szCs w:val="24"/>
          <w:vertAlign w:val="superscript"/>
        </w:rPr>
        <w:t>]</w:t>
      </w:r>
      <w:r w:rsidR="00B53315" w:rsidRPr="00E75F6C">
        <w:rPr>
          <w:rFonts w:ascii="Book Antiqua" w:hAnsi="Book Antiqua"/>
          <w:sz w:val="24"/>
          <w:szCs w:val="24"/>
        </w:rPr>
        <w:t xml:space="preserve"> showed that an infliximab trough of greater than 3</w:t>
      </w:r>
      <w:r w:rsidR="00523E72">
        <w:rPr>
          <w:rFonts w:ascii="Book Antiqua" w:hAnsi="Book Antiqua" w:hint="eastAsia"/>
          <w:sz w:val="24"/>
          <w:szCs w:val="24"/>
          <w:lang w:eastAsia="zh-CN"/>
        </w:rPr>
        <w:t xml:space="preserve">  </w:t>
      </w:r>
      <w:r w:rsidR="00523E72">
        <w:rPr>
          <w:rFonts w:ascii="Book Antiqua" w:hAnsi="Book Antiqua"/>
          <w:sz w:val="24"/>
          <w:szCs w:val="24"/>
        </w:rPr>
        <w:sym w:font="Symbol" w:char="F06D"/>
      </w:r>
      <w:r w:rsidR="00523E72" w:rsidRPr="00E75F6C">
        <w:rPr>
          <w:rFonts w:ascii="Book Antiqua" w:hAnsi="Book Antiqua"/>
          <w:sz w:val="24"/>
          <w:szCs w:val="24"/>
        </w:rPr>
        <w:t>g/mL</w:t>
      </w:r>
      <w:r w:rsidR="00B53315" w:rsidRPr="00E75F6C">
        <w:rPr>
          <w:rFonts w:ascii="Book Antiqua" w:hAnsi="Book Antiqua"/>
          <w:sz w:val="24"/>
          <w:szCs w:val="24"/>
        </w:rPr>
        <w:t xml:space="preserve">, at the start of a </w:t>
      </w:r>
      <w:r w:rsidR="0039421A" w:rsidRPr="00E75F6C">
        <w:rPr>
          <w:rFonts w:ascii="Book Antiqua" w:hAnsi="Book Antiqua"/>
          <w:sz w:val="24"/>
          <w:szCs w:val="24"/>
        </w:rPr>
        <w:t>maintenance</w:t>
      </w:r>
      <w:r w:rsidR="00B53315" w:rsidRPr="00E75F6C">
        <w:rPr>
          <w:rFonts w:ascii="Book Antiqua" w:hAnsi="Book Antiqua"/>
          <w:sz w:val="24"/>
          <w:szCs w:val="24"/>
        </w:rPr>
        <w:t xml:space="preserve"> regime was associated with sustained c</w:t>
      </w:r>
      <w:r w:rsidR="0039421A" w:rsidRPr="00E75F6C">
        <w:rPr>
          <w:rFonts w:ascii="Book Antiqua" w:hAnsi="Book Antiqua"/>
          <w:sz w:val="24"/>
          <w:szCs w:val="24"/>
        </w:rPr>
        <w:t xml:space="preserve">linical response to infliximab. </w:t>
      </w:r>
      <w:r w:rsidR="00EC3A47" w:rsidRPr="00E75F6C">
        <w:rPr>
          <w:rFonts w:ascii="Book Antiqua" w:hAnsi="Book Antiqua"/>
          <w:sz w:val="24"/>
          <w:szCs w:val="24"/>
        </w:rPr>
        <w:t xml:space="preserve">A recent meta-analysis by </w:t>
      </w:r>
      <w:r w:rsidR="00EC3A47" w:rsidRPr="007B6D6A">
        <w:rPr>
          <w:rFonts w:ascii="Book Antiqua" w:hAnsi="Book Antiqua"/>
          <w:sz w:val="24"/>
          <w:szCs w:val="24"/>
        </w:rPr>
        <w:t>Moore</w:t>
      </w:r>
      <w:r w:rsidR="00EC3A47" w:rsidRPr="007B6D6A">
        <w:rPr>
          <w:rFonts w:ascii="Book Antiqua" w:hAnsi="Book Antiqua"/>
          <w:i/>
          <w:sz w:val="24"/>
          <w:szCs w:val="24"/>
        </w:rPr>
        <w:t xml:space="preserve"> et al</w:t>
      </w:r>
      <w:r w:rsidR="00523E72" w:rsidRPr="007B6D6A">
        <w:rPr>
          <w:rFonts w:ascii="Book Antiqua" w:hAnsi="Book Antiqua"/>
          <w:sz w:val="24"/>
          <w:szCs w:val="24"/>
          <w:vertAlign w:val="superscript"/>
        </w:rPr>
        <w:t>[60]</w:t>
      </w:r>
      <w:r w:rsidR="00EC3A47" w:rsidRPr="00E75F6C">
        <w:rPr>
          <w:rFonts w:ascii="Book Antiqua" w:hAnsi="Book Antiqua"/>
          <w:sz w:val="24"/>
          <w:szCs w:val="24"/>
        </w:rPr>
        <w:t xml:space="preserve"> has shed further light on optimal targets for infliximab. They found twelve studies reported IFX levels in a manner suitable for determining effect estimates. During maintenance therapy, patients in clinical remission had significantly higher mean trough IFX levels than</w:t>
      </w:r>
      <w:r w:rsidR="00523E72">
        <w:rPr>
          <w:rFonts w:ascii="Book Antiqua" w:hAnsi="Book Antiqua"/>
          <w:sz w:val="24"/>
          <w:szCs w:val="24"/>
        </w:rPr>
        <w:t xml:space="preserve"> patients not in remission; 3.1</w:t>
      </w:r>
      <w:r w:rsidR="00523E72">
        <w:rPr>
          <w:rFonts w:ascii="Book Antiqua" w:hAnsi="Book Antiqua" w:hint="eastAsia"/>
          <w:sz w:val="24"/>
          <w:szCs w:val="24"/>
          <w:lang w:eastAsia="zh-CN"/>
        </w:rPr>
        <w:t xml:space="preserve"> </w:t>
      </w:r>
      <w:r w:rsidR="00523E72">
        <w:rPr>
          <w:rFonts w:ascii="Book Antiqua" w:hAnsi="Book Antiqua"/>
          <w:sz w:val="24"/>
          <w:szCs w:val="24"/>
        </w:rPr>
        <w:sym w:font="Symbol" w:char="F06D"/>
      </w:r>
      <w:r w:rsidR="00523E72" w:rsidRPr="00E75F6C">
        <w:rPr>
          <w:rFonts w:ascii="Book Antiqua" w:hAnsi="Book Antiqua"/>
          <w:sz w:val="24"/>
          <w:szCs w:val="24"/>
        </w:rPr>
        <w:t xml:space="preserve">g/mL </w:t>
      </w:r>
      <w:proofErr w:type="spellStart"/>
      <w:r w:rsidR="00523E72" w:rsidRPr="00523E72">
        <w:rPr>
          <w:rFonts w:ascii="Book Antiqua" w:hAnsi="Book Antiqua" w:hint="eastAsia"/>
          <w:i/>
          <w:sz w:val="24"/>
          <w:szCs w:val="24"/>
          <w:lang w:eastAsia="zh-CN"/>
        </w:rPr>
        <w:t>vs</w:t>
      </w:r>
      <w:proofErr w:type="spellEnd"/>
      <w:r w:rsidR="00EC3A47" w:rsidRPr="00E75F6C">
        <w:rPr>
          <w:rFonts w:ascii="Book Antiqua" w:hAnsi="Book Antiqua"/>
          <w:sz w:val="24"/>
          <w:szCs w:val="24"/>
        </w:rPr>
        <w:t xml:space="preserve"> 0.9 </w:t>
      </w:r>
      <w:r w:rsidR="00523E72">
        <w:rPr>
          <w:rFonts w:ascii="Book Antiqua" w:hAnsi="Book Antiqua"/>
          <w:sz w:val="24"/>
          <w:szCs w:val="24"/>
        </w:rPr>
        <w:sym w:font="Symbol" w:char="F06D"/>
      </w:r>
      <w:r w:rsidR="00523E72" w:rsidRPr="00E75F6C">
        <w:rPr>
          <w:rFonts w:ascii="Book Antiqua" w:hAnsi="Book Antiqua"/>
          <w:sz w:val="24"/>
          <w:szCs w:val="24"/>
        </w:rPr>
        <w:t>g/</w:t>
      </w:r>
      <w:proofErr w:type="spellStart"/>
      <w:r w:rsidR="00523E72" w:rsidRPr="00E75F6C">
        <w:rPr>
          <w:rFonts w:ascii="Book Antiqua" w:hAnsi="Book Antiqua"/>
          <w:sz w:val="24"/>
          <w:szCs w:val="24"/>
        </w:rPr>
        <w:t>mL</w:t>
      </w:r>
      <w:r w:rsidR="00EC3A47" w:rsidRPr="00E75F6C">
        <w:rPr>
          <w:rFonts w:ascii="Book Antiqua" w:hAnsi="Book Antiqua"/>
          <w:sz w:val="24"/>
          <w:szCs w:val="24"/>
        </w:rPr>
        <w:t>.</w:t>
      </w:r>
      <w:proofErr w:type="spellEnd"/>
      <w:r w:rsidR="00F156F8">
        <w:rPr>
          <w:rFonts w:ascii="Book Antiqua" w:hAnsi="Book Antiqua"/>
          <w:sz w:val="24"/>
          <w:szCs w:val="24"/>
        </w:rPr>
        <w:t xml:space="preserve"> Patients with an IFX level &gt; 2</w:t>
      </w:r>
      <w:r w:rsidR="00523E72">
        <w:rPr>
          <w:rFonts w:ascii="Book Antiqua" w:hAnsi="Book Antiqua" w:hint="eastAsia"/>
          <w:sz w:val="24"/>
          <w:szCs w:val="24"/>
          <w:lang w:eastAsia="zh-CN"/>
        </w:rPr>
        <w:t xml:space="preserve"> </w:t>
      </w:r>
      <w:r w:rsidR="00523E72">
        <w:rPr>
          <w:rFonts w:ascii="Book Antiqua" w:hAnsi="Book Antiqua"/>
          <w:sz w:val="24"/>
          <w:szCs w:val="24"/>
        </w:rPr>
        <w:sym w:font="Symbol" w:char="F06D"/>
      </w:r>
      <w:r w:rsidR="00523E72" w:rsidRPr="00E75F6C">
        <w:rPr>
          <w:rFonts w:ascii="Book Antiqua" w:hAnsi="Book Antiqua"/>
          <w:sz w:val="24"/>
          <w:szCs w:val="24"/>
        </w:rPr>
        <w:t>g/mL</w:t>
      </w:r>
      <w:r w:rsidR="00EC3A47" w:rsidRPr="00E75F6C">
        <w:rPr>
          <w:rFonts w:ascii="Book Antiqua" w:hAnsi="Book Antiqua"/>
          <w:sz w:val="24"/>
          <w:szCs w:val="24"/>
        </w:rPr>
        <w:t xml:space="preserve"> were more likely to be in clinical remission (RR </w:t>
      </w:r>
      <w:r w:rsidR="00523E72">
        <w:rPr>
          <w:rFonts w:ascii="Book Antiqua" w:hAnsi="Book Antiqua" w:hint="eastAsia"/>
          <w:sz w:val="24"/>
          <w:szCs w:val="24"/>
          <w:lang w:eastAsia="zh-CN"/>
        </w:rPr>
        <w:t xml:space="preserve">= </w:t>
      </w:r>
      <w:r w:rsidR="00523E72">
        <w:rPr>
          <w:rFonts w:ascii="Book Antiqua" w:hAnsi="Book Antiqua"/>
          <w:sz w:val="24"/>
          <w:szCs w:val="24"/>
        </w:rPr>
        <w:t>2.9, 95%</w:t>
      </w:r>
      <w:r w:rsidR="00EC3A47" w:rsidRPr="00E75F6C">
        <w:rPr>
          <w:rFonts w:ascii="Book Antiqua" w:hAnsi="Book Antiqua"/>
          <w:sz w:val="24"/>
          <w:szCs w:val="24"/>
        </w:rPr>
        <w:t>CI</w:t>
      </w:r>
      <w:r w:rsidR="00523E72">
        <w:rPr>
          <w:rFonts w:ascii="Book Antiqua" w:hAnsi="Book Antiqua" w:hint="eastAsia"/>
          <w:sz w:val="24"/>
          <w:szCs w:val="24"/>
          <w:lang w:eastAsia="zh-CN"/>
        </w:rPr>
        <w:t>:</w:t>
      </w:r>
      <w:r w:rsidR="00EC3A47" w:rsidRPr="00E75F6C">
        <w:rPr>
          <w:rFonts w:ascii="Book Antiqua" w:hAnsi="Book Antiqua"/>
          <w:sz w:val="24"/>
          <w:szCs w:val="24"/>
        </w:rPr>
        <w:t xml:space="preserve"> 1.8-4.7, </w:t>
      </w:r>
      <w:r w:rsidR="00523E72" w:rsidRPr="00523E72">
        <w:rPr>
          <w:rFonts w:ascii="Book Antiqua" w:hAnsi="Book Antiqua"/>
          <w:i/>
          <w:sz w:val="24"/>
          <w:szCs w:val="24"/>
        </w:rPr>
        <w:t>P</w:t>
      </w:r>
      <w:r w:rsidR="00523E72">
        <w:rPr>
          <w:rFonts w:ascii="Book Antiqua" w:hAnsi="Book Antiqua" w:hint="eastAsia"/>
          <w:sz w:val="24"/>
          <w:szCs w:val="24"/>
          <w:lang w:eastAsia="zh-CN"/>
        </w:rPr>
        <w:t xml:space="preserve"> </w:t>
      </w:r>
      <w:r w:rsidR="00EC3A47" w:rsidRPr="00E75F6C">
        <w:rPr>
          <w:rFonts w:ascii="Book Antiqua" w:hAnsi="Book Antiqua"/>
          <w:sz w:val="24"/>
          <w:szCs w:val="24"/>
        </w:rPr>
        <w:t>&lt;</w:t>
      </w:r>
      <w:r w:rsidR="00523E72">
        <w:rPr>
          <w:rFonts w:ascii="Book Antiqua" w:hAnsi="Book Antiqua" w:hint="eastAsia"/>
          <w:sz w:val="24"/>
          <w:szCs w:val="24"/>
          <w:lang w:eastAsia="zh-CN"/>
        </w:rPr>
        <w:t xml:space="preserve"> </w:t>
      </w:r>
      <w:r w:rsidR="00EC3A47" w:rsidRPr="00E75F6C">
        <w:rPr>
          <w:rFonts w:ascii="Book Antiqua" w:hAnsi="Book Antiqua"/>
          <w:sz w:val="24"/>
          <w:szCs w:val="24"/>
        </w:rPr>
        <w:t xml:space="preserve">0.001), or achieve endoscopic remission (RR </w:t>
      </w:r>
      <w:r w:rsidR="00523E72">
        <w:rPr>
          <w:rFonts w:ascii="Book Antiqua" w:hAnsi="Book Antiqua" w:hint="eastAsia"/>
          <w:sz w:val="24"/>
          <w:szCs w:val="24"/>
          <w:lang w:eastAsia="zh-CN"/>
        </w:rPr>
        <w:t xml:space="preserve">= </w:t>
      </w:r>
      <w:r w:rsidR="00523E72">
        <w:rPr>
          <w:rFonts w:ascii="Book Antiqua" w:hAnsi="Book Antiqua"/>
          <w:sz w:val="24"/>
          <w:szCs w:val="24"/>
        </w:rPr>
        <w:t>3, 95%</w:t>
      </w:r>
      <w:r w:rsidR="00EC3A47" w:rsidRPr="00E75F6C">
        <w:rPr>
          <w:rFonts w:ascii="Book Antiqua" w:hAnsi="Book Antiqua"/>
          <w:sz w:val="24"/>
          <w:szCs w:val="24"/>
        </w:rPr>
        <w:t>CI</w:t>
      </w:r>
      <w:r w:rsidR="00523E72">
        <w:rPr>
          <w:rFonts w:ascii="Book Antiqua" w:hAnsi="Book Antiqua" w:hint="eastAsia"/>
          <w:sz w:val="24"/>
          <w:szCs w:val="24"/>
          <w:lang w:eastAsia="zh-CN"/>
        </w:rPr>
        <w:t>:</w:t>
      </w:r>
      <w:r w:rsidR="00523E72">
        <w:rPr>
          <w:rFonts w:ascii="Book Antiqua" w:hAnsi="Book Antiqua"/>
          <w:sz w:val="24"/>
          <w:szCs w:val="24"/>
        </w:rPr>
        <w:t xml:space="preserve"> 1.4</w:t>
      </w:r>
      <w:r w:rsidR="00EC3A47" w:rsidRPr="00E75F6C">
        <w:rPr>
          <w:rFonts w:ascii="Book Antiqua" w:hAnsi="Book Antiqua"/>
          <w:sz w:val="24"/>
          <w:szCs w:val="24"/>
        </w:rPr>
        <w:t xml:space="preserve">-6.5, </w:t>
      </w:r>
      <w:r w:rsidR="00523E72" w:rsidRPr="00523E72">
        <w:rPr>
          <w:rFonts w:ascii="Book Antiqua" w:hAnsi="Book Antiqua"/>
          <w:i/>
          <w:sz w:val="24"/>
          <w:szCs w:val="24"/>
        </w:rPr>
        <w:t>P</w:t>
      </w:r>
      <w:r w:rsidR="00523E72" w:rsidRPr="00E75F6C">
        <w:rPr>
          <w:rFonts w:ascii="Book Antiqua" w:hAnsi="Book Antiqua"/>
          <w:sz w:val="24"/>
          <w:szCs w:val="24"/>
        </w:rPr>
        <w:t xml:space="preserve"> </w:t>
      </w:r>
      <w:r w:rsidR="00EC3A47" w:rsidRPr="00E75F6C">
        <w:rPr>
          <w:rFonts w:ascii="Book Antiqua" w:hAnsi="Book Antiqua"/>
          <w:sz w:val="24"/>
          <w:szCs w:val="24"/>
        </w:rPr>
        <w:t>=</w:t>
      </w:r>
      <w:r w:rsidR="00523E72">
        <w:rPr>
          <w:rFonts w:ascii="Book Antiqua" w:hAnsi="Book Antiqua" w:hint="eastAsia"/>
          <w:sz w:val="24"/>
          <w:szCs w:val="24"/>
          <w:lang w:eastAsia="zh-CN"/>
        </w:rPr>
        <w:t xml:space="preserve"> </w:t>
      </w:r>
      <w:r w:rsidR="00EC3A47" w:rsidRPr="00E75F6C">
        <w:rPr>
          <w:rFonts w:ascii="Book Antiqua" w:hAnsi="Book Antiqua"/>
          <w:sz w:val="24"/>
          <w:szCs w:val="24"/>
        </w:rPr>
        <w:t xml:space="preserve">0.004) than patients with levels &lt; 2 </w:t>
      </w:r>
      <w:proofErr w:type="spellStart"/>
      <w:r w:rsidR="00EC3A47" w:rsidRPr="00E75F6C">
        <w:rPr>
          <w:rFonts w:ascii="Book Antiqua" w:hAnsi="Book Antiqua"/>
          <w:sz w:val="24"/>
          <w:szCs w:val="24"/>
        </w:rPr>
        <w:t>μg</w:t>
      </w:r>
      <w:proofErr w:type="spellEnd"/>
      <w:r w:rsidR="00EC3A47" w:rsidRPr="00E75F6C">
        <w:rPr>
          <w:rFonts w:ascii="Book Antiqua" w:hAnsi="Book Antiqua"/>
          <w:sz w:val="24"/>
          <w:szCs w:val="24"/>
        </w:rPr>
        <w:t>/</w:t>
      </w:r>
      <w:proofErr w:type="spellStart"/>
      <w:r w:rsidR="00EC3A47" w:rsidRPr="00E75F6C">
        <w:rPr>
          <w:rFonts w:ascii="Book Antiqua" w:hAnsi="Book Antiqua"/>
          <w:sz w:val="24"/>
          <w:szCs w:val="24"/>
        </w:rPr>
        <w:t>m</w:t>
      </w:r>
      <w:r w:rsidR="00523E72" w:rsidRPr="00E75F6C">
        <w:rPr>
          <w:rFonts w:ascii="Book Antiqua" w:hAnsi="Book Antiqua"/>
          <w:sz w:val="24"/>
          <w:szCs w:val="24"/>
        </w:rPr>
        <w:t>L</w:t>
      </w:r>
      <w:r w:rsidR="00EC3A47" w:rsidRPr="00E75F6C">
        <w:rPr>
          <w:rFonts w:ascii="Book Antiqua" w:hAnsi="Book Antiqua"/>
          <w:sz w:val="24"/>
          <w:szCs w:val="24"/>
        </w:rPr>
        <w:t>.</w:t>
      </w:r>
      <w:proofErr w:type="spellEnd"/>
      <w:r w:rsidR="00EC3A47" w:rsidRPr="00E75F6C">
        <w:rPr>
          <w:rFonts w:ascii="Book Antiqua" w:hAnsi="Book Antiqua"/>
          <w:sz w:val="24"/>
          <w:szCs w:val="24"/>
        </w:rPr>
        <w:t xml:space="preserve"> </w:t>
      </w:r>
    </w:p>
    <w:p w14:paraId="2777C8FF" w14:textId="6146F090" w:rsidR="00466F9D" w:rsidRPr="00E75F6C" w:rsidRDefault="007040D1" w:rsidP="00523E72">
      <w:pPr>
        <w:spacing w:after="0" w:line="360" w:lineRule="auto"/>
        <w:ind w:firstLineChars="150" w:firstLine="360"/>
        <w:jc w:val="both"/>
        <w:rPr>
          <w:rFonts w:ascii="Book Antiqua" w:hAnsi="Book Antiqua"/>
          <w:sz w:val="24"/>
          <w:szCs w:val="24"/>
        </w:rPr>
      </w:pPr>
      <w:r w:rsidRPr="00E75F6C">
        <w:rPr>
          <w:rFonts w:ascii="Book Antiqua" w:hAnsi="Book Antiqua"/>
          <w:sz w:val="24"/>
          <w:szCs w:val="24"/>
        </w:rPr>
        <w:t>In addition e</w:t>
      </w:r>
      <w:r w:rsidR="00B53315" w:rsidRPr="00E75F6C">
        <w:rPr>
          <w:rFonts w:ascii="Book Antiqua" w:hAnsi="Book Antiqua"/>
          <w:sz w:val="24"/>
          <w:szCs w:val="24"/>
        </w:rPr>
        <w:t xml:space="preserve">vidence is emerging that in order to achieve the more stringent target of mucosal healing, higher trough levels are essential. </w:t>
      </w:r>
      <w:r w:rsidR="00202189" w:rsidRPr="00E75F6C">
        <w:rPr>
          <w:rFonts w:ascii="Book Antiqua" w:hAnsi="Book Antiqua"/>
          <w:sz w:val="24"/>
          <w:szCs w:val="24"/>
        </w:rPr>
        <w:t xml:space="preserve"> Table </w:t>
      </w:r>
      <w:r w:rsidR="007F04D1">
        <w:rPr>
          <w:rFonts w:ascii="Book Antiqua" w:hAnsi="Book Antiqua"/>
          <w:sz w:val="24"/>
          <w:szCs w:val="24"/>
        </w:rPr>
        <w:t>6</w:t>
      </w:r>
      <w:r w:rsidR="00202189" w:rsidRPr="00E75F6C">
        <w:rPr>
          <w:rFonts w:ascii="Book Antiqua" w:hAnsi="Book Antiqua"/>
          <w:sz w:val="24"/>
          <w:szCs w:val="24"/>
        </w:rPr>
        <w:t xml:space="preserve"> illustrates the data for infliximab trough levels, and mucosal healing, and table </w:t>
      </w:r>
      <w:r w:rsidR="007F04D1">
        <w:rPr>
          <w:rFonts w:ascii="Book Antiqua" w:hAnsi="Book Antiqua"/>
          <w:sz w:val="24"/>
          <w:szCs w:val="24"/>
        </w:rPr>
        <w:t>7</w:t>
      </w:r>
      <w:r w:rsidR="00202189" w:rsidRPr="00E75F6C">
        <w:rPr>
          <w:rFonts w:ascii="Book Antiqua" w:hAnsi="Book Antiqua"/>
          <w:sz w:val="24"/>
          <w:szCs w:val="24"/>
        </w:rPr>
        <w:t xml:space="preserve">, the data for </w:t>
      </w:r>
      <w:proofErr w:type="spellStart"/>
      <w:r w:rsidR="00202189" w:rsidRPr="00E75F6C">
        <w:rPr>
          <w:rFonts w:ascii="Book Antiqua" w:hAnsi="Book Antiqua"/>
          <w:sz w:val="24"/>
          <w:szCs w:val="24"/>
        </w:rPr>
        <w:t>adalimumab</w:t>
      </w:r>
      <w:proofErr w:type="spellEnd"/>
      <w:r w:rsidR="00202189" w:rsidRPr="00E75F6C">
        <w:rPr>
          <w:rFonts w:ascii="Book Antiqua" w:hAnsi="Book Antiqua"/>
          <w:sz w:val="24"/>
          <w:szCs w:val="24"/>
        </w:rPr>
        <w:t xml:space="preserve">. </w:t>
      </w:r>
      <w:r w:rsidR="00B53315" w:rsidRPr="00E75F6C">
        <w:rPr>
          <w:rFonts w:ascii="Book Antiqua" w:hAnsi="Book Antiqua"/>
          <w:sz w:val="24"/>
          <w:szCs w:val="24"/>
        </w:rPr>
        <w:t>In a French study looking at response to infliximab dose intensification in patients loosing response, the only factor associated with a gre</w:t>
      </w:r>
      <w:r w:rsidR="0039421A" w:rsidRPr="00E75F6C">
        <w:rPr>
          <w:rFonts w:ascii="Book Antiqua" w:hAnsi="Book Antiqua"/>
          <w:sz w:val="24"/>
          <w:szCs w:val="24"/>
        </w:rPr>
        <w:t>a</w:t>
      </w:r>
      <w:r w:rsidR="00B53315" w:rsidRPr="00E75F6C">
        <w:rPr>
          <w:rFonts w:ascii="Book Antiqua" w:hAnsi="Book Antiqua"/>
          <w:sz w:val="24"/>
          <w:szCs w:val="24"/>
        </w:rPr>
        <w:t xml:space="preserve">ter likelihood of mucosal healing, was an </w:t>
      </w:r>
      <w:r w:rsidR="00BF64EF" w:rsidRPr="00E75F6C">
        <w:rPr>
          <w:rFonts w:ascii="Book Antiqua" w:hAnsi="Book Antiqua"/>
          <w:sz w:val="24"/>
          <w:szCs w:val="24"/>
        </w:rPr>
        <w:t>increase in drug trough levels</w:t>
      </w:r>
      <w:r w:rsidR="00523E72" w:rsidRPr="00523E72">
        <w:rPr>
          <w:rFonts w:ascii="Book Antiqua" w:hAnsi="Book Antiqua"/>
          <w:sz w:val="24"/>
          <w:szCs w:val="24"/>
          <w:vertAlign w:val="superscript"/>
        </w:rPr>
        <w:t>[</w:t>
      </w:r>
      <w:r w:rsidR="00C031C7">
        <w:rPr>
          <w:rFonts w:ascii="Book Antiqua" w:hAnsi="Book Antiqua"/>
          <w:sz w:val="24"/>
          <w:szCs w:val="24"/>
          <w:vertAlign w:val="superscript"/>
        </w:rPr>
        <w:t>61</w:t>
      </w:r>
      <w:r w:rsidR="00C031C7" w:rsidRPr="00C031C7">
        <w:rPr>
          <w:rFonts w:ascii="Book Antiqua" w:hAnsi="Book Antiqua"/>
          <w:sz w:val="24"/>
          <w:szCs w:val="24"/>
          <w:vertAlign w:val="superscript"/>
        </w:rPr>
        <w:t>]</w:t>
      </w:r>
      <w:r w:rsidR="00B53315" w:rsidRPr="00E75F6C">
        <w:rPr>
          <w:rFonts w:ascii="Book Antiqua" w:hAnsi="Book Antiqua"/>
          <w:sz w:val="24"/>
          <w:szCs w:val="24"/>
        </w:rPr>
        <w:t xml:space="preserve">. </w:t>
      </w:r>
      <w:r w:rsidR="00BF64EF" w:rsidRPr="00E75F6C">
        <w:rPr>
          <w:rFonts w:ascii="Book Antiqua" w:hAnsi="Book Antiqua"/>
          <w:sz w:val="24"/>
          <w:szCs w:val="24"/>
        </w:rPr>
        <w:t xml:space="preserve"> A recent meta-analysis by Barnes </w:t>
      </w:r>
      <w:r w:rsidR="00BF64EF" w:rsidRPr="00523E72">
        <w:rPr>
          <w:rFonts w:ascii="Book Antiqua" w:hAnsi="Book Antiqua"/>
          <w:i/>
          <w:sz w:val="24"/>
          <w:szCs w:val="24"/>
        </w:rPr>
        <w:t>et al</w:t>
      </w:r>
      <w:r w:rsidR="00523E72" w:rsidRPr="00523E72">
        <w:rPr>
          <w:rFonts w:ascii="Book Antiqua" w:hAnsi="Book Antiqua"/>
          <w:sz w:val="24"/>
          <w:szCs w:val="24"/>
          <w:vertAlign w:val="superscript"/>
        </w:rPr>
        <w:t>[</w:t>
      </w:r>
      <w:r w:rsidR="00523E72">
        <w:rPr>
          <w:rFonts w:ascii="Book Antiqua" w:hAnsi="Book Antiqua"/>
          <w:sz w:val="24"/>
          <w:szCs w:val="24"/>
          <w:vertAlign w:val="superscript"/>
        </w:rPr>
        <w:t>6</w:t>
      </w:r>
      <w:r w:rsidR="00523E72" w:rsidRPr="00496750">
        <w:rPr>
          <w:rFonts w:ascii="Book Antiqua" w:hAnsi="Book Antiqua"/>
          <w:sz w:val="24"/>
          <w:szCs w:val="24"/>
          <w:vertAlign w:val="superscript"/>
        </w:rPr>
        <w:t>2]</w:t>
      </w:r>
      <w:r w:rsidR="00BF64EF" w:rsidRPr="00E75F6C">
        <w:rPr>
          <w:rFonts w:ascii="Book Antiqua" w:hAnsi="Book Antiqua"/>
          <w:sz w:val="24"/>
          <w:szCs w:val="24"/>
        </w:rPr>
        <w:t xml:space="preserve"> showed that among patients with IBD, anti-TNF</w:t>
      </w:r>
      <w:r w:rsidR="0055492C">
        <w:rPr>
          <w:rFonts w:ascii="Book Antiqua" w:hAnsi="Book Antiqua"/>
          <w:sz w:val="24"/>
          <w:szCs w:val="24"/>
        </w:rPr>
        <w:sym w:font="Symbol" w:char="F061"/>
      </w:r>
      <w:r w:rsidR="00BF64EF" w:rsidRPr="00E75F6C">
        <w:rPr>
          <w:rFonts w:ascii="Book Antiqua" w:hAnsi="Book Antiqua"/>
          <w:sz w:val="24"/>
          <w:szCs w:val="24"/>
        </w:rPr>
        <w:t xml:space="preserve"> trough levels above pre</w:t>
      </w:r>
      <w:r w:rsidR="00B67645" w:rsidRPr="00E75F6C">
        <w:rPr>
          <w:rFonts w:ascii="Book Antiqua" w:hAnsi="Book Antiqua"/>
          <w:sz w:val="24"/>
          <w:szCs w:val="24"/>
        </w:rPr>
        <w:t>-</w:t>
      </w:r>
      <w:r w:rsidR="00BF64EF" w:rsidRPr="00E75F6C">
        <w:rPr>
          <w:rFonts w:ascii="Book Antiqua" w:hAnsi="Book Antiqua"/>
          <w:sz w:val="24"/>
          <w:szCs w:val="24"/>
        </w:rPr>
        <w:t>specified values were associated with increased rates of mucosal heali</w:t>
      </w:r>
      <w:r w:rsidR="00E06DEE" w:rsidRPr="00E75F6C">
        <w:rPr>
          <w:rFonts w:ascii="Book Antiqua" w:hAnsi="Book Antiqua"/>
          <w:sz w:val="24"/>
          <w:szCs w:val="24"/>
        </w:rPr>
        <w:t>ng (OR</w:t>
      </w:r>
      <w:r w:rsidR="00523E72">
        <w:rPr>
          <w:rFonts w:ascii="Book Antiqua" w:hAnsi="Book Antiqua" w:hint="eastAsia"/>
          <w:sz w:val="24"/>
          <w:szCs w:val="24"/>
          <w:lang w:eastAsia="zh-CN"/>
        </w:rPr>
        <w:t xml:space="preserve"> </w:t>
      </w:r>
      <w:r w:rsidR="00E06DEE" w:rsidRPr="00E75F6C">
        <w:rPr>
          <w:rFonts w:ascii="Book Antiqua" w:hAnsi="Book Antiqua"/>
          <w:sz w:val="24"/>
          <w:szCs w:val="24"/>
        </w:rPr>
        <w:t>=</w:t>
      </w:r>
      <w:r w:rsidR="00523E72">
        <w:rPr>
          <w:rFonts w:ascii="Book Antiqua" w:hAnsi="Book Antiqua" w:hint="eastAsia"/>
          <w:sz w:val="24"/>
          <w:szCs w:val="24"/>
          <w:lang w:eastAsia="zh-CN"/>
        </w:rPr>
        <w:t xml:space="preserve"> </w:t>
      </w:r>
      <w:r w:rsidR="00523E72">
        <w:rPr>
          <w:rFonts w:ascii="Book Antiqua" w:hAnsi="Book Antiqua"/>
          <w:sz w:val="24"/>
          <w:szCs w:val="24"/>
        </w:rPr>
        <w:t>5.57</w:t>
      </w:r>
      <w:r w:rsidR="00523E72">
        <w:rPr>
          <w:rFonts w:ascii="Book Antiqua" w:hAnsi="Book Antiqua" w:hint="eastAsia"/>
          <w:sz w:val="24"/>
          <w:szCs w:val="24"/>
          <w:lang w:eastAsia="zh-CN"/>
        </w:rPr>
        <w:t xml:space="preserve">, </w:t>
      </w:r>
      <w:r w:rsidR="00523E72">
        <w:rPr>
          <w:rFonts w:ascii="Book Antiqua" w:hAnsi="Book Antiqua"/>
          <w:sz w:val="24"/>
          <w:szCs w:val="24"/>
        </w:rPr>
        <w:t>95%</w:t>
      </w:r>
      <w:r w:rsidR="00E06DEE" w:rsidRPr="00E75F6C">
        <w:rPr>
          <w:rFonts w:ascii="Book Antiqua" w:hAnsi="Book Antiqua"/>
          <w:sz w:val="24"/>
          <w:szCs w:val="24"/>
        </w:rPr>
        <w:t>CI</w:t>
      </w:r>
      <w:r w:rsidR="00523E72">
        <w:rPr>
          <w:rFonts w:ascii="Book Antiqua" w:hAnsi="Book Antiqua" w:hint="eastAsia"/>
          <w:sz w:val="24"/>
          <w:szCs w:val="24"/>
          <w:lang w:eastAsia="zh-CN"/>
        </w:rPr>
        <w:t>:</w:t>
      </w:r>
      <w:r w:rsidR="00E06DEE" w:rsidRPr="00E75F6C">
        <w:rPr>
          <w:rFonts w:ascii="Book Antiqua" w:hAnsi="Book Antiqua"/>
          <w:sz w:val="24"/>
          <w:szCs w:val="24"/>
        </w:rPr>
        <w:t xml:space="preserve"> 3.80-8.15)</w:t>
      </w:r>
      <w:r w:rsidR="00202189" w:rsidRPr="00E75F6C">
        <w:rPr>
          <w:rFonts w:ascii="Book Antiqua" w:hAnsi="Book Antiqua"/>
          <w:sz w:val="24"/>
          <w:szCs w:val="24"/>
        </w:rPr>
        <w:t>.</w:t>
      </w:r>
      <w:r w:rsidR="00BF64EF" w:rsidRPr="00E75F6C">
        <w:rPr>
          <w:rFonts w:ascii="Book Antiqua" w:hAnsi="Book Antiqua"/>
          <w:sz w:val="24"/>
          <w:szCs w:val="24"/>
        </w:rPr>
        <w:t xml:space="preserve"> </w:t>
      </w:r>
    </w:p>
    <w:p w14:paraId="3966B016" w14:textId="2D3B7842" w:rsidR="005C4124" w:rsidRPr="00E75F6C" w:rsidRDefault="005C4124" w:rsidP="00523E72">
      <w:pPr>
        <w:spacing w:after="0" w:line="360" w:lineRule="auto"/>
        <w:ind w:firstLineChars="150" w:firstLine="360"/>
        <w:jc w:val="both"/>
        <w:rPr>
          <w:rFonts w:ascii="Book Antiqua" w:hAnsi="Book Antiqua"/>
          <w:sz w:val="24"/>
          <w:szCs w:val="24"/>
        </w:rPr>
      </w:pPr>
      <w:r w:rsidRPr="00E75F6C">
        <w:rPr>
          <w:rFonts w:ascii="Book Antiqua" w:hAnsi="Book Antiqua"/>
          <w:sz w:val="24"/>
          <w:szCs w:val="24"/>
        </w:rPr>
        <w:t xml:space="preserve">In a retrospective study of 145 IBD patients </w:t>
      </w:r>
      <w:proofErr w:type="spellStart"/>
      <w:r w:rsidRPr="00E75F6C">
        <w:rPr>
          <w:rFonts w:ascii="Book Antiqua" w:hAnsi="Book Antiqua"/>
          <w:sz w:val="24"/>
          <w:szCs w:val="24"/>
        </w:rPr>
        <w:t>Ungar</w:t>
      </w:r>
      <w:proofErr w:type="spellEnd"/>
      <w:r w:rsidRPr="00E75F6C">
        <w:rPr>
          <w:rFonts w:ascii="Book Antiqua" w:hAnsi="Book Antiqua"/>
          <w:sz w:val="24"/>
          <w:szCs w:val="24"/>
        </w:rPr>
        <w:t xml:space="preserve"> </w:t>
      </w:r>
      <w:r w:rsidRPr="00523E72">
        <w:rPr>
          <w:rFonts w:ascii="Book Antiqua" w:hAnsi="Book Antiqua"/>
          <w:i/>
          <w:sz w:val="24"/>
          <w:szCs w:val="24"/>
        </w:rPr>
        <w:t xml:space="preserve">et </w:t>
      </w:r>
      <w:proofErr w:type="gramStart"/>
      <w:r w:rsidRPr="00523E72">
        <w:rPr>
          <w:rFonts w:ascii="Book Antiqua" w:hAnsi="Book Antiqua"/>
          <w:i/>
          <w:sz w:val="24"/>
          <w:szCs w:val="24"/>
        </w:rPr>
        <w:t>al</w:t>
      </w:r>
      <w:r w:rsidR="00523E72" w:rsidRPr="00523E72">
        <w:rPr>
          <w:rFonts w:ascii="Book Antiqua" w:hAnsi="Book Antiqua"/>
          <w:sz w:val="24"/>
          <w:szCs w:val="24"/>
          <w:vertAlign w:val="superscript"/>
        </w:rPr>
        <w:t>[</w:t>
      </w:r>
      <w:proofErr w:type="gramEnd"/>
      <w:r w:rsidR="00523E72">
        <w:rPr>
          <w:rFonts w:ascii="Book Antiqua" w:hAnsi="Book Antiqua"/>
          <w:sz w:val="24"/>
          <w:szCs w:val="24"/>
          <w:vertAlign w:val="superscript"/>
        </w:rPr>
        <w:t>63</w:t>
      </w:r>
      <w:r w:rsidR="00523E72" w:rsidRPr="00496750">
        <w:rPr>
          <w:rFonts w:ascii="Book Antiqua" w:hAnsi="Book Antiqua"/>
          <w:sz w:val="24"/>
          <w:szCs w:val="24"/>
          <w:vertAlign w:val="superscript"/>
        </w:rPr>
        <w:t>]</w:t>
      </w:r>
      <w:r w:rsidRPr="00E75F6C">
        <w:rPr>
          <w:rFonts w:ascii="Book Antiqua" w:hAnsi="Book Antiqua"/>
          <w:sz w:val="24"/>
          <w:szCs w:val="24"/>
        </w:rPr>
        <w:t xml:space="preserve"> recently found significant association between serum levels of anti-</w:t>
      </w:r>
      <w:r w:rsidR="0055492C" w:rsidRPr="0055492C">
        <w:rPr>
          <w:rFonts w:ascii="Book Antiqua" w:hAnsi="Book Antiqua"/>
          <w:sz w:val="24"/>
          <w:szCs w:val="24"/>
        </w:rPr>
        <w:t xml:space="preserve"> </w:t>
      </w:r>
      <w:r w:rsidR="0055492C" w:rsidRPr="00E75F6C">
        <w:rPr>
          <w:rFonts w:ascii="Book Antiqua" w:hAnsi="Book Antiqua"/>
          <w:sz w:val="24"/>
          <w:szCs w:val="24"/>
        </w:rPr>
        <w:t>TNF</w:t>
      </w:r>
      <w:r w:rsidR="0055492C">
        <w:rPr>
          <w:rFonts w:ascii="Book Antiqua" w:hAnsi="Book Antiqua"/>
          <w:sz w:val="24"/>
          <w:szCs w:val="24"/>
        </w:rPr>
        <w:t xml:space="preserve"> </w:t>
      </w:r>
      <w:r w:rsidR="0055454E">
        <w:rPr>
          <w:rFonts w:ascii="Book Antiqua" w:hAnsi="Book Antiqua"/>
          <w:sz w:val="24"/>
          <w:szCs w:val="24"/>
        </w:rPr>
        <w:sym w:font="Symbol" w:char="F061"/>
      </w:r>
      <w:r w:rsidRPr="00E75F6C">
        <w:rPr>
          <w:rFonts w:ascii="Book Antiqua" w:hAnsi="Book Antiqua"/>
          <w:sz w:val="24"/>
          <w:szCs w:val="24"/>
        </w:rPr>
        <w:t xml:space="preserve"> agents and level of mucosal healing. Median serum levels of infliximab and </w:t>
      </w:r>
      <w:proofErr w:type="spellStart"/>
      <w:r w:rsidRPr="00E75F6C">
        <w:rPr>
          <w:rFonts w:ascii="Book Antiqua" w:hAnsi="Book Antiqua"/>
          <w:sz w:val="24"/>
          <w:szCs w:val="24"/>
        </w:rPr>
        <w:t>adalimumab</w:t>
      </w:r>
      <w:proofErr w:type="spellEnd"/>
      <w:r w:rsidRPr="00E75F6C">
        <w:rPr>
          <w:rFonts w:ascii="Book Antiqua" w:hAnsi="Book Antiqua"/>
          <w:sz w:val="24"/>
          <w:szCs w:val="24"/>
        </w:rPr>
        <w:t xml:space="preserve"> were significantly higher in patients with mucosal healing than patients with active disease (based on endoscopy) (for infliximab, 4.3 </w:t>
      </w:r>
      <w:proofErr w:type="spellStart"/>
      <w:r w:rsidRPr="00523E72">
        <w:rPr>
          <w:rFonts w:ascii="Book Antiqua" w:hAnsi="Book Antiqua"/>
          <w:i/>
          <w:sz w:val="24"/>
          <w:szCs w:val="24"/>
        </w:rPr>
        <w:t>vs</w:t>
      </w:r>
      <w:proofErr w:type="spellEnd"/>
      <w:r w:rsidRPr="00E75F6C">
        <w:rPr>
          <w:rFonts w:ascii="Book Antiqua" w:hAnsi="Book Antiqua"/>
          <w:sz w:val="24"/>
          <w:szCs w:val="24"/>
        </w:rPr>
        <w:t xml:space="preserve"> 1.7 </w:t>
      </w:r>
      <w:proofErr w:type="spellStart"/>
      <w:r w:rsidRPr="00E75F6C">
        <w:rPr>
          <w:rFonts w:ascii="Book Antiqua" w:hAnsi="Book Antiqua"/>
          <w:sz w:val="24"/>
          <w:szCs w:val="24"/>
        </w:rPr>
        <w:t>μg</w:t>
      </w:r>
      <w:proofErr w:type="spellEnd"/>
      <w:r w:rsidRPr="00E75F6C">
        <w:rPr>
          <w:rFonts w:ascii="Book Antiqua" w:hAnsi="Book Antiqua"/>
          <w:sz w:val="24"/>
          <w:szCs w:val="24"/>
        </w:rPr>
        <w:t>/m</w:t>
      </w:r>
      <w:r w:rsidR="00523E72" w:rsidRPr="00E75F6C">
        <w:rPr>
          <w:rFonts w:ascii="Book Antiqua" w:hAnsi="Book Antiqua"/>
          <w:sz w:val="24"/>
          <w:szCs w:val="24"/>
        </w:rPr>
        <w:t>L</w:t>
      </w:r>
      <w:r w:rsidRPr="00E75F6C">
        <w:rPr>
          <w:rFonts w:ascii="Book Antiqua" w:hAnsi="Book Antiqua"/>
          <w:sz w:val="24"/>
          <w:szCs w:val="24"/>
        </w:rPr>
        <w:t xml:space="preserve">, </w:t>
      </w:r>
      <w:r w:rsidRPr="00523E72">
        <w:rPr>
          <w:rFonts w:ascii="Book Antiqua" w:hAnsi="Book Antiqua"/>
          <w:i/>
          <w:sz w:val="24"/>
          <w:szCs w:val="24"/>
        </w:rPr>
        <w:t>P</w:t>
      </w:r>
      <w:r w:rsidR="00523E72">
        <w:rPr>
          <w:rFonts w:ascii="Book Antiqua" w:hAnsi="Book Antiqua" w:hint="eastAsia"/>
          <w:sz w:val="24"/>
          <w:szCs w:val="24"/>
          <w:lang w:eastAsia="zh-CN"/>
        </w:rPr>
        <w:t xml:space="preserve"> </w:t>
      </w:r>
      <w:r w:rsidRPr="00E75F6C">
        <w:rPr>
          <w:rFonts w:ascii="Book Antiqua" w:hAnsi="Book Antiqua"/>
          <w:sz w:val="24"/>
          <w:szCs w:val="24"/>
        </w:rPr>
        <w:t>=</w:t>
      </w:r>
      <w:r w:rsidR="00523E72">
        <w:rPr>
          <w:rFonts w:ascii="Book Antiqua" w:hAnsi="Book Antiqua" w:hint="eastAsia"/>
          <w:sz w:val="24"/>
          <w:szCs w:val="24"/>
          <w:lang w:eastAsia="zh-CN"/>
        </w:rPr>
        <w:t xml:space="preserve"> 0</w:t>
      </w:r>
      <w:r w:rsidRPr="00E75F6C">
        <w:rPr>
          <w:rFonts w:ascii="Book Antiqua" w:hAnsi="Book Antiqua"/>
          <w:sz w:val="24"/>
          <w:szCs w:val="24"/>
        </w:rPr>
        <w:t xml:space="preserve">.0002 and for </w:t>
      </w:r>
      <w:proofErr w:type="spellStart"/>
      <w:r w:rsidRPr="00E75F6C">
        <w:rPr>
          <w:rFonts w:ascii="Book Antiqua" w:hAnsi="Book Antiqua"/>
          <w:sz w:val="24"/>
          <w:szCs w:val="24"/>
        </w:rPr>
        <w:lastRenderedPageBreak/>
        <w:t>adalimumab</w:t>
      </w:r>
      <w:proofErr w:type="spellEnd"/>
      <w:r w:rsidRPr="00E75F6C">
        <w:rPr>
          <w:rFonts w:ascii="Book Antiqua" w:hAnsi="Book Antiqua"/>
          <w:sz w:val="24"/>
          <w:szCs w:val="24"/>
        </w:rPr>
        <w:t xml:space="preserve">, 6.2 </w:t>
      </w:r>
      <w:proofErr w:type="spellStart"/>
      <w:r w:rsidRPr="00523E72">
        <w:rPr>
          <w:rFonts w:ascii="Book Antiqua" w:hAnsi="Book Antiqua"/>
          <w:i/>
          <w:sz w:val="24"/>
          <w:szCs w:val="24"/>
        </w:rPr>
        <w:t>vs</w:t>
      </w:r>
      <w:proofErr w:type="spellEnd"/>
      <w:r w:rsidRPr="00E75F6C">
        <w:rPr>
          <w:rFonts w:ascii="Book Antiqua" w:hAnsi="Book Antiqua"/>
          <w:sz w:val="24"/>
          <w:szCs w:val="24"/>
        </w:rPr>
        <w:t xml:space="preserve"> 3.1 </w:t>
      </w:r>
      <w:proofErr w:type="spellStart"/>
      <w:r w:rsidRPr="00E75F6C">
        <w:rPr>
          <w:rFonts w:ascii="Book Antiqua" w:hAnsi="Book Antiqua"/>
          <w:sz w:val="24"/>
          <w:szCs w:val="24"/>
        </w:rPr>
        <w:t>μg</w:t>
      </w:r>
      <w:proofErr w:type="spellEnd"/>
      <w:r w:rsidRPr="00E75F6C">
        <w:rPr>
          <w:rFonts w:ascii="Book Antiqua" w:hAnsi="Book Antiqua"/>
          <w:sz w:val="24"/>
          <w:szCs w:val="24"/>
        </w:rPr>
        <w:t>/m</w:t>
      </w:r>
      <w:r w:rsidR="00523E72" w:rsidRPr="00E75F6C">
        <w:rPr>
          <w:rFonts w:ascii="Book Antiqua" w:hAnsi="Book Antiqua"/>
          <w:sz w:val="24"/>
          <w:szCs w:val="24"/>
        </w:rPr>
        <w:t>L</w:t>
      </w:r>
      <w:r w:rsidRPr="00E75F6C">
        <w:rPr>
          <w:rFonts w:ascii="Book Antiqua" w:hAnsi="Book Antiqua"/>
          <w:sz w:val="24"/>
          <w:szCs w:val="24"/>
        </w:rPr>
        <w:t xml:space="preserve">, </w:t>
      </w:r>
      <w:r w:rsidRPr="00523E72">
        <w:rPr>
          <w:rFonts w:ascii="Book Antiqua" w:hAnsi="Book Antiqua"/>
          <w:i/>
          <w:sz w:val="24"/>
          <w:szCs w:val="24"/>
        </w:rPr>
        <w:t>P</w:t>
      </w:r>
      <w:r w:rsidR="00523E72" w:rsidRPr="00523E72">
        <w:rPr>
          <w:rFonts w:ascii="Book Antiqua" w:hAnsi="Book Antiqua" w:hint="eastAsia"/>
          <w:i/>
          <w:sz w:val="24"/>
          <w:szCs w:val="24"/>
          <w:lang w:eastAsia="zh-CN"/>
        </w:rPr>
        <w:t xml:space="preserve"> </w:t>
      </w:r>
      <w:r w:rsidRPr="00E75F6C">
        <w:rPr>
          <w:rFonts w:ascii="Book Antiqua" w:hAnsi="Book Antiqua"/>
          <w:sz w:val="24"/>
          <w:szCs w:val="24"/>
        </w:rPr>
        <w:t>=</w:t>
      </w:r>
      <w:r w:rsidR="00523E72">
        <w:rPr>
          <w:rFonts w:ascii="Book Antiqua" w:hAnsi="Book Antiqua" w:hint="eastAsia"/>
          <w:sz w:val="24"/>
          <w:szCs w:val="24"/>
          <w:lang w:eastAsia="zh-CN"/>
        </w:rPr>
        <w:t xml:space="preserve"> 0</w:t>
      </w:r>
      <w:r w:rsidRPr="00E75F6C">
        <w:rPr>
          <w:rFonts w:ascii="Book Antiqua" w:hAnsi="Book Antiqua"/>
          <w:sz w:val="24"/>
          <w:szCs w:val="24"/>
        </w:rPr>
        <w:t xml:space="preserve">.01). Levels of infliximab above 5 </w:t>
      </w:r>
      <w:proofErr w:type="spellStart"/>
      <w:r w:rsidRPr="00E75F6C">
        <w:rPr>
          <w:rFonts w:ascii="Book Antiqua" w:hAnsi="Book Antiqua"/>
          <w:sz w:val="24"/>
          <w:szCs w:val="24"/>
        </w:rPr>
        <w:t>μg</w:t>
      </w:r>
      <w:proofErr w:type="spellEnd"/>
      <w:r w:rsidRPr="00E75F6C">
        <w:rPr>
          <w:rFonts w:ascii="Book Antiqua" w:hAnsi="Book Antiqua"/>
          <w:sz w:val="24"/>
          <w:szCs w:val="24"/>
        </w:rPr>
        <w:t>/m</w:t>
      </w:r>
      <w:r w:rsidR="00523E72" w:rsidRPr="00E75F6C">
        <w:rPr>
          <w:rFonts w:ascii="Book Antiqua" w:hAnsi="Book Antiqua"/>
          <w:sz w:val="24"/>
          <w:szCs w:val="24"/>
        </w:rPr>
        <w:t>L</w:t>
      </w:r>
      <w:r w:rsidRPr="00E75F6C">
        <w:rPr>
          <w:rFonts w:ascii="Book Antiqua" w:hAnsi="Book Antiqua"/>
          <w:sz w:val="24"/>
          <w:szCs w:val="24"/>
        </w:rPr>
        <w:t xml:space="preserve"> (area under the curve</w:t>
      </w:r>
      <w:r w:rsidR="00523E72">
        <w:rPr>
          <w:rFonts w:ascii="Book Antiqua" w:hAnsi="Book Antiqua" w:hint="eastAsia"/>
          <w:sz w:val="24"/>
          <w:szCs w:val="24"/>
          <w:lang w:eastAsia="zh-CN"/>
        </w:rPr>
        <w:t xml:space="preserve"> </w:t>
      </w:r>
      <w:r w:rsidRPr="00E75F6C">
        <w:rPr>
          <w:rFonts w:ascii="Book Antiqua" w:hAnsi="Book Antiqua"/>
          <w:sz w:val="24"/>
          <w:szCs w:val="24"/>
        </w:rPr>
        <w:t>=</w:t>
      </w:r>
      <w:r w:rsidR="00523E72">
        <w:rPr>
          <w:rFonts w:ascii="Book Antiqua" w:hAnsi="Book Antiqua" w:hint="eastAsia"/>
          <w:sz w:val="24"/>
          <w:szCs w:val="24"/>
          <w:lang w:eastAsia="zh-CN"/>
        </w:rPr>
        <w:t xml:space="preserve"> </w:t>
      </w:r>
      <w:r w:rsidRPr="00E75F6C">
        <w:rPr>
          <w:rFonts w:ascii="Book Antiqua" w:hAnsi="Book Antiqua"/>
          <w:sz w:val="24"/>
          <w:szCs w:val="24"/>
        </w:rPr>
        <w:t xml:space="preserve">0.75, </w:t>
      </w:r>
      <w:r w:rsidR="00523E72" w:rsidRPr="00523E72">
        <w:rPr>
          <w:rFonts w:ascii="Book Antiqua" w:hAnsi="Book Antiqua"/>
          <w:i/>
          <w:sz w:val="24"/>
          <w:szCs w:val="24"/>
        </w:rPr>
        <w:t>P</w:t>
      </w:r>
      <w:r w:rsidR="00523E72" w:rsidRPr="00523E72">
        <w:rPr>
          <w:rFonts w:ascii="Book Antiqua" w:hAnsi="Book Antiqua" w:hint="eastAsia"/>
          <w:i/>
          <w:sz w:val="24"/>
          <w:szCs w:val="24"/>
          <w:lang w:eastAsia="zh-CN"/>
        </w:rPr>
        <w:t xml:space="preserve"> </w:t>
      </w:r>
      <w:r w:rsidRPr="00E75F6C">
        <w:rPr>
          <w:rFonts w:ascii="Book Antiqua" w:hAnsi="Book Antiqua"/>
          <w:sz w:val="24"/>
          <w:szCs w:val="24"/>
        </w:rPr>
        <w:t>&lt;</w:t>
      </w:r>
      <w:r w:rsidR="00523E72">
        <w:rPr>
          <w:rFonts w:ascii="Book Antiqua" w:hAnsi="Book Antiqua" w:hint="eastAsia"/>
          <w:sz w:val="24"/>
          <w:szCs w:val="24"/>
          <w:lang w:eastAsia="zh-CN"/>
        </w:rPr>
        <w:t xml:space="preserve"> 0</w:t>
      </w:r>
      <w:r w:rsidRPr="00E75F6C">
        <w:rPr>
          <w:rFonts w:ascii="Book Antiqua" w:hAnsi="Book Antiqua"/>
          <w:sz w:val="24"/>
          <w:szCs w:val="24"/>
        </w:rPr>
        <w:t xml:space="preserve">.0001) and levels of </w:t>
      </w:r>
      <w:proofErr w:type="spellStart"/>
      <w:r w:rsidRPr="00E75F6C">
        <w:rPr>
          <w:rFonts w:ascii="Book Antiqua" w:hAnsi="Book Antiqua"/>
          <w:sz w:val="24"/>
          <w:szCs w:val="24"/>
        </w:rPr>
        <w:t>adalimumab</w:t>
      </w:r>
      <w:proofErr w:type="spellEnd"/>
      <w:r w:rsidRPr="00E75F6C">
        <w:rPr>
          <w:rFonts w:ascii="Book Antiqua" w:hAnsi="Book Antiqua"/>
          <w:sz w:val="24"/>
          <w:szCs w:val="24"/>
        </w:rPr>
        <w:t xml:space="preserve"> above 7.1 </w:t>
      </w:r>
      <w:proofErr w:type="spellStart"/>
      <w:r w:rsidRPr="00E75F6C">
        <w:rPr>
          <w:rFonts w:ascii="Book Antiqua" w:hAnsi="Book Antiqua"/>
          <w:sz w:val="24"/>
          <w:szCs w:val="24"/>
        </w:rPr>
        <w:t>μg</w:t>
      </w:r>
      <w:proofErr w:type="spellEnd"/>
      <w:r w:rsidRPr="00E75F6C">
        <w:rPr>
          <w:rFonts w:ascii="Book Antiqua" w:hAnsi="Book Antiqua"/>
          <w:sz w:val="24"/>
          <w:szCs w:val="24"/>
        </w:rPr>
        <w:t>/m</w:t>
      </w:r>
      <w:r w:rsidR="00523E72" w:rsidRPr="00E75F6C">
        <w:rPr>
          <w:rFonts w:ascii="Book Antiqua" w:hAnsi="Book Antiqua"/>
          <w:sz w:val="24"/>
          <w:szCs w:val="24"/>
        </w:rPr>
        <w:t>L</w:t>
      </w:r>
      <w:r w:rsidRPr="00E75F6C">
        <w:rPr>
          <w:rFonts w:ascii="Book Antiqua" w:hAnsi="Book Antiqua"/>
          <w:sz w:val="24"/>
          <w:szCs w:val="24"/>
        </w:rPr>
        <w:t xml:space="preserve"> (area under the curve</w:t>
      </w:r>
      <w:r w:rsidR="00523E72">
        <w:rPr>
          <w:rFonts w:ascii="Book Antiqua" w:hAnsi="Book Antiqua" w:hint="eastAsia"/>
          <w:sz w:val="24"/>
          <w:szCs w:val="24"/>
          <w:lang w:eastAsia="zh-CN"/>
        </w:rPr>
        <w:t xml:space="preserve"> </w:t>
      </w:r>
      <w:r w:rsidRPr="00E75F6C">
        <w:rPr>
          <w:rFonts w:ascii="Book Antiqua" w:hAnsi="Book Antiqua"/>
          <w:sz w:val="24"/>
          <w:szCs w:val="24"/>
        </w:rPr>
        <w:t>=</w:t>
      </w:r>
      <w:r w:rsidR="00523E72">
        <w:rPr>
          <w:rFonts w:ascii="Book Antiqua" w:hAnsi="Book Antiqua" w:hint="eastAsia"/>
          <w:sz w:val="24"/>
          <w:szCs w:val="24"/>
          <w:lang w:eastAsia="zh-CN"/>
        </w:rPr>
        <w:t xml:space="preserve"> </w:t>
      </w:r>
      <w:r w:rsidRPr="00E75F6C">
        <w:rPr>
          <w:rFonts w:ascii="Book Antiqua" w:hAnsi="Book Antiqua"/>
          <w:sz w:val="24"/>
          <w:szCs w:val="24"/>
        </w:rPr>
        <w:t xml:space="preserve">0.7, </w:t>
      </w:r>
      <w:r w:rsidRPr="00523E72">
        <w:rPr>
          <w:rFonts w:ascii="Book Antiqua" w:hAnsi="Book Antiqua"/>
          <w:i/>
          <w:sz w:val="24"/>
          <w:szCs w:val="24"/>
        </w:rPr>
        <w:t>P</w:t>
      </w:r>
      <w:r w:rsidR="00523E72">
        <w:rPr>
          <w:rFonts w:ascii="Book Antiqua" w:hAnsi="Book Antiqua" w:hint="eastAsia"/>
          <w:sz w:val="24"/>
          <w:szCs w:val="24"/>
          <w:lang w:eastAsia="zh-CN"/>
        </w:rPr>
        <w:t xml:space="preserve"> </w:t>
      </w:r>
      <w:r w:rsidRPr="00E75F6C">
        <w:rPr>
          <w:rFonts w:ascii="Book Antiqua" w:hAnsi="Book Antiqua"/>
          <w:sz w:val="24"/>
          <w:szCs w:val="24"/>
        </w:rPr>
        <w:t>=</w:t>
      </w:r>
      <w:r w:rsidR="00523E72">
        <w:rPr>
          <w:rFonts w:ascii="Book Antiqua" w:hAnsi="Book Antiqua" w:hint="eastAsia"/>
          <w:sz w:val="24"/>
          <w:szCs w:val="24"/>
          <w:lang w:eastAsia="zh-CN"/>
        </w:rPr>
        <w:t xml:space="preserve"> 0</w:t>
      </w:r>
      <w:r w:rsidRPr="00E75F6C">
        <w:rPr>
          <w:rFonts w:ascii="Book Antiqua" w:hAnsi="Book Antiqua"/>
          <w:sz w:val="24"/>
          <w:szCs w:val="24"/>
        </w:rPr>
        <w:t xml:space="preserve">.004) identified patients with mucosal healing with 85% specificity. Increasing levels of infliximab beyond 8 </w:t>
      </w:r>
      <w:proofErr w:type="spellStart"/>
      <w:r w:rsidRPr="00E75F6C">
        <w:rPr>
          <w:rFonts w:ascii="Book Antiqua" w:hAnsi="Book Antiqua"/>
          <w:sz w:val="24"/>
          <w:szCs w:val="24"/>
        </w:rPr>
        <w:t>μg</w:t>
      </w:r>
      <w:proofErr w:type="spellEnd"/>
      <w:r w:rsidRPr="00E75F6C">
        <w:rPr>
          <w:rFonts w:ascii="Book Antiqua" w:hAnsi="Book Antiqua"/>
          <w:sz w:val="24"/>
          <w:szCs w:val="24"/>
        </w:rPr>
        <w:t>/m</w:t>
      </w:r>
      <w:r w:rsidR="00523E72" w:rsidRPr="00E75F6C">
        <w:rPr>
          <w:rFonts w:ascii="Book Antiqua" w:hAnsi="Book Antiqua"/>
          <w:sz w:val="24"/>
          <w:szCs w:val="24"/>
        </w:rPr>
        <w:t>L</w:t>
      </w:r>
      <w:r w:rsidRPr="00E75F6C">
        <w:rPr>
          <w:rFonts w:ascii="Book Antiqua" w:hAnsi="Book Antiqua"/>
          <w:sz w:val="24"/>
          <w:szCs w:val="24"/>
        </w:rPr>
        <w:t xml:space="preserve"> produced only minimal increases in the rate of mucosal healing, whereas the association between higher level of </w:t>
      </w:r>
      <w:proofErr w:type="spellStart"/>
      <w:r w:rsidRPr="00E75F6C">
        <w:rPr>
          <w:rFonts w:ascii="Book Antiqua" w:hAnsi="Book Antiqua"/>
          <w:sz w:val="24"/>
          <w:szCs w:val="24"/>
        </w:rPr>
        <w:t>adalimumab</w:t>
      </w:r>
      <w:proofErr w:type="spellEnd"/>
      <w:r w:rsidRPr="00E75F6C">
        <w:rPr>
          <w:rFonts w:ascii="Book Antiqua" w:hAnsi="Book Antiqua"/>
          <w:sz w:val="24"/>
          <w:szCs w:val="24"/>
        </w:rPr>
        <w:t xml:space="preserve"> and increased rate of mucosal healing reached a plateau at 12 </w:t>
      </w:r>
      <w:proofErr w:type="spellStart"/>
      <w:r w:rsidRPr="00E75F6C">
        <w:rPr>
          <w:rFonts w:ascii="Book Antiqua" w:hAnsi="Book Antiqua"/>
          <w:sz w:val="24"/>
          <w:szCs w:val="24"/>
        </w:rPr>
        <w:t>μg</w:t>
      </w:r>
      <w:proofErr w:type="spellEnd"/>
      <w:r w:rsidRPr="00E75F6C">
        <w:rPr>
          <w:rFonts w:ascii="Book Antiqua" w:hAnsi="Book Antiqua"/>
          <w:sz w:val="24"/>
          <w:szCs w:val="24"/>
        </w:rPr>
        <w:t>/</w:t>
      </w:r>
      <w:proofErr w:type="spellStart"/>
      <w:r w:rsidRPr="00E75F6C">
        <w:rPr>
          <w:rFonts w:ascii="Book Antiqua" w:hAnsi="Book Antiqua"/>
          <w:sz w:val="24"/>
          <w:szCs w:val="24"/>
        </w:rPr>
        <w:t>m</w:t>
      </w:r>
      <w:r w:rsidR="00523E72" w:rsidRPr="00E75F6C">
        <w:rPr>
          <w:rFonts w:ascii="Book Antiqua" w:hAnsi="Book Antiqua"/>
          <w:sz w:val="24"/>
          <w:szCs w:val="24"/>
        </w:rPr>
        <w:t>L</w:t>
      </w:r>
      <w:r w:rsidRPr="00E75F6C">
        <w:rPr>
          <w:rFonts w:ascii="Book Antiqua" w:hAnsi="Book Antiqua"/>
          <w:sz w:val="24"/>
          <w:szCs w:val="24"/>
        </w:rPr>
        <w:t>.</w:t>
      </w:r>
      <w:proofErr w:type="spellEnd"/>
      <w:r w:rsidRPr="00E75F6C">
        <w:rPr>
          <w:rFonts w:ascii="Book Antiqua" w:hAnsi="Book Antiqua"/>
          <w:sz w:val="24"/>
          <w:szCs w:val="24"/>
        </w:rPr>
        <w:t xml:space="preserve"> They propose that serum levels of 6-10 </w:t>
      </w:r>
      <w:proofErr w:type="spellStart"/>
      <w:r w:rsidRPr="00E75F6C">
        <w:rPr>
          <w:rFonts w:ascii="Book Antiqua" w:hAnsi="Book Antiqua"/>
          <w:sz w:val="24"/>
          <w:szCs w:val="24"/>
        </w:rPr>
        <w:t>μg</w:t>
      </w:r>
      <w:proofErr w:type="spellEnd"/>
      <w:r w:rsidRPr="00E75F6C">
        <w:rPr>
          <w:rFonts w:ascii="Book Antiqua" w:hAnsi="Book Antiqua"/>
          <w:sz w:val="24"/>
          <w:szCs w:val="24"/>
        </w:rPr>
        <w:t>/m</w:t>
      </w:r>
      <w:r w:rsidR="00523E72" w:rsidRPr="00E75F6C">
        <w:rPr>
          <w:rFonts w:ascii="Book Antiqua" w:hAnsi="Book Antiqua"/>
          <w:sz w:val="24"/>
          <w:szCs w:val="24"/>
        </w:rPr>
        <w:t xml:space="preserve">L </w:t>
      </w:r>
      <w:r w:rsidRPr="00E75F6C">
        <w:rPr>
          <w:rFonts w:ascii="Book Antiqua" w:hAnsi="Book Antiqua"/>
          <w:sz w:val="24"/>
          <w:szCs w:val="24"/>
        </w:rPr>
        <w:t xml:space="preserve">for infliximab and 8-12 </w:t>
      </w:r>
      <w:proofErr w:type="spellStart"/>
      <w:r w:rsidRPr="00E75F6C">
        <w:rPr>
          <w:rFonts w:ascii="Book Antiqua" w:hAnsi="Book Antiqua"/>
          <w:sz w:val="24"/>
          <w:szCs w:val="24"/>
        </w:rPr>
        <w:t>μg</w:t>
      </w:r>
      <w:proofErr w:type="spellEnd"/>
      <w:r w:rsidRPr="00E75F6C">
        <w:rPr>
          <w:rFonts w:ascii="Book Antiqua" w:hAnsi="Book Antiqua"/>
          <w:sz w:val="24"/>
          <w:szCs w:val="24"/>
        </w:rPr>
        <w:t>/m</w:t>
      </w:r>
      <w:r w:rsidR="00523E72" w:rsidRPr="00E75F6C">
        <w:rPr>
          <w:rFonts w:ascii="Book Antiqua" w:hAnsi="Book Antiqua"/>
          <w:sz w:val="24"/>
          <w:szCs w:val="24"/>
        </w:rPr>
        <w:t>L</w:t>
      </w:r>
      <w:r w:rsidRPr="00E75F6C">
        <w:rPr>
          <w:rFonts w:ascii="Book Antiqua" w:hAnsi="Book Antiqua"/>
          <w:sz w:val="24"/>
          <w:szCs w:val="24"/>
        </w:rPr>
        <w:t xml:space="preserve"> for </w:t>
      </w:r>
      <w:proofErr w:type="spellStart"/>
      <w:r w:rsidRPr="00E75F6C">
        <w:rPr>
          <w:rFonts w:ascii="Book Antiqua" w:hAnsi="Book Antiqua"/>
          <w:sz w:val="24"/>
          <w:szCs w:val="24"/>
        </w:rPr>
        <w:t>adalimumab</w:t>
      </w:r>
      <w:proofErr w:type="spellEnd"/>
      <w:r w:rsidRPr="00E75F6C">
        <w:rPr>
          <w:rFonts w:ascii="Book Antiqua" w:hAnsi="Book Antiqua"/>
          <w:sz w:val="24"/>
          <w:szCs w:val="24"/>
        </w:rPr>
        <w:t xml:space="preserve"> are required to achieve mucosal healing in 80%-90% of patients with IBD, and that this could be considered as a "therapeutic window". Exceeding these levels produces only a negligible gain in proportion of patients with mucosal healing. Further studies are required, but this suggests, that in order to alter the natural history of IBD, and achieve mucosal healing, we need robust and sustained trough levels of anti-TNF</w:t>
      </w:r>
      <w:r w:rsidR="0055454E">
        <w:rPr>
          <w:rFonts w:ascii="Book Antiqua" w:hAnsi="Book Antiqua"/>
          <w:sz w:val="24"/>
          <w:szCs w:val="24"/>
        </w:rPr>
        <w:sym w:font="Symbol" w:char="F061"/>
      </w:r>
      <w:r w:rsidRPr="00E75F6C">
        <w:rPr>
          <w:rFonts w:ascii="Book Antiqua" w:hAnsi="Book Antiqua"/>
          <w:sz w:val="24"/>
          <w:szCs w:val="24"/>
        </w:rPr>
        <w:t>.</w:t>
      </w:r>
    </w:p>
    <w:p w14:paraId="337E007A" w14:textId="2D1B80D0" w:rsidR="00AB1C85" w:rsidRDefault="002E4A42" w:rsidP="00523E72">
      <w:pPr>
        <w:spacing w:after="0" w:line="360" w:lineRule="auto"/>
        <w:ind w:firstLineChars="150" w:firstLine="360"/>
        <w:jc w:val="both"/>
        <w:rPr>
          <w:rFonts w:ascii="Book Antiqua" w:hAnsi="Book Antiqua"/>
          <w:sz w:val="24"/>
          <w:szCs w:val="24"/>
          <w:lang w:eastAsia="zh-CN"/>
        </w:rPr>
      </w:pPr>
      <w:r w:rsidRPr="00E75F6C">
        <w:rPr>
          <w:rFonts w:ascii="Book Antiqua" w:hAnsi="Book Antiqua"/>
          <w:sz w:val="24"/>
          <w:szCs w:val="24"/>
        </w:rPr>
        <w:t xml:space="preserve">With regard to </w:t>
      </w:r>
      <w:proofErr w:type="spellStart"/>
      <w:r w:rsidRPr="00E75F6C">
        <w:rPr>
          <w:rFonts w:ascii="Book Antiqua" w:hAnsi="Book Antiqua"/>
          <w:sz w:val="24"/>
          <w:szCs w:val="24"/>
        </w:rPr>
        <w:t>adalumimab</w:t>
      </w:r>
      <w:proofErr w:type="spellEnd"/>
      <w:r w:rsidRPr="00E75F6C">
        <w:rPr>
          <w:rFonts w:ascii="Book Antiqua" w:hAnsi="Book Antiqua"/>
          <w:sz w:val="24"/>
          <w:szCs w:val="24"/>
        </w:rPr>
        <w:t xml:space="preserve"> there is less available research in the field of </w:t>
      </w:r>
      <w:proofErr w:type="spellStart"/>
      <w:r w:rsidRPr="00E75F6C">
        <w:rPr>
          <w:rFonts w:ascii="Book Antiqua" w:hAnsi="Book Antiqua"/>
          <w:sz w:val="24"/>
          <w:szCs w:val="24"/>
        </w:rPr>
        <w:t>immunomo</w:t>
      </w:r>
      <w:r w:rsidR="00290ABC" w:rsidRPr="00E75F6C">
        <w:rPr>
          <w:rFonts w:ascii="Book Antiqua" w:hAnsi="Book Antiqua"/>
          <w:sz w:val="24"/>
          <w:szCs w:val="24"/>
        </w:rPr>
        <w:t>nitoring</w:t>
      </w:r>
      <w:proofErr w:type="spellEnd"/>
      <w:r w:rsidR="00290ABC" w:rsidRPr="00E75F6C">
        <w:rPr>
          <w:rFonts w:ascii="Book Antiqua" w:hAnsi="Book Antiqua"/>
          <w:sz w:val="24"/>
          <w:szCs w:val="24"/>
        </w:rPr>
        <w:t>.</w:t>
      </w:r>
      <w:r w:rsidRPr="00E75F6C">
        <w:rPr>
          <w:rFonts w:ascii="Book Antiqua" w:hAnsi="Book Antiqua"/>
          <w:sz w:val="24"/>
          <w:szCs w:val="24"/>
        </w:rPr>
        <w:t xml:space="preserve"> Post-hoc analysis of the </w:t>
      </w:r>
      <w:proofErr w:type="spellStart"/>
      <w:r w:rsidRPr="00E75F6C">
        <w:rPr>
          <w:rFonts w:ascii="Book Antiqua" w:hAnsi="Book Antiqua"/>
          <w:sz w:val="24"/>
          <w:szCs w:val="24"/>
        </w:rPr>
        <w:t>Karmiris</w:t>
      </w:r>
      <w:proofErr w:type="spellEnd"/>
      <w:r w:rsidRPr="00E75F6C">
        <w:rPr>
          <w:rFonts w:ascii="Book Antiqua" w:hAnsi="Book Antiqua"/>
          <w:sz w:val="24"/>
          <w:szCs w:val="24"/>
        </w:rPr>
        <w:t xml:space="preserve"> trial by </w:t>
      </w:r>
      <w:proofErr w:type="spellStart"/>
      <w:r w:rsidRPr="00E75F6C">
        <w:rPr>
          <w:rFonts w:ascii="Book Antiqua" w:hAnsi="Book Antiqua"/>
          <w:sz w:val="24"/>
          <w:szCs w:val="24"/>
        </w:rPr>
        <w:t>Baert</w:t>
      </w:r>
      <w:proofErr w:type="spellEnd"/>
      <w:r w:rsidRPr="00E75F6C">
        <w:rPr>
          <w:rFonts w:ascii="Book Antiqua" w:hAnsi="Book Antiqua"/>
          <w:sz w:val="24"/>
          <w:szCs w:val="24"/>
        </w:rPr>
        <w:t xml:space="preserve"> </w:t>
      </w:r>
      <w:r w:rsidRPr="00523E72">
        <w:rPr>
          <w:rFonts w:ascii="Book Antiqua" w:hAnsi="Book Antiqua"/>
          <w:i/>
          <w:sz w:val="24"/>
          <w:szCs w:val="24"/>
        </w:rPr>
        <w:t>et al</w:t>
      </w:r>
      <w:r w:rsidR="00523E72" w:rsidRPr="00523E72">
        <w:rPr>
          <w:rFonts w:ascii="Book Antiqua" w:hAnsi="Book Antiqua"/>
          <w:sz w:val="24"/>
          <w:szCs w:val="24"/>
          <w:vertAlign w:val="superscript"/>
        </w:rPr>
        <w:t>[</w:t>
      </w:r>
      <w:r w:rsidR="00523E72">
        <w:rPr>
          <w:rFonts w:ascii="Book Antiqua" w:hAnsi="Book Antiqua"/>
          <w:sz w:val="24"/>
          <w:szCs w:val="24"/>
          <w:vertAlign w:val="superscript"/>
        </w:rPr>
        <w:t>6</w:t>
      </w:r>
      <w:r w:rsidR="001C0D6B">
        <w:rPr>
          <w:rFonts w:ascii="Book Antiqua" w:hAnsi="Book Antiqua"/>
          <w:sz w:val="24"/>
          <w:szCs w:val="24"/>
          <w:vertAlign w:val="superscript"/>
        </w:rPr>
        <w:t>5</w:t>
      </w:r>
      <w:r w:rsidR="00523E72" w:rsidRPr="00496750">
        <w:rPr>
          <w:rFonts w:ascii="Book Antiqua" w:hAnsi="Book Antiqua"/>
          <w:sz w:val="24"/>
          <w:szCs w:val="24"/>
          <w:vertAlign w:val="superscript"/>
        </w:rPr>
        <w:t>]</w:t>
      </w:r>
      <w:r w:rsidRPr="00E75F6C">
        <w:rPr>
          <w:rFonts w:ascii="Book Antiqua" w:hAnsi="Book Antiqua"/>
          <w:sz w:val="24"/>
          <w:szCs w:val="24"/>
        </w:rPr>
        <w:t xml:space="preserve"> has shown that a low serum </w:t>
      </w:r>
      <w:proofErr w:type="spellStart"/>
      <w:r w:rsidR="00393785" w:rsidRPr="00E75F6C">
        <w:rPr>
          <w:rFonts w:ascii="Book Antiqua" w:hAnsi="Book Antiqua"/>
          <w:sz w:val="24"/>
          <w:szCs w:val="24"/>
        </w:rPr>
        <w:t>adalimumab</w:t>
      </w:r>
      <w:proofErr w:type="spellEnd"/>
      <w:r w:rsidRPr="00E75F6C">
        <w:rPr>
          <w:rFonts w:ascii="Book Antiqua" w:hAnsi="Book Antiqua"/>
          <w:sz w:val="24"/>
          <w:szCs w:val="24"/>
        </w:rPr>
        <w:t xml:space="preserve"> concentration after the induction regimen increases the risk of ATA formation. A trough level of &lt;</w:t>
      </w:r>
      <w:r w:rsidR="00523E72">
        <w:rPr>
          <w:rFonts w:ascii="Book Antiqua" w:hAnsi="Book Antiqua" w:hint="eastAsia"/>
          <w:sz w:val="24"/>
          <w:szCs w:val="24"/>
          <w:lang w:eastAsia="zh-CN"/>
        </w:rPr>
        <w:t xml:space="preserve"> </w:t>
      </w:r>
      <w:r w:rsidRPr="00E75F6C">
        <w:rPr>
          <w:rFonts w:ascii="Book Antiqua" w:hAnsi="Book Antiqua"/>
          <w:sz w:val="24"/>
          <w:szCs w:val="24"/>
        </w:rPr>
        <w:t>5</w:t>
      </w:r>
      <w:r w:rsidR="00523E72">
        <w:rPr>
          <w:rFonts w:ascii="Book Antiqua" w:hAnsi="Book Antiqua" w:hint="eastAsia"/>
          <w:sz w:val="24"/>
          <w:szCs w:val="24"/>
          <w:lang w:eastAsia="zh-CN"/>
        </w:rPr>
        <w:t xml:space="preserve"> </w:t>
      </w:r>
      <w:r w:rsidR="00523E72">
        <w:rPr>
          <w:rFonts w:ascii="Book Antiqua" w:hAnsi="Book Antiqua"/>
          <w:sz w:val="24"/>
          <w:szCs w:val="24"/>
        </w:rPr>
        <w:sym w:font="Symbol" w:char="F06D"/>
      </w:r>
      <w:r w:rsidRPr="00E75F6C">
        <w:rPr>
          <w:rFonts w:ascii="Book Antiqua" w:hAnsi="Book Antiqua"/>
          <w:sz w:val="24"/>
          <w:szCs w:val="24"/>
        </w:rPr>
        <w:t>g/m</w:t>
      </w:r>
      <w:r w:rsidR="00523E72" w:rsidRPr="00E75F6C">
        <w:rPr>
          <w:rFonts w:ascii="Book Antiqua" w:hAnsi="Book Antiqua"/>
          <w:sz w:val="24"/>
          <w:szCs w:val="24"/>
        </w:rPr>
        <w:t>L</w:t>
      </w:r>
      <w:r w:rsidRPr="00E75F6C">
        <w:rPr>
          <w:rFonts w:ascii="Book Antiqua" w:hAnsi="Book Antiqua"/>
          <w:sz w:val="24"/>
          <w:szCs w:val="24"/>
        </w:rPr>
        <w:t>, increased the risk of ATA formation. In addition ATA formation is</w:t>
      </w:r>
      <w:r w:rsidR="0085231E" w:rsidRPr="00E75F6C">
        <w:rPr>
          <w:rFonts w:ascii="Book Antiqua" w:hAnsi="Book Antiqua"/>
          <w:sz w:val="24"/>
          <w:szCs w:val="24"/>
        </w:rPr>
        <w:t xml:space="preserve"> associated with a future risk o</w:t>
      </w:r>
      <w:r w:rsidRPr="00E75F6C">
        <w:rPr>
          <w:rFonts w:ascii="Book Antiqua" w:hAnsi="Book Antiqua"/>
          <w:sz w:val="24"/>
          <w:szCs w:val="24"/>
        </w:rPr>
        <w:t>f inflammation and disease relapse. Further analysis of the CHARM trial data also</w:t>
      </w:r>
      <w:r w:rsidR="00445E60" w:rsidRPr="00E75F6C">
        <w:rPr>
          <w:rFonts w:ascii="Book Antiqua" w:hAnsi="Book Antiqua"/>
          <w:sz w:val="24"/>
          <w:szCs w:val="24"/>
        </w:rPr>
        <w:t xml:space="preserve"> identified a</w:t>
      </w:r>
      <w:r w:rsidRPr="00E75F6C">
        <w:rPr>
          <w:rFonts w:ascii="Book Antiqua" w:hAnsi="Book Antiqua"/>
          <w:sz w:val="24"/>
          <w:szCs w:val="24"/>
        </w:rPr>
        <w:t xml:space="preserve"> positive association between serum </w:t>
      </w:r>
      <w:proofErr w:type="spellStart"/>
      <w:r w:rsidRPr="00E75F6C">
        <w:rPr>
          <w:rFonts w:ascii="Book Antiqua" w:hAnsi="Book Antiqua"/>
          <w:sz w:val="24"/>
          <w:szCs w:val="24"/>
        </w:rPr>
        <w:t>adalimumab</w:t>
      </w:r>
      <w:proofErr w:type="spellEnd"/>
      <w:r w:rsidRPr="00E75F6C">
        <w:rPr>
          <w:rFonts w:ascii="Book Antiqua" w:hAnsi="Book Antiqua"/>
          <w:sz w:val="24"/>
          <w:szCs w:val="24"/>
        </w:rPr>
        <w:t xml:space="preserve"> concentration and remission at several time points</w:t>
      </w:r>
      <w:r w:rsidR="00523E72" w:rsidRPr="00523E72">
        <w:rPr>
          <w:rFonts w:ascii="Book Antiqua" w:hAnsi="Book Antiqua"/>
          <w:sz w:val="24"/>
          <w:szCs w:val="24"/>
          <w:vertAlign w:val="superscript"/>
        </w:rPr>
        <w:t>[</w:t>
      </w:r>
      <w:r w:rsidR="00496750">
        <w:rPr>
          <w:rFonts w:ascii="Book Antiqua" w:hAnsi="Book Antiqua"/>
          <w:sz w:val="24"/>
          <w:szCs w:val="24"/>
          <w:vertAlign w:val="superscript"/>
        </w:rPr>
        <w:t>6</w:t>
      </w:r>
      <w:r w:rsidR="001C0D6B">
        <w:rPr>
          <w:rFonts w:ascii="Book Antiqua" w:hAnsi="Book Antiqua"/>
          <w:sz w:val="24"/>
          <w:szCs w:val="24"/>
          <w:vertAlign w:val="superscript"/>
        </w:rPr>
        <w:t>6</w:t>
      </w:r>
      <w:r w:rsidR="00496750" w:rsidRPr="00496750">
        <w:rPr>
          <w:rFonts w:ascii="Book Antiqua" w:hAnsi="Book Antiqua"/>
          <w:sz w:val="24"/>
          <w:szCs w:val="24"/>
          <w:vertAlign w:val="superscript"/>
        </w:rPr>
        <w:t>]</w:t>
      </w:r>
      <w:r w:rsidRPr="00E75F6C">
        <w:rPr>
          <w:rFonts w:ascii="Book Antiqua" w:hAnsi="Book Antiqua"/>
          <w:sz w:val="24"/>
          <w:szCs w:val="24"/>
        </w:rPr>
        <w:t xml:space="preserve">. </w:t>
      </w:r>
      <w:r w:rsidR="00445E60" w:rsidRPr="00E75F6C">
        <w:rPr>
          <w:rFonts w:ascii="Book Antiqua" w:hAnsi="Book Antiqua"/>
          <w:sz w:val="24"/>
          <w:szCs w:val="24"/>
        </w:rPr>
        <w:t xml:space="preserve">However the authors did not identify a </w:t>
      </w:r>
      <w:r w:rsidRPr="00E75F6C">
        <w:rPr>
          <w:rFonts w:ascii="Book Antiqua" w:hAnsi="Book Antiqua"/>
          <w:sz w:val="24"/>
          <w:szCs w:val="24"/>
        </w:rPr>
        <w:t>threshold concentration reliably associated with remissio</w:t>
      </w:r>
      <w:r w:rsidR="00445E60" w:rsidRPr="00E75F6C">
        <w:rPr>
          <w:rFonts w:ascii="Book Antiqua" w:hAnsi="Book Antiqua"/>
          <w:sz w:val="24"/>
          <w:szCs w:val="24"/>
        </w:rPr>
        <w:t>n</w:t>
      </w:r>
      <w:r w:rsidR="00EC3A47" w:rsidRPr="00E75F6C">
        <w:rPr>
          <w:rFonts w:ascii="Book Antiqua" w:hAnsi="Book Antiqua"/>
          <w:sz w:val="24"/>
          <w:szCs w:val="24"/>
        </w:rPr>
        <w:t xml:space="preserve">. </w:t>
      </w:r>
      <w:proofErr w:type="spellStart"/>
      <w:r w:rsidR="00EC3A47" w:rsidRPr="00E75F6C">
        <w:rPr>
          <w:rFonts w:ascii="Book Antiqua" w:hAnsi="Book Antiqua"/>
          <w:sz w:val="24"/>
          <w:szCs w:val="24"/>
        </w:rPr>
        <w:t>Roblin</w:t>
      </w:r>
      <w:proofErr w:type="spellEnd"/>
      <w:r w:rsidR="00EC3A47" w:rsidRPr="00E75F6C">
        <w:rPr>
          <w:rFonts w:ascii="Book Antiqua" w:hAnsi="Book Antiqua"/>
          <w:sz w:val="24"/>
          <w:szCs w:val="24"/>
        </w:rPr>
        <w:t xml:space="preserve"> </w:t>
      </w:r>
      <w:r w:rsidR="00EC3A47" w:rsidRPr="00523E72">
        <w:rPr>
          <w:rFonts w:ascii="Book Antiqua" w:hAnsi="Book Antiqua"/>
          <w:i/>
          <w:sz w:val="24"/>
          <w:szCs w:val="24"/>
        </w:rPr>
        <w:t>et al</w:t>
      </w:r>
      <w:r w:rsidR="00523E72" w:rsidRPr="00523E72">
        <w:rPr>
          <w:rFonts w:ascii="Book Antiqua" w:hAnsi="Book Antiqua"/>
          <w:sz w:val="24"/>
          <w:szCs w:val="24"/>
          <w:vertAlign w:val="superscript"/>
        </w:rPr>
        <w:t>[</w:t>
      </w:r>
      <w:r w:rsidR="00523E72">
        <w:rPr>
          <w:rFonts w:ascii="Book Antiqua" w:hAnsi="Book Antiqua"/>
          <w:sz w:val="24"/>
          <w:szCs w:val="24"/>
          <w:vertAlign w:val="superscript"/>
        </w:rPr>
        <w:t>44</w:t>
      </w:r>
      <w:r w:rsidR="00523E72" w:rsidRPr="00496750">
        <w:rPr>
          <w:rFonts w:ascii="Book Antiqua" w:hAnsi="Book Antiqua"/>
          <w:sz w:val="24"/>
          <w:szCs w:val="24"/>
          <w:vertAlign w:val="superscript"/>
        </w:rPr>
        <w:t>]</w:t>
      </w:r>
      <w:r w:rsidR="00EC3A47" w:rsidRPr="00E75F6C">
        <w:rPr>
          <w:rFonts w:ascii="Book Antiqua" w:hAnsi="Book Antiqua"/>
          <w:sz w:val="24"/>
          <w:szCs w:val="24"/>
        </w:rPr>
        <w:t xml:space="preserve"> also showed that in a cohort of 40 patients with IBD, on maintenance therapy, trough levels of </w:t>
      </w:r>
      <w:proofErr w:type="spellStart"/>
      <w:r w:rsidR="00EC3A47" w:rsidRPr="00E75F6C">
        <w:rPr>
          <w:rFonts w:ascii="Book Antiqua" w:hAnsi="Book Antiqua"/>
          <w:sz w:val="24"/>
          <w:szCs w:val="24"/>
        </w:rPr>
        <w:t>adalimumab</w:t>
      </w:r>
      <w:proofErr w:type="spellEnd"/>
      <w:r w:rsidR="00EC3A47" w:rsidRPr="00E75F6C">
        <w:rPr>
          <w:rFonts w:ascii="Book Antiqua" w:hAnsi="Book Antiqua"/>
          <w:sz w:val="24"/>
          <w:szCs w:val="24"/>
        </w:rPr>
        <w:t xml:space="preserve"> were higher in patients with mucosal healing (6.5 </w:t>
      </w:r>
      <w:proofErr w:type="spellStart"/>
      <w:r w:rsidR="00EC3A47" w:rsidRPr="00E75F6C">
        <w:rPr>
          <w:rFonts w:ascii="Book Antiqua" w:hAnsi="Book Antiqua"/>
          <w:sz w:val="24"/>
          <w:szCs w:val="24"/>
        </w:rPr>
        <w:t>μg</w:t>
      </w:r>
      <w:proofErr w:type="spellEnd"/>
      <w:r w:rsidR="00EC3A47" w:rsidRPr="00E75F6C">
        <w:rPr>
          <w:rFonts w:ascii="Book Antiqua" w:hAnsi="Book Antiqua"/>
          <w:sz w:val="24"/>
          <w:szCs w:val="24"/>
        </w:rPr>
        <w:t xml:space="preserve">/mL) than in patients without (4.2 </w:t>
      </w:r>
      <w:proofErr w:type="spellStart"/>
      <w:r w:rsidR="00EC3A47" w:rsidRPr="00E75F6C">
        <w:rPr>
          <w:rFonts w:ascii="Book Antiqua" w:hAnsi="Book Antiqua"/>
          <w:sz w:val="24"/>
          <w:szCs w:val="24"/>
        </w:rPr>
        <w:t>μg</w:t>
      </w:r>
      <w:proofErr w:type="spellEnd"/>
      <w:r w:rsidR="00EC3A47" w:rsidRPr="00E75F6C">
        <w:rPr>
          <w:rFonts w:ascii="Book Antiqua" w:hAnsi="Book Antiqua"/>
          <w:sz w:val="24"/>
          <w:szCs w:val="24"/>
        </w:rPr>
        <w:t>/mL</w:t>
      </w:r>
      <w:r w:rsidR="00523E72">
        <w:rPr>
          <w:rFonts w:ascii="Book Antiqua" w:hAnsi="Book Antiqua" w:hint="eastAsia"/>
          <w:sz w:val="24"/>
          <w:szCs w:val="24"/>
          <w:lang w:eastAsia="zh-CN"/>
        </w:rPr>
        <w:t>,</w:t>
      </w:r>
      <w:r w:rsidR="00EC3A47" w:rsidRPr="00E75F6C">
        <w:rPr>
          <w:rFonts w:ascii="Book Antiqua" w:hAnsi="Book Antiqua"/>
          <w:sz w:val="24"/>
          <w:szCs w:val="24"/>
        </w:rPr>
        <w:t xml:space="preserve"> </w:t>
      </w:r>
      <w:r w:rsidR="00EC3A47" w:rsidRPr="00E75F6C">
        <w:rPr>
          <w:rFonts w:ascii="Times New Roman" w:hAnsi="Times New Roman" w:cs="Times New Roman"/>
          <w:sz w:val="24"/>
          <w:szCs w:val="24"/>
        </w:rPr>
        <w:t> </w:t>
      </w:r>
      <w:r w:rsidR="00EC3A47" w:rsidRPr="00523E72">
        <w:rPr>
          <w:rFonts w:ascii="Book Antiqua" w:hAnsi="Book Antiqua"/>
          <w:i/>
          <w:sz w:val="24"/>
          <w:szCs w:val="24"/>
        </w:rPr>
        <w:t>P</w:t>
      </w:r>
      <w:r w:rsidR="00EC3A47" w:rsidRPr="00E75F6C">
        <w:rPr>
          <w:rFonts w:ascii="Book Antiqua" w:hAnsi="Book Antiqua"/>
          <w:sz w:val="24"/>
          <w:szCs w:val="24"/>
        </w:rPr>
        <w:t xml:space="preserve"> </w:t>
      </w:r>
      <w:r w:rsidR="00EC3A47" w:rsidRPr="00E75F6C">
        <w:rPr>
          <w:rFonts w:ascii="Times New Roman" w:hAnsi="Times New Roman" w:cs="Times New Roman"/>
          <w:sz w:val="24"/>
          <w:szCs w:val="24"/>
        </w:rPr>
        <w:t> </w:t>
      </w:r>
      <w:r w:rsidR="00EC3A47" w:rsidRPr="00E75F6C">
        <w:rPr>
          <w:rFonts w:ascii="Book Antiqua" w:hAnsi="Book Antiqua"/>
          <w:sz w:val="24"/>
          <w:szCs w:val="24"/>
        </w:rPr>
        <w:t>&lt;</w:t>
      </w:r>
      <w:r w:rsidR="00EC3A47" w:rsidRPr="00E75F6C">
        <w:rPr>
          <w:rFonts w:ascii="Times New Roman" w:hAnsi="Times New Roman" w:cs="Times New Roman"/>
          <w:sz w:val="24"/>
          <w:szCs w:val="24"/>
        </w:rPr>
        <w:t> </w:t>
      </w:r>
      <w:r w:rsidR="00EC3A47" w:rsidRPr="00E75F6C">
        <w:rPr>
          <w:rFonts w:ascii="Book Antiqua" w:hAnsi="Book Antiqua"/>
          <w:sz w:val="24"/>
          <w:szCs w:val="24"/>
        </w:rPr>
        <w:t xml:space="preserve"> </w:t>
      </w:r>
      <w:r w:rsidR="00523E72">
        <w:rPr>
          <w:rFonts w:ascii="Book Antiqua" w:hAnsi="Book Antiqua" w:hint="eastAsia"/>
          <w:sz w:val="24"/>
          <w:szCs w:val="24"/>
          <w:lang w:eastAsia="zh-CN"/>
        </w:rPr>
        <w:t>0</w:t>
      </w:r>
      <w:r w:rsidR="00EC3A47" w:rsidRPr="00E75F6C">
        <w:rPr>
          <w:rFonts w:ascii="Book Antiqua" w:hAnsi="Book Antiqua"/>
          <w:sz w:val="24"/>
          <w:szCs w:val="24"/>
        </w:rPr>
        <w:t xml:space="preserve">.005). </w:t>
      </w:r>
      <w:proofErr w:type="spellStart"/>
      <w:r w:rsidR="00EC3A47" w:rsidRPr="00E75F6C">
        <w:rPr>
          <w:rFonts w:ascii="Book Antiqua" w:hAnsi="Book Antiqua"/>
          <w:sz w:val="24"/>
          <w:szCs w:val="24"/>
        </w:rPr>
        <w:t>Zittan</w:t>
      </w:r>
      <w:proofErr w:type="spellEnd"/>
      <w:r w:rsidR="00EC3A47" w:rsidRPr="00E75F6C">
        <w:rPr>
          <w:rFonts w:ascii="Book Antiqua" w:hAnsi="Book Antiqua"/>
          <w:sz w:val="24"/>
          <w:szCs w:val="24"/>
        </w:rPr>
        <w:t xml:space="preserve"> </w:t>
      </w:r>
      <w:r w:rsidR="00EC3A47" w:rsidRPr="0055492C">
        <w:rPr>
          <w:rFonts w:ascii="Book Antiqua" w:hAnsi="Book Antiqua"/>
          <w:i/>
          <w:sz w:val="24"/>
          <w:szCs w:val="24"/>
        </w:rPr>
        <w:t xml:space="preserve">et </w:t>
      </w:r>
      <w:proofErr w:type="gramStart"/>
      <w:r w:rsidR="00EC3A47" w:rsidRPr="0055492C">
        <w:rPr>
          <w:rFonts w:ascii="Book Antiqua" w:hAnsi="Book Antiqua"/>
          <w:i/>
          <w:sz w:val="24"/>
          <w:szCs w:val="24"/>
        </w:rPr>
        <w:t>al</w:t>
      </w:r>
      <w:r w:rsidR="0055492C" w:rsidRPr="00523E72">
        <w:rPr>
          <w:rFonts w:ascii="Book Antiqua" w:hAnsi="Book Antiqua"/>
          <w:sz w:val="24"/>
          <w:szCs w:val="24"/>
          <w:vertAlign w:val="superscript"/>
        </w:rPr>
        <w:t>[</w:t>
      </w:r>
      <w:proofErr w:type="gramEnd"/>
      <w:r w:rsidR="0055492C">
        <w:rPr>
          <w:rFonts w:ascii="Book Antiqua" w:hAnsi="Book Antiqua"/>
          <w:sz w:val="24"/>
          <w:szCs w:val="24"/>
          <w:vertAlign w:val="superscript"/>
        </w:rPr>
        <w:t>67</w:t>
      </w:r>
      <w:r w:rsidR="0055492C" w:rsidRPr="00496750">
        <w:rPr>
          <w:rFonts w:ascii="Book Antiqua" w:hAnsi="Book Antiqua"/>
          <w:sz w:val="24"/>
          <w:szCs w:val="24"/>
          <w:vertAlign w:val="superscript"/>
        </w:rPr>
        <w:t>]</w:t>
      </w:r>
      <w:r w:rsidR="00EC3A47" w:rsidRPr="00E75F6C">
        <w:rPr>
          <w:rFonts w:ascii="Book Antiqua" w:hAnsi="Book Antiqua"/>
          <w:sz w:val="24"/>
          <w:szCs w:val="24"/>
        </w:rPr>
        <w:t xml:space="preserve"> </w:t>
      </w:r>
      <w:r w:rsidR="00CF0EC7" w:rsidRPr="00E75F6C">
        <w:rPr>
          <w:rFonts w:ascii="Book Antiqua" w:hAnsi="Book Antiqua"/>
          <w:sz w:val="24"/>
          <w:szCs w:val="24"/>
        </w:rPr>
        <w:t>similarly</w:t>
      </w:r>
      <w:r w:rsidR="00EC3A47" w:rsidRPr="00E75F6C">
        <w:rPr>
          <w:rFonts w:ascii="Book Antiqua" w:hAnsi="Book Antiqua"/>
          <w:sz w:val="24"/>
          <w:szCs w:val="24"/>
        </w:rPr>
        <w:t xml:space="preserve"> showed that higher </w:t>
      </w:r>
      <w:proofErr w:type="spellStart"/>
      <w:r w:rsidR="00CF0EC7" w:rsidRPr="00E75F6C">
        <w:rPr>
          <w:rFonts w:ascii="Book Antiqua" w:hAnsi="Book Antiqua"/>
          <w:sz w:val="24"/>
          <w:szCs w:val="24"/>
        </w:rPr>
        <w:t>adalimumab</w:t>
      </w:r>
      <w:proofErr w:type="spellEnd"/>
      <w:r w:rsidR="00EC3A47" w:rsidRPr="00E75F6C">
        <w:rPr>
          <w:rFonts w:ascii="Book Antiqua" w:hAnsi="Book Antiqua"/>
          <w:sz w:val="24"/>
          <w:szCs w:val="24"/>
        </w:rPr>
        <w:t xml:space="preserve"> trough levels are associated with mucosal healing. In a cohort of 60 patients, on maintenance </w:t>
      </w:r>
      <w:proofErr w:type="spellStart"/>
      <w:r w:rsidR="00CF0EC7" w:rsidRPr="00E75F6C">
        <w:rPr>
          <w:rFonts w:ascii="Book Antiqua" w:hAnsi="Book Antiqua"/>
          <w:sz w:val="24"/>
          <w:szCs w:val="24"/>
        </w:rPr>
        <w:t>adalimumab</w:t>
      </w:r>
      <w:proofErr w:type="spellEnd"/>
      <w:r w:rsidR="00EC3A47" w:rsidRPr="00E75F6C">
        <w:rPr>
          <w:rFonts w:ascii="Book Antiqua" w:hAnsi="Book Antiqua"/>
          <w:sz w:val="24"/>
          <w:szCs w:val="24"/>
        </w:rPr>
        <w:t xml:space="preserve"> therapy, a median trough of 14.7 </w:t>
      </w:r>
      <w:proofErr w:type="spellStart"/>
      <w:r w:rsidR="00EC3A47" w:rsidRPr="00E75F6C">
        <w:rPr>
          <w:rFonts w:ascii="Book Antiqua" w:hAnsi="Book Antiqua"/>
          <w:sz w:val="24"/>
          <w:szCs w:val="24"/>
        </w:rPr>
        <w:t>μg</w:t>
      </w:r>
      <w:proofErr w:type="spellEnd"/>
      <w:r w:rsidR="00EC3A47" w:rsidRPr="00E75F6C">
        <w:rPr>
          <w:rFonts w:ascii="Book Antiqua" w:hAnsi="Book Antiqua"/>
          <w:sz w:val="24"/>
          <w:szCs w:val="24"/>
        </w:rPr>
        <w:t xml:space="preserve">/mL was found in those with mucosal healing </w:t>
      </w:r>
      <w:proofErr w:type="spellStart"/>
      <w:r w:rsidR="00523E72" w:rsidRPr="00523E72">
        <w:rPr>
          <w:rFonts w:ascii="Book Antiqua" w:hAnsi="Book Antiqua" w:hint="eastAsia"/>
          <w:i/>
          <w:sz w:val="24"/>
          <w:szCs w:val="24"/>
          <w:lang w:eastAsia="zh-CN"/>
        </w:rPr>
        <w:t>vs</w:t>
      </w:r>
      <w:proofErr w:type="spellEnd"/>
      <w:r w:rsidR="00EC3A47" w:rsidRPr="00E75F6C">
        <w:rPr>
          <w:rFonts w:ascii="Book Antiqua" w:hAnsi="Book Antiqua"/>
          <w:sz w:val="24"/>
          <w:szCs w:val="24"/>
        </w:rPr>
        <w:t xml:space="preserve"> 3.4 </w:t>
      </w:r>
      <w:proofErr w:type="spellStart"/>
      <w:r w:rsidR="00EC3A47" w:rsidRPr="00E75F6C">
        <w:rPr>
          <w:rFonts w:ascii="Book Antiqua" w:hAnsi="Book Antiqua"/>
          <w:sz w:val="24"/>
          <w:szCs w:val="24"/>
        </w:rPr>
        <w:t>μg</w:t>
      </w:r>
      <w:proofErr w:type="spellEnd"/>
      <w:r w:rsidR="00EC3A47" w:rsidRPr="00E75F6C">
        <w:rPr>
          <w:rFonts w:ascii="Book Antiqua" w:hAnsi="Book Antiqua"/>
          <w:sz w:val="24"/>
          <w:szCs w:val="24"/>
        </w:rPr>
        <w:t>/mL in</w:t>
      </w:r>
      <w:r w:rsidR="00521499" w:rsidRPr="00E75F6C">
        <w:rPr>
          <w:rFonts w:ascii="Book Antiqua" w:hAnsi="Book Antiqua"/>
          <w:sz w:val="24"/>
          <w:szCs w:val="24"/>
        </w:rPr>
        <w:t xml:space="preserve"> those without, </w:t>
      </w:r>
      <w:r w:rsidR="00523E72" w:rsidRPr="00523E72">
        <w:rPr>
          <w:rFonts w:ascii="Book Antiqua" w:hAnsi="Book Antiqua"/>
          <w:i/>
          <w:sz w:val="24"/>
          <w:szCs w:val="24"/>
        </w:rPr>
        <w:t>P</w:t>
      </w:r>
      <w:r w:rsidR="00523E72">
        <w:rPr>
          <w:rFonts w:ascii="Book Antiqua" w:hAnsi="Book Antiqua" w:hint="eastAsia"/>
          <w:sz w:val="24"/>
          <w:szCs w:val="24"/>
          <w:lang w:eastAsia="zh-CN"/>
        </w:rPr>
        <w:t xml:space="preserve"> </w:t>
      </w:r>
      <w:r w:rsidR="00521499" w:rsidRPr="00E75F6C">
        <w:rPr>
          <w:rFonts w:ascii="Book Antiqua" w:hAnsi="Book Antiqua"/>
          <w:sz w:val="24"/>
          <w:szCs w:val="24"/>
        </w:rPr>
        <w:t>=</w:t>
      </w:r>
      <w:r w:rsidR="00523E72">
        <w:rPr>
          <w:rFonts w:ascii="Book Antiqua" w:hAnsi="Book Antiqua" w:hint="eastAsia"/>
          <w:sz w:val="24"/>
          <w:szCs w:val="24"/>
          <w:lang w:eastAsia="zh-CN"/>
        </w:rPr>
        <w:t xml:space="preserve"> </w:t>
      </w:r>
      <w:r w:rsidR="00521499" w:rsidRPr="00E75F6C">
        <w:rPr>
          <w:rFonts w:ascii="Book Antiqua" w:hAnsi="Book Antiqua"/>
          <w:sz w:val="24"/>
          <w:szCs w:val="24"/>
        </w:rPr>
        <w:t>6.25</w:t>
      </w:r>
      <w:r w:rsidR="00523E72">
        <w:rPr>
          <w:rFonts w:ascii="Book Antiqua" w:hAnsi="Book Antiqua" w:hint="eastAsia"/>
          <w:sz w:val="24"/>
          <w:szCs w:val="24"/>
          <w:lang w:eastAsia="zh-CN"/>
        </w:rPr>
        <w:t xml:space="preserve"> </w:t>
      </w:r>
      <w:r w:rsidR="00523E72">
        <w:rPr>
          <w:rFonts w:ascii="Book Antiqua" w:hAnsi="Book Antiqua"/>
          <w:sz w:val="24"/>
          <w:szCs w:val="24"/>
        </w:rPr>
        <w:sym w:font="Symbol" w:char="F0B4"/>
      </w:r>
      <w:r w:rsidR="00523E72">
        <w:rPr>
          <w:rFonts w:ascii="Book Antiqua" w:hAnsi="Book Antiqua" w:hint="eastAsia"/>
          <w:sz w:val="24"/>
          <w:szCs w:val="24"/>
          <w:lang w:eastAsia="zh-CN"/>
        </w:rPr>
        <w:t xml:space="preserve"> </w:t>
      </w:r>
      <w:r w:rsidR="00521499" w:rsidRPr="00E75F6C">
        <w:rPr>
          <w:rFonts w:ascii="Book Antiqua" w:hAnsi="Book Antiqua"/>
          <w:sz w:val="24"/>
          <w:szCs w:val="24"/>
        </w:rPr>
        <w:t>10</w:t>
      </w:r>
      <w:r w:rsidR="00521499" w:rsidRPr="00523E72">
        <w:rPr>
          <w:rFonts w:ascii="Book Antiqua" w:hAnsi="Book Antiqua"/>
          <w:sz w:val="24"/>
          <w:szCs w:val="24"/>
          <w:vertAlign w:val="superscript"/>
        </w:rPr>
        <w:t>-5</w:t>
      </w:r>
      <w:r w:rsidR="00521499" w:rsidRPr="00E75F6C">
        <w:rPr>
          <w:rFonts w:ascii="Book Antiqua" w:hAnsi="Book Antiqua"/>
          <w:sz w:val="24"/>
          <w:szCs w:val="24"/>
        </w:rPr>
        <w:t>)</w:t>
      </w:r>
      <w:r w:rsidR="00496750">
        <w:rPr>
          <w:rFonts w:ascii="Book Antiqua" w:hAnsi="Book Antiqua"/>
          <w:sz w:val="24"/>
          <w:szCs w:val="24"/>
          <w:vertAlign w:val="superscript"/>
        </w:rPr>
        <w:t xml:space="preserve"> </w:t>
      </w:r>
      <w:r w:rsidR="00496750">
        <w:rPr>
          <w:rFonts w:ascii="Book Antiqua" w:hAnsi="Book Antiqua"/>
          <w:sz w:val="24"/>
          <w:szCs w:val="24"/>
        </w:rPr>
        <w:t>.</w:t>
      </w:r>
      <w:r w:rsidR="00EC3A47" w:rsidRPr="00E75F6C">
        <w:rPr>
          <w:rFonts w:ascii="Book Antiqua" w:hAnsi="Book Antiqua"/>
          <w:sz w:val="24"/>
          <w:szCs w:val="24"/>
        </w:rPr>
        <w:t>They propose a cut-off of 8.14</w:t>
      </w:r>
      <w:r w:rsidR="00523E72">
        <w:rPr>
          <w:rFonts w:ascii="Book Antiqua" w:hAnsi="Book Antiqua" w:hint="eastAsia"/>
          <w:sz w:val="24"/>
          <w:szCs w:val="24"/>
          <w:lang w:eastAsia="zh-CN"/>
        </w:rPr>
        <w:t xml:space="preserve"> </w:t>
      </w:r>
      <w:r w:rsidR="00523E72">
        <w:rPr>
          <w:rFonts w:ascii="Book Antiqua" w:hAnsi="Book Antiqua"/>
          <w:sz w:val="24"/>
          <w:szCs w:val="24"/>
        </w:rPr>
        <w:sym w:font="Symbol" w:char="F06D"/>
      </w:r>
      <w:r w:rsidR="00EC3A47" w:rsidRPr="00E75F6C">
        <w:rPr>
          <w:rFonts w:ascii="Book Antiqua" w:hAnsi="Book Antiqua"/>
          <w:sz w:val="24"/>
          <w:szCs w:val="24"/>
        </w:rPr>
        <w:t>g/m</w:t>
      </w:r>
      <w:r w:rsidR="00523E72" w:rsidRPr="00E75F6C">
        <w:rPr>
          <w:rFonts w:ascii="Book Antiqua" w:hAnsi="Book Antiqua"/>
          <w:sz w:val="24"/>
          <w:szCs w:val="24"/>
        </w:rPr>
        <w:t>L</w:t>
      </w:r>
      <w:r w:rsidR="00EC3A47" w:rsidRPr="00E75F6C">
        <w:rPr>
          <w:rFonts w:ascii="Book Antiqua" w:hAnsi="Book Antiqua"/>
          <w:sz w:val="24"/>
          <w:szCs w:val="24"/>
        </w:rPr>
        <w:t xml:space="preserve">, be used, as a target to achieve mucosal healing. </w:t>
      </w:r>
    </w:p>
    <w:p w14:paraId="03E522EA" w14:textId="77777777" w:rsidR="00523E72" w:rsidRPr="00E75F6C" w:rsidRDefault="00523E72" w:rsidP="00523E72">
      <w:pPr>
        <w:spacing w:after="0" w:line="360" w:lineRule="auto"/>
        <w:ind w:firstLineChars="150" w:firstLine="360"/>
        <w:jc w:val="both"/>
        <w:rPr>
          <w:rFonts w:ascii="Book Antiqua" w:hAnsi="Book Antiqua"/>
          <w:sz w:val="24"/>
          <w:szCs w:val="24"/>
          <w:lang w:eastAsia="zh-CN"/>
        </w:rPr>
      </w:pPr>
    </w:p>
    <w:p w14:paraId="08790F47" w14:textId="77777777" w:rsidR="00137061" w:rsidRPr="00E75F6C" w:rsidRDefault="00523E72" w:rsidP="00AD1560">
      <w:pPr>
        <w:spacing w:after="0" w:line="360" w:lineRule="auto"/>
        <w:jc w:val="both"/>
        <w:rPr>
          <w:rFonts w:ascii="Book Antiqua" w:hAnsi="Book Antiqua"/>
          <w:b/>
          <w:sz w:val="24"/>
          <w:szCs w:val="24"/>
        </w:rPr>
      </w:pPr>
      <w:r w:rsidRPr="00E75F6C">
        <w:rPr>
          <w:rFonts w:ascii="Book Antiqua" w:hAnsi="Book Antiqua"/>
          <w:b/>
          <w:sz w:val="24"/>
          <w:szCs w:val="24"/>
        </w:rPr>
        <w:lastRenderedPageBreak/>
        <w:t>APPLICATION OF IMMUNOMONITORING</w:t>
      </w:r>
    </w:p>
    <w:p w14:paraId="274BC6F9" w14:textId="77777777" w:rsidR="00C329EA" w:rsidRDefault="005C4124" w:rsidP="00AD1560">
      <w:pPr>
        <w:spacing w:after="0" w:line="360" w:lineRule="auto"/>
        <w:jc w:val="both"/>
        <w:rPr>
          <w:rFonts w:ascii="Book Antiqua" w:hAnsi="Book Antiqua"/>
          <w:sz w:val="24"/>
          <w:szCs w:val="24"/>
          <w:lang w:eastAsia="zh-CN"/>
        </w:rPr>
      </w:pPr>
      <w:proofErr w:type="spellStart"/>
      <w:r w:rsidRPr="00E75F6C">
        <w:rPr>
          <w:rFonts w:ascii="Book Antiqua" w:hAnsi="Book Antiqua"/>
          <w:sz w:val="24"/>
          <w:szCs w:val="24"/>
        </w:rPr>
        <w:t>Immunomonitoring</w:t>
      </w:r>
      <w:proofErr w:type="spellEnd"/>
      <w:r w:rsidRPr="00E75F6C">
        <w:rPr>
          <w:rFonts w:ascii="Book Antiqua" w:hAnsi="Book Antiqua"/>
          <w:sz w:val="24"/>
          <w:szCs w:val="24"/>
        </w:rPr>
        <w:t xml:space="preserve"> may be utilised at different stages of the treatment pathway, from induction, to m</w:t>
      </w:r>
      <w:r w:rsidR="00DC0331" w:rsidRPr="00E75F6C">
        <w:rPr>
          <w:rFonts w:ascii="Book Antiqua" w:hAnsi="Book Antiqua"/>
          <w:sz w:val="24"/>
          <w:szCs w:val="24"/>
        </w:rPr>
        <w:t>aintenance phase and finally re</w:t>
      </w:r>
      <w:r w:rsidRPr="00E75F6C">
        <w:rPr>
          <w:rFonts w:ascii="Book Antiqua" w:hAnsi="Book Antiqua"/>
          <w:sz w:val="24"/>
          <w:szCs w:val="24"/>
        </w:rPr>
        <w:t>mis</w:t>
      </w:r>
      <w:r w:rsidR="00DC0331" w:rsidRPr="00E75F6C">
        <w:rPr>
          <w:rFonts w:ascii="Book Antiqua" w:hAnsi="Book Antiqua"/>
          <w:sz w:val="24"/>
          <w:szCs w:val="24"/>
        </w:rPr>
        <w:t>s</w:t>
      </w:r>
      <w:r w:rsidRPr="00E75F6C">
        <w:rPr>
          <w:rFonts w:ascii="Book Antiqua" w:hAnsi="Book Antiqua"/>
          <w:sz w:val="24"/>
          <w:szCs w:val="24"/>
        </w:rPr>
        <w:t>ion</w:t>
      </w:r>
      <w:r w:rsidR="00523E72">
        <w:rPr>
          <w:rFonts w:ascii="Book Antiqua" w:hAnsi="Book Antiqua" w:hint="eastAsia"/>
          <w:sz w:val="24"/>
          <w:szCs w:val="24"/>
          <w:lang w:eastAsia="zh-CN"/>
        </w:rPr>
        <w:t>.</w:t>
      </w:r>
    </w:p>
    <w:p w14:paraId="211D106E" w14:textId="77777777" w:rsidR="00523E72" w:rsidRDefault="00523E72" w:rsidP="00523E72">
      <w:pPr>
        <w:spacing w:after="0" w:line="360" w:lineRule="auto"/>
        <w:jc w:val="both"/>
        <w:rPr>
          <w:rFonts w:ascii="Book Antiqua" w:hAnsi="Book Antiqua"/>
          <w:sz w:val="24"/>
          <w:szCs w:val="24"/>
          <w:lang w:eastAsia="zh-CN"/>
        </w:rPr>
      </w:pPr>
    </w:p>
    <w:p w14:paraId="730C1ADC" w14:textId="77777777" w:rsidR="005C4124" w:rsidRPr="00523E72" w:rsidRDefault="005C4124" w:rsidP="00523E72">
      <w:pPr>
        <w:spacing w:after="0" w:line="360" w:lineRule="auto"/>
        <w:jc w:val="both"/>
        <w:rPr>
          <w:rFonts w:ascii="Book Antiqua" w:hAnsi="Book Antiqua"/>
          <w:b/>
          <w:i/>
          <w:sz w:val="24"/>
          <w:szCs w:val="24"/>
        </w:rPr>
      </w:pPr>
      <w:r w:rsidRPr="00523E72">
        <w:rPr>
          <w:rFonts w:ascii="Book Antiqua" w:hAnsi="Book Antiqua"/>
          <w:b/>
          <w:i/>
          <w:sz w:val="24"/>
          <w:szCs w:val="24"/>
        </w:rPr>
        <w:t xml:space="preserve">Induction/Early </w:t>
      </w:r>
      <w:proofErr w:type="spellStart"/>
      <w:r w:rsidRPr="00523E72">
        <w:rPr>
          <w:rFonts w:ascii="Book Antiqua" w:hAnsi="Book Antiqua"/>
          <w:b/>
          <w:i/>
          <w:sz w:val="24"/>
          <w:szCs w:val="24"/>
        </w:rPr>
        <w:t>immunomonitoring</w:t>
      </w:r>
      <w:proofErr w:type="spellEnd"/>
    </w:p>
    <w:p w14:paraId="326F4E07" w14:textId="389FAB8E" w:rsidR="0017787B" w:rsidRPr="00E75F6C" w:rsidRDefault="00993B77" w:rsidP="00AD1560">
      <w:pPr>
        <w:spacing w:after="0" w:line="360" w:lineRule="auto"/>
        <w:jc w:val="both"/>
        <w:rPr>
          <w:rFonts w:ascii="Book Antiqua" w:hAnsi="Book Antiqua"/>
          <w:sz w:val="24"/>
          <w:szCs w:val="24"/>
        </w:rPr>
      </w:pPr>
      <w:r w:rsidRPr="00E75F6C">
        <w:rPr>
          <w:rFonts w:ascii="Book Antiqua" w:hAnsi="Book Antiqua"/>
          <w:sz w:val="24"/>
          <w:szCs w:val="24"/>
        </w:rPr>
        <w:t>As ever with the management of IBD timing is cr</w:t>
      </w:r>
      <w:r w:rsidR="00152AB8" w:rsidRPr="00E75F6C">
        <w:rPr>
          <w:rFonts w:ascii="Book Antiqua" w:hAnsi="Book Antiqua"/>
          <w:sz w:val="24"/>
          <w:szCs w:val="24"/>
        </w:rPr>
        <w:t>ucial, specifically at the key time points</w:t>
      </w:r>
      <w:r w:rsidRPr="00E75F6C">
        <w:rPr>
          <w:rFonts w:ascii="Book Antiqua" w:hAnsi="Book Antiqua"/>
          <w:sz w:val="24"/>
          <w:szCs w:val="24"/>
        </w:rPr>
        <w:t xml:space="preserve"> of induction, and maintenance. Low anti-TNF</w:t>
      </w:r>
      <w:r w:rsidR="0055454E">
        <w:rPr>
          <w:rFonts w:ascii="Book Antiqua" w:hAnsi="Book Antiqua"/>
          <w:sz w:val="24"/>
          <w:szCs w:val="24"/>
        </w:rPr>
        <w:sym w:font="Symbol" w:char="F061"/>
      </w:r>
      <w:r w:rsidRPr="00E75F6C">
        <w:rPr>
          <w:rFonts w:ascii="Book Antiqua" w:hAnsi="Book Antiqua"/>
          <w:sz w:val="24"/>
          <w:szCs w:val="24"/>
        </w:rPr>
        <w:t xml:space="preserve"> trough levels, in the induction phase is linked to increase risk of antibody formation for both infliximab and </w:t>
      </w:r>
      <w:proofErr w:type="spellStart"/>
      <w:proofErr w:type="gramStart"/>
      <w:r w:rsidR="00B67645" w:rsidRPr="00E75F6C">
        <w:rPr>
          <w:rFonts w:ascii="Book Antiqua" w:hAnsi="Book Antiqua"/>
          <w:sz w:val="24"/>
          <w:szCs w:val="24"/>
        </w:rPr>
        <w:t>adalimumab</w:t>
      </w:r>
      <w:proofErr w:type="spellEnd"/>
      <w:r w:rsidR="00523E72" w:rsidRPr="00523E72">
        <w:rPr>
          <w:rFonts w:ascii="Book Antiqua" w:hAnsi="Book Antiqua"/>
          <w:sz w:val="24"/>
          <w:szCs w:val="24"/>
          <w:vertAlign w:val="superscript"/>
        </w:rPr>
        <w:t>[</w:t>
      </w:r>
      <w:proofErr w:type="gramEnd"/>
      <w:r w:rsidR="007B6D6A">
        <w:rPr>
          <w:rFonts w:ascii="Book Antiqua" w:hAnsi="Book Antiqua"/>
          <w:sz w:val="24"/>
          <w:szCs w:val="24"/>
          <w:vertAlign w:val="superscript"/>
        </w:rPr>
        <w:t>68-69</w:t>
      </w:r>
      <w:r w:rsidR="00496750" w:rsidRPr="00496750">
        <w:rPr>
          <w:rFonts w:ascii="Book Antiqua" w:hAnsi="Book Antiqua"/>
          <w:sz w:val="24"/>
          <w:szCs w:val="24"/>
          <w:vertAlign w:val="superscript"/>
        </w:rPr>
        <w:t>]</w:t>
      </w:r>
      <w:r w:rsidR="004E3CE2" w:rsidRPr="00E75F6C">
        <w:rPr>
          <w:rFonts w:ascii="Book Antiqua" w:hAnsi="Book Antiqua"/>
          <w:sz w:val="24"/>
          <w:szCs w:val="24"/>
        </w:rPr>
        <w:t>.</w:t>
      </w:r>
      <w:r w:rsidRPr="00E75F6C">
        <w:rPr>
          <w:rFonts w:ascii="Book Antiqua" w:hAnsi="Book Antiqua"/>
          <w:sz w:val="24"/>
          <w:szCs w:val="24"/>
        </w:rPr>
        <w:t xml:space="preserve"> </w:t>
      </w:r>
      <w:r w:rsidR="00267CA4" w:rsidRPr="00E75F6C">
        <w:rPr>
          <w:rFonts w:ascii="Book Antiqua" w:hAnsi="Book Antiqua"/>
          <w:sz w:val="24"/>
          <w:szCs w:val="24"/>
        </w:rPr>
        <w:t xml:space="preserve">Data though on optimal trough levels at induction phase is limited. However a </w:t>
      </w:r>
      <w:r w:rsidRPr="00E75F6C">
        <w:rPr>
          <w:rFonts w:ascii="Book Antiqua" w:hAnsi="Book Antiqua"/>
          <w:sz w:val="24"/>
          <w:szCs w:val="24"/>
        </w:rPr>
        <w:t xml:space="preserve">recent </w:t>
      </w:r>
      <w:r w:rsidR="00267CA4" w:rsidRPr="00E75F6C">
        <w:rPr>
          <w:rFonts w:ascii="Book Antiqua" w:hAnsi="Book Antiqua"/>
          <w:sz w:val="24"/>
          <w:szCs w:val="24"/>
        </w:rPr>
        <w:t>Belgian study of 101 patients with UC, who completed induction therapy with infliximab has</w:t>
      </w:r>
      <w:r w:rsidRPr="00E75F6C">
        <w:rPr>
          <w:rFonts w:ascii="Book Antiqua" w:hAnsi="Book Antiqua"/>
          <w:sz w:val="24"/>
          <w:szCs w:val="24"/>
        </w:rPr>
        <w:t xml:space="preserve"> demonstrated that </w:t>
      </w:r>
      <w:r w:rsidR="00267CA4" w:rsidRPr="00E75F6C">
        <w:rPr>
          <w:rFonts w:ascii="Book Antiqua" w:hAnsi="Book Antiqua"/>
          <w:sz w:val="24"/>
          <w:szCs w:val="24"/>
        </w:rPr>
        <w:t>higher infliximab trough levels are associated with increased likelihood of short term mucosal healing</w:t>
      </w:r>
      <w:r w:rsidR="00523E72" w:rsidRPr="00523E72">
        <w:rPr>
          <w:rFonts w:ascii="Book Antiqua" w:hAnsi="Book Antiqua"/>
          <w:sz w:val="24"/>
          <w:szCs w:val="24"/>
          <w:vertAlign w:val="superscript"/>
        </w:rPr>
        <w:t>[</w:t>
      </w:r>
      <w:r w:rsidR="007B6D6A">
        <w:rPr>
          <w:rFonts w:ascii="Book Antiqua" w:hAnsi="Book Antiqua"/>
          <w:sz w:val="24"/>
          <w:szCs w:val="24"/>
          <w:vertAlign w:val="superscript"/>
        </w:rPr>
        <w:t>70</w:t>
      </w:r>
      <w:r w:rsidR="0066649A" w:rsidRPr="0066649A">
        <w:rPr>
          <w:rFonts w:ascii="Book Antiqua" w:hAnsi="Book Antiqua"/>
          <w:sz w:val="24"/>
          <w:szCs w:val="24"/>
          <w:vertAlign w:val="superscript"/>
        </w:rPr>
        <w:t>]</w:t>
      </w:r>
      <w:r w:rsidR="0066649A">
        <w:rPr>
          <w:rFonts w:ascii="Book Antiqua" w:hAnsi="Book Antiqua"/>
          <w:sz w:val="24"/>
          <w:szCs w:val="24"/>
          <w:vertAlign w:val="superscript"/>
        </w:rPr>
        <w:t xml:space="preserve"> </w:t>
      </w:r>
      <w:r w:rsidR="00267CA4" w:rsidRPr="00E75F6C">
        <w:rPr>
          <w:rFonts w:ascii="Book Antiqua" w:hAnsi="Book Antiqua"/>
          <w:sz w:val="24"/>
          <w:szCs w:val="24"/>
        </w:rPr>
        <w:t>Multiple logistic regression analysis identified infliximab concentration ≥</w:t>
      </w:r>
      <w:r w:rsidR="00523E72">
        <w:rPr>
          <w:rFonts w:ascii="Book Antiqua" w:hAnsi="Book Antiqua" w:hint="eastAsia"/>
          <w:sz w:val="24"/>
          <w:szCs w:val="24"/>
          <w:lang w:eastAsia="zh-CN"/>
        </w:rPr>
        <w:t xml:space="preserve"> </w:t>
      </w:r>
      <w:r w:rsidR="00267CA4" w:rsidRPr="00E75F6C">
        <w:rPr>
          <w:rFonts w:ascii="Book Antiqua" w:hAnsi="Book Antiqua"/>
          <w:sz w:val="24"/>
          <w:szCs w:val="24"/>
        </w:rPr>
        <w:t>15 at week 6 (</w:t>
      </w:r>
      <w:r w:rsidR="00267CA4" w:rsidRPr="00523E72">
        <w:rPr>
          <w:rFonts w:ascii="Book Antiqua" w:hAnsi="Book Antiqua"/>
          <w:i/>
          <w:sz w:val="24"/>
          <w:szCs w:val="24"/>
        </w:rPr>
        <w:t>P</w:t>
      </w:r>
      <w:r w:rsidR="00523E72">
        <w:rPr>
          <w:rFonts w:ascii="Book Antiqua" w:hAnsi="Book Antiqua" w:hint="eastAsia"/>
          <w:sz w:val="24"/>
          <w:szCs w:val="24"/>
          <w:lang w:eastAsia="zh-CN"/>
        </w:rPr>
        <w:t xml:space="preserve"> </w:t>
      </w:r>
      <w:r w:rsidR="00267CA4" w:rsidRPr="00E75F6C">
        <w:rPr>
          <w:rFonts w:ascii="Book Antiqua" w:hAnsi="Book Antiqua"/>
          <w:sz w:val="24"/>
          <w:szCs w:val="24"/>
        </w:rPr>
        <w:t>=</w:t>
      </w:r>
      <w:r w:rsidR="00523E72">
        <w:rPr>
          <w:rFonts w:ascii="Book Antiqua" w:hAnsi="Book Antiqua" w:hint="eastAsia"/>
          <w:sz w:val="24"/>
          <w:szCs w:val="24"/>
          <w:lang w:eastAsia="zh-CN"/>
        </w:rPr>
        <w:t xml:space="preserve"> 0</w:t>
      </w:r>
      <w:r w:rsidR="00267CA4" w:rsidRPr="00E75F6C">
        <w:rPr>
          <w:rFonts w:ascii="Book Antiqua" w:hAnsi="Book Antiqua"/>
          <w:sz w:val="24"/>
          <w:szCs w:val="24"/>
        </w:rPr>
        <w:t>.025</w:t>
      </w:r>
      <w:r w:rsidR="00CA2E80">
        <w:rPr>
          <w:rFonts w:ascii="Book Antiqua" w:hAnsi="Book Antiqua" w:hint="eastAsia"/>
          <w:sz w:val="24"/>
          <w:szCs w:val="24"/>
          <w:lang w:eastAsia="zh-CN"/>
        </w:rPr>
        <w:t>,</w:t>
      </w:r>
      <w:r w:rsidR="00267CA4" w:rsidRPr="00E75F6C">
        <w:rPr>
          <w:rFonts w:ascii="Book Antiqua" w:hAnsi="Book Antiqua"/>
          <w:sz w:val="24"/>
          <w:szCs w:val="24"/>
        </w:rPr>
        <w:t xml:space="preserve"> </w:t>
      </w:r>
      <w:r w:rsidR="00CA2E80">
        <w:rPr>
          <w:rFonts w:ascii="Book Antiqua" w:hAnsi="Book Antiqua" w:hint="eastAsia"/>
          <w:sz w:val="24"/>
          <w:szCs w:val="24"/>
          <w:lang w:eastAsia="zh-CN"/>
        </w:rPr>
        <w:t>OR =</w:t>
      </w:r>
      <w:r w:rsidR="00267CA4" w:rsidRPr="00E75F6C">
        <w:rPr>
          <w:rFonts w:ascii="Book Antiqua" w:hAnsi="Book Antiqua"/>
          <w:sz w:val="24"/>
          <w:szCs w:val="24"/>
        </w:rPr>
        <w:t xml:space="preserve"> 4.6</w:t>
      </w:r>
      <w:r w:rsidR="00CA2E80">
        <w:rPr>
          <w:rFonts w:ascii="Book Antiqua" w:hAnsi="Book Antiqua" w:hint="eastAsia"/>
          <w:sz w:val="24"/>
          <w:szCs w:val="24"/>
          <w:lang w:eastAsia="zh-CN"/>
        </w:rPr>
        <w:t xml:space="preserve">, </w:t>
      </w:r>
      <w:r w:rsidR="00267CA4" w:rsidRPr="00E75F6C">
        <w:rPr>
          <w:rFonts w:ascii="Book Antiqua" w:hAnsi="Book Antiqua"/>
          <w:sz w:val="24"/>
          <w:szCs w:val="24"/>
        </w:rPr>
        <w:t>95%</w:t>
      </w:r>
      <w:r w:rsidR="00CA2E80">
        <w:rPr>
          <w:rFonts w:ascii="Book Antiqua" w:hAnsi="Book Antiqua" w:hint="eastAsia"/>
          <w:sz w:val="24"/>
          <w:szCs w:val="24"/>
          <w:lang w:eastAsia="zh-CN"/>
        </w:rPr>
        <w:t>CI:</w:t>
      </w:r>
      <w:r w:rsidR="00267CA4" w:rsidRPr="00E75F6C">
        <w:rPr>
          <w:rFonts w:ascii="Book Antiqua" w:hAnsi="Book Antiqua"/>
          <w:sz w:val="24"/>
          <w:szCs w:val="24"/>
        </w:rPr>
        <w:t xml:space="preserve"> 1.2-17.1) and ≥</w:t>
      </w:r>
      <w:r w:rsidR="00CA2E80">
        <w:rPr>
          <w:rFonts w:ascii="Book Antiqua" w:hAnsi="Book Antiqua" w:hint="eastAsia"/>
          <w:sz w:val="24"/>
          <w:szCs w:val="24"/>
          <w:lang w:eastAsia="zh-CN"/>
        </w:rPr>
        <w:t xml:space="preserve"> </w:t>
      </w:r>
      <w:r w:rsidR="00267CA4" w:rsidRPr="00E75F6C">
        <w:rPr>
          <w:rFonts w:ascii="Book Antiqua" w:hAnsi="Book Antiqua"/>
          <w:sz w:val="24"/>
          <w:szCs w:val="24"/>
        </w:rPr>
        <w:t xml:space="preserve">2.1 </w:t>
      </w:r>
      <w:proofErr w:type="spellStart"/>
      <w:r w:rsidR="00267CA4" w:rsidRPr="00E75F6C">
        <w:rPr>
          <w:rFonts w:ascii="Book Antiqua" w:hAnsi="Book Antiqua"/>
          <w:sz w:val="24"/>
          <w:szCs w:val="24"/>
        </w:rPr>
        <w:t>μg</w:t>
      </w:r>
      <w:proofErr w:type="spellEnd"/>
      <w:r w:rsidR="00267CA4" w:rsidRPr="00E75F6C">
        <w:rPr>
          <w:rFonts w:ascii="Book Antiqua" w:hAnsi="Book Antiqua"/>
          <w:sz w:val="24"/>
          <w:szCs w:val="24"/>
        </w:rPr>
        <w:t>/m</w:t>
      </w:r>
      <w:r w:rsidR="00CA2E80" w:rsidRPr="00E75F6C">
        <w:rPr>
          <w:rFonts w:ascii="Book Antiqua" w:hAnsi="Book Antiqua"/>
          <w:sz w:val="24"/>
          <w:szCs w:val="24"/>
        </w:rPr>
        <w:t>L</w:t>
      </w:r>
      <w:r w:rsidR="00267CA4" w:rsidRPr="00E75F6C">
        <w:rPr>
          <w:rFonts w:ascii="Book Antiqua" w:hAnsi="Book Antiqua"/>
          <w:sz w:val="24"/>
          <w:szCs w:val="24"/>
        </w:rPr>
        <w:t xml:space="preserve"> at week 14 (</w:t>
      </w:r>
      <w:r w:rsidR="00267CA4" w:rsidRPr="00CA2E80">
        <w:rPr>
          <w:rFonts w:ascii="Book Antiqua" w:hAnsi="Book Antiqua"/>
          <w:i/>
          <w:sz w:val="24"/>
          <w:szCs w:val="24"/>
        </w:rPr>
        <w:t>P</w:t>
      </w:r>
      <w:r w:rsidR="00CA2E80">
        <w:rPr>
          <w:rFonts w:ascii="Book Antiqua" w:hAnsi="Book Antiqua" w:hint="eastAsia"/>
          <w:sz w:val="24"/>
          <w:szCs w:val="24"/>
          <w:lang w:eastAsia="zh-CN"/>
        </w:rPr>
        <w:t xml:space="preserve"> </w:t>
      </w:r>
      <w:r w:rsidR="00267CA4" w:rsidRPr="00E75F6C">
        <w:rPr>
          <w:rFonts w:ascii="Book Antiqua" w:hAnsi="Book Antiqua"/>
          <w:sz w:val="24"/>
          <w:szCs w:val="24"/>
        </w:rPr>
        <w:t>=</w:t>
      </w:r>
      <w:r w:rsidR="00CA2E80">
        <w:rPr>
          <w:rFonts w:ascii="Book Antiqua" w:hAnsi="Book Antiqua" w:hint="eastAsia"/>
          <w:sz w:val="24"/>
          <w:szCs w:val="24"/>
          <w:lang w:eastAsia="zh-CN"/>
        </w:rPr>
        <w:t xml:space="preserve"> 0</w:t>
      </w:r>
      <w:r w:rsidR="00267CA4" w:rsidRPr="00E75F6C">
        <w:rPr>
          <w:rFonts w:ascii="Book Antiqua" w:hAnsi="Book Antiqua"/>
          <w:sz w:val="24"/>
          <w:szCs w:val="24"/>
        </w:rPr>
        <w:t>.004</w:t>
      </w:r>
      <w:r w:rsidR="00CA2E80">
        <w:rPr>
          <w:rFonts w:ascii="Book Antiqua" w:hAnsi="Book Antiqua" w:hint="eastAsia"/>
          <w:sz w:val="24"/>
          <w:szCs w:val="24"/>
          <w:lang w:eastAsia="zh-CN"/>
        </w:rPr>
        <w:t>,</w:t>
      </w:r>
      <w:r w:rsidR="00267CA4" w:rsidRPr="00E75F6C">
        <w:rPr>
          <w:rFonts w:ascii="Book Antiqua" w:hAnsi="Book Antiqua"/>
          <w:sz w:val="24"/>
          <w:szCs w:val="24"/>
        </w:rPr>
        <w:t xml:space="preserve"> </w:t>
      </w:r>
      <w:r w:rsidR="00CA2E80">
        <w:rPr>
          <w:rFonts w:ascii="Book Antiqua" w:hAnsi="Book Antiqua" w:hint="eastAsia"/>
          <w:sz w:val="24"/>
          <w:szCs w:val="24"/>
          <w:lang w:eastAsia="zh-CN"/>
        </w:rPr>
        <w:t>OR =</w:t>
      </w:r>
      <w:r w:rsidR="00CA2E80" w:rsidRPr="00E75F6C">
        <w:rPr>
          <w:rFonts w:ascii="Book Antiqua" w:hAnsi="Book Antiqua"/>
          <w:sz w:val="24"/>
          <w:szCs w:val="24"/>
        </w:rPr>
        <w:t xml:space="preserve"> </w:t>
      </w:r>
      <w:r w:rsidR="00CA2E80">
        <w:rPr>
          <w:rFonts w:ascii="Book Antiqua" w:hAnsi="Book Antiqua" w:hint="eastAsia"/>
          <w:sz w:val="24"/>
          <w:szCs w:val="24"/>
          <w:lang w:eastAsia="zh-CN"/>
        </w:rPr>
        <w:t>5</w:t>
      </w:r>
      <w:r w:rsidR="00CA2E80" w:rsidRPr="00E75F6C">
        <w:rPr>
          <w:rFonts w:ascii="Book Antiqua" w:hAnsi="Book Antiqua"/>
          <w:sz w:val="24"/>
          <w:szCs w:val="24"/>
        </w:rPr>
        <w:t>.6</w:t>
      </w:r>
      <w:r w:rsidR="00CA2E80">
        <w:rPr>
          <w:rFonts w:ascii="Book Antiqua" w:hAnsi="Book Antiqua" w:hint="eastAsia"/>
          <w:sz w:val="24"/>
          <w:szCs w:val="24"/>
          <w:lang w:eastAsia="zh-CN"/>
        </w:rPr>
        <w:t>,</w:t>
      </w:r>
      <w:r w:rsidR="00267CA4" w:rsidRPr="00E75F6C">
        <w:rPr>
          <w:rFonts w:ascii="Book Antiqua" w:hAnsi="Book Antiqua"/>
          <w:sz w:val="24"/>
          <w:szCs w:val="24"/>
        </w:rPr>
        <w:t xml:space="preserve"> </w:t>
      </w:r>
      <w:r w:rsidR="00CA2E80" w:rsidRPr="00E75F6C">
        <w:rPr>
          <w:rFonts w:ascii="Book Antiqua" w:hAnsi="Book Antiqua"/>
          <w:sz w:val="24"/>
          <w:szCs w:val="24"/>
        </w:rPr>
        <w:t>95%</w:t>
      </w:r>
      <w:r w:rsidR="00CA2E80">
        <w:rPr>
          <w:rFonts w:ascii="Book Antiqua" w:hAnsi="Book Antiqua" w:hint="eastAsia"/>
          <w:sz w:val="24"/>
          <w:szCs w:val="24"/>
          <w:lang w:eastAsia="zh-CN"/>
        </w:rPr>
        <w:t>CI:</w:t>
      </w:r>
      <w:r w:rsidR="00267CA4" w:rsidRPr="00E75F6C">
        <w:rPr>
          <w:rFonts w:ascii="Book Antiqua" w:hAnsi="Book Antiqua"/>
          <w:sz w:val="24"/>
          <w:szCs w:val="24"/>
        </w:rPr>
        <w:t xml:space="preserve"> 1.7-18) as independent factors associated with short term mucosal </w:t>
      </w:r>
      <w:r w:rsidR="0017787B" w:rsidRPr="00E75F6C">
        <w:rPr>
          <w:rFonts w:ascii="Book Antiqua" w:hAnsi="Book Antiqua"/>
          <w:sz w:val="24"/>
          <w:szCs w:val="24"/>
        </w:rPr>
        <w:t xml:space="preserve">healing. Further randomised studies are required, but this suggests that a targeted approach, achieving therapeutic trough levels, particularly after completion of induction phase of therapy, will help optimise response and remission rates. </w:t>
      </w:r>
    </w:p>
    <w:p w14:paraId="73112FCB" w14:textId="2A370E17" w:rsidR="003E257B" w:rsidRPr="00E75F6C" w:rsidRDefault="003E257B" w:rsidP="00CA2E80">
      <w:pPr>
        <w:spacing w:after="0" w:line="360" w:lineRule="auto"/>
        <w:ind w:firstLineChars="150" w:firstLine="360"/>
        <w:jc w:val="both"/>
        <w:rPr>
          <w:rFonts w:ascii="Book Antiqua" w:hAnsi="Book Antiqua"/>
          <w:sz w:val="24"/>
          <w:szCs w:val="24"/>
        </w:rPr>
      </w:pPr>
      <w:proofErr w:type="spellStart"/>
      <w:r w:rsidRPr="00E75F6C">
        <w:rPr>
          <w:rFonts w:ascii="Book Antiqua" w:hAnsi="Book Antiqua"/>
          <w:sz w:val="24"/>
          <w:szCs w:val="24"/>
        </w:rPr>
        <w:t>Brandse</w:t>
      </w:r>
      <w:proofErr w:type="spellEnd"/>
      <w:r w:rsidRPr="00E75F6C">
        <w:rPr>
          <w:rFonts w:ascii="Book Antiqua" w:hAnsi="Book Antiqua"/>
          <w:sz w:val="24"/>
          <w:szCs w:val="24"/>
        </w:rPr>
        <w:t xml:space="preserve"> </w:t>
      </w:r>
      <w:r w:rsidRPr="00CA2E80">
        <w:rPr>
          <w:rFonts w:ascii="Book Antiqua" w:hAnsi="Book Antiqua"/>
          <w:i/>
          <w:sz w:val="24"/>
          <w:szCs w:val="24"/>
        </w:rPr>
        <w:t>et al</w:t>
      </w:r>
      <w:r w:rsidR="00CA2E80" w:rsidRPr="00523E72">
        <w:rPr>
          <w:rFonts w:ascii="Book Antiqua" w:hAnsi="Book Antiqua"/>
          <w:sz w:val="24"/>
          <w:szCs w:val="24"/>
          <w:vertAlign w:val="superscript"/>
        </w:rPr>
        <w:t>[</w:t>
      </w:r>
      <w:r w:rsidR="00CA2E80">
        <w:rPr>
          <w:rFonts w:ascii="Book Antiqua" w:hAnsi="Book Antiqua"/>
          <w:sz w:val="24"/>
          <w:szCs w:val="24"/>
          <w:vertAlign w:val="superscript"/>
        </w:rPr>
        <w:t>7</w:t>
      </w:r>
      <w:r w:rsidR="007B6D6A">
        <w:rPr>
          <w:rFonts w:ascii="Book Antiqua" w:hAnsi="Book Antiqua"/>
          <w:sz w:val="24"/>
          <w:szCs w:val="24"/>
          <w:vertAlign w:val="superscript"/>
        </w:rPr>
        <w:t>1</w:t>
      </w:r>
      <w:r w:rsidR="00CA2E80" w:rsidRPr="0066649A">
        <w:rPr>
          <w:rFonts w:ascii="Book Antiqua" w:hAnsi="Book Antiqua"/>
          <w:sz w:val="24"/>
          <w:szCs w:val="24"/>
          <w:vertAlign w:val="superscript"/>
        </w:rPr>
        <w:t>]</w:t>
      </w:r>
      <w:r w:rsidRPr="00E75F6C">
        <w:rPr>
          <w:rFonts w:ascii="Book Antiqua" w:hAnsi="Book Antiqua"/>
          <w:sz w:val="24"/>
          <w:szCs w:val="24"/>
        </w:rPr>
        <w:t xml:space="preserve"> have also shown significant differences in IFX trough levels at 6 weeks in responders compared to non-responders after completion of induction course of IFX. The median serum concentrations of infliximab at week 6 were 8.1 </w:t>
      </w:r>
      <w:proofErr w:type="spellStart"/>
      <w:r w:rsidRPr="00E75F6C">
        <w:rPr>
          <w:rFonts w:ascii="Book Antiqua" w:hAnsi="Book Antiqua"/>
          <w:sz w:val="24"/>
          <w:szCs w:val="24"/>
        </w:rPr>
        <w:t>μg</w:t>
      </w:r>
      <w:proofErr w:type="spellEnd"/>
      <w:r w:rsidRPr="00E75F6C">
        <w:rPr>
          <w:rFonts w:ascii="Book Antiqua" w:hAnsi="Book Antiqua"/>
          <w:sz w:val="24"/>
          <w:szCs w:val="24"/>
        </w:rPr>
        <w:t xml:space="preserve">/mL in responders (interquartile range, 3.0-13.7 </w:t>
      </w:r>
      <w:proofErr w:type="spellStart"/>
      <w:r w:rsidRPr="00E75F6C">
        <w:rPr>
          <w:rFonts w:ascii="Book Antiqua" w:hAnsi="Book Antiqua"/>
          <w:sz w:val="24"/>
          <w:szCs w:val="24"/>
        </w:rPr>
        <w:t>μg</w:t>
      </w:r>
      <w:proofErr w:type="spellEnd"/>
      <w:r w:rsidRPr="00E75F6C">
        <w:rPr>
          <w:rFonts w:ascii="Book Antiqua" w:hAnsi="Book Antiqua"/>
          <w:sz w:val="24"/>
          <w:szCs w:val="24"/>
        </w:rPr>
        <w:t xml:space="preserve">/mL) and 2.9 </w:t>
      </w:r>
      <w:proofErr w:type="spellStart"/>
      <w:r w:rsidRPr="00E75F6C">
        <w:rPr>
          <w:rFonts w:ascii="Book Antiqua" w:hAnsi="Book Antiqua"/>
          <w:sz w:val="24"/>
          <w:szCs w:val="24"/>
        </w:rPr>
        <w:t>μg</w:t>
      </w:r>
      <w:proofErr w:type="spellEnd"/>
      <w:r w:rsidRPr="00E75F6C">
        <w:rPr>
          <w:rFonts w:ascii="Book Antiqua" w:hAnsi="Book Antiqua"/>
          <w:sz w:val="24"/>
          <w:szCs w:val="24"/>
        </w:rPr>
        <w:t>/mL in non</w:t>
      </w:r>
      <w:r w:rsidR="00393785">
        <w:rPr>
          <w:rFonts w:ascii="Book Antiqua" w:hAnsi="Book Antiqua"/>
          <w:sz w:val="24"/>
          <w:szCs w:val="24"/>
        </w:rPr>
        <w:t>-</w:t>
      </w:r>
      <w:r w:rsidRPr="00E75F6C">
        <w:rPr>
          <w:rFonts w:ascii="Book Antiqua" w:hAnsi="Book Antiqua"/>
          <w:sz w:val="24"/>
          <w:szCs w:val="24"/>
        </w:rPr>
        <w:t xml:space="preserve">responders (interquartile range, 0.01-5.8 </w:t>
      </w:r>
      <w:proofErr w:type="spellStart"/>
      <w:r w:rsidRPr="00E75F6C">
        <w:rPr>
          <w:rFonts w:ascii="Book Antiqua" w:hAnsi="Book Antiqua"/>
          <w:sz w:val="24"/>
          <w:szCs w:val="24"/>
        </w:rPr>
        <w:t>μg</w:t>
      </w:r>
      <w:proofErr w:type="spellEnd"/>
      <w:r w:rsidRPr="00E75F6C">
        <w:rPr>
          <w:rFonts w:ascii="Book Antiqua" w:hAnsi="Book Antiqua"/>
          <w:sz w:val="24"/>
          <w:szCs w:val="24"/>
        </w:rPr>
        <w:t>/mL) (</w:t>
      </w:r>
      <w:r w:rsidRPr="00CA2E80">
        <w:rPr>
          <w:rFonts w:ascii="Book Antiqua" w:hAnsi="Book Antiqua"/>
          <w:i/>
          <w:sz w:val="24"/>
          <w:szCs w:val="24"/>
        </w:rPr>
        <w:t xml:space="preserve">P </w:t>
      </w:r>
      <w:r w:rsidRPr="00E75F6C">
        <w:rPr>
          <w:rFonts w:ascii="Book Antiqua" w:hAnsi="Book Antiqua"/>
          <w:sz w:val="24"/>
          <w:szCs w:val="24"/>
        </w:rPr>
        <w:t xml:space="preserve">= </w:t>
      </w:r>
      <w:r w:rsidR="00CA2E80">
        <w:rPr>
          <w:rFonts w:ascii="Book Antiqua" w:hAnsi="Book Antiqua" w:hint="eastAsia"/>
          <w:sz w:val="24"/>
          <w:szCs w:val="24"/>
          <w:lang w:eastAsia="zh-CN"/>
        </w:rPr>
        <w:t>0</w:t>
      </w:r>
      <w:r w:rsidRPr="00E75F6C">
        <w:rPr>
          <w:rFonts w:ascii="Book Antiqua" w:hAnsi="Book Antiqua"/>
          <w:sz w:val="24"/>
          <w:szCs w:val="24"/>
        </w:rPr>
        <w:t>.03). In addition they found that early development of ATIs during induction therapy reduces the serum concentration of infliximab and is associated with nonresponse to treatment. Patients with high baseline serum levels of CRP had lower serum concentrations of infliximab. Thus it</w:t>
      </w:r>
      <w:r w:rsidR="00141A97" w:rsidRPr="00E75F6C">
        <w:rPr>
          <w:rFonts w:ascii="Book Antiqua" w:hAnsi="Book Antiqua"/>
          <w:sz w:val="24"/>
          <w:szCs w:val="24"/>
        </w:rPr>
        <w:t>’</w:t>
      </w:r>
      <w:r w:rsidRPr="00E75F6C">
        <w:rPr>
          <w:rFonts w:ascii="Book Antiqua" w:hAnsi="Book Antiqua"/>
          <w:sz w:val="24"/>
          <w:szCs w:val="24"/>
        </w:rPr>
        <w:t>s clear, t</w:t>
      </w:r>
      <w:r w:rsidR="00141A97" w:rsidRPr="00E75F6C">
        <w:rPr>
          <w:rFonts w:ascii="Book Antiqua" w:hAnsi="Book Antiqua"/>
          <w:sz w:val="24"/>
          <w:szCs w:val="24"/>
        </w:rPr>
        <w:t>hat immunogenicity is a concern</w:t>
      </w:r>
      <w:r w:rsidRPr="00E75F6C">
        <w:rPr>
          <w:rFonts w:ascii="Book Antiqua" w:hAnsi="Book Antiqua"/>
          <w:sz w:val="24"/>
          <w:szCs w:val="24"/>
        </w:rPr>
        <w:t xml:space="preserve"> from the outset of treatment, and particularly for the severely inflamed colon, accelerated induction courses, with therapeutic trough levels </w:t>
      </w:r>
      <w:r w:rsidR="00521499" w:rsidRPr="00E75F6C">
        <w:rPr>
          <w:rFonts w:ascii="Book Antiqua" w:hAnsi="Book Antiqua"/>
          <w:sz w:val="24"/>
          <w:szCs w:val="24"/>
        </w:rPr>
        <w:t>may</w:t>
      </w:r>
      <w:r w:rsidRPr="00E75F6C">
        <w:rPr>
          <w:rFonts w:ascii="Book Antiqua" w:hAnsi="Book Antiqua"/>
          <w:sz w:val="24"/>
          <w:szCs w:val="24"/>
        </w:rPr>
        <w:t xml:space="preserve"> be aimed for, to best optimise response. </w:t>
      </w:r>
    </w:p>
    <w:p w14:paraId="756362FF" w14:textId="77777777" w:rsidR="00CA2E80" w:rsidRDefault="00CA2E80" w:rsidP="00CA2E80">
      <w:pPr>
        <w:spacing w:after="0" w:line="360" w:lineRule="auto"/>
        <w:jc w:val="both"/>
        <w:rPr>
          <w:rFonts w:ascii="Book Antiqua" w:hAnsi="Book Antiqua"/>
          <w:b/>
          <w:sz w:val="24"/>
          <w:szCs w:val="24"/>
          <w:lang w:eastAsia="zh-CN"/>
        </w:rPr>
      </w:pPr>
    </w:p>
    <w:p w14:paraId="00D9D257" w14:textId="77777777" w:rsidR="005C4124" w:rsidRPr="00CA2E80" w:rsidRDefault="005C4124" w:rsidP="00CA2E80">
      <w:pPr>
        <w:spacing w:after="0" w:line="360" w:lineRule="auto"/>
        <w:jc w:val="both"/>
        <w:rPr>
          <w:rFonts w:ascii="Book Antiqua" w:hAnsi="Book Antiqua"/>
          <w:b/>
          <w:i/>
          <w:sz w:val="24"/>
          <w:szCs w:val="24"/>
        </w:rPr>
      </w:pPr>
      <w:r w:rsidRPr="00CA2E80">
        <w:rPr>
          <w:rFonts w:ascii="Book Antiqua" w:hAnsi="Book Antiqua"/>
          <w:b/>
          <w:i/>
          <w:sz w:val="24"/>
          <w:szCs w:val="24"/>
        </w:rPr>
        <w:t xml:space="preserve">Maintenance phase </w:t>
      </w:r>
      <w:proofErr w:type="spellStart"/>
      <w:r w:rsidRPr="00CA2E80">
        <w:rPr>
          <w:rFonts w:ascii="Book Antiqua" w:hAnsi="Book Antiqua"/>
          <w:b/>
          <w:i/>
          <w:sz w:val="24"/>
          <w:szCs w:val="24"/>
        </w:rPr>
        <w:t>immunomonitoring</w:t>
      </w:r>
      <w:proofErr w:type="spellEnd"/>
    </w:p>
    <w:p w14:paraId="3F671744" w14:textId="03C66963" w:rsidR="0017787B" w:rsidRPr="00E75F6C" w:rsidRDefault="0017787B" w:rsidP="00AD1560">
      <w:pPr>
        <w:spacing w:after="0" w:line="360" w:lineRule="auto"/>
        <w:jc w:val="both"/>
        <w:rPr>
          <w:rFonts w:ascii="Book Antiqua" w:hAnsi="Book Antiqua"/>
          <w:sz w:val="24"/>
          <w:szCs w:val="24"/>
        </w:rPr>
      </w:pPr>
      <w:r w:rsidRPr="00E75F6C">
        <w:rPr>
          <w:rFonts w:ascii="Book Antiqua" w:hAnsi="Book Antiqua"/>
          <w:sz w:val="24"/>
          <w:szCs w:val="24"/>
        </w:rPr>
        <w:lastRenderedPageBreak/>
        <w:t xml:space="preserve">With regard to maintenance phase of treatment, as mentioned above there is evidence from the literature, backing up a targeted approach to therapy. </w:t>
      </w:r>
      <w:r w:rsidR="001952F6" w:rsidRPr="00E75F6C">
        <w:rPr>
          <w:rFonts w:ascii="Book Antiqua" w:hAnsi="Book Antiqua"/>
          <w:sz w:val="24"/>
          <w:szCs w:val="24"/>
        </w:rPr>
        <w:t xml:space="preserve"> As mentioned </w:t>
      </w:r>
      <w:r w:rsidRPr="00E75F6C">
        <w:rPr>
          <w:rFonts w:ascii="Book Antiqua" w:hAnsi="Book Antiqua"/>
          <w:sz w:val="24"/>
          <w:szCs w:val="24"/>
        </w:rPr>
        <w:t>The TAXIT study, where patients on maintenance infliximab were randomised between a treat to target approach, aiming for trough levels between 3-7</w:t>
      </w:r>
      <w:r w:rsidR="00CA2E80">
        <w:rPr>
          <w:rFonts w:ascii="Book Antiqua" w:hAnsi="Book Antiqua" w:hint="eastAsia"/>
          <w:sz w:val="24"/>
          <w:szCs w:val="24"/>
          <w:lang w:eastAsia="zh-CN"/>
        </w:rPr>
        <w:t xml:space="preserve"> </w:t>
      </w:r>
      <w:r w:rsidR="00CA2E80">
        <w:rPr>
          <w:rFonts w:ascii="Book Antiqua" w:hAnsi="Book Antiqua"/>
          <w:sz w:val="24"/>
          <w:szCs w:val="24"/>
        </w:rPr>
        <w:sym w:font="Symbol" w:char="F06D"/>
      </w:r>
      <w:r w:rsidRPr="00E75F6C">
        <w:rPr>
          <w:rFonts w:ascii="Book Antiqua" w:hAnsi="Book Antiqua"/>
          <w:sz w:val="24"/>
          <w:szCs w:val="24"/>
        </w:rPr>
        <w:t>g/m</w:t>
      </w:r>
      <w:r w:rsidR="00CA2E80" w:rsidRPr="00E75F6C">
        <w:rPr>
          <w:rFonts w:ascii="Book Antiqua" w:hAnsi="Book Antiqua"/>
          <w:sz w:val="24"/>
          <w:szCs w:val="24"/>
        </w:rPr>
        <w:t>L</w:t>
      </w:r>
      <w:r w:rsidRPr="00E75F6C">
        <w:rPr>
          <w:rFonts w:ascii="Book Antiqua" w:hAnsi="Book Antiqua"/>
          <w:sz w:val="24"/>
          <w:szCs w:val="24"/>
        </w:rPr>
        <w:t>, and the current standard approach. During optimization stage, response rates were improved, in patients with sub</w:t>
      </w:r>
      <w:r w:rsidR="00C029D8" w:rsidRPr="00E75F6C">
        <w:rPr>
          <w:rFonts w:ascii="Book Antiqua" w:hAnsi="Book Antiqua"/>
          <w:sz w:val="24"/>
          <w:szCs w:val="24"/>
        </w:rPr>
        <w:t>-therapeutic</w:t>
      </w:r>
      <w:r w:rsidRPr="00E75F6C">
        <w:rPr>
          <w:rFonts w:ascii="Book Antiqua" w:hAnsi="Book Antiqua"/>
          <w:sz w:val="24"/>
          <w:szCs w:val="24"/>
        </w:rPr>
        <w:t xml:space="preserve"> levels, who had their IFX doses intensified. In addition patients with supra</w:t>
      </w:r>
      <w:r w:rsidR="00C029D8" w:rsidRPr="00E75F6C">
        <w:rPr>
          <w:rFonts w:ascii="Book Antiqua" w:hAnsi="Book Antiqua"/>
          <w:sz w:val="24"/>
          <w:szCs w:val="24"/>
        </w:rPr>
        <w:t>-</w:t>
      </w:r>
      <w:r w:rsidRPr="00E75F6C">
        <w:rPr>
          <w:rFonts w:ascii="Book Antiqua" w:hAnsi="Book Antiqua"/>
          <w:sz w:val="24"/>
          <w:szCs w:val="24"/>
        </w:rPr>
        <w:t xml:space="preserve">therapeutic levels, had doses safely reduced, allowing a </w:t>
      </w:r>
      <w:r w:rsidR="00DA0328" w:rsidRPr="00E75F6C">
        <w:rPr>
          <w:rFonts w:ascii="Book Antiqua" w:hAnsi="Book Antiqua"/>
          <w:sz w:val="24"/>
          <w:szCs w:val="24"/>
        </w:rPr>
        <w:t>more cost effective use of anti-TNF</w:t>
      </w:r>
      <w:r w:rsidR="0055454E">
        <w:rPr>
          <w:rFonts w:ascii="Book Antiqua" w:hAnsi="Book Antiqua"/>
          <w:sz w:val="24"/>
          <w:szCs w:val="24"/>
        </w:rPr>
        <w:sym w:font="Symbol" w:char="F061"/>
      </w:r>
      <w:r w:rsidR="0055454E" w:rsidRPr="00523E72">
        <w:rPr>
          <w:rFonts w:ascii="Book Antiqua" w:hAnsi="Book Antiqua"/>
          <w:sz w:val="24"/>
          <w:szCs w:val="24"/>
          <w:vertAlign w:val="superscript"/>
        </w:rPr>
        <w:t xml:space="preserve"> </w:t>
      </w:r>
      <w:r w:rsidR="00523E72" w:rsidRPr="00523E72">
        <w:rPr>
          <w:rFonts w:ascii="Book Antiqua" w:hAnsi="Book Antiqua"/>
          <w:sz w:val="24"/>
          <w:szCs w:val="24"/>
          <w:vertAlign w:val="superscript"/>
        </w:rPr>
        <w:t>[</w:t>
      </w:r>
      <w:r w:rsidR="0066649A">
        <w:rPr>
          <w:rFonts w:ascii="Book Antiqua" w:hAnsi="Book Antiqua"/>
          <w:sz w:val="24"/>
          <w:szCs w:val="24"/>
          <w:vertAlign w:val="superscript"/>
        </w:rPr>
        <w:t>14</w:t>
      </w:r>
      <w:r w:rsidR="0066649A" w:rsidRPr="0066649A">
        <w:rPr>
          <w:rFonts w:ascii="Book Antiqua" w:hAnsi="Book Antiqua"/>
          <w:sz w:val="24"/>
          <w:szCs w:val="24"/>
          <w:vertAlign w:val="superscript"/>
        </w:rPr>
        <w:t>]</w:t>
      </w:r>
      <w:proofErr w:type="gramStart"/>
      <w:r w:rsidR="00DA0328" w:rsidRPr="00E75F6C">
        <w:rPr>
          <w:rFonts w:ascii="Book Antiqua" w:hAnsi="Book Antiqua"/>
          <w:sz w:val="24"/>
          <w:szCs w:val="24"/>
        </w:rPr>
        <w:t>.</w:t>
      </w:r>
      <w:proofErr w:type="gramEnd"/>
      <w:r w:rsidR="00DA0328" w:rsidRPr="00E75F6C">
        <w:rPr>
          <w:rFonts w:ascii="Book Antiqua" w:hAnsi="Book Antiqua"/>
          <w:sz w:val="24"/>
          <w:szCs w:val="24"/>
        </w:rPr>
        <w:t xml:space="preserve"> </w:t>
      </w:r>
    </w:p>
    <w:p w14:paraId="70F4665D" w14:textId="54856DED" w:rsidR="005C4124" w:rsidRPr="00E75F6C" w:rsidRDefault="005C4124" w:rsidP="00CA2E80">
      <w:pPr>
        <w:spacing w:after="0" w:line="360" w:lineRule="auto"/>
        <w:ind w:firstLineChars="150" w:firstLine="360"/>
        <w:jc w:val="both"/>
        <w:rPr>
          <w:rFonts w:ascii="Book Antiqua" w:hAnsi="Book Antiqua"/>
          <w:sz w:val="24"/>
          <w:szCs w:val="24"/>
        </w:rPr>
      </w:pPr>
      <w:r w:rsidRPr="00E75F6C">
        <w:rPr>
          <w:rFonts w:ascii="Book Antiqua" w:hAnsi="Book Antiqua"/>
          <w:sz w:val="24"/>
          <w:szCs w:val="24"/>
        </w:rPr>
        <w:t xml:space="preserve">There is however a lack of association between once off maintenance phase </w:t>
      </w:r>
      <w:proofErr w:type="spellStart"/>
      <w:r w:rsidRPr="00E75F6C">
        <w:rPr>
          <w:rFonts w:ascii="Book Antiqua" w:hAnsi="Book Antiqua"/>
          <w:sz w:val="24"/>
          <w:szCs w:val="24"/>
        </w:rPr>
        <w:t>immunomonitoring</w:t>
      </w:r>
      <w:proofErr w:type="spellEnd"/>
      <w:r w:rsidRPr="00E75F6C">
        <w:rPr>
          <w:rFonts w:ascii="Book Antiqua" w:hAnsi="Book Antiqua"/>
          <w:sz w:val="24"/>
          <w:szCs w:val="24"/>
        </w:rPr>
        <w:t xml:space="preserve"> with outcomes. Our group have done a retrospective </w:t>
      </w:r>
      <w:r w:rsidR="00CF0EC7" w:rsidRPr="00E75F6C">
        <w:rPr>
          <w:rFonts w:ascii="Book Antiqua" w:hAnsi="Book Antiqua"/>
          <w:sz w:val="24"/>
          <w:szCs w:val="24"/>
        </w:rPr>
        <w:t>analysis</w:t>
      </w:r>
      <w:r w:rsidRPr="00E75F6C">
        <w:rPr>
          <w:rFonts w:ascii="Book Antiqua" w:hAnsi="Book Antiqua"/>
          <w:sz w:val="24"/>
          <w:szCs w:val="24"/>
        </w:rPr>
        <w:t xml:space="preserve"> of 82 patients on </w:t>
      </w:r>
      <w:r w:rsidR="00CF0EC7" w:rsidRPr="00E75F6C">
        <w:rPr>
          <w:rFonts w:ascii="Book Antiqua" w:hAnsi="Book Antiqua"/>
          <w:sz w:val="24"/>
          <w:szCs w:val="24"/>
        </w:rPr>
        <w:t>maintenance</w:t>
      </w:r>
      <w:r w:rsidRPr="00E75F6C">
        <w:rPr>
          <w:rFonts w:ascii="Book Antiqua" w:hAnsi="Book Antiqua"/>
          <w:sz w:val="24"/>
          <w:szCs w:val="24"/>
        </w:rPr>
        <w:t xml:space="preserve"> infliximab and </w:t>
      </w:r>
      <w:proofErr w:type="spellStart"/>
      <w:r w:rsidR="00CF0EC7" w:rsidRPr="00E75F6C">
        <w:rPr>
          <w:rFonts w:ascii="Book Antiqua" w:hAnsi="Book Antiqua"/>
          <w:sz w:val="24"/>
          <w:szCs w:val="24"/>
        </w:rPr>
        <w:t>adalimumab</w:t>
      </w:r>
      <w:proofErr w:type="spellEnd"/>
      <w:r w:rsidRPr="00E75F6C">
        <w:rPr>
          <w:rFonts w:ascii="Book Antiqua" w:hAnsi="Book Antiqua"/>
          <w:sz w:val="24"/>
          <w:szCs w:val="24"/>
        </w:rPr>
        <w:t>, and we found no association between once off, anti-TNF</w:t>
      </w:r>
      <w:r w:rsidR="0055454E">
        <w:rPr>
          <w:rFonts w:ascii="Book Antiqua" w:hAnsi="Book Antiqua"/>
          <w:sz w:val="24"/>
          <w:szCs w:val="24"/>
        </w:rPr>
        <w:sym w:font="Symbol" w:char="F061"/>
      </w:r>
      <w:r w:rsidRPr="00E75F6C">
        <w:rPr>
          <w:rFonts w:ascii="Book Antiqua" w:hAnsi="Book Antiqua"/>
          <w:sz w:val="24"/>
          <w:szCs w:val="24"/>
        </w:rPr>
        <w:t xml:space="preserve"> trough and ADA levels, with clinical response</w:t>
      </w:r>
      <w:r w:rsidR="002F371E" w:rsidRPr="00E75F6C">
        <w:rPr>
          <w:rFonts w:ascii="Book Antiqua" w:hAnsi="Book Antiqua"/>
          <w:sz w:val="24"/>
          <w:szCs w:val="24"/>
        </w:rPr>
        <w:t xml:space="preserve">, similar to other </w:t>
      </w:r>
      <w:proofErr w:type="gramStart"/>
      <w:r w:rsidR="002F371E" w:rsidRPr="00E75F6C">
        <w:rPr>
          <w:rFonts w:ascii="Book Antiqua" w:hAnsi="Book Antiqua"/>
          <w:sz w:val="24"/>
          <w:szCs w:val="24"/>
        </w:rPr>
        <w:t>data</w:t>
      </w:r>
      <w:r w:rsidR="00523E72" w:rsidRPr="00523E72">
        <w:rPr>
          <w:rFonts w:ascii="Book Antiqua" w:hAnsi="Book Antiqua"/>
          <w:sz w:val="24"/>
          <w:szCs w:val="24"/>
          <w:vertAlign w:val="superscript"/>
        </w:rPr>
        <w:t>[</w:t>
      </w:r>
      <w:proofErr w:type="gramEnd"/>
      <w:r w:rsidR="007B6D6A">
        <w:rPr>
          <w:rFonts w:ascii="Book Antiqua" w:hAnsi="Book Antiqua"/>
          <w:sz w:val="24"/>
          <w:szCs w:val="24"/>
          <w:vertAlign w:val="superscript"/>
        </w:rPr>
        <w:t>72</w:t>
      </w:r>
      <w:r w:rsidR="0066649A" w:rsidRPr="0066649A">
        <w:rPr>
          <w:rFonts w:ascii="Book Antiqua" w:hAnsi="Book Antiqua"/>
          <w:sz w:val="24"/>
          <w:szCs w:val="24"/>
          <w:vertAlign w:val="superscript"/>
        </w:rPr>
        <w:t>]</w:t>
      </w:r>
      <w:r w:rsidR="00290ABC" w:rsidRPr="00E75F6C">
        <w:rPr>
          <w:rFonts w:ascii="Book Antiqua" w:hAnsi="Book Antiqua"/>
          <w:sz w:val="24"/>
          <w:szCs w:val="24"/>
        </w:rPr>
        <w:t>.</w:t>
      </w:r>
      <w:r w:rsidRPr="00E75F6C">
        <w:rPr>
          <w:rFonts w:ascii="Book Antiqua" w:hAnsi="Book Antiqua"/>
          <w:sz w:val="24"/>
          <w:szCs w:val="24"/>
        </w:rPr>
        <w:t xml:space="preserve"> In future, event triggered </w:t>
      </w:r>
      <w:proofErr w:type="spellStart"/>
      <w:r w:rsidRPr="00E75F6C">
        <w:rPr>
          <w:rFonts w:ascii="Book Antiqua" w:hAnsi="Book Antiqua"/>
          <w:sz w:val="24"/>
          <w:szCs w:val="24"/>
        </w:rPr>
        <w:t>immunomonitoring</w:t>
      </w:r>
      <w:proofErr w:type="spellEnd"/>
      <w:r w:rsidRPr="00E75F6C">
        <w:rPr>
          <w:rFonts w:ascii="Book Antiqua" w:hAnsi="Book Antiqua"/>
          <w:sz w:val="24"/>
          <w:szCs w:val="24"/>
        </w:rPr>
        <w:t xml:space="preserve"> may be the best approach to </w:t>
      </w:r>
      <w:r w:rsidR="00CF0EC7" w:rsidRPr="00E75F6C">
        <w:rPr>
          <w:rFonts w:ascii="Book Antiqua" w:hAnsi="Book Antiqua"/>
          <w:sz w:val="24"/>
          <w:szCs w:val="24"/>
        </w:rPr>
        <w:t>incorporate</w:t>
      </w:r>
      <w:r w:rsidRPr="00E75F6C">
        <w:rPr>
          <w:rFonts w:ascii="Book Antiqua" w:hAnsi="Book Antiqua"/>
          <w:sz w:val="24"/>
          <w:szCs w:val="24"/>
        </w:rPr>
        <w:t xml:space="preserve"> </w:t>
      </w:r>
      <w:proofErr w:type="spellStart"/>
      <w:r w:rsidRPr="00E75F6C">
        <w:rPr>
          <w:rFonts w:ascii="Book Antiqua" w:hAnsi="Book Antiqua"/>
          <w:sz w:val="24"/>
          <w:szCs w:val="24"/>
        </w:rPr>
        <w:t>immunomonotoring</w:t>
      </w:r>
      <w:proofErr w:type="spellEnd"/>
      <w:r w:rsidRPr="00E75F6C">
        <w:rPr>
          <w:rFonts w:ascii="Book Antiqua" w:hAnsi="Book Antiqua"/>
          <w:sz w:val="24"/>
          <w:szCs w:val="24"/>
        </w:rPr>
        <w:t xml:space="preserve">. For example, in the patient with a relapse, or who is </w:t>
      </w:r>
      <w:r w:rsidR="00CF0EC7" w:rsidRPr="00E75F6C">
        <w:rPr>
          <w:rFonts w:ascii="Book Antiqua" w:hAnsi="Book Antiqua"/>
          <w:sz w:val="24"/>
          <w:szCs w:val="24"/>
        </w:rPr>
        <w:t>losing</w:t>
      </w:r>
      <w:r w:rsidRPr="00E75F6C">
        <w:rPr>
          <w:rFonts w:ascii="Book Antiqua" w:hAnsi="Book Antiqua"/>
          <w:sz w:val="24"/>
          <w:szCs w:val="24"/>
        </w:rPr>
        <w:t xml:space="preserve"> response, calculation of trough and antibody levels, may h</w:t>
      </w:r>
      <w:r w:rsidR="002F371E" w:rsidRPr="00E75F6C">
        <w:rPr>
          <w:rFonts w:ascii="Book Antiqua" w:hAnsi="Book Antiqua"/>
          <w:sz w:val="24"/>
          <w:szCs w:val="24"/>
        </w:rPr>
        <w:t>elp explore this deterioration and help guide therapy as previously discussed.</w:t>
      </w:r>
    </w:p>
    <w:p w14:paraId="6B080135" w14:textId="77777777" w:rsidR="00CA2E80" w:rsidRDefault="00CA2E80" w:rsidP="00CA2E80">
      <w:pPr>
        <w:spacing w:after="0" w:line="360" w:lineRule="auto"/>
        <w:jc w:val="both"/>
        <w:rPr>
          <w:rFonts w:ascii="Book Antiqua" w:hAnsi="Book Antiqua"/>
          <w:b/>
          <w:sz w:val="24"/>
          <w:szCs w:val="24"/>
          <w:lang w:eastAsia="zh-CN"/>
        </w:rPr>
      </w:pPr>
    </w:p>
    <w:p w14:paraId="2D233F2C" w14:textId="77777777" w:rsidR="00137061" w:rsidRPr="00CA2E80" w:rsidRDefault="00023D68" w:rsidP="00CA2E80">
      <w:pPr>
        <w:spacing w:after="0" w:line="360" w:lineRule="auto"/>
        <w:jc w:val="both"/>
        <w:rPr>
          <w:rFonts w:ascii="Book Antiqua" w:hAnsi="Book Antiqua"/>
          <w:b/>
          <w:i/>
          <w:sz w:val="24"/>
          <w:szCs w:val="24"/>
        </w:rPr>
      </w:pPr>
      <w:r w:rsidRPr="00CA2E80">
        <w:rPr>
          <w:rFonts w:ascii="Book Antiqua" w:hAnsi="Book Antiqua"/>
          <w:b/>
          <w:i/>
          <w:sz w:val="24"/>
          <w:szCs w:val="24"/>
        </w:rPr>
        <w:t>Stopping therapy</w:t>
      </w:r>
    </w:p>
    <w:p w14:paraId="3C3B4AA2" w14:textId="2A34EA2E" w:rsidR="00023D68" w:rsidRDefault="00023D68" w:rsidP="00AD1560">
      <w:pPr>
        <w:spacing w:after="0" w:line="360" w:lineRule="auto"/>
        <w:jc w:val="both"/>
        <w:rPr>
          <w:rFonts w:ascii="Book Antiqua" w:hAnsi="Book Antiqua"/>
          <w:sz w:val="24"/>
          <w:szCs w:val="24"/>
          <w:lang w:eastAsia="zh-CN"/>
        </w:rPr>
      </w:pPr>
      <w:proofErr w:type="spellStart"/>
      <w:r w:rsidRPr="00E75F6C">
        <w:rPr>
          <w:rFonts w:ascii="Book Antiqua" w:hAnsi="Book Antiqua"/>
          <w:sz w:val="24"/>
          <w:szCs w:val="24"/>
        </w:rPr>
        <w:t>Immunomonitoring</w:t>
      </w:r>
      <w:proofErr w:type="spellEnd"/>
      <w:r w:rsidRPr="00E75F6C">
        <w:rPr>
          <w:rFonts w:ascii="Book Antiqua" w:hAnsi="Book Antiqua"/>
          <w:sz w:val="24"/>
          <w:szCs w:val="24"/>
        </w:rPr>
        <w:t xml:space="preserve"> may also be useful in guiding when to stop therapy. </w:t>
      </w:r>
      <w:proofErr w:type="spellStart"/>
      <w:r w:rsidR="00417534" w:rsidRPr="00E75F6C">
        <w:rPr>
          <w:rFonts w:ascii="Book Antiqua" w:hAnsi="Book Antiqua"/>
          <w:sz w:val="24"/>
          <w:szCs w:val="24"/>
        </w:rPr>
        <w:t>Amiot</w:t>
      </w:r>
      <w:proofErr w:type="spellEnd"/>
      <w:r w:rsidR="00417534" w:rsidRPr="0055454E">
        <w:rPr>
          <w:rFonts w:ascii="Book Antiqua" w:hAnsi="Book Antiqua"/>
          <w:i/>
          <w:sz w:val="24"/>
          <w:szCs w:val="24"/>
        </w:rPr>
        <w:t xml:space="preserve"> et </w:t>
      </w:r>
      <w:proofErr w:type="gramStart"/>
      <w:r w:rsidR="00417534" w:rsidRPr="0055454E">
        <w:rPr>
          <w:rFonts w:ascii="Book Antiqua" w:hAnsi="Book Antiqua"/>
          <w:i/>
          <w:sz w:val="24"/>
          <w:szCs w:val="24"/>
        </w:rPr>
        <w:t>al</w:t>
      </w:r>
      <w:r w:rsidR="0055454E" w:rsidRPr="00523E72">
        <w:rPr>
          <w:rFonts w:ascii="Book Antiqua" w:hAnsi="Book Antiqua"/>
          <w:sz w:val="24"/>
          <w:szCs w:val="24"/>
          <w:vertAlign w:val="superscript"/>
        </w:rPr>
        <w:t>[</w:t>
      </w:r>
      <w:proofErr w:type="gramEnd"/>
      <w:r w:rsidR="0055454E">
        <w:rPr>
          <w:rFonts w:ascii="Book Antiqua" w:hAnsi="Book Antiqua"/>
          <w:sz w:val="24"/>
          <w:szCs w:val="24"/>
          <w:vertAlign w:val="superscript"/>
        </w:rPr>
        <w:t>73</w:t>
      </w:r>
      <w:r w:rsidR="0055454E" w:rsidRPr="0066649A">
        <w:rPr>
          <w:rFonts w:ascii="Book Antiqua" w:hAnsi="Book Antiqua"/>
          <w:sz w:val="24"/>
          <w:szCs w:val="24"/>
          <w:vertAlign w:val="superscript"/>
        </w:rPr>
        <w:t>]</w:t>
      </w:r>
      <w:r w:rsidR="00417534" w:rsidRPr="00E75F6C">
        <w:rPr>
          <w:rFonts w:ascii="Book Antiqua" w:hAnsi="Book Antiqua"/>
          <w:sz w:val="24"/>
          <w:szCs w:val="24"/>
        </w:rPr>
        <w:t xml:space="preserve"> have shown that in a cohort of 80 patients with inflammatory bowel disease in clinical remission on infliximab therapy, de-escalation of infliximab therapy should be considered based on therapeutic drug monitoring rather than the current blind standard approach based on symptoms and CRP. </w:t>
      </w:r>
      <w:r w:rsidR="0034280C" w:rsidRPr="00E75F6C">
        <w:rPr>
          <w:rFonts w:ascii="Book Antiqua" w:hAnsi="Book Antiqua"/>
          <w:sz w:val="24"/>
          <w:szCs w:val="24"/>
        </w:rPr>
        <w:t xml:space="preserve">In addition a study of patients with </w:t>
      </w:r>
      <w:proofErr w:type="spellStart"/>
      <w:r w:rsidR="0034280C" w:rsidRPr="00E75F6C">
        <w:rPr>
          <w:rFonts w:ascii="Book Antiqua" w:hAnsi="Book Antiqua"/>
          <w:sz w:val="24"/>
          <w:szCs w:val="24"/>
        </w:rPr>
        <w:t>Crohn’s</w:t>
      </w:r>
      <w:proofErr w:type="spellEnd"/>
      <w:r w:rsidR="0034280C" w:rsidRPr="00E75F6C">
        <w:rPr>
          <w:rFonts w:ascii="Book Antiqua" w:hAnsi="Book Antiqua"/>
          <w:sz w:val="24"/>
          <w:szCs w:val="24"/>
        </w:rPr>
        <w:t xml:space="preserve"> disease in remission, who had their infliximab discontinued, has shown that an infliximab trough level &lt;</w:t>
      </w:r>
      <w:r w:rsidR="00CA2E80">
        <w:rPr>
          <w:rFonts w:ascii="Book Antiqua" w:hAnsi="Book Antiqua" w:hint="eastAsia"/>
          <w:sz w:val="24"/>
          <w:szCs w:val="24"/>
          <w:lang w:eastAsia="zh-CN"/>
        </w:rPr>
        <w:t xml:space="preserve"> </w:t>
      </w:r>
      <w:r w:rsidR="0034280C" w:rsidRPr="00E75F6C">
        <w:rPr>
          <w:rFonts w:ascii="Book Antiqua" w:hAnsi="Book Antiqua"/>
          <w:sz w:val="24"/>
          <w:szCs w:val="24"/>
        </w:rPr>
        <w:t>6</w:t>
      </w:r>
      <w:r w:rsidR="00CA2E80">
        <w:rPr>
          <w:rFonts w:ascii="Book Antiqua" w:hAnsi="Book Antiqua" w:hint="eastAsia"/>
          <w:sz w:val="24"/>
          <w:szCs w:val="24"/>
          <w:lang w:eastAsia="zh-CN"/>
        </w:rPr>
        <w:t xml:space="preserve"> </w:t>
      </w:r>
      <w:r w:rsidR="00CA2E80">
        <w:rPr>
          <w:rFonts w:ascii="Book Antiqua" w:hAnsi="Book Antiqua"/>
          <w:sz w:val="24"/>
          <w:szCs w:val="24"/>
        </w:rPr>
        <w:sym w:font="Symbol" w:char="F06D"/>
      </w:r>
      <w:r w:rsidR="0034280C" w:rsidRPr="00E75F6C">
        <w:rPr>
          <w:rFonts w:ascii="Book Antiqua" w:hAnsi="Book Antiqua"/>
          <w:sz w:val="24"/>
          <w:szCs w:val="24"/>
        </w:rPr>
        <w:t>g/m</w:t>
      </w:r>
      <w:r w:rsidR="00CA2E80" w:rsidRPr="00E75F6C">
        <w:rPr>
          <w:rFonts w:ascii="Book Antiqua" w:hAnsi="Book Antiqua"/>
          <w:sz w:val="24"/>
          <w:szCs w:val="24"/>
        </w:rPr>
        <w:t>L</w:t>
      </w:r>
      <w:r w:rsidR="0034280C" w:rsidRPr="00E75F6C">
        <w:rPr>
          <w:rFonts w:ascii="Book Antiqua" w:hAnsi="Book Antiqua"/>
          <w:sz w:val="24"/>
          <w:szCs w:val="24"/>
        </w:rPr>
        <w:t>, is associated with long last</w:t>
      </w:r>
      <w:r w:rsidR="002F371E" w:rsidRPr="00E75F6C">
        <w:rPr>
          <w:rFonts w:ascii="Book Antiqua" w:hAnsi="Book Antiqua"/>
          <w:sz w:val="24"/>
          <w:szCs w:val="24"/>
        </w:rPr>
        <w:t>ing</w:t>
      </w:r>
      <w:r w:rsidR="0034280C" w:rsidRPr="00E75F6C">
        <w:rPr>
          <w:rFonts w:ascii="Book Antiqua" w:hAnsi="Book Antiqua"/>
          <w:sz w:val="24"/>
          <w:szCs w:val="24"/>
        </w:rPr>
        <w:t xml:space="preserve"> clinical remission</w:t>
      </w:r>
      <w:r w:rsidR="00523E72" w:rsidRPr="00523E72">
        <w:rPr>
          <w:rFonts w:ascii="Book Antiqua" w:hAnsi="Book Antiqua"/>
          <w:sz w:val="24"/>
          <w:szCs w:val="24"/>
          <w:vertAlign w:val="superscript"/>
        </w:rPr>
        <w:t>[</w:t>
      </w:r>
      <w:r w:rsidR="007B6D6A">
        <w:rPr>
          <w:rFonts w:ascii="Book Antiqua" w:hAnsi="Book Antiqua"/>
          <w:sz w:val="24"/>
          <w:szCs w:val="24"/>
          <w:vertAlign w:val="superscript"/>
        </w:rPr>
        <w:t>74</w:t>
      </w:r>
      <w:r w:rsidR="0066649A" w:rsidRPr="0066649A">
        <w:rPr>
          <w:rFonts w:ascii="Book Antiqua" w:hAnsi="Book Antiqua"/>
          <w:sz w:val="24"/>
          <w:szCs w:val="24"/>
          <w:vertAlign w:val="superscript"/>
        </w:rPr>
        <w:t>]</w:t>
      </w:r>
      <w:r w:rsidR="00370DC6" w:rsidRPr="00E75F6C">
        <w:rPr>
          <w:rFonts w:ascii="Book Antiqua" w:hAnsi="Book Antiqua"/>
          <w:sz w:val="24"/>
          <w:szCs w:val="24"/>
        </w:rPr>
        <w:t>. Patients with higher trough levels at the time of IFX discontinuation were more prone to relapse suggests that these patients probably require continued anti-TNF</w:t>
      </w:r>
      <w:r w:rsidR="0055454E">
        <w:rPr>
          <w:rFonts w:ascii="Book Antiqua" w:hAnsi="Book Antiqua"/>
          <w:sz w:val="24"/>
          <w:szCs w:val="24"/>
        </w:rPr>
        <w:sym w:font="Symbol" w:char="F061"/>
      </w:r>
      <w:r w:rsidR="00370DC6" w:rsidRPr="00E75F6C">
        <w:rPr>
          <w:rFonts w:ascii="Book Antiqua" w:hAnsi="Book Antiqua"/>
          <w:sz w:val="24"/>
          <w:szCs w:val="24"/>
        </w:rPr>
        <w:t xml:space="preserve"> administration and an adequate drug concentration to maintain clinical remission and therefore are more likely to relapse once this therapy is discontinued. </w:t>
      </w:r>
      <w:r w:rsidR="00417534" w:rsidRPr="00E75F6C">
        <w:rPr>
          <w:rFonts w:ascii="Book Antiqua" w:hAnsi="Book Antiqua"/>
          <w:sz w:val="24"/>
          <w:szCs w:val="24"/>
        </w:rPr>
        <w:t xml:space="preserve">Further randomised controlled trials are required to confirm this, </w:t>
      </w:r>
      <w:r w:rsidR="00417534" w:rsidRPr="00E75F6C">
        <w:rPr>
          <w:rFonts w:ascii="Book Antiqua" w:hAnsi="Book Antiqua"/>
          <w:sz w:val="24"/>
          <w:szCs w:val="24"/>
        </w:rPr>
        <w:lastRenderedPageBreak/>
        <w:t xml:space="preserve">but </w:t>
      </w:r>
      <w:r w:rsidR="0034280C" w:rsidRPr="00E75F6C">
        <w:rPr>
          <w:rFonts w:ascii="Book Antiqua" w:hAnsi="Book Antiqua"/>
          <w:sz w:val="24"/>
          <w:szCs w:val="24"/>
        </w:rPr>
        <w:t>these two studies</w:t>
      </w:r>
      <w:r w:rsidR="00417534" w:rsidRPr="00E75F6C">
        <w:rPr>
          <w:rFonts w:ascii="Book Antiqua" w:hAnsi="Book Antiqua"/>
          <w:sz w:val="24"/>
          <w:szCs w:val="24"/>
        </w:rPr>
        <w:t xml:space="preserve"> suggests that </w:t>
      </w:r>
      <w:proofErr w:type="spellStart"/>
      <w:r w:rsidR="00417534" w:rsidRPr="00E75F6C">
        <w:rPr>
          <w:rFonts w:ascii="Book Antiqua" w:hAnsi="Book Antiqua"/>
          <w:sz w:val="24"/>
          <w:szCs w:val="24"/>
        </w:rPr>
        <w:t>immunomonitoring</w:t>
      </w:r>
      <w:proofErr w:type="spellEnd"/>
      <w:r w:rsidR="00417534" w:rsidRPr="00E75F6C">
        <w:rPr>
          <w:rFonts w:ascii="Book Antiqua" w:hAnsi="Book Antiqua"/>
          <w:sz w:val="24"/>
          <w:szCs w:val="24"/>
        </w:rPr>
        <w:t xml:space="preserve"> may be useful in guiding when it is safe to stop anti-TNF</w:t>
      </w:r>
      <w:r w:rsidR="0055454E">
        <w:rPr>
          <w:rFonts w:ascii="Book Antiqua" w:hAnsi="Book Antiqua"/>
          <w:sz w:val="24"/>
          <w:szCs w:val="24"/>
        </w:rPr>
        <w:sym w:font="Symbol" w:char="F061"/>
      </w:r>
      <w:r w:rsidR="00417534" w:rsidRPr="00E75F6C">
        <w:rPr>
          <w:rFonts w:ascii="Book Antiqua" w:hAnsi="Book Antiqua"/>
          <w:sz w:val="24"/>
          <w:szCs w:val="24"/>
        </w:rPr>
        <w:t xml:space="preserve"> therapy. </w:t>
      </w:r>
    </w:p>
    <w:p w14:paraId="49AB05EA" w14:textId="77777777" w:rsidR="00CA2E80" w:rsidRPr="00E75F6C" w:rsidRDefault="00CA2E80" w:rsidP="00AD1560">
      <w:pPr>
        <w:spacing w:after="0" w:line="360" w:lineRule="auto"/>
        <w:jc w:val="both"/>
        <w:rPr>
          <w:rFonts w:ascii="Book Antiqua" w:hAnsi="Book Antiqua"/>
          <w:sz w:val="24"/>
          <w:szCs w:val="24"/>
          <w:lang w:eastAsia="zh-CN"/>
        </w:rPr>
      </w:pPr>
    </w:p>
    <w:p w14:paraId="410EAC69" w14:textId="77777777" w:rsidR="009F7D8F" w:rsidRPr="00E75F6C" w:rsidRDefault="00CA2E80" w:rsidP="00AD1560">
      <w:pPr>
        <w:spacing w:after="0" w:line="360" w:lineRule="auto"/>
        <w:jc w:val="both"/>
        <w:rPr>
          <w:rFonts w:ascii="Book Antiqua" w:hAnsi="Book Antiqua"/>
          <w:b/>
          <w:sz w:val="24"/>
          <w:szCs w:val="24"/>
        </w:rPr>
      </w:pPr>
      <w:r w:rsidRPr="00E75F6C">
        <w:rPr>
          <w:rFonts w:ascii="Book Antiqua" w:hAnsi="Book Antiqua"/>
          <w:b/>
          <w:sz w:val="24"/>
          <w:szCs w:val="24"/>
        </w:rPr>
        <w:t>OPTIMISING THERAPY: SWITCHING AGENTS</w:t>
      </w:r>
    </w:p>
    <w:p w14:paraId="6AF92025" w14:textId="1E3E0116" w:rsidR="009F7D8F" w:rsidRPr="00E75F6C" w:rsidRDefault="009F7D8F" w:rsidP="00AD1560">
      <w:pPr>
        <w:spacing w:after="0" w:line="360" w:lineRule="auto"/>
        <w:jc w:val="both"/>
        <w:rPr>
          <w:rFonts w:ascii="Book Antiqua" w:hAnsi="Book Antiqua"/>
          <w:sz w:val="24"/>
          <w:szCs w:val="24"/>
        </w:rPr>
      </w:pPr>
      <w:r w:rsidRPr="00E75F6C">
        <w:rPr>
          <w:rFonts w:ascii="Book Antiqua" w:hAnsi="Book Antiqua"/>
          <w:sz w:val="24"/>
          <w:szCs w:val="24"/>
        </w:rPr>
        <w:t>Despite attempts to optimise response to anti-TNF</w:t>
      </w:r>
      <w:r w:rsidR="0055454E">
        <w:rPr>
          <w:rFonts w:ascii="Book Antiqua" w:hAnsi="Book Antiqua"/>
          <w:sz w:val="24"/>
          <w:szCs w:val="24"/>
        </w:rPr>
        <w:sym w:font="Symbol" w:char="F061"/>
      </w:r>
      <w:r w:rsidR="0055454E" w:rsidRPr="00E75F6C">
        <w:rPr>
          <w:rFonts w:ascii="Book Antiqua" w:hAnsi="Book Antiqua"/>
          <w:sz w:val="24"/>
          <w:szCs w:val="24"/>
        </w:rPr>
        <w:t xml:space="preserve"> </w:t>
      </w:r>
      <w:r w:rsidRPr="00E75F6C">
        <w:rPr>
          <w:rFonts w:ascii="Book Antiqua" w:hAnsi="Book Antiqua"/>
          <w:sz w:val="24"/>
          <w:szCs w:val="24"/>
        </w:rPr>
        <w:t xml:space="preserve"> therapy, some patients will require a switch to another a</w:t>
      </w:r>
      <w:r w:rsidR="002F371E" w:rsidRPr="00E75F6C">
        <w:rPr>
          <w:rFonts w:ascii="Book Antiqua" w:hAnsi="Book Antiqua"/>
          <w:sz w:val="24"/>
          <w:szCs w:val="24"/>
        </w:rPr>
        <w:t xml:space="preserve">gent within the anti-TNF family, as well as alternative biologic agents, or </w:t>
      </w:r>
      <w:proofErr w:type="spellStart"/>
      <w:r w:rsidR="002F371E" w:rsidRPr="00E75F6C">
        <w:rPr>
          <w:rFonts w:ascii="Book Antiqua" w:hAnsi="Book Antiqua"/>
          <w:sz w:val="24"/>
          <w:szCs w:val="24"/>
        </w:rPr>
        <w:t>immunomodulators</w:t>
      </w:r>
      <w:proofErr w:type="spellEnd"/>
      <w:r w:rsidR="002F371E" w:rsidRPr="00E75F6C">
        <w:rPr>
          <w:rFonts w:ascii="Book Antiqua" w:hAnsi="Book Antiqua"/>
          <w:sz w:val="24"/>
          <w:szCs w:val="24"/>
        </w:rPr>
        <w:t xml:space="preserve">. </w:t>
      </w:r>
      <w:r w:rsidRPr="00E75F6C">
        <w:rPr>
          <w:rFonts w:ascii="Book Antiqua" w:hAnsi="Book Antiqua"/>
          <w:sz w:val="24"/>
          <w:szCs w:val="24"/>
        </w:rPr>
        <w:t xml:space="preserve"> Patients with adequate trough levels, who loose response, are unlikely to benefit from further dose escalation. In a study of 247 IBD patients, with suspected loss of response, trough levels of </w:t>
      </w:r>
      <w:proofErr w:type="spellStart"/>
      <w:r w:rsidRPr="00E75F6C">
        <w:rPr>
          <w:rFonts w:ascii="Book Antiqua" w:hAnsi="Book Antiqua"/>
          <w:sz w:val="24"/>
          <w:szCs w:val="24"/>
        </w:rPr>
        <w:t>adalimumab</w:t>
      </w:r>
      <w:proofErr w:type="spellEnd"/>
      <w:r w:rsidRPr="00E75F6C">
        <w:rPr>
          <w:rFonts w:ascii="Book Antiqua" w:hAnsi="Book Antiqua"/>
          <w:sz w:val="24"/>
          <w:szCs w:val="24"/>
        </w:rPr>
        <w:t xml:space="preserve"> greater than 4.5 </w:t>
      </w:r>
      <w:r w:rsidR="00CA2E80">
        <w:rPr>
          <w:rFonts w:ascii="Book Antiqua" w:hAnsi="Book Antiqua"/>
          <w:sz w:val="24"/>
          <w:szCs w:val="24"/>
        </w:rPr>
        <w:sym w:font="Symbol" w:char="F06D"/>
      </w:r>
      <w:r w:rsidR="00AD5469" w:rsidRPr="00E75F6C">
        <w:rPr>
          <w:rFonts w:ascii="Book Antiqua" w:hAnsi="Book Antiqua"/>
          <w:sz w:val="24"/>
          <w:szCs w:val="24"/>
        </w:rPr>
        <w:t>g/</w:t>
      </w:r>
      <w:r w:rsidRPr="00E75F6C">
        <w:rPr>
          <w:rFonts w:ascii="Book Antiqua" w:hAnsi="Book Antiqua"/>
          <w:sz w:val="24"/>
          <w:szCs w:val="24"/>
        </w:rPr>
        <w:t xml:space="preserve">mL and infliximab greater than 3.8 </w:t>
      </w:r>
      <w:r w:rsidR="00CA2E80">
        <w:rPr>
          <w:rFonts w:ascii="Book Antiqua" w:hAnsi="Book Antiqua"/>
          <w:sz w:val="24"/>
          <w:szCs w:val="24"/>
        </w:rPr>
        <w:sym w:font="Symbol" w:char="F06D"/>
      </w:r>
      <w:r w:rsidR="00AD5469" w:rsidRPr="00E75F6C">
        <w:rPr>
          <w:rFonts w:ascii="Book Antiqua" w:hAnsi="Book Antiqua"/>
          <w:sz w:val="24"/>
          <w:szCs w:val="24"/>
        </w:rPr>
        <w:t>g</w:t>
      </w:r>
      <w:r w:rsidRPr="00E75F6C">
        <w:rPr>
          <w:rFonts w:ascii="Book Antiqua" w:hAnsi="Book Antiqua"/>
          <w:sz w:val="24"/>
          <w:szCs w:val="24"/>
        </w:rPr>
        <w:t>/mL identified patients who failed to respond to an increase in drug dosage or a switch to another anti-TNF agent with 90% specificity</w:t>
      </w:r>
      <w:r w:rsidR="00523E72" w:rsidRPr="00523E72">
        <w:rPr>
          <w:rFonts w:ascii="Book Antiqua" w:hAnsi="Book Antiqua"/>
          <w:sz w:val="24"/>
          <w:szCs w:val="24"/>
          <w:vertAlign w:val="superscript"/>
        </w:rPr>
        <w:t>[</w:t>
      </w:r>
      <w:r w:rsidR="007B6D6A">
        <w:rPr>
          <w:rFonts w:ascii="Book Antiqua" w:hAnsi="Book Antiqua"/>
          <w:sz w:val="24"/>
          <w:szCs w:val="24"/>
          <w:vertAlign w:val="superscript"/>
        </w:rPr>
        <w:t>75</w:t>
      </w:r>
      <w:r w:rsidR="0066649A" w:rsidRPr="0066649A">
        <w:rPr>
          <w:rFonts w:ascii="Book Antiqua" w:hAnsi="Book Antiqua"/>
          <w:sz w:val="24"/>
          <w:szCs w:val="24"/>
          <w:vertAlign w:val="superscript"/>
        </w:rPr>
        <w:t>]</w:t>
      </w:r>
      <w:r w:rsidRPr="00E75F6C">
        <w:rPr>
          <w:rFonts w:ascii="Book Antiqua" w:hAnsi="Book Antiqua"/>
          <w:sz w:val="24"/>
          <w:szCs w:val="24"/>
        </w:rPr>
        <w:t>. In addition levels of antibodies</w:t>
      </w:r>
      <w:r w:rsidR="00AD5469" w:rsidRPr="00E75F6C">
        <w:rPr>
          <w:rFonts w:ascii="Book Antiqua" w:hAnsi="Book Antiqua"/>
          <w:sz w:val="24"/>
          <w:szCs w:val="24"/>
        </w:rPr>
        <w:t xml:space="preserve"> against </w:t>
      </w:r>
      <w:proofErr w:type="spellStart"/>
      <w:r w:rsidR="00AD5469" w:rsidRPr="00E75F6C">
        <w:rPr>
          <w:rFonts w:ascii="Book Antiqua" w:hAnsi="Book Antiqua"/>
          <w:sz w:val="24"/>
          <w:szCs w:val="24"/>
        </w:rPr>
        <w:t>adalimumab</w:t>
      </w:r>
      <w:proofErr w:type="spellEnd"/>
      <w:r w:rsidR="00AD5469" w:rsidRPr="00E75F6C">
        <w:rPr>
          <w:rFonts w:ascii="Book Antiqua" w:hAnsi="Book Antiqua"/>
          <w:sz w:val="24"/>
          <w:szCs w:val="24"/>
        </w:rPr>
        <w:t xml:space="preserve"> &gt;</w:t>
      </w:r>
      <w:r w:rsidR="00CA2E80">
        <w:rPr>
          <w:rFonts w:ascii="Book Antiqua" w:hAnsi="Book Antiqua" w:hint="eastAsia"/>
          <w:sz w:val="24"/>
          <w:szCs w:val="24"/>
          <w:lang w:eastAsia="zh-CN"/>
        </w:rPr>
        <w:t xml:space="preserve"> </w:t>
      </w:r>
      <w:r w:rsidR="00AD5469" w:rsidRPr="00E75F6C">
        <w:rPr>
          <w:rFonts w:ascii="Book Antiqua" w:hAnsi="Book Antiqua"/>
          <w:sz w:val="24"/>
          <w:szCs w:val="24"/>
        </w:rPr>
        <w:t xml:space="preserve">4 </w:t>
      </w:r>
      <w:r w:rsidR="00CA2E80">
        <w:rPr>
          <w:rFonts w:ascii="Book Antiqua" w:hAnsi="Book Antiqua"/>
          <w:sz w:val="24"/>
          <w:szCs w:val="24"/>
        </w:rPr>
        <w:sym w:font="Symbol" w:char="F06D"/>
      </w:r>
      <w:r w:rsidR="00AD5469" w:rsidRPr="00E75F6C">
        <w:rPr>
          <w:rFonts w:ascii="Book Antiqua" w:hAnsi="Book Antiqua"/>
          <w:sz w:val="24"/>
          <w:szCs w:val="24"/>
        </w:rPr>
        <w:t>g/m</w:t>
      </w:r>
      <w:r w:rsidR="00CA2E80" w:rsidRPr="00E75F6C">
        <w:rPr>
          <w:rFonts w:ascii="Book Antiqua" w:hAnsi="Book Antiqua"/>
          <w:sz w:val="24"/>
          <w:szCs w:val="24"/>
        </w:rPr>
        <w:t>L</w:t>
      </w:r>
      <w:r w:rsidRPr="00E75F6C">
        <w:rPr>
          <w:rFonts w:ascii="Book Antiqua" w:hAnsi="Book Antiqua"/>
          <w:sz w:val="24"/>
          <w:szCs w:val="24"/>
        </w:rPr>
        <w:t xml:space="preserve"> or antibodies against infliximab &gt;</w:t>
      </w:r>
      <w:r w:rsidR="00CA2E80">
        <w:rPr>
          <w:rFonts w:ascii="Book Antiqua" w:hAnsi="Book Antiqua" w:hint="eastAsia"/>
          <w:sz w:val="24"/>
          <w:szCs w:val="24"/>
          <w:lang w:eastAsia="zh-CN"/>
        </w:rPr>
        <w:t xml:space="preserve"> </w:t>
      </w:r>
      <w:r w:rsidRPr="00E75F6C">
        <w:rPr>
          <w:rFonts w:ascii="Book Antiqua" w:hAnsi="Book Antiqua"/>
          <w:sz w:val="24"/>
          <w:szCs w:val="24"/>
        </w:rPr>
        <w:t xml:space="preserve">9 </w:t>
      </w:r>
      <w:r w:rsidR="00CA2E80">
        <w:rPr>
          <w:rFonts w:ascii="Book Antiqua" w:hAnsi="Book Antiqua"/>
          <w:sz w:val="24"/>
          <w:szCs w:val="24"/>
        </w:rPr>
        <w:sym w:font="Symbol" w:char="F06D"/>
      </w:r>
      <w:r w:rsidRPr="00E75F6C">
        <w:rPr>
          <w:rFonts w:ascii="Book Antiqua" w:hAnsi="Book Antiqua"/>
          <w:sz w:val="24"/>
          <w:szCs w:val="24"/>
        </w:rPr>
        <w:t>g/m</w:t>
      </w:r>
      <w:r w:rsidR="00CA2E80" w:rsidRPr="00E75F6C">
        <w:rPr>
          <w:rFonts w:ascii="Book Antiqua" w:hAnsi="Book Antiqua"/>
          <w:sz w:val="24"/>
          <w:szCs w:val="24"/>
        </w:rPr>
        <w:t>L</w:t>
      </w:r>
      <w:r w:rsidR="00AD5469" w:rsidRPr="00E75F6C">
        <w:rPr>
          <w:rFonts w:ascii="Book Antiqua" w:hAnsi="Book Antiqua"/>
          <w:sz w:val="24"/>
          <w:szCs w:val="24"/>
        </w:rPr>
        <w:t xml:space="preserve"> </w:t>
      </w:r>
      <w:r w:rsidRPr="00E75F6C">
        <w:rPr>
          <w:rFonts w:ascii="Book Antiqua" w:hAnsi="Book Antiqua"/>
          <w:sz w:val="24"/>
          <w:szCs w:val="24"/>
        </w:rPr>
        <w:t xml:space="preserve">identified patients who did not respond to increase in doses of anti-TNF, with 90% specificity. </w:t>
      </w:r>
    </w:p>
    <w:p w14:paraId="725309C6" w14:textId="70FBEBF8" w:rsidR="00C329EA" w:rsidRPr="00E75F6C" w:rsidRDefault="009F7D8F" w:rsidP="00CA2E80">
      <w:pPr>
        <w:spacing w:after="0" w:line="360" w:lineRule="auto"/>
        <w:ind w:firstLineChars="150" w:firstLine="360"/>
        <w:jc w:val="both"/>
        <w:rPr>
          <w:rFonts w:ascii="Book Antiqua" w:hAnsi="Book Antiqua"/>
          <w:sz w:val="24"/>
          <w:szCs w:val="24"/>
        </w:rPr>
      </w:pPr>
      <w:r w:rsidRPr="00E75F6C">
        <w:rPr>
          <w:rFonts w:ascii="Book Antiqua" w:hAnsi="Book Antiqua"/>
          <w:sz w:val="24"/>
          <w:szCs w:val="24"/>
        </w:rPr>
        <w:t xml:space="preserve">Switching from one class on anti-TNF to an alternative agent is associated with modest response rates. It’s worth noting that patients who develop antibodies to one anti-TNF agent, are more likely to develop antibodies to an alternative anti-TNF agent. For example </w:t>
      </w:r>
      <w:proofErr w:type="spellStart"/>
      <w:r w:rsidRPr="00E75F6C">
        <w:rPr>
          <w:rFonts w:ascii="Book Antiqua" w:hAnsi="Book Antiqua"/>
          <w:sz w:val="24"/>
          <w:szCs w:val="24"/>
        </w:rPr>
        <w:t>Fredriksen</w:t>
      </w:r>
      <w:proofErr w:type="spellEnd"/>
      <w:r w:rsidRPr="0055454E">
        <w:rPr>
          <w:rFonts w:ascii="Book Antiqua" w:hAnsi="Book Antiqua"/>
          <w:i/>
          <w:sz w:val="24"/>
          <w:szCs w:val="24"/>
        </w:rPr>
        <w:t xml:space="preserve"> et </w:t>
      </w:r>
      <w:proofErr w:type="gramStart"/>
      <w:r w:rsidRPr="0055454E">
        <w:rPr>
          <w:rFonts w:ascii="Book Antiqua" w:hAnsi="Book Antiqua"/>
          <w:i/>
          <w:sz w:val="24"/>
          <w:szCs w:val="24"/>
        </w:rPr>
        <w:t>al</w:t>
      </w:r>
      <w:r w:rsidR="0055454E" w:rsidRPr="00523E72">
        <w:rPr>
          <w:rFonts w:ascii="Book Antiqua" w:hAnsi="Book Antiqua"/>
          <w:sz w:val="24"/>
          <w:szCs w:val="24"/>
          <w:vertAlign w:val="superscript"/>
        </w:rPr>
        <w:t>[</w:t>
      </w:r>
      <w:proofErr w:type="gramEnd"/>
      <w:r w:rsidR="0055454E">
        <w:rPr>
          <w:rFonts w:ascii="Book Antiqua" w:hAnsi="Book Antiqua"/>
          <w:sz w:val="24"/>
          <w:szCs w:val="24"/>
          <w:vertAlign w:val="superscript"/>
        </w:rPr>
        <w:t>76</w:t>
      </w:r>
      <w:r w:rsidR="0055454E" w:rsidRPr="0066649A">
        <w:rPr>
          <w:rFonts w:ascii="Book Antiqua" w:hAnsi="Book Antiqua"/>
          <w:sz w:val="24"/>
          <w:szCs w:val="24"/>
          <w:vertAlign w:val="superscript"/>
        </w:rPr>
        <w:t>]</w:t>
      </w:r>
      <w:r w:rsidRPr="00E75F6C">
        <w:rPr>
          <w:rFonts w:ascii="Book Antiqua" w:hAnsi="Book Antiqua"/>
          <w:sz w:val="24"/>
          <w:szCs w:val="24"/>
        </w:rPr>
        <w:t xml:space="preserve"> has shown that in patients who failed infliximab, antibody formation to </w:t>
      </w:r>
      <w:proofErr w:type="spellStart"/>
      <w:r w:rsidR="00C029D8" w:rsidRPr="00E75F6C">
        <w:rPr>
          <w:rFonts w:ascii="Book Antiqua" w:hAnsi="Book Antiqua"/>
          <w:sz w:val="24"/>
          <w:szCs w:val="24"/>
        </w:rPr>
        <w:t>adalimumab</w:t>
      </w:r>
      <w:proofErr w:type="spellEnd"/>
      <w:r w:rsidRPr="00E75F6C">
        <w:rPr>
          <w:rFonts w:ascii="Book Antiqua" w:hAnsi="Book Antiqua"/>
          <w:sz w:val="24"/>
          <w:szCs w:val="24"/>
        </w:rPr>
        <w:t xml:space="preserve"> was increased which was associated with minimal drug level, and a clear lack of response.  They propose that it is prudent to assess ADA immunogenicity in anti-IFX Antibody-positive switchers to ensure optimal interventions at inadequate treatment responses and to avoid inappropriate ADA intensification regimens. In addition data from the SWITCH trial has shown that elective switching to a subcutaneous regimen is not efficacious and is associated with a high likelihood of losing response</w:t>
      </w:r>
      <w:r w:rsidR="00523E72" w:rsidRPr="00523E72">
        <w:rPr>
          <w:rFonts w:ascii="Book Antiqua" w:hAnsi="Book Antiqua"/>
          <w:sz w:val="24"/>
          <w:szCs w:val="24"/>
          <w:vertAlign w:val="superscript"/>
        </w:rPr>
        <w:t>[</w:t>
      </w:r>
      <w:r w:rsidR="007B6D6A">
        <w:rPr>
          <w:rFonts w:ascii="Book Antiqua" w:hAnsi="Book Antiqua"/>
          <w:sz w:val="24"/>
          <w:szCs w:val="24"/>
          <w:vertAlign w:val="superscript"/>
        </w:rPr>
        <w:t>77</w:t>
      </w:r>
      <w:r w:rsidR="0066649A" w:rsidRPr="0066649A">
        <w:rPr>
          <w:rFonts w:ascii="Book Antiqua" w:hAnsi="Book Antiqua"/>
          <w:sz w:val="24"/>
          <w:szCs w:val="24"/>
          <w:vertAlign w:val="superscript"/>
        </w:rPr>
        <w:t>]</w:t>
      </w:r>
      <w:r w:rsidRPr="00E75F6C">
        <w:rPr>
          <w:rFonts w:ascii="Book Antiqua" w:hAnsi="Book Antiqua"/>
          <w:sz w:val="24"/>
          <w:szCs w:val="24"/>
        </w:rPr>
        <w:t>.</w:t>
      </w:r>
    </w:p>
    <w:p w14:paraId="76AAE524" w14:textId="67DD6F7A" w:rsidR="002F371E" w:rsidRDefault="002F371E" w:rsidP="00CA2E80">
      <w:pPr>
        <w:spacing w:after="0" w:line="360" w:lineRule="auto"/>
        <w:ind w:firstLineChars="150" w:firstLine="360"/>
        <w:jc w:val="both"/>
        <w:rPr>
          <w:rFonts w:ascii="Book Antiqua" w:hAnsi="Book Antiqua"/>
          <w:sz w:val="24"/>
          <w:szCs w:val="24"/>
          <w:lang w:eastAsia="zh-CN"/>
        </w:rPr>
      </w:pPr>
      <w:r w:rsidRPr="00E75F6C">
        <w:rPr>
          <w:rFonts w:ascii="Book Antiqua" w:hAnsi="Book Antiqua"/>
          <w:sz w:val="24"/>
          <w:szCs w:val="24"/>
        </w:rPr>
        <w:t>In patients with ADA’s and low anti-TNF</w:t>
      </w:r>
      <w:r w:rsidR="0055454E">
        <w:rPr>
          <w:rFonts w:ascii="Book Antiqua" w:hAnsi="Book Antiqua"/>
          <w:sz w:val="24"/>
          <w:szCs w:val="24"/>
        </w:rPr>
        <w:sym w:font="Symbol" w:char="F061"/>
      </w:r>
      <w:r w:rsidRPr="00E75F6C">
        <w:rPr>
          <w:rFonts w:ascii="Book Antiqua" w:hAnsi="Book Antiqua"/>
          <w:sz w:val="24"/>
          <w:szCs w:val="24"/>
        </w:rPr>
        <w:t xml:space="preserve"> trough levels, consideration can be given to alternative anti-TNF</w:t>
      </w:r>
      <w:r w:rsidR="0055454E">
        <w:rPr>
          <w:rFonts w:ascii="Book Antiqua" w:hAnsi="Book Antiqua"/>
          <w:sz w:val="24"/>
          <w:szCs w:val="24"/>
        </w:rPr>
        <w:sym w:font="Symbol" w:char="F061"/>
      </w:r>
      <w:r w:rsidRPr="00E75F6C">
        <w:rPr>
          <w:rFonts w:ascii="Book Antiqua" w:hAnsi="Book Antiqua"/>
          <w:sz w:val="24"/>
          <w:szCs w:val="24"/>
        </w:rPr>
        <w:t xml:space="preserve"> agents, like </w:t>
      </w:r>
      <w:proofErr w:type="spellStart"/>
      <w:r w:rsidRPr="00E75F6C">
        <w:rPr>
          <w:rFonts w:ascii="Book Antiqua" w:hAnsi="Book Antiqua"/>
          <w:sz w:val="24"/>
          <w:szCs w:val="24"/>
        </w:rPr>
        <w:t>golimumab</w:t>
      </w:r>
      <w:proofErr w:type="spellEnd"/>
      <w:r w:rsidRPr="00E75F6C">
        <w:rPr>
          <w:rFonts w:ascii="Book Antiqua" w:hAnsi="Book Antiqua"/>
          <w:sz w:val="24"/>
          <w:szCs w:val="24"/>
        </w:rPr>
        <w:t xml:space="preserve">, </w:t>
      </w:r>
      <w:r w:rsidR="00770265" w:rsidRPr="00E75F6C">
        <w:rPr>
          <w:rFonts w:ascii="Book Antiqua" w:hAnsi="Book Antiqua"/>
          <w:sz w:val="24"/>
          <w:szCs w:val="24"/>
        </w:rPr>
        <w:t xml:space="preserve">or newer agents, like </w:t>
      </w:r>
      <w:proofErr w:type="spellStart"/>
      <w:r w:rsidR="00770265" w:rsidRPr="00E75F6C">
        <w:rPr>
          <w:rFonts w:ascii="Book Antiqua" w:hAnsi="Book Antiqua"/>
          <w:sz w:val="24"/>
          <w:szCs w:val="24"/>
        </w:rPr>
        <w:t>vedol</w:t>
      </w:r>
      <w:r w:rsidR="00386757" w:rsidRPr="00E75F6C">
        <w:rPr>
          <w:rFonts w:ascii="Book Antiqua" w:hAnsi="Book Antiqua"/>
          <w:sz w:val="24"/>
          <w:szCs w:val="24"/>
        </w:rPr>
        <w:t>izumab</w:t>
      </w:r>
      <w:proofErr w:type="spellEnd"/>
      <w:r w:rsidR="00386757" w:rsidRPr="00E75F6C">
        <w:rPr>
          <w:rFonts w:ascii="Book Antiqua" w:hAnsi="Book Antiqua"/>
          <w:sz w:val="24"/>
          <w:szCs w:val="24"/>
        </w:rPr>
        <w:t xml:space="preserve"> </w:t>
      </w:r>
      <w:r w:rsidRPr="00E75F6C">
        <w:rPr>
          <w:rFonts w:ascii="Book Antiqua" w:hAnsi="Book Antiqua"/>
          <w:sz w:val="24"/>
          <w:szCs w:val="24"/>
        </w:rPr>
        <w:t xml:space="preserve">but data on </w:t>
      </w:r>
      <w:proofErr w:type="spellStart"/>
      <w:r w:rsidRPr="00E75F6C">
        <w:rPr>
          <w:rFonts w:ascii="Book Antiqua" w:hAnsi="Book Antiqua"/>
          <w:sz w:val="24"/>
          <w:szCs w:val="24"/>
        </w:rPr>
        <w:t>immunomonoitoring</w:t>
      </w:r>
      <w:proofErr w:type="spellEnd"/>
      <w:r w:rsidRPr="00E75F6C">
        <w:rPr>
          <w:rFonts w:ascii="Book Antiqua" w:hAnsi="Book Antiqua"/>
          <w:sz w:val="24"/>
          <w:szCs w:val="24"/>
        </w:rPr>
        <w:t xml:space="preserve"> for these agents is lacking.</w:t>
      </w:r>
    </w:p>
    <w:p w14:paraId="15258BCB" w14:textId="77777777" w:rsidR="00CA2E80" w:rsidRPr="00E75F6C" w:rsidRDefault="00CA2E80" w:rsidP="00CA2E80">
      <w:pPr>
        <w:spacing w:after="0" w:line="360" w:lineRule="auto"/>
        <w:ind w:firstLineChars="150" w:firstLine="360"/>
        <w:jc w:val="both"/>
        <w:rPr>
          <w:rFonts w:ascii="Book Antiqua" w:hAnsi="Book Antiqua"/>
          <w:sz w:val="24"/>
          <w:szCs w:val="24"/>
          <w:lang w:eastAsia="zh-CN"/>
        </w:rPr>
      </w:pPr>
    </w:p>
    <w:p w14:paraId="5C70AC02" w14:textId="77777777" w:rsidR="000D02E3" w:rsidRPr="00E75F6C" w:rsidRDefault="00CA2E80" w:rsidP="00AD1560">
      <w:pPr>
        <w:spacing w:after="0" w:line="360" w:lineRule="auto"/>
        <w:jc w:val="both"/>
        <w:rPr>
          <w:rFonts w:ascii="Book Antiqua" w:hAnsi="Book Antiqua"/>
          <w:b/>
          <w:sz w:val="24"/>
          <w:szCs w:val="24"/>
        </w:rPr>
      </w:pPr>
      <w:r w:rsidRPr="00E75F6C">
        <w:rPr>
          <w:rFonts w:ascii="Book Antiqua" w:hAnsi="Book Antiqua"/>
          <w:b/>
          <w:sz w:val="24"/>
          <w:szCs w:val="24"/>
        </w:rPr>
        <w:t>EXPANDING ROLE OF IMMUNOMONITORING</w:t>
      </w:r>
    </w:p>
    <w:p w14:paraId="6983AA95" w14:textId="72481D7F" w:rsidR="001C3147" w:rsidRPr="00E75F6C" w:rsidRDefault="0028783B" w:rsidP="00AD1560">
      <w:pPr>
        <w:spacing w:after="0" w:line="360" w:lineRule="auto"/>
        <w:jc w:val="both"/>
        <w:rPr>
          <w:rFonts w:ascii="Book Antiqua" w:hAnsi="Book Antiqua"/>
          <w:sz w:val="24"/>
          <w:szCs w:val="24"/>
        </w:rPr>
      </w:pPr>
      <w:proofErr w:type="spellStart"/>
      <w:r w:rsidRPr="00E75F6C">
        <w:rPr>
          <w:rFonts w:ascii="Book Antiqua" w:hAnsi="Book Antiqua"/>
          <w:sz w:val="24"/>
          <w:szCs w:val="24"/>
        </w:rPr>
        <w:lastRenderedPageBreak/>
        <w:t>Immunomonitoring</w:t>
      </w:r>
      <w:proofErr w:type="spellEnd"/>
      <w:r w:rsidRPr="00E75F6C">
        <w:rPr>
          <w:rFonts w:ascii="Book Antiqua" w:hAnsi="Book Antiqua"/>
          <w:sz w:val="24"/>
          <w:szCs w:val="24"/>
        </w:rPr>
        <w:t xml:space="preserve"> has the potential to drive forward the management of IBD, by </w:t>
      </w:r>
      <w:r w:rsidR="00C029D8" w:rsidRPr="00E75F6C">
        <w:rPr>
          <w:rFonts w:ascii="Book Antiqua" w:hAnsi="Book Antiqua"/>
          <w:sz w:val="24"/>
          <w:szCs w:val="24"/>
        </w:rPr>
        <w:t>tailoring</w:t>
      </w:r>
      <w:r w:rsidRPr="00E75F6C">
        <w:rPr>
          <w:rFonts w:ascii="Book Antiqua" w:hAnsi="Book Antiqua"/>
          <w:sz w:val="24"/>
          <w:szCs w:val="24"/>
        </w:rPr>
        <w:t xml:space="preserve"> treatment to the individual. However </w:t>
      </w:r>
      <w:r w:rsidR="00C029D8" w:rsidRPr="00E75F6C">
        <w:rPr>
          <w:rFonts w:ascii="Book Antiqua" w:hAnsi="Book Antiqua"/>
          <w:sz w:val="24"/>
          <w:szCs w:val="24"/>
        </w:rPr>
        <w:t>it’s</w:t>
      </w:r>
      <w:r w:rsidRPr="00E75F6C">
        <w:rPr>
          <w:rFonts w:ascii="Book Antiqua" w:hAnsi="Book Antiqua"/>
          <w:sz w:val="24"/>
          <w:szCs w:val="24"/>
        </w:rPr>
        <w:t xml:space="preserve"> important that its role is </w:t>
      </w:r>
      <w:r w:rsidR="00C029D8" w:rsidRPr="00E75F6C">
        <w:rPr>
          <w:rFonts w:ascii="Book Antiqua" w:hAnsi="Book Antiqua"/>
          <w:sz w:val="24"/>
          <w:szCs w:val="24"/>
        </w:rPr>
        <w:t>incorporated</w:t>
      </w:r>
      <w:r w:rsidRPr="00E75F6C">
        <w:rPr>
          <w:rFonts w:ascii="Book Antiqua" w:hAnsi="Book Antiqua"/>
          <w:sz w:val="24"/>
          <w:szCs w:val="24"/>
        </w:rPr>
        <w:t xml:space="preserve"> smoothly into treatment algorithms. Furthermore </w:t>
      </w:r>
      <w:proofErr w:type="spellStart"/>
      <w:r w:rsidRPr="00E75F6C">
        <w:rPr>
          <w:rFonts w:ascii="Book Antiqua" w:hAnsi="Book Antiqua"/>
          <w:sz w:val="24"/>
          <w:szCs w:val="24"/>
        </w:rPr>
        <w:t>immunomonitoring</w:t>
      </w:r>
      <w:proofErr w:type="spellEnd"/>
      <w:r w:rsidRPr="00E75F6C">
        <w:rPr>
          <w:rFonts w:ascii="Book Antiqua" w:hAnsi="Book Antiqua"/>
          <w:sz w:val="24"/>
          <w:szCs w:val="24"/>
        </w:rPr>
        <w:t xml:space="preserve"> needs to be utilised at key points in the trea</w:t>
      </w:r>
      <w:r w:rsidR="003E257B" w:rsidRPr="00E75F6C">
        <w:rPr>
          <w:rFonts w:ascii="Book Antiqua" w:hAnsi="Book Antiqua"/>
          <w:sz w:val="24"/>
          <w:szCs w:val="24"/>
        </w:rPr>
        <w:t xml:space="preserve">tment process. </w:t>
      </w:r>
      <w:r w:rsidR="00386757" w:rsidRPr="00E75F6C">
        <w:rPr>
          <w:rFonts w:ascii="Book Antiqua" w:hAnsi="Book Antiqua"/>
          <w:sz w:val="24"/>
          <w:szCs w:val="24"/>
        </w:rPr>
        <w:t xml:space="preserve">While further prospective data and studies are required there is evidence to support its usage in current practice. </w:t>
      </w:r>
      <w:r w:rsidRPr="00E75F6C">
        <w:rPr>
          <w:rFonts w:ascii="Book Antiqua" w:hAnsi="Book Antiqua"/>
          <w:sz w:val="24"/>
          <w:szCs w:val="24"/>
        </w:rPr>
        <w:t>After completion of induction therapy</w:t>
      </w:r>
      <w:r w:rsidR="00386757" w:rsidRPr="00E75F6C">
        <w:rPr>
          <w:rFonts w:ascii="Book Antiqua" w:hAnsi="Book Antiqua"/>
          <w:sz w:val="24"/>
          <w:szCs w:val="24"/>
        </w:rPr>
        <w:t>,</w:t>
      </w:r>
      <w:r w:rsidRPr="00E75F6C">
        <w:rPr>
          <w:rFonts w:ascii="Book Antiqua" w:hAnsi="Book Antiqua"/>
          <w:sz w:val="24"/>
          <w:szCs w:val="24"/>
        </w:rPr>
        <w:t xml:space="preserve"> assessment of anti-TNF</w:t>
      </w:r>
      <w:r w:rsidR="0055454E">
        <w:rPr>
          <w:rFonts w:ascii="Book Antiqua" w:hAnsi="Book Antiqua"/>
          <w:sz w:val="24"/>
          <w:szCs w:val="24"/>
        </w:rPr>
        <w:sym w:font="Symbol" w:char="F061"/>
      </w:r>
      <w:r w:rsidRPr="00E75F6C">
        <w:rPr>
          <w:rFonts w:ascii="Book Antiqua" w:hAnsi="Book Antiqua"/>
          <w:sz w:val="24"/>
          <w:szCs w:val="24"/>
        </w:rPr>
        <w:t xml:space="preserve"> trough and antibody </w:t>
      </w:r>
      <w:proofErr w:type="gramStart"/>
      <w:r w:rsidRPr="00E75F6C">
        <w:rPr>
          <w:rFonts w:ascii="Book Antiqua" w:hAnsi="Book Antiqua"/>
          <w:sz w:val="24"/>
          <w:szCs w:val="24"/>
        </w:rPr>
        <w:t>levels,</w:t>
      </w:r>
      <w:proofErr w:type="gramEnd"/>
      <w:r w:rsidR="00386757" w:rsidRPr="00E75F6C">
        <w:rPr>
          <w:rFonts w:ascii="Book Antiqua" w:hAnsi="Book Antiqua"/>
          <w:sz w:val="24"/>
          <w:szCs w:val="24"/>
        </w:rPr>
        <w:t xml:space="preserve"> may be performed,</w:t>
      </w:r>
      <w:r w:rsidRPr="00E75F6C">
        <w:rPr>
          <w:rFonts w:ascii="Book Antiqua" w:hAnsi="Book Antiqua"/>
          <w:sz w:val="24"/>
          <w:szCs w:val="24"/>
        </w:rPr>
        <w:t xml:space="preserve"> with strong consideration on dose intensification, if trough </w:t>
      </w:r>
      <w:r w:rsidR="00C029D8" w:rsidRPr="00E75F6C">
        <w:rPr>
          <w:rFonts w:ascii="Book Antiqua" w:hAnsi="Book Antiqua"/>
          <w:sz w:val="24"/>
          <w:szCs w:val="24"/>
        </w:rPr>
        <w:t>levels</w:t>
      </w:r>
      <w:r w:rsidRPr="00E75F6C">
        <w:rPr>
          <w:rFonts w:ascii="Book Antiqua" w:hAnsi="Book Antiqua"/>
          <w:sz w:val="24"/>
          <w:szCs w:val="24"/>
        </w:rPr>
        <w:t xml:space="preserve"> are sub</w:t>
      </w:r>
      <w:r w:rsidR="00C029D8" w:rsidRPr="00E75F6C">
        <w:rPr>
          <w:rFonts w:ascii="Book Antiqua" w:hAnsi="Book Antiqua"/>
          <w:sz w:val="24"/>
          <w:szCs w:val="24"/>
        </w:rPr>
        <w:t>-</w:t>
      </w:r>
      <w:r w:rsidRPr="00E75F6C">
        <w:rPr>
          <w:rFonts w:ascii="Book Antiqua" w:hAnsi="Book Antiqua"/>
          <w:sz w:val="24"/>
          <w:szCs w:val="24"/>
        </w:rPr>
        <w:t xml:space="preserve">therapeutic. In addition for patients on maintenance therapy, </w:t>
      </w:r>
      <w:r w:rsidR="00386757" w:rsidRPr="00E75F6C">
        <w:rPr>
          <w:rFonts w:ascii="Book Antiqua" w:hAnsi="Book Antiqua"/>
          <w:sz w:val="24"/>
          <w:szCs w:val="24"/>
        </w:rPr>
        <w:t>it may be</w:t>
      </w:r>
      <w:r w:rsidRPr="00E75F6C">
        <w:rPr>
          <w:rFonts w:ascii="Book Antiqua" w:hAnsi="Book Antiqua"/>
          <w:sz w:val="24"/>
          <w:szCs w:val="24"/>
        </w:rPr>
        <w:t xml:space="preserve"> appropriate to assess anti-TNFA trough and antibody levels, when loss of response occurs. Treatment may be intensified, by way of dose escalation where necessary</w:t>
      </w:r>
      <w:r w:rsidR="00386757" w:rsidRPr="00E75F6C">
        <w:rPr>
          <w:rFonts w:ascii="Book Antiqua" w:hAnsi="Book Antiqua"/>
          <w:sz w:val="24"/>
          <w:szCs w:val="24"/>
        </w:rPr>
        <w:t xml:space="preserve"> to target trough levels</w:t>
      </w:r>
      <w:r w:rsidRPr="00E75F6C">
        <w:rPr>
          <w:rFonts w:ascii="Book Antiqua" w:hAnsi="Book Antiqua"/>
          <w:sz w:val="24"/>
          <w:szCs w:val="24"/>
        </w:rPr>
        <w:t>, or the addition of an IM to improve trough levels, and reduce antibody formation</w:t>
      </w:r>
      <w:r w:rsidR="00386757" w:rsidRPr="00E75F6C">
        <w:rPr>
          <w:rFonts w:ascii="Book Antiqua" w:hAnsi="Book Antiqua"/>
          <w:sz w:val="24"/>
          <w:szCs w:val="24"/>
        </w:rPr>
        <w:t>.</w:t>
      </w:r>
      <w:r w:rsidRPr="00E75F6C">
        <w:rPr>
          <w:rFonts w:ascii="Book Antiqua" w:hAnsi="Book Antiqua"/>
          <w:sz w:val="24"/>
          <w:szCs w:val="24"/>
        </w:rPr>
        <w:t xml:space="preserve"> In addition </w:t>
      </w:r>
      <w:proofErr w:type="spellStart"/>
      <w:r w:rsidRPr="00E75F6C">
        <w:rPr>
          <w:rFonts w:ascii="Book Antiqua" w:hAnsi="Book Antiqua"/>
          <w:sz w:val="24"/>
          <w:szCs w:val="24"/>
        </w:rPr>
        <w:t>immunomonitoring</w:t>
      </w:r>
      <w:proofErr w:type="spellEnd"/>
      <w:r w:rsidRPr="00E75F6C">
        <w:rPr>
          <w:rFonts w:ascii="Book Antiqua" w:hAnsi="Book Antiqua"/>
          <w:sz w:val="24"/>
          <w:szCs w:val="24"/>
        </w:rPr>
        <w:t xml:space="preserve"> will offer guidance when contemplating a switch to an alternative anti-TNFA agent as discussed above. </w:t>
      </w:r>
    </w:p>
    <w:p w14:paraId="7B33F882" w14:textId="77777777" w:rsidR="00CA2E80" w:rsidRDefault="00CA2E80" w:rsidP="00AD1560">
      <w:pPr>
        <w:spacing w:after="0" w:line="360" w:lineRule="auto"/>
        <w:jc w:val="both"/>
        <w:rPr>
          <w:rFonts w:ascii="Book Antiqua" w:hAnsi="Book Antiqua"/>
          <w:b/>
          <w:sz w:val="24"/>
          <w:szCs w:val="24"/>
          <w:lang w:eastAsia="zh-CN"/>
        </w:rPr>
      </w:pPr>
    </w:p>
    <w:p w14:paraId="13D18007" w14:textId="77777777" w:rsidR="00386757" w:rsidRPr="00E75F6C" w:rsidRDefault="00CA2E80" w:rsidP="00AD1560">
      <w:pPr>
        <w:spacing w:after="0" w:line="360" w:lineRule="auto"/>
        <w:jc w:val="both"/>
        <w:rPr>
          <w:rFonts w:ascii="Book Antiqua" w:hAnsi="Book Antiqua"/>
          <w:b/>
          <w:sz w:val="24"/>
          <w:szCs w:val="24"/>
          <w:lang w:eastAsia="zh-CN"/>
        </w:rPr>
      </w:pPr>
      <w:r>
        <w:rPr>
          <w:rFonts w:ascii="Book Antiqua" w:hAnsi="Book Antiqua"/>
          <w:b/>
          <w:sz w:val="24"/>
          <w:szCs w:val="24"/>
        </w:rPr>
        <w:t>CONCLUSION</w:t>
      </w:r>
    </w:p>
    <w:p w14:paraId="67293620" w14:textId="508D3871" w:rsidR="00E75F6C" w:rsidRDefault="00386757" w:rsidP="00AD1560">
      <w:pPr>
        <w:spacing w:after="0" w:line="360" w:lineRule="auto"/>
        <w:jc w:val="both"/>
        <w:rPr>
          <w:rFonts w:ascii="Book Antiqua" w:hAnsi="Book Antiqua"/>
          <w:sz w:val="24"/>
          <w:szCs w:val="24"/>
        </w:rPr>
      </w:pPr>
      <w:proofErr w:type="spellStart"/>
      <w:r w:rsidRPr="00E75F6C">
        <w:rPr>
          <w:rFonts w:ascii="Book Antiqua" w:hAnsi="Book Antiqua"/>
          <w:sz w:val="24"/>
          <w:szCs w:val="24"/>
        </w:rPr>
        <w:t>I</w:t>
      </w:r>
      <w:r w:rsidR="0028783B" w:rsidRPr="00E75F6C">
        <w:rPr>
          <w:rFonts w:ascii="Book Antiqua" w:hAnsi="Book Antiqua"/>
          <w:sz w:val="24"/>
          <w:szCs w:val="24"/>
        </w:rPr>
        <w:t>mmunomonitorin</w:t>
      </w:r>
      <w:r w:rsidR="00152AB8" w:rsidRPr="00E75F6C">
        <w:rPr>
          <w:rFonts w:ascii="Book Antiqua" w:hAnsi="Book Antiqua"/>
          <w:sz w:val="24"/>
          <w:szCs w:val="24"/>
        </w:rPr>
        <w:t>g</w:t>
      </w:r>
      <w:proofErr w:type="spellEnd"/>
      <w:r w:rsidR="00152AB8" w:rsidRPr="00E75F6C">
        <w:rPr>
          <w:rFonts w:ascii="Book Antiqua" w:hAnsi="Book Antiqua"/>
          <w:sz w:val="24"/>
          <w:szCs w:val="24"/>
        </w:rPr>
        <w:t xml:space="preserve"> is helping us to </w:t>
      </w:r>
      <w:r w:rsidR="0028783B" w:rsidRPr="00E75F6C">
        <w:rPr>
          <w:rFonts w:ascii="Book Antiqua" w:hAnsi="Book Antiqua"/>
          <w:sz w:val="24"/>
          <w:szCs w:val="24"/>
        </w:rPr>
        <w:t>understand the pharmacokinetics behind anti-</w:t>
      </w:r>
      <w:proofErr w:type="spellStart"/>
      <w:r w:rsidR="0028783B" w:rsidRPr="00E75F6C">
        <w:rPr>
          <w:rFonts w:ascii="Book Antiqua" w:hAnsi="Book Antiqua"/>
          <w:sz w:val="24"/>
          <w:szCs w:val="24"/>
        </w:rPr>
        <w:t>TNFa</w:t>
      </w:r>
      <w:proofErr w:type="spellEnd"/>
      <w:r w:rsidR="0028783B" w:rsidRPr="00E75F6C">
        <w:rPr>
          <w:rFonts w:ascii="Book Antiqua" w:hAnsi="Book Antiqua"/>
          <w:sz w:val="24"/>
          <w:szCs w:val="24"/>
        </w:rPr>
        <w:t xml:space="preserve"> therapies, </w:t>
      </w:r>
      <w:r w:rsidR="007272BE" w:rsidRPr="00E75F6C">
        <w:rPr>
          <w:rFonts w:ascii="Book Antiqua" w:hAnsi="Book Antiqua"/>
          <w:sz w:val="24"/>
          <w:szCs w:val="24"/>
        </w:rPr>
        <w:t xml:space="preserve">and also how best to optimise management of IBD. </w:t>
      </w:r>
      <w:r w:rsidR="00C029D8" w:rsidRPr="00E75F6C">
        <w:rPr>
          <w:rFonts w:ascii="Book Antiqua" w:hAnsi="Book Antiqua"/>
          <w:sz w:val="24"/>
          <w:szCs w:val="24"/>
        </w:rPr>
        <w:t>Tailoring</w:t>
      </w:r>
      <w:r w:rsidR="007272BE" w:rsidRPr="00E75F6C">
        <w:rPr>
          <w:rFonts w:ascii="Book Antiqua" w:hAnsi="Book Antiqua"/>
          <w:sz w:val="24"/>
          <w:szCs w:val="24"/>
        </w:rPr>
        <w:t xml:space="preserve"> treatment to the individual in a treat to target fashion, offers the hope of improving response and remission rates, as well as achieving mucosal healing. This needs to be verified, using randomised clinical trials, comparing with the current standard approach. Going forward, we need to understand further the significance of immunogenicity, the impact of anti-TNF</w:t>
      </w:r>
      <w:r w:rsidR="0055454E">
        <w:rPr>
          <w:rFonts w:ascii="Book Antiqua" w:hAnsi="Book Antiqua"/>
          <w:sz w:val="24"/>
          <w:szCs w:val="24"/>
        </w:rPr>
        <w:sym w:font="Symbol" w:char="F061"/>
      </w:r>
      <w:r w:rsidR="007272BE" w:rsidRPr="00E75F6C">
        <w:rPr>
          <w:rFonts w:ascii="Book Antiqua" w:hAnsi="Book Antiqua"/>
          <w:sz w:val="24"/>
          <w:szCs w:val="24"/>
        </w:rPr>
        <w:t xml:space="preserve"> antibody formation, and </w:t>
      </w:r>
      <w:r w:rsidR="000D02E3" w:rsidRPr="00E75F6C">
        <w:rPr>
          <w:rFonts w:ascii="Book Antiqua" w:hAnsi="Book Antiqua"/>
          <w:sz w:val="24"/>
          <w:szCs w:val="24"/>
        </w:rPr>
        <w:t xml:space="preserve">there is a strong need for </w:t>
      </w:r>
      <w:r w:rsidR="007272BE" w:rsidRPr="00E75F6C">
        <w:rPr>
          <w:rFonts w:ascii="Book Antiqua" w:hAnsi="Book Antiqua"/>
          <w:sz w:val="24"/>
          <w:szCs w:val="24"/>
        </w:rPr>
        <w:t>greater availability, of more affordable and rapid turnaround ELISA</w:t>
      </w:r>
      <w:r w:rsidR="00152AB8" w:rsidRPr="00E75F6C">
        <w:rPr>
          <w:rFonts w:ascii="Book Antiqua" w:hAnsi="Book Antiqua"/>
          <w:sz w:val="24"/>
          <w:szCs w:val="24"/>
        </w:rPr>
        <w:t xml:space="preserve"> or alternative</w:t>
      </w:r>
      <w:r w:rsidR="007272BE" w:rsidRPr="00E75F6C">
        <w:rPr>
          <w:rFonts w:ascii="Book Antiqua" w:hAnsi="Book Antiqua"/>
          <w:sz w:val="24"/>
          <w:szCs w:val="24"/>
        </w:rPr>
        <w:t xml:space="preserve"> techniques, to fully implement the potential of </w:t>
      </w:r>
      <w:proofErr w:type="spellStart"/>
      <w:r w:rsidR="007272BE" w:rsidRPr="00E75F6C">
        <w:rPr>
          <w:rFonts w:ascii="Book Antiqua" w:hAnsi="Book Antiqua"/>
          <w:sz w:val="24"/>
          <w:szCs w:val="24"/>
        </w:rPr>
        <w:t>immunomonitoring</w:t>
      </w:r>
      <w:proofErr w:type="spellEnd"/>
      <w:r w:rsidR="007272BE" w:rsidRPr="00E75F6C">
        <w:rPr>
          <w:rFonts w:ascii="Book Antiqua" w:hAnsi="Book Antiqua"/>
          <w:sz w:val="24"/>
          <w:szCs w:val="24"/>
        </w:rPr>
        <w:t xml:space="preserve">. </w:t>
      </w:r>
    </w:p>
    <w:p w14:paraId="330E628F" w14:textId="77777777" w:rsidR="0066649A" w:rsidRPr="0066649A" w:rsidRDefault="0066649A" w:rsidP="00AD1560">
      <w:pPr>
        <w:spacing w:after="0" w:line="360" w:lineRule="auto"/>
        <w:jc w:val="both"/>
        <w:rPr>
          <w:rFonts w:ascii="Book Antiqua" w:hAnsi="Book Antiqua"/>
          <w:sz w:val="24"/>
          <w:szCs w:val="24"/>
        </w:rPr>
      </w:pPr>
    </w:p>
    <w:p w14:paraId="49E7E83B" w14:textId="77777777" w:rsidR="00CA2E80" w:rsidRDefault="00CA2E80">
      <w:pPr>
        <w:rPr>
          <w:rFonts w:ascii="Book Antiqua" w:hAnsi="Book Antiqua"/>
          <w:b/>
          <w:sz w:val="24"/>
          <w:szCs w:val="24"/>
        </w:rPr>
      </w:pPr>
      <w:r>
        <w:rPr>
          <w:rFonts w:ascii="Book Antiqua" w:hAnsi="Book Antiqua"/>
          <w:b/>
          <w:sz w:val="24"/>
          <w:szCs w:val="24"/>
        </w:rPr>
        <w:br w:type="page"/>
      </w:r>
    </w:p>
    <w:p w14:paraId="60C508EE" w14:textId="77777777" w:rsidR="001952F6" w:rsidRDefault="00FF751A" w:rsidP="00264FD1">
      <w:pPr>
        <w:spacing w:after="0" w:line="360" w:lineRule="auto"/>
        <w:jc w:val="both"/>
        <w:rPr>
          <w:rFonts w:ascii="Book Antiqua" w:hAnsi="Book Antiqua"/>
          <w:b/>
          <w:sz w:val="24"/>
          <w:szCs w:val="24"/>
          <w:lang w:eastAsia="zh-CN"/>
        </w:rPr>
      </w:pPr>
      <w:r>
        <w:rPr>
          <w:rFonts w:ascii="Book Antiqua" w:hAnsi="Book Antiqua"/>
          <w:b/>
          <w:sz w:val="24"/>
          <w:szCs w:val="24"/>
        </w:rPr>
        <w:lastRenderedPageBreak/>
        <w:t>REFERENCES</w:t>
      </w:r>
    </w:p>
    <w:p w14:paraId="01F48914" w14:textId="77777777" w:rsidR="00264FD1" w:rsidRPr="00A63850" w:rsidRDefault="00264FD1" w:rsidP="00264FD1">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1 </w:t>
      </w:r>
      <w:proofErr w:type="spellStart"/>
      <w:r w:rsidRPr="00A63850">
        <w:rPr>
          <w:rFonts w:ascii="Book Antiqua" w:eastAsia="宋体" w:hAnsi="Book Antiqua" w:cs="宋体"/>
          <w:b/>
          <w:sz w:val="24"/>
          <w:szCs w:val="24"/>
        </w:rPr>
        <w:t>Diveu</w:t>
      </w:r>
      <w:proofErr w:type="spellEnd"/>
      <w:r w:rsidRPr="00A63850">
        <w:rPr>
          <w:rFonts w:ascii="Book Antiqua" w:eastAsia="宋体" w:hAnsi="Book Antiqua" w:cs="宋体"/>
          <w:b/>
          <w:sz w:val="24"/>
          <w:szCs w:val="24"/>
        </w:rPr>
        <w:t xml:space="preserve"> C,</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McGeachy</w:t>
      </w:r>
      <w:proofErr w:type="spellEnd"/>
      <w:r w:rsidRPr="00A63850">
        <w:rPr>
          <w:rFonts w:ascii="Book Antiqua" w:eastAsia="宋体" w:hAnsi="Book Antiqua" w:cs="宋体"/>
          <w:sz w:val="24"/>
          <w:szCs w:val="24"/>
        </w:rPr>
        <w:t xml:space="preserve"> MJ, </w:t>
      </w:r>
      <w:proofErr w:type="spellStart"/>
      <w:r w:rsidRPr="00A63850">
        <w:rPr>
          <w:rFonts w:ascii="Book Antiqua" w:eastAsia="宋体" w:hAnsi="Book Antiqua" w:cs="宋体"/>
          <w:sz w:val="24"/>
          <w:szCs w:val="24"/>
        </w:rPr>
        <w:t>Cua</w:t>
      </w:r>
      <w:proofErr w:type="spellEnd"/>
      <w:r w:rsidRPr="00A63850">
        <w:rPr>
          <w:rFonts w:ascii="Book Antiqua" w:eastAsia="宋体" w:hAnsi="Book Antiqua" w:cs="宋体"/>
          <w:sz w:val="24"/>
          <w:szCs w:val="24"/>
        </w:rPr>
        <w:t xml:space="preserve"> DJ. Cytokines that regulate autoimmunity. </w:t>
      </w:r>
      <w:proofErr w:type="spellStart"/>
      <w:r>
        <w:rPr>
          <w:rFonts w:ascii="Book Antiqua" w:eastAsia="宋体" w:hAnsi="Book Antiqua" w:cs="宋体"/>
          <w:sz w:val="24"/>
          <w:szCs w:val="24"/>
        </w:rPr>
        <w:t>Curr</w:t>
      </w:r>
      <w:proofErr w:type="spellEnd"/>
      <w:r>
        <w:rPr>
          <w:rFonts w:ascii="Book Antiqua" w:eastAsia="宋体" w:hAnsi="Book Antiqua" w:cs="宋体"/>
          <w:sz w:val="24"/>
          <w:szCs w:val="24"/>
        </w:rPr>
        <w:t xml:space="preserve"> </w:t>
      </w:r>
      <w:proofErr w:type="spellStart"/>
      <w:r>
        <w:rPr>
          <w:rFonts w:ascii="Book Antiqua" w:eastAsia="宋体" w:hAnsi="Book Antiqua" w:cs="宋体"/>
          <w:sz w:val="24"/>
          <w:szCs w:val="24"/>
        </w:rPr>
        <w:t>Opin</w:t>
      </w:r>
      <w:proofErr w:type="spellEnd"/>
      <w:r>
        <w:rPr>
          <w:rFonts w:ascii="Book Antiqua" w:eastAsia="宋体" w:hAnsi="Book Antiqua" w:cs="宋体"/>
          <w:sz w:val="24"/>
          <w:szCs w:val="24"/>
        </w:rPr>
        <w:t xml:space="preserve"> </w:t>
      </w:r>
      <w:proofErr w:type="spellStart"/>
      <w:r>
        <w:rPr>
          <w:rFonts w:ascii="Book Antiqua" w:eastAsia="宋体" w:hAnsi="Book Antiqua" w:cs="宋体"/>
          <w:sz w:val="24"/>
          <w:szCs w:val="24"/>
        </w:rPr>
        <w:t>Immunol</w:t>
      </w:r>
      <w:proofErr w:type="spellEnd"/>
      <w:r>
        <w:rPr>
          <w:rFonts w:ascii="Book Antiqua" w:eastAsia="宋体" w:hAnsi="Book Antiqua" w:cs="宋体"/>
          <w:sz w:val="24"/>
          <w:szCs w:val="24"/>
        </w:rPr>
        <w:t xml:space="preserve"> 2008; 20: 663</w:t>
      </w:r>
      <w:r>
        <w:rPr>
          <w:rFonts w:ascii="Book Antiqua" w:eastAsia="宋体" w:hAnsi="Book Antiqua" w:cs="宋体" w:hint="eastAsia"/>
          <w:sz w:val="24"/>
          <w:szCs w:val="24"/>
        </w:rPr>
        <w:t xml:space="preserve"> </w:t>
      </w:r>
      <w:r w:rsidRPr="00A63850">
        <w:rPr>
          <w:rFonts w:ascii="Book Antiqua" w:eastAsia="宋体" w:hAnsi="Book Antiqua" w:cs="宋体"/>
          <w:sz w:val="24"/>
          <w:szCs w:val="24"/>
        </w:rPr>
        <w:t>[PMID</w:t>
      </w:r>
      <w:r>
        <w:rPr>
          <w:rFonts w:ascii="Book Antiqua" w:eastAsia="宋体" w:hAnsi="Book Antiqua" w:cs="宋体" w:hint="eastAsia"/>
          <w:sz w:val="24"/>
          <w:szCs w:val="24"/>
        </w:rPr>
        <w:t>:</w:t>
      </w:r>
      <w:r w:rsidRPr="00A63850">
        <w:rPr>
          <w:rFonts w:ascii="Book Antiqua" w:eastAsia="宋体" w:hAnsi="Book Antiqua" w:cs="宋体"/>
          <w:sz w:val="24"/>
          <w:szCs w:val="24"/>
        </w:rPr>
        <w:t xml:space="preserve"> 18834938 DOI: 10.1016/j.coi.2008.09.003]</w:t>
      </w:r>
    </w:p>
    <w:p w14:paraId="1D3B65FC"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2 </w:t>
      </w:r>
      <w:r w:rsidRPr="00A63850">
        <w:rPr>
          <w:rFonts w:ascii="Book Antiqua" w:eastAsia="宋体" w:hAnsi="Book Antiqua" w:cs="宋体"/>
          <w:b/>
          <w:bCs/>
          <w:sz w:val="24"/>
          <w:szCs w:val="24"/>
        </w:rPr>
        <w:t>Costa J</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Magro</w:t>
      </w:r>
      <w:proofErr w:type="spellEnd"/>
      <w:r w:rsidRPr="00A63850">
        <w:rPr>
          <w:rFonts w:ascii="Book Antiqua" w:eastAsia="宋体" w:hAnsi="Book Antiqua" w:cs="宋体"/>
          <w:sz w:val="24"/>
          <w:szCs w:val="24"/>
        </w:rPr>
        <w:t xml:space="preserve"> F, </w:t>
      </w:r>
      <w:proofErr w:type="spellStart"/>
      <w:r w:rsidRPr="00A63850">
        <w:rPr>
          <w:rFonts w:ascii="Book Antiqua" w:eastAsia="宋体" w:hAnsi="Book Antiqua" w:cs="宋体"/>
          <w:sz w:val="24"/>
          <w:szCs w:val="24"/>
        </w:rPr>
        <w:t>Caldeira</w:t>
      </w:r>
      <w:proofErr w:type="spellEnd"/>
      <w:r w:rsidRPr="00A63850">
        <w:rPr>
          <w:rFonts w:ascii="Book Antiqua" w:eastAsia="宋体" w:hAnsi="Book Antiqua" w:cs="宋体"/>
          <w:sz w:val="24"/>
          <w:szCs w:val="24"/>
        </w:rPr>
        <w:t xml:space="preserve"> D, </w:t>
      </w:r>
      <w:proofErr w:type="spellStart"/>
      <w:r w:rsidRPr="00A63850">
        <w:rPr>
          <w:rFonts w:ascii="Book Antiqua" w:eastAsia="宋体" w:hAnsi="Book Antiqua" w:cs="宋体"/>
          <w:sz w:val="24"/>
          <w:szCs w:val="24"/>
        </w:rPr>
        <w:t>Alarcão</w:t>
      </w:r>
      <w:proofErr w:type="spellEnd"/>
      <w:r w:rsidRPr="00A63850">
        <w:rPr>
          <w:rFonts w:ascii="Book Antiqua" w:eastAsia="宋体" w:hAnsi="Book Antiqua" w:cs="宋体"/>
          <w:sz w:val="24"/>
          <w:szCs w:val="24"/>
        </w:rPr>
        <w:t xml:space="preserve"> J, Sousa R, </w:t>
      </w:r>
      <w:proofErr w:type="spellStart"/>
      <w:r w:rsidRPr="00A63850">
        <w:rPr>
          <w:rFonts w:ascii="Book Antiqua" w:eastAsia="宋体" w:hAnsi="Book Antiqua" w:cs="宋体"/>
          <w:sz w:val="24"/>
          <w:szCs w:val="24"/>
        </w:rPr>
        <w:t>Vaz-Carneiro</w:t>
      </w:r>
      <w:proofErr w:type="spellEnd"/>
      <w:r w:rsidRPr="00A63850">
        <w:rPr>
          <w:rFonts w:ascii="Book Antiqua" w:eastAsia="宋体" w:hAnsi="Book Antiqua" w:cs="宋体"/>
          <w:sz w:val="24"/>
          <w:szCs w:val="24"/>
        </w:rPr>
        <w:t xml:space="preserve"> A. Infliximab reduces hospitalizations and surgery interventions in patients with inflammatory bowel disease: a systematic review and meta-analysis. </w:t>
      </w:r>
      <w:proofErr w:type="spellStart"/>
      <w:r w:rsidRPr="00A63850">
        <w:rPr>
          <w:rFonts w:ascii="Book Antiqua" w:eastAsia="宋体" w:hAnsi="Book Antiqua" w:cs="宋体"/>
          <w:i/>
          <w:iCs/>
          <w:sz w:val="24"/>
          <w:szCs w:val="24"/>
        </w:rPr>
        <w:t>Inflamm</w:t>
      </w:r>
      <w:proofErr w:type="spellEnd"/>
      <w:r w:rsidRPr="00A63850">
        <w:rPr>
          <w:rFonts w:ascii="Book Antiqua" w:eastAsia="宋体" w:hAnsi="Book Antiqua" w:cs="宋体"/>
          <w:i/>
          <w:iCs/>
          <w:sz w:val="24"/>
          <w:szCs w:val="24"/>
        </w:rPr>
        <w:t xml:space="preserve"> Bowel Dis</w:t>
      </w:r>
      <w:r w:rsidRPr="00A63850">
        <w:rPr>
          <w:rFonts w:ascii="Book Antiqua" w:eastAsia="宋体" w:hAnsi="Book Antiqua" w:cs="宋体"/>
          <w:sz w:val="24"/>
          <w:szCs w:val="24"/>
        </w:rPr>
        <w:t> 2013; </w:t>
      </w:r>
      <w:r w:rsidRPr="00A63850">
        <w:rPr>
          <w:rFonts w:ascii="Book Antiqua" w:eastAsia="宋体" w:hAnsi="Book Antiqua" w:cs="宋体"/>
          <w:b/>
          <w:bCs/>
          <w:sz w:val="24"/>
          <w:szCs w:val="24"/>
        </w:rPr>
        <w:t>19</w:t>
      </w:r>
      <w:r w:rsidRPr="00A63850">
        <w:rPr>
          <w:rFonts w:ascii="Book Antiqua" w:eastAsia="宋体" w:hAnsi="Book Antiqua" w:cs="宋体"/>
          <w:sz w:val="24"/>
          <w:szCs w:val="24"/>
        </w:rPr>
        <w:t>: 2098-2110 [PMID: 23860567 DOI: 10.1097/MIB.0b013e31829936c2]</w:t>
      </w:r>
    </w:p>
    <w:p w14:paraId="0AC4445A"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3 </w:t>
      </w:r>
      <w:proofErr w:type="spellStart"/>
      <w:r w:rsidRPr="00A63850">
        <w:rPr>
          <w:rFonts w:ascii="Book Antiqua" w:eastAsia="宋体" w:hAnsi="Book Antiqua" w:cs="宋体"/>
          <w:b/>
          <w:bCs/>
          <w:sz w:val="24"/>
          <w:szCs w:val="24"/>
        </w:rPr>
        <w:t>Hanauer</w:t>
      </w:r>
      <w:proofErr w:type="spellEnd"/>
      <w:r w:rsidRPr="00A63850">
        <w:rPr>
          <w:rFonts w:ascii="Book Antiqua" w:eastAsia="宋体" w:hAnsi="Book Antiqua" w:cs="宋体"/>
          <w:b/>
          <w:bCs/>
          <w:sz w:val="24"/>
          <w:szCs w:val="24"/>
        </w:rPr>
        <w:t xml:space="preserve"> SB</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Sandborn</w:t>
      </w:r>
      <w:proofErr w:type="spellEnd"/>
      <w:r w:rsidRPr="00A63850">
        <w:rPr>
          <w:rFonts w:ascii="Book Antiqua" w:eastAsia="宋体" w:hAnsi="Book Antiqua" w:cs="宋体"/>
          <w:sz w:val="24"/>
          <w:szCs w:val="24"/>
        </w:rPr>
        <w:t xml:space="preserve"> WJ, </w:t>
      </w:r>
      <w:proofErr w:type="spellStart"/>
      <w:r w:rsidRPr="00A63850">
        <w:rPr>
          <w:rFonts w:ascii="Book Antiqua" w:eastAsia="宋体" w:hAnsi="Book Antiqua" w:cs="宋体"/>
          <w:sz w:val="24"/>
          <w:szCs w:val="24"/>
        </w:rPr>
        <w:t>Rutgeerts</w:t>
      </w:r>
      <w:proofErr w:type="spellEnd"/>
      <w:r w:rsidRPr="00A63850">
        <w:rPr>
          <w:rFonts w:ascii="Book Antiqua" w:eastAsia="宋体" w:hAnsi="Book Antiqua" w:cs="宋体"/>
          <w:sz w:val="24"/>
          <w:szCs w:val="24"/>
        </w:rPr>
        <w:t xml:space="preserve"> P, </w:t>
      </w:r>
      <w:proofErr w:type="spellStart"/>
      <w:r w:rsidRPr="00A63850">
        <w:rPr>
          <w:rFonts w:ascii="Book Antiqua" w:eastAsia="宋体" w:hAnsi="Book Antiqua" w:cs="宋体"/>
          <w:sz w:val="24"/>
          <w:szCs w:val="24"/>
        </w:rPr>
        <w:t>Fedorak</w:t>
      </w:r>
      <w:proofErr w:type="spellEnd"/>
      <w:r w:rsidRPr="00A63850">
        <w:rPr>
          <w:rFonts w:ascii="Book Antiqua" w:eastAsia="宋体" w:hAnsi="Book Antiqua" w:cs="宋体"/>
          <w:sz w:val="24"/>
          <w:szCs w:val="24"/>
        </w:rPr>
        <w:t xml:space="preserve"> RN, Lukas M, </w:t>
      </w:r>
      <w:proofErr w:type="spellStart"/>
      <w:r w:rsidRPr="00A63850">
        <w:rPr>
          <w:rFonts w:ascii="Book Antiqua" w:eastAsia="宋体" w:hAnsi="Book Antiqua" w:cs="宋体"/>
          <w:sz w:val="24"/>
          <w:szCs w:val="24"/>
        </w:rPr>
        <w:t>MacIntosh</w:t>
      </w:r>
      <w:proofErr w:type="spellEnd"/>
      <w:r w:rsidRPr="00A63850">
        <w:rPr>
          <w:rFonts w:ascii="Book Antiqua" w:eastAsia="宋体" w:hAnsi="Book Antiqua" w:cs="宋体"/>
          <w:sz w:val="24"/>
          <w:szCs w:val="24"/>
        </w:rPr>
        <w:t xml:space="preserve"> D, </w:t>
      </w:r>
      <w:proofErr w:type="spellStart"/>
      <w:r w:rsidRPr="00A63850">
        <w:rPr>
          <w:rFonts w:ascii="Book Antiqua" w:eastAsia="宋体" w:hAnsi="Book Antiqua" w:cs="宋体"/>
          <w:sz w:val="24"/>
          <w:szCs w:val="24"/>
        </w:rPr>
        <w:t>Panaccione</w:t>
      </w:r>
      <w:proofErr w:type="spellEnd"/>
      <w:r w:rsidRPr="00A63850">
        <w:rPr>
          <w:rFonts w:ascii="Book Antiqua" w:eastAsia="宋体" w:hAnsi="Book Antiqua" w:cs="宋体"/>
          <w:sz w:val="24"/>
          <w:szCs w:val="24"/>
        </w:rPr>
        <w:t xml:space="preserve"> R, Wolf D, Pollack P. Human anti-</w:t>
      </w:r>
      <w:proofErr w:type="spellStart"/>
      <w:r w:rsidRPr="00A63850">
        <w:rPr>
          <w:rFonts w:ascii="Book Antiqua" w:eastAsia="宋体" w:hAnsi="Book Antiqua" w:cs="宋体"/>
          <w:sz w:val="24"/>
          <w:szCs w:val="24"/>
        </w:rPr>
        <w:t>tumor</w:t>
      </w:r>
      <w:proofErr w:type="spellEnd"/>
      <w:r w:rsidRPr="00A63850">
        <w:rPr>
          <w:rFonts w:ascii="Book Antiqua" w:eastAsia="宋体" w:hAnsi="Book Antiqua" w:cs="宋体"/>
          <w:sz w:val="24"/>
          <w:szCs w:val="24"/>
        </w:rPr>
        <w:t xml:space="preserve"> necrosis factor monoclonal antibody (</w:t>
      </w:r>
      <w:proofErr w:type="spellStart"/>
      <w:r w:rsidRPr="00A63850">
        <w:rPr>
          <w:rFonts w:ascii="Book Antiqua" w:eastAsia="宋体" w:hAnsi="Book Antiqua" w:cs="宋体"/>
          <w:sz w:val="24"/>
          <w:szCs w:val="24"/>
        </w:rPr>
        <w:t>adalimumab</w:t>
      </w:r>
      <w:proofErr w:type="spellEnd"/>
      <w:r w:rsidRPr="00A63850">
        <w:rPr>
          <w:rFonts w:ascii="Book Antiqua" w:eastAsia="宋体" w:hAnsi="Book Antiqua" w:cs="宋体"/>
          <w:sz w:val="24"/>
          <w:szCs w:val="24"/>
        </w:rPr>
        <w:t xml:space="preserve">) in </w:t>
      </w:r>
      <w:proofErr w:type="spellStart"/>
      <w:r w:rsidRPr="00A63850">
        <w:rPr>
          <w:rFonts w:ascii="Book Antiqua" w:eastAsia="宋体" w:hAnsi="Book Antiqua" w:cs="宋体"/>
          <w:sz w:val="24"/>
          <w:szCs w:val="24"/>
        </w:rPr>
        <w:t>Crohn's</w:t>
      </w:r>
      <w:proofErr w:type="spellEnd"/>
      <w:r w:rsidRPr="00A63850">
        <w:rPr>
          <w:rFonts w:ascii="Book Antiqua" w:eastAsia="宋体" w:hAnsi="Book Antiqua" w:cs="宋体"/>
          <w:sz w:val="24"/>
          <w:szCs w:val="24"/>
        </w:rPr>
        <w:t xml:space="preserve"> disease: the CLASSIC-I trial. </w:t>
      </w:r>
      <w:r w:rsidRPr="00A63850">
        <w:rPr>
          <w:rFonts w:ascii="Book Antiqua" w:eastAsia="宋体" w:hAnsi="Book Antiqua" w:cs="宋体"/>
          <w:i/>
          <w:iCs/>
          <w:sz w:val="24"/>
          <w:szCs w:val="24"/>
        </w:rPr>
        <w:t>Gastroenterology</w:t>
      </w:r>
      <w:r w:rsidRPr="00A63850">
        <w:rPr>
          <w:rFonts w:ascii="Book Antiqua" w:eastAsia="宋体" w:hAnsi="Book Antiqua" w:cs="宋体"/>
          <w:sz w:val="24"/>
          <w:szCs w:val="24"/>
        </w:rPr>
        <w:t> 2006; </w:t>
      </w:r>
      <w:r w:rsidRPr="00A63850">
        <w:rPr>
          <w:rFonts w:ascii="Book Antiqua" w:eastAsia="宋体" w:hAnsi="Book Antiqua" w:cs="宋体"/>
          <w:b/>
          <w:bCs/>
          <w:sz w:val="24"/>
          <w:szCs w:val="24"/>
        </w:rPr>
        <w:t>130</w:t>
      </w:r>
      <w:r w:rsidRPr="00A63850">
        <w:rPr>
          <w:rFonts w:ascii="Book Antiqua" w:eastAsia="宋体" w:hAnsi="Book Antiqua" w:cs="宋体"/>
          <w:sz w:val="24"/>
          <w:szCs w:val="24"/>
        </w:rPr>
        <w:t>: 323-33; quiz 591 [PMID: 16472588 DOI: 10.1053/j.gastro.2005.11.030]</w:t>
      </w:r>
    </w:p>
    <w:p w14:paraId="267EE5F9"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4 </w:t>
      </w:r>
      <w:proofErr w:type="spellStart"/>
      <w:r w:rsidRPr="00A63850">
        <w:rPr>
          <w:rFonts w:ascii="Book Antiqua" w:eastAsia="宋体" w:hAnsi="Book Antiqua" w:cs="宋体"/>
          <w:b/>
          <w:bCs/>
          <w:sz w:val="24"/>
          <w:szCs w:val="24"/>
        </w:rPr>
        <w:t>Reinisch</w:t>
      </w:r>
      <w:proofErr w:type="spellEnd"/>
      <w:r w:rsidRPr="00A63850">
        <w:rPr>
          <w:rFonts w:ascii="Book Antiqua" w:eastAsia="宋体" w:hAnsi="Book Antiqua" w:cs="宋体"/>
          <w:b/>
          <w:bCs/>
          <w:sz w:val="24"/>
          <w:szCs w:val="24"/>
        </w:rPr>
        <w:t xml:space="preserve"> W</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Sandborn</w:t>
      </w:r>
      <w:proofErr w:type="spellEnd"/>
      <w:r w:rsidRPr="00A63850">
        <w:rPr>
          <w:rFonts w:ascii="Book Antiqua" w:eastAsia="宋体" w:hAnsi="Book Antiqua" w:cs="宋体"/>
          <w:sz w:val="24"/>
          <w:szCs w:val="24"/>
        </w:rPr>
        <w:t xml:space="preserve"> WJ, </w:t>
      </w:r>
      <w:proofErr w:type="spellStart"/>
      <w:r w:rsidRPr="00A63850">
        <w:rPr>
          <w:rFonts w:ascii="Book Antiqua" w:eastAsia="宋体" w:hAnsi="Book Antiqua" w:cs="宋体"/>
          <w:sz w:val="24"/>
          <w:szCs w:val="24"/>
        </w:rPr>
        <w:t>Hommes</w:t>
      </w:r>
      <w:proofErr w:type="spellEnd"/>
      <w:r w:rsidRPr="00A63850">
        <w:rPr>
          <w:rFonts w:ascii="Book Antiqua" w:eastAsia="宋体" w:hAnsi="Book Antiqua" w:cs="宋体"/>
          <w:sz w:val="24"/>
          <w:szCs w:val="24"/>
        </w:rPr>
        <w:t xml:space="preserve"> DW, </w:t>
      </w:r>
      <w:proofErr w:type="spellStart"/>
      <w:r w:rsidRPr="00A63850">
        <w:rPr>
          <w:rFonts w:ascii="Book Antiqua" w:eastAsia="宋体" w:hAnsi="Book Antiqua" w:cs="宋体"/>
          <w:sz w:val="24"/>
          <w:szCs w:val="24"/>
        </w:rPr>
        <w:t>D'Haens</w:t>
      </w:r>
      <w:proofErr w:type="spellEnd"/>
      <w:r w:rsidRPr="00A63850">
        <w:rPr>
          <w:rFonts w:ascii="Book Antiqua" w:eastAsia="宋体" w:hAnsi="Book Antiqua" w:cs="宋体"/>
          <w:sz w:val="24"/>
          <w:szCs w:val="24"/>
        </w:rPr>
        <w:t xml:space="preserve"> G, </w:t>
      </w:r>
      <w:proofErr w:type="spellStart"/>
      <w:r w:rsidRPr="00A63850">
        <w:rPr>
          <w:rFonts w:ascii="Book Antiqua" w:eastAsia="宋体" w:hAnsi="Book Antiqua" w:cs="宋体"/>
          <w:sz w:val="24"/>
          <w:szCs w:val="24"/>
        </w:rPr>
        <w:t>Hanauer</w:t>
      </w:r>
      <w:proofErr w:type="spellEnd"/>
      <w:r w:rsidRPr="00A63850">
        <w:rPr>
          <w:rFonts w:ascii="Book Antiqua" w:eastAsia="宋体" w:hAnsi="Book Antiqua" w:cs="宋体"/>
          <w:sz w:val="24"/>
          <w:szCs w:val="24"/>
        </w:rPr>
        <w:t xml:space="preserve"> S, Schreiber S, </w:t>
      </w:r>
      <w:proofErr w:type="spellStart"/>
      <w:r w:rsidRPr="00A63850">
        <w:rPr>
          <w:rFonts w:ascii="Book Antiqua" w:eastAsia="宋体" w:hAnsi="Book Antiqua" w:cs="宋体"/>
          <w:sz w:val="24"/>
          <w:szCs w:val="24"/>
        </w:rPr>
        <w:t>Panaccione</w:t>
      </w:r>
      <w:proofErr w:type="spellEnd"/>
      <w:r w:rsidRPr="00A63850">
        <w:rPr>
          <w:rFonts w:ascii="Book Antiqua" w:eastAsia="宋体" w:hAnsi="Book Antiqua" w:cs="宋体"/>
          <w:sz w:val="24"/>
          <w:szCs w:val="24"/>
        </w:rPr>
        <w:t xml:space="preserve"> R, </w:t>
      </w:r>
      <w:proofErr w:type="spellStart"/>
      <w:r w:rsidRPr="00A63850">
        <w:rPr>
          <w:rFonts w:ascii="Book Antiqua" w:eastAsia="宋体" w:hAnsi="Book Antiqua" w:cs="宋体"/>
          <w:sz w:val="24"/>
          <w:szCs w:val="24"/>
        </w:rPr>
        <w:t>Fedorak</w:t>
      </w:r>
      <w:proofErr w:type="spellEnd"/>
      <w:r w:rsidRPr="00A63850">
        <w:rPr>
          <w:rFonts w:ascii="Book Antiqua" w:eastAsia="宋体" w:hAnsi="Book Antiqua" w:cs="宋体"/>
          <w:sz w:val="24"/>
          <w:szCs w:val="24"/>
        </w:rPr>
        <w:t xml:space="preserve"> RN, </w:t>
      </w:r>
      <w:proofErr w:type="spellStart"/>
      <w:r w:rsidRPr="00A63850">
        <w:rPr>
          <w:rFonts w:ascii="Book Antiqua" w:eastAsia="宋体" w:hAnsi="Book Antiqua" w:cs="宋体"/>
          <w:sz w:val="24"/>
          <w:szCs w:val="24"/>
        </w:rPr>
        <w:t>Tighe</w:t>
      </w:r>
      <w:proofErr w:type="spellEnd"/>
      <w:r w:rsidRPr="00A63850">
        <w:rPr>
          <w:rFonts w:ascii="Book Antiqua" w:eastAsia="宋体" w:hAnsi="Book Antiqua" w:cs="宋体"/>
          <w:sz w:val="24"/>
          <w:szCs w:val="24"/>
        </w:rPr>
        <w:t xml:space="preserve"> MB, Huang B, </w:t>
      </w:r>
      <w:proofErr w:type="spellStart"/>
      <w:r w:rsidRPr="00A63850">
        <w:rPr>
          <w:rFonts w:ascii="Book Antiqua" w:eastAsia="宋体" w:hAnsi="Book Antiqua" w:cs="宋体"/>
          <w:sz w:val="24"/>
          <w:szCs w:val="24"/>
        </w:rPr>
        <w:t>Kampman</w:t>
      </w:r>
      <w:proofErr w:type="spellEnd"/>
      <w:r w:rsidRPr="00A63850">
        <w:rPr>
          <w:rFonts w:ascii="Book Antiqua" w:eastAsia="宋体" w:hAnsi="Book Antiqua" w:cs="宋体"/>
          <w:sz w:val="24"/>
          <w:szCs w:val="24"/>
        </w:rPr>
        <w:t xml:space="preserve"> W, Lazar A, </w:t>
      </w:r>
      <w:proofErr w:type="spellStart"/>
      <w:r w:rsidRPr="00A63850">
        <w:rPr>
          <w:rFonts w:ascii="Book Antiqua" w:eastAsia="宋体" w:hAnsi="Book Antiqua" w:cs="宋体"/>
          <w:sz w:val="24"/>
          <w:szCs w:val="24"/>
        </w:rPr>
        <w:t>Thakkar</w:t>
      </w:r>
      <w:proofErr w:type="spellEnd"/>
      <w:r w:rsidRPr="00A63850">
        <w:rPr>
          <w:rFonts w:ascii="Book Antiqua" w:eastAsia="宋体" w:hAnsi="Book Antiqua" w:cs="宋体"/>
          <w:sz w:val="24"/>
          <w:szCs w:val="24"/>
        </w:rPr>
        <w:t xml:space="preserve"> R. </w:t>
      </w:r>
      <w:proofErr w:type="spellStart"/>
      <w:r w:rsidRPr="00A63850">
        <w:rPr>
          <w:rFonts w:ascii="Book Antiqua" w:eastAsia="宋体" w:hAnsi="Book Antiqua" w:cs="宋体"/>
          <w:sz w:val="24"/>
          <w:szCs w:val="24"/>
        </w:rPr>
        <w:t>Adalimumab</w:t>
      </w:r>
      <w:proofErr w:type="spellEnd"/>
      <w:r w:rsidRPr="00A63850">
        <w:rPr>
          <w:rFonts w:ascii="Book Antiqua" w:eastAsia="宋体" w:hAnsi="Book Antiqua" w:cs="宋体"/>
          <w:sz w:val="24"/>
          <w:szCs w:val="24"/>
        </w:rPr>
        <w:t xml:space="preserve"> for induction of clinical remission in moderately to severely active ulcerative colitis: results of a randomised controlled trial. </w:t>
      </w:r>
      <w:r w:rsidRPr="00A63850">
        <w:rPr>
          <w:rFonts w:ascii="Book Antiqua" w:eastAsia="宋体" w:hAnsi="Book Antiqua" w:cs="宋体"/>
          <w:i/>
          <w:iCs/>
          <w:sz w:val="24"/>
          <w:szCs w:val="24"/>
        </w:rPr>
        <w:t>Gut</w:t>
      </w:r>
      <w:r w:rsidRPr="00A63850">
        <w:rPr>
          <w:rFonts w:ascii="Book Antiqua" w:eastAsia="宋体" w:hAnsi="Book Antiqua" w:cs="宋体"/>
          <w:sz w:val="24"/>
          <w:szCs w:val="24"/>
        </w:rPr>
        <w:t> 2011; </w:t>
      </w:r>
      <w:r w:rsidRPr="00A63850">
        <w:rPr>
          <w:rFonts w:ascii="Book Antiqua" w:eastAsia="宋体" w:hAnsi="Book Antiqua" w:cs="宋体"/>
          <w:b/>
          <w:bCs/>
          <w:sz w:val="24"/>
          <w:szCs w:val="24"/>
        </w:rPr>
        <w:t>60</w:t>
      </w:r>
      <w:r w:rsidRPr="00A63850">
        <w:rPr>
          <w:rFonts w:ascii="Book Antiqua" w:eastAsia="宋体" w:hAnsi="Book Antiqua" w:cs="宋体"/>
          <w:sz w:val="24"/>
          <w:szCs w:val="24"/>
        </w:rPr>
        <w:t>: 780-787 [PMID: 21209123 DOI: 10.1136/gut.2010.221127]</w:t>
      </w:r>
    </w:p>
    <w:p w14:paraId="6D493A8D"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5 </w:t>
      </w:r>
      <w:proofErr w:type="spellStart"/>
      <w:r w:rsidRPr="00A63850">
        <w:rPr>
          <w:rFonts w:ascii="Book Antiqua" w:eastAsia="宋体" w:hAnsi="Book Antiqua" w:cs="宋体"/>
          <w:b/>
          <w:bCs/>
          <w:sz w:val="24"/>
          <w:szCs w:val="24"/>
        </w:rPr>
        <w:t>Rutgeerts</w:t>
      </w:r>
      <w:proofErr w:type="spellEnd"/>
      <w:r w:rsidRPr="00A63850">
        <w:rPr>
          <w:rFonts w:ascii="Book Antiqua" w:eastAsia="宋体" w:hAnsi="Book Antiqua" w:cs="宋体"/>
          <w:b/>
          <w:bCs/>
          <w:sz w:val="24"/>
          <w:szCs w:val="24"/>
        </w:rPr>
        <w:t xml:space="preserve"> P</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Sandborn</w:t>
      </w:r>
      <w:proofErr w:type="spellEnd"/>
      <w:r w:rsidRPr="00A63850">
        <w:rPr>
          <w:rFonts w:ascii="Book Antiqua" w:eastAsia="宋体" w:hAnsi="Book Antiqua" w:cs="宋体"/>
          <w:sz w:val="24"/>
          <w:szCs w:val="24"/>
        </w:rPr>
        <w:t xml:space="preserve"> WJ, </w:t>
      </w:r>
      <w:proofErr w:type="spellStart"/>
      <w:r w:rsidRPr="00A63850">
        <w:rPr>
          <w:rFonts w:ascii="Book Antiqua" w:eastAsia="宋体" w:hAnsi="Book Antiqua" w:cs="宋体"/>
          <w:sz w:val="24"/>
          <w:szCs w:val="24"/>
        </w:rPr>
        <w:t>Feagan</w:t>
      </w:r>
      <w:proofErr w:type="spellEnd"/>
      <w:r w:rsidRPr="00A63850">
        <w:rPr>
          <w:rFonts w:ascii="Book Antiqua" w:eastAsia="宋体" w:hAnsi="Book Antiqua" w:cs="宋体"/>
          <w:sz w:val="24"/>
          <w:szCs w:val="24"/>
        </w:rPr>
        <w:t xml:space="preserve"> BG, </w:t>
      </w:r>
      <w:proofErr w:type="spellStart"/>
      <w:r w:rsidRPr="00A63850">
        <w:rPr>
          <w:rFonts w:ascii="Book Antiqua" w:eastAsia="宋体" w:hAnsi="Book Antiqua" w:cs="宋体"/>
          <w:sz w:val="24"/>
          <w:szCs w:val="24"/>
        </w:rPr>
        <w:t>Reinisch</w:t>
      </w:r>
      <w:proofErr w:type="spellEnd"/>
      <w:r w:rsidRPr="00A63850">
        <w:rPr>
          <w:rFonts w:ascii="Book Antiqua" w:eastAsia="宋体" w:hAnsi="Book Antiqua" w:cs="宋体"/>
          <w:sz w:val="24"/>
          <w:szCs w:val="24"/>
        </w:rPr>
        <w:t xml:space="preserve"> W, Olson A, </w:t>
      </w:r>
      <w:proofErr w:type="spellStart"/>
      <w:r w:rsidRPr="00A63850">
        <w:rPr>
          <w:rFonts w:ascii="Book Antiqua" w:eastAsia="宋体" w:hAnsi="Book Antiqua" w:cs="宋体"/>
          <w:sz w:val="24"/>
          <w:szCs w:val="24"/>
        </w:rPr>
        <w:t>Johanns</w:t>
      </w:r>
      <w:proofErr w:type="spellEnd"/>
      <w:r w:rsidRPr="00A63850">
        <w:rPr>
          <w:rFonts w:ascii="Book Antiqua" w:eastAsia="宋体" w:hAnsi="Book Antiqua" w:cs="宋体"/>
          <w:sz w:val="24"/>
          <w:szCs w:val="24"/>
        </w:rPr>
        <w:t xml:space="preserve"> J, Travers S, </w:t>
      </w:r>
      <w:proofErr w:type="spellStart"/>
      <w:r w:rsidRPr="00A63850">
        <w:rPr>
          <w:rFonts w:ascii="Book Antiqua" w:eastAsia="宋体" w:hAnsi="Book Antiqua" w:cs="宋体"/>
          <w:sz w:val="24"/>
          <w:szCs w:val="24"/>
        </w:rPr>
        <w:t>Rachmilewitz</w:t>
      </w:r>
      <w:proofErr w:type="spellEnd"/>
      <w:r w:rsidRPr="00A63850">
        <w:rPr>
          <w:rFonts w:ascii="Book Antiqua" w:eastAsia="宋体" w:hAnsi="Book Antiqua" w:cs="宋体"/>
          <w:sz w:val="24"/>
          <w:szCs w:val="24"/>
        </w:rPr>
        <w:t xml:space="preserve"> D, </w:t>
      </w:r>
      <w:proofErr w:type="spellStart"/>
      <w:r w:rsidRPr="00A63850">
        <w:rPr>
          <w:rFonts w:ascii="Book Antiqua" w:eastAsia="宋体" w:hAnsi="Book Antiqua" w:cs="宋体"/>
          <w:sz w:val="24"/>
          <w:szCs w:val="24"/>
        </w:rPr>
        <w:t>Hanauer</w:t>
      </w:r>
      <w:proofErr w:type="spellEnd"/>
      <w:r w:rsidRPr="00A63850">
        <w:rPr>
          <w:rFonts w:ascii="Book Antiqua" w:eastAsia="宋体" w:hAnsi="Book Antiqua" w:cs="宋体"/>
          <w:sz w:val="24"/>
          <w:szCs w:val="24"/>
        </w:rPr>
        <w:t xml:space="preserve"> SB, Lichtenstein GR, de Villiers WJ, Present D, Sands BE, </w:t>
      </w:r>
      <w:proofErr w:type="spellStart"/>
      <w:r w:rsidRPr="00A63850">
        <w:rPr>
          <w:rFonts w:ascii="Book Antiqua" w:eastAsia="宋体" w:hAnsi="Book Antiqua" w:cs="宋体"/>
          <w:sz w:val="24"/>
          <w:szCs w:val="24"/>
        </w:rPr>
        <w:t>Colombel</w:t>
      </w:r>
      <w:proofErr w:type="spellEnd"/>
      <w:r w:rsidRPr="00A63850">
        <w:rPr>
          <w:rFonts w:ascii="Book Antiqua" w:eastAsia="宋体" w:hAnsi="Book Antiqua" w:cs="宋体"/>
          <w:sz w:val="24"/>
          <w:szCs w:val="24"/>
        </w:rPr>
        <w:t xml:space="preserve"> JF. Infliximab for induction and maintenance therapy for ulcerative colitis. </w:t>
      </w:r>
      <w:r w:rsidRPr="00A63850">
        <w:rPr>
          <w:rFonts w:ascii="Book Antiqua" w:eastAsia="宋体" w:hAnsi="Book Antiqua" w:cs="宋体"/>
          <w:i/>
          <w:iCs/>
          <w:sz w:val="24"/>
          <w:szCs w:val="24"/>
        </w:rPr>
        <w:t xml:space="preserve">N </w:t>
      </w:r>
      <w:proofErr w:type="spellStart"/>
      <w:r w:rsidRPr="00A63850">
        <w:rPr>
          <w:rFonts w:ascii="Book Antiqua" w:eastAsia="宋体" w:hAnsi="Book Antiqua" w:cs="宋体"/>
          <w:i/>
          <w:iCs/>
          <w:sz w:val="24"/>
          <w:szCs w:val="24"/>
        </w:rPr>
        <w:t>Engl</w:t>
      </w:r>
      <w:proofErr w:type="spellEnd"/>
      <w:r w:rsidRPr="00A63850">
        <w:rPr>
          <w:rFonts w:ascii="Book Antiqua" w:eastAsia="宋体" w:hAnsi="Book Antiqua" w:cs="宋体"/>
          <w:i/>
          <w:iCs/>
          <w:sz w:val="24"/>
          <w:szCs w:val="24"/>
        </w:rPr>
        <w:t xml:space="preserve"> J Med</w:t>
      </w:r>
      <w:r w:rsidRPr="00A63850">
        <w:rPr>
          <w:rFonts w:ascii="Book Antiqua" w:eastAsia="宋体" w:hAnsi="Book Antiqua" w:cs="宋体"/>
          <w:sz w:val="24"/>
          <w:szCs w:val="24"/>
        </w:rPr>
        <w:t> 2005; </w:t>
      </w:r>
      <w:r w:rsidRPr="00A63850">
        <w:rPr>
          <w:rFonts w:ascii="Book Antiqua" w:eastAsia="宋体" w:hAnsi="Book Antiqua" w:cs="宋体"/>
          <w:b/>
          <w:bCs/>
          <w:sz w:val="24"/>
          <w:szCs w:val="24"/>
        </w:rPr>
        <w:t>353</w:t>
      </w:r>
      <w:r w:rsidRPr="00A63850">
        <w:rPr>
          <w:rFonts w:ascii="Book Antiqua" w:eastAsia="宋体" w:hAnsi="Book Antiqua" w:cs="宋体"/>
          <w:sz w:val="24"/>
          <w:szCs w:val="24"/>
        </w:rPr>
        <w:t>: 2462-2476 [PMID: 16339095 DOI: 10.1056/NEJMoa050516]</w:t>
      </w:r>
    </w:p>
    <w:p w14:paraId="2D581CCC"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6 </w:t>
      </w:r>
      <w:proofErr w:type="spellStart"/>
      <w:r w:rsidRPr="00A63850">
        <w:rPr>
          <w:rFonts w:ascii="Book Antiqua" w:eastAsia="宋体" w:hAnsi="Book Antiqua" w:cs="宋体"/>
          <w:b/>
          <w:bCs/>
          <w:sz w:val="24"/>
          <w:szCs w:val="24"/>
        </w:rPr>
        <w:t>Sandborn</w:t>
      </w:r>
      <w:proofErr w:type="spellEnd"/>
      <w:r w:rsidRPr="00A63850">
        <w:rPr>
          <w:rFonts w:ascii="Book Antiqua" w:eastAsia="宋体" w:hAnsi="Book Antiqua" w:cs="宋体"/>
          <w:b/>
          <w:bCs/>
          <w:sz w:val="24"/>
          <w:szCs w:val="24"/>
        </w:rPr>
        <w:t xml:space="preserve"> WJ</w:t>
      </w:r>
      <w:r w:rsidRPr="00A63850">
        <w:rPr>
          <w:rFonts w:ascii="Book Antiqua" w:eastAsia="宋体" w:hAnsi="Book Antiqua" w:cs="宋体"/>
          <w:sz w:val="24"/>
          <w:szCs w:val="24"/>
        </w:rPr>
        <w:t xml:space="preserve">, van </w:t>
      </w:r>
      <w:proofErr w:type="spellStart"/>
      <w:r w:rsidRPr="00A63850">
        <w:rPr>
          <w:rFonts w:ascii="Book Antiqua" w:eastAsia="宋体" w:hAnsi="Book Antiqua" w:cs="宋体"/>
          <w:sz w:val="24"/>
          <w:szCs w:val="24"/>
        </w:rPr>
        <w:t>Assche</w:t>
      </w:r>
      <w:proofErr w:type="spellEnd"/>
      <w:r w:rsidRPr="00A63850">
        <w:rPr>
          <w:rFonts w:ascii="Book Antiqua" w:eastAsia="宋体" w:hAnsi="Book Antiqua" w:cs="宋体"/>
          <w:sz w:val="24"/>
          <w:szCs w:val="24"/>
        </w:rPr>
        <w:t xml:space="preserve"> G, </w:t>
      </w:r>
      <w:proofErr w:type="spellStart"/>
      <w:r w:rsidRPr="00A63850">
        <w:rPr>
          <w:rFonts w:ascii="Book Antiqua" w:eastAsia="宋体" w:hAnsi="Book Antiqua" w:cs="宋体"/>
          <w:sz w:val="24"/>
          <w:szCs w:val="24"/>
        </w:rPr>
        <w:t>Reinisch</w:t>
      </w:r>
      <w:proofErr w:type="spellEnd"/>
      <w:r w:rsidRPr="00A63850">
        <w:rPr>
          <w:rFonts w:ascii="Book Antiqua" w:eastAsia="宋体" w:hAnsi="Book Antiqua" w:cs="宋体"/>
          <w:sz w:val="24"/>
          <w:szCs w:val="24"/>
        </w:rPr>
        <w:t xml:space="preserve"> W, </w:t>
      </w:r>
      <w:proofErr w:type="spellStart"/>
      <w:r w:rsidRPr="00A63850">
        <w:rPr>
          <w:rFonts w:ascii="Book Antiqua" w:eastAsia="宋体" w:hAnsi="Book Antiqua" w:cs="宋体"/>
          <w:sz w:val="24"/>
          <w:szCs w:val="24"/>
        </w:rPr>
        <w:t>Colombel</w:t>
      </w:r>
      <w:proofErr w:type="spellEnd"/>
      <w:r w:rsidRPr="00A63850">
        <w:rPr>
          <w:rFonts w:ascii="Book Antiqua" w:eastAsia="宋体" w:hAnsi="Book Antiqua" w:cs="宋体"/>
          <w:sz w:val="24"/>
          <w:szCs w:val="24"/>
        </w:rPr>
        <w:t xml:space="preserve"> JF, </w:t>
      </w:r>
      <w:proofErr w:type="spellStart"/>
      <w:r w:rsidRPr="00A63850">
        <w:rPr>
          <w:rFonts w:ascii="Book Antiqua" w:eastAsia="宋体" w:hAnsi="Book Antiqua" w:cs="宋体"/>
          <w:sz w:val="24"/>
          <w:szCs w:val="24"/>
        </w:rPr>
        <w:t>D'Haens</w:t>
      </w:r>
      <w:proofErr w:type="spellEnd"/>
      <w:r w:rsidRPr="00A63850">
        <w:rPr>
          <w:rFonts w:ascii="Book Antiqua" w:eastAsia="宋体" w:hAnsi="Book Antiqua" w:cs="宋体"/>
          <w:sz w:val="24"/>
          <w:szCs w:val="24"/>
        </w:rPr>
        <w:t xml:space="preserve"> G, Wolf DC, </w:t>
      </w:r>
      <w:proofErr w:type="spellStart"/>
      <w:r w:rsidRPr="00A63850">
        <w:rPr>
          <w:rFonts w:ascii="Book Antiqua" w:eastAsia="宋体" w:hAnsi="Book Antiqua" w:cs="宋体"/>
          <w:sz w:val="24"/>
          <w:szCs w:val="24"/>
        </w:rPr>
        <w:t>Kron</w:t>
      </w:r>
      <w:proofErr w:type="spellEnd"/>
      <w:r w:rsidRPr="00A63850">
        <w:rPr>
          <w:rFonts w:ascii="Book Antiqua" w:eastAsia="宋体" w:hAnsi="Book Antiqua" w:cs="宋体"/>
          <w:sz w:val="24"/>
          <w:szCs w:val="24"/>
        </w:rPr>
        <w:t xml:space="preserve"> M, </w:t>
      </w:r>
      <w:proofErr w:type="spellStart"/>
      <w:r w:rsidRPr="00A63850">
        <w:rPr>
          <w:rFonts w:ascii="Book Antiqua" w:eastAsia="宋体" w:hAnsi="Book Antiqua" w:cs="宋体"/>
          <w:sz w:val="24"/>
          <w:szCs w:val="24"/>
        </w:rPr>
        <w:t>Tighe</w:t>
      </w:r>
      <w:proofErr w:type="spellEnd"/>
      <w:r w:rsidRPr="00A63850">
        <w:rPr>
          <w:rFonts w:ascii="Book Antiqua" w:eastAsia="宋体" w:hAnsi="Book Antiqua" w:cs="宋体"/>
          <w:sz w:val="24"/>
          <w:szCs w:val="24"/>
        </w:rPr>
        <w:t xml:space="preserve"> MB, Lazar A, </w:t>
      </w:r>
      <w:proofErr w:type="spellStart"/>
      <w:r w:rsidRPr="00A63850">
        <w:rPr>
          <w:rFonts w:ascii="Book Antiqua" w:eastAsia="宋体" w:hAnsi="Book Antiqua" w:cs="宋体"/>
          <w:sz w:val="24"/>
          <w:szCs w:val="24"/>
        </w:rPr>
        <w:t>Thakkar</w:t>
      </w:r>
      <w:proofErr w:type="spellEnd"/>
      <w:r w:rsidRPr="00A63850">
        <w:rPr>
          <w:rFonts w:ascii="Book Antiqua" w:eastAsia="宋体" w:hAnsi="Book Antiqua" w:cs="宋体"/>
          <w:sz w:val="24"/>
          <w:szCs w:val="24"/>
        </w:rPr>
        <w:t xml:space="preserve"> RB. </w:t>
      </w:r>
      <w:proofErr w:type="spellStart"/>
      <w:r w:rsidRPr="00A63850">
        <w:rPr>
          <w:rFonts w:ascii="Book Antiqua" w:eastAsia="宋体" w:hAnsi="Book Antiqua" w:cs="宋体"/>
          <w:sz w:val="24"/>
          <w:szCs w:val="24"/>
        </w:rPr>
        <w:t>Adalimumab</w:t>
      </w:r>
      <w:proofErr w:type="spellEnd"/>
      <w:r w:rsidRPr="00A63850">
        <w:rPr>
          <w:rFonts w:ascii="Book Antiqua" w:eastAsia="宋体" w:hAnsi="Book Antiqua" w:cs="宋体"/>
          <w:sz w:val="24"/>
          <w:szCs w:val="24"/>
        </w:rPr>
        <w:t xml:space="preserve"> induces and maintains clinical remission in patients with moderate-to-severe ulcerative colitis. </w:t>
      </w:r>
      <w:r w:rsidRPr="00A63850">
        <w:rPr>
          <w:rFonts w:ascii="Book Antiqua" w:eastAsia="宋体" w:hAnsi="Book Antiqua" w:cs="宋体"/>
          <w:i/>
          <w:iCs/>
          <w:sz w:val="24"/>
          <w:szCs w:val="24"/>
        </w:rPr>
        <w:t>Gastroenterology</w:t>
      </w:r>
      <w:r w:rsidRPr="00A63850">
        <w:rPr>
          <w:rFonts w:ascii="Book Antiqua" w:eastAsia="宋体" w:hAnsi="Book Antiqua" w:cs="宋体"/>
          <w:sz w:val="24"/>
          <w:szCs w:val="24"/>
        </w:rPr>
        <w:t> 2012; </w:t>
      </w:r>
      <w:r w:rsidRPr="00A63850">
        <w:rPr>
          <w:rFonts w:ascii="Book Antiqua" w:eastAsia="宋体" w:hAnsi="Book Antiqua" w:cs="宋体"/>
          <w:b/>
          <w:bCs/>
          <w:sz w:val="24"/>
          <w:szCs w:val="24"/>
        </w:rPr>
        <w:t>142</w:t>
      </w:r>
      <w:r w:rsidRPr="00A63850">
        <w:rPr>
          <w:rFonts w:ascii="Book Antiqua" w:eastAsia="宋体" w:hAnsi="Book Antiqua" w:cs="宋体"/>
          <w:sz w:val="24"/>
          <w:szCs w:val="24"/>
        </w:rPr>
        <w:t>: 257-65.e1-3 [PMID: 22062358 DOI: 10.1053/j.gastro.2011.10.032]</w:t>
      </w:r>
    </w:p>
    <w:p w14:paraId="28559567"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7 </w:t>
      </w:r>
      <w:proofErr w:type="spellStart"/>
      <w:r w:rsidRPr="00A63850">
        <w:rPr>
          <w:rFonts w:ascii="Book Antiqua" w:eastAsia="宋体" w:hAnsi="Book Antiqua" w:cs="宋体"/>
          <w:b/>
          <w:bCs/>
          <w:sz w:val="24"/>
          <w:szCs w:val="24"/>
        </w:rPr>
        <w:t>Hanauer</w:t>
      </w:r>
      <w:proofErr w:type="spellEnd"/>
      <w:r w:rsidRPr="00A63850">
        <w:rPr>
          <w:rFonts w:ascii="Book Antiqua" w:eastAsia="宋体" w:hAnsi="Book Antiqua" w:cs="宋体"/>
          <w:b/>
          <w:bCs/>
          <w:sz w:val="24"/>
          <w:szCs w:val="24"/>
        </w:rPr>
        <w:t xml:space="preserve"> SB</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Feagan</w:t>
      </w:r>
      <w:proofErr w:type="spellEnd"/>
      <w:r w:rsidRPr="00A63850">
        <w:rPr>
          <w:rFonts w:ascii="Book Antiqua" w:eastAsia="宋体" w:hAnsi="Book Antiqua" w:cs="宋体"/>
          <w:sz w:val="24"/>
          <w:szCs w:val="24"/>
        </w:rPr>
        <w:t xml:space="preserve"> BG, Lichtenstein GR, Mayer LF, Schreiber S, </w:t>
      </w:r>
      <w:proofErr w:type="spellStart"/>
      <w:r w:rsidRPr="00A63850">
        <w:rPr>
          <w:rFonts w:ascii="Book Antiqua" w:eastAsia="宋体" w:hAnsi="Book Antiqua" w:cs="宋体"/>
          <w:sz w:val="24"/>
          <w:szCs w:val="24"/>
        </w:rPr>
        <w:t>Colombel</w:t>
      </w:r>
      <w:proofErr w:type="spellEnd"/>
      <w:r w:rsidRPr="00A63850">
        <w:rPr>
          <w:rFonts w:ascii="Book Antiqua" w:eastAsia="宋体" w:hAnsi="Book Antiqua" w:cs="宋体"/>
          <w:sz w:val="24"/>
          <w:szCs w:val="24"/>
        </w:rPr>
        <w:t xml:space="preserve"> JF, </w:t>
      </w:r>
      <w:proofErr w:type="spellStart"/>
      <w:r w:rsidRPr="00A63850">
        <w:rPr>
          <w:rFonts w:ascii="Book Antiqua" w:eastAsia="宋体" w:hAnsi="Book Antiqua" w:cs="宋体"/>
          <w:sz w:val="24"/>
          <w:szCs w:val="24"/>
        </w:rPr>
        <w:t>Rachmilewitz</w:t>
      </w:r>
      <w:proofErr w:type="spellEnd"/>
      <w:r w:rsidRPr="00A63850">
        <w:rPr>
          <w:rFonts w:ascii="Book Antiqua" w:eastAsia="宋体" w:hAnsi="Book Antiqua" w:cs="宋体"/>
          <w:sz w:val="24"/>
          <w:szCs w:val="24"/>
        </w:rPr>
        <w:t xml:space="preserve"> D, Wolf DC, Olson A, </w:t>
      </w:r>
      <w:proofErr w:type="spellStart"/>
      <w:r w:rsidRPr="00A63850">
        <w:rPr>
          <w:rFonts w:ascii="Book Antiqua" w:eastAsia="宋体" w:hAnsi="Book Antiqua" w:cs="宋体"/>
          <w:sz w:val="24"/>
          <w:szCs w:val="24"/>
        </w:rPr>
        <w:t>Bao</w:t>
      </w:r>
      <w:proofErr w:type="spellEnd"/>
      <w:r w:rsidRPr="00A63850">
        <w:rPr>
          <w:rFonts w:ascii="Book Antiqua" w:eastAsia="宋体" w:hAnsi="Book Antiqua" w:cs="宋体"/>
          <w:sz w:val="24"/>
          <w:szCs w:val="24"/>
        </w:rPr>
        <w:t xml:space="preserve"> W, </w:t>
      </w:r>
      <w:proofErr w:type="spellStart"/>
      <w:r w:rsidRPr="00A63850">
        <w:rPr>
          <w:rFonts w:ascii="Book Antiqua" w:eastAsia="宋体" w:hAnsi="Book Antiqua" w:cs="宋体"/>
          <w:sz w:val="24"/>
          <w:szCs w:val="24"/>
        </w:rPr>
        <w:t>Rutgeerts</w:t>
      </w:r>
      <w:proofErr w:type="spellEnd"/>
      <w:r w:rsidRPr="00A63850">
        <w:rPr>
          <w:rFonts w:ascii="Book Antiqua" w:eastAsia="宋体" w:hAnsi="Book Antiqua" w:cs="宋体"/>
          <w:sz w:val="24"/>
          <w:szCs w:val="24"/>
        </w:rPr>
        <w:t xml:space="preserve"> P. Maintenance infliximab for </w:t>
      </w:r>
      <w:proofErr w:type="spellStart"/>
      <w:r w:rsidRPr="00A63850">
        <w:rPr>
          <w:rFonts w:ascii="Book Antiqua" w:eastAsia="宋体" w:hAnsi="Book Antiqua" w:cs="宋体"/>
          <w:sz w:val="24"/>
          <w:szCs w:val="24"/>
        </w:rPr>
        <w:lastRenderedPageBreak/>
        <w:t>Crohn's</w:t>
      </w:r>
      <w:proofErr w:type="spellEnd"/>
      <w:r w:rsidRPr="00A63850">
        <w:rPr>
          <w:rFonts w:ascii="Book Antiqua" w:eastAsia="宋体" w:hAnsi="Book Antiqua" w:cs="宋体"/>
          <w:sz w:val="24"/>
          <w:szCs w:val="24"/>
        </w:rPr>
        <w:t xml:space="preserve"> disease: the ACCENT I randomised trial. </w:t>
      </w:r>
      <w:r w:rsidRPr="00A63850">
        <w:rPr>
          <w:rFonts w:ascii="Book Antiqua" w:eastAsia="宋体" w:hAnsi="Book Antiqua" w:cs="宋体"/>
          <w:i/>
          <w:iCs/>
          <w:sz w:val="24"/>
          <w:szCs w:val="24"/>
        </w:rPr>
        <w:t>Lancet</w:t>
      </w:r>
      <w:r w:rsidRPr="00A63850">
        <w:rPr>
          <w:rFonts w:ascii="Book Antiqua" w:eastAsia="宋体" w:hAnsi="Book Antiqua" w:cs="宋体"/>
          <w:sz w:val="24"/>
          <w:szCs w:val="24"/>
        </w:rPr>
        <w:t> 2002; </w:t>
      </w:r>
      <w:r w:rsidRPr="00A63850">
        <w:rPr>
          <w:rFonts w:ascii="Book Antiqua" w:eastAsia="宋体" w:hAnsi="Book Antiqua" w:cs="宋体"/>
          <w:b/>
          <w:bCs/>
          <w:sz w:val="24"/>
          <w:szCs w:val="24"/>
        </w:rPr>
        <w:t>359</w:t>
      </w:r>
      <w:r w:rsidRPr="00A63850">
        <w:rPr>
          <w:rFonts w:ascii="Book Antiqua" w:eastAsia="宋体" w:hAnsi="Book Antiqua" w:cs="宋体"/>
          <w:sz w:val="24"/>
          <w:szCs w:val="24"/>
        </w:rPr>
        <w:t>: 1541-1549 [PMID: 12047962 DOI: 10.1016/S0140-6736(02)08512-4]</w:t>
      </w:r>
    </w:p>
    <w:p w14:paraId="76515B58"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8 </w:t>
      </w:r>
      <w:r w:rsidRPr="00A63850">
        <w:rPr>
          <w:rFonts w:ascii="Book Antiqua" w:eastAsia="宋体" w:hAnsi="Book Antiqua" w:cs="宋体"/>
          <w:b/>
          <w:bCs/>
          <w:sz w:val="24"/>
          <w:szCs w:val="24"/>
        </w:rPr>
        <w:t>Lichtenstein GR</w:t>
      </w:r>
      <w:r w:rsidRPr="00A63850">
        <w:rPr>
          <w:rFonts w:ascii="Book Antiqua" w:eastAsia="宋体" w:hAnsi="Book Antiqua" w:cs="宋体"/>
          <w:sz w:val="24"/>
          <w:szCs w:val="24"/>
        </w:rPr>
        <w:t xml:space="preserve">, Yan S, </w:t>
      </w:r>
      <w:proofErr w:type="spellStart"/>
      <w:r w:rsidRPr="00A63850">
        <w:rPr>
          <w:rFonts w:ascii="Book Antiqua" w:eastAsia="宋体" w:hAnsi="Book Antiqua" w:cs="宋体"/>
          <w:sz w:val="24"/>
          <w:szCs w:val="24"/>
        </w:rPr>
        <w:t>Bala</w:t>
      </w:r>
      <w:proofErr w:type="spellEnd"/>
      <w:r w:rsidRPr="00A63850">
        <w:rPr>
          <w:rFonts w:ascii="Book Antiqua" w:eastAsia="宋体" w:hAnsi="Book Antiqua" w:cs="宋体"/>
          <w:sz w:val="24"/>
          <w:szCs w:val="24"/>
        </w:rPr>
        <w:t xml:space="preserve"> M, Blank M, Sands BE. Infliximab maintenance treatment reduces hospitalizations, surgeries, and procedures in </w:t>
      </w:r>
      <w:proofErr w:type="spellStart"/>
      <w:r w:rsidRPr="00A63850">
        <w:rPr>
          <w:rFonts w:ascii="Book Antiqua" w:eastAsia="宋体" w:hAnsi="Book Antiqua" w:cs="宋体"/>
          <w:sz w:val="24"/>
          <w:szCs w:val="24"/>
        </w:rPr>
        <w:t>fistulizing</w:t>
      </w:r>
      <w:proofErr w:type="spellEnd"/>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Crohn's</w:t>
      </w:r>
      <w:proofErr w:type="spellEnd"/>
      <w:r w:rsidRPr="00A63850">
        <w:rPr>
          <w:rFonts w:ascii="Book Antiqua" w:eastAsia="宋体" w:hAnsi="Book Antiqua" w:cs="宋体"/>
          <w:sz w:val="24"/>
          <w:szCs w:val="24"/>
        </w:rPr>
        <w:t xml:space="preserve"> disease. </w:t>
      </w:r>
      <w:r w:rsidRPr="00A63850">
        <w:rPr>
          <w:rFonts w:ascii="Book Antiqua" w:eastAsia="宋体" w:hAnsi="Book Antiqua" w:cs="宋体"/>
          <w:i/>
          <w:iCs/>
          <w:sz w:val="24"/>
          <w:szCs w:val="24"/>
        </w:rPr>
        <w:t>Gastroenterology</w:t>
      </w:r>
      <w:r w:rsidRPr="00A63850">
        <w:rPr>
          <w:rFonts w:ascii="Book Antiqua" w:eastAsia="宋体" w:hAnsi="Book Antiqua" w:cs="宋体"/>
          <w:sz w:val="24"/>
          <w:szCs w:val="24"/>
        </w:rPr>
        <w:t> 2005; </w:t>
      </w:r>
      <w:r w:rsidRPr="00A63850">
        <w:rPr>
          <w:rFonts w:ascii="Book Antiqua" w:eastAsia="宋体" w:hAnsi="Book Antiqua" w:cs="宋体"/>
          <w:b/>
          <w:bCs/>
          <w:sz w:val="24"/>
          <w:szCs w:val="24"/>
        </w:rPr>
        <w:t>128</w:t>
      </w:r>
      <w:r w:rsidRPr="00A63850">
        <w:rPr>
          <w:rFonts w:ascii="Book Antiqua" w:eastAsia="宋体" w:hAnsi="Book Antiqua" w:cs="宋体"/>
          <w:sz w:val="24"/>
          <w:szCs w:val="24"/>
        </w:rPr>
        <w:t>: 862-869 [PMID: 15825070 DOI: 10.1053/j.gastro.2005.01.048]</w:t>
      </w:r>
    </w:p>
    <w:p w14:paraId="2A2A3163"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9 </w:t>
      </w:r>
      <w:proofErr w:type="spellStart"/>
      <w:r w:rsidRPr="00A63850">
        <w:rPr>
          <w:rFonts w:ascii="Book Antiqua" w:eastAsia="宋体" w:hAnsi="Book Antiqua" w:cs="宋体"/>
          <w:b/>
          <w:bCs/>
          <w:sz w:val="24"/>
          <w:szCs w:val="24"/>
        </w:rPr>
        <w:t>Feagan</w:t>
      </w:r>
      <w:proofErr w:type="spellEnd"/>
      <w:r w:rsidRPr="00A63850">
        <w:rPr>
          <w:rFonts w:ascii="Book Antiqua" w:eastAsia="宋体" w:hAnsi="Book Antiqua" w:cs="宋体"/>
          <w:b/>
          <w:bCs/>
          <w:sz w:val="24"/>
          <w:szCs w:val="24"/>
        </w:rPr>
        <w:t xml:space="preserve"> BG</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Panaccione</w:t>
      </w:r>
      <w:proofErr w:type="spellEnd"/>
      <w:r w:rsidRPr="00A63850">
        <w:rPr>
          <w:rFonts w:ascii="Book Antiqua" w:eastAsia="宋体" w:hAnsi="Book Antiqua" w:cs="宋体"/>
          <w:sz w:val="24"/>
          <w:szCs w:val="24"/>
        </w:rPr>
        <w:t xml:space="preserve"> R, </w:t>
      </w:r>
      <w:proofErr w:type="spellStart"/>
      <w:r w:rsidRPr="00A63850">
        <w:rPr>
          <w:rFonts w:ascii="Book Antiqua" w:eastAsia="宋体" w:hAnsi="Book Antiqua" w:cs="宋体"/>
          <w:sz w:val="24"/>
          <w:szCs w:val="24"/>
        </w:rPr>
        <w:t>Sandborn</w:t>
      </w:r>
      <w:proofErr w:type="spellEnd"/>
      <w:r w:rsidRPr="00A63850">
        <w:rPr>
          <w:rFonts w:ascii="Book Antiqua" w:eastAsia="宋体" w:hAnsi="Book Antiqua" w:cs="宋体"/>
          <w:sz w:val="24"/>
          <w:szCs w:val="24"/>
        </w:rPr>
        <w:t xml:space="preserve"> WJ, </w:t>
      </w:r>
      <w:proofErr w:type="spellStart"/>
      <w:r w:rsidRPr="00A63850">
        <w:rPr>
          <w:rFonts w:ascii="Book Antiqua" w:eastAsia="宋体" w:hAnsi="Book Antiqua" w:cs="宋体"/>
          <w:sz w:val="24"/>
          <w:szCs w:val="24"/>
        </w:rPr>
        <w:t>D'Haens</w:t>
      </w:r>
      <w:proofErr w:type="spellEnd"/>
      <w:r w:rsidRPr="00A63850">
        <w:rPr>
          <w:rFonts w:ascii="Book Antiqua" w:eastAsia="宋体" w:hAnsi="Book Antiqua" w:cs="宋体"/>
          <w:sz w:val="24"/>
          <w:szCs w:val="24"/>
        </w:rPr>
        <w:t xml:space="preserve"> GR, Schreiber S, </w:t>
      </w:r>
      <w:proofErr w:type="spellStart"/>
      <w:r w:rsidRPr="00A63850">
        <w:rPr>
          <w:rFonts w:ascii="Book Antiqua" w:eastAsia="宋体" w:hAnsi="Book Antiqua" w:cs="宋体"/>
          <w:sz w:val="24"/>
          <w:szCs w:val="24"/>
        </w:rPr>
        <w:t>Rutgeerts</w:t>
      </w:r>
      <w:proofErr w:type="spellEnd"/>
      <w:r w:rsidRPr="00A63850">
        <w:rPr>
          <w:rFonts w:ascii="Book Antiqua" w:eastAsia="宋体" w:hAnsi="Book Antiqua" w:cs="宋体"/>
          <w:sz w:val="24"/>
          <w:szCs w:val="24"/>
        </w:rPr>
        <w:t xml:space="preserve"> PJ, Loftus EV, Lomax KG, Yu AP, Wu EQ, Chao J, </w:t>
      </w:r>
      <w:proofErr w:type="spellStart"/>
      <w:r w:rsidRPr="00A63850">
        <w:rPr>
          <w:rFonts w:ascii="Book Antiqua" w:eastAsia="宋体" w:hAnsi="Book Antiqua" w:cs="宋体"/>
          <w:sz w:val="24"/>
          <w:szCs w:val="24"/>
        </w:rPr>
        <w:t>Mulani</w:t>
      </w:r>
      <w:proofErr w:type="spellEnd"/>
      <w:r w:rsidRPr="00A63850">
        <w:rPr>
          <w:rFonts w:ascii="Book Antiqua" w:eastAsia="宋体" w:hAnsi="Book Antiqua" w:cs="宋体"/>
          <w:sz w:val="24"/>
          <w:szCs w:val="24"/>
        </w:rPr>
        <w:t xml:space="preserve"> P. Effects of </w:t>
      </w:r>
      <w:proofErr w:type="spellStart"/>
      <w:r w:rsidRPr="00A63850">
        <w:rPr>
          <w:rFonts w:ascii="Book Antiqua" w:eastAsia="宋体" w:hAnsi="Book Antiqua" w:cs="宋体"/>
          <w:sz w:val="24"/>
          <w:szCs w:val="24"/>
        </w:rPr>
        <w:t>adalimumab</w:t>
      </w:r>
      <w:proofErr w:type="spellEnd"/>
      <w:r w:rsidRPr="00A63850">
        <w:rPr>
          <w:rFonts w:ascii="Book Antiqua" w:eastAsia="宋体" w:hAnsi="Book Antiqua" w:cs="宋体"/>
          <w:sz w:val="24"/>
          <w:szCs w:val="24"/>
        </w:rPr>
        <w:t xml:space="preserve"> therapy on incidence of hospitalization and surgery in </w:t>
      </w:r>
      <w:proofErr w:type="spellStart"/>
      <w:r w:rsidRPr="00A63850">
        <w:rPr>
          <w:rFonts w:ascii="Book Antiqua" w:eastAsia="宋体" w:hAnsi="Book Antiqua" w:cs="宋体"/>
          <w:sz w:val="24"/>
          <w:szCs w:val="24"/>
        </w:rPr>
        <w:t>Crohn's</w:t>
      </w:r>
      <w:proofErr w:type="spellEnd"/>
      <w:r w:rsidRPr="00A63850">
        <w:rPr>
          <w:rFonts w:ascii="Book Antiqua" w:eastAsia="宋体" w:hAnsi="Book Antiqua" w:cs="宋体"/>
          <w:sz w:val="24"/>
          <w:szCs w:val="24"/>
        </w:rPr>
        <w:t xml:space="preserve"> disease: results from the CHARM study. </w:t>
      </w:r>
      <w:r w:rsidRPr="00A63850">
        <w:rPr>
          <w:rFonts w:ascii="Book Antiqua" w:eastAsia="宋体" w:hAnsi="Book Antiqua" w:cs="宋体"/>
          <w:i/>
          <w:iCs/>
          <w:sz w:val="24"/>
          <w:szCs w:val="24"/>
        </w:rPr>
        <w:t>Gastroenterology</w:t>
      </w:r>
      <w:r w:rsidRPr="00A63850">
        <w:rPr>
          <w:rFonts w:ascii="Book Antiqua" w:eastAsia="宋体" w:hAnsi="Book Antiqua" w:cs="宋体"/>
          <w:sz w:val="24"/>
          <w:szCs w:val="24"/>
        </w:rPr>
        <w:t> 2008; </w:t>
      </w:r>
      <w:r w:rsidRPr="00A63850">
        <w:rPr>
          <w:rFonts w:ascii="Book Antiqua" w:eastAsia="宋体" w:hAnsi="Book Antiqua" w:cs="宋体"/>
          <w:b/>
          <w:bCs/>
          <w:sz w:val="24"/>
          <w:szCs w:val="24"/>
        </w:rPr>
        <w:t>135</w:t>
      </w:r>
      <w:r w:rsidRPr="00A63850">
        <w:rPr>
          <w:rFonts w:ascii="Book Antiqua" w:eastAsia="宋体" w:hAnsi="Book Antiqua" w:cs="宋体"/>
          <w:sz w:val="24"/>
          <w:szCs w:val="24"/>
        </w:rPr>
        <w:t>: 1493-1499 [PMID: 18848553 DOI: 10.1053/j.gastro.2008.07.069]</w:t>
      </w:r>
    </w:p>
    <w:p w14:paraId="2FB56487"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10 </w:t>
      </w:r>
      <w:r w:rsidRPr="00A63850">
        <w:rPr>
          <w:rFonts w:ascii="Book Antiqua" w:eastAsia="宋体" w:hAnsi="Book Antiqua" w:cs="宋体"/>
          <w:b/>
          <w:bCs/>
          <w:sz w:val="24"/>
          <w:szCs w:val="24"/>
        </w:rPr>
        <w:t>Lee LY</w:t>
      </w:r>
      <w:r w:rsidRPr="00A63850">
        <w:rPr>
          <w:rFonts w:ascii="Book Antiqua" w:eastAsia="宋体" w:hAnsi="Book Antiqua" w:cs="宋体"/>
          <w:sz w:val="24"/>
          <w:szCs w:val="24"/>
        </w:rPr>
        <w:t>, Sanderson JD, Irving PM. Anti-infliximab antibodies in inflammatory bowel disease: prevalence, infusion reactions, immunosuppression and response, a meta-analysis. </w:t>
      </w:r>
      <w:proofErr w:type="spellStart"/>
      <w:r w:rsidRPr="00A63850">
        <w:rPr>
          <w:rFonts w:ascii="Book Antiqua" w:eastAsia="宋体" w:hAnsi="Book Antiqua" w:cs="宋体"/>
          <w:i/>
          <w:iCs/>
          <w:sz w:val="24"/>
          <w:szCs w:val="24"/>
        </w:rPr>
        <w:t>Eur</w:t>
      </w:r>
      <w:proofErr w:type="spellEnd"/>
      <w:r w:rsidRPr="00A63850">
        <w:rPr>
          <w:rFonts w:ascii="Book Antiqua" w:eastAsia="宋体" w:hAnsi="Book Antiqua" w:cs="宋体"/>
          <w:i/>
          <w:iCs/>
          <w:sz w:val="24"/>
          <w:szCs w:val="24"/>
        </w:rPr>
        <w:t xml:space="preserve"> J </w:t>
      </w:r>
      <w:proofErr w:type="spellStart"/>
      <w:r w:rsidRPr="00A63850">
        <w:rPr>
          <w:rFonts w:ascii="Book Antiqua" w:eastAsia="宋体" w:hAnsi="Book Antiqua" w:cs="宋体"/>
          <w:i/>
          <w:iCs/>
          <w:sz w:val="24"/>
          <w:szCs w:val="24"/>
        </w:rPr>
        <w:t>Gastroenterol</w:t>
      </w:r>
      <w:proofErr w:type="spellEnd"/>
      <w:r w:rsidRPr="00A63850">
        <w:rPr>
          <w:rFonts w:ascii="Book Antiqua" w:eastAsia="宋体" w:hAnsi="Book Antiqua" w:cs="宋体"/>
          <w:i/>
          <w:iCs/>
          <w:sz w:val="24"/>
          <w:szCs w:val="24"/>
        </w:rPr>
        <w:t xml:space="preserve"> </w:t>
      </w:r>
      <w:proofErr w:type="spellStart"/>
      <w:r w:rsidRPr="00A63850">
        <w:rPr>
          <w:rFonts w:ascii="Book Antiqua" w:eastAsia="宋体" w:hAnsi="Book Antiqua" w:cs="宋体"/>
          <w:i/>
          <w:iCs/>
          <w:sz w:val="24"/>
          <w:szCs w:val="24"/>
        </w:rPr>
        <w:t>Hepatol</w:t>
      </w:r>
      <w:proofErr w:type="spellEnd"/>
      <w:r w:rsidRPr="00A63850">
        <w:rPr>
          <w:rFonts w:ascii="Book Antiqua" w:eastAsia="宋体" w:hAnsi="Book Antiqua" w:cs="宋体"/>
          <w:sz w:val="24"/>
          <w:szCs w:val="24"/>
        </w:rPr>
        <w:t> 2012; </w:t>
      </w:r>
      <w:r w:rsidRPr="00A63850">
        <w:rPr>
          <w:rFonts w:ascii="Book Antiqua" w:eastAsia="宋体" w:hAnsi="Book Antiqua" w:cs="宋体"/>
          <w:b/>
          <w:bCs/>
          <w:sz w:val="24"/>
          <w:szCs w:val="24"/>
        </w:rPr>
        <w:t>24</w:t>
      </w:r>
      <w:r w:rsidRPr="00A63850">
        <w:rPr>
          <w:rFonts w:ascii="Book Antiqua" w:eastAsia="宋体" w:hAnsi="Book Antiqua" w:cs="宋体"/>
          <w:sz w:val="24"/>
          <w:szCs w:val="24"/>
        </w:rPr>
        <w:t>: 1078-1085 [PMID: 22647738 DOI: 10.1097/MEG.0b013e32835558cf]</w:t>
      </w:r>
    </w:p>
    <w:p w14:paraId="5CDE6668"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11 </w:t>
      </w:r>
      <w:proofErr w:type="spellStart"/>
      <w:r w:rsidRPr="00A63850">
        <w:rPr>
          <w:rFonts w:ascii="Book Antiqua" w:eastAsia="宋体" w:hAnsi="Book Antiqua" w:cs="宋体"/>
          <w:b/>
          <w:bCs/>
          <w:sz w:val="24"/>
          <w:szCs w:val="24"/>
        </w:rPr>
        <w:t>Vande</w:t>
      </w:r>
      <w:proofErr w:type="spellEnd"/>
      <w:r w:rsidRPr="00A63850">
        <w:rPr>
          <w:rFonts w:ascii="Book Antiqua" w:eastAsia="宋体" w:hAnsi="Book Antiqua" w:cs="宋体"/>
          <w:b/>
          <w:bCs/>
          <w:sz w:val="24"/>
          <w:szCs w:val="24"/>
        </w:rPr>
        <w:t xml:space="preserve"> </w:t>
      </w:r>
      <w:proofErr w:type="spellStart"/>
      <w:r w:rsidRPr="00A63850">
        <w:rPr>
          <w:rFonts w:ascii="Book Antiqua" w:eastAsia="宋体" w:hAnsi="Book Antiqua" w:cs="宋体"/>
          <w:b/>
          <w:bCs/>
          <w:sz w:val="24"/>
          <w:szCs w:val="24"/>
        </w:rPr>
        <w:t>Casteele</w:t>
      </w:r>
      <w:proofErr w:type="spellEnd"/>
      <w:r w:rsidRPr="00A63850">
        <w:rPr>
          <w:rFonts w:ascii="Book Antiqua" w:eastAsia="宋体" w:hAnsi="Book Antiqua" w:cs="宋体"/>
          <w:b/>
          <w:bCs/>
          <w:sz w:val="24"/>
          <w:szCs w:val="24"/>
        </w:rPr>
        <w:t xml:space="preserve"> N</w:t>
      </w:r>
      <w:r w:rsidRPr="00A63850">
        <w:rPr>
          <w:rFonts w:ascii="Book Antiqua" w:eastAsia="宋体" w:hAnsi="Book Antiqua" w:cs="宋体"/>
          <w:sz w:val="24"/>
          <w:szCs w:val="24"/>
        </w:rPr>
        <w:t>, Gils A. Pharmacokinetics of anti-TNF monoclonal antibodies in inflammatory bowel disease: Adding value to current practice. </w:t>
      </w:r>
      <w:r w:rsidRPr="00A63850">
        <w:rPr>
          <w:rFonts w:ascii="Book Antiqua" w:eastAsia="宋体" w:hAnsi="Book Antiqua" w:cs="宋体"/>
          <w:i/>
          <w:iCs/>
          <w:sz w:val="24"/>
          <w:szCs w:val="24"/>
        </w:rPr>
        <w:t xml:space="preserve">J </w:t>
      </w:r>
      <w:proofErr w:type="spellStart"/>
      <w:r w:rsidRPr="00A63850">
        <w:rPr>
          <w:rFonts w:ascii="Book Antiqua" w:eastAsia="宋体" w:hAnsi="Book Antiqua" w:cs="宋体"/>
          <w:i/>
          <w:iCs/>
          <w:sz w:val="24"/>
          <w:szCs w:val="24"/>
        </w:rPr>
        <w:t>Clin</w:t>
      </w:r>
      <w:proofErr w:type="spellEnd"/>
      <w:r w:rsidRPr="00A63850">
        <w:rPr>
          <w:rFonts w:ascii="Book Antiqua" w:eastAsia="宋体" w:hAnsi="Book Antiqua" w:cs="宋体"/>
          <w:i/>
          <w:iCs/>
          <w:sz w:val="24"/>
          <w:szCs w:val="24"/>
        </w:rPr>
        <w:t xml:space="preserve"> </w:t>
      </w:r>
      <w:proofErr w:type="spellStart"/>
      <w:r w:rsidRPr="00A63850">
        <w:rPr>
          <w:rFonts w:ascii="Book Antiqua" w:eastAsia="宋体" w:hAnsi="Book Antiqua" w:cs="宋体"/>
          <w:i/>
          <w:iCs/>
          <w:sz w:val="24"/>
          <w:szCs w:val="24"/>
        </w:rPr>
        <w:t>Pharmacol</w:t>
      </w:r>
      <w:proofErr w:type="spellEnd"/>
      <w:r w:rsidRPr="00A63850">
        <w:rPr>
          <w:rFonts w:ascii="Book Antiqua" w:eastAsia="宋体" w:hAnsi="Book Antiqua" w:cs="宋体"/>
          <w:sz w:val="24"/>
          <w:szCs w:val="24"/>
        </w:rPr>
        <w:t> 2015; </w:t>
      </w:r>
      <w:r w:rsidRPr="00A63850">
        <w:rPr>
          <w:rFonts w:ascii="Book Antiqua" w:eastAsia="宋体" w:hAnsi="Book Antiqua" w:cs="宋体"/>
          <w:b/>
          <w:bCs/>
          <w:sz w:val="24"/>
          <w:szCs w:val="24"/>
        </w:rPr>
        <w:t xml:space="preserve">55 </w:t>
      </w:r>
      <w:proofErr w:type="spellStart"/>
      <w:r w:rsidRPr="00A63850">
        <w:rPr>
          <w:rFonts w:ascii="Book Antiqua" w:eastAsia="宋体" w:hAnsi="Book Antiqua" w:cs="宋体"/>
          <w:bCs/>
          <w:sz w:val="24"/>
          <w:szCs w:val="24"/>
        </w:rPr>
        <w:t>Suppl</w:t>
      </w:r>
      <w:proofErr w:type="spellEnd"/>
      <w:r w:rsidRPr="00A63850">
        <w:rPr>
          <w:rFonts w:ascii="Book Antiqua" w:eastAsia="宋体" w:hAnsi="Book Antiqua" w:cs="宋体"/>
          <w:bCs/>
          <w:sz w:val="24"/>
          <w:szCs w:val="24"/>
        </w:rPr>
        <w:t xml:space="preserve"> 3</w:t>
      </w:r>
      <w:r w:rsidRPr="00A63850">
        <w:rPr>
          <w:rFonts w:ascii="Book Antiqua" w:eastAsia="宋体" w:hAnsi="Book Antiqua" w:cs="宋体"/>
          <w:sz w:val="24"/>
          <w:szCs w:val="24"/>
        </w:rPr>
        <w:t>: S39-S50 [PMID: 25707962 DOI: 10.1002/jcph.374]</w:t>
      </w:r>
    </w:p>
    <w:p w14:paraId="5B0B9C0A"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12 </w:t>
      </w:r>
      <w:proofErr w:type="spellStart"/>
      <w:r w:rsidRPr="00A63850">
        <w:rPr>
          <w:rFonts w:ascii="Book Antiqua" w:eastAsia="宋体" w:hAnsi="Book Antiqua" w:cs="宋体"/>
          <w:b/>
          <w:bCs/>
          <w:sz w:val="24"/>
          <w:szCs w:val="24"/>
        </w:rPr>
        <w:t>Ternant</w:t>
      </w:r>
      <w:proofErr w:type="spellEnd"/>
      <w:r w:rsidRPr="00A63850">
        <w:rPr>
          <w:rFonts w:ascii="Book Antiqua" w:eastAsia="宋体" w:hAnsi="Book Antiqua" w:cs="宋体"/>
          <w:b/>
          <w:bCs/>
          <w:sz w:val="24"/>
          <w:szCs w:val="24"/>
        </w:rPr>
        <w:t xml:space="preserve"> D</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Aubourg</w:t>
      </w:r>
      <w:proofErr w:type="spellEnd"/>
      <w:r w:rsidRPr="00A63850">
        <w:rPr>
          <w:rFonts w:ascii="Book Antiqua" w:eastAsia="宋体" w:hAnsi="Book Antiqua" w:cs="宋体"/>
          <w:sz w:val="24"/>
          <w:szCs w:val="24"/>
        </w:rPr>
        <w:t xml:space="preserve"> A, </w:t>
      </w:r>
      <w:proofErr w:type="spellStart"/>
      <w:r w:rsidRPr="00A63850">
        <w:rPr>
          <w:rFonts w:ascii="Book Antiqua" w:eastAsia="宋体" w:hAnsi="Book Antiqua" w:cs="宋体"/>
          <w:sz w:val="24"/>
          <w:szCs w:val="24"/>
        </w:rPr>
        <w:t>Magdelaine-Beuzelin</w:t>
      </w:r>
      <w:proofErr w:type="spellEnd"/>
      <w:r w:rsidRPr="00A63850">
        <w:rPr>
          <w:rFonts w:ascii="Book Antiqua" w:eastAsia="宋体" w:hAnsi="Book Antiqua" w:cs="宋体"/>
          <w:sz w:val="24"/>
          <w:szCs w:val="24"/>
        </w:rPr>
        <w:t xml:space="preserve"> C, </w:t>
      </w:r>
      <w:proofErr w:type="spellStart"/>
      <w:r w:rsidRPr="00A63850">
        <w:rPr>
          <w:rFonts w:ascii="Book Antiqua" w:eastAsia="宋体" w:hAnsi="Book Antiqua" w:cs="宋体"/>
          <w:sz w:val="24"/>
          <w:szCs w:val="24"/>
        </w:rPr>
        <w:t>Degenne</w:t>
      </w:r>
      <w:proofErr w:type="spellEnd"/>
      <w:r w:rsidRPr="00A63850">
        <w:rPr>
          <w:rFonts w:ascii="Book Antiqua" w:eastAsia="宋体" w:hAnsi="Book Antiqua" w:cs="宋体"/>
          <w:sz w:val="24"/>
          <w:szCs w:val="24"/>
        </w:rPr>
        <w:t xml:space="preserve"> D, </w:t>
      </w:r>
      <w:proofErr w:type="spellStart"/>
      <w:r w:rsidRPr="00A63850">
        <w:rPr>
          <w:rFonts w:ascii="Book Antiqua" w:eastAsia="宋体" w:hAnsi="Book Antiqua" w:cs="宋体"/>
          <w:sz w:val="24"/>
          <w:szCs w:val="24"/>
        </w:rPr>
        <w:t>Watier</w:t>
      </w:r>
      <w:proofErr w:type="spellEnd"/>
      <w:r w:rsidRPr="00A63850">
        <w:rPr>
          <w:rFonts w:ascii="Book Antiqua" w:eastAsia="宋体" w:hAnsi="Book Antiqua" w:cs="宋体"/>
          <w:sz w:val="24"/>
          <w:szCs w:val="24"/>
        </w:rPr>
        <w:t xml:space="preserve"> H, </w:t>
      </w:r>
      <w:proofErr w:type="spellStart"/>
      <w:r w:rsidRPr="00A63850">
        <w:rPr>
          <w:rFonts w:ascii="Book Antiqua" w:eastAsia="宋体" w:hAnsi="Book Antiqua" w:cs="宋体"/>
          <w:sz w:val="24"/>
          <w:szCs w:val="24"/>
        </w:rPr>
        <w:t>Picon</w:t>
      </w:r>
      <w:proofErr w:type="spellEnd"/>
      <w:r w:rsidRPr="00A63850">
        <w:rPr>
          <w:rFonts w:ascii="Book Antiqua" w:eastAsia="宋体" w:hAnsi="Book Antiqua" w:cs="宋体"/>
          <w:sz w:val="24"/>
          <w:szCs w:val="24"/>
        </w:rPr>
        <w:t xml:space="preserve"> L, </w:t>
      </w:r>
      <w:proofErr w:type="spellStart"/>
      <w:r w:rsidRPr="00A63850">
        <w:rPr>
          <w:rFonts w:ascii="Book Antiqua" w:eastAsia="宋体" w:hAnsi="Book Antiqua" w:cs="宋体"/>
          <w:sz w:val="24"/>
          <w:szCs w:val="24"/>
        </w:rPr>
        <w:t>Paintaud</w:t>
      </w:r>
      <w:proofErr w:type="spellEnd"/>
      <w:r w:rsidRPr="00A63850">
        <w:rPr>
          <w:rFonts w:ascii="Book Antiqua" w:eastAsia="宋体" w:hAnsi="Book Antiqua" w:cs="宋体"/>
          <w:sz w:val="24"/>
          <w:szCs w:val="24"/>
        </w:rPr>
        <w:t xml:space="preserve"> G. Infliximab pharmacokinetics in inflammatory bowel disease patients. </w:t>
      </w:r>
      <w:proofErr w:type="spellStart"/>
      <w:r w:rsidRPr="00A63850">
        <w:rPr>
          <w:rFonts w:ascii="Book Antiqua" w:eastAsia="宋体" w:hAnsi="Book Antiqua" w:cs="宋体"/>
          <w:i/>
          <w:iCs/>
          <w:sz w:val="24"/>
          <w:szCs w:val="24"/>
        </w:rPr>
        <w:t>Ther</w:t>
      </w:r>
      <w:proofErr w:type="spellEnd"/>
      <w:r w:rsidRPr="00A63850">
        <w:rPr>
          <w:rFonts w:ascii="Book Antiqua" w:eastAsia="宋体" w:hAnsi="Book Antiqua" w:cs="宋体"/>
          <w:i/>
          <w:iCs/>
          <w:sz w:val="24"/>
          <w:szCs w:val="24"/>
        </w:rPr>
        <w:t xml:space="preserve"> Drug </w:t>
      </w:r>
      <w:proofErr w:type="spellStart"/>
      <w:r w:rsidRPr="00A63850">
        <w:rPr>
          <w:rFonts w:ascii="Book Antiqua" w:eastAsia="宋体" w:hAnsi="Book Antiqua" w:cs="宋体"/>
          <w:i/>
          <w:iCs/>
          <w:sz w:val="24"/>
          <w:szCs w:val="24"/>
        </w:rPr>
        <w:t>Monit</w:t>
      </w:r>
      <w:proofErr w:type="spellEnd"/>
      <w:r w:rsidRPr="00A63850">
        <w:rPr>
          <w:rFonts w:ascii="Book Antiqua" w:eastAsia="宋体" w:hAnsi="Book Antiqua" w:cs="宋体"/>
          <w:sz w:val="24"/>
          <w:szCs w:val="24"/>
        </w:rPr>
        <w:t> 2008; </w:t>
      </w:r>
      <w:r w:rsidRPr="00A63850">
        <w:rPr>
          <w:rFonts w:ascii="Book Antiqua" w:eastAsia="宋体" w:hAnsi="Book Antiqua" w:cs="宋体"/>
          <w:b/>
          <w:bCs/>
          <w:sz w:val="24"/>
          <w:szCs w:val="24"/>
        </w:rPr>
        <w:t>30</w:t>
      </w:r>
      <w:r w:rsidRPr="00A63850">
        <w:rPr>
          <w:rFonts w:ascii="Book Antiqua" w:eastAsia="宋体" w:hAnsi="Book Antiqua" w:cs="宋体"/>
          <w:sz w:val="24"/>
          <w:szCs w:val="24"/>
        </w:rPr>
        <w:t>: 523-529 [PMID: 18641542 DOI: 10.1097/ftd.0b013e318180e300]</w:t>
      </w:r>
    </w:p>
    <w:p w14:paraId="676E19ED"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13 </w:t>
      </w:r>
      <w:proofErr w:type="spellStart"/>
      <w:r w:rsidRPr="00A63850">
        <w:rPr>
          <w:rFonts w:ascii="Book Antiqua" w:eastAsia="宋体" w:hAnsi="Book Antiqua" w:cs="宋体"/>
          <w:b/>
          <w:bCs/>
          <w:sz w:val="24"/>
          <w:szCs w:val="24"/>
        </w:rPr>
        <w:t>Schellekens</w:t>
      </w:r>
      <w:proofErr w:type="spellEnd"/>
      <w:r w:rsidRPr="00A63850">
        <w:rPr>
          <w:rFonts w:ascii="Book Antiqua" w:eastAsia="宋体" w:hAnsi="Book Antiqua" w:cs="宋体"/>
          <w:b/>
          <w:bCs/>
          <w:sz w:val="24"/>
          <w:szCs w:val="24"/>
        </w:rPr>
        <w:t xml:space="preserve"> H</w:t>
      </w:r>
      <w:r w:rsidRPr="00A63850">
        <w:rPr>
          <w:rFonts w:ascii="Book Antiqua" w:eastAsia="宋体" w:hAnsi="Book Antiqua" w:cs="宋体"/>
          <w:sz w:val="24"/>
          <w:szCs w:val="24"/>
        </w:rPr>
        <w:t>. Factors influencing the immunogenicity of therapeutic proteins. </w:t>
      </w:r>
      <w:proofErr w:type="spellStart"/>
      <w:r w:rsidRPr="00A63850">
        <w:rPr>
          <w:rFonts w:ascii="Book Antiqua" w:eastAsia="宋体" w:hAnsi="Book Antiqua" w:cs="宋体"/>
          <w:i/>
          <w:iCs/>
          <w:sz w:val="24"/>
          <w:szCs w:val="24"/>
        </w:rPr>
        <w:t>Nephrol</w:t>
      </w:r>
      <w:proofErr w:type="spellEnd"/>
      <w:r w:rsidRPr="00A63850">
        <w:rPr>
          <w:rFonts w:ascii="Book Antiqua" w:eastAsia="宋体" w:hAnsi="Book Antiqua" w:cs="宋体"/>
          <w:i/>
          <w:iCs/>
          <w:sz w:val="24"/>
          <w:szCs w:val="24"/>
        </w:rPr>
        <w:t xml:space="preserve"> Dial Transplant</w:t>
      </w:r>
      <w:r w:rsidRPr="00A63850">
        <w:rPr>
          <w:rFonts w:ascii="Book Antiqua" w:eastAsia="宋体" w:hAnsi="Book Antiqua" w:cs="宋体"/>
          <w:sz w:val="24"/>
          <w:szCs w:val="24"/>
        </w:rPr>
        <w:t> 2005; </w:t>
      </w:r>
      <w:r w:rsidRPr="00A63850">
        <w:rPr>
          <w:rFonts w:ascii="Book Antiqua" w:eastAsia="宋体" w:hAnsi="Book Antiqua" w:cs="宋体"/>
          <w:b/>
          <w:bCs/>
          <w:sz w:val="24"/>
          <w:szCs w:val="24"/>
        </w:rPr>
        <w:t xml:space="preserve">20 </w:t>
      </w:r>
      <w:proofErr w:type="spellStart"/>
      <w:r w:rsidRPr="00A63850">
        <w:rPr>
          <w:rFonts w:ascii="Book Antiqua" w:eastAsia="宋体" w:hAnsi="Book Antiqua" w:cs="宋体"/>
          <w:bCs/>
          <w:sz w:val="24"/>
          <w:szCs w:val="24"/>
        </w:rPr>
        <w:t>Suppl</w:t>
      </w:r>
      <w:proofErr w:type="spellEnd"/>
      <w:r w:rsidRPr="00A63850">
        <w:rPr>
          <w:rFonts w:ascii="Book Antiqua" w:eastAsia="宋体" w:hAnsi="Book Antiqua" w:cs="宋体"/>
          <w:bCs/>
          <w:sz w:val="24"/>
          <w:szCs w:val="24"/>
        </w:rPr>
        <w:t xml:space="preserve"> 6</w:t>
      </w:r>
      <w:r w:rsidRPr="00A63850">
        <w:rPr>
          <w:rFonts w:ascii="Book Antiqua" w:eastAsia="宋体" w:hAnsi="Book Antiqua" w:cs="宋体"/>
          <w:sz w:val="24"/>
          <w:szCs w:val="24"/>
        </w:rPr>
        <w:t>: vi3-vi9 [PMID: 15958824 DOI: 10.1093/</w:t>
      </w:r>
      <w:proofErr w:type="spellStart"/>
      <w:r w:rsidRPr="00A63850">
        <w:rPr>
          <w:rFonts w:ascii="Book Antiqua" w:eastAsia="宋体" w:hAnsi="Book Antiqua" w:cs="宋体"/>
          <w:sz w:val="24"/>
          <w:szCs w:val="24"/>
        </w:rPr>
        <w:t>ndt</w:t>
      </w:r>
      <w:proofErr w:type="spellEnd"/>
      <w:r w:rsidRPr="00A63850">
        <w:rPr>
          <w:rFonts w:ascii="Book Antiqua" w:eastAsia="宋体" w:hAnsi="Book Antiqua" w:cs="宋体"/>
          <w:sz w:val="24"/>
          <w:szCs w:val="24"/>
        </w:rPr>
        <w:t>/gfh1092]</w:t>
      </w:r>
    </w:p>
    <w:p w14:paraId="05E58154"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14 </w:t>
      </w:r>
      <w:r w:rsidRPr="00A63850">
        <w:rPr>
          <w:rFonts w:ascii="Book Antiqua" w:eastAsia="宋体" w:hAnsi="Book Antiqua" w:cs="宋体"/>
          <w:b/>
          <w:bCs/>
          <w:sz w:val="24"/>
          <w:szCs w:val="24"/>
        </w:rPr>
        <w:t>Stanton PK</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Mody</w:t>
      </w:r>
      <w:proofErr w:type="spellEnd"/>
      <w:r w:rsidRPr="00A63850">
        <w:rPr>
          <w:rFonts w:ascii="Book Antiqua" w:eastAsia="宋体" w:hAnsi="Book Antiqua" w:cs="宋体"/>
          <w:sz w:val="24"/>
          <w:szCs w:val="24"/>
        </w:rPr>
        <w:t xml:space="preserve"> I, Heinemann U. A role for N-methyl-D-aspartate receptors in norepinephrine-induced long-lasting potentiation in the dentate </w:t>
      </w:r>
      <w:proofErr w:type="spellStart"/>
      <w:r w:rsidRPr="00A63850">
        <w:rPr>
          <w:rFonts w:ascii="Book Antiqua" w:eastAsia="宋体" w:hAnsi="Book Antiqua" w:cs="宋体"/>
          <w:sz w:val="24"/>
          <w:szCs w:val="24"/>
        </w:rPr>
        <w:t>gyrus</w:t>
      </w:r>
      <w:proofErr w:type="spellEnd"/>
      <w:r w:rsidRPr="00A63850">
        <w:rPr>
          <w:rFonts w:ascii="Book Antiqua" w:eastAsia="宋体" w:hAnsi="Book Antiqua" w:cs="宋体"/>
          <w:sz w:val="24"/>
          <w:szCs w:val="24"/>
        </w:rPr>
        <w:t>. </w:t>
      </w:r>
      <w:proofErr w:type="spellStart"/>
      <w:r w:rsidRPr="00A63850">
        <w:rPr>
          <w:rFonts w:ascii="Book Antiqua" w:eastAsia="宋体" w:hAnsi="Book Antiqua" w:cs="宋体"/>
          <w:i/>
          <w:iCs/>
          <w:sz w:val="24"/>
          <w:szCs w:val="24"/>
        </w:rPr>
        <w:t>Exp</w:t>
      </w:r>
      <w:proofErr w:type="spellEnd"/>
      <w:r w:rsidRPr="00A63850">
        <w:rPr>
          <w:rFonts w:ascii="Book Antiqua" w:eastAsia="宋体" w:hAnsi="Book Antiqua" w:cs="宋体"/>
          <w:i/>
          <w:iCs/>
          <w:sz w:val="24"/>
          <w:szCs w:val="24"/>
        </w:rPr>
        <w:t xml:space="preserve"> Brain Res</w:t>
      </w:r>
      <w:r w:rsidRPr="00A63850">
        <w:rPr>
          <w:rFonts w:ascii="Book Antiqua" w:eastAsia="宋体" w:hAnsi="Book Antiqua" w:cs="宋体"/>
          <w:sz w:val="24"/>
          <w:szCs w:val="24"/>
        </w:rPr>
        <w:t> 1989; </w:t>
      </w:r>
      <w:r w:rsidRPr="00A63850">
        <w:rPr>
          <w:rFonts w:ascii="Book Antiqua" w:eastAsia="宋体" w:hAnsi="Book Antiqua" w:cs="宋体"/>
          <w:b/>
          <w:bCs/>
          <w:sz w:val="24"/>
          <w:szCs w:val="24"/>
        </w:rPr>
        <w:t>77</w:t>
      </w:r>
      <w:r w:rsidRPr="00A63850">
        <w:rPr>
          <w:rFonts w:ascii="Book Antiqua" w:eastAsia="宋体" w:hAnsi="Book Antiqua" w:cs="宋体"/>
          <w:sz w:val="24"/>
          <w:szCs w:val="24"/>
        </w:rPr>
        <w:t>: 517-530 [PMID: 2572445 DOI: 10.1053/j.gastro.2015.02.0315]</w:t>
      </w:r>
    </w:p>
    <w:p w14:paraId="509F1A07"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lastRenderedPageBreak/>
        <w:t>15 </w:t>
      </w:r>
      <w:proofErr w:type="spellStart"/>
      <w:r w:rsidRPr="00A63850">
        <w:rPr>
          <w:rFonts w:ascii="Book Antiqua" w:eastAsia="宋体" w:hAnsi="Book Antiqua" w:cs="宋体"/>
          <w:b/>
          <w:bCs/>
          <w:sz w:val="24"/>
          <w:szCs w:val="24"/>
        </w:rPr>
        <w:t>Brandse</w:t>
      </w:r>
      <w:proofErr w:type="spellEnd"/>
      <w:r w:rsidRPr="00A63850">
        <w:rPr>
          <w:rFonts w:ascii="Book Antiqua" w:eastAsia="宋体" w:hAnsi="Book Antiqua" w:cs="宋体"/>
          <w:b/>
          <w:bCs/>
          <w:sz w:val="24"/>
          <w:szCs w:val="24"/>
        </w:rPr>
        <w:t xml:space="preserve"> JF</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Vos</w:t>
      </w:r>
      <w:proofErr w:type="spellEnd"/>
      <w:r w:rsidRPr="00A63850">
        <w:rPr>
          <w:rFonts w:ascii="Book Antiqua" w:eastAsia="宋体" w:hAnsi="Book Antiqua" w:cs="宋体"/>
          <w:sz w:val="24"/>
          <w:szCs w:val="24"/>
        </w:rPr>
        <w:t xml:space="preserve"> LM, Jansen J, </w:t>
      </w:r>
      <w:proofErr w:type="spellStart"/>
      <w:r w:rsidRPr="00A63850">
        <w:rPr>
          <w:rFonts w:ascii="Book Antiqua" w:eastAsia="宋体" w:hAnsi="Book Antiqua" w:cs="宋体"/>
          <w:sz w:val="24"/>
          <w:szCs w:val="24"/>
        </w:rPr>
        <w:t>Schakel</w:t>
      </w:r>
      <w:proofErr w:type="spellEnd"/>
      <w:r w:rsidRPr="00A63850">
        <w:rPr>
          <w:rFonts w:ascii="Book Antiqua" w:eastAsia="宋体" w:hAnsi="Book Antiqua" w:cs="宋体"/>
          <w:sz w:val="24"/>
          <w:szCs w:val="24"/>
        </w:rPr>
        <w:t xml:space="preserve"> T, </w:t>
      </w:r>
      <w:proofErr w:type="spellStart"/>
      <w:r w:rsidRPr="00A63850">
        <w:rPr>
          <w:rFonts w:ascii="Book Antiqua" w:eastAsia="宋体" w:hAnsi="Book Antiqua" w:cs="宋体"/>
          <w:sz w:val="24"/>
          <w:szCs w:val="24"/>
        </w:rPr>
        <w:t>Ponsioen</w:t>
      </w:r>
      <w:proofErr w:type="spellEnd"/>
      <w:r w:rsidRPr="00A63850">
        <w:rPr>
          <w:rFonts w:ascii="Book Antiqua" w:eastAsia="宋体" w:hAnsi="Book Antiqua" w:cs="宋体"/>
          <w:sz w:val="24"/>
          <w:szCs w:val="24"/>
        </w:rPr>
        <w:t xml:space="preserve"> CI, van den Brink GR, </w:t>
      </w:r>
      <w:proofErr w:type="spellStart"/>
      <w:r w:rsidRPr="00A63850">
        <w:rPr>
          <w:rFonts w:ascii="Book Antiqua" w:eastAsia="宋体" w:hAnsi="Book Antiqua" w:cs="宋体"/>
          <w:sz w:val="24"/>
          <w:szCs w:val="24"/>
        </w:rPr>
        <w:t>D'Haens</w:t>
      </w:r>
      <w:proofErr w:type="spellEnd"/>
      <w:r w:rsidRPr="00A63850">
        <w:rPr>
          <w:rFonts w:ascii="Book Antiqua" w:eastAsia="宋体" w:hAnsi="Book Antiqua" w:cs="宋体"/>
          <w:sz w:val="24"/>
          <w:szCs w:val="24"/>
        </w:rPr>
        <w:t xml:space="preserve"> GR, </w:t>
      </w:r>
      <w:proofErr w:type="spellStart"/>
      <w:r w:rsidRPr="00A63850">
        <w:rPr>
          <w:rFonts w:ascii="Book Antiqua" w:eastAsia="宋体" w:hAnsi="Book Antiqua" w:cs="宋体"/>
          <w:sz w:val="24"/>
          <w:szCs w:val="24"/>
        </w:rPr>
        <w:t>Löwenberg</w:t>
      </w:r>
      <w:proofErr w:type="spellEnd"/>
      <w:r w:rsidRPr="00A63850">
        <w:rPr>
          <w:rFonts w:ascii="Book Antiqua" w:eastAsia="宋体" w:hAnsi="Book Antiqua" w:cs="宋体"/>
          <w:sz w:val="24"/>
          <w:szCs w:val="24"/>
        </w:rPr>
        <w:t xml:space="preserve"> M. Serum Concentration of Anti-TNF Antibodies, Adverse Effects and Quality of Life in Patients with Inflammatory Bowel Disease in Remission on Maintenance Treatment. </w:t>
      </w:r>
      <w:r w:rsidRPr="00A63850">
        <w:rPr>
          <w:rFonts w:ascii="Book Antiqua" w:eastAsia="宋体" w:hAnsi="Book Antiqua" w:cs="宋体"/>
          <w:i/>
          <w:iCs/>
          <w:sz w:val="24"/>
          <w:szCs w:val="24"/>
        </w:rPr>
        <w:t xml:space="preserve">J </w:t>
      </w:r>
      <w:proofErr w:type="spellStart"/>
      <w:r w:rsidRPr="00A63850">
        <w:rPr>
          <w:rFonts w:ascii="Book Antiqua" w:eastAsia="宋体" w:hAnsi="Book Antiqua" w:cs="宋体"/>
          <w:i/>
          <w:iCs/>
          <w:sz w:val="24"/>
          <w:szCs w:val="24"/>
        </w:rPr>
        <w:t>Crohns</w:t>
      </w:r>
      <w:proofErr w:type="spellEnd"/>
      <w:r w:rsidRPr="00A63850">
        <w:rPr>
          <w:rFonts w:ascii="Book Antiqua" w:eastAsia="宋体" w:hAnsi="Book Antiqua" w:cs="宋体"/>
          <w:i/>
          <w:iCs/>
          <w:sz w:val="24"/>
          <w:szCs w:val="24"/>
        </w:rPr>
        <w:t xml:space="preserve"> Colitis</w:t>
      </w:r>
      <w:r w:rsidRPr="00A63850">
        <w:rPr>
          <w:rFonts w:ascii="Book Antiqua" w:eastAsia="宋体" w:hAnsi="Book Antiqua" w:cs="宋体"/>
          <w:sz w:val="24"/>
          <w:szCs w:val="24"/>
        </w:rPr>
        <w:t> 2015; </w:t>
      </w:r>
      <w:r w:rsidRPr="00A63850">
        <w:rPr>
          <w:rFonts w:ascii="Book Antiqua" w:eastAsia="宋体" w:hAnsi="Book Antiqua" w:cs="宋体"/>
          <w:b/>
          <w:bCs/>
          <w:sz w:val="24"/>
          <w:szCs w:val="24"/>
        </w:rPr>
        <w:t>9</w:t>
      </w:r>
      <w:r w:rsidRPr="00A63850">
        <w:rPr>
          <w:rFonts w:ascii="Book Antiqua" w:eastAsia="宋体" w:hAnsi="Book Antiqua" w:cs="宋体"/>
          <w:sz w:val="24"/>
          <w:szCs w:val="24"/>
        </w:rPr>
        <w:t>: 973-981 [PMID: 26116557 DOI: 10.1093/</w:t>
      </w:r>
      <w:proofErr w:type="spellStart"/>
      <w:r w:rsidRPr="00A63850">
        <w:rPr>
          <w:rFonts w:ascii="Book Antiqua" w:eastAsia="宋体" w:hAnsi="Book Antiqua" w:cs="宋体"/>
          <w:sz w:val="24"/>
          <w:szCs w:val="24"/>
        </w:rPr>
        <w:t>ecco-jcc</w:t>
      </w:r>
      <w:proofErr w:type="spellEnd"/>
      <w:r w:rsidRPr="00A63850">
        <w:rPr>
          <w:rFonts w:ascii="Book Antiqua" w:eastAsia="宋体" w:hAnsi="Book Antiqua" w:cs="宋体"/>
          <w:sz w:val="24"/>
          <w:szCs w:val="24"/>
        </w:rPr>
        <w:t>/jjv116]</w:t>
      </w:r>
    </w:p>
    <w:p w14:paraId="02B66653"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16 </w:t>
      </w:r>
      <w:proofErr w:type="spellStart"/>
      <w:r w:rsidRPr="00A63850">
        <w:rPr>
          <w:rFonts w:ascii="Book Antiqua" w:eastAsia="宋体" w:hAnsi="Book Antiqua" w:cs="宋体"/>
          <w:b/>
          <w:bCs/>
          <w:sz w:val="24"/>
          <w:szCs w:val="24"/>
        </w:rPr>
        <w:t>Ungar</w:t>
      </w:r>
      <w:proofErr w:type="spellEnd"/>
      <w:r w:rsidRPr="00A63850">
        <w:rPr>
          <w:rFonts w:ascii="Book Antiqua" w:eastAsia="宋体" w:hAnsi="Book Antiqua" w:cs="宋体"/>
          <w:b/>
          <w:bCs/>
          <w:sz w:val="24"/>
          <w:szCs w:val="24"/>
        </w:rPr>
        <w:t xml:space="preserve"> B</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Chowers</w:t>
      </w:r>
      <w:proofErr w:type="spellEnd"/>
      <w:r w:rsidRPr="00A63850">
        <w:rPr>
          <w:rFonts w:ascii="Book Antiqua" w:eastAsia="宋体" w:hAnsi="Book Antiqua" w:cs="宋体"/>
          <w:sz w:val="24"/>
          <w:szCs w:val="24"/>
        </w:rPr>
        <w:t xml:space="preserve"> Y, </w:t>
      </w:r>
      <w:proofErr w:type="spellStart"/>
      <w:r w:rsidRPr="00A63850">
        <w:rPr>
          <w:rFonts w:ascii="Book Antiqua" w:eastAsia="宋体" w:hAnsi="Book Antiqua" w:cs="宋体"/>
          <w:sz w:val="24"/>
          <w:szCs w:val="24"/>
        </w:rPr>
        <w:t>Yavzori</w:t>
      </w:r>
      <w:proofErr w:type="spellEnd"/>
      <w:r w:rsidRPr="00A63850">
        <w:rPr>
          <w:rFonts w:ascii="Book Antiqua" w:eastAsia="宋体" w:hAnsi="Book Antiqua" w:cs="宋体"/>
          <w:sz w:val="24"/>
          <w:szCs w:val="24"/>
        </w:rPr>
        <w:t xml:space="preserve"> M, Picard O, </w:t>
      </w:r>
      <w:proofErr w:type="spellStart"/>
      <w:r w:rsidRPr="00A63850">
        <w:rPr>
          <w:rFonts w:ascii="Book Antiqua" w:eastAsia="宋体" w:hAnsi="Book Antiqua" w:cs="宋体"/>
          <w:sz w:val="24"/>
          <w:szCs w:val="24"/>
        </w:rPr>
        <w:t>Fudim</w:t>
      </w:r>
      <w:proofErr w:type="spellEnd"/>
      <w:r w:rsidRPr="00A63850">
        <w:rPr>
          <w:rFonts w:ascii="Book Antiqua" w:eastAsia="宋体" w:hAnsi="Book Antiqua" w:cs="宋体"/>
          <w:sz w:val="24"/>
          <w:szCs w:val="24"/>
        </w:rPr>
        <w:t xml:space="preserve"> E, </w:t>
      </w:r>
      <w:proofErr w:type="spellStart"/>
      <w:r w:rsidRPr="00A63850">
        <w:rPr>
          <w:rFonts w:ascii="Book Antiqua" w:eastAsia="宋体" w:hAnsi="Book Antiqua" w:cs="宋体"/>
          <w:sz w:val="24"/>
          <w:szCs w:val="24"/>
        </w:rPr>
        <w:t>Har-Noy</w:t>
      </w:r>
      <w:proofErr w:type="spellEnd"/>
      <w:r w:rsidRPr="00A63850">
        <w:rPr>
          <w:rFonts w:ascii="Book Antiqua" w:eastAsia="宋体" w:hAnsi="Book Antiqua" w:cs="宋体"/>
          <w:sz w:val="24"/>
          <w:szCs w:val="24"/>
        </w:rPr>
        <w:t xml:space="preserve"> O, </w:t>
      </w:r>
      <w:proofErr w:type="spellStart"/>
      <w:r w:rsidRPr="00A63850">
        <w:rPr>
          <w:rFonts w:ascii="Book Antiqua" w:eastAsia="宋体" w:hAnsi="Book Antiqua" w:cs="宋体"/>
          <w:sz w:val="24"/>
          <w:szCs w:val="24"/>
        </w:rPr>
        <w:t>Kopylov</w:t>
      </w:r>
      <w:proofErr w:type="spellEnd"/>
      <w:r w:rsidRPr="00A63850">
        <w:rPr>
          <w:rFonts w:ascii="Book Antiqua" w:eastAsia="宋体" w:hAnsi="Book Antiqua" w:cs="宋体"/>
          <w:sz w:val="24"/>
          <w:szCs w:val="24"/>
        </w:rPr>
        <w:t xml:space="preserve"> U, </w:t>
      </w:r>
      <w:proofErr w:type="spellStart"/>
      <w:r w:rsidRPr="00A63850">
        <w:rPr>
          <w:rFonts w:ascii="Book Antiqua" w:eastAsia="宋体" w:hAnsi="Book Antiqua" w:cs="宋体"/>
          <w:sz w:val="24"/>
          <w:szCs w:val="24"/>
        </w:rPr>
        <w:t>Eliakim</w:t>
      </w:r>
      <w:proofErr w:type="spellEnd"/>
      <w:r w:rsidRPr="00A63850">
        <w:rPr>
          <w:rFonts w:ascii="Book Antiqua" w:eastAsia="宋体" w:hAnsi="Book Antiqua" w:cs="宋体"/>
          <w:sz w:val="24"/>
          <w:szCs w:val="24"/>
        </w:rPr>
        <w:t xml:space="preserve"> R, Ben-</w:t>
      </w:r>
      <w:proofErr w:type="spellStart"/>
      <w:r w:rsidRPr="00A63850">
        <w:rPr>
          <w:rFonts w:ascii="Book Antiqua" w:eastAsia="宋体" w:hAnsi="Book Antiqua" w:cs="宋体"/>
          <w:sz w:val="24"/>
          <w:szCs w:val="24"/>
        </w:rPr>
        <w:t>Horin</w:t>
      </w:r>
      <w:proofErr w:type="spellEnd"/>
      <w:r w:rsidRPr="00A63850">
        <w:rPr>
          <w:rFonts w:ascii="Book Antiqua" w:eastAsia="宋体" w:hAnsi="Book Antiqua" w:cs="宋体"/>
          <w:sz w:val="24"/>
          <w:szCs w:val="24"/>
        </w:rPr>
        <w:t xml:space="preserve"> S. The temporal evolution of antidrug antibodies in patients with inflammatory bowel disease treated with infliximab. </w:t>
      </w:r>
      <w:r w:rsidRPr="00A63850">
        <w:rPr>
          <w:rFonts w:ascii="Book Antiqua" w:eastAsia="宋体" w:hAnsi="Book Antiqua" w:cs="宋体"/>
          <w:i/>
          <w:iCs/>
          <w:sz w:val="24"/>
          <w:szCs w:val="24"/>
        </w:rPr>
        <w:t>Gut</w:t>
      </w:r>
      <w:r w:rsidRPr="00A63850">
        <w:rPr>
          <w:rFonts w:ascii="Book Antiqua" w:eastAsia="宋体" w:hAnsi="Book Antiqua" w:cs="宋体"/>
          <w:sz w:val="24"/>
          <w:szCs w:val="24"/>
        </w:rPr>
        <w:t> 2014; </w:t>
      </w:r>
      <w:r w:rsidRPr="00A63850">
        <w:rPr>
          <w:rFonts w:ascii="Book Antiqua" w:eastAsia="宋体" w:hAnsi="Book Antiqua" w:cs="宋体"/>
          <w:b/>
          <w:bCs/>
          <w:sz w:val="24"/>
          <w:szCs w:val="24"/>
        </w:rPr>
        <w:t>63</w:t>
      </w:r>
      <w:r w:rsidRPr="00A63850">
        <w:rPr>
          <w:rFonts w:ascii="Book Antiqua" w:eastAsia="宋体" w:hAnsi="Book Antiqua" w:cs="宋体"/>
          <w:sz w:val="24"/>
          <w:szCs w:val="24"/>
        </w:rPr>
        <w:t>: 1258-1264 [PMID: 24041539 DOI: 10.1136/gutjnl-2013-305259]</w:t>
      </w:r>
    </w:p>
    <w:p w14:paraId="2A802138"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17 </w:t>
      </w:r>
      <w:proofErr w:type="spellStart"/>
      <w:r w:rsidRPr="00A63850">
        <w:rPr>
          <w:rFonts w:ascii="Book Antiqua" w:eastAsia="宋体" w:hAnsi="Book Antiqua" w:cs="宋体"/>
          <w:b/>
          <w:bCs/>
          <w:sz w:val="24"/>
          <w:szCs w:val="24"/>
        </w:rPr>
        <w:t>Roblin</w:t>
      </w:r>
      <w:proofErr w:type="spellEnd"/>
      <w:r w:rsidRPr="00A63850">
        <w:rPr>
          <w:rFonts w:ascii="Book Antiqua" w:eastAsia="宋体" w:hAnsi="Book Antiqua" w:cs="宋体"/>
          <w:b/>
          <w:bCs/>
          <w:sz w:val="24"/>
          <w:szCs w:val="24"/>
        </w:rPr>
        <w:t xml:space="preserve"> X</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Marotte</w:t>
      </w:r>
      <w:proofErr w:type="spellEnd"/>
      <w:r w:rsidRPr="00A63850">
        <w:rPr>
          <w:rFonts w:ascii="Book Antiqua" w:eastAsia="宋体" w:hAnsi="Book Antiqua" w:cs="宋体"/>
          <w:sz w:val="24"/>
          <w:szCs w:val="24"/>
        </w:rPr>
        <w:t xml:space="preserve"> H, Leclerc M, Del Tedesco E, </w:t>
      </w:r>
      <w:proofErr w:type="spellStart"/>
      <w:r w:rsidRPr="00A63850">
        <w:rPr>
          <w:rFonts w:ascii="Book Antiqua" w:eastAsia="宋体" w:hAnsi="Book Antiqua" w:cs="宋体"/>
          <w:sz w:val="24"/>
          <w:szCs w:val="24"/>
        </w:rPr>
        <w:t>Phelip</w:t>
      </w:r>
      <w:proofErr w:type="spellEnd"/>
      <w:r w:rsidRPr="00A63850">
        <w:rPr>
          <w:rFonts w:ascii="Book Antiqua" w:eastAsia="宋体" w:hAnsi="Book Antiqua" w:cs="宋体"/>
          <w:sz w:val="24"/>
          <w:szCs w:val="24"/>
        </w:rPr>
        <w:t xml:space="preserve"> JM, </w:t>
      </w:r>
      <w:proofErr w:type="spellStart"/>
      <w:r w:rsidRPr="00A63850">
        <w:rPr>
          <w:rFonts w:ascii="Book Antiqua" w:eastAsia="宋体" w:hAnsi="Book Antiqua" w:cs="宋体"/>
          <w:sz w:val="24"/>
          <w:szCs w:val="24"/>
        </w:rPr>
        <w:t>Peyrin-Biroulet</w:t>
      </w:r>
      <w:proofErr w:type="spellEnd"/>
      <w:r w:rsidRPr="00A63850">
        <w:rPr>
          <w:rFonts w:ascii="Book Antiqua" w:eastAsia="宋体" w:hAnsi="Book Antiqua" w:cs="宋体"/>
          <w:sz w:val="24"/>
          <w:szCs w:val="24"/>
        </w:rPr>
        <w:t xml:space="preserve"> L, Paul S. Combination of C-reactive protein, infliximab trough levels, and stable but not transient antibodies to infliximab are associated with loss of response to infliximab in inflammatory bowel disease. </w:t>
      </w:r>
      <w:r w:rsidRPr="00A63850">
        <w:rPr>
          <w:rFonts w:ascii="Book Antiqua" w:eastAsia="宋体" w:hAnsi="Book Antiqua" w:cs="宋体"/>
          <w:i/>
          <w:iCs/>
          <w:sz w:val="24"/>
          <w:szCs w:val="24"/>
        </w:rPr>
        <w:t xml:space="preserve">J </w:t>
      </w:r>
      <w:proofErr w:type="spellStart"/>
      <w:r w:rsidRPr="00A63850">
        <w:rPr>
          <w:rFonts w:ascii="Book Antiqua" w:eastAsia="宋体" w:hAnsi="Book Antiqua" w:cs="宋体"/>
          <w:i/>
          <w:iCs/>
          <w:sz w:val="24"/>
          <w:szCs w:val="24"/>
        </w:rPr>
        <w:t>Crohns</w:t>
      </w:r>
      <w:proofErr w:type="spellEnd"/>
      <w:r w:rsidRPr="00A63850">
        <w:rPr>
          <w:rFonts w:ascii="Book Antiqua" w:eastAsia="宋体" w:hAnsi="Book Antiqua" w:cs="宋体"/>
          <w:i/>
          <w:iCs/>
          <w:sz w:val="24"/>
          <w:szCs w:val="24"/>
        </w:rPr>
        <w:t xml:space="preserve"> Colitis</w:t>
      </w:r>
      <w:r w:rsidRPr="00A63850">
        <w:rPr>
          <w:rFonts w:ascii="Book Antiqua" w:eastAsia="宋体" w:hAnsi="Book Antiqua" w:cs="宋体"/>
          <w:sz w:val="24"/>
          <w:szCs w:val="24"/>
        </w:rPr>
        <w:t> 2015; </w:t>
      </w:r>
      <w:r w:rsidRPr="00A63850">
        <w:rPr>
          <w:rFonts w:ascii="Book Antiqua" w:eastAsia="宋体" w:hAnsi="Book Antiqua" w:cs="宋体"/>
          <w:b/>
          <w:bCs/>
          <w:sz w:val="24"/>
          <w:szCs w:val="24"/>
        </w:rPr>
        <w:t>9</w:t>
      </w:r>
      <w:r w:rsidRPr="00A63850">
        <w:rPr>
          <w:rFonts w:ascii="Book Antiqua" w:eastAsia="宋体" w:hAnsi="Book Antiqua" w:cs="宋体"/>
          <w:sz w:val="24"/>
          <w:szCs w:val="24"/>
        </w:rPr>
        <w:t>: 525-531 [PMID: 25895875 DOI: 10.1093/</w:t>
      </w:r>
      <w:proofErr w:type="spellStart"/>
      <w:r w:rsidRPr="00A63850">
        <w:rPr>
          <w:rFonts w:ascii="Book Antiqua" w:eastAsia="宋体" w:hAnsi="Book Antiqua" w:cs="宋体"/>
          <w:sz w:val="24"/>
          <w:szCs w:val="24"/>
        </w:rPr>
        <w:t>ecco-jcc</w:t>
      </w:r>
      <w:proofErr w:type="spellEnd"/>
      <w:r w:rsidRPr="00A63850">
        <w:rPr>
          <w:rFonts w:ascii="Book Antiqua" w:eastAsia="宋体" w:hAnsi="Book Antiqua" w:cs="宋体"/>
          <w:sz w:val="24"/>
          <w:szCs w:val="24"/>
        </w:rPr>
        <w:t>/jjv061]</w:t>
      </w:r>
    </w:p>
    <w:p w14:paraId="10873B7D" w14:textId="77777777" w:rsidR="00264FD1" w:rsidRPr="00A63850" w:rsidRDefault="00264FD1" w:rsidP="00264FD1">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18 </w:t>
      </w:r>
      <w:r w:rsidRPr="00A63850">
        <w:rPr>
          <w:rFonts w:ascii="Book Antiqua" w:eastAsia="宋体" w:hAnsi="Book Antiqua" w:cs="宋体"/>
          <w:b/>
          <w:sz w:val="24"/>
          <w:szCs w:val="24"/>
        </w:rPr>
        <w:t xml:space="preserve">European Medicines Agency: </w:t>
      </w:r>
      <w:proofErr w:type="spellStart"/>
      <w:r w:rsidRPr="00A63850">
        <w:rPr>
          <w:rFonts w:ascii="Book Antiqua" w:eastAsia="宋体" w:hAnsi="Book Antiqua" w:cs="宋体"/>
          <w:b/>
          <w:sz w:val="24"/>
          <w:szCs w:val="24"/>
        </w:rPr>
        <w:t>Inflectra</w:t>
      </w:r>
      <w:proofErr w:type="spellEnd"/>
      <w:r w:rsidRPr="00A63850">
        <w:rPr>
          <w:rFonts w:ascii="Book Antiqua" w:eastAsia="宋体" w:hAnsi="Book Antiqua" w:cs="宋体"/>
          <w:b/>
          <w:sz w:val="24"/>
          <w:szCs w:val="24"/>
        </w:rPr>
        <w:t xml:space="preserve">. European public assessment report. </w:t>
      </w:r>
      <w:r w:rsidRPr="00A63850">
        <w:rPr>
          <w:rFonts w:ascii="Book Antiqua" w:eastAsia="宋体" w:hAnsi="Book Antiqua" w:cs="宋体"/>
          <w:sz w:val="24"/>
          <w:szCs w:val="24"/>
        </w:rPr>
        <w:t>Available from: URL:</w:t>
      </w:r>
      <w:r>
        <w:rPr>
          <w:rFonts w:ascii="Book Antiqua" w:eastAsia="宋体" w:hAnsi="Book Antiqua" w:cs="宋体" w:hint="eastAsia"/>
          <w:b/>
          <w:sz w:val="24"/>
          <w:szCs w:val="24"/>
        </w:rPr>
        <w:t xml:space="preserve"> </w:t>
      </w:r>
      <w:r w:rsidRPr="00A63850">
        <w:rPr>
          <w:rFonts w:ascii="Book Antiqua" w:eastAsia="宋体" w:hAnsi="Book Antiqua" w:cs="宋体"/>
          <w:sz w:val="24"/>
          <w:szCs w:val="24"/>
        </w:rPr>
        <w:t>http: //www.ema.europa.eu/ema/index.jsp?curl=pages/medicines/human/medicines/002778/human_med_001677.jsp&amp;mid=WC0b01ac0</w:t>
      </w:r>
    </w:p>
    <w:p w14:paraId="2F01E23C" w14:textId="77777777" w:rsidR="00264FD1" w:rsidRPr="00A63850" w:rsidRDefault="00264FD1" w:rsidP="00264FD1">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19 </w:t>
      </w:r>
      <w:r w:rsidRPr="00A63850">
        <w:rPr>
          <w:rFonts w:ascii="Book Antiqua" w:eastAsia="宋体" w:hAnsi="Book Antiqua" w:cs="宋体"/>
          <w:b/>
          <w:sz w:val="24"/>
          <w:szCs w:val="24"/>
        </w:rPr>
        <w:t>Ben-</w:t>
      </w:r>
      <w:proofErr w:type="spellStart"/>
      <w:r w:rsidRPr="00A63850">
        <w:rPr>
          <w:rFonts w:ascii="Book Antiqua" w:eastAsia="宋体" w:hAnsi="Book Antiqua" w:cs="宋体"/>
          <w:b/>
          <w:sz w:val="24"/>
          <w:szCs w:val="24"/>
        </w:rPr>
        <w:t>Horin</w:t>
      </w:r>
      <w:proofErr w:type="spellEnd"/>
      <w:r w:rsidRPr="00A63850">
        <w:rPr>
          <w:rFonts w:ascii="Book Antiqua" w:eastAsia="宋体" w:hAnsi="Book Antiqua" w:cs="宋体"/>
          <w:b/>
          <w:sz w:val="24"/>
          <w:szCs w:val="24"/>
        </w:rPr>
        <w:t xml:space="preserve"> S,</w:t>
      </w:r>
      <w:r>
        <w:rPr>
          <w:rFonts w:ascii="Book Antiqua" w:eastAsia="宋体" w:hAnsi="Book Antiqua" w:cs="宋体"/>
          <w:sz w:val="24"/>
          <w:szCs w:val="24"/>
        </w:rPr>
        <w:t xml:space="preserve"> </w:t>
      </w:r>
      <w:proofErr w:type="spellStart"/>
      <w:r>
        <w:rPr>
          <w:rFonts w:ascii="Book Antiqua" w:eastAsia="宋体" w:hAnsi="Book Antiqua" w:cs="宋体"/>
          <w:sz w:val="24"/>
          <w:szCs w:val="24"/>
        </w:rPr>
        <w:t>Yavzori</w:t>
      </w:r>
      <w:proofErr w:type="spellEnd"/>
      <w:r>
        <w:rPr>
          <w:rFonts w:ascii="Book Antiqua" w:eastAsia="宋体" w:hAnsi="Book Antiqua" w:cs="宋体"/>
          <w:sz w:val="24"/>
          <w:szCs w:val="24"/>
        </w:rPr>
        <w:t xml:space="preserve"> M, </w:t>
      </w:r>
      <w:proofErr w:type="spellStart"/>
      <w:r>
        <w:rPr>
          <w:rFonts w:ascii="Book Antiqua" w:eastAsia="宋体" w:hAnsi="Book Antiqua" w:cs="宋体"/>
          <w:sz w:val="24"/>
          <w:szCs w:val="24"/>
        </w:rPr>
        <w:t>Benhar</w:t>
      </w:r>
      <w:proofErr w:type="spellEnd"/>
      <w:r>
        <w:rPr>
          <w:rFonts w:ascii="Book Antiqua" w:eastAsia="宋体" w:hAnsi="Book Antiqua" w:cs="宋体"/>
          <w:sz w:val="24"/>
          <w:szCs w:val="24"/>
        </w:rPr>
        <w:t xml:space="preserve"> I, </w:t>
      </w:r>
      <w:proofErr w:type="spellStart"/>
      <w:r>
        <w:rPr>
          <w:rFonts w:ascii="Book Antiqua" w:eastAsia="宋体" w:hAnsi="Book Antiqua" w:cs="宋体"/>
          <w:sz w:val="24"/>
          <w:szCs w:val="24"/>
        </w:rPr>
        <w:t>Fudim</w:t>
      </w:r>
      <w:proofErr w:type="spellEnd"/>
      <w:r>
        <w:rPr>
          <w:rFonts w:ascii="Book Antiqua" w:eastAsia="宋体" w:hAnsi="Book Antiqua" w:cs="宋体"/>
          <w:sz w:val="24"/>
          <w:szCs w:val="24"/>
        </w:rPr>
        <w:t xml:space="preserve"> E, Picard O, </w:t>
      </w:r>
      <w:proofErr w:type="spellStart"/>
      <w:r>
        <w:rPr>
          <w:rFonts w:ascii="Book Antiqua" w:eastAsia="宋体" w:hAnsi="Book Antiqua" w:cs="宋体"/>
          <w:sz w:val="24"/>
          <w:szCs w:val="24"/>
        </w:rPr>
        <w:t>Ungar</w:t>
      </w:r>
      <w:proofErr w:type="spellEnd"/>
      <w:r>
        <w:rPr>
          <w:rFonts w:ascii="Book Antiqua" w:eastAsia="宋体" w:hAnsi="Book Antiqua" w:cs="宋体"/>
          <w:sz w:val="24"/>
          <w:szCs w:val="24"/>
        </w:rPr>
        <w:t xml:space="preserve"> B, Lee S, Kim S</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Eliak</w:t>
      </w:r>
      <w:r>
        <w:rPr>
          <w:rFonts w:ascii="Book Antiqua" w:eastAsia="宋体" w:hAnsi="Book Antiqua" w:cs="宋体"/>
          <w:sz w:val="24"/>
          <w:szCs w:val="24"/>
        </w:rPr>
        <w:t>im</w:t>
      </w:r>
      <w:proofErr w:type="spellEnd"/>
      <w:r>
        <w:rPr>
          <w:rFonts w:ascii="Book Antiqua" w:eastAsia="宋体" w:hAnsi="Book Antiqua" w:cs="宋体"/>
          <w:sz w:val="24"/>
          <w:szCs w:val="24"/>
        </w:rPr>
        <w:t xml:space="preserve"> R, </w:t>
      </w:r>
      <w:proofErr w:type="spellStart"/>
      <w:r>
        <w:rPr>
          <w:rFonts w:ascii="Book Antiqua" w:eastAsia="宋体" w:hAnsi="Book Antiqua" w:cs="宋体"/>
          <w:sz w:val="24"/>
          <w:szCs w:val="24"/>
        </w:rPr>
        <w:t>Chowers</w:t>
      </w:r>
      <w:proofErr w:type="spellEnd"/>
      <w:r>
        <w:rPr>
          <w:rFonts w:ascii="Book Antiqua" w:eastAsia="宋体" w:hAnsi="Book Antiqua" w:cs="宋体"/>
          <w:sz w:val="24"/>
          <w:szCs w:val="24"/>
        </w:rPr>
        <w:t xml:space="preserve"> Y</w:t>
      </w:r>
      <w:r>
        <w:rPr>
          <w:rFonts w:ascii="Book Antiqua" w:eastAsia="宋体" w:hAnsi="Book Antiqua" w:cs="宋体" w:hint="eastAsia"/>
          <w:sz w:val="24"/>
          <w:szCs w:val="24"/>
        </w:rPr>
        <w:t xml:space="preserve">. </w:t>
      </w:r>
      <w:r w:rsidRPr="00A63850">
        <w:rPr>
          <w:rFonts w:ascii="Book Antiqua" w:eastAsia="宋体" w:hAnsi="Book Antiqua" w:cs="宋体"/>
          <w:sz w:val="24"/>
          <w:szCs w:val="24"/>
        </w:rPr>
        <w:t xml:space="preserve">Cross-immunogenicity: Antibodies to infliximab in </w:t>
      </w:r>
      <w:proofErr w:type="spellStart"/>
      <w:r w:rsidRPr="00A63850">
        <w:rPr>
          <w:rFonts w:ascii="Book Antiqua" w:eastAsia="宋体" w:hAnsi="Book Antiqua" w:cs="宋体"/>
          <w:sz w:val="24"/>
          <w:szCs w:val="24"/>
        </w:rPr>
        <w:t>Remicade</w:t>
      </w:r>
      <w:proofErr w:type="spellEnd"/>
      <w:r w:rsidRPr="00A63850">
        <w:rPr>
          <w:rFonts w:ascii="Book Antiqua" w:eastAsia="宋体" w:hAnsi="Book Antiqua" w:cs="宋体"/>
          <w:sz w:val="24"/>
          <w:szCs w:val="24"/>
        </w:rPr>
        <w:t xml:space="preserve">-treated patients with IBD similarly recognise the </w:t>
      </w:r>
      <w:proofErr w:type="spellStart"/>
      <w:r w:rsidRPr="00A63850">
        <w:rPr>
          <w:rFonts w:ascii="Book Antiqua" w:eastAsia="宋体" w:hAnsi="Book Antiqua" w:cs="宋体"/>
          <w:sz w:val="24"/>
          <w:szCs w:val="24"/>
        </w:rPr>
        <w:t>biosimilar</w:t>
      </w:r>
      <w:proofErr w:type="spellEnd"/>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Remsima</w:t>
      </w:r>
      <w:proofErr w:type="spellEnd"/>
      <w:r w:rsidRPr="00A63850">
        <w:rPr>
          <w:rFonts w:ascii="Book Antiqua" w:eastAsia="宋体" w:hAnsi="Book Antiqua" w:cs="宋体"/>
          <w:sz w:val="24"/>
          <w:szCs w:val="24"/>
        </w:rPr>
        <w:t>. </w:t>
      </w:r>
      <w:r w:rsidRPr="00A63850">
        <w:rPr>
          <w:rFonts w:ascii="Book Antiqua" w:eastAsia="宋体" w:hAnsi="Book Antiqua" w:cs="宋体"/>
          <w:i/>
          <w:iCs/>
          <w:sz w:val="24"/>
          <w:szCs w:val="24"/>
        </w:rPr>
        <w:t>Gut</w:t>
      </w:r>
      <w:r w:rsidRPr="00A63850">
        <w:rPr>
          <w:rFonts w:ascii="Book Antiqua" w:eastAsia="宋体" w:hAnsi="Book Antiqua" w:cs="宋体"/>
          <w:sz w:val="24"/>
          <w:szCs w:val="24"/>
        </w:rPr>
        <w:t> 2015;</w:t>
      </w:r>
      <w:r w:rsidRPr="00A63850">
        <w:t xml:space="preserve"> </w:t>
      </w:r>
      <w:proofErr w:type="spellStart"/>
      <w:r w:rsidRPr="00A63850">
        <w:rPr>
          <w:rFonts w:ascii="Book Antiqua" w:eastAsia="宋体" w:hAnsi="Book Antiqua" w:cs="宋体"/>
          <w:sz w:val="24"/>
          <w:szCs w:val="24"/>
        </w:rPr>
        <w:t>Epub</w:t>
      </w:r>
      <w:proofErr w:type="spellEnd"/>
      <w:r w:rsidRPr="00A63850">
        <w:rPr>
          <w:rFonts w:ascii="Book Antiqua" w:eastAsia="宋体" w:hAnsi="Book Antiqua" w:cs="宋体"/>
          <w:sz w:val="24"/>
          <w:szCs w:val="24"/>
        </w:rPr>
        <w:t xml:space="preserve"> ahead of print [PMID: 25897019 DOI: 10.1136/gutjnl-2015-309290]</w:t>
      </w:r>
    </w:p>
    <w:p w14:paraId="7650D7A2"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20 </w:t>
      </w:r>
      <w:proofErr w:type="spellStart"/>
      <w:r w:rsidRPr="00A63850">
        <w:rPr>
          <w:rFonts w:ascii="Book Antiqua" w:eastAsia="宋体" w:hAnsi="Book Antiqua" w:cs="宋体"/>
          <w:b/>
          <w:bCs/>
          <w:sz w:val="24"/>
          <w:szCs w:val="24"/>
        </w:rPr>
        <w:t>Baert</w:t>
      </w:r>
      <w:proofErr w:type="spellEnd"/>
      <w:r w:rsidRPr="00A63850">
        <w:rPr>
          <w:rFonts w:ascii="Book Antiqua" w:eastAsia="宋体" w:hAnsi="Book Antiqua" w:cs="宋体"/>
          <w:b/>
          <w:bCs/>
          <w:sz w:val="24"/>
          <w:szCs w:val="24"/>
        </w:rPr>
        <w:t xml:space="preserve"> F</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Noman</w:t>
      </w:r>
      <w:proofErr w:type="spellEnd"/>
      <w:r w:rsidRPr="00A63850">
        <w:rPr>
          <w:rFonts w:ascii="Book Antiqua" w:eastAsia="宋体" w:hAnsi="Book Antiqua" w:cs="宋体"/>
          <w:sz w:val="24"/>
          <w:szCs w:val="24"/>
        </w:rPr>
        <w:t xml:space="preserve"> M, </w:t>
      </w:r>
      <w:proofErr w:type="spellStart"/>
      <w:r w:rsidRPr="00A63850">
        <w:rPr>
          <w:rFonts w:ascii="Book Antiqua" w:eastAsia="宋体" w:hAnsi="Book Antiqua" w:cs="宋体"/>
          <w:sz w:val="24"/>
          <w:szCs w:val="24"/>
        </w:rPr>
        <w:t>Vermeire</w:t>
      </w:r>
      <w:proofErr w:type="spellEnd"/>
      <w:r w:rsidRPr="00A63850">
        <w:rPr>
          <w:rFonts w:ascii="Book Antiqua" w:eastAsia="宋体" w:hAnsi="Book Antiqua" w:cs="宋体"/>
          <w:sz w:val="24"/>
          <w:szCs w:val="24"/>
        </w:rPr>
        <w:t xml:space="preserve"> S, Van </w:t>
      </w:r>
      <w:proofErr w:type="spellStart"/>
      <w:r w:rsidRPr="00A63850">
        <w:rPr>
          <w:rFonts w:ascii="Book Antiqua" w:eastAsia="宋体" w:hAnsi="Book Antiqua" w:cs="宋体"/>
          <w:sz w:val="24"/>
          <w:szCs w:val="24"/>
        </w:rPr>
        <w:t>Assche</w:t>
      </w:r>
      <w:proofErr w:type="spellEnd"/>
      <w:r w:rsidRPr="00A63850">
        <w:rPr>
          <w:rFonts w:ascii="Book Antiqua" w:eastAsia="宋体" w:hAnsi="Book Antiqua" w:cs="宋体"/>
          <w:sz w:val="24"/>
          <w:szCs w:val="24"/>
        </w:rPr>
        <w:t xml:space="preserve"> G, D' </w:t>
      </w:r>
      <w:proofErr w:type="spellStart"/>
      <w:r w:rsidRPr="00A63850">
        <w:rPr>
          <w:rFonts w:ascii="Book Antiqua" w:eastAsia="宋体" w:hAnsi="Book Antiqua" w:cs="宋体"/>
          <w:sz w:val="24"/>
          <w:szCs w:val="24"/>
        </w:rPr>
        <w:t>Haens</w:t>
      </w:r>
      <w:proofErr w:type="spellEnd"/>
      <w:r w:rsidRPr="00A63850">
        <w:rPr>
          <w:rFonts w:ascii="Book Antiqua" w:eastAsia="宋体" w:hAnsi="Book Antiqua" w:cs="宋体"/>
          <w:sz w:val="24"/>
          <w:szCs w:val="24"/>
        </w:rPr>
        <w:t xml:space="preserve"> G, </w:t>
      </w:r>
      <w:proofErr w:type="spellStart"/>
      <w:r w:rsidRPr="00A63850">
        <w:rPr>
          <w:rFonts w:ascii="Book Antiqua" w:eastAsia="宋体" w:hAnsi="Book Antiqua" w:cs="宋体"/>
          <w:sz w:val="24"/>
          <w:szCs w:val="24"/>
        </w:rPr>
        <w:t>Carbonez</w:t>
      </w:r>
      <w:proofErr w:type="spellEnd"/>
      <w:r w:rsidRPr="00A63850">
        <w:rPr>
          <w:rFonts w:ascii="Book Antiqua" w:eastAsia="宋体" w:hAnsi="Book Antiqua" w:cs="宋体"/>
          <w:sz w:val="24"/>
          <w:szCs w:val="24"/>
        </w:rPr>
        <w:t xml:space="preserve"> A, </w:t>
      </w:r>
      <w:proofErr w:type="spellStart"/>
      <w:r w:rsidRPr="00A63850">
        <w:rPr>
          <w:rFonts w:ascii="Book Antiqua" w:eastAsia="宋体" w:hAnsi="Book Antiqua" w:cs="宋体"/>
          <w:sz w:val="24"/>
          <w:szCs w:val="24"/>
        </w:rPr>
        <w:t>Rutgeerts</w:t>
      </w:r>
      <w:proofErr w:type="spellEnd"/>
      <w:r w:rsidRPr="00A63850">
        <w:rPr>
          <w:rFonts w:ascii="Book Antiqua" w:eastAsia="宋体" w:hAnsi="Book Antiqua" w:cs="宋体"/>
          <w:sz w:val="24"/>
          <w:szCs w:val="24"/>
        </w:rPr>
        <w:t xml:space="preserve"> P. Influence of immunogenicity on the long-term efficacy of infliximab in </w:t>
      </w:r>
      <w:proofErr w:type="spellStart"/>
      <w:r w:rsidRPr="00A63850">
        <w:rPr>
          <w:rFonts w:ascii="Book Antiqua" w:eastAsia="宋体" w:hAnsi="Book Antiqua" w:cs="宋体"/>
          <w:sz w:val="24"/>
          <w:szCs w:val="24"/>
        </w:rPr>
        <w:t>Crohn's</w:t>
      </w:r>
      <w:proofErr w:type="spellEnd"/>
      <w:r w:rsidRPr="00A63850">
        <w:rPr>
          <w:rFonts w:ascii="Book Antiqua" w:eastAsia="宋体" w:hAnsi="Book Antiqua" w:cs="宋体"/>
          <w:sz w:val="24"/>
          <w:szCs w:val="24"/>
        </w:rPr>
        <w:t xml:space="preserve"> disease. </w:t>
      </w:r>
      <w:r w:rsidRPr="00A63850">
        <w:rPr>
          <w:rFonts w:ascii="Book Antiqua" w:eastAsia="宋体" w:hAnsi="Book Antiqua" w:cs="宋体"/>
          <w:i/>
          <w:iCs/>
          <w:sz w:val="24"/>
          <w:szCs w:val="24"/>
        </w:rPr>
        <w:t xml:space="preserve">N </w:t>
      </w:r>
      <w:proofErr w:type="spellStart"/>
      <w:r w:rsidRPr="00A63850">
        <w:rPr>
          <w:rFonts w:ascii="Book Antiqua" w:eastAsia="宋体" w:hAnsi="Book Antiqua" w:cs="宋体"/>
          <w:i/>
          <w:iCs/>
          <w:sz w:val="24"/>
          <w:szCs w:val="24"/>
        </w:rPr>
        <w:t>Engl</w:t>
      </w:r>
      <w:proofErr w:type="spellEnd"/>
      <w:r w:rsidRPr="00A63850">
        <w:rPr>
          <w:rFonts w:ascii="Book Antiqua" w:eastAsia="宋体" w:hAnsi="Book Antiqua" w:cs="宋体"/>
          <w:i/>
          <w:iCs/>
          <w:sz w:val="24"/>
          <w:szCs w:val="24"/>
        </w:rPr>
        <w:t xml:space="preserve"> J Med</w:t>
      </w:r>
      <w:r w:rsidRPr="00A63850">
        <w:rPr>
          <w:rFonts w:ascii="Book Antiqua" w:eastAsia="宋体" w:hAnsi="Book Antiqua" w:cs="宋体"/>
          <w:sz w:val="24"/>
          <w:szCs w:val="24"/>
        </w:rPr>
        <w:t> 2003; </w:t>
      </w:r>
      <w:r w:rsidRPr="00A63850">
        <w:rPr>
          <w:rFonts w:ascii="Book Antiqua" w:eastAsia="宋体" w:hAnsi="Book Antiqua" w:cs="宋体"/>
          <w:b/>
          <w:bCs/>
          <w:sz w:val="24"/>
          <w:szCs w:val="24"/>
        </w:rPr>
        <w:t>348</w:t>
      </w:r>
      <w:r w:rsidRPr="00A63850">
        <w:rPr>
          <w:rFonts w:ascii="Book Antiqua" w:eastAsia="宋体" w:hAnsi="Book Antiqua" w:cs="宋体"/>
          <w:sz w:val="24"/>
          <w:szCs w:val="24"/>
        </w:rPr>
        <w:t>: 601-608 [PMID: 12584368 DOI: 10.1056/NEJMoa020888]</w:t>
      </w:r>
    </w:p>
    <w:p w14:paraId="166D58C4"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21 </w:t>
      </w:r>
      <w:proofErr w:type="spellStart"/>
      <w:r w:rsidRPr="00A63850">
        <w:rPr>
          <w:rFonts w:ascii="Book Antiqua" w:eastAsia="宋体" w:hAnsi="Book Antiqua" w:cs="宋体"/>
          <w:b/>
          <w:bCs/>
          <w:sz w:val="24"/>
          <w:szCs w:val="24"/>
        </w:rPr>
        <w:t>Ternant</w:t>
      </w:r>
      <w:proofErr w:type="spellEnd"/>
      <w:r w:rsidRPr="00A63850">
        <w:rPr>
          <w:rFonts w:ascii="Book Antiqua" w:eastAsia="宋体" w:hAnsi="Book Antiqua" w:cs="宋体"/>
          <w:b/>
          <w:bCs/>
          <w:sz w:val="24"/>
          <w:szCs w:val="24"/>
        </w:rPr>
        <w:t xml:space="preserve"> D</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Mulleman</w:t>
      </w:r>
      <w:proofErr w:type="spellEnd"/>
      <w:r w:rsidRPr="00A63850">
        <w:rPr>
          <w:rFonts w:ascii="Book Antiqua" w:eastAsia="宋体" w:hAnsi="Book Antiqua" w:cs="宋体"/>
          <w:sz w:val="24"/>
          <w:szCs w:val="24"/>
        </w:rPr>
        <w:t xml:space="preserve"> D, </w:t>
      </w:r>
      <w:proofErr w:type="spellStart"/>
      <w:r w:rsidRPr="00A63850">
        <w:rPr>
          <w:rFonts w:ascii="Book Antiqua" w:eastAsia="宋体" w:hAnsi="Book Antiqua" w:cs="宋体"/>
          <w:sz w:val="24"/>
          <w:szCs w:val="24"/>
        </w:rPr>
        <w:t>Degenne</w:t>
      </w:r>
      <w:proofErr w:type="spellEnd"/>
      <w:r w:rsidRPr="00A63850">
        <w:rPr>
          <w:rFonts w:ascii="Book Antiqua" w:eastAsia="宋体" w:hAnsi="Book Antiqua" w:cs="宋体"/>
          <w:sz w:val="24"/>
          <w:szCs w:val="24"/>
        </w:rPr>
        <w:t xml:space="preserve"> D, </w:t>
      </w:r>
      <w:proofErr w:type="spellStart"/>
      <w:r w:rsidRPr="00A63850">
        <w:rPr>
          <w:rFonts w:ascii="Book Antiqua" w:eastAsia="宋体" w:hAnsi="Book Antiqua" w:cs="宋体"/>
          <w:sz w:val="24"/>
          <w:szCs w:val="24"/>
        </w:rPr>
        <w:t>Willot</w:t>
      </w:r>
      <w:proofErr w:type="spellEnd"/>
      <w:r w:rsidRPr="00A63850">
        <w:rPr>
          <w:rFonts w:ascii="Book Antiqua" w:eastAsia="宋体" w:hAnsi="Book Antiqua" w:cs="宋体"/>
          <w:sz w:val="24"/>
          <w:szCs w:val="24"/>
        </w:rPr>
        <w:t xml:space="preserve"> S, </w:t>
      </w:r>
      <w:proofErr w:type="spellStart"/>
      <w:r w:rsidRPr="00A63850">
        <w:rPr>
          <w:rFonts w:ascii="Book Antiqua" w:eastAsia="宋体" w:hAnsi="Book Antiqua" w:cs="宋体"/>
          <w:sz w:val="24"/>
          <w:szCs w:val="24"/>
        </w:rPr>
        <w:t>Guillaumin</w:t>
      </w:r>
      <w:proofErr w:type="spellEnd"/>
      <w:r w:rsidRPr="00A63850">
        <w:rPr>
          <w:rFonts w:ascii="Book Antiqua" w:eastAsia="宋体" w:hAnsi="Book Antiqua" w:cs="宋体"/>
          <w:sz w:val="24"/>
          <w:szCs w:val="24"/>
        </w:rPr>
        <w:t xml:space="preserve"> JM, </w:t>
      </w:r>
      <w:proofErr w:type="spellStart"/>
      <w:r w:rsidRPr="00A63850">
        <w:rPr>
          <w:rFonts w:ascii="Book Antiqua" w:eastAsia="宋体" w:hAnsi="Book Antiqua" w:cs="宋体"/>
          <w:sz w:val="24"/>
          <w:szCs w:val="24"/>
        </w:rPr>
        <w:t>Watier</w:t>
      </w:r>
      <w:proofErr w:type="spellEnd"/>
      <w:r w:rsidRPr="00A63850">
        <w:rPr>
          <w:rFonts w:ascii="Book Antiqua" w:eastAsia="宋体" w:hAnsi="Book Antiqua" w:cs="宋体"/>
          <w:sz w:val="24"/>
          <w:szCs w:val="24"/>
        </w:rPr>
        <w:t xml:space="preserve"> H, </w:t>
      </w:r>
      <w:proofErr w:type="spellStart"/>
      <w:r w:rsidRPr="00A63850">
        <w:rPr>
          <w:rFonts w:ascii="Book Antiqua" w:eastAsia="宋体" w:hAnsi="Book Antiqua" w:cs="宋体"/>
          <w:sz w:val="24"/>
          <w:szCs w:val="24"/>
        </w:rPr>
        <w:t>Goupille</w:t>
      </w:r>
      <w:proofErr w:type="spellEnd"/>
      <w:r w:rsidRPr="00A63850">
        <w:rPr>
          <w:rFonts w:ascii="Book Antiqua" w:eastAsia="宋体" w:hAnsi="Book Antiqua" w:cs="宋体"/>
          <w:sz w:val="24"/>
          <w:szCs w:val="24"/>
        </w:rPr>
        <w:t xml:space="preserve"> P, </w:t>
      </w:r>
      <w:proofErr w:type="spellStart"/>
      <w:r w:rsidRPr="00A63850">
        <w:rPr>
          <w:rFonts w:ascii="Book Antiqua" w:eastAsia="宋体" w:hAnsi="Book Antiqua" w:cs="宋体"/>
          <w:sz w:val="24"/>
          <w:szCs w:val="24"/>
        </w:rPr>
        <w:t>Paintaud</w:t>
      </w:r>
      <w:proofErr w:type="spellEnd"/>
      <w:r w:rsidRPr="00A63850">
        <w:rPr>
          <w:rFonts w:ascii="Book Antiqua" w:eastAsia="宋体" w:hAnsi="Book Antiqua" w:cs="宋体"/>
          <w:sz w:val="24"/>
          <w:szCs w:val="24"/>
        </w:rPr>
        <w:t xml:space="preserve"> G. An enzyme-linked </w:t>
      </w:r>
      <w:proofErr w:type="spellStart"/>
      <w:r w:rsidRPr="00A63850">
        <w:rPr>
          <w:rFonts w:ascii="Book Antiqua" w:eastAsia="宋体" w:hAnsi="Book Antiqua" w:cs="宋体"/>
          <w:sz w:val="24"/>
          <w:szCs w:val="24"/>
        </w:rPr>
        <w:t>immunosorbent</w:t>
      </w:r>
      <w:proofErr w:type="spellEnd"/>
      <w:r w:rsidRPr="00A63850">
        <w:rPr>
          <w:rFonts w:ascii="Book Antiqua" w:eastAsia="宋体" w:hAnsi="Book Antiqua" w:cs="宋体"/>
          <w:sz w:val="24"/>
          <w:szCs w:val="24"/>
        </w:rPr>
        <w:t xml:space="preserve"> assay for therapeutic drug </w:t>
      </w:r>
      <w:r w:rsidRPr="00A63850">
        <w:rPr>
          <w:rFonts w:ascii="Book Antiqua" w:eastAsia="宋体" w:hAnsi="Book Antiqua" w:cs="宋体"/>
          <w:sz w:val="24"/>
          <w:szCs w:val="24"/>
        </w:rPr>
        <w:lastRenderedPageBreak/>
        <w:t>monitoring of infliximab. </w:t>
      </w:r>
      <w:proofErr w:type="spellStart"/>
      <w:r w:rsidRPr="00A63850">
        <w:rPr>
          <w:rFonts w:ascii="Book Antiqua" w:eastAsia="宋体" w:hAnsi="Book Antiqua" w:cs="宋体"/>
          <w:i/>
          <w:iCs/>
          <w:sz w:val="24"/>
          <w:szCs w:val="24"/>
        </w:rPr>
        <w:t>Ther</w:t>
      </w:r>
      <w:proofErr w:type="spellEnd"/>
      <w:r w:rsidRPr="00A63850">
        <w:rPr>
          <w:rFonts w:ascii="Book Antiqua" w:eastAsia="宋体" w:hAnsi="Book Antiqua" w:cs="宋体"/>
          <w:i/>
          <w:iCs/>
          <w:sz w:val="24"/>
          <w:szCs w:val="24"/>
        </w:rPr>
        <w:t xml:space="preserve"> Drug </w:t>
      </w:r>
      <w:proofErr w:type="spellStart"/>
      <w:r w:rsidRPr="00A63850">
        <w:rPr>
          <w:rFonts w:ascii="Book Antiqua" w:eastAsia="宋体" w:hAnsi="Book Antiqua" w:cs="宋体"/>
          <w:i/>
          <w:iCs/>
          <w:sz w:val="24"/>
          <w:szCs w:val="24"/>
        </w:rPr>
        <w:t>Monit</w:t>
      </w:r>
      <w:proofErr w:type="spellEnd"/>
      <w:r w:rsidRPr="00A63850">
        <w:rPr>
          <w:rFonts w:ascii="Book Antiqua" w:eastAsia="宋体" w:hAnsi="Book Antiqua" w:cs="宋体"/>
          <w:sz w:val="24"/>
          <w:szCs w:val="24"/>
        </w:rPr>
        <w:t> 2006; </w:t>
      </w:r>
      <w:r w:rsidRPr="00A63850">
        <w:rPr>
          <w:rFonts w:ascii="Book Antiqua" w:eastAsia="宋体" w:hAnsi="Book Antiqua" w:cs="宋体"/>
          <w:b/>
          <w:bCs/>
          <w:sz w:val="24"/>
          <w:szCs w:val="24"/>
        </w:rPr>
        <w:t>28</w:t>
      </w:r>
      <w:r w:rsidRPr="00A63850">
        <w:rPr>
          <w:rFonts w:ascii="Book Antiqua" w:eastAsia="宋体" w:hAnsi="Book Antiqua" w:cs="宋体"/>
          <w:sz w:val="24"/>
          <w:szCs w:val="24"/>
        </w:rPr>
        <w:t>: 169-174 [PMID: 16628126 DOI: 10.1097/01.ftd.0000189901.08684.4b]</w:t>
      </w:r>
    </w:p>
    <w:p w14:paraId="7BF314DE"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22 </w:t>
      </w:r>
      <w:proofErr w:type="spellStart"/>
      <w:r w:rsidRPr="00A63850">
        <w:rPr>
          <w:rFonts w:ascii="Book Antiqua" w:eastAsia="宋体" w:hAnsi="Book Antiqua" w:cs="宋体"/>
          <w:b/>
          <w:bCs/>
          <w:sz w:val="24"/>
          <w:szCs w:val="24"/>
        </w:rPr>
        <w:t>Buurman</w:t>
      </w:r>
      <w:proofErr w:type="spellEnd"/>
      <w:r w:rsidRPr="00A63850">
        <w:rPr>
          <w:rFonts w:ascii="Book Antiqua" w:eastAsia="宋体" w:hAnsi="Book Antiqua" w:cs="宋体"/>
          <w:b/>
          <w:bCs/>
          <w:sz w:val="24"/>
          <w:szCs w:val="24"/>
        </w:rPr>
        <w:t xml:space="preserve"> DJ</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Vande</w:t>
      </w:r>
      <w:proofErr w:type="spellEnd"/>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Casteele</w:t>
      </w:r>
      <w:proofErr w:type="spellEnd"/>
      <w:r w:rsidRPr="00A63850">
        <w:rPr>
          <w:rFonts w:ascii="Book Antiqua" w:eastAsia="宋体" w:hAnsi="Book Antiqua" w:cs="宋体"/>
          <w:sz w:val="24"/>
          <w:szCs w:val="24"/>
        </w:rPr>
        <w:t xml:space="preserve"> N, </w:t>
      </w:r>
      <w:proofErr w:type="spellStart"/>
      <w:r w:rsidRPr="00A63850">
        <w:rPr>
          <w:rFonts w:ascii="Book Antiqua" w:eastAsia="宋体" w:hAnsi="Book Antiqua" w:cs="宋体"/>
          <w:sz w:val="24"/>
          <w:szCs w:val="24"/>
        </w:rPr>
        <w:t>Sturkenboom</w:t>
      </w:r>
      <w:proofErr w:type="spellEnd"/>
      <w:r w:rsidRPr="00A63850">
        <w:rPr>
          <w:rFonts w:ascii="Book Antiqua" w:eastAsia="宋体" w:hAnsi="Book Antiqua" w:cs="宋体"/>
          <w:sz w:val="24"/>
          <w:szCs w:val="24"/>
        </w:rPr>
        <w:t xml:space="preserve"> MG, </w:t>
      </w:r>
      <w:proofErr w:type="spellStart"/>
      <w:r w:rsidRPr="00A63850">
        <w:rPr>
          <w:rFonts w:ascii="Book Antiqua" w:eastAsia="宋体" w:hAnsi="Book Antiqua" w:cs="宋体"/>
          <w:sz w:val="24"/>
          <w:szCs w:val="24"/>
        </w:rPr>
        <w:t>Kleibeuker</w:t>
      </w:r>
      <w:proofErr w:type="spellEnd"/>
      <w:r w:rsidRPr="00A63850">
        <w:rPr>
          <w:rFonts w:ascii="Book Antiqua" w:eastAsia="宋体" w:hAnsi="Book Antiqua" w:cs="宋体"/>
          <w:sz w:val="24"/>
          <w:szCs w:val="24"/>
        </w:rPr>
        <w:t xml:space="preserve"> JH, </w:t>
      </w:r>
      <w:proofErr w:type="spellStart"/>
      <w:r w:rsidRPr="00A63850">
        <w:rPr>
          <w:rFonts w:ascii="Book Antiqua" w:eastAsia="宋体" w:hAnsi="Book Antiqua" w:cs="宋体"/>
          <w:sz w:val="24"/>
          <w:szCs w:val="24"/>
        </w:rPr>
        <w:t>Vermeire</w:t>
      </w:r>
      <w:proofErr w:type="spellEnd"/>
      <w:r w:rsidRPr="00A63850">
        <w:rPr>
          <w:rFonts w:ascii="Book Antiqua" w:eastAsia="宋体" w:hAnsi="Book Antiqua" w:cs="宋体"/>
          <w:sz w:val="24"/>
          <w:szCs w:val="24"/>
        </w:rPr>
        <w:t xml:space="preserve"> S, van der </w:t>
      </w:r>
      <w:proofErr w:type="spellStart"/>
      <w:r w:rsidRPr="00A63850">
        <w:rPr>
          <w:rFonts w:ascii="Book Antiqua" w:eastAsia="宋体" w:hAnsi="Book Antiqua" w:cs="宋体"/>
          <w:sz w:val="24"/>
          <w:szCs w:val="24"/>
        </w:rPr>
        <w:t>Kleij</w:t>
      </w:r>
      <w:proofErr w:type="spellEnd"/>
      <w:r w:rsidRPr="00A63850">
        <w:rPr>
          <w:rFonts w:ascii="Book Antiqua" w:eastAsia="宋体" w:hAnsi="Book Antiqua" w:cs="宋体"/>
          <w:sz w:val="24"/>
          <w:szCs w:val="24"/>
        </w:rPr>
        <w:t xml:space="preserve"> D, </w:t>
      </w:r>
      <w:proofErr w:type="spellStart"/>
      <w:r w:rsidRPr="00A63850">
        <w:rPr>
          <w:rFonts w:ascii="Book Antiqua" w:eastAsia="宋体" w:hAnsi="Book Antiqua" w:cs="宋体"/>
          <w:sz w:val="24"/>
          <w:szCs w:val="24"/>
        </w:rPr>
        <w:t>Rispens</w:t>
      </w:r>
      <w:proofErr w:type="spellEnd"/>
      <w:r w:rsidRPr="00A63850">
        <w:rPr>
          <w:rFonts w:ascii="Book Antiqua" w:eastAsia="宋体" w:hAnsi="Book Antiqua" w:cs="宋体"/>
          <w:sz w:val="24"/>
          <w:szCs w:val="24"/>
        </w:rPr>
        <w:t xml:space="preserve"> T, Gils A, </w:t>
      </w:r>
      <w:proofErr w:type="spellStart"/>
      <w:r w:rsidRPr="00A63850">
        <w:rPr>
          <w:rFonts w:ascii="Book Antiqua" w:eastAsia="宋体" w:hAnsi="Book Antiqua" w:cs="宋体"/>
          <w:sz w:val="24"/>
          <w:szCs w:val="24"/>
        </w:rPr>
        <w:t>Dijkstra</w:t>
      </w:r>
      <w:proofErr w:type="spellEnd"/>
      <w:r w:rsidRPr="00A63850">
        <w:rPr>
          <w:rFonts w:ascii="Book Antiqua" w:eastAsia="宋体" w:hAnsi="Book Antiqua" w:cs="宋体"/>
          <w:sz w:val="24"/>
          <w:szCs w:val="24"/>
        </w:rPr>
        <w:t xml:space="preserve"> G. Letter: detection of infliximab levels and anti-infliximab antibodies--comparison of three different assays; authors' reply. </w:t>
      </w:r>
      <w:r w:rsidRPr="00A63850">
        <w:rPr>
          <w:rFonts w:ascii="Book Antiqua" w:eastAsia="宋体" w:hAnsi="Book Antiqua" w:cs="宋体"/>
          <w:i/>
          <w:iCs/>
          <w:sz w:val="24"/>
          <w:szCs w:val="24"/>
        </w:rPr>
        <w:t xml:space="preserve">Aliment </w:t>
      </w:r>
      <w:proofErr w:type="spellStart"/>
      <w:r w:rsidRPr="00A63850">
        <w:rPr>
          <w:rFonts w:ascii="Book Antiqua" w:eastAsia="宋体" w:hAnsi="Book Antiqua" w:cs="宋体"/>
          <w:i/>
          <w:iCs/>
          <w:sz w:val="24"/>
          <w:szCs w:val="24"/>
        </w:rPr>
        <w:t>Pharmacol</w:t>
      </w:r>
      <w:proofErr w:type="spellEnd"/>
      <w:r w:rsidRPr="00A63850">
        <w:rPr>
          <w:rFonts w:ascii="Book Antiqua" w:eastAsia="宋体" w:hAnsi="Book Antiqua" w:cs="宋体"/>
          <w:i/>
          <w:iCs/>
          <w:sz w:val="24"/>
          <w:szCs w:val="24"/>
        </w:rPr>
        <w:t xml:space="preserve"> </w:t>
      </w:r>
      <w:proofErr w:type="spellStart"/>
      <w:r w:rsidRPr="00A63850">
        <w:rPr>
          <w:rFonts w:ascii="Book Antiqua" w:eastAsia="宋体" w:hAnsi="Book Antiqua" w:cs="宋体"/>
          <w:i/>
          <w:iCs/>
          <w:sz w:val="24"/>
          <w:szCs w:val="24"/>
        </w:rPr>
        <w:t>Ther</w:t>
      </w:r>
      <w:proofErr w:type="spellEnd"/>
      <w:r w:rsidRPr="00A63850">
        <w:rPr>
          <w:rFonts w:ascii="Book Antiqua" w:eastAsia="宋体" w:hAnsi="Book Antiqua" w:cs="宋体"/>
          <w:sz w:val="24"/>
          <w:szCs w:val="24"/>
        </w:rPr>
        <w:t> 2013; </w:t>
      </w:r>
      <w:r w:rsidRPr="00A63850">
        <w:rPr>
          <w:rFonts w:ascii="Book Antiqua" w:eastAsia="宋体" w:hAnsi="Book Antiqua" w:cs="宋体"/>
          <w:b/>
          <w:bCs/>
          <w:sz w:val="24"/>
          <w:szCs w:val="24"/>
        </w:rPr>
        <w:t>37</w:t>
      </w:r>
      <w:r w:rsidRPr="00A63850">
        <w:rPr>
          <w:rFonts w:ascii="Book Antiqua" w:eastAsia="宋体" w:hAnsi="Book Antiqua" w:cs="宋体"/>
          <w:sz w:val="24"/>
          <w:szCs w:val="24"/>
        </w:rPr>
        <w:t>: 282 [PMID: 23252783 DOI: 10.1111/apt.12128]</w:t>
      </w:r>
    </w:p>
    <w:p w14:paraId="3774754C"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23 </w:t>
      </w:r>
      <w:proofErr w:type="spellStart"/>
      <w:r w:rsidRPr="00A63850">
        <w:rPr>
          <w:rFonts w:ascii="Book Antiqua" w:eastAsia="宋体" w:hAnsi="Book Antiqua" w:cs="宋体"/>
          <w:b/>
          <w:bCs/>
          <w:sz w:val="24"/>
          <w:szCs w:val="24"/>
        </w:rPr>
        <w:t>Imaeda</w:t>
      </w:r>
      <w:proofErr w:type="spellEnd"/>
      <w:r w:rsidRPr="00A63850">
        <w:rPr>
          <w:rFonts w:ascii="Book Antiqua" w:eastAsia="宋体" w:hAnsi="Book Antiqua" w:cs="宋体"/>
          <w:b/>
          <w:bCs/>
          <w:sz w:val="24"/>
          <w:szCs w:val="24"/>
        </w:rPr>
        <w:t xml:space="preserve"> H</w:t>
      </w:r>
      <w:r w:rsidRPr="00A63850">
        <w:rPr>
          <w:rFonts w:ascii="Book Antiqua" w:eastAsia="宋体" w:hAnsi="Book Antiqua" w:cs="宋体"/>
          <w:sz w:val="24"/>
          <w:szCs w:val="24"/>
        </w:rPr>
        <w:t xml:space="preserve">, Takahashi K, Fujimoto T, </w:t>
      </w:r>
      <w:proofErr w:type="spellStart"/>
      <w:r w:rsidRPr="00A63850">
        <w:rPr>
          <w:rFonts w:ascii="Book Antiqua" w:eastAsia="宋体" w:hAnsi="Book Antiqua" w:cs="宋体"/>
          <w:sz w:val="24"/>
          <w:szCs w:val="24"/>
        </w:rPr>
        <w:t>Bamba</w:t>
      </w:r>
      <w:proofErr w:type="spellEnd"/>
      <w:r w:rsidRPr="00A63850">
        <w:rPr>
          <w:rFonts w:ascii="Book Antiqua" w:eastAsia="宋体" w:hAnsi="Book Antiqua" w:cs="宋体"/>
          <w:sz w:val="24"/>
          <w:szCs w:val="24"/>
        </w:rPr>
        <w:t xml:space="preserve"> S, </w:t>
      </w:r>
      <w:proofErr w:type="spellStart"/>
      <w:r w:rsidRPr="00A63850">
        <w:rPr>
          <w:rFonts w:ascii="Book Antiqua" w:eastAsia="宋体" w:hAnsi="Book Antiqua" w:cs="宋体"/>
          <w:sz w:val="24"/>
          <w:szCs w:val="24"/>
        </w:rPr>
        <w:t>Tsujikawa</w:t>
      </w:r>
      <w:proofErr w:type="spellEnd"/>
      <w:r w:rsidRPr="00A63850">
        <w:rPr>
          <w:rFonts w:ascii="Book Antiqua" w:eastAsia="宋体" w:hAnsi="Book Antiqua" w:cs="宋体"/>
          <w:sz w:val="24"/>
          <w:szCs w:val="24"/>
        </w:rPr>
        <w:t xml:space="preserve"> T, Sasaki M, Fujiyama Y, </w:t>
      </w:r>
      <w:proofErr w:type="spellStart"/>
      <w:r w:rsidRPr="00A63850">
        <w:rPr>
          <w:rFonts w:ascii="Book Antiqua" w:eastAsia="宋体" w:hAnsi="Book Antiqua" w:cs="宋体"/>
          <w:sz w:val="24"/>
          <w:szCs w:val="24"/>
        </w:rPr>
        <w:t>Andoh</w:t>
      </w:r>
      <w:proofErr w:type="spellEnd"/>
      <w:r w:rsidRPr="00A63850">
        <w:rPr>
          <w:rFonts w:ascii="Book Antiqua" w:eastAsia="宋体" w:hAnsi="Book Antiqua" w:cs="宋体"/>
          <w:sz w:val="24"/>
          <w:szCs w:val="24"/>
        </w:rPr>
        <w:t xml:space="preserve"> A. Clinical utility of newly developed immunoassays for serum concentrations of </w:t>
      </w:r>
      <w:proofErr w:type="spellStart"/>
      <w:r w:rsidRPr="00A63850">
        <w:rPr>
          <w:rFonts w:ascii="Book Antiqua" w:eastAsia="宋体" w:hAnsi="Book Antiqua" w:cs="宋体"/>
          <w:sz w:val="24"/>
          <w:szCs w:val="24"/>
        </w:rPr>
        <w:t>adalimumab</w:t>
      </w:r>
      <w:proofErr w:type="spellEnd"/>
      <w:r w:rsidRPr="00A63850">
        <w:rPr>
          <w:rFonts w:ascii="Book Antiqua" w:eastAsia="宋体" w:hAnsi="Book Antiqua" w:cs="宋体"/>
          <w:sz w:val="24"/>
          <w:szCs w:val="24"/>
        </w:rPr>
        <w:t xml:space="preserve"> and anti-</w:t>
      </w:r>
      <w:proofErr w:type="spellStart"/>
      <w:r w:rsidRPr="00A63850">
        <w:rPr>
          <w:rFonts w:ascii="Book Antiqua" w:eastAsia="宋体" w:hAnsi="Book Antiqua" w:cs="宋体"/>
          <w:sz w:val="24"/>
          <w:szCs w:val="24"/>
        </w:rPr>
        <w:t>adalimumab</w:t>
      </w:r>
      <w:proofErr w:type="spellEnd"/>
      <w:r w:rsidRPr="00A63850">
        <w:rPr>
          <w:rFonts w:ascii="Book Antiqua" w:eastAsia="宋体" w:hAnsi="Book Antiqua" w:cs="宋体"/>
          <w:sz w:val="24"/>
          <w:szCs w:val="24"/>
        </w:rPr>
        <w:t xml:space="preserve"> antibodies in patients with </w:t>
      </w:r>
      <w:proofErr w:type="spellStart"/>
      <w:r w:rsidRPr="00A63850">
        <w:rPr>
          <w:rFonts w:ascii="Book Antiqua" w:eastAsia="宋体" w:hAnsi="Book Antiqua" w:cs="宋体"/>
          <w:sz w:val="24"/>
          <w:szCs w:val="24"/>
        </w:rPr>
        <w:t>Crohn's</w:t>
      </w:r>
      <w:proofErr w:type="spellEnd"/>
      <w:r w:rsidRPr="00A63850">
        <w:rPr>
          <w:rFonts w:ascii="Book Antiqua" w:eastAsia="宋体" w:hAnsi="Book Antiqua" w:cs="宋体"/>
          <w:sz w:val="24"/>
          <w:szCs w:val="24"/>
        </w:rPr>
        <w:t xml:space="preserve"> disease. </w:t>
      </w:r>
      <w:r w:rsidRPr="00A63850">
        <w:rPr>
          <w:rFonts w:ascii="Book Antiqua" w:eastAsia="宋体" w:hAnsi="Book Antiqua" w:cs="宋体"/>
          <w:i/>
          <w:iCs/>
          <w:sz w:val="24"/>
          <w:szCs w:val="24"/>
        </w:rPr>
        <w:t xml:space="preserve">J </w:t>
      </w:r>
      <w:proofErr w:type="spellStart"/>
      <w:r w:rsidRPr="00A63850">
        <w:rPr>
          <w:rFonts w:ascii="Book Antiqua" w:eastAsia="宋体" w:hAnsi="Book Antiqua" w:cs="宋体"/>
          <w:i/>
          <w:iCs/>
          <w:sz w:val="24"/>
          <w:szCs w:val="24"/>
        </w:rPr>
        <w:t>Gastroenterol</w:t>
      </w:r>
      <w:proofErr w:type="spellEnd"/>
      <w:r w:rsidRPr="00A63850">
        <w:rPr>
          <w:rFonts w:ascii="Book Antiqua" w:eastAsia="宋体" w:hAnsi="Book Antiqua" w:cs="宋体"/>
          <w:sz w:val="24"/>
          <w:szCs w:val="24"/>
        </w:rPr>
        <w:t> 2014; </w:t>
      </w:r>
      <w:r w:rsidRPr="00A63850">
        <w:rPr>
          <w:rFonts w:ascii="Book Antiqua" w:eastAsia="宋体" w:hAnsi="Book Antiqua" w:cs="宋体"/>
          <w:b/>
          <w:bCs/>
          <w:sz w:val="24"/>
          <w:szCs w:val="24"/>
        </w:rPr>
        <w:t>49</w:t>
      </w:r>
      <w:r w:rsidRPr="00A63850">
        <w:rPr>
          <w:rFonts w:ascii="Book Antiqua" w:eastAsia="宋体" w:hAnsi="Book Antiqua" w:cs="宋体"/>
          <w:sz w:val="24"/>
          <w:szCs w:val="24"/>
        </w:rPr>
        <w:t>: 100-109 [PMID: 23575576 DOI: 10.1007/s00535-013-0803-4]</w:t>
      </w:r>
    </w:p>
    <w:p w14:paraId="09C4A6C6"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24 </w:t>
      </w:r>
      <w:proofErr w:type="spellStart"/>
      <w:r w:rsidRPr="00A63850">
        <w:rPr>
          <w:rFonts w:ascii="Book Antiqua" w:eastAsia="宋体" w:hAnsi="Book Antiqua" w:cs="宋体"/>
          <w:b/>
          <w:bCs/>
          <w:sz w:val="24"/>
          <w:szCs w:val="24"/>
        </w:rPr>
        <w:t>Vande</w:t>
      </w:r>
      <w:proofErr w:type="spellEnd"/>
      <w:r w:rsidRPr="00A63850">
        <w:rPr>
          <w:rFonts w:ascii="Book Antiqua" w:eastAsia="宋体" w:hAnsi="Book Antiqua" w:cs="宋体"/>
          <w:b/>
          <w:bCs/>
          <w:sz w:val="24"/>
          <w:szCs w:val="24"/>
        </w:rPr>
        <w:t xml:space="preserve"> </w:t>
      </w:r>
      <w:proofErr w:type="spellStart"/>
      <w:r w:rsidRPr="00A63850">
        <w:rPr>
          <w:rFonts w:ascii="Book Antiqua" w:eastAsia="宋体" w:hAnsi="Book Antiqua" w:cs="宋体"/>
          <w:b/>
          <w:bCs/>
          <w:sz w:val="24"/>
          <w:szCs w:val="24"/>
        </w:rPr>
        <w:t>Casteele</w:t>
      </w:r>
      <w:proofErr w:type="spellEnd"/>
      <w:r w:rsidRPr="00A63850">
        <w:rPr>
          <w:rFonts w:ascii="Book Antiqua" w:eastAsia="宋体" w:hAnsi="Book Antiqua" w:cs="宋体"/>
          <w:b/>
          <w:bCs/>
          <w:sz w:val="24"/>
          <w:szCs w:val="24"/>
        </w:rPr>
        <w:t xml:space="preserve"> N</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Buurman</w:t>
      </w:r>
      <w:proofErr w:type="spellEnd"/>
      <w:r w:rsidRPr="00A63850">
        <w:rPr>
          <w:rFonts w:ascii="Book Antiqua" w:eastAsia="宋体" w:hAnsi="Book Antiqua" w:cs="宋体"/>
          <w:sz w:val="24"/>
          <w:szCs w:val="24"/>
        </w:rPr>
        <w:t xml:space="preserve"> DJ, </w:t>
      </w:r>
      <w:proofErr w:type="spellStart"/>
      <w:r w:rsidRPr="00A63850">
        <w:rPr>
          <w:rFonts w:ascii="Book Antiqua" w:eastAsia="宋体" w:hAnsi="Book Antiqua" w:cs="宋体"/>
          <w:sz w:val="24"/>
          <w:szCs w:val="24"/>
        </w:rPr>
        <w:t>Sturkenboom</w:t>
      </w:r>
      <w:proofErr w:type="spellEnd"/>
      <w:r w:rsidRPr="00A63850">
        <w:rPr>
          <w:rFonts w:ascii="Book Antiqua" w:eastAsia="宋体" w:hAnsi="Book Antiqua" w:cs="宋体"/>
          <w:sz w:val="24"/>
          <w:szCs w:val="24"/>
        </w:rPr>
        <w:t xml:space="preserve"> MG, </w:t>
      </w:r>
      <w:proofErr w:type="spellStart"/>
      <w:r w:rsidRPr="00A63850">
        <w:rPr>
          <w:rFonts w:ascii="Book Antiqua" w:eastAsia="宋体" w:hAnsi="Book Antiqua" w:cs="宋体"/>
          <w:sz w:val="24"/>
          <w:szCs w:val="24"/>
        </w:rPr>
        <w:t>Kleibeuker</w:t>
      </w:r>
      <w:proofErr w:type="spellEnd"/>
      <w:r w:rsidRPr="00A63850">
        <w:rPr>
          <w:rFonts w:ascii="Book Antiqua" w:eastAsia="宋体" w:hAnsi="Book Antiqua" w:cs="宋体"/>
          <w:sz w:val="24"/>
          <w:szCs w:val="24"/>
        </w:rPr>
        <w:t xml:space="preserve"> JH, </w:t>
      </w:r>
      <w:proofErr w:type="spellStart"/>
      <w:r w:rsidRPr="00A63850">
        <w:rPr>
          <w:rFonts w:ascii="Book Antiqua" w:eastAsia="宋体" w:hAnsi="Book Antiqua" w:cs="宋体"/>
          <w:sz w:val="24"/>
          <w:szCs w:val="24"/>
        </w:rPr>
        <w:t>Vermeire</w:t>
      </w:r>
      <w:proofErr w:type="spellEnd"/>
      <w:r w:rsidRPr="00A63850">
        <w:rPr>
          <w:rFonts w:ascii="Book Antiqua" w:eastAsia="宋体" w:hAnsi="Book Antiqua" w:cs="宋体"/>
          <w:sz w:val="24"/>
          <w:szCs w:val="24"/>
        </w:rPr>
        <w:t xml:space="preserve"> S, </w:t>
      </w:r>
      <w:proofErr w:type="spellStart"/>
      <w:r w:rsidRPr="00A63850">
        <w:rPr>
          <w:rFonts w:ascii="Book Antiqua" w:eastAsia="宋体" w:hAnsi="Book Antiqua" w:cs="宋体"/>
          <w:sz w:val="24"/>
          <w:szCs w:val="24"/>
        </w:rPr>
        <w:t>Rispens</w:t>
      </w:r>
      <w:proofErr w:type="spellEnd"/>
      <w:r w:rsidRPr="00A63850">
        <w:rPr>
          <w:rFonts w:ascii="Book Antiqua" w:eastAsia="宋体" w:hAnsi="Book Antiqua" w:cs="宋体"/>
          <w:sz w:val="24"/>
          <w:szCs w:val="24"/>
        </w:rPr>
        <w:t xml:space="preserve"> T, van der </w:t>
      </w:r>
      <w:proofErr w:type="spellStart"/>
      <w:r w:rsidRPr="00A63850">
        <w:rPr>
          <w:rFonts w:ascii="Book Antiqua" w:eastAsia="宋体" w:hAnsi="Book Antiqua" w:cs="宋体"/>
          <w:sz w:val="24"/>
          <w:szCs w:val="24"/>
        </w:rPr>
        <w:t>Kleij</w:t>
      </w:r>
      <w:proofErr w:type="spellEnd"/>
      <w:r w:rsidRPr="00A63850">
        <w:rPr>
          <w:rFonts w:ascii="Book Antiqua" w:eastAsia="宋体" w:hAnsi="Book Antiqua" w:cs="宋体"/>
          <w:sz w:val="24"/>
          <w:szCs w:val="24"/>
        </w:rPr>
        <w:t xml:space="preserve"> D, Gils A, </w:t>
      </w:r>
      <w:proofErr w:type="spellStart"/>
      <w:r w:rsidRPr="00A63850">
        <w:rPr>
          <w:rFonts w:ascii="Book Antiqua" w:eastAsia="宋体" w:hAnsi="Book Antiqua" w:cs="宋体"/>
          <w:sz w:val="24"/>
          <w:szCs w:val="24"/>
        </w:rPr>
        <w:t>Dijkstra</w:t>
      </w:r>
      <w:proofErr w:type="spellEnd"/>
      <w:r w:rsidRPr="00A63850">
        <w:rPr>
          <w:rFonts w:ascii="Book Antiqua" w:eastAsia="宋体" w:hAnsi="Book Antiqua" w:cs="宋体"/>
          <w:sz w:val="24"/>
          <w:szCs w:val="24"/>
        </w:rPr>
        <w:t xml:space="preserve"> G. Detection of infliximab levels and anti-infliximab antibodies: a comparison of three different assays. </w:t>
      </w:r>
      <w:r w:rsidRPr="00A63850">
        <w:rPr>
          <w:rFonts w:ascii="Book Antiqua" w:eastAsia="宋体" w:hAnsi="Book Antiqua" w:cs="宋体"/>
          <w:i/>
          <w:iCs/>
          <w:sz w:val="24"/>
          <w:szCs w:val="24"/>
        </w:rPr>
        <w:t xml:space="preserve">Aliment </w:t>
      </w:r>
      <w:proofErr w:type="spellStart"/>
      <w:r w:rsidRPr="00A63850">
        <w:rPr>
          <w:rFonts w:ascii="Book Antiqua" w:eastAsia="宋体" w:hAnsi="Book Antiqua" w:cs="宋体"/>
          <w:i/>
          <w:iCs/>
          <w:sz w:val="24"/>
          <w:szCs w:val="24"/>
        </w:rPr>
        <w:t>Pharmacol</w:t>
      </w:r>
      <w:proofErr w:type="spellEnd"/>
      <w:r w:rsidRPr="00A63850">
        <w:rPr>
          <w:rFonts w:ascii="Book Antiqua" w:eastAsia="宋体" w:hAnsi="Book Antiqua" w:cs="宋体"/>
          <w:i/>
          <w:iCs/>
          <w:sz w:val="24"/>
          <w:szCs w:val="24"/>
        </w:rPr>
        <w:t xml:space="preserve"> </w:t>
      </w:r>
      <w:proofErr w:type="spellStart"/>
      <w:r w:rsidRPr="00A63850">
        <w:rPr>
          <w:rFonts w:ascii="Book Antiqua" w:eastAsia="宋体" w:hAnsi="Book Antiqua" w:cs="宋体"/>
          <w:i/>
          <w:iCs/>
          <w:sz w:val="24"/>
          <w:szCs w:val="24"/>
        </w:rPr>
        <w:t>Ther</w:t>
      </w:r>
      <w:proofErr w:type="spellEnd"/>
      <w:r w:rsidRPr="00A63850">
        <w:rPr>
          <w:rFonts w:ascii="Book Antiqua" w:eastAsia="宋体" w:hAnsi="Book Antiqua" w:cs="宋体"/>
          <w:sz w:val="24"/>
          <w:szCs w:val="24"/>
        </w:rPr>
        <w:t> 2012; </w:t>
      </w:r>
      <w:r w:rsidRPr="00A63850">
        <w:rPr>
          <w:rFonts w:ascii="Book Antiqua" w:eastAsia="宋体" w:hAnsi="Book Antiqua" w:cs="宋体"/>
          <w:b/>
          <w:bCs/>
          <w:sz w:val="24"/>
          <w:szCs w:val="24"/>
        </w:rPr>
        <w:t>36</w:t>
      </w:r>
      <w:r w:rsidRPr="00A63850">
        <w:rPr>
          <w:rFonts w:ascii="Book Antiqua" w:eastAsia="宋体" w:hAnsi="Book Antiqua" w:cs="宋体"/>
          <w:sz w:val="24"/>
          <w:szCs w:val="24"/>
        </w:rPr>
        <w:t>: 765-771 [PMID: 22928581]</w:t>
      </w:r>
    </w:p>
    <w:p w14:paraId="583EBC51"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25 </w:t>
      </w:r>
      <w:r w:rsidRPr="00A63850">
        <w:rPr>
          <w:rFonts w:ascii="Book Antiqua" w:eastAsia="宋体" w:hAnsi="Book Antiqua" w:cs="宋体"/>
          <w:b/>
          <w:bCs/>
          <w:sz w:val="24"/>
          <w:szCs w:val="24"/>
        </w:rPr>
        <w:t>Gils A</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Vande</w:t>
      </w:r>
      <w:proofErr w:type="spellEnd"/>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Casteele</w:t>
      </w:r>
      <w:proofErr w:type="spellEnd"/>
      <w:r w:rsidRPr="00A63850">
        <w:rPr>
          <w:rFonts w:ascii="Book Antiqua" w:eastAsia="宋体" w:hAnsi="Book Antiqua" w:cs="宋体"/>
          <w:sz w:val="24"/>
          <w:szCs w:val="24"/>
        </w:rPr>
        <w:t xml:space="preserve"> N, </w:t>
      </w:r>
      <w:proofErr w:type="spellStart"/>
      <w:r w:rsidRPr="00A63850">
        <w:rPr>
          <w:rFonts w:ascii="Book Antiqua" w:eastAsia="宋体" w:hAnsi="Book Antiqua" w:cs="宋体"/>
          <w:sz w:val="24"/>
          <w:szCs w:val="24"/>
        </w:rPr>
        <w:t>Poppe</w:t>
      </w:r>
      <w:proofErr w:type="spellEnd"/>
      <w:r w:rsidRPr="00A63850">
        <w:rPr>
          <w:rFonts w:ascii="Book Antiqua" w:eastAsia="宋体" w:hAnsi="Book Antiqua" w:cs="宋体"/>
          <w:sz w:val="24"/>
          <w:szCs w:val="24"/>
        </w:rPr>
        <w:t xml:space="preserve"> R, Van de </w:t>
      </w:r>
      <w:proofErr w:type="spellStart"/>
      <w:r w:rsidRPr="00A63850">
        <w:rPr>
          <w:rFonts w:ascii="Book Antiqua" w:eastAsia="宋体" w:hAnsi="Book Antiqua" w:cs="宋体"/>
          <w:sz w:val="24"/>
          <w:szCs w:val="24"/>
        </w:rPr>
        <w:t>Wouwer</w:t>
      </w:r>
      <w:proofErr w:type="spellEnd"/>
      <w:r w:rsidRPr="00A63850">
        <w:rPr>
          <w:rFonts w:ascii="Book Antiqua" w:eastAsia="宋体" w:hAnsi="Book Antiqua" w:cs="宋体"/>
          <w:sz w:val="24"/>
          <w:szCs w:val="24"/>
        </w:rPr>
        <w:t xml:space="preserve"> M, </w:t>
      </w:r>
      <w:proofErr w:type="spellStart"/>
      <w:r w:rsidRPr="00A63850">
        <w:rPr>
          <w:rFonts w:ascii="Book Antiqua" w:eastAsia="宋体" w:hAnsi="Book Antiqua" w:cs="宋体"/>
          <w:sz w:val="24"/>
          <w:szCs w:val="24"/>
        </w:rPr>
        <w:t>Compernolle</w:t>
      </w:r>
      <w:proofErr w:type="spellEnd"/>
      <w:r w:rsidRPr="00A63850">
        <w:rPr>
          <w:rFonts w:ascii="Book Antiqua" w:eastAsia="宋体" w:hAnsi="Book Antiqua" w:cs="宋体"/>
          <w:sz w:val="24"/>
          <w:szCs w:val="24"/>
        </w:rPr>
        <w:t xml:space="preserve"> G, </w:t>
      </w:r>
      <w:proofErr w:type="spellStart"/>
      <w:r w:rsidRPr="00A63850">
        <w:rPr>
          <w:rFonts w:ascii="Book Antiqua" w:eastAsia="宋体" w:hAnsi="Book Antiqua" w:cs="宋体"/>
          <w:sz w:val="24"/>
          <w:szCs w:val="24"/>
        </w:rPr>
        <w:t>Peeters</w:t>
      </w:r>
      <w:proofErr w:type="spellEnd"/>
      <w:r w:rsidRPr="00A63850">
        <w:rPr>
          <w:rFonts w:ascii="Book Antiqua" w:eastAsia="宋体" w:hAnsi="Book Antiqua" w:cs="宋体"/>
          <w:sz w:val="24"/>
          <w:szCs w:val="24"/>
        </w:rPr>
        <w:t xml:space="preserve"> M, </w:t>
      </w:r>
      <w:proofErr w:type="spellStart"/>
      <w:r w:rsidRPr="00A63850">
        <w:rPr>
          <w:rFonts w:ascii="Book Antiqua" w:eastAsia="宋体" w:hAnsi="Book Antiqua" w:cs="宋体"/>
          <w:sz w:val="24"/>
          <w:szCs w:val="24"/>
        </w:rPr>
        <w:t>Brouwers</w:t>
      </w:r>
      <w:proofErr w:type="spellEnd"/>
      <w:r w:rsidRPr="00A63850">
        <w:rPr>
          <w:rFonts w:ascii="Book Antiqua" w:eastAsia="宋体" w:hAnsi="Book Antiqua" w:cs="宋体"/>
          <w:sz w:val="24"/>
          <w:szCs w:val="24"/>
        </w:rPr>
        <w:t xml:space="preserve"> E, </w:t>
      </w:r>
      <w:proofErr w:type="spellStart"/>
      <w:r w:rsidRPr="00A63850">
        <w:rPr>
          <w:rFonts w:ascii="Book Antiqua" w:eastAsia="宋体" w:hAnsi="Book Antiqua" w:cs="宋体"/>
          <w:sz w:val="24"/>
          <w:szCs w:val="24"/>
        </w:rPr>
        <w:t>Vermeire</w:t>
      </w:r>
      <w:proofErr w:type="spellEnd"/>
      <w:r w:rsidRPr="00A63850">
        <w:rPr>
          <w:rFonts w:ascii="Book Antiqua" w:eastAsia="宋体" w:hAnsi="Book Antiqua" w:cs="宋体"/>
          <w:sz w:val="24"/>
          <w:szCs w:val="24"/>
        </w:rPr>
        <w:t xml:space="preserve"> S, </w:t>
      </w:r>
      <w:proofErr w:type="spellStart"/>
      <w:r w:rsidRPr="00A63850">
        <w:rPr>
          <w:rFonts w:ascii="Book Antiqua" w:eastAsia="宋体" w:hAnsi="Book Antiqua" w:cs="宋体"/>
          <w:sz w:val="24"/>
          <w:szCs w:val="24"/>
        </w:rPr>
        <w:t>Geukens</w:t>
      </w:r>
      <w:proofErr w:type="spellEnd"/>
      <w:r w:rsidRPr="00A63850">
        <w:rPr>
          <w:rFonts w:ascii="Book Antiqua" w:eastAsia="宋体" w:hAnsi="Book Antiqua" w:cs="宋体"/>
          <w:sz w:val="24"/>
          <w:szCs w:val="24"/>
        </w:rPr>
        <w:t xml:space="preserve"> N, </w:t>
      </w:r>
      <w:proofErr w:type="spellStart"/>
      <w:r w:rsidRPr="00A63850">
        <w:rPr>
          <w:rFonts w:ascii="Book Antiqua" w:eastAsia="宋体" w:hAnsi="Book Antiqua" w:cs="宋体"/>
          <w:sz w:val="24"/>
          <w:szCs w:val="24"/>
        </w:rPr>
        <w:t>Declerck</w:t>
      </w:r>
      <w:proofErr w:type="spellEnd"/>
      <w:r w:rsidRPr="00A63850">
        <w:rPr>
          <w:rFonts w:ascii="Book Antiqua" w:eastAsia="宋体" w:hAnsi="Book Antiqua" w:cs="宋体"/>
          <w:sz w:val="24"/>
          <w:szCs w:val="24"/>
        </w:rPr>
        <w:t xml:space="preserve"> PJ. Development of a universal anti-</w:t>
      </w:r>
      <w:proofErr w:type="spellStart"/>
      <w:r w:rsidRPr="00A63850">
        <w:rPr>
          <w:rFonts w:ascii="Book Antiqua" w:eastAsia="宋体" w:hAnsi="Book Antiqua" w:cs="宋体"/>
          <w:sz w:val="24"/>
          <w:szCs w:val="24"/>
        </w:rPr>
        <w:t>adalimumab</w:t>
      </w:r>
      <w:proofErr w:type="spellEnd"/>
      <w:r w:rsidRPr="00A63850">
        <w:rPr>
          <w:rFonts w:ascii="Book Antiqua" w:eastAsia="宋体" w:hAnsi="Book Antiqua" w:cs="宋体"/>
          <w:sz w:val="24"/>
          <w:szCs w:val="24"/>
        </w:rPr>
        <w:t xml:space="preserve"> antibody standard for </w:t>
      </w:r>
      <w:proofErr w:type="spellStart"/>
      <w:r w:rsidRPr="00A63850">
        <w:rPr>
          <w:rFonts w:ascii="Book Antiqua" w:eastAsia="宋体" w:hAnsi="Book Antiqua" w:cs="宋体"/>
          <w:sz w:val="24"/>
          <w:szCs w:val="24"/>
        </w:rPr>
        <w:t>interlaboratory</w:t>
      </w:r>
      <w:proofErr w:type="spellEnd"/>
      <w:r w:rsidRPr="00A63850">
        <w:rPr>
          <w:rFonts w:ascii="Book Antiqua" w:eastAsia="宋体" w:hAnsi="Book Antiqua" w:cs="宋体"/>
          <w:sz w:val="24"/>
          <w:szCs w:val="24"/>
        </w:rPr>
        <w:t xml:space="preserve"> harmonization. </w:t>
      </w:r>
      <w:proofErr w:type="spellStart"/>
      <w:r w:rsidRPr="00A63850">
        <w:rPr>
          <w:rFonts w:ascii="Book Antiqua" w:eastAsia="宋体" w:hAnsi="Book Antiqua" w:cs="宋体"/>
          <w:i/>
          <w:iCs/>
          <w:sz w:val="24"/>
          <w:szCs w:val="24"/>
        </w:rPr>
        <w:t>Ther</w:t>
      </w:r>
      <w:proofErr w:type="spellEnd"/>
      <w:r w:rsidRPr="00A63850">
        <w:rPr>
          <w:rFonts w:ascii="Book Antiqua" w:eastAsia="宋体" w:hAnsi="Book Antiqua" w:cs="宋体"/>
          <w:i/>
          <w:iCs/>
          <w:sz w:val="24"/>
          <w:szCs w:val="24"/>
        </w:rPr>
        <w:t xml:space="preserve"> Drug </w:t>
      </w:r>
      <w:proofErr w:type="spellStart"/>
      <w:r w:rsidRPr="00A63850">
        <w:rPr>
          <w:rFonts w:ascii="Book Antiqua" w:eastAsia="宋体" w:hAnsi="Book Antiqua" w:cs="宋体"/>
          <w:i/>
          <w:iCs/>
          <w:sz w:val="24"/>
          <w:szCs w:val="24"/>
        </w:rPr>
        <w:t>Monit</w:t>
      </w:r>
      <w:proofErr w:type="spellEnd"/>
      <w:r w:rsidRPr="00A63850">
        <w:rPr>
          <w:rFonts w:ascii="Book Antiqua" w:eastAsia="宋体" w:hAnsi="Book Antiqua" w:cs="宋体"/>
          <w:sz w:val="24"/>
          <w:szCs w:val="24"/>
        </w:rPr>
        <w:t> 2014; </w:t>
      </w:r>
      <w:r w:rsidRPr="00A63850">
        <w:rPr>
          <w:rFonts w:ascii="Book Antiqua" w:eastAsia="宋体" w:hAnsi="Book Antiqua" w:cs="宋体"/>
          <w:b/>
          <w:bCs/>
          <w:sz w:val="24"/>
          <w:szCs w:val="24"/>
        </w:rPr>
        <w:t>36</w:t>
      </w:r>
      <w:r w:rsidRPr="00A63850">
        <w:rPr>
          <w:rFonts w:ascii="Book Antiqua" w:eastAsia="宋体" w:hAnsi="Book Antiqua" w:cs="宋体"/>
          <w:sz w:val="24"/>
          <w:szCs w:val="24"/>
        </w:rPr>
        <w:t>: 669-673 [PMID: 24906181 DOI: 10.1097/FTD.0000000000000074]</w:t>
      </w:r>
    </w:p>
    <w:p w14:paraId="79CB46B7"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26 </w:t>
      </w:r>
      <w:r w:rsidRPr="00A63850">
        <w:rPr>
          <w:rFonts w:ascii="Book Antiqua" w:eastAsia="宋体" w:hAnsi="Book Antiqua" w:cs="宋体"/>
          <w:b/>
          <w:bCs/>
          <w:sz w:val="24"/>
          <w:szCs w:val="24"/>
        </w:rPr>
        <w:t>Lu J</w:t>
      </w:r>
      <w:r w:rsidRPr="00A63850">
        <w:rPr>
          <w:rFonts w:ascii="Book Antiqua" w:eastAsia="宋体" w:hAnsi="Book Antiqua" w:cs="宋体"/>
          <w:sz w:val="24"/>
          <w:szCs w:val="24"/>
        </w:rPr>
        <w:t xml:space="preserve">, Van </w:t>
      </w:r>
      <w:proofErr w:type="spellStart"/>
      <w:r w:rsidRPr="00A63850">
        <w:rPr>
          <w:rFonts w:ascii="Book Antiqua" w:eastAsia="宋体" w:hAnsi="Book Antiqua" w:cs="宋体"/>
          <w:sz w:val="24"/>
          <w:szCs w:val="24"/>
        </w:rPr>
        <w:t>Stappen</w:t>
      </w:r>
      <w:proofErr w:type="spellEnd"/>
      <w:r w:rsidRPr="00A63850">
        <w:rPr>
          <w:rFonts w:ascii="Book Antiqua" w:eastAsia="宋体" w:hAnsi="Book Antiqua" w:cs="宋体"/>
          <w:sz w:val="24"/>
          <w:szCs w:val="24"/>
        </w:rPr>
        <w:t xml:space="preserve"> T, </w:t>
      </w:r>
      <w:proofErr w:type="spellStart"/>
      <w:r w:rsidRPr="00A63850">
        <w:rPr>
          <w:rFonts w:ascii="Book Antiqua" w:eastAsia="宋体" w:hAnsi="Book Antiqua" w:cs="宋体"/>
          <w:sz w:val="24"/>
          <w:szCs w:val="24"/>
        </w:rPr>
        <w:t>Spasic</w:t>
      </w:r>
      <w:proofErr w:type="spellEnd"/>
      <w:r w:rsidRPr="00A63850">
        <w:rPr>
          <w:rFonts w:ascii="Book Antiqua" w:eastAsia="宋体" w:hAnsi="Book Antiqua" w:cs="宋体"/>
          <w:sz w:val="24"/>
          <w:szCs w:val="24"/>
        </w:rPr>
        <w:t xml:space="preserve"> D, </w:t>
      </w:r>
      <w:proofErr w:type="spellStart"/>
      <w:r w:rsidRPr="00A63850">
        <w:rPr>
          <w:rFonts w:ascii="Book Antiqua" w:eastAsia="宋体" w:hAnsi="Book Antiqua" w:cs="宋体"/>
          <w:sz w:val="24"/>
          <w:szCs w:val="24"/>
        </w:rPr>
        <w:t>Delport</w:t>
      </w:r>
      <w:proofErr w:type="spellEnd"/>
      <w:r w:rsidRPr="00A63850">
        <w:rPr>
          <w:rFonts w:ascii="Book Antiqua" w:eastAsia="宋体" w:hAnsi="Book Antiqua" w:cs="宋体"/>
          <w:sz w:val="24"/>
          <w:szCs w:val="24"/>
        </w:rPr>
        <w:t xml:space="preserve"> F, </w:t>
      </w:r>
      <w:proofErr w:type="spellStart"/>
      <w:r w:rsidRPr="00A63850">
        <w:rPr>
          <w:rFonts w:ascii="Book Antiqua" w:eastAsia="宋体" w:hAnsi="Book Antiqua" w:cs="宋体"/>
          <w:sz w:val="24"/>
          <w:szCs w:val="24"/>
        </w:rPr>
        <w:t>Vermeire</w:t>
      </w:r>
      <w:proofErr w:type="spellEnd"/>
      <w:r w:rsidRPr="00A63850">
        <w:rPr>
          <w:rFonts w:ascii="Book Antiqua" w:eastAsia="宋体" w:hAnsi="Book Antiqua" w:cs="宋体"/>
          <w:sz w:val="24"/>
          <w:szCs w:val="24"/>
        </w:rPr>
        <w:t xml:space="preserve"> S, Gils A, </w:t>
      </w:r>
      <w:proofErr w:type="spellStart"/>
      <w:r w:rsidRPr="00A63850">
        <w:rPr>
          <w:rFonts w:ascii="Book Antiqua" w:eastAsia="宋体" w:hAnsi="Book Antiqua" w:cs="宋体"/>
          <w:sz w:val="24"/>
          <w:szCs w:val="24"/>
        </w:rPr>
        <w:t>Lammertyn</w:t>
      </w:r>
      <w:proofErr w:type="spellEnd"/>
      <w:r w:rsidRPr="00A63850">
        <w:rPr>
          <w:rFonts w:ascii="Book Antiqua" w:eastAsia="宋体" w:hAnsi="Book Antiqua" w:cs="宋体"/>
          <w:sz w:val="24"/>
          <w:szCs w:val="24"/>
        </w:rPr>
        <w:t xml:space="preserve"> J. </w:t>
      </w:r>
      <w:proofErr w:type="spellStart"/>
      <w:r w:rsidRPr="00A63850">
        <w:rPr>
          <w:rFonts w:ascii="Book Antiqua" w:eastAsia="宋体" w:hAnsi="Book Antiqua" w:cs="宋体"/>
          <w:sz w:val="24"/>
          <w:szCs w:val="24"/>
        </w:rPr>
        <w:t>Fiber</w:t>
      </w:r>
      <w:proofErr w:type="spellEnd"/>
      <w:r w:rsidRPr="00A63850">
        <w:rPr>
          <w:rFonts w:ascii="Book Antiqua" w:eastAsia="宋体" w:hAnsi="Book Antiqua" w:cs="宋体"/>
          <w:sz w:val="24"/>
          <w:szCs w:val="24"/>
        </w:rPr>
        <w:t xml:space="preserve"> optic-SPR platform for fast and sensitive infliximab detection in serum of inflammatory bowel disease patients. </w:t>
      </w:r>
      <w:proofErr w:type="spellStart"/>
      <w:r w:rsidRPr="00A63850">
        <w:rPr>
          <w:rFonts w:ascii="Book Antiqua" w:eastAsia="宋体" w:hAnsi="Book Antiqua" w:cs="宋体"/>
          <w:i/>
          <w:iCs/>
          <w:sz w:val="24"/>
          <w:szCs w:val="24"/>
        </w:rPr>
        <w:t>Biosens</w:t>
      </w:r>
      <w:proofErr w:type="spellEnd"/>
      <w:r w:rsidRPr="00A63850">
        <w:rPr>
          <w:rFonts w:ascii="Book Antiqua" w:eastAsia="宋体" w:hAnsi="Book Antiqua" w:cs="宋体"/>
          <w:i/>
          <w:iCs/>
          <w:sz w:val="24"/>
          <w:szCs w:val="24"/>
        </w:rPr>
        <w:t xml:space="preserve"> </w:t>
      </w:r>
      <w:proofErr w:type="spellStart"/>
      <w:r w:rsidRPr="00A63850">
        <w:rPr>
          <w:rFonts w:ascii="Book Antiqua" w:eastAsia="宋体" w:hAnsi="Book Antiqua" w:cs="宋体"/>
          <w:i/>
          <w:iCs/>
          <w:sz w:val="24"/>
          <w:szCs w:val="24"/>
        </w:rPr>
        <w:t>Bioelectron</w:t>
      </w:r>
      <w:proofErr w:type="spellEnd"/>
      <w:r w:rsidRPr="00A63850">
        <w:rPr>
          <w:rFonts w:ascii="Book Antiqua" w:eastAsia="宋体" w:hAnsi="Book Antiqua" w:cs="宋体"/>
          <w:sz w:val="24"/>
          <w:szCs w:val="24"/>
        </w:rPr>
        <w:t> 2016; </w:t>
      </w:r>
      <w:r w:rsidRPr="00A63850">
        <w:rPr>
          <w:rFonts w:ascii="Book Antiqua" w:eastAsia="宋体" w:hAnsi="Book Antiqua" w:cs="宋体"/>
          <w:b/>
          <w:bCs/>
          <w:sz w:val="24"/>
          <w:szCs w:val="24"/>
        </w:rPr>
        <w:t>79</w:t>
      </w:r>
      <w:r w:rsidRPr="00A63850">
        <w:rPr>
          <w:rFonts w:ascii="Book Antiqua" w:eastAsia="宋体" w:hAnsi="Book Antiqua" w:cs="宋体"/>
          <w:sz w:val="24"/>
          <w:szCs w:val="24"/>
        </w:rPr>
        <w:t>: 173-179 [PMID: 26706938 DOI: 10.1016/j.bios.2015.11.087]</w:t>
      </w:r>
    </w:p>
    <w:p w14:paraId="0664CBC7" w14:textId="77777777" w:rsidR="00264FD1"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27</w:t>
      </w:r>
      <w:r w:rsidRPr="00A63850">
        <w:t xml:space="preserve"> </w:t>
      </w:r>
      <w:proofErr w:type="spellStart"/>
      <w:r w:rsidRPr="00A63850">
        <w:rPr>
          <w:rFonts w:ascii="Book Antiqua" w:eastAsia="宋体" w:hAnsi="Book Antiqua" w:cs="宋体"/>
          <w:b/>
          <w:sz w:val="24"/>
          <w:szCs w:val="24"/>
        </w:rPr>
        <w:t>Malíčková</w:t>
      </w:r>
      <w:proofErr w:type="spellEnd"/>
      <w:r w:rsidRPr="00A63850">
        <w:rPr>
          <w:rFonts w:ascii="Book Antiqua" w:eastAsia="宋体" w:hAnsi="Book Antiqua" w:cs="宋体"/>
          <w:b/>
          <w:sz w:val="24"/>
          <w:szCs w:val="24"/>
        </w:rPr>
        <w:t xml:space="preserve"> K,</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Ďuricová</w:t>
      </w:r>
      <w:proofErr w:type="spellEnd"/>
      <w:r w:rsidRPr="00A63850">
        <w:rPr>
          <w:rFonts w:ascii="Book Antiqua" w:eastAsia="宋体" w:hAnsi="Book Antiqua" w:cs="宋体"/>
          <w:sz w:val="24"/>
          <w:szCs w:val="24"/>
        </w:rPr>
        <w:t xml:space="preserve"> D, </w:t>
      </w:r>
      <w:proofErr w:type="spellStart"/>
      <w:r w:rsidRPr="00A63850">
        <w:rPr>
          <w:rFonts w:ascii="Book Antiqua" w:eastAsia="宋体" w:hAnsi="Book Antiqua" w:cs="宋体"/>
          <w:sz w:val="24"/>
          <w:szCs w:val="24"/>
        </w:rPr>
        <w:t>Bortlík</w:t>
      </w:r>
      <w:proofErr w:type="spellEnd"/>
      <w:r w:rsidRPr="00A63850">
        <w:rPr>
          <w:rFonts w:ascii="Book Antiqua" w:eastAsia="宋体" w:hAnsi="Book Antiqua" w:cs="宋体"/>
          <w:sz w:val="24"/>
          <w:szCs w:val="24"/>
        </w:rPr>
        <w:t xml:space="preserve"> M, </w:t>
      </w:r>
      <w:proofErr w:type="spellStart"/>
      <w:r w:rsidRPr="00A63850">
        <w:rPr>
          <w:rFonts w:ascii="Book Antiqua" w:eastAsia="宋体" w:hAnsi="Book Antiqua" w:cs="宋体"/>
          <w:sz w:val="24"/>
          <w:szCs w:val="24"/>
        </w:rPr>
        <w:t>Hind'oš</w:t>
      </w:r>
      <w:proofErr w:type="spellEnd"/>
      <w:r w:rsidRPr="00A63850">
        <w:rPr>
          <w:rFonts w:ascii="Book Antiqua" w:eastAsia="宋体" w:hAnsi="Book Antiqua" w:cs="宋体"/>
          <w:sz w:val="24"/>
          <w:szCs w:val="24"/>
        </w:rPr>
        <w:t xml:space="preserve"> M, </w:t>
      </w:r>
      <w:proofErr w:type="spellStart"/>
      <w:r w:rsidRPr="00A63850">
        <w:rPr>
          <w:rFonts w:ascii="Book Antiqua" w:eastAsia="宋体" w:hAnsi="Book Antiqua" w:cs="宋体"/>
          <w:sz w:val="24"/>
          <w:szCs w:val="24"/>
        </w:rPr>
        <w:t>Machková</w:t>
      </w:r>
      <w:proofErr w:type="spellEnd"/>
      <w:r w:rsidRPr="00A63850">
        <w:rPr>
          <w:rFonts w:ascii="Book Antiqua" w:eastAsia="宋体" w:hAnsi="Book Antiqua" w:cs="宋体"/>
          <w:sz w:val="24"/>
          <w:szCs w:val="24"/>
        </w:rPr>
        <w:t xml:space="preserve"> N, </w:t>
      </w:r>
      <w:proofErr w:type="spellStart"/>
      <w:r w:rsidRPr="00A63850">
        <w:rPr>
          <w:rFonts w:ascii="Book Antiqua" w:eastAsia="宋体" w:hAnsi="Book Antiqua" w:cs="宋体"/>
          <w:sz w:val="24"/>
          <w:szCs w:val="24"/>
        </w:rPr>
        <w:t>Hrubá</w:t>
      </w:r>
      <w:proofErr w:type="spellEnd"/>
      <w:r w:rsidRPr="00A63850">
        <w:rPr>
          <w:rFonts w:ascii="Book Antiqua" w:eastAsia="宋体" w:hAnsi="Book Antiqua" w:cs="宋体"/>
          <w:sz w:val="24"/>
          <w:szCs w:val="24"/>
        </w:rPr>
        <w:t xml:space="preserve"> V, </w:t>
      </w:r>
      <w:proofErr w:type="spellStart"/>
      <w:r w:rsidRPr="00A63850">
        <w:rPr>
          <w:rFonts w:ascii="Book Antiqua" w:eastAsia="宋体" w:hAnsi="Book Antiqua" w:cs="宋体"/>
          <w:sz w:val="24"/>
          <w:szCs w:val="24"/>
        </w:rPr>
        <w:t>Lukáš</w:t>
      </w:r>
      <w:proofErr w:type="spellEnd"/>
      <w:r w:rsidRPr="00A63850">
        <w:rPr>
          <w:rFonts w:ascii="Book Antiqua" w:eastAsia="宋体" w:hAnsi="Book Antiqua" w:cs="宋体"/>
          <w:sz w:val="24"/>
          <w:szCs w:val="24"/>
        </w:rPr>
        <w:t xml:space="preserve"> </w:t>
      </w:r>
      <w:r>
        <w:rPr>
          <w:rFonts w:ascii="Book Antiqua" w:eastAsia="宋体" w:hAnsi="Book Antiqua" w:cs="宋体"/>
          <w:sz w:val="24"/>
          <w:szCs w:val="24"/>
        </w:rPr>
        <w:t xml:space="preserve">M, Zima T, </w:t>
      </w:r>
      <w:proofErr w:type="spellStart"/>
      <w:r>
        <w:rPr>
          <w:rFonts w:ascii="Book Antiqua" w:eastAsia="宋体" w:hAnsi="Book Antiqua" w:cs="宋体"/>
          <w:sz w:val="24"/>
          <w:szCs w:val="24"/>
        </w:rPr>
        <w:t>Lukáš</w:t>
      </w:r>
      <w:proofErr w:type="spellEnd"/>
      <w:r>
        <w:rPr>
          <w:rFonts w:ascii="Book Antiqua" w:eastAsia="宋体" w:hAnsi="Book Antiqua" w:cs="宋体"/>
          <w:sz w:val="24"/>
          <w:szCs w:val="24"/>
        </w:rPr>
        <w:t xml:space="preserve"> M</w:t>
      </w:r>
      <w:r>
        <w:rPr>
          <w:rFonts w:ascii="Book Antiqua" w:eastAsia="宋体" w:hAnsi="Book Antiqua" w:cs="宋体" w:hint="eastAsia"/>
          <w:sz w:val="24"/>
          <w:szCs w:val="24"/>
        </w:rPr>
        <w:t xml:space="preserve">. </w:t>
      </w:r>
      <w:proofErr w:type="spellStart"/>
      <w:r w:rsidRPr="00A63850">
        <w:rPr>
          <w:rFonts w:ascii="Book Antiqua" w:eastAsia="宋体" w:hAnsi="Book Antiqua" w:cs="宋体"/>
          <w:i/>
          <w:sz w:val="24"/>
          <w:szCs w:val="24"/>
        </w:rPr>
        <w:t>Biologicals</w:t>
      </w:r>
      <w:proofErr w:type="spellEnd"/>
      <w:r>
        <w:rPr>
          <w:rFonts w:ascii="Book Antiqua" w:eastAsia="宋体" w:hAnsi="Book Antiqua" w:cs="宋体" w:hint="eastAsia"/>
          <w:sz w:val="24"/>
          <w:szCs w:val="24"/>
        </w:rPr>
        <w:t xml:space="preserve"> </w:t>
      </w:r>
      <w:r w:rsidRPr="00A63850">
        <w:rPr>
          <w:rFonts w:ascii="Book Antiqua" w:eastAsia="宋体" w:hAnsi="Book Antiqua" w:cs="宋体"/>
          <w:sz w:val="24"/>
          <w:szCs w:val="24"/>
        </w:rPr>
        <w:t>2016;</w:t>
      </w:r>
      <w:r>
        <w:rPr>
          <w:rFonts w:ascii="Book Antiqua" w:eastAsia="宋体" w:hAnsi="Book Antiqua" w:cs="宋体" w:hint="eastAsia"/>
          <w:sz w:val="24"/>
          <w:szCs w:val="24"/>
        </w:rPr>
        <w:t xml:space="preserve"> </w:t>
      </w:r>
      <w:r w:rsidRPr="00A63850">
        <w:rPr>
          <w:rFonts w:ascii="Book Antiqua" w:eastAsia="宋体" w:hAnsi="Book Antiqua" w:cs="宋体"/>
          <w:b/>
          <w:sz w:val="24"/>
          <w:szCs w:val="24"/>
        </w:rPr>
        <w:t>44</w:t>
      </w:r>
      <w:r w:rsidRPr="00A63850">
        <w:rPr>
          <w:rFonts w:ascii="Book Antiqua" w:eastAsia="宋体" w:hAnsi="Book Antiqua" w:cs="宋体"/>
          <w:sz w:val="24"/>
          <w:szCs w:val="24"/>
        </w:rPr>
        <w:t>:</w:t>
      </w:r>
      <w:r>
        <w:rPr>
          <w:rFonts w:ascii="Book Antiqua" w:eastAsia="宋体" w:hAnsi="Book Antiqua" w:cs="宋体" w:hint="eastAsia"/>
          <w:sz w:val="24"/>
          <w:szCs w:val="24"/>
        </w:rPr>
        <w:t xml:space="preserve"> </w:t>
      </w:r>
      <w:r w:rsidRPr="00A63850">
        <w:rPr>
          <w:rFonts w:ascii="Book Antiqua" w:eastAsia="宋体" w:hAnsi="Book Antiqua" w:cs="宋体"/>
          <w:sz w:val="24"/>
          <w:szCs w:val="24"/>
        </w:rPr>
        <w:t>33-</w:t>
      </w:r>
      <w:r>
        <w:rPr>
          <w:rFonts w:ascii="Book Antiqua" w:eastAsia="宋体" w:hAnsi="Book Antiqua" w:cs="宋体" w:hint="eastAsia"/>
          <w:sz w:val="24"/>
          <w:szCs w:val="24"/>
        </w:rPr>
        <w:t>3</w:t>
      </w:r>
      <w:r>
        <w:rPr>
          <w:rFonts w:ascii="Book Antiqua" w:eastAsia="宋体" w:hAnsi="Book Antiqua" w:cs="宋体"/>
          <w:sz w:val="24"/>
          <w:szCs w:val="24"/>
        </w:rPr>
        <w:t>6</w:t>
      </w:r>
      <w:r w:rsidRPr="00A63850">
        <w:rPr>
          <w:rFonts w:ascii="Book Antiqua" w:eastAsia="宋体" w:hAnsi="Book Antiqua" w:cs="宋体"/>
          <w:sz w:val="24"/>
          <w:szCs w:val="24"/>
        </w:rPr>
        <w:t xml:space="preserve"> [PMID 26603635 DOI: 10.1016/j.biologicals.2015.09.005]</w:t>
      </w:r>
      <w:r>
        <w:rPr>
          <w:rFonts w:ascii="Book Antiqua" w:eastAsia="宋体" w:hAnsi="Book Antiqua" w:cs="宋体"/>
          <w:sz w:val="24"/>
          <w:szCs w:val="24"/>
        </w:rPr>
        <w:br w:type="page"/>
      </w:r>
    </w:p>
    <w:p w14:paraId="63EA36FB" w14:textId="77777777" w:rsidR="00264FD1" w:rsidRPr="00A63850" w:rsidRDefault="00264FD1" w:rsidP="00264FD1">
      <w:pPr>
        <w:spacing w:line="360" w:lineRule="auto"/>
        <w:jc w:val="both"/>
        <w:rPr>
          <w:rFonts w:ascii="Book Antiqua" w:eastAsia="宋体" w:hAnsi="Book Antiqua" w:cs="宋体"/>
          <w:sz w:val="24"/>
          <w:szCs w:val="24"/>
        </w:rPr>
      </w:pPr>
      <w:r>
        <w:rPr>
          <w:rFonts w:ascii="Book Antiqua" w:eastAsia="宋体" w:hAnsi="Book Antiqua" w:cs="宋体"/>
          <w:sz w:val="24"/>
          <w:szCs w:val="24"/>
        </w:rPr>
        <w:lastRenderedPageBreak/>
        <w:t xml:space="preserve">28 </w:t>
      </w:r>
      <w:proofErr w:type="spellStart"/>
      <w:r w:rsidRPr="00A63850">
        <w:rPr>
          <w:rFonts w:ascii="Book Antiqua" w:eastAsia="宋体" w:hAnsi="Book Antiqua" w:cs="宋体"/>
          <w:b/>
          <w:sz w:val="24"/>
          <w:szCs w:val="24"/>
        </w:rPr>
        <w:t>Corstjens</w:t>
      </w:r>
      <w:proofErr w:type="spellEnd"/>
      <w:r w:rsidRPr="00A63850">
        <w:rPr>
          <w:rFonts w:ascii="Book Antiqua" w:eastAsia="宋体" w:hAnsi="Book Antiqua" w:cs="宋体"/>
          <w:b/>
          <w:sz w:val="24"/>
          <w:szCs w:val="24"/>
        </w:rPr>
        <w:t xml:space="preserve"> PL,</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Fidder</w:t>
      </w:r>
      <w:proofErr w:type="spellEnd"/>
      <w:r w:rsidRPr="00A63850">
        <w:rPr>
          <w:rFonts w:ascii="Book Antiqua" w:eastAsia="宋体" w:hAnsi="Book Antiqua" w:cs="宋体"/>
          <w:sz w:val="24"/>
          <w:szCs w:val="24"/>
        </w:rPr>
        <w:t xml:space="preserve"> HH, </w:t>
      </w:r>
      <w:proofErr w:type="spellStart"/>
      <w:r w:rsidRPr="00A63850">
        <w:rPr>
          <w:rFonts w:ascii="Book Antiqua" w:eastAsia="宋体" w:hAnsi="Book Antiqua" w:cs="宋体"/>
          <w:sz w:val="24"/>
          <w:szCs w:val="24"/>
        </w:rPr>
        <w:t>Wiesmeijer</w:t>
      </w:r>
      <w:proofErr w:type="spellEnd"/>
      <w:r w:rsidRPr="00A63850">
        <w:rPr>
          <w:rFonts w:ascii="Book Antiqua" w:eastAsia="宋体" w:hAnsi="Book Antiqua" w:cs="宋体"/>
          <w:sz w:val="24"/>
          <w:szCs w:val="24"/>
        </w:rPr>
        <w:t xml:space="preserve"> KC, de </w:t>
      </w:r>
      <w:proofErr w:type="spellStart"/>
      <w:r w:rsidRPr="00A63850">
        <w:rPr>
          <w:rFonts w:ascii="Book Antiqua" w:eastAsia="宋体" w:hAnsi="Book Antiqua" w:cs="宋体"/>
          <w:sz w:val="24"/>
          <w:szCs w:val="24"/>
        </w:rPr>
        <w:t>Dood</w:t>
      </w:r>
      <w:proofErr w:type="spellEnd"/>
      <w:r w:rsidRPr="00A63850">
        <w:rPr>
          <w:rFonts w:ascii="Book Antiqua" w:eastAsia="宋体" w:hAnsi="Book Antiqua" w:cs="宋体"/>
          <w:sz w:val="24"/>
          <w:szCs w:val="24"/>
        </w:rPr>
        <w:t xml:space="preserve"> CJ, </w:t>
      </w:r>
      <w:proofErr w:type="spellStart"/>
      <w:r w:rsidRPr="00A63850">
        <w:rPr>
          <w:rFonts w:ascii="Book Antiqua" w:eastAsia="宋体" w:hAnsi="Book Antiqua" w:cs="宋体"/>
          <w:sz w:val="24"/>
          <w:szCs w:val="24"/>
        </w:rPr>
        <w:t>Rispens</w:t>
      </w:r>
      <w:proofErr w:type="spellEnd"/>
      <w:r w:rsidRPr="00A63850">
        <w:rPr>
          <w:rFonts w:ascii="Book Antiqua" w:eastAsia="宋体" w:hAnsi="Book Antiqua" w:cs="宋体"/>
          <w:sz w:val="24"/>
          <w:szCs w:val="24"/>
        </w:rPr>
        <w:t xml:space="preserve"> T, </w:t>
      </w:r>
      <w:proofErr w:type="spellStart"/>
      <w:r w:rsidRPr="00A63850">
        <w:rPr>
          <w:rFonts w:ascii="Book Antiqua" w:eastAsia="宋体" w:hAnsi="Book Antiqua" w:cs="宋体"/>
          <w:sz w:val="24"/>
          <w:szCs w:val="24"/>
        </w:rPr>
        <w:t>Wolbink</w:t>
      </w:r>
      <w:proofErr w:type="spellEnd"/>
      <w:r w:rsidRPr="00A63850">
        <w:rPr>
          <w:rFonts w:ascii="Book Antiqua" w:eastAsia="宋体" w:hAnsi="Book Antiqua" w:cs="宋体"/>
          <w:sz w:val="24"/>
          <w:szCs w:val="24"/>
        </w:rPr>
        <w:t xml:space="preserve"> GJ, </w:t>
      </w:r>
      <w:proofErr w:type="spellStart"/>
      <w:r w:rsidRPr="00A63850">
        <w:rPr>
          <w:rFonts w:ascii="Book Antiqua" w:eastAsia="宋体" w:hAnsi="Book Antiqua" w:cs="宋体"/>
          <w:sz w:val="24"/>
          <w:szCs w:val="24"/>
        </w:rPr>
        <w:t>Hommes</w:t>
      </w:r>
      <w:proofErr w:type="spellEnd"/>
      <w:r w:rsidRPr="00A63850">
        <w:rPr>
          <w:rFonts w:ascii="Book Antiqua" w:eastAsia="宋体" w:hAnsi="Book Antiqua" w:cs="宋体"/>
          <w:sz w:val="24"/>
          <w:szCs w:val="24"/>
        </w:rPr>
        <w:t xml:space="preserve"> DW, </w:t>
      </w:r>
      <w:proofErr w:type="spellStart"/>
      <w:r w:rsidRPr="00A63850">
        <w:rPr>
          <w:rFonts w:ascii="Book Antiqua" w:eastAsia="宋体" w:hAnsi="Book Antiqua" w:cs="宋体"/>
          <w:sz w:val="24"/>
          <w:szCs w:val="24"/>
        </w:rPr>
        <w:t>Tanke</w:t>
      </w:r>
      <w:proofErr w:type="spellEnd"/>
      <w:r w:rsidRPr="00A63850">
        <w:rPr>
          <w:rFonts w:ascii="Book Antiqua" w:eastAsia="宋体" w:hAnsi="Book Antiqua" w:cs="宋体"/>
          <w:sz w:val="24"/>
          <w:szCs w:val="24"/>
        </w:rPr>
        <w:t xml:space="preserve"> HJ. A rapid assay for on-site monitoring of infliximab trough levels: a feasi</w:t>
      </w:r>
      <w:r>
        <w:rPr>
          <w:rFonts w:ascii="Book Antiqua" w:eastAsia="宋体" w:hAnsi="Book Antiqua" w:cs="宋体"/>
          <w:sz w:val="24"/>
          <w:szCs w:val="24"/>
        </w:rPr>
        <w:t xml:space="preserve">bility study. </w:t>
      </w:r>
      <w:r w:rsidRPr="00A63850">
        <w:rPr>
          <w:rFonts w:ascii="Book Antiqua" w:eastAsia="宋体" w:hAnsi="Book Antiqua" w:cs="宋体"/>
          <w:i/>
          <w:sz w:val="24"/>
          <w:szCs w:val="24"/>
        </w:rPr>
        <w:t xml:space="preserve">Anal </w:t>
      </w:r>
      <w:proofErr w:type="spellStart"/>
      <w:r w:rsidRPr="00A63850">
        <w:rPr>
          <w:rFonts w:ascii="Book Antiqua" w:eastAsia="宋体" w:hAnsi="Book Antiqua" w:cs="宋体"/>
          <w:i/>
          <w:sz w:val="24"/>
          <w:szCs w:val="24"/>
        </w:rPr>
        <w:t>Bioanal</w:t>
      </w:r>
      <w:proofErr w:type="spellEnd"/>
      <w:r w:rsidRPr="00A63850">
        <w:rPr>
          <w:rFonts w:ascii="Book Antiqua" w:eastAsia="宋体" w:hAnsi="Book Antiqua" w:cs="宋体"/>
          <w:i/>
          <w:sz w:val="24"/>
          <w:szCs w:val="24"/>
        </w:rPr>
        <w:t xml:space="preserve"> </w:t>
      </w:r>
      <w:proofErr w:type="spellStart"/>
      <w:r w:rsidRPr="00A63850">
        <w:rPr>
          <w:rFonts w:ascii="Book Antiqua" w:eastAsia="宋体" w:hAnsi="Book Antiqua" w:cs="宋体"/>
          <w:i/>
          <w:sz w:val="24"/>
          <w:szCs w:val="24"/>
        </w:rPr>
        <w:t>Chem</w:t>
      </w:r>
      <w:proofErr w:type="spellEnd"/>
      <w:r w:rsidRPr="00A63850">
        <w:rPr>
          <w:rFonts w:ascii="Book Antiqua" w:eastAsia="宋体" w:hAnsi="Book Antiqua" w:cs="宋体"/>
          <w:sz w:val="24"/>
          <w:szCs w:val="24"/>
        </w:rPr>
        <w:t xml:space="preserve"> 2013; </w:t>
      </w:r>
      <w:r w:rsidRPr="00A63850">
        <w:rPr>
          <w:rFonts w:ascii="Book Antiqua" w:eastAsia="宋体" w:hAnsi="Book Antiqua" w:cs="宋体"/>
          <w:b/>
          <w:sz w:val="24"/>
          <w:szCs w:val="24"/>
        </w:rPr>
        <w:t>405</w:t>
      </w:r>
      <w:r w:rsidRPr="00A63850">
        <w:rPr>
          <w:rFonts w:ascii="Book Antiqua" w:eastAsia="宋体" w:hAnsi="Book Antiqua" w:cs="宋体"/>
          <w:sz w:val="24"/>
          <w:szCs w:val="24"/>
        </w:rPr>
        <w:t>: 7367-</w:t>
      </w:r>
      <w:r>
        <w:rPr>
          <w:rFonts w:ascii="Book Antiqua" w:eastAsia="宋体" w:hAnsi="Book Antiqua" w:cs="宋体" w:hint="eastAsia"/>
          <w:sz w:val="24"/>
          <w:szCs w:val="24"/>
        </w:rPr>
        <w:t>73</w:t>
      </w:r>
      <w:r w:rsidRPr="00A63850">
        <w:rPr>
          <w:rFonts w:ascii="Book Antiqua" w:eastAsia="宋体" w:hAnsi="Book Antiqua" w:cs="宋体"/>
          <w:sz w:val="24"/>
          <w:szCs w:val="24"/>
        </w:rPr>
        <w:t>75</w:t>
      </w:r>
      <w:r>
        <w:rPr>
          <w:rFonts w:ascii="Book Antiqua" w:eastAsia="宋体" w:hAnsi="Book Antiqua" w:cs="宋体" w:hint="eastAsia"/>
          <w:sz w:val="24"/>
          <w:szCs w:val="24"/>
        </w:rPr>
        <w:t xml:space="preserve"> </w:t>
      </w:r>
      <w:r w:rsidRPr="00A63850">
        <w:rPr>
          <w:rFonts w:ascii="Book Antiqua" w:eastAsia="宋体" w:hAnsi="Book Antiqua" w:cs="宋体"/>
          <w:sz w:val="24"/>
          <w:szCs w:val="24"/>
        </w:rPr>
        <w:t>[PMID 23836086 DOI: 10.1007/s00216-013-7154-0]</w:t>
      </w:r>
    </w:p>
    <w:p w14:paraId="2B4C2309" w14:textId="77777777" w:rsidR="00264FD1" w:rsidRPr="00A63850" w:rsidRDefault="00264FD1" w:rsidP="00264FD1">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29 </w:t>
      </w:r>
      <w:r w:rsidRPr="00A63850">
        <w:rPr>
          <w:rFonts w:ascii="Book Antiqua" w:eastAsia="宋体" w:hAnsi="Book Antiqua" w:cs="宋体"/>
          <w:b/>
          <w:sz w:val="24"/>
          <w:szCs w:val="24"/>
        </w:rPr>
        <w:t>Wang SL,</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Ohrmund</w:t>
      </w:r>
      <w:proofErr w:type="spellEnd"/>
      <w:r w:rsidRPr="00A63850">
        <w:rPr>
          <w:rFonts w:ascii="Book Antiqua" w:eastAsia="宋体" w:hAnsi="Book Antiqua" w:cs="宋体"/>
          <w:sz w:val="24"/>
          <w:szCs w:val="24"/>
        </w:rPr>
        <w:t xml:space="preserve"> L, </w:t>
      </w:r>
      <w:proofErr w:type="spellStart"/>
      <w:r w:rsidRPr="00A63850">
        <w:rPr>
          <w:rFonts w:ascii="Book Antiqua" w:eastAsia="宋体" w:hAnsi="Book Antiqua" w:cs="宋体"/>
          <w:sz w:val="24"/>
          <w:szCs w:val="24"/>
        </w:rPr>
        <w:t>Hauenstein</w:t>
      </w:r>
      <w:proofErr w:type="spellEnd"/>
      <w:r w:rsidRPr="00A63850">
        <w:rPr>
          <w:rFonts w:ascii="Book Antiqua" w:eastAsia="宋体" w:hAnsi="Book Antiqua" w:cs="宋体"/>
          <w:sz w:val="24"/>
          <w:szCs w:val="24"/>
        </w:rPr>
        <w:t xml:space="preserve"> S, </w:t>
      </w:r>
      <w:proofErr w:type="spellStart"/>
      <w:r w:rsidRPr="00A63850">
        <w:rPr>
          <w:rFonts w:ascii="Book Antiqua" w:eastAsia="宋体" w:hAnsi="Book Antiqua" w:cs="宋体"/>
          <w:sz w:val="24"/>
          <w:szCs w:val="24"/>
        </w:rPr>
        <w:t>Salbato</w:t>
      </w:r>
      <w:proofErr w:type="spellEnd"/>
      <w:r w:rsidRPr="00A63850">
        <w:rPr>
          <w:rFonts w:ascii="Book Antiqua" w:eastAsia="宋体" w:hAnsi="Book Antiqua" w:cs="宋体"/>
          <w:sz w:val="24"/>
          <w:szCs w:val="24"/>
        </w:rPr>
        <w:t xml:space="preserve"> J, Reddy R, Monk P, </w:t>
      </w:r>
      <w:proofErr w:type="spellStart"/>
      <w:r w:rsidRPr="00A63850">
        <w:rPr>
          <w:rFonts w:ascii="Book Antiqua" w:eastAsia="宋体" w:hAnsi="Book Antiqua" w:cs="宋体"/>
          <w:sz w:val="24"/>
          <w:szCs w:val="24"/>
        </w:rPr>
        <w:t>Lockton</w:t>
      </w:r>
      <w:proofErr w:type="spellEnd"/>
      <w:r w:rsidRPr="00A63850">
        <w:rPr>
          <w:rFonts w:ascii="Book Antiqua" w:eastAsia="宋体" w:hAnsi="Book Antiqua" w:cs="宋体"/>
          <w:sz w:val="24"/>
          <w:szCs w:val="24"/>
        </w:rPr>
        <w:t xml:space="preserve"> S, Ling N, Singh S. Development and validation of a homogeneous mobility shift assay for the measurement of infliximab and antibodies-to-infliximab levels in p</w:t>
      </w:r>
      <w:r>
        <w:rPr>
          <w:rFonts w:ascii="Book Antiqua" w:eastAsia="宋体" w:hAnsi="Book Antiqua" w:cs="宋体"/>
          <w:sz w:val="24"/>
          <w:szCs w:val="24"/>
        </w:rPr>
        <w:t xml:space="preserve">atient serum. </w:t>
      </w:r>
      <w:r w:rsidRPr="00A63850">
        <w:rPr>
          <w:rFonts w:ascii="Book Antiqua" w:eastAsia="宋体" w:hAnsi="Book Antiqua" w:cs="宋体"/>
          <w:i/>
          <w:sz w:val="24"/>
          <w:szCs w:val="24"/>
        </w:rPr>
        <w:t xml:space="preserve">J </w:t>
      </w:r>
      <w:proofErr w:type="spellStart"/>
      <w:r w:rsidRPr="00A63850">
        <w:rPr>
          <w:rFonts w:ascii="Book Antiqua" w:eastAsia="宋体" w:hAnsi="Book Antiqua" w:cs="宋体"/>
          <w:i/>
          <w:sz w:val="24"/>
          <w:szCs w:val="24"/>
        </w:rPr>
        <w:t>Immunol</w:t>
      </w:r>
      <w:proofErr w:type="spellEnd"/>
      <w:r w:rsidRPr="00A63850">
        <w:rPr>
          <w:rFonts w:ascii="Book Antiqua" w:eastAsia="宋体" w:hAnsi="Book Antiqua" w:cs="宋体"/>
          <w:i/>
          <w:sz w:val="24"/>
          <w:szCs w:val="24"/>
        </w:rPr>
        <w:t xml:space="preserve"> Methods</w:t>
      </w:r>
      <w:r w:rsidRPr="00A63850">
        <w:rPr>
          <w:rFonts w:ascii="Book Antiqua" w:eastAsia="宋体" w:hAnsi="Book Antiqua" w:cs="宋体"/>
          <w:sz w:val="24"/>
          <w:szCs w:val="24"/>
        </w:rPr>
        <w:t xml:space="preserve"> 2012; </w:t>
      </w:r>
      <w:r w:rsidRPr="00A63850">
        <w:rPr>
          <w:rFonts w:ascii="Book Antiqua" w:eastAsia="宋体" w:hAnsi="Book Antiqua" w:cs="宋体"/>
          <w:b/>
          <w:sz w:val="24"/>
          <w:szCs w:val="24"/>
        </w:rPr>
        <w:t>382</w:t>
      </w:r>
      <w:r w:rsidRPr="00A63850">
        <w:rPr>
          <w:rFonts w:ascii="Book Antiqua" w:eastAsia="宋体" w:hAnsi="Book Antiqua" w:cs="宋体"/>
          <w:sz w:val="24"/>
          <w:szCs w:val="24"/>
        </w:rPr>
        <w:t>: 177-</w:t>
      </w:r>
      <w:r>
        <w:rPr>
          <w:rFonts w:ascii="Book Antiqua" w:eastAsia="宋体" w:hAnsi="Book Antiqua" w:cs="宋体" w:hint="eastAsia"/>
          <w:sz w:val="24"/>
          <w:szCs w:val="24"/>
        </w:rPr>
        <w:t>1</w:t>
      </w:r>
      <w:r w:rsidRPr="00A63850">
        <w:rPr>
          <w:rFonts w:ascii="Book Antiqua" w:eastAsia="宋体" w:hAnsi="Book Antiqua" w:cs="宋体"/>
          <w:sz w:val="24"/>
          <w:szCs w:val="24"/>
        </w:rPr>
        <w:t>88 [PMID 22691619 DOI: 10.1016/j.jim.2012.06.002]</w:t>
      </w:r>
    </w:p>
    <w:p w14:paraId="22E8E0AB"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30 </w:t>
      </w:r>
      <w:r w:rsidRPr="00A63850">
        <w:rPr>
          <w:rFonts w:ascii="Book Antiqua" w:eastAsia="宋体" w:hAnsi="Book Antiqua" w:cs="宋体"/>
          <w:b/>
          <w:bCs/>
          <w:sz w:val="24"/>
          <w:szCs w:val="24"/>
        </w:rPr>
        <w:t xml:space="preserve">Van </w:t>
      </w:r>
      <w:proofErr w:type="spellStart"/>
      <w:r w:rsidRPr="00A63850">
        <w:rPr>
          <w:rFonts w:ascii="Book Antiqua" w:eastAsia="宋体" w:hAnsi="Book Antiqua" w:cs="宋体"/>
          <w:b/>
          <w:bCs/>
          <w:sz w:val="24"/>
          <w:szCs w:val="24"/>
        </w:rPr>
        <w:t>Stappen</w:t>
      </w:r>
      <w:proofErr w:type="spellEnd"/>
      <w:r w:rsidRPr="00A63850">
        <w:rPr>
          <w:rFonts w:ascii="Book Antiqua" w:eastAsia="宋体" w:hAnsi="Book Antiqua" w:cs="宋体"/>
          <w:b/>
          <w:bCs/>
          <w:sz w:val="24"/>
          <w:szCs w:val="24"/>
        </w:rPr>
        <w:t xml:space="preserve"> T</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Billiet</w:t>
      </w:r>
      <w:proofErr w:type="spellEnd"/>
      <w:r w:rsidRPr="00A63850">
        <w:rPr>
          <w:rFonts w:ascii="Book Antiqua" w:eastAsia="宋体" w:hAnsi="Book Antiqua" w:cs="宋体"/>
          <w:sz w:val="24"/>
          <w:szCs w:val="24"/>
        </w:rPr>
        <w:t xml:space="preserve"> T, </w:t>
      </w:r>
      <w:proofErr w:type="spellStart"/>
      <w:r w:rsidRPr="00A63850">
        <w:rPr>
          <w:rFonts w:ascii="Book Antiqua" w:eastAsia="宋体" w:hAnsi="Book Antiqua" w:cs="宋体"/>
          <w:sz w:val="24"/>
          <w:szCs w:val="24"/>
        </w:rPr>
        <w:t>Vande</w:t>
      </w:r>
      <w:proofErr w:type="spellEnd"/>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Casteele</w:t>
      </w:r>
      <w:proofErr w:type="spellEnd"/>
      <w:r w:rsidRPr="00A63850">
        <w:rPr>
          <w:rFonts w:ascii="Book Antiqua" w:eastAsia="宋体" w:hAnsi="Book Antiqua" w:cs="宋体"/>
          <w:sz w:val="24"/>
          <w:szCs w:val="24"/>
        </w:rPr>
        <w:t xml:space="preserve"> N, </w:t>
      </w:r>
      <w:proofErr w:type="spellStart"/>
      <w:r w:rsidRPr="00A63850">
        <w:rPr>
          <w:rFonts w:ascii="Book Antiqua" w:eastAsia="宋体" w:hAnsi="Book Antiqua" w:cs="宋体"/>
          <w:sz w:val="24"/>
          <w:szCs w:val="24"/>
        </w:rPr>
        <w:t>Compernolle</w:t>
      </w:r>
      <w:proofErr w:type="spellEnd"/>
      <w:r w:rsidRPr="00A63850">
        <w:rPr>
          <w:rFonts w:ascii="Book Antiqua" w:eastAsia="宋体" w:hAnsi="Book Antiqua" w:cs="宋体"/>
          <w:sz w:val="24"/>
          <w:szCs w:val="24"/>
        </w:rPr>
        <w:t xml:space="preserve"> G, </w:t>
      </w:r>
      <w:proofErr w:type="spellStart"/>
      <w:r w:rsidRPr="00A63850">
        <w:rPr>
          <w:rFonts w:ascii="Book Antiqua" w:eastAsia="宋体" w:hAnsi="Book Antiqua" w:cs="宋体"/>
          <w:sz w:val="24"/>
          <w:szCs w:val="24"/>
        </w:rPr>
        <w:t>Brouwers</w:t>
      </w:r>
      <w:proofErr w:type="spellEnd"/>
      <w:r w:rsidRPr="00A63850">
        <w:rPr>
          <w:rFonts w:ascii="Book Antiqua" w:eastAsia="宋体" w:hAnsi="Book Antiqua" w:cs="宋体"/>
          <w:sz w:val="24"/>
          <w:szCs w:val="24"/>
        </w:rPr>
        <w:t xml:space="preserve"> E, </w:t>
      </w:r>
      <w:proofErr w:type="spellStart"/>
      <w:r w:rsidRPr="00A63850">
        <w:rPr>
          <w:rFonts w:ascii="Book Antiqua" w:eastAsia="宋体" w:hAnsi="Book Antiqua" w:cs="宋体"/>
          <w:sz w:val="24"/>
          <w:szCs w:val="24"/>
        </w:rPr>
        <w:t>Vermeire</w:t>
      </w:r>
      <w:proofErr w:type="spellEnd"/>
      <w:r w:rsidRPr="00A63850">
        <w:rPr>
          <w:rFonts w:ascii="Book Antiqua" w:eastAsia="宋体" w:hAnsi="Book Antiqua" w:cs="宋体"/>
          <w:sz w:val="24"/>
          <w:szCs w:val="24"/>
        </w:rPr>
        <w:t xml:space="preserve"> S, Gils A. An Optimized Anti-infliximab Bridging Enzyme-linked </w:t>
      </w:r>
      <w:proofErr w:type="spellStart"/>
      <w:r w:rsidRPr="00A63850">
        <w:rPr>
          <w:rFonts w:ascii="Book Antiqua" w:eastAsia="宋体" w:hAnsi="Book Antiqua" w:cs="宋体"/>
          <w:sz w:val="24"/>
          <w:szCs w:val="24"/>
        </w:rPr>
        <w:t>Immunosorbent</w:t>
      </w:r>
      <w:proofErr w:type="spellEnd"/>
      <w:r w:rsidRPr="00A63850">
        <w:rPr>
          <w:rFonts w:ascii="Book Antiqua" w:eastAsia="宋体" w:hAnsi="Book Antiqua" w:cs="宋体"/>
          <w:sz w:val="24"/>
          <w:szCs w:val="24"/>
        </w:rPr>
        <w:t xml:space="preserve"> Assay for Harmonization of Anti-infliximab Antibody </w:t>
      </w:r>
      <w:proofErr w:type="spellStart"/>
      <w:r w:rsidRPr="00A63850">
        <w:rPr>
          <w:rFonts w:ascii="Book Antiqua" w:eastAsia="宋体" w:hAnsi="Book Antiqua" w:cs="宋体"/>
          <w:sz w:val="24"/>
          <w:szCs w:val="24"/>
        </w:rPr>
        <w:t>Titers</w:t>
      </w:r>
      <w:proofErr w:type="spellEnd"/>
      <w:r w:rsidRPr="00A63850">
        <w:rPr>
          <w:rFonts w:ascii="Book Antiqua" w:eastAsia="宋体" w:hAnsi="Book Antiqua" w:cs="宋体"/>
          <w:sz w:val="24"/>
          <w:szCs w:val="24"/>
        </w:rPr>
        <w:t xml:space="preserve"> in Patients with Inflammatory Bowel Diseases. </w:t>
      </w:r>
      <w:proofErr w:type="spellStart"/>
      <w:r w:rsidRPr="00A63850">
        <w:rPr>
          <w:rFonts w:ascii="Book Antiqua" w:eastAsia="宋体" w:hAnsi="Book Antiqua" w:cs="宋体"/>
          <w:i/>
          <w:iCs/>
          <w:sz w:val="24"/>
          <w:szCs w:val="24"/>
        </w:rPr>
        <w:t>Inflamm</w:t>
      </w:r>
      <w:proofErr w:type="spellEnd"/>
      <w:r w:rsidRPr="00A63850">
        <w:rPr>
          <w:rFonts w:ascii="Book Antiqua" w:eastAsia="宋体" w:hAnsi="Book Antiqua" w:cs="宋体"/>
          <w:i/>
          <w:iCs/>
          <w:sz w:val="24"/>
          <w:szCs w:val="24"/>
        </w:rPr>
        <w:t xml:space="preserve"> Bowel Dis</w:t>
      </w:r>
      <w:r w:rsidRPr="00A63850">
        <w:rPr>
          <w:rFonts w:ascii="Book Antiqua" w:eastAsia="宋体" w:hAnsi="Book Antiqua" w:cs="宋体"/>
          <w:sz w:val="24"/>
          <w:szCs w:val="24"/>
        </w:rPr>
        <w:t> 2015; </w:t>
      </w:r>
      <w:r w:rsidRPr="00A63850">
        <w:rPr>
          <w:rFonts w:ascii="Book Antiqua" w:eastAsia="宋体" w:hAnsi="Book Antiqua" w:cs="宋体"/>
          <w:b/>
          <w:bCs/>
          <w:sz w:val="24"/>
          <w:szCs w:val="24"/>
        </w:rPr>
        <w:t>21</w:t>
      </w:r>
      <w:r w:rsidRPr="00A63850">
        <w:rPr>
          <w:rFonts w:ascii="Book Antiqua" w:eastAsia="宋体" w:hAnsi="Book Antiqua" w:cs="宋体"/>
          <w:sz w:val="24"/>
          <w:szCs w:val="24"/>
        </w:rPr>
        <w:t>: 2172-2177 [PMID: 26284296 DOI: 10.1097/MIB.0000000000000434]</w:t>
      </w:r>
    </w:p>
    <w:p w14:paraId="5AFFD623"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31 </w:t>
      </w:r>
      <w:proofErr w:type="spellStart"/>
      <w:r w:rsidRPr="00A63850">
        <w:rPr>
          <w:rFonts w:ascii="Book Antiqua" w:eastAsia="宋体" w:hAnsi="Book Antiqua" w:cs="宋体"/>
          <w:b/>
          <w:bCs/>
          <w:sz w:val="24"/>
          <w:szCs w:val="24"/>
        </w:rPr>
        <w:t>Bloem</w:t>
      </w:r>
      <w:proofErr w:type="spellEnd"/>
      <w:r w:rsidRPr="00A63850">
        <w:rPr>
          <w:rFonts w:ascii="Book Antiqua" w:eastAsia="宋体" w:hAnsi="Book Antiqua" w:cs="宋体"/>
          <w:b/>
          <w:bCs/>
          <w:sz w:val="24"/>
          <w:szCs w:val="24"/>
        </w:rPr>
        <w:t xml:space="preserve"> K</w:t>
      </w:r>
      <w:r w:rsidRPr="00A63850">
        <w:rPr>
          <w:rFonts w:ascii="Book Antiqua" w:eastAsia="宋体" w:hAnsi="Book Antiqua" w:cs="宋体"/>
          <w:sz w:val="24"/>
          <w:szCs w:val="24"/>
        </w:rPr>
        <w:t xml:space="preserve">, van </w:t>
      </w:r>
      <w:proofErr w:type="spellStart"/>
      <w:r w:rsidRPr="00A63850">
        <w:rPr>
          <w:rFonts w:ascii="Book Antiqua" w:eastAsia="宋体" w:hAnsi="Book Antiqua" w:cs="宋体"/>
          <w:sz w:val="24"/>
          <w:szCs w:val="24"/>
        </w:rPr>
        <w:t>Leeuwen</w:t>
      </w:r>
      <w:proofErr w:type="spellEnd"/>
      <w:r w:rsidRPr="00A63850">
        <w:rPr>
          <w:rFonts w:ascii="Book Antiqua" w:eastAsia="宋体" w:hAnsi="Book Antiqua" w:cs="宋体"/>
          <w:sz w:val="24"/>
          <w:szCs w:val="24"/>
        </w:rPr>
        <w:t xml:space="preserve"> A, </w:t>
      </w:r>
      <w:proofErr w:type="spellStart"/>
      <w:r w:rsidRPr="00A63850">
        <w:rPr>
          <w:rFonts w:ascii="Book Antiqua" w:eastAsia="宋体" w:hAnsi="Book Antiqua" w:cs="宋体"/>
          <w:sz w:val="24"/>
          <w:szCs w:val="24"/>
        </w:rPr>
        <w:t>Verbeek</w:t>
      </w:r>
      <w:proofErr w:type="spellEnd"/>
      <w:r w:rsidRPr="00A63850">
        <w:rPr>
          <w:rFonts w:ascii="Book Antiqua" w:eastAsia="宋体" w:hAnsi="Book Antiqua" w:cs="宋体"/>
          <w:sz w:val="24"/>
          <w:szCs w:val="24"/>
        </w:rPr>
        <w:t xml:space="preserve"> G, </w:t>
      </w:r>
      <w:proofErr w:type="spellStart"/>
      <w:r w:rsidRPr="00A63850">
        <w:rPr>
          <w:rFonts w:ascii="Book Antiqua" w:eastAsia="宋体" w:hAnsi="Book Antiqua" w:cs="宋体"/>
          <w:sz w:val="24"/>
          <w:szCs w:val="24"/>
        </w:rPr>
        <w:t>Nurmohamed</w:t>
      </w:r>
      <w:proofErr w:type="spellEnd"/>
      <w:r w:rsidRPr="00A63850">
        <w:rPr>
          <w:rFonts w:ascii="Book Antiqua" w:eastAsia="宋体" w:hAnsi="Book Antiqua" w:cs="宋体"/>
          <w:sz w:val="24"/>
          <w:szCs w:val="24"/>
        </w:rPr>
        <w:t xml:space="preserve"> MT, </w:t>
      </w:r>
      <w:proofErr w:type="spellStart"/>
      <w:r w:rsidRPr="00A63850">
        <w:rPr>
          <w:rFonts w:ascii="Book Antiqua" w:eastAsia="宋体" w:hAnsi="Book Antiqua" w:cs="宋体"/>
          <w:sz w:val="24"/>
          <w:szCs w:val="24"/>
        </w:rPr>
        <w:t>Wolbink</w:t>
      </w:r>
      <w:proofErr w:type="spellEnd"/>
      <w:r w:rsidRPr="00A63850">
        <w:rPr>
          <w:rFonts w:ascii="Book Antiqua" w:eastAsia="宋体" w:hAnsi="Book Antiqua" w:cs="宋体"/>
          <w:sz w:val="24"/>
          <w:szCs w:val="24"/>
        </w:rPr>
        <w:t xml:space="preserve"> GJ, van der </w:t>
      </w:r>
      <w:proofErr w:type="spellStart"/>
      <w:r w:rsidRPr="00A63850">
        <w:rPr>
          <w:rFonts w:ascii="Book Antiqua" w:eastAsia="宋体" w:hAnsi="Book Antiqua" w:cs="宋体"/>
          <w:sz w:val="24"/>
          <w:szCs w:val="24"/>
        </w:rPr>
        <w:t>Kleij</w:t>
      </w:r>
      <w:proofErr w:type="spellEnd"/>
      <w:r w:rsidRPr="00A63850">
        <w:rPr>
          <w:rFonts w:ascii="Book Antiqua" w:eastAsia="宋体" w:hAnsi="Book Antiqua" w:cs="宋体"/>
          <w:sz w:val="24"/>
          <w:szCs w:val="24"/>
        </w:rPr>
        <w:t xml:space="preserve"> D, </w:t>
      </w:r>
      <w:proofErr w:type="spellStart"/>
      <w:r w:rsidRPr="00A63850">
        <w:rPr>
          <w:rFonts w:ascii="Book Antiqua" w:eastAsia="宋体" w:hAnsi="Book Antiqua" w:cs="宋体"/>
          <w:sz w:val="24"/>
          <w:szCs w:val="24"/>
        </w:rPr>
        <w:t>Rispens</w:t>
      </w:r>
      <w:proofErr w:type="spellEnd"/>
      <w:r w:rsidRPr="00A63850">
        <w:rPr>
          <w:rFonts w:ascii="Book Antiqua" w:eastAsia="宋体" w:hAnsi="Book Antiqua" w:cs="宋体"/>
          <w:sz w:val="24"/>
          <w:szCs w:val="24"/>
        </w:rPr>
        <w:t xml:space="preserve"> T. Systematic comparison of drug-tolerant assays for anti-drug antibodies in a cohort of </w:t>
      </w:r>
      <w:proofErr w:type="spellStart"/>
      <w:r w:rsidRPr="00A63850">
        <w:rPr>
          <w:rFonts w:ascii="Book Antiqua" w:eastAsia="宋体" w:hAnsi="Book Antiqua" w:cs="宋体"/>
          <w:sz w:val="24"/>
          <w:szCs w:val="24"/>
        </w:rPr>
        <w:t>adalimumab</w:t>
      </w:r>
      <w:proofErr w:type="spellEnd"/>
      <w:r w:rsidRPr="00A63850">
        <w:rPr>
          <w:rFonts w:ascii="Book Antiqua" w:eastAsia="宋体" w:hAnsi="Book Antiqua" w:cs="宋体"/>
          <w:sz w:val="24"/>
          <w:szCs w:val="24"/>
        </w:rPr>
        <w:t>-treated rheumatoid arthritis patients. </w:t>
      </w:r>
      <w:r w:rsidRPr="00A63850">
        <w:rPr>
          <w:rFonts w:ascii="Book Antiqua" w:eastAsia="宋体" w:hAnsi="Book Antiqua" w:cs="宋体"/>
          <w:i/>
          <w:iCs/>
          <w:sz w:val="24"/>
          <w:szCs w:val="24"/>
        </w:rPr>
        <w:t xml:space="preserve">J </w:t>
      </w:r>
      <w:proofErr w:type="spellStart"/>
      <w:r w:rsidRPr="00A63850">
        <w:rPr>
          <w:rFonts w:ascii="Book Antiqua" w:eastAsia="宋体" w:hAnsi="Book Antiqua" w:cs="宋体"/>
          <w:i/>
          <w:iCs/>
          <w:sz w:val="24"/>
          <w:szCs w:val="24"/>
        </w:rPr>
        <w:t>Immunol</w:t>
      </w:r>
      <w:proofErr w:type="spellEnd"/>
      <w:r w:rsidRPr="00A63850">
        <w:rPr>
          <w:rFonts w:ascii="Book Antiqua" w:eastAsia="宋体" w:hAnsi="Book Antiqua" w:cs="宋体"/>
          <w:i/>
          <w:iCs/>
          <w:sz w:val="24"/>
          <w:szCs w:val="24"/>
        </w:rPr>
        <w:t xml:space="preserve"> Methods</w:t>
      </w:r>
      <w:r w:rsidRPr="00A63850">
        <w:rPr>
          <w:rFonts w:ascii="Book Antiqua" w:eastAsia="宋体" w:hAnsi="Book Antiqua" w:cs="宋体"/>
          <w:sz w:val="24"/>
          <w:szCs w:val="24"/>
        </w:rPr>
        <w:t> 2015; </w:t>
      </w:r>
      <w:r w:rsidRPr="00A63850">
        <w:rPr>
          <w:rFonts w:ascii="Book Antiqua" w:eastAsia="宋体" w:hAnsi="Book Antiqua" w:cs="宋体"/>
          <w:b/>
          <w:bCs/>
          <w:sz w:val="24"/>
          <w:szCs w:val="24"/>
        </w:rPr>
        <w:t>418</w:t>
      </w:r>
      <w:r w:rsidRPr="00A63850">
        <w:rPr>
          <w:rFonts w:ascii="Book Antiqua" w:eastAsia="宋体" w:hAnsi="Book Antiqua" w:cs="宋体"/>
          <w:sz w:val="24"/>
          <w:szCs w:val="24"/>
        </w:rPr>
        <w:t>: 29-38 [PMID: 25637408 DOI: 10.1016/j.jim.2015.01.007]</w:t>
      </w:r>
    </w:p>
    <w:p w14:paraId="23C6EAA3"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32</w:t>
      </w:r>
      <w:r w:rsidRPr="00A63850">
        <w:rPr>
          <w:rFonts w:ascii="Book Antiqua" w:eastAsia="宋体" w:hAnsi="Book Antiqua" w:cs="宋体"/>
          <w:b/>
          <w:sz w:val="24"/>
          <w:szCs w:val="24"/>
        </w:rPr>
        <w:t xml:space="preserve"> Van </w:t>
      </w:r>
      <w:proofErr w:type="spellStart"/>
      <w:r w:rsidRPr="00A63850">
        <w:rPr>
          <w:rFonts w:ascii="Book Antiqua" w:eastAsia="宋体" w:hAnsi="Book Antiqua" w:cs="宋体"/>
          <w:b/>
          <w:sz w:val="24"/>
          <w:szCs w:val="24"/>
        </w:rPr>
        <w:t>Stappen</w:t>
      </w:r>
      <w:proofErr w:type="spellEnd"/>
      <w:r w:rsidRPr="00A63850">
        <w:rPr>
          <w:rFonts w:ascii="Book Antiqua" w:eastAsia="宋体" w:hAnsi="Book Antiqua" w:cs="宋体"/>
          <w:b/>
          <w:sz w:val="24"/>
          <w:szCs w:val="24"/>
        </w:rPr>
        <w:t xml:space="preserve"> T,</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B</w:t>
      </w:r>
      <w:r>
        <w:rPr>
          <w:rFonts w:ascii="Book Antiqua" w:eastAsia="宋体" w:hAnsi="Book Antiqua" w:cs="宋体"/>
          <w:sz w:val="24"/>
          <w:szCs w:val="24"/>
        </w:rPr>
        <w:t>rouwers</w:t>
      </w:r>
      <w:proofErr w:type="spellEnd"/>
      <w:r>
        <w:rPr>
          <w:rFonts w:ascii="Book Antiqua" w:eastAsia="宋体" w:hAnsi="Book Antiqua" w:cs="宋体"/>
          <w:sz w:val="24"/>
          <w:szCs w:val="24"/>
        </w:rPr>
        <w:t xml:space="preserve"> E, </w:t>
      </w:r>
      <w:proofErr w:type="spellStart"/>
      <w:r>
        <w:rPr>
          <w:rFonts w:ascii="Book Antiqua" w:eastAsia="宋体" w:hAnsi="Book Antiqua" w:cs="宋体"/>
          <w:sz w:val="24"/>
          <w:szCs w:val="24"/>
        </w:rPr>
        <w:t>Vermeire</w:t>
      </w:r>
      <w:proofErr w:type="spellEnd"/>
      <w:r>
        <w:rPr>
          <w:rFonts w:ascii="Book Antiqua" w:eastAsia="宋体" w:hAnsi="Book Antiqua" w:cs="宋体"/>
          <w:sz w:val="24"/>
          <w:szCs w:val="24"/>
        </w:rPr>
        <w:t xml:space="preserve"> S, Gils A</w:t>
      </w:r>
      <w:r w:rsidRPr="00A63850">
        <w:rPr>
          <w:rFonts w:ascii="Book Antiqua" w:eastAsia="宋体" w:hAnsi="Book Antiqua" w:cs="宋体"/>
          <w:sz w:val="24"/>
          <w:szCs w:val="24"/>
        </w:rPr>
        <w:t>.</w:t>
      </w:r>
      <w:r>
        <w:rPr>
          <w:rFonts w:ascii="Book Antiqua" w:eastAsia="宋体" w:hAnsi="Book Antiqua" w:cs="宋体" w:hint="eastAsia"/>
          <w:sz w:val="24"/>
          <w:szCs w:val="24"/>
        </w:rPr>
        <w:t xml:space="preserve"> </w:t>
      </w:r>
      <w:r w:rsidRPr="00A63850">
        <w:rPr>
          <w:rFonts w:ascii="Book Antiqua" w:eastAsia="宋体" w:hAnsi="Book Antiqua" w:cs="宋体"/>
          <w:sz w:val="24"/>
          <w:szCs w:val="24"/>
        </w:rPr>
        <w:t xml:space="preserve">Validation of a sample </w:t>
      </w:r>
      <w:proofErr w:type="spellStart"/>
      <w:r w:rsidRPr="00A63850">
        <w:rPr>
          <w:rFonts w:ascii="Book Antiqua" w:eastAsia="宋体" w:hAnsi="Book Antiqua" w:cs="宋体"/>
          <w:sz w:val="24"/>
          <w:szCs w:val="24"/>
        </w:rPr>
        <w:t>pretreatment</w:t>
      </w:r>
      <w:proofErr w:type="spellEnd"/>
      <w:r w:rsidRPr="00A63850">
        <w:rPr>
          <w:rFonts w:ascii="Book Antiqua" w:eastAsia="宋体" w:hAnsi="Book Antiqua" w:cs="宋体"/>
          <w:sz w:val="24"/>
          <w:szCs w:val="24"/>
        </w:rPr>
        <w:t xml:space="preserve"> protocol to convert a drug-sensitive into a drug-tolerant anti-infliximab antibody immunoassay. </w:t>
      </w:r>
      <w:r w:rsidRPr="00A63850">
        <w:rPr>
          <w:rFonts w:ascii="Book Antiqua" w:eastAsia="宋体" w:hAnsi="Book Antiqua" w:cs="宋体"/>
          <w:i/>
          <w:iCs/>
          <w:sz w:val="24"/>
          <w:szCs w:val="24"/>
        </w:rPr>
        <w:t>Drug Test Anal</w:t>
      </w:r>
      <w:r w:rsidRPr="00A63850">
        <w:rPr>
          <w:rFonts w:ascii="Book Antiqua" w:eastAsia="宋体" w:hAnsi="Book Antiqua" w:cs="宋体"/>
          <w:sz w:val="24"/>
          <w:szCs w:val="24"/>
        </w:rPr>
        <w:t> 2016; [PMID: 26990872 DOI: 10.1002/dta.1968]</w:t>
      </w:r>
    </w:p>
    <w:p w14:paraId="2124349A"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33 </w:t>
      </w:r>
      <w:proofErr w:type="spellStart"/>
      <w:r w:rsidRPr="00A63850">
        <w:rPr>
          <w:rFonts w:ascii="Book Antiqua" w:eastAsia="宋体" w:hAnsi="Book Antiqua" w:cs="宋体"/>
          <w:b/>
          <w:bCs/>
          <w:sz w:val="24"/>
          <w:szCs w:val="24"/>
        </w:rPr>
        <w:t>Steenholdt</w:t>
      </w:r>
      <w:proofErr w:type="spellEnd"/>
      <w:r w:rsidRPr="00A63850">
        <w:rPr>
          <w:rFonts w:ascii="Book Antiqua" w:eastAsia="宋体" w:hAnsi="Book Antiqua" w:cs="宋体"/>
          <w:b/>
          <w:bCs/>
          <w:sz w:val="24"/>
          <w:szCs w:val="24"/>
        </w:rPr>
        <w:t xml:space="preserve"> C</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Bendtzen</w:t>
      </w:r>
      <w:proofErr w:type="spellEnd"/>
      <w:r w:rsidRPr="00A63850">
        <w:rPr>
          <w:rFonts w:ascii="Book Antiqua" w:eastAsia="宋体" w:hAnsi="Book Antiqua" w:cs="宋体"/>
          <w:sz w:val="24"/>
          <w:szCs w:val="24"/>
        </w:rPr>
        <w:t xml:space="preserve"> K, </w:t>
      </w:r>
      <w:proofErr w:type="spellStart"/>
      <w:r w:rsidRPr="00A63850">
        <w:rPr>
          <w:rFonts w:ascii="Book Antiqua" w:eastAsia="宋体" w:hAnsi="Book Antiqua" w:cs="宋体"/>
          <w:sz w:val="24"/>
          <w:szCs w:val="24"/>
        </w:rPr>
        <w:t>Brynskov</w:t>
      </w:r>
      <w:proofErr w:type="spellEnd"/>
      <w:r w:rsidRPr="00A63850">
        <w:rPr>
          <w:rFonts w:ascii="Book Antiqua" w:eastAsia="宋体" w:hAnsi="Book Antiqua" w:cs="宋体"/>
          <w:sz w:val="24"/>
          <w:szCs w:val="24"/>
        </w:rPr>
        <w:t xml:space="preserve"> J, Thomsen OØ, Ainsworth MA. Cut-off levels and diagnostic accuracy of infliximab trough levels and anti-infliximab antibodies in </w:t>
      </w:r>
      <w:proofErr w:type="spellStart"/>
      <w:r w:rsidRPr="00A63850">
        <w:rPr>
          <w:rFonts w:ascii="Book Antiqua" w:eastAsia="宋体" w:hAnsi="Book Antiqua" w:cs="宋体"/>
          <w:sz w:val="24"/>
          <w:szCs w:val="24"/>
        </w:rPr>
        <w:t>Crohn's</w:t>
      </w:r>
      <w:proofErr w:type="spellEnd"/>
      <w:r w:rsidRPr="00A63850">
        <w:rPr>
          <w:rFonts w:ascii="Book Antiqua" w:eastAsia="宋体" w:hAnsi="Book Antiqua" w:cs="宋体"/>
          <w:sz w:val="24"/>
          <w:szCs w:val="24"/>
        </w:rPr>
        <w:t xml:space="preserve"> disease. </w:t>
      </w:r>
      <w:proofErr w:type="spellStart"/>
      <w:r w:rsidRPr="00A63850">
        <w:rPr>
          <w:rFonts w:ascii="Book Antiqua" w:eastAsia="宋体" w:hAnsi="Book Antiqua" w:cs="宋体"/>
          <w:i/>
          <w:iCs/>
          <w:sz w:val="24"/>
          <w:szCs w:val="24"/>
        </w:rPr>
        <w:t>Scand</w:t>
      </w:r>
      <w:proofErr w:type="spellEnd"/>
      <w:r w:rsidRPr="00A63850">
        <w:rPr>
          <w:rFonts w:ascii="Book Antiqua" w:eastAsia="宋体" w:hAnsi="Book Antiqua" w:cs="宋体"/>
          <w:i/>
          <w:iCs/>
          <w:sz w:val="24"/>
          <w:szCs w:val="24"/>
        </w:rPr>
        <w:t xml:space="preserve"> J </w:t>
      </w:r>
      <w:proofErr w:type="spellStart"/>
      <w:r w:rsidRPr="00A63850">
        <w:rPr>
          <w:rFonts w:ascii="Book Antiqua" w:eastAsia="宋体" w:hAnsi="Book Antiqua" w:cs="宋体"/>
          <w:i/>
          <w:iCs/>
          <w:sz w:val="24"/>
          <w:szCs w:val="24"/>
        </w:rPr>
        <w:t>Gastroenterol</w:t>
      </w:r>
      <w:proofErr w:type="spellEnd"/>
      <w:r w:rsidRPr="00A63850">
        <w:rPr>
          <w:rFonts w:ascii="Book Antiqua" w:eastAsia="宋体" w:hAnsi="Book Antiqua" w:cs="宋体"/>
          <w:sz w:val="24"/>
          <w:szCs w:val="24"/>
        </w:rPr>
        <w:t> 2011; </w:t>
      </w:r>
      <w:r w:rsidRPr="00A63850">
        <w:rPr>
          <w:rFonts w:ascii="Book Antiqua" w:eastAsia="宋体" w:hAnsi="Book Antiqua" w:cs="宋体"/>
          <w:b/>
          <w:bCs/>
          <w:sz w:val="24"/>
          <w:szCs w:val="24"/>
        </w:rPr>
        <w:t>46</w:t>
      </w:r>
      <w:r w:rsidRPr="00A63850">
        <w:rPr>
          <w:rFonts w:ascii="Book Antiqua" w:eastAsia="宋体" w:hAnsi="Book Antiqua" w:cs="宋体"/>
          <w:sz w:val="24"/>
          <w:szCs w:val="24"/>
        </w:rPr>
        <w:t>: 310-318 [PMID: 21087119 DOI: 10.3109/00365521.2010.536254]</w:t>
      </w:r>
    </w:p>
    <w:p w14:paraId="0502B311"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34 </w:t>
      </w:r>
      <w:r w:rsidRPr="00A63850">
        <w:rPr>
          <w:rFonts w:ascii="Book Antiqua" w:eastAsia="宋体" w:hAnsi="Book Antiqua" w:cs="宋体"/>
          <w:b/>
          <w:bCs/>
          <w:sz w:val="24"/>
          <w:szCs w:val="24"/>
        </w:rPr>
        <w:t>Ainsworth MA</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Bendtzen</w:t>
      </w:r>
      <w:proofErr w:type="spellEnd"/>
      <w:r w:rsidRPr="00A63850">
        <w:rPr>
          <w:rFonts w:ascii="Book Antiqua" w:eastAsia="宋体" w:hAnsi="Book Antiqua" w:cs="宋体"/>
          <w:sz w:val="24"/>
          <w:szCs w:val="24"/>
        </w:rPr>
        <w:t xml:space="preserve"> K, </w:t>
      </w:r>
      <w:proofErr w:type="spellStart"/>
      <w:r w:rsidRPr="00A63850">
        <w:rPr>
          <w:rFonts w:ascii="Book Antiqua" w:eastAsia="宋体" w:hAnsi="Book Antiqua" w:cs="宋体"/>
          <w:sz w:val="24"/>
          <w:szCs w:val="24"/>
        </w:rPr>
        <w:t>Brynskov</w:t>
      </w:r>
      <w:proofErr w:type="spellEnd"/>
      <w:r w:rsidRPr="00A63850">
        <w:rPr>
          <w:rFonts w:ascii="Book Antiqua" w:eastAsia="宋体" w:hAnsi="Book Antiqua" w:cs="宋体"/>
          <w:sz w:val="24"/>
          <w:szCs w:val="24"/>
        </w:rPr>
        <w:t xml:space="preserve"> J. </w:t>
      </w:r>
      <w:proofErr w:type="spellStart"/>
      <w:r w:rsidRPr="00A63850">
        <w:rPr>
          <w:rFonts w:ascii="Book Antiqua" w:eastAsia="宋体" w:hAnsi="Book Antiqua" w:cs="宋体"/>
          <w:sz w:val="24"/>
          <w:szCs w:val="24"/>
        </w:rPr>
        <w:t>Tumor</w:t>
      </w:r>
      <w:proofErr w:type="spellEnd"/>
      <w:r w:rsidRPr="00A63850">
        <w:rPr>
          <w:rFonts w:ascii="Book Antiqua" w:eastAsia="宋体" w:hAnsi="Book Antiqua" w:cs="宋体"/>
          <w:sz w:val="24"/>
          <w:szCs w:val="24"/>
        </w:rPr>
        <w:t xml:space="preserve"> necrosis factor-alpha binding capacity and anti-infliximab antibodies measured by fluid-phase </w:t>
      </w:r>
      <w:proofErr w:type="spellStart"/>
      <w:r w:rsidRPr="00A63850">
        <w:rPr>
          <w:rFonts w:ascii="Book Antiqua" w:eastAsia="宋体" w:hAnsi="Book Antiqua" w:cs="宋体"/>
          <w:sz w:val="24"/>
          <w:szCs w:val="24"/>
        </w:rPr>
        <w:t>radioimmunoassays</w:t>
      </w:r>
      <w:proofErr w:type="spellEnd"/>
      <w:r w:rsidRPr="00A63850">
        <w:rPr>
          <w:rFonts w:ascii="Book Antiqua" w:eastAsia="宋体" w:hAnsi="Book Antiqua" w:cs="宋体"/>
          <w:sz w:val="24"/>
          <w:szCs w:val="24"/>
        </w:rPr>
        <w:t xml:space="preserve"> as predictors of clinical efficacy of infliximab in </w:t>
      </w:r>
      <w:proofErr w:type="spellStart"/>
      <w:r w:rsidRPr="00A63850">
        <w:rPr>
          <w:rFonts w:ascii="Book Antiqua" w:eastAsia="宋体" w:hAnsi="Book Antiqua" w:cs="宋体"/>
          <w:sz w:val="24"/>
          <w:szCs w:val="24"/>
        </w:rPr>
        <w:t>Crohn's</w:t>
      </w:r>
      <w:proofErr w:type="spellEnd"/>
      <w:r w:rsidRPr="00A63850">
        <w:rPr>
          <w:rFonts w:ascii="Book Antiqua" w:eastAsia="宋体" w:hAnsi="Book Antiqua" w:cs="宋体"/>
          <w:sz w:val="24"/>
          <w:szCs w:val="24"/>
        </w:rPr>
        <w:t xml:space="preserve"> </w:t>
      </w:r>
      <w:r w:rsidRPr="00A63850">
        <w:rPr>
          <w:rFonts w:ascii="Book Antiqua" w:eastAsia="宋体" w:hAnsi="Book Antiqua" w:cs="宋体"/>
          <w:sz w:val="24"/>
          <w:szCs w:val="24"/>
        </w:rPr>
        <w:lastRenderedPageBreak/>
        <w:t>disease. </w:t>
      </w:r>
      <w:r w:rsidRPr="00A63850">
        <w:rPr>
          <w:rFonts w:ascii="Book Antiqua" w:eastAsia="宋体" w:hAnsi="Book Antiqua" w:cs="宋体"/>
          <w:i/>
          <w:iCs/>
          <w:sz w:val="24"/>
          <w:szCs w:val="24"/>
        </w:rPr>
        <w:t xml:space="preserve">Am J </w:t>
      </w:r>
      <w:proofErr w:type="spellStart"/>
      <w:r w:rsidRPr="00A63850">
        <w:rPr>
          <w:rFonts w:ascii="Book Antiqua" w:eastAsia="宋体" w:hAnsi="Book Antiqua" w:cs="宋体"/>
          <w:i/>
          <w:iCs/>
          <w:sz w:val="24"/>
          <w:szCs w:val="24"/>
        </w:rPr>
        <w:t>Gastroenterol</w:t>
      </w:r>
      <w:proofErr w:type="spellEnd"/>
      <w:r w:rsidRPr="00A63850">
        <w:rPr>
          <w:rFonts w:ascii="Book Antiqua" w:eastAsia="宋体" w:hAnsi="Book Antiqua" w:cs="宋体"/>
          <w:sz w:val="24"/>
          <w:szCs w:val="24"/>
        </w:rPr>
        <w:t> 2008; </w:t>
      </w:r>
      <w:r w:rsidRPr="00A63850">
        <w:rPr>
          <w:rFonts w:ascii="Book Antiqua" w:eastAsia="宋体" w:hAnsi="Book Antiqua" w:cs="宋体"/>
          <w:b/>
          <w:bCs/>
          <w:sz w:val="24"/>
          <w:szCs w:val="24"/>
        </w:rPr>
        <w:t>103</w:t>
      </w:r>
      <w:r w:rsidRPr="00A63850">
        <w:rPr>
          <w:rFonts w:ascii="Book Antiqua" w:eastAsia="宋体" w:hAnsi="Book Antiqua" w:cs="宋体"/>
          <w:sz w:val="24"/>
          <w:szCs w:val="24"/>
        </w:rPr>
        <w:t>: 944-948 [PMID: 18028512 DOI: 10.1111/j.1572-0241.2007.01638.x]</w:t>
      </w:r>
    </w:p>
    <w:p w14:paraId="539C52B7"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35 </w:t>
      </w:r>
      <w:r w:rsidRPr="00A63850">
        <w:rPr>
          <w:rFonts w:ascii="Book Antiqua" w:eastAsia="宋体" w:hAnsi="Book Antiqua" w:cs="宋体"/>
          <w:b/>
          <w:bCs/>
          <w:sz w:val="24"/>
          <w:szCs w:val="24"/>
        </w:rPr>
        <w:t>Yamada A</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Sono</w:t>
      </w:r>
      <w:proofErr w:type="spellEnd"/>
      <w:r w:rsidRPr="00A63850">
        <w:rPr>
          <w:rFonts w:ascii="Book Antiqua" w:eastAsia="宋体" w:hAnsi="Book Antiqua" w:cs="宋体"/>
          <w:sz w:val="24"/>
          <w:szCs w:val="24"/>
        </w:rPr>
        <w:t xml:space="preserve"> K, </w:t>
      </w:r>
      <w:proofErr w:type="spellStart"/>
      <w:r w:rsidRPr="00A63850">
        <w:rPr>
          <w:rFonts w:ascii="Book Antiqua" w:eastAsia="宋体" w:hAnsi="Book Antiqua" w:cs="宋体"/>
          <w:sz w:val="24"/>
          <w:szCs w:val="24"/>
        </w:rPr>
        <w:t>Hosoe</w:t>
      </w:r>
      <w:proofErr w:type="spellEnd"/>
      <w:r w:rsidRPr="00A63850">
        <w:rPr>
          <w:rFonts w:ascii="Book Antiqua" w:eastAsia="宋体" w:hAnsi="Book Antiqua" w:cs="宋体"/>
          <w:sz w:val="24"/>
          <w:szCs w:val="24"/>
        </w:rPr>
        <w:t xml:space="preserve"> N, Takada N, Suzuki Y. Monitoring functional serum antitumor necrosis factor antibody level in </w:t>
      </w:r>
      <w:proofErr w:type="spellStart"/>
      <w:r w:rsidRPr="00A63850">
        <w:rPr>
          <w:rFonts w:ascii="Book Antiqua" w:eastAsia="宋体" w:hAnsi="Book Antiqua" w:cs="宋体"/>
          <w:sz w:val="24"/>
          <w:szCs w:val="24"/>
        </w:rPr>
        <w:t>Crohn's</w:t>
      </w:r>
      <w:proofErr w:type="spellEnd"/>
      <w:r w:rsidRPr="00A63850">
        <w:rPr>
          <w:rFonts w:ascii="Book Antiqua" w:eastAsia="宋体" w:hAnsi="Book Antiqua" w:cs="宋体"/>
          <w:sz w:val="24"/>
          <w:szCs w:val="24"/>
        </w:rPr>
        <w:t xml:space="preserve"> disease patients who maintained and those who lost response to anti-TNF. </w:t>
      </w:r>
      <w:proofErr w:type="spellStart"/>
      <w:r w:rsidRPr="00A63850">
        <w:rPr>
          <w:rFonts w:ascii="Book Antiqua" w:eastAsia="宋体" w:hAnsi="Book Antiqua" w:cs="宋体"/>
          <w:i/>
          <w:iCs/>
          <w:sz w:val="24"/>
          <w:szCs w:val="24"/>
        </w:rPr>
        <w:t>Inflamm</w:t>
      </w:r>
      <w:proofErr w:type="spellEnd"/>
      <w:r w:rsidRPr="00A63850">
        <w:rPr>
          <w:rFonts w:ascii="Book Antiqua" w:eastAsia="宋体" w:hAnsi="Book Antiqua" w:cs="宋体"/>
          <w:i/>
          <w:iCs/>
          <w:sz w:val="24"/>
          <w:szCs w:val="24"/>
        </w:rPr>
        <w:t xml:space="preserve"> Bowel Dis</w:t>
      </w:r>
      <w:r w:rsidRPr="00A63850">
        <w:rPr>
          <w:rFonts w:ascii="Book Antiqua" w:eastAsia="宋体" w:hAnsi="Book Antiqua" w:cs="宋体"/>
          <w:sz w:val="24"/>
          <w:szCs w:val="24"/>
        </w:rPr>
        <w:t> 2010; </w:t>
      </w:r>
      <w:r w:rsidRPr="00A63850">
        <w:rPr>
          <w:rFonts w:ascii="Book Antiqua" w:eastAsia="宋体" w:hAnsi="Book Antiqua" w:cs="宋体"/>
          <w:b/>
          <w:bCs/>
          <w:sz w:val="24"/>
          <w:szCs w:val="24"/>
        </w:rPr>
        <w:t>16</w:t>
      </w:r>
      <w:r w:rsidRPr="00A63850">
        <w:rPr>
          <w:rFonts w:ascii="Book Antiqua" w:eastAsia="宋体" w:hAnsi="Book Antiqua" w:cs="宋体"/>
          <w:sz w:val="24"/>
          <w:szCs w:val="24"/>
        </w:rPr>
        <w:t>: 1898-1904 [PMID: 20310016 DOI: 10.1002/ibd.21259]</w:t>
      </w:r>
    </w:p>
    <w:p w14:paraId="2F1E1185"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36 </w:t>
      </w:r>
      <w:proofErr w:type="spellStart"/>
      <w:r w:rsidRPr="00A63850">
        <w:rPr>
          <w:rFonts w:ascii="Book Antiqua" w:eastAsia="宋体" w:hAnsi="Book Antiqua" w:cs="宋体"/>
          <w:b/>
          <w:bCs/>
          <w:sz w:val="24"/>
          <w:szCs w:val="24"/>
        </w:rPr>
        <w:t>Pariente</w:t>
      </w:r>
      <w:proofErr w:type="spellEnd"/>
      <w:r w:rsidRPr="00A63850">
        <w:rPr>
          <w:rFonts w:ascii="Book Antiqua" w:eastAsia="宋体" w:hAnsi="Book Antiqua" w:cs="宋体"/>
          <w:b/>
          <w:bCs/>
          <w:sz w:val="24"/>
          <w:szCs w:val="24"/>
        </w:rPr>
        <w:t xml:space="preserve"> B</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Pineton</w:t>
      </w:r>
      <w:proofErr w:type="spellEnd"/>
      <w:r w:rsidRPr="00A63850">
        <w:rPr>
          <w:rFonts w:ascii="Book Antiqua" w:eastAsia="宋体" w:hAnsi="Book Antiqua" w:cs="宋体"/>
          <w:sz w:val="24"/>
          <w:szCs w:val="24"/>
        </w:rPr>
        <w:t xml:space="preserve"> de </w:t>
      </w:r>
      <w:proofErr w:type="spellStart"/>
      <w:r w:rsidRPr="00A63850">
        <w:rPr>
          <w:rFonts w:ascii="Book Antiqua" w:eastAsia="宋体" w:hAnsi="Book Antiqua" w:cs="宋体"/>
          <w:sz w:val="24"/>
          <w:szCs w:val="24"/>
        </w:rPr>
        <w:t>Chambrun</w:t>
      </w:r>
      <w:proofErr w:type="spellEnd"/>
      <w:r w:rsidRPr="00A63850">
        <w:rPr>
          <w:rFonts w:ascii="Book Antiqua" w:eastAsia="宋体" w:hAnsi="Book Antiqua" w:cs="宋体"/>
          <w:sz w:val="24"/>
          <w:szCs w:val="24"/>
        </w:rPr>
        <w:t xml:space="preserve"> G, </w:t>
      </w:r>
      <w:proofErr w:type="spellStart"/>
      <w:r w:rsidRPr="00A63850">
        <w:rPr>
          <w:rFonts w:ascii="Book Antiqua" w:eastAsia="宋体" w:hAnsi="Book Antiqua" w:cs="宋体"/>
          <w:sz w:val="24"/>
          <w:szCs w:val="24"/>
        </w:rPr>
        <w:t>Krzysiek</w:t>
      </w:r>
      <w:proofErr w:type="spellEnd"/>
      <w:r w:rsidRPr="00A63850">
        <w:rPr>
          <w:rFonts w:ascii="Book Antiqua" w:eastAsia="宋体" w:hAnsi="Book Antiqua" w:cs="宋体"/>
          <w:sz w:val="24"/>
          <w:szCs w:val="24"/>
        </w:rPr>
        <w:t xml:space="preserve"> R, </w:t>
      </w:r>
      <w:proofErr w:type="spellStart"/>
      <w:r w:rsidRPr="00A63850">
        <w:rPr>
          <w:rFonts w:ascii="Book Antiqua" w:eastAsia="宋体" w:hAnsi="Book Antiqua" w:cs="宋体"/>
          <w:sz w:val="24"/>
          <w:szCs w:val="24"/>
        </w:rPr>
        <w:t>Desroches</w:t>
      </w:r>
      <w:proofErr w:type="spellEnd"/>
      <w:r w:rsidRPr="00A63850">
        <w:rPr>
          <w:rFonts w:ascii="Book Antiqua" w:eastAsia="宋体" w:hAnsi="Book Antiqua" w:cs="宋体"/>
          <w:sz w:val="24"/>
          <w:szCs w:val="24"/>
        </w:rPr>
        <w:t xml:space="preserve"> M, Louis G, De </w:t>
      </w:r>
      <w:proofErr w:type="spellStart"/>
      <w:r w:rsidRPr="00A63850">
        <w:rPr>
          <w:rFonts w:ascii="Book Antiqua" w:eastAsia="宋体" w:hAnsi="Book Antiqua" w:cs="宋体"/>
          <w:sz w:val="24"/>
          <w:szCs w:val="24"/>
        </w:rPr>
        <w:t>Cassan</w:t>
      </w:r>
      <w:proofErr w:type="spellEnd"/>
      <w:r w:rsidRPr="00A63850">
        <w:rPr>
          <w:rFonts w:ascii="Book Antiqua" w:eastAsia="宋体" w:hAnsi="Book Antiqua" w:cs="宋体"/>
          <w:sz w:val="24"/>
          <w:szCs w:val="24"/>
        </w:rPr>
        <w:t xml:space="preserve"> C, </w:t>
      </w:r>
      <w:proofErr w:type="spellStart"/>
      <w:r w:rsidRPr="00A63850">
        <w:rPr>
          <w:rFonts w:ascii="Book Antiqua" w:eastAsia="宋体" w:hAnsi="Book Antiqua" w:cs="宋体"/>
          <w:sz w:val="24"/>
          <w:szCs w:val="24"/>
        </w:rPr>
        <w:t>Baudry</w:t>
      </w:r>
      <w:proofErr w:type="spellEnd"/>
      <w:r w:rsidRPr="00A63850">
        <w:rPr>
          <w:rFonts w:ascii="Book Antiqua" w:eastAsia="宋体" w:hAnsi="Book Antiqua" w:cs="宋体"/>
          <w:sz w:val="24"/>
          <w:szCs w:val="24"/>
        </w:rPr>
        <w:t xml:space="preserve"> C, </w:t>
      </w:r>
      <w:proofErr w:type="spellStart"/>
      <w:r w:rsidRPr="00A63850">
        <w:rPr>
          <w:rFonts w:ascii="Book Antiqua" w:eastAsia="宋体" w:hAnsi="Book Antiqua" w:cs="宋体"/>
          <w:sz w:val="24"/>
          <w:szCs w:val="24"/>
        </w:rPr>
        <w:t>Gornet</w:t>
      </w:r>
      <w:proofErr w:type="spellEnd"/>
      <w:r w:rsidRPr="00A63850">
        <w:rPr>
          <w:rFonts w:ascii="Book Antiqua" w:eastAsia="宋体" w:hAnsi="Book Antiqua" w:cs="宋体"/>
          <w:sz w:val="24"/>
          <w:szCs w:val="24"/>
        </w:rPr>
        <w:t xml:space="preserve"> JM, </w:t>
      </w:r>
      <w:proofErr w:type="spellStart"/>
      <w:r w:rsidRPr="00A63850">
        <w:rPr>
          <w:rFonts w:ascii="Book Antiqua" w:eastAsia="宋体" w:hAnsi="Book Antiqua" w:cs="宋体"/>
          <w:sz w:val="24"/>
          <w:szCs w:val="24"/>
        </w:rPr>
        <w:t>Desreumaux</w:t>
      </w:r>
      <w:proofErr w:type="spellEnd"/>
      <w:r w:rsidRPr="00A63850">
        <w:rPr>
          <w:rFonts w:ascii="Book Antiqua" w:eastAsia="宋体" w:hAnsi="Book Antiqua" w:cs="宋体"/>
          <w:sz w:val="24"/>
          <w:szCs w:val="24"/>
        </w:rPr>
        <w:t xml:space="preserve"> P, Emilie D, </w:t>
      </w:r>
      <w:proofErr w:type="spellStart"/>
      <w:r w:rsidRPr="00A63850">
        <w:rPr>
          <w:rFonts w:ascii="Book Antiqua" w:eastAsia="宋体" w:hAnsi="Book Antiqua" w:cs="宋体"/>
          <w:sz w:val="24"/>
          <w:szCs w:val="24"/>
        </w:rPr>
        <w:t>Colombel</w:t>
      </w:r>
      <w:proofErr w:type="spellEnd"/>
      <w:r w:rsidRPr="00A63850">
        <w:rPr>
          <w:rFonts w:ascii="Book Antiqua" w:eastAsia="宋体" w:hAnsi="Book Antiqua" w:cs="宋体"/>
          <w:sz w:val="24"/>
          <w:szCs w:val="24"/>
        </w:rPr>
        <w:t xml:space="preserve"> JF, </w:t>
      </w:r>
      <w:proofErr w:type="spellStart"/>
      <w:r w:rsidRPr="00A63850">
        <w:rPr>
          <w:rFonts w:ascii="Book Antiqua" w:eastAsia="宋体" w:hAnsi="Book Antiqua" w:cs="宋体"/>
          <w:sz w:val="24"/>
          <w:szCs w:val="24"/>
        </w:rPr>
        <w:t>Allez</w:t>
      </w:r>
      <w:proofErr w:type="spellEnd"/>
      <w:r w:rsidRPr="00A63850">
        <w:rPr>
          <w:rFonts w:ascii="Book Antiqua" w:eastAsia="宋体" w:hAnsi="Book Antiqua" w:cs="宋体"/>
          <w:sz w:val="24"/>
          <w:szCs w:val="24"/>
        </w:rPr>
        <w:t xml:space="preserve"> M. Trough levels and antibodies to infliximab may not predict response to intensification of infliximab therapy in patients with inflammatory bowel disease. </w:t>
      </w:r>
      <w:proofErr w:type="spellStart"/>
      <w:r w:rsidRPr="00A63850">
        <w:rPr>
          <w:rFonts w:ascii="Book Antiqua" w:eastAsia="宋体" w:hAnsi="Book Antiqua" w:cs="宋体"/>
          <w:i/>
          <w:iCs/>
          <w:sz w:val="24"/>
          <w:szCs w:val="24"/>
        </w:rPr>
        <w:t>Inflamm</w:t>
      </w:r>
      <w:proofErr w:type="spellEnd"/>
      <w:r w:rsidRPr="00A63850">
        <w:rPr>
          <w:rFonts w:ascii="Book Antiqua" w:eastAsia="宋体" w:hAnsi="Book Antiqua" w:cs="宋体"/>
          <w:i/>
          <w:iCs/>
          <w:sz w:val="24"/>
          <w:szCs w:val="24"/>
        </w:rPr>
        <w:t xml:space="preserve"> Bowel Dis</w:t>
      </w:r>
      <w:r w:rsidRPr="00A63850">
        <w:rPr>
          <w:rFonts w:ascii="Book Antiqua" w:eastAsia="宋体" w:hAnsi="Book Antiqua" w:cs="宋体"/>
          <w:sz w:val="24"/>
          <w:szCs w:val="24"/>
        </w:rPr>
        <w:t> 2012; </w:t>
      </w:r>
      <w:r w:rsidRPr="00A63850">
        <w:rPr>
          <w:rFonts w:ascii="Book Antiqua" w:eastAsia="宋体" w:hAnsi="Book Antiqua" w:cs="宋体"/>
          <w:b/>
          <w:bCs/>
          <w:sz w:val="24"/>
          <w:szCs w:val="24"/>
        </w:rPr>
        <w:t>18</w:t>
      </w:r>
      <w:r w:rsidRPr="00A63850">
        <w:rPr>
          <w:rFonts w:ascii="Book Antiqua" w:eastAsia="宋体" w:hAnsi="Book Antiqua" w:cs="宋体"/>
          <w:sz w:val="24"/>
          <w:szCs w:val="24"/>
        </w:rPr>
        <w:t>: 1199-1206 [PMID: 22127789]</w:t>
      </w:r>
    </w:p>
    <w:p w14:paraId="2F92E965" w14:textId="77777777" w:rsidR="00264FD1" w:rsidRDefault="00264FD1" w:rsidP="00264FD1">
      <w:pPr>
        <w:spacing w:line="360" w:lineRule="auto"/>
        <w:rPr>
          <w:rFonts w:ascii="Book Antiqua" w:eastAsia="宋体" w:hAnsi="Book Antiqua" w:cs="宋体"/>
          <w:i/>
          <w:sz w:val="24"/>
          <w:szCs w:val="24"/>
        </w:rPr>
      </w:pPr>
      <w:r>
        <w:rPr>
          <w:rFonts w:ascii="Book Antiqua" w:eastAsia="宋体" w:hAnsi="Book Antiqua" w:cs="宋体"/>
          <w:sz w:val="24"/>
          <w:szCs w:val="24"/>
        </w:rPr>
        <w:t xml:space="preserve">37 </w:t>
      </w:r>
      <w:proofErr w:type="spellStart"/>
      <w:r w:rsidRPr="00A63850">
        <w:rPr>
          <w:rFonts w:ascii="Book Antiqua" w:eastAsia="宋体" w:hAnsi="Book Antiqua" w:cs="宋体"/>
          <w:b/>
          <w:sz w:val="24"/>
          <w:szCs w:val="24"/>
        </w:rPr>
        <w:t>Karmiris</w:t>
      </w:r>
      <w:proofErr w:type="spellEnd"/>
      <w:r w:rsidRPr="00A63850">
        <w:rPr>
          <w:rFonts w:ascii="Book Antiqua" w:eastAsia="宋体" w:hAnsi="Book Antiqua" w:cs="宋体"/>
          <w:b/>
          <w:sz w:val="24"/>
          <w:szCs w:val="24"/>
        </w:rPr>
        <w:t xml:space="preserve"> K, </w:t>
      </w:r>
      <w:proofErr w:type="spellStart"/>
      <w:r w:rsidRPr="00A63850">
        <w:rPr>
          <w:rFonts w:ascii="Book Antiqua" w:eastAsia="宋体" w:hAnsi="Book Antiqua" w:cs="宋体"/>
          <w:sz w:val="24"/>
          <w:szCs w:val="24"/>
        </w:rPr>
        <w:t>Paintaud</w:t>
      </w:r>
      <w:proofErr w:type="spellEnd"/>
      <w:r w:rsidRPr="00A63850">
        <w:rPr>
          <w:rFonts w:ascii="Book Antiqua" w:eastAsia="宋体" w:hAnsi="Book Antiqua" w:cs="宋体"/>
          <w:sz w:val="24"/>
          <w:szCs w:val="24"/>
        </w:rPr>
        <w:t xml:space="preserve"> G, </w:t>
      </w:r>
      <w:proofErr w:type="spellStart"/>
      <w:r w:rsidRPr="00A63850">
        <w:rPr>
          <w:rFonts w:ascii="Book Antiqua" w:eastAsia="宋体" w:hAnsi="Book Antiqua" w:cs="宋体"/>
          <w:sz w:val="24"/>
          <w:szCs w:val="24"/>
        </w:rPr>
        <w:t>Noman</w:t>
      </w:r>
      <w:proofErr w:type="spellEnd"/>
      <w:r w:rsidRPr="00A63850">
        <w:rPr>
          <w:rFonts w:ascii="Book Antiqua" w:eastAsia="宋体" w:hAnsi="Book Antiqua" w:cs="宋体"/>
          <w:sz w:val="24"/>
          <w:szCs w:val="24"/>
        </w:rPr>
        <w:t xml:space="preserve"> M, </w:t>
      </w:r>
      <w:proofErr w:type="spellStart"/>
      <w:r w:rsidRPr="00A63850">
        <w:rPr>
          <w:rFonts w:ascii="Book Antiqua" w:eastAsia="宋体" w:hAnsi="Book Antiqua" w:cs="宋体"/>
          <w:sz w:val="24"/>
          <w:szCs w:val="24"/>
        </w:rPr>
        <w:t>Magdelaine-Beuzelin</w:t>
      </w:r>
      <w:proofErr w:type="spellEnd"/>
      <w:r w:rsidRPr="00A63850">
        <w:rPr>
          <w:rFonts w:ascii="Book Antiqua" w:eastAsia="宋体" w:hAnsi="Book Antiqua" w:cs="宋体"/>
          <w:sz w:val="24"/>
          <w:szCs w:val="24"/>
        </w:rPr>
        <w:t xml:space="preserve"> C, </w:t>
      </w:r>
      <w:proofErr w:type="spellStart"/>
      <w:r w:rsidRPr="00A63850">
        <w:rPr>
          <w:rFonts w:ascii="Book Antiqua" w:eastAsia="宋体" w:hAnsi="Book Antiqua" w:cs="宋体"/>
          <w:sz w:val="24"/>
          <w:szCs w:val="24"/>
        </w:rPr>
        <w:t>Ferrante</w:t>
      </w:r>
      <w:proofErr w:type="spellEnd"/>
      <w:r w:rsidRPr="00A63850">
        <w:rPr>
          <w:rFonts w:ascii="Book Antiqua" w:eastAsia="宋体" w:hAnsi="Book Antiqua" w:cs="宋体"/>
          <w:sz w:val="24"/>
          <w:szCs w:val="24"/>
        </w:rPr>
        <w:t xml:space="preserve"> M, </w:t>
      </w:r>
      <w:proofErr w:type="spellStart"/>
      <w:r w:rsidRPr="00A63850">
        <w:rPr>
          <w:rFonts w:ascii="Book Antiqua" w:eastAsia="宋体" w:hAnsi="Book Antiqua" w:cs="宋体"/>
          <w:sz w:val="24"/>
          <w:szCs w:val="24"/>
        </w:rPr>
        <w:t>Degenne</w:t>
      </w:r>
      <w:proofErr w:type="spellEnd"/>
      <w:r w:rsidRPr="00A63850">
        <w:rPr>
          <w:rFonts w:ascii="Book Antiqua" w:eastAsia="宋体" w:hAnsi="Book Antiqua" w:cs="宋体"/>
          <w:sz w:val="24"/>
          <w:szCs w:val="24"/>
        </w:rPr>
        <w:t xml:space="preserve"> D, </w:t>
      </w:r>
      <w:proofErr w:type="spellStart"/>
      <w:r w:rsidRPr="00A63850">
        <w:rPr>
          <w:rFonts w:ascii="Book Antiqua" w:eastAsia="宋体" w:hAnsi="Book Antiqua" w:cs="宋体"/>
          <w:sz w:val="24"/>
          <w:szCs w:val="24"/>
        </w:rPr>
        <w:t>Claes</w:t>
      </w:r>
      <w:proofErr w:type="spellEnd"/>
      <w:r w:rsidRPr="00A63850">
        <w:rPr>
          <w:rFonts w:ascii="Book Antiqua" w:eastAsia="宋体" w:hAnsi="Book Antiqua" w:cs="宋体"/>
          <w:sz w:val="24"/>
          <w:szCs w:val="24"/>
        </w:rPr>
        <w:t xml:space="preserve"> K, </w:t>
      </w:r>
      <w:proofErr w:type="spellStart"/>
      <w:r w:rsidRPr="00A63850">
        <w:rPr>
          <w:rFonts w:ascii="Book Antiqua" w:eastAsia="宋体" w:hAnsi="Book Antiqua" w:cs="宋体"/>
          <w:sz w:val="24"/>
          <w:szCs w:val="24"/>
        </w:rPr>
        <w:t>Coopman</w:t>
      </w:r>
      <w:proofErr w:type="spellEnd"/>
      <w:r w:rsidRPr="00A63850">
        <w:rPr>
          <w:rFonts w:ascii="Book Antiqua" w:eastAsia="宋体" w:hAnsi="Book Antiqua" w:cs="宋体"/>
          <w:sz w:val="24"/>
          <w:szCs w:val="24"/>
        </w:rPr>
        <w:t xml:space="preserve"> T, Van </w:t>
      </w:r>
      <w:proofErr w:type="spellStart"/>
      <w:r w:rsidRPr="00A63850">
        <w:rPr>
          <w:rFonts w:ascii="Book Antiqua" w:eastAsia="宋体" w:hAnsi="Book Antiqua" w:cs="宋体"/>
          <w:sz w:val="24"/>
          <w:szCs w:val="24"/>
        </w:rPr>
        <w:t>Schuerbeek</w:t>
      </w:r>
      <w:proofErr w:type="spellEnd"/>
      <w:r w:rsidRPr="00A63850">
        <w:rPr>
          <w:rFonts w:ascii="Book Antiqua" w:eastAsia="宋体" w:hAnsi="Book Antiqua" w:cs="宋体"/>
          <w:sz w:val="24"/>
          <w:szCs w:val="24"/>
        </w:rPr>
        <w:t xml:space="preserve"> N, Van </w:t>
      </w:r>
      <w:proofErr w:type="spellStart"/>
      <w:r w:rsidRPr="00A63850">
        <w:rPr>
          <w:rFonts w:ascii="Book Antiqua" w:eastAsia="宋体" w:hAnsi="Book Antiqua" w:cs="宋体"/>
          <w:sz w:val="24"/>
          <w:szCs w:val="24"/>
        </w:rPr>
        <w:t>Assche</w:t>
      </w:r>
      <w:proofErr w:type="spellEnd"/>
      <w:r w:rsidRPr="00A63850">
        <w:rPr>
          <w:rFonts w:ascii="Book Antiqua" w:eastAsia="宋体" w:hAnsi="Book Antiqua" w:cs="宋体"/>
          <w:sz w:val="24"/>
          <w:szCs w:val="24"/>
        </w:rPr>
        <w:t xml:space="preserve"> G, </w:t>
      </w:r>
      <w:proofErr w:type="spellStart"/>
      <w:r w:rsidRPr="00A63850">
        <w:rPr>
          <w:rFonts w:ascii="Book Antiqua" w:eastAsia="宋体" w:hAnsi="Book Antiqua" w:cs="宋体"/>
          <w:sz w:val="24"/>
          <w:szCs w:val="24"/>
        </w:rPr>
        <w:t>Vermeire</w:t>
      </w:r>
      <w:proofErr w:type="spellEnd"/>
      <w:r w:rsidRPr="00A63850">
        <w:rPr>
          <w:rFonts w:ascii="Book Antiqua" w:eastAsia="宋体" w:hAnsi="Book Antiqua" w:cs="宋体"/>
          <w:sz w:val="24"/>
          <w:szCs w:val="24"/>
        </w:rPr>
        <w:t xml:space="preserve"> S, </w:t>
      </w:r>
      <w:proofErr w:type="spellStart"/>
      <w:r w:rsidRPr="00A63850">
        <w:rPr>
          <w:rFonts w:ascii="Book Antiqua" w:eastAsia="宋体" w:hAnsi="Book Antiqua" w:cs="宋体"/>
          <w:sz w:val="24"/>
          <w:szCs w:val="24"/>
        </w:rPr>
        <w:t>Rutgeerts</w:t>
      </w:r>
      <w:proofErr w:type="spellEnd"/>
      <w:r w:rsidRPr="00A63850">
        <w:rPr>
          <w:rFonts w:ascii="Book Antiqua" w:eastAsia="宋体" w:hAnsi="Book Antiqua" w:cs="宋体"/>
          <w:sz w:val="24"/>
          <w:szCs w:val="24"/>
        </w:rPr>
        <w:t xml:space="preserve"> P. Influence of trough serum levels and immunogenicity on long-term outcome of </w:t>
      </w:r>
      <w:proofErr w:type="spellStart"/>
      <w:r w:rsidRPr="00A63850">
        <w:rPr>
          <w:rFonts w:ascii="Book Antiqua" w:eastAsia="宋体" w:hAnsi="Book Antiqua" w:cs="宋体"/>
          <w:sz w:val="24"/>
          <w:szCs w:val="24"/>
        </w:rPr>
        <w:t>adalim</w:t>
      </w:r>
      <w:r>
        <w:rPr>
          <w:rFonts w:ascii="Book Antiqua" w:eastAsia="宋体" w:hAnsi="Book Antiqua" w:cs="宋体"/>
          <w:sz w:val="24"/>
          <w:szCs w:val="24"/>
        </w:rPr>
        <w:t>umab</w:t>
      </w:r>
      <w:proofErr w:type="spellEnd"/>
      <w:r>
        <w:rPr>
          <w:rFonts w:ascii="Book Antiqua" w:eastAsia="宋体" w:hAnsi="Book Antiqua" w:cs="宋体"/>
          <w:sz w:val="24"/>
          <w:szCs w:val="24"/>
        </w:rPr>
        <w:t xml:space="preserve"> therapy in </w:t>
      </w:r>
      <w:proofErr w:type="spellStart"/>
      <w:r>
        <w:rPr>
          <w:rFonts w:ascii="Book Antiqua" w:eastAsia="宋体" w:hAnsi="Book Antiqua" w:cs="宋体"/>
          <w:sz w:val="24"/>
          <w:szCs w:val="24"/>
        </w:rPr>
        <w:t>Crohn's</w:t>
      </w:r>
      <w:proofErr w:type="spellEnd"/>
      <w:r>
        <w:rPr>
          <w:rFonts w:ascii="Book Antiqua" w:eastAsia="宋体" w:hAnsi="Book Antiqua" w:cs="宋体"/>
          <w:sz w:val="24"/>
          <w:szCs w:val="24"/>
        </w:rPr>
        <w:t xml:space="preserve"> disease. </w:t>
      </w:r>
      <w:r w:rsidRPr="00A63850">
        <w:rPr>
          <w:rFonts w:ascii="Book Antiqua" w:eastAsia="宋体" w:hAnsi="Book Antiqua" w:cs="宋体"/>
          <w:i/>
          <w:sz w:val="24"/>
          <w:szCs w:val="24"/>
        </w:rPr>
        <w:t>Gastroenterology</w:t>
      </w:r>
      <w:r w:rsidRPr="00A63850">
        <w:rPr>
          <w:rFonts w:ascii="Book Antiqua" w:eastAsia="宋体" w:hAnsi="Book Antiqua" w:cs="宋体"/>
          <w:sz w:val="24"/>
          <w:szCs w:val="24"/>
        </w:rPr>
        <w:t xml:space="preserve"> 2009;</w:t>
      </w:r>
      <w:r>
        <w:rPr>
          <w:rFonts w:ascii="Book Antiqua" w:eastAsia="宋体" w:hAnsi="Book Antiqua" w:cs="宋体" w:hint="eastAsia"/>
          <w:sz w:val="24"/>
          <w:szCs w:val="24"/>
        </w:rPr>
        <w:t xml:space="preserve"> </w:t>
      </w:r>
      <w:r w:rsidRPr="00A63850">
        <w:rPr>
          <w:rFonts w:ascii="Book Antiqua" w:eastAsia="宋体" w:hAnsi="Book Antiqua" w:cs="宋体"/>
          <w:b/>
          <w:sz w:val="24"/>
          <w:szCs w:val="24"/>
        </w:rPr>
        <w:t>137</w:t>
      </w:r>
      <w:r w:rsidRPr="00A63850">
        <w:rPr>
          <w:rFonts w:ascii="Book Antiqua" w:eastAsia="宋体" w:hAnsi="Book Antiqua" w:cs="宋体"/>
          <w:sz w:val="24"/>
          <w:szCs w:val="24"/>
        </w:rPr>
        <w:t>:</w:t>
      </w:r>
      <w:r>
        <w:rPr>
          <w:rFonts w:ascii="Book Antiqua" w:eastAsia="宋体" w:hAnsi="Book Antiqua" w:cs="宋体" w:hint="eastAsia"/>
          <w:sz w:val="24"/>
          <w:szCs w:val="24"/>
        </w:rPr>
        <w:t xml:space="preserve"> </w:t>
      </w:r>
      <w:r w:rsidRPr="00A63850">
        <w:rPr>
          <w:rFonts w:ascii="Book Antiqua" w:eastAsia="宋体" w:hAnsi="Book Antiqua" w:cs="宋体"/>
          <w:sz w:val="24"/>
          <w:szCs w:val="24"/>
        </w:rPr>
        <w:t>1628-</w:t>
      </w:r>
      <w:r>
        <w:rPr>
          <w:rFonts w:ascii="Book Antiqua" w:eastAsia="宋体" w:hAnsi="Book Antiqua" w:cs="宋体" w:hint="eastAsia"/>
          <w:sz w:val="24"/>
          <w:szCs w:val="24"/>
        </w:rPr>
        <w:t>16</w:t>
      </w:r>
      <w:r w:rsidRPr="00A63850">
        <w:rPr>
          <w:rFonts w:ascii="Book Antiqua" w:eastAsia="宋体" w:hAnsi="Book Antiqua" w:cs="宋体"/>
          <w:sz w:val="24"/>
          <w:szCs w:val="24"/>
        </w:rPr>
        <w:t>40</w:t>
      </w:r>
    </w:p>
    <w:p w14:paraId="32108582"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38 </w:t>
      </w:r>
      <w:proofErr w:type="spellStart"/>
      <w:r w:rsidRPr="00A63850">
        <w:rPr>
          <w:rFonts w:ascii="Book Antiqua" w:eastAsia="宋体" w:hAnsi="Book Antiqua" w:cs="宋体"/>
          <w:b/>
          <w:bCs/>
          <w:sz w:val="24"/>
          <w:szCs w:val="24"/>
        </w:rPr>
        <w:t>Marits</w:t>
      </w:r>
      <w:proofErr w:type="spellEnd"/>
      <w:r w:rsidRPr="00A63850">
        <w:rPr>
          <w:rFonts w:ascii="Book Antiqua" w:eastAsia="宋体" w:hAnsi="Book Antiqua" w:cs="宋体"/>
          <w:b/>
          <w:bCs/>
          <w:sz w:val="24"/>
          <w:szCs w:val="24"/>
        </w:rPr>
        <w:t xml:space="preserve"> P</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Landucci</w:t>
      </w:r>
      <w:proofErr w:type="spellEnd"/>
      <w:r w:rsidRPr="00A63850">
        <w:rPr>
          <w:rFonts w:ascii="Book Antiqua" w:eastAsia="宋体" w:hAnsi="Book Antiqua" w:cs="宋体"/>
          <w:sz w:val="24"/>
          <w:szCs w:val="24"/>
        </w:rPr>
        <w:t xml:space="preserve"> L, </w:t>
      </w:r>
      <w:proofErr w:type="spellStart"/>
      <w:r w:rsidRPr="00A63850">
        <w:rPr>
          <w:rFonts w:ascii="Book Antiqua" w:eastAsia="宋体" w:hAnsi="Book Antiqua" w:cs="宋体"/>
          <w:sz w:val="24"/>
          <w:szCs w:val="24"/>
        </w:rPr>
        <w:t>Sundin</w:t>
      </w:r>
      <w:proofErr w:type="spellEnd"/>
      <w:r w:rsidRPr="00A63850">
        <w:rPr>
          <w:rFonts w:ascii="Book Antiqua" w:eastAsia="宋体" w:hAnsi="Book Antiqua" w:cs="宋体"/>
          <w:sz w:val="24"/>
          <w:szCs w:val="24"/>
        </w:rPr>
        <w:t xml:space="preserve"> U, </w:t>
      </w:r>
      <w:proofErr w:type="spellStart"/>
      <w:r w:rsidRPr="00A63850">
        <w:rPr>
          <w:rFonts w:ascii="Book Antiqua" w:eastAsia="宋体" w:hAnsi="Book Antiqua" w:cs="宋体"/>
          <w:sz w:val="24"/>
          <w:szCs w:val="24"/>
        </w:rPr>
        <w:t>Davidsdottir</w:t>
      </w:r>
      <w:proofErr w:type="spellEnd"/>
      <w:r w:rsidRPr="00A63850">
        <w:rPr>
          <w:rFonts w:ascii="Book Antiqua" w:eastAsia="宋体" w:hAnsi="Book Antiqua" w:cs="宋体"/>
          <w:sz w:val="24"/>
          <w:szCs w:val="24"/>
        </w:rPr>
        <w:t xml:space="preserve"> L, Nilsson J, </w:t>
      </w:r>
      <w:proofErr w:type="spellStart"/>
      <w:r w:rsidRPr="00A63850">
        <w:rPr>
          <w:rFonts w:ascii="Book Antiqua" w:eastAsia="宋体" w:hAnsi="Book Antiqua" w:cs="宋体"/>
          <w:sz w:val="24"/>
          <w:szCs w:val="24"/>
        </w:rPr>
        <w:t>Befrits</w:t>
      </w:r>
      <w:proofErr w:type="spellEnd"/>
      <w:r w:rsidRPr="00A63850">
        <w:rPr>
          <w:rFonts w:ascii="Book Antiqua" w:eastAsia="宋体" w:hAnsi="Book Antiqua" w:cs="宋体"/>
          <w:sz w:val="24"/>
          <w:szCs w:val="24"/>
        </w:rPr>
        <w:t xml:space="preserve"> R, </w:t>
      </w:r>
      <w:proofErr w:type="spellStart"/>
      <w:r w:rsidRPr="00A63850">
        <w:rPr>
          <w:rFonts w:ascii="Book Antiqua" w:eastAsia="宋体" w:hAnsi="Book Antiqua" w:cs="宋体"/>
          <w:sz w:val="24"/>
          <w:szCs w:val="24"/>
        </w:rPr>
        <w:t>Wikström</w:t>
      </w:r>
      <w:proofErr w:type="spellEnd"/>
      <w:r w:rsidRPr="00A63850">
        <w:rPr>
          <w:rFonts w:ascii="Book Antiqua" w:eastAsia="宋体" w:hAnsi="Book Antiqua" w:cs="宋体"/>
          <w:sz w:val="24"/>
          <w:szCs w:val="24"/>
        </w:rPr>
        <w:t xml:space="preserve"> AC, </w:t>
      </w:r>
      <w:proofErr w:type="spellStart"/>
      <w:r w:rsidRPr="00A63850">
        <w:rPr>
          <w:rFonts w:ascii="Book Antiqua" w:eastAsia="宋体" w:hAnsi="Book Antiqua" w:cs="宋体"/>
          <w:sz w:val="24"/>
          <w:szCs w:val="24"/>
        </w:rPr>
        <w:t>Eberhardson</w:t>
      </w:r>
      <w:proofErr w:type="spellEnd"/>
      <w:r w:rsidRPr="00A63850">
        <w:rPr>
          <w:rFonts w:ascii="Book Antiqua" w:eastAsia="宋体" w:hAnsi="Book Antiqua" w:cs="宋体"/>
          <w:sz w:val="24"/>
          <w:szCs w:val="24"/>
        </w:rPr>
        <w:t xml:space="preserve"> M. Trough s-infliximab and antibodies towards infliximab in a cohort of 79 IBD patients with maintenance infliximab treatment. </w:t>
      </w:r>
      <w:r w:rsidRPr="00A63850">
        <w:rPr>
          <w:rFonts w:ascii="Book Antiqua" w:eastAsia="宋体" w:hAnsi="Book Antiqua" w:cs="宋体"/>
          <w:i/>
          <w:iCs/>
          <w:sz w:val="24"/>
          <w:szCs w:val="24"/>
        </w:rPr>
        <w:t xml:space="preserve">J </w:t>
      </w:r>
      <w:proofErr w:type="spellStart"/>
      <w:r w:rsidRPr="00A63850">
        <w:rPr>
          <w:rFonts w:ascii="Book Antiqua" w:eastAsia="宋体" w:hAnsi="Book Antiqua" w:cs="宋体"/>
          <w:i/>
          <w:iCs/>
          <w:sz w:val="24"/>
          <w:szCs w:val="24"/>
        </w:rPr>
        <w:t>Crohns</w:t>
      </w:r>
      <w:proofErr w:type="spellEnd"/>
      <w:r w:rsidRPr="00A63850">
        <w:rPr>
          <w:rFonts w:ascii="Book Antiqua" w:eastAsia="宋体" w:hAnsi="Book Antiqua" w:cs="宋体"/>
          <w:i/>
          <w:iCs/>
          <w:sz w:val="24"/>
          <w:szCs w:val="24"/>
        </w:rPr>
        <w:t xml:space="preserve"> Colitis</w:t>
      </w:r>
      <w:r w:rsidRPr="00A63850">
        <w:rPr>
          <w:rFonts w:ascii="Book Antiqua" w:eastAsia="宋体" w:hAnsi="Book Antiqua" w:cs="宋体"/>
          <w:sz w:val="24"/>
          <w:szCs w:val="24"/>
        </w:rPr>
        <w:t> 2014; </w:t>
      </w:r>
      <w:r w:rsidRPr="00A63850">
        <w:rPr>
          <w:rFonts w:ascii="Book Antiqua" w:eastAsia="宋体" w:hAnsi="Book Antiqua" w:cs="宋体"/>
          <w:b/>
          <w:bCs/>
          <w:sz w:val="24"/>
          <w:szCs w:val="24"/>
        </w:rPr>
        <w:t>8</w:t>
      </w:r>
      <w:r w:rsidRPr="00A63850">
        <w:rPr>
          <w:rFonts w:ascii="Book Antiqua" w:eastAsia="宋体" w:hAnsi="Book Antiqua" w:cs="宋体"/>
          <w:sz w:val="24"/>
          <w:szCs w:val="24"/>
        </w:rPr>
        <w:t>: 881-889 [PMID: 24486178 DOI: 10.1016/j.crohns.2014.01.009]</w:t>
      </w:r>
    </w:p>
    <w:p w14:paraId="3EDEA072"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39 </w:t>
      </w:r>
      <w:proofErr w:type="spellStart"/>
      <w:r w:rsidRPr="00A63850">
        <w:rPr>
          <w:rFonts w:ascii="Book Antiqua" w:eastAsia="宋体" w:hAnsi="Book Antiqua" w:cs="宋体"/>
          <w:b/>
          <w:bCs/>
          <w:sz w:val="24"/>
          <w:szCs w:val="24"/>
        </w:rPr>
        <w:t>Bortlik</w:t>
      </w:r>
      <w:proofErr w:type="spellEnd"/>
      <w:r w:rsidRPr="00A63850">
        <w:rPr>
          <w:rFonts w:ascii="Book Antiqua" w:eastAsia="宋体" w:hAnsi="Book Antiqua" w:cs="宋体"/>
          <w:b/>
          <w:bCs/>
          <w:sz w:val="24"/>
          <w:szCs w:val="24"/>
        </w:rPr>
        <w:t xml:space="preserve"> M</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Duricova</w:t>
      </w:r>
      <w:proofErr w:type="spellEnd"/>
      <w:r w:rsidRPr="00A63850">
        <w:rPr>
          <w:rFonts w:ascii="Book Antiqua" w:eastAsia="宋体" w:hAnsi="Book Antiqua" w:cs="宋体"/>
          <w:sz w:val="24"/>
          <w:szCs w:val="24"/>
        </w:rPr>
        <w:t xml:space="preserve"> D, </w:t>
      </w:r>
      <w:proofErr w:type="spellStart"/>
      <w:r w:rsidRPr="00A63850">
        <w:rPr>
          <w:rFonts w:ascii="Book Antiqua" w:eastAsia="宋体" w:hAnsi="Book Antiqua" w:cs="宋体"/>
          <w:sz w:val="24"/>
          <w:szCs w:val="24"/>
        </w:rPr>
        <w:t>Malickova</w:t>
      </w:r>
      <w:proofErr w:type="spellEnd"/>
      <w:r w:rsidRPr="00A63850">
        <w:rPr>
          <w:rFonts w:ascii="Book Antiqua" w:eastAsia="宋体" w:hAnsi="Book Antiqua" w:cs="宋体"/>
          <w:sz w:val="24"/>
          <w:szCs w:val="24"/>
        </w:rPr>
        <w:t xml:space="preserve"> K, </w:t>
      </w:r>
      <w:proofErr w:type="spellStart"/>
      <w:r w:rsidRPr="00A63850">
        <w:rPr>
          <w:rFonts w:ascii="Book Antiqua" w:eastAsia="宋体" w:hAnsi="Book Antiqua" w:cs="宋体"/>
          <w:sz w:val="24"/>
          <w:szCs w:val="24"/>
        </w:rPr>
        <w:t>Machkova</w:t>
      </w:r>
      <w:proofErr w:type="spellEnd"/>
      <w:r w:rsidRPr="00A63850">
        <w:rPr>
          <w:rFonts w:ascii="Book Antiqua" w:eastAsia="宋体" w:hAnsi="Book Antiqua" w:cs="宋体"/>
          <w:sz w:val="24"/>
          <w:szCs w:val="24"/>
        </w:rPr>
        <w:t xml:space="preserve"> N, </w:t>
      </w:r>
      <w:proofErr w:type="spellStart"/>
      <w:r w:rsidRPr="00A63850">
        <w:rPr>
          <w:rFonts w:ascii="Book Antiqua" w:eastAsia="宋体" w:hAnsi="Book Antiqua" w:cs="宋体"/>
          <w:sz w:val="24"/>
          <w:szCs w:val="24"/>
        </w:rPr>
        <w:t>Bouzkova</w:t>
      </w:r>
      <w:proofErr w:type="spellEnd"/>
      <w:r w:rsidRPr="00A63850">
        <w:rPr>
          <w:rFonts w:ascii="Book Antiqua" w:eastAsia="宋体" w:hAnsi="Book Antiqua" w:cs="宋体"/>
          <w:sz w:val="24"/>
          <w:szCs w:val="24"/>
        </w:rPr>
        <w:t xml:space="preserve"> E, </w:t>
      </w:r>
      <w:proofErr w:type="spellStart"/>
      <w:r w:rsidRPr="00A63850">
        <w:rPr>
          <w:rFonts w:ascii="Book Antiqua" w:eastAsia="宋体" w:hAnsi="Book Antiqua" w:cs="宋体"/>
          <w:sz w:val="24"/>
          <w:szCs w:val="24"/>
        </w:rPr>
        <w:t>Hrdlicka</w:t>
      </w:r>
      <w:proofErr w:type="spellEnd"/>
      <w:r w:rsidRPr="00A63850">
        <w:rPr>
          <w:rFonts w:ascii="Book Antiqua" w:eastAsia="宋体" w:hAnsi="Book Antiqua" w:cs="宋体"/>
          <w:sz w:val="24"/>
          <w:szCs w:val="24"/>
        </w:rPr>
        <w:t xml:space="preserve"> L, </w:t>
      </w:r>
      <w:proofErr w:type="spellStart"/>
      <w:r w:rsidRPr="00A63850">
        <w:rPr>
          <w:rFonts w:ascii="Book Antiqua" w:eastAsia="宋体" w:hAnsi="Book Antiqua" w:cs="宋体"/>
          <w:sz w:val="24"/>
          <w:szCs w:val="24"/>
        </w:rPr>
        <w:t>Komarek</w:t>
      </w:r>
      <w:proofErr w:type="spellEnd"/>
      <w:r w:rsidRPr="00A63850">
        <w:rPr>
          <w:rFonts w:ascii="Book Antiqua" w:eastAsia="宋体" w:hAnsi="Book Antiqua" w:cs="宋体"/>
          <w:sz w:val="24"/>
          <w:szCs w:val="24"/>
        </w:rPr>
        <w:t xml:space="preserve"> A, Lukas M. Infliximab trough levels may predict sustained response to infliximab in patients with </w:t>
      </w:r>
      <w:proofErr w:type="spellStart"/>
      <w:r w:rsidRPr="00A63850">
        <w:rPr>
          <w:rFonts w:ascii="Book Antiqua" w:eastAsia="宋体" w:hAnsi="Book Antiqua" w:cs="宋体"/>
          <w:sz w:val="24"/>
          <w:szCs w:val="24"/>
        </w:rPr>
        <w:t>Crohn's</w:t>
      </w:r>
      <w:proofErr w:type="spellEnd"/>
      <w:r w:rsidRPr="00A63850">
        <w:rPr>
          <w:rFonts w:ascii="Book Antiqua" w:eastAsia="宋体" w:hAnsi="Book Antiqua" w:cs="宋体"/>
          <w:sz w:val="24"/>
          <w:szCs w:val="24"/>
        </w:rPr>
        <w:t xml:space="preserve"> disease. </w:t>
      </w:r>
      <w:r w:rsidRPr="00A63850">
        <w:rPr>
          <w:rFonts w:ascii="Book Antiqua" w:eastAsia="宋体" w:hAnsi="Book Antiqua" w:cs="宋体"/>
          <w:i/>
          <w:iCs/>
          <w:sz w:val="24"/>
          <w:szCs w:val="24"/>
        </w:rPr>
        <w:t xml:space="preserve">J </w:t>
      </w:r>
      <w:proofErr w:type="spellStart"/>
      <w:r w:rsidRPr="00A63850">
        <w:rPr>
          <w:rFonts w:ascii="Book Antiqua" w:eastAsia="宋体" w:hAnsi="Book Antiqua" w:cs="宋体"/>
          <w:i/>
          <w:iCs/>
          <w:sz w:val="24"/>
          <w:szCs w:val="24"/>
        </w:rPr>
        <w:t>Crohns</w:t>
      </w:r>
      <w:proofErr w:type="spellEnd"/>
      <w:r w:rsidRPr="00A63850">
        <w:rPr>
          <w:rFonts w:ascii="Book Antiqua" w:eastAsia="宋体" w:hAnsi="Book Antiqua" w:cs="宋体"/>
          <w:i/>
          <w:iCs/>
          <w:sz w:val="24"/>
          <w:szCs w:val="24"/>
        </w:rPr>
        <w:t xml:space="preserve"> Colitis</w:t>
      </w:r>
      <w:r w:rsidRPr="00A63850">
        <w:rPr>
          <w:rFonts w:ascii="Book Antiqua" w:eastAsia="宋体" w:hAnsi="Book Antiqua" w:cs="宋体"/>
          <w:sz w:val="24"/>
          <w:szCs w:val="24"/>
        </w:rPr>
        <w:t> 2013; </w:t>
      </w:r>
      <w:r w:rsidRPr="00A63850">
        <w:rPr>
          <w:rFonts w:ascii="Book Antiqua" w:eastAsia="宋体" w:hAnsi="Book Antiqua" w:cs="宋体"/>
          <w:b/>
          <w:bCs/>
          <w:sz w:val="24"/>
          <w:szCs w:val="24"/>
        </w:rPr>
        <w:t>7</w:t>
      </w:r>
      <w:r w:rsidRPr="00A63850">
        <w:rPr>
          <w:rFonts w:ascii="Book Antiqua" w:eastAsia="宋体" w:hAnsi="Book Antiqua" w:cs="宋体"/>
          <w:sz w:val="24"/>
          <w:szCs w:val="24"/>
        </w:rPr>
        <w:t>: 736-743 [PMID: 23200919 DOI: 10.1016/j.crohns.2012.10.019]</w:t>
      </w:r>
    </w:p>
    <w:p w14:paraId="7DBE158B"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40 </w:t>
      </w:r>
      <w:proofErr w:type="spellStart"/>
      <w:r w:rsidRPr="00A63850">
        <w:rPr>
          <w:rFonts w:ascii="Book Antiqua" w:eastAsia="宋体" w:hAnsi="Book Antiqua" w:cs="宋体"/>
          <w:b/>
          <w:bCs/>
          <w:sz w:val="24"/>
          <w:szCs w:val="24"/>
        </w:rPr>
        <w:t>Adedokun</w:t>
      </w:r>
      <w:proofErr w:type="spellEnd"/>
      <w:r w:rsidRPr="00A63850">
        <w:rPr>
          <w:rFonts w:ascii="Book Antiqua" w:eastAsia="宋体" w:hAnsi="Book Antiqua" w:cs="宋体"/>
          <w:b/>
          <w:bCs/>
          <w:sz w:val="24"/>
          <w:szCs w:val="24"/>
        </w:rPr>
        <w:t xml:space="preserve"> OJ</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Sandborn</w:t>
      </w:r>
      <w:proofErr w:type="spellEnd"/>
      <w:r w:rsidRPr="00A63850">
        <w:rPr>
          <w:rFonts w:ascii="Book Antiqua" w:eastAsia="宋体" w:hAnsi="Book Antiqua" w:cs="宋体"/>
          <w:sz w:val="24"/>
          <w:szCs w:val="24"/>
        </w:rPr>
        <w:t xml:space="preserve"> WJ, </w:t>
      </w:r>
      <w:proofErr w:type="spellStart"/>
      <w:r w:rsidRPr="00A63850">
        <w:rPr>
          <w:rFonts w:ascii="Book Antiqua" w:eastAsia="宋体" w:hAnsi="Book Antiqua" w:cs="宋体"/>
          <w:sz w:val="24"/>
          <w:szCs w:val="24"/>
        </w:rPr>
        <w:t>Feagan</w:t>
      </w:r>
      <w:proofErr w:type="spellEnd"/>
      <w:r w:rsidRPr="00A63850">
        <w:rPr>
          <w:rFonts w:ascii="Book Antiqua" w:eastAsia="宋体" w:hAnsi="Book Antiqua" w:cs="宋体"/>
          <w:sz w:val="24"/>
          <w:szCs w:val="24"/>
        </w:rPr>
        <w:t xml:space="preserve"> BG, </w:t>
      </w:r>
      <w:proofErr w:type="spellStart"/>
      <w:r w:rsidRPr="00A63850">
        <w:rPr>
          <w:rFonts w:ascii="Book Antiqua" w:eastAsia="宋体" w:hAnsi="Book Antiqua" w:cs="宋体"/>
          <w:sz w:val="24"/>
          <w:szCs w:val="24"/>
        </w:rPr>
        <w:t>Rutgeerts</w:t>
      </w:r>
      <w:proofErr w:type="spellEnd"/>
      <w:r w:rsidRPr="00A63850">
        <w:rPr>
          <w:rFonts w:ascii="Book Antiqua" w:eastAsia="宋体" w:hAnsi="Book Antiqua" w:cs="宋体"/>
          <w:sz w:val="24"/>
          <w:szCs w:val="24"/>
        </w:rPr>
        <w:t xml:space="preserve"> P, </w:t>
      </w:r>
      <w:proofErr w:type="spellStart"/>
      <w:r w:rsidRPr="00A63850">
        <w:rPr>
          <w:rFonts w:ascii="Book Antiqua" w:eastAsia="宋体" w:hAnsi="Book Antiqua" w:cs="宋体"/>
          <w:sz w:val="24"/>
          <w:szCs w:val="24"/>
        </w:rPr>
        <w:t>Xu</w:t>
      </w:r>
      <w:proofErr w:type="spellEnd"/>
      <w:r w:rsidRPr="00A63850">
        <w:rPr>
          <w:rFonts w:ascii="Book Antiqua" w:eastAsia="宋体" w:hAnsi="Book Antiqua" w:cs="宋体"/>
          <w:sz w:val="24"/>
          <w:szCs w:val="24"/>
        </w:rPr>
        <w:t xml:space="preserve"> Z, </w:t>
      </w:r>
      <w:proofErr w:type="spellStart"/>
      <w:r w:rsidRPr="00A63850">
        <w:rPr>
          <w:rFonts w:ascii="Book Antiqua" w:eastAsia="宋体" w:hAnsi="Book Antiqua" w:cs="宋体"/>
          <w:sz w:val="24"/>
          <w:szCs w:val="24"/>
        </w:rPr>
        <w:t>Marano</w:t>
      </w:r>
      <w:proofErr w:type="spellEnd"/>
      <w:r w:rsidRPr="00A63850">
        <w:rPr>
          <w:rFonts w:ascii="Book Antiqua" w:eastAsia="宋体" w:hAnsi="Book Antiqua" w:cs="宋体"/>
          <w:sz w:val="24"/>
          <w:szCs w:val="24"/>
        </w:rPr>
        <w:t xml:space="preserve"> CW, </w:t>
      </w:r>
      <w:proofErr w:type="spellStart"/>
      <w:r w:rsidRPr="00A63850">
        <w:rPr>
          <w:rFonts w:ascii="Book Antiqua" w:eastAsia="宋体" w:hAnsi="Book Antiqua" w:cs="宋体"/>
          <w:sz w:val="24"/>
          <w:szCs w:val="24"/>
        </w:rPr>
        <w:t>Johanns</w:t>
      </w:r>
      <w:proofErr w:type="spellEnd"/>
      <w:r w:rsidRPr="00A63850">
        <w:rPr>
          <w:rFonts w:ascii="Book Antiqua" w:eastAsia="宋体" w:hAnsi="Book Antiqua" w:cs="宋体"/>
          <w:sz w:val="24"/>
          <w:szCs w:val="24"/>
        </w:rPr>
        <w:t xml:space="preserve"> J, Zhou H, Davis HM, </w:t>
      </w:r>
      <w:proofErr w:type="spellStart"/>
      <w:r w:rsidRPr="00A63850">
        <w:rPr>
          <w:rFonts w:ascii="Book Antiqua" w:eastAsia="宋体" w:hAnsi="Book Antiqua" w:cs="宋体"/>
          <w:sz w:val="24"/>
          <w:szCs w:val="24"/>
        </w:rPr>
        <w:t>Cornillie</w:t>
      </w:r>
      <w:proofErr w:type="spellEnd"/>
      <w:r w:rsidRPr="00A63850">
        <w:rPr>
          <w:rFonts w:ascii="Book Antiqua" w:eastAsia="宋体" w:hAnsi="Book Antiqua" w:cs="宋体"/>
          <w:sz w:val="24"/>
          <w:szCs w:val="24"/>
        </w:rPr>
        <w:t xml:space="preserve"> F, </w:t>
      </w:r>
      <w:proofErr w:type="spellStart"/>
      <w:r w:rsidRPr="00A63850">
        <w:rPr>
          <w:rFonts w:ascii="Book Antiqua" w:eastAsia="宋体" w:hAnsi="Book Antiqua" w:cs="宋体"/>
          <w:sz w:val="24"/>
          <w:szCs w:val="24"/>
        </w:rPr>
        <w:t>Reinisch</w:t>
      </w:r>
      <w:proofErr w:type="spellEnd"/>
      <w:r w:rsidRPr="00A63850">
        <w:rPr>
          <w:rFonts w:ascii="Book Antiqua" w:eastAsia="宋体" w:hAnsi="Book Antiqua" w:cs="宋体"/>
          <w:sz w:val="24"/>
          <w:szCs w:val="24"/>
        </w:rPr>
        <w:t xml:space="preserve"> W. Association between serum concentration of infliximab and efficacy in adult patients with ulcerative colitis. </w:t>
      </w:r>
      <w:r w:rsidRPr="00A63850">
        <w:rPr>
          <w:rFonts w:ascii="Book Antiqua" w:eastAsia="宋体" w:hAnsi="Book Antiqua" w:cs="宋体"/>
          <w:i/>
          <w:iCs/>
          <w:sz w:val="24"/>
          <w:szCs w:val="24"/>
        </w:rPr>
        <w:t>Gastroenterology</w:t>
      </w:r>
      <w:r w:rsidRPr="00A63850">
        <w:rPr>
          <w:rFonts w:ascii="Book Antiqua" w:eastAsia="宋体" w:hAnsi="Book Antiqua" w:cs="宋体"/>
          <w:sz w:val="24"/>
          <w:szCs w:val="24"/>
        </w:rPr>
        <w:t> 2014; </w:t>
      </w:r>
      <w:r w:rsidRPr="00A63850">
        <w:rPr>
          <w:rFonts w:ascii="Book Antiqua" w:eastAsia="宋体" w:hAnsi="Book Antiqua" w:cs="宋体"/>
          <w:b/>
          <w:bCs/>
          <w:sz w:val="24"/>
          <w:szCs w:val="24"/>
        </w:rPr>
        <w:t>147</w:t>
      </w:r>
      <w:r w:rsidRPr="00A63850">
        <w:rPr>
          <w:rFonts w:ascii="Book Antiqua" w:eastAsia="宋体" w:hAnsi="Book Antiqua" w:cs="宋体"/>
          <w:sz w:val="24"/>
          <w:szCs w:val="24"/>
        </w:rPr>
        <w:t>: 1296-1307.e5 [PMID: 25173754 DOI: 10.1053/j.gastro.2014.08.035]</w:t>
      </w:r>
    </w:p>
    <w:p w14:paraId="004D776D"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lastRenderedPageBreak/>
        <w:t>41 </w:t>
      </w:r>
      <w:proofErr w:type="spellStart"/>
      <w:r w:rsidRPr="00A63850">
        <w:rPr>
          <w:rFonts w:ascii="Book Antiqua" w:eastAsia="宋体" w:hAnsi="Book Antiqua" w:cs="宋体"/>
          <w:b/>
          <w:bCs/>
          <w:sz w:val="24"/>
          <w:szCs w:val="24"/>
        </w:rPr>
        <w:t>Cornillie</w:t>
      </w:r>
      <w:proofErr w:type="spellEnd"/>
      <w:r w:rsidRPr="00A63850">
        <w:rPr>
          <w:rFonts w:ascii="Book Antiqua" w:eastAsia="宋体" w:hAnsi="Book Antiqua" w:cs="宋体"/>
          <w:b/>
          <w:bCs/>
          <w:sz w:val="24"/>
          <w:szCs w:val="24"/>
        </w:rPr>
        <w:t xml:space="preserve"> F</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Hanauer</w:t>
      </w:r>
      <w:proofErr w:type="spellEnd"/>
      <w:r w:rsidRPr="00A63850">
        <w:rPr>
          <w:rFonts w:ascii="Book Antiqua" w:eastAsia="宋体" w:hAnsi="Book Antiqua" w:cs="宋体"/>
          <w:sz w:val="24"/>
          <w:szCs w:val="24"/>
        </w:rPr>
        <w:t xml:space="preserve"> SB, Diamond RH, Wang J, Tang KL, </w:t>
      </w:r>
      <w:proofErr w:type="spellStart"/>
      <w:r w:rsidRPr="00A63850">
        <w:rPr>
          <w:rFonts w:ascii="Book Antiqua" w:eastAsia="宋体" w:hAnsi="Book Antiqua" w:cs="宋体"/>
          <w:sz w:val="24"/>
          <w:szCs w:val="24"/>
        </w:rPr>
        <w:t>Xu</w:t>
      </w:r>
      <w:proofErr w:type="spellEnd"/>
      <w:r w:rsidRPr="00A63850">
        <w:rPr>
          <w:rFonts w:ascii="Book Antiqua" w:eastAsia="宋体" w:hAnsi="Book Antiqua" w:cs="宋体"/>
          <w:sz w:val="24"/>
          <w:szCs w:val="24"/>
        </w:rPr>
        <w:t xml:space="preserve"> Z, </w:t>
      </w:r>
      <w:proofErr w:type="spellStart"/>
      <w:r w:rsidRPr="00A63850">
        <w:rPr>
          <w:rFonts w:ascii="Book Antiqua" w:eastAsia="宋体" w:hAnsi="Book Antiqua" w:cs="宋体"/>
          <w:sz w:val="24"/>
          <w:szCs w:val="24"/>
        </w:rPr>
        <w:t>Rutgeerts</w:t>
      </w:r>
      <w:proofErr w:type="spellEnd"/>
      <w:r w:rsidRPr="00A63850">
        <w:rPr>
          <w:rFonts w:ascii="Book Antiqua" w:eastAsia="宋体" w:hAnsi="Book Antiqua" w:cs="宋体"/>
          <w:sz w:val="24"/>
          <w:szCs w:val="24"/>
        </w:rPr>
        <w:t xml:space="preserve"> P, </w:t>
      </w:r>
      <w:proofErr w:type="spellStart"/>
      <w:r w:rsidRPr="00A63850">
        <w:rPr>
          <w:rFonts w:ascii="Book Antiqua" w:eastAsia="宋体" w:hAnsi="Book Antiqua" w:cs="宋体"/>
          <w:sz w:val="24"/>
          <w:szCs w:val="24"/>
        </w:rPr>
        <w:t>Vermeire</w:t>
      </w:r>
      <w:proofErr w:type="spellEnd"/>
      <w:r w:rsidRPr="00A63850">
        <w:rPr>
          <w:rFonts w:ascii="Book Antiqua" w:eastAsia="宋体" w:hAnsi="Book Antiqua" w:cs="宋体"/>
          <w:sz w:val="24"/>
          <w:szCs w:val="24"/>
        </w:rPr>
        <w:t xml:space="preserve"> S. </w:t>
      </w:r>
      <w:proofErr w:type="spellStart"/>
      <w:r w:rsidRPr="00A63850">
        <w:rPr>
          <w:rFonts w:ascii="Book Antiqua" w:eastAsia="宋体" w:hAnsi="Book Antiqua" w:cs="宋体"/>
          <w:sz w:val="24"/>
          <w:szCs w:val="24"/>
        </w:rPr>
        <w:t>Postinduction</w:t>
      </w:r>
      <w:proofErr w:type="spellEnd"/>
      <w:r w:rsidRPr="00A63850">
        <w:rPr>
          <w:rFonts w:ascii="Book Antiqua" w:eastAsia="宋体" w:hAnsi="Book Antiqua" w:cs="宋体"/>
          <w:sz w:val="24"/>
          <w:szCs w:val="24"/>
        </w:rPr>
        <w:t xml:space="preserve"> serum infliximab trough level and decrease of C-reactive protein level are associated with durable sustained response to infliximab: a retrospective analysis of the ACCENT I trial. </w:t>
      </w:r>
      <w:r w:rsidRPr="00A63850">
        <w:rPr>
          <w:rFonts w:ascii="Book Antiqua" w:eastAsia="宋体" w:hAnsi="Book Antiqua" w:cs="宋体"/>
          <w:i/>
          <w:iCs/>
          <w:sz w:val="24"/>
          <w:szCs w:val="24"/>
        </w:rPr>
        <w:t>Gut</w:t>
      </w:r>
      <w:r w:rsidRPr="00A63850">
        <w:rPr>
          <w:rFonts w:ascii="Book Antiqua" w:eastAsia="宋体" w:hAnsi="Book Antiqua" w:cs="宋体"/>
          <w:sz w:val="24"/>
          <w:szCs w:val="24"/>
        </w:rPr>
        <w:t> 2014; </w:t>
      </w:r>
      <w:r w:rsidRPr="00A63850">
        <w:rPr>
          <w:rFonts w:ascii="Book Antiqua" w:eastAsia="宋体" w:hAnsi="Book Antiqua" w:cs="宋体"/>
          <w:b/>
          <w:bCs/>
          <w:sz w:val="24"/>
          <w:szCs w:val="24"/>
        </w:rPr>
        <w:t>63</w:t>
      </w:r>
      <w:r w:rsidRPr="00A63850">
        <w:rPr>
          <w:rFonts w:ascii="Book Antiqua" w:eastAsia="宋体" w:hAnsi="Book Antiqua" w:cs="宋体"/>
          <w:sz w:val="24"/>
          <w:szCs w:val="24"/>
        </w:rPr>
        <w:t>: 1721-1727 [PMID: 24474383 DOI: 10.1136/gutjnl-2012-304094]</w:t>
      </w:r>
    </w:p>
    <w:p w14:paraId="36EB42E0" w14:textId="77777777" w:rsidR="00264FD1" w:rsidRPr="007B6D6A" w:rsidRDefault="00264FD1" w:rsidP="00264FD1">
      <w:pPr>
        <w:spacing w:line="360" w:lineRule="auto"/>
        <w:jc w:val="both"/>
        <w:rPr>
          <w:rFonts w:ascii="Book Antiqua" w:eastAsia="宋体" w:hAnsi="Book Antiqua" w:cs="宋体"/>
          <w:sz w:val="24"/>
          <w:szCs w:val="24"/>
        </w:rPr>
      </w:pPr>
      <w:r w:rsidRPr="007B6D6A">
        <w:rPr>
          <w:rFonts w:ascii="Book Antiqua" w:eastAsia="宋体" w:hAnsi="Book Antiqua" w:cs="宋体"/>
          <w:sz w:val="24"/>
          <w:szCs w:val="24"/>
        </w:rPr>
        <w:t>42 </w:t>
      </w:r>
      <w:proofErr w:type="spellStart"/>
      <w:r w:rsidRPr="007B6D6A">
        <w:rPr>
          <w:rFonts w:ascii="Book Antiqua" w:eastAsia="宋体" w:hAnsi="Book Antiqua" w:cs="宋体"/>
          <w:b/>
          <w:bCs/>
          <w:sz w:val="24"/>
          <w:szCs w:val="24"/>
        </w:rPr>
        <w:t>Reinisch</w:t>
      </w:r>
      <w:proofErr w:type="spellEnd"/>
      <w:r w:rsidRPr="007B6D6A">
        <w:rPr>
          <w:rFonts w:ascii="Book Antiqua" w:eastAsia="宋体" w:hAnsi="Book Antiqua" w:cs="宋体"/>
          <w:b/>
          <w:bCs/>
          <w:sz w:val="24"/>
          <w:szCs w:val="24"/>
        </w:rPr>
        <w:t xml:space="preserve"> W</w:t>
      </w:r>
      <w:r w:rsidRPr="007B6D6A">
        <w:rPr>
          <w:rFonts w:ascii="Book Antiqua" w:eastAsia="宋体" w:hAnsi="Book Antiqua" w:cs="宋体"/>
          <w:sz w:val="24"/>
          <w:szCs w:val="24"/>
        </w:rPr>
        <w:t xml:space="preserve">, </w:t>
      </w:r>
      <w:proofErr w:type="spellStart"/>
      <w:r w:rsidRPr="007B6D6A">
        <w:rPr>
          <w:rFonts w:ascii="Book Antiqua" w:eastAsia="宋体" w:hAnsi="Book Antiqua" w:cs="宋体"/>
          <w:sz w:val="24"/>
          <w:szCs w:val="24"/>
        </w:rPr>
        <w:t>Colombel</w:t>
      </w:r>
      <w:proofErr w:type="spellEnd"/>
      <w:r w:rsidRPr="007B6D6A">
        <w:rPr>
          <w:rFonts w:ascii="Book Antiqua" w:eastAsia="宋体" w:hAnsi="Book Antiqua" w:cs="宋体"/>
          <w:sz w:val="24"/>
          <w:szCs w:val="24"/>
        </w:rPr>
        <w:t xml:space="preserve"> JF, </w:t>
      </w:r>
      <w:proofErr w:type="spellStart"/>
      <w:r w:rsidRPr="007B6D6A">
        <w:rPr>
          <w:rFonts w:ascii="Book Antiqua" w:eastAsia="宋体" w:hAnsi="Book Antiqua" w:cs="宋体"/>
          <w:sz w:val="24"/>
          <w:szCs w:val="24"/>
        </w:rPr>
        <w:t>Sandborn</w:t>
      </w:r>
      <w:proofErr w:type="spellEnd"/>
      <w:r w:rsidRPr="007B6D6A">
        <w:rPr>
          <w:rFonts w:ascii="Book Antiqua" w:eastAsia="宋体" w:hAnsi="Book Antiqua" w:cs="宋体"/>
          <w:sz w:val="24"/>
          <w:szCs w:val="24"/>
        </w:rPr>
        <w:t xml:space="preserve"> WJ, </w:t>
      </w:r>
      <w:proofErr w:type="spellStart"/>
      <w:r w:rsidRPr="007B6D6A">
        <w:rPr>
          <w:rFonts w:ascii="Book Antiqua" w:eastAsia="宋体" w:hAnsi="Book Antiqua" w:cs="宋体"/>
          <w:sz w:val="24"/>
          <w:szCs w:val="24"/>
        </w:rPr>
        <w:t>Mantzaris</w:t>
      </w:r>
      <w:proofErr w:type="spellEnd"/>
      <w:r w:rsidRPr="007B6D6A">
        <w:rPr>
          <w:rFonts w:ascii="Book Antiqua" w:eastAsia="宋体" w:hAnsi="Book Antiqua" w:cs="宋体"/>
          <w:sz w:val="24"/>
          <w:szCs w:val="24"/>
        </w:rPr>
        <w:t xml:space="preserve"> GJ, </w:t>
      </w:r>
      <w:proofErr w:type="spellStart"/>
      <w:r w:rsidRPr="007B6D6A">
        <w:rPr>
          <w:rFonts w:ascii="Book Antiqua" w:eastAsia="宋体" w:hAnsi="Book Antiqua" w:cs="宋体"/>
          <w:sz w:val="24"/>
          <w:szCs w:val="24"/>
        </w:rPr>
        <w:t>Kornbluth</w:t>
      </w:r>
      <w:proofErr w:type="spellEnd"/>
      <w:r w:rsidRPr="007B6D6A">
        <w:rPr>
          <w:rFonts w:ascii="Book Antiqua" w:eastAsia="宋体" w:hAnsi="Book Antiqua" w:cs="宋体"/>
          <w:sz w:val="24"/>
          <w:szCs w:val="24"/>
        </w:rPr>
        <w:t xml:space="preserve"> A, </w:t>
      </w:r>
      <w:proofErr w:type="spellStart"/>
      <w:r w:rsidRPr="007B6D6A">
        <w:rPr>
          <w:rFonts w:ascii="Book Antiqua" w:eastAsia="宋体" w:hAnsi="Book Antiqua" w:cs="宋体"/>
          <w:sz w:val="24"/>
          <w:szCs w:val="24"/>
        </w:rPr>
        <w:t>Adedokun</w:t>
      </w:r>
      <w:proofErr w:type="spellEnd"/>
      <w:r w:rsidRPr="007B6D6A">
        <w:rPr>
          <w:rFonts w:ascii="Book Antiqua" w:eastAsia="宋体" w:hAnsi="Book Antiqua" w:cs="宋体"/>
          <w:sz w:val="24"/>
          <w:szCs w:val="24"/>
        </w:rPr>
        <w:t xml:space="preserve"> OJ, Miller M, Tang KL, </w:t>
      </w:r>
      <w:proofErr w:type="spellStart"/>
      <w:r w:rsidRPr="007B6D6A">
        <w:rPr>
          <w:rFonts w:ascii="Book Antiqua" w:eastAsia="宋体" w:hAnsi="Book Antiqua" w:cs="宋体"/>
          <w:sz w:val="24"/>
          <w:szCs w:val="24"/>
        </w:rPr>
        <w:t>Rutgeerts</w:t>
      </w:r>
      <w:proofErr w:type="spellEnd"/>
      <w:r w:rsidRPr="007B6D6A">
        <w:rPr>
          <w:rFonts w:ascii="Book Antiqua" w:eastAsia="宋体" w:hAnsi="Book Antiqua" w:cs="宋体"/>
          <w:sz w:val="24"/>
          <w:szCs w:val="24"/>
        </w:rPr>
        <w:t xml:space="preserve"> P, </w:t>
      </w:r>
      <w:proofErr w:type="spellStart"/>
      <w:r w:rsidRPr="007B6D6A">
        <w:rPr>
          <w:rFonts w:ascii="Book Antiqua" w:eastAsia="宋体" w:hAnsi="Book Antiqua" w:cs="宋体"/>
          <w:sz w:val="24"/>
          <w:szCs w:val="24"/>
        </w:rPr>
        <w:t>Cornillie</w:t>
      </w:r>
      <w:proofErr w:type="spellEnd"/>
      <w:r w:rsidRPr="007B6D6A">
        <w:rPr>
          <w:rFonts w:ascii="Book Antiqua" w:eastAsia="宋体" w:hAnsi="Book Antiqua" w:cs="宋体"/>
          <w:sz w:val="24"/>
          <w:szCs w:val="24"/>
        </w:rPr>
        <w:t xml:space="preserve"> F. Factors associated with short- and long-term outcomes of therapy for </w:t>
      </w:r>
      <w:proofErr w:type="spellStart"/>
      <w:r w:rsidRPr="007B6D6A">
        <w:rPr>
          <w:rFonts w:ascii="Book Antiqua" w:eastAsia="宋体" w:hAnsi="Book Antiqua" w:cs="宋体"/>
          <w:sz w:val="24"/>
          <w:szCs w:val="24"/>
        </w:rPr>
        <w:t>Crohn's</w:t>
      </w:r>
      <w:proofErr w:type="spellEnd"/>
      <w:r w:rsidRPr="007B6D6A">
        <w:rPr>
          <w:rFonts w:ascii="Book Antiqua" w:eastAsia="宋体" w:hAnsi="Book Antiqua" w:cs="宋体"/>
          <w:sz w:val="24"/>
          <w:szCs w:val="24"/>
        </w:rPr>
        <w:t xml:space="preserve"> disease. </w:t>
      </w:r>
      <w:proofErr w:type="spellStart"/>
      <w:r w:rsidRPr="007B6D6A">
        <w:rPr>
          <w:rFonts w:ascii="Book Antiqua" w:eastAsia="宋体" w:hAnsi="Book Antiqua" w:cs="宋体"/>
          <w:i/>
          <w:iCs/>
          <w:sz w:val="24"/>
          <w:szCs w:val="24"/>
        </w:rPr>
        <w:t>Clin</w:t>
      </w:r>
      <w:proofErr w:type="spellEnd"/>
      <w:r w:rsidRPr="007B6D6A">
        <w:rPr>
          <w:rFonts w:ascii="Book Antiqua" w:eastAsia="宋体" w:hAnsi="Book Antiqua" w:cs="宋体"/>
          <w:i/>
          <w:iCs/>
          <w:sz w:val="24"/>
          <w:szCs w:val="24"/>
        </w:rPr>
        <w:t xml:space="preserve"> </w:t>
      </w:r>
      <w:proofErr w:type="spellStart"/>
      <w:r w:rsidRPr="007B6D6A">
        <w:rPr>
          <w:rFonts w:ascii="Book Antiqua" w:eastAsia="宋体" w:hAnsi="Book Antiqua" w:cs="宋体"/>
          <w:i/>
          <w:iCs/>
          <w:sz w:val="24"/>
          <w:szCs w:val="24"/>
        </w:rPr>
        <w:t>Gastroenterol</w:t>
      </w:r>
      <w:proofErr w:type="spellEnd"/>
      <w:r w:rsidRPr="007B6D6A">
        <w:rPr>
          <w:rFonts w:ascii="Book Antiqua" w:eastAsia="宋体" w:hAnsi="Book Antiqua" w:cs="宋体"/>
          <w:i/>
          <w:iCs/>
          <w:sz w:val="24"/>
          <w:szCs w:val="24"/>
        </w:rPr>
        <w:t xml:space="preserve"> </w:t>
      </w:r>
      <w:proofErr w:type="spellStart"/>
      <w:r w:rsidRPr="007B6D6A">
        <w:rPr>
          <w:rFonts w:ascii="Book Antiqua" w:eastAsia="宋体" w:hAnsi="Book Antiqua" w:cs="宋体"/>
          <w:i/>
          <w:iCs/>
          <w:sz w:val="24"/>
          <w:szCs w:val="24"/>
        </w:rPr>
        <w:t>Hepatol</w:t>
      </w:r>
      <w:proofErr w:type="spellEnd"/>
      <w:r w:rsidRPr="007B6D6A">
        <w:rPr>
          <w:rFonts w:ascii="Book Antiqua" w:eastAsia="宋体" w:hAnsi="Book Antiqua" w:cs="宋体"/>
          <w:sz w:val="24"/>
          <w:szCs w:val="24"/>
        </w:rPr>
        <w:t> 2015; </w:t>
      </w:r>
      <w:r w:rsidRPr="007B6D6A">
        <w:rPr>
          <w:rFonts w:ascii="Book Antiqua" w:eastAsia="宋体" w:hAnsi="Book Antiqua" w:cs="宋体"/>
          <w:b/>
          <w:bCs/>
          <w:sz w:val="24"/>
          <w:szCs w:val="24"/>
        </w:rPr>
        <w:t>13</w:t>
      </w:r>
      <w:r w:rsidRPr="007B6D6A">
        <w:rPr>
          <w:rFonts w:ascii="Book Antiqua" w:eastAsia="宋体" w:hAnsi="Book Antiqua" w:cs="宋体"/>
          <w:sz w:val="24"/>
          <w:szCs w:val="24"/>
        </w:rPr>
        <w:t>: 539-547.e2 [PMID: 25245629 DOI: 10.1016/j.cgh.2014.09.031]</w:t>
      </w:r>
    </w:p>
    <w:p w14:paraId="7A7160A4"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43 </w:t>
      </w:r>
      <w:proofErr w:type="spellStart"/>
      <w:r w:rsidRPr="00A63850">
        <w:rPr>
          <w:rFonts w:ascii="Book Antiqua" w:eastAsia="宋体" w:hAnsi="Book Antiqua" w:cs="宋体"/>
          <w:b/>
          <w:bCs/>
          <w:sz w:val="24"/>
          <w:szCs w:val="24"/>
        </w:rPr>
        <w:t>Imaeda</w:t>
      </w:r>
      <w:proofErr w:type="spellEnd"/>
      <w:r w:rsidRPr="00A63850">
        <w:rPr>
          <w:rFonts w:ascii="Book Antiqua" w:eastAsia="宋体" w:hAnsi="Book Antiqua" w:cs="宋体"/>
          <w:b/>
          <w:bCs/>
          <w:sz w:val="24"/>
          <w:szCs w:val="24"/>
        </w:rPr>
        <w:t xml:space="preserve"> H</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Bamba</w:t>
      </w:r>
      <w:proofErr w:type="spellEnd"/>
      <w:r w:rsidRPr="00A63850">
        <w:rPr>
          <w:rFonts w:ascii="Book Antiqua" w:eastAsia="宋体" w:hAnsi="Book Antiqua" w:cs="宋体"/>
          <w:sz w:val="24"/>
          <w:szCs w:val="24"/>
        </w:rPr>
        <w:t xml:space="preserve"> S, Takahashi K, Fujimoto T, Ban H, </w:t>
      </w:r>
      <w:proofErr w:type="spellStart"/>
      <w:r w:rsidRPr="00A63850">
        <w:rPr>
          <w:rFonts w:ascii="Book Antiqua" w:eastAsia="宋体" w:hAnsi="Book Antiqua" w:cs="宋体"/>
          <w:sz w:val="24"/>
          <w:szCs w:val="24"/>
        </w:rPr>
        <w:t>Tsujikawa</w:t>
      </w:r>
      <w:proofErr w:type="spellEnd"/>
      <w:r w:rsidRPr="00A63850">
        <w:rPr>
          <w:rFonts w:ascii="Book Antiqua" w:eastAsia="宋体" w:hAnsi="Book Antiqua" w:cs="宋体"/>
          <w:sz w:val="24"/>
          <w:szCs w:val="24"/>
        </w:rPr>
        <w:t xml:space="preserve"> T, Sasaki M, Fujiyama Y, </w:t>
      </w:r>
      <w:proofErr w:type="spellStart"/>
      <w:r w:rsidRPr="00A63850">
        <w:rPr>
          <w:rFonts w:ascii="Book Antiqua" w:eastAsia="宋体" w:hAnsi="Book Antiqua" w:cs="宋体"/>
          <w:sz w:val="24"/>
          <w:szCs w:val="24"/>
        </w:rPr>
        <w:t>Andoh</w:t>
      </w:r>
      <w:proofErr w:type="spellEnd"/>
      <w:r w:rsidRPr="00A63850">
        <w:rPr>
          <w:rFonts w:ascii="Book Antiqua" w:eastAsia="宋体" w:hAnsi="Book Antiqua" w:cs="宋体"/>
          <w:sz w:val="24"/>
          <w:szCs w:val="24"/>
        </w:rPr>
        <w:t xml:space="preserve"> A. Relationship between serum infliximab trough levels and endoscopic activities in patients with </w:t>
      </w:r>
      <w:proofErr w:type="spellStart"/>
      <w:r w:rsidRPr="00A63850">
        <w:rPr>
          <w:rFonts w:ascii="Book Antiqua" w:eastAsia="宋体" w:hAnsi="Book Antiqua" w:cs="宋体"/>
          <w:sz w:val="24"/>
          <w:szCs w:val="24"/>
        </w:rPr>
        <w:t>Crohn's</w:t>
      </w:r>
      <w:proofErr w:type="spellEnd"/>
      <w:r w:rsidRPr="00A63850">
        <w:rPr>
          <w:rFonts w:ascii="Book Antiqua" w:eastAsia="宋体" w:hAnsi="Book Antiqua" w:cs="宋体"/>
          <w:sz w:val="24"/>
          <w:szCs w:val="24"/>
        </w:rPr>
        <w:t xml:space="preserve"> disease under scheduled maintenance treatment. </w:t>
      </w:r>
      <w:r w:rsidRPr="00A63850">
        <w:rPr>
          <w:rFonts w:ascii="Book Antiqua" w:eastAsia="宋体" w:hAnsi="Book Antiqua" w:cs="宋体"/>
          <w:i/>
          <w:iCs/>
          <w:sz w:val="24"/>
          <w:szCs w:val="24"/>
        </w:rPr>
        <w:t xml:space="preserve">J </w:t>
      </w:r>
      <w:proofErr w:type="spellStart"/>
      <w:r w:rsidRPr="00A63850">
        <w:rPr>
          <w:rFonts w:ascii="Book Antiqua" w:eastAsia="宋体" w:hAnsi="Book Antiqua" w:cs="宋体"/>
          <w:i/>
          <w:iCs/>
          <w:sz w:val="24"/>
          <w:szCs w:val="24"/>
        </w:rPr>
        <w:t>Gastroenterol</w:t>
      </w:r>
      <w:proofErr w:type="spellEnd"/>
      <w:r w:rsidRPr="00A63850">
        <w:rPr>
          <w:rFonts w:ascii="Book Antiqua" w:eastAsia="宋体" w:hAnsi="Book Antiqua" w:cs="宋体"/>
          <w:sz w:val="24"/>
          <w:szCs w:val="24"/>
        </w:rPr>
        <w:t> 2014; </w:t>
      </w:r>
      <w:r w:rsidRPr="00A63850">
        <w:rPr>
          <w:rFonts w:ascii="Book Antiqua" w:eastAsia="宋体" w:hAnsi="Book Antiqua" w:cs="宋体"/>
          <w:b/>
          <w:bCs/>
          <w:sz w:val="24"/>
          <w:szCs w:val="24"/>
        </w:rPr>
        <w:t>49</w:t>
      </w:r>
      <w:r w:rsidRPr="00A63850">
        <w:rPr>
          <w:rFonts w:ascii="Book Antiqua" w:eastAsia="宋体" w:hAnsi="Book Antiqua" w:cs="宋体"/>
          <w:sz w:val="24"/>
          <w:szCs w:val="24"/>
        </w:rPr>
        <w:t>: 674-682 [PMID: 23666424 DOI: 10.1007/s00535-013-0829-7]</w:t>
      </w:r>
    </w:p>
    <w:p w14:paraId="6A9576ED"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44 </w:t>
      </w:r>
      <w:proofErr w:type="spellStart"/>
      <w:r w:rsidRPr="00A63850">
        <w:rPr>
          <w:rFonts w:ascii="Book Antiqua" w:eastAsia="宋体" w:hAnsi="Book Antiqua" w:cs="宋体"/>
          <w:b/>
          <w:bCs/>
          <w:sz w:val="24"/>
          <w:szCs w:val="24"/>
        </w:rPr>
        <w:t>Roblin</w:t>
      </w:r>
      <w:proofErr w:type="spellEnd"/>
      <w:r w:rsidRPr="00A63850">
        <w:rPr>
          <w:rFonts w:ascii="Book Antiqua" w:eastAsia="宋体" w:hAnsi="Book Antiqua" w:cs="宋体"/>
          <w:b/>
          <w:bCs/>
          <w:sz w:val="24"/>
          <w:szCs w:val="24"/>
        </w:rPr>
        <w:t xml:space="preserve"> X</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Marotte</w:t>
      </w:r>
      <w:proofErr w:type="spellEnd"/>
      <w:r w:rsidRPr="00A63850">
        <w:rPr>
          <w:rFonts w:ascii="Book Antiqua" w:eastAsia="宋体" w:hAnsi="Book Antiqua" w:cs="宋体"/>
          <w:sz w:val="24"/>
          <w:szCs w:val="24"/>
        </w:rPr>
        <w:t xml:space="preserve"> H, </w:t>
      </w:r>
      <w:proofErr w:type="spellStart"/>
      <w:r w:rsidRPr="00A63850">
        <w:rPr>
          <w:rFonts w:ascii="Book Antiqua" w:eastAsia="宋体" w:hAnsi="Book Antiqua" w:cs="宋体"/>
          <w:sz w:val="24"/>
          <w:szCs w:val="24"/>
        </w:rPr>
        <w:t>Rinaudo</w:t>
      </w:r>
      <w:proofErr w:type="spellEnd"/>
      <w:r w:rsidRPr="00A63850">
        <w:rPr>
          <w:rFonts w:ascii="Book Antiqua" w:eastAsia="宋体" w:hAnsi="Book Antiqua" w:cs="宋体"/>
          <w:sz w:val="24"/>
          <w:szCs w:val="24"/>
        </w:rPr>
        <w:t xml:space="preserve"> M, Del Tedesco E, Moreau A, </w:t>
      </w:r>
      <w:proofErr w:type="spellStart"/>
      <w:r w:rsidRPr="00A63850">
        <w:rPr>
          <w:rFonts w:ascii="Book Antiqua" w:eastAsia="宋体" w:hAnsi="Book Antiqua" w:cs="宋体"/>
          <w:sz w:val="24"/>
          <w:szCs w:val="24"/>
        </w:rPr>
        <w:t>Phelip</w:t>
      </w:r>
      <w:proofErr w:type="spellEnd"/>
      <w:r w:rsidRPr="00A63850">
        <w:rPr>
          <w:rFonts w:ascii="Book Antiqua" w:eastAsia="宋体" w:hAnsi="Book Antiqua" w:cs="宋体"/>
          <w:sz w:val="24"/>
          <w:szCs w:val="24"/>
        </w:rPr>
        <w:t xml:space="preserve"> JM, </w:t>
      </w:r>
      <w:proofErr w:type="spellStart"/>
      <w:r w:rsidRPr="00A63850">
        <w:rPr>
          <w:rFonts w:ascii="Book Antiqua" w:eastAsia="宋体" w:hAnsi="Book Antiqua" w:cs="宋体"/>
          <w:sz w:val="24"/>
          <w:szCs w:val="24"/>
        </w:rPr>
        <w:t>Genin</w:t>
      </w:r>
      <w:proofErr w:type="spellEnd"/>
      <w:r w:rsidRPr="00A63850">
        <w:rPr>
          <w:rFonts w:ascii="Book Antiqua" w:eastAsia="宋体" w:hAnsi="Book Antiqua" w:cs="宋体"/>
          <w:sz w:val="24"/>
          <w:szCs w:val="24"/>
        </w:rPr>
        <w:t xml:space="preserve"> C, </w:t>
      </w:r>
      <w:proofErr w:type="spellStart"/>
      <w:r w:rsidRPr="00A63850">
        <w:rPr>
          <w:rFonts w:ascii="Book Antiqua" w:eastAsia="宋体" w:hAnsi="Book Antiqua" w:cs="宋体"/>
          <w:sz w:val="24"/>
          <w:szCs w:val="24"/>
        </w:rPr>
        <w:t>Peyrin-Biroulet</w:t>
      </w:r>
      <w:proofErr w:type="spellEnd"/>
      <w:r w:rsidRPr="00A63850">
        <w:rPr>
          <w:rFonts w:ascii="Book Antiqua" w:eastAsia="宋体" w:hAnsi="Book Antiqua" w:cs="宋体"/>
          <w:sz w:val="24"/>
          <w:szCs w:val="24"/>
        </w:rPr>
        <w:t xml:space="preserve"> L, Paul S. Association between pharmacokinetics of </w:t>
      </w:r>
      <w:proofErr w:type="spellStart"/>
      <w:r w:rsidRPr="00A63850">
        <w:rPr>
          <w:rFonts w:ascii="Book Antiqua" w:eastAsia="宋体" w:hAnsi="Book Antiqua" w:cs="宋体"/>
          <w:sz w:val="24"/>
          <w:szCs w:val="24"/>
        </w:rPr>
        <w:t>adalimumab</w:t>
      </w:r>
      <w:proofErr w:type="spellEnd"/>
      <w:r w:rsidRPr="00A63850">
        <w:rPr>
          <w:rFonts w:ascii="Book Antiqua" w:eastAsia="宋体" w:hAnsi="Book Antiqua" w:cs="宋体"/>
          <w:sz w:val="24"/>
          <w:szCs w:val="24"/>
        </w:rPr>
        <w:t xml:space="preserve"> and mucosal healing in patients with inflammatory bowel diseases. </w:t>
      </w:r>
      <w:proofErr w:type="spellStart"/>
      <w:r w:rsidRPr="00A63850">
        <w:rPr>
          <w:rFonts w:ascii="Book Antiqua" w:eastAsia="宋体" w:hAnsi="Book Antiqua" w:cs="宋体"/>
          <w:i/>
          <w:iCs/>
          <w:sz w:val="24"/>
          <w:szCs w:val="24"/>
        </w:rPr>
        <w:t>Clin</w:t>
      </w:r>
      <w:proofErr w:type="spellEnd"/>
      <w:r w:rsidRPr="00A63850">
        <w:rPr>
          <w:rFonts w:ascii="Book Antiqua" w:eastAsia="宋体" w:hAnsi="Book Antiqua" w:cs="宋体"/>
          <w:i/>
          <w:iCs/>
          <w:sz w:val="24"/>
          <w:szCs w:val="24"/>
        </w:rPr>
        <w:t xml:space="preserve"> </w:t>
      </w:r>
      <w:proofErr w:type="spellStart"/>
      <w:r w:rsidRPr="00A63850">
        <w:rPr>
          <w:rFonts w:ascii="Book Antiqua" w:eastAsia="宋体" w:hAnsi="Book Antiqua" w:cs="宋体"/>
          <w:i/>
          <w:iCs/>
          <w:sz w:val="24"/>
          <w:szCs w:val="24"/>
        </w:rPr>
        <w:t>Gastroenterol</w:t>
      </w:r>
      <w:proofErr w:type="spellEnd"/>
      <w:r w:rsidRPr="00A63850">
        <w:rPr>
          <w:rFonts w:ascii="Book Antiqua" w:eastAsia="宋体" w:hAnsi="Book Antiqua" w:cs="宋体"/>
          <w:i/>
          <w:iCs/>
          <w:sz w:val="24"/>
          <w:szCs w:val="24"/>
        </w:rPr>
        <w:t xml:space="preserve"> </w:t>
      </w:r>
      <w:proofErr w:type="spellStart"/>
      <w:r w:rsidRPr="00A63850">
        <w:rPr>
          <w:rFonts w:ascii="Book Antiqua" w:eastAsia="宋体" w:hAnsi="Book Antiqua" w:cs="宋体"/>
          <w:i/>
          <w:iCs/>
          <w:sz w:val="24"/>
          <w:szCs w:val="24"/>
        </w:rPr>
        <w:t>Hepatol</w:t>
      </w:r>
      <w:proofErr w:type="spellEnd"/>
      <w:r w:rsidRPr="00A63850">
        <w:rPr>
          <w:rFonts w:ascii="Book Antiqua" w:eastAsia="宋体" w:hAnsi="Book Antiqua" w:cs="宋体"/>
          <w:sz w:val="24"/>
          <w:szCs w:val="24"/>
        </w:rPr>
        <w:t> 2014; </w:t>
      </w:r>
      <w:r w:rsidRPr="00A63850">
        <w:rPr>
          <w:rFonts w:ascii="Book Antiqua" w:eastAsia="宋体" w:hAnsi="Book Antiqua" w:cs="宋体"/>
          <w:b/>
          <w:bCs/>
          <w:sz w:val="24"/>
          <w:szCs w:val="24"/>
        </w:rPr>
        <w:t>12</w:t>
      </w:r>
      <w:r w:rsidRPr="00A63850">
        <w:rPr>
          <w:rFonts w:ascii="Book Antiqua" w:eastAsia="宋体" w:hAnsi="Book Antiqua" w:cs="宋体"/>
          <w:sz w:val="24"/>
          <w:szCs w:val="24"/>
        </w:rPr>
        <w:t>: 80-84.e2 [PMID: 23891927 DOI: 10.1016/j.cgh.2013.07.010]</w:t>
      </w:r>
    </w:p>
    <w:p w14:paraId="03004BFA"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45 </w:t>
      </w:r>
      <w:proofErr w:type="spellStart"/>
      <w:r w:rsidRPr="00A63850">
        <w:rPr>
          <w:rFonts w:ascii="Book Antiqua" w:eastAsia="宋体" w:hAnsi="Book Antiqua" w:cs="宋体"/>
          <w:b/>
          <w:bCs/>
          <w:sz w:val="24"/>
          <w:szCs w:val="24"/>
        </w:rPr>
        <w:t>Brandse</w:t>
      </w:r>
      <w:proofErr w:type="spellEnd"/>
      <w:r w:rsidRPr="00A63850">
        <w:rPr>
          <w:rFonts w:ascii="Book Antiqua" w:eastAsia="宋体" w:hAnsi="Book Antiqua" w:cs="宋体"/>
          <w:b/>
          <w:bCs/>
          <w:sz w:val="24"/>
          <w:szCs w:val="24"/>
        </w:rPr>
        <w:t xml:space="preserve"> JF</w:t>
      </w:r>
      <w:r w:rsidRPr="00A63850">
        <w:rPr>
          <w:rFonts w:ascii="Book Antiqua" w:eastAsia="宋体" w:hAnsi="Book Antiqua" w:cs="宋体"/>
          <w:sz w:val="24"/>
          <w:szCs w:val="24"/>
        </w:rPr>
        <w:t xml:space="preserve">, van den Brink GR, </w:t>
      </w:r>
      <w:proofErr w:type="spellStart"/>
      <w:r w:rsidRPr="00A63850">
        <w:rPr>
          <w:rFonts w:ascii="Book Antiqua" w:eastAsia="宋体" w:hAnsi="Book Antiqua" w:cs="宋体"/>
          <w:sz w:val="24"/>
          <w:szCs w:val="24"/>
        </w:rPr>
        <w:t>Wildenberg</w:t>
      </w:r>
      <w:proofErr w:type="spellEnd"/>
      <w:r w:rsidRPr="00A63850">
        <w:rPr>
          <w:rFonts w:ascii="Book Antiqua" w:eastAsia="宋体" w:hAnsi="Book Antiqua" w:cs="宋体"/>
          <w:sz w:val="24"/>
          <w:szCs w:val="24"/>
        </w:rPr>
        <w:t xml:space="preserve"> ME, van der </w:t>
      </w:r>
      <w:proofErr w:type="spellStart"/>
      <w:r w:rsidRPr="00A63850">
        <w:rPr>
          <w:rFonts w:ascii="Book Antiqua" w:eastAsia="宋体" w:hAnsi="Book Antiqua" w:cs="宋体"/>
          <w:sz w:val="24"/>
          <w:szCs w:val="24"/>
        </w:rPr>
        <w:t>Kleij</w:t>
      </w:r>
      <w:proofErr w:type="spellEnd"/>
      <w:r w:rsidRPr="00A63850">
        <w:rPr>
          <w:rFonts w:ascii="Book Antiqua" w:eastAsia="宋体" w:hAnsi="Book Antiqua" w:cs="宋体"/>
          <w:sz w:val="24"/>
          <w:szCs w:val="24"/>
        </w:rPr>
        <w:t xml:space="preserve"> D, </w:t>
      </w:r>
      <w:proofErr w:type="spellStart"/>
      <w:r w:rsidRPr="00A63850">
        <w:rPr>
          <w:rFonts w:ascii="Book Antiqua" w:eastAsia="宋体" w:hAnsi="Book Antiqua" w:cs="宋体"/>
          <w:sz w:val="24"/>
          <w:szCs w:val="24"/>
        </w:rPr>
        <w:t>Rispens</w:t>
      </w:r>
      <w:proofErr w:type="spellEnd"/>
      <w:r w:rsidRPr="00A63850">
        <w:rPr>
          <w:rFonts w:ascii="Book Antiqua" w:eastAsia="宋体" w:hAnsi="Book Antiqua" w:cs="宋体"/>
          <w:sz w:val="24"/>
          <w:szCs w:val="24"/>
        </w:rPr>
        <w:t xml:space="preserve"> T, Jansen JM, </w:t>
      </w:r>
      <w:proofErr w:type="spellStart"/>
      <w:r w:rsidRPr="00A63850">
        <w:rPr>
          <w:rFonts w:ascii="Book Antiqua" w:eastAsia="宋体" w:hAnsi="Book Antiqua" w:cs="宋体"/>
          <w:sz w:val="24"/>
          <w:szCs w:val="24"/>
        </w:rPr>
        <w:t>Mathôt</w:t>
      </w:r>
      <w:proofErr w:type="spellEnd"/>
      <w:r w:rsidRPr="00A63850">
        <w:rPr>
          <w:rFonts w:ascii="Book Antiqua" w:eastAsia="宋体" w:hAnsi="Book Antiqua" w:cs="宋体"/>
          <w:sz w:val="24"/>
          <w:szCs w:val="24"/>
        </w:rPr>
        <w:t xml:space="preserve"> RA, </w:t>
      </w:r>
      <w:proofErr w:type="spellStart"/>
      <w:r w:rsidRPr="00A63850">
        <w:rPr>
          <w:rFonts w:ascii="Book Antiqua" w:eastAsia="宋体" w:hAnsi="Book Antiqua" w:cs="宋体"/>
          <w:sz w:val="24"/>
          <w:szCs w:val="24"/>
        </w:rPr>
        <w:t>Ponsioen</w:t>
      </w:r>
      <w:proofErr w:type="spellEnd"/>
      <w:r w:rsidRPr="00A63850">
        <w:rPr>
          <w:rFonts w:ascii="Book Antiqua" w:eastAsia="宋体" w:hAnsi="Book Antiqua" w:cs="宋体"/>
          <w:sz w:val="24"/>
          <w:szCs w:val="24"/>
        </w:rPr>
        <w:t xml:space="preserve"> CY, </w:t>
      </w:r>
      <w:proofErr w:type="spellStart"/>
      <w:r w:rsidRPr="00A63850">
        <w:rPr>
          <w:rFonts w:ascii="Book Antiqua" w:eastAsia="宋体" w:hAnsi="Book Antiqua" w:cs="宋体"/>
          <w:sz w:val="24"/>
          <w:szCs w:val="24"/>
        </w:rPr>
        <w:t>Löwenberg</w:t>
      </w:r>
      <w:proofErr w:type="spellEnd"/>
      <w:r w:rsidRPr="00A63850">
        <w:rPr>
          <w:rFonts w:ascii="Book Antiqua" w:eastAsia="宋体" w:hAnsi="Book Antiqua" w:cs="宋体"/>
          <w:sz w:val="24"/>
          <w:szCs w:val="24"/>
        </w:rPr>
        <w:t xml:space="preserve"> M, </w:t>
      </w:r>
      <w:proofErr w:type="spellStart"/>
      <w:r w:rsidRPr="00A63850">
        <w:rPr>
          <w:rFonts w:ascii="Book Antiqua" w:eastAsia="宋体" w:hAnsi="Book Antiqua" w:cs="宋体"/>
          <w:sz w:val="24"/>
          <w:szCs w:val="24"/>
        </w:rPr>
        <w:t>D'Haens</w:t>
      </w:r>
      <w:proofErr w:type="spellEnd"/>
      <w:r w:rsidRPr="00A63850">
        <w:rPr>
          <w:rFonts w:ascii="Book Antiqua" w:eastAsia="宋体" w:hAnsi="Book Antiqua" w:cs="宋体"/>
          <w:sz w:val="24"/>
          <w:szCs w:val="24"/>
        </w:rPr>
        <w:t xml:space="preserve"> GR. Loss of Infliximab Into </w:t>
      </w:r>
      <w:proofErr w:type="spellStart"/>
      <w:r w:rsidRPr="00A63850">
        <w:rPr>
          <w:rFonts w:ascii="Book Antiqua" w:eastAsia="宋体" w:hAnsi="Book Antiqua" w:cs="宋体"/>
          <w:sz w:val="24"/>
          <w:szCs w:val="24"/>
        </w:rPr>
        <w:t>Feces</w:t>
      </w:r>
      <w:proofErr w:type="spellEnd"/>
      <w:r w:rsidRPr="00A63850">
        <w:rPr>
          <w:rFonts w:ascii="Book Antiqua" w:eastAsia="宋体" w:hAnsi="Book Antiqua" w:cs="宋体"/>
          <w:sz w:val="24"/>
          <w:szCs w:val="24"/>
        </w:rPr>
        <w:t xml:space="preserve"> Is Associated With Lack of Response to Therapy in Patients With Severe Ulcerative Colitis. </w:t>
      </w:r>
      <w:r w:rsidRPr="00A63850">
        <w:rPr>
          <w:rFonts w:ascii="Book Antiqua" w:eastAsia="宋体" w:hAnsi="Book Antiqua" w:cs="宋体"/>
          <w:i/>
          <w:iCs/>
          <w:sz w:val="24"/>
          <w:szCs w:val="24"/>
        </w:rPr>
        <w:t>Gastroenterology</w:t>
      </w:r>
      <w:r w:rsidRPr="00A63850">
        <w:rPr>
          <w:rFonts w:ascii="Book Antiqua" w:eastAsia="宋体" w:hAnsi="Book Antiqua" w:cs="宋体"/>
          <w:sz w:val="24"/>
          <w:szCs w:val="24"/>
        </w:rPr>
        <w:t> 2015; </w:t>
      </w:r>
      <w:r w:rsidRPr="00A63850">
        <w:rPr>
          <w:rFonts w:ascii="Book Antiqua" w:eastAsia="宋体" w:hAnsi="Book Antiqua" w:cs="宋体"/>
          <w:b/>
          <w:bCs/>
          <w:sz w:val="24"/>
          <w:szCs w:val="24"/>
        </w:rPr>
        <w:t>149</w:t>
      </w:r>
      <w:r w:rsidRPr="00A63850">
        <w:rPr>
          <w:rFonts w:ascii="Book Antiqua" w:eastAsia="宋体" w:hAnsi="Book Antiqua" w:cs="宋体"/>
          <w:sz w:val="24"/>
          <w:szCs w:val="24"/>
        </w:rPr>
        <w:t>: 350-5.e2 [PMID: 25917786 DOI: 10.1053/j.gastro.2015.04.016]</w:t>
      </w:r>
    </w:p>
    <w:p w14:paraId="3D6F5C2F"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46 </w:t>
      </w:r>
      <w:r w:rsidRPr="00A63850">
        <w:rPr>
          <w:rFonts w:ascii="Book Antiqua" w:eastAsia="宋体" w:hAnsi="Book Antiqua" w:cs="宋体"/>
          <w:b/>
          <w:bCs/>
          <w:sz w:val="24"/>
          <w:szCs w:val="24"/>
        </w:rPr>
        <w:t>Gibson DJ</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Heetun</w:t>
      </w:r>
      <w:proofErr w:type="spellEnd"/>
      <w:r w:rsidRPr="00A63850">
        <w:rPr>
          <w:rFonts w:ascii="Book Antiqua" w:eastAsia="宋体" w:hAnsi="Book Antiqua" w:cs="宋体"/>
          <w:sz w:val="24"/>
          <w:szCs w:val="24"/>
        </w:rPr>
        <w:t xml:space="preserve"> ZS, Redmond CE, Nanda KS, Keegan D, Byrne K, </w:t>
      </w:r>
      <w:proofErr w:type="spellStart"/>
      <w:r w:rsidRPr="00A63850">
        <w:rPr>
          <w:rFonts w:ascii="Book Antiqua" w:eastAsia="宋体" w:hAnsi="Book Antiqua" w:cs="宋体"/>
          <w:sz w:val="24"/>
          <w:szCs w:val="24"/>
        </w:rPr>
        <w:t>Mulcahy</w:t>
      </w:r>
      <w:proofErr w:type="spellEnd"/>
      <w:r w:rsidRPr="00A63850">
        <w:rPr>
          <w:rFonts w:ascii="Book Antiqua" w:eastAsia="宋体" w:hAnsi="Book Antiqua" w:cs="宋体"/>
          <w:sz w:val="24"/>
          <w:szCs w:val="24"/>
        </w:rPr>
        <w:t xml:space="preserve"> HE, Cullen G, Doherty GA. An accelerated infliximab induction regimen reduces the need for early colectomy in patients with acute severe ulcerative colitis. </w:t>
      </w:r>
      <w:proofErr w:type="spellStart"/>
      <w:r w:rsidRPr="00A63850">
        <w:rPr>
          <w:rFonts w:ascii="Book Antiqua" w:eastAsia="宋体" w:hAnsi="Book Antiqua" w:cs="宋体"/>
          <w:i/>
          <w:iCs/>
          <w:sz w:val="24"/>
          <w:szCs w:val="24"/>
        </w:rPr>
        <w:t>Clin</w:t>
      </w:r>
      <w:proofErr w:type="spellEnd"/>
      <w:r w:rsidRPr="00A63850">
        <w:rPr>
          <w:rFonts w:ascii="Book Antiqua" w:eastAsia="宋体" w:hAnsi="Book Antiqua" w:cs="宋体"/>
          <w:i/>
          <w:iCs/>
          <w:sz w:val="24"/>
          <w:szCs w:val="24"/>
        </w:rPr>
        <w:t xml:space="preserve"> </w:t>
      </w:r>
      <w:proofErr w:type="spellStart"/>
      <w:r w:rsidRPr="00A63850">
        <w:rPr>
          <w:rFonts w:ascii="Book Antiqua" w:eastAsia="宋体" w:hAnsi="Book Antiqua" w:cs="宋体"/>
          <w:i/>
          <w:iCs/>
          <w:sz w:val="24"/>
          <w:szCs w:val="24"/>
        </w:rPr>
        <w:t>Gastroenterol</w:t>
      </w:r>
      <w:proofErr w:type="spellEnd"/>
      <w:r w:rsidRPr="00A63850">
        <w:rPr>
          <w:rFonts w:ascii="Book Antiqua" w:eastAsia="宋体" w:hAnsi="Book Antiqua" w:cs="宋体"/>
          <w:i/>
          <w:iCs/>
          <w:sz w:val="24"/>
          <w:szCs w:val="24"/>
        </w:rPr>
        <w:t xml:space="preserve"> </w:t>
      </w:r>
      <w:proofErr w:type="spellStart"/>
      <w:r w:rsidRPr="00A63850">
        <w:rPr>
          <w:rFonts w:ascii="Book Antiqua" w:eastAsia="宋体" w:hAnsi="Book Antiqua" w:cs="宋体"/>
          <w:i/>
          <w:iCs/>
          <w:sz w:val="24"/>
          <w:szCs w:val="24"/>
        </w:rPr>
        <w:t>Hepatol</w:t>
      </w:r>
      <w:proofErr w:type="spellEnd"/>
      <w:r w:rsidRPr="00A63850">
        <w:rPr>
          <w:rFonts w:ascii="Book Antiqua" w:eastAsia="宋体" w:hAnsi="Book Antiqua" w:cs="宋体"/>
          <w:sz w:val="24"/>
          <w:szCs w:val="24"/>
        </w:rPr>
        <w:t> 2015; </w:t>
      </w:r>
      <w:r w:rsidRPr="00A63850">
        <w:rPr>
          <w:rFonts w:ascii="Book Antiqua" w:eastAsia="宋体" w:hAnsi="Book Antiqua" w:cs="宋体"/>
          <w:b/>
          <w:bCs/>
          <w:sz w:val="24"/>
          <w:szCs w:val="24"/>
        </w:rPr>
        <w:t>13</w:t>
      </w:r>
      <w:r w:rsidRPr="00A63850">
        <w:rPr>
          <w:rFonts w:ascii="Book Antiqua" w:eastAsia="宋体" w:hAnsi="Book Antiqua" w:cs="宋体"/>
          <w:sz w:val="24"/>
          <w:szCs w:val="24"/>
        </w:rPr>
        <w:t>: 330-335.e1 [PMID: 25086187 DOI: 10.1016/j.cgh.2014.07.041]</w:t>
      </w:r>
    </w:p>
    <w:p w14:paraId="743050EA"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lastRenderedPageBreak/>
        <w:t>47 </w:t>
      </w:r>
      <w:proofErr w:type="spellStart"/>
      <w:r w:rsidRPr="00A63850">
        <w:rPr>
          <w:rFonts w:ascii="Book Antiqua" w:eastAsia="宋体" w:hAnsi="Book Antiqua" w:cs="宋体"/>
          <w:b/>
          <w:bCs/>
          <w:sz w:val="24"/>
          <w:szCs w:val="24"/>
        </w:rPr>
        <w:t>Yarur</w:t>
      </w:r>
      <w:proofErr w:type="spellEnd"/>
      <w:r w:rsidRPr="00A63850">
        <w:rPr>
          <w:rFonts w:ascii="Book Antiqua" w:eastAsia="宋体" w:hAnsi="Book Antiqua" w:cs="宋体"/>
          <w:b/>
          <w:bCs/>
          <w:sz w:val="24"/>
          <w:szCs w:val="24"/>
        </w:rPr>
        <w:t xml:space="preserve"> AJ</w:t>
      </w:r>
      <w:r w:rsidRPr="00A63850">
        <w:rPr>
          <w:rFonts w:ascii="Book Antiqua" w:eastAsia="宋体" w:hAnsi="Book Antiqua" w:cs="宋体"/>
          <w:sz w:val="24"/>
          <w:szCs w:val="24"/>
        </w:rPr>
        <w:t xml:space="preserve">, Jain A, </w:t>
      </w:r>
      <w:proofErr w:type="spellStart"/>
      <w:r w:rsidRPr="00A63850">
        <w:rPr>
          <w:rFonts w:ascii="Book Antiqua" w:eastAsia="宋体" w:hAnsi="Book Antiqua" w:cs="宋体"/>
          <w:sz w:val="24"/>
          <w:szCs w:val="24"/>
        </w:rPr>
        <w:t>Sussman</w:t>
      </w:r>
      <w:proofErr w:type="spellEnd"/>
      <w:r w:rsidRPr="00A63850">
        <w:rPr>
          <w:rFonts w:ascii="Book Antiqua" w:eastAsia="宋体" w:hAnsi="Book Antiqua" w:cs="宋体"/>
          <w:sz w:val="24"/>
          <w:szCs w:val="24"/>
        </w:rPr>
        <w:t xml:space="preserve"> DA, </w:t>
      </w:r>
      <w:proofErr w:type="spellStart"/>
      <w:r w:rsidRPr="00A63850">
        <w:rPr>
          <w:rFonts w:ascii="Book Antiqua" w:eastAsia="宋体" w:hAnsi="Book Antiqua" w:cs="宋体"/>
          <w:sz w:val="24"/>
          <w:szCs w:val="24"/>
        </w:rPr>
        <w:t>Barkin</w:t>
      </w:r>
      <w:proofErr w:type="spellEnd"/>
      <w:r w:rsidRPr="00A63850">
        <w:rPr>
          <w:rFonts w:ascii="Book Antiqua" w:eastAsia="宋体" w:hAnsi="Book Antiqua" w:cs="宋体"/>
          <w:sz w:val="24"/>
          <w:szCs w:val="24"/>
        </w:rPr>
        <w:t xml:space="preserve"> JS, Quintero MA, </w:t>
      </w:r>
      <w:proofErr w:type="spellStart"/>
      <w:r w:rsidRPr="00A63850">
        <w:rPr>
          <w:rFonts w:ascii="Book Antiqua" w:eastAsia="宋体" w:hAnsi="Book Antiqua" w:cs="宋体"/>
          <w:sz w:val="24"/>
          <w:szCs w:val="24"/>
        </w:rPr>
        <w:t>Princen</w:t>
      </w:r>
      <w:proofErr w:type="spellEnd"/>
      <w:r w:rsidRPr="00A63850">
        <w:rPr>
          <w:rFonts w:ascii="Book Antiqua" w:eastAsia="宋体" w:hAnsi="Book Antiqua" w:cs="宋体"/>
          <w:sz w:val="24"/>
          <w:szCs w:val="24"/>
        </w:rPr>
        <w:t xml:space="preserve"> F, Kirkland R, </w:t>
      </w:r>
      <w:proofErr w:type="spellStart"/>
      <w:r w:rsidRPr="00A63850">
        <w:rPr>
          <w:rFonts w:ascii="Book Antiqua" w:eastAsia="宋体" w:hAnsi="Book Antiqua" w:cs="宋体"/>
          <w:sz w:val="24"/>
          <w:szCs w:val="24"/>
        </w:rPr>
        <w:t>Deshpande</w:t>
      </w:r>
      <w:proofErr w:type="spellEnd"/>
      <w:r w:rsidRPr="00A63850">
        <w:rPr>
          <w:rFonts w:ascii="Book Antiqua" w:eastAsia="宋体" w:hAnsi="Book Antiqua" w:cs="宋体"/>
          <w:sz w:val="24"/>
          <w:szCs w:val="24"/>
        </w:rPr>
        <w:t xml:space="preserve"> AR, Singh S, Abreu MT. The association of tissue anti-TNF drug levels with serological and endoscopic disease activity in inflammatory bowel disease: the ATLAS study. </w:t>
      </w:r>
      <w:r w:rsidRPr="00A63850">
        <w:rPr>
          <w:rFonts w:ascii="Book Antiqua" w:eastAsia="宋体" w:hAnsi="Book Antiqua" w:cs="宋体"/>
          <w:i/>
          <w:iCs/>
          <w:sz w:val="24"/>
          <w:szCs w:val="24"/>
        </w:rPr>
        <w:t>Gut</w:t>
      </w:r>
      <w:r w:rsidRPr="00A63850">
        <w:rPr>
          <w:rFonts w:ascii="Book Antiqua" w:eastAsia="宋体" w:hAnsi="Book Antiqua" w:cs="宋体"/>
          <w:sz w:val="24"/>
          <w:szCs w:val="24"/>
        </w:rPr>
        <w:t> 2016; </w:t>
      </w:r>
      <w:r w:rsidRPr="00A63850">
        <w:rPr>
          <w:rFonts w:ascii="Book Antiqua" w:eastAsia="宋体" w:hAnsi="Book Antiqua" w:cs="宋体"/>
          <w:b/>
          <w:bCs/>
          <w:sz w:val="24"/>
          <w:szCs w:val="24"/>
        </w:rPr>
        <w:t>65</w:t>
      </w:r>
      <w:r w:rsidRPr="00A63850">
        <w:rPr>
          <w:rFonts w:ascii="Book Antiqua" w:eastAsia="宋体" w:hAnsi="Book Antiqua" w:cs="宋体"/>
          <w:sz w:val="24"/>
          <w:szCs w:val="24"/>
        </w:rPr>
        <w:t>: 249-255 [PMID: 25670812 DOI: 10.1136/gutjnl-2014-308099]</w:t>
      </w:r>
    </w:p>
    <w:p w14:paraId="7C9D09AE"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48 </w:t>
      </w:r>
      <w:proofErr w:type="spellStart"/>
      <w:r w:rsidRPr="00A63850">
        <w:rPr>
          <w:rFonts w:ascii="Book Antiqua" w:eastAsia="宋体" w:hAnsi="Book Antiqua" w:cs="宋体"/>
          <w:b/>
          <w:bCs/>
          <w:sz w:val="24"/>
          <w:szCs w:val="24"/>
        </w:rPr>
        <w:t>Warman</w:t>
      </w:r>
      <w:proofErr w:type="spellEnd"/>
      <w:r w:rsidRPr="00A63850">
        <w:rPr>
          <w:rFonts w:ascii="Book Antiqua" w:eastAsia="宋体" w:hAnsi="Book Antiqua" w:cs="宋体"/>
          <w:b/>
          <w:bCs/>
          <w:sz w:val="24"/>
          <w:szCs w:val="24"/>
        </w:rPr>
        <w:t xml:space="preserve"> A</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Straathof</w:t>
      </w:r>
      <w:proofErr w:type="spellEnd"/>
      <w:r w:rsidRPr="00A63850">
        <w:rPr>
          <w:rFonts w:ascii="Book Antiqua" w:eastAsia="宋体" w:hAnsi="Book Antiqua" w:cs="宋体"/>
          <w:sz w:val="24"/>
          <w:szCs w:val="24"/>
        </w:rPr>
        <w:t xml:space="preserve"> JW, </w:t>
      </w:r>
      <w:proofErr w:type="spellStart"/>
      <w:r w:rsidRPr="00A63850">
        <w:rPr>
          <w:rFonts w:ascii="Book Antiqua" w:eastAsia="宋体" w:hAnsi="Book Antiqua" w:cs="宋体"/>
          <w:sz w:val="24"/>
          <w:szCs w:val="24"/>
        </w:rPr>
        <w:t>Derijks</w:t>
      </w:r>
      <w:proofErr w:type="spellEnd"/>
      <w:r w:rsidRPr="00A63850">
        <w:rPr>
          <w:rFonts w:ascii="Book Antiqua" w:eastAsia="宋体" w:hAnsi="Book Antiqua" w:cs="宋体"/>
          <w:sz w:val="24"/>
          <w:szCs w:val="24"/>
        </w:rPr>
        <w:t xml:space="preserve"> LJ. Therapeutic drug monitoring of infliximab in inflammatory bowel disease patients in a teaching hospital setting: results of a prospective cohort study. </w:t>
      </w:r>
      <w:proofErr w:type="spellStart"/>
      <w:r w:rsidRPr="00A63850">
        <w:rPr>
          <w:rFonts w:ascii="Book Antiqua" w:eastAsia="宋体" w:hAnsi="Book Antiqua" w:cs="宋体"/>
          <w:i/>
          <w:iCs/>
          <w:sz w:val="24"/>
          <w:szCs w:val="24"/>
        </w:rPr>
        <w:t>Eur</w:t>
      </w:r>
      <w:proofErr w:type="spellEnd"/>
      <w:r w:rsidRPr="00A63850">
        <w:rPr>
          <w:rFonts w:ascii="Book Antiqua" w:eastAsia="宋体" w:hAnsi="Book Antiqua" w:cs="宋体"/>
          <w:i/>
          <w:iCs/>
          <w:sz w:val="24"/>
          <w:szCs w:val="24"/>
        </w:rPr>
        <w:t xml:space="preserve"> J </w:t>
      </w:r>
      <w:proofErr w:type="spellStart"/>
      <w:r w:rsidRPr="00A63850">
        <w:rPr>
          <w:rFonts w:ascii="Book Antiqua" w:eastAsia="宋体" w:hAnsi="Book Antiqua" w:cs="宋体"/>
          <w:i/>
          <w:iCs/>
          <w:sz w:val="24"/>
          <w:szCs w:val="24"/>
        </w:rPr>
        <w:t>Gastroenterol</w:t>
      </w:r>
      <w:proofErr w:type="spellEnd"/>
      <w:r w:rsidRPr="00A63850">
        <w:rPr>
          <w:rFonts w:ascii="Book Antiqua" w:eastAsia="宋体" w:hAnsi="Book Antiqua" w:cs="宋体"/>
          <w:i/>
          <w:iCs/>
          <w:sz w:val="24"/>
          <w:szCs w:val="24"/>
        </w:rPr>
        <w:t xml:space="preserve"> </w:t>
      </w:r>
      <w:proofErr w:type="spellStart"/>
      <w:r w:rsidRPr="00A63850">
        <w:rPr>
          <w:rFonts w:ascii="Book Antiqua" w:eastAsia="宋体" w:hAnsi="Book Antiqua" w:cs="宋体"/>
          <w:i/>
          <w:iCs/>
          <w:sz w:val="24"/>
          <w:szCs w:val="24"/>
        </w:rPr>
        <w:t>Hepatol</w:t>
      </w:r>
      <w:proofErr w:type="spellEnd"/>
      <w:r w:rsidRPr="00A63850">
        <w:rPr>
          <w:rFonts w:ascii="Book Antiqua" w:eastAsia="宋体" w:hAnsi="Book Antiqua" w:cs="宋体"/>
          <w:sz w:val="24"/>
          <w:szCs w:val="24"/>
        </w:rPr>
        <w:t> 2015; </w:t>
      </w:r>
      <w:r w:rsidRPr="00A63850">
        <w:rPr>
          <w:rFonts w:ascii="Book Antiqua" w:eastAsia="宋体" w:hAnsi="Book Antiqua" w:cs="宋体"/>
          <w:b/>
          <w:bCs/>
          <w:sz w:val="24"/>
          <w:szCs w:val="24"/>
        </w:rPr>
        <w:t>27</w:t>
      </w:r>
      <w:r w:rsidRPr="00A63850">
        <w:rPr>
          <w:rFonts w:ascii="Book Antiqua" w:eastAsia="宋体" w:hAnsi="Book Antiqua" w:cs="宋体"/>
          <w:sz w:val="24"/>
          <w:szCs w:val="24"/>
        </w:rPr>
        <w:t>: 242-248 [PMID: 25569569 DOI: 10.1097/MEG.0000000000000279]</w:t>
      </w:r>
    </w:p>
    <w:p w14:paraId="2F894EF9"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49 </w:t>
      </w:r>
      <w:r w:rsidRPr="00A63850">
        <w:rPr>
          <w:rFonts w:ascii="Book Antiqua" w:eastAsia="宋体" w:hAnsi="Book Antiqua" w:cs="宋体"/>
          <w:b/>
          <w:bCs/>
          <w:sz w:val="24"/>
          <w:szCs w:val="24"/>
        </w:rPr>
        <w:t>Kobayashi T</w:t>
      </w:r>
      <w:r w:rsidRPr="00A63850">
        <w:rPr>
          <w:rFonts w:ascii="Book Antiqua" w:eastAsia="宋体" w:hAnsi="Book Antiqua" w:cs="宋体"/>
          <w:sz w:val="24"/>
          <w:szCs w:val="24"/>
        </w:rPr>
        <w:t xml:space="preserve">, Suzuki Y, </w:t>
      </w:r>
      <w:proofErr w:type="spellStart"/>
      <w:r w:rsidRPr="00A63850">
        <w:rPr>
          <w:rFonts w:ascii="Book Antiqua" w:eastAsia="宋体" w:hAnsi="Book Antiqua" w:cs="宋体"/>
          <w:sz w:val="24"/>
          <w:szCs w:val="24"/>
        </w:rPr>
        <w:t>Motoya</w:t>
      </w:r>
      <w:proofErr w:type="spellEnd"/>
      <w:r w:rsidRPr="00A63850">
        <w:rPr>
          <w:rFonts w:ascii="Book Antiqua" w:eastAsia="宋体" w:hAnsi="Book Antiqua" w:cs="宋体"/>
          <w:sz w:val="24"/>
          <w:szCs w:val="24"/>
        </w:rPr>
        <w:t xml:space="preserve"> S, Hirai F, Ogata H, Ito H, Sato N, Ozaki K, Watanabe M, </w:t>
      </w:r>
      <w:proofErr w:type="spellStart"/>
      <w:r w:rsidRPr="00A63850">
        <w:rPr>
          <w:rFonts w:ascii="Book Antiqua" w:eastAsia="宋体" w:hAnsi="Book Antiqua" w:cs="宋体"/>
          <w:sz w:val="24"/>
          <w:szCs w:val="24"/>
        </w:rPr>
        <w:t>Hibi</w:t>
      </w:r>
      <w:proofErr w:type="spellEnd"/>
      <w:r w:rsidRPr="00A63850">
        <w:rPr>
          <w:rFonts w:ascii="Book Antiqua" w:eastAsia="宋体" w:hAnsi="Book Antiqua" w:cs="宋体"/>
          <w:sz w:val="24"/>
          <w:szCs w:val="24"/>
        </w:rPr>
        <w:t xml:space="preserve"> T. First trough level of infliximab at week 2 predicts future outcomes of induction therapy in ulcerative colitis-results from a </w:t>
      </w:r>
      <w:proofErr w:type="spellStart"/>
      <w:r w:rsidRPr="00A63850">
        <w:rPr>
          <w:rFonts w:ascii="Book Antiqua" w:eastAsia="宋体" w:hAnsi="Book Antiqua" w:cs="宋体"/>
          <w:sz w:val="24"/>
          <w:szCs w:val="24"/>
        </w:rPr>
        <w:t>multicenter</w:t>
      </w:r>
      <w:proofErr w:type="spellEnd"/>
      <w:r w:rsidRPr="00A63850">
        <w:rPr>
          <w:rFonts w:ascii="Book Antiqua" w:eastAsia="宋体" w:hAnsi="Book Antiqua" w:cs="宋体"/>
          <w:sz w:val="24"/>
          <w:szCs w:val="24"/>
        </w:rPr>
        <w:t xml:space="preserve"> prospective randomized controlled trial and its post hoc analysis. </w:t>
      </w:r>
      <w:r w:rsidRPr="00A63850">
        <w:rPr>
          <w:rFonts w:ascii="Book Antiqua" w:eastAsia="宋体" w:hAnsi="Book Antiqua" w:cs="宋体"/>
          <w:i/>
          <w:iCs/>
          <w:sz w:val="24"/>
          <w:szCs w:val="24"/>
        </w:rPr>
        <w:t xml:space="preserve">J </w:t>
      </w:r>
      <w:proofErr w:type="spellStart"/>
      <w:r w:rsidRPr="00A63850">
        <w:rPr>
          <w:rFonts w:ascii="Book Antiqua" w:eastAsia="宋体" w:hAnsi="Book Antiqua" w:cs="宋体"/>
          <w:i/>
          <w:iCs/>
          <w:sz w:val="24"/>
          <w:szCs w:val="24"/>
        </w:rPr>
        <w:t>Gastroenterol</w:t>
      </w:r>
      <w:proofErr w:type="spellEnd"/>
      <w:r w:rsidRPr="00A63850">
        <w:rPr>
          <w:rFonts w:ascii="Book Antiqua" w:eastAsia="宋体" w:hAnsi="Book Antiqua" w:cs="宋体"/>
          <w:sz w:val="24"/>
          <w:szCs w:val="24"/>
        </w:rPr>
        <w:t> 2016; </w:t>
      </w:r>
      <w:r w:rsidRPr="00A63850">
        <w:rPr>
          <w:rFonts w:ascii="Book Antiqua" w:eastAsia="宋体" w:hAnsi="Book Antiqua" w:cs="宋体"/>
          <w:b/>
          <w:bCs/>
          <w:sz w:val="24"/>
          <w:szCs w:val="24"/>
        </w:rPr>
        <w:t>51</w:t>
      </w:r>
      <w:r w:rsidRPr="00A63850">
        <w:rPr>
          <w:rFonts w:ascii="Book Antiqua" w:eastAsia="宋体" w:hAnsi="Book Antiqua" w:cs="宋体"/>
          <w:sz w:val="24"/>
          <w:szCs w:val="24"/>
        </w:rPr>
        <w:t>: 241-251 [PMID: 26162647 DOI: 10.1007/s00535-015-1102-z]</w:t>
      </w:r>
    </w:p>
    <w:p w14:paraId="41A77C8D"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50 </w:t>
      </w:r>
      <w:proofErr w:type="spellStart"/>
      <w:r w:rsidRPr="00A63850">
        <w:rPr>
          <w:rFonts w:ascii="Book Antiqua" w:eastAsia="宋体" w:hAnsi="Book Antiqua" w:cs="宋体"/>
          <w:b/>
          <w:bCs/>
          <w:sz w:val="24"/>
          <w:szCs w:val="24"/>
        </w:rPr>
        <w:t>Afif</w:t>
      </w:r>
      <w:proofErr w:type="spellEnd"/>
      <w:r w:rsidRPr="00A63850">
        <w:rPr>
          <w:rFonts w:ascii="Book Antiqua" w:eastAsia="宋体" w:hAnsi="Book Antiqua" w:cs="宋体"/>
          <w:b/>
          <w:bCs/>
          <w:sz w:val="24"/>
          <w:szCs w:val="24"/>
        </w:rPr>
        <w:t xml:space="preserve"> W</w:t>
      </w:r>
      <w:r w:rsidRPr="00A63850">
        <w:rPr>
          <w:rFonts w:ascii="Book Antiqua" w:eastAsia="宋体" w:hAnsi="Book Antiqua" w:cs="宋体"/>
          <w:sz w:val="24"/>
          <w:szCs w:val="24"/>
        </w:rPr>
        <w:t xml:space="preserve">, Loftus EV, </w:t>
      </w:r>
      <w:proofErr w:type="spellStart"/>
      <w:r w:rsidRPr="00A63850">
        <w:rPr>
          <w:rFonts w:ascii="Book Antiqua" w:eastAsia="宋体" w:hAnsi="Book Antiqua" w:cs="宋体"/>
          <w:sz w:val="24"/>
          <w:szCs w:val="24"/>
        </w:rPr>
        <w:t>Faubion</w:t>
      </w:r>
      <w:proofErr w:type="spellEnd"/>
      <w:r w:rsidRPr="00A63850">
        <w:rPr>
          <w:rFonts w:ascii="Book Antiqua" w:eastAsia="宋体" w:hAnsi="Book Antiqua" w:cs="宋体"/>
          <w:sz w:val="24"/>
          <w:szCs w:val="24"/>
        </w:rPr>
        <w:t xml:space="preserve"> WA, Kane SV, </w:t>
      </w:r>
      <w:proofErr w:type="spellStart"/>
      <w:r w:rsidRPr="00A63850">
        <w:rPr>
          <w:rFonts w:ascii="Book Antiqua" w:eastAsia="宋体" w:hAnsi="Book Antiqua" w:cs="宋体"/>
          <w:sz w:val="24"/>
          <w:szCs w:val="24"/>
        </w:rPr>
        <w:t>Bruining</w:t>
      </w:r>
      <w:proofErr w:type="spellEnd"/>
      <w:r w:rsidRPr="00A63850">
        <w:rPr>
          <w:rFonts w:ascii="Book Antiqua" w:eastAsia="宋体" w:hAnsi="Book Antiqua" w:cs="宋体"/>
          <w:sz w:val="24"/>
          <w:szCs w:val="24"/>
        </w:rPr>
        <w:t xml:space="preserve"> DH, Hanson KA, </w:t>
      </w:r>
      <w:proofErr w:type="spellStart"/>
      <w:r w:rsidRPr="00A63850">
        <w:rPr>
          <w:rFonts w:ascii="Book Antiqua" w:eastAsia="宋体" w:hAnsi="Book Antiqua" w:cs="宋体"/>
          <w:sz w:val="24"/>
          <w:szCs w:val="24"/>
        </w:rPr>
        <w:t>Sandborn</w:t>
      </w:r>
      <w:proofErr w:type="spellEnd"/>
      <w:r w:rsidRPr="00A63850">
        <w:rPr>
          <w:rFonts w:ascii="Book Antiqua" w:eastAsia="宋体" w:hAnsi="Book Antiqua" w:cs="宋体"/>
          <w:sz w:val="24"/>
          <w:szCs w:val="24"/>
        </w:rPr>
        <w:t xml:space="preserve"> WJ. Clinical utility of measuring infliximab and human anti-chimeric antibody concentrations in patients with inflammatory bowel disease. </w:t>
      </w:r>
      <w:r w:rsidRPr="00A63850">
        <w:rPr>
          <w:rFonts w:ascii="Book Antiqua" w:eastAsia="宋体" w:hAnsi="Book Antiqua" w:cs="宋体"/>
          <w:i/>
          <w:iCs/>
          <w:sz w:val="24"/>
          <w:szCs w:val="24"/>
        </w:rPr>
        <w:t xml:space="preserve">Am J </w:t>
      </w:r>
      <w:proofErr w:type="spellStart"/>
      <w:r w:rsidRPr="00A63850">
        <w:rPr>
          <w:rFonts w:ascii="Book Antiqua" w:eastAsia="宋体" w:hAnsi="Book Antiqua" w:cs="宋体"/>
          <w:i/>
          <w:iCs/>
          <w:sz w:val="24"/>
          <w:szCs w:val="24"/>
        </w:rPr>
        <w:t>Gastroenterol</w:t>
      </w:r>
      <w:proofErr w:type="spellEnd"/>
      <w:r w:rsidRPr="00A63850">
        <w:rPr>
          <w:rFonts w:ascii="Book Antiqua" w:eastAsia="宋体" w:hAnsi="Book Antiqua" w:cs="宋体"/>
          <w:sz w:val="24"/>
          <w:szCs w:val="24"/>
        </w:rPr>
        <w:t> 2010; </w:t>
      </w:r>
      <w:r w:rsidRPr="00A63850">
        <w:rPr>
          <w:rFonts w:ascii="Book Antiqua" w:eastAsia="宋体" w:hAnsi="Book Antiqua" w:cs="宋体"/>
          <w:b/>
          <w:bCs/>
          <w:sz w:val="24"/>
          <w:szCs w:val="24"/>
        </w:rPr>
        <w:t>105</w:t>
      </w:r>
      <w:r w:rsidRPr="00A63850">
        <w:rPr>
          <w:rFonts w:ascii="Book Antiqua" w:eastAsia="宋体" w:hAnsi="Book Antiqua" w:cs="宋体"/>
          <w:sz w:val="24"/>
          <w:szCs w:val="24"/>
        </w:rPr>
        <w:t>: 1133-1139 [PMID: 20145610 DOI: 10.1038/ajg.2010.9]</w:t>
      </w:r>
    </w:p>
    <w:p w14:paraId="5161FBBF"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51 </w:t>
      </w:r>
      <w:proofErr w:type="spellStart"/>
      <w:r w:rsidRPr="00A63850">
        <w:rPr>
          <w:rFonts w:ascii="Book Antiqua" w:eastAsia="宋体" w:hAnsi="Book Antiqua" w:cs="宋体"/>
          <w:b/>
          <w:bCs/>
          <w:sz w:val="24"/>
          <w:szCs w:val="24"/>
        </w:rPr>
        <w:t>Steenholdt</w:t>
      </w:r>
      <w:proofErr w:type="spellEnd"/>
      <w:r w:rsidRPr="00A63850">
        <w:rPr>
          <w:rFonts w:ascii="Book Antiqua" w:eastAsia="宋体" w:hAnsi="Book Antiqua" w:cs="宋体"/>
          <w:b/>
          <w:bCs/>
          <w:sz w:val="24"/>
          <w:szCs w:val="24"/>
        </w:rPr>
        <w:t xml:space="preserve"> C</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Brynskov</w:t>
      </w:r>
      <w:proofErr w:type="spellEnd"/>
      <w:r w:rsidRPr="00A63850">
        <w:rPr>
          <w:rFonts w:ascii="Book Antiqua" w:eastAsia="宋体" w:hAnsi="Book Antiqua" w:cs="宋体"/>
          <w:sz w:val="24"/>
          <w:szCs w:val="24"/>
        </w:rPr>
        <w:t xml:space="preserve"> J, Thomsen OØ, </w:t>
      </w:r>
      <w:proofErr w:type="spellStart"/>
      <w:r w:rsidRPr="00A63850">
        <w:rPr>
          <w:rFonts w:ascii="Book Antiqua" w:eastAsia="宋体" w:hAnsi="Book Antiqua" w:cs="宋体"/>
          <w:sz w:val="24"/>
          <w:szCs w:val="24"/>
        </w:rPr>
        <w:t>Munck</w:t>
      </w:r>
      <w:proofErr w:type="spellEnd"/>
      <w:r w:rsidRPr="00A63850">
        <w:rPr>
          <w:rFonts w:ascii="Book Antiqua" w:eastAsia="宋体" w:hAnsi="Book Antiqua" w:cs="宋体"/>
          <w:sz w:val="24"/>
          <w:szCs w:val="24"/>
        </w:rPr>
        <w:t xml:space="preserve"> LK, </w:t>
      </w:r>
      <w:proofErr w:type="spellStart"/>
      <w:r w:rsidRPr="00A63850">
        <w:rPr>
          <w:rFonts w:ascii="Book Antiqua" w:eastAsia="宋体" w:hAnsi="Book Antiqua" w:cs="宋体"/>
          <w:sz w:val="24"/>
          <w:szCs w:val="24"/>
        </w:rPr>
        <w:t>Fallingborg</w:t>
      </w:r>
      <w:proofErr w:type="spellEnd"/>
      <w:r w:rsidRPr="00A63850">
        <w:rPr>
          <w:rFonts w:ascii="Book Antiqua" w:eastAsia="宋体" w:hAnsi="Book Antiqua" w:cs="宋体"/>
          <w:sz w:val="24"/>
          <w:szCs w:val="24"/>
        </w:rPr>
        <w:t xml:space="preserve"> J, Christensen LA, Pedersen G, </w:t>
      </w:r>
      <w:proofErr w:type="spellStart"/>
      <w:r w:rsidRPr="00A63850">
        <w:rPr>
          <w:rFonts w:ascii="Book Antiqua" w:eastAsia="宋体" w:hAnsi="Book Antiqua" w:cs="宋体"/>
          <w:sz w:val="24"/>
          <w:szCs w:val="24"/>
        </w:rPr>
        <w:t>Kjeldsen</w:t>
      </w:r>
      <w:proofErr w:type="spellEnd"/>
      <w:r w:rsidRPr="00A63850">
        <w:rPr>
          <w:rFonts w:ascii="Book Antiqua" w:eastAsia="宋体" w:hAnsi="Book Antiqua" w:cs="宋体"/>
          <w:sz w:val="24"/>
          <w:szCs w:val="24"/>
        </w:rPr>
        <w:t xml:space="preserve"> J, Jacobsen BA, </w:t>
      </w:r>
      <w:proofErr w:type="spellStart"/>
      <w:r w:rsidRPr="00A63850">
        <w:rPr>
          <w:rFonts w:ascii="Book Antiqua" w:eastAsia="宋体" w:hAnsi="Book Antiqua" w:cs="宋体"/>
          <w:sz w:val="24"/>
          <w:szCs w:val="24"/>
        </w:rPr>
        <w:t>Oxholm</w:t>
      </w:r>
      <w:proofErr w:type="spellEnd"/>
      <w:r w:rsidRPr="00A63850">
        <w:rPr>
          <w:rFonts w:ascii="Book Antiqua" w:eastAsia="宋体" w:hAnsi="Book Antiqua" w:cs="宋体"/>
          <w:sz w:val="24"/>
          <w:szCs w:val="24"/>
        </w:rPr>
        <w:t xml:space="preserve"> AS, </w:t>
      </w:r>
      <w:proofErr w:type="spellStart"/>
      <w:r w:rsidRPr="00A63850">
        <w:rPr>
          <w:rFonts w:ascii="Book Antiqua" w:eastAsia="宋体" w:hAnsi="Book Antiqua" w:cs="宋体"/>
          <w:sz w:val="24"/>
          <w:szCs w:val="24"/>
        </w:rPr>
        <w:t>Kjellberg</w:t>
      </w:r>
      <w:proofErr w:type="spellEnd"/>
      <w:r w:rsidRPr="00A63850">
        <w:rPr>
          <w:rFonts w:ascii="Book Antiqua" w:eastAsia="宋体" w:hAnsi="Book Antiqua" w:cs="宋体"/>
          <w:sz w:val="24"/>
          <w:szCs w:val="24"/>
        </w:rPr>
        <w:t xml:space="preserve"> J, </w:t>
      </w:r>
      <w:proofErr w:type="spellStart"/>
      <w:r w:rsidRPr="00A63850">
        <w:rPr>
          <w:rFonts w:ascii="Book Antiqua" w:eastAsia="宋体" w:hAnsi="Book Antiqua" w:cs="宋体"/>
          <w:sz w:val="24"/>
          <w:szCs w:val="24"/>
        </w:rPr>
        <w:t>Bendtzen</w:t>
      </w:r>
      <w:proofErr w:type="spellEnd"/>
      <w:r w:rsidRPr="00A63850">
        <w:rPr>
          <w:rFonts w:ascii="Book Antiqua" w:eastAsia="宋体" w:hAnsi="Book Antiqua" w:cs="宋体"/>
          <w:sz w:val="24"/>
          <w:szCs w:val="24"/>
        </w:rPr>
        <w:t xml:space="preserve"> K, Ainsworth MA. Individualised therapy is more cost-effective than dose intensification in patients with </w:t>
      </w:r>
      <w:proofErr w:type="spellStart"/>
      <w:r w:rsidRPr="00A63850">
        <w:rPr>
          <w:rFonts w:ascii="Book Antiqua" w:eastAsia="宋体" w:hAnsi="Book Antiqua" w:cs="宋体"/>
          <w:sz w:val="24"/>
          <w:szCs w:val="24"/>
        </w:rPr>
        <w:t>Crohn's</w:t>
      </w:r>
      <w:proofErr w:type="spellEnd"/>
      <w:r w:rsidRPr="00A63850">
        <w:rPr>
          <w:rFonts w:ascii="Book Antiqua" w:eastAsia="宋体" w:hAnsi="Book Antiqua" w:cs="宋体"/>
          <w:sz w:val="24"/>
          <w:szCs w:val="24"/>
        </w:rPr>
        <w:t xml:space="preserve"> disease who lose response to anti-TNF treatment: a randomised, controlled trial. </w:t>
      </w:r>
      <w:r w:rsidRPr="00A63850">
        <w:rPr>
          <w:rFonts w:ascii="Book Antiqua" w:eastAsia="宋体" w:hAnsi="Book Antiqua" w:cs="宋体"/>
          <w:i/>
          <w:iCs/>
          <w:sz w:val="24"/>
          <w:szCs w:val="24"/>
        </w:rPr>
        <w:t>Gut</w:t>
      </w:r>
      <w:r w:rsidRPr="00A63850">
        <w:rPr>
          <w:rFonts w:ascii="Book Antiqua" w:eastAsia="宋体" w:hAnsi="Book Antiqua" w:cs="宋体"/>
          <w:sz w:val="24"/>
          <w:szCs w:val="24"/>
        </w:rPr>
        <w:t> 2014; </w:t>
      </w:r>
      <w:r w:rsidRPr="00A63850">
        <w:rPr>
          <w:rFonts w:ascii="Book Antiqua" w:eastAsia="宋体" w:hAnsi="Book Antiqua" w:cs="宋体"/>
          <w:b/>
          <w:bCs/>
          <w:sz w:val="24"/>
          <w:szCs w:val="24"/>
        </w:rPr>
        <w:t>63</w:t>
      </w:r>
      <w:r w:rsidRPr="00A63850">
        <w:rPr>
          <w:rFonts w:ascii="Book Antiqua" w:eastAsia="宋体" w:hAnsi="Book Antiqua" w:cs="宋体"/>
          <w:sz w:val="24"/>
          <w:szCs w:val="24"/>
        </w:rPr>
        <w:t>: 919-927 [PMID: 23878167 DOI: 10.1136/gutjnl-2013-305279]</w:t>
      </w:r>
    </w:p>
    <w:p w14:paraId="3703B603"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52 </w:t>
      </w:r>
      <w:r w:rsidRPr="00A63850">
        <w:rPr>
          <w:rFonts w:ascii="Book Antiqua" w:eastAsia="宋体" w:hAnsi="Book Antiqua" w:cs="宋体"/>
          <w:b/>
          <w:bCs/>
          <w:sz w:val="24"/>
          <w:szCs w:val="24"/>
        </w:rPr>
        <w:t>Ben-</w:t>
      </w:r>
      <w:proofErr w:type="spellStart"/>
      <w:r w:rsidRPr="00A63850">
        <w:rPr>
          <w:rFonts w:ascii="Book Antiqua" w:eastAsia="宋体" w:hAnsi="Book Antiqua" w:cs="宋体"/>
          <w:b/>
          <w:bCs/>
          <w:sz w:val="24"/>
          <w:szCs w:val="24"/>
        </w:rPr>
        <w:t>Horin</w:t>
      </w:r>
      <w:proofErr w:type="spellEnd"/>
      <w:r w:rsidRPr="00A63850">
        <w:rPr>
          <w:rFonts w:ascii="Book Antiqua" w:eastAsia="宋体" w:hAnsi="Book Antiqua" w:cs="宋体"/>
          <w:b/>
          <w:bCs/>
          <w:sz w:val="24"/>
          <w:szCs w:val="24"/>
        </w:rPr>
        <w:t xml:space="preserve"> S</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Yavzori</w:t>
      </w:r>
      <w:proofErr w:type="spellEnd"/>
      <w:r w:rsidRPr="00A63850">
        <w:rPr>
          <w:rFonts w:ascii="Book Antiqua" w:eastAsia="宋体" w:hAnsi="Book Antiqua" w:cs="宋体"/>
          <w:sz w:val="24"/>
          <w:szCs w:val="24"/>
        </w:rPr>
        <w:t xml:space="preserve"> M, Katz L, </w:t>
      </w:r>
      <w:proofErr w:type="spellStart"/>
      <w:r w:rsidRPr="00A63850">
        <w:rPr>
          <w:rFonts w:ascii="Book Antiqua" w:eastAsia="宋体" w:hAnsi="Book Antiqua" w:cs="宋体"/>
          <w:sz w:val="24"/>
          <w:szCs w:val="24"/>
        </w:rPr>
        <w:t>Kopylov</w:t>
      </w:r>
      <w:proofErr w:type="spellEnd"/>
      <w:r w:rsidRPr="00A63850">
        <w:rPr>
          <w:rFonts w:ascii="Book Antiqua" w:eastAsia="宋体" w:hAnsi="Book Antiqua" w:cs="宋体"/>
          <w:sz w:val="24"/>
          <w:szCs w:val="24"/>
        </w:rPr>
        <w:t xml:space="preserve"> U, Picard O, </w:t>
      </w:r>
      <w:proofErr w:type="spellStart"/>
      <w:r w:rsidRPr="00A63850">
        <w:rPr>
          <w:rFonts w:ascii="Book Antiqua" w:eastAsia="宋体" w:hAnsi="Book Antiqua" w:cs="宋体"/>
          <w:sz w:val="24"/>
          <w:szCs w:val="24"/>
        </w:rPr>
        <w:t>Fudim</w:t>
      </w:r>
      <w:proofErr w:type="spellEnd"/>
      <w:r w:rsidRPr="00A63850">
        <w:rPr>
          <w:rFonts w:ascii="Book Antiqua" w:eastAsia="宋体" w:hAnsi="Book Antiqua" w:cs="宋体"/>
          <w:sz w:val="24"/>
          <w:szCs w:val="24"/>
        </w:rPr>
        <w:t xml:space="preserve"> E, </w:t>
      </w:r>
      <w:proofErr w:type="spellStart"/>
      <w:r w:rsidRPr="00A63850">
        <w:rPr>
          <w:rFonts w:ascii="Book Antiqua" w:eastAsia="宋体" w:hAnsi="Book Antiqua" w:cs="宋体"/>
          <w:sz w:val="24"/>
          <w:szCs w:val="24"/>
        </w:rPr>
        <w:t>Coscas</w:t>
      </w:r>
      <w:proofErr w:type="spellEnd"/>
      <w:r w:rsidRPr="00A63850">
        <w:rPr>
          <w:rFonts w:ascii="Book Antiqua" w:eastAsia="宋体" w:hAnsi="Book Antiqua" w:cs="宋体"/>
          <w:sz w:val="24"/>
          <w:szCs w:val="24"/>
        </w:rPr>
        <w:t xml:space="preserve"> D, Bar-Meir S, Goldstein I, </w:t>
      </w:r>
      <w:proofErr w:type="spellStart"/>
      <w:r w:rsidRPr="00A63850">
        <w:rPr>
          <w:rFonts w:ascii="Book Antiqua" w:eastAsia="宋体" w:hAnsi="Book Antiqua" w:cs="宋体"/>
          <w:sz w:val="24"/>
          <w:szCs w:val="24"/>
        </w:rPr>
        <w:t>Chowers</w:t>
      </w:r>
      <w:proofErr w:type="spellEnd"/>
      <w:r w:rsidRPr="00A63850">
        <w:rPr>
          <w:rFonts w:ascii="Book Antiqua" w:eastAsia="宋体" w:hAnsi="Book Antiqua" w:cs="宋体"/>
          <w:sz w:val="24"/>
          <w:szCs w:val="24"/>
        </w:rPr>
        <w:t xml:space="preserve"> Y. The immunogenic part of infliximab is the F(</w:t>
      </w:r>
      <w:proofErr w:type="spellStart"/>
      <w:r w:rsidRPr="00A63850">
        <w:rPr>
          <w:rFonts w:ascii="Book Antiqua" w:eastAsia="宋体" w:hAnsi="Book Antiqua" w:cs="宋体"/>
          <w:sz w:val="24"/>
          <w:szCs w:val="24"/>
        </w:rPr>
        <w:t>ab</w:t>
      </w:r>
      <w:proofErr w:type="spellEnd"/>
      <w:r w:rsidRPr="00A63850">
        <w:rPr>
          <w:rFonts w:ascii="Book Antiqua" w:eastAsia="宋体" w:hAnsi="Book Antiqua" w:cs="宋体"/>
          <w:sz w:val="24"/>
          <w:szCs w:val="24"/>
        </w:rPr>
        <w:t>')2, but measuring antibodies to the intact infliximab molecule is more clinically useful. </w:t>
      </w:r>
      <w:r w:rsidRPr="00A63850">
        <w:rPr>
          <w:rFonts w:ascii="Book Antiqua" w:eastAsia="宋体" w:hAnsi="Book Antiqua" w:cs="宋体"/>
          <w:i/>
          <w:iCs/>
          <w:sz w:val="24"/>
          <w:szCs w:val="24"/>
        </w:rPr>
        <w:t>Gut</w:t>
      </w:r>
      <w:r w:rsidRPr="00A63850">
        <w:rPr>
          <w:rFonts w:ascii="Book Antiqua" w:eastAsia="宋体" w:hAnsi="Book Antiqua" w:cs="宋体"/>
          <w:sz w:val="24"/>
          <w:szCs w:val="24"/>
        </w:rPr>
        <w:t> 2011; </w:t>
      </w:r>
      <w:r w:rsidRPr="00A63850">
        <w:rPr>
          <w:rFonts w:ascii="Book Antiqua" w:eastAsia="宋体" w:hAnsi="Book Antiqua" w:cs="宋体"/>
          <w:b/>
          <w:bCs/>
          <w:sz w:val="24"/>
          <w:szCs w:val="24"/>
        </w:rPr>
        <w:t>60</w:t>
      </w:r>
      <w:r w:rsidRPr="00A63850">
        <w:rPr>
          <w:rFonts w:ascii="Book Antiqua" w:eastAsia="宋体" w:hAnsi="Book Antiqua" w:cs="宋体"/>
          <w:sz w:val="24"/>
          <w:szCs w:val="24"/>
        </w:rPr>
        <w:t>: 41-48 [PMID: 20519742]</w:t>
      </w:r>
    </w:p>
    <w:p w14:paraId="246A72F3"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lastRenderedPageBreak/>
        <w:t>53 </w:t>
      </w:r>
      <w:r w:rsidRPr="00A63850">
        <w:rPr>
          <w:rFonts w:ascii="Book Antiqua" w:eastAsia="宋体" w:hAnsi="Book Antiqua" w:cs="宋体"/>
          <w:b/>
          <w:bCs/>
          <w:sz w:val="24"/>
          <w:szCs w:val="24"/>
        </w:rPr>
        <w:t>O'Meara S</w:t>
      </w:r>
      <w:r w:rsidRPr="00A63850">
        <w:rPr>
          <w:rFonts w:ascii="Book Antiqua" w:eastAsia="宋体" w:hAnsi="Book Antiqua" w:cs="宋体"/>
          <w:sz w:val="24"/>
          <w:szCs w:val="24"/>
        </w:rPr>
        <w:t>, Nanda KS, Moss AC. Antibodies to infliximab and risk of infusion reactions in patients with inflammatory bowel disease: a systematic review and meta-analysis. </w:t>
      </w:r>
      <w:proofErr w:type="spellStart"/>
      <w:r w:rsidRPr="00A63850">
        <w:rPr>
          <w:rFonts w:ascii="Book Antiqua" w:eastAsia="宋体" w:hAnsi="Book Antiqua" w:cs="宋体"/>
          <w:i/>
          <w:iCs/>
          <w:sz w:val="24"/>
          <w:szCs w:val="24"/>
        </w:rPr>
        <w:t>Inflamm</w:t>
      </w:r>
      <w:proofErr w:type="spellEnd"/>
      <w:r w:rsidRPr="00A63850">
        <w:rPr>
          <w:rFonts w:ascii="Book Antiqua" w:eastAsia="宋体" w:hAnsi="Book Antiqua" w:cs="宋体"/>
          <w:i/>
          <w:iCs/>
          <w:sz w:val="24"/>
          <w:szCs w:val="24"/>
        </w:rPr>
        <w:t xml:space="preserve"> Bowel Dis</w:t>
      </w:r>
      <w:r w:rsidRPr="00A63850">
        <w:rPr>
          <w:rFonts w:ascii="Book Antiqua" w:eastAsia="宋体" w:hAnsi="Book Antiqua" w:cs="宋体"/>
          <w:sz w:val="24"/>
          <w:szCs w:val="24"/>
        </w:rPr>
        <w:t> 2014; </w:t>
      </w:r>
      <w:r w:rsidRPr="00A63850">
        <w:rPr>
          <w:rFonts w:ascii="Book Antiqua" w:eastAsia="宋体" w:hAnsi="Book Antiqua" w:cs="宋体"/>
          <w:b/>
          <w:bCs/>
          <w:sz w:val="24"/>
          <w:szCs w:val="24"/>
        </w:rPr>
        <w:t>20</w:t>
      </w:r>
      <w:r w:rsidRPr="00A63850">
        <w:rPr>
          <w:rFonts w:ascii="Book Antiqua" w:eastAsia="宋体" w:hAnsi="Book Antiqua" w:cs="宋体"/>
          <w:sz w:val="24"/>
          <w:szCs w:val="24"/>
        </w:rPr>
        <w:t>: 1-6 [PMID: 24280879 DOI: 10.1097/01.MIB.0000436951.80898.6d]</w:t>
      </w:r>
    </w:p>
    <w:p w14:paraId="22C8904C"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54 </w:t>
      </w:r>
      <w:proofErr w:type="spellStart"/>
      <w:r w:rsidRPr="00A63850">
        <w:rPr>
          <w:rFonts w:ascii="Book Antiqua" w:eastAsia="宋体" w:hAnsi="Book Antiqua" w:cs="宋体"/>
          <w:b/>
          <w:bCs/>
          <w:sz w:val="24"/>
          <w:szCs w:val="24"/>
        </w:rPr>
        <w:t>Panaccione</w:t>
      </w:r>
      <w:proofErr w:type="spellEnd"/>
      <w:r w:rsidRPr="00A63850">
        <w:rPr>
          <w:rFonts w:ascii="Book Antiqua" w:eastAsia="宋体" w:hAnsi="Book Antiqua" w:cs="宋体"/>
          <w:b/>
          <w:bCs/>
          <w:sz w:val="24"/>
          <w:szCs w:val="24"/>
        </w:rPr>
        <w:t xml:space="preserve"> R</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Ghosh</w:t>
      </w:r>
      <w:proofErr w:type="spellEnd"/>
      <w:r w:rsidRPr="00A63850">
        <w:rPr>
          <w:rFonts w:ascii="Book Antiqua" w:eastAsia="宋体" w:hAnsi="Book Antiqua" w:cs="宋体"/>
          <w:sz w:val="24"/>
          <w:szCs w:val="24"/>
        </w:rPr>
        <w:t xml:space="preserve"> S, Middleton S, </w:t>
      </w:r>
      <w:proofErr w:type="spellStart"/>
      <w:r w:rsidRPr="00A63850">
        <w:rPr>
          <w:rFonts w:ascii="Book Antiqua" w:eastAsia="宋体" w:hAnsi="Book Antiqua" w:cs="宋体"/>
          <w:sz w:val="24"/>
          <w:szCs w:val="24"/>
        </w:rPr>
        <w:t>Márquez</w:t>
      </w:r>
      <w:proofErr w:type="spellEnd"/>
      <w:r w:rsidRPr="00A63850">
        <w:rPr>
          <w:rFonts w:ascii="Book Antiqua" w:eastAsia="宋体" w:hAnsi="Book Antiqua" w:cs="宋体"/>
          <w:sz w:val="24"/>
          <w:szCs w:val="24"/>
        </w:rPr>
        <w:t xml:space="preserve"> JR, Scott BB, Flint L, van </w:t>
      </w:r>
      <w:proofErr w:type="spellStart"/>
      <w:r w:rsidRPr="00A63850">
        <w:rPr>
          <w:rFonts w:ascii="Book Antiqua" w:eastAsia="宋体" w:hAnsi="Book Antiqua" w:cs="宋体"/>
          <w:sz w:val="24"/>
          <w:szCs w:val="24"/>
        </w:rPr>
        <w:t>Hoogstraten</w:t>
      </w:r>
      <w:proofErr w:type="spellEnd"/>
      <w:r w:rsidRPr="00A63850">
        <w:rPr>
          <w:rFonts w:ascii="Book Antiqua" w:eastAsia="宋体" w:hAnsi="Book Antiqua" w:cs="宋体"/>
          <w:sz w:val="24"/>
          <w:szCs w:val="24"/>
        </w:rPr>
        <w:t xml:space="preserve"> HJ, Chen AC, </w:t>
      </w:r>
      <w:proofErr w:type="spellStart"/>
      <w:r w:rsidRPr="00A63850">
        <w:rPr>
          <w:rFonts w:ascii="Book Antiqua" w:eastAsia="宋体" w:hAnsi="Book Antiqua" w:cs="宋体"/>
          <w:sz w:val="24"/>
          <w:szCs w:val="24"/>
        </w:rPr>
        <w:t>Zheng</w:t>
      </w:r>
      <w:proofErr w:type="spellEnd"/>
      <w:r w:rsidRPr="00A63850">
        <w:rPr>
          <w:rFonts w:ascii="Book Antiqua" w:eastAsia="宋体" w:hAnsi="Book Antiqua" w:cs="宋体"/>
          <w:sz w:val="24"/>
          <w:szCs w:val="24"/>
        </w:rPr>
        <w:t xml:space="preserve"> H, </w:t>
      </w:r>
      <w:proofErr w:type="spellStart"/>
      <w:r w:rsidRPr="00A63850">
        <w:rPr>
          <w:rFonts w:ascii="Book Antiqua" w:eastAsia="宋体" w:hAnsi="Book Antiqua" w:cs="宋体"/>
          <w:sz w:val="24"/>
          <w:szCs w:val="24"/>
        </w:rPr>
        <w:t>Danese</w:t>
      </w:r>
      <w:proofErr w:type="spellEnd"/>
      <w:r w:rsidRPr="00A63850">
        <w:rPr>
          <w:rFonts w:ascii="Book Antiqua" w:eastAsia="宋体" w:hAnsi="Book Antiqua" w:cs="宋体"/>
          <w:sz w:val="24"/>
          <w:szCs w:val="24"/>
        </w:rPr>
        <w:t xml:space="preserve"> S, </w:t>
      </w:r>
      <w:proofErr w:type="spellStart"/>
      <w:r w:rsidRPr="00A63850">
        <w:rPr>
          <w:rFonts w:ascii="Book Antiqua" w:eastAsia="宋体" w:hAnsi="Book Antiqua" w:cs="宋体"/>
          <w:sz w:val="24"/>
          <w:szCs w:val="24"/>
        </w:rPr>
        <w:t>Rutgeerts</w:t>
      </w:r>
      <w:proofErr w:type="spellEnd"/>
      <w:r w:rsidRPr="00A63850">
        <w:rPr>
          <w:rFonts w:ascii="Book Antiqua" w:eastAsia="宋体" w:hAnsi="Book Antiqua" w:cs="宋体"/>
          <w:sz w:val="24"/>
          <w:szCs w:val="24"/>
        </w:rPr>
        <w:t xml:space="preserve"> P. Combination therapy with infliximab and azathioprine is superior to </w:t>
      </w:r>
      <w:proofErr w:type="spellStart"/>
      <w:r w:rsidRPr="00A63850">
        <w:rPr>
          <w:rFonts w:ascii="Book Antiqua" w:eastAsia="宋体" w:hAnsi="Book Antiqua" w:cs="宋体"/>
          <w:sz w:val="24"/>
          <w:szCs w:val="24"/>
        </w:rPr>
        <w:t>monotherapy</w:t>
      </w:r>
      <w:proofErr w:type="spellEnd"/>
      <w:r w:rsidRPr="00A63850">
        <w:rPr>
          <w:rFonts w:ascii="Book Antiqua" w:eastAsia="宋体" w:hAnsi="Book Antiqua" w:cs="宋体"/>
          <w:sz w:val="24"/>
          <w:szCs w:val="24"/>
        </w:rPr>
        <w:t xml:space="preserve"> with either agent in ulcerative colitis. </w:t>
      </w:r>
      <w:r w:rsidRPr="00A63850">
        <w:rPr>
          <w:rFonts w:ascii="Book Antiqua" w:eastAsia="宋体" w:hAnsi="Book Antiqua" w:cs="宋体"/>
          <w:i/>
          <w:iCs/>
          <w:sz w:val="24"/>
          <w:szCs w:val="24"/>
        </w:rPr>
        <w:t>Gastroenterology</w:t>
      </w:r>
      <w:r w:rsidRPr="00A63850">
        <w:rPr>
          <w:rFonts w:ascii="Book Antiqua" w:eastAsia="宋体" w:hAnsi="Book Antiqua" w:cs="宋体"/>
          <w:sz w:val="24"/>
          <w:szCs w:val="24"/>
        </w:rPr>
        <w:t> 2014; </w:t>
      </w:r>
      <w:r w:rsidRPr="00A63850">
        <w:rPr>
          <w:rFonts w:ascii="Book Antiqua" w:eastAsia="宋体" w:hAnsi="Book Antiqua" w:cs="宋体"/>
          <w:b/>
          <w:bCs/>
          <w:sz w:val="24"/>
          <w:szCs w:val="24"/>
        </w:rPr>
        <w:t>146</w:t>
      </w:r>
      <w:r w:rsidRPr="00A63850">
        <w:rPr>
          <w:rFonts w:ascii="Book Antiqua" w:eastAsia="宋体" w:hAnsi="Book Antiqua" w:cs="宋体"/>
          <w:sz w:val="24"/>
          <w:szCs w:val="24"/>
        </w:rPr>
        <w:t>: 392-400.e3 [PMID: 24512909 DOI: 10.1053/j.gastro.2013.10.052]</w:t>
      </w:r>
    </w:p>
    <w:p w14:paraId="03547A0C"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55 </w:t>
      </w:r>
      <w:proofErr w:type="spellStart"/>
      <w:r w:rsidRPr="00A63850">
        <w:rPr>
          <w:rFonts w:ascii="Book Antiqua" w:eastAsia="宋体" w:hAnsi="Book Antiqua" w:cs="宋体"/>
          <w:b/>
          <w:bCs/>
          <w:sz w:val="24"/>
          <w:szCs w:val="24"/>
        </w:rPr>
        <w:t>Colombel</w:t>
      </w:r>
      <w:proofErr w:type="spellEnd"/>
      <w:r w:rsidRPr="00A63850">
        <w:rPr>
          <w:rFonts w:ascii="Book Antiqua" w:eastAsia="宋体" w:hAnsi="Book Antiqua" w:cs="宋体"/>
          <w:b/>
          <w:bCs/>
          <w:sz w:val="24"/>
          <w:szCs w:val="24"/>
        </w:rPr>
        <w:t xml:space="preserve"> JF</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Sandborn</w:t>
      </w:r>
      <w:proofErr w:type="spellEnd"/>
      <w:r w:rsidRPr="00A63850">
        <w:rPr>
          <w:rFonts w:ascii="Book Antiqua" w:eastAsia="宋体" w:hAnsi="Book Antiqua" w:cs="宋体"/>
          <w:sz w:val="24"/>
          <w:szCs w:val="24"/>
        </w:rPr>
        <w:t xml:space="preserve"> WJ, </w:t>
      </w:r>
      <w:proofErr w:type="spellStart"/>
      <w:r w:rsidRPr="00A63850">
        <w:rPr>
          <w:rFonts w:ascii="Book Antiqua" w:eastAsia="宋体" w:hAnsi="Book Antiqua" w:cs="宋体"/>
          <w:sz w:val="24"/>
          <w:szCs w:val="24"/>
        </w:rPr>
        <w:t>Reinisch</w:t>
      </w:r>
      <w:proofErr w:type="spellEnd"/>
      <w:r w:rsidRPr="00A63850">
        <w:rPr>
          <w:rFonts w:ascii="Book Antiqua" w:eastAsia="宋体" w:hAnsi="Book Antiqua" w:cs="宋体"/>
          <w:sz w:val="24"/>
          <w:szCs w:val="24"/>
        </w:rPr>
        <w:t xml:space="preserve"> W, </w:t>
      </w:r>
      <w:proofErr w:type="spellStart"/>
      <w:r w:rsidRPr="00A63850">
        <w:rPr>
          <w:rFonts w:ascii="Book Antiqua" w:eastAsia="宋体" w:hAnsi="Book Antiqua" w:cs="宋体"/>
          <w:sz w:val="24"/>
          <w:szCs w:val="24"/>
        </w:rPr>
        <w:t>Mantzaris</w:t>
      </w:r>
      <w:proofErr w:type="spellEnd"/>
      <w:r w:rsidRPr="00A63850">
        <w:rPr>
          <w:rFonts w:ascii="Book Antiqua" w:eastAsia="宋体" w:hAnsi="Book Antiqua" w:cs="宋体"/>
          <w:sz w:val="24"/>
          <w:szCs w:val="24"/>
        </w:rPr>
        <w:t xml:space="preserve"> GJ, </w:t>
      </w:r>
      <w:proofErr w:type="spellStart"/>
      <w:r w:rsidRPr="00A63850">
        <w:rPr>
          <w:rFonts w:ascii="Book Antiqua" w:eastAsia="宋体" w:hAnsi="Book Antiqua" w:cs="宋体"/>
          <w:sz w:val="24"/>
          <w:szCs w:val="24"/>
        </w:rPr>
        <w:t>Kornbluth</w:t>
      </w:r>
      <w:proofErr w:type="spellEnd"/>
      <w:r w:rsidRPr="00A63850">
        <w:rPr>
          <w:rFonts w:ascii="Book Antiqua" w:eastAsia="宋体" w:hAnsi="Book Antiqua" w:cs="宋体"/>
          <w:sz w:val="24"/>
          <w:szCs w:val="24"/>
        </w:rPr>
        <w:t xml:space="preserve"> A, </w:t>
      </w:r>
      <w:proofErr w:type="spellStart"/>
      <w:r w:rsidRPr="00A63850">
        <w:rPr>
          <w:rFonts w:ascii="Book Antiqua" w:eastAsia="宋体" w:hAnsi="Book Antiqua" w:cs="宋体"/>
          <w:sz w:val="24"/>
          <w:szCs w:val="24"/>
        </w:rPr>
        <w:t>Rachmilewitz</w:t>
      </w:r>
      <w:proofErr w:type="spellEnd"/>
      <w:r w:rsidRPr="00A63850">
        <w:rPr>
          <w:rFonts w:ascii="Book Antiqua" w:eastAsia="宋体" w:hAnsi="Book Antiqua" w:cs="宋体"/>
          <w:sz w:val="24"/>
          <w:szCs w:val="24"/>
        </w:rPr>
        <w:t xml:space="preserve"> D, </w:t>
      </w:r>
      <w:proofErr w:type="spellStart"/>
      <w:r w:rsidRPr="00A63850">
        <w:rPr>
          <w:rFonts w:ascii="Book Antiqua" w:eastAsia="宋体" w:hAnsi="Book Antiqua" w:cs="宋体"/>
          <w:sz w:val="24"/>
          <w:szCs w:val="24"/>
        </w:rPr>
        <w:t>Lichtiger</w:t>
      </w:r>
      <w:proofErr w:type="spellEnd"/>
      <w:r w:rsidRPr="00A63850">
        <w:rPr>
          <w:rFonts w:ascii="Book Antiqua" w:eastAsia="宋体" w:hAnsi="Book Antiqua" w:cs="宋体"/>
          <w:sz w:val="24"/>
          <w:szCs w:val="24"/>
        </w:rPr>
        <w:t xml:space="preserve"> S, </w:t>
      </w:r>
      <w:proofErr w:type="spellStart"/>
      <w:r w:rsidRPr="00A63850">
        <w:rPr>
          <w:rFonts w:ascii="Book Antiqua" w:eastAsia="宋体" w:hAnsi="Book Antiqua" w:cs="宋体"/>
          <w:sz w:val="24"/>
          <w:szCs w:val="24"/>
        </w:rPr>
        <w:t>D'Haens</w:t>
      </w:r>
      <w:proofErr w:type="spellEnd"/>
      <w:r w:rsidRPr="00A63850">
        <w:rPr>
          <w:rFonts w:ascii="Book Antiqua" w:eastAsia="宋体" w:hAnsi="Book Antiqua" w:cs="宋体"/>
          <w:sz w:val="24"/>
          <w:szCs w:val="24"/>
        </w:rPr>
        <w:t xml:space="preserve"> G, Diamond RH, Broussard DL, Tang KL, van der </w:t>
      </w:r>
      <w:proofErr w:type="spellStart"/>
      <w:r w:rsidRPr="00A63850">
        <w:rPr>
          <w:rFonts w:ascii="Book Antiqua" w:eastAsia="宋体" w:hAnsi="Book Antiqua" w:cs="宋体"/>
          <w:sz w:val="24"/>
          <w:szCs w:val="24"/>
        </w:rPr>
        <w:t>Woude</w:t>
      </w:r>
      <w:proofErr w:type="spellEnd"/>
      <w:r w:rsidRPr="00A63850">
        <w:rPr>
          <w:rFonts w:ascii="Book Antiqua" w:eastAsia="宋体" w:hAnsi="Book Antiqua" w:cs="宋体"/>
          <w:sz w:val="24"/>
          <w:szCs w:val="24"/>
        </w:rPr>
        <w:t xml:space="preserve"> CJ, </w:t>
      </w:r>
      <w:proofErr w:type="spellStart"/>
      <w:r w:rsidRPr="00A63850">
        <w:rPr>
          <w:rFonts w:ascii="Book Antiqua" w:eastAsia="宋体" w:hAnsi="Book Antiqua" w:cs="宋体"/>
          <w:sz w:val="24"/>
          <w:szCs w:val="24"/>
        </w:rPr>
        <w:t>Rutgeerts</w:t>
      </w:r>
      <w:proofErr w:type="spellEnd"/>
      <w:r w:rsidRPr="00A63850">
        <w:rPr>
          <w:rFonts w:ascii="Book Antiqua" w:eastAsia="宋体" w:hAnsi="Book Antiqua" w:cs="宋体"/>
          <w:sz w:val="24"/>
          <w:szCs w:val="24"/>
        </w:rPr>
        <w:t xml:space="preserve"> P. Infliximab, azathioprine, or combination therapy for </w:t>
      </w:r>
      <w:proofErr w:type="spellStart"/>
      <w:r w:rsidRPr="00A63850">
        <w:rPr>
          <w:rFonts w:ascii="Book Antiqua" w:eastAsia="宋体" w:hAnsi="Book Antiqua" w:cs="宋体"/>
          <w:sz w:val="24"/>
          <w:szCs w:val="24"/>
        </w:rPr>
        <w:t>Crohn's</w:t>
      </w:r>
      <w:proofErr w:type="spellEnd"/>
      <w:r w:rsidRPr="00A63850">
        <w:rPr>
          <w:rFonts w:ascii="Book Antiqua" w:eastAsia="宋体" w:hAnsi="Book Antiqua" w:cs="宋体"/>
          <w:sz w:val="24"/>
          <w:szCs w:val="24"/>
        </w:rPr>
        <w:t xml:space="preserve"> disease. </w:t>
      </w:r>
      <w:r w:rsidRPr="00A63850">
        <w:rPr>
          <w:rFonts w:ascii="Book Antiqua" w:eastAsia="宋体" w:hAnsi="Book Antiqua" w:cs="宋体"/>
          <w:i/>
          <w:iCs/>
          <w:sz w:val="24"/>
          <w:szCs w:val="24"/>
        </w:rPr>
        <w:t xml:space="preserve">N </w:t>
      </w:r>
      <w:proofErr w:type="spellStart"/>
      <w:r w:rsidRPr="00A63850">
        <w:rPr>
          <w:rFonts w:ascii="Book Antiqua" w:eastAsia="宋体" w:hAnsi="Book Antiqua" w:cs="宋体"/>
          <w:i/>
          <w:iCs/>
          <w:sz w:val="24"/>
          <w:szCs w:val="24"/>
        </w:rPr>
        <w:t>Engl</w:t>
      </w:r>
      <w:proofErr w:type="spellEnd"/>
      <w:r w:rsidRPr="00A63850">
        <w:rPr>
          <w:rFonts w:ascii="Book Antiqua" w:eastAsia="宋体" w:hAnsi="Book Antiqua" w:cs="宋体"/>
          <w:i/>
          <w:iCs/>
          <w:sz w:val="24"/>
          <w:szCs w:val="24"/>
        </w:rPr>
        <w:t xml:space="preserve"> J Med</w:t>
      </w:r>
      <w:r w:rsidRPr="00A63850">
        <w:rPr>
          <w:rFonts w:ascii="Book Antiqua" w:eastAsia="宋体" w:hAnsi="Book Antiqua" w:cs="宋体"/>
          <w:sz w:val="24"/>
          <w:szCs w:val="24"/>
        </w:rPr>
        <w:t> 2010; </w:t>
      </w:r>
      <w:r w:rsidRPr="00A63850">
        <w:rPr>
          <w:rFonts w:ascii="Book Antiqua" w:eastAsia="宋体" w:hAnsi="Book Antiqua" w:cs="宋体"/>
          <w:b/>
          <w:bCs/>
          <w:sz w:val="24"/>
          <w:szCs w:val="24"/>
        </w:rPr>
        <w:t>362</w:t>
      </w:r>
      <w:r w:rsidRPr="00A63850">
        <w:rPr>
          <w:rFonts w:ascii="Book Antiqua" w:eastAsia="宋体" w:hAnsi="Book Antiqua" w:cs="宋体"/>
          <w:sz w:val="24"/>
          <w:szCs w:val="24"/>
        </w:rPr>
        <w:t>: 1383-1395 [PMID: 20393175 DOI: 10.1056/NEJMoa0904492]</w:t>
      </w:r>
    </w:p>
    <w:p w14:paraId="5ADAC7F1"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56 </w:t>
      </w:r>
      <w:r w:rsidRPr="00A63850">
        <w:rPr>
          <w:rFonts w:ascii="Book Antiqua" w:eastAsia="宋体" w:hAnsi="Book Antiqua" w:cs="宋体"/>
          <w:b/>
          <w:bCs/>
          <w:sz w:val="24"/>
          <w:szCs w:val="24"/>
        </w:rPr>
        <w:t xml:space="preserve">van </w:t>
      </w:r>
      <w:proofErr w:type="spellStart"/>
      <w:r w:rsidRPr="00A63850">
        <w:rPr>
          <w:rFonts w:ascii="Book Antiqua" w:eastAsia="宋体" w:hAnsi="Book Antiqua" w:cs="宋体"/>
          <w:b/>
          <w:bCs/>
          <w:sz w:val="24"/>
          <w:szCs w:val="24"/>
        </w:rPr>
        <w:t>Schaik</w:t>
      </w:r>
      <w:proofErr w:type="spellEnd"/>
      <w:r w:rsidRPr="00A63850">
        <w:rPr>
          <w:rFonts w:ascii="Book Antiqua" w:eastAsia="宋体" w:hAnsi="Book Antiqua" w:cs="宋体"/>
          <w:b/>
          <w:bCs/>
          <w:sz w:val="24"/>
          <w:szCs w:val="24"/>
        </w:rPr>
        <w:t xml:space="preserve"> T</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Maljaars</w:t>
      </w:r>
      <w:proofErr w:type="spellEnd"/>
      <w:r w:rsidRPr="00A63850">
        <w:rPr>
          <w:rFonts w:ascii="Book Antiqua" w:eastAsia="宋体" w:hAnsi="Book Antiqua" w:cs="宋体"/>
          <w:sz w:val="24"/>
          <w:szCs w:val="24"/>
        </w:rPr>
        <w:t xml:space="preserve"> JP, </w:t>
      </w:r>
      <w:proofErr w:type="spellStart"/>
      <w:r w:rsidRPr="00A63850">
        <w:rPr>
          <w:rFonts w:ascii="Book Antiqua" w:eastAsia="宋体" w:hAnsi="Book Antiqua" w:cs="宋体"/>
          <w:sz w:val="24"/>
          <w:szCs w:val="24"/>
        </w:rPr>
        <w:t>Roopram</w:t>
      </w:r>
      <w:proofErr w:type="spellEnd"/>
      <w:r w:rsidRPr="00A63850">
        <w:rPr>
          <w:rFonts w:ascii="Book Antiqua" w:eastAsia="宋体" w:hAnsi="Book Antiqua" w:cs="宋体"/>
          <w:sz w:val="24"/>
          <w:szCs w:val="24"/>
        </w:rPr>
        <w:t xml:space="preserve"> RK, </w:t>
      </w:r>
      <w:proofErr w:type="spellStart"/>
      <w:r w:rsidRPr="00A63850">
        <w:rPr>
          <w:rFonts w:ascii="Book Antiqua" w:eastAsia="宋体" w:hAnsi="Book Antiqua" w:cs="宋体"/>
          <w:sz w:val="24"/>
          <w:szCs w:val="24"/>
        </w:rPr>
        <w:t>Verwey</w:t>
      </w:r>
      <w:proofErr w:type="spellEnd"/>
      <w:r w:rsidRPr="00A63850">
        <w:rPr>
          <w:rFonts w:ascii="Book Antiqua" w:eastAsia="宋体" w:hAnsi="Book Antiqua" w:cs="宋体"/>
          <w:sz w:val="24"/>
          <w:szCs w:val="24"/>
        </w:rPr>
        <w:t xml:space="preserve"> MH, </w:t>
      </w:r>
      <w:proofErr w:type="spellStart"/>
      <w:r w:rsidRPr="00A63850">
        <w:rPr>
          <w:rFonts w:ascii="Book Antiqua" w:eastAsia="宋体" w:hAnsi="Book Antiqua" w:cs="宋体"/>
          <w:sz w:val="24"/>
          <w:szCs w:val="24"/>
        </w:rPr>
        <w:t>Ipenburg</w:t>
      </w:r>
      <w:proofErr w:type="spellEnd"/>
      <w:r w:rsidRPr="00A63850">
        <w:rPr>
          <w:rFonts w:ascii="Book Antiqua" w:eastAsia="宋体" w:hAnsi="Book Antiqua" w:cs="宋体"/>
          <w:sz w:val="24"/>
          <w:szCs w:val="24"/>
        </w:rPr>
        <w:t xml:space="preserve"> N, Hardwick JC, </w:t>
      </w:r>
      <w:proofErr w:type="spellStart"/>
      <w:r w:rsidRPr="00A63850">
        <w:rPr>
          <w:rFonts w:ascii="Book Antiqua" w:eastAsia="宋体" w:hAnsi="Book Antiqua" w:cs="宋体"/>
          <w:sz w:val="24"/>
          <w:szCs w:val="24"/>
        </w:rPr>
        <w:t>Veenendaal</w:t>
      </w:r>
      <w:proofErr w:type="spellEnd"/>
      <w:r w:rsidRPr="00A63850">
        <w:rPr>
          <w:rFonts w:ascii="Book Antiqua" w:eastAsia="宋体" w:hAnsi="Book Antiqua" w:cs="宋体"/>
          <w:sz w:val="24"/>
          <w:szCs w:val="24"/>
        </w:rPr>
        <w:t xml:space="preserve"> RA, van der </w:t>
      </w:r>
      <w:proofErr w:type="spellStart"/>
      <w:r w:rsidRPr="00A63850">
        <w:rPr>
          <w:rFonts w:ascii="Book Antiqua" w:eastAsia="宋体" w:hAnsi="Book Antiqua" w:cs="宋体"/>
          <w:sz w:val="24"/>
          <w:szCs w:val="24"/>
        </w:rPr>
        <w:t>Meulen</w:t>
      </w:r>
      <w:proofErr w:type="spellEnd"/>
      <w:r w:rsidRPr="00A63850">
        <w:rPr>
          <w:rFonts w:ascii="Book Antiqua" w:eastAsia="宋体" w:hAnsi="Book Antiqua" w:cs="宋体"/>
          <w:sz w:val="24"/>
          <w:szCs w:val="24"/>
        </w:rPr>
        <w:t>-de Jong AE. Influence of combination therapy with immune modulators on anti-TNF trough levels and antibodies in patients with IBD. </w:t>
      </w:r>
      <w:proofErr w:type="spellStart"/>
      <w:r w:rsidRPr="00A63850">
        <w:rPr>
          <w:rFonts w:ascii="Book Antiqua" w:eastAsia="宋体" w:hAnsi="Book Antiqua" w:cs="宋体"/>
          <w:i/>
          <w:iCs/>
          <w:sz w:val="24"/>
          <w:szCs w:val="24"/>
        </w:rPr>
        <w:t>Inflamm</w:t>
      </w:r>
      <w:proofErr w:type="spellEnd"/>
      <w:r w:rsidRPr="00A63850">
        <w:rPr>
          <w:rFonts w:ascii="Book Antiqua" w:eastAsia="宋体" w:hAnsi="Book Antiqua" w:cs="宋体"/>
          <w:i/>
          <w:iCs/>
          <w:sz w:val="24"/>
          <w:szCs w:val="24"/>
        </w:rPr>
        <w:t xml:space="preserve"> Bowel Dis</w:t>
      </w:r>
      <w:r w:rsidRPr="00A63850">
        <w:rPr>
          <w:rFonts w:ascii="Book Antiqua" w:eastAsia="宋体" w:hAnsi="Book Antiqua" w:cs="宋体"/>
          <w:sz w:val="24"/>
          <w:szCs w:val="24"/>
        </w:rPr>
        <w:t> 2014; </w:t>
      </w:r>
      <w:r w:rsidRPr="00A63850">
        <w:rPr>
          <w:rFonts w:ascii="Book Antiqua" w:eastAsia="宋体" w:hAnsi="Book Antiqua" w:cs="宋体"/>
          <w:b/>
          <w:bCs/>
          <w:sz w:val="24"/>
          <w:szCs w:val="24"/>
        </w:rPr>
        <w:t>20</w:t>
      </w:r>
      <w:r w:rsidRPr="00A63850">
        <w:rPr>
          <w:rFonts w:ascii="Book Antiqua" w:eastAsia="宋体" w:hAnsi="Book Antiqua" w:cs="宋体"/>
          <w:sz w:val="24"/>
          <w:szCs w:val="24"/>
        </w:rPr>
        <w:t>: 2292-2298 [PMID: 25230167 DOI: 10.1097/MIB.0000000000000208]</w:t>
      </w:r>
    </w:p>
    <w:p w14:paraId="1635617E"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57 </w:t>
      </w:r>
      <w:r w:rsidRPr="00A63850">
        <w:rPr>
          <w:rFonts w:ascii="Book Antiqua" w:eastAsia="宋体" w:hAnsi="Book Antiqua" w:cs="宋体"/>
          <w:b/>
          <w:bCs/>
          <w:sz w:val="24"/>
          <w:szCs w:val="24"/>
        </w:rPr>
        <w:t>Dubinsky MC</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Lamothe</w:t>
      </w:r>
      <w:proofErr w:type="spellEnd"/>
      <w:r w:rsidRPr="00A63850">
        <w:rPr>
          <w:rFonts w:ascii="Book Antiqua" w:eastAsia="宋体" w:hAnsi="Book Antiqua" w:cs="宋体"/>
          <w:sz w:val="24"/>
          <w:szCs w:val="24"/>
        </w:rPr>
        <w:t xml:space="preserve"> S, Yang HY, </w:t>
      </w:r>
      <w:proofErr w:type="spellStart"/>
      <w:r w:rsidRPr="00A63850">
        <w:rPr>
          <w:rFonts w:ascii="Book Antiqua" w:eastAsia="宋体" w:hAnsi="Book Antiqua" w:cs="宋体"/>
          <w:sz w:val="24"/>
          <w:szCs w:val="24"/>
        </w:rPr>
        <w:t>Targan</w:t>
      </w:r>
      <w:proofErr w:type="spellEnd"/>
      <w:r w:rsidRPr="00A63850">
        <w:rPr>
          <w:rFonts w:ascii="Book Antiqua" w:eastAsia="宋体" w:hAnsi="Book Antiqua" w:cs="宋体"/>
          <w:sz w:val="24"/>
          <w:szCs w:val="24"/>
        </w:rPr>
        <w:t xml:space="preserve"> SR, </w:t>
      </w:r>
      <w:proofErr w:type="spellStart"/>
      <w:r w:rsidRPr="00A63850">
        <w:rPr>
          <w:rFonts w:ascii="Book Antiqua" w:eastAsia="宋体" w:hAnsi="Book Antiqua" w:cs="宋体"/>
          <w:sz w:val="24"/>
          <w:szCs w:val="24"/>
        </w:rPr>
        <w:t>Sinnett</w:t>
      </w:r>
      <w:proofErr w:type="spellEnd"/>
      <w:r w:rsidRPr="00A63850">
        <w:rPr>
          <w:rFonts w:ascii="Book Antiqua" w:eastAsia="宋体" w:hAnsi="Book Antiqua" w:cs="宋体"/>
          <w:sz w:val="24"/>
          <w:szCs w:val="24"/>
        </w:rPr>
        <w:t xml:space="preserve"> D, </w:t>
      </w:r>
      <w:proofErr w:type="spellStart"/>
      <w:r w:rsidRPr="00A63850">
        <w:rPr>
          <w:rFonts w:ascii="Book Antiqua" w:eastAsia="宋体" w:hAnsi="Book Antiqua" w:cs="宋体"/>
          <w:sz w:val="24"/>
          <w:szCs w:val="24"/>
        </w:rPr>
        <w:t>Théorêt</w:t>
      </w:r>
      <w:proofErr w:type="spellEnd"/>
      <w:r w:rsidRPr="00A63850">
        <w:rPr>
          <w:rFonts w:ascii="Book Antiqua" w:eastAsia="宋体" w:hAnsi="Book Antiqua" w:cs="宋体"/>
          <w:sz w:val="24"/>
          <w:szCs w:val="24"/>
        </w:rPr>
        <w:t xml:space="preserve"> Y, </w:t>
      </w:r>
      <w:proofErr w:type="spellStart"/>
      <w:r w:rsidRPr="00A63850">
        <w:rPr>
          <w:rFonts w:ascii="Book Antiqua" w:eastAsia="宋体" w:hAnsi="Book Antiqua" w:cs="宋体"/>
          <w:sz w:val="24"/>
          <w:szCs w:val="24"/>
        </w:rPr>
        <w:t>Seidman</w:t>
      </w:r>
      <w:proofErr w:type="spellEnd"/>
      <w:r w:rsidRPr="00A63850">
        <w:rPr>
          <w:rFonts w:ascii="Book Antiqua" w:eastAsia="宋体" w:hAnsi="Book Antiqua" w:cs="宋体"/>
          <w:sz w:val="24"/>
          <w:szCs w:val="24"/>
        </w:rPr>
        <w:t xml:space="preserve"> EG. Pharmacogenomics and metabolite measurement for 6-mercaptopurine therapy in inflammatory bowel disease. </w:t>
      </w:r>
      <w:r w:rsidRPr="00A63850">
        <w:rPr>
          <w:rFonts w:ascii="Book Antiqua" w:eastAsia="宋体" w:hAnsi="Book Antiqua" w:cs="宋体"/>
          <w:i/>
          <w:iCs/>
          <w:sz w:val="24"/>
          <w:szCs w:val="24"/>
        </w:rPr>
        <w:t>Gastroenterology</w:t>
      </w:r>
      <w:r w:rsidRPr="00A63850">
        <w:rPr>
          <w:rFonts w:ascii="Book Antiqua" w:eastAsia="宋体" w:hAnsi="Book Antiqua" w:cs="宋体"/>
          <w:sz w:val="24"/>
          <w:szCs w:val="24"/>
        </w:rPr>
        <w:t> 2000; </w:t>
      </w:r>
      <w:r w:rsidRPr="00A63850">
        <w:rPr>
          <w:rFonts w:ascii="Book Antiqua" w:eastAsia="宋体" w:hAnsi="Book Antiqua" w:cs="宋体"/>
          <w:b/>
          <w:bCs/>
          <w:sz w:val="24"/>
          <w:szCs w:val="24"/>
        </w:rPr>
        <w:t>118</w:t>
      </w:r>
      <w:r w:rsidRPr="00A63850">
        <w:rPr>
          <w:rFonts w:ascii="Book Antiqua" w:eastAsia="宋体" w:hAnsi="Book Antiqua" w:cs="宋体"/>
          <w:sz w:val="24"/>
          <w:szCs w:val="24"/>
        </w:rPr>
        <w:t>: 705-713 [PMID: 10734022 DOI: 10.1016/S0016-5085(00)70140-5]</w:t>
      </w:r>
    </w:p>
    <w:p w14:paraId="18E9C956"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58 </w:t>
      </w:r>
      <w:proofErr w:type="spellStart"/>
      <w:r w:rsidRPr="00A63850">
        <w:rPr>
          <w:rFonts w:ascii="Book Antiqua" w:eastAsia="宋体" w:hAnsi="Book Antiqua" w:cs="宋体"/>
          <w:b/>
          <w:bCs/>
          <w:sz w:val="24"/>
          <w:szCs w:val="24"/>
        </w:rPr>
        <w:t>Yarur</w:t>
      </w:r>
      <w:proofErr w:type="spellEnd"/>
      <w:r w:rsidRPr="00A63850">
        <w:rPr>
          <w:rFonts w:ascii="Book Antiqua" w:eastAsia="宋体" w:hAnsi="Book Antiqua" w:cs="宋体"/>
          <w:b/>
          <w:bCs/>
          <w:sz w:val="24"/>
          <w:szCs w:val="24"/>
        </w:rPr>
        <w:t xml:space="preserve"> AJ</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Kubiliun</w:t>
      </w:r>
      <w:proofErr w:type="spellEnd"/>
      <w:r w:rsidRPr="00A63850">
        <w:rPr>
          <w:rFonts w:ascii="Book Antiqua" w:eastAsia="宋体" w:hAnsi="Book Antiqua" w:cs="宋体"/>
          <w:sz w:val="24"/>
          <w:szCs w:val="24"/>
        </w:rPr>
        <w:t xml:space="preserve"> MJ, </w:t>
      </w:r>
      <w:proofErr w:type="spellStart"/>
      <w:r w:rsidRPr="00A63850">
        <w:rPr>
          <w:rFonts w:ascii="Book Antiqua" w:eastAsia="宋体" w:hAnsi="Book Antiqua" w:cs="宋体"/>
          <w:sz w:val="24"/>
          <w:szCs w:val="24"/>
        </w:rPr>
        <w:t>Czul</w:t>
      </w:r>
      <w:proofErr w:type="spellEnd"/>
      <w:r w:rsidRPr="00A63850">
        <w:rPr>
          <w:rFonts w:ascii="Book Antiqua" w:eastAsia="宋体" w:hAnsi="Book Antiqua" w:cs="宋体"/>
          <w:sz w:val="24"/>
          <w:szCs w:val="24"/>
        </w:rPr>
        <w:t xml:space="preserve"> F, </w:t>
      </w:r>
      <w:proofErr w:type="spellStart"/>
      <w:r w:rsidRPr="00A63850">
        <w:rPr>
          <w:rFonts w:ascii="Book Antiqua" w:eastAsia="宋体" w:hAnsi="Book Antiqua" w:cs="宋体"/>
          <w:sz w:val="24"/>
          <w:szCs w:val="24"/>
        </w:rPr>
        <w:t>Sussman</w:t>
      </w:r>
      <w:proofErr w:type="spellEnd"/>
      <w:r w:rsidRPr="00A63850">
        <w:rPr>
          <w:rFonts w:ascii="Book Antiqua" w:eastAsia="宋体" w:hAnsi="Book Antiqua" w:cs="宋体"/>
          <w:sz w:val="24"/>
          <w:szCs w:val="24"/>
        </w:rPr>
        <w:t xml:space="preserve"> DA, Quintero MA, Jain A, Drake KA, </w:t>
      </w:r>
      <w:proofErr w:type="spellStart"/>
      <w:r w:rsidRPr="00A63850">
        <w:rPr>
          <w:rFonts w:ascii="Book Antiqua" w:eastAsia="宋体" w:hAnsi="Book Antiqua" w:cs="宋体"/>
          <w:sz w:val="24"/>
          <w:szCs w:val="24"/>
        </w:rPr>
        <w:t>Hauenstein</w:t>
      </w:r>
      <w:proofErr w:type="spellEnd"/>
      <w:r w:rsidRPr="00A63850">
        <w:rPr>
          <w:rFonts w:ascii="Book Antiqua" w:eastAsia="宋体" w:hAnsi="Book Antiqua" w:cs="宋体"/>
          <w:sz w:val="24"/>
          <w:szCs w:val="24"/>
        </w:rPr>
        <w:t xml:space="preserve"> SI, </w:t>
      </w:r>
      <w:proofErr w:type="spellStart"/>
      <w:r w:rsidRPr="00A63850">
        <w:rPr>
          <w:rFonts w:ascii="Book Antiqua" w:eastAsia="宋体" w:hAnsi="Book Antiqua" w:cs="宋体"/>
          <w:sz w:val="24"/>
          <w:szCs w:val="24"/>
        </w:rPr>
        <w:t>Lockton</w:t>
      </w:r>
      <w:proofErr w:type="spellEnd"/>
      <w:r w:rsidRPr="00A63850">
        <w:rPr>
          <w:rFonts w:ascii="Book Antiqua" w:eastAsia="宋体" w:hAnsi="Book Antiqua" w:cs="宋体"/>
          <w:sz w:val="24"/>
          <w:szCs w:val="24"/>
        </w:rPr>
        <w:t xml:space="preserve"> S, </w:t>
      </w:r>
      <w:proofErr w:type="spellStart"/>
      <w:r w:rsidRPr="00A63850">
        <w:rPr>
          <w:rFonts w:ascii="Book Antiqua" w:eastAsia="宋体" w:hAnsi="Book Antiqua" w:cs="宋体"/>
          <w:sz w:val="24"/>
          <w:szCs w:val="24"/>
        </w:rPr>
        <w:t>Deshpande</w:t>
      </w:r>
      <w:proofErr w:type="spellEnd"/>
      <w:r w:rsidRPr="00A63850">
        <w:rPr>
          <w:rFonts w:ascii="Book Antiqua" w:eastAsia="宋体" w:hAnsi="Book Antiqua" w:cs="宋体"/>
          <w:sz w:val="24"/>
          <w:szCs w:val="24"/>
        </w:rPr>
        <w:t xml:space="preserve"> AR, </w:t>
      </w:r>
      <w:proofErr w:type="spellStart"/>
      <w:r w:rsidRPr="00A63850">
        <w:rPr>
          <w:rFonts w:ascii="Book Antiqua" w:eastAsia="宋体" w:hAnsi="Book Antiqua" w:cs="宋体"/>
          <w:sz w:val="24"/>
          <w:szCs w:val="24"/>
        </w:rPr>
        <w:t>Barkin</w:t>
      </w:r>
      <w:proofErr w:type="spellEnd"/>
      <w:r w:rsidRPr="00A63850">
        <w:rPr>
          <w:rFonts w:ascii="Book Antiqua" w:eastAsia="宋体" w:hAnsi="Book Antiqua" w:cs="宋体"/>
          <w:sz w:val="24"/>
          <w:szCs w:val="24"/>
        </w:rPr>
        <w:t xml:space="preserve"> JS, Singh S, Abreu MT. Concentrations of 6-thioguanine nucleotide correlate with trough levels of infliximab in patients with inflammatory bowel disease on combination therapy. </w:t>
      </w:r>
      <w:proofErr w:type="spellStart"/>
      <w:r w:rsidRPr="00A63850">
        <w:rPr>
          <w:rFonts w:ascii="Book Antiqua" w:eastAsia="宋体" w:hAnsi="Book Antiqua" w:cs="宋体"/>
          <w:i/>
          <w:iCs/>
          <w:sz w:val="24"/>
          <w:szCs w:val="24"/>
        </w:rPr>
        <w:t>Clin</w:t>
      </w:r>
      <w:proofErr w:type="spellEnd"/>
      <w:r w:rsidRPr="00A63850">
        <w:rPr>
          <w:rFonts w:ascii="Book Antiqua" w:eastAsia="宋体" w:hAnsi="Book Antiqua" w:cs="宋体"/>
          <w:i/>
          <w:iCs/>
          <w:sz w:val="24"/>
          <w:szCs w:val="24"/>
        </w:rPr>
        <w:t xml:space="preserve"> </w:t>
      </w:r>
      <w:proofErr w:type="spellStart"/>
      <w:r w:rsidRPr="00A63850">
        <w:rPr>
          <w:rFonts w:ascii="Book Antiqua" w:eastAsia="宋体" w:hAnsi="Book Antiqua" w:cs="宋体"/>
          <w:i/>
          <w:iCs/>
          <w:sz w:val="24"/>
          <w:szCs w:val="24"/>
        </w:rPr>
        <w:t>Gastroenterol</w:t>
      </w:r>
      <w:proofErr w:type="spellEnd"/>
      <w:r w:rsidRPr="00A63850">
        <w:rPr>
          <w:rFonts w:ascii="Book Antiqua" w:eastAsia="宋体" w:hAnsi="Book Antiqua" w:cs="宋体"/>
          <w:i/>
          <w:iCs/>
          <w:sz w:val="24"/>
          <w:szCs w:val="24"/>
        </w:rPr>
        <w:t xml:space="preserve"> </w:t>
      </w:r>
      <w:proofErr w:type="spellStart"/>
      <w:r w:rsidRPr="00A63850">
        <w:rPr>
          <w:rFonts w:ascii="Book Antiqua" w:eastAsia="宋体" w:hAnsi="Book Antiqua" w:cs="宋体"/>
          <w:i/>
          <w:iCs/>
          <w:sz w:val="24"/>
          <w:szCs w:val="24"/>
        </w:rPr>
        <w:t>Hepatol</w:t>
      </w:r>
      <w:proofErr w:type="spellEnd"/>
      <w:r w:rsidRPr="00A63850">
        <w:rPr>
          <w:rFonts w:ascii="Book Antiqua" w:eastAsia="宋体" w:hAnsi="Book Antiqua" w:cs="宋体"/>
          <w:sz w:val="24"/>
          <w:szCs w:val="24"/>
        </w:rPr>
        <w:t> 2015; </w:t>
      </w:r>
      <w:r w:rsidRPr="00A63850">
        <w:rPr>
          <w:rFonts w:ascii="Book Antiqua" w:eastAsia="宋体" w:hAnsi="Book Antiqua" w:cs="宋体"/>
          <w:b/>
          <w:bCs/>
          <w:sz w:val="24"/>
          <w:szCs w:val="24"/>
        </w:rPr>
        <w:t>13</w:t>
      </w:r>
      <w:r w:rsidRPr="00A63850">
        <w:rPr>
          <w:rFonts w:ascii="Book Antiqua" w:eastAsia="宋体" w:hAnsi="Book Antiqua" w:cs="宋体"/>
          <w:sz w:val="24"/>
          <w:szCs w:val="24"/>
        </w:rPr>
        <w:t>: 1118-</w:t>
      </w:r>
      <w:r>
        <w:rPr>
          <w:rFonts w:ascii="Book Antiqua" w:eastAsia="宋体" w:hAnsi="Book Antiqua" w:cs="宋体" w:hint="eastAsia"/>
          <w:sz w:val="24"/>
          <w:szCs w:val="24"/>
        </w:rPr>
        <w:t>11</w:t>
      </w:r>
      <w:r w:rsidRPr="00A63850">
        <w:rPr>
          <w:rFonts w:ascii="Book Antiqua" w:eastAsia="宋体" w:hAnsi="Book Antiqua" w:cs="宋体"/>
          <w:sz w:val="24"/>
          <w:szCs w:val="24"/>
        </w:rPr>
        <w:t>24.e3 [PMID: 25562796 DOI: 10.1016/j.cgh.2014.12.026]</w:t>
      </w:r>
    </w:p>
    <w:p w14:paraId="5BDDA24F"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lastRenderedPageBreak/>
        <w:t>59 </w:t>
      </w:r>
      <w:proofErr w:type="spellStart"/>
      <w:r w:rsidRPr="00A63850">
        <w:rPr>
          <w:rFonts w:ascii="Book Antiqua" w:eastAsia="宋体" w:hAnsi="Book Antiqua" w:cs="宋体"/>
          <w:b/>
          <w:bCs/>
          <w:sz w:val="24"/>
          <w:szCs w:val="24"/>
        </w:rPr>
        <w:t>Drobne</w:t>
      </w:r>
      <w:proofErr w:type="spellEnd"/>
      <w:r w:rsidRPr="00A63850">
        <w:rPr>
          <w:rFonts w:ascii="Book Antiqua" w:eastAsia="宋体" w:hAnsi="Book Antiqua" w:cs="宋体"/>
          <w:b/>
          <w:bCs/>
          <w:sz w:val="24"/>
          <w:szCs w:val="24"/>
        </w:rPr>
        <w:t xml:space="preserve"> D</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Bossuyt</w:t>
      </w:r>
      <w:proofErr w:type="spellEnd"/>
      <w:r w:rsidRPr="00A63850">
        <w:rPr>
          <w:rFonts w:ascii="Book Antiqua" w:eastAsia="宋体" w:hAnsi="Book Antiqua" w:cs="宋体"/>
          <w:sz w:val="24"/>
          <w:szCs w:val="24"/>
        </w:rPr>
        <w:t xml:space="preserve"> P, </w:t>
      </w:r>
      <w:proofErr w:type="spellStart"/>
      <w:r w:rsidRPr="00A63850">
        <w:rPr>
          <w:rFonts w:ascii="Book Antiqua" w:eastAsia="宋体" w:hAnsi="Book Antiqua" w:cs="宋体"/>
          <w:sz w:val="24"/>
          <w:szCs w:val="24"/>
        </w:rPr>
        <w:t>Breynaert</w:t>
      </w:r>
      <w:proofErr w:type="spellEnd"/>
      <w:r w:rsidRPr="00A63850">
        <w:rPr>
          <w:rFonts w:ascii="Book Antiqua" w:eastAsia="宋体" w:hAnsi="Book Antiqua" w:cs="宋体"/>
          <w:sz w:val="24"/>
          <w:szCs w:val="24"/>
        </w:rPr>
        <w:t xml:space="preserve"> C, </w:t>
      </w:r>
      <w:proofErr w:type="spellStart"/>
      <w:r w:rsidRPr="00A63850">
        <w:rPr>
          <w:rFonts w:ascii="Book Antiqua" w:eastAsia="宋体" w:hAnsi="Book Antiqua" w:cs="宋体"/>
          <w:sz w:val="24"/>
          <w:szCs w:val="24"/>
        </w:rPr>
        <w:t>Cattaert</w:t>
      </w:r>
      <w:proofErr w:type="spellEnd"/>
      <w:r w:rsidRPr="00A63850">
        <w:rPr>
          <w:rFonts w:ascii="Book Antiqua" w:eastAsia="宋体" w:hAnsi="Book Antiqua" w:cs="宋体"/>
          <w:sz w:val="24"/>
          <w:szCs w:val="24"/>
        </w:rPr>
        <w:t xml:space="preserve"> T, </w:t>
      </w:r>
      <w:proofErr w:type="spellStart"/>
      <w:r w:rsidRPr="00A63850">
        <w:rPr>
          <w:rFonts w:ascii="Book Antiqua" w:eastAsia="宋体" w:hAnsi="Book Antiqua" w:cs="宋体"/>
          <w:sz w:val="24"/>
          <w:szCs w:val="24"/>
        </w:rPr>
        <w:t>Vande</w:t>
      </w:r>
      <w:proofErr w:type="spellEnd"/>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Casteele</w:t>
      </w:r>
      <w:proofErr w:type="spellEnd"/>
      <w:r w:rsidRPr="00A63850">
        <w:rPr>
          <w:rFonts w:ascii="Book Antiqua" w:eastAsia="宋体" w:hAnsi="Book Antiqua" w:cs="宋体"/>
          <w:sz w:val="24"/>
          <w:szCs w:val="24"/>
        </w:rPr>
        <w:t xml:space="preserve"> N, </w:t>
      </w:r>
      <w:proofErr w:type="spellStart"/>
      <w:r w:rsidRPr="00A63850">
        <w:rPr>
          <w:rFonts w:ascii="Book Antiqua" w:eastAsia="宋体" w:hAnsi="Book Antiqua" w:cs="宋体"/>
          <w:sz w:val="24"/>
          <w:szCs w:val="24"/>
        </w:rPr>
        <w:t>Compernolle</w:t>
      </w:r>
      <w:proofErr w:type="spellEnd"/>
      <w:r w:rsidRPr="00A63850">
        <w:rPr>
          <w:rFonts w:ascii="Book Antiqua" w:eastAsia="宋体" w:hAnsi="Book Antiqua" w:cs="宋体"/>
          <w:sz w:val="24"/>
          <w:szCs w:val="24"/>
        </w:rPr>
        <w:t xml:space="preserve"> G, </w:t>
      </w:r>
      <w:proofErr w:type="spellStart"/>
      <w:r w:rsidRPr="00A63850">
        <w:rPr>
          <w:rFonts w:ascii="Book Antiqua" w:eastAsia="宋体" w:hAnsi="Book Antiqua" w:cs="宋体"/>
          <w:sz w:val="24"/>
          <w:szCs w:val="24"/>
        </w:rPr>
        <w:t>Jürgens</w:t>
      </w:r>
      <w:proofErr w:type="spellEnd"/>
      <w:r w:rsidRPr="00A63850">
        <w:rPr>
          <w:rFonts w:ascii="Book Antiqua" w:eastAsia="宋体" w:hAnsi="Book Antiqua" w:cs="宋体"/>
          <w:sz w:val="24"/>
          <w:szCs w:val="24"/>
        </w:rPr>
        <w:t xml:space="preserve"> M, </w:t>
      </w:r>
      <w:proofErr w:type="spellStart"/>
      <w:r w:rsidRPr="00A63850">
        <w:rPr>
          <w:rFonts w:ascii="Book Antiqua" w:eastAsia="宋体" w:hAnsi="Book Antiqua" w:cs="宋体"/>
          <w:sz w:val="24"/>
          <w:szCs w:val="24"/>
        </w:rPr>
        <w:t>Ferrante</w:t>
      </w:r>
      <w:proofErr w:type="spellEnd"/>
      <w:r w:rsidRPr="00A63850">
        <w:rPr>
          <w:rFonts w:ascii="Book Antiqua" w:eastAsia="宋体" w:hAnsi="Book Antiqua" w:cs="宋体"/>
          <w:sz w:val="24"/>
          <w:szCs w:val="24"/>
        </w:rPr>
        <w:t xml:space="preserve"> M, Ballet V, </w:t>
      </w:r>
      <w:proofErr w:type="spellStart"/>
      <w:r w:rsidRPr="00A63850">
        <w:rPr>
          <w:rFonts w:ascii="Book Antiqua" w:eastAsia="宋体" w:hAnsi="Book Antiqua" w:cs="宋体"/>
          <w:sz w:val="24"/>
          <w:szCs w:val="24"/>
        </w:rPr>
        <w:t>Wollants</w:t>
      </w:r>
      <w:proofErr w:type="spellEnd"/>
      <w:r w:rsidRPr="00A63850">
        <w:rPr>
          <w:rFonts w:ascii="Book Antiqua" w:eastAsia="宋体" w:hAnsi="Book Antiqua" w:cs="宋体"/>
          <w:sz w:val="24"/>
          <w:szCs w:val="24"/>
        </w:rPr>
        <w:t xml:space="preserve"> WJ, </w:t>
      </w:r>
      <w:proofErr w:type="spellStart"/>
      <w:r w:rsidRPr="00A63850">
        <w:rPr>
          <w:rFonts w:ascii="Book Antiqua" w:eastAsia="宋体" w:hAnsi="Book Antiqua" w:cs="宋体"/>
          <w:sz w:val="24"/>
          <w:szCs w:val="24"/>
        </w:rPr>
        <w:t>Cleynen</w:t>
      </w:r>
      <w:proofErr w:type="spellEnd"/>
      <w:r w:rsidRPr="00A63850">
        <w:rPr>
          <w:rFonts w:ascii="Book Antiqua" w:eastAsia="宋体" w:hAnsi="Book Antiqua" w:cs="宋体"/>
          <w:sz w:val="24"/>
          <w:szCs w:val="24"/>
        </w:rPr>
        <w:t xml:space="preserve"> I, Van Steen K, Gils A, </w:t>
      </w:r>
      <w:proofErr w:type="spellStart"/>
      <w:r w:rsidRPr="00A63850">
        <w:rPr>
          <w:rFonts w:ascii="Book Antiqua" w:eastAsia="宋体" w:hAnsi="Book Antiqua" w:cs="宋体"/>
          <w:sz w:val="24"/>
          <w:szCs w:val="24"/>
        </w:rPr>
        <w:t>Rutgeerts</w:t>
      </w:r>
      <w:proofErr w:type="spellEnd"/>
      <w:r w:rsidRPr="00A63850">
        <w:rPr>
          <w:rFonts w:ascii="Book Antiqua" w:eastAsia="宋体" w:hAnsi="Book Antiqua" w:cs="宋体"/>
          <w:sz w:val="24"/>
          <w:szCs w:val="24"/>
        </w:rPr>
        <w:t xml:space="preserve"> P, </w:t>
      </w:r>
      <w:proofErr w:type="spellStart"/>
      <w:r w:rsidRPr="00A63850">
        <w:rPr>
          <w:rFonts w:ascii="Book Antiqua" w:eastAsia="宋体" w:hAnsi="Book Antiqua" w:cs="宋体"/>
          <w:sz w:val="24"/>
          <w:szCs w:val="24"/>
        </w:rPr>
        <w:t>Vermeire</w:t>
      </w:r>
      <w:proofErr w:type="spellEnd"/>
      <w:r w:rsidRPr="00A63850">
        <w:rPr>
          <w:rFonts w:ascii="Book Antiqua" w:eastAsia="宋体" w:hAnsi="Book Antiqua" w:cs="宋体"/>
          <w:sz w:val="24"/>
          <w:szCs w:val="24"/>
        </w:rPr>
        <w:t xml:space="preserve"> S, Van </w:t>
      </w:r>
      <w:proofErr w:type="spellStart"/>
      <w:r w:rsidRPr="00A63850">
        <w:rPr>
          <w:rFonts w:ascii="Book Antiqua" w:eastAsia="宋体" w:hAnsi="Book Antiqua" w:cs="宋体"/>
          <w:sz w:val="24"/>
          <w:szCs w:val="24"/>
        </w:rPr>
        <w:t>Assche</w:t>
      </w:r>
      <w:proofErr w:type="spellEnd"/>
      <w:r w:rsidRPr="00A63850">
        <w:rPr>
          <w:rFonts w:ascii="Book Antiqua" w:eastAsia="宋体" w:hAnsi="Book Antiqua" w:cs="宋体"/>
          <w:sz w:val="24"/>
          <w:szCs w:val="24"/>
        </w:rPr>
        <w:t xml:space="preserve"> G. Withdrawal of </w:t>
      </w:r>
      <w:proofErr w:type="spellStart"/>
      <w:r w:rsidRPr="00A63850">
        <w:rPr>
          <w:rFonts w:ascii="Book Antiqua" w:eastAsia="宋体" w:hAnsi="Book Antiqua" w:cs="宋体"/>
          <w:sz w:val="24"/>
          <w:szCs w:val="24"/>
        </w:rPr>
        <w:t>immunomodulators</w:t>
      </w:r>
      <w:proofErr w:type="spellEnd"/>
      <w:r w:rsidRPr="00A63850">
        <w:rPr>
          <w:rFonts w:ascii="Book Antiqua" w:eastAsia="宋体" w:hAnsi="Book Antiqua" w:cs="宋体"/>
          <w:sz w:val="24"/>
          <w:szCs w:val="24"/>
        </w:rPr>
        <w:t xml:space="preserve"> after co-treatment does not reduce trough level of infliximab in patients with </w:t>
      </w:r>
      <w:proofErr w:type="spellStart"/>
      <w:r w:rsidRPr="00A63850">
        <w:rPr>
          <w:rFonts w:ascii="Book Antiqua" w:eastAsia="宋体" w:hAnsi="Book Antiqua" w:cs="宋体"/>
          <w:sz w:val="24"/>
          <w:szCs w:val="24"/>
        </w:rPr>
        <w:t>Crohn's</w:t>
      </w:r>
      <w:proofErr w:type="spellEnd"/>
      <w:r w:rsidRPr="00A63850">
        <w:rPr>
          <w:rFonts w:ascii="Book Antiqua" w:eastAsia="宋体" w:hAnsi="Book Antiqua" w:cs="宋体"/>
          <w:sz w:val="24"/>
          <w:szCs w:val="24"/>
        </w:rPr>
        <w:t xml:space="preserve"> disease. </w:t>
      </w:r>
      <w:proofErr w:type="spellStart"/>
      <w:r w:rsidRPr="00A63850">
        <w:rPr>
          <w:rFonts w:ascii="Book Antiqua" w:eastAsia="宋体" w:hAnsi="Book Antiqua" w:cs="宋体"/>
          <w:i/>
          <w:iCs/>
          <w:sz w:val="24"/>
          <w:szCs w:val="24"/>
        </w:rPr>
        <w:t>Clin</w:t>
      </w:r>
      <w:proofErr w:type="spellEnd"/>
      <w:r w:rsidRPr="00A63850">
        <w:rPr>
          <w:rFonts w:ascii="Book Antiqua" w:eastAsia="宋体" w:hAnsi="Book Antiqua" w:cs="宋体"/>
          <w:i/>
          <w:iCs/>
          <w:sz w:val="24"/>
          <w:szCs w:val="24"/>
        </w:rPr>
        <w:t xml:space="preserve"> </w:t>
      </w:r>
      <w:proofErr w:type="spellStart"/>
      <w:r w:rsidRPr="00A63850">
        <w:rPr>
          <w:rFonts w:ascii="Book Antiqua" w:eastAsia="宋体" w:hAnsi="Book Antiqua" w:cs="宋体"/>
          <w:i/>
          <w:iCs/>
          <w:sz w:val="24"/>
          <w:szCs w:val="24"/>
        </w:rPr>
        <w:t>Gastroenterol</w:t>
      </w:r>
      <w:proofErr w:type="spellEnd"/>
      <w:r w:rsidRPr="00A63850">
        <w:rPr>
          <w:rFonts w:ascii="Book Antiqua" w:eastAsia="宋体" w:hAnsi="Book Antiqua" w:cs="宋体"/>
          <w:i/>
          <w:iCs/>
          <w:sz w:val="24"/>
          <w:szCs w:val="24"/>
        </w:rPr>
        <w:t xml:space="preserve"> </w:t>
      </w:r>
      <w:proofErr w:type="spellStart"/>
      <w:r w:rsidRPr="00A63850">
        <w:rPr>
          <w:rFonts w:ascii="Book Antiqua" w:eastAsia="宋体" w:hAnsi="Book Antiqua" w:cs="宋体"/>
          <w:i/>
          <w:iCs/>
          <w:sz w:val="24"/>
          <w:szCs w:val="24"/>
        </w:rPr>
        <w:t>Hepatol</w:t>
      </w:r>
      <w:proofErr w:type="spellEnd"/>
      <w:r w:rsidRPr="00A63850">
        <w:rPr>
          <w:rFonts w:ascii="Book Antiqua" w:eastAsia="宋体" w:hAnsi="Book Antiqua" w:cs="宋体"/>
          <w:sz w:val="24"/>
          <w:szCs w:val="24"/>
        </w:rPr>
        <w:t> 2015; </w:t>
      </w:r>
      <w:r w:rsidRPr="00A63850">
        <w:rPr>
          <w:rFonts w:ascii="Book Antiqua" w:eastAsia="宋体" w:hAnsi="Book Antiqua" w:cs="宋体"/>
          <w:b/>
          <w:bCs/>
          <w:sz w:val="24"/>
          <w:szCs w:val="24"/>
        </w:rPr>
        <w:t>13</w:t>
      </w:r>
      <w:r w:rsidRPr="00A63850">
        <w:rPr>
          <w:rFonts w:ascii="Book Antiqua" w:eastAsia="宋体" w:hAnsi="Book Antiqua" w:cs="宋体"/>
          <w:sz w:val="24"/>
          <w:szCs w:val="24"/>
        </w:rPr>
        <w:t>: 514-521.e4 [PMID: 25066841 DOI: 10.1016/j.cgh.2014.07.027]</w:t>
      </w:r>
    </w:p>
    <w:p w14:paraId="60A8A822"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60 </w:t>
      </w:r>
      <w:r w:rsidRPr="00A63850">
        <w:rPr>
          <w:rFonts w:ascii="Book Antiqua" w:eastAsia="宋体" w:hAnsi="Book Antiqua" w:cs="宋体"/>
          <w:b/>
          <w:bCs/>
          <w:sz w:val="24"/>
          <w:szCs w:val="24"/>
        </w:rPr>
        <w:t>Moore C</w:t>
      </w:r>
      <w:r w:rsidRPr="00A63850">
        <w:rPr>
          <w:rFonts w:ascii="Book Antiqua" w:eastAsia="宋体" w:hAnsi="Book Antiqua" w:cs="宋体"/>
          <w:sz w:val="24"/>
          <w:szCs w:val="24"/>
        </w:rPr>
        <w:t>, Corbett G, Moss AC. Systematic Review and Meta-Analysis: Serum Infliximab Levels During Maintenance Therapy and Outcomes in Inflammatory Bowel Disease. </w:t>
      </w:r>
      <w:r w:rsidRPr="00A63850">
        <w:rPr>
          <w:rFonts w:ascii="Book Antiqua" w:eastAsia="宋体" w:hAnsi="Book Antiqua" w:cs="宋体"/>
          <w:i/>
          <w:iCs/>
          <w:sz w:val="24"/>
          <w:szCs w:val="24"/>
        </w:rPr>
        <w:t xml:space="preserve">J </w:t>
      </w:r>
      <w:proofErr w:type="spellStart"/>
      <w:r w:rsidRPr="00A63850">
        <w:rPr>
          <w:rFonts w:ascii="Book Antiqua" w:eastAsia="宋体" w:hAnsi="Book Antiqua" w:cs="宋体"/>
          <w:i/>
          <w:iCs/>
          <w:sz w:val="24"/>
          <w:szCs w:val="24"/>
        </w:rPr>
        <w:t>Crohns</w:t>
      </w:r>
      <w:proofErr w:type="spellEnd"/>
      <w:r w:rsidRPr="00A63850">
        <w:rPr>
          <w:rFonts w:ascii="Book Antiqua" w:eastAsia="宋体" w:hAnsi="Book Antiqua" w:cs="宋体"/>
          <w:i/>
          <w:iCs/>
          <w:sz w:val="24"/>
          <w:szCs w:val="24"/>
        </w:rPr>
        <w:t xml:space="preserve"> Colitis</w:t>
      </w:r>
      <w:r w:rsidRPr="00A63850">
        <w:rPr>
          <w:rFonts w:ascii="Book Antiqua" w:eastAsia="宋体" w:hAnsi="Book Antiqua" w:cs="宋体"/>
          <w:sz w:val="24"/>
          <w:szCs w:val="24"/>
        </w:rPr>
        <w:t> 2016; </w:t>
      </w:r>
      <w:r w:rsidRPr="00A63850">
        <w:rPr>
          <w:rFonts w:ascii="Book Antiqua" w:eastAsia="宋体" w:hAnsi="Book Antiqua" w:cs="宋体"/>
          <w:b/>
          <w:bCs/>
          <w:sz w:val="24"/>
          <w:szCs w:val="24"/>
        </w:rPr>
        <w:t>10</w:t>
      </w:r>
      <w:r w:rsidRPr="00A63850">
        <w:rPr>
          <w:rFonts w:ascii="Book Antiqua" w:eastAsia="宋体" w:hAnsi="Book Antiqua" w:cs="宋体"/>
          <w:sz w:val="24"/>
          <w:szCs w:val="24"/>
        </w:rPr>
        <w:t>: 619-625 [PMID: 26763722 DOI: 10.1093/</w:t>
      </w:r>
      <w:proofErr w:type="spellStart"/>
      <w:r w:rsidRPr="00A63850">
        <w:rPr>
          <w:rFonts w:ascii="Book Antiqua" w:eastAsia="宋体" w:hAnsi="Book Antiqua" w:cs="宋体"/>
          <w:sz w:val="24"/>
          <w:szCs w:val="24"/>
        </w:rPr>
        <w:t>ecco-jcc</w:t>
      </w:r>
      <w:proofErr w:type="spellEnd"/>
      <w:r w:rsidRPr="00A63850">
        <w:rPr>
          <w:rFonts w:ascii="Book Antiqua" w:eastAsia="宋体" w:hAnsi="Book Antiqua" w:cs="宋体"/>
          <w:sz w:val="24"/>
          <w:szCs w:val="24"/>
        </w:rPr>
        <w:t>/jjw007]</w:t>
      </w:r>
    </w:p>
    <w:p w14:paraId="41470EB9"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61 </w:t>
      </w:r>
      <w:r w:rsidRPr="00A63850">
        <w:rPr>
          <w:rFonts w:ascii="Book Antiqua" w:eastAsia="宋体" w:hAnsi="Book Antiqua" w:cs="宋体"/>
          <w:b/>
          <w:bCs/>
          <w:sz w:val="24"/>
          <w:szCs w:val="24"/>
        </w:rPr>
        <w:t>Paul S</w:t>
      </w:r>
      <w:r w:rsidRPr="00A63850">
        <w:rPr>
          <w:rFonts w:ascii="Book Antiqua" w:eastAsia="宋体" w:hAnsi="Book Antiqua" w:cs="宋体"/>
          <w:sz w:val="24"/>
          <w:szCs w:val="24"/>
        </w:rPr>
        <w:t xml:space="preserve">, Del Tedesco E, </w:t>
      </w:r>
      <w:proofErr w:type="spellStart"/>
      <w:r w:rsidRPr="00A63850">
        <w:rPr>
          <w:rFonts w:ascii="Book Antiqua" w:eastAsia="宋体" w:hAnsi="Book Antiqua" w:cs="宋体"/>
          <w:sz w:val="24"/>
          <w:szCs w:val="24"/>
        </w:rPr>
        <w:t>Marotte</w:t>
      </w:r>
      <w:proofErr w:type="spellEnd"/>
      <w:r w:rsidRPr="00A63850">
        <w:rPr>
          <w:rFonts w:ascii="Book Antiqua" w:eastAsia="宋体" w:hAnsi="Book Antiqua" w:cs="宋体"/>
          <w:sz w:val="24"/>
          <w:szCs w:val="24"/>
        </w:rPr>
        <w:t xml:space="preserve"> H, </w:t>
      </w:r>
      <w:proofErr w:type="spellStart"/>
      <w:r w:rsidRPr="00A63850">
        <w:rPr>
          <w:rFonts w:ascii="Book Antiqua" w:eastAsia="宋体" w:hAnsi="Book Antiqua" w:cs="宋体"/>
          <w:sz w:val="24"/>
          <w:szCs w:val="24"/>
        </w:rPr>
        <w:t>Rinaudo-Gaujous</w:t>
      </w:r>
      <w:proofErr w:type="spellEnd"/>
      <w:r w:rsidRPr="00A63850">
        <w:rPr>
          <w:rFonts w:ascii="Book Antiqua" w:eastAsia="宋体" w:hAnsi="Book Antiqua" w:cs="宋体"/>
          <w:sz w:val="24"/>
          <w:szCs w:val="24"/>
        </w:rPr>
        <w:t xml:space="preserve"> M, Moreau A, </w:t>
      </w:r>
      <w:proofErr w:type="spellStart"/>
      <w:r w:rsidRPr="00A63850">
        <w:rPr>
          <w:rFonts w:ascii="Book Antiqua" w:eastAsia="宋体" w:hAnsi="Book Antiqua" w:cs="宋体"/>
          <w:sz w:val="24"/>
          <w:szCs w:val="24"/>
        </w:rPr>
        <w:t>Phelip</w:t>
      </w:r>
      <w:proofErr w:type="spellEnd"/>
      <w:r w:rsidRPr="00A63850">
        <w:rPr>
          <w:rFonts w:ascii="Book Antiqua" w:eastAsia="宋体" w:hAnsi="Book Antiqua" w:cs="宋体"/>
          <w:sz w:val="24"/>
          <w:szCs w:val="24"/>
        </w:rPr>
        <w:t xml:space="preserve"> JM, </w:t>
      </w:r>
      <w:proofErr w:type="spellStart"/>
      <w:r w:rsidRPr="00A63850">
        <w:rPr>
          <w:rFonts w:ascii="Book Antiqua" w:eastAsia="宋体" w:hAnsi="Book Antiqua" w:cs="宋体"/>
          <w:sz w:val="24"/>
          <w:szCs w:val="24"/>
        </w:rPr>
        <w:t>Genin</w:t>
      </w:r>
      <w:proofErr w:type="spellEnd"/>
      <w:r w:rsidRPr="00A63850">
        <w:rPr>
          <w:rFonts w:ascii="Book Antiqua" w:eastAsia="宋体" w:hAnsi="Book Antiqua" w:cs="宋体"/>
          <w:sz w:val="24"/>
          <w:szCs w:val="24"/>
        </w:rPr>
        <w:t xml:space="preserve"> C, </w:t>
      </w:r>
      <w:proofErr w:type="spellStart"/>
      <w:r w:rsidRPr="00A63850">
        <w:rPr>
          <w:rFonts w:ascii="Book Antiqua" w:eastAsia="宋体" w:hAnsi="Book Antiqua" w:cs="宋体"/>
          <w:sz w:val="24"/>
          <w:szCs w:val="24"/>
        </w:rPr>
        <w:t>Peyrin-Biroulet</w:t>
      </w:r>
      <w:proofErr w:type="spellEnd"/>
      <w:r w:rsidRPr="00A63850">
        <w:rPr>
          <w:rFonts w:ascii="Book Antiqua" w:eastAsia="宋体" w:hAnsi="Book Antiqua" w:cs="宋体"/>
          <w:sz w:val="24"/>
          <w:szCs w:val="24"/>
        </w:rPr>
        <w:t xml:space="preserve"> L, </w:t>
      </w:r>
      <w:proofErr w:type="spellStart"/>
      <w:r w:rsidRPr="00A63850">
        <w:rPr>
          <w:rFonts w:ascii="Book Antiqua" w:eastAsia="宋体" w:hAnsi="Book Antiqua" w:cs="宋体"/>
          <w:sz w:val="24"/>
          <w:szCs w:val="24"/>
        </w:rPr>
        <w:t>Roblin</w:t>
      </w:r>
      <w:proofErr w:type="spellEnd"/>
      <w:r w:rsidRPr="00A63850">
        <w:rPr>
          <w:rFonts w:ascii="Book Antiqua" w:eastAsia="宋体" w:hAnsi="Book Antiqua" w:cs="宋体"/>
          <w:sz w:val="24"/>
          <w:szCs w:val="24"/>
        </w:rPr>
        <w:t xml:space="preserve"> X. Therapeutic drug monitoring of infliximab and mucosal healing in inflammatory bowel disease: a prospective study. </w:t>
      </w:r>
      <w:proofErr w:type="spellStart"/>
      <w:r w:rsidRPr="00A63850">
        <w:rPr>
          <w:rFonts w:ascii="Book Antiqua" w:eastAsia="宋体" w:hAnsi="Book Antiqua" w:cs="宋体"/>
          <w:i/>
          <w:iCs/>
          <w:sz w:val="24"/>
          <w:szCs w:val="24"/>
        </w:rPr>
        <w:t>Inflamm</w:t>
      </w:r>
      <w:proofErr w:type="spellEnd"/>
      <w:r w:rsidRPr="00A63850">
        <w:rPr>
          <w:rFonts w:ascii="Book Antiqua" w:eastAsia="宋体" w:hAnsi="Book Antiqua" w:cs="宋体"/>
          <w:i/>
          <w:iCs/>
          <w:sz w:val="24"/>
          <w:szCs w:val="24"/>
        </w:rPr>
        <w:t xml:space="preserve"> Bowel Dis</w:t>
      </w:r>
      <w:r w:rsidRPr="00A63850">
        <w:rPr>
          <w:rFonts w:ascii="Book Antiqua" w:eastAsia="宋体" w:hAnsi="Book Antiqua" w:cs="宋体"/>
          <w:sz w:val="24"/>
          <w:szCs w:val="24"/>
        </w:rPr>
        <w:t> 2013; </w:t>
      </w:r>
      <w:r w:rsidRPr="00A63850">
        <w:rPr>
          <w:rFonts w:ascii="Book Antiqua" w:eastAsia="宋体" w:hAnsi="Book Antiqua" w:cs="宋体"/>
          <w:b/>
          <w:bCs/>
          <w:sz w:val="24"/>
          <w:szCs w:val="24"/>
        </w:rPr>
        <w:t>19</w:t>
      </w:r>
      <w:r w:rsidRPr="00A63850">
        <w:rPr>
          <w:rFonts w:ascii="Book Antiqua" w:eastAsia="宋体" w:hAnsi="Book Antiqua" w:cs="宋体"/>
          <w:sz w:val="24"/>
          <w:szCs w:val="24"/>
        </w:rPr>
        <w:t>: 2568-2576 [PMID: 24013361 DOI: 10.1097/MIB.0b013e3182a77b41]</w:t>
      </w:r>
    </w:p>
    <w:p w14:paraId="5E0C9809" w14:textId="77777777"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 xml:space="preserve">62 </w:t>
      </w:r>
      <w:r w:rsidRPr="00A63850">
        <w:rPr>
          <w:rFonts w:ascii="Book Antiqua" w:eastAsia="宋体" w:hAnsi="Book Antiqua" w:cs="宋体"/>
          <w:b/>
          <w:sz w:val="24"/>
          <w:szCs w:val="24"/>
        </w:rPr>
        <w:t>Barnes EL,</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Allegretti</w:t>
      </w:r>
      <w:proofErr w:type="spellEnd"/>
      <w:r w:rsidRPr="00A63850">
        <w:rPr>
          <w:rFonts w:ascii="Book Antiqua" w:eastAsia="宋体" w:hAnsi="Book Antiqua" w:cs="宋体"/>
          <w:sz w:val="24"/>
          <w:szCs w:val="24"/>
        </w:rPr>
        <w:t xml:space="preserve"> JR.</w:t>
      </w:r>
      <w:r>
        <w:rPr>
          <w:rFonts w:ascii="Book Antiqua" w:eastAsia="宋体" w:hAnsi="Book Antiqua" w:cs="宋体" w:hint="eastAsia"/>
          <w:sz w:val="24"/>
          <w:szCs w:val="24"/>
        </w:rPr>
        <w:t xml:space="preserve"> </w:t>
      </w:r>
      <w:r w:rsidRPr="00A63850">
        <w:rPr>
          <w:rFonts w:ascii="Book Antiqua" w:eastAsia="宋体" w:hAnsi="Book Antiqua" w:cs="宋体"/>
          <w:sz w:val="24"/>
          <w:szCs w:val="24"/>
        </w:rPr>
        <w:t>Are Anti-</w:t>
      </w:r>
      <w:proofErr w:type="spellStart"/>
      <w:r w:rsidRPr="00A63850">
        <w:rPr>
          <w:rFonts w:ascii="Book Antiqua" w:eastAsia="宋体" w:hAnsi="Book Antiqua" w:cs="宋体"/>
          <w:sz w:val="24"/>
          <w:szCs w:val="24"/>
        </w:rPr>
        <w:t>Tumor</w:t>
      </w:r>
      <w:proofErr w:type="spellEnd"/>
      <w:r w:rsidRPr="00A63850">
        <w:rPr>
          <w:rFonts w:ascii="Book Antiqua" w:eastAsia="宋体" w:hAnsi="Book Antiqua" w:cs="宋体"/>
          <w:sz w:val="24"/>
          <w:szCs w:val="24"/>
        </w:rPr>
        <w:t xml:space="preserve"> Necrosis Factor Trough Levels Predictive of Mucosal Healing in Patients With Inflammatory Bowel Disease? A Systematic Review and Meta-Analysis. </w:t>
      </w:r>
      <w:r w:rsidRPr="00A63850">
        <w:rPr>
          <w:rFonts w:ascii="Book Antiqua" w:eastAsia="宋体" w:hAnsi="Book Antiqua" w:cs="宋体"/>
          <w:i/>
          <w:iCs/>
          <w:sz w:val="24"/>
          <w:szCs w:val="24"/>
        </w:rPr>
        <w:t xml:space="preserve">J </w:t>
      </w:r>
      <w:proofErr w:type="spellStart"/>
      <w:r w:rsidRPr="00A63850">
        <w:rPr>
          <w:rFonts w:ascii="Book Antiqua" w:eastAsia="宋体" w:hAnsi="Book Antiqua" w:cs="宋体"/>
          <w:i/>
          <w:iCs/>
          <w:sz w:val="24"/>
          <w:szCs w:val="24"/>
        </w:rPr>
        <w:t>Clin</w:t>
      </w:r>
      <w:proofErr w:type="spellEnd"/>
      <w:r w:rsidRPr="00A63850">
        <w:rPr>
          <w:rFonts w:ascii="Book Antiqua" w:eastAsia="宋体" w:hAnsi="Book Antiqua" w:cs="宋体"/>
          <w:i/>
          <w:iCs/>
          <w:sz w:val="24"/>
          <w:szCs w:val="24"/>
        </w:rPr>
        <w:t xml:space="preserve"> </w:t>
      </w:r>
      <w:proofErr w:type="spellStart"/>
      <w:r w:rsidRPr="00A63850">
        <w:rPr>
          <w:rFonts w:ascii="Book Antiqua" w:eastAsia="宋体" w:hAnsi="Book Antiqua" w:cs="宋体"/>
          <w:i/>
          <w:iCs/>
          <w:sz w:val="24"/>
          <w:szCs w:val="24"/>
        </w:rPr>
        <w:t>Gastroenterol</w:t>
      </w:r>
      <w:proofErr w:type="spellEnd"/>
      <w:r w:rsidRPr="00A63850">
        <w:rPr>
          <w:rFonts w:ascii="Book Antiqua" w:eastAsia="宋体" w:hAnsi="Book Antiqua" w:cs="宋体"/>
          <w:sz w:val="24"/>
          <w:szCs w:val="24"/>
        </w:rPr>
        <w:t> 2015; </w:t>
      </w:r>
      <w:proofErr w:type="spellStart"/>
      <w:r w:rsidRPr="00A63850">
        <w:rPr>
          <w:rFonts w:ascii="Book Antiqua" w:eastAsia="宋体" w:hAnsi="Book Antiqua" w:cs="宋体"/>
          <w:sz w:val="24"/>
          <w:szCs w:val="24"/>
        </w:rPr>
        <w:t>Epub</w:t>
      </w:r>
      <w:proofErr w:type="spellEnd"/>
      <w:r w:rsidRPr="00A63850">
        <w:rPr>
          <w:rFonts w:ascii="Book Antiqua" w:eastAsia="宋体" w:hAnsi="Book Antiqua" w:cs="宋体"/>
          <w:sz w:val="24"/>
          <w:szCs w:val="24"/>
        </w:rPr>
        <w:t xml:space="preserve"> ahead of print [PMID: 26535480 DOI: 10.1097/MCG.0000000000000441]</w:t>
      </w:r>
    </w:p>
    <w:p w14:paraId="24318064" w14:textId="77777777" w:rsidR="00264FD1" w:rsidRDefault="00264FD1" w:rsidP="00264FD1">
      <w:pPr>
        <w:spacing w:line="360" w:lineRule="auto"/>
        <w:rPr>
          <w:rFonts w:ascii="Book Antiqua" w:eastAsia="宋体" w:hAnsi="Book Antiqua" w:cs="宋体"/>
          <w:sz w:val="24"/>
          <w:szCs w:val="24"/>
        </w:rPr>
      </w:pPr>
      <w:r w:rsidRPr="00A63850">
        <w:rPr>
          <w:rFonts w:ascii="Book Antiqua" w:eastAsia="宋体" w:hAnsi="Book Antiqua" w:cs="宋体"/>
          <w:sz w:val="24"/>
          <w:szCs w:val="24"/>
        </w:rPr>
        <w:t>63 </w:t>
      </w:r>
      <w:proofErr w:type="spellStart"/>
      <w:r w:rsidRPr="00A63850">
        <w:rPr>
          <w:rFonts w:ascii="Book Antiqua" w:eastAsia="宋体" w:hAnsi="Book Antiqua" w:cs="宋体"/>
          <w:b/>
          <w:bCs/>
          <w:sz w:val="24"/>
          <w:szCs w:val="24"/>
        </w:rPr>
        <w:t>Ungar</w:t>
      </w:r>
      <w:proofErr w:type="spellEnd"/>
      <w:r w:rsidRPr="00A63850">
        <w:rPr>
          <w:rFonts w:ascii="Book Antiqua" w:eastAsia="宋体" w:hAnsi="Book Antiqua" w:cs="宋体"/>
          <w:b/>
          <w:bCs/>
          <w:sz w:val="24"/>
          <w:szCs w:val="24"/>
        </w:rPr>
        <w:t xml:space="preserve"> B</w:t>
      </w:r>
      <w:r w:rsidRPr="00A63850">
        <w:rPr>
          <w:rFonts w:ascii="Book Antiqua" w:eastAsia="宋体" w:hAnsi="Book Antiqua" w:cs="宋体"/>
          <w:sz w:val="24"/>
          <w:szCs w:val="24"/>
        </w:rPr>
        <w:t xml:space="preserve">, Levy I, </w:t>
      </w:r>
      <w:proofErr w:type="spellStart"/>
      <w:r w:rsidRPr="00A63850">
        <w:rPr>
          <w:rFonts w:ascii="Book Antiqua" w:eastAsia="宋体" w:hAnsi="Book Antiqua" w:cs="宋体"/>
          <w:sz w:val="24"/>
          <w:szCs w:val="24"/>
        </w:rPr>
        <w:t>Yavne</w:t>
      </w:r>
      <w:proofErr w:type="spellEnd"/>
      <w:r w:rsidRPr="00A63850">
        <w:rPr>
          <w:rFonts w:ascii="Book Antiqua" w:eastAsia="宋体" w:hAnsi="Book Antiqua" w:cs="宋体"/>
          <w:sz w:val="24"/>
          <w:szCs w:val="24"/>
        </w:rPr>
        <w:t xml:space="preserve"> Y, </w:t>
      </w:r>
      <w:proofErr w:type="spellStart"/>
      <w:r w:rsidRPr="00A63850">
        <w:rPr>
          <w:rFonts w:ascii="Book Antiqua" w:eastAsia="宋体" w:hAnsi="Book Antiqua" w:cs="宋体"/>
          <w:sz w:val="24"/>
          <w:szCs w:val="24"/>
        </w:rPr>
        <w:t>Yavzori</w:t>
      </w:r>
      <w:proofErr w:type="spellEnd"/>
      <w:r w:rsidRPr="00A63850">
        <w:rPr>
          <w:rFonts w:ascii="Book Antiqua" w:eastAsia="宋体" w:hAnsi="Book Antiqua" w:cs="宋体"/>
          <w:sz w:val="24"/>
          <w:szCs w:val="24"/>
        </w:rPr>
        <w:t xml:space="preserve"> M, Picard O, </w:t>
      </w:r>
      <w:proofErr w:type="spellStart"/>
      <w:r w:rsidRPr="00A63850">
        <w:rPr>
          <w:rFonts w:ascii="Book Antiqua" w:eastAsia="宋体" w:hAnsi="Book Antiqua" w:cs="宋体"/>
          <w:sz w:val="24"/>
          <w:szCs w:val="24"/>
        </w:rPr>
        <w:t>Fudim</w:t>
      </w:r>
      <w:proofErr w:type="spellEnd"/>
      <w:r w:rsidRPr="00A63850">
        <w:rPr>
          <w:rFonts w:ascii="Book Antiqua" w:eastAsia="宋体" w:hAnsi="Book Antiqua" w:cs="宋体"/>
          <w:sz w:val="24"/>
          <w:szCs w:val="24"/>
        </w:rPr>
        <w:t xml:space="preserve"> E, </w:t>
      </w:r>
      <w:proofErr w:type="spellStart"/>
      <w:r w:rsidRPr="00A63850">
        <w:rPr>
          <w:rFonts w:ascii="Book Antiqua" w:eastAsia="宋体" w:hAnsi="Book Antiqua" w:cs="宋体"/>
          <w:sz w:val="24"/>
          <w:szCs w:val="24"/>
        </w:rPr>
        <w:t>Loebstein</w:t>
      </w:r>
      <w:proofErr w:type="spellEnd"/>
      <w:r w:rsidRPr="00A63850">
        <w:rPr>
          <w:rFonts w:ascii="Book Antiqua" w:eastAsia="宋体" w:hAnsi="Book Antiqua" w:cs="宋体"/>
          <w:sz w:val="24"/>
          <w:szCs w:val="24"/>
        </w:rPr>
        <w:t xml:space="preserve"> R, </w:t>
      </w:r>
      <w:proofErr w:type="spellStart"/>
      <w:r w:rsidRPr="00A63850">
        <w:rPr>
          <w:rFonts w:ascii="Book Antiqua" w:eastAsia="宋体" w:hAnsi="Book Antiqua" w:cs="宋体"/>
          <w:sz w:val="24"/>
          <w:szCs w:val="24"/>
        </w:rPr>
        <w:t>Chowers</w:t>
      </w:r>
      <w:proofErr w:type="spellEnd"/>
      <w:r w:rsidRPr="00A63850">
        <w:rPr>
          <w:rFonts w:ascii="Book Antiqua" w:eastAsia="宋体" w:hAnsi="Book Antiqua" w:cs="宋体"/>
          <w:sz w:val="24"/>
          <w:szCs w:val="24"/>
        </w:rPr>
        <w:t xml:space="preserve"> Y, </w:t>
      </w:r>
      <w:proofErr w:type="spellStart"/>
      <w:r w:rsidRPr="00A63850">
        <w:rPr>
          <w:rFonts w:ascii="Book Antiqua" w:eastAsia="宋体" w:hAnsi="Book Antiqua" w:cs="宋体"/>
          <w:sz w:val="24"/>
          <w:szCs w:val="24"/>
        </w:rPr>
        <w:t>Eliakim</w:t>
      </w:r>
      <w:proofErr w:type="spellEnd"/>
      <w:r w:rsidRPr="00A63850">
        <w:rPr>
          <w:rFonts w:ascii="Book Antiqua" w:eastAsia="宋体" w:hAnsi="Book Antiqua" w:cs="宋体"/>
          <w:sz w:val="24"/>
          <w:szCs w:val="24"/>
        </w:rPr>
        <w:t xml:space="preserve"> R, </w:t>
      </w:r>
      <w:proofErr w:type="spellStart"/>
      <w:r w:rsidRPr="00A63850">
        <w:rPr>
          <w:rFonts w:ascii="Book Antiqua" w:eastAsia="宋体" w:hAnsi="Book Antiqua" w:cs="宋体"/>
          <w:sz w:val="24"/>
          <w:szCs w:val="24"/>
        </w:rPr>
        <w:t>Kopylov</w:t>
      </w:r>
      <w:proofErr w:type="spellEnd"/>
      <w:r w:rsidRPr="00A63850">
        <w:rPr>
          <w:rFonts w:ascii="Book Antiqua" w:eastAsia="宋体" w:hAnsi="Book Antiqua" w:cs="宋体"/>
          <w:sz w:val="24"/>
          <w:szCs w:val="24"/>
        </w:rPr>
        <w:t xml:space="preserve"> U, Ben-</w:t>
      </w:r>
      <w:proofErr w:type="spellStart"/>
      <w:r w:rsidRPr="00A63850">
        <w:rPr>
          <w:rFonts w:ascii="Book Antiqua" w:eastAsia="宋体" w:hAnsi="Book Antiqua" w:cs="宋体"/>
          <w:sz w:val="24"/>
          <w:szCs w:val="24"/>
        </w:rPr>
        <w:t>Horin</w:t>
      </w:r>
      <w:proofErr w:type="spellEnd"/>
      <w:r w:rsidRPr="00A63850">
        <w:rPr>
          <w:rFonts w:ascii="Book Antiqua" w:eastAsia="宋体" w:hAnsi="Book Antiqua" w:cs="宋体"/>
          <w:sz w:val="24"/>
          <w:szCs w:val="24"/>
        </w:rPr>
        <w:t xml:space="preserve"> S. Optimizing Anti-TNF-α Therapy: Serum Levels of Infliximab and </w:t>
      </w:r>
      <w:proofErr w:type="spellStart"/>
      <w:r w:rsidRPr="00A63850">
        <w:rPr>
          <w:rFonts w:ascii="Book Antiqua" w:eastAsia="宋体" w:hAnsi="Book Antiqua" w:cs="宋体"/>
          <w:sz w:val="24"/>
          <w:szCs w:val="24"/>
        </w:rPr>
        <w:t>Adalimumab</w:t>
      </w:r>
      <w:proofErr w:type="spellEnd"/>
      <w:r w:rsidRPr="00A63850">
        <w:rPr>
          <w:rFonts w:ascii="Book Antiqua" w:eastAsia="宋体" w:hAnsi="Book Antiqua" w:cs="宋体"/>
          <w:sz w:val="24"/>
          <w:szCs w:val="24"/>
        </w:rPr>
        <w:t xml:space="preserve"> Are Associated With Mucosal Healing in Patients With Inflammatory Bowel Diseases. </w:t>
      </w:r>
      <w:proofErr w:type="spellStart"/>
      <w:r w:rsidRPr="00A63850">
        <w:rPr>
          <w:rFonts w:ascii="Book Antiqua" w:eastAsia="宋体" w:hAnsi="Book Antiqua" w:cs="宋体"/>
          <w:i/>
          <w:iCs/>
          <w:sz w:val="24"/>
          <w:szCs w:val="24"/>
        </w:rPr>
        <w:t>Clin</w:t>
      </w:r>
      <w:proofErr w:type="spellEnd"/>
      <w:r w:rsidRPr="00A63850">
        <w:rPr>
          <w:rFonts w:ascii="Book Antiqua" w:eastAsia="宋体" w:hAnsi="Book Antiqua" w:cs="宋体"/>
          <w:i/>
          <w:iCs/>
          <w:sz w:val="24"/>
          <w:szCs w:val="24"/>
        </w:rPr>
        <w:t xml:space="preserve"> </w:t>
      </w:r>
      <w:proofErr w:type="spellStart"/>
      <w:r w:rsidRPr="00A63850">
        <w:rPr>
          <w:rFonts w:ascii="Book Antiqua" w:eastAsia="宋体" w:hAnsi="Book Antiqua" w:cs="宋体"/>
          <w:i/>
          <w:iCs/>
          <w:sz w:val="24"/>
          <w:szCs w:val="24"/>
        </w:rPr>
        <w:t>Gastroenterol</w:t>
      </w:r>
      <w:proofErr w:type="spellEnd"/>
      <w:r w:rsidRPr="00A63850">
        <w:rPr>
          <w:rFonts w:ascii="Book Antiqua" w:eastAsia="宋体" w:hAnsi="Book Antiqua" w:cs="宋体"/>
          <w:i/>
          <w:iCs/>
          <w:sz w:val="24"/>
          <w:szCs w:val="24"/>
        </w:rPr>
        <w:t xml:space="preserve"> </w:t>
      </w:r>
      <w:proofErr w:type="spellStart"/>
      <w:r w:rsidRPr="00A63850">
        <w:rPr>
          <w:rFonts w:ascii="Book Antiqua" w:eastAsia="宋体" w:hAnsi="Book Antiqua" w:cs="宋体"/>
          <w:i/>
          <w:iCs/>
          <w:sz w:val="24"/>
          <w:szCs w:val="24"/>
        </w:rPr>
        <w:t>Hepatol</w:t>
      </w:r>
      <w:proofErr w:type="spellEnd"/>
      <w:r w:rsidRPr="00A63850">
        <w:rPr>
          <w:rFonts w:ascii="Book Antiqua" w:eastAsia="宋体" w:hAnsi="Book Antiqua" w:cs="宋体"/>
          <w:sz w:val="24"/>
          <w:szCs w:val="24"/>
        </w:rPr>
        <w:t> 2016; </w:t>
      </w:r>
      <w:r w:rsidRPr="00A63850">
        <w:rPr>
          <w:rFonts w:ascii="Book Antiqua" w:eastAsia="宋体" w:hAnsi="Book Antiqua" w:cs="宋体"/>
          <w:b/>
          <w:bCs/>
          <w:sz w:val="24"/>
          <w:szCs w:val="24"/>
        </w:rPr>
        <w:t>14</w:t>
      </w:r>
      <w:r w:rsidRPr="00A63850">
        <w:rPr>
          <w:rFonts w:ascii="Book Antiqua" w:eastAsia="宋体" w:hAnsi="Book Antiqua" w:cs="宋体"/>
          <w:sz w:val="24"/>
          <w:szCs w:val="24"/>
        </w:rPr>
        <w:t>: 550-557.e2 [PMID: 26538204 DOI: 10.1016/j.cgh.2015.10.025]</w:t>
      </w:r>
    </w:p>
    <w:p w14:paraId="08B6CACF" w14:textId="3118B451" w:rsidR="00264FD1" w:rsidRPr="00A63850" w:rsidRDefault="00BA1B72" w:rsidP="00264FD1">
      <w:pPr>
        <w:spacing w:line="360" w:lineRule="auto"/>
        <w:jc w:val="both"/>
        <w:rPr>
          <w:rFonts w:ascii="Book Antiqua" w:eastAsia="宋体" w:hAnsi="Book Antiqua" w:cs="宋体"/>
          <w:sz w:val="24"/>
          <w:szCs w:val="24"/>
        </w:rPr>
      </w:pPr>
      <w:r>
        <w:rPr>
          <w:rFonts w:ascii="Book Antiqua" w:eastAsia="宋体" w:hAnsi="Book Antiqua" w:cs="宋体"/>
          <w:sz w:val="24"/>
          <w:szCs w:val="24"/>
        </w:rPr>
        <w:t>64</w:t>
      </w:r>
      <w:r w:rsidR="00264FD1" w:rsidRPr="00A63850">
        <w:rPr>
          <w:rFonts w:ascii="Book Antiqua" w:eastAsia="宋体" w:hAnsi="Book Antiqua" w:cs="宋体"/>
          <w:sz w:val="24"/>
          <w:szCs w:val="24"/>
        </w:rPr>
        <w:t> </w:t>
      </w:r>
      <w:proofErr w:type="spellStart"/>
      <w:r w:rsidR="00264FD1" w:rsidRPr="00A63850">
        <w:rPr>
          <w:rFonts w:ascii="Book Antiqua" w:eastAsia="宋体" w:hAnsi="Book Antiqua" w:cs="宋体"/>
          <w:b/>
          <w:bCs/>
          <w:sz w:val="24"/>
          <w:szCs w:val="24"/>
        </w:rPr>
        <w:t>Colombel</w:t>
      </w:r>
      <w:proofErr w:type="spellEnd"/>
      <w:r w:rsidR="00264FD1" w:rsidRPr="00A63850">
        <w:rPr>
          <w:rFonts w:ascii="Book Antiqua" w:eastAsia="宋体" w:hAnsi="Book Antiqua" w:cs="宋体"/>
          <w:b/>
          <w:bCs/>
          <w:sz w:val="24"/>
          <w:szCs w:val="24"/>
        </w:rPr>
        <w:t xml:space="preserve"> JF</w:t>
      </w:r>
      <w:r w:rsidR="00264FD1" w:rsidRPr="00A63850">
        <w:rPr>
          <w:rFonts w:ascii="Book Antiqua" w:eastAsia="宋体" w:hAnsi="Book Antiqua" w:cs="宋体"/>
          <w:sz w:val="24"/>
          <w:szCs w:val="24"/>
        </w:rPr>
        <w:t xml:space="preserve">, </w:t>
      </w:r>
      <w:proofErr w:type="spellStart"/>
      <w:r w:rsidR="00264FD1" w:rsidRPr="00A63850">
        <w:rPr>
          <w:rFonts w:ascii="Book Antiqua" w:eastAsia="宋体" w:hAnsi="Book Antiqua" w:cs="宋体"/>
          <w:sz w:val="24"/>
          <w:szCs w:val="24"/>
        </w:rPr>
        <w:t>Reinisch</w:t>
      </w:r>
      <w:proofErr w:type="spellEnd"/>
      <w:r w:rsidR="00264FD1" w:rsidRPr="00A63850">
        <w:rPr>
          <w:rFonts w:ascii="Book Antiqua" w:eastAsia="宋体" w:hAnsi="Book Antiqua" w:cs="宋体"/>
          <w:sz w:val="24"/>
          <w:szCs w:val="24"/>
        </w:rPr>
        <w:t xml:space="preserve"> W, </w:t>
      </w:r>
      <w:proofErr w:type="spellStart"/>
      <w:r w:rsidR="00264FD1" w:rsidRPr="00A63850">
        <w:rPr>
          <w:rFonts w:ascii="Book Antiqua" w:eastAsia="宋体" w:hAnsi="Book Antiqua" w:cs="宋体"/>
          <w:sz w:val="24"/>
          <w:szCs w:val="24"/>
        </w:rPr>
        <w:t>Mantzaris</w:t>
      </w:r>
      <w:proofErr w:type="spellEnd"/>
      <w:r w:rsidR="00264FD1" w:rsidRPr="00A63850">
        <w:rPr>
          <w:rFonts w:ascii="Book Antiqua" w:eastAsia="宋体" w:hAnsi="Book Antiqua" w:cs="宋体"/>
          <w:sz w:val="24"/>
          <w:szCs w:val="24"/>
        </w:rPr>
        <w:t xml:space="preserve"> GJ, </w:t>
      </w:r>
      <w:proofErr w:type="spellStart"/>
      <w:r w:rsidR="00264FD1" w:rsidRPr="00A63850">
        <w:rPr>
          <w:rFonts w:ascii="Book Antiqua" w:eastAsia="宋体" w:hAnsi="Book Antiqua" w:cs="宋体"/>
          <w:sz w:val="24"/>
          <w:szCs w:val="24"/>
        </w:rPr>
        <w:t>Kornbluth</w:t>
      </w:r>
      <w:proofErr w:type="spellEnd"/>
      <w:r w:rsidR="00264FD1" w:rsidRPr="00A63850">
        <w:rPr>
          <w:rFonts w:ascii="Book Antiqua" w:eastAsia="宋体" w:hAnsi="Book Antiqua" w:cs="宋体"/>
          <w:sz w:val="24"/>
          <w:szCs w:val="24"/>
        </w:rPr>
        <w:t xml:space="preserve"> A, </w:t>
      </w:r>
      <w:proofErr w:type="spellStart"/>
      <w:r w:rsidR="00264FD1" w:rsidRPr="00A63850">
        <w:rPr>
          <w:rFonts w:ascii="Book Antiqua" w:eastAsia="宋体" w:hAnsi="Book Antiqua" w:cs="宋体"/>
          <w:sz w:val="24"/>
          <w:szCs w:val="24"/>
        </w:rPr>
        <w:t>Rutgeerts</w:t>
      </w:r>
      <w:proofErr w:type="spellEnd"/>
      <w:r w:rsidR="00264FD1" w:rsidRPr="00A63850">
        <w:rPr>
          <w:rFonts w:ascii="Book Antiqua" w:eastAsia="宋体" w:hAnsi="Book Antiqua" w:cs="宋体"/>
          <w:sz w:val="24"/>
          <w:szCs w:val="24"/>
        </w:rPr>
        <w:t xml:space="preserve"> P, Tang KL, </w:t>
      </w:r>
      <w:proofErr w:type="spellStart"/>
      <w:r w:rsidR="00264FD1" w:rsidRPr="00A63850">
        <w:rPr>
          <w:rFonts w:ascii="Book Antiqua" w:eastAsia="宋体" w:hAnsi="Book Antiqua" w:cs="宋体"/>
          <w:sz w:val="24"/>
          <w:szCs w:val="24"/>
        </w:rPr>
        <w:t>Oortwijn</w:t>
      </w:r>
      <w:proofErr w:type="spellEnd"/>
      <w:r w:rsidR="00264FD1" w:rsidRPr="00A63850">
        <w:rPr>
          <w:rFonts w:ascii="Book Antiqua" w:eastAsia="宋体" w:hAnsi="Book Antiqua" w:cs="宋体"/>
          <w:sz w:val="24"/>
          <w:szCs w:val="24"/>
        </w:rPr>
        <w:t xml:space="preserve"> A, </w:t>
      </w:r>
      <w:proofErr w:type="spellStart"/>
      <w:r w:rsidR="00264FD1" w:rsidRPr="00A63850">
        <w:rPr>
          <w:rFonts w:ascii="Book Antiqua" w:eastAsia="宋体" w:hAnsi="Book Antiqua" w:cs="宋体"/>
          <w:sz w:val="24"/>
          <w:szCs w:val="24"/>
        </w:rPr>
        <w:t>Bevelander</w:t>
      </w:r>
      <w:proofErr w:type="spellEnd"/>
      <w:r w:rsidR="00264FD1" w:rsidRPr="00A63850">
        <w:rPr>
          <w:rFonts w:ascii="Book Antiqua" w:eastAsia="宋体" w:hAnsi="Book Antiqua" w:cs="宋体"/>
          <w:sz w:val="24"/>
          <w:szCs w:val="24"/>
        </w:rPr>
        <w:t xml:space="preserve"> GS, </w:t>
      </w:r>
      <w:proofErr w:type="spellStart"/>
      <w:r w:rsidR="00264FD1" w:rsidRPr="00A63850">
        <w:rPr>
          <w:rFonts w:ascii="Book Antiqua" w:eastAsia="宋体" w:hAnsi="Book Antiqua" w:cs="宋体"/>
          <w:sz w:val="24"/>
          <w:szCs w:val="24"/>
        </w:rPr>
        <w:t>Cornillie</w:t>
      </w:r>
      <w:proofErr w:type="spellEnd"/>
      <w:r w:rsidR="00264FD1" w:rsidRPr="00A63850">
        <w:rPr>
          <w:rFonts w:ascii="Book Antiqua" w:eastAsia="宋体" w:hAnsi="Book Antiqua" w:cs="宋体"/>
          <w:sz w:val="24"/>
          <w:szCs w:val="24"/>
        </w:rPr>
        <w:t xml:space="preserve"> FJ, </w:t>
      </w:r>
      <w:proofErr w:type="spellStart"/>
      <w:r w:rsidR="00264FD1" w:rsidRPr="00A63850">
        <w:rPr>
          <w:rFonts w:ascii="Book Antiqua" w:eastAsia="宋体" w:hAnsi="Book Antiqua" w:cs="宋体"/>
          <w:sz w:val="24"/>
          <w:szCs w:val="24"/>
        </w:rPr>
        <w:t>Sandborn</w:t>
      </w:r>
      <w:proofErr w:type="spellEnd"/>
      <w:r w:rsidR="00264FD1" w:rsidRPr="00A63850">
        <w:rPr>
          <w:rFonts w:ascii="Book Antiqua" w:eastAsia="宋体" w:hAnsi="Book Antiqua" w:cs="宋体"/>
          <w:sz w:val="24"/>
          <w:szCs w:val="24"/>
        </w:rPr>
        <w:t xml:space="preserve"> WJ. Randomised clinical trial: deep remission in biologic and </w:t>
      </w:r>
      <w:proofErr w:type="spellStart"/>
      <w:r w:rsidR="00264FD1" w:rsidRPr="00A63850">
        <w:rPr>
          <w:rFonts w:ascii="Book Antiqua" w:eastAsia="宋体" w:hAnsi="Book Antiqua" w:cs="宋体"/>
          <w:sz w:val="24"/>
          <w:szCs w:val="24"/>
        </w:rPr>
        <w:t>immunomodulator</w:t>
      </w:r>
      <w:proofErr w:type="spellEnd"/>
      <w:r w:rsidR="00264FD1" w:rsidRPr="00A63850">
        <w:rPr>
          <w:rFonts w:ascii="Book Antiqua" w:eastAsia="宋体" w:hAnsi="Book Antiqua" w:cs="宋体"/>
          <w:sz w:val="24"/>
          <w:szCs w:val="24"/>
        </w:rPr>
        <w:t xml:space="preserve"> naïve patients with </w:t>
      </w:r>
      <w:proofErr w:type="spellStart"/>
      <w:r w:rsidR="00264FD1" w:rsidRPr="00A63850">
        <w:rPr>
          <w:rFonts w:ascii="Book Antiqua" w:eastAsia="宋体" w:hAnsi="Book Antiqua" w:cs="宋体"/>
          <w:sz w:val="24"/>
          <w:szCs w:val="24"/>
        </w:rPr>
        <w:t>Crohn's</w:t>
      </w:r>
      <w:proofErr w:type="spellEnd"/>
      <w:r w:rsidR="00264FD1" w:rsidRPr="00A63850">
        <w:rPr>
          <w:rFonts w:ascii="Book Antiqua" w:eastAsia="宋体" w:hAnsi="Book Antiqua" w:cs="宋体"/>
          <w:sz w:val="24"/>
          <w:szCs w:val="24"/>
        </w:rPr>
        <w:t xml:space="preserve"> disease - a SONIC post hoc analysis. </w:t>
      </w:r>
      <w:r w:rsidR="00264FD1" w:rsidRPr="00A63850">
        <w:rPr>
          <w:rFonts w:ascii="Book Antiqua" w:eastAsia="宋体" w:hAnsi="Book Antiqua" w:cs="宋体"/>
          <w:i/>
          <w:iCs/>
          <w:sz w:val="24"/>
          <w:szCs w:val="24"/>
        </w:rPr>
        <w:t xml:space="preserve">Aliment </w:t>
      </w:r>
      <w:proofErr w:type="spellStart"/>
      <w:r w:rsidR="00264FD1" w:rsidRPr="00A63850">
        <w:rPr>
          <w:rFonts w:ascii="Book Antiqua" w:eastAsia="宋体" w:hAnsi="Book Antiqua" w:cs="宋体"/>
          <w:i/>
          <w:iCs/>
          <w:sz w:val="24"/>
          <w:szCs w:val="24"/>
        </w:rPr>
        <w:t>Pharmacol</w:t>
      </w:r>
      <w:proofErr w:type="spellEnd"/>
      <w:r w:rsidR="00264FD1" w:rsidRPr="00A63850">
        <w:rPr>
          <w:rFonts w:ascii="Book Antiqua" w:eastAsia="宋体" w:hAnsi="Book Antiqua" w:cs="宋体"/>
          <w:i/>
          <w:iCs/>
          <w:sz w:val="24"/>
          <w:szCs w:val="24"/>
        </w:rPr>
        <w:t xml:space="preserve"> </w:t>
      </w:r>
      <w:proofErr w:type="spellStart"/>
      <w:r w:rsidR="00264FD1" w:rsidRPr="00A63850">
        <w:rPr>
          <w:rFonts w:ascii="Book Antiqua" w:eastAsia="宋体" w:hAnsi="Book Antiqua" w:cs="宋体"/>
          <w:i/>
          <w:iCs/>
          <w:sz w:val="24"/>
          <w:szCs w:val="24"/>
        </w:rPr>
        <w:t>Ther</w:t>
      </w:r>
      <w:proofErr w:type="spellEnd"/>
      <w:r w:rsidR="00264FD1" w:rsidRPr="00A63850">
        <w:rPr>
          <w:rFonts w:ascii="Book Antiqua" w:eastAsia="宋体" w:hAnsi="Book Antiqua" w:cs="宋体"/>
          <w:sz w:val="24"/>
          <w:szCs w:val="24"/>
        </w:rPr>
        <w:t> 2015; </w:t>
      </w:r>
      <w:r w:rsidR="00264FD1" w:rsidRPr="00A63850">
        <w:rPr>
          <w:rFonts w:ascii="Book Antiqua" w:eastAsia="宋体" w:hAnsi="Book Antiqua" w:cs="宋体"/>
          <w:b/>
          <w:bCs/>
          <w:sz w:val="24"/>
          <w:szCs w:val="24"/>
        </w:rPr>
        <w:t>41</w:t>
      </w:r>
      <w:r w:rsidR="00264FD1" w:rsidRPr="00A63850">
        <w:rPr>
          <w:rFonts w:ascii="Book Antiqua" w:eastAsia="宋体" w:hAnsi="Book Antiqua" w:cs="宋体"/>
          <w:sz w:val="24"/>
          <w:szCs w:val="24"/>
        </w:rPr>
        <w:t>: 734-746 [PMID: 25728587 DOI: 10.1111/apt.13139]</w:t>
      </w:r>
    </w:p>
    <w:p w14:paraId="678F2CBB" w14:textId="321F54D2"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lastRenderedPageBreak/>
        <w:t>6</w:t>
      </w:r>
      <w:r w:rsidR="001C0D6B">
        <w:rPr>
          <w:rFonts w:ascii="Book Antiqua" w:eastAsia="宋体" w:hAnsi="Book Antiqua" w:cs="宋体"/>
          <w:sz w:val="24"/>
          <w:szCs w:val="24"/>
        </w:rPr>
        <w:t>5</w:t>
      </w:r>
      <w:r w:rsidRPr="00A63850">
        <w:t xml:space="preserve"> </w:t>
      </w:r>
      <w:proofErr w:type="spellStart"/>
      <w:r w:rsidRPr="00A63850">
        <w:rPr>
          <w:rFonts w:ascii="Book Antiqua" w:eastAsia="宋体" w:hAnsi="Book Antiqua" w:cs="宋体"/>
          <w:b/>
          <w:sz w:val="24"/>
          <w:szCs w:val="24"/>
        </w:rPr>
        <w:t>Baert</w:t>
      </w:r>
      <w:proofErr w:type="spellEnd"/>
      <w:r w:rsidRPr="00A63850">
        <w:rPr>
          <w:rFonts w:ascii="Book Antiqua" w:eastAsia="宋体" w:hAnsi="Book Antiqua" w:cs="宋体"/>
          <w:b/>
          <w:sz w:val="24"/>
          <w:szCs w:val="24"/>
        </w:rPr>
        <w:t xml:space="preserve"> F,</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Kondragunta</w:t>
      </w:r>
      <w:proofErr w:type="spellEnd"/>
      <w:r w:rsidRPr="00A63850">
        <w:rPr>
          <w:rFonts w:ascii="Book Antiqua" w:eastAsia="宋体" w:hAnsi="Book Antiqua" w:cs="宋体"/>
          <w:sz w:val="24"/>
          <w:szCs w:val="24"/>
        </w:rPr>
        <w:t xml:space="preserve"> V, </w:t>
      </w:r>
      <w:proofErr w:type="spellStart"/>
      <w:r w:rsidRPr="00A63850">
        <w:rPr>
          <w:rFonts w:ascii="Book Antiqua" w:eastAsia="宋体" w:hAnsi="Book Antiqua" w:cs="宋体"/>
          <w:sz w:val="24"/>
          <w:szCs w:val="24"/>
        </w:rPr>
        <w:t>Lockton</w:t>
      </w:r>
      <w:proofErr w:type="spellEnd"/>
      <w:r w:rsidRPr="00A63850">
        <w:rPr>
          <w:rFonts w:ascii="Book Antiqua" w:eastAsia="宋体" w:hAnsi="Book Antiqua" w:cs="宋体"/>
          <w:sz w:val="24"/>
          <w:szCs w:val="24"/>
        </w:rPr>
        <w:t xml:space="preserve"> S, </w:t>
      </w:r>
      <w:proofErr w:type="spellStart"/>
      <w:r w:rsidRPr="00A63850">
        <w:rPr>
          <w:rFonts w:ascii="Book Antiqua" w:eastAsia="宋体" w:hAnsi="Book Antiqua" w:cs="宋体"/>
          <w:sz w:val="24"/>
          <w:szCs w:val="24"/>
        </w:rPr>
        <w:t>Vande</w:t>
      </w:r>
      <w:proofErr w:type="spellEnd"/>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Casteele</w:t>
      </w:r>
      <w:proofErr w:type="spellEnd"/>
      <w:r w:rsidRPr="00A63850">
        <w:rPr>
          <w:rFonts w:ascii="Book Antiqua" w:eastAsia="宋体" w:hAnsi="Book Antiqua" w:cs="宋体"/>
          <w:sz w:val="24"/>
          <w:szCs w:val="24"/>
        </w:rPr>
        <w:t xml:space="preserve"> N, </w:t>
      </w:r>
      <w:proofErr w:type="spellStart"/>
      <w:r w:rsidRPr="00A63850">
        <w:rPr>
          <w:rFonts w:ascii="Book Antiqua" w:eastAsia="宋体" w:hAnsi="Book Antiqua" w:cs="宋体"/>
          <w:sz w:val="24"/>
          <w:szCs w:val="24"/>
        </w:rPr>
        <w:t>Hauenstein</w:t>
      </w:r>
      <w:proofErr w:type="spellEnd"/>
      <w:r w:rsidRPr="00A63850">
        <w:rPr>
          <w:rFonts w:ascii="Book Antiqua" w:eastAsia="宋体" w:hAnsi="Book Antiqua" w:cs="宋体"/>
          <w:sz w:val="24"/>
          <w:szCs w:val="24"/>
        </w:rPr>
        <w:t xml:space="preserve"> S, Singh S, </w:t>
      </w:r>
      <w:proofErr w:type="spellStart"/>
      <w:r w:rsidRPr="00A63850">
        <w:rPr>
          <w:rFonts w:ascii="Book Antiqua" w:eastAsia="宋体" w:hAnsi="Book Antiqua" w:cs="宋体"/>
          <w:sz w:val="24"/>
          <w:szCs w:val="24"/>
        </w:rPr>
        <w:t>Karmiris</w:t>
      </w:r>
      <w:proofErr w:type="spellEnd"/>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Ferrante</w:t>
      </w:r>
      <w:proofErr w:type="spellEnd"/>
      <w:r w:rsidRPr="00A63850">
        <w:rPr>
          <w:rFonts w:ascii="Book Antiqua" w:eastAsia="宋体" w:hAnsi="Book Antiqua" w:cs="宋体"/>
          <w:sz w:val="24"/>
          <w:szCs w:val="24"/>
        </w:rPr>
        <w:t xml:space="preserve"> M, Gils A, </w:t>
      </w:r>
      <w:proofErr w:type="spellStart"/>
      <w:r w:rsidRPr="00A63850">
        <w:rPr>
          <w:rFonts w:ascii="Book Antiqua" w:eastAsia="宋体" w:hAnsi="Book Antiqua" w:cs="宋体"/>
          <w:sz w:val="24"/>
          <w:szCs w:val="24"/>
        </w:rPr>
        <w:t>Vermeire</w:t>
      </w:r>
      <w:proofErr w:type="spellEnd"/>
      <w:r w:rsidRPr="00A63850">
        <w:rPr>
          <w:rFonts w:ascii="Book Antiqua" w:eastAsia="宋体" w:hAnsi="Book Antiqua" w:cs="宋体"/>
          <w:sz w:val="24"/>
          <w:szCs w:val="24"/>
        </w:rPr>
        <w:t xml:space="preserve"> S. Antibodies to </w:t>
      </w:r>
      <w:proofErr w:type="spellStart"/>
      <w:r w:rsidRPr="00A63850">
        <w:rPr>
          <w:rFonts w:ascii="Book Antiqua" w:eastAsia="宋体" w:hAnsi="Book Antiqua" w:cs="宋体"/>
          <w:sz w:val="24"/>
          <w:szCs w:val="24"/>
        </w:rPr>
        <w:t>adalimumab</w:t>
      </w:r>
      <w:proofErr w:type="spellEnd"/>
      <w:r w:rsidRPr="00A63850">
        <w:rPr>
          <w:rFonts w:ascii="Book Antiqua" w:eastAsia="宋体" w:hAnsi="Book Antiqua" w:cs="宋体"/>
          <w:sz w:val="24"/>
          <w:szCs w:val="24"/>
        </w:rPr>
        <w:t xml:space="preserve"> are associated with future inflammation in </w:t>
      </w:r>
      <w:proofErr w:type="spellStart"/>
      <w:r w:rsidRPr="00A63850">
        <w:rPr>
          <w:rFonts w:ascii="Book Antiqua" w:eastAsia="宋体" w:hAnsi="Book Antiqua" w:cs="宋体"/>
          <w:sz w:val="24"/>
          <w:szCs w:val="24"/>
        </w:rPr>
        <w:t>Crohn's</w:t>
      </w:r>
      <w:proofErr w:type="spellEnd"/>
      <w:r w:rsidRPr="00A63850">
        <w:rPr>
          <w:rFonts w:ascii="Book Antiqua" w:eastAsia="宋体" w:hAnsi="Book Antiqua" w:cs="宋体"/>
          <w:sz w:val="24"/>
          <w:szCs w:val="24"/>
        </w:rPr>
        <w:t xml:space="preserve"> patients receiving maintenance </w:t>
      </w:r>
      <w:proofErr w:type="spellStart"/>
      <w:r w:rsidRPr="00A63850">
        <w:rPr>
          <w:rFonts w:ascii="Book Antiqua" w:eastAsia="宋体" w:hAnsi="Book Antiqua" w:cs="宋体"/>
          <w:sz w:val="24"/>
          <w:szCs w:val="24"/>
        </w:rPr>
        <w:t>adalimumab</w:t>
      </w:r>
      <w:proofErr w:type="spellEnd"/>
      <w:r w:rsidRPr="00A63850">
        <w:rPr>
          <w:rFonts w:ascii="Book Antiqua" w:eastAsia="宋体" w:hAnsi="Book Antiqua" w:cs="宋体"/>
          <w:sz w:val="24"/>
          <w:szCs w:val="24"/>
        </w:rPr>
        <w:t xml:space="preserve"> therapy: a post hoc analysis of the </w:t>
      </w:r>
      <w:proofErr w:type="spellStart"/>
      <w:r w:rsidRPr="00A63850">
        <w:rPr>
          <w:rFonts w:ascii="Book Antiqua" w:eastAsia="宋体" w:hAnsi="Book Antiqua" w:cs="宋体"/>
          <w:sz w:val="24"/>
          <w:szCs w:val="24"/>
        </w:rPr>
        <w:t>Karmiris</w:t>
      </w:r>
      <w:proofErr w:type="spellEnd"/>
      <w:r w:rsidRPr="00A63850">
        <w:rPr>
          <w:rFonts w:ascii="Book Antiqua" w:eastAsia="宋体" w:hAnsi="Book Antiqua" w:cs="宋体"/>
          <w:sz w:val="24"/>
          <w:szCs w:val="24"/>
        </w:rPr>
        <w:t xml:space="preserve"> trial. </w:t>
      </w:r>
      <w:r w:rsidRPr="00A63850">
        <w:rPr>
          <w:rFonts w:ascii="Book Antiqua" w:eastAsia="宋体" w:hAnsi="Book Antiqua" w:cs="宋体"/>
          <w:i/>
          <w:iCs/>
          <w:sz w:val="24"/>
          <w:szCs w:val="24"/>
        </w:rPr>
        <w:t>Gut</w:t>
      </w:r>
      <w:r w:rsidRPr="00A63850">
        <w:rPr>
          <w:rFonts w:ascii="Book Antiqua" w:eastAsia="宋体" w:hAnsi="Book Antiqua" w:cs="宋体"/>
          <w:sz w:val="24"/>
          <w:szCs w:val="24"/>
        </w:rPr>
        <w:t> 2015;</w:t>
      </w:r>
      <w:r w:rsidRPr="00A63850">
        <w:t xml:space="preserve"> </w:t>
      </w:r>
      <w:proofErr w:type="spellStart"/>
      <w:r w:rsidRPr="00A63850">
        <w:rPr>
          <w:rFonts w:ascii="Book Antiqua" w:eastAsia="宋体" w:hAnsi="Book Antiqua" w:cs="宋体"/>
          <w:sz w:val="24"/>
          <w:szCs w:val="24"/>
        </w:rPr>
        <w:t>Epub</w:t>
      </w:r>
      <w:proofErr w:type="spellEnd"/>
      <w:r w:rsidRPr="00A63850">
        <w:rPr>
          <w:rFonts w:ascii="Book Antiqua" w:eastAsia="宋体" w:hAnsi="Book Antiqua" w:cs="宋体"/>
          <w:sz w:val="24"/>
          <w:szCs w:val="24"/>
        </w:rPr>
        <w:t xml:space="preserve"> ahead of print [PMID: 25862647 DOI: 10.1136/gutjnl-2014-307882]</w:t>
      </w:r>
    </w:p>
    <w:p w14:paraId="7AB3F159" w14:textId="572DB458"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6</w:t>
      </w:r>
      <w:r w:rsidR="001C0D6B">
        <w:rPr>
          <w:rFonts w:ascii="Book Antiqua" w:eastAsia="宋体" w:hAnsi="Book Antiqua" w:cs="宋体"/>
          <w:sz w:val="24"/>
          <w:szCs w:val="24"/>
        </w:rPr>
        <w:t xml:space="preserve">6 </w:t>
      </w:r>
      <w:r w:rsidRPr="00A63850">
        <w:rPr>
          <w:rFonts w:ascii="Book Antiqua" w:eastAsia="宋体" w:hAnsi="Book Antiqua" w:cs="宋体"/>
          <w:b/>
          <w:bCs/>
          <w:sz w:val="24"/>
          <w:szCs w:val="24"/>
        </w:rPr>
        <w:t>Chiu YL</w:t>
      </w:r>
      <w:r w:rsidRPr="00A63850">
        <w:rPr>
          <w:rFonts w:ascii="Book Antiqua" w:eastAsia="宋体" w:hAnsi="Book Antiqua" w:cs="宋体"/>
          <w:sz w:val="24"/>
          <w:szCs w:val="24"/>
        </w:rPr>
        <w:t xml:space="preserve">, Rubin DT, </w:t>
      </w:r>
      <w:proofErr w:type="spellStart"/>
      <w:r w:rsidRPr="00A63850">
        <w:rPr>
          <w:rFonts w:ascii="Book Antiqua" w:eastAsia="宋体" w:hAnsi="Book Antiqua" w:cs="宋体"/>
          <w:sz w:val="24"/>
          <w:szCs w:val="24"/>
        </w:rPr>
        <w:t>Vermeire</w:t>
      </w:r>
      <w:proofErr w:type="spellEnd"/>
      <w:r w:rsidRPr="00A63850">
        <w:rPr>
          <w:rFonts w:ascii="Book Antiqua" w:eastAsia="宋体" w:hAnsi="Book Antiqua" w:cs="宋体"/>
          <w:sz w:val="24"/>
          <w:szCs w:val="24"/>
        </w:rPr>
        <w:t xml:space="preserve"> S, Louis E, Robinson AM, Lomax KG, Pollack PF, Paulson SK. Serum </w:t>
      </w:r>
      <w:proofErr w:type="spellStart"/>
      <w:r w:rsidRPr="00A63850">
        <w:rPr>
          <w:rFonts w:ascii="Book Antiqua" w:eastAsia="宋体" w:hAnsi="Book Antiqua" w:cs="宋体"/>
          <w:sz w:val="24"/>
          <w:szCs w:val="24"/>
        </w:rPr>
        <w:t>adalimumab</w:t>
      </w:r>
      <w:proofErr w:type="spellEnd"/>
      <w:r w:rsidRPr="00A63850">
        <w:rPr>
          <w:rFonts w:ascii="Book Antiqua" w:eastAsia="宋体" w:hAnsi="Book Antiqua" w:cs="宋体"/>
          <w:sz w:val="24"/>
          <w:szCs w:val="24"/>
        </w:rPr>
        <w:t xml:space="preserve"> concentration and clinical remission in patients with </w:t>
      </w:r>
      <w:proofErr w:type="spellStart"/>
      <w:r w:rsidRPr="00A63850">
        <w:rPr>
          <w:rFonts w:ascii="Book Antiqua" w:eastAsia="宋体" w:hAnsi="Book Antiqua" w:cs="宋体"/>
          <w:sz w:val="24"/>
          <w:szCs w:val="24"/>
        </w:rPr>
        <w:t>Crohn's</w:t>
      </w:r>
      <w:proofErr w:type="spellEnd"/>
      <w:r w:rsidRPr="00A63850">
        <w:rPr>
          <w:rFonts w:ascii="Book Antiqua" w:eastAsia="宋体" w:hAnsi="Book Antiqua" w:cs="宋体"/>
          <w:sz w:val="24"/>
          <w:szCs w:val="24"/>
        </w:rPr>
        <w:t xml:space="preserve"> disease. </w:t>
      </w:r>
      <w:proofErr w:type="spellStart"/>
      <w:r w:rsidRPr="00A63850">
        <w:rPr>
          <w:rFonts w:ascii="Book Antiqua" w:eastAsia="宋体" w:hAnsi="Book Antiqua" w:cs="宋体"/>
          <w:i/>
          <w:iCs/>
          <w:sz w:val="24"/>
          <w:szCs w:val="24"/>
        </w:rPr>
        <w:t>Inflamm</w:t>
      </w:r>
      <w:proofErr w:type="spellEnd"/>
      <w:r w:rsidRPr="00A63850">
        <w:rPr>
          <w:rFonts w:ascii="Book Antiqua" w:eastAsia="宋体" w:hAnsi="Book Antiqua" w:cs="宋体"/>
          <w:i/>
          <w:iCs/>
          <w:sz w:val="24"/>
          <w:szCs w:val="24"/>
        </w:rPr>
        <w:t xml:space="preserve"> Bowel Dis</w:t>
      </w:r>
      <w:r w:rsidRPr="00A63850">
        <w:rPr>
          <w:rFonts w:ascii="Book Antiqua" w:eastAsia="宋体" w:hAnsi="Book Antiqua" w:cs="宋体"/>
          <w:sz w:val="24"/>
          <w:szCs w:val="24"/>
        </w:rPr>
        <w:t> 2013; </w:t>
      </w:r>
      <w:r w:rsidRPr="00A63850">
        <w:rPr>
          <w:rFonts w:ascii="Book Antiqua" w:eastAsia="宋体" w:hAnsi="Book Antiqua" w:cs="宋体"/>
          <w:b/>
          <w:bCs/>
          <w:sz w:val="24"/>
          <w:szCs w:val="24"/>
        </w:rPr>
        <w:t>19</w:t>
      </w:r>
      <w:r w:rsidRPr="00A63850">
        <w:rPr>
          <w:rFonts w:ascii="Book Antiqua" w:eastAsia="宋体" w:hAnsi="Book Antiqua" w:cs="宋体"/>
          <w:sz w:val="24"/>
          <w:szCs w:val="24"/>
        </w:rPr>
        <w:t>: 1112-1122 [PMID: 23584130 DOI: 10.1097/MIB.0b013e3182813242]</w:t>
      </w:r>
    </w:p>
    <w:p w14:paraId="643EE75B" w14:textId="4F9A9A67" w:rsidR="00264FD1" w:rsidRPr="00A63850" w:rsidRDefault="001C0D6B" w:rsidP="00264FD1">
      <w:pPr>
        <w:spacing w:line="360" w:lineRule="auto"/>
        <w:jc w:val="both"/>
        <w:rPr>
          <w:rFonts w:ascii="Book Antiqua" w:eastAsia="宋体" w:hAnsi="Book Antiqua" w:cs="宋体"/>
          <w:sz w:val="24"/>
          <w:szCs w:val="24"/>
        </w:rPr>
      </w:pPr>
      <w:r>
        <w:rPr>
          <w:rFonts w:ascii="Book Antiqua" w:eastAsia="宋体" w:hAnsi="Book Antiqua" w:cs="宋体"/>
          <w:sz w:val="24"/>
          <w:szCs w:val="24"/>
        </w:rPr>
        <w:t>67</w:t>
      </w:r>
      <w:r w:rsidR="00264FD1" w:rsidRPr="00A63850">
        <w:rPr>
          <w:rFonts w:ascii="Book Antiqua" w:eastAsia="宋体" w:hAnsi="Book Antiqua" w:cs="宋体"/>
          <w:sz w:val="24"/>
          <w:szCs w:val="24"/>
        </w:rPr>
        <w:t> </w:t>
      </w:r>
      <w:proofErr w:type="spellStart"/>
      <w:r w:rsidR="00264FD1" w:rsidRPr="00A63850">
        <w:rPr>
          <w:rFonts w:ascii="Book Antiqua" w:eastAsia="宋体" w:hAnsi="Book Antiqua" w:cs="宋体"/>
          <w:b/>
          <w:bCs/>
          <w:sz w:val="24"/>
          <w:szCs w:val="24"/>
        </w:rPr>
        <w:t>Zittan</w:t>
      </w:r>
      <w:proofErr w:type="spellEnd"/>
      <w:r w:rsidR="00264FD1" w:rsidRPr="00A63850">
        <w:rPr>
          <w:rFonts w:ascii="Book Antiqua" w:eastAsia="宋体" w:hAnsi="Book Antiqua" w:cs="宋体"/>
          <w:b/>
          <w:bCs/>
          <w:sz w:val="24"/>
          <w:szCs w:val="24"/>
        </w:rPr>
        <w:t xml:space="preserve"> E</w:t>
      </w:r>
      <w:r w:rsidR="00264FD1" w:rsidRPr="00A63850">
        <w:rPr>
          <w:rFonts w:ascii="Book Antiqua" w:eastAsia="宋体" w:hAnsi="Book Antiqua" w:cs="宋体"/>
          <w:sz w:val="24"/>
          <w:szCs w:val="24"/>
        </w:rPr>
        <w:t xml:space="preserve">, </w:t>
      </w:r>
      <w:proofErr w:type="spellStart"/>
      <w:r w:rsidR="00264FD1" w:rsidRPr="00A63850">
        <w:rPr>
          <w:rFonts w:ascii="Book Antiqua" w:eastAsia="宋体" w:hAnsi="Book Antiqua" w:cs="宋体"/>
          <w:sz w:val="24"/>
          <w:szCs w:val="24"/>
        </w:rPr>
        <w:t>Kabakchiev</w:t>
      </w:r>
      <w:proofErr w:type="spellEnd"/>
      <w:r w:rsidR="00264FD1" w:rsidRPr="00A63850">
        <w:rPr>
          <w:rFonts w:ascii="Book Antiqua" w:eastAsia="宋体" w:hAnsi="Book Antiqua" w:cs="宋体"/>
          <w:sz w:val="24"/>
          <w:szCs w:val="24"/>
        </w:rPr>
        <w:t xml:space="preserve"> B, </w:t>
      </w:r>
      <w:proofErr w:type="spellStart"/>
      <w:r w:rsidR="00264FD1" w:rsidRPr="00A63850">
        <w:rPr>
          <w:rFonts w:ascii="Book Antiqua" w:eastAsia="宋体" w:hAnsi="Book Antiqua" w:cs="宋体"/>
          <w:sz w:val="24"/>
          <w:szCs w:val="24"/>
        </w:rPr>
        <w:t>Milgrom</w:t>
      </w:r>
      <w:proofErr w:type="spellEnd"/>
      <w:r w:rsidR="00264FD1" w:rsidRPr="00A63850">
        <w:rPr>
          <w:rFonts w:ascii="Book Antiqua" w:eastAsia="宋体" w:hAnsi="Book Antiqua" w:cs="宋体"/>
          <w:sz w:val="24"/>
          <w:szCs w:val="24"/>
        </w:rPr>
        <w:t xml:space="preserve"> R, Nguyen GC, </w:t>
      </w:r>
      <w:proofErr w:type="spellStart"/>
      <w:r w:rsidR="00264FD1" w:rsidRPr="00A63850">
        <w:rPr>
          <w:rFonts w:ascii="Book Antiqua" w:eastAsia="宋体" w:hAnsi="Book Antiqua" w:cs="宋体"/>
          <w:sz w:val="24"/>
          <w:szCs w:val="24"/>
        </w:rPr>
        <w:t>Croitoru</w:t>
      </w:r>
      <w:proofErr w:type="spellEnd"/>
      <w:r w:rsidR="00264FD1" w:rsidRPr="00A63850">
        <w:rPr>
          <w:rFonts w:ascii="Book Antiqua" w:eastAsia="宋体" w:hAnsi="Book Antiqua" w:cs="宋体"/>
          <w:sz w:val="24"/>
          <w:szCs w:val="24"/>
        </w:rPr>
        <w:t xml:space="preserve"> K, Steinhart AH, Silverberg MS. Higher </w:t>
      </w:r>
      <w:proofErr w:type="spellStart"/>
      <w:r w:rsidR="00264FD1" w:rsidRPr="00A63850">
        <w:rPr>
          <w:rFonts w:ascii="Book Antiqua" w:eastAsia="宋体" w:hAnsi="Book Antiqua" w:cs="宋体"/>
          <w:sz w:val="24"/>
          <w:szCs w:val="24"/>
        </w:rPr>
        <w:t>Adalimumab</w:t>
      </w:r>
      <w:proofErr w:type="spellEnd"/>
      <w:r w:rsidR="00264FD1" w:rsidRPr="00A63850">
        <w:rPr>
          <w:rFonts w:ascii="Book Antiqua" w:eastAsia="宋体" w:hAnsi="Book Antiqua" w:cs="宋体"/>
          <w:sz w:val="24"/>
          <w:szCs w:val="24"/>
        </w:rPr>
        <w:t xml:space="preserve"> Drug Levels are Associated with Mucosal Healing in Patients with </w:t>
      </w:r>
      <w:proofErr w:type="spellStart"/>
      <w:r w:rsidR="00264FD1" w:rsidRPr="00A63850">
        <w:rPr>
          <w:rFonts w:ascii="Book Antiqua" w:eastAsia="宋体" w:hAnsi="Book Antiqua" w:cs="宋体"/>
          <w:sz w:val="24"/>
          <w:szCs w:val="24"/>
        </w:rPr>
        <w:t>Crohn's</w:t>
      </w:r>
      <w:proofErr w:type="spellEnd"/>
      <w:r w:rsidR="00264FD1" w:rsidRPr="00A63850">
        <w:rPr>
          <w:rFonts w:ascii="Book Antiqua" w:eastAsia="宋体" w:hAnsi="Book Antiqua" w:cs="宋体"/>
          <w:sz w:val="24"/>
          <w:szCs w:val="24"/>
        </w:rPr>
        <w:t xml:space="preserve"> Disease. </w:t>
      </w:r>
      <w:r w:rsidR="00264FD1" w:rsidRPr="00A63850">
        <w:rPr>
          <w:rFonts w:ascii="Book Antiqua" w:eastAsia="宋体" w:hAnsi="Book Antiqua" w:cs="宋体"/>
          <w:i/>
          <w:iCs/>
          <w:sz w:val="24"/>
          <w:szCs w:val="24"/>
        </w:rPr>
        <w:t xml:space="preserve">J </w:t>
      </w:r>
      <w:proofErr w:type="spellStart"/>
      <w:r w:rsidR="00264FD1" w:rsidRPr="00A63850">
        <w:rPr>
          <w:rFonts w:ascii="Book Antiqua" w:eastAsia="宋体" w:hAnsi="Book Antiqua" w:cs="宋体"/>
          <w:i/>
          <w:iCs/>
          <w:sz w:val="24"/>
          <w:szCs w:val="24"/>
        </w:rPr>
        <w:t>Crohns</w:t>
      </w:r>
      <w:proofErr w:type="spellEnd"/>
      <w:r w:rsidR="00264FD1" w:rsidRPr="00A63850">
        <w:rPr>
          <w:rFonts w:ascii="Book Antiqua" w:eastAsia="宋体" w:hAnsi="Book Antiqua" w:cs="宋体"/>
          <w:i/>
          <w:iCs/>
          <w:sz w:val="24"/>
          <w:szCs w:val="24"/>
        </w:rPr>
        <w:t xml:space="preserve"> Colitis</w:t>
      </w:r>
      <w:r w:rsidR="00264FD1" w:rsidRPr="00A63850">
        <w:rPr>
          <w:rFonts w:ascii="Book Antiqua" w:eastAsia="宋体" w:hAnsi="Book Antiqua" w:cs="宋体"/>
          <w:sz w:val="24"/>
          <w:szCs w:val="24"/>
        </w:rPr>
        <w:t> 2016; </w:t>
      </w:r>
      <w:r w:rsidR="00264FD1" w:rsidRPr="00A63850">
        <w:rPr>
          <w:rFonts w:ascii="Book Antiqua" w:eastAsia="宋体" w:hAnsi="Book Antiqua" w:cs="宋体"/>
          <w:b/>
          <w:bCs/>
          <w:sz w:val="24"/>
          <w:szCs w:val="24"/>
        </w:rPr>
        <w:t>10</w:t>
      </w:r>
      <w:r w:rsidR="00264FD1" w:rsidRPr="00A63850">
        <w:rPr>
          <w:rFonts w:ascii="Book Antiqua" w:eastAsia="宋体" w:hAnsi="Book Antiqua" w:cs="宋体"/>
          <w:sz w:val="24"/>
          <w:szCs w:val="24"/>
        </w:rPr>
        <w:t>: 510-515 [PMID: 26783345 DOI: 10.1093/</w:t>
      </w:r>
      <w:proofErr w:type="spellStart"/>
      <w:r w:rsidR="00264FD1" w:rsidRPr="00A63850">
        <w:rPr>
          <w:rFonts w:ascii="Book Antiqua" w:eastAsia="宋体" w:hAnsi="Book Antiqua" w:cs="宋体"/>
          <w:sz w:val="24"/>
          <w:szCs w:val="24"/>
        </w:rPr>
        <w:t>ecco-jcc</w:t>
      </w:r>
      <w:proofErr w:type="spellEnd"/>
      <w:r w:rsidR="00264FD1" w:rsidRPr="00A63850">
        <w:rPr>
          <w:rFonts w:ascii="Book Antiqua" w:eastAsia="宋体" w:hAnsi="Book Antiqua" w:cs="宋体"/>
          <w:sz w:val="24"/>
          <w:szCs w:val="24"/>
        </w:rPr>
        <w:t>/jjw014]</w:t>
      </w:r>
    </w:p>
    <w:p w14:paraId="5C3E69FF" w14:textId="7C450F40" w:rsidR="00264FD1" w:rsidRPr="00A63850" w:rsidRDefault="007B6D6A" w:rsidP="00264FD1">
      <w:pPr>
        <w:spacing w:line="360" w:lineRule="auto"/>
        <w:jc w:val="both"/>
        <w:rPr>
          <w:rFonts w:ascii="Book Antiqua" w:eastAsia="宋体" w:hAnsi="Book Antiqua" w:cs="宋体"/>
          <w:sz w:val="24"/>
          <w:szCs w:val="24"/>
        </w:rPr>
      </w:pPr>
      <w:r>
        <w:rPr>
          <w:rFonts w:ascii="Book Antiqua" w:eastAsia="宋体" w:hAnsi="Book Antiqua" w:cs="宋体"/>
          <w:sz w:val="24"/>
          <w:szCs w:val="24"/>
        </w:rPr>
        <w:t>68</w:t>
      </w:r>
      <w:r w:rsidR="00264FD1" w:rsidRPr="00A63850">
        <w:rPr>
          <w:rFonts w:ascii="Book Antiqua" w:eastAsia="宋体" w:hAnsi="Book Antiqua" w:cs="宋体"/>
          <w:sz w:val="24"/>
          <w:szCs w:val="24"/>
        </w:rPr>
        <w:t> </w:t>
      </w:r>
      <w:proofErr w:type="spellStart"/>
      <w:r w:rsidR="00264FD1" w:rsidRPr="00A63850">
        <w:rPr>
          <w:rFonts w:ascii="Book Antiqua" w:eastAsia="宋体" w:hAnsi="Book Antiqua" w:cs="宋体"/>
          <w:b/>
          <w:bCs/>
          <w:sz w:val="24"/>
          <w:szCs w:val="24"/>
        </w:rPr>
        <w:t>Vermeire</w:t>
      </w:r>
      <w:proofErr w:type="spellEnd"/>
      <w:r w:rsidR="00264FD1" w:rsidRPr="00A63850">
        <w:rPr>
          <w:rFonts w:ascii="Book Antiqua" w:eastAsia="宋体" w:hAnsi="Book Antiqua" w:cs="宋体"/>
          <w:b/>
          <w:bCs/>
          <w:sz w:val="24"/>
          <w:szCs w:val="24"/>
        </w:rPr>
        <w:t xml:space="preserve"> S</w:t>
      </w:r>
      <w:r w:rsidR="00264FD1" w:rsidRPr="00A63850">
        <w:rPr>
          <w:rFonts w:ascii="Book Antiqua" w:eastAsia="宋体" w:hAnsi="Book Antiqua" w:cs="宋体"/>
          <w:sz w:val="24"/>
          <w:szCs w:val="24"/>
        </w:rPr>
        <w:t xml:space="preserve">, </w:t>
      </w:r>
      <w:proofErr w:type="spellStart"/>
      <w:r w:rsidR="00264FD1" w:rsidRPr="00A63850">
        <w:rPr>
          <w:rFonts w:ascii="Book Antiqua" w:eastAsia="宋体" w:hAnsi="Book Antiqua" w:cs="宋体"/>
          <w:sz w:val="24"/>
          <w:szCs w:val="24"/>
        </w:rPr>
        <w:t>Noman</w:t>
      </w:r>
      <w:proofErr w:type="spellEnd"/>
      <w:r w:rsidR="00264FD1" w:rsidRPr="00A63850">
        <w:rPr>
          <w:rFonts w:ascii="Book Antiqua" w:eastAsia="宋体" w:hAnsi="Book Antiqua" w:cs="宋体"/>
          <w:sz w:val="24"/>
          <w:szCs w:val="24"/>
        </w:rPr>
        <w:t xml:space="preserve"> M, Van </w:t>
      </w:r>
      <w:proofErr w:type="spellStart"/>
      <w:r w:rsidR="00264FD1" w:rsidRPr="00A63850">
        <w:rPr>
          <w:rFonts w:ascii="Book Antiqua" w:eastAsia="宋体" w:hAnsi="Book Antiqua" w:cs="宋体"/>
          <w:sz w:val="24"/>
          <w:szCs w:val="24"/>
        </w:rPr>
        <w:t>Assche</w:t>
      </w:r>
      <w:proofErr w:type="spellEnd"/>
      <w:r w:rsidR="00264FD1" w:rsidRPr="00A63850">
        <w:rPr>
          <w:rFonts w:ascii="Book Antiqua" w:eastAsia="宋体" w:hAnsi="Book Antiqua" w:cs="宋体"/>
          <w:sz w:val="24"/>
          <w:szCs w:val="24"/>
        </w:rPr>
        <w:t xml:space="preserve"> G, </w:t>
      </w:r>
      <w:proofErr w:type="spellStart"/>
      <w:r w:rsidR="00264FD1" w:rsidRPr="00A63850">
        <w:rPr>
          <w:rFonts w:ascii="Book Antiqua" w:eastAsia="宋体" w:hAnsi="Book Antiqua" w:cs="宋体"/>
          <w:sz w:val="24"/>
          <w:szCs w:val="24"/>
        </w:rPr>
        <w:t>Baert</w:t>
      </w:r>
      <w:proofErr w:type="spellEnd"/>
      <w:r w:rsidR="00264FD1" w:rsidRPr="00A63850">
        <w:rPr>
          <w:rFonts w:ascii="Book Antiqua" w:eastAsia="宋体" w:hAnsi="Book Antiqua" w:cs="宋体"/>
          <w:sz w:val="24"/>
          <w:szCs w:val="24"/>
        </w:rPr>
        <w:t xml:space="preserve"> F, </w:t>
      </w:r>
      <w:proofErr w:type="spellStart"/>
      <w:r w:rsidR="00264FD1" w:rsidRPr="00A63850">
        <w:rPr>
          <w:rFonts w:ascii="Book Antiqua" w:eastAsia="宋体" w:hAnsi="Book Antiqua" w:cs="宋体"/>
          <w:sz w:val="24"/>
          <w:szCs w:val="24"/>
        </w:rPr>
        <w:t>D'Haens</w:t>
      </w:r>
      <w:proofErr w:type="spellEnd"/>
      <w:r w:rsidR="00264FD1" w:rsidRPr="00A63850">
        <w:rPr>
          <w:rFonts w:ascii="Book Antiqua" w:eastAsia="宋体" w:hAnsi="Book Antiqua" w:cs="宋体"/>
          <w:sz w:val="24"/>
          <w:szCs w:val="24"/>
        </w:rPr>
        <w:t xml:space="preserve"> G, </w:t>
      </w:r>
      <w:proofErr w:type="spellStart"/>
      <w:r w:rsidR="00264FD1" w:rsidRPr="00A63850">
        <w:rPr>
          <w:rFonts w:ascii="Book Antiqua" w:eastAsia="宋体" w:hAnsi="Book Antiqua" w:cs="宋体"/>
          <w:sz w:val="24"/>
          <w:szCs w:val="24"/>
        </w:rPr>
        <w:t>Rutgeerts</w:t>
      </w:r>
      <w:proofErr w:type="spellEnd"/>
      <w:r w:rsidR="00264FD1" w:rsidRPr="00A63850">
        <w:rPr>
          <w:rFonts w:ascii="Book Antiqua" w:eastAsia="宋体" w:hAnsi="Book Antiqua" w:cs="宋体"/>
          <w:sz w:val="24"/>
          <w:szCs w:val="24"/>
        </w:rPr>
        <w:t xml:space="preserve"> P. Effectiveness of concomitant immunosuppressive therapy in suppressing the formation of antibodies to infliximab in </w:t>
      </w:r>
      <w:proofErr w:type="spellStart"/>
      <w:r w:rsidR="00264FD1" w:rsidRPr="00A63850">
        <w:rPr>
          <w:rFonts w:ascii="Book Antiqua" w:eastAsia="宋体" w:hAnsi="Book Antiqua" w:cs="宋体"/>
          <w:sz w:val="24"/>
          <w:szCs w:val="24"/>
        </w:rPr>
        <w:t>Crohn's</w:t>
      </w:r>
      <w:proofErr w:type="spellEnd"/>
      <w:r w:rsidR="00264FD1" w:rsidRPr="00A63850">
        <w:rPr>
          <w:rFonts w:ascii="Book Antiqua" w:eastAsia="宋体" w:hAnsi="Book Antiqua" w:cs="宋体"/>
          <w:sz w:val="24"/>
          <w:szCs w:val="24"/>
        </w:rPr>
        <w:t xml:space="preserve"> disease. </w:t>
      </w:r>
      <w:r w:rsidR="00264FD1" w:rsidRPr="00A63850">
        <w:rPr>
          <w:rFonts w:ascii="Book Antiqua" w:eastAsia="宋体" w:hAnsi="Book Antiqua" w:cs="宋体"/>
          <w:i/>
          <w:iCs/>
          <w:sz w:val="24"/>
          <w:szCs w:val="24"/>
        </w:rPr>
        <w:t>Gut</w:t>
      </w:r>
      <w:r w:rsidR="00264FD1" w:rsidRPr="00A63850">
        <w:rPr>
          <w:rFonts w:ascii="Book Antiqua" w:eastAsia="宋体" w:hAnsi="Book Antiqua" w:cs="宋体"/>
          <w:sz w:val="24"/>
          <w:szCs w:val="24"/>
        </w:rPr>
        <w:t> 2007; </w:t>
      </w:r>
      <w:r w:rsidR="00264FD1" w:rsidRPr="00A63850">
        <w:rPr>
          <w:rFonts w:ascii="Book Antiqua" w:eastAsia="宋体" w:hAnsi="Book Antiqua" w:cs="宋体"/>
          <w:b/>
          <w:bCs/>
          <w:sz w:val="24"/>
          <w:szCs w:val="24"/>
        </w:rPr>
        <w:t>56</w:t>
      </w:r>
      <w:r w:rsidR="00264FD1" w:rsidRPr="00A63850">
        <w:rPr>
          <w:rFonts w:ascii="Book Antiqua" w:eastAsia="宋体" w:hAnsi="Book Antiqua" w:cs="宋体"/>
          <w:sz w:val="24"/>
          <w:szCs w:val="24"/>
        </w:rPr>
        <w:t>: 1226-1231 [PMID: 17229796 DOI: 10.1136/gut.2006.099978]</w:t>
      </w:r>
    </w:p>
    <w:p w14:paraId="6175309B" w14:textId="0B621D64" w:rsidR="00264FD1" w:rsidRPr="00A63850" w:rsidRDefault="007B6D6A" w:rsidP="00264FD1">
      <w:pPr>
        <w:spacing w:line="360" w:lineRule="auto"/>
        <w:jc w:val="both"/>
        <w:rPr>
          <w:rFonts w:ascii="Book Antiqua" w:eastAsia="宋体" w:hAnsi="Book Antiqua" w:cs="宋体"/>
          <w:sz w:val="24"/>
          <w:szCs w:val="24"/>
        </w:rPr>
      </w:pPr>
      <w:r>
        <w:rPr>
          <w:rFonts w:ascii="Book Antiqua" w:eastAsia="宋体" w:hAnsi="Book Antiqua" w:cs="宋体"/>
          <w:sz w:val="24"/>
          <w:szCs w:val="24"/>
        </w:rPr>
        <w:t>69</w:t>
      </w:r>
      <w:r w:rsidR="00264FD1">
        <w:rPr>
          <w:rFonts w:ascii="Book Antiqua" w:eastAsia="宋体" w:hAnsi="Book Antiqua" w:cs="宋体"/>
          <w:sz w:val="24"/>
          <w:szCs w:val="24"/>
        </w:rPr>
        <w:t xml:space="preserve"> </w:t>
      </w:r>
      <w:proofErr w:type="spellStart"/>
      <w:r w:rsidR="00264FD1" w:rsidRPr="00A63850">
        <w:rPr>
          <w:rFonts w:ascii="Book Antiqua" w:eastAsia="宋体" w:hAnsi="Book Antiqua" w:cs="宋体"/>
          <w:b/>
          <w:sz w:val="24"/>
          <w:szCs w:val="24"/>
        </w:rPr>
        <w:t>Baert</w:t>
      </w:r>
      <w:proofErr w:type="spellEnd"/>
      <w:r w:rsidR="00264FD1" w:rsidRPr="00A63850">
        <w:rPr>
          <w:rFonts w:ascii="Book Antiqua" w:eastAsia="宋体" w:hAnsi="Book Antiqua" w:cs="宋体"/>
          <w:b/>
          <w:sz w:val="24"/>
          <w:szCs w:val="24"/>
        </w:rPr>
        <w:t xml:space="preserve"> FJ</w:t>
      </w:r>
      <w:r w:rsidR="00264FD1" w:rsidRPr="00A63850">
        <w:rPr>
          <w:rFonts w:ascii="Book Antiqua" w:eastAsia="宋体" w:hAnsi="Book Antiqua" w:cs="宋体"/>
          <w:sz w:val="24"/>
          <w:szCs w:val="24"/>
        </w:rPr>
        <w:t xml:space="preserve">, </w:t>
      </w:r>
      <w:proofErr w:type="spellStart"/>
      <w:r w:rsidR="00264FD1" w:rsidRPr="00A63850">
        <w:rPr>
          <w:rFonts w:ascii="Book Antiqua" w:eastAsia="宋体" w:hAnsi="Book Antiqua" w:cs="宋体"/>
          <w:sz w:val="24"/>
          <w:szCs w:val="24"/>
        </w:rPr>
        <w:t>Lockton</w:t>
      </w:r>
      <w:proofErr w:type="spellEnd"/>
      <w:r w:rsidR="00264FD1" w:rsidRPr="00A63850">
        <w:rPr>
          <w:rFonts w:ascii="Book Antiqua" w:eastAsia="宋体" w:hAnsi="Book Antiqua" w:cs="宋体"/>
          <w:sz w:val="24"/>
          <w:szCs w:val="24"/>
        </w:rPr>
        <w:t xml:space="preserve"> S, </w:t>
      </w:r>
      <w:proofErr w:type="spellStart"/>
      <w:r w:rsidR="00264FD1" w:rsidRPr="00A63850">
        <w:rPr>
          <w:rFonts w:ascii="Book Antiqua" w:eastAsia="宋体" w:hAnsi="Book Antiqua" w:cs="宋体"/>
          <w:sz w:val="24"/>
          <w:szCs w:val="24"/>
        </w:rPr>
        <w:t>Hauenstein</w:t>
      </w:r>
      <w:proofErr w:type="spellEnd"/>
      <w:r w:rsidR="00264FD1" w:rsidRPr="00A63850">
        <w:rPr>
          <w:rFonts w:ascii="Book Antiqua" w:eastAsia="宋体" w:hAnsi="Book Antiqua" w:cs="宋体"/>
          <w:sz w:val="24"/>
          <w:szCs w:val="24"/>
        </w:rPr>
        <w:t xml:space="preserve"> S, Singh S, Gils A, </w:t>
      </w:r>
      <w:proofErr w:type="spellStart"/>
      <w:r w:rsidR="00264FD1" w:rsidRPr="00A63850">
        <w:rPr>
          <w:rFonts w:ascii="Book Antiqua" w:eastAsia="宋体" w:hAnsi="Book Antiqua" w:cs="宋体"/>
          <w:sz w:val="24"/>
          <w:szCs w:val="24"/>
        </w:rPr>
        <w:t>Vermeire</w:t>
      </w:r>
      <w:proofErr w:type="spellEnd"/>
      <w:r w:rsidR="00264FD1" w:rsidRPr="00A63850">
        <w:rPr>
          <w:rFonts w:ascii="Book Antiqua" w:eastAsia="宋体" w:hAnsi="Book Antiqua" w:cs="宋体"/>
          <w:sz w:val="24"/>
          <w:szCs w:val="24"/>
        </w:rPr>
        <w:t xml:space="preserve"> S. Sa1247 antibodies to </w:t>
      </w:r>
      <w:proofErr w:type="spellStart"/>
      <w:r w:rsidR="00264FD1" w:rsidRPr="00A63850">
        <w:rPr>
          <w:rFonts w:ascii="Book Antiqua" w:eastAsia="宋体" w:hAnsi="Book Antiqua" w:cs="宋体"/>
          <w:sz w:val="24"/>
          <w:szCs w:val="24"/>
        </w:rPr>
        <w:t>adalimumab</w:t>
      </w:r>
      <w:proofErr w:type="spellEnd"/>
      <w:r w:rsidR="00264FD1" w:rsidRPr="00A63850">
        <w:rPr>
          <w:rFonts w:ascii="Book Antiqua" w:eastAsia="宋体" w:hAnsi="Book Antiqua" w:cs="宋体"/>
          <w:sz w:val="24"/>
          <w:szCs w:val="24"/>
        </w:rPr>
        <w:t xml:space="preserve"> predict inflammation in </w:t>
      </w:r>
      <w:proofErr w:type="spellStart"/>
      <w:r w:rsidR="00264FD1" w:rsidRPr="00A63850">
        <w:rPr>
          <w:rFonts w:ascii="Book Antiqua" w:eastAsia="宋体" w:hAnsi="Book Antiqua" w:cs="宋体"/>
          <w:sz w:val="24"/>
          <w:szCs w:val="24"/>
        </w:rPr>
        <w:t>Crohn's</w:t>
      </w:r>
      <w:proofErr w:type="spellEnd"/>
      <w:r w:rsidR="00264FD1" w:rsidRPr="00A63850">
        <w:rPr>
          <w:rFonts w:ascii="Book Antiqua" w:eastAsia="宋体" w:hAnsi="Book Antiqua" w:cs="宋体"/>
          <w:sz w:val="24"/>
          <w:szCs w:val="24"/>
        </w:rPr>
        <w:t xml:space="preserve"> patients on maintenance </w:t>
      </w:r>
      <w:proofErr w:type="spellStart"/>
      <w:r w:rsidR="00264FD1" w:rsidRPr="00A63850">
        <w:rPr>
          <w:rFonts w:ascii="Book Antiqua" w:eastAsia="宋体" w:hAnsi="Book Antiqua" w:cs="宋体"/>
          <w:sz w:val="24"/>
          <w:szCs w:val="24"/>
        </w:rPr>
        <w:t>adalim</w:t>
      </w:r>
      <w:r w:rsidR="00264FD1">
        <w:rPr>
          <w:rFonts w:ascii="Book Antiqua" w:eastAsia="宋体" w:hAnsi="Book Antiqua" w:cs="宋体"/>
          <w:sz w:val="24"/>
          <w:szCs w:val="24"/>
        </w:rPr>
        <w:t>umab</w:t>
      </w:r>
      <w:proofErr w:type="spellEnd"/>
      <w:r w:rsidR="00264FD1">
        <w:rPr>
          <w:rFonts w:ascii="Book Antiqua" w:eastAsia="宋体" w:hAnsi="Book Antiqua" w:cs="宋体"/>
          <w:sz w:val="24"/>
          <w:szCs w:val="24"/>
        </w:rPr>
        <w:t xml:space="preserve"> therapy. Gastroenterology</w:t>
      </w:r>
      <w:r w:rsidR="00264FD1">
        <w:rPr>
          <w:rFonts w:ascii="Book Antiqua" w:eastAsia="宋体" w:hAnsi="Book Antiqua" w:cs="宋体" w:hint="eastAsia"/>
          <w:sz w:val="24"/>
          <w:szCs w:val="24"/>
        </w:rPr>
        <w:t xml:space="preserve"> </w:t>
      </w:r>
      <w:r w:rsidR="00264FD1" w:rsidRPr="00A63850">
        <w:rPr>
          <w:rFonts w:ascii="Book Antiqua" w:eastAsia="宋体" w:hAnsi="Book Antiqua" w:cs="宋体"/>
          <w:sz w:val="24"/>
          <w:szCs w:val="24"/>
        </w:rPr>
        <w:t xml:space="preserve">2014; </w:t>
      </w:r>
      <w:r w:rsidR="00264FD1" w:rsidRPr="00A63850">
        <w:rPr>
          <w:rFonts w:ascii="Book Antiqua" w:eastAsia="宋体" w:hAnsi="Book Antiqua" w:cs="宋体"/>
          <w:b/>
          <w:sz w:val="24"/>
          <w:szCs w:val="24"/>
        </w:rPr>
        <w:t>146</w:t>
      </w:r>
      <w:r w:rsidR="00264FD1">
        <w:rPr>
          <w:rFonts w:ascii="Book Antiqua" w:eastAsia="宋体" w:hAnsi="Book Antiqua" w:cs="宋体"/>
          <w:sz w:val="24"/>
          <w:szCs w:val="24"/>
        </w:rPr>
        <w:t>: S–242</w:t>
      </w:r>
      <w:r w:rsidR="00264FD1">
        <w:rPr>
          <w:rFonts w:ascii="Book Antiqua" w:eastAsia="宋体" w:hAnsi="Book Antiqua" w:cs="宋体" w:hint="eastAsia"/>
          <w:sz w:val="24"/>
          <w:szCs w:val="24"/>
        </w:rPr>
        <w:t xml:space="preserve"> </w:t>
      </w:r>
      <w:r w:rsidR="00264FD1" w:rsidRPr="00A63850">
        <w:rPr>
          <w:rFonts w:ascii="Book Antiqua" w:eastAsia="宋体" w:hAnsi="Book Antiqua" w:cs="宋体"/>
          <w:sz w:val="24"/>
          <w:szCs w:val="24"/>
        </w:rPr>
        <w:t>[DOI: 1016/S0016-5085(14)60851-9</w:t>
      </w:r>
      <w:r w:rsidR="00264FD1">
        <w:rPr>
          <w:rFonts w:ascii="Book Antiqua" w:eastAsia="宋体" w:hAnsi="Book Antiqua" w:cs="宋体" w:hint="eastAsia"/>
          <w:sz w:val="24"/>
          <w:szCs w:val="24"/>
        </w:rPr>
        <w:t>]</w:t>
      </w:r>
    </w:p>
    <w:p w14:paraId="67D68365" w14:textId="3DC10B03" w:rsidR="00264FD1" w:rsidRPr="00A63850" w:rsidRDefault="007B6D6A" w:rsidP="00264FD1">
      <w:pPr>
        <w:spacing w:line="360" w:lineRule="auto"/>
        <w:jc w:val="both"/>
        <w:rPr>
          <w:rFonts w:ascii="Book Antiqua" w:eastAsia="宋体" w:hAnsi="Book Antiqua" w:cs="宋体"/>
          <w:sz w:val="24"/>
          <w:szCs w:val="24"/>
        </w:rPr>
      </w:pPr>
      <w:r>
        <w:rPr>
          <w:rFonts w:ascii="Book Antiqua" w:eastAsia="宋体" w:hAnsi="Book Antiqua" w:cs="宋体"/>
          <w:sz w:val="24"/>
          <w:szCs w:val="24"/>
        </w:rPr>
        <w:t>70</w:t>
      </w:r>
      <w:r w:rsidR="00264FD1" w:rsidRPr="00A63850">
        <w:rPr>
          <w:rFonts w:ascii="Book Antiqua" w:eastAsia="宋体" w:hAnsi="Book Antiqua" w:cs="宋体"/>
          <w:sz w:val="24"/>
          <w:szCs w:val="24"/>
        </w:rPr>
        <w:t> </w:t>
      </w:r>
      <w:proofErr w:type="spellStart"/>
      <w:r w:rsidR="00264FD1" w:rsidRPr="00A63850">
        <w:rPr>
          <w:rFonts w:ascii="Book Antiqua" w:eastAsia="宋体" w:hAnsi="Book Antiqua" w:cs="宋体"/>
          <w:b/>
          <w:bCs/>
          <w:sz w:val="24"/>
          <w:szCs w:val="24"/>
        </w:rPr>
        <w:t>Papamichael</w:t>
      </w:r>
      <w:proofErr w:type="spellEnd"/>
      <w:r w:rsidR="00264FD1" w:rsidRPr="00A63850">
        <w:rPr>
          <w:rFonts w:ascii="Book Antiqua" w:eastAsia="宋体" w:hAnsi="Book Antiqua" w:cs="宋体"/>
          <w:b/>
          <w:bCs/>
          <w:sz w:val="24"/>
          <w:szCs w:val="24"/>
        </w:rPr>
        <w:t xml:space="preserve"> K</w:t>
      </w:r>
      <w:r w:rsidR="00264FD1" w:rsidRPr="00A63850">
        <w:rPr>
          <w:rFonts w:ascii="Book Antiqua" w:eastAsia="宋体" w:hAnsi="Book Antiqua" w:cs="宋体"/>
          <w:sz w:val="24"/>
          <w:szCs w:val="24"/>
        </w:rPr>
        <w:t xml:space="preserve">, Van </w:t>
      </w:r>
      <w:proofErr w:type="spellStart"/>
      <w:r w:rsidR="00264FD1" w:rsidRPr="00A63850">
        <w:rPr>
          <w:rFonts w:ascii="Book Antiqua" w:eastAsia="宋体" w:hAnsi="Book Antiqua" w:cs="宋体"/>
          <w:sz w:val="24"/>
          <w:szCs w:val="24"/>
        </w:rPr>
        <w:t>Stappen</w:t>
      </w:r>
      <w:proofErr w:type="spellEnd"/>
      <w:r w:rsidR="00264FD1" w:rsidRPr="00A63850">
        <w:rPr>
          <w:rFonts w:ascii="Book Antiqua" w:eastAsia="宋体" w:hAnsi="Book Antiqua" w:cs="宋体"/>
          <w:sz w:val="24"/>
          <w:szCs w:val="24"/>
        </w:rPr>
        <w:t xml:space="preserve"> T, </w:t>
      </w:r>
      <w:proofErr w:type="spellStart"/>
      <w:r w:rsidR="00264FD1" w:rsidRPr="00A63850">
        <w:rPr>
          <w:rFonts w:ascii="Book Antiqua" w:eastAsia="宋体" w:hAnsi="Book Antiqua" w:cs="宋体"/>
          <w:sz w:val="24"/>
          <w:szCs w:val="24"/>
        </w:rPr>
        <w:t>Vande</w:t>
      </w:r>
      <w:proofErr w:type="spellEnd"/>
      <w:r w:rsidR="00264FD1" w:rsidRPr="00A63850">
        <w:rPr>
          <w:rFonts w:ascii="Book Antiqua" w:eastAsia="宋体" w:hAnsi="Book Antiqua" w:cs="宋体"/>
          <w:sz w:val="24"/>
          <w:szCs w:val="24"/>
        </w:rPr>
        <w:t xml:space="preserve"> </w:t>
      </w:r>
      <w:proofErr w:type="spellStart"/>
      <w:r w:rsidR="00264FD1" w:rsidRPr="00A63850">
        <w:rPr>
          <w:rFonts w:ascii="Book Antiqua" w:eastAsia="宋体" w:hAnsi="Book Antiqua" w:cs="宋体"/>
          <w:sz w:val="24"/>
          <w:szCs w:val="24"/>
        </w:rPr>
        <w:t>Casteele</w:t>
      </w:r>
      <w:proofErr w:type="spellEnd"/>
      <w:r w:rsidR="00264FD1" w:rsidRPr="00A63850">
        <w:rPr>
          <w:rFonts w:ascii="Book Antiqua" w:eastAsia="宋体" w:hAnsi="Book Antiqua" w:cs="宋体"/>
          <w:sz w:val="24"/>
          <w:szCs w:val="24"/>
        </w:rPr>
        <w:t xml:space="preserve"> N, Gils A, </w:t>
      </w:r>
      <w:proofErr w:type="spellStart"/>
      <w:r w:rsidR="00264FD1" w:rsidRPr="00A63850">
        <w:rPr>
          <w:rFonts w:ascii="Book Antiqua" w:eastAsia="宋体" w:hAnsi="Book Antiqua" w:cs="宋体"/>
          <w:sz w:val="24"/>
          <w:szCs w:val="24"/>
        </w:rPr>
        <w:t>Billiet</w:t>
      </w:r>
      <w:proofErr w:type="spellEnd"/>
      <w:r w:rsidR="00264FD1" w:rsidRPr="00A63850">
        <w:rPr>
          <w:rFonts w:ascii="Book Antiqua" w:eastAsia="宋体" w:hAnsi="Book Antiqua" w:cs="宋体"/>
          <w:sz w:val="24"/>
          <w:szCs w:val="24"/>
        </w:rPr>
        <w:t xml:space="preserve"> T, Tops S, </w:t>
      </w:r>
      <w:proofErr w:type="spellStart"/>
      <w:r w:rsidR="00264FD1" w:rsidRPr="00A63850">
        <w:rPr>
          <w:rFonts w:ascii="Book Antiqua" w:eastAsia="宋体" w:hAnsi="Book Antiqua" w:cs="宋体"/>
          <w:sz w:val="24"/>
          <w:szCs w:val="24"/>
        </w:rPr>
        <w:t>Claes</w:t>
      </w:r>
      <w:proofErr w:type="spellEnd"/>
      <w:r w:rsidR="00264FD1" w:rsidRPr="00A63850">
        <w:rPr>
          <w:rFonts w:ascii="Book Antiqua" w:eastAsia="宋体" w:hAnsi="Book Antiqua" w:cs="宋体"/>
          <w:sz w:val="24"/>
          <w:szCs w:val="24"/>
        </w:rPr>
        <w:t xml:space="preserve"> K, Van </w:t>
      </w:r>
      <w:proofErr w:type="spellStart"/>
      <w:r w:rsidR="00264FD1" w:rsidRPr="00A63850">
        <w:rPr>
          <w:rFonts w:ascii="Book Antiqua" w:eastAsia="宋体" w:hAnsi="Book Antiqua" w:cs="宋体"/>
          <w:sz w:val="24"/>
          <w:szCs w:val="24"/>
        </w:rPr>
        <w:t>Assche</w:t>
      </w:r>
      <w:proofErr w:type="spellEnd"/>
      <w:r w:rsidR="00264FD1" w:rsidRPr="00A63850">
        <w:rPr>
          <w:rFonts w:ascii="Book Antiqua" w:eastAsia="宋体" w:hAnsi="Book Antiqua" w:cs="宋体"/>
          <w:sz w:val="24"/>
          <w:szCs w:val="24"/>
        </w:rPr>
        <w:t xml:space="preserve"> G, </w:t>
      </w:r>
      <w:proofErr w:type="spellStart"/>
      <w:r w:rsidR="00264FD1" w:rsidRPr="00A63850">
        <w:rPr>
          <w:rFonts w:ascii="Book Antiqua" w:eastAsia="宋体" w:hAnsi="Book Antiqua" w:cs="宋体"/>
          <w:sz w:val="24"/>
          <w:szCs w:val="24"/>
        </w:rPr>
        <w:t>Rutgeerts</w:t>
      </w:r>
      <w:proofErr w:type="spellEnd"/>
      <w:r w:rsidR="00264FD1" w:rsidRPr="00A63850">
        <w:rPr>
          <w:rFonts w:ascii="Book Antiqua" w:eastAsia="宋体" w:hAnsi="Book Antiqua" w:cs="宋体"/>
          <w:sz w:val="24"/>
          <w:szCs w:val="24"/>
        </w:rPr>
        <w:t xml:space="preserve"> P, </w:t>
      </w:r>
      <w:proofErr w:type="spellStart"/>
      <w:r w:rsidR="00264FD1" w:rsidRPr="00A63850">
        <w:rPr>
          <w:rFonts w:ascii="Book Antiqua" w:eastAsia="宋体" w:hAnsi="Book Antiqua" w:cs="宋体"/>
          <w:sz w:val="24"/>
          <w:szCs w:val="24"/>
        </w:rPr>
        <w:t>Vermeire</w:t>
      </w:r>
      <w:proofErr w:type="spellEnd"/>
      <w:r w:rsidR="00264FD1" w:rsidRPr="00A63850">
        <w:rPr>
          <w:rFonts w:ascii="Book Antiqua" w:eastAsia="宋体" w:hAnsi="Book Antiqua" w:cs="宋体"/>
          <w:sz w:val="24"/>
          <w:szCs w:val="24"/>
        </w:rPr>
        <w:t xml:space="preserve"> S, </w:t>
      </w:r>
      <w:proofErr w:type="spellStart"/>
      <w:r w:rsidR="00264FD1" w:rsidRPr="00A63850">
        <w:rPr>
          <w:rFonts w:ascii="Book Antiqua" w:eastAsia="宋体" w:hAnsi="Book Antiqua" w:cs="宋体"/>
          <w:sz w:val="24"/>
          <w:szCs w:val="24"/>
        </w:rPr>
        <w:t>Ferrante</w:t>
      </w:r>
      <w:proofErr w:type="spellEnd"/>
      <w:r w:rsidR="00264FD1" w:rsidRPr="00A63850">
        <w:rPr>
          <w:rFonts w:ascii="Book Antiqua" w:eastAsia="宋体" w:hAnsi="Book Antiqua" w:cs="宋体"/>
          <w:sz w:val="24"/>
          <w:szCs w:val="24"/>
        </w:rPr>
        <w:t xml:space="preserve"> M. Infliximab Concentration Thresholds During Induction Therapy Are Associated With Short-term Mucosal Healing in Patients With Ulcerative Colitis. </w:t>
      </w:r>
      <w:proofErr w:type="spellStart"/>
      <w:r w:rsidR="00264FD1" w:rsidRPr="00A63850">
        <w:rPr>
          <w:rFonts w:ascii="Book Antiqua" w:eastAsia="宋体" w:hAnsi="Book Antiqua" w:cs="宋体"/>
          <w:i/>
          <w:iCs/>
          <w:sz w:val="24"/>
          <w:szCs w:val="24"/>
        </w:rPr>
        <w:t>Clin</w:t>
      </w:r>
      <w:proofErr w:type="spellEnd"/>
      <w:r w:rsidR="00264FD1" w:rsidRPr="00A63850">
        <w:rPr>
          <w:rFonts w:ascii="Book Antiqua" w:eastAsia="宋体" w:hAnsi="Book Antiqua" w:cs="宋体"/>
          <w:i/>
          <w:iCs/>
          <w:sz w:val="24"/>
          <w:szCs w:val="24"/>
        </w:rPr>
        <w:t xml:space="preserve"> </w:t>
      </w:r>
      <w:proofErr w:type="spellStart"/>
      <w:r w:rsidR="00264FD1" w:rsidRPr="00A63850">
        <w:rPr>
          <w:rFonts w:ascii="Book Antiqua" w:eastAsia="宋体" w:hAnsi="Book Antiqua" w:cs="宋体"/>
          <w:i/>
          <w:iCs/>
          <w:sz w:val="24"/>
          <w:szCs w:val="24"/>
        </w:rPr>
        <w:t>Gastroenterol</w:t>
      </w:r>
      <w:proofErr w:type="spellEnd"/>
      <w:r w:rsidR="00264FD1" w:rsidRPr="00A63850">
        <w:rPr>
          <w:rFonts w:ascii="Book Antiqua" w:eastAsia="宋体" w:hAnsi="Book Antiqua" w:cs="宋体"/>
          <w:i/>
          <w:iCs/>
          <w:sz w:val="24"/>
          <w:szCs w:val="24"/>
        </w:rPr>
        <w:t xml:space="preserve"> </w:t>
      </w:r>
      <w:proofErr w:type="spellStart"/>
      <w:r w:rsidR="00264FD1" w:rsidRPr="00A63850">
        <w:rPr>
          <w:rFonts w:ascii="Book Antiqua" w:eastAsia="宋体" w:hAnsi="Book Antiqua" w:cs="宋体"/>
          <w:i/>
          <w:iCs/>
          <w:sz w:val="24"/>
          <w:szCs w:val="24"/>
        </w:rPr>
        <w:t>Hepatol</w:t>
      </w:r>
      <w:proofErr w:type="spellEnd"/>
      <w:r w:rsidR="00264FD1" w:rsidRPr="00A63850">
        <w:rPr>
          <w:rFonts w:ascii="Book Antiqua" w:eastAsia="宋体" w:hAnsi="Book Antiqua" w:cs="宋体"/>
          <w:sz w:val="24"/>
          <w:szCs w:val="24"/>
        </w:rPr>
        <w:t> 2016; </w:t>
      </w:r>
      <w:r w:rsidR="00264FD1" w:rsidRPr="00A63850">
        <w:rPr>
          <w:rFonts w:ascii="Book Antiqua" w:eastAsia="宋体" w:hAnsi="Book Antiqua" w:cs="宋体"/>
          <w:b/>
          <w:bCs/>
          <w:sz w:val="24"/>
          <w:szCs w:val="24"/>
        </w:rPr>
        <w:t>14</w:t>
      </w:r>
      <w:r w:rsidR="00264FD1" w:rsidRPr="00A63850">
        <w:rPr>
          <w:rFonts w:ascii="Book Antiqua" w:eastAsia="宋体" w:hAnsi="Book Antiqua" w:cs="宋体"/>
          <w:sz w:val="24"/>
          <w:szCs w:val="24"/>
        </w:rPr>
        <w:t>: 543-549 [PMID: 26681486 DOI: 10.1016/j.cgh.2015.11.014]</w:t>
      </w:r>
    </w:p>
    <w:p w14:paraId="2B7BB8C5" w14:textId="1CB63563" w:rsidR="00264FD1" w:rsidRPr="00A63850" w:rsidRDefault="007B6D6A" w:rsidP="00264FD1">
      <w:pPr>
        <w:spacing w:line="360" w:lineRule="auto"/>
        <w:jc w:val="both"/>
        <w:rPr>
          <w:rFonts w:ascii="Book Antiqua" w:eastAsia="宋体" w:hAnsi="Book Antiqua" w:cs="宋体"/>
          <w:sz w:val="24"/>
          <w:szCs w:val="24"/>
        </w:rPr>
      </w:pPr>
      <w:r>
        <w:rPr>
          <w:rFonts w:ascii="Book Antiqua" w:eastAsia="宋体" w:hAnsi="Book Antiqua" w:cs="宋体"/>
          <w:sz w:val="24"/>
          <w:szCs w:val="24"/>
        </w:rPr>
        <w:t>71</w:t>
      </w:r>
      <w:r w:rsidR="00264FD1" w:rsidRPr="00A63850">
        <w:rPr>
          <w:rFonts w:ascii="Book Antiqua" w:eastAsia="宋体" w:hAnsi="Book Antiqua" w:cs="宋体"/>
          <w:sz w:val="24"/>
          <w:szCs w:val="24"/>
        </w:rPr>
        <w:t> </w:t>
      </w:r>
      <w:proofErr w:type="spellStart"/>
      <w:r w:rsidR="00264FD1" w:rsidRPr="00A63850">
        <w:rPr>
          <w:rFonts w:ascii="Book Antiqua" w:eastAsia="宋体" w:hAnsi="Book Antiqua" w:cs="宋体"/>
          <w:b/>
          <w:bCs/>
          <w:sz w:val="24"/>
          <w:szCs w:val="24"/>
        </w:rPr>
        <w:t>Brandse</w:t>
      </w:r>
      <w:proofErr w:type="spellEnd"/>
      <w:r w:rsidR="00264FD1" w:rsidRPr="00A63850">
        <w:rPr>
          <w:rFonts w:ascii="Book Antiqua" w:eastAsia="宋体" w:hAnsi="Book Antiqua" w:cs="宋体"/>
          <w:b/>
          <w:bCs/>
          <w:sz w:val="24"/>
          <w:szCs w:val="24"/>
        </w:rPr>
        <w:t xml:space="preserve"> JF</w:t>
      </w:r>
      <w:r w:rsidR="00264FD1" w:rsidRPr="00A63850">
        <w:rPr>
          <w:rFonts w:ascii="Book Antiqua" w:eastAsia="宋体" w:hAnsi="Book Antiqua" w:cs="宋体"/>
          <w:sz w:val="24"/>
          <w:szCs w:val="24"/>
        </w:rPr>
        <w:t xml:space="preserve">, </w:t>
      </w:r>
      <w:proofErr w:type="spellStart"/>
      <w:r w:rsidR="00264FD1" w:rsidRPr="00A63850">
        <w:rPr>
          <w:rFonts w:ascii="Book Antiqua" w:eastAsia="宋体" w:hAnsi="Book Antiqua" w:cs="宋体"/>
          <w:sz w:val="24"/>
          <w:szCs w:val="24"/>
        </w:rPr>
        <w:t>Mathôt</w:t>
      </w:r>
      <w:proofErr w:type="spellEnd"/>
      <w:r w:rsidR="00264FD1" w:rsidRPr="00A63850">
        <w:rPr>
          <w:rFonts w:ascii="Book Antiqua" w:eastAsia="宋体" w:hAnsi="Book Antiqua" w:cs="宋体"/>
          <w:sz w:val="24"/>
          <w:szCs w:val="24"/>
        </w:rPr>
        <w:t xml:space="preserve"> RA, van der </w:t>
      </w:r>
      <w:proofErr w:type="spellStart"/>
      <w:r w:rsidR="00264FD1" w:rsidRPr="00A63850">
        <w:rPr>
          <w:rFonts w:ascii="Book Antiqua" w:eastAsia="宋体" w:hAnsi="Book Antiqua" w:cs="宋体"/>
          <w:sz w:val="24"/>
          <w:szCs w:val="24"/>
        </w:rPr>
        <w:t>Kleij</w:t>
      </w:r>
      <w:proofErr w:type="spellEnd"/>
      <w:r w:rsidR="00264FD1" w:rsidRPr="00A63850">
        <w:rPr>
          <w:rFonts w:ascii="Book Antiqua" w:eastAsia="宋体" w:hAnsi="Book Antiqua" w:cs="宋体"/>
          <w:sz w:val="24"/>
          <w:szCs w:val="24"/>
        </w:rPr>
        <w:t xml:space="preserve"> D, </w:t>
      </w:r>
      <w:proofErr w:type="spellStart"/>
      <w:r w:rsidR="00264FD1" w:rsidRPr="00A63850">
        <w:rPr>
          <w:rFonts w:ascii="Book Antiqua" w:eastAsia="宋体" w:hAnsi="Book Antiqua" w:cs="宋体"/>
          <w:sz w:val="24"/>
          <w:szCs w:val="24"/>
        </w:rPr>
        <w:t>Rispens</w:t>
      </w:r>
      <w:proofErr w:type="spellEnd"/>
      <w:r w:rsidR="00264FD1" w:rsidRPr="00A63850">
        <w:rPr>
          <w:rFonts w:ascii="Book Antiqua" w:eastAsia="宋体" w:hAnsi="Book Antiqua" w:cs="宋体"/>
          <w:sz w:val="24"/>
          <w:szCs w:val="24"/>
        </w:rPr>
        <w:t xml:space="preserve"> T, </w:t>
      </w:r>
      <w:proofErr w:type="spellStart"/>
      <w:r w:rsidR="00264FD1" w:rsidRPr="00A63850">
        <w:rPr>
          <w:rFonts w:ascii="Book Antiqua" w:eastAsia="宋体" w:hAnsi="Book Antiqua" w:cs="宋体"/>
          <w:sz w:val="24"/>
          <w:szCs w:val="24"/>
        </w:rPr>
        <w:t>Ashruf</w:t>
      </w:r>
      <w:proofErr w:type="spellEnd"/>
      <w:r w:rsidR="00264FD1" w:rsidRPr="00A63850">
        <w:rPr>
          <w:rFonts w:ascii="Book Antiqua" w:eastAsia="宋体" w:hAnsi="Book Antiqua" w:cs="宋体"/>
          <w:sz w:val="24"/>
          <w:szCs w:val="24"/>
        </w:rPr>
        <w:t xml:space="preserve"> Y, Jansen JM, </w:t>
      </w:r>
      <w:proofErr w:type="spellStart"/>
      <w:r w:rsidR="00264FD1" w:rsidRPr="00A63850">
        <w:rPr>
          <w:rFonts w:ascii="Book Antiqua" w:eastAsia="宋体" w:hAnsi="Book Antiqua" w:cs="宋体"/>
          <w:sz w:val="24"/>
          <w:szCs w:val="24"/>
        </w:rPr>
        <w:t>Rietdijk</w:t>
      </w:r>
      <w:proofErr w:type="spellEnd"/>
      <w:r w:rsidR="00264FD1" w:rsidRPr="00A63850">
        <w:rPr>
          <w:rFonts w:ascii="Book Antiqua" w:eastAsia="宋体" w:hAnsi="Book Antiqua" w:cs="宋体"/>
          <w:sz w:val="24"/>
          <w:szCs w:val="24"/>
        </w:rPr>
        <w:t xml:space="preserve"> S, </w:t>
      </w:r>
      <w:proofErr w:type="spellStart"/>
      <w:r w:rsidR="00264FD1" w:rsidRPr="00A63850">
        <w:rPr>
          <w:rFonts w:ascii="Book Antiqua" w:eastAsia="宋体" w:hAnsi="Book Antiqua" w:cs="宋体"/>
          <w:sz w:val="24"/>
          <w:szCs w:val="24"/>
        </w:rPr>
        <w:t>Löwenberg</w:t>
      </w:r>
      <w:proofErr w:type="spellEnd"/>
      <w:r w:rsidR="00264FD1" w:rsidRPr="00A63850">
        <w:rPr>
          <w:rFonts w:ascii="Book Antiqua" w:eastAsia="宋体" w:hAnsi="Book Antiqua" w:cs="宋体"/>
          <w:sz w:val="24"/>
          <w:szCs w:val="24"/>
        </w:rPr>
        <w:t xml:space="preserve"> M, </w:t>
      </w:r>
      <w:proofErr w:type="spellStart"/>
      <w:r w:rsidR="00264FD1" w:rsidRPr="00A63850">
        <w:rPr>
          <w:rFonts w:ascii="Book Antiqua" w:eastAsia="宋体" w:hAnsi="Book Antiqua" w:cs="宋体"/>
          <w:sz w:val="24"/>
          <w:szCs w:val="24"/>
        </w:rPr>
        <w:t>Ponsioen</w:t>
      </w:r>
      <w:proofErr w:type="spellEnd"/>
      <w:r w:rsidR="00264FD1" w:rsidRPr="00A63850">
        <w:rPr>
          <w:rFonts w:ascii="Book Antiqua" w:eastAsia="宋体" w:hAnsi="Book Antiqua" w:cs="宋体"/>
          <w:sz w:val="24"/>
          <w:szCs w:val="24"/>
        </w:rPr>
        <w:t xml:space="preserve"> CY, Singh S, van den Brink GR, </w:t>
      </w:r>
      <w:proofErr w:type="spellStart"/>
      <w:r w:rsidR="00264FD1" w:rsidRPr="00A63850">
        <w:rPr>
          <w:rFonts w:ascii="Book Antiqua" w:eastAsia="宋体" w:hAnsi="Book Antiqua" w:cs="宋体"/>
          <w:sz w:val="24"/>
          <w:szCs w:val="24"/>
        </w:rPr>
        <w:t>D'Haens</w:t>
      </w:r>
      <w:proofErr w:type="spellEnd"/>
      <w:r w:rsidR="00264FD1" w:rsidRPr="00A63850">
        <w:rPr>
          <w:rFonts w:ascii="Book Antiqua" w:eastAsia="宋体" w:hAnsi="Book Antiqua" w:cs="宋体"/>
          <w:sz w:val="24"/>
          <w:szCs w:val="24"/>
        </w:rPr>
        <w:t xml:space="preserve"> GR. Pharmacokinetic Features and Presence of Antidrug Antibodies Associate With </w:t>
      </w:r>
      <w:r w:rsidR="00264FD1" w:rsidRPr="00A63850">
        <w:rPr>
          <w:rFonts w:ascii="Book Antiqua" w:eastAsia="宋体" w:hAnsi="Book Antiqua" w:cs="宋体"/>
          <w:sz w:val="24"/>
          <w:szCs w:val="24"/>
        </w:rPr>
        <w:lastRenderedPageBreak/>
        <w:t>Response to Infliximab Induction Therapy in Patients With Moderate to Severe Ulcerative Colitis. </w:t>
      </w:r>
      <w:proofErr w:type="spellStart"/>
      <w:r w:rsidR="00264FD1" w:rsidRPr="00A63850">
        <w:rPr>
          <w:rFonts w:ascii="Book Antiqua" w:eastAsia="宋体" w:hAnsi="Book Antiqua" w:cs="宋体"/>
          <w:i/>
          <w:iCs/>
          <w:sz w:val="24"/>
          <w:szCs w:val="24"/>
        </w:rPr>
        <w:t>Clin</w:t>
      </w:r>
      <w:proofErr w:type="spellEnd"/>
      <w:r w:rsidR="00264FD1" w:rsidRPr="00A63850">
        <w:rPr>
          <w:rFonts w:ascii="Book Antiqua" w:eastAsia="宋体" w:hAnsi="Book Antiqua" w:cs="宋体"/>
          <w:i/>
          <w:iCs/>
          <w:sz w:val="24"/>
          <w:szCs w:val="24"/>
        </w:rPr>
        <w:t xml:space="preserve"> </w:t>
      </w:r>
      <w:proofErr w:type="spellStart"/>
      <w:r w:rsidR="00264FD1" w:rsidRPr="00A63850">
        <w:rPr>
          <w:rFonts w:ascii="Book Antiqua" w:eastAsia="宋体" w:hAnsi="Book Antiqua" w:cs="宋体"/>
          <w:i/>
          <w:iCs/>
          <w:sz w:val="24"/>
          <w:szCs w:val="24"/>
        </w:rPr>
        <w:t>Gastroenterol</w:t>
      </w:r>
      <w:proofErr w:type="spellEnd"/>
      <w:r w:rsidR="00264FD1" w:rsidRPr="00A63850">
        <w:rPr>
          <w:rFonts w:ascii="Book Antiqua" w:eastAsia="宋体" w:hAnsi="Book Antiqua" w:cs="宋体"/>
          <w:i/>
          <w:iCs/>
          <w:sz w:val="24"/>
          <w:szCs w:val="24"/>
        </w:rPr>
        <w:t xml:space="preserve"> </w:t>
      </w:r>
      <w:proofErr w:type="spellStart"/>
      <w:r w:rsidR="00264FD1" w:rsidRPr="00A63850">
        <w:rPr>
          <w:rFonts w:ascii="Book Antiqua" w:eastAsia="宋体" w:hAnsi="Book Antiqua" w:cs="宋体"/>
          <w:i/>
          <w:iCs/>
          <w:sz w:val="24"/>
          <w:szCs w:val="24"/>
        </w:rPr>
        <w:t>Hepatol</w:t>
      </w:r>
      <w:proofErr w:type="spellEnd"/>
      <w:r w:rsidR="00264FD1" w:rsidRPr="00A63850">
        <w:rPr>
          <w:rFonts w:ascii="Book Antiqua" w:eastAsia="宋体" w:hAnsi="Book Antiqua" w:cs="宋体"/>
          <w:sz w:val="24"/>
          <w:szCs w:val="24"/>
        </w:rPr>
        <w:t> 2016; </w:t>
      </w:r>
      <w:r w:rsidR="00264FD1" w:rsidRPr="00A63850">
        <w:rPr>
          <w:rFonts w:ascii="Book Antiqua" w:eastAsia="宋体" w:hAnsi="Book Antiqua" w:cs="宋体"/>
          <w:b/>
          <w:bCs/>
          <w:sz w:val="24"/>
          <w:szCs w:val="24"/>
        </w:rPr>
        <w:t>14</w:t>
      </w:r>
      <w:r w:rsidR="00264FD1" w:rsidRPr="00A63850">
        <w:rPr>
          <w:rFonts w:ascii="Book Antiqua" w:eastAsia="宋体" w:hAnsi="Book Antiqua" w:cs="宋体"/>
          <w:sz w:val="24"/>
          <w:szCs w:val="24"/>
        </w:rPr>
        <w:t>: 251-258.e2 [PMID: 26545802 DOI: 10.1016/j.cgh.2015.10.029]</w:t>
      </w:r>
    </w:p>
    <w:p w14:paraId="446C39CE" w14:textId="13A1FA56" w:rsidR="00264FD1" w:rsidRPr="00A63850" w:rsidRDefault="00264FD1" w:rsidP="00264FD1">
      <w:pPr>
        <w:spacing w:line="360" w:lineRule="auto"/>
        <w:jc w:val="both"/>
        <w:rPr>
          <w:rFonts w:ascii="Book Antiqua" w:eastAsia="宋体" w:hAnsi="Book Antiqua" w:cs="宋体"/>
          <w:sz w:val="24"/>
          <w:szCs w:val="24"/>
        </w:rPr>
      </w:pPr>
      <w:r w:rsidRPr="00A63850">
        <w:rPr>
          <w:rFonts w:ascii="Book Antiqua" w:eastAsia="宋体" w:hAnsi="Book Antiqua" w:cs="宋体"/>
          <w:sz w:val="24"/>
          <w:szCs w:val="24"/>
        </w:rPr>
        <w:t>7</w:t>
      </w:r>
      <w:r w:rsidR="007B6D6A">
        <w:rPr>
          <w:rFonts w:ascii="Book Antiqua" w:eastAsia="宋体" w:hAnsi="Book Antiqua" w:cs="宋体"/>
          <w:sz w:val="24"/>
          <w:szCs w:val="24"/>
        </w:rPr>
        <w:t>2</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b/>
          <w:sz w:val="24"/>
          <w:szCs w:val="24"/>
        </w:rPr>
        <w:t>Tighe</w:t>
      </w:r>
      <w:proofErr w:type="spellEnd"/>
      <w:r w:rsidRPr="00A63850">
        <w:rPr>
          <w:rFonts w:ascii="Book Antiqua" w:eastAsia="宋体" w:hAnsi="Book Antiqua" w:cs="宋体"/>
          <w:b/>
          <w:sz w:val="24"/>
          <w:szCs w:val="24"/>
        </w:rPr>
        <w:t xml:space="preserve"> D,</w:t>
      </w:r>
      <w:r w:rsidRPr="00A63850">
        <w:rPr>
          <w:rFonts w:ascii="Book Antiqua" w:eastAsia="宋体" w:hAnsi="Book Antiqua" w:cs="宋体"/>
          <w:sz w:val="24"/>
          <w:szCs w:val="24"/>
        </w:rPr>
        <w:t xml:space="preserve"> </w:t>
      </w:r>
      <w:proofErr w:type="spellStart"/>
      <w:r w:rsidRPr="00A63850">
        <w:rPr>
          <w:rFonts w:ascii="Book Antiqua" w:eastAsia="宋体" w:hAnsi="Book Antiqua" w:cs="宋体"/>
          <w:sz w:val="24"/>
          <w:szCs w:val="24"/>
        </w:rPr>
        <w:t>Jeyarajah</w:t>
      </w:r>
      <w:proofErr w:type="spellEnd"/>
      <w:r w:rsidRPr="00A63850">
        <w:rPr>
          <w:rFonts w:ascii="Book Antiqua" w:eastAsia="宋体" w:hAnsi="Book Antiqua" w:cs="宋体"/>
          <w:sz w:val="24"/>
          <w:szCs w:val="24"/>
        </w:rPr>
        <w:t xml:space="preserve"> SK, Hall B, Sinead Smith S, McNamara D. Evaluation of the clinical efficacy of Anti-TNF-α drug trough and antibody levels in an Irish Inflammatory bowel disease cohort. ISG Winter Meeting, Dublin</w:t>
      </w:r>
      <w:r>
        <w:rPr>
          <w:rFonts w:ascii="Book Antiqua" w:eastAsia="宋体" w:hAnsi="Book Antiqua" w:cs="宋体" w:hint="eastAsia"/>
          <w:sz w:val="24"/>
          <w:szCs w:val="24"/>
        </w:rPr>
        <w:t>,</w:t>
      </w:r>
      <w:r w:rsidRPr="00A63850">
        <w:rPr>
          <w:rFonts w:ascii="Book Antiqua" w:eastAsia="宋体" w:hAnsi="Book Antiqua" w:cs="宋体"/>
          <w:sz w:val="24"/>
          <w:szCs w:val="24"/>
        </w:rPr>
        <w:t xml:space="preserve"> 2015</w:t>
      </w:r>
    </w:p>
    <w:p w14:paraId="06F25E52" w14:textId="1F435B7F" w:rsidR="00264FD1" w:rsidRPr="00A63850" w:rsidRDefault="007B6D6A" w:rsidP="00264FD1">
      <w:pPr>
        <w:spacing w:line="360" w:lineRule="auto"/>
        <w:jc w:val="both"/>
        <w:rPr>
          <w:rFonts w:ascii="Book Antiqua" w:eastAsia="宋体" w:hAnsi="Book Antiqua" w:cs="宋体"/>
          <w:sz w:val="24"/>
          <w:szCs w:val="24"/>
        </w:rPr>
      </w:pPr>
      <w:r>
        <w:rPr>
          <w:rFonts w:ascii="Book Antiqua" w:eastAsia="宋体" w:hAnsi="Book Antiqua" w:cs="宋体"/>
          <w:sz w:val="24"/>
          <w:szCs w:val="24"/>
        </w:rPr>
        <w:t>73</w:t>
      </w:r>
      <w:r w:rsidR="00264FD1" w:rsidRPr="00A63850">
        <w:rPr>
          <w:rFonts w:ascii="Book Antiqua" w:eastAsia="宋体" w:hAnsi="Book Antiqua" w:cs="宋体"/>
          <w:sz w:val="24"/>
          <w:szCs w:val="24"/>
        </w:rPr>
        <w:t> </w:t>
      </w:r>
      <w:proofErr w:type="spellStart"/>
      <w:r w:rsidR="00264FD1" w:rsidRPr="00A63850">
        <w:rPr>
          <w:rFonts w:ascii="Book Antiqua" w:eastAsia="宋体" w:hAnsi="Book Antiqua" w:cs="宋体"/>
          <w:b/>
          <w:bCs/>
          <w:sz w:val="24"/>
          <w:szCs w:val="24"/>
        </w:rPr>
        <w:t>Amiot</w:t>
      </w:r>
      <w:proofErr w:type="spellEnd"/>
      <w:r w:rsidR="00264FD1" w:rsidRPr="00A63850">
        <w:rPr>
          <w:rFonts w:ascii="Book Antiqua" w:eastAsia="宋体" w:hAnsi="Book Antiqua" w:cs="宋体"/>
          <w:b/>
          <w:bCs/>
          <w:sz w:val="24"/>
          <w:szCs w:val="24"/>
        </w:rPr>
        <w:t xml:space="preserve"> A</w:t>
      </w:r>
      <w:r w:rsidR="00264FD1" w:rsidRPr="00A63850">
        <w:rPr>
          <w:rFonts w:ascii="Book Antiqua" w:eastAsia="宋体" w:hAnsi="Book Antiqua" w:cs="宋体"/>
          <w:sz w:val="24"/>
          <w:szCs w:val="24"/>
        </w:rPr>
        <w:t xml:space="preserve">, </w:t>
      </w:r>
      <w:proofErr w:type="spellStart"/>
      <w:r w:rsidR="00264FD1" w:rsidRPr="00A63850">
        <w:rPr>
          <w:rFonts w:ascii="Book Antiqua" w:eastAsia="宋体" w:hAnsi="Book Antiqua" w:cs="宋体"/>
          <w:sz w:val="24"/>
          <w:szCs w:val="24"/>
        </w:rPr>
        <w:t>Hulin</w:t>
      </w:r>
      <w:proofErr w:type="spellEnd"/>
      <w:r w:rsidR="00264FD1" w:rsidRPr="00A63850">
        <w:rPr>
          <w:rFonts w:ascii="Book Antiqua" w:eastAsia="宋体" w:hAnsi="Book Antiqua" w:cs="宋体"/>
          <w:sz w:val="24"/>
          <w:szCs w:val="24"/>
        </w:rPr>
        <w:t xml:space="preserve"> A, </w:t>
      </w:r>
      <w:proofErr w:type="spellStart"/>
      <w:r w:rsidR="00264FD1" w:rsidRPr="00A63850">
        <w:rPr>
          <w:rFonts w:ascii="Book Antiqua" w:eastAsia="宋体" w:hAnsi="Book Antiqua" w:cs="宋体"/>
          <w:sz w:val="24"/>
          <w:szCs w:val="24"/>
        </w:rPr>
        <w:t>Belhassan</w:t>
      </w:r>
      <w:proofErr w:type="spellEnd"/>
      <w:r w:rsidR="00264FD1" w:rsidRPr="00A63850">
        <w:rPr>
          <w:rFonts w:ascii="Book Antiqua" w:eastAsia="宋体" w:hAnsi="Book Antiqua" w:cs="宋体"/>
          <w:sz w:val="24"/>
          <w:szCs w:val="24"/>
        </w:rPr>
        <w:t xml:space="preserve"> M, Andre C, </w:t>
      </w:r>
      <w:proofErr w:type="spellStart"/>
      <w:r w:rsidR="00264FD1" w:rsidRPr="00A63850">
        <w:rPr>
          <w:rFonts w:ascii="Book Antiqua" w:eastAsia="宋体" w:hAnsi="Book Antiqua" w:cs="宋体"/>
          <w:sz w:val="24"/>
          <w:szCs w:val="24"/>
        </w:rPr>
        <w:t>Gagniere</w:t>
      </w:r>
      <w:proofErr w:type="spellEnd"/>
      <w:r w:rsidR="00264FD1" w:rsidRPr="00A63850">
        <w:rPr>
          <w:rFonts w:ascii="Book Antiqua" w:eastAsia="宋体" w:hAnsi="Book Antiqua" w:cs="宋体"/>
          <w:sz w:val="24"/>
          <w:szCs w:val="24"/>
        </w:rPr>
        <w:t xml:space="preserve"> C, Le </w:t>
      </w:r>
      <w:proofErr w:type="spellStart"/>
      <w:r w:rsidR="00264FD1" w:rsidRPr="00A63850">
        <w:rPr>
          <w:rFonts w:ascii="Book Antiqua" w:eastAsia="宋体" w:hAnsi="Book Antiqua" w:cs="宋体"/>
          <w:sz w:val="24"/>
          <w:szCs w:val="24"/>
        </w:rPr>
        <w:t>Baleur</w:t>
      </w:r>
      <w:proofErr w:type="spellEnd"/>
      <w:r w:rsidR="00264FD1" w:rsidRPr="00A63850">
        <w:rPr>
          <w:rFonts w:ascii="Book Antiqua" w:eastAsia="宋体" w:hAnsi="Book Antiqua" w:cs="宋体"/>
          <w:sz w:val="24"/>
          <w:szCs w:val="24"/>
        </w:rPr>
        <w:t xml:space="preserve"> Y, </w:t>
      </w:r>
      <w:proofErr w:type="spellStart"/>
      <w:r w:rsidR="00264FD1" w:rsidRPr="00A63850">
        <w:rPr>
          <w:rFonts w:ascii="Book Antiqua" w:eastAsia="宋体" w:hAnsi="Book Antiqua" w:cs="宋体"/>
          <w:sz w:val="24"/>
          <w:szCs w:val="24"/>
        </w:rPr>
        <w:t>Farcet</w:t>
      </w:r>
      <w:proofErr w:type="spellEnd"/>
      <w:r w:rsidR="00264FD1" w:rsidRPr="00A63850">
        <w:rPr>
          <w:rFonts w:ascii="Book Antiqua" w:eastAsia="宋体" w:hAnsi="Book Antiqua" w:cs="宋体"/>
          <w:sz w:val="24"/>
          <w:szCs w:val="24"/>
        </w:rPr>
        <w:t xml:space="preserve"> JP, </w:t>
      </w:r>
      <w:proofErr w:type="spellStart"/>
      <w:r w:rsidR="00264FD1" w:rsidRPr="00A63850">
        <w:rPr>
          <w:rFonts w:ascii="Book Antiqua" w:eastAsia="宋体" w:hAnsi="Book Antiqua" w:cs="宋体"/>
          <w:sz w:val="24"/>
          <w:szCs w:val="24"/>
        </w:rPr>
        <w:t>Delchier</w:t>
      </w:r>
      <w:proofErr w:type="spellEnd"/>
      <w:r w:rsidR="00264FD1" w:rsidRPr="00A63850">
        <w:rPr>
          <w:rFonts w:ascii="Book Antiqua" w:eastAsia="宋体" w:hAnsi="Book Antiqua" w:cs="宋体"/>
          <w:sz w:val="24"/>
          <w:szCs w:val="24"/>
        </w:rPr>
        <w:t xml:space="preserve"> JC, </w:t>
      </w:r>
      <w:proofErr w:type="spellStart"/>
      <w:r w:rsidR="00264FD1" w:rsidRPr="00A63850">
        <w:rPr>
          <w:rFonts w:ascii="Book Antiqua" w:eastAsia="宋体" w:hAnsi="Book Antiqua" w:cs="宋体"/>
          <w:sz w:val="24"/>
          <w:szCs w:val="24"/>
        </w:rPr>
        <w:t>Hüe</w:t>
      </w:r>
      <w:proofErr w:type="spellEnd"/>
      <w:r w:rsidR="00264FD1" w:rsidRPr="00A63850">
        <w:rPr>
          <w:rFonts w:ascii="Book Antiqua" w:eastAsia="宋体" w:hAnsi="Book Antiqua" w:cs="宋体"/>
          <w:sz w:val="24"/>
          <w:szCs w:val="24"/>
        </w:rPr>
        <w:t xml:space="preserve"> S. Therapeutic drug monitoring is predictive of loss of response after de-escalation of infliximab therapy in patients with inflammatory bowel disease in clinical remission. </w:t>
      </w:r>
      <w:proofErr w:type="spellStart"/>
      <w:r w:rsidR="00264FD1" w:rsidRPr="00A63850">
        <w:rPr>
          <w:rFonts w:ascii="Book Antiqua" w:eastAsia="宋体" w:hAnsi="Book Antiqua" w:cs="宋体"/>
          <w:i/>
          <w:iCs/>
          <w:sz w:val="24"/>
          <w:szCs w:val="24"/>
        </w:rPr>
        <w:t>Clin</w:t>
      </w:r>
      <w:proofErr w:type="spellEnd"/>
      <w:r w:rsidR="00264FD1" w:rsidRPr="00A63850">
        <w:rPr>
          <w:rFonts w:ascii="Book Antiqua" w:eastAsia="宋体" w:hAnsi="Book Antiqua" w:cs="宋体"/>
          <w:i/>
          <w:iCs/>
          <w:sz w:val="24"/>
          <w:szCs w:val="24"/>
        </w:rPr>
        <w:t xml:space="preserve"> Res </w:t>
      </w:r>
      <w:proofErr w:type="spellStart"/>
      <w:r w:rsidR="00264FD1" w:rsidRPr="00A63850">
        <w:rPr>
          <w:rFonts w:ascii="Book Antiqua" w:eastAsia="宋体" w:hAnsi="Book Antiqua" w:cs="宋体"/>
          <w:i/>
          <w:iCs/>
          <w:sz w:val="24"/>
          <w:szCs w:val="24"/>
        </w:rPr>
        <w:t>Hepatol</w:t>
      </w:r>
      <w:proofErr w:type="spellEnd"/>
      <w:r w:rsidR="00264FD1" w:rsidRPr="00A63850">
        <w:rPr>
          <w:rFonts w:ascii="Book Antiqua" w:eastAsia="宋体" w:hAnsi="Book Antiqua" w:cs="宋体"/>
          <w:i/>
          <w:iCs/>
          <w:sz w:val="24"/>
          <w:szCs w:val="24"/>
        </w:rPr>
        <w:t xml:space="preserve"> </w:t>
      </w:r>
      <w:proofErr w:type="spellStart"/>
      <w:r w:rsidR="00264FD1" w:rsidRPr="00A63850">
        <w:rPr>
          <w:rFonts w:ascii="Book Antiqua" w:eastAsia="宋体" w:hAnsi="Book Antiqua" w:cs="宋体"/>
          <w:i/>
          <w:iCs/>
          <w:sz w:val="24"/>
          <w:szCs w:val="24"/>
        </w:rPr>
        <w:t>Gastroenterol</w:t>
      </w:r>
      <w:proofErr w:type="spellEnd"/>
      <w:r w:rsidR="00264FD1" w:rsidRPr="00A63850">
        <w:rPr>
          <w:rFonts w:ascii="Book Antiqua" w:eastAsia="宋体" w:hAnsi="Book Antiqua" w:cs="宋体"/>
          <w:sz w:val="24"/>
          <w:szCs w:val="24"/>
        </w:rPr>
        <w:t> 2016; </w:t>
      </w:r>
      <w:r w:rsidR="00264FD1" w:rsidRPr="00A63850">
        <w:rPr>
          <w:rFonts w:ascii="Book Antiqua" w:eastAsia="宋体" w:hAnsi="Book Antiqua" w:cs="宋体"/>
          <w:b/>
          <w:bCs/>
          <w:sz w:val="24"/>
          <w:szCs w:val="24"/>
        </w:rPr>
        <w:t>40</w:t>
      </w:r>
      <w:r w:rsidR="00264FD1">
        <w:rPr>
          <w:rFonts w:ascii="Book Antiqua" w:eastAsia="宋体" w:hAnsi="Book Antiqua" w:cs="宋体"/>
          <w:sz w:val="24"/>
          <w:szCs w:val="24"/>
        </w:rPr>
        <w:t>:</w:t>
      </w:r>
      <w:r w:rsidR="00264FD1">
        <w:rPr>
          <w:rFonts w:ascii="Book Antiqua" w:eastAsia="宋体" w:hAnsi="Book Antiqua" w:cs="宋体" w:hint="eastAsia"/>
          <w:sz w:val="24"/>
          <w:szCs w:val="24"/>
        </w:rPr>
        <w:t xml:space="preserve"> </w:t>
      </w:r>
      <w:r w:rsidR="00264FD1" w:rsidRPr="00A63850">
        <w:rPr>
          <w:rFonts w:ascii="Book Antiqua" w:eastAsia="宋体" w:hAnsi="Book Antiqua" w:cs="宋体"/>
          <w:sz w:val="24"/>
          <w:szCs w:val="24"/>
        </w:rPr>
        <w:t>90-98 [PMID: 26138132 DOI: 10.1016/j.clinre.2015.05.019]</w:t>
      </w:r>
    </w:p>
    <w:p w14:paraId="1B191209" w14:textId="5A5C4B36" w:rsidR="00264FD1" w:rsidRPr="00A63850" w:rsidRDefault="007B6D6A" w:rsidP="00264FD1">
      <w:pPr>
        <w:spacing w:line="360" w:lineRule="auto"/>
        <w:jc w:val="both"/>
        <w:rPr>
          <w:rFonts w:ascii="Book Antiqua" w:eastAsia="宋体" w:hAnsi="Book Antiqua" w:cs="宋体"/>
          <w:sz w:val="24"/>
          <w:szCs w:val="24"/>
        </w:rPr>
      </w:pPr>
      <w:r>
        <w:rPr>
          <w:rFonts w:ascii="Book Antiqua" w:eastAsia="宋体" w:hAnsi="Book Antiqua" w:cs="宋体"/>
          <w:sz w:val="24"/>
          <w:szCs w:val="24"/>
        </w:rPr>
        <w:t>74</w:t>
      </w:r>
      <w:r w:rsidR="00264FD1" w:rsidRPr="00A63850">
        <w:rPr>
          <w:rFonts w:ascii="Book Antiqua" w:eastAsia="宋体" w:hAnsi="Book Antiqua" w:cs="宋体"/>
          <w:sz w:val="24"/>
          <w:szCs w:val="24"/>
        </w:rPr>
        <w:t> </w:t>
      </w:r>
      <w:proofErr w:type="spellStart"/>
      <w:r w:rsidR="00264FD1" w:rsidRPr="00A63850">
        <w:rPr>
          <w:rFonts w:ascii="Book Antiqua" w:eastAsia="宋体" w:hAnsi="Book Antiqua" w:cs="宋体"/>
          <w:b/>
          <w:bCs/>
          <w:sz w:val="24"/>
          <w:szCs w:val="24"/>
        </w:rPr>
        <w:t>Papamichael</w:t>
      </w:r>
      <w:proofErr w:type="spellEnd"/>
      <w:r w:rsidR="00264FD1" w:rsidRPr="00A63850">
        <w:rPr>
          <w:rFonts w:ascii="Book Antiqua" w:eastAsia="宋体" w:hAnsi="Book Antiqua" w:cs="宋体"/>
          <w:b/>
          <w:bCs/>
          <w:sz w:val="24"/>
          <w:szCs w:val="24"/>
        </w:rPr>
        <w:t xml:space="preserve"> K</w:t>
      </w:r>
      <w:r w:rsidR="00264FD1" w:rsidRPr="00A63850">
        <w:rPr>
          <w:rFonts w:ascii="Book Antiqua" w:eastAsia="宋体" w:hAnsi="Book Antiqua" w:cs="宋体"/>
          <w:sz w:val="24"/>
          <w:szCs w:val="24"/>
        </w:rPr>
        <w:t xml:space="preserve">, </w:t>
      </w:r>
      <w:proofErr w:type="spellStart"/>
      <w:r w:rsidR="00264FD1" w:rsidRPr="00A63850">
        <w:rPr>
          <w:rFonts w:ascii="Book Antiqua" w:eastAsia="宋体" w:hAnsi="Book Antiqua" w:cs="宋体"/>
          <w:sz w:val="24"/>
          <w:szCs w:val="24"/>
        </w:rPr>
        <w:t>Vande</w:t>
      </w:r>
      <w:proofErr w:type="spellEnd"/>
      <w:r w:rsidR="00264FD1" w:rsidRPr="00A63850">
        <w:rPr>
          <w:rFonts w:ascii="Book Antiqua" w:eastAsia="宋体" w:hAnsi="Book Antiqua" w:cs="宋体"/>
          <w:sz w:val="24"/>
          <w:szCs w:val="24"/>
        </w:rPr>
        <w:t xml:space="preserve"> </w:t>
      </w:r>
      <w:proofErr w:type="spellStart"/>
      <w:r w:rsidR="00264FD1" w:rsidRPr="00A63850">
        <w:rPr>
          <w:rFonts w:ascii="Book Antiqua" w:eastAsia="宋体" w:hAnsi="Book Antiqua" w:cs="宋体"/>
          <w:sz w:val="24"/>
          <w:szCs w:val="24"/>
        </w:rPr>
        <w:t>Casteele</w:t>
      </w:r>
      <w:proofErr w:type="spellEnd"/>
      <w:r w:rsidR="00264FD1" w:rsidRPr="00A63850">
        <w:rPr>
          <w:rFonts w:ascii="Book Antiqua" w:eastAsia="宋体" w:hAnsi="Book Antiqua" w:cs="宋体"/>
          <w:sz w:val="24"/>
          <w:szCs w:val="24"/>
        </w:rPr>
        <w:t xml:space="preserve"> N, Gils A, Tops S, </w:t>
      </w:r>
      <w:proofErr w:type="spellStart"/>
      <w:r w:rsidR="00264FD1" w:rsidRPr="00A63850">
        <w:rPr>
          <w:rFonts w:ascii="Book Antiqua" w:eastAsia="宋体" w:hAnsi="Book Antiqua" w:cs="宋体"/>
          <w:sz w:val="24"/>
          <w:szCs w:val="24"/>
        </w:rPr>
        <w:t>Hauenstein</w:t>
      </w:r>
      <w:proofErr w:type="spellEnd"/>
      <w:r w:rsidR="00264FD1" w:rsidRPr="00A63850">
        <w:rPr>
          <w:rFonts w:ascii="Book Antiqua" w:eastAsia="宋体" w:hAnsi="Book Antiqua" w:cs="宋体"/>
          <w:sz w:val="24"/>
          <w:szCs w:val="24"/>
        </w:rPr>
        <w:t xml:space="preserve"> S, Singh S, </w:t>
      </w:r>
      <w:proofErr w:type="spellStart"/>
      <w:r w:rsidR="00264FD1" w:rsidRPr="00A63850">
        <w:rPr>
          <w:rFonts w:ascii="Book Antiqua" w:eastAsia="宋体" w:hAnsi="Book Antiqua" w:cs="宋体"/>
          <w:sz w:val="24"/>
          <w:szCs w:val="24"/>
        </w:rPr>
        <w:t>Princen</w:t>
      </w:r>
      <w:proofErr w:type="spellEnd"/>
      <w:r w:rsidR="00264FD1" w:rsidRPr="00A63850">
        <w:rPr>
          <w:rFonts w:ascii="Book Antiqua" w:eastAsia="宋体" w:hAnsi="Book Antiqua" w:cs="宋体"/>
          <w:sz w:val="24"/>
          <w:szCs w:val="24"/>
        </w:rPr>
        <w:t xml:space="preserve"> F, Van </w:t>
      </w:r>
      <w:proofErr w:type="spellStart"/>
      <w:r w:rsidR="00264FD1" w:rsidRPr="00A63850">
        <w:rPr>
          <w:rFonts w:ascii="Book Antiqua" w:eastAsia="宋体" w:hAnsi="Book Antiqua" w:cs="宋体"/>
          <w:sz w:val="24"/>
          <w:szCs w:val="24"/>
        </w:rPr>
        <w:t>Assche</w:t>
      </w:r>
      <w:proofErr w:type="spellEnd"/>
      <w:r w:rsidR="00264FD1" w:rsidRPr="00A63850">
        <w:rPr>
          <w:rFonts w:ascii="Book Antiqua" w:eastAsia="宋体" w:hAnsi="Book Antiqua" w:cs="宋体"/>
          <w:sz w:val="24"/>
          <w:szCs w:val="24"/>
        </w:rPr>
        <w:t xml:space="preserve"> G, </w:t>
      </w:r>
      <w:proofErr w:type="spellStart"/>
      <w:r w:rsidR="00264FD1" w:rsidRPr="00A63850">
        <w:rPr>
          <w:rFonts w:ascii="Book Antiqua" w:eastAsia="宋体" w:hAnsi="Book Antiqua" w:cs="宋体"/>
          <w:sz w:val="24"/>
          <w:szCs w:val="24"/>
        </w:rPr>
        <w:t>Rutgeerts</w:t>
      </w:r>
      <w:proofErr w:type="spellEnd"/>
      <w:r w:rsidR="00264FD1" w:rsidRPr="00A63850">
        <w:rPr>
          <w:rFonts w:ascii="Book Antiqua" w:eastAsia="宋体" w:hAnsi="Book Antiqua" w:cs="宋体"/>
          <w:sz w:val="24"/>
          <w:szCs w:val="24"/>
        </w:rPr>
        <w:t xml:space="preserve"> P, </w:t>
      </w:r>
      <w:proofErr w:type="spellStart"/>
      <w:r w:rsidR="00264FD1" w:rsidRPr="00A63850">
        <w:rPr>
          <w:rFonts w:ascii="Book Antiqua" w:eastAsia="宋体" w:hAnsi="Book Antiqua" w:cs="宋体"/>
          <w:sz w:val="24"/>
          <w:szCs w:val="24"/>
        </w:rPr>
        <w:t>Vermeire</w:t>
      </w:r>
      <w:proofErr w:type="spellEnd"/>
      <w:r w:rsidR="00264FD1" w:rsidRPr="00A63850">
        <w:rPr>
          <w:rFonts w:ascii="Book Antiqua" w:eastAsia="宋体" w:hAnsi="Book Antiqua" w:cs="宋体"/>
          <w:sz w:val="24"/>
          <w:szCs w:val="24"/>
        </w:rPr>
        <w:t xml:space="preserve"> S, </w:t>
      </w:r>
      <w:proofErr w:type="spellStart"/>
      <w:r w:rsidR="00264FD1" w:rsidRPr="00A63850">
        <w:rPr>
          <w:rFonts w:ascii="Book Antiqua" w:eastAsia="宋体" w:hAnsi="Book Antiqua" w:cs="宋体"/>
          <w:sz w:val="24"/>
          <w:szCs w:val="24"/>
        </w:rPr>
        <w:t>Ferrante</w:t>
      </w:r>
      <w:proofErr w:type="spellEnd"/>
      <w:r w:rsidR="00264FD1" w:rsidRPr="00A63850">
        <w:rPr>
          <w:rFonts w:ascii="Book Antiqua" w:eastAsia="宋体" w:hAnsi="Book Antiqua" w:cs="宋体"/>
          <w:sz w:val="24"/>
          <w:szCs w:val="24"/>
        </w:rPr>
        <w:t xml:space="preserve"> M. Long-term outcome of patients with </w:t>
      </w:r>
      <w:proofErr w:type="spellStart"/>
      <w:r w:rsidR="00264FD1" w:rsidRPr="00A63850">
        <w:rPr>
          <w:rFonts w:ascii="Book Antiqua" w:eastAsia="宋体" w:hAnsi="Book Antiqua" w:cs="宋体"/>
          <w:sz w:val="24"/>
          <w:szCs w:val="24"/>
        </w:rPr>
        <w:t>Crohn's</w:t>
      </w:r>
      <w:proofErr w:type="spellEnd"/>
      <w:r w:rsidR="00264FD1" w:rsidRPr="00A63850">
        <w:rPr>
          <w:rFonts w:ascii="Book Antiqua" w:eastAsia="宋体" w:hAnsi="Book Antiqua" w:cs="宋体"/>
          <w:sz w:val="24"/>
          <w:szCs w:val="24"/>
        </w:rPr>
        <w:t xml:space="preserve"> disease who discontinued infliximab therapy upon clinical remission. </w:t>
      </w:r>
      <w:proofErr w:type="spellStart"/>
      <w:r w:rsidR="00264FD1" w:rsidRPr="00A63850">
        <w:rPr>
          <w:rFonts w:ascii="Book Antiqua" w:eastAsia="宋体" w:hAnsi="Book Antiqua" w:cs="宋体"/>
          <w:i/>
          <w:iCs/>
          <w:sz w:val="24"/>
          <w:szCs w:val="24"/>
        </w:rPr>
        <w:t>Clin</w:t>
      </w:r>
      <w:proofErr w:type="spellEnd"/>
      <w:r w:rsidR="00264FD1" w:rsidRPr="00A63850">
        <w:rPr>
          <w:rFonts w:ascii="Book Antiqua" w:eastAsia="宋体" w:hAnsi="Book Antiqua" w:cs="宋体"/>
          <w:i/>
          <w:iCs/>
          <w:sz w:val="24"/>
          <w:szCs w:val="24"/>
        </w:rPr>
        <w:t xml:space="preserve"> </w:t>
      </w:r>
      <w:proofErr w:type="spellStart"/>
      <w:r w:rsidR="00264FD1" w:rsidRPr="00A63850">
        <w:rPr>
          <w:rFonts w:ascii="Book Antiqua" w:eastAsia="宋体" w:hAnsi="Book Antiqua" w:cs="宋体"/>
          <w:i/>
          <w:iCs/>
          <w:sz w:val="24"/>
          <w:szCs w:val="24"/>
        </w:rPr>
        <w:t>Gastroenterol</w:t>
      </w:r>
      <w:proofErr w:type="spellEnd"/>
      <w:r w:rsidR="00264FD1" w:rsidRPr="00A63850">
        <w:rPr>
          <w:rFonts w:ascii="Book Antiqua" w:eastAsia="宋体" w:hAnsi="Book Antiqua" w:cs="宋体"/>
          <w:i/>
          <w:iCs/>
          <w:sz w:val="24"/>
          <w:szCs w:val="24"/>
        </w:rPr>
        <w:t xml:space="preserve"> </w:t>
      </w:r>
      <w:proofErr w:type="spellStart"/>
      <w:r w:rsidR="00264FD1" w:rsidRPr="00A63850">
        <w:rPr>
          <w:rFonts w:ascii="Book Antiqua" w:eastAsia="宋体" w:hAnsi="Book Antiqua" w:cs="宋体"/>
          <w:i/>
          <w:iCs/>
          <w:sz w:val="24"/>
          <w:szCs w:val="24"/>
        </w:rPr>
        <w:t>Hepatol</w:t>
      </w:r>
      <w:proofErr w:type="spellEnd"/>
      <w:r w:rsidR="00264FD1" w:rsidRPr="00A63850">
        <w:rPr>
          <w:rFonts w:ascii="Book Antiqua" w:eastAsia="宋体" w:hAnsi="Book Antiqua" w:cs="宋体"/>
          <w:sz w:val="24"/>
          <w:szCs w:val="24"/>
        </w:rPr>
        <w:t> 2015; </w:t>
      </w:r>
      <w:r w:rsidR="00264FD1" w:rsidRPr="00A63850">
        <w:rPr>
          <w:rFonts w:ascii="Book Antiqua" w:eastAsia="宋体" w:hAnsi="Book Antiqua" w:cs="宋体"/>
          <w:b/>
          <w:bCs/>
          <w:sz w:val="24"/>
          <w:szCs w:val="24"/>
        </w:rPr>
        <w:t>13</w:t>
      </w:r>
      <w:r w:rsidR="00264FD1" w:rsidRPr="00A63850">
        <w:rPr>
          <w:rFonts w:ascii="Book Antiqua" w:eastAsia="宋体" w:hAnsi="Book Antiqua" w:cs="宋体"/>
          <w:sz w:val="24"/>
          <w:szCs w:val="24"/>
        </w:rPr>
        <w:t>: 1103-1110 [PMID: 25478919 DOI: 10.1016/j.cgh.2014.11.026.]</w:t>
      </w:r>
    </w:p>
    <w:p w14:paraId="2BD5971F" w14:textId="1758D58F" w:rsidR="00264FD1" w:rsidRPr="00A63850" w:rsidRDefault="007B6D6A" w:rsidP="00264FD1">
      <w:pPr>
        <w:spacing w:line="360" w:lineRule="auto"/>
        <w:jc w:val="both"/>
        <w:rPr>
          <w:rFonts w:ascii="Book Antiqua" w:eastAsia="宋体" w:hAnsi="Book Antiqua" w:cs="宋体"/>
          <w:sz w:val="24"/>
          <w:szCs w:val="24"/>
        </w:rPr>
      </w:pPr>
      <w:r>
        <w:rPr>
          <w:rFonts w:ascii="Book Antiqua" w:eastAsia="宋体" w:hAnsi="Book Antiqua" w:cs="宋体"/>
          <w:sz w:val="24"/>
          <w:szCs w:val="24"/>
        </w:rPr>
        <w:t>75</w:t>
      </w:r>
      <w:r w:rsidR="00264FD1" w:rsidRPr="00A63850">
        <w:rPr>
          <w:rFonts w:ascii="Book Antiqua" w:eastAsia="宋体" w:hAnsi="Book Antiqua" w:cs="宋体"/>
          <w:sz w:val="24"/>
          <w:szCs w:val="24"/>
        </w:rPr>
        <w:t> </w:t>
      </w:r>
      <w:proofErr w:type="spellStart"/>
      <w:r w:rsidR="00264FD1" w:rsidRPr="00A63850">
        <w:rPr>
          <w:rFonts w:ascii="Book Antiqua" w:eastAsia="宋体" w:hAnsi="Book Antiqua" w:cs="宋体"/>
          <w:b/>
          <w:bCs/>
          <w:sz w:val="24"/>
          <w:szCs w:val="24"/>
        </w:rPr>
        <w:t>Yanai</w:t>
      </w:r>
      <w:proofErr w:type="spellEnd"/>
      <w:r w:rsidR="00264FD1" w:rsidRPr="00A63850">
        <w:rPr>
          <w:rFonts w:ascii="Book Antiqua" w:eastAsia="宋体" w:hAnsi="Book Antiqua" w:cs="宋体"/>
          <w:b/>
          <w:bCs/>
          <w:sz w:val="24"/>
          <w:szCs w:val="24"/>
        </w:rPr>
        <w:t xml:space="preserve"> H</w:t>
      </w:r>
      <w:r w:rsidR="00264FD1" w:rsidRPr="00A63850">
        <w:rPr>
          <w:rFonts w:ascii="Book Antiqua" w:eastAsia="宋体" w:hAnsi="Book Antiqua" w:cs="宋体"/>
          <w:sz w:val="24"/>
          <w:szCs w:val="24"/>
        </w:rPr>
        <w:t xml:space="preserve">, Lichtenstein L, </w:t>
      </w:r>
      <w:proofErr w:type="spellStart"/>
      <w:r w:rsidR="00264FD1" w:rsidRPr="00A63850">
        <w:rPr>
          <w:rFonts w:ascii="Book Antiqua" w:eastAsia="宋体" w:hAnsi="Book Antiqua" w:cs="宋体"/>
          <w:sz w:val="24"/>
          <w:szCs w:val="24"/>
        </w:rPr>
        <w:t>Assa</w:t>
      </w:r>
      <w:proofErr w:type="spellEnd"/>
      <w:r w:rsidR="00264FD1" w:rsidRPr="00A63850">
        <w:rPr>
          <w:rFonts w:ascii="Book Antiqua" w:eastAsia="宋体" w:hAnsi="Book Antiqua" w:cs="宋体"/>
          <w:sz w:val="24"/>
          <w:szCs w:val="24"/>
        </w:rPr>
        <w:t xml:space="preserve"> A, </w:t>
      </w:r>
      <w:proofErr w:type="spellStart"/>
      <w:r w:rsidR="00264FD1" w:rsidRPr="00A63850">
        <w:rPr>
          <w:rFonts w:ascii="Book Antiqua" w:eastAsia="宋体" w:hAnsi="Book Antiqua" w:cs="宋体"/>
          <w:sz w:val="24"/>
          <w:szCs w:val="24"/>
        </w:rPr>
        <w:t>Mazor</w:t>
      </w:r>
      <w:proofErr w:type="spellEnd"/>
      <w:r w:rsidR="00264FD1" w:rsidRPr="00A63850">
        <w:rPr>
          <w:rFonts w:ascii="Book Antiqua" w:eastAsia="宋体" w:hAnsi="Book Antiqua" w:cs="宋体"/>
          <w:sz w:val="24"/>
          <w:szCs w:val="24"/>
        </w:rPr>
        <w:t xml:space="preserve"> Y, Weiss B, Levine A, Ron Y, </w:t>
      </w:r>
      <w:proofErr w:type="spellStart"/>
      <w:r w:rsidR="00264FD1" w:rsidRPr="00A63850">
        <w:rPr>
          <w:rFonts w:ascii="Book Antiqua" w:eastAsia="宋体" w:hAnsi="Book Antiqua" w:cs="宋体"/>
          <w:sz w:val="24"/>
          <w:szCs w:val="24"/>
        </w:rPr>
        <w:t>Kopylov</w:t>
      </w:r>
      <w:proofErr w:type="spellEnd"/>
      <w:r w:rsidR="00264FD1" w:rsidRPr="00A63850">
        <w:rPr>
          <w:rFonts w:ascii="Book Antiqua" w:eastAsia="宋体" w:hAnsi="Book Antiqua" w:cs="宋体"/>
          <w:sz w:val="24"/>
          <w:szCs w:val="24"/>
        </w:rPr>
        <w:t xml:space="preserve"> U, </w:t>
      </w:r>
      <w:proofErr w:type="spellStart"/>
      <w:r w:rsidR="00264FD1" w:rsidRPr="00A63850">
        <w:rPr>
          <w:rFonts w:ascii="Book Antiqua" w:eastAsia="宋体" w:hAnsi="Book Antiqua" w:cs="宋体"/>
          <w:sz w:val="24"/>
          <w:szCs w:val="24"/>
        </w:rPr>
        <w:t>Bujanover</w:t>
      </w:r>
      <w:proofErr w:type="spellEnd"/>
      <w:r w:rsidR="00264FD1" w:rsidRPr="00A63850">
        <w:rPr>
          <w:rFonts w:ascii="Book Antiqua" w:eastAsia="宋体" w:hAnsi="Book Antiqua" w:cs="宋体"/>
          <w:sz w:val="24"/>
          <w:szCs w:val="24"/>
        </w:rPr>
        <w:t xml:space="preserve"> Y, </w:t>
      </w:r>
      <w:proofErr w:type="spellStart"/>
      <w:r w:rsidR="00264FD1" w:rsidRPr="00A63850">
        <w:rPr>
          <w:rFonts w:ascii="Book Antiqua" w:eastAsia="宋体" w:hAnsi="Book Antiqua" w:cs="宋体"/>
          <w:sz w:val="24"/>
          <w:szCs w:val="24"/>
        </w:rPr>
        <w:t>Rosenbach</w:t>
      </w:r>
      <w:proofErr w:type="spellEnd"/>
      <w:r w:rsidR="00264FD1" w:rsidRPr="00A63850">
        <w:rPr>
          <w:rFonts w:ascii="Book Antiqua" w:eastAsia="宋体" w:hAnsi="Book Antiqua" w:cs="宋体"/>
          <w:sz w:val="24"/>
          <w:szCs w:val="24"/>
        </w:rPr>
        <w:t xml:space="preserve"> Y, </w:t>
      </w:r>
      <w:proofErr w:type="spellStart"/>
      <w:r w:rsidR="00264FD1" w:rsidRPr="00A63850">
        <w:rPr>
          <w:rFonts w:ascii="Book Antiqua" w:eastAsia="宋体" w:hAnsi="Book Antiqua" w:cs="宋体"/>
          <w:sz w:val="24"/>
          <w:szCs w:val="24"/>
        </w:rPr>
        <w:t>Ungar</w:t>
      </w:r>
      <w:proofErr w:type="spellEnd"/>
      <w:r w:rsidR="00264FD1" w:rsidRPr="00A63850">
        <w:rPr>
          <w:rFonts w:ascii="Book Antiqua" w:eastAsia="宋体" w:hAnsi="Book Antiqua" w:cs="宋体"/>
          <w:sz w:val="24"/>
          <w:szCs w:val="24"/>
        </w:rPr>
        <w:t xml:space="preserve"> B, </w:t>
      </w:r>
      <w:proofErr w:type="spellStart"/>
      <w:r w:rsidR="00264FD1" w:rsidRPr="00A63850">
        <w:rPr>
          <w:rFonts w:ascii="Book Antiqua" w:eastAsia="宋体" w:hAnsi="Book Antiqua" w:cs="宋体"/>
          <w:sz w:val="24"/>
          <w:szCs w:val="24"/>
        </w:rPr>
        <w:t>Eliakim</w:t>
      </w:r>
      <w:proofErr w:type="spellEnd"/>
      <w:r w:rsidR="00264FD1" w:rsidRPr="00A63850">
        <w:rPr>
          <w:rFonts w:ascii="Book Antiqua" w:eastAsia="宋体" w:hAnsi="Book Antiqua" w:cs="宋体"/>
          <w:sz w:val="24"/>
          <w:szCs w:val="24"/>
        </w:rPr>
        <w:t xml:space="preserve"> R, </w:t>
      </w:r>
      <w:proofErr w:type="spellStart"/>
      <w:r w:rsidR="00264FD1" w:rsidRPr="00A63850">
        <w:rPr>
          <w:rFonts w:ascii="Book Antiqua" w:eastAsia="宋体" w:hAnsi="Book Antiqua" w:cs="宋体"/>
          <w:sz w:val="24"/>
          <w:szCs w:val="24"/>
        </w:rPr>
        <w:t>Chowers</w:t>
      </w:r>
      <w:proofErr w:type="spellEnd"/>
      <w:r w:rsidR="00264FD1" w:rsidRPr="00A63850">
        <w:rPr>
          <w:rFonts w:ascii="Book Antiqua" w:eastAsia="宋体" w:hAnsi="Book Antiqua" w:cs="宋体"/>
          <w:sz w:val="24"/>
          <w:szCs w:val="24"/>
        </w:rPr>
        <w:t xml:space="preserve"> Y, Shamir R, Fraser G, </w:t>
      </w:r>
      <w:proofErr w:type="spellStart"/>
      <w:r w:rsidR="00264FD1" w:rsidRPr="00A63850">
        <w:rPr>
          <w:rFonts w:ascii="Book Antiqua" w:eastAsia="宋体" w:hAnsi="Book Antiqua" w:cs="宋体"/>
          <w:sz w:val="24"/>
          <w:szCs w:val="24"/>
        </w:rPr>
        <w:t>Dotan</w:t>
      </w:r>
      <w:proofErr w:type="spellEnd"/>
      <w:r w:rsidR="00264FD1" w:rsidRPr="00A63850">
        <w:rPr>
          <w:rFonts w:ascii="Book Antiqua" w:eastAsia="宋体" w:hAnsi="Book Antiqua" w:cs="宋体"/>
          <w:sz w:val="24"/>
          <w:szCs w:val="24"/>
        </w:rPr>
        <w:t xml:space="preserve"> I, Ben-</w:t>
      </w:r>
      <w:proofErr w:type="spellStart"/>
      <w:r w:rsidR="00264FD1" w:rsidRPr="00A63850">
        <w:rPr>
          <w:rFonts w:ascii="Book Antiqua" w:eastAsia="宋体" w:hAnsi="Book Antiqua" w:cs="宋体"/>
          <w:sz w:val="24"/>
          <w:szCs w:val="24"/>
        </w:rPr>
        <w:t>Horin</w:t>
      </w:r>
      <w:proofErr w:type="spellEnd"/>
      <w:r w:rsidR="00264FD1" w:rsidRPr="00A63850">
        <w:rPr>
          <w:rFonts w:ascii="Book Antiqua" w:eastAsia="宋体" w:hAnsi="Book Antiqua" w:cs="宋体"/>
          <w:sz w:val="24"/>
          <w:szCs w:val="24"/>
        </w:rPr>
        <w:t xml:space="preserve"> S. Levels of drug and antidrug antibodies are associated with outcome of interventions after loss of response to infliximab or </w:t>
      </w:r>
      <w:proofErr w:type="spellStart"/>
      <w:r w:rsidR="00264FD1" w:rsidRPr="00A63850">
        <w:rPr>
          <w:rFonts w:ascii="Book Antiqua" w:eastAsia="宋体" w:hAnsi="Book Antiqua" w:cs="宋体"/>
          <w:sz w:val="24"/>
          <w:szCs w:val="24"/>
        </w:rPr>
        <w:t>adalimumab</w:t>
      </w:r>
      <w:proofErr w:type="spellEnd"/>
      <w:r w:rsidR="00264FD1" w:rsidRPr="00A63850">
        <w:rPr>
          <w:rFonts w:ascii="Book Antiqua" w:eastAsia="宋体" w:hAnsi="Book Antiqua" w:cs="宋体"/>
          <w:sz w:val="24"/>
          <w:szCs w:val="24"/>
        </w:rPr>
        <w:t>. </w:t>
      </w:r>
      <w:proofErr w:type="spellStart"/>
      <w:r w:rsidR="00264FD1" w:rsidRPr="00A63850">
        <w:rPr>
          <w:rFonts w:ascii="Book Antiqua" w:eastAsia="宋体" w:hAnsi="Book Antiqua" w:cs="宋体"/>
          <w:i/>
          <w:iCs/>
          <w:sz w:val="24"/>
          <w:szCs w:val="24"/>
        </w:rPr>
        <w:t>Clin</w:t>
      </w:r>
      <w:proofErr w:type="spellEnd"/>
      <w:r w:rsidR="00264FD1" w:rsidRPr="00A63850">
        <w:rPr>
          <w:rFonts w:ascii="Book Antiqua" w:eastAsia="宋体" w:hAnsi="Book Antiqua" w:cs="宋体"/>
          <w:i/>
          <w:iCs/>
          <w:sz w:val="24"/>
          <w:szCs w:val="24"/>
        </w:rPr>
        <w:t xml:space="preserve"> </w:t>
      </w:r>
      <w:proofErr w:type="spellStart"/>
      <w:r w:rsidR="00264FD1" w:rsidRPr="00A63850">
        <w:rPr>
          <w:rFonts w:ascii="Book Antiqua" w:eastAsia="宋体" w:hAnsi="Book Antiqua" w:cs="宋体"/>
          <w:i/>
          <w:iCs/>
          <w:sz w:val="24"/>
          <w:szCs w:val="24"/>
        </w:rPr>
        <w:t>Gastroenterol</w:t>
      </w:r>
      <w:proofErr w:type="spellEnd"/>
      <w:r w:rsidR="00264FD1" w:rsidRPr="00A63850">
        <w:rPr>
          <w:rFonts w:ascii="Book Antiqua" w:eastAsia="宋体" w:hAnsi="Book Antiqua" w:cs="宋体"/>
          <w:i/>
          <w:iCs/>
          <w:sz w:val="24"/>
          <w:szCs w:val="24"/>
        </w:rPr>
        <w:t xml:space="preserve"> </w:t>
      </w:r>
      <w:proofErr w:type="spellStart"/>
      <w:r w:rsidR="00264FD1" w:rsidRPr="00A63850">
        <w:rPr>
          <w:rFonts w:ascii="Book Antiqua" w:eastAsia="宋体" w:hAnsi="Book Antiqua" w:cs="宋体"/>
          <w:i/>
          <w:iCs/>
          <w:sz w:val="24"/>
          <w:szCs w:val="24"/>
        </w:rPr>
        <w:t>Hepatol</w:t>
      </w:r>
      <w:proofErr w:type="spellEnd"/>
      <w:r w:rsidR="00264FD1" w:rsidRPr="00A63850">
        <w:rPr>
          <w:rFonts w:ascii="Book Antiqua" w:eastAsia="宋体" w:hAnsi="Book Antiqua" w:cs="宋体"/>
          <w:sz w:val="24"/>
          <w:szCs w:val="24"/>
        </w:rPr>
        <w:t> 2015; </w:t>
      </w:r>
      <w:r w:rsidR="00264FD1" w:rsidRPr="00A63850">
        <w:rPr>
          <w:rFonts w:ascii="Book Antiqua" w:eastAsia="宋体" w:hAnsi="Book Antiqua" w:cs="宋体"/>
          <w:b/>
          <w:bCs/>
          <w:sz w:val="24"/>
          <w:szCs w:val="24"/>
        </w:rPr>
        <w:t>13</w:t>
      </w:r>
      <w:r w:rsidR="00264FD1" w:rsidRPr="00A63850">
        <w:rPr>
          <w:rFonts w:ascii="Book Antiqua" w:eastAsia="宋体" w:hAnsi="Book Antiqua" w:cs="宋体"/>
          <w:sz w:val="24"/>
          <w:szCs w:val="24"/>
        </w:rPr>
        <w:t>: 522-530.e2 [PMID: 25066837 DOI: 10.1016/j.cgh.2014.07.029]</w:t>
      </w:r>
    </w:p>
    <w:p w14:paraId="3C134E6A" w14:textId="5EF3040A" w:rsidR="00264FD1" w:rsidRPr="00A63850" w:rsidRDefault="007B6D6A" w:rsidP="00264FD1">
      <w:pPr>
        <w:spacing w:line="360" w:lineRule="auto"/>
        <w:jc w:val="both"/>
        <w:rPr>
          <w:rFonts w:ascii="Book Antiqua" w:eastAsia="宋体" w:hAnsi="Book Antiqua" w:cs="宋体"/>
          <w:sz w:val="24"/>
          <w:szCs w:val="24"/>
        </w:rPr>
      </w:pPr>
      <w:r>
        <w:rPr>
          <w:rFonts w:ascii="Book Antiqua" w:eastAsia="宋体" w:hAnsi="Book Antiqua" w:cs="宋体"/>
          <w:sz w:val="24"/>
          <w:szCs w:val="24"/>
        </w:rPr>
        <w:t>76</w:t>
      </w:r>
      <w:r w:rsidR="00264FD1" w:rsidRPr="00A63850">
        <w:rPr>
          <w:rFonts w:ascii="Book Antiqua" w:eastAsia="宋体" w:hAnsi="Book Antiqua" w:cs="宋体"/>
          <w:sz w:val="24"/>
          <w:szCs w:val="24"/>
        </w:rPr>
        <w:t> </w:t>
      </w:r>
      <w:proofErr w:type="spellStart"/>
      <w:r w:rsidR="00264FD1" w:rsidRPr="00A63850">
        <w:rPr>
          <w:rFonts w:ascii="Book Antiqua" w:eastAsia="宋体" w:hAnsi="Book Antiqua" w:cs="宋体"/>
          <w:b/>
          <w:bCs/>
          <w:sz w:val="24"/>
          <w:szCs w:val="24"/>
        </w:rPr>
        <w:t>Frederiksen</w:t>
      </w:r>
      <w:proofErr w:type="spellEnd"/>
      <w:r w:rsidR="00264FD1" w:rsidRPr="00A63850">
        <w:rPr>
          <w:rFonts w:ascii="Book Antiqua" w:eastAsia="宋体" w:hAnsi="Book Antiqua" w:cs="宋体"/>
          <w:b/>
          <w:bCs/>
          <w:sz w:val="24"/>
          <w:szCs w:val="24"/>
        </w:rPr>
        <w:t xml:space="preserve"> MT</w:t>
      </w:r>
      <w:r w:rsidR="00264FD1" w:rsidRPr="00A63850">
        <w:rPr>
          <w:rFonts w:ascii="Book Antiqua" w:eastAsia="宋体" w:hAnsi="Book Antiqua" w:cs="宋体"/>
          <w:sz w:val="24"/>
          <w:szCs w:val="24"/>
        </w:rPr>
        <w:t xml:space="preserve">, Ainsworth MA, </w:t>
      </w:r>
      <w:proofErr w:type="spellStart"/>
      <w:r w:rsidR="00264FD1" w:rsidRPr="00A63850">
        <w:rPr>
          <w:rFonts w:ascii="Book Antiqua" w:eastAsia="宋体" w:hAnsi="Book Antiqua" w:cs="宋体"/>
          <w:sz w:val="24"/>
          <w:szCs w:val="24"/>
        </w:rPr>
        <w:t>Brynskov</w:t>
      </w:r>
      <w:proofErr w:type="spellEnd"/>
      <w:r w:rsidR="00264FD1" w:rsidRPr="00A63850">
        <w:rPr>
          <w:rFonts w:ascii="Book Antiqua" w:eastAsia="宋体" w:hAnsi="Book Antiqua" w:cs="宋体"/>
          <w:sz w:val="24"/>
          <w:szCs w:val="24"/>
        </w:rPr>
        <w:t xml:space="preserve"> J, Thomsen OO, </w:t>
      </w:r>
      <w:proofErr w:type="spellStart"/>
      <w:r w:rsidR="00264FD1" w:rsidRPr="00A63850">
        <w:rPr>
          <w:rFonts w:ascii="Book Antiqua" w:eastAsia="宋体" w:hAnsi="Book Antiqua" w:cs="宋体"/>
          <w:sz w:val="24"/>
          <w:szCs w:val="24"/>
        </w:rPr>
        <w:t>Bendtzen</w:t>
      </w:r>
      <w:proofErr w:type="spellEnd"/>
      <w:r w:rsidR="00264FD1" w:rsidRPr="00A63850">
        <w:rPr>
          <w:rFonts w:ascii="Book Antiqua" w:eastAsia="宋体" w:hAnsi="Book Antiqua" w:cs="宋体"/>
          <w:sz w:val="24"/>
          <w:szCs w:val="24"/>
        </w:rPr>
        <w:t xml:space="preserve"> K, </w:t>
      </w:r>
      <w:proofErr w:type="spellStart"/>
      <w:r w:rsidR="00264FD1" w:rsidRPr="00A63850">
        <w:rPr>
          <w:rFonts w:ascii="Book Antiqua" w:eastAsia="宋体" w:hAnsi="Book Antiqua" w:cs="宋体"/>
          <w:sz w:val="24"/>
          <w:szCs w:val="24"/>
        </w:rPr>
        <w:t>Steenholdt</w:t>
      </w:r>
      <w:proofErr w:type="spellEnd"/>
      <w:r w:rsidR="00264FD1" w:rsidRPr="00A63850">
        <w:rPr>
          <w:rFonts w:ascii="Book Antiqua" w:eastAsia="宋体" w:hAnsi="Book Antiqua" w:cs="宋体"/>
          <w:sz w:val="24"/>
          <w:szCs w:val="24"/>
        </w:rPr>
        <w:t xml:space="preserve"> C. Antibodies against infliximab are associated with de novo development of antibodies to </w:t>
      </w:r>
      <w:proofErr w:type="spellStart"/>
      <w:r w:rsidR="00264FD1" w:rsidRPr="00A63850">
        <w:rPr>
          <w:rFonts w:ascii="Book Antiqua" w:eastAsia="宋体" w:hAnsi="Book Antiqua" w:cs="宋体"/>
          <w:sz w:val="24"/>
          <w:szCs w:val="24"/>
        </w:rPr>
        <w:t>adalimumab</w:t>
      </w:r>
      <w:proofErr w:type="spellEnd"/>
      <w:r w:rsidR="00264FD1" w:rsidRPr="00A63850">
        <w:rPr>
          <w:rFonts w:ascii="Book Antiqua" w:eastAsia="宋体" w:hAnsi="Book Antiqua" w:cs="宋体"/>
          <w:sz w:val="24"/>
          <w:szCs w:val="24"/>
        </w:rPr>
        <w:t xml:space="preserve"> and therapeutic failure in infliximab-to-</w:t>
      </w:r>
      <w:proofErr w:type="spellStart"/>
      <w:r w:rsidR="00264FD1" w:rsidRPr="00A63850">
        <w:rPr>
          <w:rFonts w:ascii="Book Antiqua" w:eastAsia="宋体" w:hAnsi="Book Antiqua" w:cs="宋体"/>
          <w:sz w:val="24"/>
          <w:szCs w:val="24"/>
        </w:rPr>
        <w:t>adalimumab</w:t>
      </w:r>
      <w:proofErr w:type="spellEnd"/>
      <w:r w:rsidR="00264FD1" w:rsidRPr="00A63850">
        <w:rPr>
          <w:rFonts w:ascii="Book Antiqua" w:eastAsia="宋体" w:hAnsi="Book Antiqua" w:cs="宋体"/>
          <w:sz w:val="24"/>
          <w:szCs w:val="24"/>
        </w:rPr>
        <w:t xml:space="preserve"> switchers with IBD. </w:t>
      </w:r>
      <w:proofErr w:type="spellStart"/>
      <w:r w:rsidR="00264FD1" w:rsidRPr="00A63850">
        <w:rPr>
          <w:rFonts w:ascii="Book Antiqua" w:eastAsia="宋体" w:hAnsi="Book Antiqua" w:cs="宋体"/>
          <w:i/>
          <w:iCs/>
          <w:sz w:val="24"/>
          <w:szCs w:val="24"/>
        </w:rPr>
        <w:t>Inflamm</w:t>
      </w:r>
      <w:proofErr w:type="spellEnd"/>
      <w:r w:rsidR="00264FD1" w:rsidRPr="00A63850">
        <w:rPr>
          <w:rFonts w:ascii="Book Antiqua" w:eastAsia="宋体" w:hAnsi="Book Antiqua" w:cs="宋体"/>
          <w:i/>
          <w:iCs/>
          <w:sz w:val="24"/>
          <w:szCs w:val="24"/>
        </w:rPr>
        <w:t xml:space="preserve"> Bowel Dis</w:t>
      </w:r>
      <w:r w:rsidR="00264FD1" w:rsidRPr="00A63850">
        <w:rPr>
          <w:rFonts w:ascii="Book Antiqua" w:eastAsia="宋体" w:hAnsi="Book Antiqua" w:cs="宋体"/>
          <w:sz w:val="24"/>
          <w:szCs w:val="24"/>
        </w:rPr>
        <w:t> 2014; </w:t>
      </w:r>
      <w:r w:rsidR="00264FD1" w:rsidRPr="00A63850">
        <w:rPr>
          <w:rFonts w:ascii="Book Antiqua" w:eastAsia="宋体" w:hAnsi="Book Antiqua" w:cs="宋体"/>
          <w:b/>
          <w:bCs/>
          <w:sz w:val="24"/>
          <w:szCs w:val="24"/>
        </w:rPr>
        <w:t>20</w:t>
      </w:r>
      <w:r w:rsidR="00264FD1" w:rsidRPr="00A63850">
        <w:rPr>
          <w:rFonts w:ascii="Book Antiqua" w:eastAsia="宋体" w:hAnsi="Book Antiqua" w:cs="宋体"/>
          <w:sz w:val="24"/>
          <w:szCs w:val="24"/>
        </w:rPr>
        <w:t>: 1714-1721 [PMID: 25069030 DOI: 10.1097/MIB.0000000000000138]</w:t>
      </w:r>
    </w:p>
    <w:p w14:paraId="4BB3FD4B" w14:textId="0763BD8F" w:rsidR="00EC3A47" w:rsidRPr="00264FD1" w:rsidRDefault="007B6D6A" w:rsidP="00264FD1">
      <w:pPr>
        <w:spacing w:line="360" w:lineRule="auto"/>
        <w:jc w:val="both"/>
        <w:rPr>
          <w:rFonts w:ascii="Book Antiqua" w:eastAsia="宋体" w:hAnsi="Book Antiqua" w:cs="宋体"/>
          <w:sz w:val="24"/>
          <w:szCs w:val="24"/>
          <w:lang w:eastAsia="zh-CN"/>
        </w:rPr>
      </w:pPr>
      <w:r>
        <w:rPr>
          <w:rFonts w:ascii="Book Antiqua" w:eastAsia="宋体" w:hAnsi="Book Antiqua" w:cs="宋体"/>
          <w:sz w:val="24"/>
          <w:szCs w:val="24"/>
        </w:rPr>
        <w:t>77</w:t>
      </w:r>
      <w:r w:rsidR="00264FD1" w:rsidRPr="00A63850">
        <w:rPr>
          <w:rFonts w:ascii="Book Antiqua" w:eastAsia="宋体" w:hAnsi="Book Antiqua" w:cs="宋体"/>
          <w:sz w:val="24"/>
          <w:szCs w:val="24"/>
        </w:rPr>
        <w:t> </w:t>
      </w:r>
      <w:r w:rsidR="00264FD1" w:rsidRPr="00A63850">
        <w:rPr>
          <w:rFonts w:ascii="Book Antiqua" w:eastAsia="宋体" w:hAnsi="Book Antiqua" w:cs="宋体"/>
          <w:b/>
          <w:bCs/>
          <w:sz w:val="24"/>
          <w:szCs w:val="24"/>
        </w:rPr>
        <w:t xml:space="preserve">Van </w:t>
      </w:r>
      <w:proofErr w:type="spellStart"/>
      <w:r w:rsidR="00264FD1" w:rsidRPr="00A63850">
        <w:rPr>
          <w:rFonts w:ascii="Book Antiqua" w:eastAsia="宋体" w:hAnsi="Book Antiqua" w:cs="宋体"/>
          <w:b/>
          <w:bCs/>
          <w:sz w:val="24"/>
          <w:szCs w:val="24"/>
        </w:rPr>
        <w:t>Assche</w:t>
      </w:r>
      <w:proofErr w:type="spellEnd"/>
      <w:r w:rsidR="00264FD1" w:rsidRPr="00A63850">
        <w:rPr>
          <w:rFonts w:ascii="Book Antiqua" w:eastAsia="宋体" w:hAnsi="Book Antiqua" w:cs="宋体"/>
          <w:b/>
          <w:bCs/>
          <w:sz w:val="24"/>
          <w:szCs w:val="24"/>
        </w:rPr>
        <w:t xml:space="preserve"> G</w:t>
      </w:r>
      <w:r w:rsidR="00264FD1" w:rsidRPr="00A63850">
        <w:rPr>
          <w:rFonts w:ascii="Book Antiqua" w:eastAsia="宋体" w:hAnsi="Book Antiqua" w:cs="宋体"/>
          <w:sz w:val="24"/>
          <w:szCs w:val="24"/>
        </w:rPr>
        <w:t xml:space="preserve">, </w:t>
      </w:r>
      <w:proofErr w:type="spellStart"/>
      <w:r w:rsidR="00264FD1" w:rsidRPr="00A63850">
        <w:rPr>
          <w:rFonts w:ascii="Book Antiqua" w:eastAsia="宋体" w:hAnsi="Book Antiqua" w:cs="宋体"/>
          <w:sz w:val="24"/>
          <w:szCs w:val="24"/>
        </w:rPr>
        <w:t>Vermeire</w:t>
      </w:r>
      <w:proofErr w:type="spellEnd"/>
      <w:r w:rsidR="00264FD1" w:rsidRPr="00A63850">
        <w:rPr>
          <w:rFonts w:ascii="Book Antiqua" w:eastAsia="宋体" w:hAnsi="Book Antiqua" w:cs="宋体"/>
          <w:sz w:val="24"/>
          <w:szCs w:val="24"/>
        </w:rPr>
        <w:t xml:space="preserve"> S, Ballet V, </w:t>
      </w:r>
      <w:proofErr w:type="spellStart"/>
      <w:r w:rsidR="00264FD1" w:rsidRPr="00A63850">
        <w:rPr>
          <w:rFonts w:ascii="Book Antiqua" w:eastAsia="宋体" w:hAnsi="Book Antiqua" w:cs="宋体"/>
          <w:sz w:val="24"/>
          <w:szCs w:val="24"/>
        </w:rPr>
        <w:t>Gabriels</w:t>
      </w:r>
      <w:proofErr w:type="spellEnd"/>
      <w:r w:rsidR="00264FD1" w:rsidRPr="00A63850">
        <w:rPr>
          <w:rFonts w:ascii="Book Antiqua" w:eastAsia="宋体" w:hAnsi="Book Antiqua" w:cs="宋体"/>
          <w:sz w:val="24"/>
          <w:szCs w:val="24"/>
        </w:rPr>
        <w:t xml:space="preserve"> F, </w:t>
      </w:r>
      <w:proofErr w:type="spellStart"/>
      <w:r w:rsidR="00264FD1" w:rsidRPr="00A63850">
        <w:rPr>
          <w:rFonts w:ascii="Book Antiqua" w:eastAsia="宋体" w:hAnsi="Book Antiqua" w:cs="宋体"/>
          <w:sz w:val="24"/>
          <w:szCs w:val="24"/>
        </w:rPr>
        <w:t>Noman</w:t>
      </w:r>
      <w:proofErr w:type="spellEnd"/>
      <w:r w:rsidR="00264FD1" w:rsidRPr="00A63850">
        <w:rPr>
          <w:rFonts w:ascii="Book Antiqua" w:eastAsia="宋体" w:hAnsi="Book Antiqua" w:cs="宋体"/>
          <w:sz w:val="24"/>
          <w:szCs w:val="24"/>
        </w:rPr>
        <w:t xml:space="preserve"> M, </w:t>
      </w:r>
      <w:proofErr w:type="spellStart"/>
      <w:r w:rsidR="00264FD1" w:rsidRPr="00A63850">
        <w:rPr>
          <w:rFonts w:ascii="Book Antiqua" w:eastAsia="宋体" w:hAnsi="Book Antiqua" w:cs="宋体"/>
          <w:sz w:val="24"/>
          <w:szCs w:val="24"/>
        </w:rPr>
        <w:t>D'Haens</w:t>
      </w:r>
      <w:proofErr w:type="spellEnd"/>
      <w:r w:rsidR="00264FD1" w:rsidRPr="00A63850">
        <w:rPr>
          <w:rFonts w:ascii="Book Antiqua" w:eastAsia="宋体" w:hAnsi="Book Antiqua" w:cs="宋体"/>
          <w:sz w:val="24"/>
          <w:szCs w:val="24"/>
        </w:rPr>
        <w:t xml:space="preserve"> G, </w:t>
      </w:r>
      <w:proofErr w:type="spellStart"/>
      <w:r w:rsidR="00264FD1" w:rsidRPr="00A63850">
        <w:rPr>
          <w:rFonts w:ascii="Book Antiqua" w:eastAsia="宋体" w:hAnsi="Book Antiqua" w:cs="宋体"/>
          <w:sz w:val="24"/>
          <w:szCs w:val="24"/>
        </w:rPr>
        <w:t>Claessens</w:t>
      </w:r>
      <w:proofErr w:type="spellEnd"/>
      <w:r w:rsidR="00264FD1" w:rsidRPr="00A63850">
        <w:rPr>
          <w:rFonts w:ascii="Book Antiqua" w:eastAsia="宋体" w:hAnsi="Book Antiqua" w:cs="宋体"/>
          <w:sz w:val="24"/>
          <w:szCs w:val="24"/>
        </w:rPr>
        <w:t xml:space="preserve"> C, </w:t>
      </w:r>
      <w:proofErr w:type="spellStart"/>
      <w:r w:rsidR="00264FD1" w:rsidRPr="00A63850">
        <w:rPr>
          <w:rFonts w:ascii="Book Antiqua" w:eastAsia="宋体" w:hAnsi="Book Antiqua" w:cs="宋体"/>
          <w:sz w:val="24"/>
          <w:szCs w:val="24"/>
        </w:rPr>
        <w:t>Humblet</w:t>
      </w:r>
      <w:proofErr w:type="spellEnd"/>
      <w:r w:rsidR="00264FD1" w:rsidRPr="00A63850">
        <w:rPr>
          <w:rFonts w:ascii="Book Antiqua" w:eastAsia="宋体" w:hAnsi="Book Antiqua" w:cs="宋体"/>
          <w:sz w:val="24"/>
          <w:szCs w:val="24"/>
        </w:rPr>
        <w:t xml:space="preserve"> E, </w:t>
      </w:r>
      <w:proofErr w:type="spellStart"/>
      <w:r w:rsidR="00264FD1" w:rsidRPr="00A63850">
        <w:rPr>
          <w:rFonts w:ascii="Book Antiqua" w:eastAsia="宋体" w:hAnsi="Book Antiqua" w:cs="宋体"/>
          <w:sz w:val="24"/>
          <w:szCs w:val="24"/>
        </w:rPr>
        <w:t>Vande</w:t>
      </w:r>
      <w:proofErr w:type="spellEnd"/>
      <w:r w:rsidR="00264FD1" w:rsidRPr="00A63850">
        <w:rPr>
          <w:rFonts w:ascii="Book Antiqua" w:eastAsia="宋体" w:hAnsi="Book Antiqua" w:cs="宋体"/>
          <w:sz w:val="24"/>
          <w:szCs w:val="24"/>
        </w:rPr>
        <w:t xml:space="preserve"> </w:t>
      </w:r>
      <w:proofErr w:type="spellStart"/>
      <w:r w:rsidR="00264FD1" w:rsidRPr="00A63850">
        <w:rPr>
          <w:rFonts w:ascii="Book Antiqua" w:eastAsia="宋体" w:hAnsi="Book Antiqua" w:cs="宋体"/>
          <w:sz w:val="24"/>
          <w:szCs w:val="24"/>
        </w:rPr>
        <w:t>Casteele</w:t>
      </w:r>
      <w:proofErr w:type="spellEnd"/>
      <w:r w:rsidR="00264FD1" w:rsidRPr="00A63850">
        <w:rPr>
          <w:rFonts w:ascii="Book Antiqua" w:eastAsia="宋体" w:hAnsi="Book Antiqua" w:cs="宋体"/>
          <w:sz w:val="24"/>
          <w:szCs w:val="24"/>
        </w:rPr>
        <w:t xml:space="preserve"> N, Gils A, </w:t>
      </w:r>
      <w:proofErr w:type="spellStart"/>
      <w:r w:rsidR="00264FD1" w:rsidRPr="00A63850">
        <w:rPr>
          <w:rFonts w:ascii="Book Antiqua" w:eastAsia="宋体" w:hAnsi="Book Antiqua" w:cs="宋体"/>
          <w:sz w:val="24"/>
          <w:szCs w:val="24"/>
        </w:rPr>
        <w:t>Rutgeerts</w:t>
      </w:r>
      <w:proofErr w:type="spellEnd"/>
      <w:r w:rsidR="00264FD1" w:rsidRPr="00A63850">
        <w:rPr>
          <w:rFonts w:ascii="Book Antiqua" w:eastAsia="宋体" w:hAnsi="Book Antiqua" w:cs="宋体"/>
          <w:sz w:val="24"/>
          <w:szCs w:val="24"/>
        </w:rPr>
        <w:t xml:space="preserve"> P. Switch to </w:t>
      </w:r>
      <w:proofErr w:type="spellStart"/>
      <w:r w:rsidR="00264FD1" w:rsidRPr="00A63850">
        <w:rPr>
          <w:rFonts w:ascii="Book Antiqua" w:eastAsia="宋体" w:hAnsi="Book Antiqua" w:cs="宋体"/>
          <w:sz w:val="24"/>
          <w:szCs w:val="24"/>
        </w:rPr>
        <w:t>adalimumab</w:t>
      </w:r>
      <w:proofErr w:type="spellEnd"/>
      <w:r w:rsidR="00264FD1" w:rsidRPr="00A63850">
        <w:rPr>
          <w:rFonts w:ascii="Book Antiqua" w:eastAsia="宋体" w:hAnsi="Book Antiqua" w:cs="宋体"/>
          <w:sz w:val="24"/>
          <w:szCs w:val="24"/>
        </w:rPr>
        <w:t xml:space="preserve"> in </w:t>
      </w:r>
      <w:r w:rsidR="00264FD1" w:rsidRPr="00A63850">
        <w:rPr>
          <w:rFonts w:ascii="Book Antiqua" w:eastAsia="宋体" w:hAnsi="Book Antiqua" w:cs="宋体"/>
          <w:sz w:val="24"/>
          <w:szCs w:val="24"/>
        </w:rPr>
        <w:lastRenderedPageBreak/>
        <w:t xml:space="preserve">patients with </w:t>
      </w:r>
      <w:proofErr w:type="spellStart"/>
      <w:r w:rsidR="00264FD1" w:rsidRPr="00A63850">
        <w:rPr>
          <w:rFonts w:ascii="Book Antiqua" w:eastAsia="宋体" w:hAnsi="Book Antiqua" w:cs="宋体"/>
          <w:sz w:val="24"/>
          <w:szCs w:val="24"/>
        </w:rPr>
        <w:t>Crohn's</w:t>
      </w:r>
      <w:proofErr w:type="spellEnd"/>
      <w:r w:rsidR="00264FD1" w:rsidRPr="00A63850">
        <w:rPr>
          <w:rFonts w:ascii="Book Antiqua" w:eastAsia="宋体" w:hAnsi="Book Antiqua" w:cs="宋体"/>
          <w:sz w:val="24"/>
          <w:szCs w:val="24"/>
        </w:rPr>
        <w:t xml:space="preserve"> disease controlled by maintenance infliximab: prospective randomised SWITCH trial. </w:t>
      </w:r>
      <w:r w:rsidR="00264FD1" w:rsidRPr="00A63850">
        <w:rPr>
          <w:rFonts w:ascii="Book Antiqua" w:eastAsia="宋体" w:hAnsi="Book Antiqua" w:cs="宋体"/>
          <w:i/>
          <w:iCs/>
          <w:sz w:val="24"/>
          <w:szCs w:val="24"/>
        </w:rPr>
        <w:t>Gut</w:t>
      </w:r>
      <w:r w:rsidR="00264FD1" w:rsidRPr="00A63850">
        <w:rPr>
          <w:rFonts w:ascii="Book Antiqua" w:eastAsia="宋体" w:hAnsi="Book Antiqua" w:cs="宋体"/>
          <w:sz w:val="24"/>
          <w:szCs w:val="24"/>
        </w:rPr>
        <w:t> 2012; </w:t>
      </w:r>
      <w:r w:rsidR="00264FD1" w:rsidRPr="00A63850">
        <w:rPr>
          <w:rFonts w:ascii="Book Antiqua" w:eastAsia="宋体" w:hAnsi="Book Antiqua" w:cs="宋体"/>
          <w:b/>
          <w:bCs/>
          <w:sz w:val="24"/>
          <w:szCs w:val="24"/>
        </w:rPr>
        <w:t>61</w:t>
      </w:r>
      <w:r w:rsidR="00264FD1" w:rsidRPr="00A63850">
        <w:rPr>
          <w:rFonts w:ascii="Book Antiqua" w:eastAsia="宋体" w:hAnsi="Book Antiqua" w:cs="宋体"/>
          <w:sz w:val="24"/>
          <w:szCs w:val="24"/>
        </w:rPr>
        <w:t>: 229-234 [PMID: 21948942 DOI: 10.1136/gutjnl-2011-300755]</w:t>
      </w:r>
    </w:p>
    <w:p w14:paraId="5308F658" w14:textId="77777777" w:rsidR="00DE32A3" w:rsidRPr="00E75F6C" w:rsidRDefault="00DE32A3" w:rsidP="00AD1560">
      <w:pPr>
        <w:spacing w:after="0" w:line="360" w:lineRule="auto"/>
        <w:jc w:val="both"/>
        <w:rPr>
          <w:rFonts w:ascii="Book Antiqua" w:hAnsi="Book Antiqua"/>
          <w:sz w:val="24"/>
          <w:szCs w:val="24"/>
        </w:rPr>
      </w:pPr>
    </w:p>
    <w:p w14:paraId="19DF6E7B" w14:textId="77777777" w:rsidR="00FF751A" w:rsidRPr="00712F63" w:rsidRDefault="00FF751A" w:rsidP="007C676D">
      <w:pPr>
        <w:pStyle w:val="a3"/>
        <w:spacing w:after="0" w:line="360" w:lineRule="auto"/>
        <w:ind w:left="360" w:right="120"/>
        <w:jc w:val="right"/>
        <w:rPr>
          <w:rFonts w:ascii="Book Antiqua" w:eastAsia="宋体" w:hAnsi="Book Antiqua"/>
          <w:b/>
          <w:bCs/>
          <w:color w:val="000000"/>
          <w:lang w:eastAsia="zh-CN"/>
        </w:rPr>
      </w:pPr>
      <w:bookmarkStart w:id="26" w:name="OLE_LINK277"/>
      <w:bookmarkStart w:id="27" w:name="OLE_LINK278"/>
      <w:bookmarkStart w:id="28" w:name="OLE_LINK279"/>
      <w:bookmarkStart w:id="29" w:name="OLE_LINK290"/>
      <w:bookmarkStart w:id="30" w:name="OLE_LINK301"/>
      <w:bookmarkStart w:id="31" w:name="OLE_LINK312"/>
      <w:bookmarkStart w:id="32" w:name="OLE_LINK315"/>
      <w:bookmarkStart w:id="33" w:name="OLE_LINK316"/>
      <w:bookmarkStart w:id="34" w:name="OLE_LINK317"/>
      <w:bookmarkStart w:id="35" w:name="OLE_LINK318"/>
      <w:bookmarkStart w:id="36" w:name="OLE_LINK326"/>
      <w:bookmarkStart w:id="37" w:name="OLE_LINK335"/>
      <w:bookmarkStart w:id="38" w:name="OLE_LINK339"/>
      <w:bookmarkStart w:id="39" w:name="OLE_LINK348"/>
      <w:bookmarkStart w:id="40" w:name="OLE_LINK399"/>
      <w:bookmarkStart w:id="41" w:name="OLE_LINK419"/>
      <w:bookmarkStart w:id="42" w:name="OLE_LINK420"/>
      <w:bookmarkStart w:id="43" w:name="OLE_LINK423"/>
      <w:bookmarkStart w:id="44" w:name="OLE_LINK449"/>
      <w:bookmarkStart w:id="45" w:name="OLE_LINK450"/>
      <w:bookmarkStart w:id="46" w:name="OLE_LINK454"/>
      <w:bookmarkStart w:id="47" w:name="OLE_LINK461"/>
      <w:bookmarkStart w:id="48" w:name="OLE_LINK471"/>
      <w:bookmarkStart w:id="49" w:name="OLE_LINK474"/>
      <w:bookmarkStart w:id="50" w:name="OLE_LINK407"/>
      <w:bookmarkStart w:id="51" w:name="OLE_LINK494"/>
      <w:bookmarkStart w:id="52" w:name="OLE_LINK506"/>
      <w:bookmarkStart w:id="53" w:name="OLE_LINK519"/>
      <w:bookmarkStart w:id="54" w:name="OLE_LINK8"/>
      <w:bookmarkStart w:id="55" w:name="OLE_LINK87"/>
      <w:bookmarkStart w:id="56" w:name="OLE_LINK556"/>
      <w:bookmarkStart w:id="57" w:name="OLE_LINK602"/>
      <w:bookmarkStart w:id="58" w:name="OLE_LINK576"/>
      <w:r w:rsidRPr="00712F63">
        <w:rPr>
          <w:rStyle w:val="ac"/>
          <w:rFonts w:ascii="Book Antiqua" w:hAnsi="Book Antiqua" w:cs="Arial"/>
          <w:bCs w:val="0"/>
          <w:noProof/>
          <w:color w:val="000000"/>
        </w:rPr>
        <w:t>P-Reviewer</w:t>
      </w:r>
      <w:r w:rsidRPr="00712F63">
        <w:rPr>
          <w:rStyle w:val="ac"/>
          <w:rFonts w:ascii="Book Antiqua" w:eastAsia="宋体" w:hAnsi="Book Antiqua" w:cs="Arial"/>
          <w:bCs w:val="0"/>
          <w:noProof/>
          <w:color w:val="000000"/>
          <w:lang w:eastAsia="zh-CN"/>
        </w:rPr>
        <w:t>:</w:t>
      </w:r>
      <w:r w:rsidRPr="00712F63">
        <w:rPr>
          <w:rFonts w:ascii="Book Antiqua" w:hAnsi="Book Antiqua"/>
          <w:bCs/>
          <w:color w:val="000000"/>
        </w:rPr>
        <w:t xml:space="preserve"> </w:t>
      </w:r>
      <w:proofErr w:type="spellStart"/>
      <w:r w:rsidR="000F0CDF">
        <w:rPr>
          <w:rFonts w:ascii="Book Antiqua" w:hAnsi="Book Antiqua"/>
          <w:bCs/>
          <w:color w:val="000000"/>
        </w:rPr>
        <w:t>Popadic</w:t>
      </w:r>
      <w:proofErr w:type="spellEnd"/>
      <w:r w:rsidR="000F0CDF" w:rsidRPr="000F0CDF">
        <w:rPr>
          <w:rFonts w:ascii="Book Antiqua" w:hAnsi="Book Antiqua"/>
          <w:bCs/>
          <w:color w:val="000000"/>
        </w:rPr>
        <w:t xml:space="preserve"> D</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14:paraId="2B9E165D" w14:textId="77777777" w:rsidR="007F04D1" w:rsidRDefault="007F04D1" w:rsidP="00AD1560">
      <w:pPr>
        <w:spacing w:after="0" w:line="360" w:lineRule="auto"/>
        <w:jc w:val="both"/>
        <w:rPr>
          <w:rFonts w:ascii="Book Antiqua" w:hAnsi="Book Antiqua"/>
          <w:sz w:val="24"/>
          <w:szCs w:val="24"/>
        </w:rPr>
      </w:pPr>
    </w:p>
    <w:p w14:paraId="6ACCB1AB" w14:textId="77777777" w:rsidR="00B24C1E" w:rsidRDefault="00B24C1E" w:rsidP="00AD1560">
      <w:pPr>
        <w:spacing w:after="0" w:line="360" w:lineRule="auto"/>
        <w:jc w:val="both"/>
        <w:rPr>
          <w:rFonts w:ascii="Book Antiqua" w:hAnsi="Book Antiqua"/>
          <w:sz w:val="24"/>
          <w:szCs w:val="24"/>
        </w:rPr>
      </w:pPr>
    </w:p>
    <w:p w14:paraId="49C8DCB0" w14:textId="77777777" w:rsidR="00B24C1E" w:rsidRDefault="00B24C1E" w:rsidP="00AD1560">
      <w:pPr>
        <w:spacing w:after="0" w:line="360" w:lineRule="auto"/>
        <w:jc w:val="both"/>
        <w:rPr>
          <w:rFonts w:ascii="Book Antiqua" w:hAnsi="Book Antiqua"/>
          <w:sz w:val="24"/>
          <w:szCs w:val="24"/>
        </w:rPr>
      </w:pPr>
    </w:p>
    <w:p w14:paraId="39C7379C" w14:textId="77777777" w:rsidR="00B24C1E" w:rsidRDefault="00B24C1E" w:rsidP="00AD1560">
      <w:pPr>
        <w:spacing w:after="0" w:line="360" w:lineRule="auto"/>
        <w:jc w:val="both"/>
        <w:rPr>
          <w:rFonts w:ascii="Book Antiqua" w:hAnsi="Book Antiqua"/>
          <w:sz w:val="24"/>
          <w:szCs w:val="24"/>
        </w:rPr>
      </w:pPr>
    </w:p>
    <w:p w14:paraId="2AAD3630" w14:textId="77777777" w:rsidR="00B24C1E" w:rsidRDefault="00B24C1E" w:rsidP="00AD1560">
      <w:pPr>
        <w:spacing w:after="0" w:line="360" w:lineRule="auto"/>
        <w:jc w:val="both"/>
        <w:rPr>
          <w:rFonts w:ascii="Book Antiqua" w:hAnsi="Book Antiqua"/>
          <w:sz w:val="24"/>
          <w:szCs w:val="24"/>
        </w:rPr>
      </w:pPr>
    </w:p>
    <w:p w14:paraId="52049319" w14:textId="77777777" w:rsidR="00B24C1E" w:rsidRDefault="00B24C1E" w:rsidP="00AD1560">
      <w:pPr>
        <w:spacing w:after="0" w:line="360" w:lineRule="auto"/>
        <w:jc w:val="both"/>
        <w:rPr>
          <w:rFonts w:ascii="Book Antiqua" w:hAnsi="Book Antiqua"/>
          <w:sz w:val="24"/>
          <w:szCs w:val="24"/>
        </w:rPr>
      </w:pPr>
    </w:p>
    <w:p w14:paraId="148C00C0" w14:textId="77777777" w:rsidR="00B24C1E" w:rsidRDefault="00B24C1E" w:rsidP="00AD1560">
      <w:pPr>
        <w:spacing w:after="0" w:line="360" w:lineRule="auto"/>
        <w:jc w:val="both"/>
        <w:rPr>
          <w:rFonts w:ascii="Book Antiqua" w:hAnsi="Book Antiqua"/>
          <w:sz w:val="24"/>
          <w:szCs w:val="24"/>
        </w:rPr>
      </w:pPr>
    </w:p>
    <w:p w14:paraId="5A0570FB" w14:textId="77777777" w:rsidR="000F0CDF" w:rsidRDefault="000F0CDF">
      <w:pPr>
        <w:rPr>
          <w:rFonts w:ascii="Book Antiqua" w:hAnsi="Book Antiqua"/>
          <w:sz w:val="24"/>
          <w:szCs w:val="24"/>
        </w:rPr>
      </w:pPr>
      <w:r>
        <w:rPr>
          <w:rFonts w:ascii="Book Antiqua" w:hAnsi="Book Antiqua"/>
          <w:sz w:val="24"/>
          <w:szCs w:val="24"/>
        </w:rPr>
        <w:br w:type="page"/>
      </w:r>
    </w:p>
    <w:p w14:paraId="1DCC45F8" w14:textId="1A0E5BA1" w:rsidR="007F04D1" w:rsidRPr="000F0CDF" w:rsidRDefault="007F04D1" w:rsidP="00AD1560">
      <w:pPr>
        <w:spacing w:after="0" w:line="360" w:lineRule="auto"/>
        <w:jc w:val="both"/>
        <w:rPr>
          <w:rFonts w:ascii="Book Antiqua" w:hAnsi="Book Antiqua"/>
          <w:b/>
          <w:sz w:val="24"/>
          <w:szCs w:val="24"/>
        </w:rPr>
      </w:pPr>
      <w:r w:rsidRPr="000F0CDF">
        <w:rPr>
          <w:rFonts w:ascii="Book Antiqua" w:hAnsi="Book Antiqua"/>
          <w:b/>
          <w:sz w:val="24"/>
          <w:szCs w:val="24"/>
        </w:rPr>
        <w:lastRenderedPageBreak/>
        <w:t>Table 1</w:t>
      </w:r>
      <w:r w:rsidR="000F0CDF" w:rsidRPr="000F0CDF">
        <w:rPr>
          <w:rFonts w:ascii="Book Antiqua" w:hAnsi="Book Antiqua" w:hint="eastAsia"/>
          <w:b/>
          <w:sz w:val="24"/>
          <w:szCs w:val="24"/>
          <w:lang w:eastAsia="zh-CN"/>
        </w:rPr>
        <w:t xml:space="preserve"> </w:t>
      </w:r>
      <w:r w:rsidR="007C676D">
        <w:rPr>
          <w:rFonts w:ascii="Book Antiqua" w:hAnsi="Book Antiqua"/>
          <w:b/>
          <w:sz w:val="24"/>
          <w:szCs w:val="24"/>
        </w:rPr>
        <w:t>Detecting Anti-TNF</w:t>
      </w:r>
      <w:r w:rsidR="0055492C">
        <w:rPr>
          <w:rFonts w:ascii="Book Antiqua" w:hAnsi="Book Antiqua"/>
          <w:b/>
          <w:sz w:val="24"/>
          <w:szCs w:val="24"/>
        </w:rPr>
        <w:sym w:font="Symbol" w:char="F061"/>
      </w:r>
      <w:bookmarkStart w:id="59" w:name="_GoBack"/>
      <w:bookmarkEnd w:id="59"/>
      <w:r w:rsidR="007C676D">
        <w:rPr>
          <w:rFonts w:ascii="Book Antiqua" w:hAnsi="Book Antiqua"/>
          <w:b/>
          <w:sz w:val="24"/>
          <w:szCs w:val="24"/>
        </w:rPr>
        <w:t xml:space="preserve"> trough </w:t>
      </w:r>
      <w:r w:rsidRPr="000F0CDF">
        <w:rPr>
          <w:rFonts w:ascii="Book Antiqua" w:hAnsi="Book Antiqua"/>
          <w:b/>
          <w:sz w:val="24"/>
          <w:szCs w:val="24"/>
        </w:rPr>
        <w:t xml:space="preserve">levels </w:t>
      </w:r>
    </w:p>
    <w:p w14:paraId="40A50D71" w14:textId="77777777" w:rsidR="007F04D1" w:rsidRPr="007F04D1" w:rsidRDefault="007F04D1" w:rsidP="00AD1560">
      <w:pPr>
        <w:spacing w:after="0" w:line="360" w:lineRule="auto"/>
        <w:jc w:val="both"/>
        <w:rPr>
          <w:rFonts w:ascii="Book Antiqua" w:hAnsi="Book Antiqua"/>
          <w:sz w:val="24"/>
          <w:szCs w:val="24"/>
        </w:rPr>
      </w:pPr>
    </w:p>
    <w:tbl>
      <w:tblPr>
        <w:tblStyle w:val="a4"/>
        <w:tblW w:w="9781" w:type="dxa"/>
        <w:tblInd w:w="-45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9"/>
        <w:gridCol w:w="621"/>
        <w:gridCol w:w="2693"/>
        <w:gridCol w:w="567"/>
        <w:gridCol w:w="1204"/>
        <w:gridCol w:w="1915"/>
        <w:gridCol w:w="992"/>
      </w:tblGrid>
      <w:tr w:rsidR="00C464F8" w:rsidRPr="007F04D1" w14:paraId="055119B4" w14:textId="77777777" w:rsidTr="00A40C38">
        <w:trPr>
          <w:trHeight w:val="1027"/>
        </w:trPr>
        <w:tc>
          <w:tcPr>
            <w:tcW w:w="1789" w:type="dxa"/>
            <w:tcBorders>
              <w:top w:val="single" w:sz="4" w:space="0" w:color="auto"/>
              <w:bottom w:val="single" w:sz="4" w:space="0" w:color="auto"/>
            </w:tcBorders>
          </w:tcPr>
          <w:p w14:paraId="1701736E" w14:textId="77777777" w:rsidR="00C464F8" w:rsidRPr="000F0CDF" w:rsidRDefault="00C464F8" w:rsidP="00AD1560">
            <w:pPr>
              <w:spacing w:line="360" w:lineRule="auto"/>
              <w:jc w:val="both"/>
              <w:rPr>
                <w:rFonts w:ascii="Book Antiqua" w:hAnsi="Book Antiqua"/>
                <w:b/>
                <w:sz w:val="24"/>
                <w:szCs w:val="24"/>
              </w:rPr>
            </w:pPr>
            <w:r w:rsidRPr="000F0CDF">
              <w:rPr>
                <w:rFonts w:ascii="Book Antiqua" w:hAnsi="Book Antiqua"/>
                <w:b/>
                <w:sz w:val="24"/>
                <w:szCs w:val="24"/>
              </w:rPr>
              <w:t>Study</w:t>
            </w:r>
          </w:p>
        </w:tc>
        <w:tc>
          <w:tcPr>
            <w:tcW w:w="621" w:type="dxa"/>
            <w:tcBorders>
              <w:top w:val="single" w:sz="4" w:space="0" w:color="auto"/>
              <w:bottom w:val="single" w:sz="4" w:space="0" w:color="auto"/>
            </w:tcBorders>
          </w:tcPr>
          <w:p w14:paraId="2DB61276" w14:textId="77777777" w:rsidR="00C464F8" w:rsidRPr="000F0CDF" w:rsidRDefault="00C464F8" w:rsidP="00AD1560">
            <w:pPr>
              <w:spacing w:line="360" w:lineRule="auto"/>
              <w:jc w:val="both"/>
              <w:rPr>
                <w:rFonts w:ascii="Book Antiqua" w:hAnsi="Book Antiqua"/>
                <w:b/>
                <w:sz w:val="24"/>
                <w:szCs w:val="24"/>
              </w:rPr>
            </w:pPr>
          </w:p>
        </w:tc>
        <w:tc>
          <w:tcPr>
            <w:tcW w:w="2693" w:type="dxa"/>
            <w:tcBorders>
              <w:top w:val="single" w:sz="4" w:space="0" w:color="auto"/>
              <w:bottom w:val="single" w:sz="4" w:space="0" w:color="auto"/>
            </w:tcBorders>
          </w:tcPr>
          <w:p w14:paraId="3CEF07FE" w14:textId="77777777" w:rsidR="00C464F8" w:rsidRPr="000F0CDF" w:rsidRDefault="00C464F8" w:rsidP="00AD1560">
            <w:pPr>
              <w:spacing w:line="360" w:lineRule="auto"/>
              <w:jc w:val="both"/>
              <w:rPr>
                <w:rFonts w:ascii="Book Antiqua" w:hAnsi="Book Antiqua"/>
                <w:b/>
                <w:sz w:val="24"/>
                <w:szCs w:val="24"/>
              </w:rPr>
            </w:pPr>
            <w:r w:rsidRPr="000F0CDF">
              <w:rPr>
                <w:rFonts w:ascii="Book Antiqua" w:hAnsi="Book Antiqua"/>
                <w:b/>
                <w:sz w:val="24"/>
                <w:szCs w:val="24"/>
              </w:rPr>
              <w:t>Technique</w:t>
            </w:r>
          </w:p>
        </w:tc>
        <w:tc>
          <w:tcPr>
            <w:tcW w:w="567" w:type="dxa"/>
            <w:tcBorders>
              <w:top w:val="single" w:sz="4" w:space="0" w:color="auto"/>
              <w:bottom w:val="single" w:sz="4" w:space="0" w:color="auto"/>
            </w:tcBorders>
          </w:tcPr>
          <w:p w14:paraId="39126DEC" w14:textId="77777777" w:rsidR="00C464F8" w:rsidRPr="000F0CDF" w:rsidRDefault="00C464F8" w:rsidP="00AD1560">
            <w:pPr>
              <w:spacing w:line="360" w:lineRule="auto"/>
              <w:jc w:val="both"/>
              <w:rPr>
                <w:rFonts w:ascii="Book Antiqua" w:hAnsi="Book Antiqua"/>
                <w:b/>
                <w:sz w:val="24"/>
                <w:szCs w:val="24"/>
              </w:rPr>
            </w:pPr>
          </w:p>
        </w:tc>
        <w:tc>
          <w:tcPr>
            <w:tcW w:w="3119" w:type="dxa"/>
            <w:gridSpan w:val="2"/>
            <w:tcBorders>
              <w:top w:val="single" w:sz="4" w:space="0" w:color="auto"/>
              <w:bottom w:val="single" w:sz="4" w:space="0" w:color="auto"/>
            </w:tcBorders>
          </w:tcPr>
          <w:p w14:paraId="130FB7A0" w14:textId="77777777" w:rsidR="00C464F8" w:rsidRPr="000F0CDF" w:rsidRDefault="00C464F8" w:rsidP="00AD1560">
            <w:pPr>
              <w:spacing w:line="360" w:lineRule="auto"/>
              <w:jc w:val="both"/>
              <w:rPr>
                <w:rFonts w:ascii="Book Antiqua" w:hAnsi="Book Antiqua"/>
                <w:b/>
                <w:sz w:val="24"/>
                <w:szCs w:val="24"/>
              </w:rPr>
            </w:pPr>
            <w:r w:rsidRPr="000F0CDF">
              <w:rPr>
                <w:rFonts w:ascii="Book Antiqua" w:hAnsi="Book Antiqua"/>
                <w:b/>
                <w:sz w:val="24"/>
                <w:szCs w:val="24"/>
              </w:rPr>
              <w:t>Key Points</w:t>
            </w:r>
          </w:p>
        </w:tc>
        <w:tc>
          <w:tcPr>
            <w:tcW w:w="992" w:type="dxa"/>
            <w:tcBorders>
              <w:top w:val="single" w:sz="4" w:space="0" w:color="auto"/>
              <w:bottom w:val="single" w:sz="4" w:space="0" w:color="auto"/>
            </w:tcBorders>
          </w:tcPr>
          <w:p w14:paraId="5D043423" w14:textId="77777777" w:rsidR="00C464F8" w:rsidRPr="000F0CDF" w:rsidRDefault="00C464F8" w:rsidP="00AD1560">
            <w:pPr>
              <w:spacing w:line="360" w:lineRule="auto"/>
              <w:jc w:val="both"/>
              <w:rPr>
                <w:rFonts w:ascii="Book Antiqua" w:hAnsi="Book Antiqua"/>
                <w:b/>
                <w:sz w:val="24"/>
                <w:szCs w:val="24"/>
              </w:rPr>
            </w:pPr>
          </w:p>
        </w:tc>
      </w:tr>
      <w:tr w:rsidR="00C464F8" w:rsidRPr="007F04D1" w14:paraId="5B567A4A" w14:textId="77777777" w:rsidTr="007C676D">
        <w:trPr>
          <w:gridAfter w:val="2"/>
          <w:wAfter w:w="2907" w:type="dxa"/>
          <w:trHeight w:val="1027"/>
        </w:trPr>
        <w:tc>
          <w:tcPr>
            <w:tcW w:w="1789" w:type="dxa"/>
          </w:tcPr>
          <w:p w14:paraId="1353D2F4" w14:textId="77777777" w:rsidR="00C464F8" w:rsidRPr="007F04D1" w:rsidRDefault="00C464F8" w:rsidP="00AD1560">
            <w:pPr>
              <w:spacing w:line="360" w:lineRule="auto"/>
              <w:jc w:val="both"/>
              <w:rPr>
                <w:rFonts w:ascii="Book Antiqua" w:hAnsi="Book Antiqua"/>
                <w:sz w:val="24"/>
                <w:szCs w:val="24"/>
              </w:rPr>
            </w:pPr>
            <w:proofErr w:type="spellStart"/>
            <w:r>
              <w:rPr>
                <w:rFonts w:ascii="Book Antiqua" w:hAnsi="Book Antiqua"/>
                <w:sz w:val="24"/>
                <w:szCs w:val="24"/>
              </w:rPr>
              <w:t>Ternant</w:t>
            </w:r>
            <w:proofErr w:type="spellEnd"/>
            <w:r w:rsidRPr="000F0CDF">
              <w:rPr>
                <w:rFonts w:ascii="Book Antiqua" w:hAnsi="Book Antiqua"/>
                <w:i/>
                <w:sz w:val="24"/>
                <w:szCs w:val="24"/>
              </w:rPr>
              <w:t xml:space="preserve"> et al</w:t>
            </w:r>
            <w:r w:rsidR="00523E72" w:rsidRPr="00523E72">
              <w:rPr>
                <w:rFonts w:ascii="Book Antiqua" w:hAnsi="Book Antiqua"/>
                <w:sz w:val="24"/>
                <w:szCs w:val="24"/>
                <w:vertAlign w:val="superscript"/>
              </w:rPr>
              <w:t>[</w:t>
            </w:r>
            <w:r w:rsidR="006F39C6">
              <w:rPr>
                <w:rFonts w:ascii="Book Antiqua" w:hAnsi="Book Antiqua"/>
                <w:sz w:val="24"/>
                <w:szCs w:val="24"/>
                <w:vertAlign w:val="superscript"/>
              </w:rPr>
              <w:t>21</w:t>
            </w:r>
            <w:r w:rsidR="006F39C6" w:rsidRPr="006F39C6">
              <w:rPr>
                <w:rFonts w:ascii="Book Antiqua" w:hAnsi="Book Antiqua"/>
                <w:sz w:val="24"/>
                <w:szCs w:val="24"/>
                <w:vertAlign w:val="superscript"/>
              </w:rPr>
              <w:t>]</w:t>
            </w:r>
          </w:p>
        </w:tc>
        <w:tc>
          <w:tcPr>
            <w:tcW w:w="621" w:type="dxa"/>
          </w:tcPr>
          <w:p w14:paraId="11D095D6" w14:textId="77777777" w:rsidR="00C464F8" w:rsidRPr="00C464F8" w:rsidRDefault="00C464F8" w:rsidP="00AD1560">
            <w:pPr>
              <w:spacing w:line="360" w:lineRule="auto"/>
              <w:jc w:val="both"/>
              <w:rPr>
                <w:rFonts w:ascii="Book Antiqua" w:hAnsi="Book Antiqua"/>
                <w:sz w:val="24"/>
                <w:szCs w:val="24"/>
              </w:rPr>
            </w:pPr>
          </w:p>
        </w:tc>
        <w:tc>
          <w:tcPr>
            <w:tcW w:w="2693" w:type="dxa"/>
          </w:tcPr>
          <w:p w14:paraId="0A10F941" w14:textId="77777777" w:rsidR="00C464F8" w:rsidRPr="00C464F8" w:rsidRDefault="00C464F8" w:rsidP="00AD1560">
            <w:pPr>
              <w:spacing w:line="360" w:lineRule="auto"/>
              <w:jc w:val="both"/>
              <w:rPr>
                <w:rFonts w:ascii="Book Antiqua" w:hAnsi="Book Antiqua"/>
                <w:sz w:val="24"/>
                <w:szCs w:val="24"/>
              </w:rPr>
            </w:pPr>
            <w:r w:rsidRPr="00C464F8">
              <w:rPr>
                <w:rFonts w:ascii="Book Antiqua" w:hAnsi="Book Antiqua"/>
                <w:sz w:val="24"/>
                <w:szCs w:val="24"/>
              </w:rPr>
              <w:t>ELISA</w:t>
            </w:r>
          </w:p>
          <w:p w14:paraId="4836E32B" w14:textId="77777777" w:rsidR="00C464F8" w:rsidRPr="007F04D1" w:rsidRDefault="00C464F8" w:rsidP="00AD1560">
            <w:pPr>
              <w:spacing w:line="360" w:lineRule="auto"/>
              <w:jc w:val="both"/>
              <w:rPr>
                <w:rFonts w:ascii="Book Antiqua" w:hAnsi="Book Antiqua"/>
                <w:sz w:val="24"/>
                <w:szCs w:val="24"/>
              </w:rPr>
            </w:pPr>
          </w:p>
        </w:tc>
        <w:tc>
          <w:tcPr>
            <w:tcW w:w="567" w:type="dxa"/>
          </w:tcPr>
          <w:p w14:paraId="7CB5B711" w14:textId="77777777" w:rsidR="00C464F8" w:rsidRPr="007F04D1" w:rsidRDefault="00C464F8" w:rsidP="00AD1560">
            <w:pPr>
              <w:spacing w:line="360" w:lineRule="auto"/>
              <w:jc w:val="both"/>
              <w:rPr>
                <w:rFonts w:ascii="Book Antiqua" w:hAnsi="Book Antiqua"/>
                <w:sz w:val="24"/>
                <w:szCs w:val="24"/>
              </w:rPr>
            </w:pPr>
          </w:p>
        </w:tc>
        <w:tc>
          <w:tcPr>
            <w:tcW w:w="1204" w:type="dxa"/>
          </w:tcPr>
          <w:p w14:paraId="623D0E32" w14:textId="77777777" w:rsidR="00C464F8" w:rsidRPr="007F04D1" w:rsidRDefault="00C464F8" w:rsidP="00AD1560">
            <w:pPr>
              <w:spacing w:line="360" w:lineRule="auto"/>
              <w:jc w:val="both"/>
              <w:rPr>
                <w:rFonts w:ascii="Book Antiqua" w:hAnsi="Book Antiqua"/>
                <w:sz w:val="24"/>
                <w:szCs w:val="24"/>
              </w:rPr>
            </w:pPr>
          </w:p>
        </w:tc>
      </w:tr>
      <w:tr w:rsidR="00C464F8" w:rsidRPr="007F04D1" w14:paraId="4C5964A9" w14:textId="77777777" w:rsidTr="007C676D">
        <w:trPr>
          <w:gridAfter w:val="3"/>
          <w:wAfter w:w="4111" w:type="dxa"/>
          <w:trHeight w:val="1468"/>
        </w:trPr>
        <w:tc>
          <w:tcPr>
            <w:tcW w:w="1789" w:type="dxa"/>
          </w:tcPr>
          <w:p w14:paraId="1F9E58D4" w14:textId="77777777" w:rsidR="00C464F8" w:rsidRPr="007F04D1" w:rsidRDefault="00C464F8" w:rsidP="000F0CDF">
            <w:pPr>
              <w:spacing w:line="360" w:lineRule="auto"/>
              <w:jc w:val="both"/>
              <w:rPr>
                <w:rFonts w:ascii="Book Antiqua" w:hAnsi="Book Antiqua"/>
                <w:sz w:val="24"/>
                <w:szCs w:val="24"/>
              </w:rPr>
            </w:pPr>
            <w:proofErr w:type="spellStart"/>
            <w:r>
              <w:rPr>
                <w:rFonts w:ascii="Book Antiqua" w:hAnsi="Book Antiqua"/>
                <w:sz w:val="24"/>
                <w:szCs w:val="24"/>
              </w:rPr>
              <w:t>Vande</w:t>
            </w:r>
            <w:proofErr w:type="spellEnd"/>
            <w:r>
              <w:rPr>
                <w:rFonts w:ascii="Book Antiqua" w:hAnsi="Book Antiqua"/>
                <w:sz w:val="24"/>
                <w:szCs w:val="24"/>
              </w:rPr>
              <w:t xml:space="preserve"> </w:t>
            </w:r>
            <w:proofErr w:type="spellStart"/>
            <w:r>
              <w:rPr>
                <w:rFonts w:ascii="Book Antiqua" w:hAnsi="Book Antiqua"/>
                <w:sz w:val="24"/>
                <w:szCs w:val="24"/>
              </w:rPr>
              <w:t>Casteele</w:t>
            </w:r>
            <w:proofErr w:type="spellEnd"/>
            <w:r>
              <w:rPr>
                <w:rFonts w:ascii="Book Antiqua" w:hAnsi="Book Antiqua"/>
                <w:sz w:val="24"/>
                <w:szCs w:val="24"/>
              </w:rPr>
              <w:t xml:space="preserve"> </w:t>
            </w:r>
            <w:r w:rsidR="000F0CDF" w:rsidRPr="000F0CDF">
              <w:rPr>
                <w:rFonts w:ascii="Book Antiqua" w:hAnsi="Book Antiqua"/>
                <w:i/>
                <w:sz w:val="24"/>
                <w:szCs w:val="24"/>
              </w:rPr>
              <w:t>et al</w:t>
            </w:r>
            <w:r w:rsidR="000F0CDF" w:rsidRPr="00523E72">
              <w:rPr>
                <w:rFonts w:ascii="Book Antiqua" w:hAnsi="Book Antiqua"/>
                <w:sz w:val="24"/>
                <w:szCs w:val="24"/>
                <w:vertAlign w:val="superscript"/>
              </w:rPr>
              <w:t>[</w:t>
            </w:r>
            <w:r w:rsidR="000F0CDF">
              <w:rPr>
                <w:rFonts w:ascii="Book Antiqua" w:hAnsi="Book Antiqua" w:hint="eastAsia"/>
                <w:sz w:val="24"/>
                <w:szCs w:val="24"/>
                <w:vertAlign w:val="superscript"/>
                <w:lang w:eastAsia="zh-CN"/>
              </w:rPr>
              <w:t>24</w:t>
            </w:r>
            <w:r w:rsidR="000F0CDF" w:rsidRPr="006F39C6">
              <w:rPr>
                <w:rFonts w:ascii="Book Antiqua" w:hAnsi="Book Antiqua"/>
                <w:sz w:val="24"/>
                <w:szCs w:val="24"/>
                <w:vertAlign w:val="superscript"/>
              </w:rPr>
              <w:t>]</w:t>
            </w:r>
          </w:p>
        </w:tc>
        <w:tc>
          <w:tcPr>
            <w:tcW w:w="621" w:type="dxa"/>
          </w:tcPr>
          <w:p w14:paraId="18C27EBB" w14:textId="77777777" w:rsidR="00C464F8" w:rsidRDefault="00C464F8" w:rsidP="00AD1560">
            <w:pPr>
              <w:spacing w:line="360" w:lineRule="auto"/>
              <w:jc w:val="both"/>
              <w:rPr>
                <w:rFonts w:ascii="Book Antiqua" w:hAnsi="Book Antiqua"/>
                <w:sz w:val="24"/>
                <w:szCs w:val="24"/>
              </w:rPr>
            </w:pPr>
          </w:p>
        </w:tc>
        <w:tc>
          <w:tcPr>
            <w:tcW w:w="2693" w:type="dxa"/>
          </w:tcPr>
          <w:p w14:paraId="78848ADF" w14:textId="77777777" w:rsidR="00C464F8" w:rsidRPr="007F04D1" w:rsidRDefault="00C464F8" w:rsidP="00AD1560">
            <w:pPr>
              <w:spacing w:line="360" w:lineRule="auto"/>
              <w:jc w:val="both"/>
              <w:rPr>
                <w:rFonts w:ascii="Book Antiqua" w:hAnsi="Book Antiqua"/>
                <w:sz w:val="24"/>
                <w:szCs w:val="24"/>
              </w:rPr>
            </w:pPr>
            <w:r>
              <w:rPr>
                <w:rFonts w:ascii="Book Antiqua" w:hAnsi="Book Antiqua"/>
                <w:sz w:val="24"/>
                <w:szCs w:val="24"/>
              </w:rPr>
              <w:t>ELISA</w:t>
            </w:r>
          </w:p>
        </w:tc>
        <w:tc>
          <w:tcPr>
            <w:tcW w:w="567" w:type="dxa"/>
          </w:tcPr>
          <w:p w14:paraId="0FD07D08" w14:textId="77777777" w:rsidR="00C464F8" w:rsidRDefault="00C464F8" w:rsidP="00AD1560">
            <w:pPr>
              <w:spacing w:line="360" w:lineRule="auto"/>
              <w:jc w:val="both"/>
              <w:rPr>
                <w:rFonts w:ascii="Book Antiqua" w:hAnsi="Book Antiqua"/>
                <w:sz w:val="24"/>
                <w:szCs w:val="24"/>
              </w:rPr>
            </w:pPr>
          </w:p>
        </w:tc>
      </w:tr>
      <w:tr w:rsidR="00C464F8" w:rsidRPr="007F04D1" w14:paraId="5526C49B" w14:textId="77777777" w:rsidTr="00A40C38">
        <w:trPr>
          <w:trHeight w:val="2348"/>
        </w:trPr>
        <w:tc>
          <w:tcPr>
            <w:tcW w:w="1789" w:type="dxa"/>
          </w:tcPr>
          <w:p w14:paraId="1C778F8C" w14:textId="77777777" w:rsidR="00C464F8" w:rsidRPr="007F04D1" w:rsidRDefault="00C464F8" w:rsidP="000F0CDF">
            <w:pPr>
              <w:spacing w:line="360" w:lineRule="auto"/>
              <w:jc w:val="both"/>
              <w:rPr>
                <w:rFonts w:ascii="Book Antiqua" w:hAnsi="Book Antiqua"/>
                <w:sz w:val="24"/>
                <w:szCs w:val="24"/>
              </w:rPr>
            </w:pPr>
            <w:r>
              <w:rPr>
                <w:rFonts w:ascii="Book Antiqua" w:hAnsi="Book Antiqua"/>
                <w:sz w:val="24"/>
                <w:szCs w:val="24"/>
              </w:rPr>
              <w:t xml:space="preserve">Lu </w:t>
            </w:r>
            <w:r w:rsidR="000F0CDF" w:rsidRPr="000F0CDF">
              <w:rPr>
                <w:rFonts w:ascii="Book Antiqua" w:hAnsi="Book Antiqua"/>
                <w:i/>
                <w:sz w:val="24"/>
                <w:szCs w:val="24"/>
              </w:rPr>
              <w:t>et al</w:t>
            </w:r>
            <w:r w:rsidR="000F0CDF" w:rsidRPr="00523E72">
              <w:rPr>
                <w:rFonts w:ascii="Book Antiqua" w:hAnsi="Book Antiqua"/>
                <w:sz w:val="24"/>
                <w:szCs w:val="24"/>
                <w:vertAlign w:val="superscript"/>
              </w:rPr>
              <w:t>[</w:t>
            </w:r>
            <w:r w:rsidR="000F0CDF">
              <w:rPr>
                <w:rFonts w:ascii="Book Antiqua" w:hAnsi="Book Antiqua" w:hint="eastAsia"/>
                <w:sz w:val="24"/>
                <w:szCs w:val="24"/>
                <w:vertAlign w:val="superscript"/>
                <w:lang w:eastAsia="zh-CN"/>
              </w:rPr>
              <w:t>26</w:t>
            </w:r>
            <w:r w:rsidR="000F0CDF" w:rsidRPr="006F39C6">
              <w:rPr>
                <w:rFonts w:ascii="Book Antiqua" w:hAnsi="Book Antiqua"/>
                <w:sz w:val="24"/>
                <w:szCs w:val="24"/>
                <w:vertAlign w:val="superscript"/>
              </w:rPr>
              <w:t>]</w:t>
            </w:r>
          </w:p>
        </w:tc>
        <w:tc>
          <w:tcPr>
            <w:tcW w:w="621" w:type="dxa"/>
          </w:tcPr>
          <w:p w14:paraId="31CAB3C5" w14:textId="77777777" w:rsidR="00C464F8" w:rsidRPr="00C464F8" w:rsidRDefault="00C464F8" w:rsidP="00AD1560">
            <w:pPr>
              <w:spacing w:line="360" w:lineRule="auto"/>
              <w:jc w:val="both"/>
              <w:rPr>
                <w:rFonts w:ascii="Book Antiqua" w:hAnsi="Book Antiqua"/>
                <w:sz w:val="24"/>
                <w:szCs w:val="24"/>
              </w:rPr>
            </w:pPr>
          </w:p>
        </w:tc>
        <w:tc>
          <w:tcPr>
            <w:tcW w:w="2693" w:type="dxa"/>
          </w:tcPr>
          <w:p w14:paraId="485F521A" w14:textId="77777777" w:rsidR="00C464F8" w:rsidRPr="007F04D1" w:rsidRDefault="00C464F8" w:rsidP="00AD1560">
            <w:pPr>
              <w:spacing w:line="360" w:lineRule="auto"/>
              <w:jc w:val="both"/>
              <w:rPr>
                <w:rFonts w:ascii="Book Antiqua" w:hAnsi="Book Antiqua"/>
                <w:sz w:val="24"/>
                <w:szCs w:val="24"/>
              </w:rPr>
            </w:pPr>
            <w:proofErr w:type="spellStart"/>
            <w:r w:rsidRPr="00C464F8">
              <w:rPr>
                <w:rFonts w:ascii="Book Antiqua" w:hAnsi="Book Antiqua"/>
                <w:sz w:val="24"/>
                <w:szCs w:val="24"/>
              </w:rPr>
              <w:t>Fiber</w:t>
            </w:r>
            <w:proofErr w:type="spellEnd"/>
            <w:r w:rsidRPr="00C464F8">
              <w:rPr>
                <w:rFonts w:ascii="Book Antiqua" w:hAnsi="Book Antiqua"/>
                <w:sz w:val="24"/>
                <w:szCs w:val="24"/>
              </w:rPr>
              <w:t xml:space="preserve"> optic-SPR based sandwich bioassay</w:t>
            </w:r>
          </w:p>
        </w:tc>
        <w:tc>
          <w:tcPr>
            <w:tcW w:w="567" w:type="dxa"/>
          </w:tcPr>
          <w:p w14:paraId="0BDD7881" w14:textId="77777777" w:rsidR="00C464F8" w:rsidRPr="00C464F8" w:rsidRDefault="00C464F8" w:rsidP="00AD1560">
            <w:pPr>
              <w:spacing w:line="360" w:lineRule="auto"/>
              <w:jc w:val="both"/>
              <w:rPr>
                <w:rFonts w:ascii="Book Antiqua" w:hAnsi="Book Antiqua"/>
                <w:sz w:val="24"/>
                <w:szCs w:val="24"/>
              </w:rPr>
            </w:pPr>
          </w:p>
        </w:tc>
        <w:tc>
          <w:tcPr>
            <w:tcW w:w="3119" w:type="dxa"/>
            <w:gridSpan w:val="2"/>
          </w:tcPr>
          <w:p w14:paraId="4A64A429" w14:textId="77777777" w:rsidR="00C464F8" w:rsidRPr="007F04D1" w:rsidRDefault="00C464F8" w:rsidP="00AD1560">
            <w:pPr>
              <w:spacing w:line="360" w:lineRule="auto"/>
              <w:jc w:val="both"/>
              <w:rPr>
                <w:rFonts w:ascii="Book Antiqua" w:hAnsi="Book Antiqua"/>
                <w:sz w:val="24"/>
                <w:szCs w:val="24"/>
              </w:rPr>
            </w:pPr>
            <w:r w:rsidRPr="00C464F8">
              <w:rPr>
                <w:rFonts w:ascii="Book Antiqua" w:hAnsi="Book Antiqua"/>
                <w:sz w:val="24"/>
                <w:szCs w:val="24"/>
              </w:rPr>
              <w:t>Faster than ELISA, correlates well</w:t>
            </w:r>
          </w:p>
        </w:tc>
        <w:tc>
          <w:tcPr>
            <w:tcW w:w="992" w:type="dxa"/>
          </w:tcPr>
          <w:p w14:paraId="11FA94AF" w14:textId="77777777" w:rsidR="00C464F8" w:rsidRPr="007F04D1" w:rsidRDefault="00C464F8" w:rsidP="00AD1560">
            <w:pPr>
              <w:spacing w:line="360" w:lineRule="auto"/>
              <w:jc w:val="both"/>
              <w:rPr>
                <w:rFonts w:ascii="Book Antiqua" w:hAnsi="Book Antiqua"/>
                <w:sz w:val="24"/>
                <w:szCs w:val="24"/>
              </w:rPr>
            </w:pPr>
          </w:p>
        </w:tc>
      </w:tr>
      <w:tr w:rsidR="00C464F8" w:rsidRPr="007F04D1" w14:paraId="104BA0A0" w14:textId="77777777" w:rsidTr="007C676D">
        <w:trPr>
          <w:gridAfter w:val="3"/>
          <w:wAfter w:w="4111" w:type="dxa"/>
          <w:trHeight w:val="1908"/>
        </w:trPr>
        <w:tc>
          <w:tcPr>
            <w:tcW w:w="1789" w:type="dxa"/>
          </w:tcPr>
          <w:p w14:paraId="4B514FA4" w14:textId="77777777" w:rsidR="00C464F8" w:rsidRPr="007F04D1" w:rsidRDefault="00C464F8" w:rsidP="000F0CDF">
            <w:pPr>
              <w:spacing w:line="360" w:lineRule="auto"/>
              <w:jc w:val="both"/>
              <w:rPr>
                <w:rFonts w:ascii="Book Antiqua" w:hAnsi="Book Antiqua"/>
                <w:sz w:val="24"/>
                <w:szCs w:val="24"/>
              </w:rPr>
            </w:pPr>
            <w:proofErr w:type="spellStart"/>
            <w:r w:rsidRPr="00C464F8">
              <w:rPr>
                <w:rFonts w:ascii="Book Antiqua" w:hAnsi="Book Antiqua"/>
                <w:sz w:val="24"/>
                <w:szCs w:val="24"/>
              </w:rPr>
              <w:t>Malíčková</w:t>
            </w:r>
            <w:r w:rsidR="000F0CDF" w:rsidRPr="000F0CDF">
              <w:rPr>
                <w:rFonts w:ascii="Book Antiqua" w:hAnsi="Book Antiqua"/>
                <w:i/>
                <w:sz w:val="24"/>
                <w:szCs w:val="24"/>
              </w:rPr>
              <w:t>et</w:t>
            </w:r>
            <w:proofErr w:type="spellEnd"/>
            <w:r w:rsidR="000F0CDF" w:rsidRPr="000F0CDF">
              <w:rPr>
                <w:rFonts w:ascii="Book Antiqua" w:hAnsi="Book Antiqua"/>
                <w:i/>
                <w:sz w:val="24"/>
                <w:szCs w:val="24"/>
              </w:rPr>
              <w:t xml:space="preserve"> al</w:t>
            </w:r>
            <w:r w:rsidR="000F0CDF" w:rsidRPr="00523E72">
              <w:rPr>
                <w:rFonts w:ascii="Book Antiqua" w:hAnsi="Book Antiqua"/>
                <w:sz w:val="24"/>
                <w:szCs w:val="24"/>
                <w:vertAlign w:val="superscript"/>
              </w:rPr>
              <w:t>[</w:t>
            </w:r>
            <w:r w:rsidR="000F0CDF">
              <w:rPr>
                <w:rFonts w:ascii="Book Antiqua" w:hAnsi="Book Antiqua" w:hint="eastAsia"/>
                <w:sz w:val="24"/>
                <w:szCs w:val="24"/>
                <w:vertAlign w:val="superscript"/>
                <w:lang w:eastAsia="zh-CN"/>
              </w:rPr>
              <w:t>27</w:t>
            </w:r>
            <w:r w:rsidR="000F0CDF" w:rsidRPr="006F39C6">
              <w:rPr>
                <w:rFonts w:ascii="Book Antiqua" w:hAnsi="Book Antiqua"/>
                <w:sz w:val="24"/>
                <w:szCs w:val="24"/>
                <w:vertAlign w:val="superscript"/>
              </w:rPr>
              <w:t>]</w:t>
            </w:r>
          </w:p>
        </w:tc>
        <w:tc>
          <w:tcPr>
            <w:tcW w:w="621" w:type="dxa"/>
          </w:tcPr>
          <w:p w14:paraId="09691E8C" w14:textId="77777777" w:rsidR="00C464F8" w:rsidRPr="00C464F8" w:rsidRDefault="00C464F8" w:rsidP="00AD1560">
            <w:pPr>
              <w:spacing w:line="360" w:lineRule="auto"/>
              <w:jc w:val="both"/>
              <w:rPr>
                <w:rFonts w:ascii="Book Antiqua" w:hAnsi="Book Antiqua"/>
                <w:sz w:val="24"/>
                <w:szCs w:val="24"/>
              </w:rPr>
            </w:pPr>
          </w:p>
        </w:tc>
        <w:tc>
          <w:tcPr>
            <w:tcW w:w="2693" w:type="dxa"/>
          </w:tcPr>
          <w:p w14:paraId="20C59DC7" w14:textId="77777777" w:rsidR="00C464F8" w:rsidRPr="007F04D1" w:rsidRDefault="00C464F8" w:rsidP="00AD1560">
            <w:pPr>
              <w:spacing w:line="360" w:lineRule="auto"/>
              <w:jc w:val="both"/>
              <w:rPr>
                <w:rFonts w:ascii="Book Antiqua" w:hAnsi="Book Antiqua"/>
                <w:sz w:val="24"/>
                <w:szCs w:val="24"/>
              </w:rPr>
            </w:pPr>
            <w:r w:rsidRPr="00C464F8">
              <w:rPr>
                <w:rFonts w:ascii="Book Antiqua" w:hAnsi="Book Antiqua"/>
                <w:sz w:val="24"/>
                <w:szCs w:val="24"/>
              </w:rPr>
              <w:t xml:space="preserve">ELISA (for CT-P13 </w:t>
            </w:r>
            <w:proofErr w:type="spellStart"/>
            <w:r w:rsidRPr="00C464F8">
              <w:rPr>
                <w:rFonts w:ascii="Book Antiqua" w:hAnsi="Book Antiqua"/>
                <w:sz w:val="24"/>
                <w:szCs w:val="24"/>
              </w:rPr>
              <w:t>biosimiliar</w:t>
            </w:r>
            <w:proofErr w:type="spellEnd"/>
            <w:r w:rsidRPr="00C464F8">
              <w:rPr>
                <w:rFonts w:ascii="Book Antiqua" w:hAnsi="Book Antiqua"/>
                <w:sz w:val="24"/>
                <w:szCs w:val="24"/>
              </w:rPr>
              <w:t xml:space="preserve"> to infliximab)</w:t>
            </w:r>
          </w:p>
        </w:tc>
        <w:tc>
          <w:tcPr>
            <w:tcW w:w="567" w:type="dxa"/>
          </w:tcPr>
          <w:p w14:paraId="5842A89E" w14:textId="77777777" w:rsidR="00C464F8" w:rsidRPr="00C464F8" w:rsidRDefault="00C464F8" w:rsidP="00AD1560">
            <w:pPr>
              <w:spacing w:line="360" w:lineRule="auto"/>
              <w:jc w:val="both"/>
              <w:rPr>
                <w:rFonts w:ascii="Book Antiqua" w:hAnsi="Book Antiqua"/>
                <w:sz w:val="24"/>
                <w:szCs w:val="24"/>
              </w:rPr>
            </w:pPr>
          </w:p>
        </w:tc>
      </w:tr>
      <w:tr w:rsidR="00C464F8" w:rsidRPr="007F04D1" w14:paraId="31D092E3" w14:textId="77777777" w:rsidTr="007C676D">
        <w:trPr>
          <w:gridAfter w:val="3"/>
          <w:wAfter w:w="4111" w:type="dxa"/>
          <w:trHeight w:val="1468"/>
        </w:trPr>
        <w:tc>
          <w:tcPr>
            <w:tcW w:w="1789" w:type="dxa"/>
          </w:tcPr>
          <w:p w14:paraId="405DCAD4" w14:textId="77777777" w:rsidR="00B24C1E" w:rsidRPr="007F04D1" w:rsidRDefault="00C464F8" w:rsidP="000F0CDF">
            <w:pPr>
              <w:spacing w:line="360" w:lineRule="auto"/>
              <w:jc w:val="both"/>
              <w:rPr>
                <w:rFonts w:ascii="Book Antiqua" w:hAnsi="Book Antiqua"/>
                <w:sz w:val="24"/>
                <w:szCs w:val="24"/>
              </w:rPr>
            </w:pPr>
            <w:proofErr w:type="spellStart"/>
            <w:r w:rsidRPr="00C464F8">
              <w:rPr>
                <w:rFonts w:ascii="Book Antiqua" w:hAnsi="Book Antiqua"/>
                <w:sz w:val="24"/>
                <w:szCs w:val="24"/>
              </w:rPr>
              <w:t>Corstjens</w:t>
            </w:r>
            <w:proofErr w:type="spellEnd"/>
            <w:r w:rsidRPr="00C464F8">
              <w:rPr>
                <w:rFonts w:ascii="Book Antiqua" w:hAnsi="Book Antiqua"/>
                <w:sz w:val="24"/>
                <w:szCs w:val="24"/>
              </w:rPr>
              <w:t xml:space="preserve"> </w:t>
            </w:r>
            <w:r w:rsidR="000F0CDF" w:rsidRPr="000F0CDF">
              <w:rPr>
                <w:rFonts w:ascii="Book Antiqua" w:hAnsi="Book Antiqua"/>
                <w:i/>
                <w:sz w:val="24"/>
                <w:szCs w:val="24"/>
              </w:rPr>
              <w:t>et al</w:t>
            </w:r>
            <w:r w:rsidR="000F0CDF" w:rsidRPr="00523E72">
              <w:rPr>
                <w:rFonts w:ascii="Book Antiqua" w:hAnsi="Book Antiqua"/>
                <w:sz w:val="24"/>
                <w:szCs w:val="24"/>
                <w:vertAlign w:val="superscript"/>
              </w:rPr>
              <w:t>[</w:t>
            </w:r>
            <w:r w:rsidR="000F0CDF">
              <w:rPr>
                <w:rFonts w:ascii="Book Antiqua" w:hAnsi="Book Antiqua" w:hint="eastAsia"/>
                <w:sz w:val="24"/>
                <w:szCs w:val="24"/>
                <w:vertAlign w:val="superscript"/>
                <w:lang w:eastAsia="zh-CN"/>
              </w:rPr>
              <w:t>28</w:t>
            </w:r>
            <w:r w:rsidR="000F0CDF" w:rsidRPr="006F39C6">
              <w:rPr>
                <w:rFonts w:ascii="Book Antiqua" w:hAnsi="Book Antiqua"/>
                <w:sz w:val="24"/>
                <w:szCs w:val="24"/>
                <w:vertAlign w:val="superscript"/>
              </w:rPr>
              <w:t>]</w:t>
            </w:r>
          </w:p>
        </w:tc>
        <w:tc>
          <w:tcPr>
            <w:tcW w:w="621" w:type="dxa"/>
          </w:tcPr>
          <w:p w14:paraId="693B0366" w14:textId="77777777" w:rsidR="00C464F8" w:rsidRPr="00C464F8" w:rsidRDefault="00C464F8" w:rsidP="00AD1560">
            <w:pPr>
              <w:spacing w:line="360" w:lineRule="auto"/>
              <w:jc w:val="both"/>
              <w:rPr>
                <w:rFonts w:ascii="Book Antiqua" w:hAnsi="Book Antiqua"/>
                <w:sz w:val="24"/>
                <w:szCs w:val="24"/>
              </w:rPr>
            </w:pPr>
          </w:p>
        </w:tc>
        <w:tc>
          <w:tcPr>
            <w:tcW w:w="2693" w:type="dxa"/>
          </w:tcPr>
          <w:p w14:paraId="17FE5ED6" w14:textId="77777777" w:rsidR="00B24C1E" w:rsidRDefault="00C464F8" w:rsidP="00AD1560">
            <w:pPr>
              <w:spacing w:line="360" w:lineRule="auto"/>
              <w:jc w:val="both"/>
              <w:rPr>
                <w:rFonts w:ascii="Book Antiqua" w:hAnsi="Book Antiqua"/>
                <w:sz w:val="24"/>
                <w:szCs w:val="24"/>
              </w:rPr>
            </w:pPr>
            <w:r w:rsidRPr="00C464F8">
              <w:rPr>
                <w:rFonts w:ascii="Book Antiqua" w:hAnsi="Book Antiqua"/>
                <w:sz w:val="24"/>
                <w:szCs w:val="24"/>
              </w:rPr>
              <w:t>Rap</w:t>
            </w:r>
            <w:r w:rsidR="00B24C1E">
              <w:rPr>
                <w:rFonts w:ascii="Book Antiqua" w:hAnsi="Book Antiqua"/>
                <w:sz w:val="24"/>
                <w:szCs w:val="24"/>
              </w:rPr>
              <w:t>id lateral flow (LF)-based assay</w:t>
            </w:r>
          </w:p>
          <w:p w14:paraId="1488F81C" w14:textId="77777777" w:rsidR="00B24C1E" w:rsidRDefault="00B24C1E" w:rsidP="00AD1560">
            <w:pPr>
              <w:spacing w:line="360" w:lineRule="auto"/>
              <w:jc w:val="both"/>
              <w:rPr>
                <w:rFonts w:ascii="Book Antiqua" w:hAnsi="Book Antiqua"/>
                <w:sz w:val="24"/>
                <w:szCs w:val="24"/>
              </w:rPr>
            </w:pPr>
          </w:p>
          <w:p w14:paraId="65A2FEC5" w14:textId="77777777" w:rsidR="00B24C1E" w:rsidRPr="007F04D1" w:rsidRDefault="00B24C1E" w:rsidP="00AD1560">
            <w:pPr>
              <w:spacing w:line="360" w:lineRule="auto"/>
              <w:jc w:val="both"/>
              <w:rPr>
                <w:rFonts w:ascii="Book Antiqua" w:hAnsi="Book Antiqua"/>
                <w:sz w:val="24"/>
                <w:szCs w:val="24"/>
              </w:rPr>
            </w:pPr>
          </w:p>
        </w:tc>
        <w:tc>
          <w:tcPr>
            <w:tcW w:w="567" w:type="dxa"/>
          </w:tcPr>
          <w:p w14:paraId="3914B90A" w14:textId="77777777" w:rsidR="00B24C1E" w:rsidRDefault="00B24C1E" w:rsidP="00AD1560">
            <w:pPr>
              <w:spacing w:line="360" w:lineRule="auto"/>
              <w:jc w:val="both"/>
              <w:rPr>
                <w:rFonts w:ascii="Book Antiqua" w:hAnsi="Book Antiqua"/>
                <w:sz w:val="24"/>
                <w:szCs w:val="24"/>
              </w:rPr>
            </w:pPr>
          </w:p>
          <w:p w14:paraId="6B0B7691" w14:textId="77777777" w:rsidR="00B24C1E" w:rsidRPr="00C464F8" w:rsidRDefault="00B24C1E" w:rsidP="00AD1560">
            <w:pPr>
              <w:spacing w:line="360" w:lineRule="auto"/>
              <w:jc w:val="both"/>
              <w:rPr>
                <w:rFonts w:ascii="Book Antiqua" w:hAnsi="Book Antiqua"/>
                <w:sz w:val="24"/>
                <w:szCs w:val="24"/>
              </w:rPr>
            </w:pPr>
          </w:p>
        </w:tc>
      </w:tr>
      <w:tr w:rsidR="00B24C1E" w:rsidRPr="007F04D1" w14:paraId="52352D5F" w14:textId="77777777" w:rsidTr="00A40C38">
        <w:trPr>
          <w:trHeight w:val="2789"/>
        </w:trPr>
        <w:tc>
          <w:tcPr>
            <w:tcW w:w="1789" w:type="dxa"/>
            <w:tcBorders>
              <w:top w:val="nil"/>
              <w:bottom w:val="single" w:sz="4" w:space="0" w:color="auto"/>
            </w:tcBorders>
          </w:tcPr>
          <w:p w14:paraId="299FCBD5" w14:textId="77777777" w:rsidR="00B24C1E" w:rsidRPr="007F04D1" w:rsidRDefault="00B24C1E" w:rsidP="000F0CDF">
            <w:pPr>
              <w:spacing w:line="360" w:lineRule="auto"/>
              <w:jc w:val="both"/>
              <w:rPr>
                <w:rFonts w:ascii="Book Antiqua" w:hAnsi="Book Antiqua"/>
                <w:sz w:val="24"/>
                <w:szCs w:val="24"/>
              </w:rPr>
            </w:pPr>
            <w:r>
              <w:rPr>
                <w:rFonts w:ascii="Book Antiqua" w:hAnsi="Book Antiqua"/>
                <w:sz w:val="24"/>
                <w:szCs w:val="24"/>
              </w:rPr>
              <w:t xml:space="preserve">Wang </w:t>
            </w:r>
            <w:r w:rsidR="000F0CDF" w:rsidRPr="000F0CDF">
              <w:rPr>
                <w:rFonts w:ascii="Book Antiqua" w:hAnsi="Book Antiqua"/>
                <w:i/>
                <w:sz w:val="24"/>
                <w:szCs w:val="24"/>
              </w:rPr>
              <w:t>et al</w:t>
            </w:r>
            <w:r w:rsidR="000F0CDF" w:rsidRPr="00523E72">
              <w:rPr>
                <w:rFonts w:ascii="Book Antiqua" w:hAnsi="Book Antiqua"/>
                <w:sz w:val="24"/>
                <w:szCs w:val="24"/>
                <w:vertAlign w:val="superscript"/>
              </w:rPr>
              <w:t>[</w:t>
            </w:r>
            <w:r w:rsidR="000F0CDF">
              <w:rPr>
                <w:rFonts w:ascii="Book Antiqua" w:hAnsi="Book Antiqua" w:hint="eastAsia"/>
                <w:sz w:val="24"/>
                <w:szCs w:val="24"/>
                <w:vertAlign w:val="superscript"/>
                <w:lang w:eastAsia="zh-CN"/>
              </w:rPr>
              <w:t>29</w:t>
            </w:r>
            <w:r w:rsidR="000F0CDF" w:rsidRPr="006F39C6">
              <w:rPr>
                <w:rFonts w:ascii="Book Antiqua" w:hAnsi="Book Antiqua"/>
                <w:sz w:val="24"/>
                <w:szCs w:val="24"/>
                <w:vertAlign w:val="superscript"/>
              </w:rPr>
              <w:t>]</w:t>
            </w:r>
          </w:p>
        </w:tc>
        <w:tc>
          <w:tcPr>
            <w:tcW w:w="621" w:type="dxa"/>
            <w:tcBorders>
              <w:top w:val="nil"/>
              <w:bottom w:val="single" w:sz="4" w:space="0" w:color="auto"/>
            </w:tcBorders>
          </w:tcPr>
          <w:p w14:paraId="725B7B26" w14:textId="77777777" w:rsidR="00B24C1E" w:rsidRDefault="00B24C1E" w:rsidP="00AD1560">
            <w:pPr>
              <w:spacing w:line="360" w:lineRule="auto"/>
              <w:jc w:val="both"/>
              <w:rPr>
                <w:rFonts w:ascii="Book Antiqua" w:hAnsi="Book Antiqua"/>
                <w:sz w:val="24"/>
                <w:szCs w:val="24"/>
              </w:rPr>
            </w:pPr>
          </w:p>
        </w:tc>
        <w:tc>
          <w:tcPr>
            <w:tcW w:w="2693" w:type="dxa"/>
            <w:tcBorders>
              <w:top w:val="nil"/>
              <w:bottom w:val="single" w:sz="4" w:space="0" w:color="auto"/>
            </w:tcBorders>
          </w:tcPr>
          <w:p w14:paraId="3A9059AA" w14:textId="77777777" w:rsidR="00B24C1E" w:rsidRPr="007F04D1" w:rsidRDefault="00B24C1E" w:rsidP="00AD1560">
            <w:pPr>
              <w:spacing w:line="360" w:lineRule="auto"/>
              <w:jc w:val="both"/>
              <w:rPr>
                <w:rFonts w:ascii="Book Antiqua" w:hAnsi="Book Antiqua"/>
                <w:sz w:val="24"/>
                <w:szCs w:val="24"/>
              </w:rPr>
            </w:pPr>
            <w:r w:rsidRPr="00B24C1E">
              <w:rPr>
                <w:rFonts w:ascii="Book Antiqua" w:hAnsi="Book Antiqua"/>
                <w:sz w:val="24"/>
                <w:szCs w:val="24"/>
              </w:rPr>
              <w:t>Non-radiolabeled homogeneous mobility shift assay (HMSA)</w:t>
            </w:r>
          </w:p>
        </w:tc>
        <w:tc>
          <w:tcPr>
            <w:tcW w:w="567" w:type="dxa"/>
            <w:tcBorders>
              <w:top w:val="nil"/>
              <w:bottom w:val="single" w:sz="4" w:space="0" w:color="auto"/>
            </w:tcBorders>
          </w:tcPr>
          <w:p w14:paraId="4ECCA826" w14:textId="77777777" w:rsidR="00B24C1E" w:rsidRPr="00C464F8" w:rsidRDefault="00B24C1E" w:rsidP="00AD1560">
            <w:pPr>
              <w:spacing w:line="360" w:lineRule="auto"/>
              <w:jc w:val="both"/>
              <w:rPr>
                <w:rFonts w:ascii="Book Antiqua" w:hAnsi="Book Antiqua"/>
                <w:sz w:val="24"/>
                <w:szCs w:val="24"/>
              </w:rPr>
            </w:pPr>
          </w:p>
        </w:tc>
        <w:tc>
          <w:tcPr>
            <w:tcW w:w="3119" w:type="dxa"/>
            <w:gridSpan w:val="2"/>
            <w:tcBorders>
              <w:top w:val="nil"/>
              <w:bottom w:val="single" w:sz="4" w:space="0" w:color="auto"/>
            </w:tcBorders>
          </w:tcPr>
          <w:p w14:paraId="1C5B8808" w14:textId="77777777" w:rsidR="00B24C1E" w:rsidRPr="007F04D1" w:rsidRDefault="00B24C1E" w:rsidP="00AD1560">
            <w:pPr>
              <w:spacing w:line="360" w:lineRule="auto"/>
              <w:jc w:val="both"/>
              <w:rPr>
                <w:rFonts w:ascii="Book Antiqua" w:hAnsi="Book Antiqua"/>
                <w:sz w:val="24"/>
                <w:szCs w:val="24"/>
              </w:rPr>
            </w:pPr>
          </w:p>
        </w:tc>
        <w:tc>
          <w:tcPr>
            <w:tcW w:w="992" w:type="dxa"/>
            <w:tcBorders>
              <w:top w:val="nil"/>
              <w:bottom w:val="single" w:sz="4" w:space="0" w:color="auto"/>
            </w:tcBorders>
          </w:tcPr>
          <w:p w14:paraId="7E7E66A8" w14:textId="77777777" w:rsidR="00B24C1E" w:rsidRPr="007F04D1" w:rsidRDefault="00B24C1E" w:rsidP="00AD1560">
            <w:pPr>
              <w:spacing w:line="360" w:lineRule="auto"/>
              <w:jc w:val="both"/>
              <w:rPr>
                <w:rFonts w:ascii="Book Antiqua" w:hAnsi="Book Antiqua"/>
                <w:sz w:val="24"/>
                <w:szCs w:val="24"/>
              </w:rPr>
            </w:pPr>
          </w:p>
        </w:tc>
      </w:tr>
    </w:tbl>
    <w:p w14:paraId="5D1A768B" w14:textId="77777777" w:rsidR="000F0CDF" w:rsidRDefault="000F0CDF">
      <w:pPr>
        <w:rPr>
          <w:rFonts w:ascii="Book Antiqua" w:hAnsi="Book Antiqua"/>
          <w:sz w:val="24"/>
          <w:szCs w:val="24"/>
        </w:rPr>
      </w:pPr>
      <w:r>
        <w:rPr>
          <w:rFonts w:ascii="Book Antiqua" w:hAnsi="Book Antiqua"/>
          <w:sz w:val="24"/>
          <w:szCs w:val="24"/>
        </w:rPr>
        <w:br w:type="page"/>
      </w:r>
    </w:p>
    <w:p w14:paraId="5B4294F3" w14:textId="0724528E" w:rsidR="00F22578" w:rsidRPr="000F0CDF" w:rsidRDefault="00F22578" w:rsidP="00AD1560">
      <w:pPr>
        <w:spacing w:after="0" w:line="360" w:lineRule="auto"/>
        <w:jc w:val="both"/>
        <w:rPr>
          <w:rFonts w:ascii="Book Antiqua" w:hAnsi="Book Antiqua"/>
          <w:b/>
          <w:sz w:val="24"/>
          <w:szCs w:val="24"/>
        </w:rPr>
      </w:pPr>
      <w:r w:rsidRPr="000F0CDF">
        <w:rPr>
          <w:rFonts w:ascii="Book Antiqua" w:hAnsi="Book Antiqua"/>
          <w:b/>
          <w:sz w:val="24"/>
          <w:szCs w:val="24"/>
        </w:rPr>
        <w:lastRenderedPageBreak/>
        <w:t>Table 2</w:t>
      </w:r>
      <w:r w:rsidR="000F0CDF">
        <w:rPr>
          <w:rFonts w:ascii="Book Antiqua" w:hAnsi="Book Antiqua" w:hint="eastAsia"/>
          <w:b/>
          <w:sz w:val="24"/>
          <w:szCs w:val="24"/>
          <w:lang w:eastAsia="zh-CN"/>
        </w:rPr>
        <w:t xml:space="preserve"> </w:t>
      </w:r>
      <w:r w:rsidRPr="000F0CDF">
        <w:rPr>
          <w:rFonts w:ascii="Book Antiqua" w:hAnsi="Book Antiqua"/>
          <w:b/>
          <w:sz w:val="24"/>
          <w:szCs w:val="24"/>
        </w:rPr>
        <w:t>Detecting Anti-TNF</w:t>
      </w:r>
      <w:r w:rsidR="0055492C">
        <w:rPr>
          <w:rFonts w:ascii="Book Antiqua" w:hAnsi="Book Antiqua"/>
          <w:b/>
          <w:sz w:val="24"/>
          <w:szCs w:val="24"/>
        </w:rPr>
        <w:sym w:font="Symbol" w:char="F061"/>
      </w:r>
      <w:r w:rsidRPr="000F0CDF">
        <w:rPr>
          <w:rFonts w:ascii="Book Antiqua" w:hAnsi="Book Antiqua"/>
          <w:b/>
          <w:sz w:val="24"/>
          <w:szCs w:val="24"/>
        </w:rPr>
        <w:t xml:space="preserve"> Antibody levels </w:t>
      </w:r>
    </w:p>
    <w:p w14:paraId="2459220B" w14:textId="77777777" w:rsidR="00F22578" w:rsidRPr="00F22578" w:rsidRDefault="00F22578" w:rsidP="00AD1560">
      <w:pPr>
        <w:spacing w:after="0" w:line="360" w:lineRule="auto"/>
        <w:jc w:val="both"/>
        <w:rPr>
          <w:rFonts w:ascii="Book Antiqua" w:hAnsi="Book Antiqua"/>
          <w:sz w:val="24"/>
          <w:szCs w:val="24"/>
        </w:rPr>
      </w:pPr>
    </w:p>
    <w:tbl>
      <w:tblPr>
        <w:tblStyle w:val="a4"/>
        <w:tblW w:w="8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8"/>
        <w:gridCol w:w="1024"/>
        <w:gridCol w:w="1552"/>
        <w:gridCol w:w="236"/>
        <w:gridCol w:w="2106"/>
        <w:gridCol w:w="251"/>
        <w:gridCol w:w="236"/>
        <w:gridCol w:w="930"/>
        <w:gridCol w:w="236"/>
      </w:tblGrid>
      <w:tr w:rsidR="00F22578" w:rsidRPr="000F0CDF" w14:paraId="1EEED143" w14:textId="77777777" w:rsidTr="007C676D">
        <w:trPr>
          <w:trHeight w:val="1027"/>
        </w:trPr>
        <w:tc>
          <w:tcPr>
            <w:tcW w:w="2278" w:type="dxa"/>
            <w:tcBorders>
              <w:top w:val="single" w:sz="4" w:space="0" w:color="auto"/>
            </w:tcBorders>
          </w:tcPr>
          <w:p w14:paraId="0A7BCBD4" w14:textId="0308DE2B" w:rsidR="00F22578" w:rsidRPr="000F0CDF" w:rsidRDefault="00A40C38" w:rsidP="00AD1560">
            <w:pPr>
              <w:spacing w:line="360" w:lineRule="auto"/>
              <w:jc w:val="both"/>
              <w:rPr>
                <w:rFonts w:ascii="Book Antiqua" w:hAnsi="Book Antiqua"/>
                <w:b/>
                <w:sz w:val="24"/>
                <w:szCs w:val="24"/>
                <w:lang w:eastAsia="zh-CN"/>
              </w:rPr>
            </w:pPr>
            <w:r>
              <w:rPr>
                <w:rFonts w:ascii="Book Antiqua" w:hAnsi="Book Antiqua" w:hint="eastAsia"/>
                <w:b/>
                <w:sz w:val="24"/>
                <w:szCs w:val="24"/>
                <w:lang w:eastAsia="zh-CN"/>
              </w:rPr>
              <w:t>Ref.</w:t>
            </w:r>
          </w:p>
        </w:tc>
        <w:tc>
          <w:tcPr>
            <w:tcW w:w="1024" w:type="dxa"/>
            <w:tcBorders>
              <w:top w:val="single" w:sz="4" w:space="0" w:color="auto"/>
            </w:tcBorders>
          </w:tcPr>
          <w:p w14:paraId="4A473099" w14:textId="77777777" w:rsidR="00F22578" w:rsidRPr="000F0CDF" w:rsidRDefault="00F22578" w:rsidP="00AD1560">
            <w:pPr>
              <w:spacing w:line="360" w:lineRule="auto"/>
              <w:jc w:val="both"/>
              <w:rPr>
                <w:rFonts w:ascii="Book Antiqua" w:hAnsi="Book Antiqua"/>
                <w:b/>
                <w:sz w:val="24"/>
                <w:szCs w:val="24"/>
              </w:rPr>
            </w:pPr>
          </w:p>
        </w:tc>
        <w:tc>
          <w:tcPr>
            <w:tcW w:w="1552" w:type="dxa"/>
            <w:tcBorders>
              <w:top w:val="single" w:sz="4" w:space="0" w:color="auto"/>
            </w:tcBorders>
          </w:tcPr>
          <w:p w14:paraId="28203A58" w14:textId="77777777" w:rsidR="00F22578" w:rsidRPr="000F0CDF" w:rsidRDefault="00F22578" w:rsidP="00AD1560">
            <w:pPr>
              <w:spacing w:line="360" w:lineRule="auto"/>
              <w:jc w:val="both"/>
              <w:rPr>
                <w:rFonts w:ascii="Book Antiqua" w:hAnsi="Book Antiqua"/>
                <w:b/>
                <w:sz w:val="24"/>
                <w:szCs w:val="24"/>
              </w:rPr>
            </w:pPr>
            <w:r w:rsidRPr="000F0CDF">
              <w:rPr>
                <w:rFonts w:ascii="Book Antiqua" w:hAnsi="Book Antiqua"/>
                <w:b/>
                <w:sz w:val="24"/>
                <w:szCs w:val="24"/>
              </w:rPr>
              <w:t>Technique</w:t>
            </w:r>
          </w:p>
        </w:tc>
        <w:tc>
          <w:tcPr>
            <w:tcW w:w="236" w:type="dxa"/>
            <w:tcBorders>
              <w:top w:val="single" w:sz="4" w:space="0" w:color="auto"/>
            </w:tcBorders>
          </w:tcPr>
          <w:p w14:paraId="776B16DC" w14:textId="77777777" w:rsidR="00F22578" w:rsidRPr="000F0CDF" w:rsidRDefault="00F22578" w:rsidP="00AD1560">
            <w:pPr>
              <w:spacing w:line="360" w:lineRule="auto"/>
              <w:jc w:val="both"/>
              <w:rPr>
                <w:rFonts w:ascii="Book Antiqua" w:hAnsi="Book Antiqua"/>
                <w:b/>
                <w:sz w:val="24"/>
                <w:szCs w:val="24"/>
              </w:rPr>
            </w:pPr>
          </w:p>
        </w:tc>
        <w:tc>
          <w:tcPr>
            <w:tcW w:w="3523" w:type="dxa"/>
            <w:gridSpan w:val="4"/>
            <w:tcBorders>
              <w:top w:val="single" w:sz="4" w:space="0" w:color="auto"/>
            </w:tcBorders>
          </w:tcPr>
          <w:p w14:paraId="6258EE68" w14:textId="1E0F100A" w:rsidR="00F22578" w:rsidRPr="000F0CDF" w:rsidRDefault="00F22578" w:rsidP="00AD1560">
            <w:pPr>
              <w:spacing w:line="360" w:lineRule="auto"/>
              <w:jc w:val="both"/>
              <w:rPr>
                <w:rFonts w:ascii="Book Antiqua" w:hAnsi="Book Antiqua"/>
                <w:b/>
                <w:sz w:val="24"/>
                <w:szCs w:val="24"/>
              </w:rPr>
            </w:pPr>
            <w:r w:rsidRPr="000F0CDF">
              <w:rPr>
                <w:rFonts w:ascii="Book Antiqua" w:hAnsi="Book Antiqua"/>
                <w:b/>
                <w:sz w:val="24"/>
                <w:szCs w:val="24"/>
              </w:rPr>
              <w:t xml:space="preserve">Key </w:t>
            </w:r>
            <w:r w:rsidR="00A40C38" w:rsidRPr="000F0CDF">
              <w:rPr>
                <w:rFonts w:ascii="Book Antiqua" w:hAnsi="Book Antiqua"/>
                <w:b/>
                <w:sz w:val="24"/>
                <w:szCs w:val="24"/>
              </w:rPr>
              <w:t>points</w:t>
            </w:r>
          </w:p>
        </w:tc>
        <w:tc>
          <w:tcPr>
            <w:tcW w:w="236" w:type="dxa"/>
            <w:tcBorders>
              <w:top w:val="single" w:sz="4" w:space="0" w:color="auto"/>
            </w:tcBorders>
          </w:tcPr>
          <w:p w14:paraId="08BEE89F" w14:textId="77777777" w:rsidR="00F22578" w:rsidRPr="000F0CDF" w:rsidRDefault="00F22578" w:rsidP="00AD1560">
            <w:pPr>
              <w:spacing w:line="360" w:lineRule="auto"/>
              <w:jc w:val="both"/>
              <w:rPr>
                <w:rFonts w:ascii="Book Antiqua" w:hAnsi="Book Antiqua"/>
                <w:b/>
                <w:sz w:val="24"/>
                <w:szCs w:val="24"/>
              </w:rPr>
            </w:pPr>
          </w:p>
        </w:tc>
      </w:tr>
      <w:tr w:rsidR="00F22578" w:rsidRPr="00F22578" w14:paraId="63A23D55" w14:textId="77777777" w:rsidTr="007C676D">
        <w:trPr>
          <w:gridAfter w:val="1"/>
          <w:wAfter w:w="236" w:type="dxa"/>
          <w:trHeight w:val="1027"/>
        </w:trPr>
        <w:tc>
          <w:tcPr>
            <w:tcW w:w="2278" w:type="dxa"/>
            <w:tcBorders>
              <w:top w:val="single" w:sz="4" w:space="0" w:color="auto"/>
            </w:tcBorders>
          </w:tcPr>
          <w:p w14:paraId="4ADEC557" w14:textId="77777777" w:rsidR="00F22578" w:rsidRPr="00F22578" w:rsidRDefault="00F22578" w:rsidP="00AD1560">
            <w:pPr>
              <w:spacing w:line="360" w:lineRule="auto"/>
              <w:jc w:val="both"/>
              <w:rPr>
                <w:rFonts w:ascii="Book Antiqua" w:hAnsi="Book Antiqua"/>
                <w:sz w:val="24"/>
                <w:szCs w:val="24"/>
              </w:rPr>
            </w:pPr>
            <w:r w:rsidRPr="00F22578">
              <w:rPr>
                <w:rFonts w:ascii="Book Antiqua" w:hAnsi="Book Antiqua"/>
                <w:sz w:val="24"/>
                <w:szCs w:val="24"/>
              </w:rPr>
              <w:t xml:space="preserve">Van </w:t>
            </w:r>
            <w:proofErr w:type="spellStart"/>
            <w:r w:rsidRPr="00F22578">
              <w:rPr>
                <w:rFonts w:ascii="Book Antiqua" w:hAnsi="Book Antiqua"/>
                <w:sz w:val="24"/>
                <w:szCs w:val="24"/>
              </w:rPr>
              <w:t>Stappen</w:t>
            </w:r>
            <w:proofErr w:type="spellEnd"/>
            <w:r w:rsidRPr="00F22578">
              <w:rPr>
                <w:rFonts w:ascii="Book Antiqua" w:hAnsi="Book Antiqua"/>
                <w:sz w:val="24"/>
                <w:szCs w:val="24"/>
              </w:rPr>
              <w:t xml:space="preserve"> </w:t>
            </w:r>
            <w:r w:rsidRPr="000F0CDF">
              <w:rPr>
                <w:rFonts w:ascii="Book Antiqua" w:hAnsi="Book Antiqua"/>
                <w:i/>
                <w:sz w:val="24"/>
                <w:szCs w:val="24"/>
              </w:rPr>
              <w:t>et al</w:t>
            </w:r>
            <w:r w:rsidR="00523E72" w:rsidRPr="00523E72">
              <w:rPr>
                <w:rFonts w:ascii="Book Antiqua" w:hAnsi="Book Antiqua"/>
                <w:sz w:val="24"/>
                <w:szCs w:val="24"/>
                <w:vertAlign w:val="superscript"/>
              </w:rPr>
              <w:t>[</w:t>
            </w:r>
            <w:r w:rsidR="00C766B0">
              <w:rPr>
                <w:rFonts w:ascii="Book Antiqua" w:hAnsi="Book Antiqua"/>
                <w:sz w:val="24"/>
                <w:szCs w:val="24"/>
                <w:vertAlign w:val="superscript"/>
              </w:rPr>
              <w:t>30</w:t>
            </w:r>
            <w:r w:rsidR="00C766B0" w:rsidRPr="00C766B0">
              <w:rPr>
                <w:rFonts w:ascii="Book Antiqua" w:hAnsi="Book Antiqua"/>
                <w:sz w:val="24"/>
                <w:szCs w:val="24"/>
                <w:vertAlign w:val="superscript"/>
              </w:rPr>
              <w:t>]</w:t>
            </w:r>
          </w:p>
        </w:tc>
        <w:tc>
          <w:tcPr>
            <w:tcW w:w="1024" w:type="dxa"/>
            <w:tcBorders>
              <w:top w:val="single" w:sz="4" w:space="0" w:color="auto"/>
            </w:tcBorders>
          </w:tcPr>
          <w:p w14:paraId="5F4577D1" w14:textId="77777777" w:rsidR="00F22578" w:rsidRPr="00F22578" w:rsidRDefault="00F22578" w:rsidP="00AD1560">
            <w:pPr>
              <w:spacing w:line="360" w:lineRule="auto"/>
              <w:jc w:val="both"/>
              <w:rPr>
                <w:rFonts w:ascii="Book Antiqua" w:hAnsi="Book Antiqua"/>
                <w:sz w:val="24"/>
                <w:szCs w:val="24"/>
              </w:rPr>
            </w:pPr>
          </w:p>
        </w:tc>
        <w:tc>
          <w:tcPr>
            <w:tcW w:w="1552" w:type="dxa"/>
            <w:tcBorders>
              <w:top w:val="single" w:sz="4" w:space="0" w:color="auto"/>
            </w:tcBorders>
          </w:tcPr>
          <w:p w14:paraId="07126545" w14:textId="77777777" w:rsidR="00F22578" w:rsidRPr="00F22578" w:rsidRDefault="00F22578" w:rsidP="00AD1560">
            <w:pPr>
              <w:spacing w:line="360" w:lineRule="auto"/>
              <w:jc w:val="both"/>
              <w:rPr>
                <w:rFonts w:ascii="Book Antiqua" w:hAnsi="Book Antiqua"/>
                <w:sz w:val="24"/>
                <w:szCs w:val="24"/>
              </w:rPr>
            </w:pPr>
            <w:r w:rsidRPr="00F22578">
              <w:rPr>
                <w:rFonts w:ascii="Book Antiqua" w:hAnsi="Book Antiqua"/>
                <w:sz w:val="24"/>
                <w:szCs w:val="24"/>
              </w:rPr>
              <w:t>Solid-phase ELISA</w:t>
            </w:r>
          </w:p>
          <w:p w14:paraId="67C3C176" w14:textId="77777777" w:rsidR="00F22578" w:rsidRPr="00F22578" w:rsidRDefault="00F22578" w:rsidP="00AD1560">
            <w:pPr>
              <w:spacing w:line="360" w:lineRule="auto"/>
              <w:jc w:val="both"/>
              <w:rPr>
                <w:rFonts w:ascii="Book Antiqua" w:hAnsi="Book Antiqua"/>
                <w:sz w:val="24"/>
                <w:szCs w:val="24"/>
              </w:rPr>
            </w:pPr>
          </w:p>
        </w:tc>
        <w:tc>
          <w:tcPr>
            <w:tcW w:w="236" w:type="dxa"/>
            <w:tcBorders>
              <w:top w:val="single" w:sz="4" w:space="0" w:color="auto"/>
            </w:tcBorders>
          </w:tcPr>
          <w:p w14:paraId="5BE1AAF3" w14:textId="77777777" w:rsidR="00F22578" w:rsidRPr="00F22578" w:rsidRDefault="00F22578" w:rsidP="00AD1560">
            <w:pPr>
              <w:spacing w:line="360" w:lineRule="auto"/>
              <w:jc w:val="both"/>
              <w:rPr>
                <w:rFonts w:ascii="Book Antiqua" w:hAnsi="Book Antiqua"/>
                <w:sz w:val="24"/>
                <w:szCs w:val="24"/>
              </w:rPr>
            </w:pPr>
          </w:p>
        </w:tc>
        <w:tc>
          <w:tcPr>
            <w:tcW w:w="3523" w:type="dxa"/>
            <w:gridSpan w:val="4"/>
            <w:tcBorders>
              <w:top w:val="single" w:sz="4" w:space="0" w:color="auto"/>
            </w:tcBorders>
          </w:tcPr>
          <w:p w14:paraId="7B68195F" w14:textId="77777777" w:rsidR="00F22578" w:rsidRPr="00F22578" w:rsidRDefault="00B24C1E" w:rsidP="00AD1560">
            <w:pPr>
              <w:spacing w:line="360" w:lineRule="auto"/>
              <w:jc w:val="both"/>
              <w:rPr>
                <w:rFonts w:ascii="Book Antiqua" w:hAnsi="Book Antiqua"/>
                <w:sz w:val="24"/>
                <w:szCs w:val="24"/>
              </w:rPr>
            </w:pPr>
            <w:r>
              <w:rPr>
                <w:rFonts w:ascii="Book Antiqua" w:hAnsi="Book Antiqua"/>
                <w:sz w:val="24"/>
                <w:szCs w:val="24"/>
              </w:rPr>
              <w:t>L</w:t>
            </w:r>
            <w:r w:rsidRPr="00B24C1E">
              <w:rPr>
                <w:rFonts w:ascii="Book Antiqua" w:hAnsi="Book Antiqua"/>
                <w:sz w:val="24"/>
                <w:szCs w:val="24"/>
              </w:rPr>
              <w:t>ack</w:t>
            </w:r>
            <w:r>
              <w:rPr>
                <w:rFonts w:ascii="Book Antiqua" w:hAnsi="Book Antiqua"/>
                <w:sz w:val="24"/>
                <w:szCs w:val="24"/>
              </w:rPr>
              <w:t>s</w:t>
            </w:r>
            <w:r w:rsidRPr="00B24C1E">
              <w:rPr>
                <w:rFonts w:ascii="Book Antiqua" w:hAnsi="Book Antiqua"/>
                <w:sz w:val="24"/>
                <w:szCs w:val="24"/>
              </w:rPr>
              <w:t xml:space="preserve"> the ability to detect ADA in the presence of drug</w:t>
            </w:r>
          </w:p>
        </w:tc>
      </w:tr>
      <w:tr w:rsidR="00F22578" w:rsidRPr="00F22578" w14:paraId="137ECC17" w14:textId="77777777" w:rsidTr="007C676D">
        <w:trPr>
          <w:gridAfter w:val="5"/>
          <w:wAfter w:w="3759" w:type="dxa"/>
          <w:trHeight w:val="1468"/>
        </w:trPr>
        <w:tc>
          <w:tcPr>
            <w:tcW w:w="2278" w:type="dxa"/>
          </w:tcPr>
          <w:p w14:paraId="6217CE67" w14:textId="77777777" w:rsidR="00F22578" w:rsidRPr="00F22578" w:rsidRDefault="00F22578" w:rsidP="000F0CDF">
            <w:pPr>
              <w:spacing w:line="360" w:lineRule="auto"/>
              <w:jc w:val="both"/>
              <w:rPr>
                <w:rFonts w:ascii="Book Antiqua" w:hAnsi="Book Antiqua"/>
                <w:sz w:val="24"/>
                <w:szCs w:val="24"/>
              </w:rPr>
            </w:pPr>
            <w:r w:rsidRPr="00F22578">
              <w:rPr>
                <w:rFonts w:ascii="Book Antiqua" w:hAnsi="Book Antiqua"/>
                <w:sz w:val="24"/>
                <w:szCs w:val="24"/>
              </w:rPr>
              <w:t xml:space="preserve">Gils </w:t>
            </w:r>
            <w:r w:rsidR="000F0CDF" w:rsidRPr="000F0CDF">
              <w:rPr>
                <w:rFonts w:ascii="Book Antiqua" w:hAnsi="Book Antiqua"/>
                <w:i/>
                <w:sz w:val="24"/>
                <w:szCs w:val="24"/>
              </w:rPr>
              <w:t>et al</w:t>
            </w:r>
            <w:r w:rsidR="000F0CDF" w:rsidRPr="00523E72">
              <w:rPr>
                <w:rFonts w:ascii="Book Antiqua" w:hAnsi="Book Antiqua"/>
                <w:sz w:val="24"/>
                <w:szCs w:val="24"/>
                <w:vertAlign w:val="superscript"/>
              </w:rPr>
              <w:t>[</w:t>
            </w:r>
            <w:r w:rsidR="000F0CDF">
              <w:rPr>
                <w:rFonts w:ascii="Book Antiqua" w:hAnsi="Book Antiqua" w:hint="eastAsia"/>
                <w:sz w:val="24"/>
                <w:szCs w:val="24"/>
                <w:vertAlign w:val="superscript"/>
                <w:lang w:eastAsia="zh-CN"/>
              </w:rPr>
              <w:t>25</w:t>
            </w:r>
            <w:r w:rsidR="000F0CDF" w:rsidRPr="00C766B0">
              <w:rPr>
                <w:rFonts w:ascii="Book Antiqua" w:hAnsi="Book Antiqua"/>
                <w:sz w:val="24"/>
                <w:szCs w:val="24"/>
                <w:vertAlign w:val="superscript"/>
              </w:rPr>
              <w:t>]</w:t>
            </w:r>
          </w:p>
        </w:tc>
        <w:tc>
          <w:tcPr>
            <w:tcW w:w="1024" w:type="dxa"/>
          </w:tcPr>
          <w:p w14:paraId="46562E2B" w14:textId="77777777" w:rsidR="00F22578" w:rsidRPr="00F22578" w:rsidRDefault="00F22578" w:rsidP="00AD1560">
            <w:pPr>
              <w:spacing w:line="360" w:lineRule="auto"/>
              <w:jc w:val="both"/>
              <w:rPr>
                <w:rFonts w:ascii="Book Antiqua" w:hAnsi="Book Antiqua"/>
                <w:sz w:val="24"/>
                <w:szCs w:val="24"/>
              </w:rPr>
            </w:pPr>
          </w:p>
        </w:tc>
        <w:tc>
          <w:tcPr>
            <w:tcW w:w="1552" w:type="dxa"/>
          </w:tcPr>
          <w:p w14:paraId="7335FEE9" w14:textId="77777777" w:rsidR="00F22578" w:rsidRPr="00F22578" w:rsidRDefault="00F22578" w:rsidP="00AD1560">
            <w:pPr>
              <w:spacing w:line="360" w:lineRule="auto"/>
              <w:jc w:val="both"/>
              <w:rPr>
                <w:rFonts w:ascii="Book Antiqua" w:hAnsi="Book Antiqua"/>
                <w:sz w:val="24"/>
                <w:szCs w:val="24"/>
              </w:rPr>
            </w:pPr>
            <w:r w:rsidRPr="00F22578">
              <w:rPr>
                <w:rFonts w:ascii="Book Antiqua" w:hAnsi="Book Antiqua"/>
                <w:sz w:val="24"/>
                <w:szCs w:val="24"/>
              </w:rPr>
              <w:t>Solid-phase ELISA</w:t>
            </w:r>
          </w:p>
          <w:p w14:paraId="798121EF" w14:textId="77777777" w:rsidR="00F22578" w:rsidRPr="00F22578" w:rsidRDefault="00F22578" w:rsidP="00AD1560">
            <w:pPr>
              <w:spacing w:line="360" w:lineRule="auto"/>
              <w:jc w:val="both"/>
              <w:rPr>
                <w:rFonts w:ascii="Book Antiqua" w:hAnsi="Book Antiqua"/>
                <w:sz w:val="24"/>
                <w:szCs w:val="24"/>
              </w:rPr>
            </w:pPr>
          </w:p>
        </w:tc>
        <w:tc>
          <w:tcPr>
            <w:tcW w:w="236" w:type="dxa"/>
          </w:tcPr>
          <w:p w14:paraId="69FFC03D" w14:textId="77777777" w:rsidR="00F22578" w:rsidRPr="00F22578" w:rsidRDefault="00F22578" w:rsidP="00AD1560">
            <w:pPr>
              <w:spacing w:line="360" w:lineRule="auto"/>
              <w:jc w:val="both"/>
              <w:rPr>
                <w:rFonts w:ascii="Book Antiqua" w:hAnsi="Book Antiqua"/>
                <w:sz w:val="24"/>
                <w:szCs w:val="24"/>
              </w:rPr>
            </w:pPr>
          </w:p>
        </w:tc>
      </w:tr>
      <w:tr w:rsidR="00F22578" w:rsidRPr="00F22578" w14:paraId="274B3F67" w14:textId="77777777" w:rsidTr="007C676D">
        <w:trPr>
          <w:gridAfter w:val="2"/>
          <w:wAfter w:w="1166" w:type="dxa"/>
          <w:trHeight w:val="2348"/>
        </w:trPr>
        <w:tc>
          <w:tcPr>
            <w:tcW w:w="2278" w:type="dxa"/>
          </w:tcPr>
          <w:p w14:paraId="02683F5D" w14:textId="77777777" w:rsidR="00F22578" w:rsidRPr="00F22578" w:rsidRDefault="00F22578" w:rsidP="000F0CDF">
            <w:pPr>
              <w:spacing w:line="360" w:lineRule="auto"/>
              <w:jc w:val="both"/>
              <w:rPr>
                <w:rFonts w:ascii="Book Antiqua" w:hAnsi="Book Antiqua"/>
                <w:sz w:val="24"/>
                <w:szCs w:val="24"/>
              </w:rPr>
            </w:pPr>
            <w:proofErr w:type="spellStart"/>
            <w:r w:rsidRPr="00F22578">
              <w:rPr>
                <w:rFonts w:ascii="Book Antiqua" w:hAnsi="Book Antiqua"/>
                <w:sz w:val="24"/>
                <w:szCs w:val="24"/>
              </w:rPr>
              <w:t>Bloem</w:t>
            </w:r>
            <w:proofErr w:type="spellEnd"/>
            <w:r w:rsidR="000F0CDF" w:rsidRPr="000F0CDF">
              <w:rPr>
                <w:rFonts w:ascii="Book Antiqua" w:hAnsi="Book Antiqua"/>
                <w:i/>
                <w:sz w:val="24"/>
                <w:szCs w:val="24"/>
              </w:rPr>
              <w:t xml:space="preserve"> et al</w:t>
            </w:r>
            <w:r w:rsidR="000F0CDF" w:rsidRPr="00523E72">
              <w:rPr>
                <w:rFonts w:ascii="Book Antiqua" w:hAnsi="Book Antiqua"/>
                <w:sz w:val="24"/>
                <w:szCs w:val="24"/>
                <w:vertAlign w:val="superscript"/>
              </w:rPr>
              <w:t>[</w:t>
            </w:r>
            <w:r w:rsidR="000F0CDF">
              <w:rPr>
                <w:rFonts w:ascii="Book Antiqua" w:hAnsi="Book Antiqua" w:hint="eastAsia"/>
                <w:sz w:val="24"/>
                <w:szCs w:val="24"/>
                <w:vertAlign w:val="superscript"/>
                <w:lang w:eastAsia="zh-CN"/>
              </w:rPr>
              <w:t>31</w:t>
            </w:r>
            <w:r w:rsidR="000F0CDF" w:rsidRPr="00C766B0">
              <w:rPr>
                <w:rFonts w:ascii="Book Antiqua" w:hAnsi="Book Antiqua"/>
                <w:sz w:val="24"/>
                <w:szCs w:val="24"/>
                <w:vertAlign w:val="superscript"/>
              </w:rPr>
              <w:t>]</w:t>
            </w:r>
          </w:p>
        </w:tc>
        <w:tc>
          <w:tcPr>
            <w:tcW w:w="1024" w:type="dxa"/>
          </w:tcPr>
          <w:p w14:paraId="74537E51" w14:textId="77777777" w:rsidR="00F22578" w:rsidRPr="00F22578" w:rsidRDefault="00F22578" w:rsidP="00AD1560">
            <w:pPr>
              <w:spacing w:line="360" w:lineRule="auto"/>
              <w:jc w:val="both"/>
              <w:rPr>
                <w:rFonts w:ascii="Book Antiqua" w:hAnsi="Book Antiqua"/>
                <w:sz w:val="24"/>
                <w:szCs w:val="24"/>
              </w:rPr>
            </w:pPr>
          </w:p>
        </w:tc>
        <w:tc>
          <w:tcPr>
            <w:tcW w:w="1552" w:type="dxa"/>
          </w:tcPr>
          <w:p w14:paraId="4221D7B9" w14:textId="77777777" w:rsidR="00F22578" w:rsidRPr="00F22578" w:rsidRDefault="00B24C1E" w:rsidP="00AD1560">
            <w:pPr>
              <w:spacing w:line="360" w:lineRule="auto"/>
              <w:jc w:val="both"/>
              <w:rPr>
                <w:rFonts w:ascii="Book Antiqua" w:hAnsi="Book Antiqua"/>
                <w:sz w:val="24"/>
                <w:szCs w:val="24"/>
              </w:rPr>
            </w:pPr>
            <w:r w:rsidRPr="00B24C1E">
              <w:rPr>
                <w:rFonts w:ascii="Book Antiqua" w:hAnsi="Book Antiqua"/>
                <w:sz w:val="24"/>
                <w:szCs w:val="24"/>
              </w:rPr>
              <w:t>Drug tolerant ELISA</w:t>
            </w:r>
          </w:p>
        </w:tc>
        <w:tc>
          <w:tcPr>
            <w:tcW w:w="236" w:type="dxa"/>
          </w:tcPr>
          <w:p w14:paraId="275DAD26" w14:textId="77777777" w:rsidR="00F22578" w:rsidRPr="00F22578" w:rsidRDefault="00F22578" w:rsidP="00AD1560">
            <w:pPr>
              <w:spacing w:line="360" w:lineRule="auto"/>
              <w:jc w:val="both"/>
              <w:rPr>
                <w:rFonts w:ascii="Book Antiqua" w:hAnsi="Book Antiqua"/>
                <w:sz w:val="24"/>
                <w:szCs w:val="24"/>
              </w:rPr>
            </w:pPr>
          </w:p>
        </w:tc>
        <w:tc>
          <w:tcPr>
            <w:tcW w:w="2357" w:type="dxa"/>
            <w:gridSpan w:val="2"/>
          </w:tcPr>
          <w:p w14:paraId="4FC85595" w14:textId="77777777" w:rsidR="00F22578" w:rsidRPr="00F22578" w:rsidRDefault="00F22578" w:rsidP="00AD1560">
            <w:pPr>
              <w:spacing w:line="360" w:lineRule="auto"/>
              <w:jc w:val="both"/>
              <w:rPr>
                <w:rFonts w:ascii="Book Antiqua" w:hAnsi="Book Antiqua"/>
                <w:sz w:val="24"/>
                <w:szCs w:val="24"/>
              </w:rPr>
            </w:pPr>
          </w:p>
        </w:tc>
        <w:tc>
          <w:tcPr>
            <w:tcW w:w="236" w:type="dxa"/>
          </w:tcPr>
          <w:p w14:paraId="5388199B" w14:textId="77777777" w:rsidR="00F22578" w:rsidRPr="00F22578" w:rsidRDefault="00F22578" w:rsidP="00AD1560">
            <w:pPr>
              <w:spacing w:line="360" w:lineRule="auto"/>
              <w:jc w:val="both"/>
              <w:rPr>
                <w:rFonts w:ascii="Book Antiqua" w:hAnsi="Book Antiqua"/>
                <w:sz w:val="24"/>
                <w:szCs w:val="24"/>
              </w:rPr>
            </w:pPr>
          </w:p>
        </w:tc>
      </w:tr>
      <w:tr w:rsidR="00B24C1E" w:rsidRPr="00F22578" w14:paraId="389E550F" w14:textId="77777777" w:rsidTr="007C676D">
        <w:trPr>
          <w:gridAfter w:val="3"/>
          <w:wAfter w:w="1402" w:type="dxa"/>
          <w:trHeight w:val="1908"/>
        </w:trPr>
        <w:tc>
          <w:tcPr>
            <w:tcW w:w="2278" w:type="dxa"/>
            <w:tcBorders>
              <w:bottom w:val="single" w:sz="4" w:space="0" w:color="auto"/>
            </w:tcBorders>
          </w:tcPr>
          <w:p w14:paraId="0CCC2212" w14:textId="77777777" w:rsidR="006608FD" w:rsidRDefault="006608FD" w:rsidP="00AD1560">
            <w:pPr>
              <w:spacing w:line="360" w:lineRule="auto"/>
              <w:jc w:val="both"/>
              <w:rPr>
                <w:rFonts w:ascii="Book Antiqua" w:hAnsi="Book Antiqua"/>
                <w:sz w:val="24"/>
                <w:szCs w:val="24"/>
              </w:rPr>
            </w:pPr>
            <w:proofErr w:type="spellStart"/>
            <w:r>
              <w:rPr>
                <w:rFonts w:ascii="Book Antiqua" w:hAnsi="Book Antiqua"/>
                <w:sz w:val="24"/>
                <w:szCs w:val="24"/>
              </w:rPr>
              <w:t>Imaeda</w:t>
            </w:r>
            <w:proofErr w:type="spellEnd"/>
            <w:r>
              <w:rPr>
                <w:rFonts w:ascii="Book Antiqua" w:hAnsi="Book Antiqua"/>
                <w:sz w:val="24"/>
                <w:szCs w:val="24"/>
              </w:rPr>
              <w:t xml:space="preserve"> </w:t>
            </w:r>
            <w:r w:rsidR="000F0CDF" w:rsidRPr="000F0CDF">
              <w:rPr>
                <w:rFonts w:ascii="Book Antiqua" w:hAnsi="Book Antiqua"/>
                <w:i/>
                <w:sz w:val="24"/>
                <w:szCs w:val="24"/>
              </w:rPr>
              <w:t>et al</w:t>
            </w:r>
            <w:r w:rsidR="000F0CDF" w:rsidRPr="00523E72">
              <w:rPr>
                <w:rFonts w:ascii="Book Antiqua" w:hAnsi="Book Antiqua"/>
                <w:sz w:val="24"/>
                <w:szCs w:val="24"/>
                <w:vertAlign w:val="superscript"/>
              </w:rPr>
              <w:t>[</w:t>
            </w:r>
            <w:r w:rsidR="000F0CDF">
              <w:rPr>
                <w:rFonts w:ascii="Book Antiqua" w:hAnsi="Book Antiqua" w:hint="eastAsia"/>
                <w:sz w:val="24"/>
                <w:szCs w:val="24"/>
                <w:vertAlign w:val="superscript"/>
                <w:lang w:eastAsia="zh-CN"/>
              </w:rPr>
              <w:t>23</w:t>
            </w:r>
            <w:r w:rsidR="000F0CDF" w:rsidRPr="00C766B0">
              <w:rPr>
                <w:rFonts w:ascii="Book Antiqua" w:hAnsi="Book Antiqua"/>
                <w:sz w:val="24"/>
                <w:szCs w:val="24"/>
                <w:vertAlign w:val="superscript"/>
              </w:rPr>
              <w:t>]</w:t>
            </w:r>
          </w:p>
          <w:p w14:paraId="0E43C33D" w14:textId="77777777" w:rsidR="006608FD" w:rsidRDefault="006608FD" w:rsidP="00AD1560">
            <w:pPr>
              <w:spacing w:line="360" w:lineRule="auto"/>
              <w:jc w:val="both"/>
              <w:rPr>
                <w:rFonts w:ascii="Book Antiqua" w:hAnsi="Book Antiqua"/>
                <w:sz w:val="24"/>
                <w:szCs w:val="24"/>
              </w:rPr>
            </w:pPr>
          </w:p>
          <w:p w14:paraId="58A5C590" w14:textId="77777777" w:rsidR="006608FD" w:rsidRDefault="006608FD" w:rsidP="00AD1560">
            <w:pPr>
              <w:spacing w:line="360" w:lineRule="auto"/>
              <w:jc w:val="both"/>
              <w:rPr>
                <w:rFonts w:ascii="Book Antiqua" w:hAnsi="Book Antiqua"/>
                <w:sz w:val="24"/>
                <w:szCs w:val="24"/>
              </w:rPr>
            </w:pPr>
          </w:p>
          <w:p w14:paraId="6A990D50" w14:textId="77777777" w:rsidR="00B24C1E" w:rsidRPr="00F22578" w:rsidRDefault="00B24C1E" w:rsidP="000F0CDF">
            <w:pPr>
              <w:spacing w:line="360" w:lineRule="auto"/>
              <w:jc w:val="both"/>
              <w:rPr>
                <w:rFonts w:ascii="Book Antiqua" w:hAnsi="Book Antiqua"/>
                <w:sz w:val="24"/>
                <w:szCs w:val="24"/>
              </w:rPr>
            </w:pPr>
            <w:r>
              <w:rPr>
                <w:rFonts w:ascii="Book Antiqua" w:hAnsi="Book Antiqua"/>
                <w:sz w:val="24"/>
                <w:szCs w:val="24"/>
              </w:rPr>
              <w:t xml:space="preserve">Van </w:t>
            </w:r>
            <w:proofErr w:type="spellStart"/>
            <w:r>
              <w:rPr>
                <w:rFonts w:ascii="Book Antiqua" w:hAnsi="Book Antiqua"/>
                <w:sz w:val="24"/>
                <w:szCs w:val="24"/>
              </w:rPr>
              <w:t>Stappen</w:t>
            </w:r>
            <w:proofErr w:type="spellEnd"/>
            <w:r>
              <w:rPr>
                <w:rFonts w:ascii="Book Antiqua" w:hAnsi="Book Antiqua"/>
                <w:sz w:val="24"/>
                <w:szCs w:val="24"/>
              </w:rPr>
              <w:t xml:space="preserve"> </w:t>
            </w:r>
            <w:r w:rsidR="000F0CDF" w:rsidRPr="000F0CDF">
              <w:rPr>
                <w:rFonts w:ascii="Book Antiqua" w:hAnsi="Book Antiqua"/>
                <w:i/>
                <w:sz w:val="24"/>
                <w:szCs w:val="24"/>
              </w:rPr>
              <w:t>et al</w:t>
            </w:r>
            <w:r w:rsidR="000F0CDF" w:rsidRPr="00523E72">
              <w:rPr>
                <w:rFonts w:ascii="Book Antiqua" w:hAnsi="Book Antiqua"/>
                <w:sz w:val="24"/>
                <w:szCs w:val="24"/>
                <w:vertAlign w:val="superscript"/>
              </w:rPr>
              <w:t>[</w:t>
            </w:r>
            <w:r w:rsidR="000F0CDF">
              <w:rPr>
                <w:rFonts w:ascii="Book Antiqua" w:hAnsi="Book Antiqua" w:hint="eastAsia"/>
                <w:sz w:val="24"/>
                <w:szCs w:val="24"/>
                <w:vertAlign w:val="superscript"/>
                <w:lang w:eastAsia="zh-CN"/>
              </w:rPr>
              <w:t>32</w:t>
            </w:r>
            <w:r w:rsidR="000F0CDF" w:rsidRPr="00C766B0">
              <w:rPr>
                <w:rFonts w:ascii="Book Antiqua" w:hAnsi="Book Antiqua"/>
                <w:sz w:val="24"/>
                <w:szCs w:val="24"/>
                <w:vertAlign w:val="superscript"/>
              </w:rPr>
              <w:t>]</w:t>
            </w:r>
          </w:p>
        </w:tc>
        <w:tc>
          <w:tcPr>
            <w:tcW w:w="1024" w:type="dxa"/>
            <w:tcBorders>
              <w:bottom w:val="single" w:sz="4" w:space="0" w:color="auto"/>
            </w:tcBorders>
          </w:tcPr>
          <w:p w14:paraId="0CA09467" w14:textId="77777777" w:rsidR="00B24C1E" w:rsidRPr="00F22578" w:rsidRDefault="00B24C1E" w:rsidP="00AD1560">
            <w:pPr>
              <w:spacing w:line="360" w:lineRule="auto"/>
              <w:jc w:val="both"/>
              <w:rPr>
                <w:rFonts w:ascii="Book Antiqua" w:hAnsi="Book Antiqua"/>
                <w:sz w:val="24"/>
                <w:szCs w:val="24"/>
              </w:rPr>
            </w:pPr>
          </w:p>
        </w:tc>
        <w:tc>
          <w:tcPr>
            <w:tcW w:w="1552" w:type="dxa"/>
            <w:tcBorders>
              <w:bottom w:val="single" w:sz="4" w:space="0" w:color="auto"/>
            </w:tcBorders>
          </w:tcPr>
          <w:p w14:paraId="0769DAD6" w14:textId="77777777" w:rsidR="006608FD" w:rsidRDefault="006608FD" w:rsidP="00AD1560">
            <w:pPr>
              <w:spacing w:line="360" w:lineRule="auto"/>
              <w:jc w:val="both"/>
              <w:rPr>
                <w:rFonts w:ascii="Book Antiqua" w:hAnsi="Book Antiqua"/>
                <w:sz w:val="24"/>
                <w:szCs w:val="24"/>
              </w:rPr>
            </w:pPr>
            <w:r>
              <w:rPr>
                <w:rFonts w:ascii="Book Antiqua" w:hAnsi="Book Antiqua"/>
                <w:sz w:val="24"/>
                <w:szCs w:val="24"/>
              </w:rPr>
              <w:t>ELISA</w:t>
            </w:r>
          </w:p>
          <w:p w14:paraId="02FCE5B0" w14:textId="77777777" w:rsidR="006608FD" w:rsidRDefault="006608FD" w:rsidP="00AD1560">
            <w:pPr>
              <w:spacing w:line="360" w:lineRule="auto"/>
              <w:jc w:val="both"/>
              <w:rPr>
                <w:rFonts w:ascii="Book Antiqua" w:hAnsi="Book Antiqua"/>
                <w:sz w:val="24"/>
                <w:szCs w:val="24"/>
              </w:rPr>
            </w:pPr>
          </w:p>
          <w:p w14:paraId="3B044F47" w14:textId="77777777" w:rsidR="006608FD" w:rsidRDefault="006608FD" w:rsidP="00AD1560">
            <w:pPr>
              <w:spacing w:line="360" w:lineRule="auto"/>
              <w:jc w:val="both"/>
              <w:rPr>
                <w:rFonts w:ascii="Book Antiqua" w:hAnsi="Book Antiqua"/>
                <w:sz w:val="24"/>
                <w:szCs w:val="24"/>
              </w:rPr>
            </w:pPr>
          </w:p>
          <w:p w14:paraId="2F62356E" w14:textId="77777777" w:rsidR="006608FD" w:rsidRDefault="006608FD" w:rsidP="00AD1560">
            <w:pPr>
              <w:spacing w:line="360" w:lineRule="auto"/>
              <w:jc w:val="both"/>
              <w:rPr>
                <w:rFonts w:ascii="Book Antiqua" w:hAnsi="Book Antiqua"/>
                <w:sz w:val="24"/>
                <w:szCs w:val="24"/>
              </w:rPr>
            </w:pPr>
          </w:p>
          <w:p w14:paraId="65A8973F" w14:textId="77777777" w:rsidR="00B24C1E" w:rsidRPr="00F22578" w:rsidRDefault="00B24C1E" w:rsidP="00AD1560">
            <w:pPr>
              <w:spacing w:line="360" w:lineRule="auto"/>
              <w:jc w:val="both"/>
              <w:rPr>
                <w:rFonts w:ascii="Book Antiqua" w:hAnsi="Book Antiqua"/>
                <w:sz w:val="24"/>
                <w:szCs w:val="24"/>
              </w:rPr>
            </w:pPr>
            <w:r>
              <w:rPr>
                <w:rFonts w:ascii="Book Antiqua" w:hAnsi="Book Antiqua"/>
                <w:sz w:val="24"/>
                <w:szCs w:val="24"/>
              </w:rPr>
              <w:t>ELISA</w:t>
            </w:r>
          </w:p>
        </w:tc>
        <w:tc>
          <w:tcPr>
            <w:tcW w:w="236" w:type="dxa"/>
            <w:tcBorders>
              <w:bottom w:val="single" w:sz="4" w:space="0" w:color="auto"/>
            </w:tcBorders>
          </w:tcPr>
          <w:p w14:paraId="0FBF475F" w14:textId="77777777" w:rsidR="00B24C1E" w:rsidRPr="00F22578" w:rsidRDefault="00B24C1E" w:rsidP="00AD1560">
            <w:pPr>
              <w:spacing w:line="360" w:lineRule="auto"/>
              <w:jc w:val="both"/>
              <w:rPr>
                <w:rFonts w:ascii="Book Antiqua" w:hAnsi="Book Antiqua"/>
                <w:sz w:val="24"/>
                <w:szCs w:val="24"/>
              </w:rPr>
            </w:pPr>
          </w:p>
        </w:tc>
        <w:tc>
          <w:tcPr>
            <w:tcW w:w="2106" w:type="dxa"/>
            <w:tcBorders>
              <w:bottom w:val="single" w:sz="4" w:space="0" w:color="auto"/>
            </w:tcBorders>
          </w:tcPr>
          <w:p w14:paraId="3821C82D" w14:textId="77777777" w:rsidR="006608FD" w:rsidRDefault="006608FD" w:rsidP="00AD1560">
            <w:pPr>
              <w:jc w:val="both"/>
              <w:rPr>
                <w:rFonts w:ascii="Book Antiqua" w:hAnsi="Book Antiqua"/>
                <w:sz w:val="24"/>
                <w:szCs w:val="24"/>
              </w:rPr>
            </w:pPr>
            <w:r w:rsidRPr="006608FD">
              <w:rPr>
                <w:rFonts w:ascii="Book Antiqua" w:hAnsi="Book Antiqua"/>
                <w:sz w:val="24"/>
                <w:szCs w:val="24"/>
              </w:rPr>
              <w:t>Measures AAAs in the presence of free ADA</w:t>
            </w:r>
          </w:p>
          <w:p w14:paraId="030936D3" w14:textId="77777777" w:rsidR="006608FD" w:rsidRDefault="006608FD" w:rsidP="00AD1560">
            <w:pPr>
              <w:jc w:val="both"/>
              <w:rPr>
                <w:rFonts w:ascii="Book Antiqua" w:hAnsi="Book Antiqua"/>
                <w:sz w:val="24"/>
                <w:szCs w:val="24"/>
              </w:rPr>
            </w:pPr>
          </w:p>
          <w:p w14:paraId="1388F347" w14:textId="77777777" w:rsidR="006608FD" w:rsidRDefault="006608FD" w:rsidP="00AD1560">
            <w:pPr>
              <w:jc w:val="both"/>
              <w:rPr>
                <w:rFonts w:ascii="Book Antiqua" w:hAnsi="Book Antiqua"/>
                <w:sz w:val="24"/>
                <w:szCs w:val="24"/>
              </w:rPr>
            </w:pPr>
          </w:p>
          <w:p w14:paraId="07E9AE3C" w14:textId="77777777" w:rsidR="00B24C1E" w:rsidRPr="00F22578" w:rsidRDefault="00B24C1E" w:rsidP="00AD1560">
            <w:pPr>
              <w:jc w:val="both"/>
              <w:rPr>
                <w:rFonts w:ascii="Book Antiqua" w:hAnsi="Book Antiqua"/>
                <w:sz w:val="24"/>
                <w:szCs w:val="24"/>
              </w:rPr>
            </w:pPr>
            <w:r w:rsidRPr="00B24C1E">
              <w:rPr>
                <w:rFonts w:ascii="Book Antiqua" w:hAnsi="Book Antiqua"/>
                <w:sz w:val="24"/>
                <w:szCs w:val="24"/>
              </w:rPr>
              <w:t>Converts drug-sensitive bridging ELISA into a drug-tolerant bridging ELISA</w:t>
            </w:r>
          </w:p>
        </w:tc>
        <w:tc>
          <w:tcPr>
            <w:tcW w:w="251" w:type="dxa"/>
            <w:tcBorders>
              <w:bottom w:val="single" w:sz="4" w:space="0" w:color="auto"/>
            </w:tcBorders>
          </w:tcPr>
          <w:p w14:paraId="2ACDEA32" w14:textId="77777777" w:rsidR="00B24C1E" w:rsidRPr="00F22578" w:rsidRDefault="00B24C1E" w:rsidP="00AD1560">
            <w:pPr>
              <w:jc w:val="both"/>
              <w:rPr>
                <w:rFonts w:ascii="Book Antiqua" w:hAnsi="Book Antiqua"/>
                <w:sz w:val="24"/>
                <w:szCs w:val="24"/>
              </w:rPr>
            </w:pPr>
          </w:p>
        </w:tc>
      </w:tr>
    </w:tbl>
    <w:p w14:paraId="2D31F292" w14:textId="77777777" w:rsidR="00152AB8" w:rsidRPr="00E75F6C" w:rsidRDefault="00152AB8" w:rsidP="00AD1560">
      <w:pPr>
        <w:spacing w:after="0" w:line="360" w:lineRule="auto"/>
        <w:jc w:val="both"/>
        <w:rPr>
          <w:rFonts w:ascii="Book Antiqua" w:hAnsi="Book Antiqua"/>
          <w:sz w:val="24"/>
          <w:szCs w:val="24"/>
        </w:rPr>
      </w:pPr>
    </w:p>
    <w:p w14:paraId="7033A7DF" w14:textId="77777777" w:rsidR="001952F6" w:rsidRPr="00E75F6C" w:rsidRDefault="001952F6" w:rsidP="00AD1560">
      <w:pPr>
        <w:spacing w:after="0" w:line="360" w:lineRule="auto"/>
        <w:jc w:val="both"/>
        <w:rPr>
          <w:rFonts w:ascii="Book Antiqua" w:hAnsi="Book Antiqua"/>
          <w:sz w:val="24"/>
          <w:szCs w:val="24"/>
        </w:rPr>
      </w:pPr>
    </w:p>
    <w:p w14:paraId="08BC183E" w14:textId="77777777" w:rsidR="007C676D" w:rsidRDefault="007C676D">
      <w:pPr>
        <w:rPr>
          <w:rFonts w:ascii="Book Antiqua" w:hAnsi="Book Antiqua"/>
          <w:b/>
          <w:sz w:val="24"/>
          <w:szCs w:val="24"/>
        </w:rPr>
      </w:pPr>
      <w:r>
        <w:rPr>
          <w:rFonts w:ascii="Book Antiqua" w:hAnsi="Book Antiqua"/>
          <w:b/>
          <w:sz w:val="24"/>
          <w:szCs w:val="24"/>
        </w:rPr>
        <w:br w:type="page"/>
      </w:r>
    </w:p>
    <w:p w14:paraId="32FAAA50" w14:textId="77777777" w:rsidR="00EC3A47" w:rsidRPr="000F0CDF" w:rsidRDefault="007F04D1" w:rsidP="00AD1560">
      <w:pPr>
        <w:spacing w:after="0" w:line="360" w:lineRule="auto"/>
        <w:jc w:val="both"/>
        <w:rPr>
          <w:rFonts w:ascii="Book Antiqua" w:hAnsi="Book Antiqua"/>
          <w:b/>
          <w:sz w:val="24"/>
          <w:szCs w:val="24"/>
          <w:lang w:eastAsia="zh-CN"/>
        </w:rPr>
      </w:pPr>
      <w:r w:rsidRPr="000F0CDF">
        <w:rPr>
          <w:rFonts w:ascii="Book Antiqua" w:hAnsi="Book Antiqua"/>
          <w:b/>
          <w:sz w:val="24"/>
          <w:szCs w:val="24"/>
        </w:rPr>
        <w:lastRenderedPageBreak/>
        <w:t>Table 3</w:t>
      </w:r>
      <w:r w:rsidR="00A81ADE" w:rsidRPr="000F0CDF">
        <w:rPr>
          <w:rFonts w:ascii="Book Antiqua" w:hAnsi="Book Antiqua"/>
          <w:b/>
          <w:sz w:val="24"/>
          <w:szCs w:val="24"/>
        </w:rPr>
        <w:t xml:space="preserve"> </w:t>
      </w:r>
      <w:r w:rsidR="00EC3A47" w:rsidRPr="000F0CDF">
        <w:rPr>
          <w:rFonts w:ascii="Book Antiqua" w:hAnsi="Book Antiqua"/>
          <w:b/>
          <w:sz w:val="24"/>
          <w:szCs w:val="24"/>
        </w:rPr>
        <w:t>Relationship between infliximab tr</w:t>
      </w:r>
      <w:r w:rsidR="000F0CDF" w:rsidRPr="000F0CDF">
        <w:rPr>
          <w:rFonts w:ascii="Book Antiqua" w:hAnsi="Book Antiqua"/>
          <w:b/>
          <w:sz w:val="24"/>
          <w:szCs w:val="24"/>
        </w:rPr>
        <w:t>ough levels and response rates</w:t>
      </w:r>
    </w:p>
    <w:p w14:paraId="556483D8" w14:textId="77777777" w:rsidR="00EC3A47" w:rsidRPr="007C676D" w:rsidRDefault="00EC3A47" w:rsidP="00AD1560">
      <w:pPr>
        <w:pBdr>
          <w:bottom w:val="single" w:sz="4" w:space="1" w:color="auto"/>
        </w:pBdr>
        <w:spacing w:after="0" w:line="360" w:lineRule="auto"/>
        <w:jc w:val="both"/>
        <w:rPr>
          <w:rFonts w:ascii="Book Antiqua" w:hAnsi="Book Antiqua"/>
          <w:sz w:val="24"/>
          <w:szCs w:val="24"/>
        </w:rPr>
      </w:pPr>
    </w:p>
    <w:tbl>
      <w:tblPr>
        <w:tblStyle w:val="a4"/>
        <w:tblW w:w="964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2"/>
        <w:gridCol w:w="1239"/>
        <w:gridCol w:w="1903"/>
        <w:gridCol w:w="2976"/>
        <w:gridCol w:w="1560"/>
      </w:tblGrid>
      <w:tr w:rsidR="000F0CDF" w:rsidRPr="00E75F6C" w14:paraId="66A89882" w14:textId="77777777" w:rsidTr="00A40C38">
        <w:trPr>
          <w:trHeight w:val="1607"/>
        </w:trPr>
        <w:tc>
          <w:tcPr>
            <w:tcW w:w="1962" w:type="dxa"/>
          </w:tcPr>
          <w:p w14:paraId="0C22EBEF" w14:textId="2269E7F1" w:rsidR="000F0CDF" w:rsidRPr="000F0CDF" w:rsidRDefault="00A40C38" w:rsidP="00AD1560">
            <w:pPr>
              <w:spacing w:line="360" w:lineRule="auto"/>
              <w:jc w:val="both"/>
              <w:rPr>
                <w:rFonts w:ascii="Book Antiqua" w:hAnsi="Book Antiqua"/>
                <w:b/>
                <w:sz w:val="24"/>
                <w:szCs w:val="24"/>
                <w:lang w:eastAsia="zh-CN"/>
              </w:rPr>
            </w:pPr>
            <w:r>
              <w:rPr>
                <w:rFonts w:ascii="Book Antiqua" w:hAnsi="Book Antiqua" w:hint="eastAsia"/>
                <w:b/>
                <w:sz w:val="24"/>
                <w:szCs w:val="24"/>
                <w:lang w:eastAsia="zh-CN"/>
              </w:rPr>
              <w:t>Ref.</w:t>
            </w:r>
          </w:p>
        </w:tc>
        <w:tc>
          <w:tcPr>
            <w:tcW w:w="1239" w:type="dxa"/>
          </w:tcPr>
          <w:p w14:paraId="32C1E9F8" w14:textId="77777777" w:rsidR="000F0CDF" w:rsidRPr="000F0CDF" w:rsidRDefault="000F0CDF" w:rsidP="000F0CDF">
            <w:pPr>
              <w:spacing w:line="360" w:lineRule="auto"/>
              <w:jc w:val="both"/>
              <w:rPr>
                <w:rFonts w:ascii="Book Antiqua" w:hAnsi="Book Antiqua"/>
                <w:b/>
                <w:sz w:val="24"/>
                <w:szCs w:val="24"/>
              </w:rPr>
            </w:pPr>
            <w:r w:rsidRPr="000F0CDF">
              <w:rPr>
                <w:rFonts w:ascii="Book Antiqua" w:hAnsi="Book Antiqua"/>
                <w:b/>
                <w:i/>
                <w:sz w:val="24"/>
                <w:szCs w:val="24"/>
              </w:rPr>
              <w:t>n</w:t>
            </w:r>
            <w:r w:rsidRPr="000F0CDF">
              <w:rPr>
                <w:rFonts w:ascii="Book Antiqua" w:hAnsi="Book Antiqua" w:hint="eastAsia"/>
                <w:b/>
                <w:sz w:val="24"/>
                <w:szCs w:val="24"/>
                <w:lang w:eastAsia="zh-CN"/>
              </w:rPr>
              <w:t xml:space="preserve"> </w:t>
            </w:r>
          </w:p>
        </w:tc>
        <w:tc>
          <w:tcPr>
            <w:tcW w:w="1903" w:type="dxa"/>
          </w:tcPr>
          <w:p w14:paraId="5439A722" w14:textId="77777777" w:rsidR="000F0CDF" w:rsidRPr="000F0CDF" w:rsidRDefault="000F0CDF" w:rsidP="00AD1560">
            <w:pPr>
              <w:spacing w:line="360" w:lineRule="auto"/>
              <w:jc w:val="both"/>
              <w:rPr>
                <w:rFonts w:ascii="Book Antiqua" w:hAnsi="Book Antiqua"/>
                <w:b/>
                <w:sz w:val="24"/>
                <w:szCs w:val="24"/>
              </w:rPr>
            </w:pPr>
            <w:r w:rsidRPr="000F0CDF">
              <w:rPr>
                <w:rFonts w:ascii="Book Antiqua" w:hAnsi="Book Antiqua"/>
                <w:b/>
                <w:sz w:val="24"/>
                <w:szCs w:val="24"/>
              </w:rPr>
              <w:t xml:space="preserve">Mean IFX trough levels </w:t>
            </w:r>
            <w:proofErr w:type="spellStart"/>
            <w:r w:rsidRPr="000F0CDF">
              <w:rPr>
                <w:rFonts w:ascii="Book Antiqua" w:hAnsi="Book Antiqua"/>
                <w:b/>
                <w:sz w:val="24"/>
                <w:szCs w:val="24"/>
              </w:rPr>
              <w:t>ug</w:t>
            </w:r>
            <w:proofErr w:type="spellEnd"/>
            <w:r w:rsidRPr="000F0CDF">
              <w:rPr>
                <w:rFonts w:ascii="Book Antiqua" w:hAnsi="Book Antiqua"/>
                <w:b/>
                <w:sz w:val="24"/>
                <w:szCs w:val="24"/>
              </w:rPr>
              <w:t xml:space="preserve">/ml </w:t>
            </w:r>
          </w:p>
          <w:p w14:paraId="42CDAD9A" w14:textId="77777777" w:rsidR="000F0CDF" w:rsidRPr="000F0CDF" w:rsidRDefault="000F0CDF" w:rsidP="00AD1560">
            <w:pPr>
              <w:spacing w:line="360" w:lineRule="auto"/>
              <w:jc w:val="both"/>
              <w:rPr>
                <w:rFonts w:ascii="Book Antiqua" w:hAnsi="Book Antiqua"/>
                <w:b/>
                <w:sz w:val="24"/>
                <w:szCs w:val="24"/>
              </w:rPr>
            </w:pPr>
            <w:r w:rsidRPr="000F0CDF">
              <w:rPr>
                <w:rFonts w:ascii="Book Antiqua" w:hAnsi="Book Antiqua"/>
                <w:b/>
                <w:sz w:val="24"/>
                <w:szCs w:val="24"/>
              </w:rPr>
              <w:t>Lost response</w:t>
            </w:r>
          </w:p>
        </w:tc>
        <w:tc>
          <w:tcPr>
            <w:tcW w:w="2976" w:type="dxa"/>
          </w:tcPr>
          <w:p w14:paraId="6789B626" w14:textId="77777777" w:rsidR="000F0CDF" w:rsidRPr="000F0CDF" w:rsidRDefault="000F0CDF" w:rsidP="00AD1560">
            <w:pPr>
              <w:spacing w:line="360" w:lineRule="auto"/>
              <w:jc w:val="both"/>
              <w:rPr>
                <w:rFonts w:ascii="Book Antiqua" w:hAnsi="Book Antiqua"/>
                <w:b/>
                <w:sz w:val="24"/>
                <w:szCs w:val="24"/>
              </w:rPr>
            </w:pPr>
            <w:proofErr w:type="spellStart"/>
            <w:r w:rsidRPr="000F0CDF">
              <w:rPr>
                <w:rFonts w:ascii="Book Antiqua" w:hAnsi="Book Antiqua"/>
                <w:b/>
                <w:sz w:val="24"/>
                <w:szCs w:val="24"/>
              </w:rPr>
              <w:t>MeanIFX</w:t>
            </w:r>
            <w:proofErr w:type="spellEnd"/>
            <w:r w:rsidRPr="000F0CDF">
              <w:rPr>
                <w:rFonts w:ascii="Book Antiqua" w:hAnsi="Book Antiqua"/>
                <w:b/>
                <w:sz w:val="24"/>
                <w:szCs w:val="24"/>
              </w:rPr>
              <w:t xml:space="preserve"> trough levels </w:t>
            </w:r>
            <w:proofErr w:type="spellStart"/>
            <w:r w:rsidRPr="000F0CDF">
              <w:rPr>
                <w:rFonts w:ascii="Book Antiqua" w:hAnsi="Book Antiqua"/>
                <w:b/>
                <w:sz w:val="24"/>
                <w:szCs w:val="24"/>
              </w:rPr>
              <w:t>ug</w:t>
            </w:r>
            <w:proofErr w:type="spellEnd"/>
            <w:r w:rsidRPr="000F0CDF">
              <w:rPr>
                <w:rFonts w:ascii="Book Antiqua" w:hAnsi="Book Antiqua"/>
                <w:b/>
                <w:sz w:val="24"/>
                <w:szCs w:val="24"/>
              </w:rPr>
              <w:t xml:space="preserve">/ml </w:t>
            </w:r>
          </w:p>
          <w:p w14:paraId="291DBB67" w14:textId="77777777" w:rsidR="000F0CDF" w:rsidRPr="000F0CDF" w:rsidRDefault="000F0CDF" w:rsidP="00AD1560">
            <w:pPr>
              <w:spacing w:line="360" w:lineRule="auto"/>
              <w:jc w:val="both"/>
              <w:rPr>
                <w:rFonts w:ascii="Book Antiqua" w:hAnsi="Book Antiqua"/>
                <w:b/>
                <w:sz w:val="24"/>
                <w:szCs w:val="24"/>
              </w:rPr>
            </w:pPr>
            <w:r w:rsidRPr="000F0CDF">
              <w:rPr>
                <w:rFonts w:ascii="Book Antiqua" w:hAnsi="Book Antiqua"/>
                <w:b/>
                <w:sz w:val="24"/>
                <w:szCs w:val="24"/>
              </w:rPr>
              <w:t>Maintained response</w:t>
            </w:r>
          </w:p>
        </w:tc>
        <w:tc>
          <w:tcPr>
            <w:tcW w:w="1560" w:type="dxa"/>
          </w:tcPr>
          <w:p w14:paraId="74AB31F6" w14:textId="77777777" w:rsidR="000F0CDF" w:rsidRPr="000F0CDF" w:rsidRDefault="000F0CDF" w:rsidP="00AD1560">
            <w:pPr>
              <w:spacing w:line="360" w:lineRule="auto"/>
              <w:jc w:val="both"/>
              <w:rPr>
                <w:rFonts w:ascii="Book Antiqua" w:hAnsi="Book Antiqua"/>
                <w:b/>
                <w:sz w:val="24"/>
                <w:szCs w:val="24"/>
              </w:rPr>
            </w:pPr>
            <w:r w:rsidRPr="000F0CDF">
              <w:rPr>
                <w:rFonts w:ascii="Book Antiqua" w:hAnsi="Book Antiqua"/>
                <w:b/>
                <w:i/>
                <w:sz w:val="24"/>
                <w:szCs w:val="24"/>
              </w:rPr>
              <w:t>P</w:t>
            </w:r>
            <w:r w:rsidRPr="000F0CDF">
              <w:rPr>
                <w:rFonts w:ascii="Book Antiqua" w:hAnsi="Book Antiqua"/>
                <w:b/>
                <w:sz w:val="24"/>
                <w:szCs w:val="24"/>
              </w:rPr>
              <w:t xml:space="preserve"> value</w:t>
            </w:r>
          </w:p>
        </w:tc>
      </w:tr>
      <w:tr w:rsidR="000F0CDF" w:rsidRPr="00E75F6C" w14:paraId="6B98917F" w14:textId="77777777" w:rsidTr="00A40C38">
        <w:tc>
          <w:tcPr>
            <w:tcW w:w="1962" w:type="dxa"/>
            <w:tcBorders>
              <w:top w:val="single" w:sz="4" w:space="0" w:color="auto"/>
            </w:tcBorders>
          </w:tcPr>
          <w:p w14:paraId="6CEFB407" w14:textId="77777777" w:rsidR="000F0CDF" w:rsidRPr="00E75F6C" w:rsidRDefault="000F0CDF" w:rsidP="00AD1560">
            <w:pPr>
              <w:spacing w:line="360" w:lineRule="auto"/>
              <w:jc w:val="both"/>
              <w:rPr>
                <w:rFonts w:ascii="Book Antiqua" w:hAnsi="Book Antiqua"/>
                <w:sz w:val="24"/>
                <w:szCs w:val="24"/>
              </w:rPr>
            </w:pPr>
            <w:r w:rsidRPr="00E75F6C">
              <w:rPr>
                <w:rFonts w:ascii="Book Antiqua" w:hAnsi="Book Antiqua"/>
                <w:sz w:val="24"/>
                <w:szCs w:val="24"/>
              </w:rPr>
              <w:t xml:space="preserve">Ainsworth </w:t>
            </w:r>
            <w:r w:rsidRPr="000F0CDF">
              <w:rPr>
                <w:rFonts w:ascii="Book Antiqua" w:hAnsi="Book Antiqua"/>
                <w:i/>
                <w:sz w:val="24"/>
                <w:szCs w:val="24"/>
              </w:rPr>
              <w:t>et al</w:t>
            </w:r>
            <w:r w:rsidRPr="00523E72">
              <w:rPr>
                <w:rFonts w:ascii="Book Antiqua" w:hAnsi="Book Antiqua"/>
                <w:sz w:val="24"/>
                <w:szCs w:val="24"/>
                <w:vertAlign w:val="superscript"/>
              </w:rPr>
              <w:t>[</w:t>
            </w:r>
            <w:r w:rsidRPr="00D17025">
              <w:rPr>
                <w:rFonts w:ascii="Book Antiqua" w:hAnsi="Book Antiqua"/>
                <w:sz w:val="24"/>
                <w:szCs w:val="24"/>
                <w:vertAlign w:val="superscript"/>
              </w:rPr>
              <w:t>3</w:t>
            </w:r>
            <w:r>
              <w:rPr>
                <w:rFonts w:ascii="Book Antiqua" w:hAnsi="Book Antiqua"/>
                <w:sz w:val="24"/>
                <w:szCs w:val="24"/>
                <w:vertAlign w:val="superscript"/>
              </w:rPr>
              <w:t>4</w:t>
            </w:r>
            <w:r w:rsidRPr="00D17025">
              <w:rPr>
                <w:rFonts w:ascii="Book Antiqua" w:hAnsi="Book Antiqua"/>
                <w:sz w:val="24"/>
                <w:szCs w:val="24"/>
                <w:vertAlign w:val="superscript"/>
              </w:rPr>
              <w:t>]</w:t>
            </w:r>
          </w:p>
        </w:tc>
        <w:tc>
          <w:tcPr>
            <w:tcW w:w="1239" w:type="dxa"/>
            <w:tcBorders>
              <w:top w:val="single" w:sz="4" w:space="0" w:color="auto"/>
            </w:tcBorders>
          </w:tcPr>
          <w:p w14:paraId="42DA5399" w14:textId="77777777" w:rsidR="000F0CDF" w:rsidRPr="00E75F6C" w:rsidRDefault="000F0CDF" w:rsidP="00AD1560">
            <w:pPr>
              <w:spacing w:line="360" w:lineRule="auto"/>
              <w:jc w:val="both"/>
              <w:rPr>
                <w:rFonts w:ascii="Book Antiqua" w:hAnsi="Book Antiqua"/>
                <w:sz w:val="24"/>
                <w:szCs w:val="24"/>
              </w:rPr>
            </w:pPr>
            <w:r w:rsidRPr="00E75F6C">
              <w:rPr>
                <w:rFonts w:ascii="Book Antiqua" w:hAnsi="Book Antiqua"/>
                <w:sz w:val="24"/>
                <w:szCs w:val="24"/>
              </w:rPr>
              <w:t>27</w:t>
            </w:r>
          </w:p>
        </w:tc>
        <w:tc>
          <w:tcPr>
            <w:tcW w:w="1903" w:type="dxa"/>
            <w:tcBorders>
              <w:top w:val="single" w:sz="4" w:space="0" w:color="auto"/>
            </w:tcBorders>
          </w:tcPr>
          <w:p w14:paraId="4CC5F384" w14:textId="77777777" w:rsidR="000F0CDF" w:rsidRPr="00E75F6C" w:rsidRDefault="000F0CDF" w:rsidP="00AD1560">
            <w:pPr>
              <w:spacing w:line="360" w:lineRule="auto"/>
              <w:jc w:val="both"/>
              <w:rPr>
                <w:rFonts w:ascii="Book Antiqua" w:hAnsi="Book Antiqua"/>
                <w:sz w:val="24"/>
                <w:szCs w:val="24"/>
              </w:rPr>
            </w:pPr>
            <w:r w:rsidRPr="00E75F6C">
              <w:rPr>
                <w:rFonts w:ascii="Book Antiqua" w:hAnsi="Book Antiqua"/>
                <w:sz w:val="24"/>
                <w:szCs w:val="24"/>
              </w:rPr>
              <w:t>0 (0–0.1</w:t>
            </w:r>
          </w:p>
        </w:tc>
        <w:tc>
          <w:tcPr>
            <w:tcW w:w="2976" w:type="dxa"/>
            <w:tcBorders>
              <w:top w:val="single" w:sz="4" w:space="0" w:color="auto"/>
            </w:tcBorders>
          </w:tcPr>
          <w:p w14:paraId="611BEE1C" w14:textId="77777777" w:rsidR="000F0CDF" w:rsidRPr="00E75F6C" w:rsidRDefault="000F0CDF" w:rsidP="00AD1560">
            <w:pPr>
              <w:spacing w:line="360" w:lineRule="auto"/>
              <w:jc w:val="both"/>
              <w:rPr>
                <w:rFonts w:ascii="Book Antiqua" w:hAnsi="Book Antiqua"/>
                <w:sz w:val="24"/>
                <w:szCs w:val="24"/>
                <w:lang w:eastAsia="zh-CN"/>
              </w:rPr>
            </w:pPr>
            <w:r w:rsidRPr="00E75F6C">
              <w:rPr>
                <w:rFonts w:ascii="Book Antiqua" w:hAnsi="Book Antiqua"/>
                <w:sz w:val="24"/>
                <w:szCs w:val="24"/>
              </w:rPr>
              <w:t>2.9 (0.9–4.3</w:t>
            </w:r>
            <w:r>
              <w:rPr>
                <w:rFonts w:ascii="Book Antiqua" w:hAnsi="Book Antiqua" w:hint="eastAsia"/>
                <w:sz w:val="24"/>
                <w:szCs w:val="24"/>
                <w:lang w:eastAsia="zh-CN"/>
              </w:rPr>
              <w:t>)</w:t>
            </w:r>
          </w:p>
        </w:tc>
        <w:tc>
          <w:tcPr>
            <w:tcW w:w="1560" w:type="dxa"/>
            <w:tcBorders>
              <w:top w:val="single" w:sz="4" w:space="0" w:color="auto"/>
            </w:tcBorders>
          </w:tcPr>
          <w:p w14:paraId="078A9C3D" w14:textId="77777777" w:rsidR="000F0CDF" w:rsidRPr="00E75F6C" w:rsidRDefault="000F0CDF" w:rsidP="00AD1560">
            <w:pPr>
              <w:spacing w:line="360" w:lineRule="auto"/>
              <w:jc w:val="both"/>
              <w:rPr>
                <w:rFonts w:ascii="Book Antiqua" w:hAnsi="Book Antiqua"/>
                <w:sz w:val="24"/>
                <w:szCs w:val="24"/>
              </w:rPr>
            </w:pPr>
            <w:r w:rsidRPr="00E75F6C">
              <w:rPr>
                <w:rFonts w:ascii="Book Antiqua" w:hAnsi="Book Antiqua"/>
                <w:sz w:val="24"/>
                <w:szCs w:val="24"/>
              </w:rPr>
              <w:t>0.002</w:t>
            </w:r>
          </w:p>
        </w:tc>
      </w:tr>
      <w:tr w:rsidR="000F0CDF" w:rsidRPr="00E75F6C" w14:paraId="5B22EE46" w14:textId="77777777" w:rsidTr="00A40C38">
        <w:tc>
          <w:tcPr>
            <w:tcW w:w="1962" w:type="dxa"/>
          </w:tcPr>
          <w:p w14:paraId="57129DF6" w14:textId="77777777" w:rsidR="000F0CDF" w:rsidRPr="00E75F6C" w:rsidRDefault="000F0CDF" w:rsidP="000F0CDF">
            <w:pPr>
              <w:spacing w:line="360" w:lineRule="auto"/>
              <w:jc w:val="both"/>
              <w:rPr>
                <w:rFonts w:ascii="Book Antiqua" w:hAnsi="Book Antiqua"/>
                <w:sz w:val="24"/>
                <w:szCs w:val="24"/>
              </w:rPr>
            </w:pPr>
            <w:r w:rsidRPr="00E75F6C">
              <w:rPr>
                <w:rFonts w:ascii="Book Antiqua" w:hAnsi="Book Antiqua"/>
                <w:sz w:val="24"/>
                <w:szCs w:val="24"/>
              </w:rPr>
              <w:t xml:space="preserve">Yamada </w:t>
            </w:r>
            <w:r w:rsidRPr="000F0CDF">
              <w:rPr>
                <w:rFonts w:ascii="Book Antiqua" w:hAnsi="Book Antiqua"/>
                <w:i/>
                <w:sz w:val="24"/>
                <w:szCs w:val="24"/>
              </w:rPr>
              <w:t>et al</w:t>
            </w:r>
            <w:r w:rsidRPr="00523E72">
              <w:rPr>
                <w:rFonts w:ascii="Book Antiqua" w:hAnsi="Book Antiqua"/>
                <w:sz w:val="24"/>
                <w:szCs w:val="24"/>
                <w:vertAlign w:val="superscript"/>
              </w:rPr>
              <w:t>[</w:t>
            </w:r>
            <w:r>
              <w:rPr>
                <w:rFonts w:ascii="Book Antiqua" w:hAnsi="Book Antiqua" w:hint="eastAsia"/>
                <w:sz w:val="24"/>
                <w:szCs w:val="24"/>
                <w:vertAlign w:val="superscript"/>
                <w:lang w:eastAsia="zh-CN"/>
              </w:rPr>
              <w:t>35</w:t>
            </w:r>
            <w:r w:rsidRPr="00D17025">
              <w:rPr>
                <w:rFonts w:ascii="Book Antiqua" w:hAnsi="Book Antiqua"/>
                <w:sz w:val="24"/>
                <w:szCs w:val="24"/>
                <w:vertAlign w:val="superscript"/>
              </w:rPr>
              <w:t>]</w:t>
            </w:r>
          </w:p>
        </w:tc>
        <w:tc>
          <w:tcPr>
            <w:tcW w:w="1239" w:type="dxa"/>
          </w:tcPr>
          <w:p w14:paraId="0042C4B5" w14:textId="77777777" w:rsidR="000F0CDF" w:rsidRPr="00E75F6C" w:rsidRDefault="000F0CDF" w:rsidP="00AD1560">
            <w:pPr>
              <w:spacing w:line="360" w:lineRule="auto"/>
              <w:jc w:val="both"/>
              <w:rPr>
                <w:rFonts w:ascii="Book Antiqua" w:hAnsi="Book Antiqua"/>
                <w:sz w:val="24"/>
                <w:szCs w:val="24"/>
              </w:rPr>
            </w:pPr>
            <w:r w:rsidRPr="00E75F6C">
              <w:rPr>
                <w:rFonts w:ascii="Book Antiqua" w:hAnsi="Book Antiqua"/>
                <w:sz w:val="24"/>
                <w:szCs w:val="24"/>
              </w:rPr>
              <w:t>31 (CD)</w:t>
            </w:r>
          </w:p>
        </w:tc>
        <w:tc>
          <w:tcPr>
            <w:tcW w:w="1903" w:type="dxa"/>
          </w:tcPr>
          <w:p w14:paraId="1C80FB2B" w14:textId="77777777" w:rsidR="000F0CDF" w:rsidRPr="00E75F6C" w:rsidRDefault="000F0CDF" w:rsidP="00AD1560">
            <w:pPr>
              <w:spacing w:line="360" w:lineRule="auto"/>
              <w:jc w:val="both"/>
              <w:rPr>
                <w:rFonts w:ascii="Book Antiqua" w:hAnsi="Book Antiqua"/>
                <w:sz w:val="24"/>
                <w:szCs w:val="24"/>
              </w:rPr>
            </w:pPr>
            <w:r w:rsidRPr="00E75F6C">
              <w:rPr>
                <w:rFonts w:ascii="Book Antiqua" w:hAnsi="Book Antiqua"/>
                <w:sz w:val="24"/>
                <w:szCs w:val="24"/>
              </w:rPr>
              <w:t>6.3</w:t>
            </w:r>
          </w:p>
        </w:tc>
        <w:tc>
          <w:tcPr>
            <w:tcW w:w="2976" w:type="dxa"/>
          </w:tcPr>
          <w:p w14:paraId="1B3068EE" w14:textId="77777777" w:rsidR="000F0CDF" w:rsidRPr="00E75F6C" w:rsidRDefault="000F0CDF" w:rsidP="00AD1560">
            <w:pPr>
              <w:spacing w:line="360" w:lineRule="auto"/>
              <w:jc w:val="both"/>
              <w:rPr>
                <w:rFonts w:ascii="Book Antiqua" w:hAnsi="Book Antiqua"/>
                <w:sz w:val="24"/>
                <w:szCs w:val="24"/>
              </w:rPr>
            </w:pPr>
            <w:r w:rsidRPr="00E75F6C">
              <w:rPr>
                <w:rFonts w:ascii="Book Antiqua" w:hAnsi="Book Antiqua"/>
                <w:sz w:val="24"/>
                <w:szCs w:val="24"/>
              </w:rPr>
              <w:t>4.7</w:t>
            </w:r>
          </w:p>
        </w:tc>
        <w:tc>
          <w:tcPr>
            <w:tcW w:w="1560" w:type="dxa"/>
          </w:tcPr>
          <w:p w14:paraId="2B363F30" w14:textId="77777777" w:rsidR="000F0CDF" w:rsidRPr="00E75F6C" w:rsidRDefault="000F0CDF" w:rsidP="00AD1560">
            <w:pPr>
              <w:spacing w:line="360" w:lineRule="auto"/>
              <w:jc w:val="both"/>
              <w:rPr>
                <w:rFonts w:ascii="Book Antiqua" w:hAnsi="Book Antiqua"/>
                <w:sz w:val="24"/>
                <w:szCs w:val="24"/>
              </w:rPr>
            </w:pPr>
            <w:r w:rsidRPr="00E75F6C">
              <w:rPr>
                <w:rFonts w:ascii="Book Antiqua" w:hAnsi="Book Antiqua"/>
                <w:sz w:val="24"/>
                <w:szCs w:val="24"/>
              </w:rPr>
              <w:t>NS</w:t>
            </w:r>
          </w:p>
        </w:tc>
      </w:tr>
      <w:tr w:rsidR="000F0CDF" w:rsidRPr="00E75F6C" w14:paraId="52B8FD2E" w14:textId="77777777" w:rsidTr="00A40C38">
        <w:tc>
          <w:tcPr>
            <w:tcW w:w="1962" w:type="dxa"/>
          </w:tcPr>
          <w:p w14:paraId="661BEB76" w14:textId="77777777" w:rsidR="000F0CDF" w:rsidRPr="00E75F6C" w:rsidRDefault="000F0CDF" w:rsidP="000F0CDF">
            <w:pPr>
              <w:spacing w:line="360" w:lineRule="auto"/>
              <w:jc w:val="both"/>
              <w:rPr>
                <w:rFonts w:ascii="Book Antiqua" w:hAnsi="Book Antiqua"/>
                <w:sz w:val="24"/>
                <w:szCs w:val="24"/>
              </w:rPr>
            </w:pPr>
            <w:proofErr w:type="spellStart"/>
            <w:r w:rsidRPr="00E75F6C">
              <w:rPr>
                <w:rFonts w:ascii="Book Antiqua" w:hAnsi="Book Antiqua"/>
                <w:sz w:val="24"/>
                <w:szCs w:val="24"/>
              </w:rPr>
              <w:t>Steenholdt</w:t>
            </w:r>
            <w:proofErr w:type="spellEnd"/>
            <w:r w:rsidRPr="00E75F6C">
              <w:rPr>
                <w:rFonts w:ascii="Book Antiqua" w:hAnsi="Book Antiqua"/>
                <w:sz w:val="24"/>
                <w:szCs w:val="24"/>
              </w:rPr>
              <w:t xml:space="preserve"> </w:t>
            </w:r>
            <w:r w:rsidRPr="000F0CDF">
              <w:rPr>
                <w:rFonts w:ascii="Book Antiqua" w:hAnsi="Book Antiqua"/>
                <w:i/>
                <w:sz w:val="24"/>
                <w:szCs w:val="24"/>
              </w:rPr>
              <w:t>et al</w:t>
            </w:r>
            <w:r w:rsidRPr="00523E72">
              <w:rPr>
                <w:rFonts w:ascii="Book Antiqua" w:hAnsi="Book Antiqua"/>
                <w:sz w:val="24"/>
                <w:szCs w:val="24"/>
                <w:vertAlign w:val="superscript"/>
              </w:rPr>
              <w:t>[</w:t>
            </w:r>
            <w:r>
              <w:rPr>
                <w:rFonts w:ascii="Book Antiqua" w:hAnsi="Book Antiqua" w:hint="eastAsia"/>
                <w:sz w:val="24"/>
                <w:szCs w:val="24"/>
                <w:vertAlign w:val="superscript"/>
                <w:lang w:eastAsia="zh-CN"/>
              </w:rPr>
              <w:t>33</w:t>
            </w:r>
            <w:r w:rsidRPr="00D17025">
              <w:rPr>
                <w:rFonts w:ascii="Book Antiqua" w:hAnsi="Book Antiqua"/>
                <w:sz w:val="24"/>
                <w:szCs w:val="24"/>
                <w:vertAlign w:val="superscript"/>
              </w:rPr>
              <w:t>]</w:t>
            </w:r>
          </w:p>
        </w:tc>
        <w:tc>
          <w:tcPr>
            <w:tcW w:w="1239" w:type="dxa"/>
          </w:tcPr>
          <w:p w14:paraId="58250D9E" w14:textId="77777777" w:rsidR="000F0CDF" w:rsidRPr="00E75F6C" w:rsidRDefault="000F0CDF" w:rsidP="00AD1560">
            <w:pPr>
              <w:spacing w:line="360" w:lineRule="auto"/>
              <w:jc w:val="both"/>
              <w:rPr>
                <w:rFonts w:ascii="Book Antiqua" w:hAnsi="Book Antiqua"/>
                <w:sz w:val="24"/>
                <w:szCs w:val="24"/>
              </w:rPr>
            </w:pPr>
            <w:r w:rsidRPr="00E75F6C">
              <w:rPr>
                <w:rFonts w:ascii="Book Antiqua" w:hAnsi="Book Antiqua"/>
                <w:sz w:val="24"/>
                <w:szCs w:val="24"/>
              </w:rPr>
              <w:t>69 (CD)</w:t>
            </w:r>
          </w:p>
        </w:tc>
        <w:tc>
          <w:tcPr>
            <w:tcW w:w="1903" w:type="dxa"/>
          </w:tcPr>
          <w:p w14:paraId="20885AFD" w14:textId="77777777" w:rsidR="000F0CDF" w:rsidRPr="00E75F6C" w:rsidRDefault="000F0CDF" w:rsidP="00AD1560">
            <w:pPr>
              <w:spacing w:line="360" w:lineRule="auto"/>
              <w:jc w:val="both"/>
              <w:rPr>
                <w:rFonts w:ascii="Book Antiqua" w:hAnsi="Book Antiqua"/>
                <w:sz w:val="24"/>
                <w:szCs w:val="24"/>
              </w:rPr>
            </w:pPr>
            <w:r w:rsidRPr="00E75F6C">
              <w:rPr>
                <w:rFonts w:ascii="Book Antiqua" w:hAnsi="Book Antiqua"/>
                <w:sz w:val="24"/>
                <w:szCs w:val="24"/>
              </w:rPr>
              <w:t>N/A</w:t>
            </w:r>
          </w:p>
        </w:tc>
        <w:tc>
          <w:tcPr>
            <w:tcW w:w="2976" w:type="dxa"/>
          </w:tcPr>
          <w:p w14:paraId="2A1767AA" w14:textId="77777777" w:rsidR="000F0CDF" w:rsidRPr="00E75F6C" w:rsidRDefault="000F0CDF" w:rsidP="00AD1560">
            <w:pPr>
              <w:spacing w:line="360" w:lineRule="auto"/>
              <w:jc w:val="both"/>
              <w:rPr>
                <w:rFonts w:ascii="Book Antiqua" w:hAnsi="Book Antiqua"/>
                <w:sz w:val="24"/>
                <w:szCs w:val="24"/>
              </w:rPr>
            </w:pPr>
            <w:r w:rsidRPr="00E75F6C">
              <w:rPr>
                <w:rFonts w:ascii="Book Antiqua" w:hAnsi="Book Antiqua"/>
                <w:sz w:val="24"/>
                <w:szCs w:val="24"/>
              </w:rPr>
              <w:t>2.8 (0.8–5.3)</w:t>
            </w:r>
          </w:p>
        </w:tc>
        <w:tc>
          <w:tcPr>
            <w:tcW w:w="1560" w:type="dxa"/>
          </w:tcPr>
          <w:p w14:paraId="5EF0B0BC" w14:textId="77777777" w:rsidR="000F0CDF" w:rsidRPr="00E75F6C" w:rsidRDefault="000F0CDF" w:rsidP="00AD1560">
            <w:pPr>
              <w:spacing w:line="360" w:lineRule="auto"/>
              <w:jc w:val="both"/>
              <w:rPr>
                <w:rFonts w:ascii="Book Antiqua" w:hAnsi="Book Antiqua"/>
                <w:sz w:val="24"/>
                <w:szCs w:val="24"/>
              </w:rPr>
            </w:pPr>
            <w:r w:rsidRPr="00E75F6C">
              <w:rPr>
                <w:rFonts w:ascii="Book Antiqua" w:hAnsi="Book Antiqua"/>
                <w:sz w:val="24"/>
                <w:szCs w:val="24"/>
              </w:rPr>
              <w:t>&lt; 0.0001</w:t>
            </w:r>
          </w:p>
        </w:tc>
      </w:tr>
      <w:tr w:rsidR="000F0CDF" w:rsidRPr="00E75F6C" w14:paraId="7DAD102E" w14:textId="77777777" w:rsidTr="00A40C38">
        <w:tc>
          <w:tcPr>
            <w:tcW w:w="1962" w:type="dxa"/>
          </w:tcPr>
          <w:p w14:paraId="1DD5A23C" w14:textId="77777777" w:rsidR="000F0CDF" w:rsidRPr="00E75F6C" w:rsidRDefault="000F0CDF" w:rsidP="000F0CDF">
            <w:pPr>
              <w:spacing w:line="360" w:lineRule="auto"/>
              <w:jc w:val="both"/>
              <w:rPr>
                <w:rFonts w:ascii="Book Antiqua" w:hAnsi="Book Antiqua"/>
                <w:sz w:val="24"/>
                <w:szCs w:val="24"/>
              </w:rPr>
            </w:pPr>
            <w:proofErr w:type="spellStart"/>
            <w:r w:rsidRPr="00E75F6C">
              <w:rPr>
                <w:rFonts w:ascii="Book Antiqua" w:hAnsi="Book Antiqua"/>
                <w:sz w:val="24"/>
                <w:szCs w:val="24"/>
              </w:rPr>
              <w:t>Pariente</w:t>
            </w:r>
            <w:proofErr w:type="spellEnd"/>
            <w:r w:rsidRPr="000F0CDF">
              <w:rPr>
                <w:rFonts w:ascii="Book Antiqua" w:hAnsi="Book Antiqua"/>
                <w:i/>
                <w:sz w:val="24"/>
                <w:szCs w:val="24"/>
              </w:rPr>
              <w:t xml:space="preserve"> et al</w:t>
            </w:r>
            <w:r w:rsidRPr="00523E72">
              <w:rPr>
                <w:rFonts w:ascii="Book Antiqua" w:hAnsi="Book Antiqua"/>
                <w:sz w:val="24"/>
                <w:szCs w:val="24"/>
                <w:vertAlign w:val="superscript"/>
              </w:rPr>
              <w:t>[</w:t>
            </w:r>
            <w:r>
              <w:rPr>
                <w:rFonts w:ascii="Book Antiqua" w:hAnsi="Book Antiqua" w:hint="eastAsia"/>
                <w:sz w:val="24"/>
                <w:szCs w:val="24"/>
                <w:vertAlign w:val="superscript"/>
                <w:lang w:eastAsia="zh-CN"/>
              </w:rPr>
              <w:t>36</w:t>
            </w:r>
            <w:r w:rsidRPr="00D17025">
              <w:rPr>
                <w:rFonts w:ascii="Book Antiqua" w:hAnsi="Book Antiqua"/>
                <w:sz w:val="24"/>
                <w:szCs w:val="24"/>
                <w:vertAlign w:val="superscript"/>
              </w:rPr>
              <w:t>]</w:t>
            </w:r>
          </w:p>
        </w:tc>
        <w:tc>
          <w:tcPr>
            <w:tcW w:w="1239" w:type="dxa"/>
          </w:tcPr>
          <w:p w14:paraId="27BD8714" w14:textId="77777777" w:rsidR="000F0CDF" w:rsidRPr="00E75F6C" w:rsidRDefault="000F0CDF" w:rsidP="00AD1560">
            <w:pPr>
              <w:spacing w:line="360" w:lineRule="auto"/>
              <w:jc w:val="both"/>
              <w:rPr>
                <w:rFonts w:ascii="Book Antiqua" w:hAnsi="Book Antiqua"/>
                <w:sz w:val="24"/>
                <w:szCs w:val="24"/>
              </w:rPr>
            </w:pPr>
            <w:r w:rsidRPr="00E75F6C">
              <w:rPr>
                <w:rFonts w:ascii="Book Antiqua" w:hAnsi="Book Antiqua"/>
                <w:sz w:val="24"/>
                <w:szCs w:val="24"/>
              </w:rPr>
              <w:t>76 (CD)</w:t>
            </w:r>
          </w:p>
        </w:tc>
        <w:tc>
          <w:tcPr>
            <w:tcW w:w="1903" w:type="dxa"/>
          </w:tcPr>
          <w:p w14:paraId="2CF3D558" w14:textId="77777777" w:rsidR="000F0CDF" w:rsidRPr="00E75F6C" w:rsidRDefault="000F0CDF" w:rsidP="00AD1560">
            <w:pPr>
              <w:spacing w:line="360" w:lineRule="auto"/>
              <w:jc w:val="both"/>
              <w:rPr>
                <w:rFonts w:ascii="Book Antiqua" w:hAnsi="Book Antiqua"/>
                <w:sz w:val="24"/>
                <w:szCs w:val="24"/>
              </w:rPr>
            </w:pPr>
            <w:r w:rsidRPr="00E75F6C">
              <w:rPr>
                <w:rFonts w:ascii="Book Antiqua" w:hAnsi="Book Antiqua"/>
                <w:sz w:val="24"/>
                <w:szCs w:val="24"/>
              </w:rPr>
              <w:t>3.3 (±4.1)</w:t>
            </w:r>
          </w:p>
        </w:tc>
        <w:tc>
          <w:tcPr>
            <w:tcW w:w="2976" w:type="dxa"/>
          </w:tcPr>
          <w:p w14:paraId="214C6AF6" w14:textId="77777777" w:rsidR="000F0CDF" w:rsidRPr="00E75F6C" w:rsidRDefault="000F0CDF" w:rsidP="00AD1560">
            <w:pPr>
              <w:spacing w:line="360" w:lineRule="auto"/>
              <w:jc w:val="both"/>
              <w:rPr>
                <w:rFonts w:ascii="Book Antiqua" w:hAnsi="Book Antiqua"/>
                <w:sz w:val="24"/>
                <w:szCs w:val="24"/>
                <w:lang w:eastAsia="zh-CN"/>
              </w:rPr>
            </w:pPr>
            <w:r>
              <w:rPr>
                <w:rFonts w:ascii="Book Antiqua" w:hAnsi="Book Antiqua"/>
                <w:sz w:val="24"/>
                <w:szCs w:val="24"/>
              </w:rPr>
              <w:t xml:space="preserve">2.3 </w:t>
            </w:r>
            <w:r w:rsidRPr="00E75F6C">
              <w:rPr>
                <w:rFonts w:ascii="Book Antiqua" w:hAnsi="Book Antiqua"/>
                <w:sz w:val="24"/>
                <w:szCs w:val="24"/>
              </w:rPr>
              <w:t>±</w:t>
            </w:r>
            <w:r>
              <w:rPr>
                <w:rFonts w:ascii="Book Antiqua" w:hAnsi="Book Antiqua" w:hint="eastAsia"/>
                <w:sz w:val="24"/>
                <w:szCs w:val="24"/>
                <w:lang w:eastAsia="zh-CN"/>
              </w:rPr>
              <w:t xml:space="preserve"> </w:t>
            </w:r>
            <w:r>
              <w:rPr>
                <w:rFonts w:ascii="Book Antiqua" w:hAnsi="Book Antiqua"/>
                <w:sz w:val="24"/>
                <w:szCs w:val="24"/>
              </w:rPr>
              <w:t>2.2</w:t>
            </w:r>
          </w:p>
        </w:tc>
        <w:tc>
          <w:tcPr>
            <w:tcW w:w="1560" w:type="dxa"/>
          </w:tcPr>
          <w:p w14:paraId="0BB0189E" w14:textId="77777777" w:rsidR="000F0CDF" w:rsidRPr="00E75F6C" w:rsidRDefault="000F0CDF" w:rsidP="00AD1560">
            <w:pPr>
              <w:spacing w:line="360" w:lineRule="auto"/>
              <w:jc w:val="both"/>
              <w:rPr>
                <w:rFonts w:ascii="Book Antiqua" w:hAnsi="Book Antiqua"/>
                <w:sz w:val="24"/>
                <w:szCs w:val="24"/>
              </w:rPr>
            </w:pPr>
            <w:r w:rsidRPr="00E75F6C">
              <w:rPr>
                <w:rFonts w:ascii="Book Antiqua" w:hAnsi="Book Antiqua"/>
                <w:sz w:val="24"/>
                <w:szCs w:val="24"/>
              </w:rPr>
              <w:t>NS</w:t>
            </w:r>
          </w:p>
        </w:tc>
      </w:tr>
      <w:tr w:rsidR="000F0CDF" w:rsidRPr="00E75F6C" w14:paraId="4D776325" w14:textId="77777777" w:rsidTr="00A40C38">
        <w:tc>
          <w:tcPr>
            <w:tcW w:w="1962" w:type="dxa"/>
          </w:tcPr>
          <w:p w14:paraId="7352AA0C" w14:textId="53F3C491" w:rsidR="000F0CDF" w:rsidRPr="00E75F6C" w:rsidRDefault="000F0CDF" w:rsidP="000F0CDF">
            <w:pPr>
              <w:spacing w:line="360" w:lineRule="auto"/>
              <w:jc w:val="both"/>
              <w:rPr>
                <w:rFonts w:ascii="Book Antiqua" w:hAnsi="Book Antiqua"/>
                <w:sz w:val="24"/>
                <w:szCs w:val="24"/>
                <w:lang w:eastAsia="zh-CN"/>
              </w:rPr>
            </w:pPr>
            <w:proofErr w:type="spellStart"/>
            <w:r w:rsidRPr="00E75F6C">
              <w:rPr>
                <w:rFonts w:ascii="Book Antiqua" w:hAnsi="Book Antiqua"/>
                <w:sz w:val="24"/>
                <w:szCs w:val="24"/>
              </w:rPr>
              <w:t>Steenholdt</w:t>
            </w:r>
            <w:proofErr w:type="spellEnd"/>
            <w:r w:rsidRPr="00E75F6C">
              <w:rPr>
                <w:rFonts w:ascii="Book Antiqua" w:hAnsi="Book Antiqua"/>
                <w:sz w:val="24"/>
                <w:szCs w:val="24"/>
              </w:rPr>
              <w:t xml:space="preserve"> </w:t>
            </w:r>
            <w:r w:rsidRPr="000F0CDF">
              <w:rPr>
                <w:rFonts w:ascii="Book Antiqua" w:hAnsi="Book Antiqua"/>
                <w:i/>
                <w:sz w:val="24"/>
                <w:szCs w:val="24"/>
              </w:rPr>
              <w:t>et al</w:t>
            </w:r>
            <w:r w:rsidRPr="00523E72">
              <w:rPr>
                <w:rFonts w:ascii="Book Antiqua" w:hAnsi="Book Antiqua"/>
                <w:sz w:val="24"/>
                <w:szCs w:val="24"/>
                <w:vertAlign w:val="superscript"/>
              </w:rPr>
              <w:t>[</w:t>
            </w:r>
            <w:r>
              <w:rPr>
                <w:rFonts w:ascii="Book Antiqua" w:hAnsi="Book Antiqua" w:hint="eastAsia"/>
                <w:sz w:val="24"/>
                <w:szCs w:val="24"/>
                <w:vertAlign w:val="superscript"/>
                <w:lang w:eastAsia="zh-CN"/>
              </w:rPr>
              <w:t>33</w:t>
            </w:r>
            <w:r w:rsidRPr="00D17025">
              <w:rPr>
                <w:rFonts w:ascii="Book Antiqua" w:hAnsi="Book Antiqua"/>
                <w:sz w:val="24"/>
                <w:szCs w:val="24"/>
                <w:vertAlign w:val="superscript"/>
              </w:rPr>
              <w:t>]</w:t>
            </w:r>
          </w:p>
        </w:tc>
        <w:tc>
          <w:tcPr>
            <w:tcW w:w="1239" w:type="dxa"/>
          </w:tcPr>
          <w:p w14:paraId="45527995" w14:textId="77777777" w:rsidR="000F0CDF" w:rsidRPr="00E75F6C" w:rsidRDefault="000F0CDF" w:rsidP="00AD1560">
            <w:pPr>
              <w:spacing w:line="360" w:lineRule="auto"/>
              <w:jc w:val="both"/>
              <w:rPr>
                <w:rFonts w:ascii="Book Antiqua" w:hAnsi="Book Antiqua"/>
                <w:sz w:val="24"/>
                <w:szCs w:val="24"/>
              </w:rPr>
            </w:pPr>
            <w:r w:rsidRPr="00E75F6C">
              <w:rPr>
                <w:rFonts w:ascii="Book Antiqua" w:hAnsi="Book Antiqua"/>
                <w:sz w:val="24"/>
                <w:szCs w:val="24"/>
              </w:rPr>
              <w:t>13 (UC)</w:t>
            </w:r>
          </w:p>
        </w:tc>
        <w:tc>
          <w:tcPr>
            <w:tcW w:w="1903" w:type="dxa"/>
          </w:tcPr>
          <w:p w14:paraId="080F2046" w14:textId="77777777" w:rsidR="000F0CDF" w:rsidRPr="00E75F6C" w:rsidRDefault="000F0CDF" w:rsidP="00AD1560">
            <w:pPr>
              <w:spacing w:line="360" w:lineRule="auto"/>
              <w:jc w:val="both"/>
              <w:rPr>
                <w:rFonts w:ascii="Book Antiqua" w:hAnsi="Book Antiqua"/>
                <w:sz w:val="24"/>
                <w:szCs w:val="24"/>
              </w:rPr>
            </w:pPr>
            <w:r w:rsidRPr="00E75F6C">
              <w:rPr>
                <w:rFonts w:ascii="Book Antiqua" w:hAnsi="Book Antiqua"/>
                <w:sz w:val="24"/>
                <w:szCs w:val="24"/>
              </w:rPr>
              <w:t>N/A</w:t>
            </w:r>
          </w:p>
        </w:tc>
        <w:tc>
          <w:tcPr>
            <w:tcW w:w="2976" w:type="dxa"/>
          </w:tcPr>
          <w:p w14:paraId="4755DA6C" w14:textId="77777777" w:rsidR="000F0CDF" w:rsidRPr="00E75F6C" w:rsidRDefault="000F0CDF" w:rsidP="00AD1560">
            <w:pPr>
              <w:spacing w:line="360" w:lineRule="auto"/>
              <w:jc w:val="both"/>
              <w:rPr>
                <w:rFonts w:ascii="Book Antiqua" w:hAnsi="Book Antiqua"/>
                <w:sz w:val="24"/>
                <w:szCs w:val="24"/>
              </w:rPr>
            </w:pPr>
            <w:r w:rsidRPr="00E75F6C">
              <w:rPr>
                <w:rFonts w:ascii="Book Antiqua" w:hAnsi="Book Antiqua"/>
                <w:sz w:val="24"/>
                <w:szCs w:val="24"/>
              </w:rPr>
              <w:t>3.8 (1.1–8.5)</w:t>
            </w:r>
          </w:p>
        </w:tc>
        <w:tc>
          <w:tcPr>
            <w:tcW w:w="1560" w:type="dxa"/>
          </w:tcPr>
          <w:p w14:paraId="43A93587" w14:textId="77777777" w:rsidR="000F0CDF" w:rsidRPr="00E75F6C" w:rsidRDefault="000F0CDF" w:rsidP="00AD1560">
            <w:pPr>
              <w:spacing w:line="360" w:lineRule="auto"/>
              <w:jc w:val="both"/>
              <w:rPr>
                <w:rFonts w:ascii="Book Antiqua" w:hAnsi="Book Antiqua"/>
                <w:sz w:val="24"/>
                <w:szCs w:val="24"/>
              </w:rPr>
            </w:pPr>
            <w:r w:rsidRPr="00E75F6C">
              <w:rPr>
                <w:rFonts w:ascii="Book Antiqua" w:hAnsi="Book Antiqua"/>
                <w:sz w:val="24"/>
                <w:szCs w:val="24"/>
              </w:rPr>
              <w:t>&lt; 0.0001</w:t>
            </w:r>
          </w:p>
        </w:tc>
      </w:tr>
      <w:tr w:rsidR="000F0CDF" w:rsidRPr="00E75F6C" w14:paraId="76E3F0F3" w14:textId="77777777" w:rsidTr="00A40C38">
        <w:tc>
          <w:tcPr>
            <w:tcW w:w="1962" w:type="dxa"/>
          </w:tcPr>
          <w:p w14:paraId="782359E1" w14:textId="77777777" w:rsidR="000F0CDF" w:rsidRPr="00E75F6C" w:rsidRDefault="000F0CDF" w:rsidP="000F0CDF">
            <w:pPr>
              <w:spacing w:line="360" w:lineRule="auto"/>
              <w:jc w:val="both"/>
              <w:rPr>
                <w:rFonts w:ascii="Book Antiqua" w:hAnsi="Book Antiqua"/>
                <w:sz w:val="24"/>
                <w:szCs w:val="24"/>
              </w:rPr>
            </w:pPr>
            <w:r w:rsidRPr="00E75F6C">
              <w:rPr>
                <w:rFonts w:ascii="Book Antiqua" w:hAnsi="Book Antiqua"/>
                <w:sz w:val="24"/>
                <w:szCs w:val="24"/>
              </w:rPr>
              <w:t xml:space="preserve">Arias </w:t>
            </w:r>
            <w:r w:rsidRPr="000F0CDF">
              <w:rPr>
                <w:rFonts w:ascii="Book Antiqua" w:hAnsi="Book Antiqua"/>
                <w:i/>
                <w:sz w:val="24"/>
                <w:szCs w:val="24"/>
              </w:rPr>
              <w:t>et al</w:t>
            </w:r>
            <w:r w:rsidRPr="00523E72">
              <w:rPr>
                <w:rFonts w:ascii="Book Antiqua" w:hAnsi="Book Antiqua"/>
                <w:sz w:val="24"/>
                <w:szCs w:val="24"/>
                <w:vertAlign w:val="superscript"/>
              </w:rPr>
              <w:t>[</w:t>
            </w:r>
            <w:r>
              <w:rPr>
                <w:rFonts w:ascii="Book Antiqua" w:hAnsi="Book Antiqua" w:hint="eastAsia"/>
                <w:sz w:val="24"/>
                <w:szCs w:val="24"/>
                <w:vertAlign w:val="superscript"/>
                <w:lang w:eastAsia="zh-CN"/>
              </w:rPr>
              <w:t>37</w:t>
            </w:r>
            <w:r w:rsidRPr="00D17025">
              <w:rPr>
                <w:rFonts w:ascii="Book Antiqua" w:hAnsi="Book Antiqua"/>
                <w:sz w:val="24"/>
                <w:szCs w:val="24"/>
                <w:vertAlign w:val="superscript"/>
              </w:rPr>
              <w:t>]</w:t>
            </w:r>
          </w:p>
        </w:tc>
        <w:tc>
          <w:tcPr>
            <w:tcW w:w="1239" w:type="dxa"/>
          </w:tcPr>
          <w:p w14:paraId="7F3C0BF7" w14:textId="77777777" w:rsidR="000F0CDF" w:rsidRPr="00E75F6C" w:rsidRDefault="000F0CDF" w:rsidP="00AD1560">
            <w:pPr>
              <w:spacing w:line="360" w:lineRule="auto"/>
              <w:jc w:val="both"/>
              <w:rPr>
                <w:rFonts w:ascii="Book Antiqua" w:hAnsi="Book Antiqua"/>
                <w:sz w:val="24"/>
                <w:szCs w:val="24"/>
              </w:rPr>
            </w:pPr>
            <w:r w:rsidRPr="00E75F6C">
              <w:rPr>
                <w:rFonts w:ascii="Book Antiqua" w:hAnsi="Book Antiqua"/>
                <w:sz w:val="24"/>
                <w:szCs w:val="24"/>
              </w:rPr>
              <w:t>136 (CD)</w:t>
            </w:r>
          </w:p>
        </w:tc>
        <w:tc>
          <w:tcPr>
            <w:tcW w:w="1903" w:type="dxa"/>
          </w:tcPr>
          <w:p w14:paraId="3DA3ED0E" w14:textId="77777777" w:rsidR="000F0CDF" w:rsidRPr="00E75F6C" w:rsidRDefault="000F0CDF" w:rsidP="00AD1560">
            <w:pPr>
              <w:spacing w:line="360" w:lineRule="auto"/>
              <w:jc w:val="both"/>
              <w:rPr>
                <w:rFonts w:ascii="Book Antiqua" w:hAnsi="Book Antiqua"/>
                <w:sz w:val="24"/>
                <w:szCs w:val="24"/>
              </w:rPr>
            </w:pPr>
            <w:r w:rsidRPr="00E75F6C">
              <w:rPr>
                <w:rFonts w:ascii="Book Antiqua" w:hAnsi="Book Antiqua"/>
                <w:sz w:val="24"/>
                <w:szCs w:val="24"/>
              </w:rPr>
              <w:t>0.3 (0.3–3.6)</w:t>
            </w:r>
          </w:p>
        </w:tc>
        <w:tc>
          <w:tcPr>
            <w:tcW w:w="2976" w:type="dxa"/>
          </w:tcPr>
          <w:p w14:paraId="54CA0255" w14:textId="77777777" w:rsidR="000F0CDF" w:rsidRPr="00E75F6C" w:rsidRDefault="000F0CDF" w:rsidP="00AD1560">
            <w:pPr>
              <w:spacing w:line="360" w:lineRule="auto"/>
              <w:jc w:val="both"/>
              <w:rPr>
                <w:rFonts w:ascii="Book Antiqua" w:hAnsi="Book Antiqua"/>
                <w:sz w:val="24"/>
                <w:szCs w:val="24"/>
              </w:rPr>
            </w:pPr>
            <w:r w:rsidRPr="00E75F6C">
              <w:rPr>
                <w:rFonts w:ascii="Book Antiqua" w:hAnsi="Book Antiqua"/>
                <w:sz w:val="24"/>
                <w:szCs w:val="24"/>
              </w:rPr>
              <w:t>4.9 (1.7–8.2)</w:t>
            </w:r>
          </w:p>
        </w:tc>
        <w:tc>
          <w:tcPr>
            <w:tcW w:w="1560" w:type="dxa"/>
          </w:tcPr>
          <w:p w14:paraId="64C86552" w14:textId="77777777" w:rsidR="000F0CDF" w:rsidRPr="00E75F6C" w:rsidRDefault="000F0CDF" w:rsidP="00AD1560">
            <w:pPr>
              <w:spacing w:line="360" w:lineRule="auto"/>
              <w:jc w:val="both"/>
              <w:rPr>
                <w:rFonts w:ascii="Book Antiqua" w:hAnsi="Book Antiqua"/>
                <w:sz w:val="24"/>
                <w:szCs w:val="24"/>
              </w:rPr>
            </w:pPr>
            <w:r w:rsidRPr="00E75F6C">
              <w:rPr>
                <w:rFonts w:ascii="Book Antiqua" w:hAnsi="Book Antiqua"/>
                <w:sz w:val="24"/>
                <w:szCs w:val="24"/>
              </w:rPr>
              <w:t>0.01</w:t>
            </w:r>
          </w:p>
        </w:tc>
      </w:tr>
      <w:tr w:rsidR="000F0CDF" w:rsidRPr="00E75F6C" w14:paraId="41AB2A22" w14:textId="77777777" w:rsidTr="00A40C38">
        <w:tc>
          <w:tcPr>
            <w:tcW w:w="1962" w:type="dxa"/>
          </w:tcPr>
          <w:p w14:paraId="219F8547" w14:textId="77777777" w:rsidR="000F0CDF" w:rsidRPr="00E75F6C" w:rsidRDefault="000F0CDF" w:rsidP="000F0CDF">
            <w:pPr>
              <w:spacing w:line="360" w:lineRule="auto"/>
              <w:jc w:val="both"/>
              <w:rPr>
                <w:rFonts w:ascii="Book Antiqua" w:hAnsi="Book Antiqua"/>
                <w:sz w:val="24"/>
                <w:szCs w:val="24"/>
              </w:rPr>
            </w:pPr>
            <w:proofErr w:type="spellStart"/>
            <w:r w:rsidRPr="00E75F6C">
              <w:rPr>
                <w:rFonts w:ascii="Book Antiqua" w:hAnsi="Book Antiqua"/>
                <w:sz w:val="24"/>
                <w:szCs w:val="24"/>
              </w:rPr>
              <w:t>Marits</w:t>
            </w:r>
            <w:proofErr w:type="spellEnd"/>
            <w:r w:rsidRPr="00E75F6C">
              <w:rPr>
                <w:rFonts w:ascii="Book Antiqua" w:hAnsi="Book Antiqua"/>
                <w:sz w:val="24"/>
                <w:szCs w:val="24"/>
              </w:rPr>
              <w:t xml:space="preserve"> </w:t>
            </w:r>
            <w:r w:rsidRPr="000F0CDF">
              <w:rPr>
                <w:rFonts w:ascii="Book Antiqua" w:hAnsi="Book Antiqua"/>
                <w:i/>
                <w:sz w:val="24"/>
                <w:szCs w:val="24"/>
              </w:rPr>
              <w:t>et al</w:t>
            </w:r>
            <w:r w:rsidRPr="00523E72">
              <w:rPr>
                <w:rFonts w:ascii="Book Antiqua" w:hAnsi="Book Antiqua"/>
                <w:sz w:val="24"/>
                <w:szCs w:val="24"/>
                <w:vertAlign w:val="superscript"/>
              </w:rPr>
              <w:t>[</w:t>
            </w:r>
            <w:r>
              <w:rPr>
                <w:rFonts w:ascii="Book Antiqua" w:hAnsi="Book Antiqua" w:hint="eastAsia"/>
                <w:sz w:val="24"/>
                <w:szCs w:val="24"/>
                <w:vertAlign w:val="superscript"/>
                <w:lang w:eastAsia="zh-CN"/>
              </w:rPr>
              <w:t>38</w:t>
            </w:r>
            <w:r w:rsidRPr="00D17025">
              <w:rPr>
                <w:rFonts w:ascii="Book Antiqua" w:hAnsi="Book Antiqua"/>
                <w:sz w:val="24"/>
                <w:szCs w:val="24"/>
                <w:vertAlign w:val="superscript"/>
              </w:rPr>
              <w:t>]</w:t>
            </w:r>
          </w:p>
        </w:tc>
        <w:tc>
          <w:tcPr>
            <w:tcW w:w="1239" w:type="dxa"/>
          </w:tcPr>
          <w:p w14:paraId="7FC8B6F3" w14:textId="77777777" w:rsidR="000F0CDF" w:rsidRPr="00E75F6C" w:rsidRDefault="000F0CDF" w:rsidP="00AD1560">
            <w:pPr>
              <w:spacing w:line="360" w:lineRule="auto"/>
              <w:jc w:val="both"/>
              <w:rPr>
                <w:rFonts w:ascii="Book Antiqua" w:hAnsi="Book Antiqua"/>
                <w:sz w:val="24"/>
                <w:szCs w:val="24"/>
              </w:rPr>
            </w:pPr>
            <w:r w:rsidRPr="00E75F6C">
              <w:rPr>
                <w:rFonts w:ascii="Book Antiqua" w:hAnsi="Book Antiqua"/>
                <w:sz w:val="24"/>
                <w:szCs w:val="24"/>
              </w:rPr>
              <w:t>79 (CD)</w:t>
            </w:r>
          </w:p>
        </w:tc>
        <w:tc>
          <w:tcPr>
            <w:tcW w:w="1903" w:type="dxa"/>
          </w:tcPr>
          <w:p w14:paraId="521F9764" w14:textId="77777777" w:rsidR="000F0CDF" w:rsidRPr="00E75F6C" w:rsidRDefault="000F0CDF" w:rsidP="00AD1560">
            <w:pPr>
              <w:spacing w:line="360" w:lineRule="auto"/>
              <w:jc w:val="both"/>
              <w:rPr>
                <w:rFonts w:ascii="Book Antiqua" w:hAnsi="Book Antiqua"/>
                <w:sz w:val="24"/>
                <w:szCs w:val="24"/>
              </w:rPr>
            </w:pPr>
            <w:r w:rsidRPr="00E75F6C">
              <w:rPr>
                <w:rFonts w:ascii="Book Antiqua" w:hAnsi="Book Antiqua"/>
                <w:sz w:val="24"/>
                <w:szCs w:val="24"/>
              </w:rPr>
              <w:t>1.8</w:t>
            </w:r>
          </w:p>
        </w:tc>
        <w:tc>
          <w:tcPr>
            <w:tcW w:w="2976" w:type="dxa"/>
          </w:tcPr>
          <w:p w14:paraId="20FFAEC6" w14:textId="77777777" w:rsidR="000F0CDF" w:rsidRPr="00E75F6C" w:rsidRDefault="000F0CDF" w:rsidP="00AD1560">
            <w:pPr>
              <w:spacing w:line="360" w:lineRule="auto"/>
              <w:jc w:val="both"/>
              <w:rPr>
                <w:rFonts w:ascii="Book Antiqua" w:hAnsi="Book Antiqua"/>
                <w:sz w:val="24"/>
                <w:szCs w:val="24"/>
              </w:rPr>
            </w:pPr>
            <w:r w:rsidRPr="00E75F6C">
              <w:rPr>
                <w:rFonts w:ascii="Book Antiqua" w:hAnsi="Book Antiqua"/>
                <w:sz w:val="24"/>
                <w:szCs w:val="24"/>
              </w:rPr>
              <w:t>4.1</w:t>
            </w:r>
          </w:p>
        </w:tc>
        <w:tc>
          <w:tcPr>
            <w:tcW w:w="1560" w:type="dxa"/>
          </w:tcPr>
          <w:p w14:paraId="0BE0946F" w14:textId="77777777" w:rsidR="000F0CDF" w:rsidRPr="00E75F6C" w:rsidRDefault="000F0CDF" w:rsidP="00AD1560">
            <w:pPr>
              <w:spacing w:line="360" w:lineRule="auto"/>
              <w:jc w:val="both"/>
              <w:rPr>
                <w:rFonts w:ascii="Book Antiqua" w:hAnsi="Book Antiqua"/>
                <w:sz w:val="24"/>
                <w:szCs w:val="24"/>
              </w:rPr>
            </w:pPr>
            <w:r w:rsidRPr="00E75F6C">
              <w:rPr>
                <w:rFonts w:ascii="Book Antiqua" w:hAnsi="Book Antiqua"/>
                <w:sz w:val="24"/>
                <w:szCs w:val="24"/>
              </w:rPr>
              <w:t>&lt;</w:t>
            </w:r>
            <w:r>
              <w:rPr>
                <w:rFonts w:ascii="Book Antiqua" w:hAnsi="Book Antiqua" w:hint="eastAsia"/>
                <w:sz w:val="24"/>
                <w:szCs w:val="24"/>
                <w:lang w:eastAsia="zh-CN"/>
              </w:rPr>
              <w:t xml:space="preserve"> </w:t>
            </w:r>
            <w:r w:rsidRPr="00E75F6C">
              <w:rPr>
                <w:rFonts w:ascii="Book Antiqua" w:hAnsi="Book Antiqua"/>
                <w:sz w:val="24"/>
                <w:szCs w:val="24"/>
              </w:rPr>
              <w:t>0.001</w:t>
            </w:r>
          </w:p>
        </w:tc>
      </w:tr>
      <w:tr w:rsidR="000F0CDF" w:rsidRPr="00E75F6C" w14:paraId="2DAE9ECF" w14:textId="77777777" w:rsidTr="00A40C38">
        <w:tc>
          <w:tcPr>
            <w:tcW w:w="1962" w:type="dxa"/>
          </w:tcPr>
          <w:p w14:paraId="5E7C42F3" w14:textId="77777777" w:rsidR="000F0CDF" w:rsidRPr="00E75F6C" w:rsidRDefault="000F0CDF" w:rsidP="000F0CDF">
            <w:pPr>
              <w:spacing w:line="360" w:lineRule="auto"/>
              <w:jc w:val="both"/>
              <w:rPr>
                <w:rFonts w:ascii="Book Antiqua" w:hAnsi="Book Antiqua"/>
                <w:sz w:val="24"/>
                <w:szCs w:val="24"/>
              </w:rPr>
            </w:pPr>
            <w:proofErr w:type="spellStart"/>
            <w:r w:rsidRPr="00E75F6C">
              <w:rPr>
                <w:rFonts w:ascii="Book Antiqua" w:hAnsi="Book Antiqua"/>
                <w:sz w:val="24"/>
                <w:szCs w:val="24"/>
              </w:rPr>
              <w:t>Bortlik</w:t>
            </w:r>
            <w:proofErr w:type="spellEnd"/>
            <w:r w:rsidRPr="00E75F6C">
              <w:rPr>
                <w:rFonts w:ascii="Book Antiqua" w:hAnsi="Book Antiqua"/>
                <w:sz w:val="24"/>
                <w:szCs w:val="24"/>
              </w:rPr>
              <w:t xml:space="preserve"> </w:t>
            </w:r>
            <w:r w:rsidRPr="000F0CDF">
              <w:rPr>
                <w:rFonts w:ascii="Book Antiqua" w:hAnsi="Book Antiqua"/>
                <w:i/>
                <w:sz w:val="24"/>
                <w:szCs w:val="24"/>
              </w:rPr>
              <w:t>et al</w:t>
            </w:r>
            <w:r w:rsidRPr="00523E72">
              <w:rPr>
                <w:rFonts w:ascii="Book Antiqua" w:hAnsi="Book Antiqua"/>
                <w:sz w:val="24"/>
                <w:szCs w:val="24"/>
                <w:vertAlign w:val="superscript"/>
              </w:rPr>
              <w:t>[</w:t>
            </w:r>
            <w:r>
              <w:rPr>
                <w:rFonts w:ascii="Book Antiqua" w:hAnsi="Book Antiqua" w:hint="eastAsia"/>
                <w:sz w:val="24"/>
                <w:szCs w:val="24"/>
                <w:vertAlign w:val="superscript"/>
                <w:lang w:eastAsia="zh-CN"/>
              </w:rPr>
              <w:t>39</w:t>
            </w:r>
            <w:r w:rsidRPr="00D17025">
              <w:rPr>
                <w:rFonts w:ascii="Book Antiqua" w:hAnsi="Book Antiqua"/>
                <w:sz w:val="24"/>
                <w:szCs w:val="24"/>
                <w:vertAlign w:val="superscript"/>
              </w:rPr>
              <w:t>]</w:t>
            </w:r>
          </w:p>
        </w:tc>
        <w:tc>
          <w:tcPr>
            <w:tcW w:w="1239" w:type="dxa"/>
          </w:tcPr>
          <w:p w14:paraId="602153FE" w14:textId="77777777" w:rsidR="000F0CDF" w:rsidRPr="00E75F6C" w:rsidRDefault="000F0CDF" w:rsidP="00AD1560">
            <w:pPr>
              <w:spacing w:line="360" w:lineRule="auto"/>
              <w:jc w:val="both"/>
              <w:rPr>
                <w:rFonts w:ascii="Book Antiqua" w:hAnsi="Book Antiqua"/>
                <w:sz w:val="24"/>
                <w:szCs w:val="24"/>
              </w:rPr>
            </w:pPr>
            <w:r w:rsidRPr="00E75F6C">
              <w:rPr>
                <w:rFonts w:ascii="Book Antiqua" w:hAnsi="Book Antiqua"/>
                <w:sz w:val="24"/>
                <w:szCs w:val="24"/>
              </w:rPr>
              <w:t>84 (CD)</w:t>
            </w:r>
          </w:p>
        </w:tc>
        <w:tc>
          <w:tcPr>
            <w:tcW w:w="1903" w:type="dxa"/>
          </w:tcPr>
          <w:p w14:paraId="79A030CE" w14:textId="77777777" w:rsidR="000F0CDF" w:rsidRPr="00E75F6C" w:rsidRDefault="000F0CDF" w:rsidP="00AD1560">
            <w:pPr>
              <w:spacing w:line="360" w:lineRule="auto"/>
              <w:jc w:val="both"/>
              <w:rPr>
                <w:rFonts w:ascii="Book Antiqua" w:hAnsi="Book Antiqua"/>
                <w:sz w:val="24"/>
                <w:szCs w:val="24"/>
              </w:rPr>
            </w:pPr>
            <w:r w:rsidRPr="00E75F6C">
              <w:rPr>
                <w:rFonts w:ascii="Book Antiqua" w:hAnsi="Book Antiqua"/>
                <w:sz w:val="24"/>
                <w:szCs w:val="24"/>
              </w:rPr>
              <w:t>N/A</w:t>
            </w:r>
          </w:p>
        </w:tc>
        <w:tc>
          <w:tcPr>
            <w:tcW w:w="2976" w:type="dxa"/>
          </w:tcPr>
          <w:p w14:paraId="117D4081" w14:textId="77777777" w:rsidR="000F0CDF" w:rsidRPr="00E75F6C" w:rsidRDefault="000F0CDF" w:rsidP="00AD1560">
            <w:pPr>
              <w:spacing w:line="360" w:lineRule="auto"/>
              <w:jc w:val="both"/>
              <w:rPr>
                <w:rFonts w:ascii="Book Antiqua" w:hAnsi="Book Antiqua"/>
                <w:sz w:val="24"/>
                <w:szCs w:val="24"/>
              </w:rPr>
            </w:pPr>
            <w:r w:rsidRPr="00E75F6C">
              <w:rPr>
                <w:rFonts w:ascii="Book Antiqua" w:hAnsi="Book Antiqua"/>
                <w:sz w:val="24"/>
                <w:szCs w:val="24"/>
              </w:rPr>
              <w:t>&gt;</w:t>
            </w:r>
            <w:r>
              <w:rPr>
                <w:rFonts w:ascii="Book Antiqua" w:hAnsi="Book Antiqua" w:hint="eastAsia"/>
                <w:sz w:val="24"/>
                <w:szCs w:val="24"/>
                <w:lang w:eastAsia="zh-CN"/>
              </w:rPr>
              <w:t xml:space="preserve"> </w:t>
            </w:r>
            <w:r w:rsidRPr="00E75F6C">
              <w:rPr>
                <w:rFonts w:ascii="Book Antiqua" w:hAnsi="Book Antiqua"/>
                <w:sz w:val="24"/>
                <w:szCs w:val="24"/>
              </w:rPr>
              <w:t>3</w:t>
            </w:r>
          </w:p>
        </w:tc>
        <w:tc>
          <w:tcPr>
            <w:tcW w:w="1560" w:type="dxa"/>
          </w:tcPr>
          <w:p w14:paraId="0D205D79" w14:textId="77777777" w:rsidR="000F0CDF" w:rsidRPr="00E75F6C" w:rsidRDefault="000F0CDF" w:rsidP="00AD1560">
            <w:pPr>
              <w:spacing w:line="360" w:lineRule="auto"/>
              <w:jc w:val="both"/>
              <w:rPr>
                <w:rFonts w:ascii="Book Antiqua" w:hAnsi="Book Antiqua"/>
                <w:sz w:val="24"/>
                <w:szCs w:val="24"/>
              </w:rPr>
            </w:pPr>
            <w:r w:rsidRPr="00E75F6C">
              <w:rPr>
                <w:rFonts w:ascii="Book Antiqua" w:hAnsi="Book Antiqua"/>
                <w:sz w:val="24"/>
                <w:szCs w:val="24"/>
              </w:rPr>
              <w:t>N/A</w:t>
            </w:r>
          </w:p>
        </w:tc>
      </w:tr>
      <w:tr w:rsidR="000F0CDF" w:rsidRPr="00E75F6C" w14:paraId="2DAD803F" w14:textId="77777777" w:rsidTr="00A40C38">
        <w:tc>
          <w:tcPr>
            <w:tcW w:w="1962" w:type="dxa"/>
          </w:tcPr>
          <w:p w14:paraId="1F0F395A" w14:textId="77777777" w:rsidR="000F0CDF" w:rsidRPr="00E75F6C" w:rsidRDefault="000F0CDF" w:rsidP="000F0CDF">
            <w:pPr>
              <w:spacing w:line="360" w:lineRule="auto"/>
              <w:jc w:val="both"/>
              <w:rPr>
                <w:rFonts w:ascii="Book Antiqua" w:hAnsi="Book Antiqua"/>
                <w:sz w:val="24"/>
                <w:szCs w:val="24"/>
              </w:rPr>
            </w:pPr>
            <w:proofErr w:type="spellStart"/>
            <w:r w:rsidRPr="00E75F6C">
              <w:rPr>
                <w:rFonts w:ascii="Book Antiqua" w:hAnsi="Book Antiqua"/>
                <w:sz w:val="24"/>
                <w:szCs w:val="24"/>
              </w:rPr>
              <w:t>Adedokun</w:t>
            </w:r>
            <w:proofErr w:type="spellEnd"/>
            <w:r w:rsidRPr="00E75F6C">
              <w:rPr>
                <w:rFonts w:ascii="Book Antiqua" w:hAnsi="Book Antiqua"/>
                <w:sz w:val="24"/>
                <w:szCs w:val="24"/>
              </w:rPr>
              <w:t xml:space="preserve"> </w:t>
            </w:r>
            <w:r w:rsidRPr="000F0CDF">
              <w:rPr>
                <w:rFonts w:ascii="Book Antiqua" w:hAnsi="Book Antiqua"/>
                <w:i/>
                <w:sz w:val="24"/>
                <w:szCs w:val="24"/>
              </w:rPr>
              <w:t>et al</w:t>
            </w:r>
            <w:r w:rsidRPr="00523E72">
              <w:rPr>
                <w:rFonts w:ascii="Book Antiqua" w:hAnsi="Book Antiqua"/>
                <w:sz w:val="24"/>
                <w:szCs w:val="24"/>
                <w:vertAlign w:val="superscript"/>
              </w:rPr>
              <w:t>[</w:t>
            </w:r>
            <w:r>
              <w:rPr>
                <w:rFonts w:ascii="Book Antiqua" w:hAnsi="Book Antiqua" w:hint="eastAsia"/>
                <w:sz w:val="24"/>
                <w:szCs w:val="24"/>
                <w:vertAlign w:val="superscript"/>
                <w:lang w:eastAsia="zh-CN"/>
              </w:rPr>
              <w:t>40</w:t>
            </w:r>
            <w:r w:rsidRPr="00D17025">
              <w:rPr>
                <w:rFonts w:ascii="Book Antiqua" w:hAnsi="Book Antiqua"/>
                <w:sz w:val="24"/>
                <w:szCs w:val="24"/>
                <w:vertAlign w:val="superscript"/>
              </w:rPr>
              <w:t>]</w:t>
            </w:r>
          </w:p>
        </w:tc>
        <w:tc>
          <w:tcPr>
            <w:tcW w:w="1239" w:type="dxa"/>
          </w:tcPr>
          <w:p w14:paraId="2617F67B" w14:textId="77777777" w:rsidR="000F0CDF" w:rsidRPr="00E75F6C" w:rsidRDefault="000F0CDF" w:rsidP="00AD1560">
            <w:pPr>
              <w:spacing w:line="360" w:lineRule="auto"/>
              <w:jc w:val="both"/>
              <w:rPr>
                <w:rFonts w:ascii="Book Antiqua" w:hAnsi="Book Antiqua"/>
                <w:sz w:val="24"/>
                <w:szCs w:val="24"/>
              </w:rPr>
            </w:pPr>
            <w:r w:rsidRPr="00E75F6C">
              <w:rPr>
                <w:rFonts w:ascii="Book Antiqua" w:hAnsi="Book Antiqua"/>
                <w:sz w:val="24"/>
                <w:szCs w:val="24"/>
              </w:rPr>
              <w:t>728 (UC)</w:t>
            </w:r>
          </w:p>
        </w:tc>
        <w:tc>
          <w:tcPr>
            <w:tcW w:w="1903" w:type="dxa"/>
          </w:tcPr>
          <w:p w14:paraId="00579CC9" w14:textId="77777777" w:rsidR="000F0CDF" w:rsidRPr="00E75F6C" w:rsidRDefault="000F0CDF" w:rsidP="00AD1560">
            <w:pPr>
              <w:spacing w:line="360" w:lineRule="auto"/>
              <w:jc w:val="both"/>
              <w:rPr>
                <w:rFonts w:ascii="Book Antiqua" w:hAnsi="Book Antiqua"/>
                <w:sz w:val="24"/>
                <w:szCs w:val="24"/>
              </w:rPr>
            </w:pPr>
            <w:r w:rsidRPr="00E75F6C">
              <w:rPr>
                <w:rFonts w:ascii="Book Antiqua" w:hAnsi="Book Antiqua"/>
                <w:sz w:val="24"/>
                <w:szCs w:val="24"/>
              </w:rPr>
              <w:t>N/A</w:t>
            </w:r>
          </w:p>
        </w:tc>
        <w:tc>
          <w:tcPr>
            <w:tcW w:w="2976" w:type="dxa"/>
          </w:tcPr>
          <w:p w14:paraId="3C26852A" w14:textId="77777777" w:rsidR="000F0CDF" w:rsidRPr="00E75F6C" w:rsidRDefault="000F0CDF" w:rsidP="00AD1560">
            <w:pPr>
              <w:spacing w:line="360" w:lineRule="auto"/>
              <w:jc w:val="both"/>
              <w:rPr>
                <w:rFonts w:ascii="Book Antiqua" w:hAnsi="Book Antiqua"/>
                <w:sz w:val="24"/>
                <w:szCs w:val="24"/>
              </w:rPr>
            </w:pPr>
            <w:r w:rsidRPr="00E75F6C">
              <w:rPr>
                <w:rFonts w:ascii="Book Antiqua" w:hAnsi="Book Antiqua"/>
                <w:sz w:val="24"/>
                <w:szCs w:val="24"/>
              </w:rPr>
              <w:t>3.7</w:t>
            </w:r>
          </w:p>
        </w:tc>
        <w:tc>
          <w:tcPr>
            <w:tcW w:w="1560" w:type="dxa"/>
          </w:tcPr>
          <w:p w14:paraId="2CCF744D" w14:textId="77777777" w:rsidR="000F0CDF" w:rsidRPr="00E75F6C" w:rsidRDefault="000F0CDF" w:rsidP="00AD1560">
            <w:pPr>
              <w:spacing w:line="360" w:lineRule="auto"/>
              <w:jc w:val="both"/>
              <w:rPr>
                <w:rFonts w:ascii="Book Antiqua" w:hAnsi="Book Antiqua"/>
                <w:sz w:val="24"/>
                <w:szCs w:val="24"/>
              </w:rPr>
            </w:pPr>
            <w:r w:rsidRPr="00E75F6C">
              <w:rPr>
                <w:rFonts w:ascii="Book Antiqua" w:hAnsi="Book Antiqua"/>
                <w:sz w:val="24"/>
                <w:szCs w:val="24"/>
              </w:rPr>
              <w:t>N/A</w:t>
            </w:r>
          </w:p>
        </w:tc>
      </w:tr>
      <w:tr w:rsidR="000F0CDF" w:rsidRPr="00E75F6C" w14:paraId="5FFE7BF5" w14:textId="77777777" w:rsidTr="00A40C38">
        <w:tc>
          <w:tcPr>
            <w:tcW w:w="1962" w:type="dxa"/>
          </w:tcPr>
          <w:p w14:paraId="741DB54B" w14:textId="77777777" w:rsidR="000F0CDF" w:rsidRPr="00E75F6C" w:rsidRDefault="000F0CDF" w:rsidP="000F0CDF">
            <w:pPr>
              <w:spacing w:line="360" w:lineRule="auto"/>
              <w:jc w:val="both"/>
              <w:rPr>
                <w:rFonts w:ascii="Book Antiqua" w:hAnsi="Book Antiqua"/>
                <w:sz w:val="24"/>
                <w:szCs w:val="24"/>
              </w:rPr>
            </w:pPr>
            <w:proofErr w:type="spellStart"/>
            <w:r w:rsidRPr="00E75F6C">
              <w:rPr>
                <w:rFonts w:ascii="Book Antiqua" w:hAnsi="Book Antiqua"/>
                <w:sz w:val="24"/>
                <w:szCs w:val="24"/>
              </w:rPr>
              <w:t>Cornillie</w:t>
            </w:r>
            <w:proofErr w:type="spellEnd"/>
            <w:r w:rsidRPr="00E75F6C">
              <w:rPr>
                <w:rFonts w:ascii="Book Antiqua" w:hAnsi="Book Antiqua"/>
                <w:sz w:val="24"/>
                <w:szCs w:val="24"/>
              </w:rPr>
              <w:t xml:space="preserve"> </w:t>
            </w:r>
            <w:r w:rsidRPr="000F0CDF">
              <w:rPr>
                <w:rFonts w:ascii="Book Antiqua" w:hAnsi="Book Antiqua"/>
                <w:i/>
                <w:sz w:val="24"/>
                <w:szCs w:val="24"/>
              </w:rPr>
              <w:t>et al</w:t>
            </w:r>
            <w:r w:rsidRPr="00523E72">
              <w:rPr>
                <w:rFonts w:ascii="Book Antiqua" w:hAnsi="Book Antiqua"/>
                <w:sz w:val="24"/>
                <w:szCs w:val="24"/>
                <w:vertAlign w:val="superscript"/>
              </w:rPr>
              <w:t>[</w:t>
            </w:r>
            <w:r>
              <w:rPr>
                <w:rFonts w:ascii="Book Antiqua" w:hAnsi="Book Antiqua" w:hint="eastAsia"/>
                <w:sz w:val="24"/>
                <w:szCs w:val="24"/>
                <w:vertAlign w:val="superscript"/>
                <w:lang w:eastAsia="zh-CN"/>
              </w:rPr>
              <w:t>41</w:t>
            </w:r>
            <w:r w:rsidRPr="00D17025">
              <w:rPr>
                <w:rFonts w:ascii="Book Antiqua" w:hAnsi="Book Antiqua"/>
                <w:sz w:val="24"/>
                <w:szCs w:val="24"/>
                <w:vertAlign w:val="superscript"/>
              </w:rPr>
              <w:t>]</w:t>
            </w:r>
          </w:p>
        </w:tc>
        <w:tc>
          <w:tcPr>
            <w:tcW w:w="1239" w:type="dxa"/>
          </w:tcPr>
          <w:p w14:paraId="32C0F83B" w14:textId="77777777" w:rsidR="000F0CDF" w:rsidRPr="00E75F6C" w:rsidRDefault="000F0CDF" w:rsidP="00AD1560">
            <w:pPr>
              <w:spacing w:line="360" w:lineRule="auto"/>
              <w:jc w:val="both"/>
              <w:rPr>
                <w:rFonts w:ascii="Book Antiqua" w:hAnsi="Book Antiqua"/>
                <w:sz w:val="24"/>
                <w:szCs w:val="24"/>
              </w:rPr>
            </w:pPr>
            <w:r w:rsidRPr="00E75F6C">
              <w:rPr>
                <w:rFonts w:ascii="Book Antiqua" w:hAnsi="Book Antiqua"/>
                <w:sz w:val="24"/>
                <w:szCs w:val="24"/>
              </w:rPr>
              <w:t>147 (CD)</w:t>
            </w:r>
          </w:p>
        </w:tc>
        <w:tc>
          <w:tcPr>
            <w:tcW w:w="1903" w:type="dxa"/>
          </w:tcPr>
          <w:p w14:paraId="2FFFBE2F" w14:textId="77777777" w:rsidR="000F0CDF" w:rsidRPr="00E75F6C" w:rsidRDefault="000F0CDF" w:rsidP="00AD1560">
            <w:pPr>
              <w:spacing w:line="360" w:lineRule="auto"/>
              <w:jc w:val="both"/>
              <w:rPr>
                <w:rFonts w:ascii="Book Antiqua" w:hAnsi="Book Antiqua"/>
                <w:sz w:val="24"/>
                <w:szCs w:val="24"/>
              </w:rPr>
            </w:pPr>
            <w:r w:rsidRPr="00E75F6C">
              <w:rPr>
                <w:rFonts w:ascii="Book Antiqua" w:hAnsi="Book Antiqua"/>
                <w:sz w:val="24"/>
                <w:szCs w:val="24"/>
              </w:rPr>
              <w:t>1.9</w:t>
            </w:r>
          </w:p>
        </w:tc>
        <w:tc>
          <w:tcPr>
            <w:tcW w:w="2976" w:type="dxa"/>
          </w:tcPr>
          <w:p w14:paraId="012FE73F" w14:textId="77777777" w:rsidR="000F0CDF" w:rsidRPr="00E75F6C" w:rsidRDefault="000F0CDF" w:rsidP="00AD1560">
            <w:pPr>
              <w:spacing w:line="360" w:lineRule="auto"/>
              <w:jc w:val="both"/>
              <w:rPr>
                <w:rFonts w:ascii="Book Antiqua" w:hAnsi="Book Antiqua"/>
                <w:sz w:val="24"/>
                <w:szCs w:val="24"/>
              </w:rPr>
            </w:pPr>
            <w:r w:rsidRPr="00E75F6C">
              <w:rPr>
                <w:rFonts w:ascii="Book Antiqua" w:hAnsi="Book Antiqua"/>
                <w:sz w:val="24"/>
                <w:szCs w:val="24"/>
              </w:rPr>
              <w:t>4.0</w:t>
            </w:r>
          </w:p>
        </w:tc>
        <w:tc>
          <w:tcPr>
            <w:tcW w:w="1560" w:type="dxa"/>
          </w:tcPr>
          <w:p w14:paraId="25C70B05" w14:textId="77777777" w:rsidR="000F0CDF" w:rsidRPr="00E75F6C" w:rsidRDefault="000F0CDF" w:rsidP="00AD1560">
            <w:pPr>
              <w:spacing w:line="360" w:lineRule="auto"/>
              <w:jc w:val="both"/>
              <w:rPr>
                <w:rFonts w:ascii="Book Antiqua" w:hAnsi="Book Antiqua"/>
                <w:sz w:val="24"/>
                <w:szCs w:val="24"/>
              </w:rPr>
            </w:pPr>
            <w:r w:rsidRPr="00E75F6C">
              <w:rPr>
                <w:rFonts w:ascii="Book Antiqua" w:hAnsi="Book Antiqua"/>
                <w:sz w:val="24"/>
                <w:szCs w:val="24"/>
              </w:rPr>
              <w:t>0.0331</w:t>
            </w:r>
          </w:p>
        </w:tc>
      </w:tr>
      <w:tr w:rsidR="000F0CDF" w:rsidRPr="00E75F6C" w14:paraId="5F967F51" w14:textId="77777777" w:rsidTr="00A40C38">
        <w:tc>
          <w:tcPr>
            <w:tcW w:w="1962" w:type="dxa"/>
            <w:tcBorders>
              <w:bottom w:val="single" w:sz="4" w:space="0" w:color="auto"/>
            </w:tcBorders>
          </w:tcPr>
          <w:p w14:paraId="40E653BD" w14:textId="77777777" w:rsidR="000F0CDF" w:rsidRPr="00E75F6C" w:rsidRDefault="000F0CDF" w:rsidP="000F0CDF">
            <w:pPr>
              <w:spacing w:line="360" w:lineRule="auto"/>
              <w:jc w:val="both"/>
              <w:rPr>
                <w:rFonts w:ascii="Book Antiqua" w:hAnsi="Book Antiqua"/>
                <w:sz w:val="24"/>
                <w:szCs w:val="24"/>
              </w:rPr>
            </w:pPr>
            <w:proofErr w:type="spellStart"/>
            <w:r w:rsidRPr="00E75F6C">
              <w:rPr>
                <w:rFonts w:ascii="Book Antiqua" w:hAnsi="Book Antiqua"/>
                <w:sz w:val="24"/>
                <w:szCs w:val="24"/>
              </w:rPr>
              <w:t>Reinisch</w:t>
            </w:r>
            <w:proofErr w:type="spellEnd"/>
            <w:r w:rsidRPr="00E75F6C">
              <w:rPr>
                <w:rFonts w:ascii="Book Antiqua" w:hAnsi="Book Antiqua"/>
                <w:sz w:val="24"/>
                <w:szCs w:val="24"/>
              </w:rPr>
              <w:t xml:space="preserve"> </w:t>
            </w:r>
            <w:r w:rsidRPr="000F0CDF">
              <w:rPr>
                <w:rFonts w:ascii="Book Antiqua" w:hAnsi="Book Antiqua"/>
                <w:i/>
                <w:sz w:val="24"/>
                <w:szCs w:val="24"/>
              </w:rPr>
              <w:t>et al</w:t>
            </w:r>
            <w:r w:rsidRPr="00523E72">
              <w:rPr>
                <w:rFonts w:ascii="Book Antiqua" w:hAnsi="Book Antiqua"/>
                <w:sz w:val="24"/>
                <w:szCs w:val="24"/>
                <w:vertAlign w:val="superscript"/>
              </w:rPr>
              <w:t>[</w:t>
            </w:r>
            <w:r>
              <w:rPr>
                <w:rFonts w:ascii="Book Antiqua" w:hAnsi="Book Antiqua" w:hint="eastAsia"/>
                <w:sz w:val="24"/>
                <w:szCs w:val="24"/>
                <w:vertAlign w:val="superscript"/>
                <w:lang w:eastAsia="zh-CN"/>
              </w:rPr>
              <w:t>42</w:t>
            </w:r>
            <w:r w:rsidRPr="00D17025">
              <w:rPr>
                <w:rFonts w:ascii="Book Antiqua" w:hAnsi="Book Antiqua"/>
                <w:sz w:val="24"/>
                <w:szCs w:val="24"/>
                <w:vertAlign w:val="superscript"/>
              </w:rPr>
              <w:t>]</w:t>
            </w:r>
          </w:p>
        </w:tc>
        <w:tc>
          <w:tcPr>
            <w:tcW w:w="1239" w:type="dxa"/>
            <w:tcBorders>
              <w:bottom w:val="single" w:sz="4" w:space="0" w:color="auto"/>
            </w:tcBorders>
          </w:tcPr>
          <w:p w14:paraId="5F2740D7" w14:textId="77777777" w:rsidR="000F0CDF" w:rsidRPr="00E75F6C" w:rsidRDefault="000F0CDF" w:rsidP="00AD1560">
            <w:pPr>
              <w:spacing w:line="360" w:lineRule="auto"/>
              <w:jc w:val="both"/>
              <w:rPr>
                <w:rFonts w:ascii="Book Antiqua" w:hAnsi="Book Antiqua"/>
                <w:sz w:val="24"/>
                <w:szCs w:val="24"/>
              </w:rPr>
            </w:pPr>
            <w:r w:rsidRPr="00E75F6C">
              <w:rPr>
                <w:rFonts w:ascii="Book Antiqua" w:hAnsi="Book Antiqua"/>
                <w:sz w:val="24"/>
                <w:szCs w:val="24"/>
              </w:rPr>
              <w:t>203 (CD)</w:t>
            </w:r>
          </w:p>
        </w:tc>
        <w:tc>
          <w:tcPr>
            <w:tcW w:w="1903" w:type="dxa"/>
            <w:tcBorders>
              <w:bottom w:val="single" w:sz="4" w:space="0" w:color="auto"/>
            </w:tcBorders>
          </w:tcPr>
          <w:p w14:paraId="7FEF675F" w14:textId="77777777" w:rsidR="000F0CDF" w:rsidRPr="00E75F6C" w:rsidRDefault="000F0CDF" w:rsidP="00AD1560">
            <w:pPr>
              <w:spacing w:line="360" w:lineRule="auto"/>
              <w:jc w:val="both"/>
              <w:rPr>
                <w:rFonts w:ascii="Book Antiqua" w:hAnsi="Book Antiqua"/>
                <w:sz w:val="24"/>
                <w:szCs w:val="24"/>
              </w:rPr>
            </w:pPr>
            <w:r w:rsidRPr="00E75F6C">
              <w:rPr>
                <w:rFonts w:ascii="Book Antiqua" w:hAnsi="Book Antiqua"/>
                <w:sz w:val="24"/>
                <w:szCs w:val="24"/>
              </w:rPr>
              <w:t>0.8</w:t>
            </w:r>
          </w:p>
        </w:tc>
        <w:tc>
          <w:tcPr>
            <w:tcW w:w="2976" w:type="dxa"/>
            <w:tcBorders>
              <w:bottom w:val="single" w:sz="4" w:space="0" w:color="auto"/>
            </w:tcBorders>
          </w:tcPr>
          <w:p w14:paraId="1E5D9D9A" w14:textId="77777777" w:rsidR="000F0CDF" w:rsidRPr="00E75F6C" w:rsidRDefault="000F0CDF" w:rsidP="00AD1560">
            <w:pPr>
              <w:spacing w:line="360" w:lineRule="auto"/>
              <w:jc w:val="both"/>
              <w:rPr>
                <w:rFonts w:ascii="Book Antiqua" w:hAnsi="Book Antiqua"/>
                <w:sz w:val="24"/>
                <w:szCs w:val="24"/>
              </w:rPr>
            </w:pPr>
            <w:r w:rsidRPr="00E75F6C">
              <w:rPr>
                <w:rFonts w:ascii="Book Antiqua" w:hAnsi="Book Antiqua"/>
                <w:sz w:val="24"/>
                <w:szCs w:val="24"/>
              </w:rPr>
              <w:t>2.14</w:t>
            </w:r>
          </w:p>
        </w:tc>
        <w:tc>
          <w:tcPr>
            <w:tcW w:w="1560" w:type="dxa"/>
            <w:tcBorders>
              <w:bottom w:val="single" w:sz="4" w:space="0" w:color="auto"/>
            </w:tcBorders>
          </w:tcPr>
          <w:p w14:paraId="0873DA9D" w14:textId="77777777" w:rsidR="000F0CDF" w:rsidRPr="00E75F6C" w:rsidRDefault="000F0CDF" w:rsidP="00AD1560">
            <w:pPr>
              <w:spacing w:line="360" w:lineRule="auto"/>
              <w:jc w:val="both"/>
              <w:rPr>
                <w:rFonts w:ascii="Book Antiqua" w:hAnsi="Book Antiqua"/>
                <w:sz w:val="24"/>
                <w:szCs w:val="24"/>
              </w:rPr>
            </w:pPr>
            <w:r w:rsidRPr="00E75F6C">
              <w:rPr>
                <w:rFonts w:ascii="Book Antiqua" w:hAnsi="Book Antiqua"/>
                <w:sz w:val="24"/>
                <w:szCs w:val="24"/>
              </w:rPr>
              <w:t>0.006</w:t>
            </w:r>
          </w:p>
        </w:tc>
      </w:tr>
    </w:tbl>
    <w:p w14:paraId="2B9F2ECD" w14:textId="77777777" w:rsidR="00EC3A47" w:rsidRPr="00E75F6C" w:rsidRDefault="00EC3A47" w:rsidP="00AD1560">
      <w:pPr>
        <w:spacing w:after="0" w:line="360" w:lineRule="auto"/>
        <w:jc w:val="both"/>
        <w:rPr>
          <w:rFonts w:ascii="Book Antiqua" w:hAnsi="Book Antiqua"/>
          <w:sz w:val="24"/>
          <w:szCs w:val="24"/>
        </w:rPr>
      </w:pPr>
    </w:p>
    <w:p w14:paraId="14D3494A" w14:textId="77777777" w:rsidR="00EC3A47" w:rsidRPr="00E75F6C" w:rsidRDefault="00EC3A47" w:rsidP="00AD1560">
      <w:pPr>
        <w:spacing w:after="0" w:line="360" w:lineRule="auto"/>
        <w:jc w:val="both"/>
        <w:rPr>
          <w:rFonts w:ascii="Book Antiqua" w:hAnsi="Book Antiqua"/>
          <w:sz w:val="24"/>
          <w:szCs w:val="24"/>
        </w:rPr>
      </w:pPr>
    </w:p>
    <w:p w14:paraId="08AF550F" w14:textId="77777777" w:rsidR="00EC3A47" w:rsidRPr="00E75F6C" w:rsidRDefault="00EC3A47" w:rsidP="00AD1560">
      <w:pPr>
        <w:spacing w:after="0" w:line="360" w:lineRule="auto"/>
        <w:jc w:val="both"/>
        <w:rPr>
          <w:rFonts w:ascii="Book Antiqua" w:hAnsi="Book Antiqua"/>
          <w:sz w:val="24"/>
          <w:szCs w:val="24"/>
        </w:rPr>
      </w:pPr>
    </w:p>
    <w:p w14:paraId="399880E8" w14:textId="77777777" w:rsidR="00A40C38" w:rsidRDefault="00A40C38">
      <w:pPr>
        <w:rPr>
          <w:rFonts w:ascii="Book Antiqua" w:hAnsi="Book Antiqua"/>
          <w:b/>
          <w:sz w:val="24"/>
          <w:szCs w:val="24"/>
        </w:rPr>
      </w:pPr>
      <w:r>
        <w:rPr>
          <w:rFonts w:ascii="Book Antiqua" w:hAnsi="Book Antiqua"/>
          <w:b/>
          <w:sz w:val="24"/>
          <w:szCs w:val="24"/>
        </w:rPr>
        <w:br w:type="page"/>
      </w:r>
    </w:p>
    <w:p w14:paraId="495EC444" w14:textId="49C8DB79" w:rsidR="001952F6" w:rsidRPr="000F0CDF" w:rsidRDefault="007F04D1" w:rsidP="00AD1560">
      <w:pPr>
        <w:spacing w:after="0" w:line="360" w:lineRule="auto"/>
        <w:jc w:val="both"/>
        <w:rPr>
          <w:rFonts w:ascii="Book Antiqua" w:hAnsi="Book Antiqua"/>
          <w:b/>
          <w:sz w:val="24"/>
          <w:szCs w:val="24"/>
          <w:lang w:eastAsia="zh-CN"/>
        </w:rPr>
      </w:pPr>
      <w:r w:rsidRPr="000F0CDF">
        <w:rPr>
          <w:rFonts w:ascii="Book Antiqua" w:hAnsi="Book Antiqua"/>
          <w:b/>
          <w:sz w:val="24"/>
          <w:szCs w:val="24"/>
        </w:rPr>
        <w:lastRenderedPageBreak/>
        <w:t>Table 4</w:t>
      </w:r>
      <w:r w:rsidR="00A81ADE" w:rsidRPr="000F0CDF">
        <w:rPr>
          <w:rFonts w:ascii="Book Antiqua" w:hAnsi="Book Antiqua"/>
          <w:b/>
          <w:sz w:val="24"/>
          <w:szCs w:val="24"/>
        </w:rPr>
        <w:t xml:space="preserve"> </w:t>
      </w:r>
      <w:r w:rsidR="001952F6" w:rsidRPr="000F0CDF">
        <w:rPr>
          <w:rFonts w:ascii="Book Antiqua" w:hAnsi="Book Antiqua"/>
          <w:b/>
          <w:sz w:val="24"/>
          <w:szCs w:val="24"/>
        </w:rPr>
        <w:t xml:space="preserve">Relationship between </w:t>
      </w:r>
      <w:proofErr w:type="spellStart"/>
      <w:r w:rsidR="001952F6" w:rsidRPr="000F0CDF">
        <w:rPr>
          <w:rFonts w:ascii="Book Antiqua" w:hAnsi="Book Antiqua"/>
          <w:b/>
          <w:sz w:val="24"/>
          <w:szCs w:val="24"/>
        </w:rPr>
        <w:t>adalimumab</w:t>
      </w:r>
      <w:proofErr w:type="spellEnd"/>
      <w:r w:rsidR="001952F6" w:rsidRPr="000F0CDF">
        <w:rPr>
          <w:rFonts w:ascii="Book Antiqua" w:hAnsi="Book Antiqua"/>
          <w:b/>
          <w:sz w:val="24"/>
          <w:szCs w:val="24"/>
        </w:rPr>
        <w:t xml:space="preserve"> t</w:t>
      </w:r>
      <w:r w:rsidR="000F0CDF" w:rsidRPr="000F0CDF">
        <w:rPr>
          <w:rFonts w:ascii="Book Antiqua" w:hAnsi="Book Antiqua"/>
          <w:b/>
          <w:sz w:val="24"/>
          <w:szCs w:val="24"/>
        </w:rPr>
        <w:t>rough levels and response rates</w:t>
      </w:r>
    </w:p>
    <w:p w14:paraId="539C37CC" w14:textId="77777777" w:rsidR="001952F6" w:rsidRPr="00E75F6C" w:rsidRDefault="001952F6" w:rsidP="00AD1560">
      <w:pPr>
        <w:pBdr>
          <w:bottom w:val="single" w:sz="4" w:space="1" w:color="auto"/>
        </w:pBdr>
        <w:spacing w:after="0" w:line="360" w:lineRule="auto"/>
        <w:jc w:val="both"/>
        <w:rPr>
          <w:rFonts w:ascii="Book Antiqua" w:hAnsi="Book Antiqua"/>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728"/>
        <w:gridCol w:w="1817"/>
        <w:gridCol w:w="1892"/>
        <w:gridCol w:w="1728"/>
      </w:tblGrid>
      <w:tr w:rsidR="00EC3A47" w:rsidRPr="000F0CDF" w14:paraId="4DEBE0F1" w14:textId="77777777" w:rsidTr="000F0CDF">
        <w:trPr>
          <w:trHeight w:val="2160"/>
        </w:trPr>
        <w:tc>
          <w:tcPr>
            <w:tcW w:w="1728" w:type="dxa"/>
            <w:tcBorders>
              <w:bottom w:val="single" w:sz="4" w:space="0" w:color="auto"/>
            </w:tcBorders>
          </w:tcPr>
          <w:p w14:paraId="2B1577CF" w14:textId="77777777" w:rsidR="00EC3A47" w:rsidRPr="000F0CDF" w:rsidRDefault="006A2D7E" w:rsidP="00AD1560">
            <w:pPr>
              <w:spacing w:line="360" w:lineRule="auto"/>
              <w:jc w:val="both"/>
              <w:rPr>
                <w:rFonts w:ascii="Book Antiqua" w:hAnsi="Book Antiqua"/>
                <w:b/>
                <w:sz w:val="24"/>
                <w:szCs w:val="24"/>
                <w:lang w:eastAsia="zh-CN"/>
              </w:rPr>
            </w:pPr>
            <w:r w:rsidRPr="000F0CDF">
              <w:rPr>
                <w:rFonts w:ascii="Book Antiqua" w:hAnsi="Book Antiqua"/>
                <w:b/>
                <w:sz w:val="24"/>
                <w:szCs w:val="24"/>
              </w:rPr>
              <w:t>Stud</w:t>
            </w:r>
            <w:r w:rsidR="000F0CDF">
              <w:rPr>
                <w:rFonts w:ascii="Book Antiqua" w:hAnsi="Book Antiqua"/>
                <w:b/>
                <w:sz w:val="24"/>
                <w:szCs w:val="24"/>
                <w:lang w:eastAsia="zh-CN"/>
              </w:rPr>
              <w:t>y</w:t>
            </w:r>
          </w:p>
        </w:tc>
        <w:tc>
          <w:tcPr>
            <w:tcW w:w="1728" w:type="dxa"/>
            <w:tcBorders>
              <w:bottom w:val="single" w:sz="4" w:space="0" w:color="auto"/>
            </w:tcBorders>
          </w:tcPr>
          <w:p w14:paraId="71A20CD9" w14:textId="77777777" w:rsidR="00EC3A47" w:rsidRPr="000F0CDF" w:rsidRDefault="000F0CDF" w:rsidP="000F0CDF">
            <w:pPr>
              <w:spacing w:line="360" w:lineRule="auto"/>
              <w:jc w:val="both"/>
              <w:rPr>
                <w:rFonts w:ascii="Book Antiqua" w:hAnsi="Book Antiqua"/>
                <w:b/>
                <w:i/>
                <w:sz w:val="24"/>
                <w:szCs w:val="24"/>
              </w:rPr>
            </w:pPr>
            <w:r w:rsidRPr="000F0CDF">
              <w:rPr>
                <w:rFonts w:ascii="Book Antiqua" w:hAnsi="Book Antiqua"/>
                <w:b/>
                <w:i/>
                <w:sz w:val="24"/>
                <w:szCs w:val="24"/>
              </w:rPr>
              <w:t>n</w:t>
            </w:r>
          </w:p>
        </w:tc>
        <w:tc>
          <w:tcPr>
            <w:tcW w:w="1817" w:type="dxa"/>
            <w:tcBorders>
              <w:bottom w:val="single" w:sz="4" w:space="0" w:color="auto"/>
            </w:tcBorders>
          </w:tcPr>
          <w:p w14:paraId="70D3DA10" w14:textId="77777777" w:rsidR="00770265" w:rsidRPr="000F0CDF" w:rsidRDefault="00770265" w:rsidP="00AD1560">
            <w:pPr>
              <w:spacing w:line="360" w:lineRule="auto"/>
              <w:jc w:val="both"/>
              <w:rPr>
                <w:rFonts w:ascii="Book Antiqua" w:hAnsi="Book Antiqua"/>
                <w:b/>
                <w:sz w:val="24"/>
                <w:szCs w:val="24"/>
              </w:rPr>
            </w:pPr>
            <w:r w:rsidRPr="000F0CDF">
              <w:rPr>
                <w:rFonts w:ascii="Book Antiqua" w:hAnsi="Book Antiqua"/>
                <w:b/>
                <w:sz w:val="24"/>
                <w:szCs w:val="24"/>
              </w:rPr>
              <w:t>Mean</w:t>
            </w:r>
          </w:p>
          <w:p w14:paraId="0A61941F" w14:textId="77777777" w:rsidR="00770265" w:rsidRPr="000F0CDF" w:rsidRDefault="001952F6" w:rsidP="00AD1560">
            <w:pPr>
              <w:spacing w:line="360" w:lineRule="auto"/>
              <w:jc w:val="both"/>
              <w:rPr>
                <w:rFonts w:ascii="Book Antiqua" w:hAnsi="Book Antiqua"/>
                <w:b/>
                <w:sz w:val="24"/>
                <w:szCs w:val="24"/>
              </w:rPr>
            </w:pPr>
            <w:proofErr w:type="spellStart"/>
            <w:r w:rsidRPr="000F0CDF">
              <w:rPr>
                <w:rFonts w:ascii="Book Antiqua" w:hAnsi="Book Antiqua"/>
                <w:b/>
                <w:sz w:val="24"/>
                <w:szCs w:val="24"/>
              </w:rPr>
              <w:t>Adalimumab</w:t>
            </w:r>
            <w:proofErr w:type="spellEnd"/>
            <w:r w:rsidR="00770265" w:rsidRPr="000F0CDF">
              <w:rPr>
                <w:rFonts w:ascii="Book Antiqua" w:hAnsi="Book Antiqua"/>
                <w:b/>
                <w:sz w:val="24"/>
                <w:szCs w:val="24"/>
              </w:rPr>
              <w:t xml:space="preserve"> trough levels </w:t>
            </w:r>
            <w:r w:rsidR="000F0CDF">
              <w:rPr>
                <w:rFonts w:ascii="Book Antiqua" w:hAnsi="Book Antiqua"/>
                <w:b/>
                <w:sz w:val="24"/>
                <w:szCs w:val="24"/>
              </w:rPr>
              <w:sym w:font="Symbol" w:char="F06D"/>
            </w:r>
            <w:r w:rsidR="00770265" w:rsidRPr="000F0CDF">
              <w:rPr>
                <w:rFonts w:ascii="Book Antiqua" w:hAnsi="Book Antiqua"/>
                <w:b/>
                <w:sz w:val="24"/>
                <w:szCs w:val="24"/>
              </w:rPr>
              <w:t>g/m</w:t>
            </w:r>
            <w:r w:rsidR="000F0CDF" w:rsidRPr="000F0CDF">
              <w:rPr>
                <w:rFonts w:ascii="Book Antiqua" w:hAnsi="Book Antiqua"/>
                <w:b/>
                <w:sz w:val="24"/>
                <w:szCs w:val="24"/>
              </w:rPr>
              <w:t xml:space="preserve">L </w:t>
            </w:r>
          </w:p>
          <w:p w14:paraId="5C7C29EC" w14:textId="77777777" w:rsidR="00770265" w:rsidRPr="000F0CDF" w:rsidRDefault="00770265" w:rsidP="00AD1560">
            <w:pPr>
              <w:spacing w:line="360" w:lineRule="auto"/>
              <w:jc w:val="both"/>
              <w:rPr>
                <w:rFonts w:ascii="Book Antiqua" w:hAnsi="Book Antiqua"/>
                <w:b/>
                <w:sz w:val="24"/>
                <w:szCs w:val="24"/>
              </w:rPr>
            </w:pPr>
          </w:p>
          <w:p w14:paraId="22613993" w14:textId="77777777" w:rsidR="00EC3A47" w:rsidRPr="000F0CDF" w:rsidRDefault="00770265" w:rsidP="00AD1560">
            <w:pPr>
              <w:spacing w:line="360" w:lineRule="auto"/>
              <w:jc w:val="both"/>
              <w:rPr>
                <w:rFonts w:ascii="Book Antiqua" w:hAnsi="Book Antiqua"/>
                <w:b/>
                <w:sz w:val="24"/>
                <w:szCs w:val="24"/>
              </w:rPr>
            </w:pPr>
            <w:r w:rsidRPr="000F0CDF">
              <w:rPr>
                <w:rFonts w:ascii="Book Antiqua" w:hAnsi="Book Antiqua"/>
                <w:b/>
                <w:sz w:val="24"/>
                <w:szCs w:val="24"/>
              </w:rPr>
              <w:t>L</w:t>
            </w:r>
            <w:r w:rsidR="00EC3A47" w:rsidRPr="000F0CDF">
              <w:rPr>
                <w:rFonts w:ascii="Book Antiqua" w:hAnsi="Book Antiqua"/>
                <w:b/>
                <w:sz w:val="24"/>
                <w:szCs w:val="24"/>
              </w:rPr>
              <w:t>ost response</w:t>
            </w:r>
          </w:p>
        </w:tc>
        <w:tc>
          <w:tcPr>
            <w:tcW w:w="1892" w:type="dxa"/>
            <w:tcBorders>
              <w:bottom w:val="single" w:sz="4" w:space="0" w:color="auto"/>
            </w:tcBorders>
          </w:tcPr>
          <w:p w14:paraId="06EA7307" w14:textId="77777777" w:rsidR="00EC3A47" w:rsidRPr="000F0CDF" w:rsidRDefault="00770265" w:rsidP="000F0CDF">
            <w:pPr>
              <w:spacing w:line="360" w:lineRule="auto"/>
              <w:jc w:val="both"/>
              <w:rPr>
                <w:rFonts w:ascii="Book Antiqua" w:hAnsi="Book Antiqua"/>
                <w:b/>
                <w:sz w:val="24"/>
                <w:szCs w:val="24"/>
              </w:rPr>
            </w:pPr>
            <w:r w:rsidRPr="000F0CDF">
              <w:rPr>
                <w:rFonts w:ascii="Book Antiqua" w:hAnsi="Book Antiqua"/>
                <w:b/>
                <w:sz w:val="24"/>
                <w:szCs w:val="24"/>
              </w:rPr>
              <w:t xml:space="preserve">Mean </w:t>
            </w:r>
            <w:proofErr w:type="spellStart"/>
            <w:r w:rsidR="001952F6" w:rsidRPr="000F0CDF">
              <w:rPr>
                <w:rFonts w:ascii="Book Antiqua" w:hAnsi="Book Antiqua"/>
                <w:b/>
                <w:sz w:val="24"/>
                <w:szCs w:val="24"/>
              </w:rPr>
              <w:t>Adalimumab</w:t>
            </w:r>
            <w:proofErr w:type="spellEnd"/>
            <w:r w:rsidR="00EC3A47" w:rsidRPr="000F0CDF">
              <w:rPr>
                <w:rFonts w:ascii="Book Antiqua" w:hAnsi="Book Antiqua"/>
                <w:b/>
                <w:sz w:val="24"/>
                <w:szCs w:val="24"/>
              </w:rPr>
              <w:t xml:space="preserve"> trough levels </w:t>
            </w:r>
            <w:r w:rsidR="000F0CDF">
              <w:rPr>
                <w:rFonts w:ascii="Book Antiqua" w:hAnsi="Book Antiqua"/>
                <w:b/>
                <w:sz w:val="24"/>
                <w:szCs w:val="24"/>
              </w:rPr>
              <w:sym w:font="Symbol" w:char="F06D"/>
            </w:r>
            <w:r w:rsidR="00EC3A47" w:rsidRPr="000F0CDF">
              <w:rPr>
                <w:rFonts w:ascii="Book Antiqua" w:hAnsi="Book Antiqua"/>
                <w:b/>
                <w:sz w:val="24"/>
                <w:szCs w:val="24"/>
              </w:rPr>
              <w:t>g/m</w:t>
            </w:r>
            <w:r w:rsidR="000F0CDF" w:rsidRPr="000F0CDF">
              <w:rPr>
                <w:rFonts w:ascii="Book Antiqua" w:hAnsi="Book Antiqua"/>
                <w:b/>
                <w:sz w:val="24"/>
                <w:szCs w:val="24"/>
              </w:rPr>
              <w:t xml:space="preserve">L </w:t>
            </w:r>
            <w:r w:rsidR="00EC3A47" w:rsidRPr="000F0CDF">
              <w:rPr>
                <w:rFonts w:ascii="Book Antiqua" w:hAnsi="Book Antiqua"/>
                <w:b/>
                <w:sz w:val="24"/>
                <w:szCs w:val="24"/>
              </w:rPr>
              <w:t>Maintained response</w:t>
            </w:r>
          </w:p>
        </w:tc>
        <w:tc>
          <w:tcPr>
            <w:tcW w:w="1728" w:type="dxa"/>
            <w:tcBorders>
              <w:bottom w:val="single" w:sz="4" w:space="0" w:color="auto"/>
            </w:tcBorders>
          </w:tcPr>
          <w:p w14:paraId="6B4B96FA" w14:textId="77777777" w:rsidR="00EC3A47" w:rsidRPr="000F0CDF" w:rsidRDefault="000F0CDF" w:rsidP="00AD1560">
            <w:pPr>
              <w:spacing w:line="360" w:lineRule="auto"/>
              <w:jc w:val="both"/>
              <w:rPr>
                <w:rFonts w:ascii="Book Antiqua" w:hAnsi="Book Antiqua"/>
                <w:b/>
                <w:sz w:val="24"/>
                <w:szCs w:val="24"/>
              </w:rPr>
            </w:pPr>
            <w:r w:rsidRPr="000F0CDF">
              <w:rPr>
                <w:rFonts w:ascii="Book Antiqua" w:hAnsi="Book Antiqua"/>
                <w:b/>
                <w:i/>
                <w:sz w:val="24"/>
                <w:szCs w:val="24"/>
              </w:rPr>
              <w:t>P</w:t>
            </w:r>
            <w:r>
              <w:rPr>
                <w:rFonts w:ascii="Book Antiqua" w:hAnsi="Book Antiqua" w:hint="eastAsia"/>
                <w:b/>
                <w:sz w:val="24"/>
                <w:szCs w:val="24"/>
                <w:lang w:eastAsia="zh-CN"/>
              </w:rPr>
              <w:t xml:space="preserve"> </w:t>
            </w:r>
            <w:r w:rsidR="00EC3A47" w:rsidRPr="000F0CDF">
              <w:rPr>
                <w:rFonts w:ascii="Book Antiqua" w:hAnsi="Book Antiqua"/>
                <w:b/>
                <w:sz w:val="24"/>
                <w:szCs w:val="24"/>
              </w:rPr>
              <w:t>value</w:t>
            </w:r>
          </w:p>
        </w:tc>
      </w:tr>
      <w:tr w:rsidR="00EC3A47" w:rsidRPr="00E75F6C" w14:paraId="08568FD4" w14:textId="77777777" w:rsidTr="006A2D7E">
        <w:trPr>
          <w:trHeight w:val="763"/>
        </w:trPr>
        <w:tc>
          <w:tcPr>
            <w:tcW w:w="1728" w:type="dxa"/>
            <w:tcBorders>
              <w:top w:val="single" w:sz="4" w:space="0" w:color="auto"/>
            </w:tcBorders>
          </w:tcPr>
          <w:p w14:paraId="6D215B95" w14:textId="77777777" w:rsidR="00EC3A47" w:rsidRPr="00E75F6C" w:rsidRDefault="00EC3A47" w:rsidP="00AD1560">
            <w:pPr>
              <w:spacing w:line="360" w:lineRule="auto"/>
              <w:jc w:val="both"/>
              <w:rPr>
                <w:rFonts w:ascii="Book Antiqua" w:hAnsi="Book Antiqua"/>
                <w:sz w:val="24"/>
                <w:szCs w:val="24"/>
              </w:rPr>
            </w:pPr>
            <w:proofErr w:type="spellStart"/>
            <w:r w:rsidRPr="00E75F6C">
              <w:rPr>
                <w:rFonts w:ascii="Book Antiqua" w:hAnsi="Book Antiqua"/>
                <w:sz w:val="24"/>
                <w:szCs w:val="24"/>
              </w:rPr>
              <w:t>Imaeda</w:t>
            </w:r>
            <w:proofErr w:type="spellEnd"/>
            <w:r w:rsidRPr="00E75F6C">
              <w:rPr>
                <w:rFonts w:ascii="Book Antiqua" w:hAnsi="Book Antiqua"/>
                <w:sz w:val="24"/>
                <w:szCs w:val="24"/>
              </w:rPr>
              <w:t xml:space="preserve"> </w:t>
            </w:r>
            <w:r w:rsidRPr="000F0CDF">
              <w:rPr>
                <w:rFonts w:ascii="Book Antiqua" w:hAnsi="Book Antiqua"/>
                <w:i/>
                <w:sz w:val="24"/>
                <w:szCs w:val="24"/>
              </w:rPr>
              <w:t>et al</w:t>
            </w:r>
            <w:r w:rsidR="00523E72" w:rsidRPr="00523E72">
              <w:rPr>
                <w:rFonts w:ascii="Book Antiqua" w:hAnsi="Book Antiqua"/>
                <w:sz w:val="24"/>
                <w:szCs w:val="24"/>
                <w:vertAlign w:val="superscript"/>
              </w:rPr>
              <w:t>[</w:t>
            </w:r>
            <w:r w:rsidR="00847BA2">
              <w:rPr>
                <w:rFonts w:ascii="Book Antiqua" w:hAnsi="Book Antiqua"/>
                <w:sz w:val="24"/>
                <w:szCs w:val="24"/>
                <w:vertAlign w:val="superscript"/>
              </w:rPr>
              <w:t>43</w:t>
            </w:r>
            <w:r w:rsidR="00847BA2" w:rsidRPr="00847BA2">
              <w:rPr>
                <w:rFonts w:ascii="Book Antiqua" w:hAnsi="Book Antiqua"/>
                <w:sz w:val="24"/>
                <w:szCs w:val="24"/>
                <w:vertAlign w:val="superscript"/>
              </w:rPr>
              <w:t>]</w:t>
            </w:r>
          </w:p>
        </w:tc>
        <w:tc>
          <w:tcPr>
            <w:tcW w:w="1728" w:type="dxa"/>
            <w:tcBorders>
              <w:top w:val="single" w:sz="4" w:space="0" w:color="auto"/>
            </w:tcBorders>
          </w:tcPr>
          <w:p w14:paraId="33C361C2" w14:textId="77777777" w:rsidR="00EC3A47" w:rsidRPr="00E75F6C" w:rsidRDefault="00EC3A47" w:rsidP="00AD1560">
            <w:pPr>
              <w:spacing w:line="360" w:lineRule="auto"/>
              <w:jc w:val="both"/>
              <w:rPr>
                <w:rFonts w:ascii="Book Antiqua" w:hAnsi="Book Antiqua"/>
                <w:sz w:val="24"/>
                <w:szCs w:val="24"/>
              </w:rPr>
            </w:pPr>
            <w:r w:rsidRPr="00E75F6C">
              <w:rPr>
                <w:rFonts w:ascii="Book Antiqua" w:hAnsi="Book Antiqua"/>
                <w:sz w:val="24"/>
                <w:szCs w:val="24"/>
              </w:rPr>
              <w:t>40</w:t>
            </w:r>
            <w:r w:rsidR="0047116B" w:rsidRPr="00E75F6C">
              <w:rPr>
                <w:rFonts w:ascii="Book Antiqua" w:hAnsi="Book Antiqua"/>
                <w:sz w:val="24"/>
                <w:szCs w:val="24"/>
              </w:rPr>
              <w:t xml:space="preserve"> (CD)</w:t>
            </w:r>
          </w:p>
        </w:tc>
        <w:tc>
          <w:tcPr>
            <w:tcW w:w="1817" w:type="dxa"/>
            <w:tcBorders>
              <w:top w:val="single" w:sz="4" w:space="0" w:color="auto"/>
            </w:tcBorders>
          </w:tcPr>
          <w:p w14:paraId="698A286A" w14:textId="77777777" w:rsidR="00EC3A47" w:rsidRPr="00E75F6C" w:rsidRDefault="000F0CDF" w:rsidP="00AD1560">
            <w:pPr>
              <w:spacing w:line="360" w:lineRule="auto"/>
              <w:jc w:val="both"/>
              <w:rPr>
                <w:rFonts w:ascii="Book Antiqua" w:hAnsi="Book Antiqua"/>
                <w:sz w:val="24"/>
                <w:szCs w:val="24"/>
              </w:rPr>
            </w:pPr>
            <w:r w:rsidRPr="00E75F6C">
              <w:rPr>
                <w:rFonts w:ascii="Book Antiqua" w:hAnsi="Book Antiqua"/>
                <w:sz w:val="24"/>
                <w:szCs w:val="24"/>
              </w:rPr>
              <w:t>N/A</w:t>
            </w:r>
          </w:p>
        </w:tc>
        <w:tc>
          <w:tcPr>
            <w:tcW w:w="1892" w:type="dxa"/>
            <w:tcBorders>
              <w:top w:val="single" w:sz="4" w:space="0" w:color="auto"/>
            </w:tcBorders>
          </w:tcPr>
          <w:p w14:paraId="743D5BA6" w14:textId="77777777" w:rsidR="00EC3A47" w:rsidRPr="00E75F6C" w:rsidRDefault="00EC3A47" w:rsidP="00AD1560">
            <w:pPr>
              <w:spacing w:line="360" w:lineRule="auto"/>
              <w:jc w:val="both"/>
              <w:rPr>
                <w:rFonts w:ascii="Book Antiqua" w:hAnsi="Book Antiqua"/>
                <w:sz w:val="24"/>
                <w:szCs w:val="24"/>
              </w:rPr>
            </w:pPr>
            <w:r w:rsidRPr="00E75F6C">
              <w:rPr>
                <w:rFonts w:ascii="Book Antiqua" w:hAnsi="Book Antiqua"/>
                <w:sz w:val="24"/>
                <w:szCs w:val="24"/>
              </w:rPr>
              <w:t>5.9</w:t>
            </w:r>
          </w:p>
        </w:tc>
        <w:tc>
          <w:tcPr>
            <w:tcW w:w="1728" w:type="dxa"/>
            <w:tcBorders>
              <w:top w:val="single" w:sz="4" w:space="0" w:color="auto"/>
            </w:tcBorders>
          </w:tcPr>
          <w:p w14:paraId="70F1D3C8" w14:textId="77777777" w:rsidR="00EC3A47" w:rsidRPr="00E75F6C" w:rsidRDefault="000F0CDF" w:rsidP="00AD1560">
            <w:pPr>
              <w:spacing w:line="360" w:lineRule="auto"/>
              <w:jc w:val="both"/>
              <w:rPr>
                <w:rFonts w:ascii="Book Antiqua" w:hAnsi="Book Antiqua"/>
                <w:sz w:val="24"/>
                <w:szCs w:val="24"/>
              </w:rPr>
            </w:pPr>
            <w:r w:rsidRPr="00E75F6C">
              <w:rPr>
                <w:rFonts w:ascii="Book Antiqua" w:hAnsi="Book Antiqua"/>
                <w:sz w:val="24"/>
                <w:szCs w:val="24"/>
              </w:rPr>
              <w:t>N/A</w:t>
            </w:r>
          </w:p>
        </w:tc>
      </w:tr>
      <w:tr w:rsidR="00EC3A47" w:rsidRPr="00E75F6C" w14:paraId="208AC653" w14:textId="77777777" w:rsidTr="000F0CDF">
        <w:trPr>
          <w:trHeight w:val="534"/>
        </w:trPr>
        <w:tc>
          <w:tcPr>
            <w:tcW w:w="1728" w:type="dxa"/>
            <w:tcBorders>
              <w:bottom w:val="single" w:sz="4" w:space="0" w:color="auto"/>
            </w:tcBorders>
          </w:tcPr>
          <w:p w14:paraId="7BD86857" w14:textId="77777777" w:rsidR="00EC3A47" w:rsidRPr="00E75F6C" w:rsidRDefault="00EC3A47" w:rsidP="000F0CDF">
            <w:pPr>
              <w:spacing w:line="360" w:lineRule="auto"/>
              <w:jc w:val="both"/>
              <w:rPr>
                <w:rFonts w:ascii="Book Antiqua" w:hAnsi="Book Antiqua"/>
                <w:sz w:val="24"/>
                <w:szCs w:val="24"/>
              </w:rPr>
            </w:pPr>
            <w:proofErr w:type="spellStart"/>
            <w:r w:rsidRPr="00E75F6C">
              <w:rPr>
                <w:rFonts w:ascii="Book Antiqua" w:hAnsi="Book Antiqua"/>
                <w:sz w:val="24"/>
                <w:szCs w:val="24"/>
              </w:rPr>
              <w:t>Roblin</w:t>
            </w:r>
            <w:proofErr w:type="spellEnd"/>
            <w:r w:rsidRPr="00E75F6C">
              <w:rPr>
                <w:rFonts w:ascii="Book Antiqua" w:hAnsi="Book Antiqua"/>
                <w:sz w:val="24"/>
                <w:szCs w:val="24"/>
              </w:rPr>
              <w:t xml:space="preserve"> </w:t>
            </w:r>
            <w:r w:rsidR="000F0CDF" w:rsidRPr="000F0CDF">
              <w:rPr>
                <w:rFonts w:ascii="Book Antiqua" w:hAnsi="Book Antiqua"/>
                <w:i/>
                <w:sz w:val="24"/>
                <w:szCs w:val="24"/>
              </w:rPr>
              <w:t>et al</w:t>
            </w:r>
            <w:r w:rsidR="000F0CDF" w:rsidRPr="00523E72">
              <w:rPr>
                <w:rFonts w:ascii="Book Antiqua" w:hAnsi="Book Antiqua"/>
                <w:sz w:val="24"/>
                <w:szCs w:val="24"/>
                <w:vertAlign w:val="superscript"/>
              </w:rPr>
              <w:t>[</w:t>
            </w:r>
            <w:r w:rsidR="000F0CDF">
              <w:rPr>
                <w:rFonts w:ascii="Book Antiqua" w:hAnsi="Book Antiqua" w:hint="eastAsia"/>
                <w:sz w:val="24"/>
                <w:szCs w:val="24"/>
                <w:vertAlign w:val="superscript"/>
                <w:lang w:eastAsia="zh-CN"/>
              </w:rPr>
              <w:t>44</w:t>
            </w:r>
            <w:r w:rsidR="000F0CDF" w:rsidRPr="00847BA2">
              <w:rPr>
                <w:rFonts w:ascii="Book Antiqua" w:hAnsi="Book Antiqua"/>
                <w:sz w:val="24"/>
                <w:szCs w:val="24"/>
                <w:vertAlign w:val="superscript"/>
              </w:rPr>
              <w:t>]</w:t>
            </w:r>
          </w:p>
        </w:tc>
        <w:tc>
          <w:tcPr>
            <w:tcW w:w="1728" w:type="dxa"/>
            <w:tcBorders>
              <w:bottom w:val="single" w:sz="4" w:space="0" w:color="auto"/>
            </w:tcBorders>
          </w:tcPr>
          <w:p w14:paraId="3827D7E1" w14:textId="77777777" w:rsidR="00EC3A47" w:rsidRPr="00E75F6C" w:rsidRDefault="00EC3A47" w:rsidP="00AD1560">
            <w:pPr>
              <w:spacing w:line="360" w:lineRule="auto"/>
              <w:jc w:val="both"/>
              <w:rPr>
                <w:rFonts w:ascii="Book Antiqua" w:hAnsi="Book Antiqua"/>
                <w:sz w:val="24"/>
                <w:szCs w:val="24"/>
              </w:rPr>
            </w:pPr>
            <w:r w:rsidRPr="00E75F6C">
              <w:rPr>
                <w:rFonts w:ascii="Book Antiqua" w:hAnsi="Book Antiqua"/>
                <w:sz w:val="24"/>
                <w:szCs w:val="24"/>
              </w:rPr>
              <w:t>40 (UC/CD)</w:t>
            </w:r>
          </w:p>
        </w:tc>
        <w:tc>
          <w:tcPr>
            <w:tcW w:w="1817" w:type="dxa"/>
            <w:tcBorders>
              <w:bottom w:val="single" w:sz="4" w:space="0" w:color="auto"/>
            </w:tcBorders>
          </w:tcPr>
          <w:p w14:paraId="6B919965" w14:textId="77777777" w:rsidR="00EC3A47" w:rsidRPr="00E75F6C" w:rsidRDefault="00EC3A47" w:rsidP="00AD1560">
            <w:pPr>
              <w:spacing w:line="360" w:lineRule="auto"/>
              <w:jc w:val="both"/>
              <w:rPr>
                <w:rFonts w:ascii="Book Antiqua" w:hAnsi="Book Antiqua"/>
                <w:sz w:val="24"/>
                <w:szCs w:val="24"/>
              </w:rPr>
            </w:pPr>
            <w:r w:rsidRPr="00E75F6C">
              <w:rPr>
                <w:rFonts w:ascii="Book Antiqua" w:hAnsi="Book Antiqua"/>
                <w:sz w:val="24"/>
                <w:szCs w:val="24"/>
              </w:rPr>
              <w:t>3.2</w:t>
            </w:r>
          </w:p>
        </w:tc>
        <w:tc>
          <w:tcPr>
            <w:tcW w:w="1892" w:type="dxa"/>
            <w:tcBorders>
              <w:bottom w:val="single" w:sz="4" w:space="0" w:color="auto"/>
            </w:tcBorders>
          </w:tcPr>
          <w:p w14:paraId="4BB69C8B" w14:textId="77777777" w:rsidR="00EC3A47" w:rsidRPr="00E75F6C" w:rsidRDefault="00EC3A47" w:rsidP="00AD1560">
            <w:pPr>
              <w:spacing w:line="360" w:lineRule="auto"/>
              <w:jc w:val="both"/>
              <w:rPr>
                <w:rFonts w:ascii="Book Antiqua" w:hAnsi="Book Antiqua"/>
                <w:sz w:val="24"/>
                <w:szCs w:val="24"/>
              </w:rPr>
            </w:pPr>
            <w:r w:rsidRPr="00E75F6C">
              <w:rPr>
                <w:rFonts w:ascii="Book Antiqua" w:hAnsi="Book Antiqua"/>
                <w:sz w:val="24"/>
                <w:szCs w:val="24"/>
              </w:rPr>
              <w:t>6.2</w:t>
            </w:r>
          </w:p>
        </w:tc>
        <w:tc>
          <w:tcPr>
            <w:tcW w:w="1728" w:type="dxa"/>
            <w:tcBorders>
              <w:bottom w:val="single" w:sz="4" w:space="0" w:color="auto"/>
            </w:tcBorders>
          </w:tcPr>
          <w:p w14:paraId="37A06D38" w14:textId="77777777" w:rsidR="00EC3A47" w:rsidRPr="00E75F6C" w:rsidRDefault="00EC3A47" w:rsidP="00AD1560">
            <w:pPr>
              <w:spacing w:line="360" w:lineRule="auto"/>
              <w:jc w:val="both"/>
              <w:rPr>
                <w:rFonts w:ascii="Book Antiqua" w:hAnsi="Book Antiqua"/>
                <w:sz w:val="24"/>
                <w:szCs w:val="24"/>
              </w:rPr>
            </w:pPr>
            <w:r w:rsidRPr="00E75F6C">
              <w:rPr>
                <w:rFonts w:ascii="Book Antiqua" w:hAnsi="Book Antiqua"/>
                <w:sz w:val="24"/>
                <w:szCs w:val="24"/>
              </w:rPr>
              <w:t>0.12</w:t>
            </w:r>
          </w:p>
        </w:tc>
      </w:tr>
    </w:tbl>
    <w:p w14:paraId="06E734D9" w14:textId="77777777" w:rsidR="00EC3A47" w:rsidRPr="00E75F6C" w:rsidRDefault="00EC3A47" w:rsidP="00AD1560">
      <w:pPr>
        <w:spacing w:after="0" w:line="360" w:lineRule="auto"/>
        <w:jc w:val="both"/>
        <w:rPr>
          <w:rFonts w:ascii="Book Antiqua" w:hAnsi="Book Antiqua"/>
          <w:sz w:val="24"/>
          <w:szCs w:val="24"/>
        </w:rPr>
      </w:pPr>
    </w:p>
    <w:p w14:paraId="6EE32260" w14:textId="77777777" w:rsidR="001952F6" w:rsidRPr="00E75F6C" w:rsidRDefault="001952F6" w:rsidP="00AD1560">
      <w:pPr>
        <w:spacing w:after="0" w:line="360" w:lineRule="auto"/>
        <w:jc w:val="both"/>
        <w:rPr>
          <w:rFonts w:ascii="Book Antiqua" w:hAnsi="Book Antiqua"/>
          <w:sz w:val="24"/>
          <w:szCs w:val="24"/>
        </w:rPr>
      </w:pPr>
    </w:p>
    <w:p w14:paraId="1AAAA9E6" w14:textId="77777777" w:rsidR="00B225FE" w:rsidRPr="00E75F6C" w:rsidRDefault="00B225FE" w:rsidP="00AD1560">
      <w:pPr>
        <w:spacing w:after="0" w:line="360" w:lineRule="auto"/>
        <w:jc w:val="both"/>
        <w:rPr>
          <w:rFonts w:ascii="Book Antiqua" w:hAnsi="Book Antiqua"/>
          <w:sz w:val="24"/>
          <w:szCs w:val="24"/>
        </w:rPr>
      </w:pPr>
    </w:p>
    <w:p w14:paraId="20449B1F" w14:textId="77777777" w:rsidR="00B225FE" w:rsidRPr="00E75F6C" w:rsidRDefault="00B225FE" w:rsidP="00AD1560">
      <w:pPr>
        <w:spacing w:after="0" w:line="360" w:lineRule="auto"/>
        <w:jc w:val="both"/>
        <w:rPr>
          <w:rFonts w:ascii="Book Antiqua" w:hAnsi="Book Antiqua"/>
          <w:sz w:val="24"/>
          <w:szCs w:val="24"/>
        </w:rPr>
      </w:pPr>
    </w:p>
    <w:p w14:paraId="02FFC171" w14:textId="77777777" w:rsidR="00770265" w:rsidRPr="00E75F6C" w:rsidRDefault="00770265" w:rsidP="00AD1560">
      <w:pPr>
        <w:spacing w:after="0" w:line="360" w:lineRule="auto"/>
        <w:jc w:val="both"/>
        <w:rPr>
          <w:rFonts w:ascii="Book Antiqua" w:hAnsi="Book Antiqua"/>
          <w:sz w:val="24"/>
          <w:szCs w:val="24"/>
        </w:rPr>
      </w:pPr>
    </w:p>
    <w:p w14:paraId="28ACC2FA" w14:textId="77777777" w:rsidR="00770265" w:rsidRPr="00E75F6C" w:rsidRDefault="00770265" w:rsidP="00AD1560">
      <w:pPr>
        <w:spacing w:after="0" w:line="360" w:lineRule="auto"/>
        <w:jc w:val="both"/>
        <w:rPr>
          <w:rFonts w:ascii="Book Antiqua" w:hAnsi="Book Antiqua"/>
          <w:sz w:val="24"/>
          <w:szCs w:val="24"/>
        </w:rPr>
      </w:pPr>
    </w:p>
    <w:p w14:paraId="06C0A9C6" w14:textId="77777777" w:rsidR="00770265" w:rsidRPr="00E75F6C" w:rsidRDefault="00770265" w:rsidP="00AD1560">
      <w:pPr>
        <w:spacing w:after="0" w:line="360" w:lineRule="auto"/>
        <w:jc w:val="both"/>
        <w:rPr>
          <w:rFonts w:ascii="Book Antiqua" w:hAnsi="Book Antiqua"/>
          <w:sz w:val="24"/>
          <w:szCs w:val="24"/>
        </w:rPr>
      </w:pPr>
    </w:p>
    <w:p w14:paraId="283DB6D8" w14:textId="77777777" w:rsidR="000F0CDF" w:rsidRDefault="000F0CDF">
      <w:pPr>
        <w:rPr>
          <w:rFonts w:ascii="Book Antiqua" w:hAnsi="Book Antiqua"/>
          <w:sz w:val="24"/>
          <w:szCs w:val="24"/>
        </w:rPr>
      </w:pPr>
      <w:r>
        <w:rPr>
          <w:rFonts w:ascii="Book Antiqua" w:hAnsi="Book Antiqua"/>
          <w:sz w:val="24"/>
          <w:szCs w:val="24"/>
        </w:rPr>
        <w:br w:type="page"/>
      </w:r>
    </w:p>
    <w:p w14:paraId="629C52DC" w14:textId="77777777" w:rsidR="00B225FE" w:rsidRPr="000F0CDF" w:rsidRDefault="007F04D1" w:rsidP="00AD1560">
      <w:pPr>
        <w:spacing w:after="0" w:line="360" w:lineRule="auto"/>
        <w:jc w:val="both"/>
        <w:rPr>
          <w:rFonts w:ascii="Book Antiqua" w:hAnsi="Book Antiqua"/>
          <w:b/>
          <w:sz w:val="24"/>
          <w:szCs w:val="24"/>
        </w:rPr>
      </w:pPr>
      <w:r w:rsidRPr="000F0CDF">
        <w:rPr>
          <w:rFonts w:ascii="Book Antiqua" w:hAnsi="Book Antiqua"/>
          <w:b/>
          <w:sz w:val="24"/>
          <w:szCs w:val="24"/>
        </w:rPr>
        <w:lastRenderedPageBreak/>
        <w:t>Table 5</w:t>
      </w:r>
      <w:r w:rsidR="006A2D7E" w:rsidRPr="000F0CDF">
        <w:rPr>
          <w:rFonts w:ascii="Book Antiqua" w:hAnsi="Book Antiqua"/>
          <w:b/>
          <w:sz w:val="24"/>
          <w:szCs w:val="24"/>
        </w:rPr>
        <w:t xml:space="preserve"> </w:t>
      </w:r>
      <w:r w:rsidR="00B225FE" w:rsidRPr="000F0CDF">
        <w:rPr>
          <w:rFonts w:ascii="Book Antiqua" w:hAnsi="Book Antiqua"/>
          <w:b/>
          <w:sz w:val="24"/>
          <w:szCs w:val="24"/>
        </w:rPr>
        <w:t>Strategies to overcome loss of response</w:t>
      </w:r>
    </w:p>
    <w:p w14:paraId="2223AC52" w14:textId="77777777" w:rsidR="00B225FE" w:rsidRPr="00E75F6C" w:rsidRDefault="00B225FE" w:rsidP="00AD1560">
      <w:pPr>
        <w:spacing w:after="0" w:line="360" w:lineRule="auto"/>
        <w:jc w:val="both"/>
        <w:rPr>
          <w:rFonts w:ascii="Book Antiqua" w:hAnsi="Book Antiqua"/>
          <w:sz w:val="24"/>
          <w:szCs w:val="24"/>
        </w:rPr>
      </w:pP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225FE" w:rsidRPr="00E75F6C" w14:paraId="6316D51C" w14:textId="77777777" w:rsidTr="000F0CDF">
        <w:tc>
          <w:tcPr>
            <w:tcW w:w="4508" w:type="dxa"/>
          </w:tcPr>
          <w:p w14:paraId="4D969CEE" w14:textId="77777777" w:rsidR="006A04E8" w:rsidRPr="00E75F6C" w:rsidRDefault="006A04E8" w:rsidP="00AD1560">
            <w:pPr>
              <w:numPr>
                <w:ilvl w:val="0"/>
                <w:numId w:val="8"/>
              </w:numPr>
              <w:spacing w:line="360" w:lineRule="auto"/>
              <w:jc w:val="both"/>
              <w:rPr>
                <w:rFonts w:ascii="Book Antiqua" w:eastAsia="Times New Roman" w:hAnsi="Book Antiqua" w:cs="Times New Roman"/>
                <w:sz w:val="24"/>
                <w:szCs w:val="24"/>
                <w:lang w:eastAsia="en-IE"/>
              </w:rPr>
            </w:pPr>
            <w:r w:rsidRPr="00E75F6C">
              <w:rPr>
                <w:rFonts w:ascii="Book Antiqua" w:eastAsia="+mn-ea" w:hAnsi="Book Antiqua" w:cs="+mn-cs"/>
                <w:color w:val="000000"/>
                <w:sz w:val="24"/>
                <w:szCs w:val="24"/>
                <w:lang w:eastAsia="en-IE"/>
              </w:rPr>
              <w:t>Low trough</w:t>
            </w:r>
          </w:p>
          <w:p w14:paraId="260F39D1" w14:textId="77777777" w:rsidR="006A04E8" w:rsidRPr="00E75F6C" w:rsidRDefault="006A04E8" w:rsidP="00AD1560">
            <w:pPr>
              <w:numPr>
                <w:ilvl w:val="0"/>
                <w:numId w:val="8"/>
              </w:numPr>
              <w:spacing w:line="360" w:lineRule="auto"/>
              <w:jc w:val="both"/>
              <w:rPr>
                <w:rFonts w:ascii="Book Antiqua" w:eastAsia="Times New Roman" w:hAnsi="Book Antiqua" w:cs="Times New Roman"/>
                <w:sz w:val="24"/>
                <w:szCs w:val="24"/>
                <w:lang w:eastAsia="en-IE"/>
              </w:rPr>
            </w:pPr>
            <w:r w:rsidRPr="00E75F6C">
              <w:rPr>
                <w:rFonts w:ascii="Book Antiqua" w:eastAsia="+mn-ea" w:hAnsi="Book Antiqua" w:cs="+mn-cs"/>
                <w:color w:val="000000"/>
                <w:sz w:val="24"/>
                <w:szCs w:val="24"/>
                <w:lang w:eastAsia="en-IE"/>
              </w:rPr>
              <w:t xml:space="preserve"> No ADA </w:t>
            </w:r>
          </w:p>
          <w:p w14:paraId="3129DB39" w14:textId="77777777" w:rsidR="006A04E8" w:rsidRPr="00E75F6C" w:rsidRDefault="006A04E8" w:rsidP="00AD1560">
            <w:pPr>
              <w:spacing w:line="360" w:lineRule="auto"/>
              <w:ind w:left="360"/>
              <w:jc w:val="both"/>
              <w:rPr>
                <w:rFonts w:ascii="Book Antiqua" w:hAnsi="Book Antiqua"/>
                <w:sz w:val="24"/>
                <w:szCs w:val="24"/>
              </w:rPr>
            </w:pPr>
            <w:r w:rsidRPr="00E75F6C">
              <w:rPr>
                <w:rFonts w:ascii="Book Antiqua" w:eastAsia="+mn-ea" w:hAnsi="Book Antiqua" w:cs="+mn-cs"/>
                <w:color w:val="000000"/>
                <w:sz w:val="24"/>
                <w:szCs w:val="24"/>
              </w:rPr>
              <w:t>-Dose escalate</w:t>
            </w:r>
          </w:p>
          <w:p w14:paraId="2DCBDA72" w14:textId="77777777" w:rsidR="00B225FE" w:rsidRPr="00E75F6C" w:rsidRDefault="00B225FE" w:rsidP="00AD1560">
            <w:pPr>
              <w:spacing w:line="360" w:lineRule="auto"/>
              <w:jc w:val="both"/>
              <w:rPr>
                <w:rFonts w:ascii="Book Antiqua" w:hAnsi="Book Antiqua"/>
                <w:sz w:val="24"/>
                <w:szCs w:val="24"/>
              </w:rPr>
            </w:pPr>
          </w:p>
        </w:tc>
        <w:tc>
          <w:tcPr>
            <w:tcW w:w="4508" w:type="dxa"/>
          </w:tcPr>
          <w:p w14:paraId="00881EDC" w14:textId="77777777" w:rsidR="006A04E8" w:rsidRPr="00E75F6C" w:rsidRDefault="006A04E8" w:rsidP="00AD1560">
            <w:pPr>
              <w:numPr>
                <w:ilvl w:val="0"/>
                <w:numId w:val="9"/>
              </w:numPr>
              <w:spacing w:line="360" w:lineRule="auto"/>
              <w:jc w:val="both"/>
              <w:rPr>
                <w:rFonts w:ascii="Book Antiqua" w:eastAsia="Times New Roman" w:hAnsi="Book Antiqua" w:cs="Times New Roman"/>
                <w:sz w:val="24"/>
                <w:szCs w:val="24"/>
                <w:lang w:eastAsia="en-IE"/>
              </w:rPr>
            </w:pPr>
            <w:r w:rsidRPr="00E75F6C">
              <w:rPr>
                <w:rFonts w:ascii="Book Antiqua" w:eastAsia="+mn-ea" w:hAnsi="Book Antiqua" w:cs="+mn-cs"/>
                <w:color w:val="000000"/>
                <w:sz w:val="24"/>
                <w:szCs w:val="24"/>
                <w:lang w:eastAsia="en-IE"/>
              </w:rPr>
              <w:t>Adequate trough</w:t>
            </w:r>
          </w:p>
          <w:p w14:paraId="0114906D" w14:textId="77777777" w:rsidR="006A04E8" w:rsidRPr="00E75F6C" w:rsidRDefault="006A04E8" w:rsidP="00AD1560">
            <w:pPr>
              <w:numPr>
                <w:ilvl w:val="0"/>
                <w:numId w:val="9"/>
              </w:numPr>
              <w:spacing w:line="360" w:lineRule="auto"/>
              <w:jc w:val="both"/>
              <w:rPr>
                <w:rFonts w:ascii="Book Antiqua" w:eastAsia="Times New Roman" w:hAnsi="Book Antiqua" w:cs="Times New Roman"/>
                <w:sz w:val="24"/>
                <w:szCs w:val="24"/>
                <w:lang w:eastAsia="en-IE"/>
              </w:rPr>
            </w:pPr>
            <w:r w:rsidRPr="00E75F6C">
              <w:rPr>
                <w:rFonts w:ascii="Book Antiqua" w:eastAsia="+mn-ea" w:hAnsi="Book Antiqua" w:cs="+mn-cs"/>
                <w:color w:val="000000"/>
                <w:sz w:val="24"/>
                <w:szCs w:val="24"/>
                <w:lang w:eastAsia="en-IE"/>
              </w:rPr>
              <w:t>No ADA</w:t>
            </w:r>
          </w:p>
          <w:p w14:paraId="0CF5696A" w14:textId="77777777" w:rsidR="006A04E8" w:rsidRPr="00E75F6C" w:rsidRDefault="006A04E8" w:rsidP="00AD1560">
            <w:pPr>
              <w:spacing w:line="360" w:lineRule="auto"/>
              <w:jc w:val="both"/>
              <w:rPr>
                <w:rFonts w:ascii="Book Antiqua" w:eastAsia="Times New Roman" w:hAnsi="Book Antiqua" w:cs="Times New Roman"/>
                <w:sz w:val="24"/>
                <w:szCs w:val="24"/>
                <w:lang w:eastAsia="en-IE"/>
              </w:rPr>
            </w:pPr>
            <w:r w:rsidRPr="00E75F6C">
              <w:rPr>
                <w:rFonts w:ascii="Book Antiqua" w:eastAsia="+mn-ea" w:hAnsi="Book Antiqua" w:cs="+mn-cs"/>
                <w:color w:val="000000"/>
                <w:sz w:val="24"/>
                <w:szCs w:val="24"/>
                <w:lang w:eastAsia="en-IE"/>
              </w:rPr>
              <w:t>-Alternative cause for LOR?</w:t>
            </w:r>
          </w:p>
          <w:p w14:paraId="3DD9AEE1" w14:textId="77777777" w:rsidR="00B225FE" w:rsidRPr="00E75F6C" w:rsidRDefault="00B225FE" w:rsidP="00AD1560">
            <w:pPr>
              <w:spacing w:line="360" w:lineRule="auto"/>
              <w:jc w:val="both"/>
              <w:rPr>
                <w:rFonts w:ascii="Book Antiqua" w:hAnsi="Book Antiqua"/>
                <w:sz w:val="24"/>
                <w:szCs w:val="24"/>
              </w:rPr>
            </w:pPr>
          </w:p>
        </w:tc>
      </w:tr>
      <w:tr w:rsidR="00B225FE" w:rsidRPr="00E75F6C" w14:paraId="221AD09D" w14:textId="77777777" w:rsidTr="000F0CDF">
        <w:tc>
          <w:tcPr>
            <w:tcW w:w="4508" w:type="dxa"/>
          </w:tcPr>
          <w:p w14:paraId="7DFA7F11" w14:textId="77777777" w:rsidR="006A04E8" w:rsidRPr="00E75F6C" w:rsidRDefault="006A04E8" w:rsidP="00AD1560">
            <w:pPr>
              <w:numPr>
                <w:ilvl w:val="0"/>
                <w:numId w:val="10"/>
              </w:numPr>
              <w:spacing w:line="360" w:lineRule="auto"/>
              <w:jc w:val="both"/>
              <w:rPr>
                <w:rFonts w:ascii="Book Antiqua" w:eastAsia="Times New Roman" w:hAnsi="Book Antiqua" w:cs="Times New Roman"/>
                <w:sz w:val="24"/>
                <w:szCs w:val="24"/>
                <w:lang w:eastAsia="en-IE"/>
              </w:rPr>
            </w:pPr>
            <w:r w:rsidRPr="00E75F6C">
              <w:rPr>
                <w:rFonts w:ascii="Book Antiqua" w:eastAsia="+mn-ea" w:hAnsi="Book Antiqua" w:cs="+mn-cs"/>
                <w:color w:val="000000"/>
                <w:sz w:val="24"/>
                <w:szCs w:val="24"/>
                <w:lang w:eastAsia="en-IE"/>
              </w:rPr>
              <w:t>Low trough</w:t>
            </w:r>
          </w:p>
          <w:p w14:paraId="0DE99E99" w14:textId="77777777" w:rsidR="006A04E8" w:rsidRPr="00E75F6C" w:rsidRDefault="006A04E8" w:rsidP="00AD1560">
            <w:pPr>
              <w:numPr>
                <w:ilvl w:val="0"/>
                <w:numId w:val="10"/>
              </w:numPr>
              <w:spacing w:line="360" w:lineRule="auto"/>
              <w:jc w:val="both"/>
              <w:rPr>
                <w:rFonts w:ascii="Book Antiqua" w:eastAsia="Times New Roman" w:hAnsi="Book Antiqua" w:cs="Times New Roman"/>
                <w:sz w:val="24"/>
                <w:szCs w:val="24"/>
                <w:lang w:eastAsia="en-IE"/>
              </w:rPr>
            </w:pPr>
            <w:r w:rsidRPr="00E75F6C">
              <w:rPr>
                <w:rFonts w:ascii="Book Antiqua" w:eastAsia="+mn-ea" w:hAnsi="Book Antiqua" w:cs="+mn-cs"/>
                <w:color w:val="000000"/>
                <w:sz w:val="24"/>
                <w:szCs w:val="24"/>
                <w:lang w:eastAsia="en-IE"/>
              </w:rPr>
              <w:t>ADA</w:t>
            </w:r>
          </w:p>
          <w:p w14:paraId="56760AF4" w14:textId="77777777" w:rsidR="006A04E8" w:rsidRPr="00E75F6C" w:rsidRDefault="006A04E8" w:rsidP="00AD1560">
            <w:pPr>
              <w:spacing w:line="360" w:lineRule="auto"/>
              <w:jc w:val="both"/>
              <w:rPr>
                <w:rFonts w:ascii="Book Antiqua" w:eastAsia="Times New Roman" w:hAnsi="Book Antiqua" w:cs="Times New Roman"/>
                <w:sz w:val="24"/>
                <w:szCs w:val="24"/>
                <w:lang w:eastAsia="en-IE"/>
              </w:rPr>
            </w:pPr>
            <w:r w:rsidRPr="00E75F6C">
              <w:rPr>
                <w:rFonts w:ascii="Book Antiqua" w:eastAsia="+mn-ea" w:hAnsi="Book Antiqua" w:cs="+mn-cs"/>
                <w:color w:val="000000"/>
                <w:sz w:val="24"/>
                <w:szCs w:val="24"/>
                <w:lang w:eastAsia="en-IE"/>
              </w:rPr>
              <w:t>-Combination therapy</w:t>
            </w:r>
          </w:p>
          <w:p w14:paraId="098F1566" w14:textId="77777777" w:rsidR="00B225FE" w:rsidRPr="00E75F6C" w:rsidRDefault="00B225FE" w:rsidP="00AD1560">
            <w:pPr>
              <w:spacing w:line="360" w:lineRule="auto"/>
              <w:jc w:val="both"/>
              <w:rPr>
                <w:rFonts w:ascii="Book Antiqua" w:hAnsi="Book Antiqua"/>
                <w:sz w:val="24"/>
                <w:szCs w:val="24"/>
              </w:rPr>
            </w:pPr>
          </w:p>
        </w:tc>
        <w:tc>
          <w:tcPr>
            <w:tcW w:w="4508" w:type="dxa"/>
          </w:tcPr>
          <w:p w14:paraId="5134ACF7" w14:textId="77777777" w:rsidR="006A04E8" w:rsidRPr="00E75F6C" w:rsidRDefault="006A04E8" w:rsidP="00AD1560">
            <w:pPr>
              <w:numPr>
                <w:ilvl w:val="0"/>
                <w:numId w:val="11"/>
              </w:numPr>
              <w:spacing w:line="360" w:lineRule="auto"/>
              <w:jc w:val="both"/>
              <w:rPr>
                <w:rFonts w:ascii="Book Antiqua" w:eastAsia="Times New Roman" w:hAnsi="Book Antiqua" w:cs="Times New Roman"/>
                <w:sz w:val="24"/>
                <w:szCs w:val="24"/>
                <w:lang w:eastAsia="en-IE"/>
              </w:rPr>
            </w:pPr>
            <w:r w:rsidRPr="00E75F6C">
              <w:rPr>
                <w:rFonts w:ascii="Book Antiqua" w:eastAsia="+mn-ea" w:hAnsi="Book Antiqua" w:cs="+mn-cs"/>
                <w:color w:val="000000"/>
                <w:sz w:val="24"/>
                <w:szCs w:val="24"/>
                <w:lang w:eastAsia="en-IE"/>
              </w:rPr>
              <w:t>Low trough</w:t>
            </w:r>
          </w:p>
          <w:p w14:paraId="6CDC616F" w14:textId="77777777" w:rsidR="006A04E8" w:rsidRPr="00E75F6C" w:rsidRDefault="006A04E8" w:rsidP="00AD1560">
            <w:pPr>
              <w:numPr>
                <w:ilvl w:val="0"/>
                <w:numId w:val="11"/>
              </w:numPr>
              <w:spacing w:line="360" w:lineRule="auto"/>
              <w:jc w:val="both"/>
              <w:rPr>
                <w:rFonts w:ascii="Book Antiqua" w:eastAsia="Times New Roman" w:hAnsi="Book Antiqua" w:cs="Times New Roman"/>
                <w:sz w:val="24"/>
                <w:szCs w:val="24"/>
                <w:lang w:eastAsia="en-IE"/>
              </w:rPr>
            </w:pPr>
            <w:r w:rsidRPr="00E75F6C">
              <w:rPr>
                <w:rFonts w:ascii="Book Antiqua" w:eastAsia="+mn-ea" w:hAnsi="Book Antiqua" w:cs="+mn-cs"/>
                <w:color w:val="000000"/>
                <w:sz w:val="24"/>
                <w:szCs w:val="24"/>
                <w:lang w:eastAsia="en-IE"/>
              </w:rPr>
              <w:t>ADA</w:t>
            </w:r>
          </w:p>
          <w:p w14:paraId="5D92DA21" w14:textId="123AC901" w:rsidR="006A04E8" w:rsidRPr="00E75F6C" w:rsidRDefault="006A04E8" w:rsidP="00AD1560">
            <w:pPr>
              <w:spacing w:line="360" w:lineRule="auto"/>
              <w:jc w:val="both"/>
              <w:rPr>
                <w:rFonts w:ascii="Book Antiqua" w:eastAsia="Times New Roman" w:hAnsi="Book Antiqua" w:cs="Times New Roman"/>
                <w:sz w:val="24"/>
                <w:szCs w:val="24"/>
                <w:lang w:eastAsia="en-IE"/>
              </w:rPr>
            </w:pPr>
            <w:r w:rsidRPr="00E75F6C">
              <w:rPr>
                <w:rFonts w:ascii="Book Antiqua" w:eastAsia="+mn-ea" w:hAnsi="Book Antiqua" w:cs="+mn-cs"/>
                <w:color w:val="000000"/>
                <w:sz w:val="24"/>
                <w:szCs w:val="24"/>
                <w:lang w:eastAsia="en-IE"/>
              </w:rPr>
              <w:t>-Alternative anti-TNF</w:t>
            </w:r>
            <w:r w:rsidR="0055492C">
              <w:rPr>
                <w:rFonts w:ascii="Book Antiqua" w:eastAsia="+mn-ea" w:hAnsi="Book Antiqua" w:cs="+mn-cs"/>
                <w:color w:val="000000"/>
                <w:sz w:val="24"/>
                <w:szCs w:val="24"/>
                <w:lang w:eastAsia="en-IE"/>
              </w:rPr>
              <w:sym w:font="Symbol" w:char="F061"/>
            </w:r>
            <w:r w:rsidRPr="00E75F6C">
              <w:rPr>
                <w:rFonts w:ascii="Book Antiqua" w:eastAsia="+mn-ea" w:hAnsi="Book Antiqua" w:cs="+mn-cs"/>
                <w:color w:val="000000"/>
                <w:sz w:val="24"/>
                <w:szCs w:val="24"/>
                <w:lang w:eastAsia="en-IE"/>
              </w:rPr>
              <w:t>/agent</w:t>
            </w:r>
          </w:p>
          <w:p w14:paraId="65C71919" w14:textId="77777777" w:rsidR="00B225FE" w:rsidRPr="00E75F6C" w:rsidRDefault="00B225FE" w:rsidP="00AD1560">
            <w:pPr>
              <w:spacing w:line="360" w:lineRule="auto"/>
              <w:jc w:val="both"/>
              <w:rPr>
                <w:rFonts w:ascii="Book Antiqua" w:hAnsi="Book Antiqua"/>
                <w:sz w:val="24"/>
                <w:szCs w:val="24"/>
              </w:rPr>
            </w:pPr>
          </w:p>
        </w:tc>
      </w:tr>
    </w:tbl>
    <w:p w14:paraId="79C1EC86" w14:textId="77777777" w:rsidR="00B225FE" w:rsidRPr="00E75F6C" w:rsidRDefault="00B225FE" w:rsidP="00AD1560">
      <w:pPr>
        <w:spacing w:after="0" w:line="360" w:lineRule="auto"/>
        <w:jc w:val="both"/>
        <w:rPr>
          <w:rFonts w:ascii="Book Antiqua" w:hAnsi="Book Antiqua"/>
          <w:sz w:val="24"/>
          <w:szCs w:val="24"/>
        </w:rPr>
      </w:pPr>
    </w:p>
    <w:p w14:paraId="1F9BDA8D" w14:textId="77777777" w:rsidR="00770265" w:rsidRPr="00E75F6C" w:rsidRDefault="00770265" w:rsidP="00AD1560">
      <w:pPr>
        <w:spacing w:after="0" w:line="360" w:lineRule="auto"/>
        <w:jc w:val="both"/>
        <w:rPr>
          <w:rFonts w:ascii="Book Antiqua" w:hAnsi="Book Antiqua"/>
          <w:sz w:val="24"/>
          <w:szCs w:val="24"/>
        </w:rPr>
      </w:pPr>
    </w:p>
    <w:p w14:paraId="391C0F17" w14:textId="77777777" w:rsidR="00770265" w:rsidRPr="00E75F6C" w:rsidRDefault="00770265" w:rsidP="00AD1560">
      <w:pPr>
        <w:spacing w:after="0" w:line="360" w:lineRule="auto"/>
        <w:jc w:val="both"/>
        <w:rPr>
          <w:rFonts w:ascii="Book Antiqua" w:hAnsi="Book Antiqua"/>
          <w:sz w:val="24"/>
          <w:szCs w:val="24"/>
        </w:rPr>
      </w:pPr>
    </w:p>
    <w:p w14:paraId="047BC438" w14:textId="77777777" w:rsidR="00770265" w:rsidRPr="00E75F6C" w:rsidRDefault="00770265" w:rsidP="00AD1560">
      <w:pPr>
        <w:spacing w:after="0" w:line="360" w:lineRule="auto"/>
        <w:jc w:val="both"/>
        <w:rPr>
          <w:rFonts w:ascii="Book Antiqua" w:hAnsi="Book Antiqua"/>
          <w:sz w:val="24"/>
          <w:szCs w:val="24"/>
        </w:rPr>
      </w:pPr>
    </w:p>
    <w:p w14:paraId="1B234A2C" w14:textId="77777777" w:rsidR="00770265" w:rsidRPr="00E75F6C" w:rsidRDefault="00770265" w:rsidP="00AD1560">
      <w:pPr>
        <w:spacing w:after="0" w:line="360" w:lineRule="auto"/>
        <w:jc w:val="both"/>
        <w:rPr>
          <w:rFonts w:ascii="Book Antiqua" w:hAnsi="Book Antiqua"/>
          <w:sz w:val="24"/>
          <w:szCs w:val="24"/>
        </w:rPr>
      </w:pPr>
    </w:p>
    <w:p w14:paraId="33E14BCF" w14:textId="77777777" w:rsidR="00770265" w:rsidRPr="00E75F6C" w:rsidRDefault="00770265" w:rsidP="00AD1560">
      <w:pPr>
        <w:spacing w:after="0" w:line="360" w:lineRule="auto"/>
        <w:jc w:val="both"/>
        <w:rPr>
          <w:rFonts w:ascii="Book Antiqua" w:hAnsi="Book Antiqua"/>
          <w:sz w:val="24"/>
          <w:szCs w:val="24"/>
        </w:rPr>
      </w:pPr>
    </w:p>
    <w:p w14:paraId="65260529" w14:textId="77777777" w:rsidR="00770265" w:rsidRPr="00E75F6C" w:rsidRDefault="00770265" w:rsidP="00AD1560">
      <w:pPr>
        <w:spacing w:after="0" w:line="360" w:lineRule="auto"/>
        <w:jc w:val="both"/>
        <w:rPr>
          <w:rFonts w:ascii="Book Antiqua" w:hAnsi="Book Antiqua"/>
          <w:sz w:val="24"/>
          <w:szCs w:val="24"/>
        </w:rPr>
      </w:pPr>
    </w:p>
    <w:p w14:paraId="7EA0E23D" w14:textId="77777777" w:rsidR="00770265" w:rsidRPr="00E75F6C" w:rsidRDefault="00770265" w:rsidP="00AD1560">
      <w:pPr>
        <w:spacing w:after="0" w:line="360" w:lineRule="auto"/>
        <w:jc w:val="both"/>
        <w:rPr>
          <w:rFonts w:ascii="Book Antiqua" w:hAnsi="Book Antiqua"/>
          <w:sz w:val="24"/>
          <w:szCs w:val="24"/>
        </w:rPr>
      </w:pPr>
    </w:p>
    <w:p w14:paraId="7D143106" w14:textId="77777777" w:rsidR="00770265" w:rsidRPr="00E75F6C" w:rsidRDefault="00770265" w:rsidP="00AD1560">
      <w:pPr>
        <w:spacing w:after="0" w:line="360" w:lineRule="auto"/>
        <w:jc w:val="both"/>
        <w:rPr>
          <w:rFonts w:ascii="Book Antiqua" w:hAnsi="Book Antiqua"/>
          <w:sz w:val="24"/>
          <w:szCs w:val="24"/>
        </w:rPr>
      </w:pPr>
    </w:p>
    <w:p w14:paraId="0AA99E8E" w14:textId="77777777" w:rsidR="00770265" w:rsidRPr="00E75F6C" w:rsidRDefault="00770265" w:rsidP="00AD1560">
      <w:pPr>
        <w:spacing w:after="0" w:line="360" w:lineRule="auto"/>
        <w:jc w:val="both"/>
        <w:rPr>
          <w:rFonts w:ascii="Book Antiqua" w:hAnsi="Book Antiqua"/>
          <w:sz w:val="24"/>
          <w:szCs w:val="24"/>
        </w:rPr>
      </w:pPr>
    </w:p>
    <w:p w14:paraId="28346C4D" w14:textId="77777777" w:rsidR="00770265" w:rsidRPr="00E75F6C" w:rsidRDefault="00770265" w:rsidP="00AD1560">
      <w:pPr>
        <w:spacing w:after="0" w:line="360" w:lineRule="auto"/>
        <w:jc w:val="both"/>
        <w:rPr>
          <w:rFonts w:ascii="Book Antiqua" w:hAnsi="Book Antiqua"/>
          <w:sz w:val="24"/>
          <w:szCs w:val="24"/>
        </w:rPr>
      </w:pPr>
    </w:p>
    <w:p w14:paraId="7E2BA115" w14:textId="77777777" w:rsidR="00770265" w:rsidRPr="00E75F6C" w:rsidRDefault="00770265" w:rsidP="00AD1560">
      <w:pPr>
        <w:spacing w:after="0" w:line="360" w:lineRule="auto"/>
        <w:jc w:val="both"/>
        <w:rPr>
          <w:rFonts w:ascii="Book Antiqua" w:hAnsi="Book Antiqua"/>
          <w:sz w:val="24"/>
          <w:szCs w:val="24"/>
        </w:rPr>
      </w:pPr>
    </w:p>
    <w:p w14:paraId="6ACF9E09" w14:textId="77777777" w:rsidR="00770265" w:rsidRPr="00E75F6C" w:rsidRDefault="00770265" w:rsidP="00AD1560">
      <w:pPr>
        <w:spacing w:after="0" w:line="360" w:lineRule="auto"/>
        <w:jc w:val="both"/>
        <w:rPr>
          <w:rFonts w:ascii="Book Antiqua" w:hAnsi="Book Antiqua"/>
          <w:sz w:val="24"/>
          <w:szCs w:val="24"/>
        </w:rPr>
      </w:pPr>
    </w:p>
    <w:p w14:paraId="39EE9F67" w14:textId="77777777" w:rsidR="00770265" w:rsidRPr="00E75F6C" w:rsidRDefault="00770265" w:rsidP="00AD1560">
      <w:pPr>
        <w:spacing w:after="0" w:line="360" w:lineRule="auto"/>
        <w:jc w:val="both"/>
        <w:rPr>
          <w:rFonts w:ascii="Book Antiqua" w:hAnsi="Book Antiqua"/>
          <w:sz w:val="24"/>
          <w:szCs w:val="24"/>
        </w:rPr>
      </w:pPr>
    </w:p>
    <w:p w14:paraId="12660E0F" w14:textId="77777777" w:rsidR="00770265" w:rsidRPr="00E75F6C" w:rsidRDefault="00770265" w:rsidP="00AD1560">
      <w:pPr>
        <w:spacing w:after="0" w:line="360" w:lineRule="auto"/>
        <w:jc w:val="both"/>
        <w:rPr>
          <w:rFonts w:ascii="Book Antiqua" w:hAnsi="Book Antiqua"/>
          <w:sz w:val="24"/>
          <w:szCs w:val="24"/>
        </w:rPr>
      </w:pPr>
    </w:p>
    <w:p w14:paraId="70360E8B" w14:textId="77777777" w:rsidR="000F0CDF" w:rsidRDefault="000F0CDF">
      <w:pPr>
        <w:rPr>
          <w:rFonts w:ascii="Book Antiqua" w:hAnsi="Book Antiqua"/>
          <w:sz w:val="24"/>
          <w:szCs w:val="24"/>
        </w:rPr>
      </w:pPr>
      <w:r>
        <w:rPr>
          <w:rFonts w:ascii="Book Antiqua" w:hAnsi="Book Antiqua"/>
          <w:sz w:val="24"/>
          <w:szCs w:val="24"/>
        </w:rPr>
        <w:br w:type="page"/>
      </w:r>
    </w:p>
    <w:p w14:paraId="64D8D411" w14:textId="77777777" w:rsidR="00480FF4" w:rsidRPr="000F0CDF" w:rsidRDefault="007F04D1" w:rsidP="00AD1560">
      <w:pPr>
        <w:spacing w:after="0" w:line="360" w:lineRule="auto"/>
        <w:jc w:val="both"/>
        <w:rPr>
          <w:rFonts w:ascii="Book Antiqua" w:hAnsi="Book Antiqua"/>
          <w:b/>
          <w:sz w:val="24"/>
          <w:szCs w:val="24"/>
        </w:rPr>
      </w:pPr>
      <w:r w:rsidRPr="000F0CDF">
        <w:rPr>
          <w:rFonts w:ascii="Book Antiqua" w:hAnsi="Book Antiqua"/>
          <w:b/>
          <w:sz w:val="24"/>
          <w:szCs w:val="24"/>
        </w:rPr>
        <w:lastRenderedPageBreak/>
        <w:t>Table 6</w:t>
      </w:r>
      <w:r w:rsidR="006A2D7E" w:rsidRPr="000F0CDF">
        <w:rPr>
          <w:rFonts w:ascii="Book Antiqua" w:hAnsi="Book Antiqua"/>
          <w:b/>
          <w:sz w:val="24"/>
          <w:szCs w:val="24"/>
        </w:rPr>
        <w:t xml:space="preserve"> </w:t>
      </w:r>
      <w:r w:rsidR="00480FF4" w:rsidRPr="000F0CDF">
        <w:rPr>
          <w:rFonts w:ascii="Book Antiqua" w:hAnsi="Book Antiqua"/>
          <w:b/>
          <w:sz w:val="24"/>
          <w:szCs w:val="24"/>
        </w:rPr>
        <w:t xml:space="preserve">Trough levels associated with mucosal healing for </w:t>
      </w:r>
      <w:r w:rsidR="001952F6" w:rsidRPr="000F0CDF">
        <w:rPr>
          <w:rFonts w:ascii="Book Antiqua" w:hAnsi="Book Antiqua"/>
          <w:b/>
          <w:sz w:val="24"/>
          <w:szCs w:val="24"/>
        </w:rPr>
        <w:t>infliximab</w:t>
      </w:r>
    </w:p>
    <w:p w14:paraId="6D4C8DD4" w14:textId="77777777" w:rsidR="00480FF4" w:rsidRPr="00E75F6C" w:rsidRDefault="00480FF4" w:rsidP="00AD1560">
      <w:pPr>
        <w:pBdr>
          <w:bottom w:val="single" w:sz="4" w:space="2" w:color="auto"/>
        </w:pBdr>
        <w:spacing w:after="0" w:line="360" w:lineRule="auto"/>
        <w:jc w:val="both"/>
        <w:rPr>
          <w:rFonts w:ascii="Book Antiqua" w:hAnsi="Book Antiqua"/>
          <w:sz w:val="24"/>
          <w:szCs w:val="24"/>
        </w:rPr>
      </w:pPr>
    </w:p>
    <w:tbl>
      <w:tblPr>
        <w:tblStyle w:val="a4"/>
        <w:tblW w:w="10501"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1"/>
        <w:gridCol w:w="1612"/>
        <w:gridCol w:w="1612"/>
        <w:gridCol w:w="1612"/>
        <w:gridCol w:w="1612"/>
        <w:gridCol w:w="1612"/>
      </w:tblGrid>
      <w:tr w:rsidR="00E8627B" w:rsidRPr="000F0CDF" w14:paraId="7968C42C" w14:textId="77777777" w:rsidTr="00A40C38">
        <w:trPr>
          <w:trHeight w:val="2467"/>
        </w:trPr>
        <w:tc>
          <w:tcPr>
            <w:tcW w:w="2441" w:type="dxa"/>
          </w:tcPr>
          <w:p w14:paraId="2CE9EF4F" w14:textId="77777777" w:rsidR="00E8627B" w:rsidRPr="000F0CDF" w:rsidRDefault="00E8627B" w:rsidP="00AD1560">
            <w:pPr>
              <w:spacing w:line="360" w:lineRule="auto"/>
              <w:jc w:val="both"/>
              <w:rPr>
                <w:rFonts w:ascii="Book Antiqua" w:hAnsi="Book Antiqua"/>
                <w:b/>
                <w:sz w:val="24"/>
                <w:szCs w:val="24"/>
              </w:rPr>
            </w:pPr>
            <w:r w:rsidRPr="000F0CDF">
              <w:rPr>
                <w:rFonts w:ascii="Book Antiqua" w:hAnsi="Book Antiqua"/>
                <w:b/>
                <w:sz w:val="24"/>
                <w:szCs w:val="24"/>
              </w:rPr>
              <w:t>Study</w:t>
            </w:r>
          </w:p>
        </w:tc>
        <w:tc>
          <w:tcPr>
            <w:tcW w:w="1612" w:type="dxa"/>
          </w:tcPr>
          <w:p w14:paraId="258E75C1" w14:textId="77777777" w:rsidR="00E8627B" w:rsidRPr="000F0CDF" w:rsidRDefault="000F0CDF" w:rsidP="00AD1560">
            <w:pPr>
              <w:spacing w:line="360" w:lineRule="auto"/>
              <w:jc w:val="both"/>
              <w:rPr>
                <w:rFonts w:ascii="Book Antiqua" w:hAnsi="Book Antiqua"/>
                <w:b/>
                <w:i/>
                <w:sz w:val="24"/>
                <w:szCs w:val="24"/>
                <w:lang w:eastAsia="zh-CN"/>
              </w:rPr>
            </w:pPr>
            <w:r w:rsidRPr="000F0CDF">
              <w:rPr>
                <w:rFonts w:ascii="Book Antiqua" w:hAnsi="Book Antiqua"/>
                <w:b/>
                <w:i/>
                <w:sz w:val="24"/>
                <w:szCs w:val="24"/>
              </w:rPr>
              <w:t>n</w:t>
            </w:r>
          </w:p>
        </w:tc>
        <w:tc>
          <w:tcPr>
            <w:tcW w:w="1612" w:type="dxa"/>
          </w:tcPr>
          <w:p w14:paraId="65482E99" w14:textId="77777777" w:rsidR="00E8627B" w:rsidRPr="000F0CDF" w:rsidRDefault="00770265" w:rsidP="000F0CDF">
            <w:pPr>
              <w:spacing w:line="360" w:lineRule="auto"/>
              <w:jc w:val="both"/>
              <w:rPr>
                <w:rFonts w:ascii="Book Antiqua" w:hAnsi="Book Antiqua"/>
                <w:b/>
                <w:sz w:val="24"/>
                <w:szCs w:val="24"/>
              </w:rPr>
            </w:pPr>
            <w:r w:rsidRPr="000F0CDF">
              <w:rPr>
                <w:rFonts w:ascii="Book Antiqua" w:hAnsi="Book Antiqua"/>
                <w:b/>
                <w:sz w:val="24"/>
                <w:szCs w:val="24"/>
              </w:rPr>
              <w:t xml:space="preserve">Mean </w:t>
            </w:r>
            <w:r w:rsidR="00E8627B" w:rsidRPr="000F0CDF">
              <w:rPr>
                <w:rFonts w:ascii="Book Antiqua" w:hAnsi="Book Antiqua"/>
                <w:b/>
                <w:sz w:val="24"/>
                <w:szCs w:val="24"/>
              </w:rPr>
              <w:t xml:space="preserve">Infliximab Trough level </w:t>
            </w:r>
            <w:r w:rsidR="000F0CDF">
              <w:rPr>
                <w:rFonts w:ascii="Book Antiqua" w:hAnsi="Book Antiqua"/>
                <w:b/>
                <w:sz w:val="24"/>
                <w:szCs w:val="24"/>
              </w:rPr>
              <w:sym w:font="Symbol" w:char="F06D"/>
            </w:r>
            <w:r w:rsidR="00E8627B" w:rsidRPr="000F0CDF">
              <w:rPr>
                <w:rFonts w:ascii="Book Antiqua" w:hAnsi="Book Antiqua"/>
                <w:b/>
                <w:sz w:val="24"/>
                <w:szCs w:val="24"/>
              </w:rPr>
              <w:t>g/m</w:t>
            </w:r>
            <w:r w:rsidR="000F0CDF" w:rsidRPr="000F0CDF">
              <w:rPr>
                <w:rFonts w:ascii="Book Antiqua" w:hAnsi="Book Antiqua"/>
                <w:b/>
                <w:sz w:val="24"/>
                <w:szCs w:val="24"/>
              </w:rPr>
              <w:t xml:space="preserve">L </w:t>
            </w:r>
            <w:r w:rsidR="00E8627B" w:rsidRPr="000F0CDF">
              <w:rPr>
                <w:rFonts w:ascii="Book Antiqua" w:hAnsi="Book Antiqua"/>
                <w:b/>
                <w:sz w:val="24"/>
                <w:szCs w:val="24"/>
              </w:rPr>
              <w:t>Mucosal Healing</w:t>
            </w:r>
          </w:p>
        </w:tc>
        <w:tc>
          <w:tcPr>
            <w:tcW w:w="1612" w:type="dxa"/>
          </w:tcPr>
          <w:p w14:paraId="1D309A59" w14:textId="77777777" w:rsidR="00E8627B" w:rsidRPr="000F0CDF" w:rsidRDefault="00770265" w:rsidP="00AD1560">
            <w:pPr>
              <w:spacing w:line="360" w:lineRule="auto"/>
              <w:jc w:val="both"/>
              <w:rPr>
                <w:rFonts w:ascii="Book Antiqua" w:hAnsi="Book Antiqua"/>
                <w:b/>
                <w:sz w:val="24"/>
                <w:szCs w:val="24"/>
              </w:rPr>
            </w:pPr>
            <w:r w:rsidRPr="000F0CDF">
              <w:rPr>
                <w:rFonts w:ascii="Book Antiqua" w:hAnsi="Book Antiqua"/>
                <w:b/>
                <w:sz w:val="24"/>
                <w:szCs w:val="24"/>
              </w:rPr>
              <w:t xml:space="preserve">Mean </w:t>
            </w:r>
            <w:r w:rsidR="00E8627B" w:rsidRPr="000F0CDF">
              <w:rPr>
                <w:rFonts w:ascii="Book Antiqua" w:hAnsi="Book Antiqua"/>
                <w:b/>
                <w:sz w:val="24"/>
                <w:szCs w:val="24"/>
              </w:rPr>
              <w:t xml:space="preserve">Infliximab Trough level </w:t>
            </w:r>
            <w:r w:rsidR="000F0CDF">
              <w:rPr>
                <w:rFonts w:ascii="Book Antiqua" w:hAnsi="Book Antiqua"/>
                <w:b/>
                <w:sz w:val="24"/>
                <w:szCs w:val="24"/>
              </w:rPr>
              <w:sym w:font="Symbol" w:char="F06D"/>
            </w:r>
            <w:r w:rsidR="00E8627B" w:rsidRPr="000F0CDF">
              <w:rPr>
                <w:rFonts w:ascii="Book Antiqua" w:hAnsi="Book Antiqua"/>
                <w:b/>
                <w:sz w:val="24"/>
                <w:szCs w:val="24"/>
              </w:rPr>
              <w:t>g/m</w:t>
            </w:r>
            <w:r w:rsidR="000F0CDF" w:rsidRPr="000F0CDF">
              <w:rPr>
                <w:rFonts w:ascii="Book Antiqua" w:hAnsi="Book Antiqua"/>
                <w:b/>
                <w:sz w:val="24"/>
                <w:szCs w:val="24"/>
              </w:rPr>
              <w:t>L</w:t>
            </w:r>
          </w:p>
          <w:p w14:paraId="6C9DF7FC" w14:textId="77777777" w:rsidR="006A2D7E" w:rsidRPr="000F0CDF" w:rsidRDefault="000F0CDF" w:rsidP="00AD1560">
            <w:pPr>
              <w:spacing w:line="360" w:lineRule="auto"/>
              <w:jc w:val="both"/>
              <w:rPr>
                <w:rFonts w:ascii="Book Antiqua" w:hAnsi="Book Antiqua"/>
                <w:b/>
                <w:sz w:val="24"/>
                <w:szCs w:val="24"/>
                <w:lang w:eastAsia="zh-CN"/>
              </w:rPr>
            </w:pPr>
            <w:r>
              <w:rPr>
                <w:rFonts w:ascii="Book Antiqua" w:hAnsi="Book Antiqua"/>
                <w:b/>
                <w:sz w:val="24"/>
                <w:szCs w:val="24"/>
              </w:rPr>
              <w:t>No mucosal Healing</w:t>
            </w:r>
          </w:p>
        </w:tc>
        <w:tc>
          <w:tcPr>
            <w:tcW w:w="1612" w:type="dxa"/>
          </w:tcPr>
          <w:p w14:paraId="033F6C79" w14:textId="77777777" w:rsidR="00E8627B" w:rsidRPr="000F0CDF" w:rsidRDefault="000F0CDF" w:rsidP="00AD1560">
            <w:pPr>
              <w:spacing w:line="360" w:lineRule="auto"/>
              <w:jc w:val="both"/>
              <w:rPr>
                <w:rFonts w:ascii="Book Antiqua" w:hAnsi="Book Antiqua"/>
                <w:b/>
                <w:sz w:val="24"/>
                <w:szCs w:val="24"/>
              </w:rPr>
            </w:pPr>
            <w:r w:rsidRPr="000F0CDF">
              <w:rPr>
                <w:rFonts w:ascii="Book Antiqua" w:hAnsi="Book Antiqua"/>
                <w:b/>
                <w:i/>
                <w:sz w:val="24"/>
                <w:szCs w:val="24"/>
              </w:rPr>
              <w:t>P</w:t>
            </w:r>
            <w:r w:rsidRPr="000F0CDF">
              <w:rPr>
                <w:rFonts w:ascii="Book Antiqua" w:hAnsi="Book Antiqua" w:hint="eastAsia"/>
                <w:b/>
                <w:i/>
                <w:sz w:val="24"/>
                <w:szCs w:val="24"/>
                <w:lang w:eastAsia="zh-CN"/>
              </w:rPr>
              <w:t xml:space="preserve"> </w:t>
            </w:r>
            <w:r w:rsidR="00E8627B" w:rsidRPr="000F0CDF">
              <w:rPr>
                <w:rFonts w:ascii="Book Antiqua" w:hAnsi="Book Antiqua"/>
                <w:b/>
                <w:sz w:val="24"/>
                <w:szCs w:val="24"/>
              </w:rPr>
              <w:t>value</w:t>
            </w:r>
          </w:p>
        </w:tc>
        <w:tc>
          <w:tcPr>
            <w:tcW w:w="1612" w:type="dxa"/>
          </w:tcPr>
          <w:p w14:paraId="3330FD0E" w14:textId="77777777" w:rsidR="00E8627B" w:rsidRPr="000F0CDF" w:rsidRDefault="000F0CDF" w:rsidP="000F0CDF">
            <w:pPr>
              <w:spacing w:line="360" w:lineRule="auto"/>
              <w:jc w:val="both"/>
              <w:rPr>
                <w:rFonts w:ascii="Book Antiqua" w:hAnsi="Book Antiqua"/>
                <w:b/>
                <w:sz w:val="24"/>
                <w:szCs w:val="24"/>
                <w:lang w:eastAsia="zh-CN"/>
              </w:rPr>
            </w:pPr>
            <w:r>
              <w:rPr>
                <w:rFonts w:ascii="Book Antiqua" w:hAnsi="Book Antiqua"/>
                <w:b/>
                <w:sz w:val="24"/>
                <w:szCs w:val="24"/>
              </w:rPr>
              <w:t>95%</w:t>
            </w:r>
            <w:r>
              <w:rPr>
                <w:rFonts w:ascii="Book Antiqua" w:hAnsi="Book Antiqua" w:hint="eastAsia"/>
                <w:b/>
                <w:sz w:val="24"/>
                <w:szCs w:val="24"/>
                <w:lang w:eastAsia="zh-CN"/>
              </w:rPr>
              <w:t>CI</w:t>
            </w:r>
          </w:p>
        </w:tc>
      </w:tr>
      <w:tr w:rsidR="00E8627B" w:rsidRPr="00E75F6C" w14:paraId="23372EEB" w14:textId="77777777" w:rsidTr="00A40C38">
        <w:trPr>
          <w:trHeight w:val="739"/>
        </w:trPr>
        <w:tc>
          <w:tcPr>
            <w:tcW w:w="2441" w:type="dxa"/>
            <w:tcBorders>
              <w:top w:val="single" w:sz="4" w:space="0" w:color="auto"/>
            </w:tcBorders>
          </w:tcPr>
          <w:p w14:paraId="433AC4C5" w14:textId="77777777" w:rsidR="006A2D7E" w:rsidRPr="00E75F6C" w:rsidRDefault="006A2D7E" w:rsidP="00AD1560">
            <w:pPr>
              <w:spacing w:line="360" w:lineRule="auto"/>
              <w:jc w:val="both"/>
              <w:rPr>
                <w:rFonts w:ascii="Book Antiqua" w:hAnsi="Book Antiqua"/>
                <w:sz w:val="24"/>
                <w:szCs w:val="24"/>
              </w:rPr>
            </w:pPr>
          </w:p>
          <w:p w14:paraId="409B8BEA" w14:textId="77777777" w:rsidR="00E8627B" w:rsidRPr="00E75F6C" w:rsidRDefault="000F0CDF" w:rsidP="00AD1560">
            <w:pPr>
              <w:spacing w:line="360" w:lineRule="auto"/>
              <w:jc w:val="both"/>
              <w:rPr>
                <w:rFonts w:ascii="Book Antiqua" w:hAnsi="Book Antiqua"/>
                <w:sz w:val="24"/>
                <w:szCs w:val="24"/>
              </w:rPr>
            </w:pPr>
            <w:r>
              <w:rPr>
                <w:rFonts w:ascii="Book Antiqua" w:hAnsi="Book Antiqua"/>
                <w:sz w:val="24"/>
                <w:szCs w:val="24"/>
              </w:rPr>
              <w:t xml:space="preserve">Paul </w:t>
            </w:r>
            <w:r w:rsidR="00E8627B" w:rsidRPr="00E75F6C">
              <w:rPr>
                <w:rFonts w:ascii="Book Antiqua" w:hAnsi="Book Antiqua"/>
                <w:sz w:val="24"/>
                <w:szCs w:val="24"/>
              </w:rPr>
              <w:t xml:space="preserve"> </w:t>
            </w:r>
            <w:r w:rsidR="00E8627B" w:rsidRPr="000F0CDF">
              <w:rPr>
                <w:rFonts w:ascii="Book Antiqua" w:hAnsi="Book Antiqua"/>
                <w:i/>
                <w:sz w:val="24"/>
                <w:szCs w:val="24"/>
              </w:rPr>
              <w:t>et al</w:t>
            </w:r>
            <w:r w:rsidR="00523E72" w:rsidRPr="00523E72">
              <w:rPr>
                <w:rFonts w:ascii="Book Antiqua" w:hAnsi="Book Antiqua"/>
                <w:sz w:val="24"/>
                <w:szCs w:val="24"/>
                <w:vertAlign w:val="superscript"/>
              </w:rPr>
              <w:t>[</w:t>
            </w:r>
            <w:r w:rsidR="00496750">
              <w:rPr>
                <w:rFonts w:ascii="Book Antiqua" w:hAnsi="Book Antiqua"/>
                <w:sz w:val="24"/>
                <w:szCs w:val="24"/>
                <w:vertAlign w:val="superscript"/>
              </w:rPr>
              <w:t>61</w:t>
            </w:r>
            <w:r w:rsidR="00496750" w:rsidRPr="00496750">
              <w:rPr>
                <w:rFonts w:ascii="Book Antiqua" w:hAnsi="Book Antiqua"/>
                <w:sz w:val="24"/>
                <w:szCs w:val="24"/>
                <w:vertAlign w:val="superscript"/>
              </w:rPr>
              <w:t>]</w:t>
            </w:r>
          </w:p>
        </w:tc>
        <w:tc>
          <w:tcPr>
            <w:tcW w:w="1612" w:type="dxa"/>
            <w:tcBorders>
              <w:top w:val="single" w:sz="4" w:space="0" w:color="auto"/>
            </w:tcBorders>
          </w:tcPr>
          <w:p w14:paraId="2A535B63" w14:textId="77777777" w:rsidR="006A2D7E" w:rsidRPr="00E75F6C" w:rsidRDefault="006A2D7E" w:rsidP="00AD1560">
            <w:pPr>
              <w:spacing w:line="360" w:lineRule="auto"/>
              <w:jc w:val="both"/>
              <w:rPr>
                <w:rFonts w:ascii="Book Antiqua" w:hAnsi="Book Antiqua"/>
                <w:sz w:val="24"/>
                <w:szCs w:val="24"/>
              </w:rPr>
            </w:pPr>
          </w:p>
          <w:p w14:paraId="5AE5B476" w14:textId="77777777" w:rsidR="00E8627B" w:rsidRPr="00E75F6C" w:rsidRDefault="00E8627B" w:rsidP="00AD1560">
            <w:pPr>
              <w:spacing w:line="360" w:lineRule="auto"/>
              <w:jc w:val="both"/>
              <w:rPr>
                <w:rFonts w:ascii="Book Antiqua" w:hAnsi="Book Antiqua"/>
                <w:sz w:val="24"/>
                <w:szCs w:val="24"/>
              </w:rPr>
            </w:pPr>
            <w:r w:rsidRPr="00E75F6C">
              <w:rPr>
                <w:rFonts w:ascii="Book Antiqua" w:hAnsi="Book Antiqua"/>
                <w:sz w:val="24"/>
                <w:szCs w:val="24"/>
              </w:rPr>
              <w:t>52 (UC/CD)</w:t>
            </w:r>
          </w:p>
        </w:tc>
        <w:tc>
          <w:tcPr>
            <w:tcW w:w="1612" w:type="dxa"/>
            <w:tcBorders>
              <w:top w:val="single" w:sz="4" w:space="0" w:color="auto"/>
            </w:tcBorders>
          </w:tcPr>
          <w:p w14:paraId="3949085B" w14:textId="77777777" w:rsidR="006A2D7E" w:rsidRPr="00E75F6C" w:rsidRDefault="006A2D7E" w:rsidP="00AD1560">
            <w:pPr>
              <w:spacing w:line="360" w:lineRule="auto"/>
              <w:jc w:val="both"/>
              <w:rPr>
                <w:rFonts w:ascii="Book Antiqua" w:hAnsi="Book Antiqua"/>
                <w:sz w:val="24"/>
                <w:szCs w:val="24"/>
              </w:rPr>
            </w:pPr>
          </w:p>
          <w:p w14:paraId="41D25DB4" w14:textId="77777777" w:rsidR="00E8627B" w:rsidRPr="00E75F6C" w:rsidRDefault="00E8627B" w:rsidP="00AD1560">
            <w:pPr>
              <w:spacing w:line="360" w:lineRule="auto"/>
              <w:jc w:val="both"/>
              <w:rPr>
                <w:rFonts w:ascii="Book Antiqua" w:hAnsi="Book Antiqua"/>
                <w:sz w:val="24"/>
                <w:szCs w:val="24"/>
              </w:rPr>
            </w:pPr>
            <w:r w:rsidRPr="00E75F6C">
              <w:rPr>
                <w:rFonts w:ascii="Book Antiqua" w:hAnsi="Book Antiqua"/>
                <w:sz w:val="24"/>
                <w:szCs w:val="24"/>
              </w:rPr>
              <w:t>Delta IFX &gt;</w:t>
            </w:r>
            <w:r w:rsidR="000F0CDF">
              <w:rPr>
                <w:rFonts w:ascii="Book Antiqua" w:hAnsi="Book Antiqua" w:hint="eastAsia"/>
                <w:sz w:val="24"/>
                <w:szCs w:val="24"/>
                <w:lang w:eastAsia="zh-CN"/>
              </w:rPr>
              <w:t xml:space="preserve"> </w:t>
            </w:r>
            <w:r w:rsidRPr="00E75F6C">
              <w:rPr>
                <w:rFonts w:ascii="Book Antiqua" w:hAnsi="Book Antiqua"/>
                <w:sz w:val="24"/>
                <w:szCs w:val="24"/>
              </w:rPr>
              <w:t>0.5</w:t>
            </w:r>
          </w:p>
        </w:tc>
        <w:tc>
          <w:tcPr>
            <w:tcW w:w="1612" w:type="dxa"/>
            <w:tcBorders>
              <w:top w:val="single" w:sz="4" w:space="0" w:color="auto"/>
            </w:tcBorders>
          </w:tcPr>
          <w:p w14:paraId="3E61A9A4" w14:textId="77777777" w:rsidR="00E8627B" w:rsidRPr="00E75F6C" w:rsidRDefault="00E8627B" w:rsidP="00AD1560">
            <w:pPr>
              <w:spacing w:line="360" w:lineRule="auto"/>
              <w:jc w:val="both"/>
              <w:rPr>
                <w:rFonts w:ascii="Book Antiqua" w:hAnsi="Book Antiqua"/>
                <w:sz w:val="24"/>
                <w:szCs w:val="24"/>
              </w:rPr>
            </w:pPr>
          </w:p>
        </w:tc>
        <w:tc>
          <w:tcPr>
            <w:tcW w:w="1612" w:type="dxa"/>
            <w:tcBorders>
              <w:top w:val="single" w:sz="4" w:space="0" w:color="auto"/>
            </w:tcBorders>
          </w:tcPr>
          <w:p w14:paraId="43B5DDF5" w14:textId="77777777" w:rsidR="006A2D7E" w:rsidRPr="00E75F6C" w:rsidRDefault="006A2D7E" w:rsidP="00AD1560">
            <w:pPr>
              <w:spacing w:line="360" w:lineRule="auto"/>
              <w:jc w:val="both"/>
              <w:rPr>
                <w:rFonts w:ascii="Book Antiqua" w:hAnsi="Book Antiqua"/>
                <w:sz w:val="24"/>
                <w:szCs w:val="24"/>
              </w:rPr>
            </w:pPr>
          </w:p>
          <w:p w14:paraId="3310D0A1" w14:textId="77777777" w:rsidR="00E8627B" w:rsidRPr="00E75F6C" w:rsidRDefault="00E8627B" w:rsidP="00AD1560">
            <w:pPr>
              <w:spacing w:line="360" w:lineRule="auto"/>
              <w:jc w:val="both"/>
              <w:rPr>
                <w:rFonts w:ascii="Book Antiqua" w:hAnsi="Book Antiqua"/>
                <w:sz w:val="24"/>
                <w:szCs w:val="24"/>
              </w:rPr>
            </w:pPr>
            <w:r w:rsidRPr="00E75F6C">
              <w:rPr>
                <w:rFonts w:ascii="Book Antiqua" w:hAnsi="Book Antiqua"/>
                <w:sz w:val="24"/>
                <w:szCs w:val="24"/>
              </w:rPr>
              <w:t>0.0001</w:t>
            </w:r>
          </w:p>
        </w:tc>
        <w:tc>
          <w:tcPr>
            <w:tcW w:w="1612" w:type="dxa"/>
            <w:tcBorders>
              <w:top w:val="single" w:sz="4" w:space="0" w:color="auto"/>
            </w:tcBorders>
          </w:tcPr>
          <w:p w14:paraId="2720750D" w14:textId="77777777" w:rsidR="00E8627B" w:rsidRPr="00E75F6C" w:rsidRDefault="00E8627B" w:rsidP="00AD1560">
            <w:pPr>
              <w:spacing w:line="360" w:lineRule="auto"/>
              <w:jc w:val="both"/>
              <w:rPr>
                <w:rFonts w:ascii="Book Antiqua" w:hAnsi="Book Antiqua"/>
                <w:sz w:val="24"/>
                <w:szCs w:val="24"/>
              </w:rPr>
            </w:pPr>
          </w:p>
        </w:tc>
      </w:tr>
      <w:tr w:rsidR="00E8627B" w:rsidRPr="00E75F6C" w14:paraId="3A5DB4AB" w14:textId="77777777" w:rsidTr="00A40C38">
        <w:trPr>
          <w:trHeight w:val="543"/>
        </w:trPr>
        <w:tc>
          <w:tcPr>
            <w:tcW w:w="2441" w:type="dxa"/>
          </w:tcPr>
          <w:p w14:paraId="170FB3E2" w14:textId="77777777" w:rsidR="00E8627B" w:rsidRPr="00E75F6C" w:rsidRDefault="00202189" w:rsidP="000F0CDF">
            <w:pPr>
              <w:spacing w:line="360" w:lineRule="auto"/>
              <w:jc w:val="both"/>
              <w:rPr>
                <w:rFonts w:ascii="Book Antiqua" w:hAnsi="Book Antiqua"/>
                <w:sz w:val="24"/>
                <w:szCs w:val="24"/>
              </w:rPr>
            </w:pPr>
            <w:proofErr w:type="spellStart"/>
            <w:r w:rsidRPr="00E75F6C">
              <w:rPr>
                <w:rFonts w:ascii="Book Antiqua" w:hAnsi="Book Antiqua"/>
                <w:sz w:val="24"/>
                <w:szCs w:val="24"/>
              </w:rPr>
              <w:t>Ungar</w:t>
            </w:r>
            <w:proofErr w:type="spellEnd"/>
            <w:r w:rsidRPr="00E75F6C">
              <w:rPr>
                <w:rFonts w:ascii="Book Antiqua" w:hAnsi="Book Antiqua"/>
                <w:sz w:val="24"/>
                <w:szCs w:val="24"/>
              </w:rPr>
              <w:t xml:space="preserve"> </w:t>
            </w:r>
            <w:r w:rsidR="000F0CDF" w:rsidRPr="000F0CDF">
              <w:rPr>
                <w:rFonts w:ascii="Book Antiqua" w:hAnsi="Book Antiqua"/>
                <w:i/>
                <w:sz w:val="24"/>
                <w:szCs w:val="24"/>
              </w:rPr>
              <w:t>et al</w:t>
            </w:r>
            <w:r w:rsidR="000F0CDF" w:rsidRPr="00523E72">
              <w:rPr>
                <w:rFonts w:ascii="Book Antiqua" w:hAnsi="Book Antiqua"/>
                <w:sz w:val="24"/>
                <w:szCs w:val="24"/>
                <w:vertAlign w:val="superscript"/>
              </w:rPr>
              <w:t>[</w:t>
            </w:r>
            <w:r w:rsidR="000F0CDF">
              <w:rPr>
                <w:rFonts w:ascii="Book Antiqua" w:hAnsi="Book Antiqua" w:hint="eastAsia"/>
                <w:sz w:val="24"/>
                <w:szCs w:val="24"/>
                <w:vertAlign w:val="superscript"/>
                <w:lang w:eastAsia="zh-CN"/>
              </w:rPr>
              <w:t>63</w:t>
            </w:r>
            <w:r w:rsidR="000F0CDF" w:rsidRPr="00496750">
              <w:rPr>
                <w:rFonts w:ascii="Book Antiqua" w:hAnsi="Book Antiqua"/>
                <w:sz w:val="24"/>
                <w:szCs w:val="24"/>
                <w:vertAlign w:val="superscript"/>
              </w:rPr>
              <w:t>]</w:t>
            </w:r>
          </w:p>
        </w:tc>
        <w:tc>
          <w:tcPr>
            <w:tcW w:w="1612" w:type="dxa"/>
          </w:tcPr>
          <w:p w14:paraId="507495A8" w14:textId="77777777" w:rsidR="00E8627B" w:rsidRPr="00E75F6C" w:rsidRDefault="0047116B" w:rsidP="00AD1560">
            <w:pPr>
              <w:spacing w:line="360" w:lineRule="auto"/>
              <w:jc w:val="both"/>
              <w:rPr>
                <w:rFonts w:ascii="Book Antiqua" w:hAnsi="Book Antiqua"/>
                <w:sz w:val="24"/>
                <w:szCs w:val="24"/>
              </w:rPr>
            </w:pPr>
            <w:r w:rsidRPr="00E75F6C">
              <w:rPr>
                <w:rFonts w:ascii="Book Antiqua" w:hAnsi="Book Antiqua"/>
                <w:sz w:val="24"/>
                <w:szCs w:val="24"/>
              </w:rPr>
              <w:t>78 (UC/CD</w:t>
            </w:r>
            <w:r w:rsidR="00E8627B" w:rsidRPr="00E75F6C">
              <w:rPr>
                <w:rFonts w:ascii="Book Antiqua" w:hAnsi="Book Antiqua"/>
                <w:sz w:val="24"/>
                <w:szCs w:val="24"/>
              </w:rPr>
              <w:t>)</w:t>
            </w:r>
          </w:p>
        </w:tc>
        <w:tc>
          <w:tcPr>
            <w:tcW w:w="1612" w:type="dxa"/>
          </w:tcPr>
          <w:p w14:paraId="239E1C7C" w14:textId="77777777" w:rsidR="00E8627B" w:rsidRPr="00E75F6C" w:rsidRDefault="00E8627B" w:rsidP="00AD1560">
            <w:pPr>
              <w:spacing w:line="360" w:lineRule="auto"/>
              <w:jc w:val="both"/>
              <w:rPr>
                <w:rFonts w:ascii="Book Antiqua" w:hAnsi="Book Antiqua"/>
                <w:sz w:val="24"/>
                <w:szCs w:val="24"/>
              </w:rPr>
            </w:pPr>
            <w:r w:rsidRPr="00E75F6C">
              <w:rPr>
                <w:rFonts w:ascii="Book Antiqua" w:hAnsi="Book Antiqua"/>
                <w:sz w:val="24"/>
                <w:szCs w:val="24"/>
              </w:rPr>
              <w:t>4.3</w:t>
            </w:r>
          </w:p>
        </w:tc>
        <w:tc>
          <w:tcPr>
            <w:tcW w:w="1612" w:type="dxa"/>
          </w:tcPr>
          <w:p w14:paraId="03B77B58" w14:textId="77777777" w:rsidR="00E8627B" w:rsidRPr="00E75F6C" w:rsidRDefault="00E8627B" w:rsidP="00AD1560">
            <w:pPr>
              <w:spacing w:line="360" w:lineRule="auto"/>
              <w:jc w:val="both"/>
              <w:rPr>
                <w:rFonts w:ascii="Book Antiqua" w:hAnsi="Book Antiqua"/>
                <w:sz w:val="24"/>
                <w:szCs w:val="24"/>
              </w:rPr>
            </w:pPr>
            <w:r w:rsidRPr="00E75F6C">
              <w:rPr>
                <w:rFonts w:ascii="Book Antiqua" w:hAnsi="Book Antiqua"/>
                <w:sz w:val="24"/>
                <w:szCs w:val="24"/>
              </w:rPr>
              <w:t>1.7</w:t>
            </w:r>
          </w:p>
        </w:tc>
        <w:tc>
          <w:tcPr>
            <w:tcW w:w="1612" w:type="dxa"/>
          </w:tcPr>
          <w:p w14:paraId="31039E96" w14:textId="77777777" w:rsidR="00E8627B" w:rsidRPr="00E75F6C" w:rsidRDefault="00E8627B" w:rsidP="00AD1560">
            <w:pPr>
              <w:spacing w:line="360" w:lineRule="auto"/>
              <w:jc w:val="both"/>
              <w:rPr>
                <w:rFonts w:ascii="Book Antiqua" w:hAnsi="Book Antiqua"/>
                <w:sz w:val="24"/>
                <w:szCs w:val="24"/>
              </w:rPr>
            </w:pPr>
            <w:r w:rsidRPr="00E75F6C">
              <w:rPr>
                <w:rFonts w:ascii="Book Antiqua" w:hAnsi="Book Antiqua"/>
                <w:sz w:val="24"/>
                <w:szCs w:val="24"/>
              </w:rPr>
              <w:t>0.002</w:t>
            </w:r>
          </w:p>
        </w:tc>
        <w:tc>
          <w:tcPr>
            <w:tcW w:w="1612" w:type="dxa"/>
          </w:tcPr>
          <w:p w14:paraId="72E79C22" w14:textId="77777777" w:rsidR="00E8627B" w:rsidRPr="00E75F6C" w:rsidRDefault="00E8627B" w:rsidP="00AD1560">
            <w:pPr>
              <w:spacing w:line="360" w:lineRule="auto"/>
              <w:jc w:val="both"/>
              <w:rPr>
                <w:rFonts w:ascii="Book Antiqua" w:hAnsi="Book Antiqua"/>
                <w:sz w:val="24"/>
                <w:szCs w:val="24"/>
              </w:rPr>
            </w:pPr>
          </w:p>
        </w:tc>
      </w:tr>
      <w:tr w:rsidR="00E8627B" w:rsidRPr="00E75F6C" w14:paraId="6DAEFBC9" w14:textId="77777777" w:rsidTr="00A40C38">
        <w:trPr>
          <w:trHeight w:val="527"/>
        </w:trPr>
        <w:tc>
          <w:tcPr>
            <w:tcW w:w="2441" w:type="dxa"/>
          </w:tcPr>
          <w:p w14:paraId="37E8E8C0" w14:textId="77777777" w:rsidR="00E8627B" w:rsidRPr="00E75F6C" w:rsidRDefault="00E8627B" w:rsidP="000F0CDF">
            <w:pPr>
              <w:spacing w:line="360" w:lineRule="auto"/>
              <w:jc w:val="both"/>
              <w:rPr>
                <w:rFonts w:ascii="Book Antiqua" w:hAnsi="Book Antiqua"/>
                <w:sz w:val="24"/>
                <w:szCs w:val="24"/>
              </w:rPr>
            </w:pPr>
            <w:proofErr w:type="spellStart"/>
            <w:r w:rsidRPr="00E75F6C">
              <w:rPr>
                <w:rFonts w:ascii="Book Antiqua" w:hAnsi="Book Antiqua"/>
                <w:sz w:val="24"/>
                <w:szCs w:val="24"/>
              </w:rPr>
              <w:t>Imaeda</w:t>
            </w:r>
            <w:proofErr w:type="spellEnd"/>
            <w:r w:rsidRPr="00E75F6C">
              <w:rPr>
                <w:rFonts w:ascii="Book Antiqua" w:hAnsi="Book Antiqua"/>
                <w:sz w:val="24"/>
                <w:szCs w:val="24"/>
              </w:rPr>
              <w:t xml:space="preserve"> </w:t>
            </w:r>
            <w:r w:rsidR="000F0CDF" w:rsidRPr="000F0CDF">
              <w:rPr>
                <w:rFonts w:ascii="Book Antiqua" w:hAnsi="Book Antiqua"/>
                <w:i/>
                <w:sz w:val="24"/>
                <w:szCs w:val="24"/>
              </w:rPr>
              <w:t>et al</w:t>
            </w:r>
            <w:r w:rsidR="000F0CDF" w:rsidRPr="00523E72">
              <w:rPr>
                <w:rFonts w:ascii="Book Antiqua" w:hAnsi="Book Antiqua"/>
                <w:sz w:val="24"/>
                <w:szCs w:val="24"/>
                <w:vertAlign w:val="superscript"/>
              </w:rPr>
              <w:t>[</w:t>
            </w:r>
            <w:r w:rsidR="000F0CDF">
              <w:rPr>
                <w:rFonts w:ascii="Book Antiqua" w:hAnsi="Book Antiqua" w:hint="eastAsia"/>
                <w:sz w:val="24"/>
                <w:szCs w:val="24"/>
                <w:vertAlign w:val="superscript"/>
                <w:lang w:eastAsia="zh-CN"/>
              </w:rPr>
              <w:t>43</w:t>
            </w:r>
            <w:r w:rsidR="000F0CDF" w:rsidRPr="00496750">
              <w:rPr>
                <w:rFonts w:ascii="Book Antiqua" w:hAnsi="Book Antiqua"/>
                <w:sz w:val="24"/>
                <w:szCs w:val="24"/>
                <w:vertAlign w:val="superscript"/>
              </w:rPr>
              <w:t>]</w:t>
            </w:r>
          </w:p>
        </w:tc>
        <w:tc>
          <w:tcPr>
            <w:tcW w:w="1612" w:type="dxa"/>
          </w:tcPr>
          <w:p w14:paraId="7D35E56A" w14:textId="77777777" w:rsidR="00E8627B" w:rsidRPr="00E75F6C" w:rsidRDefault="00E8627B" w:rsidP="00AD1560">
            <w:pPr>
              <w:spacing w:line="360" w:lineRule="auto"/>
              <w:jc w:val="both"/>
              <w:rPr>
                <w:rFonts w:ascii="Book Antiqua" w:hAnsi="Book Antiqua"/>
                <w:sz w:val="24"/>
                <w:szCs w:val="24"/>
              </w:rPr>
            </w:pPr>
            <w:r w:rsidRPr="00E75F6C">
              <w:rPr>
                <w:rFonts w:ascii="Book Antiqua" w:hAnsi="Book Antiqua"/>
                <w:sz w:val="24"/>
                <w:szCs w:val="24"/>
              </w:rPr>
              <w:t>45 (CD)</w:t>
            </w:r>
          </w:p>
        </w:tc>
        <w:tc>
          <w:tcPr>
            <w:tcW w:w="1612" w:type="dxa"/>
          </w:tcPr>
          <w:p w14:paraId="17AF0148" w14:textId="77777777" w:rsidR="00E8627B" w:rsidRPr="00E75F6C" w:rsidRDefault="00E8627B" w:rsidP="00AD1560">
            <w:pPr>
              <w:spacing w:line="360" w:lineRule="auto"/>
              <w:jc w:val="both"/>
              <w:rPr>
                <w:rFonts w:ascii="Book Antiqua" w:hAnsi="Book Antiqua"/>
                <w:sz w:val="24"/>
                <w:szCs w:val="24"/>
              </w:rPr>
            </w:pPr>
            <w:r w:rsidRPr="00E75F6C">
              <w:rPr>
                <w:rFonts w:ascii="Book Antiqua" w:hAnsi="Book Antiqua"/>
                <w:sz w:val="24"/>
                <w:szCs w:val="24"/>
              </w:rPr>
              <w:t>&gt;</w:t>
            </w:r>
            <w:r w:rsidR="000F0CDF">
              <w:rPr>
                <w:rFonts w:ascii="Book Antiqua" w:hAnsi="Book Antiqua" w:hint="eastAsia"/>
                <w:sz w:val="24"/>
                <w:szCs w:val="24"/>
                <w:lang w:eastAsia="zh-CN"/>
              </w:rPr>
              <w:t xml:space="preserve"> </w:t>
            </w:r>
            <w:r w:rsidRPr="00E75F6C">
              <w:rPr>
                <w:rFonts w:ascii="Book Antiqua" w:hAnsi="Book Antiqua"/>
                <w:sz w:val="24"/>
                <w:szCs w:val="24"/>
              </w:rPr>
              <w:t>4.0</w:t>
            </w:r>
          </w:p>
        </w:tc>
        <w:tc>
          <w:tcPr>
            <w:tcW w:w="1612" w:type="dxa"/>
          </w:tcPr>
          <w:p w14:paraId="2FD0DEAE" w14:textId="77777777" w:rsidR="00E8627B" w:rsidRPr="00E75F6C" w:rsidRDefault="00E8627B" w:rsidP="00AD1560">
            <w:pPr>
              <w:spacing w:line="360" w:lineRule="auto"/>
              <w:jc w:val="both"/>
              <w:rPr>
                <w:rFonts w:ascii="Book Antiqua" w:hAnsi="Book Antiqua"/>
                <w:sz w:val="24"/>
                <w:szCs w:val="24"/>
              </w:rPr>
            </w:pPr>
          </w:p>
        </w:tc>
        <w:tc>
          <w:tcPr>
            <w:tcW w:w="1612" w:type="dxa"/>
          </w:tcPr>
          <w:p w14:paraId="7AFB8389" w14:textId="77777777" w:rsidR="00E8627B" w:rsidRPr="00E75F6C" w:rsidRDefault="00E8627B" w:rsidP="00AD1560">
            <w:pPr>
              <w:spacing w:line="360" w:lineRule="auto"/>
              <w:jc w:val="both"/>
              <w:rPr>
                <w:rFonts w:ascii="Book Antiqua" w:hAnsi="Book Antiqua"/>
                <w:sz w:val="24"/>
                <w:szCs w:val="24"/>
              </w:rPr>
            </w:pPr>
          </w:p>
        </w:tc>
        <w:tc>
          <w:tcPr>
            <w:tcW w:w="1612" w:type="dxa"/>
          </w:tcPr>
          <w:p w14:paraId="1DF2262B" w14:textId="77777777" w:rsidR="00E8627B" w:rsidRPr="00E75F6C" w:rsidRDefault="00023D68" w:rsidP="00AD1560">
            <w:pPr>
              <w:spacing w:line="360" w:lineRule="auto"/>
              <w:jc w:val="both"/>
              <w:rPr>
                <w:rFonts w:ascii="Book Antiqua" w:hAnsi="Book Antiqua"/>
                <w:sz w:val="24"/>
                <w:szCs w:val="24"/>
              </w:rPr>
            </w:pPr>
            <w:r w:rsidRPr="00E75F6C">
              <w:rPr>
                <w:rFonts w:ascii="Book Antiqua" w:hAnsi="Book Antiqua"/>
                <w:sz w:val="24"/>
                <w:szCs w:val="24"/>
              </w:rPr>
              <w:t>0.56–0.70</w:t>
            </w:r>
          </w:p>
        </w:tc>
      </w:tr>
      <w:tr w:rsidR="00E8627B" w:rsidRPr="00E75F6C" w14:paraId="01A2DDED" w14:textId="77777777" w:rsidTr="00A40C38">
        <w:trPr>
          <w:trHeight w:val="527"/>
        </w:trPr>
        <w:tc>
          <w:tcPr>
            <w:tcW w:w="2441" w:type="dxa"/>
          </w:tcPr>
          <w:p w14:paraId="6CFE48C0" w14:textId="77777777" w:rsidR="00E8627B" w:rsidRPr="00E75F6C" w:rsidRDefault="00E8627B" w:rsidP="000033A9">
            <w:pPr>
              <w:spacing w:line="360" w:lineRule="auto"/>
              <w:jc w:val="both"/>
              <w:rPr>
                <w:rFonts w:ascii="Book Antiqua" w:hAnsi="Book Antiqua"/>
                <w:sz w:val="24"/>
                <w:szCs w:val="24"/>
              </w:rPr>
            </w:pPr>
            <w:proofErr w:type="spellStart"/>
            <w:r w:rsidRPr="00E75F6C">
              <w:rPr>
                <w:rFonts w:ascii="Book Antiqua" w:hAnsi="Book Antiqua"/>
                <w:sz w:val="24"/>
                <w:szCs w:val="24"/>
              </w:rPr>
              <w:t>Reinisch</w:t>
            </w:r>
            <w:proofErr w:type="spellEnd"/>
            <w:r w:rsidRPr="00E75F6C">
              <w:rPr>
                <w:rFonts w:ascii="Book Antiqua" w:hAnsi="Book Antiqua"/>
                <w:sz w:val="24"/>
                <w:szCs w:val="24"/>
              </w:rPr>
              <w:t xml:space="preserve"> </w:t>
            </w:r>
            <w:r w:rsidR="000F0CDF" w:rsidRPr="000F0CDF">
              <w:rPr>
                <w:rFonts w:ascii="Book Antiqua" w:hAnsi="Book Antiqua"/>
                <w:i/>
                <w:sz w:val="24"/>
                <w:szCs w:val="24"/>
              </w:rPr>
              <w:t>et al</w:t>
            </w:r>
            <w:r w:rsidR="000F0CDF" w:rsidRPr="00523E72">
              <w:rPr>
                <w:rFonts w:ascii="Book Antiqua" w:hAnsi="Book Antiqua"/>
                <w:sz w:val="24"/>
                <w:szCs w:val="24"/>
                <w:vertAlign w:val="superscript"/>
              </w:rPr>
              <w:t>[</w:t>
            </w:r>
            <w:r w:rsidR="000033A9">
              <w:rPr>
                <w:rFonts w:ascii="Book Antiqua" w:hAnsi="Book Antiqua"/>
                <w:sz w:val="24"/>
                <w:szCs w:val="24"/>
                <w:vertAlign w:val="superscript"/>
                <w:lang w:eastAsia="zh-CN"/>
              </w:rPr>
              <w:t>42</w:t>
            </w:r>
            <w:r w:rsidR="000F0CDF" w:rsidRPr="00496750">
              <w:rPr>
                <w:rFonts w:ascii="Book Antiqua" w:hAnsi="Book Antiqua"/>
                <w:sz w:val="24"/>
                <w:szCs w:val="24"/>
                <w:vertAlign w:val="superscript"/>
              </w:rPr>
              <w:t>]</w:t>
            </w:r>
          </w:p>
        </w:tc>
        <w:tc>
          <w:tcPr>
            <w:tcW w:w="1612" w:type="dxa"/>
          </w:tcPr>
          <w:p w14:paraId="7239DBF7" w14:textId="77777777" w:rsidR="00E8627B" w:rsidRPr="00E75F6C" w:rsidRDefault="00E8627B" w:rsidP="00AD1560">
            <w:pPr>
              <w:spacing w:line="360" w:lineRule="auto"/>
              <w:jc w:val="both"/>
              <w:rPr>
                <w:rFonts w:ascii="Book Antiqua" w:hAnsi="Book Antiqua"/>
                <w:sz w:val="24"/>
                <w:szCs w:val="24"/>
              </w:rPr>
            </w:pPr>
            <w:r w:rsidRPr="00E75F6C">
              <w:rPr>
                <w:rFonts w:ascii="Book Antiqua" w:hAnsi="Book Antiqua"/>
                <w:sz w:val="24"/>
                <w:szCs w:val="24"/>
              </w:rPr>
              <w:t>123 (CD)</w:t>
            </w:r>
          </w:p>
        </w:tc>
        <w:tc>
          <w:tcPr>
            <w:tcW w:w="1612" w:type="dxa"/>
          </w:tcPr>
          <w:p w14:paraId="30B89A6D" w14:textId="77777777" w:rsidR="00E8627B" w:rsidRPr="00E75F6C" w:rsidRDefault="00E8627B" w:rsidP="00AD1560">
            <w:pPr>
              <w:spacing w:line="360" w:lineRule="auto"/>
              <w:jc w:val="both"/>
              <w:rPr>
                <w:rFonts w:ascii="Book Antiqua" w:hAnsi="Book Antiqua"/>
                <w:sz w:val="24"/>
                <w:szCs w:val="24"/>
              </w:rPr>
            </w:pPr>
            <w:r w:rsidRPr="00E75F6C">
              <w:rPr>
                <w:rFonts w:ascii="Book Antiqua" w:hAnsi="Book Antiqua"/>
                <w:sz w:val="24"/>
                <w:szCs w:val="24"/>
              </w:rPr>
              <w:t>&gt;</w:t>
            </w:r>
            <w:r w:rsidR="000F0CDF">
              <w:rPr>
                <w:rFonts w:ascii="Book Antiqua" w:hAnsi="Book Antiqua" w:hint="eastAsia"/>
                <w:sz w:val="24"/>
                <w:szCs w:val="24"/>
                <w:lang w:eastAsia="zh-CN"/>
              </w:rPr>
              <w:t xml:space="preserve"> </w:t>
            </w:r>
            <w:r w:rsidRPr="00E75F6C">
              <w:rPr>
                <w:rFonts w:ascii="Book Antiqua" w:hAnsi="Book Antiqua"/>
                <w:sz w:val="24"/>
                <w:szCs w:val="24"/>
              </w:rPr>
              <w:t>3.0</w:t>
            </w:r>
          </w:p>
        </w:tc>
        <w:tc>
          <w:tcPr>
            <w:tcW w:w="1612" w:type="dxa"/>
          </w:tcPr>
          <w:p w14:paraId="35091FA4" w14:textId="77777777" w:rsidR="00E8627B" w:rsidRPr="00E75F6C" w:rsidRDefault="00E8627B" w:rsidP="00AD1560">
            <w:pPr>
              <w:spacing w:line="360" w:lineRule="auto"/>
              <w:jc w:val="both"/>
              <w:rPr>
                <w:rFonts w:ascii="Book Antiqua" w:hAnsi="Book Antiqua"/>
                <w:sz w:val="24"/>
                <w:szCs w:val="24"/>
              </w:rPr>
            </w:pPr>
          </w:p>
        </w:tc>
        <w:tc>
          <w:tcPr>
            <w:tcW w:w="1612" w:type="dxa"/>
          </w:tcPr>
          <w:p w14:paraId="3A0F9A77" w14:textId="77777777" w:rsidR="00E8627B" w:rsidRPr="00E75F6C" w:rsidRDefault="00E8627B" w:rsidP="00AD1560">
            <w:pPr>
              <w:spacing w:line="360" w:lineRule="auto"/>
              <w:jc w:val="both"/>
              <w:rPr>
                <w:rFonts w:ascii="Book Antiqua" w:hAnsi="Book Antiqua"/>
                <w:sz w:val="24"/>
                <w:szCs w:val="24"/>
              </w:rPr>
            </w:pPr>
          </w:p>
        </w:tc>
        <w:tc>
          <w:tcPr>
            <w:tcW w:w="1612" w:type="dxa"/>
          </w:tcPr>
          <w:p w14:paraId="03A59070" w14:textId="77777777" w:rsidR="00E8627B" w:rsidRPr="00E75F6C" w:rsidRDefault="00023D68" w:rsidP="00AD1560">
            <w:pPr>
              <w:spacing w:line="360" w:lineRule="auto"/>
              <w:jc w:val="both"/>
              <w:rPr>
                <w:rFonts w:ascii="Book Antiqua" w:hAnsi="Book Antiqua"/>
                <w:sz w:val="24"/>
                <w:szCs w:val="24"/>
              </w:rPr>
            </w:pPr>
            <w:r w:rsidRPr="00E75F6C">
              <w:rPr>
                <w:rFonts w:ascii="Book Antiqua" w:hAnsi="Book Antiqua"/>
                <w:sz w:val="24"/>
                <w:szCs w:val="24"/>
              </w:rPr>
              <w:t>1.53-7.28</w:t>
            </w:r>
          </w:p>
        </w:tc>
      </w:tr>
      <w:tr w:rsidR="00023D68" w:rsidRPr="00E75F6C" w14:paraId="7BEFB114" w14:textId="77777777" w:rsidTr="00A40C38">
        <w:trPr>
          <w:trHeight w:val="543"/>
        </w:trPr>
        <w:tc>
          <w:tcPr>
            <w:tcW w:w="2441" w:type="dxa"/>
          </w:tcPr>
          <w:p w14:paraId="60287A47" w14:textId="3B5BDDE5" w:rsidR="00023D68" w:rsidRPr="00E75F6C" w:rsidRDefault="00023D68" w:rsidP="000F0CDF">
            <w:pPr>
              <w:spacing w:line="360" w:lineRule="auto"/>
              <w:jc w:val="both"/>
              <w:rPr>
                <w:rFonts w:ascii="Book Antiqua" w:hAnsi="Book Antiqua"/>
                <w:sz w:val="24"/>
                <w:szCs w:val="24"/>
              </w:rPr>
            </w:pPr>
            <w:proofErr w:type="spellStart"/>
            <w:r w:rsidRPr="00E75F6C">
              <w:rPr>
                <w:rFonts w:ascii="Book Antiqua" w:hAnsi="Book Antiqua"/>
                <w:sz w:val="24"/>
                <w:szCs w:val="24"/>
              </w:rPr>
              <w:t>Colombel</w:t>
            </w:r>
            <w:proofErr w:type="spellEnd"/>
            <w:r w:rsidRPr="00E75F6C">
              <w:rPr>
                <w:rFonts w:ascii="Book Antiqua" w:hAnsi="Book Antiqua"/>
                <w:sz w:val="24"/>
                <w:szCs w:val="24"/>
              </w:rPr>
              <w:t xml:space="preserve"> </w:t>
            </w:r>
            <w:r w:rsidR="000F0CDF" w:rsidRPr="000F0CDF">
              <w:rPr>
                <w:rFonts w:ascii="Book Antiqua" w:hAnsi="Book Antiqua"/>
                <w:i/>
                <w:sz w:val="24"/>
                <w:szCs w:val="24"/>
              </w:rPr>
              <w:t>et al</w:t>
            </w:r>
            <w:r w:rsidR="000F0CDF" w:rsidRPr="00523E72">
              <w:rPr>
                <w:rFonts w:ascii="Book Antiqua" w:hAnsi="Book Antiqua"/>
                <w:sz w:val="24"/>
                <w:szCs w:val="24"/>
                <w:vertAlign w:val="superscript"/>
              </w:rPr>
              <w:t>[</w:t>
            </w:r>
            <w:r w:rsidR="00BA1B72">
              <w:rPr>
                <w:rFonts w:ascii="Book Antiqua" w:hAnsi="Book Antiqua" w:hint="eastAsia"/>
                <w:sz w:val="24"/>
                <w:szCs w:val="24"/>
                <w:vertAlign w:val="superscript"/>
                <w:lang w:eastAsia="zh-CN"/>
              </w:rPr>
              <w:t>64</w:t>
            </w:r>
            <w:r w:rsidR="000F0CDF" w:rsidRPr="00496750">
              <w:rPr>
                <w:rFonts w:ascii="Book Antiqua" w:hAnsi="Book Antiqua"/>
                <w:sz w:val="24"/>
                <w:szCs w:val="24"/>
                <w:vertAlign w:val="superscript"/>
              </w:rPr>
              <w:t>]</w:t>
            </w:r>
          </w:p>
        </w:tc>
        <w:tc>
          <w:tcPr>
            <w:tcW w:w="1612" w:type="dxa"/>
          </w:tcPr>
          <w:p w14:paraId="0BE7E3F1" w14:textId="77777777" w:rsidR="00023D68" w:rsidRPr="00E75F6C" w:rsidRDefault="00023D68" w:rsidP="00AD1560">
            <w:pPr>
              <w:spacing w:line="360" w:lineRule="auto"/>
              <w:jc w:val="both"/>
              <w:rPr>
                <w:rFonts w:ascii="Book Antiqua" w:hAnsi="Book Antiqua"/>
                <w:sz w:val="24"/>
                <w:szCs w:val="24"/>
              </w:rPr>
            </w:pPr>
            <w:r w:rsidRPr="00E75F6C">
              <w:rPr>
                <w:rFonts w:ascii="Book Antiqua" w:hAnsi="Book Antiqua"/>
                <w:sz w:val="24"/>
                <w:szCs w:val="24"/>
              </w:rPr>
              <w:t>188 (CD)</w:t>
            </w:r>
          </w:p>
        </w:tc>
        <w:tc>
          <w:tcPr>
            <w:tcW w:w="1612" w:type="dxa"/>
          </w:tcPr>
          <w:p w14:paraId="5A2053F0" w14:textId="77777777" w:rsidR="00023D68" w:rsidRPr="00E75F6C" w:rsidRDefault="00023D68" w:rsidP="00AD1560">
            <w:pPr>
              <w:spacing w:line="360" w:lineRule="auto"/>
              <w:jc w:val="both"/>
              <w:rPr>
                <w:rFonts w:ascii="Book Antiqua" w:hAnsi="Book Antiqua"/>
                <w:sz w:val="24"/>
                <w:szCs w:val="24"/>
              </w:rPr>
            </w:pPr>
            <w:r w:rsidRPr="00E75F6C">
              <w:rPr>
                <w:rFonts w:ascii="Book Antiqua" w:hAnsi="Book Antiqua"/>
                <w:sz w:val="24"/>
                <w:szCs w:val="24"/>
              </w:rPr>
              <w:t>3.51</w:t>
            </w:r>
          </w:p>
        </w:tc>
        <w:tc>
          <w:tcPr>
            <w:tcW w:w="1612" w:type="dxa"/>
          </w:tcPr>
          <w:p w14:paraId="254111A7" w14:textId="77777777" w:rsidR="00023D68" w:rsidRPr="00E75F6C" w:rsidRDefault="00023D68" w:rsidP="00AD1560">
            <w:pPr>
              <w:spacing w:line="360" w:lineRule="auto"/>
              <w:jc w:val="both"/>
              <w:rPr>
                <w:rFonts w:ascii="Book Antiqua" w:hAnsi="Book Antiqua"/>
                <w:sz w:val="24"/>
                <w:szCs w:val="24"/>
              </w:rPr>
            </w:pPr>
            <w:r w:rsidRPr="00E75F6C">
              <w:rPr>
                <w:rFonts w:ascii="Book Antiqua" w:hAnsi="Book Antiqua"/>
                <w:sz w:val="24"/>
                <w:szCs w:val="24"/>
              </w:rPr>
              <w:t>1.72</w:t>
            </w:r>
          </w:p>
        </w:tc>
        <w:tc>
          <w:tcPr>
            <w:tcW w:w="1612" w:type="dxa"/>
          </w:tcPr>
          <w:p w14:paraId="4C4F09FC" w14:textId="77777777" w:rsidR="00023D68" w:rsidRPr="00E75F6C" w:rsidRDefault="00023D68" w:rsidP="00AD1560">
            <w:pPr>
              <w:spacing w:line="360" w:lineRule="auto"/>
              <w:jc w:val="both"/>
              <w:rPr>
                <w:rFonts w:ascii="Book Antiqua" w:hAnsi="Book Antiqua"/>
                <w:sz w:val="24"/>
                <w:szCs w:val="24"/>
              </w:rPr>
            </w:pPr>
            <w:r w:rsidRPr="00E75F6C">
              <w:rPr>
                <w:rFonts w:ascii="Book Antiqua" w:hAnsi="Book Antiqua"/>
                <w:sz w:val="24"/>
                <w:szCs w:val="24"/>
              </w:rPr>
              <w:t>0.0018</w:t>
            </w:r>
          </w:p>
        </w:tc>
        <w:tc>
          <w:tcPr>
            <w:tcW w:w="1612" w:type="dxa"/>
          </w:tcPr>
          <w:p w14:paraId="0F3EEBFB" w14:textId="77777777" w:rsidR="00023D68" w:rsidRPr="00E75F6C" w:rsidRDefault="00023D68" w:rsidP="00AD1560">
            <w:pPr>
              <w:spacing w:line="360" w:lineRule="auto"/>
              <w:jc w:val="both"/>
              <w:rPr>
                <w:rFonts w:ascii="Book Antiqua" w:hAnsi="Book Antiqua"/>
                <w:sz w:val="24"/>
                <w:szCs w:val="24"/>
              </w:rPr>
            </w:pPr>
          </w:p>
        </w:tc>
      </w:tr>
      <w:tr w:rsidR="005D32DD" w:rsidRPr="00E75F6C" w14:paraId="1A9A860D" w14:textId="77777777" w:rsidTr="00A40C38">
        <w:trPr>
          <w:trHeight w:val="799"/>
        </w:trPr>
        <w:tc>
          <w:tcPr>
            <w:tcW w:w="2441" w:type="dxa"/>
            <w:tcBorders>
              <w:bottom w:val="single" w:sz="4" w:space="0" w:color="auto"/>
            </w:tcBorders>
          </w:tcPr>
          <w:p w14:paraId="3569559C" w14:textId="3D1EEA6B" w:rsidR="005D32DD" w:rsidRPr="00E75F6C" w:rsidRDefault="005D32DD" w:rsidP="000F0CDF">
            <w:pPr>
              <w:spacing w:line="360" w:lineRule="auto"/>
              <w:jc w:val="both"/>
              <w:rPr>
                <w:rFonts w:ascii="Book Antiqua" w:hAnsi="Book Antiqua"/>
                <w:sz w:val="24"/>
                <w:szCs w:val="24"/>
              </w:rPr>
            </w:pPr>
            <w:proofErr w:type="spellStart"/>
            <w:r w:rsidRPr="00E75F6C">
              <w:rPr>
                <w:rFonts w:ascii="Book Antiqua" w:hAnsi="Book Antiqua"/>
                <w:sz w:val="24"/>
                <w:szCs w:val="24"/>
              </w:rPr>
              <w:t>Papamichael</w:t>
            </w:r>
            <w:proofErr w:type="spellEnd"/>
            <w:r w:rsidRPr="00E75F6C">
              <w:rPr>
                <w:rFonts w:ascii="Book Antiqua" w:hAnsi="Book Antiqua"/>
                <w:sz w:val="24"/>
                <w:szCs w:val="24"/>
              </w:rPr>
              <w:t xml:space="preserve"> </w:t>
            </w:r>
            <w:r w:rsidR="000F0CDF" w:rsidRPr="000F0CDF">
              <w:rPr>
                <w:rFonts w:ascii="Book Antiqua" w:hAnsi="Book Antiqua"/>
                <w:i/>
                <w:sz w:val="24"/>
                <w:szCs w:val="24"/>
              </w:rPr>
              <w:t>et al</w:t>
            </w:r>
            <w:r w:rsidR="000F0CDF" w:rsidRPr="00523E72">
              <w:rPr>
                <w:rFonts w:ascii="Book Antiqua" w:hAnsi="Book Antiqua"/>
                <w:sz w:val="24"/>
                <w:szCs w:val="24"/>
                <w:vertAlign w:val="superscript"/>
              </w:rPr>
              <w:t>[</w:t>
            </w:r>
            <w:r w:rsidR="007B6D6A">
              <w:rPr>
                <w:rFonts w:ascii="Book Antiqua" w:hAnsi="Book Antiqua" w:hint="eastAsia"/>
                <w:sz w:val="24"/>
                <w:szCs w:val="24"/>
                <w:vertAlign w:val="superscript"/>
                <w:lang w:eastAsia="zh-CN"/>
              </w:rPr>
              <w:t>70</w:t>
            </w:r>
            <w:r w:rsidR="000F0CDF" w:rsidRPr="00496750">
              <w:rPr>
                <w:rFonts w:ascii="Book Antiqua" w:hAnsi="Book Antiqua"/>
                <w:sz w:val="24"/>
                <w:szCs w:val="24"/>
                <w:vertAlign w:val="superscript"/>
              </w:rPr>
              <w:t>]</w:t>
            </w:r>
          </w:p>
        </w:tc>
        <w:tc>
          <w:tcPr>
            <w:tcW w:w="1612" w:type="dxa"/>
            <w:tcBorders>
              <w:bottom w:val="single" w:sz="4" w:space="0" w:color="auto"/>
            </w:tcBorders>
          </w:tcPr>
          <w:p w14:paraId="25061991" w14:textId="77777777" w:rsidR="005D32DD" w:rsidRPr="00E75F6C" w:rsidRDefault="005D32DD" w:rsidP="00AD1560">
            <w:pPr>
              <w:spacing w:line="360" w:lineRule="auto"/>
              <w:jc w:val="both"/>
              <w:rPr>
                <w:rFonts w:ascii="Book Antiqua" w:hAnsi="Book Antiqua"/>
                <w:sz w:val="24"/>
                <w:szCs w:val="24"/>
              </w:rPr>
            </w:pPr>
            <w:r w:rsidRPr="00E75F6C">
              <w:rPr>
                <w:rFonts w:ascii="Book Antiqua" w:hAnsi="Book Antiqua"/>
                <w:sz w:val="24"/>
                <w:szCs w:val="24"/>
              </w:rPr>
              <w:t>101(UC)</w:t>
            </w:r>
          </w:p>
        </w:tc>
        <w:tc>
          <w:tcPr>
            <w:tcW w:w="1612" w:type="dxa"/>
            <w:tcBorders>
              <w:bottom w:val="single" w:sz="4" w:space="0" w:color="auto"/>
            </w:tcBorders>
          </w:tcPr>
          <w:p w14:paraId="760F859F" w14:textId="77777777" w:rsidR="005D32DD" w:rsidRPr="00E75F6C" w:rsidRDefault="005D32DD" w:rsidP="00AD1560">
            <w:pPr>
              <w:spacing w:line="360" w:lineRule="auto"/>
              <w:jc w:val="both"/>
              <w:rPr>
                <w:rFonts w:ascii="Book Antiqua" w:hAnsi="Book Antiqua"/>
                <w:sz w:val="24"/>
                <w:szCs w:val="24"/>
              </w:rPr>
            </w:pPr>
            <w:r w:rsidRPr="00E75F6C">
              <w:rPr>
                <w:rFonts w:ascii="Book Antiqua" w:hAnsi="Book Antiqua"/>
                <w:sz w:val="24"/>
                <w:szCs w:val="24"/>
              </w:rPr>
              <w:t>&gt;</w:t>
            </w:r>
            <w:r w:rsidR="000F0CDF">
              <w:rPr>
                <w:rFonts w:ascii="Book Antiqua" w:hAnsi="Book Antiqua" w:hint="eastAsia"/>
                <w:sz w:val="24"/>
                <w:szCs w:val="24"/>
                <w:lang w:eastAsia="zh-CN"/>
              </w:rPr>
              <w:t xml:space="preserve"> </w:t>
            </w:r>
            <w:r w:rsidRPr="00E75F6C">
              <w:rPr>
                <w:rFonts w:ascii="Book Antiqua" w:hAnsi="Book Antiqua"/>
                <w:sz w:val="24"/>
                <w:szCs w:val="24"/>
              </w:rPr>
              <w:t>15 (</w:t>
            </w:r>
            <w:proofErr w:type="spellStart"/>
            <w:r w:rsidRPr="00E75F6C">
              <w:rPr>
                <w:rFonts w:ascii="Book Antiqua" w:hAnsi="Book Antiqua"/>
                <w:sz w:val="24"/>
                <w:szCs w:val="24"/>
              </w:rPr>
              <w:t>wk</w:t>
            </w:r>
            <w:proofErr w:type="spellEnd"/>
            <w:r w:rsidRPr="00E75F6C">
              <w:rPr>
                <w:rFonts w:ascii="Book Antiqua" w:hAnsi="Book Antiqua"/>
                <w:sz w:val="24"/>
                <w:szCs w:val="24"/>
              </w:rPr>
              <w:t xml:space="preserve"> 6)</w:t>
            </w:r>
          </w:p>
          <w:p w14:paraId="4C861C92" w14:textId="77777777" w:rsidR="005D32DD" w:rsidRPr="00E75F6C" w:rsidRDefault="005D32DD" w:rsidP="00AD1560">
            <w:pPr>
              <w:spacing w:line="360" w:lineRule="auto"/>
              <w:jc w:val="both"/>
              <w:rPr>
                <w:rFonts w:ascii="Book Antiqua" w:hAnsi="Book Antiqua"/>
                <w:sz w:val="24"/>
                <w:szCs w:val="24"/>
              </w:rPr>
            </w:pPr>
            <w:r w:rsidRPr="00E75F6C">
              <w:rPr>
                <w:rFonts w:ascii="Book Antiqua" w:hAnsi="Book Antiqua"/>
                <w:sz w:val="24"/>
                <w:szCs w:val="24"/>
              </w:rPr>
              <w:t>&gt;</w:t>
            </w:r>
            <w:r w:rsidR="000F0CDF">
              <w:rPr>
                <w:rFonts w:ascii="Book Antiqua" w:hAnsi="Book Antiqua" w:hint="eastAsia"/>
                <w:sz w:val="24"/>
                <w:szCs w:val="24"/>
                <w:lang w:eastAsia="zh-CN"/>
              </w:rPr>
              <w:t xml:space="preserve"> </w:t>
            </w:r>
            <w:r w:rsidRPr="00E75F6C">
              <w:rPr>
                <w:rFonts w:ascii="Book Antiqua" w:hAnsi="Book Antiqua"/>
                <w:sz w:val="24"/>
                <w:szCs w:val="24"/>
              </w:rPr>
              <w:t>2.1 (</w:t>
            </w:r>
            <w:proofErr w:type="spellStart"/>
            <w:r w:rsidRPr="00E75F6C">
              <w:rPr>
                <w:rFonts w:ascii="Book Antiqua" w:hAnsi="Book Antiqua"/>
                <w:sz w:val="24"/>
                <w:szCs w:val="24"/>
              </w:rPr>
              <w:t>wk</w:t>
            </w:r>
            <w:proofErr w:type="spellEnd"/>
            <w:r w:rsidRPr="00E75F6C">
              <w:rPr>
                <w:rFonts w:ascii="Book Antiqua" w:hAnsi="Book Antiqua"/>
                <w:sz w:val="24"/>
                <w:szCs w:val="24"/>
              </w:rPr>
              <w:t xml:space="preserve"> 14)</w:t>
            </w:r>
          </w:p>
        </w:tc>
        <w:tc>
          <w:tcPr>
            <w:tcW w:w="1612" w:type="dxa"/>
            <w:tcBorders>
              <w:bottom w:val="single" w:sz="4" w:space="0" w:color="auto"/>
            </w:tcBorders>
          </w:tcPr>
          <w:p w14:paraId="5002F7F6" w14:textId="77777777" w:rsidR="005D32DD" w:rsidRPr="00E75F6C" w:rsidRDefault="005D32DD" w:rsidP="00AD1560">
            <w:pPr>
              <w:spacing w:line="360" w:lineRule="auto"/>
              <w:jc w:val="both"/>
              <w:rPr>
                <w:rFonts w:ascii="Book Antiqua" w:hAnsi="Book Antiqua"/>
                <w:sz w:val="24"/>
                <w:szCs w:val="24"/>
              </w:rPr>
            </w:pPr>
          </w:p>
          <w:p w14:paraId="1CEF79ED" w14:textId="77777777" w:rsidR="005D32DD" w:rsidRPr="00E75F6C" w:rsidRDefault="005D32DD" w:rsidP="00AD1560">
            <w:pPr>
              <w:spacing w:line="360" w:lineRule="auto"/>
              <w:jc w:val="both"/>
              <w:rPr>
                <w:rFonts w:ascii="Book Antiqua" w:hAnsi="Book Antiqua"/>
                <w:sz w:val="24"/>
                <w:szCs w:val="24"/>
              </w:rPr>
            </w:pPr>
          </w:p>
        </w:tc>
        <w:tc>
          <w:tcPr>
            <w:tcW w:w="1612" w:type="dxa"/>
            <w:tcBorders>
              <w:bottom w:val="single" w:sz="4" w:space="0" w:color="auto"/>
            </w:tcBorders>
          </w:tcPr>
          <w:p w14:paraId="2A253F9B" w14:textId="77777777" w:rsidR="005D32DD" w:rsidRPr="00E75F6C" w:rsidRDefault="005D32DD" w:rsidP="00AD1560">
            <w:pPr>
              <w:spacing w:line="360" w:lineRule="auto"/>
              <w:jc w:val="both"/>
              <w:rPr>
                <w:rFonts w:ascii="Book Antiqua" w:hAnsi="Book Antiqua"/>
                <w:sz w:val="24"/>
                <w:szCs w:val="24"/>
              </w:rPr>
            </w:pPr>
            <w:r w:rsidRPr="00E75F6C">
              <w:rPr>
                <w:rFonts w:ascii="Book Antiqua" w:hAnsi="Book Antiqua"/>
                <w:sz w:val="24"/>
                <w:szCs w:val="24"/>
              </w:rPr>
              <w:t>0.025</w:t>
            </w:r>
          </w:p>
          <w:p w14:paraId="7205F439" w14:textId="77777777" w:rsidR="005D32DD" w:rsidRPr="00E75F6C" w:rsidRDefault="005D32DD" w:rsidP="00AD1560">
            <w:pPr>
              <w:spacing w:line="360" w:lineRule="auto"/>
              <w:jc w:val="both"/>
              <w:rPr>
                <w:rFonts w:ascii="Book Antiqua" w:hAnsi="Book Antiqua"/>
                <w:sz w:val="24"/>
                <w:szCs w:val="24"/>
              </w:rPr>
            </w:pPr>
            <w:r w:rsidRPr="00E75F6C">
              <w:rPr>
                <w:rFonts w:ascii="Book Antiqua" w:hAnsi="Book Antiqua"/>
                <w:sz w:val="24"/>
                <w:szCs w:val="24"/>
              </w:rPr>
              <w:t>0.004</w:t>
            </w:r>
          </w:p>
        </w:tc>
        <w:tc>
          <w:tcPr>
            <w:tcW w:w="1612" w:type="dxa"/>
            <w:tcBorders>
              <w:bottom w:val="single" w:sz="4" w:space="0" w:color="auto"/>
            </w:tcBorders>
          </w:tcPr>
          <w:p w14:paraId="69772385" w14:textId="77777777" w:rsidR="005D32DD" w:rsidRPr="00E75F6C" w:rsidRDefault="005D32DD" w:rsidP="00AD1560">
            <w:pPr>
              <w:spacing w:line="360" w:lineRule="auto"/>
              <w:jc w:val="both"/>
              <w:rPr>
                <w:rFonts w:ascii="Book Antiqua" w:hAnsi="Book Antiqua"/>
                <w:sz w:val="24"/>
                <w:szCs w:val="24"/>
              </w:rPr>
            </w:pPr>
          </w:p>
        </w:tc>
      </w:tr>
    </w:tbl>
    <w:p w14:paraId="3515674E" w14:textId="77777777" w:rsidR="00480FF4" w:rsidRPr="00E75F6C" w:rsidRDefault="00480FF4" w:rsidP="00AD1560">
      <w:pPr>
        <w:spacing w:after="0" w:line="360" w:lineRule="auto"/>
        <w:jc w:val="both"/>
        <w:rPr>
          <w:rFonts w:ascii="Book Antiqua" w:hAnsi="Book Antiqua"/>
          <w:sz w:val="24"/>
          <w:szCs w:val="24"/>
        </w:rPr>
      </w:pPr>
    </w:p>
    <w:p w14:paraId="1128F939" w14:textId="77777777" w:rsidR="0047116B" w:rsidRPr="00E75F6C" w:rsidRDefault="0047116B" w:rsidP="00AD1560">
      <w:pPr>
        <w:spacing w:after="0" w:line="360" w:lineRule="auto"/>
        <w:jc w:val="both"/>
        <w:rPr>
          <w:rFonts w:ascii="Book Antiqua" w:hAnsi="Book Antiqua"/>
          <w:sz w:val="24"/>
          <w:szCs w:val="24"/>
        </w:rPr>
      </w:pPr>
    </w:p>
    <w:p w14:paraId="6BEDCA09" w14:textId="77777777" w:rsidR="0047116B" w:rsidRPr="00E75F6C" w:rsidRDefault="0047116B" w:rsidP="00AD1560">
      <w:pPr>
        <w:spacing w:after="0" w:line="360" w:lineRule="auto"/>
        <w:jc w:val="both"/>
        <w:rPr>
          <w:rFonts w:ascii="Book Antiqua" w:hAnsi="Book Antiqua"/>
          <w:sz w:val="24"/>
          <w:szCs w:val="24"/>
        </w:rPr>
      </w:pPr>
    </w:p>
    <w:p w14:paraId="1C6C9C4E" w14:textId="77777777" w:rsidR="0047116B" w:rsidRPr="00E75F6C" w:rsidRDefault="0047116B" w:rsidP="00AD1560">
      <w:pPr>
        <w:spacing w:after="0" w:line="360" w:lineRule="auto"/>
        <w:jc w:val="both"/>
        <w:rPr>
          <w:rFonts w:ascii="Book Antiqua" w:hAnsi="Book Antiqua"/>
          <w:sz w:val="24"/>
          <w:szCs w:val="24"/>
        </w:rPr>
      </w:pPr>
    </w:p>
    <w:p w14:paraId="0DB51882" w14:textId="77777777" w:rsidR="00770265" w:rsidRPr="00E75F6C" w:rsidRDefault="00770265" w:rsidP="00AD1560">
      <w:pPr>
        <w:spacing w:after="0" w:line="360" w:lineRule="auto"/>
        <w:jc w:val="both"/>
        <w:rPr>
          <w:rFonts w:ascii="Book Antiqua" w:hAnsi="Book Antiqua"/>
          <w:sz w:val="24"/>
          <w:szCs w:val="24"/>
        </w:rPr>
      </w:pPr>
    </w:p>
    <w:p w14:paraId="7779E13B" w14:textId="77777777" w:rsidR="000F0CDF" w:rsidRDefault="000F0CDF">
      <w:pPr>
        <w:rPr>
          <w:rFonts w:ascii="Book Antiqua" w:hAnsi="Book Antiqua"/>
          <w:sz w:val="24"/>
          <w:szCs w:val="24"/>
        </w:rPr>
      </w:pPr>
      <w:r>
        <w:rPr>
          <w:rFonts w:ascii="Book Antiqua" w:hAnsi="Book Antiqua"/>
          <w:sz w:val="24"/>
          <w:szCs w:val="24"/>
        </w:rPr>
        <w:br w:type="page"/>
      </w:r>
    </w:p>
    <w:p w14:paraId="19C28282" w14:textId="77777777" w:rsidR="00480FF4" w:rsidRPr="000F0CDF" w:rsidRDefault="007F04D1" w:rsidP="00AD1560">
      <w:pPr>
        <w:spacing w:after="0" w:line="360" w:lineRule="auto"/>
        <w:jc w:val="both"/>
        <w:rPr>
          <w:rFonts w:ascii="Book Antiqua" w:hAnsi="Book Antiqua"/>
          <w:b/>
          <w:sz w:val="24"/>
          <w:szCs w:val="24"/>
        </w:rPr>
      </w:pPr>
      <w:r w:rsidRPr="000F0CDF">
        <w:rPr>
          <w:rFonts w:ascii="Book Antiqua" w:hAnsi="Book Antiqua"/>
          <w:b/>
          <w:sz w:val="24"/>
          <w:szCs w:val="24"/>
        </w:rPr>
        <w:lastRenderedPageBreak/>
        <w:t>Table 7</w:t>
      </w:r>
      <w:r w:rsidR="006A2D7E" w:rsidRPr="000F0CDF">
        <w:rPr>
          <w:rFonts w:ascii="Book Antiqua" w:hAnsi="Book Antiqua"/>
          <w:b/>
          <w:sz w:val="24"/>
          <w:szCs w:val="24"/>
        </w:rPr>
        <w:t xml:space="preserve"> </w:t>
      </w:r>
      <w:r w:rsidR="00480FF4" w:rsidRPr="000F0CDF">
        <w:rPr>
          <w:rFonts w:ascii="Book Antiqua" w:hAnsi="Book Antiqua"/>
          <w:b/>
          <w:sz w:val="24"/>
          <w:szCs w:val="24"/>
        </w:rPr>
        <w:t xml:space="preserve">Trough levels associated with mucosal healing for </w:t>
      </w:r>
      <w:proofErr w:type="spellStart"/>
      <w:r w:rsidR="00480FF4" w:rsidRPr="000F0CDF">
        <w:rPr>
          <w:rFonts w:ascii="Book Antiqua" w:hAnsi="Book Antiqua"/>
          <w:b/>
          <w:sz w:val="24"/>
          <w:szCs w:val="24"/>
        </w:rPr>
        <w:t>adalimumab</w:t>
      </w:r>
      <w:proofErr w:type="spellEnd"/>
    </w:p>
    <w:p w14:paraId="56156242" w14:textId="77777777" w:rsidR="006A2D7E" w:rsidRPr="00E75F6C" w:rsidRDefault="006A2D7E" w:rsidP="00AD1560">
      <w:pPr>
        <w:pBdr>
          <w:bottom w:val="single" w:sz="4" w:space="1" w:color="auto"/>
        </w:pBdr>
        <w:spacing w:after="0" w:line="360" w:lineRule="auto"/>
        <w:jc w:val="both"/>
        <w:rPr>
          <w:rFonts w:ascii="Book Antiqua" w:hAnsi="Book Antiqua"/>
          <w:sz w:val="24"/>
          <w:szCs w:val="24"/>
        </w:rPr>
      </w:pPr>
    </w:p>
    <w:tbl>
      <w:tblPr>
        <w:tblStyle w:val="a4"/>
        <w:tblW w:w="970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843"/>
        <w:gridCol w:w="2302"/>
        <w:gridCol w:w="1905"/>
        <w:gridCol w:w="1812"/>
      </w:tblGrid>
      <w:tr w:rsidR="00480FF4" w:rsidRPr="00E75F6C" w14:paraId="7BBD38C8" w14:textId="77777777" w:rsidTr="007C676D">
        <w:trPr>
          <w:trHeight w:val="1605"/>
        </w:trPr>
        <w:tc>
          <w:tcPr>
            <w:tcW w:w="1843" w:type="dxa"/>
            <w:tcBorders>
              <w:bottom w:val="single" w:sz="4" w:space="0" w:color="auto"/>
            </w:tcBorders>
          </w:tcPr>
          <w:p w14:paraId="0D675E30" w14:textId="77777777" w:rsidR="00480FF4" w:rsidRPr="000F0CDF" w:rsidRDefault="00480FF4" w:rsidP="00AD1560">
            <w:pPr>
              <w:spacing w:line="360" w:lineRule="auto"/>
              <w:jc w:val="both"/>
              <w:rPr>
                <w:rFonts w:ascii="Book Antiqua" w:hAnsi="Book Antiqua"/>
                <w:b/>
                <w:sz w:val="24"/>
                <w:szCs w:val="24"/>
              </w:rPr>
            </w:pPr>
            <w:r w:rsidRPr="000F0CDF">
              <w:rPr>
                <w:rFonts w:ascii="Book Antiqua" w:hAnsi="Book Antiqua"/>
                <w:b/>
                <w:sz w:val="24"/>
                <w:szCs w:val="24"/>
              </w:rPr>
              <w:t>Study</w:t>
            </w:r>
          </w:p>
        </w:tc>
        <w:tc>
          <w:tcPr>
            <w:tcW w:w="1843" w:type="dxa"/>
            <w:tcBorders>
              <w:bottom w:val="single" w:sz="4" w:space="0" w:color="auto"/>
            </w:tcBorders>
          </w:tcPr>
          <w:p w14:paraId="5195139B" w14:textId="77777777" w:rsidR="00480FF4" w:rsidRPr="000F0CDF" w:rsidRDefault="00480FF4" w:rsidP="00AD1560">
            <w:pPr>
              <w:spacing w:line="360" w:lineRule="auto"/>
              <w:jc w:val="both"/>
              <w:rPr>
                <w:rFonts w:ascii="Book Antiqua" w:hAnsi="Book Antiqua"/>
                <w:b/>
                <w:i/>
                <w:sz w:val="24"/>
                <w:szCs w:val="24"/>
              </w:rPr>
            </w:pPr>
            <w:r w:rsidRPr="000F0CDF">
              <w:rPr>
                <w:rFonts w:ascii="Book Antiqua" w:hAnsi="Book Antiqua"/>
                <w:b/>
                <w:i/>
                <w:sz w:val="24"/>
                <w:szCs w:val="24"/>
              </w:rPr>
              <w:t>n</w:t>
            </w:r>
          </w:p>
        </w:tc>
        <w:tc>
          <w:tcPr>
            <w:tcW w:w="2302" w:type="dxa"/>
            <w:tcBorders>
              <w:bottom w:val="single" w:sz="4" w:space="0" w:color="auto"/>
            </w:tcBorders>
          </w:tcPr>
          <w:p w14:paraId="5F1DF5AD" w14:textId="77777777" w:rsidR="00480FF4" w:rsidRPr="000F0CDF" w:rsidRDefault="00770265" w:rsidP="000F0CDF">
            <w:pPr>
              <w:spacing w:line="360" w:lineRule="auto"/>
              <w:jc w:val="both"/>
              <w:rPr>
                <w:rFonts w:ascii="Book Antiqua" w:hAnsi="Book Antiqua"/>
                <w:b/>
                <w:sz w:val="24"/>
                <w:szCs w:val="24"/>
              </w:rPr>
            </w:pPr>
            <w:r w:rsidRPr="000F0CDF">
              <w:rPr>
                <w:rFonts w:ascii="Book Antiqua" w:hAnsi="Book Antiqua"/>
                <w:b/>
                <w:sz w:val="24"/>
                <w:szCs w:val="24"/>
              </w:rPr>
              <w:t xml:space="preserve">Mean </w:t>
            </w:r>
            <w:proofErr w:type="spellStart"/>
            <w:r w:rsidR="0078412F" w:rsidRPr="000F0CDF">
              <w:rPr>
                <w:rFonts w:ascii="Book Antiqua" w:hAnsi="Book Antiqua"/>
                <w:b/>
                <w:sz w:val="24"/>
                <w:szCs w:val="24"/>
              </w:rPr>
              <w:t>Adalimumab</w:t>
            </w:r>
            <w:proofErr w:type="spellEnd"/>
            <w:r w:rsidR="0078412F" w:rsidRPr="000F0CDF">
              <w:rPr>
                <w:rFonts w:ascii="Book Antiqua" w:hAnsi="Book Antiqua"/>
                <w:b/>
                <w:sz w:val="24"/>
                <w:szCs w:val="24"/>
              </w:rPr>
              <w:t xml:space="preserve"> </w:t>
            </w:r>
            <w:r w:rsidR="00480FF4" w:rsidRPr="000F0CDF">
              <w:rPr>
                <w:rFonts w:ascii="Book Antiqua" w:hAnsi="Book Antiqua"/>
                <w:b/>
                <w:sz w:val="24"/>
                <w:szCs w:val="24"/>
              </w:rPr>
              <w:t xml:space="preserve">Trough level </w:t>
            </w:r>
            <w:r w:rsidR="000F0CDF">
              <w:rPr>
                <w:rFonts w:ascii="Book Antiqua" w:hAnsi="Book Antiqua"/>
                <w:b/>
                <w:sz w:val="24"/>
                <w:szCs w:val="24"/>
              </w:rPr>
              <w:sym w:font="Symbol" w:char="F06D"/>
            </w:r>
            <w:r w:rsidR="00480FF4" w:rsidRPr="000F0CDF">
              <w:rPr>
                <w:rFonts w:ascii="Book Antiqua" w:hAnsi="Book Antiqua"/>
                <w:b/>
                <w:sz w:val="24"/>
                <w:szCs w:val="24"/>
              </w:rPr>
              <w:t>g/m</w:t>
            </w:r>
            <w:r w:rsidR="000F0CDF" w:rsidRPr="000F0CDF">
              <w:rPr>
                <w:rFonts w:ascii="Book Antiqua" w:hAnsi="Book Antiqua"/>
                <w:b/>
                <w:sz w:val="24"/>
                <w:szCs w:val="24"/>
              </w:rPr>
              <w:t>L</w:t>
            </w:r>
            <w:r w:rsidR="00480FF4" w:rsidRPr="000F0CDF">
              <w:rPr>
                <w:rFonts w:ascii="Book Antiqua" w:hAnsi="Book Antiqua"/>
                <w:b/>
                <w:sz w:val="24"/>
                <w:szCs w:val="24"/>
              </w:rPr>
              <w:t xml:space="preserve"> Mucosal Healing</w:t>
            </w:r>
          </w:p>
        </w:tc>
        <w:tc>
          <w:tcPr>
            <w:tcW w:w="1905" w:type="dxa"/>
            <w:tcBorders>
              <w:bottom w:val="single" w:sz="4" w:space="0" w:color="auto"/>
            </w:tcBorders>
          </w:tcPr>
          <w:p w14:paraId="1B66DBEB" w14:textId="77777777" w:rsidR="00480FF4" w:rsidRPr="000F0CDF" w:rsidRDefault="00770265" w:rsidP="00AD1560">
            <w:pPr>
              <w:spacing w:line="360" w:lineRule="auto"/>
              <w:jc w:val="both"/>
              <w:rPr>
                <w:rFonts w:ascii="Book Antiqua" w:hAnsi="Book Antiqua"/>
                <w:b/>
                <w:sz w:val="24"/>
                <w:szCs w:val="24"/>
              </w:rPr>
            </w:pPr>
            <w:r w:rsidRPr="000F0CDF">
              <w:rPr>
                <w:rFonts w:ascii="Book Antiqua" w:hAnsi="Book Antiqua"/>
                <w:b/>
                <w:sz w:val="24"/>
                <w:szCs w:val="24"/>
              </w:rPr>
              <w:t xml:space="preserve">Mean </w:t>
            </w:r>
            <w:proofErr w:type="spellStart"/>
            <w:r w:rsidR="0078412F" w:rsidRPr="000F0CDF">
              <w:rPr>
                <w:rFonts w:ascii="Book Antiqua" w:hAnsi="Book Antiqua"/>
                <w:b/>
                <w:sz w:val="24"/>
                <w:szCs w:val="24"/>
              </w:rPr>
              <w:t>Adalimumab</w:t>
            </w:r>
            <w:proofErr w:type="spellEnd"/>
            <w:r w:rsidR="00480FF4" w:rsidRPr="000F0CDF">
              <w:rPr>
                <w:rFonts w:ascii="Book Antiqua" w:hAnsi="Book Antiqua"/>
                <w:b/>
                <w:sz w:val="24"/>
                <w:szCs w:val="24"/>
              </w:rPr>
              <w:t xml:space="preserve"> Trough level </w:t>
            </w:r>
            <w:r w:rsidR="000F0CDF">
              <w:rPr>
                <w:rFonts w:ascii="Book Antiqua" w:hAnsi="Book Antiqua"/>
                <w:b/>
                <w:sz w:val="24"/>
                <w:szCs w:val="24"/>
              </w:rPr>
              <w:sym w:font="Symbol" w:char="F06D"/>
            </w:r>
            <w:r w:rsidR="00480FF4" w:rsidRPr="000F0CDF">
              <w:rPr>
                <w:rFonts w:ascii="Book Antiqua" w:hAnsi="Book Antiqua"/>
                <w:b/>
                <w:sz w:val="24"/>
                <w:szCs w:val="24"/>
              </w:rPr>
              <w:t>g/m</w:t>
            </w:r>
            <w:r w:rsidR="000F0CDF" w:rsidRPr="000F0CDF">
              <w:rPr>
                <w:rFonts w:ascii="Book Antiqua" w:hAnsi="Book Antiqua"/>
                <w:b/>
                <w:sz w:val="24"/>
                <w:szCs w:val="24"/>
              </w:rPr>
              <w:t>L</w:t>
            </w:r>
          </w:p>
          <w:p w14:paraId="540F99B1" w14:textId="77777777" w:rsidR="006A2D7E" w:rsidRPr="000F0CDF" w:rsidRDefault="000F0CDF" w:rsidP="00AD1560">
            <w:pPr>
              <w:spacing w:line="360" w:lineRule="auto"/>
              <w:jc w:val="both"/>
              <w:rPr>
                <w:rFonts w:ascii="Book Antiqua" w:hAnsi="Book Antiqua"/>
                <w:b/>
                <w:sz w:val="24"/>
                <w:szCs w:val="24"/>
                <w:lang w:eastAsia="zh-CN"/>
              </w:rPr>
            </w:pPr>
            <w:r w:rsidRPr="000F0CDF">
              <w:rPr>
                <w:rFonts w:ascii="Book Antiqua" w:hAnsi="Book Antiqua"/>
                <w:b/>
                <w:sz w:val="24"/>
                <w:szCs w:val="24"/>
              </w:rPr>
              <w:t>No mucosal Healing</w:t>
            </w:r>
          </w:p>
        </w:tc>
        <w:tc>
          <w:tcPr>
            <w:tcW w:w="1812" w:type="dxa"/>
            <w:tcBorders>
              <w:bottom w:val="single" w:sz="4" w:space="0" w:color="auto"/>
            </w:tcBorders>
          </w:tcPr>
          <w:p w14:paraId="7587F48A" w14:textId="77777777" w:rsidR="00480FF4" w:rsidRPr="000F0CDF" w:rsidRDefault="000F0CDF" w:rsidP="00AD1560">
            <w:pPr>
              <w:spacing w:line="360" w:lineRule="auto"/>
              <w:jc w:val="both"/>
              <w:rPr>
                <w:rFonts w:ascii="Book Antiqua" w:hAnsi="Book Antiqua"/>
                <w:b/>
                <w:sz w:val="24"/>
                <w:szCs w:val="24"/>
              </w:rPr>
            </w:pPr>
            <w:r w:rsidRPr="000F0CDF">
              <w:rPr>
                <w:rFonts w:ascii="Book Antiqua" w:hAnsi="Book Antiqua"/>
                <w:b/>
                <w:i/>
                <w:sz w:val="24"/>
                <w:szCs w:val="24"/>
              </w:rPr>
              <w:t>P</w:t>
            </w:r>
            <w:r w:rsidRPr="000F0CDF">
              <w:rPr>
                <w:rFonts w:ascii="Book Antiqua" w:hAnsi="Book Antiqua" w:hint="eastAsia"/>
                <w:b/>
                <w:sz w:val="24"/>
                <w:szCs w:val="24"/>
                <w:lang w:eastAsia="zh-CN"/>
              </w:rPr>
              <w:t xml:space="preserve"> </w:t>
            </w:r>
            <w:r w:rsidR="00480FF4" w:rsidRPr="000F0CDF">
              <w:rPr>
                <w:rFonts w:ascii="Book Antiqua" w:hAnsi="Book Antiqua"/>
                <w:b/>
                <w:sz w:val="24"/>
                <w:szCs w:val="24"/>
              </w:rPr>
              <w:t>value</w:t>
            </w:r>
          </w:p>
        </w:tc>
      </w:tr>
      <w:tr w:rsidR="00480FF4" w:rsidRPr="00E75F6C" w14:paraId="643A2F16" w14:textId="77777777" w:rsidTr="007C676D">
        <w:trPr>
          <w:trHeight w:val="750"/>
        </w:trPr>
        <w:tc>
          <w:tcPr>
            <w:tcW w:w="1843" w:type="dxa"/>
            <w:tcBorders>
              <w:top w:val="single" w:sz="4" w:space="0" w:color="auto"/>
            </w:tcBorders>
          </w:tcPr>
          <w:p w14:paraId="25384B2A" w14:textId="77777777" w:rsidR="00480FF4" w:rsidRPr="00E75F6C" w:rsidRDefault="00480FF4" w:rsidP="00AD1560">
            <w:pPr>
              <w:spacing w:line="360" w:lineRule="auto"/>
              <w:jc w:val="both"/>
              <w:rPr>
                <w:rFonts w:ascii="Book Antiqua" w:hAnsi="Book Antiqua"/>
                <w:sz w:val="24"/>
                <w:szCs w:val="24"/>
              </w:rPr>
            </w:pPr>
            <w:proofErr w:type="spellStart"/>
            <w:r w:rsidRPr="00E75F6C">
              <w:rPr>
                <w:rFonts w:ascii="Book Antiqua" w:hAnsi="Book Antiqua"/>
                <w:sz w:val="24"/>
                <w:szCs w:val="24"/>
              </w:rPr>
              <w:t>Ungar</w:t>
            </w:r>
            <w:proofErr w:type="spellEnd"/>
            <w:r w:rsidRPr="00E75F6C">
              <w:rPr>
                <w:rFonts w:ascii="Book Antiqua" w:hAnsi="Book Antiqua"/>
                <w:sz w:val="24"/>
                <w:szCs w:val="24"/>
              </w:rPr>
              <w:t xml:space="preserve"> </w:t>
            </w:r>
            <w:r w:rsidRPr="000F0CDF">
              <w:rPr>
                <w:rFonts w:ascii="Book Antiqua" w:hAnsi="Book Antiqua"/>
                <w:i/>
                <w:sz w:val="24"/>
                <w:szCs w:val="24"/>
              </w:rPr>
              <w:t>et al</w:t>
            </w:r>
            <w:r w:rsidR="00523E72" w:rsidRPr="00523E72">
              <w:rPr>
                <w:rFonts w:ascii="Book Antiqua" w:hAnsi="Book Antiqua"/>
                <w:sz w:val="24"/>
                <w:szCs w:val="24"/>
                <w:vertAlign w:val="superscript"/>
              </w:rPr>
              <w:t>[</w:t>
            </w:r>
            <w:r w:rsidR="00496750">
              <w:rPr>
                <w:rFonts w:ascii="Book Antiqua" w:hAnsi="Book Antiqua"/>
                <w:sz w:val="24"/>
                <w:szCs w:val="24"/>
                <w:vertAlign w:val="superscript"/>
              </w:rPr>
              <w:t>63</w:t>
            </w:r>
            <w:r w:rsidR="00496750" w:rsidRPr="00496750">
              <w:rPr>
                <w:rFonts w:ascii="Book Antiqua" w:hAnsi="Book Antiqua"/>
                <w:sz w:val="24"/>
                <w:szCs w:val="24"/>
                <w:vertAlign w:val="superscript"/>
              </w:rPr>
              <w:t>]</w:t>
            </w:r>
          </w:p>
        </w:tc>
        <w:tc>
          <w:tcPr>
            <w:tcW w:w="1843" w:type="dxa"/>
            <w:tcBorders>
              <w:top w:val="single" w:sz="4" w:space="0" w:color="auto"/>
            </w:tcBorders>
          </w:tcPr>
          <w:p w14:paraId="7BA8637E" w14:textId="77777777" w:rsidR="00480FF4" w:rsidRPr="00E75F6C" w:rsidRDefault="00480FF4" w:rsidP="00AD1560">
            <w:pPr>
              <w:spacing w:line="360" w:lineRule="auto"/>
              <w:jc w:val="both"/>
              <w:rPr>
                <w:rFonts w:ascii="Book Antiqua" w:hAnsi="Book Antiqua"/>
                <w:sz w:val="24"/>
                <w:szCs w:val="24"/>
              </w:rPr>
            </w:pPr>
            <w:r w:rsidRPr="00E75F6C">
              <w:rPr>
                <w:rFonts w:ascii="Book Antiqua" w:hAnsi="Book Antiqua"/>
                <w:sz w:val="24"/>
                <w:szCs w:val="24"/>
              </w:rPr>
              <w:t>67 (UC/CD)</w:t>
            </w:r>
          </w:p>
        </w:tc>
        <w:tc>
          <w:tcPr>
            <w:tcW w:w="2302" w:type="dxa"/>
            <w:tcBorders>
              <w:top w:val="single" w:sz="4" w:space="0" w:color="auto"/>
            </w:tcBorders>
          </w:tcPr>
          <w:p w14:paraId="05FDE5CB" w14:textId="77777777" w:rsidR="00480FF4" w:rsidRPr="00E75F6C" w:rsidRDefault="00480FF4" w:rsidP="00AD1560">
            <w:pPr>
              <w:spacing w:line="360" w:lineRule="auto"/>
              <w:jc w:val="both"/>
              <w:rPr>
                <w:rFonts w:ascii="Book Antiqua" w:hAnsi="Book Antiqua"/>
                <w:sz w:val="24"/>
                <w:szCs w:val="24"/>
              </w:rPr>
            </w:pPr>
            <w:r w:rsidRPr="00E75F6C">
              <w:rPr>
                <w:rFonts w:ascii="Book Antiqua" w:hAnsi="Book Antiqua"/>
                <w:sz w:val="24"/>
                <w:szCs w:val="24"/>
              </w:rPr>
              <w:t>6.7</w:t>
            </w:r>
          </w:p>
        </w:tc>
        <w:tc>
          <w:tcPr>
            <w:tcW w:w="1905" w:type="dxa"/>
            <w:tcBorders>
              <w:top w:val="single" w:sz="4" w:space="0" w:color="auto"/>
            </w:tcBorders>
          </w:tcPr>
          <w:p w14:paraId="78654A86" w14:textId="77777777" w:rsidR="00480FF4" w:rsidRPr="00E75F6C" w:rsidRDefault="00480FF4" w:rsidP="00AD1560">
            <w:pPr>
              <w:spacing w:line="360" w:lineRule="auto"/>
              <w:jc w:val="both"/>
              <w:rPr>
                <w:rFonts w:ascii="Book Antiqua" w:hAnsi="Book Antiqua"/>
                <w:sz w:val="24"/>
                <w:szCs w:val="24"/>
              </w:rPr>
            </w:pPr>
            <w:r w:rsidRPr="00E75F6C">
              <w:rPr>
                <w:rFonts w:ascii="Book Antiqua" w:hAnsi="Book Antiqua"/>
                <w:sz w:val="24"/>
                <w:szCs w:val="24"/>
              </w:rPr>
              <w:t>3.1</w:t>
            </w:r>
          </w:p>
        </w:tc>
        <w:tc>
          <w:tcPr>
            <w:tcW w:w="1812" w:type="dxa"/>
            <w:tcBorders>
              <w:top w:val="single" w:sz="4" w:space="0" w:color="auto"/>
            </w:tcBorders>
          </w:tcPr>
          <w:p w14:paraId="60E8F635" w14:textId="77777777" w:rsidR="00480FF4" w:rsidRPr="00E75F6C" w:rsidRDefault="00480FF4" w:rsidP="00AD1560">
            <w:pPr>
              <w:spacing w:line="360" w:lineRule="auto"/>
              <w:jc w:val="both"/>
              <w:rPr>
                <w:rFonts w:ascii="Book Antiqua" w:hAnsi="Book Antiqua"/>
                <w:sz w:val="24"/>
                <w:szCs w:val="24"/>
              </w:rPr>
            </w:pPr>
            <w:r w:rsidRPr="00E75F6C">
              <w:rPr>
                <w:rFonts w:ascii="Book Antiqua" w:hAnsi="Book Antiqua"/>
                <w:sz w:val="24"/>
                <w:szCs w:val="24"/>
              </w:rPr>
              <w:t>0.01</w:t>
            </w:r>
          </w:p>
        </w:tc>
      </w:tr>
      <w:tr w:rsidR="00480FF4" w:rsidRPr="00E75F6C" w14:paraId="26D897F3" w14:textId="77777777" w:rsidTr="007C676D">
        <w:trPr>
          <w:trHeight w:val="540"/>
        </w:trPr>
        <w:tc>
          <w:tcPr>
            <w:tcW w:w="1843" w:type="dxa"/>
          </w:tcPr>
          <w:p w14:paraId="272D450C" w14:textId="58B0774A" w:rsidR="00480FF4" w:rsidRPr="00E75F6C" w:rsidRDefault="00480FF4" w:rsidP="00AD1560">
            <w:pPr>
              <w:spacing w:line="360" w:lineRule="auto"/>
              <w:jc w:val="both"/>
              <w:rPr>
                <w:rFonts w:ascii="Book Antiqua" w:hAnsi="Book Antiqua"/>
                <w:sz w:val="24"/>
                <w:szCs w:val="24"/>
              </w:rPr>
            </w:pPr>
            <w:proofErr w:type="spellStart"/>
            <w:r w:rsidRPr="00E75F6C">
              <w:rPr>
                <w:rFonts w:ascii="Book Antiqua" w:hAnsi="Book Antiqua"/>
                <w:sz w:val="24"/>
                <w:szCs w:val="24"/>
              </w:rPr>
              <w:t>Roblin</w:t>
            </w:r>
            <w:proofErr w:type="spellEnd"/>
            <w:r w:rsidR="0078412F" w:rsidRPr="00E75F6C">
              <w:rPr>
                <w:rFonts w:ascii="Book Antiqua" w:hAnsi="Book Antiqua"/>
                <w:sz w:val="24"/>
                <w:szCs w:val="24"/>
              </w:rPr>
              <w:t xml:space="preserve"> </w:t>
            </w:r>
            <w:r w:rsidR="000F0CDF" w:rsidRPr="000F0CDF">
              <w:rPr>
                <w:rFonts w:ascii="Book Antiqua" w:hAnsi="Book Antiqua"/>
                <w:i/>
                <w:sz w:val="24"/>
                <w:szCs w:val="24"/>
              </w:rPr>
              <w:t>et al</w:t>
            </w:r>
            <w:r w:rsidR="000F0CDF" w:rsidRPr="00523E72">
              <w:rPr>
                <w:rFonts w:ascii="Book Antiqua" w:hAnsi="Book Antiqua"/>
                <w:sz w:val="24"/>
                <w:szCs w:val="24"/>
                <w:vertAlign w:val="superscript"/>
              </w:rPr>
              <w:t>[</w:t>
            </w:r>
            <w:r w:rsidR="007B6D6A">
              <w:rPr>
                <w:rFonts w:ascii="Book Antiqua" w:hAnsi="Book Antiqua"/>
                <w:sz w:val="24"/>
                <w:szCs w:val="24"/>
                <w:vertAlign w:val="superscript"/>
              </w:rPr>
              <w:t>44</w:t>
            </w:r>
            <w:r w:rsidR="000F0CDF" w:rsidRPr="00496750">
              <w:rPr>
                <w:rFonts w:ascii="Book Antiqua" w:hAnsi="Book Antiqua"/>
                <w:sz w:val="24"/>
                <w:szCs w:val="24"/>
                <w:vertAlign w:val="superscript"/>
              </w:rPr>
              <w:t>]</w:t>
            </w:r>
          </w:p>
        </w:tc>
        <w:tc>
          <w:tcPr>
            <w:tcW w:w="1843" w:type="dxa"/>
          </w:tcPr>
          <w:p w14:paraId="0EBE9FF9" w14:textId="77777777" w:rsidR="00480FF4" w:rsidRPr="00E75F6C" w:rsidRDefault="0078412F" w:rsidP="00AD1560">
            <w:pPr>
              <w:spacing w:line="360" w:lineRule="auto"/>
              <w:jc w:val="both"/>
              <w:rPr>
                <w:rFonts w:ascii="Book Antiqua" w:hAnsi="Book Antiqua"/>
                <w:sz w:val="24"/>
                <w:szCs w:val="24"/>
              </w:rPr>
            </w:pPr>
            <w:r w:rsidRPr="00E75F6C">
              <w:rPr>
                <w:rFonts w:ascii="Book Antiqua" w:hAnsi="Book Antiqua"/>
                <w:sz w:val="24"/>
                <w:szCs w:val="24"/>
              </w:rPr>
              <w:t>40 (UC/CD)</w:t>
            </w:r>
          </w:p>
        </w:tc>
        <w:tc>
          <w:tcPr>
            <w:tcW w:w="2302" w:type="dxa"/>
          </w:tcPr>
          <w:p w14:paraId="420BD94A" w14:textId="77777777" w:rsidR="00480FF4" w:rsidRPr="00E75F6C" w:rsidRDefault="0078412F" w:rsidP="00AD1560">
            <w:pPr>
              <w:spacing w:line="360" w:lineRule="auto"/>
              <w:jc w:val="both"/>
              <w:rPr>
                <w:rFonts w:ascii="Book Antiqua" w:hAnsi="Book Antiqua"/>
                <w:sz w:val="24"/>
                <w:szCs w:val="24"/>
              </w:rPr>
            </w:pPr>
            <w:r w:rsidRPr="00E75F6C">
              <w:rPr>
                <w:rFonts w:ascii="Book Antiqua" w:hAnsi="Book Antiqua"/>
                <w:sz w:val="24"/>
                <w:szCs w:val="24"/>
              </w:rPr>
              <w:t>6.5</w:t>
            </w:r>
          </w:p>
        </w:tc>
        <w:tc>
          <w:tcPr>
            <w:tcW w:w="1905" w:type="dxa"/>
          </w:tcPr>
          <w:p w14:paraId="5B9BD0CF" w14:textId="77777777" w:rsidR="00480FF4" w:rsidRPr="00E75F6C" w:rsidRDefault="0078412F" w:rsidP="00AD1560">
            <w:pPr>
              <w:spacing w:line="360" w:lineRule="auto"/>
              <w:jc w:val="both"/>
              <w:rPr>
                <w:rFonts w:ascii="Book Antiqua" w:hAnsi="Book Antiqua"/>
                <w:sz w:val="24"/>
                <w:szCs w:val="24"/>
              </w:rPr>
            </w:pPr>
            <w:r w:rsidRPr="00E75F6C">
              <w:rPr>
                <w:rFonts w:ascii="Book Antiqua" w:hAnsi="Book Antiqua"/>
                <w:sz w:val="24"/>
                <w:szCs w:val="24"/>
              </w:rPr>
              <w:t>4.2</w:t>
            </w:r>
          </w:p>
        </w:tc>
        <w:tc>
          <w:tcPr>
            <w:tcW w:w="1812" w:type="dxa"/>
          </w:tcPr>
          <w:p w14:paraId="03A688BE" w14:textId="77777777" w:rsidR="00480FF4" w:rsidRPr="00E75F6C" w:rsidRDefault="0078412F" w:rsidP="00AD1560">
            <w:pPr>
              <w:spacing w:line="360" w:lineRule="auto"/>
              <w:jc w:val="both"/>
              <w:rPr>
                <w:rFonts w:ascii="Book Antiqua" w:hAnsi="Book Antiqua"/>
                <w:sz w:val="24"/>
                <w:szCs w:val="24"/>
              </w:rPr>
            </w:pPr>
            <w:r w:rsidRPr="00E75F6C">
              <w:rPr>
                <w:rFonts w:ascii="Book Antiqua" w:hAnsi="Book Antiqua"/>
                <w:sz w:val="24"/>
                <w:szCs w:val="24"/>
              </w:rPr>
              <w:t>&lt;</w:t>
            </w:r>
            <w:r w:rsidR="000F0CDF">
              <w:rPr>
                <w:rFonts w:ascii="Book Antiqua" w:hAnsi="Book Antiqua" w:hint="eastAsia"/>
                <w:sz w:val="24"/>
                <w:szCs w:val="24"/>
                <w:lang w:eastAsia="zh-CN"/>
              </w:rPr>
              <w:t xml:space="preserve"> </w:t>
            </w:r>
            <w:r w:rsidRPr="00E75F6C">
              <w:rPr>
                <w:rFonts w:ascii="Book Antiqua" w:hAnsi="Book Antiqua"/>
                <w:sz w:val="24"/>
                <w:szCs w:val="24"/>
              </w:rPr>
              <w:t>0.05</w:t>
            </w:r>
          </w:p>
        </w:tc>
      </w:tr>
      <w:tr w:rsidR="00480FF4" w:rsidRPr="00E75F6C" w14:paraId="33DC0FDA" w14:textId="77777777" w:rsidTr="007C676D">
        <w:trPr>
          <w:trHeight w:val="525"/>
        </w:trPr>
        <w:tc>
          <w:tcPr>
            <w:tcW w:w="1843" w:type="dxa"/>
            <w:tcBorders>
              <w:bottom w:val="single" w:sz="4" w:space="0" w:color="auto"/>
            </w:tcBorders>
          </w:tcPr>
          <w:p w14:paraId="5E49FE39" w14:textId="3655CDB0" w:rsidR="00480FF4" w:rsidRPr="00E75F6C" w:rsidRDefault="0078412F" w:rsidP="00AD1560">
            <w:pPr>
              <w:spacing w:line="360" w:lineRule="auto"/>
              <w:jc w:val="both"/>
              <w:rPr>
                <w:rFonts w:ascii="Book Antiqua" w:hAnsi="Book Antiqua"/>
                <w:sz w:val="24"/>
                <w:szCs w:val="24"/>
              </w:rPr>
            </w:pPr>
            <w:proofErr w:type="spellStart"/>
            <w:r w:rsidRPr="00E75F6C">
              <w:rPr>
                <w:rFonts w:ascii="Book Antiqua" w:hAnsi="Book Antiqua"/>
                <w:sz w:val="24"/>
                <w:szCs w:val="24"/>
              </w:rPr>
              <w:t>Zittan</w:t>
            </w:r>
            <w:proofErr w:type="spellEnd"/>
            <w:r w:rsidRPr="00E75F6C">
              <w:rPr>
                <w:rFonts w:ascii="Book Antiqua" w:hAnsi="Book Antiqua"/>
                <w:sz w:val="24"/>
                <w:szCs w:val="24"/>
              </w:rPr>
              <w:t xml:space="preserve"> </w:t>
            </w:r>
            <w:r w:rsidR="000F0CDF" w:rsidRPr="000F0CDF">
              <w:rPr>
                <w:rFonts w:ascii="Book Antiqua" w:hAnsi="Book Antiqua"/>
                <w:i/>
                <w:sz w:val="24"/>
                <w:szCs w:val="24"/>
              </w:rPr>
              <w:t>et al</w:t>
            </w:r>
            <w:r w:rsidR="000F0CDF" w:rsidRPr="00523E72">
              <w:rPr>
                <w:rFonts w:ascii="Book Antiqua" w:hAnsi="Book Antiqua"/>
                <w:sz w:val="24"/>
                <w:szCs w:val="24"/>
                <w:vertAlign w:val="superscript"/>
              </w:rPr>
              <w:t>[</w:t>
            </w:r>
            <w:r w:rsidR="007B6D6A">
              <w:rPr>
                <w:rFonts w:ascii="Book Antiqua" w:hAnsi="Book Antiqua"/>
                <w:sz w:val="24"/>
                <w:szCs w:val="24"/>
                <w:vertAlign w:val="superscript"/>
              </w:rPr>
              <w:t>67</w:t>
            </w:r>
            <w:r w:rsidR="000F0CDF" w:rsidRPr="00496750">
              <w:rPr>
                <w:rFonts w:ascii="Book Antiqua" w:hAnsi="Book Antiqua"/>
                <w:sz w:val="24"/>
                <w:szCs w:val="24"/>
                <w:vertAlign w:val="superscript"/>
              </w:rPr>
              <w:t>]</w:t>
            </w:r>
          </w:p>
        </w:tc>
        <w:tc>
          <w:tcPr>
            <w:tcW w:w="1843" w:type="dxa"/>
            <w:tcBorders>
              <w:bottom w:val="single" w:sz="4" w:space="0" w:color="auto"/>
            </w:tcBorders>
          </w:tcPr>
          <w:p w14:paraId="57AAAC58" w14:textId="77777777" w:rsidR="00480FF4" w:rsidRPr="00E75F6C" w:rsidRDefault="0078412F" w:rsidP="00AD1560">
            <w:pPr>
              <w:spacing w:line="360" w:lineRule="auto"/>
              <w:jc w:val="both"/>
              <w:rPr>
                <w:rFonts w:ascii="Book Antiqua" w:hAnsi="Book Antiqua"/>
                <w:sz w:val="24"/>
                <w:szCs w:val="24"/>
              </w:rPr>
            </w:pPr>
            <w:r w:rsidRPr="00E75F6C">
              <w:rPr>
                <w:rFonts w:ascii="Book Antiqua" w:hAnsi="Book Antiqua"/>
                <w:sz w:val="24"/>
                <w:szCs w:val="24"/>
              </w:rPr>
              <w:t>60 (UC/CD)</w:t>
            </w:r>
          </w:p>
        </w:tc>
        <w:tc>
          <w:tcPr>
            <w:tcW w:w="2302" w:type="dxa"/>
            <w:tcBorders>
              <w:bottom w:val="single" w:sz="4" w:space="0" w:color="auto"/>
            </w:tcBorders>
          </w:tcPr>
          <w:p w14:paraId="49A28B6D" w14:textId="77777777" w:rsidR="00480FF4" w:rsidRPr="00E75F6C" w:rsidRDefault="0078412F" w:rsidP="00AD1560">
            <w:pPr>
              <w:spacing w:line="360" w:lineRule="auto"/>
              <w:jc w:val="both"/>
              <w:rPr>
                <w:rFonts w:ascii="Book Antiqua" w:hAnsi="Book Antiqua"/>
                <w:sz w:val="24"/>
                <w:szCs w:val="24"/>
              </w:rPr>
            </w:pPr>
            <w:r w:rsidRPr="00E75F6C">
              <w:rPr>
                <w:rFonts w:ascii="Book Antiqua" w:hAnsi="Book Antiqua"/>
                <w:sz w:val="24"/>
                <w:szCs w:val="24"/>
              </w:rPr>
              <w:t>14.7</w:t>
            </w:r>
          </w:p>
        </w:tc>
        <w:tc>
          <w:tcPr>
            <w:tcW w:w="1905" w:type="dxa"/>
            <w:tcBorders>
              <w:bottom w:val="single" w:sz="4" w:space="0" w:color="auto"/>
            </w:tcBorders>
          </w:tcPr>
          <w:p w14:paraId="7BCBBE2B" w14:textId="77777777" w:rsidR="00480FF4" w:rsidRPr="00E75F6C" w:rsidRDefault="0078412F" w:rsidP="00AD1560">
            <w:pPr>
              <w:spacing w:line="360" w:lineRule="auto"/>
              <w:jc w:val="both"/>
              <w:rPr>
                <w:rFonts w:ascii="Book Antiqua" w:hAnsi="Book Antiqua"/>
                <w:sz w:val="24"/>
                <w:szCs w:val="24"/>
              </w:rPr>
            </w:pPr>
            <w:r w:rsidRPr="00E75F6C">
              <w:rPr>
                <w:rFonts w:ascii="Book Antiqua" w:hAnsi="Book Antiqua"/>
                <w:sz w:val="24"/>
                <w:szCs w:val="24"/>
              </w:rPr>
              <w:t>3.4</w:t>
            </w:r>
          </w:p>
        </w:tc>
        <w:tc>
          <w:tcPr>
            <w:tcW w:w="1812" w:type="dxa"/>
            <w:tcBorders>
              <w:bottom w:val="single" w:sz="4" w:space="0" w:color="auto"/>
            </w:tcBorders>
          </w:tcPr>
          <w:p w14:paraId="524B7533" w14:textId="77777777" w:rsidR="00480FF4" w:rsidRPr="00E75F6C" w:rsidRDefault="0078412F" w:rsidP="00AD1560">
            <w:pPr>
              <w:spacing w:line="360" w:lineRule="auto"/>
              <w:jc w:val="both"/>
              <w:rPr>
                <w:rFonts w:ascii="Book Antiqua" w:hAnsi="Book Antiqua"/>
                <w:sz w:val="24"/>
                <w:szCs w:val="24"/>
              </w:rPr>
            </w:pPr>
            <w:r w:rsidRPr="00E75F6C">
              <w:rPr>
                <w:rFonts w:ascii="Book Antiqua" w:hAnsi="Book Antiqua"/>
                <w:sz w:val="24"/>
                <w:szCs w:val="24"/>
              </w:rPr>
              <w:t>&lt;</w:t>
            </w:r>
            <w:r w:rsidR="000F0CDF">
              <w:rPr>
                <w:rFonts w:ascii="Book Antiqua" w:hAnsi="Book Antiqua" w:hint="eastAsia"/>
                <w:sz w:val="24"/>
                <w:szCs w:val="24"/>
                <w:lang w:eastAsia="zh-CN"/>
              </w:rPr>
              <w:t xml:space="preserve"> </w:t>
            </w:r>
            <w:r w:rsidRPr="00E75F6C">
              <w:rPr>
                <w:rFonts w:ascii="Book Antiqua" w:hAnsi="Book Antiqua"/>
                <w:sz w:val="24"/>
                <w:szCs w:val="24"/>
              </w:rPr>
              <w:t>0.0001</w:t>
            </w:r>
          </w:p>
        </w:tc>
      </w:tr>
    </w:tbl>
    <w:p w14:paraId="1C58EE5F" w14:textId="77777777" w:rsidR="00370DC6" w:rsidRPr="00E75F6C" w:rsidRDefault="00370DC6" w:rsidP="00AD1560">
      <w:pPr>
        <w:spacing w:after="0" w:line="360" w:lineRule="auto"/>
        <w:jc w:val="both"/>
        <w:rPr>
          <w:rFonts w:ascii="Book Antiqua" w:hAnsi="Book Antiqua"/>
          <w:sz w:val="24"/>
          <w:szCs w:val="24"/>
        </w:rPr>
      </w:pPr>
    </w:p>
    <w:sectPr w:rsidR="00370DC6" w:rsidRPr="00E75F6C" w:rsidSect="003D08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BACCA" w14:textId="77777777" w:rsidR="00BA682A" w:rsidRDefault="00BA682A" w:rsidP="00FF751A">
      <w:pPr>
        <w:spacing w:after="0" w:line="240" w:lineRule="auto"/>
      </w:pPr>
      <w:r>
        <w:separator/>
      </w:r>
    </w:p>
  </w:endnote>
  <w:endnote w:type="continuationSeparator" w:id="0">
    <w:p w14:paraId="42D34E18" w14:textId="77777777" w:rsidR="00BA682A" w:rsidRDefault="00BA682A" w:rsidP="00FF7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65968" w14:textId="77777777" w:rsidR="00BA682A" w:rsidRDefault="00BA682A" w:rsidP="00FF751A">
      <w:pPr>
        <w:spacing w:after="0" w:line="240" w:lineRule="auto"/>
      </w:pPr>
      <w:r>
        <w:separator/>
      </w:r>
    </w:p>
  </w:footnote>
  <w:footnote w:type="continuationSeparator" w:id="0">
    <w:p w14:paraId="0FE9D97E" w14:textId="77777777" w:rsidR="00BA682A" w:rsidRDefault="00BA682A" w:rsidP="00FF7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75B0"/>
    <w:multiLevelType w:val="hybridMultilevel"/>
    <w:tmpl w:val="9CC48B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3863405"/>
    <w:multiLevelType w:val="hybridMultilevel"/>
    <w:tmpl w:val="DCFE98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6CB0BDB"/>
    <w:multiLevelType w:val="hybridMultilevel"/>
    <w:tmpl w:val="25F8EB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7AD603F"/>
    <w:multiLevelType w:val="hybridMultilevel"/>
    <w:tmpl w:val="1F5C4FF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2A3B6759"/>
    <w:multiLevelType w:val="hybridMultilevel"/>
    <w:tmpl w:val="2600582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3E5758A1"/>
    <w:multiLevelType w:val="hybridMultilevel"/>
    <w:tmpl w:val="46DCF7EE"/>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BAE0CAB"/>
    <w:multiLevelType w:val="hybridMultilevel"/>
    <w:tmpl w:val="7302886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541D32E2"/>
    <w:multiLevelType w:val="hybridMultilevel"/>
    <w:tmpl w:val="7264D6E6"/>
    <w:lvl w:ilvl="0" w:tplc="B4EE96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548E05C1"/>
    <w:multiLevelType w:val="hybridMultilevel"/>
    <w:tmpl w:val="F53A58A6"/>
    <w:lvl w:ilvl="0" w:tplc="F92EF82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72C0045D"/>
    <w:multiLevelType w:val="hybridMultilevel"/>
    <w:tmpl w:val="C6B82BC8"/>
    <w:lvl w:ilvl="0" w:tplc="B6FA19A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7E8F7919"/>
    <w:multiLevelType w:val="hybridMultilevel"/>
    <w:tmpl w:val="F5568BB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9"/>
  </w:num>
  <w:num w:numId="4">
    <w:abstractNumId w:val="8"/>
  </w:num>
  <w:num w:numId="5">
    <w:abstractNumId w:val="7"/>
  </w:num>
  <w:num w:numId="6">
    <w:abstractNumId w:val="2"/>
  </w:num>
  <w:num w:numId="7">
    <w:abstractNumId w:val="0"/>
  </w:num>
  <w:num w:numId="8">
    <w:abstractNumId w:val="6"/>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584"/>
    <w:rsid w:val="000033A9"/>
    <w:rsid w:val="0001016A"/>
    <w:rsid w:val="00013048"/>
    <w:rsid w:val="00023875"/>
    <w:rsid w:val="00023D68"/>
    <w:rsid w:val="00047552"/>
    <w:rsid w:val="00062BE8"/>
    <w:rsid w:val="000A027C"/>
    <w:rsid w:val="000A2AA9"/>
    <w:rsid w:val="000B0583"/>
    <w:rsid w:val="000D02E3"/>
    <w:rsid w:val="000D3EBF"/>
    <w:rsid w:val="000E2511"/>
    <w:rsid w:val="000F0CDF"/>
    <w:rsid w:val="000F6605"/>
    <w:rsid w:val="00101C57"/>
    <w:rsid w:val="00104B7A"/>
    <w:rsid w:val="00112526"/>
    <w:rsid w:val="00117991"/>
    <w:rsid w:val="00132279"/>
    <w:rsid w:val="001334DC"/>
    <w:rsid w:val="00137061"/>
    <w:rsid w:val="00141A97"/>
    <w:rsid w:val="00152AB8"/>
    <w:rsid w:val="0017787B"/>
    <w:rsid w:val="001952F6"/>
    <w:rsid w:val="001A2EC8"/>
    <w:rsid w:val="001C0D6B"/>
    <w:rsid w:val="001C3147"/>
    <w:rsid w:val="001E1305"/>
    <w:rsid w:val="001F1B93"/>
    <w:rsid w:val="0020111E"/>
    <w:rsid w:val="00202189"/>
    <w:rsid w:val="00205FA5"/>
    <w:rsid w:val="00256A67"/>
    <w:rsid w:val="00264FD1"/>
    <w:rsid w:val="00267CA4"/>
    <w:rsid w:val="0028552A"/>
    <w:rsid w:val="0028783B"/>
    <w:rsid w:val="00290ABC"/>
    <w:rsid w:val="002D4102"/>
    <w:rsid w:val="002E0D5F"/>
    <w:rsid w:val="002E2D36"/>
    <w:rsid w:val="002E4A42"/>
    <w:rsid w:val="002F371E"/>
    <w:rsid w:val="0034280C"/>
    <w:rsid w:val="003568D9"/>
    <w:rsid w:val="00360805"/>
    <w:rsid w:val="003665D0"/>
    <w:rsid w:val="00370DC6"/>
    <w:rsid w:val="00372216"/>
    <w:rsid w:val="00386757"/>
    <w:rsid w:val="00393785"/>
    <w:rsid w:val="0039421A"/>
    <w:rsid w:val="003A6703"/>
    <w:rsid w:val="003D088B"/>
    <w:rsid w:val="003E257B"/>
    <w:rsid w:val="00407F2B"/>
    <w:rsid w:val="00417534"/>
    <w:rsid w:val="00433EA3"/>
    <w:rsid w:val="00445E60"/>
    <w:rsid w:val="00454175"/>
    <w:rsid w:val="00466F9D"/>
    <w:rsid w:val="0047116B"/>
    <w:rsid w:val="00480FF4"/>
    <w:rsid w:val="00487C02"/>
    <w:rsid w:val="00494A71"/>
    <w:rsid w:val="00496750"/>
    <w:rsid w:val="004E3CE2"/>
    <w:rsid w:val="00511347"/>
    <w:rsid w:val="00521499"/>
    <w:rsid w:val="00522162"/>
    <w:rsid w:val="00523E72"/>
    <w:rsid w:val="005350D8"/>
    <w:rsid w:val="0055454E"/>
    <w:rsid w:val="0055492C"/>
    <w:rsid w:val="00555D3E"/>
    <w:rsid w:val="00564C25"/>
    <w:rsid w:val="005954B3"/>
    <w:rsid w:val="005B4584"/>
    <w:rsid w:val="005B7558"/>
    <w:rsid w:val="005C366E"/>
    <w:rsid w:val="005C4124"/>
    <w:rsid w:val="005D32DD"/>
    <w:rsid w:val="006608FD"/>
    <w:rsid w:val="006621B4"/>
    <w:rsid w:val="0066649A"/>
    <w:rsid w:val="006842B9"/>
    <w:rsid w:val="006A04E8"/>
    <w:rsid w:val="006A1DCD"/>
    <w:rsid w:val="006A2D7E"/>
    <w:rsid w:val="006B15F1"/>
    <w:rsid w:val="006C085C"/>
    <w:rsid w:val="006D3EFC"/>
    <w:rsid w:val="006E6914"/>
    <w:rsid w:val="006F1359"/>
    <w:rsid w:val="006F39C6"/>
    <w:rsid w:val="006F503F"/>
    <w:rsid w:val="006F71C6"/>
    <w:rsid w:val="007015C9"/>
    <w:rsid w:val="007040D1"/>
    <w:rsid w:val="00725683"/>
    <w:rsid w:val="007272BE"/>
    <w:rsid w:val="007652BB"/>
    <w:rsid w:val="00765E00"/>
    <w:rsid w:val="00770265"/>
    <w:rsid w:val="007821C1"/>
    <w:rsid w:val="0078412F"/>
    <w:rsid w:val="007A666F"/>
    <w:rsid w:val="007B6D6A"/>
    <w:rsid w:val="007C676D"/>
    <w:rsid w:val="007F04D1"/>
    <w:rsid w:val="00840468"/>
    <w:rsid w:val="00847BA2"/>
    <w:rsid w:val="00851B9F"/>
    <w:rsid w:val="0085231E"/>
    <w:rsid w:val="00875889"/>
    <w:rsid w:val="008E288A"/>
    <w:rsid w:val="008F00C4"/>
    <w:rsid w:val="00907B46"/>
    <w:rsid w:val="009305EC"/>
    <w:rsid w:val="00943D59"/>
    <w:rsid w:val="00971511"/>
    <w:rsid w:val="0097238D"/>
    <w:rsid w:val="0098569A"/>
    <w:rsid w:val="00990BFF"/>
    <w:rsid w:val="00993B77"/>
    <w:rsid w:val="00994339"/>
    <w:rsid w:val="009A030E"/>
    <w:rsid w:val="009D09CE"/>
    <w:rsid w:val="009D5FC3"/>
    <w:rsid w:val="009E3A6D"/>
    <w:rsid w:val="009F42DA"/>
    <w:rsid w:val="009F7D8F"/>
    <w:rsid w:val="00A001D9"/>
    <w:rsid w:val="00A40BA8"/>
    <w:rsid w:val="00A40C38"/>
    <w:rsid w:val="00A76395"/>
    <w:rsid w:val="00A81ADE"/>
    <w:rsid w:val="00A86824"/>
    <w:rsid w:val="00A868EB"/>
    <w:rsid w:val="00A936CE"/>
    <w:rsid w:val="00AB1C85"/>
    <w:rsid w:val="00AB1D5C"/>
    <w:rsid w:val="00AC40ED"/>
    <w:rsid w:val="00AD1560"/>
    <w:rsid w:val="00AD3F60"/>
    <w:rsid w:val="00AD5469"/>
    <w:rsid w:val="00AF33E8"/>
    <w:rsid w:val="00B225FE"/>
    <w:rsid w:val="00B22F76"/>
    <w:rsid w:val="00B24C1E"/>
    <w:rsid w:val="00B346C7"/>
    <w:rsid w:val="00B40D0A"/>
    <w:rsid w:val="00B53315"/>
    <w:rsid w:val="00B6027F"/>
    <w:rsid w:val="00B67645"/>
    <w:rsid w:val="00B67DFD"/>
    <w:rsid w:val="00BA1B72"/>
    <w:rsid w:val="00BA571D"/>
    <w:rsid w:val="00BA682A"/>
    <w:rsid w:val="00BF64EF"/>
    <w:rsid w:val="00C029D8"/>
    <w:rsid w:val="00C031C7"/>
    <w:rsid w:val="00C10F69"/>
    <w:rsid w:val="00C309DD"/>
    <w:rsid w:val="00C329EA"/>
    <w:rsid w:val="00C464F8"/>
    <w:rsid w:val="00C766B0"/>
    <w:rsid w:val="00CA2E80"/>
    <w:rsid w:val="00CE0EBD"/>
    <w:rsid w:val="00CF0EC7"/>
    <w:rsid w:val="00D16425"/>
    <w:rsid w:val="00D17025"/>
    <w:rsid w:val="00D56972"/>
    <w:rsid w:val="00D9390E"/>
    <w:rsid w:val="00DA0328"/>
    <w:rsid w:val="00DB323D"/>
    <w:rsid w:val="00DB4177"/>
    <w:rsid w:val="00DB627B"/>
    <w:rsid w:val="00DC0331"/>
    <w:rsid w:val="00DC2F9C"/>
    <w:rsid w:val="00DE32A3"/>
    <w:rsid w:val="00DF05A0"/>
    <w:rsid w:val="00DF4DB3"/>
    <w:rsid w:val="00E02126"/>
    <w:rsid w:val="00E06DEE"/>
    <w:rsid w:val="00E26913"/>
    <w:rsid w:val="00E7004F"/>
    <w:rsid w:val="00E729DE"/>
    <w:rsid w:val="00E75F6C"/>
    <w:rsid w:val="00E8627B"/>
    <w:rsid w:val="00EA0257"/>
    <w:rsid w:val="00EC3A47"/>
    <w:rsid w:val="00ED38C9"/>
    <w:rsid w:val="00F156F8"/>
    <w:rsid w:val="00F22578"/>
    <w:rsid w:val="00F92249"/>
    <w:rsid w:val="00FD4426"/>
    <w:rsid w:val="00FD641F"/>
    <w:rsid w:val="00FE2CE4"/>
    <w:rsid w:val="00FF751A"/>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D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F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F60"/>
    <w:pPr>
      <w:ind w:left="720"/>
      <w:contextualSpacing/>
    </w:pPr>
  </w:style>
  <w:style w:type="table" w:styleId="a4">
    <w:name w:val="Table Grid"/>
    <w:basedOn w:val="a1"/>
    <w:uiPriority w:val="39"/>
    <w:rsid w:val="00EC3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3665D0"/>
    <w:rPr>
      <w:color w:val="0563C1" w:themeColor="hyperlink"/>
      <w:u w:val="single"/>
    </w:rPr>
  </w:style>
  <w:style w:type="paragraph" w:styleId="a6">
    <w:name w:val="header"/>
    <w:basedOn w:val="a"/>
    <w:link w:val="Char"/>
    <w:uiPriority w:val="99"/>
    <w:unhideWhenUsed/>
    <w:rsid w:val="00FF751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6"/>
    <w:uiPriority w:val="99"/>
    <w:rsid w:val="00FF751A"/>
    <w:rPr>
      <w:sz w:val="18"/>
      <w:szCs w:val="18"/>
    </w:rPr>
  </w:style>
  <w:style w:type="paragraph" w:styleId="a7">
    <w:name w:val="footer"/>
    <w:basedOn w:val="a"/>
    <w:link w:val="Char0"/>
    <w:uiPriority w:val="99"/>
    <w:unhideWhenUsed/>
    <w:rsid w:val="00FF751A"/>
    <w:pPr>
      <w:tabs>
        <w:tab w:val="center" w:pos="4153"/>
        <w:tab w:val="right" w:pos="8306"/>
      </w:tabs>
      <w:snapToGrid w:val="0"/>
      <w:spacing w:line="240" w:lineRule="auto"/>
    </w:pPr>
    <w:rPr>
      <w:sz w:val="18"/>
      <w:szCs w:val="18"/>
    </w:rPr>
  </w:style>
  <w:style w:type="character" w:customStyle="1" w:styleId="Char0">
    <w:name w:val="页脚 Char"/>
    <w:basedOn w:val="a0"/>
    <w:link w:val="a7"/>
    <w:uiPriority w:val="99"/>
    <w:rsid w:val="00FF751A"/>
    <w:rPr>
      <w:sz w:val="18"/>
      <w:szCs w:val="18"/>
    </w:rPr>
  </w:style>
  <w:style w:type="character" w:styleId="a8">
    <w:name w:val="annotation reference"/>
    <w:uiPriority w:val="99"/>
    <w:rsid w:val="00FF751A"/>
    <w:rPr>
      <w:rFonts w:cs="Times New Roman"/>
      <w:sz w:val="21"/>
      <w:szCs w:val="21"/>
    </w:rPr>
  </w:style>
  <w:style w:type="paragraph" w:styleId="a9">
    <w:name w:val="annotation text"/>
    <w:basedOn w:val="a"/>
    <w:link w:val="Char1"/>
    <w:uiPriority w:val="99"/>
    <w:rsid w:val="00FF751A"/>
    <w:pPr>
      <w:spacing w:after="0" w:line="240" w:lineRule="auto"/>
    </w:pPr>
    <w:rPr>
      <w:rFonts w:ascii="Times New Roman" w:eastAsia="宋体" w:hAnsi="Times New Roman" w:cs="Times New Roman"/>
      <w:sz w:val="24"/>
      <w:szCs w:val="24"/>
      <w:lang w:val="en-US"/>
    </w:rPr>
  </w:style>
  <w:style w:type="character" w:customStyle="1" w:styleId="Char1">
    <w:name w:val="批注文字 Char"/>
    <w:basedOn w:val="a0"/>
    <w:link w:val="a9"/>
    <w:uiPriority w:val="99"/>
    <w:rsid w:val="00FF751A"/>
    <w:rPr>
      <w:rFonts w:ascii="Times New Roman" w:eastAsia="宋体" w:hAnsi="Times New Roman" w:cs="Times New Roman"/>
      <w:sz w:val="24"/>
      <w:szCs w:val="24"/>
      <w:lang w:val="en-US"/>
    </w:rPr>
  </w:style>
  <w:style w:type="paragraph" w:styleId="aa">
    <w:name w:val="Balloon Text"/>
    <w:basedOn w:val="a"/>
    <w:link w:val="Char2"/>
    <w:uiPriority w:val="99"/>
    <w:semiHidden/>
    <w:unhideWhenUsed/>
    <w:rsid w:val="00FF751A"/>
    <w:pPr>
      <w:spacing w:after="0" w:line="240" w:lineRule="auto"/>
    </w:pPr>
    <w:rPr>
      <w:sz w:val="18"/>
      <w:szCs w:val="18"/>
    </w:rPr>
  </w:style>
  <w:style w:type="character" w:customStyle="1" w:styleId="Char2">
    <w:name w:val="批注框文本 Char"/>
    <w:basedOn w:val="a0"/>
    <w:link w:val="aa"/>
    <w:uiPriority w:val="99"/>
    <w:semiHidden/>
    <w:rsid w:val="00FF751A"/>
    <w:rPr>
      <w:sz w:val="18"/>
      <w:szCs w:val="18"/>
    </w:rPr>
  </w:style>
  <w:style w:type="paragraph" w:styleId="ab">
    <w:name w:val="Normal (Web)"/>
    <w:basedOn w:val="a"/>
    <w:uiPriority w:val="99"/>
    <w:unhideWhenUsed/>
    <w:rsid w:val="00FF751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ac">
    <w:name w:val="Strong"/>
    <w:uiPriority w:val="22"/>
    <w:qFormat/>
    <w:rsid w:val="00FF751A"/>
    <w:rPr>
      <w:b/>
      <w:bCs/>
    </w:rPr>
  </w:style>
  <w:style w:type="paragraph" w:styleId="ad">
    <w:name w:val="annotation subject"/>
    <w:basedOn w:val="a9"/>
    <w:next w:val="a9"/>
    <w:link w:val="Char3"/>
    <w:uiPriority w:val="99"/>
    <w:semiHidden/>
    <w:unhideWhenUsed/>
    <w:rsid w:val="00FF751A"/>
    <w:pPr>
      <w:spacing w:after="160" w:line="259" w:lineRule="auto"/>
    </w:pPr>
    <w:rPr>
      <w:rFonts w:asciiTheme="minorHAnsi" w:eastAsiaTheme="minorEastAsia" w:hAnsiTheme="minorHAnsi" w:cstheme="minorBidi"/>
      <w:b/>
      <w:bCs/>
      <w:sz w:val="22"/>
      <w:szCs w:val="22"/>
      <w:lang w:val="en-IE"/>
    </w:rPr>
  </w:style>
  <w:style w:type="character" w:customStyle="1" w:styleId="Char3">
    <w:name w:val="批注主题 Char"/>
    <w:basedOn w:val="Char1"/>
    <w:link w:val="ad"/>
    <w:uiPriority w:val="99"/>
    <w:semiHidden/>
    <w:rsid w:val="00FF751A"/>
    <w:rPr>
      <w:rFonts w:ascii="Times New Roman" w:eastAsia="宋体" w:hAnsi="Times New Roman" w:cs="Times New Roman"/>
      <w:b/>
      <w:bCs/>
      <w:sz w:val="24"/>
      <w:szCs w:val="24"/>
      <w:lang w:val="en-US"/>
    </w:rPr>
  </w:style>
  <w:style w:type="paragraph" w:customStyle="1" w:styleId="p0">
    <w:name w:val="p0"/>
    <w:basedOn w:val="a"/>
    <w:rsid w:val="00FF751A"/>
    <w:pPr>
      <w:spacing w:after="0" w:line="240" w:lineRule="atLeast"/>
    </w:pPr>
    <w:rPr>
      <w:rFonts w:ascii="Century" w:eastAsia="宋体" w:hAnsi="Century" w:cs="宋体"/>
      <w:sz w:val="21"/>
      <w:szCs w:val="21"/>
      <w:lang w:val="en-US" w:eastAsia="zh-CN"/>
    </w:rPr>
  </w:style>
  <w:style w:type="character" w:styleId="ae">
    <w:name w:val="FollowedHyperlink"/>
    <w:basedOn w:val="a0"/>
    <w:uiPriority w:val="99"/>
    <w:semiHidden/>
    <w:unhideWhenUsed/>
    <w:rsid w:val="0037221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F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F60"/>
    <w:pPr>
      <w:ind w:left="720"/>
      <w:contextualSpacing/>
    </w:pPr>
  </w:style>
  <w:style w:type="table" w:styleId="a4">
    <w:name w:val="Table Grid"/>
    <w:basedOn w:val="a1"/>
    <w:uiPriority w:val="39"/>
    <w:rsid w:val="00EC3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3665D0"/>
    <w:rPr>
      <w:color w:val="0563C1" w:themeColor="hyperlink"/>
      <w:u w:val="single"/>
    </w:rPr>
  </w:style>
  <w:style w:type="paragraph" w:styleId="a6">
    <w:name w:val="header"/>
    <w:basedOn w:val="a"/>
    <w:link w:val="Char"/>
    <w:uiPriority w:val="99"/>
    <w:unhideWhenUsed/>
    <w:rsid w:val="00FF751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6"/>
    <w:uiPriority w:val="99"/>
    <w:rsid w:val="00FF751A"/>
    <w:rPr>
      <w:sz w:val="18"/>
      <w:szCs w:val="18"/>
    </w:rPr>
  </w:style>
  <w:style w:type="paragraph" w:styleId="a7">
    <w:name w:val="footer"/>
    <w:basedOn w:val="a"/>
    <w:link w:val="Char0"/>
    <w:uiPriority w:val="99"/>
    <w:unhideWhenUsed/>
    <w:rsid w:val="00FF751A"/>
    <w:pPr>
      <w:tabs>
        <w:tab w:val="center" w:pos="4153"/>
        <w:tab w:val="right" w:pos="8306"/>
      </w:tabs>
      <w:snapToGrid w:val="0"/>
      <w:spacing w:line="240" w:lineRule="auto"/>
    </w:pPr>
    <w:rPr>
      <w:sz w:val="18"/>
      <w:szCs w:val="18"/>
    </w:rPr>
  </w:style>
  <w:style w:type="character" w:customStyle="1" w:styleId="Char0">
    <w:name w:val="页脚 Char"/>
    <w:basedOn w:val="a0"/>
    <w:link w:val="a7"/>
    <w:uiPriority w:val="99"/>
    <w:rsid w:val="00FF751A"/>
    <w:rPr>
      <w:sz w:val="18"/>
      <w:szCs w:val="18"/>
    </w:rPr>
  </w:style>
  <w:style w:type="character" w:styleId="a8">
    <w:name w:val="annotation reference"/>
    <w:uiPriority w:val="99"/>
    <w:rsid w:val="00FF751A"/>
    <w:rPr>
      <w:rFonts w:cs="Times New Roman"/>
      <w:sz w:val="21"/>
      <w:szCs w:val="21"/>
    </w:rPr>
  </w:style>
  <w:style w:type="paragraph" w:styleId="a9">
    <w:name w:val="annotation text"/>
    <w:basedOn w:val="a"/>
    <w:link w:val="Char1"/>
    <w:uiPriority w:val="99"/>
    <w:rsid w:val="00FF751A"/>
    <w:pPr>
      <w:spacing w:after="0" w:line="240" w:lineRule="auto"/>
    </w:pPr>
    <w:rPr>
      <w:rFonts w:ascii="Times New Roman" w:eastAsia="宋体" w:hAnsi="Times New Roman" w:cs="Times New Roman"/>
      <w:sz w:val="24"/>
      <w:szCs w:val="24"/>
      <w:lang w:val="en-US"/>
    </w:rPr>
  </w:style>
  <w:style w:type="character" w:customStyle="1" w:styleId="Char1">
    <w:name w:val="批注文字 Char"/>
    <w:basedOn w:val="a0"/>
    <w:link w:val="a9"/>
    <w:uiPriority w:val="99"/>
    <w:rsid w:val="00FF751A"/>
    <w:rPr>
      <w:rFonts w:ascii="Times New Roman" w:eastAsia="宋体" w:hAnsi="Times New Roman" w:cs="Times New Roman"/>
      <w:sz w:val="24"/>
      <w:szCs w:val="24"/>
      <w:lang w:val="en-US"/>
    </w:rPr>
  </w:style>
  <w:style w:type="paragraph" w:styleId="aa">
    <w:name w:val="Balloon Text"/>
    <w:basedOn w:val="a"/>
    <w:link w:val="Char2"/>
    <w:uiPriority w:val="99"/>
    <w:semiHidden/>
    <w:unhideWhenUsed/>
    <w:rsid w:val="00FF751A"/>
    <w:pPr>
      <w:spacing w:after="0" w:line="240" w:lineRule="auto"/>
    </w:pPr>
    <w:rPr>
      <w:sz w:val="18"/>
      <w:szCs w:val="18"/>
    </w:rPr>
  </w:style>
  <w:style w:type="character" w:customStyle="1" w:styleId="Char2">
    <w:name w:val="批注框文本 Char"/>
    <w:basedOn w:val="a0"/>
    <w:link w:val="aa"/>
    <w:uiPriority w:val="99"/>
    <w:semiHidden/>
    <w:rsid w:val="00FF751A"/>
    <w:rPr>
      <w:sz w:val="18"/>
      <w:szCs w:val="18"/>
    </w:rPr>
  </w:style>
  <w:style w:type="paragraph" w:styleId="ab">
    <w:name w:val="Normal (Web)"/>
    <w:basedOn w:val="a"/>
    <w:uiPriority w:val="99"/>
    <w:unhideWhenUsed/>
    <w:rsid w:val="00FF751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ac">
    <w:name w:val="Strong"/>
    <w:uiPriority w:val="22"/>
    <w:qFormat/>
    <w:rsid w:val="00FF751A"/>
    <w:rPr>
      <w:b/>
      <w:bCs/>
    </w:rPr>
  </w:style>
  <w:style w:type="paragraph" w:styleId="ad">
    <w:name w:val="annotation subject"/>
    <w:basedOn w:val="a9"/>
    <w:next w:val="a9"/>
    <w:link w:val="Char3"/>
    <w:uiPriority w:val="99"/>
    <w:semiHidden/>
    <w:unhideWhenUsed/>
    <w:rsid w:val="00FF751A"/>
    <w:pPr>
      <w:spacing w:after="160" w:line="259" w:lineRule="auto"/>
    </w:pPr>
    <w:rPr>
      <w:rFonts w:asciiTheme="minorHAnsi" w:eastAsiaTheme="minorEastAsia" w:hAnsiTheme="minorHAnsi" w:cstheme="minorBidi"/>
      <w:b/>
      <w:bCs/>
      <w:sz w:val="22"/>
      <w:szCs w:val="22"/>
      <w:lang w:val="en-IE"/>
    </w:rPr>
  </w:style>
  <w:style w:type="character" w:customStyle="1" w:styleId="Char3">
    <w:name w:val="批注主题 Char"/>
    <w:basedOn w:val="Char1"/>
    <w:link w:val="ad"/>
    <w:uiPriority w:val="99"/>
    <w:semiHidden/>
    <w:rsid w:val="00FF751A"/>
    <w:rPr>
      <w:rFonts w:ascii="Times New Roman" w:eastAsia="宋体" w:hAnsi="Times New Roman" w:cs="Times New Roman"/>
      <w:b/>
      <w:bCs/>
      <w:sz w:val="24"/>
      <w:szCs w:val="24"/>
      <w:lang w:val="en-US"/>
    </w:rPr>
  </w:style>
  <w:style w:type="paragraph" w:customStyle="1" w:styleId="p0">
    <w:name w:val="p0"/>
    <w:basedOn w:val="a"/>
    <w:rsid w:val="00FF751A"/>
    <w:pPr>
      <w:spacing w:after="0" w:line="240" w:lineRule="atLeast"/>
    </w:pPr>
    <w:rPr>
      <w:rFonts w:ascii="Century" w:eastAsia="宋体" w:hAnsi="Century" w:cs="宋体"/>
      <w:sz w:val="21"/>
      <w:szCs w:val="21"/>
      <w:lang w:val="en-US" w:eastAsia="zh-CN"/>
    </w:rPr>
  </w:style>
  <w:style w:type="character" w:styleId="ae">
    <w:name w:val="FollowedHyperlink"/>
    <w:basedOn w:val="a0"/>
    <w:uiPriority w:val="99"/>
    <w:semiHidden/>
    <w:unhideWhenUsed/>
    <w:rsid w:val="003722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05216">
      <w:bodyDiv w:val="1"/>
      <w:marLeft w:val="0"/>
      <w:marRight w:val="0"/>
      <w:marTop w:val="0"/>
      <w:marBottom w:val="0"/>
      <w:divBdr>
        <w:top w:val="none" w:sz="0" w:space="0" w:color="auto"/>
        <w:left w:val="none" w:sz="0" w:space="0" w:color="auto"/>
        <w:bottom w:val="none" w:sz="0" w:space="0" w:color="auto"/>
        <w:right w:val="none" w:sz="0" w:space="0" w:color="auto"/>
      </w:divBdr>
      <w:divsChild>
        <w:div w:id="1410078101">
          <w:marLeft w:val="0"/>
          <w:marRight w:val="1"/>
          <w:marTop w:val="0"/>
          <w:marBottom w:val="0"/>
          <w:divBdr>
            <w:top w:val="none" w:sz="0" w:space="0" w:color="auto"/>
            <w:left w:val="none" w:sz="0" w:space="0" w:color="auto"/>
            <w:bottom w:val="none" w:sz="0" w:space="0" w:color="auto"/>
            <w:right w:val="none" w:sz="0" w:space="0" w:color="auto"/>
          </w:divBdr>
          <w:divsChild>
            <w:div w:id="1161577472">
              <w:marLeft w:val="0"/>
              <w:marRight w:val="0"/>
              <w:marTop w:val="0"/>
              <w:marBottom w:val="0"/>
              <w:divBdr>
                <w:top w:val="none" w:sz="0" w:space="0" w:color="auto"/>
                <w:left w:val="none" w:sz="0" w:space="0" w:color="auto"/>
                <w:bottom w:val="none" w:sz="0" w:space="0" w:color="auto"/>
                <w:right w:val="none" w:sz="0" w:space="0" w:color="auto"/>
              </w:divBdr>
              <w:divsChild>
                <w:div w:id="1611204907">
                  <w:marLeft w:val="0"/>
                  <w:marRight w:val="1"/>
                  <w:marTop w:val="0"/>
                  <w:marBottom w:val="0"/>
                  <w:divBdr>
                    <w:top w:val="none" w:sz="0" w:space="0" w:color="auto"/>
                    <w:left w:val="none" w:sz="0" w:space="0" w:color="auto"/>
                    <w:bottom w:val="none" w:sz="0" w:space="0" w:color="auto"/>
                    <w:right w:val="none" w:sz="0" w:space="0" w:color="auto"/>
                  </w:divBdr>
                  <w:divsChild>
                    <w:div w:id="212430828">
                      <w:marLeft w:val="0"/>
                      <w:marRight w:val="0"/>
                      <w:marTop w:val="0"/>
                      <w:marBottom w:val="0"/>
                      <w:divBdr>
                        <w:top w:val="none" w:sz="0" w:space="0" w:color="auto"/>
                        <w:left w:val="none" w:sz="0" w:space="0" w:color="auto"/>
                        <w:bottom w:val="none" w:sz="0" w:space="0" w:color="auto"/>
                        <w:right w:val="none" w:sz="0" w:space="0" w:color="auto"/>
                      </w:divBdr>
                      <w:divsChild>
                        <w:div w:id="100147757">
                          <w:marLeft w:val="0"/>
                          <w:marRight w:val="0"/>
                          <w:marTop w:val="0"/>
                          <w:marBottom w:val="0"/>
                          <w:divBdr>
                            <w:top w:val="none" w:sz="0" w:space="0" w:color="auto"/>
                            <w:left w:val="none" w:sz="0" w:space="0" w:color="auto"/>
                            <w:bottom w:val="none" w:sz="0" w:space="0" w:color="auto"/>
                            <w:right w:val="none" w:sz="0" w:space="0" w:color="auto"/>
                          </w:divBdr>
                          <w:divsChild>
                            <w:div w:id="1150949511">
                              <w:marLeft w:val="0"/>
                              <w:marRight w:val="0"/>
                              <w:marTop w:val="0"/>
                              <w:marBottom w:val="0"/>
                              <w:divBdr>
                                <w:top w:val="none" w:sz="0" w:space="0" w:color="auto"/>
                                <w:left w:val="none" w:sz="0" w:space="0" w:color="auto"/>
                                <w:bottom w:val="none" w:sz="0" w:space="0" w:color="auto"/>
                                <w:right w:val="none" w:sz="0" w:space="0" w:color="auto"/>
                              </w:divBdr>
                            </w:div>
                          </w:divsChild>
                        </w:div>
                        <w:div w:id="31078030">
                          <w:marLeft w:val="0"/>
                          <w:marRight w:val="0"/>
                          <w:marTop w:val="0"/>
                          <w:marBottom w:val="0"/>
                          <w:divBdr>
                            <w:top w:val="none" w:sz="0" w:space="0" w:color="auto"/>
                            <w:left w:val="none" w:sz="0" w:space="0" w:color="auto"/>
                            <w:bottom w:val="none" w:sz="0" w:space="0" w:color="auto"/>
                            <w:right w:val="none" w:sz="0" w:space="0" w:color="auto"/>
                          </w:divBdr>
                          <w:divsChild>
                            <w:div w:id="1338118138">
                              <w:marLeft w:val="0"/>
                              <w:marRight w:val="0"/>
                              <w:marTop w:val="120"/>
                              <w:marBottom w:val="360"/>
                              <w:divBdr>
                                <w:top w:val="none" w:sz="0" w:space="0" w:color="auto"/>
                                <w:left w:val="none" w:sz="0" w:space="0" w:color="auto"/>
                                <w:bottom w:val="none" w:sz="0" w:space="0" w:color="auto"/>
                                <w:right w:val="none" w:sz="0" w:space="0" w:color="auto"/>
                              </w:divBdr>
                              <w:divsChild>
                                <w:div w:id="631794325">
                                  <w:marLeft w:val="0"/>
                                  <w:marRight w:val="0"/>
                                  <w:marTop w:val="0"/>
                                  <w:marBottom w:val="0"/>
                                  <w:divBdr>
                                    <w:top w:val="none" w:sz="0" w:space="0" w:color="auto"/>
                                    <w:left w:val="none" w:sz="0" w:space="0" w:color="auto"/>
                                    <w:bottom w:val="none" w:sz="0" w:space="0" w:color="auto"/>
                                    <w:right w:val="none" w:sz="0" w:space="0" w:color="auto"/>
                                  </w:divBdr>
                                </w:div>
                                <w:div w:id="19365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774774">
      <w:bodyDiv w:val="1"/>
      <w:marLeft w:val="0"/>
      <w:marRight w:val="0"/>
      <w:marTop w:val="0"/>
      <w:marBottom w:val="0"/>
      <w:divBdr>
        <w:top w:val="none" w:sz="0" w:space="0" w:color="auto"/>
        <w:left w:val="none" w:sz="0" w:space="0" w:color="auto"/>
        <w:bottom w:val="none" w:sz="0" w:space="0" w:color="auto"/>
        <w:right w:val="none" w:sz="0" w:space="0" w:color="auto"/>
      </w:divBdr>
      <w:divsChild>
        <w:div w:id="1496073396">
          <w:marLeft w:val="0"/>
          <w:marRight w:val="1"/>
          <w:marTop w:val="0"/>
          <w:marBottom w:val="0"/>
          <w:divBdr>
            <w:top w:val="none" w:sz="0" w:space="0" w:color="auto"/>
            <w:left w:val="none" w:sz="0" w:space="0" w:color="auto"/>
            <w:bottom w:val="none" w:sz="0" w:space="0" w:color="auto"/>
            <w:right w:val="none" w:sz="0" w:space="0" w:color="auto"/>
          </w:divBdr>
          <w:divsChild>
            <w:div w:id="1364743590">
              <w:marLeft w:val="0"/>
              <w:marRight w:val="0"/>
              <w:marTop w:val="0"/>
              <w:marBottom w:val="0"/>
              <w:divBdr>
                <w:top w:val="none" w:sz="0" w:space="0" w:color="auto"/>
                <w:left w:val="none" w:sz="0" w:space="0" w:color="auto"/>
                <w:bottom w:val="none" w:sz="0" w:space="0" w:color="auto"/>
                <w:right w:val="none" w:sz="0" w:space="0" w:color="auto"/>
              </w:divBdr>
              <w:divsChild>
                <w:div w:id="2056158579">
                  <w:marLeft w:val="0"/>
                  <w:marRight w:val="1"/>
                  <w:marTop w:val="0"/>
                  <w:marBottom w:val="0"/>
                  <w:divBdr>
                    <w:top w:val="none" w:sz="0" w:space="0" w:color="auto"/>
                    <w:left w:val="none" w:sz="0" w:space="0" w:color="auto"/>
                    <w:bottom w:val="none" w:sz="0" w:space="0" w:color="auto"/>
                    <w:right w:val="none" w:sz="0" w:space="0" w:color="auto"/>
                  </w:divBdr>
                  <w:divsChild>
                    <w:div w:id="1702969185">
                      <w:marLeft w:val="0"/>
                      <w:marRight w:val="0"/>
                      <w:marTop w:val="0"/>
                      <w:marBottom w:val="0"/>
                      <w:divBdr>
                        <w:top w:val="none" w:sz="0" w:space="0" w:color="auto"/>
                        <w:left w:val="none" w:sz="0" w:space="0" w:color="auto"/>
                        <w:bottom w:val="none" w:sz="0" w:space="0" w:color="auto"/>
                        <w:right w:val="none" w:sz="0" w:space="0" w:color="auto"/>
                      </w:divBdr>
                      <w:divsChild>
                        <w:div w:id="1518928777">
                          <w:marLeft w:val="0"/>
                          <w:marRight w:val="0"/>
                          <w:marTop w:val="0"/>
                          <w:marBottom w:val="0"/>
                          <w:divBdr>
                            <w:top w:val="none" w:sz="0" w:space="0" w:color="auto"/>
                            <w:left w:val="none" w:sz="0" w:space="0" w:color="auto"/>
                            <w:bottom w:val="none" w:sz="0" w:space="0" w:color="auto"/>
                            <w:right w:val="none" w:sz="0" w:space="0" w:color="auto"/>
                          </w:divBdr>
                          <w:divsChild>
                            <w:div w:id="1502891332">
                              <w:marLeft w:val="0"/>
                              <w:marRight w:val="0"/>
                              <w:marTop w:val="0"/>
                              <w:marBottom w:val="0"/>
                              <w:divBdr>
                                <w:top w:val="none" w:sz="0" w:space="0" w:color="auto"/>
                                <w:left w:val="none" w:sz="0" w:space="0" w:color="auto"/>
                                <w:bottom w:val="none" w:sz="0" w:space="0" w:color="auto"/>
                                <w:right w:val="none" w:sz="0" w:space="0" w:color="auto"/>
                              </w:divBdr>
                            </w:div>
                          </w:divsChild>
                        </w:div>
                        <w:div w:id="928655906">
                          <w:marLeft w:val="0"/>
                          <w:marRight w:val="0"/>
                          <w:marTop w:val="0"/>
                          <w:marBottom w:val="0"/>
                          <w:divBdr>
                            <w:top w:val="none" w:sz="0" w:space="0" w:color="auto"/>
                            <w:left w:val="none" w:sz="0" w:space="0" w:color="auto"/>
                            <w:bottom w:val="none" w:sz="0" w:space="0" w:color="auto"/>
                            <w:right w:val="none" w:sz="0" w:space="0" w:color="auto"/>
                          </w:divBdr>
                          <w:divsChild>
                            <w:div w:id="1352874910">
                              <w:marLeft w:val="0"/>
                              <w:marRight w:val="0"/>
                              <w:marTop w:val="120"/>
                              <w:marBottom w:val="360"/>
                              <w:divBdr>
                                <w:top w:val="none" w:sz="0" w:space="0" w:color="auto"/>
                                <w:left w:val="none" w:sz="0" w:space="0" w:color="auto"/>
                                <w:bottom w:val="none" w:sz="0" w:space="0" w:color="auto"/>
                                <w:right w:val="none" w:sz="0" w:space="0" w:color="auto"/>
                              </w:divBdr>
                              <w:divsChild>
                                <w:div w:id="478574748">
                                  <w:marLeft w:val="0"/>
                                  <w:marRight w:val="0"/>
                                  <w:marTop w:val="0"/>
                                  <w:marBottom w:val="0"/>
                                  <w:divBdr>
                                    <w:top w:val="none" w:sz="0" w:space="0" w:color="auto"/>
                                    <w:left w:val="none" w:sz="0" w:space="0" w:color="auto"/>
                                    <w:bottom w:val="none" w:sz="0" w:space="0" w:color="auto"/>
                                    <w:right w:val="none" w:sz="0" w:space="0" w:color="auto"/>
                                  </w:divBdr>
                                </w:div>
                                <w:div w:id="9122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140072">
      <w:bodyDiv w:val="1"/>
      <w:marLeft w:val="0"/>
      <w:marRight w:val="0"/>
      <w:marTop w:val="0"/>
      <w:marBottom w:val="0"/>
      <w:divBdr>
        <w:top w:val="none" w:sz="0" w:space="0" w:color="auto"/>
        <w:left w:val="none" w:sz="0" w:space="0" w:color="auto"/>
        <w:bottom w:val="none" w:sz="0" w:space="0" w:color="auto"/>
        <w:right w:val="none" w:sz="0" w:space="0" w:color="auto"/>
      </w:divBdr>
      <w:divsChild>
        <w:div w:id="576867532">
          <w:marLeft w:val="0"/>
          <w:marRight w:val="1"/>
          <w:marTop w:val="0"/>
          <w:marBottom w:val="0"/>
          <w:divBdr>
            <w:top w:val="none" w:sz="0" w:space="0" w:color="auto"/>
            <w:left w:val="none" w:sz="0" w:space="0" w:color="auto"/>
            <w:bottom w:val="none" w:sz="0" w:space="0" w:color="auto"/>
            <w:right w:val="none" w:sz="0" w:space="0" w:color="auto"/>
          </w:divBdr>
          <w:divsChild>
            <w:div w:id="833107502">
              <w:marLeft w:val="0"/>
              <w:marRight w:val="0"/>
              <w:marTop w:val="0"/>
              <w:marBottom w:val="0"/>
              <w:divBdr>
                <w:top w:val="none" w:sz="0" w:space="0" w:color="auto"/>
                <w:left w:val="none" w:sz="0" w:space="0" w:color="auto"/>
                <w:bottom w:val="none" w:sz="0" w:space="0" w:color="auto"/>
                <w:right w:val="none" w:sz="0" w:space="0" w:color="auto"/>
              </w:divBdr>
              <w:divsChild>
                <w:div w:id="1217163860">
                  <w:marLeft w:val="0"/>
                  <w:marRight w:val="1"/>
                  <w:marTop w:val="0"/>
                  <w:marBottom w:val="0"/>
                  <w:divBdr>
                    <w:top w:val="none" w:sz="0" w:space="0" w:color="auto"/>
                    <w:left w:val="none" w:sz="0" w:space="0" w:color="auto"/>
                    <w:bottom w:val="none" w:sz="0" w:space="0" w:color="auto"/>
                    <w:right w:val="none" w:sz="0" w:space="0" w:color="auto"/>
                  </w:divBdr>
                  <w:divsChild>
                    <w:div w:id="747771313">
                      <w:marLeft w:val="0"/>
                      <w:marRight w:val="0"/>
                      <w:marTop w:val="0"/>
                      <w:marBottom w:val="0"/>
                      <w:divBdr>
                        <w:top w:val="none" w:sz="0" w:space="0" w:color="auto"/>
                        <w:left w:val="none" w:sz="0" w:space="0" w:color="auto"/>
                        <w:bottom w:val="none" w:sz="0" w:space="0" w:color="auto"/>
                        <w:right w:val="none" w:sz="0" w:space="0" w:color="auto"/>
                      </w:divBdr>
                      <w:divsChild>
                        <w:div w:id="1691951284">
                          <w:marLeft w:val="0"/>
                          <w:marRight w:val="0"/>
                          <w:marTop w:val="0"/>
                          <w:marBottom w:val="0"/>
                          <w:divBdr>
                            <w:top w:val="none" w:sz="0" w:space="0" w:color="auto"/>
                            <w:left w:val="none" w:sz="0" w:space="0" w:color="auto"/>
                            <w:bottom w:val="none" w:sz="0" w:space="0" w:color="auto"/>
                            <w:right w:val="none" w:sz="0" w:space="0" w:color="auto"/>
                          </w:divBdr>
                          <w:divsChild>
                            <w:div w:id="299919473">
                              <w:marLeft w:val="0"/>
                              <w:marRight w:val="0"/>
                              <w:marTop w:val="120"/>
                              <w:marBottom w:val="360"/>
                              <w:divBdr>
                                <w:top w:val="none" w:sz="0" w:space="0" w:color="auto"/>
                                <w:left w:val="none" w:sz="0" w:space="0" w:color="auto"/>
                                <w:bottom w:val="none" w:sz="0" w:space="0" w:color="auto"/>
                                <w:right w:val="none" w:sz="0" w:space="0" w:color="auto"/>
                              </w:divBdr>
                              <w:divsChild>
                                <w:div w:id="1860389116">
                                  <w:marLeft w:val="0"/>
                                  <w:marRight w:val="0"/>
                                  <w:marTop w:val="0"/>
                                  <w:marBottom w:val="0"/>
                                  <w:divBdr>
                                    <w:top w:val="none" w:sz="0" w:space="0" w:color="auto"/>
                                    <w:left w:val="none" w:sz="0" w:space="0" w:color="auto"/>
                                    <w:bottom w:val="none" w:sz="0" w:space="0" w:color="auto"/>
                                    <w:right w:val="none" w:sz="0" w:space="0" w:color="auto"/>
                                  </w:divBdr>
                                  <w:divsChild>
                                    <w:div w:id="63853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438211">
      <w:bodyDiv w:val="1"/>
      <w:marLeft w:val="0"/>
      <w:marRight w:val="0"/>
      <w:marTop w:val="0"/>
      <w:marBottom w:val="0"/>
      <w:divBdr>
        <w:top w:val="none" w:sz="0" w:space="0" w:color="auto"/>
        <w:left w:val="none" w:sz="0" w:space="0" w:color="auto"/>
        <w:bottom w:val="none" w:sz="0" w:space="0" w:color="auto"/>
        <w:right w:val="none" w:sz="0" w:space="0" w:color="auto"/>
      </w:divBdr>
      <w:divsChild>
        <w:div w:id="1408112881">
          <w:marLeft w:val="0"/>
          <w:marRight w:val="1"/>
          <w:marTop w:val="0"/>
          <w:marBottom w:val="0"/>
          <w:divBdr>
            <w:top w:val="none" w:sz="0" w:space="0" w:color="auto"/>
            <w:left w:val="none" w:sz="0" w:space="0" w:color="auto"/>
            <w:bottom w:val="none" w:sz="0" w:space="0" w:color="auto"/>
            <w:right w:val="none" w:sz="0" w:space="0" w:color="auto"/>
          </w:divBdr>
          <w:divsChild>
            <w:div w:id="354966286">
              <w:marLeft w:val="0"/>
              <w:marRight w:val="0"/>
              <w:marTop w:val="0"/>
              <w:marBottom w:val="0"/>
              <w:divBdr>
                <w:top w:val="none" w:sz="0" w:space="0" w:color="auto"/>
                <w:left w:val="none" w:sz="0" w:space="0" w:color="auto"/>
                <w:bottom w:val="none" w:sz="0" w:space="0" w:color="auto"/>
                <w:right w:val="none" w:sz="0" w:space="0" w:color="auto"/>
              </w:divBdr>
              <w:divsChild>
                <w:div w:id="1205943427">
                  <w:marLeft w:val="0"/>
                  <w:marRight w:val="1"/>
                  <w:marTop w:val="0"/>
                  <w:marBottom w:val="0"/>
                  <w:divBdr>
                    <w:top w:val="none" w:sz="0" w:space="0" w:color="auto"/>
                    <w:left w:val="none" w:sz="0" w:space="0" w:color="auto"/>
                    <w:bottom w:val="none" w:sz="0" w:space="0" w:color="auto"/>
                    <w:right w:val="none" w:sz="0" w:space="0" w:color="auto"/>
                  </w:divBdr>
                  <w:divsChild>
                    <w:div w:id="724717542">
                      <w:marLeft w:val="0"/>
                      <w:marRight w:val="0"/>
                      <w:marTop w:val="0"/>
                      <w:marBottom w:val="0"/>
                      <w:divBdr>
                        <w:top w:val="none" w:sz="0" w:space="0" w:color="auto"/>
                        <w:left w:val="none" w:sz="0" w:space="0" w:color="auto"/>
                        <w:bottom w:val="none" w:sz="0" w:space="0" w:color="auto"/>
                        <w:right w:val="none" w:sz="0" w:space="0" w:color="auto"/>
                      </w:divBdr>
                      <w:divsChild>
                        <w:div w:id="395782021">
                          <w:marLeft w:val="0"/>
                          <w:marRight w:val="0"/>
                          <w:marTop w:val="0"/>
                          <w:marBottom w:val="0"/>
                          <w:divBdr>
                            <w:top w:val="none" w:sz="0" w:space="0" w:color="auto"/>
                            <w:left w:val="none" w:sz="0" w:space="0" w:color="auto"/>
                            <w:bottom w:val="none" w:sz="0" w:space="0" w:color="auto"/>
                            <w:right w:val="none" w:sz="0" w:space="0" w:color="auto"/>
                          </w:divBdr>
                          <w:divsChild>
                            <w:div w:id="262493110">
                              <w:marLeft w:val="0"/>
                              <w:marRight w:val="0"/>
                              <w:marTop w:val="120"/>
                              <w:marBottom w:val="360"/>
                              <w:divBdr>
                                <w:top w:val="none" w:sz="0" w:space="0" w:color="auto"/>
                                <w:left w:val="none" w:sz="0" w:space="0" w:color="auto"/>
                                <w:bottom w:val="none" w:sz="0" w:space="0" w:color="auto"/>
                                <w:right w:val="none" w:sz="0" w:space="0" w:color="auto"/>
                              </w:divBdr>
                              <w:divsChild>
                                <w:div w:id="171798663">
                                  <w:marLeft w:val="0"/>
                                  <w:marRight w:val="0"/>
                                  <w:marTop w:val="0"/>
                                  <w:marBottom w:val="0"/>
                                  <w:divBdr>
                                    <w:top w:val="none" w:sz="0" w:space="0" w:color="auto"/>
                                    <w:left w:val="none" w:sz="0" w:space="0" w:color="auto"/>
                                    <w:bottom w:val="none" w:sz="0" w:space="0" w:color="auto"/>
                                    <w:right w:val="none" w:sz="0" w:space="0" w:color="auto"/>
                                  </w:divBdr>
                                  <w:divsChild>
                                    <w:div w:id="15532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8FCA4-5AD0-4FCC-BD7D-8160C8FDF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9869</Words>
  <Characters>56254</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AMNCH</dc:creator>
  <cp:lastModifiedBy>qiyuan</cp:lastModifiedBy>
  <cp:revision>4</cp:revision>
  <dcterms:created xsi:type="dcterms:W3CDTF">2016-06-02T05:11:00Z</dcterms:created>
  <dcterms:modified xsi:type="dcterms:W3CDTF">2016-06-02T06:08:00Z</dcterms:modified>
</cp:coreProperties>
</file>