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39BE" w:rsidRPr="00FB2116" w:rsidRDefault="003C39BE" w:rsidP="003B0F97">
      <w:pPr>
        <w:adjustRightInd w:val="0"/>
        <w:snapToGrid w:val="0"/>
        <w:spacing w:after="0" w:line="360" w:lineRule="auto"/>
        <w:rPr>
          <w:rFonts w:ascii="Book Antiqua" w:hAnsi="Book Antiqua" w:cs="Arial"/>
          <w:b/>
          <w:color w:val="222222"/>
          <w:sz w:val="24"/>
          <w:szCs w:val="24"/>
          <w:shd w:val="clear" w:color="auto" w:fill="FFFFFF"/>
          <w:lang w:val="en-US"/>
        </w:rPr>
      </w:pPr>
      <w:r w:rsidRPr="00FB2116">
        <w:rPr>
          <w:rFonts w:ascii="Book Antiqua" w:hAnsi="Book Antiqua" w:cs="Arial"/>
          <w:b/>
          <w:color w:val="222222"/>
          <w:sz w:val="24"/>
          <w:szCs w:val="24"/>
          <w:shd w:val="clear" w:color="auto" w:fill="FFFFFF"/>
          <w:lang w:val="en-US"/>
        </w:rPr>
        <w:t>Name of Journal: World Journal of Gastroenterology</w:t>
      </w:r>
    </w:p>
    <w:p w:rsidR="003C39BE" w:rsidRPr="00FB2116" w:rsidRDefault="003C39BE" w:rsidP="003B0F97">
      <w:pPr>
        <w:adjustRightInd w:val="0"/>
        <w:snapToGrid w:val="0"/>
        <w:spacing w:after="0" w:line="360" w:lineRule="auto"/>
        <w:rPr>
          <w:rFonts w:ascii="Book Antiqua" w:hAnsi="Book Antiqua" w:cs="Arial"/>
          <w:b/>
          <w:color w:val="222222"/>
          <w:sz w:val="24"/>
          <w:szCs w:val="24"/>
          <w:shd w:val="clear" w:color="auto" w:fill="FFFFFF"/>
          <w:lang w:val="en-US"/>
        </w:rPr>
      </w:pPr>
      <w:r w:rsidRPr="00FB2116">
        <w:rPr>
          <w:rFonts w:ascii="Book Antiqua" w:hAnsi="Book Antiqua" w:cs="Arial"/>
          <w:b/>
          <w:color w:val="222222"/>
          <w:sz w:val="24"/>
          <w:szCs w:val="24"/>
          <w:shd w:val="clear" w:color="auto" w:fill="FFFFFF"/>
          <w:lang w:val="en-US"/>
        </w:rPr>
        <w:t>ESPS Manuscript NO: 25780</w:t>
      </w:r>
    </w:p>
    <w:p w:rsidR="003C39BE" w:rsidRPr="00FB2116" w:rsidRDefault="003C39BE" w:rsidP="003B0F97">
      <w:pPr>
        <w:adjustRightInd w:val="0"/>
        <w:snapToGrid w:val="0"/>
        <w:spacing w:after="0" w:line="360" w:lineRule="auto"/>
        <w:rPr>
          <w:rFonts w:ascii="Book Antiqua" w:hAnsi="Book Antiqua" w:cs="Arial"/>
          <w:b/>
          <w:color w:val="222222"/>
          <w:sz w:val="24"/>
          <w:szCs w:val="24"/>
          <w:shd w:val="clear" w:color="auto" w:fill="FFFFFF"/>
          <w:lang w:val="en-US"/>
        </w:rPr>
      </w:pPr>
      <w:r w:rsidRPr="00FB2116">
        <w:rPr>
          <w:rFonts w:ascii="Book Antiqua" w:hAnsi="Book Antiqua" w:cs="Arial"/>
          <w:b/>
          <w:color w:val="222222"/>
          <w:sz w:val="24"/>
          <w:szCs w:val="24"/>
          <w:shd w:val="clear" w:color="auto" w:fill="FFFFFF"/>
          <w:lang w:val="en-US"/>
        </w:rPr>
        <w:t>Manuscript Type: ORIGINAL ARTICLE</w:t>
      </w:r>
    </w:p>
    <w:p w:rsidR="003C39BE" w:rsidRPr="00FB2116" w:rsidRDefault="003C39BE" w:rsidP="003B0F97">
      <w:pPr>
        <w:pStyle w:val="Heading2"/>
        <w:keepNext w:val="0"/>
        <w:widowControl w:val="0"/>
        <w:adjustRightInd w:val="0"/>
        <w:snapToGrid w:val="0"/>
        <w:spacing w:line="360" w:lineRule="auto"/>
        <w:jc w:val="both"/>
        <w:rPr>
          <w:rFonts w:ascii="Book Antiqua" w:eastAsiaTheme="minorEastAsia" w:hAnsi="Book Antiqua" w:cs="Arial"/>
          <w:i/>
          <w:lang w:val="en-US" w:eastAsia="zh-CN"/>
        </w:rPr>
      </w:pPr>
      <w:r w:rsidRPr="003310E2">
        <w:rPr>
          <w:rFonts w:ascii="Book Antiqua" w:hAnsi="Book Antiqua"/>
          <w:i/>
          <w:lang w:val="en-US"/>
        </w:rPr>
        <w:t>Case Control Study</w:t>
      </w:r>
    </w:p>
    <w:p w:rsidR="003C39BE" w:rsidRPr="003310E2" w:rsidRDefault="003C39BE" w:rsidP="003B0F97">
      <w:pPr>
        <w:widowControl w:val="0"/>
        <w:adjustRightInd w:val="0"/>
        <w:snapToGrid w:val="0"/>
        <w:spacing w:after="0" w:line="360" w:lineRule="auto"/>
        <w:rPr>
          <w:rFonts w:ascii="Book Antiqua" w:hAnsi="Book Antiqua"/>
          <w:sz w:val="24"/>
          <w:szCs w:val="24"/>
          <w:lang w:val="en-US" w:eastAsia="zh-CN"/>
        </w:rPr>
      </w:pPr>
    </w:p>
    <w:p w:rsidR="003C39BE" w:rsidRPr="003310E2" w:rsidRDefault="003C39BE" w:rsidP="003B0F97">
      <w:pPr>
        <w:pStyle w:val="Heading2"/>
        <w:keepNext w:val="0"/>
        <w:widowControl w:val="0"/>
        <w:adjustRightInd w:val="0"/>
        <w:snapToGrid w:val="0"/>
        <w:spacing w:line="360" w:lineRule="auto"/>
        <w:jc w:val="both"/>
        <w:rPr>
          <w:rFonts w:ascii="Book Antiqua" w:hAnsi="Book Antiqua" w:cs="Arial"/>
          <w:b w:val="0"/>
          <w:lang w:val="en-US"/>
        </w:rPr>
      </w:pPr>
      <w:r w:rsidRPr="003310E2">
        <w:rPr>
          <w:rFonts w:ascii="Book Antiqua" w:hAnsi="Book Antiqua" w:cs="Arial"/>
          <w:lang w:val="en-US"/>
        </w:rPr>
        <w:t>Immunohistochemistry panel segregates molecular types of hepatocellular carcinoma in Brazilian autopsy cases</w:t>
      </w:r>
    </w:p>
    <w:p w:rsidR="003C39BE" w:rsidRPr="003310E2" w:rsidRDefault="003C39BE" w:rsidP="003B0F97">
      <w:pPr>
        <w:adjustRightInd w:val="0"/>
        <w:snapToGrid w:val="0"/>
        <w:spacing w:after="0" w:line="360" w:lineRule="auto"/>
        <w:jc w:val="both"/>
        <w:rPr>
          <w:rFonts w:ascii="Book Antiqua" w:hAnsi="Book Antiqua"/>
          <w:sz w:val="24"/>
          <w:szCs w:val="24"/>
          <w:lang w:val="en-US"/>
        </w:rPr>
      </w:pPr>
    </w:p>
    <w:p w:rsidR="003C39BE" w:rsidRPr="00FB2116" w:rsidRDefault="003C39BE" w:rsidP="003B0F97">
      <w:pPr>
        <w:adjustRightInd w:val="0"/>
        <w:snapToGrid w:val="0"/>
        <w:spacing w:after="0" w:line="360" w:lineRule="auto"/>
        <w:jc w:val="both"/>
        <w:rPr>
          <w:rFonts w:ascii="Book Antiqua" w:hAnsi="Book Antiqua"/>
          <w:i/>
          <w:sz w:val="24"/>
          <w:szCs w:val="24"/>
        </w:rPr>
      </w:pPr>
      <w:r w:rsidRPr="003E1884">
        <w:rPr>
          <w:rFonts w:ascii="Book Antiqua" w:hAnsi="Book Antiqua"/>
          <w:sz w:val="24"/>
          <w:szCs w:val="24"/>
        </w:rPr>
        <w:t xml:space="preserve">Felipe-Silva A </w:t>
      </w:r>
      <w:r w:rsidRPr="003E1884">
        <w:rPr>
          <w:rFonts w:ascii="Book Antiqua" w:hAnsi="Book Antiqua"/>
          <w:i/>
          <w:sz w:val="24"/>
          <w:szCs w:val="24"/>
        </w:rPr>
        <w:t>et al</w:t>
      </w:r>
      <w:r w:rsidRPr="003E1884">
        <w:rPr>
          <w:rFonts w:ascii="Book Antiqua" w:hAnsi="Book Antiqua"/>
          <w:sz w:val="24"/>
          <w:szCs w:val="24"/>
        </w:rPr>
        <w:t xml:space="preserve">. </w:t>
      </w:r>
      <w:r w:rsidRPr="00FB2116">
        <w:rPr>
          <w:rFonts w:ascii="Book Antiqua" w:hAnsi="Book Antiqua"/>
          <w:sz w:val="24"/>
          <w:szCs w:val="24"/>
        </w:rPr>
        <w:t>Immunohistochemistry in HCC: Brazilian autopsies</w:t>
      </w:r>
    </w:p>
    <w:p w:rsidR="003C39BE" w:rsidRPr="00FB2116" w:rsidRDefault="003C39BE" w:rsidP="003B0F97">
      <w:pPr>
        <w:adjustRightInd w:val="0"/>
        <w:snapToGrid w:val="0"/>
        <w:spacing w:after="0" w:line="360" w:lineRule="auto"/>
        <w:jc w:val="both"/>
        <w:rPr>
          <w:rFonts w:ascii="Book Antiqua" w:hAnsi="Book Antiqua"/>
          <w:sz w:val="24"/>
          <w:szCs w:val="24"/>
        </w:rPr>
      </w:pPr>
    </w:p>
    <w:p w:rsidR="003C39BE" w:rsidRPr="00FB2116" w:rsidRDefault="003C39BE" w:rsidP="003B0F97">
      <w:pPr>
        <w:adjustRightInd w:val="0"/>
        <w:snapToGrid w:val="0"/>
        <w:spacing w:after="0" w:line="360" w:lineRule="auto"/>
        <w:jc w:val="both"/>
        <w:rPr>
          <w:rFonts w:ascii="Book Antiqua" w:hAnsi="Book Antiqua"/>
          <w:sz w:val="24"/>
          <w:szCs w:val="24"/>
        </w:rPr>
      </w:pPr>
      <w:r w:rsidRPr="00FB2116">
        <w:rPr>
          <w:rFonts w:ascii="Book Antiqua" w:hAnsi="Book Antiqua"/>
          <w:bCs/>
          <w:sz w:val="24"/>
          <w:szCs w:val="24"/>
        </w:rPr>
        <w:t>Aloísio Felipe-Silva, Alda Wakamatsu, Cinthya dos Santos Cirqueira,</w:t>
      </w:r>
      <w:r w:rsidRPr="00FB2116">
        <w:rPr>
          <w:rFonts w:ascii="Book Antiqua" w:hAnsi="Book Antiqua"/>
          <w:sz w:val="24"/>
          <w:szCs w:val="24"/>
        </w:rPr>
        <w:t xml:space="preserve"> </w:t>
      </w:r>
      <w:r w:rsidRPr="00FB2116">
        <w:rPr>
          <w:rFonts w:ascii="Book Antiqua" w:hAnsi="Book Antiqua" w:cs="Arial"/>
          <w:sz w:val="24"/>
          <w:szCs w:val="24"/>
        </w:rPr>
        <w:t>Venâncio Avancini Ferreira Alves</w:t>
      </w:r>
    </w:p>
    <w:p w:rsidR="003C39BE" w:rsidRPr="00FB2116" w:rsidRDefault="003C39BE" w:rsidP="003B0F97">
      <w:pPr>
        <w:adjustRightInd w:val="0"/>
        <w:snapToGrid w:val="0"/>
        <w:spacing w:after="0" w:line="360" w:lineRule="auto"/>
        <w:jc w:val="both"/>
        <w:rPr>
          <w:rFonts w:ascii="Book Antiqua" w:hAnsi="Book Antiqua"/>
          <w:b/>
          <w:sz w:val="24"/>
          <w:szCs w:val="24"/>
          <w:lang w:eastAsia="zh-CN"/>
        </w:rPr>
      </w:pPr>
    </w:p>
    <w:p w:rsidR="003C39BE" w:rsidRPr="00FB2116" w:rsidRDefault="003C39BE" w:rsidP="003B0F97">
      <w:pPr>
        <w:adjustRightInd w:val="0"/>
        <w:snapToGrid w:val="0"/>
        <w:spacing w:after="0" w:line="360" w:lineRule="auto"/>
        <w:jc w:val="both"/>
        <w:rPr>
          <w:rFonts w:ascii="Book Antiqua" w:hAnsi="Book Antiqua" w:cs="Arial"/>
          <w:sz w:val="24"/>
          <w:szCs w:val="24"/>
          <w:shd w:val="clear" w:color="auto" w:fill="FFFFFF"/>
          <w:lang w:eastAsia="zh-CN"/>
        </w:rPr>
      </w:pPr>
      <w:r w:rsidRPr="00FB2116">
        <w:rPr>
          <w:rFonts w:ascii="Book Antiqua" w:hAnsi="Book Antiqua"/>
          <w:b/>
          <w:bCs/>
          <w:sz w:val="24"/>
          <w:szCs w:val="24"/>
        </w:rPr>
        <w:t>Aloísio Felipe-Silva,</w:t>
      </w:r>
      <w:r w:rsidRPr="00FB2116">
        <w:rPr>
          <w:rFonts w:ascii="Book Antiqua" w:hAnsi="Book Antiqua" w:cs="Arial"/>
          <w:b/>
          <w:bCs/>
          <w:sz w:val="24"/>
          <w:szCs w:val="24"/>
          <w:shd w:val="clear" w:color="auto" w:fill="FFFFFF"/>
        </w:rPr>
        <w:t xml:space="preserve"> </w:t>
      </w:r>
      <w:r w:rsidRPr="00FB2116">
        <w:rPr>
          <w:rFonts w:ascii="Book Antiqua" w:hAnsi="Book Antiqua" w:cs="Arial"/>
          <w:bCs/>
          <w:sz w:val="24"/>
          <w:szCs w:val="24"/>
          <w:shd w:val="clear" w:color="auto" w:fill="FFFFFF"/>
        </w:rPr>
        <w:t>LIM 14–Patologia Hepática,</w:t>
      </w:r>
      <w:r w:rsidRPr="00FB2116">
        <w:rPr>
          <w:rFonts w:ascii="Book Antiqua" w:hAnsi="Book Antiqua" w:cs="Arial"/>
          <w:sz w:val="24"/>
          <w:szCs w:val="24"/>
          <w:shd w:val="clear" w:color="auto" w:fill="FFFFFF"/>
        </w:rPr>
        <w:t xml:space="preserve"> Faculdade de Medicina da USP, 01246-903 São Paulo SP, Brazil</w:t>
      </w:r>
    </w:p>
    <w:p w:rsidR="003C39BE" w:rsidRPr="00FB2116" w:rsidRDefault="003C39BE" w:rsidP="003B0F97">
      <w:pPr>
        <w:adjustRightInd w:val="0"/>
        <w:snapToGrid w:val="0"/>
        <w:spacing w:after="0" w:line="360" w:lineRule="auto"/>
        <w:jc w:val="both"/>
        <w:rPr>
          <w:rFonts w:ascii="Book Antiqua" w:hAnsi="Book Antiqua"/>
          <w:b/>
          <w:sz w:val="24"/>
          <w:szCs w:val="24"/>
          <w:lang w:eastAsia="zh-CN"/>
        </w:rPr>
      </w:pPr>
    </w:p>
    <w:p w:rsidR="003C39BE" w:rsidRPr="00FB2116" w:rsidRDefault="003C39BE" w:rsidP="003B0F97">
      <w:pPr>
        <w:adjustRightInd w:val="0"/>
        <w:snapToGrid w:val="0"/>
        <w:spacing w:after="0" w:line="360" w:lineRule="auto"/>
        <w:jc w:val="both"/>
        <w:rPr>
          <w:rFonts w:ascii="Book Antiqua" w:hAnsi="Book Antiqua" w:cs="Arial"/>
          <w:i/>
          <w:iCs/>
          <w:sz w:val="24"/>
          <w:szCs w:val="24"/>
        </w:rPr>
      </w:pPr>
      <w:r w:rsidRPr="00FB2116">
        <w:rPr>
          <w:rFonts w:ascii="Book Antiqua" w:hAnsi="Book Antiqua"/>
          <w:b/>
          <w:bCs/>
          <w:sz w:val="24"/>
          <w:szCs w:val="24"/>
        </w:rPr>
        <w:t>Aloísio Felipe-Silva, Alda Wakamatsu, Cinthya dos Santos Cirqueira,</w:t>
      </w:r>
      <w:r w:rsidRPr="00FB2116">
        <w:rPr>
          <w:rFonts w:ascii="Book Antiqua" w:hAnsi="Book Antiqua"/>
          <w:b/>
          <w:sz w:val="24"/>
          <w:szCs w:val="24"/>
        </w:rPr>
        <w:t xml:space="preserve"> </w:t>
      </w:r>
      <w:r w:rsidRPr="00FB2116">
        <w:rPr>
          <w:rFonts w:ascii="Book Antiqua" w:hAnsi="Book Antiqua" w:cs="Arial"/>
          <w:b/>
          <w:sz w:val="24"/>
          <w:szCs w:val="24"/>
        </w:rPr>
        <w:t>Venâncio Avancini Ferreira Alves,</w:t>
      </w:r>
      <w:r w:rsidRPr="00FB2116">
        <w:rPr>
          <w:rFonts w:ascii="Book Antiqua" w:hAnsi="Book Antiqua" w:cs="Arial"/>
          <w:i/>
          <w:iCs/>
          <w:sz w:val="24"/>
          <w:szCs w:val="24"/>
          <w:vertAlign w:val="superscript"/>
        </w:rPr>
        <w:t xml:space="preserve"> </w:t>
      </w:r>
      <w:r w:rsidRPr="00FB2116">
        <w:rPr>
          <w:rFonts w:ascii="Book Antiqua" w:hAnsi="Book Antiqua" w:cs="Arial"/>
          <w:iCs/>
          <w:sz w:val="24"/>
          <w:szCs w:val="24"/>
        </w:rPr>
        <w:t xml:space="preserve">Medical Research Laboratory LIM14, Department of Pathology, University of Sao Paulo School Of Medicine, </w:t>
      </w:r>
      <w:r w:rsidRPr="00FB2116">
        <w:rPr>
          <w:rFonts w:ascii="Book Antiqua" w:hAnsi="Book Antiqua" w:cs="Arial"/>
          <w:sz w:val="24"/>
          <w:szCs w:val="24"/>
          <w:shd w:val="clear" w:color="auto" w:fill="FFFFFF"/>
        </w:rPr>
        <w:t>01246-903 São Paulo SP</w:t>
      </w:r>
      <w:r w:rsidRPr="00FB2116">
        <w:rPr>
          <w:rFonts w:ascii="Book Antiqua" w:hAnsi="Book Antiqua" w:cs="Arial"/>
          <w:sz w:val="24"/>
          <w:szCs w:val="24"/>
          <w:shd w:val="clear" w:color="auto" w:fill="FFFFFF"/>
          <w:lang w:eastAsia="zh-CN"/>
        </w:rPr>
        <w:t>,</w:t>
      </w:r>
      <w:r w:rsidRPr="00FB2116">
        <w:rPr>
          <w:rFonts w:ascii="Book Antiqua" w:hAnsi="Book Antiqua" w:cs="Arial"/>
          <w:sz w:val="24"/>
          <w:szCs w:val="24"/>
          <w:shd w:val="clear" w:color="auto" w:fill="FFFFFF"/>
        </w:rPr>
        <w:t xml:space="preserve"> Brazil</w:t>
      </w:r>
    </w:p>
    <w:p w:rsidR="003C39BE" w:rsidRPr="00FB2116" w:rsidRDefault="003C39BE" w:rsidP="003B0F97">
      <w:pPr>
        <w:autoSpaceDE w:val="0"/>
        <w:autoSpaceDN w:val="0"/>
        <w:adjustRightInd w:val="0"/>
        <w:snapToGrid w:val="0"/>
        <w:spacing w:after="0" w:line="360" w:lineRule="auto"/>
        <w:jc w:val="both"/>
        <w:rPr>
          <w:rFonts w:ascii="Book Antiqua" w:hAnsi="Book Antiqua" w:cs="Arial"/>
          <w:color w:val="000000" w:themeColor="text1"/>
          <w:sz w:val="24"/>
          <w:szCs w:val="24"/>
          <w:lang w:eastAsia="zh-CN"/>
        </w:rPr>
      </w:pPr>
    </w:p>
    <w:p w:rsidR="003C39BE" w:rsidRPr="003310E2" w:rsidRDefault="003C39BE" w:rsidP="003B0F97">
      <w:pPr>
        <w:autoSpaceDE w:val="0"/>
        <w:autoSpaceDN w:val="0"/>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color w:val="000000" w:themeColor="text1"/>
          <w:sz w:val="24"/>
          <w:szCs w:val="24"/>
          <w:lang w:val="en-US"/>
        </w:rPr>
        <w:t xml:space="preserve">Author contributions: </w:t>
      </w:r>
      <w:r w:rsidRPr="003310E2">
        <w:rPr>
          <w:rFonts w:ascii="Book Antiqua" w:hAnsi="Book Antiqua" w:cs="Arial"/>
          <w:bCs/>
          <w:sz w:val="24"/>
          <w:szCs w:val="24"/>
          <w:lang w:val="en-US"/>
        </w:rPr>
        <w:t xml:space="preserve">Felipe-Silva A designed and </w:t>
      </w:r>
      <w:r w:rsidRPr="003310E2">
        <w:rPr>
          <w:rFonts w:ascii="Book Antiqua" w:hAnsi="Book Antiqua" w:cs="Arial"/>
          <w:sz w:val="24"/>
          <w:szCs w:val="24"/>
          <w:lang w:val="en-US"/>
        </w:rPr>
        <w:t xml:space="preserve">performed the research, analyzed the data, and wrote the manuscript; </w:t>
      </w:r>
      <w:r w:rsidRPr="003310E2">
        <w:rPr>
          <w:rFonts w:ascii="Book Antiqua" w:hAnsi="Book Antiqua" w:cs="Arial"/>
          <w:bCs/>
          <w:sz w:val="24"/>
          <w:szCs w:val="24"/>
          <w:lang w:val="en-US"/>
        </w:rPr>
        <w:t xml:space="preserve">Wakamatsu A and dos Santos Cirqueira C </w:t>
      </w:r>
      <w:r w:rsidRPr="003310E2">
        <w:rPr>
          <w:rFonts w:ascii="Book Antiqua" w:hAnsi="Book Antiqua" w:cs="Arial"/>
          <w:sz w:val="24"/>
          <w:szCs w:val="24"/>
          <w:lang w:val="en-US"/>
        </w:rPr>
        <w:t xml:space="preserve">contributed optimal technical support on construction of the tissue microarray and performance of the histological and immunohistochemistry reactions; </w:t>
      </w:r>
      <w:r w:rsidRPr="003310E2">
        <w:rPr>
          <w:rFonts w:ascii="Book Antiqua" w:hAnsi="Book Antiqua" w:cs="Arial"/>
          <w:sz w:val="24"/>
          <w:szCs w:val="24"/>
          <w:lang w:val="en-US" w:eastAsia="zh-CN"/>
        </w:rPr>
        <w:t xml:space="preserve">and </w:t>
      </w:r>
      <w:r w:rsidRPr="003310E2">
        <w:rPr>
          <w:rFonts w:ascii="Book Antiqua" w:hAnsi="Book Antiqua" w:cs="Arial"/>
          <w:sz w:val="24"/>
          <w:szCs w:val="24"/>
          <w:lang w:val="en-US"/>
        </w:rPr>
        <w:t>Alves VAF</w:t>
      </w:r>
      <w:r w:rsidRPr="003310E2">
        <w:rPr>
          <w:rFonts w:ascii="Book Antiqua" w:hAnsi="Book Antiqua" w:cs="Arial"/>
          <w:b/>
          <w:sz w:val="24"/>
          <w:szCs w:val="24"/>
          <w:lang w:val="en-US"/>
        </w:rPr>
        <w:t xml:space="preserve"> </w:t>
      </w:r>
      <w:r w:rsidRPr="003310E2">
        <w:rPr>
          <w:rFonts w:ascii="Book Antiqua" w:hAnsi="Book Antiqua" w:cs="Arial"/>
          <w:sz w:val="24"/>
          <w:szCs w:val="24"/>
          <w:lang w:val="en-US"/>
        </w:rPr>
        <w:t>analyzed the data, wrote the manuscript, and supervised all the research steps.</w:t>
      </w:r>
    </w:p>
    <w:p w:rsidR="003C39BE" w:rsidRPr="003310E2" w:rsidRDefault="003C39BE" w:rsidP="003B0F97">
      <w:pPr>
        <w:adjustRightInd w:val="0"/>
        <w:snapToGrid w:val="0"/>
        <w:spacing w:after="0" w:line="360" w:lineRule="auto"/>
        <w:jc w:val="both"/>
        <w:rPr>
          <w:rFonts w:ascii="Book Antiqua" w:hAnsi="Book Antiqua" w:cs="Arial"/>
          <w:color w:val="000000" w:themeColor="text1"/>
          <w:sz w:val="24"/>
          <w:szCs w:val="24"/>
          <w:shd w:val="clear" w:color="auto" w:fill="FFFFFF"/>
          <w:lang w:val="en-US"/>
        </w:rPr>
      </w:pPr>
    </w:p>
    <w:p w:rsidR="003C39BE" w:rsidRPr="003E1884" w:rsidRDefault="003C39BE" w:rsidP="003B0F97">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r w:rsidRPr="003E1884">
        <w:rPr>
          <w:rFonts w:ascii="Book Antiqua" w:hAnsi="Book Antiqua" w:cs="Arial"/>
          <w:b/>
          <w:color w:val="000000" w:themeColor="text1"/>
          <w:sz w:val="24"/>
          <w:szCs w:val="24"/>
          <w:shd w:val="clear" w:color="auto" w:fill="FFFFFF"/>
        </w:rPr>
        <w:lastRenderedPageBreak/>
        <w:t>Supported by</w:t>
      </w:r>
      <w:r w:rsidRPr="003E1884">
        <w:rPr>
          <w:rFonts w:ascii="Book Antiqua" w:hAnsi="Book Antiqua" w:cs="Arial"/>
          <w:color w:val="000000" w:themeColor="text1"/>
          <w:sz w:val="24"/>
          <w:szCs w:val="24"/>
          <w:shd w:val="clear" w:color="auto" w:fill="FFFFFF"/>
        </w:rPr>
        <w:t xml:space="preserve"> Fundação de Amparo a Pesquisa do Estado de São Paulo</w:t>
      </w:r>
      <w:r w:rsidRPr="003E1884">
        <w:rPr>
          <w:rFonts w:ascii="Book Antiqua" w:hAnsi="Book Antiqua" w:cs="Arial"/>
          <w:color w:val="000000" w:themeColor="text1"/>
          <w:sz w:val="24"/>
          <w:szCs w:val="24"/>
          <w:shd w:val="clear" w:color="auto" w:fill="FFFFFF"/>
          <w:lang w:eastAsia="zh-CN"/>
        </w:rPr>
        <w:t>,</w:t>
      </w:r>
      <w:r w:rsidRPr="003E1884">
        <w:rPr>
          <w:rFonts w:ascii="Book Antiqua" w:hAnsi="Book Antiqua" w:cs="Arial"/>
          <w:color w:val="000000" w:themeColor="text1"/>
          <w:sz w:val="24"/>
          <w:szCs w:val="24"/>
          <w:shd w:val="clear" w:color="auto" w:fill="FFFFFF"/>
        </w:rPr>
        <w:t xml:space="preserve"> No. 08/58855-3 to Alves VAF</w:t>
      </w:r>
      <w:r w:rsidRPr="003E1884">
        <w:rPr>
          <w:rFonts w:ascii="Book Antiqua" w:hAnsi="Book Antiqua" w:cs="Arial"/>
          <w:color w:val="000000" w:themeColor="text1"/>
          <w:sz w:val="24"/>
          <w:szCs w:val="24"/>
          <w:shd w:val="clear" w:color="auto" w:fill="FFFFFF"/>
          <w:lang w:eastAsia="zh-CN"/>
        </w:rPr>
        <w:t>.</w:t>
      </w:r>
    </w:p>
    <w:p w:rsidR="003C39BE" w:rsidRPr="003E1884" w:rsidRDefault="003C39BE" w:rsidP="003B0F97">
      <w:pPr>
        <w:pStyle w:val="HTMLPreformatted"/>
        <w:shd w:val="clear" w:color="auto" w:fill="FFFFFF"/>
        <w:adjustRightInd w:val="0"/>
        <w:snapToGrid w:val="0"/>
        <w:spacing w:line="360" w:lineRule="auto"/>
        <w:jc w:val="both"/>
        <w:rPr>
          <w:rStyle w:val="apple-converted-space"/>
          <w:rFonts w:ascii="Book Antiqua" w:hAnsi="Book Antiqua" w:cs="Arial"/>
          <w:sz w:val="24"/>
          <w:szCs w:val="24"/>
          <w:shd w:val="clear" w:color="auto" w:fill="FFFFFF"/>
        </w:rPr>
      </w:pPr>
    </w:p>
    <w:p w:rsidR="003C39BE" w:rsidRPr="003310E2" w:rsidRDefault="003C39BE" w:rsidP="003B0F97">
      <w:pPr>
        <w:pStyle w:val="HTMLPreformatted"/>
        <w:shd w:val="clear" w:color="auto" w:fill="FFFFFF"/>
        <w:adjustRightInd w:val="0"/>
        <w:snapToGrid w:val="0"/>
        <w:spacing w:line="360" w:lineRule="auto"/>
        <w:jc w:val="both"/>
        <w:rPr>
          <w:rFonts w:ascii="Book Antiqua" w:hAnsi="Book Antiqua" w:cs="Arial"/>
          <w:sz w:val="24"/>
          <w:szCs w:val="24"/>
          <w:shd w:val="clear" w:color="auto" w:fill="F8F8F8"/>
          <w:lang w:val="en-US"/>
        </w:rPr>
      </w:pPr>
      <w:r w:rsidRPr="003310E2">
        <w:rPr>
          <w:rStyle w:val="apple-converted-space"/>
          <w:rFonts w:ascii="Book Antiqua" w:hAnsi="Book Antiqua" w:cs="Arial"/>
          <w:b/>
          <w:sz w:val="24"/>
          <w:szCs w:val="24"/>
          <w:shd w:val="clear" w:color="auto" w:fill="FFFFFF"/>
          <w:lang w:val="en-US"/>
        </w:rPr>
        <w:t>Institutional review board statement</w:t>
      </w:r>
      <w:r w:rsidRPr="003310E2">
        <w:rPr>
          <w:rStyle w:val="apple-converted-space"/>
          <w:rFonts w:ascii="Book Antiqua" w:eastAsiaTheme="minorEastAsia" w:hAnsi="Book Antiqua" w:cs="Arial"/>
          <w:b/>
          <w:sz w:val="24"/>
          <w:szCs w:val="24"/>
          <w:shd w:val="clear" w:color="auto" w:fill="FFFFFF"/>
          <w:lang w:val="en-US" w:eastAsia="zh-CN"/>
        </w:rPr>
        <w:t>:</w:t>
      </w:r>
      <w:r w:rsidRPr="003310E2">
        <w:rPr>
          <w:rStyle w:val="apple-converted-space"/>
          <w:rFonts w:ascii="Book Antiqua" w:hAnsi="Book Antiqua" w:cs="Arial"/>
          <w:b/>
          <w:sz w:val="24"/>
          <w:szCs w:val="24"/>
          <w:shd w:val="clear" w:color="auto" w:fill="FFFFFF"/>
          <w:lang w:val="en-US"/>
        </w:rPr>
        <w:t xml:space="preserve"> </w:t>
      </w:r>
      <w:r w:rsidRPr="003310E2">
        <w:rPr>
          <w:rStyle w:val="apple-converted-space"/>
          <w:rFonts w:ascii="Book Antiqua" w:hAnsi="Book Antiqua" w:cs="Arial"/>
          <w:sz w:val="24"/>
          <w:szCs w:val="24"/>
          <w:shd w:val="clear" w:color="auto" w:fill="FFFFFF"/>
          <w:lang w:val="en-US"/>
        </w:rPr>
        <w:t xml:space="preserve">This research was approved by the </w:t>
      </w:r>
      <w:r w:rsidRPr="003310E2">
        <w:rPr>
          <w:rFonts w:ascii="Book Antiqua" w:hAnsi="Book Antiqua"/>
          <w:color w:val="212121"/>
          <w:sz w:val="24"/>
          <w:szCs w:val="24"/>
          <w:lang w:val="en-US"/>
        </w:rPr>
        <w:t xml:space="preserve">Ethics Committee for Research Project Analysis (CAPPesq) of the Hospital das Clínicas of the </w:t>
      </w:r>
      <w:r w:rsidRPr="003310E2">
        <w:rPr>
          <w:rFonts w:ascii="Book Antiqua" w:hAnsi="Book Antiqua" w:cs="Arial"/>
          <w:iCs/>
          <w:sz w:val="24"/>
          <w:szCs w:val="24"/>
          <w:lang w:val="en-US"/>
        </w:rPr>
        <w:t>University of Sao Paulo School Of Medicine</w:t>
      </w:r>
      <w:r w:rsidRPr="003310E2">
        <w:rPr>
          <w:rFonts w:ascii="Book Antiqua" w:eastAsiaTheme="minorHAnsi" w:hAnsi="Book Antiqua" w:cs="Arial"/>
          <w:sz w:val="24"/>
          <w:szCs w:val="24"/>
          <w:lang w:val="en-US" w:eastAsia="en-US"/>
        </w:rPr>
        <w:t xml:space="preserve"> (Protocol No. </w:t>
      </w:r>
      <w:r w:rsidRPr="003310E2">
        <w:rPr>
          <w:rFonts w:ascii="Book Antiqua" w:hAnsi="Book Antiqua" w:cs="Arial"/>
          <w:bCs/>
          <w:sz w:val="24"/>
          <w:szCs w:val="24"/>
          <w:bdr w:val="none" w:sz="0" w:space="0" w:color="auto" w:frame="1"/>
          <w:shd w:val="clear" w:color="auto" w:fill="FFFFFF"/>
          <w:lang w:val="en-US"/>
        </w:rPr>
        <w:t>2346-0484/08 on 06/24/08)</w:t>
      </w:r>
      <w:r w:rsidRPr="003310E2">
        <w:rPr>
          <w:rFonts w:ascii="Book Antiqua" w:hAnsi="Book Antiqua" w:cs="Arial"/>
          <w:sz w:val="24"/>
          <w:szCs w:val="24"/>
          <w:shd w:val="clear" w:color="auto" w:fill="F8F8F8"/>
          <w:lang w:val="en-US"/>
        </w:rPr>
        <w:t xml:space="preserve">. </w:t>
      </w:r>
    </w:p>
    <w:p w:rsidR="003C39BE" w:rsidRPr="003310E2" w:rsidRDefault="003C39BE" w:rsidP="003B0F97">
      <w:pPr>
        <w:pStyle w:val="HTMLPreformatted"/>
        <w:shd w:val="clear" w:color="auto" w:fill="FFFFFF"/>
        <w:adjustRightInd w:val="0"/>
        <w:snapToGrid w:val="0"/>
        <w:spacing w:line="360" w:lineRule="auto"/>
        <w:jc w:val="both"/>
        <w:rPr>
          <w:rFonts w:ascii="Book Antiqua" w:eastAsiaTheme="minorEastAsia" w:hAnsi="Book Antiqua"/>
          <w:b/>
          <w:sz w:val="24"/>
          <w:szCs w:val="24"/>
          <w:lang w:val="en-US" w:eastAsia="zh-CN"/>
        </w:rPr>
      </w:pPr>
    </w:p>
    <w:p w:rsidR="003C39BE" w:rsidRPr="003310E2" w:rsidRDefault="003C39BE" w:rsidP="003B0F97">
      <w:pPr>
        <w:pStyle w:val="HTMLPreformatted"/>
        <w:shd w:val="clear" w:color="auto" w:fill="FFFFFF"/>
        <w:adjustRightInd w:val="0"/>
        <w:snapToGrid w:val="0"/>
        <w:spacing w:line="360" w:lineRule="auto"/>
        <w:jc w:val="both"/>
        <w:rPr>
          <w:rFonts w:ascii="Book Antiqua" w:hAnsi="Book Antiqua" w:cs="Arial"/>
          <w:sz w:val="24"/>
          <w:szCs w:val="24"/>
          <w:lang w:val="en-US"/>
        </w:rPr>
      </w:pPr>
      <w:r w:rsidRPr="003310E2">
        <w:rPr>
          <w:rFonts w:ascii="Book Antiqua" w:hAnsi="Book Antiqua"/>
          <w:b/>
          <w:sz w:val="24"/>
          <w:szCs w:val="24"/>
          <w:lang w:val="en-US"/>
        </w:rPr>
        <w:t>Conflict-of-interest statement</w:t>
      </w:r>
      <w:r w:rsidRPr="003310E2">
        <w:rPr>
          <w:rFonts w:ascii="Book Antiqua" w:eastAsiaTheme="minorEastAsia" w:hAnsi="Book Antiqua"/>
          <w:b/>
          <w:sz w:val="24"/>
          <w:szCs w:val="24"/>
          <w:lang w:val="en-US" w:eastAsia="zh-CN"/>
        </w:rPr>
        <w:t>:</w:t>
      </w:r>
      <w:r w:rsidRPr="003310E2">
        <w:rPr>
          <w:rFonts w:ascii="Book Antiqua" w:hAnsi="Book Antiqua"/>
          <w:sz w:val="24"/>
          <w:szCs w:val="24"/>
          <w:lang w:val="en-US"/>
        </w:rPr>
        <w:t xml:space="preserve"> None of the authors has any potential or real conflict of interest related to this study or the publication of its findings. This study reports major findings of a PhD thesis by the first author performed at the University of Sao Paulo and was partially presented at the 2014 United States and Canadian Academy of Pathology (USCAP) Annual Meeting in San Diego, USA.</w:t>
      </w:r>
    </w:p>
    <w:p w:rsidR="003C39BE" w:rsidRPr="003310E2" w:rsidRDefault="003C39BE" w:rsidP="003B0F97">
      <w:pPr>
        <w:pStyle w:val="HTMLPreformatted"/>
        <w:shd w:val="clear" w:color="auto" w:fill="FFFFFF"/>
        <w:adjustRightInd w:val="0"/>
        <w:snapToGrid w:val="0"/>
        <w:spacing w:line="360" w:lineRule="auto"/>
        <w:jc w:val="both"/>
        <w:rPr>
          <w:rFonts w:ascii="Book Antiqua" w:hAnsi="Book Antiqua"/>
          <w:sz w:val="24"/>
          <w:szCs w:val="24"/>
          <w:lang w:val="en-US"/>
        </w:rPr>
      </w:pPr>
    </w:p>
    <w:p w:rsidR="003C39BE" w:rsidRPr="003310E2" w:rsidRDefault="003C39BE" w:rsidP="003B0F97">
      <w:pPr>
        <w:pStyle w:val="HTMLPreformatted"/>
        <w:shd w:val="clear" w:color="auto" w:fill="FFFFFF"/>
        <w:adjustRightInd w:val="0"/>
        <w:snapToGrid w:val="0"/>
        <w:spacing w:line="360" w:lineRule="auto"/>
        <w:jc w:val="both"/>
        <w:rPr>
          <w:rFonts w:ascii="Book Antiqua" w:hAnsi="Book Antiqua"/>
          <w:sz w:val="24"/>
          <w:szCs w:val="24"/>
          <w:lang w:val="en-US"/>
        </w:rPr>
      </w:pPr>
      <w:r w:rsidRPr="003310E2">
        <w:rPr>
          <w:rFonts w:ascii="Book Antiqua" w:hAnsi="Book Antiqua"/>
          <w:b/>
          <w:sz w:val="24"/>
          <w:szCs w:val="24"/>
          <w:lang w:val="en-US"/>
        </w:rPr>
        <w:t>Data sharing statement</w:t>
      </w:r>
      <w:r w:rsidRPr="003310E2">
        <w:rPr>
          <w:rFonts w:ascii="Book Antiqua" w:eastAsiaTheme="minorEastAsia" w:hAnsi="Book Antiqua"/>
          <w:b/>
          <w:sz w:val="24"/>
          <w:szCs w:val="24"/>
          <w:lang w:val="en-US" w:eastAsia="zh-CN"/>
        </w:rPr>
        <w:t xml:space="preserve">: </w:t>
      </w:r>
      <w:r w:rsidRPr="003310E2">
        <w:rPr>
          <w:rFonts w:ascii="Book Antiqua" w:hAnsi="Book Antiqua"/>
          <w:sz w:val="24"/>
          <w:szCs w:val="24"/>
          <w:lang w:val="en-US"/>
        </w:rPr>
        <w:t>No additional data are available.</w:t>
      </w:r>
    </w:p>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p>
    <w:p w:rsidR="003C39BE" w:rsidRPr="00FB2116" w:rsidRDefault="003C39BE" w:rsidP="003B0F97">
      <w:pPr>
        <w:adjustRightInd w:val="0"/>
        <w:snapToGrid w:val="0"/>
        <w:spacing w:after="0" w:line="360" w:lineRule="auto"/>
        <w:jc w:val="both"/>
        <w:rPr>
          <w:rFonts w:ascii="Book Antiqua" w:hAnsi="Book Antiqua"/>
          <w:color w:val="000000"/>
          <w:sz w:val="24"/>
          <w:szCs w:val="24"/>
          <w:lang w:val="en-US"/>
        </w:rPr>
      </w:pPr>
      <w:bookmarkStart w:id="0" w:name="OLE_LINK507"/>
      <w:bookmarkStart w:id="1" w:name="OLE_LINK506"/>
      <w:bookmarkStart w:id="2" w:name="OLE_LINK496"/>
      <w:bookmarkStart w:id="3" w:name="OLE_LINK479"/>
      <w:r w:rsidRPr="003E1884">
        <w:rPr>
          <w:rFonts w:ascii="Book Antiqua" w:hAnsi="Book Antiqua"/>
          <w:b/>
          <w:color w:val="000000"/>
          <w:sz w:val="24"/>
          <w:szCs w:val="24"/>
          <w:lang w:val="en-US"/>
        </w:rPr>
        <w:t xml:space="preserve">Open-Access: </w:t>
      </w:r>
      <w:r w:rsidRPr="003E1884">
        <w:rPr>
          <w:rFonts w:ascii="Book Antiqua" w:hAnsi="Book Antiqua"/>
          <w:color w:val="000000"/>
          <w:sz w:val="24"/>
          <w:szCs w:val="24"/>
          <w:lang w:val="en-US"/>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w:t>
      </w:r>
      <w:r w:rsidRPr="00FB2116">
        <w:rPr>
          <w:rFonts w:ascii="Book Antiqua" w:hAnsi="Book Antiqua"/>
          <w:color w:val="000000"/>
          <w:sz w:val="24"/>
          <w:szCs w:val="24"/>
          <w:lang w:val="en-US"/>
        </w:rPr>
        <w:t xml:space="preserve">See: </w:t>
      </w:r>
      <w:hyperlink r:id="rId7" w:history="1">
        <w:r w:rsidRPr="00FB2116">
          <w:rPr>
            <w:rStyle w:val="Hyperlink"/>
            <w:rFonts w:ascii="Book Antiqua" w:hAnsi="Book Antiqua"/>
            <w:sz w:val="24"/>
            <w:szCs w:val="24"/>
            <w:lang w:val="en-US"/>
          </w:rPr>
          <w:t>http://creativecommons.org/licenses/by-nc/4.0/</w:t>
        </w:r>
      </w:hyperlink>
      <w:bookmarkEnd w:id="0"/>
      <w:bookmarkEnd w:id="1"/>
      <w:bookmarkEnd w:id="2"/>
      <w:bookmarkEnd w:id="3"/>
    </w:p>
    <w:p w:rsidR="00D64DE5" w:rsidRPr="00FB2116" w:rsidRDefault="00D64DE5" w:rsidP="003B0F97">
      <w:pPr>
        <w:adjustRightInd w:val="0"/>
        <w:snapToGrid w:val="0"/>
        <w:spacing w:after="0" w:line="360" w:lineRule="auto"/>
        <w:rPr>
          <w:rFonts w:ascii="Book Antiqua" w:hAnsi="Book Antiqua"/>
          <w:b/>
          <w:sz w:val="24"/>
          <w:szCs w:val="24"/>
          <w:lang w:val="en-US" w:eastAsia="zh-CN"/>
        </w:rPr>
      </w:pPr>
    </w:p>
    <w:p w:rsidR="00D64DE5" w:rsidRPr="00FB2116" w:rsidRDefault="00D64DE5" w:rsidP="003B0F97">
      <w:pPr>
        <w:adjustRightInd w:val="0"/>
        <w:snapToGrid w:val="0"/>
        <w:spacing w:after="0" w:line="360" w:lineRule="auto"/>
        <w:rPr>
          <w:rFonts w:ascii="Book Antiqua" w:hAnsi="Book Antiqua"/>
          <w:b/>
          <w:sz w:val="24"/>
          <w:szCs w:val="24"/>
          <w:lang w:val="en-US"/>
        </w:rPr>
      </w:pPr>
      <w:r w:rsidRPr="00FB2116">
        <w:rPr>
          <w:rFonts w:ascii="Book Antiqua" w:hAnsi="Book Antiqua"/>
          <w:b/>
          <w:sz w:val="24"/>
          <w:szCs w:val="24"/>
          <w:lang w:val="en-US"/>
        </w:rPr>
        <w:t xml:space="preserve">Manuscript source: </w:t>
      </w:r>
      <w:r w:rsidRPr="00FB2116">
        <w:rPr>
          <w:rFonts w:ascii="Book Antiqua" w:hAnsi="Book Antiqua"/>
          <w:sz w:val="24"/>
          <w:szCs w:val="24"/>
          <w:lang w:val="en-US"/>
        </w:rPr>
        <w:t>Unsolicited manuscript</w:t>
      </w:r>
    </w:p>
    <w:p w:rsidR="003C39BE" w:rsidRPr="00FB2116" w:rsidRDefault="003C39BE" w:rsidP="003B0F97">
      <w:pPr>
        <w:adjustRightInd w:val="0"/>
        <w:snapToGrid w:val="0"/>
        <w:spacing w:after="0" w:line="360" w:lineRule="auto"/>
        <w:jc w:val="both"/>
        <w:rPr>
          <w:rFonts w:ascii="Book Antiqua" w:hAnsi="Book Antiqua" w:cs="Arial"/>
          <w:sz w:val="24"/>
          <w:szCs w:val="24"/>
          <w:lang w:val="en-US" w:eastAsia="zh-CN"/>
        </w:rPr>
      </w:pPr>
    </w:p>
    <w:p w:rsidR="003C39BE" w:rsidRPr="00FB2116" w:rsidRDefault="003C39BE" w:rsidP="003B0F97">
      <w:pPr>
        <w:adjustRightInd w:val="0"/>
        <w:snapToGrid w:val="0"/>
        <w:spacing w:after="0" w:line="360" w:lineRule="auto"/>
        <w:jc w:val="both"/>
        <w:rPr>
          <w:rFonts w:ascii="Book Antiqua" w:hAnsi="Book Antiqua" w:cs="Arial"/>
          <w:sz w:val="24"/>
          <w:szCs w:val="24"/>
          <w:shd w:val="clear" w:color="auto" w:fill="FFFFFF"/>
        </w:rPr>
      </w:pPr>
      <w:r w:rsidRPr="003E1884">
        <w:rPr>
          <w:rFonts w:ascii="Book Antiqua" w:hAnsi="Book Antiqua" w:cs="Arial"/>
          <w:b/>
          <w:sz w:val="24"/>
          <w:szCs w:val="24"/>
        </w:rPr>
        <w:t xml:space="preserve">Correspondence to: </w:t>
      </w:r>
      <w:r w:rsidRPr="003E1884">
        <w:rPr>
          <w:rFonts w:ascii="Book Antiqua" w:hAnsi="Book Antiqua"/>
          <w:b/>
          <w:bCs/>
          <w:sz w:val="24"/>
          <w:szCs w:val="24"/>
        </w:rPr>
        <w:t>Aloísio Felipe-Silva,</w:t>
      </w:r>
      <w:r w:rsidRPr="003E1884">
        <w:rPr>
          <w:rFonts w:ascii="Book Antiqua" w:hAnsi="Book Antiqua" w:cs="Arial"/>
          <w:b/>
          <w:bCs/>
          <w:sz w:val="24"/>
          <w:szCs w:val="24"/>
          <w:shd w:val="clear" w:color="auto" w:fill="FFFFFF"/>
        </w:rPr>
        <w:t xml:space="preserve"> MD, PhD, </w:t>
      </w:r>
      <w:r w:rsidRPr="003E1884">
        <w:rPr>
          <w:rFonts w:ascii="Book Antiqua" w:hAnsi="Book Antiqua" w:cs="Arial"/>
          <w:bCs/>
          <w:sz w:val="24"/>
          <w:szCs w:val="24"/>
          <w:shd w:val="clear" w:color="auto" w:fill="FFFFFF"/>
        </w:rPr>
        <w:t>LIM 14–Patologia Hepática,</w:t>
      </w:r>
      <w:r w:rsidRPr="003E1884">
        <w:rPr>
          <w:rFonts w:ascii="Book Antiqua" w:hAnsi="Book Antiqua" w:cs="Arial"/>
          <w:sz w:val="24"/>
          <w:szCs w:val="24"/>
          <w:shd w:val="clear" w:color="auto" w:fill="FFFFFF"/>
        </w:rPr>
        <w:t xml:space="preserve"> Faculdade de Medicina da USP, Avenida Dr. Arnaldo 455 1o. </w:t>
      </w:r>
      <w:r w:rsidRPr="00FB2116">
        <w:rPr>
          <w:rFonts w:ascii="Book Antiqua" w:hAnsi="Book Antiqua" w:cs="Arial"/>
          <w:sz w:val="24"/>
          <w:szCs w:val="24"/>
          <w:shd w:val="clear" w:color="auto" w:fill="FFFFFF"/>
        </w:rPr>
        <w:t>Andar Sala 1157, 01246-903 São Paulo SP, Brazil. aloisiosilva@hu.usp.br</w:t>
      </w:r>
    </w:p>
    <w:p w:rsidR="003C39BE" w:rsidRPr="00FB2116" w:rsidRDefault="003C39BE" w:rsidP="003B0F97">
      <w:pPr>
        <w:autoSpaceDE w:val="0"/>
        <w:autoSpaceDN w:val="0"/>
        <w:adjustRightInd w:val="0"/>
        <w:snapToGrid w:val="0"/>
        <w:spacing w:after="0" w:line="360" w:lineRule="auto"/>
        <w:jc w:val="both"/>
        <w:rPr>
          <w:rFonts w:ascii="Book Antiqua" w:hAnsi="Book Antiqua" w:cs="Arial"/>
          <w:color w:val="000000"/>
          <w:sz w:val="24"/>
          <w:szCs w:val="24"/>
          <w:lang w:eastAsia="zh-CN"/>
        </w:rPr>
      </w:pPr>
      <w:r w:rsidRPr="00FB2116">
        <w:rPr>
          <w:rFonts w:ascii="Book Antiqua" w:hAnsi="Book Antiqua" w:cs="Arial"/>
          <w:b/>
          <w:color w:val="000000"/>
          <w:sz w:val="24"/>
          <w:szCs w:val="24"/>
        </w:rPr>
        <w:lastRenderedPageBreak/>
        <w:t>Telephone:</w:t>
      </w:r>
      <w:r w:rsidRPr="00FB2116">
        <w:rPr>
          <w:rFonts w:ascii="Book Antiqua" w:hAnsi="Book Antiqua" w:cs="Arial"/>
          <w:color w:val="000000"/>
          <w:sz w:val="24"/>
          <w:szCs w:val="24"/>
        </w:rPr>
        <w:t xml:space="preserve"> </w:t>
      </w:r>
      <w:r w:rsidRPr="00FB2116">
        <w:rPr>
          <w:rFonts w:ascii="Book Antiqua" w:hAnsi="Book Antiqua"/>
          <w:sz w:val="24"/>
          <w:szCs w:val="24"/>
        </w:rPr>
        <w:t>+55-11-30617433</w:t>
      </w:r>
      <w:r w:rsidRPr="00FB2116">
        <w:rPr>
          <w:rFonts w:ascii="Book Antiqua" w:hAnsi="Book Antiqua" w:cs="Arial"/>
          <w:color w:val="000000"/>
          <w:sz w:val="24"/>
          <w:szCs w:val="24"/>
        </w:rPr>
        <w:t xml:space="preserve">  </w:t>
      </w:r>
    </w:p>
    <w:p w:rsidR="003C39BE" w:rsidRPr="00E52F41" w:rsidRDefault="003C39BE" w:rsidP="003B0F97">
      <w:pPr>
        <w:autoSpaceDE w:val="0"/>
        <w:autoSpaceDN w:val="0"/>
        <w:adjustRightInd w:val="0"/>
        <w:snapToGrid w:val="0"/>
        <w:spacing w:after="0" w:line="360" w:lineRule="auto"/>
        <w:jc w:val="both"/>
        <w:rPr>
          <w:rFonts w:ascii="Book Antiqua" w:hAnsi="Book Antiqua" w:cs="Arial"/>
          <w:b/>
          <w:color w:val="000000" w:themeColor="text1"/>
          <w:sz w:val="24"/>
          <w:szCs w:val="24"/>
        </w:rPr>
      </w:pPr>
      <w:r w:rsidRPr="00E52F41">
        <w:rPr>
          <w:rFonts w:ascii="Book Antiqua" w:hAnsi="Book Antiqua" w:cs="Arial"/>
          <w:b/>
          <w:color w:val="000000"/>
          <w:sz w:val="24"/>
          <w:szCs w:val="24"/>
        </w:rPr>
        <w:t xml:space="preserve">Fax: </w:t>
      </w:r>
      <w:r w:rsidRPr="00E52F41">
        <w:rPr>
          <w:rFonts w:ascii="Book Antiqua" w:hAnsi="Book Antiqua" w:cs="Arial"/>
          <w:color w:val="000000"/>
          <w:sz w:val="24"/>
          <w:szCs w:val="24"/>
        </w:rPr>
        <w:t>+55-11-30617234</w:t>
      </w:r>
    </w:p>
    <w:p w:rsidR="003C39BE" w:rsidRPr="00E52F41" w:rsidRDefault="003C39BE" w:rsidP="003B0F97">
      <w:pPr>
        <w:autoSpaceDE w:val="0"/>
        <w:autoSpaceDN w:val="0"/>
        <w:adjustRightInd w:val="0"/>
        <w:snapToGrid w:val="0"/>
        <w:spacing w:after="0" w:line="360" w:lineRule="auto"/>
        <w:jc w:val="both"/>
        <w:rPr>
          <w:rFonts w:ascii="Book Antiqua" w:hAnsi="Book Antiqua" w:cs="Arial"/>
          <w:b/>
          <w:color w:val="000000" w:themeColor="text1"/>
          <w:sz w:val="24"/>
          <w:szCs w:val="24"/>
        </w:rPr>
      </w:pPr>
    </w:p>
    <w:p w:rsidR="003C39BE" w:rsidRPr="00E52F41" w:rsidRDefault="003C39BE" w:rsidP="003B0F97">
      <w:pPr>
        <w:adjustRightInd w:val="0"/>
        <w:snapToGrid w:val="0"/>
        <w:spacing w:after="0" w:line="360" w:lineRule="auto"/>
        <w:rPr>
          <w:rFonts w:ascii="Book Antiqua" w:hAnsi="Book Antiqua"/>
          <w:b/>
          <w:sz w:val="24"/>
          <w:szCs w:val="24"/>
        </w:rPr>
      </w:pPr>
      <w:r w:rsidRPr="00E52F41">
        <w:rPr>
          <w:rFonts w:ascii="Book Antiqua" w:hAnsi="Book Antiqua"/>
          <w:b/>
          <w:sz w:val="24"/>
          <w:szCs w:val="24"/>
        </w:rPr>
        <w:t xml:space="preserve">Received: </w:t>
      </w:r>
      <w:r w:rsidR="0021262B" w:rsidRPr="00E52F41">
        <w:rPr>
          <w:rFonts w:ascii="Book Antiqua" w:hAnsi="Book Antiqua"/>
          <w:sz w:val="24"/>
          <w:szCs w:val="24"/>
        </w:rPr>
        <w:t>March</w:t>
      </w:r>
      <w:r w:rsidR="0021262B" w:rsidRPr="00E52F41">
        <w:rPr>
          <w:rFonts w:ascii="Book Antiqua" w:hAnsi="Book Antiqua"/>
          <w:sz w:val="24"/>
          <w:szCs w:val="24"/>
          <w:lang w:eastAsia="zh-CN"/>
        </w:rPr>
        <w:t xml:space="preserve"> 22, 2016</w:t>
      </w:r>
      <w:r w:rsidRPr="00E52F41">
        <w:rPr>
          <w:rFonts w:ascii="Book Antiqua" w:hAnsi="Book Antiqua"/>
          <w:b/>
          <w:sz w:val="24"/>
          <w:szCs w:val="24"/>
        </w:rPr>
        <w:t xml:space="preserve">  </w:t>
      </w:r>
    </w:p>
    <w:p w:rsidR="003C39BE" w:rsidRPr="00FB2116" w:rsidRDefault="003C39BE" w:rsidP="003B0F97">
      <w:pPr>
        <w:adjustRightInd w:val="0"/>
        <w:snapToGrid w:val="0"/>
        <w:spacing w:after="0" w:line="360" w:lineRule="auto"/>
        <w:rPr>
          <w:rFonts w:ascii="Book Antiqua" w:hAnsi="Book Antiqua"/>
          <w:b/>
          <w:sz w:val="24"/>
          <w:szCs w:val="24"/>
          <w:lang w:val="en-US" w:eastAsia="zh-CN"/>
        </w:rPr>
      </w:pPr>
      <w:r w:rsidRPr="00FB2116">
        <w:rPr>
          <w:rFonts w:ascii="Book Antiqua" w:hAnsi="Book Antiqua"/>
          <w:b/>
          <w:sz w:val="24"/>
          <w:szCs w:val="24"/>
          <w:lang w:val="en-US"/>
        </w:rPr>
        <w:t>Peer-review started:</w:t>
      </w:r>
      <w:r w:rsidR="00A953EF" w:rsidRPr="00FB2116">
        <w:rPr>
          <w:rFonts w:ascii="Book Antiqua" w:hAnsi="Book Antiqua"/>
          <w:b/>
          <w:sz w:val="24"/>
          <w:szCs w:val="24"/>
          <w:lang w:val="en-US" w:eastAsia="zh-CN"/>
        </w:rPr>
        <w:t xml:space="preserve"> </w:t>
      </w:r>
      <w:r w:rsidR="00A953EF" w:rsidRPr="00FB2116">
        <w:rPr>
          <w:rFonts w:ascii="Book Antiqua" w:hAnsi="Book Antiqua"/>
          <w:sz w:val="24"/>
          <w:szCs w:val="24"/>
          <w:lang w:val="en-US"/>
        </w:rPr>
        <w:t>March</w:t>
      </w:r>
      <w:r w:rsidR="00A953EF" w:rsidRPr="00FB2116">
        <w:rPr>
          <w:rFonts w:ascii="Book Antiqua" w:hAnsi="Book Antiqua"/>
          <w:sz w:val="24"/>
          <w:szCs w:val="24"/>
          <w:lang w:val="en-US" w:eastAsia="zh-CN"/>
        </w:rPr>
        <w:t xml:space="preserve"> 23, 2016</w:t>
      </w:r>
    </w:p>
    <w:p w:rsidR="003C39BE" w:rsidRPr="00FB2116" w:rsidRDefault="003C39BE" w:rsidP="003B0F97">
      <w:pPr>
        <w:adjustRightInd w:val="0"/>
        <w:snapToGrid w:val="0"/>
        <w:spacing w:after="0" w:line="360" w:lineRule="auto"/>
        <w:rPr>
          <w:rFonts w:ascii="Book Antiqua" w:hAnsi="Book Antiqua"/>
          <w:b/>
          <w:sz w:val="24"/>
          <w:szCs w:val="24"/>
          <w:lang w:val="en-US" w:eastAsia="zh-CN"/>
        </w:rPr>
      </w:pPr>
      <w:r w:rsidRPr="00FB2116">
        <w:rPr>
          <w:rFonts w:ascii="Book Antiqua" w:hAnsi="Book Antiqua"/>
          <w:b/>
          <w:sz w:val="24"/>
          <w:szCs w:val="24"/>
          <w:lang w:val="en-US"/>
        </w:rPr>
        <w:t>First decision:</w:t>
      </w:r>
      <w:r w:rsidR="001D6034" w:rsidRPr="00FB2116">
        <w:rPr>
          <w:rFonts w:ascii="Book Antiqua" w:hAnsi="Book Antiqua"/>
          <w:b/>
          <w:sz w:val="24"/>
          <w:szCs w:val="24"/>
          <w:lang w:val="en-US" w:eastAsia="zh-CN"/>
        </w:rPr>
        <w:t xml:space="preserve"> </w:t>
      </w:r>
      <w:r w:rsidR="001D6034" w:rsidRPr="00FB2116">
        <w:rPr>
          <w:rFonts w:ascii="Book Antiqua" w:hAnsi="Book Antiqua"/>
          <w:sz w:val="24"/>
          <w:szCs w:val="24"/>
          <w:lang w:val="en-US"/>
        </w:rPr>
        <w:t>April</w:t>
      </w:r>
      <w:r w:rsidR="001D6034" w:rsidRPr="00FB2116">
        <w:rPr>
          <w:rFonts w:ascii="Book Antiqua" w:hAnsi="Book Antiqua"/>
          <w:sz w:val="24"/>
          <w:szCs w:val="24"/>
          <w:lang w:val="en-US" w:eastAsia="zh-CN"/>
        </w:rPr>
        <w:t xml:space="preserve"> 14, 2016</w:t>
      </w:r>
    </w:p>
    <w:p w:rsidR="003C39BE" w:rsidRPr="00FB2116" w:rsidRDefault="003C39BE" w:rsidP="003B0F97">
      <w:pPr>
        <w:adjustRightInd w:val="0"/>
        <w:snapToGrid w:val="0"/>
        <w:spacing w:after="0" w:line="360" w:lineRule="auto"/>
        <w:rPr>
          <w:rFonts w:ascii="Book Antiqua" w:hAnsi="Book Antiqua"/>
          <w:b/>
          <w:sz w:val="24"/>
          <w:szCs w:val="24"/>
          <w:lang w:val="en-US"/>
        </w:rPr>
      </w:pPr>
      <w:r w:rsidRPr="00FB2116">
        <w:rPr>
          <w:rFonts w:ascii="Book Antiqua" w:hAnsi="Book Antiqua"/>
          <w:b/>
          <w:sz w:val="24"/>
          <w:szCs w:val="24"/>
          <w:lang w:val="en-US"/>
        </w:rPr>
        <w:t xml:space="preserve">Revised: </w:t>
      </w:r>
      <w:r w:rsidR="00146129" w:rsidRPr="00FB2116">
        <w:rPr>
          <w:rFonts w:ascii="Book Antiqua" w:hAnsi="Book Antiqua"/>
          <w:sz w:val="24"/>
          <w:szCs w:val="24"/>
          <w:lang w:val="en-US"/>
        </w:rPr>
        <w:t>May</w:t>
      </w:r>
      <w:r w:rsidR="00146129" w:rsidRPr="00FB2116">
        <w:rPr>
          <w:rFonts w:ascii="Book Antiqua" w:hAnsi="Book Antiqua"/>
          <w:sz w:val="24"/>
          <w:szCs w:val="24"/>
          <w:lang w:val="en-US" w:eastAsia="zh-CN"/>
        </w:rPr>
        <w:t xml:space="preserve"> 19, 2016</w:t>
      </w:r>
      <w:r w:rsidRPr="00FB2116">
        <w:rPr>
          <w:rFonts w:ascii="Book Antiqua" w:hAnsi="Book Antiqua"/>
          <w:b/>
          <w:sz w:val="24"/>
          <w:szCs w:val="24"/>
          <w:lang w:val="en-US"/>
        </w:rPr>
        <w:t xml:space="preserve"> </w:t>
      </w:r>
    </w:p>
    <w:p w:rsidR="003C39BE" w:rsidRPr="00F561A3" w:rsidRDefault="003C39BE" w:rsidP="00F561A3">
      <w:pPr>
        <w:spacing w:line="360" w:lineRule="auto"/>
        <w:rPr>
          <w:rFonts w:ascii="Book Antiqua" w:hAnsi="Book Antiqua"/>
          <w:color w:val="000000"/>
          <w:sz w:val="24"/>
        </w:rPr>
      </w:pPr>
      <w:r w:rsidRPr="00FB2116">
        <w:rPr>
          <w:rFonts w:ascii="Book Antiqua" w:hAnsi="Book Antiqua"/>
          <w:b/>
          <w:sz w:val="24"/>
          <w:szCs w:val="24"/>
          <w:lang w:val="en-US"/>
        </w:rPr>
        <w:t>Accepted:</w:t>
      </w:r>
      <w:r w:rsidR="00F561A3" w:rsidRPr="00F561A3">
        <w:rPr>
          <w:rFonts w:ascii="Book Antiqua" w:hAnsi="Book Antiqua"/>
          <w:color w:val="000000"/>
          <w:sz w:val="24"/>
        </w:rPr>
        <w:t xml:space="preserve"> </w:t>
      </w:r>
      <w:r w:rsidR="00F561A3">
        <w:rPr>
          <w:rFonts w:ascii="Book Antiqua" w:hAnsi="Book Antiqua"/>
          <w:color w:val="000000"/>
          <w:sz w:val="24"/>
        </w:rPr>
        <w:t>June 15</w:t>
      </w:r>
      <w:r w:rsidR="00F561A3" w:rsidRPr="00626148">
        <w:rPr>
          <w:rFonts w:ascii="Book Antiqua" w:hAnsi="Book Antiqua"/>
          <w:color w:val="000000"/>
          <w:sz w:val="24"/>
        </w:rPr>
        <w:t>, 2016</w:t>
      </w:r>
      <w:bookmarkStart w:id="4" w:name="_GoBack"/>
      <w:bookmarkEnd w:id="4"/>
      <w:r w:rsidRPr="00FB2116">
        <w:rPr>
          <w:rFonts w:ascii="Book Antiqua" w:hAnsi="Book Antiqua"/>
          <w:b/>
          <w:sz w:val="24"/>
          <w:szCs w:val="24"/>
          <w:lang w:val="en-US"/>
        </w:rPr>
        <w:t xml:space="preserve">  </w:t>
      </w:r>
    </w:p>
    <w:p w:rsidR="003C39BE" w:rsidRPr="00FB2116" w:rsidRDefault="003C39BE" w:rsidP="003B0F97">
      <w:pPr>
        <w:adjustRightInd w:val="0"/>
        <w:snapToGrid w:val="0"/>
        <w:spacing w:after="0" w:line="360" w:lineRule="auto"/>
        <w:rPr>
          <w:rFonts w:ascii="Book Antiqua" w:hAnsi="Book Antiqua"/>
          <w:b/>
          <w:sz w:val="24"/>
          <w:szCs w:val="24"/>
          <w:lang w:val="en-US"/>
        </w:rPr>
      </w:pPr>
      <w:r w:rsidRPr="00FB2116">
        <w:rPr>
          <w:rFonts w:ascii="Book Antiqua" w:hAnsi="Book Antiqua"/>
          <w:b/>
          <w:sz w:val="24"/>
          <w:szCs w:val="24"/>
          <w:lang w:val="en-US"/>
        </w:rPr>
        <w:t>Article in press:</w:t>
      </w:r>
    </w:p>
    <w:p w:rsidR="003C39BE" w:rsidRPr="00FB2116" w:rsidRDefault="003C39BE" w:rsidP="003B0F97">
      <w:pPr>
        <w:adjustRightInd w:val="0"/>
        <w:snapToGrid w:val="0"/>
        <w:spacing w:after="0" w:line="360" w:lineRule="auto"/>
        <w:rPr>
          <w:rFonts w:ascii="Book Antiqua" w:hAnsi="Book Antiqua"/>
          <w:sz w:val="24"/>
          <w:szCs w:val="24"/>
          <w:lang w:val="en-US"/>
        </w:rPr>
      </w:pPr>
      <w:r w:rsidRPr="00FB2116">
        <w:rPr>
          <w:rFonts w:ascii="Book Antiqua" w:hAnsi="Book Antiqua"/>
          <w:b/>
          <w:sz w:val="24"/>
          <w:szCs w:val="24"/>
          <w:lang w:val="en-US"/>
        </w:rPr>
        <w:t>Published online:</w:t>
      </w:r>
    </w:p>
    <w:p w:rsidR="003C39BE" w:rsidRPr="003310E2" w:rsidRDefault="003C39BE" w:rsidP="003B0F97">
      <w:pPr>
        <w:autoSpaceDE w:val="0"/>
        <w:autoSpaceDN w:val="0"/>
        <w:adjustRightInd w:val="0"/>
        <w:snapToGrid w:val="0"/>
        <w:spacing w:after="0" w:line="360" w:lineRule="auto"/>
        <w:jc w:val="both"/>
        <w:rPr>
          <w:rFonts w:ascii="Book Antiqua" w:hAnsi="Book Antiqua" w:cs="Arial"/>
          <w:b/>
          <w:color w:val="000000" w:themeColor="text1"/>
          <w:sz w:val="24"/>
          <w:szCs w:val="24"/>
          <w:shd w:val="clear" w:color="auto" w:fill="FFFFFF"/>
          <w:lang w:val="en-US"/>
        </w:rPr>
      </w:pPr>
    </w:p>
    <w:p w:rsidR="003C39BE" w:rsidRPr="003310E2" w:rsidRDefault="003C39BE" w:rsidP="003B0F97">
      <w:pPr>
        <w:adjustRightInd w:val="0"/>
        <w:snapToGrid w:val="0"/>
        <w:spacing w:after="0" w:line="360" w:lineRule="auto"/>
        <w:rPr>
          <w:rFonts w:ascii="Book Antiqua" w:hAnsi="Book Antiqua" w:cs="Arial"/>
          <w:b/>
          <w:color w:val="000000" w:themeColor="text1"/>
          <w:sz w:val="24"/>
          <w:szCs w:val="24"/>
          <w:shd w:val="clear" w:color="auto" w:fill="FFFFFF"/>
          <w:lang w:val="en-US"/>
        </w:rPr>
      </w:pPr>
      <w:r w:rsidRPr="003310E2">
        <w:rPr>
          <w:rFonts w:ascii="Book Antiqua" w:hAnsi="Book Antiqua" w:cs="Arial"/>
          <w:b/>
          <w:color w:val="000000" w:themeColor="text1"/>
          <w:sz w:val="24"/>
          <w:szCs w:val="24"/>
          <w:shd w:val="clear" w:color="auto" w:fill="FFFFFF"/>
          <w:lang w:val="en-US"/>
        </w:rPr>
        <w:br w:type="page"/>
      </w:r>
    </w:p>
    <w:p w:rsidR="003C39BE" w:rsidRPr="003310E2" w:rsidRDefault="003C39BE" w:rsidP="003B0F97">
      <w:pPr>
        <w:autoSpaceDE w:val="0"/>
        <w:autoSpaceDN w:val="0"/>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lastRenderedPageBreak/>
        <w:t>Abstract</w:t>
      </w:r>
    </w:p>
    <w:p w:rsidR="003C39BE" w:rsidRPr="003310E2" w:rsidRDefault="003C39BE" w:rsidP="003B0F97">
      <w:pPr>
        <w:shd w:val="clear" w:color="auto" w:fill="FFFFFF"/>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sz w:val="24"/>
          <w:szCs w:val="24"/>
          <w:lang w:val="en-US"/>
        </w:rPr>
        <w:t>AIM:</w:t>
      </w:r>
      <w:r w:rsidRPr="003310E2">
        <w:rPr>
          <w:rFonts w:ascii="Book Antiqua" w:hAnsi="Book Antiqua" w:cs="Arial"/>
          <w:sz w:val="24"/>
          <w:szCs w:val="24"/>
          <w:lang w:val="en-US"/>
        </w:rPr>
        <w:t xml:space="preserve"> To assess the distribution of proteins coded by genes reported as relevant for the molecular classification of hepatocellular carcinoma (HCC).</w:t>
      </w:r>
    </w:p>
    <w:p w:rsidR="003C39BE" w:rsidRPr="003310E2" w:rsidRDefault="003C39BE" w:rsidP="003B0F97">
      <w:pPr>
        <w:adjustRightInd w:val="0"/>
        <w:snapToGrid w:val="0"/>
        <w:spacing w:after="0" w:line="360" w:lineRule="auto"/>
        <w:jc w:val="both"/>
        <w:rPr>
          <w:rFonts w:ascii="Book Antiqua" w:hAnsi="Book Antiqua" w:cs="Arial"/>
          <w:b/>
          <w:color w:val="000000"/>
          <w:sz w:val="24"/>
          <w:szCs w:val="24"/>
          <w:shd w:val="clear" w:color="auto" w:fill="FFFFFF"/>
          <w:lang w:val="en-US"/>
        </w:rPr>
      </w:pPr>
    </w:p>
    <w:p w:rsidR="003C39BE" w:rsidRPr="00E52F41"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color w:val="000000"/>
          <w:sz w:val="24"/>
          <w:szCs w:val="24"/>
          <w:shd w:val="clear" w:color="auto" w:fill="FFFFFF"/>
          <w:lang w:val="en-US"/>
        </w:rPr>
        <w:t>METHODS:</w:t>
      </w:r>
      <w:r w:rsidRPr="003310E2">
        <w:rPr>
          <w:rFonts w:ascii="Book Antiqua" w:hAnsi="Book Antiqua" w:cs="Arial"/>
          <w:color w:val="000000"/>
          <w:sz w:val="24"/>
          <w:szCs w:val="24"/>
          <w:shd w:val="clear" w:color="auto" w:fill="FFFFFF"/>
          <w:lang w:val="en-US"/>
        </w:rPr>
        <w:t xml:space="preserve"> </w:t>
      </w:r>
      <w:r w:rsidRPr="003310E2">
        <w:rPr>
          <w:rFonts w:ascii="Book Antiqua" w:hAnsi="Book Antiqua" w:cs="Arial"/>
          <w:sz w:val="24"/>
          <w:szCs w:val="24"/>
          <w:lang w:val="en-US"/>
        </w:rPr>
        <w:t xml:space="preserve">In this retrospective cross-sectional study, the following clinicopathological data were analyzed in 80 autopsied HCC patients: sex, age, ethnicity, alcohol intake, infection with hepatitis B and/or C virus, infection with human immunodeficiency virus, prior treatment, basic and immediate causes of death, liver weight, presence of cirrhosis, number and size of nodules, gross pattern, histological grade and variants, architectural pattern, invasion of large veins, and presence and location of extrahepatic metastases. The protein products of genes known to be involved in molecular pathogenesis of HCC, including epidermal growth factor receptor (EGFR), MET, keratin 19 (K19), vimentin, beta-catenin, </w:t>
      </w:r>
      <w:r w:rsidRPr="003310E2">
        <w:rPr>
          <w:rStyle w:val="Strong"/>
          <w:rFonts w:ascii="Book Antiqua" w:hAnsi="Book Antiqua" w:cs="Arial"/>
          <w:b w:val="0"/>
          <w:sz w:val="24"/>
          <w:szCs w:val="24"/>
          <w:lang w:val="en-US"/>
        </w:rPr>
        <w:t>mechanistic target of rapamycin</w:t>
      </w:r>
      <w:r w:rsidRPr="003310E2">
        <w:rPr>
          <w:rFonts w:ascii="Book Antiqua" w:hAnsi="Book Antiqua" w:cs="Arial"/>
          <w:sz w:val="24"/>
          <w:szCs w:val="24"/>
          <w:lang w:val="en-US"/>
        </w:rPr>
        <w:t xml:space="preserve"> (mTOR), extracellular signaling-related kinase (ERK)1, ERK2, Ki67, cyclin D1, caspase 3 and p53, were detected by immunohistochemistry on tissue microarrays. </w:t>
      </w:r>
      <w:r w:rsidRPr="00E52F41">
        <w:rPr>
          <w:rFonts w:ascii="Book Antiqua" w:hAnsi="Book Antiqua" w:cs="Arial"/>
          <w:sz w:val="24"/>
          <w:szCs w:val="24"/>
          <w:lang w:val="en-US"/>
        </w:rPr>
        <w:t xml:space="preserve">The expression levels were scored and statistically assessed for correlation with HCC parameters. </w:t>
      </w:r>
    </w:p>
    <w:p w:rsidR="003C39BE" w:rsidRPr="00E52F41" w:rsidRDefault="003C39BE" w:rsidP="003B0F97">
      <w:pPr>
        <w:shd w:val="clear" w:color="auto" w:fill="FFFFFF"/>
        <w:adjustRightInd w:val="0"/>
        <w:snapToGrid w:val="0"/>
        <w:spacing w:after="0" w:line="360" w:lineRule="auto"/>
        <w:jc w:val="both"/>
        <w:rPr>
          <w:rFonts w:ascii="Book Antiqua" w:hAnsi="Book Antiqua" w:cs="Arial"/>
          <w:b/>
          <w:color w:val="000000"/>
          <w:sz w:val="24"/>
          <w:szCs w:val="24"/>
          <w:shd w:val="clear" w:color="auto" w:fill="FFFFFF"/>
          <w:lang w:val="en-US"/>
        </w:rPr>
      </w:pPr>
    </w:p>
    <w:p w:rsidR="003C39BE" w:rsidRPr="003310E2" w:rsidRDefault="003C39BE" w:rsidP="003B0F97">
      <w:pPr>
        <w:shd w:val="clear" w:color="auto" w:fill="FFFFFF"/>
        <w:adjustRightInd w:val="0"/>
        <w:snapToGrid w:val="0"/>
        <w:spacing w:after="0" w:line="360" w:lineRule="auto"/>
        <w:jc w:val="both"/>
        <w:rPr>
          <w:rFonts w:ascii="Book Antiqua" w:hAnsi="Book Antiqua" w:cs="Arial"/>
          <w:sz w:val="24"/>
          <w:szCs w:val="24"/>
          <w:lang w:val="en-US"/>
        </w:rPr>
      </w:pPr>
      <w:r w:rsidRPr="00E52F41">
        <w:rPr>
          <w:rFonts w:ascii="Book Antiqua" w:hAnsi="Book Antiqua" w:cs="Arial"/>
          <w:b/>
          <w:color w:val="000000"/>
          <w:sz w:val="24"/>
          <w:szCs w:val="24"/>
          <w:shd w:val="clear" w:color="auto" w:fill="FFFFFF"/>
          <w:lang w:val="en-US"/>
        </w:rPr>
        <w:t xml:space="preserve">RESULTS: </w:t>
      </w:r>
      <w:r w:rsidRPr="00E52F41">
        <w:rPr>
          <w:rFonts w:ascii="Book Antiqua" w:hAnsi="Book Antiqua" w:cs="Arial"/>
          <w:sz w:val="24"/>
          <w:szCs w:val="24"/>
          <w:lang w:val="en-US"/>
        </w:rPr>
        <w:t>Infection with hepatitis C virus was identified in 49% of the 80 autopsy patients, cirrhosis in 90%, advanced tumors in 95%, and extrahepatic metastases in 38%. Expression of K19, p53 and ERK1 correlated to high-grade lesions. Expression of ERK1, nuclear beta-catenin, cyclin D1 and ERK2 correlated to higher rates of cell proliferation as determined by Ki67. Expression of MET, EGFR (&gt; 0) and caspase 3 correlated with lower histological grades.</w:t>
      </w:r>
      <w:r w:rsidRPr="00E52F41">
        <w:rPr>
          <w:rFonts w:ascii="Book Antiqua" w:hAnsi="Book Antiqua" w:cs="Arial"/>
          <w:color w:val="FF0000"/>
          <w:sz w:val="24"/>
          <w:szCs w:val="24"/>
          <w:lang w:val="en-US"/>
        </w:rPr>
        <w:t xml:space="preserve"> </w:t>
      </w:r>
      <w:r w:rsidRPr="00E52F41">
        <w:rPr>
          <w:rFonts w:ascii="Book Antiqua" w:hAnsi="Book Antiqua" w:cs="Arial"/>
          <w:sz w:val="24"/>
          <w:szCs w:val="24"/>
          <w:lang w:val="en-US"/>
        </w:rPr>
        <w:t>Expression of</w:t>
      </w:r>
      <w:r w:rsidRPr="00E52F41">
        <w:rPr>
          <w:rFonts w:ascii="Book Antiqua" w:hAnsi="Book Antiqua" w:cs="Arial"/>
          <w:color w:val="FF0000"/>
          <w:sz w:val="24"/>
          <w:szCs w:val="24"/>
          <w:lang w:val="en-US"/>
        </w:rPr>
        <w:t xml:space="preserve"> </w:t>
      </w:r>
      <w:r w:rsidRPr="00E52F41">
        <w:rPr>
          <w:rFonts w:ascii="Book Antiqua" w:hAnsi="Book Antiqua" w:cs="Arial"/>
          <w:sz w:val="24"/>
          <w:szCs w:val="24"/>
          <w:lang w:val="en-US"/>
        </w:rPr>
        <w:t xml:space="preserve">EGFR correlated to that of caspase 3, and overexpression of EGFR (≥ 200/300) was observed in low-grade tumors more frequently (grades 1 and 2: 67% </w:t>
      </w:r>
      <w:r w:rsidRPr="00E52F41">
        <w:rPr>
          <w:rFonts w:ascii="Book Antiqua" w:hAnsi="Book Antiqua" w:cs="Arial"/>
          <w:i/>
          <w:sz w:val="24"/>
          <w:szCs w:val="24"/>
          <w:lang w:val="en-US"/>
        </w:rPr>
        <w:t>vs</w:t>
      </w:r>
      <w:r w:rsidRPr="00E52F41">
        <w:rPr>
          <w:rFonts w:ascii="Book Antiqua" w:hAnsi="Book Antiqua" w:cs="Arial"/>
          <w:sz w:val="24"/>
          <w:szCs w:val="24"/>
          <w:lang w:val="en-US"/>
        </w:rPr>
        <w:t xml:space="preserve"> grade 3: 27% and grade 4: 30</w:t>
      </w:r>
      <w:r w:rsidR="00FB2116" w:rsidRPr="00E52F41">
        <w:rPr>
          <w:rFonts w:ascii="Book Antiqua" w:hAnsi="Book Antiqua" w:cs="Arial"/>
          <w:sz w:val="24"/>
          <w:szCs w:val="24"/>
          <w:lang w:val="en-US"/>
        </w:rPr>
        <w:t>%</w:t>
      </w:r>
      <w:r w:rsidRPr="00E52F41">
        <w:rPr>
          <w:rFonts w:ascii="Book Antiqua" w:hAnsi="Book Antiqua" w:cs="Arial"/>
          <w:sz w:val="24"/>
          <w:szCs w:val="24"/>
          <w:lang w:val="en-US"/>
        </w:rPr>
        <w:t>). Expression of ERK1 was associated with that of K19 and vimentin, whereas expression of ERK2 was associated with that of cyclin D1, MET and membrane beta-catenin. Expression of vimentin was strong</w:t>
      </w:r>
      <w:r w:rsidR="00E52F41">
        <w:rPr>
          <w:rFonts w:ascii="Book Antiqua" w:hAnsi="Book Antiqua" w:cs="Arial"/>
          <w:sz w:val="24"/>
          <w:szCs w:val="24"/>
          <w:lang w:val="en-US"/>
        </w:rPr>
        <w:t>ly correlated with that of K19.</w:t>
      </w:r>
      <w:r w:rsidRPr="003310E2">
        <w:rPr>
          <w:rFonts w:ascii="Book Antiqua" w:hAnsi="Book Antiqua" w:cs="Arial"/>
          <w:sz w:val="24"/>
          <w:szCs w:val="24"/>
          <w:lang w:val="en-US"/>
        </w:rPr>
        <w:t xml:space="preserve"> </w:t>
      </w:r>
    </w:p>
    <w:p w:rsidR="003C39BE" w:rsidRPr="003310E2" w:rsidRDefault="003C39BE" w:rsidP="003B0F97">
      <w:pPr>
        <w:shd w:val="clear" w:color="auto" w:fill="FFFFFF"/>
        <w:adjustRightInd w:val="0"/>
        <w:snapToGrid w:val="0"/>
        <w:spacing w:after="0" w:line="360" w:lineRule="auto"/>
        <w:jc w:val="both"/>
        <w:rPr>
          <w:rFonts w:ascii="Book Antiqua" w:hAnsi="Book Antiqua" w:cs="Arial"/>
          <w:b/>
          <w:color w:val="000000"/>
          <w:sz w:val="24"/>
          <w:szCs w:val="24"/>
          <w:shd w:val="clear" w:color="auto" w:fill="FFFFFF"/>
          <w:lang w:val="en-US"/>
        </w:rPr>
      </w:pPr>
    </w:p>
    <w:p w:rsidR="003C39BE" w:rsidRPr="003310E2" w:rsidRDefault="00960F16" w:rsidP="003B0F97">
      <w:pPr>
        <w:shd w:val="clear" w:color="auto" w:fill="FFFFFF"/>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color w:val="000000"/>
          <w:sz w:val="24"/>
          <w:szCs w:val="24"/>
          <w:shd w:val="clear" w:color="auto" w:fill="FFFFFF"/>
          <w:lang w:val="en-US"/>
        </w:rPr>
        <w:t>CONCLUSION</w:t>
      </w:r>
      <w:r w:rsidR="003C39BE" w:rsidRPr="003310E2">
        <w:rPr>
          <w:rFonts w:ascii="Book Antiqua" w:hAnsi="Book Antiqua" w:cs="Arial"/>
          <w:b/>
          <w:color w:val="000000"/>
          <w:sz w:val="24"/>
          <w:szCs w:val="24"/>
          <w:shd w:val="clear" w:color="auto" w:fill="FFFFFF"/>
          <w:lang w:val="en-US"/>
        </w:rPr>
        <w:t>:</w:t>
      </w:r>
      <w:r w:rsidR="003C39BE" w:rsidRPr="003310E2">
        <w:rPr>
          <w:rFonts w:ascii="Book Antiqua" w:hAnsi="Book Antiqua" w:cs="Arial"/>
          <w:color w:val="000000"/>
          <w:sz w:val="24"/>
          <w:szCs w:val="24"/>
          <w:shd w:val="clear" w:color="auto" w:fill="FFFFFF"/>
          <w:lang w:val="en-US"/>
        </w:rPr>
        <w:t xml:space="preserve"> Ex</w:t>
      </w:r>
      <w:r w:rsidR="003C39BE" w:rsidRPr="003310E2">
        <w:rPr>
          <w:rFonts w:ascii="Book Antiqua" w:hAnsi="Book Antiqua" w:cs="Arial"/>
          <w:sz w:val="24"/>
          <w:szCs w:val="24"/>
          <w:lang w:val="en-US"/>
        </w:rPr>
        <w:t>pression of K19, p53, ERK1, ERK2, vimentin and nuclear beta-catenin was related to higher-grade markers, as opposed to expression/overexpression of EGFR, MET and caspase 3.</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sz w:val="24"/>
          <w:szCs w:val="24"/>
          <w:lang w:val="en-US"/>
        </w:rPr>
        <w:t>Key words:</w:t>
      </w:r>
      <w:r w:rsidRPr="003310E2">
        <w:rPr>
          <w:rFonts w:ascii="Book Antiqua" w:hAnsi="Book Antiqua" w:cs="Arial"/>
          <w:sz w:val="24"/>
          <w:szCs w:val="24"/>
          <w:lang w:val="en-US"/>
        </w:rPr>
        <w:t xml:space="preserve"> Hepatocellular carcinoma; Epidermal growth factor receptor; Autopsy; Immunohistochemistry; Classification; Liver</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eastAsia="zh-CN"/>
        </w:rPr>
      </w:pPr>
    </w:p>
    <w:p w:rsidR="00960F16" w:rsidRPr="00FB2116" w:rsidRDefault="00960F16" w:rsidP="003B0F97">
      <w:pPr>
        <w:autoSpaceDE w:val="0"/>
        <w:autoSpaceDN w:val="0"/>
        <w:adjustRightInd w:val="0"/>
        <w:snapToGrid w:val="0"/>
        <w:spacing w:after="0" w:line="360" w:lineRule="auto"/>
        <w:rPr>
          <w:rFonts w:ascii="Book Antiqua" w:hAnsi="Book Antiqua" w:cs="Arial Unicode MS"/>
          <w:sz w:val="24"/>
          <w:szCs w:val="24"/>
          <w:lang w:val="en-US"/>
        </w:rPr>
      </w:pPr>
      <w:bookmarkStart w:id="5" w:name="OLE_LINK98"/>
      <w:bookmarkStart w:id="6" w:name="OLE_LINK156"/>
      <w:bookmarkStart w:id="7" w:name="OLE_LINK196"/>
      <w:bookmarkStart w:id="8" w:name="OLE_LINK217"/>
      <w:bookmarkStart w:id="9" w:name="OLE_LINK242"/>
      <w:bookmarkStart w:id="10" w:name="OLE_LINK247"/>
      <w:bookmarkStart w:id="11" w:name="OLE_LINK311"/>
      <w:bookmarkStart w:id="12" w:name="OLE_LINK312"/>
      <w:bookmarkStart w:id="13" w:name="OLE_LINK325"/>
      <w:bookmarkStart w:id="14" w:name="OLE_LINK330"/>
      <w:bookmarkStart w:id="15" w:name="OLE_LINK513"/>
      <w:bookmarkStart w:id="16" w:name="OLE_LINK514"/>
      <w:bookmarkStart w:id="17" w:name="OLE_LINK464"/>
      <w:bookmarkStart w:id="18" w:name="OLE_LINK465"/>
      <w:bookmarkStart w:id="19" w:name="OLE_LINK466"/>
      <w:bookmarkStart w:id="20" w:name="OLE_LINK470"/>
      <w:bookmarkStart w:id="21" w:name="OLE_LINK471"/>
      <w:bookmarkStart w:id="22" w:name="OLE_LINK472"/>
      <w:bookmarkStart w:id="23" w:name="OLE_LINK474"/>
      <w:bookmarkStart w:id="24" w:name="OLE_LINK512"/>
      <w:bookmarkStart w:id="25" w:name="OLE_LINK800"/>
      <w:bookmarkStart w:id="26" w:name="OLE_LINK982"/>
      <w:bookmarkStart w:id="27" w:name="OLE_LINK1027"/>
      <w:bookmarkStart w:id="28" w:name="OLE_LINK504"/>
      <w:bookmarkStart w:id="29" w:name="OLE_LINK546"/>
      <w:bookmarkStart w:id="30" w:name="OLE_LINK547"/>
      <w:bookmarkStart w:id="31" w:name="OLE_LINK575"/>
      <w:bookmarkStart w:id="32" w:name="OLE_LINK640"/>
      <w:bookmarkStart w:id="33" w:name="OLE_LINK672"/>
      <w:bookmarkStart w:id="34" w:name="OLE_LINK714"/>
      <w:bookmarkStart w:id="35" w:name="OLE_LINK651"/>
      <w:bookmarkStart w:id="36" w:name="OLE_LINK652"/>
      <w:bookmarkStart w:id="37" w:name="OLE_LINK744"/>
      <w:bookmarkStart w:id="38" w:name="OLE_LINK758"/>
      <w:bookmarkStart w:id="39" w:name="OLE_LINK787"/>
      <w:bookmarkStart w:id="40" w:name="OLE_LINK807"/>
      <w:bookmarkStart w:id="41" w:name="OLE_LINK820"/>
      <w:bookmarkStart w:id="42" w:name="OLE_LINK862"/>
      <w:bookmarkStart w:id="43" w:name="OLE_LINK879"/>
      <w:bookmarkStart w:id="44" w:name="OLE_LINK906"/>
      <w:bookmarkStart w:id="45" w:name="OLE_LINK928"/>
      <w:bookmarkStart w:id="46" w:name="OLE_LINK960"/>
      <w:bookmarkStart w:id="47" w:name="OLE_LINK861"/>
      <w:bookmarkStart w:id="48" w:name="OLE_LINK983"/>
      <w:bookmarkStart w:id="49" w:name="OLE_LINK1334"/>
      <w:bookmarkStart w:id="50" w:name="OLE_LINK1029"/>
      <w:bookmarkStart w:id="51" w:name="OLE_LINK1060"/>
      <w:bookmarkStart w:id="52" w:name="OLE_LINK1061"/>
      <w:bookmarkStart w:id="53" w:name="OLE_LINK1348"/>
      <w:bookmarkStart w:id="54" w:name="OLE_LINK1086"/>
      <w:bookmarkStart w:id="55" w:name="OLE_LINK1100"/>
      <w:bookmarkStart w:id="56" w:name="OLE_LINK1125"/>
      <w:bookmarkStart w:id="57" w:name="OLE_LINK1163"/>
      <w:bookmarkStart w:id="58" w:name="OLE_LINK1193"/>
      <w:bookmarkStart w:id="59" w:name="OLE_LINK1219"/>
      <w:bookmarkStart w:id="60" w:name="OLE_LINK1247"/>
      <w:bookmarkStart w:id="61" w:name="OLE_LINK1284"/>
      <w:bookmarkStart w:id="62" w:name="OLE_LINK1313"/>
      <w:bookmarkStart w:id="63" w:name="OLE_LINK1361"/>
      <w:bookmarkStart w:id="64" w:name="OLE_LINK1384"/>
      <w:bookmarkStart w:id="65" w:name="OLE_LINK1403"/>
      <w:bookmarkStart w:id="66" w:name="OLE_LINK1437"/>
      <w:bookmarkStart w:id="67" w:name="OLE_LINK1454"/>
      <w:bookmarkStart w:id="68" w:name="OLE_LINK1480"/>
      <w:bookmarkStart w:id="69" w:name="OLE_LINK1504"/>
      <w:bookmarkStart w:id="70" w:name="OLE_LINK1516"/>
      <w:bookmarkStart w:id="71" w:name="OLE_LINK135"/>
      <w:bookmarkStart w:id="72" w:name="OLE_LINK216"/>
      <w:bookmarkStart w:id="73" w:name="OLE_LINK259"/>
      <w:bookmarkStart w:id="74" w:name="OLE_LINK1186"/>
      <w:bookmarkStart w:id="75" w:name="OLE_LINK1265"/>
      <w:bookmarkStart w:id="76" w:name="OLE_LINK1373"/>
      <w:bookmarkStart w:id="77" w:name="OLE_LINK1478"/>
      <w:bookmarkStart w:id="78" w:name="OLE_LINK1644"/>
      <w:bookmarkStart w:id="79" w:name="OLE_LINK1884"/>
      <w:bookmarkStart w:id="80" w:name="OLE_LINK1885"/>
      <w:bookmarkStart w:id="81" w:name="OLE_LINK1538"/>
      <w:bookmarkStart w:id="82" w:name="OLE_LINK1539"/>
      <w:bookmarkStart w:id="83" w:name="OLE_LINK1543"/>
      <w:bookmarkStart w:id="84" w:name="OLE_LINK1549"/>
      <w:bookmarkStart w:id="85" w:name="OLE_LINK1778"/>
      <w:bookmarkStart w:id="86" w:name="OLE_LINK1756"/>
      <w:bookmarkStart w:id="87" w:name="OLE_LINK1776"/>
      <w:bookmarkStart w:id="88" w:name="OLE_LINK1777"/>
      <w:bookmarkStart w:id="89" w:name="OLE_LINK1868"/>
      <w:bookmarkStart w:id="90" w:name="OLE_LINK1744"/>
      <w:bookmarkStart w:id="91" w:name="OLE_LINK1817"/>
      <w:bookmarkStart w:id="92" w:name="OLE_LINK1835"/>
      <w:bookmarkStart w:id="93" w:name="OLE_LINK1866"/>
      <w:bookmarkStart w:id="94" w:name="OLE_LINK1882"/>
      <w:bookmarkStart w:id="95" w:name="OLE_LINK1901"/>
      <w:bookmarkStart w:id="96" w:name="OLE_LINK1902"/>
      <w:bookmarkStart w:id="97" w:name="OLE_LINK2013"/>
      <w:bookmarkStart w:id="98" w:name="OLE_LINK1894"/>
      <w:bookmarkStart w:id="99" w:name="OLE_LINK1929"/>
      <w:bookmarkStart w:id="100" w:name="OLE_LINK1941"/>
      <w:bookmarkStart w:id="101" w:name="OLE_LINK1995"/>
      <w:bookmarkStart w:id="102" w:name="OLE_LINK1938"/>
      <w:bookmarkStart w:id="103" w:name="OLE_LINK2081"/>
      <w:bookmarkStart w:id="104" w:name="OLE_LINK2082"/>
      <w:bookmarkStart w:id="105" w:name="OLE_LINK2292"/>
      <w:bookmarkStart w:id="106" w:name="OLE_LINK1931"/>
      <w:bookmarkStart w:id="107" w:name="OLE_LINK1964"/>
      <w:bookmarkStart w:id="108" w:name="OLE_LINK2020"/>
      <w:bookmarkStart w:id="109" w:name="OLE_LINK2071"/>
      <w:bookmarkStart w:id="110" w:name="OLE_LINK2134"/>
      <w:bookmarkStart w:id="111" w:name="OLE_LINK2265"/>
      <w:bookmarkStart w:id="112" w:name="OLE_LINK2562"/>
      <w:bookmarkStart w:id="113" w:name="OLE_LINK1923"/>
      <w:bookmarkStart w:id="114" w:name="OLE_LINK2192"/>
      <w:bookmarkStart w:id="115" w:name="OLE_LINK2110"/>
      <w:bookmarkStart w:id="116" w:name="OLE_LINK2445"/>
      <w:bookmarkStart w:id="117" w:name="OLE_LINK2446"/>
      <w:bookmarkStart w:id="118" w:name="OLE_LINK2169"/>
      <w:bookmarkStart w:id="119" w:name="OLE_LINK2190"/>
      <w:bookmarkStart w:id="120" w:name="OLE_LINK2331"/>
      <w:bookmarkStart w:id="121" w:name="OLE_LINK2345"/>
      <w:bookmarkStart w:id="122" w:name="OLE_LINK2467"/>
      <w:bookmarkStart w:id="123" w:name="OLE_LINK2484"/>
      <w:bookmarkStart w:id="124" w:name="OLE_LINK2157"/>
      <w:bookmarkStart w:id="125" w:name="OLE_LINK2221"/>
      <w:bookmarkStart w:id="126" w:name="OLE_LINK2252"/>
      <w:bookmarkStart w:id="127" w:name="OLE_LINK2348"/>
      <w:bookmarkStart w:id="128" w:name="OLE_LINK2451"/>
      <w:bookmarkStart w:id="129" w:name="OLE_LINK2627"/>
      <w:bookmarkStart w:id="130" w:name="OLE_LINK2482"/>
      <w:bookmarkStart w:id="131" w:name="OLE_LINK2663"/>
      <w:bookmarkStart w:id="132" w:name="OLE_LINK2761"/>
      <w:bookmarkStart w:id="133" w:name="OLE_LINK2856"/>
      <w:bookmarkStart w:id="134" w:name="OLE_LINK2993"/>
      <w:bookmarkStart w:id="135" w:name="OLE_LINK2643"/>
      <w:bookmarkStart w:id="136" w:name="OLE_LINK2583"/>
      <w:bookmarkStart w:id="137" w:name="OLE_LINK2762"/>
      <w:bookmarkStart w:id="138" w:name="OLE_LINK2962"/>
      <w:bookmarkStart w:id="139" w:name="OLE_LINK2582"/>
      <w:r w:rsidRPr="003310E2">
        <w:rPr>
          <w:rFonts w:ascii="Book Antiqua" w:hAnsi="Book Antiqua"/>
          <w:b/>
          <w:color w:val="000000"/>
          <w:sz w:val="24"/>
          <w:szCs w:val="24"/>
          <w:lang w:val="en-GB"/>
        </w:rPr>
        <w:t xml:space="preserve">© </w:t>
      </w:r>
      <w:r w:rsidRPr="00FB2116">
        <w:rPr>
          <w:rFonts w:ascii="Book Antiqua" w:eastAsia="AdvTimes" w:hAnsi="Book Antiqua" w:cs="AdvTimes"/>
          <w:b/>
          <w:color w:val="000000"/>
          <w:sz w:val="24"/>
          <w:szCs w:val="24"/>
          <w:lang w:val="en-US"/>
        </w:rPr>
        <w:t>The Author(s) 201</w:t>
      </w:r>
      <w:r w:rsidRPr="00FB2116">
        <w:rPr>
          <w:rFonts w:ascii="Book Antiqua" w:hAnsi="Book Antiqua" w:cs="AdvTimes"/>
          <w:b/>
          <w:color w:val="000000"/>
          <w:sz w:val="24"/>
          <w:szCs w:val="24"/>
          <w:lang w:val="en-US"/>
        </w:rPr>
        <w:t>6</w:t>
      </w:r>
      <w:r w:rsidRPr="00FB2116">
        <w:rPr>
          <w:rFonts w:ascii="Book Antiqua" w:eastAsia="AdvTimes" w:hAnsi="Book Antiqua" w:cs="AdvTimes"/>
          <w:b/>
          <w:color w:val="000000"/>
          <w:sz w:val="24"/>
          <w:szCs w:val="24"/>
          <w:lang w:val="en-US"/>
        </w:rPr>
        <w:t>.</w:t>
      </w:r>
      <w:r w:rsidRPr="00FB2116">
        <w:rPr>
          <w:rFonts w:ascii="Book Antiqua" w:eastAsia="AdvTimes" w:hAnsi="Book Antiqua" w:cs="AdvTimes"/>
          <w:color w:val="000000"/>
          <w:sz w:val="24"/>
          <w:szCs w:val="24"/>
          <w:lang w:val="en-US"/>
        </w:rPr>
        <w:t xml:space="preserve"> Published by </w:t>
      </w:r>
      <w:r w:rsidRPr="003310E2">
        <w:rPr>
          <w:rFonts w:ascii="Book Antiqua" w:hAnsi="Book Antiqua" w:cs="Arial Unicode MS"/>
          <w:color w:val="000000"/>
          <w:sz w:val="24"/>
          <w:szCs w:val="24"/>
          <w:lang w:val="en-GB"/>
        </w:rPr>
        <w:t>Baishideng Publishing Group Inc.</w:t>
      </w:r>
      <w:r w:rsidRPr="00FB2116">
        <w:rPr>
          <w:rFonts w:ascii="Book Antiqua" w:hAnsi="Book Antiqua" w:cs="Arial Unicode MS"/>
          <w:sz w:val="24"/>
          <w:szCs w:val="24"/>
          <w:lang w:val="en-US"/>
        </w:rPr>
        <w:t xml:space="preserve"> All rights reserved.</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rsidR="00960F16" w:rsidRPr="003310E2" w:rsidRDefault="00960F16" w:rsidP="003B0F97">
      <w:pPr>
        <w:adjustRightInd w:val="0"/>
        <w:snapToGrid w:val="0"/>
        <w:spacing w:after="0" w:line="360" w:lineRule="auto"/>
        <w:jc w:val="both"/>
        <w:rPr>
          <w:rFonts w:ascii="Book Antiqua" w:hAnsi="Book Antiqua" w:cs="Arial"/>
          <w:b/>
          <w:sz w:val="24"/>
          <w:szCs w:val="24"/>
          <w:lang w:val="en-US" w:eastAsia="zh-CN"/>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Core tip:</w:t>
      </w:r>
      <w:r w:rsidRPr="003310E2">
        <w:rPr>
          <w:rFonts w:ascii="Book Antiqua" w:eastAsia="Times New Roman" w:hAnsi="Book Antiqua" w:cs="Arial"/>
          <w:sz w:val="24"/>
          <w:szCs w:val="24"/>
          <w:lang w:val="en-US"/>
        </w:rPr>
        <w:t xml:space="preserve"> This study assessed the immunohistochemistry-detected expression of several protein products of genes known to be involved in the molecular pathogenesis of hepatocellular carcinoma (HCC) in a retrospective autopsy cohort of patients with HCC. The data showed that expression profiles of these markers may be related to different pathways underlying HCC progression and metastasis, and that the Edmondson-Steiner's tumor grade may reflect currently recognized molecular subclasses of HCC. </w:t>
      </w:r>
      <w:r w:rsidRPr="003310E2">
        <w:rPr>
          <w:rFonts w:ascii="Book Antiqua" w:hAnsi="Book Antiqua" w:cs="Arial"/>
          <w:sz w:val="24"/>
          <w:szCs w:val="24"/>
          <w:lang w:val="en-US"/>
        </w:rPr>
        <w:t>This cross-sectional analysis supports the strategy of translating genomic data into panels of immunohistochemical markers for risk evaluation in HCC and also reinforces the paramount importance of histological grade in this context.</w:t>
      </w:r>
    </w:p>
    <w:p w:rsidR="003C39BE" w:rsidRPr="003310E2" w:rsidRDefault="003C39BE" w:rsidP="003B0F97">
      <w:pPr>
        <w:adjustRightInd w:val="0"/>
        <w:snapToGrid w:val="0"/>
        <w:spacing w:after="0" w:line="360" w:lineRule="auto"/>
        <w:jc w:val="both"/>
        <w:rPr>
          <w:rFonts w:ascii="Book Antiqua" w:hAnsi="Book Antiqua"/>
          <w:sz w:val="24"/>
          <w:szCs w:val="24"/>
          <w:lang w:val="en-US"/>
        </w:rPr>
      </w:pPr>
    </w:p>
    <w:p w:rsidR="00960F16" w:rsidRPr="003310E2" w:rsidRDefault="003C39BE" w:rsidP="003B0F97">
      <w:pPr>
        <w:adjustRightInd w:val="0"/>
        <w:snapToGrid w:val="0"/>
        <w:spacing w:after="0" w:line="360" w:lineRule="auto"/>
        <w:jc w:val="both"/>
        <w:rPr>
          <w:rFonts w:ascii="Book Antiqua" w:hAnsi="Book Antiqua"/>
          <w:sz w:val="24"/>
          <w:szCs w:val="24"/>
          <w:lang w:val="en-US" w:eastAsia="zh-CN"/>
        </w:rPr>
      </w:pPr>
      <w:r w:rsidRPr="003E1884">
        <w:rPr>
          <w:rFonts w:ascii="Book Antiqua" w:hAnsi="Book Antiqua"/>
          <w:sz w:val="24"/>
          <w:szCs w:val="24"/>
        </w:rPr>
        <w:t>Felipe-Silva A, Wakamatsu A, dos Santos Cirqueira C, Alves VA</w:t>
      </w:r>
      <w:r w:rsidR="00960F16" w:rsidRPr="003E1884">
        <w:rPr>
          <w:rFonts w:ascii="Book Antiqua" w:hAnsi="Book Antiqua"/>
          <w:sz w:val="24"/>
          <w:szCs w:val="24"/>
          <w:lang w:eastAsia="zh-CN"/>
        </w:rPr>
        <w:t>.</w:t>
      </w:r>
      <w:r w:rsidRPr="003E1884">
        <w:rPr>
          <w:rFonts w:ascii="Book Antiqua" w:hAnsi="Book Antiqua"/>
          <w:sz w:val="24"/>
          <w:szCs w:val="24"/>
        </w:rPr>
        <w:t xml:space="preserve"> </w:t>
      </w:r>
      <w:r w:rsidR="00960F16" w:rsidRPr="003310E2">
        <w:rPr>
          <w:rFonts w:ascii="Book Antiqua" w:hAnsi="Book Antiqua"/>
          <w:sz w:val="24"/>
          <w:szCs w:val="24"/>
          <w:lang w:val="en-US"/>
        </w:rPr>
        <w:t>Immunohistochemistry panel segregates molecular types of hepatocellular carcinoma in Brazilian autopsy cases</w:t>
      </w:r>
      <w:r w:rsidR="00960F16" w:rsidRPr="003310E2">
        <w:rPr>
          <w:rFonts w:ascii="Book Antiqua" w:hAnsi="Book Antiqua"/>
          <w:sz w:val="24"/>
          <w:szCs w:val="24"/>
          <w:lang w:val="en-US" w:eastAsia="zh-CN"/>
        </w:rPr>
        <w:t xml:space="preserve">. </w:t>
      </w:r>
      <w:r w:rsidR="00960F16" w:rsidRPr="003310E2">
        <w:rPr>
          <w:rFonts w:ascii="Book Antiqua" w:hAnsi="Book Antiqua"/>
          <w:i/>
          <w:sz w:val="24"/>
          <w:szCs w:val="24"/>
          <w:lang w:val="en-US" w:eastAsia="zh-CN"/>
        </w:rPr>
        <w:t>World J Gastroenterol</w:t>
      </w:r>
      <w:r w:rsidR="00960F16" w:rsidRPr="003310E2">
        <w:rPr>
          <w:rFonts w:ascii="Book Antiqua" w:hAnsi="Book Antiqua"/>
          <w:sz w:val="24"/>
          <w:szCs w:val="24"/>
          <w:lang w:val="en-US" w:eastAsia="zh-CN"/>
        </w:rPr>
        <w:t xml:space="preserve"> 2016; In press</w:t>
      </w:r>
    </w:p>
    <w:p w:rsidR="003C39BE" w:rsidRPr="003310E2" w:rsidRDefault="003C39BE" w:rsidP="003B0F97">
      <w:pPr>
        <w:adjustRightInd w:val="0"/>
        <w:snapToGrid w:val="0"/>
        <w:spacing w:after="0" w:line="360" w:lineRule="auto"/>
        <w:jc w:val="both"/>
        <w:rPr>
          <w:rFonts w:ascii="Book Antiqua" w:hAnsi="Book Antiqua"/>
          <w:sz w:val="24"/>
          <w:szCs w:val="24"/>
          <w:lang w:val="en-US" w:eastAsia="zh-CN"/>
        </w:rPr>
      </w:pPr>
    </w:p>
    <w:p w:rsidR="003C39BE" w:rsidRPr="003310E2" w:rsidRDefault="003C39BE" w:rsidP="003B0F97">
      <w:pPr>
        <w:adjustRightInd w:val="0"/>
        <w:snapToGrid w:val="0"/>
        <w:spacing w:after="0" w:line="360" w:lineRule="auto"/>
        <w:jc w:val="both"/>
        <w:rPr>
          <w:rFonts w:ascii="Book Antiqua" w:hAnsi="Book Antiqua" w:cs="Arial"/>
          <w:b/>
          <w:sz w:val="24"/>
          <w:szCs w:val="24"/>
          <w:u w:val="single"/>
          <w:lang w:val="en-US"/>
        </w:rPr>
      </w:pPr>
    </w:p>
    <w:p w:rsidR="003C39BE" w:rsidRPr="003310E2" w:rsidRDefault="003C39BE" w:rsidP="003B0F97">
      <w:pPr>
        <w:adjustRightInd w:val="0"/>
        <w:snapToGrid w:val="0"/>
        <w:spacing w:after="0" w:line="360" w:lineRule="auto"/>
        <w:rPr>
          <w:rFonts w:ascii="Book Antiqua" w:hAnsi="Book Antiqua" w:cs="Arial"/>
          <w:b/>
          <w:sz w:val="24"/>
          <w:szCs w:val="24"/>
          <w:u w:val="single"/>
          <w:lang w:val="en-US"/>
        </w:rPr>
      </w:pPr>
      <w:r w:rsidRPr="003310E2">
        <w:rPr>
          <w:rFonts w:ascii="Book Antiqua" w:hAnsi="Book Antiqua" w:cs="Arial"/>
          <w:b/>
          <w:sz w:val="24"/>
          <w:szCs w:val="24"/>
          <w:u w:val="single"/>
          <w:lang w:val="en-US"/>
        </w:rPr>
        <w:br w:type="page"/>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lastRenderedPageBreak/>
        <w:t>INTRODUCTION</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Hepatocellular carcinoma (HCC) has a high incidence in East Asia and Africa, where the rate of infection with hepatitis B virus (HBV) and intake of aflatoxin are more prevalent. Recent years have seen increasing rates of HCC incidence and mortality in western countries, including Brazil, where cirrhosis-related infection with the hepatitis C virus (HCV) predominates</w:t>
      </w:r>
      <w:r w:rsidRPr="003310E2">
        <w:rPr>
          <w:rFonts w:ascii="Book Antiqua" w:hAnsi="Book Antiqua" w:cs="Arial"/>
          <w:sz w:val="24"/>
          <w:szCs w:val="24"/>
          <w:vertAlign w:val="superscript"/>
          <w:lang w:val="en-US"/>
        </w:rPr>
        <w:t>[1,2]</w:t>
      </w:r>
      <w:r w:rsidRPr="003310E2">
        <w:rPr>
          <w:rFonts w:ascii="Book Antiqua" w:hAnsi="Book Antiqua" w:cs="Arial"/>
          <w:sz w:val="24"/>
          <w:szCs w:val="24"/>
          <w:lang w:val="en-US"/>
        </w:rPr>
        <w:t>.</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The recent revival of interest in autopsy studies for advanced neoplasms derives from the unique opportunity a corpse presents to assess morphological and molecular aspects of the progression and dissemination patterns of both primary and metastatic tumors</w:t>
      </w:r>
      <w:r w:rsidRPr="003310E2">
        <w:rPr>
          <w:rFonts w:ascii="Book Antiqua" w:hAnsi="Book Antiqua" w:cs="Arial"/>
          <w:sz w:val="24"/>
          <w:szCs w:val="24"/>
          <w:vertAlign w:val="superscript"/>
          <w:lang w:val="en-US"/>
        </w:rPr>
        <w:t>[3-5]</w:t>
      </w:r>
      <w:r w:rsidRPr="003310E2">
        <w:rPr>
          <w:rFonts w:ascii="Book Antiqua" w:hAnsi="Book Antiqua" w:cs="Arial"/>
          <w:sz w:val="24"/>
          <w:szCs w:val="24"/>
          <w:lang w:val="en-US"/>
        </w:rPr>
        <w:t xml:space="preserve">.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Gene expression studies have proven useful for grouping HCC according to molecular profiles</w:t>
      </w:r>
      <w:r w:rsidRPr="003310E2">
        <w:rPr>
          <w:rFonts w:ascii="Book Antiqua" w:hAnsi="Book Antiqua" w:cs="Arial"/>
          <w:sz w:val="24"/>
          <w:szCs w:val="24"/>
          <w:vertAlign w:val="superscript"/>
          <w:lang w:val="en-US"/>
        </w:rPr>
        <w:t>[6-8]</w:t>
      </w:r>
      <w:r w:rsidRPr="003310E2">
        <w:rPr>
          <w:rFonts w:ascii="Book Antiqua" w:hAnsi="Book Antiqua" w:cs="Arial"/>
          <w:sz w:val="24"/>
          <w:szCs w:val="24"/>
          <w:lang w:val="en-US"/>
        </w:rPr>
        <w:t xml:space="preserve">. A meta-analysis of genetic studies by Hoshida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[9]</w:t>
      </w:r>
      <w:r w:rsidRPr="003310E2">
        <w:rPr>
          <w:rFonts w:ascii="Book Antiqua" w:hAnsi="Book Antiqua" w:cs="Arial"/>
          <w:sz w:val="24"/>
          <w:szCs w:val="24"/>
          <w:lang w:val="en-US"/>
        </w:rPr>
        <w:t xml:space="preserve"> defined at least two groups of HCC. Subsequent analysis characterized more aggressive types of HCC (Hoshida’s S1/S2 subclasses) by the expression of keratin 19 (K19), p53 mutation, and/or regulation by the MET receptor</w:t>
      </w:r>
      <w:r w:rsidRPr="003310E2">
        <w:rPr>
          <w:rFonts w:ascii="Book Antiqua" w:hAnsi="Book Antiqua" w:cs="Arial"/>
          <w:sz w:val="24"/>
          <w:szCs w:val="24"/>
          <w:vertAlign w:val="superscript"/>
          <w:lang w:val="en-US"/>
        </w:rPr>
        <w:t>[10]</w:t>
      </w:r>
      <w:r w:rsidRPr="003310E2">
        <w:rPr>
          <w:rFonts w:ascii="Book Antiqua" w:hAnsi="Book Antiqua" w:cs="Arial"/>
          <w:sz w:val="24"/>
          <w:szCs w:val="24"/>
          <w:lang w:val="en-US"/>
        </w:rPr>
        <w:t>; moreover, this high-proliferation HCC group also appeared to be related to a stem-cell phenotype. A less aggressive type of HCC (Hoshida’s S3 subclass) retains the hepatocyte-like phenotype and includes the molecular categories featuring chromosome 7 polysomy (wherein the epidermal growth factor receptor [EGFR] gene and MET oncogene are located) and CTNNB1-mediated activation of the Wnt pathway</w:t>
      </w:r>
      <w:r w:rsidRPr="003310E2">
        <w:rPr>
          <w:rFonts w:ascii="Book Antiqua" w:hAnsi="Book Antiqua" w:cs="Arial"/>
          <w:sz w:val="24"/>
          <w:szCs w:val="24"/>
          <w:vertAlign w:val="superscript"/>
          <w:lang w:val="en-US"/>
        </w:rPr>
        <w:t>[11,12]</w:t>
      </w:r>
      <w:r w:rsidRPr="003310E2">
        <w:rPr>
          <w:rFonts w:ascii="Book Antiqua" w:hAnsi="Book Antiqua" w:cs="Arial"/>
          <w:sz w:val="24"/>
          <w:szCs w:val="24"/>
          <w:lang w:val="en-US"/>
        </w:rPr>
        <w:t>. Two other molecular categories feature activation of the interferon pathway and amplification of the VEGFA gene</w:t>
      </w:r>
      <w:r w:rsidRPr="003310E2">
        <w:rPr>
          <w:rFonts w:ascii="Book Antiqua" w:hAnsi="Book Antiqua" w:cs="Arial"/>
          <w:sz w:val="24"/>
          <w:szCs w:val="24"/>
          <w:vertAlign w:val="superscript"/>
          <w:lang w:val="en-US"/>
        </w:rPr>
        <w:t>[13]</w:t>
      </w:r>
      <w:r w:rsidRPr="003310E2">
        <w:rPr>
          <w:rFonts w:ascii="Book Antiqua" w:hAnsi="Book Antiqua" w:cs="Arial"/>
          <w:sz w:val="24"/>
          <w:szCs w:val="24"/>
          <w:lang w:val="en-US"/>
        </w:rPr>
        <w:t xml:space="preserve">.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In the present study, we assessed the expression of protein products of genes that have been reported as relevant for the molecular classification of HCC using an autopsy cohort of patients with HCC. </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MATERIALS AND METHODS</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r w:rsidRPr="003310E2">
        <w:rPr>
          <w:rFonts w:ascii="Book Antiqua" w:hAnsi="Book Antiqua" w:cs="Arial"/>
          <w:b/>
          <w:i/>
          <w:sz w:val="24"/>
          <w:szCs w:val="24"/>
          <w:lang w:val="en-US"/>
        </w:rPr>
        <w:t>Autopsies and tissue microarrays</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lastRenderedPageBreak/>
        <w:t>Among the total 5836 medical autopsies performed in the Pathology Department of the University of Sao Paulo School of Medicine Hospital between the years of 2003 and 2009, 188 presented primary liver tumors. Excluding tumors that were determined to be cholangiocarcinomas (</w:t>
      </w:r>
      <w:r w:rsidRPr="003310E2">
        <w:rPr>
          <w:rFonts w:ascii="Book Antiqua" w:hAnsi="Book Antiqua" w:cs="Arial"/>
          <w:i/>
          <w:sz w:val="24"/>
          <w:szCs w:val="24"/>
          <w:lang w:val="en-US"/>
        </w:rPr>
        <w:t>n</w:t>
      </w:r>
      <w:r w:rsidRPr="003310E2">
        <w:rPr>
          <w:rFonts w:ascii="Book Antiqua" w:hAnsi="Book Antiqua" w:cs="Arial"/>
          <w:sz w:val="24"/>
          <w:szCs w:val="24"/>
          <w:lang w:val="en-US"/>
        </w:rPr>
        <w:t xml:space="preserve"> = 65), combined hepatocellular-cholangiocarcinoma (</w:t>
      </w:r>
      <w:r w:rsidRPr="003310E2">
        <w:rPr>
          <w:rFonts w:ascii="Book Antiqua" w:hAnsi="Book Antiqua" w:cs="Arial"/>
          <w:i/>
          <w:sz w:val="24"/>
          <w:szCs w:val="24"/>
          <w:lang w:val="en-US"/>
        </w:rPr>
        <w:t>n</w:t>
      </w:r>
      <w:r w:rsidRPr="003310E2">
        <w:rPr>
          <w:rFonts w:ascii="Book Antiqua" w:hAnsi="Book Antiqua" w:cs="Arial"/>
          <w:sz w:val="24"/>
          <w:szCs w:val="24"/>
          <w:lang w:val="en-US"/>
        </w:rPr>
        <w:t xml:space="preserve"> = 1), epithelioid hemangioendothelioma (</w:t>
      </w:r>
      <w:r w:rsidRPr="003310E2">
        <w:rPr>
          <w:rFonts w:ascii="Book Antiqua" w:hAnsi="Book Antiqua" w:cs="Arial"/>
          <w:i/>
          <w:sz w:val="24"/>
          <w:szCs w:val="24"/>
          <w:lang w:val="en-US"/>
        </w:rPr>
        <w:t>n</w:t>
      </w:r>
      <w:r w:rsidRPr="003310E2">
        <w:rPr>
          <w:rFonts w:ascii="Book Antiqua" w:hAnsi="Book Antiqua" w:cs="Arial"/>
          <w:sz w:val="24"/>
          <w:szCs w:val="24"/>
          <w:lang w:val="en-US"/>
        </w:rPr>
        <w:t xml:space="preserve"> = 1) and other malignant non-HCC neoplasms and poorly preserved specimens (</w:t>
      </w:r>
      <w:r w:rsidRPr="003310E2">
        <w:rPr>
          <w:rFonts w:ascii="Book Antiqua" w:hAnsi="Book Antiqua" w:cs="Arial"/>
          <w:i/>
          <w:sz w:val="24"/>
          <w:szCs w:val="24"/>
          <w:lang w:val="en-US"/>
        </w:rPr>
        <w:t>n</w:t>
      </w:r>
      <w:r w:rsidRPr="003310E2">
        <w:rPr>
          <w:rFonts w:ascii="Book Antiqua" w:hAnsi="Book Antiqua" w:cs="Arial"/>
          <w:sz w:val="24"/>
          <w:szCs w:val="24"/>
          <w:lang w:val="en-US"/>
        </w:rPr>
        <w:t xml:space="preserve"> = 13), 108 cases were confirmed as HCC. These cases, and all related data, were recorded consecutively in the paper files and electronic database of </w:t>
      </w:r>
      <w:r w:rsidRPr="003310E2">
        <w:rPr>
          <w:rFonts w:ascii="Book Antiqua" w:hAnsi="Book Antiqua"/>
          <w:color w:val="212121"/>
          <w:sz w:val="24"/>
          <w:szCs w:val="24"/>
          <w:lang w:val="en-US"/>
        </w:rPr>
        <w:t xml:space="preserve">the Hospital das Clínicas of the </w:t>
      </w:r>
      <w:r w:rsidRPr="003310E2">
        <w:rPr>
          <w:rFonts w:ascii="Book Antiqua" w:hAnsi="Book Antiqua" w:cs="Arial"/>
          <w:iCs/>
          <w:sz w:val="24"/>
          <w:szCs w:val="24"/>
          <w:lang w:val="en-US"/>
        </w:rPr>
        <w:t>University of Sao Paulo School Of Medicine, Brazil’s</w:t>
      </w:r>
      <w:r w:rsidRPr="003310E2" w:rsidDel="00A2653D">
        <w:rPr>
          <w:rFonts w:ascii="Book Antiqua" w:hAnsi="Book Antiqua" w:cs="Arial"/>
          <w:sz w:val="24"/>
          <w:szCs w:val="24"/>
          <w:lang w:val="en-US"/>
        </w:rPr>
        <w:t xml:space="preserve"> </w:t>
      </w:r>
      <w:r w:rsidRPr="003310E2">
        <w:rPr>
          <w:rFonts w:ascii="Book Antiqua" w:hAnsi="Book Antiqua" w:cs="Arial"/>
          <w:sz w:val="24"/>
          <w:szCs w:val="24"/>
          <w:lang w:val="en-US"/>
        </w:rPr>
        <w:t xml:space="preserve">largest academic hospital, and were accessed for study in accordance with the investigative protocols of the hospital’s </w:t>
      </w:r>
      <w:r w:rsidRPr="003310E2">
        <w:rPr>
          <w:rFonts w:ascii="Book Antiqua" w:hAnsi="Book Antiqua"/>
          <w:color w:val="212121"/>
          <w:sz w:val="24"/>
          <w:szCs w:val="24"/>
          <w:lang w:val="en-US"/>
        </w:rPr>
        <w:t>Ethics Committee for Research Project Analysis (CAPPesq)</w:t>
      </w:r>
      <w:r w:rsidRPr="003310E2">
        <w:rPr>
          <w:rFonts w:ascii="Book Antiqua" w:hAnsi="Book Antiqua" w:cs="Arial"/>
          <w:iCs/>
          <w:sz w:val="24"/>
          <w:szCs w:val="24"/>
          <w:lang w:val="en-US"/>
        </w:rPr>
        <w:t>.</w:t>
      </w:r>
      <w:r w:rsidRPr="003310E2">
        <w:rPr>
          <w:rFonts w:ascii="Book Antiqua" w:hAnsi="Book Antiqua" w:cs="Arial"/>
          <w:sz w:val="24"/>
          <w:szCs w:val="24"/>
          <w:lang w:val="en-US"/>
        </w:rPr>
        <w:t xml:space="preserve"> Archived pathological slides were reviewed for each case, and sufficient preserved tumor tissue and clinicopathological data was available for 80 of the 108 HCC cases reviewed. </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ab/>
        <w:t>All corpses had been preserved by routine refrigeration. Standard immunostaining practices were used for detection of vimentin expression. Normal (non-cancerous) tissues were also obtained from the HCC patients for use as internal controls and examined to provide evidence of adequate tissue preservation prior to continuing with further immunohistochemistry procedures. Detailed pathological data were recorded. Clinical and demographic data were retrieved from medical records and autopsy reports. The primary objective of the histological review was to define the major architectural patterns and histological grading (1–4) according to the system set forth by Edmondson and Steiner</w:t>
      </w:r>
      <w:r w:rsidRPr="003310E2">
        <w:rPr>
          <w:rFonts w:ascii="Book Antiqua" w:hAnsi="Book Antiqua" w:cs="Arial"/>
          <w:sz w:val="24"/>
          <w:szCs w:val="24"/>
          <w:vertAlign w:val="superscript"/>
          <w:lang w:val="en-US"/>
        </w:rPr>
        <w:t>[14]</w:t>
      </w:r>
      <w:r w:rsidRPr="003310E2">
        <w:rPr>
          <w:rFonts w:ascii="Book Antiqua" w:hAnsi="Book Antiqua" w:cs="Arial"/>
          <w:sz w:val="24"/>
          <w:szCs w:val="24"/>
          <w:lang w:val="en-US"/>
        </w:rPr>
        <w:t>. Tumors showing heterogeneous histological grades were classified as the highest grade shown</w:t>
      </w:r>
      <w:r w:rsidRPr="003310E2">
        <w:rPr>
          <w:rFonts w:ascii="Book Antiqua" w:hAnsi="Book Antiqua" w:cs="Arial"/>
          <w:sz w:val="24"/>
          <w:szCs w:val="24"/>
          <w:vertAlign w:val="superscript"/>
          <w:lang w:val="en-US"/>
        </w:rPr>
        <w:t>[15]</w:t>
      </w:r>
      <w:r w:rsidRPr="003310E2">
        <w:rPr>
          <w:rFonts w:ascii="Book Antiqua" w:hAnsi="Book Antiqua" w:cs="Arial"/>
          <w:sz w:val="24"/>
          <w:szCs w:val="24"/>
          <w:lang w:val="en-US"/>
        </w:rPr>
        <w:t xml:space="preserve">. HCC nodules &lt; 2 cm were considered incidental. Presence of multiple intrahepatic nodules (≥ 4)—regardless of either massive or diffuse type—prompted analysis of primary HCC and intrahepatic metastases as intrahepatic tumors. Paraffin-embedded tissue blocks of primary HCC, extrahepatic metastases and non-neoplastic liver were selected for use in </w:t>
      </w:r>
      <w:r w:rsidRPr="003310E2">
        <w:rPr>
          <w:rFonts w:ascii="Book Antiqua" w:hAnsi="Book Antiqua" w:cs="Arial"/>
          <w:sz w:val="24"/>
          <w:szCs w:val="24"/>
          <w:lang w:val="en-US"/>
        </w:rPr>
        <w:lastRenderedPageBreak/>
        <w:t xml:space="preserve">construction of tissue microarray (TMA) and immunohistochemistry (IHC). Liver fibrosis was classified using a standard 0-4 system, wherein F0 indicated no fibrosis, F1 indicated portal fibrosis without septa, F2 indicated portal fibrosis with few septa, F3 indicated numerous septa without cirrhosis, and F4 indicated cirrhosis. </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i/>
          <w:sz w:val="24"/>
          <w:szCs w:val="24"/>
          <w:lang w:val="en-US"/>
        </w:rPr>
        <w:t>TMAs</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TMAs are </w:t>
      </w:r>
      <w:r w:rsidRPr="003310E2">
        <w:rPr>
          <w:rFonts w:ascii="Book Antiqua" w:eastAsia="Times New Roman" w:hAnsi="Book Antiqua" w:cs="Arial"/>
          <w:sz w:val="24"/>
          <w:szCs w:val="24"/>
          <w:lang w:val="en-US"/>
        </w:rPr>
        <w:t xml:space="preserve">produced by extracting the tissue cores from many paraffin-donor blocks and then re-embedding into a single recipient block at defined array coordinates. </w:t>
      </w:r>
      <w:r w:rsidRPr="003310E2">
        <w:rPr>
          <w:rFonts w:ascii="Book Antiqua" w:hAnsi="Book Antiqua" w:cs="Arial"/>
          <w:sz w:val="24"/>
          <w:szCs w:val="24"/>
          <w:lang w:val="en-US"/>
        </w:rPr>
        <w:t>For this study, two or three 1.0 mm cores of each original sampled tissue—primary HCC, extrahepatic metastases, and non-neoplastic liver—were selected for TMA. Cores of the primary HCC and extrahepatic metastases samples were used to construct two (duplicate) TMAs each, and the cores of the non-neoplastic samples were used to construct one TMA. For heterogeneous tumors, different areas were cored separately. When more than one primary HCC was present in a single case, all tumors were sampled, but data were computed for the largest one. Available non-neoplastic liver samples were selected as far from the tumor border as possible, usually from a different paraffin block. All available extrahepatic metastases and large vein invasion samples were cored.</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r w:rsidRPr="003310E2">
        <w:rPr>
          <w:rFonts w:ascii="Book Antiqua" w:hAnsi="Book Antiqua" w:cs="Arial"/>
          <w:b/>
          <w:i/>
          <w:sz w:val="24"/>
          <w:szCs w:val="24"/>
          <w:lang w:val="en-US"/>
        </w:rPr>
        <w:t>IHC and case categorization</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Table 1 summarizes the protocols of the IHC procedures and respective antibodies used in this study.</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In brief, the slide-mounted sections of the paraffin-embedded tissues were deparaffinized and rehydrated. Antigen retrieval consisted of submerging the slides in 10 mM citrate buffer (pH 6) and steam heating for 40 min. After washing with distilled water, blocking of endogenous peroxidase was carried out by incubating with 6% hydrogen peroxide solution in methanol at room temperature for 10 min and repeating twice. Universal protein blocking was carried out by </w:t>
      </w:r>
      <w:r w:rsidRPr="003310E2">
        <w:rPr>
          <w:rFonts w:ascii="Book Antiqua" w:hAnsi="Book Antiqua" w:cs="Arial"/>
          <w:sz w:val="24"/>
          <w:szCs w:val="24"/>
          <w:lang w:val="en-US"/>
        </w:rPr>
        <w:lastRenderedPageBreak/>
        <w:t>incubating CASBlock™ solution (Invitrogen, United States) at 37</w:t>
      </w:r>
      <w:r w:rsidR="00091C46"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°C for 10 min. Antigen detection with the primary antibody was carried out by incubating first at 37</w:t>
      </w:r>
      <w:r w:rsidR="00091C46"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°C for 30 min and then at 4</w:t>
      </w:r>
      <w:r w:rsidR="00091C46"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°C</w:t>
      </w:r>
      <w:r w:rsidRPr="003310E2" w:rsidDel="00997ED9">
        <w:rPr>
          <w:rFonts w:ascii="Book Antiqua" w:hAnsi="Book Antiqua" w:cs="Arial"/>
          <w:sz w:val="24"/>
          <w:szCs w:val="24"/>
          <w:lang w:val="en-US"/>
        </w:rPr>
        <w:t xml:space="preserve"> </w:t>
      </w:r>
      <w:r w:rsidRPr="003310E2">
        <w:rPr>
          <w:rFonts w:ascii="Book Antiqua" w:hAnsi="Book Antiqua" w:cs="Arial"/>
          <w:sz w:val="24"/>
          <w:szCs w:val="24"/>
          <w:lang w:val="en-US"/>
        </w:rPr>
        <w:t>for 18 h. With the exception of EGFR PharmDx, all signal amplifications were achieved by application of the Novolink™ polymer system (Novocastra, United States) with incubation at 37</w:t>
      </w:r>
      <w:r w:rsidR="00091C46"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°C for 30 min. The immunoreactive signal was visualized by first incubating with chromogen 3-3</w:t>
      </w:r>
      <w:r w:rsidRPr="003310E2">
        <w:rPr>
          <w:rFonts w:ascii="Book Antiqua" w:hAnsi="Book Antiqua" w:cs="Times New Roman"/>
          <w:sz w:val="24"/>
          <w:szCs w:val="24"/>
          <w:lang w:val="en-US"/>
        </w:rPr>
        <w:sym w:font="Symbol" w:char="F0A2"/>
      </w:r>
      <w:r w:rsidRPr="003310E2">
        <w:rPr>
          <w:rFonts w:ascii="Book Antiqua" w:hAnsi="Book Antiqua" w:cs="Arial"/>
          <w:sz w:val="24"/>
          <w:szCs w:val="24"/>
          <w:lang w:val="en-US"/>
        </w:rPr>
        <w:t>-diaminobenzidine (60 mg/dL in a phosphate buffer pH 7.4) at 37</w:t>
      </w:r>
      <w:r w:rsidR="00091C46"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°C for 5 min, followed by washes with distilled water, counterstaining with Harris’ hematoxylin by incubation at room temperature for 1 min, dehydration in a progressive alcohol series, clearing in xylene, and mounting with Entellan™ (Merck, United States).</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Assessment of EGFR was carried out by applying the EGFR PharmDx Kit (Dako, United States) according to the manufacturer’s instructions. EGFR membrane expression was classified according to staining intensity, with scoring from 0 to 3+, and according to distribution among the HCC cells (0% to 100%). A score from 0 (no staining) to 300 (100% strong staining) was assigned to each spot by two independent pathologists. For spots where the two pathologists gave differing scores, a consensus score was reached with the two working in tandem on a two-observing microscope. For each case, a final score was calculated as the arithmetical average of all spots for that sample. The score for metastatic disease was calculated as the arithmetical average of the available metastases. Cases or samples were classified as EGFR-expressing when the score was &gt; 0 and subclassified as “EGFR-overexpressing” when the final score was ≥ 200.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Membrane beta-catenin, </w:t>
      </w:r>
      <w:r w:rsidRPr="003310E2">
        <w:rPr>
          <w:rStyle w:val="Strong"/>
          <w:rFonts w:ascii="Book Antiqua" w:hAnsi="Book Antiqua" w:cs="Arial"/>
          <w:b w:val="0"/>
          <w:sz w:val="24"/>
          <w:szCs w:val="24"/>
          <w:lang w:val="en-US"/>
        </w:rPr>
        <w:t>mechanistic target of rapamycin</w:t>
      </w:r>
      <w:r w:rsidRPr="003310E2">
        <w:rPr>
          <w:rFonts w:ascii="Book Antiqua" w:hAnsi="Book Antiqua" w:cs="Arial"/>
          <w:sz w:val="24"/>
          <w:szCs w:val="24"/>
          <w:lang w:val="en-US"/>
        </w:rPr>
        <w:t xml:space="preserve"> (mTOR), MET, caspase 3, vimentin, extracellular signaling-related kinase (ERK)1 and ERK2 were analyzed using a scoring system similar to that described for EGFR, with both intensity and distribution of immunostaining being considered to obtain a score between 0 and 300. The cut-off values for expression and overexpression were set at 100 (of 300) and 200 (of 300), respectively, for membrane beta-catenin, mTOR, MET, ERK1 and ERK2. Any expression of vimentin in tumor cells was considered </w:t>
      </w:r>
      <w:r w:rsidRPr="003310E2">
        <w:rPr>
          <w:rFonts w:ascii="Book Antiqua" w:hAnsi="Book Antiqua" w:cs="Arial"/>
          <w:sz w:val="24"/>
          <w:szCs w:val="24"/>
          <w:lang w:val="en-US"/>
        </w:rPr>
        <w:lastRenderedPageBreak/>
        <w:t>abnormal, with the cut-off being 0 (of 300). For caspase 3, an expression score &lt; 10 (of 300) was considered to</w:t>
      </w:r>
      <w:r w:rsidR="00091C46" w:rsidRPr="003310E2">
        <w:rPr>
          <w:rFonts w:ascii="Book Antiqua" w:hAnsi="Book Antiqua" w:cs="Arial"/>
          <w:sz w:val="24"/>
          <w:szCs w:val="24"/>
          <w:lang w:val="en-US"/>
        </w:rPr>
        <w:t xml:space="preserve"> indicate a “loss of expression</w:t>
      </w:r>
      <w:r w:rsidRPr="003310E2">
        <w:rPr>
          <w:rFonts w:ascii="Book Antiqua" w:hAnsi="Book Antiqua" w:cs="Arial"/>
          <w:sz w:val="24"/>
          <w:szCs w:val="24"/>
          <w:lang w:val="en-US"/>
        </w:rPr>
        <w:t>”</w:t>
      </w:r>
      <w:r w:rsidR="00091C46" w:rsidRPr="003310E2">
        <w:rPr>
          <w:rFonts w:ascii="Book Antiqua" w:hAnsi="Book Antiqua" w:cs="Arial"/>
          <w:sz w:val="24"/>
          <w:szCs w:val="24"/>
          <w:lang w:val="en-US" w:eastAsia="zh-CN"/>
        </w:rPr>
        <w:t>.</w:t>
      </w:r>
      <w:r w:rsidRPr="003310E2">
        <w:rPr>
          <w:rFonts w:ascii="Book Antiqua" w:hAnsi="Book Antiqua" w:cs="Arial"/>
          <w:sz w:val="24"/>
          <w:szCs w:val="24"/>
          <w:lang w:val="en-US"/>
        </w:rPr>
        <w:t xml:space="preserve"> </w:t>
      </w:r>
    </w:p>
    <w:p w:rsidR="003C39BE" w:rsidRPr="003310E2" w:rsidRDefault="003C39BE" w:rsidP="003B0F97">
      <w:pPr>
        <w:adjustRightInd w:val="0"/>
        <w:snapToGrid w:val="0"/>
        <w:spacing w:after="0" w:line="360" w:lineRule="auto"/>
        <w:ind w:firstLineChars="200" w:firstLine="480"/>
        <w:jc w:val="both"/>
        <w:rPr>
          <w:rFonts w:ascii="Book Antiqua" w:hAnsi="Book Antiqua" w:cs="Arial"/>
          <w:b/>
          <w:i/>
          <w:sz w:val="24"/>
          <w:szCs w:val="24"/>
          <w:lang w:val="en-US"/>
        </w:rPr>
      </w:pPr>
      <w:r w:rsidRPr="003310E2">
        <w:rPr>
          <w:rFonts w:ascii="Book Antiqua" w:hAnsi="Book Antiqua" w:cs="Arial"/>
          <w:sz w:val="24"/>
          <w:szCs w:val="24"/>
          <w:lang w:val="en-US"/>
        </w:rPr>
        <w:t>Nuclear staining of Ki67, cyclin D1 and p53 was calculated for each spot by cell counting, with the result expressed as a percentage of the labeled cells. Nuclear K19 expression was estimated at 10% intervals of positive cells. Nuclear beta-catenin was semi-quantitatively scored at 0 (no staining), 1+ (weak or focal staining), 2+ (moderate staining) and 3+ (diffuse strong staining).</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r w:rsidRPr="003310E2">
        <w:rPr>
          <w:rFonts w:ascii="Book Antiqua" w:hAnsi="Book Antiqua" w:cs="Arial"/>
          <w:b/>
          <w:i/>
          <w:sz w:val="24"/>
          <w:szCs w:val="24"/>
          <w:lang w:val="en-US"/>
        </w:rPr>
        <w:t>Statistical analysis</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SPSS statistical software, version 15.0 (SPSS Inc., United States) was used for all statistical analyses. All numeric variables were tested by the Kolmogorov–Smirnov goodness-of-fit test to assess normal distribution. Frequency distributions of the clinicopathological data and the immunohistochemical categories were assessed using Fisher’s exact or chi-square tests, with the threshold of significance set at 0.05. If any difference was detected in a set of three variables, pairwise tests were used to detect outliers. Spearman’s correlation coefficient was used to assess correlations among scores and other categorical variables.</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RESULTS</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r w:rsidRPr="003310E2">
        <w:rPr>
          <w:rFonts w:ascii="Book Antiqua" w:hAnsi="Book Antiqua" w:cs="Arial"/>
          <w:b/>
          <w:i/>
          <w:sz w:val="24"/>
          <w:szCs w:val="24"/>
          <w:lang w:val="en-US"/>
        </w:rPr>
        <w:t>Demographics and pathological data</w:t>
      </w:r>
    </w:p>
    <w:p w:rsidR="003C39BE" w:rsidRPr="003310E2" w:rsidRDefault="003C39BE" w:rsidP="003B0F97">
      <w:pPr>
        <w:autoSpaceDE w:val="0"/>
        <w:autoSpaceDN w:val="0"/>
        <w:adjustRightInd w:val="0"/>
        <w:snapToGrid w:val="0"/>
        <w:spacing w:after="0" w:line="360" w:lineRule="auto"/>
        <w:jc w:val="both"/>
        <w:rPr>
          <w:rStyle w:val="EndnoteReference"/>
          <w:rFonts w:ascii="Book Antiqua" w:hAnsi="Book Antiqua" w:cs="Arial"/>
          <w:sz w:val="24"/>
          <w:szCs w:val="24"/>
          <w:lang w:val="en-US"/>
        </w:rPr>
      </w:pPr>
      <w:r w:rsidRPr="003310E2">
        <w:rPr>
          <w:rFonts w:ascii="Book Antiqua" w:hAnsi="Book Antiqua" w:cs="Arial"/>
          <w:sz w:val="24"/>
          <w:szCs w:val="24"/>
          <w:lang w:val="en-US"/>
        </w:rPr>
        <w:t>The clinicopathological data and organ distribution of metastases are summarized in Tables 2 and 3. Patients with c</w:t>
      </w:r>
      <w:r w:rsidRPr="003310E2">
        <w:rPr>
          <w:rStyle w:val="EndnoteReference"/>
          <w:rFonts w:ascii="Book Antiqua" w:hAnsi="Book Antiqua" w:cs="Arial"/>
          <w:sz w:val="24"/>
          <w:szCs w:val="24"/>
          <w:vertAlign w:val="baseline"/>
          <w:lang w:val="en-US"/>
        </w:rPr>
        <w:t>irrhosis (90</w:t>
      </w:r>
      <w:r w:rsidRPr="003310E2">
        <w:rPr>
          <w:rFonts w:ascii="Book Antiqua" w:hAnsi="Book Antiqua" w:cs="Arial"/>
          <w:sz w:val="24"/>
          <w:szCs w:val="24"/>
          <w:lang w:val="en-US"/>
        </w:rPr>
        <w:t>.0</w:t>
      </w:r>
      <w:r w:rsidRPr="003310E2">
        <w:rPr>
          <w:rStyle w:val="EndnoteReference"/>
          <w:rFonts w:ascii="Book Antiqua" w:hAnsi="Book Antiqua" w:cs="Arial"/>
          <w:sz w:val="24"/>
          <w:szCs w:val="24"/>
          <w:vertAlign w:val="baseline"/>
          <w:lang w:val="en-US"/>
        </w:rPr>
        <w:t>%) accompanied by</w:t>
      </w:r>
      <w:r w:rsidRPr="003310E2">
        <w:rPr>
          <w:rFonts w:ascii="Book Antiqua" w:hAnsi="Book Antiqua" w:cs="Arial"/>
          <w:sz w:val="24"/>
          <w:szCs w:val="24"/>
          <w:lang w:val="en-US"/>
        </w:rPr>
        <w:t xml:space="preserve"> clinically-relevant non-incidental H</w:t>
      </w:r>
      <w:r w:rsidRPr="003310E2">
        <w:rPr>
          <w:rStyle w:val="EndnoteReference"/>
          <w:rFonts w:ascii="Book Antiqua" w:hAnsi="Book Antiqua" w:cs="Arial"/>
          <w:sz w:val="24"/>
          <w:szCs w:val="24"/>
          <w:vertAlign w:val="baseline"/>
          <w:lang w:val="en-US"/>
        </w:rPr>
        <w:t>CC predominated in this autopsy series</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(95</w:t>
      </w:r>
      <w:r w:rsidRPr="003310E2">
        <w:rPr>
          <w:rFonts w:ascii="Book Antiqua" w:hAnsi="Book Antiqua" w:cs="Arial"/>
          <w:sz w:val="24"/>
          <w:szCs w:val="24"/>
          <w:lang w:val="en-US"/>
        </w:rPr>
        <w:t>.0</w:t>
      </w:r>
      <w:r w:rsidRPr="003310E2">
        <w:rPr>
          <w:rStyle w:val="EndnoteReference"/>
          <w:rFonts w:ascii="Book Antiqua" w:hAnsi="Book Antiqua" w:cs="Arial"/>
          <w:sz w:val="24"/>
          <w:szCs w:val="24"/>
          <w:vertAlign w:val="baseline"/>
          <w:lang w:val="en-US"/>
        </w:rPr>
        <w:t>%). HCV infection was a major factor in 39 patients (48.7%), followed by significant alcohol intake (30</w:t>
      </w:r>
      <w:r w:rsidRPr="003310E2">
        <w:rPr>
          <w:rFonts w:ascii="Book Antiqua" w:hAnsi="Book Antiqua" w:cs="Arial"/>
          <w:sz w:val="24"/>
          <w:szCs w:val="24"/>
          <w:lang w:val="en-US"/>
        </w:rPr>
        <w:t>.0</w:t>
      </w:r>
      <w:r w:rsidRPr="003310E2">
        <w:rPr>
          <w:rStyle w:val="EndnoteReference"/>
          <w:rFonts w:ascii="Book Antiqua" w:hAnsi="Book Antiqua" w:cs="Arial"/>
          <w:sz w:val="24"/>
          <w:szCs w:val="24"/>
          <w:vertAlign w:val="baseline"/>
          <w:lang w:val="en-US"/>
        </w:rPr>
        <w:t>%) and HBV infection (18.7%). A history of chronic alcohol intake was present for male patients</w:t>
      </w:r>
      <w:r w:rsidRPr="003310E2">
        <w:rPr>
          <w:rFonts w:ascii="Book Antiqua" w:hAnsi="Book Antiqua" w:cs="Arial"/>
          <w:sz w:val="24"/>
          <w:szCs w:val="24"/>
          <w:lang w:val="en-US"/>
        </w:rPr>
        <w:t xml:space="preserve"> exclusively</w:t>
      </w:r>
      <w:r w:rsidRPr="003310E2">
        <w:rPr>
          <w:rStyle w:val="EndnoteReference"/>
          <w:rFonts w:ascii="Book Antiqua" w:hAnsi="Book Antiqua" w:cs="Arial"/>
          <w:sz w:val="24"/>
          <w:szCs w:val="24"/>
          <w:lang w:val="en-US"/>
        </w:rPr>
        <w:t xml:space="preserve"> (42.9%</w:t>
      </w:r>
      <w:r w:rsidRPr="003310E2">
        <w:rPr>
          <w:rFonts w:ascii="Book Antiqua" w:hAnsi="Book Antiqua" w:cs="Arial"/>
          <w:sz w:val="24"/>
          <w:szCs w:val="24"/>
          <w:lang w:val="en-US"/>
        </w:rPr>
        <w:t>;</w:t>
      </w:r>
      <w:r w:rsidRPr="003310E2">
        <w:rPr>
          <w:rStyle w:val="EndnoteReference"/>
          <w:rFonts w:ascii="Book Antiqua" w:hAnsi="Book Antiqua" w:cs="Arial"/>
          <w:sz w:val="24"/>
          <w:szCs w:val="24"/>
          <w:lang w:val="en-US"/>
        </w:rPr>
        <w:t xml:space="preserve"> </w:t>
      </w:r>
      <w:r w:rsidRPr="003310E2">
        <w:rPr>
          <w:rStyle w:val="EndnoteReference"/>
          <w:rFonts w:ascii="Book Antiqua" w:hAnsi="Book Antiqua" w:cs="Arial"/>
          <w:i/>
          <w:sz w:val="24"/>
          <w:szCs w:val="24"/>
          <w:lang w:val="en-US"/>
        </w:rPr>
        <w:t>P</w:t>
      </w:r>
      <w:r w:rsidRPr="003310E2">
        <w:rPr>
          <w:rFonts w:ascii="Book Antiqua" w:hAnsi="Book Antiqua" w:cs="Arial"/>
          <w:color w:val="000000"/>
          <w:sz w:val="24"/>
          <w:szCs w:val="24"/>
          <w:lang w:val="en-US"/>
        </w:rPr>
        <w:t xml:space="preserve"> &lt; 0.0001</w:t>
      </w:r>
      <w:r w:rsidRPr="003310E2">
        <w:rPr>
          <w:rStyle w:val="EndnoteReference"/>
          <w:rFonts w:ascii="Book Antiqua" w:hAnsi="Book Antiqua" w:cs="Arial"/>
          <w:sz w:val="24"/>
          <w:szCs w:val="24"/>
          <w:lang w:val="en-US"/>
        </w:rPr>
        <w:t xml:space="preserve">). </w:t>
      </w:r>
    </w:p>
    <w:p w:rsidR="003C39BE" w:rsidRPr="003310E2" w:rsidRDefault="003C39BE" w:rsidP="003B0F97">
      <w:pPr>
        <w:autoSpaceDE w:val="0"/>
        <w:autoSpaceDN w:val="0"/>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The majority of females with HCC </w:t>
      </w:r>
      <w:r w:rsidRPr="003310E2">
        <w:rPr>
          <w:rStyle w:val="EndnoteReference"/>
          <w:rFonts w:ascii="Book Antiqua" w:hAnsi="Book Antiqua" w:cs="Arial"/>
          <w:sz w:val="24"/>
          <w:szCs w:val="24"/>
          <w:vertAlign w:val="baseline"/>
          <w:lang w:val="en-US"/>
        </w:rPr>
        <w:t>had</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HCV infection</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(72.2</w:t>
      </w:r>
      <w:r w:rsidRPr="003310E2">
        <w:rPr>
          <w:rFonts w:ascii="Book Antiqua" w:hAnsi="Book Antiqua" w:cs="Arial"/>
          <w:sz w:val="24"/>
          <w:szCs w:val="24"/>
          <w:lang w:val="en-US"/>
        </w:rPr>
        <w:t>%)</w:t>
      </w:r>
      <w:r w:rsidRPr="003310E2">
        <w:rPr>
          <w:rStyle w:val="EndnoteReference"/>
          <w:rFonts w:ascii="Book Antiqua" w:hAnsi="Book Antiqua" w:cs="Arial"/>
          <w:sz w:val="24"/>
          <w:szCs w:val="24"/>
          <w:vertAlign w:val="baseline"/>
          <w:lang w:val="en-US"/>
        </w:rPr>
        <w:t>, compared to less than one-half</w:t>
      </w:r>
      <w:r w:rsidRPr="003310E2">
        <w:rPr>
          <w:rFonts w:ascii="Book Antiqua" w:hAnsi="Book Antiqua" w:cs="Arial"/>
          <w:sz w:val="24"/>
          <w:szCs w:val="24"/>
          <w:lang w:val="en-US"/>
        </w:rPr>
        <w:t xml:space="preserve"> of the males</w:t>
      </w:r>
      <w:r w:rsidRPr="003310E2">
        <w:rPr>
          <w:rStyle w:val="EndnoteReference"/>
          <w:rFonts w:ascii="Book Antiqua" w:hAnsi="Book Antiqua" w:cs="Arial"/>
          <w:sz w:val="24"/>
          <w:szCs w:val="24"/>
          <w:vertAlign w:val="baseline"/>
          <w:lang w:val="en-US"/>
        </w:rPr>
        <w:t xml:space="preserve"> (41.9</w:t>
      </w:r>
      <w:r w:rsidRPr="003310E2">
        <w:rPr>
          <w:rFonts w:ascii="Book Antiqua" w:hAnsi="Book Antiqua" w:cs="Arial"/>
          <w:sz w:val="24"/>
          <w:szCs w:val="24"/>
          <w:lang w:val="en-US"/>
        </w:rPr>
        <w:t xml:space="preserve">%; </w:t>
      </w:r>
      <w:r w:rsidRPr="003310E2">
        <w:rPr>
          <w:rFonts w:ascii="Book Antiqua" w:hAnsi="Book Antiqua" w:cs="Arial"/>
          <w:i/>
          <w:sz w:val="24"/>
          <w:szCs w:val="24"/>
          <w:lang w:val="en-US"/>
        </w:rPr>
        <w:t>P</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 xml:space="preserve">&lt; </w:t>
      </w:r>
      <w:r w:rsidRPr="003310E2">
        <w:rPr>
          <w:rFonts w:ascii="Book Antiqua" w:hAnsi="Book Antiqua" w:cs="Arial"/>
          <w:sz w:val="24"/>
          <w:szCs w:val="24"/>
          <w:lang w:val="en-US"/>
        </w:rPr>
        <w:t xml:space="preserve">0.05). Females also had a smaller </w:t>
      </w:r>
      <w:r w:rsidRPr="003310E2">
        <w:rPr>
          <w:rStyle w:val="EndnoteReference"/>
          <w:rFonts w:ascii="Book Antiqua" w:hAnsi="Book Antiqua" w:cs="Arial"/>
          <w:sz w:val="24"/>
          <w:szCs w:val="24"/>
          <w:vertAlign w:val="baseline"/>
          <w:lang w:val="en-US"/>
        </w:rPr>
        <w:t>average tumor size</w:t>
      </w:r>
      <w:r w:rsidRPr="003310E2">
        <w:rPr>
          <w:rStyle w:val="EndnoteReference"/>
          <w:rFonts w:ascii="Book Antiqua" w:hAnsi="Book Antiqua" w:cs="Arial"/>
          <w:sz w:val="24"/>
          <w:szCs w:val="24"/>
          <w:lang w:val="en-US"/>
        </w:rPr>
        <w:t xml:space="preserve"> (</w:t>
      </w:r>
      <w:r w:rsidRPr="003310E2">
        <w:rPr>
          <w:rFonts w:ascii="Book Antiqua" w:hAnsi="Book Antiqua" w:cs="Arial"/>
          <w:sz w:val="24"/>
          <w:szCs w:val="24"/>
          <w:lang w:val="en-US"/>
        </w:rPr>
        <w:t>3.2 ± 2.0 cm) than the males</w:t>
      </w:r>
      <w:r w:rsidRPr="003310E2">
        <w:rPr>
          <w:rStyle w:val="EndnoteReference"/>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w:t>
      </w:r>
      <w:r w:rsidRPr="003310E2">
        <w:rPr>
          <w:rFonts w:ascii="Book Antiqua" w:hAnsi="Book Antiqua" w:cs="Arial"/>
          <w:sz w:val="24"/>
          <w:szCs w:val="24"/>
          <w:lang w:val="en-US"/>
        </w:rPr>
        <w:t xml:space="preserve">6.0 ± 4.4 cm; </w:t>
      </w:r>
      <w:r w:rsidRPr="003310E2">
        <w:rPr>
          <w:rFonts w:ascii="Book Antiqua" w:hAnsi="Book Antiqua" w:cs="Arial"/>
          <w:i/>
          <w:sz w:val="24"/>
          <w:szCs w:val="24"/>
          <w:lang w:val="en-US"/>
        </w:rPr>
        <w:t>P</w:t>
      </w:r>
      <w:r w:rsidRPr="003310E2">
        <w:rPr>
          <w:rFonts w:ascii="Book Antiqua" w:hAnsi="Book Antiqua" w:cs="Arial"/>
          <w:sz w:val="24"/>
          <w:szCs w:val="24"/>
          <w:lang w:val="en-US"/>
        </w:rPr>
        <w:t xml:space="preserve"> &lt; 0.01).</w:t>
      </w:r>
    </w:p>
    <w:p w:rsidR="003C39BE" w:rsidRPr="003310E2" w:rsidRDefault="003C39BE" w:rsidP="003B0F97">
      <w:pPr>
        <w:autoSpaceDE w:val="0"/>
        <w:autoSpaceDN w:val="0"/>
        <w:adjustRightInd w:val="0"/>
        <w:snapToGrid w:val="0"/>
        <w:spacing w:after="0" w:line="360" w:lineRule="auto"/>
        <w:ind w:firstLine="708"/>
        <w:jc w:val="both"/>
        <w:rPr>
          <w:rFonts w:ascii="Book Antiqua" w:hAnsi="Book Antiqua" w:cs="Arial"/>
          <w:color w:val="FF0000"/>
          <w:sz w:val="24"/>
          <w:szCs w:val="24"/>
          <w:lang w:val="en-US"/>
        </w:rPr>
      </w:pPr>
      <w:r w:rsidRPr="003310E2">
        <w:rPr>
          <w:rStyle w:val="EndnoteReference"/>
          <w:rFonts w:ascii="Book Antiqua" w:hAnsi="Book Antiqua" w:cs="Arial"/>
          <w:sz w:val="24"/>
          <w:szCs w:val="24"/>
          <w:vertAlign w:val="baseline"/>
          <w:lang w:val="en-US"/>
        </w:rPr>
        <w:lastRenderedPageBreak/>
        <w:t>HCC</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was detected in</w:t>
      </w:r>
      <w:r w:rsidRPr="003310E2">
        <w:rPr>
          <w:rFonts w:ascii="Book Antiqua" w:hAnsi="Book Antiqua" w:cs="Arial"/>
          <w:sz w:val="24"/>
          <w:szCs w:val="24"/>
          <w:lang w:val="en-US"/>
        </w:rPr>
        <w:t xml:space="preserve"> 8 patients with </w:t>
      </w:r>
      <w:r w:rsidRPr="003310E2">
        <w:rPr>
          <w:rStyle w:val="EndnoteReference"/>
          <w:rFonts w:ascii="Book Antiqua" w:hAnsi="Book Antiqua" w:cs="Arial"/>
          <w:sz w:val="24"/>
          <w:szCs w:val="24"/>
          <w:vertAlign w:val="baseline"/>
          <w:lang w:val="en-US"/>
        </w:rPr>
        <w:t>non-cirrhotic liver</w:t>
      </w:r>
      <w:r w:rsidRPr="003310E2">
        <w:rPr>
          <w:rFonts w:ascii="Book Antiqua" w:hAnsi="Book Antiqua" w:cs="Arial"/>
          <w:sz w:val="24"/>
          <w:szCs w:val="24"/>
          <w:lang w:val="en-US"/>
        </w:rPr>
        <w:t xml:space="preserve">s </w:t>
      </w:r>
      <w:r w:rsidRPr="003310E2">
        <w:rPr>
          <w:rStyle w:val="EndnoteReference"/>
          <w:rFonts w:ascii="Book Antiqua" w:hAnsi="Book Antiqua" w:cs="Arial"/>
          <w:sz w:val="24"/>
          <w:szCs w:val="24"/>
          <w:vertAlign w:val="baseline"/>
          <w:lang w:val="en-US"/>
        </w:rPr>
        <w:t>(10</w:t>
      </w:r>
      <w:r w:rsidRPr="003310E2">
        <w:rPr>
          <w:rFonts w:ascii="Book Antiqua" w:hAnsi="Book Antiqua" w:cs="Arial"/>
          <w:sz w:val="24"/>
          <w:szCs w:val="24"/>
          <w:lang w:val="en-US"/>
        </w:rPr>
        <w:t xml:space="preserve">%), consisting of 4 without fibrosis (F0), 2 with mild fibrosis (F1), 1 with bridging fibrosis (F2), and 1 classified as non-cirrhotic not otherwise specified. </w:t>
      </w:r>
    </w:p>
    <w:p w:rsidR="003C39BE" w:rsidRPr="003310E2" w:rsidRDefault="003C39BE" w:rsidP="003B0F97">
      <w:pPr>
        <w:autoSpaceDE w:val="0"/>
        <w:autoSpaceDN w:val="0"/>
        <w:adjustRightInd w:val="0"/>
        <w:snapToGrid w:val="0"/>
        <w:spacing w:after="0" w:line="360" w:lineRule="auto"/>
        <w:ind w:firstLine="708"/>
        <w:jc w:val="both"/>
        <w:rPr>
          <w:rStyle w:val="EndnoteReference"/>
          <w:rFonts w:ascii="Book Antiqua" w:hAnsi="Book Antiqua" w:cs="Arial"/>
          <w:sz w:val="24"/>
          <w:szCs w:val="24"/>
          <w:vertAlign w:val="baseline"/>
          <w:lang w:val="en-US"/>
        </w:rPr>
      </w:pPr>
      <w:r w:rsidRPr="003310E2">
        <w:rPr>
          <w:rStyle w:val="EndnoteReference"/>
          <w:rFonts w:ascii="Book Antiqua" w:hAnsi="Book Antiqua" w:cs="Arial"/>
          <w:sz w:val="24"/>
          <w:szCs w:val="24"/>
          <w:vertAlign w:val="baseline"/>
          <w:lang w:val="en-US"/>
        </w:rPr>
        <w:t>Tumor size</w:t>
      </w:r>
      <w:r w:rsidRPr="003310E2">
        <w:rPr>
          <w:rFonts w:ascii="Book Antiqua" w:hAnsi="Book Antiqua" w:cs="Arial"/>
          <w:sz w:val="24"/>
          <w:szCs w:val="24"/>
          <w:lang w:val="en-US"/>
        </w:rPr>
        <w:t>s</w:t>
      </w:r>
      <w:r w:rsidRPr="003310E2">
        <w:rPr>
          <w:rStyle w:val="EndnoteReference"/>
          <w:rFonts w:ascii="Book Antiqua" w:hAnsi="Book Antiqua" w:cs="Arial"/>
          <w:sz w:val="24"/>
          <w:szCs w:val="24"/>
          <w:vertAlign w:val="baseline"/>
          <w:lang w:val="en-US"/>
        </w:rPr>
        <w:t xml:space="preserve"> of ≥</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6.0 cm</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w</w:t>
      </w:r>
      <w:r w:rsidRPr="003310E2">
        <w:rPr>
          <w:rFonts w:ascii="Book Antiqua" w:hAnsi="Book Antiqua" w:cs="Arial"/>
          <w:sz w:val="24"/>
          <w:szCs w:val="24"/>
          <w:lang w:val="en-US"/>
        </w:rPr>
        <w:t>ere</w:t>
      </w:r>
      <w:r w:rsidRPr="003310E2">
        <w:rPr>
          <w:rStyle w:val="EndnoteReference"/>
          <w:rFonts w:ascii="Book Antiqua" w:hAnsi="Book Antiqua" w:cs="Arial"/>
          <w:sz w:val="24"/>
          <w:szCs w:val="24"/>
          <w:vertAlign w:val="baseline"/>
          <w:lang w:val="en-US"/>
        </w:rPr>
        <w:t xml:space="preserve"> found in 80% </w:t>
      </w:r>
      <w:r w:rsidRPr="003310E2">
        <w:rPr>
          <w:rFonts w:ascii="Book Antiqua" w:hAnsi="Book Antiqua" w:cs="Arial"/>
          <w:sz w:val="24"/>
          <w:szCs w:val="24"/>
          <w:lang w:val="en-US"/>
        </w:rPr>
        <w:t>of the non</w:t>
      </w:r>
      <w:r w:rsidRPr="003310E2">
        <w:rPr>
          <w:rStyle w:val="EndnoteReference"/>
          <w:rFonts w:ascii="Book Antiqua" w:hAnsi="Book Antiqua" w:cs="Arial"/>
          <w:sz w:val="24"/>
          <w:szCs w:val="24"/>
          <w:vertAlign w:val="baseline"/>
          <w:lang w:val="en-US"/>
        </w:rPr>
        <w:t>-cirrhotic livers and in 30.2</w:t>
      </w:r>
      <w:r w:rsidRPr="003310E2">
        <w:rPr>
          <w:rFonts w:ascii="Book Antiqua" w:hAnsi="Book Antiqua" w:cs="Arial"/>
          <w:sz w:val="24"/>
          <w:szCs w:val="24"/>
          <w:lang w:val="en-US"/>
        </w:rPr>
        <w:t>% of cirrhotic livers (</w:t>
      </w:r>
      <w:r w:rsidRPr="003310E2">
        <w:rPr>
          <w:rFonts w:ascii="Book Antiqua" w:hAnsi="Book Antiqua" w:cs="Arial"/>
          <w:i/>
          <w:sz w:val="24"/>
          <w:szCs w:val="24"/>
          <w:lang w:val="en-US"/>
        </w:rPr>
        <w:t>P</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 xml:space="preserve">&lt; </w:t>
      </w:r>
      <w:r w:rsidRPr="003310E2">
        <w:rPr>
          <w:rFonts w:ascii="Book Antiqua" w:hAnsi="Book Antiqua" w:cs="Arial"/>
          <w:sz w:val="24"/>
          <w:szCs w:val="24"/>
          <w:lang w:val="en-US"/>
        </w:rPr>
        <w:t>0.05). Non-cirrhotic cases also had</w:t>
      </w:r>
      <w:r w:rsidRPr="003310E2">
        <w:rPr>
          <w:rStyle w:val="EndnoteReference"/>
          <w:rFonts w:ascii="Book Antiqua" w:hAnsi="Book Antiqua" w:cs="Arial"/>
          <w:sz w:val="24"/>
          <w:szCs w:val="24"/>
          <w:vertAlign w:val="baseline"/>
          <w:lang w:val="en-US"/>
        </w:rPr>
        <w:t xml:space="preserve"> a higher</w:t>
      </w:r>
      <w:r w:rsidRPr="003310E2">
        <w:rPr>
          <w:rFonts w:ascii="Book Antiqua" w:hAnsi="Book Antiqua" w:cs="Arial"/>
          <w:sz w:val="24"/>
          <w:szCs w:val="24"/>
          <w:lang w:val="en-US"/>
        </w:rPr>
        <w:t xml:space="preserve"> proportion </w:t>
      </w:r>
      <w:r w:rsidRPr="003310E2">
        <w:rPr>
          <w:rStyle w:val="EndnoteReference"/>
          <w:rFonts w:ascii="Book Antiqua" w:hAnsi="Book Antiqua" w:cs="Arial"/>
          <w:sz w:val="24"/>
          <w:szCs w:val="24"/>
          <w:vertAlign w:val="baseline"/>
          <w:lang w:val="en-US"/>
        </w:rPr>
        <w:t>of unknown risk factors</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for HCC</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(62.5</w:t>
      </w:r>
      <w:r w:rsidRPr="003310E2">
        <w:rPr>
          <w:rFonts w:ascii="Book Antiqua" w:hAnsi="Book Antiqua" w:cs="Arial"/>
          <w:sz w:val="24"/>
          <w:szCs w:val="24"/>
          <w:lang w:val="en-US"/>
        </w:rPr>
        <w:t xml:space="preserve">%) than the </w:t>
      </w:r>
      <w:r w:rsidRPr="003310E2">
        <w:rPr>
          <w:rStyle w:val="EndnoteReference"/>
          <w:rFonts w:ascii="Book Antiqua" w:hAnsi="Book Antiqua" w:cs="Arial"/>
          <w:sz w:val="24"/>
          <w:szCs w:val="24"/>
          <w:vertAlign w:val="baseline"/>
          <w:lang w:val="en-US"/>
        </w:rPr>
        <w:t>cirrhotic cases</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(19.4</w:t>
      </w:r>
      <w:r w:rsidRPr="003310E2">
        <w:rPr>
          <w:rFonts w:ascii="Book Antiqua" w:hAnsi="Book Antiqua" w:cs="Arial"/>
          <w:sz w:val="24"/>
          <w:szCs w:val="24"/>
          <w:lang w:val="en-US"/>
        </w:rPr>
        <w:t xml:space="preserve">%; </w:t>
      </w:r>
      <w:r w:rsidRPr="003310E2">
        <w:rPr>
          <w:rFonts w:ascii="Book Antiqua" w:hAnsi="Book Antiqua" w:cs="Arial"/>
          <w:i/>
          <w:sz w:val="24"/>
          <w:szCs w:val="24"/>
          <w:lang w:val="en-US"/>
        </w:rPr>
        <w:t xml:space="preserve">P </w:t>
      </w:r>
      <w:r w:rsidRPr="003310E2">
        <w:rPr>
          <w:rStyle w:val="EndnoteReference"/>
          <w:rFonts w:ascii="Book Antiqua" w:hAnsi="Book Antiqua" w:cs="Arial"/>
          <w:sz w:val="24"/>
          <w:szCs w:val="24"/>
          <w:vertAlign w:val="baseline"/>
          <w:lang w:val="en-US"/>
        </w:rPr>
        <w:t>= 0.02).</w:t>
      </w:r>
    </w:p>
    <w:p w:rsidR="003C39BE" w:rsidRPr="003310E2" w:rsidRDefault="003C39BE" w:rsidP="003B0F97">
      <w:pPr>
        <w:autoSpaceDE w:val="0"/>
        <w:autoSpaceDN w:val="0"/>
        <w:adjustRightInd w:val="0"/>
        <w:snapToGrid w:val="0"/>
        <w:spacing w:after="0" w:line="360" w:lineRule="auto"/>
        <w:ind w:firstLine="708"/>
        <w:jc w:val="both"/>
        <w:rPr>
          <w:rStyle w:val="EndnoteReference"/>
          <w:rFonts w:ascii="Book Antiqua" w:hAnsi="Book Antiqua" w:cs="Arial"/>
          <w:sz w:val="24"/>
          <w:szCs w:val="24"/>
          <w:vertAlign w:val="baseline"/>
          <w:lang w:val="en-US"/>
        </w:rPr>
      </w:pPr>
      <w:r w:rsidRPr="003310E2">
        <w:rPr>
          <w:rStyle w:val="EndnoteReference"/>
          <w:rFonts w:ascii="Book Antiqua" w:hAnsi="Book Antiqua" w:cs="Arial"/>
          <w:sz w:val="24"/>
          <w:szCs w:val="24"/>
          <w:vertAlign w:val="baseline"/>
          <w:lang w:val="en-US"/>
        </w:rPr>
        <w:t xml:space="preserve">Eleven </w:t>
      </w:r>
      <w:r w:rsidRPr="003310E2">
        <w:rPr>
          <w:rFonts w:ascii="Book Antiqua" w:hAnsi="Book Antiqua" w:cs="Arial"/>
          <w:sz w:val="24"/>
          <w:szCs w:val="24"/>
          <w:lang w:val="en-US"/>
        </w:rPr>
        <w:t xml:space="preserve">of the HCC </w:t>
      </w:r>
      <w:r w:rsidRPr="003310E2">
        <w:rPr>
          <w:rStyle w:val="EndnoteReference"/>
          <w:rFonts w:ascii="Book Antiqua" w:hAnsi="Book Antiqua" w:cs="Arial"/>
          <w:sz w:val="24"/>
          <w:szCs w:val="24"/>
          <w:vertAlign w:val="baseline"/>
          <w:lang w:val="en-US"/>
        </w:rPr>
        <w:t>cases (14%) had undergone chemoembolization</w:t>
      </w:r>
      <w:r w:rsidRPr="003310E2">
        <w:rPr>
          <w:rFonts w:ascii="Book Antiqua" w:hAnsi="Book Antiqua" w:cs="Arial"/>
          <w:sz w:val="24"/>
          <w:szCs w:val="24"/>
          <w:lang w:val="en-US"/>
        </w:rPr>
        <w:t xml:space="preserve"> treatment prior to death</w:t>
      </w:r>
      <w:r w:rsidRPr="003310E2">
        <w:rPr>
          <w:rStyle w:val="EndnoteReference"/>
          <w:rFonts w:ascii="Book Antiqua" w:hAnsi="Book Antiqua" w:cs="Arial"/>
          <w:sz w:val="24"/>
          <w:szCs w:val="24"/>
          <w:vertAlign w:val="baseline"/>
          <w:lang w:val="en-US"/>
        </w:rPr>
        <w:t>, including 1 patient who received chemoembolization plus ethanol injection</w:t>
      </w:r>
      <w:r w:rsidRPr="003310E2">
        <w:rPr>
          <w:rFonts w:ascii="Book Antiqua" w:hAnsi="Book Antiqua" w:cs="Arial"/>
          <w:sz w:val="24"/>
          <w:szCs w:val="24"/>
          <w:lang w:val="en-US"/>
        </w:rPr>
        <w:t>,</w:t>
      </w:r>
      <w:r w:rsidRPr="003310E2">
        <w:rPr>
          <w:rStyle w:val="EndnoteReference"/>
          <w:rFonts w:ascii="Book Antiqua" w:hAnsi="Book Antiqua" w:cs="Arial"/>
          <w:sz w:val="24"/>
          <w:szCs w:val="24"/>
          <w:vertAlign w:val="baseline"/>
          <w:lang w:val="en-US"/>
        </w:rPr>
        <w:t xml:space="preserve"> 1 who received system</w:t>
      </w:r>
      <w:r w:rsidRPr="003310E2">
        <w:rPr>
          <w:rFonts w:ascii="Book Antiqua" w:hAnsi="Book Antiqua" w:cs="Arial"/>
          <w:sz w:val="24"/>
          <w:szCs w:val="24"/>
          <w:lang w:val="en-US"/>
        </w:rPr>
        <w:t>ic</w:t>
      </w:r>
      <w:r w:rsidRPr="003310E2">
        <w:rPr>
          <w:rStyle w:val="EndnoteReference"/>
          <w:rFonts w:ascii="Book Antiqua" w:hAnsi="Book Antiqua" w:cs="Arial"/>
          <w:sz w:val="24"/>
          <w:szCs w:val="24"/>
          <w:vertAlign w:val="baseline"/>
          <w:lang w:val="en-US"/>
        </w:rPr>
        <w:t xml:space="preserve"> chemotherapy</w:t>
      </w:r>
      <w:r w:rsidRPr="003310E2">
        <w:rPr>
          <w:rFonts w:ascii="Book Antiqua" w:hAnsi="Book Antiqua" w:cs="Arial"/>
          <w:sz w:val="24"/>
          <w:szCs w:val="24"/>
          <w:lang w:val="en-US"/>
        </w:rPr>
        <w:t xml:space="preserve"> in addition,</w:t>
      </w:r>
      <w:r w:rsidRPr="003310E2">
        <w:rPr>
          <w:rStyle w:val="EndnoteReference"/>
          <w:rFonts w:ascii="Book Antiqua" w:hAnsi="Book Antiqua" w:cs="Arial"/>
          <w:sz w:val="24"/>
          <w:szCs w:val="24"/>
          <w:vertAlign w:val="baseline"/>
          <w:lang w:val="en-US"/>
        </w:rPr>
        <w:t xml:space="preserve"> and 1 </w:t>
      </w:r>
      <w:r w:rsidRPr="003310E2">
        <w:rPr>
          <w:rFonts w:ascii="Book Antiqua" w:hAnsi="Book Antiqua" w:cs="Arial"/>
          <w:sz w:val="24"/>
          <w:szCs w:val="24"/>
          <w:lang w:val="en-US"/>
        </w:rPr>
        <w:t xml:space="preserve">who </w:t>
      </w:r>
      <w:r w:rsidRPr="003310E2">
        <w:rPr>
          <w:rStyle w:val="EndnoteReference"/>
          <w:rFonts w:ascii="Book Antiqua" w:hAnsi="Book Antiqua" w:cs="Arial"/>
          <w:sz w:val="24"/>
          <w:szCs w:val="24"/>
          <w:vertAlign w:val="baseline"/>
          <w:lang w:val="en-US"/>
        </w:rPr>
        <w:t xml:space="preserve">died of recurrent HCC after </w:t>
      </w:r>
      <w:r w:rsidRPr="003310E2">
        <w:rPr>
          <w:rFonts w:ascii="Book Antiqua" w:hAnsi="Book Antiqua" w:cs="Arial"/>
          <w:sz w:val="24"/>
          <w:szCs w:val="24"/>
          <w:lang w:val="en-US"/>
        </w:rPr>
        <w:t xml:space="preserve">subsequent </w:t>
      </w:r>
      <w:r w:rsidRPr="003310E2">
        <w:rPr>
          <w:rStyle w:val="EndnoteReference"/>
          <w:rFonts w:ascii="Book Antiqua" w:hAnsi="Book Antiqua" w:cs="Arial"/>
          <w:sz w:val="24"/>
          <w:szCs w:val="24"/>
          <w:vertAlign w:val="baseline"/>
          <w:lang w:val="en-US"/>
        </w:rPr>
        <w:t xml:space="preserve">liver transplantation. Most </w:t>
      </w:r>
      <w:r w:rsidRPr="003310E2">
        <w:rPr>
          <w:rFonts w:ascii="Book Antiqua" w:hAnsi="Book Antiqua" w:cs="Arial"/>
          <w:sz w:val="24"/>
          <w:szCs w:val="24"/>
          <w:lang w:val="en-US"/>
        </w:rPr>
        <w:t xml:space="preserve">of the HCC cases in our autopsy cohort </w:t>
      </w:r>
      <w:r w:rsidRPr="003310E2">
        <w:rPr>
          <w:rStyle w:val="EndnoteReference"/>
          <w:rFonts w:ascii="Book Antiqua" w:hAnsi="Book Antiqua" w:cs="Arial"/>
          <w:sz w:val="24"/>
          <w:szCs w:val="24"/>
          <w:vertAlign w:val="baseline"/>
          <w:lang w:val="en-US"/>
        </w:rPr>
        <w:t>(82%) had not received specific oncological treatment</w:t>
      </w:r>
      <w:r w:rsidRPr="003310E2">
        <w:rPr>
          <w:rFonts w:ascii="Book Antiqua" w:hAnsi="Book Antiqua" w:cs="Arial"/>
          <w:sz w:val="24"/>
          <w:szCs w:val="24"/>
          <w:lang w:val="en-US"/>
        </w:rPr>
        <w:t>,</w:t>
      </w:r>
      <w:r w:rsidRPr="003310E2">
        <w:rPr>
          <w:rStyle w:val="EndnoteReference"/>
          <w:rFonts w:ascii="Book Antiqua" w:hAnsi="Book Antiqua" w:cs="Arial"/>
          <w:sz w:val="24"/>
          <w:szCs w:val="24"/>
          <w:vertAlign w:val="baseline"/>
          <w:lang w:val="en-US"/>
        </w:rPr>
        <w:t xml:space="preserve"> mainly due to the acute presentation of advanced disease.</w:t>
      </w:r>
    </w:p>
    <w:p w:rsidR="003C39BE" w:rsidRPr="003310E2" w:rsidRDefault="003C39BE" w:rsidP="003B0F97">
      <w:pPr>
        <w:autoSpaceDE w:val="0"/>
        <w:autoSpaceDN w:val="0"/>
        <w:adjustRightInd w:val="0"/>
        <w:snapToGrid w:val="0"/>
        <w:spacing w:after="0" w:line="360" w:lineRule="auto"/>
        <w:ind w:firstLine="708"/>
        <w:jc w:val="both"/>
        <w:rPr>
          <w:rStyle w:val="EndnoteReference"/>
          <w:rFonts w:ascii="Book Antiqua" w:hAnsi="Book Antiqua" w:cs="Arial"/>
          <w:sz w:val="24"/>
          <w:szCs w:val="24"/>
          <w:vertAlign w:val="baseline"/>
          <w:lang w:val="en-US"/>
        </w:rPr>
      </w:pPr>
      <w:r w:rsidRPr="003310E2">
        <w:rPr>
          <w:rStyle w:val="EndnoteReference"/>
          <w:rFonts w:ascii="Book Antiqua" w:hAnsi="Book Antiqua" w:cs="Arial"/>
          <w:sz w:val="24"/>
          <w:szCs w:val="24"/>
          <w:vertAlign w:val="baseline"/>
          <w:lang w:val="en-US"/>
        </w:rPr>
        <w:t xml:space="preserve">Four cases of incidental small HCC (5.0%) were detected in </w:t>
      </w:r>
      <w:r w:rsidRPr="003310E2">
        <w:rPr>
          <w:rFonts w:ascii="Book Antiqua" w:hAnsi="Book Antiqua" w:cs="Arial"/>
          <w:sz w:val="24"/>
          <w:szCs w:val="24"/>
          <w:lang w:val="en-US"/>
        </w:rPr>
        <w:t xml:space="preserve">the </w:t>
      </w:r>
      <w:r w:rsidRPr="003310E2">
        <w:rPr>
          <w:rStyle w:val="EndnoteReference"/>
          <w:rFonts w:ascii="Book Antiqua" w:hAnsi="Book Antiqua" w:cs="Arial"/>
          <w:sz w:val="24"/>
          <w:szCs w:val="24"/>
          <w:vertAlign w:val="baseline"/>
          <w:lang w:val="en-US"/>
        </w:rPr>
        <w:t>cirrhotic livers</w:t>
      </w:r>
      <w:r w:rsidRPr="003310E2">
        <w:rPr>
          <w:rFonts w:ascii="Book Antiqua" w:hAnsi="Book Antiqua" w:cs="Arial"/>
          <w:sz w:val="24"/>
          <w:szCs w:val="24"/>
          <w:lang w:val="en-US"/>
        </w:rPr>
        <w:t>, comprised of</w:t>
      </w:r>
      <w:r w:rsidRPr="003310E2">
        <w:rPr>
          <w:rStyle w:val="EndnoteReference"/>
          <w:rFonts w:ascii="Book Antiqua" w:hAnsi="Book Antiqua" w:cs="Arial"/>
          <w:sz w:val="24"/>
          <w:szCs w:val="24"/>
          <w:vertAlign w:val="baseline"/>
          <w:lang w:val="en-US"/>
        </w:rPr>
        <w:t xml:space="preserve"> 1 </w:t>
      </w:r>
      <w:r w:rsidRPr="003310E2">
        <w:rPr>
          <w:rFonts w:ascii="Book Antiqua" w:hAnsi="Book Antiqua" w:cs="Arial"/>
          <w:sz w:val="24"/>
          <w:szCs w:val="24"/>
          <w:lang w:val="en-US"/>
        </w:rPr>
        <w:t xml:space="preserve">patient with </w:t>
      </w:r>
      <w:r w:rsidRPr="003310E2">
        <w:rPr>
          <w:rStyle w:val="EndnoteReference"/>
          <w:rFonts w:ascii="Book Antiqua" w:hAnsi="Book Antiqua" w:cs="Arial"/>
          <w:sz w:val="24"/>
          <w:szCs w:val="24"/>
          <w:vertAlign w:val="baseline"/>
          <w:lang w:val="en-US"/>
        </w:rPr>
        <w:t xml:space="preserve">HCV, 1 </w:t>
      </w:r>
      <w:r w:rsidRPr="003310E2">
        <w:rPr>
          <w:rFonts w:ascii="Book Antiqua" w:hAnsi="Book Antiqua" w:cs="Arial"/>
          <w:sz w:val="24"/>
          <w:szCs w:val="24"/>
          <w:lang w:val="en-US"/>
        </w:rPr>
        <w:t xml:space="preserve">with </w:t>
      </w:r>
      <w:r w:rsidRPr="003310E2">
        <w:rPr>
          <w:rStyle w:val="EndnoteReference"/>
          <w:rFonts w:ascii="Book Antiqua" w:hAnsi="Book Antiqua" w:cs="Arial"/>
          <w:sz w:val="24"/>
          <w:szCs w:val="24"/>
          <w:vertAlign w:val="baseline"/>
          <w:lang w:val="en-US"/>
        </w:rPr>
        <w:t xml:space="preserve">HBV, 1 </w:t>
      </w:r>
      <w:r w:rsidRPr="003310E2">
        <w:rPr>
          <w:rFonts w:ascii="Book Antiqua" w:hAnsi="Book Antiqua" w:cs="Arial"/>
          <w:sz w:val="24"/>
          <w:szCs w:val="24"/>
          <w:lang w:val="en-US"/>
        </w:rPr>
        <w:t xml:space="preserve">with </w:t>
      </w:r>
      <w:r w:rsidRPr="003310E2">
        <w:rPr>
          <w:rStyle w:val="EndnoteReference"/>
          <w:rFonts w:ascii="Book Antiqua" w:hAnsi="Book Antiqua" w:cs="Arial"/>
          <w:sz w:val="24"/>
          <w:szCs w:val="24"/>
          <w:vertAlign w:val="baseline"/>
          <w:lang w:val="en-US"/>
        </w:rPr>
        <w:t xml:space="preserve">HBV + alcohol, and 1 </w:t>
      </w:r>
      <w:r w:rsidRPr="003310E2">
        <w:rPr>
          <w:rFonts w:ascii="Book Antiqua" w:hAnsi="Book Antiqua" w:cs="Arial"/>
          <w:sz w:val="24"/>
          <w:szCs w:val="24"/>
          <w:lang w:val="en-US"/>
        </w:rPr>
        <w:t xml:space="preserve">of </w:t>
      </w:r>
      <w:r w:rsidRPr="003310E2">
        <w:rPr>
          <w:rStyle w:val="EndnoteReference"/>
          <w:rFonts w:ascii="Book Antiqua" w:hAnsi="Book Antiqua" w:cs="Arial"/>
          <w:sz w:val="24"/>
          <w:szCs w:val="24"/>
          <w:vertAlign w:val="baseline"/>
          <w:lang w:val="en-US"/>
        </w:rPr>
        <w:t>unknown</w:t>
      </w:r>
      <w:r w:rsidRPr="003310E2">
        <w:rPr>
          <w:rFonts w:ascii="Book Antiqua" w:hAnsi="Book Antiqua" w:cs="Arial"/>
          <w:sz w:val="24"/>
          <w:szCs w:val="24"/>
          <w:lang w:val="en-US"/>
        </w:rPr>
        <w:t xml:space="preserve"> cause</w:t>
      </w:r>
      <w:r w:rsidRPr="003310E2">
        <w:rPr>
          <w:rStyle w:val="EndnoteReference"/>
          <w:rFonts w:ascii="Book Antiqua" w:hAnsi="Book Antiqua" w:cs="Arial"/>
          <w:sz w:val="24"/>
          <w:szCs w:val="24"/>
          <w:vertAlign w:val="baseline"/>
          <w:lang w:val="en-US"/>
        </w:rPr>
        <w:t xml:space="preserve">; each cases had one or two nodules </w:t>
      </w:r>
      <w:r w:rsidRPr="003310E2">
        <w:rPr>
          <w:rFonts w:ascii="Book Antiqua" w:hAnsi="Book Antiqua" w:cs="Arial"/>
          <w:sz w:val="24"/>
          <w:szCs w:val="24"/>
          <w:lang w:val="en-US"/>
        </w:rPr>
        <w:t xml:space="preserve">of size </w:t>
      </w:r>
      <w:r w:rsidRPr="003310E2">
        <w:rPr>
          <w:rStyle w:val="EndnoteReference"/>
          <w:rFonts w:ascii="Book Antiqua" w:hAnsi="Book Antiqua" w:cs="Arial"/>
          <w:sz w:val="24"/>
          <w:szCs w:val="24"/>
          <w:vertAlign w:val="baseline"/>
          <w:lang w:val="en-US"/>
        </w:rPr>
        <w:t>ranging between 0.8 cm and 1.5 cm.</w:t>
      </w:r>
    </w:p>
    <w:p w:rsidR="003C39BE" w:rsidRPr="003310E2" w:rsidRDefault="003C39BE" w:rsidP="003B0F97">
      <w:pPr>
        <w:autoSpaceDE w:val="0"/>
        <w:autoSpaceDN w:val="0"/>
        <w:adjustRightInd w:val="0"/>
        <w:snapToGrid w:val="0"/>
        <w:spacing w:after="0" w:line="360" w:lineRule="auto"/>
        <w:ind w:firstLine="708"/>
        <w:jc w:val="both"/>
        <w:rPr>
          <w:rStyle w:val="EndnoteReference"/>
          <w:rFonts w:ascii="Book Antiqua" w:hAnsi="Book Antiqua" w:cs="Arial"/>
          <w:sz w:val="24"/>
          <w:szCs w:val="24"/>
          <w:vertAlign w:val="baseline"/>
          <w:lang w:val="en-US"/>
        </w:rPr>
      </w:pPr>
      <w:r w:rsidRPr="003310E2">
        <w:rPr>
          <w:rStyle w:val="EndnoteReference"/>
          <w:rFonts w:ascii="Book Antiqua" w:hAnsi="Book Antiqua" w:cs="Arial"/>
          <w:sz w:val="24"/>
          <w:szCs w:val="24"/>
          <w:vertAlign w:val="baseline"/>
          <w:lang w:val="en-US"/>
        </w:rPr>
        <w:t>Multiple intrahepatic tumors were detected in 31.6% (6/19) of cases with grade 2</w:t>
      </w:r>
      <w:r w:rsidRPr="003310E2">
        <w:rPr>
          <w:rFonts w:ascii="Book Antiqua" w:hAnsi="Book Antiqua" w:cs="Arial"/>
          <w:sz w:val="24"/>
          <w:szCs w:val="24"/>
          <w:lang w:val="en-US"/>
        </w:rPr>
        <w:t xml:space="preserve"> HCC</w:t>
      </w:r>
      <w:r w:rsidRPr="003310E2">
        <w:rPr>
          <w:rStyle w:val="EndnoteReference"/>
          <w:rFonts w:ascii="Book Antiqua" w:hAnsi="Book Antiqua" w:cs="Arial"/>
          <w:sz w:val="24"/>
          <w:szCs w:val="24"/>
          <w:vertAlign w:val="baseline"/>
          <w:lang w:val="en-US"/>
        </w:rPr>
        <w:t xml:space="preserve"> and in 69.8% (37/53) </w:t>
      </w:r>
      <w:r w:rsidRPr="003310E2">
        <w:rPr>
          <w:rFonts w:ascii="Book Antiqua" w:hAnsi="Book Antiqua" w:cs="Arial"/>
          <w:sz w:val="24"/>
          <w:szCs w:val="24"/>
          <w:lang w:val="en-US"/>
        </w:rPr>
        <w:t>of the cases with</w:t>
      </w:r>
      <w:r w:rsidRPr="003310E2">
        <w:rPr>
          <w:rStyle w:val="EndnoteReference"/>
          <w:rFonts w:ascii="Book Antiqua" w:hAnsi="Book Antiqua" w:cs="Arial"/>
          <w:sz w:val="24"/>
          <w:szCs w:val="24"/>
          <w:vertAlign w:val="baseline"/>
          <w:lang w:val="en-US"/>
        </w:rPr>
        <w:t xml:space="preserve"> grade 3 </w:t>
      </w:r>
      <w:r w:rsidRPr="003310E2">
        <w:rPr>
          <w:rFonts w:ascii="Book Antiqua" w:hAnsi="Book Antiqua" w:cs="Arial"/>
          <w:sz w:val="24"/>
          <w:szCs w:val="24"/>
          <w:lang w:val="en-US"/>
        </w:rPr>
        <w:t xml:space="preserve">or </w:t>
      </w:r>
      <w:r w:rsidRPr="003310E2">
        <w:rPr>
          <w:rStyle w:val="EndnoteReference"/>
          <w:rFonts w:ascii="Book Antiqua" w:hAnsi="Book Antiqua" w:cs="Arial"/>
          <w:sz w:val="24"/>
          <w:szCs w:val="24"/>
          <w:vertAlign w:val="baseline"/>
          <w:lang w:val="en-US"/>
        </w:rPr>
        <w:t xml:space="preserve">4 </w:t>
      </w:r>
      <w:r w:rsidRPr="003310E2">
        <w:rPr>
          <w:rFonts w:ascii="Book Antiqua" w:hAnsi="Book Antiqua" w:cs="Arial"/>
          <w:sz w:val="24"/>
          <w:szCs w:val="24"/>
          <w:lang w:val="en-US"/>
        </w:rPr>
        <w:t>when combined</w:t>
      </w:r>
      <w:r w:rsidRPr="003310E2">
        <w:rPr>
          <w:rStyle w:val="EndnoteReference"/>
          <w:rFonts w:ascii="Book Antiqua" w:hAnsi="Book Antiqua" w:cs="Arial"/>
          <w:sz w:val="24"/>
          <w:szCs w:val="24"/>
          <w:vertAlign w:val="baseline"/>
          <w:lang w:val="en-US"/>
        </w:rPr>
        <w:t xml:space="preserve"> (</w:t>
      </w:r>
      <w:r w:rsidRPr="003310E2">
        <w:rPr>
          <w:rStyle w:val="EndnoteReference"/>
          <w:rFonts w:ascii="Book Antiqua" w:hAnsi="Book Antiqua" w:cs="Arial"/>
          <w:i/>
          <w:sz w:val="24"/>
          <w:szCs w:val="24"/>
          <w:vertAlign w:val="baseline"/>
          <w:lang w:val="en-US"/>
        </w:rPr>
        <w:t>P</w:t>
      </w:r>
      <w:r w:rsidRPr="003310E2">
        <w:rPr>
          <w:rStyle w:val="EndnoteReference"/>
          <w:rFonts w:ascii="Book Antiqua" w:hAnsi="Book Antiqua" w:cs="Arial"/>
          <w:sz w:val="24"/>
          <w:szCs w:val="24"/>
          <w:vertAlign w:val="baseline"/>
          <w:lang w:val="en-US"/>
        </w:rPr>
        <w:t xml:space="preserve"> &lt; 0.01). Accordingly, the proportion</w:t>
      </w:r>
      <w:r w:rsidRPr="003310E2">
        <w:rPr>
          <w:rFonts w:ascii="Book Antiqua" w:hAnsi="Book Antiqua" w:cs="Arial"/>
          <w:sz w:val="24"/>
          <w:szCs w:val="24"/>
          <w:lang w:val="en-US"/>
        </w:rPr>
        <w:t>s</w:t>
      </w:r>
      <w:r w:rsidRPr="003310E2">
        <w:rPr>
          <w:rStyle w:val="EndnoteReference"/>
          <w:rFonts w:ascii="Book Antiqua" w:hAnsi="Book Antiqua" w:cs="Arial"/>
          <w:sz w:val="24"/>
          <w:szCs w:val="24"/>
          <w:vertAlign w:val="baseline"/>
          <w:lang w:val="en-US"/>
        </w:rPr>
        <w:t xml:space="preserve"> of </w:t>
      </w:r>
      <w:r w:rsidRPr="003310E2">
        <w:rPr>
          <w:rFonts w:ascii="Book Antiqua" w:hAnsi="Book Antiqua" w:cs="Arial"/>
          <w:sz w:val="24"/>
          <w:szCs w:val="24"/>
          <w:lang w:val="en-US"/>
        </w:rPr>
        <w:t xml:space="preserve">HCC cases classified as </w:t>
      </w:r>
      <w:r w:rsidRPr="003310E2">
        <w:rPr>
          <w:rStyle w:val="EndnoteReference"/>
          <w:rFonts w:ascii="Book Antiqua" w:hAnsi="Book Antiqua" w:cs="Arial"/>
          <w:sz w:val="24"/>
          <w:szCs w:val="24"/>
          <w:vertAlign w:val="baseline"/>
          <w:lang w:val="en-US"/>
        </w:rPr>
        <w:t xml:space="preserve">nodular, massive and diffuse </w:t>
      </w:r>
      <w:r w:rsidRPr="003310E2">
        <w:rPr>
          <w:rFonts w:ascii="Book Antiqua" w:hAnsi="Book Antiqua" w:cs="Arial"/>
          <w:sz w:val="24"/>
          <w:szCs w:val="24"/>
          <w:lang w:val="en-US"/>
        </w:rPr>
        <w:t xml:space="preserve">among the </w:t>
      </w:r>
      <w:r w:rsidRPr="003310E2">
        <w:rPr>
          <w:rStyle w:val="EndnoteReference"/>
          <w:rFonts w:ascii="Book Antiqua" w:hAnsi="Book Antiqua" w:cs="Arial"/>
          <w:sz w:val="24"/>
          <w:szCs w:val="24"/>
          <w:vertAlign w:val="baseline"/>
          <w:lang w:val="en-US"/>
        </w:rPr>
        <w:t>grades 3 and</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 xml:space="preserve">4 </w:t>
      </w:r>
      <w:r w:rsidRPr="003310E2">
        <w:rPr>
          <w:rFonts w:ascii="Book Antiqua" w:hAnsi="Book Antiqua" w:cs="Arial"/>
          <w:sz w:val="24"/>
          <w:szCs w:val="24"/>
          <w:lang w:val="en-US"/>
        </w:rPr>
        <w:t xml:space="preserve">combined group were </w:t>
      </w:r>
      <w:r w:rsidRPr="003310E2">
        <w:rPr>
          <w:rStyle w:val="EndnoteReference"/>
          <w:rFonts w:ascii="Book Antiqua" w:hAnsi="Book Antiqua" w:cs="Arial"/>
          <w:sz w:val="24"/>
          <w:szCs w:val="24"/>
          <w:vertAlign w:val="baseline"/>
          <w:lang w:val="en-US"/>
        </w:rPr>
        <w:t xml:space="preserve">67.7%, 88% and 75% respectively. </w:t>
      </w:r>
    </w:p>
    <w:p w:rsidR="003C39BE" w:rsidRPr="003310E2" w:rsidRDefault="003C39BE" w:rsidP="003B0F97">
      <w:pPr>
        <w:autoSpaceDE w:val="0"/>
        <w:autoSpaceDN w:val="0"/>
        <w:adjustRightInd w:val="0"/>
        <w:snapToGrid w:val="0"/>
        <w:spacing w:after="0" w:line="360" w:lineRule="auto"/>
        <w:ind w:firstLine="708"/>
        <w:jc w:val="both"/>
        <w:rPr>
          <w:rStyle w:val="EndnoteReference"/>
          <w:rFonts w:ascii="Book Antiqua" w:hAnsi="Book Antiqua" w:cs="Arial"/>
          <w:sz w:val="24"/>
          <w:szCs w:val="24"/>
          <w:vertAlign w:val="baseline"/>
          <w:lang w:val="en-US"/>
        </w:rPr>
      </w:pPr>
      <w:r w:rsidRPr="003310E2">
        <w:rPr>
          <w:rFonts w:ascii="Book Antiqua" w:hAnsi="Book Antiqua" w:cs="Arial"/>
          <w:sz w:val="24"/>
          <w:szCs w:val="24"/>
          <w:lang w:val="en-US"/>
        </w:rPr>
        <w:t>A t</w:t>
      </w:r>
      <w:r w:rsidRPr="003310E2">
        <w:rPr>
          <w:rStyle w:val="EndnoteReference"/>
          <w:rFonts w:ascii="Book Antiqua" w:hAnsi="Book Antiqua" w:cs="Arial"/>
          <w:sz w:val="24"/>
          <w:szCs w:val="24"/>
          <w:vertAlign w:val="baseline"/>
          <w:lang w:val="en-US"/>
        </w:rPr>
        <w:t xml:space="preserve">rabecular pattern </w:t>
      </w:r>
      <w:r w:rsidRPr="003310E2">
        <w:rPr>
          <w:rFonts w:ascii="Book Antiqua" w:hAnsi="Book Antiqua" w:cs="Arial"/>
          <w:sz w:val="24"/>
          <w:szCs w:val="24"/>
          <w:lang w:val="en-US"/>
        </w:rPr>
        <w:t xml:space="preserve">was </w:t>
      </w:r>
      <w:r w:rsidRPr="003310E2">
        <w:rPr>
          <w:rStyle w:val="EndnoteReference"/>
          <w:rFonts w:ascii="Book Antiqua" w:hAnsi="Book Antiqua" w:cs="Arial"/>
          <w:sz w:val="24"/>
          <w:szCs w:val="24"/>
          <w:vertAlign w:val="baseline"/>
          <w:lang w:val="en-US"/>
        </w:rPr>
        <w:t>predomina</w:t>
      </w:r>
      <w:r w:rsidRPr="003310E2">
        <w:rPr>
          <w:rFonts w:ascii="Book Antiqua" w:hAnsi="Book Antiqua" w:cs="Arial"/>
          <w:sz w:val="24"/>
          <w:szCs w:val="24"/>
          <w:lang w:val="en-US"/>
        </w:rPr>
        <w:t>nt</w:t>
      </w:r>
      <w:r w:rsidRPr="003310E2">
        <w:rPr>
          <w:rStyle w:val="EndnoteReference"/>
          <w:rFonts w:ascii="Book Antiqua" w:hAnsi="Book Antiqua" w:cs="Arial"/>
          <w:sz w:val="24"/>
          <w:szCs w:val="24"/>
          <w:vertAlign w:val="baseline"/>
          <w:lang w:val="en-US"/>
        </w:rPr>
        <w:t xml:space="preserve"> </w:t>
      </w:r>
      <w:r w:rsidRPr="003310E2">
        <w:rPr>
          <w:rFonts w:ascii="Book Antiqua" w:hAnsi="Book Antiqua" w:cs="Arial"/>
          <w:sz w:val="24"/>
          <w:szCs w:val="24"/>
          <w:lang w:val="en-US"/>
        </w:rPr>
        <w:t>among</w:t>
      </w:r>
      <w:r w:rsidRPr="003310E2">
        <w:rPr>
          <w:rStyle w:val="EndnoteReference"/>
          <w:rFonts w:ascii="Book Antiqua" w:hAnsi="Book Antiqua" w:cs="Arial"/>
          <w:sz w:val="24"/>
          <w:szCs w:val="24"/>
          <w:vertAlign w:val="baseline"/>
          <w:lang w:val="en-US"/>
        </w:rPr>
        <w:t xml:space="preserve"> </w:t>
      </w:r>
      <w:r w:rsidRPr="003310E2">
        <w:rPr>
          <w:rFonts w:ascii="Book Antiqua" w:hAnsi="Book Antiqua" w:cs="Arial"/>
          <w:sz w:val="24"/>
          <w:szCs w:val="24"/>
          <w:lang w:val="en-US"/>
        </w:rPr>
        <w:t>the cases in the combined-</w:t>
      </w:r>
      <w:r w:rsidRPr="003310E2">
        <w:rPr>
          <w:rStyle w:val="EndnoteReference"/>
          <w:rFonts w:ascii="Book Antiqua" w:hAnsi="Book Antiqua" w:cs="Arial"/>
          <w:sz w:val="24"/>
          <w:szCs w:val="24"/>
          <w:vertAlign w:val="baseline"/>
          <w:lang w:val="en-US"/>
        </w:rPr>
        <w:t>group</w:t>
      </w:r>
      <w:r w:rsidRPr="003310E2">
        <w:rPr>
          <w:rFonts w:ascii="Book Antiqua" w:hAnsi="Book Antiqua" w:cs="Arial"/>
          <w:sz w:val="24"/>
          <w:szCs w:val="24"/>
          <w:lang w:val="en-US"/>
        </w:rPr>
        <w:t xml:space="preserve"> of patients with</w:t>
      </w:r>
      <w:r w:rsidRPr="003310E2">
        <w:rPr>
          <w:rStyle w:val="EndnoteReference"/>
          <w:rFonts w:ascii="Book Antiqua" w:hAnsi="Book Antiqua" w:cs="Arial"/>
          <w:sz w:val="24"/>
          <w:szCs w:val="24"/>
          <w:vertAlign w:val="baseline"/>
          <w:lang w:val="en-US"/>
        </w:rPr>
        <w:t xml:space="preserve"> </w:t>
      </w:r>
      <w:r w:rsidRPr="003310E2">
        <w:rPr>
          <w:rFonts w:ascii="Book Antiqua" w:hAnsi="Book Antiqua" w:cs="Arial"/>
          <w:sz w:val="24"/>
          <w:szCs w:val="24"/>
          <w:lang w:val="en-US"/>
        </w:rPr>
        <w:t xml:space="preserve">tumors of </w:t>
      </w:r>
      <w:r w:rsidRPr="003310E2">
        <w:rPr>
          <w:rStyle w:val="EndnoteReference"/>
          <w:rFonts w:ascii="Book Antiqua" w:hAnsi="Book Antiqua" w:cs="Arial"/>
          <w:sz w:val="24"/>
          <w:szCs w:val="24"/>
          <w:vertAlign w:val="baseline"/>
          <w:lang w:val="en-US"/>
        </w:rPr>
        <w:t xml:space="preserve">grades 1 </w:t>
      </w:r>
      <w:r w:rsidRPr="003310E2">
        <w:rPr>
          <w:rFonts w:ascii="Book Antiqua" w:hAnsi="Book Antiqua" w:cs="Arial"/>
          <w:sz w:val="24"/>
          <w:szCs w:val="24"/>
          <w:lang w:val="en-US"/>
        </w:rPr>
        <w:t xml:space="preserve">and </w:t>
      </w:r>
      <w:r w:rsidRPr="003310E2">
        <w:rPr>
          <w:rStyle w:val="EndnoteReference"/>
          <w:rFonts w:ascii="Book Antiqua" w:hAnsi="Book Antiqua" w:cs="Arial"/>
          <w:sz w:val="24"/>
          <w:szCs w:val="24"/>
          <w:vertAlign w:val="baseline"/>
          <w:lang w:val="en-US"/>
        </w:rPr>
        <w:t xml:space="preserve">2 (61.9%) and in </w:t>
      </w:r>
      <w:r w:rsidRPr="003310E2">
        <w:rPr>
          <w:rFonts w:ascii="Book Antiqua" w:hAnsi="Book Antiqua" w:cs="Arial"/>
          <w:sz w:val="24"/>
          <w:szCs w:val="24"/>
          <w:lang w:val="en-US"/>
        </w:rPr>
        <w:t xml:space="preserve">patients with </w:t>
      </w:r>
      <w:r w:rsidRPr="003310E2">
        <w:rPr>
          <w:rStyle w:val="EndnoteReference"/>
          <w:rFonts w:ascii="Book Antiqua" w:hAnsi="Book Antiqua" w:cs="Arial"/>
          <w:sz w:val="24"/>
          <w:szCs w:val="24"/>
          <w:vertAlign w:val="baseline"/>
          <w:lang w:val="en-US"/>
        </w:rPr>
        <w:t>grade 3 tumors (47.8%)</w:t>
      </w:r>
      <w:r w:rsidRPr="003310E2">
        <w:rPr>
          <w:rFonts w:ascii="Book Antiqua" w:hAnsi="Book Antiqua" w:cs="Arial"/>
          <w:sz w:val="24"/>
          <w:szCs w:val="24"/>
          <w:lang w:val="en-US"/>
        </w:rPr>
        <w:t>. A s</w:t>
      </w:r>
      <w:r w:rsidRPr="003310E2">
        <w:rPr>
          <w:rStyle w:val="EndnoteReference"/>
          <w:rFonts w:ascii="Book Antiqua" w:hAnsi="Book Antiqua" w:cs="Arial"/>
          <w:sz w:val="24"/>
          <w:szCs w:val="24"/>
          <w:vertAlign w:val="baseline"/>
          <w:lang w:val="en-US"/>
        </w:rPr>
        <w:t>olid pattern was seen in</w:t>
      </w:r>
      <w:r w:rsidRPr="003310E2">
        <w:rPr>
          <w:rFonts w:ascii="Book Antiqua" w:hAnsi="Book Antiqua" w:cs="Arial"/>
          <w:sz w:val="24"/>
          <w:szCs w:val="24"/>
          <w:lang w:val="en-US"/>
        </w:rPr>
        <w:t xml:space="preserve"> </w:t>
      </w:r>
      <w:r w:rsidRPr="003310E2">
        <w:rPr>
          <w:rStyle w:val="EndnoteReference"/>
          <w:rFonts w:ascii="Book Antiqua" w:hAnsi="Book Antiqua" w:cs="Arial"/>
          <w:sz w:val="24"/>
          <w:szCs w:val="24"/>
          <w:vertAlign w:val="baseline"/>
          <w:lang w:val="en-US"/>
        </w:rPr>
        <w:t xml:space="preserve">90.9% of </w:t>
      </w:r>
      <w:r w:rsidRPr="003310E2">
        <w:rPr>
          <w:rFonts w:ascii="Book Antiqua" w:hAnsi="Book Antiqua" w:cs="Arial"/>
          <w:sz w:val="24"/>
          <w:szCs w:val="24"/>
          <w:lang w:val="en-US"/>
        </w:rPr>
        <w:t xml:space="preserve">the group of patients with </w:t>
      </w:r>
      <w:r w:rsidRPr="003310E2">
        <w:rPr>
          <w:rStyle w:val="EndnoteReference"/>
          <w:rFonts w:ascii="Book Antiqua" w:hAnsi="Book Antiqua" w:cs="Arial"/>
          <w:sz w:val="24"/>
          <w:szCs w:val="24"/>
          <w:vertAlign w:val="baseline"/>
          <w:lang w:val="en-US"/>
        </w:rPr>
        <w:t>grade 4 HCC.</w:t>
      </w:r>
    </w:p>
    <w:p w:rsidR="003C39BE" w:rsidRPr="003310E2" w:rsidRDefault="003C39BE" w:rsidP="003B0F97">
      <w:pPr>
        <w:autoSpaceDE w:val="0"/>
        <w:autoSpaceDN w:val="0"/>
        <w:adjustRightInd w:val="0"/>
        <w:snapToGrid w:val="0"/>
        <w:spacing w:after="0" w:line="360" w:lineRule="auto"/>
        <w:ind w:firstLine="708"/>
        <w:jc w:val="both"/>
        <w:rPr>
          <w:rFonts w:ascii="Book Antiqua" w:hAnsi="Book Antiqua" w:cs="Arial"/>
          <w:sz w:val="24"/>
          <w:szCs w:val="24"/>
          <w:lang w:val="en-US"/>
        </w:rPr>
      </w:pPr>
      <w:r w:rsidRPr="003310E2">
        <w:rPr>
          <w:rStyle w:val="EndnoteReference"/>
          <w:rFonts w:ascii="Book Antiqua" w:hAnsi="Book Antiqua" w:cs="Arial"/>
          <w:sz w:val="24"/>
          <w:szCs w:val="24"/>
          <w:vertAlign w:val="baseline"/>
          <w:lang w:val="en-US"/>
        </w:rPr>
        <w:t>Extrahepatic metastases were detected in 53.5% of cases of multiple intrahepatic tumors</w:t>
      </w:r>
      <w:r w:rsidRPr="003310E2">
        <w:rPr>
          <w:rFonts w:ascii="Book Antiqua" w:hAnsi="Book Antiqua" w:cs="Arial"/>
          <w:sz w:val="24"/>
          <w:szCs w:val="24"/>
          <w:lang w:val="en-US"/>
        </w:rPr>
        <w:t>,</w:t>
      </w:r>
      <w:r w:rsidRPr="003310E2">
        <w:rPr>
          <w:rStyle w:val="EndnoteReference"/>
          <w:rFonts w:ascii="Book Antiqua" w:hAnsi="Book Antiqua" w:cs="Arial"/>
          <w:sz w:val="24"/>
          <w:szCs w:val="24"/>
          <w:vertAlign w:val="baseline"/>
          <w:lang w:val="en-US"/>
        </w:rPr>
        <w:t xml:space="preserve"> and in 10.3% of cases with one to three intrahepatic tumors (</w:t>
      </w:r>
      <w:r w:rsidRPr="003310E2">
        <w:rPr>
          <w:rStyle w:val="EndnoteReference"/>
          <w:rFonts w:ascii="Book Antiqua" w:hAnsi="Book Antiqua" w:cs="Arial"/>
          <w:i/>
          <w:sz w:val="24"/>
          <w:szCs w:val="24"/>
          <w:vertAlign w:val="baseline"/>
          <w:lang w:val="en-US"/>
        </w:rPr>
        <w:t>P</w:t>
      </w:r>
      <w:r w:rsidRPr="003310E2">
        <w:rPr>
          <w:rStyle w:val="EndnoteReference"/>
          <w:rFonts w:ascii="Book Antiqua" w:hAnsi="Book Antiqua" w:cs="Arial"/>
          <w:sz w:val="24"/>
          <w:szCs w:val="24"/>
          <w:vertAlign w:val="baseline"/>
          <w:lang w:val="en-US"/>
        </w:rPr>
        <w:t xml:space="preserve"> &lt; 0.001). Consistently, cases with extrahepatic metastases had increased liver </w:t>
      </w:r>
      <w:r w:rsidRPr="003310E2">
        <w:rPr>
          <w:rStyle w:val="EndnoteReference"/>
          <w:rFonts w:ascii="Book Antiqua" w:hAnsi="Book Antiqua" w:cs="Arial"/>
          <w:sz w:val="24"/>
          <w:szCs w:val="24"/>
          <w:vertAlign w:val="baseline"/>
          <w:lang w:val="en-US"/>
        </w:rPr>
        <w:lastRenderedPageBreak/>
        <w:t>weight (</w:t>
      </w:r>
      <w:r w:rsidRPr="003310E2">
        <w:rPr>
          <w:rFonts w:ascii="Book Antiqua" w:hAnsi="Book Antiqua" w:cs="Arial"/>
          <w:color w:val="000000"/>
          <w:sz w:val="24"/>
          <w:szCs w:val="24"/>
          <w:lang w:val="en-US"/>
        </w:rPr>
        <w:t xml:space="preserve">2388.3 ± 842.1 g) as compared to cases without </w:t>
      </w:r>
      <w:r w:rsidRPr="003310E2">
        <w:rPr>
          <w:rStyle w:val="EndnoteReference"/>
          <w:rFonts w:ascii="Book Antiqua" w:hAnsi="Book Antiqua" w:cs="Arial"/>
          <w:sz w:val="24"/>
          <w:szCs w:val="24"/>
          <w:vertAlign w:val="baseline"/>
          <w:lang w:val="en-US"/>
        </w:rPr>
        <w:t>extrahepatic metastases (</w:t>
      </w:r>
      <w:r w:rsidRPr="003310E2">
        <w:rPr>
          <w:rFonts w:ascii="Book Antiqua" w:hAnsi="Book Antiqua" w:cs="Arial"/>
          <w:color w:val="000000"/>
          <w:sz w:val="24"/>
          <w:szCs w:val="24"/>
          <w:lang w:val="en-US"/>
        </w:rPr>
        <w:t xml:space="preserve">1501.3 ± 625.5 g; </w:t>
      </w:r>
      <w:r w:rsidRPr="003310E2">
        <w:rPr>
          <w:rFonts w:ascii="Book Antiqua" w:hAnsi="Book Antiqua" w:cs="Arial"/>
          <w:i/>
          <w:color w:val="000000"/>
          <w:sz w:val="24"/>
          <w:szCs w:val="24"/>
          <w:lang w:val="en-US"/>
        </w:rPr>
        <w:t>P</w:t>
      </w:r>
      <w:r w:rsidRPr="003310E2">
        <w:rPr>
          <w:rFonts w:ascii="Book Antiqua" w:hAnsi="Book Antiqua" w:cs="Arial"/>
          <w:color w:val="000000"/>
          <w:sz w:val="24"/>
          <w:szCs w:val="24"/>
          <w:lang w:val="en-US"/>
        </w:rPr>
        <w:t xml:space="preserve"> &lt; 0.01).</w:t>
      </w: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i/>
          <w:sz w:val="24"/>
          <w:szCs w:val="24"/>
          <w:lang w:val="en-US"/>
        </w:rPr>
      </w:pPr>
      <w:r w:rsidRPr="003310E2">
        <w:rPr>
          <w:rFonts w:ascii="Book Antiqua" w:hAnsi="Book Antiqua" w:cs="Arial"/>
          <w:b/>
          <w:i/>
          <w:sz w:val="24"/>
          <w:szCs w:val="24"/>
          <w:lang w:val="en-US"/>
        </w:rPr>
        <w:t>Immunohistochemistry</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The expression patterns and cut-off points used for the different markers in primary HCC, metastases and non-neoplastic liver are summarized in Table 4 and shown in Figures 1 and 2. </w:t>
      </w:r>
      <w:r w:rsidRPr="003310E2">
        <w:rPr>
          <w:rFonts w:ascii="Book Antiqua" w:hAnsi="Book Antiqua"/>
          <w:sz w:val="24"/>
          <w:szCs w:val="24"/>
          <w:lang w:val="en-US"/>
        </w:rPr>
        <w:t>The discrepancy in numbers of cases presented in each table (Tables 4-6) reflects the loss of some spots during TMA processing.</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The non-neoplastic liver tissues, mostly representative of cirrhosis, showed higher rates of EGFR overexpression, higher caspase 3 expression (</w:t>
      </w:r>
      <w:r w:rsidRPr="003310E2">
        <w:rPr>
          <w:rFonts w:ascii="Book Antiqua" w:hAnsi="Book Antiqua" w:cs="Arial"/>
          <w:i/>
          <w:sz w:val="24"/>
          <w:szCs w:val="24"/>
          <w:lang w:val="en-US"/>
        </w:rPr>
        <w:t xml:space="preserve">P </w:t>
      </w:r>
      <w:r w:rsidRPr="003310E2">
        <w:rPr>
          <w:rFonts w:ascii="Book Antiqua" w:hAnsi="Book Antiqua" w:cs="Arial"/>
          <w:sz w:val="24"/>
          <w:szCs w:val="24"/>
          <w:lang w:val="en-US"/>
        </w:rPr>
        <w:t>= 0.009), lower p53 expression (</w:t>
      </w:r>
      <w:r w:rsidRPr="003310E2">
        <w:rPr>
          <w:rFonts w:ascii="Book Antiqua" w:hAnsi="Book Antiqua" w:cs="Arial"/>
          <w:i/>
          <w:sz w:val="24"/>
          <w:szCs w:val="24"/>
          <w:lang w:val="en-US"/>
        </w:rPr>
        <w:t xml:space="preserve">P </w:t>
      </w:r>
      <w:r w:rsidRPr="003310E2">
        <w:rPr>
          <w:rFonts w:ascii="Book Antiqua" w:hAnsi="Book Antiqua" w:cs="Arial"/>
          <w:sz w:val="24"/>
          <w:szCs w:val="24"/>
          <w:lang w:val="en-US"/>
        </w:rPr>
        <w:t>= 0.002) and lower rates of Ki67-evidenced cell proliferation (</w:t>
      </w:r>
      <w:r w:rsidRPr="003310E2">
        <w:rPr>
          <w:rFonts w:ascii="Book Antiqua" w:hAnsi="Book Antiqua" w:cs="Arial"/>
          <w:i/>
          <w:sz w:val="24"/>
          <w:szCs w:val="24"/>
          <w:lang w:val="en-US"/>
        </w:rPr>
        <w:t xml:space="preserve">P &lt; </w:t>
      </w:r>
      <w:r w:rsidRPr="003310E2">
        <w:rPr>
          <w:rFonts w:ascii="Book Antiqua" w:hAnsi="Book Antiqua" w:cs="Arial"/>
          <w:sz w:val="24"/>
          <w:szCs w:val="24"/>
          <w:lang w:val="en-US"/>
        </w:rPr>
        <w:t>0.001) than the primary HCC samples. K19 expression was below the threshold of detection for all non-neoplastic hepatocytes examined. High-level expression of ERK1 (</w:t>
      </w:r>
      <w:r w:rsidRPr="003310E2">
        <w:rPr>
          <w:rFonts w:ascii="Book Antiqua" w:hAnsi="Book Antiqua" w:cs="Arial"/>
          <w:i/>
          <w:sz w:val="24"/>
          <w:szCs w:val="24"/>
          <w:lang w:val="en-US"/>
        </w:rPr>
        <w:t xml:space="preserve">P </w:t>
      </w:r>
      <w:r w:rsidRPr="003310E2">
        <w:rPr>
          <w:rFonts w:ascii="Book Antiqua" w:hAnsi="Book Antiqua" w:cs="Arial"/>
          <w:sz w:val="24"/>
          <w:szCs w:val="24"/>
          <w:lang w:val="en-US"/>
        </w:rPr>
        <w:t>= 0.006) and ERK2 (</w:t>
      </w:r>
      <w:r w:rsidRPr="003310E2">
        <w:rPr>
          <w:rFonts w:ascii="Book Antiqua" w:hAnsi="Book Antiqua" w:cs="Arial"/>
          <w:i/>
          <w:sz w:val="24"/>
          <w:szCs w:val="24"/>
          <w:lang w:val="en-US"/>
        </w:rPr>
        <w:t xml:space="preserve">P </w:t>
      </w:r>
      <w:r w:rsidRPr="003310E2">
        <w:rPr>
          <w:rFonts w:ascii="Book Antiqua" w:hAnsi="Book Antiqua" w:cs="Arial"/>
          <w:sz w:val="24"/>
          <w:szCs w:val="24"/>
          <w:lang w:val="en-US"/>
        </w:rPr>
        <w:t>= 0.029) was only detected in tumor samples, and predominantly in metastases samples. Cyclin D1 was more frequently expressed in metastases samples than in other samples (</w:t>
      </w:r>
      <w:r w:rsidRPr="003310E2">
        <w:rPr>
          <w:rFonts w:ascii="Book Antiqua" w:hAnsi="Book Antiqua" w:cs="Arial"/>
          <w:i/>
          <w:sz w:val="24"/>
          <w:szCs w:val="24"/>
          <w:lang w:val="en-US"/>
        </w:rPr>
        <w:t xml:space="preserve">P </w:t>
      </w:r>
      <w:r w:rsidRPr="003310E2">
        <w:rPr>
          <w:rFonts w:ascii="Book Antiqua" w:hAnsi="Book Antiqua" w:cs="Arial"/>
          <w:sz w:val="24"/>
          <w:szCs w:val="24"/>
          <w:lang w:val="en-US"/>
        </w:rPr>
        <w:t>= 0.018). There was a trend towards increased expression of vimentin and nuclear beta-catenin in tumor samples and metastases when compared to non-neoplastic liver samples. The expression of mTOR, MET, ERK1 and ERK2 was higher in metastases samples than in intrahepatic liver tumor samples, although the difference between the two did not reach statistical significance.</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Table 5 summarizes the relation of histological grade and expression of the immunohistochemical markers of HCC. While EGFR overexpression and MET expression were more common in the combined-group of patients with grades 1 and 2 HCC, K19 expression and loss of caspase 3 were more frequent in the group with grade 4 HCC. The combined-group of patients with grades 1 and 2 HCC showed a trend towards very low Ki67 index (&lt; 0.1%).</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Table 6 presents the association coefficients for the scores or values of the immunohistochemical markers of HCC and the grade of primary HCC. Although </w:t>
      </w:r>
      <w:r w:rsidRPr="003310E2">
        <w:rPr>
          <w:rFonts w:ascii="Book Antiqua" w:hAnsi="Book Antiqua" w:cs="Arial"/>
          <w:sz w:val="24"/>
          <w:szCs w:val="24"/>
          <w:lang w:val="en-US"/>
        </w:rPr>
        <w:lastRenderedPageBreak/>
        <w:t xml:space="preserve">the association coefficients were mostly moderate or weak, some clear segregation existed between markers that were positively associated with the histological grade and cell proliferation (such as p53, K19, and nuclear beta-catenin—in group 1) </w:t>
      </w:r>
      <w:r w:rsidRPr="003310E2">
        <w:rPr>
          <w:rFonts w:ascii="Book Antiqua" w:hAnsi="Book Antiqua" w:cs="Arial"/>
          <w:i/>
          <w:sz w:val="24"/>
          <w:szCs w:val="24"/>
          <w:lang w:val="en-US"/>
        </w:rPr>
        <w:t>vs</w:t>
      </w:r>
      <w:r w:rsidRPr="003310E2">
        <w:rPr>
          <w:rFonts w:ascii="Book Antiqua" w:hAnsi="Book Antiqua" w:cs="Arial"/>
          <w:sz w:val="24"/>
          <w:szCs w:val="24"/>
          <w:lang w:val="en-US"/>
        </w:rPr>
        <w:t xml:space="preserve"> markers with the opposite profile (</w:t>
      </w:r>
      <w:r w:rsidRPr="003310E2">
        <w:rPr>
          <w:rFonts w:ascii="Book Antiqua" w:hAnsi="Book Antiqua" w:cs="Arial"/>
          <w:i/>
          <w:sz w:val="24"/>
          <w:szCs w:val="24"/>
          <w:lang w:val="en-US"/>
        </w:rPr>
        <w:t>e.g</w:t>
      </w:r>
      <w:r w:rsidRPr="003310E2">
        <w:rPr>
          <w:rFonts w:ascii="Book Antiqua" w:hAnsi="Book Antiqua" w:cs="Arial"/>
          <w:sz w:val="24"/>
          <w:szCs w:val="24"/>
          <w:lang w:val="en-US"/>
        </w:rPr>
        <w:t>.</w:t>
      </w:r>
      <w:r w:rsidR="00091C46" w:rsidRPr="003310E2">
        <w:rPr>
          <w:rFonts w:ascii="Book Antiqua" w:hAnsi="Book Antiqua" w:cs="Arial"/>
          <w:sz w:val="24"/>
          <w:szCs w:val="24"/>
          <w:lang w:val="en-US" w:eastAsia="zh-CN"/>
        </w:rPr>
        <w:t>,</w:t>
      </w:r>
      <w:r w:rsidRPr="003310E2">
        <w:rPr>
          <w:rFonts w:ascii="Book Antiqua" w:hAnsi="Book Antiqua" w:cs="Arial"/>
          <w:sz w:val="24"/>
          <w:szCs w:val="24"/>
          <w:lang w:val="en-US"/>
        </w:rPr>
        <w:t xml:space="preserve"> MET, EGFR and caspase 3—in group 3). Vimentin was significantly associated with K19. In group 2, the immunohistochemical markers of mTOR, membrane beta-catenin and cyclin D1 showed intermediate characteristics, and were less associated with histological grade, but still showed association with Ki67-evidenced cell proliferation. ERK1 and ERK2 were both associated with Ki67-evidenced cell proliferation and with each other’s expression. However, ERK1 was associated with K19 and vimentin, while ERK2 was associated with cyclin D1, MET and membrane beta-catenin.</w:t>
      </w:r>
    </w:p>
    <w:p w:rsidR="003C39BE" w:rsidRPr="003310E2" w:rsidRDefault="003C39BE" w:rsidP="003B0F97">
      <w:pPr>
        <w:adjustRightInd w:val="0"/>
        <w:snapToGrid w:val="0"/>
        <w:spacing w:after="0" w:line="360" w:lineRule="auto"/>
        <w:jc w:val="both"/>
        <w:rPr>
          <w:rFonts w:ascii="Book Antiqua" w:hAnsi="Book Antiqua" w:cs="Arial"/>
          <w:b/>
          <w:sz w:val="24"/>
          <w:szCs w:val="24"/>
          <w:u w:val="single"/>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DISCUSSION</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A few recent studies have sought to translate genomic data into panels of immunohistochemical markers, aiming to generate risk models for survival and prognostic evaluation of HCC</w:t>
      </w:r>
      <w:r w:rsidRPr="003310E2">
        <w:rPr>
          <w:rFonts w:ascii="Book Antiqua" w:hAnsi="Book Antiqua" w:cs="Arial"/>
          <w:sz w:val="24"/>
          <w:szCs w:val="24"/>
          <w:vertAlign w:val="superscript"/>
          <w:lang w:val="en-US"/>
        </w:rPr>
        <w:t>[16,17]</w:t>
      </w:r>
      <w:r w:rsidRPr="003310E2">
        <w:rPr>
          <w:rFonts w:ascii="Book Antiqua" w:hAnsi="Book Antiqua" w:cs="Arial"/>
          <w:sz w:val="24"/>
          <w:szCs w:val="24"/>
          <w:lang w:val="en-US"/>
        </w:rPr>
        <w:t xml:space="preserve">. Although immunohistochemical studies do not always directly reflect the underlying molecular mechanisms of a given tumor, this cross-sectional analysis in a large post-mortem series supports the feasibility of such a strategy and reinforces the paramount importance of the histological grade.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Overexpression of EGFR has been reported in HCC and the surrounding chronically inflamed tissue. In our autopsy cohort, EGFR overexpression was found to be related to more differentiated HCC. Previous studies have presented conflicting results on this topic, either reporting detection of higher EGFR expression in high-grade tumors</w:t>
      </w:r>
      <w:r w:rsidRPr="003310E2">
        <w:rPr>
          <w:rFonts w:ascii="Book Antiqua" w:hAnsi="Book Antiqua" w:cs="Arial"/>
          <w:sz w:val="24"/>
          <w:szCs w:val="24"/>
          <w:vertAlign w:val="superscript"/>
          <w:lang w:val="en-US"/>
        </w:rPr>
        <w:t xml:space="preserve">[18,19] </w:t>
      </w:r>
      <w:r w:rsidRPr="003310E2">
        <w:rPr>
          <w:rFonts w:ascii="Book Antiqua" w:hAnsi="Book Antiqua" w:cs="Arial"/>
          <w:sz w:val="24"/>
          <w:szCs w:val="24"/>
          <w:lang w:val="en-US"/>
        </w:rPr>
        <w:t>or demonstrating a complete absence of any association</w:t>
      </w:r>
      <w:r w:rsidRPr="003310E2">
        <w:rPr>
          <w:rFonts w:ascii="Book Antiqua" w:hAnsi="Book Antiqua" w:cs="Arial"/>
          <w:sz w:val="24"/>
          <w:szCs w:val="24"/>
          <w:vertAlign w:val="superscript"/>
          <w:lang w:val="en-US"/>
        </w:rPr>
        <w:t>[20,21]</w:t>
      </w:r>
      <w:r w:rsidRPr="003310E2">
        <w:rPr>
          <w:rFonts w:ascii="Book Antiqua" w:hAnsi="Book Antiqua" w:cs="Arial"/>
          <w:sz w:val="24"/>
          <w:szCs w:val="24"/>
          <w:lang w:val="en-US"/>
        </w:rPr>
        <w:t>.</w:t>
      </w:r>
      <w:r w:rsidRPr="003310E2">
        <w:rPr>
          <w:rFonts w:ascii="Book Antiqua" w:hAnsi="Book Antiqua" w:cs="Arial"/>
          <w:sz w:val="24"/>
          <w:szCs w:val="24"/>
          <w:vertAlign w:val="superscript"/>
          <w:lang w:val="en-US"/>
        </w:rPr>
        <w:t xml:space="preserve"> </w:t>
      </w:r>
      <w:r w:rsidRPr="003310E2">
        <w:rPr>
          <w:rFonts w:ascii="Book Antiqua" w:hAnsi="Book Antiqua" w:cs="Arial"/>
          <w:sz w:val="24"/>
          <w:szCs w:val="24"/>
          <w:lang w:val="en-US"/>
        </w:rPr>
        <w:t xml:space="preserve">Our findings are similar to those described by Morimitsu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[22]</w:t>
      </w:r>
      <w:r w:rsidRPr="003310E2">
        <w:rPr>
          <w:rFonts w:ascii="Book Antiqua" w:hAnsi="Book Antiqua" w:cs="Arial"/>
          <w:sz w:val="24"/>
          <w:szCs w:val="24"/>
          <w:lang w:val="en-US"/>
        </w:rPr>
        <w:t>, who showed a progressive loss of EGFR expression in less differentiated HCC in surgical specimens.</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Our study also found that expression of Ki67, cyclin D1 and caspase 3 indicate higher proliferative activity and lower rates of apoptosis in more </w:t>
      </w:r>
      <w:r w:rsidRPr="003310E2">
        <w:rPr>
          <w:rFonts w:ascii="Book Antiqua" w:hAnsi="Book Antiqua" w:cs="Arial"/>
          <w:sz w:val="24"/>
          <w:szCs w:val="24"/>
          <w:lang w:val="en-US"/>
        </w:rPr>
        <w:lastRenderedPageBreak/>
        <w:t>aggressive tumor populations, especially in metastases. However, these findings may not accurately reflect the histological grade since the metastases samples examined showed morphological similarities to the intrahepatic tumor samples examined. Similarly, lower expression of caspase 3 has been previously reported as present in less differentiated prostate adenocarcinomas</w:t>
      </w:r>
      <w:r w:rsidRPr="003310E2">
        <w:rPr>
          <w:rFonts w:ascii="Book Antiqua" w:hAnsi="Book Antiqua" w:cs="Arial"/>
          <w:sz w:val="24"/>
          <w:szCs w:val="24"/>
          <w:vertAlign w:val="superscript"/>
          <w:lang w:val="en-US"/>
        </w:rPr>
        <w:t>[23]</w:t>
      </w:r>
      <w:r w:rsidRPr="003310E2">
        <w:rPr>
          <w:rFonts w:ascii="Book Antiqua" w:hAnsi="Book Antiqua" w:cs="Arial"/>
          <w:sz w:val="24"/>
          <w:szCs w:val="24"/>
          <w:lang w:val="en-US"/>
        </w:rPr>
        <w:t xml:space="preserve">. Conversely, Persad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[24]</w:t>
      </w:r>
      <w:r w:rsidRPr="003310E2">
        <w:rPr>
          <w:rFonts w:ascii="Book Antiqua" w:hAnsi="Book Antiqua" w:cs="Arial"/>
          <w:sz w:val="24"/>
          <w:szCs w:val="24"/>
          <w:lang w:val="en-US"/>
        </w:rPr>
        <w:t xml:space="preserve"> showed increased expression of caspase 3 in 52% of resected HCC samples, a distinguishing feature from the surrounding non-HCC tissue. The results from our study, presented herein, probably reflect a larger sample of poorly differentiated HCC with a higher proportion of caspase 3 loss.</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The higher rates of K19 and vimentin expression we observed in metastatic HCC suggest a more aggressive behavior of K19-positive HCC; this finding could serve to reinforce previous evidence that K19 expression is a “progenitor cell feature”, while vimentin expression could denote epithelial–mesenchymal transition</w:t>
      </w:r>
      <w:r w:rsidRPr="003310E2">
        <w:rPr>
          <w:rFonts w:ascii="Book Antiqua" w:hAnsi="Book Antiqua" w:cs="Arial"/>
          <w:sz w:val="24"/>
          <w:szCs w:val="24"/>
          <w:vertAlign w:val="superscript"/>
          <w:lang w:val="en-US"/>
        </w:rPr>
        <w:t>[25-27]</w:t>
      </w:r>
      <w:r w:rsidRPr="003310E2">
        <w:rPr>
          <w:rFonts w:ascii="Book Antiqua" w:hAnsi="Book Antiqua" w:cs="Arial"/>
          <w:sz w:val="24"/>
          <w:szCs w:val="24"/>
          <w:lang w:val="en-US"/>
        </w:rPr>
        <w:t>.</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 xml:space="preserve">A subpopulation of HCC has been reported as presenting constitutively increased expression of cyclin D1. Activation of the cyclin D1 promoter has also been characterized as one of the prime targets of the beta–catenin pathway. Joo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[26]</w:t>
      </w:r>
      <w:r w:rsidRPr="003310E2">
        <w:rPr>
          <w:rFonts w:ascii="Book Antiqua" w:hAnsi="Book Antiqua" w:cs="Arial"/>
          <w:sz w:val="24"/>
          <w:szCs w:val="24"/>
          <w:lang w:val="en-US"/>
        </w:rPr>
        <w:t xml:space="preserve"> linked the overexpression of cyclin D1 to well-differentiated HCC that shows a low proliferation index as evidenced by detection of Ki67. The authors, however, did not identify an association between the expression of cyclin D1 and p53, as we observed in the current study. Instead, our results are similar to those described by Schmitt-Graeff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[28]</w:t>
      </w:r>
      <w:r w:rsidRPr="003310E2">
        <w:rPr>
          <w:rFonts w:ascii="Book Antiqua" w:hAnsi="Book Antiqua" w:cs="Arial"/>
          <w:sz w:val="24"/>
          <w:szCs w:val="24"/>
          <w:lang w:val="en-US"/>
        </w:rPr>
        <w:t xml:space="preserve">, in which an association was found to exist between the expression of cyclin D1 and cell proliferation, but not with histological grade. Unlike that finding and those reported by Prange </w:t>
      </w:r>
      <w:r w:rsidRPr="003310E2">
        <w:rPr>
          <w:rFonts w:ascii="Book Antiqua" w:hAnsi="Book Antiqua" w:cs="Arial"/>
          <w:i/>
          <w:sz w:val="24"/>
          <w:szCs w:val="24"/>
          <w:lang w:val="en-US"/>
        </w:rPr>
        <w:t>et al</w:t>
      </w:r>
      <w:r w:rsidRPr="003310E2">
        <w:rPr>
          <w:rFonts w:ascii="Book Antiqua" w:hAnsi="Book Antiqua" w:cs="Arial"/>
          <w:sz w:val="24"/>
          <w:szCs w:val="24"/>
          <w:vertAlign w:val="superscript"/>
          <w:lang w:val="en-US"/>
        </w:rPr>
        <w:t>[29]</w:t>
      </w:r>
      <w:r w:rsidRPr="003310E2">
        <w:rPr>
          <w:rFonts w:ascii="Book Antiqua" w:hAnsi="Book Antiqua" w:cs="Arial"/>
          <w:sz w:val="24"/>
          <w:szCs w:val="24"/>
          <w:lang w:val="en-US"/>
        </w:rPr>
        <w:t>, we identified a weak correlation between the expression of cyclin D1 and the nuclear or membrane expression of beta-catenin. Our finding is in accordance with another study that identified an association between aberrant nuclear expression of beta-catenin and the Ki67 index</w:t>
      </w:r>
      <w:r w:rsidRPr="003310E2">
        <w:rPr>
          <w:rFonts w:ascii="Book Antiqua" w:hAnsi="Book Antiqua" w:cs="Arial"/>
          <w:sz w:val="24"/>
          <w:szCs w:val="24"/>
          <w:vertAlign w:val="superscript"/>
          <w:lang w:val="en-US"/>
        </w:rPr>
        <w:t>[30]</w:t>
      </w:r>
      <w:r w:rsidRPr="003310E2">
        <w:rPr>
          <w:rFonts w:ascii="Book Antiqua" w:hAnsi="Book Antiqua" w:cs="Arial"/>
          <w:sz w:val="24"/>
          <w:szCs w:val="24"/>
          <w:lang w:val="en-US"/>
        </w:rPr>
        <w:t xml:space="preserve">. Dysregulation of the Wnt pathway may be more relevant in a </w:t>
      </w:r>
      <w:r w:rsidRPr="003310E2">
        <w:rPr>
          <w:rFonts w:ascii="Book Antiqua" w:hAnsi="Book Antiqua" w:cs="Arial"/>
          <w:sz w:val="24"/>
          <w:szCs w:val="24"/>
          <w:lang w:val="en-US"/>
        </w:rPr>
        <w:lastRenderedPageBreak/>
        <w:t>type of HCC with a higher rate of cell proliferation, but which is distinct from tumors with stemness features.</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Our study also showed that expression of ERK1 associated with histological grade, as well as with the expression of K19 and vimentin. On the other hand, expression of ERK2 correlated to that of cyclin D1, membrane beta-catenin and MET, but not to histological grade. These findings suggest that ERK1 is preferentially expressed in HCC that has a stem-cell phenotype, while ERK2 is preferentially expressed in HCC that has a dysregulated Wnt pathway and/or dysregulated MET pathway. It has been reported that activation of kinases in HCC indicates aggressive behavior and may represent an independent prognostic factor for progression to HCC in HCV-infected individuals</w:t>
      </w:r>
      <w:r w:rsidRPr="003310E2">
        <w:rPr>
          <w:rFonts w:ascii="Book Antiqua" w:hAnsi="Book Antiqua" w:cs="Arial"/>
          <w:sz w:val="24"/>
          <w:szCs w:val="24"/>
          <w:vertAlign w:val="superscript"/>
          <w:lang w:val="en-US"/>
        </w:rPr>
        <w:t>[31]</w:t>
      </w:r>
      <w:r w:rsidRPr="003310E2">
        <w:rPr>
          <w:rFonts w:ascii="Book Antiqua" w:hAnsi="Book Antiqua" w:cs="Arial"/>
          <w:sz w:val="24"/>
          <w:szCs w:val="24"/>
          <w:lang w:val="en-US"/>
        </w:rPr>
        <w:t>. This activation seems to be related to the mammalian sterile-20-like kinase 4, which functions as an enhancer of cell proliferation and invasion through its ability to promote the process of epithelial–mesenchymal transition</w:t>
      </w:r>
      <w:r w:rsidRPr="003310E2">
        <w:rPr>
          <w:rFonts w:ascii="Book Antiqua" w:hAnsi="Book Antiqua" w:cs="Arial"/>
          <w:sz w:val="24"/>
          <w:szCs w:val="24"/>
          <w:vertAlign w:val="superscript"/>
          <w:lang w:val="en-US"/>
        </w:rPr>
        <w:t>[32]</w:t>
      </w:r>
      <w:r w:rsidRPr="003310E2">
        <w:rPr>
          <w:rFonts w:ascii="Book Antiqua" w:hAnsi="Book Antiqua" w:cs="Arial"/>
          <w:sz w:val="24"/>
          <w:szCs w:val="24"/>
          <w:lang w:val="en-US"/>
        </w:rPr>
        <w:t>. ERK2 may play a more prominent role in the proliferation of hepatocytes, while ERK1 may play an pro-apoptotic role</w:t>
      </w:r>
      <w:r w:rsidRPr="003310E2">
        <w:rPr>
          <w:rFonts w:ascii="Book Antiqua" w:hAnsi="Book Antiqua" w:cs="Arial"/>
          <w:sz w:val="24"/>
          <w:szCs w:val="24"/>
          <w:vertAlign w:val="superscript"/>
          <w:lang w:val="en-US"/>
        </w:rPr>
        <w:t>[33]</w:t>
      </w:r>
      <w:r w:rsidRPr="003310E2">
        <w:rPr>
          <w:rFonts w:ascii="Book Antiqua" w:hAnsi="Book Antiqua" w:cs="Arial"/>
          <w:sz w:val="24"/>
          <w:szCs w:val="24"/>
          <w:lang w:val="en-US"/>
        </w:rPr>
        <w:t xml:space="preserve">. An HCC type having a progenitor cell phenotype may present mechanisms of escaping the pro-apoptotic action of ERK1, which are presumably related to the mutation of p53. The overexpression of ERK1/ERK2 kinases in this study’s series of advanced cases was not related to EGFR overexpression.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3310E2">
        <w:rPr>
          <w:rFonts w:ascii="Book Antiqua" w:hAnsi="Book Antiqua" w:cs="Arial"/>
          <w:sz w:val="24"/>
          <w:szCs w:val="24"/>
          <w:lang w:val="en-US"/>
        </w:rPr>
        <w:t>Autopsy studies may have limitations that should be considered when interpreting results, particularly those related to autolytic changes that may affect immunoreactivity. In our institution, corpses are refrigerated and medical autopsies are performed as soon as all technical and legal procedures are addressed and resolved. Nevertheless, we sought to minimize the effects of autolytic changes by excluding samples with morphological features of poor preservation, specifically by examining vimentin staining (comparing to positive and negative controls) to assure that protein preservation was good enough to yield reliable immunohistochemical studies</w:t>
      </w:r>
      <w:r w:rsidRPr="003310E2">
        <w:rPr>
          <w:rFonts w:ascii="Book Antiqua" w:hAnsi="Book Antiqua" w:cs="Arial"/>
          <w:sz w:val="24"/>
          <w:szCs w:val="24"/>
          <w:vertAlign w:val="superscript"/>
          <w:lang w:val="en-US"/>
        </w:rPr>
        <w:t>[34]</w:t>
      </w:r>
      <w:r w:rsidRPr="003310E2">
        <w:rPr>
          <w:rFonts w:ascii="Book Antiqua" w:hAnsi="Book Antiqua" w:cs="Arial"/>
          <w:sz w:val="24"/>
          <w:szCs w:val="24"/>
          <w:lang w:val="en-US"/>
        </w:rPr>
        <w:t xml:space="preserve">. </w:t>
      </w:r>
    </w:p>
    <w:p w:rsidR="003C39BE" w:rsidRPr="003310E2" w:rsidRDefault="003C39BE" w:rsidP="003B0F97">
      <w:pPr>
        <w:adjustRightInd w:val="0"/>
        <w:snapToGrid w:val="0"/>
        <w:spacing w:after="0" w:line="360" w:lineRule="auto"/>
        <w:ind w:firstLine="708"/>
        <w:jc w:val="both"/>
        <w:rPr>
          <w:rFonts w:ascii="Book Antiqua" w:hAnsi="Book Antiqua" w:cs="Arial"/>
          <w:sz w:val="24"/>
          <w:szCs w:val="24"/>
          <w:lang w:val="en-US"/>
        </w:rPr>
      </w:pPr>
      <w:r w:rsidRPr="00E52F41">
        <w:rPr>
          <w:rFonts w:ascii="Book Antiqua" w:hAnsi="Book Antiqua" w:cs="Arial"/>
          <w:sz w:val="24"/>
          <w:szCs w:val="24"/>
          <w:lang w:val="en-US"/>
        </w:rPr>
        <w:lastRenderedPageBreak/>
        <w:t xml:space="preserve">In conclusion, </w:t>
      </w:r>
      <w:r w:rsidR="00E52F41" w:rsidRPr="00E52F41">
        <w:rPr>
          <w:rFonts w:ascii="Book Antiqua" w:hAnsi="Book Antiqua" w:cs="Arial"/>
          <w:sz w:val="24"/>
          <w:szCs w:val="24"/>
          <w:lang w:val="en-US"/>
        </w:rPr>
        <w:t xml:space="preserve">in the present autopsy cohort we found </w:t>
      </w:r>
      <w:r w:rsidR="006117CE" w:rsidRPr="00E52F41">
        <w:rPr>
          <w:rFonts w:ascii="Book Antiqua" w:hAnsi="Book Antiqua" w:cs="Arial"/>
          <w:sz w:val="24"/>
          <w:szCs w:val="24"/>
          <w:lang w:val="en-US"/>
        </w:rPr>
        <w:t xml:space="preserve">we </w:t>
      </w:r>
      <w:r w:rsidR="00E52F41" w:rsidRPr="00E52F41">
        <w:rPr>
          <w:rFonts w:ascii="Book Antiqua" w:hAnsi="Book Antiqua" w:cs="Arial"/>
          <w:sz w:val="24"/>
          <w:szCs w:val="24"/>
          <w:lang w:val="en-US"/>
        </w:rPr>
        <w:t xml:space="preserve">found relevant associations between </w:t>
      </w:r>
      <w:r w:rsidRPr="00E52F41">
        <w:rPr>
          <w:rFonts w:ascii="Book Antiqua" w:hAnsi="Book Antiqua" w:cs="Arial"/>
          <w:sz w:val="24"/>
          <w:szCs w:val="24"/>
          <w:lang w:val="en-US"/>
        </w:rPr>
        <w:t xml:space="preserve">immunohistochemical markers with morphological features of </w:t>
      </w:r>
      <w:r w:rsidR="006117CE" w:rsidRPr="00E52F41">
        <w:rPr>
          <w:rFonts w:ascii="Book Antiqua" w:hAnsi="Book Antiqua" w:cs="Arial"/>
          <w:sz w:val="24"/>
          <w:szCs w:val="24"/>
          <w:lang w:val="en-US"/>
        </w:rPr>
        <w:t>tumors,</w:t>
      </w:r>
      <w:r w:rsidRPr="00E52F41">
        <w:rPr>
          <w:rFonts w:ascii="Book Antiqua" w:hAnsi="Book Antiqua" w:cs="Arial"/>
          <w:sz w:val="24"/>
          <w:szCs w:val="24"/>
          <w:lang w:val="en-US"/>
        </w:rPr>
        <w:t xml:space="preserve"> especially that of histological grading</w:t>
      </w:r>
      <w:r w:rsidR="00E52F41" w:rsidRPr="00E52F41">
        <w:rPr>
          <w:rFonts w:ascii="Book Antiqua" w:hAnsi="Book Antiqua" w:cs="Arial"/>
          <w:sz w:val="24"/>
          <w:szCs w:val="24"/>
          <w:lang w:val="en-US"/>
        </w:rPr>
        <w:t xml:space="preserve"> of HCC</w:t>
      </w:r>
      <w:r w:rsidRPr="00E52F41">
        <w:rPr>
          <w:rFonts w:ascii="Book Antiqua" w:hAnsi="Book Antiqua" w:cs="Arial"/>
          <w:sz w:val="24"/>
          <w:szCs w:val="24"/>
          <w:vertAlign w:val="superscript"/>
          <w:lang w:val="en-US"/>
        </w:rPr>
        <w:t>[35]</w:t>
      </w:r>
      <w:r w:rsidR="00E52F41" w:rsidRPr="00E52F41">
        <w:rPr>
          <w:rFonts w:ascii="Book Antiqua" w:hAnsi="Book Antiqua" w:cs="Arial"/>
          <w:sz w:val="24"/>
          <w:szCs w:val="24"/>
          <w:lang w:val="en-US"/>
        </w:rPr>
        <w:t>.</w:t>
      </w:r>
      <w:r w:rsidRPr="00E52F41">
        <w:rPr>
          <w:rFonts w:ascii="Book Antiqua" w:hAnsi="Book Antiqua" w:cs="Arial"/>
          <w:sz w:val="24"/>
          <w:szCs w:val="24"/>
          <w:lang w:val="en-US"/>
        </w:rPr>
        <w:t xml:space="preserve"> </w:t>
      </w:r>
      <w:r w:rsidR="00E52F41" w:rsidRPr="00E52F41">
        <w:rPr>
          <w:rFonts w:ascii="Book Antiqua" w:hAnsi="Book Antiqua" w:cs="Arial"/>
          <w:sz w:val="24"/>
          <w:szCs w:val="24"/>
          <w:lang w:val="en-US"/>
        </w:rPr>
        <w:t xml:space="preserve">The expression of </w:t>
      </w:r>
      <w:r w:rsidRPr="003310E2">
        <w:rPr>
          <w:rFonts w:ascii="Book Antiqua" w:hAnsi="Book Antiqua" w:cs="Arial"/>
          <w:sz w:val="24"/>
          <w:szCs w:val="24"/>
          <w:lang w:val="en-US"/>
        </w:rPr>
        <w:t xml:space="preserve">K19, p53, ERK1, ERK2, vimentin and nuclear beta-catenin showed an association with pathological markers of higher-grade tumors, as </w:t>
      </w:r>
      <w:r w:rsidR="00E52F41">
        <w:rPr>
          <w:rFonts w:ascii="Book Antiqua" w:hAnsi="Book Antiqua" w:cs="Arial"/>
          <w:sz w:val="24"/>
          <w:szCs w:val="24"/>
          <w:lang w:val="en-US"/>
        </w:rPr>
        <w:t xml:space="preserve">opposed </w:t>
      </w:r>
      <w:r w:rsidRPr="003310E2">
        <w:rPr>
          <w:rFonts w:ascii="Book Antiqua" w:hAnsi="Book Antiqua" w:cs="Arial"/>
          <w:sz w:val="24"/>
          <w:szCs w:val="24"/>
          <w:lang w:val="en-US"/>
        </w:rPr>
        <w:t>to cases expressing/over-expressing EGFR, MET and caspase 3. Further studies in the clinical setting are warranted to assess the prognostic value of this approach not only in advanced cases but also in early stages of HCC, especially in surgical resections or in explants.</w:t>
      </w:r>
    </w:p>
    <w:p w:rsidR="003C39BE" w:rsidRPr="003310E2" w:rsidRDefault="003C39BE" w:rsidP="003B0F97">
      <w:pPr>
        <w:adjustRightInd w:val="0"/>
        <w:snapToGrid w:val="0"/>
        <w:spacing w:after="0" w:line="360" w:lineRule="auto"/>
        <w:jc w:val="both"/>
        <w:rPr>
          <w:rFonts w:ascii="Book Antiqua" w:hAnsi="Book Antiqua" w:cs="Arial"/>
          <w:b/>
          <w:color w:val="000000" w:themeColor="text1"/>
          <w:sz w:val="24"/>
          <w:szCs w:val="24"/>
          <w:lang w:val="en-US"/>
        </w:rPr>
      </w:pPr>
    </w:p>
    <w:p w:rsidR="003C39BE" w:rsidRPr="003310E2" w:rsidRDefault="003C39BE" w:rsidP="003B0F97">
      <w:pPr>
        <w:adjustRightInd w:val="0"/>
        <w:snapToGrid w:val="0"/>
        <w:spacing w:after="0" w:line="360" w:lineRule="auto"/>
        <w:jc w:val="both"/>
        <w:rPr>
          <w:rFonts w:ascii="Book Antiqua" w:hAnsi="Book Antiqua" w:cs="Univers"/>
          <w:b/>
          <w:bCs/>
          <w:spacing w:val="-2"/>
          <w:sz w:val="24"/>
          <w:szCs w:val="24"/>
          <w:lang w:val="en-US"/>
        </w:rPr>
      </w:pPr>
      <w:r w:rsidRPr="003310E2">
        <w:rPr>
          <w:rFonts w:ascii="Book Antiqua" w:hAnsi="Book Antiqua" w:cs="Univers"/>
          <w:b/>
          <w:bCs/>
          <w:spacing w:val="-2"/>
          <w:sz w:val="24"/>
          <w:szCs w:val="24"/>
          <w:lang w:val="en-US"/>
        </w:rPr>
        <w:t>COMMENTS</w:t>
      </w: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t>Background</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w:sz w:val="24"/>
          <w:szCs w:val="24"/>
          <w:lang w:val="en-US"/>
        </w:rPr>
      </w:pPr>
      <w:r w:rsidRPr="003310E2">
        <w:rPr>
          <w:rFonts w:ascii="Book Antiqua" w:hAnsi="Book Antiqua" w:cs="Arial Narrow"/>
          <w:sz w:val="24"/>
          <w:szCs w:val="24"/>
          <w:lang w:val="en-US"/>
        </w:rPr>
        <w:t>Hepatocellular carcinoma (HCC) is an increasingly prevalent cancer and many patients are still diagnosed in the advanced stages, and usually as a complication of other chronic liver disease. In Brazil, chronic viral hepatitis and alcohol intake are the major related causes of HCC. A</w:t>
      </w:r>
      <w:r w:rsidRPr="003310E2">
        <w:rPr>
          <w:rFonts w:ascii="Book Antiqua" w:hAnsi="Book Antiqua" w:cs="Arial"/>
          <w:sz w:val="24"/>
          <w:szCs w:val="24"/>
          <w:lang w:val="en-US"/>
        </w:rPr>
        <w:t>utopsy studies of advanced tumors provide a unique opportunity to assess important pathological aspects of progression and dissemination patterns of HCC.</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t>Research frontiers</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sz w:val="24"/>
          <w:szCs w:val="24"/>
          <w:lang w:val="en-US"/>
        </w:rPr>
      </w:pPr>
      <w:r w:rsidRPr="003310E2">
        <w:rPr>
          <w:rFonts w:ascii="Book Antiqua" w:hAnsi="Book Antiqua" w:cs="Arial"/>
          <w:sz w:val="24"/>
          <w:szCs w:val="24"/>
          <w:lang w:val="en-US"/>
        </w:rPr>
        <w:t>Recent studies have sought to translate genomic data into panels of immunohistochemical markers, aiming to generate risk models for survival and prognostic evaluation of HCC. Morphological and immunohistochemical data may be incorporated in clinicopathological indices to predict HCC molecular classification and prognosis. The primary objective of the current study was to assess the distribution of proteins coded by genes reported as relevant to molecular classification of HCC based upon a detailed clinicopathological analysis of an autopsy cohort.</w:t>
      </w: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lastRenderedPageBreak/>
        <w:t>Innovations and breakthroughs</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sz w:val="24"/>
          <w:szCs w:val="24"/>
          <w:lang w:val="en-US"/>
        </w:rPr>
      </w:pPr>
      <w:r w:rsidRPr="003310E2">
        <w:rPr>
          <w:rFonts w:ascii="Book Antiqua" w:hAnsi="Book Antiqua" w:cs="Arial"/>
          <w:sz w:val="24"/>
          <w:szCs w:val="24"/>
          <w:lang w:val="en-US"/>
        </w:rPr>
        <w:t xml:space="preserve">This retrospective cross-sectional analysis of a large post-mortem cohort series shows that a panel of immunohistochemical markers may be related to different pathways underlying progression and metastasis of HCC, and that the </w:t>
      </w:r>
      <w:r w:rsidRPr="003310E2">
        <w:rPr>
          <w:rFonts w:ascii="Book Antiqua" w:eastAsia="Times New Roman" w:hAnsi="Book Antiqua" w:cs="Arial"/>
          <w:sz w:val="24"/>
          <w:szCs w:val="24"/>
          <w:lang w:val="en-US"/>
        </w:rPr>
        <w:t xml:space="preserve">Edmondson-Steiner's tumor grade </w:t>
      </w:r>
      <w:r w:rsidRPr="003310E2">
        <w:rPr>
          <w:rFonts w:ascii="Book Antiqua" w:hAnsi="Book Antiqua" w:cs="Arial"/>
          <w:sz w:val="24"/>
          <w:szCs w:val="24"/>
          <w:lang w:val="en-US"/>
        </w:rPr>
        <w:t>may reflect currently recognized molecular subclasses of the disease. It also provides a detailed description of clinicopathological data in a unique autopsy series of HCC patients in Brazil.</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t xml:space="preserve">Applications </w:t>
      </w:r>
    </w:p>
    <w:p w:rsidR="003C39BE" w:rsidRPr="003310E2" w:rsidRDefault="003C39BE" w:rsidP="003B0F97">
      <w:pPr>
        <w:autoSpaceDE w:val="0"/>
        <w:autoSpaceDN w:val="0"/>
        <w:adjustRightInd w:val="0"/>
        <w:snapToGrid w:val="0"/>
        <w:spacing w:after="0" w:line="360" w:lineRule="auto"/>
        <w:jc w:val="both"/>
        <w:textAlignment w:val="center"/>
        <w:rPr>
          <w:rFonts w:ascii="Book Antiqua" w:hAnsi="Book Antiqua" w:cs="Arial Narrow"/>
          <w:sz w:val="24"/>
          <w:szCs w:val="24"/>
          <w:lang w:val="en-US"/>
        </w:rPr>
      </w:pPr>
      <w:r w:rsidRPr="003310E2">
        <w:rPr>
          <w:rFonts w:ascii="Book Antiqua" w:hAnsi="Book Antiqua" w:cs="Arial"/>
          <w:sz w:val="24"/>
          <w:szCs w:val="24"/>
          <w:lang w:val="en-US"/>
        </w:rPr>
        <w:t>The findings from this study form a foundation for further investigations of morpho-molecular correlations, not only in advanced cases of HCC but also in early stage cases and especially in surgical resections or explants.</w:t>
      </w: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t>Terminology</w:t>
      </w:r>
    </w:p>
    <w:p w:rsidR="003C39BE" w:rsidRPr="003310E2" w:rsidRDefault="003C39BE" w:rsidP="003B0F97">
      <w:pPr>
        <w:autoSpaceDE w:val="0"/>
        <w:autoSpaceDN w:val="0"/>
        <w:adjustRightInd w:val="0"/>
        <w:snapToGrid w:val="0"/>
        <w:spacing w:after="0" w:line="360" w:lineRule="auto"/>
        <w:jc w:val="both"/>
        <w:textAlignment w:val="center"/>
        <w:rPr>
          <w:rFonts w:ascii="Book Antiqua" w:eastAsia="Times New Roman" w:hAnsi="Book Antiqua" w:cs="Arial"/>
          <w:sz w:val="24"/>
          <w:szCs w:val="24"/>
          <w:lang w:val="en-US"/>
        </w:rPr>
      </w:pPr>
      <w:r w:rsidRPr="003310E2">
        <w:rPr>
          <w:rFonts w:ascii="Book Antiqua" w:eastAsia="Times New Roman" w:hAnsi="Book Antiqua" w:cs="Arial"/>
          <w:sz w:val="24"/>
          <w:szCs w:val="24"/>
          <w:lang w:val="en-US"/>
        </w:rPr>
        <w:t xml:space="preserve">Edmondson-Steiner's tumor grade classifies HCC on a scale from 1 to 4, based on nuclear and cellular atypia; described in 1954, this system is the most widely accepted for tumor grading of HCC. Immunohistochemistry technique is used to detect cell or tissue antigens in two phases: (1) slide preparation, which involves specimen fixation, tissue processing and the immunohistochemical reaction (antigen retrieval, blocking of non-specific interaction sites, blocking of endogenous peroxidase, incubation with primary antibody, detection of immunoreactivity and counterstaining, as well as slide mounting); and (2) interpretation and quantification of the detected expression. Tissue microarrays contain many small representative cylindrical cores of tissue from different cases assembled on a single paraffin block and correspondent histological slide, thereby facilitating high-throughput analysis of multiple specimens simultaneously; it is produced by extracting the tissue cores from different (hundreds of) paraffin-donor blocks and re-embedding these into a single recipient block at defined array coordinates, thereby permitting simultaneous analysis of protein expression under standardized </w:t>
      </w:r>
      <w:r w:rsidRPr="003310E2">
        <w:rPr>
          <w:rFonts w:ascii="Book Antiqua" w:eastAsia="Times New Roman" w:hAnsi="Book Antiqua" w:cs="Arial"/>
          <w:sz w:val="24"/>
          <w:szCs w:val="24"/>
          <w:lang w:val="en-US"/>
        </w:rPr>
        <w:lastRenderedPageBreak/>
        <w:t>conditions on a single glass slide and also providing maximal preservation and use of limited and irreplaceable archival tissue samples.</w:t>
      </w: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
          <w:bCs/>
          <w:i/>
          <w:iCs/>
          <w:sz w:val="24"/>
          <w:szCs w:val="24"/>
          <w:lang w:val="en-US"/>
        </w:rPr>
      </w:pPr>
      <w:r w:rsidRPr="003310E2">
        <w:rPr>
          <w:rFonts w:ascii="Book Antiqua" w:hAnsi="Book Antiqua" w:cs="Arial Narrow"/>
          <w:b/>
          <w:bCs/>
          <w:i/>
          <w:iCs/>
          <w:sz w:val="24"/>
          <w:szCs w:val="24"/>
          <w:lang w:val="en-US"/>
        </w:rPr>
        <w:t>Peer-review</w:t>
      </w:r>
    </w:p>
    <w:p w:rsidR="003C39BE" w:rsidRPr="003310E2" w:rsidRDefault="003C39BE" w:rsidP="003B0F97">
      <w:pPr>
        <w:suppressAutoHyphens/>
        <w:autoSpaceDE w:val="0"/>
        <w:autoSpaceDN w:val="0"/>
        <w:adjustRightInd w:val="0"/>
        <w:snapToGrid w:val="0"/>
        <w:spacing w:after="0" w:line="360" w:lineRule="auto"/>
        <w:jc w:val="both"/>
        <w:textAlignment w:val="center"/>
        <w:rPr>
          <w:rFonts w:ascii="Book Antiqua" w:hAnsi="Book Antiqua" w:cs="Arial Narrow"/>
          <w:bCs/>
          <w:iCs/>
          <w:sz w:val="24"/>
          <w:szCs w:val="24"/>
          <w:lang w:val="en-US"/>
        </w:rPr>
      </w:pPr>
      <w:r w:rsidRPr="003310E2">
        <w:rPr>
          <w:rFonts w:ascii="Book Antiqua" w:hAnsi="Book Antiqua" w:cs="Arial Narrow"/>
          <w:bCs/>
          <w:iCs/>
          <w:sz w:val="24"/>
          <w:szCs w:val="24"/>
          <w:lang w:val="en-US"/>
        </w:rPr>
        <w:t>The authors have conducted a detailed and elegantly illustrated histological study showing that groups of markers may be related to different pathways underlying HCC progression and metastasis, and that Edmondson-Steiner´s tumor grade may reflect currently recognized molecular subclasses of HCC.</w:t>
      </w:r>
    </w:p>
    <w:p w:rsidR="003C39BE" w:rsidRPr="003310E2" w:rsidRDefault="003C39BE" w:rsidP="003B0F97">
      <w:pPr>
        <w:autoSpaceDE w:val="0"/>
        <w:autoSpaceDN w:val="0"/>
        <w:adjustRightInd w:val="0"/>
        <w:snapToGrid w:val="0"/>
        <w:spacing w:after="0" w:line="360" w:lineRule="auto"/>
        <w:jc w:val="both"/>
        <w:textAlignment w:val="center"/>
        <w:rPr>
          <w:rFonts w:ascii="Book Antiqua" w:eastAsia="Times New Roman" w:hAnsi="Book Antiqua" w:cs="Arial"/>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p w:rsidR="003C39BE" w:rsidRPr="003310E2" w:rsidRDefault="003C39BE" w:rsidP="003B0F97">
      <w:pPr>
        <w:adjustRightInd w:val="0"/>
        <w:snapToGrid w:val="0"/>
        <w:spacing w:after="0" w:line="360" w:lineRule="auto"/>
        <w:rPr>
          <w:rFonts w:ascii="Book Antiqua" w:hAnsi="Book Antiqua" w:cs="Times New Roman"/>
          <w:b/>
          <w:sz w:val="24"/>
          <w:szCs w:val="24"/>
          <w:lang w:val="en-US"/>
        </w:rPr>
      </w:pPr>
      <w:r w:rsidRPr="003310E2">
        <w:rPr>
          <w:rFonts w:ascii="Book Antiqua" w:hAnsi="Book Antiqua" w:cs="Times New Roman"/>
          <w:b/>
          <w:sz w:val="24"/>
          <w:szCs w:val="24"/>
          <w:lang w:val="en-US"/>
        </w:rPr>
        <w:br w:type="page"/>
      </w:r>
    </w:p>
    <w:p w:rsidR="003C39BE" w:rsidRPr="003310E2" w:rsidRDefault="003C39BE" w:rsidP="003B0F97">
      <w:pPr>
        <w:adjustRightInd w:val="0"/>
        <w:snapToGrid w:val="0"/>
        <w:spacing w:after="0" w:line="360" w:lineRule="auto"/>
        <w:jc w:val="both"/>
        <w:rPr>
          <w:rFonts w:ascii="Book Antiqua" w:hAnsi="Book Antiqua" w:cs="Times New Roman"/>
          <w:b/>
          <w:sz w:val="24"/>
          <w:szCs w:val="24"/>
          <w:lang w:val="en-US" w:eastAsia="zh-CN"/>
        </w:rPr>
      </w:pPr>
      <w:r w:rsidRPr="003310E2">
        <w:rPr>
          <w:rFonts w:ascii="Book Antiqua" w:hAnsi="Book Antiqua" w:cs="Times New Roman"/>
          <w:b/>
          <w:sz w:val="24"/>
          <w:szCs w:val="24"/>
          <w:lang w:val="en-US"/>
        </w:rPr>
        <w:lastRenderedPageBreak/>
        <w:t>REFERENCES</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1 </w:t>
      </w:r>
      <w:r w:rsidRPr="00FB2116">
        <w:rPr>
          <w:rFonts w:ascii="Book Antiqua" w:eastAsia="SimSun" w:hAnsi="Book Antiqua" w:cs="SimSun"/>
          <w:b/>
          <w:bCs/>
          <w:color w:val="000000"/>
          <w:sz w:val="24"/>
          <w:szCs w:val="24"/>
          <w:lang w:val="en-US"/>
        </w:rPr>
        <w:t>Mittal S</w:t>
      </w:r>
      <w:r w:rsidRPr="00FB2116">
        <w:rPr>
          <w:rFonts w:ascii="Book Antiqua" w:eastAsia="SimSun" w:hAnsi="Book Antiqua" w:cs="SimSun"/>
          <w:color w:val="000000"/>
          <w:sz w:val="24"/>
          <w:szCs w:val="24"/>
          <w:lang w:val="en-US"/>
        </w:rPr>
        <w:t>, El-Serag HB. Epidemiology of hepatocellular carcinoma: consider the population. </w:t>
      </w:r>
      <w:r w:rsidRPr="00FB2116">
        <w:rPr>
          <w:rFonts w:ascii="Book Antiqua" w:eastAsia="SimSun" w:hAnsi="Book Antiqua" w:cs="SimSun"/>
          <w:i/>
          <w:iCs/>
          <w:color w:val="000000"/>
          <w:sz w:val="24"/>
          <w:szCs w:val="24"/>
          <w:lang w:val="en-US"/>
        </w:rPr>
        <w:t>J Clin Gastroenterol</w:t>
      </w:r>
      <w:r w:rsidRPr="00FB2116">
        <w:rPr>
          <w:rFonts w:ascii="Book Antiqua" w:eastAsia="SimSun" w:hAnsi="Book Antiqua" w:cs="SimSun"/>
          <w:color w:val="000000"/>
          <w:sz w:val="24"/>
          <w:szCs w:val="24"/>
          <w:lang w:val="en-US"/>
        </w:rPr>
        <w:t> 2013; </w:t>
      </w:r>
      <w:r w:rsidRPr="00FB2116">
        <w:rPr>
          <w:rFonts w:ascii="Book Antiqua" w:eastAsia="SimSun" w:hAnsi="Book Antiqua" w:cs="SimSun"/>
          <w:b/>
          <w:bCs/>
          <w:color w:val="000000"/>
          <w:sz w:val="24"/>
          <w:szCs w:val="24"/>
          <w:lang w:val="en-US"/>
        </w:rPr>
        <w:t xml:space="preserve">47 </w:t>
      </w:r>
      <w:r w:rsidRPr="00FB2116">
        <w:rPr>
          <w:rFonts w:ascii="Book Antiqua" w:eastAsia="SimSun" w:hAnsi="Book Antiqua" w:cs="SimSun"/>
          <w:bCs/>
          <w:color w:val="000000"/>
          <w:sz w:val="24"/>
          <w:szCs w:val="24"/>
          <w:lang w:val="en-US"/>
        </w:rPr>
        <w:t>Suppl</w:t>
      </w:r>
      <w:r w:rsidRPr="00FB2116">
        <w:rPr>
          <w:rFonts w:ascii="Book Antiqua" w:eastAsia="SimSun" w:hAnsi="Book Antiqua" w:cs="SimSun"/>
          <w:color w:val="000000"/>
          <w:sz w:val="24"/>
          <w:szCs w:val="24"/>
          <w:lang w:val="en-US"/>
        </w:rPr>
        <w:t>: S2-S6 [PMID: 23632345 DOI: 10.1097/MCG.0b013e3182872f29]</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E52F41">
        <w:rPr>
          <w:rFonts w:ascii="Book Antiqua" w:eastAsia="SimSun" w:hAnsi="Book Antiqua" w:cs="SimSun"/>
          <w:color w:val="000000"/>
          <w:sz w:val="24"/>
          <w:szCs w:val="24"/>
        </w:rPr>
        <w:t>2 </w:t>
      </w:r>
      <w:r w:rsidRPr="00E52F41">
        <w:rPr>
          <w:rFonts w:ascii="Book Antiqua" w:eastAsia="SimSun" w:hAnsi="Book Antiqua" w:cs="SimSun"/>
          <w:b/>
          <w:bCs/>
          <w:color w:val="000000"/>
          <w:sz w:val="24"/>
          <w:szCs w:val="24"/>
        </w:rPr>
        <w:t>Carrilho FJ</w:t>
      </w:r>
      <w:r w:rsidRPr="00E52F41">
        <w:rPr>
          <w:rFonts w:ascii="Book Antiqua" w:eastAsia="SimSun" w:hAnsi="Book Antiqua" w:cs="SimSun"/>
          <w:color w:val="000000"/>
          <w:sz w:val="24"/>
          <w:szCs w:val="24"/>
        </w:rPr>
        <w:t xml:space="preserve">, Kikuchi L, Branco F, Goncalves CS, Mattos AA. </w:t>
      </w:r>
      <w:r w:rsidRPr="00FB2116">
        <w:rPr>
          <w:rFonts w:ascii="Book Antiqua" w:eastAsia="SimSun" w:hAnsi="Book Antiqua" w:cs="SimSun"/>
          <w:color w:val="000000"/>
          <w:sz w:val="24"/>
          <w:szCs w:val="24"/>
          <w:lang w:val="en-US"/>
        </w:rPr>
        <w:t>Clinical and epidemiological aspects of hepatocellular carcinoma in Brazil. </w:t>
      </w:r>
      <w:r w:rsidRPr="00FB2116">
        <w:rPr>
          <w:rFonts w:ascii="Book Antiqua" w:eastAsia="SimSun" w:hAnsi="Book Antiqua" w:cs="SimSun"/>
          <w:i/>
          <w:iCs/>
          <w:color w:val="000000"/>
          <w:sz w:val="24"/>
          <w:szCs w:val="24"/>
          <w:lang w:val="en-US"/>
        </w:rPr>
        <w:t xml:space="preserve">Clinics </w:t>
      </w:r>
      <w:r w:rsidRPr="00FB2116">
        <w:rPr>
          <w:rFonts w:ascii="Book Antiqua" w:eastAsia="SimSun" w:hAnsi="Book Antiqua" w:cs="SimSun"/>
          <w:iCs/>
          <w:color w:val="000000"/>
          <w:sz w:val="24"/>
          <w:szCs w:val="24"/>
          <w:lang w:val="en-US"/>
        </w:rPr>
        <w:t>(Sao Paulo)</w:t>
      </w:r>
      <w:r w:rsidRPr="00FB2116">
        <w:rPr>
          <w:rFonts w:ascii="Book Antiqua" w:eastAsia="SimSun" w:hAnsi="Book Antiqua" w:cs="SimSun"/>
          <w:color w:val="000000"/>
          <w:sz w:val="24"/>
          <w:szCs w:val="24"/>
          <w:lang w:val="en-US"/>
        </w:rPr>
        <w:t> 2010; </w:t>
      </w:r>
      <w:r w:rsidRPr="00FB2116">
        <w:rPr>
          <w:rFonts w:ascii="Book Antiqua" w:eastAsia="SimSun" w:hAnsi="Book Antiqua" w:cs="SimSun"/>
          <w:b/>
          <w:bCs/>
          <w:color w:val="000000"/>
          <w:sz w:val="24"/>
          <w:szCs w:val="24"/>
          <w:lang w:val="en-US"/>
        </w:rPr>
        <w:t>65</w:t>
      </w:r>
      <w:r w:rsidRPr="00FB2116">
        <w:rPr>
          <w:rFonts w:ascii="Book Antiqua" w:eastAsia="SimSun" w:hAnsi="Book Antiqua" w:cs="SimSun"/>
          <w:color w:val="000000"/>
          <w:sz w:val="24"/>
          <w:szCs w:val="24"/>
          <w:lang w:val="en-US"/>
        </w:rPr>
        <w:t>: 1285-1290 [PMID: 21340216 DOI: 10.1590/S1807-59322010001200010]</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5 </w:t>
      </w:r>
      <w:r w:rsidRPr="00FB2116">
        <w:rPr>
          <w:rFonts w:ascii="Book Antiqua" w:eastAsia="SimSun" w:hAnsi="Book Antiqua" w:cs="SimSun"/>
          <w:b/>
          <w:bCs/>
          <w:color w:val="000000"/>
          <w:sz w:val="24"/>
          <w:szCs w:val="24"/>
          <w:lang w:val="en-US"/>
        </w:rPr>
        <w:t>Cimino-Mathews A</w:t>
      </w:r>
      <w:r w:rsidRPr="00FB2116">
        <w:rPr>
          <w:rFonts w:ascii="Book Antiqua" w:eastAsia="SimSun" w:hAnsi="Book Antiqua" w:cs="SimSun"/>
          <w:color w:val="000000"/>
          <w:sz w:val="24"/>
          <w:szCs w:val="24"/>
          <w:lang w:val="en-US"/>
        </w:rPr>
        <w:t>, Hicks JL, Illei PB, Halushka MK, Fetting JH, De Marzo AM, Park BH, Argani P. Androgen receptor expression is usually maintained in initial surgically resected breast cancer metastases but is often lost in end-stage metastases found at autopsy. </w:t>
      </w:r>
      <w:r w:rsidRPr="00FB2116">
        <w:rPr>
          <w:rFonts w:ascii="Book Antiqua" w:eastAsia="SimSun" w:hAnsi="Book Antiqua" w:cs="SimSun"/>
          <w:i/>
          <w:iCs/>
          <w:color w:val="000000"/>
          <w:sz w:val="24"/>
          <w:szCs w:val="24"/>
          <w:lang w:val="en-US"/>
        </w:rPr>
        <w:t>Hum Pathol</w:t>
      </w:r>
      <w:r w:rsidRPr="00FB2116">
        <w:rPr>
          <w:rFonts w:ascii="Book Antiqua" w:eastAsia="SimSun" w:hAnsi="Book Antiqua" w:cs="SimSun"/>
          <w:color w:val="000000"/>
          <w:sz w:val="24"/>
          <w:szCs w:val="24"/>
          <w:lang w:val="en-US"/>
        </w:rPr>
        <w:t> 2012; </w:t>
      </w:r>
      <w:r w:rsidRPr="00FB2116">
        <w:rPr>
          <w:rFonts w:ascii="Book Antiqua" w:eastAsia="SimSun" w:hAnsi="Book Antiqua" w:cs="SimSun"/>
          <w:b/>
          <w:bCs/>
          <w:color w:val="000000"/>
          <w:sz w:val="24"/>
          <w:szCs w:val="24"/>
          <w:lang w:val="en-US"/>
        </w:rPr>
        <w:t>43</w:t>
      </w:r>
      <w:r w:rsidRPr="00FB2116">
        <w:rPr>
          <w:rFonts w:ascii="Book Antiqua" w:eastAsia="SimSun" w:hAnsi="Book Antiqua" w:cs="SimSun"/>
          <w:color w:val="000000"/>
          <w:sz w:val="24"/>
          <w:szCs w:val="24"/>
          <w:lang w:val="en-US"/>
        </w:rPr>
        <w:t>: 1003-1011 [PMID: 22154362 DOI: 10.1016/j.humpath.2011.08.007]</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4 </w:t>
      </w:r>
      <w:r w:rsidRPr="00FB2116">
        <w:rPr>
          <w:rFonts w:ascii="Book Antiqua" w:eastAsia="SimSun" w:hAnsi="Book Antiqua" w:cs="SimSun"/>
          <w:b/>
          <w:bCs/>
          <w:color w:val="000000"/>
          <w:sz w:val="24"/>
          <w:szCs w:val="24"/>
          <w:lang w:val="en-US"/>
        </w:rPr>
        <w:t>Subhawong AP</w:t>
      </w:r>
      <w:r w:rsidRPr="00FB2116">
        <w:rPr>
          <w:rFonts w:ascii="Book Antiqua" w:eastAsia="SimSun" w:hAnsi="Book Antiqua" w:cs="SimSun"/>
          <w:color w:val="000000"/>
          <w:sz w:val="24"/>
          <w:szCs w:val="24"/>
          <w:lang w:val="en-US"/>
        </w:rPr>
        <w:t>, Nassar H, Halushka MK, Illei PB, Vang R, Argani P. Heterogeneity of Bcl-2 expression in metastatic breast carcinoma. </w:t>
      </w:r>
      <w:r w:rsidRPr="00FB2116">
        <w:rPr>
          <w:rFonts w:ascii="Book Antiqua" w:eastAsia="SimSun" w:hAnsi="Book Antiqua" w:cs="SimSun"/>
          <w:i/>
          <w:iCs/>
          <w:color w:val="000000"/>
          <w:sz w:val="24"/>
          <w:szCs w:val="24"/>
          <w:lang w:val="en-US"/>
        </w:rPr>
        <w:t>Mod Pathol</w:t>
      </w:r>
      <w:r w:rsidRPr="00FB2116">
        <w:rPr>
          <w:rFonts w:ascii="Book Antiqua" w:eastAsia="SimSun" w:hAnsi="Book Antiqua" w:cs="SimSun"/>
          <w:color w:val="000000"/>
          <w:sz w:val="24"/>
          <w:szCs w:val="24"/>
          <w:lang w:val="en-US"/>
        </w:rPr>
        <w:t> 2010; </w:t>
      </w:r>
      <w:r w:rsidRPr="00FB2116">
        <w:rPr>
          <w:rFonts w:ascii="Book Antiqua" w:eastAsia="SimSun" w:hAnsi="Book Antiqua" w:cs="SimSun"/>
          <w:b/>
          <w:bCs/>
          <w:color w:val="000000"/>
          <w:sz w:val="24"/>
          <w:szCs w:val="24"/>
          <w:lang w:val="en-US"/>
        </w:rPr>
        <w:t>23</w:t>
      </w:r>
      <w:r w:rsidRPr="00FB2116">
        <w:rPr>
          <w:rFonts w:ascii="Book Antiqua" w:eastAsia="SimSun" w:hAnsi="Book Antiqua" w:cs="SimSun"/>
          <w:color w:val="000000"/>
          <w:sz w:val="24"/>
          <w:szCs w:val="24"/>
          <w:lang w:val="en-US"/>
        </w:rPr>
        <w:t>: 1089-1096 [PMID: 20495533 DOI: 10.1038/modpathol.2010.93]</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5 </w:t>
      </w:r>
      <w:r w:rsidRPr="00FB2116">
        <w:rPr>
          <w:rFonts w:ascii="Book Antiqua" w:eastAsia="SimSun" w:hAnsi="Book Antiqua" w:cs="SimSun"/>
          <w:b/>
          <w:bCs/>
          <w:color w:val="000000"/>
          <w:sz w:val="24"/>
          <w:szCs w:val="24"/>
          <w:lang w:val="en-US"/>
        </w:rPr>
        <w:t>Cimino-Mathews A</w:t>
      </w:r>
      <w:r w:rsidRPr="00FB2116">
        <w:rPr>
          <w:rFonts w:ascii="Book Antiqua" w:eastAsia="SimSun" w:hAnsi="Book Antiqua" w:cs="SimSun"/>
          <w:color w:val="000000"/>
          <w:sz w:val="24"/>
          <w:szCs w:val="24"/>
          <w:lang w:val="en-US"/>
        </w:rPr>
        <w:t>, Hicks JL, Illei PB, Halushka MK, Fetting JH, De Marzo AM, Park BH, Argani P. Androgen receptor expression is usually maintained in initial surgically resected breast cancer metastases but is often lost in end-stage metastases found at autopsy. </w:t>
      </w:r>
      <w:r w:rsidRPr="00FB2116">
        <w:rPr>
          <w:rFonts w:ascii="Book Antiqua" w:eastAsia="SimSun" w:hAnsi="Book Antiqua" w:cs="SimSun"/>
          <w:i/>
          <w:iCs/>
          <w:color w:val="000000"/>
          <w:sz w:val="24"/>
          <w:szCs w:val="24"/>
          <w:lang w:val="en-US"/>
        </w:rPr>
        <w:t>Hum Pathol</w:t>
      </w:r>
      <w:r w:rsidRPr="00FB2116">
        <w:rPr>
          <w:rFonts w:ascii="Book Antiqua" w:eastAsia="SimSun" w:hAnsi="Book Antiqua" w:cs="SimSun"/>
          <w:color w:val="000000"/>
          <w:sz w:val="24"/>
          <w:szCs w:val="24"/>
          <w:lang w:val="en-US"/>
        </w:rPr>
        <w:t> 2012; </w:t>
      </w:r>
      <w:r w:rsidRPr="00FB2116">
        <w:rPr>
          <w:rFonts w:ascii="Book Antiqua" w:eastAsia="SimSun" w:hAnsi="Book Antiqua" w:cs="SimSun"/>
          <w:b/>
          <w:bCs/>
          <w:color w:val="000000"/>
          <w:sz w:val="24"/>
          <w:szCs w:val="24"/>
          <w:lang w:val="en-US"/>
        </w:rPr>
        <w:t>43</w:t>
      </w:r>
      <w:r w:rsidRPr="00FB2116">
        <w:rPr>
          <w:rFonts w:ascii="Book Antiqua" w:eastAsia="SimSun" w:hAnsi="Book Antiqua" w:cs="SimSun"/>
          <w:color w:val="000000"/>
          <w:sz w:val="24"/>
          <w:szCs w:val="24"/>
          <w:lang w:val="en-US"/>
        </w:rPr>
        <w:t>: 1003-1011 [PMID: 22154362 DOI: 10.1016/j.humpath.2011.08.007]</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6 </w:t>
      </w:r>
      <w:r w:rsidRPr="00FB2116">
        <w:rPr>
          <w:rFonts w:ascii="Book Antiqua" w:eastAsia="SimSun" w:hAnsi="Book Antiqua" w:cs="SimSun"/>
          <w:b/>
          <w:bCs/>
          <w:color w:val="000000"/>
          <w:sz w:val="24"/>
          <w:szCs w:val="24"/>
          <w:lang w:val="en-US"/>
        </w:rPr>
        <w:t>Lee JS</w:t>
      </w:r>
      <w:r w:rsidRPr="00FB2116">
        <w:rPr>
          <w:rFonts w:ascii="Book Antiqua" w:eastAsia="SimSun" w:hAnsi="Book Antiqua" w:cs="SimSun"/>
          <w:color w:val="000000"/>
          <w:sz w:val="24"/>
          <w:szCs w:val="24"/>
          <w:lang w:val="en-US"/>
        </w:rPr>
        <w:t>, Chu IS, Heo J, Calvisi DF, Sun Z, Roskams T, Durnez A, Demetris AJ, Thorgeirsson SS. Classification and prediction of survival in hepatocellular carcinoma by gene expression profiling. </w:t>
      </w:r>
      <w:r w:rsidRPr="00FB2116">
        <w:rPr>
          <w:rFonts w:ascii="Book Antiqua" w:eastAsia="SimSun" w:hAnsi="Book Antiqua" w:cs="SimSun"/>
          <w:i/>
          <w:iCs/>
          <w:color w:val="000000"/>
          <w:sz w:val="24"/>
          <w:szCs w:val="24"/>
          <w:lang w:val="en-US"/>
        </w:rPr>
        <w:t>Hepatology</w:t>
      </w:r>
      <w:r w:rsidRPr="00FB2116">
        <w:rPr>
          <w:rFonts w:ascii="Book Antiqua" w:eastAsia="SimSun" w:hAnsi="Book Antiqua" w:cs="SimSun"/>
          <w:color w:val="000000"/>
          <w:sz w:val="24"/>
          <w:szCs w:val="24"/>
          <w:lang w:val="en-US"/>
        </w:rPr>
        <w:t> 2004; </w:t>
      </w:r>
      <w:r w:rsidRPr="00FB2116">
        <w:rPr>
          <w:rFonts w:ascii="Book Antiqua" w:eastAsia="SimSun" w:hAnsi="Book Antiqua" w:cs="SimSun"/>
          <w:b/>
          <w:bCs/>
          <w:color w:val="000000"/>
          <w:sz w:val="24"/>
          <w:szCs w:val="24"/>
          <w:lang w:val="en-US"/>
        </w:rPr>
        <w:t>40</w:t>
      </w:r>
      <w:r w:rsidRPr="00FB2116">
        <w:rPr>
          <w:rFonts w:ascii="Book Antiqua" w:eastAsia="SimSun" w:hAnsi="Book Antiqua" w:cs="SimSun"/>
          <w:color w:val="000000"/>
          <w:sz w:val="24"/>
          <w:szCs w:val="24"/>
          <w:lang w:val="en-US"/>
        </w:rPr>
        <w:t>: 667-676 [PMID: 15349906 DOI: 10.1002/hep.20375]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7 </w:t>
      </w:r>
      <w:r w:rsidRPr="00FB2116">
        <w:rPr>
          <w:rFonts w:ascii="Book Antiqua" w:eastAsia="SimSun" w:hAnsi="Book Antiqua" w:cs="SimSun"/>
          <w:b/>
          <w:bCs/>
          <w:color w:val="000000"/>
          <w:sz w:val="24"/>
          <w:szCs w:val="24"/>
          <w:lang w:val="en-US"/>
        </w:rPr>
        <w:t>Kim SM</w:t>
      </w:r>
      <w:r w:rsidRPr="00FB2116">
        <w:rPr>
          <w:rFonts w:ascii="Book Antiqua" w:eastAsia="SimSun" w:hAnsi="Book Antiqua" w:cs="SimSun"/>
          <w:color w:val="000000"/>
          <w:sz w:val="24"/>
          <w:szCs w:val="24"/>
          <w:lang w:val="en-US"/>
        </w:rPr>
        <w:t xml:space="preserve">, Leem SH, Chu IS, Park YY, Kim SC, Kim SB, Park ES, Lim JY, Heo J, Kim YJ, Kim DG, Kaseb A, Park YN, Wang XW, Thorgeirsson SS, Lee JS. Sixty-five gene-based risk score classifier predicts overall survival in hepatocellular </w:t>
      </w:r>
      <w:r w:rsidRPr="00FB2116">
        <w:rPr>
          <w:rFonts w:ascii="Book Antiqua" w:eastAsia="SimSun" w:hAnsi="Book Antiqua" w:cs="SimSun"/>
          <w:color w:val="000000"/>
          <w:sz w:val="24"/>
          <w:szCs w:val="24"/>
          <w:lang w:val="en-US"/>
        </w:rPr>
        <w:lastRenderedPageBreak/>
        <w:t>carcinoma. </w:t>
      </w:r>
      <w:r w:rsidRPr="00FB2116">
        <w:rPr>
          <w:rFonts w:ascii="Book Antiqua" w:eastAsia="SimSun" w:hAnsi="Book Antiqua" w:cs="SimSun"/>
          <w:i/>
          <w:iCs/>
          <w:color w:val="000000"/>
          <w:sz w:val="24"/>
          <w:szCs w:val="24"/>
          <w:lang w:val="en-US"/>
        </w:rPr>
        <w:t>Hepatology</w:t>
      </w:r>
      <w:r w:rsidRPr="00FB2116">
        <w:rPr>
          <w:rFonts w:ascii="Book Antiqua" w:eastAsia="SimSun" w:hAnsi="Book Antiqua" w:cs="SimSun"/>
          <w:color w:val="000000"/>
          <w:sz w:val="24"/>
          <w:szCs w:val="24"/>
          <w:lang w:val="en-US"/>
        </w:rPr>
        <w:t> 2012; </w:t>
      </w:r>
      <w:r w:rsidRPr="00FB2116">
        <w:rPr>
          <w:rFonts w:ascii="Book Antiqua" w:eastAsia="SimSun" w:hAnsi="Book Antiqua" w:cs="SimSun"/>
          <w:b/>
          <w:bCs/>
          <w:color w:val="000000"/>
          <w:sz w:val="24"/>
          <w:szCs w:val="24"/>
          <w:lang w:val="en-US"/>
        </w:rPr>
        <w:t>55</w:t>
      </w:r>
      <w:r w:rsidRPr="00FB2116">
        <w:rPr>
          <w:rFonts w:ascii="Book Antiqua" w:eastAsia="SimSun" w:hAnsi="Book Antiqua" w:cs="SimSun"/>
          <w:color w:val="000000"/>
          <w:sz w:val="24"/>
          <w:szCs w:val="24"/>
          <w:lang w:val="en-US"/>
        </w:rPr>
        <w:t>: 1443-1452 [PMID: 22105560 DOI: 10.1002/hep.24813]</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8 </w:t>
      </w:r>
      <w:r w:rsidRPr="00FB2116">
        <w:rPr>
          <w:rFonts w:ascii="Book Antiqua" w:eastAsia="SimSun" w:hAnsi="Book Antiqua" w:cs="SimSun"/>
          <w:b/>
          <w:bCs/>
          <w:color w:val="000000"/>
          <w:sz w:val="24"/>
          <w:szCs w:val="24"/>
          <w:lang w:val="en-US"/>
        </w:rPr>
        <w:t>Nault JC</w:t>
      </w:r>
      <w:r w:rsidRPr="00FB2116">
        <w:rPr>
          <w:rFonts w:ascii="Book Antiqua" w:eastAsia="SimSun" w:hAnsi="Book Antiqua" w:cs="SimSun"/>
          <w:color w:val="000000"/>
          <w:sz w:val="24"/>
          <w:szCs w:val="24"/>
          <w:lang w:val="en-US"/>
        </w:rPr>
        <w:t>, De Reyniès A, Villanueva A, Calderaro J, Rebouissou S, Couchy G, Decaens T, Franco D, Imbeaud S, Rousseau F, Azoulay D, Saric J, Blanc JF, Balabaud C, Bioulac-Sage P, Laurent A, Laurent-Puig P, Llovet JM, Zucman-Rossi J. A hepatocellular carcinoma 5-gene score associated with survival of patients after liver resection. </w:t>
      </w:r>
      <w:r w:rsidRPr="00FB2116">
        <w:rPr>
          <w:rFonts w:ascii="Book Antiqua" w:eastAsia="SimSun" w:hAnsi="Book Antiqua" w:cs="SimSun"/>
          <w:i/>
          <w:iCs/>
          <w:color w:val="000000"/>
          <w:sz w:val="24"/>
          <w:szCs w:val="24"/>
          <w:lang w:val="en-US"/>
        </w:rPr>
        <w:t>Gastroenterology</w:t>
      </w:r>
      <w:r w:rsidRPr="00FB2116">
        <w:rPr>
          <w:rFonts w:ascii="Book Antiqua" w:eastAsia="SimSun" w:hAnsi="Book Antiqua" w:cs="SimSun"/>
          <w:color w:val="000000"/>
          <w:sz w:val="24"/>
          <w:szCs w:val="24"/>
          <w:lang w:val="en-US"/>
        </w:rPr>
        <w:t> 2013; </w:t>
      </w:r>
      <w:r w:rsidRPr="00FB2116">
        <w:rPr>
          <w:rFonts w:ascii="Book Antiqua" w:eastAsia="SimSun" w:hAnsi="Book Antiqua" w:cs="SimSun"/>
          <w:b/>
          <w:bCs/>
          <w:color w:val="000000"/>
          <w:sz w:val="24"/>
          <w:szCs w:val="24"/>
          <w:lang w:val="en-US"/>
        </w:rPr>
        <w:t>145</w:t>
      </w:r>
      <w:r w:rsidRPr="00FB2116">
        <w:rPr>
          <w:rFonts w:ascii="Book Antiqua" w:eastAsia="SimSun" w:hAnsi="Book Antiqua" w:cs="SimSun"/>
          <w:color w:val="000000"/>
          <w:sz w:val="24"/>
          <w:szCs w:val="24"/>
          <w:lang w:val="en-US"/>
        </w:rPr>
        <w:t>: 176-187 [PMID: 23567350 DOI: 10.1053/j.gastro.2013.03.051]</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9 </w:t>
      </w:r>
      <w:r w:rsidRPr="00FB2116">
        <w:rPr>
          <w:rFonts w:ascii="Book Antiqua" w:eastAsia="SimSun" w:hAnsi="Book Antiqua" w:cs="SimSun"/>
          <w:b/>
          <w:bCs/>
          <w:color w:val="000000"/>
          <w:sz w:val="24"/>
          <w:szCs w:val="24"/>
          <w:lang w:val="en-US"/>
        </w:rPr>
        <w:t>Hoshida Y</w:t>
      </w:r>
      <w:r w:rsidRPr="00FB2116">
        <w:rPr>
          <w:rFonts w:ascii="Book Antiqua" w:eastAsia="SimSun" w:hAnsi="Book Antiqua" w:cs="SimSun"/>
          <w:color w:val="000000"/>
          <w:sz w:val="24"/>
          <w:szCs w:val="24"/>
          <w:lang w:val="en-US"/>
        </w:rPr>
        <w:t>, Toffanin S, Lachenmayer A, Villanueva A, Minguez B, Llovet JM. Molecular classification and novel targets in hepatocellular carcinoma: recent advancements. </w:t>
      </w:r>
      <w:r w:rsidRPr="00FB2116">
        <w:rPr>
          <w:rFonts w:ascii="Book Antiqua" w:eastAsia="SimSun" w:hAnsi="Book Antiqua" w:cs="SimSun"/>
          <w:i/>
          <w:iCs/>
          <w:color w:val="000000"/>
          <w:sz w:val="24"/>
          <w:szCs w:val="24"/>
          <w:lang w:val="en-US"/>
        </w:rPr>
        <w:t>Semin Liver Dis</w:t>
      </w:r>
      <w:r w:rsidRPr="00FB2116">
        <w:rPr>
          <w:rFonts w:ascii="Book Antiqua" w:eastAsia="SimSun" w:hAnsi="Book Antiqua" w:cs="SimSun"/>
          <w:color w:val="000000"/>
          <w:sz w:val="24"/>
          <w:szCs w:val="24"/>
          <w:lang w:val="en-US"/>
        </w:rPr>
        <w:t> 2010; </w:t>
      </w:r>
      <w:r w:rsidRPr="00FB2116">
        <w:rPr>
          <w:rFonts w:ascii="Book Antiqua" w:eastAsia="SimSun" w:hAnsi="Book Antiqua" w:cs="SimSun"/>
          <w:b/>
          <w:bCs/>
          <w:color w:val="000000"/>
          <w:sz w:val="24"/>
          <w:szCs w:val="24"/>
          <w:lang w:val="en-US"/>
        </w:rPr>
        <w:t>30</w:t>
      </w:r>
      <w:r w:rsidRPr="00FB2116">
        <w:rPr>
          <w:rFonts w:ascii="Book Antiqua" w:eastAsia="SimSun" w:hAnsi="Book Antiqua" w:cs="SimSun"/>
          <w:color w:val="000000"/>
          <w:sz w:val="24"/>
          <w:szCs w:val="24"/>
          <w:lang w:val="en-US"/>
        </w:rPr>
        <w:t>: 35-51 [PMID: 20175032 DOI: 10.1055/s-0030-1247131]</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10 </w:t>
      </w:r>
      <w:r w:rsidRPr="00FB2116">
        <w:rPr>
          <w:rFonts w:ascii="Book Antiqua" w:eastAsia="SimSun" w:hAnsi="Book Antiqua" w:cs="SimSun"/>
          <w:b/>
          <w:bCs/>
          <w:color w:val="000000"/>
          <w:sz w:val="24"/>
          <w:szCs w:val="24"/>
          <w:lang w:val="en-US"/>
        </w:rPr>
        <w:t>Villanueva A</w:t>
      </w:r>
      <w:r w:rsidRPr="00FB2116">
        <w:rPr>
          <w:rFonts w:ascii="Book Antiqua" w:eastAsia="SimSun" w:hAnsi="Book Antiqua" w:cs="SimSun"/>
          <w:color w:val="000000"/>
          <w:sz w:val="24"/>
          <w:szCs w:val="24"/>
          <w:lang w:val="en-US"/>
        </w:rPr>
        <w:t>, Hoshida Y, Battiston C, Tovar V, Sia D, Alsinet C, Cornella H, Liberzon A, Kobayashi M, Kumada H, Thung SN, Bruix J, Newell P, April C, Fan JB, Roayaie S, Mazzaferro V, Schwartz ME, Llovet JM. Combining clinical, pathology, and gene expression data to predict recurrence of hepatocellular carcinoma. </w:t>
      </w:r>
      <w:r w:rsidRPr="00FB2116">
        <w:rPr>
          <w:rFonts w:ascii="Book Antiqua" w:eastAsia="SimSun" w:hAnsi="Book Antiqua" w:cs="SimSun"/>
          <w:i/>
          <w:iCs/>
          <w:color w:val="000000"/>
          <w:sz w:val="24"/>
          <w:szCs w:val="24"/>
          <w:lang w:val="en-US"/>
        </w:rPr>
        <w:t>Gastroenterology</w:t>
      </w:r>
      <w:r w:rsidRPr="00FB2116">
        <w:rPr>
          <w:rFonts w:ascii="Book Antiqua" w:eastAsia="SimSun" w:hAnsi="Book Antiqua" w:cs="SimSun"/>
          <w:color w:val="000000"/>
          <w:sz w:val="24"/>
          <w:szCs w:val="24"/>
          <w:lang w:val="en-US"/>
        </w:rPr>
        <w:t> 2011; </w:t>
      </w:r>
      <w:r w:rsidRPr="00FB2116">
        <w:rPr>
          <w:rFonts w:ascii="Book Antiqua" w:eastAsia="SimSun" w:hAnsi="Book Antiqua" w:cs="SimSun"/>
          <w:b/>
          <w:bCs/>
          <w:color w:val="000000"/>
          <w:sz w:val="24"/>
          <w:szCs w:val="24"/>
          <w:lang w:val="en-US"/>
        </w:rPr>
        <w:t>140</w:t>
      </w:r>
      <w:r w:rsidRPr="00FB2116">
        <w:rPr>
          <w:rFonts w:ascii="Book Antiqua" w:eastAsia="SimSun" w:hAnsi="Book Antiqua" w:cs="SimSun"/>
          <w:color w:val="000000"/>
          <w:sz w:val="24"/>
          <w:szCs w:val="24"/>
          <w:lang w:val="en-US"/>
        </w:rPr>
        <w:t>: 1501-12.e2 [PMID: 21320499 DOI: 10.1053/j.gastro.2011.02.006]</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11 </w:t>
      </w:r>
      <w:r w:rsidRPr="00FB2116">
        <w:rPr>
          <w:rFonts w:ascii="Book Antiqua" w:eastAsia="SimSun" w:hAnsi="Book Antiqua" w:cs="SimSun"/>
          <w:b/>
          <w:bCs/>
          <w:color w:val="000000"/>
          <w:sz w:val="24"/>
          <w:szCs w:val="24"/>
          <w:lang w:val="en-US"/>
        </w:rPr>
        <w:t>Kondo S</w:t>
      </w:r>
      <w:r w:rsidRPr="00FB2116">
        <w:rPr>
          <w:rFonts w:ascii="Book Antiqua" w:eastAsia="SimSun" w:hAnsi="Book Antiqua" w:cs="SimSun"/>
          <w:color w:val="000000"/>
          <w:sz w:val="24"/>
          <w:szCs w:val="24"/>
          <w:lang w:val="en-US"/>
        </w:rPr>
        <w:t>, Ojima H, Tsuda H, Hashimoto J, Morizane C, Ikeda M, Ueno H, Tamura K, Shimada K, Kanai Y, Okusaka T. Clinical impact of c-Met expression and its gene amplification in hepatocellular carcinoma. </w:t>
      </w:r>
      <w:r w:rsidRPr="00FB2116">
        <w:rPr>
          <w:rFonts w:ascii="Book Antiqua" w:eastAsia="SimSun" w:hAnsi="Book Antiqua" w:cs="SimSun"/>
          <w:i/>
          <w:iCs/>
          <w:color w:val="000000"/>
          <w:sz w:val="24"/>
          <w:szCs w:val="24"/>
          <w:lang w:val="en-US"/>
        </w:rPr>
        <w:t>Int J Clin Oncol</w:t>
      </w:r>
      <w:r w:rsidRPr="00FB2116">
        <w:rPr>
          <w:rFonts w:ascii="Book Antiqua" w:eastAsia="SimSun" w:hAnsi="Book Antiqua" w:cs="SimSun"/>
          <w:color w:val="000000"/>
          <w:sz w:val="24"/>
          <w:szCs w:val="24"/>
          <w:lang w:val="en-US"/>
        </w:rPr>
        <w:t> 2013; </w:t>
      </w:r>
      <w:r w:rsidRPr="00FB2116">
        <w:rPr>
          <w:rFonts w:ascii="Book Antiqua" w:eastAsia="SimSun" w:hAnsi="Book Antiqua" w:cs="SimSun"/>
          <w:b/>
          <w:bCs/>
          <w:color w:val="000000"/>
          <w:sz w:val="24"/>
          <w:szCs w:val="24"/>
          <w:lang w:val="en-US"/>
        </w:rPr>
        <w:t>18</w:t>
      </w:r>
      <w:r w:rsidRPr="00FB2116">
        <w:rPr>
          <w:rFonts w:ascii="Book Antiqua" w:eastAsia="SimSun" w:hAnsi="Book Antiqua" w:cs="SimSun"/>
          <w:color w:val="000000"/>
          <w:sz w:val="24"/>
          <w:szCs w:val="24"/>
          <w:lang w:val="en-US"/>
        </w:rPr>
        <w:t>: 207-213 [PMID: 22218908 DOI: 10.1007/s10147-011-0361-9]</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12 </w:t>
      </w:r>
      <w:r w:rsidRPr="00FB2116">
        <w:rPr>
          <w:rFonts w:ascii="Book Antiqua" w:eastAsia="SimSun" w:hAnsi="Book Antiqua" w:cs="SimSun"/>
          <w:b/>
          <w:bCs/>
          <w:color w:val="000000"/>
          <w:sz w:val="24"/>
          <w:szCs w:val="24"/>
          <w:lang w:val="en-US"/>
        </w:rPr>
        <w:t>Keng VW</w:t>
      </w:r>
      <w:r w:rsidRPr="00FB2116">
        <w:rPr>
          <w:rFonts w:ascii="Book Antiqua" w:eastAsia="SimSun" w:hAnsi="Book Antiqua" w:cs="SimSun"/>
          <w:color w:val="000000"/>
          <w:sz w:val="24"/>
          <w:szCs w:val="24"/>
          <w:lang w:val="en-US"/>
        </w:rPr>
        <w:t>, Sia D, Sarver AL, Tschida BR, Fan D, Alsinet C, Solé M, Lee WL, Kuka TP, Moriarity BS, Villanueva A, Dupuy AJ, Riordan JD, Bell JB, Silverstein KA, Llovet JM, Largaespada DA. Sex bias occurrence of hepatocellular carcinoma in Poly7 molecular subclass is associated with EGFR. </w:t>
      </w:r>
      <w:r w:rsidRPr="00FB2116">
        <w:rPr>
          <w:rFonts w:ascii="Book Antiqua" w:eastAsia="SimSun" w:hAnsi="Book Antiqua" w:cs="SimSun"/>
          <w:i/>
          <w:iCs/>
          <w:color w:val="000000"/>
          <w:sz w:val="24"/>
          <w:szCs w:val="24"/>
          <w:lang w:val="en-US"/>
        </w:rPr>
        <w:t>Hepatology</w:t>
      </w:r>
      <w:r w:rsidRPr="00FB2116">
        <w:rPr>
          <w:rFonts w:ascii="Book Antiqua" w:eastAsia="SimSun" w:hAnsi="Book Antiqua" w:cs="SimSun"/>
          <w:color w:val="000000"/>
          <w:sz w:val="24"/>
          <w:szCs w:val="24"/>
          <w:lang w:val="en-US"/>
        </w:rPr>
        <w:t> 2013; </w:t>
      </w:r>
      <w:r w:rsidRPr="00FB2116">
        <w:rPr>
          <w:rFonts w:ascii="Book Antiqua" w:eastAsia="SimSun" w:hAnsi="Book Antiqua" w:cs="SimSun"/>
          <w:b/>
          <w:bCs/>
          <w:color w:val="000000"/>
          <w:sz w:val="24"/>
          <w:szCs w:val="24"/>
          <w:lang w:val="en-US"/>
        </w:rPr>
        <w:t>57</w:t>
      </w:r>
      <w:r w:rsidRPr="00FB2116">
        <w:rPr>
          <w:rFonts w:ascii="Book Antiqua" w:eastAsia="SimSun" w:hAnsi="Book Antiqua" w:cs="SimSun"/>
          <w:color w:val="000000"/>
          <w:sz w:val="24"/>
          <w:szCs w:val="24"/>
          <w:lang w:val="en-US"/>
        </w:rPr>
        <w:t>: 120-130 [PMID: 22899566 DOI: 10.1002/hep.26004]</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13 </w:t>
      </w:r>
      <w:r w:rsidRPr="00FB2116">
        <w:rPr>
          <w:rFonts w:ascii="Book Antiqua" w:eastAsia="SimSun" w:hAnsi="Book Antiqua" w:cs="SimSun"/>
          <w:b/>
          <w:bCs/>
          <w:color w:val="000000"/>
          <w:sz w:val="24"/>
          <w:szCs w:val="24"/>
          <w:lang w:val="en-US"/>
        </w:rPr>
        <w:t>Chiang DY</w:t>
      </w:r>
      <w:r w:rsidRPr="00FB2116">
        <w:rPr>
          <w:rFonts w:ascii="Book Antiqua" w:eastAsia="SimSun" w:hAnsi="Book Antiqua" w:cs="SimSun"/>
          <w:color w:val="000000"/>
          <w:sz w:val="24"/>
          <w:szCs w:val="24"/>
          <w:lang w:val="en-US"/>
        </w:rPr>
        <w:t xml:space="preserve">, Villanueva A, Hoshida Y, Peix J, Newell P, Minguez B, LeBlanc AC, Donovan DJ, Thung SN, Solé M, Tovar V, Alsinet C, Ramos AH, Barretina J, </w:t>
      </w:r>
      <w:r w:rsidRPr="00FB2116">
        <w:rPr>
          <w:rFonts w:ascii="Book Antiqua" w:eastAsia="SimSun" w:hAnsi="Book Antiqua" w:cs="SimSun"/>
          <w:color w:val="000000"/>
          <w:sz w:val="24"/>
          <w:szCs w:val="24"/>
          <w:lang w:val="en-US"/>
        </w:rPr>
        <w:lastRenderedPageBreak/>
        <w:t>Roayaie S, Schwartz M, Waxman S, Bruix J, Mazzaferro V, Ligon AH, Najfeld V, Friedman SL, Sellers WR, Meyerson M, Llovet JM. Focal gains of VEGFA and molecular classification of hepatocellular carcinoma. </w:t>
      </w:r>
      <w:r w:rsidRPr="00FB2116">
        <w:rPr>
          <w:rFonts w:ascii="Book Antiqua" w:eastAsia="SimSun" w:hAnsi="Book Antiqua" w:cs="SimSun"/>
          <w:i/>
          <w:iCs/>
          <w:color w:val="000000"/>
          <w:sz w:val="24"/>
          <w:szCs w:val="24"/>
          <w:lang w:val="en-US"/>
        </w:rPr>
        <w:t>Cancer Res</w:t>
      </w:r>
      <w:r w:rsidRPr="00FB2116">
        <w:rPr>
          <w:rFonts w:ascii="Book Antiqua" w:eastAsia="SimSun" w:hAnsi="Book Antiqua" w:cs="SimSun"/>
          <w:color w:val="000000"/>
          <w:sz w:val="24"/>
          <w:szCs w:val="24"/>
          <w:lang w:val="en-US"/>
        </w:rPr>
        <w:t> 2008; </w:t>
      </w:r>
      <w:r w:rsidRPr="00FB2116">
        <w:rPr>
          <w:rFonts w:ascii="Book Antiqua" w:eastAsia="SimSun" w:hAnsi="Book Antiqua" w:cs="SimSun"/>
          <w:b/>
          <w:bCs/>
          <w:color w:val="000000"/>
          <w:sz w:val="24"/>
          <w:szCs w:val="24"/>
          <w:lang w:val="en-US"/>
        </w:rPr>
        <w:t>68</w:t>
      </w:r>
      <w:r w:rsidRPr="00FB2116">
        <w:rPr>
          <w:rFonts w:ascii="Book Antiqua" w:eastAsia="SimSun" w:hAnsi="Book Antiqua" w:cs="SimSun"/>
          <w:color w:val="000000"/>
          <w:sz w:val="24"/>
          <w:szCs w:val="24"/>
          <w:lang w:val="en-US"/>
        </w:rPr>
        <w:t>: 6779-6788 [PMID: 18701503 DOI: 10.1158/0008-5472]</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14 </w:t>
      </w:r>
      <w:r w:rsidRPr="00FB2116">
        <w:rPr>
          <w:rFonts w:ascii="Book Antiqua" w:eastAsia="SimSun" w:hAnsi="Book Antiqua" w:cs="SimSun"/>
          <w:b/>
          <w:bCs/>
          <w:color w:val="000000"/>
          <w:sz w:val="24"/>
          <w:szCs w:val="24"/>
          <w:lang w:val="en-US"/>
        </w:rPr>
        <w:t>Edmondson HA</w:t>
      </w:r>
      <w:r w:rsidRPr="00FB2116">
        <w:rPr>
          <w:rFonts w:ascii="Book Antiqua" w:eastAsia="SimSun" w:hAnsi="Book Antiqua" w:cs="SimSun"/>
          <w:color w:val="000000"/>
          <w:sz w:val="24"/>
          <w:szCs w:val="24"/>
          <w:lang w:val="en-US"/>
        </w:rPr>
        <w:t>, Steiner PE. Primary carcinoma of the liver: a study of 100 cases among 48,900 necropsies. </w:t>
      </w:r>
      <w:r w:rsidRPr="00FB2116">
        <w:rPr>
          <w:rFonts w:ascii="Book Antiqua" w:eastAsia="SimSun" w:hAnsi="Book Antiqua" w:cs="SimSun"/>
          <w:i/>
          <w:iCs/>
          <w:color w:val="000000"/>
          <w:sz w:val="24"/>
          <w:szCs w:val="24"/>
          <w:lang w:val="en-US"/>
        </w:rPr>
        <w:t>Cancer</w:t>
      </w:r>
      <w:r w:rsidRPr="00FB2116">
        <w:rPr>
          <w:rFonts w:ascii="Book Antiqua" w:eastAsia="SimSun" w:hAnsi="Book Antiqua" w:cs="SimSun"/>
          <w:color w:val="000000"/>
          <w:sz w:val="24"/>
          <w:szCs w:val="24"/>
          <w:lang w:val="en-US"/>
        </w:rPr>
        <w:t> 1954; </w:t>
      </w:r>
      <w:r w:rsidRPr="00FB2116">
        <w:rPr>
          <w:rFonts w:ascii="Book Antiqua" w:eastAsia="SimSun" w:hAnsi="Book Antiqua" w:cs="SimSun"/>
          <w:b/>
          <w:bCs/>
          <w:color w:val="000000"/>
          <w:sz w:val="24"/>
          <w:szCs w:val="24"/>
          <w:lang w:val="en-US"/>
        </w:rPr>
        <w:t>7</w:t>
      </w:r>
      <w:r w:rsidRPr="00FB2116">
        <w:rPr>
          <w:rFonts w:ascii="Book Antiqua" w:eastAsia="SimSun" w:hAnsi="Book Antiqua" w:cs="SimSun"/>
          <w:color w:val="000000"/>
          <w:sz w:val="24"/>
          <w:szCs w:val="24"/>
          <w:lang w:val="en-US"/>
        </w:rPr>
        <w:t>: 462-503 [PMID: 13160935 DOI: 10.1002/1097-0142(195405)]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15 </w:t>
      </w:r>
      <w:r w:rsidRPr="00FB2116">
        <w:rPr>
          <w:rFonts w:ascii="Book Antiqua" w:eastAsia="SimSun" w:hAnsi="Book Antiqua" w:cs="SimSun"/>
          <w:b/>
          <w:bCs/>
          <w:color w:val="000000"/>
          <w:sz w:val="24"/>
          <w:szCs w:val="24"/>
          <w:lang w:val="en-US"/>
        </w:rPr>
        <w:t>Han DH</w:t>
      </w:r>
      <w:r w:rsidRPr="00FB2116">
        <w:rPr>
          <w:rFonts w:ascii="Book Antiqua" w:eastAsia="SimSun" w:hAnsi="Book Antiqua" w:cs="SimSun"/>
          <w:color w:val="000000"/>
          <w:sz w:val="24"/>
          <w:szCs w:val="24"/>
          <w:lang w:val="en-US"/>
        </w:rPr>
        <w:t>, Choi GH, Kim KS, Choi JS, Park YN, Kim SU, Park JY, Ahn SH, Han KH. Prognostic significance of the worst grade in hepatocellular carcinoma with heterogeneous histologic grades of differentiation. </w:t>
      </w:r>
      <w:r w:rsidRPr="00FB2116">
        <w:rPr>
          <w:rFonts w:ascii="Book Antiqua" w:eastAsia="SimSun" w:hAnsi="Book Antiqua" w:cs="SimSun"/>
          <w:i/>
          <w:iCs/>
          <w:color w:val="000000"/>
          <w:sz w:val="24"/>
          <w:szCs w:val="24"/>
          <w:lang w:val="en-US"/>
        </w:rPr>
        <w:t>J Gastroenterol Hepatol</w:t>
      </w:r>
      <w:r w:rsidRPr="00FB2116">
        <w:rPr>
          <w:rFonts w:ascii="Book Antiqua" w:eastAsia="SimSun" w:hAnsi="Book Antiqua" w:cs="SimSun"/>
          <w:color w:val="000000"/>
          <w:sz w:val="24"/>
          <w:szCs w:val="24"/>
          <w:lang w:val="en-US"/>
        </w:rPr>
        <w:t> 2013; </w:t>
      </w:r>
      <w:r w:rsidRPr="00FB2116">
        <w:rPr>
          <w:rFonts w:ascii="Book Antiqua" w:eastAsia="SimSun" w:hAnsi="Book Antiqua" w:cs="SimSun"/>
          <w:b/>
          <w:bCs/>
          <w:color w:val="000000"/>
          <w:sz w:val="24"/>
          <w:szCs w:val="24"/>
          <w:lang w:val="en-US"/>
        </w:rPr>
        <w:t>28</w:t>
      </w:r>
      <w:r w:rsidRPr="00FB2116">
        <w:rPr>
          <w:rFonts w:ascii="Book Antiqua" w:eastAsia="SimSun" w:hAnsi="Book Antiqua" w:cs="SimSun"/>
          <w:color w:val="000000"/>
          <w:sz w:val="24"/>
          <w:szCs w:val="24"/>
          <w:lang w:val="en-US"/>
        </w:rPr>
        <w:t>: 1384-1390 [PMID: 23517197 DOI: 10.1111/jgh.12200]</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16 </w:t>
      </w:r>
      <w:r w:rsidRPr="00FB2116">
        <w:rPr>
          <w:rFonts w:ascii="Book Antiqua" w:eastAsia="SimSun" w:hAnsi="Book Antiqua" w:cs="SimSun"/>
          <w:b/>
          <w:bCs/>
          <w:color w:val="000000"/>
          <w:sz w:val="24"/>
          <w:szCs w:val="24"/>
          <w:lang w:val="en-US"/>
        </w:rPr>
        <w:t>Srivastava S</w:t>
      </w:r>
      <w:r w:rsidRPr="00FB2116">
        <w:rPr>
          <w:rFonts w:ascii="Book Antiqua" w:eastAsia="SimSun" w:hAnsi="Book Antiqua" w:cs="SimSun"/>
          <w:color w:val="000000"/>
          <w:sz w:val="24"/>
          <w:szCs w:val="24"/>
          <w:lang w:val="en-US"/>
        </w:rPr>
        <w:t>, Wong KF, Ong CW, Huak CY, Yeoh KG, Teh M, Luk JM, Salto-Tellez M. A morpho-molecular prognostic model for hepatocellular carcinoma. </w:t>
      </w:r>
      <w:r w:rsidRPr="00FB2116">
        <w:rPr>
          <w:rFonts w:ascii="Book Antiqua" w:eastAsia="SimSun" w:hAnsi="Book Antiqua" w:cs="SimSun"/>
          <w:i/>
          <w:iCs/>
          <w:color w:val="000000"/>
          <w:sz w:val="24"/>
          <w:szCs w:val="24"/>
          <w:lang w:val="en-US"/>
        </w:rPr>
        <w:t>Br J Cancer</w:t>
      </w:r>
      <w:r w:rsidRPr="00FB2116">
        <w:rPr>
          <w:rFonts w:ascii="Book Antiqua" w:eastAsia="SimSun" w:hAnsi="Book Antiqua" w:cs="SimSun"/>
          <w:color w:val="000000"/>
          <w:sz w:val="24"/>
          <w:szCs w:val="24"/>
          <w:lang w:val="en-US"/>
        </w:rPr>
        <w:t> 2012; </w:t>
      </w:r>
      <w:r w:rsidRPr="00FB2116">
        <w:rPr>
          <w:rFonts w:ascii="Book Antiqua" w:eastAsia="SimSun" w:hAnsi="Book Antiqua" w:cs="SimSun"/>
          <w:b/>
          <w:bCs/>
          <w:color w:val="000000"/>
          <w:sz w:val="24"/>
          <w:szCs w:val="24"/>
          <w:lang w:val="en-US"/>
        </w:rPr>
        <w:t>107</w:t>
      </w:r>
      <w:r w:rsidRPr="00FB2116">
        <w:rPr>
          <w:rFonts w:ascii="Book Antiqua" w:eastAsia="SimSun" w:hAnsi="Book Antiqua" w:cs="SimSun"/>
          <w:color w:val="000000"/>
          <w:sz w:val="24"/>
          <w:szCs w:val="24"/>
          <w:lang w:val="en-US"/>
        </w:rPr>
        <w:t>: 334-339 [PMID: 22713659 DOI: 10.1038/bjc.2012.230]</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17 </w:t>
      </w:r>
      <w:r w:rsidRPr="00FB2116">
        <w:rPr>
          <w:rFonts w:ascii="Book Antiqua" w:eastAsia="SimSun" w:hAnsi="Book Antiqua" w:cs="SimSun"/>
          <w:b/>
          <w:bCs/>
          <w:color w:val="000000"/>
          <w:sz w:val="24"/>
          <w:szCs w:val="24"/>
          <w:lang w:val="en-US"/>
        </w:rPr>
        <w:t>Niu ZS</w:t>
      </w:r>
      <w:r w:rsidRPr="00FB2116">
        <w:rPr>
          <w:rFonts w:ascii="Book Antiqua" w:eastAsia="SimSun" w:hAnsi="Book Antiqua" w:cs="SimSun"/>
          <w:color w:val="000000"/>
          <w:sz w:val="24"/>
          <w:szCs w:val="24"/>
          <w:lang w:val="en-US"/>
        </w:rPr>
        <w:t>, Niu XJ, Wang M. Management of hepatocellular carcinoma: Predictive value of immunohistochemical markers for postoperative survival. </w:t>
      </w:r>
      <w:r w:rsidRPr="00FB2116">
        <w:rPr>
          <w:rFonts w:ascii="Book Antiqua" w:eastAsia="SimSun" w:hAnsi="Book Antiqua" w:cs="SimSun"/>
          <w:i/>
          <w:iCs/>
          <w:color w:val="000000"/>
          <w:sz w:val="24"/>
          <w:szCs w:val="24"/>
          <w:lang w:val="en-US"/>
        </w:rPr>
        <w:t>World J Hepatol</w:t>
      </w:r>
      <w:r w:rsidRPr="00FB2116">
        <w:rPr>
          <w:rFonts w:ascii="Book Antiqua" w:eastAsia="SimSun" w:hAnsi="Book Antiqua" w:cs="SimSun"/>
          <w:color w:val="000000"/>
          <w:sz w:val="24"/>
          <w:szCs w:val="24"/>
          <w:lang w:val="en-US"/>
        </w:rPr>
        <w:t> 2015; </w:t>
      </w:r>
      <w:r w:rsidRPr="00FB2116">
        <w:rPr>
          <w:rFonts w:ascii="Book Antiqua" w:eastAsia="SimSun" w:hAnsi="Book Antiqua" w:cs="SimSun"/>
          <w:b/>
          <w:bCs/>
          <w:color w:val="000000"/>
          <w:sz w:val="24"/>
          <w:szCs w:val="24"/>
          <w:lang w:val="en-US"/>
        </w:rPr>
        <w:t>7</w:t>
      </w:r>
      <w:r w:rsidRPr="00FB2116">
        <w:rPr>
          <w:rFonts w:ascii="Book Antiqua" w:eastAsia="SimSun" w:hAnsi="Book Antiqua" w:cs="SimSun"/>
          <w:color w:val="000000"/>
          <w:sz w:val="24"/>
          <w:szCs w:val="24"/>
          <w:lang w:val="en-US"/>
        </w:rPr>
        <w:t>: 7-27 [PMID: 25624992 DOI: 10.4254/wjh.v7.i1.7]</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18 </w:t>
      </w:r>
      <w:r w:rsidRPr="00FB2116">
        <w:rPr>
          <w:rFonts w:ascii="Book Antiqua" w:eastAsia="SimSun" w:hAnsi="Book Antiqua" w:cs="SimSun"/>
          <w:b/>
          <w:bCs/>
          <w:color w:val="000000"/>
          <w:sz w:val="24"/>
          <w:szCs w:val="24"/>
          <w:lang w:val="en-US"/>
        </w:rPr>
        <w:t>Ito Y</w:t>
      </w:r>
      <w:r w:rsidRPr="00FB2116">
        <w:rPr>
          <w:rFonts w:ascii="Book Antiqua" w:eastAsia="SimSun" w:hAnsi="Book Antiqua" w:cs="SimSun"/>
          <w:color w:val="000000"/>
          <w:sz w:val="24"/>
          <w:szCs w:val="24"/>
          <w:lang w:val="en-US"/>
        </w:rPr>
        <w:t>, Takeda T, Sakon M, Tsujimoto M, Higashiyama S, Noda K, Miyoshi E, Monden M, Matsuura N. Expression and clinical significance of erb-B receptor family in hepatocellular carcinoma. </w:t>
      </w:r>
      <w:r w:rsidRPr="00FB2116">
        <w:rPr>
          <w:rFonts w:ascii="Book Antiqua" w:eastAsia="SimSun" w:hAnsi="Book Antiqua" w:cs="SimSun"/>
          <w:i/>
          <w:iCs/>
          <w:color w:val="000000"/>
          <w:sz w:val="24"/>
          <w:szCs w:val="24"/>
          <w:lang w:val="en-US"/>
        </w:rPr>
        <w:t>Br J Cancer</w:t>
      </w:r>
      <w:r w:rsidRPr="00FB2116">
        <w:rPr>
          <w:rFonts w:ascii="Book Antiqua" w:eastAsia="SimSun" w:hAnsi="Book Antiqua" w:cs="SimSun"/>
          <w:color w:val="000000"/>
          <w:sz w:val="24"/>
          <w:szCs w:val="24"/>
          <w:lang w:val="en-US"/>
        </w:rPr>
        <w:t> 2001; </w:t>
      </w:r>
      <w:r w:rsidRPr="00FB2116">
        <w:rPr>
          <w:rFonts w:ascii="Book Antiqua" w:eastAsia="SimSun" w:hAnsi="Book Antiqua" w:cs="SimSun"/>
          <w:b/>
          <w:bCs/>
          <w:color w:val="000000"/>
          <w:sz w:val="24"/>
          <w:szCs w:val="24"/>
          <w:lang w:val="en-US"/>
        </w:rPr>
        <w:t>84</w:t>
      </w:r>
      <w:r w:rsidRPr="00FB2116">
        <w:rPr>
          <w:rFonts w:ascii="Book Antiqua" w:eastAsia="SimSun" w:hAnsi="Book Antiqua" w:cs="SimSun"/>
          <w:color w:val="000000"/>
          <w:sz w:val="24"/>
          <w:szCs w:val="24"/>
          <w:lang w:val="en-US"/>
        </w:rPr>
        <w:t>: 1377-1383 [PMID: 11355950 DOI: 10.1054/bjoc.2000.1580]</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19 </w:t>
      </w:r>
      <w:r w:rsidRPr="00FB2116">
        <w:rPr>
          <w:rFonts w:ascii="Book Antiqua" w:eastAsia="SimSun" w:hAnsi="Book Antiqua" w:cs="SimSun"/>
          <w:b/>
          <w:bCs/>
          <w:color w:val="000000"/>
          <w:sz w:val="24"/>
          <w:szCs w:val="24"/>
          <w:lang w:val="en-US"/>
        </w:rPr>
        <w:t>Tsiambas E</w:t>
      </w:r>
      <w:r w:rsidRPr="00FB2116">
        <w:rPr>
          <w:rFonts w:ascii="Book Antiqua" w:eastAsia="SimSun" w:hAnsi="Book Antiqua" w:cs="SimSun"/>
          <w:color w:val="000000"/>
          <w:sz w:val="24"/>
          <w:szCs w:val="24"/>
          <w:lang w:val="en-US"/>
        </w:rPr>
        <w:t>, Manaios L, Papanikolopoulos C, Rigopoulos DN, Tsounis D, Karameris A, Soultati A, Koliopoulou A, Kravvaritis C, Sergentanis T, Patsouris E, Dourakis S. Chromogenic in situ hybridization analysis of Epidermal Growth Factor Receptor gene/chromosome 7 numerical aberrations in hepatocellular carcinoma based on tissue microarrays. </w:t>
      </w:r>
      <w:r w:rsidRPr="00FB2116">
        <w:rPr>
          <w:rFonts w:ascii="Book Antiqua" w:eastAsia="SimSun" w:hAnsi="Book Antiqua" w:cs="SimSun"/>
          <w:i/>
          <w:iCs/>
          <w:color w:val="000000"/>
          <w:sz w:val="24"/>
          <w:szCs w:val="24"/>
          <w:lang w:val="en-US"/>
        </w:rPr>
        <w:t>Pathol Oncol Res</w:t>
      </w:r>
      <w:r w:rsidRPr="00FB2116">
        <w:rPr>
          <w:rFonts w:ascii="Book Antiqua" w:eastAsia="SimSun" w:hAnsi="Book Antiqua" w:cs="SimSun"/>
          <w:color w:val="000000"/>
          <w:sz w:val="24"/>
          <w:szCs w:val="24"/>
          <w:lang w:val="en-US"/>
        </w:rPr>
        <w:t> 2009; </w:t>
      </w:r>
      <w:r w:rsidRPr="00FB2116">
        <w:rPr>
          <w:rFonts w:ascii="Book Antiqua" w:eastAsia="SimSun" w:hAnsi="Book Antiqua" w:cs="SimSun"/>
          <w:b/>
          <w:bCs/>
          <w:color w:val="000000"/>
          <w:sz w:val="24"/>
          <w:szCs w:val="24"/>
          <w:lang w:val="en-US"/>
        </w:rPr>
        <w:t>15</w:t>
      </w:r>
      <w:r w:rsidRPr="00FB2116">
        <w:rPr>
          <w:rFonts w:ascii="Book Antiqua" w:eastAsia="SimSun" w:hAnsi="Book Antiqua" w:cs="SimSun"/>
          <w:color w:val="000000"/>
          <w:sz w:val="24"/>
          <w:szCs w:val="24"/>
          <w:lang w:val="en-US"/>
        </w:rPr>
        <w:t>: 511-520 [PMID: 19145479 DOI: 10.1007/s12253-008-9146-5]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lastRenderedPageBreak/>
        <w:t>20 </w:t>
      </w:r>
      <w:r w:rsidRPr="00FB2116">
        <w:rPr>
          <w:rFonts w:ascii="Book Antiqua" w:eastAsia="SimSun" w:hAnsi="Book Antiqua" w:cs="SimSun"/>
          <w:b/>
          <w:bCs/>
          <w:color w:val="000000"/>
          <w:sz w:val="24"/>
          <w:szCs w:val="24"/>
          <w:lang w:val="en-US"/>
        </w:rPr>
        <w:t>Kira S</w:t>
      </w:r>
      <w:r w:rsidRPr="00FB2116">
        <w:rPr>
          <w:rFonts w:ascii="Book Antiqua" w:eastAsia="SimSun" w:hAnsi="Book Antiqua" w:cs="SimSun"/>
          <w:color w:val="000000"/>
          <w:sz w:val="24"/>
          <w:szCs w:val="24"/>
          <w:lang w:val="en-US"/>
        </w:rPr>
        <w:t>, Nakanishi T, Suemori S, Kitamoto M, Watanabe Y, Kajiyama G. Expression of transforming growth factor alpha and epidermal growth factor receptor in human hepatocellular carcinoma. </w:t>
      </w:r>
      <w:r w:rsidRPr="00FB2116">
        <w:rPr>
          <w:rFonts w:ascii="Book Antiqua" w:eastAsia="SimSun" w:hAnsi="Book Antiqua" w:cs="SimSun"/>
          <w:i/>
          <w:iCs/>
          <w:color w:val="000000"/>
          <w:sz w:val="24"/>
          <w:szCs w:val="24"/>
          <w:lang w:val="en-US"/>
        </w:rPr>
        <w:t>Liver</w:t>
      </w:r>
      <w:r w:rsidRPr="00FB2116">
        <w:rPr>
          <w:rFonts w:ascii="Book Antiqua" w:eastAsia="SimSun" w:hAnsi="Book Antiqua" w:cs="SimSun"/>
          <w:color w:val="000000"/>
          <w:sz w:val="24"/>
          <w:szCs w:val="24"/>
          <w:lang w:val="en-US"/>
        </w:rPr>
        <w:t> 1997; </w:t>
      </w:r>
      <w:r w:rsidRPr="00FB2116">
        <w:rPr>
          <w:rFonts w:ascii="Book Antiqua" w:eastAsia="SimSun" w:hAnsi="Book Antiqua" w:cs="SimSun"/>
          <w:b/>
          <w:bCs/>
          <w:color w:val="000000"/>
          <w:sz w:val="24"/>
          <w:szCs w:val="24"/>
          <w:lang w:val="en-US"/>
        </w:rPr>
        <w:t>17</w:t>
      </w:r>
      <w:r w:rsidRPr="00FB2116">
        <w:rPr>
          <w:rFonts w:ascii="Book Antiqua" w:eastAsia="SimSun" w:hAnsi="Book Antiqua" w:cs="SimSun"/>
          <w:color w:val="000000"/>
          <w:sz w:val="24"/>
          <w:szCs w:val="24"/>
          <w:lang w:val="en-US"/>
        </w:rPr>
        <w:t>: 177-182 [PMID: 9298487]</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21 </w:t>
      </w:r>
      <w:r w:rsidRPr="00FB2116">
        <w:rPr>
          <w:rFonts w:ascii="Book Antiqua" w:eastAsia="SimSun" w:hAnsi="Book Antiqua" w:cs="SimSun"/>
          <w:b/>
          <w:bCs/>
          <w:color w:val="000000"/>
          <w:sz w:val="24"/>
          <w:szCs w:val="24"/>
          <w:lang w:val="en-US"/>
        </w:rPr>
        <w:t>Kannangai R</w:t>
      </w:r>
      <w:r w:rsidRPr="00FB2116">
        <w:rPr>
          <w:rFonts w:ascii="Book Antiqua" w:eastAsia="SimSun" w:hAnsi="Book Antiqua" w:cs="SimSun"/>
          <w:color w:val="000000"/>
          <w:sz w:val="24"/>
          <w:szCs w:val="24"/>
          <w:lang w:val="en-US"/>
        </w:rPr>
        <w:t>, Sahin F, Torbenson MS. EGFR is phosphorylated at Ty845 in hepatocellular carcinoma. </w:t>
      </w:r>
      <w:r w:rsidRPr="00FB2116">
        <w:rPr>
          <w:rFonts w:ascii="Book Antiqua" w:eastAsia="SimSun" w:hAnsi="Book Antiqua" w:cs="SimSun"/>
          <w:i/>
          <w:iCs/>
          <w:color w:val="000000"/>
          <w:sz w:val="24"/>
          <w:szCs w:val="24"/>
          <w:lang w:val="en-US"/>
        </w:rPr>
        <w:t>Mod Pathol</w:t>
      </w:r>
      <w:r w:rsidRPr="00FB2116">
        <w:rPr>
          <w:rFonts w:ascii="Book Antiqua" w:eastAsia="SimSun" w:hAnsi="Book Antiqua" w:cs="SimSun"/>
          <w:color w:val="000000"/>
          <w:sz w:val="24"/>
          <w:szCs w:val="24"/>
          <w:lang w:val="en-US"/>
        </w:rPr>
        <w:t> 2006; </w:t>
      </w:r>
      <w:r w:rsidRPr="00FB2116">
        <w:rPr>
          <w:rFonts w:ascii="Book Antiqua" w:eastAsia="SimSun" w:hAnsi="Book Antiqua" w:cs="SimSun"/>
          <w:b/>
          <w:bCs/>
          <w:color w:val="000000"/>
          <w:sz w:val="24"/>
          <w:szCs w:val="24"/>
          <w:lang w:val="en-US"/>
        </w:rPr>
        <w:t>19</w:t>
      </w:r>
      <w:r w:rsidRPr="00FB2116">
        <w:rPr>
          <w:rFonts w:ascii="Book Antiqua" w:eastAsia="SimSun" w:hAnsi="Book Antiqua" w:cs="SimSun"/>
          <w:color w:val="000000"/>
          <w:sz w:val="24"/>
          <w:szCs w:val="24"/>
          <w:lang w:val="en-US"/>
        </w:rPr>
        <w:t>: 1456-1461 [PMID: 16936701 DOI: 10.1038/modpathol.3800665]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22 </w:t>
      </w:r>
      <w:r w:rsidRPr="00FB2116">
        <w:rPr>
          <w:rFonts w:ascii="Book Antiqua" w:eastAsia="SimSun" w:hAnsi="Book Antiqua" w:cs="SimSun"/>
          <w:b/>
          <w:bCs/>
          <w:color w:val="000000"/>
          <w:sz w:val="24"/>
          <w:szCs w:val="24"/>
          <w:lang w:val="en-US"/>
        </w:rPr>
        <w:t>Morimitsu Y</w:t>
      </w:r>
      <w:r w:rsidRPr="00FB2116">
        <w:rPr>
          <w:rFonts w:ascii="Book Antiqua" w:eastAsia="SimSun" w:hAnsi="Book Antiqua" w:cs="SimSun"/>
          <w:color w:val="000000"/>
          <w:sz w:val="24"/>
          <w:szCs w:val="24"/>
          <w:lang w:val="en-US"/>
        </w:rPr>
        <w:t>, Hsia CC, Kojiro M, Tabor E. Nodules of less-differentiated tumor within or adjacent to hepatocellular carcinoma: relative expression of transforming growth factor-alpha and its receptor in the different areas of tumor. </w:t>
      </w:r>
      <w:r w:rsidRPr="00FB2116">
        <w:rPr>
          <w:rFonts w:ascii="Book Antiqua" w:eastAsia="SimSun" w:hAnsi="Book Antiqua" w:cs="SimSun"/>
          <w:i/>
          <w:iCs/>
          <w:color w:val="000000"/>
          <w:sz w:val="24"/>
          <w:szCs w:val="24"/>
          <w:lang w:val="en-US"/>
        </w:rPr>
        <w:t>Hum Pathol</w:t>
      </w:r>
      <w:r w:rsidRPr="00FB2116">
        <w:rPr>
          <w:rFonts w:ascii="Book Antiqua" w:eastAsia="SimSun" w:hAnsi="Book Antiqua" w:cs="SimSun"/>
          <w:color w:val="000000"/>
          <w:sz w:val="24"/>
          <w:szCs w:val="24"/>
          <w:lang w:val="en-US"/>
        </w:rPr>
        <w:t> 1995; </w:t>
      </w:r>
      <w:r w:rsidRPr="00FB2116">
        <w:rPr>
          <w:rFonts w:ascii="Book Antiqua" w:eastAsia="SimSun" w:hAnsi="Book Antiqua" w:cs="SimSun"/>
          <w:b/>
          <w:bCs/>
          <w:color w:val="000000"/>
          <w:sz w:val="24"/>
          <w:szCs w:val="24"/>
          <w:lang w:val="en-US"/>
        </w:rPr>
        <w:t>26</w:t>
      </w:r>
      <w:r w:rsidRPr="00FB2116">
        <w:rPr>
          <w:rFonts w:ascii="Book Antiqua" w:eastAsia="SimSun" w:hAnsi="Book Antiqua" w:cs="SimSun"/>
          <w:color w:val="000000"/>
          <w:sz w:val="24"/>
          <w:szCs w:val="24"/>
          <w:lang w:val="en-US"/>
        </w:rPr>
        <w:t>: 1126-1132 [PMID: 7557946]</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23 </w:t>
      </w:r>
      <w:r w:rsidRPr="00FB2116">
        <w:rPr>
          <w:rFonts w:ascii="Book Antiqua" w:eastAsia="SimSun" w:hAnsi="Book Antiqua" w:cs="SimSun"/>
          <w:b/>
          <w:bCs/>
          <w:color w:val="000000"/>
          <w:sz w:val="24"/>
          <w:szCs w:val="24"/>
          <w:lang w:val="en-US"/>
        </w:rPr>
        <w:t>Winter RN</w:t>
      </w:r>
      <w:r w:rsidRPr="00FB2116">
        <w:rPr>
          <w:rFonts w:ascii="Book Antiqua" w:eastAsia="SimSun" w:hAnsi="Book Antiqua" w:cs="SimSun"/>
          <w:color w:val="000000"/>
          <w:sz w:val="24"/>
          <w:szCs w:val="24"/>
          <w:lang w:val="en-US"/>
        </w:rPr>
        <w:t>, Kramer A, Borkowski A, Kyprianou N. Loss of caspase-1 and caspase-3 protein expression in human prostate cancer. </w:t>
      </w:r>
      <w:r w:rsidRPr="00FB2116">
        <w:rPr>
          <w:rFonts w:ascii="Book Antiqua" w:eastAsia="SimSun" w:hAnsi="Book Antiqua" w:cs="SimSun"/>
          <w:i/>
          <w:iCs/>
          <w:color w:val="000000"/>
          <w:sz w:val="24"/>
          <w:szCs w:val="24"/>
          <w:lang w:val="en-US"/>
        </w:rPr>
        <w:t>Cancer Res</w:t>
      </w:r>
      <w:r w:rsidRPr="00FB2116">
        <w:rPr>
          <w:rFonts w:ascii="Book Antiqua" w:eastAsia="SimSun" w:hAnsi="Book Antiqua" w:cs="SimSun"/>
          <w:color w:val="000000"/>
          <w:sz w:val="24"/>
          <w:szCs w:val="24"/>
          <w:lang w:val="en-US"/>
        </w:rPr>
        <w:t> 2001; </w:t>
      </w:r>
      <w:r w:rsidRPr="00FB2116">
        <w:rPr>
          <w:rFonts w:ascii="Book Antiqua" w:eastAsia="SimSun" w:hAnsi="Book Antiqua" w:cs="SimSun"/>
          <w:b/>
          <w:bCs/>
          <w:color w:val="000000"/>
          <w:sz w:val="24"/>
          <w:szCs w:val="24"/>
          <w:lang w:val="en-US"/>
        </w:rPr>
        <w:t>61</w:t>
      </w:r>
      <w:r w:rsidRPr="00FB2116">
        <w:rPr>
          <w:rFonts w:ascii="Book Antiqua" w:eastAsia="SimSun" w:hAnsi="Book Antiqua" w:cs="SimSun"/>
          <w:color w:val="000000"/>
          <w:sz w:val="24"/>
          <w:szCs w:val="24"/>
          <w:lang w:val="en-US"/>
        </w:rPr>
        <w:t>: 1227-1232 [PMID: 11221855]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24 </w:t>
      </w:r>
      <w:r w:rsidRPr="00FB2116">
        <w:rPr>
          <w:rFonts w:ascii="Book Antiqua" w:eastAsia="SimSun" w:hAnsi="Book Antiqua" w:cs="SimSun"/>
          <w:b/>
          <w:bCs/>
          <w:color w:val="000000"/>
          <w:sz w:val="24"/>
          <w:szCs w:val="24"/>
          <w:lang w:val="en-US"/>
        </w:rPr>
        <w:t>Persad R</w:t>
      </w:r>
      <w:r w:rsidRPr="00FB2116">
        <w:rPr>
          <w:rFonts w:ascii="Book Antiqua" w:eastAsia="SimSun" w:hAnsi="Book Antiqua" w:cs="SimSun"/>
          <w:color w:val="000000"/>
          <w:sz w:val="24"/>
          <w:szCs w:val="24"/>
          <w:lang w:val="en-US"/>
        </w:rPr>
        <w:t>, Liu C, Wu TT, Houlihan PS, Hamilton SR, Diehl AM, Rashid A. Overexpression of caspase-3 in hepatocellular carcinomas. </w:t>
      </w:r>
      <w:r w:rsidRPr="00FB2116">
        <w:rPr>
          <w:rFonts w:ascii="Book Antiqua" w:eastAsia="SimSun" w:hAnsi="Book Antiqua" w:cs="SimSun"/>
          <w:i/>
          <w:iCs/>
          <w:color w:val="000000"/>
          <w:sz w:val="24"/>
          <w:szCs w:val="24"/>
          <w:lang w:val="en-US"/>
        </w:rPr>
        <w:t>Mod Pathol</w:t>
      </w:r>
      <w:r w:rsidRPr="00FB2116">
        <w:rPr>
          <w:rFonts w:ascii="Book Antiqua" w:eastAsia="SimSun" w:hAnsi="Book Antiqua" w:cs="SimSun"/>
          <w:color w:val="000000"/>
          <w:sz w:val="24"/>
          <w:szCs w:val="24"/>
          <w:lang w:val="en-US"/>
        </w:rPr>
        <w:t> 2004; </w:t>
      </w:r>
      <w:r w:rsidRPr="00FB2116">
        <w:rPr>
          <w:rFonts w:ascii="Book Antiqua" w:eastAsia="SimSun" w:hAnsi="Book Antiqua" w:cs="SimSun"/>
          <w:b/>
          <w:bCs/>
          <w:color w:val="000000"/>
          <w:sz w:val="24"/>
          <w:szCs w:val="24"/>
          <w:lang w:val="en-US"/>
        </w:rPr>
        <w:t>17</w:t>
      </w:r>
      <w:r w:rsidRPr="00FB2116">
        <w:rPr>
          <w:rFonts w:ascii="Book Antiqua" w:eastAsia="SimSun" w:hAnsi="Book Antiqua" w:cs="SimSun"/>
          <w:color w:val="000000"/>
          <w:sz w:val="24"/>
          <w:szCs w:val="24"/>
          <w:lang w:val="en-US"/>
        </w:rPr>
        <w:t>: 861-867 [PMID: 15098015 DOI: 10.1038/modpathol.3800146]</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25 </w:t>
      </w:r>
      <w:r w:rsidRPr="00FB2116">
        <w:rPr>
          <w:rFonts w:ascii="Book Antiqua" w:eastAsia="SimSun" w:hAnsi="Book Antiqua" w:cs="SimSun"/>
          <w:b/>
          <w:bCs/>
          <w:color w:val="000000"/>
          <w:sz w:val="24"/>
          <w:szCs w:val="24"/>
          <w:lang w:val="en-US"/>
        </w:rPr>
        <w:t>Kim H</w:t>
      </w:r>
      <w:r w:rsidRPr="00FB2116">
        <w:rPr>
          <w:rFonts w:ascii="Book Antiqua" w:eastAsia="SimSun" w:hAnsi="Book Antiqua" w:cs="SimSun"/>
          <w:color w:val="000000"/>
          <w:sz w:val="24"/>
          <w:szCs w:val="24"/>
          <w:lang w:val="en-US"/>
        </w:rPr>
        <w:t>, Choi GH, Na DC, Ahn EY, Kim GI, Lee JE, Cho JY, Yoo JE, Choi JS, Park YN. Human hepatocellular carcinomas with "Stemness"-related marker expression: keratin 19 expression and a poor prognosis. </w:t>
      </w:r>
      <w:r w:rsidRPr="00FB2116">
        <w:rPr>
          <w:rFonts w:ascii="Book Antiqua" w:eastAsia="SimSun" w:hAnsi="Book Antiqua" w:cs="SimSun"/>
          <w:i/>
          <w:iCs/>
          <w:color w:val="000000"/>
          <w:sz w:val="24"/>
          <w:szCs w:val="24"/>
          <w:lang w:val="en-US"/>
        </w:rPr>
        <w:t>Hepatology</w:t>
      </w:r>
      <w:r w:rsidRPr="00FB2116">
        <w:rPr>
          <w:rFonts w:ascii="Book Antiqua" w:eastAsia="SimSun" w:hAnsi="Book Antiqua" w:cs="SimSun"/>
          <w:color w:val="000000"/>
          <w:sz w:val="24"/>
          <w:szCs w:val="24"/>
          <w:lang w:val="en-US"/>
        </w:rPr>
        <w:t> 2011; </w:t>
      </w:r>
      <w:r w:rsidRPr="00FB2116">
        <w:rPr>
          <w:rFonts w:ascii="Book Antiqua" w:eastAsia="SimSun" w:hAnsi="Book Antiqua" w:cs="SimSun"/>
          <w:b/>
          <w:bCs/>
          <w:color w:val="000000"/>
          <w:sz w:val="24"/>
          <w:szCs w:val="24"/>
          <w:lang w:val="en-US"/>
        </w:rPr>
        <w:t>54</w:t>
      </w:r>
      <w:r w:rsidRPr="00FB2116">
        <w:rPr>
          <w:rFonts w:ascii="Book Antiqua" w:eastAsia="SimSun" w:hAnsi="Book Antiqua" w:cs="SimSun"/>
          <w:color w:val="000000"/>
          <w:sz w:val="24"/>
          <w:szCs w:val="24"/>
          <w:lang w:val="en-US"/>
        </w:rPr>
        <w:t>: 1707-1717 [PMID: 22045674 DOI: 10.1002/hep.24559]</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26 </w:t>
      </w:r>
      <w:r w:rsidRPr="00FB2116">
        <w:rPr>
          <w:rFonts w:ascii="Book Antiqua" w:eastAsia="SimSun" w:hAnsi="Book Antiqua" w:cs="SimSun"/>
          <w:b/>
          <w:bCs/>
          <w:color w:val="000000"/>
          <w:sz w:val="24"/>
          <w:szCs w:val="24"/>
          <w:lang w:val="en-US"/>
        </w:rPr>
        <w:t>Joo M</w:t>
      </w:r>
      <w:r w:rsidRPr="00FB2116">
        <w:rPr>
          <w:rFonts w:ascii="Book Antiqua" w:eastAsia="SimSun" w:hAnsi="Book Antiqua" w:cs="SimSun"/>
          <w:color w:val="000000"/>
          <w:sz w:val="24"/>
          <w:szCs w:val="24"/>
          <w:lang w:val="en-US"/>
        </w:rPr>
        <w:t>, Kang YK, Kim MR, Lee HK, Jang JJ. Cyclin D1 overexpression in hepatocellular carcinoma. </w:t>
      </w:r>
      <w:r w:rsidRPr="00FB2116">
        <w:rPr>
          <w:rFonts w:ascii="Book Antiqua" w:eastAsia="SimSun" w:hAnsi="Book Antiqua" w:cs="SimSun"/>
          <w:i/>
          <w:iCs/>
          <w:color w:val="000000"/>
          <w:sz w:val="24"/>
          <w:szCs w:val="24"/>
          <w:lang w:val="en-US"/>
        </w:rPr>
        <w:t>Liver</w:t>
      </w:r>
      <w:r w:rsidRPr="00FB2116">
        <w:rPr>
          <w:rFonts w:ascii="Book Antiqua" w:eastAsia="SimSun" w:hAnsi="Book Antiqua" w:cs="SimSun"/>
          <w:color w:val="000000"/>
          <w:sz w:val="24"/>
          <w:szCs w:val="24"/>
          <w:lang w:val="en-US"/>
        </w:rPr>
        <w:t> 2001; </w:t>
      </w:r>
      <w:r w:rsidRPr="00FB2116">
        <w:rPr>
          <w:rFonts w:ascii="Book Antiqua" w:eastAsia="SimSun" w:hAnsi="Book Antiqua" w:cs="SimSun"/>
          <w:b/>
          <w:bCs/>
          <w:color w:val="000000"/>
          <w:sz w:val="24"/>
          <w:szCs w:val="24"/>
          <w:lang w:val="en-US"/>
        </w:rPr>
        <w:t>21</w:t>
      </w:r>
      <w:r w:rsidRPr="00FB2116">
        <w:rPr>
          <w:rFonts w:ascii="Book Antiqua" w:eastAsia="SimSun" w:hAnsi="Book Antiqua" w:cs="SimSun"/>
          <w:color w:val="000000"/>
          <w:sz w:val="24"/>
          <w:szCs w:val="24"/>
          <w:lang w:val="en-US"/>
        </w:rPr>
        <w:t>: 89-95 [PMID: 11318977 DOI: 10.1034/j.1600-0676.2001.021002089.x]</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27 </w:t>
      </w:r>
      <w:r w:rsidRPr="00FB2116">
        <w:rPr>
          <w:rFonts w:ascii="Book Antiqua" w:eastAsia="SimSun" w:hAnsi="Book Antiqua" w:cs="SimSun"/>
          <w:b/>
          <w:bCs/>
          <w:color w:val="000000"/>
          <w:sz w:val="24"/>
          <w:szCs w:val="24"/>
          <w:lang w:val="en-US"/>
        </w:rPr>
        <w:t>Govaere O</w:t>
      </w:r>
      <w:r w:rsidRPr="00FB2116">
        <w:rPr>
          <w:rFonts w:ascii="Book Antiqua" w:eastAsia="SimSun" w:hAnsi="Book Antiqua" w:cs="SimSun"/>
          <w:color w:val="000000"/>
          <w:sz w:val="24"/>
          <w:szCs w:val="24"/>
          <w:lang w:val="en-US"/>
        </w:rPr>
        <w:t>, Roskams T. Pathogenesis and prognosis of hepatocellular carcinoma at the cellular and molecular levels. </w:t>
      </w:r>
      <w:r w:rsidRPr="00FB2116">
        <w:rPr>
          <w:rFonts w:ascii="Book Antiqua" w:eastAsia="SimSun" w:hAnsi="Book Antiqua" w:cs="SimSun"/>
          <w:i/>
          <w:iCs/>
          <w:color w:val="000000"/>
          <w:sz w:val="24"/>
          <w:szCs w:val="24"/>
          <w:lang w:val="en-US"/>
        </w:rPr>
        <w:t>Clin Liver Dis</w:t>
      </w:r>
      <w:r w:rsidRPr="00FB2116">
        <w:rPr>
          <w:rFonts w:ascii="Book Antiqua" w:eastAsia="SimSun" w:hAnsi="Book Antiqua" w:cs="SimSun"/>
          <w:color w:val="000000"/>
          <w:sz w:val="24"/>
          <w:szCs w:val="24"/>
          <w:lang w:val="en-US"/>
        </w:rPr>
        <w:t> 2015; </w:t>
      </w:r>
      <w:r w:rsidRPr="00FB2116">
        <w:rPr>
          <w:rFonts w:ascii="Book Antiqua" w:eastAsia="SimSun" w:hAnsi="Book Antiqua" w:cs="SimSun"/>
          <w:b/>
          <w:bCs/>
          <w:color w:val="000000"/>
          <w:sz w:val="24"/>
          <w:szCs w:val="24"/>
          <w:lang w:val="en-US"/>
        </w:rPr>
        <w:t>19</w:t>
      </w:r>
      <w:r w:rsidRPr="00FB2116">
        <w:rPr>
          <w:rFonts w:ascii="Book Antiqua" w:eastAsia="SimSun" w:hAnsi="Book Antiqua" w:cs="SimSun"/>
          <w:color w:val="000000"/>
          <w:sz w:val="24"/>
          <w:szCs w:val="24"/>
          <w:lang w:val="en-US"/>
        </w:rPr>
        <w:t>: 261-276 [PMID: 25921662 DOI: 10.1016/j.cld.2015.01.002]</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28 </w:t>
      </w:r>
      <w:r w:rsidRPr="00FB2116">
        <w:rPr>
          <w:rFonts w:ascii="Book Antiqua" w:eastAsia="SimSun" w:hAnsi="Book Antiqua" w:cs="SimSun"/>
          <w:b/>
          <w:bCs/>
          <w:color w:val="000000"/>
          <w:sz w:val="24"/>
          <w:szCs w:val="24"/>
          <w:lang w:val="en-US"/>
        </w:rPr>
        <w:t>Schmitt-Graeff A</w:t>
      </w:r>
      <w:r w:rsidRPr="00FB2116">
        <w:rPr>
          <w:rFonts w:ascii="Book Antiqua" w:eastAsia="SimSun" w:hAnsi="Book Antiqua" w:cs="SimSun"/>
          <w:color w:val="000000"/>
          <w:sz w:val="24"/>
          <w:szCs w:val="24"/>
          <w:lang w:val="en-US"/>
        </w:rPr>
        <w:t xml:space="preserve">, Ertelt-Heitzmann V, Allgaier HP, Olschewski M, Nitschke R, Haxelmans S, Koelble K, Behrens J, Blum HE. Coordinated expression of cyclin D1 </w:t>
      </w:r>
      <w:r w:rsidRPr="00FB2116">
        <w:rPr>
          <w:rFonts w:ascii="Book Antiqua" w:eastAsia="SimSun" w:hAnsi="Book Antiqua" w:cs="SimSun"/>
          <w:color w:val="000000"/>
          <w:sz w:val="24"/>
          <w:szCs w:val="24"/>
          <w:lang w:val="en-US"/>
        </w:rPr>
        <w:lastRenderedPageBreak/>
        <w:t>and LEF-1/TCF transcription factor is restricted to a subset of hepatocellular carcinoma. </w:t>
      </w:r>
      <w:r w:rsidRPr="00FB2116">
        <w:rPr>
          <w:rFonts w:ascii="Book Antiqua" w:eastAsia="SimSun" w:hAnsi="Book Antiqua" w:cs="SimSun"/>
          <w:i/>
          <w:iCs/>
          <w:color w:val="000000"/>
          <w:sz w:val="24"/>
          <w:szCs w:val="24"/>
          <w:lang w:val="en-US"/>
        </w:rPr>
        <w:t>Liver Int</w:t>
      </w:r>
      <w:r w:rsidRPr="00FB2116">
        <w:rPr>
          <w:rFonts w:ascii="Book Antiqua" w:eastAsia="SimSun" w:hAnsi="Book Antiqua" w:cs="SimSun"/>
          <w:color w:val="000000"/>
          <w:sz w:val="24"/>
          <w:szCs w:val="24"/>
          <w:lang w:val="en-US"/>
        </w:rPr>
        <w:t> 2005; </w:t>
      </w:r>
      <w:r w:rsidRPr="00FB2116">
        <w:rPr>
          <w:rFonts w:ascii="Book Antiqua" w:eastAsia="SimSun" w:hAnsi="Book Antiqua" w:cs="SimSun"/>
          <w:b/>
          <w:bCs/>
          <w:color w:val="000000"/>
          <w:sz w:val="24"/>
          <w:szCs w:val="24"/>
          <w:lang w:val="en-US"/>
        </w:rPr>
        <w:t>25</w:t>
      </w:r>
      <w:r w:rsidRPr="00FB2116">
        <w:rPr>
          <w:rFonts w:ascii="Book Antiqua" w:eastAsia="SimSun" w:hAnsi="Book Antiqua" w:cs="SimSun"/>
          <w:color w:val="000000"/>
          <w:sz w:val="24"/>
          <w:szCs w:val="24"/>
          <w:lang w:val="en-US"/>
        </w:rPr>
        <w:t>: 839-847 [PMID: 15998435 DOI: 10.1111/j.1478-3231.2005.01069.x]</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29 </w:t>
      </w:r>
      <w:r w:rsidRPr="00FB2116">
        <w:rPr>
          <w:rFonts w:ascii="Book Antiqua" w:eastAsia="SimSun" w:hAnsi="Book Antiqua" w:cs="SimSun"/>
          <w:b/>
          <w:bCs/>
          <w:color w:val="000000"/>
          <w:sz w:val="24"/>
          <w:szCs w:val="24"/>
          <w:lang w:val="en-US"/>
        </w:rPr>
        <w:t>Prange W</w:t>
      </w:r>
      <w:r w:rsidRPr="00FB2116">
        <w:rPr>
          <w:rFonts w:ascii="Book Antiqua" w:eastAsia="SimSun" w:hAnsi="Book Antiqua" w:cs="SimSun"/>
          <w:color w:val="000000"/>
          <w:sz w:val="24"/>
          <w:szCs w:val="24"/>
          <w:lang w:val="en-US"/>
        </w:rPr>
        <w:t>, Breuhahn K, Fischer F, Zilkens C, Pietsch T, Petmecky K, Eilers R, Dienes HP, Schirmacher P. Beta-catenin accumulation in the progression of human hepatocarcinogenesis correlates with loss of E-cadherin and accumulation of p53, but not with expression of conventional WNT-1 target genes. </w:t>
      </w:r>
      <w:r w:rsidRPr="00FB2116">
        <w:rPr>
          <w:rFonts w:ascii="Book Antiqua" w:eastAsia="SimSun" w:hAnsi="Book Antiqua" w:cs="SimSun"/>
          <w:i/>
          <w:iCs/>
          <w:color w:val="000000"/>
          <w:sz w:val="24"/>
          <w:szCs w:val="24"/>
          <w:lang w:val="en-US"/>
        </w:rPr>
        <w:t>J Pathol</w:t>
      </w:r>
      <w:r w:rsidRPr="00FB2116">
        <w:rPr>
          <w:rFonts w:ascii="Book Antiqua" w:eastAsia="SimSun" w:hAnsi="Book Antiqua" w:cs="SimSun"/>
          <w:color w:val="000000"/>
          <w:sz w:val="24"/>
          <w:szCs w:val="24"/>
          <w:lang w:val="en-US"/>
        </w:rPr>
        <w:t> 2003; </w:t>
      </w:r>
      <w:r w:rsidRPr="00FB2116">
        <w:rPr>
          <w:rFonts w:ascii="Book Antiqua" w:eastAsia="SimSun" w:hAnsi="Book Antiqua" w:cs="SimSun"/>
          <w:b/>
          <w:bCs/>
          <w:color w:val="000000"/>
          <w:sz w:val="24"/>
          <w:szCs w:val="24"/>
          <w:lang w:val="en-US"/>
        </w:rPr>
        <w:t>201</w:t>
      </w:r>
      <w:r w:rsidRPr="00FB2116">
        <w:rPr>
          <w:rFonts w:ascii="Book Antiqua" w:eastAsia="SimSun" w:hAnsi="Book Antiqua" w:cs="SimSun"/>
          <w:color w:val="000000"/>
          <w:sz w:val="24"/>
          <w:szCs w:val="24"/>
          <w:lang w:val="en-US"/>
        </w:rPr>
        <w:t>: 250-259 [PMID: 14517842 DOI: 10.1002/path.1448]</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30 </w:t>
      </w:r>
      <w:r w:rsidRPr="00FB2116">
        <w:rPr>
          <w:rFonts w:ascii="Book Antiqua" w:eastAsia="SimSun" w:hAnsi="Book Antiqua" w:cs="SimSun"/>
          <w:b/>
          <w:bCs/>
          <w:color w:val="000000"/>
          <w:sz w:val="24"/>
          <w:szCs w:val="24"/>
          <w:lang w:val="en-US"/>
        </w:rPr>
        <w:t>Joo M</w:t>
      </w:r>
      <w:r w:rsidRPr="00FB2116">
        <w:rPr>
          <w:rFonts w:ascii="Book Antiqua" w:eastAsia="SimSun" w:hAnsi="Book Antiqua" w:cs="SimSun"/>
          <w:color w:val="000000"/>
          <w:sz w:val="24"/>
          <w:szCs w:val="24"/>
          <w:lang w:val="en-US"/>
        </w:rPr>
        <w:t>, Lee HK, Kang YK. Expression of beta-catenin in hepatocellular carcinoma in relation to tumor cell proliferation and cyclin D1 expression. </w:t>
      </w:r>
      <w:r w:rsidRPr="00FB2116">
        <w:rPr>
          <w:rFonts w:ascii="Book Antiqua" w:eastAsia="SimSun" w:hAnsi="Book Antiqua" w:cs="SimSun"/>
          <w:i/>
          <w:iCs/>
          <w:color w:val="000000"/>
          <w:sz w:val="24"/>
          <w:szCs w:val="24"/>
          <w:lang w:val="en-US"/>
        </w:rPr>
        <w:t>J Korean Med Sci</w:t>
      </w:r>
      <w:r w:rsidRPr="00FB2116">
        <w:rPr>
          <w:rFonts w:ascii="Book Antiqua" w:eastAsia="SimSun" w:hAnsi="Book Antiqua" w:cs="SimSun"/>
          <w:color w:val="000000"/>
          <w:sz w:val="24"/>
          <w:szCs w:val="24"/>
          <w:lang w:val="en-US"/>
        </w:rPr>
        <w:t> 2003; </w:t>
      </w:r>
      <w:r w:rsidRPr="00FB2116">
        <w:rPr>
          <w:rFonts w:ascii="Book Antiqua" w:eastAsia="SimSun" w:hAnsi="Book Antiqua" w:cs="SimSun"/>
          <w:b/>
          <w:bCs/>
          <w:color w:val="000000"/>
          <w:sz w:val="24"/>
          <w:szCs w:val="24"/>
          <w:lang w:val="en-US"/>
        </w:rPr>
        <w:t>18</w:t>
      </w:r>
      <w:r w:rsidRPr="00FB2116">
        <w:rPr>
          <w:rFonts w:ascii="Book Antiqua" w:eastAsia="SimSun" w:hAnsi="Book Antiqua" w:cs="SimSun"/>
          <w:color w:val="000000"/>
          <w:sz w:val="24"/>
          <w:szCs w:val="24"/>
          <w:lang w:val="en-US"/>
        </w:rPr>
        <w:t>: 211-217 [PMID: 12692418]</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31 </w:t>
      </w:r>
      <w:r w:rsidRPr="00FB2116">
        <w:rPr>
          <w:rFonts w:ascii="Book Antiqua" w:eastAsia="SimSun" w:hAnsi="Book Antiqua" w:cs="SimSun"/>
          <w:b/>
          <w:bCs/>
          <w:color w:val="000000"/>
          <w:sz w:val="24"/>
          <w:szCs w:val="24"/>
          <w:lang w:val="en-US"/>
        </w:rPr>
        <w:t>Schmitz KJ</w:t>
      </w:r>
      <w:r w:rsidRPr="00FB2116">
        <w:rPr>
          <w:rFonts w:ascii="Book Antiqua" w:eastAsia="SimSun" w:hAnsi="Book Antiqua" w:cs="SimSun"/>
          <w:color w:val="000000"/>
          <w:sz w:val="24"/>
          <w:szCs w:val="24"/>
          <w:lang w:val="en-US"/>
        </w:rPr>
        <w:t>, Wohlschlaeger J, Lang H, Sotiropoulos GC, Malago M, Steveling K, Reis H, Cicinnati VR, Schmid KW, Baba HA. Activation of the ERK and AKT signalling pathway predicts poor prognosis in hepatocellular carcinoma and ERK activation in cancer tissue is associated with hepatitis C virus infection. </w:t>
      </w:r>
      <w:r w:rsidRPr="00FB2116">
        <w:rPr>
          <w:rFonts w:ascii="Book Antiqua" w:eastAsia="SimSun" w:hAnsi="Book Antiqua" w:cs="SimSun"/>
          <w:i/>
          <w:iCs/>
          <w:color w:val="000000"/>
          <w:sz w:val="24"/>
          <w:szCs w:val="24"/>
          <w:lang w:val="en-US"/>
        </w:rPr>
        <w:t>J Hepatol</w:t>
      </w:r>
      <w:r w:rsidRPr="00FB2116">
        <w:rPr>
          <w:rFonts w:ascii="Book Antiqua" w:eastAsia="SimSun" w:hAnsi="Book Antiqua" w:cs="SimSun"/>
          <w:color w:val="000000"/>
          <w:sz w:val="24"/>
          <w:szCs w:val="24"/>
          <w:lang w:val="en-US"/>
        </w:rPr>
        <w:t> 2008; </w:t>
      </w:r>
      <w:r w:rsidRPr="00FB2116">
        <w:rPr>
          <w:rFonts w:ascii="Book Antiqua" w:eastAsia="SimSun" w:hAnsi="Book Antiqua" w:cs="SimSun"/>
          <w:b/>
          <w:bCs/>
          <w:color w:val="000000"/>
          <w:sz w:val="24"/>
          <w:szCs w:val="24"/>
          <w:lang w:val="en-US"/>
        </w:rPr>
        <w:t>48</w:t>
      </w:r>
      <w:r w:rsidRPr="00FB2116">
        <w:rPr>
          <w:rFonts w:ascii="Book Antiqua" w:eastAsia="SimSun" w:hAnsi="Book Antiqua" w:cs="SimSun"/>
          <w:color w:val="000000"/>
          <w:sz w:val="24"/>
          <w:szCs w:val="24"/>
          <w:lang w:val="en-US"/>
        </w:rPr>
        <w:t>: 83-90 [PMID: 17998146 DOI: 10.1016/j.jhep.2007.08.018]</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32 </w:t>
      </w:r>
      <w:r w:rsidRPr="00FB2116">
        <w:rPr>
          <w:rFonts w:ascii="Book Antiqua" w:eastAsia="SimSun" w:hAnsi="Book Antiqua" w:cs="SimSun"/>
          <w:b/>
          <w:bCs/>
          <w:color w:val="000000"/>
          <w:sz w:val="24"/>
          <w:szCs w:val="24"/>
          <w:lang w:val="en-US"/>
        </w:rPr>
        <w:t>Lin ZH</w:t>
      </w:r>
      <w:r w:rsidRPr="00FB2116">
        <w:rPr>
          <w:rFonts w:ascii="Book Antiqua" w:eastAsia="SimSun" w:hAnsi="Book Antiqua" w:cs="SimSun"/>
          <w:color w:val="000000"/>
          <w:sz w:val="24"/>
          <w:szCs w:val="24"/>
          <w:lang w:val="en-US"/>
        </w:rPr>
        <w:t>, Wang L, Zhang JB, Liu Y, Li XQ, Guo L, Zhang B, Zhu WW, Ye QH. MST4 promotes hepatocellular carcinoma epithelial-mesenchymal transition and metastasis via activation of the p-ERK pathway. </w:t>
      </w:r>
      <w:r w:rsidRPr="00FB2116">
        <w:rPr>
          <w:rFonts w:ascii="Book Antiqua" w:eastAsia="SimSun" w:hAnsi="Book Antiqua" w:cs="SimSun"/>
          <w:i/>
          <w:iCs/>
          <w:color w:val="000000"/>
          <w:sz w:val="24"/>
          <w:szCs w:val="24"/>
          <w:lang w:val="en-US"/>
        </w:rPr>
        <w:t>Int J Oncol</w:t>
      </w:r>
      <w:r w:rsidRPr="00FB2116">
        <w:rPr>
          <w:rFonts w:ascii="Book Antiqua" w:eastAsia="SimSun" w:hAnsi="Book Antiqua" w:cs="SimSun"/>
          <w:color w:val="000000"/>
          <w:sz w:val="24"/>
          <w:szCs w:val="24"/>
          <w:lang w:val="en-US"/>
        </w:rPr>
        <w:t> 2014; </w:t>
      </w:r>
      <w:r w:rsidRPr="00FB2116">
        <w:rPr>
          <w:rFonts w:ascii="Book Antiqua" w:eastAsia="SimSun" w:hAnsi="Book Antiqua" w:cs="SimSun"/>
          <w:b/>
          <w:bCs/>
          <w:color w:val="000000"/>
          <w:sz w:val="24"/>
          <w:szCs w:val="24"/>
          <w:lang w:val="en-US"/>
        </w:rPr>
        <w:t>45</w:t>
      </w:r>
      <w:r w:rsidRPr="00FB2116">
        <w:rPr>
          <w:rFonts w:ascii="Book Antiqua" w:eastAsia="SimSun" w:hAnsi="Book Antiqua" w:cs="SimSun"/>
          <w:color w:val="000000"/>
          <w:sz w:val="24"/>
          <w:szCs w:val="24"/>
          <w:lang w:val="en-US"/>
        </w:rPr>
        <w:t>: 629-640 [PMID: 24859810 DOI: 10.3892/ijo.2014.2455]</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33 </w:t>
      </w:r>
      <w:r w:rsidRPr="00FB2116">
        <w:rPr>
          <w:rFonts w:ascii="Book Antiqua" w:eastAsia="SimSun" w:hAnsi="Book Antiqua" w:cs="SimSun"/>
          <w:b/>
          <w:bCs/>
          <w:color w:val="000000"/>
          <w:sz w:val="24"/>
          <w:szCs w:val="24"/>
          <w:lang w:val="en-US"/>
        </w:rPr>
        <w:t>Guégan JP</w:t>
      </w:r>
      <w:r w:rsidRPr="00FB2116">
        <w:rPr>
          <w:rFonts w:ascii="Book Antiqua" w:eastAsia="SimSun" w:hAnsi="Book Antiqua" w:cs="SimSun"/>
          <w:color w:val="000000"/>
          <w:sz w:val="24"/>
          <w:szCs w:val="24"/>
          <w:lang w:val="en-US"/>
        </w:rPr>
        <w:t>, Frémin C, Baffet G. The MAPK MEK1/2-ERK1/2 Pathway and Its Implication in Hepatocyte Cell Cycle Control. </w:t>
      </w:r>
      <w:r w:rsidRPr="00FB2116">
        <w:rPr>
          <w:rFonts w:ascii="Book Antiqua" w:eastAsia="SimSun" w:hAnsi="Book Antiqua" w:cs="SimSun"/>
          <w:i/>
          <w:iCs/>
          <w:color w:val="000000"/>
          <w:sz w:val="24"/>
          <w:szCs w:val="24"/>
          <w:lang w:val="en-US"/>
        </w:rPr>
        <w:t>Int J Hepatol</w:t>
      </w:r>
      <w:r w:rsidRPr="00FB2116">
        <w:rPr>
          <w:rFonts w:ascii="Book Antiqua" w:eastAsia="SimSun" w:hAnsi="Book Antiqua" w:cs="SimSun"/>
          <w:color w:val="000000"/>
          <w:sz w:val="24"/>
          <w:szCs w:val="24"/>
          <w:lang w:val="en-US"/>
        </w:rPr>
        <w:t> 2012; </w:t>
      </w:r>
      <w:r w:rsidRPr="00FB2116">
        <w:rPr>
          <w:rFonts w:ascii="Book Antiqua" w:eastAsia="SimSun" w:hAnsi="Book Antiqua" w:cs="SimSun"/>
          <w:b/>
          <w:bCs/>
          <w:color w:val="000000"/>
          <w:sz w:val="24"/>
          <w:szCs w:val="24"/>
          <w:lang w:val="en-US"/>
        </w:rPr>
        <w:t>2012</w:t>
      </w:r>
      <w:r w:rsidRPr="00FB2116">
        <w:rPr>
          <w:rFonts w:ascii="Book Antiqua" w:eastAsia="SimSun" w:hAnsi="Book Antiqua" w:cs="SimSun"/>
          <w:color w:val="000000"/>
          <w:sz w:val="24"/>
          <w:szCs w:val="24"/>
          <w:lang w:val="en-US"/>
        </w:rPr>
        <w:t>: 328372 [PMID: 23133759 DOI: 10.1155/2012/328372]</w:t>
      </w:r>
    </w:p>
    <w:p w:rsidR="00C232D0" w:rsidRPr="00FB2116" w:rsidRDefault="00C232D0" w:rsidP="0086477D">
      <w:pPr>
        <w:adjustRightInd w:val="0"/>
        <w:snapToGrid w:val="0"/>
        <w:spacing w:after="0" w:line="360" w:lineRule="auto"/>
        <w:jc w:val="both"/>
        <w:rPr>
          <w:rFonts w:ascii="Book Antiqua" w:eastAsia="SimSun" w:hAnsi="Book Antiqua" w:cs="SimSun"/>
          <w:color w:val="000000"/>
          <w:sz w:val="24"/>
          <w:szCs w:val="24"/>
          <w:lang w:val="en-US"/>
        </w:rPr>
      </w:pPr>
      <w:r w:rsidRPr="00FB2116">
        <w:rPr>
          <w:rFonts w:ascii="Book Antiqua" w:eastAsia="SimSun" w:hAnsi="Book Antiqua" w:cs="SimSun"/>
          <w:color w:val="000000"/>
          <w:sz w:val="24"/>
          <w:szCs w:val="24"/>
          <w:lang w:val="en-US"/>
        </w:rPr>
        <w:t>34 </w:t>
      </w:r>
      <w:r w:rsidRPr="00FB2116">
        <w:rPr>
          <w:rFonts w:ascii="Book Antiqua" w:eastAsia="SimSun" w:hAnsi="Book Antiqua" w:cs="SimSun"/>
          <w:b/>
          <w:bCs/>
          <w:color w:val="000000"/>
          <w:sz w:val="24"/>
          <w:szCs w:val="24"/>
          <w:lang w:val="en-US"/>
        </w:rPr>
        <w:t>Alves VA</w:t>
      </w:r>
      <w:r w:rsidRPr="00FB2116">
        <w:rPr>
          <w:rFonts w:ascii="Book Antiqua" w:eastAsia="SimSun" w:hAnsi="Book Antiqua" w:cs="SimSun"/>
          <w:color w:val="000000"/>
          <w:sz w:val="24"/>
          <w:szCs w:val="24"/>
          <w:lang w:val="en-US"/>
        </w:rPr>
        <w:t>, Pinheiro C, Morais-Santos F, Felipe-Silva A, Longatto-Filho A, Baltazar F. Characterization of monocarboxylate transporter activity in hepatocellular carcinoma. </w:t>
      </w:r>
      <w:r w:rsidRPr="00FB2116">
        <w:rPr>
          <w:rFonts w:ascii="Book Antiqua" w:eastAsia="SimSun" w:hAnsi="Book Antiqua" w:cs="SimSun"/>
          <w:i/>
          <w:iCs/>
          <w:color w:val="000000"/>
          <w:sz w:val="24"/>
          <w:szCs w:val="24"/>
          <w:lang w:val="en-US"/>
        </w:rPr>
        <w:t>World J Gastroenterol</w:t>
      </w:r>
      <w:r w:rsidRPr="00FB2116">
        <w:rPr>
          <w:rFonts w:ascii="Book Antiqua" w:eastAsia="SimSun" w:hAnsi="Book Antiqua" w:cs="SimSun"/>
          <w:color w:val="000000"/>
          <w:sz w:val="24"/>
          <w:szCs w:val="24"/>
          <w:lang w:val="en-US"/>
        </w:rPr>
        <w:t> 2014; </w:t>
      </w:r>
      <w:r w:rsidRPr="00FB2116">
        <w:rPr>
          <w:rFonts w:ascii="Book Antiqua" w:eastAsia="SimSun" w:hAnsi="Book Antiqua" w:cs="SimSun"/>
          <w:b/>
          <w:bCs/>
          <w:color w:val="000000"/>
          <w:sz w:val="24"/>
          <w:szCs w:val="24"/>
          <w:lang w:val="en-US"/>
        </w:rPr>
        <w:t>20</w:t>
      </w:r>
      <w:r w:rsidRPr="00FB2116">
        <w:rPr>
          <w:rFonts w:ascii="Book Antiqua" w:eastAsia="SimSun" w:hAnsi="Book Antiqua" w:cs="SimSun"/>
          <w:color w:val="000000"/>
          <w:sz w:val="24"/>
          <w:szCs w:val="24"/>
          <w:lang w:val="en-US"/>
        </w:rPr>
        <w:t>: 11780-11787 [PMID: 25206282 DOI: 10.3748/wjg.v20.i33.11780]</w:t>
      </w:r>
    </w:p>
    <w:p w:rsidR="00C232D0" w:rsidRPr="003310E2" w:rsidRDefault="00C232D0" w:rsidP="0086477D">
      <w:pPr>
        <w:adjustRightInd w:val="0"/>
        <w:snapToGrid w:val="0"/>
        <w:spacing w:after="0" w:line="360" w:lineRule="auto"/>
        <w:jc w:val="both"/>
        <w:rPr>
          <w:rFonts w:ascii="Book Antiqua" w:hAnsi="Book Antiqua"/>
          <w:sz w:val="24"/>
          <w:szCs w:val="24"/>
          <w:lang w:val="en-US"/>
        </w:rPr>
      </w:pPr>
      <w:r w:rsidRPr="00FB2116">
        <w:rPr>
          <w:rFonts w:ascii="Book Antiqua" w:hAnsi="Book Antiqua"/>
          <w:color w:val="000000"/>
          <w:sz w:val="24"/>
          <w:szCs w:val="24"/>
          <w:lang w:val="en-US"/>
        </w:rPr>
        <w:t>35</w:t>
      </w:r>
      <w:r w:rsidRPr="00FB2116">
        <w:rPr>
          <w:rStyle w:val="apple-converted-space"/>
          <w:rFonts w:ascii="Book Antiqua" w:hAnsi="Book Antiqua"/>
          <w:color w:val="000000"/>
          <w:sz w:val="24"/>
          <w:szCs w:val="24"/>
          <w:lang w:val="en-US"/>
        </w:rPr>
        <w:t> </w:t>
      </w:r>
      <w:r w:rsidRPr="00FB2116">
        <w:rPr>
          <w:rFonts w:ascii="Book Antiqua" w:hAnsi="Book Antiqua"/>
          <w:b/>
          <w:bCs/>
          <w:color w:val="000000"/>
          <w:sz w:val="24"/>
          <w:szCs w:val="24"/>
          <w:lang w:val="en-US"/>
        </w:rPr>
        <w:t>Tan PS</w:t>
      </w:r>
      <w:r w:rsidRPr="00FB2116">
        <w:rPr>
          <w:rFonts w:ascii="Book Antiqua" w:hAnsi="Book Antiqua"/>
          <w:color w:val="000000"/>
          <w:sz w:val="24"/>
          <w:szCs w:val="24"/>
          <w:lang w:val="en-US"/>
        </w:rPr>
        <w:t xml:space="preserve">, Nakagawa S, Goossens N, Venkatesh A, Huang T, Ward SC, Sun X, Song WM, Koh A, Canasto-Chibuque C, Deshmukh M, Nair V, Mahajan M, Zhang </w:t>
      </w:r>
      <w:r w:rsidRPr="00FB2116">
        <w:rPr>
          <w:rFonts w:ascii="Book Antiqua" w:hAnsi="Book Antiqua"/>
          <w:color w:val="000000"/>
          <w:sz w:val="24"/>
          <w:szCs w:val="24"/>
          <w:lang w:val="en-US"/>
        </w:rPr>
        <w:lastRenderedPageBreak/>
        <w:t>B, Fiel MI, Kobayashi M, Kumada H, Hoshida Y. Clinicopathological indices to predict hepatocellular carcinoma molecular classification.</w:t>
      </w:r>
      <w:r w:rsidRPr="00FB2116">
        <w:rPr>
          <w:rStyle w:val="apple-converted-space"/>
          <w:rFonts w:ascii="Book Antiqua" w:hAnsi="Book Antiqua"/>
          <w:color w:val="000000"/>
          <w:sz w:val="24"/>
          <w:szCs w:val="24"/>
          <w:lang w:val="en-US"/>
        </w:rPr>
        <w:t> </w:t>
      </w:r>
      <w:r w:rsidRPr="003310E2">
        <w:rPr>
          <w:rFonts w:ascii="Book Antiqua" w:hAnsi="Book Antiqua"/>
          <w:i/>
          <w:iCs/>
          <w:color w:val="000000"/>
          <w:sz w:val="24"/>
          <w:szCs w:val="24"/>
        </w:rPr>
        <w:t>Liver Int</w:t>
      </w:r>
      <w:r w:rsidRPr="003310E2">
        <w:rPr>
          <w:rStyle w:val="apple-converted-space"/>
          <w:rFonts w:ascii="Book Antiqua" w:hAnsi="Book Antiqua"/>
          <w:color w:val="000000"/>
          <w:sz w:val="24"/>
          <w:szCs w:val="24"/>
        </w:rPr>
        <w:t> </w:t>
      </w:r>
      <w:r w:rsidRPr="003310E2">
        <w:rPr>
          <w:rFonts w:ascii="Book Antiqua" w:hAnsi="Book Antiqua"/>
          <w:color w:val="000000"/>
          <w:sz w:val="24"/>
          <w:szCs w:val="24"/>
        </w:rPr>
        <w:t>2016;</w:t>
      </w:r>
      <w:r w:rsidRPr="003310E2">
        <w:rPr>
          <w:rStyle w:val="apple-converted-space"/>
          <w:rFonts w:ascii="Book Antiqua" w:hAnsi="Book Antiqua"/>
          <w:color w:val="000000"/>
          <w:sz w:val="24"/>
          <w:szCs w:val="24"/>
        </w:rPr>
        <w:t> </w:t>
      </w:r>
      <w:r w:rsidRPr="003310E2">
        <w:rPr>
          <w:rFonts w:ascii="Book Antiqua" w:hAnsi="Book Antiqua"/>
          <w:b/>
          <w:bCs/>
          <w:color w:val="000000"/>
          <w:sz w:val="24"/>
          <w:szCs w:val="24"/>
        </w:rPr>
        <w:t>36</w:t>
      </w:r>
      <w:r w:rsidRPr="003310E2">
        <w:rPr>
          <w:rFonts w:ascii="Book Antiqua" w:hAnsi="Book Antiqua"/>
          <w:color w:val="000000"/>
          <w:sz w:val="24"/>
          <w:szCs w:val="24"/>
        </w:rPr>
        <w:t>: 108-118 [PMID: 26058462 DOI: 10.1111/liv.12889]</w:t>
      </w:r>
    </w:p>
    <w:p w:rsidR="00C232D0" w:rsidRPr="003310E2" w:rsidRDefault="00C232D0" w:rsidP="003B0F97">
      <w:pPr>
        <w:adjustRightInd w:val="0"/>
        <w:snapToGrid w:val="0"/>
        <w:spacing w:after="0" w:line="360" w:lineRule="auto"/>
        <w:jc w:val="both"/>
        <w:rPr>
          <w:rFonts w:ascii="Book Antiqua" w:hAnsi="Book Antiqua" w:cs="Times New Roman"/>
          <w:b/>
          <w:sz w:val="24"/>
          <w:szCs w:val="24"/>
          <w:lang w:val="en-US" w:eastAsia="zh-CN"/>
        </w:rPr>
      </w:pPr>
    </w:p>
    <w:p w:rsidR="00C232D0" w:rsidRPr="003310E2" w:rsidRDefault="00C232D0" w:rsidP="003B0F97">
      <w:pPr>
        <w:adjustRightInd w:val="0"/>
        <w:snapToGrid w:val="0"/>
        <w:spacing w:after="0" w:line="360" w:lineRule="auto"/>
        <w:jc w:val="right"/>
        <w:rPr>
          <w:rFonts w:ascii="Book Antiqua" w:hAnsi="Book Antiqua"/>
          <w:b/>
          <w:bCs/>
          <w:sz w:val="24"/>
          <w:szCs w:val="24"/>
        </w:rPr>
      </w:pPr>
      <w:r w:rsidRPr="003310E2">
        <w:rPr>
          <w:rFonts w:ascii="Book Antiqua" w:hAnsi="Book Antiqua"/>
          <w:b/>
          <w:bCs/>
          <w:sz w:val="24"/>
          <w:szCs w:val="24"/>
        </w:rPr>
        <w:t xml:space="preserve">P-Reviewer: </w:t>
      </w:r>
      <w:r w:rsidRPr="003310E2">
        <w:rPr>
          <w:rFonts w:ascii="Book Antiqua" w:hAnsi="Book Antiqua"/>
          <w:bCs/>
          <w:sz w:val="24"/>
          <w:szCs w:val="24"/>
        </w:rPr>
        <w:t>Niu</w:t>
      </w:r>
      <w:r w:rsidRPr="003310E2">
        <w:rPr>
          <w:rFonts w:ascii="Book Antiqua" w:hAnsi="Book Antiqua"/>
          <w:bCs/>
          <w:sz w:val="24"/>
          <w:szCs w:val="24"/>
          <w:lang w:eastAsia="zh-CN"/>
        </w:rPr>
        <w:t xml:space="preserve"> </w:t>
      </w:r>
      <w:r w:rsidRPr="003310E2">
        <w:rPr>
          <w:rFonts w:ascii="Book Antiqua" w:hAnsi="Book Antiqua"/>
          <w:bCs/>
          <w:caps/>
          <w:sz w:val="24"/>
          <w:szCs w:val="24"/>
          <w:lang w:eastAsia="zh-CN"/>
        </w:rPr>
        <w:t>zs,</w:t>
      </w:r>
      <w:r w:rsidRPr="003310E2">
        <w:rPr>
          <w:rFonts w:ascii="Book Antiqua" w:hAnsi="Book Antiqua"/>
          <w:bCs/>
          <w:sz w:val="24"/>
          <w:szCs w:val="24"/>
        </w:rPr>
        <w:t xml:space="preserve"> Peng</w:t>
      </w:r>
      <w:r w:rsidRPr="003310E2">
        <w:rPr>
          <w:rFonts w:ascii="Book Antiqua" w:hAnsi="Book Antiqua"/>
          <w:bCs/>
          <w:sz w:val="24"/>
          <w:szCs w:val="24"/>
          <w:lang w:eastAsia="zh-CN"/>
        </w:rPr>
        <w:t xml:space="preserve"> SY</w:t>
      </w:r>
      <w:r w:rsidRPr="003310E2">
        <w:rPr>
          <w:rFonts w:ascii="Book Antiqua" w:hAnsi="Book Antiqua"/>
          <w:b/>
          <w:bCs/>
          <w:sz w:val="24"/>
          <w:szCs w:val="24"/>
        </w:rPr>
        <w:t xml:space="preserve"> S-Editor:</w:t>
      </w:r>
      <w:r w:rsidRPr="003310E2">
        <w:rPr>
          <w:rFonts w:ascii="Book Antiqua" w:hAnsi="Book Antiqua"/>
          <w:sz w:val="24"/>
          <w:szCs w:val="24"/>
        </w:rPr>
        <w:t xml:space="preserve"> Ma YJ </w:t>
      </w:r>
      <w:r w:rsidRPr="003310E2">
        <w:rPr>
          <w:rFonts w:ascii="Book Antiqua" w:hAnsi="Book Antiqua"/>
          <w:b/>
          <w:bCs/>
          <w:sz w:val="24"/>
          <w:szCs w:val="24"/>
        </w:rPr>
        <w:t>L-Editor:</w:t>
      </w:r>
      <w:r w:rsidRPr="003310E2">
        <w:rPr>
          <w:rFonts w:ascii="Book Antiqua" w:hAnsi="Book Antiqua"/>
          <w:sz w:val="24"/>
          <w:szCs w:val="24"/>
        </w:rPr>
        <w:t xml:space="preserve">   </w:t>
      </w:r>
      <w:r w:rsidRPr="003310E2">
        <w:rPr>
          <w:rFonts w:ascii="Book Antiqua" w:hAnsi="Book Antiqua"/>
          <w:b/>
          <w:bCs/>
          <w:sz w:val="24"/>
          <w:szCs w:val="24"/>
        </w:rPr>
        <w:t>E-Editor:</w:t>
      </w:r>
    </w:p>
    <w:p w:rsidR="00C232D0" w:rsidRPr="003310E2" w:rsidRDefault="00C232D0" w:rsidP="003B0F97">
      <w:pPr>
        <w:shd w:val="clear" w:color="auto" w:fill="FFFFFF"/>
        <w:adjustRightInd w:val="0"/>
        <w:snapToGrid w:val="0"/>
        <w:spacing w:after="0" w:line="360" w:lineRule="auto"/>
        <w:ind w:hanging="284"/>
        <w:jc w:val="right"/>
        <w:rPr>
          <w:rFonts w:ascii="Book Antiqua" w:hAnsi="Book Antiqua"/>
          <w:b/>
          <w:color w:val="000000" w:themeColor="text1"/>
          <w:sz w:val="24"/>
          <w:szCs w:val="24"/>
          <w:lang w:eastAsia="zh-CN"/>
        </w:rPr>
      </w:pPr>
    </w:p>
    <w:p w:rsidR="003C39BE" w:rsidRPr="003310E2" w:rsidRDefault="003C39BE" w:rsidP="003B0F97">
      <w:pPr>
        <w:shd w:val="clear" w:color="auto" w:fill="FFFFFF"/>
        <w:adjustRightInd w:val="0"/>
        <w:snapToGrid w:val="0"/>
        <w:spacing w:after="0" w:line="360" w:lineRule="auto"/>
        <w:ind w:hanging="284"/>
        <w:jc w:val="right"/>
        <w:rPr>
          <w:rFonts w:ascii="Book Antiqua" w:hAnsi="Book Antiqua"/>
          <w:b/>
          <w:color w:val="000000" w:themeColor="text1"/>
          <w:sz w:val="24"/>
          <w:szCs w:val="24"/>
          <w:lang w:val="en-US"/>
        </w:rPr>
      </w:pPr>
      <w:r w:rsidRPr="003310E2">
        <w:rPr>
          <w:rFonts w:ascii="Book Antiqua" w:hAnsi="Book Antiqua"/>
          <w:b/>
          <w:color w:val="000000" w:themeColor="text1"/>
          <w:sz w:val="24"/>
          <w:szCs w:val="24"/>
          <w:lang w:val="en-US"/>
        </w:rPr>
        <w:br w:type="page"/>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noProof/>
          <w:sz w:val="24"/>
          <w:szCs w:val="24"/>
          <w:lang w:val="en-US" w:eastAsia="zh-CN"/>
        </w:rPr>
        <w:lastRenderedPageBreak/>
        <w:drawing>
          <wp:anchor distT="0" distB="0" distL="114300" distR="114300" simplePos="0" relativeHeight="251659264" behindDoc="0" locked="0" layoutInCell="1" allowOverlap="1">
            <wp:simplePos x="0" y="0"/>
            <wp:positionH relativeFrom="column">
              <wp:posOffset>17145</wp:posOffset>
            </wp:positionH>
            <wp:positionV relativeFrom="paragraph">
              <wp:posOffset>273050</wp:posOffset>
            </wp:positionV>
            <wp:extent cx="5641304" cy="6355715"/>
            <wp:effectExtent l="0" t="0" r="0" b="0"/>
            <wp:wrapNone/>
            <wp:docPr id="1" name="Imagem 0" descr="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41304" cy="6355715"/>
                    </a:xfrm>
                    <a:prstGeom prst="rect">
                      <a:avLst/>
                    </a:prstGeom>
                  </pic:spPr>
                </pic:pic>
              </a:graphicData>
            </a:graphic>
          </wp:anchor>
        </w:drawing>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Figure 1 Panel of immunohistochemical markers.</w:t>
      </w:r>
      <w:r w:rsidRPr="003310E2">
        <w:rPr>
          <w:rFonts w:ascii="Book Antiqua" w:hAnsi="Book Antiqua" w:cs="Arial"/>
          <w:sz w:val="24"/>
          <w:szCs w:val="24"/>
          <w:lang w:val="en-US"/>
        </w:rPr>
        <w:t xml:space="preserve"> Ki67 in A: Cirrhosis (low); B: Grade 2 (low); C: Grade 3 (moderate); D: Grade 4 (high). K19 in E: Cirrhosis (negative in hepatocytes); F: Grade 3 (focal); G: Grade 3 (moderate); H: Grade 4 (moderate); p53 in I: Cirrhosis (negative); J: Grade 2 (focal); K: Grade 3 (moderate); L: Grade 3 (diffuse). ERK1 in M: Cirrhosis (negative); N: Grade 2 (weak); O: Grade </w:t>
      </w:r>
      <w:r w:rsidRPr="003310E2">
        <w:rPr>
          <w:rFonts w:ascii="Book Antiqua" w:hAnsi="Book Antiqua" w:cs="Arial"/>
          <w:sz w:val="24"/>
          <w:szCs w:val="24"/>
          <w:lang w:val="en-US"/>
        </w:rPr>
        <w:lastRenderedPageBreak/>
        <w:t>3 (moderate); P: Grade 3 (strong). Beta-catenin in Q: Cirrhosis (strong membrane expression); R: Grade 2 (weak membrane); S: Grade 3 (strong membrane); T: Grade 4 (nuclear expression). ERK2 in U: Cirrhosis (negative in hepatocytes and positive in endothelial cells); V: Grade 2 (negative); W: Grade 3 (moderate); X: Grade 3 (strong). Original magnification 400</w:t>
      </w:r>
      <w:r w:rsidR="00C232D0"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x.</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p w:rsidR="003C39BE" w:rsidRPr="003310E2" w:rsidRDefault="003C39BE" w:rsidP="003B0F97">
      <w:pPr>
        <w:adjustRightInd w:val="0"/>
        <w:snapToGrid w:val="0"/>
        <w:spacing w:after="0" w:line="360" w:lineRule="auto"/>
        <w:rPr>
          <w:rFonts w:ascii="Book Antiqua" w:hAnsi="Book Antiqua" w:cs="Arial"/>
          <w:b/>
          <w:sz w:val="24"/>
          <w:szCs w:val="24"/>
          <w:lang w:val="en-US"/>
        </w:rPr>
      </w:pPr>
      <w:r w:rsidRPr="003310E2">
        <w:rPr>
          <w:rFonts w:ascii="Book Antiqua" w:hAnsi="Book Antiqua" w:cs="Arial"/>
          <w:b/>
          <w:sz w:val="24"/>
          <w:szCs w:val="24"/>
          <w:lang w:val="en-US"/>
        </w:rPr>
        <w:br w:type="page"/>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noProof/>
          <w:sz w:val="24"/>
          <w:szCs w:val="24"/>
          <w:lang w:val="en-US" w:eastAsia="zh-CN"/>
        </w:rPr>
        <w:lastRenderedPageBreak/>
        <w:drawing>
          <wp:anchor distT="0" distB="0" distL="114300" distR="114300" simplePos="0" relativeHeight="251660288" behindDoc="0" locked="0" layoutInCell="1" allowOverlap="1">
            <wp:simplePos x="0" y="0"/>
            <wp:positionH relativeFrom="column">
              <wp:posOffset>17145</wp:posOffset>
            </wp:positionH>
            <wp:positionV relativeFrom="paragraph">
              <wp:posOffset>5080</wp:posOffset>
            </wp:positionV>
            <wp:extent cx="5400040" cy="6084570"/>
            <wp:effectExtent l="0" t="0" r="10160" b="11430"/>
            <wp:wrapNone/>
            <wp:docPr id="2" name="Imagem 1" descr="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6084570"/>
                    </a:xfrm>
                    <a:prstGeom prst="rect">
                      <a:avLst/>
                    </a:prstGeom>
                  </pic:spPr>
                </pic:pic>
              </a:graphicData>
            </a:graphic>
          </wp:anchor>
        </w:drawing>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Figure 2 Panel of immunohistochemical markers</w:t>
      </w:r>
      <w:r w:rsidRPr="003310E2">
        <w:rPr>
          <w:rFonts w:ascii="Book Antiqua" w:hAnsi="Book Antiqua" w:cs="Arial"/>
          <w:sz w:val="24"/>
          <w:szCs w:val="24"/>
          <w:lang w:val="en-US"/>
        </w:rPr>
        <w:t xml:space="preserve">. Vimentin in A: Cirrhosis (negative in hepatocytes and positive in sinusoids); B: Grade 2 (negative in hepatocytes and positive in sinusoids); C: Grade 3 (focally positive); D: Grade 4 (focally positive in small cell component). Cyclin-D1 in E: Cirrhosis (focal); F: Grade 2 (focal); G: Grade 3 (moderate); H: Grade 4 (moderate); mTOR in I: Cirrhosis (focal); J: Grade 2 (negative); K: Metastasis grade 3 (weak); L: Grade 4 (strong). MET in M: Cirrhosis (moderate); N: Grade 2 (weak); O: Grade 3 </w:t>
      </w:r>
      <w:r w:rsidRPr="003310E2">
        <w:rPr>
          <w:rFonts w:ascii="Book Antiqua" w:hAnsi="Book Antiqua" w:cs="Arial"/>
          <w:sz w:val="24"/>
          <w:szCs w:val="24"/>
          <w:lang w:val="en-US"/>
        </w:rPr>
        <w:lastRenderedPageBreak/>
        <w:t>(moderate); P: Grade 3 (negative). EGFR in Q: Cirrhosis (moderate – score 140); R: Grade 2 (score 200); S: Grade 3 (score 60); T: Grade 4 (score 0). Caspase 3 in U: Cirrhosis (moderate); V: Grade 2 (moderate); W: Grade 3 (weak); X: Grade 3 (negative/loss). Original magnification 400</w:t>
      </w:r>
      <w:r w:rsidR="00C232D0" w:rsidRPr="003310E2">
        <w:rPr>
          <w:rFonts w:ascii="Book Antiqua" w:hAnsi="Book Antiqua" w:cs="Arial"/>
          <w:sz w:val="24"/>
          <w:szCs w:val="24"/>
          <w:lang w:val="en-US" w:eastAsia="zh-CN"/>
        </w:rPr>
        <w:t xml:space="preserve"> </w:t>
      </w:r>
      <w:r w:rsidRPr="003310E2">
        <w:rPr>
          <w:rFonts w:ascii="Book Antiqua" w:hAnsi="Book Antiqua" w:cs="Arial"/>
          <w:sz w:val="24"/>
          <w:szCs w:val="24"/>
          <w:lang w:val="en-US"/>
        </w:rPr>
        <w:t>x.</w:t>
      </w: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sectPr w:rsidR="003C39BE" w:rsidRPr="003310E2" w:rsidSect="00C232D0">
          <w:footerReference w:type="default" r:id="rId10"/>
          <w:pgSz w:w="12240" w:h="15840"/>
          <w:pgMar w:top="1417" w:right="1701" w:bottom="1417" w:left="1701" w:header="708" w:footer="708" w:gutter="0"/>
          <w:cols w:space="708"/>
          <w:docGrid w:linePitch="360"/>
        </w:sectPr>
      </w:pPr>
    </w:p>
    <w:p w:rsidR="003C39BE" w:rsidRPr="003310E2" w:rsidRDefault="003C39BE" w:rsidP="003B0F97">
      <w:pPr>
        <w:pStyle w:val="BodyText"/>
        <w:adjustRightInd w:val="0"/>
        <w:snapToGrid w:val="0"/>
        <w:spacing w:line="360" w:lineRule="auto"/>
        <w:rPr>
          <w:rFonts w:ascii="Book Antiqua" w:eastAsia="Calibri" w:hAnsi="Book Antiqua"/>
          <w:lang w:val="en-US"/>
        </w:rPr>
      </w:pPr>
      <w:r w:rsidRPr="003310E2">
        <w:rPr>
          <w:rFonts w:ascii="Book Antiqua" w:eastAsia="Calibri" w:hAnsi="Book Antiqua"/>
          <w:b/>
          <w:lang w:val="en-US"/>
        </w:rPr>
        <w:lastRenderedPageBreak/>
        <w:t>Table 1</w:t>
      </w:r>
      <w:r w:rsidRPr="003310E2">
        <w:rPr>
          <w:rFonts w:ascii="Book Antiqua" w:hAnsi="Book Antiqua"/>
          <w:lang w:val="en-US"/>
        </w:rPr>
        <w:t xml:space="preserve"> </w:t>
      </w:r>
      <w:r w:rsidRPr="003310E2">
        <w:rPr>
          <w:rFonts w:ascii="Book Antiqua" w:hAnsi="Book Antiqua"/>
          <w:b/>
          <w:lang w:val="en-US"/>
        </w:rPr>
        <w:t>Antibodies and immunohistochemistry parameters used in this study</w:t>
      </w:r>
    </w:p>
    <w:tbl>
      <w:tblPr>
        <w:tblStyle w:val="TableGrid"/>
        <w:tblW w:w="50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7"/>
        <w:gridCol w:w="1855"/>
        <w:gridCol w:w="1847"/>
        <w:gridCol w:w="1137"/>
        <w:gridCol w:w="1420"/>
        <w:gridCol w:w="1799"/>
        <w:gridCol w:w="1976"/>
        <w:gridCol w:w="1796"/>
      </w:tblGrid>
      <w:tr w:rsidR="003C39BE" w:rsidRPr="003310E2" w:rsidTr="00C232D0">
        <w:tc>
          <w:tcPr>
            <w:tcW w:w="535"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hAnsi="Book Antiqua"/>
                <w:b/>
                <w:sz w:val="24"/>
                <w:szCs w:val="24"/>
                <w:lang w:val="en-US"/>
              </w:rPr>
              <w:t>Antibody</w:t>
            </w:r>
          </w:p>
        </w:tc>
        <w:tc>
          <w:tcPr>
            <w:tcW w:w="700"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hAnsi="Book Antiqua"/>
                <w:b/>
                <w:sz w:val="24"/>
                <w:szCs w:val="24"/>
                <w:lang w:val="en-US"/>
              </w:rPr>
              <w:t>Manufacturer</w:t>
            </w:r>
          </w:p>
        </w:tc>
        <w:tc>
          <w:tcPr>
            <w:tcW w:w="697"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hAnsi="Book Antiqua"/>
                <w:b/>
                <w:sz w:val="24"/>
                <w:szCs w:val="24"/>
                <w:lang w:val="en-US"/>
              </w:rPr>
              <w:t>Clone</w:t>
            </w:r>
          </w:p>
        </w:tc>
        <w:tc>
          <w:tcPr>
            <w:tcW w:w="429"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hAnsi="Book Antiqua"/>
                <w:b/>
                <w:sz w:val="24"/>
                <w:szCs w:val="24"/>
                <w:lang w:val="en-US"/>
              </w:rPr>
              <w:t>Species</w:t>
            </w:r>
          </w:p>
        </w:tc>
        <w:tc>
          <w:tcPr>
            <w:tcW w:w="536"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hAnsi="Book Antiqua"/>
                <w:b/>
                <w:sz w:val="24"/>
                <w:szCs w:val="24"/>
                <w:lang w:val="en-US"/>
              </w:rPr>
              <w:t>Dilution</w:t>
            </w:r>
          </w:p>
        </w:tc>
        <w:tc>
          <w:tcPr>
            <w:tcW w:w="679"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eastAsiaTheme="minorEastAsia" w:hAnsi="Book Antiqua"/>
                <w:b/>
                <w:sz w:val="24"/>
                <w:szCs w:val="24"/>
                <w:lang w:val="en-US" w:eastAsia="zh-CN"/>
              </w:rPr>
            </w:pPr>
            <w:r w:rsidRPr="003310E2">
              <w:rPr>
                <w:rFonts w:ascii="Book Antiqua" w:hAnsi="Book Antiqua"/>
                <w:b/>
                <w:sz w:val="24"/>
                <w:szCs w:val="24"/>
                <w:lang w:val="en-US"/>
              </w:rPr>
              <w:t>Retrieval</w:t>
            </w:r>
            <w:r w:rsidR="00C232D0" w:rsidRPr="003310E2">
              <w:rPr>
                <w:rFonts w:ascii="Book Antiqua" w:eastAsiaTheme="minorEastAsia" w:hAnsi="Book Antiqua"/>
                <w:b/>
                <w:sz w:val="24"/>
                <w:szCs w:val="24"/>
                <w:vertAlign w:val="superscript"/>
                <w:lang w:val="en-US" w:eastAsia="zh-CN"/>
              </w:rPr>
              <w:t>1</w:t>
            </w:r>
          </w:p>
        </w:tc>
        <w:tc>
          <w:tcPr>
            <w:tcW w:w="746"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b/>
                <w:sz w:val="24"/>
                <w:szCs w:val="24"/>
                <w:lang w:val="en-US"/>
              </w:rPr>
            </w:pPr>
            <w:r w:rsidRPr="003310E2">
              <w:rPr>
                <w:rFonts w:ascii="Book Antiqua" w:hAnsi="Book Antiqua" w:cs="Arial"/>
                <w:b/>
                <w:sz w:val="24"/>
                <w:szCs w:val="24"/>
                <w:lang w:val="en-US"/>
              </w:rPr>
              <w:t>Positive control</w:t>
            </w:r>
          </w:p>
        </w:tc>
        <w:tc>
          <w:tcPr>
            <w:tcW w:w="679" w:type="pct"/>
            <w:tcBorders>
              <w:top w:val="single" w:sz="4" w:space="0" w:color="auto"/>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b/>
                <w:sz w:val="24"/>
                <w:szCs w:val="24"/>
                <w:lang w:val="en-US"/>
              </w:rPr>
            </w:pPr>
            <w:r w:rsidRPr="003310E2">
              <w:rPr>
                <w:rFonts w:ascii="Book Antiqua" w:hAnsi="Book Antiqua" w:cs="Arial"/>
                <w:b/>
                <w:sz w:val="24"/>
                <w:szCs w:val="24"/>
                <w:lang w:val="en-US"/>
              </w:rPr>
              <w:t>Staining pattern</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EGFR PharmDx</w:t>
            </w:r>
            <w:r w:rsidRPr="003310E2">
              <w:rPr>
                <w:rFonts w:ascii="Book Antiqua" w:hAnsi="Book Antiqua" w:cs="Arial"/>
                <w:sz w:val="24"/>
                <w:szCs w:val="24"/>
                <w:lang w:val="en-US"/>
              </w:rPr>
              <w:t xml:space="preserve"> </w:t>
            </w:r>
          </w:p>
        </w:tc>
        <w:tc>
          <w:tcPr>
            <w:tcW w:w="700"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Dako</w:t>
            </w:r>
          </w:p>
        </w:tc>
        <w:tc>
          <w:tcPr>
            <w:tcW w:w="697"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2-18C9</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Pre-diluted</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Proteinase K</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Provided by manufacturer</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Membrane</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Ki67 Ag</w:t>
            </w:r>
          </w:p>
        </w:tc>
        <w:tc>
          <w:tcPr>
            <w:tcW w:w="700"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Dako</w:t>
            </w:r>
          </w:p>
        </w:tc>
        <w:tc>
          <w:tcPr>
            <w:tcW w:w="697"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MIB-1</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1:400</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Tonsil</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Nucleus</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Caspase 3</w:t>
            </w:r>
          </w:p>
        </w:tc>
        <w:tc>
          <w:tcPr>
            <w:tcW w:w="700"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DBS</w:t>
            </w:r>
          </w:p>
        </w:tc>
        <w:tc>
          <w:tcPr>
            <w:tcW w:w="697"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3C SP03</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1:160</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Tonsil/stomach</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ERK1</w:t>
            </w:r>
          </w:p>
        </w:tc>
        <w:tc>
          <w:tcPr>
            <w:tcW w:w="700"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 xml:space="preserve">DBS </w:t>
            </w:r>
          </w:p>
        </w:tc>
        <w:tc>
          <w:tcPr>
            <w:tcW w:w="697"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Polyclonal</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Rabbit</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1:100</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Breast carcinoma</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ERK2</w:t>
            </w:r>
          </w:p>
        </w:tc>
        <w:tc>
          <w:tcPr>
            <w:tcW w:w="700"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DBS</w:t>
            </w:r>
          </w:p>
        </w:tc>
        <w:tc>
          <w:tcPr>
            <w:tcW w:w="697"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Polyclonal</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Rabbit</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1:400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Breast carcinoma</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MET</w:t>
            </w:r>
          </w:p>
        </w:tc>
        <w:tc>
          <w:tcPr>
            <w:tcW w:w="700"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eastAsia="Calibri" w:hAnsi="Book Antiqua" w:cs="Arial"/>
                <w:sz w:val="24"/>
                <w:szCs w:val="24"/>
                <w:lang w:val="en-US"/>
              </w:rPr>
              <w:t>Cell Signaling</w:t>
            </w:r>
          </w:p>
        </w:tc>
        <w:tc>
          <w:tcPr>
            <w:tcW w:w="697"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Polyclonal</w:t>
            </w:r>
          </w:p>
        </w:tc>
        <w:tc>
          <w:tcPr>
            <w:tcW w:w="42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Rabbit</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1:50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Breast carcinoma</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mTOR</w:t>
            </w:r>
          </w:p>
        </w:tc>
        <w:tc>
          <w:tcPr>
            <w:tcW w:w="700"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eastAsia="Calibri" w:hAnsi="Book Antiqua" w:cs="Arial"/>
                <w:sz w:val="24"/>
                <w:szCs w:val="24"/>
                <w:lang w:val="en-US"/>
              </w:rPr>
              <w:t>Cell Signaling</w:t>
            </w:r>
          </w:p>
        </w:tc>
        <w:tc>
          <w:tcPr>
            <w:tcW w:w="697"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Polyclonal</w:t>
            </w:r>
          </w:p>
        </w:tc>
        <w:tc>
          <w:tcPr>
            <w:tcW w:w="42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Rabbit</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1:50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Lymphoid tissue</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 xml:space="preserve">K19 </w:t>
            </w:r>
          </w:p>
        </w:tc>
        <w:tc>
          <w:tcPr>
            <w:tcW w:w="700"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Novocastra</w:t>
            </w:r>
          </w:p>
        </w:tc>
        <w:tc>
          <w:tcPr>
            <w:tcW w:w="697"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b170</w:t>
            </w:r>
          </w:p>
        </w:tc>
        <w:tc>
          <w:tcPr>
            <w:tcW w:w="42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1:300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Cholangio-carcinoma</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Vimentin</w:t>
            </w:r>
          </w:p>
        </w:tc>
        <w:tc>
          <w:tcPr>
            <w:tcW w:w="700"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Dako</w:t>
            </w:r>
          </w:p>
        </w:tc>
        <w:tc>
          <w:tcPr>
            <w:tcW w:w="697"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Vim3B4</w:t>
            </w:r>
          </w:p>
        </w:tc>
        <w:tc>
          <w:tcPr>
            <w:tcW w:w="42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1:3000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Kidney</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Cytoplasm</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p53</w:t>
            </w:r>
          </w:p>
        </w:tc>
        <w:tc>
          <w:tcPr>
            <w:tcW w:w="700"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sz w:val="24"/>
                <w:szCs w:val="24"/>
                <w:lang w:val="en-US"/>
              </w:rPr>
              <w:t>Dako</w:t>
            </w:r>
          </w:p>
        </w:tc>
        <w:tc>
          <w:tcPr>
            <w:tcW w:w="697"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DO7</w:t>
            </w:r>
          </w:p>
        </w:tc>
        <w:tc>
          <w:tcPr>
            <w:tcW w:w="42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1:100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 xml:space="preserve">Breast </w:t>
            </w:r>
            <w:r w:rsidRPr="003310E2">
              <w:rPr>
                <w:rFonts w:ascii="Book Antiqua" w:hAnsi="Book Antiqua" w:cs="Arial"/>
                <w:sz w:val="24"/>
                <w:szCs w:val="24"/>
                <w:lang w:val="en-US"/>
              </w:rPr>
              <w:lastRenderedPageBreak/>
              <w:t>carcinoma</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lastRenderedPageBreak/>
              <w:t>Nucleus</w:t>
            </w:r>
          </w:p>
        </w:tc>
      </w:tr>
      <w:tr w:rsidR="003C39BE" w:rsidRPr="003310E2" w:rsidTr="00C232D0">
        <w:tc>
          <w:tcPr>
            <w:tcW w:w="535"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Beta-catenin</w:t>
            </w:r>
          </w:p>
        </w:tc>
        <w:tc>
          <w:tcPr>
            <w:tcW w:w="700"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sz w:val="24"/>
                <w:szCs w:val="24"/>
                <w:lang w:val="en-US"/>
              </w:rPr>
              <w:t>BD</w:t>
            </w:r>
          </w:p>
        </w:tc>
        <w:tc>
          <w:tcPr>
            <w:tcW w:w="697"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14Beta-catenin</w:t>
            </w:r>
          </w:p>
        </w:tc>
        <w:tc>
          <w:tcPr>
            <w:tcW w:w="42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Mouse</w:t>
            </w:r>
          </w:p>
        </w:tc>
        <w:tc>
          <w:tcPr>
            <w:tcW w:w="53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1:800</w:t>
            </w:r>
          </w:p>
        </w:tc>
        <w:tc>
          <w:tcPr>
            <w:tcW w:w="679" w:type="pct"/>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Standard</w:t>
            </w:r>
          </w:p>
        </w:tc>
        <w:tc>
          <w:tcPr>
            <w:tcW w:w="746"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Tonsil</w:t>
            </w:r>
          </w:p>
        </w:tc>
        <w:tc>
          <w:tcPr>
            <w:tcW w:w="679" w:type="pct"/>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Membrane/</w:t>
            </w:r>
          </w:p>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nucleus</w:t>
            </w:r>
          </w:p>
        </w:tc>
      </w:tr>
      <w:tr w:rsidR="003C39BE" w:rsidRPr="003310E2" w:rsidTr="00C232D0">
        <w:tc>
          <w:tcPr>
            <w:tcW w:w="535"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Cyclin D1</w:t>
            </w:r>
          </w:p>
        </w:tc>
        <w:tc>
          <w:tcPr>
            <w:tcW w:w="700"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Dako</w:t>
            </w:r>
          </w:p>
        </w:tc>
        <w:tc>
          <w:tcPr>
            <w:tcW w:w="697"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b/>
                <w:sz w:val="24"/>
                <w:szCs w:val="24"/>
                <w:lang w:val="en-US"/>
              </w:rPr>
            </w:pPr>
            <w:r w:rsidRPr="003310E2">
              <w:rPr>
                <w:rFonts w:ascii="Book Antiqua" w:eastAsia="Calibri" w:hAnsi="Book Antiqua" w:cs="Arial"/>
                <w:sz w:val="24"/>
                <w:szCs w:val="24"/>
                <w:lang w:val="en-US"/>
              </w:rPr>
              <w:t>SP4</w:t>
            </w:r>
          </w:p>
        </w:tc>
        <w:tc>
          <w:tcPr>
            <w:tcW w:w="429"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Rabbit</w:t>
            </w:r>
          </w:p>
        </w:tc>
        <w:tc>
          <w:tcPr>
            <w:tcW w:w="536"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1:100</w:t>
            </w:r>
          </w:p>
        </w:tc>
        <w:tc>
          <w:tcPr>
            <w:tcW w:w="679"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 xml:space="preserve">Steamer 10 </w:t>
            </w:r>
            <w:r w:rsidR="00C232D0" w:rsidRPr="003310E2">
              <w:rPr>
                <w:rFonts w:ascii="Book Antiqua" w:hAnsi="Book Antiqua" w:cs="Arial"/>
                <w:sz w:val="24"/>
                <w:szCs w:val="24"/>
                <w:lang w:val="en-US" w:eastAsia="en-US"/>
              </w:rPr>
              <w:t>m</w:t>
            </w:r>
            <w:r w:rsidR="00C232D0" w:rsidRPr="003310E2">
              <w:rPr>
                <w:rFonts w:ascii="Book Antiqua" w:hAnsi="Book Antiqua" w:cs="Arial"/>
                <w:sz w:val="24"/>
                <w:szCs w:val="24"/>
                <w:lang w:val="en-US" w:eastAsia="zh-CN"/>
              </w:rPr>
              <w:t>mol/L</w:t>
            </w:r>
            <w:r w:rsidRPr="003310E2">
              <w:rPr>
                <w:rFonts w:ascii="Book Antiqua" w:hAnsi="Book Antiqua" w:cs="Arial"/>
                <w:sz w:val="24"/>
                <w:szCs w:val="24"/>
                <w:lang w:val="en-US"/>
              </w:rPr>
              <w:t xml:space="preserve"> TRIS, 1 </w:t>
            </w:r>
            <w:r w:rsidR="00C232D0" w:rsidRPr="003310E2">
              <w:rPr>
                <w:rFonts w:ascii="Book Antiqua" w:hAnsi="Book Antiqua" w:cs="Arial"/>
                <w:sz w:val="24"/>
                <w:szCs w:val="24"/>
                <w:lang w:val="en-US" w:eastAsia="en-US"/>
              </w:rPr>
              <w:t>m</w:t>
            </w:r>
            <w:r w:rsidR="00C232D0" w:rsidRPr="003310E2">
              <w:rPr>
                <w:rFonts w:ascii="Book Antiqua" w:hAnsi="Book Antiqua" w:cs="Arial"/>
                <w:sz w:val="24"/>
                <w:szCs w:val="24"/>
                <w:lang w:val="en-US" w:eastAsia="zh-CN"/>
              </w:rPr>
              <w:t>mol/L</w:t>
            </w:r>
            <w:r w:rsidRPr="003310E2">
              <w:rPr>
                <w:rFonts w:ascii="Book Antiqua" w:hAnsi="Book Antiqua" w:cs="Arial"/>
                <w:sz w:val="24"/>
                <w:szCs w:val="24"/>
                <w:lang w:val="en-US"/>
              </w:rPr>
              <w:t xml:space="preserve"> EDTA, pH 9</w:t>
            </w:r>
          </w:p>
        </w:tc>
        <w:tc>
          <w:tcPr>
            <w:tcW w:w="746"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Tonsil/intestine</w:t>
            </w:r>
          </w:p>
        </w:tc>
        <w:tc>
          <w:tcPr>
            <w:tcW w:w="679" w:type="pct"/>
            <w:tcBorders>
              <w:bottom w:val="single" w:sz="4" w:space="0" w:color="auto"/>
            </w:tcBorders>
            <w:vAlign w:val="center"/>
          </w:tcPr>
          <w:p w:rsidR="003C39BE" w:rsidRPr="003310E2" w:rsidRDefault="003C39BE" w:rsidP="003B0F97">
            <w:pPr>
              <w:adjustRightInd w:val="0"/>
              <w:snapToGrid w:val="0"/>
              <w:spacing w:after="0" w:line="360" w:lineRule="auto"/>
              <w:rPr>
                <w:rFonts w:ascii="Book Antiqua" w:hAnsi="Book Antiqua" w:cs="Arial"/>
                <w:sz w:val="24"/>
                <w:szCs w:val="24"/>
                <w:lang w:val="en-US"/>
              </w:rPr>
            </w:pPr>
            <w:r w:rsidRPr="003310E2">
              <w:rPr>
                <w:rFonts w:ascii="Book Antiqua" w:hAnsi="Book Antiqua" w:cs="Arial"/>
                <w:sz w:val="24"/>
                <w:szCs w:val="24"/>
                <w:lang w:val="en-US"/>
              </w:rPr>
              <w:t>Nucleus</w:t>
            </w:r>
          </w:p>
        </w:tc>
      </w:tr>
    </w:tbl>
    <w:p w:rsidR="003C39BE" w:rsidRPr="003310E2" w:rsidRDefault="00C232D0" w:rsidP="003B0F97">
      <w:pPr>
        <w:adjustRightInd w:val="0"/>
        <w:snapToGrid w:val="0"/>
        <w:spacing w:after="0" w:line="360" w:lineRule="auto"/>
        <w:jc w:val="both"/>
        <w:rPr>
          <w:rFonts w:ascii="Book Antiqua" w:eastAsiaTheme="minorHAnsi" w:hAnsi="Book Antiqua" w:cs="Arial"/>
          <w:sz w:val="24"/>
          <w:szCs w:val="24"/>
          <w:lang w:val="en-US" w:eastAsia="en-US"/>
        </w:rPr>
      </w:pPr>
      <w:r w:rsidRPr="003310E2">
        <w:rPr>
          <w:rFonts w:ascii="Book Antiqua" w:hAnsi="Book Antiqua" w:cs="Arial"/>
          <w:sz w:val="24"/>
          <w:szCs w:val="24"/>
          <w:vertAlign w:val="superscript"/>
          <w:lang w:val="en-US" w:eastAsia="zh-CN"/>
        </w:rPr>
        <w:t>1</w:t>
      </w:r>
      <w:r w:rsidR="003C39BE" w:rsidRPr="003310E2">
        <w:rPr>
          <w:rFonts w:ascii="Book Antiqua" w:eastAsiaTheme="minorHAnsi" w:hAnsi="Book Antiqua" w:cs="Arial"/>
          <w:sz w:val="24"/>
          <w:szCs w:val="24"/>
          <w:lang w:val="en-US" w:eastAsia="en-US"/>
        </w:rPr>
        <w:t>Antigen retrieval was performed by steam heating for 40 min in 10 m</w:t>
      </w:r>
      <w:r w:rsidRPr="003310E2">
        <w:rPr>
          <w:rFonts w:ascii="Book Antiqua" w:hAnsi="Book Antiqua" w:cs="Arial"/>
          <w:sz w:val="24"/>
          <w:szCs w:val="24"/>
          <w:lang w:val="en-US" w:eastAsia="zh-CN"/>
        </w:rPr>
        <w:t>mol/L</w:t>
      </w:r>
      <w:r w:rsidR="003C39BE" w:rsidRPr="003310E2">
        <w:rPr>
          <w:rFonts w:ascii="Book Antiqua" w:eastAsiaTheme="minorHAnsi" w:hAnsi="Book Antiqua" w:cs="Arial"/>
          <w:sz w:val="24"/>
          <w:szCs w:val="24"/>
          <w:lang w:val="en-US" w:eastAsia="en-US"/>
        </w:rPr>
        <w:t xml:space="preserve"> citrate buffer, pH 6. BD: BD </w:t>
      </w:r>
      <w:r w:rsidRPr="003310E2">
        <w:rPr>
          <w:rFonts w:ascii="Book Antiqua" w:eastAsiaTheme="minorHAnsi" w:hAnsi="Book Antiqua" w:cs="Arial"/>
          <w:sz w:val="24"/>
          <w:szCs w:val="24"/>
          <w:lang w:val="en-US" w:eastAsia="en-US"/>
        </w:rPr>
        <w:t>b</w:t>
      </w:r>
      <w:r w:rsidR="003C39BE" w:rsidRPr="003310E2">
        <w:rPr>
          <w:rFonts w:ascii="Book Antiqua" w:eastAsiaTheme="minorHAnsi" w:hAnsi="Book Antiqua" w:cs="Arial"/>
          <w:sz w:val="24"/>
          <w:szCs w:val="24"/>
          <w:lang w:val="en-US" w:eastAsia="en-US"/>
        </w:rPr>
        <w:t xml:space="preserve">iosciences™; DBS: Diagnostic </w:t>
      </w:r>
      <w:r w:rsidRPr="003310E2">
        <w:rPr>
          <w:rFonts w:ascii="Book Antiqua" w:eastAsiaTheme="minorHAnsi" w:hAnsi="Book Antiqua" w:cs="Arial"/>
          <w:sz w:val="24"/>
          <w:szCs w:val="24"/>
          <w:lang w:val="en-US" w:eastAsia="en-US"/>
        </w:rPr>
        <w:t>b</w:t>
      </w:r>
      <w:r w:rsidR="003C39BE" w:rsidRPr="003310E2">
        <w:rPr>
          <w:rFonts w:ascii="Book Antiqua" w:eastAsiaTheme="minorHAnsi" w:hAnsi="Book Antiqua" w:cs="Arial"/>
          <w:sz w:val="24"/>
          <w:szCs w:val="24"/>
          <w:lang w:val="en-US" w:eastAsia="en-US"/>
        </w:rPr>
        <w:t>ioSystems™; IHC:</w:t>
      </w:r>
      <w:r w:rsidR="003C39BE" w:rsidRPr="003310E2">
        <w:rPr>
          <w:rFonts w:ascii="Book Antiqua" w:eastAsiaTheme="minorHAnsi" w:hAnsi="Book Antiqua" w:cs="Arial"/>
          <w:caps/>
          <w:sz w:val="24"/>
          <w:szCs w:val="24"/>
          <w:lang w:val="en-US" w:eastAsia="en-US"/>
        </w:rPr>
        <w:t xml:space="preserve"> i</w:t>
      </w:r>
      <w:r w:rsidR="003C39BE" w:rsidRPr="003310E2">
        <w:rPr>
          <w:rFonts w:ascii="Book Antiqua" w:eastAsiaTheme="minorHAnsi" w:hAnsi="Book Antiqua" w:cs="Arial"/>
          <w:sz w:val="24"/>
          <w:szCs w:val="24"/>
          <w:lang w:val="en-US" w:eastAsia="en-US"/>
        </w:rPr>
        <w:t xml:space="preserve">mmunohistochemistry; K19: Keratin 19; mTOR; </w:t>
      </w:r>
      <w:r w:rsidR="003C39BE" w:rsidRPr="003310E2">
        <w:rPr>
          <w:rStyle w:val="Strong"/>
          <w:rFonts w:ascii="Book Antiqua" w:hAnsi="Book Antiqua" w:cs="Arial"/>
          <w:b w:val="0"/>
          <w:sz w:val="24"/>
          <w:szCs w:val="24"/>
          <w:lang w:val="en-US"/>
        </w:rPr>
        <w:t>Mechanistic target of rapamycin</w:t>
      </w:r>
      <w:r w:rsidR="003C39BE" w:rsidRPr="003310E2">
        <w:rPr>
          <w:rFonts w:ascii="Book Antiqua" w:eastAsiaTheme="minorHAnsi" w:hAnsi="Book Antiqua" w:cs="Arial"/>
          <w:sz w:val="24"/>
          <w:szCs w:val="24"/>
          <w:lang w:val="en-US" w:eastAsia="en-US"/>
        </w:rPr>
        <w:t xml:space="preserve">. </w:t>
      </w:r>
    </w:p>
    <w:p w:rsidR="003C39BE" w:rsidRPr="003310E2" w:rsidRDefault="003C39BE" w:rsidP="003B0F97">
      <w:pPr>
        <w:adjustRightInd w:val="0"/>
        <w:snapToGrid w:val="0"/>
        <w:spacing w:after="0" w:line="360" w:lineRule="auto"/>
        <w:jc w:val="both"/>
        <w:rPr>
          <w:rFonts w:ascii="Book Antiqua" w:eastAsiaTheme="minorHAnsi" w:hAnsi="Book Antiqua" w:cs="Arial"/>
          <w:sz w:val="24"/>
          <w:szCs w:val="24"/>
          <w:lang w:val="en-US" w:eastAsia="en-US"/>
        </w:rPr>
        <w:sectPr w:rsidR="003C39BE" w:rsidRPr="003310E2" w:rsidSect="00C232D0">
          <w:pgSz w:w="15840" w:h="12240" w:orient="landscape"/>
          <w:pgMar w:top="1699" w:right="1411" w:bottom="1699" w:left="1411" w:header="706" w:footer="706" w:gutter="0"/>
          <w:cols w:space="708"/>
          <w:docGrid w:linePitch="360"/>
        </w:sectPr>
      </w:pPr>
    </w:p>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lastRenderedPageBreak/>
        <w:t>Table 2 Clinicopathological features of 80 hepatocellular carcinoma autopsy cases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8324"/>
      </w:tblGrid>
      <w:tr w:rsidR="003C39BE" w:rsidRPr="003310E2" w:rsidTr="00C232D0">
        <w:trPr>
          <w:trHeight w:val="260"/>
          <w:jc w:val="center"/>
        </w:trPr>
        <w:tc>
          <w:tcPr>
            <w:tcW w:w="8324" w:type="dxa"/>
            <w:tcBorders>
              <w:top w:val="single" w:sz="4" w:space="0" w:color="auto"/>
            </w:tcBorders>
          </w:tcPr>
          <w:tbl>
            <w:tblPr>
              <w:tblStyle w:val="TableGrid"/>
              <w:tblW w:w="6486" w:type="dxa"/>
              <w:tblLayout w:type="fixed"/>
              <w:tblLook w:val="04A0" w:firstRow="1" w:lastRow="0" w:firstColumn="1" w:lastColumn="0" w:noHBand="0" w:noVBand="1"/>
            </w:tblPr>
            <w:tblGrid>
              <w:gridCol w:w="5285"/>
              <w:gridCol w:w="1201"/>
            </w:tblGrid>
            <w:tr w:rsidR="003C39BE" w:rsidRPr="003310E2" w:rsidTr="00C232D0">
              <w:tc>
                <w:tcPr>
                  <w:tcW w:w="4074" w:type="pct"/>
                  <w:tcBorders>
                    <w:top w:val="nil"/>
                    <w:left w:val="nil"/>
                    <w:bottom w:val="single" w:sz="4" w:space="0" w:color="auto"/>
                    <w:right w:val="nil"/>
                  </w:tcBorders>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Feature</w:t>
                  </w:r>
                </w:p>
              </w:tc>
              <w:tc>
                <w:tcPr>
                  <w:tcW w:w="926" w:type="pct"/>
                  <w:tcBorders>
                    <w:top w:val="nil"/>
                    <w:left w:val="nil"/>
                    <w:bottom w:val="single" w:sz="4" w:space="0" w:color="auto"/>
                    <w:right w:val="nil"/>
                  </w:tcBorders>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i/>
                      <w:sz w:val="24"/>
                      <w:szCs w:val="24"/>
                      <w:lang w:val="en-US"/>
                    </w:rPr>
                    <w:t>n</w:t>
                  </w:r>
                  <w:r w:rsidRPr="003310E2">
                    <w:rPr>
                      <w:rFonts w:ascii="Book Antiqua" w:hAnsi="Book Antiqua" w:cs="Arial"/>
                      <w:b/>
                      <w:sz w:val="24"/>
                      <w:szCs w:val="24"/>
                      <w:lang w:val="en-US"/>
                    </w:rPr>
                    <w:t xml:space="preserve"> (%)</w:t>
                  </w:r>
                </w:p>
              </w:tc>
            </w:tr>
            <w:tr w:rsidR="003C39BE" w:rsidRPr="003310E2" w:rsidTr="00C232D0">
              <w:tc>
                <w:tcPr>
                  <w:tcW w:w="4074" w:type="pct"/>
                  <w:tcBorders>
                    <w:top w:val="single" w:sz="4" w:space="0" w:color="auto"/>
                    <w:left w:val="nil"/>
                    <w:bottom w:val="nil"/>
                    <w:right w:val="nil"/>
                  </w:tcBorders>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cs="Arial"/>
                      <w:sz w:val="24"/>
                      <w:szCs w:val="24"/>
                      <w:lang w:val="en-US"/>
                    </w:rPr>
                    <w:t>Sex</w:t>
                  </w:r>
                </w:p>
              </w:tc>
              <w:tc>
                <w:tcPr>
                  <w:tcW w:w="926" w:type="pct"/>
                  <w:tcBorders>
                    <w:top w:val="single" w:sz="4" w:space="0" w:color="auto"/>
                    <w:left w:val="nil"/>
                    <w:bottom w:val="nil"/>
                    <w:right w:val="nil"/>
                  </w:tcBorders>
                </w:tcPr>
                <w:p w:rsidR="003C39BE" w:rsidRPr="003310E2" w:rsidRDefault="003C39BE" w:rsidP="003B0F97">
                  <w:pPr>
                    <w:adjustRightInd w:val="0"/>
                    <w:snapToGrid w:val="0"/>
                    <w:spacing w:after="0" w:line="360" w:lineRule="auto"/>
                    <w:rPr>
                      <w:rFonts w:ascii="Book Antiqua" w:hAnsi="Book Antiqua"/>
                      <w:sz w:val="24"/>
                      <w:szCs w:val="24"/>
                      <w:lang w:val="en-US"/>
                    </w:rPr>
                  </w:pPr>
                </w:p>
              </w:tc>
            </w:tr>
            <w:tr w:rsidR="003C39BE" w:rsidRPr="003310E2" w:rsidTr="00C232D0">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Male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62 (77.5)</w:t>
                  </w:r>
                </w:p>
              </w:tc>
            </w:tr>
            <w:tr w:rsidR="003C39BE" w:rsidRPr="003310E2" w:rsidTr="00C232D0">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Female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18 (22.5)</w:t>
                  </w:r>
                </w:p>
              </w:tc>
            </w:tr>
            <w:tr w:rsidR="003C39BE" w:rsidRPr="003310E2" w:rsidTr="00C232D0">
              <w:tc>
                <w:tcPr>
                  <w:tcW w:w="4074" w:type="pct"/>
                  <w:tcBorders>
                    <w:top w:val="nil"/>
                    <w:left w:val="nil"/>
                    <w:bottom w:val="nil"/>
                    <w:right w:val="nil"/>
                  </w:tcBorders>
                </w:tcPr>
                <w:p w:rsidR="003C39BE" w:rsidRPr="003310E2" w:rsidRDefault="00C232D0" w:rsidP="003B0F97">
                  <w:pPr>
                    <w:adjustRightInd w:val="0"/>
                    <w:snapToGrid w:val="0"/>
                    <w:spacing w:after="0" w:line="360" w:lineRule="auto"/>
                    <w:rPr>
                      <w:rFonts w:ascii="Book Antiqua" w:eastAsiaTheme="minorEastAsia" w:hAnsi="Book Antiqua"/>
                      <w:sz w:val="24"/>
                      <w:szCs w:val="24"/>
                      <w:lang w:val="en-US" w:eastAsia="zh-CN"/>
                    </w:rPr>
                  </w:pPr>
                  <w:r w:rsidRPr="003310E2">
                    <w:rPr>
                      <w:rFonts w:ascii="Book Antiqua" w:hAnsi="Book Antiqua"/>
                      <w:sz w:val="24"/>
                      <w:szCs w:val="24"/>
                      <w:lang w:val="en-US"/>
                    </w:rPr>
                    <w:t>Age, yr</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rPr>
                      <w:rFonts w:ascii="Book Antiqua" w:hAnsi="Book Antiqua"/>
                      <w:sz w:val="24"/>
                      <w:szCs w:val="24"/>
                      <w:lang w:val="en-US"/>
                    </w:rPr>
                  </w:pPr>
                </w:p>
              </w:tc>
            </w:tr>
            <w:tr w:rsidR="003C39BE" w:rsidRPr="003310E2" w:rsidTr="00C232D0">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Median</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59.5</w:t>
                  </w:r>
                </w:p>
              </w:tc>
            </w:tr>
            <w:tr w:rsidR="003C39BE" w:rsidRPr="003310E2" w:rsidTr="00C232D0">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Range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28–82</w:t>
                  </w:r>
                </w:p>
              </w:tc>
            </w:tr>
            <w:tr w:rsidR="003C39BE" w:rsidRPr="003310E2" w:rsidTr="00C232D0">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With cirrhotic liver </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72 (90.0)</w:t>
                  </w:r>
                </w:p>
              </w:tc>
            </w:tr>
            <w:tr w:rsidR="003C39BE" w:rsidRPr="003310E2" w:rsidTr="00C232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74" w:type="pct"/>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With incidental small HCC, &lt; 2.0 cm</w:t>
                  </w:r>
                </w:p>
              </w:tc>
              <w:tc>
                <w:tcPr>
                  <w:tcW w:w="926" w:type="pct"/>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(5.0)</w:t>
                  </w:r>
                </w:p>
              </w:tc>
            </w:tr>
            <w:tr w:rsidR="003C39BE" w:rsidRPr="003310E2" w:rsidTr="00C232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074" w:type="pct"/>
                </w:tcPr>
                <w:p w:rsidR="003C39BE" w:rsidRPr="003310E2" w:rsidRDefault="003C39BE" w:rsidP="003B0F97">
                  <w:pPr>
                    <w:adjustRightInd w:val="0"/>
                    <w:snapToGrid w:val="0"/>
                    <w:spacing w:after="0" w:line="360" w:lineRule="auto"/>
                    <w:rPr>
                      <w:rFonts w:ascii="Book Antiqua" w:hAnsi="Book Antiqua"/>
                      <w:sz w:val="24"/>
                      <w:szCs w:val="24"/>
                      <w:lang w:val="en-US"/>
                    </w:rPr>
                  </w:pPr>
                  <w:r w:rsidRPr="003310E2">
                    <w:rPr>
                      <w:rFonts w:ascii="Book Antiqua" w:hAnsi="Book Antiqua"/>
                      <w:sz w:val="24"/>
                      <w:szCs w:val="24"/>
                      <w:lang w:val="en-US"/>
                    </w:rPr>
                    <w:t>Etiology</w:t>
                  </w:r>
                </w:p>
              </w:tc>
              <w:tc>
                <w:tcPr>
                  <w:tcW w:w="926" w:type="pct"/>
                </w:tcPr>
                <w:p w:rsidR="003C39BE" w:rsidRPr="003310E2" w:rsidRDefault="003C39BE" w:rsidP="003B0F97">
                  <w:pPr>
                    <w:adjustRightInd w:val="0"/>
                    <w:snapToGrid w:val="0"/>
                    <w:spacing w:after="0" w:line="360" w:lineRule="auto"/>
                    <w:rPr>
                      <w:rFonts w:ascii="Book Antiqua" w:hAnsi="Book Antiqua"/>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HCV only</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27 (33.7)</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HCV + alcohol</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(11.2)</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HCV + HBV</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(2.5)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HCV + HBV + alcohol</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(1.3)</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Alcohol only</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11 (13.8)</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HBV only</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(11.2)</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HBV + alcohol</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(3.8)</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Hemochromatosis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(2.5)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Cryptogenic</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10 (12.5)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Data not available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 (7.5)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Larger tumor size, cm</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Median</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Range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0.8–18.0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Non-available/non-sizable cases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22 (27.5)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Number of tumor nodules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1</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24 (33.3)</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2</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(5.6)</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3</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(1.4)</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 4 </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43 (53.8)</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lastRenderedPageBreak/>
                    <w:t xml:space="preserve">    Non-available/uncountable cases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(10.0)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Gross pattern</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Nodular</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31 (38.8)</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Massive with satellite lesions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25 (31.3)</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Diffuse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(10.0)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Non-available/non-sizable cases</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11 (13.8)</w:t>
                  </w:r>
                </w:p>
              </w:tc>
            </w:tr>
            <w:tr w:rsidR="003C39BE" w:rsidRPr="00E52F41"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Histological grade, Edmondson-Steiner grade</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1 + 2</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22 (27.5)</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3</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47 (58.8)</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4</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11 (13.8)</w:t>
                  </w:r>
                </w:p>
              </w:tc>
            </w:tr>
            <w:tr w:rsidR="003C39BE" w:rsidRPr="00E52F41"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Predominant histological pattern or variant</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Trabecular</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36 (45.0)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Acinar/pseudoacinar</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(11.2)</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Solid/macrotrabecular</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24 (30.0)</w:t>
                  </w:r>
                </w:p>
              </w:tc>
            </w:tr>
            <w:tr w:rsidR="003C39BE" w:rsidRPr="003310E2" w:rsidTr="00C232D0">
              <w:trPr>
                <w:trHeight w:val="260"/>
              </w:trPr>
              <w:tc>
                <w:tcPr>
                  <w:tcW w:w="4074"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Mixed</w:t>
                  </w:r>
                </w:p>
              </w:tc>
              <w:tc>
                <w:tcPr>
                  <w:tcW w:w="926" w:type="pct"/>
                  <w:tcBorders>
                    <w:top w:val="nil"/>
                    <w:left w:val="nil"/>
                    <w:bottom w:val="nil"/>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(11.2)</w:t>
                  </w:r>
                </w:p>
              </w:tc>
            </w:tr>
            <w:tr w:rsidR="003C39BE" w:rsidRPr="003310E2" w:rsidTr="00C232D0">
              <w:trPr>
                <w:trHeight w:val="260"/>
              </w:trPr>
              <w:tc>
                <w:tcPr>
                  <w:tcW w:w="4074" w:type="pct"/>
                  <w:tcBorders>
                    <w:top w:val="nil"/>
                    <w:left w:val="nil"/>
                    <w:bottom w:val="single" w:sz="4" w:space="0" w:color="auto"/>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Clear cell</w:t>
                  </w:r>
                </w:p>
              </w:tc>
              <w:tc>
                <w:tcPr>
                  <w:tcW w:w="926" w:type="pct"/>
                  <w:tcBorders>
                    <w:top w:val="nil"/>
                    <w:left w:val="nil"/>
                    <w:bottom w:val="single" w:sz="4" w:space="0" w:color="auto"/>
                    <w:right w:val="nil"/>
                  </w:tcBorders>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(2.5)</w:t>
                  </w:r>
                </w:p>
              </w:tc>
            </w:tr>
          </w:tbl>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r>
      <w:tr w:rsidR="003C39BE" w:rsidRPr="003310E2" w:rsidTr="00C232D0">
        <w:trPr>
          <w:trHeight w:val="260"/>
          <w:jc w:val="center"/>
        </w:trPr>
        <w:tc>
          <w:tcPr>
            <w:tcW w:w="8324" w:type="dxa"/>
          </w:tcPr>
          <w:p w:rsidR="003C39BE" w:rsidRPr="00FB2116" w:rsidRDefault="003C39BE" w:rsidP="003B0F97">
            <w:pPr>
              <w:adjustRightInd w:val="0"/>
              <w:snapToGrid w:val="0"/>
              <w:spacing w:after="0" w:line="360" w:lineRule="auto"/>
              <w:jc w:val="both"/>
              <w:rPr>
                <w:rFonts w:ascii="Book Antiqua" w:hAnsi="Book Antiqua" w:cs="Arial"/>
                <w:sz w:val="24"/>
                <w:szCs w:val="24"/>
              </w:rPr>
            </w:pPr>
            <w:r w:rsidRPr="00FB2116">
              <w:rPr>
                <w:rFonts w:ascii="Book Antiqua" w:hAnsi="Book Antiqua" w:cs="Arial"/>
                <w:sz w:val="24"/>
                <w:szCs w:val="24"/>
              </w:rPr>
              <w:lastRenderedPageBreak/>
              <w:t>HBV: Hepatitis B virus; HCC: Hepatocellular carcinoma; HCV: Hepatitis C virus.</w:t>
            </w:r>
          </w:p>
        </w:tc>
      </w:tr>
    </w:tbl>
    <w:p w:rsidR="003C39BE" w:rsidRPr="00FB2116" w:rsidRDefault="003C39BE" w:rsidP="003B0F97">
      <w:pPr>
        <w:adjustRightInd w:val="0"/>
        <w:snapToGrid w:val="0"/>
        <w:spacing w:after="0" w:line="360" w:lineRule="auto"/>
        <w:jc w:val="both"/>
        <w:rPr>
          <w:rFonts w:ascii="Book Antiqua" w:hAnsi="Book Antiqua"/>
          <w:b/>
          <w:sz w:val="24"/>
          <w:szCs w:val="24"/>
        </w:rPr>
      </w:pPr>
    </w:p>
    <w:p w:rsidR="003C39BE" w:rsidRPr="00FB2116" w:rsidRDefault="003C39BE" w:rsidP="003B0F97">
      <w:pPr>
        <w:adjustRightInd w:val="0"/>
        <w:snapToGrid w:val="0"/>
        <w:spacing w:after="0" w:line="360" w:lineRule="auto"/>
        <w:rPr>
          <w:rFonts w:ascii="Book Antiqua" w:hAnsi="Book Antiqua"/>
          <w:b/>
          <w:sz w:val="24"/>
          <w:szCs w:val="24"/>
        </w:rPr>
      </w:pPr>
      <w:r w:rsidRPr="00FB2116">
        <w:rPr>
          <w:rFonts w:ascii="Book Antiqua" w:hAnsi="Book Antiqua"/>
          <w:b/>
          <w:sz w:val="24"/>
          <w:szCs w:val="24"/>
        </w:rPr>
        <w:br w:type="page"/>
      </w:r>
    </w:p>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lastRenderedPageBreak/>
        <w:t>Table 3</w:t>
      </w:r>
      <w:r w:rsidRPr="003310E2">
        <w:rPr>
          <w:rFonts w:ascii="Book Antiqua" w:hAnsi="Book Antiqua"/>
          <w:sz w:val="24"/>
          <w:szCs w:val="24"/>
          <w:lang w:val="en-US"/>
        </w:rPr>
        <w:t xml:space="preserve"> </w:t>
      </w:r>
      <w:r w:rsidRPr="003310E2">
        <w:rPr>
          <w:rFonts w:ascii="Book Antiqua" w:hAnsi="Book Antiqua"/>
          <w:b/>
          <w:sz w:val="24"/>
          <w:szCs w:val="24"/>
          <w:lang w:val="en-US"/>
        </w:rPr>
        <w:t>Dissemination in 80 hepatocellular carcinoma autopsy cases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551"/>
        <w:gridCol w:w="884"/>
      </w:tblGrid>
      <w:tr w:rsidR="00C232D0" w:rsidRPr="003310E2" w:rsidTr="00C232D0">
        <w:trPr>
          <w:trHeight w:val="364"/>
        </w:trPr>
        <w:tc>
          <w:tcPr>
            <w:tcW w:w="4177" w:type="pct"/>
            <w:tcBorders>
              <w:top w:val="single" w:sz="4" w:space="0" w:color="auto"/>
              <w:bottom w:val="single" w:sz="2" w:space="0" w:color="auto"/>
            </w:tcBorders>
          </w:tcPr>
          <w:p w:rsidR="00C232D0" w:rsidRPr="003310E2" w:rsidRDefault="00C232D0"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Metastasis feature</w:t>
            </w:r>
          </w:p>
        </w:tc>
        <w:tc>
          <w:tcPr>
            <w:tcW w:w="823" w:type="pct"/>
            <w:gridSpan w:val="2"/>
            <w:tcBorders>
              <w:top w:val="single" w:sz="4" w:space="0" w:color="auto"/>
              <w:bottom w:val="single" w:sz="2" w:space="0" w:color="auto"/>
            </w:tcBorders>
          </w:tcPr>
          <w:p w:rsidR="00C232D0" w:rsidRPr="003310E2" w:rsidRDefault="00C232D0" w:rsidP="003B0F97">
            <w:pPr>
              <w:adjustRightInd w:val="0"/>
              <w:snapToGrid w:val="0"/>
              <w:spacing w:after="0" w:line="360" w:lineRule="auto"/>
              <w:jc w:val="both"/>
              <w:rPr>
                <w:rFonts w:ascii="Book Antiqua" w:eastAsiaTheme="minorEastAsia" w:hAnsi="Book Antiqua" w:cs="Arial"/>
                <w:b/>
                <w:i/>
                <w:sz w:val="24"/>
                <w:szCs w:val="24"/>
                <w:lang w:val="en-US" w:eastAsia="zh-CN"/>
              </w:rPr>
            </w:pPr>
            <w:r w:rsidRPr="003310E2">
              <w:rPr>
                <w:rFonts w:ascii="Book Antiqua" w:hAnsi="Book Antiqua" w:cs="Arial"/>
                <w:b/>
                <w:i/>
                <w:sz w:val="24"/>
                <w:szCs w:val="24"/>
                <w:lang w:val="en-US"/>
              </w:rPr>
              <w:t>n</w:t>
            </w:r>
            <w:r w:rsidRPr="003310E2">
              <w:rPr>
                <w:rFonts w:ascii="Book Antiqua" w:eastAsiaTheme="minorEastAsia" w:hAnsi="Book Antiqua" w:cs="Arial"/>
                <w:b/>
                <w:i/>
                <w:sz w:val="24"/>
                <w:szCs w:val="24"/>
                <w:lang w:val="en-US" w:eastAsia="zh-CN"/>
              </w:rPr>
              <w:t xml:space="preserve"> </w:t>
            </w:r>
            <w:r w:rsidRPr="003310E2">
              <w:rPr>
                <w:rFonts w:ascii="Book Antiqua" w:hAnsi="Book Antiqua" w:cs="Arial"/>
                <w:b/>
                <w:sz w:val="24"/>
                <w:szCs w:val="24"/>
                <w:lang w:val="en-US"/>
              </w:rPr>
              <w:t>(%)</w:t>
            </w:r>
          </w:p>
        </w:tc>
      </w:tr>
      <w:tr w:rsidR="00C232D0" w:rsidRPr="003310E2" w:rsidTr="00C232D0">
        <w:tc>
          <w:tcPr>
            <w:tcW w:w="4177" w:type="pct"/>
            <w:tcBorders>
              <w:top w:val="single" w:sz="2" w:space="0" w:color="auto"/>
            </w:tcBorders>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Large vein invasion</w:t>
            </w:r>
          </w:p>
        </w:tc>
        <w:tc>
          <w:tcPr>
            <w:tcW w:w="823" w:type="pct"/>
            <w:gridSpan w:val="2"/>
            <w:tcBorders>
              <w:top w:val="single" w:sz="2" w:space="0" w:color="auto"/>
            </w:tcBorders>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12</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(15.0)</w:t>
            </w:r>
          </w:p>
        </w:tc>
      </w:tr>
      <w:tr w:rsidR="00C232D0" w:rsidRPr="003310E2" w:rsidTr="00C232D0">
        <w:tc>
          <w:tcPr>
            <w:tcW w:w="4177" w:type="pct"/>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Extrahepatic metastases</w:t>
            </w:r>
          </w:p>
        </w:tc>
        <w:tc>
          <w:tcPr>
            <w:tcW w:w="823" w:type="pct"/>
            <w:gridSpan w:val="2"/>
          </w:tcPr>
          <w:p w:rsidR="00C232D0" w:rsidRPr="003310E2" w:rsidRDefault="00C232D0" w:rsidP="003B0F97">
            <w:pPr>
              <w:adjustRightInd w:val="0"/>
              <w:snapToGrid w:val="0"/>
              <w:spacing w:after="0" w:line="360" w:lineRule="auto"/>
              <w:jc w:val="both"/>
              <w:rPr>
                <w:rFonts w:ascii="Book Antiqua" w:eastAsiaTheme="minorEastAsia" w:hAnsi="Book Antiqua" w:cs="Arial"/>
                <w:sz w:val="24"/>
                <w:szCs w:val="24"/>
                <w:lang w:val="en-US" w:eastAsia="zh-CN"/>
              </w:rPr>
            </w:pPr>
            <w:r w:rsidRPr="003310E2">
              <w:rPr>
                <w:rFonts w:ascii="Book Antiqua" w:hAnsi="Book Antiqua" w:cs="Arial"/>
                <w:sz w:val="24"/>
                <w:szCs w:val="24"/>
                <w:lang w:val="en-US"/>
              </w:rPr>
              <w:t>30</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(37.5)</w:t>
            </w:r>
          </w:p>
        </w:tc>
      </w:tr>
      <w:tr w:rsidR="003C39BE" w:rsidRPr="00E52F41" w:rsidTr="00C232D0">
        <w:tc>
          <w:tcPr>
            <w:tcW w:w="4177" w:type="pct"/>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Extrahepatic metastases sites, cases by site</w:t>
            </w:r>
          </w:p>
        </w:tc>
        <w:tc>
          <w:tcPr>
            <w:tcW w:w="316" w:type="pct"/>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507" w:type="pct"/>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C232D0" w:rsidRPr="003310E2" w:rsidTr="00C232D0">
        <w:tc>
          <w:tcPr>
            <w:tcW w:w="4177" w:type="pct"/>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Lungs</w:t>
            </w:r>
          </w:p>
        </w:tc>
        <w:tc>
          <w:tcPr>
            <w:tcW w:w="823" w:type="pct"/>
            <w:gridSpan w:val="2"/>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21</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(26.3)</w:t>
            </w:r>
          </w:p>
        </w:tc>
      </w:tr>
      <w:tr w:rsidR="00C232D0" w:rsidRPr="003310E2" w:rsidTr="00C232D0">
        <w:tc>
          <w:tcPr>
            <w:tcW w:w="4177" w:type="pct"/>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Lymph node</w:t>
            </w:r>
          </w:p>
        </w:tc>
        <w:tc>
          <w:tcPr>
            <w:tcW w:w="823" w:type="pct"/>
            <w:gridSpan w:val="2"/>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(7.5)</w:t>
            </w:r>
          </w:p>
        </w:tc>
      </w:tr>
      <w:tr w:rsidR="00C232D0" w:rsidRPr="003310E2" w:rsidTr="00C232D0">
        <w:tc>
          <w:tcPr>
            <w:tcW w:w="4177" w:type="pct"/>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Adrenal, bone, spleen, diaphragm, peritoneum</w:t>
            </w:r>
          </w:p>
        </w:tc>
        <w:tc>
          <w:tcPr>
            <w:tcW w:w="823" w:type="pct"/>
            <w:gridSpan w:val="2"/>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(2.5)</w:t>
            </w:r>
          </w:p>
        </w:tc>
      </w:tr>
      <w:tr w:rsidR="00C232D0" w:rsidRPr="003310E2" w:rsidTr="00C232D0">
        <w:tc>
          <w:tcPr>
            <w:tcW w:w="4177" w:type="pct"/>
            <w:tcBorders>
              <w:bottom w:val="single" w:sz="4" w:space="0" w:color="auto"/>
            </w:tcBorders>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sz w:val="24"/>
                <w:szCs w:val="24"/>
                <w:lang w:val="en-US"/>
              </w:rPr>
              <w:t xml:space="preserve">    Small bowel, bladder, colon, pancreas, pituitaries, thyroid, pleura</w:t>
            </w:r>
          </w:p>
        </w:tc>
        <w:tc>
          <w:tcPr>
            <w:tcW w:w="823" w:type="pct"/>
            <w:gridSpan w:val="2"/>
            <w:tcBorders>
              <w:bottom w:val="single" w:sz="4" w:space="0" w:color="auto"/>
            </w:tcBorders>
          </w:tcPr>
          <w:p w:rsidR="00C232D0"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w:t>
            </w:r>
            <w:r w:rsidRPr="003310E2">
              <w:rPr>
                <w:rFonts w:ascii="Book Antiqua" w:eastAsiaTheme="minorEastAsia" w:hAnsi="Book Antiqua" w:cs="Arial"/>
                <w:sz w:val="24"/>
                <w:szCs w:val="24"/>
                <w:lang w:val="en-US" w:eastAsia="zh-CN"/>
              </w:rPr>
              <w:t xml:space="preserve"> </w:t>
            </w:r>
            <w:r w:rsidRPr="003310E2">
              <w:rPr>
                <w:rFonts w:ascii="Book Antiqua" w:hAnsi="Book Antiqua"/>
                <w:sz w:val="24"/>
                <w:szCs w:val="24"/>
                <w:lang w:val="en-US"/>
              </w:rPr>
              <w:t>(1.3)</w:t>
            </w:r>
          </w:p>
        </w:tc>
      </w:tr>
    </w:tbl>
    <w:p w:rsidR="003C39BE" w:rsidRPr="003310E2" w:rsidRDefault="003C39BE" w:rsidP="003B0F97">
      <w:pPr>
        <w:adjustRightInd w:val="0"/>
        <w:snapToGrid w:val="0"/>
        <w:spacing w:after="0" w:line="360" w:lineRule="auto"/>
        <w:jc w:val="both"/>
        <w:rPr>
          <w:rFonts w:ascii="Book Antiqua" w:hAnsi="Book Antiqua"/>
          <w:sz w:val="24"/>
          <w:szCs w:val="24"/>
          <w:lang w:val="en-US"/>
        </w:rPr>
      </w:pP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sz w:val="24"/>
          <w:szCs w:val="24"/>
          <w:lang w:val="en-US"/>
        </w:rPr>
        <w:br w:type="page"/>
      </w:r>
      <w:r w:rsidRPr="003310E2">
        <w:rPr>
          <w:rFonts w:ascii="Book Antiqua" w:hAnsi="Book Antiqua" w:cs="Arial"/>
          <w:b/>
          <w:sz w:val="24"/>
          <w:szCs w:val="24"/>
          <w:lang w:val="en-US"/>
        </w:rPr>
        <w:lastRenderedPageBreak/>
        <w:t>Table 4</w:t>
      </w:r>
      <w:r w:rsidRPr="003310E2">
        <w:rPr>
          <w:rFonts w:ascii="Book Antiqua" w:hAnsi="Book Antiqua" w:cs="Arial"/>
          <w:sz w:val="24"/>
          <w:szCs w:val="24"/>
          <w:lang w:val="en-US"/>
        </w:rPr>
        <w:t xml:space="preserve"> </w:t>
      </w:r>
      <w:r w:rsidRPr="003310E2">
        <w:rPr>
          <w:rFonts w:ascii="Book Antiqua" w:hAnsi="Book Antiqua" w:cs="Arial"/>
          <w:b/>
          <w:sz w:val="24"/>
          <w:szCs w:val="24"/>
          <w:lang w:val="en-US"/>
        </w:rPr>
        <w:t xml:space="preserve">Overall </w:t>
      </w:r>
      <w:r w:rsidRPr="003310E2">
        <w:rPr>
          <w:rFonts w:ascii="Book Antiqua" w:eastAsiaTheme="minorHAnsi" w:hAnsi="Book Antiqua" w:cs="Arial"/>
          <w:b/>
          <w:sz w:val="24"/>
          <w:szCs w:val="24"/>
          <w:lang w:val="en-US" w:eastAsia="en-US"/>
        </w:rPr>
        <w:t xml:space="preserve">expression and cut-off points for </w:t>
      </w:r>
      <w:r w:rsidRPr="003310E2">
        <w:rPr>
          <w:rFonts w:ascii="Book Antiqua" w:hAnsi="Book Antiqua" w:cs="Arial"/>
          <w:b/>
          <w:sz w:val="24"/>
          <w:szCs w:val="24"/>
          <w:lang w:val="en-US"/>
        </w:rPr>
        <w:t xml:space="preserve">immunohistochemical </w:t>
      </w:r>
      <w:r w:rsidRPr="003310E2">
        <w:rPr>
          <w:rFonts w:ascii="Book Antiqua" w:eastAsiaTheme="minorHAnsi" w:hAnsi="Book Antiqua" w:cs="Arial"/>
          <w:b/>
          <w:sz w:val="24"/>
          <w:szCs w:val="24"/>
          <w:lang w:val="en-US" w:eastAsia="en-US"/>
        </w:rPr>
        <w:t xml:space="preserve">markers in </w:t>
      </w:r>
      <w:r w:rsidRPr="003310E2">
        <w:rPr>
          <w:rFonts w:ascii="Book Antiqua" w:hAnsi="Book Antiqua" w:cs="Arial"/>
          <w:b/>
          <w:sz w:val="24"/>
          <w:szCs w:val="24"/>
          <w:lang w:val="en-US"/>
        </w:rPr>
        <w:t xml:space="preserve">non-neoplastic liver, primary hepatocellular carcinoma and metastases </w:t>
      </w:r>
    </w:p>
    <w:tbl>
      <w:tblPr>
        <w:tblW w:w="5983" w:type="pct"/>
        <w:tblInd w:w="-920" w:type="dxa"/>
        <w:tblCellMar>
          <w:left w:w="70" w:type="dxa"/>
          <w:right w:w="70" w:type="dxa"/>
        </w:tblCellMar>
        <w:tblLook w:val="00A0" w:firstRow="1" w:lastRow="0" w:firstColumn="1" w:lastColumn="0" w:noHBand="0" w:noVBand="0"/>
      </w:tblPr>
      <w:tblGrid>
        <w:gridCol w:w="2770"/>
        <w:gridCol w:w="1792"/>
        <w:gridCol w:w="1820"/>
        <w:gridCol w:w="1627"/>
        <w:gridCol w:w="1340"/>
        <w:gridCol w:w="994"/>
      </w:tblGrid>
      <w:tr w:rsidR="003C39BE" w:rsidRPr="003310E2" w:rsidTr="00C232D0">
        <w:trPr>
          <w:trHeight w:val="300"/>
        </w:trPr>
        <w:tc>
          <w:tcPr>
            <w:tcW w:w="1358"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885"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c>
          <w:tcPr>
            <w:tcW w:w="854"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Non-neoplastic</w:t>
            </w:r>
          </w:p>
        </w:tc>
        <w:tc>
          <w:tcPr>
            <w:tcW w:w="778"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Primary HCC</w:t>
            </w:r>
          </w:p>
        </w:tc>
        <w:tc>
          <w:tcPr>
            <w:tcW w:w="628"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Metastases</w:t>
            </w:r>
          </w:p>
        </w:tc>
        <w:tc>
          <w:tcPr>
            <w:tcW w:w="496"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color w:val="000000"/>
                <w:sz w:val="24"/>
                <w:szCs w:val="24"/>
                <w:lang w:val="en-US"/>
              </w:rPr>
            </w:pPr>
          </w:p>
        </w:tc>
      </w:tr>
      <w:tr w:rsidR="003C39BE" w:rsidRPr="003310E2" w:rsidTr="00C232D0">
        <w:trPr>
          <w:trHeight w:val="300"/>
        </w:trPr>
        <w:tc>
          <w:tcPr>
            <w:tcW w:w="1358" w:type="pct"/>
            <w:tcBorders>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IHC marker</w:t>
            </w:r>
          </w:p>
        </w:tc>
        <w:tc>
          <w:tcPr>
            <w:tcW w:w="885"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Cut-off</w:t>
            </w:r>
          </w:p>
        </w:tc>
        <w:tc>
          <w:tcPr>
            <w:tcW w:w="854"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26 cases</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i/>
                <w:sz w:val="24"/>
                <w:szCs w:val="24"/>
                <w:lang w:val="en-US"/>
              </w:rPr>
              <w:t>n</w:t>
            </w:r>
            <w:r w:rsidRPr="003310E2">
              <w:rPr>
                <w:rFonts w:ascii="Book Antiqua" w:hAnsi="Book Antiqua" w:cs="Arial"/>
                <w:b/>
                <w:sz w:val="24"/>
                <w:szCs w:val="24"/>
                <w:lang w:val="en-US"/>
              </w:rPr>
              <w:t xml:space="preserve"> (%)</w:t>
            </w:r>
          </w:p>
        </w:tc>
        <w:tc>
          <w:tcPr>
            <w:tcW w:w="778"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 xml:space="preserve">75 cases </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i/>
                <w:sz w:val="24"/>
                <w:szCs w:val="24"/>
                <w:lang w:val="en-US"/>
              </w:rPr>
              <w:t>n</w:t>
            </w:r>
            <w:r w:rsidRPr="003310E2">
              <w:rPr>
                <w:rFonts w:ascii="Book Antiqua" w:hAnsi="Book Antiqua" w:cs="Arial"/>
                <w:b/>
                <w:sz w:val="24"/>
                <w:szCs w:val="24"/>
                <w:lang w:val="en-US"/>
              </w:rPr>
              <w:t xml:space="preserve"> (%)</w:t>
            </w:r>
          </w:p>
        </w:tc>
        <w:tc>
          <w:tcPr>
            <w:tcW w:w="628"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 xml:space="preserve">17 cases </w:t>
            </w:r>
          </w:p>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i/>
                <w:sz w:val="24"/>
                <w:szCs w:val="24"/>
                <w:lang w:val="en-US"/>
              </w:rPr>
              <w:t>n</w:t>
            </w:r>
            <w:r w:rsidRPr="003310E2">
              <w:rPr>
                <w:rFonts w:ascii="Book Antiqua" w:hAnsi="Book Antiqua" w:cs="Arial"/>
                <w:b/>
                <w:sz w:val="24"/>
                <w:szCs w:val="24"/>
                <w:lang w:val="en-US"/>
              </w:rPr>
              <w:t xml:space="preserve"> (%)</w:t>
            </w:r>
          </w:p>
        </w:tc>
        <w:tc>
          <w:tcPr>
            <w:tcW w:w="496" w:type="pct"/>
            <w:tcBorders>
              <w:top w:val="single" w:sz="4" w:space="0" w:color="auto"/>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i/>
                <w:color w:val="000000"/>
                <w:sz w:val="24"/>
                <w:szCs w:val="24"/>
                <w:lang w:val="en-US" w:eastAsia="zh-CN"/>
              </w:rPr>
            </w:pPr>
            <w:r w:rsidRPr="003310E2">
              <w:rPr>
                <w:rFonts w:ascii="Book Antiqua" w:hAnsi="Book Antiqua" w:cs="Arial"/>
                <w:b/>
                <w:i/>
                <w:color w:val="000000"/>
                <w:sz w:val="24"/>
                <w:szCs w:val="24"/>
                <w:lang w:val="en-US"/>
              </w:rPr>
              <w:t>P</w:t>
            </w:r>
            <w:r w:rsidR="00C232D0" w:rsidRPr="003310E2">
              <w:rPr>
                <w:rFonts w:ascii="Book Antiqua" w:hAnsi="Book Antiqua" w:cs="Arial"/>
                <w:b/>
                <w:i/>
                <w:color w:val="000000"/>
                <w:sz w:val="24"/>
                <w:szCs w:val="24"/>
                <w:lang w:val="en-US" w:eastAsia="zh-CN"/>
              </w:rPr>
              <w:t>-</w:t>
            </w:r>
            <w:r w:rsidR="00C232D0" w:rsidRPr="003310E2">
              <w:rPr>
                <w:rFonts w:ascii="Book Antiqua" w:hAnsi="Book Antiqua" w:cs="Arial"/>
                <w:b/>
                <w:color w:val="000000"/>
                <w:sz w:val="24"/>
                <w:szCs w:val="24"/>
                <w:lang w:val="en-US" w:eastAsia="zh-CN"/>
              </w:rPr>
              <w:t>value</w:t>
            </w:r>
          </w:p>
        </w:tc>
      </w:tr>
      <w:tr w:rsidR="003C39BE" w:rsidRPr="003310E2" w:rsidTr="00C232D0">
        <w:trPr>
          <w:trHeight w:val="300"/>
        </w:trPr>
        <w:tc>
          <w:tcPr>
            <w:tcW w:w="1358"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885"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i/>
                <w:sz w:val="24"/>
                <w:szCs w:val="24"/>
                <w:lang w:val="en-US"/>
              </w:rPr>
            </w:pPr>
          </w:p>
        </w:tc>
        <w:tc>
          <w:tcPr>
            <w:tcW w:w="854"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c>
          <w:tcPr>
            <w:tcW w:w="778"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628"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496" w:type="pct"/>
            <w:tcBorders>
              <w:top w:val="single" w:sz="4" w:space="0" w:color="auto"/>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p>
        </w:tc>
      </w:tr>
      <w:tr w:rsidR="003C39BE" w:rsidRPr="003310E2" w:rsidTr="00C232D0">
        <w:trPr>
          <w:trHeight w:val="300"/>
        </w:trPr>
        <w:tc>
          <w:tcPr>
            <w:tcW w:w="135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i/>
                <w:sz w:val="24"/>
                <w:szCs w:val="24"/>
                <w:lang w:val="en-US"/>
              </w:rPr>
            </w:pPr>
            <w:r w:rsidRPr="003310E2">
              <w:rPr>
                <w:rFonts w:ascii="Book Antiqua" w:hAnsi="Book Antiqua" w:cs="Arial"/>
                <w:sz w:val="24"/>
                <w:szCs w:val="24"/>
                <w:lang w:val="en-US"/>
              </w:rPr>
              <w:t>EGFR</w:t>
            </w:r>
            <w:r w:rsidRPr="003310E2">
              <w:rPr>
                <w:rFonts w:ascii="Book Antiqua" w:hAnsi="Book Antiqua" w:cs="Arial"/>
                <w:i/>
                <w:sz w:val="24"/>
                <w:szCs w:val="24"/>
                <w:lang w:val="en-US"/>
              </w:rPr>
              <w:t xml:space="preserve"> </w:t>
            </w:r>
            <w:r w:rsidRPr="003310E2">
              <w:rPr>
                <w:rFonts w:ascii="Book Antiqua" w:hAnsi="Book Antiqua" w:cs="Arial"/>
                <w:sz w:val="24"/>
                <w:szCs w:val="24"/>
                <w:lang w:val="en-US"/>
              </w:rPr>
              <w:t>overexpression</w:t>
            </w:r>
          </w:p>
        </w:tc>
        <w:tc>
          <w:tcPr>
            <w:tcW w:w="885"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854"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17 (65)</w:t>
            </w:r>
          </w:p>
        </w:tc>
        <w:tc>
          <w:tcPr>
            <w:tcW w:w="77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29 (39)</w:t>
            </w:r>
          </w:p>
        </w:tc>
        <w:tc>
          <w:tcPr>
            <w:tcW w:w="62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 (38)</w:t>
            </w:r>
            <w:r w:rsidR="00C232D0" w:rsidRPr="003310E2">
              <w:rPr>
                <w:rFonts w:ascii="Book Antiqua" w:hAnsi="Book Antiqua" w:cs="Arial"/>
                <w:sz w:val="24"/>
                <w:szCs w:val="24"/>
                <w:vertAlign w:val="superscript"/>
                <w:lang w:val="en-US"/>
              </w:rPr>
              <w:t>2</w:t>
            </w:r>
          </w:p>
        </w:tc>
        <w:tc>
          <w:tcPr>
            <w:tcW w:w="496"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0.054</w:t>
            </w:r>
          </w:p>
        </w:tc>
      </w:tr>
      <w:tr w:rsidR="003C39BE" w:rsidRPr="003310E2" w:rsidTr="00C232D0">
        <w:trPr>
          <w:trHeight w:val="300"/>
        </w:trPr>
        <w:tc>
          <w:tcPr>
            <w:tcW w:w="1358"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Ki67</w:t>
            </w:r>
          </w:p>
        </w:tc>
        <w:tc>
          <w:tcPr>
            <w:tcW w:w="885"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0.1% </w:t>
            </w:r>
          </w:p>
        </w:tc>
        <w:tc>
          <w:tcPr>
            <w:tcW w:w="854"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(8)</w:t>
            </w:r>
            <w:r w:rsidRPr="003310E2">
              <w:rPr>
                <w:rFonts w:ascii="Book Antiqua" w:hAnsi="Book Antiqua" w:cs="Arial"/>
                <w:sz w:val="24"/>
                <w:szCs w:val="24"/>
                <w:vertAlign w:val="superscript"/>
                <w:lang w:val="en-US"/>
              </w:rPr>
              <w:t>a</w:t>
            </w:r>
          </w:p>
        </w:tc>
        <w:tc>
          <w:tcPr>
            <w:tcW w:w="778"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45 (63)</w:t>
            </w:r>
            <w:r w:rsidR="00C232D0" w:rsidRPr="003310E2">
              <w:rPr>
                <w:rFonts w:ascii="Book Antiqua" w:hAnsi="Book Antiqua" w:cs="Arial"/>
                <w:sz w:val="24"/>
                <w:szCs w:val="24"/>
                <w:vertAlign w:val="superscript"/>
                <w:lang w:val="en-US"/>
              </w:rPr>
              <w:t>4</w:t>
            </w:r>
          </w:p>
        </w:tc>
        <w:tc>
          <w:tcPr>
            <w:tcW w:w="628"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13 (76)</w:t>
            </w:r>
          </w:p>
        </w:tc>
        <w:tc>
          <w:tcPr>
            <w:tcW w:w="496" w:type="pct"/>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&lt; 0.001</w:t>
            </w:r>
            <w:r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K19</w:t>
            </w:r>
          </w:p>
        </w:tc>
        <w:tc>
          <w:tcPr>
            <w:tcW w:w="885"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1%</w:t>
            </w:r>
          </w:p>
        </w:tc>
        <w:tc>
          <w:tcPr>
            <w:tcW w:w="854"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r w:rsidR="00841D4B" w:rsidRPr="003310E2">
              <w:rPr>
                <w:rFonts w:ascii="Book Antiqua" w:hAnsi="Book Antiqua" w:cs="Arial"/>
                <w:sz w:val="24"/>
                <w:szCs w:val="24"/>
                <w:vertAlign w:val="superscript"/>
                <w:lang w:val="en-US"/>
              </w:rPr>
              <w:t>a</w:t>
            </w:r>
          </w:p>
        </w:tc>
        <w:tc>
          <w:tcPr>
            <w:tcW w:w="778"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12 (16)</w:t>
            </w:r>
            <w:r w:rsidR="00C232D0" w:rsidRPr="003310E2">
              <w:rPr>
                <w:rFonts w:ascii="Book Antiqua" w:hAnsi="Book Antiqua" w:cs="Arial"/>
                <w:sz w:val="24"/>
                <w:szCs w:val="24"/>
                <w:vertAlign w:val="superscript"/>
                <w:lang w:val="en-US"/>
              </w:rPr>
              <w:t>3</w:t>
            </w:r>
          </w:p>
        </w:tc>
        <w:tc>
          <w:tcPr>
            <w:tcW w:w="628"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(29)</w:t>
            </w:r>
          </w:p>
        </w:tc>
        <w:tc>
          <w:tcPr>
            <w:tcW w:w="496" w:type="pct"/>
            <w:tcBorders>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0.011</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Vimentin</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0/300</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(6)</w:t>
            </w:r>
            <w:r w:rsidR="00C232D0" w:rsidRPr="003310E2">
              <w:rPr>
                <w:rFonts w:ascii="Book Antiqua" w:hAnsi="Book Antiqua" w:cs="Arial"/>
                <w:sz w:val="24"/>
                <w:szCs w:val="24"/>
                <w:vertAlign w:val="superscript"/>
                <w:lang w:val="en-US"/>
              </w:rPr>
              <w:t>3</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(18)</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0.064</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Caspase 3 loss</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10/300</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(8)</w:t>
            </w:r>
            <w:r w:rsidR="00841D4B" w:rsidRPr="003310E2">
              <w:rPr>
                <w:rFonts w:ascii="Book Antiqua" w:hAnsi="Book Antiqua" w:cs="Arial"/>
                <w:sz w:val="24"/>
                <w:szCs w:val="24"/>
                <w:vertAlign w:val="superscript"/>
                <w:lang w:val="en-US"/>
              </w:rPr>
              <w:t>a</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26 (36)</w:t>
            </w:r>
            <w:r w:rsidR="00C232D0" w:rsidRPr="003310E2">
              <w:rPr>
                <w:rFonts w:ascii="Book Antiqua" w:hAnsi="Book Antiqua" w:cs="Arial"/>
                <w:sz w:val="24"/>
                <w:szCs w:val="24"/>
                <w:vertAlign w:val="superscript"/>
                <w:lang w:val="en-US"/>
              </w:rPr>
              <w:t>3</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7 (41)</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0.009</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Cyclin D1</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0.1%</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(15)</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16 (23)</w:t>
            </w:r>
            <w:r w:rsidR="00C232D0" w:rsidRPr="003310E2">
              <w:rPr>
                <w:rFonts w:ascii="Book Antiqua" w:hAnsi="Book Antiqua" w:cs="Arial"/>
                <w:sz w:val="24"/>
                <w:szCs w:val="24"/>
                <w:vertAlign w:val="superscript"/>
                <w:lang w:val="en-US" w:eastAsia="zh-CN"/>
              </w:rPr>
              <w:t>5</w:t>
            </w:r>
          </w:p>
        </w:tc>
        <w:tc>
          <w:tcPr>
            <w:tcW w:w="628" w:type="pct"/>
            <w:tcBorders>
              <w:top w:val="nil"/>
              <w:left w:val="nil"/>
              <w:bottom w:val="nil"/>
              <w:right w:val="nil"/>
            </w:tcBorders>
            <w:noWrap/>
            <w:vAlign w:val="bottom"/>
          </w:tcPr>
          <w:p w:rsidR="003C39BE" w:rsidRPr="003310E2" w:rsidRDefault="003C39BE" w:rsidP="00841D4B">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9 (53)</w:t>
            </w:r>
            <w:r w:rsidR="00841D4B">
              <w:rPr>
                <w:rFonts w:ascii="Book Antiqua" w:hAnsi="Book Antiqua" w:cs="Arial" w:hint="eastAsia"/>
                <w:sz w:val="24"/>
                <w:szCs w:val="24"/>
                <w:vertAlign w:val="superscript"/>
                <w:lang w:val="en-US" w:eastAsia="zh-CN"/>
              </w:rPr>
              <w:t>a</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0.018</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mTOR expression</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(31)</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14 (21)</w:t>
            </w:r>
            <w:r w:rsidR="00C232D0" w:rsidRPr="003310E2">
              <w:rPr>
                <w:rFonts w:ascii="Book Antiqua" w:hAnsi="Book Antiqua" w:cs="Arial"/>
                <w:sz w:val="24"/>
                <w:szCs w:val="24"/>
                <w:vertAlign w:val="superscript"/>
                <w:lang w:val="en-US" w:eastAsia="zh-CN"/>
              </w:rPr>
              <w:t>5</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(31)</w:t>
            </w:r>
            <w:r w:rsidR="00C232D0" w:rsidRPr="003310E2">
              <w:rPr>
                <w:rFonts w:ascii="Book Antiqua" w:hAnsi="Book Antiqua" w:cs="Arial"/>
                <w:sz w:val="24"/>
                <w:szCs w:val="24"/>
                <w:vertAlign w:val="superscript"/>
                <w:lang w:val="en-US"/>
              </w:rPr>
              <w:t>2</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0.533</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MET expression</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10 (38)</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12 (17)</w:t>
            </w:r>
            <w:r w:rsidR="00C232D0" w:rsidRPr="003310E2">
              <w:rPr>
                <w:rFonts w:ascii="Book Antiqua" w:hAnsi="Book Antiqua" w:cs="Arial"/>
                <w:sz w:val="24"/>
                <w:szCs w:val="24"/>
                <w:vertAlign w:val="superscript"/>
                <w:lang w:val="en-US"/>
              </w:rPr>
              <w:t>4</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(29)</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0.068</w:t>
            </w:r>
          </w:p>
        </w:tc>
      </w:tr>
      <w:tr w:rsidR="003C39BE" w:rsidRPr="003310E2" w:rsidTr="00C232D0">
        <w:trPr>
          <w:trHeight w:val="300"/>
        </w:trPr>
        <w:tc>
          <w:tcPr>
            <w:tcW w:w="135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ERK1 overexpression</w:t>
            </w:r>
          </w:p>
        </w:tc>
        <w:tc>
          <w:tcPr>
            <w:tcW w:w="885"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854" w:type="pct"/>
            <w:tcBorders>
              <w:top w:val="nil"/>
              <w:left w:val="nil"/>
              <w:right w:val="nil"/>
            </w:tcBorders>
            <w:noWrap/>
            <w:vAlign w:val="bottom"/>
          </w:tcPr>
          <w:p w:rsidR="003C39BE" w:rsidRPr="003310E2" w:rsidRDefault="003C39BE" w:rsidP="00841D4B">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 (0)</w:t>
            </w:r>
            <w:r w:rsidR="00841D4B">
              <w:rPr>
                <w:rFonts w:ascii="Book Antiqua" w:hAnsi="Book Antiqua" w:cs="Arial" w:hint="eastAsia"/>
                <w:sz w:val="24"/>
                <w:szCs w:val="24"/>
                <w:vertAlign w:val="superscript"/>
                <w:lang w:val="en-US" w:eastAsia="zh-CN"/>
              </w:rPr>
              <w:t>a</w:t>
            </w:r>
          </w:p>
        </w:tc>
        <w:tc>
          <w:tcPr>
            <w:tcW w:w="77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10 (14)</w:t>
            </w:r>
            <w:r w:rsidR="00C232D0" w:rsidRPr="003310E2">
              <w:rPr>
                <w:rFonts w:ascii="Book Antiqua" w:hAnsi="Book Antiqua" w:cs="Arial"/>
                <w:sz w:val="24"/>
                <w:szCs w:val="24"/>
                <w:vertAlign w:val="superscript"/>
                <w:lang w:val="en-US"/>
              </w:rPr>
              <w:t>4</w:t>
            </w:r>
          </w:p>
        </w:tc>
        <w:tc>
          <w:tcPr>
            <w:tcW w:w="628"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(33)</w:t>
            </w:r>
            <w:r w:rsidR="00C232D0" w:rsidRPr="003310E2">
              <w:rPr>
                <w:rFonts w:ascii="Book Antiqua" w:hAnsi="Book Antiqua" w:cs="Arial"/>
                <w:sz w:val="24"/>
                <w:szCs w:val="24"/>
                <w:vertAlign w:val="superscript"/>
                <w:lang w:val="en-US"/>
              </w:rPr>
              <w:t>3</w:t>
            </w:r>
          </w:p>
        </w:tc>
        <w:tc>
          <w:tcPr>
            <w:tcW w:w="496" w:type="pct"/>
            <w:tcBorders>
              <w:top w:val="nil"/>
              <w:left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0.006</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ERK2 overexpression</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854" w:type="pct"/>
            <w:tcBorders>
              <w:top w:val="nil"/>
              <w:left w:val="nil"/>
              <w:bottom w:val="nil"/>
              <w:right w:val="nil"/>
            </w:tcBorders>
            <w:noWrap/>
            <w:vAlign w:val="bottom"/>
          </w:tcPr>
          <w:p w:rsidR="003C39BE" w:rsidRPr="003310E2" w:rsidRDefault="003C39BE" w:rsidP="00841D4B">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 (0)</w:t>
            </w:r>
            <w:r w:rsidR="00841D4B">
              <w:rPr>
                <w:rFonts w:ascii="Book Antiqua" w:hAnsi="Book Antiqua" w:cs="Arial" w:hint="eastAsia"/>
                <w:sz w:val="24"/>
                <w:szCs w:val="24"/>
                <w:vertAlign w:val="superscript"/>
                <w:lang w:val="en-US" w:eastAsia="zh-CN"/>
              </w:rPr>
              <w:t>a</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10 (14)</w:t>
            </w:r>
            <w:r w:rsidR="00C232D0" w:rsidRPr="003310E2">
              <w:rPr>
                <w:rFonts w:ascii="Book Antiqua" w:hAnsi="Book Antiqua" w:cs="Arial"/>
                <w:sz w:val="24"/>
                <w:szCs w:val="24"/>
                <w:vertAlign w:val="superscript"/>
                <w:lang w:val="en-US"/>
              </w:rPr>
              <w:t>4</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(24)</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color w:val="000000"/>
                <w:sz w:val="24"/>
                <w:szCs w:val="24"/>
                <w:lang w:val="en-US"/>
              </w:rPr>
              <w:t>0.029</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p53</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w:t>
            </w:r>
          </w:p>
        </w:tc>
        <w:tc>
          <w:tcPr>
            <w:tcW w:w="854" w:type="pct"/>
            <w:tcBorders>
              <w:top w:val="nil"/>
              <w:left w:val="nil"/>
              <w:bottom w:val="nil"/>
              <w:right w:val="nil"/>
            </w:tcBorders>
            <w:noWrap/>
            <w:vAlign w:val="bottom"/>
          </w:tcPr>
          <w:p w:rsidR="003C39BE" w:rsidRPr="003310E2" w:rsidRDefault="003C39BE" w:rsidP="00841D4B">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2 (8)</w:t>
            </w:r>
            <w:r w:rsidR="00841D4B">
              <w:rPr>
                <w:rFonts w:ascii="Book Antiqua" w:hAnsi="Book Antiqua" w:cs="Arial" w:hint="eastAsia"/>
                <w:sz w:val="24"/>
                <w:szCs w:val="24"/>
                <w:vertAlign w:val="superscript"/>
                <w:lang w:val="en-US" w:eastAsia="zh-CN"/>
              </w:rPr>
              <w:t>a</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28 (42)</w:t>
            </w:r>
            <w:r w:rsidR="00C232D0" w:rsidRPr="003310E2">
              <w:rPr>
                <w:rFonts w:ascii="Book Antiqua" w:hAnsi="Book Antiqua" w:cs="Arial"/>
                <w:sz w:val="24"/>
                <w:szCs w:val="24"/>
                <w:vertAlign w:val="superscript"/>
                <w:lang w:val="en-US" w:eastAsia="zh-CN"/>
              </w:rPr>
              <w:t>5</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(50)</w:t>
            </w:r>
            <w:r w:rsidR="00C232D0" w:rsidRPr="003310E2">
              <w:rPr>
                <w:rFonts w:ascii="Book Antiqua" w:hAnsi="Book Antiqua" w:cs="Arial"/>
                <w:sz w:val="24"/>
                <w:szCs w:val="24"/>
                <w:vertAlign w:val="superscript"/>
                <w:lang w:val="en-US"/>
              </w:rPr>
              <w:t>2</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color w:val="000000"/>
                <w:sz w:val="24"/>
                <w:szCs w:val="24"/>
                <w:lang w:val="en-US"/>
              </w:rPr>
            </w:pPr>
            <w:r w:rsidRPr="003310E2">
              <w:rPr>
                <w:rFonts w:ascii="Book Antiqua" w:hAnsi="Book Antiqua" w:cs="Arial"/>
                <w:sz w:val="24"/>
                <w:szCs w:val="24"/>
                <w:lang w:val="en-US"/>
              </w:rPr>
              <w:t>0.002</w:t>
            </w:r>
            <w:r w:rsidR="00C232D0" w:rsidRPr="003310E2">
              <w:rPr>
                <w:rFonts w:ascii="Book Antiqua" w:hAnsi="Book Antiqua" w:cs="Arial"/>
                <w:sz w:val="24"/>
                <w:szCs w:val="24"/>
                <w:vertAlign w:val="superscript"/>
                <w:lang w:val="en-US"/>
              </w:rPr>
              <w:t>a</w:t>
            </w:r>
          </w:p>
        </w:tc>
      </w:tr>
      <w:tr w:rsidR="003C39BE" w:rsidRPr="003310E2" w:rsidTr="00C232D0">
        <w:trPr>
          <w:trHeight w:val="300"/>
        </w:trPr>
        <w:tc>
          <w:tcPr>
            <w:tcW w:w="135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Beta-catenin, membrane</w:t>
            </w:r>
          </w:p>
        </w:tc>
        <w:tc>
          <w:tcPr>
            <w:tcW w:w="885"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854"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10 (38)</w:t>
            </w:r>
          </w:p>
        </w:tc>
        <w:tc>
          <w:tcPr>
            <w:tcW w:w="77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42 (61)</w:t>
            </w:r>
            <w:r w:rsidR="00C232D0" w:rsidRPr="003310E2">
              <w:rPr>
                <w:rFonts w:ascii="Book Antiqua" w:hAnsi="Book Antiqua" w:cs="Arial"/>
                <w:sz w:val="24"/>
                <w:szCs w:val="24"/>
                <w:vertAlign w:val="superscript"/>
                <w:lang w:val="en-US" w:eastAsia="zh-CN"/>
              </w:rPr>
              <w:t>5</w:t>
            </w:r>
          </w:p>
        </w:tc>
        <w:tc>
          <w:tcPr>
            <w:tcW w:w="628"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11 (65)</w:t>
            </w:r>
          </w:p>
        </w:tc>
        <w:tc>
          <w:tcPr>
            <w:tcW w:w="496" w:type="pct"/>
            <w:tcBorders>
              <w:top w:val="nil"/>
              <w:left w:val="nil"/>
              <w:bottom w:val="nil"/>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0.113</w:t>
            </w:r>
          </w:p>
        </w:tc>
      </w:tr>
      <w:tr w:rsidR="003C39BE" w:rsidRPr="003310E2" w:rsidTr="00C232D0">
        <w:trPr>
          <w:trHeight w:val="300"/>
        </w:trPr>
        <w:tc>
          <w:tcPr>
            <w:tcW w:w="1358"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Beta-catenin, nucleus</w:t>
            </w:r>
          </w:p>
        </w:tc>
        <w:tc>
          <w:tcPr>
            <w:tcW w:w="885"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or 3+</w:t>
            </w:r>
          </w:p>
        </w:tc>
        <w:tc>
          <w:tcPr>
            <w:tcW w:w="854"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778"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(9)</w:t>
            </w:r>
            <w:r w:rsidR="00C232D0" w:rsidRPr="003310E2">
              <w:rPr>
                <w:rFonts w:ascii="Book Antiqua" w:hAnsi="Book Antiqua" w:cs="Arial"/>
                <w:sz w:val="24"/>
                <w:szCs w:val="24"/>
                <w:vertAlign w:val="superscript"/>
                <w:lang w:val="en-US" w:eastAsia="zh-CN"/>
              </w:rPr>
              <w:t>5</w:t>
            </w:r>
          </w:p>
        </w:tc>
        <w:tc>
          <w:tcPr>
            <w:tcW w:w="628"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(18)</w:t>
            </w:r>
          </w:p>
        </w:tc>
        <w:tc>
          <w:tcPr>
            <w:tcW w:w="496" w:type="pct"/>
            <w:tcBorders>
              <w:top w:val="nil"/>
              <w:left w:val="nil"/>
              <w:bottom w:val="single" w:sz="4" w:space="0" w:color="auto"/>
              <w:right w:val="nil"/>
            </w:tcBorders>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0.070</w:t>
            </w:r>
          </w:p>
        </w:tc>
      </w:tr>
    </w:tbl>
    <w:p w:rsidR="003C39BE"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vertAlign w:val="superscript"/>
          <w:lang w:val="en-US" w:eastAsia="zh-CN"/>
        </w:rPr>
        <w:t>1</w:t>
      </w:r>
      <w:r w:rsidR="003C39BE" w:rsidRPr="003310E2">
        <w:rPr>
          <w:rFonts w:ascii="Book Antiqua" w:hAnsi="Book Antiqua" w:cs="Arial"/>
          <w:sz w:val="24"/>
          <w:szCs w:val="24"/>
          <w:lang w:val="en-US"/>
        </w:rPr>
        <w:t xml:space="preserve">Score value; </w:t>
      </w:r>
      <w:r w:rsidRPr="003310E2">
        <w:rPr>
          <w:rFonts w:ascii="Book Antiqua" w:hAnsi="Book Antiqua" w:cs="Arial"/>
          <w:sz w:val="24"/>
          <w:szCs w:val="24"/>
          <w:vertAlign w:val="superscript"/>
          <w:lang w:val="en-US"/>
        </w:rPr>
        <w:t>2</w:t>
      </w:r>
      <w:r w:rsidR="003C39BE" w:rsidRPr="003310E2">
        <w:rPr>
          <w:rFonts w:ascii="Book Antiqua" w:hAnsi="Book Antiqua" w:cs="Arial"/>
          <w:sz w:val="24"/>
          <w:szCs w:val="24"/>
          <w:lang w:val="en-US"/>
        </w:rPr>
        <w:t>One case lost during technical processing (</w:t>
      </w:r>
      <w:r w:rsidR="003C39BE" w:rsidRPr="003310E2">
        <w:rPr>
          <w:rFonts w:ascii="Book Antiqua" w:hAnsi="Book Antiqua" w:cs="Arial"/>
          <w:i/>
          <w:sz w:val="24"/>
          <w:szCs w:val="24"/>
          <w:lang w:val="en-US"/>
        </w:rPr>
        <w:t>n</w:t>
      </w:r>
      <w:r w:rsidR="003C39BE" w:rsidRPr="003310E2">
        <w:rPr>
          <w:rFonts w:ascii="Book Antiqua" w:hAnsi="Book Antiqua" w:cs="Arial"/>
          <w:sz w:val="24"/>
          <w:szCs w:val="24"/>
          <w:lang w:val="en-US"/>
        </w:rPr>
        <w:t xml:space="preserve"> -1); </w:t>
      </w:r>
      <w:r w:rsidRPr="003310E2">
        <w:rPr>
          <w:rFonts w:ascii="Book Antiqua" w:hAnsi="Book Antiqua" w:cs="Arial"/>
          <w:sz w:val="24"/>
          <w:szCs w:val="24"/>
          <w:vertAlign w:val="superscript"/>
          <w:lang w:val="en-US"/>
        </w:rPr>
        <w:t>3</w:t>
      </w:r>
      <w:r w:rsidR="003C39BE" w:rsidRPr="003310E2">
        <w:rPr>
          <w:rFonts w:ascii="Book Antiqua" w:hAnsi="Book Antiqua" w:cs="Arial"/>
          <w:sz w:val="24"/>
          <w:szCs w:val="24"/>
          <w:lang w:val="en-US"/>
        </w:rPr>
        <w:t>Two cases lost during technical processing (</w:t>
      </w:r>
      <w:r w:rsidR="003C39BE" w:rsidRPr="003310E2">
        <w:rPr>
          <w:rFonts w:ascii="Book Antiqua" w:hAnsi="Book Antiqua" w:cs="Arial"/>
          <w:i/>
          <w:sz w:val="24"/>
          <w:szCs w:val="24"/>
          <w:lang w:val="en-US"/>
        </w:rPr>
        <w:t xml:space="preserve">n </w:t>
      </w:r>
      <w:r w:rsidR="003C39BE" w:rsidRPr="003310E2">
        <w:rPr>
          <w:rFonts w:ascii="Book Antiqua" w:hAnsi="Book Antiqua" w:cs="Arial"/>
          <w:sz w:val="24"/>
          <w:szCs w:val="24"/>
          <w:lang w:val="en-US"/>
        </w:rPr>
        <w:t xml:space="preserve">-2); </w:t>
      </w:r>
      <w:r w:rsidRPr="003310E2">
        <w:rPr>
          <w:rFonts w:ascii="Book Antiqua" w:hAnsi="Book Antiqua" w:cs="Arial"/>
          <w:sz w:val="24"/>
          <w:szCs w:val="24"/>
          <w:vertAlign w:val="superscript"/>
          <w:lang w:val="en-US"/>
        </w:rPr>
        <w:t>4</w:t>
      </w:r>
      <w:r w:rsidR="003C39BE" w:rsidRPr="003310E2">
        <w:rPr>
          <w:rFonts w:ascii="Book Antiqua" w:hAnsi="Book Antiqua" w:cs="Arial"/>
          <w:sz w:val="24"/>
          <w:szCs w:val="24"/>
          <w:lang w:val="en-US"/>
        </w:rPr>
        <w:t xml:space="preserve">Three cases lost during technical processing (n -3); </w:t>
      </w:r>
      <w:r w:rsidRPr="003310E2">
        <w:rPr>
          <w:rFonts w:ascii="Book Antiqua" w:hAnsi="Book Antiqua" w:cs="Arial"/>
          <w:sz w:val="24"/>
          <w:szCs w:val="24"/>
          <w:vertAlign w:val="superscript"/>
          <w:lang w:val="en-US" w:eastAsia="zh-CN"/>
        </w:rPr>
        <w:t>5</w:t>
      </w:r>
      <w:r w:rsidR="003C39BE" w:rsidRPr="003310E2">
        <w:rPr>
          <w:rFonts w:ascii="Book Antiqua" w:hAnsi="Book Antiqua" w:cs="Arial"/>
          <w:sz w:val="24"/>
          <w:szCs w:val="24"/>
          <w:lang w:val="en-US"/>
        </w:rPr>
        <w:t>Four or more cases l</w:t>
      </w:r>
      <w:r w:rsidRPr="003310E2">
        <w:rPr>
          <w:rFonts w:ascii="Book Antiqua" w:hAnsi="Book Antiqua" w:cs="Arial"/>
          <w:sz w:val="24"/>
          <w:szCs w:val="24"/>
          <w:lang w:val="en-US"/>
        </w:rPr>
        <w:t>ost during technical processing</w:t>
      </w:r>
      <w:r w:rsidRPr="003310E2">
        <w:rPr>
          <w:rFonts w:ascii="Book Antiqua" w:hAnsi="Book Antiqua" w:cs="Arial"/>
          <w:sz w:val="24"/>
          <w:szCs w:val="24"/>
          <w:lang w:val="en-US" w:eastAsia="zh-CN"/>
        </w:rPr>
        <w:t xml:space="preserve">. </w:t>
      </w:r>
      <w:r w:rsidR="003C39BE" w:rsidRPr="003310E2">
        <w:rPr>
          <w:rFonts w:ascii="Book Antiqua" w:hAnsi="Book Antiqua" w:cs="Arial"/>
          <w:sz w:val="24"/>
          <w:szCs w:val="24"/>
          <w:vertAlign w:val="superscript"/>
          <w:lang w:val="en-US"/>
        </w:rPr>
        <w:t>a</w:t>
      </w:r>
      <w:r w:rsidR="003C39BE" w:rsidRPr="003310E2">
        <w:rPr>
          <w:rFonts w:ascii="Book Antiqua" w:hAnsi="Book Antiqua" w:cs="Arial"/>
          <w:i/>
          <w:sz w:val="24"/>
          <w:szCs w:val="24"/>
          <w:lang w:val="en-US"/>
        </w:rPr>
        <w:t>P</w:t>
      </w:r>
      <w:r w:rsidR="003C39BE" w:rsidRPr="003310E2">
        <w:rPr>
          <w:rFonts w:ascii="Book Antiqua" w:hAnsi="Book Antiqua" w:cs="Arial"/>
          <w:sz w:val="24"/>
          <w:szCs w:val="24"/>
          <w:lang w:val="en-US"/>
        </w:rPr>
        <w:t xml:space="preserve"> &lt; 0.</w:t>
      </w:r>
      <w:r w:rsidRPr="003310E2">
        <w:rPr>
          <w:rFonts w:ascii="Book Antiqua" w:hAnsi="Book Antiqua" w:cs="Arial"/>
          <w:sz w:val="24"/>
          <w:szCs w:val="24"/>
          <w:lang w:val="en-US"/>
        </w:rPr>
        <w:t>05 (outliers in pairwise test).</w:t>
      </w:r>
      <w:r w:rsidRPr="003310E2">
        <w:rPr>
          <w:rFonts w:ascii="Book Antiqua" w:hAnsi="Book Antiqua" w:cs="Arial"/>
          <w:sz w:val="24"/>
          <w:szCs w:val="24"/>
          <w:lang w:val="en-US" w:eastAsia="zh-CN"/>
        </w:rPr>
        <w:t xml:space="preserve"> </w:t>
      </w:r>
      <w:r w:rsidR="003C39BE" w:rsidRPr="003310E2">
        <w:rPr>
          <w:rFonts w:ascii="Book Antiqua" w:hAnsi="Book Antiqua" w:cs="Arial"/>
          <w:sz w:val="24"/>
          <w:szCs w:val="24"/>
          <w:lang w:val="en-US"/>
        </w:rPr>
        <w:t>EGFR: Epidermal growth factor receptor; ERK: Extracellular signaling-related kinase; HCC: H</w:t>
      </w:r>
      <w:r w:rsidR="003C39BE" w:rsidRPr="003310E2">
        <w:rPr>
          <w:rFonts w:ascii="Book Antiqua" w:eastAsiaTheme="minorHAnsi" w:hAnsi="Book Antiqua" w:cs="Arial"/>
          <w:sz w:val="24"/>
          <w:szCs w:val="24"/>
          <w:lang w:val="en-US" w:eastAsia="en-US"/>
        </w:rPr>
        <w:t>epatocellular carcinoma; IHC: immunohistochemistry; MET: MET receptor tyrosine kinase</w:t>
      </w:r>
      <w:r w:rsidR="003C39BE" w:rsidRPr="003310E2">
        <w:rPr>
          <w:rFonts w:ascii="Book Antiqua" w:hAnsi="Book Antiqua" w:cs="Arial"/>
          <w:sz w:val="24"/>
          <w:szCs w:val="24"/>
          <w:lang w:val="en-US"/>
        </w:rPr>
        <w:t xml:space="preserve">; </w:t>
      </w:r>
      <w:r w:rsidR="003C39BE" w:rsidRPr="003310E2">
        <w:rPr>
          <w:rFonts w:ascii="Book Antiqua" w:eastAsiaTheme="minorHAnsi" w:hAnsi="Book Antiqua" w:cs="Arial"/>
          <w:sz w:val="24"/>
          <w:szCs w:val="24"/>
          <w:lang w:val="en-US" w:eastAsia="en-US"/>
        </w:rPr>
        <w:t xml:space="preserve">mTOR: </w:t>
      </w:r>
      <w:r w:rsidR="003C39BE" w:rsidRPr="003310E2">
        <w:rPr>
          <w:rStyle w:val="Strong"/>
          <w:rFonts w:ascii="Book Antiqua" w:hAnsi="Book Antiqua" w:cs="Arial"/>
          <w:b w:val="0"/>
          <w:sz w:val="24"/>
          <w:szCs w:val="24"/>
          <w:lang w:val="en-US"/>
        </w:rPr>
        <w:t>Mechanistic target of rapamycin</w:t>
      </w:r>
      <w:r w:rsidR="003C39BE" w:rsidRPr="003310E2">
        <w:rPr>
          <w:rFonts w:ascii="Book Antiqua" w:eastAsiaTheme="minorHAnsi" w:hAnsi="Book Antiqua" w:cs="Arial"/>
          <w:sz w:val="24"/>
          <w:szCs w:val="24"/>
          <w:lang w:val="en-US" w:eastAsia="en-US"/>
        </w:rPr>
        <w:t>.</w:t>
      </w:r>
    </w:p>
    <w:p w:rsidR="003C39BE" w:rsidRPr="003310E2" w:rsidRDefault="003C39BE" w:rsidP="003B0F97">
      <w:pPr>
        <w:adjustRightInd w:val="0"/>
        <w:snapToGrid w:val="0"/>
        <w:spacing w:after="0" w:line="360" w:lineRule="auto"/>
        <w:rPr>
          <w:rFonts w:ascii="Book Antiqua" w:hAnsi="Book Antiqua" w:cs="Arial"/>
          <w:b/>
          <w:sz w:val="24"/>
          <w:szCs w:val="24"/>
          <w:lang w:val="en-US"/>
        </w:rPr>
      </w:pPr>
      <w:r w:rsidRPr="003310E2">
        <w:rPr>
          <w:rFonts w:ascii="Book Antiqua" w:hAnsi="Book Antiqua" w:cs="Arial"/>
          <w:b/>
          <w:sz w:val="24"/>
          <w:szCs w:val="24"/>
          <w:lang w:val="en-US"/>
        </w:rPr>
        <w:br w:type="page"/>
      </w:r>
    </w:p>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b/>
          <w:sz w:val="24"/>
          <w:szCs w:val="24"/>
          <w:lang w:val="en-US"/>
        </w:rPr>
        <w:lastRenderedPageBreak/>
        <w:t>Table 5</w:t>
      </w:r>
      <w:r w:rsidRPr="003310E2">
        <w:rPr>
          <w:rFonts w:ascii="Book Antiqua" w:hAnsi="Book Antiqua" w:cs="Arial"/>
          <w:sz w:val="24"/>
          <w:szCs w:val="24"/>
          <w:lang w:val="en-US"/>
        </w:rPr>
        <w:t xml:space="preserve"> </w:t>
      </w:r>
      <w:r w:rsidRPr="003310E2">
        <w:rPr>
          <w:rFonts w:ascii="Book Antiqua" w:hAnsi="Book Antiqua" w:cs="Arial"/>
          <w:b/>
          <w:sz w:val="24"/>
          <w:szCs w:val="24"/>
          <w:lang w:val="en-US"/>
        </w:rPr>
        <w:t>Expression of immunohistochemical markers in categories of histological grade for primary hepatocellular carcinoma cases</w:t>
      </w:r>
      <w:r w:rsidR="003310E2">
        <w:rPr>
          <w:rFonts w:ascii="Book Antiqua" w:hAnsi="Book Antiqua" w:cs="Arial" w:hint="eastAsia"/>
          <w:b/>
          <w:sz w:val="24"/>
          <w:szCs w:val="24"/>
          <w:lang w:val="en-US" w:eastAsia="zh-CN"/>
        </w:rPr>
        <w:t xml:space="preserve"> </w:t>
      </w:r>
      <w:r w:rsidR="003310E2" w:rsidRPr="001F0AB0">
        <w:rPr>
          <w:rFonts w:ascii="Book Antiqua" w:hAnsi="Book Antiqua" w:cs="Arial" w:hint="eastAsia"/>
          <w:b/>
          <w:i/>
          <w:sz w:val="24"/>
          <w:szCs w:val="24"/>
          <w:lang w:val="en-US" w:eastAsia="zh-CN"/>
        </w:rPr>
        <w:t>n</w:t>
      </w:r>
      <w:r w:rsidR="003310E2">
        <w:rPr>
          <w:rFonts w:ascii="Book Antiqua" w:hAnsi="Book Antiqua" w:cs="Arial" w:hint="eastAsia"/>
          <w:b/>
          <w:sz w:val="24"/>
          <w:szCs w:val="24"/>
          <w:lang w:val="en-US" w:eastAsia="zh-CN"/>
        </w:rPr>
        <w:t xml:space="preserve"> (%)</w:t>
      </w:r>
    </w:p>
    <w:tbl>
      <w:tblPr>
        <w:tblW w:w="5374" w:type="pct"/>
        <w:tblCellMar>
          <w:left w:w="70" w:type="dxa"/>
          <w:right w:w="70" w:type="dxa"/>
        </w:tblCellMar>
        <w:tblLook w:val="04A0" w:firstRow="1" w:lastRow="0" w:firstColumn="1" w:lastColumn="0" w:noHBand="0" w:noVBand="1"/>
      </w:tblPr>
      <w:tblGrid>
        <w:gridCol w:w="2739"/>
        <w:gridCol w:w="1737"/>
        <w:gridCol w:w="1492"/>
        <w:gridCol w:w="1155"/>
        <w:gridCol w:w="1174"/>
        <w:gridCol w:w="994"/>
      </w:tblGrid>
      <w:tr w:rsidR="003C39BE" w:rsidRPr="003310E2" w:rsidTr="00C232D0">
        <w:trPr>
          <w:trHeight w:val="300"/>
        </w:trPr>
        <w:tc>
          <w:tcPr>
            <w:tcW w:w="1512"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973"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c>
          <w:tcPr>
            <w:tcW w:w="2064" w:type="pct"/>
            <w:gridSpan w:val="3"/>
            <w:tcBorders>
              <w:top w:val="single" w:sz="4" w:space="0" w:color="auto"/>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center"/>
              <w:rPr>
                <w:rFonts w:ascii="Book Antiqua" w:hAnsi="Book Antiqua" w:cs="Arial"/>
                <w:b/>
                <w:sz w:val="24"/>
                <w:szCs w:val="24"/>
                <w:lang w:val="en-US"/>
              </w:rPr>
            </w:pPr>
            <w:r w:rsidRPr="003310E2">
              <w:rPr>
                <w:rFonts w:ascii="Book Antiqua" w:hAnsi="Book Antiqua" w:cs="Arial"/>
                <w:b/>
                <w:sz w:val="24"/>
                <w:szCs w:val="24"/>
                <w:lang w:val="en-US"/>
              </w:rPr>
              <w:t xml:space="preserve">Cases/valid samples </w:t>
            </w:r>
          </w:p>
        </w:tc>
        <w:tc>
          <w:tcPr>
            <w:tcW w:w="451"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r>
      <w:tr w:rsidR="003C39BE" w:rsidRPr="003310E2" w:rsidTr="00C232D0">
        <w:trPr>
          <w:trHeight w:val="300"/>
        </w:trPr>
        <w:tc>
          <w:tcPr>
            <w:tcW w:w="1512" w:type="pct"/>
            <w:tcBorders>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IHC marker</w:t>
            </w:r>
          </w:p>
        </w:tc>
        <w:tc>
          <w:tcPr>
            <w:tcW w:w="973" w:type="pct"/>
            <w:tcBorders>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Cut-off</w:t>
            </w:r>
          </w:p>
        </w:tc>
        <w:tc>
          <w:tcPr>
            <w:tcW w:w="735" w:type="pct"/>
            <w:tcBorders>
              <w:top w:val="single" w:sz="4" w:space="0" w:color="auto"/>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Grades 1 + 2</w:t>
            </w:r>
          </w:p>
        </w:tc>
        <w:tc>
          <w:tcPr>
            <w:tcW w:w="660" w:type="pct"/>
            <w:tcBorders>
              <w:top w:val="single" w:sz="4" w:space="0" w:color="auto"/>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Grade 3</w:t>
            </w:r>
          </w:p>
        </w:tc>
        <w:tc>
          <w:tcPr>
            <w:tcW w:w="670" w:type="pct"/>
            <w:tcBorders>
              <w:top w:val="single" w:sz="4" w:space="0" w:color="auto"/>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r w:rsidRPr="003310E2">
              <w:rPr>
                <w:rFonts w:ascii="Book Antiqua" w:hAnsi="Book Antiqua" w:cs="Arial"/>
                <w:b/>
                <w:sz w:val="24"/>
                <w:szCs w:val="24"/>
                <w:lang w:val="en-US"/>
              </w:rPr>
              <w:t>Grade 4</w:t>
            </w:r>
          </w:p>
        </w:tc>
        <w:tc>
          <w:tcPr>
            <w:tcW w:w="451" w:type="pct"/>
            <w:tcBorders>
              <w:left w:val="nil"/>
              <w:bottom w:val="single" w:sz="4" w:space="0" w:color="auto"/>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i/>
                <w:sz w:val="24"/>
                <w:szCs w:val="24"/>
                <w:lang w:val="en-US" w:eastAsia="zh-CN"/>
              </w:rPr>
            </w:pPr>
            <w:r w:rsidRPr="003310E2">
              <w:rPr>
                <w:rFonts w:ascii="Book Antiqua" w:hAnsi="Book Antiqua" w:cs="Arial"/>
                <w:b/>
                <w:i/>
                <w:sz w:val="24"/>
                <w:szCs w:val="24"/>
                <w:lang w:val="en-US"/>
              </w:rPr>
              <w:t>P</w:t>
            </w:r>
            <w:r w:rsidR="00C232D0" w:rsidRPr="003310E2">
              <w:rPr>
                <w:rFonts w:ascii="Book Antiqua" w:hAnsi="Book Antiqua" w:cs="Arial"/>
                <w:b/>
                <w:i/>
                <w:sz w:val="24"/>
                <w:szCs w:val="24"/>
                <w:lang w:val="en-US" w:eastAsia="zh-CN"/>
              </w:rPr>
              <w:t>-</w:t>
            </w:r>
            <w:r w:rsidR="00C232D0" w:rsidRPr="003310E2">
              <w:rPr>
                <w:rFonts w:ascii="Book Antiqua" w:hAnsi="Book Antiqua" w:cs="Arial"/>
                <w:b/>
                <w:sz w:val="24"/>
                <w:szCs w:val="24"/>
                <w:lang w:val="en-US" w:eastAsia="zh-CN"/>
              </w:rPr>
              <w:t>value</w:t>
            </w:r>
          </w:p>
        </w:tc>
      </w:tr>
      <w:tr w:rsidR="003C39BE" w:rsidRPr="003310E2" w:rsidTr="00C232D0">
        <w:trPr>
          <w:trHeight w:val="300"/>
        </w:trPr>
        <w:tc>
          <w:tcPr>
            <w:tcW w:w="1512"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973"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i/>
                <w:sz w:val="24"/>
                <w:szCs w:val="24"/>
                <w:lang w:val="en-US"/>
              </w:rPr>
            </w:pPr>
          </w:p>
        </w:tc>
        <w:tc>
          <w:tcPr>
            <w:tcW w:w="735"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b/>
                <w:sz w:val="24"/>
                <w:szCs w:val="24"/>
                <w:lang w:val="en-US"/>
              </w:rPr>
            </w:pPr>
          </w:p>
        </w:tc>
        <w:tc>
          <w:tcPr>
            <w:tcW w:w="660"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670"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c>
          <w:tcPr>
            <w:tcW w:w="451" w:type="pct"/>
            <w:tcBorders>
              <w:top w:val="single" w:sz="4" w:space="0" w:color="auto"/>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p>
        </w:tc>
      </w:tr>
      <w:tr w:rsidR="003C39BE" w:rsidRPr="003310E2" w:rsidTr="00C232D0">
        <w:trPr>
          <w:trHeight w:val="300"/>
        </w:trPr>
        <w:tc>
          <w:tcPr>
            <w:tcW w:w="1512" w:type="pct"/>
            <w:tcBorders>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i/>
                <w:sz w:val="24"/>
                <w:szCs w:val="24"/>
                <w:lang w:val="en-US"/>
              </w:rPr>
            </w:pPr>
            <w:r w:rsidRPr="003310E2">
              <w:rPr>
                <w:rFonts w:ascii="Book Antiqua" w:hAnsi="Book Antiqua" w:cs="Arial"/>
                <w:sz w:val="24"/>
                <w:szCs w:val="24"/>
                <w:lang w:val="en-US"/>
              </w:rPr>
              <w:t>EGFR</w:t>
            </w:r>
            <w:r w:rsidRPr="003310E2">
              <w:rPr>
                <w:rFonts w:ascii="Book Antiqua" w:hAnsi="Book Antiqua" w:cs="Arial"/>
                <w:i/>
                <w:sz w:val="24"/>
                <w:szCs w:val="24"/>
                <w:lang w:val="en-US"/>
              </w:rPr>
              <w:t xml:space="preserve"> </w:t>
            </w:r>
            <w:r w:rsidRPr="003310E2">
              <w:rPr>
                <w:rFonts w:ascii="Book Antiqua" w:hAnsi="Book Antiqua" w:cs="Arial"/>
                <w:sz w:val="24"/>
                <w:szCs w:val="24"/>
                <w:lang w:val="en-US"/>
              </w:rPr>
              <w:t>overexpression</w:t>
            </w:r>
          </w:p>
        </w:tc>
        <w:tc>
          <w:tcPr>
            <w:tcW w:w="973" w:type="pct"/>
            <w:tcBorders>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735" w:type="pct"/>
            <w:tcBorders>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14 (67)</w:t>
            </w:r>
            <w:r w:rsidRPr="003310E2">
              <w:rPr>
                <w:rFonts w:ascii="Book Antiqua" w:hAnsi="Book Antiqua" w:cs="Arial"/>
                <w:sz w:val="24"/>
                <w:szCs w:val="24"/>
                <w:vertAlign w:val="superscript"/>
                <w:lang w:val="en-US"/>
              </w:rPr>
              <w:t>a</w:t>
            </w:r>
          </w:p>
        </w:tc>
        <w:tc>
          <w:tcPr>
            <w:tcW w:w="660" w:type="pct"/>
            <w:tcBorders>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12 (27)</w:t>
            </w:r>
          </w:p>
        </w:tc>
        <w:tc>
          <w:tcPr>
            <w:tcW w:w="670" w:type="pct"/>
            <w:tcBorders>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(30)</w:t>
            </w:r>
          </w:p>
        </w:tc>
        <w:tc>
          <w:tcPr>
            <w:tcW w:w="451" w:type="pct"/>
            <w:tcBorders>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0.008</w:t>
            </w:r>
            <w:r w:rsidRPr="003310E2">
              <w:rPr>
                <w:rFonts w:ascii="Book Antiqua" w:hAnsi="Book Antiqua" w:cs="Arial"/>
                <w:sz w:val="24"/>
                <w:szCs w:val="24"/>
                <w:vertAlign w:val="superscript"/>
                <w:lang w:val="en-US"/>
              </w:rPr>
              <w:t>a</w:t>
            </w:r>
          </w:p>
        </w:tc>
      </w:tr>
      <w:tr w:rsidR="003C39BE" w:rsidRPr="003310E2" w:rsidTr="00C232D0">
        <w:trPr>
          <w:trHeight w:val="300"/>
        </w:trPr>
        <w:tc>
          <w:tcPr>
            <w:tcW w:w="1512" w:type="pct"/>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Ki67</w:t>
            </w:r>
          </w:p>
        </w:tc>
        <w:tc>
          <w:tcPr>
            <w:tcW w:w="973" w:type="pct"/>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xml:space="preserve">≥ 0.1% </w:t>
            </w:r>
          </w:p>
        </w:tc>
        <w:tc>
          <w:tcPr>
            <w:tcW w:w="735" w:type="pct"/>
            <w:shd w:val="clear" w:color="auto" w:fill="auto"/>
            <w:noWrap/>
            <w:vAlign w:val="bottom"/>
          </w:tcPr>
          <w:p w:rsidR="003C39BE" w:rsidRPr="003310E2" w:rsidRDefault="003C39BE" w:rsidP="00250831">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6 (30)</w:t>
            </w:r>
            <w:r w:rsidR="00250831">
              <w:rPr>
                <w:rFonts w:ascii="Book Antiqua" w:hAnsi="Book Antiqua" w:cs="Arial" w:hint="eastAsia"/>
                <w:sz w:val="24"/>
                <w:szCs w:val="24"/>
                <w:vertAlign w:val="superscript"/>
                <w:lang w:val="en-US" w:eastAsia="zh-CN"/>
              </w:rPr>
              <w:t>a</w:t>
            </w:r>
          </w:p>
        </w:tc>
        <w:tc>
          <w:tcPr>
            <w:tcW w:w="660" w:type="pct"/>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31 (74)</w:t>
            </w:r>
          </w:p>
        </w:tc>
        <w:tc>
          <w:tcPr>
            <w:tcW w:w="670" w:type="pct"/>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(80)</w:t>
            </w:r>
          </w:p>
        </w:tc>
        <w:tc>
          <w:tcPr>
            <w:tcW w:w="451" w:type="pct"/>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0.002</w:t>
            </w:r>
            <w:r w:rsidR="00C232D0" w:rsidRPr="003310E2">
              <w:rPr>
                <w:rFonts w:ascii="Book Antiqua" w:hAnsi="Book Antiqua" w:cs="Arial"/>
                <w:sz w:val="24"/>
                <w:szCs w:val="24"/>
                <w:vertAlign w:val="superscript"/>
                <w:lang w:val="en-US" w:eastAsia="zh-CN"/>
              </w:rPr>
              <w:t>a</w:t>
            </w:r>
          </w:p>
        </w:tc>
      </w:tr>
      <w:tr w:rsidR="003C39BE" w:rsidRPr="003310E2" w:rsidTr="00C232D0">
        <w:trPr>
          <w:trHeight w:val="300"/>
        </w:trPr>
        <w:tc>
          <w:tcPr>
            <w:tcW w:w="1512" w:type="pct"/>
            <w:tcBorders>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K19</w:t>
            </w:r>
          </w:p>
        </w:tc>
        <w:tc>
          <w:tcPr>
            <w:tcW w:w="973" w:type="pct"/>
            <w:tcBorders>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1%</w:t>
            </w:r>
          </w:p>
        </w:tc>
        <w:tc>
          <w:tcPr>
            <w:tcW w:w="735" w:type="pct"/>
            <w:tcBorders>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660" w:type="pct"/>
            <w:tcBorders>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7 (17)</w:t>
            </w:r>
          </w:p>
        </w:tc>
        <w:tc>
          <w:tcPr>
            <w:tcW w:w="670" w:type="pct"/>
            <w:tcBorders>
              <w:left w:val="nil"/>
              <w:bottom w:val="nil"/>
              <w:right w:val="nil"/>
            </w:tcBorders>
            <w:shd w:val="clear" w:color="auto" w:fill="auto"/>
            <w:noWrap/>
            <w:vAlign w:val="bottom"/>
          </w:tcPr>
          <w:p w:rsidR="003C39BE" w:rsidRPr="003310E2" w:rsidRDefault="003C39BE" w:rsidP="00250831">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(45)</w:t>
            </w:r>
            <w:r w:rsidR="00250831">
              <w:rPr>
                <w:rFonts w:ascii="Book Antiqua" w:hAnsi="Book Antiqua" w:cs="Arial" w:hint="eastAsia"/>
                <w:sz w:val="24"/>
                <w:szCs w:val="24"/>
                <w:vertAlign w:val="superscript"/>
                <w:lang w:val="en-US" w:eastAsia="zh-CN"/>
              </w:rPr>
              <w:t>a</w:t>
            </w:r>
            <w:r w:rsidRPr="003310E2">
              <w:rPr>
                <w:rFonts w:ascii="Book Antiqua" w:hAnsi="Book Antiqua" w:cs="Arial"/>
                <w:sz w:val="24"/>
                <w:szCs w:val="24"/>
                <w:lang w:val="en-US"/>
              </w:rPr>
              <w:t xml:space="preserve"> </w:t>
            </w:r>
          </w:p>
        </w:tc>
        <w:tc>
          <w:tcPr>
            <w:tcW w:w="451" w:type="pct"/>
            <w:tcBorders>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0.005</w:t>
            </w:r>
            <w:r w:rsidR="00C232D0" w:rsidRPr="003310E2">
              <w:rPr>
                <w:rFonts w:ascii="Book Antiqua" w:hAnsi="Book Antiqua" w:cs="Arial"/>
                <w:sz w:val="24"/>
                <w:szCs w:val="24"/>
                <w:vertAlign w:val="superscript"/>
                <w:lang w:val="en-US" w:eastAsia="zh-CN"/>
              </w:rPr>
              <w:t>a</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Vimentin</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0/300</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(7)</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(9)</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0.465</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Caspase 3 loss</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10/300</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(15)</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16 (38)</w:t>
            </w:r>
          </w:p>
        </w:tc>
        <w:tc>
          <w:tcPr>
            <w:tcW w:w="670" w:type="pct"/>
            <w:tcBorders>
              <w:top w:val="nil"/>
              <w:left w:val="nil"/>
              <w:bottom w:val="nil"/>
              <w:right w:val="nil"/>
            </w:tcBorders>
            <w:shd w:val="clear" w:color="auto" w:fill="auto"/>
            <w:noWrap/>
            <w:vAlign w:val="bottom"/>
          </w:tcPr>
          <w:p w:rsidR="003C39BE" w:rsidRPr="003310E2" w:rsidRDefault="003C39BE" w:rsidP="00250831">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(73)</w:t>
            </w:r>
            <w:r w:rsidR="00250831">
              <w:rPr>
                <w:rFonts w:ascii="Book Antiqua" w:hAnsi="Book Antiqua" w:cs="Arial" w:hint="eastAsia"/>
                <w:sz w:val="24"/>
                <w:szCs w:val="24"/>
                <w:vertAlign w:val="superscript"/>
                <w:lang w:val="en-US" w:eastAsia="zh-CN"/>
              </w:rPr>
              <w:t>a</w:t>
            </w:r>
            <w:r w:rsidRPr="003310E2">
              <w:rPr>
                <w:rFonts w:ascii="Book Antiqua" w:hAnsi="Book Antiqua" w:cs="Arial"/>
                <w:sz w:val="24"/>
                <w:szCs w:val="24"/>
                <w:lang w:val="en-US"/>
              </w:rPr>
              <w:t xml:space="preserve"> </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0.006</w:t>
            </w:r>
            <w:r w:rsidR="00C232D0" w:rsidRPr="003310E2">
              <w:rPr>
                <w:rFonts w:ascii="Book Antiqua" w:hAnsi="Book Antiqua" w:cs="Arial"/>
                <w:sz w:val="24"/>
                <w:szCs w:val="24"/>
                <w:vertAlign w:val="superscript"/>
                <w:lang w:val="en-US" w:eastAsia="zh-CN"/>
              </w:rPr>
              <w:t>a</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Cyclin D1</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&gt; 0.1%</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(20)</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9 (21)</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(30)</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0.847</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mTOR expression.</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7 (37)</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17 (45)</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(10)</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0.134</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MET expression.</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8 (42)</w:t>
            </w:r>
            <w:r w:rsidR="00250831">
              <w:rPr>
                <w:rFonts w:ascii="Book Antiqua" w:hAnsi="Book Antiqua" w:cs="Arial" w:hint="eastAsia"/>
                <w:sz w:val="24"/>
                <w:szCs w:val="24"/>
                <w:vertAlign w:val="superscript"/>
                <w:lang w:val="en-US" w:eastAsia="zh-CN"/>
              </w:rPr>
              <w:t>a</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 (14)</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eastAsia="zh-CN"/>
              </w:rPr>
            </w:pPr>
            <w:r w:rsidRPr="003310E2">
              <w:rPr>
                <w:rFonts w:ascii="Book Antiqua" w:hAnsi="Book Antiqua" w:cs="Arial"/>
                <w:sz w:val="24"/>
                <w:szCs w:val="24"/>
                <w:lang w:val="en-US"/>
              </w:rPr>
              <w:t>0.012</w:t>
            </w:r>
            <w:r w:rsidR="00C232D0" w:rsidRPr="003310E2">
              <w:rPr>
                <w:rFonts w:ascii="Book Antiqua" w:hAnsi="Book Antiqua" w:cs="Arial"/>
                <w:sz w:val="24"/>
                <w:szCs w:val="24"/>
                <w:vertAlign w:val="superscript"/>
                <w:lang w:val="en-US" w:eastAsia="zh-CN"/>
              </w:rPr>
              <w:t>a</w:t>
            </w:r>
          </w:p>
        </w:tc>
      </w:tr>
      <w:tr w:rsidR="003C39BE" w:rsidRPr="003310E2" w:rsidTr="00C232D0">
        <w:trPr>
          <w:trHeight w:val="300"/>
        </w:trPr>
        <w:tc>
          <w:tcPr>
            <w:tcW w:w="1512" w:type="pct"/>
            <w:tcBorders>
              <w:top w:val="nil"/>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ERK1 overexpression</w:t>
            </w:r>
          </w:p>
        </w:tc>
        <w:tc>
          <w:tcPr>
            <w:tcW w:w="973" w:type="pct"/>
            <w:tcBorders>
              <w:top w:val="nil"/>
              <w:left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735" w:type="pct"/>
            <w:tcBorders>
              <w:top w:val="nil"/>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660" w:type="pct"/>
            <w:tcBorders>
              <w:top w:val="nil"/>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8 (20)</w:t>
            </w:r>
          </w:p>
        </w:tc>
        <w:tc>
          <w:tcPr>
            <w:tcW w:w="670" w:type="pct"/>
            <w:tcBorders>
              <w:top w:val="nil"/>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(18)</w:t>
            </w:r>
          </w:p>
        </w:tc>
        <w:tc>
          <w:tcPr>
            <w:tcW w:w="451" w:type="pct"/>
            <w:tcBorders>
              <w:top w:val="nil"/>
              <w:left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0.081</w:t>
            </w:r>
          </w:p>
        </w:tc>
      </w:tr>
      <w:tr w:rsidR="003C39BE" w:rsidRPr="003310E2" w:rsidTr="00C232D0">
        <w:trPr>
          <w:trHeight w:val="300"/>
        </w:trPr>
        <w:tc>
          <w:tcPr>
            <w:tcW w:w="1512"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ERK2 overexpression</w:t>
            </w:r>
          </w:p>
        </w:tc>
        <w:tc>
          <w:tcPr>
            <w:tcW w:w="973" w:type="pct"/>
            <w:tcBorders>
              <w:top w:val="nil"/>
              <w:left w:val="nil"/>
              <w:bottom w:val="nil"/>
              <w:right w:val="nil"/>
            </w:tcBorders>
            <w:shd w:val="clear" w:color="auto" w:fill="auto"/>
            <w:noWrap/>
            <w:vAlign w:val="bottom"/>
            <w:hideMark/>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200/300</w:t>
            </w:r>
            <w:r w:rsidR="00C232D0" w:rsidRPr="003310E2">
              <w:rPr>
                <w:rFonts w:ascii="Book Antiqua" w:hAnsi="Book Antiqua" w:cs="Arial"/>
                <w:sz w:val="24"/>
                <w:szCs w:val="24"/>
                <w:vertAlign w:val="superscript"/>
                <w:lang w:val="en-US"/>
              </w:rPr>
              <w:t>1</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(5)</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6 (14)</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3 (30)</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0.148</w:t>
            </w:r>
          </w:p>
        </w:tc>
      </w:tr>
      <w:tr w:rsidR="003C39BE" w:rsidRPr="003310E2" w:rsidTr="00C232D0">
        <w:trPr>
          <w:trHeight w:val="300"/>
        </w:trPr>
        <w:tc>
          <w:tcPr>
            <w:tcW w:w="1512"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p53</w:t>
            </w:r>
          </w:p>
        </w:tc>
        <w:tc>
          <w:tcPr>
            <w:tcW w:w="973"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5 (28)</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16 (42)</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7 (64)</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0.164</w:t>
            </w:r>
          </w:p>
        </w:tc>
      </w:tr>
      <w:tr w:rsidR="003C39BE" w:rsidRPr="003310E2" w:rsidTr="00C232D0">
        <w:trPr>
          <w:trHeight w:val="300"/>
        </w:trPr>
        <w:tc>
          <w:tcPr>
            <w:tcW w:w="1512"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Beta-catenin, membrane</w:t>
            </w:r>
          </w:p>
        </w:tc>
        <w:tc>
          <w:tcPr>
            <w:tcW w:w="973"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 100/300</w:t>
            </w:r>
            <w:r w:rsidR="00C232D0" w:rsidRPr="003310E2">
              <w:rPr>
                <w:rFonts w:ascii="Book Antiqua" w:hAnsi="Book Antiqua" w:cs="Arial"/>
                <w:sz w:val="24"/>
                <w:szCs w:val="24"/>
                <w:vertAlign w:val="superscript"/>
                <w:lang w:val="en-US"/>
              </w:rPr>
              <w:t>1</w:t>
            </w:r>
          </w:p>
        </w:tc>
        <w:tc>
          <w:tcPr>
            <w:tcW w:w="735"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13 (65)</w:t>
            </w:r>
          </w:p>
        </w:tc>
        <w:tc>
          <w:tcPr>
            <w:tcW w:w="66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25 (64)</w:t>
            </w:r>
          </w:p>
        </w:tc>
        <w:tc>
          <w:tcPr>
            <w:tcW w:w="670"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4 (40)</w:t>
            </w:r>
          </w:p>
        </w:tc>
        <w:tc>
          <w:tcPr>
            <w:tcW w:w="451" w:type="pct"/>
            <w:tcBorders>
              <w:top w:val="nil"/>
              <w:left w:val="nil"/>
              <w:bottom w:val="nil"/>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0.343</w:t>
            </w:r>
          </w:p>
        </w:tc>
      </w:tr>
      <w:tr w:rsidR="003C39BE" w:rsidRPr="003310E2" w:rsidTr="00C232D0">
        <w:trPr>
          <w:trHeight w:val="300"/>
        </w:trPr>
        <w:tc>
          <w:tcPr>
            <w:tcW w:w="1512"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Beta-catenin, nucleus</w:t>
            </w:r>
          </w:p>
        </w:tc>
        <w:tc>
          <w:tcPr>
            <w:tcW w:w="973"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2 or 3+</w:t>
            </w:r>
          </w:p>
        </w:tc>
        <w:tc>
          <w:tcPr>
            <w:tcW w:w="735"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 (0)</w:t>
            </w:r>
          </w:p>
        </w:tc>
        <w:tc>
          <w:tcPr>
            <w:tcW w:w="660"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(3)</w:t>
            </w:r>
          </w:p>
        </w:tc>
        <w:tc>
          <w:tcPr>
            <w:tcW w:w="670"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1 (10)</w:t>
            </w:r>
          </w:p>
        </w:tc>
        <w:tc>
          <w:tcPr>
            <w:tcW w:w="451" w:type="pct"/>
            <w:tcBorders>
              <w:top w:val="nil"/>
              <w:left w:val="nil"/>
              <w:bottom w:val="single" w:sz="4" w:space="0" w:color="auto"/>
              <w:right w:val="nil"/>
            </w:tcBorders>
            <w:shd w:val="clear" w:color="auto" w:fill="auto"/>
            <w:noWrap/>
            <w:vAlign w:val="bottom"/>
          </w:tcPr>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lang w:val="en-US"/>
              </w:rPr>
              <w:t>0.352</w:t>
            </w:r>
          </w:p>
        </w:tc>
      </w:tr>
    </w:tbl>
    <w:p w:rsidR="003C39BE" w:rsidRPr="003310E2" w:rsidRDefault="00C232D0"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sz w:val="24"/>
          <w:szCs w:val="24"/>
          <w:vertAlign w:val="superscript"/>
          <w:lang w:val="en-US"/>
        </w:rPr>
        <w:t>1</w:t>
      </w:r>
      <w:r w:rsidR="003C39BE" w:rsidRPr="003310E2">
        <w:rPr>
          <w:rFonts w:ascii="Book Antiqua" w:hAnsi="Book Antiqua" w:cs="Arial"/>
          <w:sz w:val="24"/>
          <w:szCs w:val="24"/>
          <w:lang w:val="en-US"/>
        </w:rPr>
        <w:t>Score value.</w:t>
      </w:r>
      <w:r w:rsidRPr="003310E2">
        <w:rPr>
          <w:rFonts w:ascii="Book Antiqua" w:hAnsi="Book Antiqua" w:cs="Arial"/>
          <w:sz w:val="24"/>
          <w:szCs w:val="24"/>
          <w:lang w:val="en-US" w:eastAsia="zh-CN"/>
        </w:rPr>
        <w:t xml:space="preserve"> </w:t>
      </w:r>
      <w:r w:rsidRPr="003310E2">
        <w:rPr>
          <w:rFonts w:ascii="Book Antiqua" w:hAnsi="Book Antiqua" w:cs="Arial"/>
          <w:sz w:val="24"/>
          <w:szCs w:val="24"/>
          <w:vertAlign w:val="superscript"/>
          <w:lang w:val="en-US"/>
        </w:rPr>
        <w:t>a</w:t>
      </w:r>
      <w:r w:rsidR="003C39BE" w:rsidRPr="003310E2">
        <w:rPr>
          <w:rFonts w:ascii="Book Antiqua" w:hAnsi="Book Antiqua" w:cs="Arial"/>
          <w:i/>
          <w:sz w:val="24"/>
          <w:szCs w:val="24"/>
          <w:lang w:val="en-US"/>
        </w:rPr>
        <w:t>P</w:t>
      </w:r>
      <w:r w:rsidR="003C39BE" w:rsidRPr="003310E2">
        <w:rPr>
          <w:rFonts w:ascii="Book Antiqua" w:hAnsi="Book Antiqua" w:cs="Arial"/>
          <w:sz w:val="24"/>
          <w:szCs w:val="24"/>
          <w:lang w:val="en-US"/>
        </w:rPr>
        <w:t xml:space="preserve"> &lt; 0.05 (outliers in pairwise test).</w:t>
      </w:r>
      <w:r w:rsidRPr="003310E2">
        <w:rPr>
          <w:rFonts w:ascii="Book Antiqua" w:hAnsi="Book Antiqua" w:cs="Arial"/>
          <w:sz w:val="24"/>
          <w:szCs w:val="24"/>
          <w:lang w:val="en-US" w:eastAsia="zh-CN"/>
        </w:rPr>
        <w:t xml:space="preserve"> </w:t>
      </w:r>
      <w:r w:rsidR="003C39BE" w:rsidRPr="003310E2">
        <w:rPr>
          <w:rFonts w:ascii="Book Antiqua" w:hAnsi="Book Antiqua" w:cs="Arial"/>
          <w:sz w:val="24"/>
          <w:szCs w:val="24"/>
          <w:lang w:val="en-US"/>
        </w:rPr>
        <w:t>EGFR: Epidermal growth factor receptor;</w:t>
      </w:r>
      <w:r w:rsidR="003C39BE" w:rsidRPr="003310E2" w:rsidDel="00F72485">
        <w:rPr>
          <w:rFonts w:ascii="Book Antiqua" w:hAnsi="Book Antiqua" w:cs="Arial"/>
          <w:sz w:val="24"/>
          <w:szCs w:val="24"/>
          <w:lang w:val="en-US"/>
        </w:rPr>
        <w:t xml:space="preserve"> </w:t>
      </w:r>
      <w:r w:rsidR="003C39BE" w:rsidRPr="003310E2">
        <w:rPr>
          <w:rFonts w:ascii="Book Antiqua" w:hAnsi="Book Antiqua" w:cs="Arial"/>
          <w:sz w:val="24"/>
          <w:szCs w:val="24"/>
          <w:lang w:val="en-US"/>
        </w:rPr>
        <w:t>ERK: Extracellular signaling-related kinase; HCC: H</w:t>
      </w:r>
      <w:r w:rsidR="003C39BE" w:rsidRPr="003310E2">
        <w:rPr>
          <w:rFonts w:ascii="Book Antiqua" w:eastAsiaTheme="minorHAnsi" w:hAnsi="Book Antiqua" w:cs="Arial"/>
          <w:sz w:val="24"/>
          <w:szCs w:val="24"/>
          <w:lang w:val="en-US" w:eastAsia="en-US"/>
        </w:rPr>
        <w:t>epatocellular carcinoma; IHC: immunohistochemistry; MET: MET receptor tyrosine kinase</w:t>
      </w:r>
      <w:r w:rsidR="003C39BE" w:rsidRPr="003310E2">
        <w:rPr>
          <w:rFonts w:ascii="Book Antiqua" w:hAnsi="Book Antiqua" w:cs="Arial"/>
          <w:sz w:val="24"/>
          <w:szCs w:val="24"/>
          <w:lang w:val="en-US"/>
        </w:rPr>
        <w:t xml:space="preserve">; </w:t>
      </w:r>
      <w:r w:rsidR="003C39BE" w:rsidRPr="003310E2">
        <w:rPr>
          <w:rFonts w:ascii="Book Antiqua" w:eastAsiaTheme="minorHAnsi" w:hAnsi="Book Antiqua" w:cs="Arial"/>
          <w:sz w:val="24"/>
          <w:szCs w:val="24"/>
          <w:lang w:val="en-US" w:eastAsia="en-US"/>
        </w:rPr>
        <w:t xml:space="preserve">mTOR: </w:t>
      </w:r>
      <w:r w:rsidR="003C39BE" w:rsidRPr="003310E2">
        <w:rPr>
          <w:rStyle w:val="Strong"/>
          <w:rFonts w:ascii="Book Antiqua" w:hAnsi="Book Antiqua" w:cs="Arial"/>
          <w:b w:val="0"/>
          <w:sz w:val="24"/>
          <w:szCs w:val="24"/>
          <w:lang w:val="en-US"/>
        </w:rPr>
        <w:t>Mechanistic target of rapamycin</w:t>
      </w:r>
      <w:r w:rsidR="003C39BE" w:rsidRPr="003310E2">
        <w:rPr>
          <w:rFonts w:ascii="Book Antiqua" w:eastAsiaTheme="minorHAnsi" w:hAnsi="Book Antiqua" w:cs="Arial"/>
          <w:sz w:val="24"/>
          <w:szCs w:val="24"/>
          <w:lang w:val="en-US" w:eastAsia="en-US"/>
        </w:rPr>
        <w:t>.</w:t>
      </w:r>
    </w:p>
    <w:p w:rsidR="003C39BE" w:rsidRPr="003310E2" w:rsidRDefault="003C39BE" w:rsidP="003B0F97">
      <w:pPr>
        <w:adjustRightInd w:val="0"/>
        <w:snapToGrid w:val="0"/>
        <w:spacing w:after="0" w:line="360" w:lineRule="auto"/>
        <w:jc w:val="both"/>
        <w:rPr>
          <w:rFonts w:ascii="Book Antiqua" w:eastAsiaTheme="minorHAnsi" w:hAnsi="Book Antiqua" w:cs="Arial"/>
          <w:sz w:val="24"/>
          <w:szCs w:val="24"/>
          <w:lang w:val="en-US" w:eastAsia="en-US"/>
        </w:rPr>
        <w:sectPr w:rsidR="003C39BE" w:rsidRPr="003310E2" w:rsidSect="00C232D0">
          <w:endnotePr>
            <w:numFmt w:val="decimal"/>
          </w:endnotePr>
          <w:pgSz w:w="11906" w:h="16838"/>
          <w:pgMar w:top="1417" w:right="1701" w:bottom="1417" w:left="1701" w:header="708" w:footer="708" w:gutter="0"/>
          <w:cols w:space="708"/>
          <w:docGrid w:linePitch="360"/>
        </w:sectPr>
      </w:pPr>
    </w:p>
    <w:p w:rsidR="003C39BE" w:rsidRPr="003310E2" w:rsidRDefault="003C39BE" w:rsidP="003B0F97">
      <w:pPr>
        <w:adjustRightInd w:val="0"/>
        <w:snapToGrid w:val="0"/>
        <w:spacing w:after="0" w:line="360" w:lineRule="auto"/>
        <w:jc w:val="both"/>
        <w:rPr>
          <w:rFonts w:ascii="Book Antiqua" w:hAnsi="Book Antiqua" w:cs="Arial"/>
          <w:sz w:val="24"/>
          <w:szCs w:val="24"/>
          <w:lang w:val="en-US"/>
        </w:rPr>
      </w:pPr>
      <w:r w:rsidRPr="003310E2">
        <w:rPr>
          <w:rFonts w:ascii="Book Antiqua" w:hAnsi="Book Antiqua" w:cs="Arial"/>
          <w:b/>
          <w:sz w:val="24"/>
          <w:szCs w:val="24"/>
          <w:lang w:val="en-US"/>
        </w:rPr>
        <w:lastRenderedPageBreak/>
        <w:t>Table 6</w:t>
      </w:r>
      <w:r w:rsidRPr="003310E2">
        <w:rPr>
          <w:rFonts w:ascii="Book Antiqua" w:hAnsi="Book Antiqua" w:cs="Arial"/>
          <w:sz w:val="24"/>
          <w:szCs w:val="24"/>
          <w:lang w:val="en-US"/>
        </w:rPr>
        <w:t xml:space="preserve"> </w:t>
      </w:r>
      <w:r w:rsidRPr="003310E2">
        <w:rPr>
          <w:rFonts w:ascii="Book Antiqua" w:hAnsi="Book Antiqua" w:cs="Arial"/>
          <w:b/>
          <w:sz w:val="24"/>
          <w:szCs w:val="24"/>
          <w:lang w:val="en-US"/>
        </w:rPr>
        <w:t>General correlation between expression scores for immunohistochemical markers and categories of histological grade for primary hepatocellular carcinoma</w:t>
      </w:r>
    </w:p>
    <w:tbl>
      <w:tblPr>
        <w:tblStyle w:val="TableGrid"/>
        <w:tblW w:w="47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
        <w:gridCol w:w="602"/>
        <w:gridCol w:w="510"/>
        <w:gridCol w:w="555"/>
        <w:gridCol w:w="545"/>
        <w:gridCol w:w="572"/>
        <w:gridCol w:w="594"/>
        <w:gridCol w:w="572"/>
        <w:gridCol w:w="555"/>
        <w:gridCol w:w="602"/>
        <w:gridCol w:w="617"/>
        <w:gridCol w:w="640"/>
        <w:gridCol w:w="526"/>
        <w:gridCol w:w="587"/>
        <w:gridCol w:w="625"/>
      </w:tblGrid>
      <w:tr w:rsidR="003C39BE" w:rsidRPr="003310E2" w:rsidTr="00C232D0">
        <w:tc>
          <w:tcPr>
            <w:tcW w:w="339" w:type="pct"/>
            <w:tcBorders>
              <w:top w:val="single" w:sz="4" w:space="0" w:color="auto"/>
              <w:bottom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p>
        </w:tc>
        <w:tc>
          <w:tcPr>
            <w:tcW w:w="355"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Grade</w:t>
            </w:r>
          </w:p>
        </w:tc>
        <w:tc>
          <w:tcPr>
            <w:tcW w:w="302"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Ki67</w:t>
            </w:r>
          </w:p>
        </w:tc>
        <w:tc>
          <w:tcPr>
            <w:tcW w:w="355"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K19</w:t>
            </w:r>
          </w:p>
        </w:tc>
        <w:tc>
          <w:tcPr>
            <w:tcW w:w="355"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p53</w:t>
            </w:r>
          </w:p>
        </w:tc>
        <w:tc>
          <w:tcPr>
            <w:tcW w:w="302"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ERK1</w:t>
            </w:r>
          </w:p>
        </w:tc>
        <w:tc>
          <w:tcPr>
            <w:tcW w:w="318"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BcatN</w:t>
            </w:r>
          </w:p>
        </w:tc>
        <w:tc>
          <w:tcPr>
            <w:tcW w:w="302"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ERK2</w:t>
            </w:r>
          </w:p>
        </w:tc>
        <w:tc>
          <w:tcPr>
            <w:tcW w:w="321"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Vim</w:t>
            </w:r>
          </w:p>
        </w:tc>
        <w:tc>
          <w:tcPr>
            <w:tcW w:w="318"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CKD1</w:t>
            </w:r>
          </w:p>
        </w:tc>
        <w:tc>
          <w:tcPr>
            <w:tcW w:w="328"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BcatM</w:t>
            </w:r>
          </w:p>
        </w:tc>
        <w:tc>
          <w:tcPr>
            <w:tcW w:w="339"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mTOR</w:t>
            </w:r>
          </w:p>
        </w:tc>
        <w:tc>
          <w:tcPr>
            <w:tcW w:w="302"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MET</w:t>
            </w:r>
          </w:p>
        </w:tc>
        <w:tc>
          <w:tcPr>
            <w:tcW w:w="308" w:type="pct"/>
            <w:tcBorders>
              <w:top w:val="single" w:sz="4" w:space="0" w:color="auto"/>
              <w:bottom w:val="single" w:sz="4" w:space="0" w:color="auto"/>
            </w:tcBorders>
          </w:tcPr>
          <w:p w:rsidR="003C39BE" w:rsidRPr="003310E2" w:rsidRDefault="003C39BE" w:rsidP="003B0F97">
            <w:pPr>
              <w:adjustRightInd w:val="0"/>
              <w:snapToGrid w:val="0"/>
              <w:spacing w:after="0" w:line="360" w:lineRule="auto"/>
              <w:jc w:val="both"/>
              <w:rPr>
                <w:rFonts w:ascii="Book Antiqua" w:hAnsi="Book Antiqua"/>
                <w:b/>
                <w:sz w:val="24"/>
                <w:szCs w:val="24"/>
                <w:lang w:val="en-US"/>
              </w:rPr>
            </w:pPr>
            <w:r w:rsidRPr="003310E2">
              <w:rPr>
                <w:rFonts w:ascii="Book Antiqua" w:hAnsi="Book Antiqua"/>
                <w:b/>
                <w:sz w:val="24"/>
                <w:szCs w:val="24"/>
                <w:lang w:val="en-US"/>
              </w:rPr>
              <w:t>EGFR</w:t>
            </w:r>
          </w:p>
        </w:tc>
        <w:tc>
          <w:tcPr>
            <w:tcW w:w="455" w:type="pct"/>
            <w:tcBorders>
              <w:top w:val="single" w:sz="4" w:space="0" w:color="auto"/>
              <w:bottom w:val="single" w:sz="4" w:space="0" w:color="auto"/>
            </w:tcBorders>
          </w:tcPr>
          <w:p w:rsidR="003C39BE" w:rsidRPr="003310E2" w:rsidRDefault="003310E2" w:rsidP="003B0F97">
            <w:pPr>
              <w:adjustRightInd w:val="0"/>
              <w:snapToGrid w:val="0"/>
              <w:spacing w:after="0" w:line="360" w:lineRule="auto"/>
              <w:jc w:val="both"/>
              <w:rPr>
                <w:rFonts w:ascii="Book Antiqua" w:eastAsiaTheme="minorEastAsia" w:hAnsi="Book Antiqua"/>
                <w:b/>
                <w:sz w:val="24"/>
                <w:szCs w:val="24"/>
                <w:lang w:val="en-US" w:eastAsia="zh-CN"/>
              </w:rPr>
            </w:pPr>
            <w:r w:rsidRPr="003310E2">
              <w:rPr>
                <w:rFonts w:ascii="Book Antiqua" w:hAnsi="Book Antiqua"/>
                <w:b/>
                <w:sz w:val="24"/>
                <w:szCs w:val="24"/>
                <w:lang w:val="en-US"/>
              </w:rPr>
              <w:t>Group</w:t>
            </w:r>
            <w:r w:rsidRPr="003310E2">
              <w:rPr>
                <w:rFonts w:ascii="Book Antiqua" w:eastAsiaTheme="minorEastAsia" w:hAnsi="Book Antiqua"/>
                <w:b/>
                <w:sz w:val="24"/>
                <w:szCs w:val="24"/>
                <w:lang w:val="en-US" w:eastAsia="zh-CN"/>
              </w:rPr>
              <w:t xml:space="preserve"> No.</w:t>
            </w:r>
          </w:p>
        </w:tc>
      </w:tr>
      <w:tr w:rsidR="003C39BE" w:rsidRPr="003310E2" w:rsidTr="00C232D0">
        <w:tc>
          <w:tcPr>
            <w:tcW w:w="339" w:type="pct"/>
            <w:tcBorders>
              <w:top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Ki67</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0.43</w:t>
            </w:r>
            <w:r w:rsidRPr="003310E2">
              <w:rPr>
                <w:rFonts w:ascii="Book Antiqua" w:hAnsi="Book Antiqua"/>
                <w:sz w:val="24"/>
                <w:szCs w:val="24"/>
                <w:vertAlign w:val="superscript"/>
                <w:lang w:val="en-US"/>
              </w:rPr>
              <w:t>a</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val="restart"/>
            <w:tcBorders>
              <w:top w:val="single" w:sz="4" w:space="0" w:color="auto"/>
            </w:tcBorders>
            <w:shd w:val="clear" w:color="auto" w:fill="auto"/>
            <w:vAlign w:val="center"/>
          </w:tcPr>
          <w:p w:rsidR="003C39BE" w:rsidRPr="003310E2" w:rsidRDefault="003C39BE" w:rsidP="003B0F97">
            <w:pPr>
              <w:adjustRightInd w:val="0"/>
              <w:snapToGrid w:val="0"/>
              <w:spacing w:after="0" w:line="360" w:lineRule="auto"/>
              <w:jc w:val="center"/>
              <w:rPr>
                <w:rFonts w:ascii="Book Antiqua" w:hAnsi="Book Antiqua"/>
                <w:sz w:val="24"/>
                <w:szCs w:val="24"/>
                <w:lang w:val="en-US"/>
              </w:rPr>
            </w:pPr>
            <w:r w:rsidRPr="003310E2">
              <w:rPr>
                <w:rFonts w:ascii="Book Antiqua" w:hAnsi="Book Antiqua"/>
                <w:sz w:val="24"/>
                <w:szCs w:val="24"/>
                <w:lang w:val="en-US"/>
              </w:rPr>
              <w:t>Group 1</w:t>
            </w: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K19</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0.37</w:t>
            </w:r>
            <w:r w:rsidRPr="003310E2">
              <w:rPr>
                <w:rFonts w:ascii="Book Antiqua" w:hAnsi="Book Antiqua"/>
                <w:sz w:val="24"/>
                <w:szCs w:val="24"/>
                <w:vertAlign w:val="superscript"/>
                <w:lang w:val="en-US"/>
              </w:rPr>
              <w:t>b</w:t>
            </w:r>
            <w:r w:rsidRPr="003310E2">
              <w:rPr>
                <w:rFonts w:ascii="Book Antiqua" w:hAnsi="Book Antiqua"/>
                <w:sz w:val="24"/>
                <w:szCs w:val="24"/>
                <w:lang w:val="en-US"/>
              </w:rPr>
              <w:t xml:space="preserve"> </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0.03</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p53</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0.36</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0.29</w:t>
            </w:r>
            <w:r w:rsidRPr="003310E2">
              <w:rPr>
                <w:rFonts w:ascii="Book Antiqua" w:hAnsi="Book Antiqua"/>
                <w:sz w:val="24"/>
                <w:szCs w:val="24"/>
                <w:vertAlign w:val="superscript"/>
                <w:lang w:val="en-US"/>
              </w:rPr>
              <w:t>d</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0.08</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ERK1</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0.34</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0.39</w:t>
            </w:r>
            <w:r w:rsidRPr="003310E2">
              <w:rPr>
                <w:rFonts w:ascii="Book Antiqua" w:hAnsi="Book Antiqua"/>
                <w:sz w:val="24"/>
                <w:szCs w:val="24"/>
                <w:vertAlign w:val="superscript"/>
                <w:lang w:val="en-US"/>
              </w:rPr>
              <w:t>b</w:t>
            </w:r>
            <w:r w:rsidRPr="003310E2">
              <w:rPr>
                <w:rFonts w:ascii="Book Antiqua" w:hAnsi="Book Antiqua"/>
                <w:sz w:val="24"/>
                <w:szCs w:val="24"/>
                <w:lang w:val="en-US"/>
              </w:rPr>
              <w:t xml:space="preserve"> </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0.37</w:t>
            </w:r>
            <w:r w:rsidRPr="003310E2">
              <w:rPr>
                <w:rFonts w:ascii="Book Antiqua" w:hAnsi="Book Antiqua"/>
                <w:sz w:val="24"/>
                <w:szCs w:val="24"/>
                <w:vertAlign w:val="superscript"/>
                <w:lang w:val="en-US"/>
              </w:rPr>
              <w:t>b</w:t>
            </w:r>
            <w:r w:rsidRPr="003310E2">
              <w:rPr>
                <w:rFonts w:ascii="Book Antiqua" w:hAnsi="Book Antiqua"/>
                <w:sz w:val="24"/>
                <w:szCs w:val="24"/>
                <w:lang w:val="en-US"/>
              </w:rPr>
              <w:t xml:space="preserve"> </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0.17</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BcatN</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0.23</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0.44</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0.13</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0.24</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0.18</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ERK2</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0.19</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0.63</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0.22</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0.10</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0.36</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0.24</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Borders>
              <w:bottom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Vim</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0.14</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0.11</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0.51</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0.02</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0.31</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0.08</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0.14</w:t>
            </w:r>
          </w:p>
        </w:tc>
        <w:tc>
          <w:tcPr>
            <w:tcW w:w="321"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Borders>
              <w:top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CKD1</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0.03</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0.46</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0.32</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0.10</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0.03</w:t>
            </w: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0.26</w:t>
            </w:r>
            <w:r w:rsidRPr="003310E2">
              <w:rPr>
                <w:rFonts w:ascii="Book Antiqua" w:hAnsi="Book Antiqua"/>
                <w:sz w:val="24"/>
                <w:szCs w:val="24"/>
                <w:vertAlign w:val="superscript"/>
                <w:lang w:val="en-US"/>
              </w:rPr>
              <w:t>d</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0.29</w:t>
            </w:r>
            <w:r w:rsidRPr="003310E2">
              <w:rPr>
                <w:rFonts w:ascii="Book Antiqua" w:hAnsi="Book Antiqua"/>
                <w:sz w:val="24"/>
                <w:szCs w:val="24"/>
                <w:vertAlign w:val="superscript"/>
                <w:lang w:val="en-US"/>
              </w:rPr>
              <w:t>d</w:t>
            </w:r>
          </w:p>
        </w:tc>
        <w:tc>
          <w:tcPr>
            <w:tcW w:w="321"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0.19</w:t>
            </w: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2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val="restart"/>
            <w:tcBorders>
              <w:top w:val="single" w:sz="4" w:space="0" w:color="auto"/>
            </w:tcBorders>
            <w:shd w:val="clear" w:color="auto" w:fill="auto"/>
            <w:vAlign w:val="center"/>
          </w:tcPr>
          <w:p w:rsidR="003C39BE" w:rsidRPr="003310E2" w:rsidRDefault="003C39BE" w:rsidP="003B0F97">
            <w:pPr>
              <w:adjustRightInd w:val="0"/>
              <w:snapToGrid w:val="0"/>
              <w:spacing w:after="0" w:line="360" w:lineRule="auto"/>
              <w:jc w:val="center"/>
              <w:rPr>
                <w:rFonts w:ascii="Book Antiqua" w:hAnsi="Book Antiqua"/>
                <w:sz w:val="24"/>
                <w:szCs w:val="24"/>
                <w:lang w:val="en-US"/>
              </w:rPr>
            </w:pPr>
            <w:r w:rsidRPr="003310E2">
              <w:rPr>
                <w:rFonts w:ascii="Book Antiqua" w:hAnsi="Book Antiqua"/>
                <w:sz w:val="24"/>
                <w:szCs w:val="24"/>
                <w:lang w:val="en-US"/>
              </w:rPr>
              <w:t>Group 2</w:t>
            </w: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BcatM</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0.08</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0.26</w:t>
            </w:r>
            <w:r w:rsidRPr="003310E2">
              <w:rPr>
                <w:rFonts w:ascii="Book Antiqua" w:hAnsi="Book Antiqua"/>
                <w:sz w:val="24"/>
                <w:szCs w:val="24"/>
                <w:vertAlign w:val="superscript"/>
                <w:lang w:val="en-US"/>
              </w:rPr>
              <w:t>d</w:t>
            </w:r>
            <w:r w:rsidRPr="003310E2">
              <w:rPr>
                <w:rFonts w:ascii="Book Antiqua" w:hAnsi="Book Antiqua"/>
                <w:sz w:val="24"/>
                <w:szCs w:val="24"/>
                <w:lang w:val="en-US"/>
              </w:rPr>
              <w:t xml:space="preserve"> </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0.01</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0.23</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0.17</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0.07</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0.42</w:t>
            </w:r>
            <w:r w:rsidRPr="003310E2">
              <w:rPr>
                <w:rFonts w:ascii="Book Antiqua" w:hAnsi="Book Antiqua"/>
                <w:sz w:val="24"/>
                <w:szCs w:val="24"/>
                <w:vertAlign w:val="superscript"/>
                <w:lang w:val="en-US"/>
              </w:rPr>
              <w:t xml:space="preserve"> a</w:t>
            </w: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0.01</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0.25</w:t>
            </w:r>
            <w:r w:rsidRPr="003310E2">
              <w:rPr>
                <w:rFonts w:ascii="Book Antiqua" w:hAnsi="Book Antiqua"/>
                <w:sz w:val="24"/>
                <w:szCs w:val="24"/>
                <w:vertAlign w:val="superscript"/>
                <w:lang w:val="en-US"/>
              </w:rPr>
              <w:t>d</w:t>
            </w: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lastRenderedPageBreak/>
              <w:t>mTOR</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0.24</w:t>
            </w:r>
            <w:r w:rsidRPr="003310E2">
              <w:rPr>
                <w:rFonts w:ascii="Book Antiqua" w:hAnsi="Book Antiqua"/>
                <w:sz w:val="24"/>
                <w:szCs w:val="24"/>
                <w:vertAlign w:val="superscript"/>
                <w:lang w:val="en-US"/>
              </w:rPr>
              <w:t>d</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0.02</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0.20</w:t>
            </w:r>
          </w:p>
        </w:tc>
        <w:tc>
          <w:tcPr>
            <w:tcW w:w="355"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0.21</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0.25</w:t>
            </w:r>
            <w:r w:rsidRPr="003310E2">
              <w:rPr>
                <w:rFonts w:ascii="Book Antiqua" w:hAnsi="Book Antiqua"/>
                <w:sz w:val="24"/>
                <w:szCs w:val="24"/>
                <w:vertAlign w:val="superscript"/>
                <w:lang w:val="en-US"/>
              </w:rPr>
              <w:t>d</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0.03</w:t>
            </w: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0.13</w:t>
            </w:r>
          </w:p>
        </w:tc>
        <w:tc>
          <w:tcPr>
            <w:tcW w:w="321"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0.13</w:t>
            </w:r>
          </w:p>
        </w:tc>
        <w:tc>
          <w:tcPr>
            <w:tcW w:w="31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0.17</w:t>
            </w:r>
          </w:p>
        </w:tc>
        <w:tc>
          <w:tcPr>
            <w:tcW w:w="32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0.44</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39"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2"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Borders>
              <w:bottom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MET</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0.32</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0.16</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0.20</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0.35</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0.01</w:t>
            </w: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0.22</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0.39</w:t>
            </w:r>
            <w:r w:rsidRPr="003310E2">
              <w:rPr>
                <w:rFonts w:ascii="Book Antiqua" w:hAnsi="Book Antiqua"/>
                <w:sz w:val="24"/>
                <w:szCs w:val="24"/>
                <w:vertAlign w:val="superscript"/>
                <w:lang w:val="en-US"/>
              </w:rPr>
              <w:t>b</w:t>
            </w:r>
            <w:r w:rsidRPr="003310E2">
              <w:rPr>
                <w:rFonts w:ascii="Book Antiqua" w:hAnsi="Book Antiqua"/>
                <w:sz w:val="24"/>
                <w:szCs w:val="24"/>
                <w:lang w:val="en-US"/>
              </w:rPr>
              <w:t xml:space="preserve"> </w:t>
            </w:r>
          </w:p>
        </w:tc>
        <w:tc>
          <w:tcPr>
            <w:tcW w:w="321"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0.18</w:t>
            </w: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0.38</w:t>
            </w:r>
            <w:r w:rsidRPr="003310E2">
              <w:rPr>
                <w:rFonts w:ascii="Book Antiqua" w:hAnsi="Book Antiqua"/>
                <w:sz w:val="24"/>
                <w:szCs w:val="24"/>
                <w:vertAlign w:val="superscript"/>
                <w:lang w:val="en-US"/>
              </w:rPr>
              <w:t xml:space="preserve"> b</w:t>
            </w:r>
            <w:r w:rsidRPr="003310E2">
              <w:rPr>
                <w:rFonts w:ascii="Book Antiqua" w:hAnsi="Book Antiqua"/>
                <w:sz w:val="24"/>
                <w:szCs w:val="24"/>
                <w:lang w:val="en-US"/>
              </w:rPr>
              <w:t xml:space="preserve"> </w:t>
            </w:r>
          </w:p>
        </w:tc>
        <w:tc>
          <w:tcPr>
            <w:tcW w:w="32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0.18</w:t>
            </w:r>
          </w:p>
        </w:tc>
        <w:tc>
          <w:tcPr>
            <w:tcW w:w="339"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0.40</w:t>
            </w:r>
            <w:r w:rsidRPr="003310E2">
              <w:rPr>
                <w:rFonts w:ascii="Book Antiqua" w:hAnsi="Book Antiqua"/>
                <w:sz w:val="24"/>
                <w:szCs w:val="24"/>
                <w:vertAlign w:val="superscript"/>
                <w:lang w:val="en-US"/>
              </w:rPr>
              <w:t>b</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30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r w:rsidR="003C39BE" w:rsidRPr="003310E2" w:rsidTr="00C232D0">
        <w:tc>
          <w:tcPr>
            <w:tcW w:w="339" w:type="pct"/>
            <w:tcBorders>
              <w:top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EGFR</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0.34</w:t>
            </w:r>
            <w:r w:rsidRPr="003310E2">
              <w:rPr>
                <w:rFonts w:ascii="Book Antiqua" w:hAnsi="Book Antiqua"/>
                <w:sz w:val="24"/>
                <w:szCs w:val="24"/>
                <w:vertAlign w:val="superscript"/>
                <w:lang w:val="en-US"/>
              </w:rPr>
              <w:t>c</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0.00</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0.14</w:t>
            </w:r>
          </w:p>
        </w:tc>
        <w:tc>
          <w:tcPr>
            <w:tcW w:w="355"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0.13</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0.04</w:t>
            </w: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0.24</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0.22</w:t>
            </w:r>
          </w:p>
        </w:tc>
        <w:tc>
          <w:tcPr>
            <w:tcW w:w="321"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0.07</w:t>
            </w:r>
          </w:p>
        </w:tc>
        <w:tc>
          <w:tcPr>
            <w:tcW w:w="31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0.13</w:t>
            </w:r>
          </w:p>
        </w:tc>
        <w:tc>
          <w:tcPr>
            <w:tcW w:w="32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0.20</w:t>
            </w:r>
          </w:p>
        </w:tc>
        <w:tc>
          <w:tcPr>
            <w:tcW w:w="339"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0.11</w:t>
            </w:r>
          </w:p>
        </w:tc>
        <w:tc>
          <w:tcPr>
            <w:tcW w:w="302"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0.23</w:t>
            </w:r>
          </w:p>
        </w:tc>
        <w:tc>
          <w:tcPr>
            <w:tcW w:w="308" w:type="pct"/>
            <w:tcBorders>
              <w:top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c>
          <w:tcPr>
            <w:tcW w:w="455" w:type="pct"/>
            <w:vMerge w:val="restart"/>
            <w:tcBorders>
              <w:top w:val="single" w:sz="4" w:space="0" w:color="auto"/>
            </w:tcBorders>
            <w:shd w:val="clear" w:color="auto" w:fill="auto"/>
            <w:vAlign w:val="center"/>
          </w:tcPr>
          <w:p w:rsidR="003C39BE" w:rsidRPr="003310E2" w:rsidRDefault="003C39BE" w:rsidP="003B0F97">
            <w:pPr>
              <w:adjustRightInd w:val="0"/>
              <w:snapToGrid w:val="0"/>
              <w:spacing w:after="0" w:line="360" w:lineRule="auto"/>
              <w:jc w:val="center"/>
              <w:rPr>
                <w:rFonts w:ascii="Book Antiqua" w:hAnsi="Book Antiqua"/>
                <w:sz w:val="24"/>
                <w:szCs w:val="24"/>
                <w:lang w:val="en-US"/>
              </w:rPr>
            </w:pPr>
            <w:r w:rsidRPr="003310E2">
              <w:rPr>
                <w:rFonts w:ascii="Book Antiqua" w:hAnsi="Book Antiqua"/>
                <w:sz w:val="24"/>
                <w:szCs w:val="24"/>
                <w:lang w:val="en-US"/>
              </w:rPr>
              <w:t>Group 3</w:t>
            </w:r>
          </w:p>
        </w:tc>
      </w:tr>
      <w:tr w:rsidR="003C39BE" w:rsidRPr="003310E2" w:rsidTr="00C232D0">
        <w:tc>
          <w:tcPr>
            <w:tcW w:w="339" w:type="pct"/>
            <w:tcBorders>
              <w:bottom w:val="single" w:sz="4" w:space="0" w:color="auto"/>
            </w:tcBorders>
          </w:tcPr>
          <w:p w:rsidR="003C39BE" w:rsidRPr="00FB2872" w:rsidRDefault="003C39BE" w:rsidP="003B0F97">
            <w:pPr>
              <w:adjustRightInd w:val="0"/>
              <w:snapToGrid w:val="0"/>
              <w:spacing w:after="0" w:line="360" w:lineRule="auto"/>
              <w:jc w:val="both"/>
              <w:rPr>
                <w:rFonts w:ascii="Book Antiqua" w:hAnsi="Book Antiqua"/>
                <w:sz w:val="24"/>
                <w:szCs w:val="24"/>
                <w:lang w:val="en-US"/>
              </w:rPr>
            </w:pPr>
            <w:r w:rsidRPr="00FB2872">
              <w:rPr>
                <w:rFonts w:ascii="Book Antiqua" w:hAnsi="Book Antiqua"/>
                <w:sz w:val="24"/>
                <w:szCs w:val="24"/>
                <w:lang w:val="en-US"/>
              </w:rPr>
              <w:t>Casp3</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0.42</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0.18</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0.25</w:t>
            </w:r>
            <w:r w:rsidRPr="003310E2">
              <w:rPr>
                <w:rFonts w:ascii="Book Antiqua" w:hAnsi="Book Antiqua"/>
                <w:sz w:val="24"/>
                <w:szCs w:val="24"/>
                <w:vertAlign w:val="superscript"/>
                <w:lang w:val="en-US"/>
              </w:rPr>
              <w:t>d</w:t>
            </w:r>
            <w:r w:rsidRPr="003310E2">
              <w:rPr>
                <w:rFonts w:ascii="Book Antiqua" w:hAnsi="Book Antiqua"/>
                <w:sz w:val="24"/>
                <w:szCs w:val="24"/>
                <w:lang w:val="en-US"/>
              </w:rPr>
              <w:t xml:space="preserve"> </w:t>
            </w:r>
          </w:p>
        </w:tc>
        <w:tc>
          <w:tcPr>
            <w:tcW w:w="355"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0.46</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0.19</w:t>
            </w: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0.06</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0.06</w:t>
            </w:r>
          </w:p>
        </w:tc>
        <w:tc>
          <w:tcPr>
            <w:tcW w:w="321"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cs="Arial"/>
                <w:sz w:val="24"/>
                <w:szCs w:val="24"/>
                <w:lang w:val="en-US"/>
              </w:rPr>
              <w:t>-</w:t>
            </w:r>
            <w:r w:rsidRPr="003310E2">
              <w:rPr>
                <w:rFonts w:ascii="Book Antiqua" w:hAnsi="Book Antiqua"/>
                <w:sz w:val="24"/>
                <w:szCs w:val="24"/>
                <w:lang w:val="en-US"/>
              </w:rPr>
              <w:t>0.27</w:t>
            </w:r>
            <w:r w:rsidRPr="003310E2">
              <w:rPr>
                <w:rFonts w:ascii="Book Antiqua" w:hAnsi="Book Antiqua"/>
                <w:sz w:val="24"/>
                <w:szCs w:val="24"/>
                <w:vertAlign w:val="superscript"/>
                <w:lang w:val="en-US"/>
              </w:rPr>
              <w:t>d</w:t>
            </w:r>
          </w:p>
        </w:tc>
        <w:tc>
          <w:tcPr>
            <w:tcW w:w="31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0.19</w:t>
            </w:r>
          </w:p>
        </w:tc>
        <w:tc>
          <w:tcPr>
            <w:tcW w:w="32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0.16</w:t>
            </w:r>
          </w:p>
        </w:tc>
        <w:tc>
          <w:tcPr>
            <w:tcW w:w="339"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0.32</w:t>
            </w:r>
            <w:r w:rsidRPr="003310E2">
              <w:rPr>
                <w:rFonts w:ascii="Book Antiqua" w:hAnsi="Book Antiqua"/>
                <w:sz w:val="24"/>
                <w:szCs w:val="24"/>
                <w:vertAlign w:val="superscript"/>
                <w:lang w:val="en-US"/>
              </w:rPr>
              <w:t xml:space="preserve"> b</w:t>
            </w:r>
            <w:r w:rsidRPr="003310E2">
              <w:rPr>
                <w:rFonts w:ascii="Book Antiqua" w:hAnsi="Book Antiqua"/>
                <w:sz w:val="24"/>
                <w:szCs w:val="24"/>
                <w:lang w:val="en-US"/>
              </w:rPr>
              <w:t xml:space="preserve"> </w:t>
            </w:r>
          </w:p>
        </w:tc>
        <w:tc>
          <w:tcPr>
            <w:tcW w:w="302"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0.41</w:t>
            </w:r>
            <w:r w:rsidRPr="003310E2">
              <w:rPr>
                <w:rFonts w:ascii="Book Antiqua" w:hAnsi="Book Antiqua"/>
                <w:sz w:val="24"/>
                <w:szCs w:val="24"/>
                <w:vertAlign w:val="superscript"/>
                <w:lang w:val="en-US"/>
              </w:rPr>
              <w:t>a</w:t>
            </w:r>
            <w:r w:rsidRPr="003310E2">
              <w:rPr>
                <w:rFonts w:ascii="Book Antiqua" w:hAnsi="Book Antiqua"/>
                <w:sz w:val="24"/>
                <w:szCs w:val="24"/>
                <w:lang w:val="en-US"/>
              </w:rPr>
              <w:t xml:space="preserve"> </w:t>
            </w:r>
          </w:p>
        </w:tc>
        <w:tc>
          <w:tcPr>
            <w:tcW w:w="308" w:type="pct"/>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r w:rsidRPr="003310E2">
              <w:rPr>
                <w:rFonts w:ascii="Book Antiqua" w:hAnsi="Book Antiqua"/>
                <w:sz w:val="24"/>
                <w:szCs w:val="24"/>
                <w:lang w:val="en-US"/>
              </w:rPr>
              <w:t>0.35</w:t>
            </w:r>
            <w:r w:rsidRPr="003310E2">
              <w:rPr>
                <w:rFonts w:ascii="Book Antiqua" w:hAnsi="Book Antiqua"/>
                <w:sz w:val="24"/>
                <w:szCs w:val="24"/>
                <w:vertAlign w:val="superscript"/>
                <w:lang w:val="en-US"/>
              </w:rPr>
              <w:t>c</w:t>
            </w:r>
            <w:r w:rsidRPr="003310E2">
              <w:rPr>
                <w:rFonts w:ascii="Book Antiqua" w:hAnsi="Book Antiqua"/>
                <w:sz w:val="24"/>
                <w:szCs w:val="24"/>
                <w:lang w:val="en-US"/>
              </w:rPr>
              <w:t xml:space="preserve"> </w:t>
            </w:r>
          </w:p>
        </w:tc>
        <w:tc>
          <w:tcPr>
            <w:tcW w:w="455" w:type="pct"/>
            <w:vMerge/>
            <w:tcBorders>
              <w:bottom w:val="single" w:sz="4" w:space="0" w:color="auto"/>
            </w:tcBorders>
            <w:shd w:val="clear" w:color="auto" w:fill="auto"/>
          </w:tcPr>
          <w:p w:rsidR="003C39BE" w:rsidRPr="003310E2" w:rsidRDefault="003C39BE" w:rsidP="003B0F97">
            <w:pPr>
              <w:adjustRightInd w:val="0"/>
              <w:snapToGrid w:val="0"/>
              <w:spacing w:after="0" w:line="360" w:lineRule="auto"/>
              <w:jc w:val="both"/>
              <w:rPr>
                <w:rFonts w:ascii="Book Antiqua" w:hAnsi="Book Antiqua"/>
                <w:sz w:val="24"/>
                <w:szCs w:val="24"/>
                <w:lang w:val="en-US"/>
              </w:rPr>
            </w:pPr>
          </w:p>
        </w:tc>
      </w:tr>
    </w:tbl>
    <w:p w:rsidR="003C39BE" w:rsidRDefault="003C39BE" w:rsidP="003B0F97">
      <w:pPr>
        <w:adjustRightInd w:val="0"/>
        <w:snapToGrid w:val="0"/>
        <w:spacing w:after="0" w:line="360" w:lineRule="auto"/>
        <w:jc w:val="both"/>
        <w:rPr>
          <w:rFonts w:ascii="Book Antiqua" w:hAnsi="Book Antiqua"/>
          <w:sz w:val="24"/>
          <w:szCs w:val="24"/>
          <w:lang w:val="en-US" w:eastAsia="zh-CN"/>
        </w:rPr>
      </w:pPr>
      <w:r w:rsidRPr="003310E2">
        <w:rPr>
          <w:rFonts w:ascii="Book Antiqua" w:hAnsi="Book Antiqua"/>
          <w:sz w:val="24"/>
          <w:szCs w:val="24"/>
          <w:vertAlign w:val="superscript"/>
          <w:lang w:val="en-US"/>
        </w:rPr>
        <w:t>a</w:t>
      </w:r>
      <w:r w:rsidRPr="003310E2">
        <w:rPr>
          <w:rFonts w:ascii="Book Antiqua" w:hAnsi="Book Antiqua"/>
          <w:i/>
          <w:sz w:val="24"/>
          <w:szCs w:val="24"/>
          <w:u w:val="single"/>
          <w:lang w:val="en-US"/>
        </w:rPr>
        <w:t>P</w:t>
      </w:r>
      <w:r w:rsidRPr="003310E2">
        <w:rPr>
          <w:rFonts w:ascii="Book Antiqua" w:hAnsi="Book Antiqua"/>
          <w:sz w:val="24"/>
          <w:szCs w:val="24"/>
          <w:lang w:val="en-US"/>
        </w:rPr>
        <w:t xml:space="preserve"> &lt; 0.0005, </w:t>
      </w:r>
      <w:r w:rsidRPr="003310E2">
        <w:rPr>
          <w:rFonts w:ascii="Book Antiqua" w:hAnsi="Book Antiqua"/>
          <w:sz w:val="24"/>
          <w:szCs w:val="24"/>
          <w:vertAlign w:val="superscript"/>
          <w:lang w:val="en-US"/>
        </w:rPr>
        <w:t>b</w:t>
      </w:r>
      <w:r w:rsidRPr="003310E2">
        <w:rPr>
          <w:rFonts w:ascii="Book Antiqua" w:hAnsi="Book Antiqua"/>
          <w:i/>
          <w:sz w:val="24"/>
          <w:szCs w:val="24"/>
          <w:lang w:val="en-US"/>
        </w:rPr>
        <w:t>P</w:t>
      </w:r>
      <w:r w:rsidRPr="003310E2">
        <w:rPr>
          <w:rFonts w:ascii="Book Antiqua" w:hAnsi="Book Antiqua"/>
          <w:sz w:val="24"/>
          <w:szCs w:val="24"/>
          <w:lang w:val="en-US"/>
        </w:rPr>
        <w:t xml:space="preserve"> ≤ 0.001, </w:t>
      </w:r>
      <w:r w:rsidRPr="003310E2">
        <w:rPr>
          <w:rFonts w:ascii="Book Antiqua" w:hAnsi="Book Antiqua"/>
          <w:sz w:val="24"/>
          <w:szCs w:val="24"/>
          <w:vertAlign w:val="superscript"/>
          <w:lang w:val="en-US"/>
        </w:rPr>
        <w:t>c</w:t>
      </w:r>
      <w:r w:rsidRPr="003310E2">
        <w:rPr>
          <w:rFonts w:ascii="Book Antiqua" w:hAnsi="Book Antiqua"/>
          <w:i/>
          <w:sz w:val="24"/>
          <w:szCs w:val="24"/>
          <w:lang w:val="en-US"/>
        </w:rPr>
        <w:t>P</w:t>
      </w:r>
      <w:r w:rsidRPr="003310E2">
        <w:rPr>
          <w:rFonts w:ascii="Book Antiqua" w:hAnsi="Book Antiqua"/>
          <w:sz w:val="24"/>
          <w:szCs w:val="24"/>
          <w:lang w:val="en-US"/>
        </w:rPr>
        <w:t xml:space="preserve"> &lt; 0.01, </w:t>
      </w:r>
      <w:r w:rsidRPr="003310E2">
        <w:rPr>
          <w:rFonts w:ascii="Book Antiqua" w:hAnsi="Book Antiqua"/>
          <w:sz w:val="24"/>
          <w:szCs w:val="24"/>
          <w:vertAlign w:val="superscript"/>
          <w:lang w:val="en-US"/>
        </w:rPr>
        <w:t>d</w:t>
      </w:r>
      <w:r w:rsidRPr="003310E2">
        <w:rPr>
          <w:rFonts w:ascii="Book Antiqua" w:hAnsi="Book Antiqua"/>
          <w:i/>
          <w:sz w:val="24"/>
          <w:szCs w:val="24"/>
          <w:lang w:val="en-US"/>
        </w:rPr>
        <w:t>P</w:t>
      </w:r>
      <w:r w:rsidRPr="003310E2">
        <w:rPr>
          <w:rFonts w:ascii="Book Antiqua" w:hAnsi="Book Antiqua"/>
          <w:sz w:val="24"/>
          <w:szCs w:val="24"/>
          <w:lang w:val="en-US"/>
        </w:rPr>
        <w:t xml:space="preserve"> &lt; 0.05 by Spearman’s rho. Cases with </w:t>
      </w:r>
      <w:r w:rsidRPr="003310E2">
        <w:rPr>
          <w:rFonts w:ascii="Book Antiqua" w:hAnsi="Book Antiqua" w:cs="Arial"/>
          <w:sz w:val="24"/>
          <w:szCs w:val="24"/>
          <w:lang w:val="en-US"/>
        </w:rPr>
        <w:t xml:space="preserve">positivity (group 1) and negativity (group 3) for </w:t>
      </w:r>
      <w:r w:rsidRPr="003310E2">
        <w:rPr>
          <w:rFonts w:ascii="Book Antiqua" w:hAnsi="Book Antiqua"/>
          <w:sz w:val="24"/>
          <w:szCs w:val="24"/>
          <w:lang w:val="en-US"/>
        </w:rPr>
        <w:t xml:space="preserve">immunohistochemical markers as </w:t>
      </w:r>
      <w:r w:rsidRPr="003310E2">
        <w:rPr>
          <w:rFonts w:ascii="Book Antiqua" w:hAnsi="Book Antiqua" w:cs="Arial"/>
          <w:sz w:val="24"/>
          <w:szCs w:val="24"/>
          <w:lang w:val="en-US"/>
        </w:rPr>
        <w:t>associated with the histological grade and cell proliferation; Cases in group 2 showed intermediate features, between groups 1 and 3.</w:t>
      </w:r>
      <w:r w:rsidRPr="003310E2">
        <w:rPr>
          <w:rFonts w:ascii="Book Antiqua" w:hAnsi="Book Antiqua"/>
          <w:sz w:val="24"/>
          <w:szCs w:val="24"/>
          <w:lang w:val="en-US"/>
        </w:rPr>
        <w:t xml:space="preserve"> BcatM: Membrane beta-catenin; BcatN: Nuclear beta-catenin; Casp3: Caspase 3; CKD1: Cyclin D1; EGFR: </w:t>
      </w:r>
      <w:r w:rsidRPr="003310E2">
        <w:rPr>
          <w:rFonts w:ascii="Book Antiqua" w:hAnsi="Book Antiqua" w:cs="Arial"/>
          <w:sz w:val="24"/>
          <w:szCs w:val="24"/>
          <w:lang w:val="en-US"/>
        </w:rPr>
        <w:t>Epidermal growth factor receptor;</w:t>
      </w:r>
      <w:r w:rsidRPr="003310E2">
        <w:rPr>
          <w:rFonts w:ascii="Book Antiqua" w:hAnsi="Book Antiqua"/>
          <w:sz w:val="24"/>
          <w:szCs w:val="24"/>
          <w:lang w:val="en-US"/>
        </w:rPr>
        <w:t xml:space="preserve"> </w:t>
      </w:r>
      <w:r w:rsidRPr="003310E2">
        <w:rPr>
          <w:rFonts w:ascii="Book Antiqua" w:hAnsi="Book Antiqua" w:cs="Arial"/>
          <w:sz w:val="24"/>
          <w:szCs w:val="24"/>
          <w:lang w:val="en-US"/>
        </w:rPr>
        <w:t>HCC: H</w:t>
      </w:r>
      <w:r w:rsidRPr="003310E2">
        <w:rPr>
          <w:rFonts w:ascii="Book Antiqua" w:eastAsiaTheme="minorHAnsi" w:hAnsi="Book Antiqua" w:cs="Arial"/>
          <w:sz w:val="24"/>
          <w:szCs w:val="24"/>
          <w:lang w:val="en-US" w:eastAsia="en-US"/>
        </w:rPr>
        <w:t>epatocellular carcinoma;</w:t>
      </w:r>
      <w:r w:rsidRPr="003310E2">
        <w:rPr>
          <w:rFonts w:ascii="Book Antiqua" w:hAnsi="Book Antiqua"/>
          <w:sz w:val="24"/>
          <w:szCs w:val="24"/>
          <w:lang w:val="en-US"/>
        </w:rPr>
        <w:t xml:space="preserve"> mTOR: </w:t>
      </w:r>
      <w:r w:rsidRPr="003310E2">
        <w:rPr>
          <w:rStyle w:val="Strong"/>
          <w:rFonts w:ascii="Book Antiqua" w:hAnsi="Book Antiqua" w:cs="Arial"/>
          <w:b w:val="0"/>
          <w:sz w:val="24"/>
          <w:szCs w:val="24"/>
          <w:lang w:val="en-US"/>
        </w:rPr>
        <w:t>Mechanistic target of rapamycin;</w:t>
      </w:r>
      <w:r w:rsidRPr="003310E2">
        <w:rPr>
          <w:rFonts w:ascii="Book Antiqua" w:hAnsi="Book Antiqua" w:cs="Arial"/>
          <w:sz w:val="24"/>
          <w:szCs w:val="24"/>
          <w:lang w:val="en-US"/>
        </w:rPr>
        <w:t xml:space="preserve"> </w:t>
      </w:r>
      <w:r w:rsidR="003310E2" w:rsidRPr="003310E2">
        <w:rPr>
          <w:rFonts w:ascii="Book Antiqua" w:hAnsi="Book Antiqua"/>
          <w:sz w:val="24"/>
          <w:szCs w:val="24"/>
          <w:lang w:val="en-US"/>
        </w:rPr>
        <w:t>Vim: Vimentin.</w:t>
      </w:r>
    </w:p>
    <w:p w:rsidR="003C39BE" w:rsidRPr="003310E2" w:rsidRDefault="003C39BE" w:rsidP="003B0F97">
      <w:pPr>
        <w:adjustRightInd w:val="0"/>
        <w:snapToGrid w:val="0"/>
        <w:spacing w:after="0" w:line="360" w:lineRule="auto"/>
        <w:rPr>
          <w:rFonts w:ascii="Book Antiqua" w:hAnsi="Book Antiqua"/>
          <w:sz w:val="24"/>
          <w:szCs w:val="24"/>
          <w:lang w:val="en-US" w:eastAsia="zh-CN"/>
        </w:rPr>
      </w:pPr>
    </w:p>
    <w:sectPr w:rsidR="003C39BE" w:rsidRPr="003310E2" w:rsidSect="00C232D0">
      <w:endnotePr>
        <w:numFmt w:val="decimal"/>
      </w:endnotePr>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638F" w:rsidRDefault="0081638F">
      <w:pPr>
        <w:spacing w:after="0" w:line="240" w:lineRule="auto"/>
      </w:pPr>
      <w:r>
        <w:separator/>
      </w:r>
    </w:p>
  </w:endnote>
  <w:endnote w:type="continuationSeparator" w:id="0">
    <w:p w:rsidR="0081638F" w:rsidRDefault="00816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Univers">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9903623"/>
      <w:docPartObj>
        <w:docPartGallery w:val="Page Numbers (Bottom of Page)"/>
        <w:docPartUnique/>
      </w:docPartObj>
    </w:sdtPr>
    <w:sdtEndPr>
      <w:rPr>
        <w:rFonts w:ascii="Book Antiqua" w:hAnsi="Book Antiqua"/>
        <w:sz w:val="24"/>
        <w:szCs w:val="24"/>
      </w:rPr>
    </w:sdtEndPr>
    <w:sdtContent>
      <w:p w:rsidR="006117CE" w:rsidRPr="000C17CE" w:rsidRDefault="006117CE">
        <w:pPr>
          <w:pStyle w:val="Footer"/>
          <w:jc w:val="center"/>
          <w:rPr>
            <w:rFonts w:ascii="Book Antiqua" w:hAnsi="Book Antiqua"/>
            <w:sz w:val="24"/>
            <w:szCs w:val="24"/>
          </w:rPr>
        </w:pPr>
        <w:r w:rsidRPr="000C17CE">
          <w:rPr>
            <w:rFonts w:ascii="Book Antiqua" w:hAnsi="Book Antiqua"/>
            <w:sz w:val="24"/>
            <w:szCs w:val="24"/>
          </w:rPr>
          <w:fldChar w:fldCharType="begin"/>
        </w:r>
        <w:r w:rsidRPr="000C17CE">
          <w:rPr>
            <w:rFonts w:ascii="Book Antiqua" w:hAnsi="Book Antiqua"/>
            <w:sz w:val="24"/>
            <w:szCs w:val="24"/>
          </w:rPr>
          <w:instrText xml:space="preserve"> PAGE   \* MERGEFORMAT </w:instrText>
        </w:r>
        <w:r w:rsidRPr="000C17CE">
          <w:rPr>
            <w:rFonts w:ascii="Book Antiqua" w:hAnsi="Book Antiqua"/>
            <w:sz w:val="24"/>
            <w:szCs w:val="24"/>
          </w:rPr>
          <w:fldChar w:fldCharType="separate"/>
        </w:r>
        <w:r w:rsidR="00C7173E">
          <w:rPr>
            <w:rFonts w:ascii="Book Antiqua" w:hAnsi="Book Antiqua"/>
            <w:noProof/>
            <w:sz w:val="24"/>
            <w:szCs w:val="24"/>
          </w:rPr>
          <w:t>37</w:t>
        </w:r>
        <w:r w:rsidRPr="000C17CE">
          <w:rPr>
            <w:rFonts w:ascii="Book Antiqua" w:hAnsi="Book Antiqua"/>
            <w:noProof/>
            <w:sz w:val="24"/>
            <w:szCs w:val="24"/>
          </w:rPr>
          <w:fldChar w:fldCharType="end"/>
        </w:r>
      </w:p>
    </w:sdtContent>
  </w:sdt>
  <w:p w:rsidR="006117CE" w:rsidRDefault="006117CE" w:rsidP="00C232D0">
    <w:pPr>
      <w:pStyle w:val="Footer"/>
      <w:tabs>
        <w:tab w:val="clear" w:pos="4252"/>
        <w:tab w:val="clear" w:pos="8504"/>
        <w:tab w:val="left" w:pos="36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638F" w:rsidRDefault="0081638F">
      <w:pPr>
        <w:spacing w:after="0" w:line="240" w:lineRule="auto"/>
      </w:pPr>
      <w:r>
        <w:separator/>
      </w:r>
    </w:p>
  </w:footnote>
  <w:footnote w:type="continuationSeparator" w:id="0">
    <w:p w:rsidR="0081638F" w:rsidRDefault="008163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E2F6CFE"/>
    <w:multiLevelType w:val="multilevel"/>
    <w:tmpl w:val="1DBE7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hyphenationZone w:val="42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39BE"/>
    <w:rsid w:val="00091C46"/>
    <w:rsid w:val="00146129"/>
    <w:rsid w:val="001A2B92"/>
    <w:rsid w:val="001D6034"/>
    <w:rsid w:val="001F0AB0"/>
    <w:rsid w:val="0021262B"/>
    <w:rsid w:val="00250831"/>
    <w:rsid w:val="003310E2"/>
    <w:rsid w:val="003B0F97"/>
    <w:rsid w:val="003C39BE"/>
    <w:rsid w:val="003E1884"/>
    <w:rsid w:val="006117CE"/>
    <w:rsid w:val="006C00CE"/>
    <w:rsid w:val="00723514"/>
    <w:rsid w:val="007C0DC2"/>
    <w:rsid w:val="0081638F"/>
    <w:rsid w:val="00841D4B"/>
    <w:rsid w:val="0086477D"/>
    <w:rsid w:val="00960F16"/>
    <w:rsid w:val="00A909E9"/>
    <w:rsid w:val="00A953EF"/>
    <w:rsid w:val="00AF276D"/>
    <w:rsid w:val="00C232D0"/>
    <w:rsid w:val="00C7173E"/>
    <w:rsid w:val="00C850C1"/>
    <w:rsid w:val="00D64DE5"/>
    <w:rsid w:val="00E04368"/>
    <w:rsid w:val="00E52F41"/>
    <w:rsid w:val="00F561A3"/>
    <w:rsid w:val="00FB2116"/>
    <w:rsid w:val="00FB28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38DB82C-7D41-4344-837C-977F820EC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39BE"/>
    <w:pPr>
      <w:spacing w:after="200" w:line="276" w:lineRule="auto"/>
    </w:pPr>
    <w:rPr>
      <w:kern w:val="0"/>
      <w:sz w:val="22"/>
      <w:lang w:val="pt-BR" w:eastAsia="pt-BR"/>
    </w:rPr>
  </w:style>
  <w:style w:type="paragraph" w:styleId="Heading2">
    <w:name w:val="heading 2"/>
    <w:basedOn w:val="Normal"/>
    <w:next w:val="Normal"/>
    <w:link w:val="2Char"/>
    <w:qFormat/>
    <w:rsid w:val="003C39BE"/>
    <w:pPr>
      <w:keepNext/>
      <w:spacing w:after="0" w:line="480" w:lineRule="auto"/>
      <w:outlineLvl w:val="1"/>
    </w:pPr>
    <w:rPr>
      <w:rFonts w:ascii="Arial" w:eastAsia="Times New Roman" w:hAnsi="Arial"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Char">
    <w:name w:val="标题 2 Char"/>
    <w:basedOn w:val="DefaultParagraphFont"/>
    <w:link w:val="Heading2"/>
    <w:rsid w:val="003C39BE"/>
    <w:rPr>
      <w:rFonts w:ascii="Arial" w:eastAsia="Times New Roman" w:hAnsi="Arial" w:cs="Times New Roman"/>
      <w:b/>
      <w:bCs/>
      <w:kern w:val="0"/>
      <w:sz w:val="24"/>
      <w:szCs w:val="24"/>
      <w:lang w:val="pt-BR" w:eastAsia="pt-BR"/>
    </w:rPr>
  </w:style>
  <w:style w:type="character" w:customStyle="1" w:styleId="hps">
    <w:name w:val="hps"/>
    <w:basedOn w:val="DefaultParagraphFont"/>
    <w:rsid w:val="003C39BE"/>
  </w:style>
  <w:style w:type="character" w:customStyle="1" w:styleId="atn">
    <w:name w:val="atn"/>
    <w:basedOn w:val="DefaultParagraphFont"/>
    <w:rsid w:val="003C39BE"/>
  </w:style>
  <w:style w:type="character" w:styleId="EndnoteReference">
    <w:name w:val="endnote reference"/>
    <w:basedOn w:val="DefaultParagraphFont"/>
    <w:uiPriority w:val="99"/>
    <w:semiHidden/>
    <w:unhideWhenUsed/>
    <w:rsid w:val="003C39BE"/>
    <w:rPr>
      <w:vertAlign w:val="superscript"/>
    </w:rPr>
  </w:style>
  <w:style w:type="paragraph" w:styleId="Header">
    <w:name w:val="header"/>
    <w:basedOn w:val="Normal"/>
    <w:link w:val="Char"/>
    <w:uiPriority w:val="99"/>
    <w:unhideWhenUsed/>
    <w:rsid w:val="003C39BE"/>
    <w:pPr>
      <w:tabs>
        <w:tab w:val="center" w:pos="4252"/>
        <w:tab w:val="right" w:pos="8504"/>
      </w:tabs>
      <w:spacing w:after="0" w:line="240" w:lineRule="auto"/>
    </w:pPr>
  </w:style>
  <w:style w:type="character" w:customStyle="1" w:styleId="Char">
    <w:name w:val="页眉 Char"/>
    <w:basedOn w:val="DefaultParagraphFont"/>
    <w:link w:val="Header"/>
    <w:uiPriority w:val="99"/>
    <w:rsid w:val="003C39BE"/>
    <w:rPr>
      <w:kern w:val="0"/>
      <w:sz w:val="22"/>
      <w:lang w:val="pt-BR" w:eastAsia="pt-BR"/>
    </w:rPr>
  </w:style>
  <w:style w:type="paragraph" w:styleId="Footer">
    <w:name w:val="footer"/>
    <w:basedOn w:val="Normal"/>
    <w:link w:val="Char0"/>
    <w:uiPriority w:val="99"/>
    <w:unhideWhenUsed/>
    <w:rsid w:val="003C39BE"/>
    <w:pPr>
      <w:tabs>
        <w:tab w:val="center" w:pos="4252"/>
        <w:tab w:val="right" w:pos="8504"/>
      </w:tabs>
      <w:spacing w:after="0" w:line="240" w:lineRule="auto"/>
    </w:pPr>
  </w:style>
  <w:style w:type="character" w:customStyle="1" w:styleId="Char0">
    <w:name w:val="页脚 Char"/>
    <w:basedOn w:val="DefaultParagraphFont"/>
    <w:link w:val="Footer"/>
    <w:uiPriority w:val="99"/>
    <w:rsid w:val="003C39BE"/>
    <w:rPr>
      <w:kern w:val="0"/>
      <w:sz w:val="22"/>
      <w:lang w:val="pt-BR" w:eastAsia="pt-BR"/>
    </w:rPr>
  </w:style>
  <w:style w:type="character" w:styleId="Hyperlink">
    <w:name w:val="Hyperlink"/>
    <w:basedOn w:val="DefaultParagraphFont"/>
    <w:uiPriority w:val="99"/>
    <w:unhideWhenUsed/>
    <w:rsid w:val="003C39BE"/>
    <w:rPr>
      <w:color w:val="0000FF" w:themeColor="hyperlink"/>
      <w:u w:val="single"/>
    </w:rPr>
  </w:style>
  <w:style w:type="character" w:customStyle="1" w:styleId="apple-converted-space">
    <w:name w:val="apple-converted-space"/>
    <w:basedOn w:val="DefaultParagraphFont"/>
    <w:rsid w:val="003C39BE"/>
  </w:style>
  <w:style w:type="paragraph" w:styleId="BodyText">
    <w:name w:val="Body Text"/>
    <w:basedOn w:val="Normal"/>
    <w:link w:val="Char1"/>
    <w:rsid w:val="003C39BE"/>
    <w:pPr>
      <w:spacing w:after="0" w:line="240" w:lineRule="auto"/>
      <w:jc w:val="both"/>
    </w:pPr>
    <w:rPr>
      <w:rFonts w:ascii="Times New Roman" w:eastAsia="Times New Roman" w:hAnsi="Times New Roman" w:cs="Times New Roman"/>
      <w:sz w:val="24"/>
      <w:szCs w:val="24"/>
    </w:rPr>
  </w:style>
  <w:style w:type="character" w:customStyle="1" w:styleId="Char1">
    <w:name w:val="正文文本 Char"/>
    <w:basedOn w:val="DefaultParagraphFont"/>
    <w:link w:val="BodyText"/>
    <w:rsid w:val="003C39BE"/>
    <w:rPr>
      <w:rFonts w:ascii="Times New Roman" w:eastAsia="Times New Roman" w:hAnsi="Times New Roman" w:cs="Times New Roman"/>
      <w:kern w:val="0"/>
      <w:sz w:val="24"/>
      <w:szCs w:val="24"/>
      <w:lang w:val="pt-BR" w:eastAsia="pt-BR"/>
    </w:rPr>
  </w:style>
  <w:style w:type="table" w:styleId="TableGrid">
    <w:name w:val="Table Grid"/>
    <w:basedOn w:val="TableNormal"/>
    <w:uiPriority w:val="59"/>
    <w:rsid w:val="003C39BE"/>
    <w:rPr>
      <w:rFonts w:eastAsiaTheme="minorHAnsi"/>
      <w:kern w:val="0"/>
      <w:sz w:val="22"/>
      <w:lang w:val="pt-B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Char2"/>
    <w:uiPriority w:val="99"/>
    <w:semiHidden/>
    <w:unhideWhenUsed/>
    <w:rsid w:val="003C39BE"/>
    <w:pPr>
      <w:spacing w:after="0" w:line="240" w:lineRule="auto"/>
    </w:pPr>
    <w:rPr>
      <w:rFonts w:ascii="Segoe UI" w:hAnsi="Segoe UI" w:cs="Segoe UI"/>
      <w:sz w:val="18"/>
      <w:szCs w:val="18"/>
    </w:rPr>
  </w:style>
  <w:style w:type="character" w:customStyle="1" w:styleId="Char2">
    <w:name w:val="批注框文本 Char"/>
    <w:basedOn w:val="DefaultParagraphFont"/>
    <w:link w:val="BalloonText"/>
    <w:uiPriority w:val="99"/>
    <w:semiHidden/>
    <w:rsid w:val="003C39BE"/>
    <w:rPr>
      <w:rFonts w:ascii="Segoe UI" w:hAnsi="Segoe UI" w:cs="Segoe UI"/>
      <w:kern w:val="0"/>
      <w:sz w:val="18"/>
      <w:szCs w:val="18"/>
      <w:lang w:val="pt-BR" w:eastAsia="pt-BR"/>
    </w:rPr>
  </w:style>
  <w:style w:type="character" w:styleId="CommentReference">
    <w:name w:val="annotation reference"/>
    <w:basedOn w:val="DefaultParagraphFont"/>
    <w:uiPriority w:val="99"/>
    <w:semiHidden/>
    <w:unhideWhenUsed/>
    <w:rsid w:val="003C39BE"/>
    <w:rPr>
      <w:sz w:val="16"/>
      <w:szCs w:val="16"/>
    </w:rPr>
  </w:style>
  <w:style w:type="paragraph" w:styleId="CommentText">
    <w:name w:val="annotation text"/>
    <w:basedOn w:val="Normal"/>
    <w:link w:val="Char3"/>
    <w:uiPriority w:val="99"/>
    <w:semiHidden/>
    <w:unhideWhenUsed/>
    <w:rsid w:val="003C39BE"/>
    <w:pPr>
      <w:spacing w:line="240" w:lineRule="auto"/>
    </w:pPr>
    <w:rPr>
      <w:sz w:val="20"/>
      <w:szCs w:val="20"/>
    </w:rPr>
  </w:style>
  <w:style w:type="character" w:customStyle="1" w:styleId="Char3">
    <w:name w:val="批注文字 Char"/>
    <w:basedOn w:val="DefaultParagraphFont"/>
    <w:link w:val="CommentText"/>
    <w:uiPriority w:val="99"/>
    <w:semiHidden/>
    <w:rsid w:val="003C39BE"/>
    <w:rPr>
      <w:kern w:val="0"/>
      <w:sz w:val="20"/>
      <w:szCs w:val="20"/>
      <w:lang w:val="pt-BR" w:eastAsia="pt-BR"/>
    </w:rPr>
  </w:style>
  <w:style w:type="paragraph" w:styleId="CommentSubject">
    <w:name w:val="annotation subject"/>
    <w:basedOn w:val="CommentText"/>
    <w:next w:val="CommentText"/>
    <w:link w:val="Char4"/>
    <w:uiPriority w:val="99"/>
    <w:semiHidden/>
    <w:unhideWhenUsed/>
    <w:rsid w:val="003C39BE"/>
    <w:rPr>
      <w:b/>
      <w:bCs/>
    </w:rPr>
  </w:style>
  <w:style w:type="character" w:customStyle="1" w:styleId="Char4">
    <w:name w:val="批注主题 Char"/>
    <w:basedOn w:val="Char3"/>
    <w:link w:val="CommentSubject"/>
    <w:uiPriority w:val="99"/>
    <w:semiHidden/>
    <w:rsid w:val="003C39BE"/>
    <w:rPr>
      <w:b/>
      <w:bCs/>
      <w:kern w:val="0"/>
      <w:sz w:val="20"/>
      <w:szCs w:val="20"/>
      <w:lang w:val="pt-BR" w:eastAsia="pt-BR"/>
    </w:rPr>
  </w:style>
  <w:style w:type="character" w:styleId="Strong">
    <w:name w:val="Strong"/>
    <w:basedOn w:val="DefaultParagraphFont"/>
    <w:uiPriority w:val="22"/>
    <w:qFormat/>
    <w:rsid w:val="003C39BE"/>
    <w:rPr>
      <w:b/>
      <w:bCs/>
    </w:rPr>
  </w:style>
  <w:style w:type="paragraph" w:styleId="HTMLPreformatted">
    <w:name w:val="HTML Preformatted"/>
    <w:basedOn w:val="Normal"/>
    <w:link w:val="HTMLChar"/>
    <w:uiPriority w:val="99"/>
    <w:unhideWhenUsed/>
    <w:rsid w:val="003C3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har">
    <w:name w:val="HTML 预设格式 Char"/>
    <w:basedOn w:val="DefaultParagraphFont"/>
    <w:link w:val="HTMLPreformatted"/>
    <w:uiPriority w:val="99"/>
    <w:rsid w:val="003C39BE"/>
    <w:rPr>
      <w:rFonts w:ascii="Courier New" w:eastAsia="Times New Roman" w:hAnsi="Courier New" w:cs="Courier New"/>
      <w:kern w:val="0"/>
      <w:sz w:val="20"/>
      <w:szCs w:val="20"/>
      <w:lang w:val="pt-BR" w:eastAsia="pt-BR"/>
    </w:rPr>
  </w:style>
  <w:style w:type="character" w:customStyle="1" w:styleId="highlight2">
    <w:name w:val="highlight2"/>
    <w:basedOn w:val="DefaultParagraphFont"/>
    <w:rsid w:val="003C39BE"/>
  </w:style>
  <w:style w:type="character" w:customStyle="1" w:styleId="doi1">
    <w:name w:val="doi1"/>
    <w:basedOn w:val="DefaultParagraphFont"/>
    <w:rsid w:val="003C39BE"/>
  </w:style>
  <w:style w:type="character" w:customStyle="1" w:styleId="article-headermeta-info-label">
    <w:name w:val="article-header__meta-info-label"/>
    <w:basedOn w:val="DefaultParagraphFont"/>
    <w:rsid w:val="003C39BE"/>
  </w:style>
  <w:style w:type="character" w:customStyle="1" w:styleId="article-headermeta-info-data">
    <w:name w:val="article-header__meta-info-data"/>
    <w:basedOn w:val="DefaultParagraphFont"/>
    <w:rsid w:val="003C39BE"/>
  </w:style>
  <w:style w:type="paragraph" w:styleId="NormalWeb">
    <w:name w:val="Normal (Web)"/>
    <w:basedOn w:val="Normal"/>
    <w:uiPriority w:val="99"/>
    <w:unhideWhenUsed/>
    <w:rsid w:val="003C3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articlecategory">
    <w:name w:val="articlecategory"/>
    <w:basedOn w:val="Normal"/>
    <w:rsid w:val="003C3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authorname">
    <w:name w:val="authorname"/>
    <w:basedOn w:val="DefaultParagraphFont"/>
    <w:rsid w:val="003C39BE"/>
  </w:style>
  <w:style w:type="character" w:customStyle="1" w:styleId="authorsnameaffiliation">
    <w:name w:val="authorsname_affiliation"/>
    <w:basedOn w:val="DefaultParagraphFont"/>
    <w:rsid w:val="003C39BE"/>
  </w:style>
  <w:style w:type="paragraph" w:styleId="Revision">
    <w:name w:val="Revision"/>
    <w:hidden/>
    <w:uiPriority w:val="99"/>
    <w:semiHidden/>
    <w:rsid w:val="003C39BE"/>
    <w:rPr>
      <w:kern w:val="0"/>
      <w:sz w:val="22"/>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7372</Words>
  <Characters>42027</Characters>
  <Application>Microsoft Office Word</Application>
  <DocSecurity>0</DocSecurity>
  <Lines>350</Lines>
  <Paragraphs>98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微软中国</Company>
  <LinksUpToDate>false</LinksUpToDate>
  <CharactersWithSpaces>49301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LS Ma</cp:lastModifiedBy>
  <cp:revision>2</cp:revision>
  <dcterms:created xsi:type="dcterms:W3CDTF">2016-06-14T23:57:00Z</dcterms:created>
  <dcterms:modified xsi:type="dcterms:W3CDTF">2016-06-14T23:57:00Z</dcterms:modified>
</cp:coreProperties>
</file>