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A0" w:rsidRPr="00A64FF0" w:rsidRDefault="004E2AA0" w:rsidP="00467AE1">
      <w:pPr>
        <w:adjustRightInd w:val="0"/>
        <w:snapToGrid w:val="0"/>
        <w:spacing w:after="0" w:line="360" w:lineRule="auto"/>
        <w:jc w:val="both"/>
        <w:rPr>
          <w:rFonts w:ascii="Book Antiqua" w:hAnsi="Book Antiqua" w:cs="Arial"/>
          <w:b/>
          <w:color w:val="222222"/>
          <w:sz w:val="24"/>
          <w:szCs w:val="24"/>
          <w:shd w:val="clear" w:color="auto" w:fill="FFFFFF"/>
          <w:lang w:val="en-US"/>
        </w:rPr>
      </w:pPr>
      <w:r w:rsidRPr="00A64FF0">
        <w:rPr>
          <w:rFonts w:ascii="Book Antiqua" w:hAnsi="Book Antiqua" w:cs="Arial"/>
          <w:b/>
          <w:color w:val="222222"/>
          <w:sz w:val="24"/>
          <w:szCs w:val="24"/>
          <w:shd w:val="clear" w:color="auto" w:fill="FFFFFF"/>
          <w:lang w:val="en-US"/>
        </w:rPr>
        <w:t>Name of Journal: World Journal of Gastroenterology</w:t>
      </w:r>
    </w:p>
    <w:p w:rsidR="004E2AA0" w:rsidRPr="00A64FF0" w:rsidRDefault="004E2AA0" w:rsidP="00467AE1">
      <w:pPr>
        <w:adjustRightInd w:val="0"/>
        <w:snapToGrid w:val="0"/>
        <w:spacing w:after="0" w:line="360" w:lineRule="auto"/>
        <w:jc w:val="both"/>
        <w:rPr>
          <w:rFonts w:ascii="Book Antiqua" w:hAnsi="Book Antiqua" w:cs="Arial"/>
          <w:b/>
          <w:color w:val="222222"/>
          <w:sz w:val="24"/>
          <w:szCs w:val="24"/>
          <w:shd w:val="clear" w:color="auto" w:fill="FFFFFF"/>
          <w:lang w:val="en-US" w:eastAsia="zh-CN"/>
        </w:rPr>
      </w:pPr>
      <w:r w:rsidRPr="00A64FF0">
        <w:rPr>
          <w:rFonts w:ascii="Book Antiqua" w:hAnsi="Book Antiqua" w:cs="Arial"/>
          <w:b/>
          <w:color w:val="222222"/>
          <w:sz w:val="24"/>
          <w:szCs w:val="24"/>
          <w:shd w:val="clear" w:color="auto" w:fill="FFFFFF"/>
          <w:lang w:val="en-US"/>
        </w:rPr>
        <w:t>ESPS Manuscript NO: 25796</w:t>
      </w:r>
    </w:p>
    <w:p w:rsidR="00CC5C47" w:rsidRPr="00A64FF0" w:rsidRDefault="00CC5C47" w:rsidP="00467AE1">
      <w:pPr>
        <w:adjustRightInd w:val="0"/>
        <w:snapToGrid w:val="0"/>
        <w:spacing w:after="0" w:line="360" w:lineRule="auto"/>
        <w:jc w:val="both"/>
        <w:rPr>
          <w:rFonts w:ascii="Book Antiqua" w:hAnsi="Book Antiqua" w:cs="Book Antiqua"/>
          <w:b/>
          <w:caps/>
          <w:sz w:val="24"/>
          <w:szCs w:val="24"/>
          <w:lang w:val="en-US" w:eastAsia="zh-CN"/>
        </w:rPr>
      </w:pPr>
      <w:r w:rsidRPr="00A64FF0">
        <w:rPr>
          <w:rFonts w:ascii="Book Antiqua" w:hAnsi="Book Antiqua" w:cs="Book Antiqua"/>
          <w:b/>
          <w:bCs/>
          <w:sz w:val="24"/>
          <w:szCs w:val="24"/>
          <w:lang w:val="en-US"/>
        </w:rPr>
        <w:t>Manuscript Type</w:t>
      </w:r>
      <w:r w:rsidRPr="00A64FF0">
        <w:rPr>
          <w:rFonts w:ascii="Book Antiqua" w:hAnsi="Book Antiqua" w:cs="Book Antiqua"/>
          <w:b/>
          <w:sz w:val="24"/>
          <w:szCs w:val="24"/>
          <w:lang w:val="en-US"/>
        </w:rPr>
        <w:t xml:space="preserve">: </w:t>
      </w:r>
      <w:r w:rsidR="00F76692" w:rsidRPr="00A64FF0">
        <w:rPr>
          <w:rFonts w:ascii="Book Antiqua" w:hAnsi="Book Antiqua" w:cs="Book Antiqua"/>
          <w:b/>
          <w:caps/>
          <w:sz w:val="24"/>
          <w:szCs w:val="24"/>
          <w:lang w:val="en-US"/>
        </w:rPr>
        <w:t>Review</w:t>
      </w:r>
    </w:p>
    <w:p w:rsidR="00B42C91" w:rsidRPr="00A64FF0" w:rsidRDefault="00B42C91" w:rsidP="00467AE1">
      <w:pPr>
        <w:adjustRightInd w:val="0"/>
        <w:snapToGrid w:val="0"/>
        <w:spacing w:after="0" w:line="360" w:lineRule="auto"/>
        <w:jc w:val="both"/>
        <w:rPr>
          <w:rFonts w:ascii="Book Antiqua" w:hAnsi="Book Antiqua" w:cs="Book Antiqua"/>
          <w:sz w:val="24"/>
          <w:szCs w:val="24"/>
          <w:lang w:val="en-US" w:eastAsia="zh-CN"/>
        </w:rPr>
      </w:pPr>
    </w:p>
    <w:p w:rsidR="00CC5C47" w:rsidRPr="00A64FF0" w:rsidRDefault="00CC5C47" w:rsidP="00467AE1">
      <w:pPr>
        <w:adjustRightInd w:val="0"/>
        <w:snapToGrid w:val="0"/>
        <w:spacing w:after="0" w:line="360" w:lineRule="auto"/>
        <w:jc w:val="both"/>
        <w:rPr>
          <w:rStyle w:val="Emphasis"/>
          <w:rFonts w:ascii="Book Antiqua" w:hAnsi="Book Antiqua" w:cs="Book Antiqua"/>
          <w:b/>
          <w:bCs/>
          <w:i w:val="0"/>
          <w:iCs w:val="0"/>
          <w:sz w:val="24"/>
          <w:szCs w:val="24"/>
          <w:lang w:val="en-US" w:eastAsia="zh-CN"/>
        </w:rPr>
      </w:pPr>
      <w:r w:rsidRPr="00A64FF0">
        <w:rPr>
          <w:rStyle w:val="Emphasis"/>
          <w:rFonts w:ascii="Book Antiqua" w:hAnsi="Book Antiqua" w:cs="Book Antiqua"/>
          <w:b/>
          <w:bCs/>
          <w:i w:val="0"/>
          <w:iCs w:val="0"/>
          <w:sz w:val="24"/>
          <w:szCs w:val="24"/>
          <w:lang w:val="en-US"/>
        </w:rPr>
        <w:t xml:space="preserve">Management of </w:t>
      </w:r>
      <w:r w:rsidR="00BD55BF" w:rsidRPr="00A64FF0">
        <w:rPr>
          <w:rStyle w:val="Emphasis"/>
          <w:rFonts w:ascii="Book Antiqua" w:hAnsi="Book Antiqua" w:cs="Book Antiqua"/>
          <w:b/>
          <w:bCs/>
          <w:i w:val="0"/>
          <w:iCs w:val="0"/>
          <w:sz w:val="24"/>
          <w:szCs w:val="24"/>
          <w:lang w:val="en-US"/>
        </w:rPr>
        <w:t>psoriasis patients with hep</w:t>
      </w:r>
      <w:r w:rsidRPr="00A64FF0">
        <w:rPr>
          <w:rStyle w:val="Emphasis"/>
          <w:rFonts w:ascii="Book Antiqua" w:hAnsi="Book Antiqua" w:cs="Book Antiqua"/>
          <w:b/>
          <w:bCs/>
          <w:i w:val="0"/>
          <w:iCs w:val="0"/>
          <w:sz w:val="24"/>
          <w:szCs w:val="24"/>
          <w:lang w:val="en-US"/>
        </w:rPr>
        <w:t xml:space="preserve">atitis B or </w:t>
      </w:r>
      <w:r w:rsidR="00BD55BF" w:rsidRPr="00A64FF0">
        <w:rPr>
          <w:rStyle w:val="Emphasis"/>
          <w:rFonts w:ascii="Book Antiqua" w:hAnsi="Book Antiqua" w:cs="Book Antiqua"/>
          <w:b/>
          <w:bCs/>
          <w:i w:val="0"/>
          <w:iCs w:val="0"/>
          <w:sz w:val="24"/>
          <w:szCs w:val="24"/>
          <w:lang w:val="en-US"/>
        </w:rPr>
        <w:t>hep</w:t>
      </w:r>
      <w:r w:rsidRPr="00A64FF0">
        <w:rPr>
          <w:rStyle w:val="Emphasis"/>
          <w:rFonts w:ascii="Book Antiqua" w:hAnsi="Book Antiqua" w:cs="Book Antiqua"/>
          <w:b/>
          <w:bCs/>
          <w:i w:val="0"/>
          <w:iCs w:val="0"/>
          <w:sz w:val="24"/>
          <w:szCs w:val="24"/>
          <w:lang w:val="en-US"/>
        </w:rPr>
        <w:t xml:space="preserve">atitis C </w:t>
      </w:r>
      <w:r w:rsidR="00BD55BF" w:rsidRPr="00A64FF0">
        <w:rPr>
          <w:rStyle w:val="Emphasis"/>
          <w:rFonts w:ascii="Book Antiqua" w:hAnsi="Book Antiqua" w:cs="Book Antiqua"/>
          <w:b/>
          <w:bCs/>
          <w:i w:val="0"/>
          <w:iCs w:val="0"/>
          <w:sz w:val="24"/>
          <w:szCs w:val="24"/>
          <w:lang w:val="en-US"/>
        </w:rPr>
        <w:t>virus infecti</w:t>
      </w:r>
      <w:r w:rsidRPr="00A64FF0">
        <w:rPr>
          <w:rStyle w:val="Emphasis"/>
          <w:rFonts w:ascii="Book Antiqua" w:hAnsi="Book Antiqua" w:cs="Book Antiqua"/>
          <w:b/>
          <w:bCs/>
          <w:i w:val="0"/>
          <w:iCs w:val="0"/>
          <w:sz w:val="24"/>
          <w:szCs w:val="24"/>
          <w:lang w:val="en-US"/>
        </w:rPr>
        <w:t>on</w:t>
      </w:r>
    </w:p>
    <w:p w:rsidR="00CC5C47" w:rsidRPr="00A64FF0" w:rsidRDefault="00CC5C47" w:rsidP="00467AE1">
      <w:pPr>
        <w:adjustRightInd w:val="0"/>
        <w:snapToGrid w:val="0"/>
        <w:spacing w:after="0" w:line="360" w:lineRule="auto"/>
        <w:jc w:val="both"/>
        <w:rPr>
          <w:rFonts w:ascii="Book Antiqua" w:hAnsi="Book Antiqua" w:cs="Book Antiqua"/>
          <w:sz w:val="24"/>
          <w:szCs w:val="24"/>
          <w:lang w:val="en-US"/>
        </w:rPr>
      </w:pPr>
    </w:p>
    <w:p w:rsidR="00CC5C47" w:rsidRPr="00A64FF0" w:rsidRDefault="00745B63" w:rsidP="00467AE1">
      <w:pPr>
        <w:adjustRightInd w:val="0"/>
        <w:snapToGrid w:val="0"/>
        <w:spacing w:after="0" w:line="360" w:lineRule="auto"/>
        <w:jc w:val="both"/>
        <w:rPr>
          <w:rFonts w:ascii="Book Antiqua" w:hAnsi="Book Antiqua" w:cs="Book Antiqua"/>
          <w:sz w:val="24"/>
          <w:szCs w:val="24"/>
          <w:lang w:val="en-US"/>
        </w:rPr>
      </w:pPr>
      <w:r w:rsidRPr="00A64FF0">
        <w:rPr>
          <w:rFonts w:ascii="Book Antiqua" w:hAnsi="Book Antiqua" w:cs="Book Antiqua"/>
          <w:sz w:val="24"/>
          <w:szCs w:val="24"/>
          <w:lang w:val="en-US"/>
        </w:rPr>
        <w:t>Bonifati</w:t>
      </w:r>
      <w:r w:rsidR="00AB66C0"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 xml:space="preserve">C </w:t>
      </w:r>
      <w:r w:rsidR="00C43FF9" w:rsidRPr="00A64FF0">
        <w:rPr>
          <w:rFonts w:ascii="Book Antiqua" w:hAnsi="Book Antiqua" w:cs="Book Antiqua"/>
          <w:i/>
          <w:sz w:val="24"/>
          <w:szCs w:val="24"/>
          <w:lang w:val="en-US"/>
        </w:rPr>
        <w:t>et al</w:t>
      </w:r>
      <w:r w:rsidRPr="00A64FF0">
        <w:rPr>
          <w:rFonts w:ascii="Book Antiqua" w:hAnsi="Book Antiqua" w:cs="Book Antiqua"/>
          <w:sz w:val="24"/>
          <w:szCs w:val="24"/>
          <w:lang w:val="en-US"/>
        </w:rPr>
        <w:t>.</w:t>
      </w:r>
      <w:r w:rsidR="00FE6DC4"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P</w:t>
      </w:r>
      <w:r w:rsidR="00DA7BD4" w:rsidRPr="00A64FF0">
        <w:rPr>
          <w:rFonts w:ascii="Book Antiqua" w:hAnsi="Book Antiqua" w:cs="Book Antiqua"/>
          <w:sz w:val="24"/>
          <w:szCs w:val="24"/>
          <w:lang w:val="en-US"/>
        </w:rPr>
        <w:t>soriasis</w:t>
      </w:r>
      <w:r w:rsidR="00FE6DC4" w:rsidRPr="00A64FF0">
        <w:rPr>
          <w:rFonts w:ascii="Book Antiqua" w:hAnsi="Book Antiqua" w:cs="Book Antiqua"/>
          <w:sz w:val="24"/>
          <w:szCs w:val="24"/>
          <w:lang w:val="en-US"/>
        </w:rPr>
        <w:t xml:space="preserve"> </w:t>
      </w:r>
      <w:r w:rsidR="00DA7BD4" w:rsidRPr="00A64FF0">
        <w:rPr>
          <w:rFonts w:ascii="Book Antiqua" w:hAnsi="Book Antiqua" w:cs="Book Antiqua"/>
          <w:sz w:val="24"/>
          <w:szCs w:val="24"/>
          <w:lang w:val="en-US"/>
        </w:rPr>
        <w:t>and</w:t>
      </w:r>
      <w:r w:rsidR="00FE6DC4"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HBV or HCV infection</w:t>
      </w:r>
    </w:p>
    <w:p w:rsidR="00CC5C47" w:rsidRPr="00A64FF0" w:rsidRDefault="00CC5C47" w:rsidP="00467AE1">
      <w:pPr>
        <w:autoSpaceDE w:val="0"/>
        <w:autoSpaceDN w:val="0"/>
        <w:adjustRightInd w:val="0"/>
        <w:snapToGrid w:val="0"/>
        <w:spacing w:after="0" w:line="360" w:lineRule="auto"/>
        <w:jc w:val="both"/>
        <w:rPr>
          <w:rFonts w:ascii="Book Antiqua" w:hAnsi="Book Antiqua" w:cs="Book Antiqua"/>
          <w:sz w:val="24"/>
          <w:szCs w:val="24"/>
          <w:lang w:val="en-US" w:eastAsia="zh-CN"/>
        </w:rPr>
      </w:pPr>
    </w:p>
    <w:p w:rsidR="002260B8" w:rsidRPr="00A64FF0" w:rsidRDefault="002260B8" w:rsidP="00467AE1">
      <w:pPr>
        <w:autoSpaceDE w:val="0"/>
        <w:autoSpaceDN w:val="0"/>
        <w:adjustRightInd w:val="0"/>
        <w:snapToGrid w:val="0"/>
        <w:spacing w:after="0" w:line="360" w:lineRule="auto"/>
        <w:jc w:val="both"/>
        <w:rPr>
          <w:rFonts w:ascii="Book Antiqua" w:hAnsi="Book Antiqua" w:cs="Book Antiqua"/>
          <w:bCs/>
          <w:sz w:val="24"/>
          <w:szCs w:val="24"/>
          <w:lang w:val="en-US" w:eastAsia="zh-CN"/>
        </w:rPr>
      </w:pPr>
      <w:r w:rsidRPr="00A64FF0">
        <w:rPr>
          <w:rStyle w:val="Emphasis"/>
          <w:rFonts w:ascii="Book Antiqua" w:hAnsi="Book Antiqua" w:cs="Book Antiqua"/>
          <w:bCs/>
          <w:i w:val="0"/>
          <w:iCs w:val="0"/>
          <w:sz w:val="24"/>
          <w:szCs w:val="24"/>
          <w:lang w:val="en-US"/>
        </w:rPr>
        <w:t>Claudio Bonifati, Viviana Lora, Dario Graceffa,</w:t>
      </w:r>
      <w:r w:rsidRPr="00A64FF0">
        <w:rPr>
          <w:rStyle w:val="Emphasis"/>
          <w:rFonts w:ascii="Book Antiqua" w:hAnsi="Book Antiqua" w:cs="Book Antiqua"/>
          <w:bCs/>
          <w:i w:val="0"/>
          <w:iCs w:val="0"/>
          <w:sz w:val="24"/>
          <w:szCs w:val="24"/>
          <w:lang w:val="en-US" w:eastAsia="zh-CN"/>
        </w:rPr>
        <w:t xml:space="preserve"> </w:t>
      </w:r>
      <w:r w:rsidRPr="00A64FF0">
        <w:rPr>
          <w:rFonts w:ascii="Book Antiqua" w:hAnsi="Book Antiqua" w:cs="Book Antiqua"/>
          <w:bCs/>
          <w:sz w:val="24"/>
          <w:szCs w:val="24"/>
          <w:lang w:val="en-US"/>
        </w:rPr>
        <w:t>Lorenzo Nosotti</w:t>
      </w:r>
    </w:p>
    <w:p w:rsidR="002260B8" w:rsidRPr="00A64FF0" w:rsidRDefault="002260B8" w:rsidP="00467AE1">
      <w:pPr>
        <w:autoSpaceDE w:val="0"/>
        <w:autoSpaceDN w:val="0"/>
        <w:adjustRightInd w:val="0"/>
        <w:snapToGrid w:val="0"/>
        <w:spacing w:after="0" w:line="360" w:lineRule="auto"/>
        <w:jc w:val="both"/>
        <w:rPr>
          <w:rFonts w:ascii="Book Antiqua" w:hAnsi="Book Antiqua" w:cs="Book Antiqua"/>
          <w:sz w:val="24"/>
          <w:szCs w:val="24"/>
          <w:lang w:val="en-US" w:eastAsia="zh-CN"/>
        </w:rPr>
      </w:pPr>
    </w:p>
    <w:p w:rsidR="00CC5C47" w:rsidRPr="00A64FF0" w:rsidRDefault="00CC5C47" w:rsidP="00467AE1">
      <w:pPr>
        <w:autoSpaceDE w:val="0"/>
        <w:autoSpaceDN w:val="0"/>
        <w:adjustRightInd w:val="0"/>
        <w:snapToGrid w:val="0"/>
        <w:spacing w:after="0" w:line="360" w:lineRule="auto"/>
        <w:jc w:val="both"/>
        <w:rPr>
          <w:rFonts w:ascii="Book Antiqua" w:hAnsi="Book Antiqua" w:cs="Book Antiqua"/>
          <w:sz w:val="24"/>
          <w:szCs w:val="24"/>
          <w:lang w:val="en-US" w:eastAsia="zh-CN"/>
        </w:rPr>
      </w:pPr>
      <w:r w:rsidRPr="00A64FF0">
        <w:rPr>
          <w:rStyle w:val="Emphasis"/>
          <w:rFonts w:ascii="Book Antiqua" w:hAnsi="Book Antiqua" w:cs="Book Antiqua"/>
          <w:b/>
          <w:bCs/>
          <w:i w:val="0"/>
          <w:iCs w:val="0"/>
          <w:sz w:val="24"/>
          <w:szCs w:val="24"/>
          <w:lang w:val="en-US"/>
        </w:rPr>
        <w:t>Claudio Bonifati, Viviana</w:t>
      </w:r>
      <w:r w:rsidR="004D65F4" w:rsidRPr="00A64FF0">
        <w:rPr>
          <w:rStyle w:val="Emphasis"/>
          <w:rFonts w:ascii="Book Antiqua" w:hAnsi="Book Antiqua" w:cs="Book Antiqua"/>
          <w:b/>
          <w:bCs/>
          <w:i w:val="0"/>
          <w:iCs w:val="0"/>
          <w:sz w:val="24"/>
          <w:szCs w:val="24"/>
          <w:lang w:val="en-US"/>
        </w:rPr>
        <w:t xml:space="preserve"> Lora</w:t>
      </w:r>
      <w:r w:rsidRPr="00A64FF0">
        <w:rPr>
          <w:rStyle w:val="Emphasis"/>
          <w:rFonts w:ascii="Book Antiqua" w:hAnsi="Book Antiqua" w:cs="Book Antiqua"/>
          <w:b/>
          <w:bCs/>
          <w:i w:val="0"/>
          <w:iCs w:val="0"/>
          <w:sz w:val="24"/>
          <w:szCs w:val="24"/>
          <w:lang w:val="en-US"/>
        </w:rPr>
        <w:t xml:space="preserve">, Dario Graceffa, </w:t>
      </w:r>
      <w:r w:rsidRPr="00A64FF0">
        <w:rPr>
          <w:rFonts w:ascii="Book Antiqua" w:hAnsi="Book Antiqua" w:cs="Book Antiqua"/>
          <w:sz w:val="24"/>
          <w:szCs w:val="24"/>
          <w:lang w:val="en-US"/>
        </w:rPr>
        <w:t>Center for the Study and Treatment of Psoriasis San Gallicano Dermatologic</w:t>
      </w:r>
      <w:r w:rsidR="00AB66C0"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Institute, IRCCS,</w:t>
      </w:r>
      <w:r w:rsidRPr="00A64FF0">
        <w:rPr>
          <w:rFonts w:ascii="Book Antiqua" w:hAnsi="Book Antiqua" w:cs="Book Antiqua"/>
          <w:sz w:val="24"/>
          <w:szCs w:val="24"/>
          <w:lang w:val="en-US" w:eastAsia="it-IT"/>
        </w:rPr>
        <w:t xml:space="preserve"> 00144</w:t>
      </w:r>
      <w:r w:rsidR="00BD55BF" w:rsidRPr="00A64FF0">
        <w:rPr>
          <w:rFonts w:ascii="Book Antiqua" w:hAnsi="Book Antiqua" w:cs="Book Antiqua"/>
          <w:sz w:val="24"/>
          <w:szCs w:val="24"/>
          <w:lang w:val="en-US"/>
        </w:rPr>
        <w:t xml:space="preserve"> Rome, Italy</w:t>
      </w:r>
    </w:p>
    <w:p w:rsidR="00B42C91" w:rsidRPr="00A64FF0" w:rsidRDefault="00B42C91" w:rsidP="00467AE1">
      <w:pPr>
        <w:autoSpaceDE w:val="0"/>
        <w:autoSpaceDN w:val="0"/>
        <w:adjustRightInd w:val="0"/>
        <w:snapToGrid w:val="0"/>
        <w:spacing w:after="0" w:line="360" w:lineRule="auto"/>
        <w:jc w:val="both"/>
        <w:rPr>
          <w:rFonts w:ascii="Book Antiqua" w:hAnsi="Book Antiqua" w:cs="Book Antiqua"/>
          <w:sz w:val="24"/>
          <w:szCs w:val="24"/>
          <w:lang w:val="en-US" w:eastAsia="zh-CN"/>
        </w:rPr>
      </w:pPr>
    </w:p>
    <w:p w:rsidR="00CC5C47" w:rsidRPr="00A64FF0" w:rsidRDefault="00CC5C47" w:rsidP="00467AE1">
      <w:pPr>
        <w:adjustRightInd w:val="0"/>
        <w:snapToGrid w:val="0"/>
        <w:spacing w:after="0" w:line="360" w:lineRule="auto"/>
        <w:jc w:val="both"/>
        <w:rPr>
          <w:rFonts w:ascii="Book Antiqua" w:hAnsi="Book Antiqua" w:cs="Book Antiqua"/>
          <w:color w:val="000000"/>
          <w:sz w:val="24"/>
          <w:szCs w:val="24"/>
          <w:shd w:val="clear" w:color="auto" w:fill="FFFFFF"/>
          <w:lang w:val="en-US" w:eastAsia="zh-CN"/>
        </w:rPr>
      </w:pPr>
      <w:r w:rsidRPr="00A64FF0">
        <w:rPr>
          <w:rFonts w:ascii="Book Antiqua" w:hAnsi="Book Antiqua" w:cs="Book Antiqua"/>
          <w:b/>
          <w:bCs/>
          <w:sz w:val="24"/>
          <w:szCs w:val="24"/>
          <w:lang w:val="en-US"/>
        </w:rPr>
        <w:t xml:space="preserve">Lorenzo Nosotti, </w:t>
      </w:r>
      <w:r w:rsidRPr="00A64FF0">
        <w:rPr>
          <w:rFonts w:ascii="Book Antiqua" w:hAnsi="Book Antiqua" w:cs="Book Antiqua"/>
          <w:color w:val="000000"/>
          <w:sz w:val="24"/>
          <w:szCs w:val="24"/>
          <w:shd w:val="clear" w:color="auto" w:fill="FFFFFF"/>
          <w:lang w:val="en-US"/>
        </w:rPr>
        <w:t>Gastrointestinal and Liver Department, National Institute for Health, Migration and Poverty, 00153 Rome, Italy</w:t>
      </w:r>
    </w:p>
    <w:p w:rsidR="00CC5C47" w:rsidRPr="00A64FF0" w:rsidRDefault="00CC5C47" w:rsidP="00467AE1">
      <w:pPr>
        <w:autoSpaceDE w:val="0"/>
        <w:autoSpaceDN w:val="0"/>
        <w:adjustRightInd w:val="0"/>
        <w:snapToGrid w:val="0"/>
        <w:spacing w:after="0" w:line="360" w:lineRule="auto"/>
        <w:jc w:val="both"/>
        <w:rPr>
          <w:rFonts w:ascii="Book Antiqua" w:hAnsi="Book Antiqua" w:cs="Book Antiqua"/>
          <w:b/>
          <w:bCs/>
          <w:sz w:val="24"/>
          <w:szCs w:val="24"/>
          <w:lang w:val="en-US" w:eastAsia="zh-CN"/>
        </w:rPr>
      </w:pPr>
    </w:p>
    <w:p w:rsidR="00CC5C47" w:rsidRPr="00A64FF0" w:rsidRDefault="00CC5C47" w:rsidP="00467AE1">
      <w:pPr>
        <w:adjustRightInd w:val="0"/>
        <w:snapToGrid w:val="0"/>
        <w:spacing w:after="0" w:line="360" w:lineRule="auto"/>
        <w:jc w:val="both"/>
        <w:rPr>
          <w:rFonts w:ascii="Book Antiqua" w:hAnsi="Book Antiqua" w:cs="Book Antiqua"/>
          <w:sz w:val="24"/>
          <w:szCs w:val="24"/>
          <w:lang w:val="en-US"/>
        </w:rPr>
      </w:pPr>
      <w:r w:rsidRPr="00A64FF0">
        <w:rPr>
          <w:rFonts w:ascii="Book Antiqua" w:hAnsi="Book Antiqua" w:cs="Book Antiqua"/>
          <w:b/>
          <w:bCs/>
          <w:sz w:val="24"/>
          <w:szCs w:val="24"/>
          <w:lang w:val="en-US"/>
        </w:rPr>
        <w:t>Author contributions</w:t>
      </w:r>
      <w:r w:rsidRPr="00A64FF0">
        <w:rPr>
          <w:rFonts w:ascii="Book Antiqua" w:hAnsi="Book Antiqua" w:cs="Book Antiqua"/>
          <w:sz w:val="24"/>
          <w:szCs w:val="24"/>
          <w:lang w:val="en-US"/>
        </w:rPr>
        <w:t>: Bonifati C performed research and wrote the paper;</w:t>
      </w:r>
      <w:r w:rsidR="00AB66C0"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Lora V,Graceffa D, and Nosotti L contributed criti</w:t>
      </w:r>
      <w:r w:rsidR="001968C3" w:rsidRPr="00A64FF0">
        <w:rPr>
          <w:rFonts w:ascii="Book Antiqua" w:hAnsi="Book Antiqua" w:cs="Book Antiqua"/>
          <w:sz w:val="24"/>
          <w:szCs w:val="24"/>
          <w:lang w:val="en-US"/>
        </w:rPr>
        <w:t>cal revision of the manuscrip</w:t>
      </w:r>
      <w:r w:rsidRPr="00A64FF0">
        <w:rPr>
          <w:rFonts w:ascii="Book Antiqua" w:hAnsi="Book Antiqua" w:cs="Book Antiqua"/>
          <w:sz w:val="24"/>
          <w:szCs w:val="24"/>
          <w:lang w:val="en-US"/>
        </w:rPr>
        <w:t>t.</w:t>
      </w:r>
    </w:p>
    <w:p w:rsidR="00B42C91" w:rsidRPr="00A64FF0" w:rsidRDefault="00B42C91" w:rsidP="00467AE1">
      <w:pPr>
        <w:adjustRightInd w:val="0"/>
        <w:snapToGrid w:val="0"/>
        <w:spacing w:after="0" w:line="360" w:lineRule="auto"/>
        <w:jc w:val="both"/>
        <w:rPr>
          <w:rFonts w:ascii="Book Antiqua" w:hAnsi="Book Antiqua" w:cs="Book Antiqua"/>
          <w:b/>
          <w:bCs/>
          <w:sz w:val="24"/>
          <w:szCs w:val="24"/>
          <w:lang w:val="en-US" w:eastAsia="zh-CN"/>
        </w:rPr>
      </w:pPr>
    </w:p>
    <w:p w:rsidR="00CC5C47" w:rsidRPr="00A64FF0" w:rsidRDefault="00CC5C47" w:rsidP="00467AE1">
      <w:pPr>
        <w:adjustRightInd w:val="0"/>
        <w:snapToGrid w:val="0"/>
        <w:spacing w:after="0" w:line="360" w:lineRule="auto"/>
        <w:jc w:val="both"/>
        <w:rPr>
          <w:rFonts w:ascii="Book Antiqua" w:hAnsi="Book Antiqua" w:cs="Book Antiqua"/>
          <w:sz w:val="24"/>
          <w:szCs w:val="24"/>
          <w:lang w:val="en-US" w:eastAsia="zh-CN"/>
        </w:rPr>
      </w:pPr>
      <w:r w:rsidRPr="00A64FF0">
        <w:rPr>
          <w:rFonts w:ascii="Book Antiqua" w:hAnsi="Book Antiqua" w:cs="Book Antiqua"/>
          <w:b/>
          <w:bCs/>
          <w:sz w:val="24"/>
          <w:szCs w:val="24"/>
          <w:lang w:val="en-US"/>
        </w:rPr>
        <w:t>Conflict of interest statement</w:t>
      </w:r>
      <w:r w:rsidRPr="00A64FF0">
        <w:rPr>
          <w:rFonts w:ascii="Book Antiqua" w:hAnsi="Book Antiqua" w:cs="Book Antiqua"/>
          <w:sz w:val="24"/>
          <w:szCs w:val="24"/>
          <w:lang w:val="en-US"/>
        </w:rPr>
        <w:t>: No conflict of interest.</w:t>
      </w:r>
    </w:p>
    <w:p w:rsidR="00BD55BF" w:rsidRPr="00A64FF0" w:rsidRDefault="00BD55BF" w:rsidP="00467AE1">
      <w:pPr>
        <w:adjustRightInd w:val="0"/>
        <w:snapToGrid w:val="0"/>
        <w:spacing w:after="0" w:line="360" w:lineRule="auto"/>
        <w:jc w:val="both"/>
        <w:rPr>
          <w:rFonts w:ascii="Book Antiqua" w:hAnsi="Book Antiqua" w:cs="Book Antiqua"/>
          <w:sz w:val="24"/>
          <w:szCs w:val="24"/>
          <w:lang w:val="en-US" w:eastAsia="zh-CN"/>
        </w:rPr>
      </w:pPr>
    </w:p>
    <w:p w:rsidR="001944E8" w:rsidRPr="00A64FF0" w:rsidRDefault="001944E8" w:rsidP="007217A0">
      <w:pPr>
        <w:adjustRightInd w:val="0"/>
        <w:snapToGrid w:val="0"/>
        <w:spacing w:after="0" w:line="360" w:lineRule="auto"/>
        <w:jc w:val="both"/>
        <w:rPr>
          <w:rFonts w:ascii="Book Antiqua" w:hAnsi="Book Antiqua"/>
          <w:color w:val="000000"/>
          <w:sz w:val="24"/>
          <w:szCs w:val="24"/>
          <w:lang w:eastAsia="zh-CN"/>
        </w:rPr>
      </w:pPr>
      <w:bookmarkStart w:id="0" w:name="OLE_LINK507"/>
      <w:bookmarkStart w:id="1" w:name="OLE_LINK506"/>
      <w:bookmarkStart w:id="2" w:name="OLE_LINK496"/>
      <w:bookmarkStart w:id="3" w:name="OLE_LINK479"/>
      <w:r w:rsidRPr="00A64FF0">
        <w:rPr>
          <w:rFonts w:ascii="Book Antiqua" w:hAnsi="Book Antiqua"/>
          <w:b/>
          <w:color w:val="000000"/>
          <w:sz w:val="24"/>
          <w:szCs w:val="24"/>
        </w:rPr>
        <w:t xml:space="preserve">Open-Access: </w:t>
      </w:r>
      <w:r w:rsidRPr="00A64FF0">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64FF0">
          <w:rPr>
            <w:rStyle w:val="Hyperlink"/>
            <w:rFonts w:ascii="Book Antiqua" w:hAnsi="Book Antiqua"/>
            <w:sz w:val="24"/>
            <w:szCs w:val="24"/>
          </w:rPr>
          <w:t>http://creativecommons.org/licenses/by-nc/4.0/</w:t>
        </w:r>
      </w:hyperlink>
      <w:bookmarkEnd w:id="0"/>
      <w:bookmarkEnd w:id="1"/>
      <w:bookmarkEnd w:id="2"/>
      <w:bookmarkEnd w:id="3"/>
    </w:p>
    <w:p w:rsidR="001944E8" w:rsidRPr="00A64FF0" w:rsidRDefault="001944E8" w:rsidP="00467AE1">
      <w:pPr>
        <w:adjustRightInd w:val="0"/>
        <w:snapToGrid w:val="0"/>
        <w:spacing w:after="0" w:line="360" w:lineRule="auto"/>
        <w:rPr>
          <w:rFonts w:ascii="Book Antiqua" w:hAnsi="Book Antiqua"/>
          <w:color w:val="000000"/>
          <w:sz w:val="24"/>
          <w:szCs w:val="24"/>
          <w:lang w:eastAsia="zh-CN"/>
        </w:rPr>
      </w:pPr>
    </w:p>
    <w:p w:rsidR="001944E8" w:rsidRPr="00A64FF0" w:rsidRDefault="001944E8" w:rsidP="00467AE1">
      <w:pPr>
        <w:adjustRightInd w:val="0"/>
        <w:snapToGrid w:val="0"/>
        <w:spacing w:after="0" w:line="360" w:lineRule="auto"/>
        <w:rPr>
          <w:rFonts w:ascii="Book Antiqua" w:hAnsi="Book Antiqua"/>
          <w:sz w:val="24"/>
          <w:szCs w:val="24"/>
        </w:rPr>
      </w:pPr>
      <w:r w:rsidRPr="00A64FF0">
        <w:rPr>
          <w:rFonts w:ascii="Book Antiqua" w:hAnsi="Book Antiqua"/>
          <w:b/>
          <w:sz w:val="24"/>
          <w:szCs w:val="24"/>
        </w:rPr>
        <w:t xml:space="preserve">Manuscript source: </w:t>
      </w:r>
      <w:r w:rsidRPr="00A64FF0">
        <w:rPr>
          <w:rFonts w:ascii="Book Antiqua" w:hAnsi="Book Antiqua"/>
          <w:sz w:val="24"/>
          <w:szCs w:val="24"/>
        </w:rPr>
        <w:t>Invited manuscript</w:t>
      </w:r>
    </w:p>
    <w:p w:rsidR="001944E8" w:rsidRPr="00A64FF0" w:rsidRDefault="001944E8" w:rsidP="00467AE1">
      <w:pPr>
        <w:adjustRightInd w:val="0"/>
        <w:snapToGrid w:val="0"/>
        <w:spacing w:after="0" w:line="360" w:lineRule="auto"/>
        <w:jc w:val="both"/>
        <w:rPr>
          <w:rFonts w:ascii="Book Antiqua" w:hAnsi="Book Antiqua" w:cs="Book Antiqua"/>
          <w:sz w:val="24"/>
          <w:szCs w:val="24"/>
          <w:lang w:eastAsia="zh-CN"/>
        </w:rPr>
      </w:pPr>
    </w:p>
    <w:p w:rsidR="00B06B3A" w:rsidRPr="00A64FF0" w:rsidRDefault="00CC5C47" w:rsidP="00467AE1">
      <w:pPr>
        <w:autoSpaceDE w:val="0"/>
        <w:autoSpaceDN w:val="0"/>
        <w:adjustRightInd w:val="0"/>
        <w:snapToGrid w:val="0"/>
        <w:spacing w:after="0" w:line="360" w:lineRule="auto"/>
        <w:jc w:val="both"/>
        <w:rPr>
          <w:rFonts w:ascii="Book Antiqua" w:hAnsi="Book Antiqua" w:cs="Book Antiqua"/>
          <w:sz w:val="24"/>
          <w:szCs w:val="24"/>
          <w:lang w:val="en-US" w:eastAsia="zh-CN"/>
        </w:rPr>
      </w:pPr>
      <w:r w:rsidRPr="00A64FF0">
        <w:rPr>
          <w:rFonts w:ascii="Book Antiqua" w:hAnsi="Book Antiqua" w:cs="Book Antiqua"/>
          <w:b/>
          <w:bCs/>
          <w:sz w:val="24"/>
          <w:szCs w:val="24"/>
          <w:lang w:val="en-US"/>
        </w:rPr>
        <w:lastRenderedPageBreak/>
        <w:t>Correspondence to</w:t>
      </w:r>
      <w:r w:rsidRPr="00A64FF0">
        <w:rPr>
          <w:rFonts w:ascii="Book Antiqua" w:hAnsi="Book Antiqua" w:cs="Book Antiqua"/>
          <w:sz w:val="24"/>
          <w:szCs w:val="24"/>
          <w:lang w:val="en-US"/>
        </w:rPr>
        <w:t xml:space="preserve">: </w:t>
      </w:r>
      <w:r w:rsidRPr="00A64FF0">
        <w:rPr>
          <w:rFonts w:ascii="Book Antiqua" w:hAnsi="Book Antiqua"/>
          <w:b/>
          <w:sz w:val="24"/>
          <w:szCs w:val="24"/>
          <w:lang w:val="en-US"/>
        </w:rPr>
        <w:t xml:space="preserve">Claudio Bonifati, MD, </w:t>
      </w:r>
      <w:r w:rsidRPr="00A64FF0">
        <w:rPr>
          <w:rFonts w:ascii="Book Antiqua" w:hAnsi="Book Antiqua" w:cs="Book Antiqua"/>
          <w:sz w:val="24"/>
          <w:szCs w:val="24"/>
          <w:lang w:val="en-US"/>
        </w:rPr>
        <w:t>Center for the Study and Treatment of Psoriasis</w:t>
      </w:r>
      <w:r w:rsidR="00B06B3A" w:rsidRPr="00A64FF0">
        <w:rPr>
          <w:rFonts w:ascii="Book Antiqua" w:hAnsi="Book Antiqua" w:cs="Book Antiqua"/>
          <w:sz w:val="24"/>
          <w:szCs w:val="24"/>
          <w:lang w:val="en-US" w:eastAsia="zh-CN"/>
        </w:rPr>
        <w:t xml:space="preserve"> </w:t>
      </w:r>
      <w:r w:rsidRPr="00A64FF0">
        <w:rPr>
          <w:rFonts w:ascii="Book Antiqua" w:hAnsi="Book Antiqua" w:cs="Book Antiqua"/>
          <w:sz w:val="24"/>
          <w:szCs w:val="24"/>
          <w:lang w:val="en-US"/>
        </w:rPr>
        <w:t>San Gallicano Dermatologic</w:t>
      </w:r>
      <w:r w:rsidR="00B06B3A" w:rsidRPr="00A64FF0">
        <w:rPr>
          <w:rFonts w:ascii="Book Antiqua" w:hAnsi="Book Antiqua" w:cs="Book Antiqua"/>
          <w:sz w:val="24"/>
          <w:szCs w:val="24"/>
          <w:lang w:val="en-US" w:eastAsia="zh-CN"/>
        </w:rPr>
        <w:t xml:space="preserve"> </w:t>
      </w:r>
      <w:r w:rsidRPr="00A64FF0">
        <w:rPr>
          <w:rFonts w:ascii="Book Antiqua" w:hAnsi="Book Antiqua" w:cs="Book Antiqua"/>
          <w:sz w:val="24"/>
          <w:szCs w:val="24"/>
          <w:lang w:val="en-US"/>
        </w:rPr>
        <w:t>Institute, IRCCS,</w:t>
      </w:r>
      <w:r w:rsidRPr="00A64FF0">
        <w:rPr>
          <w:rFonts w:ascii="Book Antiqua" w:hAnsi="Book Antiqua" w:cs="Book Antiqua"/>
          <w:sz w:val="24"/>
          <w:szCs w:val="24"/>
          <w:lang w:val="en-US" w:eastAsia="it-IT"/>
        </w:rPr>
        <w:t xml:space="preserve"> ViaElioChianesi 53, 00144</w:t>
      </w:r>
      <w:r w:rsidRPr="00A64FF0">
        <w:rPr>
          <w:rFonts w:ascii="Book Antiqua" w:hAnsi="Book Antiqua" w:cs="Book Antiqua"/>
          <w:sz w:val="24"/>
          <w:szCs w:val="24"/>
          <w:lang w:val="en-US"/>
        </w:rPr>
        <w:t xml:space="preserve"> Rome, Italy.</w:t>
      </w:r>
      <w:r w:rsidR="001944E8" w:rsidRPr="00A64FF0">
        <w:rPr>
          <w:rFonts w:ascii="Book Antiqua" w:hAnsi="Book Antiqua" w:cs="Book Antiqua"/>
          <w:sz w:val="24"/>
          <w:szCs w:val="24"/>
          <w:lang w:val="en-US"/>
        </w:rPr>
        <w:t xml:space="preserve"> </w:t>
      </w:r>
      <w:r w:rsidR="00B06B3A" w:rsidRPr="00A64FF0">
        <w:rPr>
          <w:rFonts w:ascii="Book Antiqua" w:hAnsi="Book Antiqua" w:cs="Book Antiqua"/>
          <w:sz w:val="24"/>
          <w:szCs w:val="24"/>
          <w:lang w:val="en-US"/>
        </w:rPr>
        <w:t>psoriasi@ifo.it</w:t>
      </w:r>
    </w:p>
    <w:p w:rsidR="00FA647C" w:rsidRPr="00A64FF0" w:rsidRDefault="00FA647C" w:rsidP="00467AE1">
      <w:pPr>
        <w:adjustRightInd w:val="0"/>
        <w:snapToGrid w:val="0"/>
        <w:spacing w:after="0" w:line="360" w:lineRule="auto"/>
        <w:rPr>
          <w:rFonts w:ascii="Book Antiqua" w:hAnsi="Book Antiqua"/>
          <w:color w:val="0A0905"/>
          <w:sz w:val="24"/>
          <w:szCs w:val="24"/>
          <w:lang w:eastAsia="zh-CN"/>
        </w:rPr>
      </w:pPr>
      <w:r w:rsidRPr="00A64FF0">
        <w:rPr>
          <w:rFonts w:ascii="Book Antiqua" w:hAnsi="Book Antiqua"/>
          <w:b/>
          <w:sz w:val="24"/>
          <w:szCs w:val="24"/>
        </w:rPr>
        <w:t xml:space="preserve">Telephone: </w:t>
      </w:r>
      <w:r w:rsidRPr="00A64FF0">
        <w:rPr>
          <w:rFonts w:ascii="Book Antiqua" w:hAnsi="Book Antiqua"/>
          <w:sz w:val="24"/>
          <w:szCs w:val="24"/>
        </w:rPr>
        <w:t>+39</w:t>
      </w:r>
      <w:r w:rsidRPr="00A64FF0">
        <w:rPr>
          <w:rFonts w:ascii="Book Antiqua" w:hAnsi="Book Antiqua"/>
          <w:sz w:val="24"/>
          <w:szCs w:val="24"/>
          <w:lang w:eastAsia="zh-CN"/>
        </w:rPr>
        <w:t>-</w:t>
      </w:r>
      <w:r w:rsidRPr="00A64FF0">
        <w:rPr>
          <w:rFonts w:ascii="Book Antiqua" w:hAnsi="Book Antiqua"/>
          <w:sz w:val="24"/>
          <w:szCs w:val="24"/>
        </w:rPr>
        <w:t>6</w:t>
      </w:r>
      <w:r w:rsidRPr="00A64FF0">
        <w:rPr>
          <w:rFonts w:ascii="Book Antiqua" w:hAnsi="Book Antiqua"/>
          <w:sz w:val="24"/>
          <w:szCs w:val="24"/>
          <w:lang w:eastAsia="zh-CN"/>
        </w:rPr>
        <w:t>-</w:t>
      </w:r>
      <w:r w:rsidRPr="00A64FF0">
        <w:rPr>
          <w:rFonts w:ascii="Book Antiqua" w:hAnsi="Book Antiqua"/>
          <w:sz w:val="24"/>
          <w:szCs w:val="24"/>
        </w:rPr>
        <w:t>52665140</w:t>
      </w:r>
    </w:p>
    <w:p w:rsidR="00FA647C" w:rsidRPr="00A64FF0" w:rsidRDefault="00FA647C" w:rsidP="00467AE1">
      <w:pPr>
        <w:adjustRightInd w:val="0"/>
        <w:snapToGrid w:val="0"/>
        <w:spacing w:after="0" w:line="360" w:lineRule="auto"/>
        <w:rPr>
          <w:rFonts w:ascii="Book Antiqua" w:hAnsi="Book Antiqua"/>
          <w:b/>
          <w:sz w:val="24"/>
          <w:szCs w:val="24"/>
        </w:rPr>
      </w:pPr>
    </w:p>
    <w:p w:rsidR="00FA647C" w:rsidRPr="00A64FF0" w:rsidRDefault="00FA647C" w:rsidP="00467AE1">
      <w:pPr>
        <w:adjustRightInd w:val="0"/>
        <w:snapToGrid w:val="0"/>
        <w:spacing w:after="0" w:line="360" w:lineRule="auto"/>
        <w:rPr>
          <w:rFonts w:ascii="Book Antiqua" w:hAnsi="Book Antiqua"/>
          <w:b/>
          <w:sz w:val="24"/>
          <w:szCs w:val="24"/>
        </w:rPr>
      </w:pPr>
      <w:r w:rsidRPr="00A64FF0">
        <w:rPr>
          <w:rFonts w:ascii="Book Antiqua" w:hAnsi="Book Antiqua"/>
          <w:b/>
          <w:sz w:val="24"/>
          <w:szCs w:val="24"/>
        </w:rPr>
        <w:t xml:space="preserve">Received: </w:t>
      </w:r>
      <w:r w:rsidR="00C727D7" w:rsidRPr="00A64FF0">
        <w:rPr>
          <w:rFonts w:ascii="Book Antiqua" w:hAnsi="Book Antiqua"/>
          <w:sz w:val="24"/>
          <w:szCs w:val="24"/>
        </w:rPr>
        <w:t>March</w:t>
      </w:r>
      <w:r w:rsidR="00C727D7" w:rsidRPr="00A64FF0">
        <w:rPr>
          <w:rFonts w:ascii="Book Antiqua" w:hAnsi="Book Antiqua"/>
          <w:sz w:val="24"/>
          <w:szCs w:val="24"/>
          <w:lang w:eastAsia="zh-CN"/>
        </w:rPr>
        <w:t xml:space="preserve"> 23, 2016</w:t>
      </w:r>
      <w:r w:rsidR="002260B8" w:rsidRPr="00A64FF0">
        <w:rPr>
          <w:rFonts w:ascii="Book Antiqua" w:hAnsi="Book Antiqua"/>
          <w:b/>
          <w:sz w:val="24"/>
          <w:szCs w:val="24"/>
        </w:rPr>
        <w:t xml:space="preserve"> </w:t>
      </w:r>
    </w:p>
    <w:p w:rsidR="00FA647C" w:rsidRPr="00A64FF0" w:rsidRDefault="00FA647C" w:rsidP="00467AE1">
      <w:pPr>
        <w:adjustRightInd w:val="0"/>
        <w:snapToGrid w:val="0"/>
        <w:spacing w:after="0" w:line="360" w:lineRule="auto"/>
        <w:rPr>
          <w:rFonts w:ascii="Book Antiqua" w:hAnsi="Book Antiqua"/>
          <w:b/>
          <w:sz w:val="24"/>
          <w:szCs w:val="24"/>
          <w:lang w:eastAsia="zh-CN"/>
        </w:rPr>
      </w:pPr>
      <w:r w:rsidRPr="00A64FF0">
        <w:rPr>
          <w:rFonts w:ascii="Book Antiqua" w:hAnsi="Book Antiqua"/>
          <w:b/>
          <w:sz w:val="24"/>
          <w:szCs w:val="24"/>
        </w:rPr>
        <w:t>Peer-review started:</w:t>
      </w:r>
      <w:r w:rsidR="001F429E" w:rsidRPr="00A64FF0">
        <w:rPr>
          <w:rFonts w:ascii="Book Antiqua" w:hAnsi="Book Antiqua"/>
          <w:b/>
          <w:sz w:val="24"/>
          <w:szCs w:val="24"/>
          <w:lang w:eastAsia="zh-CN"/>
        </w:rPr>
        <w:t xml:space="preserve"> </w:t>
      </w:r>
      <w:r w:rsidR="001F429E" w:rsidRPr="00A64FF0">
        <w:rPr>
          <w:rFonts w:ascii="Book Antiqua" w:hAnsi="Book Antiqua"/>
          <w:sz w:val="24"/>
          <w:szCs w:val="24"/>
        </w:rPr>
        <w:t>March</w:t>
      </w:r>
      <w:r w:rsidR="001F429E" w:rsidRPr="00A64FF0">
        <w:rPr>
          <w:rFonts w:ascii="Book Antiqua" w:hAnsi="Book Antiqua"/>
          <w:sz w:val="24"/>
          <w:szCs w:val="24"/>
          <w:lang w:eastAsia="zh-CN"/>
        </w:rPr>
        <w:t xml:space="preserve"> 23, 2016</w:t>
      </w:r>
    </w:p>
    <w:p w:rsidR="00FA647C" w:rsidRPr="00A64FF0" w:rsidRDefault="00FA647C" w:rsidP="00467AE1">
      <w:pPr>
        <w:adjustRightInd w:val="0"/>
        <w:snapToGrid w:val="0"/>
        <w:spacing w:after="0" w:line="360" w:lineRule="auto"/>
        <w:rPr>
          <w:rFonts w:ascii="Book Antiqua" w:hAnsi="Book Antiqua"/>
          <w:b/>
          <w:sz w:val="24"/>
          <w:szCs w:val="24"/>
          <w:lang w:eastAsia="zh-CN"/>
        </w:rPr>
      </w:pPr>
      <w:r w:rsidRPr="00A64FF0">
        <w:rPr>
          <w:rFonts w:ascii="Book Antiqua" w:hAnsi="Book Antiqua"/>
          <w:b/>
          <w:sz w:val="24"/>
          <w:szCs w:val="24"/>
        </w:rPr>
        <w:t>First decision:</w:t>
      </w:r>
      <w:r w:rsidR="00006487" w:rsidRPr="00A64FF0">
        <w:rPr>
          <w:rFonts w:ascii="Book Antiqua" w:hAnsi="Book Antiqua"/>
          <w:b/>
          <w:sz w:val="24"/>
          <w:szCs w:val="24"/>
          <w:lang w:eastAsia="zh-CN"/>
        </w:rPr>
        <w:t xml:space="preserve"> </w:t>
      </w:r>
      <w:r w:rsidR="00006487" w:rsidRPr="00A64FF0">
        <w:rPr>
          <w:rFonts w:ascii="Book Antiqua" w:hAnsi="Book Antiqua"/>
          <w:sz w:val="24"/>
          <w:szCs w:val="24"/>
        </w:rPr>
        <w:t>May</w:t>
      </w:r>
      <w:r w:rsidR="00006487" w:rsidRPr="00A64FF0">
        <w:rPr>
          <w:rFonts w:ascii="Book Antiqua" w:hAnsi="Book Antiqua"/>
          <w:sz w:val="24"/>
          <w:szCs w:val="24"/>
          <w:lang w:eastAsia="zh-CN"/>
        </w:rPr>
        <w:t xml:space="preserve"> 12, 2016</w:t>
      </w:r>
    </w:p>
    <w:p w:rsidR="00FA647C" w:rsidRPr="00A64FF0" w:rsidRDefault="00FA647C" w:rsidP="00467AE1">
      <w:pPr>
        <w:adjustRightInd w:val="0"/>
        <w:snapToGrid w:val="0"/>
        <w:spacing w:after="0" w:line="360" w:lineRule="auto"/>
        <w:rPr>
          <w:rFonts w:ascii="Book Antiqua" w:hAnsi="Book Antiqua"/>
          <w:b/>
          <w:sz w:val="24"/>
          <w:szCs w:val="24"/>
        </w:rPr>
      </w:pPr>
      <w:r w:rsidRPr="00A64FF0">
        <w:rPr>
          <w:rFonts w:ascii="Book Antiqua" w:hAnsi="Book Antiqua"/>
          <w:b/>
          <w:sz w:val="24"/>
          <w:szCs w:val="24"/>
        </w:rPr>
        <w:t xml:space="preserve">Revised: </w:t>
      </w:r>
      <w:r w:rsidR="002260B8" w:rsidRPr="00A64FF0">
        <w:rPr>
          <w:rFonts w:ascii="Book Antiqua" w:hAnsi="Book Antiqua"/>
          <w:sz w:val="24"/>
          <w:szCs w:val="24"/>
        </w:rPr>
        <w:t>May</w:t>
      </w:r>
      <w:r w:rsidR="002260B8" w:rsidRPr="00A64FF0">
        <w:rPr>
          <w:rFonts w:ascii="Book Antiqua" w:hAnsi="Book Antiqua"/>
          <w:sz w:val="24"/>
          <w:szCs w:val="24"/>
          <w:lang w:eastAsia="zh-CN"/>
        </w:rPr>
        <w:t xml:space="preserve"> 25, 2016</w:t>
      </w:r>
      <w:r w:rsidRPr="00A64FF0">
        <w:rPr>
          <w:rFonts w:ascii="Book Antiqua" w:hAnsi="Book Antiqua"/>
          <w:b/>
          <w:sz w:val="24"/>
          <w:szCs w:val="24"/>
        </w:rPr>
        <w:t xml:space="preserve"> </w:t>
      </w:r>
    </w:p>
    <w:p w:rsidR="00FA647C" w:rsidRPr="00A51FC3" w:rsidRDefault="00FA647C" w:rsidP="00A51FC3">
      <w:pPr>
        <w:spacing w:line="360" w:lineRule="auto"/>
        <w:rPr>
          <w:rFonts w:ascii="Book Antiqua" w:hAnsi="Book Antiqua"/>
          <w:color w:val="000000"/>
          <w:sz w:val="24"/>
        </w:rPr>
      </w:pPr>
      <w:r w:rsidRPr="00A64FF0">
        <w:rPr>
          <w:rFonts w:ascii="Book Antiqua" w:hAnsi="Book Antiqua"/>
          <w:b/>
          <w:sz w:val="24"/>
          <w:szCs w:val="24"/>
        </w:rPr>
        <w:t>Accepted:</w:t>
      </w:r>
      <w:r w:rsidR="00A51FC3" w:rsidRPr="00A51FC3">
        <w:rPr>
          <w:rFonts w:ascii="Book Antiqua" w:hAnsi="Book Antiqua"/>
          <w:color w:val="000000"/>
          <w:sz w:val="24"/>
        </w:rPr>
        <w:t xml:space="preserve"> </w:t>
      </w:r>
      <w:r w:rsidR="00A51FC3">
        <w:rPr>
          <w:rFonts w:ascii="Book Antiqua" w:hAnsi="Book Antiqua"/>
          <w:color w:val="000000"/>
          <w:sz w:val="24"/>
        </w:rPr>
        <w:t>June 15</w:t>
      </w:r>
      <w:r w:rsidR="00A51FC3" w:rsidRPr="00626148">
        <w:rPr>
          <w:rFonts w:ascii="Book Antiqua" w:hAnsi="Book Antiqua"/>
          <w:color w:val="000000"/>
          <w:sz w:val="24"/>
        </w:rPr>
        <w:t>, 2016</w:t>
      </w:r>
      <w:bookmarkStart w:id="4" w:name="_GoBack"/>
      <w:bookmarkEnd w:id="4"/>
      <w:r w:rsidR="002260B8" w:rsidRPr="00A64FF0">
        <w:rPr>
          <w:rFonts w:ascii="Book Antiqua" w:hAnsi="Book Antiqua"/>
          <w:b/>
          <w:sz w:val="24"/>
          <w:szCs w:val="24"/>
        </w:rPr>
        <w:t xml:space="preserve"> </w:t>
      </w:r>
    </w:p>
    <w:p w:rsidR="00FA647C" w:rsidRPr="00A64FF0" w:rsidRDefault="00FA647C" w:rsidP="00467AE1">
      <w:pPr>
        <w:adjustRightInd w:val="0"/>
        <w:snapToGrid w:val="0"/>
        <w:spacing w:after="0" w:line="360" w:lineRule="auto"/>
        <w:rPr>
          <w:rFonts w:ascii="Book Antiqua" w:hAnsi="Book Antiqua"/>
          <w:b/>
          <w:sz w:val="24"/>
          <w:szCs w:val="24"/>
        </w:rPr>
      </w:pPr>
      <w:r w:rsidRPr="00A64FF0">
        <w:rPr>
          <w:rFonts w:ascii="Book Antiqua" w:hAnsi="Book Antiqua"/>
          <w:b/>
          <w:sz w:val="24"/>
          <w:szCs w:val="24"/>
        </w:rPr>
        <w:t>Article in press:</w:t>
      </w:r>
    </w:p>
    <w:p w:rsidR="00FA647C" w:rsidRPr="00A64FF0" w:rsidRDefault="00FA647C" w:rsidP="00467AE1">
      <w:pPr>
        <w:adjustRightInd w:val="0"/>
        <w:snapToGrid w:val="0"/>
        <w:spacing w:after="0" w:line="360" w:lineRule="auto"/>
        <w:rPr>
          <w:rFonts w:ascii="Book Antiqua" w:hAnsi="Book Antiqua"/>
          <w:sz w:val="24"/>
          <w:szCs w:val="24"/>
        </w:rPr>
      </w:pPr>
      <w:r w:rsidRPr="00A64FF0">
        <w:rPr>
          <w:rFonts w:ascii="Book Antiqua" w:hAnsi="Book Antiqua"/>
          <w:b/>
          <w:sz w:val="24"/>
          <w:szCs w:val="24"/>
        </w:rPr>
        <w:t>Published online:</w:t>
      </w:r>
    </w:p>
    <w:p w:rsidR="00B06B3A" w:rsidRPr="00A64FF0" w:rsidRDefault="00B06B3A" w:rsidP="00467AE1">
      <w:pPr>
        <w:adjustRightInd w:val="0"/>
        <w:snapToGrid w:val="0"/>
        <w:spacing w:after="0" w:line="360" w:lineRule="auto"/>
        <w:jc w:val="both"/>
        <w:rPr>
          <w:rFonts w:ascii="Book Antiqua" w:hAnsi="Book Antiqua"/>
          <w:sz w:val="24"/>
          <w:szCs w:val="24"/>
          <w:lang w:eastAsia="zh-CN"/>
        </w:rPr>
      </w:pPr>
    </w:p>
    <w:p w:rsidR="00CC5C47" w:rsidRPr="00A64FF0" w:rsidRDefault="00865E72" w:rsidP="00467AE1">
      <w:pPr>
        <w:adjustRightInd w:val="0"/>
        <w:snapToGrid w:val="0"/>
        <w:spacing w:after="0" w:line="360" w:lineRule="auto"/>
        <w:jc w:val="both"/>
        <w:rPr>
          <w:rStyle w:val="Emphasis"/>
          <w:rFonts w:ascii="Book Antiqua" w:hAnsi="Book Antiqua" w:cs="Book Antiqua"/>
          <w:i w:val="0"/>
          <w:iCs w:val="0"/>
          <w:sz w:val="24"/>
          <w:szCs w:val="24"/>
        </w:rPr>
      </w:pPr>
      <w:r w:rsidRPr="00A64FF0">
        <w:rPr>
          <w:rFonts w:ascii="Book Antiqua" w:hAnsi="Book Antiqua" w:cs="Book Antiqua"/>
          <w:sz w:val="24"/>
          <w:szCs w:val="24"/>
        </w:rPr>
        <w:br w:type="page"/>
      </w:r>
      <w:r w:rsidR="00CC5C47" w:rsidRPr="00A64FF0">
        <w:rPr>
          <w:rStyle w:val="Emphasis"/>
          <w:rFonts w:ascii="Book Antiqua" w:hAnsi="Book Antiqua" w:cs="Book Antiqua"/>
          <w:b/>
          <w:bCs/>
          <w:i w:val="0"/>
          <w:iCs w:val="0"/>
          <w:sz w:val="24"/>
          <w:szCs w:val="24"/>
        </w:rPr>
        <w:lastRenderedPageBreak/>
        <w:t>Abstract</w:t>
      </w:r>
    </w:p>
    <w:p w:rsidR="00CC5C47"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 xml:space="preserve">The systemic therapies available for the management of </w:t>
      </w:r>
      <w:r w:rsidR="002260B8" w:rsidRPr="00A64FF0">
        <w:rPr>
          <w:rStyle w:val="Emphasis"/>
          <w:rFonts w:ascii="Book Antiqua" w:hAnsi="Book Antiqua" w:cs="Book Antiqua"/>
          <w:i w:val="0"/>
          <w:iCs w:val="0"/>
          <w:sz w:val="24"/>
          <w:szCs w:val="24"/>
          <w:lang w:val="en-US"/>
        </w:rPr>
        <w:t>Psoriasis (PsO)</w:t>
      </w:r>
      <w:r w:rsidR="002260B8" w:rsidRPr="00A64FF0">
        <w:rPr>
          <w:rStyle w:val="Emphasis"/>
          <w:rFonts w:ascii="Book Antiqua" w:hAnsi="Book Antiqua" w:cs="Book Antiqua"/>
          <w:i w:val="0"/>
          <w:iCs w:val="0"/>
          <w:sz w:val="24"/>
          <w:szCs w:val="24"/>
          <w:lang w:val="en-US" w:eastAsia="zh-CN"/>
        </w:rPr>
        <w:t xml:space="preserve"> </w:t>
      </w:r>
      <w:r w:rsidR="001968C3" w:rsidRPr="00A64FF0">
        <w:rPr>
          <w:rStyle w:val="Emphasis"/>
          <w:rFonts w:ascii="Book Antiqua" w:hAnsi="Book Antiqua" w:cs="Book Antiqua"/>
          <w:i w:val="0"/>
          <w:iCs w:val="0"/>
          <w:sz w:val="24"/>
          <w:szCs w:val="24"/>
          <w:lang w:val="en-US"/>
        </w:rPr>
        <w:t>patients</w:t>
      </w:r>
      <w:r w:rsidR="000201CE"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who cannot</w:t>
      </w:r>
      <w:r w:rsidR="000201CE"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be treated with more conservative options</w:t>
      </w:r>
      <w:r w:rsidR="00A45997"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such as topical agents and/</w:t>
      </w:r>
      <w:r w:rsidR="001968C3" w:rsidRPr="00A64FF0">
        <w:rPr>
          <w:rStyle w:val="Emphasis"/>
          <w:rFonts w:ascii="Book Antiqua" w:hAnsi="Book Antiqua" w:cs="Book Antiqua"/>
          <w:i w:val="0"/>
          <w:iCs w:val="0"/>
          <w:sz w:val="24"/>
          <w:szCs w:val="24"/>
          <w:lang w:val="en-US"/>
        </w:rPr>
        <w:t>or photot</w:t>
      </w:r>
      <w:r w:rsidR="00452DFA" w:rsidRPr="00A64FF0">
        <w:rPr>
          <w:rStyle w:val="Emphasis"/>
          <w:rFonts w:ascii="Book Antiqua" w:hAnsi="Book Antiqua" w:cs="Book Antiqua"/>
          <w:i w:val="0"/>
          <w:iCs w:val="0"/>
          <w:sz w:val="24"/>
          <w:szCs w:val="24"/>
          <w:lang w:val="en-US"/>
        </w:rPr>
        <w:t>h</w:t>
      </w:r>
      <w:r w:rsidR="001968C3" w:rsidRPr="00A64FF0">
        <w:rPr>
          <w:rStyle w:val="Emphasis"/>
          <w:rFonts w:ascii="Book Antiqua" w:hAnsi="Book Antiqua" w:cs="Book Antiqua"/>
          <w:i w:val="0"/>
          <w:iCs w:val="0"/>
          <w:sz w:val="24"/>
          <w:szCs w:val="24"/>
          <w:lang w:val="en-US"/>
        </w:rPr>
        <w:t>erapy</w:t>
      </w:r>
      <w:r w:rsidRPr="00A64FF0">
        <w:rPr>
          <w:rStyle w:val="Emphasis"/>
          <w:rFonts w:ascii="Book Antiqua" w:hAnsi="Book Antiqua" w:cs="Book Antiqua"/>
          <w:i w:val="0"/>
          <w:iCs w:val="0"/>
          <w:sz w:val="24"/>
          <w:szCs w:val="24"/>
          <w:lang w:val="en-US"/>
        </w:rPr>
        <w:t>, with the exception of acitretin, can worsen or reactivate a chronic infection. Therefore</w:t>
      </w:r>
      <w:r w:rsidRPr="00A64FF0">
        <w:rPr>
          <w:rStyle w:val="Emphasis"/>
          <w:rFonts w:ascii="Book Antiqua" w:hAnsi="Book Antiqua" w:cs="Book Antiqua"/>
          <w:i w:val="0"/>
          <w:iCs w:val="0"/>
          <w:color w:val="C00000"/>
          <w:sz w:val="24"/>
          <w:szCs w:val="24"/>
          <w:lang w:val="en-US"/>
        </w:rPr>
        <w:t xml:space="preserve">, </w:t>
      </w:r>
      <w:r w:rsidRPr="00A64FF0">
        <w:rPr>
          <w:rStyle w:val="Emphasis"/>
          <w:rFonts w:ascii="Book Antiqua" w:hAnsi="Book Antiqua" w:cs="Book Antiqua"/>
          <w:i w:val="0"/>
          <w:iCs w:val="0"/>
          <w:sz w:val="24"/>
          <w:szCs w:val="24"/>
          <w:lang w:val="en-US"/>
        </w:rPr>
        <w:t>before administering</w:t>
      </w:r>
      <w:r w:rsidR="006873DC" w:rsidRPr="00A64FF0">
        <w:rPr>
          <w:rStyle w:val="Emphasis"/>
          <w:rFonts w:ascii="Book Antiqua" w:hAnsi="Book Antiqua" w:cs="Book Antiqua"/>
          <w:i w:val="0"/>
          <w:iCs w:val="0"/>
          <w:sz w:val="24"/>
          <w:szCs w:val="24"/>
          <w:lang w:val="en-US"/>
        </w:rPr>
        <w:t xml:space="preserve"> immunosuppressive therapies</w:t>
      </w:r>
      <w:r w:rsidRPr="00A64FF0">
        <w:rPr>
          <w:rStyle w:val="Emphasis"/>
          <w:rFonts w:ascii="Book Antiqua" w:hAnsi="Book Antiqua" w:cs="Book Antiqua"/>
          <w:i w:val="0"/>
          <w:iCs w:val="0"/>
          <w:sz w:val="24"/>
          <w:szCs w:val="24"/>
          <w:lang w:val="en-US"/>
        </w:rPr>
        <w:t xml:space="preserve"> with either conventional disease-modifying drugs (cDMARDs) or </w:t>
      </w:r>
      <w:r w:rsidR="003124B8" w:rsidRPr="00A64FF0">
        <w:rPr>
          <w:rStyle w:val="Emphasis"/>
          <w:rFonts w:ascii="Book Antiqua" w:hAnsi="Book Antiqua" w:cs="Book Antiqua"/>
          <w:i w:val="0"/>
          <w:iCs w:val="0"/>
          <w:sz w:val="24"/>
          <w:szCs w:val="24"/>
          <w:lang w:val="en-US"/>
        </w:rPr>
        <w:t>biologic</w:t>
      </w:r>
      <w:r w:rsidR="00452DFA" w:rsidRPr="00A64FF0">
        <w:rPr>
          <w:rStyle w:val="Emphasis"/>
          <w:rFonts w:ascii="Book Antiqua" w:hAnsi="Book Antiqua" w:cs="Book Antiqua"/>
          <w:i w:val="0"/>
          <w:iCs w:val="0"/>
          <w:sz w:val="24"/>
          <w:szCs w:val="24"/>
          <w:lang w:val="en-US"/>
        </w:rPr>
        <w:t>al</w:t>
      </w:r>
      <w:r w:rsidRPr="00A64FF0">
        <w:rPr>
          <w:rStyle w:val="Emphasis"/>
          <w:rFonts w:ascii="Book Antiqua" w:hAnsi="Book Antiqua" w:cs="Book Antiqua"/>
          <w:i w:val="0"/>
          <w:iCs w:val="0"/>
          <w:sz w:val="24"/>
          <w:szCs w:val="24"/>
          <w:lang w:val="en-US"/>
        </w:rPr>
        <w:t xml:space="preserve"> ones (bDMARDs</w:t>
      </w:r>
      <w:r w:rsidRPr="00A64FF0">
        <w:rPr>
          <w:rStyle w:val="Emphasis"/>
          <w:rFonts w:ascii="Book Antiqua" w:hAnsi="Book Antiqua" w:cs="Book Antiqua"/>
          <w:i w:val="0"/>
          <w:iCs w:val="0"/>
          <w:color w:val="C00000"/>
          <w:sz w:val="24"/>
          <w:szCs w:val="24"/>
          <w:lang w:val="en-US"/>
        </w:rPr>
        <w:t xml:space="preserve">) </w:t>
      </w:r>
      <w:r w:rsidR="00452DFA" w:rsidRPr="00A64FF0">
        <w:rPr>
          <w:rStyle w:val="Emphasis"/>
          <w:rFonts w:ascii="Book Antiqua" w:hAnsi="Book Antiqua" w:cs="Book Antiqua"/>
          <w:i w:val="0"/>
          <w:iCs w:val="0"/>
          <w:sz w:val="24"/>
          <w:szCs w:val="24"/>
          <w:lang w:val="en-US"/>
        </w:rPr>
        <w:t xml:space="preserve">it is mandatory </w:t>
      </w:r>
      <w:r w:rsidRPr="00A64FF0">
        <w:rPr>
          <w:rStyle w:val="Emphasis"/>
          <w:rFonts w:ascii="Book Antiqua" w:hAnsi="Book Antiqua" w:cs="Book Antiqua"/>
          <w:i w:val="0"/>
          <w:iCs w:val="0"/>
          <w:sz w:val="24"/>
          <w:szCs w:val="24"/>
          <w:lang w:val="en-US"/>
        </w:rPr>
        <w:t>to screen patients for some infe</w:t>
      </w:r>
      <w:r w:rsidR="00BB332F" w:rsidRPr="00A64FF0">
        <w:rPr>
          <w:rStyle w:val="Emphasis"/>
          <w:rFonts w:ascii="Book Antiqua" w:hAnsi="Book Antiqua" w:cs="Book Antiqua"/>
          <w:i w:val="0"/>
          <w:iCs w:val="0"/>
          <w:sz w:val="24"/>
          <w:szCs w:val="24"/>
          <w:lang w:val="en-US"/>
        </w:rPr>
        <w:t xml:space="preserve">ctions, including </w:t>
      </w:r>
      <w:r w:rsidR="002260B8" w:rsidRPr="00A64FF0">
        <w:rPr>
          <w:rFonts w:ascii="Book Antiqua" w:hAnsi="Book Antiqua" w:cs="Book Antiqua"/>
          <w:sz w:val="24"/>
          <w:szCs w:val="24"/>
          <w:lang w:val="en-US"/>
        </w:rPr>
        <w:t xml:space="preserve">hepatitis </w:t>
      </w:r>
      <w:r w:rsidR="002260B8" w:rsidRPr="00A64FF0">
        <w:rPr>
          <w:rFonts w:ascii="Book Antiqua" w:hAnsi="Book Antiqua" w:cs="Book Antiqua"/>
          <w:sz w:val="24"/>
          <w:szCs w:val="24"/>
          <w:lang w:val="en-US" w:eastAsia="zh-CN"/>
        </w:rPr>
        <w:t>B</w:t>
      </w:r>
      <w:r w:rsidR="002260B8" w:rsidRPr="00A64FF0">
        <w:rPr>
          <w:rFonts w:ascii="Book Antiqua" w:hAnsi="Book Antiqua" w:cs="Book Antiqua"/>
          <w:sz w:val="24"/>
          <w:szCs w:val="24"/>
          <w:lang w:val="en-US"/>
        </w:rPr>
        <w:t xml:space="preserve"> virus</w:t>
      </w:r>
      <w:r w:rsidR="002260B8" w:rsidRPr="00A64FF0">
        <w:rPr>
          <w:rStyle w:val="Emphasis"/>
          <w:rFonts w:ascii="Book Antiqua" w:hAnsi="Book Antiqua" w:cs="Book Antiqua"/>
          <w:i w:val="0"/>
          <w:iCs w:val="0"/>
          <w:sz w:val="24"/>
          <w:szCs w:val="24"/>
          <w:lang w:val="en-US"/>
        </w:rPr>
        <w:t xml:space="preserve"> </w:t>
      </w:r>
      <w:r w:rsidR="002260B8" w:rsidRPr="00A64FF0">
        <w:rPr>
          <w:rStyle w:val="Emphasis"/>
          <w:rFonts w:ascii="Book Antiqua" w:hAnsi="Book Antiqua" w:cs="Book Antiqua"/>
          <w:i w:val="0"/>
          <w:iCs w:val="0"/>
          <w:sz w:val="24"/>
          <w:szCs w:val="24"/>
          <w:lang w:val="en-US" w:eastAsia="zh-CN"/>
        </w:rPr>
        <w:t>(</w:t>
      </w:r>
      <w:r w:rsidR="00BB332F" w:rsidRPr="00A64FF0">
        <w:rPr>
          <w:rStyle w:val="Emphasis"/>
          <w:rFonts w:ascii="Book Antiqua" w:hAnsi="Book Antiqua" w:cs="Book Antiqua"/>
          <w:i w:val="0"/>
          <w:iCs w:val="0"/>
          <w:sz w:val="24"/>
          <w:szCs w:val="24"/>
          <w:lang w:val="en-US"/>
        </w:rPr>
        <w:t>HBV</w:t>
      </w:r>
      <w:r w:rsidR="002260B8" w:rsidRPr="00A64FF0">
        <w:rPr>
          <w:rStyle w:val="Emphasis"/>
          <w:rFonts w:ascii="Book Antiqua" w:hAnsi="Book Antiqua" w:cs="Book Antiqua"/>
          <w:i w:val="0"/>
          <w:iCs w:val="0"/>
          <w:sz w:val="24"/>
          <w:szCs w:val="24"/>
          <w:lang w:val="en-US" w:eastAsia="zh-CN"/>
        </w:rPr>
        <w:t>)</w:t>
      </w:r>
      <w:r w:rsidR="00BB332F" w:rsidRPr="00A64FF0">
        <w:rPr>
          <w:rStyle w:val="Emphasis"/>
          <w:rFonts w:ascii="Book Antiqua" w:hAnsi="Book Antiqua" w:cs="Book Antiqua"/>
          <w:i w:val="0"/>
          <w:iCs w:val="0"/>
          <w:sz w:val="24"/>
          <w:szCs w:val="24"/>
          <w:lang w:val="en-US"/>
        </w:rPr>
        <w:t xml:space="preserve"> and </w:t>
      </w:r>
      <w:r w:rsidR="002260B8" w:rsidRPr="00A64FF0">
        <w:rPr>
          <w:rFonts w:ascii="Book Antiqua" w:hAnsi="Book Antiqua" w:cs="Book Antiqua"/>
          <w:sz w:val="24"/>
          <w:szCs w:val="24"/>
          <w:lang w:val="en-US"/>
        </w:rPr>
        <w:t>hepatitis C virus</w:t>
      </w:r>
      <w:r w:rsidR="002260B8" w:rsidRPr="00A64FF0">
        <w:rPr>
          <w:rStyle w:val="Emphasis"/>
          <w:rFonts w:ascii="Book Antiqua" w:hAnsi="Book Antiqua" w:cs="Book Antiqua"/>
          <w:i w:val="0"/>
          <w:iCs w:val="0"/>
          <w:sz w:val="24"/>
          <w:szCs w:val="24"/>
          <w:lang w:val="en-US"/>
        </w:rPr>
        <w:t xml:space="preserve"> </w:t>
      </w:r>
      <w:r w:rsidR="002260B8" w:rsidRPr="00A64FF0">
        <w:rPr>
          <w:rStyle w:val="Emphasis"/>
          <w:rFonts w:ascii="Book Antiqua" w:hAnsi="Book Antiqua" w:cs="Book Antiqua"/>
          <w:i w:val="0"/>
          <w:iCs w:val="0"/>
          <w:sz w:val="24"/>
          <w:szCs w:val="24"/>
          <w:lang w:val="en-US" w:eastAsia="zh-CN"/>
        </w:rPr>
        <w:t>(</w:t>
      </w:r>
      <w:r w:rsidR="00BB332F" w:rsidRPr="00A64FF0">
        <w:rPr>
          <w:rStyle w:val="Emphasis"/>
          <w:rFonts w:ascii="Book Antiqua" w:hAnsi="Book Antiqua" w:cs="Book Antiqua"/>
          <w:i w:val="0"/>
          <w:iCs w:val="0"/>
          <w:sz w:val="24"/>
          <w:szCs w:val="24"/>
          <w:lang w:val="en-US"/>
        </w:rPr>
        <w:t>HCV</w:t>
      </w:r>
      <w:r w:rsidR="002260B8" w:rsidRPr="00A64FF0">
        <w:rPr>
          <w:rStyle w:val="Emphasis"/>
          <w:rFonts w:ascii="Book Antiqua" w:hAnsi="Book Antiqua" w:cs="Book Antiqua"/>
          <w:i w:val="0"/>
          <w:iCs w:val="0"/>
          <w:sz w:val="24"/>
          <w:szCs w:val="24"/>
          <w:lang w:val="en-US" w:eastAsia="zh-CN"/>
        </w:rPr>
        <w:t>)</w:t>
      </w:r>
      <w:r w:rsidR="00BB332F" w:rsidRPr="00A64FF0">
        <w:rPr>
          <w:rStyle w:val="Emphasis"/>
          <w:rFonts w:ascii="Book Antiqua" w:hAnsi="Book Antiqua" w:cs="Book Antiqua"/>
          <w:i w:val="0"/>
          <w:iCs w:val="0"/>
          <w:sz w:val="24"/>
          <w:szCs w:val="24"/>
          <w:lang w:val="en-US"/>
        </w:rPr>
        <w:t xml:space="preserve">. </w:t>
      </w:r>
      <w:r w:rsidRPr="00A64FF0">
        <w:rPr>
          <w:rFonts w:ascii="Book Antiqua" w:hAnsi="Book Antiqua" w:cs="Book Antiqua"/>
          <w:sz w:val="24"/>
          <w:szCs w:val="24"/>
          <w:lang w:val="en-US"/>
        </w:rPr>
        <w:t xml:space="preserve">In particular, the patients eligible to receive an immunosuppressive drug must be screened for the following markers: antibody to hepatitis B core, antibody to hepatitis B surface antigen (anti-HBsAg), </w:t>
      </w:r>
      <w:r w:rsidR="002260B8" w:rsidRPr="00A64FF0">
        <w:rPr>
          <w:rFonts w:ascii="Book Antiqua" w:hAnsi="Book Antiqua" w:cs="Book Antiqua"/>
          <w:sz w:val="24"/>
          <w:szCs w:val="24"/>
          <w:lang w:val="en-US"/>
        </w:rPr>
        <w:t>HBsAg</w:t>
      </w:r>
      <w:r w:rsidR="002260B8" w:rsidRPr="00A64FF0">
        <w:rPr>
          <w:rFonts w:ascii="Book Antiqua" w:hAnsi="Book Antiqua" w:cs="Book Antiqua"/>
          <w:sz w:val="24"/>
          <w:szCs w:val="24"/>
          <w:lang w:val="en-US" w:eastAsia="zh-CN"/>
        </w:rPr>
        <w:t>,</w:t>
      </w:r>
      <w:r w:rsidRPr="00A64FF0">
        <w:rPr>
          <w:rFonts w:ascii="Book Antiqua" w:hAnsi="Book Antiqua" w:cs="Book Antiqua"/>
          <w:sz w:val="24"/>
          <w:szCs w:val="24"/>
          <w:lang w:val="en-US"/>
        </w:rPr>
        <w:t xml:space="preserve"> and antibody to </w:t>
      </w:r>
      <w:r w:rsidR="002260B8" w:rsidRPr="00A64FF0">
        <w:rPr>
          <w:rFonts w:ascii="Book Antiqua" w:hAnsi="Book Antiqua" w:cs="Book Antiqua"/>
          <w:sz w:val="24"/>
          <w:szCs w:val="24"/>
          <w:lang w:val="en-US"/>
        </w:rPr>
        <w:t>HCV</w:t>
      </w:r>
      <w:r w:rsidRPr="00A64FF0">
        <w:rPr>
          <w:rFonts w:ascii="Book Antiqua" w:hAnsi="Book Antiqua" w:cs="Book Antiqua"/>
          <w:sz w:val="24"/>
          <w:szCs w:val="24"/>
          <w:lang w:val="en-US"/>
        </w:rPr>
        <w:t xml:space="preserve"> (anti-HCV)</w:t>
      </w:r>
      <w:r w:rsidR="00BB332F" w:rsidRPr="00A64FF0">
        <w:rPr>
          <w:rFonts w:ascii="Book Antiqua" w:hAnsi="Book Antiqua" w:cs="Book Antiqua"/>
          <w:sz w:val="24"/>
          <w:szCs w:val="24"/>
          <w:lang w:val="en-US"/>
        </w:rPr>
        <w:t xml:space="preserve">. </w:t>
      </w:r>
      <w:r w:rsidRPr="00A64FF0">
        <w:rPr>
          <w:rStyle w:val="Emphasis"/>
          <w:rFonts w:ascii="Book Antiqua" w:hAnsi="Book Antiqua" w:cs="Book Antiqua"/>
          <w:i w:val="0"/>
          <w:iCs w:val="0"/>
          <w:sz w:val="24"/>
          <w:szCs w:val="24"/>
          <w:lang w:val="en-US"/>
        </w:rPr>
        <w:t>In case</w:t>
      </w:r>
      <w:r w:rsidR="002260B8" w:rsidRPr="00A64FF0">
        <w:rPr>
          <w:rStyle w:val="Emphasis"/>
          <w:rFonts w:ascii="Book Antiqua" w:hAnsi="Book Antiqua" w:cs="Book Antiqua"/>
          <w:i w:val="0"/>
          <w:iCs w:val="0"/>
          <w:sz w:val="24"/>
          <w:szCs w:val="24"/>
          <w:lang w:val="en-US" w:eastAsia="zh-CN"/>
        </w:rPr>
        <w:t xml:space="preserve"> </w:t>
      </w:r>
      <w:r w:rsidRPr="00A64FF0">
        <w:rPr>
          <w:rStyle w:val="Emphasis"/>
          <w:rFonts w:ascii="Book Antiqua" w:hAnsi="Book Antiqua" w:cs="Book Antiqua"/>
          <w:i w:val="0"/>
          <w:iCs w:val="0"/>
          <w:sz w:val="24"/>
          <w:szCs w:val="24"/>
          <w:lang w:val="en-US"/>
        </w:rPr>
        <w:t xml:space="preserve">HBV or HCV </w:t>
      </w:r>
      <w:r w:rsidR="003C0E03" w:rsidRPr="00A64FF0">
        <w:rPr>
          <w:rStyle w:val="Emphasis"/>
          <w:rFonts w:ascii="Book Antiqua" w:hAnsi="Book Antiqua" w:cs="Book Antiqua"/>
          <w:i w:val="0"/>
          <w:iCs w:val="0"/>
          <w:sz w:val="24"/>
          <w:szCs w:val="24"/>
          <w:lang w:val="en-US"/>
        </w:rPr>
        <w:t>infection</w:t>
      </w:r>
      <w:r w:rsidRPr="00A64FF0">
        <w:rPr>
          <w:rStyle w:val="Emphasis"/>
          <w:rFonts w:ascii="Book Antiqua" w:hAnsi="Book Antiqua" w:cs="Book Antiqua"/>
          <w:i w:val="0"/>
          <w:iCs w:val="0"/>
          <w:sz w:val="24"/>
          <w:szCs w:val="24"/>
          <w:lang w:val="en-US"/>
        </w:rPr>
        <w:t xml:space="preserve"> is diagnosed, a close collaboration with a consultant hepatologist is needed before and during an immunosuppressive therapy</w:t>
      </w:r>
      <w:r w:rsidR="00BB332F"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Concerning therapy with</w:t>
      </w:r>
      <w:r w:rsidR="00AB66C0"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immunosuppressive drugs in PsO patients with HBV or HCV infection, data exist mainly for cyclosporine a (CyA) or bDMARDs (etanercept, adalimumab, infliximab, ustekinumab)</w:t>
      </w:r>
      <w:r w:rsidR="00D91598"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The natural history of HBV and HCV infection differs significantly as well as the effect of</w:t>
      </w:r>
      <w:r w:rsidR="00906849" w:rsidRPr="00A64FF0">
        <w:rPr>
          <w:rStyle w:val="Emphasis"/>
          <w:rFonts w:ascii="Book Antiqua" w:hAnsi="Book Antiqua" w:cs="Book Antiqua"/>
          <w:i w:val="0"/>
          <w:iCs w:val="0"/>
          <w:sz w:val="24"/>
          <w:szCs w:val="24"/>
          <w:lang w:val="en-US"/>
        </w:rPr>
        <w:t xml:space="preserve"> immunosuppression on the afore</w:t>
      </w:r>
      <w:r w:rsidRPr="00A64FF0">
        <w:rPr>
          <w:rStyle w:val="Emphasis"/>
          <w:rFonts w:ascii="Book Antiqua" w:hAnsi="Book Antiqua" w:cs="Book Antiqua"/>
          <w:i w:val="0"/>
          <w:iCs w:val="0"/>
          <w:sz w:val="24"/>
          <w:szCs w:val="24"/>
          <w:lang w:val="en-US"/>
        </w:rPr>
        <w:t xml:space="preserve">mentioned infectious </w:t>
      </w:r>
      <w:r w:rsidR="00BB332F" w:rsidRPr="00A64FF0">
        <w:rPr>
          <w:rStyle w:val="Emphasis"/>
          <w:rFonts w:ascii="Book Antiqua" w:hAnsi="Book Antiqua" w:cs="Book Antiqua"/>
          <w:i w:val="0"/>
          <w:iCs w:val="0"/>
          <w:sz w:val="24"/>
          <w:szCs w:val="24"/>
          <w:lang w:val="en-US"/>
        </w:rPr>
        <w:t>diseases.</w:t>
      </w:r>
      <w:r w:rsidR="00AB66C0"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As a rule, in the case of active HBV infection</w:t>
      </w:r>
      <w:r w:rsidR="001968C3"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systemic immunosuppressive antipsoriatic therapies must be deferred until the infection is controlled with an adequate antiviral treatm</w:t>
      </w:r>
      <w:r w:rsidR="00BB332F" w:rsidRPr="00A64FF0">
        <w:rPr>
          <w:rStyle w:val="Emphasis"/>
          <w:rFonts w:ascii="Book Antiqua" w:hAnsi="Book Antiqua" w:cs="Book Antiqua"/>
          <w:i w:val="0"/>
          <w:iCs w:val="0"/>
          <w:sz w:val="24"/>
          <w:szCs w:val="24"/>
          <w:lang w:val="en-US"/>
        </w:rPr>
        <w:t xml:space="preserve">ent. </w:t>
      </w:r>
      <w:r w:rsidR="00936ED5" w:rsidRPr="00A64FF0">
        <w:rPr>
          <w:rStyle w:val="Emphasis"/>
          <w:rFonts w:ascii="Book Antiqua" w:hAnsi="Book Antiqua" w:cs="Book Antiqua"/>
          <w:i w:val="0"/>
          <w:iCs w:val="0"/>
          <w:sz w:val="24"/>
          <w:szCs w:val="24"/>
          <w:lang w:val="en-US"/>
        </w:rPr>
        <w:t xml:space="preserve">Inactive </w:t>
      </w:r>
      <w:r w:rsidRPr="00A64FF0">
        <w:rPr>
          <w:rStyle w:val="Emphasis"/>
          <w:rFonts w:ascii="Book Antiqua" w:hAnsi="Book Antiqua" w:cs="Book Antiqua"/>
          <w:i w:val="0"/>
          <w:iCs w:val="0"/>
          <w:sz w:val="24"/>
          <w:szCs w:val="24"/>
          <w:lang w:val="en-US"/>
        </w:rPr>
        <w:t>carriersneed to recei</w:t>
      </w:r>
      <w:r w:rsidR="002260B8" w:rsidRPr="00A64FF0">
        <w:rPr>
          <w:rStyle w:val="Emphasis"/>
          <w:rFonts w:ascii="Book Antiqua" w:hAnsi="Book Antiqua" w:cs="Book Antiqua"/>
          <w:i w:val="0"/>
          <w:iCs w:val="0"/>
          <w:sz w:val="24"/>
          <w:szCs w:val="24"/>
          <w:lang w:val="en-US"/>
        </w:rPr>
        <w:t>ve antiviral prophylaxis 2-4 wk</w:t>
      </w:r>
      <w:r w:rsidRPr="00A64FF0">
        <w:rPr>
          <w:rStyle w:val="Emphasis"/>
          <w:rFonts w:ascii="Book Antiqua" w:hAnsi="Book Antiqua" w:cs="Book Antiqua"/>
          <w:i w:val="0"/>
          <w:iCs w:val="0"/>
          <w:sz w:val="24"/>
          <w:szCs w:val="24"/>
          <w:lang w:val="en-US"/>
        </w:rPr>
        <w:t xml:space="preserve"> before starting immunosuppressive therapy, to be continued after 6-12 mo from its suspension.</w:t>
      </w:r>
      <w:r w:rsidR="00AB66C0"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 xml:space="preserve">Due to the risk of HBV reactivation, these patients should be monitored </w:t>
      </w:r>
      <w:r w:rsidR="004E6FC2" w:rsidRPr="00A64FF0">
        <w:rPr>
          <w:rFonts w:ascii="Book Antiqua" w:hAnsi="Book Antiqua" w:cs="Book Antiqua"/>
          <w:sz w:val="24"/>
          <w:szCs w:val="24"/>
          <w:lang w:val="en-US"/>
        </w:rPr>
        <w:t>monthly for the first 3 mo</w:t>
      </w:r>
      <w:r w:rsidR="00FE3055" w:rsidRPr="00A64FF0">
        <w:rPr>
          <w:rFonts w:ascii="Book Antiqua" w:hAnsi="Book Antiqua" w:cs="Book Antiqua"/>
          <w:sz w:val="24"/>
          <w:szCs w:val="24"/>
          <w:lang w:val="en-US"/>
        </w:rPr>
        <w:t xml:space="preserve"> and</w:t>
      </w:r>
      <w:r w:rsidR="004E6FC2" w:rsidRPr="00A64FF0">
        <w:rPr>
          <w:rFonts w:ascii="Book Antiqua" w:hAnsi="Book Antiqua" w:cs="Book Antiqua"/>
          <w:sz w:val="24"/>
          <w:szCs w:val="24"/>
          <w:lang w:val="en-US"/>
        </w:rPr>
        <w:t xml:space="preserve"> then</w:t>
      </w:r>
      <w:r w:rsidRPr="00A64FF0">
        <w:rPr>
          <w:rStyle w:val="Emphasis"/>
          <w:rFonts w:ascii="Book Antiqua" w:hAnsi="Book Antiqua" w:cs="Book Antiqua"/>
          <w:i w:val="0"/>
          <w:iCs w:val="0"/>
          <w:sz w:val="24"/>
          <w:szCs w:val="24"/>
          <w:lang w:val="en-US"/>
        </w:rPr>
        <w:t xml:space="preserve"> every 3 mo for HBV DNA load toge</w:t>
      </w:r>
      <w:r w:rsidR="00BB332F" w:rsidRPr="00A64FF0">
        <w:rPr>
          <w:rStyle w:val="Emphasis"/>
          <w:rFonts w:ascii="Book Antiqua" w:hAnsi="Book Antiqua" w:cs="Book Antiqua"/>
          <w:i w:val="0"/>
          <w:iCs w:val="0"/>
          <w:sz w:val="24"/>
          <w:szCs w:val="24"/>
          <w:lang w:val="en-US"/>
        </w:rPr>
        <w:t>ther with transaminases levels.</w:t>
      </w:r>
      <w:r w:rsidR="002260B8" w:rsidRPr="00A64FF0">
        <w:rPr>
          <w:rStyle w:val="Emphasis"/>
          <w:rFonts w:ascii="Book Antiqua" w:hAnsi="Book Antiqua" w:cs="Book Antiqua"/>
          <w:i w:val="0"/>
          <w:iCs w:val="0"/>
          <w:sz w:val="24"/>
          <w:szCs w:val="24"/>
          <w:lang w:val="en-US" w:eastAsia="zh-CN"/>
        </w:rPr>
        <w:t xml:space="preserve"> </w:t>
      </w:r>
      <w:r w:rsidRPr="00A64FF0">
        <w:rPr>
          <w:rStyle w:val="Emphasis"/>
          <w:rFonts w:ascii="Book Antiqua" w:hAnsi="Book Antiqua" w:cs="Book Antiqua"/>
          <w:i w:val="0"/>
          <w:iCs w:val="0"/>
          <w:sz w:val="24"/>
          <w:szCs w:val="24"/>
          <w:lang w:val="en-US"/>
        </w:rPr>
        <w:t>Concerning the patients who are occult HBV carriers</w:t>
      </w:r>
      <w:r w:rsidR="001435EA" w:rsidRPr="00A64FF0">
        <w:rPr>
          <w:rStyle w:val="Emphasis"/>
          <w:rFonts w:ascii="Book Antiqua" w:hAnsi="Book Antiqua" w:cs="Book Antiqua"/>
          <w:i w:val="0"/>
          <w:iCs w:val="0"/>
          <w:sz w:val="24"/>
          <w:szCs w:val="24"/>
          <w:lang w:val="en-US"/>
        </w:rPr>
        <w:t>,</w:t>
      </w:r>
      <w:r w:rsidR="00230582" w:rsidRPr="00A64FF0">
        <w:rPr>
          <w:rStyle w:val="Emphasis"/>
          <w:rFonts w:ascii="Book Antiqua" w:hAnsi="Book Antiqua" w:cs="Book Antiqua"/>
          <w:i w:val="0"/>
          <w:iCs w:val="0"/>
          <w:color w:val="C00000"/>
          <w:sz w:val="24"/>
          <w:szCs w:val="24"/>
          <w:lang w:val="en-US"/>
        </w:rPr>
        <w:t xml:space="preserve"> </w:t>
      </w:r>
      <w:r w:rsidRPr="00A64FF0">
        <w:rPr>
          <w:rStyle w:val="Emphasis"/>
          <w:rFonts w:ascii="Book Antiqua" w:hAnsi="Book Antiqua" w:cs="Book Antiqua"/>
          <w:i w:val="0"/>
          <w:iCs w:val="0"/>
          <w:sz w:val="24"/>
          <w:szCs w:val="24"/>
          <w:lang w:val="en-US"/>
        </w:rPr>
        <w:t>the risk of HBV reactivation is very low. Therefore, these patients generally do not need antiviral prophylaxis and</w:t>
      </w:r>
      <w:r w:rsidR="00AB66C0"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the sera HBsAg and transaminases dosing ca</w:t>
      </w:r>
      <w:r w:rsidR="00BB332F" w:rsidRPr="00A64FF0">
        <w:rPr>
          <w:rStyle w:val="Emphasis"/>
          <w:rFonts w:ascii="Book Antiqua" w:hAnsi="Book Antiqua" w:cs="Book Antiqua"/>
          <w:i w:val="0"/>
          <w:iCs w:val="0"/>
          <w:sz w:val="24"/>
          <w:szCs w:val="24"/>
          <w:lang w:val="en-US"/>
        </w:rPr>
        <w:t xml:space="preserve">n be monitored every 3 mo. </w:t>
      </w:r>
      <w:r w:rsidRPr="00A64FF0">
        <w:rPr>
          <w:rStyle w:val="Emphasis"/>
          <w:rFonts w:ascii="Book Antiqua" w:hAnsi="Book Antiqua" w:cs="Book Antiqua"/>
          <w:i w:val="0"/>
          <w:iCs w:val="0"/>
          <w:sz w:val="24"/>
          <w:szCs w:val="24"/>
          <w:lang w:val="en-US"/>
        </w:rPr>
        <w:t>Concerning PsO patients with chronic HCV infection their m</w:t>
      </w:r>
      <w:r w:rsidR="001A0CA9" w:rsidRPr="00A64FF0">
        <w:rPr>
          <w:rStyle w:val="Emphasis"/>
          <w:rFonts w:ascii="Book Antiqua" w:hAnsi="Book Antiqua" w:cs="Book Antiqua"/>
          <w:i w:val="0"/>
          <w:iCs w:val="0"/>
          <w:sz w:val="24"/>
          <w:szCs w:val="24"/>
          <w:lang w:val="en-US"/>
        </w:rPr>
        <w:t>anagement with immunosupp</w:t>
      </w:r>
      <w:r w:rsidR="00204597" w:rsidRPr="00A64FF0">
        <w:rPr>
          <w:rStyle w:val="Emphasis"/>
          <w:rFonts w:ascii="Book Antiqua" w:hAnsi="Book Antiqua" w:cs="Book Antiqua"/>
          <w:i w:val="0"/>
          <w:iCs w:val="0"/>
          <w:sz w:val="24"/>
          <w:szCs w:val="24"/>
          <w:lang w:val="en-US"/>
        </w:rPr>
        <w:t xml:space="preserve">ressive </w:t>
      </w:r>
      <w:r w:rsidR="001A0CA9" w:rsidRPr="00A64FF0">
        <w:rPr>
          <w:rStyle w:val="Emphasis"/>
          <w:rFonts w:ascii="Book Antiqua" w:hAnsi="Book Antiqua" w:cs="Book Antiqua"/>
          <w:i w:val="0"/>
          <w:iCs w:val="0"/>
          <w:sz w:val="24"/>
          <w:szCs w:val="24"/>
          <w:lang w:val="en-US"/>
        </w:rPr>
        <w:t>drugs</w:t>
      </w:r>
      <w:r w:rsidR="00AB66C0"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is</w:t>
      </w:r>
      <w:r w:rsidR="00AB66C0"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 xml:space="preserve">less problematic as compared to thoseinfected by HBV. In fact, HCV reactivation is an extremely rare event after administration of drugs such as </w:t>
      </w:r>
      <w:r w:rsidR="002260B8" w:rsidRPr="00A64FF0">
        <w:rPr>
          <w:rStyle w:val="Emphasis"/>
          <w:rFonts w:ascii="Book Antiqua" w:hAnsi="Book Antiqua" w:cs="Book Antiqua"/>
          <w:i w:val="0"/>
          <w:iCs w:val="0"/>
          <w:sz w:val="24"/>
          <w:szCs w:val="24"/>
          <w:lang w:val="en-US"/>
        </w:rPr>
        <w:t>CyA</w:t>
      </w:r>
      <w:r w:rsidRPr="00A64FF0">
        <w:rPr>
          <w:rStyle w:val="Emphasis"/>
          <w:rFonts w:ascii="Book Antiqua" w:hAnsi="Book Antiqua" w:cs="Book Antiqua"/>
          <w:i w:val="0"/>
          <w:iCs w:val="0"/>
          <w:sz w:val="24"/>
          <w:szCs w:val="24"/>
          <w:lang w:val="en-US"/>
        </w:rPr>
        <w:t xml:space="preserve"> or tumor necrosis factor-α inhibitors (TNFis).As a rule, these patients can be monitored measuring HCV RNA</w:t>
      </w:r>
      <w:r w:rsidR="00371EE8" w:rsidRPr="00A64FF0">
        <w:rPr>
          <w:rStyle w:val="Emphasis"/>
          <w:rFonts w:ascii="Book Antiqua" w:hAnsi="Book Antiqua" w:cs="Book Antiqua"/>
          <w:i w:val="0"/>
          <w:iCs w:val="0"/>
          <w:sz w:val="24"/>
          <w:szCs w:val="24"/>
          <w:lang w:val="en-US"/>
        </w:rPr>
        <w:t xml:space="preserve"> load,</w:t>
      </w:r>
      <w:r w:rsidR="00AB66C0" w:rsidRPr="00A64FF0">
        <w:rPr>
          <w:rStyle w:val="Emphasis"/>
          <w:rFonts w:ascii="Book Antiqua" w:hAnsi="Book Antiqua" w:cs="Book Antiqua"/>
          <w:i w:val="0"/>
          <w:iCs w:val="0"/>
          <w:color w:val="C00000"/>
          <w:sz w:val="24"/>
          <w:szCs w:val="24"/>
          <w:lang w:val="en-US"/>
        </w:rPr>
        <w:t xml:space="preserve"> </w:t>
      </w:r>
      <w:r w:rsidR="00371EE8" w:rsidRPr="00A64FF0">
        <w:rPr>
          <w:rStyle w:val="Emphasis"/>
          <w:rFonts w:ascii="Book Antiqua" w:hAnsi="Book Antiqua"/>
          <w:i w:val="0"/>
          <w:sz w:val="24"/>
          <w:szCs w:val="24"/>
          <w:lang w:val="en-US"/>
        </w:rPr>
        <w:t>and ALT,</w:t>
      </w:r>
      <w:r w:rsidR="00AB66C0" w:rsidRPr="00A64FF0">
        <w:rPr>
          <w:rStyle w:val="Emphasis"/>
          <w:rFonts w:ascii="Book Antiqua" w:hAnsi="Book Antiqua"/>
          <w:i w:val="0"/>
          <w:sz w:val="24"/>
          <w:szCs w:val="24"/>
          <w:lang w:val="en-US"/>
        </w:rPr>
        <w:t xml:space="preserve"> </w:t>
      </w:r>
      <w:r w:rsidR="00451123" w:rsidRPr="00A64FF0">
        <w:rPr>
          <w:rStyle w:val="Emphasis"/>
          <w:rFonts w:ascii="Book Antiqua" w:hAnsi="Book Antiqua"/>
          <w:i w:val="0"/>
          <w:sz w:val="24"/>
          <w:szCs w:val="24"/>
          <w:lang w:val="en-US"/>
        </w:rPr>
        <w:t>aspartate transaminase</w:t>
      </w:r>
      <w:r w:rsidR="002260B8" w:rsidRPr="00A64FF0">
        <w:rPr>
          <w:rStyle w:val="Emphasis"/>
          <w:rFonts w:ascii="Book Antiqua" w:hAnsi="Book Antiqua"/>
          <w:i w:val="0"/>
          <w:sz w:val="24"/>
          <w:szCs w:val="24"/>
          <w:lang w:val="en-US" w:eastAsia="zh-CN"/>
        </w:rPr>
        <w:t xml:space="preserve"> (</w:t>
      </w:r>
      <w:r w:rsidR="00371EE8" w:rsidRPr="00A64FF0">
        <w:rPr>
          <w:rStyle w:val="Emphasis"/>
          <w:rFonts w:ascii="Book Antiqua" w:hAnsi="Book Antiqua"/>
          <w:i w:val="0"/>
          <w:sz w:val="24"/>
          <w:szCs w:val="24"/>
          <w:lang w:val="en-US"/>
        </w:rPr>
        <w:t>AST</w:t>
      </w:r>
      <w:r w:rsidR="002260B8" w:rsidRPr="00A64FF0">
        <w:rPr>
          <w:rStyle w:val="Emphasis"/>
          <w:rFonts w:ascii="Book Antiqua" w:hAnsi="Book Antiqua"/>
          <w:i w:val="0"/>
          <w:sz w:val="24"/>
          <w:szCs w:val="24"/>
          <w:lang w:val="en-US" w:eastAsia="zh-CN"/>
        </w:rPr>
        <w:t>)</w:t>
      </w:r>
      <w:r w:rsidR="00A20748" w:rsidRPr="00A64FF0">
        <w:rPr>
          <w:rStyle w:val="Emphasis"/>
          <w:rFonts w:ascii="Book Antiqua" w:hAnsi="Book Antiqua"/>
          <w:i w:val="0"/>
          <w:sz w:val="24"/>
          <w:szCs w:val="24"/>
          <w:lang w:val="en-US"/>
        </w:rPr>
        <w:t>, gamma-glutamyl-</w:t>
      </w:r>
      <w:r w:rsidR="002260B8" w:rsidRPr="00A64FF0">
        <w:rPr>
          <w:rStyle w:val="Emphasis"/>
          <w:rFonts w:ascii="Book Antiqua" w:hAnsi="Book Antiqua"/>
          <w:i w:val="0"/>
          <w:sz w:val="24"/>
          <w:szCs w:val="24"/>
          <w:lang w:val="en-US"/>
        </w:rPr>
        <w:t>transferase (GGT)</w:t>
      </w:r>
      <w:r w:rsidR="00371EE8" w:rsidRPr="00A64FF0">
        <w:rPr>
          <w:rStyle w:val="Emphasis"/>
          <w:rFonts w:ascii="Book Antiqua" w:hAnsi="Book Antiqua"/>
          <w:i w:val="0"/>
          <w:sz w:val="24"/>
          <w:szCs w:val="24"/>
          <w:lang w:val="en-US"/>
        </w:rPr>
        <w:t>, bilirubin, alkaline phosphatase, albumin and platelet every 3-6 mo.</w:t>
      </w:r>
      <w:r w:rsidR="002260B8" w:rsidRPr="00A64FF0">
        <w:rPr>
          <w:rStyle w:val="Emphasis"/>
          <w:rFonts w:ascii="Book Antiqua" w:hAnsi="Book Antiqua" w:cs="Book Antiqua"/>
          <w:i w:val="0"/>
          <w:iCs w:val="0"/>
          <w:sz w:val="24"/>
          <w:szCs w:val="24"/>
          <w:lang w:val="en-US" w:eastAsia="zh-CN"/>
        </w:rPr>
        <w:t xml:space="preserve"> </w:t>
      </w:r>
      <w:r w:rsidRPr="00A64FF0">
        <w:rPr>
          <w:rStyle w:val="Emphasis"/>
          <w:rFonts w:ascii="Book Antiqua" w:hAnsi="Book Antiqua" w:cs="Book Antiqua"/>
          <w:i w:val="0"/>
          <w:iCs w:val="0"/>
          <w:sz w:val="24"/>
          <w:szCs w:val="24"/>
          <w:lang w:val="en-US"/>
        </w:rPr>
        <w:t>The present article provides an updated</w:t>
      </w:r>
      <w:r w:rsidR="007C560A"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overview</w:t>
      </w:r>
      <w:r w:rsidR="007C560A"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based on more re</w:t>
      </w:r>
      <w:r w:rsidR="00CB0376" w:rsidRPr="00A64FF0">
        <w:rPr>
          <w:rStyle w:val="Emphasis"/>
          <w:rFonts w:ascii="Book Antiqua" w:hAnsi="Book Antiqua" w:cs="Book Antiqua"/>
          <w:i w:val="0"/>
          <w:iCs w:val="0"/>
          <w:sz w:val="24"/>
          <w:szCs w:val="24"/>
          <w:lang w:val="en-US"/>
        </w:rPr>
        <w:t>cently reported data on</w:t>
      </w:r>
      <w:r w:rsidRPr="00A64FF0">
        <w:rPr>
          <w:rStyle w:val="Emphasis"/>
          <w:rFonts w:ascii="Book Antiqua" w:hAnsi="Book Antiqua" w:cs="Book Antiqua"/>
          <w:i w:val="0"/>
          <w:iCs w:val="0"/>
          <w:sz w:val="24"/>
          <w:szCs w:val="24"/>
          <w:lang w:val="en-US"/>
        </w:rPr>
        <w:t xml:space="preserve"> monitoring and managing </w:t>
      </w:r>
      <w:r w:rsidRPr="00A64FF0">
        <w:rPr>
          <w:rStyle w:val="Emphasis"/>
          <w:rFonts w:ascii="Book Antiqua" w:hAnsi="Book Antiqua" w:cs="Book Antiqua"/>
          <w:i w:val="0"/>
          <w:iCs w:val="0"/>
          <w:sz w:val="24"/>
          <w:szCs w:val="24"/>
          <w:lang w:val="en-US"/>
        </w:rPr>
        <w:lastRenderedPageBreak/>
        <w:t>PsO patients who need systemic antipsoriatic treatment and have HBV or HCV infection as comorbidity.</w:t>
      </w:r>
    </w:p>
    <w:p w:rsidR="00CC5C47"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rPr>
      </w:pPr>
    </w:p>
    <w:p w:rsidR="00CC5C47" w:rsidRPr="00A64FF0" w:rsidRDefault="00CC5C47" w:rsidP="00467AE1">
      <w:pPr>
        <w:adjustRightInd w:val="0"/>
        <w:snapToGrid w:val="0"/>
        <w:spacing w:after="0" w:line="360" w:lineRule="auto"/>
        <w:jc w:val="both"/>
        <w:rPr>
          <w:rFonts w:ascii="Book Antiqua" w:hAnsi="Book Antiqua" w:cs="Book Antiqua"/>
          <w:b/>
          <w:bCs/>
          <w:sz w:val="24"/>
          <w:szCs w:val="24"/>
          <w:lang w:val="en-US" w:eastAsia="zh-CN"/>
        </w:rPr>
      </w:pPr>
      <w:r w:rsidRPr="00A64FF0">
        <w:rPr>
          <w:rFonts w:ascii="Book Antiqua" w:hAnsi="Book Antiqua" w:cs="Book Antiqua"/>
          <w:b/>
          <w:bCs/>
          <w:sz w:val="24"/>
          <w:szCs w:val="24"/>
          <w:lang w:val="en-US"/>
        </w:rPr>
        <w:t>Key</w:t>
      </w:r>
      <w:r w:rsidR="002260B8" w:rsidRPr="00A64FF0">
        <w:rPr>
          <w:rFonts w:ascii="Book Antiqua" w:hAnsi="Book Antiqua" w:cs="Book Antiqua"/>
          <w:b/>
          <w:bCs/>
          <w:sz w:val="24"/>
          <w:szCs w:val="24"/>
          <w:lang w:val="en-US" w:eastAsia="zh-CN"/>
        </w:rPr>
        <w:t xml:space="preserve"> </w:t>
      </w:r>
      <w:r w:rsidRPr="00A64FF0">
        <w:rPr>
          <w:rFonts w:ascii="Book Antiqua" w:hAnsi="Book Antiqua" w:cs="Book Antiqua"/>
          <w:b/>
          <w:bCs/>
          <w:sz w:val="24"/>
          <w:szCs w:val="24"/>
          <w:lang w:val="en-US"/>
        </w:rPr>
        <w:t>words</w:t>
      </w:r>
      <w:r w:rsidR="00BB332F" w:rsidRPr="00A64FF0">
        <w:rPr>
          <w:rFonts w:ascii="Book Antiqua" w:hAnsi="Book Antiqua" w:cs="Book Antiqua"/>
          <w:b/>
          <w:bCs/>
          <w:sz w:val="24"/>
          <w:szCs w:val="24"/>
          <w:lang w:val="en-US" w:eastAsia="zh-CN"/>
        </w:rPr>
        <w:t>:</w:t>
      </w:r>
      <w:r w:rsidR="002260B8" w:rsidRPr="00A64FF0">
        <w:rPr>
          <w:rFonts w:ascii="Book Antiqua" w:hAnsi="Book Antiqua" w:cs="Book Antiqua"/>
          <w:b/>
          <w:bCs/>
          <w:sz w:val="24"/>
          <w:szCs w:val="24"/>
          <w:lang w:val="en-US" w:eastAsia="zh-CN"/>
        </w:rPr>
        <w:t xml:space="preserve"> </w:t>
      </w:r>
      <w:r w:rsidRPr="00A64FF0">
        <w:rPr>
          <w:rFonts w:ascii="Book Antiqua" w:hAnsi="Book Antiqua" w:cs="Book Antiqua"/>
          <w:sz w:val="24"/>
          <w:szCs w:val="24"/>
          <w:lang w:val="en-US"/>
        </w:rPr>
        <w:t>Psoriasis</w:t>
      </w:r>
      <w:r w:rsidR="002260B8" w:rsidRPr="00A64FF0">
        <w:rPr>
          <w:rFonts w:ascii="Book Antiqua" w:hAnsi="Book Antiqua" w:cs="Book Antiqua"/>
          <w:sz w:val="24"/>
          <w:szCs w:val="24"/>
          <w:lang w:val="en-US" w:eastAsia="zh-CN"/>
        </w:rPr>
        <w:t>;</w:t>
      </w:r>
      <w:r w:rsidRPr="00A64FF0">
        <w:rPr>
          <w:rFonts w:ascii="Book Antiqua" w:hAnsi="Book Antiqua" w:cs="Book Antiqua"/>
          <w:sz w:val="24"/>
          <w:szCs w:val="24"/>
          <w:lang w:val="en-US"/>
        </w:rPr>
        <w:t xml:space="preserve"> </w:t>
      </w:r>
      <w:r w:rsidR="002260B8" w:rsidRPr="00A64FF0">
        <w:rPr>
          <w:rFonts w:ascii="Book Antiqua" w:hAnsi="Book Antiqua" w:cs="Book Antiqua"/>
          <w:caps/>
          <w:sz w:val="24"/>
          <w:szCs w:val="24"/>
          <w:lang w:val="en-US"/>
        </w:rPr>
        <w:t>h</w:t>
      </w:r>
      <w:r w:rsidR="002260B8" w:rsidRPr="00A64FF0">
        <w:rPr>
          <w:rFonts w:ascii="Book Antiqua" w:hAnsi="Book Antiqua" w:cs="Book Antiqua"/>
          <w:sz w:val="24"/>
          <w:szCs w:val="24"/>
          <w:lang w:val="en-US"/>
        </w:rPr>
        <w:t xml:space="preserve">epatitis B virus </w:t>
      </w:r>
      <w:r w:rsidRPr="00A64FF0">
        <w:rPr>
          <w:rFonts w:ascii="Book Antiqua" w:hAnsi="Book Antiqua" w:cs="Book Antiqua"/>
          <w:sz w:val="24"/>
          <w:szCs w:val="24"/>
          <w:lang w:val="en-US"/>
        </w:rPr>
        <w:t>infection</w:t>
      </w:r>
      <w:r w:rsidR="002260B8" w:rsidRPr="00A64FF0">
        <w:rPr>
          <w:rFonts w:ascii="Book Antiqua" w:hAnsi="Book Antiqua" w:cs="Book Antiqua"/>
          <w:sz w:val="24"/>
          <w:szCs w:val="24"/>
          <w:lang w:val="en-US" w:eastAsia="zh-CN"/>
        </w:rPr>
        <w:t>;</w:t>
      </w:r>
      <w:r w:rsidRPr="00A64FF0">
        <w:rPr>
          <w:rFonts w:ascii="Book Antiqua" w:hAnsi="Book Antiqua" w:cs="Book Antiqua"/>
          <w:sz w:val="24"/>
          <w:szCs w:val="24"/>
          <w:lang w:val="en-US"/>
        </w:rPr>
        <w:t xml:space="preserve"> </w:t>
      </w:r>
      <w:r w:rsidR="002260B8" w:rsidRPr="00A64FF0">
        <w:rPr>
          <w:rFonts w:ascii="Book Antiqua" w:hAnsi="Book Antiqua" w:cs="Book Antiqua"/>
          <w:caps/>
          <w:sz w:val="24"/>
          <w:szCs w:val="24"/>
          <w:lang w:val="en-US"/>
        </w:rPr>
        <w:t>h</w:t>
      </w:r>
      <w:r w:rsidR="002260B8" w:rsidRPr="00A64FF0">
        <w:rPr>
          <w:rFonts w:ascii="Book Antiqua" w:hAnsi="Book Antiqua" w:cs="Book Antiqua"/>
          <w:sz w:val="24"/>
          <w:szCs w:val="24"/>
          <w:lang w:val="en-US"/>
        </w:rPr>
        <w:t>epatitis C virus</w:t>
      </w:r>
      <w:r w:rsidR="002260B8" w:rsidRPr="00A64FF0">
        <w:rPr>
          <w:rStyle w:val="Emphasis"/>
          <w:rFonts w:ascii="Book Antiqua" w:hAnsi="Book Antiqua" w:cs="Book Antiqua"/>
          <w:i w:val="0"/>
          <w:iCs w:val="0"/>
          <w:sz w:val="24"/>
          <w:szCs w:val="24"/>
          <w:lang w:val="en-US"/>
        </w:rPr>
        <w:t xml:space="preserve"> </w:t>
      </w:r>
      <w:r w:rsidRPr="00A64FF0">
        <w:rPr>
          <w:rFonts w:ascii="Book Antiqua" w:hAnsi="Book Antiqua" w:cs="Book Antiqua"/>
          <w:sz w:val="24"/>
          <w:szCs w:val="24"/>
          <w:lang w:val="en-US"/>
        </w:rPr>
        <w:t>infection</w:t>
      </w:r>
      <w:r w:rsidR="002260B8" w:rsidRPr="00A64FF0">
        <w:rPr>
          <w:rFonts w:ascii="Book Antiqua" w:hAnsi="Book Antiqua" w:cs="Book Antiqua"/>
          <w:sz w:val="24"/>
          <w:szCs w:val="24"/>
          <w:lang w:val="en-US" w:eastAsia="zh-CN"/>
        </w:rPr>
        <w:t>;</w:t>
      </w:r>
      <w:r w:rsidRPr="00A64FF0">
        <w:rPr>
          <w:rFonts w:ascii="Book Antiqua" w:hAnsi="Book Antiqua" w:cs="Book Antiqua"/>
          <w:sz w:val="24"/>
          <w:szCs w:val="24"/>
          <w:lang w:val="en-US"/>
        </w:rPr>
        <w:t xml:space="preserve"> Therapy</w:t>
      </w:r>
      <w:r w:rsidR="002260B8" w:rsidRPr="00A64FF0">
        <w:rPr>
          <w:rFonts w:ascii="Book Antiqua" w:hAnsi="Book Antiqua" w:cs="Book Antiqua"/>
          <w:sz w:val="24"/>
          <w:szCs w:val="24"/>
          <w:lang w:val="en-US" w:eastAsia="zh-CN"/>
        </w:rPr>
        <w:t>;</w:t>
      </w:r>
      <w:r w:rsidR="002260B8"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cDMARDs</w:t>
      </w:r>
      <w:r w:rsidR="002260B8" w:rsidRPr="00A64FF0">
        <w:rPr>
          <w:rFonts w:ascii="Book Antiqua" w:hAnsi="Book Antiqua" w:cs="Book Antiqua"/>
          <w:sz w:val="24"/>
          <w:szCs w:val="24"/>
          <w:lang w:val="en-US" w:eastAsia="zh-CN"/>
        </w:rPr>
        <w:t>;</w:t>
      </w:r>
      <w:r w:rsidR="002260B8"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bDMARDs</w:t>
      </w:r>
    </w:p>
    <w:p w:rsidR="00CC5C47"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eastAsia="zh-CN"/>
        </w:rPr>
      </w:pPr>
    </w:p>
    <w:p w:rsidR="002260B8" w:rsidRPr="00A64FF0" w:rsidRDefault="002260B8" w:rsidP="00467AE1">
      <w:pPr>
        <w:autoSpaceDE w:val="0"/>
        <w:autoSpaceDN w:val="0"/>
        <w:adjustRightInd w:val="0"/>
        <w:snapToGrid w:val="0"/>
        <w:spacing w:after="0" w:line="360" w:lineRule="auto"/>
        <w:rPr>
          <w:rFonts w:ascii="Book Antiqua" w:hAnsi="Book Antiqua" w:cs="Arial Unicode MS"/>
          <w:sz w:val="24"/>
          <w:szCs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A64FF0">
        <w:rPr>
          <w:rFonts w:ascii="Book Antiqua" w:hAnsi="Book Antiqua"/>
          <w:b/>
          <w:color w:val="000000"/>
          <w:sz w:val="24"/>
          <w:szCs w:val="24"/>
          <w:lang w:val="en-GB"/>
        </w:rPr>
        <w:t xml:space="preserve">© </w:t>
      </w:r>
      <w:r w:rsidRPr="00A64FF0">
        <w:rPr>
          <w:rFonts w:ascii="Book Antiqua" w:eastAsia="AdvTimes" w:hAnsi="Book Antiqua" w:cs="AdvTimes"/>
          <w:b/>
          <w:color w:val="000000"/>
          <w:sz w:val="24"/>
          <w:szCs w:val="24"/>
        </w:rPr>
        <w:t>The Author(s) 201</w:t>
      </w:r>
      <w:r w:rsidRPr="00A64FF0">
        <w:rPr>
          <w:rFonts w:ascii="Book Antiqua" w:hAnsi="Book Antiqua" w:cs="AdvTimes"/>
          <w:b/>
          <w:color w:val="000000"/>
          <w:sz w:val="24"/>
          <w:szCs w:val="24"/>
        </w:rPr>
        <w:t>6</w:t>
      </w:r>
      <w:r w:rsidRPr="00A64FF0">
        <w:rPr>
          <w:rFonts w:ascii="Book Antiqua" w:eastAsia="AdvTimes" w:hAnsi="Book Antiqua" w:cs="AdvTimes"/>
          <w:b/>
          <w:color w:val="000000"/>
          <w:sz w:val="24"/>
          <w:szCs w:val="24"/>
        </w:rPr>
        <w:t>.</w:t>
      </w:r>
      <w:r w:rsidRPr="00A64FF0">
        <w:rPr>
          <w:rFonts w:ascii="Book Antiqua" w:eastAsia="AdvTimes" w:hAnsi="Book Antiqua" w:cs="AdvTimes"/>
          <w:color w:val="000000"/>
          <w:sz w:val="24"/>
          <w:szCs w:val="24"/>
        </w:rPr>
        <w:t xml:space="preserve"> Published by </w:t>
      </w:r>
      <w:r w:rsidRPr="00A64FF0">
        <w:rPr>
          <w:rFonts w:ascii="Book Antiqua" w:hAnsi="Book Antiqua" w:cs="Arial Unicode MS"/>
          <w:color w:val="000000"/>
          <w:sz w:val="24"/>
          <w:szCs w:val="24"/>
          <w:lang w:val="en-GB"/>
        </w:rPr>
        <w:t>Baishideng Publishing Group Inc.</w:t>
      </w:r>
      <w:r w:rsidRPr="00A64FF0">
        <w:rPr>
          <w:rFonts w:ascii="Book Antiqua" w:hAnsi="Book Antiqua" w:cs="Arial Unicode MS"/>
          <w:sz w:val="24"/>
          <w:szCs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2260B8" w:rsidRPr="00A64FF0" w:rsidRDefault="002260B8" w:rsidP="00467AE1">
      <w:pPr>
        <w:adjustRightInd w:val="0"/>
        <w:snapToGrid w:val="0"/>
        <w:spacing w:after="0" w:line="360" w:lineRule="auto"/>
        <w:jc w:val="both"/>
        <w:rPr>
          <w:rStyle w:val="Emphasis"/>
          <w:rFonts w:ascii="Book Antiqua" w:hAnsi="Book Antiqua" w:cs="Book Antiqua"/>
          <w:i w:val="0"/>
          <w:iCs w:val="0"/>
          <w:sz w:val="24"/>
          <w:szCs w:val="24"/>
          <w:lang w:val="en-US" w:eastAsia="zh-CN"/>
        </w:rPr>
      </w:pPr>
    </w:p>
    <w:p w:rsidR="00BB332F" w:rsidRPr="00A64FF0" w:rsidRDefault="00BB332F" w:rsidP="00467AE1">
      <w:pPr>
        <w:adjustRightInd w:val="0"/>
        <w:snapToGrid w:val="0"/>
        <w:spacing w:after="0" w:line="360" w:lineRule="auto"/>
        <w:jc w:val="both"/>
        <w:rPr>
          <w:rFonts w:ascii="Book Antiqua" w:hAnsi="Book Antiqua" w:cs="Book Antiqua"/>
          <w:b/>
          <w:bCs/>
          <w:sz w:val="24"/>
          <w:szCs w:val="24"/>
          <w:lang w:val="en-US" w:eastAsia="zh-CN"/>
        </w:rPr>
      </w:pPr>
      <w:r w:rsidRPr="00A64FF0">
        <w:rPr>
          <w:rStyle w:val="Emphasis"/>
          <w:rFonts w:ascii="Book Antiqua" w:hAnsi="Book Antiqua" w:cs="Book Antiqua"/>
          <w:b/>
          <w:bCs/>
          <w:i w:val="0"/>
          <w:iCs w:val="0"/>
          <w:sz w:val="24"/>
          <w:szCs w:val="24"/>
          <w:lang w:val="en-US"/>
        </w:rPr>
        <w:t>Core tip</w:t>
      </w:r>
      <w:r w:rsidRPr="00A64FF0">
        <w:rPr>
          <w:rStyle w:val="Emphasis"/>
          <w:rFonts w:ascii="Book Antiqua" w:hAnsi="Book Antiqua" w:cs="Book Antiqua"/>
          <w:b/>
          <w:bCs/>
          <w:i w:val="0"/>
          <w:iCs w:val="0"/>
          <w:sz w:val="24"/>
          <w:szCs w:val="24"/>
          <w:lang w:val="en-US" w:eastAsia="zh-CN"/>
        </w:rPr>
        <w:t xml:space="preserve">: </w:t>
      </w:r>
      <w:r w:rsidR="001435EA" w:rsidRPr="00A64FF0">
        <w:rPr>
          <w:rStyle w:val="Emphasis"/>
          <w:rFonts w:ascii="Book Antiqua" w:hAnsi="Book Antiqua"/>
          <w:i w:val="0"/>
          <w:sz w:val="24"/>
          <w:szCs w:val="24"/>
          <w:lang w:val="en-US"/>
        </w:rPr>
        <w:t>At present</w:t>
      </w:r>
      <w:r w:rsidRPr="00A64FF0">
        <w:rPr>
          <w:rStyle w:val="Emphasis"/>
          <w:rFonts w:ascii="Book Antiqua" w:hAnsi="Book Antiqua"/>
          <w:i w:val="0"/>
          <w:color w:val="000000" w:themeColor="text1"/>
          <w:sz w:val="24"/>
          <w:szCs w:val="24"/>
          <w:lang w:val="en-US"/>
        </w:rPr>
        <w:t xml:space="preserve">, no guidelines give clear indications </w:t>
      </w:r>
      <w:r w:rsidR="001435EA" w:rsidRPr="00A64FF0">
        <w:rPr>
          <w:rStyle w:val="Emphasis"/>
          <w:rFonts w:ascii="Book Antiqua" w:hAnsi="Book Antiqua"/>
          <w:i w:val="0"/>
          <w:sz w:val="24"/>
          <w:szCs w:val="24"/>
          <w:lang w:val="en-US"/>
        </w:rPr>
        <w:t>regarding</w:t>
      </w:r>
      <w:r w:rsidRPr="00A64FF0">
        <w:rPr>
          <w:rStyle w:val="Emphasis"/>
          <w:rFonts w:ascii="Book Antiqua" w:hAnsi="Book Antiqua"/>
          <w:i w:val="0"/>
          <w:color w:val="000000" w:themeColor="text1"/>
          <w:sz w:val="24"/>
          <w:szCs w:val="24"/>
          <w:lang w:val="en-US"/>
        </w:rPr>
        <w:t xml:space="preserve"> the management of psoriasis patients with concomitant hepatitis B or hepatitis C virus infection who need a systemic treatment. </w:t>
      </w:r>
      <w:r w:rsidRPr="00A64FF0">
        <w:rPr>
          <w:rFonts w:ascii="Book Antiqua" w:hAnsi="Book Antiqua" w:cs="AdvGulliv-R"/>
          <w:color w:val="000000" w:themeColor="text1"/>
          <w:sz w:val="24"/>
          <w:szCs w:val="24"/>
          <w:lang w:val="en-US"/>
        </w:rPr>
        <w:t>On the basis of the available literature data, this paper provides</w:t>
      </w:r>
      <w:r w:rsidR="001435EA" w:rsidRPr="00A64FF0">
        <w:rPr>
          <w:rFonts w:ascii="Book Antiqua" w:hAnsi="Book Antiqua" w:cs="AdvGulliv-R"/>
          <w:color w:val="000000" w:themeColor="text1"/>
          <w:sz w:val="24"/>
          <w:szCs w:val="24"/>
          <w:lang w:val="en-US"/>
        </w:rPr>
        <w:t xml:space="preserve"> an overview </w:t>
      </w:r>
      <w:r w:rsidR="001435EA" w:rsidRPr="00A64FF0">
        <w:rPr>
          <w:rFonts w:ascii="Book Antiqua" w:hAnsi="Book Antiqua" w:cs="AdvGulliv-R"/>
          <w:sz w:val="24"/>
          <w:szCs w:val="24"/>
          <w:lang w:val="en-US"/>
        </w:rPr>
        <w:t>i</w:t>
      </w:r>
      <w:r w:rsidRPr="00A64FF0">
        <w:rPr>
          <w:rFonts w:ascii="Book Antiqua" w:hAnsi="Book Antiqua" w:cs="AdvGulliv-R"/>
          <w:sz w:val="24"/>
          <w:szCs w:val="24"/>
          <w:lang w:val="en-US"/>
        </w:rPr>
        <w:t>n</w:t>
      </w:r>
      <w:r w:rsidRPr="00A64FF0">
        <w:rPr>
          <w:rFonts w:ascii="Book Antiqua" w:hAnsi="Book Antiqua" w:cs="AdvGulliv-R"/>
          <w:color w:val="000000" w:themeColor="text1"/>
          <w:sz w:val="24"/>
          <w:szCs w:val="24"/>
          <w:lang w:val="en-US"/>
        </w:rPr>
        <w:t xml:space="preserve"> this field from a practical point </w:t>
      </w:r>
      <w:r w:rsidR="001435EA" w:rsidRPr="00A64FF0">
        <w:rPr>
          <w:rFonts w:ascii="Book Antiqua" w:hAnsi="Book Antiqua" w:cs="AdvGulliv-R"/>
          <w:color w:val="000000" w:themeColor="text1"/>
          <w:sz w:val="24"/>
          <w:szCs w:val="24"/>
          <w:lang w:val="en-US"/>
        </w:rPr>
        <w:t>of view</w:t>
      </w:r>
      <w:r w:rsidRPr="00A64FF0">
        <w:rPr>
          <w:rFonts w:ascii="Book Antiqua" w:hAnsi="Book Antiqua" w:cs="AdvGulliv-R"/>
          <w:color w:val="000000" w:themeColor="text1"/>
          <w:sz w:val="24"/>
          <w:szCs w:val="24"/>
          <w:lang w:val="en-US"/>
        </w:rPr>
        <w:t xml:space="preserve">. A particular emphasis </w:t>
      </w:r>
      <w:r w:rsidR="001435EA" w:rsidRPr="00A64FF0">
        <w:rPr>
          <w:rFonts w:ascii="Book Antiqua" w:hAnsi="Book Antiqua" w:cs="AdvGulliv-R"/>
          <w:sz w:val="24"/>
          <w:szCs w:val="24"/>
          <w:lang w:val="en-US"/>
        </w:rPr>
        <w:t>is given, with regard to</w:t>
      </w:r>
      <w:r w:rsidR="00B92B42" w:rsidRPr="00A64FF0">
        <w:rPr>
          <w:rFonts w:ascii="Book Antiqua" w:hAnsi="Book Antiqua" w:cs="AdvGulliv-R"/>
          <w:sz w:val="24"/>
          <w:szCs w:val="24"/>
          <w:lang w:val="en-US"/>
        </w:rPr>
        <w:t xml:space="preserve"> </w:t>
      </w:r>
      <w:r w:rsidRPr="00A64FF0">
        <w:rPr>
          <w:rFonts w:ascii="Book Antiqua" w:hAnsi="Book Antiqua" w:cs="AdvGulliv-R"/>
          <w:sz w:val="24"/>
          <w:szCs w:val="24"/>
          <w:lang w:val="en-US"/>
        </w:rPr>
        <w:t xml:space="preserve">the </w:t>
      </w:r>
      <w:r w:rsidR="001435EA" w:rsidRPr="00A64FF0">
        <w:rPr>
          <w:rFonts w:ascii="Book Antiqua" w:hAnsi="Book Antiqua" w:cs="AdvGulliv-R"/>
          <w:sz w:val="24"/>
          <w:szCs w:val="24"/>
          <w:lang w:val="en-US"/>
        </w:rPr>
        <w:t xml:space="preserve">use of </w:t>
      </w:r>
      <w:r w:rsidRPr="00A64FF0">
        <w:rPr>
          <w:rFonts w:ascii="Book Antiqua" w:hAnsi="Book Antiqua" w:cs="AdvGulliv-R"/>
          <w:sz w:val="24"/>
          <w:szCs w:val="24"/>
          <w:lang w:val="en-US"/>
        </w:rPr>
        <w:t>biologic</w:t>
      </w:r>
      <w:r w:rsidR="001435EA" w:rsidRPr="00A64FF0">
        <w:rPr>
          <w:rFonts w:ascii="Book Antiqua" w:hAnsi="Book Antiqua" w:cs="AdvGulliv-R"/>
          <w:sz w:val="24"/>
          <w:szCs w:val="24"/>
          <w:lang w:val="en-US"/>
        </w:rPr>
        <w:t>al</w:t>
      </w:r>
      <w:r w:rsidR="00B92B42" w:rsidRPr="00A64FF0">
        <w:rPr>
          <w:rFonts w:ascii="Book Antiqua" w:hAnsi="Book Antiqua" w:cs="AdvGulliv-R"/>
          <w:sz w:val="24"/>
          <w:szCs w:val="24"/>
          <w:lang w:val="en-US"/>
        </w:rPr>
        <w:t xml:space="preserve"> </w:t>
      </w:r>
      <w:r w:rsidRPr="00A64FF0">
        <w:rPr>
          <w:rFonts w:ascii="Book Antiqua" w:hAnsi="Book Antiqua" w:cs="AdvGulliv-R"/>
          <w:sz w:val="24"/>
          <w:szCs w:val="24"/>
          <w:lang w:val="en-US"/>
        </w:rPr>
        <w:t>drugs</w:t>
      </w:r>
      <w:r w:rsidR="001435EA" w:rsidRPr="00A64FF0">
        <w:rPr>
          <w:rFonts w:ascii="Book Antiqua" w:hAnsi="Book Antiqua" w:cs="AdvGulliv-R"/>
          <w:sz w:val="24"/>
          <w:szCs w:val="24"/>
          <w:lang w:val="en-US"/>
        </w:rPr>
        <w:t>,</w:t>
      </w:r>
      <w:r w:rsidRPr="00A64FF0">
        <w:rPr>
          <w:rFonts w:ascii="Book Antiqua" w:hAnsi="Book Antiqua" w:cs="AdvGulliv-R"/>
          <w:sz w:val="24"/>
          <w:szCs w:val="24"/>
          <w:lang w:val="en-US"/>
        </w:rPr>
        <w:t xml:space="preserve"> in the </w:t>
      </w:r>
      <w:r w:rsidR="001435EA" w:rsidRPr="00A64FF0">
        <w:rPr>
          <w:rFonts w:ascii="Book Antiqua" w:hAnsi="Book Antiqua" w:cs="AdvGulliv-R"/>
          <w:sz w:val="24"/>
          <w:szCs w:val="24"/>
          <w:lang w:val="en-US"/>
        </w:rPr>
        <w:t>aforementioned patients</w:t>
      </w:r>
      <w:r w:rsidRPr="00A64FF0">
        <w:rPr>
          <w:rFonts w:ascii="Book Antiqua" w:hAnsi="Book Antiqua" w:cs="AdvGulliv-R"/>
          <w:sz w:val="24"/>
          <w:szCs w:val="24"/>
          <w:lang w:val="en-US"/>
        </w:rPr>
        <w:t>.</w:t>
      </w:r>
    </w:p>
    <w:p w:rsidR="00A75A44" w:rsidRPr="00A64FF0" w:rsidRDefault="00A75A44" w:rsidP="00467AE1">
      <w:pPr>
        <w:adjustRightInd w:val="0"/>
        <w:snapToGrid w:val="0"/>
        <w:spacing w:after="0" w:line="360" w:lineRule="auto"/>
        <w:jc w:val="both"/>
        <w:rPr>
          <w:rStyle w:val="Emphasis"/>
          <w:rFonts w:ascii="Book Antiqua" w:hAnsi="Book Antiqua" w:cs="Book Antiqua"/>
          <w:b/>
          <w:bCs/>
          <w:i w:val="0"/>
          <w:iCs w:val="0"/>
          <w:sz w:val="24"/>
          <w:szCs w:val="24"/>
          <w:lang w:val="en-US" w:eastAsia="zh-CN"/>
        </w:rPr>
      </w:pPr>
    </w:p>
    <w:p w:rsidR="007F51F5" w:rsidRPr="00A64FF0" w:rsidRDefault="007F51F5" w:rsidP="00467AE1">
      <w:pPr>
        <w:autoSpaceDE w:val="0"/>
        <w:autoSpaceDN w:val="0"/>
        <w:adjustRightInd w:val="0"/>
        <w:snapToGrid w:val="0"/>
        <w:spacing w:after="0" w:line="360" w:lineRule="auto"/>
        <w:jc w:val="both"/>
        <w:rPr>
          <w:rFonts w:ascii="Book Antiqua" w:hAnsi="Book Antiqua" w:cs="Book Antiqua"/>
          <w:bCs/>
          <w:sz w:val="24"/>
          <w:szCs w:val="24"/>
          <w:lang w:val="en-US" w:eastAsia="zh-CN"/>
        </w:rPr>
      </w:pPr>
      <w:r w:rsidRPr="00A64FF0">
        <w:rPr>
          <w:rStyle w:val="Emphasis"/>
          <w:rFonts w:ascii="Book Antiqua" w:hAnsi="Book Antiqua" w:cs="Book Antiqua"/>
          <w:bCs/>
          <w:i w:val="0"/>
          <w:iCs w:val="0"/>
          <w:sz w:val="24"/>
          <w:szCs w:val="24"/>
          <w:lang w:val="en-US"/>
        </w:rPr>
        <w:t>Bonifati</w:t>
      </w:r>
      <w:r w:rsidRPr="00A64FF0">
        <w:rPr>
          <w:rStyle w:val="Emphasis"/>
          <w:rFonts w:ascii="Book Antiqua" w:hAnsi="Book Antiqua" w:cs="Book Antiqua"/>
          <w:bCs/>
          <w:i w:val="0"/>
          <w:iCs w:val="0"/>
          <w:sz w:val="24"/>
          <w:szCs w:val="24"/>
          <w:lang w:val="en-US" w:eastAsia="zh-CN"/>
        </w:rPr>
        <w:t xml:space="preserve"> C</w:t>
      </w:r>
      <w:r w:rsidRPr="00A64FF0">
        <w:rPr>
          <w:rStyle w:val="Emphasis"/>
          <w:rFonts w:ascii="Book Antiqua" w:hAnsi="Book Antiqua" w:cs="Book Antiqua"/>
          <w:bCs/>
          <w:i w:val="0"/>
          <w:iCs w:val="0"/>
          <w:sz w:val="24"/>
          <w:szCs w:val="24"/>
          <w:lang w:val="en-US"/>
        </w:rPr>
        <w:t>, Lora</w:t>
      </w:r>
      <w:r w:rsidRPr="00A64FF0">
        <w:rPr>
          <w:rStyle w:val="Emphasis"/>
          <w:rFonts w:ascii="Book Antiqua" w:hAnsi="Book Antiqua" w:cs="Book Antiqua"/>
          <w:bCs/>
          <w:i w:val="0"/>
          <w:iCs w:val="0"/>
          <w:sz w:val="24"/>
          <w:szCs w:val="24"/>
          <w:lang w:val="en-US" w:eastAsia="zh-CN"/>
        </w:rPr>
        <w:t xml:space="preserve"> V</w:t>
      </w:r>
      <w:r w:rsidRPr="00A64FF0">
        <w:rPr>
          <w:rStyle w:val="Emphasis"/>
          <w:rFonts w:ascii="Book Antiqua" w:hAnsi="Book Antiqua" w:cs="Book Antiqua"/>
          <w:bCs/>
          <w:i w:val="0"/>
          <w:iCs w:val="0"/>
          <w:sz w:val="24"/>
          <w:szCs w:val="24"/>
          <w:lang w:val="en-US"/>
        </w:rPr>
        <w:t>, Graceffa</w:t>
      </w:r>
      <w:r w:rsidRPr="00A64FF0">
        <w:rPr>
          <w:rStyle w:val="Emphasis"/>
          <w:rFonts w:ascii="Book Antiqua" w:hAnsi="Book Antiqua" w:cs="Book Antiqua"/>
          <w:bCs/>
          <w:i w:val="0"/>
          <w:iCs w:val="0"/>
          <w:sz w:val="24"/>
          <w:szCs w:val="24"/>
          <w:lang w:val="en-US" w:eastAsia="zh-CN"/>
        </w:rPr>
        <w:t xml:space="preserve"> D</w:t>
      </w:r>
      <w:r w:rsidRPr="00A64FF0">
        <w:rPr>
          <w:rStyle w:val="Emphasis"/>
          <w:rFonts w:ascii="Book Antiqua" w:hAnsi="Book Antiqua" w:cs="Book Antiqua"/>
          <w:bCs/>
          <w:i w:val="0"/>
          <w:iCs w:val="0"/>
          <w:sz w:val="24"/>
          <w:szCs w:val="24"/>
          <w:lang w:val="en-US"/>
        </w:rPr>
        <w:t>,</w:t>
      </w:r>
      <w:r w:rsidRPr="00A64FF0">
        <w:rPr>
          <w:rStyle w:val="Emphasis"/>
          <w:rFonts w:ascii="Book Antiqua" w:hAnsi="Book Antiqua" w:cs="Book Antiqua"/>
          <w:bCs/>
          <w:i w:val="0"/>
          <w:iCs w:val="0"/>
          <w:sz w:val="24"/>
          <w:szCs w:val="24"/>
          <w:lang w:val="en-US" w:eastAsia="zh-CN"/>
        </w:rPr>
        <w:t xml:space="preserve"> </w:t>
      </w:r>
      <w:r w:rsidRPr="00A64FF0">
        <w:rPr>
          <w:rFonts w:ascii="Book Antiqua" w:hAnsi="Book Antiqua" w:cs="Book Antiqua"/>
          <w:bCs/>
          <w:sz w:val="24"/>
          <w:szCs w:val="24"/>
          <w:lang w:val="en-US"/>
        </w:rPr>
        <w:t>Nosotti</w:t>
      </w:r>
      <w:r w:rsidRPr="00A64FF0">
        <w:rPr>
          <w:rFonts w:ascii="Book Antiqua" w:hAnsi="Book Antiqua" w:cs="Book Antiqua"/>
          <w:bCs/>
          <w:sz w:val="24"/>
          <w:szCs w:val="24"/>
          <w:lang w:val="en-US" w:eastAsia="zh-CN"/>
        </w:rPr>
        <w:t xml:space="preserve"> L. </w:t>
      </w:r>
      <w:r w:rsidRPr="00A64FF0">
        <w:rPr>
          <w:rStyle w:val="Emphasis"/>
          <w:rFonts w:ascii="Book Antiqua" w:hAnsi="Book Antiqua" w:cs="Book Antiqua"/>
          <w:bCs/>
          <w:i w:val="0"/>
          <w:iCs w:val="0"/>
          <w:sz w:val="24"/>
          <w:szCs w:val="24"/>
          <w:lang w:val="en-US"/>
        </w:rPr>
        <w:t>Management of psoriasis patients with hepatitis B or hepatitis C virus infection</w:t>
      </w:r>
      <w:r w:rsidRPr="00A64FF0">
        <w:rPr>
          <w:rStyle w:val="Emphasis"/>
          <w:rFonts w:ascii="Book Antiqua" w:hAnsi="Book Antiqua" w:cs="Book Antiqua"/>
          <w:bCs/>
          <w:i w:val="0"/>
          <w:iCs w:val="0"/>
          <w:sz w:val="24"/>
          <w:szCs w:val="24"/>
          <w:lang w:val="en-US" w:eastAsia="zh-CN"/>
        </w:rPr>
        <w:t xml:space="preserve">. </w:t>
      </w:r>
      <w:r w:rsidRPr="00A64FF0">
        <w:rPr>
          <w:rFonts w:ascii="Book Antiqua" w:hAnsi="Book Antiqua" w:cs="Book Antiqua"/>
          <w:bCs/>
          <w:i/>
          <w:sz w:val="24"/>
          <w:szCs w:val="24"/>
          <w:lang w:val="en-US" w:eastAsia="zh-CN"/>
        </w:rPr>
        <w:t>World J Gastroenterol</w:t>
      </w:r>
      <w:r w:rsidRPr="00A64FF0">
        <w:rPr>
          <w:rFonts w:ascii="Book Antiqua" w:hAnsi="Book Antiqua" w:cs="Book Antiqua"/>
          <w:bCs/>
          <w:sz w:val="24"/>
          <w:szCs w:val="24"/>
          <w:lang w:val="en-US" w:eastAsia="zh-CN"/>
        </w:rPr>
        <w:t xml:space="preserve"> 2016; In press</w:t>
      </w:r>
    </w:p>
    <w:p w:rsidR="00CC5C47" w:rsidRPr="00A64FF0" w:rsidRDefault="007F51F5" w:rsidP="00467AE1">
      <w:pPr>
        <w:autoSpaceDE w:val="0"/>
        <w:autoSpaceDN w:val="0"/>
        <w:adjustRightInd w:val="0"/>
        <w:snapToGrid w:val="0"/>
        <w:spacing w:after="0" w:line="360" w:lineRule="auto"/>
        <w:jc w:val="both"/>
        <w:rPr>
          <w:rStyle w:val="Emphasis"/>
          <w:rFonts w:ascii="Book Antiqua" w:hAnsi="Book Antiqua" w:cs="Book Antiqua"/>
          <w:bCs/>
          <w:i w:val="0"/>
          <w:iCs w:val="0"/>
          <w:caps/>
          <w:sz w:val="24"/>
          <w:szCs w:val="24"/>
          <w:lang w:val="en-US" w:eastAsia="zh-CN"/>
        </w:rPr>
      </w:pPr>
      <w:r w:rsidRPr="00A64FF0">
        <w:rPr>
          <w:rStyle w:val="Emphasis"/>
          <w:rFonts w:ascii="Book Antiqua" w:hAnsi="Book Antiqua" w:cs="Book Antiqua"/>
          <w:bCs/>
          <w:i w:val="0"/>
          <w:iCs w:val="0"/>
          <w:sz w:val="24"/>
          <w:szCs w:val="24"/>
          <w:lang w:val="en-US" w:eastAsia="zh-CN"/>
        </w:rPr>
        <w:br w:type="page"/>
      </w:r>
      <w:r w:rsidR="00CC5C47" w:rsidRPr="00A64FF0">
        <w:rPr>
          <w:rStyle w:val="Emphasis"/>
          <w:rFonts w:ascii="Book Antiqua" w:hAnsi="Book Antiqua" w:cs="Book Antiqua"/>
          <w:b/>
          <w:bCs/>
          <w:i w:val="0"/>
          <w:iCs w:val="0"/>
          <w:caps/>
          <w:sz w:val="24"/>
          <w:szCs w:val="24"/>
          <w:lang w:val="en-US"/>
        </w:rPr>
        <w:lastRenderedPageBreak/>
        <w:t>Introduction</w:t>
      </w:r>
    </w:p>
    <w:p w:rsidR="00CC5C47"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 xml:space="preserve">Psoriasis (PsO) is a frequent inflammatory </w:t>
      </w:r>
      <w:r w:rsidR="00863003" w:rsidRPr="00A64FF0">
        <w:rPr>
          <w:rStyle w:val="Emphasis"/>
          <w:rFonts w:ascii="Book Antiqua" w:hAnsi="Book Antiqua" w:cs="Book Antiqua"/>
          <w:i w:val="0"/>
          <w:iCs w:val="0"/>
          <w:sz w:val="24"/>
          <w:szCs w:val="24"/>
          <w:lang w:val="en-US"/>
        </w:rPr>
        <w:t>immuno</w:t>
      </w:r>
      <w:r w:rsidRPr="00A64FF0">
        <w:rPr>
          <w:rStyle w:val="Emphasis"/>
          <w:rFonts w:ascii="Book Antiqua" w:hAnsi="Book Antiqua" w:cs="Book Antiqua"/>
          <w:i w:val="0"/>
          <w:iCs w:val="0"/>
          <w:sz w:val="24"/>
          <w:szCs w:val="24"/>
          <w:lang w:val="en-US"/>
        </w:rPr>
        <w:t>mediated</w:t>
      </w:r>
      <w:r w:rsidR="0048045D"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disease</w:t>
      </w:r>
      <w:r w:rsidR="0048045D"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affecting approximately 2% of the population</w:t>
      </w:r>
      <w:r w:rsidRPr="00A64FF0">
        <w:rPr>
          <w:rStyle w:val="Emphasis"/>
          <w:rFonts w:ascii="Book Antiqua" w:hAnsi="Book Antiqua" w:cs="Book Antiqua"/>
          <w:i w:val="0"/>
          <w:iCs w:val="0"/>
          <w:sz w:val="24"/>
          <w:szCs w:val="24"/>
          <w:vertAlign w:val="superscript"/>
          <w:lang w:val="en-US"/>
        </w:rPr>
        <w:t>[1]</w:t>
      </w:r>
      <w:r w:rsidRPr="00A64FF0">
        <w:rPr>
          <w:rStyle w:val="Emphasis"/>
          <w:rFonts w:ascii="Book Antiqua" w:hAnsi="Book Antiqua" w:cs="Book Antiqua"/>
          <w:i w:val="0"/>
          <w:iCs w:val="0"/>
          <w:sz w:val="24"/>
          <w:szCs w:val="24"/>
          <w:lang w:val="en-US"/>
        </w:rPr>
        <w:t xml:space="preserve">. </w:t>
      </w:r>
      <w:r w:rsidR="00B01600" w:rsidRPr="00A64FF0">
        <w:rPr>
          <w:rStyle w:val="Emphasis"/>
          <w:rFonts w:ascii="Book Antiqua" w:hAnsi="Book Antiqua" w:cs="Book Antiqua"/>
          <w:i w:val="0"/>
          <w:iCs w:val="0"/>
          <w:sz w:val="24"/>
          <w:szCs w:val="24"/>
          <w:lang w:val="en-US"/>
        </w:rPr>
        <w:t xml:space="preserve">Various </w:t>
      </w:r>
      <w:r w:rsidRPr="00A64FF0">
        <w:rPr>
          <w:rStyle w:val="Emphasis"/>
          <w:rFonts w:ascii="Book Antiqua" w:hAnsi="Book Antiqua" w:cs="Book Antiqua"/>
          <w:i w:val="0"/>
          <w:iCs w:val="0"/>
          <w:sz w:val="24"/>
          <w:szCs w:val="24"/>
          <w:lang w:val="en-US"/>
        </w:rPr>
        <w:t>cli</w:t>
      </w:r>
      <w:r w:rsidR="00B01600" w:rsidRPr="00A64FF0">
        <w:rPr>
          <w:rStyle w:val="Emphasis"/>
          <w:rFonts w:ascii="Book Antiqua" w:hAnsi="Book Antiqua" w:cs="Book Antiqua"/>
          <w:i w:val="0"/>
          <w:iCs w:val="0"/>
          <w:sz w:val="24"/>
          <w:szCs w:val="24"/>
          <w:lang w:val="en-US"/>
        </w:rPr>
        <w:t>nical types of psoriasis exist. The</w:t>
      </w:r>
      <w:r w:rsidR="0048045D" w:rsidRPr="00A64FF0">
        <w:rPr>
          <w:rStyle w:val="Emphasis"/>
          <w:rFonts w:ascii="Book Antiqua" w:hAnsi="Book Antiqua" w:cs="Book Antiqua"/>
          <w:i w:val="0"/>
          <w:iCs w:val="0"/>
          <w:sz w:val="24"/>
          <w:szCs w:val="24"/>
          <w:lang w:val="en-US"/>
        </w:rPr>
        <w:t xml:space="preserve"> </w:t>
      </w:r>
      <w:r w:rsidR="00B01600" w:rsidRPr="00A64FF0">
        <w:rPr>
          <w:rStyle w:val="Emphasis"/>
          <w:rFonts w:ascii="Book Antiqua" w:hAnsi="Book Antiqua" w:cs="Book Antiqua"/>
          <w:i w:val="0"/>
          <w:iCs w:val="0"/>
          <w:sz w:val="24"/>
          <w:szCs w:val="24"/>
          <w:lang w:val="en-US"/>
        </w:rPr>
        <w:t>plaque-type, also known</w:t>
      </w:r>
      <w:r w:rsidR="003963A8"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as psoriasis vulgaris (PV),</w:t>
      </w:r>
      <w:r w:rsidR="00B01600" w:rsidRPr="00A64FF0">
        <w:rPr>
          <w:rStyle w:val="Emphasis"/>
          <w:rFonts w:ascii="Book Antiqua" w:hAnsi="Book Antiqua" w:cs="Book Antiqua"/>
          <w:i w:val="0"/>
          <w:iCs w:val="0"/>
          <w:sz w:val="24"/>
          <w:szCs w:val="24"/>
          <w:lang w:val="en-US"/>
        </w:rPr>
        <w:t xml:space="preserve"> is</w:t>
      </w:r>
      <w:r w:rsidR="0048045D"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the most common form (80</w:t>
      </w:r>
      <w:r w:rsidR="001944E8" w:rsidRPr="00A64FF0">
        <w:rPr>
          <w:rStyle w:val="Emphasis"/>
          <w:rFonts w:ascii="Book Antiqua" w:hAnsi="Book Antiqua" w:cs="Book Antiqua"/>
          <w:i w:val="0"/>
          <w:iCs w:val="0"/>
          <w:sz w:val="24"/>
          <w:szCs w:val="24"/>
          <w:lang w:val="en-US" w:eastAsia="zh-CN"/>
        </w:rPr>
        <w:t>%</w:t>
      </w:r>
      <w:r w:rsidRPr="00A64FF0">
        <w:rPr>
          <w:rStyle w:val="Emphasis"/>
          <w:rFonts w:ascii="Book Antiqua" w:hAnsi="Book Antiqua" w:cs="Book Antiqua"/>
          <w:i w:val="0"/>
          <w:iCs w:val="0"/>
          <w:sz w:val="24"/>
          <w:szCs w:val="24"/>
          <w:lang w:val="en-US"/>
        </w:rPr>
        <w:t>-90% of the cases)</w:t>
      </w:r>
      <w:r w:rsidRPr="00A64FF0">
        <w:rPr>
          <w:rStyle w:val="Emphasis"/>
          <w:rFonts w:ascii="Book Antiqua" w:hAnsi="Book Antiqua" w:cs="Book Antiqua"/>
          <w:i w:val="0"/>
          <w:iCs w:val="0"/>
          <w:sz w:val="24"/>
          <w:szCs w:val="24"/>
          <w:vertAlign w:val="superscript"/>
          <w:lang w:val="en-US"/>
        </w:rPr>
        <w:t>[2]</w:t>
      </w:r>
      <w:r w:rsidRPr="00A64FF0">
        <w:rPr>
          <w:rStyle w:val="Emphasis"/>
          <w:rFonts w:ascii="Book Antiqua" w:hAnsi="Book Antiqua" w:cs="Book Antiqua"/>
          <w:i w:val="0"/>
          <w:iCs w:val="0"/>
          <w:sz w:val="24"/>
          <w:szCs w:val="24"/>
          <w:lang w:val="en-US"/>
        </w:rPr>
        <w:t>.</w:t>
      </w:r>
      <w:r w:rsidR="00AD09C0"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Typical lesions of PV are represented by monomorphic, sharply demarcated erythematous plaques covered by silvery lamellar scales. From 70</w:t>
      </w:r>
      <w:r w:rsidR="00B01600"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to 80% of patients are affected by limited forms of PsO and need to</w:t>
      </w:r>
      <w:r w:rsidR="00BC2D18"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 xml:space="preserve">be treated </w:t>
      </w:r>
      <w:r w:rsidR="00B01600" w:rsidRPr="00A64FF0">
        <w:rPr>
          <w:rStyle w:val="Emphasis"/>
          <w:rFonts w:ascii="Book Antiqua" w:hAnsi="Book Antiqua" w:cs="Book Antiqua"/>
          <w:i w:val="0"/>
          <w:iCs w:val="0"/>
          <w:sz w:val="24"/>
          <w:szCs w:val="24"/>
          <w:lang w:val="en-US"/>
        </w:rPr>
        <w:t xml:space="preserve">only </w:t>
      </w:r>
      <w:r w:rsidR="004462FD" w:rsidRPr="00A64FF0">
        <w:rPr>
          <w:rStyle w:val="Emphasis"/>
          <w:rFonts w:ascii="Book Antiqua" w:hAnsi="Book Antiqua" w:cs="Book Antiqua"/>
          <w:i w:val="0"/>
          <w:iCs w:val="0"/>
          <w:sz w:val="24"/>
          <w:szCs w:val="24"/>
          <w:lang w:val="en-US"/>
        </w:rPr>
        <w:t>with topical and</w:t>
      </w:r>
      <w:r w:rsidR="00BC2D18"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or photo-therapy</w:t>
      </w:r>
      <w:r w:rsidR="001944E8" w:rsidRPr="00A64FF0">
        <w:rPr>
          <w:rStyle w:val="Emphasis"/>
          <w:rFonts w:ascii="Book Antiqua" w:hAnsi="Book Antiqua" w:cs="Book Antiqua"/>
          <w:i w:val="0"/>
          <w:iCs w:val="0"/>
          <w:sz w:val="24"/>
          <w:szCs w:val="24"/>
          <w:vertAlign w:val="superscript"/>
          <w:lang w:val="en-US"/>
        </w:rPr>
        <w:t>[</w:t>
      </w:r>
      <w:r w:rsidRPr="00A64FF0">
        <w:rPr>
          <w:rStyle w:val="Emphasis"/>
          <w:rFonts w:ascii="Book Antiqua" w:hAnsi="Book Antiqua" w:cs="Book Antiqua"/>
          <w:i w:val="0"/>
          <w:iCs w:val="0"/>
          <w:sz w:val="24"/>
          <w:szCs w:val="24"/>
          <w:vertAlign w:val="superscript"/>
          <w:lang w:val="en-US"/>
        </w:rPr>
        <w:t>2]</w:t>
      </w:r>
      <w:r w:rsidRPr="00A64FF0">
        <w:rPr>
          <w:rStyle w:val="Emphasis"/>
          <w:rFonts w:ascii="Book Antiqua" w:hAnsi="Book Antiqua" w:cs="Book Antiqua"/>
          <w:i w:val="0"/>
          <w:iCs w:val="0"/>
          <w:sz w:val="24"/>
          <w:szCs w:val="24"/>
          <w:lang w:val="en-US"/>
        </w:rPr>
        <w:t>.</w:t>
      </w:r>
      <w:r w:rsidR="00BC2D18"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Patients with more extensive PsO (&gt; 10% of the body surface area) or psoriatic arthritis (PsA)</w:t>
      </w:r>
      <w:r w:rsidR="00B01600" w:rsidRPr="00A64FF0">
        <w:rPr>
          <w:rStyle w:val="Emphasis"/>
          <w:rFonts w:ascii="Book Antiqua" w:hAnsi="Book Antiqua" w:cs="Book Antiqua"/>
          <w:i w:val="0"/>
          <w:iCs w:val="0"/>
          <w:sz w:val="24"/>
          <w:szCs w:val="24"/>
          <w:lang w:val="en-US"/>
        </w:rPr>
        <w:t xml:space="preserve"> are in</w:t>
      </w:r>
      <w:r w:rsidR="004462FD" w:rsidRPr="00A64FF0">
        <w:rPr>
          <w:rStyle w:val="Emphasis"/>
          <w:rFonts w:ascii="Book Antiqua" w:hAnsi="Book Antiqua" w:cs="Book Antiqua"/>
          <w:i w:val="0"/>
          <w:iCs w:val="0"/>
          <w:sz w:val="24"/>
          <w:szCs w:val="24"/>
          <w:lang w:val="en-US"/>
        </w:rPr>
        <w:t xml:space="preserve"> greater</w:t>
      </w:r>
      <w:r w:rsidR="00C47325"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need of</w:t>
      </w:r>
      <w:r w:rsidR="004462FD" w:rsidRPr="00A64FF0">
        <w:rPr>
          <w:rStyle w:val="Emphasis"/>
          <w:rFonts w:ascii="Book Antiqua" w:hAnsi="Book Antiqua" w:cs="Book Antiqua"/>
          <w:i w:val="0"/>
          <w:iCs w:val="0"/>
          <w:sz w:val="24"/>
          <w:szCs w:val="24"/>
          <w:lang w:val="en-US"/>
        </w:rPr>
        <w:t xml:space="preserve"> treatment. For these patients </w:t>
      </w:r>
      <w:r w:rsidRPr="00A64FF0">
        <w:rPr>
          <w:rStyle w:val="Emphasis"/>
          <w:rFonts w:ascii="Book Antiqua" w:hAnsi="Book Antiqua" w:cs="Book Antiqua"/>
          <w:i w:val="0"/>
          <w:iCs w:val="0"/>
          <w:sz w:val="24"/>
          <w:szCs w:val="24"/>
          <w:lang w:val="en-US"/>
        </w:rPr>
        <w:t>prolonged systemic therapies are often necessary</w:t>
      </w:r>
      <w:r w:rsidR="001944E8" w:rsidRPr="00A64FF0">
        <w:rPr>
          <w:rStyle w:val="Emphasis"/>
          <w:rFonts w:ascii="Book Antiqua" w:hAnsi="Book Antiqua" w:cs="Book Antiqua"/>
          <w:i w:val="0"/>
          <w:iCs w:val="0"/>
          <w:sz w:val="24"/>
          <w:szCs w:val="24"/>
          <w:vertAlign w:val="superscript"/>
          <w:lang w:val="en-US"/>
        </w:rPr>
        <w:t>[</w:t>
      </w:r>
      <w:r w:rsidRPr="00A64FF0">
        <w:rPr>
          <w:rStyle w:val="Emphasis"/>
          <w:rFonts w:ascii="Book Antiqua" w:hAnsi="Book Antiqua" w:cs="Book Antiqua"/>
          <w:i w:val="0"/>
          <w:iCs w:val="0"/>
          <w:sz w:val="24"/>
          <w:szCs w:val="24"/>
          <w:vertAlign w:val="superscript"/>
          <w:lang w:val="en-US"/>
        </w:rPr>
        <w:t>2-4]</w:t>
      </w:r>
      <w:r w:rsidRPr="00A64FF0">
        <w:rPr>
          <w:rStyle w:val="Emphasis"/>
          <w:rFonts w:ascii="Book Antiqua" w:hAnsi="Book Antiqua" w:cs="Book Antiqua"/>
          <w:i w:val="0"/>
          <w:iCs w:val="0"/>
          <w:sz w:val="24"/>
          <w:szCs w:val="24"/>
          <w:lang w:val="en-US"/>
        </w:rPr>
        <w:t>.</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The therapeutic armamentarium available for the cure of PsO encompasses the conventional disease</w:t>
      </w:r>
      <w:r w:rsidR="00B01600"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modifying drugs (cDMARDs) and biologic</w:t>
      </w:r>
      <w:r w:rsidR="00AA6E24" w:rsidRPr="00A64FF0">
        <w:rPr>
          <w:rStyle w:val="Emphasis"/>
          <w:rFonts w:ascii="Book Antiqua" w:hAnsi="Book Antiqua" w:cs="Book Antiqua"/>
          <w:i w:val="0"/>
          <w:iCs w:val="0"/>
          <w:sz w:val="24"/>
          <w:szCs w:val="24"/>
          <w:lang w:val="en-US"/>
        </w:rPr>
        <w:t>al</w:t>
      </w:r>
      <w:r w:rsidR="00391C1D"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DMARDs (bDMARDs)</w:t>
      </w:r>
      <w:r w:rsidR="00391C1D"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(Table 1).</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 xml:space="preserve">cDMARDS represent the first line of therapies in high-need psoriatic patients, while bDMARDs are </w:t>
      </w:r>
      <w:r w:rsidR="00B01600" w:rsidRPr="00A64FF0">
        <w:rPr>
          <w:rStyle w:val="Emphasis"/>
          <w:rFonts w:ascii="Book Antiqua" w:hAnsi="Book Antiqua" w:cs="Book Antiqua"/>
          <w:i w:val="0"/>
          <w:iCs w:val="0"/>
          <w:sz w:val="24"/>
          <w:szCs w:val="24"/>
          <w:lang w:val="en-US"/>
        </w:rPr>
        <w:t>for</w:t>
      </w:r>
      <w:r w:rsidRPr="00A64FF0">
        <w:rPr>
          <w:rStyle w:val="Emphasis"/>
          <w:rFonts w:ascii="Book Antiqua" w:hAnsi="Book Antiqua" w:cs="Book Antiqua"/>
          <w:i w:val="0"/>
          <w:iCs w:val="0"/>
          <w:sz w:val="24"/>
          <w:szCs w:val="24"/>
          <w:lang w:val="en-US"/>
        </w:rPr>
        <w:t xml:space="preserve"> those subjects in whom cDMARDs have either failed, were not</w:t>
      </w:r>
      <w:r w:rsidR="00391C1D"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tolerated, or were contraindicated</w:t>
      </w:r>
      <w:r w:rsidR="001944E8" w:rsidRPr="00A64FF0">
        <w:rPr>
          <w:rStyle w:val="Emphasis"/>
          <w:rFonts w:ascii="Book Antiqua" w:hAnsi="Book Antiqua" w:cs="Book Antiqua"/>
          <w:i w:val="0"/>
          <w:iCs w:val="0"/>
          <w:sz w:val="24"/>
          <w:szCs w:val="24"/>
          <w:vertAlign w:val="superscript"/>
          <w:lang w:val="en-US"/>
        </w:rPr>
        <w:t>[</w:t>
      </w:r>
      <w:r w:rsidRPr="00A64FF0">
        <w:rPr>
          <w:rStyle w:val="Emphasis"/>
          <w:rFonts w:ascii="Book Antiqua" w:hAnsi="Book Antiqua" w:cs="Book Antiqua"/>
          <w:i w:val="0"/>
          <w:iCs w:val="0"/>
          <w:sz w:val="24"/>
          <w:szCs w:val="24"/>
          <w:vertAlign w:val="superscript"/>
          <w:lang w:val="en-US"/>
        </w:rPr>
        <w:t>5-8]</w:t>
      </w:r>
      <w:r w:rsidRPr="00A64FF0">
        <w:rPr>
          <w:rStyle w:val="Emphasis"/>
          <w:rFonts w:ascii="Book Antiqua" w:hAnsi="Book Antiqua" w:cs="Book Antiqua"/>
          <w:i w:val="0"/>
          <w:iCs w:val="0"/>
          <w:sz w:val="24"/>
          <w:szCs w:val="24"/>
          <w:lang w:val="en-US"/>
        </w:rPr>
        <w:t>.</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 xml:space="preserve">The choice of a systemic treatment depends </w:t>
      </w:r>
      <w:r w:rsidR="00B01600" w:rsidRPr="00A64FF0">
        <w:rPr>
          <w:rStyle w:val="Emphasis"/>
          <w:rFonts w:ascii="Book Antiqua" w:hAnsi="Book Antiqua" w:cs="Book Antiqua"/>
          <w:i w:val="0"/>
          <w:iCs w:val="0"/>
          <w:sz w:val="24"/>
          <w:szCs w:val="24"/>
          <w:lang w:val="en-US"/>
        </w:rPr>
        <w:t>upon</w:t>
      </w:r>
      <w:r w:rsidRPr="00A64FF0">
        <w:rPr>
          <w:rStyle w:val="Emphasis"/>
          <w:rFonts w:ascii="Book Antiqua" w:hAnsi="Book Antiqua" w:cs="Book Antiqua"/>
          <w:i w:val="0"/>
          <w:iCs w:val="0"/>
          <w:sz w:val="24"/>
          <w:szCs w:val="24"/>
          <w:lang w:val="en-US"/>
        </w:rPr>
        <w:t xml:space="preserve"> several variables linked to both the characteristics of a given patient and those of the drug</w:t>
      </w:r>
      <w:r w:rsidR="00C65DBF" w:rsidRPr="00A64FF0">
        <w:rPr>
          <w:rStyle w:val="Emphasis"/>
          <w:rFonts w:ascii="Book Antiqua" w:hAnsi="Book Antiqua" w:cs="Book Antiqua"/>
          <w:i w:val="0"/>
          <w:iCs w:val="0"/>
          <w:sz w:val="24"/>
          <w:szCs w:val="24"/>
          <w:lang w:val="en-US"/>
        </w:rPr>
        <w:t xml:space="preserve"> </w:t>
      </w:r>
      <w:r w:rsidR="00B01600" w:rsidRPr="00A64FF0">
        <w:rPr>
          <w:rStyle w:val="Emphasis"/>
          <w:rFonts w:ascii="Book Antiqua" w:hAnsi="Book Antiqua" w:cs="Book Antiqua"/>
          <w:i w:val="0"/>
          <w:iCs w:val="0"/>
          <w:sz w:val="24"/>
          <w:szCs w:val="24"/>
          <w:lang w:val="en-US"/>
        </w:rPr>
        <w:t>administered</w:t>
      </w:r>
      <w:r w:rsidRPr="00A64FF0">
        <w:rPr>
          <w:rStyle w:val="Emphasis"/>
          <w:rFonts w:ascii="Book Antiqua" w:hAnsi="Book Antiqua" w:cs="Book Antiqua"/>
          <w:i w:val="0"/>
          <w:iCs w:val="0"/>
          <w:sz w:val="24"/>
          <w:szCs w:val="24"/>
          <w:lang w:val="en-US"/>
        </w:rPr>
        <w:t>.</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Regarding the systemic treatments</w:t>
      </w:r>
      <w:r w:rsidR="00474EEA"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currently available for PsO, with the exception of acitretin,</w:t>
      </w:r>
      <w:r w:rsidR="001968C3" w:rsidRPr="00A64FF0">
        <w:rPr>
          <w:rStyle w:val="Emphasis"/>
          <w:rFonts w:ascii="Book Antiqua" w:hAnsi="Book Antiqua" w:cs="Book Antiqua"/>
          <w:i w:val="0"/>
          <w:iCs w:val="0"/>
          <w:sz w:val="24"/>
          <w:szCs w:val="24"/>
          <w:lang w:val="en-US"/>
        </w:rPr>
        <w:t xml:space="preserve"> all the other drugs listed in T</w:t>
      </w:r>
      <w:r w:rsidRPr="00A64FF0">
        <w:rPr>
          <w:rStyle w:val="Emphasis"/>
          <w:rFonts w:ascii="Book Antiqua" w:hAnsi="Book Antiqua" w:cs="Book Antiqua"/>
          <w:i w:val="0"/>
          <w:iCs w:val="0"/>
          <w:sz w:val="24"/>
          <w:szCs w:val="24"/>
          <w:lang w:val="en-US"/>
        </w:rPr>
        <w:t>able 1 are immunosuppressive</w:t>
      </w:r>
      <w:r w:rsidR="001944E8" w:rsidRPr="00A64FF0">
        <w:rPr>
          <w:rStyle w:val="Emphasis"/>
          <w:rFonts w:ascii="Book Antiqua" w:hAnsi="Book Antiqua" w:cs="Book Antiqua"/>
          <w:i w:val="0"/>
          <w:iCs w:val="0"/>
          <w:sz w:val="24"/>
          <w:szCs w:val="24"/>
          <w:vertAlign w:val="superscript"/>
          <w:lang w:val="en-US"/>
        </w:rPr>
        <w:t>[</w:t>
      </w:r>
      <w:r w:rsidRPr="00A64FF0">
        <w:rPr>
          <w:rStyle w:val="Emphasis"/>
          <w:rFonts w:ascii="Book Antiqua" w:hAnsi="Book Antiqua" w:cs="Book Antiqua"/>
          <w:i w:val="0"/>
          <w:iCs w:val="0"/>
          <w:sz w:val="24"/>
          <w:szCs w:val="24"/>
          <w:vertAlign w:val="superscript"/>
          <w:lang w:val="en-US"/>
        </w:rPr>
        <w:t>9-11]</w:t>
      </w:r>
      <w:r w:rsidRPr="00A64FF0">
        <w:rPr>
          <w:rStyle w:val="Emphasis"/>
          <w:rFonts w:ascii="Book Antiqua" w:hAnsi="Book Antiqua" w:cs="Book Antiqua"/>
          <w:i w:val="0"/>
          <w:iCs w:val="0"/>
          <w:sz w:val="24"/>
          <w:szCs w:val="24"/>
          <w:lang w:val="en-US"/>
        </w:rPr>
        <w:t>. Therefore</w:t>
      </w:r>
      <w:r w:rsidR="00A77687" w:rsidRPr="00A64FF0">
        <w:rPr>
          <w:rStyle w:val="Emphasis"/>
          <w:rFonts w:ascii="Book Antiqua" w:hAnsi="Book Antiqua" w:cs="Book Antiqua"/>
          <w:i w:val="0"/>
          <w:iCs w:val="0"/>
          <w:sz w:val="24"/>
          <w:szCs w:val="24"/>
          <w:lang w:val="en-US"/>
        </w:rPr>
        <w:t xml:space="preserve">, the guidelines </w:t>
      </w:r>
      <w:r w:rsidRPr="00A64FF0">
        <w:rPr>
          <w:rStyle w:val="Emphasis"/>
          <w:rFonts w:ascii="Book Antiqua" w:hAnsi="Book Antiqua" w:cs="Book Antiqua"/>
          <w:i w:val="0"/>
          <w:iCs w:val="0"/>
          <w:sz w:val="24"/>
          <w:szCs w:val="24"/>
          <w:lang w:val="en-US"/>
        </w:rPr>
        <w:t>present</w:t>
      </w:r>
      <w:r w:rsidR="00A77687" w:rsidRPr="00A64FF0">
        <w:rPr>
          <w:rStyle w:val="Emphasis"/>
          <w:rFonts w:ascii="Book Antiqua" w:hAnsi="Book Antiqua" w:cs="Book Antiqua"/>
          <w:i w:val="0"/>
          <w:iCs w:val="0"/>
          <w:sz w:val="24"/>
          <w:szCs w:val="24"/>
          <w:lang w:val="en-US"/>
        </w:rPr>
        <w:t>ly</w:t>
      </w:r>
      <w:r w:rsidRPr="00A64FF0">
        <w:rPr>
          <w:rStyle w:val="Emphasis"/>
          <w:rFonts w:ascii="Book Antiqua" w:hAnsi="Book Antiqua" w:cs="Book Antiqua"/>
          <w:i w:val="0"/>
          <w:iCs w:val="0"/>
          <w:sz w:val="24"/>
          <w:szCs w:val="24"/>
          <w:lang w:val="en-US"/>
        </w:rPr>
        <w:t xml:space="preserve"> available, although with some diffe</w:t>
      </w:r>
      <w:r w:rsidR="00A77687" w:rsidRPr="00A64FF0">
        <w:rPr>
          <w:rStyle w:val="Emphasis"/>
          <w:rFonts w:ascii="Book Antiqua" w:hAnsi="Book Antiqua" w:cs="Book Antiqua"/>
          <w:i w:val="0"/>
          <w:iCs w:val="0"/>
          <w:sz w:val="24"/>
          <w:szCs w:val="24"/>
          <w:lang w:val="en-US"/>
        </w:rPr>
        <w:t xml:space="preserve">rences among them, recommend </w:t>
      </w:r>
      <w:r w:rsidRPr="00A64FF0">
        <w:rPr>
          <w:rStyle w:val="Emphasis"/>
          <w:rFonts w:ascii="Book Antiqua" w:hAnsi="Book Antiqua" w:cs="Book Antiqua"/>
          <w:i w:val="0"/>
          <w:iCs w:val="0"/>
          <w:sz w:val="24"/>
          <w:szCs w:val="24"/>
          <w:lang w:val="en-US"/>
        </w:rPr>
        <w:t>screen</w:t>
      </w:r>
      <w:r w:rsidR="00A77687" w:rsidRPr="00A64FF0">
        <w:rPr>
          <w:rStyle w:val="Emphasis"/>
          <w:rFonts w:ascii="Book Antiqua" w:hAnsi="Book Antiqua" w:cs="Book Antiqua"/>
          <w:i w:val="0"/>
          <w:iCs w:val="0"/>
          <w:sz w:val="24"/>
          <w:szCs w:val="24"/>
          <w:lang w:val="en-US"/>
        </w:rPr>
        <w:t>ing</w:t>
      </w:r>
      <w:r w:rsidR="00152242"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PsO patients for some common</w:t>
      </w:r>
      <w:r w:rsidR="00152242"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infectious diseases (human immunodeficiency virus, latent tuberculosis, hepatitis B and hepatitis C virus) before starting an immunosuppressive treatment</w:t>
      </w:r>
      <w:r w:rsidR="001944E8" w:rsidRPr="00A64FF0">
        <w:rPr>
          <w:rStyle w:val="Emphasis"/>
          <w:rFonts w:ascii="Book Antiqua" w:hAnsi="Book Antiqua" w:cs="Book Antiqua"/>
          <w:i w:val="0"/>
          <w:iCs w:val="0"/>
          <w:sz w:val="24"/>
          <w:szCs w:val="24"/>
          <w:vertAlign w:val="superscript"/>
          <w:lang w:val="en-US"/>
        </w:rPr>
        <w:t>[</w:t>
      </w:r>
      <w:r w:rsidRPr="00A64FF0">
        <w:rPr>
          <w:rStyle w:val="Emphasis"/>
          <w:rFonts w:ascii="Book Antiqua" w:hAnsi="Book Antiqua" w:cs="Book Antiqua"/>
          <w:i w:val="0"/>
          <w:iCs w:val="0"/>
          <w:sz w:val="24"/>
          <w:szCs w:val="24"/>
          <w:vertAlign w:val="superscript"/>
          <w:lang w:val="en-US"/>
        </w:rPr>
        <w:t>12-18 ]</w:t>
      </w:r>
      <w:r w:rsidRPr="00A64FF0">
        <w:rPr>
          <w:rStyle w:val="Emphasis"/>
          <w:rFonts w:ascii="Book Antiqua" w:hAnsi="Book Antiqua" w:cs="Book Antiqua"/>
          <w:i w:val="0"/>
          <w:iCs w:val="0"/>
          <w:sz w:val="24"/>
          <w:szCs w:val="24"/>
          <w:lang w:val="en-US"/>
        </w:rPr>
        <w:t>.</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In particular</w:t>
      </w:r>
      <w:r w:rsidR="001968C3"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for HBV an</w:t>
      </w:r>
      <w:r w:rsidR="00AA6E24" w:rsidRPr="00A64FF0">
        <w:rPr>
          <w:rStyle w:val="Emphasis"/>
          <w:rFonts w:ascii="Book Antiqua" w:hAnsi="Book Antiqua" w:cs="Book Antiqua"/>
          <w:i w:val="0"/>
          <w:iCs w:val="0"/>
          <w:sz w:val="24"/>
          <w:szCs w:val="24"/>
          <w:lang w:val="en-US"/>
        </w:rPr>
        <w:t>d HCV infection,</w:t>
      </w:r>
      <w:r w:rsidR="00A27B19"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screening</w:t>
      </w:r>
      <w:r w:rsidR="00A27B19"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 xml:space="preserve">for the following serologic markers should be </w:t>
      </w:r>
      <w:r w:rsidR="00A77687" w:rsidRPr="00A64FF0">
        <w:rPr>
          <w:rStyle w:val="Emphasis"/>
          <w:rFonts w:ascii="Book Antiqua" w:hAnsi="Book Antiqua" w:cs="Book Antiqua"/>
          <w:i w:val="0"/>
          <w:iCs w:val="0"/>
          <w:sz w:val="24"/>
          <w:szCs w:val="24"/>
          <w:lang w:val="en-US"/>
        </w:rPr>
        <w:t>evaluated</w:t>
      </w:r>
      <w:r w:rsidRPr="00A64FF0">
        <w:rPr>
          <w:rStyle w:val="Emphasis"/>
          <w:rFonts w:ascii="Book Antiqua" w:hAnsi="Book Antiqua" w:cs="Book Antiqua"/>
          <w:i w:val="0"/>
          <w:iCs w:val="0"/>
          <w:sz w:val="24"/>
          <w:szCs w:val="24"/>
          <w:lang w:val="en-US"/>
        </w:rPr>
        <w:t xml:space="preserve">: </w:t>
      </w:r>
      <w:r w:rsidRPr="00A64FF0">
        <w:rPr>
          <w:rFonts w:ascii="Book Antiqua" w:hAnsi="Book Antiqua" w:cs="Book Antiqua"/>
          <w:sz w:val="24"/>
          <w:szCs w:val="24"/>
          <w:lang w:val="en-US"/>
        </w:rPr>
        <w:t>antibody to hepatitis B core (anti-HBc), antibody to hepatitis B surface antigen (anti-HBsAg), hepatitis B surface antigen (HBsAg) and antibody to hepatitis C virus (anti-HCV)</w:t>
      </w:r>
      <w:r w:rsidR="001944E8" w:rsidRPr="00A64FF0">
        <w:rPr>
          <w:rFonts w:ascii="Book Antiqua" w:hAnsi="Book Antiqua" w:cs="Book Antiqua"/>
          <w:sz w:val="24"/>
          <w:szCs w:val="24"/>
          <w:vertAlign w:val="superscript"/>
          <w:lang w:val="en-US"/>
        </w:rPr>
        <w:t>[12,15,18,</w:t>
      </w:r>
      <w:r w:rsidRPr="00A64FF0">
        <w:rPr>
          <w:rFonts w:ascii="Book Antiqua" w:hAnsi="Book Antiqua" w:cs="Book Antiqua"/>
          <w:sz w:val="24"/>
          <w:szCs w:val="24"/>
          <w:vertAlign w:val="superscript"/>
          <w:lang w:val="en-US"/>
        </w:rPr>
        <w:t>19]</w:t>
      </w:r>
      <w:r w:rsidR="00AA6E24" w:rsidRPr="00A64FF0">
        <w:rPr>
          <w:rFonts w:ascii="Book Antiqua" w:hAnsi="Book Antiqua" w:cs="Book Antiqua"/>
          <w:sz w:val="24"/>
          <w:szCs w:val="24"/>
          <w:lang w:val="en-US"/>
        </w:rPr>
        <w:t>. In</w:t>
      </w:r>
      <w:r w:rsidRPr="00A64FF0">
        <w:rPr>
          <w:rFonts w:ascii="Book Antiqua" w:hAnsi="Book Antiqua" w:cs="Book Antiqua"/>
          <w:sz w:val="24"/>
          <w:szCs w:val="24"/>
          <w:lang w:val="en-US"/>
        </w:rPr>
        <w:t xml:space="preserve"> case of detection of one or more markers of HBV infection the patients must be evaluated for the presence</w:t>
      </w:r>
      <w:r w:rsidR="00FF17C0"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of HBV DNA in the sera</w:t>
      </w:r>
      <w:r w:rsidR="001944E8" w:rsidRPr="00A64FF0">
        <w:rPr>
          <w:rFonts w:ascii="Book Antiqua" w:hAnsi="Book Antiqua" w:cs="Book Antiqua"/>
          <w:sz w:val="24"/>
          <w:szCs w:val="24"/>
          <w:vertAlign w:val="superscript"/>
          <w:lang w:val="en-US"/>
        </w:rPr>
        <w:t>[</w:t>
      </w:r>
      <w:r w:rsidRPr="00A64FF0">
        <w:rPr>
          <w:rFonts w:ascii="Book Antiqua" w:hAnsi="Book Antiqua" w:cs="Book Antiqua"/>
          <w:sz w:val="24"/>
          <w:szCs w:val="24"/>
          <w:vertAlign w:val="superscript"/>
          <w:lang w:val="en-US"/>
        </w:rPr>
        <w:t>20]</w:t>
      </w:r>
      <w:r w:rsidRPr="00A64FF0">
        <w:rPr>
          <w:rFonts w:ascii="Book Antiqua" w:hAnsi="Book Antiqua" w:cs="Book Antiqua"/>
          <w:sz w:val="24"/>
          <w:szCs w:val="24"/>
          <w:lang w:val="en-US"/>
        </w:rPr>
        <w:t>. If</w:t>
      </w:r>
      <w:r w:rsidR="00FF17C0" w:rsidRPr="00A64FF0">
        <w:rPr>
          <w:rFonts w:ascii="Book Antiqua" w:hAnsi="Book Antiqua" w:cs="Book Antiqua"/>
          <w:sz w:val="24"/>
          <w:szCs w:val="24"/>
          <w:lang w:val="en-US"/>
        </w:rPr>
        <w:t xml:space="preserve"> </w:t>
      </w:r>
      <w:r w:rsidR="001968C3" w:rsidRPr="00A64FF0">
        <w:rPr>
          <w:rFonts w:ascii="Book Antiqua" w:hAnsi="Book Antiqua" w:cs="Book Antiqua"/>
          <w:sz w:val="24"/>
          <w:szCs w:val="24"/>
          <w:lang w:val="en-US"/>
        </w:rPr>
        <w:t>anti-HCV</w:t>
      </w:r>
      <w:r w:rsidR="00AA6E24" w:rsidRPr="00A64FF0">
        <w:rPr>
          <w:rFonts w:ascii="Book Antiqua" w:hAnsi="Book Antiqua" w:cs="Book Antiqua"/>
          <w:sz w:val="24"/>
          <w:szCs w:val="24"/>
          <w:lang w:val="en-US"/>
        </w:rPr>
        <w:t xml:space="preserve"> serum</w:t>
      </w:r>
      <w:r w:rsidR="00FF17C0" w:rsidRPr="00A64FF0">
        <w:rPr>
          <w:rFonts w:ascii="Book Antiqua" w:hAnsi="Book Antiqua" w:cs="Book Antiqua"/>
          <w:sz w:val="24"/>
          <w:szCs w:val="24"/>
          <w:lang w:val="en-US"/>
        </w:rPr>
        <w:t xml:space="preserve"> </w:t>
      </w:r>
      <w:r w:rsidR="001968C3" w:rsidRPr="00A64FF0">
        <w:rPr>
          <w:rFonts w:ascii="Book Antiqua" w:hAnsi="Book Antiqua" w:cs="Book Antiqua"/>
          <w:sz w:val="24"/>
          <w:szCs w:val="24"/>
          <w:lang w:val="en-US"/>
        </w:rPr>
        <w:t>is</w:t>
      </w:r>
      <w:r w:rsidRPr="00A64FF0">
        <w:rPr>
          <w:rFonts w:ascii="Book Antiqua" w:hAnsi="Book Antiqua" w:cs="Book Antiqua"/>
          <w:sz w:val="24"/>
          <w:szCs w:val="24"/>
          <w:lang w:val="en-US"/>
        </w:rPr>
        <w:t xml:space="preserve"> detected</w:t>
      </w:r>
      <w:r w:rsidR="00AA6E24"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HCV RNA should be searched for by a sensitive method</w:t>
      </w:r>
      <w:r w:rsidR="001944E8" w:rsidRPr="00A64FF0">
        <w:rPr>
          <w:rFonts w:ascii="Book Antiqua" w:hAnsi="Book Antiqua" w:cs="Book Antiqua"/>
          <w:sz w:val="24"/>
          <w:szCs w:val="24"/>
          <w:vertAlign w:val="superscript"/>
          <w:lang w:val="en-US"/>
        </w:rPr>
        <w:t>[</w:t>
      </w:r>
      <w:r w:rsidRPr="00A64FF0">
        <w:rPr>
          <w:rFonts w:ascii="Book Antiqua" w:hAnsi="Book Antiqua" w:cs="Book Antiqua"/>
          <w:sz w:val="24"/>
          <w:szCs w:val="24"/>
          <w:vertAlign w:val="superscript"/>
          <w:lang w:val="en-US"/>
        </w:rPr>
        <w:t>20]</w:t>
      </w:r>
      <w:r w:rsidRPr="00A64FF0">
        <w:rPr>
          <w:rFonts w:ascii="Book Antiqua" w:hAnsi="Book Antiqua" w:cs="Book Antiqua"/>
          <w:sz w:val="24"/>
          <w:szCs w:val="24"/>
          <w:lang w:val="en-US"/>
        </w:rPr>
        <w:t>.</w:t>
      </w:r>
      <w:r w:rsidR="00FF17C0" w:rsidRPr="00A64FF0">
        <w:rPr>
          <w:rFonts w:ascii="Book Antiqua" w:hAnsi="Book Antiqua" w:cs="Book Antiqua"/>
          <w:sz w:val="24"/>
          <w:szCs w:val="24"/>
          <w:lang w:val="en-US"/>
        </w:rPr>
        <w:t xml:space="preserve"> </w:t>
      </w:r>
      <w:r w:rsidR="00334180" w:rsidRPr="00A64FF0">
        <w:rPr>
          <w:rStyle w:val="Emphasis"/>
          <w:rFonts w:ascii="Book Antiqua" w:hAnsi="Book Antiqua" w:cs="Book Antiqua"/>
          <w:i w:val="0"/>
          <w:iCs w:val="0"/>
          <w:sz w:val="24"/>
          <w:szCs w:val="24"/>
          <w:lang w:val="en-US"/>
        </w:rPr>
        <w:t>The existence</w:t>
      </w:r>
      <w:r w:rsidRPr="00A64FF0">
        <w:rPr>
          <w:rStyle w:val="Emphasis"/>
          <w:rFonts w:ascii="Book Antiqua" w:hAnsi="Book Antiqua" w:cs="Book Antiqua"/>
          <w:i w:val="0"/>
          <w:iCs w:val="0"/>
          <w:sz w:val="24"/>
          <w:szCs w:val="24"/>
          <w:lang w:val="en-US"/>
        </w:rPr>
        <w:t xml:space="preserve"> of either HBV or HCV infection or both in PsO patients eligible for a systemic therapy poses a series of challenging problems. In particular</w:t>
      </w:r>
      <w:r w:rsidR="00334180"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the administration </w:t>
      </w:r>
      <w:r w:rsidRPr="00A64FF0">
        <w:rPr>
          <w:rStyle w:val="Emphasis"/>
          <w:rFonts w:ascii="Book Antiqua" w:hAnsi="Book Antiqua" w:cs="Book Antiqua"/>
          <w:i w:val="0"/>
          <w:iCs w:val="0"/>
          <w:sz w:val="24"/>
          <w:szCs w:val="24"/>
          <w:lang w:val="en-US"/>
        </w:rPr>
        <w:lastRenderedPageBreak/>
        <w:t>of</w:t>
      </w:r>
      <w:r w:rsidR="00AC7D25"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an immunosuppressive drug can alter the relationship between the host and the virus and worsen a coexisting chronic in</w:t>
      </w:r>
      <w:r w:rsidR="00334180" w:rsidRPr="00A64FF0">
        <w:rPr>
          <w:rStyle w:val="Emphasis"/>
          <w:rFonts w:ascii="Book Antiqua" w:hAnsi="Book Antiqua" w:cs="Book Antiqua"/>
          <w:i w:val="0"/>
          <w:iCs w:val="0"/>
          <w:sz w:val="24"/>
          <w:szCs w:val="24"/>
          <w:lang w:val="en-US"/>
        </w:rPr>
        <w:t>fection. Moreover, cDMARDs</w:t>
      </w:r>
      <w:r w:rsidR="006E6C00"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have different degree</w:t>
      </w:r>
      <w:r w:rsidR="00334180" w:rsidRPr="00A64FF0">
        <w:rPr>
          <w:rStyle w:val="Emphasis"/>
          <w:rFonts w:ascii="Book Antiqua" w:hAnsi="Book Antiqua" w:cs="Book Antiqua"/>
          <w:i w:val="0"/>
          <w:iCs w:val="0"/>
          <w:sz w:val="24"/>
          <w:szCs w:val="24"/>
          <w:lang w:val="en-US"/>
        </w:rPr>
        <w:t>s</w:t>
      </w:r>
      <w:r w:rsidRPr="00A64FF0">
        <w:rPr>
          <w:rStyle w:val="Emphasis"/>
          <w:rFonts w:ascii="Book Antiqua" w:hAnsi="Book Antiqua" w:cs="Book Antiqua"/>
          <w:i w:val="0"/>
          <w:iCs w:val="0"/>
          <w:sz w:val="24"/>
          <w:szCs w:val="24"/>
          <w:lang w:val="en-US"/>
        </w:rPr>
        <w:t xml:space="preserve"> of hepatic toxicity</w:t>
      </w:r>
      <w:r w:rsidR="001944E8" w:rsidRPr="00A64FF0">
        <w:rPr>
          <w:rStyle w:val="Emphasis"/>
          <w:rFonts w:ascii="Book Antiqua" w:hAnsi="Book Antiqua" w:cs="Book Antiqua"/>
          <w:i w:val="0"/>
          <w:iCs w:val="0"/>
          <w:sz w:val="24"/>
          <w:szCs w:val="24"/>
          <w:vertAlign w:val="superscript"/>
          <w:lang w:val="en-US"/>
        </w:rPr>
        <w:t>[</w:t>
      </w:r>
      <w:r w:rsidRPr="00A64FF0">
        <w:rPr>
          <w:rStyle w:val="Emphasis"/>
          <w:rFonts w:ascii="Book Antiqua" w:hAnsi="Book Antiqua" w:cs="Book Antiqua"/>
          <w:i w:val="0"/>
          <w:iCs w:val="0"/>
          <w:sz w:val="24"/>
          <w:szCs w:val="24"/>
          <w:vertAlign w:val="superscript"/>
          <w:lang w:val="en-US"/>
        </w:rPr>
        <w:t>9,11]</w:t>
      </w:r>
      <w:r w:rsidR="006E6C00" w:rsidRPr="00A64FF0">
        <w:rPr>
          <w:rStyle w:val="Emphasis"/>
          <w:rFonts w:ascii="Book Antiqua" w:hAnsi="Book Antiqua" w:cs="Book Antiqua"/>
          <w:i w:val="0"/>
          <w:iCs w:val="0"/>
          <w:sz w:val="24"/>
          <w:szCs w:val="24"/>
          <w:vertAlign w:val="superscript"/>
          <w:lang w:val="en-US"/>
        </w:rPr>
        <w:t xml:space="preserve"> </w:t>
      </w:r>
      <w:r w:rsidR="00334180" w:rsidRPr="00A64FF0">
        <w:rPr>
          <w:rStyle w:val="Emphasis"/>
          <w:rFonts w:ascii="Book Antiqua" w:hAnsi="Book Antiqua" w:cs="Book Antiqua"/>
          <w:i w:val="0"/>
          <w:iCs w:val="0"/>
          <w:sz w:val="24"/>
          <w:szCs w:val="24"/>
          <w:lang w:val="en-US"/>
        </w:rPr>
        <w:t>therefore increasing the risk of</w:t>
      </w:r>
      <w:r w:rsidR="006E6C00"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worsen</w:t>
      </w:r>
      <w:r w:rsidR="00334180" w:rsidRPr="00A64FF0">
        <w:rPr>
          <w:rStyle w:val="Emphasis"/>
          <w:rFonts w:ascii="Book Antiqua" w:hAnsi="Book Antiqua" w:cs="Book Antiqua"/>
          <w:i w:val="0"/>
          <w:iCs w:val="0"/>
          <w:sz w:val="24"/>
          <w:szCs w:val="24"/>
          <w:lang w:val="en-US"/>
        </w:rPr>
        <w:t>ing</w:t>
      </w:r>
      <w:r w:rsidR="006E6C00" w:rsidRPr="00A64FF0">
        <w:rPr>
          <w:rStyle w:val="Emphasis"/>
          <w:rFonts w:ascii="Book Antiqua" w:hAnsi="Book Antiqua" w:cs="Book Antiqua"/>
          <w:i w:val="0"/>
          <w:iCs w:val="0"/>
          <w:sz w:val="24"/>
          <w:szCs w:val="24"/>
          <w:lang w:val="en-US"/>
        </w:rPr>
        <w:t xml:space="preserve"> </w:t>
      </w:r>
      <w:r w:rsidR="00334180" w:rsidRPr="00A64FF0">
        <w:rPr>
          <w:rStyle w:val="Emphasis"/>
          <w:rFonts w:ascii="Book Antiqua" w:hAnsi="Book Antiqua" w:cs="Book Antiqua"/>
          <w:i w:val="0"/>
          <w:iCs w:val="0"/>
          <w:sz w:val="24"/>
          <w:szCs w:val="24"/>
          <w:lang w:val="en-US"/>
        </w:rPr>
        <w:t xml:space="preserve">an </w:t>
      </w:r>
      <w:r w:rsidRPr="00A64FF0">
        <w:rPr>
          <w:rStyle w:val="Emphasis"/>
          <w:rFonts w:ascii="Book Antiqua" w:hAnsi="Book Antiqua" w:cs="Book Antiqua"/>
          <w:i w:val="0"/>
          <w:iCs w:val="0"/>
          <w:sz w:val="24"/>
          <w:szCs w:val="24"/>
          <w:lang w:val="en-US"/>
        </w:rPr>
        <w:t xml:space="preserve">already compromised </w:t>
      </w:r>
      <w:r w:rsidR="00334180" w:rsidRPr="00A64FF0">
        <w:rPr>
          <w:rStyle w:val="Emphasis"/>
          <w:rFonts w:ascii="Book Antiqua" w:hAnsi="Book Antiqua" w:cs="Book Antiqua"/>
          <w:i w:val="0"/>
          <w:iCs w:val="0"/>
          <w:sz w:val="24"/>
          <w:szCs w:val="24"/>
          <w:lang w:val="en-US"/>
        </w:rPr>
        <w:t xml:space="preserve">liver </w:t>
      </w:r>
      <w:r w:rsidRPr="00A64FF0">
        <w:rPr>
          <w:rStyle w:val="Emphasis"/>
          <w:rFonts w:ascii="Book Antiqua" w:hAnsi="Book Antiqua" w:cs="Book Antiqua"/>
          <w:i w:val="0"/>
          <w:iCs w:val="0"/>
          <w:sz w:val="24"/>
          <w:szCs w:val="24"/>
          <w:lang w:val="en-US"/>
        </w:rPr>
        <w:t>as a consequence of the HBV or HCV infection.</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PsO patients with infectious diseases such as HBV or HCV are excluded by the randomized controlled clinical trial. Therefore</w:t>
      </w:r>
      <w:r w:rsidR="00334180"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data available on PsO patients with HBV or HCV infection</w:t>
      </w:r>
      <w:r w:rsidR="00334180"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treated with systemic drugs</w:t>
      </w:r>
      <w:r w:rsidR="00334180"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rely mainly on the </w:t>
      </w:r>
      <w:r w:rsidR="00334180" w:rsidRPr="00A64FF0">
        <w:rPr>
          <w:rStyle w:val="Emphasis"/>
          <w:rFonts w:ascii="Book Antiqua" w:hAnsi="Book Antiqua" w:cs="Book Antiqua"/>
          <w:i w:val="0"/>
          <w:iCs w:val="0"/>
          <w:sz w:val="24"/>
          <w:szCs w:val="24"/>
          <w:lang w:val="en-US"/>
        </w:rPr>
        <w:t>reports</w:t>
      </w:r>
      <w:r w:rsidRPr="00A64FF0">
        <w:rPr>
          <w:rStyle w:val="Emphasis"/>
          <w:rFonts w:ascii="Book Antiqua" w:hAnsi="Book Antiqua" w:cs="Book Antiqua"/>
          <w:i w:val="0"/>
          <w:iCs w:val="0"/>
          <w:sz w:val="24"/>
          <w:szCs w:val="24"/>
          <w:lang w:val="en-US"/>
        </w:rPr>
        <w:t xml:space="preserve"> of single cases or analyses of small groups of patients. </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The aim of the present article is to</w:t>
      </w:r>
      <w:r w:rsidR="00602BAD"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describe how to manage and monitor PsO patients with</w:t>
      </w:r>
      <w:r w:rsidR="00602BAD"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HBV or HCV infection who need</w:t>
      </w:r>
      <w:r w:rsidR="00602BAD"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systemic antipsoriatic drugs.</w:t>
      </w:r>
    </w:p>
    <w:p w:rsidR="00AA6E24" w:rsidRPr="00A64FF0" w:rsidRDefault="00AA6E24" w:rsidP="00467AE1">
      <w:pPr>
        <w:adjustRightInd w:val="0"/>
        <w:snapToGrid w:val="0"/>
        <w:spacing w:after="0" w:line="360" w:lineRule="auto"/>
        <w:jc w:val="both"/>
        <w:rPr>
          <w:rStyle w:val="Emphasis"/>
          <w:rFonts w:ascii="Book Antiqua" w:hAnsi="Book Antiqua" w:cs="Book Antiqua"/>
          <w:b/>
          <w:bCs/>
          <w:i w:val="0"/>
          <w:iCs w:val="0"/>
          <w:sz w:val="24"/>
          <w:szCs w:val="24"/>
          <w:lang w:val="en-US" w:eastAsia="zh-CN"/>
        </w:rPr>
      </w:pPr>
    </w:p>
    <w:p w:rsidR="00CC5C47" w:rsidRPr="00A64FF0" w:rsidRDefault="00CC5C47" w:rsidP="00467AE1">
      <w:pPr>
        <w:adjustRightInd w:val="0"/>
        <w:snapToGrid w:val="0"/>
        <w:spacing w:after="0" w:line="360" w:lineRule="auto"/>
        <w:jc w:val="both"/>
        <w:rPr>
          <w:rStyle w:val="Emphasis"/>
          <w:rFonts w:ascii="Book Antiqua" w:hAnsi="Book Antiqua" w:cs="Book Antiqua"/>
          <w:b/>
          <w:bCs/>
          <w:i w:val="0"/>
          <w:iCs w:val="0"/>
          <w:caps/>
          <w:sz w:val="24"/>
          <w:szCs w:val="24"/>
          <w:lang w:val="en-US" w:eastAsia="zh-CN"/>
        </w:rPr>
      </w:pPr>
      <w:r w:rsidRPr="00A64FF0">
        <w:rPr>
          <w:rStyle w:val="Emphasis"/>
          <w:rFonts w:ascii="Book Antiqua" w:hAnsi="Book Antiqua" w:cs="Book Antiqua"/>
          <w:b/>
          <w:bCs/>
          <w:i w:val="0"/>
          <w:iCs w:val="0"/>
          <w:caps/>
          <w:sz w:val="24"/>
          <w:szCs w:val="24"/>
          <w:lang w:val="en-US"/>
        </w:rPr>
        <w:t>Monitoring and management of PsO patients treated with cDMARDS or bDMARD</w:t>
      </w:r>
      <w:r w:rsidR="00334180" w:rsidRPr="00A64FF0">
        <w:rPr>
          <w:rStyle w:val="Emphasis"/>
          <w:rFonts w:ascii="Book Antiqua" w:hAnsi="Book Antiqua" w:cs="Book Antiqua"/>
          <w:b/>
          <w:bCs/>
          <w:i w:val="0"/>
          <w:iCs w:val="0"/>
          <w:caps/>
          <w:sz w:val="24"/>
          <w:szCs w:val="24"/>
          <w:lang w:val="en-US"/>
        </w:rPr>
        <w:t>s and concomitant HBV infection</w:t>
      </w:r>
    </w:p>
    <w:p w:rsidR="00CC5C47" w:rsidRPr="00A64FF0" w:rsidRDefault="00334180" w:rsidP="00467AE1">
      <w:pPr>
        <w:adjustRightInd w:val="0"/>
        <w:snapToGrid w:val="0"/>
        <w:spacing w:after="0" w:line="360" w:lineRule="auto"/>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The first</w:t>
      </w:r>
      <w:r w:rsidR="00FC74B2"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aspect</w:t>
      </w:r>
      <w:r w:rsidR="00FC74B2"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to consider in</w:t>
      </w:r>
      <w:r w:rsidR="00FC74B2"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patients with severe PsO</w:t>
      </w:r>
      <w:r w:rsidR="00FC74B2"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and concomitant</w:t>
      </w:r>
      <w:r w:rsidR="00FC74B2"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HBV infection</w:t>
      </w:r>
      <w:r w:rsidR="00AA6E24" w:rsidRPr="00A64FF0">
        <w:rPr>
          <w:rStyle w:val="Emphasis"/>
          <w:rFonts w:ascii="Book Antiqua" w:hAnsi="Book Antiqua" w:cs="Book Antiqua"/>
          <w:i w:val="0"/>
          <w:iCs w:val="0"/>
          <w:sz w:val="24"/>
          <w:szCs w:val="24"/>
          <w:lang w:val="en-US"/>
        </w:rPr>
        <w:t>,</w:t>
      </w:r>
      <w:r w:rsidR="00FC74B2"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 xml:space="preserve">is to define the </w:t>
      </w:r>
      <w:r w:rsidR="002C0603" w:rsidRPr="00A64FF0">
        <w:rPr>
          <w:rStyle w:val="Emphasis"/>
          <w:rFonts w:ascii="Book Antiqua" w:hAnsi="Book Antiqua" w:cs="Book Antiqua"/>
          <w:i w:val="0"/>
          <w:iCs w:val="0"/>
          <w:sz w:val="24"/>
          <w:szCs w:val="24"/>
          <w:lang w:val="en-US"/>
        </w:rPr>
        <w:t>phase of the latter</w:t>
      </w:r>
      <w:r w:rsidR="00705D53" w:rsidRPr="00A64FF0">
        <w:rPr>
          <w:rStyle w:val="Emphasis"/>
          <w:rFonts w:ascii="Book Antiqua" w:hAnsi="Book Antiqua" w:cs="Book Antiqua"/>
          <w:i w:val="0"/>
          <w:iCs w:val="0"/>
          <w:sz w:val="24"/>
          <w:szCs w:val="24"/>
          <w:lang w:val="en-US"/>
        </w:rPr>
        <w:t xml:space="preserve"> disease</w:t>
      </w:r>
      <w:r w:rsidR="001944E8" w:rsidRPr="00A64FF0">
        <w:rPr>
          <w:rStyle w:val="Emphasis"/>
          <w:rFonts w:ascii="Book Antiqua" w:hAnsi="Book Antiqua" w:cs="Book Antiqua"/>
          <w:i w:val="0"/>
          <w:iCs w:val="0"/>
          <w:sz w:val="24"/>
          <w:szCs w:val="24"/>
          <w:vertAlign w:val="superscript"/>
          <w:lang w:val="en-US"/>
        </w:rPr>
        <w:t>[</w:t>
      </w:r>
      <w:r w:rsidR="00CC5C47" w:rsidRPr="00A64FF0">
        <w:rPr>
          <w:rStyle w:val="Emphasis"/>
          <w:rFonts w:ascii="Book Antiqua" w:hAnsi="Book Antiqua" w:cs="Book Antiqua"/>
          <w:i w:val="0"/>
          <w:iCs w:val="0"/>
          <w:sz w:val="24"/>
          <w:szCs w:val="24"/>
          <w:vertAlign w:val="superscript"/>
          <w:lang w:val="en-US"/>
        </w:rPr>
        <w:t>18-20]</w:t>
      </w:r>
      <w:r w:rsidR="00FC74B2" w:rsidRPr="00A64FF0">
        <w:rPr>
          <w:rStyle w:val="Emphasis"/>
          <w:rFonts w:ascii="Book Antiqua" w:hAnsi="Book Antiqua" w:cs="Book Antiqua"/>
          <w:i w:val="0"/>
          <w:iCs w:val="0"/>
          <w:sz w:val="24"/>
          <w:szCs w:val="24"/>
          <w:vertAlign w:val="superscript"/>
          <w:lang w:val="en-US"/>
        </w:rPr>
        <w:t xml:space="preserve"> </w:t>
      </w:r>
      <w:r w:rsidR="00CC5C47" w:rsidRPr="00A64FF0">
        <w:rPr>
          <w:rStyle w:val="Emphasis"/>
          <w:rFonts w:ascii="Book Antiqua" w:hAnsi="Book Antiqua" w:cs="Book Antiqua"/>
          <w:i w:val="0"/>
          <w:iCs w:val="0"/>
          <w:sz w:val="24"/>
          <w:szCs w:val="24"/>
          <w:lang w:val="en-US"/>
        </w:rPr>
        <w:t>and the degree of possible liver damage. To do so</w:t>
      </w:r>
      <w:r w:rsidR="00705D53" w:rsidRPr="00A64FF0">
        <w:rPr>
          <w:rStyle w:val="Emphasis"/>
          <w:rFonts w:ascii="Book Antiqua" w:hAnsi="Book Antiqua" w:cs="Book Antiqua"/>
          <w:i w:val="0"/>
          <w:iCs w:val="0"/>
          <w:sz w:val="24"/>
          <w:szCs w:val="24"/>
          <w:lang w:val="en-US"/>
        </w:rPr>
        <w:t>, a close</w:t>
      </w:r>
      <w:r w:rsidR="00CC5C47" w:rsidRPr="00A64FF0">
        <w:rPr>
          <w:rStyle w:val="Emphasis"/>
          <w:rFonts w:ascii="Book Antiqua" w:hAnsi="Book Antiqua" w:cs="Book Antiqua"/>
          <w:i w:val="0"/>
          <w:iCs w:val="0"/>
          <w:sz w:val="24"/>
          <w:szCs w:val="24"/>
          <w:lang w:val="en-US"/>
        </w:rPr>
        <w:t xml:space="preserve"> collaboration between dermatologist and hepatologist is needed</w:t>
      </w:r>
      <w:r w:rsidR="001944E8" w:rsidRPr="00A64FF0">
        <w:rPr>
          <w:rStyle w:val="Emphasis"/>
          <w:rFonts w:ascii="Book Antiqua" w:hAnsi="Book Antiqua" w:cs="Book Antiqua"/>
          <w:i w:val="0"/>
          <w:iCs w:val="0"/>
          <w:sz w:val="24"/>
          <w:szCs w:val="24"/>
          <w:vertAlign w:val="superscript"/>
          <w:lang w:val="en-US"/>
        </w:rPr>
        <w:t>[</w:t>
      </w:r>
      <w:r w:rsidR="00CC5C47" w:rsidRPr="00A64FF0">
        <w:rPr>
          <w:rStyle w:val="Emphasis"/>
          <w:rFonts w:ascii="Book Antiqua" w:hAnsi="Book Antiqua" w:cs="Book Antiqua"/>
          <w:i w:val="0"/>
          <w:iCs w:val="0"/>
          <w:sz w:val="24"/>
          <w:szCs w:val="24"/>
          <w:vertAlign w:val="superscript"/>
          <w:lang w:val="en-US"/>
        </w:rPr>
        <w:t>18-20]</w:t>
      </w:r>
      <w:r w:rsidR="00CC5C47" w:rsidRPr="00A64FF0">
        <w:rPr>
          <w:rStyle w:val="Emphasis"/>
          <w:rFonts w:ascii="Book Antiqua" w:hAnsi="Book Antiqua" w:cs="Book Antiqua"/>
          <w:i w:val="0"/>
          <w:iCs w:val="0"/>
          <w:sz w:val="24"/>
          <w:szCs w:val="24"/>
          <w:lang w:val="en-US"/>
        </w:rPr>
        <w:t xml:space="preserve">. </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As a rule</w:t>
      </w:r>
      <w:r w:rsidR="00705D53"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during the active phases of HBV infection</w:t>
      </w:r>
      <w:r w:rsidR="00AA6E24" w:rsidRPr="00A64FF0">
        <w:rPr>
          <w:rStyle w:val="Emphasis"/>
          <w:rFonts w:ascii="Book Antiqua" w:hAnsi="Book Antiqua" w:cs="Book Antiqua"/>
          <w:i w:val="0"/>
          <w:iCs w:val="0"/>
          <w:sz w:val="24"/>
          <w:szCs w:val="24"/>
          <w:lang w:val="en-US"/>
        </w:rPr>
        <w:t>, systemic anti-</w:t>
      </w:r>
      <w:r w:rsidRPr="00A64FF0">
        <w:rPr>
          <w:rStyle w:val="Emphasis"/>
          <w:rFonts w:ascii="Book Antiqua" w:hAnsi="Book Antiqua" w:cs="Book Antiqua"/>
          <w:i w:val="0"/>
          <w:iCs w:val="0"/>
          <w:sz w:val="24"/>
          <w:szCs w:val="24"/>
          <w:lang w:val="en-US"/>
        </w:rPr>
        <w:t>psoriatic therapies should be deferred</w:t>
      </w:r>
      <w:r w:rsidR="00796FB4" w:rsidRPr="00A64FF0">
        <w:rPr>
          <w:rStyle w:val="Emphasis"/>
          <w:rFonts w:ascii="Book Antiqua" w:hAnsi="Book Antiqua" w:cs="Book Antiqua"/>
          <w:i w:val="0"/>
          <w:iCs w:val="0"/>
          <w:sz w:val="24"/>
          <w:szCs w:val="24"/>
          <w:lang w:val="en-US"/>
        </w:rPr>
        <w:t>. A</w:t>
      </w:r>
      <w:r w:rsidRPr="00A64FF0">
        <w:rPr>
          <w:rStyle w:val="Emphasis"/>
          <w:rFonts w:ascii="Book Antiqua" w:hAnsi="Book Antiqua" w:cs="Book Antiqua"/>
          <w:i w:val="0"/>
          <w:iCs w:val="0"/>
          <w:sz w:val="24"/>
          <w:szCs w:val="24"/>
          <w:lang w:val="en-US"/>
        </w:rPr>
        <w:t>fter an adequate control of infection</w:t>
      </w:r>
      <w:r w:rsidR="00796FB4"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by means of anti HBV drugs is obtained</w:t>
      </w:r>
      <w:r w:rsidR="001944E8" w:rsidRPr="00A64FF0">
        <w:rPr>
          <w:rStyle w:val="Emphasis"/>
          <w:rFonts w:ascii="Book Antiqua" w:hAnsi="Book Antiqua" w:cs="Book Antiqua"/>
          <w:i w:val="0"/>
          <w:iCs w:val="0"/>
          <w:sz w:val="24"/>
          <w:szCs w:val="24"/>
          <w:vertAlign w:val="superscript"/>
          <w:lang w:val="en-US"/>
        </w:rPr>
        <w:t>[</w:t>
      </w:r>
      <w:r w:rsidRPr="00A64FF0">
        <w:rPr>
          <w:rFonts w:ascii="Book Antiqua" w:hAnsi="Book Antiqua" w:cs="Book Antiqua"/>
          <w:sz w:val="24"/>
          <w:szCs w:val="24"/>
          <w:vertAlign w:val="superscript"/>
          <w:lang w:val="en-US"/>
        </w:rPr>
        <w:t>18-21]</w:t>
      </w:r>
      <w:r w:rsidR="00796FB4" w:rsidRPr="00A64FF0">
        <w:rPr>
          <w:rFonts w:ascii="Book Antiqua" w:hAnsi="Book Antiqua" w:cs="Book Antiqua"/>
          <w:sz w:val="24"/>
          <w:szCs w:val="24"/>
          <w:lang w:val="en-US"/>
        </w:rPr>
        <w:t>,</w:t>
      </w:r>
      <w:r w:rsidR="00B95CFD" w:rsidRPr="00A64FF0">
        <w:rPr>
          <w:rFonts w:ascii="Book Antiqua" w:hAnsi="Book Antiqua" w:cs="Book Antiqua"/>
          <w:sz w:val="24"/>
          <w:szCs w:val="24"/>
          <w:lang w:val="en-US"/>
        </w:rPr>
        <w:t xml:space="preserve"> </w:t>
      </w:r>
      <w:r w:rsidR="00796FB4" w:rsidRPr="00A64FF0">
        <w:rPr>
          <w:rStyle w:val="Emphasis"/>
          <w:rFonts w:ascii="Book Antiqua" w:hAnsi="Book Antiqua" w:cs="Book Antiqua"/>
          <w:i w:val="0"/>
          <w:iCs w:val="0"/>
          <w:sz w:val="24"/>
          <w:szCs w:val="24"/>
          <w:lang w:val="en-US"/>
        </w:rPr>
        <w:t>therapies should be started</w:t>
      </w:r>
      <w:r w:rsidRPr="00A64FF0">
        <w:rPr>
          <w:rStyle w:val="Emphasis"/>
          <w:rFonts w:ascii="Book Antiqua" w:hAnsi="Book Antiqua" w:cs="Book Antiqua"/>
          <w:i w:val="0"/>
          <w:iCs w:val="0"/>
          <w:sz w:val="24"/>
          <w:szCs w:val="24"/>
          <w:lang w:val="en-US"/>
        </w:rPr>
        <w:t>. Active HBV infection includes different phases</w:t>
      </w:r>
      <w:r w:rsidR="001944E8" w:rsidRPr="00A64FF0">
        <w:rPr>
          <w:rStyle w:val="Emphasis"/>
          <w:rFonts w:ascii="Book Antiqua" w:hAnsi="Book Antiqua" w:cs="Book Antiqua"/>
          <w:i w:val="0"/>
          <w:iCs w:val="0"/>
          <w:sz w:val="24"/>
          <w:szCs w:val="24"/>
          <w:vertAlign w:val="superscript"/>
          <w:lang w:val="en-US"/>
        </w:rPr>
        <w:t>[</w:t>
      </w:r>
      <w:r w:rsidRPr="00A64FF0">
        <w:rPr>
          <w:rStyle w:val="Emphasis"/>
          <w:rFonts w:ascii="Book Antiqua" w:hAnsi="Book Antiqua" w:cs="Book Antiqua"/>
          <w:i w:val="0"/>
          <w:iCs w:val="0"/>
          <w:sz w:val="24"/>
          <w:szCs w:val="24"/>
          <w:vertAlign w:val="superscript"/>
          <w:lang w:val="en-US"/>
        </w:rPr>
        <w:t>22-24]</w:t>
      </w:r>
      <w:r w:rsidR="00705D53" w:rsidRPr="00A64FF0">
        <w:rPr>
          <w:rStyle w:val="Emphasis"/>
          <w:rFonts w:ascii="Book Antiqua" w:hAnsi="Book Antiqua" w:cs="Book Antiqua"/>
          <w:i w:val="0"/>
          <w:iCs w:val="0"/>
          <w:sz w:val="24"/>
          <w:szCs w:val="24"/>
          <w:lang w:val="en-US"/>
        </w:rPr>
        <w:t xml:space="preserve"> not necessari</w:t>
      </w:r>
      <w:r w:rsidRPr="00A64FF0">
        <w:rPr>
          <w:rStyle w:val="Emphasis"/>
          <w:rFonts w:ascii="Book Antiqua" w:hAnsi="Book Antiqua" w:cs="Book Antiqua"/>
          <w:i w:val="0"/>
          <w:iCs w:val="0"/>
          <w:sz w:val="24"/>
          <w:szCs w:val="24"/>
          <w:lang w:val="en-US"/>
        </w:rPr>
        <w:t>ly sequential</w:t>
      </w:r>
      <w:r w:rsidR="006B3416"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such as: </w:t>
      </w:r>
      <w:r w:rsidR="001944E8" w:rsidRPr="00A64FF0">
        <w:rPr>
          <w:rStyle w:val="Emphasis"/>
          <w:rFonts w:ascii="Book Antiqua" w:hAnsi="Book Antiqua" w:cs="Book Antiqua"/>
          <w:i w:val="0"/>
          <w:iCs w:val="0"/>
          <w:sz w:val="24"/>
          <w:szCs w:val="24"/>
          <w:lang w:val="en-US" w:eastAsia="zh-CN"/>
        </w:rPr>
        <w:t>(1</w:t>
      </w:r>
      <w:r w:rsidRPr="00A64FF0">
        <w:rPr>
          <w:rStyle w:val="Emphasis"/>
          <w:rFonts w:ascii="Book Antiqua" w:hAnsi="Book Antiqua" w:cs="Book Antiqua"/>
          <w:i w:val="0"/>
          <w:iCs w:val="0"/>
          <w:sz w:val="24"/>
          <w:szCs w:val="24"/>
          <w:lang w:val="en-US"/>
        </w:rPr>
        <w:t>) acute infection</w:t>
      </w:r>
      <w:r w:rsidR="00AF6104"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(defined as new-onset HBV infection that may or may not be icteric or symptomatic)</w:t>
      </w:r>
      <w:r w:rsidR="001944E8" w:rsidRPr="00A64FF0">
        <w:rPr>
          <w:rStyle w:val="Emphasis"/>
          <w:rFonts w:ascii="Book Antiqua" w:hAnsi="Book Antiqua" w:cs="Book Antiqua"/>
          <w:i w:val="0"/>
          <w:iCs w:val="0"/>
          <w:sz w:val="24"/>
          <w:szCs w:val="24"/>
          <w:lang w:val="en-US" w:eastAsia="zh-CN"/>
        </w:rPr>
        <w:t>;</w:t>
      </w:r>
      <w:r w:rsidRPr="00A64FF0">
        <w:rPr>
          <w:rStyle w:val="Emphasis"/>
          <w:rFonts w:ascii="Book Antiqua" w:hAnsi="Book Antiqua" w:cs="Book Antiqua"/>
          <w:i w:val="0"/>
          <w:iCs w:val="0"/>
          <w:sz w:val="24"/>
          <w:szCs w:val="24"/>
          <w:lang w:val="en-US"/>
        </w:rPr>
        <w:t xml:space="preserve"> and </w:t>
      </w:r>
      <w:r w:rsidR="001944E8" w:rsidRPr="00A64FF0">
        <w:rPr>
          <w:rStyle w:val="Emphasis"/>
          <w:rFonts w:ascii="Book Antiqua" w:hAnsi="Book Antiqua" w:cs="Book Antiqua"/>
          <w:i w:val="0"/>
          <w:iCs w:val="0"/>
          <w:sz w:val="24"/>
          <w:szCs w:val="24"/>
          <w:lang w:val="en-US" w:eastAsia="zh-CN"/>
        </w:rPr>
        <w:t>(2</w:t>
      </w:r>
      <w:r w:rsidRPr="00A64FF0">
        <w:rPr>
          <w:rStyle w:val="Emphasis"/>
          <w:rFonts w:ascii="Book Antiqua" w:hAnsi="Book Antiqua" w:cs="Book Antiqua"/>
          <w:i w:val="0"/>
          <w:iCs w:val="0"/>
          <w:sz w:val="24"/>
          <w:szCs w:val="24"/>
          <w:lang w:val="en-US"/>
        </w:rPr>
        <w:t>) chronic (defined as the persistence of HBsAg for six months or more) and encompassing dif</w:t>
      </w:r>
      <w:r w:rsidR="004C41EB" w:rsidRPr="00A64FF0">
        <w:rPr>
          <w:rStyle w:val="Emphasis"/>
          <w:rFonts w:ascii="Book Antiqua" w:hAnsi="Book Antiqua" w:cs="Book Antiqua"/>
          <w:i w:val="0"/>
          <w:iCs w:val="0"/>
          <w:sz w:val="24"/>
          <w:szCs w:val="24"/>
          <w:lang w:val="en-US"/>
        </w:rPr>
        <w:t xml:space="preserve">ferent phases (immune-tolerant, </w:t>
      </w:r>
      <w:r w:rsidRPr="00A64FF0">
        <w:rPr>
          <w:rStyle w:val="Emphasis"/>
          <w:rFonts w:ascii="Book Antiqua" w:hAnsi="Book Antiqua" w:cs="Book Antiqua"/>
          <w:i w:val="0"/>
          <w:iCs w:val="0"/>
          <w:sz w:val="24"/>
          <w:szCs w:val="24"/>
          <w:lang w:val="en-US"/>
        </w:rPr>
        <w:t>HbeAg-positive immune-active, HBeAg-negative immune reactivation).</w:t>
      </w:r>
    </w:p>
    <w:p w:rsidR="00CC5C47" w:rsidRPr="00A64FF0" w:rsidRDefault="00705D53" w:rsidP="00467AE1">
      <w:pPr>
        <w:adjustRightInd w:val="0"/>
        <w:snapToGrid w:val="0"/>
        <w:spacing w:after="0" w:line="360" w:lineRule="auto"/>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Acitretin is t</w:t>
      </w:r>
      <w:r w:rsidR="00CC5C47" w:rsidRPr="00A64FF0">
        <w:rPr>
          <w:rStyle w:val="Emphasis"/>
          <w:rFonts w:ascii="Book Antiqua" w:hAnsi="Book Antiqua" w:cs="Book Antiqua"/>
          <w:i w:val="0"/>
          <w:iCs w:val="0"/>
          <w:sz w:val="24"/>
          <w:szCs w:val="24"/>
          <w:lang w:val="en-US"/>
        </w:rPr>
        <w:t xml:space="preserve">he only drug that could be </w:t>
      </w:r>
      <w:r w:rsidRPr="00A64FF0">
        <w:rPr>
          <w:rStyle w:val="Emphasis"/>
          <w:rFonts w:ascii="Book Antiqua" w:hAnsi="Book Antiqua" w:cs="Book Antiqua"/>
          <w:i w:val="0"/>
          <w:iCs w:val="0"/>
          <w:sz w:val="24"/>
          <w:szCs w:val="24"/>
          <w:lang w:val="en-US"/>
        </w:rPr>
        <w:t>administered</w:t>
      </w:r>
      <w:r w:rsidR="00CC5C47" w:rsidRPr="00A64FF0">
        <w:rPr>
          <w:rStyle w:val="Emphasis"/>
          <w:rFonts w:ascii="Book Antiqua" w:hAnsi="Book Antiqua" w:cs="Book Antiqua"/>
          <w:i w:val="0"/>
          <w:iCs w:val="0"/>
          <w:sz w:val="24"/>
          <w:szCs w:val="24"/>
          <w:lang w:val="en-US"/>
        </w:rPr>
        <w:t xml:space="preserve"> du</w:t>
      </w:r>
      <w:r w:rsidRPr="00A64FF0">
        <w:rPr>
          <w:rStyle w:val="Emphasis"/>
          <w:rFonts w:ascii="Book Antiqua" w:hAnsi="Book Antiqua" w:cs="Book Antiqua"/>
          <w:i w:val="0"/>
          <w:iCs w:val="0"/>
          <w:sz w:val="24"/>
          <w:szCs w:val="24"/>
          <w:lang w:val="en-US"/>
        </w:rPr>
        <w:t>ring the active phases of</w:t>
      </w:r>
      <w:r w:rsidR="00AF6104"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HBV infection</w:t>
      </w:r>
      <w:r w:rsidR="00CC5C47" w:rsidRPr="00A64FF0">
        <w:rPr>
          <w:rStyle w:val="Emphasis"/>
          <w:rFonts w:ascii="Book Antiqua" w:hAnsi="Book Antiqua" w:cs="Book Antiqua"/>
          <w:i w:val="0"/>
          <w:iCs w:val="0"/>
          <w:sz w:val="24"/>
          <w:szCs w:val="24"/>
          <w:lang w:val="en-US"/>
        </w:rPr>
        <w:t>. However</w:t>
      </w:r>
      <w:r w:rsidRPr="00A64FF0">
        <w:rPr>
          <w:rStyle w:val="Emphasis"/>
          <w:rFonts w:ascii="Book Antiqua" w:hAnsi="Book Antiqua" w:cs="Book Antiqua"/>
          <w:i w:val="0"/>
          <w:iCs w:val="0"/>
          <w:sz w:val="24"/>
          <w:szCs w:val="24"/>
          <w:lang w:val="en-US"/>
        </w:rPr>
        <w:t>, the administration of</w:t>
      </w:r>
      <w:r w:rsidR="00CC5C47" w:rsidRPr="00A64FF0">
        <w:rPr>
          <w:rStyle w:val="Emphasis"/>
          <w:rFonts w:ascii="Book Antiqua" w:hAnsi="Book Antiqua" w:cs="Book Antiqua"/>
          <w:i w:val="0"/>
          <w:iCs w:val="0"/>
          <w:sz w:val="24"/>
          <w:szCs w:val="24"/>
          <w:lang w:val="en-US"/>
        </w:rPr>
        <w:t xml:space="preserve"> said</w:t>
      </w:r>
      <w:r w:rsidR="004C41EB" w:rsidRPr="00A64FF0">
        <w:rPr>
          <w:rStyle w:val="Emphasis"/>
          <w:rFonts w:ascii="Book Antiqua" w:hAnsi="Book Antiqua" w:cs="Book Antiqua"/>
          <w:i w:val="0"/>
          <w:iCs w:val="0"/>
          <w:sz w:val="24"/>
          <w:szCs w:val="24"/>
          <w:lang w:val="en-US"/>
        </w:rPr>
        <w:t xml:space="preserve"> drug should be reserved only for</w:t>
      </w:r>
      <w:r w:rsidR="00CC5C47" w:rsidRPr="00A64FF0">
        <w:rPr>
          <w:rStyle w:val="Emphasis"/>
          <w:rFonts w:ascii="Book Antiqua" w:hAnsi="Book Antiqua" w:cs="Book Antiqua"/>
          <w:i w:val="0"/>
          <w:iCs w:val="0"/>
          <w:sz w:val="24"/>
          <w:szCs w:val="24"/>
          <w:lang w:val="en-US"/>
        </w:rPr>
        <w:t xml:space="preserve"> selected cases without a severe impairment of liver function.</w:t>
      </w:r>
    </w:p>
    <w:p w:rsidR="00967C2E" w:rsidRPr="00A64FF0" w:rsidRDefault="00DA5E31"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 xml:space="preserve">In </w:t>
      </w:r>
      <w:r w:rsidR="00705D53" w:rsidRPr="00A64FF0">
        <w:rPr>
          <w:rStyle w:val="Emphasis"/>
          <w:rFonts w:ascii="Book Antiqua" w:hAnsi="Book Antiqua" w:cs="Book Antiqua"/>
          <w:i w:val="0"/>
          <w:iCs w:val="0"/>
          <w:sz w:val="24"/>
          <w:szCs w:val="24"/>
          <w:lang w:val="en-US"/>
        </w:rPr>
        <w:t>daily</w:t>
      </w:r>
      <w:r w:rsidR="00CC5C47" w:rsidRPr="00A64FF0">
        <w:rPr>
          <w:rStyle w:val="Emphasis"/>
          <w:rFonts w:ascii="Book Antiqua" w:hAnsi="Book Antiqua" w:cs="Book Antiqua"/>
          <w:i w:val="0"/>
          <w:iCs w:val="0"/>
          <w:sz w:val="24"/>
          <w:szCs w:val="24"/>
          <w:lang w:val="en-US"/>
        </w:rPr>
        <w:t xml:space="preserve"> clinical practice the more frequent scenarios</w:t>
      </w:r>
      <w:r w:rsidR="00F95793"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that can be encountered are represented by patients with serological markers indicative of a previous exposure to HBV</w:t>
      </w:r>
      <w:r w:rsidR="00842247" w:rsidRPr="00A64FF0">
        <w:rPr>
          <w:rStyle w:val="Emphasis"/>
          <w:rFonts w:ascii="Book Antiqua" w:hAnsi="Book Antiqua" w:cs="Book Antiqua"/>
          <w:i w:val="0"/>
          <w:iCs w:val="0"/>
          <w:sz w:val="24"/>
          <w:szCs w:val="24"/>
          <w:lang w:val="en-US"/>
        </w:rPr>
        <w:t>,</w:t>
      </w:r>
      <w:r w:rsidR="00CC5C47" w:rsidRPr="00A64FF0">
        <w:rPr>
          <w:rStyle w:val="Emphasis"/>
          <w:rFonts w:ascii="Book Antiqua" w:hAnsi="Book Antiqua" w:cs="Book Antiqua"/>
          <w:i w:val="0"/>
          <w:iCs w:val="0"/>
          <w:sz w:val="24"/>
          <w:szCs w:val="24"/>
          <w:lang w:val="en-US"/>
        </w:rPr>
        <w:t xml:space="preserve"> with low or undetectable viral load. In particular</w:t>
      </w:r>
      <w:r w:rsidR="00842247" w:rsidRPr="00A64FF0">
        <w:rPr>
          <w:rStyle w:val="Emphasis"/>
          <w:rFonts w:ascii="Book Antiqua" w:hAnsi="Book Antiqua" w:cs="Book Antiqua"/>
          <w:i w:val="0"/>
          <w:iCs w:val="0"/>
          <w:sz w:val="24"/>
          <w:szCs w:val="24"/>
          <w:lang w:val="en-US"/>
        </w:rPr>
        <w:t>,</w:t>
      </w:r>
      <w:r w:rsidR="00CC5C47" w:rsidRPr="00A64FF0">
        <w:rPr>
          <w:rStyle w:val="Emphasis"/>
          <w:rFonts w:ascii="Book Antiqua" w:hAnsi="Book Antiqua" w:cs="Book Antiqua"/>
          <w:i w:val="0"/>
          <w:iCs w:val="0"/>
          <w:sz w:val="24"/>
          <w:szCs w:val="24"/>
          <w:lang w:val="en-US"/>
        </w:rPr>
        <w:t xml:space="preserve"> the</w:t>
      </w:r>
      <w:r w:rsidR="00842247" w:rsidRPr="00A64FF0">
        <w:rPr>
          <w:rStyle w:val="Emphasis"/>
          <w:rFonts w:ascii="Book Antiqua" w:hAnsi="Book Antiqua" w:cs="Book Antiqua"/>
          <w:i w:val="0"/>
          <w:iCs w:val="0"/>
          <w:sz w:val="24"/>
          <w:szCs w:val="24"/>
          <w:lang w:val="en-US"/>
        </w:rPr>
        <w:t>se</w:t>
      </w:r>
      <w:r w:rsidR="00CC5C47" w:rsidRPr="00A64FF0">
        <w:rPr>
          <w:rStyle w:val="Emphasis"/>
          <w:rFonts w:ascii="Book Antiqua" w:hAnsi="Book Antiqua" w:cs="Book Antiqua"/>
          <w:i w:val="0"/>
          <w:iCs w:val="0"/>
          <w:sz w:val="24"/>
          <w:szCs w:val="24"/>
          <w:lang w:val="en-US"/>
        </w:rPr>
        <w:t xml:space="preserve"> subjects can be in</w:t>
      </w:r>
      <w:r w:rsidR="00AE03F0"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one of the following infectious phases</w:t>
      </w:r>
      <w:r w:rsidR="00936ED5" w:rsidRPr="00A64FF0">
        <w:rPr>
          <w:rStyle w:val="Emphasis"/>
          <w:rFonts w:ascii="Book Antiqua" w:hAnsi="Book Antiqua" w:cs="Book Antiqua"/>
          <w:i w:val="0"/>
          <w:iCs w:val="0"/>
          <w:sz w:val="24"/>
          <w:szCs w:val="24"/>
          <w:lang w:val="en-US"/>
        </w:rPr>
        <w:t xml:space="preserve">: </w:t>
      </w:r>
      <w:r w:rsidR="001944E8" w:rsidRPr="00A64FF0">
        <w:rPr>
          <w:rStyle w:val="Emphasis"/>
          <w:rFonts w:ascii="Book Antiqua" w:hAnsi="Book Antiqua" w:cs="Book Antiqua"/>
          <w:i w:val="0"/>
          <w:iCs w:val="0"/>
          <w:sz w:val="24"/>
          <w:szCs w:val="24"/>
          <w:lang w:val="en-US" w:eastAsia="zh-CN"/>
        </w:rPr>
        <w:t>(1</w:t>
      </w:r>
      <w:r w:rsidR="00936ED5" w:rsidRPr="00A64FF0">
        <w:rPr>
          <w:rStyle w:val="Emphasis"/>
          <w:rFonts w:ascii="Book Antiqua" w:hAnsi="Book Antiqua" w:cs="Book Antiqua"/>
          <w:i w:val="0"/>
          <w:iCs w:val="0"/>
          <w:sz w:val="24"/>
          <w:szCs w:val="24"/>
          <w:lang w:val="en-US"/>
        </w:rPr>
        <w:t>) inactive</w:t>
      </w:r>
      <w:r w:rsidR="00626926" w:rsidRPr="00A64FF0">
        <w:rPr>
          <w:rStyle w:val="Emphasis"/>
          <w:rFonts w:ascii="Book Antiqua" w:hAnsi="Book Antiqua" w:cs="Book Antiqua"/>
          <w:i w:val="0"/>
          <w:iCs w:val="0"/>
          <w:sz w:val="24"/>
          <w:szCs w:val="24"/>
          <w:lang w:val="en-US"/>
        </w:rPr>
        <w:t xml:space="preserve"> HBV infection </w:t>
      </w:r>
      <w:r w:rsidR="001944E8" w:rsidRPr="00A64FF0">
        <w:rPr>
          <w:rStyle w:val="Emphasis"/>
          <w:rFonts w:ascii="Book Antiqua" w:hAnsi="Book Antiqua" w:cs="Book Antiqua"/>
          <w:i w:val="0"/>
          <w:iCs w:val="0"/>
          <w:sz w:val="24"/>
          <w:szCs w:val="24"/>
          <w:lang w:val="en-US" w:eastAsia="zh-CN"/>
        </w:rPr>
        <w:t>[</w:t>
      </w:r>
      <w:r w:rsidR="00626926" w:rsidRPr="00A64FF0">
        <w:rPr>
          <w:rStyle w:val="Emphasis"/>
          <w:rFonts w:ascii="Book Antiqua" w:hAnsi="Book Antiqua" w:cs="Book Antiqua"/>
          <w:i w:val="0"/>
          <w:iCs w:val="0"/>
          <w:sz w:val="24"/>
          <w:szCs w:val="24"/>
          <w:lang w:val="en-US"/>
        </w:rPr>
        <w:t>serum HBV DNA</w:t>
      </w:r>
      <w:r w:rsidR="007F51F5" w:rsidRPr="00A64FF0">
        <w:rPr>
          <w:rStyle w:val="Emphasis"/>
          <w:rFonts w:ascii="Book Antiqua" w:hAnsi="Book Antiqua" w:cs="Book Antiqua"/>
          <w:i w:val="0"/>
          <w:iCs w:val="0"/>
          <w:sz w:val="24"/>
          <w:szCs w:val="24"/>
          <w:lang w:val="en-US" w:eastAsia="zh-CN"/>
        </w:rPr>
        <w:t xml:space="preserve"> </w:t>
      </w:r>
      <w:r w:rsidR="001944E8" w:rsidRPr="00A64FF0">
        <w:rPr>
          <w:rStyle w:val="Emphasis"/>
          <w:rFonts w:ascii="Book Antiqua" w:hAnsi="Book Antiqua" w:cs="Book Antiqua"/>
          <w:i w:val="0"/>
          <w:iCs w:val="0"/>
          <w:sz w:val="24"/>
          <w:szCs w:val="24"/>
          <w:lang w:val="en-US"/>
        </w:rPr>
        <w:t>&lt; 2</w:t>
      </w:r>
      <w:r w:rsidR="00CC5C47" w:rsidRPr="00A64FF0">
        <w:rPr>
          <w:rStyle w:val="Emphasis"/>
          <w:rFonts w:ascii="Book Antiqua" w:hAnsi="Book Antiqua" w:cs="Book Antiqua"/>
          <w:i w:val="0"/>
          <w:iCs w:val="0"/>
          <w:sz w:val="24"/>
          <w:szCs w:val="24"/>
          <w:lang w:val="en-US"/>
        </w:rPr>
        <w:t>000 IU/mL, normal</w:t>
      </w:r>
      <w:r w:rsidR="00483C38" w:rsidRPr="00A64FF0">
        <w:rPr>
          <w:rStyle w:val="Emphasis"/>
          <w:rFonts w:ascii="Book Antiqua" w:hAnsi="Book Antiqua" w:cs="Book Antiqua"/>
          <w:i w:val="0"/>
          <w:iCs w:val="0"/>
          <w:sz w:val="24"/>
          <w:szCs w:val="24"/>
          <w:lang w:val="en-US"/>
        </w:rPr>
        <w:t xml:space="preserve"> alanin aminotransferase</w:t>
      </w:r>
      <w:r w:rsidR="001944E8" w:rsidRPr="00A64FF0">
        <w:rPr>
          <w:rStyle w:val="Emphasis"/>
          <w:rFonts w:ascii="Book Antiqua" w:hAnsi="Book Antiqua" w:cs="Book Antiqua"/>
          <w:i w:val="0"/>
          <w:iCs w:val="0"/>
          <w:sz w:val="24"/>
          <w:szCs w:val="24"/>
          <w:lang w:val="en-US" w:eastAsia="zh-CN"/>
        </w:rPr>
        <w:t xml:space="preserve"> (</w:t>
      </w:r>
      <w:r w:rsidR="00CC5C47" w:rsidRPr="00A64FF0">
        <w:rPr>
          <w:rStyle w:val="Emphasis"/>
          <w:rFonts w:ascii="Book Antiqua" w:hAnsi="Book Antiqua" w:cs="Book Antiqua"/>
          <w:i w:val="0"/>
          <w:iCs w:val="0"/>
          <w:sz w:val="24"/>
          <w:szCs w:val="24"/>
          <w:lang w:val="en-US"/>
        </w:rPr>
        <w:t>ALT</w:t>
      </w:r>
      <w:r w:rsidR="001944E8" w:rsidRPr="00A64FF0">
        <w:rPr>
          <w:rStyle w:val="Emphasis"/>
          <w:rFonts w:ascii="Book Antiqua" w:hAnsi="Book Antiqua" w:cs="Book Antiqua"/>
          <w:i w:val="0"/>
          <w:iCs w:val="0"/>
          <w:sz w:val="24"/>
          <w:szCs w:val="24"/>
          <w:lang w:val="en-US" w:eastAsia="zh-CN"/>
        </w:rPr>
        <w:t>)</w:t>
      </w:r>
      <w:r w:rsidR="00AE03F0" w:rsidRPr="00A64FF0">
        <w:rPr>
          <w:rStyle w:val="Emphasis"/>
          <w:rFonts w:ascii="Book Antiqua" w:hAnsi="Book Antiqua" w:cs="Book Antiqua"/>
          <w:i w:val="0"/>
          <w:iCs w:val="0"/>
          <w:sz w:val="24"/>
          <w:szCs w:val="24"/>
          <w:lang w:val="en-US"/>
        </w:rPr>
        <w:t xml:space="preserve"> </w:t>
      </w:r>
      <w:r w:rsidR="00905D77" w:rsidRPr="00A64FF0">
        <w:rPr>
          <w:rStyle w:val="Emphasis"/>
          <w:rFonts w:ascii="Book Antiqua" w:hAnsi="Book Antiqua" w:cs="Book Antiqua"/>
          <w:i w:val="0"/>
          <w:iCs w:val="0"/>
          <w:sz w:val="24"/>
          <w:szCs w:val="24"/>
          <w:lang w:val="en-US"/>
        </w:rPr>
        <w:t>levels,</w:t>
      </w:r>
      <w:r w:rsidR="00CC5C47" w:rsidRPr="00A64FF0">
        <w:rPr>
          <w:rStyle w:val="Emphasis"/>
          <w:rFonts w:ascii="Book Antiqua" w:hAnsi="Book Antiqua" w:cs="Book Antiqua"/>
          <w:i w:val="0"/>
          <w:iCs w:val="0"/>
          <w:sz w:val="24"/>
          <w:szCs w:val="24"/>
          <w:lang w:val="en-US"/>
        </w:rPr>
        <w:t xml:space="preserve"> HBsAg present, </w:t>
      </w:r>
      <w:r w:rsidR="001B1120" w:rsidRPr="00A64FF0">
        <w:rPr>
          <w:rStyle w:val="Emphasis"/>
          <w:rFonts w:ascii="Book Antiqua" w:hAnsi="Book Antiqua" w:cs="Book Antiqua"/>
          <w:i w:val="0"/>
          <w:iCs w:val="0"/>
          <w:sz w:val="24"/>
          <w:szCs w:val="24"/>
          <w:lang w:val="en-US"/>
        </w:rPr>
        <w:t xml:space="preserve">antibody to hepatitis B </w:t>
      </w:r>
      <w:r w:rsidR="001B1120" w:rsidRPr="00A64FF0">
        <w:rPr>
          <w:rStyle w:val="Emphasis"/>
          <w:rFonts w:ascii="Book Antiqua" w:hAnsi="Book Antiqua" w:cs="Book Antiqua"/>
          <w:i w:val="0"/>
          <w:iCs w:val="0"/>
          <w:sz w:val="24"/>
          <w:szCs w:val="24"/>
          <w:lang w:val="en-US"/>
        </w:rPr>
        <w:lastRenderedPageBreak/>
        <w:t>envelope antigen</w:t>
      </w:r>
      <w:r w:rsidR="001944E8" w:rsidRPr="00A64FF0">
        <w:rPr>
          <w:rStyle w:val="Emphasis"/>
          <w:rFonts w:ascii="Book Antiqua" w:hAnsi="Book Antiqua" w:cs="Book Antiqua"/>
          <w:i w:val="0"/>
          <w:iCs w:val="0"/>
          <w:sz w:val="24"/>
          <w:szCs w:val="24"/>
          <w:vertAlign w:val="superscript"/>
          <w:lang w:val="en-US"/>
        </w:rPr>
        <w:t>[</w:t>
      </w:r>
      <w:r w:rsidR="00CC5C47" w:rsidRPr="00A64FF0">
        <w:rPr>
          <w:rStyle w:val="Emphasis"/>
          <w:rFonts w:ascii="Book Antiqua" w:hAnsi="Book Antiqua" w:cs="Book Antiqua"/>
          <w:i w:val="0"/>
          <w:iCs w:val="0"/>
          <w:sz w:val="24"/>
          <w:szCs w:val="24"/>
          <w:lang w:val="en-US"/>
        </w:rPr>
        <w:t>anti-HBeAg</w:t>
      </w:r>
      <w:r w:rsidR="001B1120" w:rsidRPr="00A64FF0">
        <w:rPr>
          <w:rStyle w:val="Emphasis"/>
          <w:rFonts w:ascii="Book Antiqua" w:hAnsi="Book Antiqua" w:cs="Book Antiqua"/>
          <w:i w:val="0"/>
          <w:iCs w:val="0"/>
          <w:sz w:val="24"/>
          <w:szCs w:val="24"/>
          <w:lang w:val="en-US"/>
        </w:rPr>
        <w:t>]</w:t>
      </w:r>
      <w:r w:rsidR="00CC5C47" w:rsidRPr="00A64FF0">
        <w:rPr>
          <w:rStyle w:val="Emphasis"/>
          <w:rFonts w:ascii="Book Antiqua" w:hAnsi="Book Antiqua" w:cs="Book Antiqua"/>
          <w:i w:val="0"/>
          <w:iCs w:val="0"/>
          <w:sz w:val="24"/>
          <w:szCs w:val="24"/>
          <w:lang w:val="en-US"/>
        </w:rPr>
        <w:t xml:space="preserve"> present, minimal liver necroinflammation but variable fibrosis); </w:t>
      </w:r>
      <w:r w:rsidR="001944E8" w:rsidRPr="00A64FF0">
        <w:rPr>
          <w:rStyle w:val="Emphasis"/>
          <w:rFonts w:ascii="Book Antiqua" w:hAnsi="Book Antiqua" w:cs="Book Antiqua"/>
          <w:i w:val="0"/>
          <w:iCs w:val="0"/>
          <w:sz w:val="24"/>
          <w:szCs w:val="24"/>
          <w:lang w:val="en-US" w:eastAsia="zh-CN"/>
        </w:rPr>
        <w:t>(2</w:t>
      </w:r>
      <w:r w:rsidR="00CC5C47" w:rsidRPr="00A64FF0">
        <w:rPr>
          <w:rStyle w:val="Emphasis"/>
          <w:rFonts w:ascii="Book Antiqua" w:hAnsi="Book Antiqua" w:cs="Book Antiqua"/>
          <w:i w:val="0"/>
          <w:iCs w:val="0"/>
          <w:sz w:val="24"/>
          <w:szCs w:val="24"/>
          <w:lang w:val="en-US"/>
        </w:rPr>
        <w:t>) occult HBV infection (serum HBV DNA &lt; 200 IU/mL</w:t>
      </w:r>
      <w:r w:rsidR="00AE03F0"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or undetec</w:t>
      </w:r>
      <w:r w:rsidR="00BE4857" w:rsidRPr="00A64FF0">
        <w:rPr>
          <w:rStyle w:val="Emphasis"/>
          <w:rFonts w:ascii="Book Antiqua" w:hAnsi="Book Antiqua" w:cs="Book Antiqua"/>
          <w:i w:val="0"/>
          <w:iCs w:val="0"/>
          <w:sz w:val="24"/>
          <w:szCs w:val="24"/>
          <w:lang w:val="en-US"/>
        </w:rPr>
        <w:t>table, HbsAg negative,</w:t>
      </w:r>
      <w:r w:rsidR="00AE03F0" w:rsidRPr="00A64FF0">
        <w:rPr>
          <w:rStyle w:val="Emphasis"/>
          <w:rFonts w:ascii="Book Antiqua" w:hAnsi="Book Antiqua" w:cs="Book Antiqua"/>
          <w:i w:val="0"/>
          <w:iCs w:val="0"/>
          <w:sz w:val="24"/>
          <w:szCs w:val="24"/>
          <w:lang w:val="en-US"/>
        </w:rPr>
        <w:t xml:space="preserve"> </w:t>
      </w:r>
      <w:r w:rsidR="00BE4857" w:rsidRPr="00A64FF0">
        <w:rPr>
          <w:rStyle w:val="Emphasis"/>
          <w:rFonts w:ascii="Book Antiqua" w:hAnsi="Book Antiqua" w:cs="Book Antiqua"/>
          <w:i w:val="0"/>
          <w:iCs w:val="0"/>
          <w:sz w:val="24"/>
          <w:szCs w:val="24"/>
          <w:lang w:val="en-US"/>
        </w:rPr>
        <w:t>anti-HBc</w:t>
      </w:r>
      <w:r w:rsidR="00CC5C47" w:rsidRPr="00A64FF0">
        <w:rPr>
          <w:rStyle w:val="Emphasis"/>
          <w:rFonts w:ascii="Book Antiqua" w:hAnsi="Book Antiqua" w:cs="Book Antiqua"/>
          <w:i w:val="0"/>
          <w:iCs w:val="0"/>
          <w:sz w:val="24"/>
          <w:szCs w:val="24"/>
          <w:lang w:val="en-US"/>
        </w:rPr>
        <w:t xml:space="preserve"> positive,</w:t>
      </w:r>
      <w:r w:rsidR="00AE03F0"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anti-HBs negative</w:t>
      </w:r>
      <w:r w:rsidR="001B1120" w:rsidRPr="00A64FF0">
        <w:rPr>
          <w:rStyle w:val="Emphasis"/>
          <w:rFonts w:ascii="Book Antiqua" w:hAnsi="Book Antiqua" w:cs="Book Antiqua"/>
          <w:i w:val="0"/>
          <w:iCs w:val="0"/>
          <w:sz w:val="24"/>
          <w:szCs w:val="24"/>
          <w:lang w:val="en-US"/>
        </w:rPr>
        <w:t>)</w:t>
      </w:r>
      <w:r w:rsidR="001944E8" w:rsidRPr="00A64FF0">
        <w:rPr>
          <w:rStyle w:val="Emphasis"/>
          <w:rFonts w:ascii="Book Antiqua" w:hAnsi="Book Antiqua" w:cs="Book Antiqua"/>
          <w:i w:val="0"/>
          <w:iCs w:val="0"/>
          <w:sz w:val="24"/>
          <w:szCs w:val="24"/>
          <w:lang w:val="en-US"/>
        </w:rPr>
        <w:t xml:space="preserve">; </w:t>
      </w:r>
      <w:r w:rsidR="007F51F5" w:rsidRPr="00A64FF0">
        <w:rPr>
          <w:rStyle w:val="Emphasis"/>
          <w:rFonts w:ascii="Book Antiqua" w:hAnsi="Book Antiqua" w:cs="Book Antiqua"/>
          <w:i w:val="0"/>
          <w:iCs w:val="0"/>
          <w:sz w:val="24"/>
          <w:szCs w:val="24"/>
          <w:lang w:val="en-US" w:eastAsia="zh-CN"/>
        </w:rPr>
        <w:t xml:space="preserve">and </w:t>
      </w:r>
      <w:r w:rsidR="001944E8" w:rsidRPr="00A64FF0">
        <w:rPr>
          <w:rStyle w:val="Emphasis"/>
          <w:rFonts w:ascii="Book Antiqua" w:hAnsi="Book Antiqua" w:cs="Book Antiqua"/>
          <w:i w:val="0"/>
          <w:iCs w:val="0"/>
          <w:sz w:val="24"/>
          <w:szCs w:val="24"/>
          <w:lang w:val="en-US" w:eastAsia="zh-CN"/>
        </w:rPr>
        <w:t>(3</w:t>
      </w:r>
      <w:r w:rsidR="00CC5C47" w:rsidRPr="00A64FF0">
        <w:rPr>
          <w:rStyle w:val="Emphasis"/>
          <w:rFonts w:ascii="Book Antiqua" w:hAnsi="Book Antiqua" w:cs="Book Antiqua"/>
          <w:i w:val="0"/>
          <w:iCs w:val="0"/>
          <w:sz w:val="24"/>
          <w:szCs w:val="24"/>
          <w:lang w:val="en-US"/>
        </w:rPr>
        <w:t xml:space="preserve">) resolved HBV infection </w:t>
      </w:r>
      <w:r w:rsidR="001944E8" w:rsidRPr="00A64FF0">
        <w:rPr>
          <w:rStyle w:val="Emphasis"/>
          <w:rFonts w:ascii="Book Antiqua" w:hAnsi="Book Antiqua" w:cs="Book Antiqua"/>
          <w:i w:val="0"/>
          <w:iCs w:val="0"/>
          <w:sz w:val="24"/>
          <w:szCs w:val="24"/>
          <w:lang w:val="en-US" w:eastAsia="zh-CN"/>
        </w:rPr>
        <w:t>[(</w:t>
      </w:r>
      <w:r w:rsidR="00CC5C47" w:rsidRPr="00A64FF0">
        <w:rPr>
          <w:rStyle w:val="Emphasis"/>
          <w:rFonts w:ascii="Book Antiqua" w:hAnsi="Book Antiqua" w:cs="Book Antiqua"/>
          <w:i w:val="0"/>
          <w:iCs w:val="0"/>
          <w:sz w:val="24"/>
          <w:szCs w:val="24"/>
          <w:lang w:val="en-US"/>
        </w:rPr>
        <w:t>rHB</w:t>
      </w:r>
      <w:r w:rsidR="006C54B2" w:rsidRPr="00A64FF0">
        <w:rPr>
          <w:rStyle w:val="Emphasis"/>
          <w:rFonts w:ascii="Book Antiqua" w:hAnsi="Book Antiqua" w:cs="Book Antiqua"/>
          <w:i w:val="0"/>
          <w:iCs w:val="0"/>
          <w:sz w:val="24"/>
          <w:szCs w:val="24"/>
          <w:lang w:val="en-US"/>
        </w:rPr>
        <w:t>V</w:t>
      </w:r>
      <w:r w:rsidR="001944E8" w:rsidRPr="00A64FF0">
        <w:rPr>
          <w:rStyle w:val="Emphasis"/>
          <w:rFonts w:ascii="Book Antiqua" w:hAnsi="Book Antiqua" w:cs="Book Antiqua"/>
          <w:i w:val="0"/>
          <w:iCs w:val="0"/>
          <w:sz w:val="24"/>
          <w:szCs w:val="24"/>
          <w:lang w:val="en-US" w:eastAsia="zh-CN"/>
        </w:rPr>
        <w:t>)</w:t>
      </w:r>
      <w:r w:rsidR="006C54B2" w:rsidRPr="00A64FF0">
        <w:rPr>
          <w:rStyle w:val="Emphasis"/>
          <w:rFonts w:ascii="Book Antiqua" w:hAnsi="Book Antiqua" w:cs="Book Antiqua"/>
          <w:i w:val="0"/>
          <w:iCs w:val="0"/>
          <w:sz w:val="24"/>
          <w:szCs w:val="24"/>
          <w:lang w:val="en-US"/>
        </w:rPr>
        <w:t>; anti-HBs positive</w:t>
      </w:r>
      <w:r w:rsidR="001944E8" w:rsidRPr="00A64FF0">
        <w:rPr>
          <w:rStyle w:val="Emphasis"/>
          <w:rFonts w:ascii="Book Antiqua" w:hAnsi="Book Antiqua" w:cs="Book Antiqua"/>
          <w:i w:val="0"/>
          <w:iCs w:val="0"/>
          <w:sz w:val="24"/>
          <w:szCs w:val="24"/>
          <w:lang w:val="en-US" w:eastAsia="zh-CN"/>
        </w:rPr>
        <w:t xml:space="preserve"> </w:t>
      </w:r>
      <w:r w:rsidR="006C54B2" w:rsidRPr="00A64FF0">
        <w:rPr>
          <w:rStyle w:val="Emphasis"/>
          <w:rFonts w:ascii="Book Antiqua" w:hAnsi="Book Antiqua" w:cs="Book Antiqua"/>
          <w:i w:val="0"/>
          <w:iCs w:val="0"/>
          <w:sz w:val="24"/>
          <w:szCs w:val="24"/>
          <w:lang w:val="en-US"/>
        </w:rPr>
        <w:t>± anti-HBc</w:t>
      </w:r>
      <w:r w:rsidR="001944E8" w:rsidRPr="00A64FF0">
        <w:rPr>
          <w:rStyle w:val="Emphasis"/>
          <w:rFonts w:ascii="Book Antiqua" w:hAnsi="Book Antiqua" w:cs="Book Antiqua"/>
          <w:i w:val="0"/>
          <w:iCs w:val="0"/>
          <w:sz w:val="24"/>
          <w:szCs w:val="24"/>
          <w:lang w:val="en-US" w:eastAsia="zh-CN"/>
        </w:rPr>
        <w:t>]</w:t>
      </w:r>
      <w:r w:rsidR="00CC5C47" w:rsidRPr="00A64FF0">
        <w:rPr>
          <w:rStyle w:val="Emphasis"/>
          <w:rFonts w:ascii="Book Antiqua" w:hAnsi="Book Antiqua" w:cs="Book Antiqua"/>
          <w:i w:val="0"/>
          <w:iCs w:val="0"/>
          <w:sz w:val="24"/>
          <w:szCs w:val="24"/>
          <w:lang w:val="en-US"/>
        </w:rPr>
        <w:t xml:space="preserve">. Some confusion exists </w:t>
      </w:r>
      <w:r w:rsidR="00842247" w:rsidRPr="00A64FF0">
        <w:rPr>
          <w:rStyle w:val="Emphasis"/>
          <w:rFonts w:ascii="Book Antiqua" w:hAnsi="Book Antiqua" w:cs="Book Antiqua"/>
          <w:i w:val="0"/>
          <w:iCs w:val="0"/>
          <w:sz w:val="24"/>
          <w:szCs w:val="24"/>
          <w:lang w:val="en-US"/>
        </w:rPr>
        <w:t xml:space="preserve">regarding </w:t>
      </w:r>
      <w:r w:rsidR="00CC5C47" w:rsidRPr="00A64FF0">
        <w:rPr>
          <w:rStyle w:val="Emphasis"/>
          <w:rFonts w:ascii="Book Antiqua" w:hAnsi="Book Antiqua" w:cs="Book Antiqua"/>
          <w:i w:val="0"/>
          <w:iCs w:val="0"/>
          <w:sz w:val="24"/>
          <w:szCs w:val="24"/>
          <w:lang w:val="en-US"/>
        </w:rPr>
        <w:t>the terms “occult carrier” and “rHBV”. In fact</w:t>
      </w:r>
      <w:r w:rsidR="00842247" w:rsidRPr="00A64FF0">
        <w:rPr>
          <w:rStyle w:val="Emphasis"/>
          <w:rFonts w:ascii="Book Antiqua" w:hAnsi="Book Antiqua" w:cs="Book Antiqua"/>
          <w:i w:val="0"/>
          <w:iCs w:val="0"/>
          <w:sz w:val="24"/>
          <w:szCs w:val="24"/>
          <w:lang w:val="en-US"/>
        </w:rPr>
        <w:t>,</w:t>
      </w:r>
      <w:r w:rsidR="00CC5C47" w:rsidRPr="00A64FF0">
        <w:rPr>
          <w:rStyle w:val="Emphasis"/>
          <w:rFonts w:ascii="Book Antiqua" w:hAnsi="Book Antiqua" w:cs="Book Antiqua"/>
          <w:i w:val="0"/>
          <w:iCs w:val="0"/>
          <w:sz w:val="24"/>
          <w:szCs w:val="24"/>
          <w:lang w:val="en-US"/>
        </w:rPr>
        <w:t xml:space="preserve"> some </w:t>
      </w:r>
      <w:r w:rsidR="00842247" w:rsidRPr="00A64FF0">
        <w:rPr>
          <w:rStyle w:val="Emphasis"/>
          <w:rFonts w:ascii="Book Antiqua" w:hAnsi="Book Antiqua" w:cs="Book Antiqua"/>
          <w:i w:val="0"/>
          <w:iCs w:val="0"/>
          <w:sz w:val="24"/>
          <w:szCs w:val="24"/>
          <w:lang w:val="en-US"/>
        </w:rPr>
        <w:t>A</w:t>
      </w:r>
      <w:r w:rsidR="00CC5C47" w:rsidRPr="00A64FF0">
        <w:rPr>
          <w:rStyle w:val="Emphasis"/>
          <w:rFonts w:ascii="Book Antiqua" w:hAnsi="Book Antiqua" w:cs="Book Antiqua"/>
          <w:i w:val="0"/>
          <w:iCs w:val="0"/>
          <w:sz w:val="24"/>
          <w:szCs w:val="24"/>
          <w:lang w:val="en-US"/>
        </w:rPr>
        <w:t xml:space="preserve">uthors define as </w:t>
      </w:r>
      <w:r w:rsidR="00842247" w:rsidRPr="00A64FF0">
        <w:rPr>
          <w:rStyle w:val="Emphasis"/>
          <w:rFonts w:ascii="Book Antiqua" w:hAnsi="Book Antiqua" w:cs="Book Antiqua"/>
          <w:i w:val="0"/>
          <w:iCs w:val="0"/>
          <w:sz w:val="24"/>
          <w:szCs w:val="24"/>
          <w:lang w:val="en-US"/>
        </w:rPr>
        <w:t>“</w:t>
      </w:r>
      <w:r w:rsidR="00CC5C47" w:rsidRPr="00A64FF0">
        <w:rPr>
          <w:rStyle w:val="Emphasis"/>
          <w:rFonts w:ascii="Book Antiqua" w:hAnsi="Book Antiqua" w:cs="Book Antiqua"/>
          <w:i w:val="0"/>
          <w:iCs w:val="0"/>
          <w:sz w:val="24"/>
          <w:szCs w:val="24"/>
          <w:lang w:val="en-US"/>
        </w:rPr>
        <w:t>occult carriers</w:t>
      </w:r>
      <w:r w:rsidR="00842247" w:rsidRPr="00A64FF0">
        <w:rPr>
          <w:rStyle w:val="Emphasis"/>
          <w:rFonts w:ascii="Book Antiqua" w:hAnsi="Book Antiqua" w:cs="Book Antiqua"/>
          <w:i w:val="0"/>
          <w:iCs w:val="0"/>
          <w:sz w:val="24"/>
          <w:szCs w:val="24"/>
          <w:lang w:val="en-US"/>
        </w:rPr>
        <w:t>”</w:t>
      </w:r>
      <w:r w:rsidR="00CC5C47" w:rsidRPr="00A64FF0">
        <w:rPr>
          <w:rStyle w:val="Emphasis"/>
          <w:rFonts w:ascii="Book Antiqua" w:hAnsi="Book Antiqua" w:cs="Book Antiqua"/>
          <w:i w:val="0"/>
          <w:iCs w:val="0"/>
          <w:sz w:val="24"/>
          <w:szCs w:val="24"/>
          <w:lang w:val="en-US"/>
        </w:rPr>
        <w:t xml:space="preserve"> (or </w:t>
      </w:r>
      <w:r w:rsidR="00842247" w:rsidRPr="00A64FF0">
        <w:rPr>
          <w:rStyle w:val="Emphasis"/>
          <w:rFonts w:ascii="Book Antiqua" w:hAnsi="Book Antiqua" w:cs="Book Antiqua"/>
          <w:i w:val="0"/>
          <w:iCs w:val="0"/>
          <w:sz w:val="24"/>
          <w:szCs w:val="24"/>
          <w:lang w:val="en-US"/>
        </w:rPr>
        <w:t>“</w:t>
      </w:r>
      <w:r w:rsidR="00CC5C47" w:rsidRPr="00A64FF0">
        <w:rPr>
          <w:rStyle w:val="Emphasis"/>
          <w:rFonts w:ascii="Book Antiqua" w:hAnsi="Book Antiqua" w:cs="Book Antiqua"/>
          <w:i w:val="0"/>
          <w:iCs w:val="0"/>
          <w:sz w:val="24"/>
          <w:szCs w:val="24"/>
          <w:lang w:val="en-US"/>
        </w:rPr>
        <w:t>potential occult carriers</w:t>
      </w:r>
      <w:r w:rsidR="00842247" w:rsidRPr="00A64FF0">
        <w:rPr>
          <w:rStyle w:val="Emphasis"/>
          <w:rFonts w:ascii="Book Antiqua" w:hAnsi="Book Antiqua" w:cs="Book Antiqua"/>
          <w:i w:val="0"/>
          <w:iCs w:val="0"/>
          <w:sz w:val="24"/>
          <w:szCs w:val="24"/>
          <w:lang w:val="en-US"/>
        </w:rPr>
        <w:t>”</w:t>
      </w:r>
      <w:r w:rsidR="00CC5C47" w:rsidRPr="00A64FF0">
        <w:rPr>
          <w:rStyle w:val="Emphasis"/>
          <w:rFonts w:ascii="Book Antiqua" w:hAnsi="Book Antiqua" w:cs="Book Antiqua"/>
          <w:i w:val="0"/>
          <w:iCs w:val="0"/>
          <w:sz w:val="24"/>
          <w:szCs w:val="24"/>
          <w:lang w:val="en-US"/>
        </w:rPr>
        <w:t xml:space="preserve">) those patients who are </w:t>
      </w:r>
      <w:r w:rsidR="00842247" w:rsidRPr="00A64FF0">
        <w:rPr>
          <w:rStyle w:val="Emphasis"/>
          <w:rFonts w:ascii="Book Antiqua" w:hAnsi="Book Antiqua" w:cs="Book Antiqua"/>
          <w:i w:val="0"/>
          <w:iCs w:val="0"/>
          <w:sz w:val="24"/>
          <w:szCs w:val="24"/>
          <w:lang w:val="en-US"/>
        </w:rPr>
        <w:t>indicated</w:t>
      </w:r>
      <w:r w:rsidR="00905D77" w:rsidRPr="00A64FF0">
        <w:rPr>
          <w:rStyle w:val="Emphasis"/>
          <w:rFonts w:ascii="Book Antiqua" w:hAnsi="Book Antiqua" w:cs="Book Antiqua"/>
          <w:i w:val="0"/>
          <w:iCs w:val="0"/>
          <w:sz w:val="24"/>
          <w:szCs w:val="24"/>
          <w:lang w:val="en-US"/>
        </w:rPr>
        <w:t xml:space="preserve"> by other Authors</w:t>
      </w:r>
      <w:r w:rsidR="00CC5C47" w:rsidRPr="00A64FF0">
        <w:rPr>
          <w:rStyle w:val="Emphasis"/>
          <w:rFonts w:ascii="Book Antiqua" w:hAnsi="Book Antiqua" w:cs="Book Antiqua"/>
          <w:i w:val="0"/>
          <w:iCs w:val="0"/>
          <w:sz w:val="24"/>
          <w:szCs w:val="24"/>
          <w:lang w:val="en-US"/>
        </w:rPr>
        <w:t xml:space="preserve"> as rHBV</w:t>
      </w:r>
      <w:r w:rsidR="00AE03F0"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and vice versa</w:t>
      </w:r>
      <w:r w:rsidR="001944E8" w:rsidRPr="00A64FF0">
        <w:rPr>
          <w:rStyle w:val="Emphasis"/>
          <w:rFonts w:ascii="Book Antiqua" w:hAnsi="Book Antiqua" w:cs="Book Antiqua"/>
          <w:i w:val="0"/>
          <w:iCs w:val="0"/>
          <w:sz w:val="24"/>
          <w:szCs w:val="24"/>
          <w:vertAlign w:val="superscript"/>
          <w:lang w:val="en-US"/>
        </w:rPr>
        <w:t>[</w:t>
      </w:r>
      <w:r w:rsidR="00CC5C47" w:rsidRPr="00A64FF0">
        <w:rPr>
          <w:rStyle w:val="Emphasis"/>
          <w:rFonts w:ascii="Book Antiqua" w:hAnsi="Book Antiqua" w:cs="Book Antiqua"/>
          <w:i w:val="0"/>
          <w:iCs w:val="0"/>
          <w:sz w:val="24"/>
          <w:szCs w:val="24"/>
          <w:vertAlign w:val="superscript"/>
          <w:lang w:val="en-US"/>
        </w:rPr>
        <w:t>22-27]</w:t>
      </w:r>
      <w:r w:rsidR="00CC5C47" w:rsidRPr="00A64FF0">
        <w:rPr>
          <w:rStyle w:val="Emphasis"/>
          <w:rFonts w:ascii="Book Antiqua" w:hAnsi="Book Antiqua" w:cs="Book Antiqua"/>
          <w:i w:val="0"/>
          <w:iCs w:val="0"/>
          <w:sz w:val="24"/>
          <w:szCs w:val="24"/>
          <w:lang w:val="en-US"/>
        </w:rPr>
        <w:t>.</w:t>
      </w:r>
      <w:r w:rsidR="00217E3F"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In this paper</w:t>
      </w:r>
      <w:r w:rsidR="00905D77" w:rsidRPr="00A64FF0">
        <w:rPr>
          <w:rStyle w:val="Emphasis"/>
          <w:rFonts w:ascii="Book Antiqua" w:hAnsi="Book Antiqua" w:cs="Book Antiqua"/>
          <w:i w:val="0"/>
          <w:iCs w:val="0"/>
          <w:sz w:val="24"/>
          <w:szCs w:val="24"/>
          <w:lang w:val="en-US"/>
        </w:rPr>
        <w:t>,</w:t>
      </w:r>
      <w:r w:rsidR="00CC5C47" w:rsidRPr="00A64FF0">
        <w:rPr>
          <w:rStyle w:val="Emphasis"/>
          <w:rFonts w:ascii="Book Antiqua" w:hAnsi="Book Antiqua" w:cs="Book Antiqua"/>
          <w:i w:val="0"/>
          <w:iCs w:val="0"/>
          <w:sz w:val="24"/>
          <w:szCs w:val="24"/>
          <w:lang w:val="en-US"/>
        </w:rPr>
        <w:t xml:space="preserve"> the terms will be used following the above reported classification</w:t>
      </w:r>
      <w:r w:rsidR="00CC5C47" w:rsidRPr="00A64FF0">
        <w:rPr>
          <w:rFonts w:ascii="Book Antiqua" w:hAnsi="Book Antiqua" w:cs="Book Antiqua"/>
          <w:sz w:val="24"/>
          <w:szCs w:val="24"/>
          <w:lang w:val="en-US"/>
        </w:rPr>
        <w:t>. The</w:t>
      </w:r>
      <w:r w:rsidR="00217E3F"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patients</w:t>
      </w:r>
      <w:r w:rsidR="00842247" w:rsidRPr="00A64FF0">
        <w:rPr>
          <w:rFonts w:ascii="Book Antiqua" w:hAnsi="Book Antiqua" w:cs="Book Antiqua"/>
          <w:sz w:val="24"/>
          <w:szCs w:val="24"/>
          <w:lang w:val="en-US"/>
        </w:rPr>
        <w:t>,</w:t>
      </w:r>
      <w:r w:rsidR="00CC5C47" w:rsidRPr="00A64FF0">
        <w:rPr>
          <w:rFonts w:ascii="Book Antiqua" w:hAnsi="Book Antiqua" w:cs="Book Antiqua"/>
          <w:sz w:val="24"/>
          <w:szCs w:val="24"/>
          <w:lang w:val="en-US"/>
        </w:rPr>
        <w:t xml:space="preserve"> whether inactive or occult carriers or with rHBV</w:t>
      </w:r>
      <w:r w:rsidR="00842247" w:rsidRPr="00A64FF0">
        <w:rPr>
          <w:rFonts w:ascii="Book Antiqua" w:hAnsi="Book Antiqua" w:cs="Book Antiqua"/>
          <w:sz w:val="24"/>
          <w:szCs w:val="24"/>
          <w:lang w:val="en-US"/>
        </w:rPr>
        <w:t>,</w:t>
      </w:r>
      <w:r w:rsidR="00217E3F" w:rsidRPr="00A64FF0">
        <w:rPr>
          <w:rFonts w:ascii="Book Antiqua" w:hAnsi="Book Antiqua" w:cs="Book Antiqua"/>
          <w:sz w:val="24"/>
          <w:szCs w:val="24"/>
          <w:lang w:val="en-US"/>
        </w:rPr>
        <w:t xml:space="preserve"> </w:t>
      </w:r>
      <w:r w:rsidR="00842247" w:rsidRPr="00A64FF0">
        <w:rPr>
          <w:rFonts w:ascii="Book Antiqua" w:hAnsi="Book Antiqua" w:cs="Book Antiqua"/>
          <w:sz w:val="24"/>
          <w:szCs w:val="24"/>
          <w:lang w:val="en-US"/>
        </w:rPr>
        <w:t xml:space="preserve">can be at </w:t>
      </w:r>
      <w:r w:rsidR="00CC5C47" w:rsidRPr="00A64FF0">
        <w:rPr>
          <w:rFonts w:ascii="Book Antiqua" w:hAnsi="Book Antiqua" w:cs="Book Antiqua"/>
          <w:sz w:val="24"/>
          <w:szCs w:val="24"/>
          <w:lang w:val="en-US"/>
        </w:rPr>
        <w:t>risk of HBV reactivation (</w:t>
      </w:r>
      <w:r w:rsidR="00CC5C47" w:rsidRPr="00A64FF0">
        <w:rPr>
          <w:rStyle w:val="Emphasis"/>
          <w:rFonts w:ascii="Book Antiqua" w:hAnsi="Book Antiqua" w:cs="Book Antiqua"/>
          <w:i w:val="0"/>
          <w:iCs w:val="0"/>
          <w:sz w:val="24"/>
          <w:szCs w:val="24"/>
          <w:lang w:val="en-US"/>
        </w:rPr>
        <w:t xml:space="preserve">defined as the </w:t>
      </w:r>
      <w:r w:rsidR="00842247" w:rsidRPr="00A64FF0">
        <w:rPr>
          <w:rStyle w:val="Emphasis"/>
          <w:rFonts w:ascii="Book Antiqua" w:hAnsi="Book Antiqua" w:cs="Book Antiqua"/>
          <w:i w:val="0"/>
          <w:iCs w:val="0"/>
          <w:sz w:val="24"/>
          <w:szCs w:val="24"/>
          <w:lang w:val="en-US"/>
        </w:rPr>
        <w:t>sudden</w:t>
      </w:r>
      <w:r w:rsidR="00CC5C47" w:rsidRPr="00A64FF0">
        <w:rPr>
          <w:rStyle w:val="Emphasis"/>
          <w:rFonts w:ascii="Book Antiqua" w:hAnsi="Book Antiqua" w:cs="Book Antiqua"/>
          <w:i w:val="0"/>
          <w:iCs w:val="0"/>
          <w:sz w:val="24"/>
          <w:szCs w:val="24"/>
          <w:lang w:val="en-US"/>
        </w:rPr>
        <w:t xml:space="preserve"> increase in HBV replication) after starting an immunosuppressive therapy</w:t>
      </w:r>
      <w:r w:rsidR="001944E8" w:rsidRPr="00A64FF0">
        <w:rPr>
          <w:rStyle w:val="Emphasis"/>
          <w:rFonts w:ascii="Book Antiqua" w:hAnsi="Book Antiqua" w:cs="Book Antiqua"/>
          <w:i w:val="0"/>
          <w:iCs w:val="0"/>
          <w:sz w:val="24"/>
          <w:szCs w:val="24"/>
          <w:vertAlign w:val="superscript"/>
          <w:lang w:val="en-US"/>
        </w:rPr>
        <w:t>[</w:t>
      </w:r>
      <w:r w:rsidR="00CC5C47" w:rsidRPr="00A64FF0">
        <w:rPr>
          <w:rStyle w:val="Emphasis"/>
          <w:rFonts w:ascii="Book Antiqua" w:hAnsi="Book Antiqua" w:cs="Book Antiqua"/>
          <w:i w:val="0"/>
          <w:iCs w:val="0"/>
          <w:sz w:val="24"/>
          <w:szCs w:val="24"/>
          <w:vertAlign w:val="superscript"/>
          <w:lang w:val="en-US"/>
        </w:rPr>
        <w:t>28]</w:t>
      </w:r>
      <w:r w:rsidR="00CC5C47" w:rsidRPr="00A64FF0">
        <w:rPr>
          <w:rStyle w:val="Emphasis"/>
          <w:rFonts w:ascii="Book Antiqua" w:hAnsi="Book Antiqua" w:cs="Book Antiqua"/>
          <w:i w:val="0"/>
          <w:iCs w:val="0"/>
          <w:sz w:val="24"/>
          <w:szCs w:val="24"/>
          <w:lang w:val="en-US"/>
        </w:rPr>
        <w:t>. As expected, the risk is significantly greater in the inactive carriers as compared to occult ones. Even</w:t>
      </w:r>
      <w:r w:rsidR="00217E3F"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more rare is the case of viral reactivation in</w:t>
      </w:r>
      <w:r w:rsidR="00217E3F"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rHBV</w:t>
      </w:r>
      <w:r w:rsidR="001944E8" w:rsidRPr="00A64FF0">
        <w:rPr>
          <w:rStyle w:val="Emphasis"/>
          <w:rFonts w:ascii="Book Antiqua" w:hAnsi="Book Antiqua" w:cs="Book Antiqua"/>
          <w:i w:val="0"/>
          <w:iCs w:val="0"/>
          <w:sz w:val="24"/>
          <w:szCs w:val="24"/>
          <w:vertAlign w:val="superscript"/>
          <w:lang w:val="en-US"/>
        </w:rPr>
        <w:t>[</w:t>
      </w:r>
      <w:r w:rsidR="00CC5C47" w:rsidRPr="00A64FF0">
        <w:rPr>
          <w:rStyle w:val="Emphasis"/>
          <w:rFonts w:ascii="Book Antiqua" w:hAnsi="Book Antiqua" w:cs="Book Antiqua"/>
          <w:i w:val="0"/>
          <w:iCs w:val="0"/>
          <w:sz w:val="24"/>
          <w:szCs w:val="24"/>
          <w:vertAlign w:val="superscript"/>
          <w:lang w:val="en-US"/>
        </w:rPr>
        <w:t>29]</w:t>
      </w:r>
      <w:r w:rsidR="00CC5C47" w:rsidRPr="00A64FF0">
        <w:rPr>
          <w:rStyle w:val="Emphasis"/>
          <w:rFonts w:ascii="Book Antiqua" w:hAnsi="Book Antiqua" w:cs="Book Antiqua"/>
          <w:i w:val="0"/>
          <w:iCs w:val="0"/>
          <w:sz w:val="24"/>
          <w:szCs w:val="24"/>
          <w:lang w:val="en-US"/>
        </w:rPr>
        <w:t>. The possible occu</w:t>
      </w:r>
      <w:r w:rsidR="00F24EF0" w:rsidRPr="00A64FF0">
        <w:rPr>
          <w:rStyle w:val="Emphasis"/>
          <w:rFonts w:ascii="Book Antiqua" w:hAnsi="Book Antiqua" w:cs="Book Antiqua"/>
          <w:i w:val="0"/>
          <w:iCs w:val="0"/>
          <w:sz w:val="24"/>
          <w:szCs w:val="24"/>
          <w:lang w:val="en-US"/>
        </w:rPr>
        <w:t>rrence of one of the three previously</w:t>
      </w:r>
      <w:r w:rsidR="00CC5C47" w:rsidRPr="00A64FF0">
        <w:rPr>
          <w:rStyle w:val="Emphasis"/>
          <w:rFonts w:ascii="Book Antiqua" w:hAnsi="Book Antiqua" w:cs="Book Antiqua"/>
          <w:i w:val="0"/>
          <w:iCs w:val="0"/>
          <w:sz w:val="24"/>
          <w:szCs w:val="24"/>
          <w:lang w:val="en-US"/>
        </w:rPr>
        <w:t xml:space="preserve"> mentioned infectious phases in a given PsO patient, raise</w:t>
      </w:r>
      <w:r w:rsidR="00125B89" w:rsidRPr="00A64FF0">
        <w:rPr>
          <w:rStyle w:val="Emphasis"/>
          <w:rFonts w:ascii="Book Antiqua" w:hAnsi="Book Antiqua" w:cs="Book Antiqua"/>
          <w:i w:val="0"/>
          <w:iCs w:val="0"/>
          <w:sz w:val="24"/>
          <w:szCs w:val="24"/>
          <w:lang w:val="en-US"/>
        </w:rPr>
        <w:t>s</w:t>
      </w:r>
      <w:r w:rsidR="00CC5C47" w:rsidRPr="00A64FF0">
        <w:rPr>
          <w:rStyle w:val="Emphasis"/>
          <w:rFonts w:ascii="Book Antiqua" w:hAnsi="Book Antiqua" w:cs="Book Antiqua"/>
          <w:i w:val="0"/>
          <w:iCs w:val="0"/>
          <w:sz w:val="24"/>
          <w:szCs w:val="24"/>
          <w:lang w:val="en-US"/>
        </w:rPr>
        <w:t xml:space="preserve"> some problems regardi</w:t>
      </w:r>
      <w:r w:rsidR="00905D77" w:rsidRPr="00A64FF0">
        <w:rPr>
          <w:rStyle w:val="Emphasis"/>
          <w:rFonts w:ascii="Book Antiqua" w:hAnsi="Book Antiqua" w:cs="Book Antiqua"/>
          <w:i w:val="0"/>
          <w:iCs w:val="0"/>
          <w:sz w:val="24"/>
          <w:szCs w:val="24"/>
          <w:lang w:val="en-US"/>
        </w:rPr>
        <w:t>ng their therapeutic management</w:t>
      </w:r>
      <w:r w:rsidR="00CC5C47" w:rsidRPr="00A64FF0">
        <w:rPr>
          <w:rStyle w:val="Emphasis"/>
          <w:rFonts w:ascii="Book Antiqua" w:hAnsi="Book Antiqua" w:cs="Book Antiqua"/>
          <w:i w:val="0"/>
          <w:iCs w:val="0"/>
          <w:sz w:val="24"/>
          <w:szCs w:val="24"/>
          <w:lang w:val="en-US"/>
        </w:rPr>
        <w:t xml:space="preserve">. In particular: </w:t>
      </w:r>
      <w:r w:rsidR="001944E8" w:rsidRPr="00A64FF0">
        <w:rPr>
          <w:rStyle w:val="Emphasis"/>
          <w:rFonts w:ascii="Book Antiqua" w:hAnsi="Book Antiqua" w:cs="Book Antiqua"/>
          <w:i w:val="0"/>
          <w:iCs w:val="0"/>
          <w:sz w:val="24"/>
          <w:szCs w:val="24"/>
          <w:lang w:val="en-US" w:eastAsia="zh-CN"/>
        </w:rPr>
        <w:t>(1</w:t>
      </w:r>
      <w:r w:rsidR="00CC5C47" w:rsidRPr="00A64FF0">
        <w:rPr>
          <w:rStyle w:val="Emphasis"/>
          <w:rFonts w:ascii="Book Antiqua" w:hAnsi="Book Antiqua" w:cs="Book Antiqua"/>
          <w:i w:val="0"/>
          <w:iCs w:val="0"/>
          <w:sz w:val="24"/>
          <w:szCs w:val="24"/>
          <w:lang w:val="en-US"/>
        </w:rPr>
        <w:t xml:space="preserve">) which </w:t>
      </w:r>
      <w:r w:rsidR="00F24EF0" w:rsidRPr="00A64FF0">
        <w:rPr>
          <w:rStyle w:val="Emphasis"/>
          <w:rFonts w:ascii="Book Antiqua" w:hAnsi="Book Antiqua" w:cs="Book Antiqua"/>
          <w:i w:val="0"/>
          <w:iCs w:val="0"/>
          <w:sz w:val="24"/>
          <w:szCs w:val="24"/>
          <w:lang w:val="en-US"/>
        </w:rPr>
        <w:t>drug can be safely administered</w:t>
      </w:r>
      <w:r w:rsidR="00905D77" w:rsidRPr="00A64FF0">
        <w:rPr>
          <w:rStyle w:val="Emphasis"/>
          <w:rFonts w:ascii="Book Antiqua" w:hAnsi="Book Antiqua" w:cs="Book Antiqua"/>
          <w:i w:val="0"/>
          <w:iCs w:val="0"/>
          <w:sz w:val="24"/>
          <w:szCs w:val="24"/>
          <w:lang w:val="en-US"/>
        </w:rPr>
        <w:t xml:space="preserve">? </w:t>
      </w:r>
      <w:r w:rsidR="001944E8" w:rsidRPr="00A64FF0">
        <w:rPr>
          <w:rStyle w:val="Emphasis"/>
          <w:rFonts w:ascii="Book Antiqua" w:hAnsi="Book Antiqua" w:cs="Book Antiqua"/>
          <w:i w:val="0"/>
          <w:iCs w:val="0"/>
          <w:sz w:val="24"/>
          <w:szCs w:val="24"/>
          <w:lang w:val="en-US" w:eastAsia="zh-CN"/>
        </w:rPr>
        <w:t>(2</w:t>
      </w:r>
      <w:r w:rsidR="00905D77" w:rsidRPr="00A64FF0">
        <w:rPr>
          <w:rStyle w:val="Emphasis"/>
          <w:rFonts w:ascii="Book Antiqua" w:hAnsi="Book Antiqua" w:cs="Book Antiqua"/>
          <w:i w:val="0"/>
          <w:iCs w:val="0"/>
          <w:sz w:val="24"/>
          <w:szCs w:val="24"/>
          <w:lang w:val="en-US"/>
        </w:rPr>
        <w:t>) w</w:t>
      </w:r>
      <w:r w:rsidR="00CC5C47" w:rsidRPr="00A64FF0">
        <w:rPr>
          <w:rStyle w:val="Emphasis"/>
          <w:rFonts w:ascii="Book Antiqua" w:hAnsi="Book Antiqua" w:cs="Book Antiqua"/>
          <w:i w:val="0"/>
          <w:iCs w:val="0"/>
          <w:sz w:val="24"/>
          <w:szCs w:val="24"/>
          <w:lang w:val="en-US"/>
        </w:rPr>
        <w:t>h</w:t>
      </w:r>
      <w:r w:rsidR="00F24EF0" w:rsidRPr="00A64FF0">
        <w:rPr>
          <w:rStyle w:val="Emphasis"/>
          <w:rFonts w:ascii="Book Antiqua" w:hAnsi="Book Antiqua" w:cs="Book Antiqua"/>
          <w:i w:val="0"/>
          <w:iCs w:val="0"/>
          <w:sz w:val="24"/>
          <w:szCs w:val="24"/>
          <w:lang w:val="en-US"/>
        </w:rPr>
        <w:t>ich</w:t>
      </w:r>
      <w:r w:rsidR="00CC5C47" w:rsidRPr="00A64FF0">
        <w:rPr>
          <w:rStyle w:val="Emphasis"/>
          <w:rFonts w:ascii="Book Antiqua" w:hAnsi="Book Antiqua" w:cs="Book Antiqua"/>
          <w:i w:val="0"/>
          <w:iCs w:val="0"/>
          <w:sz w:val="24"/>
          <w:szCs w:val="24"/>
          <w:lang w:val="en-US"/>
        </w:rPr>
        <w:t xml:space="preserve"> patients need anti HBV prophylaxis to p</w:t>
      </w:r>
      <w:r w:rsidR="001944E8" w:rsidRPr="00A64FF0">
        <w:rPr>
          <w:rStyle w:val="Emphasis"/>
          <w:rFonts w:ascii="Book Antiqua" w:hAnsi="Book Antiqua" w:cs="Book Antiqua"/>
          <w:i w:val="0"/>
          <w:iCs w:val="0"/>
          <w:sz w:val="24"/>
          <w:szCs w:val="24"/>
          <w:lang w:val="en-US"/>
        </w:rPr>
        <w:t>revent HBV reactivation?</w:t>
      </w:r>
      <w:r w:rsidR="00905D77" w:rsidRPr="00A64FF0">
        <w:rPr>
          <w:rStyle w:val="Emphasis"/>
          <w:rFonts w:ascii="Book Antiqua" w:hAnsi="Book Antiqua" w:cs="Book Antiqua"/>
          <w:i w:val="0"/>
          <w:iCs w:val="0"/>
          <w:sz w:val="24"/>
          <w:szCs w:val="24"/>
          <w:lang w:val="en-US"/>
        </w:rPr>
        <w:t xml:space="preserve"> </w:t>
      </w:r>
      <w:r w:rsidR="007F51F5" w:rsidRPr="00A64FF0">
        <w:rPr>
          <w:rStyle w:val="Emphasis"/>
          <w:rFonts w:ascii="Book Antiqua" w:hAnsi="Book Antiqua" w:cs="Book Antiqua"/>
          <w:i w:val="0"/>
          <w:iCs w:val="0"/>
          <w:sz w:val="24"/>
          <w:szCs w:val="24"/>
          <w:lang w:val="en-US" w:eastAsia="zh-CN"/>
        </w:rPr>
        <w:t>a</w:t>
      </w:r>
      <w:r w:rsidR="001944E8" w:rsidRPr="00A64FF0">
        <w:rPr>
          <w:rStyle w:val="Emphasis"/>
          <w:rFonts w:ascii="Book Antiqua" w:hAnsi="Book Antiqua" w:cs="Book Antiqua"/>
          <w:i w:val="0"/>
          <w:iCs w:val="0"/>
          <w:sz w:val="24"/>
          <w:szCs w:val="24"/>
          <w:lang w:val="en-US" w:eastAsia="zh-CN"/>
        </w:rPr>
        <w:t>nd (3</w:t>
      </w:r>
      <w:r w:rsidR="00905D77" w:rsidRPr="00A64FF0">
        <w:rPr>
          <w:rStyle w:val="Emphasis"/>
          <w:rFonts w:ascii="Book Antiqua" w:hAnsi="Book Antiqua" w:cs="Book Antiqua"/>
          <w:i w:val="0"/>
          <w:iCs w:val="0"/>
          <w:sz w:val="24"/>
          <w:szCs w:val="24"/>
          <w:lang w:val="en-US"/>
        </w:rPr>
        <w:t>) w</w:t>
      </w:r>
      <w:r w:rsidR="00CC5C47" w:rsidRPr="00A64FF0">
        <w:rPr>
          <w:rStyle w:val="Emphasis"/>
          <w:rFonts w:ascii="Book Antiqua" w:hAnsi="Book Antiqua" w:cs="Book Antiqua"/>
          <w:i w:val="0"/>
          <w:iCs w:val="0"/>
          <w:sz w:val="24"/>
          <w:szCs w:val="24"/>
          <w:lang w:val="en-US"/>
        </w:rPr>
        <w:t>hich serological markers should be monitored after an antipsoriatic therapy is started?</w:t>
      </w:r>
    </w:p>
    <w:p w:rsidR="00CC5C47" w:rsidRPr="00A64FF0" w:rsidRDefault="00F24EF0" w:rsidP="00467AE1">
      <w:pPr>
        <w:adjustRightInd w:val="0"/>
        <w:snapToGrid w:val="0"/>
        <w:spacing w:after="0" w:line="360" w:lineRule="auto"/>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To answer</w:t>
      </w:r>
      <w:r w:rsidR="005D7C6E"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the</w:t>
      </w:r>
      <w:r w:rsidRPr="00A64FF0">
        <w:rPr>
          <w:rStyle w:val="Emphasis"/>
          <w:rFonts w:ascii="Book Antiqua" w:hAnsi="Book Antiqua" w:cs="Book Antiqua"/>
          <w:i w:val="0"/>
          <w:iCs w:val="0"/>
          <w:sz w:val="24"/>
          <w:szCs w:val="24"/>
          <w:lang w:val="en-US"/>
        </w:rPr>
        <w:t>se</w:t>
      </w:r>
      <w:r w:rsidR="00CC5C47" w:rsidRPr="00A64FF0">
        <w:rPr>
          <w:rStyle w:val="Emphasis"/>
          <w:rFonts w:ascii="Book Antiqua" w:hAnsi="Book Antiqua" w:cs="Book Antiqua"/>
          <w:i w:val="0"/>
          <w:iCs w:val="0"/>
          <w:sz w:val="24"/>
          <w:szCs w:val="24"/>
          <w:lang w:val="en-US"/>
        </w:rPr>
        <w:t xml:space="preserve"> questions the cDMARDs</w:t>
      </w:r>
      <w:r w:rsidR="005D7C6E"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and bDMARDs must be analyzed</w:t>
      </w:r>
      <w:r w:rsidR="005D7C6E"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separately.</w:t>
      </w:r>
    </w:p>
    <w:p w:rsidR="00CC5C47"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rPr>
      </w:pPr>
    </w:p>
    <w:p w:rsidR="00CC5C47" w:rsidRPr="00A64FF0" w:rsidRDefault="00A64FF0" w:rsidP="00467AE1">
      <w:pPr>
        <w:adjustRightInd w:val="0"/>
        <w:snapToGrid w:val="0"/>
        <w:spacing w:after="0" w:line="360" w:lineRule="auto"/>
        <w:jc w:val="both"/>
        <w:rPr>
          <w:rStyle w:val="Emphasis"/>
          <w:rFonts w:ascii="Book Antiqua" w:hAnsi="Book Antiqua" w:cs="Book Antiqua"/>
          <w:b/>
          <w:bCs/>
          <w:i w:val="0"/>
          <w:iCs w:val="0"/>
          <w:sz w:val="24"/>
          <w:szCs w:val="24"/>
          <w:lang w:val="en-US" w:eastAsia="zh-CN"/>
        </w:rPr>
      </w:pPr>
      <w:r w:rsidRPr="00A64FF0">
        <w:rPr>
          <w:rStyle w:val="Emphasis"/>
          <w:rFonts w:ascii="Book Antiqua" w:hAnsi="Book Antiqua" w:cs="Book Antiqua"/>
          <w:b/>
          <w:bCs/>
          <w:i w:val="0"/>
          <w:iCs w:val="0"/>
          <w:sz w:val="24"/>
          <w:szCs w:val="24"/>
          <w:lang w:val="en-US"/>
        </w:rPr>
        <w:t>cDMARDs</w:t>
      </w:r>
    </w:p>
    <w:p w:rsidR="00CC5C47" w:rsidRPr="00A64FF0" w:rsidRDefault="00CC5C47" w:rsidP="00467AE1">
      <w:pPr>
        <w:adjustRightInd w:val="0"/>
        <w:snapToGrid w:val="0"/>
        <w:spacing w:after="0" w:line="360" w:lineRule="auto"/>
        <w:jc w:val="both"/>
        <w:rPr>
          <w:rStyle w:val="Emphasis"/>
          <w:rFonts w:ascii="Book Antiqua" w:hAnsi="Book Antiqua" w:cs="Book Antiqua"/>
          <w:b/>
          <w:i w:val="0"/>
          <w:iCs w:val="0"/>
          <w:sz w:val="24"/>
          <w:szCs w:val="24"/>
          <w:lang w:val="en-US"/>
        </w:rPr>
      </w:pPr>
      <w:r w:rsidRPr="00A64FF0">
        <w:rPr>
          <w:rStyle w:val="Emphasis"/>
          <w:rFonts w:ascii="Book Antiqua" w:hAnsi="Book Antiqua" w:cs="Book Antiqua"/>
          <w:b/>
          <w:sz w:val="24"/>
          <w:szCs w:val="24"/>
          <w:lang w:val="en-US"/>
        </w:rPr>
        <w:t>Acitretin</w:t>
      </w:r>
    </w:p>
    <w:p w:rsidR="00626926"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Acitretin administration is conside</w:t>
      </w:r>
      <w:r w:rsidR="00F24EF0" w:rsidRPr="00A64FF0">
        <w:rPr>
          <w:rStyle w:val="Emphasis"/>
          <w:rFonts w:ascii="Book Antiqua" w:hAnsi="Book Antiqua" w:cs="Book Antiqua"/>
          <w:i w:val="0"/>
          <w:iCs w:val="0"/>
          <w:sz w:val="24"/>
          <w:szCs w:val="24"/>
          <w:lang w:val="en-US"/>
        </w:rPr>
        <w:t>red, due to its potential hepa</w:t>
      </w:r>
      <w:r w:rsidRPr="00A64FF0">
        <w:rPr>
          <w:rStyle w:val="Emphasis"/>
          <w:rFonts w:ascii="Book Antiqua" w:hAnsi="Book Antiqua" w:cs="Book Antiqua"/>
          <w:i w:val="0"/>
          <w:iCs w:val="0"/>
          <w:sz w:val="24"/>
          <w:szCs w:val="24"/>
          <w:lang w:val="en-US"/>
        </w:rPr>
        <w:t xml:space="preserve">totoxicity, a </w:t>
      </w:r>
      <w:r w:rsidR="006A3B40" w:rsidRPr="00A64FF0">
        <w:rPr>
          <w:rStyle w:val="Emphasis"/>
          <w:rFonts w:ascii="Book Antiqua" w:hAnsi="Book Antiqua" w:cs="Book Antiqua"/>
          <w:i w:val="0"/>
          <w:iCs w:val="0"/>
          <w:sz w:val="24"/>
          <w:szCs w:val="24"/>
          <w:lang w:val="en-US"/>
        </w:rPr>
        <w:t xml:space="preserve">relative </w:t>
      </w:r>
      <w:r w:rsidRPr="00A64FF0">
        <w:rPr>
          <w:rStyle w:val="Emphasis"/>
          <w:rFonts w:ascii="Book Antiqua" w:hAnsi="Book Antiqua" w:cs="Book Antiqua"/>
          <w:i w:val="0"/>
          <w:iCs w:val="0"/>
          <w:sz w:val="24"/>
          <w:szCs w:val="24"/>
          <w:lang w:val="en-US"/>
        </w:rPr>
        <w:t>contraindication in hepatitis re</w:t>
      </w:r>
      <w:r w:rsidR="00F24EF0" w:rsidRPr="00A64FF0">
        <w:rPr>
          <w:rStyle w:val="Emphasis"/>
          <w:rFonts w:ascii="Book Antiqua" w:hAnsi="Book Antiqua" w:cs="Book Antiqua"/>
          <w:i w:val="0"/>
          <w:iCs w:val="0"/>
          <w:sz w:val="24"/>
          <w:szCs w:val="24"/>
          <w:lang w:val="en-US"/>
        </w:rPr>
        <w:t>sulting from</w:t>
      </w:r>
      <w:r w:rsidRPr="00A64FF0">
        <w:rPr>
          <w:rStyle w:val="Emphasis"/>
          <w:rFonts w:ascii="Book Antiqua" w:hAnsi="Book Antiqua" w:cs="Book Antiqua"/>
          <w:i w:val="0"/>
          <w:iCs w:val="0"/>
          <w:sz w:val="24"/>
          <w:szCs w:val="24"/>
          <w:lang w:val="en-US"/>
        </w:rPr>
        <w:t xml:space="preserve"> viral infections</w:t>
      </w:r>
      <w:r w:rsidR="001944E8" w:rsidRPr="00A64FF0">
        <w:rPr>
          <w:rStyle w:val="Emphasis"/>
          <w:rFonts w:ascii="Book Antiqua" w:hAnsi="Book Antiqua" w:cs="Book Antiqua"/>
          <w:i w:val="0"/>
          <w:iCs w:val="0"/>
          <w:sz w:val="24"/>
          <w:szCs w:val="24"/>
          <w:vertAlign w:val="superscript"/>
          <w:lang w:val="en-US"/>
        </w:rPr>
        <w:t>[</w:t>
      </w:r>
      <w:r w:rsidRPr="00A64FF0">
        <w:rPr>
          <w:rStyle w:val="Emphasis"/>
          <w:rFonts w:ascii="Book Antiqua" w:hAnsi="Book Antiqua" w:cs="Book Antiqua"/>
          <w:i w:val="0"/>
          <w:iCs w:val="0"/>
          <w:sz w:val="24"/>
          <w:szCs w:val="24"/>
          <w:vertAlign w:val="superscript"/>
          <w:lang w:val="en-US"/>
        </w:rPr>
        <w:t>18]</w:t>
      </w:r>
      <w:r w:rsidRPr="00A64FF0">
        <w:rPr>
          <w:rStyle w:val="Emphasis"/>
          <w:rFonts w:ascii="Book Antiqua" w:hAnsi="Book Antiqua" w:cs="Book Antiqua"/>
          <w:i w:val="0"/>
          <w:iCs w:val="0"/>
          <w:sz w:val="24"/>
          <w:szCs w:val="24"/>
          <w:lang w:val="en-US"/>
        </w:rPr>
        <w:t>. However</w:t>
      </w:r>
      <w:r w:rsidR="007B6F94" w:rsidRPr="00A64FF0">
        <w:rPr>
          <w:rStyle w:val="Emphasis"/>
          <w:rFonts w:ascii="Book Antiqua" w:hAnsi="Book Antiqua" w:cs="Book Antiqua"/>
          <w:i w:val="0"/>
          <w:iCs w:val="0"/>
          <w:sz w:val="24"/>
          <w:szCs w:val="24"/>
          <w:lang w:val="en-US"/>
        </w:rPr>
        <w:t>,</w:t>
      </w:r>
      <w:r w:rsidR="00467AA4" w:rsidRPr="00A64FF0">
        <w:rPr>
          <w:rStyle w:val="Emphasis"/>
          <w:rFonts w:ascii="Book Antiqua" w:hAnsi="Book Antiqua" w:cs="Book Antiqua"/>
          <w:i w:val="0"/>
          <w:iCs w:val="0"/>
          <w:sz w:val="24"/>
          <w:szCs w:val="24"/>
          <w:lang w:val="en-US"/>
        </w:rPr>
        <w:t xml:space="preserve"> </w:t>
      </w:r>
      <w:r w:rsidR="007B6F94" w:rsidRPr="00A64FF0">
        <w:rPr>
          <w:rStyle w:val="Emphasis"/>
          <w:rFonts w:ascii="Book Antiqua" w:hAnsi="Book Antiqua" w:cs="Book Antiqua"/>
          <w:i w:val="0"/>
          <w:iCs w:val="0"/>
          <w:sz w:val="24"/>
          <w:szCs w:val="24"/>
          <w:lang w:val="en-US"/>
        </w:rPr>
        <w:t>acitretin</w:t>
      </w:r>
      <w:r w:rsidRPr="00A64FF0">
        <w:rPr>
          <w:rStyle w:val="Emphasis"/>
          <w:rFonts w:ascii="Book Antiqua" w:hAnsi="Book Antiqua" w:cs="Book Antiqua"/>
          <w:i w:val="0"/>
          <w:iCs w:val="0"/>
          <w:sz w:val="24"/>
          <w:szCs w:val="24"/>
          <w:lang w:val="en-US"/>
        </w:rPr>
        <w:t xml:space="preserve"> (preferably in association with ultraviolet B therapy) can be a possible option in those subjects without significant</w:t>
      </w:r>
      <w:r w:rsidR="00494735"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signs of</w:t>
      </w:r>
      <w:r w:rsidR="00494735"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 xml:space="preserve">liver damage as revealed by </w:t>
      </w:r>
      <w:r w:rsidR="008612C5" w:rsidRPr="00A64FF0">
        <w:rPr>
          <w:rStyle w:val="Emphasis"/>
          <w:rFonts w:ascii="Book Antiqua" w:hAnsi="Book Antiqua" w:cs="Book Antiqua"/>
          <w:i w:val="0"/>
          <w:iCs w:val="0"/>
          <w:sz w:val="24"/>
          <w:szCs w:val="24"/>
          <w:lang w:val="en-US"/>
        </w:rPr>
        <w:t xml:space="preserve">serological </w:t>
      </w:r>
      <w:r w:rsidR="001944E8" w:rsidRPr="00A64FF0">
        <w:rPr>
          <w:rStyle w:val="Emphasis"/>
          <w:rFonts w:ascii="Book Antiqua" w:hAnsi="Book Antiqua" w:cs="Book Antiqua"/>
          <w:i w:val="0"/>
          <w:iCs w:val="0"/>
          <w:sz w:val="24"/>
          <w:szCs w:val="24"/>
          <w:lang w:val="en-US" w:eastAsia="zh-CN"/>
        </w:rPr>
        <w:t>[</w:t>
      </w:r>
      <w:r w:rsidR="008612C5" w:rsidRPr="00A64FF0">
        <w:rPr>
          <w:rStyle w:val="Emphasis"/>
          <w:rFonts w:ascii="Book Antiqua" w:hAnsi="Book Antiqua" w:cs="Book Antiqua"/>
          <w:i w:val="0"/>
          <w:iCs w:val="0"/>
          <w:sz w:val="24"/>
          <w:szCs w:val="24"/>
          <w:lang w:val="en-US"/>
        </w:rPr>
        <w:t>ALT,</w:t>
      </w:r>
      <w:r w:rsidR="00C73A6C" w:rsidRPr="00A64FF0">
        <w:rPr>
          <w:rStyle w:val="Emphasis"/>
          <w:rFonts w:ascii="Book Antiqua" w:hAnsi="Book Antiqua"/>
          <w:i w:val="0"/>
          <w:sz w:val="24"/>
          <w:szCs w:val="24"/>
          <w:lang w:val="en-US"/>
        </w:rPr>
        <w:t xml:space="preserve"> aspartate transaminase</w:t>
      </w:r>
      <w:r w:rsidR="001944E8" w:rsidRPr="00A64FF0">
        <w:rPr>
          <w:rStyle w:val="Emphasis"/>
          <w:rFonts w:ascii="Book Antiqua" w:hAnsi="Book Antiqua"/>
          <w:i w:val="0"/>
          <w:sz w:val="24"/>
          <w:szCs w:val="24"/>
          <w:lang w:val="en-US" w:eastAsia="zh-CN"/>
        </w:rPr>
        <w:t xml:space="preserve"> (</w:t>
      </w:r>
      <w:r w:rsidR="00C73A6C" w:rsidRPr="00A64FF0">
        <w:rPr>
          <w:rStyle w:val="Emphasis"/>
          <w:rFonts w:ascii="Book Antiqua" w:hAnsi="Book Antiqua"/>
          <w:i w:val="0"/>
          <w:sz w:val="24"/>
          <w:szCs w:val="24"/>
          <w:lang w:val="en-US"/>
        </w:rPr>
        <w:t>AST</w:t>
      </w:r>
      <w:r w:rsidR="001944E8" w:rsidRPr="00A64FF0">
        <w:rPr>
          <w:rStyle w:val="Emphasis"/>
          <w:rFonts w:ascii="Book Antiqua" w:hAnsi="Book Antiqua"/>
          <w:i w:val="0"/>
          <w:sz w:val="24"/>
          <w:szCs w:val="24"/>
          <w:lang w:val="en-US" w:eastAsia="zh-CN"/>
        </w:rPr>
        <w:t>)</w:t>
      </w:r>
      <w:r w:rsidR="006C2E18" w:rsidRPr="00A64FF0">
        <w:rPr>
          <w:rStyle w:val="Emphasis"/>
          <w:rFonts w:ascii="Book Antiqua" w:hAnsi="Book Antiqua"/>
          <w:i w:val="0"/>
          <w:sz w:val="24"/>
          <w:szCs w:val="24"/>
          <w:lang w:val="en-US"/>
        </w:rPr>
        <w:t>, g</w:t>
      </w:r>
      <w:r w:rsidR="00C73A6C" w:rsidRPr="00A64FF0">
        <w:rPr>
          <w:rStyle w:val="Emphasis"/>
          <w:rFonts w:ascii="Book Antiqua" w:hAnsi="Book Antiqua"/>
          <w:i w:val="0"/>
          <w:sz w:val="24"/>
          <w:szCs w:val="24"/>
          <w:lang w:val="en-US"/>
        </w:rPr>
        <w:t>amma-glutamyl-transferase</w:t>
      </w:r>
      <w:r w:rsidR="001944E8" w:rsidRPr="00A64FF0">
        <w:rPr>
          <w:rStyle w:val="Emphasis"/>
          <w:rFonts w:ascii="Book Antiqua" w:hAnsi="Book Antiqua"/>
          <w:i w:val="0"/>
          <w:sz w:val="24"/>
          <w:szCs w:val="24"/>
          <w:lang w:val="en-US" w:eastAsia="zh-CN"/>
        </w:rPr>
        <w:t xml:space="preserve"> (</w:t>
      </w:r>
      <w:r w:rsidR="00C73A6C" w:rsidRPr="00A64FF0">
        <w:rPr>
          <w:rStyle w:val="Emphasis"/>
          <w:rFonts w:ascii="Book Antiqua" w:hAnsi="Book Antiqua"/>
          <w:i w:val="0"/>
          <w:sz w:val="24"/>
          <w:szCs w:val="24"/>
          <w:lang w:val="en-US"/>
        </w:rPr>
        <w:t>GGT</w:t>
      </w:r>
      <w:r w:rsidR="001944E8" w:rsidRPr="00A64FF0">
        <w:rPr>
          <w:rStyle w:val="Emphasis"/>
          <w:rFonts w:ascii="Book Antiqua" w:hAnsi="Book Antiqua"/>
          <w:i w:val="0"/>
          <w:sz w:val="24"/>
          <w:szCs w:val="24"/>
          <w:lang w:val="en-US" w:eastAsia="zh-CN"/>
        </w:rPr>
        <w:t>)</w:t>
      </w:r>
      <w:r w:rsidR="006C2E18" w:rsidRPr="00A64FF0">
        <w:rPr>
          <w:rStyle w:val="Emphasis"/>
          <w:rFonts w:ascii="Book Antiqua" w:hAnsi="Book Antiqua"/>
          <w:i w:val="0"/>
          <w:sz w:val="24"/>
          <w:szCs w:val="24"/>
          <w:lang w:val="en-US"/>
        </w:rPr>
        <w:t>, bilirubin, alkaline phosphatase</w:t>
      </w:r>
      <w:r w:rsidR="001944E8" w:rsidRPr="00A64FF0">
        <w:rPr>
          <w:rStyle w:val="Emphasis"/>
          <w:rFonts w:ascii="Book Antiqua" w:hAnsi="Book Antiqua" w:cs="Book Antiqua"/>
          <w:i w:val="0"/>
          <w:iCs w:val="0"/>
          <w:sz w:val="24"/>
          <w:szCs w:val="24"/>
          <w:lang w:val="en-US" w:eastAsia="zh-CN"/>
        </w:rPr>
        <w:t>]</w:t>
      </w:r>
      <w:r w:rsidRPr="00A64FF0">
        <w:rPr>
          <w:rStyle w:val="Emphasis"/>
          <w:rFonts w:ascii="Book Antiqua" w:hAnsi="Book Antiqua" w:cs="Book Antiqua"/>
          <w:i w:val="0"/>
          <w:iCs w:val="0"/>
          <w:sz w:val="24"/>
          <w:szCs w:val="24"/>
          <w:lang w:val="en-US"/>
        </w:rPr>
        <w:t xml:space="preserve"> and instrumental (ultrasonography, fibroscan ) methods. Unfortunately</w:t>
      </w:r>
      <w:r w:rsidR="007B6F94" w:rsidRPr="00A64FF0">
        <w:rPr>
          <w:rStyle w:val="Emphasis"/>
          <w:rFonts w:ascii="Book Antiqua" w:hAnsi="Book Antiqua" w:cs="Book Antiqua"/>
          <w:i w:val="0"/>
          <w:iCs w:val="0"/>
          <w:sz w:val="24"/>
          <w:szCs w:val="24"/>
          <w:lang w:val="en-US"/>
        </w:rPr>
        <w:t xml:space="preserve">, the </w:t>
      </w:r>
      <w:r w:rsidRPr="00A64FF0">
        <w:rPr>
          <w:rStyle w:val="Emphasis"/>
          <w:rFonts w:ascii="Book Antiqua" w:hAnsi="Book Antiqua" w:cs="Book Antiqua"/>
          <w:i w:val="0"/>
          <w:iCs w:val="0"/>
          <w:sz w:val="24"/>
          <w:szCs w:val="24"/>
          <w:lang w:val="en-US"/>
        </w:rPr>
        <w:t>effectiveness of acitretin as monotherapy and its side-effects (teratogenicity, mucosal dryness, hypertriglyceridemia) other than the potential hepatic toxicity</w:t>
      </w:r>
      <w:r w:rsidR="001944E8" w:rsidRPr="00A64FF0">
        <w:rPr>
          <w:rStyle w:val="Emphasis"/>
          <w:rFonts w:ascii="Book Antiqua" w:hAnsi="Book Antiqua" w:cs="Book Antiqua"/>
          <w:i w:val="0"/>
          <w:iCs w:val="0"/>
          <w:sz w:val="24"/>
          <w:szCs w:val="24"/>
          <w:vertAlign w:val="superscript"/>
          <w:lang w:val="en-US"/>
        </w:rPr>
        <w:t>[</w:t>
      </w:r>
      <w:r w:rsidRPr="00A64FF0">
        <w:rPr>
          <w:rStyle w:val="Emphasis"/>
          <w:rFonts w:ascii="Book Antiqua" w:hAnsi="Book Antiqua" w:cs="Book Antiqua"/>
          <w:i w:val="0"/>
          <w:iCs w:val="0"/>
          <w:sz w:val="24"/>
          <w:szCs w:val="24"/>
          <w:vertAlign w:val="superscript"/>
          <w:lang w:val="en-US"/>
        </w:rPr>
        <w:t>30]</w:t>
      </w:r>
      <w:r w:rsidR="00494735" w:rsidRPr="00A64FF0">
        <w:rPr>
          <w:rStyle w:val="Emphasis"/>
          <w:rFonts w:ascii="Book Antiqua" w:hAnsi="Book Antiqua" w:cs="Book Antiqua"/>
          <w:i w:val="0"/>
          <w:iCs w:val="0"/>
          <w:sz w:val="24"/>
          <w:szCs w:val="24"/>
          <w:vertAlign w:val="superscript"/>
          <w:lang w:val="en-US"/>
        </w:rPr>
        <w:t xml:space="preserve"> </w:t>
      </w:r>
      <w:r w:rsidRPr="00A64FF0">
        <w:rPr>
          <w:rStyle w:val="Emphasis"/>
          <w:rFonts w:ascii="Book Antiqua" w:hAnsi="Book Antiqua" w:cs="Book Antiqua"/>
          <w:i w:val="0"/>
          <w:iCs w:val="0"/>
          <w:sz w:val="24"/>
          <w:szCs w:val="24"/>
          <w:lang w:val="en-US"/>
        </w:rPr>
        <w:t>limit</w:t>
      </w:r>
      <w:r w:rsidR="00C73A6C" w:rsidRPr="00A64FF0">
        <w:rPr>
          <w:rStyle w:val="Emphasis"/>
          <w:rFonts w:ascii="Book Antiqua" w:hAnsi="Book Antiqua" w:cs="Book Antiqua"/>
          <w:i w:val="0"/>
          <w:iCs w:val="0"/>
          <w:sz w:val="24"/>
          <w:szCs w:val="24"/>
          <w:lang w:val="en-US"/>
        </w:rPr>
        <w:t>s</w:t>
      </w:r>
      <w:r w:rsidRPr="00A64FF0">
        <w:rPr>
          <w:rStyle w:val="Emphasis"/>
          <w:rFonts w:ascii="Book Antiqua" w:hAnsi="Book Antiqua" w:cs="Book Antiqua"/>
          <w:i w:val="0"/>
          <w:iCs w:val="0"/>
          <w:sz w:val="24"/>
          <w:szCs w:val="24"/>
          <w:lang w:val="en-US"/>
        </w:rPr>
        <w:t xml:space="preserve"> its use in many patients.</w:t>
      </w:r>
    </w:p>
    <w:p w:rsidR="00626926" w:rsidRPr="00A64FF0" w:rsidRDefault="00626926" w:rsidP="00467AE1">
      <w:pPr>
        <w:adjustRightInd w:val="0"/>
        <w:snapToGrid w:val="0"/>
        <w:spacing w:after="0" w:line="360" w:lineRule="auto"/>
        <w:jc w:val="both"/>
        <w:rPr>
          <w:rStyle w:val="Emphasis"/>
          <w:rFonts w:ascii="Book Antiqua" w:hAnsi="Book Antiqua" w:cs="Book Antiqua"/>
          <w:i w:val="0"/>
          <w:iCs w:val="0"/>
          <w:sz w:val="24"/>
          <w:szCs w:val="24"/>
          <w:lang w:val="en-US"/>
        </w:rPr>
      </w:pPr>
    </w:p>
    <w:p w:rsidR="007F51F5" w:rsidRPr="00A64FF0" w:rsidRDefault="00CC5C47" w:rsidP="00467AE1">
      <w:pPr>
        <w:adjustRightInd w:val="0"/>
        <w:snapToGrid w:val="0"/>
        <w:spacing w:after="0" w:line="360" w:lineRule="auto"/>
        <w:jc w:val="both"/>
        <w:rPr>
          <w:rStyle w:val="Emphasis"/>
          <w:rFonts w:ascii="Book Antiqua" w:hAnsi="Book Antiqua" w:cs="Book Antiqua"/>
          <w:b/>
          <w:sz w:val="24"/>
          <w:szCs w:val="24"/>
          <w:lang w:val="en-US" w:eastAsia="zh-CN"/>
        </w:rPr>
      </w:pPr>
      <w:r w:rsidRPr="00A64FF0">
        <w:rPr>
          <w:rStyle w:val="Emphasis"/>
          <w:rFonts w:ascii="Book Antiqua" w:hAnsi="Book Antiqua" w:cs="Book Antiqua"/>
          <w:b/>
          <w:sz w:val="24"/>
          <w:szCs w:val="24"/>
          <w:lang w:val="en-US"/>
        </w:rPr>
        <w:t>Cyclosporin a</w:t>
      </w:r>
    </w:p>
    <w:p w:rsidR="00CC5C47"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lastRenderedPageBreak/>
        <w:t>The current dermatologic</w:t>
      </w:r>
      <w:r w:rsidR="00C14DA1"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 xml:space="preserve">guidelines on the management </w:t>
      </w:r>
      <w:r w:rsidR="006F25DA" w:rsidRPr="00A64FF0">
        <w:rPr>
          <w:rStyle w:val="Emphasis"/>
          <w:rFonts w:ascii="Book Antiqua" w:hAnsi="Book Antiqua" w:cs="Book Antiqua"/>
          <w:i w:val="0"/>
          <w:iCs w:val="0"/>
          <w:sz w:val="24"/>
          <w:szCs w:val="24"/>
          <w:lang w:val="en-US"/>
        </w:rPr>
        <w:t xml:space="preserve">of psoriatic disease </w:t>
      </w:r>
      <w:r w:rsidRPr="00A64FF0">
        <w:rPr>
          <w:rStyle w:val="Emphasis"/>
          <w:rFonts w:ascii="Book Antiqua" w:hAnsi="Book Antiqua" w:cs="Book Antiqua"/>
          <w:i w:val="0"/>
          <w:iCs w:val="0"/>
          <w:sz w:val="24"/>
          <w:szCs w:val="24"/>
          <w:lang w:val="en-US"/>
        </w:rPr>
        <w:t>do</w:t>
      </w:r>
      <w:r w:rsidR="007B6F94" w:rsidRPr="00A64FF0">
        <w:rPr>
          <w:rStyle w:val="Emphasis"/>
          <w:rFonts w:ascii="Book Antiqua" w:hAnsi="Book Antiqua" w:cs="Book Antiqua"/>
          <w:i w:val="0"/>
          <w:iCs w:val="0"/>
          <w:sz w:val="24"/>
          <w:szCs w:val="24"/>
          <w:lang w:val="en-US"/>
        </w:rPr>
        <w:t xml:space="preserve"> not</w:t>
      </w:r>
      <w:r w:rsidR="00C73A6C" w:rsidRPr="00A64FF0">
        <w:rPr>
          <w:rStyle w:val="Emphasis"/>
          <w:rFonts w:ascii="Book Antiqua" w:hAnsi="Book Antiqua" w:cs="Book Antiqua"/>
          <w:i w:val="0"/>
          <w:iCs w:val="0"/>
          <w:sz w:val="24"/>
          <w:szCs w:val="24"/>
          <w:lang w:val="en-US"/>
        </w:rPr>
        <w:t xml:space="preserve"> give clear indications regarding</w:t>
      </w:r>
      <w:r w:rsidR="00C14DA1"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 xml:space="preserve">the use of </w:t>
      </w:r>
      <w:r w:rsidR="007F51F5" w:rsidRPr="00A64FF0">
        <w:rPr>
          <w:rStyle w:val="Emphasis"/>
          <w:rFonts w:ascii="Book Antiqua" w:hAnsi="Book Antiqua" w:cs="Book Antiqua"/>
          <w:i w:val="0"/>
          <w:iCs w:val="0"/>
          <w:sz w:val="24"/>
          <w:szCs w:val="24"/>
          <w:lang w:val="en-US"/>
        </w:rPr>
        <w:t>cyclosporin a (CyA)</w:t>
      </w:r>
      <w:r w:rsidR="007F51F5" w:rsidRPr="00A64FF0">
        <w:rPr>
          <w:rStyle w:val="Emphasis"/>
          <w:rFonts w:ascii="Book Antiqua" w:hAnsi="Book Antiqua" w:cs="Book Antiqua"/>
          <w:i w:val="0"/>
          <w:iCs w:val="0"/>
          <w:sz w:val="24"/>
          <w:szCs w:val="24"/>
          <w:lang w:val="en-US" w:eastAsia="zh-CN"/>
        </w:rPr>
        <w:t xml:space="preserve"> </w:t>
      </w:r>
      <w:r w:rsidRPr="00A64FF0">
        <w:rPr>
          <w:rStyle w:val="Emphasis"/>
          <w:rFonts w:ascii="Book Antiqua" w:hAnsi="Book Antiqua" w:cs="Book Antiqua"/>
          <w:i w:val="0"/>
          <w:iCs w:val="0"/>
          <w:sz w:val="24"/>
          <w:szCs w:val="24"/>
          <w:lang w:val="en-US"/>
        </w:rPr>
        <w:t>in patients with PsO and concomitant HBV infection</w:t>
      </w:r>
      <w:r w:rsidR="001944E8" w:rsidRPr="00A64FF0">
        <w:rPr>
          <w:rStyle w:val="Emphasis"/>
          <w:rFonts w:ascii="Book Antiqua" w:hAnsi="Book Antiqua" w:cs="Book Antiqua"/>
          <w:i w:val="0"/>
          <w:iCs w:val="0"/>
          <w:sz w:val="24"/>
          <w:szCs w:val="24"/>
          <w:vertAlign w:val="superscript"/>
          <w:lang w:val="en-US"/>
        </w:rPr>
        <w:t>[</w:t>
      </w:r>
      <w:r w:rsidRPr="00A64FF0">
        <w:rPr>
          <w:rStyle w:val="Emphasis"/>
          <w:rFonts w:ascii="Book Antiqua" w:hAnsi="Book Antiqua" w:cs="Book Antiqua"/>
          <w:i w:val="0"/>
          <w:iCs w:val="0"/>
          <w:sz w:val="24"/>
          <w:szCs w:val="24"/>
          <w:vertAlign w:val="superscript"/>
          <w:lang w:val="en-US"/>
        </w:rPr>
        <w:t>18]</w:t>
      </w:r>
      <w:r w:rsidRPr="00A64FF0">
        <w:rPr>
          <w:rStyle w:val="Emphasis"/>
          <w:rFonts w:ascii="Book Antiqua" w:hAnsi="Book Antiqua" w:cs="Book Antiqua"/>
          <w:i w:val="0"/>
          <w:iCs w:val="0"/>
          <w:sz w:val="24"/>
          <w:szCs w:val="24"/>
          <w:lang w:val="en-US"/>
        </w:rPr>
        <w:t>. The only reports of HBV reactivation concern severe immunosuppressed subjects such as renal transplant recipients and hematological patients</w:t>
      </w:r>
      <w:r w:rsidR="001944E8" w:rsidRPr="00A64FF0">
        <w:rPr>
          <w:rStyle w:val="Emphasis"/>
          <w:rFonts w:ascii="Book Antiqua" w:hAnsi="Book Antiqua" w:cs="Book Antiqua"/>
          <w:i w:val="0"/>
          <w:iCs w:val="0"/>
          <w:sz w:val="24"/>
          <w:szCs w:val="24"/>
          <w:vertAlign w:val="superscript"/>
          <w:lang w:val="en-US"/>
        </w:rPr>
        <w:t>[</w:t>
      </w:r>
      <w:r w:rsidRPr="00A64FF0">
        <w:rPr>
          <w:rStyle w:val="Emphasis"/>
          <w:rFonts w:ascii="Book Antiqua" w:hAnsi="Book Antiqua" w:cs="Book Antiqua"/>
          <w:i w:val="0"/>
          <w:iCs w:val="0"/>
          <w:sz w:val="24"/>
          <w:szCs w:val="24"/>
          <w:vertAlign w:val="superscript"/>
          <w:lang w:val="en-US"/>
        </w:rPr>
        <w:t>31,32]</w:t>
      </w:r>
      <w:r w:rsidRPr="00A64FF0">
        <w:rPr>
          <w:rStyle w:val="Emphasis"/>
          <w:rFonts w:ascii="Book Antiqua" w:hAnsi="Book Antiqua" w:cs="Book Antiqua"/>
          <w:i w:val="0"/>
          <w:iCs w:val="0"/>
          <w:sz w:val="24"/>
          <w:szCs w:val="24"/>
          <w:lang w:val="en-US"/>
        </w:rPr>
        <w:t>.</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In a cohort of patients with rheumatoid arthritis (RA) who were anti-HBc</w:t>
      </w:r>
      <w:r w:rsidR="0071380A"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positive and/or ant</w:t>
      </w:r>
      <w:r w:rsidR="00B04841" w:rsidRPr="00A64FF0">
        <w:rPr>
          <w:rStyle w:val="Emphasis"/>
          <w:rFonts w:ascii="Book Antiqua" w:hAnsi="Book Antiqua" w:cs="Book Antiqua"/>
          <w:i w:val="0"/>
          <w:iCs w:val="0"/>
          <w:sz w:val="24"/>
          <w:szCs w:val="24"/>
          <w:lang w:val="en-US"/>
        </w:rPr>
        <w:t>i-HBs</w:t>
      </w:r>
      <w:r w:rsidR="007B6F94" w:rsidRPr="00A64FF0">
        <w:rPr>
          <w:rStyle w:val="Emphasis"/>
          <w:rFonts w:ascii="Book Antiqua" w:hAnsi="Book Antiqua" w:cs="Book Antiqua"/>
          <w:i w:val="0"/>
          <w:iCs w:val="0"/>
          <w:sz w:val="24"/>
          <w:szCs w:val="24"/>
          <w:lang w:val="en-US"/>
        </w:rPr>
        <w:t xml:space="preserve"> positive (defined by the A</w:t>
      </w:r>
      <w:r w:rsidRPr="00A64FF0">
        <w:rPr>
          <w:rStyle w:val="Emphasis"/>
          <w:rFonts w:ascii="Book Antiqua" w:hAnsi="Book Antiqua" w:cs="Book Antiqua"/>
          <w:i w:val="0"/>
          <w:iCs w:val="0"/>
          <w:sz w:val="24"/>
          <w:szCs w:val="24"/>
          <w:lang w:val="en-US"/>
        </w:rPr>
        <w:t>uthors as resolved HBV infec</w:t>
      </w:r>
      <w:r w:rsidR="00B04841" w:rsidRPr="00A64FF0">
        <w:rPr>
          <w:rStyle w:val="Emphasis"/>
          <w:rFonts w:ascii="Book Antiqua" w:hAnsi="Book Antiqua" w:cs="Book Antiqua"/>
          <w:i w:val="0"/>
          <w:iCs w:val="0"/>
          <w:sz w:val="24"/>
          <w:szCs w:val="24"/>
          <w:lang w:val="en-US"/>
        </w:rPr>
        <w:t>tion) treated with either cDMARD</w:t>
      </w:r>
      <w:r w:rsidRPr="00A64FF0">
        <w:rPr>
          <w:rStyle w:val="Emphasis"/>
          <w:rFonts w:ascii="Book Antiqua" w:hAnsi="Book Antiqua" w:cs="Book Antiqua"/>
          <w:i w:val="0"/>
          <w:iCs w:val="0"/>
          <w:sz w:val="24"/>
          <w:szCs w:val="24"/>
          <w:lang w:val="en-US"/>
        </w:rPr>
        <w:t>s and or bDMARDs, CyA did</w:t>
      </w:r>
      <w:r w:rsidR="007B6F94" w:rsidRPr="00A64FF0">
        <w:rPr>
          <w:rStyle w:val="Emphasis"/>
          <w:rFonts w:ascii="Book Antiqua" w:hAnsi="Book Antiqua" w:cs="Book Antiqua"/>
          <w:i w:val="0"/>
          <w:iCs w:val="0"/>
          <w:sz w:val="24"/>
          <w:szCs w:val="24"/>
          <w:lang w:val="en-US"/>
        </w:rPr>
        <w:t xml:space="preserve"> not result</w:t>
      </w:r>
      <w:r w:rsidRPr="00A64FF0">
        <w:rPr>
          <w:rStyle w:val="Emphasis"/>
          <w:rFonts w:ascii="Book Antiqua" w:hAnsi="Book Antiqua" w:cs="Book Antiqua"/>
          <w:i w:val="0"/>
          <w:iCs w:val="0"/>
          <w:sz w:val="24"/>
          <w:szCs w:val="24"/>
          <w:lang w:val="en-US"/>
        </w:rPr>
        <w:t xml:space="preserve"> associated </w:t>
      </w:r>
      <w:r w:rsidR="007B6F94" w:rsidRPr="00A64FF0">
        <w:rPr>
          <w:rStyle w:val="Emphasis"/>
          <w:rFonts w:ascii="Book Antiqua" w:hAnsi="Book Antiqua" w:cs="Book Antiqua"/>
          <w:i w:val="0"/>
          <w:iCs w:val="0"/>
          <w:sz w:val="24"/>
          <w:szCs w:val="24"/>
          <w:lang w:val="en-US"/>
        </w:rPr>
        <w:t>with</w:t>
      </w:r>
      <w:r w:rsidRPr="00A64FF0">
        <w:rPr>
          <w:rStyle w:val="Emphasis"/>
          <w:rFonts w:ascii="Book Antiqua" w:hAnsi="Book Antiqua" w:cs="Book Antiqua"/>
          <w:i w:val="0"/>
          <w:iCs w:val="0"/>
          <w:sz w:val="24"/>
          <w:szCs w:val="24"/>
          <w:lang w:val="en-US"/>
        </w:rPr>
        <w:t xml:space="preserve"> an activation of HBV infection</w:t>
      </w:r>
      <w:r w:rsidRPr="00A64FF0">
        <w:rPr>
          <w:rStyle w:val="Emphasis"/>
          <w:rFonts w:ascii="Book Antiqua" w:hAnsi="Book Antiqua" w:cs="Book Antiqua"/>
          <w:i w:val="0"/>
          <w:iCs w:val="0"/>
          <w:sz w:val="24"/>
          <w:szCs w:val="24"/>
          <w:vertAlign w:val="superscript"/>
          <w:lang w:val="en-US"/>
        </w:rPr>
        <w:t>[33]</w:t>
      </w:r>
      <w:r w:rsidRPr="00A64FF0">
        <w:rPr>
          <w:rStyle w:val="Emphasis"/>
          <w:rFonts w:ascii="Book Antiqua" w:hAnsi="Book Antiqua" w:cs="Book Antiqua"/>
          <w:i w:val="0"/>
          <w:iCs w:val="0"/>
          <w:sz w:val="24"/>
          <w:szCs w:val="24"/>
          <w:lang w:val="en-US"/>
        </w:rPr>
        <w:t>. However</w:t>
      </w:r>
      <w:r w:rsidR="000C5034" w:rsidRPr="00A64FF0">
        <w:rPr>
          <w:rStyle w:val="Emphasis"/>
          <w:rFonts w:ascii="Book Antiqua" w:hAnsi="Book Antiqua" w:cs="Book Antiqua"/>
          <w:i w:val="0"/>
          <w:iCs w:val="0"/>
          <w:sz w:val="24"/>
          <w:szCs w:val="24"/>
          <w:lang w:val="en-US"/>
        </w:rPr>
        <w:t>,</w:t>
      </w:r>
      <w:r w:rsidR="0071380A"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the</w:t>
      </w:r>
      <w:r w:rsidR="0071380A"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potential risks of HBV reactivation</w:t>
      </w:r>
      <w:r w:rsidR="0071380A"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should</w:t>
      </w:r>
      <w:r w:rsidR="007B6F94" w:rsidRPr="00A64FF0">
        <w:rPr>
          <w:rStyle w:val="Emphasis"/>
          <w:rFonts w:ascii="Book Antiqua" w:hAnsi="Book Antiqua" w:cs="Book Antiqua"/>
          <w:i w:val="0"/>
          <w:iCs w:val="0"/>
          <w:sz w:val="24"/>
          <w:szCs w:val="24"/>
          <w:lang w:val="en-US"/>
        </w:rPr>
        <w:t xml:space="preserve"> not</w:t>
      </w:r>
      <w:r w:rsidRPr="00A64FF0">
        <w:rPr>
          <w:rStyle w:val="Emphasis"/>
          <w:rFonts w:ascii="Book Antiqua" w:hAnsi="Book Antiqua" w:cs="Book Antiqua"/>
          <w:i w:val="0"/>
          <w:iCs w:val="0"/>
          <w:sz w:val="24"/>
          <w:szCs w:val="24"/>
          <w:lang w:val="en-US"/>
        </w:rPr>
        <w:t xml:space="preserve"> be underestimated</w:t>
      </w:r>
      <w:r w:rsidR="0071380A"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also using the relatively low doses of CyA</w:t>
      </w:r>
      <w:r w:rsidR="0071380A"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as those usually given to PsO</w:t>
      </w:r>
      <w:r w:rsidR="000C5034" w:rsidRPr="00A64FF0">
        <w:rPr>
          <w:rStyle w:val="Emphasis"/>
          <w:rFonts w:ascii="Book Antiqua" w:hAnsi="Book Antiqua" w:cs="Book Antiqua"/>
          <w:i w:val="0"/>
          <w:iCs w:val="0"/>
          <w:sz w:val="24"/>
          <w:szCs w:val="24"/>
          <w:lang w:val="en-US"/>
        </w:rPr>
        <w:t xml:space="preserve"> patients</w:t>
      </w:r>
      <w:r w:rsidR="00C73A6C" w:rsidRPr="00A64FF0">
        <w:rPr>
          <w:rStyle w:val="Emphasis"/>
          <w:rFonts w:ascii="Book Antiqua" w:hAnsi="Book Antiqua" w:cs="Book Antiqua"/>
          <w:i w:val="0"/>
          <w:iCs w:val="0"/>
          <w:sz w:val="24"/>
          <w:szCs w:val="24"/>
          <w:lang w:val="en-US"/>
        </w:rPr>
        <w:t>. Lacking</w:t>
      </w:r>
      <w:r w:rsidRPr="00A64FF0">
        <w:rPr>
          <w:rStyle w:val="Emphasis"/>
          <w:rFonts w:ascii="Book Antiqua" w:hAnsi="Book Antiqua" w:cs="Book Antiqua"/>
          <w:i w:val="0"/>
          <w:iCs w:val="0"/>
          <w:sz w:val="24"/>
          <w:szCs w:val="24"/>
          <w:lang w:val="en-US"/>
        </w:rPr>
        <w:t xml:space="preserve"> clear indications</w:t>
      </w:r>
      <w:r w:rsidR="00C73A6C" w:rsidRPr="00A64FF0">
        <w:rPr>
          <w:rStyle w:val="Emphasis"/>
          <w:rFonts w:ascii="Book Antiqua" w:hAnsi="Book Antiqua" w:cs="Book Antiqua"/>
          <w:i w:val="0"/>
          <w:iCs w:val="0"/>
          <w:sz w:val="24"/>
          <w:szCs w:val="24"/>
          <w:lang w:val="en-US"/>
        </w:rPr>
        <w:t>,</w:t>
      </w:r>
      <w:r w:rsidR="0071380A"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and on the basis of our personal experience,</w:t>
      </w:r>
      <w:r w:rsidR="0071380A"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we believe tha</w:t>
      </w:r>
      <w:r w:rsidR="000C5034" w:rsidRPr="00A64FF0">
        <w:rPr>
          <w:rStyle w:val="Emphasis"/>
          <w:rFonts w:ascii="Book Antiqua" w:hAnsi="Book Antiqua" w:cs="Book Antiqua"/>
          <w:i w:val="0"/>
          <w:iCs w:val="0"/>
          <w:sz w:val="24"/>
          <w:szCs w:val="24"/>
          <w:lang w:val="en-US"/>
        </w:rPr>
        <w:t>t CyA could be</w:t>
      </w:r>
      <w:r w:rsidR="0071380A" w:rsidRPr="00A64FF0">
        <w:rPr>
          <w:rStyle w:val="Emphasis"/>
          <w:rFonts w:ascii="Book Antiqua" w:hAnsi="Book Antiqua" w:cs="Book Antiqua"/>
          <w:i w:val="0"/>
          <w:iCs w:val="0"/>
          <w:sz w:val="24"/>
          <w:szCs w:val="24"/>
          <w:lang w:val="en-US"/>
        </w:rPr>
        <w:t xml:space="preserve"> </w:t>
      </w:r>
      <w:r w:rsidR="000C5034" w:rsidRPr="00A64FF0">
        <w:rPr>
          <w:rStyle w:val="Emphasis"/>
          <w:rFonts w:ascii="Book Antiqua" w:hAnsi="Book Antiqua" w:cs="Book Antiqua"/>
          <w:i w:val="0"/>
          <w:iCs w:val="0"/>
          <w:sz w:val="24"/>
          <w:szCs w:val="24"/>
          <w:lang w:val="en-US"/>
        </w:rPr>
        <w:t>administered</w:t>
      </w:r>
      <w:r w:rsidR="0071380A" w:rsidRPr="00A64FF0">
        <w:rPr>
          <w:rStyle w:val="Emphasis"/>
          <w:rFonts w:ascii="Book Antiqua" w:hAnsi="Book Antiqua" w:cs="Book Antiqua"/>
          <w:i w:val="0"/>
          <w:iCs w:val="0"/>
          <w:sz w:val="24"/>
          <w:szCs w:val="24"/>
          <w:lang w:val="en-US"/>
        </w:rPr>
        <w:t xml:space="preserve"> </w:t>
      </w:r>
      <w:r w:rsidR="000C5034" w:rsidRPr="00A64FF0">
        <w:rPr>
          <w:rStyle w:val="Emphasis"/>
          <w:rFonts w:ascii="Book Antiqua" w:hAnsi="Book Antiqua" w:cs="Book Antiqua"/>
          <w:i w:val="0"/>
          <w:iCs w:val="0"/>
          <w:sz w:val="24"/>
          <w:szCs w:val="24"/>
          <w:lang w:val="en-US"/>
        </w:rPr>
        <w:t>to</w:t>
      </w:r>
      <w:r w:rsidRPr="00A64FF0">
        <w:rPr>
          <w:rStyle w:val="Emphasis"/>
          <w:rFonts w:ascii="Book Antiqua" w:hAnsi="Book Antiqua" w:cs="Book Antiqua"/>
          <w:i w:val="0"/>
          <w:iCs w:val="0"/>
          <w:sz w:val="24"/>
          <w:szCs w:val="24"/>
          <w:lang w:val="en-US"/>
        </w:rPr>
        <w:t xml:space="preserve"> patients who are HBV occult c</w:t>
      </w:r>
      <w:r w:rsidR="000C5034" w:rsidRPr="00A64FF0">
        <w:rPr>
          <w:rStyle w:val="Emphasis"/>
          <w:rFonts w:ascii="Book Antiqua" w:hAnsi="Book Antiqua" w:cs="Book Antiqua"/>
          <w:i w:val="0"/>
          <w:iCs w:val="0"/>
          <w:sz w:val="24"/>
          <w:szCs w:val="24"/>
          <w:lang w:val="en-US"/>
        </w:rPr>
        <w:t>arriers or with rHBV</w:t>
      </w:r>
      <w:r w:rsidR="0071380A" w:rsidRPr="00A64FF0">
        <w:rPr>
          <w:rStyle w:val="Emphasis"/>
          <w:rFonts w:ascii="Book Antiqua" w:hAnsi="Book Antiqua" w:cs="Book Antiqua"/>
          <w:i w:val="0"/>
          <w:iCs w:val="0"/>
          <w:sz w:val="24"/>
          <w:szCs w:val="24"/>
          <w:lang w:val="en-US"/>
        </w:rPr>
        <w:t xml:space="preserve"> </w:t>
      </w:r>
      <w:r w:rsidR="000C5034" w:rsidRPr="00A64FF0">
        <w:rPr>
          <w:rStyle w:val="Emphasis"/>
          <w:rFonts w:ascii="Book Antiqua" w:hAnsi="Book Antiqua" w:cs="Book Antiqua"/>
          <w:i w:val="0"/>
          <w:iCs w:val="0"/>
          <w:sz w:val="24"/>
          <w:szCs w:val="24"/>
          <w:lang w:val="en-US"/>
        </w:rPr>
        <w:t>if</w:t>
      </w:r>
      <w:r w:rsidRPr="00A64FF0">
        <w:rPr>
          <w:rStyle w:val="Emphasis"/>
          <w:rFonts w:ascii="Book Antiqua" w:hAnsi="Book Antiqua" w:cs="Book Antiqua"/>
          <w:i w:val="0"/>
          <w:iCs w:val="0"/>
          <w:sz w:val="24"/>
          <w:szCs w:val="24"/>
          <w:lang w:val="en-US"/>
        </w:rPr>
        <w:t xml:space="preserve"> adequately monitored (see below)</w:t>
      </w:r>
      <w:r w:rsidR="008D1ADC" w:rsidRPr="00A64FF0">
        <w:rPr>
          <w:rStyle w:val="Emphasis"/>
          <w:rFonts w:ascii="Book Antiqua" w:hAnsi="Book Antiqua" w:cs="Book Antiqua"/>
          <w:i w:val="0"/>
          <w:iCs w:val="0"/>
          <w:sz w:val="24"/>
          <w:szCs w:val="24"/>
          <w:lang w:val="en-US"/>
        </w:rPr>
        <w:t>.</w:t>
      </w:r>
    </w:p>
    <w:p w:rsidR="00CC5C47"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rPr>
      </w:pPr>
    </w:p>
    <w:p w:rsidR="00CC5C47" w:rsidRPr="00A64FF0" w:rsidRDefault="00CC5C47" w:rsidP="00467AE1">
      <w:pPr>
        <w:adjustRightInd w:val="0"/>
        <w:snapToGrid w:val="0"/>
        <w:spacing w:after="0" w:line="360" w:lineRule="auto"/>
        <w:jc w:val="both"/>
        <w:rPr>
          <w:rStyle w:val="Emphasis"/>
          <w:rFonts w:ascii="Book Antiqua" w:hAnsi="Book Antiqua" w:cs="Book Antiqua"/>
          <w:b/>
          <w:sz w:val="24"/>
          <w:szCs w:val="24"/>
          <w:lang w:val="en-US"/>
        </w:rPr>
      </w:pPr>
      <w:r w:rsidRPr="00A64FF0">
        <w:rPr>
          <w:rStyle w:val="Emphasis"/>
          <w:rFonts w:ascii="Book Antiqua" w:hAnsi="Book Antiqua" w:cs="Book Antiqua"/>
          <w:b/>
          <w:sz w:val="24"/>
          <w:szCs w:val="24"/>
          <w:lang w:val="en-US"/>
        </w:rPr>
        <w:t>Methotr</w:t>
      </w:r>
      <w:r w:rsidR="000C5034" w:rsidRPr="00A64FF0">
        <w:rPr>
          <w:rStyle w:val="Emphasis"/>
          <w:rFonts w:ascii="Book Antiqua" w:hAnsi="Book Antiqua" w:cs="Book Antiqua"/>
          <w:b/>
          <w:sz w:val="24"/>
          <w:szCs w:val="24"/>
          <w:lang w:val="en-US"/>
        </w:rPr>
        <w:t>e</w:t>
      </w:r>
      <w:r w:rsidRPr="00A64FF0">
        <w:rPr>
          <w:rStyle w:val="Emphasis"/>
          <w:rFonts w:ascii="Book Antiqua" w:hAnsi="Book Antiqua" w:cs="Book Antiqua"/>
          <w:b/>
          <w:sz w:val="24"/>
          <w:szCs w:val="24"/>
          <w:lang w:val="en-US"/>
        </w:rPr>
        <w:t>xate</w:t>
      </w:r>
    </w:p>
    <w:p w:rsidR="00CC5C47"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 xml:space="preserve">Data available on the use of </w:t>
      </w:r>
      <w:r w:rsidR="007F51F5" w:rsidRPr="00A64FF0">
        <w:rPr>
          <w:rStyle w:val="Emphasis"/>
          <w:rFonts w:ascii="Book Antiqua" w:hAnsi="Book Antiqua" w:cs="Book Antiqua"/>
          <w:i w:val="0"/>
          <w:iCs w:val="0"/>
          <w:sz w:val="24"/>
          <w:szCs w:val="24"/>
          <w:lang w:val="en-US"/>
        </w:rPr>
        <w:t>methotrexate (MTX)</w:t>
      </w:r>
      <w:r w:rsidR="007F51F5" w:rsidRPr="00A64FF0">
        <w:rPr>
          <w:rStyle w:val="Emphasis"/>
          <w:rFonts w:ascii="Book Antiqua" w:hAnsi="Book Antiqua" w:cs="Book Antiqua"/>
          <w:i w:val="0"/>
          <w:iCs w:val="0"/>
          <w:sz w:val="24"/>
          <w:szCs w:val="24"/>
          <w:lang w:val="en-US" w:eastAsia="zh-CN"/>
        </w:rPr>
        <w:t xml:space="preserve"> </w:t>
      </w:r>
      <w:r w:rsidRPr="00A64FF0">
        <w:rPr>
          <w:rStyle w:val="Emphasis"/>
          <w:rFonts w:ascii="Book Antiqua" w:hAnsi="Book Antiqua" w:cs="Book Antiqua"/>
          <w:i w:val="0"/>
          <w:iCs w:val="0"/>
          <w:sz w:val="24"/>
          <w:szCs w:val="24"/>
          <w:lang w:val="en-US"/>
        </w:rPr>
        <w:t>in patients with HBV infection</w:t>
      </w:r>
      <w:r w:rsidR="00E2742F" w:rsidRPr="00A64FF0">
        <w:rPr>
          <w:rStyle w:val="Emphasis"/>
          <w:rFonts w:ascii="Book Antiqua" w:hAnsi="Book Antiqua" w:cs="Book Antiqua"/>
          <w:i w:val="0"/>
          <w:iCs w:val="0"/>
          <w:sz w:val="24"/>
          <w:szCs w:val="24"/>
          <w:lang w:val="en-US"/>
        </w:rPr>
        <w:t xml:space="preserve"> </w:t>
      </w:r>
      <w:r w:rsidR="000C5034" w:rsidRPr="00A64FF0">
        <w:rPr>
          <w:rStyle w:val="Emphasis"/>
          <w:rFonts w:ascii="Book Antiqua" w:hAnsi="Book Antiqua" w:cs="Book Antiqua"/>
          <w:i w:val="0"/>
          <w:iCs w:val="0"/>
          <w:sz w:val="24"/>
          <w:szCs w:val="24"/>
          <w:lang w:val="en-US"/>
        </w:rPr>
        <w:t>were gathered</w:t>
      </w:r>
      <w:r w:rsidRPr="00A64FF0">
        <w:rPr>
          <w:rStyle w:val="Emphasis"/>
          <w:rFonts w:ascii="Book Antiqua" w:hAnsi="Book Antiqua" w:cs="Book Antiqua"/>
          <w:i w:val="0"/>
          <w:iCs w:val="0"/>
          <w:sz w:val="24"/>
          <w:szCs w:val="24"/>
          <w:lang w:val="en-US"/>
        </w:rPr>
        <w:t xml:space="preserve"> from patients with rheumatologic</w:t>
      </w:r>
      <w:r w:rsidR="00E2742F"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or inflammatory bowel disease</w:t>
      </w:r>
      <w:r w:rsidR="001944E8" w:rsidRPr="00A64FF0">
        <w:rPr>
          <w:rStyle w:val="Emphasis"/>
          <w:rFonts w:ascii="Book Antiqua" w:hAnsi="Book Antiqua" w:cs="Book Antiqua"/>
          <w:i w:val="0"/>
          <w:iCs w:val="0"/>
          <w:sz w:val="24"/>
          <w:szCs w:val="24"/>
          <w:vertAlign w:val="superscript"/>
          <w:lang w:val="en-US"/>
        </w:rPr>
        <w:t>[34,</w:t>
      </w:r>
      <w:r w:rsidRPr="00A64FF0">
        <w:rPr>
          <w:rStyle w:val="Emphasis"/>
          <w:rFonts w:ascii="Book Antiqua" w:hAnsi="Book Antiqua" w:cs="Book Antiqua"/>
          <w:i w:val="0"/>
          <w:iCs w:val="0"/>
          <w:sz w:val="24"/>
          <w:szCs w:val="24"/>
          <w:vertAlign w:val="superscript"/>
          <w:lang w:val="en-US"/>
        </w:rPr>
        <w:t>35]</w:t>
      </w:r>
      <w:r w:rsidRPr="00A64FF0">
        <w:rPr>
          <w:rStyle w:val="Emphasis"/>
          <w:rFonts w:ascii="Book Antiqua" w:hAnsi="Book Antiqua" w:cs="Book Antiqua"/>
          <w:i w:val="0"/>
          <w:iCs w:val="0"/>
          <w:sz w:val="24"/>
          <w:szCs w:val="24"/>
          <w:lang w:val="en-US"/>
        </w:rPr>
        <w:t>. Whether or not MTX can be safely administered to patients with a history of HBV infection is not clear</w:t>
      </w:r>
      <w:r w:rsidR="001944E8" w:rsidRPr="00A64FF0">
        <w:rPr>
          <w:rStyle w:val="Emphasis"/>
          <w:rFonts w:ascii="Book Antiqua" w:hAnsi="Book Antiqua" w:cs="Book Antiqua"/>
          <w:i w:val="0"/>
          <w:iCs w:val="0"/>
          <w:sz w:val="24"/>
          <w:szCs w:val="24"/>
          <w:vertAlign w:val="superscript"/>
          <w:lang w:val="en-US"/>
        </w:rPr>
        <w:t>[</w:t>
      </w:r>
      <w:r w:rsidRPr="00A64FF0">
        <w:rPr>
          <w:rStyle w:val="Emphasis"/>
          <w:rFonts w:ascii="Book Antiqua" w:hAnsi="Book Antiqua" w:cs="Book Antiqua"/>
          <w:i w:val="0"/>
          <w:iCs w:val="0"/>
          <w:sz w:val="24"/>
          <w:szCs w:val="24"/>
          <w:vertAlign w:val="superscript"/>
          <w:lang w:val="en-US"/>
        </w:rPr>
        <w:t>34,36]</w:t>
      </w:r>
      <w:r w:rsidRPr="00A64FF0">
        <w:rPr>
          <w:rStyle w:val="Emphasis"/>
          <w:rFonts w:ascii="Book Antiqua" w:hAnsi="Book Antiqua" w:cs="Book Antiqua"/>
          <w:i w:val="0"/>
          <w:iCs w:val="0"/>
          <w:sz w:val="24"/>
          <w:szCs w:val="24"/>
          <w:lang w:val="en-US"/>
        </w:rPr>
        <w:t>.</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Basically, in the dermatologic</w:t>
      </w:r>
      <w:r w:rsidR="00C35733" w:rsidRPr="00A64FF0">
        <w:rPr>
          <w:rStyle w:val="Emphasis"/>
          <w:rFonts w:ascii="Book Antiqua" w:hAnsi="Book Antiqua" w:cs="Book Antiqua"/>
          <w:i w:val="0"/>
          <w:iCs w:val="0"/>
          <w:sz w:val="24"/>
          <w:szCs w:val="24"/>
          <w:lang w:val="en-US"/>
        </w:rPr>
        <w:t>al</w:t>
      </w:r>
      <w:r w:rsidRPr="00A64FF0">
        <w:rPr>
          <w:rStyle w:val="Emphasis"/>
          <w:rFonts w:ascii="Book Antiqua" w:hAnsi="Book Antiqua" w:cs="Book Antiqua"/>
          <w:i w:val="0"/>
          <w:iCs w:val="0"/>
          <w:sz w:val="24"/>
          <w:szCs w:val="24"/>
          <w:lang w:val="en-US"/>
        </w:rPr>
        <w:t xml:space="preserve"> field, the different guidelines</w:t>
      </w:r>
      <w:r w:rsidR="001351C1"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agree</w:t>
      </w:r>
      <w:r w:rsidR="001351C1"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on avoiding MTX</w:t>
      </w:r>
      <w:r w:rsidR="001351C1"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therapy in all patients who</w:t>
      </w:r>
      <w:r w:rsidR="000C5034" w:rsidRPr="00A64FF0">
        <w:rPr>
          <w:rStyle w:val="Emphasis"/>
          <w:rFonts w:ascii="Book Antiqua" w:hAnsi="Book Antiqua" w:cs="Book Antiqua"/>
          <w:i w:val="0"/>
          <w:iCs w:val="0"/>
          <w:sz w:val="24"/>
          <w:szCs w:val="24"/>
          <w:lang w:val="en-US"/>
        </w:rPr>
        <w:t>se</w:t>
      </w:r>
      <w:r w:rsidR="001351C1"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seromarkers</w:t>
      </w:r>
      <w:r w:rsidR="001351C1"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indicate an exposition to HBV</w:t>
      </w:r>
      <w:r w:rsidR="001944E8" w:rsidRPr="00A64FF0">
        <w:rPr>
          <w:rStyle w:val="Emphasis"/>
          <w:rFonts w:ascii="Book Antiqua" w:hAnsi="Book Antiqua" w:cs="Book Antiqua"/>
          <w:i w:val="0"/>
          <w:iCs w:val="0"/>
          <w:sz w:val="24"/>
          <w:szCs w:val="24"/>
          <w:vertAlign w:val="superscript"/>
          <w:lang w:val="en-US"/>
        </w:rPr>
        <w:t>[12,18,</w:t>
      </w:r>
      <w:r w:rsidRPr="00A64FF0">
        <w:rPr>
          <w:rStyle w:val="Emphasis"/>
          <w:rFonts w:ascii="Book Antiqua" w:hAnsi="Book Antiqua" w:cs="Book Antiqua"/>
          <w:i w:val="0"/>
          <w:iCs w:val="0"/>
          <w:sz w:val="24"/>
          <w:szCs w:val="24"/>
          <w:vertAlign w:val="superscript"/>
          <w:lang w:val="en-US"/>
        </w:rPr>
        <w:t>37]</w:t>
      </w:r>
      <w:r w:rsidRPr="00A64FF0">
        <w:rPr>
          <w:rStyle w:val="Emphasis"/>
          <w:rFonts w:ascii="Book Antiqua" w:hAnsi="Book Antiqua" w:cs="Book Antiqua"/>
          <w:i w:val="0"/>
          <w:iCs w:val="0"/>
          <w:sz w:val="24"/>
          <w:szCs w:val="24"/>
          <w:lang w:val="en-US"/>
        </w:rPr>
        <w:t>.</w:t>
      </w:r>
    </w:p>
    <w:p w:rsidR="00CC5C47"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rPr>
      </w:pPr>
    </w:p>
    <w:p w:rsidR="00CC5C47" w:rsidRPr="00A64FF0" w:rsidRDefault="00CC5C47" w:rsidP="00467AE1">
      <w:pPr>
        <w:adjustRightInd w:val="0"/>
        <w:snapToGrid w:val="0"/>
        <w:spacing w:after="0" w:line="360" w:lineRule="auto"/>
        <w:jc w:val="both"/>
        <w:rPr>
          <w:rStyle w:val="Emphasis"/>
          <w:rFonts w:ascii="Book Antiqua" w:hAnsi="Book Antiqua" w:cs="Book Antiqua"/>
          <w:b/>
          <w:bCs/>
          <w:i w:val="0"/>
          <w:iCs w:val="0"/>
          <w:sz w:val="24"/>
          <w:szCs w:val="24"/>
          <w:lang w:val="en-US" w:eastAsia="zh-CN"/>
        </w:rPr>
      </w:pPr>
      <w:r w:rsidRPr="00A64FF0">
        <w:rPr>
          <w:rStyle w:val="Emphasis"/>
          <w:rFonts w:ascii="Book Antiqua" w:hAnsi="Book Antiqua" w:cs="Book Antiqua"/>
          <w:b/>
          <w:bCs/>
          <w:i w:val="0"/>
          <w:iCs w:val="0"/>
          <w:sz w:val="24"/>
          <w:szCs w:val="24"/>
          <w:lang w:val="en-US"/>
        </w:rPr>
        <w:t>bDMARDs</w:t>
      </w:r>
    </w:p>
    <w:p w:rsidR="00CC5C47" w:rsidRPr="00A64FF0" w:rsidRDefault="007F51F5" w:rsidP="00467AE1">
      <w:pPr>
        <w:adjustRightInd w:val="0"/>
        <w:snapToGrid w:val="0"/>
        <w:spacing w:after="0" w:line="360" w:lineRule="auto"/>
        <w:jc w:val="both"/>
        <w:rPr>
          <w:rStyle w:val="Emphasis"/>
          <w:rFonts w:ascii="Book Antiqua" w:hAnsi="Book Antiqua" w:cs="Book Antiqua"/>
          <w:b/>
          <w:i w:val="0"/>
          <w:iCs w:val="0"/>
          <w:sz w:val="24"/>
          <w:szCs w:val="24"/>
          <w:lang w:val="en-US" w:eastAsia="zh-CN"/>
        </w:rPr>
      </w:pPr>
      <w:r w:rsidRPr="00A64FF0">
        <w:rPr>
          <w:rStyle w:val="Emphasis"/>
          <w:rFonts w:ascii="Book Antiqua" w:hAnsi="Book Antiqua" w:cs="Book Antiqua"/>
          <w:b/>
          <w:sz w:val="24"/>
          <w:szCs w:val="24"/>
          <w:lang w:val="en-US"/>
        </w:rPr>
        <w:t>TNF inhibitors</w:t>
      </w:r>
    </w:p>
    <w:p w:rsidR="00CC5C47" w:rsidRPr="00A64FF0" w:rsidRDefault="00CC5C47" w:rsidP="00467AE1">
      <w:pPr>
        <w:autoSpaceDE w:val="0"/>
        <w:autoSpaceDN w:val="0"/>
        <w:adjustRightInd w:val="0"/>
        <w:snapToGrid w:val="0"/>
        <w:spacing w:after="0" w:line="360" w:lineRule="auto"/>
        <w:jc w:val="both"/>
        <w:rPr>
          <w:rFonts w:ascii="Book Antiqua" w:hAnsi="Book Antiqua" w:cs="Book Antiqua"/>
          <w:sz w:val="24"/>
          <w:szCs w:val="24"/>
          <w:lang w:val="en-US"/>
        </w:rPr>
      </w:pPr>
      <w:r w:rsidRPr="00A64FF0">
        <w:rPr>
          <w:rFonts w:ascii="Book Antiqua" w:hAnsi="Book Antiqua" w:cs="Book Antiqua"/>
          <w:sz w:val="24"/>
          <w:szCs w:val="24"/>
          <w:lang w:val="en-US"/>
        </w:rPr>
        <w:t xml:space="preserve">There is evidence from </w:t>
      </w:r>
      <w:r w:rsidR="000C5034" w:rsidRPr="00A64FF0">
        <w:rPr>
          <w:rFonts w:ascii="Book Antiqua" w:hAnsi="Book Antiqua" w:cs="Book Antiqua"/>
          <w:sz w:val="24"/>
          <w:szCs w:val="24"/>
          <w:lang w:val="en-US"/>
        </w:rPr>
        <w:t>experimental models that TNF plays</w:t>
      </w:r>
      <w:r w:rsidR="00AF464C" w:rsidRPr="00A64FF0">
        <w:rPr>
          <w:rFonts w:ascii="Book Antiqua" w:hAnsi="Book Antiqua" w:cs="Book Antiqua"/>
          <w:sz w:val="24"/>
          <w:szCs w:val="24"/>
          <w:lang w:val="en-US"/>
        </w:rPr>
        <w:t xml:space="preserve"> a critical role in HBV clearance</w:t>
      </w:r>
      <w:r w:rsidRPr="00A64FF0">
        <w:rPr>
          <w:rFonts w:ascii="Book Antiqua" w:hAnsi="Book Antiqua" w:cs="Book Antiqua"/>
          <w:sz w:val="24"/>
          <w:szCs w:val="24"/>
          <w:lang w:val="en-US"/>
        </w:rPr>
        <w:t xml:space="preserve"> from infected hepatocytes</w:t>
      </w:r>
      <w:r w:rsidR="001944E8" w:rsidRPr="00A64FF0">
        <w:rPr>
          <w:rFonts w:ascii="Book Antiqua" w:hAnsi="Book Antiqua" w:cs="Book Antiqua"/>
          <w:sz w:val="24"/>
          <w:szCs w:val="24"/>
          <w:vertAlign w:val="superscript"/>
          <w:lang w:val="en-US"/>
        </w:rPr>
        <w:t>[</w:t>
      </w:r>
      <w:r w:rsidRPr="00A64FF0">
        <w:rPr>
          <w:rFonts w:ascii="Book Antiqua" w:hAnsi="Book Antiqua" w:cs="Book Antiqua"/>
          <w:sz w:val="24"/>
          <w:szCs w:val="24"/>
          <w:vertAlign w:val="superscript"/>
          <w:lang w:val="en-US"/>
        </w:rPr>
        <w:t>38]</w:t>
      </w:r>
      <w:r w:rsidRPr="00A64FF0">
        <w:rPr>
          <w:rFonts w:ascii="Book Antiqua" w:hAnsi="Book Antiqua" w:cs="Book Antiqua"/>
          <w:sz w:val="24"/>
          <w:szCs w:val="24"/>
          <w:lang w:val="en-US"/>
        </w:rPr>
        <w:t>. Therefore</w:t>
      </w:r>
      <w:r w:rsidR="000C5034"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a detrimental effect </w:t>
      </w:r>
      <w:r w:rsidR="00AF464C" w:rsidRPr="00A64FF0">
        <w:rPr>
          <w:rFonts w:ascii="Book Antiqua" w:hAnsi="Book Antiqua" w:cs="Book Antiqua"/>
          <w:sz w:val="24"/>
          <w:szCs w:val="24"/>
          <w:lang w:val="en-US"/>
        </w:rPr>
        <w:t xml:space="preserve">is expected </w:t>
      </w:r>
      <w:r w:rsidRPr="00A64FF0">
        <w:rPr>
          <w:rFonts w:ascii="Book Antiqua" w:hAnsi="Book Antiqua" w:cs="Book Antiqua"/>
          <w:sz w:val="24"/>
          <w:szCs w:val="24"/>
          <w:lang w:val="en-US"/>
        </w:rPr>
        <w:t>in terms of worsening or reactivation of HBV infection in subject</w:t>
      </w:r>
      <w:r w:rsidR="001944E8" w:rsidRPr="00A64FF0">
        <w:rPr>
          <w:rFonts w:ascii="Book Antiqua" w:hAnsi="Book Antiqua" w:cs="Book Antiqua"/>
          <w:sz w:val="24"/>
          <w:szCs w:val="24"/>
          <w:lang w:val="en-US"/>
        </w:rPr>
        <w:t xml:space="preserve">s treated with </w:t>
      </w:r>
      <w:r w:rsidR="007F51F5" w:rsidRPr="00A64FF0">
        <w:rPr>
          <w:rFonts w:ascii="Book Antiqua" w:hAnsi="Book Antiqua" w:cs="Book Antiqua"/>
          <w:sz w:val="24"/>
          <w:szCs w:val="24"/>
          <w:lang w:val="en-US"/>
        </w:rPr>
        <w:t>TNF inhibitors (TNFis)</w:t>
      </w:r>
      <w:r w:rsidRPr="00A64FF0">
        <w:rPr>
          <w:rFonts w:ascii="Book Antiqua" w:hAnsi="Book Antiqua" w:cs="Book Antiqua"/>
          <w:sz w:val="24"/>
          <w:szCs w:val="24"/>
          <w:lang w:val="en-US"/>
        </w:rPr>
        <w:t>.</w:t>
      </w:r>
    </w:p>
    <w:p w:rsidR="00CC5C47" w:rsidRPr="00A64FF0" w:rsidRDefault="000C5034"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Over</w:t>
      </w:r>
      <w:r w:rsidR="00CC5C47" w:rsidRPr="00A64FF0">
        <w:rPr>
          <w:rStyle w:val="Emphasis"/>
          <w:rFonts w:ascii="Book Antiqua" w:hAnsi="Book Antiqua" w:cs="Book Antiqua"/>
          <w:i w:val="0"/>
          <w:iCs w:val="0"/>
          <w:sz w:val="24"/>
          <w:szCs w:val="24"/>
          <w:lang w:val="en-US"/>
        </w:rPr>
        <w:t xml:space="preserve"> the past years several casesof HBV reactivation have been reported with either infliximab (IFX), adalimumab (ADA) or etanercept (ETA) therapy, mainly in patients with rheumatologic inflammatory diseases or inflammatory bowel disease</w:t>
      </w:r>
      <w:r w:rsidR="001944E8" w:rsidRPr="00A64FF0">
        <w:rPr>
          <w:rStyle w:val="Emphasis"/>
          <w:rFonts w:ascii="Book Antiqua" w:hAnsi="Book Antiqua" w:cs="Book Antiqua"/>
          <w:i w:val="0"/>
          <w:iCs w:val="0"/>
          <w:sz w:val="24"/>
          <w:szCs w:val="24"/>
          <w:vertAlign w:val="superscript"/>
          <w:lang w:val="en-US"/>
        </w:rPr>
        <w:t>[21,39,</w:t>
      </w:r>
      <w:r w:rsidR="00CC5C47" w:rsidRPr="00A64FF0">
        <w:rPr>
          <w:rStyle w:val="Emphasis"/>
          <w:rFonts w:ascii="Book Antiqua" w:hAnsi="Book Antiqua" w:cs="Book Antiqua"/>
          <w:i w:val="0"/>
          <w:iCs w:val="0"/>
          <w:sz w:val="24"/>
          <w:szCs w:val="24"/>
          <w:vertAlign w:val="superscript"/>
          <w:lang w:val="en-US"/>
        </w:rPr>
        <w:t>40]</w:t>
      </w:r>
      <w:r w:rsidR="00CC5C47" w:rsidRPr="00A64FF0">
        <w:rPr>
          <w:rStyle w:val="Emphasis"/>
          <w:rFonts w:ascii="Book Antiqua" w:hAnsi="Book Antiqua" w:cs="Book Antiqua"/>
          <w:i w:val="0"/>
          <w:iCs w:val="0"/>
          <w:sz w:val="24"/>
          <w:szCs w:val="24"/>
          <w:lang w:val="en-US"/>
        </w:rPr>
        <w:t>.</w:t>
      </w:r>
    </w:p>
    <w:p w:rsidR="00626926" w:rsidRPr="00A64FF0" w:rsidRDefault="000C5034"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Style w:val="Emphasis"/>
          <w:rFonts w:ascii="Book Antiqua" w:hAnsi="Book Antiqua" w:cs="Book Antiqua"/>
          <w:i w:val="0"/>
          <w:iCs w:val="0"/>
          <w:sz w:val="24"/>
          <w:szCs w:val="24"/>
          <w:lang w:val="en-US"/>
        </w:rPr>
        <w:lastRenderedPageBreak/>
        <w:t>Whether or not</w:t>
      </w:r>
      <w:r w:rsidR="006E5AB2" w:rsidRPr="00A64FF0">
        <w:rPr>
          <w:rStyle w:val="Emphasis"/>
          <w:rFonts w:ascii="Book Antiqua" w:hAnsi="Book Antiqua" w:cs="Book Antiqua"/>
          <w:i w:val="0"/>
          <w:iCs w:val="0"/>
          <w:sz w:val="24"/>
          <w:szCs w:val="24"/>
          <w:lang w:val="en-US"/>
        </w:rPr>
        <w:t xml:space="preserve"> </w:t>
      </w:r>
      <w:r w:rsidR="00843585" w:rsidRPr="00A64FF0">
        <w:rPr>
          <w:rStyle w:val="Emphasis"/>
          <w:rFonts w:ascii="Book Antiqua" w:hAnsi="Book Antiqua" w:cs="Book Antiqua"/>
          <w:i w:val="0"/>
          <w:iCs w:val="0"/>
          <w:sz w:val="24"/>
          <w:szCs w:val="24"/>
          <w:lang w:val="en-US"/>
        </w:rPr>
        <w:t xml:space="preserve">different </w:t>
      </w:r>
      <w:r w:rsidR="00FB6A92" w:rsidRPr="00A64FF0">
        <w:rPr>
          <w:rStyle w:val="Emphasis"/>
          <w:rFonts w:ascii="Book Antiqua" w:hAnsi="Book Antiqua" w:cs="Book Antiqua"/>
          <w:i w:val="0"/>
          <w:iCs w:val="0"/>
          <w:sz w:val="24"/>
          <w:szCs w:val="24"/>
          <w:lang w:val="en-US"/>
        </w:rPr>
        <w:t>TNFis</w:t>
      </w:r>
      <w:r w:rsidR="006E5AB2" w:rsidRPr="00A64FF0">
        <w:rPr>
          <w:rStyle w:val="Emphasis"/>
          <w:rFonts w:ascii="Book Antiqua" w:hAnsi="Book Antiqua" w:cs="Book Antiqua"/>
          <w:i w:val="0"/>
          <w:iCs w:val="0"/>
          <w:sz w:val="24"/>
          <w:szCs w:val="24"/>
          <w:lang w:val="en-US"/>
        </w:rPr>
        <w:t xml:space="preserve"> </w:t>
      </w:r>
      <w:r w:rsidR="00FB6A92" w:rsidRPr="00A64FF0">
        <w:rPr>
          <w:rStyle w:val="Emphasis"/>
          <w:rFonts w:ascii="Book Antiqua" w:hAnsi="Book Antiqua" w:cs="Book Antiqua"/>
          <w:i w:val="0"/>
          <w:iCs w:val="0"/>
          <w:sz w:val="24"/>
          <w:szCs w:val="24"/>
          <w:lang w:val="en-US"/>
        </w:rPr>
        <w:t xml:space="preserve">carry a different </w:t>
      </w:r>
      <w:r w:rsidR="00CC5C47" w:rsidRPr="00A64FF0">
        <w:rPr>
          <w:rStyle w:val="Emphasis"/>
          <w:rFonts w:ascii="Book Antiqua" w:hAnsi="Book Antiqua" w:cs="Book Antiqua"/>
          <w:i w:val="0"/>
          <w:iCs w:val="0"/>
          <w:sz w:val="24"/>
          <w:szCs w:val="24"/>
          <w:lang w:val="en-US"/>
        </w:rPr>
        <w:t>risk of HBV reactivation is currently not clear</w:t>
      </w:r>
      <w:r w:rsidR="001944E8" w:rsidRPr="00A64FF0">
        <w:rPr>
          <w:rStyle w:val="Emphasis"/>
          <w:rFonts w:ascii="Book Antiqua" w:hAnsi="Book Antiqua" w:cs="Book Antiqua"/>
          <w:i w:val="0"/>
          <w:iCs w:val="0"/>
          <w:sz w:val="24"/>
          <w:szCs w:val="24"/>
          <w:vertAlign w:val="superscript"/>
          <w:lang w:val="en-US"/>
        </w:rPr>
        <w:t>[</w:t>
      </w:r>
      <w:r w:rsidR="00CC5C47" w:rsidRPr="00A64FF0">
        <w:rPr>
          <w:rStyle w:val="Emphasis"/>
          <w:rFonts w:ascii="Book Antiqua" w:hAnsi="Book Antiqua" w:cs="Book Antiqua"/>
          <w:i w:val="0"/>
          <w:iCs w:val="0"/>
          <w:sz w:val="24"/>
          <w:szCs w:val="24"/>
          <w:vertAlign w:val="superscript"/>
          <w:lang w:val="en-US"/>
        </w:rPr>
        <w:t>41]</w:t>
      </w:r>
      <w:r w:rsidR="00CC5C47" w:rsidRPr="00A64FF0">
        <w:rPr>
          <w:rFonts w:ascii="Book Antiqua" w:hAnsi="Book Antiqua" w:cs="Book Antiqua"/>
          <w:sz w:val="24"/>
          <w:szCs w:val="24"/>
          <w:lang w:val="en-US"/>
        </w:rPr>
        <w:t>. Some studies suggest a major risk of HBV reactivation for IFX as compared to other</w:t>
      </w:r>
      <w:r w:rsidR="006E5AB2"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TNFis</w:t>
      </w:r>
      <w:r w:rsidR="001944E8" w:rsidRPr="00A64FF0">
        <w:rPr>
          <w:rFonts w:ascii="Book Antiqua" w:hAnsi="Book Antiqua" w:cs="Book Antiqua"/>
          <w:sz w:val="24"/>
          <w:szCs w:val="24"/>
          <w:vertAlign w:val="superscript"/>
          <w:lang w:val="en-US"/>
        </w:rPr>
        <w:t>[</w:t>
      </w:r>
      <w:r w:rsidR="00CC5C47" w:rsidRPr="00A64FF0">
        <w:rPr>
          <w:rFonts w:ascii="Book Antiqua" w:hAnsi="Book Antiqua" w:cs="Book Antiqua"/>
          <w:sz w:val="24"/>
          <w:szCs w:val="24"/>
          <w:vertAlign w:val="superscript"/>
          <w:lang w:val="en-US"/>
        </w:rPr>
        <w:t>21]</w:t>
      </w:r>
      <w:r w:rsidR="00CC5C47" w:rsidRPr="00A64FF0">
        <w:rPr>
          <w:rFonts w:ascii="Book Antiqua" w:hAnsi="Book Antiqua" w:cs="Book Antiqua"/>
          <w:sz w:val="24"/>
          <w:szCs w:val="24"/>
          <w:lang w:val="en-US"/>
        </w:rPr>
        <w:t xml:space="preserve">. </w:t>
      </w:r>
    </w:p>
    <w:p w:rsidR="00CC5C47" w:rsidRPr="00A64FF0" w:rsidRDefault="000C5034"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P</w:t>
      </w:r>
      <w:r w:rsidR="00CC5C47" w:rsidRPr="00A64FF0">
        <w:rPr>
          <w:rStyle w:val="Emphasis"/>
          <w:rFonts w:ascii="Book Antiqua" w:hAnsi="Book Antiqua" w:cs="Book Antiqua"/>
          <w:i w:val="0"/>
          <w:iCs w:val="0"/>
          <w:sz w:val="24"/>
          <w:szCs w:val="24"/>
          <w:lang w:val="en-US"/>
        </w:rPr>
        <w:t>resent</w:t>
      </w:r>
      <w:r w:rsidRPr="00A64FF0">
        <w:rPr>
          <w:rStyle w:val="Emphasis"/>
          <w:rFonts w:ascii="Book Antiqua" w:hAnsi="Book Antiqua" w:cs="Book Antiqua"/>
          <w:i w:val="0"/>
          <w:iCs w:val="0"/>
          <w:sz w:val="24"/>
          <w:szCs w:val="24"/>
          <w:lang w:val="en-US"/>
        </w:rPr>
        <w:t>ly</w:t>
      </w:r>
      <w:r w:rsidR="00AF464C" w:rsidRPr="00A64FF0">
        <w:rPr>
          <w:rStyle w:val="Emphasis"/>
          <w:rFonts w:ascii="Book Antiqua" w:hAnsi="Book Antiqua" w:cs="Book Antiqua"/>
          <w:i w:val="0"/>
          <w:iCs w:val="0"/>
          <w:sz w:val="24"/>
          <w:szCs w:val="24"/>
          <w:lang w:val="en-US"/>
        </w:rPr>
        <w:t>,</w:t>
      </w:r>
      <w:r w:rsidR="00F77035"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literature data regarding the administration of TNFis in PsO or PsA subjects with concomitant HBV infectionare available for 200 patients</w:t>
      </w:r>
      <w:r w:rsidR="001944E8" w:rsidRPr="00A64FF0">
        <w:rPr>
          <w:rStyle w:val="Emphasis"/>
          <w:rFonts w:ascii="Book Antiqua" w:hAnsi="Book Antiqua" w:cs="Book Antiqua"/>
          <w:i w:val="0"/>
          <w:iCs w:val="0"/>
          <w:sz w:val="24"/>
          <w:szCs w:val="24"/>
          <w:vertAlign w:val="superscript"/>
          <w:lang w:val="en-US"/>
        </w:rPr>
        <w:t>[</w:t>
      </w:r>
      <w:r w:rsidR="00CC5C47" w:rsidRPr="00A64FF0">
        <w:rPr>
          <w:rStyle w:val="Emphasis"/>
          <w:rFonts w:ascii="Book Antiqua" w:hAnsi="Book Antiqua" w:cs="Book Antiqua"/>
          <w:i w:val="0"/>
          <w:iCs w:val="0"/>
          <w:sz w:val="24"/>
          <w:szCs w:val="24"/>
          <w:vertAlign w:val="superscript"/>
          <w:lang w:val="en-US"/>
        </w:rPr>
        <w:t>42-56]</w:t>
      </w:r>
      <w:r w:rsidR="00CC5C47" w:rsidRPr="00A64FF0">
        <w:rPr>
          <w:rStyle w:val="Emphasis"/>
          <w:rFonts w:ascii="Book Antiqua" w:hAnsi="Book Antiqua" w:cs="Book Antiqua"/>
          <w:i w:val="0"/>
          <w:iCs w:val="0"/>
          <w:sz w:val="24"/>
          <w:szCs w:val="24"/>
          <w:lang w:val="en-US"/>
        </w:rPr>
        <w:t>. The majority of subjects</w:t>
      </w:r>
      <w:r w:rsidR="00F77035"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reported</w:t>
      </w:r>
      <w:r w:rsidR="00F77035"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are inactive or</w:t>
      </w:r>
      <w:r w:rsidR="00F77035"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occult carrier</w:t>
      </w:r>
      <w:r w:rsidR="00AF464C" w:rsidRPr="00A64FF0">
        <w:rPr>
          <w:rStyle w:val="Emphasis"/>
          <w:rFonts w:ascii="Book Antiqua" w:hAnsi="Book Antiqua" w:cs="Book Antiqua"/>
          <w:i w:val="0"/>
          <w:iCs w:val="0"/>
          <w:sz w:val="24"/>
          <w:szCs w:val="24"/>
          <w:lang w:val="en-US"/>
        </w:rPr>
        <w:t>s</w:t>
      </w:r>
      <w:r w:rsidR="00CC5C47" w:rsidRPr="00A64FF0">
        <w:rPr>
          <w:rStyle w:val="Emphasis"/>
          <w:rFonts w:ascii="Book Antiqua" w:hAnsi="Book Antiqua" w:cs="Book Antiqua"/>
          <w:i w:val="0"/>
          <w:iCs w:val="0"/>
          <w:sz w:val="24"/>
          <w:szCs w:val="24"/>
          <w:lang w:val="en-US"/>
        </w:rPr>
        <w:t>, or with rHBV.</w:t>
      </w:r>
    </w:p>
    <w:p w:rsidR="00CC5C47" w:rsidRPr="00A64FF0" w:rsidRDefault="00CC5C47" w:rsidP="00467AE1">
      <w:pPr>
        <w:autoSpaceDE w:val="0"/>
        <w:autoSpaceDN w:val="0"/>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On the whole</w:t>
      </w:r>
      <w:r w:rsidR="00AF464C"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patients were treated for a period ranging from 24 weeks</w:t>
      </w:r>
      <w:r w:rsidR="001944E8" w:rsidRPr="00A64FF0">
        <w:rPr>
          <w:rStyle w:val="Emphasis"/>
          <w:rFonts w:ascii="Book Antiqua" w:hAnsi="Book Antiqua" w:cs="Book Antiqua"/>
          <w:i w:val="0"/>
          <w:iCs w:val="0"/>
          <w:sz w:val="24"/>
          <w:szCs w:val="24"/>
          <w:vertAlign w:val="superscript"/>
          <w:lang w:val="en-US"/>
        </w:rPr>
        <w:t>[</w:t>
      </w:r>
      <w:r w:rsidRPr="00A64FF0">
        <w:rPr>
          <w:rStyle w:val="Emphasis"/>
          <w:rFonts w:ascii="Book Antiqua" w:hAnsi="Book Antiqua" w:cs="Book Antiqua"/>
          <w:i w:val="0"/>
          <w:iCs w:val="0"/>
          <w:sz w:val="24"/>
          <w:szCs w:val="24"/>
          <w:vertAlign w:val="superscript"/>
          <w:lang w:val="en-US"/>
        </w:rPr>
        <w:t>43]</w:t>
      </w:r>
      <w:r w:rsidRPr="00A64FF0">
        <w:rPr>
          <w:rStyle w:val="Emphasis"/>
          <w:rFonts w:ascii="Book Antiqua" w:hAnsi="Book Antiqua" w:cs="Book Antiqua"/>
          <w:i w:val="0"/>
          <w:iCs w:val="0"/>
          <w:sz w:val="24"/>
          <w:szCs w:val="24"/>
          <w:lang w:val="en-US"/>
        </w:rPr>
        <w:t xml:space="preserve"> to 6 years</w:t>
      </w:r>
      <w:r w:rsidR="001944E8" w:rsidRPr="00A64FF0">
        <w:rPr>
          <w:rStyle w:val="Emphasis"/>
          <w:rFonts w:ascii="Book Antiqua" w:hAnsi="Book Antiqua" w:cs="Book Antiqua"/>
          <w:i w:val="0"/>
          <w:iCs w:val="0"/>
          <w:sz w:val="24"/>
          <w:szCs w:val="24"/>
          <w:vertAlign w:val="superscript"/>
          <w:lang w:val="en-US"/>
        </w:rPr>
        <w:t>[</w:t>
      </w:r>
      <w:r w:rsidRPr="00A64FF0">
        <w:rPr>
          <w:rStyle w:val="Emphasis"/>
          <w:rFonts w:ascii="Book Antiqua" w:hAnsi="Book Antiqua" w:cs="Book Antiqua"/>
          <w:i w:val="0"/>
          <w:iCs w:val="0"/>
          <w:sz w:val="24"/>
          <w:szCs w:val="24"/>
          <w:vertAlign w:val="superscript"/>
          <w:lang w:val="en-US"/>
        </w:rPr>
        <w:t>52]</w:t>
      </w:r>
      <w:r w:rsidRPr="00A64FF0">
        <w:rPr>
          <w:rStyle w:val="Emphasis"/>
          <w:rFonts w:ascii="Book Antiqua" w:hAnsi="Book Antiqua" w:cs="Book Antiqua"/>
          <w:i w:val="0"/>
          <w:iCs w:val="0"/>
          <w:sz w:val="24"/>
          <w:szCs w:val="24"/>
          <w:lang w:val="en-US"/>
        </w:rPr>
        <w:t>. The TNFi more frequently administered was ETA, followed by ADA and finally IFX</w:t>
      </w:r>
      <w:r w:rsidR="00AF464C" w:rsidRPr="00A64FF0">
        <w:rPr>
          <w:rStyle w:val="Emphasis"/>
          <w:rFonts w:ascii="Book Antiqua" w:hAnsi="Book Antiqua" w:cs="Book Antiqua"/>
          <w:i w:val="0"/>
          <w:iCs w:val="0"/>
          <w:sz w:val="24"/>
          <w:szCs w:val="24"/>
          <w:lang w:val="en-US"/>
        </w:rPr>
        <w:t>.</w:t>
      </w:r>
    </w:p>
    <w:p w:rsidR="00CC5C47" w:rsidRPr="00A64FF0" w:rsidRDefault="00CC5C47" w:rsidP="00467AE1">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In Table 2 are summarized the cases of PsO and/or PsA</w:t>
      </w:r>
      <w:r w:rsidR="001A2E65"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 xml:space="preserve">grouped in: </w:t>
      </w:r>
      <w:r w:rsidR="007F51F5" w:rsidRPr="00A64FF0">
        <w:rPr>
          <w:rFonts w:ascii="Book Antiqua" w:hAnsi="Book Antiqua" w:cs="Book Antiqua"/>
          <w:sz w:val="24"/>
          <w:szCs w:val="24"/>
          <w:lang w:val="en-US" w:eastAsia="zh-CN"/>
        </w:rPr>
        <w:t>(1</w:t>
      </w:r>
      <w:r w:rsidRPr="00A64FF0">
        <w:rPr>
          <w:rFonts w:ascii="Book Antiqua" w:hAnsi="Book Antiqua" w:cs="Book Antiqua"/>
          <w:sz w:val="24"/>
          <w:szCs w:val="24"/>
          <w:lang w:val="en-US"/>
        </w:rPr>
        <w:t xml:space="preserve">) </w:t>
      </w:r>
      <w:r w:rsidR="00936ED5" w:rsidRPr="00A64FF0">
        <w:rPr>
          <w:rFonts w:ascii="Book Antiqua" w:hAnsi="Book Antiqua" w:cs="Book Antiqua"/>
          <w:sz w:val="24"/>
          <w:szCs w:val="24"/>
          <w:lang w:val="en-US"/>
        </w:rPr>
        <w:t>inactive</w:t>
      </w:r>
      <w:r w:rsidR="001A2E65"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carriers</w:t>
      </w:r>
      <w:r w:rsidR="007F51F5" w:rsidRPr="00A64FF0">
        <w:rPr>
          <w:rFonts w:ascii="Book Antiqua" w:hAnsi="Book Antiqua" w:cs="Book Antiqua"/>
          <w:sz w:val="24"/>
          <w:szCs w:val="24"/>
          <w:lang w:val="en-US" w:eastAsia="zh-CN"/>
        </w:rPr>
        <w:t>;</w:t>
      </w:r>
      <w:r w:rsidRPr="00A64FF0">
        <w:rPr>
          <w:rFonts w:ascii="Book Antiqua" w:hAnsi="Book Antiqua" w:cs="Book Antiqua"/>
          <w:sz w:val="24"/>
          <w:szCs w:val="24"/>
          <w:lang w:val="en-US"/>
        </w:rPr>
        <w:t xml:space="preserve"> and </w:t>
      </w:r>
      <w:r w:rsidR="007F51F5" w:rsidRPr="00A64FF0">
        <w:rPr>
          <w:rFonts w:ascii="Book Antiqua" w:hAnsi="Book Antiqua" w:cs="Book Antiqua"/>
          <w:sz w:val="24"/>
          <w:szCs w:val="24"/>
          <w:lang w:val="en-US" w:eastAsia="zh-CN"/>
        </w:rPr>
        <w:t>(2</w:t>
      </w:r>
      <w:r w:rsidRPr="00A64FF0">
        <w:rPr>
          <w:rFonts w:ascii="Book Antiqua" w:hAnsi="Book Antiqua" w:cs="Book Antiqua"/>
          <w:sz w:val="24"/>
          <w:szCs w:val="24"/>
          <w:lang w:val="en-US"/>
        </w:rPr>
        <w:t>) occult carriers or rHBv.</w:t>
      </w:r>
      <w:r w:rsidR="00AF464C" w:rsidRPr="00A64FF0">
        <w:rPr>
          <w:rFonts w:ascii="Book Antiqua" w:hAnsi="Book Antiqua" w:cs="Book Antiqua"/>
          <w:sz w:val="24"/>
          <w:szCs w:val="24"/>
          <w:lang w:val="en-US"/>
        </w:rPr>
        <w:t xml:space="preserve"> The cases shown in Table 2,</w:t>
      </w:r>
      <w:r w:rsidR="001A2E65"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are limited</w:t>
      </w:r>
      <w:r w:rsidR="000C5034" w:rsidRPr="00A64FF0">
        <w:rPr>
          <w:rFonts w:ascii="Book Antiqua" w:hAnsi="Book Antiqua" w:cs="Book Antiqua"/>
          <w:sz w:val="24"/>
          <w:szCs w:val="24"/>
          <w:lang w:val="en-US"/>
        </w:rPr>
        <w:t xml:space="preserve"> to those for whom there was</w:t>
      </w:r>
      <w:r w:rsidRPr="00A64FF0">
        <w:rPr>
          <w:rFonts w:ascii="Book Antiqua" w:hAnsi="Book Antiqua" w:cs="Book Antiqua"/>
          <w:sz w:val="24"/>
          <w:szCs w:val="24"/>
          <w:lang w:val="en-US"/>
        </w:rPr>
        <w:t xml:space="preserve"> sufficient information in each report to permit their inclusion in one of the two above cited group</w:t>
      </w:r>
      <w:r w:rsidR="000C5034" w:rsidRPr="00A64FF0">
        <w:rPr>
          <w:rFonts w:ascii="Book Antiqua" w:hAnsi="Book Antiqua" w:cs="Book Antiqua"/>
          <w:sz w:val="24"/>
          <w:szCs w:val="24"/>
          <w:lang w:val="en-US"/>
        </w:rPr>
        <w:t>s</w:t>
      </w:r>
      <w:r w:rsidRPr="00A64FF0">
        <w:rPr>
          <w:rFonts w:ascii="Book Antiqua" w:hAnsi="Book Antiqua" w:cs="Book Antiqua"/>
          <w:sz w:val="24"/>
          <w:szCs w:val="24"/>
          <w:lang w:val="en-US"/>
        </w:rPr>
        <w:t>.</w:t>
      </w:r>
    </w:p>
    <w:p w:rsidR="00CC5C47" w:rsidRPr="00A64FF0" w:rsidRDefault="00CC5C47" w:rsidP="00467AE1">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As shown in Table 2</w:t>
      </w:r>
      <w:r w:rsidR="000C5034" w:rsidRPr="00A64FF0">
        <w:rPr>
          <w:rFonts w:ascii="Book Antiqua" w:hAnsi="Book Antiqua" w:cs="Book Antiqua"/>
          <w:sz w:val="24"/>
          <w:szCs w:val="24"/>
          <w:lang w:val="en-US"/>
        </w:rPr>
        <w:t>, none of the patients who</w:t>
      </w:r>
      <w:r w:rsidRPr="00A64FF0">
        <w:rPr>
          <w:rFonts w:ascii="Book Antiqua" w:hAnsi="Book Antiqua" w:cs="Book Antiqua"/>
          <w:sz w:val="24"/>
          <w:szCs w:val="24"/>
          <w:lang w:val="en-US"/>
        </w:rPr>
        <w:t xml:space="preserve"> were </w:t>
      </w:r>
      <w:r w:rsidR="00FF33A2" w:rsidRPr="00A64FF0">
        <w:rPr>
          <w:rFonts w:ascii="Book Antiqua" w:hAnsi="Book Antiqua" w:cs="Book Antiqua"/>
          <w:sz w:val="24"/>
          <w:szCs w:val="24"/>
          <w:lang w:val="en-US"/>
        </w:rPr>
        <w:t xml:space="preserve">occult carriers or with rHBV </w:t>
      </w:r>
      <w:r w:rsidRPr="00A64FF0">
        <w:rPr>
          <w:rFonts w:ascii="Book Antiqua" w:hAnsi="Book Antiqua" w:cs="Book Antiqua"/>
          <w:sz w:val="24"/>
          <w:szCs w:val="24"/>
          <w:lang w:val="en-US"/>
        </w:rPr>
        <w:t>experienced a</w:t>
      </w:r>
      <w:r w:rsidR="00AF464C" w:rsidRPr="00A64FF0">
        <w:rPr>
          <w:rFonts w:ascii="Book Antiqua" w:hAnsi="Book Antiqua" w:cs="Book Antiqua"/>
          <w:sz w:val="24"/>
          <w:szCs w:val="24"/>
          <w:lang w:val="en-US"/>
        </w:rPr>
        <w:t>n</w:t>
      </w:r>
      <w:r w:rsidRPr="00A64FF0">
        <w:rPr>
          <w:rFonts w:ascii="Book Antiqua" w:hAnsi="Book Antiqua" w:cs="Book Antiqua"/>
          <w:sz w:val="24"/>
          <w:szCs w:val="24"/>
          <w:lang w:val="en-US"/>
        </w:rPr>
        <w:t xml:space="preserve"> HBV reactivation during</w:t>
      </w:r>
      <w:r w:rsidR="001A2E65" w:rsidRPr="00A64FF0">
        <w:rPr>
          <w:rFonts w:ascii="Book Antiqua" w:hAnsi="Book Antiqua" w:cs="Book Antiqua"/>
          <w:sz w:val="24"/>
          <w:szCs w:val="24"/>
          <w:lang w:val="en-US"/>
        </w:rPr>
        <w:t xml:space="preserve"> </w:t>
      </w:r>
      <w:r w:rsidR="000C5034" w:rsidRPr="00A64FF0">
        <w:rPr>
          <w:rFonts w:ascii="Book Antiqua" w:hAnsi="Book Antiqua" w:cs="Book Antiqua"/>
          <w:sz w:val="24"/>
          <w:szCs w:val="24"/>
          <w:lang w:val="en-US"/>
        </w:rPr>
        <w:t>TNFis therapy.</w:t>
      </w:r>
      <w:r w:rsidR="001A2E65" w:rsidRPr="00A64FF0">
        <w:rPr>
          <w:rFonts w:ascii="Book Antiqua" w:hAnsi="Book Antiqua" w:cs="Book Antiqua"/>
          <w:sz w:val="24"/>
          <w:szCs w:val="24"/>
          <w:lang w:val="en-US"/>
        </w:rPr>
        <w:t xml:space="preserve"> </w:t>
      </w:r>
      <w:r w:rsidR="000C5034" w:rsidRPr="00A64FF0">
        <w:rPr>
          <w:rFonts w:ascii="Book Antiqua" w:hAnsi="Book Antiqua" w:cs="Book Antiqua"/>
          <w:sz w:val="24"/>
          <w:szCs w:val="24"/>
          <w:lang w:val="en-US"/>
        </w:rPr>
        <w:t>N</w:t>
      </w:r>
      <w:r w:rsidRPr="00A64FF0">
        <w:rPr>
          <w:rFonts w:ascii="Book Antiqua" w:hAnsi="Book Antiqua" w:cs="Book Antiqua"/>
          <w:sz w:val="24"/>
          <w:szCs w:val="24"/>
          <w:lang w:val="en-US"/>
        </w:rPr>
        <w:t>one of the above cited subjects received antiviral prophylaxis.</w:t>
      </w:r>
    </w:p>
    <w:p w:rsidR="00CC5C47" w:rsidRPr="00A64FF0" w:rsidRDefault="000C5034" w:rsidP="00467AE1">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 xml:space="preserve">Concerning </w:t>
      </w:r>
      <w:r w:rsidR="00936ED5" w:rsidRPr="00A64FF0">
        <w:rPr>
          <w:rFonts w:ascii="Book Antiqua" w:hAnsi="Book Antiqua" w:cs="Book Antiqua"/>
          <w:sz w:val="24"/>
          <w:szCs w:val="24"/>
          <w:lang w:val="en-US"/>
        </w:rPr>
        <w:t>patients who were</w:t>
      </w:r>
      <w:r w:rsidR="005030B5"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inactive car</w:t>
      </w:r>
      <w:r w:rsidR="00FF33A2" w:rsidRPr="00A64FF0">
        <w:rPr>
          <w:rFonts w:ascii="Book Antiqua" w:hAnsi="Book Antiqua" w:cs="Book Antiqua"/>
          <w:sz w:val="24"/>
          <w:szCs w:val="24"/>
          <w:lang w:val="en-US"/>
        </w:rPr>
        <w:t>riers</w:t>
      </w:r>
      <w:r w:rsidR="00AF464C" w:rsidRPr="00A64FF0">
        <w:rPr>
          <w:rFonts w:ascii="Book Antiqua" w:hAnsi="Book Antiqua" w:cs="Book Antiqua"/>
          <w:sz w:val="24"/>
          <w:szCs w:val="24"/>
          <w:lang w:val="en-US"/>
        </w:rPr>
        <w:t>,</w:t>
      </w:r>
      <w:r w:rsidR="00CC5C47" w:rsidRPr="00A64FF0">
        <w:rPr>
          <w:rFonts w:ascii="Book Antiqua" w:hAnsi="Book Antiqua" w:cs="Book Antiqua"/>
          <w:sz w:val="24"/>
          <w:szCs w:val="24"/>
          <w:lang w:val="en-US"/>
        </w:rPr>
        <w:t xml:space="preserve"> none of those who received antiviral prophylaxis experienced a</w:t>
      </w:r>
      <w:r w:rsidR="00AF464C" w:rsidRPr="00A64FF0">
        <w:rPr>
          <w:rFonts w:ascii="Book Antiqua" w:hAnsi="Book Antiqua" w:cs="Book Antiqua"/>
          <w:sz w:val="24"/>
          <w:szCs w:val="24"/>
          <w:lang w:val="en-US"/>
        </w:rPr>
        <w:t>n</w:t>
      </w:r>
      <w:r w:rsidR="00CC5C47" w:rsidRPr="00A64FF0">
        <w:rPr>
          <w:rFonts w:ascii="Book Antiqua" w:hAnsi="Book Antiqua" w:cs="Book Antiqua"/>
          <w:sz w:val="24"/>
          <w:szCs w:val="24"/>
          <w:lang w:val="en-US"/>
        </w:rPr>
        <w:t xml:space="preserve"> HBV reactivation. On the contrary</w:t>
      </w:r>
      <w:r w:rsidR="00140ECA" w:rsidRPr="00A64FF0">
        <w:rPr>
          <w:rFonts w:ascii="Book Antiqua" w:hAnsi="Book Antiqua" w:cs="Book Antiqua"/>
          <w:sz w:val="24"/>
          <w:szCs w:val="24"/>
          <w:lang w:val="en-US"/>
        </w:rPr>
        <w:t>,</w:t>
      </w:r>
      <w:r w:rsidR="00CC5C47" w:rsidRPr="00A64FF0">
        <w:rPr>
          <w:rFonts w:ascii="Book Antiqua" w:hAnsi="Book Antiqua" w:cs="Book Antiqua"/>
          <w:sz w:val="24"/>
          <w:szCs w:val="24"/>
          <w:lang w:val="en-US"/>
        </w:rPr>
        <w:t xml:space="preserve"> HBV reactiva</w:t>
      </w:r>
      <w:r w:rsidR="00AF464C" w:rsidRPr="00A64FF0">
        <w:rPr>
          <w:rFonts w:ascii="Book Antiqua" w:hAnsi="Book Antiqua" w:cs="Book Antiqua"/>
          <w:sz w:val="24"/>
          <w:szCs w:val="24"/>
          <w:lang w:val="en-US"/>
        </w:rPr>
        <w:t>tion has been reported only in one</w:t>
      </w:r>
      <w:r w:rsidR="00CC5C47" w:rsidRPr="00A64FF0">
        <w:rPr>
          <w:rFonts w:ascii="Book Antiqua" w:hAnsi="Book Antiqua" w:cs="Book Antiqua"/>
          <w:sz w:val="24"/>
          <w:szCs w:val="24"/>
          <w:lang w:val="en-US"/>
        </w:rPr>
        <w:t xml:space="preserve"> case of </w:t>
      </w:r>
      <w:r w:rsidR="00140ECA" w:rsidRPr="00A64FF0">
        <w:rPr>
          <w:rFonts w:ascii="Book Antiqua" w:hAnsi="Book Antiqua" w:cs="Book Antiqua"/>
          <w:sz w:val="24"/>
          <w:szCs w:val="24"/>
          <w:lang w:val="en-US"/>
        </w:rPr>
        <w:t xml:space="preserve">an </w:t>
      </w:r>
      <w:r w:rsidR="00CC5C47" w:rsidRPr="00A64FF0">
        <w:rPr>
          <w:rFonts w:ascii="Book Antiqua" w:hAnsi="Book Antiqua" w:cs="Book Antiqua"/>
          <w:sz w:val="24"/>
          <w:szCs w:val="24"/>
          <w:lang w:val="en-US"/>
        </w:rPr>
        <w:t>inactive carrier who did</w:t>
      </w:r>
      <w:r w:rsidR="00140ECA" w:rsidRPr="00A64FF0">
        <w:rPr>
          <w:rFonts w:ascii="Book Antiqua" w:hAnsi="Book Antiqua" w:cs="Book Antiqua"/>
          <w:sz w:val="24"/>
          <w:szCs w:val="24"/>
          <w:lang w:val="en-US"/>
        </w:rPr>
        <w:t xml:space="preserve"> not</w:t>
      </w:r>
      <w:r w:rsidR="00CC5C47" w:rsidRPr="00A64FF0">
        <w:rPr>
          <w:rFonts w:ascii="Book Antiqua" w:hAnsi="Book Antiqua" w:cs="Book Antiqua"/>
          <w:sz w:val="24"/>
          <w:szCs w:val="24"/>
          <w:lang w:val="en-US"/>
        </w:rPr>
        <w:t xml:space="preserve"> receive antiviral prophylaxis (Table 2). In additi</w:t>
      </w:r>
      <w:r w:rsidR="00140ECA" w:rsidRPr="00A64FF0">
        <w:rPr>
          <w:rFonts w:ascii="Book Antiqua" w:hAnsi="Book Antiqua" w:cs="Book Antiqua"/>
          <w:sz w:val="24"/>
          <w:szCs w:val="24"/>
          <w:lang w:val="en-US"/>
        </w:rPr>
        <w:t>on</w:t>
      </w:r>
      <w:r w:rsidR="00CC5C47" w:rsidRPr="00A64FF0">
        <w:rPr>
          <w:rFonts w:ascii="Book Antiqua" w:hAnsi="Book Antiqua" w:cs="Book Antiqua"/>
          <w:sz w:val="24"/>
          <w:szCs w:val="24"/>
          <w:lang w:val="en-US"/>
        </w:rPr>
        <w:t>,</w:t>
      </w:r>
      <w:r w:rsidR="005030B5" w:rsidRPr="00A64FF0">
        <w:rPr>
          <w:rFonts w:ascii="Book Antiqua" w:hAnsi="Book Antiqua" w:cs="Book Antiqua"/>
          <w:sz w:val="24"/>
          <w:szCs w:val="24"/>
          <w:lang w:val="en-US"/>
        </w:rPr>
        <w:t xml:space="preserve"> </w:t>
      </w:r>
      <w:r w:rsidR="00AF464C" w:rsidRPr="00A64FF0">
        <w:rPr>
          <w:rFonts w:ascii="Book Antiqua" w:hAnsi="Book Antiqua" w:cs="Book Antiqua"/>
          <w:sz w:val="24"/>
          <w:szCs w:val="24"/>
          <w:lang w:val="en-US"/>
        </w:rPr>
        <w:t>two other</w:t>
      </w:r>
      <w:r w:rsidR="00140ECA" w:rsidRPr="00A64FF0">
        <w:rPr>
          <w:rFonts w:ascii="Book Antiqua" w:hAnsi="Book Antiqua" w:cs="Book Antiqua"/>
          <w:sz w:val="24"/>
          <w:szCs w:val="24"/>
          <w:lang w:val="en-US"/>
        </w:rPr>
        <w:t xml:space="preserve"> patients</w:t>
      </w:r>
      <w:r w:rsidR="00CC5C47" w:rsidRPr="00A64FF0">
        <w:rPr>
          <w:rFonts w:ascii="Book Antiqua" w:hAnsi="Book Antiqua" w:cs="Book Antiqua"/>
          <w:sz w:val="24"/>
          <w:szCs w:val="24"/>
          <w:lang w:val="en-US"/>
        </w:rPr>
        <w:t xml:space="preserve"> of the same series with chronic HBV, who did</w:t>
      </w:r>
      <w:r w:rsidR="00256E2A" w:rsidRPr="00A64FF0">
        <w:rPr>
          <w:rFonts w:ascii="Book Antiqua" w:hAnsi="Book Antiqua" w:cs="Book Antiqua"/>
          <w:sz w:val="24"/>
          <w:szCs w:val="24"/>
          <w:lang w:val="en-US"/>
        </w:rPr>
        <w:t xml:space="preserve"> not</w:t>
      </w:r>
      <w:r w:rsidR="00CC5C47" w:rsidRPr="00A64FF0">
        <w:rPr>
          <w:rFonts w:ascii="Book Antiqua" w:hAnsi="Book Antiqua" w:cs="Book Antiqua"/>
          <w:sz w:val="24"/>
          <w:szCs w:val="24"/>
          <w:lang w:val="en-US"/>
        </w:rPr>
        <w:t xml:space="preserve"> take prophylaxis</w:t>
      </w:r>
      <w:r w:rsidR="00AF464C" w:rsidRPr="00A64FF0">
        <w:rPr>
          <w:rFonts w:ascii="Book Antiqua" w:hAnsi="Book Antiqua" w:cs="Book Antiqua"/>
          <w:sz w:val="24"/>
          <w:szCs w:val="24"/>
          <w:lang w:val="en-US"/>
        </w:rPr>
        <w:t>,</w:t>
      </w:r>
      <w:r w:rsidR="00CC5C47" w:rsidRPr="00A64FF0">
        <w:rPr>
          <w:rFonts w:ascii="Book Antiqua" w:hAnsi="Book Antiqua" w:cs="Book Antiqua"/>
          <w:sz w:val="24"/>
          <w:szCs w:val="24"/>
          <w:lang w:val="en-US"/>
        </w:rPr>
        <w:t xml:space="preserve"> had viral reactivation</w:t>
      </w:r>
      <w:r w:rsidR="001944E8" w:rsidRPr="00A64FF0">
        <w:rPr>
          <w:rFonts w:ascii="Book Antiqua" w:hAnsi="Book Antiqua" w:cs="Book Antiqua"/>
          <w:sz w:val="24"/>
          <w:szCs w:val="24"/>
          <w:vertAlign w:val="superscript"/>
          <w:lang w:val="en-US"/>
        </w:rPr>
        <w:t>[</w:t>
      </w:r>
      <w:r w:rsidR="00CC5C47" w:rsidRPr="00A64FF0">
        <w:rPr>
          <w:rFonts w:ascii="Book Antiqua" w:hAnsi="Book Antiqua" w:cs="Book Antiqua"/>
          <w:sz w:val="24"/>
          <w:szCs w:val="24"/>
          <w:vertAlign w:val="superscript"/>
          <w:lang w:val="en-US"/>
        </w:rPr>
        <w:t>50]</w:t>
      </w:r>
      <w:r w:rsidR="00CC5C47" w:rsidRPr="00A64FF0">
        <w:rPr>
          <w:rFonts w:ascii="Book Antiqua" w:hAnsi="Book Antiqua" w:cs="Book Antiqua"/>
          <w:sz w:val="24"/>
          <w:szCs w:val="24"/>
          <w:lang w:val="en-US"/>
        </w:rPr>
        <w:t>.</w:t>
      </w:r>
    </w:p>
    <w:p w:rsidR="00CC5C47" w:rsidRPr="00A64FF0" w:rsidRDefault="00CC5C47" w:rsidP="00467AE1">
      <w:pPr>
        <w:autoSpaceDE w:val="0"/>
        <w:autoSpaceDN w:val="0"/>
        <w:adjustRightInd w:val="0"/>
        <w:snapToGrid w:val="0"/>
        <w:spacing w:after="0" w:line="360" w:lineRule="auto"/>
        <w:ind w:firstLineChars="200" w:firstLine="480"/>
        <w:jc w:val="both"/>
        <w:rPr>
          <w:rFonts w:ascii="Book Antiqua" w:hAnsi="Book Antiqua" w:cs="Book Antiqua"/>
          <w:i/>
          <w:iCs/>
          <w:sz w:val="24"/>
          <w:szCs w:val="24"/>
          <w:lang w:val="en-US"/>
        </w:rPr>
      </w:pPr>
      <w:r w:rsidRPr="00A64FF0">
        <w:rPr>
          <w:rFonts w:ascii="Book Antiqua" w:hAnsi="Book Antiqua" w:cs="Book Antiqua"/>
          <w:sz w:val="24"/>
          <w:szCs w:val="24"/>
          <w:lang w:val="en-US"/>
        </w:rPr>
        <w:t>Regarding</w:t>
      </w:r>
      <w:r w:rsidR="00026862"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the use of TNFis in PsO with active HBV infect</w:t>
      </w:r>
      <w:r w:rsidR="00256E2A" w:rsidRPr="00A64FF0">
        <w:rPr>
          <w:rFonts w:ascii="Book Antiqua" w:hAnsi="Book Antiqua" w:cs="Book Antiqua"/>
          <w:sz w:val="24"/>
          <w:szCs w:val="24"/>
          <w:lang w:val="en-US"/>
        </w:rPr>
        <w:t xml:space="preserve">ion only </w:t>
      </w:r>
      <w:r w:rsidR="00EF4F87" w:rsidRPr="00A64FF0">
        <w:rPr>
          <w:rFonts w:ascii="Book Antiqua" w:hAnsi="Book Antiqua" w:cs="Book Antiqua"/>
          <w:sz w:val="24"/>
          <w:szCs w:val="24"/>
          <w:lang w:val="en-US"/>
        </w:rPr>
        <w:t>one</w:t>
      </w:r>
      <w:r w:rsidR="00256E2A" w:rsidRPr="00A64FF0">
        <w:rPr>
          <w:rFonts w:ascii="Book Antiqua" w:hAnsi="Book Antiqua" w:cs="Book Antiqua"/>
          <w:sz w:val="24"/>
          <w:szCs w:val="24"/>
          <w:lang w:val="en-US"/>
        </w:rPr>
        <w:t xml:space="preserve"> case has been report</w:t>
      </w:r>
      <w:r w:rsidRPr="00A64FF0">
        <w:rPr>
          <w:rFonts w:ascii="Book Antiqua" w:hAnsi="Book Antiqua" w:cs="Book Antiqua"/>
          <w:sz w:val="24"/>
          <w:szCs w:val="24"/>
          <w:lang w:val="en-US"/>
        </w:rPr>
        <w:t>ed so far</w:t>
      </w:r>
      <w:r w:rsidR="001944E8" w:rsidRPr="00A64FF0">
        <w:rPr>
          <w:rFonts w:ascii="Book Antiqua" w:hAnsi="Book Antiqua" w:cs="Book Antiqua"/>
          <w:sz w:val="24"/>
          <w:szCs w:val="24"/>
          <w:vertAlign w:val="superscript"/>
          <w:lang w:val="en-US"/>
        </w:rPr>
        <w:t>[</w:t>
      </w:r>
      <w:r w:rsidRPr="00A64FF0">
        <w:rPr>
          <w:rFonts w:ascii="Book Antiqua" w:hAnsi="Book Antiqua" w:cs="Book Antiqua"/>
          <w:sz w:val="24"/>
          <w:szCs w:val="24"/>
          <w:vertAlign w:val="superscript"/>
          <w:lang w:val="en-US"/>
        </w:rPr>
        <w:t>57]</w:t>
      </w:r>
      <w:r w:rsidR="00256E2A" w:rsidRPr="00A64FF0">
        <w:rPr>
          <w:rFonts w:ascii="Book Antiqua" w:hAnsi="Book Antiqua" w:cs="Book Antiqua"/>
          <w:sz w:val="24"/>
          <w:szCs w:val="24"/>
          <w:lang w:val="en-US"/>
        </w:rPr>
        <w:t>. S</w:t>
      </w:r>
      <w:r w:rsidRPr="00A64FF0">
        <w:rPr>
          <w:rFonts w:ascii="Book Antiqua" w:hAnsi="Book Antiqua" w:cs="Book Antiqua"/>
          <w:sz w:val="24"/>
          <w:szCs w:val="24"/>
          <w:lang w:val="en-US"/>
        </w:rPr>
        <w:t>aid subject received lamivudine t</w:t>
      </w:r>
      <w:r w:rsidR="00EF4F87" w:rsidRPr="00A64FF0">
        <w:rPr>
          <w:rFonts w:ascii="Book Antiqua" w:hAnsi="Book Antiqua" w:cs="Book Antiqua"/>
          <w:sz w:val="24"/>
          <w:szCs w:val="24"/>
          <w:lang w:val="en-US"/>
        </w:rPr>
        <w:t>herapy one</w:t>
      </w:r>
      <w:r w:rsidRPr="00A64FF0">
        <w:rPr>
          <w:rFonts w:ascii="Book Antiqua" w:hAnsi="Book Antiqua" w:cs="Book Antiqua"/>
          <w:sz w:val="24"/>
          <w:szCs w:val="24"/>
          <w:lang w:val="en-US"/>
        </w:rPr>
        <w:t xml:space="preserve"> month before starting IFX</w:t>
      </w:r>
      <w:r w:rsidR="00256E2A" w:rsidRPr="00A64FF0">
        <w:rPr>
          <w:rFonts w:ascii="Book Antiqua" w:hAnsi="Book Antiqua" w:cs="Book Antiqua"/>
          <w:sz w:val="24"/>
          <w:szCs w:val="24"/>
          <w:lang w:val="en-US"/>
        </w:rPr>
        <w:t>.</w:t>
      </w:r>
      <w:r w:rsidR="00F121BB" w:rsidRPr="00A64FF0">
        <w:rPr>
          <w:rFonts w:ascii="Book Antiqua" w:hAnsi="Book Antiqua" w:cs="Book Antiqua"/>
          <w:sz w:val="24"/>
          <w:szCs w:val="24"/>
          <w:lang w:val="en-US"/>
        </w:rPr>
        <w:t xml:space="preserve"> This therapy</w:t>
      </w:r>
      <w:r w:rsidRPr="00A64FF0">
        <w:rPr>
          <w:rFonts w:ascii="Book Antiqua" w:hAnsi="Book Antiqua" w:cs="Book Antiqua"/>
          <w:sz w:val="24"/>
          <w:szCs w:val="24"/>
          <w:lang w:val="en-US"/>
        </w:rPr>
        <w:t xml:space="preserve"> was continued durin</w:t>
      </w:r>
      <w:r w:rsidR="00F121BB" w:rsidRPr="00A64FF0">
        <w:rPr>
          <w:rFonts w:ascii="Book Antiqua" w:hAnsi="Book Antiqua" w:cs="Book Antiqua"/>
          <w:sz w:val="24"/>
          <w:szCs w:val="24"/>
          <w:lang w:val="en-US"/>
        </w:rPr>
        <w:t>g treatment with</w:t>
      </w:r>
      <w:r w:rsidR="00026862"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TNFi</w:t>
      </w:r>
      <w:r w:rsidR="00026862" w:rsidRPr="00A64FF0">
        <w:rPr>
          <w:rFonts w:ascii="Book Antiqua" w:hAnsi="Book Antiqua" w:cs="Book Antiqua"/>
          <w:sz w:val="24"/>
          <w:szCs w:val="24"/>
          <w:lang w:val="en-US"/>
        </w:rPr>
        <w:t xml:space="preserve"> </w:t>
      </w:r>
      <w:r w:rsidR="00F121BB" w:rsidRPr="00A64FF0">
        <w:rPr>
          <w:rFonts w:ascii="Book Antiqua" w:hAnsi="Book Antiqua" w:cs="Book Antiqua"/>
          <w:sz w:val="24"/>
          <w:szCs w:val="24"/>
          <w:lang w:val="en-US"/>
        </w:rPr>
        <w:t>for</w:t>
      </w:r>
      <w:r w:rsidRPr="00A64FF0">
        <w:rPr>
          <w:rFonts w:ascii="Book Antiqua" w:hAnsi="Book Antiqua" w:cs="Book Antiqua"/>
          <w:sz w:val="24"/>
          <w:szCs w:val="24"/>
          <w:lang w:val="en-US"/>
        </w:rPr>
        <w:t xml:space="preserve"> 6 mo with a significant improvement of PsO and a decrease</w:t>
      </w:r>
      <w:r w:rsidR="00026862"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of both viral load and transaminases. Thereafter</w:t>
      </w:r>
      <w:r w:rsidR="00F121BB"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to obtain a better control of viral replication</w:t>
      </w:r>
      <w:r w:rsidR="00F121BB"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lamivudine was substituted with enetecavir and at the 9</w:t>
      </w:r>
      <w:r w:rsidRPr="00A64FF0">
        <w:rPr>
          <w:rFonts w:ascii="Book Antiqua" w:hAnsi="Book Antiqua" w:cs="Book Antiqua"/>
          <w:sz w:val="24"/>
          <w:szCs w:val="24"/>
          <w:vertAlign w:val="superscript"/>
          <w:lang w:val="en-US"/>
        </w:rPr>
        <w:t>th</w:t>
      </w:r>
      <w:r w:rsidRPr="00A64FF0">
        <w:rPr>
          <w:rFonts w:ascii="Book Antiqua" w:hAnsi="Book Antiqua" w:cs="Book Antiqua"/>
          <w:sz w:val="24"/>
          <w:szCs w:val="24"/>
          <w:lang w:val="en-US"/>
        </w:rPr>
        <w:t xml:space="preserve"> month a further decrease</w:t>
      </w:r>
      <w:r w:rsidR="00026862" w:rsidRPr="00A64FF0">
        <w:rPr>
          <w:rFonts w:ascii="Book Antiqua" w:hAnsi="Book Antiqua" w:cs="Book Antiqua"/>
          <w:sz w:val="24"/>
          <w:szCs w:val="24"/>
          <w:lang w:val="en-US"/>
        </w:rPr>
        <w:t xml:space="preserve"> </w:t>
      </w:r>
      <w:r w:rsidR="00EF4F87" w:rsidRPr="00A64FF0">
        <w:rPr>
          <w:rFonts w:ascii="Book Antiqua" w:hAnsi="Book Antiqua" w:cs="Book Antiqua"/>
          <w:sz w:val="24"/>
          <w:szCs w:val="24"/>
          <w:lang w:val="en-US"/>
        </w:rPr>
        <w:t>of viral load was recorded</w:t>
      </w:r>
      <w:r w:rsidR="00026862"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transaminases levels</w:t>
      </w:r>
      <w:r w:rsidR="00EF4F87" w:rsidRPr="00A64FF0">
        <w:rPr>
          <w:rFonts w:ascii="Book Antiqua" w:hAnsi="Book Antiqua" w:cs="Book Antiqua"/>
          <w:sz w:val="24"/>
          <w:szCs w:val="24"/>
          <w:lang w:val="en-US"/>
        </w:rPr>
        <w:t xml:space="preserve"> being</w:t>
      </w:r>
      <w:r w:rsidRPr="00A64FF0">
        <w:rPr>
          <w:rFonts w:ascii="Book Antiqua" w:hAnsi="Book Antiqua" w:cs="Book Antiqua"/>
          <w:sz w:val="24"/>
          <w:szCs w:val="24"/>
          <w:lang w:val="en-US"/>
        </w:rPr>
        <w:t xml:space="preserve"> within normal range and PsO under control.</w:t>
      </w:r>
    </w:p>
    <w:p w:rsidR="00CC5C47" w:rsidRPr="00A64FF0" w:rsidRDefault="00CC5C47" w:rsidP="00467AE1">
      <w:pPr>
        <w:autoSpaceDE w:val="0"/>
        <w:autoSpaceDN w:val="0"/>
        <w:adjustRightInd w:val="0"/>
        <w:snapToGrid w:val="0"/>
        <w:spacing w:after="0" w:line="360" w:lineRule="auto"/>
        <w:jc w:val="both"/>
        <w:rPr>
          <w:rFonts w:ascii="Book Antiqua" w:hAnsi="Book Antiqua" w:cs="Book Antiqua"/>
          <w:i/>
          <w:iCs/>
          <w:sz w:val="24"/>
          <w:szCs w:val="24"/>
          <w:lang w:val="en-US"/>
        </w:rPr>
      </w:pPr>
    </w:p>
    <w:p w:rsidR="00CC5C47" w:rsidRPr="00A64FF0" w:rsidRDefault="007F51F5" w:rsidP="00467AE1">
      <w:pPr>
        <w:autoSpaceDE w:val="0"/>
        <w:autoSpaceDN w:val="0"/>
        <w:adjustRightInd w:val="0"/>
        <w:snapToGrid w:val="0"/>
        <w:spacing w:after="0" w:line="360" w:lineRule="auto"/>
        <w:jc w:val="both"/>
        <w:rPr>
          <w:rFonts w:ascii="Book Antiqua" w:hAnsi="Book Antiqua" w:cs="Book Antiqua"/>
          <w:b/>
          <w:i/>
          <w:iCs/>
          <w:sz w:val="24"/>
          <w:szCs w:val="24"/>
          <w:lang w:val="en-US" w:eastAsia="zh-CN"/>
        </w:rPr>
      </w:pPr>
      <w:r w:rsidRPr="00A64FF0">
        <w:rPr>
          <w:rFonts w:ascii="Book Antiqua" w:hAnsi="Book Antiqua" w:cs="Book Antiqua"/>
          <w:b/>
          <w:i/>
          <w:iCs/>
          <w:sz w:val="24"/>
          <w:szCs w:val="24"/>
          <w:lang w:val="en-US"/>
        </w:rPr>
        <w:t>Ustekinumab</w:t>
      </w:r>
    </w:p>
    <w:p w:rsidR="00CC5C47" w:rsidRPr="00A64FF0" w:rsidRDefault="007F51F5" w:rsidP="00467AE1">
      <w:pPr>
        <w:adjustRightInd w:val="0"/>
        <w:snapToGrid w:val="0"/>
        <w:spacing w:after="0" w:line="360" w:lineRule="auto"/>
        <w:jc w:val="both"/>
        <w:rPr>
          <w:rFonts w:ascii="Book Antiqua" w:hAnsi="Book Antiqua" w:cs="Book Antiqua"/>
          <w:sz w:val="24"/>
          <w:szCs w:val="24"/>
          <w:lang w:val="en-US"/>
        </w:rPr>
      </w:pPr>
      <w:r w:rsidRPr="00A64FF0">
        <w:rPr>
          <w:rFonts w:ascii="Book Antiqua" w:hAnsi="Book Antiqua"/>
          <w:sz w:val="24"/>
          <w:szCs w:val="24"/>
          <w:lang w:val="en-US"/>
        </w:rPr>
        <w:t>Ustekinumab (UTK)</w:t>
      </w:r>
      <w:r w:rsidRPr="00A64FF0">
        <w:rPr>
          <w:rFonts w:ascii="Book Antiqua" w:hAnsi="Book Antiqua"/>
          <w:sz w:val="24"/>
          <w:szCs w:val="24"/>
          <w:lang w:val="en-US" w:eastAsia="zh-CN"/>
        </w:rPr>
        <w:t xml:space="preserve"> </w:t>
      </w:r>
      <w:r w:rsidR="008B7682" w:rsidRPr="00A64FF0">
        <w:rPr>
          <w:rFonts w:ascii="Book Antiqua" w:hAnsi="Book Antiqua"/>
          <w:sz w:val="24"/>
          <w:szCs w:val="24"/>
          <w:lang w:val="en-US"/>
        </w:rPr>
        <w:t xml:space="preserve">is a fully human immunoglobulin G1k monoclonal antibody, anti-IL12p40, which binds to the shared p40 subunit of IL-12 and IL-23 with high affinity and </w:t>
      </w:r>
      <w:r w:rsidR="008B7682" w:rsidRPr="00A64FF0">
        <w:rPr>
          <w:rFonts w:ascii="Book Antiqua" w:hAnsi="Book Antiqua"/>
          <w:sz w:val="24"/>
          <w:szCs w:val="24"/>
          <w:lang w:val="en-US"/>
        </w:rPr>
        <w:lastRenderedPageBreak/>
        <w:t>specificity</w:t>
      </w:r>
      <w:r w:rsidR="001944E8" w:rsidRPr="00A64FF0">
        <w:rPr>
          <w:rFonts w:ascii="Book Antiqua" w:hAnsi="Book Antiqua"/>
          <w:sz w:val="24"/>
          <w:szCs w:val="24"/>
          <w:vertAlign w:val="superscript"/>
          <w:lang w:val="en-US"/>
        </w:rPr>
        <w:t>[</w:t>
      </w:r>
      <w:r w:rsidR="00CC5C47" w:rsidRPr="00A64FF0">
        <w:rPr>
          <w:rFonts w:ascii="Book Antiqua" w:hAnsi="Book Antiqua" w:cs="Book Antiqua"/>
          <w:sz w:val="24"/>
          <w:szCs w:val="24"/>
          <w:vertAlign w:val="superscript"/>
          <w:lang w:val="en-US"/>
        </w:rPr>
        <w:t>8]</w:t>
      </w:r>
      <w:r w:rsidR="00CC5C47" w:rsidRPr="00A64FF0">
        <w:rPr>
          <w:rFonts w:ascii="Book Antiqua" w:hAnsi="Book Antiqua" w:cs="Book Antiqua"/>
          <w:sz w:val="24"/>
          <w:szCs w:val="24"/>
          <w:lang w:val="en-US"/>
        </w:rPr>
        <w:t>. Because IL</w:t>
      </w:r>
      <w:r w:rsidR="00F121BB" w:rsidRPr="00A64FF0">
        <w:rPr>
          <w:rFonts w:ascii="Book Antiqua" w:hAnsi="Book Antiqua" w:cs="Book Antiqua"/>
          <w:sz w:val="24"/>
          <w:szCs w:val="24"/>
          <w:lang w:val="en-US"/>
        </w:rPr>
        <w:t xml:space="preserve"> 12 plays a key role in triggering</w:t>
      </w:r>
      <w:r w:rsidR="00CC5C47" w:rsidRPr="00A64FF0">
        <w:rPr>
          <w:rFonts w:ascii="Book Antiqua" w:hAnsi="Book Antiqua" w:cs="Book Antiqua"/>
          <w:sz w:val="24"/>
          <w:szCs w:val="24"/>
          <w:lang w:val="en-US"/>
        </w:rPr>
        <w:t xml:space="preserve"> an effective cellular immune response directed toward</w:t>
      </w:r>
      <w:r w:rsidR="00F121BB" w:rsidRPr="00A64FF0">
        <w:rPr>
          <w:rFonts w:ascii="Book Antiqua" w:hAnsi="Book Antiqua" w:cs="Book Antiqua"/>
          <w:sz w:val="24"/>
          <w:szCs w:val="24"/>
          <w:lang w:val="en-US"/>
        </w:rPr>
        <w:t>s the</w:t>
      </w:r>
      <w:r w:rsidR="00CC5C47" w:rsidRPr="00A64FF0">
        <w:rPr>
          <w:rFonts w:ascii="Book Antiqua" w:hAnsi="Book Antiqua" w:cs="Book Antiqua"/>
          <w:sz w:val="24"/>
          <w:szCs w:val="24"/>
          <w:lang w:val="en-US"/>
        </w:rPr>
        <w:t xml:space="preserve"> elimination of intracellular pathogens</w:t>
      </w:r>
      <w:r w:rsidR="001944E8" w:rsidRPr="00A64FF0">
        <w:rPr>
          <w:rFonts w:ascii="Book Antiqua" w:hAnsi="Book Antiqua" w:cs="Book Antiqua"/>
          <w:sz w:val="24"/>
          <w:szCs w:val="24"/>
          <w:vertAlign w:val="superscript"/>
          <w:lang w:val="en-US"/>
        </w:rPr>
        <w:t>[58,</w:t>
      </w:r>
      <w:r w:rsidR="00CC5C47" w:rsidRPr="00A64FF0">
        <w:rPr>
          <w:rFonts w:ascii="Book Antiqua" w:hAnsi="Book Antiqua" w:cs="Book Antiqua"/>
          <w:sz w:val="24"/>
          <w:szCs w:val="24"/>
          <w:vertAlign w:val="superscript"/>
          <w:lang w:val="en-US"/>
        </w:rPr>
        <w:t>59]</w:t>
      </w:r>
      <w:r w:rsidR="00CC5C47" w:rsidRPr="00A64FF0">
        <w:rPr>
          <w:rFonts w:ascii="Book Antiqua" w:hAnsi="Book Antiqua" w:cs="Book Antiqua"/>
          <w:sz w:val="24"/>
          <w:szCs w:val="24"/>
          <w:lang w:val="en-US"/>
        </w:rPr>
        <w:t xml:space="preserve"> its inhibition can contribute to HBV reactivation.</w:t>
      </w:r>
    </w:p>
    <w:p w:rsidR="00CC5C47" w:rsidRPr="00A64FF0" w:rsidRDefault="00CC5C47" w:rsidP="00467AE1">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From 2013, 28 cases of PsO with concomitant HBV infection hav</w:t>
      </w:r>
      <w:r w:rsidR="00EF4F87" w:rsidRPr="00A64FF0">
        <w:rPr>
          <w:rFonts w:ascii="Book Antiqua" w:hAnsi="Book Antiqua" w:cs="Book Antiqua"/>
          <w:sz w:val="24"/>
          <w:szCs w:val="24"/>
          <w:lang w:val="en-US"/>
        </w:rPr>
        <w:t>e been</w:t>
      </w:r>
      <w:r w:rsidRPr="00A64FF0">
        <w:rPr>
          <w:rFonts w:ascii="Book Antiqua" w:hAnsi="Book Antiqua" w:cs="Book Antiqua"/>
          <w:sz w:val="24"/>
          <w:szCs w:val="24"/>
          <w:lang w:val="en-US"/>
        </w:rPr>
        <w:t xml:space="preserve"> treated with UTK</w:t>
      </w:r>
      <w:r w:rsidR="001944E8" w:rsidRPr="00A64FF0">
        <w:rPr>
          <w:rFonts w:ascii="Book Antiqua" w:hAnsi="Book Antiqua" w:cs="Book Antiqua"/>
          <w:sz w:val="24"/>
          <w:szCs w:val="24"/>
          <w:vertAlign w:val="superscript"/>
          <w:lang w:val="en-US"/>
        </w:rPr>
        <w:t>[53,54,</w:t>
      </w:r>
      <w:r w:rsidRPr="00A64FF0">
        <w:rPr>
          <w:rFonts w:ascii="Book Antiqua" w:hAnsi="Book Antiqua" w:cs="Book Antiqua"/>
          <w:sz w:val="24"/>
          <w:szCs w:val="24"/>
          <w:vertAlign w:val="superscript"/>
          <w:lang w:val="en-US"/>
        </w:rPr>
        <w:t>60</w:t>
      </w:r>
      <w:r w:rsidR="001944E8" w:rsidRPr="00A64FF0">
        <w:rPr>
          <w:rFonts w:ascii="Book Antiqua" w:hAnsi="Book Antiqua" w:cs="Book Antiqua"/>
          <w:sz w:val="24"/>
          <w:szCs w:val="24"/>
          <w:vertAlign w:val="superscript"/>
          <w:lang w:val="en-US" w:eastAsia="zh-CN"/>
        </w:rPr>
        <w:t>-</w:t>
      </w:r>
      <w:r w:rsidRPr="00A64FF0">
        <w:rPr>
          <w:rFonts w:ascii="Book Antiqua" w:hAnsi="Book Antiqua" w:cs="Book Antiqua"/>
          <w:sz w:val="24"/>
          <w:szCs w:val="24"/>
          <w:vertAlign w:val="superscript"/>
          <w:lang w:val="en-US"/>
        </w:rPr>
        <w:t>62]</w:t>
      </w:r>
      <w:r w:rsidRPr="00A64FF0">
        <w:rPr>
          <w:rFonts w:ascii="Book Antiqua" w:hAnsi="Book Antiqua" w:cs="Book Antiqua"/>
          <w:sz w:val="24"/>
          <w:szCs w:val="24"/>
          <w:lang w:val="en-US"/>
        </w:rPr>
        <w:t>. The duration</w:t>
      </w:r>
      <w:r w:rsidR="001944E8" w:rsidRPr="00A64FF0">
        <w:rPr>
          <w:rFonts w:ascii="Book Antiqua" w:hAnsi="Book Antiqua" w:cs="Book Antiqua"/>
          <w:sz w:val="24"/>
          <w:szCs w:val="24"/>
          <w:lang w:val="en-US"/>
        </w:rPr>
        <w:t xml:space="preserve"> of treatments ranged from 4 mo</w:t>
      </w:r>
      <w:r w:rsidR="001944E8" w:rsidRPr="00A64FF0">
        <w:rPr>
          <w:rFonts w:ascii="Book Antiqua" w:hAnsi="Book Antiqua" w:cs="Book Antiqua"/>
          <w:sz w:val="24"/>
          <w:szCs w:val="24"/>
          <w:vertAlign w:val="superscript"/>
          <w:lang w:val="en-US"/>
        </w:rPr>
        <w:t>[</w:t>
      </w:r>
      <w:r w:rsidRPr="00A64FF0">
        <w:rPr>
          <w:rFonts w:ascii="Book Antiqua" w:hAnsi="Book Antiqua" w:cs="Book Antiqua"/>
          <w:sz w:val="24"/>
          <w:szCs w:val="24"/>
          <w:vertAlign w:val="superscript"/>
          <w:lang w:val="en-US"/>
        </w:rPr>
        <w:t>60]</w:t>
      </w:r>
      <w:r w:rsidRPr="00A64FF0">
        <w:rPr>
          <w:rFonts w:ascii="Book Antiqua" w:hAnsi="Book Antiqua" w:cs="Book Antiqua"/>
          <w:sz w:val="24"/>
          <w:szCs w:val="24"/>
          <w:lang w:val="en-US"/>
        </w:rPr>
        <w:t xml:space="preserve"> to 3 years</w:t>
      </w:r>
      <w:r w:rsidR="001944E8" w:rsidRPr="00A64FF0">
        <w:rPr>
          <w:rFonts w:ascii="Book Antiqua" w:hAnsi="Book Antiqua" w:cs="Book Antiqua"/>
          <w:sz w:val="24"/>
          <w:szCs w:val="24"/>
          <w:vertAlign w:val="superscript"/>
          <w:lang w:val="en-US"/>
        </w:rPr>
        <w:t>[</w:t>
      </w:r>
      <w:r w:rsidRPr="00A64FF0">
        <w:rPr>
          <w:rFonts w:ascii="Book Antiqua" w:hAnsi="Book Antiqua" w:cs="Book Antiqua"/>
          <w:sz w:val="24"/>
          <w:szCs w:val="24"/>
          <w:vertAlign w:val="superscript"/>
          <w:lang w:val="en-US"/>
        </w:rPr>
        <w:t>63]</w:t>
      </w:r>
      <w:r w:rsidRPr="00A64FF0">
        <w:rPr>
          <w:rFonts w:ascii="Book Antiqua" w:hAnsi="Book Antiqua" w:cs="Book Antiqua"/>
          <w:sz w:val="24"/>
          <w:szCs w:val="24"/>
          <w:lang w:val="en-US"/>
        </w:rPr>
        <w:t xml:space="preserve">. </w:t>
      </w:r>
    </w:p>
    <w:p w:rsidR="00CC5C47" w:rsidRPr="00A64FF0" w:rsidRDefault="00CC5C47" w:rsidP="00467AE1">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In Table 3</w:t>
      </w:r>
      <w:r w:rsidR="00EF4F87" w:rsidRPr="00A64FF0">
        <w:rPr>
          <w:rFonts w:ascii="Book Antiqua" w:hAnsi="Book Antiqua" w:cs="Book Antiqua"/>
          <w:sz w:val="24"/>
          <w:szCs w:val="24"/>
          <w:lang w:val="en-US"/>
        </w:rPr>
        <w:t>,</w:t>
      </w:r>
      <w:r w:rsidR="00562966"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22 out of the 28 above cited patients</w:t>
      </w:r>
      <w:r w:rsidR="001944E8" w:rsidRPr="00A64FF0">
        <w:rPr>
          <w:rFonts w:ascii="Book Antiqua" w:hAnsi="Book Antiqua" w:cs="Book Antiqua"/>
          <w:sz w:val="24"/>
          <w:szCs w:val="24"/>
          <w:lang w:val="en-US"/>
        </w:rPr>
        <w:t xml:space="preserve"> are shown</w:t>
      </w:r>
      <w:r w:rsidRPr="00A64FF0">
        <w:rPr>
          <w:rFonts w:ascii="Book Antiqua" w:hAnsi="Book Antiqua" w:cs="Book Antiqua"/>
          <w:sz w:val="24"/>
          <w:szCs w:val="24"/>
          <w:lang w:val="en-US"/>
        </w:rPr>
        <w:t>,</w:t>
      </w:r>
      <w:r w:rsidR="00562966"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since 6 subjects belong to the case series reported by</w:t>
      </w:r>
      <w:r w:rsidR="00562966" w:rsidRPr="00A64FF0">
        <w:rPr>
          <w:rFonts w:ascii="Book Antiqua" w:hAnsi="Book Antiqua" w:cs="Book Antiqua"/>
          <w:sz w:val="24"/>
          <w:szCs w:val="24"/>
          <w:lang w:val="en-US"/>
        </w:rPr>
        <w:t xml:space="preserve"> </w:t>
      </w:r>
      <w:hyperlink r:id="rId9" w:history="1">
        <w:r w:rsidRPr="00A64FF0">
          <w:rPr>
            <w:rStyle w:val="Hyperlink"/>
            <w:rFonts w:ascii="Book Antiqua" w:hAnsi="Book Antiqua" w:cs="Book Antiqua"/>
            <w:color w:val="auto"/>
            <w:sz w:val="24"/>
            <w:szCs w:val="24"/>
            <w:u w:val="none"/>
            <w:shd w:val="clear" w:color="auto" w:fill="FFFFFF"/>
            <w:lang w:val="en-US"/>
          </w:rPr>
          <w:t>Sanz-Bueno</w:t>
        </w:r>
      </w:hyperlink>
      <w:r w:rsidR="00C43FF9" w:rsidRPr="00A64FF0">
        <w:rPr>
          <w:rStyle w:val="Hyperlink"/>
          <w:rFonts w:ascii="Book Antiqua" w:hAnsi="Book Antiqua" w:cs="Book Antiqua"/>
          <w:color w:val="auto"/>
          <w:sz w:val="24"/>
          <w:szCs w:val="24"/>
          <w:u w:val="none"/>
          <w:shd w:val="clear" w:color="auto" w:fill="FFFFFF"/>
          <w:lang w:val="en-US" w:eastAsia="zh-CN"/>
        </w:rPr>
        <w:t xml:space="preserve"> </w:t>
      </w:r>
      <w:r w:rsidR="00C43FF9" w:rsidRPr="00A64FF0">
        <w:rPr>
          <w:rFonts w:ascii="Book Antiqua" w:hAnsi="Book Antiqua" w:cs="Book Antiqua"/>
          <w:i/>
          <w:sz w:val="24"/>
          <w:szCs w:val="24"/>
          <w:lang w:val="en-US"/>
        </w:rPr>
        <w:t>et al</w:t>
      </w:r>
      <w:r w:rsidR="001944E8" w:rsidRPr="00A64FF0">
        <w:rPr>
          <w:rFonts w:ascii="Book Antiqua" w:hAnsi="Book Antiqua" w:cs="Book Antiqua"/>
          <w:sz w:val="24"/>
          <w:szCs w:val="24"/>
          <w:vertAlign w:val="superscript"/>
          <w:lang w:val="en-US"/>
        </w:rPr>
        <w:t>[</w:t>
      </w:r>
      <w:r w:rsidRPr="00A64FF0">
        <w:rPr>
          <w:rFonts w:ascii="Book Antiqua" w:hAnsi="Book Antiqua" w:cs="Book Antiqua"/>
          <w:sz w:val="24"/>
          <w:szCs w:val="24"/>
          <w:vertAlign w:val="superscript"/>
          <w:lang w:val="en-US"/>
        </w:rPr>
        <w:t>54]</w:t>
      </w:r>
      <w:r w:rsidR="002260B8" w:rsidRPr="00A64FF0">
        <w:rPr>
          <w:rFonts w:ascii="Book Antiqua" w:hAnsi="Book Antiqua" w:cs="Book Antiqua"/>
          <w:sz w:val="24"/>
          <w:szCs w:val="24"/>
          <w:vertAlign w:val="superscript"/>
          <w:lang w:val="en-US"/>
        </w:rPr>
        <w:t xml:space="preserve"> </w:t>
      </w:r>
      <w:r w:rsidRPr="00A64FF0">
        <w:rPr>
          <w:rFonts w:ascii="Book Antiqua" w:hAnsi="Book Antiqua" w:cs="Book Antiqua"/>
          <w:sz w:val="24"/>
          <w:szCs w:val="24"/>
          <w:lang w:val="en-US"/>
        </w:rPr>
        <w:t xml:space="preserve">and included in Table 2. </w:t>
      </w:r>
    </w:p>
    <w:p w:rsidR="00CC5C47" w:rsidRPr="00A64FF0" w:rsidRDefault="00CC5C47" w:rsidP="00467AE1">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 xml:space="preserve">At present the </w:t>
      </w:r>
      <w:r w:rsidR="00EF4F87" w:rsidRPr="00A64FF0">
        <w:rPr>
          <w:rFonts w:ascii="Book Antiqua" w:hAnsi="Book Antiqua" w:cs="Book Antiqua"/>
          <w:sz w:val="24"/>
          <w:szCs w:val="24"/>
          <w:lang w:val="en-US"/>
        </w:rPr>
        <w:t>lack</w:t>
      </w:r>
      <w:r w:rsidRPr="00A64FF0">
        <w:rPr>
          <w:rFonts w:ascii="Book Antiqua" w:hAnsi="Book Antiqua" w:cs="Book Antiqua"/>
          <w:sz w:val="24"/>
          <w:szCs w:val="24"/>
          <w:lang w:val="en-US"/>
        </w:rPr>
        <w:t xml:space="preserve"> of data do</w:t>
      </w:r>
      <w:r w:rsidR="00F121BB" w:rsidRPr="00A64FF0">
        <w:rPr>
          <w:rFonts w:ascii="Book Antiqua" w:hAnsi="Book Antiqua" w:cs="Book Antiqua"/>
          <w:sz w:val="24"/>
          <w:szCs w:val="24"/>
          <w:lang w:val="en-US"/>
        </w:rPr>
        <w:t>es not</w:t>
      </w:r>
      <w:r w:rsidR="00493096"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permit</w:t>
      </w:r>
      <w:r w:rsidR="00F121BB" w:rsidRPr="00A64FF0">
        <w:rPr>
          <w:rFonts w:ascii="Book Antiqua" w:hAnsi="Book Antiqua" w:cs="Book Antiqua"/>
          <w:sz w:val="24"/>
          <w:szCs w:val="24"/>
          <w:lang w:val="en-US"/>
        </w:rPr>
        <w:t xml:space="preserve"> us</w:t>
      </w:r>
      <w:r w:rsidR="00493096"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to draw any conclusion</w:t>
      </w:r>
      <w:r w:rsidR="00EF4F87" w:rsidRPr="00A64FF0">
        <w:rPr>
          <w:rFonts w:ascii="Book Antiqua" w:hAnsi="Book Antiqua" w:cs="Book Antiqua"/>
          <w:sz w:val="24"/>
          <w:szCs w:val="24"/>
          <w:lang w:val="en-US"/>
        </w:rPr>
        <w:t>s</w:t>
      </w:r>
      <w:r w:rsidRPr="00A64FF0">
        <w:rPr>
          <w:rFonts w:ascii="Book Antiqua" w:hAnsi="Book Antiqua" w:cs="Book Antiqua"/>
          <w:sz w:val="24"/>
          <w:szCs w:val="24"/>
          <w:lang w:val="en-US"/>
        </w:rPr>
        <w:t xml:space="preserve"> about the safety of UTK in patient</w:t>
      </w:r>
      <w:r w:rsidR="00F121BB" w:rsidRPr="00A64FF0">
        <w:rPr>
          <w:rFonts w:ascii="Book Antiqua" w:hAnsi="Book Antiqua" w:cs="Book Antiqua"/>
          <w:sz w:val="24"/>
          <w:szCs w:val="24"/>
          <w:lang w:val="en-US"/>
        </w:rPr>
        <w:t>s</w:t>
      </w:r>
      <w:r w:rsidRPr="00A64FF0">
        <w:rPr>
          <w:rFonts w:ascii="Book Antiqua" w:hAnsi="Book Antiqua" w:cs="Book Antiqua"/>
          <w:sz w:val="24"/>
          <w:szCs w:val="24"/>
          <w:lang w:val="en-US"/>
        </w:rPr>
        <w:t xml:space="preserve"> with HBV infection. </w:t>
      </w:r>
    </w:p>
    <w:p w:rsidR="00CC5C47" w:rsidRPr="00A64FF0" w:rsidRDefault="00CC5C47" w:rsidP="00467AE1">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However</w:t>
      </w:r>
      <w:r w:rsidR="00F121BB"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as</w:t>
      </w:r>
      <w:r w:rsidR="00470592"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shown in Table 3</w:t>
      </w:r>
      <w:r w:rsidR="00D543A9" w:rsidRPr="00A64FF0">
        <w:rPr>
          <w:rFonts w:ascii="Book Antiqua" w:hAnsi="Book Antiqua" w:cs="Book Antiqua"/>
          <w:sz w:val="24"/>
          <w:szCs w:val="24"/>
          <w:lang w:val="en-US"/>
        </w:rPr>
        <w:t>,</w:t>
      </w:r>
      <w:r w:rsidR="00C43FF9" w:rsidRPr="00A64FF0">
        <w:rPr>
          <w:rFonts w:ascii="Book Antiqua" w:hAnsi="Book Antiqua" w:cs="Book Antiqua"/>
          <w:sz w:val="24"/>
          <w:szCs w:val="24"/>
          <w:lang w:val="en-US" w:eastAsia="zh-CN"/>
        </w:rPr>
        <w:t xml:space="preserve"> </w:t>
      </w:r>
      <w:r w:rsidRPr="00A64FF0">
        <w:rPr>
          <w:rFonts w:ascii="Book Antiqua" w:hAnsi="Book Antiqua" w:cs="Book Antiqua"/>
          <w:sz w:val="24"/>
          <w:szCs w:val="24"/>
          <w:lang w:val="en-US"/>
        </w:rPr>
        <w:t>2 o</w:t>
      </w:r>
      <w:r w:rsidR="00D543A9" w:rsidRPr="00A64FF0">
        <w:rPr>
          <w:rFonts w:ascii="Book Antiqua" w:hAnsi="Book Antiqua" w:cs="Book Antiqua"/>
          <w:sz w:val="24"/>
          <w:szCs w:val="24"/>
          <w:lang w:val="en-US"/>
        </w:rPr>
        <w:t>f the 11 inactive carriers and one</w:t>
      </w:r>
      <w:r w:rsidRPr="00A64FF0">
        <w:rPr>
          <w:rFonts w:ascii="Book Antiqua" w:hAnsi="Book Antiqua" w:cs="Book Antiqua"/>
          <w:sz w:val="24"/>
          <w:szCs w:val="24"/>
          <w:lang w:val="en-US"/>
        </w:rPr>
        <w:t xml:space="preserve"> patient</w:t>
      </w:r>
      <w:r w:rsidR="00470592"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 xml:space="preserve">with rHBV experienced a reactivation of HBV infection after 4 mo, 7 mo and 16 </w:t>
      </w:r>
      <w:r w:rsidR="001944E8" w:rsidRPr="00A64FF0">
        <w:rPr>
          <w:rFonts w:ascii="Book Antiqua" w:hAnsi="Book Antiqua" w:cs="Book Antiqua"/>
          <w:sz w:val="24"/>
          <w:szCs w:val="24"/>
          <w:lang w:val="en-US"/>
        </w:rPr>
        <w:t>wk</w:t>
      </w:r>
      <w:r w:rsidR="00F121BB"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respectively</w:t>
      </w:r>
      <w:r w:rsidR="001944E8" w:rsidRPr="00A64FF0">
        <w:rPr>
          <w:rFonts w:ascii="Book Antiqua" w:hAnsi="Book Antiqua" w:cs="Book Antiqua"/>
          <w:sz w:val="24"/>
          <w:szCs w:val="24"/>
          <w:vertAlign w:val="superscript"/>
          <w:lang w:val="en-US"/>
        </w:rPr>
        <w:t>[60,</w:t>
      </w:r>
      <w:r w:rsidRPr="00A64FF0">
        <w:rPr>
          <w:rFonts w:ascii="Book Antiqua" w:hAnsi="Book Antiqua" w:cs="Book Antiqua"/>
          <w:sz w:val="24"/>
          <w:szCs w:val="24"/>
          <w:vertAlign w:val="superscript"/>
          <w:lang w:val="en-US"/>
        </w:rPr>
        <w:t>62]</w:t>
      </w:r>
      <w:r w:rsidR="00F121BB" w:rsidRPr="00A64FF0">
        <w:rPr>
          <w:rFonts w:ascii="Book Antiqua" w:hAnsi="Book Antiqua" w:cs="Book Antiqua"/>
          <w:sz w:val="24"/>
          <w:szCs w:val="24"/>
          <w:lang w:val="en-US"/>
        </w:rPr>
        <w:t>. A</w:t>
      </w:r>
      <w:r w:rsidR="00D543A9" w:rsidRPr="00A64FF0">
        <w:rPr>
          <w:rFonts w:ascii="Book Antiqua" w:hAnsi="Book Antiqua" w:cs="Book Antiqua"/>
          <w:sz w:val="24"/>
          <w:szCs w:val="24"/>
          <w:lang w:val="en-US"/>
        </w:rPr>
        <w:t>ntiviral prophylaxis</w:t>
      </w:r>
      <w:r w:rsidR="00470592"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w</w:t>
      </w:r>
      <w:r w:rsidR="00D543A9" w:rsidRPr="00A64FF0">
        <w:rPr>
          <w:rFonts w:ascii="Book Antiqua" w:hAnsi="Book Antiqua" w:cs="Book Antiqua"/>
          <w:sz w:val="24"/>
          <w:szCs w:val="24"/>
          <w:lang w:val="en-US"/>
        </w:rPr>
        <w:t>as</w:t>
      </w:r>
      <w:r w:rsidR="00470592"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 xml:space="preserve">not </w:t>
      </w:r>
      <w:r w:rsidR="00F121BB" w:rsidRPr="00A64FF0">
        <w:rPr>
          <w:rFonts w:ascii="Book Antiqua" w:hAnsi="Book Antiqua" w:cs="Book Antiqua"/>
          <w:sz w:val="24"/>
          <w:szCs w:val="24"/>
          <w:lang w:val="en-US"/>
        </w:rPr>
        <w:t>administered</w:t>
      </w:r>
      <w:r w:rsidR="00470592" w:rsidRPr="00A64FF0">
        <w:rPr>
          <w:rFonts w:ascii="Book Antiqua" w:hAnsi="Book Antiqua" w:cs="Book Antiqua"/>
          <w:sz w:val="24"/>
          <w:szCs w:val="24"/>
          <w:lang w:val="en-US"/>
        </w:rPr>
        <w:t xml:space="preserve"> </w:t>
      </w:r>
      <w:r w:rsidR="00D543A9" w:rsidRPr="00A64FF0">
        <w:rPr>
          <w:rFonts w:ascii="Book Antiqua" w:hAnsi="Book Antiqua" w:cs="Book Antiqua"/>
          <w:sz w:val="24"/>
          <w:szCs w:val="24"/>
          <w:lang w:val="en-US"/>
        </w:rPr>
        <w:t>to said subjects</w:t>
      </w:r>
      <w:r w:rsidRPr="00A64FF0">
        <w:rPr>
          <w:rFonts w:ascii="Book Antiqua" w:hAnsi="Book Antiqua" w:cs="Book Antiqua"/>
          <w:sz w:val="24"/>
          <w:szCs w:val="24"/>
          <w:lang w:val="en-US"/>
        </w:rPr>
        <w:t>.</w:t>
      </w:r>
    </w:p>
    <w:p w:rsidR="00CC5C47" w:rsidRPr="00A64FF0" w:rsidRDefault="00CC5C47" w:rsidP="00467AE1">
      <w:pPr>
        <w:autoSpaceDE w:val="0"/>
        <w:autoSpaceDN w:val="0"/>
        <w:adjustRightInd w:val="0"/>
        <w:snapToGrid w:val="0"/>
        <w:spacing w:after="0" w:line="360" w:lineRule="auto"/>
        <w:jc w:val="both"/>
        <w:rPr>
          <w:rFonts w:ascii="Book Antiqua" w:hAnsi="Book Antiqua" w:cs="Book Antiqua"/>
          <w:b/>
          <w:bCs/>
          <w:sz w:val="24"/>
          <w:szCs w:val="24"/>
          <w:lang w:val="en-US"/>
        </w:rPr>
      </w:pPr>
    </w:p>
    <w:p w:rsidR="00CC5C47" w:rsidRPr="00A64FF0" w:rsidRDefault="00C43FF9" w:rsidP="00467AE1">
      <w:pPr>
        <w:autoSpaceDE w:val="0"/>
        <w:autoSpaceDN w:val="0"/>
        <w:adjustRightInd w:val="0"/>
        <w:snapToGrid w:val="0"/>
        <w:spacing w:after="0" w:line="360" w:lineRule="auto"/>
        <w:jc w:val="both"/>
        <w:rPr>
          <w:rFonts w:ascii="Book Antiqua" w:hAnsi="Book Antiqua" w:cs="Book Antiqua"/>
          <w:b/>
          <w:bCs/>
          <w:caps/>
          <w:sz w:val="24"/>
          <w:szCs w:val="24"/>
          <w:lang w:val="en-US" w:eastAsia="zh-CN"/>
        </w:rPr>
      </w:pPr>
      <w:r w:rsidRPr="00A64FF0">
        <w:rPr>
          <w:rFonts w:ascii="Book Antiqua" w:hAnsi="Book Antiqua" w:cs="Book Antiqua"/>
          <w:b/>
          <w:bCs/>
          <w:caps/>
          <w:sz w:val="24"/>
          <w:szCs w:val="24"/>
          <w:lang w:val="en-US"/>
        </w:rPr>
        <w:t>Antiviral prophylaxis</w:t>
      </w:r>
    </w:p>
    <w:p w:rsidR="00CC5C47" w:rsidRPr="00A64FF0" w:rsidRDefault="00F121BB" w:rsidP="00467AE1">
      <w:pPr>
        <w:autoSpaceDE w:val="0"/>
        <w:autoSpaceDN w:val="0"/>
        <w:adjustRightInd w:val="0"/>
        <w:snapToGrid w:val="0"/>
        <w:spacing w:after="0" w:line="360" w:lineRule="auto"/>
        <w:jc w:val="both"/>
        <w:rPr>
          <w:rFonts w:ascii="Book Antiqua" w:hAnsi="Book Antiqua" w:cs="Book Antiqua"/>
          <w:sz w:val="24"/>
          <w:szCs w:val="24"/>
          <w:lang w:val="en-US"/>
        </w:rPr>
      </w:pPr>
      <w:r w:rsidRPr="00A64FF0">
        <w:rPr>
          <w:rFonts w:ascii="Book Antiqua" w:hAnsi="Book Antiqua" w:cs="Book Antiqua"/>
          <w:sz w:val="24"/>
          <w:szCs w:val="24"/>
          <w:lang w:val="en-US"/>
        </w:rPr>
        <w:t>On the basis of the above</w:t>
      </w:r>
      <w:r w:rsidR="00CC5C47" w:rsidRPr="00A64FF0">
        <w:rPr>
          <w:rFonts w:ascii="Book Antiqua" w:hAnsi="Book Antiqua" w:cs="Book Antiqua"/>
          <w:sz w:val="24"/>
          <w:szCs w:val="24"/>
          <w:lang w:val="en-US"/>
        </w:rPr>
        <w:t xml:space="preserve"> reported </w:t>
      </w:r>
      <w:r w:rsidRPr="00A64FF0">
        <w:rPr>
          <w:rFonts w:ascii="Book Antiqua" w:hAnsi="Book Antiqua" w:cs="Book Antiqua"/>
          <w:sz w:val="24"/>
          <w:szCs w:val="24"/>
          <w:lang w:val="en-US"/>
        </w:rPr>
        <w:t>data</w:t>
      </w:r>
      <w:r w:rsidR="00D543A9" w:rsidRPr="00A64FF0">
        <w:rPr>
          <w:rFonts w:ascii="Book Antiqua" w:hAnsi="Book Antiqua" w:cs="Book Antiqua"/>
          <w:sz w:val="24"/>
          <w:szCs w:val="24"/>
          <w:lang w:val="en-US"/>
        </w:rPr>
        <w:t>,</w:t>
      </w:r>
      <w:r w:rsidR="00CD1521"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it is clear that HBV infection does</w:t>
      </w:r>
      <w:r w:rsidRPr="00A64FF0">
        <w:rPr>
          <w:rFonts w:ascii="Book Antiqua" w:hAnsi="Book Antiqua" w:cs="Book Antiqua"/>
          <w:sz w:val="24"/>
          <w:szCs w:val="24"/>
          <w:lang w:val="en-US"/>
        </w:rPr>
        <w:t xml:space="preserve"> not represent a </w:t>
      </w:r>
      <w:r w:rsidR="00CC5C47" w:rsidRPr="00A64FF0">
        <w:rPr>
          <w:rFonts w:ascii="Book Antiqua" w:hAnsi="Book Antiqua" w:cs="Book Antiqua"/>
          <w:sz w:val="24"/>
          <w:szCs w:val="24"/>
          <w:lang w:val="en-US"/>
        </w:rPr>
        <w:t>barrier to</w:t>
      </w:r>
      <w:r w:rsidRPr="00A64FF0">
        <w:rPr>
          <w:rFonts w:ascii="Book Antiqua" w:hAnsi="Book Antiqua" w:cs="Book Antiqua"/>
          <w:sz w:val="24"/>
          <w:szCs w:val="24"/>
          <w:lang w:val="en-US"/>
        </w:rPr>
        <w:t xml:space="preserve"> the </w:t>
      </w:r>
      <w:r w:rsidR="00CC5C47" w:rsidRPr="00A64FF0">
        <w:rPr>
          <w:rFonts w:ascii="Book Antiqua" w:hAnsi="Book Antiqua" w:cs="Book Antiqua"/>
          <w:sz w:val="24"/>
          <w:szCs w:val="24"/>
          <w:lang w:val="en-US"/>
        </w:rPr>
        <w:t>administ</w:t>
      </w:r>
      <w:r w:rsidRPr="00A64FF0">
        <w:rPr>
          <w:rFonts w:ascii="Book Antiqua" w:hAnsi="Book Antiqua" w:cs="Book Antiqua"/>
          <w:sz w:val="24"/>
          <w:szCs w:val="24"/>
          <w:lang w:val="en-US"/>
        </w:rPr>
        <w:t xml:space="preserve">ration of </w:t>
      </w:r>
      <w:r w:rsidR="00CC5C47" w:rsidRPr="00A64FF0">
        <w:rPr>
          <w:rFonts w:ascii="Book Antiqua" w:hAnsi="Book Antiqua" w:cs="Book Antiqua"/>
          <w:sz w:val="24"/>
          <w:szCs w:val="24"/>
          <w:lang w:val="en-US"/>
        </w:rPr>
        <w:t>an immunosuppressive therapy in patients with severe PsO. However</w:t>
      </w:r>
      <w:r w:rsidRPr="00A64FF0">
        <w:rPr>
          <w:rFonts w:ascii="Book Antiqua" w:hAnsi="Book Antiqua" w:cs="Book Antiqua"/>
          <w:sz w:val="24"/>
          <w:szCs w:val="24"/>
          <w:lang w:val="en-US"/>
        </w:rPr>
        <w:t>,</w:t>
      </w:r>
      <w:r w:rsidR="00CC5C47" w:rsidRPr="00A64FF0">
        <w:rPr>
          <w:rFonts w:ascii="Book Antiqua" w:hAnsi="Book Antiqua" w:cs="Book Antiqua"/>
          <w:sz w:val="24"/>
          <w:szCs w:val="24"/>
          <w:lang w:val="en-US"/>
        </w:rPr>
        <w:t xml:space="preserve"> when a patient is </w:t>
      </w:r>
      <w:r w:rsidRPr="00A64FF0">
        <w:rPr>
          <w:rFonts w:ascii="Book Antiqua" w:hAnsi="Book Antiqua" w:cs="Book Antiqua"/>
          <w:sz w:val="24"/>
          <w:szCs w:val="24"/>
          <w:lang w:val="en-US"/>
        </w:rPr>
        <w:t>eligible to a long-</w:t>
      </w:r>
      <w:r w:rsidR="00CC5C47" w:rsidRPr="00A64FF0">
        <w:rPr>
          <w:rFonts w:ascii="Book Antiqua" w:hAnsi="Book Antiqua" w:cs="Book Antiqua"/>
          <w:sz w:val="24"/>
          <w:szCs w:val="24"/>
          <w:lang w:val="en-US"/>
        </w:rPr>
        <w:t>lasting immunosuppressive</w:t>
      </w:r>
      <w:r w:rsidR="00F63729"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therapy such as bDMARDs</w:t>
      </w:r>
      <w:r w:rsidR="00D543A9" w:rsidRPr="00A64FF0">
        <w:rPr>
          <w:rFonts w:ascii="Book Antiqua" w:hAnsi="Book Antiqua" w:cs="Book Antiqua"/>
          <w:sz w:val="24"/>
          <w:szCs w:val="24"/>
          <w:lang w:val="en-US"/>
        </w:rPr>
        <w:t>,</w:t>
      </w:r>
      <w:r w:rsidR="00CC5C47" w:rsidRPr="00A64FF0">
        <w:rPr>
          <w:rFonts w:ascii="Book Antiqua" w:hAnsi="Book Antiqua" w:cs="Book Antiqua"/>
          <w:sz w:val="24"/>
          <w:szCs w:val="24"/>
          <w:lang w:val="en-US"/>
        </w:rPr>
        <w:t xml:space="preserve">the risk of HBV reactivation </w:t>
      </w:r>
      <w:r w:rsidR="00D543A9" w:rsidRPr="00A64FF0">
        <w:rPr>
          <w:rFonts w:ascii="Book Antiqua" w:hAnsi="Book Antiqua" w:cs="Book Antiqua"/>
          <w:sz w:val="24"/>
          <w:szCs w:val="24"/>
          <w:lang w:val="en-US"/>
        </w:rPr>
        <w:t xml:space="preserve">must </w:t>
      </w:r>
      <w:r w:rsidR="00CC5C47" w:rsidRPr="00A64FF0">
        <w:rPr>
          <w:rFonts w:ascii="Book Antiqua" w:hAnsi="Book Antiqua" w:cs="Book Antiqua"/>
          <w:sz w:val="24"/>
          <w:szCs w:val="24"/>
          <w:lang w:val="en-US"/>
        </w:rPr>
        <w:t>be taken in</w:t>
      </w:r>
      <w:r w:rsidRPr="00A64FF0">
        <w:rPr>
          <w:rFonts w:ascii="Book Antiqua" w:hAnsi="Book Antiqua" w:cs="Book Antiqua"/>
          <w:sz w:val="24"/>
          <w:szCs w:val="24"/>
          <w:lang w:val="en-US"/>
        </w:rPr>
        <w:t>to</w:t>
      </w:r>
      <w:r w:rsidR="00CC5C47" w:rsidRPr="00A64FF0">
        <w:rPr>
          <w:rFonts w:ascii="Book Antiqua" w:hAnsi="Book Antiqua" w:cs="Book Antiqua"/>
          <w:sz w:val="24"/>
          <w:szCs w:val="24"/>
          <w:lang w:val="en-US"/>
        </w:rPr>
        <w:t xml:space="preserve"> account.</w:t>
      </w:r>
    </w:p>
    <w:p w:rsidR="00CC5C47" w:rsidRPr="00A64FF0" w:rsidRDefault="00CC5C47" w:rsidP="00467AE1">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It is widely accepted that all su</w:t>
      </w:r>
      <w:r w:rsidR="00936ED5" w:rsidRPr="00A64FF0">
        <w:rPr>
          <w:rFonts w:ascii="Book Antiqua" w:hAnsi="Book Antiqua" w:cs="Book Antiqua"/>
          <w:sz w:val="24"/>
          <w:szCs w:val="24"/>
          <w:lang w:val="en-US"/>
        </w:rPr>
        <w:t>bjects</w:t>
      </w:r>
      <w:r w:rsidR="00F63729" w:rsidRPr="00A64FF0">
        <w:rPr>
          <w:rFonts w:ascii="Book Antiqua" w:hAnsi="Book Antiqua" w:cs="Book Antiqua"/>
          <w:sz w:val="24"/>
          <w:szCs w:val="24"/>
          <w:lang w:val="en-US"/>
        </w:rPr>
        <w:t xml:space="preserve"> </w:t>
      </w:r>
      <w:r w:rsidR="00936ED5" w:rsidRPr="00A64FF0">
        <w:rPr>
          <w:rFonts w:ascii="Book Antiqua" w:hAnsi="Book Antiqua" w:cs="Book Antiqua"/>
          <w:sz w:val="24"/>
          <w:szCs w:val="24"/>
          <w:lang w:val="en-US"/>
        </w:rPr>
        <w:t>who are inactive</w:t>
      </w:r>
      <w:r w:rsidRPr="00A64FF0">
        <w:rPr>
          <w:rFonts w:ascii="Book Antiqua" w:hAnsi="Book Antiqua" w:cs="Book Antiqua"/>
          <w:sz w:val="24"/>
          <w:szCs w:val="24"/>
          <w:lang w:val="en-US"/>
        </w:rPr>
        <w:t xml:space="preserve"> carrier</w:t>
      </w:r>
      <w:r w:rsidR="002624E4" w:rsidRPr="00A64FF0">
        <w:rPr>
          <w:rFonts w:ascii="Book Antiqua" w:hAnsi="Book Antiqua" w:cs="Book Antiqua"/>
          <w:sz w:val="24"/>
          <w:szCs w:val="24"/>
          <w:lang w:val="en-US"/>
        </w:rPr>
        <w:t>s</w:t>
      </w:r>
      <w:r w:rsidRPr="00A64FF0">
        <w:rPr>
          <w:rFonts w:ascii="Book Antiqua" w:hAnsi="Book Antiqua" w:cs="Book Antiqua"/>
          <w:sz w:val="24"/>
          <w:szCs w:val="24"/>
          <w:lang w:val="en-US"/>
        </w:rPr>
        <w:t xml:space="preserve"> need an</w:t>
      </w:r>
      <w:r w:rsidR="00CD1521"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antiviral prophylaxis</w:t>
      </w:r>
      <w:r w:rsidR="001944E8" w:rsidRPr="00A64FF0">
        <w:rPr>
          <w:rFonts w:ascii="Book Antiqua" w:hAnsi="Book Antiqua" w:cs="Book Antiqua"/>
          <w:sz w:val="24"/>
          <w:szCs w:val="24"/>
          <w:vertAlign w:val="superscript"/>
          <w:lang w:val="en-US"/>
        </w:rPr>
        <w:t>[10,</w:t>
      </w:r>
      <w:r w:rsidRPr="00A64FF0">
        <w:rPr>
          <w:rFonts w:ascii="Book Antiqua" w:hAnsi="Book Antiqua" w:cs="Book Antiqua"/>
          <w:sz w:val="24"/>
          <w:szCs w:val="24"/>
          <w:vertAlign w:val="superscript"/>
          <w:lang w:val="en-US"/>
        </w:rPr>
        <w:t>38-40]</w:t>
      </w:r>
      <w:r w:rsidRPr="00A64FF0">
        <w:rPr>
          <w:rFonts w:ascii="Book Antiqua" w:hAnsi="Book Antiqua" w:cs="Book Antiqua"/>
          <w:sz w:val="24"/>
          <w:szCs w:val="24"/>
          <w:lang w:val="en-US"/>
        </w:rPr>
        <w:t>. Th</w:t>
      </w:r>
      <w:r w:rsidR="002624E4" w:rsidRPr="00A64FF0">
        <w:rPr>
          <w:rFonts w:ascii="Book Antiqua" w:hAnsi="Book Antiqua" w:cs="Book Antiqua"/>
          <w:sz w:val="24"/>
          <w:szCs w:val="24"/>
          <w:lang w:val="en-US"/>
        </w:rPr>
        <w:t>e latter</w:t>
      </w:r>
      <w:r w:rsidRPr="00A64FF0">
        <w:rPr>
          <w:rFonts w:ascii="Book Antiqua" w:hAnsi="Book Antiqua" w:cs="Book Antiqua"/>
          <w:sz w:val="24"/>
          <w:szCs w:val="24"/>
          <w:lang w:val="en-US"/>
        </w:rPr>
        <w:t xml:space="preserve"> should be </w:t>
      </w:r>
      <w:r w:rsidR="002624E4" w:rsidRPr="00A64FF0">
        <w:rPr>
          <w:rFonts w:ascii="Book Antiqua" w:hAnsi="Book Antiqua" w:cs="Book Antiqua"/>
          <w:sz w:val="24"/>
          <w:szCs w:val="24"/>
          <w:lang w:val="en-US"/>
        </w:rPr>
        <w:t>started</w:t>
      </w:r>
      <w:r w:rsidR="001944E8" w:rsidRPr="00A64FF0">
        <w:rPr>
          <w:rFonts w:ascii="Book Antiqua" w:hAnsi="Book Antiqua" w:cs="Book Antiqua"/>
          <w:sz w:val="24"/>
          <w:szCs w:val="24"/>
          <w:lang w:val="en-US"/>
        </w:rPr>
        <w:t xml:space="preserve"> 1-2 wk</w:t>
      </w:r>
      <w:r w:rsidRPr="00A64FF0">
        <w:rPr>
          <w:rFonts w:ascii="Book Antiqua" w:hAnsi="Book Antiqua" w:cs="Book Antiqua"/>
          <w:sz w:val="24"/>
          <w:szCs w:val="24"/>
          <w:lang w:val="en-US"/>
        </w:rPr>
        <w:t xml:space="preserve"> before a bDMARD is given and continued</w:t>
      </w:r>
      <w:r w:rsidR="00CD1521"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for 6-12 mo</w:t>
      </w:r>
      <w:r w:rsidR="00CD1521"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after its suspension</w:t>
      </w:r>
      <w:r w:rsidR="001944E8" w:rsidRPr="00A64FF0">
        <w:rPr>
          <w:rFonts w:ascii="Book Antiqua" w:hAnsi="Book Antiqua" w:cs="Book Antiqua"/>
          <w:sz w:val="24"/>
          <w:szCs w:val="24"/>
          <w:vertAlign w:val="superscript"/>
          <w:lang w:val="en-US"/>
        </w:rPr>
        <w:t>[</w:t>
      </w:r>
      <w:r w:rsidRPr="00A64FF0">
        <w:rPr>
          <w:rFonts w:ascii="Book Antiqua" w:hAnsi="Book Antiqua" w:cs="Book Antiqua"/>
          <w:sz w:val="24"/>
          <w:szCs w:val="24"/>
          <w:vertAlign w:val="superscript"/>
          <w:lang w:val="en-US"/>
        </w:rPr>
        <w:t>10,38-40]</w:t>
      </w:r>
      <w:r w:rsidRPr="00A64FF0">
        <w:rPr>
          <w:rFonts w:ascii="Book Antiqua" w:hAnsi="Book Antiqua" w:cs="Book Antiqua"/>
          <w:sz w:val="24"/>
          <w:szCs w:val="24"/>
          <w:lang w:val="en-US"/>
        </w:rPr>
        <w:t xml:space="preserve">. Concerning the type of antiviral drug to be administered, the American Gastroenterology Association (AGA) suggests a third generation nucleos(t)ide (entecavir or tenofovir) </w:t>
      </w:r>
      <w:r w:rsidR="00D543A9" w:rsidRPr="00A64FF0">
        <w:rPr>
          <w:rFonts w:ascii="Book Antiqua" w:hAnsi="Book Antiqua" w:cs="AdvGulliv-R"/>
          <w:sz w:val="24"/>
          <w:szCs w:val="24"/>
          <w:lang w:val="en-US"/>
        </w:rPr>
        <w:t>due to their high resistance to</w:t>
      </w:r>
      <w:r w:rsidR="002520F9" w:rsidRPr="00A64FF0">
        <w:rPr>
          <w:rFonts w:ascii="Book Antiqua" w:hAnsi="Book Antiqua" w:cs="AdvGulliv-R"/>
          <w:sz w:val="24"/>
          <w:szCs w:val="24"/>
          <w:lang w:val="en-US"/>
        </w:rPr>
        <w:t xml:space="preserve"> lamivudine</w:t>
      </w:r>
      <w:r w:rsidR="001944E8" w:rsidRPr="00A64FF0">
        <w:rPr>
          <w:rFonts w:ascii="Book Antiqua" w:hAnsi="Book Antiqua" w:cs="AdvGulliv-R"/>
          <w:sz w:val="24"/>
          <w:szCs w:val="24"/>
          <w:vertAlign w:val="superscript"/>
          <w:lang w:val="en-US"/>
        </w:rPr>
        <w:t>[</w:t>
      </w:r>
      <w:r w:rsidRPr="00A64FF0">
        <w:rPr>
          <w:rFonts w:ascii="Book Antiqua" w:hAnsi="Book Antiqua" w:cs="Book Antiqua"/>
          <w:sz w:val="24"/>
          <w:szCs w:val="24"/>
          <w:vertAlign w:val="superscript"/>
          <w:lang w:val="en-US"/>
        </w:rPr>
        <w:t>64].</w:t>
      </w:r>
    </w:p>
    <w:p w:rsidR="00626926" w:rsidRPr="00A64FF0" w:rsidRDefault="00CC5C47" w:rsidP="00467AE1">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Whether or not patients who are occult carrier</w:t>
      </w:r>
      <w:r w:rsidR="002624E4" w:rsidRPr="00A64FF0">
        <w:rPr>
          <w:rFonts w:ascii="Book Antiqua" w:hAnsi="Book Antiqua" w:cs="Book Antiqua"/>
          <w:sz w:val="24"/>
          <w:szCs w:val="24"/>
          <w:lang w:val="en-US"/>
        </w:rPr>
        <w:t>s</w:t>
      </w:r>
      <w:r w:rsidRPr="00A64FF0">
        <w:rPr>
          <w:rFonts w:ascii="Book Antiqua" w:hAnsi="Book Antiqua" w:cs="Book Antiqua"/>
          <w:sz w:val="24"/>
          <w:szCs w:val="24"/>
          <w:lang w:val="en-US"/>
        </w:rPr>
        <w:t xml:space="preserve"> or with rHBV infection should receive</w:t>
      </w:r>
      <w:r w:rsidR="00CD1521"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antiviral prophylaxis is a debatable issue</w:t>
      </w:r>
      <w:r w:rsidR="001944E8" w:rsidRPr="00A64FF0">
        <w:rPr>
          <w:rFonts w:ascii="Book Antiqua" w:hAnsi="Book Antiqua" w:cs="Book Antiqua"/>
          <w:sz w:val="24"/>
          <w:szCs w:val="24"/>
          <w:vertAlign w:val="superscript"/>
          <w:lang w:val="en-US"/>
        </w:rPr>
        <w:t>[10,</w:t>
      </w:r>
      <w:r w:rsidRPr="00A64FF0">
        <w:rPr>
          <w:rFonts w:ascii="Book Antiqua" w:hAnsi="Book Antiqua" w:cs="Book Antiqua"/>
          <w:sz w:val="24"/>
          <w:szCs w:val="24"/>
          <w:vertAlign w:val="superscript"/>
          <w:lang w:val="en-US"/>
        </w:rPr>
        <w:t>38-40,64]</w:t>
      </w:r>
      <w:r w:rsidRPr="00A64FF0">
        <w:rPr>
          <w:rFonts w:ascii="Book Antiqua" w:hAnsi="Book Antiqua" w:cs="Book Antiqua"/>
          <w:sz w:val="24"/>
          <w:szCs w:val="24"/>
          <w:lang w:val="en-US"/>
        </w:rPr>
        <w:t>.</w:t>
      </w:r>
      <w:r w:rsidR="00CD1521"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The recent AGA guidelines suggest administer</w:t>
      </w:r>
      <w:r w:rsidR="002624E4" w:rsidRPr="00A64FF0">
        <w:rPr>
          <w:rFonts w:ascii="Book Antiqua" w:hAnsi="Book Antiqua" w:cs="Book Antiqua"/>
          <w:sz w:val="24"/>
          <w:szCs w:val="24"/>
          <w:lang w:val="en-US"/>
        </w:rPr>
        <w:t>ing</w:t>
      </w:r>
      <w:r w:rsidRPr="00A64FF0">
        <w:rPr>
          <w:rFonts w:ascii="Book Antiqua" w:hAnsi="Book Antiqua" w:cs="Book Antiqua"/>
          <w:sz w:val="24"/>
          <w:szCs w:val="24"/>
          <w:lang w:val="en-US"/>
        </w:rPr>
        <w:t xml:space="preserve"> antiviral prophylaxis also in</w:t>
      </w:r>
      <w:r w:rsidR="00CD1521"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patients who are HbsAg-negative/</w:t>
      </w:r>
      <w:r w:rsidR="002624E4" w:rsidRPr="00A64FF0">
        <w:rPr>
          <w:rFonts w:ascii="Book Antiqua" w:hAnsi="Book Antiqua" w:cs="Book Antiqua"/>
          <w:sz w:val="24"/>
          <w:szCs w:val="24"/>
          <w:lang w:val="en-US"/>
        </w:rPr>
        <w:t>anti-HBc positive</w:t>
      </w:r>
      <w:r w:rsidR="00CD1521" w:rsidRPr="00A64FF0">
        <w:rPr>
          <w:rFonts w:ascii="Book Antiqua" w:hAnsi="Book Antiqua" w:cs="Book Antiqua"/>
          <w:sz w:val="24"/>
          <w:szCs w:val="24"/>
          <w:lang w:val="en-US"/>
        </w:rPr>
        <w:t xml:space="preserve"> </w:t>
      </w:r>
      <w:r w:rsidR="002624E4" w:rsidRPr="00A64FF0">
        <w:rPr>
          <w:rFonts w:ascii="Book Antiqua" w:hAnsi="Book Antiqua" w:cs="Book Antiqua"/>
          <w:sz w:val="24"/>
          <w:szCs w:val="24"/>
          <w:lang w:val="en-US"/>
        </w:rPr>
        <w:t>(</w:t>
      </w:r>
      <w:r w:rsidRPr="00A64FF0">
        <w:rPr>
          <w:rFonts w:ascii="Book Antiqua" w:hAnsi="Book Antiqua" w:cs="Book Antiqua"/>
          <w:sz w:val="24"/>
          <w:szCs w:val="24"/>
          <w:lang w:val="en-US"/>
        </w:rPr>
        <w:t>whether or not anti-HBs positive) treated with either TNFis or UTK</w:t>
      </w:r>
      <w:r w:rsidR="001944E8" w:rsidRPr="00A64FF0">
        <w:rPr>
          <w:rFonts w:ascii="Book Antiqua" w:hAnsi="Book Antiqua" w:cs="Book Antiqua"/>
          <w:sz w:val="24"/>
          <w:szCs w:val="24"/>
          <w:vertAlign w:val="superscript"/>
          <w:lang w:val="en-US"/>
        </w:rPr>
        <w:t>[</w:t>
      </w:r>
      <w:r w:rsidRPr="00A64FF0">
        <w:rPr>
          <w:rFonts w:ascii="Book Antiqua" w:hAnsi="Book Antiqua" w:cs="Book Antiqua"/>
          <w:sz w:val="24"/>
          <w:szCs w:val="24"/>
          <w:vertAlign w:val="superscript"/>
          <w:lang w:val="en-US"/>
        </w:rPr>
        <w:t>64]</w:t>
      </w:r>
      <w:r w:rsidRPr="00A64FF0">
        <w:rPr>
          <w:rFonts w:ascii="Book Antiqua" w:hAnsi="Book Antiqua" w:cs="Book Antiqua"/>
          <w:sz w:val="24"/>
          <w:szCs w:val="24"/>
          <w:lang w:val="en-US"/>
        </w:rPr>
        <w:t>. However</w:t>
      </w:r>
      <w:r w:rsidR="002624E4"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in the context of PsO treatment with bDMARDs</w:t>
      </w:r>
      <w:r w:rsidR="002624E4" w:rsidRPr="00A64FF0">
        <w:rPr>
          <w:rFonts w:ascii="Book Antiqua" w:hAnsi="Book Antiqua" w:cs="Book Antiqua"/>
          <w:sz w:val="24"/>
          <w:szCs w:val="24"/>
          <w:lang w:val="en-US"/>
        </w:rPr>
        <w:t xml:space="preserve"> patients do not</w:t>
      </w:r>
      <w:r w:rsidR="00CD1521"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seem</w:t>
      </w:r>
      <w:r w:rsidR="00CD1521"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to</w:t>
      </w:r>
      <w:r w:rsidR="00CD1521" w:rsidRPr="00A64FF0">
        <w:rPr>
          <w:rFonts w:ascii="Book Antiqua" w:hAnsi="Book Antiqua" w:cs="Book Antiqua"/>
          <w:sz w:val="24"/>
          <w:szCs w:val="24"/>
          <w:lang w:val="en-US"/>
        </w:rPr>
        <w:t xml:space="preserve"> </w:t>
      </w:r>
      <w:r w:rsidR="00F23690" w:rsidRPr="00A64FF0">
        <w:rPr>
          <w:rFonts w:ascii="Book Antiqua" w:hAnsi="Book Antiqua" w:cs="Book Antiqua"/>
          <w:sz w:val="24"/>
          <w:szCs w:val="24"/>
          <w:lang w:val="en-US"/>
        </w:rPr>
        <w:t xml:space="preserve">carry a concrete </w:t>
      </w:r>
      <w:r w:rsidR="002624E4" w:rsidRPr="00A64FF0">
        <w:rPr>
          <w:rFonts w:ascii="Book Antiqua" w:hAnsi="Book Antiqua" w:cs="Book Antiqua"/>
          <w:sz w:val="24"/>
          <w:szCs w:val="24"/>
          <w:lang w:val="en-US"/>
        </w:rPr>
        <w:t xml:space="preserve">risk </w:t>
      </w:r>
      <w:r w:rsidR="00D543A9" w:rsidRPr="00A64FF0">
        <w:rPr>
          <w:rFonts w:ascii="Book Antiqua" w:hAnsi="Book Antiqua" w:cs="Book Antiqua"/>
          <w:sz w:val="24"/>
          <w:szCs w:val="24"/>
          <w:lang w:val="en-US"/>
        </w:rPr>
        <w:t>of</w:t>
      </w:r>
      <w:r w:rsidRPr="00A64FF0">
        <w:rPr>
          <w:rFonts w:ascii="Book Antiqua" w:hAnsi="Book Antiqua" w:cs="Book Antiqua"/>
          <w:sz w:val="24"/>
          <w:szCs w:val="24"/>
          <w:lang w:val="en-US"/>
        </w:rPr>
        <w:t xml:space="preserve"> HBV reactivation. Therefore</w:t>
      </w:r>
      <w:r w:rsidR="00E81D29"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in the above mention</w:t>
      </w:r>
      <w:r w:rsidR="00E81D29" w:rsidRPr="00A64FF0">
        <w:rPr>
          <w:rFonts w:ascii="Book Antiqua" w:hAnsi="Book Antiqua" w:cs="Book Antiqua"/>
          <w:sz w:val="24"/>
          <w:szCs w:val="24"/>
          <w:lang w:val="en-US"/>
        </w:rPr>
        <w:t>ed category of patients</w:t>
      </w:r>
      <w:r w:rsidR="00CD1521"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 xml:space="preserve">prophylaxis against HBV reactivation is </w:t>
      </w:r>
      <w:r w:rsidR="00E81D29" w:rsidRPr="00A64FF0">
        <w:rPr>
          <w:rFonts w:ascii="Book Antiqua" w:hAnsi="Book Antiqua" w:cs="Book Antiqua"/>
          <w:sz w:val="24"/>
          <w:szCs w:val="24"/>
          <w:lang w:val="en-US"/>
        </w:rPr>
        <w:t xml:space="preserve">probably </w:t>
      </w:r>
      <w:r w:rsidRPr="00A64FF0">
        <w:rPr>
          <w:rFonts w:ascii="Book Antiqua" w:hAnsi="Book Antiqua" w:cs="Book Antiqua"/>
          <w:sz w:val="24"/>
          <w:szCs w:val="24"/>
          <w:lang w:val="en-US"/>
        </w:rPr>
        <w:t>not necessary</w:t>
      </w:r>
      <w:r w:rsidR="001944E8" w:rsidRPr="00A64FF0">
        <w:rPr>
          <w:rFonts w:ascii="Book Antiqua" w:hAnsi="Book Antiqua" w:cs="Book Antiqua"/>
          <w:sz w:val="24"/>
          <w:szCs w:val="24"/>
          <w:vertAlign w:val="superscript"/>
          <w:lang w:val="en-US"/>
        </w:rPr>
        <w:t>[10,</w:t>
      </w:r>
      <w:r w:rsidRPr="00A64FF0">
        <w:rPr>
          <w:rFonts w:ascii="Book Antiqua" w:hAnsi="Book Antiqua" w:cs="Book Antiqua"/>
          <w:sz w:val="24"/>
          <w:szCs w:val="24"/>
          <w:vertAlign w:val="superscript"/>
          <w:lang w:val="en-US"/>
        </w:rPr>
        <w:t>44]</w:t>
      </w:r>
      <w:r w:rsidRPr="00A64FF0">
        <w:rPr>
          <w:rFonts w:ascii="Book Antiqua" w:hAnsi="Book Antiqua" w:cs="Book Antiqua"/>
          <w:sz w:val="24"/>
          <w:szCs w:val="24"/>
          <w:lang w:val="en-US"/>
        </w:rPr>
        <w:t>.</w:t>
      </w:r>
    </w:p>
    <w:p w:rsidR="00626926" w:rsidRPr="00A64FF0" w:rsidRDefault="00626926" w:rsidP="00467AE1">
      <w:pPr>
        <w:autoSpaceDE w:val="0"/>
        <w:autoSpaceDN w:val="0"/>
        <w:adjustRightInd w:val="0"/>
        <w:snapToGrid w:val="0"/>
        <w:spacing w:after="0" w:line="360" w:lineRule="auto"/>
        <w:jc w:val="both"/>
        <w:rPr>
          <w:rFonts w:ascii="Book Antiqua" w:hAnsi="Book Antiqua" w:cs="Book Antiqua"/>
          <w:sz w:val="24"/>
          <w:szCs w:val="24"/>
          <w:lang w:val="en-US"/>
        </w:rPr>
      </w:pPr>
    </w:p>
    <w:p w:rsidR="00CC5C47" w:rsidRPr="00A64FF0" w:rsidRDefault="00CC5C47" w:rsidP="00467AE1">
      <w:pPr>
        <w:autoSpaceDE w:val="0"/>
        <w:autoSpaceDN w:val="0"/>
        <w:adjustRightInd w:val="0"/>
        <w:snapToGrid w:val="0"/>
        <w:spacing w:after="0" w:line="360" w:lineRule="auto"/>
        <w:jc w:val="both"/>
        <w:rPr>
          <w:rFonts w:ascii="Book Antiqua" w:hAnsi="Book Antiqua" w:cs="Book Antiqua"/>
          <w:caps/>
          <w:sz w:val="24"/>
          <w:szCs w:val="24"/>
          <w:lang w:val="en-US"/>
        </w:rPr>
      </w:pPr>
      <w:r w:rsidRPr="00A64FF0">
        <w:rPr>
          <w:rFonts w:ascii="Book Antiqua" w:hAnsi="Book Antiqua" w:cs="Book Antiqua"/>
          <w:b/>
          <w:bCs/>
          <w:caps/>
          <w:color w:val="000000"/>
          <w:sz w:val="24"/>
          <w:szCs w:val="24"/>
          <w:lang w:val="en-US"/>
        </w:rPr>
        <w:lastRenderedPageBreak/>
        <w:t>Monitoring</w:t>
      </w:r>
      <w:r w:rsidR="008D39C7" w:rsidRPr="00A64FF0">
        <w:rPr>
          <w:rFonts w:ascii="Book Antiqua" w:hAnsi="Book Antiqua" w:cs="Book Antiqua"/>
          <w:b/>
          <w:bCs/>
          <w:caps/>
          <w:color w:val="000000"/>
          <w:sz w:val="24"/>
          <w:szCs w:val="24"/>
          <w:lang w:val="en-US"/>
        </w:rPr>
        <w:t xml:space="preserve"> </w:t>
      </w:r>
      <w:r w:rsidRPr="00A64FF0">
        <w:rPr>
          <w:rFonts w:ascii="Book Antiqua" w:hAnsi="Book Antiqua" w:cs="Book Antiqua"/>
          <w:b/>
          <w:bCs/>
          <w:caps/>
          <w:color w:val="000000"/>
          <w:sz w:val="24"/>
          <w:szCs w:val="24"/>
          <w:lang w:val="en-US"/>
        </w:rPr>
        <w:t>HBV reactivation</w:t>
      </w:r>
    </w:p>
    <w:p w:rsidR="00CC5C47" w:rsidRPr="00A64FF0" w:rsidRDefault="00E81D29" w:rsidP="00467AE1">
      <w:pPr>
        <w:adjustRightInd w:val="0"/>
        <w:snapToGrid w:val="0"/>
        <w:spacing w:after="0" w:line="360" w:lineRule="auto"/>
        <w:jc w:val="both"/>
        <w:rPr>
          <w:rFonts w:ascii="Book Antiqua" w:hAnsi="Book Antiqua" w:cs="Book Antiqua"/>
          <w:sz w:val="24"/>
          <w:szCs w:val="24"/>
          <w:lang w:val="en-US"/>
        </w:rPr>
      </w:pPr>
      <w:r w:rsidRPr="00A64FF0">
        <w:rPr>
          <w:rFonts w:ascii="Book Antiqua" w:hAnsi="Book Antiqua" w:cs="Book Antiqua"/>
          <w:sz w:val="24"/>
          <w:szCs w:val="24"/>
          <w:lang w:val="en-US"/>
        </w:rPr>
        <w:t xml:space="preserve">Regarding </w:t>
      </w:r>
      <w:r w:rsidR="00CC5C47" w:rsidRPr="00A64FF0">
        <w:rPr>
          <w:rFonts w:ascii="Book Antiqua" w:hAnsi="Book Antiqua" w:cs="Book Antiqua"/>
          <w:sz w:val="24"/>
          <w:szCs w:val="24"/>
          <w:lang w:val="en-US"/>
        </w:rPr>
        <w:t xml:space="preserve">patients who are </w:t>
      </w:r>
      <w:r w:rsidR="00936ED5" w:rsidRPr="00A64FF0">
        <w:rPr>
          <w:rFonts w:ascii="Book Antiqua" w:hAnsi="Book Antiqua" w:cs="Book Antiqua"/>
          <w:sz w:val="24"/>
          <w:szCs w:val="24"/>
          <w:lang w:val="en-US"/>
        </w:rPr>
        <w:t>inactive</w:t>
      </w:r>
      <w:r w:rsidR="00CC5C47" w:rsidRPr="00A64FF0">
        <w:rPr>
          <w:rFonts w:ascii="Book Antiqua" w:hAnsi="Book Antiqua" w:cs="Book Antiqua"/>
          <w:sz w:val="24"/>
          <w:szCs w:val="24"/>
          <w:lang w:val="en-US"/>
        </w:rPr>
        <w:t xml:space="preserve"> carriers, considering the risk of HBV reactivation</w:t>
      </w:r>
      <w:r w:rsidR="00B87848" w:rsidRPr="00A64FF0">
        <w:rPr>
          <w:rFonts w:ascii="Book Antiqua" w:hAnsi="Book Antiqua" w:cs="Book Antiqua"/>
          <w:sz w:val="24"/>
          <w:szCs w:val="24"/>
          <w:lang w:val="en-US"/>
        </w:rPr>
        <w:t xml:space="preserve"> during</w:t>
      </w:r>
      <w:r w:rsidR="00CC5C47" w:rsidRPr="00A64FF0">
        <w:rPr>
          <w:rFonts w:ascii="Book Antiqua" w:hAnsi="Book Antiqua" w:cs="Book Antiqua"/>
          <w:sz w:val="24"/>
          <w:szCs w:val="24"/>
          <w:lang w:val="en-US"/>
        </w:rPr>
        <w:t xml:space="preserve"> therapy with a bDMARD, HBV DNA, ALT and AST</w:t>
      </w:r>
      <w:r w:rsidRPr="00A64FF0">
        <w:rPr>
          <w:rFonts w:ascii="Book Antiqua" w:hAnsi="Book Antiqua" w:cs="Book Antiqua"/>
          <w:sz w:val="24"/>
          <w:szCs w:val="24"/>
          <w:lang w:val="en-US"/>
        </w:rPr>
        <w:t>,</w:t>
      </w:r>
      <w:r w:rsidR="008D39C7"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serum levels should be monitored monthl</w:t>
      </w:r>
      <w:r w:rsidRPr="00A64FF0">
        <w:rPr>
          <w:rFonts w:ascii="Book Antiqua" w:hAnsi="Book Antiqua" w:cs="Book Antiqua"/>
          <w:sz w:val="24"/>
          <w:szCs w:val="24"/>
          <w:lang w:val="en-US"/>
        </w:rPr>
        <w:t>y for the first 3 mo</w:t>
      </w:r>
      <w:r w:rsidR="00CC5C47" w:rsidRPr="00A64FF0">
        <w:rPr>
          <w:rFonts w:ascii="Book Antiqua" w:hAnsi="Book Antiqua" w:cs="Book Antiqua"/>
          <w:sz w:val="24"/>
          <w:szCs w:val="24"/>
          <w:lang w:val="en-US"/>
        </w:rPr>
        <w:t>, then quarterly and</w:t>
      </w:r>
      <w:r w:rsidR="008D39C7"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continued after 6-12 mo of discontinuation of the</w:t>
      </w:r>
      <w:r w:rsidR="00576DA9" w:rsidRPr="00A64FF0">
        <w:rPr>
          <w:rFonts w:ascii="Book Antiqua" w:hAnsi="Book Antiqua" w:cs="Book Antiqua"/>
          <w:sz w:val="24"/>
          <w:szCs w:val="24"/>
          <w:lang w:val="en-US"/>
        </w:rPr>
        <w:t xml:space="preserve"> aforementioned treatment</w:t>
      </w:r>
      <w:r w:rsidR="001944E8" w:rsidRPr="00A64FF0">
        <w:rPr>
          <w:rFonts w:ascii="Book Antiqua" w:hAnsi="Book Antiqua" w:cs="Book Antiqua"/>
          <w:sz w:val="24"/>
          <w:szCs w:val="24"/>
          <w:vertAlign w:val="superscript"/>
          <w:lang w:val="en-US"/>
        </w:rPr>
        <w:t>[10,</w:t>
      </w:r>
      <w:r w:rsidR="00CC5C47" w:rsidRPr="00A64FF0">
        <w:rPr>
          <w:rFonts w:ascii="Book Antiqua" w:hAnsi="Book Antiqua" w:cs="Book Antiqua"/>
          <w:sz w:val="24"/>
          <w:szCs w:val="24"/>
          <w:vertAlign w:val="superscript"/>
          <w:lang w:val="en-US"/>
        </w:rPr>
        <w:t>44]</w:t>
      </w:r>
      <w:r w:rsidR="00CC5C47" w:rsidRPr="00A64FF0">
        <w:rPr>
          <w:rFonts w:ascii="Book Antiqua" w:hAnsi="Book Antiqua" w:cs="Book Antiqua"/>
          <w:sz w:val="24"/>
          <w:szCs w:val="24"/>
          <w:lang w:val="en-US"/>
        </w:rPr>
        <w:t>.</w:t>
      </w:r>
      <w:r w:rsidR="008D39C7"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Mo</w:t>
      </w:r>
      <w:r w:rsidRPr="00A64FF0">
        <w:rPr>
          <w:rFonts w:ascii="Book Antiqua" w:hAnsi="Book Antiqua" w:cs="Book Antiqua"/>
          <w:sz w:val="24"/>
          <w:szCs w:val="24"/>
          <w:lang w:val="en-US"/>
        </w:rPr>
        <w:t>re controversial is</w:t>
      </w:r>
      <w:r w:rsidR="008D39C7"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 xml:space="preserve">whether or not to measure HBV DNA serum levels in those PsO or PsA patients who are </w:t>
      </w:r>
      <w:r w:rsidR="0050292F" w:rsidRPr="00A64FF0">
        <w:rPr>
          <w:rFonts w:ascii="Book Antiqua" w:hAnsi="Book Antiqua" w:cs="Book Antiqua"/>
          <w:sz w:val="24"/>
          <w:szCs w:val="24"/>
          <w:lang w:val="en-US"/>
        </w:rPr>
        <w:t>occult carriers or with</w:t>
      </w:r>
      <w:r w:rsidR="008D39C7"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rHBV treated withimmunosuppressive drugs</w:t>
      </w:r>
      <w:r w:rsidR="008D39C7"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(CyA or bDMARDs)</w:t>
      </w:r>
      <w:r w:rsidR="001944E8" w:rsidRPr="00A64FF0">
        <w:rPr>
          <w:rFonts w:ascii="Book Antiqua" w:hAnsi="Book Antiqua" w:cs="Book Antiqua"/>
          <w:sz w:val="24"/>
          <w:szCs w:val="24"/>
          <w:vertAlign w:val="superscript"/>
          <w:lang w:val="en-US"/>
        </w:rPr>
        <w:t>[</w:t>
      </w:r>
      <w:r w:rsidR="00C43FF9" w:rsidRPr="00A64FF0">
        <w:rPr>
          <w:rFonts w:ascii="Book Antiqua" w:hAnsi="Book Antiqua" w:cs="Book Antiqua"/>
          <w:sz w:val="24"/>
          <w:szCs w:val="24"/>
          <w:vertAlign w:val="superscript"/>
          <w:lang w:val="en-US"/>
        </w:rPr>
        <w:t>10,</w:t>
      </w:r>
      <w:r w:rsidR="00CC5C47" w:rsidRPr="00A64FF0">
        <w:rPr>
          <w:rFonts w:ascii="Book Antiqua" w:hAnsi="Book Antiqua" w:cs="Book Antiqua"/>
          <w:sz w:val="24"/>
          <w:szCs w:val="24"/>
          <w:vertAlign w:val="superscript"/>
          <w:lang w:val="en-US"/>
        </w:rPr>
        <w:t>40,44]</w:t>
      </w:r>
      <w:r w:rsidR="00CC5C47" w:rsidRPr="00A64FF0">
        <w:rPr>
          <w:rFonts w:ascii="Book Antiqua" w:hAnsi="Book Antiqua" w:cs="Book Antiqua"/>
          <w:sz w:val="24"/>
          <w:szCs w:val="24"/>
          <w:lang w:val="en-US"/>
        </w:rPr>
        <w:t>. As already stated above</w:t>
      </w:r>
      <w:r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said</w:t>
      </w:r>
      <w:r w:rsidR="00E84F35"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patients</w:t>
      </w:r>
      <w:r w:rsidR="00E84F35"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do</w:t>
      </w:r>
      <w:r w:rsidRPr="00A64FF0">
        <w:rPr>
          <w:rFonts w:ascii="Book Antiqua" w:hAnsi="Book Antiqua" w:cs="Book Antiqua"/>
          <w:sz w:val="24"/>
          <w:szCs w:val="24"/>
          <w:lang w:val="en-US"/>
        </w:rPr>
        <w:t xml:space="preserve"> not</w:t>
      </w:r>
      <w:r w:rsidR="00E84F35"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seem to run</w:t>
      </w:r>
      <w:r w:rsidR="00CC5C47" w:rsidRPr="00A64FF0">
        <w:rPr>
          <w:rFonts w:ascii="Book Antiqua" w:hAnsi="Book Antiqua" w:cs="Book Antiqua"/>
          <w:sz w:val="24"/>
          <w:szCs w:val="24"/>
          <w:lang w:val="en-US"/>
        </w:rPr>
        <w:t xml:space="preserve"> a</w:t>
      </w:r>
      <w:r w:rsidR="00E84F35"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concrete risk of HBV reactivation. Moreover</w:t>
      </w:r>
      <w:r w:rsidRPr="00A64FF0">
        <w:rPr>
          <w:rFonts w:ascii="Book Antiqua" w:hAnsi="Book Antiqua" w:cs="Book Antiqua"/>
          <w:sz w:val="24"/>
          <w:szCs w:val="24"/>
          <w:lang w:val="en-US"/>
        </w:rPr>
        <w:t>,</w:t>
      </w:r>
      <w:r w:rsidR="00CC5C47" w:rsidRPr="00A64FF0">
        <w:rPr>
          <w:rFonts w:ascii="Book Antiqua" w:hAnsi="Book Antiqua" w:cs="Book Antiqua"/>
          <w:sz w:val="24"/>
          <w:szCs w:val="24"/>
          <w:lang w:val="en-US"/>
        </w:rPr>
        <w:t xml:space="preserve"> the measurement of viral load is an expensive test. Therefore</w:t>
      </w:r>
      <w:r w:rsidRPr="00A64FF0">
        <w:rPr>
          <w:rFonts w:ascii="Book Antiqua" w:hAnsi="Book Antiqua" w:cs="Book Antiqua"/>
          <w:sz w:val="24"/>
          <w:szCs w:val="24"/>
          <w:lang w:val="en-US"/>
        </w:rPr>
        <w:t>,</w:t>
      </w:r>
      <w:r w:rsidR="00E84F35"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occult carriers as well as</w:t>
      </w:r>
      <w:r w:rsidR="00E84F35"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patients with rHBV</w:t>
      </w:r>
      <w:r w:rsidRPr="00A64FF0">
        <w:rPr>
          <w:rFonts w:ascii="Book Antiqua" w:hAnsi="Book Antiqua" w:cs="Book Antiqua"/>
          <w:sz w:val="24"/>
          <w:szCs w:val="24"/>
          <w:lang w:val="en-US"/>
        </w:rPr>
        <w:t>,</w:t>
      </w:r>
      <w:r w:rsidR="00CC5C47" w:rsidRPr="00A64FF0">
        <w:rPr>
          <w:rFonts w:ascii="Book Antiqua" w:hAnsi="Book Antiqua" w:cs="Book Antiqua"/>
          <w:sz w:val="24"/>
          <w:szCs w:val="24"/>
          <w:lang w:val="en-US"/>
        </w:rPr>
        <w:t xml:space="preserve"> can be monitored every 3 mo</w:t>
      </w:r>
      <w:r w:rsidRPr="00A64FF0">
        <w:rPr>
          <w:rFonts w:ascii="Book Antiqua" w:hAnsi="Book Antiqua" w:cs="Book Antiqua"/>
          <w:sz w:val="24"/>
          <w:szCs w:val="24"/>
          <w:lang w:val="en-US"/>
        </w:rPr>
        <w:t>, checking for the presence</w:t>
      </w:r>
      <w:r w:rsidR="00CC5C47" w:rsidRPr="00A64FF0">
        <w:rPr>
          <w:rFonts w:ascii="Book Antiqua" w:hAnsi="Book Antiqua" w:cs="Book Antiqua"/>
          <w:sz w:val="24"/>
          <w:szCs w:val="24"/>
          <w:lang w:val="en-US"/>
        </w:rPr>
        <w:t xml:space="preserve"> in the serum of HBsAg in conjunction with </w:t>
      </w:r>
      <w:r w:rsidR="00AB6DCC" w:rsidRPr="00A64FF0">
        <w:rPr>
          <w:rFonts w:ascii="Book Antiqua" w:hAnsi="Book Antiqua" w:cs="Book Antiqua"/>
          <w:sz w:val="24"/>
          <w:szCs w:val="24"/>
          <w:lang w:val="en-US"/>
        </w:rPr>
        <w:t xml:space="preserve">the measurement of </w:t>
      </w:r>
      <w:r w:rsidR="00CC5C47" w:rsidRPr="00A64FF0">
        <w:rPr>
          <w:rFonts w:ascii="Book Antiqua" w:hAnsi="Book Antiqua" w:cs="Book Antiqua"/>
          <w:sz w:val="24"/>
          <w:szCs w:val="24"/>
          <w:lang w:val="en-US"/>
        </w:rPr>
        <w:t>ALT and AST levels</w:t>
      </w:r>
      <w:r w:rsidR="001944E8" w:rsidRPr="00A64FF0">
        <w:rPr>
          <w:rFonts w:ascii="Book Antiqua" w:hAnsi="Book Antiqua" w:cs="Book Antiqua"/>
          <w:sz w:val="24"/>
          <w:szCs w:val="24"/>
          <w:vertAlign w:val="superscript"/>
          <w:lang w:val="en-US"/>
        </w:rPr>
        <w:t>[10,</w:t>
      </w:r>
      <w:r w:rsidR="00CC5C47" w:rsidRPr="00A64FF0">
        <w:rPr>
          <w:rFonts w:ascii="Book Antiqua" w:hAnsi="Book Antiqua" w:cs="Book Antiqua"/>
          <w:sz w:val="24"/>
          <w:szCs w:val="24"/>
          <w:vertAlign w:val="superscript"/>
          <w:lang w:val="en-US"/>
        </w:rPr>
        <w:t>44]</w:t>
      </w:r>
      <w:r w:rsidR="0050292F" w:rsidRPr="00A64FF0">
        <w:rPr>
          <w:rFonts w:ascii="Book Antiqua" w:hAnsi="Book Antiqua" w:cs="Book Antiqua"/>
          <w:sz w:val="24"/>
          <w:szCs w:val="24"/>
          <w:lang w:val="en-US"/>
        </w:rPr>
        <w:t>.</w:t>
      </w:r>
      <w:r w:rsidR="00CC5C47" w:rsidRPr="00A64FF0">
        <w:rPr>
          <w:rFonts w:ascii="Book Antiqua" w:hAnsi="Book Antiqua" w:cs="Book Antiqua"/>
          <w:sz w:val="24"/>
          <w:szCs w:val="24"/>
          <w:lang w:val="en-US"/>
        </w:rPr>
        <w:t xml:space="preserve"> Monitoring should be continued with the same above cited timing after 6-12 mo from the discontinuation of the immunosuppressive therapy.</w:t>
      </w:r>
    </w:p>
    <w:p w:rsidR="00CC5C47" w:rsidRPr="00A64FF0" w:rsidRDefault="00CC5C47" w:rsidP="00467AE1">
      <w:pPr>
        <w:adjustRightInd w:val="0"/>
        <w:snapToGrid w:val="0"/>
        <w:spacing w:after="0" w:line="360" w:lineRule="auto"/>
        <w:jc w:val="both"/>
        <w:rPr>
          <w:rStyle w:val="Emphasis"/>
          <w:rFonts w:ascii="Book Antiqua" w:hAnsi="Book Antiqua" w:cs="Book Antiqua"/>
          <w:b/>
          <w:bCs/>
          <w:i w:val="0"/>
          <w:iCs w:val="0"/>
          <w:sz w:val="24"/>
          <w:szCs w:val="24"/>
          <w:lang w:val="en-US"/>
        </w:rPr>
      </w:pPr>
    </w:p>
    <w:p w:rsidR="00CC5C47" w:rsidRPr="00A64FF0" w:rsidRDefault="00CC5C47" w:rsidP="00467AE1">
      <w:pPr>
        <w:adjustRightInd w:val="0"/>
        <w:snapToGrid w:val="0"/>
        <w:spacing w:after="0" w:line="360" w:lineRule="auto"/>
        <w:jc w:val="both"/>
        <w:rPr>
          <w:rStyle w:val="Emphasis"/>
          <w:rFonts w:ascii="Book Antiqua" w:hAnsi="Book Antiqua" w:cs="Book Antiqua"/>
          <w:b/>
          <w:bCs/>
          <w:i w:val="0"/>
          <w:iCs w:val="0"/>
          <w:caps/>
          <w:sz w:val="24"/>
          <w:szCs w:val="24"/>
          <w:lang w:val="en-US" w:eastAsia="zh-CN"/>
        </w:rPr>
      </w:pPr>
      <w:r w:rsidRPr="00A64FF0">
        <w:rPr>
          <w:rStyle w:val="Emphasis"/>
          <w:rFonts w:ascii="Book Antiqua" w:hAnsi="Book Antiqua" w:cs="Book Antiqua"/>
          <w:b/>
          <w:bCs/>
          <w:i w:val="0"/>
          <w:iCs w:val="0"/>
          <w:caps/>
          <w:sz w:val="24"/>
          <w:szCs w:val="24"/>
          <w:lang w:val="en-US"/>
        </w:rPr>
        <w:t>Monitoring and management of PsO patients treated withcDMARDS or bDMARD</w:t>
      </w:r>
      <w:r w:rsidR="00C43FF9" w:rsidRPr="00A64FF0">
        <w:rPr>
          <w:rStyle w:val="Emphasis"/>
          <w:rFonts w:ascii="Book Antiqua" w:hAnsi="Book Antiqua" w:cs="Book Antiqua"/>
          <w:b/>
          <w:bCs/>
          <w:i w:val="0"/>
          <w:iCs w:val="0"/>
          <w:caps/>
          <w:sz w:val="24"/>
          <w:szCs w:val="24"/>
          <w:lang w:val="en-US"/>
        </w:rPr>
        <w:t>s and concomitant HCV infection</w:t>
      </w:r>
    </w:p>
    <w:p w:rsidR="00CC5C47"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After acute HCV infection occurs</w:t>
      </w:r>
      <w:r w:rsidR="00E81D29"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from 15</w:t>
      </w:r>
      <w:r w:rsidR="00E81D29"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to 25% of subjects spontaneously clear viremia while 75% to 85%</w:t>
      </w:r>
      <w:r w:rsidR="006F24AA" w:rsidRPr="00A64FF0">
        <w:rPr>
          <w:rStyle w:val="Emphasis"/>
          <w:rFonts w:ascii="Book Antiqua" w:hAnsi="Book Antiqua" w:cs="Book Antiqua"/>
          <w:i w:val="0"/>
          <w:iCs w:val="0"/>
          <w:sz w:val="24"/>
          <w:szCs w:val="24"/>
          <w:lang w:val="en-US"/>
        </w:rPr>
        <w:t xml:space="preserve"> of</w:t>
      </w:r>
      <w:r w:rsidRPr="00A64FF0">
        <w:rPr>
          <w:rStyle w:val="Emphasis"/>
          <w:rFonts w:ascii="Book Antiqua" w:hAnsi="Book Antiqua" w:cs="Book Antiqua"/>
          <w:i w:val="0"/>
          <w:iCs w:val="0"/>
          <w:sz w:val="24"/>
          <w:szCs w:val="24"/>
          <w:lang w:val="en-US"/>
        </w:rPr>
        <w:t xml:space="preserve"> individuals develop chronic HCV infection</w:t>
      </w:r>
      <w:r w:rsidR="001944E8" w:rsidRPr="00A64FF0">
        <w:rPr>
          <w:rStyle w:val="Emphasis"/>
          <w:rFonts w:ascii="Book Antiqua" w:hAnsi="Book Antiqua" w:cs="Book Antiqua"/>
          <w:i w:val="0"/>
          <w:iCs w:val="0"/>
          <w:sz w:val="24"/>
          <w:szCs w:val="24"/>
          <w:vertAlign w:val="superscript"/>
          <w:lang w:val="en-US"/>
        </w:rPr>
        <w:t>[</w:t>
      </w:r>
      <w:r w:rsidR="00D16E7A" w:rsidRPr="00A64FF0">
        <w:rPr>
          <w:rStyle w:val="Emphasis"/>
          <w:rFonts w:ascii="Book Antiqua" w:hAnsi="Book Antiqua" w:cs="Book Antiqua"/>
          <w:i w:val="0"/>
          <w:iCs w:val="0"/>
          <w:sz w:val="24"/>
          <w:szCs w:val="24"/>
          <w:vertAlign w:val="superscript"/>
          <w:lang w:val="en-US"/>
        </w:rPr>
        <w:t>65]</w:t>
      </w:r>
      <w:r w:rsidRPr="00A64FF0">
        <w:rPr>
          <w:rStyle w:val="Emphasis"/>
          <w:rFonts w:ascii="Book Antiqua" w:hAnsi="Book Antiqua" w:cs="Book Antiqua"/>
          <w:i w:val="0"/>
          <w:iCs w:val="0"/>
          <w:sz w:val="24"/>
          <w:szCs w:val="24"/>
          <w:lang w:val="en-US"/>
        </w:rPr>
        <w:t>.</w:t>
      </w:r>
      <w:r w:rsidR="00226FA2" w:rsidRPr="00A64FF0">
        <w:rPr>
          <w:rStyle w:val="Emphasis"/>
          <w:rFonts w:ascii="Book Antiqua" w:hAnsi="Book Antiqua"/>
          <w:i w:val="0"/>
          <w:sz w:val="24"/>
          <w:szCs w:val="24"/>
          <w:lang w:val="en-US"/>
        </w:rPr>
        <w:t>The diagnosis of this last condition is</w:t>
      </w:r>
      <w:r w:rsidR="00A36E23" w:rsidRPr="00A64FF0">
        <w:rPr>
          <w:rStyle w:val="Emphasis"/>
          <w:rFonts w:ascii="Book Antiqua" w:hAnsi="Book Antiqua"/>
          <w:i w:val="0"/>
          <w:sz w:val="24"/>
          <w:szCs w:val="24"/>
          <w:lang w:val="en-US"/>
        </w:rPr>
        <w:t xml:space="preserve"> </w:t>
      </w:r>
      <w:r w:rsidR="00226FA2" w:rsidRPr="00A64FF0">
        <w:rPr>
          <w:rFonts w:ascii="Book Antiqua" w:hAnsi="Book Antiqua" w:cs="AdvGulliv-R"/>
          <w:sz w:val="24"/>
          <w:szCs w:val="24"/>
          <w:lang w:val="en-US"/>
        </w:rPr>
        <w:t>based on the detection of both HCV antibodies and HCV RNA in the presence of signs of chronic hepatitis, either by elevated aminotransferases or by histology</w:t>
      </w:r>
      <w:r w:rsidR="001944E8" w:rsidRPr="00A64FF0">
        <w:rPr>
          <w:rFonts w:ascii="Book Antiqua" w:hAnsi="Book Antiqua" w:cs="AdvGulliv-R"/>
          <w:sz w:val="24"/>
          <w:szCs w:val="24"/>
          <w:vertAlign w:val="superscript"/>
          <w:lang w:val="en-US"/>
        </w:rPr>
        <w:t>[66</w:t>
      </w:r>
      <w:r w:rsidR="00226FA2" w:rsidRPr="00A64FF0">
        <w:rPr>
          <w:rFonts w:ascii="Book Antiqua" w:hAnsi="Book Antiqua" w:cs="AdvGulliv-R"/>
          <w:sz w:val="24"/>
          <w:szCs w:val="24"/>
          <w:vertAlign w:val="superscript"/>
          <w:lang w:val="en-US"/>
        </w:rPr>
        <w:t>]</w:t>
      </w:r>
      <w:r w:rsidR="00275163" w:rsidRPr="00A64FF0">
        <w:rPr>
          <w:rFonts w:ascii="Book Antiqua" w:hAnsi="Book Antiqua" w:cs="AdvGulliv-R"/>
          <w:sz w:val="24"/>
          <w:szCs w:val="24"/>
          <w:lang w:val="en-US"/>
        </w:rPr>
        <w:t>.</w:t>
      </w:r>
      <w:r w:rsidR="002E2352" w:rsidRPr="00A64FF0">
        <w:rPr>
          <w:rFonts w:ascii="Book Antiqua" w:hAnsi="Book Antiqua" w:cs="AdvGulliv-R"/>
          <w:sz w:val="24"/>
          <w:szCs w:val="24"/>
          <w:lang w:val="en-US"/>
        </w:rPr>
        <w:t xml:space="preserve"> </w:t>
      </w:r>
      <w:r w:rsidRPr="00A64FF0">
        <w:rPr>
          <w:rStyle w:val="Emphasis"/>
          <w:rFonts w:ascii="Book Antiqua" w:hAnsi="Book Antiqua" w:cs="Book Antiqua"/>
          <w:i w:val="0"/>
          <w:iCs w:val="0"/>
          <w:sz w:val="24"/>
          <w:szCs w:val="24"/>
          <w:lang w:val="en-US"/>
        </w:rPr>
        <w:t>For the majority of patients the course of chronic HCV infections is benign. However</w:t>
      </w:r>
      <w:r w:rsidR="00E81D29" w:rsidRPr="00A64FF0">
        <w:rPr>
          <w:rStyle w:val="Emphasis"/>
          <w:rFonts w:ascii="Book Antiqua" w:hAnsi="Book Antiqua" w:cs="Book Antiqua"/>
          <w:i w:val="0"/>
          <w:iCs w:val="0"/>
          <w:sz w:val="24"/>
          <w:szCs w:val="24"/>
          <w:lang w:val="en-US"/>
        </w:rPr>
        <w:t>,</w:t>
      </w:r>
      <w:r w:rsidR="002E2352"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 xml:space="preserve">from 10% to 20% </w:t>
      </w:r>
      <w:r w:rsidR="006F24AA" w:rsidRPr="00A64FF0">
        <w:rPr>
          <w:rStyle w:val="Emphasis"/>
          <w:rFonts w:ascii="Book Antiqua" w:hAnsi="Book Antiqua" w:cs="Book Antiqua"/>
          <w:i w:val="0"/>
          <w:iCs w:val="0"/>
          <w:sz w:val="24"/>
          <w:szCs w:val="24"/>
          <w:lang w:val="en-US"/>
        </w:rPr>
        <w:t xml:space="preserve">of </w:t>
      </w:r>
      <w:r w:rsidRPr="00A64FF0">
        <w:rPr>
          <w:rStyle w:val="Emphasis"/>
          <w:rFonts w:ascii="Book Antiqua" w:hAnsi="Book Antiqua" w:cs="Book Antiqua"/>
          <w:i w:val="0"/>
          <w:iCs w:val="0"/>
          <w:sz w:val="24"/>
          <w:szCs w:val="24"/>
          <w:lang w:val="en-US"/>
        </w:rPr>
        <w:t xml:space="preserve">subjects develop cirrhosis, generally </w:t>
      </w:r>
      <w:r w:rsidR="00E81D29" w:rsidRPr="00A64FF0">
        <w:rPr>
          <w:rStyle w:val="Emphasis"/>
          <w:rFonts w:ascii="Book Antiqua" w:hAnsi="Book Antiqua" w:cs="Book Antiqua"/>
          <w:i w:val="0"/>
          <w:iCs w:val="0"/>
          <w:sz w:val="24"/>
          <w:szCs w:val="24"/>
          <w:lang w:val="en-US"/>
        </w:rPr>
        <w:t xml:space="preserve">in a time gap from </w:t>
      </w:r>
      <w:r w:rsidR="00E0082E" w:rsidRPr="00A64FF0">
        <w:rPr>
          <w:rStyle w:val="Emphasis"/>
          <w:rFonts w:ascii="Book Antiqua" w:hAnsi="Book Antiqua" w:cs="Book Antiqua"/>
          <w:i w:val="0"/>
          <w:iCs w:val="0"/>
          <w:sz w:val="24"/>
          <w:szCs w:val="24"/>
          <w:lang w:val="en-US"/>
        </w:rPr>
        <w:t>20 to 30 years</w:t>
      </w:r>
      <w:r w:rsidR="001944E8" w:rsidRPr="00A64FF0">
        <w:rPr>
          <w:rStyle w:val="Emphasis"/>
          <w:rFonts w:ascii="Book Antiqua" w:hAnsi="Book Antiqua" w:cs="Book Antiqua"/>
          <w:i w:val="0"/>
          <w:iCs w:val="0"/>
          <w:sz w:val="24"/>
          <w:szCs w:val="24"/>
          <w:vertAlign w:val="superscript"/>
          <w:lang w:val="en-US"/>
        </w:rPr>
        <w:t>[</w:t>
      </w:r>
      <w:r w:rsidR="00E0082E" w:rsidRPr="00A64FF0">
        <w:rPr>
          <w:rStyle w:val="Emphasis"/>
          <w:rFonts w:ascii="Book Antiqua" w:hAnsi="Book Antiqua" w:cs="Book Antiqua"/>
          <w:i w:val="0"/>
          <w:iCs w:val="0"/>
          <w:sz w:val="24"/>
          <w:szCs w:val="24"/>
          <w:vertAlign w:val="superscript"/>
          <w:lang w:val="en-US"/>
        </w:rPr>
        <w:t>65]</w:t>
      </w:r>
      <w:r w:rsidRPr="00A64FF0">
        <w:rPr>
          <w:rStyle w:val="Emphasis"/>
          <w:rFonts w:ascii="Book Antiqua" w:hAnsi="Book Antiqua" w:cs="Book Antiqua"/>
          <w:i w:val="0"/>
          <w:iCs w:val="0"/>
          <w:sz w:val="24"/>
          <w:szCs w:val="24"/>
          <w:lang w:val="en-US"/>
        </w:rPr>
        <w:t>. It has been estimated that</w:t>
      </w:r>
      <w:r w:rsidR="002E2352" w:rsidRPr="00A64FF0">
        <w:rPr>
          <w:rStyle w:val="Emphasis"/>
          <w:rFonts w:ascii="Book Antiqua" w:hAnsi="Book Antiqua" w:cs="Book Antiqua"/>
          <w:i w:val="0"/>
          <w:iCs w:val="0"/>
          <w:sz w:val="24"/>
          <w:szCs w:val="24"/>
          <w:lang w:val="en-US"/>
        </w:rPr>
        <w:t xml:space="preserve"> </w:t>
      </w:r>
      <w:r w:rsidR="006F24AA" w:rsidRPr="00A64FF0">
        <w:rPr>
          <w:rStyle w:val="Emphasis"/>
          <w:rFonts w:ascii="Book Antiqua" w:hAnsi="Book Antiqua" w:cs="Book Antiqua"/>
          <w:i w:val="0"/>
          <w:iCs w:val="0"/>
          <w:sz w:val="24"/>
          <w:szCs w:val="24"/>
          <w:lang w:val="en-US"/>
        </w:rPr>
        <w:t>each year</w:t>
      </w:r>
      <w:r w:rsidRPr="00A64FF0">
        <w:rPr>
          <w:rStyle w:val="Emphasis"/>
          <w:rFonts w:ascii="Book Antiqua" w:hAnsi="Book Antiqua" w:cs="Book Antiqua"/>
          <w:i w:val="0"/>
          <w:iCs w:val="0"/>
          <w:sz w:val="24"/>
          <w:szCs w:val="24"/>
          <w:lang w:val="en-US"/>
        </w:rPr>
        <w:t xml:space="preserve"> 1% to 4% of patients</w:t>
      </w:r>
      <w:r w:rsidR="002E2352"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with HCV related cirrhosis will develop hepatoce</w:t>
      </w:r>
      <w:r w:rsidR="006F24AA" w:rsidRPr="00A64FF0">
        <w:rPr>
          <w:rStyle w:val="Emphasis"/>
          <w:rFonts w:ascii="Book Antiqua" w:hAnsi="Book Antiqua" w:cs="Book Antiqua"/>
          <w:i w:val="0"/>
          <w:iCs w:val="0"/>
          <w:sz w:val="24"/>
          <w:szCs w:val="24"/>
          <w:lang w:val="en-US"/>
        </w:rPr>
        <w:t>llular carcinoma (HCC)</w:t>
      </w:r>
      <w:r w:rsidRPr="00A64FF0">
        <w:rPr>
          <w:rStyle w:val="Emphasis"/>
          <w:rFonts w:ascii="Book Antiqua" w:hAnsi="Book Antiqua" w:cs="Book Antiqua"/>
          <w:i w:val="0"/>
          <w:iCs w:val="0"/>
          <w:sz w:val="24"/>
          <w:szCs w:val="24"/>
          <w:lang w:val="en-US"/>
        </w:rPr>
        <w:t>, and 20% will further progress to decompensated cirrhosis</w:t>
      </w:r>
      <w:r w:rsidR="001944E8" w:rsidRPr="00A64FF0">
        <w:rPr>
          <w:rStyle w:val="Emphasis"/>
          <w:rFonts w:ascii="Book Antiqua" w:hAnsi="Book Antiqua" w:cs="Book Antiqua"/>
          <w:i w:val="0"/>
          <w:iCs w:val="0"/>
          <w:sz w:val="24"/>
          <w:szCs w:val="24"/>
          <w:vertAlign w:val="superscript"/>
          <w:lang w:val="en-US"/>
        </w:rPr>
        <w:t>[</w:t>
      </w:r>
      <w:r w:rsidR="00B058AE" w:rsidRPr="00A64FF0">
        <w:rPr>
          <w:rFonts w:ascii="Book Antiqua" w:hAnsi="Book Antiqua" w:cs="Book Antiqua"/>
          <w:sz w:val="24"/>
          <w:szCs w:val="24"/>
          <w:vertAlign w:val="superscript"/>
          <w:lang w:val="en-US"/>
        </w:rPr>
        <w:t>65]</w:t>
      </w:r>
      <w:r w:rsidRPr="00A64FF0">
        <w:rPr>
          <w:rStyle w:val="Emphasis"/>
          <w:rFonts w:ascii="Book Antiqua" w:hAnsi="Book Antiqua" w:cs="Book Antiqua"/>
          <w:i w:val="0"/>
          <w:iCs w:val="0"/>
          <w:sz w:val="24"/>
          <w:szCs w:val="24"/>
          <w:lang w:val="en-US"/>
        </w:rPr>
        <w:t xml:space="preserve">. </w:t>
      </w:r>
    </w:p>
    <w:p w:rsidR="00CC5C47" w:rsidRPr="00A64FF0" w:rsidRDefault="00CC5C47"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Style w:val="Emphasis"/>
          <w:rFonts w:ascii="Book Antiqua" w:hAnsi="Book Antiqua" w:cs="Book Antiqua"/>
          <w:i w:val="0"/>
          <w:iCs w:val="0"/>
          <w:sz w:val="24"/>
          <w:szCs w:val="24"/>
          <w:lang w:val="en-US"/>
        </w:rPr>
        <w:t>In contrast to HVB,</w:t>
      </w:r>
      <w:r w:rsidR="00ED2482"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 xml:space="preserve">HCV reactivation </w:t>
      </w:r>
      <w:r w:rsidRPr="00A64FF0">
        <w:rPr>
          <w:rFonts w:ascii="Book Antiqua" w:hAnsi="Book Antiqua" w:cs="Book Antiqua"/>
          <w:sz w:val="24"/>
          <w:szCs w:val="24"/>
          <w:lang w:val="en-US"/>
        </w:rPr>
        <w:t xml:space="preserve">is </w:t>
      </w:r>
      <w:r w:rsidR="006F24AA" w:rsidRPr="00A64FF0">
        <w:rPr>
          <w:rFonts w:ascii="Book Antiqua" w:hAnsi="Book Antiqua" w:cs="Book Antiqua"/>
          <w:sz w:val="24"/>
          <w:szCs w:val="24"/>
          <w:lang w:val="en-US"/>
        </w:rPr>
        <w:t xml:space="preserve">not very </w:t>
      </w:r>
      <w:r w:rsidRPr="00A64FF0">
        <w:rPr>
          <w:rFonts w:ascii="Book Antiqua" w:hAnsi="Book Antiqua" w:cs="Book Antiqua"/>
          <w:sz w:val="24"/>
          <w:szCs w:val="24"/>
          <w:lang w:val="en-US"/>
        </w:rPr>
        <w:t>commo</w:t>
      </w:r>
      <w:r w:rsidR="00E81D29" w:rsidRPr="00A64FF0">
        <w:rPr>
          <w:rFonts w:ascii="Book Antiqua" w:hAnsi="Book Antiqua" w:cs="Book Antiqua"/>
          <w:sz w:val="24"/>
          <w:szCs w:val="24"/>
          <w:lang w:val="en-US"/>
        </w:rPr>
        <w:t>n</w:t>
      </w:r>
      <w:r w:rsidR="001944E8" w:rsidRPr="00A64FF0">
        <w:rPr>
          <w:rFonts w:ascii="Book Antiqua" w:hAnsi="Book Antiqua" w:cs="Book Antiqua"/>
          <w:sz w:val="24"/>
          <w:szCs w:val="24"/>
          <w:vertAlign w:val="superscript"/>
          <w:lang w:val="en-US"/>
        </w:rPr>
        <w:t>[</w:t>
      </w:r>
      <w:r w:rsidR="00B058AE" w:rsidRPr="00A64FF0">
        <w:rPr>
          <w:rFonts w:ascii="Book Antiqua" w:hAnsi="Book Antiqua" w:cs="Book Antiqua"/>
          <w:sz w:val="24"/>
          <w:szCs w:val="24"/>
          <w:vertAlign w:val="superscript"/>
          <w:lang w:val="en-US"/>
        </w:rPr>
        <w:t>67]</w:t>
      </w:r>
      <w:r w:rsidRPr="00A64FF0">
        <w:rPr>
          <w:rFonts w:ascii="Book Antiqua" w:hAnsi="Book Antiqua" w:cs="Book Antiqua"/>
          <w:sz w:val="24"/>
          <w:szCs w:val="24"/>
          <w:lang w:val="en-US"/>
        </w:rPr>
        <w:t>. However</w:t>
      </w:r>
      <w:r w:rsidR="00E81D29"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when HCV reactivation occurs</w:t>
      </w:r>
      <w:r w:rsidR="00E81D29"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its morbidity and mortality rates are similar to th</w:t>
      </w:r>
      <w:r w:rsidR="00E81D29" w:rsidRPr="00A64FF0">
        <w:rPr>
          <w:rFonts w:ascii="Book Antiqua" w:hAnsi="Book Antiqua" w:cs="Book Antiqua"/>
          <w:sz w:val="24"/>
          <w:szCs w:val="24"/>
          <w:lang w:val="en-US"/>
        </w:rPr>
        <w:t>ose</w:t>
      </w:r>
      <w:r w:rsidR="00234538" w:rsidRPr="00A64FF0">
        <w:rPr>
          <w:rFonts w:ascii="Book Antiqua" w:hAnsi="Book Antiqua" w:cs="Book Antiqua"/>
          <w:sz w:val="24"/>
          <w:szCs w:val="24"/>
          <w:lang w:val="en-US"/>
        </w:rPr>
        <w:t xml:space="preserve"> of HBV reactivation</w:t>
      </w:r>
      <w:r w:rsidR="001944E8" w:rsidRPr="00A64FF0">
        <w:rPr>
          <w:rFonts w:ascii="Book Antiqua" w:hAnsi="Book Antiqua" w:cs="Book Antiqua"/>
          <w:sz w:val="24"/>
          <w:szCs w:val="24"/>
          <w:vertAlign w:val="superscript"/>
          <w:lang w:val="en-US"/>
        </w:rPr>
        <w:t>[</w:t>
      </w:r>
      <w:r w:rsidR="00234538" w:rsidRPr="00A64FF0">
        <w:rPr>
          <w:rFonts w:ascii="Book Antiqua" w:hAnsi="Book Antiqua" w:cs="Book Antiqua"/>
          <w:sz w:val="24"/>
          <w:szCs w:val="24"/>
          <w:vertAlign w:val="superscript"/>
          <w:lang w:val="en-US"/>
        </w:rPr>
        <w:t>20]</w:t>
      </w:r>
      <w:r w:rsidRPr="00A64FF0">
        <w:rPr>
          <w:rFonts w:ascii="Book Antiqua" w:hAnsi="Book Antiqua" w:cs="Book Antiqua"/>
          <w:sz w:val="24"/>
          <w:szCs w:val="24"/>
          <w:lang w:val="en-US"/>
        </w:rPr>
        <w:t>.</w:t>
      </w:r>
    </w:p>
    <w:p w:rsidR="00F96948" w:rsidRPr="00A64FF0" w:rsidRDefault="009067B9"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iCs/>
          <w:sz w:val="24"/>
          <w:szCs w:val="24"/>
          <w:lang w:val="en-US"/>
        </w:rPr>
        <w:t>Concerning the treatment of PsO patients with concomitant HCV infectio</w:t>
      </w:r>
      <w:r w:rsidR="006F24AA" w:rsidRPr="00A64FF0">
        <w:rPr>
          <w:rFonts w:ascii="Book Antiqua" w:hAnsi="Book Antiqua"/>
          <w:iCs/>
          <w:sz w:val="24"/>
          <w:szCs w:val="24"/>
          <w:lang w:val="en-US"/>
        </w:rPr>
        <w:t xml:space="preserve">n, a relatively limited number of </w:t>
      </w:r>
      <w:r w:rsidRPr="00A64FF0">
        <w:rPr>
          <w:rFonts w:ascii="Book Antiqua" w:hAnsi="Book Antiqua"/>
          <w:iCs/>
          <w:sz w:val="24"/>
          <w:szCs w:val="24"/>
          <w:lang w:val="en-US"/>
        </w:rPr>
        <w:t>data are available</w:t>
      </w:r>
      <w:r w:rsidR="00E81D29" w:rsidRPr="00A64FF0">
        <w:rPr>
          <w:rFonts w:ascii="Book Antiqua" w:hAnsi="Book Antiqua" w:cs="Book Antiqua"/>
          <w:sz w:val="24"/>
          <w:szCs w:val="24"/>
          <w:lang w:val="en-US"/>
        </w:rPr>
        <w:t>.</w:t>
      </w:r>
    </w:p>
    <w:p w:rsidR="00394297" w:rsidRPr="00A64FF0" w:rsidRDefault="00E81D29"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lastRenderedPageBreak/>
        <w:t>Among</w:t>
      </w:r>
      <w:r w:rsidR="00ED2482"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cDMARDs</w:t>
      </w:r>
      <w:r w:rsidR="00CC5C47" w:rsidRPr="00A64FF0">
        <w:rPr>
          <w:rFonts w:ascii="Book Antiqua" w:hAnsi="Book Antiqua" w:cs="Book Antiqua"/>
          <w:sz w:val="24"/>
          <w:szCs w:val="24"/>
          <w:lang w:val="en-US"/>
        </w:rPr>
        <w:t>, acitretin</w:t>
      </w:r>
      <w:r w:rsidR="00ED2482"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and CyA could be two possible options while</w:t>
      </w:r>
      <w:r w:rsidR="00ED2482"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MTX</w:t>
      </w:r>
      <w:r w:rsidR="00ED2482"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is in general contraindicated for its substantia</w:t>
      </w:r>
      <w:r w:rsidR="00F96948" w:rsidRPr="00A64FF0">
        <w:rPr>
          <w:rFonts w:ascii="Book Antiqua" w:hAnsi="Book Antiqua" w:cs="Book Antiqua"/>
          <w:sz w:val="24"/>
          <w:szCs w:val="24"/>
          <w:lang w:val="en-US"/>
        </w:rPr>
        <w:t>l risk of</w:t>
      </w:r>
      <w:r w:rsidR="00ED2482" w:rsidRPr="00A64FF0">
        <w:rPr>
          <w:rFonts w:ascii="Book Antiqua" w:hAnsi="Book Antiqua" w:cs="Book Antiqua"/>
          <w:sz w:val="24"/>
          <w:szCs w:val="24"/>
          <w:lang w:val="en-US"/>
        </w:rPr>
        <w:t xml:space="preserve"> </w:t>
      </w:r>
      <w:r w:rsidR="00F96948" w:rsidRPr="00A64FF0">
        <w:rPr>
          <w:rFonts w:ascii="Book Antiqua" w:hAnsi="Book Antiqua" w:cs="Book Antiqua"/>
          <w:sz w:val="24"/>
          <w:szCs w:val="24"/>
          <w:lang w:val="en-US"/>
        </w:rPr>
        <w:t>hepatic toxicity</w:t>
      </w:r>
      <w:r w:rsidR="001944E8" w:rsidRPr="00A64FF0">
        <w:rPr>
          <w:rFonts w:ascii="Book Antiqua" w:hAnsi="Book Antiqua" w:cs="Book Antiqua"/>
          <w:sz w:val="24"/>
          <w:szCs w:val="24"/>
          <w:vertAlign w:val="superscript"/>
          <w:lang w:val="en-US"/>
        </w:rPr>
        <w:t>[</w:t>
      </w:r>
      <w:r w:rsidR="001944E8" w:rsidRPr="00A64FF0">
        <w:rPr>
          <w:rFonts w:ascii="Book Antiqua" w:hAnsi="Book Antiqua"/>
          <w:iCs/>
          <w:sz w:val="24"/>
          <w:szCs w:val="24"/>
          <w:vertAlign w:val="superscript"/>
          <w:lang w:val="en-US"/>
        </w:rPr>
        <w:t>9,12</w:t>
      </w:r>
      <w:r w:rsidR="001944E8" w:rsidRPr="00A64FF0">
        <w:rPr>
          <w:rFonts w:ascii="Book Antiqua" w:hAnsi="Book Antiqua"/>
          <w:iCs/>
          <w:sz w:val="24"/>
          <w:szCs w:val="24"/>
          <w:vertAlign w:val="superscript"/>
          <w:lang w:val="en-US" w:eastAsia="zh-CN"/>
        </w:rPr>
        <w:t>,</w:t>
      </w:r>
      <w:r w:rsidR="001944E8" w:rsidRPr="00A64FF0">
        <w:rPr>
          <w:rFonts w:ascii="Book Antiqua" w:hAnsi="Book Antiqua"/>
          <w:iCs/>
          <w:sz w:val="24"/>
          <w:szCs w:val="24"/>
          <w:vertAlign w:val="superscript"/>
          <w:lang w:val="en-US"/>
        </w:rPr>
        <w:t>17,</w:t>
      </w:r>
      <w:r w:rsidR="00F96948" w:rsidRPr="00A64FF0">
        <w:rPr>
          <w:rFonts w:ascii="Book Antiqua" w:hAnsi="Book Antiqua"/>
          <w:iCs/>
          <w:sz w:val="24"/>
          <w:szCs w:val="24"/>
          <w:vertAlign w:val="superscript"/>
          <w:lang w:val="en-US"/>
        </w:rPr>
        <w:t>18]</w:t>
      </w:r>
      <w:r w:rsidR="00CC5C47" w:rsidRPr="00A64FF0">
        <w:rPr>
          <w:rFonts w:ascii="Book Antiqua" w:hAnsi="Book Antiqua" w:cs="Book Antiqua"/>
          <w:sz w:val="24"/>
          <w:szCs w:val="24"/>
          <w:lang w:val="en-US"/>
        </w:rPr>
        <w:t>. Among</w:t>
      </w:r>
      <w:r w:rsidR="00ED2482" w:rsidRPr="00A64FF0">
        <w:rPr>
          <w:rFonts w:ascii="Book Antiqua" w:hAnsi="Book Antiqua" w:cs="Book Antiqua"/>
          <w:sz w:val="24"/>
          <w:szCs w:val="24"/>
          <w:lang w:val="en-US"/>
        </w:rPr>
        <w:t xml:space="preserve"> bDMARDs, TNFis </w:t>
      </w:r>
      <w:r w:rsidR="00CC5C47" w:rsidRPr="00A64FF0">
        <w:rPr>
          <w:rFonts w:ascii="Book Antiqua" w:hAnsi="Book Antiqua" w:cs="Book Antiqua"/>
          <w:sz w:val="24"/>
          <w:szCs w:val="24"/>
          <w:lang w:val="en-US"/>
        </w:rPr>
        <w:t>seem</w:t>
      </w:r>
      <w:r w:rsidR="002A007B" w:rsidRPr="00A64FF0">
        <w:rPr>
          <w:rFonts w:ascii="Book Antiqua" w:hAnsi="Book Antiqua" w:cs="Book Antiqua"/>
          <w:sz w:val="24"/>
          <w:szCs w:val="24"/>
          <w:lang w:val="en-US"/>
        </w:rPr>
        <w:t>s</w:t>
      </w:r>
      <w:r w:rsidR="00CC5C47" w:rsidRPr="00A64FF0">
        <w:rPr>
          <w:rFonts w:ascii="Book Antiqua" w:hAnsi="Book Antiqua" w:cs="Book Antiqua"/>
          <w:sz w:val="24"/>
          <w:szCs w:val="24"/>
          <w:lang w:val="en-US"/>
        </w:rPr>
        <w:t xml:space="preserve"> to be a relatively safe option</w:t>
      </w:r>
      <w:r w:rsidR="00ED2482"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(see below).</w:t>
      </w:r>
    </w:p>
    <w:p w:rsidR="00CC5C47" w:rsidRPr="00A64FF0" w:rsidRDefault="00CC5C47"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Very few data are at present available concerning the management with UTK of HCV infected patie</w:t>
      </w:r>
      <w:r w:rsidR="00E81D29" w:rsidRPr="00A64FF0">
        <w:rPr>
          <w:rFonts w:ascii="Book Antiqua" w:hAnsi="Book Antiqua" w:cs="Book Antiqua"/>
          <w:sz w:val="24"/>
          <w:szCs w:val="24"/>
          <w:lang w:val="en-US"/>
        </w:rPr>
        <w:t>nts since this biologic was</w:t>
      </w:r>
      <w:r w:rsidRPr="00A64FF0">
        <w:rPr>
          <w:rFonts w:ascii="Book Antiqua" w:hAnsi="Book Antiqua" w:cs="Book Antiqua"/>
          <w:sz w:val="24"/>
          <w:szCs w:val="24"/>
          <w:lang w:val="en-US"/>
        </w:rPr>
        <w:t xml:space="preserve"> introduced on the m</w:t>
      </w:r>
      <w:r w:rsidR="00E81D29" w:rsidRPr="00A64FF0">
        <w:rPr>
          <w:rFonts w:ascii="Book Antiqua" w:hAnsi="Book Antiqua" w:cs="Book Antiqua"/>
          <w:sz w:val="24"/>
          <w:szCs w:val="24"/>
          <w:lang w:val="en-US"/>
        </w:rPr>
        <w:t>arket several years after TNFis</w:t>
      </w:r>
      <w:r w:rsidRPr="00A64FF0">
        <w:rPr>
          <w:rFonts w:ascii="Book Antiqua" w:hAnsi="Book Antiqua" w:cs="Book Antiqua"/>
          <w:sz w:val="24"/>
          <w:szCs w:val="24"/>
          <w:lang w:val="en-US"/>
        </w:rPr>
        <w:t>. Moreover</w:t>
      </w:r>
      <w:r w:rsidR="00E81D29" w:rsidRPr="00A64FF0">
        <w:rPr>
          <w:rFonts w:ascii="Book Antiqua" w:hAnsi="Book Antiqua" w:cs="Book Antiqua"/>
          <w:sz w:val="24"/>
          <w:szCs w:val="24"/>
          <w:lang w:val="en-US"/>
        </w:rPr>
        <w:t>,</w:t>
      </w:r>
      <w:r w:rsidR="002A007B" w:rsidRPr="00A64FF0">
        <w:rPr>
          <w:rFonts w:ascii="Book Antiqua" w:hAnsi="Book Antiqua" w:cs="Book Antiqua"/>
          <w:sz w:val="24"/>
          <w:szCs w:val="24"/>
          <w:lang w:val="en-US"/>
        </w:rPr>
        <w:t xml:space="preserve"> the use of UTK is </w:t>
      </w:r>
      <w:r w:rsidRPr="00A64FF0">
        <w:rPr>
          <w:rFonts w:ascii="Book Antiqua" w:hAnsi="Book Antiqua" w:cs="Book Antiqua"/>
          <w:sz w:val="24"/>
          <w:szCs w:val="24"/>
          <w:lang w:val="en-US"/>
        </w:rPr>
        <w:t>present</w:t>
      </w:r>
      <w:r w:rsidR="002A007B" w:rsidRPr="00A64FF0">
        <w:rPr>
          <w:rFonts w:ascii="Book Antiqua" w:hAnsi="Book Antiqua" w:cs="Book Antiqua"/>
          <w:sz w:val="24"/>
          <w:szCs w:val="24"/>
          <w:lang w:val="en-US"/>
        </w:rPr>
        <w:t>ly</w:t>
      </w:r>
      <w:r w:rsidRPr="00A64FF0">
        <w:rPr>
          <w:rFonts w:ascii="Book Antiqua" w:hAnsi="Book Antiqua" w:cs="Book Antiqua"/>
          <w:sz w:val="24"/>
          <w:szCs w:val="24"/>
          <w:lang w:val="en-US"/>
        </w:rPr>
        <w:t xml:space="preserve"> approved</w:t>
      </w:r>
      <w:r w:rsidR="002A007B" w:rsidRPr="00A64FF0">
        <w:rPr>
          <w:rFonts w:ascii="Book Antiqua" w:hAnsi="Book Antiqua" w:cs="Book Antiqua"/>
          <w:sz w:val="24"/>
          <w:szCs w:val="24"/>
          <w:lang w:val="en-US"/>
        </w:rPr>
        <w:t xml:space="preserve"> only</w:t>
      </w:r>
      <w:r w:rsidRPr="00A64FF0">
        <w:rPr>
          <w:rFonts w:ascii="Book Antiqua" w:hAnsi="Book Antiqua" w:cs="Book Antiqua"/>
          <w:sz w:val="24"/>
          <w:szCs w:val="24"/>
          <w:lang w:val="en-US"/>
        </w:rPr>
        <w:t xml:space="preserve"> for PsO and PsA</w:t>
      </w:r>
      <w:r w:rsidR="00E81D29" w:rsidRPr="00A64FF0">
        <w:rPr>
          <w:rFonts w:ascii="Book Antiqua" w:hAnsi="Book Antiqua" w:cs="Book Antiqua"/>
          <w:sz w:val="24"/>
          <w:szCs w:val="24"/>
          <w:lang w:val="en-US"/>
        </w:rPr>
        <w:t xml:space="preserve"> patients</w:t>
      </w:r>
      <w:r w:rsidRPr="00A64FF0">
        <w:rPr>
          <w:rFonts w:ascii="Book Antiqua" w:hAnsi="Book Antiqua" w:cs="Book Antiqua"/>
          <w:sz w:val="24"/>
          <w:szCs w:val="24"/>
          <w:lang w:val="en-US"/>
        </w:rPr>
        <w:t>.</w:t>
      </w:r>
    </w:p>
    <w:p w:rsidR="00CC5C47" w:rsidRPr="00A64FF0" w:rsidRDefault="00CC5C47"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In the past</w:t>
      </w:r>
      <w:r w:rsidR="002A007B" w:rsidRPr="00A64FF0">
        <w:rPr>
          <w:rFonts w:ascii="Book Antiqua" w:hAnsi="Book Antiqua" w:cs="Book Antiqua"/>
          <w:sz w:val="24"/>
          <w:szCs w:val="24"/>
          <w:lang w:val="en-US"/>
        </w:rPr>
        <w:t>,</w:t>
      </w:r>
      <w:r w:rsidR="002C63AD"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Cy</w:t>
      </w:r>
      <w:r w:rsidR="00E81D29" w:rsidRPr="00A64FF0">
        <w:rPr>
          <w:rFonts w:ascii="Book Antiqua" w:hAnsi="Book Antiqua" w:cs="Book Antiqua"/>
          <w:sz w:val="24"/>
          <w:szCs w:val="24"/>
          <w:lang w:val="en-US"/>
        </w:rPr>
        <w:t>A has</w:t>
      </w:r>
      <w:r w:rsidR="002C63AD" w:rsidRPr="00A64FF0">
        <w:rPr>
          <w:rFonts w:ascii="Book Antiqua" w:hAnsi="Book Antiqua" w:cs="Book Antiqua"/>
          <w:sz w:val="24"/>
          <w:szCs w:val="24"/>
          <w:lang w:val="en-US"/>
        </w:rPr>
        <w:t xml:space="preserve"> </w:t>
      </w:r>
      <w:r w:rsidR="00E81D29" w:rsidRPr="00A64FF0">
        <w:rPr>
          <w:rFonts w:ascii="Book Antiqua" w:hAnsi="Book Antiqua" w:cs="Book Antiqua"/>
          <w:sz w:val="24"/>
          <w:szCs w:val="24"/>
          <w:lang w:val="en-US"/>
        </w:rPr>
        <w:t>been considered by some A</w:t>
      </w:r>
      <w:r w:rsidR="002A007B" w:rsidRPr="00A64FF0">
        <w:rPr>
          <w:rFonts w:ascii="Book Antiqua" w:hAnsi="Book Antiqua" w:cs="Book Antiqua"/>
          <w:sz w:val="24"/>
          <w:szCs w:val="24"/>
          <w:lang w:val="en-US"/>
        </w:rPr>
        <w:t>uthors as</w:t>
      </w:r>
      <w:r w:rsidR="002C63AD"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third line as compared to TNFis</w:t>
      </w:r>
      <w:r w:rsidR="002C63AD"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 xml:space="preserve">in </w:t>
      </w:r>
      <w:r w:rsidR="001944E8" w:rsidRPr="00A64FF0">
        <w:rPr>
          <w:rFonts w:ascii="Book Antiqua" w:hAnsi="Book Antiqua" w:cs="Book Antiqua"/>
          <w:sz w:val="24"/>
          <w:szCs w:val="24"/>
          <w:lang w:val="en-US"/>
        </w:rPr>
        <w:t>PsO subjects with HCV infection</w:t>
      </w:r>
      <w:r w:rsidR="001944E8" w:rsidRPr="00A64FF0">
        <w:rPr>
          <w:rFonts w:ascii="Book Antiqua" w:hAnsi="Book Antiqua" w:cs="Book Antiqua"/>
          <w:sz w:val="24"/>
          <w:szCs w:val="24"/>
          <w:vertAlign w:val="superscript"/>
          <w:lang w:val="en-US"/>
        </w:rPr>
        <w:t>[</w:t>
      </w:r>
      <w:r w:rsidR="00EC1500" w:rsidRPr="00A64FF0">
        <w:rPr>
          <w:rFonts w:ascii="Book Antiqua" w:hAnsi="Book Antiqua"/>
          <w:iCs/>
          <w:sz w:val="24"/>
          <w:szCs w:val="24"/>
          <w:vertAlign w:val="superscript"/>
          <w:lang w:val="en-US"/>
        </w:rPr>
        <w:t>67]</w:t>
      </w:r>
      <w:r w:rsidR="00EC1500" w:rsidRPr="00A64FF0">
        <w:rPr>
          <w:rFonts w:ascii="Book Antiqua" w:hAnsi="Book Antiqua"/>
          <w:iCs/>
          <w:sz w:val="24"/>
          <w:szCs w:val="24"/>
          <w:lang w:val="en-US"/>
        </w:rPr>
        <w:t>.</w:t>
      </w:r>
    </w:p>
    <w:p w:rsidR="00CC5C47" w:rsidRPr="00A64FF0" w:rsidRDefault="00CC5C47"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However</w:t>
      </w:r>
      <w:r w:rsidR="00F03972" w:rsidRPr="00A64FF0">
        <w:rPr>
          <w:rFonts w:ascii="Book Antiqua" w:hAnsi="Book Antiqua" w:cs="Book Antiqua"/>
          <w:sz w:val="24"/>
          <w:szCs w:val="24"/>
          <w:lang w:val="en-US"/>
        </w:rPr>
        <w:t>, several</w:t>
      </w:r>
      <w:r w:rsidR="00E81D29" w:rsidRPr="00A64FF0">
        <w:rPr>
          <w:rFonts w:ascii="Book Antiqua" w:hAnsi="Book Antiqua" w:cs="Book Antiqua"/>
          <w:sz w:val="24"/>
          <w:szCs w:val="24"/>
          <w:lang w:val="en-US"/>
        </w:rPr>
        <w:t xml:space="preserve"> data indicate</w:t>
      </w:r>
      <w:r w:rsidRPr="00A64FF0">
        <w:rPr>
          <w:rFonts w:ascii="Book Antiqua" w:hAnsi="Book Antiqua" w:cs="Book Antiqua"/>
          <w:sz w:val="24"/>
          <w:szCs w:val="24"/>
          <w:lang w:val="en-US"/>
        </w:rPr>
        <w:t xml:space="preserve"> that both CyA and TNFis do</w:t>
      </w:r>
      <w:r w:rsidR="00E81D29" w:rsidRPr="00A64FF0">
        <w:rPr>
          <w:rFonts w:ascii="Book Antiqua" w:hAnsi="Book Antiqua" w:cs="Book Antiqua"/>
          <w:sz w:val="24"/>
          <w:szCs w:val="24"/>
          <w:lang w:val="en-US"/>
        </w:rPr>
        <w:t xml:space="preserve"> not</w:t>
      </w:r>
      <w:r w:rsidR="002A007B" w:rsidRPr="00A64FF0">
        <w:rPr>
          <w:rFonts w:ascii="Book Antiqua" w:hAnsi="Book Antiqua" w:cs="Book Antiqua"/>
          <w:sz w:val="24"/>
          <w:szCs w:val="24"/>
          <w:lang w:val="en-US"/>
        </w:rPr>
        <w:t xml:space="preserve"> seem to cause</w:t>
      </w:r>
      <w:r w:rsidRPr="00A64FF0">
        <w:rPr>
          <w:rFonts w:ascii="Book Antiqua" w:hAnsi="Book Antiqua" w:cs="Book Antiqua"/>
          <w:sz w:val="24"/>
          <w:szCs w:val="24"/>
          <w:lang w:val="en-US"/>
        </w:rPr>
        <w:t xml:space="preserve"> different risk</w:t>
      </w:r>
      <w:r w:rsidR="002A007B" w:rsidRPr="00A64FF0">
        <w:rPr>
          <w:rFonts w:ascii="Book Antiqua" w:hAnsi="Book Antiqua" w:cs="Book Antiqua"/>
          <w:sz w:val="24"/>
          <w:szCs w:val="24"/>
          <w:lang w:val="en-US"/>
        </w:rPr>
        <w:t>s</w:t>
      </w:r>
      <w:r w:rsidR="002C63AD" w:rsidRPr="00A64FF0">
        <w:rPr>
          <w:rFonts w:ascii="Book Antiqua" w:hAnsi="Book Antiqua" w:cs="Book Antiqua"/>
          <w:sz w:val="24"/>
          <w:szCs w:val="24"/>
          <w:lang w:val="en-US"/>
        </w:rPr>
        <w:t xml:space="preserve"> </w:t>
      </w:r>
      <w:r w:rsidR="002A007B" w:rsidRPr="00A64FF0">
        <w:rPr>
          <w:rFonts w:ascii="Book Antiqua" w:hAnsi="Book Antiqua" w:cs="Book Antiqua"/>
          <w:sz w:val="24"/>
          <w:szCs w:val="24"/>
          <w:lang w:val="en-US"/>
        </w:rPr>
        <w:t xml:space="preserve">in worsening the </w:t>
      </w:r>
      <w:r w:rsidR="00F03972" w:rsidRPr="00A64FF0">
        <w:rPr>
          <w:rFonts w:ascii="Book Antiqua" w:hAnsi="Book Antiqua" w:cs="Book Antiqua"/>
          <w:sz w:val="24"/>
          <w:szCs w:val="24"/>
          <w:lang w:val="en-US"/>
        </w:rPr>
        <w:t>chronic</w:t>
      </w:r>
      <w:r w:rsidR="002A007B" w:rsidRPr="00A64FF0">
        <w:rPr>
          <w:rFonts w:ascii="Book Antiqua" w:hAnsi="Book Antiqua" w:cs="Book Antiqua"/>
          <w:sz w:val="24"/>
          <w:szCs w:val="24"/>
          <w:lang w:val="en-US"/>
        </w:rPr>
        <w:t xml:space="preserve"> course of</w:t>
      </w:r>
      <w:r w:rsidR="002C63AD"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HCV</w:t>
      </w:r>
      <w:r w:rsidR="00F03972" w:rsidRPr="00A64FF0">
        <w:rPr>
          <w:rFonts w:ascii="Book Antiqua" w:hAnsi="Book Antiqua" w:cs="Book Antiqua"/>
          <w:sz w:val="24"/>
          <w:szCs w:val="24"/>
          <w:lang w:val="en-US"/>
        </w:rPr>
        <w:t xml:space="preserve"> infection</w:t>
      </w:r>
      <w:r w:rsidR="001944E8" w:rsidRPr="00A64FF0">
        <w:rPr>
          <w:rFonts w:ascii="Book Antiqua" w:hAnsi="Book Antiqua" w:cs="Book Antiqua"/>
          <w:sz w:val="24"/>
          <w:szCs w:val="24"/>
          <w:vertAlign w:val="superscript"/>
          <w:lang w:val="en-US"/>
        </w:rPr>
        <w:t>[</w:t>
      </w:r>
      <w:r w:rsidR="00F03972" w:rsidRPr="00A64FF0">
        <w:rPr>
          <w:rFonts w:ascii="Book Antiqua" w:hAnsi="Book Antiqua"/>
          <w:iCs/>
          <w:sz w:val="24"/>
          <w:szCs w:val="24"/>
          <w:vertAlign w:val="superscript"/>
          <w:lang w:val="en-US"/>
        </w:rPr>
        <w:t>68-72]</w:t>
      </w:r>
      <w:r w:rsidR="00F03972" w:rsidRPr="00A64FF0">
        <w:rPr>
          <w:rFonts w:ascii="Book Antiqua" w:hAnsi="Book Antiqua"/>
          <w:iCs/>
          <w:sz w:val="24"/>
          <w:szCs w:val="24"/>
          <w:lang w:val="en-US"/>
        </w:rPr>
        <w:t>.</w:t>
      </w:r>
    </w:p>
    <w:p w:rsidR="00F65E6A" w:rsidRPr="00A64FF0" w:rsidRDefault="00CC5C47"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CyA and bDMARDs are probably the</w:t>
      </w:r>
      <w:r w:rsidR="002C63AD" w:rsidRPr="00A64FF0">
        <w:rPr>
          <w:rFonts w:ascii="Book Antiqua" w:hAnsi="Book Antiqua" w:cs="Book Antiqua"/>
          <w:sz w:val="24"/>
          <w:szCs w:val="24"/>
          <w:lang w:val="en-US"/>
        </w:rPr>
        <w:t xml:space="preserve"> </w:t>
      </w:r>
      <w:r w:rsidR="00512750" w:rsidRPr="00A64FF0">
        <w:rPr>
          <w:rFonts w:ascii="Book Antiqua" w:hAnsi="Book Antiqua" w:cs="Book Antiqua"/>
          <w:sz w:val="24"/>
          <w:szCs w:val="24"/>
          <w:lang w:val="en-US"/>
        </w:rPr>
        <w:t>more frequently</w:t>
      </w:r>
      <w:r w:rsidR="002C63AD"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administered</w:t>
      </w:r>
      <w:r w:rsidR="002A007B" w:rsidRPr="00A64FF0">
        <w:rPr>
          <w:rFonts w:ascii="Book Antiqua" w:hAnsi="Book Antiqua" w:cs="Book Antiqua"/>
          <w:sz w:val="24"/>
          <w:szCs w:val="24"/>
          <w:lang w:val="en-US"/>
        </w:rPr>
        <w:t xml:space="preserve"> drugs for</w:t>
      </w:r>
      <w:r w:rsidRPr="00A64FF0">
        <w:rPr>
          <w:rFonts w:ascii="Book Antiqua" w:hAnsi="Book Antiqua" w:cs="Book Antiqua"/>
          <w:sz w:val="24"/>
          <w:szCs w:val="24"/>
          <w:lang w:val="en-US"/>
        </w:rPr>
        <w:t xml:space="preserve"> high</w:t>
      </w:r>
      <w:r w:rsidR="00512750" w:rsidRPr="00A64FF0">
        <w:rPr>
          <w:rFonts w:ascii="Book Antiqua" w:hAnsi="Book Antiqua" w:cs="Book Antiqua"/>
          <w:sz w:val="24"/>
          <w:szCs w:val="24"/>
          <w:lang w:val="en-US"/>
        </w:rPr>
        <w:t>-</w:t>
      </w:r>
      <w:r w:rsidRPr="00A64FF0">
        <w:rPr>
          <w:rFonts w:ascii="Book Antiqua" w:hAnsi="Book Antiqua" w:cs="Book Antiqua"/>
          <w:sz w:val="24"/>
          <w:szCs w:val="24"/>
          <w:lang w:val="en-US"/>
        </w:rPr>
        <w:t>need PsO patients with concomitan</w:t>
      </w:r>
      <w:r w:rsidR="00512750" w:rsidRPr="00A64FF0">
        <w:rPr>
          <w:rFonts w:ascii="Book Antiqua" w:hAnsi="Book Antiqua" w:cs="Book Antiqua"/>
          <w:sz w:val="24"/>
          <w:szCs w:val="24"/>
          <w:lang w:val="en-US"/>
        </w:rPr>
        <w:t>t</w:t>
      </w:r>
      <w:r w:rsidRPr="00A64FF0">
        <w:rPr>
          <w:rFonts w:ascii="Book Antiqua" w:hAnsi="Book Antiqua" w:cs="Book Antiqua"/>
          <w:sz w:val="24"/>
          <w:szCs w:val="24"/>
          <w:lang w:val="en-US"/>
        </w:rPr>
        <w:t xml:space="preserve"> HCV infection. </w:t>
      </w:r>
    </w:p>
    <w:p w:rsidR="00F65E6A" w:rsidRPr="00A64FF0" w:rsidRDefault="00F65E6A"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iCs/>
          <w:sz w:val="24"/>
          <w:szCs w:val="24"/>
          <w:lang w:val="en-US"/>
        </w:rPr>
        <w:t>No da</w:t>
      </w:r>
      <w:r w:rsidR="002A007B" w:rsidRPr="00A64FF0">
        <w:rPr>
          <w:rFonts w:ascii="Book Antiqua" w:hAnsi="Book Antiqua"/>
          <w:iCs/>
          <w:sz w:val="24"/>
          <w:szCs w:val="24"/>
          <w:lang w:val="en-US"/>
        </w:rPr>
        <w:t>ta are currently available concerning</w:t>
      </w:r>
      <w:r w:rsidRPr="00A64FF0">
        <w:rPr>
          <w:rFonts w:ascii="Book Antiqua" w:hAnsi="Book Antiqua"/>
          <w:iCs/>
          <w:sz w:val="24"/>
          <w:szCs w:val="24"/>
          <w:lang w:val="en-US"/>
        </w:rPr>
        <w:t xml:space="preserve"> the concomitant administration of systemic therapies for PsO and the </w:t>
      </w:r>
      <w:r w:rsidRPr="00A64FF0">
        <w:rPr>
          <w:rFonts w:ascii="Book Antiqua" w:hAnsi="Book Antiqua" w:cs="Proxima Nova Condensed"/>
          <w:color w:val="221E1F"/>
          <w:sz w:val="24"/>
          <w:szCs w:val="24"/>
          <w:lang w:val="en-US"/>
        </w:rPr>
        <w:t>new direct-acting antiviral medications approved for the treatment of chronic HCV infection.</w:t>
      </w:r>
    </w:p>
    <w:p w:rsidR="00CC5C47" w:rsidRPr="00A64FF0" w:rsidRDefault="00CC5C47"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In the following paragraphs treatment with CyA or bDMARDs of PsO patients with HCV infection are described.</w:t>
      </w:r>
    </w:p>
    <w:p w:rsidR="00A642E3" w:rsidRPr="00A64FF0" w:rsidRDefault="00A642E3" w:rsidP="00467AE1">
      <w:pPr>
        <w:adjustRightInd w:val="0"/>
        <w:snapToGrid w:val="0"/>
        <w:spacing w:after="0" w:line="360" w:lineRule="auto"/>
        <w:jc w:val="both"/>
        <w:rPr>
          <w:rFonts w:ascii="Book Antiqua" w:hAnsi="Book Antiqua" w:cs="Book Antiqua"/>
          <w:b/>
          <w:iCs/>
          <w:sz w:val="24"/>
          <w:szCs w:val="24"/>
          <w:lang w:val="en-US"/>
        </w:rPr>
      </w:pPr>
    </w:p>
    <w:p w:rsidR="00A642E3" w:rsidRPr="00A64FF0" w:rsidRDefault="00A642E3" w:rsidP="00467AE1">
      <w:pPr>
        <w:adjustRightInd w:val="0"/>
        <w:snapToGrid w:val="0"/>
        <w:spacing w:after="0" w:line="360" w:lineRule="auto"/>
        <w:jc w:val="both"/>
        <w:rPr>
          <w:rFonts w:ascii="Book Antiqua" w:hAnsi="Book Antiqua" w:cs="Book Antiqua"/>
          <w:b/>
          <w:iCs/>
          <w:sz w:val="24"/>
          <w:szCs w:val="24"/>
          <w:lang w:val="en-US" w:eastAsia="zh-CN"/>
        </w:rPr>
      </w:pPr>
      <w:r w:rsidRPr="00A64FF0">
        <w:rPr>
          <w:rFonts w:ascii="Book Antiqua" w:hAnsi="Book Antiqua" w:cs="Book Antiqua"/>
          <w:b/>
          <w:iCs/>
          <w:sz w:val="24"/>
          <w:szCs w:val="24"/>
          <w:lang w:val="en-US"/>
        </w:rPr>
        <w:t>cDMARDs</w:t>
      </w:r>
    </w:p>
    <w:p w:rsidR="00CC5C47" w:rsidRPr="00A64FF0" w:rsidRDefault="00CC5C47" w:rsidP="00467AE1">
      <w:pPr>
        <w:adjustRightInd w:val="0"/>
        <w:snapToGrid w:val="0"/>
        <w:spacing w:after="0" w:line="360" w:lineRule="auto"/>
        <w:jc w:val="both"/>
        <w:rPr>
          <w:rFonts w:ascii="Book Antiqua" w:hAnsi="Book Antiqua" w:cs="Book Antiqua"/>
          <w:b/>
          <w:i/>
          <w:iCs/>
          <w:sz w:val="24"/>
          <w:szCs w:val="24"/>
          <w:lang w:val="en-US"/>
        </w:rPr>
      </w:pPr>
      <w:r w:rsidRPr="00A64FF0">
        <w:rPr>
          <w:rFonts w:ascii="Book Antiqua" w:hAnsi="Book Antiqua" w:cs="Book Antiqua"/>
          <w:b/>
          <w:i/>
          <w:iCs/>
          <w:sz w:val="24"/>
          <w:szCs w:val="24"/>
          <w:lang w:val="en-US"/>
        </w:rPr>
        <w:t>CyA</w:t>
      </w:r>
    </w:p>
    <w:p w:rsidR="00CC5C47" w:rsidRPr="00A64FF0" w:rsidRDefault="00CC5C47" w:rsidP="00467AE1">
      <w:pPr>
        <w:adjustRightInd w:val="0"/>
        <w:snapToGrid w:val="0"/>
        <w:spacing w:after="0" w:line="360" w:lineRule="auto"/>
        <w:jc w:val="both"/>
        <w:rPr>
          <w:rFonts w:ascii="Book Antiqua" w:hAnsi="Book Antiqua" w:cs="Book Antiqua"/>
          <w:sz w:val="24"/>
          <w:szCs w:val="24"/>
          <w:lang w:val="en-US"/>
        </w:rPr>
      </w:pPr>
      <w:r w:rsidRPr="00A64FF0">
        <w:rPr>
          <w:rFonts w:ascii="Book Antiqua" w:hAnsi="Book Antiqua" w:cs="Book Antiqua"/>
          <w:sz w:val="24"/>
          <w:szCs w:val="24"/>
          <w:lang w:val="en-US"/>
        </w:rPr>
        <w:t>Due to immunosuppresive activit</w:t>
      </w:r>
      <w:r w:rsidR="00512750" w:rsidRPr="00A64FF0">
        <w:rPr>
          <w:rFonts w:ascii="Book Antiqua" w:hAnsi="Book Antiqua" w:cs="Book Antiqua"/>
          <w:sz w:val="24"/>
          <w:szCs w:val="24"/>
          <w:lang w:val="en-US"/>
        </w:rPr>
        <w:t>y,</w:t>
      </w:r>
      <w:r w:rsidR="00894803" w:rsidRPr="00A64FF0">
        <w:rPr>
          <w:rFonts w:ascii="Book Antiqua" w:hAnsi="Book Antiqua" w:cs="Book Antiqua"/>
          <w:sz w:val="24"/>
          <w:szCs w:val="24"/>
          <w:lang w:val="en-US"/>
        </w:rPr>
        <w:t xml:space="preserve"> </w:t>
      </w:r>
      <w:r w:rsidR="00512750" w:rsidRPr="00A64FF0">
        <w:rPr>
          <w:rFonts w:ascii="Book Antiqua" w:hAnsi="Book Antiqua" w:cs="Book Antiqua"/>
          <w:sz w:val="24"/>
          <w:szCs w:val="24"/>
          <w:lang w:val="en-US"/>
        </w:rPr>
        <w:t>a detrimental effect</w:t>
      </w:r>
      <w:r w:rsidRPr="00A64FF0">
        <w:rPr>
          <w:rFonts w:ascii="Book Antiqua" w:hAnsi="Book Antiqua" w:cs="Book Antiqua"/>
          <w:sz w:val="24"/>
          <w:szCs w:val="24"/>
          <w:lang w:val="en-US"/>
        </w:rPr>
        <w:t xml:space="preserve"> of CyA in individuals with a chronic infection such as HCV, could be expected. However</w:t>
      </w:r>
      <w:r w:rsidR="002A007B"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experimental and clinical data indicate that CyA, in addition to its anti</w:t>
      </w:r>
      <w:r w:rsidR="001944E8" w:rsidRPr="00A64FF0">
        <w:rPr>
          <w:rFonts w:ascii="Book Antiqua" w:hAnsi="Book Antiqua" w:cs="Book Antiqua"/>
          <w:sz w:val="24"/>
          <w:szCs w:val="24"/>
          <w:lang w:val="en-US" w:eastAsia="zh-CN"/>
        </w:rPr>
        <w:t>-</w:t>
      </w:r>
      <w:r w:rsidRPr="00A64FF0">
        <w:rPr>
          <w:rFonts w:ascii="Book Antiqua" w:hAnsi="Book Antiqua" w:cs="Book Antiqua"/>
          <w:sz w:val="24"/>
          <w:szCs w:val="24"/>
          <w:lang w:val="en-US"/>
        </w:rPr>
        <w:t>inflammatory activity, can inh</w:t>
      </w:r>
      <w:r w:rsidR="00F3391D" w:rsidRPr="00A64FF0">
        <w:rPr>
          <w:rFonts w:ascii="Book Antiqua" w:hAnsi="Book Antiqua" w:cs="Book Antiqua"/>
          <w:sz w:val="24"/>
          <w:szCs w:val="24"/>
          <w:lang w:val="en-US"/>
        </w:rPr>
        <w:t>ibit HCV viral replication</w:t>
      </w:r>
      <w:r w:rsidR="001944E8" w:rsidRPr="00A64FF0">
        <w:rPr>
          <w:rFonts w:ascii="Book Antiqua" w:hAnsi="Book Antiqua" w:cs="Book Antiqua"/>
          <w:sz w:val="24"/>
          <w:szCs w:val="24"/>
          <w:vertAlign w:val="superscript"/>
          <w:lang w:val="en-US"/>
        </w:rPr>
        <w:t>[</w:t>
      </w:r>
      <w:r w:rsidR="00F3391D" w:rsidRPr="00A64FF0">
        <w:rPr>
          <w:rFonts w:ascii="Book Antiqua" w:hAnsi="Book Antiqua" w:cs="Book Antiqua"/>
          <w:sz w:val="24"/>
          <w:szCs w:val="24"/>
          <w:vertAlign w:val="superscript"/>
          <w:lang w:val="en-US"/>
        </w:rPr>
        <w:t>73]</w:t>
      </w:r>
      <w:r w:rsidRPr="00A64FF0">
        <w:rPr>
          <w:rFonts w:ascii="Book Antiqua" w:hAnsi="Book Antiqua" w:cs="Book Antiqua"/>
          <w:sz w:val="24"/>
          <w:szCs w:val="24"/>
          <w:lang w:val="en-US"/>
        </w:rPr>
        <w:t>. In particular</w:t>
      </w:r>
      <w:r w:rsidR="00512750" w:rsidRPr="00A64FF0">
        <w:rPr>
          <w:rFonts w:ascii="Book Antiqua" w:hAnsi="Book Antiqua" w:cs="Book Antiqua"/>
          <w:sz w:val="24"/>
          <w:szCs w:val="24"/>
          <w:lang w:val="en-US"/>
        </w:rPr>
        <w:t>,</w:t>
      </w:r>
      <w:r w:rsidR="002A007B" w:rsidRPr="00A64FF0">
        <w:rPr>
          <w:rFonts w:ascii="Book Antiqua" w:hAnsi="Book Antiqua" w:cs="Book Antiqua"/>
          <w:sz w:val="24"/>
          <w:szCs w:val="24"/>
          <w:lang w:val="en-US"/>
        </w:rPr>
        <w:t xml:space="preserve"> this last effect has been found</w:t>
      </w:r>
      <w:r w:rsidRPr="00A64FF0">
        <w:rPr>
          <w:rFonts w:ascii="Book Antiqua" w:hAnsi="Book Antiqua" w:cs="Book Antiqua"/>
          <w:sz w:val="24"/>
          <w:szCs w:val="24"/>
          <w:lang w:val="en-US"/>
        </w:rPr>
        <w:t xml:space="preserve"> in patients ca</w:t>
      </w:r>
      <w:r w:rsidR="00F3391D" w:rsidRPr="00A64FF0">
        <w:rPr>
          <w:rFonts w:ascii="Book Antiqua" w:hAnsi="Book Antiqua" w:cs="Book Antiqua"/>
          <w:sz w:val="24"/>
          <w:szCs w:val="24"/>
          <w:lang w:val="en-US"/>
        </w:rPr>
        <w:t>rrying genotype 1 or 4</w:t>
      </w:r>
      <w:r w:rsidR="00894803" w:rsidRPr="00A64FF0">
        <w:rPr>
          <w:rFonts w:ascii="Book Antiqua" w:hAnsi="Book Antiqua" w:cs="Book Antiqua"/>
          <w:sz w:val="24"/>
          <w:szCs w:val="24"/>
          <w:lang w:val="en-US"/>
        </w:rPr>
        <w:t xml:space="preserve"> </w:t>
      </w:r>
      <w:r w:rsidR="00F3391D" w:rsidRPr="00A64FF0">
        <w:rPr>
          <w:rFonts w:ascii="Book Antiqua" w:hAnsi="Book Antiqua" w:cs="Book Antiqua"/>
          <w:sz w:val="24"/>
          <w:szCs w:val="24"/>
          <w:lang w:val="en-US"/>
        </w:rPr>
        <w:t>HCV</w:t>
      </w:r>
      <w:r w:rsidR="001944E8" w:rsidRPr="00A64FF0">
        <w:rPr>
          <w:rFonts w:ascii="Book Antiqua" w:hAnsi="Book Antiqua" w:cs="Book Antiqua"/>
          <w:sz w:val="24"/>
          <w:szCs w:val="24"/>
          <w:vertAlign w:val="superscript"/>
          <w:lang w:val="en-US"/>
        </w:rPr>
        <w:t>[</w:t>
      </w:r>
      <w:r w:rsidR="001944E8" w:rsidRPr="00A64FF0">
        <w:rPr>
          <w:rFonts w:ascii="Book Antiqua" w:hAnsi="Book Antiqua"/>
          <w:iCs/>
          <w:sz w:val="24"/>
          <w:szCs w:val="24"/>
          <w:vertAlign w:val="superscript"/>
          <w:lang w:val="en-US"/>
        </w:rPr>
        <w:t>71,</w:t>
      </w:r>
      <w:r w:rsidR="00F3391D" w:rsidRPr="00A64FF0">
        <w:rPr>
          <w:rFonts w:ascii="Book Antiqua" w:hAnsi="Book Antiqua"/>
          <w:iCs/>
          <w:sz w:val="24"/>
          <w:szCs w:val="24"/>
          <w:vertAlign w:val="superscript"/>
          <w:lang w:val="en-US"/>
        </w:rPr>
        <w:t>72]</w:t>
      </w:r>
      <w:r w:rsidRPr="00A64FF0">
        <w:rPr>
          <w:rFonts w:ascii="Book Antiqua" w:hAnsi="Book Antiqua" w:cs="Book Antiqua"/>
          <w:sz w:val="24"/>
          <w:szCs w:val="24"/>
          <w:lang w:val="en-US"/>
        </w:rPr>
        <w:t>. However</w:t>
      </w:r>
      <w:r w:rsidR="00512750"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also i</w:t>
      </w:r>
      <w:r w:rsidR="00512750" w:rsidRPr="00A64FF0">
        <w:rPr>
          <w:rFonts w:ascii="Book Antiqua" w:hAnsi="Book Antiqua" w:cs="Book Antiqua"/>
          <w:sz w:val="24"/>
          <w:szCs w:val="24"/>
          <w:lang w:val="en-US"/>
        </w:rPr>
        <w:t>n patients</w:t>
      </w:r>
      <w:r w:rsidR="00894803" w:rsidRPr="00A64FF0">
        <w:rPr>
          <w:rFonts w:ascii="Book Antiqua" w:hAnsi="Book Antiqua" w:cs="Book Antiqua"/>
          <w:sz w:val="24"/>
          <w:szCs w:val="24"/>
          <w:lang w:val="en-US"/>
        </w:rPr>
        <w:t xml:space="preserve"> </w:t>
      </w:r>
      <w:r w:rsidR="00512750" w:rsidRPr="00A64FF0">
        <w:rPr>
          <w:rFonts w:ascii="Book Antiqua" w:hAnsi="Book Antiqua" w:cs="Book Antiqua"/>
          <w:sz w:val="24"/>
          <w:szCs w:val="24"/>
          <w:lang w:val="en-US"/>
        </w:rPr>
        <w:t>carrying genotype 2</w:t>
      </w:r>
      <w:r w:rsidRPr="00A64FF0">
        <w:rPr>
          <w:rFonts w:ascii="Book Antiqua" w:hAnsi="Book Antiqua" w:cs="Book Antiqua"/>
          <w:sz w:val="24"/>
          <w:szCs w:val="24"/>
          <w:lang w:val="en-US"/>
        </w:rPr>
        <w:t>, which is scarcely sensitive to antiviral effect of CyA, no worsening of HCV infection has been observed in spite of a favourable clinical course of their im</w:t>
      </w:r>
      <w:r w:rsidR="00512750" w:rsidRPr="00A64FF0">
        <w:rPr>
          <w:rFonts w:ascii="Book Antiqua" w:hAnsi="Book Antiqua" w:cs="Book Antiqua"/>
          <w:sz w:val="24"/>
          <w:szCs w:val="24"/>
          <w:lang w:val="en-US"/>
        </w:rPr>
        <w:t>m</w:t>
      </w:r>
      <w:r w:rsidRPr="00A64FF0">
        <w:rPr>
          <w:rFonts w:ascii="Book Antiqua" w:hAnsi="Book Antiqua" w:cs="Book Antiqua"/>
          <w:sz w:val="24"/>
          <w:szCs w:val="24"/>
          <w:lang w:val="en-US"/>
        </w:rPr>
        <w:t>u</w:t>
      </w:r>
      <w:r w:rsidR="00F3391D" w:rsidRPr="00A64FF0">
        <w:rPr>
          <w:rFonts w:ascii="Book Antiqua" w:hAnsi="Book Antiqua" w:cs="Book Antiqua"/>
          <w:sz w:val="24"/>
          <w:szCs w:val="24"/>
          <w:lang w:val="en-US"/>
        </w:rPr>
        <w:t>nomediated diseases</w:t>
      </w:r>
      <w:r w:rsidR="001944E8" w:rsidRPr="00A64FF0">
        <w:rPr>
          <w:rFonts w:ascii="Book Antiqua" w:hAnsi="Book Antiqua" w:cs="Book Antiqua"/>
          <w:sz w:val="24"/>
          <w:szCs w:val="24"/>
          <w:vertAlign w:val="superscript"/>
          <w:lang w:val="en-US"/>
        </w:rPr>
        <w:t>[</w:t>
      </w:r>
      <w:r w:rsidR="00F3391D" w:rsidRPr="00A64FF0">
        <w:rPr>
          <w:rFonts w:ascii="Book Antiqua" w:hAnsi="Book Antiqua" w:cs="Book Antiqua"/>
          <w:sz w:val="24"/>
          <w:szCs w:val="24"/>
          <w:vertAlign w:val="superscript"/>
          <w:lang w:val="en-US"/>
        </w:rPr>
        <w:t>72]</w:t>
      </w:r>
      <w:r w:rsidR="00512750" w:rsidRPr="00A64FF0">
        <w:rPr>
          <w:rFonts w:ascii="Book Antiqua" w:hAnsi="Book Antiqua" w:cs="Book Antiqua"/>
          <w:sz w:val="24"/>
          <w:szCs w:val="24"/>
          <w:lang w:val="en-US"/>
        </w:rPr>
        <w:t>. S</w:t>
      </w:r>
      <w:r w:rsidRPr="00A64FF0">
        <w:rPr>
          <w:rFonts w:ascii="Book Antiqua" w:hAnsi="Book Antiqua" w:cs="Book Antiqua"/>
          <w:sz w:val="24"/>
          <w:szCs w:val="24"/>
          <w:lang w:val="en-US"/>
        </w:rPr>
        <w:t>aid data clearly indicate that immunosuppressive and antiviral activity of C</w:t>
      </w:r>
      <w:r w:rsidR="00534DAF" w:rsidRPr="00A64FF0">
        <w:rPr>
          <w:rFonts w:ascii="Book Antiqua" w:hAnsi="Book Antiqua" w:cs="Book Antiqua"/>
          <w:sz w:val="24"/>
          <w:szCs w:val="24"/>
          <w:lang w:val="en-US"/>
        </w:rPr>
        <w:t>yA follow different pathways</w:t>
      </w:r>
      <w:r w:rsidR="001944E8" w:rsidRPr="00A64FF0">
        <w:rPr>
          <w:rFonts w:ascii="Book Antiqua" w:hAnsi="Book Antiqua" w:cs="Book Antiqua"/>
          <w:sz w:val="24"/>
          <w:szCs w:val="24"/>
          <w:vertAlign w:val="superscript"/>
          <w:lang w:val="en-US"/>
        </w:rPr>
        <w:t>[</w:t>
      </w:r>
      <w:r w:rsidR="00534DAF" w:rsidRPr="00A64FF0">
        <w:rPr>
          <w:rFonts w:ascii="Book Antiqua" w:hAnsi="Book Antiqua" w:cs="Book Antiqua"/>
          <w:sz w:val="24"/>
          <w:szCs w:val="24"/>
          <w:vertAlign w:val="superscript"/>
          <w:lang w:val="en-US"/>
        </w:rPr>
        <w:t>73]</w:t>
      </w:r>
      <w:r w:rsidRPr="00A64FF0">
        <w:rPr>
          <w:rFonts w:ascii="Book Antiqua" w:hAnsi="Book Antiqua" w:cs="Book Antiqua"/>
          <w:sz w:val="24"/>
          <w:szCs w:val="24"/>
          <w:lang w:val="en-US"/>
        </w:rPr>
        <w:t>.</w:t>
      </w:r>
    </w:p>
    <w:p w:rsidR="00CC5C47" w:rsidRPr="00A64FF0" w:rsidRDefault="00CC5C47"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Current available literature data on PsO patients with concomitant HCV infection treated with low dose of CyA include 11 patients</w:t>
      </w:r>
      <w:r w:rsidR="00534DAF" w:rsidRPr="00A64FF0">
        <w:rPr>
          <w:rFonts w:ascii="Book Antiqua" w:hAnsi="Book Antiqua" w:cs="Book Antiqua"/>
          <w:sz w:val="24"/>
          <w:szCs w:val="24"/>
          <w:lang w:val="en-US"/>
        </w:rPr>
        <w:t>, 7 of whom affected by PsA</w:t>
      </w:r>
      <w:r w:rsidR="001944E8" w:rsidRPr="00A64FF0">
        <w:rPr>
          <w:rFonts w:ascii="Book Antiqua" w:hAnsi="Book Antiqua" w:cs="Book Antiqua"/>
          <w:sz w:val="24"/>
          <w:szCs w:val="24"/>
          <w:vertAlign w:val="superscript"/>
          <w:lang w:val="en-US"/>
        </w:rPr>
        <w:t>[</w:t>
      </w:r>
      <w:r w:rsidR="001944E8" w:rsidRPr="00A64FF0">
        <w:rPr>
          <w:rFonts w:ascii="Book Antiqua" w:hAnsi="Book Antiqua"/>
          <w:iCs/>
          <w:sz w:val="24"/>
          <w:szCs w:val="24"/>
          <w:vertAlign w:val="superscript"/>
          <w:lang w:val="en-US"/>
        </w:rPr>
        <w:t>69-72,</w:t>
      </w:r>
      <w:r w:rsidR="00534DAF" w:rsidRPr="00A64FF0">
        <w:rPr>
          <w:rFonts w:ascii="Book Antiqua" w:hAnsi="Book Antiqua"/>
          <w:iCs/>
          <w:sz w:val="24"/>
          <w:szCs w:val="24"/>
          <w:vertAlign w:val="superscript"/>
          <w:lang w:val="en-US"/>
        </w:rPr>
        <w:t>74]</w:t>
      </w:r>
      <w:r w:rsidR="00534DAF" w:rsidRPr="00A64FF0">
        <w:rPr>
          <w:rFonts w:ascii="Book Antiqua" w:hAnsi="Book Antiqua"/>
          <w:iCs/>
          <w:sz w:val="24"/>
          <w:szCs w:val="24"/>
          <w:lang w:val="en-US"/>
        </w:rPr>
        <w:t>.</w:t>
      </w:r>
      <w:r w:rsidRPr="00A64FF0">
        <w:rPr>
          <w:rFonts w:ascii="Book Antiqua" w:hAnsi="Book Antiqua" w:cs="Book Antiqua"/>
          <w:sz w:val="24"/>
          <w:szCs w:val="24"/>
          <w:lang w:val="en-US"/>
        </w:rPr>
        <w:t xml:space="preserve"> These patients received CyA for a period ranging from 16 to 38 mo and none experienced a </w:t>
      </w:r>
      <w:r w:rsidRPr="00A64FF0">
        <w:rPr>
          <w:rFonts w:ascii="Book Antiqua" w:hAnsi="Book Antiqua" w:cs="Book Antiqua"/>
          <w:sz w:val="24"/>
          <w:szCs w:val="24"/>
          <w:lang w:val="en-US"/>
        </w:rPr>
        <w:lastRenderedPageBreak/>
        <w:t>worsening of their HCV infection. In some patients a lowering of HCV RNA serum levels has been reported</w:t>
      </w:r>
      <w:r w:rsidR="001944E8" w:rsidRPr="00A64FF0">
        <w:rPr>
          <w:rFonts w:ascii="Book Antiqua" w:hAnsi="Book Antiqua" w:cs="Book Antiqua"/>
          <w:sz w:val="24"/>
          <w:szCs w:val="24"/>
          <w:vertAlign w:val="superscript"/>
          <w:lang w:val="en-US"/>
        </w:rPr>
        <w:t>[</w:t>
      </w:r>
      <w:r w:rsidR="00534DAF" w:rsidRPr="00A64FF0">
        <w:rPr>
          <w:rFonts w:ascii="Book Antiqua" w:hAnsi="Book Antiqua" w:cs="Book Antiqua"/>
          <w:sz w:val="24"/>
          <w:szCs w:val="24"/>
          <w:vertAlign w:val="superscript"/>
          <w:lang w:val="en-US"/>
        </w:rPr>
        <w:t>69]</w:t>
      </w:r>
      <w:r w:rsidRPr="00A64FF0">
        <w:rPr>
          <w:rFonts w:ascii="Book Antiqua" w:hAnsi="Book Antiqua" w:cs="Book Antiqua"/>
          <w:sz w:val="24"/>
          <w:szCs w:val="24"/>
          <w:lang w:val="en-US"/>
        </w:rPr>
        <w:t>.</w:t>
      </w:r>
    </w:p>
    <w:p w:rsidR="00A642E3" w:rsidRPr="00A64FF0" w:rsidRDefault="00A642E3" w:rsidP="00467AE1">
      <w:pPr>
        <w:adjustRightInd w:val="0"/>
        <w:snapToGrid w:val="0"/>
        <w:spacing w:after="0" w:line="360" w:lineRule="auto"/>
        <w:jc w:val="both"/>
        <w:rPr>
          <w:rFonts w:ascii="Book Antiqua" w:hAnsi="Book Antiqua" w:cs="Book Antiqua"/>
          <w:i/>
          <w:iCs/>
          <w:sz w:val="24"/>
          <w:szCs w:val="24"/>
          <w:lang w:val="en-US"/>
        </w:rPr>
      </w:pPr>
    </w:p>
    <w:p w:rsidR="00CC5C47" w:rsidRPr="00A64FF0" w:rsidRDefault="00CC5C47" w:rsidP="00467AE1">
      <w:pPr>
        <w:adjustRightInd w:val="0"/>
        <w:snapToGrid w:val="0"/>
        <w:spacing w:after="0" w:line="360" w:lineRule="auto"/>
        <w:jc w:val="both"/>
        <w:rPr>
          <w:rFonts w:ascii="Book Antiqua" w:hAnsi="Book Antiqua" w:cs="Book Antiqua"/>
          <w:b/>
          <w:bCs/>
          <w:sz w:val="24"/>
          <w:szCs w:val="24"/>
          <w:lang w:val="en-US" w:eastAsia="zh-CN"/>
        </w:rPr>
      </w:pPr>
      <w:r w:rsidRPr="00A64FF0">
        <w:rPr>
          <w:rFonts w:ascii="Book Antiqua" w:hAnsi="Book Antiqua" w:cs="Book Antiqua"/>
          <w:b/>
          <w:bCs/>
          <w:sz w:val="24"/>
          <w:szCs w:val="24"/>
          <w:lang w:val="en-US"/>
        </w:rPr>
        <w:t>bDMARDs</w:t>
      </w:r>
    </w:p>
    <w:p w:rsidR="00CC5C47" w:rsidRPr="00A64FF0" w:rsidRDefault="00CC5C47" w:rsidP="00467AE1">
      <w:pPr>
        <w:adjustRightInd w:val="0"/>
        <w:snapToGrid w:val="0"/>
        <w:spacing w:after="0" w:line="360" w:lineRule="auto"/>
        <w:jc w:val="both"/>
        <w:rPr>
          <w:rFonts w:ascii="Book Antiqua" w:hAnsi="Book Antiqua" w:cs="Book Antiqua"/>
          <w:b/>
          <w:i/>
          <w:iCs/>
          <w:sz w:val="24"/>
          <w:szCs w:val="24"/>
          <w:lang w:val="en-US" w:eastAsia="zh-CN"/>
        </w:rPr>
      </w:pPr>
      <w:r w:rsidRPr="00A64FF0">
        <w:rPr>
          <w:rFonts w:ascii="Book Antiqua" w:hAnsi="Book Antiqua" w:cs="Book Antiqua"/>
          <w:b/>
          <w:i/>
          <w:iCs/>
          <w:sz w:val="24"/>
          <w:szCs w:val="24"/>
          <w:lang w:val="en-US"/>
        </w:rPr>
        <w:t>TNFis</w:t>
      </w:r>
    </w:p>
    <w:p w:rsidR="00CC5C47" w:rsidRPr="00A64FF0" w:rsidRDefault="00E75E33" w:rsidP="00467AE1">
      <w:pPr>
        <w:adjustRightInd w:val="0"/>
        <w:snapToGrid w:val="0"/>
        <w:spacing w:after="0" w:line="360" w:lineRule="auto"/>
        <w:jc w:val="both"/>
        <w:rPr>
          <w:rFonts w:ascii="Book Antiqua" w:hAnsi="Book Antiqua" w:cs="Book Antiqua"/>
          <w:sz w:val="24"/>
          <w:szCs w:val="24"/>
          <w:lang w:val="en-US"/>
        </w:rPr>
      </w:pPr>
      <w:r w:rsidRPr="00A64FF0">
        <w:rPr>
          <w:rFonts w:ascii="Book Antiqua" w:hAnsi="Book Antiqua" w:cs="Book Antiqua"/>
          <w:sz w:val="24"/>
          <w:szCs w:val="24"/>
          <w:lang w:val="en-US"/>
        </w:rPr>
        <w:t xml:space="preserve">Data available </w:t>
      </w:r>
      <w:r w:rsidR="0069599F" w:rsidRPr="00A64FF0">
        <w:rPr>
          <w:rFonts w:ascii="Book Antiqua" w:hAnsi="Book Antiqua" w:cs="Book Antiqua"/>
          <w:sz w:val="24"/>
          <w:szCs w:val="24"/>
          <w:lang w:val="en-US"/>
        </w:rPr>
        <w:t xml:space="preserve">concerning </w:t>
      </w:r>
      <w:r w:rsidR="00CC5C47" w:rsidRPr="00A64FF0">
        <w:rPr>
          <w:rFonts w:ascii="Book Antiqua" w:hAnsi="Book Antiqua" w:cs="Book Antiqua"/>
          <w:sz w:val="24"/>
          <w:szCs w:val="24"/>
          <w:lang w:val="en-US"/>
        </w:rPr>
        <w:t>he management</w:t>
      </w:r>
      <w:r w:rsidR="0069599F"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with TNFis</w:t>
      </w:r>
      <w:r w:rsidR="0069599F" w:rsidRPr="00A64FF0">
        <w:rPr>
          <w:rFonts w:ascii="Book Antiqua" w:hAnsi="Book Antiqua" w:cs="Book Antiqua"/>
          <w:sz w:val="24"/>
          <w:szCs w:val="24"/>
          <w:lang w:val="en-US"/>
        </w:rPr>
        <w:t xml:space="preserve"> </w:t>
      </w:r>
      <w:r w:rsidR="00CC5C47" w:rsidRPr="00A64FF0">
        <w:rPr>
          <w:rFonts w:ascii="Book Antiqua" w:hAnsi="Book Antiqua" w:cs="Book Antiqua"/>
          <w:sz w:val="24"/>
          <w:szCs w:val="24"/>
          <w:lang w:val="en-US"/>
        </w:rPr>
        <w:t>of PsO patients with HCV infection are increasing.</w:t>
      </w:r>
    </w:p>
    <w:p w:rsidR="00CC5C47" w:rsidRPr="00A64FF0" w:rsidRDefault="00CC5C47"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TNF-α is a key</w:t>
      </w:r>
      <w:r w:rsidR="00E75E33" w:rsidRPr="00A64FF0">
        <w:rPr>
          <w:rFonts w:ascii="Book Antiqua" w:hAnsi="Book Antiqua" w:cs="Book Antiqua"/>
          <w:sz w:val="24"/>
          <w:szCs w:val="24"/>
          <w:lang w:val="en-US"/>
        </w:rPr>
        <w:t xml:space="preserve"> cytokine in stimulating immuno</w:t>
      </w:r>
      <w:r w:rsidRPr="00A64FF0">
        <w:rPr>
          <w:rFonts w:ascii="Book Antiqua" w:hAnsi="Book Antiqua" w:cs="Book Antiqua"/>
          <w:sz w:val="24"/>
          <w:szCs w:val="24"/>
          <w:lang w:val="en-US"/>
        </w:rPr>
        <w:t>mediated response to infections, especially against intracellular pathogens. Therefore</w:t>
      </w:r>
      <w:r w:rsidR="00E75E33" w:rsidRPr="00A64FF0">
        <w:rPr>
          <w:rFonts w:ascii="Book Antiqua" w:hAnsi="Book Antiqua" w:cs="Book Antiqua"/>
          <w:sz w:val="24"/>
          <w:szCs w:val="24"/>
          <w:lang w:val="en-US"/>
        </w:rPr>
        <w:t>,</w:t>
      </w:r>
      <w:r w:rsidR="0069599F"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after</w:t>
      </w:r>
      <w:r w:rsidR="0069599F"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inhibition of</w:t>
      </w:r>
      <w:r w:rsidR="0069599F"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 xml:space="preserve">TNF-α, a worsening of </w:t>
      </w:r>
      <w:r w:rsidR="00E75E33" w:rsidRPr="00A64FF0">
        <w:rPr>
          <w:rFonts w:ascii="Book Antiqua" w:hAnsi="Book Antiqua" w:cs="Book Antiqua"/>
          <w:sz w:val="24"/>
          <w:szCs w:val="24"/>
          <w:lang w:val="en-US"/>
        </w:rPr>
        <w:t>a viral infection such as HCV co</w:t>
      </w:r>
      <w:r w:rsidRPr="00A64FF0">
        <w:rPr>
          <w:rFonts w:ascii="Book Antiqua" w:hAnsi="Book Antiqua" w:cs="Book Antiqua"/>
          <w:sz w:val="24"/>
          <w:szCs w:val="24"/>
          <w:lang w:val="en-US"/>
        </w:rPr>
        <w:t>uld be expected. However</w:t>
      </w:r>
      <w:r w:rsidR="00E75E33"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experimental and clinical data suggest that increased levels of TNF- </w:t>
      </w:r>
      <w:r w:rsidR="00E75E33" w:rsidRPr="00A64FF0">
        <w:rPr>
          <w:rFonts w:ascii="Book Antiqua" w:hAnsi="Book Antiqua" w:cs="Book Antiqua"/>
          <w:sz w:val="24"/>
          <w:szCs w:val="24"/>
          <w:lang w:val="en-US"/>
        </w:rPr>
        <w:t>α can have a detrimental effect</w:t>
      </w:r>
      <w:r w:rsidR="0069599F"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on</w:t>
      </w:r>
      <w:r w:rsidR="0069599F"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HCV infection</w:t>
      </w:r>
      <w:r w:rsidR="001944E8" w:rsidRPr="00A64FF0">
        <w:rPr>
          <w:rFonts w:ascii="Book Antiqua" w:hAnsi="Book Antiqua" w:cs="Book Antiqua"/>
          <w:sz w:val="24"/>
          <w:szCs w:val="24"/>
          <w:vertAlign w:val="superscript"/>
          <w:lang w:val="en-US"/>
        </w:rPr>
        <w:t>[</w:t>
      </w:r>
      <w:r w:rsidR="002B0740" w:rsidRPr="00A64FF0">
        <w:rPr>
          <w:rFonts w:ascii="Book Antiqua" w:hAnsi="Book Antiqua" w:cstheme="minorHAnsi"/>
          <w:iCs/>
          <w:sz w:val="24"/>
          <w:szCs w:val="24"/>
          <w:vertAlign w:val="superscript"/>
          <w:lang w:val="en-US"/>
        </w:rPr>
        <w:t>75-77]</w:t>
      </w:r>
      <w:r w:rsidRPr="00A64FF0">
        <w:rPr>
          <w:rFonts w:ascii="Book Antiqua" w:hAnsi="Book Antiqua" w:cs="Book Antiqua"/>
          <w:sz w:val="24"/>
          <w:szCs w:val="24"/>
          <w:lang w:val="en-US"/>
        </w:rPr>
        <w:t>. In particular</w:t>
      </w:r>
      <w:r w:rsidR="00270795" w:rsidRPr="00A64FF0">
        <w:rPr>
          <w:rFonts w:ascii="Book Antiqua" w:hAnsi="Book Antiqua" w:cs="Book Antiqua"/>
          <w:sz w:val="24"/>
          <w:szCs w:val="24"/>
          <w:lang w:val="en-US"/>
        </w:rPr>
        <w:t>,</w:t>
      </w:r>
      <w:r w:rsidR="002B0740" w:rsidRPr="00A64FF0">
        <w:rPr>
          <w:rFonts w:ascii="Book Antiqua" w:hAnsi="Book Antiqua" w:cs="Book Antiqua"/>
          <w:sz w:val="24"/>
          <w:szCs w:val="24"/>
          <w:lang w:val="en-US"/>
        </w:rPr>
        <w:t xml:space="preserve"> the aforementioned </w:t>
      </w:r>
      <w:r w:rsidRPr="00A64FF0">
        <w:rPr>
          <w:rFonts w:ascii="Book Antiqua" w:hAnsi="Book Antiqua" w:cs="Book Antiqua"/>
          <w:sz w:val="24"/>
          <w:szCs w:val="24"/>
          <w:lang w:val="en-US"/>
        </w:rPr>
        <w:t>cytokine seems to reduce cell capabilityto respond to interferon (IFN) signal</w:t>
      </w:r>
      <w:r w:rsidR="006C292D" w:rsidRPr="00A64FF0">
        <w:rPr>
          <w:rFonts w:ascii="Book Antiqua" w:hAnsi="Book Antiqua" w:cs="Book Antiqua"/>
          <w:sz w:val="24"/>
          <w:szCs w:val="24"/>
          <w:lang w:val="en-US"/>
        </w:rPr>
        <w:t>ling and, consequently, impair</w:t>
      </w:r>
      <w:r w:rsidR="002B0740" w:rsidRPr="00A64FF0">
        <w:rPr>
          <w:rFonts w:ascii="Book Antiqua" w:hAnsi="Book Antiqua" w:cs="Book Antiqua"/>
          <w:sz w:val="24"/>
          <w:szCs w:val="24"/>
          <w:lang w:val="en-US"/>
        </w:rPr>
        <w:t xml:space="preserve"> viral clearance</w:t>
      </w:r>
      <w:r w:rsidR="001944E8" w:rsidRPr="00A64FF0">
        <w:rPr>
          <w:rFonts w:ascii="Book Antiqua" w:hAnsi="Book Antiqua" w:cs="Book Antiqua"/>
          <w:sz w:val="24"/>
          <w:szCs w:val="24"/>
          <w:vertAlign w:val="superscript"/>
          <w:lang w:val="en-US"/>
        </w:rPr>
        <w:t>[</w:t>
      </w:r>
      <w:r w:rsidR="002B0740" w:rsidRPr="00A64FF0">
        <w:rPr>
          <w:rFonts w:ascii="Book Antiqua" w:hAnsi="Book Antiqua" w:cs="Book Antiqua"/>
          <w:sz w:val="24"/>
          <w:szCs w:val="24"/>
          <w:vertAlign w:val="superscript"/>
          <w:lang w:val="en-US"/>
        </w:rPr>
        <w:t>76]</w:t>
      </w:r>
      <w:r w:rsidRPr="00A64FF0">
        <w:rPr>
          <w:rFonts w:ascii="Book Antiqua" w:hAnsi="Book Antiqua" w:cs="Book Antiqua"/>
          <w:sz w:val="24"/>
          <w:szCs w:val="24"/>
          <w:lang w:val="en-US"/>
        </w:rPr>
        <w:t>.</w:t>
      </w:r>
      <w:r w:rsidR="0069599F"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Moreover</w:t>
      </w:r>
      <w:r w:rsidR="00E75E33"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a direct correlation between elevated</w:t>
      </w:r>
      <w:r w:rsidR="0069599F"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levels of TNF-α and those of ALT has been reported, with inc</w:t>
      </w:r>
      <w:r w:rsidR="00E75E33" w:rsidRPr="00A64FF0">
        <w:rPr>
          <w:rFonts w:ascii="Book Antiqua" w:hAnsi="Book Antiqua" w:cs="Book Antiqua"/>
          <w:sz w:val="24"/>
          <w:szCs w:val="24"/>
          <w:lang w:val="en-US"/>
        </w:rPr>
        <w:t>reased</w:t>
      </w:r>
      <w:r w:rsidR="0069599F" w:rsidRPr="00A64FF0">
        <w:rPr>
          <w:rFonts w:ascii="Book Antiqua" w:hAnsi="Book Antiqua" w:cs="Book Antiqua"/>
          <w:sz w:val="24"/>
          <w:szCs w:val="24"/>
          <w:lang w:val="en-US"/>
        </w:rPr>
        <w:t xml:space="preserve"> </w:t>
      </w:r>
      <w:r w:rsidR="00E75E33" w:rsidRPr="00A64FF0">
        <w:rPr>
          <w:rFonts w:ascii="Book Antiqua" w:hAnsi="Book Antiqua" w:cs="Book Antiqua"/>
          <w:sz w:val="24"/>
          <w:szCs w:val="24"/>
          <w:lang w:val="en-US"/>
        </w:rPr>
        <w:t>TNF- α levels having</w:t>
      </w:r>
      <w:r w:rsidRPr="00A64FF0">
        <w:rPr>
          <w:rFonts w:ascii="Book Antiqua" w:hAnsi="Book Antiqua" w:cs="Book Antiqua"/>
          <w:sz w:val="24"/>
          <w:szCs w:val="24"/>
          <w:lang w:val="en-US"/>
        </w:rPr>
        <w:t xml:space="preserve"> more severe histological activity</w:t>
      </w:r>
      <w:r w:rsidR="001944E8" w:rsidRPr="00A64FF0">
        <w:rPr>
          <w:rFonts w:ascii="Book Antiqua" w:hAnsi="Book Antiqua" w:cs="Book Antiqua"/>
          <w:sz w:val="24"/>
          <w:szCs w:val="24"/>
          <w:vertAlign w:val="superscript"/>
          <w:lang w:val="en-US"/>
        </w:rPr>
        <w:t>[</w:t>
      </w:r>
      <w:r w:rsidR="002B0740" w:rsidRPr="00A64FF0">
        <w:rPr>
          <w:rFonts w:ascii="Book Antiqua" w:hAnsi="Book Antiqua" w:cstheme="minorHAnsi"/>
          <w:iCs/>
          <w:sz w:val="24"/>
          <w:szCs w:val="24"/>
          <w:vertAlign w:val="superscript"/>
          <w:lang w:val="en-US"/>
        </w:rPr>
        <w:t>75,77]</w:t>
      </w:r>
      <w:r w:rsidRPr="00A64FF0">
        <w:rPr>
          <w:rFonts w:ascii="Book Antiqua" w:hAnsi="Book Antiqua" w:cs="Book Antiqua"/>
          <w:sz w:val="24"/>
          <w:szCs w:val="24"/>
          <w:lang w:val="en-US"/>
        </w:rPr>
        <w:t xml:space="preserve">. A further </w:t>
      </w:r>
      <w:r w:rsidR="00270795" w:rsidRPr="00A64FF0">
        <w:rPr>
          <w:rFonts w:ascii="Book Antiqua" w:hAnsi="Book Antiqua" w:cs="Book Antiqua"/>
          <w:sz w:val="24"/>
          <w:szCs w:val="24"/>
          <w:lang w:val="en-US"/>
        </w:rPr>
        <w:t>indication that decreasing TNF-</w:t>
      </w:r>
      <w:r w:rsidRPr="00A64FF0">
        <w:rPr>
          <w:rFonts w:ascii="Book Antiqua" w:hAnsi="Book Antiqua" w:cs="Book Antiqua"/>
          <w:sz w:val="24"/>
          <w:szCs w:val="24"/>
          <w:lang w:val="en-US"/>
        </w:rPr>
        <w:t xml:space="preserve">α concentrations can play a favourable effect on HCV infection </w:t>
      </w:r>
      <w:r w:rsidR="00E75E33" w:rsidRPr="00A64FF0">
        <w:rPr>
          <w:rFonts w:ascii="Book Antiqua" w:hAnsi="Book Antiqua" w:cs="Book Antiqua"/>
          <w:sz w:val="24"/>
          <w:szCs w:val="24"/>
          <w:lang w:val="en-US"/>
        </w:rPr>
        <w:t>come</w:t>
      </w:r>
      <w:r w:rsidR="00270795" w:rsidRPr="00A64FF0">
        <w:rPr>
          <w:rFonts w:ascii="Book Antiqua" w:hAnsi="Book Antiqua" w:cs="Book Antiqua"/>
          <w:sz w:val="24"/>
          <w:szCs w:val="24"/>
          <w:lang w:val="en-US"/>
        </w:rPr>
        <w:t>s</w:t>
      </w:r>
      <w:r w:rsidR="00E75E33" w:rsidRPr="00A64FF0">
        <w:rPr>
          <w:rFonts w:ascii="Book Antiqua" w:hAnsi="Book Antiqua" w:cs="Book Antiqua"/>
          <w:sz w:val="24"/>
          <w:szCs w:val="24"/>
          <w:lang w:val="en-US"/>
        </w:rPr>
        <w:t xml:space="preserve"> from a</w:t>
      </w:r>
      <w:r w:rsidRPr="00A64FF0">
        <w:rPr>
          <w:rFonts w:ascii="Book Antiqua" w:hAnsi="Book Antiqua" w:cs="Book Antiqua"/>
          <w:sz w:val="24"/>
          <w:szCs w:val="24"/>
          <w:lang w:val="en-US"/>
        </w:rPr>
        <w:t xml:space="preserve"> study in which etanercept</w:t>
      </w:r>
      <w:r w:rsidR="0069599F"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was administered as adjuvant</w:t>
      </w:r>
      <w:r w:rsidR="0069599F"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to IFN and ribavirinin a gr</w:t>
      </w:r>
      <w:r w:rsidR="002B0740" w:rsidRPr="00A64FF0">
        <w:rPr>
          <w:rFonts w:ascii="Book Antiqua" w:hAnsi="Book Antiqua" w:cs="Book Antiqua"/>
          <w:sz w:val="24"/>
          <w:szCs w:val="24"/>
          <w:lang w:val="en-US"/>
        </w:rPr>
        <w:t>oup of HCV infected patients</w:t>
      </w:r>
      <w:r w:rsidR="001944E8" w:rsidRPr="00A64FF0">
        <w:rPr>
          <w:rFonts w:ascii="Book Antiqua" w:hAnsi="Book Antiqua" w:cs="Book Antiqua"/>
          <w:sz w:val="24"/>
          <w:szCs w:val="24"/>
          <w:vertAlign w:val="superscript"/>
          <w:lang w:val="en-US"/>
        </w:rPr>
        <w:t>[</w:t>
      </w:r>
      <w:r w:rsidR="002B0740" w:rsidRPr="00A64FF0">
        <w:rPr>
          <w:rFonts w:ascii="Book Antiqua" w:hAnsi="Book Antiqua" w:cstheme="minorHAnsi"/>
          <w:iCs/>
          <w:sz w:val="24"/>
          <w:szCs w:val="24"/>
          <w:vertAlign w:val="superscript"/>
          <w:lang w:val="en-US"/>
        </w:rPr>
        <w:t>78]</w:t>
      </w:r>
      <w:r w:rsidRPr="00A64FF0">
        <w:rPr>
          <w:rFonts w:ascii="Book Antiqua" w:hAnsi="Book Antiqua" w:cs="Book Antiqua"/>
          <w:sz w:val="24"/>
          <w:szCs w:val="24"/>
          <w:lang w:val="en-US"/>
        </w:rPr>
        <w:t xml:space="preserve">. These subjects showed a higher decline of viral load and ALT as compared to the placebo group. </w:t>
      </w:r>
    </w:p>
    <w:p w:rsidR="00CC5C47" w:rsidRPr="00A64FF0" w:rsidRDefault="00CC5C47"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In addition to the data above reported, further observations indicate that TNFis</w:t>
      </w:r>
      <w:r w:rsidR="00980D08"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can be</w:t>
      </w:r>
      <w:r w:rsidR="00980D08"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safely administe</w:t>
      </w:r>
      <w:r w:rsidR="00E75E33" w:rsidRPr="00A64FF0">
        <w:rPr>
          <w:rFonts w:ascii="Book Antiqua" w:hAnsi="Book Antiqua" w:cs="Book Antiqua"/>
          <w:sz w:val="24"/>
          <w:szCs w:val="24"/>
          <w:lang w:val="en-US"/>
        </w:rPr>
        <w:t>red to</w:t>
      </w:r>
      <w:r w:rsidRPr="00A64FF0">
        <w:rPr>
          <w:rFonts w:ascii="Book Antiqua" w:hAnsi="Book Antiqua" w:cs="Book Antiqua"/>
          <w:sz w:val="24"/>
          <w:szCs w:val="24"/>
          <w:lang w:val="en-US"/>
        </w:rPr>
        <w:t xml:space="preserve"> patients with different immune-mediated diseases an</w:t>
      </w:r>
      <w:r w:rsidR="009248C4" w:rsidRPr="00A64FF0">
        <w:rPr>
          <w:rFonts w:ascii="Book Antiqua" w:hAnsi="Book Antiqua" w:cs="Book Antiqua"/>
          <w:sz w:val="24"/>
          <w:szCs w:val="24"/>
          <w:lang w:val="en-US"/>
        </w:rPr>
        <w:t>d concomitant HCV infection</w:t>
      </w:r>
      <w:r w:rsidR="001944E8" w:rsidRPr="00A64FF0">
        <w:rPr>
          <w:rFonts w:ascii="Book Antiqua" w:hAnsi="Book Antiqua" w:cs="Book Antiqua"/>
          <w:sz w:val="24"/>
          <w:szCs w:val="24"/>
          <w:vertAlign w:val="superscript"/>
          <w:lang w:val="en-US"/>
        </w:rPr>
        <w:t>[</w:t>
      </w:r>
      <w:r w:rsidR="001944E8" w:rsidRPr="00A64FF0">
        <w:rPr>
          <w:rFonts w:ascii="Book Antiqua" w:hAnsi="Book Antiqua" w:cstheme="minorHAnsi"/>
          <w:iCs/>
          <w:sz w:val="24"/>
          <w:szCs w:val="24"/>
          <w:vertAlign w:val="superscript"/>
          <w:lang w:val="en-US"/>
        </w:rPr>
        <w:t>39,40,</w:t>
      </w:r>
      <w:r w:rsidR="009248C4" w:rsidRPr="00A64FF0">
        <w:rPr>
          <w:rFonts w:ascii="Book Antiqua" w:hAnsi="Book Antiqua" w:cstheme="minorHAnsi"/>
          <w:iCs/>
          <w:sz w:val="24"/>
          <w:szCs w:val="24"/>
          <w:vertAlign w:val="superscript"/>
          <w:lang w:val="en-US"/>
        </w:rPr>
        <w:t>79]</w:t>
      </w:r>
      <w:r w:rsidRPr="00A64FF0">
        <w:rPr>
          <w:rFonts w:ascii="Book Antiqua" w:hAnsi="Book Antiqua" w:cs="Book Antiqua"/>
          <w:sz w:val="24"/>
          <w:szCs w:val="24"/>
          <w:lang w:val="en-US"/>
        </w:rPr>
        <w:t>. In particular</w:t>
      </w:r>
      <w:r w:rsidR="00E75E33" w:rsidRPr="00A64FF0">
        <w:rPr>
          <w:rFonts w:ascii="Book Antiqua" w:hAnsi="Book Antiqua" w:cs="Book Antiqua"/>
          <w:sz w:val="24"/>
          <w:szCs w:val="24"/>
          <w:lang w:val="en-US"/>
        </w:rPr>
        <w:t>, in</w:t>
      </w:r>
      <w:r w:rsidR="0087498C" w:rsidRPr="00A64FF0">
        <w:rPr>
          <w:rFonts w:ascii="Book Antiqua" w:hAnsi="Book Antiqua" w:cs="Book Antiqua"/>
          <w:sz w:val="24"/>
          <w:szCs w:val="24"/>
          <w:lang w:val="en-US"/>
        </w:rPr>
        <w:t xml:space="preserve"> </w:t>
      </w:r>
      <w:r w:rsidR="00E75E33" w:rsidRPr="00A64FF0">
        <w:rPr>
          <w:rFonts w:ascii="Book Antiqua" w:hAnsi="Book Antiqua" w:cs="Book Antiqua"/>
          <w:sz w:val="24"/>
          <w:szCs w:val="24"/>
          <w:lang w:val="en-US"/>
        </w:rPr>
        <w:t>most</w:t>
      </w:r>
      <w:r w:rsidR="0087498C" w:rsidRPr="00A64FF0">
        <w:rPr>
          <w:rFonts w:ascii="Book Antiqua" w:hAnsi="Book Antiqua" w:cs="Book Antiqua"/>
          <w:sz w:val="24"/>
          <w:szCs w:val="24"/>
          <w:lang w:val="en-US"/>
        </w:rPr>
        <w:t xml:space="preserve"> </w:t>
      </w:r>
      <w:r w:rsidR="00E75E33" w:rsidRPr="00A64FF0">
        <w:rPr>
          <w:rFonts w:ascii="Book Antiqua" w:hAnsi="Book Antiqua" w:cs="Book Antiqua"/>
          <w:sz w:val="24"/>
          <w:szCs w:val="24"/>
          <w:lang w:val="en-US"/>
        </w:rPr>
        <w:t>of</w:t>
      </w:r>
      <w:r w:rsidR="0087498C"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 xml:space="preserve">said patients viral load remained stable </w:t>
      </w:r>
      <w:r w:rsidR="009248C4" w:rsidRPr="00A64FF0">
        <w:rPr>
          <w:rFonts w:ascii="Book Antiqua" w:hAnsi="Book Antiqua" w:cs="Book Antiqua"/>
          <w:sz w:val="24"/>
          <w:szCs w:val="24"/>
          <w:lang w:val="en-US"/>
        </w:rPr>
        <w:t>or decreased</w:t>
      </w:r>
      <w:r w:rsidR="001944E8" w:rsidRPr="00A64FF0">
        <w:rPr>
          <w:rFonts w:ascii="Book Antiqua" w:hAnsi="Book Antiqua" w:cs="Book Antiqua"/>
          <w:sz w:val="24"/>
          <w:szCs w:val="24"/>
          <w:vertAlign w:val="superscript"/>
          <w:lang w:val="en-US"/>
        </w:rPr>
        <w:t>[</w:t>
      </w:r>
      <w:r w:rsidR="001944E8" w:rsidRPr="00A64FF0">
        <w:rPr>
          <w:rFonts w:ascii="Book Antiqua" w:hAnsi="Book Antiqua" w:cstheme="minorHAnsi"/>
          <w:iCs/>
          <w:sz w:val="24"/>
          <w:szCs w:val="24"/>
          <w:vertAlign w:val="superscript"/>
          <w:lang w:val="en-US"/>
        </w:rPr>
        <w:t>39,40,</w:t>
      </w:r>
      <w:r w:rsidR="009248C4" w:rsidRPr="00A64FF0">
        <w:rPr>
          <w:rFonts w:ascii="Book Antiqua" w:hAnsi="Book Antiqua" w:cstheme="minorHAnsi"/>
          <w:iCs/>
          <w:sz w:val="24"/>
          <w:szCs w:val="24"/>
          <w:vertAlign w:val="superscript"/>
          <w:lang w:val="en-US"/>
        </w:rPr>
        <w:t>79]</w:t>
      </w:r>
      <w:r w:rsidR="009248C4" w:rsidRPr="00A64FF0">
        <w:rPr>
          <w:rFonts w:ascii="Book Antiqua" w:hAnsi="Book Antiqua" w:cstheme="minorHAnsi"/>
          <w:iCs/>
          <w:sz w:val="24"/>
          <w:szCs w:val="24"/>
          <w:lang w:val="en-US"/>
        </w:rPr>
        <w:t>.</w:t>
      </w:r>
      <w:r w:rsidR="00270795" w:rsidRPr="00A64FF0">
        <w:rPr>
          <w:rFonts w:ascii="Book Antiqua" w:hAnsi="Book Antiqua" w:cs="Book Antiqua"/>
          <w:sz w:val="24"/>
          <w:szCs w:val="24"/>
          <w:lang w:val="en-US"/>
        </w:rPr>
        <w:t>Serum HCV RNA increase &gt;</w:t>
      </w:r>
      <w:r w:rsidR="001944E8" w:rsidRPr="00A64FF0">
        <w:rPr>
          <w:rFonts w:ascii="Book Antiqua" w:hAnsi="Book Antiqua" w:cs="Book Antiqua"/>
          <w:sz w:val="24"/>
          <w:szCs w:val="24"/>
          <w:lang w:val="en-US" w:eastAsia="zh-CN"/>
        </w:rPr>
        <w:t xml:space="preserve"> </w:t>
      </w:r>
      <w:r w:rsidRPr="00A64FF0">
        <w:rPr>
          <w:rFonts w:ascii="Book Antiqua" w:hAnsi="Book Antiqua" w:cs="Book Antiqua"/>
          <w:sz w:val="24"/>
          <w:szCs w:val="24"/>
          <w:lang w:val="en-US"/>
        </w:rPr>
        <w:t>1 log above baseline was rarely recorded</w:t>
      </w:r>
      <w:r w:rsidR="00E75E33" w:rsidRPr="00A64FF0">
        <w:rPr>
          <w:rFonts w:ascii="Book Antiqua" w:hAnsi="Book Antiqua" w:cs="Book Antiqua"/>
          <w:sz w:val="24"/>
          <w:szCs w:val="24"/>
          <w:lang w:val="en-US"/>
        </w:rPr>
        <w:t xml:space="preserve"> and </w:t>
      </w:r>
      <w:r w:rsidRPr="00A64FF0">
        <w:rPr>
          <w:rFonts w:ascii="Book Antiqua" w:hAnsi="Book Antiqua" w:cs="Book Antiqua"/>
          <w:sz w:val="24"/>
          <w:szCs w:val="24"/>
          <w:lang w:val="en-US"/>
        </w:rPr>
        <w:t>could</w:t>
      </w:r>
      <w:r w:rsidR="00E75E33" w:rsidRPr="00A64FF0">
        <w:rPr>
          <w:rFonts w:ascii="Book Antiqua" w:hAnsi="Book Antiqua" w:cs="Book Antiqua"/>
          <w:sz w:val="24"/>
          <w:szCs w:val="24"/>
          <w:lang w:val="en-US"/>
        </w:rPr>
        <w:t xml:space="preserve"> not</w:t>
      </w:r>
      <w:r w:rsidRPr="00A64FF0">
        <w:rPr>
          <w:rFonts w:ascii="Book Antiqua" w:hAnsi="Book Antiqua" w:cs="Book Antiqua"/>
          <w:sz w:val="24"/>
          <w:szCs w:val="24"/>
          <w:lang w:val="en-US"/>
        </w:rPr>
        <w:t xml:space="preserve"> be confidently attribut</w:t>
      </w:r>
      <w:r w:rsidR="00E75E33" w:rsidRPr="00A64FF0">
        <w:rPr>
          <w:rFonts w:ascii="Book Antiqua" w:hAnsi="Book Antiqua" w:cs="Book Antiqua"/>
          <w:sz w:val="24"/>
          <w:szCs w:val="24"/>
          <w:lang w:val="en-US"/>
        </w:rPr>
        <w:t>ed</w:t>
      </w:r>
      <w:r w:rsidRPr="00A64FF0">
        <w:rPr>
          <w:rFonts w:ascii="Book Antiqua" w:hAnsi="Book Antiqua" w:cs="Book Antiqua"/>
          <w:sz w:val="24"/>
          <w:szCs w:val="24"/>
          <w:lang w:val="en-US"/>
        </w:rPr>
        <w:t xml:space="preserve"> to TNFis. </w:t>
      </w:r>
    </w:p>
    <w:p w:rsidR="00CC5C47" w:rsidRPr="00A64FF0" w:rsidRDefault="00CC5C47"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At</w:t>
      </w:r>
      <w:r w:rsidR="00E0277E"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present</w:t>
      </w:r>
      <w:r w:rsidR="00270795" w:rsidRPr="00A64FF0">
        <w:rPr>
          <w:rFonts w:ascii="Book Antiqua" w:hAnsi="Book Antiqua" w:cs="Book Antiqua"/>
          <w:sz w:val="24"/>
          <w:szCs w:val="24"/>
          <w:lang w:val="en-US"/>
        </w:rPr>
        <w:t>,</w:t>
      </w:r>
      <w:r w:rsidR="00E0277E"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45 PsO</w:t>
      </w:r>
      <w:r w:rsidR="00E0277E"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 xml:space="preserve">and 33 PsA patients with concomitant HCV infection </w:t>
      </w:r>
      <w:r w:rsidR="00EB16B7" w:rsidRPr="00A64FF0">
        <w:rPr>
          <w:rFonts w:ascii="Book Antiqua" w:hAnsi="Book Antiqua" w:cs="Book Antiqua"/>
          <w:sz w:val="24"/>
          <w:szCs w:val="24"/>
          <w:lang w:val="en-US"/>
        </w:rPr>
        <w:t>have</w:t>
      </w:r>
      <w:r w:rsidR="00270795" w:rsidRPr="00A64FF0">
        <w:rPr>
          <w:rFonts w:ascii="Book Antiqua" w:hAnsi="Book Antiqua" w:cs="Book Antiqua"/>
          <w:sz w:val="24"/>
          <w:szCs w:val="24"/>
          <w:lang w:val="en-US"/>
        </w:rPr>
        <w:t xml:space="preserve"> been </w:t>
      </w:r>
      <w:r w:rsidR="00EB16B7" w:rsidRPr="00A64FF0">
        <w:rPr>
          <w:rFonts w:ascii="Book Antiqua" w:hAnsi="Book Antiqua" w:cs="Book Antiqua"/>
          <w:sz w:val="24"/>
          <w:szCs w:val="24"/>
          <w:lang w:val="en-US"/>
        </w:rPr>
        <w:t xml:space="preserve">treated </w:t>
      </w:r>
      <w:r w:rsidR="00E75E33" w:rsidRPr="00A64FF0">
        <w:rPr>
          <w:rFonts w:ascii="Book Antiqua" w:hAnsi="Book Antiqua" w:cs="Book Antiqua"/>
          <w:sz w:val="24"/>
          <w:szCs w:val="24"/>
          <w:lang w:val="en-US"/>
        </w:rPr>
        <w:t>w</w:t>
      </w:r>
      <w:r w:rsidR="00EB16B7" w:rsidRPr="00A64FF0">
        <w:rPr>
          <w:rFonts w:ascii="Book Antiqua" w:hAnsi="Book Antiqua" w:cs="Book Antiqua"/>
          <w:sz w:val="24"/>
          <w:szCs w:val="24"/>
          <w:lang w:val="en-US"/>
        </w:rPr>
        <w:t>ith</w:t>
      </w:r>
      <w:r w:rsidR="00E0277E"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TNFis</w:t>
      </w:r>
      <w:r w:rsidR="001944E8" w:rsidRPr="00A64FF0">
        <w:rPr>
          <w:rFonts w:ascii="Book Antiqua" w:hAnsi="Book Antiqua" w:cs="Book Antiqua"/>
          <w:sz w:val="24"/>
          <w:szCs w:val="24"/>
          <w:vertAlign w:val="superscript"/>
          <w:lang w:val="en-US"/>
        </w:rPr>
        <w:t>[</w:t>
      </w:r>
      <w:r w:rsidR="001944E8" w:rsidRPr="00A64FF0">
        <w:rPr>
          <w:rFonts w:ascii="Book Antiqua" w:hAnsi="Book Antiqua" w:cstheme="minorHAnsi"/>
          <w:iCs/>
          <w:sz w:val="24"/>
          <w:szCs w:val="24"/>
          <w:vertAlign w:val="superscript"/>
          <w:lang w:val="en-US"/>
        </w:rPr>
        <w:t>48,53,</w:t>
      </w:r>
      <w:r w:rsidR="00EB16B7" w:rsidRPr="00A64FF0">
        <w:rPr>
          <w:rFonts w:ascii="Book Antiqua" w:hAnsi="Book Antiqua" w:cstheme="minorHAnsi"/>
          <w:iCs/>
          <w:sz w:val="24"/>
          <w:szCs w:val="24"/>
          <w:vertAlign w:val="superscript"/>
          <w:lang w:val="en-US"/>
        </w:rPr>
        <w:t>80-106]</w:t>
      </w:r>
      <w:r w:rsidR="00EB16B7" w:rsidRPr="00A64FF0">
        <w:rPr>
          <w:rFonts w:ascii="Book Antiqua" w:hAnsi="Book Antiqua" w:cstheme="minorHAnsi"/>
          <w:iCs/>
          <w:sz w:val="24"/>
          <w:szCs w:val="24"/>
          <w:lang w:val="en-US"/>
        </w:rPr>
        <w:t>.</w:t>
      </w:r>
      <w:r w:rsidR="00E0277E" w:rsidRPr="00A64FF0">
        <w:rPr>
          <w:rFonts w:ascii="Book Antiqua" w:hAnsi="Book Antiqua" w:cstheme="minorHAnsi"/>
          <w:iCs/>
          <w:sz w:val="24"/>
          <w:szCs w:val="24"/>
          <w:lang w:val="en-US"/>
        </w:rPr>
        <w:t xml:space="preserve"> </w:t>
      </w:r>
      <w:r w:rsidRPr="00A64FF0">
        <w:rPr>
          <w:rFonts w:ascii="Book Antiqua" w:hAnsi="Book Antiqua" w:cs="Book Antiqua"/>
          <w:sz w:val="24"/>
          <w:szCs w:val="24"/>
          <w:lang w:val="en-US"/>
        </w:rPr>
        <w:t>Diagnosis, ALT and viral load</w:t>
      </w:r>
      <w:r w:rsidR="00E0277E"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outcomes at</w:t>
      </w:r>
      <w:r w:rsidR="00E0277E" w:rsidRPr="00A64FF0">
        <w:rPr>
          <w:rFonts w:ascii="Book Antiqua" w:hAnsi="Book Antiqua" w:cs="Book Antiqua"/>
          <w:sz w:val="24"/>
          <w:szCs w:val="24"/>
          <w:lang w:val="en-US"/>
        </w:rPr>
        <w:t xml:space="preserve"> </w:t>
      </w:r>
      <w:r w:rsidR="00E75E33" w:rsidRPr="00A64FF0">
        <w:rPr>
          <w:rFonts w:ascii="Book Antiqua" w:hAnsi="Book Antiqua" w:cs="Book Antiqua"/>
          <w:sz w:val="24"/>
          <w:szCs w:val="24"/>
          <w:lang w:val="en-US"/>
        </w:rPr>
        <w:t>the last follow-up of the</w:t>
      </w:r>
      <w:r w:rsidR="00E0277E"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mention</w:t>
      </w:r>
      <w:r w:rsidR="00B94FB8" w:rsidRPr="00A64FF0">
        <w:rPr>
          <w:rFonts w:ascii="Book Antiqua" w:hAnsi="Book Antiqua" w:cs="Book Antiqua"/>
          <w:sz w:val="24"/>
          <w:szCs w:val="24"/>
          <w:lang w:val="en-US"/>
        </w:rPr>
        <w:t>ed subjects are shown in Table 4</w:t>
      </w:r>
      <w:r w:rsidRPr="00A64FF0">
        <w:rPr>
          <w:rFonts w:ascii="Book Antiqua" w:hAnsi="Book Antiqua" w:cs="Book Antiqua"/>
          <w:sz w:val="24"/>
          <w:szCs w:val="24"/>
          <w:lang w:val="en-US"/>
        </w:rPr>
        <w:t>. Of all the patients reported</w:t>
      </w:r>
      <w:r w:rsidR="00E75E33"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66 received a singl</w:t>
      </w:r>
      <w:r w:rsidR="000D6876" w:rsidRPr="00A64FF0">
        <w:rPr>
          <w:rFonts w:ascii="Book Antiqua" w:hAnsi="Book Antiqua" w:cs="Book Antiqua"/>
          <w:sz w:val="24"/>
          <w:szCs w:val="24"/>
          <w:lang w:val="en-US"/>
        </w:rPr>
        <w:t>e TNFi (56 ETA, 9 ADA, 1 IFX</w:t>
      </w:r>
      <w:r w:rsidRPr="00A64FF0">
        <w:rPr>
          <w:rFonts w:ascii="Book Antiqua" w:hAnsi="Book Antiqua" w:cs="Book Antiqua"/>
          <w:sz w:val="24"/>
          <w:szCs w:val="24"/>
          <w:lang w:val="en-US"/>
        </w:rPr>
        <w:t>). Six patients were treated sequentially with 2 TNFIs (1 with IFX and then ADA,4 with ETA and then ADA a</w:t>
      </w:r>
      <w:r w:rsidR="00B94FB8" w:rsidRPr="00A64FF0">
        <w:rPr>
          <w:rFonts w:ascii="Book Antiqua" w:hAnsi="Book Antiqua" w:cs="Book Antiqua"/>
          <w:sz w:val="24"/>
          <w:szCs w:val="24"/>
          <w:lang w:val="en-US"/>
        </w:rPr>
        <w:t>nd 1 with ETA and then IFX)</w:t>
      </w:r>
      <w:r w:rsidRPr="00A64FF0">
        <w:rPr>
          <w:rFonts w:ascii="Book Antiqua" w:hAnsi="Book Antiqua" w:cs="Book Antiqua"/>
          <w:sz w:val="24"/>
          <w:szCs w:val="24"/>
          <w:lang w:val="en-US"/>
        </w:rPr>
        <w:t>. One patient was treated sequentially with 3 TNFis (ETA followed by IFXand then ADA).</w:t>
      </w:r>
    </w:p>
    <w:p w:rsidR="00CC5C47" w:rsidRPr="00A64FF0" w:rsidRDefault="00CC5C47"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 xml:space="preserve">The duration of TNFis was highly variable </w:t>
      </w:r>
      <w:r w:rsidR="00B11352" w:rsidRPr="00A64FF0">
        <w:rPr>
          <w:rFonts w:ascii="Book Antiqua" w:hAnsi="Book Antiqua" w:cs="Book Antiqua"/>
          <w:sz w:val="24"/>
          <w:szCs w:val="24"/>
          <w:lang w:val="en-US"/>
        </w:rPr>
        <w:t>ranging from 1 to 48 mo</w:t>
      </w:r>
      <w:r w:rsidR="001944E8" w:rsidRPr="00A64FF0">
        <w:rPr>
          <w:rFonts w:ascii="Book Antiqua" w:hAnsi="Book Antiqua" w:cs="Book Antiqua"/>
          <w:sz w:val="24"/>
          <w:szCs w:val="24"/>
          <w:vertAlign w:val="superscript"/>
          <w:lang w:val="en-US"/>
        </w:rPr>
        <w:t>[</w:t>
      </w:r>
      <w:r w:rsidR="001944E8" w:rsidRPr="00A64FF0">
        <w:rPr>
          <w:rFonts w:ascii="Book Antiqua" w:hAnsi="Book Antiqua" w:cstheme="minorHAnsi"/>
          <w:iCs/>
          <w:sz w:val="24"/>
          <w:szCs w:val="24"/>
          <w:vertAlign w:val="superscript"/>
          <w:lang w:val="en-US"/>
        </w:rPr>
        <w:t>97,105]</w:t>
      </w:r>
      <w:r w:rsidRPr="00A64FF0">
        <w:rPr>
          <w:rFonts w:ascii="Book Antiqua" w:hAnsi="Book Antiqua" w:cs="Book Antiqua"/>
          <w:sz w:val="24"/>
          <w:szCs w:val="24"/>
          <w:lang w:val="en-US"/>
        </w:rPr>
        <w:t>.</w:t>
      </w:r>
    </w:p>
    <w:p w:rsidR="00CC5C47" w:rsidRPr="00A64FF0" w:rsidRDefault="00CC5C47"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lastRenderedPageBreak/>
        <w:t>At baseline</w:t>
      </w:r>
      <w:r w:rsidR="00E75E33"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liver bio</w:t>
      </w:r>
      <w:r w:rsidR="00270795" w:rsidRPr="00A64FF0">
        <w:rPr>
          <w:rFonts w:ascii="Book Antiqua" w:hAnsi="Book Antiqua" w:cs="Book Antiqua"/>
          <w:sz w:val="24"/>
          <w:szCs w:val="24"/>
          <w:lang w:val="en-US"/>
        </w:rPr>
        <w:t>psy specimens were available from</w:t>
      </w:r>
      <w:r w:rsidRPr="00A64FF0">
        <w:rPr>
          <w:rFonts w:ascii="Book Antiqua" w:hAnsi="Book Antiqua" w:cs="Book Antiqua"/>
          <w:sz w:val="24"/>
          <w:szCs w:val="24"/>
          <w:lang w:val="en-US"/>
        </w:rPr>
        <w:t xml:space="preserve"> 16 patients which revealed various grade</w:t>
      </w:r>
      <w:r w:rsidR="00E75E33" w:rsidRPr="00A64FF0">
        <w:rPr>
          <w:rFonts w:ascii="Book Antiqua" w:hAnsi="Book Antiqua" w:cs="Book Antiqua"/>
          <w:sz w:val="24"/>
          <w:szCs w:val="24"/>
          <w:lang w:val="en-US"/>
        </w:rPr>
        <w:t>s</w:t>
      </w:r>
      <w:r w:rsidRPr="00A64FF0">
        <w:rPr>
          <w:rFonts w:ascii="Book Antiqua" w:hAnsi="Book Antiqua" w:cs="Book Antiqua"/>
          <w:sz w:val="24"/>
          <w:szCs w:val="24"/>
          <w:lang w:val="en-US"/>
        </w:rPr>
        <w:t xml:space="preserve"> of fibrosi</w:t>
      </w:r>
      <w:r w:rsidR="00E75E33" w:rsidRPr="00A64FF0">
        <w:rPr>
          <w:rFonts w:ascii="Book Antiqua" w:hAnsi="Book Antiqua" w:cs="Book Antiqua"/>
          <w:sz w:val="24"/>
          <w:szCs w:val="24"/>
          <w:lang w:val="en-US"/>
        </w:rPr>
        <w:t>s ranging</w:t>
      </w:r>
      <w:r w:rsidR="00C076EC" w:rsidRPr="00A64FF0">
        <w:rPr>
          <w:rFonts w:ascii="Book Antiqua" w:hAnsi="Book Antiqua" w:cs="Book Antiqua"/>
          <w:sz w:val="24"/>
          <w:szCs w:val="24"/>
          <w:lang w:val="en-US"/>
        </w:rPr>
        <w:t xml:space="preserve"> </w:t>
      </w:r>
      <w:r w:rsidR="00E75E33" w:rsidRPr="00A64FF0">
        <w:rPr>
          <w:rFonts w:ascii="Book Antiqua" w:hAnsi="Book Antiqua" w:cs="Book Antiqua"/>
          <w:sz w:val="24"/>
          <w:szCs w:val="24"/>
          <w:lang w:val="en-US"/>
        </w:rPr>
        <w:t>from F0 to F4</w:t>
      </w:r>
      <w:r w:rsidR="001944E8" w:rsidRPr="00A64FF0">
        <w:rPr>
          <w:rFonts w:ascii="Book Antiqua" w:hAnsi="Book Antiqua" w:cstheme="minorHAnsi"/>
          <w:iCs/>
          <w:sz w:val="24"/>
          <w:szCs w:val="24"/>
          <w:vertAlign w:val="superscript"/>
          <w:lang w:val="en-US"/>
        </w:rPr>
        <w:t>[</w:t>
      </w:r>
      <w:r w:rsidR="00E040AC" w:rsidRPr="00A64FF0">
        <w:rPr>
          <w:rFonts w:ascii="Book Antiqua" w:hAnsi="Book Antiqua" w:cstheme="minorHAnsi"/>
          <w:iCs/>
          <w:sz w:val="24"/>
          <w:szCs w:val="24"/>
          <w:vertAlign w:val="superscript"/>
          <w:lang w:val="en-US"/>
        </w:rPr>
        <w:t>81</w:t>
      </w:r>
      <w:r w:rsidR="001944E8" w:rsidRPr="00A64FF0">
        <w:rPr>
          <w:rFonts w:ascii="Book Antiqua" w:hAnsi="Book Antiqua" w:cstheme="minorHAnsi"/>
          <w:iCs/>
          <w:sz w:val="24"/>
          <w:szCs w:val="24"/>
          <w:vertAlign w:val="superscript"/>
          <w:lang w:val="en-US"/>
        </w:rPr>
        <w:t>-85,87,95,96,99,</w:t>
      </w:r>
      <w:r w:rsidR="00E040AC" w:rsidRPr="00A64FF0">
        <w:rPr>
          <w:rFonts w:ascii="Book Antiqua" w:hAnsi="Book Antiqua" w:cstheme="minorHAnsi"/>
          <w:iCs/>
          <w:sz w:val="24"/>
          <w:szCs w:val="24"/>
          <w:vertAlign w:val="superscript"/>
          <w:lang w:val="en-US"/>
        </w:rPr>
        <w:t>101</w:t>
      </w:r>
      <w:r w:rsidR="001944E8" w:rsidRPr="00A64FF0">
        <w:rPr>
          <w:rFonts w:ascii="Book Antiqua" w:hAnsi="Book Antiqua" w:cstheme="minorHAnsi"/>
          <w:iCs/>
          <w:sz w:val="24"/>
          <w:szCs w:val="24"/>
          <w:vertAlign w:val="superscript"/>
          <w:lang w:val="en-US"/>
        </w:rPr>
        <w:t>-</w:t>
      </w:r>
      <w:r w:rsidR="00E040AC" w:rsidRPr="00A64FF0">
        <w:rPr>
          <w:rFonts w:ascii="Book Antiqua" w:hAnsi="Book Antiqua" w:cstheme="minorHAnsi"/>
          <w:iCs/>
          <w:sz w:val="24"/>
          <w:szCs w:val="24"/>
          <w:vertAlign w:val="superscript"/>
          <w:lang w:val="en-US"/>
        </w:rPr>
        <w:t>103]</w:t>
      </w:r>
      <w:r w:rsidR="00E75E33" w:rsidRPr="00A64FF0">
        <w:rPr>
          <w:rFonts w:ascii="Book Antiqua" w:hAnsi="Book Antiqua" w:cs="Book Antiqua"/>
          <w:sz w:val="24"/>
          <w:szCs w:val="24"/>
          <w:lang w:val="en-US"/>
        </w:rPr>
        <w:t>. Of</w:t>
      </w:r>
      <w:r w:rsidRPr="00A64FF0">
        <w:rPr>
          <w:rFonts w:ascii="Book Antiqua" w:hAnsi="Book Antiqua" w:cs="Book Antiqua"/>
          <w:sz w:val="24"/>
          <w:szCs w:val="24"/>
          <w:lang w:val="en-US"/>
        </w:rPr>
        <w:t xml:space="preserve"> said subjects only 2 underwent a </w:t>
      </w:r>
      <w:r w:rsidR="00270795" w:rsidRPr="00A64FF0">
        <w:rPr>
          <w:rFonts w:ascii="Book Antiqua" w:hAnsi="Book Antiqua" w:cs="Book Antiqua"/>
          <w:sz w:val="24"/>
          <w:szCs w:val="24"/>
          <w:lang w:val="en-US"/>
        </w:rPr>
        <w:t>second</w:t>
      </w:r>
      <w:r w:rsidR="00E75E33" w:rsidRPr="00A64FF0">
        <w:rPr>
          <w:rFonts w:ascii="Book Antiqua" w:hAnsi="Book Antiqua" w:cs="Book Antiqua"/>
          <w:sz w:val="24"/>
          <w:szCs w:val="24"/>
          <w:lang w:val="en-US"/>
        </w:rPr>
        <w:t xml:space="preserve"> liver biopsy </w:t>
      </w:r>
      <w:r w:rsidRPr="00A64FF0">
        <w:rPr>
          <w:rFonts w:ascii="Book Antiqua" w:hAnsi="Book Antiqua" w:cs="Book Antiqua"/>
          <w:sz w:val="24"/>
          <w:szCs w:val="24"/>
          <w:lang w:val="en-US"/>
        </w:rPr>
        <w:t>control which showed no significant histological</w:t>
      </w:r>
      <w:r w:rsidR="00057F53"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changes compared to pretreatment</w:t>
      </w:r>
      <w:r w:rsidR="00357671" w:rsidRPr="00A64FF0">
        <w:rPr>
          <w:rFonts w:ascii="Book Antiqua" w:hAnsi="Book Antiqua" w:cs="Book Antiqua"/>
          <w:sz w:val="24"/>
          <w:szCs w:val="24"/>
          <w:lang w:val="en-US"/>
        </w:rPr>
        <w:t xml:space="preserve"> findings</w:t>
      </w:r>
      <w:r w:rsidR="001944E8" w:rsidRPr="00A64FF0">
        <w:rPr>
          <w:rFonts w:ascii="Book Antiqua" w:hAnsi="Book Antiqua" w:cs="Book Antiqua"/>
          <w:sz w:val="24"/>
          <w:szCs w:val="24"/>
          <w:vertAlign w:val="superscript"/>
          <w:lang w:val="en-US"/>
        </w:rPr>
        <w:t>[</w:t>
      </w:r>
      <w:r w:rsidR="00C43FF9" w:rsidRPr="00A64FF0">
        <w:rPr>
          <w:rFonts w:ascii="Book Antiqua" w:hAnsi="Book Antiqua" w:cstheme="minorHAnsi"/>
          <w:iCs/>
          <w:sz w:val="24"/>
          <w:szCs w:val="24"/>
          <w:vertAlign w:val="superscript"/>
          <w:lang w:val="en-US"/>
        </w:rPr>
        <w:t>95]</w:t>
      </w:r>
      <w:r w:rsidRPr="00A64FF0">
        <w:rPr>
          <w:rFonts w:ascii="Book Antiqua" w:hAnsi="Book Antiqua" w:cs="Book Antiqua"/>
          <w:sz w:val="24"/>
          <w:szCs w:val="24"/>
          <w:lang w:val="en-US"/>
        </w:rPr>
        <w:t>.</w:t>
      </w:r>
    </w:p>
    <w:p w:rsidR="00DA5CE1" w:rsidRPr="00A64FF0" w:rsidRDefault="00E75E33"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As shown in T</w:t>
      </w:r>
      <w:r w:rsidR="00DA5CE1" w:rsidRPr="00A64FF0">
        <w:rPr>
          <w:rFonts w:ascii="Book Antiqua" w:hAnsi="Book Antiqua" w:cs="Book Antiqua"/>
          <w:sz w:val="24"/>
          <w:szCs w:val="24"/>
          <w:lang w:val="en-US"/>
        </w:rPr>
        <w:t>able 4</w:t>
      </w:r>
      <w:r w:rsidRPr="00A64FF0">
        <w:rPr>
          <w:rFonts w:ascii="Book Antiqua" w:hAnsi="Book Antiqua" w:cs="Book Antiqua"/>
          <w:sz w:val="24"/>
          <w:szCs w:val="24"/>
          <w:lang w:val="en-US"/>
        </w:rPr>
        <w:t>,</w:t>
      </w:r>
      <w:r w:rsidR="00CC5C47" w:rsidRPr="00A64FF0">
        <w:rPr>
          <w:rFonts w:ascii="Book Antiqua" w:hAnsi="Book Antiqua" w:cs="Book Antiqua"/>
          <w:sz w:val="24"/>
          <w:szCs w:val="24"/>
          <w:lang w:val="en-US"/>
        </w:rPr>
        <w:t xml:space="preserve"> in the majority of the patients described, ALT and HCV RNA viral load remained unchanged or declined during TNFis therapy. </w:t>
      </w:r>
    </w:p>
    <w:p w:rsidR="00CC5C47" w:rsidRPr="00A64FF0" w:rsidRDefault="00CC5C47" w:rsidP="00467AE1">
      <w:pPr>
        <w:adjustRightInd w:val="0"/>
        <w:snapToGrid w:val="0"/>
        <w:spacing w:after="0" w:line="360" w:lineRule="auto"/>
        <w:ind w:firstLineChars="200" w:firstLine="480"/>
        <w:jc w:val="both"/>
        <w:rPr>
          <w:rFonts w:ascii="Book Antiqua" w:hAnsi="Book Antiqua" w:cs="Book Antiqua"/>
          <w:sz w:val="24"/>
          <w:szCs w:val="24"/>
          <w:lang w:val="en-US"/>
        </w:rPr>
      </w:pPr>
      <w:r w:rsidRPr="00A64FF0">
        <w:rPr>
          <w:rFonts w:ascii="Book Antiqua" w:hAnsi="Book Antiqua" w:cs="Book Antiqua"/>
          <w:sz w:val="24"/>
          <w:szCs w:val="24"/>
          <w:lang w:val="en-US"/>
        </w:rPr>
        <w:t>On the whole</w:t>
      </w:r>
      <w:r w:rsidR="00E75E33" w:rsidRPr="00A64FF0">
        <w:rPr>
          <w:rFonts w:ascii="Book Antiqua" w:hAnsi="Book Antiqua" w:cs="Book Antiqua"/>
          <w:sz w:val="24"/>
          <w:szCs w:val="24"/>
          <w:lang w:val="en-US"/>
        </w:rPr>
        <w:t>,</w:t>
      </w:r>
      <w:r w:rsidR="00282E5E"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the safety profile of TNF</w:t>
      </w:r>
      <w:r w:rsidR="00E75E33" w:rsidRPr="00A64FF0">
        <w:rPr>
          <w:rFonts w:ascii="Book Antiqua" w:hAnsi="Book Antiqua" w:cs="Book Antiqua"/>
          <w:sz w:val="24"/>
          <w:szCs w:val="24"/>
          <w:lang w:val="en-US"/>
        </w:rPr>
        <w:t>is appears to be reasonably good</w:t>
      </w:r>
      <w:r w:rsidRPr="00A64FF0">
        <w:rPr>
          <w:rFonts w:ascii="Book Antiqua" w:hAnsi="Book Antiqua" w:cs="Book Antiqua"/>
          <w:sz w:val="24"/>
          <w:szCs w:val="24"/>
          <w:lang w:val="en-US"/>
        </w:rPr>
        <w:t xml:space="preserve"> inPsO patients with concomitant HCV infection even if 4 cases of hepatocelluar carcinoma</w:t>
      </w:r>
      <w:r w:rsidR="00282E5E"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(HCC) were recorded</w:t>
      </w:r>
      <w:r w:rsidR="001944E8" w:rsidRPr="00A64FF0">
        <w:rPr>
          <w:rFonts w:ascii="Book Antiqua" w:hAnsi="Book Antiqua" w:cs="Book Antiqua"/>
          <w:sz w:val="24"/>
          <w:szCs w:val="24"/>
          <w:vertAlign w:val="superscript"/>
          <w:lang w:val="en-US"/>
        </w:rPr>
        <w:t>[</w:t>
      </w:r>
      <w:r w:rsidR="001944E8" w:rsidRPr="00A64FF0">
        <w:rPr>
          <w:rFonts w:ascii="Book Antiqua" w:hAnsi="Book Antiqua" w:cstheme="minorHAnsi"/>
          <w:iCs/>
          <w:sz w:val="24"/>
          <w:szCs w:val="24"/>
          <w:vertAlign w:val="superscript"/>
          <w:lang w:val="en-US"/>
        </w:rPr>
        <w:t>53,105]</w:t>
      </w:r>
      <w:r w:rsidRPr="00A64FF0">
        <w:rPr>
          <w:rFonts w:ascii="Book Antiqua" w:hAnsi="Book Antiqua" w:cs="Book Antiqua"/>
          <w:sz w:val="24"/>
          <w:szCs w:val="24"/>
          <w:lang w:val="en-US"/>
        </w:rPr>
        <w:t>. However</w:t>
      </w:r>
      <w:r w:rsidR="00E75E33" w:rsidRPr="00A64FF0">
        <w:rPr>
          <w:rFonts w:ascii="Book Antiqua" w:hAnsi="Book Antiqua" w:cs="Book Antiqua"/>
          <w:sz w:val="24"/>
          <w:szCs w:val="24"/>
          <w:lang w:val="en-US"/>
        </w:rPr>
        <w:t>,</w:t>
      </w:r>
      <w:r w:rsidRPr="00A64FF0">
        <w:rPr>
          <w:rFonts w:ascii="Book Antiqua" w:hAnsi="Book Antiqua" w:cs="Book Antiqua"/>
          <w:sz w:val="24"/>
          <w:szCs w:val="24"/>
          <w:lang w:val="en-US"/>
        </w:rPr>
        <w:t xml:space="preserve"> 3 out </w:t>
      </w:r>
      <w:r w:rsidR="00270795" w:rsidRPr="00A64FF0">
        <w:rPr>
          <w:rFonts w:ascii="Book Antiqua" w:hAnsi="Book Antiqua" w:cs="Book Antiqua"/>
          <w:sz w:val="24"/>
          <w:szCs w:val="24"/>
          <w:lang w:val="en-US"/>
        </w:rPr>
        <w:t xml:space="preserve">of </w:t>
      </w:r>
      <w:r w:rsidRPr="00A64FF0">
        <w:rPr>
          <w:rFonts w:ascii="Book Antiqua" w:hAnsi="Book Antiqua" w:cs="Book Antiqua"/>
          <w:sz w:val="24"/>
          <w:szCs w:val="24"/>
          <w:lang w:val="en-US"/>
        </w:rPr>
        <w:t>4 said patients were affected by cirrhosis</w:t>
      </w:r>
      <w:r w:rsidR="00282E5E"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and</w:t>
      </w:r>
      <w:r w:rsidR="00E75E33" w:rsidRPr="00A64FF0">
        <w:rPr>
          <w:rFonts w:ascii="Book Antiqua" w:hAnsi="Book Antiqua" w:cs="Book Antiqua"/>
          <w:sz w:val="24"/>
          <w:szCs w:val="24"/>
          <w:lang w:val="en-US"/>
        </w:rPr>
        <w:t xml:space="preserve"> it</w:t>
      </w:r>
      <w:r w:rsidR="00282E5E"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 xml:space="preserve">is impossible to draw any conclusion </w:t>
      </w:r>
      <w:r w:rsidR="00E75E33" w:rsidRPr="00A64FF0">
        <w:rPr>
          <w:rFonts w:ascii="Book Antiqua" w:hAnsi="Book Antiqua" w:cs="Book Antiqua"/>
          <w:sz w:val="24"/>
          <w:szCs w:val="24"/>
          <w:lang w:val="en-US"/>
        </w:rPr>
        <w:t>regarding</w:t>
      </w:r>
      <w:r w:rsidRPr="00A64FF0">
        <w:rPr>
          <w:rFonts w:ascii="Book Antiqua" w:hAnsi="Book Antiqua" w:cs="Book Antiqua"/>
          <w:sz w:val="24"/>
          <w:szCs w:val="24"/>
          <w:lang w:val="en-US"/>
        </w:rPr>
        <w:t xml:space="preserve"> a possible role of TNF inhibition in the appearance of the above</w:t>
      </w:r>
      <w:r w:rsidR="00282E5E"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cited HCC.</w:t>
      </w:r>
    </w:p>
    <w:p w:rsidR="00863022" w:rsidRPr="00A64FF0" w:rsidRDefault="00863022" w:rsidP="00467AE1">
      <w:pPr>
        <w:adjustRightInd w:val="0"/>
        <w:snapToGrid w:val="0"/>
        <w:spacing w:after="0" w:line="360" w:lineRule="auto"/>
        <w:jc w:val="both"/>
        <w:rPr>
          <w:rFonts w:ascii="Book Antiqua" w:hAnsi="Book Antiqua" w:cs="Book Antiqua"/>
          <w:sz w:val="24"/>
          <w:szCs w:val="24"/>
          <w:lang w:val="en-US"/>
        </w:rPr>
      </w:pPr>
    </w:p>
    <w:p w:rsidR="00EF6ED6" w:rsidRPr="00A64FF0" w:rsidRDefault="00CC5C47" w:rsidP="00467AE1">
      <w:pPr>
        <w:adjustRightInd w:val="0"/>
        <w:snapToGrid w:val="0"/>
        <w:spacing w:after="0" w:line="360" w:lineRule="auto"/>
        <w:jc w:val="both"/>
        <w:rPr>
          <w:rFonts w:ascii="Book Antiqua" w:hAnsi="Book Antiqua" w:cs="Book Antiqua"/>
          <w:b/>
          <w:i/>
          <w:sz w:val="24"/>
          <w:szCs w:val="24"/>
          <w:lang w:val="en-US"/>
        </w:rPr>
      </w:pPr>
      <w:r w:rsidRPr="00A64FF0">
        <w:rPr>
          <w:rFonts w:ascii="Book Antiqua" w:hAnsi="Book Antiqua" w:cs="Book Antiqua"/>
          <w:b/>
          <w:i/>
          <w:sz w:val="24"/>
          <w:szCs w:val="24"/>
          <w:lang w:val="en-US"/>
        </w:rPr>
        <w:t>UTK</w:t>
      </w:r>
    </w:p>
    <w:p w:rsidR="00CC5C47" w:rsidRPr="00A64FF0" w:rsidRDefault="00CC5C47" w:rsidP="00467AE1">
      <w:pPr>
        <w:adjustRightInd w:val="0"/>
        <w:snapToGrid w:val="0"/>
        <w:spacing w:after="0" w:line="360" w:lineRule="auto"/>
        <w:jc w:val="both"/>
        <w:rPr>
          <w:rFonts w:ascii="Book Antiqua" w:hAnsi="Book Antiqua" w:cs="Book Antiqua"/>
          <w:i/>
          <w:sz w:val="24"/>
          <w:szCs w:val="24"/>
          <w:lang w:val="en-US"/>
        </w:rPr>
      </w:pPr>
      <w:r w:rsidRPr="00A64FF0">
        <w:rPr>
          <w:rFonts w:ascii="Book Antiqua" w:hAnsi="Book Antiqua" w:cs="Book Antiqua"/>
          <w:sz w:val="24"/>
          <w:szCs w:val="24"/>
          <w:lang w:val="en-US"/>
        </w:rPr>
        <w:t>Concerning IL 12 and IL 23, both targeted by UTK, little is known about their act</w:t>
      </w:r>
      <w:r w:rsidR="0040703C" w:rsidRPr="00A64FF0">
        <w:rPr>
          <w:rFonts w:ascii="Book Antiqua" w:hAnsi="Book Antiqua" w:cs="Book Antiqua"/>
          <w:sz w:val="24"/>
          <w:szCs w:val="24"/>
          <w:lang w:val="en-US"/>
        </w:rPr>
        <w:t>ivity in HCV infection. P</w:t>
      </w:r>
      <w:r w:rsidRPr="00A64FF0">
        <w:rPr>
          <w:rFonts w:ascii="Book Antiqua" w:hAnsi="Book Antiqua" w:cs="Book Antiqua"/>
          <w:sz w:val="24"/>
          <w:szCs w:val="24"/>
          <w:lang w:val="en-US"/>
        </w:rPr>
        <w:t>resent</w:t>
      </w:r>
      <w:r w:rsidR="0040703C" w:rsidRPr="00A64FF0">
        <w:rPr>
          <w:rFonts w:ascii="Book Antiqua" w:hAnsi="Book Antiqua" w:cs="Book Antiqua"/>
          <w:sz w:val="24"/>
          <w:szCs w:val="24"/>
          <w:lang w:val="en-US"/>
        </w:rPr>
        <w:t>ly</w:t>
      </w:r>
      <w:r w:rsidRPr="00A64FF0">
        <w:rPr>
          <w:rFonts w:ascii="Book Antiqua" w:hAnsi="Book Antiqua" w:cs="Book Antiqua"/>
          <w:sz w:val="24"/>
          <w:szCs w:val="24"/>
          <w:lang w:val="en-US"/>
        </w:rPr>
        <w:t xml:space="preserve"> available</w:t>
      </w:r>
      <w:r w:rsidR="0040703C" w:rsidRPr="00A64FF0">
        <w:rPr>
          <w:rFonts w:ascii="Book Antiqua" w:hAnsi="Book Antiqua" w:cs="Book Antiqua"/>
          <w:sz w:val="24"/>
          <w:szCs w:val="24"/>
          <w:lang w:val="en-US"/>
        </w:rPr>
        <w:t xml:space="preserve"> data</w:t>
      </w:r>
      <w:r w:rsidRPr="00A64FF0">
        <w:rPr>
          <w:rFonts w:ascii="Book Antiqua" w:hAnsi="Book Antiqua" w:cs="Book Antiqua"/>
          <w:sz w:val="24"/>
          <w:szCs w:val="24"/>
          <w:lang w:val="en-US"/>
        </w:rPr>
        <w:t xml:space="preserve"> suggest that IL 12 can have a relevant role against HCV in either acute or </w:t>
      </w:r>
      <w:r w:rsidR="002D78EA" w:rsidRPr="00A64FF0">
        <w:rPr>
          <w:rFonts w:ascii="Book Antiqua" w:hAnsi="Book Antiqua" w:cs="Book Antiqua"/>
          <w:sz w:val="24"/>
          <w:szCs w:val="24"/>
          <w:lang w:val="en-US"/>
        </w:rPr>
        <w:t>chronic phases of infection</w:t>
      </w:r>
      <w:r w:rsidR="001944E8" w:rsidRPr="00A64FF0">
        <w:rPr>
          <w:rFonts w:ascii="Book Antiqua" w:hAnsi="Book Antiqua" w:cs="Book Antiqua"/>
          <w:sz w:val="24"/>
          <w:szCs w:val="24"/>
          <w:vertAlign w:val="superscript"/>
          <w:lang w:val="en-US"/>
        </w:rPr>
        <w:t>[</w:t>
      </w:r>
      <w:r w:rsidR="001944E8" w:rsidRPr="00A64FF0">
        <w:rPr>
          <w:rFonts w:ascii="Book Antiqua" w:hAnsi="Book Antiqua" w:cstheme="minorHAnsi"/>
          <w:iCs/>
          <w:sz w:val="24"/>
          <w:szCs w:val="24"/>
          <w:vertAlign w:val="superscript"/>
          <w:lang w:val="en-US"/>
        </w:rPr>
        <w:t>57,</w:t>
      </w:r>
      <w:r w:rsidR="00F16998" w:rsidRPr="00A64FF0">
        <w:rPr>
          <w:rFonts w:ascii="Book Antiqua" w:hAnsi="Book Antiqua" w:cstheme="minorHAnsi"/>
          <w:iCs/>
          <w:sz w:val="24"/>
          <w:szCs w:val="24"/>
          <w:vertAlign w:val="superscript"/>
          <w:lang w:val="en-US"/>
        </w:rPr>
        <w:t>107</w:t>
      </w:r>
      <w:r w:rsidR="001944E8" w:rsidRPr="00A64FF0">
        <w:rPr>
          <w:rFonts w:ascii="Book Antiqua" w:hAnsi="Book Antiqua" w:cstheme="minorHAnsi"/>
          <w:iCs/>
          <w:sz w:val="24"/>
          <w:szCs w:val="24"/>
          <w:vertAlign w:val="superscript"/>
          <w:lang w:val="en-US"/>
        </w:rPr>
        <w:t>,</w:t>
      </w:r>
      <w:r w:rsidR="00F16998" w:rsidRPr="00A64FF0">
        <w:rPr>
          <w:rFonts w:ascii="Book Antiqua" w:hAnsi="Book Antiqua" w:cstheme="minorHAnsi"/>
          <w:iCs/>
          <w:sz w:val="24"/>
          <w:szCs w:val="24"/>
          <w:vertAlign w:val="superscript"/>
          <w:lang w:val="en-US"/>
        </w:rPr>
        <w:t>108</w:t>
      </w:r>
      <w:r w:rsidR="002D78EA" w:rsidRPr="00A64FF0">
        <w:rPr>
          <w:rFonts w:ascii="Book Antiqua" w:hAnsi="Book Antiqua" w:cstheme="minorHAnsi"/>
          <w:iCs/>
          <w:sz w:val="24"/>
          <w:szCs w:val="24"/>
          <w:vertAlign w:val="superscript"/>
          <w:lang w:val="en-US"/>
        </w:rPr>
        <w:t>]</w:t>
      </w:r>
      <w:r w:rsidR="002D78EA" w:rsidRPr="00A64FF0">
        <w:rPr>
          <w:rFonts w:ascii="Book Antiqua" w:hAnsi="Book Antiqua" w:cstheme="minorHAnsi"/>
          <w:iCs/>
          <w:sz w:val="24"/>
          <w:szCs w:val="24"/>
          <w:lang w:val="en-US"/>
        </w:rPr>
        <w:t>.</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Fonts w:ascii="Book Antiqua" w:hAnsi="Book Antiqua" w:cs="Book Antiqua"/>
          <w:sz w:val="24"/>
          <w:szCs w:val="24"/>
          <w:lang w:val="en-US"/>
        </w:rPr>
        <w:t>At present</w:t>
      </w:r>
      <w:r w:rsidR="0040703C" w:rsidRPr="00A64FF0">
        <w:rPr>
          <w:rFonts w:ascii="Book Antiqua" w:hAnsi="Book Antiqua" w:cs="Book Antiqua"/>
          <w:sz w:val="24"/>
          <w:szCs w:val="24"/>
          <w:lang w:val="en-US"/>
        </w:rPr>
        <w:t>,</w:t>
      </w:r>
      <w:r w:rsidR="00270795" w:rsidRPr="00A64FF0">
        <w:rPr>
          <w:rFonts w:ascii="Book Antiqua" w:hAnsi="Book Antiqua" w:cs="Book Antiqua"/>
          <w:sz w:val="24"/>
          <w:szCs w:val="24"/>
          <w:lang w:val="en-US"/>
        </w:rPr>
        <w:t xml:space="preserve"> seven</w:t>
      </w:r>
      <w:r w:rsidRPr="00A64FF0">
        <w:rPr>
          <w:rFonts w:ascii="Book Antiqua" w:hAnsi="Book Antiqua" w:cs="Book Antiqua"/>
          <w:sz w:val="24"/>
          <w:szCs w:val="24"/>
          <w:lang w:val="en-US"/>
        </w:rPr>
        <w:t xml:space="preserve"> patients with PsO and HCV infectio</w:t>
      </w:r>
      <w:r w:rsidR="00270795" w:rsidRPr="00A64FF0">
        <w:rPr>
          <w:rFonts w:ascii="Book Antiqua" w:hAnsi="Book Antiqua" w:cs="Book Antiqua"/>
          <w:sz w:val="24"/>
          <w:szCs w:val="24"/>
          <w:lang w:val="en-US"/>
        </w:rPr>
        <w:t>n have been</w:t>
      </w:r>
      <w:r w:rsidR="007132A7" w:rsidRPr="00A64FF0">
        <w:rPr>
          <w:rFonts w:ascii="Book Antiqua" w:hAnsi="Book Antiqua" w:cs="Book Antiqua"/>
          <w:sz w:val="24"/>
          <w:szCs w:val="24"/>
          <w:lang w:val="en-US"/>
        </w:rPr>
        <w:t xml:space="preserve"> </w:t>
      </w:r>
      <w:r w:rsidRPr="00A64FF0">
        <w:rPr>
          <w:rFonts w:ascii="Book Antiqua" w:hAnsi="Book Antiqua" w:cs="Book Antiqua"/>
          <w:sz w:val="24"/>
          <w:szCs w:val="24"/>
          <w:lang w:val="en-US"/>
        </w:rPr>
        <w:t>treated</w:t>
      </w:r>
      <w:r w:rsidRPr="00A64FF0">
        <w:rPr>
          <w:rStyle w:val="Emphasis"/>
          <w:rFonts w:ascii="Book Antiqua" w:hAnsi="Book Antiqua" w:cs="Book Antiqua"/>
          <w:i w:val="0"/>
          <w:iCs w:val="0"/>
          <w:sz w:val="24"/>
          <w:szCs w:val="24"/>
          <w:lang w:val="en-US"/>
        </w:rPr>
        <w:t xml:space="preserve"> with UTK. Abuchar </w:t>
      </w:r>
      <w:r w:rsidR="00C43FF9" w:rsidRPr="00A64FF0">
        <w:rPr>
          <w:rStyle w:val="Emphasis"/>
          <w:rFonts w:ascii="Book Antiqua" w:hAnsi="Book Antiqua" w:cs="Book Antiqua"/>
          <w:iCs w:val="0"/>
          <w:sz w:val="24"/>
          <w:szCs w:val="24"/>
          <w:lang w:val="en-US"/>
        </w:rPr>
        <w:t>et al</w:t>
      </w:r>
      <w:r w:rsidR="00C43FF9" w:rsidRPr="00A64FF0">
        <w:rPr>
          <w:rStyle w:val="Emphasis"/>
          <w:rFonts w:ascii="Book Antiqua" w:hAnsi="Book Antiqua" w:cs="Book Antiqua"/>
          <w:i w:val="0"/>
          <w:iCs w:val="0"/>
          <w:sz w:val="24"/>
          <w:szCs w:val="24"/>
          <w:vertAlign w:val="superscript"/>
          <w:lang w:val="en-US"/>
        </w:rPr>
        <w:t>[</w:t>
      </w:r>
      <w:r w:rsidR="00C43FF9" w:rsidRPr="00A64FF0">
        <w:rPr>
          <w:rStyle w:val="Emphasis"/>
          <w:rFonts w:ascii="Book Antiqua" w:hAnsi="Book Antiqua"/>
          <w:i w:val="0"/>
          <w:sz w:val="24"/>
          <w:szCs w:val="24"/>
          <w:vertAlign w:val="superscript"/>
          <w:lang w:val="en-US"/>
        </w:rPr>
        <w:t>109]</w:t>
      </w:r>
      <w:r w:rsidRPr="00A64FF0">
        <w:rPr>
          <w:rStyle w:val="Emphasis"/>
          <w:rFonts w:ascii="Book Antiqua" w:hAnsi="Book Antiqua" w:cs="Book Antiqua"/>
          <w:i w:val="0"/>
          <w:iCs w:val="0"/>
          <w:sz w:val="24"/>
          <w:szCs w:val="24"/>
          <w:lang w:val="en-US"/>
        </w:rPr>
        <w:t xml:space="preserve"> in 2013</w:t>
      </w:r>
      <w:r w:rsidR="00270795" w:rsidRPr="00A64FF0">
        <w:rPr>
          <w:rStyle w:val="Emphasis"/>
          <w:rFonts w:ascii="Book Antiqua" w:hAnsi="Book Antiqua" w:cs="Book Antiqua"/>
          <w:i w:val="0"/>
          <w:iCs w:val="0"/>
          <w:sz w:val="24"/>
          <w:szCs w:val="24"/>
          <w:lang w:val="en-US"/>
        </w:rPr>
        <w:t>, described the case of one</w:t>
      </w:r>
      <w:r w:rsidRPr="00A64FF0">
        <w:rPr>
          <w:rStyle w:val="Emphasis"/>
          <w:rFonts w:ascii="Book Antiqua" w:hAnsi="Book Antiqua" w:cs="Book Antiqua"/>
          <w:i w:val="0"/>
          <w:iCs w:val="0"/>
          <w:sz w:val="24"/>
          <w:szCs w:val="24"/>
          <w:lang w:val="en-US"/>
        </w:rPr>
        <w:t xml:space="preserve"> patient with erythrodermic</w:t>
      </w:r>
      <w:r w:rsidR="007132A7"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PsO and HCV infection who</w:t>
      </w:r>
      <w:r w:rsidR="0040703C" w:rsidRPr="00A64FF0">
        <w:rPr>
          <w:rStyle w:val="Emphasis"/>
          <w:rFonts w:ascii="Book Antiqua" w:hAnsi="Book Antiqua" w:cs="Book Antiqua"/>
          <w:i w:val="0"/>
          <w:iCs w:val="0"/>
          <w:sz w:val="24"/>
          <w:szCs w:val="24"/>
          <w:lang w:val="en-US"/>
        </w:rPr>
        <w:t>,</w:t>
      </w:r>
      <w:r w:rsidR="001944E8" w:rsidRPr="00A64FF0">
        <w:rPr>
          <w:rStyle w:val="Emphasis"/>
          <w:rFonts w:ascii="Book Antiqua" w:hAnsi="Book Antiqua" w:cs="Book Antiqua"/>
          <w:i w:val="0"/>
          <w:iCs w:val="0"/>
          <w:sz w:val="24"/>
          <w:szCs w:val="24"/>
          <w:lang w:val="en-US"/>
        </w:rPr>
        <w:t xml:space="preserve"> after 2 mo</w:t>
      </w:r>
      <w:r w:rsidRPr="00A64FF0">
        <w:rPr>
          <w:rStyle w:val="Emphasis"/>
          <w:rFonts w:ascii="Book Antiqua" w:hAnsi="Book Antiqua" w:cs="Book Antiqua"/>
          <w:i w:val="0"/>
          <w:iCs w:val="0"/>
          <w:sz w:val="24"/>
          <w:szCs w:val="24"/>
          <w:lang w:val="en-US"/>
        </w:rPr>
        <w:t xml:space="preserve"> of UTK therapy</w:t>
      </w:r>
      <w:r w:rsidR="0040703C"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experienced a very good response regarding his PsO without </w:t>
      </w:r>
      <w:r w:rsidR="008C7892" w:rsidRPr="00A64FF0">
        <w:rPr>
          <w:rStyle w:val="Emphasis"/>
          <w:rFonts w:ascii="Book Antiqua" w:hAnsi="Book Antiqua" w:cs="Book Antiqua"/>
          <w:i w:val="0"/>
          <w:iCs w:val="0"/>
          <w:sz w:val="24"/>
          <w:szCs w:val="24"/>
          <w:lang w:val="en-US"/>
        </w:rPr>
        <w:t>worsening of HCV infection</w:t>
      </w:r>
      <w:r w:rsidR="008C7892" w:rsidRPr="00A64FF0">
        <w:rPr>
          <w:rStyle w:val="Emphasis"/>
          <w:rFonts w:ascii="Book Antiqua" w:hAnsi="Book Antiqua"/>
          <w:i w:val="0"/>
          <w:sz w:val="24"/>
          <w:szCs w:val="24"/>
          <w:lang w:val="en-US"/>
        </w:rPr>
        <w:t>.</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 xml:space="preserve">Chiu </w:t>
      </w:r>
      <w:r w:rsidR="00C43FF9" w:rsidRPr="00A64FF0">
        <w:rPr>
          <w:rStyle w:val="Emphasis"/>
          <w:rFonts w:ascii="Book Antiqua" w:hAnsi="Book Antiqua" w:cs="Book Antiqua"/>
          <w:iCs w:val="0"/>
          <w:sz w:val="24"/>
          <w:szCs w:val="24"/>
          <w:lang w:val="en-US"/>
        </w:rPr>
        <w:t>et al</w:t>
      </w:r>
      <w:r w:rsidR="001944E8" w:rsidRPr="00A64FF0">
        <w:rPr>
          <w:rStyle w:val="Emphasis"/>
          <w:rFonts w:ascii="Book Antiqua" w:hAnsi="Book Antiqua" w:cs="Book Antiqua"/>
          <w:i w:val="0"/>
          <w:iCs w:val="0"/>
          <w:sz w:val="24"/>
          <w:szCs w:val="24"/>
          <w:vertAlign w:val="superscript"/>
          <w:lang w:val="en-US"/>
        </w:rPr>
        <w:t>[</w:t>
      </w:r>
      <w:r w:rsidR="001944E8" w:rsidRPr="00A64FF0">
        <w:rPr>
          <w:rStyle w:val="Emphasis"/>
          <w:rFonts w:ascii="Book Antiqua" w:hAnsi="Book Antiqua"/>
          <w:i w:val="0"/>
          <w:sz w:val="24"/>
          <w:szCs w:val="24"/>
          <w:vertAlign w:val="superscript"/>
          <w:lang w:val="en-US"/>
        </w:rPr>
        <w:t>60]</w:t>
      </w:r>
      <w:r w:rsidRPr="00A64FF0">
        <w:rPr>
          <w:rStyle w:val="Emphasis"/>
          <w:rFonts w:ascii="Book Antiqua" w:hAnsi="Book Antiqua" w:cs="Book Antiqua"/>
          <w:i w:val="0"/>
          <w:iCs w:val="0"/>
          <w:sz w:val="24"/>
          <w:szCs w:val="24"/>
          <w:lang w:val="en-US"/>
        </w:rPr>
        <w:t xml:space="preserve"> reported their experience on 4 PsO patients with HCV infection who received UTK for a period ranging from 5 to 11 mo</w:t>
      </w:r>
      <w:r w:rsidR="00B86253" w:rsidRPr="00A64FF0">
        <w:rPr>
          <w:rStyle w:val="Emphasis"/>
          <w:rFonts w:ascii="Book Antiqua" w:hAnsi="Book Antiqua"/>
          <w:i w:val="0"/>
          <w:sz w:val="24"/>
          <w:szCs w:val="24"/>
          <w:lang w:val="en-US"/>
        </w:rPr>
        <w:t>.</w:t>
      </w:r>
      <w:r w:rsidR="007132A7" w:rsidRPr="00A64FF0">
        <w:rPr>
          <w:rStyle w:val="Emphasis"/>
          <w:rFonts w:ascii="Book Antiqua" w:hAnsi="Book Antiqua"/>
          <w:i w:val="0"/>
          <w:sz w:val="24"/>
          <w:szCs w:val="24"/>
          <w:lang w:val="en-US"/>
        </w:rPr>
        <w:t xml:space="preserve"> </w:t>
      </w:r>
      <w:r w:rsidRPr="00A64FF0">
        <w:rPr>
          <w:rStyle w:val="Emphasis"/>
          <w:rFonts w:ascii="Book Antiqua" w:hAnsi="Book Antiqua" w:cs="Book Antiqua"/>
          <w:i w:val="0"/>
          <w:iCs w:val="0"/>
          <w:sz w:val="24"/>
          <w:szCs w:val="24"/>
          <w:lang w:val="en-US"/>
        </w:rPr>
        <w:t>During the follow-up period</w:t>
      </w:r>
      <w:r w:rsidR="00270795"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HCV viral copy numbers </w:t>
      </w:r>
      <w:r w:rsidR="00270795" w:rsidRPr="00A64FF0">
        <w:rPr>
          <w:rStyle w:val="Emphasis"/>
          <w:rFonts w:ascii="Book Antiqua" w:hAnsi="Book Antiqua" w:cs="Book Antiqua"/>
          <w:i w:val="0"/>
          <w:iCs w:val="0"/>
          <w:sz w:val="24"/>
          <w:szCs w:val="24"/>
          <w:lang w:val="en-US"/>
        </w:rPr>
        <w:t>increased in 3 cases with only one</w:t>
      </w:r>
      <w:r w:rsidRPr="00A64FF0">
        <w:rPr>
          <w:rStyle w:val="Emphasis"/>
          <w:rFonts w:ascii="Book Antiqua" w:hAnsi="Book Antiqua" w:cs="Book Antiqua"/>
          <w:i w:val="0"/>
          <w:iCs w:val="0"/>
          <w:sz w:val="24"/>
          <w:szCs w:val="24"/>
          <w:lang w:val="en-US"/>
        </w:rPr>
        <w:t xml:space="preserve"> subject </w:t>
      </w:r>
      <w:r w:rsidR="00866FAF" w:rsidRPr="00A64FF0">
        <w:rPr>
          <w:rStyle w:val="Emphasis"/>
          <w:rFonts w:ascii="Book Antiqua" w:hAnsi="Book Antiqua" w:cs="Book Antiqua"/>
          <w:i w:val="0"/>
          <w:iCs w:val="0"/>
          <w:sz w:val="24"/>
          <w:szCs w:val="24"/>
          <w:lang w:val="en-US"/>
        </w:rPr>
        <w:t>meeting</w:t>
      </w:r>
      <w:r w:rsidRPr="00A64FF0">
        <w:rPr>
          <w:rStyle w:val="Emphasis"/>
          <w:rFonts w:ascii="Book Antiqua" w:hAnsi="Book Antiqua" w:cs="Book Antiqua"/>
          <w:i w:val="0"/>
          <w:iCs w:val="0"/>
          <w:sz w:val="24"/>
          <w:szCs w:val="24"/>
          <w:lang w:val="en-US"/>
        </w:rPr>
        <w:t xml:space="preserve"> the criterion of HCV reactivation, recorded after 1 month of UTK therapy. This last patient</w:t>
      </w:r>
      <w:r w:rsidR="00866FAF"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who at baselin</w:t>
      </w:r>
      <w:r w:rsidR="0040703C" w:rsidRPr="00A64FF0">
        <w:rPr>
          <w:rStyle w:val="Emphasis"/>
          <w:rFonts w:ascii="Book Antiqua" w:hAnsi="Book Antiqua" w:cs="Book Antiqua"/>
          <w:i w:val="0"/>
          <w:iCs w:val="0"/>
          <w:sz w:val="24"/>
          <w:szCs w:val="24"/>
          <w:lang w:val="en-US"/>
        </w:rPr>
        <w:t>e had a diagnosis of cirrhosis a</w:t>
      </w:r>
      <w:r w:rsidRPr="00A64FF0">
        <w:rPr>
          <w:rStyle w:val="Emphasis"/>
          <w:rFonts w:ascii="Book Antiqua" w:hAnsi="Book Antiqua" w:cs="Book Antiqua"/>
          <w:i w:val="0"/>
          <w:iCs w:val="0"/>
          <w:sz w:val="24"/>
          <w:szCs w:val="24"/>
          <w:lang w:val="en-US"/>
        </w:rPr>
        <w:t>nd previous HCC experienced a recurrence of HCC after 4 mo of UTK treatment.</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 xml:space="preserve">Navarro </w:t>
      </w:r>
      <w:r w:rsidR="00C43FF9" w:rsidRPr="00A64FF0">
        <w:rPr>
          <w:rStyle w:val="Emphasis"/>
          <w:rFonts w:ascii="Book Antiqua" w:hAnsi="Book Antiqua" w:cs="Book Antiqua"/>
          <w:iCs w:val="0"/>
          <w:sz w:val="24"/>
          <w:szCs w:val="24"/>
          <w:lang w:val="en-US"/>
        </w:rPr>
        <w:t>et al</w:t>
      </w:r>
      <w:r w:rsidR="001944E8" w:rsidRPr="00A64FF0">
        <w:rPr>
          <w:rStyle w:val="Emphasis"/>
          <w:rFonts w:ascii="Book Antiqua" w:hAnsi="Book Antiqua" w:cs="Book Antiqua"/>
          <w:i w:val="0"/>
          <w:iCs w:val="0"/>
          <w:sz w:val="24"/>
          <w:szCs w:val="24"/>
          <w:vertAlign w:val="superscript"/>
          <w:lang w:val="en-US"/>
        </w:rPr>
        <w:t>[</w:t>
      </w:r>
      <w:r w:rsidR="001944E8" w:rsidRPr="00A64FF0">
        <w:rPr>
          <w:rFonts w:ascii="Book Antiqua" w:hAnsi="Book Antiqua"/>
          <w:iCs/>
          <w:sz w:val="24"/>
          <w:szCs w:val="24"/>
          <w:vertAlign w:val="superscript"/>
          <w:lang w:val="en-US"/>
        </w:rPr>
        <w:t>53]</w:t>
      </w:r>
      <w:r w:rsidR="00866FAF"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in a study published in 2013</w:t>
      </w:r>
      <w:r w:rsidR="00866FAF" w:rsidRPr="00A64FF0">
        <w:rPr>
          <w:rStyle w:val="Emphasis"/>
          <w:rFonts w:ascii="Book Antiqua" w:hAnsi="Book Antiqua" w:cs="Book Antiqua"/>
          <w:i w:val="0"/>
          <w:iCs w:val="0"/>
          <w:sz w:val="24"/>
          <w:szCs w:val="24"/>
          <w:lang w:val="en-US"/>
        </w:rPr>
        <w:t>,</w:t>
      </w:r>
      <w:r w:rsidR="0040703C" w:rsidRPr="00A64FF0">
        <w:rPr>
          <w:rStyle w:val="Emphasis"/>
          <w:rFonts w:ascii="Book Antiqua" w:hAnsi="Book Antiqua" w:cs="Book Antiqua"/>
          <w:i w:val="0"/>
          <w:iCs w:val="0"/>
          <w:sz w:val="24"/>
          <w:szCs w:val="24"/>
          <w:lang w:val="en-US"/>
        </w:rPr>
        <w:t xml:space="preserve"> reported that</w:t>
      </w:r>
      <w:r w:rsidR="00866FAF" w:rsidRPr="00A64FF0">
        <w:rPr>
          <w:rStyle w:val="Emphasis"/>
          <w:rFonts w:ascii="Book Antiqua" w:hAnsi="Book Antiqua" w:cs="Book Antiqua"/>
          <w:i w:val="0"/>
          <w:iCs w:val="0"/>
          <w:sz w:val="24"/>
          <w:szCs w:val="24"/>
          <w:lang w:val="en-US"/>
        </w:rPr>
        <w:t xml:space="preserve"> two</w:t>
      </w:r>
      <w:r w:rsidRPr="00A64FF0">
        <w:rPr>
          <w:rStyle w:val="Emphasis"/>
          <w:rFonts w:ascii="Book Antiqua" w:hAnsi="Book Antiqua" w:cs="Book Antiqua"/>
          <w:i w:val="0"/>
          <w:iCs w:val="0"/>
          <w:sz w:val="24"/>
          <w:szCs w:val="24"/>
          <w:lang w:val="en-US"/>
        </w:rPr>
        <w:t xml:space="preserve"> PsO patients wit</w:t>
      </w:r>
      <w:r w:rsidR="0040703C" w:rsidRPr="00A64FF0">
        <w:rPr>
          <w:rStyle w:val="Emphasis"/>
          <w:rFonts w:ascii="Book Antiqua" w:hAnsi="Book Antiqua" w:cs="Book Antiqua"/>
          <w:i w:val="0"/>
          <w:iCs w:val="0"/>
          <w:sz w:val="24"/>
          <w:szCs w:val="24"/>
          <w:lang w:val="en-US"/>
        </w:rPr>
        <w:t xml:space="preserve">h concomitant HCV infection </w:t>
      </w:r>
      <w:r w:rsidRPr="00A64FF0">
        <w:rPr>
          <w:rStyle w:val="Emphasis"/>
          <w:rFonts w:ascii="Book Antiqua" w:hAnsi="Book Antiqua" w:cs="Book Antiqua"/>
          <w:i w:val="0"/>
          <w:iCs w:val="0"/>
          <w:sz w:val="24"/>
          <w:szCs w:val="24"/>
          <w:lang w:val="en-US"/>
        </w:rPr>
        <w:t>received UTK for 16 and 12 mo</w:t>
      </w:r>
      <w:r w:rsidR="0040703C" w:rsidRPr="00A64FF0">
        <w:rPr>
          <w:rStyle w:val="Emphasis"/>
          <w:rFonts w:ascii="Book Antiqua" w:hAnsi="Book Antiqua" w:cs="Book Antiqua"/>
          <w:i w:val="0"/>
          <w:iCs w:val="0"/>
          <w:sz w:val="24"/>
          <w:szCs w:val="24"/>
          <w:lang w:val="en-US"/>
        </w:rPr>
        <w:t>,</w:t>
      </w:r>
      <w:r w:rsidR="007132A7" w:rsidRPr="00A64FF0">
        <w:rPr>
          <w:rStyle w:val="Emphasis"/>
          <w:rFonts w:ascii="Book Antiqua" w:hAnsi="Book Antiqua" w:cs="Book Antiqua"/>
          <w:i w:val="0"/>
          <w:iCs w:val="0"/>
          <w:sz w:val="24"/>
          <w:szCs w:val="24"/>
          <w:lang w:val="en-US"/>
        </w:rPr>
        <w:t xml:space="preserve"> </w:t>
      </w:r>
      <w:r w:rsidR="00DD142E" w:rsidRPr="00A64FF0">
        <w:rPr>
          <w:rStyle w:val="Emphasis"/>
          <w:rFonts w:ascii="Book Antiqua" w:hAnsi="Book Antiqua" w:cs="Book Antiqua"/>
          <w:i w:val="0"/>
          <w:iCs w:val="0"/>
          <w:sz w:val="24"/>
          <w:szCs w:val="24"/>
          <w:lang w:val="en-US"/>
        </w:rPr>
        <w:t>respectively</w:t>
      </w:r>
      <w:r w:rsidR="00DD142E" w:rsidRPr="00A64FF0">
        <w:rPr>
          <w:rFonts w:ascii="Book Antiqua" w:hAnsi="Book Antiqua"/>
          <w:iCs/>
          <w:sz w:val="24"/>
          <w:szCs w:val="24"/>
          <w:lang w:val="en-US"/>
        </w:rPr>
        <w:t>.</w:t>
      </w:r>
      <w:r w:rsidRPr="00A64FF0">
        <w:rPr>
          <w:rStyle w:val="Emphasis"/>
          <w:rFonts w:ascii="Book Antiqua" w:hAnsi="Book Antiqua" w:cs="Book Antiqua"/>
          <w:i w:val="0"/>
          <w:iCs w:val="0"/>
          <w:sz w:val="24"/>
          <w:szCs w:val="24"/>
          <w:lang w:val="en-US"/>
        </w:rPr>
        <w:t xml:space="preserve"> The first patient</w:t>
      </w:r>
      <w:r w:rsidR="00866FAF"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at the end of follow-up</w:t>
      </w:r>
      <w:r w:rsidR="00866FAF"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showed a decrease of viral load and slight increase of both ALT and AST. In the second patient at </w:t>
      </w:r>
      <w:r w:rsidR="0040703C" w:rsidRPr="00A64FF0">
        <w:rPr>
          <w:rStyle w:val="Emphasis"/>
          <w:rFonts w:ascii="Book Antiqua" w:hAnsi="Book Antiqua" w:cs="Book Antiqua"/>
          <w:i w:val="0"/>
          <w:iCs w:val="0"/>
          <w:sz w:val="24"/>
          <w:szCs w:val="24"/>
          <w:lang w:val="en-US"/>
        </w:rPr>
        <w:t>the end of</w:t>
      </w:r>
      <w:r w:rsidR="007132A7"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follow-up</w:t>
      </w:r>
      <w:r w:rsidR="00866FAF"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viral load remained unchanged with a slight decrease of both ALT and AST serum levels.</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lastRenderedPageBreak/>
        <w:t>More data are needed to better define whether or not UTK can have a role in</w:t>
      </w:r>
      <w:r w:rsidR="0040703C" w:rsidRPr="00A64FF0">
        <w:rPr>
          <w:rStyle w:val="Emphasis"/>
          <w:rFonts w:ascii="Book Antiqua" w:hAnsi="Book Antiqua" w:cs="Book Antiqua"/>
          <w:i w:val="0"/>
          <w:iCs w:val="0"/>
          <w:sz w:val="24"/>
          <w:szCs w:val="24"/>
          <w:lang w:val="en-US"/>
        </w:rPr>
        <w:t xml:space="preserve"> the</w:t>
      </w:r>
      <w:r w:rsidRPr="00A64FF0">
        <w:rPr>
          <w:rStyle w:val="Emphasis"/>
          <w:rFonts w:ascii="Book Antiqua" w:hAnsi="Book Antiqua" w:cs="Book Antiqua"/>
          <w:i w:val="0"/>
          <w:iCs w:val="0"/>
          <w:sz w:val="24"/>
          <w:szCs w:val="24"/>
          <w:lang w:val="en-US"/>
        </w:rPr>
        <w:t xml:space="preserve"> treatment of PsO patients with HCV infection.</w:t>
      </w:r>
    </w:p>
    <w:p w:rsidR="00863022" w:rsidRPr="00A64FF0" w:rsidRDefault="00863022" w:rsidP="00467AE1">
      <w:pPr>
        <w:adjustRightInd w:val="0"/>
        <w:snapToGrid w:val="0"/>
        <w:spacing w:after="0" w:line="360" w:lineRule="auto"/>
        <w:jc w:val="both"/>
        <w:rPr>
          <w:rStyle w:val="Emphasis"/>
          <w:rFonts w:ascii="Book Antiqua" w:hAnsi="Book Antiqua" w:cs="Book Antiqua"/>
          <w:i w:val="0"/>
          <w:iCs w:val="0"/>
          <w:caps/>
          <w:sz w:val="24"/>
          <w:szCs w:val="24"/>
          <w:lang w:val="en-US"/>
        </w:rPr>
      </w:pPr>
    </w:p>
    <w:p w:rsidR="00CC5C47" w:rsidRPr="00A64FF0" w:rsidRDefault="00CC5C47" w:rsidP="00467AE1">
      <w:pPr>
        <w:adjustRightInd w:val="0"/>
        <w:snapToGrid w:val="0"/>
        <w:spacing w:after="0" w:line="360" w:lineRule="auto"/>
        <w:jc w:val="both"/>
        <w:rPr>
          <w:rStyle w:val="Emphasis"/>
          <w:rFonts w:ascii="Book Antiqua" w:hAnsi="Book Antiqua" w:cs="Book Antiqua"/>
          <w:b/>
          <w:bCs/>
          <w:i w:val="0"/>
          <w:iCs w:val="0"/>
          <w:caps/>
          <w:sz w:val="24"/>
          <w:szCs w:val="24"/>
          <w:lang w:val="en-US"/>
        </w:rPr>
      </w:pPr>
      <w:r w:rsidRPr="00A64FF0">
        <w:rPr>
          <w:rStyle w:val="Emphasis"/>
          <w:rFonts w:ascii="Book Antiqua" w:hAnsi="Book Antiqua" w:cs="Book Antiqua"/>
          <w:b/>
          <w:bCs/>
          <w:i w:val="0"/>
          <w:iCs w:val="0"/>
          <w:caps/>
          <w:sz w:val="24"/>
          <w:szCs w:val="24"/>
          <w:lang w:val="en-US"/>
        </w:rPr>
        <w:t>Monitoring and managing of HCV infection</w:t>
      </w:r>
    </w:p>
    <w:p w:rsidR="00CC5C47"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rPr>
      </w:pPr>
    </w:p>
    <w:p w:rsidR="00CC5C47"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 xml:space="preserve">No guidelines are currently available on how to monitor PsO patients with HCV infection during treatment with CyA or bDMARDs. </w:t>
      </w:r>
    </w:p>
    <w:p w:rsidR="00CF6358" w:rsidRPr="00A64FF0" w:rsidRDefault="00CC5C47" w:rsidP="00467AE1">
      <w:pPr>
        <w:adjustRightInd w:val="0"/>
        <w:snapToGrid w:val="0"/>
        <w:spacing w:after="0" w:line="360" w:lineRule="auto"/>
        <w:ind w:firstLineChars="200" w:firstLine="480"/>
        <w:jc w:val="both"/>
        <w:rPr>
          <w:rFonts w:ascii="Book Antiqua" w:hAnsi="Book Antiqua" w:cs="Times New Roman"/>
          <w:iCs/>
          <w:sz w:val="24"/>
          <w:szCs w:val="24"/>
          <w:lang w:val="en-US"/>
        </w:rPr>
      </w:pPr>
      <w:r w:rsidRPr="00A64FF0">
        <w:rPr>
          <w:rStyle w:val="Emphasis"/>
          <w:rFonts w:ascii="Book Antiqua" w:hAnsi="Book Antiqua" w:cs="Book Antiqua"/>
          <w:i w:val="0"/>
          <w:iCs w:val="0"/>
          <w:sz w:val="24"/>
          <w:szCs w:val="24"/>
          <w:lang w:val="en-US"/>
        </w:rPr>
        <w:t xml:space="preserve">Monitoring </w:t>
      </w:r>
      <w:r w:rsidR="00CF6358" w:rsidRPr="00A64FF0">
        <w:rPr>
          <w:rFonts w:ascii="Book Antiqua" w:hAnsi="Book Antiqua" w:cs="Times New Roman"/>
          <w:iCs/>
          <w:sz w:val="24"/>
          <w:szCs w:val="24"/>
          <w:lang w:val="en-US"/>
        </w:rPr>
        <w:t xml:space="preserve">liver function tests (ALT, AST, alkaline phosphatase, bilirubin, albumin and platelet) and HCV-RNA load every 3-6 mo could be a valuable option for the majority of the patients. </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However</w:t>
      </w:r>
      <w:r w:rsidR="0040703C"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it is important to </w:t>
      </w:r>
      <w:r w:rsidR="00866FAF" w:rsidRPr="00A64FF0">
        <w:rPr>
          <w:rStyle w:val="Emphasis"/>
          <w:rFonts w:ascii="Book Antiqua" w:hAnsi="Book Antiqua" w:cs="Book Antiqua"/>
          <w:i w:val="0"/>
          <w:iCs w:val="0"/>
          <w:sz w:val="24"/>
          <w:szCs w:val="24"/>
          <w:lang w:val="en-US"/>
        </w:rPr>
        <w:t>point out</w:t>
      </w:r>
      <w:r w:rsidRPr="00A64FF0">
        <w:rPr>
          <w:rStyle w:val="Emphasis"/>
          <w:rFonts w:ascii="Book Antiqua" w:hAnsi="Book Antiqua" w:cs="Book Antiqua"/>
          <w:i w:val="0"/>
          <w:iCs w:val="0"/>
          <w:sz w:val="24"/>
          <w:szCs w:val="24"/>
          <w:lang w:val="en-US"/>
        </w:rPr>
        <w:t xml:space="preserve"> that an optimal follow-up of the above-cited patient</w:t>
      </w:r>
      <w:r w:rsidR="0040703C" w:rsidRPr="00A64FF0">
        <w:rPr>
          <w:rStyle w:val="Emphasis"/>
          <w:rFonts w:ascii="Book Antiqua" w:hAnsi="Book Antiqua" w:cs="Book Antiqua"/>
          <w:i w:val="0"/>
          <w:iCs w:val="0"/>
          <w:sz w:val="24"/>
          <w:szCs w:val="24"/>
          <w:lang w:val="en-US"/>
        </w:rPr>
        <w:t>s</w:t>
      </w:r>
      <w:r w:rsidRPr="00A64FF0">
        <w:rPr>
          <w:rStyle w:val="Emphasis"/>
          <w:rFonts w:ascii="Book Antiqua" w:hAnsi="Book Antiqua" w:cs="Book Antiqua"/>
          <w:i w:val="0"/>
          <w:iCs w:val="0"/>
          <w:sz w:val="24"/>
          <w:szCs w:val="24"/>
          <w:lang w:val="en-US"/>
        </w:rPr>
        <w:t xml:space="preserve"> requires a strict collaboration with a consultant hepatologis</w:t>
      </w:r>
      <w:r w:rsidR="0040703C" w:rsidRPr="00A64FF0">
        <w:rPr>
          <w:rStyle w:val="Emphasis"/>
          <w:rFonts w:ascii="Book Antiqua" w:hAnsi="Book Antiqua" w:cs="Book Antiqua"/>
          <w:i w:val="0"/>
          <w:iCs w:val="0"/>
          <w:sz w:val="24"/>
          <w:szCs w:val="24"/>
          <w:lang w:val="en-US"/>
        </w:rPr>
        <w:t>t. This latter</w:t>
      </w:r>
      <w:r w:rsidRPr="00A64FF0">
        <w:rPr>
          <w:rStyle w:val="Emphasis"/>
          <w:rFonts w:ascii="Book Antiqua" w:hAnsi="Book Antiqua" w:cs="Book Antiqua"/>
          <w:i w:val="0"/>
          <w:iCs w:val="0"/>
          <w:sz w:val="24"/>
          <w:szCs w:val="24"/>
          <w:lang w:val="en-US"/>
        </w:rPr>
        <w:t xml:space="preserve"> will decide the timing of instrumental examinations, whether or not to perform a liver biopsy and whether or not to offer a</w:t>
      </w:r>
      <w:r w:rsidR="00AB73D9"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prophylactic</w:t>
      </w:r>
      <w:r w:rsidR="00AB73D9"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anti-viral treatment.</w:t>
      </w:r>
    </w:p>
    <w:p w:rsidR="00CC5C47"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rPr>
      </w:pPr>
    </w:p>
    <w:p w:rsidR="00CC5C47" w:rsidRPr="00A64FF0" w:rsidRDefault="00CC5C47" w:rsidP="00467AE1">
      <w:pPr>
        <w:adjustRightInd w:val="0"/>
        <w:snapToGrid w:val="0"/>
        <w:spacing w:after="0" w:line="360" w:lineRule="auto"/>
        <w:jc w:val="both"/>
        <w:rPr>
          <w:rStyle w:val="Emphasis"/>
          <w:rFonts w:ascii="Book Antiqua" w:hAnsi="Book Antiqua" w:cs="Book Antiqua"/>
          <w:b/>
          <w:bCs/>
          <w:i w:val="0"/>
          <w:iCs w:val="0"/>
          <w:caps/>
          <w:sz w:val="24"/>
          <w:szCs w:val="24"/>
          <w:lang w:val="en-US" w:eastAsia="zh-CN"/>
        </w:rPr>
      </w:pPr>
      <w:r w:rsidRPr="00A64FF0">
        <w:rPr>
          <w:rStyle w:val="Emphasis"/>
          <w:rFonts w:ascii="Book Antiqua" w:hAnsi="Book Antiqua" w:cs="Book Antiqua"/>
          <w:b/>
          <w:bCs/>
          <w:i w:val="0"/>
          <w:iCs w:val="0"/>
          <w:caps/>
          <w:sz w:val="24"/>
          <w:szCs w:val="24"/>
          <w:lang w:val="en-US"/>
        </w:rPr>
        <w:t>Conclusion</w:t>
      </w:r>
    </w:p>
    <w:p w:rsidR="00CC5C47" w:rsidRPr="00A64FF0" w:rsidRDefault="00CC5C47" w:rsidP="00467AE1">
      <w:pPr>
        <w:adjustRightInd w:val="0"/>
        <w:snapToGrid w:val="0"/>
        <w:spacing w:after="0" w:line="360" w:lineRule="auto"/>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HBV and HCV are the pathogens</w:t>
      </w:r>
      <w:r w:rsidR="00843009" w:rsidRPr="00A64FF0">
        <w:rPr>
          <w:rStyle w:val="Emphasis"/>
          <w:rFonts w:ascii="Book Antiqua" w:hAnsi="Book Antiqua" w:cs="Book Antiqua"/>
          <w:i w:val="0"/>
          <w:iCs w:val="0"/>
          <w:sz w:val="24"/>
          <w:szCs w:val="24"/>
          <w:lang w:val="en-US"/>
        </w:rPr>
        <w:t xml:space="preserve"> </w:t>
      </w:r>
      <w:r w:rsidR="0040703C" w:rsidRPr="00A64FF0">
        <w:rPr>
          <w:rStyle w:val="Emphasis"/>
          <w:rFonts w:ascii="Book Antiqua" w:hAnsi="Book Antiqua" w:cs="Book Antiqua"/>
          <w:i w:val="0"/>
          <w:iCs w:val="0"/>
          <w:sz w:val="24"/>
          <w:szCs w:val="24"/>
          <w:lang w:val="en-US"/>
        </w:rPr>
        <w:t>which</w:t>
      </w:r>
      <w:r w:rsidR="00843009"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more frequen</w:t>
      </w:r>
      <w:r w:rsidR="0040703C" w:rsidRPr="00A64FF0">
        <w:rPr>
          <w:rStyle w:val="Emphasis"/>
          <w:rFonts w:ascii="Book Antiqua" w:hAnsi="Book Antiqua" w:cs="Book Antiqua"/>
          <w:i w:val="0"/>
          <w:iCs w:val="0"/>
          <w:sz w:val="24"/>
          <w:szCs w:val="24"/>
          <w:lang w:val="en-US"/>
        </w:rPr>
        <w:t>tly cause</w:t>
      </w:r>
      <w:r w:rsidRPr="00A64FF0">
        <w:rPr>
          <w:rStyle w:val="Emphasis"/>
          <w:rFonts w:ascii="Book Antiqua" w:hAnsi="Book Antiqua" w:cs="Book Antiqua"/>
          <w:i w:val="0"/>
          <w:iCs w:val="0"/>
          <w:sz w:val="24"/>
          <w:szCs w:val="24"/>
          <w:lang w:val="en-US"/>
        </w:rPr>
        <w:t xml:space="preserve"> chronic hepatitis</w:t>
      </w:r>
      <w:r w:rsidR="00334B6B" w:rsidRPr="00A64FF0">
        <w:rPr>
          <w:rFonts w:ascii="Book Antiqua" w:hAnsi="Book Antiqua" w:cs="Times New Roman"/>
          <w:iCs/>
          <w:sz w:val="24"/>
          <w:szCs w:val="24"/>
          <w:vertAlign w:val="superscript"/>
          <w:lang w:val="en-US"/>
        </w:rPr>
        <w:t>[110</w:t>
      </w:r>
      <w:r w:rsidR="009F47B7" w:rsidRPr="00A64FF0">
        <w:rPr>
          <w:rFonts w:ascii="Book Antiqua" w:hAnsi="Book Antiqua" w:cs="Times New Roman"/>
          <w:iCs/>
          <w:sz w:val="24"/>
          <w:szCs w:val="24"/>
          <w:vertAlign w:val="superscript"/>
          <w:lang w:val="en-US"/>
        </w:rPr>
        <w:t>]</w:t>
      </w:r>
      <w:r w:rsidRPr="00A64FF0">
        <w:rPr>
          <w:rStyle w:val="Emphasis"/>
          <w:rFonts w:ascii="Book Antiqua" w:hAnsi="Book Antiqua" w:cs="Book Antiqua"/>
          <w:i w:val="0"/>
          <w:iCs w:val="0"/>
          <w:sz w:val="24"/>
          <w:szCs w:val="24"/>
          <w:lang w:val="en-US"/>
        </w:rPr>
        <w:t>.</w:t>
      </w:r>
    </w:p>
    <w:p w:rsidR="00CC5C47" w:rsidRPr="00A64FF0" w:rsidRDefault="00CC5C47"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 xml:space="preserve">Only few studies have evaluated the prevalence of the above-cited infectious diseasein </w:t>
      </w:r>
      <w:r w:rsidR="00866FAF" w:rsidRPr="00A64FF0">
        <w:rPr>
          <w:rStyle w:val="Emphasis"/>
          <w:rFonts w:ascii="Book Antiqua" w:hAnsi="Book Antiqua" w:cs="Book Antiqua"/>
          <w:i w:val="0"/>
          <w:iCs w:val="0"/>
          <w:sz w:val="24"/>
          <w:szCs w:val="24"/>
          <w:lang w:val="en-US"/>
        </w:rPr>
        <w:t xml:space="preserve">the </w:t>
      </w:r>
      <w:r w:rsidRPr="00A64FF0">
        <w:rPr>
          <w:rStyle w:val="Emphasis"/>
          <w:rFonts w:ascii="Book Antiqua" w:hAnsi="Book Antiqua" w:cs="Book Antiqua"/>
          <w:i w:val="0"/>
          <w:iCs w:val="0"/>
          <w:sz w:val="24"/>
          <w:szCs w:val="24"/>
          <w:lang w:val="en-US"/>
        </w:rPr>
        <w:t>PsO population. In 2011</w:t>
      </w:r>
      <w:r w:rsidR="00866FAF" w:rsidRPr="00A64FF0">
        <w:rPr>
          <w:rStyle w:val="Emphasis"/>
          <w:rFonts w:ascii="Book Antiqua" w:hAnsi="Book Antiqua" w:cs="Book Antiqua"/>
          <w:i w:val="0"/>
          <w:iCs w:val="0"/>
          <w:sz w:val="24"/>
          <w:szCs w:val="24"/>
          <w:lang w:val="en-US"/>
        </w:rPr>
        <w:t>,</w:t>
      </w:r>
      <w:r w:rsidR="00C43FF9" w:rsidRPr="00A64FF0">
        <w:rPr>
          <w:rStyle w:val="Emphasis"/>
          <w:rFonts w:ascii="Book Antiqua" w:hAnsi="Book Antiqua" w:cs="Book Antiqua"/>
          <w:i w:val="0"/>
          <w:iCs w:val="0"/>
          <w:sz w:val="24"/>
          <w:szCs w:val="24"/>
          <w:lang w:val="en-US" w:eastAsia="zh-CN"/>
        </w:rPr>
        <w:t xml:space="preserve"> </w:t>
      </w:r>
      <w:r w:rsidRPr="00A64FF0">
        <w:rPr>
          <w:rStyle w:val="Emphasis"/>
          <w:rFonts w:ascii="Book Antiqua" w:hAnsi="Book Antiqua" w:cs="Book Antiqua"/>
          <w:i w:val="0"/>
          <w:iCs w:val="0"/>
          <w:sz w:val="24"/>
          <w:szCs w:val="24"/>
          <w:lang w:val="en-US"/>
        </w:rPr>
        <w:t xml:space="preserve">Yang </w:t>
      </w:r>
      <w:r w:rsidR="00C43FF9" w:rsidRPr="00A64FF0">
        <w:rPr>
          <w:rStyle w:val="Emphasis"/>
          <w:rFonts w:ascii="Book Antiqua" w:hAnsi="Book Antiqua" w:cs="Book Antiqua"/>
          <w:iCs w:val="0"/>
          <w:sz w:val="24"/>
          <w:szCs w:val="24"/>
          <w:lang w:val="en-US"/>
        </w:rPr>
        <w:t>et al</w:t>
      </w:r>
      <w:r w:rsidR="00C43FF9" w:rsidRPr="00A64FF0">
        <w:rPr>
          <w:rStyle w:val="Emphasis"/>
          <w:rFonts w:ascii="Book Antiqua" w:hAnsi="Book Antiqua" w:cs="Book Antiqua"/>
          <w:i w:val="0"/>
          <w:iCs w:val="0"/>
          <w:sz w:val="24"/>
          <w:szCs w:val="24"/>
          <w:vertAlign w:val="superscript"/>
          <w:lang w:val="en-US"/>
        </w:rPr>
        <w:t>[111]</w:t>
      </w:r>
      <w:r w:rsidRPr="00A64FF0">
        <w:rPr>
          <w:rStyle w:val="Emphasis"/>
          <w:rFonts w:ascii="Book Antiqua" w:hAnsi="Book Antiqua" w:cs="Book Antiqua"/>
          <w:i w:val="0"/>
          <w:iCs w:val="0"/>
          <w:sz w:val="24"/>
          <w:szCs w:val="24"/>
          <w:lang w:val="en-US"/>
        </w:rPr>
        <w:t xml:space="preserve"> reported an increased prevalence of HBV and H</w:t>
      </w:r>
      <w:r w:rsidR="00607647" w:rsidRPr="00A64FF0">
        <w:rPr>
          <w:rStyle w:val="Emphasis"/>
          <w:rFonts w:ascii="Book Antiqua" w:hAnsi="Book Antiqua" w:cs="Book Antiqua"/>
          <w:i w:val="0"/>
          <w:iCs w:val="0"/>
          <w:sz w:val="24"/>
          <w:szCs w:val="24"/>
          <w:lang w:val="en-US"/>
        </w:rPr>
        <w:t>CV in PsO Taiwanese patients</w:t>
      </w:r>
      <w:r w:rsidRPr="00A64FF0">
        <w:rPr>
          <w:rStyle w:val="Emphasis"/>
          <w:rFonts w:ascii="Book Antiqua" w:hAnsi="Book Antiqua" w:cs="Book Antiqua"/>
          <w:i w:val="0"/>
          <w:iCs w:val="0"/>
          <w:sz w:val="24"/>
          <w:szCs w:val="24"/>
          <w:lang w:val="en-US"/>
        </w:rPr>
        <w:t>. In 2010</w:t>
      </w:r>
      <w:r w:rsidR="00866FAF"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Cohen </w:t>
      </w:r>
      <w:r w:rsidR="00C43FF9" w:rsidRPr="00A64FF0">
        <w:rPr>
          <w:rStyle w:val="Emphasis"/>
          <w:rFonts w:ascii="Book Antiqua" w:hAnsi="Book Antiqua" w:cs="Book Antiqua"/>
          <w:iCs w:val="0"/>
          <w:sz w:val="24"/>
          <w:szCs w:val="24"/>
          <w:lang w:val="en-US"/>
        </w:rPr>
        <w:t>et al</w:t>
      </w:r>
      <w:r w:rsidR="00C43FF9" w:rsidRPr="00A64FF0">
        <w:rPr>
          <w:rFonts w:ascii="Book Antiqua" w:hAnsi="Book Antiqua" w:cs="Times New Roman"/>
          <w:iCs/>
          <w:sz w:val="24"/>
          <w:szCs w:val="24"/>
          <w:vertAlign w:val="superscript"/>
          <w:lang w:val="en-US"/>
        </w:rPr>
        <w:t>[112]</w:t>
      </w:r>
      <w:r w:rsidRPr="00A64FF0">
        <w:rPr>
          <w:rStyle w:val="Emphasis"/>
          <w:rFonts w:ascii="Book Antiqua" w:hAnsi="Book Antiqua" w:cs="Book Antiqua"/>
          <w:i w:val="0"/>
          <w:iCs w:val="0"/>
          <w:sz w:val="24"/>
          <w:szCs w:val="24"/>
          <w:lang w:val="en-US"/>
        </w:rPr>
        <w:t xml:space="preserve"> in their study performed in Israel</w:t>
      </w:r>
      <w:r w:rsidR="00843009" w:rsidRPr="00A64FF0">
        <w:rPr>
          <w:rStyle w:val="Emphasis"/>
          <w:rFonts w:ascii="Book Antiqua" w:hAnsi="Book Antiqua" w:cs="Book Antiqua"/>
          <w:i w:val="0"/>
          <w:iCs w:val="0"/>
          <w:sz w:val="24"/>
          <w:szCs w:val="24"/>
          <w:lang w:val="en-US"/>
        </w:rPr>
        <w:t xml:space="preserve"> </w:t>
      </w:r>
      <w:r w:rsidRPr="00A64FF0">
        <w:rPr>
          <w:rStyle w:val="Emphasis"/>
          <w:rFonts w:ascii="Book Antiqua" w:hAnsi="Book Antiqua" w:cs="Book Antiqua"/>
          <w:i w:val="0"/>
          <w:iCs w:val="0"/>
          <w:sz w:val="24"/>
          <w:szCs w:val="24"/>
          <w:lang w:val="en-US"/>
        </w:rPr>
        <w:t xml:space="preserve">found an increased prevalence of HBC but not </w:t>
      </w:r>
      <w:r w:rsidR="0040703C" w:rsidRPr="00A64FF0">
        <w:rPr>
          <w:rStyle w:val="Emphasis"/>
          <w:rFonts w:ascii="Book Antiqua" w:hAnsi="Book Antiqua" w:cs="Book Antiqua"/>
          <w:i w:val="0"/>
          <w:iCs w:val="0"/>
          <w:sz w:val="24"/>
          <w:szCs w:val="24"/>
          <w:lang w:val="en-US"/>
        </w:rPr>
        <w:t xml:space="preserve">of </w:t>
      </w:r>
      <w:r w:rsidRPr="00A64FF0">
        <w:rPr>
          <w:rStyle w:val="Emphasis"/>
          <w:rFonts w:ascii="Book Antiqua" w:hAnsi="Book Antiqua" w:cs="Book Antiqua"/>
          <w:i w:val="0"/>
          <w:iCs w:val="0"/>
          <w:sz w:val="24"/>
          <w:szCs w:val="24"/>
          <w:lang w:val="en-US"/>
        </w:rPr>
        <w:t>HBV in PsO compared to control. The different frequency of HBV and HCV infection</w:t>
      </w:r>
      <w:r w:rsidR="0040703C"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as well as of PsO worldwide</w:t>
      </w:r>
      <w:r w:rsidR="0040703C" w:rsidRPr="00A64FF0">
        <w:rPr>
          <w:rStyle w:val="Emphasis"/>
          <w:rFonts w:ascii="Book Antiqua" w:hAnsi="Book Antiqua" w:cs="Book Antiqua"/>
          <w:i w:val="0"/>
          <w:iCs w:val="0"/>
          <w:sz w:val="24"/>
          <w:szCs w:val="24"/>
          <w:lang w:val="en-US"/>
        </w:rPr>
        <w:t>,</w:t>
      </w:r>
      <w:r w:rsidRPr="00A64FF0">
        <w:rPr>
          <w:rStyle w:val="Emphasis"/>
          <w:rFonts w:ascii="Book Antiqua" w:hAnsi="Book Antiqua" w:cs="Book Antiqua"/>
          <w:i w:val="0"/>
          <w:iCs w:val="0"/>
          <w:sz w:val="24"/>
          <w:szCs w:val="24"/>
          <w:lang w:val="en-US"/>
        </w:rPr>
        <w:t xml:space="preserve"> can </w:t>
      </w:r>
      <w:r w:rsidR="0040703C" w:rsidRPr="00A64FF0">
        <w:rPr>
          <w:rStyle w:val="Emphasis"/>
          <w:rFonts w:ascii="Book Antiqua" w:hAnsi="Book Antiqua" w:cs="Book Antiqua"/>
          <w:i w:val="0"/>
          <w:iCs w:val="0"/>
          <w:sz w:val="24"/>
          <w:szCs w:val="24"/>
          <w:lang w:val="en-US"/>
        </w:rPr>
        <w:t>account for</w:t>
      </w:r>
      <w:r w:rsidRPr="00A64FF0">
        <w:rPr>
          <w:rStyle w:val="Emphasis"/>
          <w:rFonts w:ascii="Book Antiqua" w:hAnsi="Book Antiqua" w:cs="Book Antiqua"/>
          <w:i w:val="0"/>
          <w:iCs w:val="0"/>
          <w:sz w:val="24"/>
          <w:szCs w:val="24"/>
          <w:lang w:val="en-US"/>
        </w:rPr>
        <w:t xml:space="preserve"> the discrepancies among the data published so far. </w:t>
      </w:r>
    </w:p>
    <w:p w:rsidR="00CC5C47" w:rsidRPr="00A64FF0" w:rsidRDefault="00866FAF" w:rsidP="00467AE1">
      <w:pPr>
        <w:adjustRightInd w:val="0"/>
        <w:snapToGrid w:val="0"/>
        <w:spacing w:after="0" w:line="360" w:lineRule="auto"/>
        <w:ind w:firstLineChars="200" w:firstLine="480"/>
        <w:jc w:val="both"/>
        <w:rPr>
          <w:rStyle w:val="Emphasis"/>
          <w:rFonts w:ascii="Book Antiqua" w:hAnsi="Book Antiqua" w:cs="Book Antiqua"/>
          <w:i w:val="0"/>
          <w:iCs w:val="0"/>
          <w:sz w:val="24"/>
          <w:szCs w:val="24"/>
          <w:lang w:val="en-US"/>
        </w:rPr>
      </w:pPr>
      <w:r w:rsidRPr="00A64FF0">
        <w:rPr>
          <w:rStyle w:val="Emphasis"/>
          <w:rFonts w:ascii="Book Antiqua" w:hAnsi="Book Antiqua" w:cs="Book Antiqua"/>
          <w:i w:val="0"/>
          <w:iCs w:val="0"/>
          <w:sz w:val="24"/>
          <w:szCs w:val="24"/>
          <w:lang w:val="en-US"/>
        </w:rPr>
        <w:t xml:space="preserve">The chance to encounter in </w:t>
      </w:r>
      <w:r w:rsidR="00CC5C47" w:rsidRPr="00A64FF0">
        <w:rPr>
          <w:rStyle w:val="Emphasis"/>
          <w:rFonts w:ascii="Book Antiqua" w:hAnsi="Book Antiqua" w:cs="Book Antiqua"/>
          <w:i w:val="0"/>
          <w:iCs w:val="0"/>
          <w:sz w:val="24"/>
          <w:szCs w:val="24"/>
          <w:lang w:val="en-US"/>
        </w:rPr>
        <w:t xml:space="preserve">clinical practice PsO patients </w:t>
      </w:r>
      <w:r w:rsidRPr="00A64FF0">
        <w:rPr>
          <w:rStyle w:val="Emphasis"/>
          <w:rFonts w:ascii="Book Antiqua" w:hAnsi="Book Antiqua" w:cs="Book Antiqua"/>
          <w:i w:val="0"/>
          <w:iCs w:val="0"/>
          <w:sz w:val="24"/>
          <w:szCs w:val="24"/>
          <w:lang w:val="en-US"/>
        </w:rPr>
        <w:t>in</w:t>
      </w:r>
      <w:r w:rsidR="00CC5C47" w:rsidRPr="00A64FF0">
        <w:rPr>
          <w:rStyle w:val="Emphasis"/>
          <w:rFonts w:ascii="Book Antiqua" w:hAnsi="Book Antiqua" w:cs="Book Antiqua"/>
          <w:i w:val="0"/>
          <w:iCs w:val="0"/>
          <w:sz w:val="24"/>
          <w:szCs w:val="24"/>
          <w:lang w:val="en-US"/>
        </w:rPr>
        <w:t xml:space="preserve"> high need of treatment who are HBV or HCV infected</w:t>
      </w:r>
      <w:r w:rsidRPr="00A64FF0">
        <w:rPr>
          <w:rStyle w:val="Emphasis"/>
          <w:rFonts w:ascii="Book Antiqua" w:hAnsi="Book Antiqua" w:cs="Book Antiqua"/>
          <w:i w:val="0"/>
          <w:iCs w:val="0"/>
          <w:sz w:val="24"/>
          <w:szCs w:val="24"/>
          <w:lang w:val="en-US"/>
        </w:rPr>
        <w:t>,</w:t>
      </w:r>
      <w:r w:rsidR="00CC5C47" w:rsidRPr="00A64FF0">
        <w:rPr>
          <w:rStyle w:val="Emphasis"/>
          <w:rFonts w:ascii="Book Antiqua" w:hAnsi="Book Antiqua" w:cs="Book Antiqua"/>
          <w:i w:val="0"/>
          <w:iCs w:val="0"/>
          <w:sz w:val="24"/>
          <w:szCs w:val="24"/>
          <w:lang w:val="en-US"/>
        </w:rPr>
        <w:t xml:space="preserve"> should</w:t>
      </w:r>
      <w:r w:rsidR="0040703C" w:rsidRPr="00A64FF0">
        <w:rPr>
          <w:rStyle w:val="Emphasis"/>
          <w:rFonts w:ascii="Book Antiqua" w:hAnsi="Book Antiqua" w:cs="Book Antiqua"/>
          <w:i w:val="0"/>
          <w:iCs w:val="0"/>
          <w:sz w:val="24"/>
          <w:szCs w:val="24"/>
          <w:lang w:val="en-US"/>
        </w:rPr>
        <w:t xml:space="preserve"> not</w:t>
      </w:r>
      <w:r w:rsidR="00CC5C47" w:rsidRPr="00A64FF0">
        <w:rPr>
          <w:rStyle w:val="Emphasis"/>
          <w:rFonts w:ascii="Book Antiqua" w:hAnsi="Book Antiqua" w:cs="Book Antiqua"/>
          <w:i w:val="0"/>
          <w:iCs w:val="0"/>
          <w:sz w:val="24"/>
          <w:szCs w:val="24"/>
          <w:lang w:val="en-US"/>
        </w:rPr>
        <w:t xml:space="preserve"> b</w:t>
      </w:r>
      <w:r w:rsidR="0040703C" w:rsidRPr="00A64FF0">
        <w:rPr>
          <w:rStyle w:val="Emphasis"/>
          <w:rFonts w:ascii="Book Antiqua" w:hAnsi="Book Antiqua" w:cs="Book Antiqua"/>
          <w:i w:val="0"/>
          <w:iCs w:val="0"/>
          <w:sz w:val="24"/>
          <w:szCs w:val="24"/>
          <w:lang w:val="en-US"/>
        </w:rPr>
        <w:t>e underestimated. Concerning</w:t>
      </w:r>
      <w:r w:rsidR="00843009"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 xml:space="preserve">said issue all </w:t>
      </w:r>
      <w:r w:rsidR="0040703C" w:rsidRPr="00A64FF0">
        <w:rPr>
          <w:rStyle w:val="Emphasis"/>
          <w:rFonts w:ascii="Book Antiqua" w:hAnsi="Book Antiqua" w:cs="Book Antiqua"/>
          <w:i w:val="0"/>
          <w:iCs w:val="0"/>
          <w:sz w:val="24"/>
          <w:szCs w:val="24"/>
          <w:lang w:val="en-US"/>
        </w:rPr>
        <w:t xml:space="preserve">current guidelines recommend </w:t>
      </w:r>
      <w:r w:rsidR="00CC5C47" w:rsidRPr="00A64FF0">
        <w:rPr>
          <w:rStyle w:val="Emphasis"/>
          <w:rFonts w:ascii="Book Antiqua" w:hAnsi="Book Antiqua" w:cs="Book Antiqua"/>
          <w:i w:val="0"/>
          <w:iCs w:val="0"/>
          <w:sz w:val="24"/>
          <w:szCs w:val="24"/>
          <w:lang w:val="en-US"/>
        </w:rPr>
        <w:t>screen</w:t>
      </w:r>
      <w:r w:rsidR="0040703C" w:rsidRPr="00A64FF0">
        <w:rPr>
          <w:rStyle w:val="Emphasis"/>
          <w:rFonts w:ascii="Book Antiqua" w:hAnsi="Book Antiqua" w:cs="Book Antiqua"/>
          <w:i w:val="0"/>
          <w:iCs w:val="0"/>
          <w:sz w:val="24"/>
          <w:szCs w:val="24"/>
          <w:lang w:val="en-US"/>
        </w:rPr>
        <w:t>ing</w:t>
      </w:r>
      <w:r w:rsidR="00843009"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 xml:space="preserve">PsO patients </w:t>
      </w:r>
      <w:r w:rsidR="0040703C" w:rsidRPr="00A64FF0">
        <w:rPr>
          <w:rStyle w:val="Emphasis"/>
          <w:rFonts w:ascii="Book Antiqua" w:hAnsi="Book Antiqua" w:cs="Book Antiqua"/>
          <w:i w:val="0"/>
          <w:iCs w:val="0"/>
          <w:sz w:val="24"/>
          <w:szCs w:val="24"/>
          <w:lang w:val="en-US"/>
        </w:rPr>
        <w:t>eligible for</w:t>
      </w:r>
      <w:r w:rsidR="00843009" w:rsidRPr="00A64FF0">
        <w:rPr>
          <w:rStyle w:val="Emphasis"/>
          <w:rFonts w:ascii="Book Antiqua" w:hAnsi="Book Antiqua" w:cs="Book Antiqua"/>
          <w:i w:val="0"/>
          <w:iCs w:val="0"/>
          <w:sz w:val="24"/>
          <w:szCs w:val="24"/>
          <w:lang w:val="en-US"/>
        </w:rPr>
        <w:t xml:space="preserve"> </w:t>
      </w:r>
      <w:r w:rsidR="0040703C" w:rsidRPr="00A64FF0">
        <w:rPr>
          <w:rStyle w:val="Emphasis"/>
          <w:rFonts w:ascii="Book Antiqua" w:hAnsi="Book Antiqua" w:cs="Book Antiqua"/>
          <w:i w:val="0"/>
          <w:iCs w:val="0"/>
          <w:sz w:val="24"/>
          <w:szCs w:val="24"/>
          <w:lang w:val="en-US"/>
        </w:rPr>
        <w:t>an immunosuppressive therapy due to</w:t>
      </w:r>
      <w:r w:rsidR="00843009"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the presence of</w:t>
      </w:r>
      <w:r w:rsidR="00843009"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HBV and HCV infection</w:t>
      </w:r>
      <w:r w:rsidR="005172D2" w:rsidRPr="00A64FF0">
        <w:rPr>
          <w:rStyle w:val="Emphasis"/>
          <w:rFonts w:ascii="Book Antiqua" w:hAnsi="Book Antiqua" w:cs="Book Antiqua"/>
          <w:i w:val="0"/>
          <w:iCs w:val="0"/>
          <w:sz w:val="24"/>
          <w:szCs w:val="24"/>
          <w:lang w:val="en-US"/>
        </w:rPr>
        <w:t>.</w:t>
      </w:r>
      <w:r w:rsidR="00CC5C47" w:rsidRPr="00A64FF0">
        <w:rPr>
          <w:rStyle w:val="Emphasis"/>
          <w:rFonts w:ascii="Book Antiqua" w:hAnsi="Book Antiqua" w:cs="Book Antiqua"/>
          <w:i w:val="0"/>
          <w:iCs w:val="0"/>
          <w:sz w:val="24"/>
          <w:szCs w:val="24"/>
          <w:lang w:val="en-US"/>
        </w:rPr>
        <w:t xml:space="preserve"> However</w:t>
      </w:r>
      <w:r w:rsidR="0040703C" w:rsidRPr="00A64FF0">
        <w:rPr>
          <w:rStyle w:val="Emphasis"/>
          <w:rFonts w:ascii="Book Antiqua" w:hAnsi="Book Antiqua" w:cs="Book Antiqua"/>
          <w:i w:val="0"/>
          <w:iCs w:val="0"/>
          <w:sz w:val="24"/>
          <w:szCs w:val="24"/>
          <w:lang w:val="en-US"/>
        </w:rPr>
        <w:t>,</w:t>
      </w:r>
      <w:r w:rsidR="00843009"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no guideline</w:t>
      </w:r>
      <w:r w:rsidR="0040703C" w:rsidRPr="00A64FF0">
        <w:rPr>
          <w:rStyle w:val="Emphasis"/>
          <w:rFonts w:ascii="Book Antiqua" w:hAnsi="Book Antiqua" w:cs="Book Antiqua"/>
          <w:i w:val="0"/>
          <w:iCs w:val="0"/>
          <w:sz w:val="24"/>
          <w:szCs w:val="24"/>
          <w:lang w:val="en-US"/>
        </w:rPr>
        <w:t xml:space="preserve">s </w:t>
      </w:r>
      <w:r w:rsidR="00CC5C47" w:rsidRPr="00A64FF0">
        <w:rPr>
          <w:rStyle w:val="Emphasis"/>
          <w:rFonts w:ascii="Book Antiqua" w:hAnsi="Book Antiqua" w:cs="Book Antiqua"/>
          <w:i w:val="0"/>
          <w:iCs w:val="0"/>
          <w:sz w:val="24"/>
          <w:szCs w:val="24"/>
          <w:lang w:val="en-US"/>
        </w:rPr>
        <w:t>present</w:t>
      </w:r>
      <w:r w:rsidR="0040703C" w:rsidRPr="00A64FF0">
        <w:rPr>
          <w:rStyle w:val="Emphasis"/>
          <w:rFonts w:ascii="Book Antiqua" w:hAnsi="Book Antiqua" w:cs="Book Antiqua"/>
          <w:i w:val="0"/>
          <w:iCs w:val="0"/>
          <w:sz w:val="24"/>
          <w:szCs w:val="24"/>
          <w:lang w:val="en-US"/>
        </w:rPr>
        <w:t>ly</w:t>
      </w:r>
      <w:r w:rsidR="00CC5C47" w:rsidRPr="00A64FF0">
        <w:rPr>
          <w:rStyle w:val="Emphasis"/>
          <w:rFonts w:ascii="Book Antiqua" w:hAnsi="Book Antiqua" w:cs="Book Antiqua"/>
          <w:i w:val="0"/>
          <w:iCs w:val="0"/>
          <w:sz w:val="24"/>
          <w:szCs w:val="24"/>
          <w:lang w:val="en-US"/>
        </w:rPr>
        <w:t xml:space="preserve"> available give indications on how to manage and monitor the</w:t>
      </w:r>
      <w:r w:rsidR="0040703C" w:rsidRPr="00A64FF0">
        <w:rPr>
          <w:rStyle w:val="Emphasis"/>
          <w:rFonts w:ascii="Book Antiqua" w:hAnsi="Book Antiqua" w:cs="Book Antiqua"/>
          <w:i w:val="0"/>
          <w:iCs w:val="0"/>
          <w:sz w:val="24"/>
          <w:szCs w:val="24"/>
          <w:lang w:val="en-US"/>
        </w:rPr>
        <w:t>se</w:t>
      </w:r>
      <w:r w:rsidR="00CC5C47" w:rsidRPr="00A64FF0">
        <w:rPr>
          <w:rStyle w:val="Emphasis"/>
          <w:rFonts w:ascii="Book Antiqua" w:hAnsi="Book Antiqua" w:cs="Book Antiqua"/>
          <w:i w:val="0"/>
          <w:iCs w:val="0"/>
          <w:sz w:val="24"/>
          <w:szCs w:val="24"/>
          <w:lang w:val="en-US"/>
        </w:rPr>
        <w:t xml:space="preserve"> patients. Notwithstanding the above-cited</w:t>
      </w:r>
      <w:r w:rsidR="00F47172"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limitations, immunosuppressive therapies should</w:t>
      </w:r>
      <w:r w:rsidR="0085723E" w:rsidRPr="00A64FF0">
        <w:rPr>
          <w:rStyle w:val="Emphasis"/>
          <w:rFonts w:ascii="Book Antiqua" w:hAnsi="Book Antiqua" w:cs="Book Antiqua"/>
          <w:i w:val="0"/>
          <w:iCs w:val="0"/>
          <w:sz w:val="24"/>
          <w:szCs w:val="24"/>
          <w:lang w:val="en-US"/>
        </w:rPr>
        <w:t xml:space="preserve"> not</w:t>
      </w:r>
      <w:r w:rsidR="00CC5C47" w:rsidRPr="00A64FF0">
        <w:rPr>
          <w:rStyle w:val="Emphasis"/>
          <w:rFonts w:ascii="Book Antiqua" w:hAnsi="Book Antiqua" w:cs="Book Antiqua"/>
          <w:i w:val="0"/>
          <w:iCs w:val="0"/>
          <w:sz w:val="24"/>
          <w:szCs w:val="24"/>
          <w:lang w:val="en-US"/>
        </w:rPr>
        <w:t xml:space="preserve"> be an insurmountable</w:t>
      </w:r>
      <w:r w:rsidR="00F47172"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barrier for subjects with severe PsO and concomitant</w:t>
      </w:r>
      <w:r w:rsidR="00F47172" w:rsidRPr="00A64FF0">
        <w:rPr>
          <w:rStyle w:val="Emphasis"/>
          <w:rFonts w:ascii="Book Antiqua" w:hAnsi="Book Antiqua" w:cs="Book Antiqua"/>
          <w:i w:val="0"/>
          <w:iCs w:val="0"/>
          <w:sz w:val="24"/>
          <w:szCs w:val="24"/>
          <w:lang w:val="en-US"/>
        </w:rPr>
        <w:t xml:space="preserve"> </w:t>
      </w:r>
      <w:r w:rsidR="00CC5C47" w:rsidRPr="00A64FF0">
        <w:rPr>
          <w:rStyle w:val="Emphasis"/>
          <w:rFonts w:ascii="Book Antiqua" w:hAnsi="Book Antiqua" w:cs="Book Antiqua"/>
          <w:i w:val="0"/>
          <w:iCs w:val="0"/>
          <w:sz w:val="24"/>
          <w:szCs w:val="24"/>
          <w:lang w:val="en-US"/>
        </w:rPr>
        <w:t>chronic HBV or HCV infection.</w:t>
      </w:r>
    </w:p>
    <w:p w:rsidR="00DB67E1" w:rsidRPr="00A64FF0" w:rsidRDefault="00CC5C47" w:rsidP="00467AE1">
      <w:pPr>
        <w:adjustRightInd w:val="0"/>
        <w:snapToGrid w:val="0"/>
        <w:spacing w:after="0" w:line="360" w:lineRule="auto"/>
        <w:ind w:firstLineChars="200" w:firstLine="480"/>
        <w:jc w:val="both"/>
        <w:rPr>
          <w:rFonts w:ascii="Book Antiqua" w:hAnsi="Book Antiqua" w:cs="Times New Roman"/>
          <w:iCs/>
          <w:sz w:val="24"/>
          <w:szCs w:val="24"/>
          <w:lang w:val="en-US"/>
        </w:rPr>
      </w:pPr>
      <w:r w:rsidRPr="00A64FF0">
        <w:rPr>
          <w:rStyle w:val="Emphasis"/>
          <w:rFonts w:ascii="Book Antiqua" w:hAnsi="Book Antiqua" w:cs="Book Antiqua"/>
          <w:i w:val="0"/>
          <w:iCs w:val="0"/>
          <w:sz w:val="24"/>
          <w:szCs w:val="24"/>
          <w:lang w:val="en-US"/>
        </w:rPr>
        <w:lastRenderedPageBreak/>
        <w:t>As already stated in this paper</w:t>
      </w:r>
      <w:r w:rsidR="0085723E" w:rsidRPr="00A64FF0">
        <w:rPr>
          <w:rStyle w:val="Emphasis"/>
          <w:rFonts w:ascii="Book Antiqua" w:hAnsi="Book Antiqua" w:cs="Book Antiqua"/>
          <w:i w:val="0"/>
          <w:iCs w:val="0"/>
          <w:sz w:val="24"/>
          <w:szCs w:val="24"/>
          <w:lang w:val="en-US"/>
        </w:rPr>
        <w:t>,</w:t>
      </w:r>
      <w:r w:rsidR="00F47172" w:rsidRPr="00A64FF0">
        <w:rPr>
          <w:rStyle w:val="Emphasis"/>
          <w:rFonts w:ascii="Book Antiqua" w:hAnsi="Book Antiqua" w:cs="Book Antiqua"/>
          <w:i w:val="0"/>
          <w:iCs w:val="0"/>
          <w:sz w:val="24"/>
          <w:szCs w:val="24"/>
          <w:lang w:val="en-US"/>
        </w:rPr>
        <w:t xml:space="preserve"> </w:t>
      </w:r>
      <w:r w:rsidR="00DB67E1" w:rsidRPr="00A64FF0">
        <w:rPr>
          <w:rFonts w:ascii="Book Antiqua" w:hAnsi="Book Antiqua" w:cs="Times New Roman"/>
          <w:iCs/>
          <w:sz w:val="24"/>
          <w:szCs w:val="24"/>
          <w:lang w:val="en-US"/>
        </w:rPr>
        <w:t>it is essential that</w:t>
      </w:r>
      <w:r w:rsidR="00866FAF" w:rsidRPr="00A64FF0">
        <w:rPr>
          <w:rFonts w:ascii="Book Antiqua" w:hAnsi="Book Antiqua" w:cs="Times New Roman"/>
          <w:iCs/>
          <w:sz w:val="24"/>
          <w:szCs w:val="24"/>
          <w:lang w:val="en-US"/>
        </w:rPr>
        <w:t xml:space="preserve"> the aforementioned patients be</w:t>
      </w:r>
      <w:r w:rsidR="00DB67E1" w:rsidRPr="00A64FF0">
        <w:rPr>
          <w:rFonts w:ascii="Book Antiqua" w:hAnsi="Book Antiqua" w:cs="Times New Roman"/>
          <w:iCs/>
          <w:sz w:val="24"/>
          <w:szCs w:val="24"/>
          <w:lang w:val="en-US"/>
        </w:rPr>
        <w:t xml:space="preserve"> referred to a hepatologist for expert clinical management.</w:t>
      </w:r>
    </w:p>
    <w:p w:rsidR="00A221D1" w:rsidRPr="00A64FF0" w:rsidRDefault="00C43FF9" w:rsidP="00467AE1">
      <w:pPr>
        <w:shd w:val="clear" w:color="auto" w:fill="FFFFFF"/>
        <w:adjustRightInd w:val="0"/>
        <w:snapToGrid w:val="0"/>
        <w:spacing w:after="0" w:line="360" w:lineRule="auto"/>
        <w:jc w:val="both"/>
        <w:rPr>
          <w:rStyle w:val="Emphasis"/>
          <w:rFonts w:ascii="Book Antiqua" w:hAnsi="Book Antiqua" w:cs="Book Antiqua"/>
          <w:b/>
          <w:i w:val="0"/>
          <w:iCs w:val="0"/>
          <w:caps/>
          <w:sz w:val="24"/>
          <w:szCs w:val="24"/>
          <w:lang w:val="en-US" w:eastAsia="zh-CN"/>
        </w:rPr>
      </w:pPr>
      <w:r w:rsidRPr="00A64FF0">
        <w:rPr>
          <w:rFonts w:ascii="Book Antiqua" w:hAnsi="Book Antiqua" w:cs="Times New Roman"/>
          <w:color w:val="000000" w:themeColor="text1"/>
          <w:sz w:val="24"/>
          <w:szCs w:val="24"/>
          <w:lang w:val="en-US" w:eastAsia="zh-CN"/>
        </w:rPr>
        <w:br w:type="page"/>
      </w:r>
      <w:r w:rsidR="00A221D1" w:rsidRPr="00A64FF0">
        <w:rPr>
          <w:rStyle w:val="Emphasis"/>
          <w:rFonts w:ascii="Book Antiqua" w:hAnsi="Book Antiqua" w:cs="Book Antiqua"/>
          <w:b/>
          <w:i w:val="0"/>
          <w:iCs w:val="0"/>
          <w:caps/>
          <w:sz w:val="24"/>
          <w:szCs w:val="24"/>
          <w:lang w:val="en-US"/>
        </w:rPr>
        <w:lastRenderedPageBreak/>
        <w:t>References</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1 </w:t>
      </w:r>
      <w:r w:rsidRPr="00A64FF0">
        <w:rPr>
          <w:rFonts w:ascii="Book Antiqua" w:hAnsi="Book Antiqua" w:cs="SimSun"/>
          <w:b/>
          <w:bCs/>
          <w:color w:val="000000"/>
          <w:sz w:val="24"/>
          <w:szCs w:val="24"/>
          <w:lang w:val="en-US" w:eastAsia="zh-CN"/>
        </w:rPr>
        <w:t>Christophers E</w:t>
      </w:r>
      <w:r w:rsidRPr="00A64FF0">
        <w:rPr>
          <w:rFonts w:ascii="Book Antiqua" w:hAnsi="Book Antiqua" w:cs="SimSun"/>
          <w:color w:val="000000"/>
          <w:sz w:val="24"/>
          <w:szCs w:val="24"/>
          <w:lang w:val="en-US" w:eastAsia="zh-CN"/>
        </w:rPr>
        <w:t>. Psoriasis--epidemiology and clinical spectrum. </w:t>
      </w:r>
      <w:r w:rsidRPr="00A64FF0">
        <w:rPr>
          <w:rFonts w:ascii="Book Antiqua" w:hAnsi="Book Antiqua" w:cs="SimSun"/>
          <w:i/>
          <w:iCs/>
          <w:color w:val="000000"/>
          <w:sz w:val="24"/>
          <w:szCs w:val="24"/>
          <w:lang w:val="en-US" w:eastAsia="zh-CN"/>
        </w:rPr>
        <w:t>Clin Exp Dermatol</w:t>
      </w:r>
      <w:r w:rsidRPr="00A64FF0">
        <w:rPr>
          <w:rFonts w:ascii="Book Antiqua" w:hAnsi="Book Antiqua" w:cs="SimSun"/>
          <w:color w:val="000000"/>
          <w:sz w:val="24"/>
          <w:szCs w:val="24"/>
          <w:lang w:val="en-US" w:eastAsia="zh-CN"/>
        </w:rPr>
        <w:t> 2001; </w:t>
      </w:r>
      <w:r w:rsidRPr="00A64FF0">
        <w:rPr>
          <w:rFonts w:ascii="Book Antiqua" w:hAnsi="Book Antiqua" w:cs="SimSun"/>
          <w:b/>
          <w:bCs/>
          <w:color w:val="000000"/>
          <w:sz w:val="24"/>
          <w:szCs w:val="24"/>
          <w:lang w:val="en-US" w:eastAsia="zh-CN"/>
        </w:rPr>
        <w:t>26</w:t>
      </w:r>
      <w:r w:rsidRPr="00A64FF0">
        <w:rPr>
          <w:rFonts w:ascii="Book Antiqua" w:hAnsi="Book Antiqua" w:cs="SimSun"/>
          <w:color w:val="000000"/>
          <w:sz w:val="24"/>
          <w:szCs w:val="24"/>
          <w:lang w:val="en-US" w:eastAsia="zh-CN"/>
        </w:rPr>
        <w:t>: 314-320 [PMID: 11422182 DOI: 10.1046/j.1365-2230.2001.00832.x]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2 </w:t>
      </w:r>
      <w:r w:rsidRPr="00A64FF0">
        <w:rPr>
          <w:rFonts w:ascii="Book Antiqua" w:hAnsi="Book Antiqua" w:cs="SimSun"/>
          <w:b/>
          <w:bCs/>
          <w:color w:val="000000"/>
          <w:sz w:val="24"/>
          <w:szCs w:val="24"/>
          <w:lang w:val="en-US" w:eastAsia="zh-CN"/>
        </w:rPr>
        <w:t>Boehncke WH</w:t>
      </w:r>
      <w:r w:rsidRPr="00A64FF0">
        <w:rPr>
          <w:rFonts w:ascii="Book Antiqua" w:hAnsi="Book Antiqua" w:cs="SimSun"/>
          <w:color w:val="000000"/>
          <w:sz w:val="24"/>
          <w:szCs w:val="24"/>
          <w:lang w:val="en-US" w:eastAsia="zh-CN"/>
        </w:rPr>
        <w:t>, Schön MP. Psoriasis. </w:t>
      </w:r>
      <w:r w:rsidRPr="00A64FF0">
        <w:rPr>
          <w:rFonts w:ascii="Book Antiqua" w:hAnsi="Book Antiqua" w:cs="SimSun"/>
          <w:i/>
          <w:iCs/>
          <w:color w:val="000000"/>
          <w:sz w:val="24"/>
          <w:szCs w:val="24"/>
          <w:lang w:val="en-US" w:eastAsia="zh-CN"/>
        </w:rPr>
        <w:t>Lancet</w:t>
      </w:r>
      <w:r w:rsidRPr="00A64FF0">
        <w:rPr>
          <w:rFonts w:ascii="Book Antiqua" w:hAnsi="Book Antiqua" w:cs="SimSun"/>
          <w:color w:val="000000"/>
          <w:sz w:val="24"/>
          <w:szCs w:val="24"/>
          <w:lang w:val="en-US" w:eastAsia="zh-CN"/>
        </w:rPr>
        <w:t> 2015; </w:t>
      </w:r>
      <w:r w:rsidRPr="00A64FF0">
        <w:rPr>
          <w:rFonts w:ascii="Book Antiqua" w:hAnsi="Book Antiqua" w:cs="SimSun"/>
          <w:b/>
          <w:bCs/>
          <w:color w:val="000000"/>
          <w:sz w:val="24"/>
          <w:szCs w:val="24"/>
          <w:lang w:val="en-US" w:eastAsia="zh-CN"/>
        </w:rPr>
        <w:t>386</w:t>
      </w:r>
      <w:r w:rsidRPr="00A64FF0">
        <w:rPr>
          <w:rFonts w:ascii="Book Antiqua" w:hAnsi="Book Antiqua" w:cs="SimSun"/>
          <w:color w:val="000000"/>
          <w:sz w:val="24"/>
          <w:szCs w:val="24"/>
          <w:lang w:val="en-US" w:eastAsia="zh-CN"/>
        </w:rPr>
        <w:t>: 983-994 [PMID: 26025581 DOI: 10.1016/S0140-6736(14)61909-7]</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3 </w:t>
      </w:r>
      <w:r w:rsidRPr="00A64FF0">
        <w:rPr>
          <w:rFonts w:ascii="Book Antiqua" w:hAnsi="Book Antiqua" w:cs="SimSun"/>
          <w:b/>
          <w:bCs/>
          <w:color w:val="000000"/>
          <w:sz w:val="24"/>
          <w:szCs w:val="24"/>
          <w:lang w:val="en-US" w:eastAsia="zh-CN"/>
        </w:rPr>
        <w:t>Finlay AY</w:t>
      </w:r>
      <w:r w:rsidRPr="00A64FF0">
        <w:rPr>
          <w:rFonts w:ascii="Book Antiqua" w:hAnsi="Book Antiqua" w:cs="SimSun"/>
          <w:color w:val="000000"/>
          <w:sz w:val="24"/>
          <w:szCs w:val="24"/>
          <w:lang w:val="en-US" w:eastAsia="zh-CN"/>
        </w:rPr>
        <w:t>. Current severe psoriasis and the rule of tens. </w:t>
      </w:r>
      <w:r w:rsidRPr="00A64FF0">
        <w:rPr>
          <w:rFonts w:ascii="Book Antiqua" w:hAnsi="Book Antiqua" w:cs="SimSun"/>
          <w:i/>
          <w:iCs/>
          <w:color w:val="000000"/>
          <w:sz w:val="24"/>
          <w:szCs w:val="24"/>
          <w:lang w:val="en-US" w:eastAsia="zh-CN"/>
        </w:rPr>
        <w:t>Br J Dermatol</w:t>
      </w:r>
      <w:r w:rsidRPr="00A64FF0">
        <w:rPr>
          <w:rFonts w:ascii="Book Antiqua" w:hAnsi="Book Antiqua" w:cs="SimSun"/>
          <w:color w:val="000000"/>
          <w:sz w:val="24"/>
          <w:szCs w:val="24"/>
          <w:lang w:val="en-US" w:eastAsia="zh-CN"/>
        </w:rPr>
        <w:t> 2005; </w:t>
      </w:r>
      <w:r w:rsidRPr="00A64FF0">
        <w:rPr>
          <w:rFonts w:ascii="Book Antiqua" w:hAnsi="Book Antiqua" w:cs="SimSun"/>
          <w:b/>
          <w:bCs/>
          <w:color w:val="000000"/>
          <w:sz w:val="24"/>
          <w:szCs w:val="24"/>
          <w:lang w:val="en-US" w:eastAsia="zh-CN"/>
        </w:rPr>
        <w:t>152</w:t>
      </w:r>
      <w:r w:rsidRPr="00A64FF0">
        <w:rPr>
          <w:rFonts w:ascii="Book Antiqua" w:hAnsi="Book Antiqua" w:cs="SimSun"/>
          <w:color w:val="000000"/>
          <w:sz w:val="24"/>
          <w:szCs w:val="24"/>
          <w:lang w:val="en-US" w:eastAsia="zh-CN"/>
        </w:rPr>
        <w:t>: 861-867 [PMID: 15888138 DOI: 10.1111/j.1365-2133.2005.06502.x]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4 </w:t>
      </w:r>
      <w:r w:rsidRPr="00A64FF0">
        <w:rPr>
          <w:rFonts w:ascii="Book Antiqua" w:hAnsi="Book Antiqua" w:cs="SimSun"/>
          <w:b/>
          <w:bCs/>
          <w:color w:val="000000"/>
          <w:sz w:val="24"/>
          <w:szCs w:val="24"/>
          <w:lang w:val="en-US" w:eastAsia="zh-CN"/>
        </w:rPr>
        <w:t>Mrowietz U</w:t>
      </w:r>
      <w:r w:rsidRPr="00A64FF0">
        <w:rPr>
          <w:rFonts w:ascii="Book Antiqua" w:hAnsi="Book Antiqua" w:cs="SimSun"/>
          <w:color w:val="000000"/>
          <w:sz w:val="24"/>
          <w:szCs w:val="24"/>
          <w:lang w:val="en-US" w:eastAsia="zh-CN"/>
        </w:rPr>
        <w:t>, Kragballe K, Reich K, Spuls P, Griffiths CE, Nast A, Franke J, Antoniou C, Arenberger P, Balieva F, Bylaite M, Correia O, Daudén E, Gisondi P, Iversen L, Kemény L, Lahfa M, Nijsten T, Rantanen T, Reich A, Rosenbach T, Segaert S, Smith C, Talme T, Volc-Platzer B, Yawalkar N. Definition of treatment goals for moderate to severe psoriasis: a European consensus. </w:t>
      </w:r>
      <w:r w:rsidRPr="00A64FF0">
        <w:rPr>
          <w:rFonts w:ascii="Book Antiqua" w:hAnsi="Book Antiqua" w:cs="SimSun"/>
          <w:i/>
          <w:iCs/>
          <w:color w:val="000000"/>
          <w:sz w:val="24"/>
          <w:szCs w:val="24"/>
          <w:lang w:val="en-US" w:eastAsia="zh-CN"/>
        </w:rPr>
        <w:t>Arch Dermatol Res</w:t>
      </w:r>
      <w:r w:rsidRPr="00A64FF0">
        <w:rPr>
          <w:rFonts w:ascii="Book Antiqua" w:hAnsi="Book Antiqua" w:cs="SimSun"/>
          <w:color w:val="000000"/>
          <w:sz w:val="24"/>
          <w:szCs w:val="24"/>
          <w:lang w:val="en-US" w:eastAsia="zh-CN"/>
        </w:rPr>
        <w:t> 2011; </w:t>
      </w:r>
      <w:r w:rsidRPr="00A64FF0">
        <w:rPr>
          <w:rFonts w:ascii="Book Antiqua" w:hAnsi="Book Antiqua" w:cs="SimSun"/>
          <w:b/>
          <w:bCs/>
          <w:color w:val="000000"/>
          <w:sz w:val="24"/>
          <w:szCs w:val="24"/>
          <w:lang w:val="en-US" w:eastAsia="zh-CN"/>
        </w:rPr>
        <w:t>303</w:t>
      </w:r>
      <w:r w:rsidRPr="00A64FF0">
        <w:rPr>
          <w:rFonts w:ascii="Book Antiqua" w:hAnsi="Book Antiqua" w:cs="SimSun"/>
          <w:color w:val="000000"/>
          <w:sz w:val="24"/>
          <w:szCs w:val="24"/>
          <w:lang w:val="en-US" w:eastAsia="zh-CN"/>
        </w:rPr>
        <w:t>: 1-10 [PMID: 20857129]</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 xml:space="preserve">5 </w:t>
      </w:r>
      <w:r w:rsidRPr="00A64FF0">
        <w:rPr>
          <w:rFonts w:ascii="Book Antiqua" w:hAnsi="Book Antiqua" w:cs="SimSun"/>
          <w:b/>
          <w:color w:val="000000"/>
          <w:sz w:val="24"/>
          <w:szCs w:val="24"/>
          <w:lang w:val="en-US" w:eastAsia="zh-CN"/>
        </w:rPr>
        <w:t>European Medicines Agency</w:t>
      </w:r>
      <w:r w:rsidRPr="00A64FF0">
        <w:rPr>
          <w:rFonts w:ascii="Book Antiqua" w:hAnsi="Book Antiqua" w:cs="SimSun"/>
          <w:color w:val="000000"/>
          <w:sz w:val="24"/>
          <w:szCs w:val="24"/>
          <w:lang w:val="en-US" w:eastAsia="zh-CN"/>
        </w:rPr>
        <w:t>. Find medicine - Humira [Humira: EPAR - Product Information]. 2014. Available from: URL: http: //www.ema.europa.eu/docs/en_GB/document_library/EPAR_-Product_Information/human/000481/WC500050870.pdf</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 xml:space="preserve">6 </w:t>
      </w:r>
      <w:r w:rsidRPr="00A64FF0">
        <w:rPr>
          <w:rFonts w:ascii="Book Antiqua" w:hAnsi="Book Antiqua" w:cs="SimSun"/>
          <w:b/>
          <w:color w:val="000000"/>
          <w:sz w:val="24"/>
          <w:szCs w:val="24"/>
          <w:lang w:val="en-US" w:eastAsia="zh-CN"/>
        </w:rPr>
        <w:t>European Medicines Agency</w:t>
      </w:r>
      <w:r w:rsidRPr="00A64FF0">
        <w:rPr>
          <w:rFonts w:ascii="Book Antiqua" w:hAnsi="Book Antiqua" w:cs="SimSun"/>
          <w:color w:val="000000"/>
          <w:sz w:val="24"/>
          <w:szCs w:val="24"/>
          <w:lang w:val="en-US" w:eastAsia="zh-CN"/>
        </w:rPr>
        <w:t xml:space="preserve">. Find medicine - Enbrel [Enbrel: EPAR - Product Information]. 2015. Available from: URL: http: //www.ema.europa.eu/docs/en_GB/document_library/EPAR__Product_Information/human/000262/WC500027361.pdf </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 xml:space="preserve">7 </w:t>
      </w:r>
      <w:r w:rsidRPr="00A64FF0">
        <w:rPr>
          <w:rFonts w:ascii="Book Antiqua" w:hAnsi="Book Antiqua" w:cs="SimSun"/>
          <w:b/>
          <w:color w:val="000000"/>
          <w:sz w:val="24"/>
          <w:szCs w:val="24"/>
          <w:lang w:val="en-US" w:eastAsia="zh-CN"/>
        </w:rPr>
        <w:t>European Medicines Agency.</w:t>
      </w:r>
      <w:r w:rsidRPr="00A64FF0">
        <w:rPr>
          <w:rFonts w:ascii="Book Antiqua" w:hAnsi="Book Antiqua" w:cs="SimSun"/>
          <w:color w:val="000000"/>
          <w:sz w:val="24"/>
          <w:szCs w:val="24"/>
          <w:lang w:val="en-US" w:eastAsia="zh-CN"/>
        </w:rPr>
        <w:t xml:space="preserve"> Find medicine - Remicade [Remicade: EPAR - Product Information]. 2014. Available from: URL: http: //www.ema.europa.eu/docs/en_GB/document_library/EPAR_-_Product_Information/human/000240/WC500050888.pdf</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 xml:space="preserve">8 </w:t>
      </w:r>
      <w:r w:rsidRPr="00A64FF0">
        <w:rPr>
          <w:rFonts w:ascii="Book Antiqua" w:hAnsi="Book Antiqua" w:cs="SimSun"/>
          <w:b/>
          <w:color w:val="000000"/>
          <w:sz w:val="24"/>
          <w:szCs w:val="24"/>
          <w:lang w:val="en-US" w:eastAsia="zh-CN"/>
        </w:rPr>
        <w:t>European Medicines Agency</w:t>
      </w:r>
      <w:r w:rsidRPr="00A64FF0">
        <w:rPr>
          <w:rFonts w:ascii="Book Antiqua" w:hAnsi="Book Antiqua" w:cs="SimSun"/>
          <w:color w:val="000000"/>
          <w:sz w:val="24"/>
          <w:szCs w:val="24"/>
          <w:lang w:val="en-US" w:eastAsia="zh-CN"/>
        </w:rPr>
        <w:t>. Find medicine - Stelara [Stelara: EPAR - Product Information]. 2014. Available from: URL: http: //www.ema.europa.eu/docs/en_GB/document_library/EPAR_- _Product_Information/human/000958/WC500058513.pdf 9 </w:t>
      </w:r>
      <w:r w:rsidRPr="00A64FF0">
        <w:rPr>
          <w:rFonts w:ascii="Book Antiqua" w:hAnsi="Book Antiqua" w:cs="SimSun"/>
          <w:b/>
          <w:bCs/>
          <w:color w:val="000000"/>
          <w:sz w:val="24"/>
          <w:szCs w:val="24"/>
          <w:lang w:val="en-US" w:eastAsia="zh-CN"/>
        </w:rPr>
        <w:t>Czarnecka-Operacz M</w:t>
      </w:r>
      <w:r w:rsidRPr="00A64FF0">
        <w:rPr>
          <w:rFonts w:ascii="Book Antiqua" w:hAnsi="Book Antiqua" w:cs="SimSun"/>
          <w:color w:val="000000"/>
          <w:sz w:val="24"/>
          <w:szCs w:val="24"/>
          <w:lang w:val="en-US" w:eastAsia="zh-CN"/>
        </w:rPr>
        <w:t>, Sadowska-Przytocka A. The possibilities and principles of methotrexate treatment of psoriasis - the updated knowledge. </w:t>
      </w:r>
      <w:r w:rsidRPr="00A64FF0">
        <w:rPr>
          <w:rFonts w:ascii="Book Antiqua" w:hAnsi="Book Antiqua" w:cs="SimSun"/>
          <w:i/>
          <w:iCs/>
          <w:color w:val="000000"/>
          <w:sz w:val="24"/>
          <w:szCs w:val="24"/>
          <w:lang w:val="en-US" w:eastAsia="zh-CN"/>
        </w:rPr>
        <w:t>Postepy Dermatol Alergol</w:t>
      </w:r>
      <w:r w:rsidRPr="00A64FF0">
        <w:rPr>
          <w:rFonts w:ascii="Book Antiqua" w:hAnsi="Book Antiqua" w:cs="SimSun"/>
          <w:color w:val="000000"/>
          <w:sz w:val="24"/>
          <w:szCs w:val="24"/>
          <w:lang w:val="en-US" w:eastAsia="zh-CN"/>
        </w:rPr>
        <w:t> 2014; </w:t>
      </w:r>
      <w:r w:rsidRPr="00A64FF0">
        <w:rPr>
          <w:rFonts w:ascii="Book Antiqua" w:hAnsi="Book Antiqua" w:cs="SimSun"/>
          <w:b/>
          <w:bCs/>
          <w:color w:val="000000"/>
          <w:sz w:val="24"/>
          <w:szCs w:val="24"/>
          <w:lang w:val="en-US" w:eastAsia="zh-CN"/>
        </w:rPr>
        <w:t>31</w:t>
      </w:r>
      <w:r w:rsidRPr="00A64FF0">
        <w:rPr>
          <w:rFonts w:ascii="Book Antiqua" w:hAnsi="Book Antiqua" w:cs="SimSun"/>
          <w:color w:val="000000"/>
          <w:sz w:val="24"/>
          <w:szCs w:val="24"/>
          <w:lang w:val="en-US" w:eastAsia="zh-CN"/>
        </w:rPr>
        <w:t>: 392-400 [PMID: 25610355 DOI: 10.5114/pdia.2014.47121]</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lastRenderedPageBreak/>
        <w:t xml:space="preserve">10 </w:t>
      </w:r>
      <w:r w:rsidRPr="00A64FF0">
        <w:rPr>
          <w:rFonts w:ascii="Book Antiqua" w:hAnsi="Book Antiqua" w:cs="SimSun"/>
          <w:b/>
          <w:color w:val="000000"/>
          <w:sz w:val="24"/>
          <w:szCs w:val="24"/>
          <w:lang w:val="en-US" w:eastAsia="zh-CN"/>
        </w:rPr>
        <w:t>Koutsianas C</w:t>
      </w:r>
      <w:r w:rsidRPr="00A64FF0">
        <w:rPr>
          <w:rFonts w:ascii="Book Antiqua" w:hAnsi="Book Antiqua" w:cs="SimSun"/>
          <w:color w:val="000000"/>
          <w:sz w:val="24"/>
          <w:szCs w:val="24"/>
          <w:lang w:val="en-US" w:eastAsia="zh-CN"/>
        </w:rPr>
        <w:t>, Thomas K, Vassilopoulos D. Prevention of HBV reactivation in patients treated with biologic agents. </w:t>
      </w:r>
      <w:r w:rsidRPr="00A64FF0">
        <w:rPr>
          <w:rFonts w:ascii="Book Antiqua" w:hAnsi="Book Antiqua" w:cs="SimSun"/>
          <w:i/>
          <w:iCs/>
          <w:color w:val="000000"/>
          <w:sz w:val="24"/>
          <w:szCs w:val="24"/>
          <w:lang w:val="en-US" w:eastAsia="zh-CN"/>
        </w:rPr>
        <w:t>Expert Rev Clin Pharmacol</w:t>
      </w:r>
      <w:r w:rsidRPr="00A64FF0">
        <w:rPr>
          <w:rFonts w:ascii="Book Antiqua" w:hAnsi="Book Antiqua" w:cs="SimSun"/>
          <w:color w:val="000000"/>
          <w:sz w:val="24"/>
          <w:szCs w:val="24"/>
          <w:lang w:val="en-US" w:eastAsia="zh-CN"/>
        </w:rPr>
        <w:t> 2016; Epub ahead of print [PMID: 26775683 DOI: 10.1586/17512433.2016.1143773]</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11 </w:t>
      </w:r>
      <w:r w:rsidRPr="00A64FF0">
        <w:rPr>
          <w:rFonts w:ascii="Book Antiqua" w:hAnsi="Book Antiqua" w:cs="SimSun"/>
          <w:b/>
          <w:bCs/>
          <w:color w:val="000000"/>
          <w:sz w:val="24"/>
          <w:szCs w:val="24"/>
          <w:lang w:val="en-US" w:eastAsia="zh-CN"/>
        </w:rPr>
        <w:t>Booij MT</w:t>
      </w:r>
      <w:r w:rsidRPr="00A64FF0">
        <w:rPr>
          <w:rFonts w:ascii="Book Antiqua" w:hAnsi="Book Antiqua" w:cs="SimSun"/>
          <w:color w:val="000000"/>
          <w:sz w:val="24"/>
          <w:szCs w:val="24"/>
          <w:lang w:val="en-US" w:eastAsia="zh-CN"/>
        </w:rPr>
        <w:t>, Van De Kerkhof PC. Acitretin revisited in the era of biologics. </w:t>
      </w:r>
      <w:r w:rsidRPr="00A64FF0">
        <w:rPr>
          <w:rFonts w:ascii="Book Antiqua" w:hAnsi="Book Antiqua" w:cs="SimSun"/>
          <w:i/>
          <w:iCs/>
          <w:color w:val="000000"/>
          <w:sz w:val="24"/>
          <w:szCs w:val="24"/>
          <w:lang w:val="en-US" w:eastAsia="zh-CN"/>
        </w:rPr>
        <w:t>J Dermatolog Treat</w:t>
      </w:r>
      <w:r w:rsidRPr="00A64FF0">
        <w:rPr>
          <w:rFonts w:ascii="Book Antiqua" w:hAnsi="Book Antiqua" w:cs="SimSun"/>
          <w:color w:val="000000"/>
          <w:sz w:val="24"/>
          <w:szCs w:val="24"/>
          <w:lang w:val="en-US" w:eastAsia="zh-CN"/>
        </w:rPr>
        <w:t> 2011; </w:t>
      </w:r>
      <w:r w:rsidRPr="00A64FF0">
        <w:rPr>
          <w:rFonts w:ascii="Book Antiqua" w:hAnsi="Book Antiqua" w:cs="SimSun"/>
          <w:b/>
          <w:bCs/>
          <w:color w:val="000000"/>
          <w:sz w:val="24"/>
          <w:szCs w:val="24"/>
          <w:lang w:val="en-US" w:eastAsia="zh-CN"/>
        </w:rPr>
        <w:t>22</w:t>
      </w:r>
      <w:r w:rsidRPr="00A64FF0">
        <w:rPr>
          <w:rFonts w:ascii="Book Antiqua" w:hAnsi="Book Antiqua" w:cs="SimSun"/>
          <w:color w:val="000000"/>
          <w:sz w:val="24"/>
          <w:szCs w:val="24"/>
          <w:lang w:val="en-US" w:eastAsia="zh-CN"/>
        </w:rPr>
        <w:t>: 86-89 [PMID: 20673152 DOI: 10.3109/09546630903578582]</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12 </w:t>
      </w:r>
      <w:r w:rsidRPr="00A64FF0">
        <w:rPr>
          <w:rFonts w:ascii="Book Antiqua" w:hAnsi="Book Antiqua" w:cs="SimSun"/>
          <w:b/>
          <w:bCs/>
          <w:color w:val="000000"/>
          <w:sz w:val="24"/>
          <w:szCs w:val="24"/>
          <w:lang w:val="en-US" w:eastAsia="zh-CN"/>
        </w:rPr>
        <w:t>Hsu S</w:t>
      </w:r>
      <w:r w:rsidRPr="00A64FF0">
        <w:rPr>
          <w:rFonts w:ascii="Book Antiqua" w:hAnsi="Book Antiqua" w:cs="SimSun"/>
          <w:color w:val="000000"/>
          <w:sz w:val="24"/>
          <w:szCs w:val="24"/>
          <w:lang w:val="en-US" w:eastAsia="zh-CN"/>
        </w:rPr>
        <w:t>, Papp KA, Lebwohl MG, Bagel J, Blauvelt A, Duffin KC, Crowley J, Eichenfield LF, Feldman SR, Fiorentino DF, Gelfand JM, Gottlieb AB, Jacobsen C, Kalb RE, Kavanaugh A, Korman NJ, Krueger GG, Michelon MA, Morison W, Ritchlin CT, Stein Gold L, Stone SP, Strober BE, Van Voorhees AS, Weiss SC, Wanat K, Bebo BF. Consensus guidelines for the management of plaque psoriasis. </w:t>
      </w:r>
      <w:r w:rsidRPr="00A64FF0">
        <w:rPr>
          <w:rFonts w:ascii="Book Antiqua" w:hAnsi="Book Antiqua" w:cs="SimSun"/>
          <w:i/>
          <w:iCs/>
          <w:color w:val="000000"/>
          <w:sz w:val="24"/>
          <w:szCs w:val="24"/>
          <w:lang w:val="en-US" w:eastAsia="zh-CN"/>
        </w:rPr>
        <w:t>Arch Dermatol</w:t>
      </w:r>
      <w:r w:rsidRPr="00A64FF0">
        <w:rPr>
          <w:rFonts w:ascii="Book Antiqua" w:hAnsi="Book Antiqua" w:cs="SimSun"/>
          <w:color w:val="000000"/>
          <w:sz w:val="24"/>
          <w:szCs w:val="24"/>
          <w:lang w:val="en-US" w:eastAsia="zh-CN"/>
        </w:rPr>
        <w:t> 2012; </w:t>
      </w:r>
      <w:r w:rsidRPr="00A64FF0">
        <w:rPr>
          <w:rFonts w:ascii="Book Antiqua" w:hAnsi="Book Antiqua" w:cs="SimSun"/>
          <w:b/>
          <w:bCs/>
          <w:color w:val="000000"/>
          <w:sz w:val="24"/>
          <w:szCs w:val="24"/>
          <w:lang w:val="en-US" w:eastAsia="zh-CN"/>
        </w:rPr>
        <w:t>148</w:t>
      </w:r>
      <w:r w:rsidRPr="00A64FF0">
        <w:rPr>
          <w:rFonts w:ascii="Book Antiqua" w:hAnsi="Book Antiqua" w:cs="SimSun"/>
          <w:color w:val="000000"/>
          <w:sz w:val="24"/>
          <w:szCs w:val="24"/>
          <w:lang w:val="en-US" w:eastAsia="zh-CN"/>
        </w:rPr>
        <w:t>: 95-102 [PMID: 22250239 DOI: 10.1001/archdermatol.2011.1410]</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13 </w:t>
      </w:r>
      <w:r w:rsidRPr="00A64FF0">
        <w:rPr>
          <w:rFonts w:ascii="Book Antiqua" w:hAnsi="Book Antiqua" w:cs="SimSun"/>
          <w:b/>
          <w:bCs/>
          <w:color w:val="000000"/>
          <w:sz w:val="24"/>
          <w:szCs w:val="24"/>
          <w:lang w:val="en-US" w:eastAsia="zh-CN"/>
        </w:rPr>
        <w:t>Nast A</w:t>
      </w:r>
      <w:r w:rsidRPr="00A64FF0">
        <w:rPr>
          <w:rFonts w:ascii="Book Antiqua" w:hAnsi="Book Antiqua" w:cs="SimSun"/>
          <w:color w:val="000000"/>
          <w:sz w:val="24"/>
          <w:szCs w:val="24"/>
          <w:lang w:val="en-US" w:eastAsia="zh-CN"/>
        </w:rPr>
        <w:t>, Boehncke WH, Mrowietz U, Ockenfels HM, Philipp S, Reich K, Rosenbach T, Sammain A, Schlaeger M, Sebastian M, Sterry W, Streit V, Augustin M, Erdmann R, Klaus J, Koza J, Muller S, Orzechowski HD, Rosumeck S, Schmid-Ott G, Weberschock T, Rzany B. S3 - Guidelines on the treatment of psoriasis vulgaris (English version). Update. </w:t>
      </w:r>
      <w:r w:rsidRPr="00A64FF0">
        <w:rPr>
          <w:rFonts w:ascii="Book Antiqua" w:hAnsi="Book Antiqua" w:cs="SimSun"/>
          <w:i/>
          <w:iCs/>
          <w:color w:val="000000"/>
          <w:sz w:val="24"/>
          <w:szCs w:val="24"/>
          <w:lang w:val="en-US" w:eastAsia="zh-CN"/>
        </w:rPr>
        <w:t>J Dtsch Dermatol Ges</w:t>
      </w:r>
      <w:r w:rsidRPr="00A64FF0">
        <w:rPr>
          <w:rFonts w:ascii="Book Antiqua" w:hAnsi="Book Antiqua" w:cs="SimSun"/>
          <w:color w:val="000000"/>
          <w:sz w:val="24"/>
          <w:szCs w:val="24"/>
          <w:lang w:val="en-US" w:eastAsia="zh-CN"/>
        </w:rPr>
        <w:t> 2012; </w:t>
      </w:r>
      <w:r w:rsidRPr="00A64FF0">
        <w:rPr>
          <w:rFonts w:ascii="Book Antiqua" w:hAnsi="Book Antiqua" w:cs="SimSun"/>
          <w:b/>
          <w:bCs/>
          <w:color w:val="000000"/>
          <w:sz w:val="24"/>
          <w:szCs w:val="24"/>
          <w:lang w:val="en-US" w:eastAsia="zh-CN"/>
        </w:rPr>
        <w:t xml:space="preserve">10 </w:t>
      </w:r>
      <w:r w:rsidRPr="00A64FF0">
        <w:rPr>
          <w:rFonts w:ascii="Book Antiqua" w:hAnsi="Book Antiqua" w:cs="SimSun"/>
          <w:bCs/>
          <w:color w:val="000000"/>
          <w:sz w:val="24"/>
          <w:szCs w:val="24"/>
          <w:lang w:val="en-US" w:eastAsia="zh-CN"/>
        </w:rPr>
        <w:t>Suppl 2</w:t>
      </w:r>
      <w:r w:rsidRPr="00A64FF0">
        <w:rPr>
          <w:rFonts w:ascii="Book Antiqua" w:hAnsi="Book Antiqua" w:cs="SimSun"/>
          <w:color w:val="000000"/>
          <w:sz w:val="24"/>
          <w:szCs w:val="24"/>
          <w:lang w:val="en-US" w:eastAsia="zh-CN"/>
        </w:rPr>
        <w:t>: S1-95 [PMID: 22386073 DOI: 10.1111/j.1610-0387.2012.07919.x]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14 </w:t>
      </w:r>
      <w:r w:rsidRPr="00A64FF0">
        <w:rPr>
          <w:rFonts w:ascii="Book Antiqua" w:hAnsi="Book Antiqua" w:cs="SimSun"/>
          <w:b/>
          <w:bCs/>
          <w:color w:val="000000"/>
          <w:sz w:val="24"/>
          <w:szCs w:val="24"/>
          <w:lang w:val="en-US" w:eastAsia="zh-CN"/>
        </w:rPr>
        <w:t>Smith CH</w:t>
      </w:r>
      <w:r w:rsidRPr="00A64FF0">
        <w:rPr>
          <w:rFonts w:ascii="Book Antiqua" w:hAnsi="Book Antiqua" w:cs="SimSun"/>
          <w:color w:val="000000"/>
          <w:sz w:val="24"/>
          <w:szCs w:val="24"/>
          <w:lang w:val="en-US" w:eastAsia="zh-CN"/>
        </w:rPr>
        <w:t>, Anstey AV, Barker JN, Burden AD, Chalmers RJ, Chandler DA, Finlay AY, Griffiths CE, Jackson K, McHugh NJ, McKenna KE, Reynolds NJ, Ormerod AD. British Association of Dermatologists' guidelines for biologic interventions for psoriasis 2009. </w:t>
      </w:r>
      <w:r w:rsidRPr="00A64FF0">
        <w:rPr>
          <w:rFonts w:ascii="Book Antiqua" w:hAnsi="Book Antiqua" w:cs="SimSun"/>
          <w:i/>
          <w:iCs/>
          <w:color w:val="000000"/>
          <w:sz w:val="24"/>
          <w:szCs w:val="24"/>
          <w:lang w:val="en-US" w:eastAsia="zh-CN"/>
        </w:rPr>
        <w:t>Br J Dermatol</w:t>
      </w:r>
      <w:r w:rsidRPr="00A64FF0">
        <w:rPr>
          <w:rFonts w:ascii="Book Antiqua" w:hAnsi="Book Antiqua" w:cs="SimSun"/>
          <w:color w:val="000000"/>
          <w:sz w:val="24"/>
          <w:szCs w:val="24"/>
          <w:lang w:val="en-US" w:eastAsia="zh-CN"/>
        </w:rPr>
        <w:t> 2009; </w:t>
      </w:r>
      <w:r w:rsidRPr="00A64FF0">
        <w:rPr>
          <w:rFonts w:ascii="Book Antiqua" w:hAnsi="Book Antiqua" w:cs="SimSun"/>
          <w:b/>
          <w:bCs/>
          <w:color w:val="000000"/>
          <w:sz w:val="24"/>
          <w:szCs w:val="24"/>
          <w:lang w:val="en-US" w:eastAsia="zh-CN"/>
        </w:rPr>
        <w:t>161</w:t>
      </w:r>
      <w:r w:rsidRPr="00A64FF0">
        <w:rPr>
          <w:rFonts w:ascii="Book Antiqua" w:hAnsi="Book Antiqua" w:cs="SimSun"/>
          <w:color w:val="000000"/>
          <w:sz w:val="24"/>
          <w:szCs w:val="24"/>
          <w:lang w:val="en-US" w:eastAsia="zh-CN"/>
        </w:rPr>
        <w:t>: 987-1019 [PMID: 19857207 DOI: 10.1111/j.1365-2133.2009.09505.x]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15 </w:t>
      </w:r>
      <w:r w:rsidRPr="00A64FF0">
        <w:rPr>
          <w:rFonts w:ascii="Book Antiqua" w:hAnsi="Book Antiqua" w:cs="SimSun"/>
          <w:b/>
          <w:bCs/>
          <w:color w:val="000000"/>
          <w:sz w:val="24"/>
          <w:szCs w:val="24"/>
          <w:lang w:val="en-US" w:eastAsia="zh-CN"/>
        </w:rPr>
        <w:t>Motaparthi K</w:t>
      </w:r>
      <w:r w:rsidRPr="00A64FF0">
        <w:rPr>
          <w:rFonts w:ascii="Book Antiqua" w:hAnsi="Book Antiqua" w:cs="SimSun"/>
          <w:color w:val="000000"/>
          <w:sz w:val="24"/>
          <w:szCs w:val="24"/>
          <w:lang w:val="en-US" w:eastAsia="zh-CN"/>
        </w:rPr>
        <w:t>, Stanisic V, Van Voorhees AS, Lebwohl MG, Hsu S. From the Medical Board of the National Psoriasis Foundation: Recommendations for screening for hepatitis B infection prior to initiating anti-tumor necrosis factor-alfa inhibitors or other immunosuppressive agents in patients with psoriasis. </w:t>
      </w:r>
      <w:r w:rsidRPr="00A64FF0">
        <w:rPr>
          <w:rFonts w:ascii="Book Antiqua" w:hAnsi="Book Antiqua" w:cs="SimSun"/>
          <w:i/>
          <w:iCs/>
          <w:color w:val="000000"/>
          <w:sz w:val="24"/>
          <w:szCs w:val="24"/>
          <w:lang w:val="en-US" w:eastAsia="zh-CN"/>
        </w:rPr>
        <w:t>J Am Acad Dermatol</w:t>
      </w:r>
      <w:r w:rsidRPr="00A64FF0">
        <w:rPr>
          <w:rFonts w:ascii="Book Antiqua" w:hAnsi="Book Antiqua" w:cs="SimSun"/>
          <w:color w:val="000000"/>
          <w:sz w:val="24"/>
          <w:szCs w:val="24"/>
          <w:lang w:val="en-US" w:eastAsia="zh-CN"/>
        </w:rPr>
        <w:t> 2014; </w:t>
      </w:r>
      <w:r w:rsidRPr="00A64FF0">
        <w:rPr>
          <w:rFonts w:ascii="Book Antiqua" w:hAnsi="Book Antiqua" w:cs="SimSun"/>
          <w:b/>
          <w:bCs/>
          <w:color w:val="000000"/>
          <w:sz w:val="24"/>
          <w:szCs w:val="24"/>
          <w:lang w:val="en-US" w:eastAsia="zh-CN"/>
        </w:rPr>
        <w:t>70</w:t>
      </w:r>
      <w:r w:rsidRPr="00A64FF0">
        <w:rPr>
          <w:rFonts w:ascii="Book Antiqua" w:hAnsi="Book Antiqua" w:cs="SimSun"/>
          <w:color w:val="000000"/>
          <w:sz w:val="24"/>
          <w:szCs w:val="24"/>
          <w:lang w:val="en-US" w:eastAsia="zh-CN"/>
        </w:rPr>
        <w:t>: 178-186 [PMID: 24220724 DOI: 10.1016/j.jaad.2013.08.049]</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16 </w:t>
      </w:r>
      <w:r w:rsidRPr="00A64FF0">
        <w:rPr>
          <w:rFonts w:ascii="Book Antiqua" w:hAnsi="Book Antiqua" w:cs="SimSun"/>
          <w:b/>
          <w:bCs/>
          <w:color w:val="000000"/>
          <w:sz w:val="24"/>
          <w:szCs w:val="24"/>
          <w:lang w:val="en-US" w:eastAsia="zh-CN"/>
        </w:rPr>
        <w:t>Abramson A</w:t>
      </w:r>
      <w:r w:rsidRPr="00A64FF0">
        <w:rPr>
          <w:rFonts w:ascii="Book Antiqua" w:hAnsi="Book Antiqua" w:cs="SimSun"/>
          <w:color w:val="000000"/>
          <w:sz w:val="24"/>
          <w:szCs w:val="24"/>
          <w:lang w:val="en-US" w:eastAsia="zh-CN"/>
        </w:rPr>
        <w:t>, Menter A, Perrillo R. Psoriasis, hepatitis B, and the tumor necrosis factor-alpha inhibitory agents: a review and recommendations for management. </w:t>
      </w:r>
      <w:r w:rsidRPr="00A64FF0">
        <w:rPr>
          <w:rFonts w:ascii="Book Antiqua" w:hAnsi="Book Antiqua" w:cs="SimSun"/>
          <w:i/>
          <w:iCs/>
          <w:color w:val="000000"/>
          <w:sz w:val="24"/>
          <w:szCs w:val="24"/>
          <w:lang w:val="en-US" w:eastAsia="zh-CN"/>
        </w:rPr>
        <w:t>J Am Acad Dermatol</w:t>
      </w:r>
      <w:r w:rsidRPr="00A64FF0">
        <w:rPr>
          <w:rFonts w:ascii="Book Antiqua" w:hAnsi="Book Antiqua" w:cs="SimSun"/>
          <w:color w:val="000000"/>
          <w:sz w:val="24"/>
          <w:szCs w:val="24"/>
          <w:lang w:val="en-US" w:eastAsia="zh-CN"/>
        </w:rPr>
        <w:t> 2012; </w:t>
      </w:r>
      <w:r w:rsidRPr="00A64FF0">
        <w:rPr>
          <w:rFonts w:ascii="Book Antiqua" w:hAnsi="Book Antiqua" w:cs="SimSun"/>
          <w:b/>
          <w:bCs/>
          <w:color w:val="000000"/>
          <w:sz w:val="24"/>
          <w:szCs w:val="24"/>
          <w:lang w:val="en-US" w:eastAsia="zh-CN"/>
        </w:rPr>
        <w:t>67</w:t>
      </w:r>
      <w:r w:rsidRPr="00A64FF0">
        <w:rPr>
          <w:rFonts w:ascii="Book Antiqua" w:hAnsi="Book Antiqua" w:cs="SimSun"/>
          <w:color w:val="000000"/>
          <w:sz w:val="24"/>
          <w:szCs w:val="24"/>
          <w:lang w:val="en-US" w:eastAsia="zh-CN"/>
        </w:rPr>
        <w:t>: 1349-1361 [PMID: 22727462 DOI: 10.1016/j.jaad.2012.04.036]</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17 </w:t>
      </w:r>
      <w:r w:rsidRPr="00A64FF0">
        <w:rPr>
          <w:rFonts w:ascii="Book Antiqua" w:hAnsi="Book Antiqua" w:cs="SimSun"/>
          <w:b/>
          <w:bCs/>
          <w:color w:val="000000"/>
          <w:sz w:val="24"/>
          <w:szCs w:val="24"/>
          <w:lang w:val="en-US" w:eastAsia="zh-CN"/>
        </w:rPr>
        <w:t>Menter A</w:t>
      </w:r>
      <w:r w:rsidRPr="00A64FF0">
        <w:rPr>
          <w:rFonts w:ascii="Book Antiqua" w:hAnsi="Book Antiqua" w:cs="SimSun"/>
          <w:color w:val="000000"/>
          <w:sz w:val="24"/>
          <w:szCs w:val="24"/>
          <w:lang w:val="en-US" w:eastAsia="zh-CN"/>
        </w:rPr>
        <w:t xml:space="preserve">, Gottlieb A, Feldman SR, Van Voorhees AS, Leonardi CL, Gordon KB, Lebwohl M, Koo JY, Elmets CA, Korman NJ, Beutner KR, Bhushan R. Guidelines of care for the management of psoriasis and psoriatic arthritis: Section 1. Overview of psoriasis </w:t>
      </w:r>
      <w:r w:rsidRPr="00A64FF0">
        <w:rPr>
          <w:rFonts w:ascii="Book Antiqua" w:hAnsi="Book Antiqua" w:cs="SimSun"/>
          <w:color w:val="000000"/>
          <w:sz w:val="24"/>
          <w:szCs w:val="24"/>
          <w:lang w:val="en-US" w:eastAsia="zh-CN"/>
        </w:rPr>
        <w:lastRenderedPageBreak/>
        <w:t>and guidelines of care for the treatment of psoriasis with biologics. </w:t>
      </w:r>
      <w:r w:rsidRPr="00A64FF0">
        <w:rPr>
          <w:rFonts w:ascii="Book Antiqua" w:hAnsi="Book Antiqua" w:cs="SimSun"/>
          <w:i/>
          <w:iCs/>
          <w:color w:val="000000"/>
          <w:sz w:val="24"/>
          <w:szCs w:val="24"/>
          <w:lang w:val="en-US" w:eastAsia="zh-CN"/>
        </w:rPr>
        <w:t>J Am Acad Dermatol</w:t>
      </w:r>
      <w:r w:rsidRPr="00A64FF0">
        <w:rPr>
          <w:rFonts w:ascii="Book Antiqua" w:hAnsi="Book Antiqua" w:cs="SimSun"/>
          <w:color w:val="000000"/>
          <w:sz w:val="24"/>
          <w:szCs w:val="24"/>
          <w:lang w:val="en-US" w:eastAsia="zh-CN"/>
        </w:rPr>
        <w:t> 2008; </w:t>
      </w:r>
      <w:r w:rsidRPr="00A64FF0">
        <w:rPr>
          <w:rFonts w:ascii="Book Antiqua" w:hAnsi="Book Antiqua" w:cs="SimSun"/>
          <w:b/>
          <w:bCs/>
          <w:color w:val="000000"/>
          <w:sz w:val="24"/>
          <w:szCs w:val="24"/>
          <w:lang w:val="en-US" w:eastAsia="zh-CN"/>
        </w:rPr>
        <w:t>58</w:t>
      </w:r>
      <w:r w:rsidRPr="00A64FF0">
        <w:rPr>
          <w:rFonts w:ascii="Book Antiqua" w:hAnsi="Book Antiqua" w:cs="SimSun"/>
          <w:color w:val="000000"/>
          <w:sz w:val="24"/>
          <w:szCs w:val="24"/>
          <w:lang w:val="en-US" w:eastAsia="zh-CN"/>
        </w:rPr>
        <w:t>: 826-850 [PMID: 18423260 DOI: 10.1016/j.jaad.2008.02.039]</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18 </w:t>
      </w:r>
      <w:r w:rsidRPr="00A64FF0">
        <w:rPr>
          <w:rFonts w:ascii="Book Antiqua" w:hAnsi="Book Antiqua" w:cs="SimSun"/>
          <w:b/>
          <w:bCs/>
          <w:color w:val="000000"/>
          <w:sz w:val="24"/>
          <w:szCs w:val="24"/>
          <w:lang w:val="en-US" w:eastAsia="zh-CN"/>
        </w:rPr>
        <w:t>Nast A</w:t>
      </w:r>
      <w:r w:rsidRPr="00A64FF0">
        <w:rPr>
          <w:rFonts w:ascii="Book Antiqua" w:hAnsi="Book Antiqua" w:cs="SimSun"/>
          <w:color w:val="000000"/>
          <w:sz w:val="24"/>
          <w:szCs w:val="24"/>
          <w:lang w:val="en-US" w:eastAsia="zh-CN"/>
        </w:rPr>
        <w:t>, Gisondi P, Ormerod AD, Saiag P, Smith C, Spuls PI, Arenberger P, Bachelez H, Barker J, Dauden E, de Jong EM, Feist E, Jacobs A, Jobling R, Kemény L, Maccarone M, Mrowietz U, Papp KA, Paul C, Reich K, Rosumeck S, Talme T, Thio HB, van de Kerkhof P, Werner RN, Yawalkar N. European S3-Guidelines on the systemic treatment of psoriasis vulgaris--Update 2015--Short version--EDF in cooperation with EADV and IPC. </w:t>
      </w:r>
      <w:r w:rsidRPr="00A64FF0">
        <w:rPr>
          <w:rFonts w:ascii="Book Antiqua" w:hAnsi="Book Antiqua" w:cs="SimSun"/>
          <w:i/>
          <w:iCs/>
          <w:color w:val="000000"/>
          <w:sz w:val="24"/>
          <w:szCs w:val="24"/>
          <w:lang w:val="en-US" w:eastAsia="zh-CN"/>
        </w:rPr>
        <w:t>J Eur Acad Dermatol Venereol</w:t>
      </w:r>
      <w:r w:rsidRPr="00A64FF0">
        <w:rPr>
          <w:rFonts w:ascii="Book Antiqua" w:hAnsi="Book Antiqua" w:cs="SimSun"/>
          <w:color w:val="000000"/>
          <w:sz w:val="24"/>
          <w:szCs w:val="24"/>
          <w:lang w:val="en-US" w:eastAsia="zh-CN"/>
        </w:rPr>
        <w:t> 2015; </w:t>
      </w:r>
      <w:r w:rsidRPr="00A64FF0">
        <w:rPr>
          <w:rFonts w:ascii="Book Antiqua" w:hAnsi="Book Antiqua" w:cs="SimSun"/>
          <w:b/>
          <w:bCs/>
          <w:color w:val="000000"/>
          <w:sz w:val="24"/>
          <w:szCs w:val="24"/>
          <w:lang w:val="en-US" w:eastAsia="zh-CN"/>
        </w:rPr>
        <w:t>29</w:t>
      </w:r>
      <w:r w:rsidRPr="00A64FF0">
        <w:rPr>
          <w:rFonts w:ascii="Book Antiqua" w:hAnsi="Book Antiqua" w:cs="SimSun"/>
          <w:color w:val="000000"/>
          <w:sz w:val="24"/>
          <w:szCs w:val="24"/>
          <w:lang w:val="en-US" w:eastAsia="zh-CN"/>
        </w:rPr>
        <w:t>: 2277-2294 [PMID: 26481193 DOI: 10.1111/jdv.13354]</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19 </w:t>
      </w:r>
      <w:r w:rsidRPr="00A64FF0">
        <w:rPr>
          <w:rFonts w:ascii="Book Antiqua" w:hAnsi="Book Antiqua" w:cs="SimSun"/>
          <w:b/>
          <w:bCs/>
          <w:color w:val="000000"/>
          <w:sz w:val="24"/>
          <w:szCs w:val="24"/>
          <w:lang w:val="en-US" w:eastAsia="zh-CN"/>
        </w:rPr>
        <w:t>Ahn CS</w:t>
      </w:r>
      <w:r w:rsidRPr="00A64FF0">
        <w:rPr>
          <w:rFonts w:ascii="Book Antiqua" w:hAnsi="Book Antiqua" w:cs="SimSun"/>
          <w:color w:val="000000"/>
          <w:sz w:val="24"/>
          <w:szCs w:val="24"/>
          <w:lang w:val="en-US" w:eastAsia="zh-CN"/>
        </w:rPr>
        <w:t>, Dothard EH, Garner ML, Feldman SR, Huang WW. To test or not to test? An updated evidence-based assessment of the value of screening and monitoring tests when using systemic biologic agents to treat psoriasis and psoriatic arthritis. </w:t>
      </w:r>
      <w:r w:rsidRPr="00A64FF0">
        <w:rPr>
          <w:rFonts w:ascii="Book Antiqua" w:hAnsi="Book Antiqua" w:cs="SimSun"/>
          <w:i/>
          <w:iCs/>
          <w:color w:val="000000"/>
          <w:sz w:val="24"/>
          <w:szCs w:val="24"/>
          <w:lang w:val="en-US" w:eastAsia="zh-CN"/>
        </w:rPr>
        <w:t>J Am Acad Dermatol</w:t>
      </w:r>
      <w:r w:rsidRPr="00A64FF0">
        <w:rPr>
          <w:rFonts w:ascii="Book Antiqua" w:hAnsi="Book Antiqua" w:cs="SimSun"/>
          <w:color w:val="000000"/>
          <w:sz w:val="24"/>
          <w:szCs w:val="24"/>
          <w:lang w:val="en-US" w:eastAsia="zh-CN"/>
        </w:rPr>
        <w:t> 2015; </w:t>
      </w:r>
      <w:r w:rsidRPr="00A64FF0">
        <w:rPr>
          <w:rFonts w:ascii="Book Antiqua" w:hAnsi="Book Antiqua" w:cs="SimSun"/>
          <w:b/>
          <w:bCs/>
          <w:color w:val="000000"/>
          <w:sz w:val="24"/>
          <w:szCs w:val="24"/>
          <w:lang w:val="en-US" w:eastAsia="zh-CN"/>
        </w:rPr>
        <w:t>73</w:t>
      </w:r>
      <w:r w:rsidRPr="00A64FF0">
        <w:rPr>
          <w:rFonts w:ascii="Book Antiqua" w:hAnsi="Book Antiqua" w:cs="SimSun"/>
          <w:color w:val="000000"/>
          <w:sz w:val="24"/>
          <w:szCs w:val="24"/>
          <w:lang w:val="en-US" w:eastAsia="zh-CN"/>
        </w:rPr>
        <w:t>: 420-8.e1 [PMID: 26184440 DOI: 10.1016/j.jaad.2015.06.004]</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20 </w:t>
      </w:r>
      <w:r w:rsidRPr="00A64FF0">
        <w:rPr>
          <w:rFonts w:ascii="Book Antiqua" w:hAnsi="Book Antiqua" w:cs="SimSun"/>
          <w:b/>
          <w:bCs/>
          <w:color w:val="000000"/>
          <w:sz w:val="24"/>
          <w:szCs w:val="24"/>
          <w:lang w:val="en-US" w:eastAsia="zh-CN"/>
        </w:rPr>
        <w:t>Bojito-Marrero L</w:t>
      </w:r>
      <w:r w:rsidRPr="00A64FF0">
        <w:rPr>
          <w:rFonts w:ascii="Book Antiqua" w:hAnsi="Book Antiqua" w:cs="SimSun"/>
          <w:color w:val="000000"/>
          <w:sz w:val="24"/>
          <w:szCs w:val="24"/>
          <w:lang w:val="en-US" w:eastAsia="zh-CN"/>
        </w:rPr>
        <w:t>, Pyrsopoulos N. Hepatitis B and Hepatitis C Reactivation in the Biologic Era. </w:t>
      </w:r>
      <w:r w:rsidRPr="00A64FF0">
        <w:rPr>
          <w:rFonts w:ascii="Book Antiqua" w:hAnsi="Book Antiqua" w:cs="SimSun"/>
          <w:i/>
          <w:iCs/>
          <w:color w:val="000000"/>
          <w:sz w:val="24"/>
          <w:szCs w:val="24"/>
          <w:lang w:val="en-US" w:eastAsia="zh-CN"/>
        </w:rPr>
        <w:t>J Clin Transl Hepatol</w:t>
      </w:r>
      <w:r w:rsidRPr="00A64FF0">
        <w:rPr>
          <w:rFonts w:ascii="Book Antiqua" w:hAnsi="Book Antiqua" w:cs="SimSun"/>
          <w:color w:val="000000"/>
          <w:sz w:val="24"/>
          <w:szCs w:val="24"/>
          <w:lang w:val="en-US" w:eastAsia="zh-CN"/>
        </w:rPr>
        <w:t> 2014; </w:t>
      </w:r>
      <w:r w:rsidRPr="00A64FF0">
        <w:rPr>
          <w:rFonts w:ascii="Book Antiqua" w:hAnsi="Book Antiqua" w:cs="SimSun"/>
          <w:b/>
          <w:bCs/>
          <w:color w:val="000000"/>
          <w:sz w:val="24"/>
          <w:szCs w:val="24"/>
          <w:lang w:val="en-US" w:eastAsia="zh-CN"/>
        </w:rPr>
        <w:t>2</w:t>
      </w:r>
      <w:r w:rsidRPr="00A64FF0">
        <w:rPr>
          <w:rFonts w:ascii="Book Antiqua" w:hAnsi="Book Antiqua" w:cs="SimSun"/>
          <w:color w:val="000000"/>
          <w:sz w:val="24"/>
          <w:szCs w:val="24"/>
          <w:lang w:val="en-US" w:eastAsia="zh-CN"/>
        </w:rPr>
        <w:t>: 240-246 [PMID: 26355300 DOI: 10.14218/JCTH.2014.00033]</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21 </w:t>
      </w:r>
      <w:r w:rsidRPr="00A64FF0">
        <w:rPr>
          <w:rFonts w:ascii="Book Antiqua" w:hAnsi="Book Antiqua" w:cs="SimSun"/>
          <w:b/>
          <w:bCs/>
          <w:color w:val="000000"/>
          <w:sz w:val="24"/>
          <w:szCs w:val="24"/>
          <w:lang w:val="en-US" w:eastAsia="zh-CN"/>
        </w:rPr>
        <w:t>Pérez-Alvarez R</w:t>
      </w:r>
      <w:r w:rsidRPr="00A64FF0">
        <w:rPr>
          <w:rFonts w:ascii="Book Antiqua" w:hAnsi="Book Antiqua" w:cs="SimSun"/>
          <w:color w:val="000000"/>
          <w:sz w:val="24"/>
          <w:szCs w:val="24"/>
          <w:lang w:val="en-US" w:eastAsia="zh-CN"/>
        </w:rPr>
        <w:t>, Díaz-Lagares C, García-Hernández F, Lopez-Roses L, Brito-Zerón P, Pérez-de-Lis M, Retamozo S, Bové A, Bosch X, Sanchez-Tapias JM, Forns X, Ramos-Casals M. Hepatitis B virus (HBV) reactivation in patients receiving tumor necrosis factor (TNF)-targeted therapy: analysis of 257 cases. </w:t>
      </w:r>
      <w:r w:rsidRPr="00A64FF0">
        <w:rPr>
          <w:rFonts w:ascii="Book Antiqua" w:hAnsi="Book Antiqua" w:cs="SimSun"/>
          <w:i/>
          <w:iCs/>
          <w:color w:val="000000"/>
          <w:sz w:val="24"/>
          <w:szCs w:val="24"/>
          <w:lang w:val="en-US" w:eastAsia="zh-CN"/>
        </w:rPr>
        <w:t>Medicine (Baltimore)</w:t>
      </w:r>
      <w:r w:rsidRPr="00A64FF0">
        <w:rPr>
          <w:rFonts w:ascii="Book Antiqua" w:hAnsi="Book Antiqua" w:cs="SimSun"/>
          <w:color w:val="000000"/>
          <w:sz w:val="24"/>
          <w:szCs w:val="24"/>
          <w:lang w:val="en-US" w:eastAsia="zh-CN"/>
        </w:rPr>
        <w:t> 2011; </w:t>
      </w:r>
      <w:r w:rsidRPr="00A64FF0">
        <w:rPr>
          <w:rFonts w:ascii="Book Antiqua" w:hAnsi="Book Antiqua" w:cs="SimSun"/>
          <w:b/>
          <w:bCs/>
          <w:color w:val="000000"/>
          <w:sz w:val="24"/>
          <w:szCs w:val="24"/>
          <w:lang w:val="en-US" w:eastAsia="zh-CN"/>
        </w:rPr>
        <w:t>90</w:t>
      </w:r>
      <w:r w:rsidRPr="00A64FF0">
        <w:rPr>
          <w:rFonts w:ascii="Book Antiqua" w:hAnsi="Book Antiqua" w:cs="SimSun"/>
          <w:color w:val="000000"/>
          <w:sz w:val="24"/>
          <w:szCs w:val="24"/>
          <w:lang w:val="en-US" w:eastAsia="zh-CN"/>
        </w:rPr>
        <w:t>: 359-371 [PMID: 22033451 DOI: 10.1097/MD.0b013e3182380a76]</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 xml:space="preserve">22 </w:t>
      </w:r>
      <w:r w:rsidRPr="00A64FF0">
        <w:rPr>
          <w:rFonts w:ascii="Book Antiqua" w:hAnsi="Book Antiqua" w:cs="Book Antiqua"/>
          <w:b/>
          <w:color w:val="000000" w:themeColor="text1"/>
          <w:sz w:val="24"/>
          <w:szCs w:val="24"/>
          <w:lang w:val="en-US"/>
        </w:rPr>
        <w:t>WHO</w:t>
      </w:r>
      <w:r w:rsidRPr="00A64FF0">
        <w:rPr>
          <w:rFonts w:ascii="Book Antiqua" w:hAnsi="Book Antiqua" w:cs="Book Antiqua"/>
          <w:color w:val="000000" w:themeColor="text1"/>
          <w:sz w:val="24"/>
          <w:szCs w:val="24"/>
          <w:lang w:val="en-US"/>
        </w:rPr>
        <w:t>. Guidelines for the prevention, care and treatment of persons with chronic hepatitis B infection. Geneva Switzerland: World Health Organization; May 12, 2015</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23 </w:t>
      </w:r>
      <w:r w:rsidRPr="00A64FF0">
        <w:rPr>
          <w:rFonts w:ascii="Book Antiqua" w:hAnsi="Book Antiqua" w:cs="SimSun"/>
          <w:b/>
          <w:bCs/>
          <w:color w:val="000000"/>
          <w:sz w:val="24"/>
          <w:szCs w:val="24"/>
          <w:lang w:val="en-US" w:eastAsia="zh-CN"/>
        </w:rPr>
        <w:t>Terrault NA</w:t>
      </w:r>
      <w:r w:rsidRPr="00A64FF0">
        <w:rPr>
          <w:rFonts w:ascii="Book Antiqua" w:hAnsi="Book Antiqua" w:cs="SimSun"/>
          <w:color w:val="000000"/>
          <w:sz w:val="24"/>
          <w:szCs w:val="24"/>
          <w:lang w:val="en-US" w:eastAsia="zh-CN"/>
        </w:rPr>
        <w:t>, Bzowej NH, Chang KM, Hwang JP, Jonas MM, Murad MH. AASLD guidelines for treatment of chronic hepatitis B. </w:t>
      </w:r>
      <w:r w:rsidRPr="00A64FF0">
        <w:rPr>
          <w:rFonts w:ascii="Book Antiqua" w:hAnsi="Book Antiqua" w:cs="SimSun"/>
          <w:i/>
          <w:iCs/>
          <w:color w:val="000000"/>
          <w:sz w:val="24"/>
          <w:szCs w:val="24"/>
          <w:lang w:val="en-US" w:eastAsia="zh-CN"/>
        </w:rPr>
        <w:t>Hepatology</w:t>
      </w:r>
      <w:r w:rsidRPr="00A64FF0">
        <w:rPr>
          <w:rFonts w:ascii="Book Antiqua" w:hAnsi="Book Antiqua" w:cs="SimSun"/>
          <w:color w:val="000000"/>
          <w:sz w:val="24"/>
          <w:szCs w:val="24"/>
          <w:lang w:val="en-US" w:eastAsia="zh-CN"/>
        </w:rPr>
        <w:t> 2016; </w:t>
      </w:r>
      <w:r w:rsidRPr="00A64FF0">
        <w:rPr>
          <w:rFonts w:ascii="Book Antiqua" w:hAnsi="Book Antiqua" w:cs="SimSun"/>
          <w:b/>
          <w:bCs/>
          <w:color w:val="000000"/>
          <w:sz w:val="24"/>
          <w:szCs w:val="24"/>
          <w:lang w:val="en-US" w:eastAsia="zh-CN"/>
        </w:rPr>
        <w:t>63</w:t>
      </w:r>
      <w:r w:rsidRPr="00A64FF0">
        <w:rPr>
          <w:rFonts w:ascii="Book Antiqua" w:hAnsi="Book Antiqua" w:cs="SimSun"/>
          <w:color w:val="000000"/>
          <w:sz w:val="24"/>
          <w:szCs w:val="24"/>
          <w:lang w:val="en-US" w:eastAsia="zh-CN"/>
        </w:rPr>
        <w:t>: 261-283 [PMID: 26566064 DOI: 10.1002/hep.28156]</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 xml:space="preserve">24 </w:t>
      </w:r>
      <w:r w:rsidRPr="00A64FF0">
        <w:rPr>
          <w:rFonts w:ascii="Book Antiqua" w:hAnsi="Book Antiqua" w:cs="SimSun"/>
          <w:b/>
          <w:color w:val="000000"/>
          <w:sz w:val="24"/>
          <w:szCs w:val="24"/>
          <w:lang w:val="en-US" w:eastAsia="zh-CN"/>
        </w:rPr>
        <w:t>European Association For The Study Of The Liver</w:t>
      </w:r>
      <w:r w:rsidRPr="00A64FF0">
        <w:rPr>
          <w:rFonts w:ascii="Book Antiqua" w:hAnsi="Book Antiqua" w:cs="SimSun"/>
          <w:color w:val="000000"/>
          <w:sz w:val="24"/>
          <w:szCs w:val="24"/>
          <w:lang w:val="en-US" w:eastAsia="zh-CN"/>
        </w:rPr>
        <w:t>. EASL clinical practice guidelines: Management of chronic hepatitis B virus infection. </w:t>
      </w:r>
      <w:r w:rsidRPr="00A64FF0">
        <w:rPr>
          <w:rFonts w:ascii="Book Antiqua" w:hAnsi="Book Antiqua" w:cs="SimSun"/>
          <w:i/>
          <w:iCs/>
          <w:color w:val="000000"/>
          <w:sz w:val="24"/>
          <w:szCs w:val="24"/>
          <w:lang w:val="en-US" w:eastAsia="zh-CN"/>
        </w:rPr>
        <w:t>J Hepatol</w:t>
      </w:r>
      <w:r w:rsidRPr="00A64FF0">
        <w:rPr>
          <w:rFonts w:ascii="Book Antiqua" w:hAnsi="Book Antiqua" w:cs="SimSun"/>
          <w:color w:val="000000"/>
          <w:sz w:val="24"/>
          <w:szCs w:val="24"/>
          <w:lang w:val="en-US" w:eastAsia="zh-CN"/>
        </w:rPr>
        <w:t> 2012; </w:t>
      </w:r>
      <w:r w:rsidRPr="00A64FF0">
        <w:rPr>
          <w:rFonts w:ascii="Book Antiqua" w:hAnsi="Book Antiqua" w:cs="SimSun"/>
          <w:b/>
          <w:bCs/>
          <w:color w:val="000000"/>
          <w:sz w:val="24"/>
          <w:szCs w:val="24"/>
          <w:lang w:val="en-US" w:eastAsia="zh-CN"/>
        </w:rPr>
        <w:t>57</w:t>
      </w:r>
      <w:r w:rsidRPr="00A64FF0">
        <w:rPr>
          <w:rFonts w:ascii="Book Antiqua" w:hAnsi="Book Antiqua" w:cs="SimSun"/>
          <w:color w:val="000000"/>
          <w:sz w:val="24"/>
          <w:szCs w:val="24"/>
          <w:lang w:val="en-US" w:eastAsia="zh-CN"/>
        </w:rPr>
        <w:t>: 167-185 [PMID: 22436845 DOI: 10.1016/j.jhep.2012.02.010]</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25 </w:t>
      </w:r>
      <w:r w:rsidRPr="00A64FF0">
        <w:rPr>
          <w:rFonts w:ascii="Book Antiqua" w:hAnsi="Book Antiqua" w:cs="SimSun"/>
          <w:b/>
          <w:bCs/>
          <w:color w:val="000000"/>
          <w:sz w:val="24"/>
          <w:szCs w:val="24"/>
          <w:lang w:val="en-US" w:eastAsia="zh-CN"/>
        </w:rPr>
        <w:t>Marzano A</w:t>
      </w:r>
      <w:r w:rsidRPr="00A64FF0">
        <w:rPr>
          <w:rFonts w:ascii="Book Antiqua" w:hAnsi="Book Antiqua" w:cs="SimSun"/>
          <w:color w:val="000000"/>
          <w:sz w:val="24"/>
          <w:szCs w:val="24"/>
          <w:lang w:val="en-US" w:eastAsia="zh-CN"/>
        </w:rPr>
        <w:t xml:space="preserve">, Angelucci E, Andreone P, Brunetto M, Bruno R, Burra P, Caraceni P, Daniele B, Di Marco V, Fabrizi F, Fagiuoli S, Grossi P, Lampertico P, Meliconi R, Mangia A, Puoti M, Raimondo G, Smedile A. Prophylaxis and treatment of hepatitis B in </w:t>
      </w:r>
      <w:r w:rsidRPr="00A64FF0">
        <w:rPr>
          <w:rFonts w:ascii="Book Antiqua" w:hAnsi="Book Antiqua" w:cs="SimSun"/>
          <w:color w:val="000000"/>
          <w:sz w:val="24"/>
          <w:szCs w:val="24"/>
          <w:lang w:val="en-US" w:eastAsia="zh-CN"/>
        </w:rPr>
        <w:lastRenderedPageBreak/>
        <w:t>immunocompromised patients. </w:t>
      </w:r>
      <w:r w:rsidRPr="00A64FF0">
        <w:rPr>
          <w:rFonts w:ascii="Book Antiqua" w:hAnsi="Book Antiqua" w:cs="SimSun"/>
          <w:i/>
          <w:iCs/>
          <w:color w:val="000000"/>
          <w:sz w:val="24"/>
          <w:szCs w:val="24"/>
          <w:lang w:val="en-US" w:eastAsia="zh-CN"/>
        </w:rPr>
        <w:t>Dig Liver Dis</w:t>
      </w:r>
      <w:r w:rsidRPr="00A64FF0">
        <w:rPr>
          <w:rFonts w:ascii="Book Antiqua" w:hAnsi="Book Antiqua" w:cs="SimSun"/>
          <w:color w:val="000000"/>
          <w:sz w:val="24"/>
          <w:szCs w:val="24"/>
          <w:lang w:val="en-US" w:eastAsia="zh-CN"/>
        </w:rPr>
        <w:t> 2007; </w:t>
      </w:r>
      <w:r w:rsidRPr="00A64FF0">
        <w:rPr>
          <w:rFonts w:ascii="Book Antiqua" w:hAnsi="Book Antiqua" w:cs="SimSun"/>
          <w:b/>
          <w:bCs/>
          <w:color w:val="000000"/>
          <w:sz w:val="24"/>
          <w:szCs w:val="24"/>
          <w:lang w:val="en-US" w:eastAsia="zh-CN"/>
        </w:rPr>
        <w:t>39</w:t>
      </w:r>
      <w:r w:rsidRPr="00A64FF0">
        <w:rPr>
          <w:rFonts w:ascii="Book Antiqua" w:hAnsi="Book Antiqua" w:cs="SimSun"/>
          <w:color w:val="000000"/>
          <w:sz w:val="24"/>
          <w:szCs w:val="24"/>
          <w:lang w:val="en-US" w:eastAsia="zh-CN"/>
        </w:rPr>
        <w:t>: 397-408 [PMID: 17382608 DOI: 10.1016/j.dld.2006.12.017]</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26 </w:t>
      </w:r>
      <w:r w:rsidRPr="00A64FF0">
        <w:rPr>
          <w:rFonts w:ascii="Book Antiqua" w:hAnsi="Book Antiqua" w:cs="SimSun"/>
          <w:b/>
          <w:bCs/>
          <w:color w:val="000000"/>
          <w:sz w:val="24"/>
          <w:szCs w:val="24"/>
          <w:lang w:val="en-US" w:eastAsia="zh-CN"/>
        </w:rPr>
        <w:t>López-Serrano P</w:t>
      </w:r>
      <w:r w:rsidRPr="00A64FF0">
        <w:rPr>
          <w:rFonts w:ascii="Book Antiqua" w:hAnsi="Book Antiqua" w:cs="SimSun"/>
          <w:color w:val="000000"/>
          <w:sz w:val="24"/>
          <w:szCs w:val="24"/>
          <w:lang w:val="en-US" w:eastAsia="zh-CN"/>
        </w:rPr>
        <w:t>, Pérez-Calle JL, Sánchez-Tembleque MD. Hepatitis B and inflammatory bowel disease: role of antiviral prophylaxis. </w:t>
      </w:r>
      <w:r w:rsidRPr="00A64FF0">
        <w:rPr>
          <w:rFonts w:ascii="Book Antiqua" w:hAnsi="Book Antiqua" w:cs="SimSun"/>
          <w:i/>
          <w:iCs/>
          <w:color w:val="000000"/>
          <w:sz w:val="24"/>
          <w:szCs w:val="24"/>
          <w:lang w:val="en-US" w:eastAsia="zh-CN"/>
        </w:rPr>
        <w:t>World J Gastroenterol</w:t>
      </w:r>
      <w:r w:rsidRPr="00A64FF0">
        <w:rPr>
          <w:rFonts w:ascii="Book Antiqua" w:hAnsi="Book Antiqua" w:cs="SimSun"/>
          <w:color w:val="000000"/>
          <w:sz w:val="24"/>
          <w:szCs w:val="24"/>
          <w:lang w:val="en-US" w:eastAsia="zh-CN"/>
        </w:rPr>
        <w:t> 2013; </w:t>
      </w:r>
      <w:r w:rsidRPr="00A64FF0">
        <w:rPr>
          <w:rFonts w:ascii="Book Antiqua" w:hAnsi="Book Antiqua" w:cs="SimSun"/>
          <w:b/>
          <w:bCs/>
          <w:color w:val="000000"/>
          <w:sz w:val="24"/>
          <w:szCs w:val="24"/>
          <w:lang w:val="en-US" w:eastAsia="zh-CN"/>
        </w:rPr>
        <w:t>19</w:t>
      </w:r>
      <w:r w:rsidRPr="00A64FF0">
        <w:rPr>
          <w:rFonts w:ascii="Book Antiqua" w:hAnsi="Book Antiqua" w:cs="SimSun"/>
          <w:color w:val="000000"/>
          <w:sz w:val="24"/>
          <w:szCs w:val="24"/>
          <w:lang w:val="en-US" w:eastAsia="zh-CN"/>
        </w:rPr>
        <w:t>: 1342-1348 [PMID: 23538480 DOI: 10.3748/wjg.v19.i9.1342]</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27 </w:t>
      </w:r>
      <w:r w:rsidRPr="00A64FF0">
        <w:rPr>
          <w:rFonts w:ascii="Book Antiqua" w:hAnsi="Book Antiqua" w:cs="SimSun"/>
          <w:b/>
          <w:bCs/>
          <w:color w:val="000000"/>
          <w:sz w:val="24"/>
          <w:szCs w:val="24"/>
          <w:lang w:val="en-US" w:eastAsia="zh-CN"/>
        </w:rPr>
        <w:t>López-Serrano P</w:t>
      </w:r>
      <w:r w:rsidRPr="00A64FF0">
        <w:rPr>
          <w:rFonts w:ascii="Book Antiqua" w:hAnsi="Book Antiqua" w:cs="SimSun"/>
          <w:color w:val="000000"/>
          <w:sz w:val="24"/>
          <w:szCs w:val="24"/>
          <w:lang w:val="en-US" w:eastAsia="zh-CN"/>
        </w:rPr>
        <w:t>, de la Fuente Briongos E, Alonso EC, Pérez-Calle JL, Rodríguez CF. Hepatitis B and immunosuppressive therapies for chronic inflammatory diseases: When and how to apply prophylaxis, with a special focus on corticosteroid therapy. </w:t>
      </w:r>
      <w:r w:rsidRPr="00A64FF0">
        <w:rPr>
          <w:rFonts w:ascii="Book Antiqua" w:hAnsi="Book Antiqua" w:cs="SimSun"/>
          <w:i/>
          <w:iCs/>
          <w:color w:val="000000"/>
          <w:sz w:val="24"/>
          <w:szCs w:val="24"/>
          <w:lang w:val="en-US" w:eastAsia="zh-CN"/>
        </w:rPr>
        <w:t>World J Hepatol</w:t>
      </w:r>
      <w:r w:rsidRPr="00A64FF0">
        <w:rPr>
          <w:rFonts w:ascii="Book Antiqua" w:hAnsi="Book Antiqua" w:cs="SimSun"/>
          <w:color w:val="000000"/>
          <w:sz w:val="24"/>
          <w:szCs w:val="24"/>
          <w:lang w:val="en-US" w:eastAsia="zh-CN"/>
        </w:rPr>
        <w:t> 2015; </w:t>
      </w:r>
      <w:r w:rsidRPr="00A64FF0">
        <w:rPr>
          <w:rFonts w:ascii="Book Antiqua" w:hAnsi="Book Antiqua" w:cs="SimSun"/>
          <w:b/>
          <w:bCs/>
          <w:color w:val="000000"/>
          <w:sz w:val="24"/>
          <w:szCs w:val="24"/>
          <w:lang w:val="en-US" w:eastAsia="zh-CN"/>
        </w:rPr>
        <w:t>7</w:t>
      </w:r>
      <w:r w:rsidRPr="00A64FF0">
        <w:rPr>
          <w:rFonts w:ascii="Book Antiqua" w:hAnsi="Book Antiqua" w:cs="SimSun"/>
          <w:color w:val="000000"/>
          <w:sz w:val="24"/>
          <w:szCs w:val="24"/>
          <w:lang w:val="en-US" w:eastAsia="zh-CN"/>
        </w:rPr>
        <w:t>: 539-547 [PMID: 25848477 DOI: 10.4254/wjh.v7.i3.539]</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28 </w:t>
      </w:r>
      <w:r w:rsidRPr="00A64FF0">
        <w:rPr>
          <w:rFonts w:ascii="Book Antiqua" w:hAnsi="Book Antiqua" w:cs="SimSun"/>
          <w:b/>
          <w:bCs/>
          <w:color w:val="000000"/>
          <w:sz w:val="24"/>
          <w:szCs w:val="24"/>
          <w:lang w:val="en-US" w:eastAsia="zh-CN"/>
        </w:rPr>
        <w:t>Hoofnagle JH</w:t>
      </w:r>
      <w:r w:rsidRPr="00A64FF0">
        <w:rPr>
          <w:rFonts w:ascii="Book Antiqua" w:hAnsi="Book Antiqua" w:cs="SimSun"/>
          <w:color w:val="000000"/>
          <w:sz w:val="24"/>
          <w:szCs w:val="24"/>
          <w:lang w:val="en-US" w:eastAsia="zh-CN"/>
        </w:rPr>
        <w:t>. Reactivation of hepatitis B. </w:t>
      </w:r>
      <w:r w:rsidRPr="00A64FF0">
        <w:rPr>
          <w:rFonts w:ascii="Book Antiqua" w:hAnsi="Book Antiqua" w:cs="SimSun"/>
          <w:i/>
          <w:iCs/>
          <w:color w:val="000000"/>
          <w:sz w:val="24"/>
          <w:szCs w:val="24"/>
          <w:lang w:val="en-US" w:eastAsia="zh-CN"/>
        </w:rPr>
        <w:t>Hepatology</w:t>
      </w:r>
      <w:r w:rsidRPr="00A64FF0">
        <w:rPr>
          <w:rFonts w:ascii="Book Antiqua" w:hAnsi="Book Antiqua" w:cs="SimSun"/>
          <w:color w:val="000000"/>
          <w:sz w:val="24"/>
          <w:szCs w:val="24"/>
          <w:lang w:val="en-US" w:eastAsia="zh-CN"/>
        </w:rPr>
        <w:t> 2009; </w:t>
      </w:r>
      <w:r w:rsidRPr="00A64FF0">
        <w:rPr>
          <w:rFonts w:ascii="Book Antiqua" w:hAnsi="Book Antiqua" w:cs="SimSun"/>
          <w:b/>
          <w:bCs/>
          <w:color w:val="000000"/>
          <w:sz w:val="24"/>
          <w:szCs w:val="24"/>
          <w:lang w:val="en-US" w:eastAsia="zh-CN"/>
        </w:rPr>
        <w:t>49</w:t>
      </w:r>
      <w:r w:rsidRPr="00A64FF0">
        <w:rPr>
          <w:rFonts w:ascii="Book Antiqua" w:hAnsi="Book Antiqua" w:cs="SimSun"/>
          <w:color w:val="000000"/>
          <w:sz w:val="24"/>
          <w:szCs w:val="24"/>
          <w:lang w:val="en-US" w:eastAsia="zh-CN"/>
        </w:rPr>
        <w:t>: S156-S165 [PMID: 19399803 DOI: 10.1002/hep.22945]</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29 </w:t>
      </w:r>
      <w:r w:rsidRPr="00A64FF0">
        <w:rPr>
          <w:rFonts w:ascii="Book Antiqua" w:hAnsi="Book Antiqua" w:cs="SimSun"/>
          <w:b/>
          <w:bCs/>
          <w:color w:val="000000"/>
          <w:sz w:val="24"/>
          <w:szCs w:val="24"/>
          <w:lang w:val="en-US" w:eastAsia="zh-CN"/>
        </w:rPr>
        <w:t>Cantini F</w:t>
      </w:r>
      <w:r w:rsidRPr="00A64FF0">
        <w:rPr>
          <w:rFonts w:ascii="Book Antiqua" w:hAnsi="Book Antiqua" w:cs="SimSun"/>
          <w:color w:val="000000"/>
          <w:sz w:val="24"/>
          <w:szCs w:val="24"/>
          <w:lang w:val="en-US" w:eastAsia="zh-CN"/>
        </w:rPr>
        <w:t>, Boccia S, Goletti D, Iannone F, Leoncini E, Panic N, Prignano F, Gaeta GB. HBV Reactivation in Patients Treated with Antitumor Necrosis Factor-Alpha (TNF-α) Agents for Rheumatic and Dermatologic Conditions: A Systematic Review and Meta-Analysis. </w:t>
      </w:r>
      <w:r w:rsidRPr="00A64FF0">
        <w:rPr>
          <w:rFonts w:ascii="Book Antiqua" w:hAnsi="Book Antiqua" w:cs="SimSun"/>
          <w:i/>
          <w:iCs/>
          <w:color w:val="000000"/>
          <w:sz w:val="24"/>
          <w:szCs w:val="24"/>
          <w:lang w:val="en-US" w:eastAsia="zh-CN"/>
        </w:rPr>
        <w:t>Int J Rheumatol</w:t>
      </w:r>
      <w:r w:rsidRPr="00A64FF0">
        <w:rPr>
          <w:rFonts w:ascii="Book Antiqua" w:hAnsi="Book Antiqua" w:cs="SimSun"/>
          <w:color w:val="000000"/>
          <w:sz w:val="24"/>
          <w:szCs w:val="24"/>
          <w:lang w:val="en-US" w:eastAsia="zh-CN"/>
        </w:rPr>
        <w:t> 2014; </w:t>
      </w:r>
      <w:r w:rsidRPr="00A64FF0">
        <w:rPr>
          <w:rFonts w:ascii="Book Antiqua" w:hAnsi="Book Antiqua" w:cs="SimSun"/>
          <w:b/>
          <w:bCs/>
          <w:color w:val="000000"/>
          <w:sz w:val="24"/>
          <w:szCs w:val="24"/>
          <w:lang w:val="en-US" w:eastAsia="zh-CN"/>
        </w:rPr>
        <w:t>2014</w:t>
      </w:r>
      <w:r w:rsidRPr="00A64FF0">
        <w:rPr>
          <w:rFonts w:ascii="Book Antiqua" w:hAnsi="Book Antiqua" w:cs="SimSun"/>
          <w:color w:val="000000"/>
          <w:sz w:val="24"/>
          <w:szCs w:val="24"/>
          <w:lang w:val="en-US" w:eastAsia="zh-CN"/>
        </w:rPr>
        <w:t>: 926836 [PMID: 25114684 DOI: 10.1155/2014/926836]</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30 </w:t>
      </w:r>
      <w:r w:rsidRPr="00A64FF0">
        <w:rPr>
          <w:rFonts w:ascii="Book Antiqua" w:hAnsi="Book Antiqua" w:cs="SimSun"/>
          <w:b/>
          <w:bCs/>
          <w:color w:val="000000"/>
          <w:sz w:val="24"/>
          <w:szCs w:val="24"/>
          <w:lang w:val="en-US" w:eastAsia="zh-CN"/>
        </w:rPr>
        <w:t>Ormerod AD</w:t>
      </w:r>
      <w:r w:rsidRPr="00A64FF0">
        <w:rPr>
          <w:rFonts w:ascii="Book Antiqua" w:hAnsi="Book Antiqua" w:cs="SimSun"/>
          <w:color w:val="000000"/>
          <w:sz w:val="24"/>
          <w:szCs w:val="24"/>
          <w:lang w:val="en-US" w:eastAsia="zh-CN"/>
        </w:rPr>
        <w:t>, Campalani E, Goodfield MJ. British Association of Dermatologists guidelines on the efficacy and use of acitretin in dermatology. </w:t>
      </w:r>
      <w:r w:rsidRPr="00A64FF0">
        <w:rPr>
          <w:rFonts w:ascii="Book Antiqua" w:hAnsi="Book Antiqua" w:cs="SimSun"/>
          <w:i/>
          <w:iCs/>
          <w:color w:val="000000"/>
          <w:sz w:val="24"/>
          <w:szCs w:val="24"/>
          <w:lang w:val="en-US" w:eastAsia="zh-CN"/>
        </w:rPr>
        <w:t>Br J Dermatol</w:t>
      </w:r>
      <w:r w:rsidRPr="00A64FF0">
        <w:rPr>
          <w:rFonts w:ascii="Book Antiqua" w:hAnsi="Book Antiqua" w:cs="SimSun"/>
          <w:color w:val="000000"/>
          <w:sz w:val="24"/>
          <w:szCs w:val="24"/>
          <w:lang w:val="en-US" w:eastAsia="zh-CN"/>
        </w:rPr>
        <w:t> 2010; </w:t>
      </w:r>
      <w:r w:rsidRPr="00A64FF0">
        <w:rPr>
          <w:rFonts w:ascii="Book Antiqua" w:hAnsi="Book Antiqua" w:cs="SimSun"/>
          <w:b/>
          <w:bCs/>
          <w:color w:val="000000"/>
          <w:sz w:val="24"/>
          <w:szCs w:val="24"/>
          <w:lang w:val="en-US" w:eastAsia="zh-CN"/>
        </w:rPr>
        <w:t>162</w:t>
      </w:r>
      <w:r w:rsidRPr="00A64FF0">
        <w:rPr>
          <w:rFonts w:ascii="Book Antiqua" w:hAnsi="Book Antiqua" w:cs="SimSun"/>
          <w:color w:val="000000"/>
          <w:sz w:val="24"/>
          <w:szCs w:val="24"/>
          <w:lang w:val="en-US" w:eastAsia="zh-CN"/>
        </w:rPr>
        <w:t>: 952-963 [PMID: 20423353 DOI: 10.1111/j.1365-2133.2010.09755.x]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31 </w:t>
      </w:r>
      <w:r w:rsidRPr="00A64FF0">
        <w:rPr>
          <w:rFonts w:ascii="Book Antiqua" w:hAnsi="Book Antiqua" w:cs="SimSun"/>
          <w:b/>
          <w:bCs/>
          <w:color w:val="000000"/>
          <w:sz w:val="24"/>
          <w:szCs w:val="24"/>
          <w:lang w:val="en-US" w:eastAsia="zh-CN"/>
        </w:rPr>
        <w:t>Sandrini S</w:t>
      </w:r>
      <w:r w:rsidRPr="00A64FF0">
        <w:rPr>
          <w:rFonts w:ascii="Book Antiqua" w:hAnsi="Book Antiqua" w:cs="SimSun"/>
          <w:color w:val="000000"/>
          <w:sz w:val="24"/>
          <w:szCs w:val="24"/>
          <w:lang w:val="en-US" w:eastAsia="zh-CN"/>
        </w:rPr>
        <w:t>, Callea F, Cristinelli L, Savoldi S, Setti G, Scaini P, Scolari F, Scalzini A, Pizzoccolo G, Maiorca R. Viral hepatitis in HBsAg-positive renal transplant patients treated with cyclosporin and steroids. </w:t>
      </w:r>
      <w:r w:rsidRPr="00A64FF0">
        <w:rPr>
          <w:rFonts w:ascii="Book Antiqua" w:hAnsi="Book Antiqua" w:cs="SimSun"/>
          <w:i/>
          <w:iCs/>
          <w:color w:val="000000"/>
          <w:sz w:val="24"/>
          <w:szCs w:val="24"/>
          <w:lang w:val="en-US" w:eastAsia="zh-CN"/>
        </w:rPr>
        <w:t>Nephrol Dial Transplant</w:t>
      </w:r>
      <w:r w:rsidRPr="00A64FF0">
        <w:rPr>
          <w:rFonts w:ascii="Book Antiqua" w:hAnsi="Book Antiqua" w:cs="SimSun"/>
          <w:color w:val="000000"/>
          <w:sz w:val="24"/>
          <w:szCs w:val="24"/>
          <w:lang w:val="en-US" w:eastAsia="zh-CN"/>
        </w:rPr>
        <w:t> 1990; </w:t>
      </w:r>
      <w:r w:rsidRPr="00A64FF0">
        <w:rPr>
          <w:rFonts w:ascii="Book Antiqua" w:hAnsi="Book Antiqua" w:cs="SimSun"/>
          <w:b/>
          <w:bCs/>
          <w:color w:val="000000"/>
          <w:sz w:val="24"/>
          <w:szCs w:val="24"/>
          <w:lang w:val="en-US" w:eastAsia="zh-CN"/>
        </w:rPr>
        <w:t>5</w:t>
      </w:r>
      <w:r w:rsidRPr="00A64FF0">
        <w:rPr>
          <w:rFonts w:ascii="Book Antiqua" w:hAnsi="Book Antiqua" w:cs="SimSun"/>
          <w:color w:val="000000"/>
          <w:sz w:val="24"/>
          <w:szCs w:val="24"/>
          <w:lang w:val="en-US" w:eastAsia="zh-CN"/>
        </w:rPr>
        <w:t>: 525-530 [PMID: 2130300]</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32 </w:t>
      </w:r>
      <w:r w:rsidRPr="00A64FF0">
        <w:rPr>
          <w:rFonts w:ascii="Book Antiqua" w:hAnsi="Book Antiqua" w:cs="SimSun"/>
          <w:b/>
          <w:bCs/>
          <w:color w:val="000000"/>
          <w:sz w:val="24"/>
          <w:szCs w:val="24"/>
          <w:lang w:val="en-US" w:eastAsia="zh-CN"/>
        </w:rPr>
        <w:t>Dai MS</w:t>
      </w:r>
      <w:r w:rsidRPr="00A64FF0">
        <w:rPr>
          <w:rFonts w:ascii="Book Antiqua" w:hAnsi="Book Antiqua" w:cs="SimSun"/>
          <w:color w:val="000000"/>
          <w:sz w:val="24"/>
          <w:szCs w:val="24"/>
          <w:lang w:val="en-US" w:eastAsia="zh-CN"/>
        </w:rPr>
        <w:t>, Kao WY, Shyu RY, Chao TY. Restoration of immunity and reactivation of hepatitis B virus after immunosuppressive therapy in a patient with severe aplastic anaemia. </w:t>
      </w:r>
      <w:r w:rsidRPr="00A64FF0">
        <w:rPr>
          <w:rFonts w:ascii="Book Antiqua" w:hAnsi="Book Antiqua" w:cs="SimSun"/>
          <w:i/>
          <w:iCs/>
          <w:color w:val="000000"/>
          <w:sz w:val="24"/>
          <w:szCs w:val="24"/>
          <w:lang w:val="en-US" w:eastAsia="zh-CN"/>
        </w:rPr>
        <w:t>J Viral Hepat</w:t>
      </w:r>
      <w:r w:rsidRPr="00A64FF0">
        <w:rPr>
          <w:rFonts w:ascii="Book Antiqua" w:hAnsi="Book Antiqua" w:cs="SimSun"/>
          <w:color w:val="000000"/>
          <w:sz w:val="24"/>
          <w:szCs w:val="24"/>
          <w:lang w:val="en-US" w:eastAsia="zh-CN"/>
        </w:rPr>
        <w:t> 2004; </w:t>
      </w:r>
      <w:r w:rsidRPr="00A64FF0">
        <w:rPr>
          <w:rFonts w:ascii="Book Antiqua" w:hAnsi="Book Antiqua" w:cs="SimSun"/>
          <w:b/>
          <w:bCs/>
          <w:color w:val="000000"/>
          <w:sz w:val="24"/>
          <w:szCs w:val="24"/>
          <w:lang w:val="en-US" w:eastAsia="zh-CN"/>
        </w:rPr>
        <w:t>11</w:t>
      </w:r>
      <w:r w:rsidRPr="00A64FF0">
        <w:rPr>
          <w:rFonts w:ascii="Book Antiqua" w:hAnsi="Book Antiqua" w:cs="SimSun"/>
          <w:color w:val="000000"/>
          <w:sz w:val="24"/>
          <w:szCs w:val="24"/>
          <w:lang w:val="en-US" w:eastAsia="zh-CN"/>
        </w:rPr>
        <w:t>: 283-285 [PMID: 15117333 DOI: 10.1111/j.1365-2893.2004.00515.x]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33 </w:t>
      </w:r>
      <w:r w:rsidRPr="00A64FF0">
        <w:rPr>
          <w:rFonts w:ascii="Book Antiqua" w:hAnsi="Book Antiqua" w:cs="SimSun"/>
          <w:b/>
          <w:bCs/>
          <w:color w:val="000000"/>
          <w:sz w:val="24"/>
          <w:szCs w:val="24"/>
          <w:lang w:val="en-US" w:eastAsia="zh-CN"/>
        </w:rPr>
        <w:t>Urata Y</w:t>
      </w:r>
      <w:r w:rsidRPr="00A64FF0">
        <w:rPr>
          <w:rFonts w:ascii="Book Antiqua" w:hAnsi="Book Antiqua" w:cs="SimSun"/>
          <w:color w:val="000000"/>
          <w:sz w:val="24"/>
          <w:szCs w:val="24"/>
          <w:lang w:val="en-US" w:eastAsia="zh-CN"/>
        </w:rPr>
        <w:t>, Uesato R, Tanaka D, Kowatari K, Nitobe T, Nakamura Y, Motomura S. Prevalence of reactivation of hepatitis B virus replication in rheumatoid arthritis patients. </w:t>
      </w:r>
      <w:r w:rsidRPr="00A64FF0">
        <w:rPr>
          <w:rFonts w:ascii="Book Antiqua" w:hAnsi="Book Antiqua" w:cs="SimSun"/>
          <w:i/>
          <w:iCs/>
          <w:color w:val="000000"/>
          <w:sz w:val="24"/>
          <w:szCs w:val="24"/>
          <w:lang w:val="en-US" w:eastAsia="zh-CN"/>
        </w:rPr>
        <w:t>Mod Rheumatol</w:t>
      </w:r>
      <w:r w:rsidRPr="00A64FF0">
        <w:rPr>
          <w:rFonts w:ascii="Book Antiqua" w:hAnsi="Book Antiqua" w:cs="SimSun"/>
          <w:color w:val="000000"/>
          <w:sz w:val="24"/>
          <w:szCs w:val="24"/>
          <w:lang w:val="en-US" w:eastAsia="zh-CN"/>
        </w:rPr>
        <w:t> 2011; </w:t>
      </w:r>
      <w:r w:rsidRPr="00A64FF0">
        <w:rPr>
          <w:rFonts w:ascii="Book Antiqua" w:hAnsi="Book Antiqua" w:cs="SimSun"/>
          <w:b/>
          <w:bCs/>
          <w:color w:val="000000"/>
          <w:sz w:val="24"/>
          <w:szCs w:val="24"/>
          <w:lang w:val="en-US" w:eastAsia="zh-CN"/>
        </w:rPr>
        <w:t>21</w:t>
      </w:r>
      <w:r w:rsidRPr="00A64FF0">
        <w:rPr>
          <w:rFonts w:ascii="Book Antiqua" w:hAnsi="Book Antiqua" w:cs="SimSun"/>
          <w:color w:val="000000"/>
          <w:sz w:val="24"/>
          <w:szCs w:val="24"/>
          <w:lang w:val="en-US" w:eastAsia="zh-CN"/>
        </w:rPr>
        <w:t>: 16-23 [PMID: 20668905 DOI: 10.1007/s10165-010-0337-z]</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34 </w:t>
      </w:r>
      <w:r w:rsidRPr="00A64FF0">
        <w:rPr>
          <w:rFonts w:ascii="Book Antiqua" w:hAnsi="Book Antiqua" w:cs="SimSun"/>
          <w:b/>
          <w:bCs/>
          <w:color w:val="000000"/>
          <w:sz w:val="24"/>
          <w:szCs w:val="24"/>
          <w:lang w:val="en-US" w:eastAsia="zh-CN"/>
        </w:rPr>
        <w:t>Oshima Y</w:t>
      </w:r>
      <w:r w:rsidRPr="00A64FF0">
        <w:rPr>
          <w:rFonts w:ascii="Book Antiqua" w:hAnsi="Book Antiqua" w:cs="SimSun"/>
          <w:color w:val="000000"/>
          <w:sz w:val="24"/>
          <w:szCs w:val="24"/>
          <w:lang w:val="en-US" w:eastAsia="zh-CN"/>
        </w:rPr>
        <w:t>, Tsukamoto H, Tojo A. Association of hepatitis B with antirheumatic drugs: a case-control study. </w:t>
      </w:r>
      <w:r w:rsidRPr="00A64FF0">
        <w:rPr>
          <w:rFonts w:ascii="Book Antiqua" w:hAnsi="Book Antiqua" w:cs="SimSun"/>
          <w:i/>
          <w:iCs/>
          <w:color w:val="000000"/>
          <w:sz w:val="24"/>
          <w:szCs w:val="24"/>
          <w:lang w:val="en-US" w:eastAsia="zh-CN"/>
        </w:rPr>
        <w:t>Mod Rheumatol</w:t>
      </w:r>
      <w:r w:rsidRPr="00A64FF0">
        <w:rPr>
          <w:rFonts w:ascii="Book Antiqua" w:hAnsi="Book Antiqua" w:cs="SimSun"/>
          <w:color w:val="000000"/>
          <w:sz w:val="24"/>
          <w:szCs w:val="24"/>
          <w:lang w:val="en-US" w:eastAsia="zh-CN"/>
        </w:rPr>
        <w:t> 2013; </w:t>
      </w:r>
      <w:r w:rsidRPr="00A64FF0">
        <w:rPr>
          <w:rFonts w:ascii="Book Antiqua" w:hAnsi="Book Antiqua" w:cs="SimSun"/>
          <w:b/>
          <w:bCs/>
          <w:color w:val="000000"/>
          <w:sz w:val="24"/>
          <w:szCs w:val="24"/>
          <w:lang w:val="en-US" w:eastAsia="zh-CN"/>
        </w:rPr>
        <w:t>23</w:t>
      </w:r>
      <w:r w:rsidRPr="00A64FF0">
        <w:rPr>
          <w:rFonts w:ascii="Book Antiqua" w:hAnsi="Book Antiqua" w:cs="SimSun"/>
          <w:color w:val="000000"/>
          <w:sz w:val="24"/>
          <w:szCs w:val="24"/>
          <w:lang w:val="en-US" w:eastAsia="zh-CN"/>
        </w:rPr>
        <w:t>: 694-704 [PMID: 22802011 DOI: 10.1007/s10165-012-0709-7]</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lastRenderedPageBreak/>
        <w:t>35 </w:t>
      </w:r>
      <w:r w:rsidRPr="00A64FF0">
        <w:rPr>
          <w:rFonts w:ascii="Book Antiqua" w:hAnsi="Book Antiqua" w:cs="SimSun"/>
          <w:b/>
          <w:bCs/>
          <w:color w:val="000000"/>
          <w:sz w:val="24"/>
          <w:szCs w:val="24"/>
          <w:lang w:val="en-US" w:eastAsia="zh-CN"/>
        </w:rPr>
        <w:t>Alfadhli AA</w:t>
      </w:r>
      <w:r w:rsidRPr="00A64FF0">
        <w:rPr>
          <w:rFonts w:ascii="Book Antiqua" w:hAnsi="Book Antiqua" w:cs="SimSun"/>
          <w:color w:val="000000"/>
          <w:sz w:val="24"/>
          <w:szCs w:val="24"/>
          <w:lang w:val="en-US" w:eastAsia="zh-CN"/>
        </w:rPr>
        <w:t>, McDonald JW, Feagan BG. Methotrexate for induction of remission in refractory Crohn's disease. </w:t>
      </w:r>
      <w:r w:rsidRPr="00A64FF0">
        <w:rPr>
          <w:rFonts w:ascii="Book Antiqua" w:hAnsi="Book Antiqua" w:cs="SimSun"/>
          <w:i/>
          <w:iCs/>
          <w:color w:val="000000"/>
          <w:sz w:val="24"/>
          <w:szCs w:val="24"/>
          <w:lang w:val="en-US" w:eastAsia="zh-CN"/>
        </w:rPr>
        <w:t>Cochrane Database Syst Rev</w:t>
      </w:r>
      <w:r w:rsidRPr="00A64FF0">
        <w:rPr>
          <w:rFonts w:ascii="Book Antiqua" w:hAnsi="Book Antiqua" w:cs="SimSun"/>
          <w:color w:val="000000"/>
          <w:sz w:val="24"/>
          <w:szCs w:val="24"/>
          <w:lang w:val="en-US" w:eastAsia="zh-CN"/>
        </w:rPr>
        <w:t> 2005; </w:t>
      </w:r>
      <w:r w:rsidRPr="00A64FF0">
        <w:rPr>
          <w:rFonts w:ascii="Book Antiqua" w:hAnsi="Book Antiqua" w:cs="SimSun"/>
          <w:b/>
          <w:color w:val="000000"/>
          <w:sz w:val="24"/>
          <w:szCs w:val="24"/>
          <w:lang w:val="en-US" w:eastAsia="zh-CN"/>
        </w:rPr>
        <w:t>(1)</w:t>
      </w:r>
      <w:r w:rsidRPr="00A64FF0">
        <w:rPr>
          <w:rFonts w:ascii="Book Antiqua" w:hAnsi="Book Antiqua" w:cs="SimSun"/>
          <w:color w:val="000000"/>
          <w:sz w:val="24"/>
          <w:szCs w:val="24"/>
          <w:lang w:val="en-US" w:eastAsia="zh-CN"/>
        </w:rPr>
        <w:t>: CD003459 [PMID: 15674908 DOI: 10.1002/14651858.CD003459.pub2]</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36 </w:t>
      </w:r>
      <w:r w:rsidRPr="00A64FF0">
        <w:rPr>
          <w:rFonts w:ascii="Book Antiqua" w:hAnsi="Book Antiqua" w:cs="SimSun"/>
          <w:b/>
          <w:bCs/>
          <w:color w:val="000000"/>
          <w:sz w:val="24"/>
          <w:szCs w:val="24"/>
          <w:lang w:val="en-US" w:eastAsia="zh-CN"/>
        </w:rPr>
        <w:t>Laohapand C</w:t>
      </w:r>
      <w:r w:rsidRPr="00A64FF0">
        <w:rPr>
          <w:rFonts w:ascii="Book Antiqua" w:hAnsi="Book Antiqua" w:cs="SimSun"/>
          <w:color w:val="000000"/>
          <w:sz w:val="24"/>
          <w:szCs w:val="24"/>
          <w:lang w:val="en-US" w:eastAsia="zh-CN"/>
        </w:rPr>
        <w:t>, Arromdee E, Tanwandee T. Long-term use of methotrexate does not result in hepatitis B reactivation in rheumatologic patients. </w:t>
      </w:r>
      <w:r w:rsidRPr="00A64FF0">
        <w:rPr>
          <w:rFonts w:ascii="Book Antiqua" w:hAnsi="Book Antiqua" w:cs="SimSun"/>
          <w:i/>
          <w:iCs/>
          <w:color w:val="000000"/>
          <w:sz w:val="24"/>
          <w:szCs w:val="24"/>
          <w:lang w:val="en-US" w:eastAsia="zh-CN"/>
        </w:rPr>
        <w:t>Hepatol Int</w:t>
      </w:r>
      <w:r w:rsidRPr="00A64FF0">
        <w:rPr>
          <w:rFonts w:ascii="Book Antiqua" w:hAnsi="Book Antiqua" w:cs="SimSun"/>
          <w:color w:val="000000"/>
          <w:sz w:val="24"/>
          <w:szCs w:val="24"/>
          <w:lang w:val="en-US" w:eastAsia="zh-CN"/>
        </w:rPr>
        <w:t> 2015; </w:t>
      </w:r>
      <w:r w:rsidRPr="00A64FF0">
        <w:rPr>
          <w:rFonts w:ascii="Book Antiqua" w:hAnsi="Book Antiqua" w:cs="SimSun"/>
          <w:b/>
          <w:bCs/>
          <w:color w:val="000000"/>
          <w:sz w:val="24"/>
          <w:szCs w:val="24"/>
          <w:lang w:val="en-US" w:eastAsia="zh-CN"/>
        </w:rPr>
        <w:t>9</w:t>
      </w:r>
      <w:r w:rsidRPr="00A64FF0">
        <w:rPr>
          <w:rFonts w:ascii="Book Antiqua" w:hAnsi="Book Antiqua" w:cs="SimSun"/>
          <w:color w:val="000000"/>
          <w:sz w:val="24"/>
          <w:szCs w:val="24"/>
          <w:lang w:val="en-US" w:eastAsia="zh-CN"/>
        </w:rPr>
        <w:t>: 202-208 [PMID: 25788188 DOI: 10.1007/s12072-014-9597-6]</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37 </w:t>
      </w:r>
      <w:r w:rsidRPr="00A64FF0">
        <w:rPr>
          <w:rFonts w:ascii="Book Antiqua" w:hAnsi="Book Antiqua" w:cs="SimSun"/>
          <w:b/>
          <w:bCs/>
          <w:color w:val="000000"/>
          <w:sz w:val="24"/>
          <w:szCs w:val="24"/>
          <w:lang w:val="en-US" w:eastAsia="zh-CN"/>
        </w:rPr>
        <w:t>Kalb RE</w:t>
      </w:r>
      <w:r w:rsidRPr="00A64FF0">
        <w:rPr>
          <w:rFonts w:ascii="Book Antiqua" w:hAnsi="Book Antiqua" w:cs="SimSun"/>
          <w:color w:val="000000"/>
          <w:sz w:val="24"/>
          <w:szCs w:val="24"/>
          <w:lang w:val="en-US" w:eastAsia="zh-CN"/>
        </w:rPr>
        <w:t>, Strober B, Weinstein G, Lebwohl M. Methotrexate and psoriasis: 2009 National Psoriasis Foundation Consensus Conference. </w:t>
      </w:r>
      <w:r w:rsidRPr="00A64FF0">
        <w:rPr>
          <w:rFonts w:ascii="Book Antiqua" w:hAnsi="Book Antiqua" w:cs="SimSun"/>
          <w:i/>
          <w:iCs/>
          <w:color w:val="000000"/>
          <w:sz w:val="24"/>
          <w:szCs w:val="24"/>
          <w:lang w:val="en-US" w:eastAsia="zh-CN"/>
        </w:rPr>
        <w:t>J Am Acad Dermatol</w:t>
      </w:r>
      <w:r w:rsidRPr="00A64FF0">
        <w:rPr>
          <w:rFonts w:ascii="Book Antiqua" w:hAnsi="Book Antiqua" w:cs="SimSun"/>
          <w:color w:val="000000"/>
          <w:sz w:val="24"/>
          <w:szCs w:val="24"/>
          <w:lang w:val="en-US" w:eastAsia="zh-CN"/>
        </w:rPr>
        <w:t> 2009; </w:t>
      </w:r>
      <w:r w:rsidRPr="00A64FF0">
        <w:rPr>
          <w:rFonts w:ascii="Book Antiqua" w:hAnsi="Book Antiqua" w:cs="SimSun"/>
          <w:b/>
          <w:bCs/>
          <w:color w:val="000000"/>
          <w:sz w:val="24"/>
          <w:szCs w:val="24"/>
          <w:lang w:val="en-US" w:eastAsia="zh-CN"/>
        </w:rPr>
        <w:t>60</w:t>
      </w:r>
      <w:r w:rsidRPr="00A64FF0">
        <w:rPr>
          <w:rFonts w:ascii="Book Antiqua" w:hAnsi="Book Antiqua" w:cs="SimSun"/>
          <w:color w:val="000000"/>
          <w:sz w:val="24"/>
          <w:szCs w:val="24"/>
          <w:lang w:val="en-US" w:eastAsia="zh-CN"/>
        </w:rPr>
        <w:t>: 824-837 [PMID: 19389524 DOI: 10.1016/j.jaad.2008.11.906]</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38 </w:t>
      </w:r>
      <w:r w:rsidRPr="00A64FF0">
        <w:rPr>
          <w:rFonts w:ascii="Book Antiqua" w:hAnsi="Book Antiqua" w:cs="SimSun"/>
          <w:b/>
          <w:bCs/>
          <w:color w:val="000000"/>
          <w:sz w:val="24"/>
          <w:szCs w:val="24"/>
          <w:lang w:val="en-US" w:eastAsia="zh-CN"/>
        </w:rPr>
        <w:t>Calabrese LH</w:t>
      </w:r>
      <w:r w:rsidRPr="00A64FF0">
        <w:rPr>
          <w:rFonts w:ascii="Book Antiqua" w:hAnsi="Book Antiqua" w:cs="SimSun"/>
          <w:color w:val="000000"/>
          <w:sz w:val="24"/>
          <w:szCs w:val="24"/>
          <w:lang w:val="en-US" w:eastAsia="zh-CN"/>
        </w:rPr>
        <w:t>, Zein NN, Vassilopoulos D. Hepatitis B virus (HBV) reactivation with immunosuppressive therapy in rheumatic diseases: assessment and preventive strategies. </w:t>
      </w:r>
      <w:r w:rsidRPr="00A64FF0">
        <w:rPr>
          <w:rFonts w:ascii="Book Antiqua" w:hAnsi="Book Antiqua" w:cs="SimSun"/>
          <w:i/>
          <w:iCs/>
          <w:color w:val="000000"/>
          <w:sz w:val="24"/>
          <w:szCs w:val="24"/>
          <w:lang w:val="en-US" w:eastAsia="zh-CN"/>
        </w:rPr>
        <w:t>Ann Rheum Dis</w:t>
      </w:r>
      <w:r w:rsidRPr="00A64FF0">
        <w:rPr>
          <w:rFonts w:ascii="Book Antiqua" w:hAnsi="Book Antiqua" w:cs="SimSun"/>
          <w:color w:val="000000"/>
          <w:sz w:val="24"/>
          <w:szCs w:val="24"/>
          <w:lang w:val="en-US" w:eastAsia="zh-CN"/>
        </w:rPr>
        <w:t> 2006; </w:t>
      </w:r>
      <w:r w:rsidRPr="00A64FF0">
        <w:rPr>
          <w:rFonts w:ascii="Book Antiqua" w:hAnsi="Book Antiqua" w:cs="SimSun"/>
          <w:b/>
          <w:bCs/>
          <w:color w:val="000000"/>
          <w:sz w:val="24"/>
          <w:szCs w:val="24"/>
          <w:lang w:val="en-US" w:eastAsia="zh-CN"/>
        </w:rPr>
        <w:t>65</w:t>
      </w:r>
      <w:r w:rsidRPr="00A64FF0">
        <w:rPr>
          <w:rFonts w:ascii="Book Antiqua" w:hAnsi="Book Antiqua" w:cs="SimSun"/>
          <w:color w:val="000000"/>
          <w:sz w:val="24"/>
          <w:szCs w:val="24"/>
          <w:lang w:val="en-US" w:eastAsia="zh-CN"/>
        </w:rPr>
        <w:t>: 983-989 [PMID: 16627542 DOI: 10.1136/ard.2005.043257]</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39 </w:t>
      </w:r>
      <w:r w:rsidRPr="00A64FF0">
        <w:rPr>
          <w:rFonts w:ascii="Book Antiqua" w:hAnsi="Book Antiqua" w:cs="SimSun"/>
          <w:b/>
          <w:bCs/>
          <w:color w:val="000000"/>
          <w:sz w:val="24"/>
          <w:szCs w:val="24"/>
          <w:lang w:val="en-US" w:eastAsia="zh-CN"/>
        </w:rPr>
        <w:t>Sansone S</w:t>
      </w:r>
      <w:r w:rsidRPr="00A64FF0">
        <w:rPr>
          <w:rFonts w:ascii="Book Antiqua" w:hAnsi="Book Antiqua" w:cs="SimSun"/>
          <w:color w:val="000000"/>
          <w:sz w:val="24"/>
          <w:szCs w:val="24"/>
          <w:lang w:val="en-US" w:eastAsia="zh-CN"/>
        </w:rPr>
        <w:t>, Guarino M, Castiglione F, Rispo A, Auriemma F, Loperto I, Rea M, Caporaso N, Morisco F. Hepatitis B and C virus reactivation in immunosuppressed patients with inflammatory bowel disease. </w:t>
      </w:r>
      <w:r w:rsidRPr="00A64FF0">
        <w:rPr>
          <w:rFonts w:ascii="Book Antiqua" w:hAnsi="Book Antiqua" w:cs="SimSun"/>
          <w:i/>
          <w:iCs/>
          <w:color w:val="000000"/>
          <w:sz w:val="24"/>
          <w:szCs w:val="24"/>
          <w:lang w:val="en-US" w:eastAsia="zh-CN"/>
        </w:rPr>
        <w:t>World J Gastroenterol</w:t>
      </w:r>
      <w:r w:rsidRPr="00A64FF0">
        <w:rPr>
          <w:rFonts w:ascii="Book Antiqua" w:hAnsi="Book Antiqua" w:cs="SimSun"/>
          <w:color w:val="000000"/>
          <w:sz w:val="24"/>
          <w:szCs w:val="24"/>
          <w:lang w:val="en-US" w:eastAsia="zh-CN"/>
        </w:rPr>
        <w:t> 2014; </w:t>
      </w:r>
      <w:r w:rsidRPr="00A64FF0">
        <w:rPr>
          <w:rFonts w:ascii="Book Antiqua" w:hAnsi="Book Antiqua" w:cs="SimSun"/>
          <w:b/>
          <w:bCs/>
          <w:color w:val="000000"/>
          <w:sz w:val="24"/>
          <w:szCs w:val="24"/>
          <w:lang w:val="en-US" w:eastAsia="zh-CN"/>
        </w:rPr>
        <w:t>20</w:t>
      </w:r>
      <w:r w:rsidRPr="00A64FF0">
        <w:rPr>
          <w:rFonts w:ascii="Book Antiqua" w:hAnsi="Book Antiqua" w:cs="SimSun"/>
          <w:color w:val="000000"/>
          <w:sz w:val="24"/>
          <w:szCs w:val="24"/>
          <w:lang w:val="en-US" w:eastAsia="zh-CN"/>
        </w:rPr>
        <w:t>: 3516-3524 [PMID: 24707134 DOI: 10.3748/wjg.v20.i13.3516]</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40 </w:t>
      </w:r>
      <w:r w:rsidRPr="00A64FF0">
        <w:rPr>
          <w:rFonts w:ascii="Book Antiqua" w:hAnsi="Book Antiqua" w:cs="SimSun"/>
          <w:b/>
          <w:bCs/>
          <w:color w:val="000000"/>
          <w:sz w:val="24"/>
          <w:szCs w:val="24"/>
          <w:lang w:val="en-US" w:eastAsia="zh-CN"/>
        </w:rPr>
        <w:t>Viganò M</w:t>
      </w:r>
      <w:r w:rsidRPr="00A64FF0">
        <w:rPr>
          <w:rFonts w:ascii="Book Antiqua" w:hAnsi="Book Antiqua" w:cs="SimSun"/>
          <w:color w:val="000000"/>
          <w:sz w:val="24"/>
          <w:szCs w:val="24"/>
          <w:lang w:val="en-US" w:eastAsia="zh-CN"/>
        </w:rPr>
        <w:t>, Degasperi E, Aghemo A, Lampertico P, Colombo M. Anti-TNF drugs in patients with hepatitis B or C virus infection: safety and clinical management. </w:t>
      </w:r>
      <w:r w:rsidRPr="00A64FF0">
        <w:rPr>
          <w:rFonts w:ascii="Book Antiqua" w:hAnsi="Book Antiqua" w:cs="SimSun"/>
          <w:i/>
          <w:iCs/>
          <w:color w:val="000000"/>
          <w:sz w:val="24"/>
          <w:szCs w:val="24"/>
          <w:lang w:val="en-US" w:eastAsia="zh-CN"/>
        </w:rPr>
        <w:t>Expert Opin Biol Ther</w:t>
      </w:r>
      <w:r w:rsidRPr="00A64FF0">
        <w:rPr>
          <w:rFonts w:ascii="Book Antiqua" w:hAnsi="Book Antiqua" w:cs="SimSun"/>
          <w:color w:val="000000"/>
          <w:sz w:val="24"/>
          <w:szCs w:val="24"/>
          <w:lang w:val="en-US" w:eastAsia="zh-CN"/>
        </w:rPr>
        <w:t> 2012; </w:t>
      </w:r>
      <w:r w:rsidRPr="00A64FF0">
        <w:rPr>
          <w:rFonts w:ascii="Book Antiqua" w:hAnsi="Book Antiqua" w:cs="SimSun"/>
          <w:b/>
          <w:bCs/>
          <w:color w:val="000000"/>
          <w:sz w:val="24"/>
          <w:szCs w:val="24"/>
          <w:lang w:val="en-US" w:eastAsia="zh-CN"/>
        </w:rPr>
        <w:t>12</w:t>
      </w:r>
      <w:r w:rsidRPr="00A64FF0">
        <w:rPr>
          <w:rFonts w:ascii="Book Antiqua" w:hAnsi="Book Antiqua" w:cs="SimSun"/>
          <w:color w:val="000000"/>
          <w:sz w:val="24"/>
          <w:szCs w:val="24"/>
          <w:lang w:val="en-US" w:eastAsia="zh-CN"/>
        </w:rPr>
        <w:t>: 193-207 [PMID: 22188392 DOI: 10.1517/14712598.2012.646986]</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41 </w:t>
      </w:r>
      <w:r w:rsidRPr="00A64FF0">
        <w:rPr>
          <w:rFonts w:ascii="Book Antiqua" w:hAnsi="Book Antiqua" w:cs="SimSun"/>
          <w:b/>
          <w:bCs/>
          <w:color w:val="000000"/>
          <w:sz w:val="24"/>
          <w:szCs w:val="24"/>
          <w:lang w:val="en-US" w:eastAsia="zh-CN"/>
        </w:rPr>
        <w:t>Lee YH</w:t>
      </w:r>
      <w:r w:rsidRPr="00A64FF0">
        <w:rPr>
          <w:rFonts w:ascii="Book Antiqua" w:hAnsi="Book Antiqua" w:cs="SimSun"/>
          <w:color w:val="000000"/>
          <w:sz w:val="24"/>
          <w:szCs w:val="24"/>
          <w:lang w:val="en-US" w:eastAsia="zh-CN"/>
        </w:rPr>
        <w:t>, Bae SC, Song GG. Hepatitis B virus reactivation in HBsAg-positive patients with rheumatic diseases undergoing anti-tumor necrosis factor therapy or DMARDs. </w:t>
      </w:r>
      <w:r w:rsidRPr="00A64FF0">
        <w:rPr>
          <w:rFonts w:ascii="Book Antiqua" w:hAnsi="Book Antiqua" w:cs="SimSun"/>
          <w:i/>
          <w:iCs/>
          <w:color w:val="000000"/>
          <w:sz w:val="24"/>
          <w:szCs w:val="24"/>
          <w:lang w:val="en-US" w:eastAsia="zh-CN"/>
        </w:rPr>
        <w:t>Int J Rheum Dis</w:t>
      </w:r>
      <w:r w:rsidRPr="00A64FF0">
        <w:rPr>
          <w:rFonts w:ascii="Book Antiqua" w:hAnsi="Book Antiqua" w:cs="SimSun"/>
          <w:color w:val="000000"/>
          <w:sz w:val="24"/>
          <w:szCs w:val="24"/>
          <w:lang w:val="en-US" w:eastAsia="zh-CN"/>
        </w:rPr>
        <w:t> 2013; </w:t>
      </w:r>
      <w:r w:rsidRPr="00A64FF0">
        <w:rPr>
          <w:rFonts w:ascii="Book Antiqua" w:hAnsi="Book Antiqua" w:cs="SimSun"/>
          <w:b/>
          <w:bCs/>
          <w:color w:val="000000"/>
          <w:sz w:val="24"/>
          <w:szCs w:val="24"/>
          <w:lang w:val="en-US" w:eastAsia="zh-CN"/>
        </w:rPr>
        <w:t>16</w:t>
      </w:r>
      <w:r w:rsidRPr="00A64FF0">
        <w:rPr>
          <w:rFonts w:ascii="Book Antiqua" w:hAnsi="Book Antiqua" w:cs="SimSun"/>
          <w:color w:val="000000"/>
          <w:sz w:val="24"/>
          <w:szCs w:val="24"/>
          <w:lang w:val="en-US" w:eastAsia="zh-CN"/>
        </w:rPr>
        <w:t>: 527-531 [PMID: 24164839 DOI: 10.1111/1756-185X.12154]</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42 </w:t>
      </w:r>
      <w:r w:rsidRPr="00A64FF0">
        <w:rPr>
          <w:rFonts w:ascii="Book Antiqua" w:hAnsi="Book Antiqua" w:cs="SimSun"/>
          <w:b/>
          <w:bCs/>
          <w:color w:val="000000"/>
          <w:sz w:val="24"/>
          <w:szCs w:val="24"/>
          <w:lang w:val="en-US" w:eastAsia="zh-CN"/>
        </w:rPr>
        <w:t>Charpin C</w:t>
      </w:r>
      <w:r w:rsidRPr="00A64FF0">
        <w:rPr>
          <w:rFonts w:ascii="Book Antiqua" w:hAnsi="Book Antiqua" w:cs="SimSun"/>
          <w:color w:val="000000"/>
          <w:sz w:val="24"/>
          <w:szCs w:val="24"/>
          <w:lang w:val="en-US" w:eastAsia="zh-CN"/>
        </w:rPr>
        <w:t>, Guis S, Colson P, Borentain P, Mattéi JP, Alcaraz P, Balandraud N, Thomachot B, Roudier J, Gérolami R. Safety of TNF-blocking agents in rheumatic patients with serology suggesting past hepatitis B state: results from a cohort of 21 patients. </w:t>
      </w:r>
      <w:r w:rsidRPr="00A64FF0">
        <w:rPr>
          <w:rFonts w:ascii="Book Antiqua" w:hAnsi="Book Antiqua" w:cs="SimSun"/>
          <w:i/>
          <w:iCs/>
          <w:color w:val="000000"/>
          <w:sz w:val="24"/>
          <w:szCs w:val="24"/>
          <w:lang w:val="en-US" w:eastAsia="zh-CN"/>
        </w:rPr>
        <w:t>Arthritis Res Ther</w:t>
      </w:r>
      <w:r w:rsidRPr="00A64FF0">
        <w:rPr>
          <w:rFonts w:ascii="Book Antiqua" w:hAnsi="Book Antiqua" w:cs="SimSun"/>
          <w:color w:val="000000"/>
          <w:sz w:val="24"/>
          <w:szCs w:val="24"/>
          <w:lang w:val="en-US" w:eastAsia="zh-CN"/>
        </w:rPr>
        <w:t> 2009; </w:t>
      </w:r>
      <w:r w:rsidRPr="00A64FF0">
        <w:rPr>
          <w:rFonts w:ascii="Book Antiqua" w:hAnsi="Book Antiqua" w:cs="SimSun"/>
          <w:b/>
          <w:bCs/>
          <w:color w:val="000000"/>
          <w:sz w:val="24"/>
          <w:szCs w:val="24"/>
          <w:lang w:val="en-US" w:eastAsia="zh-CN"/>
        </w:rPr>
        <w:t>11</w:t>
      </w:r>
      <w:r w:rsidRPr="00A64FF0">
        <w:rPr>
          <w:rFonts w:ascii="Book Antiqua" w:hAnsi="Book Antiqua" w:cs="SimSun"/>
          <w:color w:val="000000"/>
          <w:sz w:val="24"/>
          <w:szCs w:val="24"/>
          <w:lang w:val="en-US" w:eastAsia="zh-CN"/>
        </w:rPr>
        <w:t>: R179 [PMID: 19941642 DOI: 10.1186/ar2868]</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43 </w:t>
      </w:r>
      <w:r w:rsidRPr="00A64FF0">
        <w:rPr>
          <w:rFonts w:ascii="Book Antiqua" w:hAnsi="Book Antiqua" w:cs="SimSun"/>
          <w:b/>
          <w:bCs/>
          <w:color w:val="000000"/>
          <w:sz w:val="24"/>
          <w:szCs w:val="24"/>
          <w:lang w:val="en-US" w:eastAsia="zh-CN"/>
        </w:rPr>
        <w:t>Prestinari F</w:t>
      </w:r>
      <w:r w:rsidRPr="00A64FF0">
        <w:rPr>
          <w:rFonts w:ascii="Book Antiqua" w:hAnsi="Book Antiqua" w:cs="SimSun"/>
          <w:color w:val="000000"/>
          <w:sz w:val="24"/>
          <w:szCs w:val="24"/>
          <w:lang w:val="en-US" w:eastAsia="zh-CN"/>
        </w:rPr>
        <w:t>, Ferguglia G, Laria G. Etanercept in a patient with severe psoriasis and latent viral hepatic disease and latent tuberculosis. </w:t>
      </w:r>
      <w:r w:rsidRPr="00A64FF0">
        <w:rPr>
          <w:rFonts w:ascii="Book Antiqua" w:hAnsi="Book Antiqua" w:cs="SimSun"/>
          <w:i/>
          <w:iCs/>
          <w:color w:val="000000"/>
          <w:sz w:val="24"/>
          <w:szCs w:val="24"/>
          <w:lang w:val="en-US" w:eastAsia="zh-CN"/>
        </w:rPr>
        <w:t>Am J Clin Dermatol</w:t>
      </w:r>
      <w:r w:rsidRPr="00A64FF0">
        <w:rPr>
          <w:rFonts w:ascii="Book Antiqua" w:hAnsi="Book Antiqua" w:cs="SimSun"/>
          <w:color w:val="000000"/>
          <w:sz w:val="24"/>
          <w:szCs w:val="24"/>
          <w:lang w:val="en-US" w:eastAsia="zh-CN"/>
        </w:rPr>
        <w:t> 2010; </w:t>
      </w:r>
      <w:r w:rsidRPr="00A64FF0">
        <w:rPr>
          <w:rFonts w:ascii="Book Antiqua" w:hAnsi="Book Antiqua" w:cs="SimSun"/>
          <w:b/>
          <w:bCs/>
          <w:color w:val="000000"/>
          <w:sz w:val="24"/>
          <w:szCs w:val="24"/>
          <w:lang w:val="en-US" w:eastAsia="zh-CN"/>
        </w:rPr>
        <w:t xml:space="preserve">11 </w:t>
      </w:r>
      <w:r w:rsidRPr="00A64FF0">
        <w:rPr>
          <w:rFonts w:ascii="Book Antiqua" w:hAnsi="Book Antiqua" w:cs="SimSun"/>
          <w:bCs/>
          <w:color w:val="000000"/>
          <w:sz w:val="24"/>
          <w:szCs w:val="24"/>
          <w:lang w:val="en-US" w:eastAsia="zh-CN"/>
        </w:rPr>
        <w:t>Suppl 1</w:t>
      </w:r>
      <w:r w:rsidRPr="00A64FF0">
        <w:rPr>
          <w:rFonts w:ascii="Book Antiqua" w:hAnsi="Book Antiqua" w:cs="SimSun"/>
          <w:color w:val="000000"/>
          <w:sz w:val="24"/>
          <w:szCs w:val="24"/>
          <w:lang w:val="en-US" w:eastAsia="zh-CN"/>
        </w:rPr>
        <w:t>: 57-58 [PMID: 20586514 DOI: 10.2165/1153429-S0-000000000-000000]</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44 </w:t>
      </w:r>
      <w:r w:rsidRPr="00A64FF0">
        <w:rPr>
          <w:rFonts w:ascii="Book Antiqua" w:hAnsi="Book Antiqua" w:cs="SimSun"/>
          <w:b/>
          <w:bCs/>
          <w:color w:val="000000"/>
          <w:sz w:val="24"/>
          <w:szCs w:val="24"/>
          <w:lang w:val="en-US" w:eastAsia="zh-CN"/>
        </w:rPr>
        <w:t>Nosotti L</w:t>
      </w:r>
      <w:r w:rsidRPr="00A64FF0">
        <w:rPr>
          <w:rFonts w:ascii="Book Antiqua" w:hAnsi="Book Antiqua" w:cs="SimSun"/>
          <w:color w:val="000000"/>
          <w:sz w:val="24"/>
          <w:szCs w:val="24"/>
          <w:lang w:val="en-US" w:eastAsia="zh-CN"/>
        </w:rPr>
        <w:t xml:space="preserve">, Francesconi F, Izzi S, Berardesca E, Morrone A, Bonifati C. Safety of antitumour necrosis factor-α therapy in psoriatic patients with hepatitis B virus </w:t>
      </w:r>
      <w:r w:rsidRPr="00A64FF0">
        <w:rPr>
          <w:rFonts w:ascii="Book Antiqua" w:hAnsi="Book Antiqua" w:cs="SimSun"/>
          <w:color w:val="000000"/>
          <w:sz w:val="24"/>
          <w:szCs w:val="24"/>
          <w:lang w:val="en-US" w:eastAsia="zh-CN"/>
        </w:rPr>
        <w:lastRenderedPageBreak/>
        <w:t>infection. </w:t>
      </w:r>
      <w:r w:rsidRPr="00A64FF0">
        <w:rPr>
          <w:rFonts w:ascii="Book Antiqua" w:hAnsi="Book Antiqua" w:cs="SimSun"/>
          <w:i/>
          <w:iCs/>
          <w:color w:val="000000"/>
          <w:sz w:val="24"/>
          <w:szCs w:val="24"/>
          <w:lang w:val="en-US" w:eastAsia="zh-CN"/>
        </w:rPr>
        <w:t>Br J Dermatol</w:t>
      </w:r>
      <w:r w:rsidRPr="00A64FF0">
        <w:rPr>
          <w:rFonts w:ascii="Book Antiqua" w:hAnsi="Book Antiqua" w:cs="SimSun"/>
          <w:color w:val="000000"/>
          <w:sz w:val="24"/>
          <w:szCs w:val="24"/>
          <w:lang w:val="en-US" w:eastAsia="zh-CN"/>
        </w:rPr>
        <w:t> 2010; </w:t>
      </w:r>
      <w:r w:rsidRPr="00A64FF0">
        <w:rPr>
          <w:rFonts w:ascii="Book Antiqua" w:hAnsi="Book Antiqua" w:cs="SimSun"/>
          <w:b/>
          <w:bCs/>
          <w:color w:val="000000"/>
          <w:sz w:val="24"/>
          <w:szCs w:val="24"/>
          <w:lang w:val="en-US" w:eastAsia="zh-CN"/>
        </w:rPr>
        <w:t>162</w:t>
      </w:r>
      <w:r w:rsidRPr="00A64FF0">
        <w:rPr>
          <w:rFonts w:ascii="Book Antiqua" w:hAnsi="Book Antiqua" w:cs="SimSun"/>
          <w:color w:val="000000"/>
          <w:sz w:val="24"/>
          <w:szCs w:val="24"/>
          <w:lang w:val="en-US" w:eastAsia="zh-CN"/>
        </w:rPr>
        <w:t>: 1408-1410 [PMID: 20184582 DOI: 10.1111/j.1365-2133.2010.09714.x]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45 </w:t>
      </w:r>
      <w:r w:rsidRPr="00A64FF0">
        <w:rPr>
          <w:rFonts w:ascii="Book Antiqua" w:hAnsi="Book Antiqua" w:cs="SimSun"/>
          <w:b/>
          <w:bCs/>
          <w:color w:val="000000"/>
          <w:sz w:val="24"/>
          <w:szCs w:val="24"/>
          <w:lang w:val="en-US" w:eastAsia="zh-CN"/>
        </w:rPr>
        <w:t>Caporali R</w:t>
      </w:r>
      <w:r w:rsidRPr="00A64FF0">
        <w:rPr>
          <w:rFonts w:ascii="Book Antiqua" w:hAnsi="Book Antiqua" w:cs="SimSun"/>
          <w:color w:val="000000"/>
          <w:sz w:val="24"/>
          <w:szCs w:val="24"/>
          <w:lang w:val="en-US" w:eastAsia="zh-CN"/>
        </w:rPr>
        <w:t>, Bobbio-Pallavicini F, Atzeni F, Sakellariou G, Caprioli M, Montecucco C, Sarzi-Puttini P. Safety of tumor necrosis factor alpha blockers in hepatitis B virus occult carriers (hepatitis B surface antigen negative/anti-hepatitis B core antigen positive) with rheumatic diseases. </w:t>
      </w:r>
      <w:r w:rsidRPr="00A64FF0">
        <w:rPr>
          <w:rFonts w:ascii="Book Antiqua" w:hAnsi="Book Antiqua" w:cs="SimSun"/>
          <w:i/>
          <w:iCs/>
          <w:color w:val="000000"/>
          <w:sz w:val="24"/>
          <w:szCs w:val="24"/>
          <w:lang w:val="en-US" w:eastAsia="zh-CN"/>
        </w:rPr>
        <w:t>Arthritis Care Res</w:t>
      </w:r>
      <w:r w:rsidRPr="00A64FF0">
        <w:rPr>
          <w:rFonts w:ascii="Book Antiqua" w:hAnsi="Book Antiqua" w:cs="SimSun"/>
          <w:iCs/>
          <w:color w:val="000000"/>
          <w:sz w:val="24"/>
          <w:szCs w:val="24"/>
          <w:lang w:val="en-US" w:eastAsia="zh-CN"/>
        </w:rPr>
        <w:t xml:space="preserve"> (Hoboken)</w:t>
      </w:r>
      <w:r w:rsidRPr="00A64FF0">
        <w:rPr>
          <w:rFonts w:ascii="Book Antiqua" w:hAnsi="Book Antiqua" w:cs="SimSun"/>
          <w:color w:val="000000"/>
          <w:sz w:val="24"/>
          <w:szCs w:val="24"/>
          <w:lang w:val="en-US" w:eastAsia="zh-CN"/>
        </w:rPr>
        <w:t> 2010; </w:t>
      </w:r>
      <w:r w:rsidRPr="00A64FF0">
        <w:rPr>
          <w:rFonts w:ascii="Book Antiqua" w:hAnsi="Book Antiqua" w:cs="SimSun"/>
          <w:b/>
          <w:bCs/>
          <w:color w:val="000000"/>
          <w:sz w:val="24"/>
          <w:szCs w:val="24"/>
          <w:lang w:val="en-US" w:eastAsia="zh-CN"/>
        </w:rPr>
        <w:t>62</w:t>
      </w:r>
      <w:r w:rsidRPr="00A64FF0">
        <w:rPr>
          <w:rFonts w:ascii="Book Antiqua" w:hAnsi="Book Antiqua" w:cs="SimSun"/>
          <w:color w:val="000000"/>
          <w:sz w:val="24"/>
          <w:szCs w:val="24"/>
          <w:lang w:val="en-US" w:eastAsia="zh-CN"/>
        </w:rPr>
        <w:t>: 749-754 [PMID: 20535784 DOI: 10.1002/acr.20130]</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46 </w:t>
      </w:r>
      <w:r w:rsidRPr="00A64FF0">
        <w:rPr>
          <w:rFonts w:ascii="Book Antiqua" w:hAnsi="Book Antiqua" w:cs="SimSun"/>
          <w:b/>
          <w:bCs/>
          <w:color w:val="000000"/>
          <w:sz w:val="24"/>
          <w:szCs w:val="24"/>
          <w:lang w:val="en-US" w:eastAsia="zh-CN"/>
        </w:rPr>
        <w:t>Kim YJ</w:t>
      </w:r>
      <w:r w:rsidRPr="00A64FF0">
        <w:rPr>
          <w:rFonts w:ascii="Book Antiqua" w:hAnsi="Book Antiqua" w:cs="SimSun"/>
          <w:color w:val="000000"/>
          <w:sz w:val="24"/>
          <w:szCs w:val="24"/>
          <w:lang w:val="en-US" w:eastAsia="zh-CN"/>
        </w:rPr>
        <w:t>, Bae SC, Sung YK, Kim TH, Jun JB, Yoo DH, Kim TY, Sohn JH, Lee HS. Possible reactivation of potential hepatitis B virus occult infection by tumor necrosis factor-alpha blocker in the treatment of rheumatic diseases. </w:t>
      </w:r>
      <w:r w:rsidRPr="00A64FF0">
        <w:rPr>
          <w:rFonts w:ascii="Book Antiqua" w:hAnsi="Book Antiqua" w:cs="SimSun"/>
          <w:i/>
          <w:iCs/>
          <w:color w:val="000000"/>
          <w:sz w:val="24"/>
          <w:szCs w:val="24"/>
          <w:lang w:val="en-US" w:eastAsia="zh-CN"/>
        </w:rPr>
        <w:t>J Rheumatol</w:t>
      </w:r>
      <w:r w:rsidRPr="00A64FF0">
        <w:rPr>
          <w:rFonts w:ascii="Book Antiqua" w:hAnsi="Book Antiqua" w:cs="SimSun"/>
          <w:color w:val="000000"/>
          <w:sz w:val="24"/>
          <w:szCs w:val="24"/>
          <w:lang w:val="en-US" w:eastAsia="zh-CN"/>
        </w:rPr>
        <w:t> 2010; </w:t>
      </w:r>
      <w:r w:rsidRPr="00A64FF0">
        <w:rPr>
          <w:rFonts w:ascii="Book Antiqua" w:hAnsi="Book Antiqua" w:cs="SimSun"/>
          <w:b/>
          <w:bCs/>
          <w:color w:val="000000"/>
          <w:sz w:val="24"/>
          <w:szCs w:val="24"/>
          <w:lang w:val="en-US" w:eastAsia="zh-CN"/>
        </w:rPr>
        <w:t>37</w:t>
      </w:r>
      <w:r w:rsidRPr="00A64FF0">
        <w:rPr>
          <w:rFonts w:ascii="Book Antiqua" w:hAnsi="Book Antiqua" w:cs="SimSun"/>
          <w:color w:val="000000"/>
          <w:sz w:val="24"/>
          <w:szCs w:val="24"/>
          <w:lang w:val="en-US" w:eastAsia="zh-CN"/>
        </w:rPr>
        <w:t>: 346-350 [PMID: 20008922 DOI: 10.3899/jrheum.090436]</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47 </w:t>
      </w:r>
      <w:r w:rsidRPr="00A64FF0">
        <w:rPr>
          <w:rFonts w:ascii="Book Antiqua" w:hAnsi="Book Antiqua" w:cs="SimSun"/>
          <w:b/>
          <w:bCs/>
          <w:color w:val="000000"/>
          <w:sz w:val="24"/>
          <w:szCs w:val="24"/>
          <w:lang w:val="en-US" w:eastAsia="zh-CN"/>
        </w:rPr>
        <w:t>Fotiadou C</w:t>
      </w:r>
      <w:r w:rsidRPr="00A64FF0">
        <w:rPr>
          <w:rFonts w:ascii="Book Antiqua" w:hAnsi="Book Antiqua" w:cs="SimSun"/>
          <w:color w:val="000000"/>
          <w:sz w:val="24"/>
          <w:szCs w:val="24"/>
          <w:lang w:val="en-US" w:eastAsia="zh-CN"/>
        </w:rPr>
        <w:t>, Lazaridou E, Ioannides D. Safety of anti-tumour necrosis factor-α agents in psoriasis patients who were chronic hepatitis B carriers: a retrospective report of seven patients and brief review of the literature. </w:t>
      </w:r>
      <w:r w:rsidRPr="00A64FF0">
        <w:rPr>
          <w:rFonts w:ascii="Book Antiqua" w:hAnsi="Book Antiqua" w:cs="SimSun"/>
          <w:i/>
          <w:iCs/>
          <w:color w:val="000000"/>
          <w:sz w:val="24"/>
          <w:szCs w:val="24"/>
          <w:lang w:val="en-US" w:eastAsia="zh-CN"/>
        </w:rPr>
        <w:t>J Eur Acad Dermatol Venereol</w:t>
      </w:r>
      <w:r w:rsidRPr="00A64FF0">
        <w:rPr>
          <w:rFonts w:ascii="Book Antiqua" w:hAnsi="Book Antiqua" w:cs="SimSun"/>
          <w:color w:val="000000"/>
          <w:sz w:val="24"/>
          <w:szCs w:val="24"/>
          <w:lang w:val="en-US" w:eastAsia="zh-CN"/>
        </w:rPr>
        <w:t> 2011; </w:t>
      </w:r>
      <w:r w:rsidRPr="00A64FF0">
        <w:rPr>
          <w:rFonts w:ascii="Book Antiqua" w:hAnsi="Book Antiqua" w:cs="SimSun"/>
          <w:b/>
          <w:bCs/>
          <w:color w:val="000000"/>
          <w:sz w:val="24"/>
          <w:szCs w:val="24"/>
          <w:lang w:val="en-US" w:eastAsia="zh-CN"/>
        </w:rPr>
        <w:t>25</w:t>
      </w:r>
      <w:r w:rsidRPr="00A64FF0">
        <w:rPr>
          <w:rFonts w:ascii="Book Antiqua" w:hAnsi="Book Antiqua" w:cs="SimSun"/>
          <w:color w:val="000000"/>
          <w:sz w:val="24"/>
          <w:szCs w:val="24"/>
          <w:lang w:val="en-US" w:eastAsia="zh-CN"/>
        </w:rPr>
        <w:t>: 471-474 [PMID: 20561122 DOI: 10.1111/j.1468-3083.2010.03754.x]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48 </w:t>
      </w:r>
      <w:r w:rsidRPr="00A64FF0">
        <w:rPr>
          <w:rFonts w:ascii="Book Antiqua" w:hAnsi="Book Antiqua" w:cs="SimSun"/>
          <w:b/>
          <w:bCs/>
          <w:color w:val="000000"/>
          <w:sz w:val="24"/>
          <w:szCs w:val="24"/>
          <w:lang w:val="en-US" w:eastAsia="zh-CN"/>
        </w:rPr>
        <w:t>Prignano F</w:t>
      </w:r>
      <w:r w:rsidRPr="00A64FF0">
        <w:rPr>
          <w:rFonts w:ascii="Book Antiqua" w:hAnsi="Book Antiqua" w:cs="SimSun"/>
          <w:color w:val="000000"/>
          <w:sz w:val="24"/>
          <w:szCs w:val="24"/>
          <w:lang w:val="en-US" w:eastAsia="zh-CN"/>
        </w:rPr>
        <w:t>, Ricceri F, Pescitelli L, Zanieri F, Lotti T. Tumour necrosis factor-α antagonists in patients with concurrent psoriasis and hepatitis B or hepatitis C: a retrospective analysis of 17 patients. </w:t>
      </w:r>
      <w:r w:rsidRPr="00A64FF0">
        <w:rPr>
          <w:rFonts w:ascii="Book Antiqua" w:hAnsi="Book Antiqua" w:cs="SimSun"/>
          <w:i/>
          <w:iCs/>
          <w:color w:val="000000"/>
          <w:sz w:val="24"/>
          <w:szCs w:val="24"/>
          <w:lang w:val="en-US" w:eastAsia="zh-CN"/>
        </w:rPr>
        <w:t>Br J Dermatol</w:t>
      </w:r>
      <w:r w:rsidRPr="00A64FF0">
        <w:rPr>
          <w:rFonts w:ascii="Book Antiqua" w:hAnsi="Book Antiqua" w:cs="SimSun"/>
          <w:color w:val="000000"/>
          <w:sz w:val="24"/>
          <w:szCs w:val="24"/>
          <w:lang w:val="en-US" w:eastAsia="zh-CN"/>
        </w:rPr>
        <w:t> 2011; </w:t>
      </w:r>
      <w:r w:rsidRPr="00A64FF0">
        <w:rPr>
          <w:rFonts w:ascii="Book Antiqua" w:hAnsi="Book Antiqua" w:cs="SimSun"/>
          <w:b/>
          <w:bCs/>
          <w:color w:val="000000"/>
          <w:sz w:val="24"/>
          <w:szCs w:val="24"/>
          <w:lang w:val="en-US" w:eastAsia="zh-CN"/>
        </w:rPr>
        <w:t>164</w:t>
      </w:r>
      <w:r w:rsidRPr="00A64FF0">
        <w:rPr>
          <w:rFonts w:ascii="Book Antiqua" w:hAnsi="Book Antiqua" w:cs="SimSun"/>
          <w:color w:val="000000"/>
          <w:sz w:val="24"/>
          <w:szCs w:val="24"/>
          <w:lang w:val="en-US" w:eastAsia="zh-CN"/>
        </w:rPr>
        <w:t>: 645-647 [PMID: 21375517 DOI: 10.1111/j.1365-2133.2010.10140.x]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49 </w:t>
      </w:r>
      <w:r w:rsidRPr="00A64FF0">
        <w:rPr>
          <w:rFonts w:ascii="Book Antiqua" w:hAnsi="Book Antiqua" w:cs="SimSun"/>
          <w:b/>
          <w:bCs/>
          <w:color w:val="000000"/>
          <w:sz w:val="24"/>
          <w:szCs w:val="24"/>
          <w:lang w:val="en-US" w:eastAsia="zh-CN"/>
        </w:rPr>
        <w:t>Cassano N</w:t>
      </w:r>
      <w:r w:rsidRPr="00A64FF0">
        <w:rPr>
          <w:rFonts w:ascii="Book Antiqua" w:hAnsi="Book Antiqua" w:cs="SimSun"/>
          <w:color w:val="000000"/>
          <w:sz w:val="24"/>
          <w:szCs w:val="24"/>
          <w:lang w:val="en-US" w:eastAsia="zh-CN"/>
        </w:rPr>
        <w:t>, Mastrandrea V, Principi M, Loconsole F, De Tullio N, Di Leo A, Vena GA. Anti-tumor necrosis factor treatment in occult hepatitis B virus infection: a retrospective analysis of 62 patients with psoriatic disease. </w:t>
      </w:r>
      <w:r w:rsidRPr="00A64FF0">
        <w:rPr>
          <w:rFonts w:ascii="Book Antiqua" w:hAnsi="Book Antiqua" w:cs="SimSun"/>
          <w:i/>
          <w:iCs/>
          <w:color w:val="000000"/>
          <w:sz w:val="24"/>
          <w:szCs w:val="24"/>
          <w:lang w:val="en-US" w:eastAsia="zh-CN"/>
        </w:rPr>
        <w:t>J Biol Regul Homeost Agents</w:t>
      </w:r>
      <w:r w:rsidRPr="00A64FF0">
        <w:rPr>
          <w:rFonts w:ascii="Book Antiqua" w:hAnsi="Book Antiqua" w:cs="SimSun"/>
          <w:color w:val="000000"/>
          <w:sz w:val="24"/>
          <w:szCs w:val="24"/>
          <w:lang w:val="en-US" w:eastAsia="zh-CN"/>
        </w:rPr>
        <w:t> 2011; </w:t>
      </w:r>
      <w:r w:rsidRPr="00A64FF0">
        <w:rPr>
          <w:rFonts w:ascii="Book Antiqua" w:hAnsi="Book Antiqua" w:cs="SimSun"/>
          <w:b/>
          <w:bCs/>
          <w:color w:val="000000"/>
          <w:sz w:val="24"/>
          <w:szCs w:val="24"/>
          <w:lang w:val="en-US" w:eastAsia="zh-CN"/>
        </w:rPr>
        <w:t>25</w:t>
      </w:r>
      <w:r w:rsidRPr="00A64FF0">
        <w:rPr>
          <w:rFonts w:ascii="Book Antiqua" w:hAnsi="Book Antiqua" w:cs="SimSun"/>
          <w:color w:val="000000"/>
          <w:sz w:val="24"/>
          <w:szCs w:val="24"/>
          <w:lang w:val="en-US" w:eastAsia="zh-CN"/>
        </w:rPr>
        <w:t>: 285-289 [PMID: 21880218]</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50 </w:t>
      </w:r>
      <w:r w:rsidRPr="00A64FF0">
        <w:rPr>
          <w:rFonts w:ascii="Book Antiqua" w:hAnsi="Book Antiqua" w:cs="SimSun"/>
          <w:b/>
          <w:bCs/>
          <w:color w:val="000000"/>
          <w:sz w:val="24"/>
          <w:szCs w:val="24"/>
          <w:lang w:val="en-US" w:eastAsia="zh-CN"/>
        </w:rPr>
        <w:t>Cho YT</w:t>
      </w:r>
      <w:r w:rsidRPr="00A64FF0">
        <w:rPr>
          <w:rFonts w:ascii="Book Antiqua" w:hAnsi="Book Antiqua" w:cs="SimSun"/>
          <w:color w:val="000000"/>
          <w:sz w:val="24"/>
          <w:szCs w:val="24"/>
          <w:lang w:val="en-US" w:eastAsia="zh-CN"/>
        </w:rPr>
        <w:t>, Chen CH, Chiu HY, Tsai TF. Use of anti-tumor necrosis factor-α therapy in hepatitis B virus carriers with psoriasis or psoriatic arthritis: a case series in Taiwan. </w:t>
      </w:r>
      <w:r w:rsidRPr="00A64FF0">
        <w:rPr>
          <w:rFonts w:ascii="Book Antiqua" w:hAnsi="Book Antiqua" w:cs="SimSun"/>
          <w:i/>
          <w:iCs/>
          <w:color w:val="000000"/>
          <w:sz w:val="24"/>
          <w:szCs w:val="24"/>
          <w:lang w:val="en-US" w:eastAsia="zh-CN"/>
        </w:rPr>
        <w:t>J Dermatol</w:t>
      </w:r>
      <w:r w:rsidRPr="00A64FF0">
        <w:rPr>
          <w:rFonts w:ascii="Book Antiqua" w:hAnsi="Book Antiqua" w:cs="SimSun"/>
          <w:color w:val="000000"/>
          <w:sz w:val="24"/>
          <w:szCs w:val="24"/>
          <w:lang w:val="en-US" w:eastAsia="zh-CN"/>
        </w:rPr>
        <w:t> 2012; </w:t>
      </w:r>
      <w:r w:rsidRPr="00A64FF0">
        <w:rPr>
          <w:rFonts w:ascii="Book Antiqua" w:hAnsi="Book Antiqua" w:cs="SimSun"/>
          <w:b/>
          <w:bCs/>
          <w:color w:val="000000"/>
          <w:sz w:val="24"/>
          <w:szCs w:val="24"/>
          <w:lang w:val="en-US" w:eastAsia="zh-CN"/>
        </w:rPr>
        <w:t>39</w:t>
      </w:r>
      <w:r w:rsidRPr="00A64FF0">
        <w:rPr>
          <w:rFonts w:ascii="Book Antiqua" w:hAnsi="Book Antiqua" w:cs="SimSun"/>
          <w:color w:val="000000"/>
          <w:sz w:val="24"/>
          <w:szCs w:val="24"/>
          <w:lang w:val="en-US" w:eastAsia="zh-CN"/>
        </w:rPr>
        <w:t>: 269-273 [PMID: 22077677 DOI: 10.1111/j.1346-8138.2011.01434.x]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51 </w:t>
      </w:r>
      <w:r w:rsidRPr="00A64FF0">
        <w:rPr>
          <w:rFonts w:ascii="Book Antiqua" w:hAnsi="Book Antiqua" w:cs="SimSun"/>
          <w:b/>
          <w:bCs/>
          <w:color w:val="000000"/>
          <w:sz w:val="24"/>
          <w:szCs w:val="24"/>
          <w:lang w:val="en-US" w:eastAsia="zh-CN"/>
        </w:rPr>
        <w:t>Navarro R</w:t>
      </w:r>
      <w:r w:rsidRPr="00A64FF0">
        <w:rPr>
          <w:rFonts w:ascii="Book Antiqua" w:hAnsi="Book Antiqua" w:cs="SimSun"/>
          <w:color w:val="000000"/>
          <w:sz w:val="24"/>
          <w:szCs w:val="24"/>
          <w:lang w:val="en-US" w:eastAsia="zh-CN"/>
        </w:rPr>
        <w:t>, Concha-Garzón MJ, Castaño C, Casal C, Guiu A, Daudén E. Outcome of patients with serology suggestive of past hepatitis B virus infection during antitumor necrosis factor therapy for psoriasis. </w:t>
      </w:r>
      <w:r w:rsidRPr="00A64FF0">
        <w:rPr>
          <w:rFonts w:ascii="Book Antiqua" w:hAnsi="Book Antiqua" w:cs="SimSun"/>
          <w:i/>
          <w:iCs/>
          <w:color w:val="000000"/>
          <w:sz w:val="24"/>
          <w:szCs w:val="24"/>
          <w:lang w:val="en-US" w:eastAsia="zh-CN"/>
        </w:rPr>
        <w:t>Int J Dermatol</w:t>
      </w:r>
      <w:r w:rsidRPr="00A64FF0">
        <w:rPr>
          <w:rFonts w:ascii="Book Antiqua" w:hAnsi="Book Antiqua" w:cs="SimSun"/>
          <w:color w:val="000000"/>
          <w:sz w:val="24"/>
          <w:szCs w:val="24"/>
          <w:lang w:val="en-US" w:eastAsia="zh-CN"/>
        </w:rPr>
        <w:t> 2014; </w:t>
      </w:r>
      <w:r w:rsidRPr="00A64FF0">
        <w:rPr>
          <w:rFonts w:ascii="Book Antiqua" w:hAnsi="Book Antiqua" w:cs="SimSun"/>
          <w:b/>
          <w:bCs/>
          <w:color w:val="000000"/>
          <w:sz w:val="24"/>
          <w:szCs w:val="24"/>
          <w:lang w:val="en-US" w:eastAsia="zh-CN"/>
        </w:rPr>
        <w:t>53</w:t>
      </w:r>
      <w:r w:rsidRPr="00A64FF0">
        <w:rPr>
          <w:rFonts w:ascii="Book Antiqua" w:hAnsi="Book Antiqua" w:cs="SimSun"/>
          <w:color w:val="000000"/>
          <w:sz w:val="24"/>
          <w:szCs w:val="24"/>
          <w:lang w:val="en-US" w:eastAsia="zh-CN"/>
        </w:rPr>
        <w:t>: 909-911 [PMID: 24673290 DOI: 10.1111/ijd.12313]</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52 </w:t>
      </w:r>
      <w:r w:rsidRPr="00A64FF0">
        <w:rPr>
          <w:rFonts w:ascii="Book Antiqua" w:hAnsi="Book Antiqua" w:cs="SimSun"/>
          <w:b/>
          <w:bCs/>
          <w:color w:val="000000"/>
          <w:sz w:val="24"/>
          <w:szCs w:val="24"/>
          <w:lang w:val="en-US" w:eastAsia="zh-CN"/>
        </w:rPr>
        <w:t>Laurenti R</w:t>
      </w:r>
      <w:r w:rsidRPr="00A64FF0">
        <w:rPr>
          <w:rFonts w:ascii="Book Antiqua" w:hAnsi="Book Antiqua" w:cs="SimSun"/>
          <w:color w:val="000000"/>
          <w:sz w:val="24"/>
          <w:szCs w:val="24"/>
          <w:lang w:val="en-US" w:eastAsia="zh-CN"/>
        </w:rPr>
        <w:t xml:space="preserve">, Giovannangeli F, Gubinelli E, Viviano MT, Errico A, Leoni L, Ballanti E, Migliore A. Long-term safety of anti-TNF adalimumab in HBc antibody-positive psoriatic </w:t>
      </w:r>
      <w:r w:rsidRPr="00A64FF0">
        <w:rPr>
          <w:rFonts w:ascii="Book Antiqua" w:hAnsi="Book Antiqua" w:cs="SimSun"/>
          <w:color w:val="000000"/>
          <w:sz w:val="24"/>
          <w:szCs w:val="24"/>
          <w:lang w:val="en-US" w:eastAsia="zh-CN"/>
        </w:rPr>
        <w:lastRenderedPageBreak/>
        <w:t>arthritis patients: a retrospective case series of 8 patients. </w:t>
      </w:r>
      <w:r w:rsidRPr="00A64FF0">
        <w:rPr>
          <w:rFonts w:ascii="Book Antiqua" w:hAnsi="Book Antiqua" w:cs="SimSun"/>
          <w:i/>
          <w:iCs/>
          <w:color w:val="000000"/>
          <w:sz w:val="24"/>
          <w:szCs w:val="24"/>
          <w:lang w:val="en-US" w:eastAsia="zh-CN"/>
        </w:rPr>
        <w:t>Clin Dev Immunol</w:t>
      </w:r>
      <w:r w:rsidRPr="00A64FF0">
        <w:rPr>
          <w:rFonts w:ascii="Book Antiqua" w:hAnsi="Book Antiqua" w:cs="SimSun"/>
          <w:color w:val="000000"/>
          <w:sz w:val="24"/>
          <w:szCs w:val="24"/>
          <w:lang w:val="en-US" w:eastAsia="zh-CN"/>
        </w:rPr>
        <w:t> 2013; </w:t>
      </w:r>
      <w:r w:rsidRPr="00A64FF0">
        <w:rPr>
          <w:rFonts w:ascii="Book Antiqua" w:hAnsi="Book Antiqua" w:cs="SimSun"/>
          <w:b/>
          <w:bCs/>
          <w:color w:val="000000"/>
          <w:sz w:val="24"/>
          <w:szCs w:val="24"/>
          <w:lang w:val="en-US" w:eastAsia="zh-CN"/>
        </w:rPr>
        <w:t>2013</w:t>
      </w:r>
      <w:r w:rsidRPr="00A64FF0">
        <w:rPr>
          <w:rFonts w:ascii="Book Antiqua" w:hAnsi="Book Antiqua" w:cs="SimSun"/>
          <w:color w:val="000000"/>
          <w:sz w:val="24"/>
          <w:szCs w:val="24"/>
          <w:lang w:val="en-US" w:eastAsia="zh-CN"/>
        </w:rPr>
        <w:t>: 410521 [PMID: 23606869 DOI: 10.1155/2013/410521]</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53 </w:t>
      </w:r>
      <w:r w:rsidRPr="00A64FF0">
        <w:rPr>
          <w:rFonts w:ascii="Book Antiqua" w:hAnsi="Book Antiqua" w:cs="SimSun"/>
          <w:b/>
          <w:bCs/>
          <w:color w:val="000000"/>
          <w:sz w:val="24"/>
          <w:szCs w:val="24"/>
          <w:lang w:val="en-US" w:eastAsia="zh-CN"/>
        </w:rPr>
        <w:t>Navarro R</w:t>
      </w:r>
      <w:r w:rsidRPr="00A64FF0">
        <w:rPr>
          <w:rFonts w:ascii="Book Antiqua" w:hAnsi="Book Antiqua" w:cs="SimSun"/>
          <w:color w:val="000000"/>
          <w:sz w:val="24"/>
          <w:szCs w:val="24"/>
          <w:lang w:val="en-US" w:eastAsia="zh-CN"/>
        </w:rPr>
        <w:t>, Vilarrasa E, Herranz P, Puig L, Bordas X, Carrascosa JM, Taberner R, Ferrán M, García-Bustinduy M, Romero-Maté A, Pedragosa R, García-Diez A, Daudén E. Safety and effectiveness of ustekinumab and antitumour necrosis factor therapy in patients with psoriasis and chronic viral hepatitis B or C: a retrospective, multicentre study in a clinical setting. </w:t>
      </w:r>
      <w:r w:rsidRPr="00A64FF0">
        <w:rPr>
          <w:rFonts w:ascii="Book Antiqua" w:hAnsi="Book Antiqua" w:cs="SimSun"/>
          <w:i/>
          <w:iCs/>
          <w:color w:val="000000"/>
          <w:sz w:val="24"/>
          <w:szCs w:val="24"/>
          <w:lang w:val="en-US" w:eastAsia="zh-CN"/>
        </w:rPr>
        <w:t>Br J Dermatol</w:t>
      </w:r>
      <w:r w:rsidRPr="00A64FF0">
        <w:rPr>
          <w:rFonts w:ascii="Book Antiqua" w:hAnsi="Book Antiqua" w:cs="SimSun"/>
          <w:color w:val="000000"/>
          <w:sz w:val="24"/>
          <w:szCs w:val="24"/>
          <w:lang w:val="en-US" w:eastAsia="zh-CN"/>
        </w:rPr>
        <w:t> 2013; </w:t>
      </w:r>
      <w:r w:rsidRPr="00A64FF0">
        <w:rPr>
          <w:rFonts w:ascii="Book Antiqua" w:hAnsi="Book Antiqua" w:cs="SimSun"/>
          <w:b/>
          <w:bCs/>
          <w:color w:val="000000"/>
          <w:sz w:val="24"/>
          <w:szCs w:val="24"/>
          <w:lang w:val="en-US" w:eastAsia="zh-CN"/>
        </w:rPr>
        <w:t>168</w:t>
      </w:r>
      <w:r w:rsidRPr="00A64FF0">
        <w:rPr>
          <w:rFonts w:ascii="Book Antiqua" w:hAnsi="Book Antiqua" w:cs="SimSun"/>
          <w:color w:val="000000"/>
          <w:sz w:val="24"/>
          <w:szCs w:val="24"/>
          <w:lang w:val="en-US" w:eastAsia="zh-CN"/>
        </w:rPr>
        <w:t>: 609-616 [PMID: 22985451 DOI: 10.1111/bjd.12045]</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54 </w:t>
      </w:r>
      <w:r w:rsidRPr="00A64FF0">
        <w:rPr>
          <w:rFonts w:ascii="Book Antiqua" w:hAnsi="Book Antiqua" w:cs="SimSun"/>
          <w:b/>
          <w:bCs/>
          <w:color w:val="000000"/>
          <w:sz w:val="24"/>
          <w:szCs w:val="24"/>
          <w:lang w:val="en-US" w:eastAsia="zh-CN"/>
        </w:rPr>
        <w:t>Sanz-Bueno J</w:t>
      </w:r>
      <w:r w:rsidRPr="00A64FF0">
        <w:rPr>
          <w:rFonts w:ascii="Book Antiqua" w:hAnsi="Book Antiqua" w:cs="SimSun"/>
          <w:color w:val="000000"/>
          <w:sz w:val="24"/>
          <w:szCs w:val="24"/>
          <w:lang w:val="en-US" w:eastAsia="zh-CN"/>
        </w:rPr>
        <w:t>, Vanaclocha F, García-Doval I, Torrado R, Carretero G, Daudén E, Patricia Ruiz-Genao D, Alsina-Gibert MM, Pérez-Zafrilla B, Pérez-Rial G, Rivera R; members of the BIOBADADERM group. Risk of Reactivation of Hepatitis B Virus Infection in Psoriasis Patients Treated With Biologics: A Retrospective Analysis of 20 Cases From the BIOBADADERM Database. </w:t>
      </w:r>
      <w:r w:rsidRPr="00A64FF0">
        <w:rPr>
          <w:rFonts w:ascii="Book Antiqua" w:hAnsi="Book Antiqua" w:cs="SimSun"/>
          <w:i/>
          <w:iCs/>
          <w:color w:val="000000"/>
          <w:sz w:val="24"/>
          <w:szCs w:val="24"/>
          <w:lang w:val="en-US" w:eastAsia="zh-CN"/>
        </w:rPr>
        <w:t>Actas Dermosifiliogr</w:t>
      </w:r>
      <w:r w:rsidRPr="00A64FF0">
        <w:rPr>
          <w:rFonts w:ascii="Book Antiqua" w:hAnsi="Book Antiqua" w:cs="SimSun"/>
          <w:color w:val="000000"/>
          <w:sz w:val="24"/>
          <w:szCs w:val="24"/>
          <w:lang w:val="en-US" w:eastAsia="zh-CN"/>
        </w:rPr>
        <w:t> 2015; </w:t>
      </w:r>
      <w:r w:rsidRPr="00A64FF0">
        <w:rPr>
          <w:rFonts w:ascii="Book Antiqua" w:hAnsi="Book Antiqua" w:cs="SimSun"/>
          <w:b/>
          <w:bCs/>
          <w:color w:val="000000"/>
          <w:sz w:val="24"/>
          <w:szCs w:val="24"/>
          <w:lang w:val="en-US" w:eastAsia="zh-CN"/>
        </w:rPr>
        <w:t>106</w:t>
      </w:r>
      <w:r w:rsidRPr="00A64FF0">
        <w:rPr>
          <w:rFonts w:ascii="Book Antiqua" w:hAnsi="Book Antiqua" w:cs="SimSun"/>
          <w:color w:val="000000"/>
          <w:sz w:val="24"/>
          <w:szCs w:val="24"/>
          <w:lang w:val="en-US" w:eastAsia="zh-CN"/>
        </w:rPr>
        <w:t>: 477-482 [PMID: 25776200 DOI: 10.1016/j.ad.2015.01.010]</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55 </w:t>
      </w:r>
      <w:r w:rsidRPr="00A64FF0">
        <w:rPr>
          <w:rFonts w:ascii="Book Antiqua" w:hAnsi="Book Antiqua" w:cs="SimSun"/>
          <w:b/>
          <w:bCs/>
          <w:color w:val="000000"/>
          <w:sz w:val="24"/>
          <w:szCs w:val="24"/>
          <w:lang w:val="en-US" w:eastAsia="zh-CN"/>
        </w:rPr>
        <w:t>Giardina AR</w:t>
      </w:r>
      <w:r w:rsidRPr="00A64FF0">
        <w:rPr>
          <w:rFonts w:ascii="Book Antiqua" w:hAnsi="Book Antiqua" w:cs="SimSun"/>
          <w:color w:val="000000"/>
          <w:sz w:val="24"/>
          <w:szCs w:val="24"/>
          <w:lang w:val="en-US" w:eastAsia="zh-CN"/>
        </w:rPr>
        <w:t>, Ferraro D, Ciccia F, Ferrante A, Di Stefano R, Craxì A, Triolo G. No detection of occult HBV-DNA in patients with various rheumatic diseases treated with anti-TNF agents: a two-year prospective study. </w:t>
      </w:r>
      <w:r w:rsidRPr="00A64FF0">
        <w:rPr>
          <w:rFonts w:ascii="Book Antiqua" w:hAnsi="Book Antiqua" w:cs="SimSun"/>
          <w:i/>
          <w:iCs/>
          <w:color w:val="000000"/>
          <w:sz w:val="24"/>
          <w:szCs w:val="24"/>
          <w:lang w:val="en-US" w:eastAsia="zh-CN"/>
        </w:rPr>
        <w:t>Clin Exp Rheumatol</w:t>
      </w:r>
      <w:r w:rsidRPr="00A64FF0">
        <w:rPr>
          <w:rFonts w:ascii="Book Antiqua" w:hAnsi="Book Antiqua" w:cs="SimSun"/>
          <w:color w:val="000000"/>
          <w:sz w:val="24"/>
          <w:szCs w:val="24"/>
          <w:lang w:val="en-US" w:eastAsia="zh-CN"/>
        </w:rPr>
        <w:t> 2013; </w:t>
      </w:r>
      <w:r w:rsidRPr="00A64FF0">
        <w:rPr>
          <w:rFonts w:ascii="Book Antiqua" w:hAnsi="Book Antiqua" w:cs="SimSun"/>
          <w:b/>
          <w:bCs/>
          <w:color w:val="000000"/>
          <w:sz w:val="24"/>
          <w:szCs w:val="24"/>
          <w:lang w:val="en-US" w:eastAsia="zh-CN"/>
        </w:rPr>
        <w:t>31</w:t>
      </w:r>
      <w:r w:rsidRPr="00A64FF0">
        <w:rPr>
          <w:rFonts w:ascii="Book Antiqua" w:hAnsi="Book Antiqua" w:cs="SimSun"/>
          <w:color w:val="000000"/>
          <w:sz w:val="24"/>
          <w:szCs w:val="24"/>
          <w:lang w:val="en-US" w:eastAsia="zh-CN"/>
        </w:rPr>
        <w:t>: 25-30 [PMID: 22935442]</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56 </w:t>
      </w:r>
      <w:r w:rsidRPr="00A64FF0">
        <w:rPr>
          <w:rFonts w:ascii="Book Antiqua" w:hAnsi="Book Antiqua" w:cs="SimSun"/>
          <w:b/>
          <w:bCs/>
          <w:color w:val="000000"/>
          <w:sz w:val="24"/>
          <w:szCs w:val="24"/>
          <w:lang w:val="en-US" w:eastAsia="zh-CN"/>
        </w:rPr>
        <w:t>Vassilopoulos D</w:t>
      </w:r>
      <w:r w:rsidRPr="00A64FF0">
        <w:rPr>
          <w:rFonts w:ascii="Book Antiqua" w:hAnsi="Book Antiqua" w:cs="SimSun"/>
          <w:color w:val="000000"/>
          <w:sz w:val="24"/>
          <w:szCs w:val="24"/>
          <w:lang w:val="en-US" w:eastAsia="zh-CN"/>
        </w:rPr>
        <w:t>, Apostolopoulou A, Hadziyannis E, Papatheodoridis GV, Manolakopoulos S, Koskinas J, Manesis EK, Archimandritis AI. Long-term safety of anti-TNF treatment in patients with rheumatic diseases and chronic or resolved hepatitis B virus infection. </w:t>
      </w:r>
      <w:r w:rsidRPr="00A64FF0">
        <w:rPr>
          <w:rFonts w:ascii="Book Antiqua" w:hAnsi="Book Antiqua" w:cs="SimSun"/>
          <w:i/>
          <w:iCs/>
          <w:color w:val="000000"/>
          <w:sz w:val="24"/>
          <w:szCs w:val="24"/>
          <w:lang w:val="en-US" w:eastAsia="zh-CN"/>
        </w:rPr>
        <w:t>Ann Rheum Dis</w:t>
      </w:r>
      <w:r w:rsidRPr="00A64FF0">
        <w:rPr>
          <w:rFonts w:ascii="Book Antiqua" w:hAnsi="Book Antiqua" w:cs="SimSun"/>
          <w:color w:val="000000"/>
          <w:sz w:val="24"/>
          <w:szCs w:val="24"/>
          <w:lang w:val="en-US" w:eastAsia="zh-CN"/>
        </w:rPr>
        <w:t> 2010; </w:t>
      </w:r>
      <w:r w:rsidRPr="00A64FF0">
        <w:rPr>
          <w:rFonts w:ascii="Book Antiqua" w:hAnsi="Book Antiqua" w:cs="SimSun"/>
          <w:b/>
          <w:bCs/>
          <w:color w:val="000000"/>
          <w:sz w:val="24"/>
          <w:szCs w:val="24"/>
          <w:lang w:val="en-US" w:eastAsia="zh-CN"/>
        </w:rPr>
        <w:t>69</w:t>
      </w:r>
      <w:r w:rsidRPr="00A64FF0">
        <w:rPr>
          <w:rFonts w:ascii="Book Antiqua" w:hAnsi="Book Antiqua" w:cs="SimSun"/>
          <w:color w:val="000000"/>
          <w:sz w:val="24"/>
          <w:szCs w:val="24"/>
          <w:lang w:val="en-US" w:eastAsia="zh-CN"/>
        </w:rPr>
        <w:t>: 1352-1355 [PMID: 20472596 DOI: 10.1136/ard.2009.127233]</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57 </w:t>
      </w:r>
      <w:r w:rsidRPr="00A64FF0">
        <w:rPr>
          <w:rFonts w:ascii="Book Antiqua" w:hAnsi="Book Antiqua" w:cs="SimSun"/>
          <w:b/>
          <w:bCs/>
          <w:color w:val="000000"/>
          <w:sz w:val="24"/>
          <w:szCs w:val="24"/>
          <w:lang w:val="en-US" w:eastAsia="zh-CN"/>
        </w:rPr>
        <w:t>Conde-Taboada A</w:t>
      </w:r>
      <w:r w:rsidRPr="00A64FF0">
        <w:rPr>
          <w:rFonts w:ascii="Book Antiqua" w:hAnsi="Book Antiqua" w:cs="SimSun"/>
          <w:color w:val="000000"/>
          <w:sz w:val="24"/>
          <w:szCs w:val="24"/>
          <w:lang w:val="en-US" w:eastAsia="zh-CN"/>
        </w:rPr>
        <w:t>, Muñoz JP, Muñoz LC, López-Bran E. Infliximab treatment for severe psoriasis in a patient with active hepatitis B virus infection. </w:t>
      </w:r>
      <w:r w:rsidRPr="00A64FF0">
        <w:rPr>
          <w:rFonts w:ascii="Book Antiqua" w:hAnsi="Book Antiqua" w:cs="SimSun"/>
          <w:i/>
          <w:iCs/>
          <w:color w:val="000000"/>
          <w:sz w:val="24"/>
          <w:szCs w:val="24"/>
          <w:lang w:val="en-US" w:eastAsia="zh-CN"/>
        </w:rPr>
        <w:t>J Am Acad Dermatol</w:t>
      </w:r>
      <w:r w:rsidRPr="00A64FF0">
        <w:rPr>
          <w:rFonts w:ascii="Book Antiqua" w:hAnsi="Book Antiqua" w:cs="SimSun"/>
          <w:color w:val="000000"/>
          <w:sz w:val="24"/>
          <w:szCs w:val="24"/>
          <w:lang w:val="en-US" w:eastAsia="zh-CN"/>
        </w:rPr>
        <w:t> 2009; </w:t>
      </w:r>
      <w:r w:rsidRPr="00A64FF0">
        <w:rPr>
          <w:rFonts w:ascii="Book Antiqua" w:hAnsi="Book Antiqua" w:cs="SimSun"/>
          <w:b/>
          <w:bCs/>
          <w:color w:val="000000"/>
          <w:sz w:val="24"/>
          <w:szCs w:val="24"/>
          <w:lang w:val="en-US" w:eastAsia="zh-CN"/>
        </w:rPr>
        <w:t>60</w:t>
      </w:r>
      <w:r w:rsidRPr="00A64FF0">
        <w:rPr>
          <w:rFonts w:ascii="Book Antiqua" w:hAnsi="Book Antiqua" w:cs="SimSun"/>
          <w:color w:val="000000"/>
          <w:sz w:val="24"/>
          <w:szCs w:val="24"/>
          <w:lang w:val="en-US" w:eastAsia="zh-CN"/>
        </w:rPr>
        <w:t>: 1077-1080 [PMID: 19467387 DOI: 10.1016/j.jaad.2008.09.057]</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58 ) Schurich A, Pallett LJ, Lubowiecki M, Singh HD, Gill US, Kennedy PT, Nastouli E, Tanwar S, Rosenberg W, Maini MK. The third signal cytokine IL-12 rescues the anti-viral function of exhausted HBV-specific CD8 T cells. PLoS Pathog 2013 Mar; 9: e1003208 [PMDI: 23516358 DOI: 10.1371/journal.ppat.1003208]</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59 </w:t>
      </w:r>
      <w:r w:rsidRPr="00A64FF0">
        <w:rPr>
          <w:rFonts w:ascii="Book Antiqua" w:hAnsi="Book Antiqua" w:cs="SimSun"/>
          <w:b/>
          <w:bCs/>
          <w:color w:val="000000"/>
          <w:sz w:val="24"/>
          <w:szCs w:val="24"/>
          <w:lang w:val="en-US" w:eastAsia="zh-CN"/>
        </w:rPr>
        <w:t>Zeuzem S</w:t>
      </w:r>
      <w:r w:rsidRPr="00A64FF0">
        <w:rPr>
          <w:rFonts w:ascii="Book Antiqua" w:hAnsi="Book Antiqua" w:cs="SimSun"/>
          <w:color w:val="000000"/>
          <w:sz w:val="24"/>
          <w:szCs w:val="24"/>
          <w:lang w:val="en-US" w:eastAsia="zh-CN"/>
        </w:rPr>
        <w:t>, Carreño V. Interleukin-12 in the treatment of chronic hepatitis B and C. </w:t>
      </w:r>
      <w:r w:rsidRPr="00A64FF0">
        <w:rPr>
          <w:rFonts w:ascii="Book Antiqua" w:hAnsi="Book Antiqua" w:cs="SimSun"/>
          <w:i/>
          <w:iCs/>
          <w:color w:val="000000"/>
          <w:sz w:val="24"/>
          <w:szCs w:val="24"/>
          <w:lang w:val="en-US" w:eastAsia="zh-CN"/>
        </w:rPr>
        <w:t>Antiviral Res</w:t>
      </w:r>
      <w:r w:rsidRPr="00A64FF0">
        <w:rPr>
          <w:rFonts w:ascii="Book Antiqua" w:hAnsi="Book Antiqua" w:cs="SimSun"/>
          <w:color w:val="000000"/>
          <w:sz w:val="24"/>
          <w:szCs w:val="24"/>
          <w:lang w:val="en-US" w:eastAsia="zh-CN"/>
        </w:rPr>
        <w:t> 2001; </w:t>
      </w:r>
      <w:r w:rsidRPr="00A64FF0">
        <w:rPr>
          <w:rFonts w:ascii="Book Antiqua" w:hAnsi="Book Antiqua" w:cs="SimSun"/>
          <w:b/>
          <w:bCs/>
          <w:color w:val="000000"/>
          <w:sz w:val="24"/>
          <w:szCs w:val="24"/>
          <w:lang w:val="en-US" w:eastAsia="zh-CN"/>
        </w:rPr>
        <w:t>52</w:t>
      </w:r>
      <w:r w:rsidRPr="00A64FF0">
        <w:rPr>
          <w:rFonts w:ascii="Book Antiqua" w:hAnsi="Book Antiqua" w:cs="SimSun"/>
          <w:color w:val="000000"/>
          <w:sz w:val="24"/>
          <w:szCs w:val="24"/>
          <w:lang w:val="en-US" w:eastAsia="zh-CN"/>
        </w:rPr>
        <w:t>: 181-188 [PMID: 11672828 DOI: 10.1016/S0166-3542(01)00183-8]</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lastRenderedPageBreak/>
        <w:t>60 </w:t>
      </w:r>
      <w:r w:rsidRPr="00A64FF0">
        <w:rPr>
          <w:rFonts w:ascii="Book Antiqua" w:hAnsi="Book Antiqua" w:cs="SimSun"/>
          <w:b/>
          <w:bCs/>
          <w:color w:val="000000"/>
          <w:sz w:val="24"/>
          <w:szCs w:val="24"/>
          <w:lang w:val="en-US" w:eastAsia="zh-CN"/>
        </w:rPr>
        <w:t>Chiu HY</w:t>
      </w:r>
      <w:r w:rsidRPr="00A64FF0">
        <w:rPr>
          <w:rFonts w:ascii="Book Antiqua" w:hAnsi="Book Antiqua" w:cs="SimSun"/>
          <w:color w:val="000000"/>
          <w:sz w:val="24"/>
          <w:szCs w:val="24"/>
          <w:lang w:val="en-US" w:eastAsia="zh-CN"/>
        </w:rPr>
        <w:t>, Chen CH, Wu MS, Cheng YP, Tsai TF. The safety profile of ustekinumab in the treatment of patients with psoriasis and concurrent hepatitis B or C. </w:t>
      </w:r>
      <w:r w:rsidRPr="00A64FF0">
        <w:rPr>
          <w:rFonts w:ascii="Book Antiqua" w:hAnsi="Book Antiqua" w:cs="SimSun"/>
          <w:i/>
          <w:iCs/>
          <w:color w:val="000000"/>
          <w:sz w:val="24"/>
          <w:szCs w:val="24"/>
          <w:lang w:val="en-US" w:eastAsia="zh-CN"/>
        </w:rPr>
        <w:t>Br J Dermatol</w:t>
      </w:r>
      <w:r w:rsidRPr="00A64FF0">
        <w:rPr>
          <w:rFonts w:ascii="Book Antiqua" w:hAnsi="Book Antiqua" w:cs="SimSun"/>
          <w:color w:val="000000"/>
          <w:sz w:val="24"/>
          <w:szCs w:val="24"/>
          <w:lang w:val="en-US" w:eastAsia="zh-CN"/>
        </w:rPr>
        <w:t> 2013; </w:t>
      </w:r>
      <w:r w:rsidRPr="00A64FF0">
        <w:rPr>
          <w:rFonts w:ascii="Book Antiqua" w:hAnsi="Book Antiqua" w:cs="SimSun"/>
          <w:b/>
          <w:bCs/>
          <w:color w:val="000000"/>
          <w:sz w:val="24"/>
          <w:szCs w:val="24"/>
          <w:lang w:val="en-US" w:eastAsia="zh-CN"/>
        </w:rPr>
        <w:t>169</w:t>
      </w:r>
      <w:r w:rsidRPr="00A64FF0">
        <w:rPr>
          <w:rFonts w:ascii="Book Antiqua" w:hAnsi="Book Antiqua" w:cs="SimSun"/>
          <w:color w:val="000000"/>
          <w:sz w:val="24"/>
          <w:szCs w:val="24"/>
          <w:lang w:val="en-US" w:eastAsia="zh-CN"/>
        </w:rPr>
        <w:t>: 1295-1303 [PMID: 23746170 DOI: 10.1111/bjd.12461]</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61 </w:t>
      </w:r>
      <w:r w:rsidRPr="00A64FF0">
        <w:rPr>
          <w:rFonts w:ascii="Book Antiqua" w:hAnsi="Book Antiqua" w:cs="SimSun"/>
          <w:b/>
          <w:bCs/>
          <w:color w:val="000000"/>
          <w:sz w:val="24"/>
          <w:szCs w:val="24"/>
          <w:lang w:val="en-US" w:eastAsia="zh-CN"/>
        </w:rPr>
        <w:t>Hayashi M</w:t>
      </w:r>
      <w:r w:rsidRPr="00A64FF0">
        <w:rPr>
          <w:rFonts w:ascii="Book Antiqua" w:hAnsi="Book Antiqua" w:cs="SimSun"/>
          <w:color w:val="000000"/>
          <w:sz w:val="24"/>
          <w:szCs w:val="24"/>
          <w:lang w:val="en-US" w:eastAsia="zh-CN"/>
        </w:rPr>
        <w:t>, Umezawa Y, Fukuchi O, Ito T, Saeki H, Nakagawa H. Efficacy and safety of ustekinumab treatment in elderly patients with psoriasis. </w:t>
      </w:r>
      <w:r w:rsidRPr="00A64FF0">
        <w:rPr>
          <w:rFonts w:ascii="Book Antiqua" w:hAnsi="Book Antiqua" w:cs="SimSun"/>
          <w:i/>
          <w:iCs/>
          <w:color w:val="000000"/>
          <w:sz w:val="24"/>
          <w:szCs w:val="24"/>
          <w:lang w:val="en-US" w:eastAsia="zh-CN"/>
        </w:rPr>
        <w:t>J Dermatol</w:t>
      </w:r>
      <w:r w:rsidRPr="00A64FF0">
        <w:rPr>
          <w:rFonts w:ascii="Book Antiqua" w:hAnsi="Book Antiqua" w:cs="SimSun"/>
          <w:color w:val="000000"/>
          <w:sz w:val="24"/>
          <w:szCs w:val="24"/>
          <w:lang w:val="en-US" w:eastAsia="zh-CN"/>
        </w:rPr>
        <w:t> 2014; </w:t>
      </w:r>
      <w:r w:rsidRPr="00A64FF0">
        <w:rPr>
          <w:rFonts w:ascii="Book Antiqua" w:hAnsi="Book Antiqua" w:cs="SimSun"/>
          <w:b/>
          <w:bCs/>
          <w:color w:val="000000"/>
          <w:sz w:val="24"/>
          <w:szCs w:val="24"/>
          <w:lang w:val="en-US" w:eastAsia="zh-CN"/>
        </w:rPr>
        <w:t>41</w:t>
      </w:r>
      <w:r w:rsidRPr="00A64FF0">
        <w:rPr>
          <w:rFonts w:ascii="Book Antiqua" w:hAnsi="Book Antiqua" w:cs="SimSun"/>
          <w:color w:val="000000"/>
          <w:sz w:val="24"/>
          <w:szCs w:val="24"/>
          <w:lang w:val="en-US" w:eastAsia="zh-CN"/>
        </w:rPr>
        <w:t>: 974-980 [PMID: 25346301 DOI: 10.1111/1346-8138.12653]</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62 </w:t>
      </w:r>
      <w:r w:rsidRPr="00A64FF0">
        <w:rPr>
          <w:rFonts w:ascii="Book Antiqua" w:hAnsi="Book Antiqua" w:cs="SimSun"/>
          <w:b/>
          <w:bCs/>
          <w:color w:val="000000"/>
          <w:sz w:val="24"/>
          <w:szCs w:val="24"/>
          <w:lang w:val="en-US" w:eastAsia="zh-CN"/>
        </w:rPr>
        <w:t>Koskinas J</w:t>
      </w:r>
      <w:r w:rsidRPr="00A64FF0">
        <w:rPr>
          <w:rFonts w:ascii="Book Antiqua" w:hAnsi="Book Antiqua" w:cs="SimSun"/>
          <w:color w:val="000000"/>
          <w:sz w:val="24"/>
          <w:szCs w:val="24"/>
          <w:lang w:val="en-US" w:eastAsia="zh-CN"/>
        </w:rPr>
        <w:t>, Tampaki M, Doumba PP, Rallis E. Hepatitis B virus reactivation during therapy with ustekinumab for psoriasis in a hepatitis B surface-antigen-negative anti-HBs-positive patient. </w:t>
      </w:r>
      <w:r w:rsidRPr="00A64FF0">
        <w:rPr>
          <w:rFonts w:ascii="Book Antiqua" w:hAnsi="Book Antiqua" w:cs="SimSun"/>
          <w:i/>
          <w:iCs/>
          <w:color w:val="000000"/>
          <w:sz w:val="24"/>
          <w:szCs w:val="24"/>
          <w:lang w:val="en-US" w:eastAsia="zh-CN"/>
        </w:rPr>
        <w:t>Br J Dermatol</w:t>
      </w:r>
      <w:r w:rsidRPr="00A64FF0">
        <w:rPr>
          <w:rFonts w:ascii="Book Antiqua" w:hAnsi="Book Antiqua" w:cs="SimSun"/>
          <w:color w:val="000000"/>
          <w:sz w:val="24"/>
          <w:szCs w:val="24"/>
          <w:lang w:val="en-US" w:eastAsia="zh-CN"/>
        </w:rPr>
        <w:t> 2013; </w:t>
      </w:r>
      <w:r w:rsidRPr="00A64FF0">
        <w:rPr>
          <w:rFonts w:ascii="Book Antiqua" w:hAnsi="Book Antiqua" w:cs="SimSun"/>
          <w:b/>
          <w:bCs/>
          <w:color w:val="000000"/>
          <w:sz w:val="24"/>
          <w:szCs w:val="24"/>
          <w:lang w:val="en-US" w:eastAsia="zh-CN"/>
        </w:rPr>
        <w:t>168</w:t>
      </w:r>
      <w:r w:rsidRPr="00A64FF0">
        <w:rPr>
          <w:rFonts w:ascii="Book Antiqua" w:hAnsi="Book Antiqua" w:cs="SimSun"/>
          <w:color w:val="000000"/>
          <w:sz w:val="24"/>
          <w:szCs w:val="24"/>
          <w:lang w:val="en-US" w:eastAsia="zh-CN"/>
        </w:rPr>
        <w:t>: 679-680 [PMID: 23121260 DOI: 10.1111/bjd.12120]</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63 </w:t>
      </w:r>
      <w:r w:rsidRPr="00A64FF0">
        <w:rPr>
          <w:rFonts w:ascii="Book Antiqua" w:hAnsi="Book Antiqua" w:cs="SimSun"/>
          <w:b/>
          <w:bCs/>
          <w:color w:val="000000"/>
          <w:sz w:val="24"/>
          <w:szCs w:val="24"/>
          <w:lang w:val="en-US" w:eastAsia="zh-CN"/>
        </w:rPr>
        <w:t>Steglich RB</w:t>
      </w:r>
      <w:r w:rsidRPr="00A64FF0">
        <w:rPr>
          <w:rFonts w:ascii="Book Antiqua" w:hAnsi="Book Antiqua" w:cs="SimSun"/>
          <w:color w:val="000000"/>
          <w:sz w:val="24"/>
          <w:szCs w:val="24"/>
          <w:lang w:val="en-US" w:eastAsia="zh-CN"/>
        </w:rPr>
        <w:t>, Meneghello LP, Carvalho AV, Cheinquer H, Muller FM, Reginatto FP. The use of ustekinumab in a patient with severe psoriasis and positive HBV serology. </w:t>
      </w:r>
      <w:r w:rsidRPr="00A64FF0">
        <w:rPr>
          <w:rFonts w:ascii="Book Antiqua" w:hAnsi="Book Antiqua" w:cs="SimSun"/>
          <w:i/>
          <w:iCs/>
          <w:color w:val="000000"/>
          <w:sz w:val="24"/>
          <w:szCs w:val="24"/>
          <w:lang w:val="en-US" w:eastAsia="zh-CN"/>
        </w:rPr>
        <w:t>An Bras Dermatol</w:t>
      </w:r>
      <w:r w:rsidRPr="00A64FF0">
        <w:rPr>
          <w:rFonts w:ascii="Book Antiqua" w:hAnsi="Book Antiqua" w:cs="SimSun"/>
          <w:color w:val="000000"/>
          <w:sz w:val="24"/>
          <w:szCs w:val="24"/>
          <w:lang w:val="en-US" w:eastAsia="zh-CN"/>
        </w:rPr>
        <w:t> 2014; </w:t>
      </w:r>
      <w:r w:rsidRPr="00A64FF0">
        <w:rPr>
          <w:rFonts w:ascii="Book Antiqua" w:hAnsi="Book Antiqua" w:cs="SimSun"/>
          <w:b/>
          <w:bCs/>
          <w:color w:val="000000"/>
          <w:sz w:val="24"/>
          <w:szCs w:val="24"/>
          <w:lang w:val="en-US" w:eastAsia="zh-CN"/>
        </w:rPr>
        <w:t>89</w:t>
      </w:r>
      <w:r w:rsidRPr="00A64FF0">
        <w:rPr>
          <w:rFonts w:ascii="Book Antiqua" w:hAnsi="Book Antiqua" w:cs="SimSun"/>
          <w:color w:val="000000"/>
          <w:sz w:val="24"/>
          <w:szCs w:val="24"/>
          <w:lang w:val="en-US" w:eastAsia="zh-CN"/>
        </w:rPr>
        <w:t>: 652-654 [PMID: 25054756 DOI: 10.1590/abd1806-4841.2014301]</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64 </w:t>
      </w:r>
      <w:r w:rsidRPr="00A64FF0">
        <w:rPr>
          <w:rFonts w:ascii="Book Antiqua" w:hAnsi="Book Antiqua" w:cs="SimSun"/>
          <w:b/>
          <w:bCs/>
          <w:color w:val="000000"/>
          <w:sz w:val="24"/>
          <w:szCs w:val="24"/>
          <w:lang w:val="en-US" w:eastAsia="zh-CN"/>
        </w:rPr>
        <w:t>Reddy KR</w:t>
      </w:r>
      <w:r w:rsidRPr="00A64FF0">
        <w:rPr>
          <w:rFonts w:ascii="Book Antiqua" w:hAnsi="Book Antiqua" w:cs="SimSun"/>
          <w:color w:val="000000"/>
          <w:sz w:val="24"/>
          <w:szCs w:val="24"/>
          <w:lang w:val="en-US" w:eastAsia="zh-CN"/>
        </w:rPr>
        <w:t>, Beavers KL, Hammond SP, Lim JK, Falck-Ytter YT. American Gastroenterological Association Institute guideline on the prevention and treatment of hepatitis B virus reactivation during immunosuppressive drug therapy. </w:t>
      </w:r>
      <w:r w:rsidRPr="00A64FF0">
        <w:rPr>
          <w:rFonts w:ascii="Book Antiqua" w:hAnsi="Book Antiqua" w:cs="SimSun"/>
          <w:i/>
          <w:iCs/>
          <w:color w:val="000000"/>
          <w:sz w:val="24"/>
          <w:szCs w:val="24"/>
          <w:lang w:val="en-US" w:eastAsia="zh-CN"/>
        </w:rPr>
        <w:t>Gastroenterology</w:t>
      </w:r>
      <w:r w:rsidRPr="00A64FF0">
        <w:rPr>
          <w:rFonts w:ascii="Book Antiqua" w:hAnsi="Book Antiqua" w:cs="SimSun"/>
          <w:color w:val="000000"/>
          <w:sz w:val="24"/>
          <w:szCs w:val="24"/>
          <w:lang w:val="en-US" w:eastAsia="zh-CN"/>
        </w:rPr>
        <w:t> 2015; </w:t>
      </w:r>
      <w:r w:rsidRPr="00A64FF0">
        <w:rPr>
          <w:rFonts w:ascii="Book Antiqua" w:hAnsi="Book Antiqua" w:cs="SimSun"/>
          <w:b/>
          <w:bCs/>
          <w:color w:val="000000"/>
          <w:sz w:val="24"/>
          <w:szCs w:val="24"/>
          <w:lang w:val="en-US" w:eastAsia="zh-CN"/>
        </w:rPr>
        <w:t>148</w:t>
      </w:r>
      <w:r w:rsidRPr="00A64FF0">
        <w:rPr>
          <w:rFonts w:ascii="Book Antiqua" w:hAnsi="Book Antiqua" w:cs="SimSun"/>
          <w:color w:val="000000"/>
          <w:sz w:val="24"/>
          <w:szCs w:val="24"/>
          <w:lang w:val="en-US" w:eastAsia="zh-CN"/>
        </w:rPr>
        <w:t>: 215-29; quiz 215-29; [PMID: 25447850]</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65 </w:t>
      </w:r>
      <w:r w:rsidRPr="00A64FF0">
        <w:rPr>
          <w:rFonts w:ascii="Book Antiqua" w:hAnsi="Book Antiqua" w:cs="SimSun"/>
          <w:b/>
          <w:bCs/>
          <w:color w:val="000000"/>
          <w:sz w:val="24"/>
          <w:szCs w:val="24"/>
          <w:lang w:val="en-US" w:eastAsia="zh-CN"/>
        </w:rPr>
        <w:t>Lee J</w:t>
      </w:r>
      <w:r w:rsidRPr="00A64FF0">
        <w:rPr>
          <w:rFonts w:ascii="Book Antiqua" w:hAnsi="Book Antiqua" w:cs="SimSun"/>
          <w:color w:val="000000"/>
          <w:sz w:val="24"/>
          <w:szCs w:val="24"/>
          <w:lang w:val="en-US" w:eastAsia="zh-CN"/>
        </w:rPr>
        <w:t>, Conniff J, Kraus C, Schrager S. A Brief Clinical Update on Hepatitis C--The Essentials. </w:t>
      </w:r>
      <w:r w:rsidRPr="00A64FF0">
        <w:rPr>
          <w:rFonts w:ascii="Book Antiqua" w:hAnsi="Book Antiqua" w:cs="SimSun"/>
          <w:i/>
          <w:iCs/>
          <w:color w:val="000000"/>
          <w:sz w:val="24"/>
          <w:szCs w:val="24"/>
          <w:lang w:val="en-US" w:eastAsia="zh-CN"/>
        </w:rPr>
        <w:t>WMJ</w:t>
      </w:r>
      <w:r w:rsidRPr="00A64FF0">
        <w:rPr>
          <w:rFonts w:ascii="Book Antiqua" w:hAnsi="Book Antiqua" w:cs="SimSun"/>
          <w:color w:val="000000"/>
          <w:sz w:val="24"/>
          <w:szCs w:val="24"/>
          <w:lang w:val="en-US" w:eastAsia="zh-CN"/>
        </w:rPr>
        <w:t> 2015; </w:t>
      </w:r>
      <w:r w:rsidRPr="00A64FF0">
        <w:rPr>
          <w:rFonts w:ascii="Book Antiqua" w:hAnsi="Book Antiqua" w:cs="SimSun"/>
          <w:b/>
          <w:bCs/>
          <w:color w:val="000000"/>
          <w:sz w:val="24"/>
          <w:szCs w:val="24"/>
          <w:lang w:val="en-US" w:eastAsia="zh-CN"/>
        </w:rPr>
        <w:t>114</w:t>
      </w:r>
      <w:r w:rsidRPr="00A64FF0">
        <w:rPr>
          <w:rFonts w:ascii="Book Antiqua" w:hAnsi="Book Antiqua" w:cs="SimSun"/>
          <w:color w:val="000000"/>
          <w:sz w:val="24"/>
          <w:szCs w:val="24"/>
          <w:lang w:val="en-US" w:eastAsia="zh-CN"/>
        </w:rPr>
        <w:t>: 263-29; quiz 270 [PMID: 26854315]</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66 . EASL Recommendations on Treatment of Hepatitis C 2015. </w:t>
      </w:r>
      <w:r w:rsidRPr="00A64FF0">
        <w:rPr>
          <w:rFonts w:ascii="Book Antiqua" w:hAnsi="Book Antiqua" w:cs="SimSun"/>
          <w:i/>
          <w:iCs/>
          <w:color w:val="000000"/>
          <w:sz w:val="24"/>
          <w:szCs w:val="24"/>
          <w:lang w:val="en-US" w:eastAsia="zh-CN"/>
        </w:rPr>
        <w:t>J Hepatol</w:t>
      </w:r>
      <w:r w:rsidRPr="00A64FF0">
        <w:rPr>
          <w:rFonts w:ascii="Book Antiqua" w:hAnsi="Book Antiqua" w:cs="SimSun"/>
          <w:color w:val="000000"/>
          <w:sz w:val="24"/>
          <w:szCs w:val="24"/>
          <w:lang w:val="en-US" w:eastAsia="zh-CN"/>
        </w:rPr>
        <w:t> 2015; </w:t>
      </w:r>
      <w:r w:rsidRPr="00A64FF0">
        <w:rPr>
          <w:rFonts w:ascii="Book Antiqua" w:hAnsi="Book Antiqua" w:cs="SimSun"/>
          <w:b/>
          <w:bCs/>
          <w:color w:val="000000"/>
          <w:sz w:val="24"/>
          <w:szCs w:val="24"/>
          <w:lang w:val="en-US" w:eastAsia="zh-CN"/>
        </w:rPr>
        <w:t>63</w:t>
      </w:r>
      <w:r w:rsidRPr="00A64FF0">
        <w:rPr>
          <w:rFonts w:ascii="Book Antiqua" w:hAnsi="Book Antiqua" w:cs="SimSun"/>
          <w:color w:val="000000"/>
          <w:sz w:val="24"/>
          <w:szCs w:val="24"/>
          <w:lang w:val="en-US" w:eastAsia="zh-CN"/>
        </w:rPr>
        <w:t>: 199-236 [PMID: 25911336 DOI: 10.1016/j.jhep.2015.03.025]</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67 </w:t>
      </w:r>
      <w:r w:rsidRPr="00A64FF0">
        <w:rPr>
          <w:rFonts w:ascii="Book Antiqua" w:hAnsi="Book Antiqua" w:cs="SimSun"/>
          <w:b/>
          <w:bCs/>
          <w:color w:val="000000"/>
          <w:sz w:val="24"/>
          <w:szCs w:val="24"/>
          <w:lang w:val="en-US" w:eastAsia="zh-CN"/>
        </w:rPr>
        <w:t>Frankel AJ</w:t>
      </w:r>
      <w:r w:rsidRPr="00A64FF0">
        <w:rPr>
          <w:rFonts w:ascii="Book Antiqua" w:hAnsi="Book Antiqua" w:cs="SimSun"/>
          <w:color w:val="000000"/>
          <w:sz w:val="24"/>
          <w:szCs w:val="24"/>
          <w:lang w:val="en-US" w:eastAsia="zh-CN"/>
        </w:rPr>
        <w:t>, Van Voorhees AS, Hsu S, Korman NJ, Lebwohl MG, Bebo BF, Gottlieb AB. Treatment of psoriasis in patients with hepatitis C: from the Medical Board of the National Psoriasis Foundation. </w:t>
      </w:r>
      <w:r w:rsidRPr="00A64FF0">
        <w:rPr>
          <w:rFonts w:ascii="Book Antiqua" w:hAnsi="Book Antiqua" w:cs="SimSun"/>
          <w:i/>
          <w:iCs/>
          <w:color w:val="000000"/>
          <w:sz w:val="24"/>
          <w:szCs w:val="24"/>
          <w:lang w:val="en-US" w:eastAsia="zh-CN"/>
        </w:rPr>
        <w:t>J Am Acad Dermatol</w:t>
      </w:r>
      <w:r w:rsidRPr="00A64FF0">
        <w:rPr>
          <w:rFonts w:ascii="Book Antiqua" w:hAnsi="Book Antiqua" w:cs="SimSun"/>
          <w:color w:val="000000"/>
          <w:sz w:val="24"/>
          <w:szCs w:val="24"/>
          <w:lang w:val="en-US" w:eastAsia="zh-CN"/>
        </w:rPr>
        <w:t> 2009; </w:t>
      </w:r>
      <w:r w:rsidRPr="00A64FF0">
        <w:rPr>
          <w:rFonts w:ascii="Book Antiqua" w:hAnsi="Book Antiqua" w:cs="SimSun"/>
          <w:b/>
          <w:bCs/>
          <w:color w:val="000000"/>
          <w:sz w:val="24"/>
          <w:szCs w:val="24"/>
          <w:lang w:val="en-US" w:eastAsia="zh-CN"/>
        </w:rPr>
        <w:t>61</w:t>
      </w:r>
      <w:r w:rsidRPr="00A64FF0">
        <w:rPr>
          <w:rFonts w:ascii="Book Antiqua" w:hAnsi="Book Antiqua" w:cs="SimSun"/>
          <w:color w:val="000000"/>
          <w:sz w:val="24"/>
          <w:szCs w:val="24"/>
          <w:lang w:val="en-US" w:eastAsia="zh-CN"/>
        </w:rPr>
        <w:t>: 1044-1055 [PMID: 19811848 DOI: 10.1016/j.jaad.2009.03.044]</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68 </w:t>
      </w:r>
      <w:r w:rsidRPr="00A64FF0">
        <w:rPr>
          <w:rFonts w:ascii="Book Antiqua" w:hAnsi="Book Antiqua" w:cs="SimSun"/>
          <w:b/>
          <w:bCs/>
          <w:color w:val="000000"/>
          <w:sz w:val="24"/>
          <w:szCs w:val="24"/>
          <w:lang w:val="en-US" w:eastAsia="zh-CN"/>
        </w:rPr>
        <w:t>Di Lernia V</w:t>
      </w:r>
      <w:r w:rsidRPr="00A64FF0">
        <w:rPr>
          <w:rFonts w:ascii="Book Antiqua" w:hAnsi="Book Antiqua" w:cs="SimSun"/>
          <w:color w:val="000000"/>
          <w:sz w:val="24"/>
          <w:szCs w:val="24"/>
          <w:lang w:val="en-US" w:eastAsia="zh-CN"/>
        </w:rPr>
        <w:t>, Albertini G. Treatment of psoriasis with cyclosporine in patients with hepatitis C infection: risk or opportunity? </w:t>
      </w:r>
      <w:r w:rsidRPr="00A64FF0">
        <w:rPr>
          <w:rFonts w:ascii="Book Antiqua" w:hAnsi="Book Antiqua" w:cs="SimSun"/>
          <w:i/>
          <w:iCs/>
          <w:color w:val="000000"/>
          <w:sz w:val="24"/>
          <w:szCs w:val="24"/>
          <w:lang w:val="en-US" w:eastAsia="zh-CN"/>
        </w:rPr>
        <w:t>J Am Acad Dermatol</w:t>
      </w:r>
      <w:r w:rsidRPr="00A64FF0">
        <w:rPr>
          <w:rFonts w:ascii="Book Antiqua" w:hAnsi="Book Antiqua" w:cs="SimSun"/>
          <w:color w:val="000000"/>
          <w:sz w:val="24"/>
          <w:szCs w:val="24"/>
          <w:lang w:val="en-US" w:eastAsia="zh-CN"/>
        </w:rPr>
        <w:t> 2010; </w:t>
      </w:r>
      <w:r w:rsidRPr="00A64FF0">
        <w:rPr>
          <w:rFonts w:ascii="Book Antiqua" w:hAnsi="Book Antiqua" w:cs="SimSun"/>
          <w:b/>
          <w:bCs/>
          <w:color w:val="000000"/>
          <w:sz w:val="24"/>
          <w:szCs w:val="24"/>
          <w:lang w:val="en-US" w:eastAsia="zh-CN"/>
        </w:rPr>
        <w:t>63</w:t>
      </w:r>
      <w:r w:rsidRPr="00A64FF0">
        <w:rPr>
          <w:rFonts w:ascii="Book Antiqua" w:hAnsi="Book Antiqua" w:cs="SimSun"/>
          <w:color w:val="000000"/>
          <w:sz w:val="24"/>
          <w:szCs w:val="24"/>
          <w:lang w:val="en-US" w:eastAsia="zh-CN"/>
        </w:rPr>
        <w:t>: 342-343 [PMID: 20633803 DOI: 10.1016/j.jaad.2009.11.593]</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69 </w:t>
      </w:r>
      <w:r w:rsidRPr="00A64FF0">
        <w:rPr>
          <w:rFonts w:ascii="Book Antiqua" w:hAnsi="Book Antiqua" w:cs="SimSun"/>
          <w:b/>
          <w:bCs/>
          <w:color w:val="000000"/>
          <w:sz w:val="24"/>
          <w:szCs w:val="24"/>
          <w:lang w:val="en-US" w:eastAsia="zh-CN"/>
        </w:rPr>
        <w:t>Miura H</w:t>
      </w:r>
      <w:r w:rsidRPr="00A64FF0">
        <w:rPr>
          <w:rFonts w:ascii="Book Antiqua" w:hAnsi="Book Antiqua" w:cs="SimSun"/>
          <w:color w:val="000000"/>
          <w:sz w:val="24"/>
          <w:szCs w:val="24"/>
          <w:lang w:val="en-US" w:eastAsia="zh-CN"/>
        </w:rPr>
        <w:t>, Itoh Y, Matsumoto Y, Tani M, Tanabe N, Isonokami M, Kurachi K, Kozuka T. Long-term administration of cyclosporin A to HCV-antibody-positive patients with dermatologic diseases. </w:t>
      </w:r>
      <w:r w:rsidRPr="00A64FF0">
        <w:rPr>
          <w:rFonts w:ascii="Book Antiqua" w:hAnsi="Book Antiqua" w:cs="SimSun"/>
          <w:i/>
          <w:iCs/>
          <w:color w:val="000000"/>
          <w:sz w:val="24"/>
          <w:szCs w:val="24"/>
          <w:lang w:val="en-US" w:eastAsia="zh-CN"/>
        </w:rPr>
        <w:t>Int J Dermatol</w:t>
      </w:r>
      <w:r w:rsidRPr="00A64FF0">
        <w:rPr>
          <w:rFonts w:ascii="Book Antiqua" w:hAnsi="Book Antiqua" w:cs="SimSun"/>
          <w:color w:val="000000"/>
          <w:sz w:val="24"/>
          <w:szCs w:val="24"/>
          <w:lang w:val="en-US" w:eastAsia="zh-CN"/>
        </w:rPr>
        <w:t> 1999; </w:t>
      </w:r>
      <w:r w:rsidRPr="00A64FF0">
        <w:rPr>
          <w:rFonts w:ascii="Book Antiqua" w:hAnsi="Book Antiqua" w:cs="SimSun"/>
          <w:b/>
          <w:bCs/>
          <w:color w:val="000000"/>
          <w:sz w:val="24"/>
          <w:szCs w:val="24"/>
          <w:lang w:val="en-US" w:eastAsia="zh-CN"/>
        </w:rPr>
        <w:t>38</w:t>
      </w:r>
      <w:r w:rsidRPr="00A64FF0">
        <w:rPr>
          <w:rFonts w:ascii="Book Antiqua" w:hAnsi="Book Antiqua" w:cs="SimSun"/>
          <w:color w:val="000000"/>
          <w:sz w:val="24"/>
          <w:szCs w:val="24"/>
          <w:lang w:val="en-US" w:eastAsia="zh-CN"/>
        </w:rPr>
        <w:t>: 310-314 [PMID: 10321952 DOI: 10.1046/j.1365-4362.1999.00690.x]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lastRenderedPageBreak/>
        <w:t>70 </w:t>
      </w:r>
      <w:r w:rsidRPr="00A64FF0">
        <w:rPr>
          <w:rFonts w:ascii="Book Antiqua" w:hAnsi="Book Antiqua" w:cs="SimSun"/>
          <w:b/>
          <w:bCs/>
          <w:color w:val="000000"/>
          <w:sz w:val="24"/>
          <w:szCs w:val="24"/>
          <w:lang w:val="en-US" w:eastAsia="zh-CN"/>
        </w:rPr>
        <w:t>Galeazzi M</w:t>
      </w:r>
      <w:r w:rsidRPr="00A64FF0">
        <w:rPr>
          <w:rFonts w:ascii="Book Antiqua" w:hAnsi="Book Antiqua" w:cs="SimSun"/>
          <w:color w:val="000000"/>
          <w:sz w:val="24"/>
          <w:szCs w:val="24"/>
          <w:lang w:val="en-US" w:eastAsia="zh-CN"/>
        </w:rPr>
        <w:t>, Bellisai F, Giannitti C, Manganelli S, Morozzi G, Sebastiani GD. Safety of cyclosporin A in HCV-infected patients: experience with cyclosporin A in patients affected by rheumatological disorders and concomitant HCV infection. </w:t>
      </w:r>
      <w:r w:rsidRPr="00A64FF0">
        <w:rPr>
          <w:rFonts w:ascii="Book Antiqua" w:hAnsi="Book Antiqua" w:cs="SimSun"/>
          <w:i/>
          <w:iCs/>
          <w:color w:val="000000"/>
          <w:sz w:val="24"/>
          <w:szCs w:val="24"/>
          <w:lang w:val="en-US" w:eastAsia="zh-CN"/>
        </w:rPr>
        <w:t>Ann N Y Acad Sci</w:t>
      </w:r>
      <w:r w:rsidRPr="00A64FF0">
        <w:rPr>
          <w:rFonts w:ascii="Book Antiqua" w:hAnsi="Book Antiqua" w:cs="SimSun"/>
          <w:color w:val="000000"/>
          <w:sz w:val="24"/>
          <w:szCs w:val="24"/>
          <w:lang w:val="en-US" w:eastAsia="zh-CN"/>
        </w:rPr>
        <w:t> 2007; </w:t>
      </w:r>
      <w:r w:rsidRPr="00A64FF0">
        <w:rPr>
          <w:rFonts w:ascii="Book Antiqua" w:hAnsi="Book Antiqua" w:cs="SimSun"/>
          <w:b/>
          <w:bCs/>
          <w:color w:val="000000"/>
          <w:sz w:val="24"/>
          <w:szCs w:val="24"/>
          <w:lang w:val="en-US" w:eastAsia="zh-CN"/>
        </w:rPr>
        <w:t>1110</w:t>
      </w:r>
      <w:r w:rsidRPr="00A64FF0">
        <w:rPr>
          <w:rFonts w:ascii="Book Antiqua" w:hAnsi="Book Antiqua" w:cs="SimSun"/>
          <w:color w:val="000000"/>
          <w:sz w:val="24"/>
          <w:szCs w:val="24"/>
          <w:lang w:val="en-US" w:eastAsia="zh-CN"/>
        </w:rPr>
        <w:t>: 544-549 [PMID: 17911470 DOI: 10.1196/annals.1423.058]</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71 </w:t>
      </w:r>
      <w:r w:rsidRPr="00A64FF0">
        <w:rPr>
          <w:rFonts w:ascii="Book Antiqua" w:hAnsi="Book Antiqua" w:cs="SimSun"/>
          <w:b/>
          <w:bCs/>
          <w:color w:val="000000"/>
          <w:sz w:val="24"/>
          <w:szCs w:val="24"/>
          <w:lang w:val="en-US" w:eastAsia="zh-CN"/>
        </w:rPr>
        <w:t>Manna R</w:t>
      </w:r>
      <w:r w:rsidRPr="00A64FF0">
        <w:rPr>
          <w:rFonts w:ascii="Book Antiqua" w:hAnsi="Book Antiqua" w:cs="SimSun"/>
          <w:color w:val="000000"/>
          <w:sz w:val="24"/>
          <w:szCs w:val="24"/>
          <w:lang w:val="en-US" w:eastAsia="zh-CN"/>
        </w:rPr>
        <w:t>, Verrecchia E, Fonnesu C, Giovinale M, De Socio G, Curigliano V, Cerquaglia C, Soriano A, Granata M, Migliore A, Massafra U, Gasbarrini G. Cyclosporine A: good response for patients affected by autoimmune disorders and HCV infection? </w:t>
      </w:r>
      <w:r w:rsidRPr="00A64FF0">
        <w:rPr>
          <w:rFonts w:ascii="Book Antiqua" w:hAnsi="Book Antiqua" w:cs="SimSun"/>
          <w:i/>
          <w:iCs/>
          <w:color w:val="000000"/>
          <w:sz w:val="24"/>
          <w:szCs w:val="24"/>
          <w:lang w:val="en-US" w:eastAsia="zh-CN"/>
        </w:rPr>
        <w:t>Eur Rev Med Pharmacol Sci</w:t>
      </w:r>
      <w:r w:rsidRPr="00A64FF0">
        <w:rPr>
          <w:rFonts w:ascii="Book Antiqua" w:hAnsi="Book Antiqua" w:cs="SimSun"/>
          <w:color w:val="000000"/>
          <w:sz w:val="24"/>
          <w:szCs w:val="24"/>
          <w:lang w:val="en-US" w:eastAsia="zh-CN"/>
        </w:rPr>
        <w:t> 2009; </w:t>
      </w:r>
      <w:r w:rsidRPr="00A64FF0">
        <w:rPr>
          <w:rFonts w:ascii="Book Antiqua" w:hAnsi="Book Antiqua" w:cs="SimSun"/>
          <w:b/>
          <w:bCs/>
          <w:color w:val="000000"/>
          <w:sz w:val="24"/>
          <w:szCs w:val="24"/>
          <w:lang w:val="en-US" w:eastAsia="zh-CN"/>
        </w:rPr>
        <w:t xml:space="preserve">13 </w:t>
      </w:r>
      <w:r w:rsidRPr="00A64FF0">
        <w:rPr>
          <w:rFonts w:ascii="Book Antiqua" w:hAnsi="Book Antiqua" w:cs="SimSun"/>
          <w:bCs/>
          <w:color w:val="000000"/>
          <w:sz w:val="24"/>
          <w:szCs w:val="24"/>
          <w:lang w:val="en-US" w:eastAsia="zh-CN"/>
        </w:rPr>
        <w:t>Suppl 1</w:t>
      </w:r>
      <w:r w:rsidRPr="00A64FF0">
        <w:rPr>
          <w:rFonts w:ascii="Book Antiqua" w:hAnsi="Book Antiqua" w:cs="SimSun"/>
          <w:color w:val="000000"/>
          <w:sz w:val="24"/>
          <w:szCs w:val="24"/>
          <w:lang w:val="en-US" w:eastAsia="zh-CN"/>
        </w:rPr>
        <w:t>: 63-69 [PMID: 19530514]</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72 </w:t>
      </w:r>
      <w:r w:rsidRPr="00A64FF0">
        <w:rPr>
          <w:rFonts w:ascii="Book Antiqua" w:hAnsi="Book Antiqua" w:cs="SimSun"/>
          <w:b/>
          <w:bCs/>
          <w:color w:val="000000"/>
          <w:sz w:val="24"/>
          <w:szCs w:val="24"/>
          <w:lang w:val="en-US" w:eastAsia="zh-CN"/>
        </w:rPr>
        <w:t>Giovanna Brunasso AM</w:t>
      </w:r>
      <w:r w:rsidRPr="00A64FF0">
        <w:rPr>
          <w:rFonts w:ascii="Book Antiqua" w:hAnsi="Book Antiqua" w:cs="SimSun"/>
          <w:color w:val="000000"/>
          <w:sz w:val="24"/>
          <w:szCs w:val="24"/>
          <w:lang w:val="en-US" w:eastAsia="zh-CN"/>
        </w:rPr>
        <w:t>, Michetti P, Fancelli L, Massone C. Cyclosporine as monotherapy for psoriasis in the setting of chronic HCV infection: a forgotten therapeutical option. </w:t>
      </w:r>
      <w:r w:rsidRPr="00A64FF0">
        <w:rPr>
          <w:rFonts w:ascii="Book Antiqua" w:hAnsi="Book Antiqua" w:cs="SimSun"/>
          <w:i/>
          <w:iCs/>
          <w:color w:val="000000"/>
          <w:sz w:val="24"/>
          <w:szCs w:val="24"/>
          <w:lang w:val="en-US" w:eastAsia="zh-CN"/>
        </w:rPr>
        <w:t>Hepat Mon</w:t>
      </w:r>
      <w:r w:rsidRPr="00A64FF0">
        <w:rPr>
          <w:rFonts w:ascii="Book Antiqua" w:hAnsi="Book Antiqua" w:cs="SimSun"/>
          <w:color w:val="000000"/>
          <w:sz w:val="24"/>
          <w:szCs w:val="24"/>
          <w:lang w:val="en-US" w:eastAsia="zh-CN"/>
        </w:rPr>
        <w:t> 2012; </w:t>
      </w:r>
      <w:r w:rsidRPr="00A64FF0">
        <w:rPr>
          <w:rFonts w:ascii="Book Antiqua" w:hAnsi="Book Antiqua" w:cs="SimSun"/>
          <w:b/>
          <w:bCs/>
          <w:color w:val="000000"/>
          <w:sz w:val="24"/>
          <w:szCs w:val="24"/>
          <w:lang w:val="en-US" w:eastAsia="zh-CN"/>
        </w:rPr>
        <w:t>12</w:t>
      </w:r>
      <w:r w:rsidRPr="00A64FF0">
        <w:rPr>
          <w:rFonts w:ascii="Book Antiqua" w:hAnsi="Book Antiqua" w:cs="SimSun"/>
          <w:color w:val="000000"/>
          <w:sz w:val="24"/>
          <w:szCs w:val="24"/>
          <w:lang w:val="en-US" w:eastAsia="zh-CN"/>
        </w:rPr>
        <w:t>: 349-352 [PMID: 22783348 DOI: 10.5812/hepatmon.6057]</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73 </w:t>
      </w:r>
      <w:r w:rsidRPr="00A64FF0">
        <w:rPr>
          <w:rFonts w:ascii="Book Antiqua" w:hAnsi="Book Antiqua" w:cs="SimSun"/>
          <w:b/>
          <w:bCs/>
          <w:color w:val="000000"/>
          <w:sz w:val="24"/>
          <w:szCs w:val="24"/>
          <w:lang w:val="en-US" w:eastAsia="zh-CN"/>
        </w:rPr>
        <w:t>Watashi K</w:t>
      </w:r>
      <w:r w:rsidRPr="00A64FF0">
        <w:rPr>
          <w:rFonts w:ascii="Book Antiqua" w:hAnsi="Book Antiqua" w:cs="SimSun"/>
          <w:color w:val="000000"/>
          <w:sz w:val="24"/>
          <w:szCs w:val="24"/>
          <w:lang w:val="en-US" w:eastAsia="zh-CN"/>
        </w:rPr>
        <w:t>, Hijikata M, Hosaka M, Yamaji M, Shimotohno K. Cyclosporin A suppresses replication of hepatitis C virus genome in cultured hepatocytes. </w:t>
      </w:r>
      <w:r w:rsidRPr="00A64FF0">
        <w:rPr>
          <w:rFonts w:ascii="Book Antiqua" w:hAnsi="Book Antiqua" w:cs="SimSun"/>
          <w:i/>
          <w:iCs/>
          <w:color w:val="000000"/>
          <w:sz w:val="24"/>
          <w:szCs w:val="24"/>
          <w:lang w:val="en-US" w:eastAsia="zh-CN"/>
        </w:rPr>
        <w:t>Hepatology</w:t>
      </w:r>
      <w:r w:rsidRPr="00A64FF0">
        <w:rPr>
          <w:rFonts w:ascii="Book Antiqua" w:hAnsi="Book Antiqua" w:cs="SimSun"/>
          <w:color w:val="000000"/>
          <w:sz w:val="24"/>
          <w:szCs w:val="24"/>
          <w:lang w:val="en-US" w:eastAsia="zh-CN"/>
        </w:rPr>
        <w:t> 2003; </w:t>
      </w:r>
      <w:r w:rsidRPr="00A64FF0">
        <w:rPr>
          <w:rFonts w:ascii="Book Antiqua" w:hAnsi="Book Antiqua" w:cs="SimSun"/>
          <w:b/>
          <w:bCs/>
          <w:color w:val="000000"/>
          <w:sz w:val="24"/>
          <w:szCs w:val="24"/>
          <w:lang w:val="en-US" w:eastAsia="zh-CN"/>
        </w:rPr>
        <w:t>38</w:t>
      </w:r>
      <w:r w:rsidRPr="00A64FF0">
        <w:rPr>
          <w:rFonts w:ascii="Book Antiqua" w:hAnsi="Book Antiqua" w:cs="SimSun"/>
          <w:color w:val="000000"/>
          <w:sz w:val="24"/>
          <w:szCs w:val="24"/>
          <w:lang w:val="en-US" w:eastAsia="zh-CN"/>
        </w:rPr>
        <w:t>: 1282-1288 [PMID: 14578868 DOI: 10.1053/jhep.2003.50449]</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74 </w:t>
      </w:r>
      <w:r w:rsidRPr="00A64FF0">
        <w:rPr>
          <w:rFonts w:ascii="Book Antiqua" w:hAnsi="Book Antiqua" w:cs="SimSun"/>
          <w:b/>
          <w:bCs/>
          <w:color w:val="000000"/>
          <w:sz w:val="24"/>
          <w:szCs w:val="24"/>
          <w:lang w:val="en-US" w:eastAsia="zh-CN"/>
        </w:rPr>
        <w:t>Imafuku S</w:t>
      </w:r>
      <w:r w:rsidRPr="00A64FF0">
        <w:rPr>
          <w:rFonts w:ascii="Book Antiqua" w:hAnsi="Book Antiqua" w:cs="SimSun"/>
          <w:color w:val="000000"/>
          <w:sz w:val="24"/>
          <w:szCs w:val="24"/>
          <w:lang w:val="en-US" w:eastAsia="zh-CN"/>
        </w:rPr>
        <w:t>, Tashiro A, Furue M. Ciclosporin treatment of psoriasis in a patient with chronic hepatitis C. </w:t>
      </w:r>
      <w:r w:rsidRPr="00A64FF0">
        <w:rPr>
          <w:rFonts w:ascii="Book Antiqua" w:hAnsi="Book Antiqua" w:cs="SimSun"/>
          <w:i/>
          <w:iCs/>
          <w:color w:val="000000"/>
          <w:sz w:val="24"/>
          <w:szCs w:val="24"/>
          <w:lang w:val="en-US" w:eastAsia="zh-CN"/>
        </w:rPr>
        <w:t>Br J Dermatol</w:t>
      </w:r>
      <w:r w:rsidRPr="00A64FF0">
        <w:rPr>
          <w:rFonts w:ascii="Book Antiqua" w:hAnsi="Book Antiqua" w:cs="SimSun"/>
          <w:color w:val="000000"/>
          <w:sz w:val="24"/>
          <w:szCs w:val="24"/>
          <w:lang w:val="en-US" w:eastAsia="zh-CN"/>
        </w:rPr>
        <w:t> 2007; </w:t>
      </w:r>
      <w:r w:rsidRPr="00A64FF0">
        <w:rPr>
          <w:rFonts w:ascii="Book Antiqua" w:hAnsi="Book Antiqua" w:cs="SimSun"/>
          <w:b/>
          <w:bCs/>
          <w:color w:val="000000"/>
          <w:sz w:val="24"/>
          <w:szCs w:val="24"/>
          <w:lang w:val="en-US" w:eastAsia="zh-CN"/>
        </w:rPr>
        <w:t>156</w:t>
      </w:r>
      <w:r w:rsidRPr="00A64FF0">
        <w:rPr>
          <w:rFonts w:ascii="Book Antiqua" w:hAnsi="Book Antiqua" w:cs="SimSun"/>
          <w:color w:val="000000"/>
          <w:sz w:val="24"/>
          <w:szCs w:val="24"/>
          <w:lang w:val="en-US" w:eastAsia="zh-CN"/>
        </w:rPr>
        <w:t>: 1367-1369 [PMID: 17441954 DOI: 10.1111/j.1365-2133.2007.07873.x]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75 </w:t>
      </w:r>
      <w:r w:rsidRPr="00A64FF0">
        <w:rPr>
          <w:rFonts w:ascii="Book Antiqua" w:hAnsi="Book Antiqua" w:cs="SimSun"/>
          <w:b/>
          <w:bCs/>
          <w:color w:val="000000"/>
          <w:sz w:val="24"/>
          <w:szCs w:val="24"/>
          <w:lang w:val="en-US" w:eastAsia="zh-CN"/>
        </w:rPr>
        <w:t>Zylberberg H</w:t>
      </w:r>
      <w:r w:rsidRPr="00A64FF0">
        <w:rPr>
          <w:rFonts w:ascii="Book Antiqua" w:hAnsi="Book Antiqua" w:cs="SimSun"/>
          <w:color w:val="000000"/>
          <w:sz w:val="24"/>
          <w:szCs w:val="24"/>
          <w:lang w:val="en-US" w:eastAsia="zh-CN"/>
        </w:rPr>
        <w:t>, Rimaniol AC, Pol S, Masson A, De Groote D, Berthelot P, Bach JF, Bréchot C, Zavala F. Soluble tumor necrosis factor receptors in chronic hepatitis C: a correlation with histological fibrosis and activity. </w:t>
      </w:r>
      <w:r w:rsidRPr="00A64FF0">
        <w:rPr>
          <w:rFonts w:ascii="Book Antiqua" w:hAnsi="Book Antiqua" w:cs="SimSun"/>
          <w:i/>
          <w:iCs/>
          <w:color w:val="000000"/>
          <w:sz w:val="24"/>
          <w:szCs w:val="24"/>
          <w:lang w:val="en-US" w:eastAsia="zh-CN"/>
        </w:rPr>
        <w:t>J Hepatol</w:t>
      </w:r>
      <w:r w:rsidRPr="00A64FF0">
        <w:rPr>
          <w:rFonts w:ascii="Book Antiqua" w:hAnsi="Book Antiqua" w:cs="SimSun"/>
          <w:color w:val="000000"/>
          <w:sz w:val="24"/>
          <w:szCs w:val="24"/>
          <w:lang w:val="en-US" w:eastAsia="zh-CN"/>
        </w:rPr>
        <w:t> 1999; </w:t>
      </w:r>
      <w:r w:rsidRPr="00A64FF0">
        <w:rPr>
          <w:rFonts w:ascii="Book Antiqua" w:hAnsi="Book Antiqua" w:cs="SimSun"/>
          <w:b/>
          <w:bCs/>
          <w:color w:val="000000"/>
          <w:sz w:val="24"/>
          <w:szCs w:val="24"/>
          <w:lang w:val="en-US" w:eastAsia="zh-CN"/>
        </w:rPr>
        <w:t>30</w:t>
      </w:r>
      <w:r w:rsidRPr="00A64FF0">
        <w:rPr>
          <w:rFonts w:ascii="Book Antiqua" w:hAnsi="Book Antiqua" w:cs="SimSun"/>
          <w:color w:val="000000"/>
          <w:sz w:val="24"/>
          <w:szCs w:val="24"/>
          <w:lang w:val="en-US" w:eastAsia="zh-CN"/>
        </w:rPr>
        <w:t>: 185-191 [PMID: 10068094 DOI: 10.1016/S0168-8278(99)80060-800699]</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76 </w:t>
      </w:r>
      <w:r w:rsidRPr="00A64FF0">
        <w:rPr>
          <w:rFonts w:ascii="Book Antiqua" w:hAnsi="Book Antiqua" w:cs="SimSun"/>
          <w:b/>
          <w:bCs/>
          <w:color w:val="000000"/>
          <w:sz w:val="24"/>
          <w:szCs w:val="24"/>
          <w:lang w:val="en-US" w:eastAsia="zh-CN"/>
        </w:rPr>
        <w:t>Dill MT</w:t>
      </w:r>
      <w:r w:rsidRPr="00A64FF0">
        <w:rPr>
          <w:rFonts w:ascii="Book Antiqua" w:hAnsi="Book Antiqua" w:cs="SimSun"/>
          <w:color w:val="000000"/>
          <w:sz w:val="24"/>
          <w:szCs w:val="24"/>
          <w:lang w:val="en-US" w:eastAsia="zh-CN"/>
        </w:rPr>
        <w:t>, Duong FH, Vogt JE, Bibert S, Bochud PY, Terracciano L, Papassotiropoulos A, Roth V, Heim MH. Interferon-induced gene expression is a stronger predictor of treatment response than IL28B genotype in patients with hepatitis C. </w:t>
      </w:r>
      <w:r w:rsidRPr="00A64FF0">
        <w:rPr>
          <w:rFonts w:ascii="Book Antiqua" w:hAnsi="Book Antiqua" w:cs="SimSun"/>
          <w:i/>
          <w:iCs/>
          <w:color w:val="000000"/>
          <w:sz w:val="24"/>
          <w:szCs w:val="24"/>
          <w:lang w:val="en-US" w:eastAsia="zh-CN"/>
        </w:rPr>
        <w:t>Gastroenterology</w:t>
      </w:r>
      <w:r w:rsidRPr="00A64FF0">
        <w:rPr>
          <w:rFonts w:ascii="Book Antiqua" w:hAnsi="Book Antiqua" w:cs="SimSun"/>
          <w:color w:val="000000"/>
          <w:sz w:val="24"/>
          <w:szCs w:val="24"/>
          <w:lang w:val="en-US" w:eastAsia="zh-CN"/>
        </w:rPr>
        <w:t> 2011; </w:t>
      </w:r>
      <w:r w:rsidRPr="00A64FF0">
        <w:rPr>
          <w:rFonts w:ascii="Book Antiqua" w:hAnsi="Book Antiqua" w:cs="SimSun"/>
          <w:b/>
          <w:bCs/>
          <w:color w:val="000000"/>
          <w:sz w:val="24"/>
          <w:szCs w:val="24"/>
          <w:lang w:val="en-US" w:eastAsia="zh-CN"/>
        </w:rPr>
        <w:t>140</w:t>
      </w:r>
      <w:r w:rsidRPr="00A64FF0">
        <w:rPr>
          <w:rFonts w:ascii="Book Antiqua" w:hAnsi="Book Antiqua" w:cs="SimSun"/>
          <w:color w:val="000000"/>
          <w:sz w:val="24"/>
          <w:szCs w:val="24"/>
          <w:lang w:val="en-US" w:eastAsia="zh-CN"/>
        </w:rPr>
        <w:t>: 1021-1031 [PMID: 21111740 DOI: 10.1053/j.gastro.2010.11.039]</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77 </w:t>
      </w:r>
      <w:r w:rsidRPr="00A64FF0">
        <w:rPr>
          <w:rFonts w:ascii="Book Antiqua" w:hAnsi="Book Antiqua" w:cs="SimSun"/>
          <w:b/>
          <w:bCs/>
          <w:color w:val="000000"/>
          <w:sz w:val="24"/>
          <w:szCs w:val="24"/>
          <w:lang w:val="en-US" w:eastAsia="zh-CN"/>
        </w:rPr>
        <w:t>Nelson DR</w:t>
      </w:r>
      <w:r w:rsidRPr="00A64FF0">
        <w:rPr>
          <w:rFonts w:ascii="Book Antiqua" w:hAnsi="Book Antiqua" w:cs="SimSun"/>
          <w:color w:val="000000"/>
          <w:sz w:val="24"/>
          <w:szCs w:val="24"/>
          <w:lang w:val="en-US" w:eastAsia="zh-CN"/>
        </w:rPr>
        <w:t>, Lim HL, Marousis CG, Fang JW, Davis GL, Shen L, Urdea MS, Kolberg JA, Lau JY. Activation of tumor necrosis factor-alpha system in chronic hepatitis C virus infection. </w:t>
      </w:r>
      <w:r w:rsidRPr="00A64FF0">
        <w:rPr>
          <w:rFonts w:ascii="Book Antiqua" w:hAnsi="Book Antiqua" w:cs="SimSun"/>
          <w:i/>
          <w:iCs/>
          <w:color w:val="000000"/>
          <w:sz w:val="24"/>
          <w:szCs w:val="24"/>
          <w:lang w:val="en-US" w:eastAsia="zh-CN"/>
        </w:rPr>
        <w:t>Dig Dis Sci</w:t>
      </w:r>
      <w:r w:rsidRPr="00A64FF0">
        <w:rPr>
          <w:rFonts w:ascii="Book Antiqua" w:hAnsi="Book Antiqua" w:cs="SimSun"/>
          <w:color w:val="000000"/>
          <w:sz w:val="24"/>
          <w:szCs w:val="24"/>
          <w:lang w:val="en-US" w:eastAsia="zh-CN"/>
        </w:rPr>
        <w:t> 1997; </w:t>
      </w:r>
      <w:r w:rsidRPr="00A64FF0">
        <w:rPr>
          <w:rFonts w:ascii="Book Antiqua" w:hAnsi="Book Antiqua" w:cs="SimSun"/>
          <w:b/>
          <w:bCs/>
          <w:color w:val="000000"/>
          <w:sz w:val="24"/>
          <w:szCs w:val="24"/>
          <w:lang w:val="en-US" w:eastAsia="zh-CN"/>
        </w:rPr>
        <w:t>42</w:t>
      </w:r>
      <w:r w:rsidRPr="00A64FF0">
        <w:rPr>
          <w:rFonts w:ascii="Book Antiqua" w:hAnsi="Book Antiqua" w:cs="SimSun"/>
          <w:color w:val="000000"/>
          <w:sz w:val="24"/>
          <w:szCs w:val="24"/>
          <w:lang w:val="en-US" w:eastAsia="zh-CN"/>
        </w:rPr>
        <w:t>: 2487-2494 [PMID: 9440625]</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78 </w:t>
      </w:r>
      <w:r w:rsidRPr="00A64FF0">
        <w:rPr>
          <w:rFonts w:ascii="Book Antiqua" w:hAnsi="Book Antiqua" w:cs="SimSun"/>
          <w:b/>
          <w:bCs/>
          <w:color w:val="000000"/>
          <w:sz w:val="24"/>
          <w:szCs w:val="24"/>
          <w:lang w:val="en-US" w:eastAsia="zh-CN"/>
        </w:rPr>
        <w:t>Zein NN</w:t>
      </w:r>
      <w:r w:rsidRPr="00A64FF0">
        <w:rPr>
          <w:rFonts w:ascii="Book Antiqua" w:hAnsi="Book Antiqua" w:cs="SimSun"/>
          <w:color w:val="000000"/>
          <w:sz w:val="24"/>
          <w:szCs w:val="24"/>
          <w:lang w:val="en-US" w:eastAsia="zh-CN"/>
        </w:rPr>
        <w:t xml:space="preserve">. Etanercept as an adjuvant to interferon and ribavirin in treatment-naive patients with chronic hepatitis C virus infection: a phase 2 randomized, double-blind, </w:t>
      </w:r>
      <w:r w:rsidRPr="00A64FF0">
        <w:rPr>
          <w:rFonts w:ascii="Book Antiqua" w:hAnsi="Book Antiqua" w:cs="SimSun"/>
          <w:color w:val="000000"/>
          <w:sz w:val="24"/>
          <w:szCs w:val="24"/>
          <w:lang w:val="en-US" w:eastAsia="zh-CN"/>
        </w:rPr>
        <w:lastRenderedPageBreak/>
        <w:t>placebo-controlled study. </w:t>
      </w:r>
      <w:r w:rsidRPr="00A64FF0">
        <w:rPr>
          <w:rFonts w:ascii="Book Antiqua" w:hAnsi="Book Antiqua" w:cs="SimSun"/>
          <w:i/>
          <w:iCs/>
          <w:color w:val="000000"/>
          <w:sz w:val="24"/>
          <w:szCs w:val="24"/>
          <w:lang w:val="en-US" w:eastAsia="zh-CN"/>
        </w:rPr>
        <w:t>J Hepatol</w:t>
      </w:r>
      <w:r w:rsidRPr="00A64FF0">
        <w:rPr>
          <w:rFonts w:ascii="Book Antiqua" w:hAnsi="Book Antiqua" w:cs="SimSun"/>
          <w:color w:val="000000"/>
          <w:sz w:val="24"/>
          <w:szCs w:val="24"/>
          <w:lang w:val="en-US" w:eastAsia="zh-CN"/>
        </w:rPr>
        <w:t> 2005; </w:t>
      </w:r>
      <w:r w:rsidRPr="00A64FF0">
        <w:rPr>
          <w:rFonts w:ascii="Book Antiqua" w:hAnsi="Book Antiqua" w:cs="SimSun"/>
          <w:b/>
          <w:bCs/>
          <w:color w:val="000000"/>
          <w:sz w:val="24"/>
          <w:szCs w:val="24"/>
          <w:lang w:val="en-US" w:eastAsia="zh-CN"/>
        </w:rPr>
        <w:t>42</w:t>
      </w:r>
      <w:r w:rsidRPr="00A64FF0">
        <w:rPr>
          <w:rFonts w:ascii="Book Antiqua" w:hAnsi="Book Antiqua" w:cs="SimSun"/>
          <w:color w:val="000000"/>
          <w:sz w:val="24"/>
          <w:szCs w:val="24"/>
          <w:lang w:val="en-US" w:eastAsia="zh-CN"/>
        </w:rPr>
        <w:t>: 315-322 [PMID: 15791697 DOI: 10.1023/A: 1018804426724]</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79 </w:t>
      </w:r>
      <w:r w:rsidRPr="00A64FF0">
        <w:rPr>
          <w:rFonts w:ascii="Book Antiqua" w:hAnsi="Book Antiqua" w:cs="SimSun"/>
          <w:b/>
          <w:bCs/>
          <w:color w:val="000000"/>
          <w:sz w:val="24"/>
          <w:szCs w:val="24"/>
          <w:lang w:val="en-US" w:eastAsia="zh-CN"/>
        </w:rPr>
        <w:t>Pompili M</w:t>
      </w:r>
      <w:r w:rsidRPr="00A64FF0">
        <w:rPr>
          <w:rFonts w:ascii="Book Antiqua" w:hAnsi="Book Antiqua" w:cs="SimSun"/>
          <w:color w:val="000000"/>
          <w:sz w:val="24"/>
          <w:szCs w:val="24"/>
          <w:lang w:val="en-US" w:eastAsia="zh-CN"/>
        </w:rPr>
        <w:t>, Biolato M, Miele L, Grieco A. Tumor necrosis factor-α inhibitors and chronic hepatitis C: a comprehensive literature review. </w:t>
      </w:r>
      <w:r w:rsidRPr="00A64FF0">
        <w:rPr>
          <w:rFonts w:ascii="Book Antiqua" w:hAnsi="Book Antiqua" w:cs="SimSun"/>
          <w:i/>
          <w:iCs/>
          <w:color w:val="000000"/>
          <w:sz w:val="24"/>
          <w:szCs w:val="24"/>
          <w:lang w:val="en-US" w:eastAsia="zh-CN"/>
        </w:rPr>
        <w:t>World J Gastroenterol</w:t>
      </w:r>
      <w:r w:rsidRPr="00A64FF0">
        <w:rPr>
          <w:rFonts w:ascii="Book Antiqua" w:hAnsi="Book Antiqua" w:cs="SimSun"/>
          <w:color w:val="000000"/>
          <w:sz w:val="24"/>
          <w:szCs w:val="24"/>
          <w:lang w:val="en-US" w:eastAsia="zh-CN"/>
        </w:rPr>
        <w:t> 2013; </w:t>
      </w:r>
      <w:r w:rsidRPr="00A64FF0">
        <w:rPr>
          <w:rFonts w:ascii="Book Antiqua" w:hAnsi="Book Antiqua" w:cs="SimSun"/>
          <w:b/>
          <w:bCs/>
          <w:color w:val="000000"/>
          <w:sz w:val="24"/>
          <w:szCs w:val="24"/>
          <w:lang w:val="en-US" w:eastAsia="zh-CN"/>
        </w:rPr>
        <w:t>19</w:t>
      </w:r>
      <w:r w:rsidRPr="00A64FF0">
        <w:rPr>
          <w:rFonts w:ascii="Book Antiqua" w:hAnsi="Book Antiqua" w:cs="SimSun"/>
          <w:color w:val="000000"/>
          <w:sz w:val="24"/>
          <w:szCs w:val="24"/>
          <w:lang w:val="en-US" w:eastAsia="zh-CN"/>
        </w:rPr>
        <w:t>: 7867-7873 [PMID: 24307780 DOI: 10.3748/wjg.v19.i44.7867]</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80 </w:t>
      </w:r>
      <w:r w:rsidRPr="00A64FF0">
        <w:rPr>
          <w:rFonts w:ascii="Book Antiqua" w:hAnsi="Book Antiqua" w:cs="SimSun"/>
          <w:b/>
          <w:bCs/>
          <w:color w:val="000000"/>
          <w:sz w:val="24"/>
          <w:szCs w:val="24"/>
          <w:lang w:val="en-US" w:eastAsia="zh-CN"/>
        </w:rPr>
        <w:t>Khanna M</w:t>
      </w:r>
      <w:r w:rsidRPr="00A64FF0">
        <w:rPr>
          <w:rFonts w:ascii="Book Antiqua" w:hAnsi="Book Antiqua" w:cs="SimSun"/>
          <w:color w:val="000000"/>
          <w:sz w:val="24"/>
          <w:szCs w:val="24"/>
          <w:lang w:val="en-US" w:eastAsia="zh-CN"/>
        </w:rPr>
        <w:t>, Shirodkar MA, Gottlieb AB. Etanercept therapy in patients with autoimmunity and hepatitis C. </w:t>
      </w:r>
      <w:r w:rsidRPr="00A64FF0">
        <w:rPr>
          <w:rFonts w:ascii="Book Antiqua" w:hAnsi="Book Antiqua" w:cs="SimSun"/>
          <w:i/>
          <w:iCs/>
          <w:color w:val="000000"/>
          <w:sz w:val="24"/>
          <w:szCs w:val="24"/>
          <w:lang w:val="en-US" w:eastAsia="zh-CN"/>
        </w:rPr>
        <w:t>J Dermatolog Treat</w:t>
      </w:r>
      <w:r w:rsidRPr="00A64FF0">
        <w:rPr>
          <w:rFonts w:ascii="Book Antiqua" w:hAnsi="Book Antiqua" w:cs="SimSun"/>
          <w:color w:val="000000"/>
          <w:sz w:val="24"/>
          <w:szCs w:val="24"/>
          <w:lang w:val="en-US" w:eastAsia="zh-CN"/>
        </w:rPr>
        <w:t> 2003; </w:t>
      </w:r>
      <w:r w:rsidRPr="00A64FF0">
        <w:rPr>
          <w:rFonts w:ascii="Book Antiqua" w:hAnsi="Book Antiqua" w:cs="SimSun"/>
          <w:b/>
          <w:bCs/>
          <w:color w:val="000000"/>
          <w:sz w:val="24"/>
          <w:szCs w:val="24"/>
          <w:lang w:val="en-US" w:eastAsia="zh-CN"/>
        </w:rPr>
        <w:t>14</w:t>
      </w:r>
      <w:r w:rsidRPr="00A64FF0">
        <w:rPr>
          <w:rFonts w:ascii="Book Antiqua" w:hAnsi="Book Antiqua" w:cs="SimSun"/>
          <w:color w:val="000000"/>
          <w:sz w:val="24"/>
          <w:szCs w:val="24"/>
          <w:lang w:val="en-US" w:eastAsia="zh-CN"/>
        </w:rPr>
        <w:t>: 229-232 [PMID: 14660270 DOI: 10.1080/09546630310020470]</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81 </w:t>
      </w:r>
      <w:r w:rsidRPr="00A64FF0">
        <w:rPr>
          <w:rFonts w:ascii="Book Antiqua" w:hAnsi="Book Antiqua" w:cs="SimSun"/>
          <w:b/>
          <w:bCs/>
          <w:color w:val="000000"/>
          <w:sz w:val="24"/>
          <w:szCs w:val="24"/>
          <w:lang w:val="en-US" w:eastAsia="zh-CN"/>
        </w:rPr>
        <w:t>Magliocco MA</w:t>
      </w:r>
      <w:r w:rsidRPr="00A64FF0">
        <w:rPr>
          <w:rFonts w:ascii="Book Antiqua" w:hAnsi="Book Antiqua" w:cs="SimSun"/>
          <w:color w:val="000000"/>
          <w:sz w:val="24"/>
          <w:szCs w:val="24"/>
          <w:lang w:val="en-US" w:eastAsia="zh-CN"/>
        </w:rPr>
        <w:t>, Gottlieb AB. Etanercept therapy for patients with psoriatic arthritis and concurrent hepatitis C virus infection: report of 3 cases. </w:t>
      </w:r>
      <w:r w:rsidRPr="00A64FF0">
        <w:rPr>
          <w:rFonts w:ascii="Book Antiqua" w:hAnsi="Book Antiqua" w:cs="SimSun"/>
          <w:i/>
          <w:iCs/>
          <w:color w:val="000000"/>
          <w:sz w:val="24"/>
          <w:szCs w:val="24"/>
          <w:lang w:val="en-US" w:eastAsia="zh-CN"/>
        </w:rPr>
        <w:t>J Am Acad Dermatol</w:t>
      </w:r>
      <w:r w:rsidRPr="00A64FF0">
        <w:rPr>
          <w:rFonts w:ascii="Book Antiqua" w:hAnsi="Book Antiqua" w:cs="SimSun"/>
          <w:color w:val="000000"/>
          <w:sz w:val="24"/>
          <w:szCs w:val="24"/>
          <w:lang w:val="en-US" w:eastAsia="zh-CN"/>
        </w:rPr>
        <w:t> 2004; </w:t>
      </w:r>
      <w:r w:rsidRPr="00A64FF0">
        <w:rPr>
          <w:rFonts w:ascii="Book Antiqua" w:hAnsi="Book Antiqua" w:cs="SimSun"/>
          <w:b/>
          <w:bCs/>
          <w:color w:val="000000"/>
          <w:sz w:val="24"/>
          <w:szCs w:val="24"/>
          <w:lang w:val="en-US" w:eastAsia="zh-CN"/>
        </w:rPr>
        <w:t>51</w:t>
      </w:r>
      <w:r w:rsidRPr="00A64FF0">
        <w:rPr>
          <w:rFonts w:ascii="Book Antiqua" w:hAnsi="Book Antiqua" w:cs="SimSun"/>
          <w:color w:val="000000"/>
          <w:sz w:val="24"/>
          <w:szCs w:val="24"/>
          <w:lang w:val="en-US" w:eastAsia="zh-CN"/>
        </w:rPr>
        <w:t>: 580-584 [PMID: 15389194 DOI: 10.1016/j.jaad.2004.05.013]</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82 </w:t>
      </w:r>
      <w:r w:rsidRPr="00A64FF0">
        <w:rPr>
          <w:rFonts w:ascii="Book Antiqua" w:hAnsi="Book Antiqua" w:cs="SimSun"/>
          <w:b/>
          <w:bCs/>
          <w:color w:val="000000"/>
          <w:sz w:val="24"/>
          <w:szCs w:val="24"/>
          <w:lang w:val="en-US" w:eastAsia="zh-CN"/>
        </w:rPr>
        <w:t>Cecchi R</w:t>
      </w:r>
      <w:r w:rsidRPr="00A64FF0">
        <w:rPr>
          <w:rFonts w:ascii="Book Antiqua" w:hAnsi="Book Antiqua" w:cs="SimSun"/>
          <w:color w:val="000000"/>
          <w:sz w:val="24"/>
          <w:szCs w:val="24"/>
          <w:lang w:val="en-US" w:eastAsia="zh-CN"/>
        </w:rPr>
        <w:t>, Bartoli L. Psoriasis and hepatitis C treated with anti-TNF alpha therapy (etanercept). </w:t>
      </w:r>
      <w:r w:rsidRPr="00A64FF0">
        <w:rPr>
          <w:rFonts w:ascii="Book Antiqua" w:hAnsi="Book Antiqua" w:cs="SimSun"/>
          <w:i/>
          <w:iCs/>
          <w:color w:val="000000"/>
          <w:sz w:val="24"/>
          <w:szCs w:val="24"/>
          <w:lang w:val="en-US" w:eastAsia="zh-CN"/>
        </w:rPr>
        <w:t>Dermatol Online J</w:t>
      </w:r>
      <w:r w:rsidRPr="00A64FF0">
        <w:rPr>
          <w:rFonts w:ascii="Book Antiqua" w:hAnsi="Book Antiqua" w:cs="SimSun"/>
          <w:color w:val="000000"/>
          <w:sz w:val="24"/>
          <w:szCs w:val="24"/>
          <w:lang w:val="en-US" w:eastAsia="zh-CN"/>
        </w:rPr>
        <w:t> 2006; </w:t>
      </w:r>
      <w:r w:rsidRPr="00A64FF0">
        <w:rPr>
          <w:rFonts w:ascii="Book Antiqua" w:hAnsi="Book Antiqua" w:cs="SimSun"/>
          <w:b/>
          <w:bCs/>
          <w:color w:val="000000"/>
          <w:sz w:val="24"/>
          <w:szCs w:val="24"/>
          <w:lang w:val="en-US" w:eastAsia="zh-CN"/>
        </w:rPr>
        <w:t>12</w:t>
      </w:r>
      <w:r w:rsidRPr="00A64FF0">
        <w:rPr>
          <w:rFonts w:ascii="Book Antiqua" w:hAnsi="Book Antiqua" w:cs="SimSun"/>
          <w:color w:val="000000"/>
          <w:sz w:val="24"/>
          <w:szCs w:val="24"/>
          <w:lang w:val="en-US" w:eastAsia="zh-CN"/>
        </w:rPr>
        <w:t>: 4 [PMID: 17459290]</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83 </w:t>
      </w:r>
      <w:r w:rsidRPr="00A64FF0">
        <w:rPr>
          <w:rFonts w:ascii="Book Antiqua" w:hAnsi="Book Antiqua" w:cs="SimSun"/>
          <w:b/>
          <w:bCs/>
          <w:color w:val="000000"/>
          <w:sz w:val="24"/>
          <w:szCs w:val="24"/>
          <w:lang w:val="en-US" w:eastAsia="zh-CN"/>
        </w:rPr>
        <w:t>De Simone C</w:t>
      </w:r>
      <w:r w:rsidRPr="00A64FF0">
        <w:rPr>
          <w:rFonts w:ascii="Book Antiqua" w:hAnsi="Book Antiqua" w:cs="SimSun"/>
          <w:color w:val="000000"/>
          <w:sz w:val="24"/>
          <w:szCs w:val="24"/>
          <w:lang w:val="en-US" w:eastAsia="zh-CN"/>
        </w:rPr>
        <w:t>, Paradisi A, Capizzi R, Carbone A, Siciliano M, Amerio PL. Etanercept therapy in two patients with psoriasis and concomitant hepatitis C. </w:t>
      </w:r>
      <w:r w:rsidRPr="00A64FF0">
        <w:rPr>
          <w:rFonts w:ascii="Book Antiqua" w:hAnsi="Book Antiqua" w:cs="SimSun"/>
          <w:i/>
          <w:iCs/>
          <w:color w:val="000000"/>
          <w:sz w:val="24"/>
          <w:szCs w:val="24"/>
          <w:lang w:val="en-US" w:eastAsia="zh-CN"/>
        </w:rPr>
        <w:t>J Am Acad Dermatol</w:t>
      </w:r>
      <w:r w:rsidRPr="00A64FF0">
        <w:rPr>
          <w:rFonts w:ascii="Book Antiqua" w:hAnsi="Book Antiqua" w:cs="SimSun"/>
          <w:color w:val="000000"/>
          <w:sz w:val="24"/>
          <w:szCs w:val="24"/>
          <w:lang w:val="en-US" w:eastAsia="zh-CN"/>
        </w:rPr>
        <w:t> 2006; </w:t>
      </w:r>
      <w:r w:rsidRPr="00A64FF0">
        <w:rPr>
          <w:rFonts w:ascii="Book Antiqua" w:hAnsi="Book Antiqua" w:cs="SimSun"/>
          <w:b/>
          <w:bCs/>
          <w:color w:val="000000"/>
          <w:sz w:val="24"/>
          <w:szCs w:val="24"/>
          <w:lang w:val="en-US" w:eastAsia="zh-CN"/>
        </w:rPr>
        <w:t>54</w:t>
      </w:r>
      <w:r w:rsidRPr="00A64FF0">
        <w:rPr>
          <w:rFonts w:ascii="Book Antiqua" w:hAnsi="Book Antiqua" w:cs="SimSun"/>
          <w:color w:val="000000"/>
          <w:sz w:val="24"/>
          <w:szCs w:val="24"/>
          <w:lang w:val="en-US" w:eastAsia="zh-CN"/>
        </w:rPr>
        <w:t>: 1102-1104 [PMID: 16713482 DOI: 10.1016/j.jaad.2005.11.1035]</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84 </w:t>
      </w:r>
      <w:r w:rsidRPr="00A64FF0">
        <w:rPr>
          <w:rFonts w:ascii="Book Antiqua" w:hAnsi="Book Antiqua" w:cs="SimSun"/>
          <w:b/>
          <w:bCs/>
          <w:color w:val="000000"/>
          <w:sz w:val="24"/>
          <w:szCs w:val="24"/>
          <w:lang w:val="en-US" w:eastAsia="zh-CN"/>
        </w:rPr>
        <w:t>Aslanidis S</w:t>
      </w:r>
      <w:r w:rsidRPr="00A64FF0">
        <w:rPr>
          <w:rFonts w:ascii="Book Antiqua" w:hAnsi="Book Antiqua" w:cs="SimSun"/>
          <w:color w:val="000000"/>
          <w:sz w:val="24"/>
          <w:szCs w:val="24"/>
          <w:lang w:val="en-US" w:eastAsia="zh-CN"/>
        </w:rPr>
        <w:t>, Vassiliadis T, Pyrpasopoulou A, Douloumpakas I, Zamboulis C. Inhibition of TNFalpha does not induce viral reactivation in patients with chronic hepatitis C infection: two cases. </w:t>
      </w:r>
      <w:r w:rsidRPr="00A64FF0">
        <w:rPr>
          <w:rFonts w:ascii="Book Antiqua" w:hAnsi="Book Antiqua" w:cs="SimSun"/>
          <w:i/>
          <w:iCs/>
          <w:color w:val="000000"/>
          <w:sz w:val="24"/>
          <w:szCs w:val="24"/>
          <w:lang w:val="en-US" w:eastAsia="zh-CN"/>
        </w:rPr>
        <w:t>Clin Rheumatol</w:t>
      </w:r>
      <w:r w:rsidRPr="00A64FF0">
        <w:rPr>
          <w:rFonts w:ascii="Book Antiqua" w:hAnsi="Book Antiqua" w:cs="SimSun"/>
          <w:color w:val="000000"/>
          <w:sz w:val="24"/>
          <w:szCs w:val="24"/>
          <w:lang w:val="en-US" w:eastAsia="zh-CN"/>
        </w:rPr>
        <w:t> 2007; </w:t>
      </w:r>
      <w:r w:rsidRPr="00A64FF0">
        <w:rPr>
          <w:rFonts w:ascii="Book Antiqua" w:hAnsi="Book Antiqua" w:cs="SimSun"/>
          <w:b/>
          <w:bCs/>
          <w:color w:val="000000"/>
          <w:sz w:val="24"/>
          <w:szCs w:val="24"/>
          <w:lang w:val="en-US" w:eastAsia="zh-CN"/>
        </w:rPr>
        <w:t>26</w:t>
      </w:r>
      <w:r w:rsidRPr="00A64FF0">
        <w:rPr>
          <w:rFonts w:ascii="Book Antiqua" w:hAnsi="Book Antiqua" w:cs="SimSun"/>
          <w:color w:val="000000"/>
          <w:sz w:val="24"/>
          <w:szCs w:val="24"/>
          <w:lang w:val="en-US" w:eastAsia="zh-CN"/>
        </w:rPr>
        <w:t>: 261-264 [PMID: 16924392 DOI: 10.1007/s10067-006-0394-z]</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85 </w:t>
      </w:r>
      <w:r w:rsidRPr="00A64FF0">
        <w:rPr>
          <w:rFonts w:ascii="Book Antiqua" w:hAnsi="Book Antiqua" w:cs="SimSun"/>
          <w:b/>
          <w:bCs/>
          <w:color w:val="000000"/>
          <w:sz w:val="24"/>
          <w:szCs w:val="24"/>
          <w:lang w:val="en-US" w:eastAsia="zh-CN"/>
        </w:rPr>
        <w:t>Rokhsar C</w:t>
      </w:r>
      <w:r w:rsidRPr="00A64FF0">
        <w:rPr>
          <w:rFonts w:ascii="Book Antiqua" w:hAnsi="Book Antiqua" w:cs="SimSun"/>
          <w:color w:val="000000"/>
          <w:sz w:val="24"/>
          <w:szCs w:val="24"/>
          <w:lang w:val="en-US" w:eastAsia="zh-CN"/>
        </w:rPr>
        <w:t>, Rabhan N, Cohen SR. Etanercept monotherapy for a patient with psoriasis, psoriatic arthritis, and concomitant hepatitis C infection. </w:t>
      </w:r>
      <w:r w:rsidRPr="00A64FF0">
        <w:rPr>
          <w:rFonts w:ascii="Book Antiqua" w:hAnsi="Book Antiqua" w:cs="SimSun"/>
          <w:i/>
          <w:iCs/>
          <w:color w:val="000000"/>
          <w:sz w:val="24"/>
          <w:szCs w:val="24"/>
          <w:lang w:val="en-US" w:eastAsia="zh-CN"/>
        </w:rPr>
        <w:t>J Am Acad Dermatol</w:t>
      </w:r>
      <w:r w:rsidRPr="00A64FF0">
        <w:rPr>
          <w:rFonts w:ascii="Book Antiqua" w:hAnsi="Book Antiqua" w:cs="SimSun"/>
          <w:color w:val="000000"/>
          <w:sz w:val="24"/>
          <w:szCs w:val="24"/>
          <w:lang w:val="en-US" w:eastAsia="zh-CN"/>
        </w:rPr>
        <w:t> 2006; </w:t>
      </w:r>
      <w:r w:rsidRPr="00A64FF0">
        <w:rPr>
          <w:rFonts w:ascii="Book Antiqua" w:hAnsi="Book Antiqua" w:cs="SimSun"/>
          <w:b/>
          <w:bCs/>
          <w:color w:val="000000"/>
          <w:sz w:val="24"/>
          <w:szCs w:val="24"/>
          <w:lang w:val="en-US" w:eastAsia="zh-CN"/>
        </w:rPr>
        <w:t>54</w:t>
      </w:r>
      <w:r w:rsidRPr="00A64FF0">
        <w:rPr>
          <w:rFonts w:ascii="Book Antiqua" w:hAnsi="Book Antiqua" w:cs="SimSun"/>
          <w:color w:val="000000"/>
          <w:sz w:val="24"/>
          <w:szCs w:val="24"/>
          <w:lang w:val="en-US" w:eastAsia="zh-CN"/>
        </w:rPr>
        <w:t>: 361-362 [PMID: 16443079 DOI: 10.1016/j.jaad.2005.05.043]</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86 </w:t>
      </w:r>
      <w:r w:rsidRPr="00A64FF0">
        <w:rPr>
          <w:rFonts w:ascii="Book Antiqua" w:hAnsi="Book Antiqua" w:cs="SimSun"/>
          <w:b/>
          <w:bCs/>
          <w:color w:val="000000"/>
          <w:sz w:val="24"/>
          <w:szCs w:val="24"/>
          <w:lang w:val="en-US" w:eastAsia="zh-CN"/>
        </w:rPr>
        <w:t>Pitarch G</w:t>
      </w:r>
      <w:r w:rsidRPr="00A64FF0">
        <w:rPr>
          <w:rFonts w:ascii="Book Antiqua" w:hAnsi="Book Antiqua" w:cs="SimSun"/>
          <w:color w:val="000000"/>
          <w:sz w:val="24"/>
          <w:szCs w:val="24"/>
          <w:lang w:val="en-US" w:eastAsia="zh-CN"/>
        </w:rPr>
        <w:t>, Sanchez-Carazo JL, Mahiques L, Perez-Ferriols MA, Fortea JM. Treatment of psoriasis with adalimumab. </w:t>
      </w:r>
      <w:r w:rsidRPr="00A64FF0">
        <w:rPr>
          <w:rFonts w:ascii="Book Antiqua" w:hAnsi="Book Antiqua" w:cs="SimSun"/>
          <w:i/>
          <w:iCs/>
          <w:color w:val="000000"/>
          <w:sz w:val="24"/>
          <w:szCs w:val="24"/>
          <w:lang w:val="en-US" w:eastAsia="zh-CN"/>
        </w:rPr>
        <w:t>Clin Exp Dermatol</w:t>
      </w:r>
      <w:r w:rsidRPr="00A64FF0">
        <w:rPr>
          <w:rFonts w:ascii="Book Antiqua" w:hAnsi="Book Antiqua" w:cs="SimSun"/>
          <w:color w:val="000000"/>
          <w:sz w:val="24"/>
          <w:szCs w:val="24"/>
          <w:lang w:val="en-US" w:eastAsia="zh-CN"/>
        </w:rPr>
        <w:t> 2007; </w:t>
      </w:r>
      <w:r w:rsidRPr="00A64FF0">
        <w:rPr>
          <w:rFonts w:ascii="Book Antiqua" w:hAnsi="Book Antiqua" w:cs="SimSun"/>
          <w:b/>
          <w:bCs/>
          <w:color w:val="000000"/>
          <w:sz w:val="24"/>
          <w:szCs w:val="24"/>
          <w:lang w:val="en-US" w:eastAsia="zh-CN"/>
        </w:rPr>
        <w:t>32</w:t>
      </w:r>
      <w:r w:rsidRPr="00A64FF0">
        <w:rPr>
          <w:rFonts w:ascii="Book Antiqua" w:hAnsi="Book Antiqua" w:cs="SimSun"/>
          <w:color w:val="000000"/>
          <w:sz w:val="24"/>
          <w:szCs w:val="24"/>
          <w:lang w:val="en-US" w:eastAsia="zh-CN"/>
        </w:rPr>
        <w:t>: 18-22 [PMID: 17305904 DOI: 10.1111/j.1365-2230.2006.02288.x]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87 </w:t>
      </w:r>
      <w:r w:rsidRPr="00A64FF0">
        <w:rPr>
          <w:rFonts w:ascii="Book Antiqua" w:hAnsi="Book Antiqua" w:cs="SimSun"/>
          <w:b/>
          <w:bCs/>
          <w:color w:val="000000"/>
          <w:sz w:val="24"/>
          <w:szCs w:val="24"/>
          <w:lang w:val="en-US" w:eastAsia="zh-CN"/>
        </w:rPr>
        <w:t>Linardaki G</w:t>
      </w:r>
      <w:r w:rsidRPr="00A64FF0">
        <w:rPr>
          <w:rFonts w:ascii="Book Antiqua" w:hAnsi="Book Antiqua" w:cs="SimSun"/>
          <w:color w:val="000000"/>
          <w:sz w:val="24"/>
          <w:szCs w:val="24"/>
          <w:lang w:val="en-US" w:eastAsia="zh-CN"/>
        </w:rPr>
        <w:t>, Katsarou O, Ioannidou P, Karafoulidou A, Boki K. Effective etanercept treatment for psoriatic arthritis complicating concomitant human immunodeficiency virus and hepatitis C virus infection. </w:t>
      </w:r>
      <w:r w:rsidRPr="00A64FF0">
        <w:rPr>
          <w:rFonts w:ascii="Book Antiqua" w:hAnsi="Book Antiqua" w:cs="SimSun"/>
          <w:i/>
          <w:iCs/>
          <w:color w:val="000000"/>
          <w:sz w:val="24"/>
          <w:szCs w:val="24"/>
          <w:lang w:val="en-US" w:eastAsia="zh-CN"/>
        </w:rPr>
        <w:t>J Rheumatol</w:t>
      </w:r>
      <w:r w:rsidRPr="00A64FF0">
        <w:rPr>
          <w:rFonts w:ascii="Book Antiqua" w:hAnsi="Book Antiqua" w:cs="SimSun"/>
          <w:color w:val="000000"/>
          <w:sz w:val="24"/>
          <w:szCs w:val="24"/>
          <w:lang w:val="en-US" w:eastAsia="zh-CN"/>
        </w:rPr>
        <w:t> 2007; </w:t>
      </w:r>
      <w:r w:rsidRPr="00A64FF0">
        <w:rPr>
          <w:rFonts w:ascii="Book Antiqua" w:hAnsi="Book Antiqua" w:cs="SimSun"/>
          <w:b/>
          <w:bCs/>
          <w:color w:val="000000"/>
          <w:sz w:val="24"/>
          <w:szCs w:val="24"/>
          <w:lang w:val="en-US" w:eastAsia="zh-CN"/>
        </w:rPr>
        <w:t>34</w:t>
      </w:r>
      <w:r w:rsidRPr="00A64FF0">
        <w:rPr>
          <w:rFonts w:ascii="Book Antiqua" w:hAnsi="Book Antiqua" w:cs="SimSun"/>
          <w:color w:val="000000"/>
          <w:sz w:val="24"/>
          <w:szCs w:val="24"/>
          <w:lang w:val="en-US" w:eastAsia="zh-CN"/>
        </w:rPr>
        <w:t>: 1353-1355 [PMID: 17552060]</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88 </w:t>
      </w:r>
      <w:r w:rsidRPr="00A64FF0">
        <w:rPr>
          <w:rFonts w:ascii="Book Antiqua" w:hAnsi="Book Antiqua" w:cs="SimSun"/>
          <w:b/>
          <w:bCs/>
          <w:color w:val="000000"/>
          <w:sz w:val="24"/>
          <w:szCs w:val="24"/>
          <w:lang w:val="en-US" w:eastAsia="zh-CN"/>
        </w:rPr>
        <w:t>Alcaide AJ</w:t>
      </w:r>
      <w:r w:rsidRPr="00A64FF0">
        <w:rPr>
          <w:rFonts w:ascii="Book Antiqua" w:hAnsi="Book Antiqua" w:cs="SimSun"/>
          <w:color w:val="000000"/>
          <w:sz w:val="24"/>
          <w:szCs w:val="24"/>
          <w:lang w:val="en-US" w:eastAsia="zh-CN"/>
        </w:rPr>
        <w:t xml:space="preserve">, Barrera MV, Habicheyn S, López N, Mendiola MV, Herrera E. Safety of etanercept therapy in a patient with psoriasis, Down's syndrome and concomitant </w:t>
      </w:r>
      <w:r w:rsidRPr="00A64FF0">
        <w:rPr>
          <w:rFonts w:ascii="Book Antiqua" w:hAnsi="Book Antiqua" w:cs="SimSun"/>
          <w:color w:val="000000"/>
          <w:sz w:val="24"/>
          <w:szCs w:val="24"/>
          <w:lang w:val="en-US" w:eastAsia="zh-CN"/>
        </w:rPr>
        <w:lastRenderedPageBreak/>
        <w:t>hepatitis C virus infection. </w:t>
      </w:r>
      <w:r w:rsidRPr="00A64FF0">
        <w:rPr>
          <w:rFonts w:ascii="Book Antiqua" w:hAnsi="Book Antiqua" w:cs="SimSun"/>
          <w:i/>
          <w:iCs/>
          <w:color w:val="000000"/>
          <w:sz w:val="24"/>
          <w:szCs w:val="24"/>
          <w:lang w:val="en-US" w:eastAsia="zh-CN"/>
        </w:rPr>
        <w:t>J Eur Acad Dermatol Venereol</w:t>
      </w:r>
      <w:r w:rsidRPr="00A64FF0">
        <w:rPr>
          <w:rFonts w:ascii="Book Antiqua" w:hAnsi="Book Antiqua" w:cs="SimSun"/>
          <w:color w:val="000000"/>
          <w:sz w:val="24"/>
          <w:szCs w:val="24"/>
          <w:lang w:val="en-US" w:eastAsia="zh-CN"/>
        </w:rPr>
        <w:t> 2008; </w:t>
      </w:r>
      <w:r w:rsidRPr="00A64FF0">
        <w:rPr>
          <w:rFonts w:ascii="Book Antiqua" w:hAnsi="Book Antiqua" w:cs="SimSun"/>
          <w:b/>
          <w:bCs/>
          <w:color w:val="000000"/>
          <w:sz w:val="24"/>
          <w:szCs w:val="24"/>
          <w:lang w:val="en-US" w:eastAsia="zh-CN"/>
        </w:rPr>
        <w:t>22</w:t>
      </w:r>
      <w:r w:rsidRPr="00A64FF0">
        <w:rPr>
          <w:rFonts w:ascii="Book Antiqua" w:hAnsi="Book Antiqua" w:cs="SimSun"/>
          <w:color w:val="000000"/>
          <w:sz w:val="24"/>
          <w:szCs w:val="24"/>
          <w:lang w:val="en-US" w:eastAsia="zh-CN"/>
        </w:rPr>
        <w:t>: 1514-1516 [PMID: 18355196 DOI: 10.1111/j.1468-3083.2008.02693.x]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89 </w:t>
      </w:r>
      <w:r w:rsidRPr="00A64FF0">
        <w:rPr>
          <w:rFonts w:ascii="Book Antiqua" w:hAnsi="Book Antiqua" w:cs="SimSun"/>
          <w:b/>
          <w:bCs/>
          <w:color w:val="000000"/>
          <w:sz w:val="24"/>
          <w:szCs w:val="24"/>
          <w:lang w:val="en-US" w:eastAsia="zh-CN"/>
        </w:rPr>
        <w:t>Piccolo D</w:t>
      </w:r>
      <w:r w:rsidRPr="00A64FF0">
        <w:rPr>
          <w:rFonts w:ascii="Book Antiqua" w:hAnsi="Book Antiqua" w:cs="SimSun"/>
          <w:color w:val="000000"/>
          <w:sz w:val="24"/>
          <w:szCs w:val="24"/>
          <w:lang w:val="en-US" w:eastAsia="zh-CN"/>
        </w:rPr>
        <w:t>, Di Cesare A, Fargnoli MC, Paoloni M, Vecchiotti S, Peris K. Effective control of psoriasis by etanercept in a patient with HCV-related diseases. </w:t>
      </w:r>
      <w:r w:rsidRPr="00A64FF0">
        <w:rPr>
          <w:rFonts w:ascii="Book Antiqua" w:hAnsi="Book Antiqua" w:cs="SimSun"/>
          <w:i/>
          <w:iCs/>
          <w:color w:val="000000"/>
          <w:sz w:val="24"/>
          <w:szCs w:val="24"/>
          <w:lang w:val="en-US" w:eastAsia="zh-CN"/>
        </w:rPr>
        <w:t>Eur J Dermatol</w:t>
      </w:r>
      <w:r w:rsidRPr="00A64FF0">
        <w:rPr>
          <w:rFonts w:ascii="Book Antiqua" w:hAnsi="Book Antiqua" w:cs="SimSun"/>
          <w:color w:val="000000"/>
          <w:sz w:val="24"/>
          <w:szCs w:val="24"/>
          <w:lang w:val="en-US" w:eastAsia="zh-CN"/>
        </w:rPr>
        <w:t> 2008; </w:t>
      </w:r>
      <w:r w:rsidRPr="00A64FF0">
        <w:rPr>
          <w:rFonts w:ascii="Book Antiqua" w:hAnsi="Book Antiqua" w:cs="SimSun"/>
          <w:b/>
          <w:bCs/>
          <w:color w:val="000000"/>
          <w:sz w:val="24"/>
          <w:szCs w:val="24"/>
          <w:lang w:val="en-US" w:eastAsia="zh-CN"/>
        </w:rPr>
        <w:t>18</w:t>
      </w:r>
      <w:r w:rsidRPr="00A64FF0">
        <w:rPr>
          <w:rFonts w:ascii="Book Antiqua" w:hAnsi="Book Antiqua" w:cs="SimSun"/>
          <w:color w:val="000000"/>
          <w:sz w:val="24"/>
          <w:szCs w:val="24"/>
          <w:lang w:val="en-US" w:eastAsia="zh-CN"/>
        </w:rPr>
        <w:t>: 459-460 [PMID: 18573723 DOI: 10.1684/ejd.2008.0443]</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90 </w:t>
      </w:r>
      <w:r w:rsidRPr="00A64FF0">
        <w:rPr>
          <w:rFonts w:ascii="Book Antiqua" w:hAnsi="Book Antiqua" w:cs="SimSun"/>
          <w:b/>
          <w:bCs/>
          <w:color w:val="000000"/>
          <w:sz w:val="24"/>
          <w:szCs w:val="24"/>
          <w:lang w:val="en-US" w:eastAsia="zh-CN"/>
        </w:rPr>
        <w:t>Collazo MH</w:t>
      </w:r>
      <w:r w:rsidRPr="00A64FF0">
        <w:rPr>
          <w:rFonts w:ascii="Book Antiqua" w:hAnsi="Book Antiqua" w:cs="SimSun"/>
          <w:color w:val="000000"/>
          <w:sz w:val="24"/>
          <w:szCs w:val="24"/>
          <w:lang w:val="en-US" w:eastAsia="zh-CN"/>
        </w:rPr>
        <w:t>, González JR, Torres EA. Etanercept therapy for psoriasis in a patient with concomitant hepatitis C and liver transplant. </w:t>
      </w:r>
      <w:r w:rsidRPr="00A64FF0">
        <w:rPr>
          <w:rFonts w:ascii="Book Antiqua" w:hAnsi="Book Antiqua" w:cs="SimSun"/>
          <w:i/>
          <w:iCs/>
          <w:color w:val="000000"/>
          <w:sz w:val="24"/>
          <w:szCs w:val="24"/>
          <w:lang w:val="en-US" w:eastAsia="zh-CN"/>
        </w:rPr>
        <w:t>P R Health Sci J</w:t>
      </w:r>
      <w:r w:rsidRPr="00A64FF0">
        <w:rPr>
          <w:rFonts w:ascii="Book Antiqua" w:hAnsi="Book Antiqua" w:cs="SimSun"/>
          <w:color w:val="000000"/>
          <w:sz w:val="24"/>
          <w:szCs w:val="24"/>
          <w:lang w:val="en-US" w:eastAsia="zh-CN"/>
        </w:rPr>
        <w:t> 2008; </w:t>
      </w:r>
      <w:r w:rsidRPr="00A64FF0">
        <w:rPr>
          <w:rFonts w:ascii="Book Antiqua" w:hAnsi="Book Antiqua" w:cs="SimSun"/>
          <w:b/>
          <w:bCs/>
          <w:color w:val="000000"/>
          <w:sz w:val="24"/>
          <w:szCs w:val="24"/>
          <w:lang w:val="en-US" w:eastAsia="zh-CN"/>
        </w:rPr>
        <w:t>27</w:t>
      </w:r>
      <w:r w:rsidRPr="00A64FF0">
        <w:rPr>
          <w:rFonts w:ascii="Book Antiqua" w:hAnsi="Book Antiqua" w:cs="SimSun"/>
          <w:color w:val="000000"/>
          <w:sz w:val="24"/>
          <w:szCs w:val="24"/>
          <w:lang w:val="en-US" w:eastAsia="zh-CN"/>
        </w:rPr>
        <w:t>: 346-347 [PMID: 19069362]</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91 </w:t>
      </w:r>
      <w:r w:rsidRPr="00A64FF0">
        <w:rPr>
          <w:rFonts w:ascii="Book Antiqua" w:hAnsi="Book Antiqua" w:cs="SimSun"/>
          <w:b/>
          <w:bCs/>
          <w:color w:val="000000"/>
          <w:sz w:val="24"/>
          <w:szCs w:val="24"/>
          <w:lang w:val="en-US" w:eastAsia="zh-CN"/>
        </w:rPr>
        <w:t>Cassano N</w:t>
      </w:r>
      <w:r w:rsidRPr="00A64FF0">
        <w:rPr>
          <w:rFonts w:ascii="Book Antiqua" w:hAnsi="Book Antiqua" w:cs="SimSun"/>
          <w:color w:val="000000"/>
          <w:sz w:val="24"/>
          <w:szCs w:val="24"/>
          <w:lang w:val="en-US" w:eastAsia="zh-CN"/>
        </w:rPr>
        <w:t>, Vena GA. Etanercept treatment in a hemodialysis patient with severe cyclosporine-resistant psoriasis and hepatitis C virus infection. </w:t>
      </w:r>
      <w:r w:rsidRPr="00A64FF0">
        <w:rPr>
          <w:rFonts w:ascii="Book Antiqua" w:hAnsi="Book Antiqua" w:cs="SimSun"/>
          <w:i/>
          <w:iCs/>
          <w:color w:val="000000"/>
          <w:sz w:val="24"/>
          <w:szCs w:val="24"/>
          <w:lang w:val="en-US" w:eastAsia="zh-CN"/>
        </w:rPr>
        <w:t>Int J Dermatol</w:t>
      </w:r>
      <w:r w:rsidRPr="00A64FF0">
        <w:rPr>
          <w:rFonts w:ascii="Book Antiqua" w:hAnsi="Book Antiqua" w:cs="SimSun"/>
          <w:color w:val="000000"/>
          <w:sz w:val="24"/>
          <w:szCs w:val="24"/>
          <w:lang w:val="en-US" w:eastAsia="zh-CN"/>
        </w:rPr>
        <w:t> 2008; </w:t>
      </w:r>
      <w:r w:rsidRPr="00A64FF0">
        <w:rPr>
          <w:rFonts w:ascii="Book Antiqua" w:hAnsi="Book Antiqua" w:cs="SimSun"/>
          <w:b/>
          <w:bCs/>
          <w:color w:val="000000"/>
          <w:sz w:val="24"/>
          <w:szCs w:val="24"/>
          <w:lang w:val="en-US" w:eastAsia="zh-CN"/>
        </w:rPr>
        <w:t>47</w:t>
      </w:r>
      <w:r w:rsidRPr="00A64FF0">
        <w:rPr>
          <w:rFonts w:ascii="Book Antiqua" w:hAnsi="Book Antiqua" w:cs="SimSun"/>
          <w:color w:val="000000"/>
          <w:sz w:val="24"/>
          <w:szCs w:val="24"/>
          <w:lang w:val="en-US" w:eastAsia="zh-CN"/>
        </w:rPr>
        <w:t>: 980-981 [PMID: 18937672 DOI: 10.1111/j.1365-4632.2008.03619.x]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92 </w:t>
      </w:r>
      <w:r w:rsidRPr="00A64FF0">
        <w:rPr>
          <w:rFonts w:ascii="Book Antiqua" w:hAnsi="Book Antiqua" w:cs="SimSun"/>
          <w:b/>
          <w:bCs/>
          <w:color w:val="000000"/>
          <w:sz w:val="24"/>
          <w:szCs w:val="24"/>
          <w:lang w:val="en-US" w:eastAsia="zh-CN"/>
        </w:rPr>
        <w:t>Cavazzana I</w:t>
      </w:r>
      <w:r w:rsidRPr="00A64FF0">
        <w:rPr>
          <w:rFonts w:ascii="Book Antiqua" w:hAnsi="Book Antiqua" w:cs="SimSun"/>
          <w:color w:val="000000"/>
          <w:sz w:val="24"/>
          <w:szCs w:val="24"/>
          <w:lang w:val="en-US" w:eastAsia="zh-CN"/>
        </w:rPr>
        <w:t>, Ceribelli A, Cattaneo R, Franceschini F. Treatment with etanercept in six patients with chronic hepatitis C infection and systemic autoimmune diseases. </w:t>
      </w:r>
      <w:r w:rsidRPr="00A64FF0">
        <w:rPr>
          <w:rFonts w:ascii="Book Antiqua" w:hAnsi="Book Antiqua" w:cs="SimSun"/>
          <w:i/>
          <w:iCs/>
          <w:color w:val="000000"/>
          <w:sz w:val="24"/>
          <w:szCs w:val="24"/>
          <w:lang w:val="en-US" w:eastAsia="zh-CN"/>
        </w:rPr>
        <w:t>Autoimmun Rev</w:t>
      </w:r>
      <w:r w:rsidRPr="00A64FF0">
        <w:rPr>
          <w:rFonts w:ascii="Book Antiqua" w:hAnsi="Book Antiqua" w:cs="SimSun"/>
          <w:color w:val="000000"/>
          <w:sz w:val="24"/>
          <w:szCs w:val="24"/>
          <w:lang w:val="en-US" w:eastAsia="zh-CN"/>
        </w:rPr>
        <w:t> 2008; </w:t>
      </w:r>
      <w:r w:rsidRPr="00A64FF0">
        <w:rPr>
          <w:rFonts w:ascii="Book Antiqua" w:hAnsi="Book Antiqua" w:cs="SimSun"/>
          <w:b/>
          <w:bCs/>
          <w:color w:val="000000"/>
          <w:sz w:val="24"/>
          <w:szCs w:val="24"/>
          <w:lang w:val="en-US" w:eastAsia="zh-CN"/>
        </w:rPr>
        <w:t>8</w:t>
      </w:r>
      <w:r w:rsidRPr="00A64FF0">
        <w:rPr>
          <w:rFonts w:ascii="Book Antiqua" w:hAnsi="Book Antiqua" w:cs="SimSun"/>
          <w:color w:val="000000"/>
          <w:sz w:val="24"/>
          <w:szCs w:val="24"/>
          <w:lang w:val="en-US" w:eastAsia="zh-CN"/>
        </w:rPr>
        <w:t>: 104-106 [PMID: 19014870 DOI: 10.1016/j.autrev.2008.05.002]</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93 </w:t>
      </w:r>
      <w:r w:rsidRPr="00A64FF0">
        <w:rPr>
          <w:rFonts w:ascii="Book Antiqua" w:hAnsi="Book Antiqua" w:cs="SimSun"/>
          <w:b/>
          <w:bCs/>
          <w:color w:val="000000"/>
          <w:sz w:val="24"/>
          <w:szCs w:val="24"/>
          <w:lang w:val="en-US" w:eastAsia="zh-CN"/>
        </w:rPr>
        <w:t>Behnam SE</w:t>
      </w:r>
      <w:r w:rsidRPr="00A64FF0">
        <w:rPr>
          <w:rFonts w:ascii="Book Antiqua" w:hAnsi="Book Antiqua" w:cs="SimSun"/>
          <w:color w:val="000000"/>
          <w:sz w:val="24"/>
          <w:szCs w:val="24"/>
          <w:lang w:val="en-US" w:eastAsia="zh-CN"/>
        </w:rPr>
        <w:t>, Hindiyeh R, Fife DJ, Jeffes EW, Wu JJ. Etanercept as prophylactic psoriatic therapy before interferon-alpha and ribavirin treatment for active hepatitis C infection. </w:t>
      </w:r>
      <w:r w:rsidRPr="00A64FF0">
        <w:rPr>
          <w:rFonts w:ascii="Book Antiqua" w:hAnsi="Book Antiqua" w:cs="SimSun"/>
          <w:i/>
          <w:iCs/>
          <w:color w:val="000000"/>
          <w:sz w:val="24"/>
          <w:szCs w:val="24"/>
          <w:lang w:val="en-US" w:eastAsia="zh-CN"/>
        </w:rPr>
        <w:t>Clin Exp Dermatol</w:t>
      </w:r>
      <w:r w:rsidRPr="00A64FF0">
        <w:rPr>
          <w:rFonts w:ascii="Book Antiqua" w:hAnsi="Book Antiqua" w:cs="SimSun"/>
          <w:color w:val="000000"/>
          <w:sz w:val="24"/>
          <w:szCs w:val="24"/>
          <w:lang w:val="en-US" w:eastAsia="zh-CN"/>
        </w:rPr>
        <w:t> 2010; </w:t>
      </w:r>
      <w:r w:rsidRPr="00A64FF0">
        <w:rPr>
          <w:rFonts w:ascii="Book Antiqua" w:hAnsi="Book Antiqua" w:cs="SimSun"/>
          <w:b/>
          <w:bCs/>
          <w:color w:val="000000"/>
          <w:sz w:val="24"/>
          <w:szCs w:val="24"/>
          <w:lang w:val="en-US" w:eastAsia="zh-CN"/>
        </w:rPr>
        <w:t>35</w:t>
      </w:r>
      <w:r w:rsidRPr="00A64FF0">
        <w:rPr>
          <w:rFonts w:ascii="Book Antiqua" w:hAnsi="Book Antiqua" w:cs="SimSun"/>
          <w:color w:val="000000"/>
          <w:sz w:val="24"/>
          <w:szCs w:val="24"/>
          <w:lang w:val="en-US" w:eastAsia="zh-CN"/>
        </w:rPr>
        <w:t>: 397-398 [PMID: 19663835 DOI: 10.1111/j.1365-2230.2009.03476.x]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94 </w:t>
      </w:r>
      <w:r w:rsidRPr="00A64FF0">
        <w:rPr>
          <w:rFonts w:ascii="Book Antiqua" w:hAnsi="Book Antiqua" w:cs="SimSun"/>
          <w:b/>
          <w:bCs/>
          <w:color w:val="000000"/>
          <w:sz w:val="24"/>
          <w:szCs w:val="24"/>
          <w:lang w:val="en-US" w:eastAsia="zh-CN"/>
        </w:rPr>
        <w:t>Ventura F</w:t>
      </w:r>
      <w:r w:rsidRPr="00A64FF0">
        <w:rPr>
          <w:rFonts w:ascii="Book Antiqua" w:hAnsi="Book Antiqua" w:cs="SimSun"/>
          <w:color w:val="000000"/>
          <w:sz w:val="24"/>
          <w:szCs w:val="24"/>
          <w:lang w:val="en-US" w:eastAsia="zh-CN"/>
        </w:rPr>
        <w:t>, Gomes J, Duarte Mda L, Fernandes JC, Brito C. Efficacy and safety of etanercept in patients with psoriasis and hepatitis C. </w:t>
      </w:r>
      <w:r w:rsidRPr="00A64FF0">
        <w:rPr>
          <w:rFonts w:ascii="Book Antiqua" w:hAnsi="Book Antiqua" w:cs="SimSun"/>
          <w:i/>
          <w:iCs/>
          <w:color w:val="000000"/>
          <w:sz w:val="24"/>
          <w:szCs w:val="24"/>
          <w:lang w:val="en-US" w:eastAsia="zh-CN"/>
        </w:rPr>
        <w:t>Eur J Dermatol</w:t>
      </w:r>
      <w:r w:rsidRPr="00A64FF0">
        <w:rPr>
          <w:rFonts w:ascii="Book Antiqua" w:hAnsi="Book Antiqua" w:cs="SimSun"/>
          <w:color w:val="000000"/>
          <w:sz w:val="24"/>
          <w:szCs w:val="24"/>
          <w:lang w:val="en-US" w:eastAsia="zh-CN"/>
        </w:rPr>
        <w:t> 2010; </w:t>
      </w:r>
      <w:r w:rsidRPr="00A64FF0">
        <w:rPr>
          <w:rFonts w:ascii="Book Antiqua" w:hAnsi="Book Antiqua" w:cs="SimSun"/>
          <w:b/>
          <w:bCs/>
          <w:color w:val="000000"/>
          <w:sz w:val="24"/>
          <w:szCs w:val="24"/>
          <w:lang w:val="en-US" w:eastAsia="zh-CN"/>
        </w:rPr>
        <w:t>20</w:t>
      </w:r>
      <w:r w:rsidRPr="00A64FF0">
        <w:rPr>
          <w:rFonts w:ascii="Book Antiqua" w:hAnsi="Book Antiqua" w:cs="SimSun"/>
          <w:color w:val="000000"/>
          <w:sz w:val="24"/>
          <w:szCs w:val="24"/>
          <w:lang w:val="en-US" w:eastAsia="zh-CN"/>
        </w:rPr>
        <w:t>: 808-809 [PMID: 20923749 DOI: 10.1684/ejd.2010.1065]</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95 </w:t>
      </w:r>
      <w:r w:rsidRPr="00A64FF0">
        <w:rPr>
          <w:rFonts w:ascii="Book Antiqua" w:hAnsi="Book Antiqua" w:cs="SimSun"/>
          <w:b/>
          <w:bCs/>
          <w:color w:val="000000"/>
          <w:sz w:val="24"/>
          <w:szCs w:val="24"/>
          <w:lang w:val="en-US" w:eastAsia="zh-CN"/>
        </w:rPr>
        <w:t>Paradisi A</w:t>
      </w:r>
      <w:r w:rsidRPr="00A64FF0">
        <w:rPr>
          <w:rFonts w:ascii="Book Antiqua" w:hAnsi="Book Antiqua" w:cs="SimSun"/>
          <w:color w:val="000000"/>
          <w:sz w:val="24"/>
          <w:szCs w:val="24"/>
          <w:lang w:val="en-US" w:eastAsia="zh-CN"/>
        </w:rPr>
        <w:t>, Caldarola G, Capizzi R, Siciliano M, Annichiarico E, Vecchio FM, Amerio PL, De Simone C. Safety of etanercept in patients with psoriasis and hepatitis C virus assessed by liver histopathology: preliminary data. </w:t>
      </w:r>
      <w:r w:rsidRPr="00A64FF0">
        <w:rPr>
          <w:rFonts w:ascii="Book Antiqua" w:hAnsi="Book Antiqua" w:cs="SimSun"/>
          <w:i/>
          <w:iCs/>
          <w:color w:val="000000"/>
          <w:sz w:val="24"/>
          <w:szCs w:val="24"/>
          <w:lang w:val="en-US" w:eastAsia="zh-CN"/>
        </w:rPr>
        <w:t>J Am Acad Dermatol</w:t>
      </w:r>
      <w:r w:rsidRPr="00A64FF0">
        <w:rPr>
          <w:rFonts w:ascii="Book Antiqua" w:hAnsi="Book Antiqua" w:cs="SimSun"/>
          <w:color w:val="000000"/>
          <w:sz w:val="24"/>
          <w:szCs w:val="24"/>
          <w:lang w:val="en-US" w:eastAsia="zh-CN"/>
        </w:rPr>
        <w:t> 2010; </w:t>
      </w:r>
      <w:r w:rsidRPr="00A64FF0">
        <w:rPr>
          <w:rFonts w:ascii="Book Antiqua" w:hAnsi="Book Antiqua" w:cs="SimSun"/>
          <w:b/>
          <w:bCs/>
          <w:color w:val="000000"/>
          <w:sz w:val="24"/>
          <w:szCs w:val="24"/>
          <w:lang w:val="en-US" w:eastAsia="zh-CN"/>
        </w:rPr>
        <w:t>62</w:t>
      </w:r>
      <w:r w:rsidRPr="00A64FF0">
        <w:rPr>
          <w:rFonts w:ascii="Book Antiqua" w:hAnsi="Book Antiqua" w:cs="SimSun"/>
          <w:color w:val="000000"/>
          <w:sz w:val="24"/>
          <w:szCs w:val="24"/>
          <w:lang w:val="en-US" w:eastAsia="zh-CN"/>
        </w:rPr>
        <w:t>: 1067-1069 [PMID: 20466184 DOI: 10.1016/j.jaad.2009.07.010]</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96 </w:t>
      </w:r>
      <w:r w:rsidRPr="00A64FF0">
        <w:rPr>
          <w:rFonts w:ascii="Book Antiqua" w:hAnsi="Book Antiqua" w:cs="SimSun"/>
          <w:b/>
          <w:bCs/>
          <w:color w:val="000000"/>
          <w:sz w:val="24"/>
          <w:szCs w:val="24"/>
          <w:lang w:val="en-US" w:eastAsia="zh-CN"/>
        </w:rPr>
        <w:t>Prignano F</w:t>
      </w:r>
      <w:r w:rsidRPr="00A64FF0">
        <w:rPr>
          <w:rFonts w:ascii="Book Antiqua" w:hAnsi="Book Antiqua" w:cs="SimSun"/>
          <w:color w:val="000000"/>
          <w:sz w:val="24"/>
          <w:szCs w:val="24"/>
          <w:lang w:val="en-US" w:eastAsia="zh-CN"/>
        </w:rPr>
        <w:t>, Zanieri F, Milani S, Lotti T. Switch from etanercept to efalizumab in a psoriatic patient with HCV infection: a case report. </w:t>
      </w:r>
      <w:r w:rsidRPr="00A64FF0">
        <w:rPr>
          <w:rFonts w:ascii="Book Antiqua" w:hAnsi="Book Antiqua" w:cs="SimSun"/>
          <w:i/>
          <w:iCs/>
          <w:color w:val="000000"/>
          <w:sz w:val="24"/>
          <w:szCs w:val="24"/>
          <w:lang w:val="en-US" w:eastAsia="zh-CN"/>
        </w:rPr>
        <w:t>Dermatol Ther</w:t>
      </w:r>
      <w:r w:rsidRPr="00A64FF0">
        <w:rPr>
          <w:rFonts w:ascii="Book Antiqua" w:hAnsi="Book Antiqua" w:cs="SimSun"/>
          <w:color w:val="000000"/>
          <w:sz w:val="24"/>
          <w:szCs w:val="24"/>
          <w:lang w:val="en-US" w:eastAsia="zh-CN"/>
        </w:rPr>
        <w:t> 2009; </w:t>
      </w:r>
      <w:r w:rsidRPr="00A64FF0">
        <w:rPr>
          <w:rFonts w:ascii="Book Antiqua" w:hAnsi="Book Antiqua" w:cs="SimSun"/>
          <w:b/>
          <w:bCs/>
          <w:color w:val="000000"/>
          <w:sz w:val="24"/>
          <w:szCs w:val="24"/>
          <w:lang w:val="en-US" w:eastAsia="zh-CN"/>
        </w:rPr>
        <w:t>22</w:t>
      </w:r>
      <w:r w:rsidRPr="00A64FF0">
        <w:rPr>
          <w:rFonts w:ascii="Book Antiqua" w:hAnsi="Book Antiqua" w:cs="SimSun"/>
          <w:color w:val="000000"/>
          <w:sz w:val="24"/>
          <w:szCs w:val="24"/>
          <w:lang w:val="en-US" w:eastAsia="zh-CN"/>
        </w:rPr>
        <w:t>: 386-390 [PMID: 19580583 DOI: 10.1111/j.1529-8019.2009.01251.x]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97 </w:t>
      </w:r>
      <w:r w:rsidRPr="00A64FF0">
        <w:rPr>
          <w:rFonts w:ascii="Book Antiqua" w:hAnsi="Book Antiqua" w:cs="SimSun"/>
          <w:b/>
          <w:bCs/>
          <w:color w:val="000000"/>
          <w:sz w:val="24"/>
          <w:szCs w:val="24"/>
          <w:lang w:val="en-US" w:eastAsia="zh-CN"/>
        </w:rPr>
        <w:t>Richetta AG</w:t>
      </w:r>
      <w:r w:rsidRPr="00A64FF0">
        <w:rPr>
          <w:rFonts w:ascii="Book Antiqua" w:hAnsi="Book Antiqua" w:cs="SimSun"/>
          <w:color w:val="000000"/>
          <w:sz w:val="24"/>
          <w:szCs w:val="24"/>
          <w:lang w:val="en-US" w:eastAsia="zh-CN"/>
        </w:rPr>
        <w:t>, Maiani E, Carlomagno V, Carboni V, Mattozzi C, Giancristoforo S, Calvieri S. Treatment of erythrodermic psoriasis in HCV+ patient with adalimumab. </w:t>
      </w:r>
      <w:r w:rsidRPr="00A64FF0">
        <w:rPr>
          <w:rFonts w:ascii="Book Antiqua" w:hAnsi="Book Antiqua" w:cs="SimSun"/>
          <w:i/>
          <w:iCs/>
          <w:color w:val="000000"/>
          <w:sz w:val="24"/>
          <w:szCs w:val="24"/>
          <w:lang w:val="en-US" w:eastAsia="zh-CN"/>
        </w:rPr>
        <w:t>Dermatol Ther</w:t>
      </w:r>
      <w:r w:rsidRPr="00A64FF0">
        <w:rPr>
          <w:rFonts w:ascii="Book Antiqua" w:hAnsi="Book Antiqua" w:cs="SimSun"/>
          <w:color w:val="000000"/>
          <w:sz w:val="24"/>
          <w:szCs w:val="24"/>
          <w:lang w:val="en-US" w:eastAsia="zh-CN"/>
        </w:rPr>
        <w:t> 2009; </w:t>
      </w:r>
      <w:r w:rsidRPr="00A64FF0">
        <w:rPr>
          <w:rFonts w:ascii="Book Antiqua" w:hAnsi="Book Antiqua" w:cs="SimSun"/>
          <w:b/>
          <w:bCs/>
          <w:color w:val="000000"/>
          <w:sz w:val="24"/>
          <w:szCs w:val="24"/>
          <w:lang w:val="en-US" w:eastAsia="zh-CN"/>
        </w:rPr>
        <w:t xml:space="preserve">22 </w:t>
      </w:r>
      <w:r w:rsidRPr="00A64FF0">
        <w:rPr>
          <w:rFonts w:ascii="Book Antiqua" w:hAnsi="Book Antiqua" w:cs="SimSun"/>
          <w:bCs/>
          <w:color w:val="000000"/>
          <w:sz w:val="24"/>
          <w:szCs w:val="24"/>
          <w:lang w:val="en-US" w:eastAsia="zh-CN"/>
        </w:rPr>
        <w:t>Suppl 1</w:t>
      </w:r>
      <w:r w:rsidRPr="00A64FF0">
        <w:rPr>
          <w:rFonts w:ascii="Book Antiqua" w:hAnsi="Book Antiqua" w:cs="SimSun"/>
          <w:color w:val="000000"/>
          <w:sz w:val="24"/>
          <w:szCs w:val="24"/>
          <w:lang w:val="en-US" w:eastAsia="zh-CN"/>
        </w:rPr>
        <w:t>: S16-S18 [PMID: 19891686 DOI: 10.1111/j.1529-8019.2009.01266.x]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lastRenderedPageBreak/>
        <w:t>98 </w:t>
      </w:r>
      <w:r w:rsidRPr="00A64FF0">
        <w:rPr>
          <w:rFonts w:ascii="Book Antiqua" w:hAnsi="Book Antiqua" w:cs="SimSun"/>
          <w:b/>
          <w:bCs/>
          <w:color w:val="000000"/>
          <w:sz w:val="24"/>
          <w:szCs w:val="24"/>
          <w:lang w:val="en-US" w:eastAsia="zh-CN"/>
        </w:rPr>
        <w:t>Garavaglia MC</w:t>
      </w:r>
      <w:r w:rsidRPr="00A64FF0">
        <w:rPr>
          <w:rFonts w:ascii="Book Antiqua" w:hAnsi="Book Antiqua" w:cs="SimSun"/>
          <w:color w:val="000000"/>
          <w:sz w:val="24"/>
          <w:szCs w:val="24"/>
          <w:lang w:val="en-US" w:eastAsia="zh-CN"/>
        </w:rPr>
        <w:t>, Altomare G. Etanercept therapy in patients with psoriasis and concomitant HCV infection. </w:t>
      </w:r>
      <w:r w:rsidRPr="00A64FF0">
        <w:rPr>
          <w:rFonts w:ascii="Book Antiqua" w:hAnsi="Book Antiqua" w:cs="SimSun"/>
          <w:i/>
          <w:iCs/>
          <w:color w:val="000000"/>
          <w:sz w:val="24"/>
          <w:szCs w:val="24"/>
          <w:lang w:val="en-US" w:eastAsia="zh-CN"/>
        </w:rPr>
        <w:t>Int J Immunopathol Pharmacol</w:t>
      </w:r>
      <w:r w:rsidRPr="00A64FF0">
        <w:rPr>
          <w:rFonts w:ascii="Book Antiqua" w:hAnsi="Book Antiqua" w:cs="SimSun"/>
          <w:color w:val="000000"/>
          <w:sz w:val="24"/>
          <w:szCs w:val="24"/>
          <w:lang w:val="en-US" w:eastAsia="zh-CN"/>
        </w:rPr>
        <w:t> 2010; </w:t>
      </w:r>
      <w:r w:rsidRPr="00A64FF0">
        <w:rPr>
          <w:rFonts w:ascii="Book Antiqua" w:hAnsi="Book Antiqua" w:cs="SimSun"/>
          <w:b/>
          <w:bCs/>
          <w:color w:val="000000"/>
          <w:sz w:val="24"/>
          <w:szCs w:val="24"/>
          <w:lang w:val="en-US" w:eastAsia="zh-CN"/>
        </w:rPr>
        <w:t>23</w:t>
      </w:r>
      <w:r w:rsidRPr="00A64FF0">
        <w:rPr>
          <w:rFonts w:ascii="Book Antiqua" w:hAnsi="Book Antiqua" w:cs="SimSun"/>
          <w:color w:val="000000"/>
          <w:sz w:val="24"/>
          <w:szCs w:val="24"/>
          <w:lang w:val="en-US" w:eastAsia="zh-CN"/>
        </w:rPr>
        <w:t>: 965-969 [PMID: 20943071]</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99 </w:t>
      </w:r>
      <w:r w:rsidRPr="00A64FF0">
        <w:rPr>
          <w:rFonts w:ascii="Book Antiqua" w:hAnsi="Book Antiqua" w:cs="SimSun"/>
          <w:b/>
          <w:bCs/>
          <w:color w:val="000000"/>
          <w:sz w:val="24"/>
          <w:szCs w:val="24"/>
          <w:lang w:val="en-US" w:eastAsia="zh-CN"/>
        </w:rPr>
        <w:t>Gandhi RK</w:t>
      </w:r>
      <w:r w:rsidRPr="00A64FF0">
        <w:rPr>
          <w:rFonts w:ascii="Book Antiqua" w:hAnsi="Book Antiqua" w:cs="SimSun"/>
          <w:color w:val="000000"/>
          <w:sz w:val="24"/>
          <w:szCs w:val="24"/>
          <w:lang w:val="en-US" w:eastAsia="zh-CN"/>
        </w:rPr>
        <w:t>, Pickup T, Sheth PB. Is etanercept safe for treating plaque psoriasis in a patient with chronic hepatitis C virus infection? </w:t>
      </w:r>
      <w:r w:rsidRPr="00A64FF0">
        <w:rPr>
          <w:rFonts w:ascii="Book Antiqua" w:hAnsi="Book Antiqua" w:cs="SimSun"/>
          <w:i/>
          <w:iCs/>
          <w:color w:val="000000"/>
          <w:sz w:val="24"/>
          <w:szCs w:val="24"/>
          <w:lang w:val="en-US" w:eastAsia="zh-CN"/>
        </w:rPr>
        <w:t>Arch Dermatol</w:t>
      </w:r>
      <w:r w:rsidRPr="00A64FF0">
        <w:rPr>
          <w:rFonts w:ascii="Book Antiqua" w:hAnsi="Book Antiqua" w:cs="SimSun"/>
          <w:color w:val="000000"/>
          <w:sz w:val="24"/>
          <w:szCs w:val="24"/>
          <w:lang w:val="en-US" w:eastAsia="zh-CN"/>
        </w:rPr>
        <w:t> 2010; </w:t>
      </w:r>
      <w:r w:rsidRPr="00A64FF0">
        <w:rPr>
          <w:rFonts w:ascii="Book Antiqua" w:hAnsi="Book Antiqua" w:cs="SimSun"/>
          <w:b/>
          <w:bCs/>
          <w:color w:val="000000"/>
          <w:sz w:val="24"/>
          <w:szCs w:val="24"/>
          <w:lang w:val="en-US" w:eastAsia="zh-CN"/>
        </w:rPr>
        <w:t>146</w:t>
      </w:r>
      <w:r w:rsidRPr="00A64FF0">
        <w:rPr>
          <w:rFonts w:ascii="Book Antiqua" w:hAnsi="Book Antiqua" w:cs="SimSun"/>
          <w:color w:val="000000"/>
          <w:sz w:val="24"/>
          <w:szCs w:val="24"/>
          <w:lang w:val="en-US" w:eastAsia="zh-CN"/>
        </w:rPr>
        <w:t>: 1151-1152 [PMID: 20956650 DOI: 10.1001/archdermatol.2010.253]</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100 </w:t>
      </w:r>
      <w:r w:rsidRPr="00A64FF0">
        <w:rPr>
          <w:rFonts w:ascii="Book Antiqua" w:hAnsi="Book Antiqua" w:cs="SimSun"/>
          <w:b/>
          <w:bCs/>
          <w:color w:val="000000"/>
          <w:sz w:val="24"/>
          <w:szCs w:val="24"/>
          <w:lang w:val="en-US" w:eastAsia="zh-CN"/>
        </w:rPr>
        <w:t>Di Lernia V</w:t>
      </w:r>
      <w:r w:rsidRPr="00A64FF0">
        <w:rPr>
          <w:rFonts w:ascii="Book Antiqua" w:hAnsi="Book Antiqua" w:cs="SimSun"/>
          <w:color w:val="000000"/>
          <w:sz w:val="24"/>
          <w:szCs w:val="24"/>
          <w:lang w:val="en-US" w:eastAsia="zh-CN"/>
        </w:rPr>
        <w:t>, Guareschi E. Successful treatment of hand and foot psoriasis with infliximab. </w:t>
      </w:r>
      <w:r w:rsidRPr="00A64FF0">
        <w:rPr>
          <w:rFonts w:ascii="Book Antiqua" w:hAnsi="Book Antiqua" w:cs="SimSun"/>
          <w:i/>
          <w:iCs/>
          <w:color w:val="000000"/>
          <w:sz w:val="24"/>
          <w:szCs w:val="24"/>
          <w:lang w:val="en-US" w:eastAsia="zh-CN"/>
        </w:rPr>
        <w:t>Dermatol Online J</w:t>
      </w:r>
      <w:r w:rsidRPr="00A64FF0">
        <w:rPr>
          <w:rFonts w:ascii="Book Antiqua" w:hAnsi="Book Antiqua" w:cs="SimSun"/>
          <w:color w:val="000000"/>
          <w:sz w:val="24"/>
          <w:szCs w:val="24"/>
          <w:lang w:val="en-US" w:eastAsia="zh-CN"/>
        </w:rPr>
        <w:t> 2010; </w:t>
      </w:r>
      <w:r w:rsidRPr="00A64FF0">
        <w:rPr>
          <w:rFonts w:ascii="Book Antiqua" w:hAnsi="Book Antiqua" w:cs="SimSun"/>
          <w:b/>
          <w:bCs/>
          <w:color w:val="000000"/>
          <w:sz w:val="24"/>
          <w:szCs w:val="24"/>
          <w:lang w:val="en-US" w:eastAsia="zh-CN"/>
        </w:rPr>
        <w:t>16</w:t>
      </w:r>
      <w:r w:rsidRPr="00A64FF0">
        <w:rPr>
          <w:rFonts w:ascii="Book Antiqua" w:hAnsi="Book Antiqua" w:cs="SimSun"/>
          <w:color w:val="000000"/>
          <w:sz w:val="24"/>
          <w:szCs w:val="24"/>
          <w:lang w:val="en-US" w:eastAsia="zh-CN"/>
        </w:rPr>
        <w:t>: 8 [PMID: 20673536]</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101 </w:t>
      </w:r>
      <w:r w:rsidRPr="00A64FF0">
        <w:rPr>
          <w:rFonts w:ascii="Book Antiqua" w:hAnsi="Book Antiqua" w:cs="SimSun"/>
          <w:b/>
          <w:bCs/>
          <w:color w:val="000000"/>
          <w:sz w:val="24"/>
          <w:szCs w:val="24"/>
          <w:lang w:val="en-US" w:eastAsia="zh-CN"/>
        </w:rPr>
        <w:t>Zanni M</w:t>
      </w:r>
      <w:r w:rsidRPr="00A64FF0">
        <w:rPr>
          <w:rFonts w:ascii="Book Antiqua" w:hAnsi="Book Antiqua" w:cs="SimSun"/>
          <w:color w:val="000000"/>
          <w:sz w:val="24"/>
          <w:szCs w:val="24"/>
          <w:lang w:val="en-US" w:eastAsia="zh-CN"/>
        </w:rPr>
        <w:t>, Missale G, Santilli D, Di Nuzzo S. Etanercept in the treatment of psoriasis and psoriatic arthritis with concomitant hepatitis C virus infection: clinical and virological study in three patients. </w:t>
      </w:r>
      <w:r w:rsidRPr="00A64FF0">
        <w:rPr>
          <w:rFonts w:ascii="Book Antiqua" w:hAnsi="Book Antiqua" w:cs="SimSun"/>
          <w:i/>
          <w:iCs/>
          <w:color w:val="000000"/>
          <w:sz w:val="24"/>
          <w:szCs w:val="24"/>
          <w:lang w:val="en-US" w:eastAsia="zh-CN"/>
        </w:rPr>
        <w:t>Eur J Dermatol</w:t>
      </w:r>
      <w:r w:rsidRPr="00A64FF0">
        <w:rPr>
          <w:rFonts w:ascii="Book Antiqua" w:hAnsi="Book Antiqua" w:cs="SimSun"/>
          <w:color w:val="000000"/>
          <w:sz w:val="24"/>
          <w:szCs w:val="24"/>
          <w:lang w:val="en-US" w:eastAsia="zh-CN"/>
        </w:rPr>
        <w:t> 2011; </w:t>
      </w:r>
      <w:r w:rsidRPr="00A64FF0">
        <w:rPr>
          <w:rFonts w:ascii="Book Antiqua" w:hAnsi="Book Antiqua" w:cs="SimSun"/>
          <w:b/>
          <w:bCs/>
          <w:color w:val="000000"/>
          <w:sz w:val="24"/>
          <w:szCs w:val="24"/>
          <w:lang w:val="en-US" w:eastAsia="zh-CN"/>
        </w:rPr>
        <w:t>21</w:t>
      </w:r>
      <w:r w:rsidRPr="00A64FF0">
        <w:rPr>
          <w:rFonts w:ascii="Book Antiqua" w:hAnsi="Book Antiqua" w:cs="SimSun"/>
          <w:color w:val="000000"/>
          <w:sz w:val="24"/>
          <w:szCs w:val="24"/>
          <w:lang w:val="en-US" w:eastAsia="zh-CN"/>
        </w:rPr>
        <w:t>: 564-567 [PMID: 21543290 DOI: 10.1684/ejd.2011.1318]</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102 </w:t>
      </w:r>
      <w:r w:rsidRPr="00A64FF0">
        <w:rPr>
          <w:rFonts w:ascii="Book Antiqua" w:hAnsi="Book Antiqua" w:cs="SimSun"/>
          <w:b/>
          <w:bCs/>
          <w:color w:val="000000"/>
          <w:sz w:val="24"/>
          <w:szCs w:val="24"/>
          <w:lang w:val="en-US" w:eastAsia="zh-CN"/>
        </w:rPr>
        <w:t>Mederacke I</w:t>
      </w:r>
      <w:r w:rsidRPr="00A64FF0">
        <w:rPr>
          <w:rFonts w:ascii="Book Antiqua" w:hAnsi="Book Antiqua" w:cs="SimSun"/>
          <w:color w:val="000000"/>
          <w:sz w:val="24"/>
          <w:szCs w:val="24"/>
          <w:lang w:val="en-US" w:eastAsia="zh-CN"/>
        </w:rPr>
        <w:t>, Witte T, Wedemeyer H, Meyer-Olson D. Successful clearance of hepatitis C virus with pegylated interferon α-2a and ribavirin in an etanercept-treated patient with psoriatic arthritis, hepatitis B virus coinfection and latent tuberculosis. </w:t>
      </w:r>
      <w:r w:rsidRPr="00A64FF0">
        <w:rPr>
          <w:rFonts w:ascii="Book Antiqua" w:hAnsi="Book Antiqua" w:cs="SimSun"/>
          <w:i/>
          <w:iCs/>
          <w:color w:val="000000"/>
          <w:sz w:val="24"/>
          <w:szCs w:val="24"/>
          <w:lang w:val="en-US" w:eastAsia="zh-CN"/>
        </w:rPr>
        <w:t>Ann Rheum Dis</w:t>
      </w:r>
      <w:r w:rsidRPr="00A64FF0">
        <w:rPr>
          <w:rFonts w:ascii="Book Antiqua" w:hAnsi="Book Antiqua" w:cs="SimSun"/>
          <w:color w:val="000000"/>
          <w:sz w:val="24"/>
          <w:szCs w:val="24"/>
          <w:lang w:val="en-US" w:eastAsia="zh-CN"/>
        </w:rPr>
        <w:t> 2011; </w:t>
      </w:r>
      <w:r w:rsidRPr="00A64FF0">
        <w:rPr>
          <w:rFonts w:ascii="Book Antiqua" w:hAnsi="Book Antiqua" w:cs="SimSun"/>
          <w:b/>
          <w:bCs/>
          <w:color w:val="000000"/>
          <w:sz w:val="24"/>
          <w:szCs w:val="24"/>
          <w:lang w:val="en-US" w:eastAsia="zh-CN"/>
        </w:rPr>
        <w:t>70</w:t>
      </w:r>
      <w:r w:rsidRPr="00A64FF0">
        <w:rPr>
          <w:rFonts w:ascii="Book Antiqua" w:hAnsi="Book Antiqua" w:cs="SimSun"/>
          <w:color w:val="000000"/>
          <w:sz w:val="24"/>
          <w:szCs w:val="24"/>
          <w:lang w:val="en-US" w:eastAsia="zh-CN"/>
        </w:rPr>
        <w:t>: 1343-1344 [PMID: 21131645 DOI: 10.1136/ard.2010.139824]</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103 </w:t>
      </w:r>
      <w:r w:rsidRPr="00A64FF0">
        <w:rPr>
          <w:rFonts w:ascii="Book Antiqua" w:hAnsi="Book Antiqua" w:cs="SimSun"/>
          <w:b/>
          <w:bCs/>
          <w:color w:val="000000"/>
          <w:sz w:val="24"/>
          <w:szCs w:val="24"/>
          <w:lang w:val="en-US" w:eastAsia="zh-CN"/>
        </w:rPr>
        <w:t>Bartalesi F</w:t>
      </w:r>
      <w:r w:rsidRPr="00A64FF0">
        <w:rPr>
          <w:rFonts w:ascii="Book Antiqua" w:hAnsi="Book Antiqua" w:cs="SimSun"/>
          <w:color w:val="000000"/>
          <w:sz w:val="24"/>
          <w:szCs w:val="24"/>
          <w:lang w:val="en-US" w:eastAsia="zh-CN"/>
        </w:rPr>
        <w:t>, Salomoni E, Cavallo A, Corti G, Pimpinelli N, Bartoloni A, Taliani G. Chronic hepatitis C virus hepatitis and psoriasis: no longer a contraindication to interferon use in the era of biological agents? </w:t>
      </w:r>
      <w:r w:rsidRPr="00A64FF0">
        <w:rPr>
          <w:rFonts w:ascii="Book Antiqua" w:hAnsi="Book Antiqua" w:cs="SimSun"/>
          <w:i/>
          <w:iCs/>
          <w:color w:val="000000"/>
          <w:sz w:val="24"/>
          <w:szCs w:val="24"/>
          <w:lang w:val="en-US" w:eastAsia="zh-CN"/>
        </w:rPr>
        <w:t>Scand J Infect Dis</w:t>
      </w:r>
      <w:r w:rsidRPr="00A64FF0">
        <w:rPr>
          <w:rFonts w:ascii="Book Antiqua" w:hAnsi="Book Antiqua" w:cs="SimSun"/>
          <w:color w:val="000000"/>
          <w:sz w:val="24"/>
          <w:szCs w:val="24"/>
          <w:lang w:val="en-US" w:eastAsia="zh-CN"/>
        </w:rPr>
        <w:t> 2013; </w:t>
      </w:r>
      <w:r w:rsidRPr="00A64FF0">
        <w:rPr>
          <w:rFonts w:ascii="Book Antiqua" w:hAnsi="Book Antiqua" w:cs="SimSun"/>
          <w:b/>
          <w:bCs/>
          <w:color w:val="000000"/>
          <w:sz w:val="24"/>
          <w:szCs w:val="24"/>
          <w:lang w:val="en-US" w:eastAsia="zh-CN"/>
        </w:rPr>
        <w:t>45</w:t>
      </w:r>
      <w:r w:rsidRPr="00A64FF0">
        <w:rPr>
          <w:rFonts w:ascii="Book Antiqua" w:hAnsi="Book Antiqua" w:cs="SimSun"/>
          <w:color w:val="000000"/>
          <w:sz w:val="24"/>
          <w:szCs w:val="24"/>
          <w:lang w:val="en-US" w:eastAsia="zh-CN"/>
        </w:rPr>
        <w:t>: 320-323 [PMID: 23113733 DOI: 10.3109/00365548.2012.720026]</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104 </w:t>
      </w:r>
      <w:r w:rsidRPr="00A64FF0">
        <w:rPr>
          <w:rFonts w:ascii="Book Antiqua" w:hAnsi="Book Antiqua" w:cs="SimSun"/>
          <w:b/>
          <w:bCs/>
          <w:color w:val="000000"/>
          <w:sz w:val="24"/>
          <w:szCs w:val="24"/>
          <w:lang w:val="en-US" w:eastAsia="zh-CN"/>
        </w:rPr>
        <w:t>Costa L</w:t>
      </w:r>
      <w:r w:rsidRPr="00A64FF0">
        <w:rPr>
          <w:rFonts w:ascii="Book Antiqua" w:hAnsi="Book Antiqua" w:cs="SimSun"/>
          <w:color w:val="000000"/>
          <w:sz w:val="24"/>
          <w:szCs w:val="24"/>
          <w:lang w:val="en-US" w:eastAsia="zh-CN"/>
        </w:rPr>
        <w:t>, Caso F, Atteno M, Giannitti C, Spadaro A, Ramonda R, Vezzù M, Del Puente A, Morisco F, Fiocco U, Galeazzi M, Punzi L, Scarpa R. Long-term safety of anti-TNF-α in PsA patients with concomitant HCV infection: a retrospective observational multicenter study on 15 patients. </w:t>
      </w:r>
      <w:r w:rsidRPr="00A64FF0">
        <w:rPr>
          <w:rFonts w:ascii="Book Antiqua" w:hAnsi="Book Antiqua" w:cs="SimSun"/>
          <w:i/>
          <w:iCs/>
          <w:color w:val="000000"/>
          <w:sz w:val="24"/>
          <w:szCs w:val="24"/>
          <w:lang w:val="en-US" w:eastAsia="zh-CN"/>
        </w:rPr>
        <w:t>Clin Rheumatol</w:t>
      </w:r>
      <w:r w:rsidRPr="00A64FF0">
        <w:rPr>
          <w:rFonts w:ascii="Book Antiqua" w:hAnsi="Book Antiqua" w:cs="SimSun"/>
          <w:color w:val="000000"/>
          <w:sz w:val="24"/>
          <w:szCs w:val="24"/>
          <w:lang w:val="en-US" w:eastAsia="zh-CN"/>
        </w:rPr>
        <w:t> 2014; </w:t>
      </w:r>
      <w:r w:rsidRPr="00A64FF0">
        <w:rPr>
          <w:rFonts w:ascii="Book Antiqua" w:hAnsi="Book Antiqua" w:cs="SimSun"/>
          <w:b/>
          <w:bCs/>
          <w:color w:val="000000"/>
          <w:sz w:val="24"/>
          <w:szCs w:val="24"/>
          <w:lang w:val="en-US" w:eastAsia="zh-CN"/>
        </w:rPr>
        <w:t>33</w:t>
      </w:r>
      <w:r w:rsidRPr="00A64FF0">
        <w:rPr>
          <w:rFonts w:ascii="Book Antiqua" w:hAnsi="Book Antiqua" w:cs="SimSun"/>
          <w:color w:val="000000"/>
          <w:sz w:val="24"/>
          <w:szCs w:val="24"/>
          <w:lang w:val="en-US" w:eastAsia="zh-CN"/>
        </w:rPr>
        <w:t>: 273-276 [PMID: 23975363]</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105 </w:t>
      </w:r>
      <w:r w:rsidRPr="00A64FF0">
        <w:rPr>
          <w:rFonts w:ascii="Book Antiqua" w:hAnsi="Book Antiqua" w:cs="SimSun"/>
          <w:b/>
          <w:bCs/>
          <w:color w:val="000000"/>
          <w:sz w:val="24"/>
          <w:szCs w:val="24"/>
          <w:lang w:val="en-US" w:eastAsia="zh-CN"/>
        </w:rPr>
        <w:t>Di Nuzzo S</w:t>
      </w:r>
      <w:r w:rsidRPr="00A64FF0">
        <w:rPr>
          <w:rFonts w:ascii="Book Antiqua" w:hAnsi="Book Antiqua" w:cs="SimSun"/>
          <w:color w:val="000000"/>
          <w:sz w:val="24"/>
          <w:szCs w:val="24"/>
          <w:lang w:val="en-US" w:eastAsia="zh-CN"/>
        </w:rPr>
        <w:t>, Boccaletti V, Fantini C, Cortelazzi C, Missale G, Fabrizi G, Lotti T, Hercogová J, Pagliarello C. Are Anti-TNF-α Agents Safe for Treating Psoriasis in Hepatitis C Virus Patients with Advanced Liver Disease? Case Reports and Review of the Literature. </w:t>
      </w:r>
      <w:r w:rsidRPr="00A64FF0">
        <w:rPr>
          <w:rFonts w:ascii="Book Antiqua" w:hAnsi="Book Antiqua" w:cs="SimSun"/>
          <w:i/>
          <w:iCs/>
          <w:color w:val="000000"/>
          <w:sz w:val="24"/>
          <w:szCs w:val="24"/>
          <w:lang w:val="en-US" w:eastAsia="zh-CN"/>
        </w:rPr>
        <w:t>Dermatology</w:t>
      </w:r>
      <w:r w:rsidRPr="00A64FF0">
        <w:rPr>
          <w:rFonts w:ascii="Book Antiqua" w:hAnsi="Book Antiqua" w:cs="SimSun"/>
          <w:color w:val="000000"/>
          <w:sz w:val="24"/>
          <w:szCs w:val="24"/>
          <w:lang w:val="en-US" w:eastAsia="zh-CN"/>
        </w:rPr>
        <w:t> 2016; </w:t>
      </w:r>
      <w:r w:rsidRPr="00A64FF0">
        <w:rPr>
          <w:rFonts w:ascii="Book Antiqua" w:hAnsi="Book Antiqua" w:cs="SimSun"/>
          <w:b/>
          <w:bCs/>
          <w:color w:val="000000"/>
          <w:sz w:val="24"/>
          <w:szCs w:val="24"/>
          <w:lang w:val="en-US" w:eastAsia="zh-CN"/>
        </w:rPr>
        <w:t>232</w:t>
      </w:r>
      <w:r w:rsidRPr="00A64FF0">
        <w:rPr>
          <w:rFonts w:ascii="Book Antiqua" w:hAnsi="Book Antiqua" w:cs="SimSun"/>
          <w:color w:val="000000"/>
          <w:sz w:val="24"/>
          <w:szCs w:val="24"/>
          <w:lang w:val="en-US" w:eastAsia="zh-CN"/>
        </w:rPr>
        <w:t>: 102-106 [PMID: 26444967 DOI: 10.1159/000439587]</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106 </w:t>
      </w:r>
      <w:r w:rsidRPr="00A64FF0">
        <w:rPr>
          <w:rFonts w:ascii="Book Antiqua" w:hAnsi="Book Antiqua" w:cs="SimSun"/>
          <w:b/>
          <w:bCs/>
          <w:color w:val="000000"/>
          <w:sz w:val="24"/>
          <w:szCs w:val="24"/>
          <w:lang w:val="en-US" w:eastAsia="zh-CN"/>
        </w:rPr>
        <w:t>Salvi M</w:t>
      </w:r>
      <w:r w:rsidRPr="00A64FF0">
        <w:rPr>
          <w:rFonts w:ascii="Book Antiqua" w:hAnsi="Book Antiqua" w:cs="SimSun"/>
          <w:color w:val="000000"/>
          <w:sz w:val="24"/>
          <w:szCs w:val="24"/>
          <w:lang w:val="en-US" w:eastAsia="zh-CN"/>
        </w:rPr>
        <w:t>, Macaluso L, Luci C, Mattozzi C, Paolino G, Aprea Y, Calvieri S, Richetta AG. Safety and efficacy of anti-tumor necrosis factors α in patients with psoriasis and chronic hepatitis C. </w:t>
      </w:r>
      <w:r w:rsidRPr="00A64FF0">
        <w:rPr>
          <w:rFonts w:ascii="Book Antiqua" w:hAnsi="Book Antiqua" w:cs="SimSun"/>
          <w:i/>
          <w:iCs/>
          <w:color w:val="000000"/>
          <w:sz w:val="24"/>
          <w:szCs w:val="24"/>
          <w:lang w:val="en-US" w:eastAsia="zh-CN"/>
        </w:rPr>
        <w:t>World J Clin Cases</w:t>
      </w:r>
      <w:r w:rsidRPr="00A64FF0">
        <w:rPr>
          <w:rFonts w:ascii="Book Antiqua" w:hAnsi="Book Antiqua" w:cs="SimSun"/>
          <w:color w:val="000000"/>
          <w:sz w:val="24"/>
          <w:szCs w:val="24"/>
          <w:lang w:val="en-US" w:eastAsia="zh-CN"/>
        </w:rPr>
        <w:t> 2016; </w:t>
      </w:r>
      <w:r w:rsidRPr="00A64FF0">
        <w:rPr>
          <w:rFonts w:ascii="Book Antiqua" w:hAnsi="Book Antiqua" w:cs="SimSun"/>
          <w:b/>
          <w:bCs/>
          <w:color w:val="000000"/>
          <w:sz w:val="24"/>
          <w:szCs w:val="24"/>
          <w:lang w:val="en-US" w:eastAsia="zh-CN"/>
        </w:rPr>
        <w:t>4</w:t>
      </w:r>
      <w:r w:rsidRPr="00A64FF0">
        <w:rPr>
          <w:rFonts w:ascii="Book Antiqua" w:hAnsi="Book Antiqua" w:cs="SimSun"/>
          <w:color w:val="000000"/>
          <w:sz w:val="24"/>
          <w:szCs w:val="24"/>
          <w:lang w:val="en-US" w:eastAsia="zh-CN"/>
        </w:rPr>
        <w:t>: 49-55 [PMID: 26881191 DOI: 10.12998/wjcc.v4.i2.49]</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lastRenderedPageBreak/>
        <w:t>107 </w:t>
      </w:r>
      <w:r w:rsidRPr="00A64FF0">
        <w:rPr>
          <w:rFonts w:ascii="Book Antiqua" w:hAnsi="Book Antiqua" w:cs="SimSun"/>
          <w:b/>
          <w:bCs/>
          <w:color w:val="000000"/>
          <w:sz w:val="24"/>
          <w:szCs w:val="24"/>
          <w:lang w:val="en-US" w:eastAsia="zh-CN"/>
        </w:rPr>
        <w:t>Cooper S</w:t>
      </w:r>
      <w:r w:rsidRPr="00A64FF0">
        <w:rPr>
          <w:rFonts w:ascii="Book Antiqua" w:hAnsi="Book Antiqua" w:cs="SimSun"/>
          <w:color w:val="000000"/>
          <w:sz w:val="24"/>
          <w:szCs w:val="24"/>
          <w:lang w:val="en-US" w:eastAsia="zh-CN"/>
        </w:rPr>
        <w:t>, Erickson AL, Adams EJ, Kansopon J, Weiner AJ, Chien DY, Houghton M, Parham P, Walker CM. Analysis of a successful immune response against hepatitis C virus. </w:t>
      </w:r>
      <w:r w:rsidRPr="00A64FF0">
        <w:rPr>
          <w:rFonts w:ascii="Book Antiqua" w:hAnsi="Book Antiqua" w:cs="SimSun"/>
          <w:i/>
          <w:iCs/>
          <w:color w:val="000000"/>
          <w:sz w:val="24"/>
          <w:szCs w:val="24"/>
          <w:lang w:val="en-US" w:eastAsia="zh-CN"/>
        </w:rPr>
        <w:t>Immunity</w:t>
      </w:r>
      <w:r w:rsidRPr="00A64FF0">
        <w:rPr>
          <w:rFonts w:ascii="Book Antiqua" w:hAnsi="Book Antiqua" w:cs="SimSun"/>
          <w:color w:val="000000"/>
          <w:sz w:val="24"/>
          <w:szCs w:val="24"/>
          <w:lang w:val="en-US" w:eastAsia="zh-CN"/>
        </w:rPr>
        <w:t> 1999; </w:t>
      </w:r>
      <w:r w:rsidRPr="00A64FF0">
        <w:rPr>
          <w:rFonts w:ascii="Book Antiqua" w:hAnsi="Book Antiqua" w:cs="SimSun"/>
          <w:b/>
          <w:bCs/>
          <w:color w:val="000000"/>
          <w:sz w:val="24"/>
          <w:szCs w:val="24"/>
          <w:lang w:val="en-US" w:eastAsia="zh-CN"/>
        </w:rPr>
        <w:t>10</w:t>
      </w:r>
      <w:r w:rsidRPr="00A64FF0">
        <w:rPr>
          <w:rFonts w:ascii="Book Antiqua" w:hAnsi="Book Antiqua" w:cs="SimSun"/>
          <w:color w:val="000000"/>
          <w:sz w:val="24"/>
          <w:szCs w:val="24"/>
          <w:lang w:val="en-US" w:eastAsia="zh-CN"/>
        </w:rPr>
        <w:t>: 439-449 [PMID: 10229187 DOI: 10.1016/S1074-7613(00)80044-8]</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108 </w:t>
      </w:r>
      <w:r w:rsidRPr="00A64FF0">
        <w:rPr>
          <w:rFonts w:ascii="Book Antiqua" w:hAnsi="Book Antiqua" w:cs="SimSun"/>
          <w:b/>
          <w:bCs/>
          <w:color w:val="000000"/>
          <w:sz w:val="24"/>
          <w:szCs w:val="24"/>
          <w:lang w:val="en-US" w:eastAsia="zh-CN"/>
        </w:rPr>
        <w:t>Lechner F</w:t>
      </w:r>
      <w:r w:rsidRPr="00A64FF0">
        <w:rPr>
          <w:rFonts w:ascii="Book Antiqua" w:hAnsi="Book Antiqua" w:cs="SimSun"/>
          <w:color w:val="000000"/>
          <w:sz w:val="24"/>
          <w:szCs w:val="24"/>
          <w:lang w:val="en-US" w:eastAsia="zh-CN"/>
        </w:rPr>
        <w:t>, Wong DK, Dunbar PR, Chapman R, Chung RT, Dohrenwend P, Robbins G, Phillips R, Klenerman P, Walker BD. Analysis of successful immune responses in persons infected with hepatitis C virus. </w:t>
      </w:r>
      <w:r w:rsidRPr="00A64FF0">
        <w:rPr>
          <w:rFonts w:ascii="Book Antiqua" w:hAnsi="Book Antiqua" w:cs="SimSun"/>
          <w:i/>
          <w:iCs/>
          <w:color w:val="000000"/>
          <w:sz w:val="24"/>
          <w:szCs w:val="24"/>
          <w:lang w:val="en-US" w:eastAsia="zh-CN"/>
        </w:rPr>
        <w:t>J Exp Med</w:t>
      </w:r>
      <w:r w:rsidRPr="00A64FF0">
        <w:rPr>
          <w:rFonts w:ascii="Book Antiqua" w:hAnsi="Book Antiqua" w:cs="SimSun"/>
          <w:color w:val="000000"/>
          <w:sz w:val="24"/>
          <w:szCs w:val="24"/>
          <w:lang w:val="en-US" w:eastAsia="zh-CN"/>
        </w:rPr>
        <w:t> 2000; </w:t>
      </w:r>
      <w:r w:rsidRPr="00A64FF0">
        <w:rPr>
          <w:rFonts w:ascii="Book Antiqua" w:hAnsi="Book Antiqua" w:cs="SimSun"/>
          <w:b/>
          <w:bCs/>
          <w:color w:val="000000"/>
          <w:sz w:val="24"/>
          <w:szCs w:val="24"/>
          <w:lang w:val="en-US" w:eastAsia="zh-CN"/>
        </w:rPr>
        <w:t>191</w:t>
      </w:r>
      <w:r w:rsidRPr="00A64FF0">
        <w:rPr>
          <w:rFonts w:ascii="Book Antiqua" w:hAnsi="Book Antiqua" w:cs="SimSun"/>
          <w:color w:val="000000"/>
          <w:sz w:val="24"/>
          <w:szCs w:val="24"/>
          <w:lang w:val="en-US" w:eastAsia="zh-CN"/>
        </w:rPr>
        <w:t>: 1499-1512 [PMID: 10790425]</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109 </w:t>
      </w:r>
      <w:r w:rsidRPr="00A64FF0">
        <w:rPr>
          <w:rFonts w:ascii="Book Antiqua" w:hAnsi="Book Antiqua" w:cs="SimSun"/>
          <w:b/>
          <w:bCs/>
          <w:color w:val="000000"/>
          <w:sz w:val="24"/>
          <w:szCs w:val="24"/>
          <w:lang w:val="en-US" w:eastAsia="zh-CN"/>
        </w:rPr>
        <w:t>Abuchar A</w:t>
      </w:r>
      <w:r w:rsidRPr="00A64FF0">
        <w:rPr>
          <w:rFonts w:ascii="Book Antiqua" w:hAnsi="Book Antiqua" w:cs="SimSun"/>
          <w:color w:val="000000"/>
          <w:sz w:val="24"/>
          <w:szCs w:val="24"/>
          <w:lang w:val="en-US" w:eastAsia="zh-CN"/>
        </w:rPr>
        <w:t>, Vitiello M, Kerdel FA. Psoriasis treated with ustekinumab in a patient with hepatitis C. </w:t>
      </w:r>
      <w:r w:rsidRPr="00A64FF0">
        <w:rPr>
          <w:rFonts w:ascii="Book Antiqua" w:hAnsi="Book Antiqua" w:cs="SimSun"/>
          <w:i/>
          <w:iCs/>
          <w:color w:val="000000"/>
          <w:sz w:val="24"/>
          <w:szCs w:val="24"/>
          <w:lang w:val="en-US" w:eastAsia="zh-CN"/>
        </w:rPr>
        <w:t>Int J Dermatol</w:t>
      </w:r>
      <w:r w:rsidRPr="00A64FF0">
        <w:rPr>
          <w:rFonts w:ascii="Book Antiqua" w:hAnsi="Book Antiqua" w:cs="SimSun"/>
          <w:color w:val="000000"/>
          <w:sz w:val="24"/>
          <w:szCs w:val="24"/>
          <w:lang w:val="en-US" w:eastAsia="zh-CN"/>
        </w:rPr>
        <w:t> 2013; </w:t>
      </w:r>
      <w:r w:rsidRPr="00A64FF0">
        <w:rPr>
          <w:rFonts w:ascii="Book Antiqua" w:hAnsi="Book Antiqua" w:cs="SimSun"/>
          <w:b/>
          <w:bCs/>
          <w:color w:val="000000"/>
          <w:sz w:val="24"/>
          <w:szCs w:val="24"/>
          <w:lang w:val="en-US" w:eastAsia="zh-CN"/>
        </w:rPr>
        <w:t>52</w:t>
      </w:r>
      <w:r w:rsidRPr="00A64FF0">
        <w:rPr>
          <w:rFonts w:ascii="Book Antiqua" w:hAnsi="Book Antiqua" w:cs="SimSun"/>
          <w:color w:val="000000"/>
          <w:sz w:val="24"/>
          <w:szCs w:val="24"/>
          <w:lang w:val="en-US" w:eastAsia="zh-CN"/>
        </w:rPr>
        <w:t>: 381-382 [PMID: 23414168 DOI: 10.1111/j.1365-4632.2011.04876.x]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110 </w:t>
      </w:r>
      <w:r w:rsidRPr="00A64FF0">
        <w:rPr>
          <w:rFonts w:ascii="Book Antiqua" w:hAnsi="Book Antiqua" w:cs="SimSun"/>
          <w:b/>
          <w:bCs/>
          <w:color w:val="000000"/>
          <w:sz w:val="24"/>
          <w:szCs w:val="24"/>
          <w:lang w:val="en-US" w:eastAsia="zh-CN"/>
        </w:rPr>
        <w:t>Juan J</w:t>
      </w:r>
      <w:r w:rsidRPr="00A64FF0">
        <w:rPr>
          <w:rFonts w:ascii="Book Antiqua" w:hAnsi="Book Antiqua" w:cs="SimSun"/>
          <w:color w:val="000000"/>
          <w:sz w:val="24"/>
          <w:szCs w:val="24"/>
          <w:lang w:val="en-US" w:eastAsia="zh-CN"/>
        </w:rPr>
        <w:t>, Feld JJ. Hepatitis B virus and hepatitis C virus treatment and management in patients receiving immune-modifying agents. </w:t>
      </w:r>
      <w:r w:rsidRPr="00A64FF0">
        <w:rPr>
          <w:rFonts w:ascii="Book Antiqua" w:hAnsi="Book Antiqua" w:cs="SimSun"/>
          <w:i/>
          <w:iCs/>
          <w:color w:val="000000"/>
          <w:sz w:val="24"/>
          <w:szCs w:val="24"/>
          <w:lang w:val="en-US" w:eastAsia="zh-CN"/>
        </w:rPr>
        <w:t>Curr Opin Rheumatol</w:t>
      </w:r>
      <w:r w:rsidRPr="00A64FF0">
        <w:rPr>
          <w:rFonts w:ascii="Book Antiqua" w:hAnsi="Book Antiqua" w:cs="SimSun"/>
          <w:color w:val="000000"/>
          <w:sz w:val="24"/>
          <w:szCs w:val="24"/>
          <w:lang w:val="en-US" w:eastAsia="zh-CN"/>
        </w:rPr>
        <w:t> 2014; </w:t>
      </w:r>
      <w:r w:rsidRPr="00A64FF0">
        <w:rPr>
          <w:rFonts w:ascii="Book Antiqua" w:hAnsi="Book Antiqua" w:cs="SimSun"/>
          <w:b/>
          <w:bCs/>
          <w:color w:val="000000"/>
          <w:sz w:val="24"/>
          <w:szCs w:val="24"/>
          <w:lang w:val="en-US" w:eastAsia="zh-CN"/>
        </w:rPr>
        <w:t>26</w:t>
      </w:r>
      <w:r w:rsidRPr="00A64FF0">
        <w:rPr>
          <w:rFonts w:ascii="Book Antiqua" w:hAnsi="Book Antiqua" w:cs="SimSun"/>
          <w:color w:val="000000"/>
          <w:sz w:val="24"/>
          <w:szCs w:val="24"/>
          <w:lang w:val="en-US" w:eastAsia="zh-CN"/>
        </w:rPr>
        <w:t>: 395-403 [PMID: 24841230 DOI: 10.1097/BOR.0000000000000067]</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111 </w:t>
      </w:r>
      <w:r w:rsidRPr="00A64FF0">
        <w:rPr>
          <w:rFonts w:ascii="Book Antiqua" w:hAnsi="Book Antiqua" w:cs="SimSun"/>
          <w:b/>
          <w:bCs/>
          <w:color w:val="000000"/>
          <w:sz w:val="24"/>
          <w:szCs w:val="24"/>
          <w:lang w:val="en-US" w:eastAsia="zh-CN"/>
        </w:rPr>
        <w:t>Yang YW</w:t>
      </w:r>
      <w:r w:rsidRPr="00A64FF0">
        <w:rPr>
          <w:rFonts w:ascii="Book Antiqua" w:hAnsi="Book Antiqua" w:cs="SimSun"/>
          <w:color w:val="000000"/>
          <w:sz w:val="24"/>
          <w:szCs w:val="24"/>
          <w:lang w:val="en-US" w:eastAsia="zh-CN"/>
        </w:rPr>
        <w:t>, Keller JJ, Lin HC. Medical comorbidity associated with psoriasis in adults: a population-based study. </w:t>
      </w:r>
      <w:r w:rsidRPr="00A64FF0">
        <w:rPr>
          <w:rFonts w:ascii="Book Antiqua" w:hAnsi="Book Antiqua" w:cs="SimSun"/>
          <w:i/>
          <w:iCs/>
          <w:color w:val="000000"/>
          <w:sz w:val="24"/>
          <w:szCs w:val="24"/>
          <w:lang w:val="en-US" w:eastAsia="zh-CN"/>
        </w:rPr>
        <w:t>Br J Dermatol</w:t>
      </w:r>
      <w:r w:rsidRPr="00A64FF0">
        <w:rPr>
          <w:rFonts w:ascii="Book Antiqua" w:hAnsi="Book Antiqua" w:cs="SimSun"/>
          <w:color w:val="000000"/>
          <w:sz w:val="24"/>
          <w:szCs w:val="24"/>
          <w:lang w:val="en-US" w:eastAsia="zh-CN"/>
        </w:rPr>
        <w:t> 2011; </w:t>
      </w:r>
      <w:r w:rsidRPr="00A64FF0">
        <w:rPr>
          <w:rFonts w:ascii="Book Antiqua" w:hAnsi="Book Antiqua" w:cs="SimSun"/>
          <w:b/>
          <w:bCs/>
          <w:color w:val="000000"/>
          <w:sz w:val="24"/>
          <w:szCs w:val="24"/>
          <w:lang w:val="en-US" w:eastAsia="zh-CN"/>
        </w:rPr>
        <w:t>165</w:t>
      </w:r>
      <w:r w:rsidRPr="00A64FF0">
        <w:rPr>
          <w:rFonts w:ascii="Book Antiqua" w:hAnsi="Book Antiqua" w:cs="SimSun"/>
          <w:color w:val="000000"/>
          <w:sz w:val="24"/>
          <w:szCs w:val="24"/>
          <w:lang w:val="en-US" w:eastAsia="zh-CN"/>
        </w:rPr>
        <w:t>: 1037-1043 [PMID: 21711339 DOI: 10.1111/j.1365-2133.2011.10494.x]</w:t>
      </w:r>
    </w:p>
    <w:p w:rsidR="000E6007" w:rsidRPr="00A64FF0" w:rsidRDefault="000E6007" w:rsidP="00467AE1">
      <w:pPr>
        <w:adjustRightInd w:val="0"/>
        <w:snapToGrid w:val="0"/>
        <w:spacing w:after="0" w:line="360" w:lineRule="auto"/>
        <w:jc w:val="both"/>
        <w:rPr>
          <w:rFonts w:ascii="Book Antiqua" w:hAnsi="Book Antiqua" w:cs="SimSun"/>
          <w:color w:val="000000"/>
          <w:sz w:val="24"/>
          <w:szCs w:val="24"/>
          <w:lang w:val="en-US" w:eastAsia="zh-CN"/>
        </w:rPr>
      </w:pPr>
      <w:r w:rsidRPr="00A64FF0">
        <w:rPr>
          <w:rFonts w:ascii="Book Antiqua" w:hAnsi="Book Antiqua" w:cs="SimSun"/>
          <w:color w:val="000000"/>
          <w:sz w:val="24"/>
          <w:szCs w:val="24"/>
          <w:lang w:val="en-US" w:eastAsia="zh-CN"/>
        </w:rPr>
        <w:t>112 </w:t>
      </w:r>
      <w:r w:rsidRPr="00A64FF0">
        <w:rPr>
          <w:rFonts w:ascii="Book Antiqua" w:hAnsi="Book Antiqua" w:cs="SimSun"/>
          <w:b/>
          <w:bCs/>
          <w:color w:val="000000"/>
          <w:sz w:val="24"/>
          <w:szCs w:val="24"/>
          <w:lang w:val="en-US" w:eastAsia="zh-CN"/>
        </w:rPr>
        <w:t>Cohen AD</w:t>
      </w:r>
      <w:r w:rsidRPr="00A64FF0">
        <w:rPr>
          <w:rFonts w:ascii="Book Antiqua" w:hAnsi="Book Antiqua" w:cs="SimSun"/>
          <w:color w:val="000000"/>
          <w:sz w:val="24"/>
          <w:szCs w:val="24"/>
          <w:lang w:val="en-US" w:eastAsia="zh-CN"/>
        </w:rPr>
        <w:t>, Weitzman D, Birkenfeld S, Dreiher J. Psoriasis associated with hepatitis C but not with hepatitis B. </w:t>
      </w:r>
      <w:r w:rsidRPr="00A64FF0">
        <w:rPr>
          <w:rFonts w:ascii="Book Antiqua" w:hAnsi="Book Antiqua" w:cs="SimSun"/>
          <w:i/>
          <w:iCs/>
          <w:color w:val="000000"/>
          <w:sz w:val="24"/>
          <w:szCs w:val="24"/>
          <w:lang w:val="en-US" w:eastAsia="zh-CN"/>
        </w:rPr>
        <w:t>Dermatology</w:t>
      </w:r>
      <w:r w:rsidRPr="00A64FF0">
        <w:rPr>
          <w:rFonts w:ascii="Book Antiqua" w:hAnsi="Book Antiqua" w:cs="SimSun"/>
          <w:color w:val="000000"/>
          <w:sz w:val="24"/>
          <w:szCs w:val="24"/>
          <w:lang w:val="en-US" w:eastAsia="zh-CN"/>
        </w:rPr>
        <w:t> 2010; </w:t>
      </w:r>
      <w:r w:rsidRPr="00A64FF0">
        <w:rPr>
          <w:rFonts w:ascii="Book Antiqua" w:hAnsi="Book Antiqua" w:cs="SimSun"/>
          <w:b/>
          <w:bCs/>
          <w:color w:val="000000"/>
          <w:sz w:val="24"/>
          <w:szCs w:val="24"/>
          <w:lang w:val="en-US" w:eastAsia="zh-CN"/>
        </w:rPr>
        <w:t>220</w:t>
      </w:r>
      <w:r w:rsidRPr="00A64FF0">
        <w:rPr>
          <w:rFonts w:ascii="Book Antiqua" w:hAnsi="Book Antiqua" w:cs="SimSun"/>
          <w:color w:val="000000"/>
          <w:sz w:val="24"/>
          <w:szCs w:val="24"/>
          <w:lang w:val="en-US" w:eastAsia="zh-CN"/>
        </w:rPr>
        <w:t xml:space="preserve">: 218-222 [PMID: 20185894 </w:t>
      </w:r>
      <w:r w:rsidRPr="00A64FF0">
        <w:rPr>
          <w:rFonts w:ascii="Book Antiqua" w:hAnsi="Book Antiqua" w:cs="SimSun"/>
          <w:caps/>
          <w:color w:val="000000"/>
          <w:sz w:val="24"/>
          <w:szCs w:val="24"/>
          <w:lang w:val="en-US" w:eastAsia="zh-CN"/>
        </w:rPr>
        <w:t>doi</w:t>
      </w:r>
      <w:r w:rsidRPr="00A64FF0">
        <w:rPr>
          <w:rFonts w:ascii="Book Antiqua" w:hAnsi="Book Antiqua" w:cs="SimSun"/>
          <w:color w:val="000000"/>
          <w:sz w:val="24"/>
          <w:szCs w:val="24"/>
          <w:lang w:val="en-US" w:eastAsia="zh-CN"/>
        </w:rPr>
        <w:t>: 10.1159/000286131]</w:t>
      </w:r>
    </w:p>
    <w:p w:rsidR="000E6007" w:rsidRPr="00A64FF0" w:rsidRDefault="000E6007" w:rsidP="00467AE1">
      <w:pPr>
        <w:adjustRightInd w:val="0"/>
        <w:snapToGrid w:val="0"/>
        <w:spacing w:after="0" w:line="360" w:lineRule="auto"/>
        <w:jc w:val="both"/>
        <w:rPr>
          <w:rFonts w:ascii="Book Antiqua" w:hAnsi="Book Antiqua"/>
          <w:sz w:val="24"/>
          <w:szCs w:val="24"/>
        </w:rPr>
      </w:pPr>
    </w:p>
    <w:p w:rsidR="000E6007" w:rsidRPr="00A64FF0" w:rsidRDefault="000E6007" w:rsidP="00467AE1">
      <w:pPr>
        <w:adjustRightInd w:val="0"/>
        <w:snapToGrid w:val="0"/>
        <w:spacing w:after="0" w:line="360" w:lineRule="auto"/>
        <w:jc w:val="right"/>
        <w:rPr>
          <w:rFonts w:ascii="Book Antiqua" w:hAnsi="Book Antiqua"/>
          <w:b/>
          <w:bCs/>
          <w:sz w:val="24"/>
        </w:rPr>
      </w:pPr>
      <w:r w:rsidRPr="00A64FF0">
        <w:rPr>
          <w:rFonts w:ascii="Book Antiqua" w:hAnsi="Book Antiqua"/>
          <w:b/>
          <w:bCs/>
          <w:sz w:val="24"/>
        </w:rPr>
        <w:t xml:space="preserve">P-Reviewer: </w:t>
      </w:r>
      <w:r w:rsidR="006C301C" w:rsidRPr="00A64FF0">
        <w:rPr>
          <w:rFonts w:ascii="Book Antiqua" w:hAnsi="Book Antiqua"/>
          <w:bCs/>
          <w:sz w:val="24"/>
        </w:rPr>
        <w:t>Gonzalez-Reimers E</w:t>
      </w:r>
      <w:r w:rsidR="006C301C" w:rsidRPr="00A64FF0">
        <w:rPr>
          <w:rFonts w:ascii="Book Antiqua" w:hAnsi="Book Antiqua" w:hint="eastAsia"/>
          <w:bCs/>
          <w:sz w:val="24"/>
          <w:lang w:eastAsia="zh-CN"/>
        </w:rPr>
        <w:t>,</w:t>
      </w:r>
      <w:r w:rsidRPr="00A64FF0">
        <w:rPr>
          <w:rFonts w:ascii="Book Antiqua" w:hAnsi="Book Antiqua" w:hint="eastAsia"/>
          <w:bCs/>
          <w:sz w:val="24"/>
        </w:rPr>
        <w:t xml:space="preserve"> </w:t>
      </w:r>
      <w:r w:rsidR="006C301C" w:rsidRPr="00A64FF0">
        <w:rPr>
          <w:rFonts w:ascii="Book Antiqua" w:hAnsi="Book Antiqua"/>
          <w:bCs/>
          <w:sz w:val="24"/>
        </w:rPr>
        <w:t>Harmanci</w:t>
      </w:r>
      <w:r w:rsidR="006C301C" w:rsidRPr="00A64FF0">
        <w:rPr>
          <w:rFonts w:ascii="Book Antiqua" w:hAnsi="Book Antiqua" w:hint="eastAsia"/>
          <w:bCs/>
          <w:sz w:val="24"/>
          <w:lang w:eastAsia="zh-CN"/>
        </w:rPr>
        <w:t xml:space="preserve"> </w:t>
      </w:r>
      <w:r w:rsidR="006C301C" w:rsidRPr="00A64FF0">
        <w:rPr>
          <w:rFonts w:ascii="Book Antiqua" w:hAnsi="Book Antiqua" w:hint="eastAsia"/>
          <w:bCs/>
          <w:caps/>
          <w:sz w:val="24"/>
          <w:lang w:eastAsia="zh-CN"/>
        </w:rPr>
        <w:t>o</w:t>
      </w:r>
      <w:r w:rsidR="006C301C" w:rsidRPr="00A64FF0">
        <w:rPr>
          <w:rFonts w:ascii="Book Antiqua" w:hAnsi="Book Antiqua" w:hint="eastAsia"/>
          <w:b/>
          <w:bCs/>
          <w:sz w:val="24"/>
          <w:lang w:eastAsia="zh-CN"/>
        </w:rPr>
        <w:t xml:space="preserve"> </w:t>
      </w:r>
      <w:r w:rsidRPr="00A64FF0">
        <w:rPr>
          <w:rFonts w:ascii="Book Antiqua" w:hAnsi="Book Antiqua"/>
          <w:b/>
          <w:bCs/>
          <w:sz w:val="24"/>
        </w:rPr>
        <w:t>S-Editor:</w:t>
      </w:r>
      <w:r w:rsidRPr="00A64FF0">
        <w:rPr>
          <w:rFonts w:ascii="Book Antiqua" w:hAnsi="Book Antiqua"/>
          <w:sz w:val="24"/>
        </w:rPr>
        <w:t xml:space="preserve"> </w:t>
      </w:r>
      <w:r w:rsidRPr="00A64FF0">
        <w:rPr>
          <w:rFonts w:ascii="Book Antiqua" w:hAnsi="Book Antiqua" w:hint="eastAsia"/>
          <w:sz w:val="24"/>
        </w:rPr>
        <w:t xml:space="preserve">Ma YJ </w:t>
      </w:r>
      <w:r w:rsidRPr="00A64FF0">
        <w:rPr>
          <w:rFonts w:ascii="Book Antiqua" w:hAnsi="Book Antiqua"/>
          <w:b/>
          <w:bCs/>
          <w:sz w:val="24"/>
        </w:rPr>
        <w:t>L-Editor:</w:t>
      </w:r>
      <w:r w:rsidRPr="00A64FF0">
        <w:rPr>
          <w:rFonts w:ascii="Book Antiqua" w:hAnsi="Book Antiqua"/>
          <w:sz w:val="24"/>
        </w:rPr>
        <w:t xml:space="preserve"> </w:t>
      </w:r>
      <w:r w:rsidRPr="00A64FF0">
        <w:rPr>
          <w:rFonts w:ascii="Book Antiqua" w:hAnsi="Book Antiqua" w:hint="eastAsia"/>
          <w:sz w:val="24"/>
        </w:rPr>
        <w:t xml:space="preserve"> </w:t>
      </w:r>
      <w:r w:rsidRPr="00A64FF0">
        <w:rPr>
          <w:rFonts w:ascii="Book Antiqua" w:hAnsi="Book Antiqua"/>
          <w:sz w:val="24"/>
        </w:rPr>
        <w:t xml:space="preserve"> </w:t>
      </w:r>
      <w:r w:rsidRPr="00A64FF0">
        <w:rPr>
          <w:rFonts w:ascii="Book Antiqua" w:hAnsi="Book Antiqua"/>
          <w:b/>
          <w:bCs/>
          <w:sz w:val="24"/>
        </w:rPr>
        <w:t>E-Editor:</w:t>
      </w:r>
    </w:p>
    <w:p w:rsidR="000E6007" w:rsidRPr="00A64FF0" w:rsidRDefault="000E6007" w:rsidP="00467AE1">
      <w:pPr>
        <w:adjustRightInd w:val="0"/>
        <w:snapToGrid w:val="0"/>
        <w:spacing w:after="0" w:line="360" w:lineRule="auto"/>
        <w:jc w:val="right"/>
        <w:rPr>
          <w:rFonts w:ascii="Book Antiqua" w:hAnsi="Book Antiqua"/>
          <w:b/>
          <w:bCs/>
          <w:sz w:val="24"/>
        </w:rPr>
      </w:pPr>
    </w:p>
    <w:p w:rsidR="00BD37FD" w:rsidRPr="00A64FF0" w:rsidRDefault="000E6007" w:rsidP="00467AE1">
      <w:pPr>
        <w:shd w:val="clear" w:color="auto" w:fill="FFFFFF"/>
        <w:adjustRightInd w:val="0"/>
        <w:snapToGrid w:val="0"/>
        <w:spacing w:after="0" w:line="360" w:lineRule="auto"/>
        <w:jc w:val="both"/>
        <w:rPr>
          <w:rFonts w:ascii="Book Antiqua" w:hAnsi="Book Antiqua" w:cs="Arial"/>
          <w:color w:val="000000" w:themeColor="text1"/>
          <w:sz w:val="24"/>
          <w:szCs w:val="24"/>
          <w:lang w:eastAsia="zh-CN"/>
        </w:rPr>
      </w:pPr>
      <w:r w:rsidRPr="00A64FF0">
        <w:rPr>
          <w:rStyle w:val="Emphasis"/>
          <w:rFonts w:ascii="Book Antiqua" w:hAnsi="Book Antiqua" w:cs="Times New Roman"/>
          <w:i w:val="0"/>
          <w:iCs w:val="0"/>
          <w:color w:val="000000" w:themeColor="text1"/>
          <w:sz w:val="24"/>
          <w:szCs w:val="24"/>
          <w:lang w:eastAsia="zh-CN"/>
        </w:rPr>
        <w:br w:type="page"/>
      </w:r>
      <w:r w:rsidR="00C43FF9" w:rsidRPr="00A64FF0">
        <w:rPr>
          <w:rFonts w:ascii="Book Antiqua" w:hAnsi="Book Antiqua" w:cs="Times New Roman"/>
          <w:b/>
          <w:sz w:val="24"/>
          <w:szCs w:val="24"/>
          <w:lang w:val="en-US"/>
        </w:rPr>
        <w:lastRenderedPageBreak/>
        <w:t xml:space="preserve">Table 1 </w:t>
      </w:r>
      <w:r w:rsidR="00C43FF9" w:rsidRPr="00A64FF0">
        <w:rPr>
          <w:rFonts w:ascii="Book Antiqua" w:hAnsi="Book Antiqua" w:cs="Times New Roman"/>
          <w:b/>
          <w:iCs/>
          <w:sz w:val="24"/>
          <w:szCs w:val="24"/>
          <w:lang w:val="en-US"/>
        </w:rPr>
        <w:t>Therapies approved by European Medicines Agency for the treatment of psoriasis</w:t>
      </w:r>
    </w:p>
    <w:tbl>
      <w:tblPr>
        <w:tblStyle w:val="Sfondochiaro11"/>
        <w:tblW w:w="10031" w:type="dxa"/>
        <w:tblLook w:val="06A0" w:firstRow="1" w:lastRow="0" w:firstColumn="1" w:lastColumn="0" w:noHBand="1" w:noVBand="1"/>
      </w:tblPr>
      <w:tblGrid>
        <w:gridCol w:w="4361"/>
        <w:gridCol w:w="5670"/>
      </w:tblGrid>
      <w:tr w:rsidR="00BD37FD" w:rsidRPr="00A64FF0" w:rsidTr="00C43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tcBorders>
          </w:tcPr>
          <w:p w:rsidR="00BD37FD" w:rsidRPr="00A64FF0" w:rsidRDefault="00BD37FD" w:rsidP="00467AE1">
            <w:pPr>
              <w:adjustRightInd w:val="0"/>
              <w:snapToGrid w:val="0"/>
              <w:spacing w:after="0" w:line="360" w:lineRule="auto"/>
              <w:jc w:val="both"/>
              <w:rPr>
                <w:rFonts w:ascii="Book Antiqua" w:hAnsi="Book Antiqua" w:cs="Times New Roman"/>
                <w:b w:val="0"/>
                <w:sz w:val="24"/>
                <w:szCs w:val="24"/>
                <w:lang w:val="en-US"/>
              </w:rPr>
            </w:pPr>
          </w:p>
        </w:tc>
        <w:tc>
          <w:tcPr>
            <w:tcW w:w="5670" w:type="dxa"/>
            <w:tcBorders>
              <w:top w:val="single" w:sz="4" w:space="0" w:color="auto"/>
            </w:tcBorders>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64FF0">
              <w:rPr>
                <w:rFonts w:ascii="Book Antiqua" w:hAnsi="Book Antiqua" w:cs="Times New Roman"/>
                <w:sz w:val="24"/>
                <w:szCs w:val="24"/>
                <w:lang w:val="en-US"/>
              </w:rPr>
              <w:t>Recommended doses for adult patients</w:t>
            </w:r>
          </w:p>
        </w:tc>
      </w:tr>
      <w:tr w:rsidR="00BD37FD" w:rsidRPr="00A64FF0" w:rsidTr="001944E8">
        <w:tc>
          <w:tcPr>
            <w:cnfStyle w:val="001000000000" w:firstRow="0" w:lastRow="0" w:firstColumn="1" w:lastColumn="0" w:oddVBand="0" w:evenVBand="0" w:oddHBand="0" w:evenHBand="0" w:firstRowFirstColumn="0" w:firstRowLastColumn="0" w:lastRowFirstColumn="0" w:lastRowLastColumn="0"/>
            <w:tcW w:w="4361" w:type="dxa"/>
          </w:tcPr>
          <w:p w:rsidR="00BD37FD" w:rsidRPr="00A64FF0" w:rsidRDefault="00BD37FD" w:rsidP="00467AE1">
            <w:pPr>
              <w:adjustRightInd w:val="0"/>
              <w:snapToGrid w:val="0"/>
              <w:spacing w:after="0" w:line="360" w:lineRule="auto"/>
              <w:jc w:val="both"/>
              <w:rPr>
                <w:rFonts w:ascii="Book Antiqua" w:hAnsi="Book Antiqua" w:cs="Times New Roman"/>
                <w:b w:val="0"/>
                <w:sz w:val="24"/>
                <w:szCs w:val="24"/>
              </w:rPr>
            </w:pPr>
            <w:r w:rsidRPr="00A64FF0">
              <w:rPr>
                <w:rFonts w:ascii="Book Antiqua" w:hAnsi="Book Antiqua" w:cs="Times New Roman"/>
                <w:b w:val="0"/>
                <w:sz w:val="24"/>
                <w:szCs w:val="24"/>
              </w:rPr>
              <w:t>Conventional DMARDs (cDMARDs)</w:t>
            </w:r>
          </w:p>
        </w:tc>
        <w:tc>
          <w:tcPr>
            <w:tcW w:w="5670"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BD37FD" w:rsidRPr="00A64FF0" w:rsidTr="001944E8">
        <w:tc>
          <w:tcPr>
            <w:cnfStyle w:val="001000000000" w:firstRow="0" w:lastRow="0" w:firstColumn="1" w:lastColumn="0" w:oddVBand="0" w:evenVBand="0" w:oddHBand="0" w:evenHBand="0" w:firstRowFirstColumn="0" w:firstRowLastColumn="0" w:lastRowFirstColumn="0" w:lastRowLastColumn="0"/>
            <w:tcW w:w="4361" w:type="dxa"/>
          </w:tcPr>
          <w:p w:rsidR="00BD37FD" w:rsidRPr="00A64FF0" w:rsidRDefault="00BD37FD" w:rsidP="00467AE1">
            <w:pPr>
              <w:adjustRightInd w:val="0"/>
              <w:snapToGrid w:val="0"/>
              <w:spacing w:after="0" w:line="360" w:lineRule="auto"/>
              <w:jc w:val="both"/>
              <w:rPr>
                <w:rFonts w:ascii="Book Antiqua" w:hAnsi="Book Antiqua" w:cs="Times New Roman"/>
                <w:b w:val="0"/>
                <w:sz w:val="24"/>
                <w:szCs w:val="24"/>
              </w:rPr>
            </w:pPr>
            <w:r w:rsidRPr="00A64FF0">
              <w:rPr>
                <w:rFonts w:ascii="Book Antiqua" w:hAnsi="Book Antiqua" w:cs="Times New Roman"/>
                <w:b w:val="0"/>
                <w:sz w:val="24"/>
                <w:szCs w:val="24"/>
              </w:rPr>
              <w:t>Acitretine</w:t>
            </w:r>
          </w:p>
        </w:tc>
        <w:tc>
          <w:tcPr>
            <w:tcW w:w="5670" w:type="dxa"/>
          </w:tcPr>
          <w:p w:rsidR="00BD37FD" w:rsidRPr="00A64FF0" w:rsidRDefault="00C43FF9"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64FF0">
              <w:rPr>
                <w:rFonts w:ascii="Book Antiqua" w:hAnsi="Book Antiqua" w:cs="Times New Roman"/>
                <w:sz w:val="24"/>
                <w:szCs w:val="24"/>
                <w:lang w:val="en-US"/>
              </w:rPr>
              <w:t>0.25–</w:t>
            </w:r>
            <w:r w:rsidR="00BD37FD" w:rsidRPr="00A64FF0">
              <w:rPr>
                <w:rFonts w:ascii="Book Antiqua" w:hAnsi="Book Antiqua" w:cs="Times New Roman"/>
                <w:sz w:val="24"/>
                <w:szCs w:val="24"/>
                <w:lang w:val="en-US"/>
              </w:rPr>
              <w:t>1 mg/kg</w:t>
            </w:r>
            <w:r w:rsidRPr="00A64FF0">
              <w:rPr>
                <w:rFonts w:ascii="Book Antiqua" w:hAnsi="Book Antiqua" w:cs="Times New Roman"/>
                <w:sz w:val="24"/>
                <w:szCs w:val="24"/>
                <w:lang w:val="en-US" w:eastAsia="zh-CN"/>
              </w:rPr>
              <w:t xml:space="preserve"> per </w:t>
            </w:r>
            <w:r w:rsidR="00BD37FD" w:rsidRPr="00A64FF0">
              <w:rPr>
                <w:rFonts w:ascii="Book Antiqua" w:hAnsi="Book Antiqua" w:cs="Times New Roman"/>
                <w:sz w:val="24"/>
                <w:szCs w:val="24"/>
                <w:lang w:val="en-US"/>
              </w:rPr>
              <w:t>day</w:t>
            </w:r>
          </w:p>
        </w:tc>
      </w:tr>
      <w:tr w:rsidR="00BD37FD" w:rsidRPr="00A64FF0" w:rsidTr="001944E8">
        <w:tc>
          <w:tcPr>
            <w:cnfStyle w:val="001000000000" w:firstRow="0" w:lastRow="0" w:firstColumn="1" w:lastColumn="0" w:oddVBand="0" w:evenVBand="0" w:oddHBand="0" w:evenHBand="0" w:firstRowFirstColumn="0" w:firstRowLastColumn="0" w:lastRowFirstColumn="0" w:lastRowLastColumn="0"/>
            <w:tcW w:w="4361" w:type="dxa"/>
          </w:tcPr>
          <w:p w:rsidR="00BD37FD" w:rsidRPr="00A64FF0" w:rsidRDefault="00BD37FD" w:rsidP="00467AE1">
            <w:pPr>
              <w:adjustRightInd w:val="0"/>
              <w:snapToGrid w:val="0"/>
              <w:spacing w:after="0" w:line="360" w:lineRule="auto"/>
              <w:jc w:val="both"/>
              <w:rPr>
                <w:rFonts w:ascii="Book Antiqua" w:hAnsi="Book Antiqua" w:cs="Times New Roman"/>
                <w:b w:val="0"/>
                <w:i/>
                <w:sz w:val="24"/>
                <w:szCs w:val="24"/>
              </w:rPr>
            </w:pPr>
            <w:r w:rsidRPr="00A64FF0">
              <w:rPr>
                <w:rFonts w:ascii="Book Antiqua" w:hAnsi="Book Antiqua" w:cs="Times New Roman"/>
                <w:b w:val="0"/>
                <w:iCs/>
                <w:sz w:val="24"/>
                <w:szCs w:val="24"/>
                <w:lang w:val="en-US"/>
              </w:rPr>
              <w:t>Cyclosporin a (CyA)</w:t>
            </w:r>
          </w:p>
        </w:tc>
        <w:tc>
          <w:tcPr>
            <w:tcW w:w="5670"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4FF0">
              <w:rPr>
                <w:rFonts w:ascii="Book Antiqua" w:hAnsi="Book Antiqua" w:cs="Times New Roman"/>
                <w:sz w:val="24"/>
                <w:szCs w:val="24"/>
              </w:rPr>
              <w:t xml:space="preserve">2-5 </w:t>
            </w:r>
            <w:r w:rsidRPr="00A64FF0">
              <w:rPr>
                <w:rFonts w:ascii="Book Antiqua" w:hAnsi="Book Antiqua" w:cs="Times New Roman"/>
                <w:sz w:val="24"/>
                <w:szCs w:val="24"/>
                <w:lang w:val="en-US"/>
              </w:rPr>
              <w:t>mg/kg</w:t>
            </w:r>
            <w:r w:rsidR="00C43FF9" w:rsidRPr="00A64FF0">
              <w:rPr>
                <w:rFonts w:ascii="Book Antiqua" w:hAnsi="Book Antiqua" w:cs="Times New Roman"/>
                <w:sz w:val="24"/>
                <w:szCs w:val="24"/>
                <w:lang w:val="en-US" w:eastAsia="zh-CN"/>
              </w:rPr>
              <w:t xml:space="preserve"> per </w:t>
            </w:r>
            <w:r w:rsidRPr="00A64FF0">
              <w:rPr>
                <w:rFonts w:ascii="Book Antiqua" w:hAnsi="Book Antiqua" w:cs="Times New Roman"/>
                <w:sz w:val="24"/>
                <w:szCs w:val="24"/>
                <w:lang w:val="en-US"/>
              </w:rPr>
              <w:t>day</w:t>
            </w:r>
          </w:p>
        </w:tc>
      </w:tr>
      <w:tr w:rsidR="00BD37FD" w:rsidRPr="00A64FF0" w:rsidTr="001944E8">
        <w:tc>
          <w:tcPr>
            <w:cnfStyle w:val="001000000000" w:firstRow="0" w:lastRow="0" w:firstColumn="1" w:lastColumn="0" w:oddVBand="0" w:evenVBand="0" w:oddHBand="0" w:evenHBand="0" w:firstRowFirstColumn="0" w:firstRowLastColumn="0" w:lastRowFirstColumn="0" w:lastRowLastColumn="0"/>
            <w:tcW w:w="4361" w:type="dxa"/>
          </w:tcPr>
          <w:p w:rsidR="00BD37FD" w:rsidRPr="00A64FF0" w:rsidRDefault="00BD37FD" w:rsidP="00467AE1">
            <w:pPr>
              <w:adjustRightInd w:val="0"/>
              <w:snapToGrid w:val="0"/>
              <w:spacing w:after="0" w:line="360" w:lineRule="auto"/>
              <w:jc w:val="both"/>
              <w:rPr>
                <w:rFonts w:ascii="Book Antiqua" w:hAnsi="Book Antiqua" w:cs="Times New Roman"/>
                <w:b w:val="0"/>
                <w:i/>
                <w:sz w:val="24"/>
                <w:szCs w:val="24"/>
              </w:rPr>
            </w:pPr>
            <w:r w:rsidRPr="00A64FF0">
              <w:rPr>
                <w:rFonts w:ascii="Book Antiqua" w:hAnsi="Book Antiqua" w:cs="Times New Roman"/>
                <w:b w:val="0"/>
                <w:iCs/>
                <w:sz w:val="24"/>
                <w:szCs w:val="24"/>
                <w:lang w:val="en-US"/>
              </w:rPr>
              <w:t>Methotrxate (MTX)</w:t>
            </w:r>
          </w:p>
        </w:tc>
        <w:tc>
          <w:tcPr>
            <w:tcW w:w="5670"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64FF0">
              <w:rPr>
                <w:rFonts w:ascii="Book Antiqua" w:hAnsi="Book Antiqua" w:cs="Times New Roman"/>
                <w:sz w:val="24"/>
                <w:szCs w:val="24"/>
                <w:lang w:val="en-US"/>
              </w:rPr>
              <w:t xml:space="preserve">10 mg to 25 mg per week </w:t>
            </w:r>
          </w:p>
        </w:tc>
      </w:tr>
      <w:tr w:rsidR="00BD37FD" w:rsidRPr="00A64FF0" w:rsidTr="001944E8">
        <w:tc>
          <w:tcPr>
            <w:cnfStyle w:val="001000000000" w:firstRow="0" w:lastRow="0" w:firstColumn="1" w:lastColumn="0" w:oddVBand="0" w:evenVBand="0" w:oddHBand="0" w:evenHBand="0" w:firstRowFirstColumn="0" w:firstRowLastColumn="0" w:lastRowFirstColumn="0" w:lastRowLastColumn="0"/>
            <w:tcW w:w="4361" w:type="dxa"/>
          </w:tcPr>
          <w:p w:rsidR="00BD37FD" w:rsidRPr="00A64FF0" w:rsidRDefault="00BD37FD" w:rsidP="00467AE1">
            <w:pPr>
              <w:adjustRightInd w:val="0"/>
              <w:snapToGrid w:val="0"/>
              <w:spacing w:after="0" w:line="360" w:lineRule="auto"/>
              <w:jc w:val="both"/>
              <w:rPr>
                <w:rFonts w:ascii="Book Antiqua" w:hAnsi="Book Antiqua" w:cs="Times New Roman"/>
                <w:b w:val="0"/>
                <w:sz w:val="24"/>
                <w:szCs w:val="24"/>
                <w:lang w:val="en-US"/>
              </w:rPr>
            </w:pPr>
          </w:p>
        </w:tc>
        <w:tc>
          <w:tcPr>
            <w:tcW w:w="5670"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r>
      <w:tr w:rsidR="00BD37FD" w:rsidRPr="00A64FF0" w:rsidTr="001944E8">
        <w:tc>
          <w:tcPr>
            <w:cnfStyle w:val="001000000000" w:firstRow="0" w:lastRow="0" w:firstColumn="1" w:lastColumn="0" w:oddVBand="0" w:evenVBand="0" w:oddHBand="0" w:evenHBand="0" w:firstRowFirstColumn="0" w:firstRowLastColumn="0" w:lastRowFirstColumn="0" w:lastRowLastColumn="0"/>
            <w:tcW w:w="4361" w:type="dxa"/>
          </w:tcPr>
          <w:p w:rsidR="00BD37FD" w:rsidRPr="00A64FF0" w:rsidRDefault="00BD37FD" w:rsidP="00467AE1">
            <w:pPr>
              <w:adjustRightInd w:val="0"/>
              <w:snapToGrid w:val="0"/>
              <w:spacing w:after="0" w:line="360" w:lineRule="auto"/>
              <w:jc w:val="both"/>
              <w:rPr>
                <w:rFonts w:ascii="Book Antiqua" w:hAnsi="Book Antiqua" w:cs="Times New Roman"/>
                <w:b w:val="0"/>
                <w:sz w:val="24"/>
                <w:szCs w:val="24"/>
              </w:rPr>
            </w:pPr>
            <w:r w:rsidRPr="00A64FF0">
              <w:rPr>
                <w:rFonts w:ascii="Book Antiqua" w:hAnsi="Book Antiqua" w:cs="Times New Roman"/>
                <w:b w:val="0"/>
                <w:sz w:val="24"/>
                <w:szCs w:val="24"/>
              </w:rPr>
              <w:t>Biologic DMARDs (bDMARDs)</w:t>
            </w:r>
          </w:p>
        </w:tc>
        <w:tc>
          <w:tcPr>
            <w:tcW w:w="5670"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BD37FD" w:rsidRPr="00A64FF0" w:rsidTr="001944E8">
        <w:tc>
          <w:tcPr>
            <w:cnfStyle w:val="001000000000" w:firstRow="0" w:lastRow="0" w:firstColumn="1" w:lastColumn="0" w:oddVBand="0" w:evenVBand="0" w:oddHBand="0" w:evenHBand="0" w:firstRowFirstColumn="0" w:firstRowLastColumn="0" w:lastRowFirstColumn="0" w:lastRowLastColumn="0"/>
            <w:tcW w:w="4361" w:type="dxa"/>
          </w:tcPr>
          <w:p w:rsidR="00BD37FD" w:rsidRPr="00A64FF0" w:rsidRDefault="00BD37FD" w:rsidP="00467AE1">
            <w:pPr>
              <w:adjustRightInd w:val="0"/>
              <w:snapToGrid w:val="0"/>
              <w:spacing w:after="0" w:line="360" w:lineRule="auto"/>
              <w:jc w:val="both"/>
              <w:rPr>
                <w:rFonts w:ascii="Book Antiqua" w:hAnsi="Book Antiqua" w:cs="Times New Roman"/>
                <w:b w:val="0"/>
                <w:i/>
                <w:sz w:val="24"/>
                <w:szCs w:val="24"/>
              </w:rPr>
            </w:pPr>
            <w:r w:rsidRPr="00A64FF0">
              <w:rPr>
                <w:rFonts w:ascii="Book Antiqua" w:hAnsi="Book Antiqua" w:cs="Times New Roman"/>
                <w:b w:val="0"/>
                <w:iCs/>
                <w:sz w:val="24"/>
                <w:szCs w:val="24"/>
                <w:lang w:val="en-US"/>
              </w:rPr>
              <w:t>Infliximab (IFX)</w:t>
            </w:r>
          </w:p>
        </w:tc>
        <w:tc>
          <w:tcPr>
            <w:tcW w:w="5670" w:type="dxa"/>
          </w:tcPr>
          <w:p w:rsidR="00BD37FD" w:rsidRPr="00A64FF0" w:rsidRDefault="00C43FF9"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eastAsia="zh-CN"/>
              </w:rPr>
            </w:pPr>
            <w:r w:rsidRPr="00A64FF0">
              <w:rPr>
                <w:rFonts w:ascii="Book Antiqua" w:hAnsi="Book Antiqua" w:cs="Times New Roman"/>
                <w:sz w:val="24"/>
                <w:szCs w:val="24"/>
                <w:lang w:val="en-US"/>
              </w:rPr>
              <w:t>5 mg/kg at 0, 2 and 6 wk</w:t>
            </w:r>
            <w:r w:rsidR="00BD37FD" w:rsidRPr="00A64FF0">
              <w:rPr>
                <w:rFonts w:ascii="Book Antiqua" w:hAnsi="Book Antiqua" w:cs="Times New Roman"/>
                <w:sz w:val="24"/>
                <w:szCs w:val="24"/>
                <w:lang w:val="en-US"/>
              </w:rPr>
              <w:t xml:space="preserve"> followed by a maintenanc</w:t>
            </w:r>
            <w:r w:rsidRPr="00A64FF0">
              <w:rPr>
                <w:rFonts w:ascii="Book Antiqua" w:hAnsi="Book Antiqua" w:cs="Times New Roman"/>
                <w:sz w:val="24"/>
                <w:szCs w:val="24"/>
                <w:lang w:val="en-US"/>
              </w:rPr>
              <w:t>e regimen of 5 mg/kg every 8 wk</w:t>
            </w:r>
          </w:p>
        </w:tc>
      </w:tr>
      <w:tr w:rsidR="00BD37FD" w:rsidRPr="00A64FF0" w:rsidTr="001944E8">
        <w:tc>
          <w:tcPr>
            <w:cnfStyle w:val="001000000000" w:firstRow="0" w:lastRow="0" w:firstColumn="1" w:lastColumn="0" w:oddVBand="0" w:evenVBand="0" w:oddHBand="0" w:evenHBand="0" w:firstRowFirstColumn="0" w:firstRowLastColumn="0" w:lastRowFirstColumn="0" w:lastRowLastColumn="0"/>
            <w:tcW w:w="4361" w:type="dxa"/>
          </w:tcPr>
          <w:p w:rsidR="00BD37FD" w:rsidRPr="00A64FF0" w:rsidRDefault="00BD37FD" w:rsidP="00467AE1">
            <w:pPr>
              <w:adjustRightInd w:val="0"/>
              <w:snapToGrid w:val="0"/>
              <w:spacing w:after="0" w:line="360" w:lineRule="auto"/>
              <w:jc w:val="both"/>
              <w:rPr>
                <w:rFonts w:ascii="Book Antiqua" w:hAnsi="Book Antiqua" w:cs="Times New Roman"/>
                <w:b w:val="0"/>
                <w:i/>
                <w:sz w:val="24"/>
                <w:szCs w:val="24"/>
              </w:rPr>
            </w:pPr>
            <w:r w:rsidRPr="00A64FF0">
              <w:rPr>
                <w:rFonts w:ascii="Book Antiqua" w:hAnsi="Book Antiqua" w:cs="Times New Roman"/>
                <w:b w:val="0"/>
                <w:iCs/>
                <w:sz w:val="24"/>
                <w:szCs w:val="24"/>
                <w:lang w:val="en-US"/>
              </w:rPr>
              <w:t>Adalimumab (ADA)</w:t>
            </w:r>
          </w:p>
        </w:tc>
        <w:tc>
          <w:tcPr>
            <w:tcW w:w="5670"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64FF0">
              <w:rPr>
                <w:rFonts w:ascii="Book Antiqua" w:hAnsi="Book Antiqua" w:cs="Times New Roman"/>
                <w:sz w:val="24"/>
                <w:szCs w:val="24"/>
                <w:lang w:val="en-US"/>
              </w:rPr>
              <w:t>80 mg initially, 40 mg on day 8, and 40 mg every other week thereafter</w:t>
            </w:r>
          </w:p>
        </w:tc>
      </w:tr>
      <w:tr w:rsidR="00BD37FD" w:rsidRPr="00A64FF0" w:rsidTr="001944E8">
        <w:tc>
          <w:tcPr>
            <w:cnfStyle w:val="001000000000" w:firstRow="0" w:lastRow="0" w:firstColumn="1" w:lastColumn="0" w:oddVBand="0" w:evenVBand="0" w:oddHBand="0" w:evenHBand="0" w:firstRowFirstColumn="0" w:firstRowLastColumn="0" w:lastRowFirstColumn="0" w:lastRowLastColumn="0"/>
            <w:tcW w:w="4361" w:type="dxa"/>
          </w:tcPr>
          <w:p w:rsidR="00BD37FD" w:rsidRPr="00A64FF0" w:rsidRDefault="00BD37FD" w:rsidP="00467AE1">
            <w:pPr>
              <w:adjustRightInd w:val="0"/>
              <w:snapToGrid w:val="0"/>
              <w:spacing w:after="0" w:line="360" w:lineRule="auto"/>
              <w:jc w:val="both"/>
              <w:rPr>
                <w:rFonts w:ascii="Book Antiqua" w:hAnsi="Book Antiqua" w:cs="Times New Roman"/>
                <w:b w:val="0"/>
                <w:i/>
                <w:sz w:val="24"/>
                <w:szCs w:val="24"/>
              </w:rPr>
            </w:pPr>
            <w:r w:rsidRPr="00A64FF0">
              <w:rPr>
                <w:rFonts w:ascii="Book Antiqua" w:hAnsi="Book Antiqua" w:cs="Times New Roman"/>
                <w:b w:val="0"/>
                <w:iCs/>
                <w:sz w:val="24"/>
                <w:szCs w:val="24"/>
                <w:lang w:val="en-US"/>
              </w:rPr>
              <w:t>Etanercept (ETA)</w:t>
            </w:r>
          </w:p>
        </w:tc>
        <w:tc>
          <w:tcPr>
            <w:tcW w:w="5670"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64FF0">
              <w:rPr>
                <w:rFonts w:ascii="Book Antiqua" w:hAnsi="Book Antiqua" w:cs="Times New Roman"/>
                <w:sz w:val="24"/>
                <w:szCs w:val="24"/>
                <w:lang w:val="en-US"/>
              </w:rPr>
              <w:t>50 mg subcutaneously 2 times a week</w:t>
            </w:r>
            <w:r w:rsidR="002260B8" w:rsidRPr="00A64FF0">
              <w:rPr>
                <w:rFonts w:ascii="Book Antiqua" w:hAnsi="Book Antiqua" w:cs="Times New Roman"/>
                <w:sz w:val="24"/>
                <w:szCs w:val="24"/>
                <w:lang w:val="en-US"/>
              </w:rPr>
              <w:t xml:space="preserve"> </w:t>
            </w:r>
            <w:r w:rsidRPr="00A64FF0">
              <w:rPr>
                <w:rFonts w:ascii="Book Antiqua" w:hAnsi="Book Antiqua" w:cs="Times New Roman"/>
                <w:sz w:val="24"/>
                <w:szCs w:val="24"/>
                <w:lang w:val="en-US"/>
              </w:rPr>
              <w:t>for 3 mo; (starting doses of 50 mg once a week have been shown to be effective); maintenance: 50 mg subcutaneously once a week</w:t>
            </w:r>
          </w:p>
        </w:tc>
      </w:tr>
      <w:tr w:rsidR="00BD37FD" w:rsidRPr="00A64FF0" w:rsidTr="001944E8">
        <w:tc>
          <w:tcPr>
            <w:cnfStyle w:val="001000000000" w:firstRow="0" w:lastRow="0" w:firstColumn="1" w:lastColumn="0" w:oddVBand="0" w:evenVBand="0" w:oddHBand="0" w:evenHBand="0" w:firstRowFirstColumn="0" w:firstRowLastColumn="0" w:lastRowFirstColumn="0" w:lastRowLastColumn="0"/>
            <w:tcW w:w="4361" w:type="dxa"/>
          </w:tcPr>
          <w:p w:rsidR="00BD37FD" w:rsidRPr="00A64FF0" w:rsidRDefault="00BD37FD" w:rsidP="00467AE1">
            <w:pPr>
              <w:adjustRightInd w:val="0"/>
              <w:snapToGrid w:val="0"/>
              <w:spacing w:after="0" w:line="360" w:lineRule="auto"/>
              <w:jc w:val="both"/>
              <w:rPr>
                <w:rFonts w:ascii="Book Antiqua" w:hAnsi="Book Antiqua" w:cs="Times New Roman"/>
                <w:b w:val="0"/>
                <w:i/>
                <w:sz w:val="24"/>
                <w:szCs w:val="24"/>
                <w:vertAlign w:val="superscript"/>
                <w:lang w:val="en-US" w:eastAsia="zh-CN"/>
              </w:rPr>
            </w:pPr>
            <w:r w:rsidRPr="00A64FF0">
              <w:rPr>
                <w:rFonts w:ascii="Book Antiqua" w:hAnsi="Book Antiqua" w:cs="Times New Roman"/>
                <w:b w:val="0"/>
                <w:iCs/>
                <w:sz w:val="24"/>
                <w:szCs w:val="24"/>
                <w:lang w:val="en-US"/>
              </w:rPr>
              <w:t>Golimumab (GOL)</w:t>
            </w:r>
            <w:r w:rsidR="00C43FF9" w:rsidRPr="00A64FF0">
              <w:rPr>
                <w:rFonts w:ascii="Book Antiqua" w:hAnsi="Book Antiqua" w:cs="Times New Roman"/>
                <w:b w:val="0"/>
                <w:iCs/>
                <w:sz w:val="24"/>
                <w:szCs w:val="24"/>
                <w:vertAlign w:val="superscript"/>
                <w:lang w:val="en-US" w:eastAsia="zh-CN"/>
              </w:rPr>
              <w:t>1,2</w:t>
            </w:r>
          </w:p>
        </w:tc>
        <w:tc>
          <w:tcPr>
            <w:tcW w:w="5670"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64FF0">
              <w:rPr>
                <w:rFonts w:ascii="Book Antiqua" w:hAnsi="Book Antiqua" w:cs="Times New Roman"/>
                <w:sz w:val="24"/>
                <w:szCs w:val="24"/>
                <w:lang w:val="en-US"/>
              </w:rPr>
              <w:t>50 mg once a month</w:t>
            </w:r>
          </w:p>
        </w:tc>
      </w:tr>
      <w:tr w:rsidR="00BD37FD" w:rsidRPr="00A64FF0" w:rsidTr="001944E8">
        <w:tc>
          <w:tcPr>
            <w:cnfStyle w:val="001000000000" w:firstRow="0" w:lastRow="0" w:firstColumn="1" w:lastColumn="0" w:oddVBand="0" w:evenVBand="0" w:oddHBand="0" w:evenHBand="0" w:firstRowFirstColumn="0" w:firstRowLastColumn="0" w:lastRowFirstColumn="0" w:lastRowLastColumn="0"/>
            <w:tcW w:w="4361" w:type="dxa"/>
          </w:tcPr>
          <w:p w:rsidR="00BD37FD" w:rsidRPr="00A64FF0" w:rsidRDefault="00BD37FD" w:rsidP="00467AE1">
            <w:pPr>
              <w:adjustRightInd w:val="0"/>
              <w:snapToGrid w:val="0"/>
              <w:spacing w:after="0" w:line="360" w:lineRule="auto"/>
              <w:jc w:val="both"/>
              <w:rPr>
                <w:rFonts w:ascii="Book Antiqua" w:hAnsi="Book Antiqua" w:cs="Times New Roman"/>
                <w:b w:val="0"/>
                <w:i/>
                <w:sz w:val="24"/>
                <w:szCs w:val="24"/>
              </w:rPr>
            </w:pPr>
            <w:r w:rsidRPr="00A64FF0">
              <w:rPr>
                <w:rFonts w:ascii="Book Antiqua" w:hAnsi="Book Antiqua" w:cs="Times New Roman"/>
                <w:b w:val="0"/>
                <w:iCs/>
                <w:sz w:val="24"/>
                <w:szCs w:val="24"/>
              </w:rPr>
              <w:t>Certolizumab pegol (CERT-peg)</w:t>
            </w:r>
            <w:r w:rsidR="00C43FF9" w:rsidRPr="00A64FF0">
              <w:rPr>
                <w:rFonts w:ascii="Book Antiqua" w:hAnsi="Book Antiqua" w:cs="Times New Roman"/>
                <w:b w:val="0"/>
                <w:iCs/>
                <w:sz w:val="24"/>
                <w:szCs w:val="24"/>
                <w:vertAlign w:val="superscript"/>
                <w:lang w:val="en-US" w:eastAsia="zh-CN"/>
              </w:rPr>
              <w:t>1,2</w:t>
            </w:r>
          </w:p>
        </w:tc>
        <w:tc>
          <w:tcPr>
            <w:tcW w:w="5670" w:type="dxa"/>
          </w:tcPr>
          <w:p w:rsidR="00BD37FD" w:rsidRPr="00A64FF0" w:rsidRDefault="00C43FF9"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64FF0">
              <w:rPr>
                <w:rFonts w:ascii="Book Antiqua" w:hAnsi="Book Antiqua" w:cs="Times New Roman"/>
                <w:sz w:val="24"/>
                <w:szCs w:val="24"/>
                <w:lang w:val="en-US"/>
              </w:rPr>
              <w:t>400 mg at 0, 2 and 4 wk</w:t>
            </w:r>
            <w:r w:rsidR="00BD37FD" w:rsidRPr="00A64FF0">
              <w:rPr>
                <w:rFonts w:ascii="Book Antiqua" w:hAnsi="Book Antiqua" w:cs="Times New Roman"/>
                <w:sz w:val="24"/>
                <w:szCs w:val="24"/>
                <w:lang w:val="en-US"/>
              </w:rPr>
              <w:t xml:space="preserve"> followed by a maintenance regimen of 200 mg every other week</w:t>
            </w:r>
          </w:p>
        </w:tc>
      </w:tr>
      <w:tr w:rsidR="00BD37FD" w:rsidRPr="00A64FF0" w:rsidTr="001944E8">
        <w:tc>
          <w:tcPr>
            <w:cnfStyle w:val="001000000000" w:firstRow="0" w:lastRow="0" w:firstColumn="1" w:lastColumn="0" w:oddVBand="0" w:evenVBand="0" w:oddHBand="0" w:evenHBand="0" w:firstRowFirstColumn="0" w:firstRowLastColumn="0" w:lastRowFirstColumn="0" w:lastRowLastColumn="0"/>
            <w:tcW w:w="4361" w:type="dxa"/>
            <w:tcBorders>
              <w:bottom w:val="single" w:sz="4" w:space="0" w:color="auto"/>
            </w:tcBorders>
          </w:tcPr>
          <w:p w:rsidR="00BD37FD" w:rsidRPr="00A64FF0" w:rsidRDefault="00BD37FD" w:rsidP="00467AE1">
            <w:pPr>
              <w:autoSpaceDE w:val="0"/>
              <w:autoSpaceDN w:val="0"/>
              <w:adjustRightInd w:val="0"/>
              <w:snapToGrid w:val="0"/>
              <w:spacing w:after="0" w:line="360" w:lineRule="auto"/>
              <w:jc w:val="both"/>
              <w:rPr>
                <w:rFonts w:ascii="Book Antiqua" w:hAnsi="Book Antiqua" w:cs="Times New Roman"/>
                <w:b w:val="0"/>
                <w:iCs/>
                <w:sz w:val="24"/>
                <w:szCs w:val="24"/>
                <w:lang w:val="en-US"/>
              </w:rPr>
            </w:pPr>
            <w:r w:rsidRPr="00A64FF0">
              <w:rPr>
                <w:rFonts w:ascii="Book Antiqua" w:hAnsi="Book Antiqua" w:cs="AdvPSMy-R"/>
                <w:b w:val="0"/>
                <w:sz w:val="24"/>
                <w:szCs w:val="24"/>
                <w:lang w:val="en-US"/>
              </w:rPr>
              <w:t>Ustekinumab (UTK)</w:t>
            </w:r>
          </w:p>
          <w:p w:rsidR="00BD37FD" w:rsidRPr="00A64FF0" w:rsidRDefault="00BD37FD" w:rsidP="00467AE1">
            <w:pPr>
              <w:adjustRightInd w:val="0"/>
              <w:snapToGrid w:val="0"/>
              <w:spacing w:after="0" w:line="360" w:lineRule="auto"/>
              <w:jc w:val="both"/>
              <w:rPr>
                <w:rFonts w:ascii="Book Antiqua" w:hAnsi="Book Antiqua" w:cs="Times New Roman"/>
                <w:b w:val="0"/>
                <w:sz w:val="24"/>
                <w:szCs w:val="24"/>
                <w:lang w:val="en-US"/>
              </w:rPr>
            </w:pPr>
          </w:p>
          <w:p w:rsidR="00BD37FD" w:rsidRPr="00A64FF0" w:rsidRDefault="00BD37FD" w:rsidP="00467AE1">
            <w:pPr>
              <w:adjustRightInd w:val="0"/>
              <w:snapToGrid w:val="0"/>
              <w:spacing w:after="0" w:line="360" w:lineRule="auto"/>
              <w:jc w:val="both"/>
              <w:rPr>
                <w:rFonts w:ascii="Book Antiqua" w:hAnsi="Book Antiqua" w:cs="Times New Roman"/>
                <w:b w:val="0"/>
                <w:sz w:val="24"/>
                <w:szCs w:val="24"/>
                <w:lang w:val="en-US"/>
              </w:rPr>
            </w:pPr>
          </w:p>
          <w:p w:rsidR="00BD37FD" w:rsidRPr="00A64FF0" w:rsidRDefault="00BD37FD" w:rsidP="00467AE1">
            <w:pPr>
              <w:adjustRightInd w:val="0"/>
              <w:snapToGrid w:val="0"/>
              <w:spacing w:after="0" w:line="360" w:lineRule="auto"/>
              <w:jc w:val="both"/>
              <w:rPr>
                <w:rFonts w:ascii="Book Antiqua" w:hAnsi="Book Antiqua" w:cs="Times New Roman"/>
                <w:b w:val="0"/>
                <w:sz w:val="24"/>
                <w:szCs w:val="24"/>
                <w:lang w:val="en-US"/>
              </w:rPr>
            </w:pPr>
          </w:p>
          <w:p w:rsidR="00BD37FD" w:rsidRPr="00A64FF0" w:rsidRDefault="00BD37FD" w:rsidP="00467AE1">
            <w:pPr>
              <w:adjustRightInd w:val="0"/>
              <w:snapToGrid w:val="0"/>
              <w:spacing w:after="0" w:line="360" w:lineRule="auto"/>
              <w:jc w:val="both"/>
              <w:rPr>
                <w:rFonts w:ascii="Book Antiqua" w:hAnsi="Book Antiqua" w:cs="Times New Roman"/>
                <w:b w:val="0"/>
                <w:sz w:val="24"/>
                <w:szCs w:val="24"/>
                <w:lang w:val="en-US" w:eastAsia="zh-CN"/>
              </w:rPr>
            </w:pPr>
            <w:r w:rsidRPr="00A64FF0">
              <w:rPr>
                <w:rFonts w:ascii="Book Antiqua" w:hAnsi="Book Antiqua" w:cs="Times New Roman"/>
                <w:b w:val="0"/>
                <w:sz w:val="24"/>
                <w:szCs w:val="24"/>
                <w:lang w:val="en-US"/>
              </w:rPr>
              <w:t>Secukinumab (SEK)</w:t>
            </w:r>
            <w:r w:rsidR="002C193C" w:rsidRPr="00A64FF0">
              <w:rPr>
                <w:rFonts w:ascii="Book Antiqua" w:hAnsi="Book Antiqua" w:cs="Times New Roman" w:hint="eastAsia"/>
                <w:b w:val="0"/>
                <w:iCs/>
                <w:sz w:val="24"/>
                <w:szCs w:val="24"/>
                <w:vertAlign w:val="superscript"/>
                <w:lang w:val="en-US" w:eastAsia="zh-CN"/>
              </w:rPr>
              <w:t>3</w:t>
            </w:r>
          </w:p>
        </w:tc>
        <w:tc>
          <w:tcPr>
            <w:tcW w:w="5670" w:type="dxa"/>
            <w:tcBorders>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vertAlign w:val="superscript"/>
                <w:lang w:val="en-US" w:eastAsia="zh-CN"/>
              </w:rPr>
            </w:pPr>
            <w:r w:rsidRPr="00A64FF0">
              <w:rPr>
                <w:rFonts w:ascii="Book Antiqua" w:hAnsi="Book Antiqua" w:cs="Times New Roman"/>
                <w:sz w:val="24"/>
                <w:szCs w:val="24"/>
                <w:lang w:val="en-US"/>
              </w:rPr>
              <w:t>45 mg initially</w:t>
            </w:r>
            <w:r w:rsidR="00C43FF9" w:rsidRPr="00A64FF0">
              <w:rPr>
                <w:rFonts w:ascii="Book Antiqua" w:hAnsi="Book Antiqua" w:cs="Times New Roman"/>
                <w:sz w:val="24"/>
                <w:szCs w:val="24"/>
                <w:lang w:val="en-US"/>
              </w:rPr>
              <w:t>, 45 mg at 4 wk</w:t>
            </w:r>
            <w:r w:rsidRPr="00A64FF0">
              <w:rPr>
                <w:rFonts w:ascii="Book Antiqua" w:hAnsi="Book Antiqua" w:cs="Times New Roman"/>
                <w:sz w:val="24"/>
                <w:szCs w:val="24"/>
                <w:lang w:val="en-US"/>
              </w:rPr>
              <w:t>, followed by a maintenan</w:t>
            </w:r>
            <w:r w:rsidR="00C43FF9" w:rsidRPr="00A64FF0">
              <w:rPr>
                <w:rFonts w:ascii="Book Antiqua" w:hAnsi="Book Antiqua" w:cs="Times New Roman"/>
                <w:sz w:val="24"/>
                <w:szCs w:val="24"/>
                <w:lang w:val="en-US"/>
              </w:rPr>
              <w:t>ce regimen of 45 mg every 12 wk</w:t>
            </w:r>
            <w:r w:rsidR="00C43FF9" w:rsidRPr="00A64FF0">
              <w:rPr>
                <w:rFonts w:ascii="Book Antiqua" w:hAnsi="Book Antiqua" w:cs="Times New Roman"/>
                <w:sz w:val="24"/>
                <w:szCs w:val="24"/>
                <w:vertAlign w:val="superscript"/>
                <w:lang w:val="en-US" w:eastAsia="zh-CN"/>
              </w:rPr>
              <w:t>3</w:t>
            </w:r>
          </w:p>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p w:rsidR="00BD37FD" w:rsidRPr="00A64FF0" w:rsidRDefault="00C43FF9"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64FF0">
              <w:rPr>
                <w:rFonts w:ascii="Book Antiqua" w:hAnsi="Book Antiqua" w:cs="Times New Roman"/>
                <w:sz w:val="24"/>
                <w:szCs w:val="24"/>
                <w:lang w:val="en-US"/>
              </w:rPr>
              <w:t>300 mg at 0, 1, 2, 3, and 4 wk</w:t>
            </w:r>
            <w:r w:rsidR="00BD37FD" w:rsidRPr="00A64FF0">
              <w:rPr>
                <w:rFonts w:ascii="Book Antiqua" w:hAnsi="Book Antiqua" w:cs="Times New Roman"/>
                <w:sz w:val="24"/>
                <w:szCs w:val="24"/>
                <w:lang w:val="en-US"/>
              </w:rPr>
              <w:t xml:space="preserve"> followed by a</w:t>
            </w:r>
            <w:r w:rsidR="002260B8" w:rsidRPr="00A64FF0">
              <w:rPr>
                <w:rFonts w:ascii="Book Antiqua" w:hAnsi="Book Antiqua" w:cs="Times New Roman"/>
                <w:sz w:val="24"/>
                <w:szCs w:val="24"/>
                <w:lang w:val="en-US"/>
              </w:rPr>
              <w:t xml:space="preserve"> </w:t>
            </w:r>
            <w:r w:rsidR="00BD37FD" w:rsidRPr="00A64FF0">
              <w:rPr>
                <w:rFonts w:ascii="Book Antiqua" w:hAnsi="Book Antiqua" w:cs="Times New Roman"/>
                <w:sz w:val="24"/>
                <w:szCs w:val="24"/>
                <w:lang w:val="en-US"/>
              </w:rPr>
              <w:t>maintenance regimen of 300 mg ev</w:t>
            </w:r>
            <w:r w:rsidRPr="00A64FF0">
              <w:rPr>
                <w:rFonts w:ascii="Book Antiqua" w:hAnsi="Book Antiqua" w:cs="Times New Roman"/>
                <w:sz w:val="24"/>
                <w:szCs w:val="24"/>
                <w:lang w:val="en-US"/>
              </w:rPr>
              <w:t>ery 4 wk</w:t>
            </w:r>
            <w:r w:rsidR="00BD37FD" w:rsidRPr="00A64FF0">
              <w:rPr>
                <w:rFonts w:ascii="Book Antiqua" w:hAnsi="Book Antiqua" w:cs="Times New Roman"/>
                <w:sz w:val="24"/>
                <w:szCs w:val="24"/>
                <w:lang w:val="en-US"/>
              </w:rPr>
              <w:t xml:space="preserve">. For some patients, a dose of 150 mg may be acceptable </w:t>
            </w:r>
          </w:p>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r>
      <w:tr w:rsidR="00BD37FD" w:rsidRPr="00A64FF0" w:rsidTr="001944E8">
        <w:tc>
          <w:tcPr>
            <w:cnfStyle w:val="001000000000" w:firstRow="0" w:lastRow="0" w:firstColumn="1" w:lastColumn="0" w:oddVBand="0" w:evenVBand="0" w:oddHBand="0" w:evenHBand="0" w:firstRowFirstColumn="0" w:firstRowLastColumn="0" w:lastRowFirstColumn="0" w:lastRowLastColumn="0"/>
            <w:tcW w:w="10031" w:type="dxa"/>
            <w:gridSpan w:val="2"/>
            <w:tcBorders>
              <w:top w:val="single" w:sz="4" w:space="0" w:color="auto"/>
              <w:bottom w:val="nil"/>
            </w:tcBorders>
          </w:tcPr>
          <w:p w:rsidR="00BD37FD" w:rsidRPr="00A64FF0" w:rsidRDefault="00C43FF9" w:rsidP="00467AE1">
            <w:pPr>
              <w:adjustRightInd w:val="0"/>
              <w:snapToGrid w:val="0"/>
              <w:spacing w:after="0" w:line="360" w:lineRule="auto"/>
              <w:jc w:val="both"/>
              <w:rPr>
                <w:rFonts w:ascii="Book Antiqua" w:hAnsi="Book Antiqua" w:cs="Times New Roman"/>
                <w:b w:val="0"/>
                <w:sz w:val="24"/>
                <w:szCs w:val="24"/>
                <w:lang w:val="en-US" w:eastAsia="zh-CN"/>
              </w:rPr>
            </w:pPr>
            <w:r w:rsidRPr="00A64FF0">
              <w:rPr>
                <w:rFonts w:ascii="Book Antiqua" w:hAnsi="Book Antiqua" w:cs="Arial"/>
                <w:b w:val="0"/>
                <w:sz w:val="24"/>
                <w:szCs w:val="24"/>
                <w:shd w:val="clear" w:color="auto" w:fill="FFFFFF"/>
                <w:vertAlign w:val="superscript"/>
                <w:lang w:val="en-US" w:eastAsia="zh-CN"/>
              </w:rPr>
              <w:t>1</w:t>
            </w:r>
            <w:r w:rsidR="00BD37FD" w:rsidRPr="00A64FF0">
              <w:rPr>
                <w:rFonts w:ascii="Book Antiqua" w:hAnsi="Book Antiqua" w:cs="Arial"/>
                <w:b w:val="0"/>
                <w:sz w:val="24"/>
                <w:szCs w:val="24"/>
                <w:shd w:val="clear" w:color="auto" w:fill="FFFFFF"/>
                <w:lang w:val="en-US"/>
              </w:rPr>
              <w:t>Approved for adults with active</w:t>
            </w:r>
            <w:r w:rsidR="00BD37FD" w:rsidRPr="00A64FF0">
              <w:rPr>
                <w:rFonts w:ascii="Book Antiqua" w:hAnsi="Book Antiqua" w:cs="Arial"/>
                <w:b w:val="0"/>
                <w:sz w:val="24"/>
                <w:szCs w:val="24"/>
                <w:lang w:val="en-US"/>
              </w:rPr>
              <w:t> psoriatic arthritis</w:t>
            </w:r>
            <w:r w:rsidR="00BD37FD" w:rsidRPr="00A64FF0">
              <w:rPr>
                <w:rFonts w:ascii="Book Antiqua" w:hAnsi="Book Antiqua" w:cs="Times New Roman"/>
                <w:b w:val="0"/>
                <w:sz w:val="24"/>
                <w:szCs w:val="24"/>
                <w:lang w:val="en-US"/>
              </w:rPr>
              <w:t xml:space="preserve">; </w:t>
            </w:r>
            <w:r w:rsidRPr="00A64FF0">
              <w:rPr>
                <w:rFonts w:ascii="Book Antiqua" w:hAnsi="Book Antiqua" w:cs="Times New Roman"/>
                <w:b w:val="0"/>
                <w:iCs/>
                <w:sz w:val="24"/>
                <w:szCs w:val="24"/>
                <w:vertAlign w:val="superscript"/>
                <w:lang w:val="en-US" w:eastAsia="zh-CN"/>
              </w:rPr>
              <w:t>2</w:t>
            </w:r>
            <w:r w:rsidR="00BD37FD" w:rsidRPr="00A64FF0">
              <w:rPr>
                <w:rFonts w:ascii="Book Antiqua" w:hAnsi="Book Antiqua" w:cs="Times New Roman"/>
                <w:b w:val="0"/>
                <w:iCs/>
                <w:caps/>
                <w:sz w:val="24"/>
                <w:szCs w:val="24"/>
                <w:lang w:val="en-US"/>
              </w:rPr>
              <w:t>n</w:t>
            </w:r>
            <w:r w:rsidR="00BD37FD" w:rsidRPr="00A64FF0">
              <w:rPr>
                <w:rFonts w:ascii="Book Antiqua" w:hAnsi="Book Antiqua" w:cs="Times New Roman"/>
                <w:b w:val="0"/>
                <w:iCs/>
                <w:sz w:val="24"/>
                <w:szCs w:val="24"/>
                <w:lang w:val="en-US"/>
              </w:rPr>
              <w:t>o data available regarding the administration of patients with HBV or HCV;</w:t>
            </w:r>
            <w:r w:rsidRPr="00A64FF0">
              <w:rPr>
                <w:rFonts w:ascii="Book Antiqua" w:hAnsi="Book Antiqua" w:cs="Times New Roman"/>
                <w:b w:val="0"/>
                <w:iCs/>
                <w:sz w:val="24"/>
                <w:szCs w:val="24"/>
                <w:lang w:val="en-US" w:eastAsia="zh-CN"/>
              </w:rPr>
              <w:t xml:space="preserve"> </w:t>
            </w:r>
            <w:r w:rsidRPr="00A64FF0">
              <w:rPr>
                <w:rFonts w:ascii="Book Antiqua" w:hAnsi="Book Antiqua" w:cs="Times New Roman"/>
                <w:b w:val="0"/>
                <w:sz w:val="24"/>
                <w:szCs w:val="24"/>
                <w:vertAlign w:val="superscript"/>
                <w:lang w:val="en-US" w:eastAsia="zh-CN"/>
              </w:rPr>
              <w:t>3</w:t>
            </w:r>
            <w:r w:rsidR="00BD37FD" w:rsidRPr="00A64FF0">
              <w:rPr>
                <w:rFonts w:ascii="Book Antiqua" w:hAnsi="Book Antiqua" w:cs="Times New Roman"/>
                <w:b w:val="0"/>
                <w:caps/>
                <w:sz w:val="24"/>
                <w:szCs w:val="24"/>
                <w:lang w:val="en-US"/>
              </w:rPr>
              <w:t>f</w:t>
            </w:r>
            <w:r w:rsidR="00BD37FD" w:rsidRPr="00A64FF0">
              <w:rPr>
                <w:rFonts w:ascii="Book Antiqua" w:hAnsi="Book Antiqua" w:cs="Times New Roman"/>
                <w:b w:val="0"/>
                <w:sz w:val="24"/>
                <w:szCs w:val="24"/>
                <w:lang w:val="en-US"/>
              </w:rPr>
              <w:t>or patients weighing &gt;</w:t>
            </w:r>
            <w:r w:rsidRPr="00A64FF0">
              <w:rPr>
                <w:rFonts w:ascii="Book Antiqua" w:hAnsi="Book Antiqua" w:cs="Times New Roman"/>
                <w:b w:val="0"/>
                <w:sz w:val="24"/>
                <w:szCs w:val="24"/>
                <w:lang w:val="en-US" w:eastAsia="zh-CN"/>
              </w:rPr>
              <w:t xml:space="preserve"> </w:t>
            </w:r>
            <w:r w:rsidR="00BD37FD" w:rsidRPr="00A64FF0">
              <w:rPr>
                <w:rFonts w:ascii="Book Antiqua" w:hAnsi="Book Antiqua" w:cs="Times New Roman"/>
                <w:b w:val="0"/>
                <w:sz w:val="24"/>
                <w:szCs w:val="24"/>
                <w:lang w:val="en-US"/>
              </w:rPr>
              <w:t>100 kg (220 lbs), the recommended dose is 90 mg initially</w:t>
            </w:r>
            <w:r w:rsidRPr="00A64FF0">
              <w:rPr>
                <w:rFonts w:ascii="Book Antiqua" w:hAnsi="Book Antiqua" w:cs="Times New Roman"/>
                <w:b w:val="0"/>
                <w:sz w:val="24"/>
                <w:szCs w:val="24"/>
                <w:lang w:val="en-US"/>
              </w:rPr>
              <w:t>, 90 mg at 4 wk</w:t>
            </w:r>
            <w:r w:rsidR="00BD37FD" w:rsidRPr="00A64FF0">
              <w:rPr>
                <w:rFonts w:ascii="Book Antiqua" w:hAnsi="Book Antiqua" w:cs="Times New Roman"/>
                <w:b w:val="0"/>
                <w:sz w:val="24"/>
                <w:szCs w:val="24"/>
                <w:lang w:val="en-US"/>
              </w:rPr>
              <w:t>, followed by a maintenan</w:t>
            </w:r>
            <w:r w:rsidRPr="00A64FF0">
              <w:rPr>
                <w:rFonts w:ascii="Book Antiqua" w:hAnsi="Book Antiqua" w:cs="Times New Roman"/>
                <w:b w:val="0"/>
                <w:sz w:val="24"/>
                <w:szCs w:val="24"/>
                <w:lang w:val="en-US"/>
              </w:rPr>
              <w:t>ce regimen of 90 mg every 12 wk</w:t>
            </w:r>
            <w:r w:rsidR="00BD37FD" w:rsidRPr="00A64FF0">
              <w:rPr>
                <w:rFonts w:ascii="Book Antiqua" w:hAnsi="Book Antiqua" w:cs="Times New Roman"/>
                <w:b w:val="0"/>
                <w:sz w:val="24"/>
                <w:szCs w:val="24"/>
                <w:lang w:val="en-US"/>
              </w:rPr>
              <w:t xml:space="preserve">. </w:t>
            </w:r>
            <w:r w:rsidRPr="00A64FF0">
              <w:rPr>
                <w:rFonts w:ascii="Book Antiqua" w:hAnsi="Book Antiqua" w:cs="Times New Roman"/>
                <w:b w:val="0"/>
                <w:iCs/>
                <w:sz w:val="24"/>
                <w:szCs w:val="24"/>
                <w:lang w:val="en-US"/>
              </w:rPr>
              <w:t>H</w:t>
            </w:r>
            <w:r w:rsidRPr="00A64FF0">
              <w:rPr>
                <w:rFonts w:ascii="Book Antiqua" w:hAnsi="Book Antiqua" w:cs="Times New Roman"/>
                <w:b w:val="0"/>
                <w:iCs/>
                <w:sz w:val="24"/>
                <w:szCs w:val="24"/>
                <w:lang w:val="en-US" w:eastAsia="zh-CN"/>
              </w:rPr>
              <w:t>B</w:t>
            </w:r>
            <w:r w:rsidRPr="00A64FF0">
              <w:rPr>
                <w:rFonts w:ascii="Book Antiqua" w:hAnsi="Book Antiqua" w:cs="Times New Roman"/>
                <w:b w:val="0"/>
                <w:iCs/>
                <w:sz w:val="24"/>
                <w:szCs w:val="24"/>
                <w:lang w:val="en-US"/>
              </w:rPr>
              <w:t>V</w:t>
            </w:r>
            <w:r w:rsidRPr="00A64FF0">
              <w:rPr>
                <w:rFonts w:ascii="Book Antiqua" w:hAnsi="Book Antiqua" w:cs="Times New Roman"/>
                <w:b w:val="0"/>
                <w:iCs/>
                <w:sz w:val="24"/>
                <w:szCs w:val="24"/>
                <w:lang w:val="en-US" w:eastAsia="zh-CN"/>
              </w:rPr>
              <w:t>:</w:t>
            </w:r>
            <w:r w:rsidRPr="00A64FF0">
              <w:rPr>
                <w:rFonts w:ascii="Book Antiqua" w:hAnsi="Book Antiqua" w:cs="Times New Roman"/>
                <w:b w:val="0"/>
                <w:iCs/>
                <w:caps/>
                <w:sz w:val="24"/>
                <w:szCs w:val="24"/>
                <w:lang w:val="en-US" w:eastAsia="zh-CN"/>
              </w:rPr>
              <w:t xml:space="preserve"> </w:t>
            </w:r>
            <w:r w:rsidRPr="00A64FF0">
              <w:rPr>
                <w:rFonts w:ascii="Book Antiqua" w:hAnsi="Book Antiqua" w:cs="Times New Roman"/>
                <w:b w:val="0"/>
                <w:caps/>
                <w:sz w:val="24"/>
                <w:szCs w:val="24"/>
                <w:lang w:val="en-US"/>
              </w:rPr>
              <w:t>h</w:t>
            </w:r>
            <w:r w:rsidRPr="00A64FF0">
              <w:rPr>
                <w:rFonts w:ascii="Book Antiqua" w:hAnsi="Book Antiqua" w:cs="Times New Roman"/>
                <w:b w:val="0"/>
                <w:sz w:val="24"/>
                <w:szCs w:val="24"/>
                <w:lang w:val="en-US"/>
              </w:rPr>
              <w:t xml:space="preserve">epatitis </w:t>
            </w:r>
            <w:r w:rsidR="00E259AB" w:rsidRPr="00A64FF0">
              <w:rPr>
                <w:rFonts w:ascii="Book Antiqua" w:hAnsi="Book Antiqua" w:cs="Times New Roman"/>
                <w:b w:val="0"/>
                <w:sz w:val="24"/>
                <w:szCs w:val="24"/>
                <w:lang w:val="en-US" w:eastAsia="zh-CN"/>
              </w:rPr>
              <w:t>B</w:t>
            </w:r>
            <w:r w:rsidRPr="00A64FF0">
              <w:rPr>
                <w:rFonts w:ascii="Book Antiqua" w:hAnsi="Book Antiqua" w:cs="Times New Roman"/>
                <w:b w:val="0"/>
                <w:sz w:val="24"/>
                <w:szCs w:val="24"/>
                <w:lang w:val="en-US"/>
              </w:rPr>
              <w:t xml:space="preserve"> virus</w:t>
            </w:r>
            <w:r w:rsidRPr="00A64FF0">
              <w:rPr>
                <w:rFonts w:ascii="Book Antiqua" w:hAnsi="Book Antiqua" w:cs="Times New Roman"/>
                <w:b w:val="0"/>
                <w:sz w:val="24"/>
                <w:szCs w:val="24"/>
                <w:lang w:val="en-US" w:eastAsia="zh-CN"/>
              </w:rPr>
              <w:t>;</w:t>
            </w:r>
            <w:r w:rsidRPr="00A64FF0">
              <w:rPr>
                <w:rFonts w:ascii="Book Antiqua" w:hAnsi="Book Antiqua" w:cs="Times New Roman"/>
                <w:b w:val="0"/>
                <w:iCs/>
                <w:sz w:val="24"/>
                <w:szCs w:val="24"/>
                <w:lang w:val="en-US"/>
              </w:rPr>
              <w:t xml:space="preserve"> HCV</w:t>
            </w:r>
            <w:r w:rsidRPr="00A64FF0">
              <w:rPr>
                <w:rFonts w:ascii="Book Antiqua" w:hAnsi="Book Antiqua" w:cs="Times New Roman"/>
                <w:b w:val="0"/>
                <w:iCs/>
                <w:sz w:val="24"/>
                <w:szCs w:val="24"/>
                <w:lang w:val="en-US" w:eastAsia="zh-CN"/>
              </w:rPr>
              <w:t>:</w:t>
            </w:r>
            <w:r w:rsidRPr="00A64FF0">
              <w:rPr>
                <w:rFonts w:ascii="Book Antiqua" w:hAnsi="Book Antiqua" w:cs="Times New Roman"/>
                <w:b w:val="0"/>
                <w:sz w:val="24"/>
                <w:szCs w:val="24"/>
                <w:lang w:val="en-US"/>
              </w:rPr>
              <w:t xml:space="preserve"> </w:t>
            </w:r>
            <w:r w:rsidRPr="00A64FF0">
              <w:rPr>
                <w:rFonts w:ascii="Book Antiqua" w:hAnsi="Book Antiqua" w:cs="Times New Roman"/>
                <w:b w:val="0"/>
                <w:caps/>
                <w:sz w:val="24"/>
                <w:szCs w:val="24"/>
                <w:lang w:val="en-US"/>
              </w:rPr>
              <w:t>h</w:t>
            </w:r>
            <w:r w:rsidRPr="00A64FF0">
              <w:rPr>
                <w:rFonts w:ascii="Book Antiqua" w:hAnsi="Book Antiqua" w:cs="Times New Roman"/>
                <w:b w:val="0"/>
                <w:sz w:val="24"/>
                <w:szCs w:val="24"/>
                <w:lang w:val="en-US"/>
              </w:rPr>
              <w:t>epatitis C virus</w:t>
            </w:r>
            <w:r w:rsidRPr="00A64FF0">
              <w:rPr>
                <w:rFonts w:ascii="Book Antiqua" w:hAnsi="Book Antiqua" w:cs="Times New Roman"/>
                <w:b w:val="0"/>
                <w:sz w:val="24"/>
                <w:szCs w:val="24"/>
                <w:lang w:val="en-US" w:eastAsia="zh-CN"/>
              </w:rPr>
              <w:t>.</w:t>
            </w:r>
          </w:p>
        </w:tc>
      </w:tr>
    </w:tbl>
    <w:p w:rsidR="00BD37FD" w:rsidRPr="00A64FF0" w:rsidRDefault="00E259AB" w:rsidP="00467AE1">
      <w:pPr>
        <w:shd w:val="clear" w:color="auto" w:fill="FFFFFF"/>
        <w:adjustRightInd w:val="0"/>
        <w:snapToGrid w:val="0"/>
        <w:spacing w:after="0" w:line="360" w:lineRule="auto"/>
        <w:jc w:val="both"/>
        <w:rPr>
          <w:rFonts w:ascii="Book Antiqua" w:hAnsi="Book Antiqua" w:cs="Times New Roman"/>
          <w:b/>
          <w:color w:val="000000" w:themeColor="text1"/>
          <w:sz w:val="24"/>
          <w:szCs w:val="24"/>
          <w:lang w:val="en-US"/>
        </w:rPr>
      </w:pPr>
      <w:r w:rsidRPr="00A64FF0">
        <w:rPr>
          <w:rFonts w:ascii="Book Antiqua" w:hAnsi="Book Antiqua" w:cs="Times New Roman"/>
          <w:color w:val="000000" w:themeColor="text1"/>
          <w:sz w:val="24"/>
          <w:szCs w:val="24"/>
          <w:lang w:val="en-US"/>
        </w:rPr>
        <w:br w:type="page"/>
      </w:r>
      <w:r w:rsidRPr="00A64FF0">
        <w:rPr>
          <w:rFonts w:ascii="Book Antiqua" w:hAnsi="Book Antiqua"/>
          <w:b/>
          <w:sz w:val="24"/>
          <w:szCs w:val="24"/>
          <w:lang w:val="en-US"/>
        </w:rPr>
        <w:lastRenderedPageBreak/>
        <w:t xml:space="preserve">Table 2 Diagnosis and distribution of patients treated with </w:t>
      </w:r>
      <w:r w:rsidR="00060FF9" w:rsidRPr="00A64FF0">
        <w:rPr>
          <w:rFonts w:ascii="Book Antiqua" w:hAnsi="Book Antiqua"/>
          <w:b/>
          <w:sz w:val="24"/>
          <w:szCs w:val="24"/>
          <w:lang w:val="en-US"/>
        </w:rPr>
        <w:t>tumor necrosis factor</w:t>
      </w:r>
      <w:r w:rsidRPr="00A64FF0">
        <w:rPr>
          <w:rFonts w:ascii="Book Antiqua" w:hAnsi="Book Antiqua"/>
          <w:b/>
          <w:sz w:val="24"/>
          <w:szCs w:val="24"/>
          <w:lang w:val="en-US"/>
        </w:rPr>
        <w:t>-α inhibitors according to the hepatitis B virus serological profile</w:t>
      </w:r>
    </w:p>
    <w:tbl>
      <w:tblPr>
        <w:tblStyle w:val="Sfondochiaro1"/>
        <w:tblpPr w:leftFromText="141" w:rightFromText="141" w:vertAnchor="text" w:horzAnchor="margin" w:tblpXSpec="center" w:tblpY="338"/>
        <w:tblW w:w="5000" w:type="pct"/>
        <w:tblLook w:val="06A0" w:firstRow="1" w:lastRow="0" w:firstColumn="1" w:lastColumn="0" w:noHBand="1" w:noVBand="1"/>
      </w:tblPr>
      <w:tblGrid>
        <w:gridCol w:w="1375"/>
        <w:gridCol w:w="1505"/>
        <w:gridCol w:w="1320"/>
        <w:gridCol w:w="1912"/>
        <w:gridCol w:w="2152"/>
        <w:gridCol w:w="1590"/>
      </w:tblGrid>
      <w:tr w:rsidR="00BD37FD" w:rsidRPr="00A64FF0" w:rsidTr="00E259AB">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726" w:type="pct"/>
            <w:tcBorders>
              <w:top w:val="single" w:sz="4" w:space="0" w:color="auto"/>
              <w:bottom w:val="single" w:sz="4" w:space="0" w:color="auto"/>
            </w:tcBorders>
            <w:vAlign w:val="center"/>
          </w:tcPr>
          <w:p w:rsidR="00BD37FD" w:rsidRPr="00A64FF0" w:rsidRDefault="00E259AB" w:rsidP="00467AE1">
            <w:pPr>
              <w:adjustRightInd w:val="0"/>
              <w:snapToGrid w:val="0"/>
              <w:spacing w:after="0" w:line="360" w:lineRule="auto"/>
              <w:jc w:val="both"/>
              <w:rPr>
                <w:rFonts w:ascii="Book Antiqua" w:eastAsiaTheme="minorEastAsia" w:hAnsi="Book Antiqua"/>
                <w:sz w:val="24"/>
                <w:szCs w:val="24"/>
                <w:lang w:val="en-US" w:eastAsia="zh-CN"/>
              </w:rPr>
            </w:pPr>
            <w:r w:rsidRPr="00A64FF0">
              <w:rPr>
                <w:rFonts w:ascii="Book Antiqua" w:eastAsiaTheme="minorEastAsia" w:hAnsi="Book Antiqua"/>
                <w:sz w:val="24"/>
                <w:szCs w:val="24"/>
                <w:lang w:val="en-US" w:eastAsia="zh-CN"/>
              </w:rPr>
              <w:t>Ref.</w:t>
            </w:r>
          </w:p>
        </w:tc>
        <w:tc>
          <w:tcPr>
            <w:tcW w:w="709" w:type="pct"/>
            <w:tcBorders>
              <w:top w:val="single" w:sz="4" w:space="0" w:color="auto"/>
              <w:bottom w:val="single" w:sz="4" w:space="0" w:color="auto"/>
            </w:tcBorders>
            <w:vAlign w:val="center"/>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 xml:space="preserve">Diagnosis, </w:t>
            </w:r>
            <w:r w:rsidRPr="00A64FF0">
              <w:rPr>
                <w:rFonts w:ascii="Book Antiqua" w:hAnsi="Book Antiqua"/>
                <w:i/>
                <w:sz w:val="24"/>
                <w:szCs w:val="24"/>
                <w:lang w:val="en-US"/>
              </w:rPr>
              <w:t>n</w:t>
            </w:r>
          </w:p>
        </w:tc>
        <w:tc>
          <w:tcPr>
            <w:tcW w:w="677" w:type="pct"/>
            <w:tcBorders>
              <w:top w:val="single" w:sz="4" w:space="0" w:color="auto"/>
              <w:bottom w:val="single" w:sz="4" w:space="0" w:color="auto"/>
            </w:tcBorders>
            <w:vAlign w:val="center"/>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Inactive carriers</w:t>
            </w:r>
            <w:r w:rsidR="002260B8" w:rsidRPr="00A64FF0">
              <w:rPr>
                <w:rFonts w:ascii="Book Antiqua" w:hAnsi="Book Antiqua"/>
                <w:sz w:val="24"/>
                <w:szCs w:val="24"/>
                <w:lang w:val="en-US"/>
              </w:rPr>
              <w:t xml:space="preserve"> </w:t>
            </w:r>
            <w:r w:rsidRPr="00A64FF0">
              <w:rPr>
                <w:rFonts w:ascii="Book Antiqua" w:hAnsi="Book Antiqua"/>
                <w:sz w:val="24"/>
                <w:szCs w:val="24"/>
                <w:lang w:val="en-US"/>
              </w:rPr>
              <w:t>(HBsAg</w:t>
            </w:r>
            <w:r w:rsidR="00CC45BE" w:rsidRPr="00A64FF0">
              <w:rPr>
                <w:rFonts w:ascii="Book Antiqua" w:eastAsiaTheme="minorEastAsia" w:hAnsi="Book Antiqua" w:hint="eastAsia"/>
                <w:sz w:val="24"/>
                <w:szCs w:val="24"/>
                <w:vertAlign w:val="superscript"/>
                <w:lang w:val="en-US" w:eastAsia="zh-CN"/>
              </w:rPr>
              <w:t>+</w:t>
            </w:r>
            <w:r w:rsidRPr="00A64FF0">
              <w:rPr>
                <w:rFonts w:ascii="Book Antiqua" w:hAnsi="Book Antiqua"/>
                <w:sz w:val="24"/>
                <w:szCs w:val="24"/>
                <w:lang w:val="en-US"/>
              </w:rPr>
              <w:t xml:space="preserve">), </w:t>
            </w:r>
            <w:r w:rsidRPr="00A64FF0">
              <w:rPr>
                <w:rFonts w:ascii="Book Antiqua" w:hAnsi="Book Antiqua"/>
                <w:i/>
                <w:sz w:val="24"/>
                <w:szCs w:val="24"/>
                <w:lang w:val="en-US"/>
              </w:rPr>
              <w:t>n</w:t>
            </w:r>
          </w:p>
        </w:tc>
        <w:tc>
          <w:tcPr>
            <w:tcW w:w="1019" w:type="pct"/>
            <w:tcBorders>
              <w:top w:val="single" w:sz="4" w:space="0" w:color="auto"/>
              <w:bottom w:val="single" w:sz="4" w:space="0" w:color="auto"/>
            </w:tcBorders>
            <w:vAlign w:val="center"/>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Occult carriers or resolved HBV</w:t>
            </w:r>
          </w:p>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(anti-HBc</w:t>
            </w:r>
            <w:r w:rsidR="00CC45BE" w:rsidRPr="00A64FF0">
              <w:rPr>
                <w:rFonts w:ascii="Book Antiqua" w:eastAsiaTheme="minorEastAsia" w:hAnsi="Book Antiqua" w:hint="eastAsia"/>
                <w:sz w:val="24"/>
                <w:szCs w:val="24"/>
                <w:vertAlign w:val="superscript"/>
                <w:lang w:val="en-US" w:eastAsia="zh-CN"/>
              </w:rPr>
              <w:t>+</w:t>
            </w:r>
            <w:r w:rsidRPr="00A64FF0">
              <w:rPr>
                <w:rFonts w:ascii="Book Antiqua" w:hAnsi="Book Antiqua"/>
                <w:sz w:val="24"/>
                <w:szCs w:val="24"/>
                <w:lang w:val="en-US"/>
              </w:rPr>
              <w:t xml:space="preserve"> anti-HBS- or anti-HBs ± anti-HBc), </w:t>
            </w:r>
            <w:r w:rsidRPr="00A64FF0">
              <w:rPr>
                <w:rFonts w:ascii="Book Antiqua" w:hAnsi="Book Antiqua"/>
                <w:i/>
                <w:sz w:val="24"/>
                <w:szCs w:val="24"/>
                <w:lang w:val="en-US"/>
              </w:rPr>
              <w:t>n</w:t>
            </w:r>
          </w:p>
        </w:tc>
        <w:tc>
          <w:tcPr>
            <w:tcW w:w="1120" w:type="pct"/>
            <w:tcBorders>
              <w:top w:val="single" w:sz="4" w:space="0" w:color="auto"/>
              <w:bottom w:val="single" w:sz="4" w:space="0" w:color="auto"/>
            </w:tcBorders>
            <w:vAlign w:val="center"/>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Prophylaxis</w:t>
            </w:r>
            <w:r w:rsidR="00E259AB" w:rsidRPr="00A64FF0">
              <w:rPr>
                <w:rFonts w:ascii="Book Antiqua" w:eastAsiaTheme="minorEastAsia" w:hAnsi="Book Antiqua" w:hint="eastAsia"/>
                <w:sz w:val="24"/>
                <w:szCs w:val="24"/>
                <w:vertAlign w:val="superscript"/>
                <w:lang w:val="en-US" w:eastAsia="zh-CN"/>
              </w:rPr>
              <w:t xml:space="preserve">2 </w:t>
            </w:r>
            <w:r w:rsidRPr="00A64FF0">
              <w:rPr>
                <w:rFonts w:ascii="Book Antiqua" w:hAnsi="Book Antiqua"/>
                <w:i/>
                <w:sz w:val="24"/>
                <w:szCs w:val="24"/>
                <w:lang w:val="en-US"/>
              </w:rPr>
              <w:t>n</w:t>
            </w:r>
          </w:p>
        </w:tc>
        <w:tc>
          <w:tcPr>
            <w:tcW w:w="748" w:type="pct"/>
            <w:tcBorders>
              <w:top w:val="single" w:sz="4" w:space="0" w:color="auto"/>
              <w:bottom w:val="single" w:sz="4" w:space="0" w:color="auto"/>
            </w:tcBorders>
            <w:vAlign w:val="center"/>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 xml:space="preserve">Reactivation </w:t>
            </w:r>
            <w:r w:rsidRPr="00A64FF0">
              <w:rPr>
                <w:rFonts w:ascii="Book Antiqua" w:hAnsi="Book Antiqua"/>
                <w:i/>
                <w:sz w:val="24"/>
                <w:szCs w:val="24"/>
                <w:lang w:val="en-US"/>
              </w:rPr>
              <w:t>n</w:t>
            </w:r>
          </w:p>
        </w:tc>
      </w:tr>
      <w:tr w:rsidR="00BD37FD" w:rsidRPr="00A64FF0" w:rsidTr="00E259AB">
        <w:trPr>
          <w:trHeight w:val="71"/>
        </w:trPr>
        <w:tc>
          <w:tcPr>
            <w:cnfStyle w:val="001000000000" w:firstRow="0" w:lastRow="0" w:firstColumn="1" w:lastColumn="0" w:oddVBand="0" w:evenVBand="0" w:oddHBand="0" w:evenHBand="0" w:firstRowFirstColumn="0" w:firstRowLastColumn="0" w:lastRowFirstColumn="0" w:lastRowLastColumn="0"/>
            <w:tcW w:w="726" w:type="pct"/>
            <w:tcBorders>
              <w:top w:val="single" w:sz="4" w:space="0" w:color="auto"/>
              <w:bottom w:val="nil"/>
            </w:tcBorders>
          </w:tcPr>
          <w:p w:rsidR="00BD37FD" w:rsidRPr="00A64FF0" w:rsidRDefault="00BD37FD" w:rsidP="00467AE1">
            <w:pPr>
              <w:adjustRightInd w:val="0"/>
              <w:snapToGrid w:val="0"/>
              <w:spacing w:after="0" w:line="360" w:lineRule="auto"/>
              <w:jc w:val="both"/>
              <w:rPr>
                <w:rFonts w:ascii="Book Antiqua" w:hAnsi="Book Antiqua"/>
                <w:b w:val="0"/>
                <w:sz w:val="24"/>
                <w:szCs w:val="24"/>
                <w:lang w:val="en-US"/>
              </w:rPr>
            </w:pPr>
          </w:p>
        </w:tc>
        <w:tc>
          <w:tcPr>
            <w:tcW w:w="709" w:type="pct"/>
            <w:tcBorders>
              <w:top w:val="single" w:sz="4" w:space="0" w:color="auto"/>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677" w:type="pct"/>
            <w:tcBorders>
              <w:top w:val="single" w:sz="4" w:space="0" w:color="auto"/>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019" w:type="pct"/>
            <w:tcBorders>
              <w:top w:val="single" w:sz="4" w:space="0" w:color="auto"/>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120" w:type="pct"/>
            <w:tcBorders>
              <w:top w:val="single" w:sz="4" w:space="0" w:color="auto"/>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748" w:type="pct"/>
            <w:tcBorders>
              <w:top w:val="single" w:sz="4" w:space="0" w:color="auto"/>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BD37FD" w:rsidRPr="00A64FF0" w:rsidTr="00E259AB">
        <w:trPr>
          <w:trHeight w:val="324"/>
        </w:trPr>
        <w:tc>
          <w:tcPr>
            <w:cnfStyle w:val="001000000000" w:firstRow="0" w:lastRow="0" w:firstColumn="1" w:lastColumn="0" w:oddVBand="0" w:evenVBand="0" w:oddHBand="0" w:evenHBand="0" w:firstRowFirstColumn="0" w:firstRowLastColumn="0" w:lastRowFirstColumn="0" w:lastRowLastColumn="0"/>
            <w:tcW w:w="726" w:type="pct"/>
            <w:tcBorders>
              <w:top w:val="nil"/>
            </w:tcBorders>
          </w:tcPr>
          <w:p w:rsidR="00BD37FD" w:rsidRPr="00A64FF0" w:rsidRDefault="00BD37FD" w:rsidP="00467AE1">
            <w:pPr>
              <w:adjustRightInd w:val="0"/>
              <w:snapToGrid w:val="0"/>
              <w:spacing w:after="0" w:line="360" w:lineRule="auto"/>
              <w:jc w:val="both"/>
              <w:rPr>
                <w:rFonts w:ascii="Book Antiqua" w:hAnsi="Book Antiqua"/>
                <w:b w:val="0"/>
                <w:sz w:val="24"/>
                <w:szCs w:val="24"/>
                <w:lang w:val="en-US"/>
              </w:rPr>
            </w:pPr>
            <w:r w:rsidRPr="00A64FF0">
              <w:rPr>
                <w:rFonts w:ascii="Book Antiqua" w:hAnsi="Book Antiqua"/>
                <w:b w:val="0"/>
                <w:sz w:val="24"/>
                <w:szCs w:val="24"/>
                <w:lang w:val="en-US"/>
              </w:rPr>
              <w:t xml:space="preserve">Charpin </w:t>
            </w:r>
            <w:r w:rsidR="00C43FF9" w:rsidRPr="00A64FF0">
              <w:rPr>
                <w:rFonts w:ascii="Book Antiqua" w:hAnsi="Book Antiqua"/>
                <w:b w:val="0"/>
                <w:i/>
                <w:sz w:val="24"/>
                <w:szCs w:val="24"/>
                <w:lang w:val="en-US"/>
              </w:rPr>
              <w:t>et al</w:t>
            </w:r>
            <w:r w:rsidR="001944E8" w:rsidRPr="00A64FF0">
              <w:rPr>
                <w:rFonts w:ascii="Book Antiqua" w:hAnsi="Book Antiqua"/>
                <w:b w:val="0"/>
                <w:sz w:val="24"/>
                <w:szCs w:val="24"/>
                <w:vertAlign w:val="superscript"/>
                <w:lang w:val="en-US"/>
              </w:rPr>
              <w:t>[</w:t>
            </w:r>
            <w:r w:rsidRPr="00A64FF0">
              <w:rPr>
                <w:rFonts w:ascii="Book Antiqua" w:hAnsi="Book Antiqua"/>
                <w:b w:val="0"/>
                <w:sz w:val="24"/>
                <w:szCs w:val="24"/>
                <w:vertAlign w:val="superscript"/>
                <w:lang w:val="en-US"/>
              </w:rPr>
              <w:t>42 ]</w:t>
            </w:r>
          </w:p>
        </w:tc>
        <w:tc>
          <w:tcPr>
            <w:tcW w:w="709" w:type="pct"/>
            <w:tcBorders>
              <w:top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PsA,5</w:t>
            </w:r>
          </w:p>
        </w:tc>
        <w:tc>
          <w:tcPr>
            <w:tcW w:w="677" w:type="pct"/>
            <w:tcBorders>
              <w:top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1019" w:type="pct"/>
            <w:tcBorders>
              <w:top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5</w:t>
            </w:r>
          </w:p>
        </w:tc>
        <w:tc>
          <w:tcPr>
            <w:tcW w:w="1120" w:type="pct"/>
            <w:tcBorders>
              <w:top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748" w:type="pct"/>
            <w:tcBorders>
              <w:top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r>
      <w:tr w:rsidR="00BD37FD" w:rsidRPr="00A64FF0" w:rsidTr="00E259AB">
        <w:trPr>
          <w:trHeight w:val="324"/>
        </w:trPr>
        <w:tc>
          <w:tcPr>
            <w:cnfStyle w:val="001000000000" w:firstRow="0" w:lastRow="0" w:firstColumn="1" w:lastColumn="0" w:oddVBand="0" w:evenVBand="0" w:oddHBand="0" w:evenHBand="0" w:firstRowFirstColumn="0" w:firstRowLastColumn="0" w:lastRowFirstColumn="0" w:lastRowLastColumn="0"/>
            <w:tcW w:w="726" w:type="pct"/>
          </w:tcPr>
          <w:p w:rsidR="00BD37FD" w:rsidRPr="00A64FF0" w:rsidRDefault="00BD37FD" w:rsidP="00467AE1">
            <w:pPr>
              <w:adjustRightInd w:val="0"/>
              <w:snapToGrid w:val="0"/>
              <w:spacing w:after="0" w:line="360" w:lineRule="auto"/>
              <w:jc w:val="both"/>
              <w:rPr>
                <w:rFonts w:ascii="Book Antiqua" w:hAnsi="Book Antiqua"/>
                <w:b w:val="0"/>
                <w:sz w:val="24"/>
                <w:szCs w:val="24"/>
                <w:lang w:val="en-US"/>
              </w:rPr>
            </w:pPr>
            <w:r w:rsidRPr="00A64FF0">
              <w:rPr>
                <w:rFonts w:ascii="Book Antiqua" w:hAnsi="Book Antiqua"/>
                <w:b w:val="0"/>
                <w:sz w:val="24"/>
                <w:szCs w:val="24"/>
                <w:lang w:val="en-US"/>
              </w:rPr>
              <w:t xml:space="preserve">Prestinari </w:t>
            </w:r>
            <w:r w:rsidR="00C43FF9" w:rsidRPr="00A64FF0">
              <w:rPr>
                <w:rFonts w:ascii="Book Antiqua" w:hAnsi="Book Antiqua"/>
                <w:b w:val="0"/>
                <w:i/>
                <w:sz w:val="24"/>
                <w:szCs w:val="24"/>
                <w:lang w:val="en-US"/>
              </w:rPr>
              <w:t>et al</w:t>
            </w:r>
            <w:r w:rsidR="001944E8" w:rsidRPr="00A64FF0">
              <w:rPr>
                <w:rFonts w:ascii="Book Antiqua" w:hAnsi="Book Antiqua"/>
                <w:b w:val="0"/>
                <w:sz w:val="24"/>
                <w:szCs w:val="24"/>
                <w:vertAlign w:val="superscript"/>
                <w:lang w:val="en-US"/>
              </w:rPr>
              <w:t>[</w:t>
            </w:r>
            <w:r w:rsidRPr="00A64FF0">
              <w:rPr>
                <w:rFonts w:ascii="Book Antiqua" w:hAnsi="Book Antiqua"/>
                <w:b w:val="0"/>
                <w:sz w:val="24"/>
                <w:szCs w:val="24"/>
                <w:vertAlign w:val="superscript"/>
                <w:lang w:val="en-US"/>
              </w:rPr>
              <w:t>43]</w:t>
            </w:r>
          </w:p>
        </w:tc>
        <w:tc>
          <w:tcPr>
            <w:tcW w:w="70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PsO,1</w:t>
            </w:r>
          </w:p>
        </w:tc>
        <w:tc>
          <w:tcPr>
            <w:tcW w:w="677"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101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1</w:t>
            </w:r>
          </w:p>
        </w:tc>
        <w:tc>
          <w:tcPr>
            <w:tcW w:w="112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748"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r>
      <w:tr w:rsidR="00BD37FD" w:rsidRPr="00A64FF0" w:rsidTr="00E259AB">
        <w:trPr>
          <w:trHeight w:val="324"/>
        </w:trPr>
        <w:tc>
          <w:tcPr>
            <w:cnfStyle w:val="001000000000" w:firstRow="0" w:lastRow="0" w:firstColumn="1" w:lastColumn="0" w:oddVBand="0" w:evenVBand="0" w:oddHBand="0" w:evenHBand="0" w:firstRowFirstColumn="0" w:firstRowLastColumn="0" w:lastRowFirstColumn="0" w:lastRowLastColumn="0"/>
            <w:tcW w:w="726" w:type="pct"/>
          </w:tcPr>
          <w:p w:rsidR="00BD37FD" w:rsidRPr="00A64FF0" w:rsidRDefault="00BD37FD" w:rsidP="00467AE1">
            <w:pPr>
              <w:adjustRightInd w:val="0"/>
              <w:snapToGrid w:val="0"/>
              <w:spacing w:after="0" w:line="360" w:lineRule="auto"/>
              <w:jc w:val="both"/>
              <w:rPr>
                <w:rFonts w:ascii="Book Antiqua" w:hAnsi="Book Antiqua"/>
                <w:b w:val="0"/>
                <w:sz w:val="24"/>
                <w:szCs w:val="24"/>
                <w:lang w:val="en-US"/>
              </w:rPr>
            </w:pPr>
            <w:r w:rsidRPr="00A64FF0">
              <w:rPr>
                <w:rFonts w:ascii="Book Antiqua" w:hAnsi="Book Antiqua"/>
                <w:b w:val="0"/>
                <w:sz w:val="24"/>
                <w:szCs w:val="24"/>
                <w:lang w:val="en-US"/>
              </w:rPr>
              <w:t xml:space="preserve">Nosotti </w:t>
            </w:r>
            <w:r w:rsidR="00C43FF9" w:rsidRPr="00A64FF0">
              <w:rPr>
                <w:rFonts w:ascii="Book Antiqua" w:hAnsi="Book Antiqua"/>
                <w:b w:val="0"/>
                <w:i/>
                <w:sz w:val="24"/>
                <w:szCs w:val="24"/>
                <w:lang w:val="en-US"/>
              </w:rPr>
              <w:t>et al</w:t>
            </w:r>
            <w:r w:rsidR="001944E8" w:rsidRPr="00A64FF0">
              <w:rPr>
                <w:rFonts w:ascii="Book Antiqua" w:hAnsi="Book Antiqua"/>
                <w:b w:val="0"/>
                <w:sz w:val="24"/>
                <w:szCs w:val="24"/>
                <w:vertAlign w:val="superscript"/>
                <w:lang w:val="en-US"/>
              </w:rPr>
              <w:t>[</w:t>
            </w:r>
            <w:r w:rsidRPr="00A64FF0">
              <w:rPr>
                <w:rFonts w:ascii="Book Antiqua" w:hAnsi="Book Antiqua"/>
                <w:b w:val="0"/>
                <w:sz w:val="24"/>
                <w:szCs w:val="24"/>
                <w:vertAlign w:val="superscript"/>
                <w:lang w:val="en-US"/>
              </w:rPr>
              <w:t>44]</w:t>
            </w:r>
          </w:p>
        </w:tc>
        <w:tc>
          <w:tcPr>
            <w:tcW w:w="70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PsO,4;PsA,3</w:t>
            </w:r>
          </w:p>
        </w:tc>
        <w:tc>
          <w:tcPr>
            <w:tcW w:w="677"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1</w:t>
            </w:r>
          </w:p>
        </w:tc>
        <w:tc>
          <w:tcPr>
            <w:tcW w:w="101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6</w:t>
            </w:r>
          </w:p>
        </w:tc>
        <w:tc>
          <w:tcPr>
            <w:tcW w:w="112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1 (Lamivudine)</w:t>
            </w:r>
          </w:p>
        </w:tc>
        <w:tc>
          <w:tcPr>
            <w:tcW w:w="748"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r>
      <w:tr w:rsidR="00BD37FD" w:rsidRPr="00A64FF0" w:rsidTr="00E259AB">
        <w:trPr>
          <w:trHeight w:val="324"/>
        </w:trPr>
        <w:tc>
          <w:tcPr>
            <w:cnfStyle w:val="001000000000" w:firstRow="0" w:lastRow="0" w:firstColumn="1" w:lastColumn="0" w:oddVBand="0" w:evenVBand="0" w:oddHBand="0" w:evenHBand="0" w:firstRowFirstColumn="0" w:firstRowLastColumn="0" w:lastRowFirstColumn="0" w:lastRowLastColumn="0"/>
            <w:tcW w:w="726" w:type="pct"/>
          </w:tcPr>
          <w:p w:rsidR="00BD37FD" w:rsidRPr="00A64FF0" w:rsidRDefault="00BD37FD" w:rsidP="00467AE1">
            <w:pPr>
              <w:adjustRightInd w:val="0"/>
              <w:snapToGrid w:val="0"/>
              <w:spacing w:after="0" w:line="360" w:lineRule="auto"/>
              <w:jc w:val="both"/>
              <w:rPr>
                <w:rFonts w:ascii="Book Antiqua" w:hAnsi="Book Antiqua"/>
                <w:b w:val="0"/>
                <w:sz w:val="24"/>
                <w:szCs w:val="24"/>
                <w:lang w:val="en-US"/>
              </w:rPr>
            </w:pPr>
            <w:r w:rsidRPr="00A64FF0">
              <w:rPr>
                <w:rFonts w:ascii="Book Antiqua" w:hAnsi="Book Antiqua"/>
                <w:b w:val="0"/>
                <w:sz w:val="24"/>
                <w:szCs w:val="24"/>
                <w:lang w:val="en-US"/>
              </w:rPr>
              <w:t xml:space="preserve">Caporali </w:t>
            </w:r>
            <w:r w:rsidR="00C43FF9" w:rsidRPr="00A64FF0">
              <w:rPr>
                <w:rFonts w:ascii="Book Antiqua" w:hAnsi="Book Antiqua"/>
                <w:b w:val="0"/>
                <w:i/>
                <w:sz w:val="24"/>
                <w:szCs w:val="24"/>
                <w:lang w:val="en-US"/>
              </w:rPr>
              <w:t>et al</w:t>
            </w:r>
            <w:r w:rsidR="001944E8" w:rsidRPr="00A64FF0">
              <w:rPr>
                <w:rFonts w:ascii="Book Antiqua" w:hAnsi="Book Antiqua"/>
                <w:b w:val="0"/>
                <w:sz w:val="24"/>
                <w:szCs w:val="24"/>
                <w:vertAlign w:val="superscript"/>
                <w:lang w:val="en-US"/>
              </w:rPr>
              <w:t>[</w:t>
            </w:r>
            <w:r w:rsidRPr="00A64FF0">
              <w:rPr>
                <w:rFonts w:ascii="Book Antiqua" w:hAnsi="Book Antiqua"/>
                <w:b w:val="0"/>
                <w:sz w:val="24"/>
                <w:szCs w:val="24"/>
                <w:vertAlign w:val="superscript"/>
                <w:lang w:val="en-US"/>
              </w:rPr>
              <w:t>45]</w:t>
            </w:r>
          </w:p>
        </w:tc>
        <w:tc>
          <w:tcPr>
            <w:tcW w:w="70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PsA,4</w:t>
            </w:r>
          </w:p>
        </w:tc>
        <w:tc>
          <w:tcPr>
            <w:tcW w:w="677"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101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4</w:t>
            </w:r>
          </w:p>
        </w:tc>
        <w:tc>
          <w:tcPr>
            <w:tcW w:w="112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748"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r>
      <w:tr w:rsidR="00BD37FD" w:rsidRPr="00A64FF0" w:rsidTr="00E259AB">
        <w:trPr>
          <w:trHeight w:val="324"/>
        </w:trPr>
        <w:tc>
          <w:tcPr>
            <w:cnfStyle w:val="001000000000" w:firstRow="0" w:lastRow="0" w:firstColumn="1" w:lastColumn="0" w:oddVBand="0" w:evenVBand="0" w:oddHBand="0" w:evenHBand="0" w:firstRowFirstColumn="0" w:firstRowLastColumn="0" w:lastRowFirstColumn="0" w:lastRowLastColumn="0"/>
            <w:tcW w:w="726" w:type="pct"/>
          </w:tcPr>
          <w:p w:rsidR="00BD37FD" w:rsidRPr="00A64FF0" w:rsidRDefault="00BD37FD" w:rsidP="00467AE1">
            <w:pPr>
              <w:adjustRightInd w:val="0"/>
              <w:snapToGrid w:val="0"/>
              <w:spacing w:after="0" w:line="360" w:lineRule="auto"/>
              <w:jc w:val="both"/>
              <w:rPr>
                <w:rFonts w:ascii="Book Antiqua" w:hAnsi="Book Antiqua"/>
                <w:b w:val="0"/>
                <w:sz w:val="24"/>
                <w:szCs w:val="24"/>
                <w:lang w:val="en-US"/>
              </w:rPr>
            </w:pPr>
            <w:r w:rsidRPr="00A64FF0">
              <w:rPr>
                <w:rFonts w:ascii="Book Antiqua" w:hAnsi="Book Antiqua"/>
                <w:b w:val="0"/>
                <w:sz w:val="24"/>
                <w:szCs w:val="24"/>
                <w:lang w:val="en-US"/>
              </w:rPr>
              <w:t xml:space="preserve">Kim </w:t>
            </w:r>
            <w:r w:rsidR="00C43FF9" w:rsidRPr="00A64FF0">
              <w:rPr>
                <w:rFonts w:ascii="Book Antiqua" w:hAnsi="Book Antiqua"/>
                <w:b w:val="0"/>
                <w:i/>
                <w:sz w:val="24"/>
                <w:szCs w:val="24"/>
                <w:lang w:val="en-US"/>
              </w:rPr>
              <w:t>et al</w:t>
            </w:r>
            <w:r w:rsidR="001944E8" w:rsidRPr="00A64FF0">
              <w:rPr>
                <w:rFonts w:ascii="Book Antiqua" w:hAnsi="Book Antiqua"/>
                <w:b w:val="0"/>
                <w:sz w:val="24"/>
                <w:szCs w:val="24"/>
                <w:vertAlign w:val="superscript"/>
                <w:lang w:val="en-US"/>
              </w:rPr>
              <w:t>[</w:t>
            </w:r>
            <w:r w:rsidRPr="00A64FF0">
              <w:rPr>
                <w:rFonts w:ascii="Book Antiqua" w:hAnsi="Book Antiqua"/>
                <w:b w:val="0"/>
                <w:sz w:val="24"/>
                <w:szCs w:val="24"/>
                <w:vertAlign w:val="superscript"/>
                <w:lang w:val="en-US"/>
              </w:rPr>
              <w:t>46]</w:t>
            </w:r>
          </w:p>
        </w:tc>
        <w:tc>
          <w:tcPr>
            <w:tcW w:w="70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PsA,2</w:t>
            </w:r>
          </w:p>
        </w:tc>
        <w:tc>
          <w:tcPr>
            <w:tcW w:w="677"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101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2</w:t>
            </w:r>
          </w:p>
        </w:tc>
        <w:tc>
          <w:tcPr>
            <w:tcW w:w="112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748"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r>
      <w:tr w:rsidR="00BD37FD" w:rsidRPr="00A64FF0" w:rsidTr="00E259AB">
        <w:trPr>
          <w:trHeight w:val="324"/>
        </w:trPr>
        <w:tc>
          <w:tcPr>
            <w:cnfStyle w:val="001000000000" w:firstRow="0" w:lastRow="0" w:firstColumn="1" w:lastColumn="0" w:oddVBand="0" w:evenVBand="0" w:oddHBand="0" w:evenHBand="0" w:firstRowFirstColumn="0" w:firstRowLastColumn="0" w:lastRowFirstColumn="0" w:lastRowLastColumn="0"/>
            <w:tcW w:w="726" w:type="pct"/>
          </w:tcPr>
          <w:p w:rsidR="00BD37FD" w:rsidRPr="00A64FF0" w:rsidRDefault="00BD37FD" w:rsidP="00467AE1">
            <w:pPr>
              <w:adjustRightInd w:val="0"/>
              <w:snapToGrid w:val="0"/>
              <w:spacing w:after="0" w:line="360" w:lineRule="auto"/>
              <w:jc w:val="both"/>
              <w:rPr>
                <w:rFonts w:ascii="Book Antiqua" w:hAnsi="Book Antiqua"/>
                <w:b w:val="0"/>
                <w:sz w:val="24"/>
                <w:szCs w:val="24"/>
                <w:lang w:val="en-US"/>
              </w:rPr>
            </w:pPr>
            <w:r w:rsidRPr="00A64FF0">
              <w:rPr>
                <w:rFonts w:ascii="Book Antiqua" w:hAnsi="Book Antiqua"/>
                <w:b w:val="0"/>
                <w:sz w:val="24"/>
                <w:szCs w:val="24"/>
                <w:lang w:val="en-US"/>
              </w:rPr>
              <w:t xml:space="preserve">Fotadiou </w:t>
            </w:r>
            <w:r w:rsidR="00C43FF9" w:rsidRPr="00A64FF0">
              <w:rPr>
                <w:rFonts w:ascii="Book Antiqua" w:hAnsi="Book Antiqua"/>
                <w:b w:val="0"/>
                <w:i/>
                <w:sz w:val="24"/>
                <w:szCs w:val="24"/>
                <w:lang w:val="en-US"/>
              </w:rPr>
              <w:t>et al</w:t>
            </w:r>
            <w:r w:rsidR="001944E8" w:rsidRPr="00A64FF0">
              <w:rPr>
                <w:rFonts w:ascii="Book Antiqua" w:hAnsi="Book Antiqua"/>
                <w:b w:val="0"/>
                <w:sz w:val="24"/>
                <w:szCs w:val="24"/>
                <w:vertAlign w:val="superscript"/>
                <w:lang w:val="en-US"/>
              </w:rPr>
              <w:t>[</w:t>
            </w:r>
            <w:r w:rsidRPr="00A64FF0">
              <w:rPr>
                <w:rFonts w:ascii="Book Antiqua" w:hAnsi="Book Antiqua"/>
                <w:b w:val="0"/>
                <w:sz w:val="24"/>
                <w:szCs w:val="24"/>
                <w:vertAlign w:val="superscript"/>
                <w:lang w:val="en-US"/>
              </w:rPr>
              <w:t>47]</w:t>
            </w:r>
          </w:p>
        </w:tc>
        <w:tc>
          <w:tcPr>
            <w:tcW w:w="70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PsO,7</w:t>
            </w:r>
          </w:p>
        </w:tc>
        <w:tc>
          <w:tcPr>
            <w:tcW w:w="677"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7</w:t>
            </w:r>
          </w:p>
        </w:tc>
        <w:tc>
          <w:tcPr>
            <w:tcW w:w="101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112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7</w:t>
            </w:r>
            <w:r w:rsidR="00CC45BE" w:rsidRPr="00A64FF0">
              <w:rPr>
                <w:rFonts w:ascii="Book Antiqua" w:eastAsiaTheme="minorEastAsia" w:hAnsi="Book Antiqua" w:hint="eastAsia"/>
                <w:sz w:val="24"/>
                <w:szCs w:val="24"/>
                <w:lang w:val="en-US" w:eastAsia="zh-CN"/>
              </w:rPr>
              <w:t xml:space="preserve"> </w:t>
            </w:r>
            <w:r w:rsidRPr="00A64FF0">
              <w:rPr>
                <w:rFonts w:ascii="Book Antiqua" w:hAnsi="Book Antiqua"/>
                <w:sz w:val="24"/>
                <w:szCs w:val="24"/>
                <w:lang w:val="en-US"/>
              </w:rPr>
              <w:t>(Lamivudine)</w:t>
            </w:r>
          </w:p>
        </w:tc>
        <w:tc>
          <w:tcPr>
            <w:tcW w:w="748"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r>
      <w:tr w:rsidR="00BD37FD" w:rsidRPr="00A64FF0" w:rsidTr="00E259AB">
        <w:trPr>
          <w:trHeight w:val="324"/>
        </w:trPr>
        <w:tc>
          <w:tcPr>
            <w:cnfStyle w:val="001000000000" w:firstRow="0" w:lastRow="0" w:firstColumn="1" w:lastColumn="0" w:oddVBand="0" w:evenVBand="0" w:oddHBand="0" w:evenHBand="0" w:firstRowFirstColumn="0" w:firstRowLastColumn="0" w:lastRowFirstColumn="0" w:lastRowLastColumn="0"/>
            <w:tcW w:w="726" w:type="pct"/>
          </w:tcPr>
          <w:p w:rsidR="00BD37FD" w:rsidRPr="00A64FF0" w:rsidRDefault="00BD37FD" w:rsidP="00467AE1">
            <w:pPr>
              <w:adjustRightInd w:val="0"/>
              <w:snapToGrid w:val="0"/>
              <w:spacing w:after="0" w:line="360" w:lineRule="auto"/>
              <w:jc w:val="both"/>
              <w:rPr>
                <w:rFonts w:ascii="Book Antiqua" w:hAnsi="Book Antiqua"/>
                <w:b w:val="0"/>
                <w:sz w:val="24"/>
                <w:szCs w:val="24"/>
                <w:lang w:val="en-US"/>
              </w:rPr>
            </w:pPr>
            <w:r w:rsidRPr="00A64FF0">
              <w:rPr>
                <w:rFonts w:ascii="Book Antiqua" w:hAnsi="Book Antiqua"/>
                <w:b w:val="0"/>
                <w:sz w:val="24"/>
                <w:szCs w:val="24"/>
                <w:lang w:val="en-US"/>
              </w:rPr>
              <w:t xml:space="preserve">Prignano </w:t>
            </w:r>
            <w:r w:rsidR="00C43FF9" w:rsidRPr="00A64FF0">
              <w:rPr>
                <w:rFonts w:ascii="Book Antiqua" w:hAnsi="Book Antiqua"/>
                <w:b w:val="0"/>
                <w:i/>
                <w:sz w:val="24"/>
                <w:szCs w:val="24"/>
                <w:lang w:val="en-US"/>
              </w:rPr>
              <w:t>et al</w:t>
            </w:r>
            <w:r w:rsidR="001944E8" w:rsidRPr="00A64FF0">
              <w:rPr>
                <w:rFonts w:ascii="Book Antiqua" w:hAnsi="Book Antiqua"/>
                <w:b w:val="0"/>
                <w:sz w:val="24"/>
                <w:szCs w:val="24"/>
                <w:vertAlign w:val="superscript"/>
                <w:lang w:val="en-US"/>
              </w:rPr>
              <w:t>[</w:t>
            </w:r>
            <w:r w:rsidRPr="00A64FF0">
              <w:rPr>
                <w:rFonts w:ascii="Book Antiqua" w:hAnsi="Book Antiqua"/>
                <w:b w:val="0"/>
                <w:sz w:val="24"/>
                <w:szCs w:val="24"/>
                <w:vertAlign w:val="superscript"/>
                <w:lang w:val="en-US"/>
              </w:rPr>
              <w:t>48]</w:t>
            </w:r>
          </w:p>
        </w:tc>
        <w:tc>
          <w:tcPr>
            <w:tcW w:w="70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PsO,12</w:t>
            </w:r>
          </w:p>
        </w:tc>
        <w:tc>
          <w:tcPr>
            <w:tcW w:w="677"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101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12</w:t>
            </w:r>
          </w:p>
        </w:tc>
        <w:tc>
          <w:tcPr>
            <w:tcW w:w="112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748"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r>
      <w:tr w:rsidR="00BD37FD" w:rsidRPr="00A64FF0" w:rsidTr="00E259AB">
        <w:trPr>
          <w:trHeight w:val="324"/>
        </w:trPr>
        <w:tc>
          <w:tcPr>
            <w:cnfStyle w:val="001000000000" w:firstRow="0" w:lastRow="0" w:firstColumn="1" w:lastColumn="0" w:oddVBand="0" w:evenVBand="0" w:oddHBand="0" w:evenHBand="0" w:firstRowFirstColumn="0" w:firstRowLastColumn="0" w:lastRowFirstColumn="0" w:lastRowLastColumn="0"/>
            <w:tcW w:w="726" w:type="pct"/>
          </w:tcPr>
          <w:p w:rsidR="00BD37FD" w:rsidRPr="00A64FF0" w:rsidRDefault="00BD37FD" w:rsidP="00467AE1">
            <w:pPr>
              <w:adjustRightInd w:val="0"/>
              <w:snapToGrid w:val="0"/>
              <w:spacing w:after="0" w:line="360" w:lineRule="auto"/>
              <w:jc w:val="both"/>
              <w:rPr>
                <w:rFonts w:ascii="Book Antiqua" w:hAnsi="Book Antiqua"/>
                <w:b w:val="0"/>
                <w:sz w:val="24"/>
                <w:szCs w:val="24"/>
                <w:lang w:val="en-US"/>
              </w:rPr>
            </w:pPr>
            <w:r w:rsidRPr="00A64FF0">
              <w:rPr>
                <w:rFonts w:ascii="Book Antiqua" w:hAnsi="Book Antiqua"/>
                <w:b w:val="0"/>
                <w:sz w:val="24"/>
                <w:szCs w:val="24"/>
                <w:lang w:val="en-US"/>
              </w:rPr>
              <w:t xml:space="preserve">Cassano </w:t>
            </w:r>
            <w:r w:rsidR="00C43FF9" w:rsidRPr="00A64FF0">
              <w:rPr>
                <w:rFonts w:ascii="Book Antiqua" w:hAnsi="Book Antiqua"/>
                <w:b w:val="0"/>
                <w:i/>
                <w:sz w:val="24"/>
                <w:szCs w:val="24"/>
                <w:lang w:val="en-US"/>
              </w:rPr>
              <w:t>et al</w:t>
            </w:r>
            <w:r w:rsidR="001944E8" w:rsidRPr="00A64FF0">
              <w:rPr>
                <w:rFonts w:ascii="Book Antiqua" w:hAnsi="Book Antiqua"/>
                <w:b w:val="0"/>
                <w:sz w:val="24"/>
                <w:szCs w:val="24"/>
                <w:vertAlign w:val="superscript"/>
                <w:lang w:val="en-US"/>
              </w:rPr>
              <w:t>[</w:t>
            </w:r>
            <w:r w:rsidRPr="00A64FF0">
              <w:rPr>
                <w:rFonts w:ascii="Book Antiqua" w:hAnsi="Book Antiqua"/>
                <w:b w:val="0"/>
                <w:sz w:val="24"/>
                <w:szCs w:val="24"/>
                <w:vertAlign w:val="superscript"/>
                <w:lang w:val="en-US"/>
              </w:rPr>
              <w:t>49]</w:t>
            </w:r>
          </w:p>
        </w:tc>
        <w:tc>
          <w:tcPr>
            <w:tcW w:w="70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PsO,28; PsA,34</w:t>
            </w:r>
          </w:p>
        </w:tc>
        <w:tc>
          <w:tcPr>
            <w:tcW w:w="677"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101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62</w:t>
            </w:r>
          </w:p>
        </w:tc>
        <w:tc>
          <w:tcPr>
            <w:tcW w:w="112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748"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r>
      <w:tr w:rsidR="00BD37FD" w:rsidRPr="00A64FF0" w:rsidTr="00E259AB">
        <w:trPr>
          <w:trHeight w:val="324"/>
        </w:trPr>
        <w:tc>
          <w:tcPr>
            <w:cnfStyle w:val="001000000000" w:firstRow="0" w:lastRow="0" w:firstColumn="1" w:lastColumn="0" w:oddVBand="0" w:evenVBand="0" w:oddHBand="0" w:evenHBand="0" w:firstRowFirstColumn="0" w:firstRowLastColumn="0" w:lastRowFirstColumn="0" w:lastRowLastColumn="0"/>
            <w:tcW w:w="726" w:type="pct"/>
          </w:tcPr>
          <w:p w:rsidR="00BD37FD" w:rsidRPr="00A64FF0" w:rsidRDefault="00BD37FD" w:rsidP="00467AE1">
            <w:pPr>
              <w:adjustRightInd w:val="0"/>
              <w:snapToGrid w:val="0"/>
              <w:spacing w:after="0" w:line="360" w:lineRule="auto"/>
              <w:jc w:val="both"/>
              <w:rPr>
                <w:rFonts w:ascii="Book Antiqua" w:hAnsi="Book Antiqua"/>
                <w:b w:val="0"/>
                <w:sz w:val="24"/>
                <w:szCs w:val="24"/>
                <w:lang w:val="en-US"/>
              </w:rPr>
            </w:pPr>
            <w:r w:rsidRPr="00A64FF0">
              <w:rPr>
                <w:rFonts w:ascii="Book Antiqua" w:hAnsi="Book Antiqua"/>
                <w:b w:val="0"/>
                <w:sz w:val="24"/>
                <w:szCs w:val="24"/>
                <w:lang w:val="en-US"/>
              </w:rPr>
              <w:t xml:space="preserve">Cho </w:t>
            </w:r>
            <w:r w:rsidR="00C43FF9" w:rsidRPr="00A64FF0">
              <w:rPr>
                <w:rFonts w:ascii="Book Antiqua" w:hAnsi="Book Antiqua"/>
                <w:b w:val="0"/>
                <w:i/>
                <w:sz w:val="24"/>
                <w:szCs w:val="24"/>
                <w:lang w:val="en-US"/>
              </w:rPr>
              <w:t>et al</w:t>
            </w:r>
            <w:r w:rsidR="001944E8" w:rsidRPr="00A64FF0">
              <w:rPr>
                <w:rFonts w:ascii="Book Antiqua" w:hAnsi="Book Antiqua"/>
                <w:b w:val="0"/>
                <w:sz w:val="24"/>
                <w:szCs w:val="24"/>
                <w:vertAlign w:val="superscript"/>
                <w:lang w:val="en-US"/>
              </w:rPr>
              <w:t>[</w:t>
            </w:r>
            <w:r w:rsidRPr="00A64FF0">
              <w:rPr>
                <w:rFonts w:ascii="Book Antiqua" w:hAnsi="Book Antiqua"/>
                <w:b w:val="0"/>
                <w:sz w:val="24"/>
                <w:szCs w:val="24"/>
                <w:vertAlign w:val="superscript"/>
                <w:lang w:val="en-US"/>
              </w:rPr>
              <w:t>50]</w:t>
            </w:r>
          </w:p>
        </w:tc>
        <w:tc>
          <w:tcPr>
            <w:tcW w:w="70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PsA, 2</w:t>
            </w:r>
          </w:p>
        </w:tc>
        <w:tc>
          <w:tcPr>
            <w:tcW w:w="677"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2</w:t>
            </w:r>
          </w:p>
        </w:tc>
        <w:tc>
          <w:tcPr>
            <w:tcW w:w="101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112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c>
          <w:tcPr>
            <w:tcW w:w="748"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1</w:t>
            </w:r>
          </w:p>
        </w:tc>
      </w:tr>
      <w:tr w:rsidR="00BD37FD" w:rsidRPr="00A64FF0" w:rsidTr="00E259AB">
        <w:trPr>
          <w:trHeight w:val="324"/>
        </w:trPr>
        <w:tc>
          <w:tcPr>
            <w:cnfStyle w:val="001000000000" w:firstRow="0" w:lastRow="0" w:firstColumn="1" w:lastColumn="0" w:oddVBand="0" w:evenVBand="0" w:oddHBand="0" w:evenHBand="0" w:firstRowFirstColumn="0" w:firstRowLastColumn="0" w:lastRowFirstColumn="0" w:lastRowLastColumn="0"/>
            <w:tcW w:w="726" w:type="pct"/>
          </w:tcPr>
          <w:p w:rsidR="00BD37FD" w:rsidRPr="00A64FF0" w:rsidRDefault="00BD37FD" w:rsidP="00467AE1">
            <w:pPr>
              <w:adjustRightInd w:val="0"/>
              <w:snapToGrid w:val="0"/>
              <w:spacing w:after="0" w:line="360" w:lineRule="auto"/>
              <w:jc w:val="both"/>
              <w:rPr>
                <w:rFonts w:ascii="Book Antiqua" w:hAnsi="Book Antiqua"/>
                <w:b w:val="0"/>
                <w:sz w:val="24"/>
                <w:szCs w:val="24"/>
              </w:rPr>
            </w:pPr>
            <w:r w:rsidRPr="00A64FF0">
              <w:rPr>
                <w:rFonts w:ascii="Book Antiqua" w:hAnsi="Book Antiqua"/>
                <w:b w:val="0"/>
                <w:sz w:val="24"/>
                <w:szCs w:val="24"/>
              </w:rPr>
              <w:t xml:space="preserve">Navarro </w:t>
            </w:r>
            <w:r w:rsidR="00C43FF9" w:rsidRPr="00A64FF0">
              <w:rPr>
                <w:rFonts w:ascii="Book Antiqua" w:hAnsi="Book Antiqua"/>
                <w:b w:val="0"/>
                <w:i/>
                <w:sz w:val="24"/>
                <w:szCs w:val="24"/>
              </w:rPr>
              <w:t>et al</w:t>
            </w:r>
            <w:r w:rsidR="001944E8" w:rsidRPr="00A64FF0">
              <w:rPr>
                <w:rFonts w:ascii="Book Antiqua" w:hAnsi="Book Antiqua"/>
                <w:b w:val="0"/>
                <w:sz w:val="24"/>
                <w:szCs w:val="24"/>
                <w:vertAlign w:val="superscript"/>
              </w:rPr>
              <w:t>[</w:t>
            </w:r>
            <w:r w:rsidRPr="00A64FF0">
              <w:rPr>
                <w:rFonts w:ascii="Book Antiqua" w:hAnsi="Book Antiqua"/>
                <w:b w:val="0"/>
                <w:sz w:val="24"/>
                <w:szCs w:val="24"/>
                <w:vertAlign w:val="superscript"/>
              </w:rPr>
              <w:t>51]</w:t>
            </w:r>
          </w:p>
        </w:tc>
        <w:tc>
          <w:tcPr>
            <w:tcW w:w="70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PsO,13</w:t>
            </w:r>
          </w:p>
        </w:tc>
        <w:tc>
          <w:tcPr>
            <w:tcW w:w="677"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0</w:t>
            </w:r>
          </w:p>
        </w:tc>
        <w:tc>
          <w:tcPr>
            <w:tcW w:w="101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13</w:t>
            </w:r>
          </w:p>
        </w:tc>
        <w:tc>
          <w:tcPr>
            <w:tcW w:w="112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0</w:t>
            </w:r>
          </w:p>
        </w:tc>
        <w:tc>
          <w:tcPr>
            <w:tcW w:w="748"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0</w:t>
            </w:r>
          </w:p>
        </w:tc>
      </w:tr>
      <w:tr w:rsidR="00BD37FD" w:rsidRPr="00A64FF0" w:rsidTr="00E259AB">
        <w:trPr>
          <w:trHeight w:val="324"/>
        </w:trPr>
        <w:tc>
          <w:tcPr>
            <w:cnfStyle w:val="001000000000" w:firstRow="0" w:lastRow="0" w:firstColumn="1" w:lastColumn="0" w:oddVBand="0" w:evenVBand="0" w:oddHBand="0" w:evenHBand="0" w:firstRowFirstColumn="0" w:firstRowLastColumn="0" w:lastRowFirstColumn="0" w:lastRowLastColumn="0"/>
            <w:tcW w:w="726" w:type="pct"/>
          </w:tcPr>
          <w:p w:rsidR="00BD37FD" w:rsidRPr="00A64FF0" w:rsidRDefault="00BD37FD" w:rsidP="00467AE1">
            <w:pPr>
              <w:adjustRightInd w:val="0"/>
              <w:snapToGrid w:val="0"/>
              <w:spacing w:after="0" w:line="360" w:lineRule="auto"/>
              <w:jc w:val="both"/>
              <w:rPr>
                <w:rFonts w:ascii="Book Antiqua" w:hAnsi="Book Antiqua"/>
                <w:b w:val="0"/>
                <w:sz w:val="24"/>
                <w:szCs w:val="24"/>
              </w:rPr>
            </w:pPr>
            <w:r w:rsidRPr="00A64FF0">
              <w:rPr>
                <w:rFonts w:ascii="Book Antiqua" w:hAnsi="Book Antiqua"/>
                <w:b w:val="0"/>
                <w:sz w:val="24"/>
                <w:szCs w:val="24"/>
              </w:rPr>
              <w:t xml:space="preserve">Laurenti </w:t>
            </w:r>
            <w:r w:rsidR="00C43FF9" w:rsidRPr="00A64FF0">
              <w:rPr>
                <w:rFonts w:ascii="Book Antiqua" w:hAnsi="Book Antiqua"/>
                <w:b w:val="0"/>
                <w:i/>
                <w:sz w:val="24"/>
                <w:szCs w:val="24"/>
              </w:rPr>
              <w:t xml:space="preserve">et </w:t>
            </w:r>
            <w:r w:rsidR="00C43FF9" w:rsidRPr="00A64FF0">
              <w:rPr>
                <w:rFonts w:ascii="Book Antiqua" w:hAnsi="Book Antiqua"/>
                <w:b w:val="0"/>
                <w:i/>
                <w:sz w:val="24"/>
                <w:szCs w:val="24"/>
              </w:rPr>
              <w:lastRenderedPageBreak/>
              <w:t>al</w:t>
            </w:r>
            <w:r w:rsidR="001944E8" w:rsidRPr="00A64FF0">
              <w:rPr>
                <w:rFonts w:ascii="Book Antiqua" w:hAnsi="Book Antiqua"/>
                <w:b w:val="0"/>
                <w:sz w:val="24"/>
                <w:szCs w:val="24"/>
                <w:vertAlign w:val="superscript"/>
              </w:rPr>
              <w:t>[</w:t>
            </w:r>
            <w:r w:rsidRPr="00A64FF0">
              <w:rPr>
                <w:rFonts w:ascii="Book Antiqua" w:hAnsi="Book Antiqua"/>
                <w:b w:val="0"/>
                <w:sz w:val="24"/>
                <w:szCs w:val="24"/>
                <w:vertAlign w:val="superscript"/>
              </w:rPr>
              <w:t>52]</w:t>
            </w:r>
          </w:p>
        </w:tc>
        <w:tc>
          <w:tcPr>
            <w:tcW w:w="70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lastRenderedPageBreak/>
              <w:t>PsA,8</w:t>
            </w:r>
          </w:p>
        </w:tc>
        <w:tc>
          <w:tcPr>
            <w:tcW w:w="677"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1</w:t>
            </w:r>
          </w:p>
        </w:tc>
        <w:tc>
          <w:tcPr>
            <w:tcW w:w="101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7</w:t>
            </w:r>
          </w:p>
        </w:tc>
        <w:tc>
          <w:tcPr>
            <w:tcW w:w="112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1 (Lamivudine)</w:t>
            </w:r>
          </w:p>
        </w:tc>
        <w:tc>
          <w:tcPr>
            <w:tcW w:w="748"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0</w:t>
            </w:r>
          </w:p>
        </w:tc>
      </w:tr>
      <w:tr w:rsidR="00BD37FD" w:rsidRPr="00A64FF0" w:rsidTr="00E259AB">
        <w:trPr>
          <w:trHeight w:val="324"/>
        </w:trPr>
        <w:tc>
          <w:tcPr>
            <w:cnfStyle w:val="001000000000" w:firstRow="0" w:lastRow="0" w:firstColumn="1" w:lastColumn="0" w:oddVBand="0" w:evenVBand="0" w:oddHBand="0" w:evenHBand="0" w:firstRowFirstColumn="0" w:firstRowLastColumn="0" w:lastRowFirstColumn="0" w:lastRowLastColumn="0"/>
            <w:tcW w:w="726" w:type="pct"/>
          </w:tcPr>
          <w:p w:rsidR="00BD37FD" w:rsidRPr="00A64FF0" w:rsidRDefault="00BD37FD" w:rsidP="00467AE1">
            <w:pPr>
              <w:adjustRightInd w:val="0"/>
              <w:snapToGrid w:val="0"/>
              <w:spacing w:after="0" w:line="360" w:lineRule="auto"/>
              <w:jc w:val="both"/>
              <w:rPr>
                <w:rFonts w:ascii="Book Antiqua" w:hAnsi="Book Antiqua"/>
                <w:b w:val="0"/>
                <w:sz w:val="24"/>
                <w:szCs w:val="24"/>
              </w:rPr>
            </w:pPr>
            <w:r w:rsidRPr="00A64FF0">
              <w:rPr>
                <w:rFonts w:ascii="Book Antiqua" w:hAnsi="Book Antiqua"/>
                <w:b w:val="0"/>
                <w:sz w:val="24"/>
                <w:szCs w:val="24"/>
              </w:rPr>
              <w:t xml:space="preserve">Navarro </w:t>
            </w:r>
            <w:r w:rsidR="00C43FF9" w:rsidRPr="00A64FF0">
              <w:rPr>
                <w:rFonts w:ascii="Book Antiqua" w:hAnsi="Book Antiqua"/>
                <w:b w:val="0"/>
                <w:i/>
                <w:sz w:val="24"/>
                <w:szCs w:val="24"/>
              </w:rPr>
              <w:t>et al</w:t>
            </w:r>
            <w:r w:rsidR="001944E8" w:rsidRPr="00A64FF0">
              <w:rPr>
                <w:rFonts w:ascii="Book Antiqua" w:hAnsi="Book Antiqua"/>
                <w:b w:val="0"/>
                <w:sz w:val="24"/>
                <w:szCs w:val="24"/>
                <w:vertAlign w:val="superscript"/>
              </w:rPr>
              <w:t>[</w:t>
            </w:r>
            <w:r w:rsidRPr="00A64FF0">
              <w:rPr>
                <w:rFonts w:ascii="Book Antiqua" w:hAnsi="Book Antiqua"/>
                <w:b w:val="0"/>
                <w:sz w:val="24"/>
                <w:szCs w:val="24"/>
                <w:vertAlign w:val="superscript"/>
              </w:rPr>
              <w:t>53]</w:t>
            </w:r>
          </w:p>
        </w:tc>
        <w:tc>
          <w:tcPr>
            <w:tcW w:w="70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PsO,4</w:t>
            </w:r>
          </w:p>
        </w:tc>
        <w:tc>
          <w:tcPr>
            <w:tcW w:w="677"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4</w:t>
            </w:r>
          </w:p>
        </w:tc>
        <w:tc>
          <w:tcPr>
            <w:tcW w:w="1019"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0</w:t>
            </w:r>
          </w:p>
        </w:tc>
        <w:tc>
          <w:tcPr>
            <w:tcW w:w="112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rPr>
              <w:t>3 (Lamivud</w:t>
            </w:r>
            <w:r w:rsidRPr="00A64FF0">
              <w:rPr>
                <w:rFonts w:ascii="Book Antiqua" w:hAnsi="Book Antiqua"/>
                <w:sz w:val="24"/>
                <w:szCs w:val="24"/>
                <w:lang w:val="en-US"/>
              </w:rPr>
              <w:t>ine);1 (adefovir</w:t>
            </w:r>
            <w:r w:rsidR="00CC45BE" w:rsidRPr="00A64FF0">
              <w:rPr>
                <w:rFonts w:ascii="Book Antiqua" w:eastAsiaTheme="minorEastAsia" w:hAnsi="Book Antiqua" w:hint="eastAsia"/>
                <w:sz w:val="24"/>
                <w:szCs w:val="24"/>
                <w:vertAlign w:val="superscript"/>
                <w:lang w:val="en-US" w:eastAsia="zh-CN"/>
              </w:rPr>
              <w:t>2</w:t>
            </w:r>
            <w:r w:rsidR="00CC45BE" w:rsidRPr="00A64FF0">
              <w:rPr>
                <w:rFonts w:ascii="Book Antiqua" w:eastAsiaTheme="minorEastAsia" w:hAnsi="Book Antiqua" w:hint="eastAsia"/>
                <w:sz w:val="24"/>
                <w:szCs w:val="24"/>
                <w:lang w:val="en-US" w:eastAsia="zh-CN"/>
              </w:rPr>
              <w:t xml:space="preserve"> </w:t>
            </w:r>
            <w:r w:rsidRPr="00A64FF0">
              <w:rPr>
                <w:rFonts w:ascii="Book Antiqua" w:hAnsi="Book Antiqua"/>
                <w:sz w:val="24"/>
                <w:szCs w:val="24"/>
                <w:lang w:val="en-US"/>
              </w:rPr>
              <w:t>entecavir)</w:t>
            </w:r>
          </w:p>
        </w:tc>
        <w:tc>
          <w:tcPr>
            <w:tcW w:w="748"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64FF0">
              <w:rPr>
                <w:rFonts w:ascii="Book Antiqua" w:hAnsi="Book Antiqua"/>
                <w:sz w:val="24"/>
                <w:szCs w:val="24"/>
                <w:lang w:val="en-US"/>
              </w:rPr>
              <w:t>0</w:t>
            </w:r>
          </w:p>
        </w:tc>
      </w:tr>
      <w:tr w:rsidR="00BD37FD" w:rsidRPr="00A64FF0" w:rsidTr="00E259AB">
        <w:trPr>
          <w:trHeight w:val="324"/>
        </w:trPr>
        <w:tc>
          <w:tcPr>
            <w:cnfStyle w:val="001000000000" w:firstRow="0" w:lastRow="0" w:firstColumn="1" w:lastColumn="0" w:oddVBand="0" w:evenVBand="0" w:oddHBand="0" w:evenHBand="0" w:firstRowFirstColumn="0" w:firstRowLastColumn="0" w:lastRowFirstColumn="0" w:lastRowLastColumn="0"/>
            <w:tcW w:w="726" w:type="pct"/>
            <w:tcBorders>
              <w:bottom w:val="single" w:sz="4" w:space="0" w:color="auto"/>
            </w:tcBorders>
          </w:tcPr>
          <w:p w:rsidR="00BD37FD" w:rsidRPr="00A64FF0" w:rsidRDefault="00CC45BE" w:rsidP="00467AE1">
            <w:pPr>
              <w:adjustRightInd w:val="0"/>
              <w:snapToGrid w:val="0"/>
              <w:spacing w:after="0" w:line="360" w:lineRule="auto"/>
              <w:jc w:val="both"/>
              <w:rPr>
                <w:rFonts w:ascii="Book Antiqua" w:hAnsi="Book Antiqua"/>
                <w:b w:val="0"/>
                <w:sz w:val="24"/>
                <w:szCs w:val="24"/>
              </w:rPr>
            </w:pPr>
            <w:r w:rsidRPr="00A64FF0">
              <w:rPr>
                <w:rFonts w:ascii="Book Antiqua" w:eastAsiaTheme="minorEastAsia" w:hAnsi="Book Antiqua" w:hint="eastAsia"/>
                <w:b w:val="0"/>
                <w:sz w:val="24"/>
                <w:szCs w:val="24"/>
                <w:vertAlign w:val="superscript"/>
                <w:lang w:eastAsia="zh-CN"/>
              </w:rPr>
              <w:t>2</w:t>
            </w:r>
            <w:r w:rsidR="00BD37FD" w:rsidRPr="00A64FF0">
              <w:rPr>
                <w:rFonts w:ascii="Book Antiqua" w:hAnsi="Book Antiqua"/>
                <w:b w:val="0"/>
                <w:sz w:val="24"/>
                <w:szCs w:val="24"/>
              </w:rPr>
              <w:t xml:space="preserve">Sanz-Bueno </w:t>
            </w:r>
            <w:r w:rsidR="00C43FF9" w:rsidRPr="00A64FF0">
              <w:rPr>
                <w:rFonts w:ascii="Book Antiqua" w:hAnsi="Book Antiqua"/>
                <w:b w:val="0"/>
                <w:i/>
                <w:sz w:val="24"/>
                <w:szCs w:val="24"/>
              </w:rPr>
              <w:t>et al</w:t>
            </w:r>
            <w:r w:rsidR="001944E8" w:rsidRPr="00A64FF0">
              <w:rPr>
                <w:rFonts w:ascii="Book Antiqua" w:hAnsi="Book Antiqua"/>
                <w:b w:val="0"/>
                <w:sz w:val="24"/>
                <w:szCs w:val="24"/>
                <w:vertAlign w:val="superscript"/>
              </w:rPr>
              <w:t>[</w:t>
            </w:r>
            <w:r w:rsidR="00BD37FD" w:rsidRPr="00A64FF0">
              <w:rPr>
                <w:rFonts w:ascii="Book Antiqua" w:hAnsi="Book Antiqua"/>
                <w:b w:val="0"/>
                <w:sz w:val="24"/>
                <w:szCs w:val="24"/>
                <w:vertAlign w:val="superscript"/>
              </w:rPr>
              <w:t>54]</w:t>
            </w:r>
          </w:p>
        </w:tc>
        <w:tc>
          <w:tcPr>
            <w:tcW w:w="709" w:type="pct"/>
            <w:tcBorders>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PsO,20</w:t>
            </w:r>
          </w:p>
        </w:tc>
        <w:tc>
          <w:tcPr>
            <w:tcW w:w="677" w:type="pct"/>
            <w:tcBorders>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0</w:t>
            </w:r>
          </w:p>
        </w:tc>
        <w:tc>
          <w:tcPr>
            <w:tcW w:w="1019" w:type="pct"/>
            <w:tcBorders>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20</w:t>
            </w:r>
          </w:p>
        </w:tc>
        <w:tc>
          <w:tcPr>
            <w:tcW w:w="1120" w:type="pct"/>
            <w:tcBorders>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0</w:t>
            </w:r>
          </w:p>
        </w:tc>
        <w:tc>
          <w:tcPr>
            <w:tcW w:w="748" w:type="pct"/>
            <w:tcBorders>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64FF0">
              <w:rPr>
                <w:rFonts w:ascii="Book Antiqua" w:hAnsi="Book Antiqua"/>
                <w:sz w:val="24"/>
                <w:szCs w:val="24"/>
              </w:rPr>
              <w:t>0</w:t>
            </w:r>
          </w:p>
        </w:tc>
      </w:tr>
      <w:tr w:rsidR="00BD37FD" w:rsidRPr="00A64FF0" w:rsidTr="001944E8">
        <w:trPr>
          <w:trHeight w:val="32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bottom w:val="nil"/>
            </w:tcBorders>
            <w:vAlign w:val="center"/>
          </w:tcPr>
          <w:p w:rsidR="00BD37FD" w:rsidRPr="00A64FF0" w:rsidRDefault="00E259AB" w:rsidP="00467AE1">
            <w:pPr>
              <w:adjustRightInd w:val="0"/>
              <w:snapToGrid w:val="0"/>
              <w:spacing w:after="0" w:line="360" w:lineRule="auto"/>
              <w:jc w:val="both"/>
              <w:rPr>
                <w:rFonts w:ascii="Book Antiqua" w:eastAsiaTheme="minorEastAsia" w:hAnsi="Book Antiqua"/>
                <w:b w:val="0"/>
                <w:sz w:val="24"/>
                <w:szCs w:val="24"/>
                <w:lang w:val="en-US" w:eastAsia="zh-CN"/>
              </w:rPr>
            </w:pPr>
            <w:r w:rsidRPr="00A64FF0">
              <w:rPr>
                <w:rFonts w:ascii="Book Antiqua" w:eastAsiaTheme="minorEastAsia" w:hAnsi="Book Antiqua" w:hint="eastAsia"/>
                <w:b w:val="0"/>
                <w:sz w:val="24"/>
                <w:szCs w:val="24"/>
                <w:vertAlign w:val="superscript"/>
                <w:lang w:val="en-US" w:eastAsia="zh-CN"/>
              </w:rPr>
              <w:t>1</w:t>
            </w:r>
            <w:r w:rsidR="00BD37FD" w:rsidRPr="00A64FF0">
              <w:rPr>
                <w:rFonts w:ascii="Book Antiqua" w:hAnsi="Book Antiqua"/>
                <w:b w:val="0"/>
                <w:sz w:val="24"/>
                <w:szCs w:val="24"/>
                <w:lang w:val="en-US"/>
              </w:rPr>
              <w:t xml:space="preserve">This group also includes 6 patients who received UTK; </w:t>
            </w:r>
            <w:r w:rsidRPr="00A64FF0">
              <w:rPr>
                <w:rFonts w:ascii="Book Antiqua" w:eastAsiaTheme="minorEastAsia" w:hAnsi="Book Antiqua" w:hint="eastAsia"/>
                <w:b w:val="0"/>
                <w:sz w:val="24"/>
                <w:szCs w:val="24"/>
                <w:vertAlign w:val="superscript"/>
                <w:lang w:val="en-US" w:eastAsia="zh-CN"/>
              </w:rPr>
              <w:t>2</w:t>
            </w:r>
            <w:r w:rsidR="00BD37FD" w:rsidRPr="00A64FF0">
              <w:rPr>
                <w:rFonts w:ascii="Book Antiqua" w:hAnsi="Book Antiqua"/>
                <w:b w:val="0"/>
                <w:caps/>
                <w:sz w:val="24"/>
                <w:szCs w:val="24"/>
                <w:lang w:val="en-US"/>
              </w:rPr>
              <w:t>o</w:t>
            </w:r>
            <w:r w:rsidR="00BD37FD" w:rsidRPr="00A64FF0">
              <w:rPr>
                <w:rFonts w:ascii="Book Antiqua" w:hAnsi="Book Antiqua"/>
                <w:b w:val="0"/>
                <w:sz w:val="24"/>
                <w:szCs w:val="24"/>
                <w:lang w:val="en-US"/>
              </w:rPr>
              <w:t>nly inactive carriers</w:t>
            </w:r>
            <w:r w:rsidRPr="00A64FF0">
              <w:rPr>
                <w:rFonts w:ascii="Book Antiqua" w:eastAsiaTheme="minorEastAsia" w:hAnsi="Book Antiqua" w:hint="eastAsia"/>
                <w:b w:val="0"/>
                <w:sz w:val="24"/>
                <w:szCs w:val="24"/>
                <w:lang w:val="en-US" w:eastAsia="zh-CN"/>
              </w:rPr>
              <w:t>.</w:t>
            </w:r>
            <w:r w:rsidR="00060FF9" w:rsidRPr="00A64FF0">
              <w:rPr>
                <w:rFonts w:ascii="Book Antiqua" w:eastAsiaTheme="minorEastAsia" w:hAnsi="Book Antiqua" w:hint="eastAsia"/>
                <w:b w:val="0"/>
                <w:sz w:val="24"/>
                <w:szCs w:val="24"/>
                <w:lang w:val="en-US" w:eastAsia="zh-CN"/>
              </w:rPr>
              <w:t xml:space="preserve">e </w:t>
            </w:r>
            <w:r w:rsidRPr="00A64FF0">
              <w:rPr>
                <w:rFonts w:ascii="Book Antiqua" w:hAnsi="Book Antiqua"/>
                <w:b w:val="0"/>
                <w:sz w:val="24"/>
                <w:szCs w:val="24"/>
                <w:lang w:val="en-US"/>
              </w:rPr>
              <w:t>PsO</w:t>
            </w:r>
            <w:r w:rsidRPr="00A64FF0">
              <w:rPr>
                <w:rFonts w:ascii="Book Antiqua" w:eastAsiaTheme="minorEastAsia" w:hAnsi="Book Antiqua" w:hint="eastAsia"/>
                <w:b w:val="0"/>
                <w:sz w:val="24"/>
                <w:szCs w:val="24"/>
                <w:lang w:val="en-US" w:eastAsia="zh-CN"/>
              </w:rPr>
              <w:t>:</w:t>
            </w:r>
            <w:r w:rsidRPr="00A64FF0">
              <w:rPr>
                <w:rFonts w:ascii="Book Antiqua" w:hAnsi="Book Antiqua"/>
                <w:b w:val="0"/>
                <w:sz w:val="24"/>
                <w:szCs w:val="24"/>
                <w:lang w:val="en-US"/>
              </w:rPr>
              <w:t xml:space="preserve"> Psoriasis; PsA</w:t>
            </w:r>
            <w:r w:rsidRPr="00A64FF0">
              <w:rPr>
                <w:rFonts w:ascii="Book Antiqua" w:eastAsiaTheme="minorEastAsia" w:hAnsi="Book Antiqua" w:hint="eastAsia"/>
                <w:b w:val="0"/>
                <w:sz w:val="24"/>
                <w:szCs w:val="24"/>
                <w:lang w:val="en-US" w:eastAsia="zh-CN"/>
              </w:rPr>
              <w:t>:</w:t>
            </w:r>
            <w:r w:rsidRPr="00A64FF0">
              <w:rPr>
                <w:rFonts w:ascii="Book Antiqua" w:hAnsi="Book Antiqua"/>
                <w:b w:val="0"/>
                <w:sz w:val="24"/>
                <w:szCs w:val="24"/>
                <w:lang w:val="en-US"/>
              </w:rPr>
              <w:t xml:space="preserve"> psoriatic arthritis</w:t>
            </w:r>
            <w:r w:rsidRPr="00A64FF0">
              <w:rPr>
                <w:rFonts w:ascii="Book Antiqua" w:eastAsiaTheme="minorEastAsia" w:hAnsi="Book Antiqua" w:hint="eastAsia"/>
                <w:b w:val="0"/>
                <w:sz w:val="24"/>
                <w:szCs w:val="24"/>
                <w:lang w:val="en-US" w:eastAsia="zh-CN"/>
              </w:rPr>
              <w:t>.</w:t>
            </w:r>
          </w:p>
        </w:tc>
      </w:tr>
    </w:tbl>
    <w:p w:rsidR="00BD37FD" w:rsidRPr="00A64FF0" w:rsidRDefault="00CC45BE" w:rsidP="00467AE1">
      <w:pPr>
        <w:shd w:val="clear" w:color="auto" w:fill="FFFFFF"/>
        <w:adjustRightInd w:val="0"/>
        <w:snapToGrid w:val="0"/>
        <w:spacing w:after="0" w:line="360" w:lineRule="auto"/>
        <w:jc w:val="both"/>
        <w:rPr>
          <w:rFonts w:ascii="Book Antiqua" w:hAnsi="Book Antiqua" w:cs="Times New Roman"/>
          <w:b/>
          <w:color w:val="000000" w:themeColor="text1"/>
          <w:sz w:val="24"/>
          <w:szCs w:val="24"/>
          <w:lang w:val="en-US"/>
        </w:rPr>
      </w:pPr>
      <w:r w:rsidRPr="00A64FF0">
        <w:rPr>
          <w:rFonts w:ascii="Book Antiqua" w:hAnsi="Book Antiqua" w:cs="Times New Roman"/>
          <w:color w:val="000000" w:themeColor="text1"/>
          <w:sz w:val="24"/>
          <w:szCs w:val="24"/>
          <w:lang w:val="en-US"/>
        </w:rPr>
        <w:br w:type="page"/>
      </w:r>
      <w:r w:rsidRPr="00A64FF0">
        <w:rPr>
          <w:rFonts w:ascii="Book Antiqua" w:hAnsi="Book Antiqua" w:cs="Times New Roman"/>
          <w:b/>
          <w:color w:val="000000" w:themeColor="text1"/>
          <w:sz w:val="24"/>
          <w:szCs w:val="24"/>
          <w:lang w:val="en-US"/>
        </w:rPr>
        <w:lastRenderedPageBreak/>
        <w:t>Table 3 Diagnosis and distribution of patients treated with ustekinumab according to the hepatitis B virus serological profile</w:t>
      </w:r>
    </w:p>
    <w:tbl>
      <w:tblPr>
        <w:tblStyle w:val="Sfondochiaro20"/>
        <w:tblW w:w="0" w:type="auto"/>
        <w:tblLook w:val="06A0" w:firstRow="1" w:lastRow="0" w:firstColumn="1" w:lastColumn="0" w:noHBand="1" w:noVBand="1"/>
      </w:tblPr>
      <w:tblGrid>
        <w:gridCol w:w="1492"/>
        <w:gridCol w:w="1602"/>
        <w:gridCol w:w="1590"/>
        <w:gridCol w:w="1568"/>
        <w:gridCol w:w="1880"/>
        <w:gridCol w:w="1722"/>
      </w:tblGrid>
      <w:tr w:rsidR="00BD37FD" w:rsidRPr="00A64FF0" w:rsidTr="00CC4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auto"/>
              <w:bottom w:val="single" w:sz="4" w:space="0" w:color="auto"/>
            </w:tcBorders>
            <w:vAlign w:val="center"/>
          </w:tcPr>
          <w:p w:rsidR="00BD37FD" w:rsidRPr="00A64FF0" w:rsidRDefault="00CC45BE" w:rsidP="00467AE1">
            <w:pPr>
              <w:adjustRightInd w:val="0"/>
              <w:snapToGrid w:val="0"/>
              <w:spacing w:after="0" w:line="360" w:lineRule="auto"/>
              <w:jc w:val="both"/>
              <w:rPr>
                <w:rFonts w:ascii="Book Antiqua" w:hAnsi="Book Antiqua" w:cs="Arial"/>
                <w:lang w:val="en-US" w:eastAsia="zh-CN"/>
              </w:rPr>
            </w:pPr>
            <w:r w:rsidRPr="00A64FF0">
              <w:rPr>
                <w:rFonts w:ascii="Book Antiqua" w:hAnsi="Book Antiqua" w:cs="Arial" w:hint="eastAsia"/>
                <w:lang w:val="en-US" w:eastAsia="zh-CN"/>
              </w:rPr>
              <w:t>Ref.</w:t>
            </w:r>
          </w:p>
        </w:tc>
        <w:tc>
          <w:tcPr>
            <w:tcW w:w="1602" w:type="dxa"/>
            <w:tcBorders>
              <w:top w:val="single" w:sz="4" w:space="0" w:color="auto"/>
              <w:bottom w:val="single" w:sz="4" w:space="0" w:color="auto"/>
            </w:tcBorders>
            <w:vAlign w:val="center"/>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 xml:space="preserve">Diagnosis, </w:t>
            </w:r>
            <w:r w:rsidRPr="00A64FF0">
              <w:rPr>
                <w:rFonts w:ascii="Book Antiqua" w:hAnsi="Book Antiqua" w:cs="Arial"/>
                <w:i/>
                <w:lang w:val="en-US"/>
              </w:rPr>
              <w:t>n</w:t>
            </w:r>
          </w:p>
        </w:tc>
        <w:tc>
          <w:tcPr>
            <w:tcW w:w="1590" w:type="dxa"/>
            <w:tcBorders>
              <w:top w:val="single" w:sz="4" w:space="0" w:color="auto"/>
              <w:bottom w:val="single" w:sz="4" w:space="0" w:color="auto"/>
            </w:tcBorders>
            <w:vAlign w:val="center"/>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 xml:space="preserve">Inactive carriers (HBsAg+), </w:t>
            </w:r>
            <w:r w:rsidRPr="00A64FF0">
              <w:rPr>
                <w:rFonts w:ascii="Book Antiqua" w:hAnsi="Book Antiqua" w:cs="Arial"/>
                <w:i/>
                <w:lang w:val="en-US"/>
              </w:rPr>
              <w:t>n</w:t>
            </w:r>
          </w:p>
        </w:tc>
        <w:tc>
          <w:tcPr>
            <w:tcW w:w="1568" w:type="dxa"/>
            <w:tcBorders>
              <w:top w:val="single" w:sz="4" w:space="0" w:color="auto"/>
              <w:bottom w:val="single" w:sz="4" w:space="0" w:color="auto"/>
            </w:tcBorders>
            <w:vAlign w:val="center"/>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 xml:space="preserve">Occult carriers or resolved HBV (anti-HBc+ anti-HBs - or </w:t>
            </w:r>
            <w:r w:rsidRPr="00A64FF0">
              <w:rPr>
                <w:rFonts w:ascii="Book Antiqua" w:hAnsi="Book Antiqua" w:cs="Arial"/>
                <w:iCs/>
                <w:lang w:val="en-US"/>
              </w:rPr>
              <w:t>anti-HBs ± anti-HBc)</w:t>
            </w:r>
            <w:r w:rsidRPr="00A64FF0">
              <w:rPr>
                <w:rFonts w:ascii="Book Antiqua" w:hAnsi="Book Antiqua" w:cs="Arial"/>
                <w:lang w:val="en-US"/>
              </w:rPr>
              <w:t xml:space="preserve">, </w:t>
            </w:r>
            <w:r w:rsidRPr="00A64FF0">
              <w:rPr>
                <w:rFonts w:ascii="Book Antiqua" w:hAnsi="Book Antiqua" w:cs="Arial"/>
                <w:i/>
                <w:lang w:val="en-US"/>
              </w:rPr>
              <w:t>n</w:t>
            </w:r>
          </w:p>
        </w:tc>
        <w:tc>
          <w:tcPr>
            <w:tcW w:w="1880" w:type="dxa"/>
            <w:tcBorders>
              <w:top w:val="single" w:sz="4" w:space="0" w:color="auto"/>
              <w:bottom w:val="single" w:sz="4" w:space="0" w:color="auto"/>
            </w:tcBorders>
            <w:vAlign w:val="center"/>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Prophylaxis</w:t>
            </w:r>
            <w:r w:rsidR="00CC45BE" w:rsidRPr="00A64FF0">
              <w:rPr>
                <w:rFonts w:ascii="Book Antiqua" w:hAnsi="Book Antiqua" w:cs="Arial" w:hint="eastAsia"/>
                <w:vertAlign w:val="superscript"/>
                <w:lang w:val="en-US" w:eastAsia="zh-CN"/>
              </w:rPr>
              <w:t>1</w:t>
            </w:r>
            <w:r w:rsidRPr="00A64FF0">
              <w:rPr>
                <w:rFonts w:ascii="Book Antiqua" w:hAnsi="Book Antiqua" w:cs="Arial"/>
                <w:lang w:val="en-US"/>
              </w:rPr>
              <w:t>,</w:t>
            </w:r>
            <w:r w:rsidRPr="00A64FF0">
              <w:rPr>
                <w:rFonts w:ascii="Book Antiqua" w:hAnsi="Book Antiqua" w:cs="Arial"/>
                <w:i/>
                <w:lang w:val="en-US"/>
              </w:rPr>
              <w:t>n</w:t>
            </w:r>
          </w:p>
        </w:tc>
        <w:tc>
          <w:tcPr>
            <w:tcW w:w="1722" w:type="dxa"/>
            <w:tcBorders>
              <w:top w:val="single" w:sz="4" w:space="0" w:color="auto"/>
              <w:bottom w:val="single" w:sz="4" w:space="0" w:color="auto"/>
            </w:tcBorders>
            <w:vAlign w:val="center"/>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 xml:space="preserve">Reactivation, </w:t>
            </w:r>
            <w:r w:rsidRPr="00A64FF0">
              <w:rPr>
                <w:rFonts w:ascii="Book Antiqua" w:hAnsi="Book Antiqua" w:cs="Arial"/>
                <w:i/>
                <w:lang w:val="en-US"/>
              </w:rPr>
              <w:t>n</w:t>
            </w:r>
          </w:p>
        </w:tc>
      </w:tr>
      <w:tr w:rsidR="00BD37FD" w:rsidRPr="00A64FF0" w:rsidTr="00CC45BE">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auto"/>
              <w:bottom w:val="nil"/>
            </w:tcBorders>
          </w:tcPr>
          <w:p w:rsidR="00BD37FD" w:rsidRPr="00A64FF0" w:rsidRDefault="00BD37FD" w:rsidP="00467AE1">
            <w:pPr>
              <w:adjustRightInd w:val="0"/>
              <w:snapToGrid w:val="0"/>
              <w:spacing w:after="0" w:line="360" w:lineRule="auto"/>
              <w:jc w:val="both"/>
              <w:rPr>
                <w:rFonts w:ascii="Book Antiqua" w:hAnsi="Book Antiqua" w:cs="Arial"/>
                <w:b w:val="0"/>
              </w:rPr>
            </w:pPr>
          </w:p>
        </w:tc>
        <w:tc>
          <w:tcPr>
            <w:tcW w:w="1602" w:type="dxa"/>
            <w:tcBorders>
              <w:top w:val="single" w:sz="4" w:space="0" w:color="auto"/>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590" w:type="dxa"/>
            <w:tcBorders>
              <w:top w:val="single" w:sz="4" w:space="0" w:color="auto"/>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1568" w:type="dxa"/>
            <w:tcBorders>
              <w:top w:val="single" w:sz="4" w:space="0" w:color="auto"/>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1880" w:type="dxa"/>
            <w:tcBorders>
              <w:top w:val="single" w:sz="4" w:space="0" w:color="auto"/>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1722" w:type="dxa"/>
            <w:tcBorders>
              <w:top w:val="single" w:sz="4" w:space="0" w:color="auto"/>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r>
      <w:tr w:rsidR="00BD37FD" w:rsidRPr="00A64FF0" w:rsidTr="00CC45BE">
        <w:tc>
          <w:tcPr>
            <w:cnfStyle w:val="001000000000" w:firstRow="0" w:lastRow="0" w:firstColumn="1" w:lastColumn="0" w:oddVBand="0" w:evenVBand="0" w:oddHBand="0" w:evenHBand="0" w:firstRowFirstColumn="0" w:firstRowLastColumn="0" w:lastRowFirstColumn="0" w:lastRowLastColumn="0"/>
            <w:tcW w:w="1492" w:type="dxa"/>
            <w:tcBorders>
              <w:top w:val="nil"/>
            </w:tcBorders>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rPr>
              <w:t xml:space="preserve">Navarro </w:t>
            </w:r>
            <w:r w:rsidR="00C43FF9" w:rsidRPr="00A64FF0">
              <w:rPr>
                <w:rFonts w:ascii="Book Antiqua" w:hAnsi="Book Antiqua" w:cs="Arial"/>
                <w:b w:val="0"/>
                <w:i/>
              </w:rPr>
              <w:t>et al</w:t>
            </w:r>
            <w:r w:rsidR="001944E8" w:rsidRPr="00A64FF0">
              <w:rPr>
                <w:rFonts w:ascii="Book Antiqua" w:hAnsi="Book Antiqua" w:cs="Arial"/>
                <w:b w:val="0"/>
                <w:vertAlign w:val="superscript"/>
              </w:rPr>
              <w:t>[</w:t>
            </w:r>
            <w:r w:rsidRPr="00A64FF0">
              <w:rPr>
                <w:rFonts w:ascii="Book Antiqua" w:hAnsi="Book Antiqua" w:cs="Arial"/>
                <w:b w:val="0"/>
                <w:vertAlign w:val="superscript"/>
              </w:rPr>
              <w:t>53]</w:t>
            </w:r>
          </w:p>
        </w:tc>
        <w:tc>
          <w:tcPr>
            <w:tcW w:w="1602" w:type="dxa"/>
            <w:tcBorders>
              <w:top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rPr>
              <w:t>PsO 1</w:t>
            </w:r>
          </w:p>
        </w:tc>
        <w:tc>
          <w:tcPr>
            <w:tcW w:w="1590" w:type="dxa"/>
            <w:tcBorders>
              <w:top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w:t>
            </w:r>
          </w:p>
        </w:tc>
        <w:tc>
          <w:tcPr>
            <w:tcW w:w="1568" w:type="dxa"/>
            <w:tcBorders>
              <w:top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880" w:type="dxa"/>
            <w:tcBorders>
              <w:top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(Entecavir)</w:t>
            </w:r>
          </w:p>
        </w:tc>
        <w:tc>
          <w:tcPr>
            <w:tcW w:w="1722" w:type="dxa"/>
            <w:tcBorders>
              <w:top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r>
      <w:tr w:rsidR="00BD37FD" w:rsidRPr="00A64FF0" w:rsidTr="00CC45BE">
        <w:tc>
          <w:tcPr>
            <w:cnfStyle w:val="001000000000" w:firstRow="0" w:lastRow="0" w:firstColumn="1" w:lastColumn="0" w:oddVBand="0" w:evenVBand="0" w:oddHBand="0" w:evenHBand="0" w:firstRowFirstColumn="0" w:firstRowLastColumn="0" w:lastRowFirstColumn="0" w:lastRowLastColumn="0"/>
            <w:tcW w:w="1492" w:type="dxa"/>
          </w:tcPr>
          <w:p w:rsidR="00BD37FD" w:rsidRPr="00A64FF0" w:rsidRDefault="00BD37FD" w:rsidP="00467AE1">
            <w:pPr>
              <w:adjustRightInd w:val="0"/>
              <w:snapToGrid w:val="0"/>
              <w:spacing w:after="0" w:line="360" w:lineRule="auto"/>
              <w:jc w:val="both"/>
              <w:rPr>
                <w:rFonts w:ascii="Book Antiqua" w:hAnsi="Book Antiqua" w:cs="Arial"/>
                <w:b w:val="0"/>
              </w:rPr>
            </w:pPr>
            <w:r w:rsidRPr="00A64FF0">
              <w:rPr>
                <w:rFonts w:ascii="Book Antiqua" w:hAnsi="Book Antiqua" w:cs="Arial"/>
                <w:b w:val="0"/>
              </w:rPr>
              <w:t xml:space="preserve">Chiu </w:t>
            </w:r>
            <w:r w:rsidR="00C43FF9" w:rsidRPr="00A64FF0">
              <w:rPr>
                <w:rFonts w:ascii="Book Antiqua" w:hAnsi="Book Antiqua" w:cs="Arial"/>
                <w:b w:val="0"/>
                <w:i/>
              </w:rPr>
              <w:t>et al</w:t>
            </w:r>
            <w:r w:rsidR="001944E8" w:rsidRPr="00A64FF0">
              <w:rPr>
                <w:rFonts w:ascii="Book Antiqua" w:hAnsi="Book Antiqua" w:cs="Arial"/>
                <w:b w:val="0"/>
                <w:vertAlign w:val="superscript"/>
              </w:rPr>
              <w:t>[</w:t>
            </w:r>
            <w:r w:rsidRPr="00A64FF0">
              <w:rPr>
                <w:rFonts w:ascii="Book Antiqua" w:hAnsi="Book Antiqua" w:cs="Arial"/>
                <w:b w:val="0"/>
                <w:vertAlign w:val="superscript"/>
              </w:rPr>
              <w:t>60]</w:t>
            </w:r>
          </w:p>
        </w:tc>
        <w:tc>
          <w:tcPr>
            <w:tcW w:w="1602"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rPr>
              <w:t>PsO 14</w:t>
            </w:r>
          </w:p>
        </w:tc>
        <w:tc>
          <w:tcPr>
            <w:tcW w:w="1590"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eastAsia="zh-CN"/>
              </w:rPr>
            </w:pPr>
            <w:r w:rsidRPr="00A64FF0">
              <w:rPr>
                <w:rFonts w:ascii="Book Antiqua" w:hAnsi="Book Antiqua" w:cs="Arial"/>
                <w:lang w:val="en-US"/>
              </w:rPr>
              <w:t>11</w:t>
            </w:r>
            <w:r w:rsidR="00CC45BE" w:rsidRPr="00A64FF0">
              <w:rPr>
                <w:rFonts w:ascii="Book Antiqua" w:hAnsi="Book Antiqua" w:cs="Arial" w:hint="eastAsia"/>
                <w:vertAlign w:val="superscript"/>
                <w:lang w:val="en-US" w:eastAsia="zh-CN"/>
              </w:rPr>
              <w:t>2</w:t>
            </w:r>
          </w:p>
        </w:tc>
        <w:tc>
          <w:tcPr>
            <w:tcW w:w="1568"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3</w:t>
            </w:r>
          </w:p>
        </w:tc>
        <w:tc>
          <w:tcPr>
            <w:tcW w:w="1880"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4 (Entecavir)</w:t>
            </w:r>
          </w:p>
        </w:tc>
        <w:tc>
          <w:tcPr>
            <w:tcW w:w="1722"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2</w:t>
            </w:r>
          </w:p>
        </w:tc>
      </w:tr>
      <w:tr w:rsidR="00BD37FD" w:rsidRPr="00A64FF0" w:rsidTr="00CC45BE">
        <w:tc>
          <w:tcPr>
            <w:cnfStyle w:val="001000000000" w:firstRow="0" w:lastRow="0" w:firstColumn="1" w:lastColumn="0" w:oddVBand="0" w:evenVBand="0" w:oddHBand="0" w:evenHBand="0" w:firstRowFirstColumn="0" w:firstRowLastColumn="0" w:lastRowFirstColumn="0" w:lastRowLastColumn="0"/>
            <w:tcW w:w="1492" w:type="dxa"/>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rPr>
              <w:t xml:space="preserve">Hayashi </w:t>
            </w:r>
            <w:r w:rsidR="00C43FF9" w:rsidRPr="00A64FF0">
              <w:rPr>
                <w:rFonts w:ascii="Book Antiqua" w:hAnsi="Book Antiqua" w:cs="Arial"/>
                <w:b w:val="0"/>
                <w:i/>
              </w:rPr>
              <w:t>et al</w:t>
            </w:r>
            <w:r w:rsidR="001944E8" w:rsidRPr="00A64FF0">
              <w:rPr>
                <w:rFonts w:ascii="Book Antiqua" w:hAnsi="Book Antiqua" w:cs="Arial"/>
                <w:b w:val="0"/>
                <w:vertAlign w:val="superscript"/>
              </w:rPr>
              <w:t>[</w:t>
            </w:r>
            <w:r w:rsidRPr="00A64FF0">
              <w:rPr>
                <w:rFonts w:ascii="Book Antiqua" w:hAnsi="Book Antiqua" w:cs="Arial"/>
                <w:b w:val="0"/>
                <w:vertAlign w:val="superscript"/>
              </w:rPr>
              <w:t>61]</w:t>
            </w:r>
          </w:p>
        </w:tc>
        <w:tc>
          <w:tcPr>
            <w:tcW w:w="1602"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rPr>
              <w:t>PsO 5</w:t>
            </w:r>
          </w:p>
        </w:tc>
        <w:tc>
          <w:tcPr>
            <w:tcW w:w="1590"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568"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5</w:t>
            </w:r>
          </w:p>
        </w:tc>
        <w:tc>
          <w:tcPr>
            <w:tcW w:w="1880"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722"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r>
      <w:tr w:rsidR="00BD37FD" w:rsidRPr="00A64FF0" w:rsidTr="00CC45BE">
        <w:tc>
          <w:tcPr>
            <w:cnfStyle w:val="001000000000" w:firstRow="0" w:lastRow="0" w:firstColumn="1" w:lastColumn="0" w:oddVBand="0" w:evenVBand="0" w:oddHBand="0" w:evenHBand="0" w:firstRowFirstColumn="0" w:firstRowLastColumn="0" w:lastRowFirstColumn="0" w:lastRowLastColumn="0"/>
            <w:tcW w:w="1492" w:type="dxa"/>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rPr>
              <w:t xml:space="preserve">Koskinas </w:t>
            </w:r>
            <w:r w:rsidR="00C43FF9" w:rsidRPr="00A64FF0">
              <w:rPr>
                <w:rFonts w:ascii="Book Antiqua" w:hAnsi="Book Antiqua" w:cs="Arial"/>
                <w:b w:val="0"/>
                <w:i/>
              </w:rPr>
              <w:t>et al</w:t>
            </w:r>
            <w:r w:rsidR="001944E8" w:rsidRPr="00A64FF0">
              <w:rPr>
                <w:rFonts w:ascii="Book Antiqua" w:hAnsi="Book Antiqua" w:cs="Arial"/>
                <w:b w:val="0"/>
                <w:vertAlign w:val="superscript"/>
              </w:rPr>
              <w:t>[</w:t>
            </w:r>
            <w:r w:rsidRPr="00A64FF0">
              <w:rPr>
                <w:rFonts w:ascii="Book Antiqua" w:hAnsi="Book Antiqua" w:cs="Arial"/>
                <w:b w:val="0"/>
                <w:vertAlign w:val="superscript"/>
              </w:rPr>
              <w:t>62]</w:t>
            </w:r>
          </w:p>
        </w:tc>
        <w:tc>
          <w:tcPr>
            <w:tcW w:w="1602"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rPr>
              <w:t>PsO 1</w:t>
            </w:r>
          </w:p>
        </w:tc>
        <w:tc>
          <w:tcPr>
            <w:tcW w:w="1590"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568"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w:t>
            </w:r>
          </w:p>
        </w:tc>
        <w:tc>
          <w:tcPr>
            <w:tcW w:w="1880"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722" w:type="dxa"/>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w:t>
            </w:r>
          </w:p>
        </w:tc>
      </w:tr>
      <w:tr w:rsidR="00BD37FD" w:rsidRPr="00A64FF0" w:rsidTr="00CC45BE">
        <w:tc>
          <w:tcPr>
            <w:cnfStyle w:val="001000000000" w:firstRow="0" w:lastRow="0" w:firstColumn="1" w:lastColumn="0" w:oddVBand="0" w:evenVBand="0" w:oddHBand="0" w:evenHBand="0" w:firstRowFirstColumn="0" w:firstRowLastColumn="0" w:lastRowFirstColumn="0" w:lastRowLastColumn="0"/>
            <w:tcW w:w="1492" w:type="dxa"/>
            <w:tcBorders>
              <w:bottom w:val="nil"/>
            </w:tcBorders>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rPr>
              <w:t xml:space="preserve">Steglich </w:t>
            </w:r>
            <w:r w:rsidR="00C43FF9" w:rsidRPr="00A64FF0">
              <w:rPr>
                <w:rFonts w:ascii="Book Antiqua" w:hAnsi="Book Antiqua" w:cs="Arial"/>
                <w:b w:val="0"/>
                <w:i/>
              </w:rPr>
              <w:t>et al</w:t>
            </w:r>
            <w:r w:rsidR="001944E8" w:rsidRPr="00A64FF0">
              <w:rPr>
                <w:rFonts w:ascii="Book Antiqua" w:hAnsi="Book Antiqua" w:cs="Arial"/>
                <w:b w:val="0"/>
                <w:vertAlign w:val="superscript"/>
              </w:rPr>
              <w:t>[</w:t>
            </w:r>
            <w:r w:rsidRPr="00A64FF0">
              <w:rPr>
                <w:rFonts w:ascii="Book Antiqua" w:hAnsi="Book Antiqua" w:cs="Arial"/>
                <w:b w:val="0"/>
                <w:vertAlign w:val="superscript"/>
              </w:rPr>
              <w:t>63]</w:t>
            </w:r>
          </w:p>
        </w:tc>
        <w:tc>
          <w:tcPr>
            <w:tcW w:w="1602" w:type="dxa"/>
            <w:tcBorders>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rPr>
              <w:t>PsO 1</w:t>
            </w:r>
          </w:p>
        </w:tc>
        <w:tc>
          <w:tcPr>
            <w:tcW w:w="1590" w:type="dxa"/>
            <w:tcBorders>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568" w:type="dxa"/>
            <w:tcBorders>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w:t>
            </w:r>
          </w:p>
        </w:tc>
        <w:tc>
          <w:tcPr>
            <w:tcW w:w="1880" w:type="dxa"/>
            <w:tcBorders>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(Lamivudine)</w:t>
            </w:r>
          </w:p>
        </w:tc>
        <w:tc>
          <w:tcPr>
            <w:tcW w:w="1722" w:type="dxa"/>
            <w:tcBorders>
              <w:bottom w:val="nil"/>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r>
      <w:tr w:rsidR="00BD37FD" w:rsidRPr="00A64FF0" w:rsidTr="00CC45BE">
        <w:tc>
          <w:tcPr>
            <w:cnfStyle w:val="001000000000" w:firstRow="0" w:lastRow="0" w:firstColumn="1" w:lastColumn="0" w:oddVBand="0" w:evenVBand="0" w:oddHBand="0" w:evenHBand="0" w:firstRowFirstColumn="0" w:firstRowLastColumn="0" w:lastRowFirstColumn="0" w:lastRowLastColumn="0"/>
            <w:tcW w:w="1492" w:type="dxa"/>
            <w:tcBorders>
              <w:top w:val="nil"/>
              <w:bottom w:val="single" w:sz="4" w:space="0" w:color="auto"/>
            </w:tcBorders>
          </w:tcPr>
          <w:p w:rsidR="00BD37FD" w:rsidRPr="00A64FF0" w:rsidRDefault="00BD37FD" w:rsidP="00467AE1">
            <w:pPr>
              <w:adjustRightInd w:val="0"/>
              <w:snapToGrid w:val="0"/>
              <w:spacing w:after="0" w:line="360" w:lineRule="auto"/>
              <w:jc w:val="both"/>
              <w:rPr>
                <w:rFonts w:ascii="Book Antiqua" w:hAnsi="Book Antiqua" w:cs="Arial"/>
              </w:rPr>
            </w:pPr>
          </w:p>
        </w:tc>
        <w:tc>
          <w:tcPr>
            <w:tcW w:w="1602" w:type="dxa"/>
            <w:tcBorders>
              <w:top w:val="nil"/>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590" w:type="dxa"/>
            <w:tcBorders>
              <w:top w:val="nil"/>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1568" w:type="dxa"/>
            <w:tcBorders>
              <w:top w:val="nil"/>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1880" w:type="dxa"/>
            <w:tcBorders>
              <w:top w:val="nil"/>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1722" w:type="dxa"/>
            <w:tcBorders>
              <w:top w:val="nil"/>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r>
      <w:tr w:rsidR="00BD37FD" w:rsidRPr="00A64FF0" w:rsidTr="00CC45BE">
        <w:tc>
          <w:tcPr>
            <w:cnfStyle w:val="001000000000" w:firstRow="0" w:lastRow="0" w:firstColumn="1" w:lastColumn="0" w:oddVBand="0" w:evenVBand="0" w:oddHBand="0" w:evenHBand="0" w:firstRowFirstColumn="0" w:firstRowLastColumn="0" w:lastRowFirstColumn="0" w:lastRowLastColumn="0"/>
            <w:tcW w:w="9854" w:type="dxa"/>
            <w:gridSpan w:val="6"/>
            <w:tcBorders>
              <w:top w:val="single" w:sz="4" w:space="0" w:color="auto"/>
              <w:bottom w:val="nil"/>
            </w:tcBorders>
            <w:vAlign w:val="bottom"/>
          </w:tcPr>
          <w:p w:rsidR="00BD37FD" w:rsidRPr="00A64FF0" w:rsidRDefault="00CC45BE" w:rsidP="00467AE1">
            <w:pPr>
              <w:adjustRightInd w:val="0"/>
              <w:snapToGrid w:val="0"/>
              <w:spacing w:after="0" w:line="360" w:lineRule="auto"/>
              <w:jc w:val="both"/>
              <w:rPr>
                <w:rFonts w:ascii="Book Antiqua" w:hAnsi="Book Antiqua" w:cs="Arial"/>
                <w:b w:val="0"/>
                <w:lang w:val="en-US" w:eastAsia="zh-CN"/>
              </w:rPr>
            </w:pPr>
            <w:r w:rsidRPr="00A64FF0">
              <w:rPr>
                <w:rFonts w:ascii="Book Antiqua" w:hAnsi="Book Antiqua" w:cs="Arial" w:hint="eastAsia"/>
                <w:b w:val="0"/>
                <w:vertAlign w:val="superscript"/>
                <w:lang w:val="en-US" w:eastAsia="zh-CN"/>
              </w:rPr>
              <w:t>1</w:t>
            </w:r>
            <w:r w:rsidRPr="00A64FF0">
              <w:rPr>
                <w:rFonts w:ascii="Book Antiqua" w:hAnsi="Book Antiqua" w:cs="Arial"/>
                <w:b w:val="0"/>
                <w:caps/>
                <w:lang w:val="en-US"/>
              </w:rPr>
              <w:t>o</w:t>
            </w:r>
            <w:r w:rsidRPr="00A64FF0">
              <w:rPr>
                <w:rFonts w:ascii="Book Antiqua" w:hAnsi="Book Antiqua" w:cs="Arial"/>
                <w:b w:val="0"/>
                <w:lang w:val="en-US"/>
              </w:rPr>
              <w:t>nly inactive carriers</w:t>
            </w:r>
            <w:r w:rsidRPr="00A64FF0">
              <w:rPr>
                <w:rFonts w:ascii="Book Antiqua" w:hAnsi="Book Antiqua" w:cs="Arial" w:hint="eastAsia"/>
                <w:b w:val="0"/>
                <w:lang w:val="en-US" w:eastAsia="zh-CN"/>
              </w:rPr>
              <w:t>;</w:t>
            </w:r>
            <w:r w:rsidR="00BD37FD" w:rsidRPr="00A64FF0">
              <w:rPr>
                <w:rFonts w:ascii="Book Antiqua" w:hAnsi="Book Antiqua" w:cs="Arial"/>
                <w:b w:val="0"/>
                <w:lang w:val="en-US"/>
              </w:rPr>
              <w:t xml:space="preserve"> </w:t>
            </w:r>
            <w:r w:rsidRPr="00A64FF0">
              <w:rPr>
                <w:rFonts w:ascii="Book Antiqua" w:hAnsi="Book Antiqua" w:cs="Arial" w:hint="eastAsia"/>
                <w:b w:val="0"/>
                <w:vertAlign w:val="superscript"/>
                <w:lang w:val="en-US" w:eastAsia="zh-CN"/>
              </w:rPr>
              <w:t>2</w:t>
            </w:r>
            <w:r w:rsidRPr="00A64FF0">
              <w:rPr>
                <w:rFonts w:ascii="Book Antiqua" w:hAnsi="Book Antiqua" w:cs="Arial" w:hint="eastAsia"/>
                <w:b w:val="0"/>
                <w:lang w:val="en-US" w:eastAsia="zh-CN"/>
              </w:rPr>
              <w:t>Six</w:t>
            </w:r>
            <w:r w:rsidR="00BD37FD" w:rsidRPr="00A64FF0">
              <w:rPr>
                <w:rFonts w:ascii="Book Antiqua" w:hAnsi="Book Antiqua" w:cs="Arial"/>
                <w:b w:val="0"/>
                <w:lang w:val="en-US"/>
              </w:rPr>
              <w:t xml:space="preserve"> with diagnosis of chronic hepatitis</w:t>
            </w:r>
            <w:r w:rsidRPr="00A64FF0">
              <w:rPr>
                <w:rFonts w:ascii="Book Antiqua" w:hAnsi="Book Antiqua" w:cs="Arial" w:hint="eastAsia"/>
                <w:b w:val="0"/>
                <w:lang w:val="en-US" w:eastAsia="zh-CN"/>
              </w:rPr>
              <w:t xml:space="preserve">. </w:t>
            </w:r>
            <w:r w:rsidRPr="00A64FF0">
              <w:rPr>
                <w:rFonts w:ascii="Book Antiqua" w:hAnsi="Book Antiqua" w:cs="Arial"/>
                <w:b w:val="0"/>
                <w:lang w:val="en-US"/>
              </w:rPr>
              <w:t>PsO</w:t>
            </w:r>
            <w:r w:rsidRPr="00A64FF0">
              <w:rPr>
                <w:rFonts w:ascii="Book Antiqua" w:hAnsi="Book Antiqua" w:cs="Arial" w:hint="eastAsia"/>
                <w:b w:val="0"/>
                <w:lang w:val="en-US" w:eastAsia="zh-CN"/>
              </w:rPr>
              <w:t>:</w:t>
            </w:r>
            <w:r w:rsidRPr="00A64FF0">
              <w:rPr>
                <w:rFonts w:ascii="Book Antiqua" w:hAnsi="Book Antiqua" w:cs="Arial"/>
                <w:b w:val="0"/>
                <w:lang w:val="en-US"/>
              </w:rPr>
              <w:t xml:space="preserve"> </w:t>
            </w:r>
            <w:r w:rsidRPr="00A64FF0">
              <w:rPr>
                <w:rFonts w:ascii="Book Antiqua" w:hAnsi="Book Antiqua" w:cs="Arial"/>
                <w:b w:val="0"/>
                <w:caps/>
                <w:lang w:val="en-US"/>
              </w:rPr>
              <w:t>p</w:t>
            </w:r>
            <w:r w:rsidRPr="00A64FF0">
              <w:rPr>
                <w:rFonts w:ascii="Book Antiqua" w:hAnsi="Book Antiqua" w:cs="Arial"/>
                <w:b w:val="0"/>
                <w:lang w:val="en-US"/>
              </w:rPr>
              <w:t>soriasis</w:t>
            </w:r>
            <w:r w:rsidR="00454620" w:rsidRPr="00A64FF0">
              <w:rPr>
                <w:rFonts w:ascii="Book Antiqua" w:hAnsi="Book Antiqua" w:cs="Arial" w:hint="eastAsia"/>
                <w:b w:val="0"/>
                <w:lang w:val="en-US" w:eastAsia="zh-CN"/>
              </w:rPr>
              <w:t xml:space="preserve">; </w:t>
            </w:r>
            <w:r w:rsidR="00454620" w:rsidRPr="00A64FF0">
              <w:rPr>
                <w:rFonts w:ascii="Book Antiqua" w:hAnsi="Book Antiqua" w:cs="Arial"/>
                <w:b w:val="0"/>
                <w:lang w:val="en-US" w:eastAsia="zh-CN"/>
              </w:rPr>
              <w:t>HBsAg</w:t>
            </w:r>
            <w:r w:rsidR="00454620" w:rsidRPr="00A64FF0">
              <w:rPr>
                <w:rFonts w:ascii="Book Antiqua" w:hAnsi="Book Antiqua" w:cs="Arial" w:hint="eastAsia"/>
                <w:b w:val="0"/>
                <w:lang w:val="en-US" w:eastAsia="zh-CN"/>
              </w:rPr>
              <w:t>:</w:t>
            </w:r>
            <w:r w:rsidR="00454620" w:rsidRPr="00A64FF0">
              <w:rPr>
                <w:rFonts w:ascii="Book Antiqua" w:hAnsi="Book Antiqua" w:cs="Arial"/>
                <w:b w:val="0"/>
                <w:lang w:val="en-US" w:eastAsia="zh-CN"/>
              </w:rPr>
              <w:t xml:space="preserve"> </w:t>
            </w:r>
            <w:r w:rsidR="00454620" w:rsidRPr="00A64FF0">
              <w:rPr>
                <w:rFonts w:ascii="Book Antiqua" w:hAnsi="Book Antiqua" w:cs="Arial"/>
                <w:b w:val="0"/>
                <w:caps/>
                <w:lang w:val="en-US" w:eastAsia="zh-CN"/>
              </w:rPr>
              <w:t>h</w:t>
            </w:r>
            <w:r w:rsidR="00454620" w:rsidRPr="00A64FF0">
              <w:rPr>
                <w:rFonts w:ascii="Book Antiqua" w:hAnsi="Book Antiqua" w:cs="Arial"/>
                <w:b w:val="0"/>
                <w:lang w:val="en-US" w:eastAsia="zh-CN"/>
              </w:rPr>
              <w:t>epatitis B surface antigen</w:t>
            </w:r>
            <w:r w:rsidR="00060FF9" w:rsidRPr="00A64FF0">
              <w:rPr>
                <w:rFonts w:ascii="Book Antiqua" w:hAnsi="Book Antiqua" w:cs="Arial" w:hint="eastAsia"/>
                <w:b w:val="0"/>
                <w:lang w:val="en-US" w:eastAsia="zh-CN"/>
              </w:rPr>
              <w:t xml:space="preserve">; </w:t>
            </w:r>
            <w:r w:rsidR="00060FF9" w:rsidRPr="00A64FF0">
              <w:rPr>
                <w:rFonts w:ascii="Book Antiqua" w:hAnsi="Book Antiqua" w:cs="Arial"/>
                <w:b w:val="0"/>
                <w:lang w:val="en-US" w:eastAsia="zh-CN"/>
              </w:rPr>
              <w:t>HBV</w:t>
            </w:r>
            <w:r w:rsidR="00060FF9" w:rsidRPr="00A64FF0">
              <w:rPr>
                <w:rFonts w:ascii="Book Antiqua" w:hAnsi="Book Antiqua" w:cs="Arial" w:hint="eastAsia"/>
                <w:b w:val="0"/>
                <w:lang w:val="en-US" w:eastAsia="zh-CN"/>
              </w:rPr>
              <w:t xml:space="preserve">: </w:t>
            </w:r>
            <w:r w:rsidR="00060FF9" w:rsidRPr="00A64FF0">
              <w:rPr>
                <w:rFonts w:ascii="Book Antiqua" w:hAnsi="Book Antiqua" w:cs="Times New Roman"/>
                <w:b w:val="0"/>
                <w:caps/>
                <w:color w:val="000000" w:themeColor="text1"/>
                <w:lang w:val="en-US"/>
              </w:rPr>
              <w:t>h</w:t>
            </w:r>
            <w:r w:rsidR="00060FF9" w:rsidRPr="00A64FF0">
              <w:rPr>
                <w:rFonts w:ascii="Book Antiqua" w:hAnsi="Book Antiqua" w:cs="Times New Roman"/>
                <w:b w:val="0"/>
                <w:color w:val="000000" w:themeColor="text1"/>
                <w:lang w:val="en-US"/>
              </w:rPr>
              <w:t>epatitis B virus</w:t>
            </w:r>
            <w:r w:rsidR="00060FF9" w:rsidRPr="00A64FF0">
              <w:rPr>
                <w:rFonts w:ascii="Book Antiqua" w:hAnsi="Book Antiqua" w:cs="Times New Roman" w:hint="eastAsia"/>
                <w:b w:val="0"/>
                <w:color w:val="000000" w:themeColor="text1"/>
                <w:lang w:val="en-US" w:eastAsia="zh-CN"/>
              </w:rPr>
              <w:t xml:space="preserve">; </w:t>
            </w:r>
            <w:r w:rsidR="00060FF9" w:rsidRPr="00A64FF0">
              <w:rPr>
                <w:rFonts w:ascii="Book Antiqua" w:hAnsi="Book Antiqua" w:cs="Times New Roman"/>
                <w:b w:val="0"/>
                <w:color w:val="000000" w:themeColor="text1"/>
                <w:lang w:val="en-US" w:eastAsia="zh-CN"/>
              </w:rPr>
              <w:t>HBc</w:t>
            </w:r>
            <w:r w:rsidR="00060FF9" w:rsidRPr="00A64FF0">
              <w:rPr>
                <w:rFonts w:ascii="Book Antiqua" w:hAnsi="Book Antiqua" w:cs="Times New Roman" w:hint="eastAsia"/>
                <w:b w:val="0"/>
                <w:color w:val="000000" w:themeColor="text1"/>
                <w:lang w:val="en-US" w:eastAsia="zh-CN"/>
              </w:rPr>
              <w:t>:</w:t>
            </w:r>
            <w:r w:rsidR="00060FF9" w:rsidRPr="00A64FF0">
              <w:rPr>
                <w:rFonts w:ascii="Book Antiqua" w:hAnsi="Book Antiqua" w:cs="Times New Roman"/>
                <w:b w:val="0"/>
                <w:color w:val="000000" w:themeColor="text1"/>
                <w:lang w:val="en-US" w:eastAsia="zh-CN"/>
              </w:rPr>
              <w:t xml:space="preserve"> </w:t>
            </w:r>
            <w:r w:rsidR="00060FF9" w:rsidRPr="00A64FF0">
              <w:rPr>
                <w:rFonts w:ascii="Book Antiqua" w:hAnsi="Book Antiqua" w:cs="Times New Roman"/>
                <w:b w:val="0"/>
                <w:caps/>
                <w:color w:val="000000" w:themeColor="text1"/>
                <w:lang w:val="en-US" w:eastAsia="zh-CN"/>
              </w:rPr>
              <w:t>h</w:t>
            </w:r>
            <w:r w:rsidR="00060FF9" w:rsidRPr="00A64FF0">
              <w:rPr>
                <w:rFonts w:ascii="Book Antiqua" w:hAnsi="Book Antiqua" w:cs="Times New Roman"/>
                <w:b w:val="0"/>
                <w:color w:val="000000" w:themeColor="text1"/>
                <w:lang w:val="en-US" w:eastAsia="zh-CN"/>
              </w:rPr>
              <w:t>epatitis B core</w:t>
            </w:r>
            <w:r w:rsidR="00060FF9" w:rsidRPr="00A64FF0">
              <w:rPr>
                <w:rFonts w:ascii="Book Antiqua" w:hAnsi="Book Antiqua" w:cs="Times New Roman" w:hint="eastAsia"/>
                <w:b w:val="0"/>
                <w:color w:val="000000" w:themeColor="text1"/>
                <w:lang w:val="en-US" w:eastAsia="zh-CN"/>
              </w:rPr>
              <w:t>.</w:t>
            </w:r>
          </w:p>
        </w:tc>
      </w:tr>
    </w:tbl>
    <w:p w:rsidR="00BD37FD" w:rsidRPr="00A64FF0" w:rsidRDefault="00060FF9" w:rsidP="00467AE1">
      <w:pPr>
        <w:shd w:val="clear" w:color="auto" w:fill="FFFFFF"/>
        <w:adjustRightInd w:val="0"/>
        <w:snapToGrid w:val="0"/>
        <w:spacing w:after="0" w:line="360" w:lineRule="auto"/>
        <w:jc w:val="both"/>
        <w:rPr>
          <w:rFonts w:ascii="Book Antiqua" w:hAnsi="Book Antiqua" w:cs="Times New Roman"/>
          <w:b/>
          <w:color w:val="000000" w:themeColor="text1"/>
          <w:sz w:val="24"/>
          <w:szCs w:val="24"/>
          <w:lang w:val="en-US"/>
        </w:rPr>
      </w:pPr>
      <w:r w:rsidRPr="00A64FF0">
        <w:rPr>
          <w:rFonts w:ascii="Book Antiqua" w:hAnsi="Book Antiqua" w:cs="Times New Roman"/>
          <w:color w:val="000000" w:themeColor="text1"/>
          <w:sz w:val="24"/>
          <w:szCs w:val="24"/>
          <w:lang w:val="en-US"/>
        </w:rPr>
        <w:br w:type="page"/>
      </w:r>
      <w:r w:rsidRPr="00A64FF0">
        <w:rPr>
          <w:rFonts w:ascii="Book Antiqua" w:hAnsi="Book Antiqua" w:cs="Arial"/>
          <w:b/>
          <w:sz w:val="24"/>
          <w:szCs w:val="24"/>
          <w:lang w:val="en-US"/>
        </w:rPr>
        <w:lastRenderedPageBreak/>
        <w:t>Table 4 Diagnosis and laboratory characteristics of reported psoriatic patients with chronic hepatitis B virus infection treated with tumor necrosis factor-α inhibitors</w:t>
      </w:r>
    </w:p>
    <w:tbl>
      <w:tblPr>
        <w:tblStyle w:val="Sfondochiaro30"/>
        <w:tblW w:w="5047" w:type="pct"/>
        <w:tblLook w:val="06A0" w:firstRow="1" w:lastRow="0" w:firstColumn="1" w:lastColumn="0" w:noHBand="1" w:noVBand="1"/>
      </w:tblPr>
      <w:tblGrid>
        <w:gridCol w:w="1990"/>
        <w:gridCol w:w="1990"/>
        <w:gridCol w:w="1989"/>
        <w:gridCol w:w="1989"/>
        <w:gridCol w:w="1989"/>
      </w:tblGrid>
      <w:tr w:rsidR="00BD37FD" w:rsidRPr="00A64FF0" w:rsidTr="001944E8">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bottom w:val="single" w:sz="4" w:space="0" w:color="auto"/>
            </w:tcBorders>
            <w:vAlign w:val="center"/>
          </w:tcPr>
          <w:p w:rsidR="00BD37FD" w:rsidRPr="00A64FF0" w:rsidRDefault="00C43FF9" w:rsidP="00467AE1">
            <w:pPr>
              <w:adjustRightInd w:val="0"/>
              <w:snapToGrid w:val="0"/>
              <w:spacing w:after="0" w:line="360" w:lineRule="auto"/>
              <w:jc w:val="both"/>
              <w:rPr>
                <w:rFonts w:ascii="Book Antiqua" w:hAnsi="Book Antiqua" w:cs="Arial"/>
                <w:lang w:val="en-US" w:eastAsia="zh-CN"/>
              </w:rPr>
            </w:pPr>
            <w:r w:rsidRPr="00A64FF0">
              <w:rPr>
                <w:rFonts w:ascii="Book Antiqua" w:hAnsi="Book Antiqua" w:cs="Arial"/>
                <w:lang w:val="en-US" w:eastAsia="zh-CN"/>
              </w:rPr>
              <w:t>Ref.</w:t>
            </w:r>
          </w:p>
        </w:tc>
        <w:tc>
          <w:tcPr>
            <w:tcW w:w="1000" w:type="pct"/>
            <w:tcBorders>
              <w:top w:val="single" w:sz="4" w:space="0" w:color="auto"/>
              <w:bottom w:val="single" w:sz="4" w:space="0" w:color="auto"/>
            </w:tcBorders>
            <w:vAlign w:val="center"/>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 xml:space="preserve">Diagnosis, </w:t>
            </w:r>
            <w:r w:rsidRPr="00A64FF0">
              <w:rPr>
                <w:rFonts w:ascii="Book Antiqua" w:hAnsi="Book Antiqua" w:cs="Arial"/>
                <w:i/>
                <w:lang w:val="en-US"/>
              </w:rPr>
              <w:t>n</w:t>
            </w:r>
          </w:p>
        </w:tc>
        <w:tc>
          <w:tcPr>
            <w:tcW w:w="1000" w:type="pct"/>
            <w:tcBorders>
              <w:top w:val="single" w:sz="4" w:space="0" w:color="auto"/>
              <w:bottom w:val="single" w:sz="4" w:space="0" w:color="auto"/>
            </w:tcBorders>
            <w:vAlign w:val="center"/>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 xml:space="preserve">Concomitant HCV therapy, </w:t>
            </w:r>
            <w:r w:rsidRPr="00A64FF0">
              <w:rPr>
                <w:rFonts w:ascii="Book Antiqua" w:hAnsi="Book Antiqua" w:cs="Arial"/>
                <w:i/>
                <w:lang w:val="en-US"/>
              </w:rPr>
              <w:t>n</w:t>
            </w:r>
          </w:p>
        </w:tc>
        <w:tc>
          <w:tcPr>
            <w:tcW w:w="1000" w:type="pct"/>
            <w:tcBorders>
              <w:top w:val="single" w:sz="4" w:space="0" w:color="auto"/>
              <w:bottom w:val="single" w:sz="4" w:space="0" w:color="auto"/>
            </w:tcBorders>
            <w:vAlign w:val="center"/>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ALT outcomes at last follow-up compared to</w:t>
            </w:r>
            <w:r w:rsidR="002260B8" w:rsidRPr="00A64FF0">
              <w:rPr>
                <w:rFonts w:ascii="Book Antiqua" w:hAnsi="Book Antiqua" w:cs="Arial"/>
                <w:lang w:val="en-US"/>
              </w:rPr>
              <w:t xml:space="preserve"> </w:t>
            </w:r>
            <w:r w:rsidRPr="00A64FF0">
              <w:rPr>
                <w:rFonts w:ascii="Book Antiqua" w:hAnsi="Book Antiqua" w:cs="Arial"/>
                <w:lang w:val="en-US"/>
              </w:rPr>
              <w:t>baseline,</w:t>
            </w:r>
            <w:r w:rsidRPr="00A64FF0">
              <w:rPr>
                <w:rFonts w:ascii="Book Antiqua" w:hAnsi="Book Antiqua" w:cs="Arial"/>
                <w:i/>
                <w:lang w:val="en-US"/>
              </w:rPr>
              <w:t xml:space="preserve"> n</w:t>
            </w:r>
          </w:p>
        </w:tc>
        <w:tc>
          <w:tcPr>
            <w:tcW w:w="1000" w:type="pct"/>
            <w:tcBorders>
              <w:top w:val="single" w:sz="4" w:space="0" w:color="auto"/>
              <w:bottom w:val="single" w:sz="4" w:space="0" w:color="auto"/>
            </w:tcBorders>
            <w:vAlign w:val="center"/>
          </w:tcPr>
          <w:p w:rsidR="00BD37FD" w:rsidRPr="00A64FF0" w:rsidRDefault="00BD37FD" w:rsidP="00467AE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 xml:space="preserve">HCV viral load outcome at last follow-up compared to baseline, </w:t>
            </w:r>
            <w:r w:rsidRPr="00A64FF0">
              <w:rPr>
                <w:rFonts w:ascii="Book Antiqua" w:hAnsi="Book Antiqua" w:cs="Arial"/>
                <w:i/>
                <w:lang w:val="en-US"/>
              </w:rPr>
              <w:t>n</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tcBorders>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Khanna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80]</w:t>
            </w:r>
          </w:p>
        </w:tc>
        <w:tc>
          <w:tcPr>
            <w:tcW w:w="1000" w:type="pct"/>
            <w:tcBorders>
              <w:top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PsA, 1</w:t>
            </w:r>
          </w:p>
        </w:tc>
        <w:tc>
          <w:tcPr>
            <w:tcW w:w="1000" w:type="pct"/>
            <w:tcBorders>
              <w:top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r w:rsidR="00060FF9" w:rsidRPr="00A64FF0">
              <w:rPr>
                <w:rFonts w:ascii="Book Antiqua" w:hAnsi="Book Antiqua" w:cs="Arial"/>
                <w:caps/>
                <w:lang w:val="en-US"/>
              </w:rPr>
              <w:t>n</w:t>
            </w:r>
            <w:r w:rsidR="00060FF9" w:rsidRPr="00A64FF0">
              <w:rPr>
                <w:rFonts w:ascii="Book Antiqua" w:hAnsi="Book Antiqua" w:cs="Arial" w:hint="eastAsia"/>
                <w:caps/>
                <w:lang w:val="en-US" w:eastAsia="zh-CN"/>
              </w:rPr>
              <w:t>/</w:t>
            </w:r>
            <w:r w:rsidR="00060FF9" w:rsidRPr="00A64FF0">
              <w:rPr>
                <w:rFonts w:ascii="Book Antiqua" w:hAnsi="Book Antiqua" w:cs="Arial"/>
                <w:caps/>
                <w:lang w:val="en-US"/>
              </w:rPr>
              <w:t>a</w:t>
            </w:r>
            <w:r w:rsidRPr="00A64FF0">
              <w:rPr>
                <w:rFonts w:ascii="Book Antiqua" w:hAnsi="Book Antiqua" w:cs="Arial"/>
                <w:lang w:val="en-US"/>
              </w:rPr>
              <w:t>)</w:t>
            </w:r>
          </w:p>
        </w:tc>
        <w:tc>
          <w:tcPr>
            <w:tcW w:w="1000" w:type="pct"/>
            <w:tcBorders>
              <w:top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r w:rsidR="00060FF9" w:rsidRPr="00A64FF0">
              <w:rPr>
                <w:rFonts w:ascii="Book Antiqua" w:hAnsi="Book Antiqua" w:cs="Arial"/>
                <w:caps/>
                <w:lang w:val="en-US"/>
              </w:rPr>
              <w:t>n</w:t>
            </w:r>
            <w:r w:rsidR="00060FF9" w:rsidRPr="00A64FF0">
              <w:rPr>
                <w:rFonts w:ascii="Book Antiqua" w:hAnsi="Book Antiqua" w:cs="Arial" w:hint="eastAsia"/>
                <w:caps/>
                <w:lang w:val="en-US" w:eastAsia="zh-CN"/>
              </w:rPr>
              <w:t>/</w:t>
            </w:r>
            <w:r w:rsidR="00060FF9" w:rsidRPr="00A64FF0">
              <w:rPr>
                <w:rFonts w:ascii="Book Antiqua" w:hAnsi="Book Antiqua" w:cs="Arial"/>
                <w:caps/>
                <w:lang w:val="en-US"/>
              </w:rPr>
              <w:t>a</w:t>
            </w:r>
            <w:r w:rsidRPr="00A64FF0">
              <w:rPr>
                <w:rFonts w:ascii="Book Antiqua" w:hAnsi="Book Antiqua" w:cs="Arial"/>
                <w:lang w:val="en-US"/>
              </w:rPr>
              <w:t>)</w:t>
            </w:r>
          </w:p>
        </w:tc>
        <w:tc>
          <w:tcPr>
            <w:tcW w:w="1000" w:type="pct"/>
            <w:tcBorders>
              <w:top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r w:rsidR="00060FF9" w:rsidRPr="00A64FF0">
              <w:rPr>
                <w:rFonts w:ascii="Book Antiqua" w:hAnsi="Book Antiqua" w:cs="Arial"/>
                <w:caps/>
                <w:lang w:val="en-US"/>
              </w:rPr>
              <w:t>n</w:t>
            </w:r>
            <w:r w:rsidR="00060FF9" w:rsidRPr="00A64FF0">
              <w:rPr>
                <w:rFonts w:ascii="Book Antiqua" w:hAnsi="Book Antiqua" w:cs="Arial" w:hint="eastAsia"/>
                <w:caps/>
                <w:lang w:val="en-US" w:eastAsia="zh-CN"/>
              </w:rPr>
              <w:t>/</w:t>
            </w:r>
            <w:r w:rsidR="00060FF9" w:rsidRPr="00A64FF0">
              <w:rPr>
                <w:rFonts w:ascii="Book Antiqua" w:hAnsi="Book Antiqua" w:cs="Arial"/>
                <w:caps/>
                <w:lang w:val="en-US"/>
              </w:rPr>
              <w:t>a</w:t>
            </w:r>
            <w:r w:rsidRPr="00A64FF0">
              <w:rPr>
                <w:rFonts w:ascii="Book Antiqua" w:hAnsi="Book Antiqua" w:cs="Arial"/>
                <w:lang w:val="en-US"/>
              </w:rPr>
              <w:t>)</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Magliocco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81]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PsA,3</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3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2 (↓); 1(</w:t>
            </w:r>
            <w:r w:rsidR="00060FF9" w:rsidRPr="00A64FF0">
              <w:rPr>
                <w:rFonts w:ascii="Book Antiqua" w:hAnsi="Book Antiqua" w:cs="Arial"/>
                <w:caps/>
                <w:lang w:val="en-US"/>
              </w:rPr>
              <w:t>n</w:t>
            </w:r>
            <w:r w:rsidR="00060FF9" w:rsidRPr="00A64FF0">
              <w:rPr>
                <w:rFonts w:ascii="Book Antiqua" w:hAnsi="Book Antiqua" w:cs="Arial" w:hint="eastAsia"/>
                <w:caps/>
                <w:lang w:val="en-US" w:eastAsia="zh-CN"/>
              </w:rPr>
              <w:t>/</w:t>
            </w:r>
            <w:r w:rsidR="00060FF9" w:rsidRPr="00A64FF0">
              <w:rPr>
                <w:rFonts w:ascii="Book Antiqua" w:hAnsi="Book Antiqua" w:cs="Arial"/>
                <w:caps/>
                <w:lang w:val="en-US"/>
              </w:rPr>
              <w:t>a</w:t>
            </w:r>
            <w:r w:rsidRPr="00A64FF0">
              <w:rPr>
                <w:rFonts w:ascii="Book Antiqua" w:hAnsi="Book Antiqua" w:cs="Arial"/>
                <w:lang w:val="en-US"/>
              </w:rPr>
              <w:t>)</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Cecchi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82]</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De Simone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83]</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 2</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2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2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C43FF9"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Asladinis </w:t>
            </w:r>
            <w:r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00BD37FD" w:rsidRPr="00A64FF0">
              <w:rPr>
                <w:rFonts w:ascii="Book Antiqua" w:hAnsi="Book Antiqua" w:cs="Arial"/>
                <w:b w:val="0"/>
                <w:vertAlign w:val="superscript"/>
                <w:lang w:val="en-US"/>
              </w:rPr>
              <w:t>84]</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PsA,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Rokshar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85]</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r w:rsidRPr="00A64FF0">
              <w:rPr>
                <w:rFonts w:ascii="Book Antiqua" w:hAnsi="Book Antiqua" w:cs="Arial"/>
                <w:caps/>
                <w:lang w:val="en-US"/>
              </w:rPr>
              <w:t>n</w:t>
            </w:r>
            <w:r w:rsidR="00060FF9" w:rsidRPr="00A64FF0">
              <w:rPr>
                <w:rFonts w:ascii="Book Antiqua" w:hAnsi="Book Antiqua" w:cs="Arial" w:hint="eastAsia"/>
                <w:caps/>
                <w:lang w:val="en-US" w:eastAsia="zh-CN"/>
              </w:rPr>
              <w:t>/</w:t>
            </w:r>
            <w:r w:rsidRPr="00A64FF0">
              <w:rPr>
                <w:rFonts w:ascii="Book Antiqua" w:hAnsi="Book Antiqua" w:cs="Arial"/>
                <w:caps/>
                <w:lang w:val="en-US"/>
              </w:rPr>
              <w:t>a</w:t>
            </w:r>
            <w:r w:rsidRPr="00A64FF0">
              <w:rPr>
                <w:rFonts w:ascii="Book Antiqua" w:hAnsi="Book Antiqua" w:cs="Arial"/>
                <w:lang w:val="en-US"/>
              </w:rPr>
              <w:t>)</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Pitarch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86]</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PsA,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r w:rsidR="00060FF9" w:rsidRPr="00A64FF0">
              <w:rPr>
                <w:rFonts w:ascii="Book Antiqua" w:hAnsi="Book Antiqua" w:cs="Arial"/>
                <w:caps/>
                <w:lang w:val="en-US"/>
              </w:rPr>
              <w:t>n</w:t>
            </w:r>
            <w:r w:rsidR="00060FF9" w:rsidRPr="00A64FF0">
              <w:rPr>
                <w:rFonts w:ascii="Book Antiqua" w:hAnsi="Book Antiqua" w:cs="Arial" w:hint="eastAsia"/>
                <w:caps/>
                <w:lang w:val="en-US" w:eastAsia="zh-CN"/>
              </w:rPr>
              <w:t>/</w:t>
            </w:r>
            <w:r w:rsidR="00060FF9" w:rsidRPr="00A64FF0">
              <w:rPr>
                <w:rFonts w:ascii="Book Antiqua" w:hAnsi="Book Antiqua" w:cs="Arial"/>
                <w:caps/>
                <w:lang w:val="en-US"/>
              </w:rPr>
              <w:t>a</w:t>
            </w:r>
            <w:r w:rsidRPr="00A64FF0">
              <w:rPr>
                <w:rFonts w:ascii="Book Antiqua" w:hAnsi="Book Antiqua" w:cs="Arial"/>
                <w:lang w:val="en-US"/>
              </w:rPr>
              <w:t>)</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r w:rsidR="00060FF9" w:rsidRPr="00A64FF0">
              <w:rPr>
                <w:rFonts w:ascii="Book Antiqua" w:hAnsi="Book Antiqua" w:cs="Arial"/>
                <w:caps/>
                <w:lang w:val="en-US"/>
              </w:rPr>
              <w:t>n</w:t>
            </w:r>
            <w:r w:rsidR="00060FF9" w:rsidRPr="00A64FF0">
              <w:rPr>
                <w:rFonts w:ascii="Book Antiqua" w:hAnsi="Book Antiqua" w:cs="Arial" w:hint="eastAsia"/>
                <w:caps/>
                <w:lang w:val="en-US" w:eastAsia="zh-CN"/>
              </w:rPr>
              <w:t>/</w:t>
            </w:r>
            <w:r w:rsidR="00060FF9" w:rsidRPr="00A64FF0">
              <w:rPr>
                <w:rFonts w:ascii="Book Antiqua" w:hAnsi="Book Antiqua" w:cs="Arial"/>
                <w:caps/>
                <w:lang w:val="en-US"/>
              </w:rPr>
              <w:t>a</w:t>
            </w:r>
            <w:r w:rsidRPr="00A64FF0">
              <w:rPr>
                <w:rFonts w:ascii="Book Antiqua" w:hAnsi="Book Antiqua" w:cs="Arial"/>
                <w:noProof/>
                <w:lang w:eastAsia="it-IT"/>
              </w:rPr>
              <w:t>)</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Linadarki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87]</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PsA,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Alcaide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88]</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Piccolo</w:t>
            </w:r>
            <w:r w:rsidR="002260B8" w:rsidRPr="00A64FF0">
              <w:rPr>
                <w:rFonts w:ascii="Book Antiqua" w:hAnsi="Book Antiqua" w:cs="Arial"/>
                <w:b w:val="0"/>
                <w:lang w:val="en-US"/>
              </w:rPr>
              <w:t xml:space="preserve">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89]</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lang w:val="en-US"/>
              </w:rPr>
              <w:t>1(↓)</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Collazzo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90]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r w:rsidR="00060FF9" w:rsidRPr="00A64FF0">
              <w:rPr>
                <w:rFonts w:ascii="Book Antiqua" w:hAnsi="Book Antiqua" w:cs="Arial"/>
                <w:caps/>
                <w:lang w:val="en-US"/>
              </w:rPr>
              <w:t>n</w:t>
            </w:r>
            <w:r w:rsidR="00060FF9" w:rsidRPr="00A64FF0">
              <w:rPr>
                <w:rFonts w:ascii="Book Antiqua" w:hAnsi="Book Antiqua" w:cs="Arial" w:hint="eastAsia"/>
                <w:caps/>
                <w:lang w:val="en-US" w:eastAsia="zh-CN"/>
              </w:rPr>
              <w:t>/</w:t>
            </w:r>
            <w:r w:rsidR="00060FF9" w:rsidRPr="00A64FF0">
              <w:rPr>
                <w:rFonts w:ascii="Book Antiqua" w:hAnsi="Book Antiqua" w:cs="Arial"/>
                <w:caps/>
                <w:lang w:val="en-US"/>
              </w:rPr>
              <w:t>a</w:t>
            </w:r>
            <w:r w:rsidRPr="00A64FF0">
              <w:rPr>
                <w:rFonts w:ascii="Book Antiqua" w:hAnsi="Book Antiqua" w:cs="Arial"/>
                <w:noProof/>
                <w:lang w:eastAsia="it-IT"/>
              </w:rPr>
              <w:t>)</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Cassano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91]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Cavazzana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92]</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PsA,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Behnam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93]</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1(IFN</w:t>
            </w:r>
            <w:r w:rsidR="00060FF9" w:rsidRPr="00A64FF0">
              <w:rPr>
                <w:rFonts w:ascii="Book Antiqua" w:hAnsi="Book Antiqua" w:cs="Arial" w:hint="eastAsia"/>
                <w:noProof/>
                <w:lang w:eastAsia="zh-CN"/>
              </w:rPr>
              <w:t xml:space="preserve"> </w:t>
            </w:r>
            <w:r w:rsidRPr="00A64FF0">
              <w:rPr>
                <w:rFonts w:ascii="Book Antiqua" w:hAnsi="Book Antiqua" w:cs="Arial"/>
                <w:noProof/>
                <w:lang w:eastAsia="it-IT"/>
              </w:rPr>
              <w:t>+</w:t>
            </w:r>
            <w:r w:rsidR="00060FF9" w:rsidRPr="00A64FF0">
              <w:rPr>
                <w:rFonts w:ascii="Book Antiqua" w:hAnsi="Book Antiqua" w:cs="Arial" w:hint="eastAsia"/>
                <w:noProof/>
                <w:lang w:eastAsia="zh-CN"/>
              </w:rPr>
              <w:t xml:space="preserve"> </w:t>
            </w:r>
            <w:r w:rsidRPr="00A64FF0">
              <w:rPr>
                <w:rFonts w:ascii="Book Antiqua" w:hAnsi="Book Antiqua" w:cs="Arial"/>
                <w:noProof/>
                <w:lang w:eastAsia="it-IT"/>
              </w:rPr>
              <w:t>Rib)</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Ventura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94]</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 1; PsA,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2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 1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Paradisi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95]</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PsA, 2</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2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2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Prignano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96]</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r w:rsidR="00060FF9" w:rsidRPr="00A64FF0">
              <w:rPr>
                <w:rFonts w:ascii="Book Antiqua" w:hAnsi="Book Antiqua" w:cs="Arial"/>
                <w:caps/>
                <w:lang w:val="en-US"/>
              </w:rPr>
              <w:t>n</w:t>
            </w:r>
            <w:r w:rsidR="00060FF9" w:rsidRPr="00A64FF0">
              <w:rPr>
                <w:rFonts w:ascii="Book Antiqua" w:hAnsi="Book Antiqua" w:cs="Arial" w:hint="eastAsia"/>
                <w:caps/>
                <w:lang w:val="en-US" w:eastAsia="zh-CN"/>
              </w:rPr>
              <w:t>/</w:t>
            </w:r>
            <w:r w:rsidR="00060FF9" w:rsidRPr="00A64FF0">
              <w:rPr>
                <w:rFonts w:ascii="Book Antiqua" w:hAnsi="Book Antiqua" w:cs="Arial"/>
                <w:caps/>
                <w:lang w:val="en-US"/>
              </w:rPr>
              <w:t>a</w:t>
            </w:r>
            <w:r w:rsidRPr="00A64FF0">
              <w:rPr>
                <w:rFonts w:ascii="Book Antiqua" w:hAnsi="Book Antiqua" w:cs="Arial"/>
                <w:lang w:val="en-US"/>
              </w:rPr>
              <w:t>)</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Richetta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97]</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eastAsia="zh-CN"/>
              </w:rPr>
            </w:pPr>
            <w:r w:rsidRPr="00A64FF0">
              <w:rPr>
                <w:rFonts w:ascii="Book Antiqua" w:hAnsi="Book Antiqua" w:cs="Arial"/>
                <w:lang w:val="en-US"/>
              </w:rPr>
              <w:t>PsO, 1</w:t>
            </w:r>
            <w:r w:rsidR="00060FF9" w:rsidRPr="00A64FF0">
              <w:rPr>
                <w:rFonts w:ascii="Book Antiqua" w:hAnsi="Book Antiqua" w:cs="Arial" w:hint="eastAsia"/>
                <w:vertAlign w:val="superscript"/>
                <w:lang w:val="en-US" w:eastAsia="zh-CN"/>
              </w:rPr>
              <w:t>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w:t>
            </w:r>
            <w:r w:rsidR="00060FF9" w:rsidRPr="00A64FF0">
              <w:rPr>
                <w:rFonts w:ascii="Book Antiqua" w:hAnsi="Book Antiqua" w:cs="Arial"/>
                <w:caps/>
                <w:lang w:val="en-US"/>
              </w:rPr>
              <w:t>n</w:t>
            </w:r>
            <w:r w:rsidR="00060FF9" w:rsidRPr="00A64FF0">
              <w:rPr>
                <w:rFonts w:ascii="Book Antiqua" w:hAnsi="Book Antiqua" w:cs="Arial" w:hint="eastAsia"/>
                <w:caps/>
                <w:lang w:val="en-US" w:eastAsia="zh-CN"/>
              </w:rPr>
              <w:t>/</w:t>
            </w:r>
            <w:r w:rsidR="00060FF9" w:rsidRPr="00A64FF0">
              <w:rPr>
                <w:rFonts w:ascii="Book Antiqua" w:hAnsi="Book Antiqua" w:cs="Arial"/>
                <w:caps/>
                <w:lang w:val="en-US"/>
              </w:rPr>
              <w:t>a</w:t>
            </w:r>
            <w:r w:rsidRPr="00A64FF0">
              <w:rPr>
                <w:rFonts w:ascii="Book Antiqua" w:hAnsi="Book Antiqua" w:cs="Arial"/>
                <w:lang w:val="en-US"/>
              </w:rPr>
              <w:t>)</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r w:rsidR="00060FF9" w:rsidRPr="00A64FF0">
              <w:rPr>
                <w:rFonts w:ascii="Book Antiqua" w:hAnsi="Book Antiqua" w:cs="Arial"/>
                <w:caps/>
                <w:lang w:val="en-US"/>
              </w:rPr>
              <w:t>n</w:t>
            </w:r>
            <w:r w:rsidR="00060FF9" w:rsidRPr="00A64FF0">
              <w:rPr>
                <w:rFonts w:ascii="Book Antiqua" w:hAnsi="Book Antiqua" w:cs="Arial" w:hint="eastAsia"/>
                <w:caps/>
                <w:lang w:val="en-US" w:eastAsia="zh-CN"/>
              </w:rPr>
              <w:t>/</w:t>
            </w:r>
            <w:r w:rsidR="00060FF9" w:rsidRPr="00A64FF0">
              <w:rPr>
                <w:rFonts w:ascii="Book Antiqua" w:hAnsi="Book Antiqua" w:cs="Arial"/>
                <w:caps/>
                <w:lang w:val="en-US"/>
              </w:rPr>
              <w:t>a</w:t>
            </w:r>
            <w:r w:rsidRPr="00A64FF0">
              <w:rPr>
                <w:rFonts w:ascii="Book Antiqua" w:hAnsi="Book Antiqua" w:cs="Arial"/>
                <w:noProof/>
                <w:lang w:eastAsia="it-IT"/>
              </w:rPr>
              <w:t>)</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lastRenderedPageBreak/>
              <w:t xml:space="preserve">Garavaglia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98]</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 3; PsA, 2</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(IFN</w:t>
            </w:r>
            <w:r w:rsidR="00060FF9" w:rsidRPr="00A64FF0">
              <w:rPr>
                <w:rFonts w:ascii="Book Antiqua" w:hAnsi="Book Antiqua" w:cs="Arial" w:hint="eastAsia"/>
                <w:noProof/>
                <w:lang w:eastAsia="zh-CN"/>
              </w:rPr>
              <w:t xml:space="preserve"> </w:t>
            </w:r>
            <w:r w:rsidRPr="00A64FF0">
              <w:rPr>
                <w:rFonts w:ascii="Book Antiqua" w:hAnsi="Book Antiqua" w:cs="Arial"/>
                <w:noProof/>
                <w:lang w:eastAsia="it-IT"/>
              </w:rPr>
              <w:t>+</w:t>
            </w:r>
            <w:r w:rsidR="00060FF9" w:rsidRPr="00A64FF0">
              <w:rPr>
                <w:rFonts w:ascii="Book Antiqua" w:hAnsi="Book Antiqua" w:cs="Arial" w:hint="eastAsia"/>
                <w:noProof/>
                <w:lang w:eastAsia="zh-CN"/>
              </w:rPr>
              <w:t xml:space="preserve"> </w:t>
            </w:r>
            <w:r w:rsidRPr="00A64FF0">
              <w:rPr>
                <w:rFonts w:ascii="Book Antiqua" w:hAnsi="Book Antiqua" w:cs="Arial"/>
                <w:noProof/>
                <w:lang w:eastAsia="it-IT"/>
              </w:rPr>
              <w:t>Rib)</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1 (=); 4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3 (=); 1(↓)</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Gandhi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99]</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Di Lernia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100]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eastAsia="zh-CN"/>
              </w:rPr>
            </w:pPr>
            <w:r w:rsidRPr="00A64FF0">
              <w:rPr>
                <w:rFonts w:ascii="Book Antiqua" w:hAnsi="Book Antiqua" w:cs="Arial"/>
                <w:lang w:val="en-US"/>
              </w:rPr>
              <w:t>PsO, 1</w:t>
            </w:r>
            <w:r w:rsidR="00060FF9" w:rsidRPr="00A64FF0">
              <w:rPr>
                <w:rFonts w:ascii="Book Antiqua" w:hAnsi="Book Antiqua" w:cs="Arial" w:hint="eastAsia"/>
                <w:vertAlign w:val="superscript"/>
                <w:lang w:val="en-US" w:eastAsia="zh-CN"/>
              </w:rPr>
              <w:t>3</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Zanni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101]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PsA, 3</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zh-CN"/>
              </w:rPr>
            </w:pPr>
            <w:r w:rsidRPr="00A64FF0">
              <w:rPr>
                <w:rFonts w:ascii="Book Antiqua" w:hAnsi="Book Antiqua" w:cs="Arial"/>
                <w:noProof/>
                <w:lang w:eastAsia="it-IT"/>
              </w:rPr>
              <w:t>3 (=)</w:t>
            </w:r>
            <w:r w:rsidR="00060FF9" w:rsidRPr="00A64FF0">
              <w:rPr>
                <w:rFonts w:ascii="Book Antiqua" w:hAnsi="Book Antiqua" w:cs="Arial" w:hint="eastAsia"/>
                <w:noProof/>
                <w:vertAlign w:val="superscript"/>
                <w:lang w:eastAsia="zh-CN"/>
              </w:rPr>
              <w:t>4</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3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Prignano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48]</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 6</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6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6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Mederacke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102]</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PsA,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1(IFN</w:t>
            </w:r>
            <w:r w:rsidR="00060FF9" w:rsidRPr="00A64FF0">
              <w:rPr>
                <w:rFonts w:ascii="Book Antiqua" w:hAnsi="Book Antiqua" w:cs="Arial" w:hint="eastAsia"/>
                <w:noProof/>
                <w:lang w:eastAsia="zh-CN"/>
              </w:rPr>
              <w:t xml:space="preserve"> </w:t>
            </w:r>
            <w:r w:rsidRPr="00A64FF0">
              <w:rPr>
                <w:rFonts w:ascii="Book Antiqua" w:hAnsi="Book Antiqua" w:cs="Arial"/>
                <w:noProof/>
                <w:lang w:eastAsia="it-IT"/>
              </w:rPr>
              <w:t>+</w:t>
            </w:r>
            <w:r w:rsidR="00060FF9" w:rsidRPr="00A64FF0">
              <w:rPr>
                <w:rFonts w:ascii="Book Antiqua" w:hAnsi="Book Antiqua" w:cs="Arial" w:hint="eastAsia"/>
                <w:noProof/>
                <w:lang w:eastAsia="zh-CN"/>
              </w:rPr>
              <w:t xml:space="preserve"> </w:t>
            </w:r>
            <w:r w:rsidRPr="00A64FF0">
              <w:rPr>
                <w:rFonts w:ascii="Book Antiqua" w:hAnsi="Book Antiqua" w:cs="Arial"/>
                <w:noProof/>
                <w:lang w:eastAsia="it-IT"/>
              </w:rPr>
              <w:t>Rib)</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r w:rsidR="00060FF9" w:rsidRPr="00A64FF0">
              <w:rPr>
                <w:rFonts w:ascii="Book Antiqua" w:hAnsi="Book Antiqua" w:cs="Arial"/>
                <w:caps/>
                <w:lang w:val="en-US"/>
              </w:rPr>
              <w:t>n</w:t>
            </w:r>
            <w:r w:rsidR="00060FF9" w:rsidRPr="00A64FF0">
              <w:rPr>
                <w:rFonts w:ascii="Book Antiqua" w:hAnsi="Book Antiqua" w:cs="Arial" w:hint="eastAsia"/>
                <w:caps/>
                <w:lang w:val="en-US" w:eastAsia="zh-CN"/>
              </w:rPr>
              <w:t>/</w:t>
            </w:r>
            <w:r w:rsidR="00060FF9" w:rsidRPr="00A64FF0">
              <w:rPr>
                <w:rFonts w:ascii="Book Antiqua" w:hAnsi="Book Antiqua" w:cs="Arial"/>
                <w:caps/>
                <w:lang w:val="en-US"/>
              </w:rPr>
              <w:t>a</w:t>
            </w:r>
            <w:r w:rsidRPr="00A64FF0">
              <w:rPr>
                <w:rFonts w:ascii="Book Antiqua" w:hAnsi="Book Antiqua" w:cs="Arial"/>
                <w:noProof/>
                <w:lang w:eastAsia="it-IT"/>
              </w:rPr>
              <w:t>)</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Navarro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53]</w:t>
            </w:r>
          </w:p>
        </w:tc>
        <w:tc>
          <w:tcPr>
            <w:tcW w:w="1000" w:type="pct"/>
          </w:tcPr>
          <w:p w:rsidR="00BD37FD" w:rsidRPr="00A64FF0" w:rsidRDefault="00060FF9"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hint="eastAsia"/>
                <w:vertAlign w:val="superscript"/>
                <w:lang w:val="en-US" w:eastAsia="zh-CN"/>
              </w:rPr>
              <w:t>2</w:t>
            </w:r>
            <w:r w:rsidR="00BD37FD" w:rsidRPr="00A64FF0">
              <w:rPr>
                <w:rFonts w:ascii="Book Antiqua" w:hAnsi="Book Antiqua" w:cs="Arial"/>
                <w:lang w:val="en-US"/>
              </w:rPr>
              <w:t>PsO, 20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3 (IFN</w:t>
            </w:r>
            <w:r w:rsidR="00060FF9" w:rsidRPr="00A64FF0">
              <w:rPr>
                <w:rFonts w:ascii="Book Antiqua" w:hAnsi="Book Antiqua" w:cs="Arial" w:hint="eastAsia"/>
                <w:noProof/>
                <w:lang w:eastAsia="zh-CN"/>
              </w:rPr>
              <w:t xml:space="preserve"> </w:t>
            </w:r>
            <w:r w:rsidRPr="00A64FF0">
              <w:rPr>
                <w:rFonts w:ascii="Book Antiqua" w:hAnsi="Book Antiqua" w:cs="Arial"/>
                <w:noProof/>
                <w:lang w:eastAsia="it-IT"/>
              </w:rPr>
              <w:t>+</w:t>
            </w:r>
            <w:r w:rsidR="00060FF9" w:rsidRPr="00A64FF0">
              <w:rPr>
                <w:rFonts w:ascii="Book Antiqua" w:hAnsi="Book Antiqua" w:cs="Arial" w:hint="eastAsia"/>
                <w:noProof/>
                <w:lang w:eastAsia="zh-CN"/>
              </w:rPr>
              <w:t xml:space="preserve"> </w:t>
            </w:r>
            <w:r w:rsidRPr="00A64FF0">
              <w:rPr>
                <w:rFonts w:ascii="Book Antiqua" w:hAnsi="Book Antiqua" w:cs="Arial"/>
                <w:noProof/>
                <w:lang w:eastAsia="it-IT"/>
              </w:rPr>
              <w:t>Rib)</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See references</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See references</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Bartalesi F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103]</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 1</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(IFN</w:t>
            </w:r>
            <w:r w:rsidR="00060FF9" w:rsidRPr="00A64FF0">
              <w:rPr>
                <w:rFonts w:ascii="Book Antiqua" w:hAnsi="Book Antiqua" w:cs="Arial" w:hint="eastAsia"/>
                <w:noProof/>
                <w:lang w:eastAsia="zh-CN"/>
              </w:rPr>
              <w:t xml:space="preserve"> </w:t>
            </w:r>
            <w:r w:rsidRPr="00A64FF0">
              <w:rPr>
                <w:rFonts w:ascii="Book Antiqua" w:hAnsi="Book Antiqua" w:cs="Arial"/>
                <w:noProof/>
                <w:lang w:eastAsia="it-IT"/>
              </w:rPr>
              <w:t>+</w:t>
            </w:r>
            <w:r w:rsidR="00060FF9" w:rsidRPr="00A64FF0">
              <w:rPr>
                <w:rFonts w:ascii="Book Antiqua" w:hAnsi="Book Antiqua" w:cs="Arial" w:hint="eastAsia"/>
                <w:noProof/>
                <w:lang w:eastAsia="zh-CN"/>
              </w:rPr>
              <w:t xml:space="preserve"> </w:t>
            </w:r>
            <w:r w:rsidRPr="00A64FF0">
              <w:rPr>
                <w:rFonts w:ascii="Book Antiqua" w:hAnsi="Book Antiqua" w:cs="Arial"/>
                <w:noProof/>
                <w:lang w:eastAsia="it-IT"/>
              </w:rPr>
              <w:t>Rib)</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Costa L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104]</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PsA, 15</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0</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13 (=); 2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14 (=); 1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Di Nuzzo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105]</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PsA, 2</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(IFN</w:t>
            </w:r>
            <w:r w:rsidR="00060FF9" w:rsidRPr="00A64FF0">
              <w:rPr>
                <w:rFonts w:ascii="Book Antiqua" w:hAnsi="Book Antiqua" w:cs="Arial" w:hint="eastAsia"/>
                <w:noProof/>
                <w:lang w:eastAsia="zh-CN"/>
              </w:rPr>
              <w:t xml:space="preserve"> </w:t>
            </w:r>
            <w:r w:rsidRPr="00A64FF0">
              <w:rPr>
                <w:rFonts w:ascii="Book Antiqua" w:hAnsi="Book Antiqua" w:cs="Arial"/>
                <w:noProof/>
                <w:lang w:eastAsia="it-IT"/>
              </w:rPr>
              <w:t>+</w:t>
            </w:r>
            <w:r w:rsidR="00060FF9" w:rsidRPr="00A64FF0">
              <w:rPr>
                <w:rFonts w:ascii="Book Antiqua" w:hAnsi="Book Antiqua" w:cs="Arial" w:hint="eastAsia"/>
                <w:noProof/>
                <w:lang w:eastAsia="zh-CN"/>
              </w:rPr>
              <w:t xml:space="preserve"> </w:t>
            </w:r>
            <w:r w:rsidRPr="00A64FF0">
              <w:rPr>
                <w:rFonts w:ascii="Book Antiqua" w:hAnsi="Book Antiqua" w:cs="Arial"/>
                <w:noProof/>
                <w:lang w:eastAsia="it-IT"/>
              </w:rPr>
              <w:t>Rib)</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1 (=); 1 (↓)</w:t>
            </w:r>
          </w:p>
        </w:tc>
        <w:tc>
          <w:tcPr>
            <w:tcW w:w="1000" w:type="pct"/>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eastAsia="it-IT"/>
              </w:rPr>
            </w:pPr>
            <w:r w:rsidRPr="00A64FF0">
              <w:rPr>
                <w:rFonts w:ascii="Book Antiqua" w:hAnsi="Book Antiqua" w:cs="Arial"/>
                <w:noProof/>
                <w:lang w:eastAsia="it-IT"/>
              </w:rPr>
              <w:t>2 (↓)</w:t>
            </w:r>
          </w:p>
        </w:tc>
      </w:tr>
      <w:tr w:rsidR="00BD37FD" w:rsidRPr="00A64FF0" w:rsidTr="001944E8">
        <w:trPr>
          <w:trHeight w:val="549"/>
        </w:trPr>
        <w:tc>
          <w:tcPr>
            <w:cnfStyle w:val="001000000000" w:firstRow="0" w:lastRow="0" w:firstColumn="1" w:lastColumn="0" w:oddVBand="0" w:evenVBand="0" w:oddHBand="0" w:evenHBand="0" w:firstRowFirstColumn="0" w:firstRowLastColumn="0" w:lastRowFirstColumn="0" w:lastRowLastColumn="0"/>
            <w:tcW w:w="1000" w:type="pct"/>
            <w:tcBorders>
              <w:bottom w:val="single" w:sz="4" w:space="0" w:color="auto"/>
            </w:tcBorders>
          </w:tcPr>
          <w:p w:rsidR="00BD37FD" w:rsidRPr="00A64FF0" w:rsidRDefault="00BD37FD" w:rsidP="00467AE1">
            <w:pPr>
              <w:adjustRightInd w:val="0"/>
              <w:snapToGrid w:val="0"/>
              <w:spacing w:after="0" w:line="360" w:lineRule="auto"/>
              <w:jc w:val="both"/>
              <w:rPr>
                <w:rFonts w:ascii="Book Antiqua" w:hAnsi="Book Antiqua" w:cs="Arial"/>
                <w:b w:val="0"/>
                <w:lang w:val="en-US"/>
              </w:rPr>
            </w:pPr>
            <w:r w:rsidRPr="00A64FF0">
              <w:rPr>
                <w:rFonts w:ascii="Book Antiqua" w:hAnsi="Book Antiqua" w:cs="Arial"/>
                <w:b w:val="0"/>
                <w:lang w:val="en-US"/>
              </w:rPr>
              <w:t xml:space="preserve">Salvi </w:t>
            </w:r>
            <w:r w:rsidR="00C43FF9" w:rsidRPr="00A64FF0">
              <w:rPr>
                <w:rFonts w:ascii="Book Antiqua" w:hAnsi="Book Antiqua" w:cs="Arial"/>
                <w:b w:val="0"/>
                <w:i/>
                <w:lang w:val="en-US"/>
              </w:rPr>
              <w:t>et al</w:t>
            </w:r>
            <w:r w:rsidR="001944E8" w:rsidRPr="00A64FF0">
              <w:rPr>
                <w:rFonts w:ascii="Book Antiqua" w:hAnsi="Book Antiqua" w:cs="Arial"/>
                <w:b w:val="0"/>
                <w:vertAlign w:val="superscript"/>
                <w:lang w:val="en-US"/>
              </w:rPr>
              <w:t>[</w:t>
            </w:r>
            <w:r w:rsidRPr="00A64FF0">
              <w:rPr>
                <w:rFonts w:ascii="Book Antiqua" w:hAnsi="Book Antiqua" w:cs="Arial"/>
                <w:b w:val="0"/>
                <w:vertAlign w:val="superscript"/>
                <w:lang w:val="en-US"/>
              </w:rPr>
              <w:t>106]</w:t>
            </w:r>
          </w:p>
        </w:tc>
        <w:tc>
          <w:tcPr>
            <w:tcW w:w="1000" w:type="pct"/>
            <w:tcBorders>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A64FF0">
              <w:rPr>
                <w:rFonts w:ascii="Book Antiqua" w:hAnsi="Book Antiqua" w:cs="Arial"/>
                <w:lang w:val="en-US"/>
              </w:rPr>
              <w:t>PsO, 1</w:t>
            </w:r>
          </w:p>
        </w:tc>
        <w:tc>
          <w:tcPr>
            <w:tcW w:w="1000" w:type="pct"/>
            <w:tcBorders>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val="en-US" w:eastAsia="it-IT"/>
              </w:rPr>
            </w:pPr>
            <w:r w:rsidRPr="00A64FF0">
              <w:rPr>
                <w:rFonts w:ascii="Book Antiqua" w:hAnsi="Book Antiqua" w:cs="Arial"/>
                <w:noProof/>
                <w:lang w:val="en-US" w:eastAsia="it-IT"/>
              </w:rPr>
              <w:t>0</w:t>
            </w:r>
          </w:p>
        </w:tc>
        <w:tc>
          <w:tcPr>
            <w:tcW w:w="1000" w:type="pct"/>
            <w:tcBorders>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val="en-US" w:eastAsia="it-IT"/>
              </w:rPr>
            </w:pPr>
            <w:r w:rsidRPr="00A64FF0">
              <w:rPr>
                <w:rFonts w:ascii="Book Antiqua" w:hAnsi="Book Antiqua" w:cs="Arial"/>
                <w:noProof/>
                <w:lang w:val="en-US" w:eastAsia="it-IT"/>
              </w:rPr>
              <w:t>1 (↑)</w:t>
            </w:r>
          </w:p>
        </w:tc>
        <w:tc>
          <w:tcPr>
            <w:tcW w:w="1000" w:type="pct"/>
            <w:tcBorders>
              <w:bottom w:val="single" w:sz="4" w:space="0" w:color="auto"/>
            </w:tcBorders>
          </w:tcPr>
          <w:p w:rsidR="00BD37FD" w:rsidRPr="00A64FF0" w:rsidRDefault="00BD37FD" w:rsidP="00467AE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lang w:val="en-US" w:eastAsia="it-IT"/>
              </w:rPr>
            </w:pPr>
            <w:r w:rsidRPr="00A64FF0">
              <w:rPr>
                <w:rFonts w:ascii="Book Antiqua" w:hAnsi="Book Antiqua" w:cs="Arial"/>
                <w:noProof/>
                <w:lang w:val="en-US" w:eastAsia="it-IT"/>
              </w:rPr>
              <w:t>1 (=)</w:t>
            </w:r>
          </w:p>
        </w:tc>
      </w:tr>
      <w:tr w:rsidR="00BD37FD" w:rsidRPr="00E259AB" w:rsidTr="001944E8">
        <w:trPr>
          <w:trHeight w:val="549"/>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nil"/>
            </w:tcBorders>
          </w:tcPr>
          <w:p w:rsidR="00BD37FD" w:rsidRPr="00060FF9" w:rsidRDefault="00060FF9" w:rsidP="00467AE1">
            <w:pPr>
              <w:adjustRightInd w:val="0"/>
              <w:snapToGrid w:val="0"/>
              <w:spacing w:after="0" w:line="360" w:lineRule="auto"/>
              <w:jc w:val="both"/>
              <w:rPr>
                <w:rFonts w:ascii="Book Antiqua" w:hAnsi="Book Antiqua" w:cs="Arial"/>
                <w:b w:val="0"/>
                <w:noProof/>
                <w:lang w:val="en-US" w:eastAsia="zh-CN"/>
              </w:rPr>
            </w:pPr>
            <w:r w:rsidRPr="00A64FF0">
              <w:rPr>
                <w:rFonts w:ascii="Book Antiqua" w:hAnsi="Book Antiqua" w:cs="Arial" w:hint="eastAsia"/>
                <w:b w:val="0"/>
                <w:noProof/>
                <w:vertAlign w:val="superscript"/>
                <w:lang w:val="en-US" w:eastAsia="zh-CN"/>
              </w:rPr>
              <w:t>1</w:t>
            </w:r>
            <w:r w:rsidR="00BD37FD" w:rsidRPr="00A64FF0">
              <w:rPr>
                <w:rFonts w:ascii="Book Antiqua" w:hAnsi="Book Antiqua" w:cs="Arial"/>
                <w:b w:val="0"/>
                <w:noProof/>
                <w:lang w:val="en-US" w:eastAsia="it-IT"/>
              </w:rPr>
              <w:t xml:space="preserve">1 erythrodermic psoriasis; </w:t>
            </w:r>
            <w:r w:rsidRPr="00A64FF0">
              <w:rPr>
                <w:rFonts w:ascii="Book Antiqua" w:hAnsi="Book Antiqua" w:cs="Arial" w:hint="eastAsia"/>
                <w:b w:val="0"/>
                <w:noProof/>
                <w:vertAlign w:val="superscript"/>
                <w:lang w:val="en-US" w:eastAsia="zh-CN"/>
              </w:rPr>
              <w:t>2</w:t>
            </w:r>
            <w:r w:rsidR="00BD37FD" w:rsidRPr="00A64FF0">
              <w:rPr>
                <w:rFonts w:ascii="Book Antiqua" w:hAnsi="Book Antiqua" w:cs="Arial"/>
                <w:b w:val="0"/>
                <w:noProof/>
                <w:lang w:val="en-US" w:eastAsia="it-IT"/>
              </w:rPr>
              <w:t xml:space="preserve">1 erythrodermic psoriasis, 2 palmoplantar psoriasis; </w:t>
            </w:r>
            <w:r w:rsidRPr="00A64FF0">
              <w:rPr>
                <w:rFonts w:ascii="Book Antiqua" w:hAnsi="Book Antiqua" w:cs="Arial" w:hint="eastAsia"/>
                <w:b w:val="0"/>
                <w:noProof/>
                <w:vertAlign w:val="superscript"/>
                <w:lang w:val="en-US" w:eastAsia="zh-CN"/>
              </w:rPr>
              <w:t>3</w:t>
            </w:r>
            <w:r w:rsidR="00BD37FD" w:rsidRPr="00A64FF0">
              <w:rPr>
                <w:rFonts w:ascii="Book Antiqua" w:hAnsi="Book Antiqua" w:cs="Arial"/>
                <w:b w:val="0"/>
                <w:noProof/>
                <w:lang w:val="en-US" w:eastAsia="it-IT"/>
              </w:rPr>
              <w:t xml:space="preserve">1 palmoplantar psoriasis; </w:t>
            </w:r>
            <w:r w:rsidRPr="00A64FF0">
              <w:rPr>
                <w:rFonts w:ascii="Book Antiqua" w:hAnsi="Book Antiqua" w:cs="Arial" w:hint="eastAsia"/>
                <w:b w:val="0"/>
                <w:noProof/>
                <w:vertAlign w:val="superscript"/>
                <w:lang w:val="en-US" w:eastAsia="zh-CN"/>
              </w:rPr>
              <w:t>4</w:t>
            </w:r>
            <w:r w:rsidR="00BD37FD" w:rsidRPr="00A64FF0">
              <w:rPr>
                <w:rFonts w:ascii="Book Antiqua" w:hAnsi="Book Antiqua" w:cs="Arial"/>
                <w:b w:val="0"/>
                <w:noProof/>
                <w:lang w:val="en-US" w:eastAsia="it-IT"/>
              </w:rPr>
              <w:t>1 patient with concomitant alcoholic hepatitis</w:t>
            </w:r>
            <w:r w:rsidRPr="00A64FF0">
              <w:rPr>
                <w:rFonts w:ascii="Book Antiqua" w:hAnsi="Book Antiqua" w:cs="Arial" w:hint="eastAsia"/>
                <w:b w:val="0"/>
                <w:noProof/>
                <w:lang w:val="en-US" w:eastAsia="zh-CN"/>
              </w:rPr>
              <w:t xml:space="preserve">. </w:t>
            </w:r>
            <w:r w:rsidRPr="00A64FF0">
              <w:rPr>
                <w:rFonts w:ascii="Book Antiqua" w:hAnsi="Book Antiqua" w:cs="Arial"/>
                <w:b w:val="0"/>
                <w:noProof/>
                <w:lang w:val="en-US" w:eastAsia="it-IT"/>
              </w:rPr>
              <w:t>PsO</w:t>
            </w:r>
            <w:r w:rsidRPr="00A64FF0">
              <w:rPr>
                <w:rFonts w:ascii="Book Antiqua" w:hAnsi="Book Antiqua" w:cs="Arial" w:hint="eastAsia"/>
                <w:b w:val="0"/>
                <w:noProof/>
                <w:lang w:val="en-US" w:eastAsia="zh-CN"/>
              </w:rPr>
              <w:t>:</w:t>
            </w:r>
            <w:r w:rsidRPr="00A64FF0">
              <w:rPr>
                <w:rFonts w:ascii="Book Antiqua" w:hAnsi="Book Antiqua" w:cs="Arial"/>
                <w:b w:val="0"/>
                <w:noProof/>
                <w:lang w:val="en-US" w:eastAsia="it-IT"/>
              </w:rPr>
              <w:t xml:space="preserve"> Psoriasis; PsA</w:t>
            </w:r>
            <w:r w:rsidRPr="00A64FF0">
              <w:rPr>
                <w:rFonts w:ascii="Book Antiqua" w:hAnsi="Book Antiqua" w:cs="Arial" w:hint="eastAsia"/>
                <w:b w:val="0"/>
                <w:noProof/>
                <w:lang w:val="en-US" w:eastAsia="zh-CN"/>
              </w:rPr>
              <w:t>:</w:t>
            </w:r>
            <w:r w:rsidRPr="00A64FF0">
              <w:rPr>
                <w:rFonts w:ascii="Book Antiqua" w:hAnsi="Book Antiqua" w:cs="Arial"/>
                <w:b w:val="0"/>
                <w:noProof/>
                <w:lang w:val="en-US" w:eastAsia="it-IT"/>
              </w:rPr>
              <w:t xml:space="preserve"> Psoriatic arthritis; =</w:t>
            </w:r>
            <w:r w:rsidRPr="00A64FF0">
              <w:rPr>
                <w:rFonts w:ascii="Book Antiqua" w:hAnsi="Book Antiqua" w:cs="Arial" w:hint="eastAsia"/>
                <w:b w:val="0"/>
                <w:noProof/>
                <w:lang w:val="en-US" w:eastAsia="zh-CN"/>
              </w:rPr>
              <w:t>:</w:t>
            </w:r>
            <w:r w:rsidRPr="00A64FF0">
              <w:rPr>
                <w:rFonts w:ascii="Book Antiqua" w:hAnsi="Book Antiqua" w:cs="Arial"/>
                <w:b w:val="0"/>
                <w:noProof/>
                <w:lang w:val="en-US" w:eastAsia="it-IT"/>
              </w:rPr>
              <w:t xml:space="preserve"> No significant change; ↓</w:t>
            </w:r>
            <w:r w:rsidRPr="00A64FF0">
              <w:rPr>
                <w:rFonts w:ascii="Book Antiqua" w:hAnsi="Book Antiqua" w:cs="Arial" w:hint="eastAsia"/>
                <w:b w:val="0"/>
                <w:noProof/>
                <w:lang w:val="en-US" w:eastAsia="zh-CN"/>
              </w:rPr>
              <w:t>:</w:t>
            </w:r>
            <w:r w:rsidRPr="00A64FF0">
              <w:rPr>
                <w:rFonts w:ascii="Book Antiqua" w:hAnsi="Book Antiqua" w:cs="Arial"/>
                <w:b w:val="0"/>
                <w:noProof/>
                <w:lang w:val="en-US" w:eastAsia="it-IT"/>
              </w:rPr>
              <w:t xml:space="preserve"> Decreased; ↑</w:t>
            </w:r>
            <w:r w:rsidRPr="00A64FF0">
              <w:rPr>
                <w:rFonts w:ascii="Book Antiqua" w:hAnsi="Book Antiqua" w:cs="Arial" w:hint="eastAsia"/>
                <w:b w:val="0"/>
                <w:noProof/>
                <w:lang w:val="en-US" w:eastAsia="zh-CN"/>
              </w:rPr>
              <w:t>:</w:t>
            </w:r>
            <w:r w:rsidRPr="00A64FF0">
              <w:rPr>
                <w:rFonts w:ascii="Book Antiqua" w:hAnsi="Book Antiqua" w:cs="Arial"/>
                <w:b w:val="0"/>
                <w:noProof/>
                <w:lang w:val="en-US" w:eastAsia="it-IT"/>
              </w:rPr>
              <w:t xml:space="preserve"> Increased; </w:t>
            </w:r>
            <w:r w:rsidRPr="00A64FF0">
              <w:rPr>
                <w:rFonts w:ascii="Book Antiqua" w:hAnsi="Book Antiqua" w:cs="Arial"/>
                <w:b w:val="0"/>
                <w:caps/>
                <w:lang w:val="en-US"/>
              </w:rPr>
              <w:t>n</w:t>
            </w:r>
            <w:r w:rsidRPr="00A64FF0">
              <w:rPr>
                <w:rFonts w:ascii="Book Antiqua" w:hAnsi="Book Antiqua" w:cs="Arial" w:hint="eastAsia"/>
                <w:b w:val="0"/>
                <w:caps/>
                <w:lang w:val="en-US" w:eastAsia="zh-CN"/>
              </w:rPr>
              <w:t>/</w:t>
            </w:r>
            <w:r w:rsidRPr="00A64FF0">
              <w:rPr>
                <w:rFonts w:ascii="Book Antiqua" w:hAnsi="Book Antiqua" w:cs="Arial"/>
                <w:b w:val="0"/>
                <w:caps/>
                <w:lang w:val="en-US"/>
              </w:rPr>
              <w:t>a</w:t>
            </w:r>
            <w:r w:rsidRPr="00A64FF0">
              <w:rPr>
                <w:rFonts w:ascii="Book Antiqua" w:hAnsi="Book Antiqua" w:cs="Arial" w:hint="eastAsia"/>
                <w:b w:val="0"/>
                <w:noProof/>
                <w:lang w:val="en-US" w:eastAsia="zh-CN"/>
              </w:rPr>
              <w:t>:</w:t>
            </w:r>
            <w:r w:rsidRPr="00A64FF0">
              <w:rPr>
                <w:rFonts w:ascii="Book Antiqua" w:hAnsi="Book Antiqua" w:cs="Arial"/>
                <w:b w:val="0"/>
                <w:noProof/>
                <w:lang w:val="en-US" w:eastAsia="it-IT"/>
              </w:rPr>
              <w:t xml:space="preserve"> Not available; IFN</w:t>
            </w:r>
            <w:r w:rsidRPr="00A64FF0">
              <w:rPr>
                <w:rFonts w:ascii="Book Antiqua" w:hAnsi="Book Antiqua" w:cs="Arial" w:hint="eastAsia"/>
                <w:b w:val="0"/>
                <w:noProof/>
                <w:lang w:val="en-US" w:eastAsia="zh-CN"/>
              </w:rPr>
              <w:t>:</w:t>
            </w:r>
            <w:r w:rsidRPr="00A64FF0">
              <w:rPr>
                <w:rFonts w:ascii="Book Antiqua" w:hAnsi="Book Antiqua" w:cs="Arial"/>
                <w:b w:val="0"/>
                <w:noProof/>
                <w:lang w:val="en-US" w:eastAsia="it-IT"/>
              </w:rPr>
              <w:t xml:space="preserve"> Interferon; Rib</w:t>
            </w:r>
            <w:r w:rsidRPr="00A64FF0">
              <w:rPr>
                <w:rFonts w:ascii="Book Antiqua" w:hAnsi="Book Antiqua" w:cs="Arial" w:hint="eastAsia"/>
                <w:b w:val="0"/>
                <w:noProof/>
                <w:lang w:val="en-US" w:eastAsia="zh-CN"/>
              </w:rPr>
              <w:t>:</w:t>
            </w:r>
            <w:r w:rsidRPr="00A64FF0">
              <w:rPr>
                <w:rFonts w:ascii="Book Antiqua" w:hAnsi="Book Antiqua" w:cs="Arial"/>
                <w:b w:val="0"/>
                <w:noProof/>
                <w:lang w:val="en-US" w:eastAsia="it-IT"/>
              </w:rPr>
              <w:t xml:space="preserve"> Ribavirine</w:t>
            </w:r>
            <w:r w:rsidRPr="00A64FF0">
              <w:rPr>
                <w:rFonts w:ascii="Book Antiqua" w:hAnsi="Book Antiqua" w:cs="Arial" w:hint="eastAsia"/>
                <w:b w:val="0"/>
                <w:noProof/>
                <w:lang w:val="en-US" w:eastAsia="zh-CN"/>
              </w:rPr>
              <w:t>.</w:t>
            </w:r>
          </w:p>
        </w:tc>
      </w:tr>
    </w:tbl>
    <w:p w:rsidR="008D5ED5" w:rsidRPr="00E259AB" w:rsidRDefault="008D5ED5" w:rsidP="00467AE1">
      <w:pPr>
        <w:shd w:val="clear" w:color="auto" w:fill="FFFFFF"/>
        <w:adjustRightInd w:val="0"/>
        <w:snapToGrid w:val="0"/>
        <w:spacing w:after="0" w:line="360" w:lineRule="auto"/>
        <w:jc w:val="both"/>
        <w:rPr>
          <w:rFonts w:ascii="Book Antiqua" w:hAnsi="Book Antiqua" w:cs="Times New Roman"/>
          <w:color w:val="000000" w:themeColor="text1"/>
          <w:sz w:val="24"/>
          <w:szCs w:val="24"/>
          <w:lang w:val="en-US"/>
        </w:rPr>
      </w:pPr>
    </w:p>
    <w:p w:rsidR="009D28F6" w:rsidRPr="00E259AB" w:rsidRDefault="009D28F6" w:rsidP="00467AE1">
      <w:pPr>
        <w:shd w:val="clear" w:color="auto" w:fill="FFFFFF"/>
        <w:adjustRightInd w:val="0"/>
        <w:snapToGrid w:val="0"/>
        <w:spacing w:after="0" w:line="360" w:lineRule="auto"/>
        <w:jc w:val="both"/>
        <w:rPr>
          <w:rFonts w:ascii="Book Antiqua" w:hAnsi="Book Antiqua" w:cs="Times New Roman"/>
          <w:color w:val="000000" w:themeColor="text1"/>
          <w:sz w:val="24"/>
          <w:szCs w:val="24"/>
          <w:lang w:val="en-US"/>
        </w:rPr>
      </w:pPr>
    </w:p>
    <w:sectPr w:rsidR="009D28F6" w:rsidRPr="00E259AB" w:rsidSect="00CD4A2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29A" w:rsidRDefault="0073729A" w:rsidP="002F38CB">
      <w:pPr>
        <w:spacing w:after="0" w:line="240" w:lineRule="auto"/>
      </w:pPr>
      <w:r>
        <w:separator/>
      </w:r>
    </w:p>
  </w:endnote>
  <w:endnote w:type="continuationSeparator" w:id="0">
    <w:p w:rsidR="0073729A" w:rsidRDefault="0073729A" w:rsidP="002F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eGothic">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dvGulliv-R">
    <w:altName w:val="Arial Unicode MS"/>
    <w:panose1 w:val="00000000000000000000"/>
    <w:charset w:val="80"/>
    <w:family w:val="auto"/>
    <w:notTrueType/>
    <w:pitch w:val="default"/>
    <w:sig w:usb0="00000001" w:usb1="08070000" w:usb2="00000010" w:usb3="00000000" w:csb0="00020000" w:csb1="00000000"/>
  </w:font>
  <w:font w:name="Proxima Nova Condensed">
    <w:altName w:val="Proxima Nova Condensed"/>
    <w:panose1 w:val="00000000000000000000"/>
    <w:charset w:val="00"/>
    <w:family w:val="swiss"/>
    <w:notTrueType/>
    <w:pitch w:val="default"/>
    <w:sig w:usb0="00000003" w:usb1="00000000" w:usb2="00000000" w:usb3="00000000" w:csb0="00000001" w:csb1="00000000"/>
  </w:font>
  <w:font w:name="AdvPSMy-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29A" w:rsidRDefault="0073729A" w:rsidP="002F38CB">
      <w:pPr>
        <w:spacing w:after="0" w:line="240" w:lineRule="auto"/>
      </w:pPr>
      <w:r>
        <w:separator/>
      </w:r>
    </w:p>
  </w:footnote>
  <w:footnote w:type="continuationSeparator" w:id="0">
    <w:p w:rsidR="0073729A" w:rsidRDefault="0073729A" w:rsidP="002F3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67B45"/>
    <w:multiLevelType w:val="hybridMultilevel"/>
    <w:tmpl w:val="0D08498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795D4A88"/>
    <w:multiLevelType w:val="hybridMultilevel"/>
    <w:tmpl w:val="32843A18"/>
    <w:lvl w:ilvl="0" w:tplc="31560174">
      <w:start w:val="1"/>
      <w:numFmt w:val="bullet"/>
      <w:lvlText w:val="•"/>
      <w:lvlJc w:val="left"/>
      <w:pPr>
        <w:tabs>
          <w:tab w:val="num" w:pos="720"/>
        </w:tabs>
        <w:ind w:left="720" w:hanging="360"/>
      </w:pPr>
      <w:rPr>
        <w:rFonts w:ascii="Arial" w:hAnsi="Arial" w:cs="Arial" w:hint="default"/>
      </w:rPr>
    </w:lvl>
    <w:lvl w:ilvl="1" w:tplc="39EC6E5A">
      <w:start w:val="1"/>
      <w:numFmt w:val="bullet"/>
      <w:lvlText w:val="•"/>
      <w:lvlJc w:val="left"/>
      <w:pPr>
        <w:tabs>
          <w:tab w:val="num" w:pos="1440"/>
        </w:tabs>
        <w:ind w:left="1440" w:hanging="360"/>
      </w:pPr>
      <w:rPr>
        <w:rFonts w:ascii="Arial" w:hAnsi="Arial" w:cs="Arial" w:hint="default"/>
      </w:rPr>
    </w:lvl>
    <w:lvl w:ilvl="2" w:tplc="0C12705E">
      <w:start w:val="1"/>
      <w:numFmt w:val="bullet"/>
      <w:lvlText w:val="•"/>
      <w:lvlJc w:val="left"/>
      <w:pPr>
        <w:tabs>
          <w:tab w:val="num" w:pos="2160"/>
        </w:tabs>
        <w:ind w:left="2160" w:hanging="360"/>
      </w:pPr>
      <w:rPr>
        <w:rFonts w:ascii="Arial" w:hAnsi="Arial" w:cs="Arial" w:hint="default"/>
      </w:rPr>
    </w:lvl>
    <w:lvl w:ilvl="3" w:tplc="59CA0916">
      <w:start w:val="1"/>
      <w:numFmt w:val="bullet"/>
      <w:lvlText w:val="•"/>
      <w:lvlJc w:val="left"/>
      <w:pPr>
        <w:tabs>
          <w:tab w:val="num" w:pos="2880"/>
        </w:tabs>
        <w:ind w:left="2880" w:hanging="360"/>
      </w:pPr>
      <w:rPr>
        <w:rFonts w:ascii="Arial" w:hAnsi="Arial" w:cs="Arial" w:hint="default"/>
      </w:rPr>
    </w:lvl>
    <w:lvl w:ilvl="4" w:tplc="00728D9C">
      <w:start w:val="1"/>
      <w:numFmt w:val="bullet"/>
      <w:lvlText w:val="•"/>
      <w:lvlJc w:val="left"/>
      <w:pPr>
        <w:tabs>
          <w:tab w:val="num" w:pos="3600"/>
        </w:tabs>
        <w:ind w:left="3600" w:hanging="360"/>
      </w:pPr>
      <w:rPr>
        <w:rFonts w:ascii="Arial" w:hAnsi="Arial" w:cs="Arial" w:hint="default"/>
      </w:rPr>
    </w:lvl>
    <w:lvl w:ilvl="5" w:tplc="23BA13EE">
      <w:start w:val="1"/>
      <w:numFmt w:val="bullet"/>
      <w:lvlText w:val="•"/>
      <w:lvlJc w:val="left"/>
      <w:pPr>
        <w:tabs>
          <w:tab w:val="num" w:pos="4320"/>
        </w:tabs>
        <w:ind w:left="4320" w:hanging="360"/>
      </w:pPr>
      <w:rPr>
        <w:rFonts w:ascii="Arial" w:hAnsi="Arial" w:cs="Arial" w:hint="default"/>
      </w:rPr>
    </w:lvl>
    <w:lvl w:ilvl="6" w:tplc="02AA8518">
      <w:start w:val="1"/>
      <w:numFmt w:val="bullet"/>
      <w:lvlText w:val="•"/>
      <w:lvlJc w:val="left"/>
      <w:pPr>
        <w:tabs>
          <w:tab w:val="num" w:pos="5040"/>
        </w:tabs>
        <w:ind w:left="5040" w:hanging="360"/>
      </w:pPr>
      <w:rPr>
        <w:rFonts w:ascii="Arial" w:hAnsi="Arial" w:cs="Arial" w:hint="default"/>
      </w:rPr>
    </w:lvl>
    <w:lvl w:ilvl="7" w:tplc="60B0BF9A">
      <w:start w:val="1"/>
      <w:numFmt w:val="bullet"/>
      <w:lvlText w:val="•"/>
      <w:lvlJc w:val="left"/>
      <w:pPr>
        <w:tabs>
          <w:tab w:val="num" w:pos="5760"/>
        </w:tabs>
        <w:ind w:left="5760" w:hanging="360"/>
      </w:pPr>
      <w:rPr>
        <w:rFonts w:ascii="Arial" w:hAnsi="Arial" w:cs="Arial" w:hint="default"/>
      </w:rPr>
    </w:lvl>
    <w:lvl w:ilvl="8" w:tplc="EB76B608">
      <w:start w:val="1"/>
      <w:numFmt w:val="bullet"/>
      <w:lvlText w:val="•"/>
      <w:lvlJc w:val="left"/>
      <w:pPr>
        <w:tabs>
          <w:tab w:val="num" w:pos="6480"/>
        </w:tabs>
        <w:ind w:left="6480" w:hanging="360"/>
      </w:pPr>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A4"/>
    <w:rsid w:val="00003B51"/>
    <w:rsid w:val="00006487"/>
    <w:rsid w:val="00006F95"/>
    <w:rsid w:val="000106D9"/>
    <w:rsid w:val="000120EB"/>
    <w:rsid w:val="000136F9"/>
    <w:rsid w:val="00015A0B"/>
    <w:rsid w:val="000201CE"/>
    <w:rsid w:val="000206C7"/>
    <w:rsid w:val="00026862"/>
    <w:rsid w:val="00027585"/>
    <w:rsid w:val="00027D27"/>
    <w:rsid w:val="0003004A"/>
    <w:rsid w:val="000308D4"/>
    <w:rsid w:val="00030E61"/>
    <w:rsid w:val="00031705"/>
    <w:rsid w:val="00034020"/>
    <w:rsid w:val="00034EEA"/>
    <w:rsid w:val="0003597E"/>
    <w:rsid w:val="000426C8"/>
    <w:rsid w:val="00042EDE"/>
    <w:rsid w:val="00046601"/>
    <w:rsid w:val="0004670C"/>
    <w:rsid w:val="000522D7"/>
    <w:rsid w:val="000526B3"/>
    <w:rsid w:val="000537C2"/>
    <w:rsid w:val="00053FAC"/>
    <w:rsid w:val="00054BC7"/>
    <w:rsid w:val="000553B5"/>
    <w:rsid w:val="00057F53"/>
    <w:rsid w:val="000600DA"/>
    <w:rsid w:val="000605D7"/>
    <w:rsid w:val="00060FAA"/>
    <w:rsid w:val="00060FF9"/>
    <w:rsid w:val="00061581"/>
    <w:rsid w:val="00063206"/>
    <w:rsid w:val="0006538A"/>
    <w:rsid w:val="000657F4"/>
    <w:rsid w:val="000660F3"/>
    <w:rsid w:val="00073637"/>
    <w:rsid w:val="00074BB9"/>
    <w:rsid w:val="00075250"/>
    <w:rsid w:val="00075B41"/>
    <w:rsid w:val="00076208"/>
    <w:rsid w:val="000764CB"/>
    <w:rsid w:val="000828F2"/>
    <w:rsid w:val="00082B96"/>
    <w:rsid w:val="000830A2"/>
    <w:rsid w:val="000850EE"/>
    <w:rsid w:val="00087862"/>
    <w:rsid w:val="00090603"/>
    <w:rsid w:val="00092FA1"/>
    <w:rsid w:val="00094247"/>
    <w:rsid w:val="00097808"/>
    <w:rsid w:val="000A0166"/>
    <w:rsid w:val="000A2F32"/>
    <w:rsid w:val="000A37E5"/>
    <w:rsid w:val="000A38ED"/>
    <w:rsid w:val="000A4B25"/>
    <w:rsid w:val="000A4C19"/>
    <w:rsid w:val="000A4D99"/>
    <w:rsid w:val="000A5E5D"/>
    <w:rsid w:val="000A7B7D"/>
    <w:rsid w:val="000B2C9F"/>
    <w:rsid w:val="000B6D55"/>
    <w:rsid w:val="000B72E8"/>
    <w:rsid w:val="000C0FFD"/>
    <w:rsid w:val="000C18BF"/>
    <w:rsid w:val="000C385B"/>
    <w:rsid w:val="000C5034"/>
    <w:rsid w:val="000C7740"/>
    <w:rsid w:val="000D091A"/>
    <w:rsid w:val="000D394F"/>
    <w:rsid w:val="000D460B"/>
    <w:rsid w:val="000D5D21"/>
    <w:rsid w:val="000D6876"/>
    <w:rsid w:val="000D6A34"/>
    <w:rsid w:val="000D72F3"/>
    <w:rsid w:val="000D74B4"/>
    <w:rsid w:val="000D7F20"/>
    <w:rsid w:val="000E2400"/>
    <w:rsid w:val="000E442A"/>
    <w:rsid w:val="000E6007"/>
    <w:rsid w:val="000F0251"/>
    <w:rsid w:val="000F0DC1"/>
    <w:rsid w:val="000F1C93"/>
    <w:rsid w:val="000F1F5B"/>
    <w:rsid w:val="000F2919"/>
    <w:rsid w:val="000F3C7C"/>
    <w:rsid w:val="000F4E9F"/>
    <w:rsid w:val="000F543D"/>
    <w:rsid w:val="000F5AC2"/>
    <w:rsid w:val="000F6E2F"/>
    <w:rsid w:val="000F748F"/>
    <w:rsid w:val="00100841"/>
    <w:rsid w:val="00101117"/>
    <w:rsid w:val="00101CC1"/>
    <w:rsid w:val="00103E03"/>
    <w:rsid w:val="00105BEB"/>
    <w:rsid w:val="0011506D"/>
    <w:rsid w:val="001164BA"/>
    <w:rsid w:val="0012247B"/>
    <w:rsid w:val="001237E8"/>
    <w:rsid w:val="0012383B"/>
    <w:rsid w:val="0012495D"/>
    <w:rsid w:val="00124CC2"/>
    <w:rsid w:val="001250EF"/>
    <w:rsid w:val="0012523B"/>
    <w:rsid w:val="00125B89"/>
    <w:rsid w:val="00127E38"/>
    <w:rsid w:val="00130208"/>
    <w:rsid w:val="001313E7"/>
    <w:rsid w:val="001315C9"/>
    <w:rsid w:val="001320AA"/>
    <w:rsid w:val="00132302"/>
    <w:rsid w:val="00134A40"/>
    <w:rsid w:val="001351C1"/>
    <w:rsid w:val="0013529D"/>
    <w:rsid w:val="00140ECA"/>
    <w:rsid w:val="00141118"/>
    <w:rsid w:val="0014165F"/>
    <w:rsid w:val="00142B19"/>
    <w:rsid w:val="001435EA"/>
    <w:rsid w:val="00143C54"/>
    <w:rsid w:val="001463AC"/>
    <w:rsid w:val="00146616"/>
    <w:rsid w:val="0014730B"/>
    <w:rsid w:val="001479DE"/>
    <w:rsid w:val="00151DFC"/>
    <w:rsid w:val="00152242"/>
    <w:rsid w:val="001529B8"/>
    <w:rsid w:val="001531E6"/>
    <w:rsid w:val="0015452F"/>
    <w:rsid w:val="00155023"/>
    <w:rsid w:val="00155E8D"/>
    <w:rsid w:val="001577A6"/>
    <w:rsid w:val="001604F6"/>
    <w:rsid w:val="001606D1"/>
    <w:rsid w:val="00160ACE"/>
    <w:rsid w:val="001610C8"/>
    <w:rsid w:val="001611DE"/>
    <w:rsid w:val="0016149E"/>
    <w:rsid w:val="001617F7"/>
    <w:rsid w:val="001622CE"/>
    <w:rsid w:val="00163163"/>
    <w:rsid w:val="00164039"/>
    <w:rsid w:val="00164053"/>
    <w:rsid w:val="0016457E"/>
    <w:rsid w:val="00164CB6"/>
    <w:rsid w:val="00165092"/>
    <w:rsid w:val="001756A8"/>
    <w:rsid w:val="00175A01"/>
    <w:rsid w:val="001764B5"/>
    <w:rsid w:val="00177A89"/>
    <w:rsid w:val="00177F60"/>
    <w:rsid w:val="001801A8"/>
    <w:rsid w:val="00181A91"/>
    <w:rsid w:val="00181D46"/>
    <w:rsid w:val="00186F58"/>
    <w:rsid w:val="0018756D"/>
    <w:rsid w:val="00187704"/>
    <w:rsid w:val="00190268"/>
    <w:rsid w:val="00190284"/>
    <w:rsid w:val="00190915"/>
    <w:rsid w:val="00190A39"/>
    <w:rsid w:val="0019296D"/>
    <w:rsid w:val="00192EC7"/>
    <w:rsid w:val="001944E8"/>
    <w:rsid w:val="00194EAB"/>
    <w:rsid w:val="001956F5"/>
    <w:rsid w:val="001968C3"/>
    <w:rsid w:val="00196DC9"/>
    <w:rsid w:val="001973B2"/>
    <w:rsid w:val="001A0CA9"/>
    <w:rsid w:val="001A164A"/>
    <w:rsid w:val="001A1938"/>
    <w:rsid w:val="001A1BB7"/>
    <w:rsid w:val="001A1E5F"/>
    <w:rsid w:val="001A2E65"/>
    <w:rsid w:val="001A77F6"/>
    <w:rsid w:val="001A7EB6"/>
    <w:rsid w:val="001B055D"/>
    <w:rsid w:val="001B0AD5"/>
    <w:rsid w:val="001B0D70"/>
    <w:rsid w:val="001B0DA8"/>
    <w:rsid w:val="001B1120"/>
    <w:rsid w:val="001B1B61"/>
    <w:rsid w:val="001B36BD"/>
    <w:rsid w:val="001B40A8"/>
    <w:rsid w:val="001B4226"/>
    <w:rsid w:val="001B5580"/>
    <w:rsid w:val="001B5C30"/>
    <w:rsid w:val="001B5D1B"/>
    <w:rsid w:val="001B6539"/>
    <w:rsid w:val="001B6D2A"/>
    <w:rsid w:val="001B7153"/>
    <w:rsid w:val="001B7449"/>
    <w:rsid w:val="001C02A4"/>
    <w:rsid w:val="001C27FE"/>
    <w:rsid w:val="001C531B"/>
    <w:rsid w:val="001C6D58"/>
    <w:rsid w:val="001C7CDC"/>
    <w:rsid w:val="001D0922"/>
    <w:rsid w:val="001D1824"/>
    <w:rsid w:val="001D2918"/>
    <w:rsid w:val="001D366C"/>
    <w:rsid w:val="001D46B8"/>
    <w:rsid w:val="001D4B85"/>
    <w:rsid w:val="001D5B5B"/>
    <w:rsid w:val="001D6127"/>
    <w:rsid w:val="001E022C"/>
    <w:rsid w:val="001E2454"/>
    <w:rsid w:val="001E6311"/>
    <w:rsid w:val="001E6765"/>
    <w:rsid w:val="001E77CE"/>
    <w:rsid w:val="001F04CC"/>
    <w:rsid w:val="001F05A5"/>
    <w:rsid w:val="001F1911"/>
    <w:rsid w:val="001F27C4"/>
    <w:rsid w:val="001F2F95"/>
    <w:rsid w:val="001F330A"/>
    <w:rsid w:val="001F343E"/>
    <w:rsid w:val="001F429E"/>
    <w:rsid w:val="001F6326"/>
    <w:rsid w:val="00200594"/>
    <w:rsid w:val="00200D12"/>
    <w:rsid w:val="00200E25"/>
    <w:rsid w:val="00201719"/>
    <w:rsid w:val="002019EE"/>
    <w:rsid w:val="00202888"/>
    <w:rsid w:val="00203A89"/>
    <w:rsid w:val="00204597"/>
    <w:rsid w:val="00205581"/>
    <w:rsid w:val="002076CE"/>
    <w:rsid w:val="0021138D"/>
    <w:rsid w:val="002113F7"/>
    <w:rsid w:val="002140BC"/>
    <w:rsid w:val="002151C0"/>
    <w:rsid w:val="002169DF"/>
    <w:rsid w:val="00217E3F"/>
    <w:rsid w:val="00222D14"/>
    <w:rsid w:val="002231D4"/>
    <w:rsid w:val="0022346F"/>
    <w:rsid w:val="002253EA"/>
    <w:rsid w:val="002260B8"/>
    <w:rsid w:val="00226FA2"/>
    <w:rsid w:val="00227198"/>
    <w:rsid w:val="00230023"/>
    <w:rsid w:val="00230582"/>
    <w:rsid w:val="00231CEB"/>
    <w:rsid w:val="00231DAB"/>
    <w:rsid w:val="00233690"/>
    <w:rsid w:val="00234538"/>
    <w:rsid w:val="00235436"/>
    <w:rsid w:val="00235768"/>
    <w:rsid w:val="002360EC"/>
    <w:rsid w:val="002361CA"/>
    <w:rsid w:val="00241FF4"/>
    <w:rsid w:val="0024775B"/>
    <w:rsid w:val="002520F9"/>
    <w:rsid w:val="00252138"/>
    <w:rsid w:val="00252B83"/>
    <w:rsid w:val="00253532"/>
    <w:rsid w:val="002540D4"/>
    <w:rsid w:val="00256E2A"/>
    <w:rsid w:val="002612B7"/>
    <w:rsid w:val="0026160E"/>
    <w:rsid w:val="002624E4"/>
    <w:rsid w:val="00263940"/>
    <w:rsid w:val="002651A1"/>
    <w:rsid w:val="00270795"/>
    <w:rsid w:val="00270FA9"/>
    <w:rsid w:val="002747F0"/>
    <w:rsid w:val="00275163"/>
    <w:rsid w:val="00275224"/>
    <w:rsid w:val="00275CDD"/>
    <w:rsid w:val="00280B2C"/>
    <w:rsid w:val="00281E2A"/>
    <w:rsid w:val="00282229"/>
    <w:rsid w:val="00282E5E"/>
    <w:rsid w:val="00285B51"/>
    <w:rsid w:val="0028677E"/>
    <w:rsid w:val="00287C6E"/>
    <w:rsid w:val="0029073D"/>
    <w:rsid w:val="002910E3"/>
    <w:rsid w:val="00293E38"/>
    <w:rsid w:val="00293EB7"/>
    <w:rsid w:val="00294EB6"/>
    <w:rsid w:val="002A007B"/>
    <w:rsid w:val="002A383E"/>
    <w:rsid w:val="002A7C0E"/>
    <w:rsid w:val="002B00A4"/>
    <w:rsid w:val="002B069F"/>
    <w:rsid w:val="002B0740"/>
    <w:rsid w:val="002B08CD"/>
    <w:rsid w:val="002B11D3"/>
    <w:rsid w:val="002B179F"/>
    <w:rsid w:val="002B364C"/>
    <w:rsid w:val="002B5922"/>
    <w:rsid w:val="002B69B5"/>
    <w:rsid w:val="002B7C0A"/>
    <w:rsid w:val="002B7DED"/>
    <w:rsid w:val="002C0527"/>
    <w:rsid w:val="002C0603"/>
    <w:rsid w:val="002C0E11"/>
    <w:rsid w:val="002C193C"/>
    <w:rsid w:val="002C2E80"/>
    <w:rsid w:val="002C529A"/>
    <w:rsid w:val="002C5387"/>
    <w:rsid w:val="002C63AD"/>
    <w:rsid w:val="002C7081"/>
    <w:rsid w:val="002D0BF7"/>
    <w:rsid w:val="002D1782"/>
    <w:rsid w:val="002D3709"/>
    <w:rsid w:val="002D4FA9"/>
    <w:rsid w:val="002D54CE"/>
    <w:rsid w:val="002D5A95"/>
    <w:rsid w:val="002D64DF"/>
    <w:rsid w:val="002D78EA"/>
    <w:rsid w:val="002E041A"/>
    <w:rsid w:val="002E048A"/>
    <w:rsid w:val="002E18E9"/>
    <w:rsid w:val="002E1ABB"/>
    <w:rsid w:val="002E2352"/>
    <w:rsid w:val="002E29C4"/>
    <w:rsid w:val="002E45E8"/>
    <w:rsid w:val="002E492B"/>
    <w:rsid w:val="002E4F9E"/>
    <w:rsid w:val="002E5E31"/>
    <w:rsid w:val="002E7A0E"/>
    <w:rsid w:val="002F38CB"/>
    <w:rsid w:val="002F3B89"/>
    <w:rsid w:val="002F588C"/>
    <w:rsid w:val="002F5B00"/>
    <w:rsid w:val="002F6036"/>
    <w:rsid w:val="002F780B"/>
    <w:rsid w:val="002F7D2C"/>
    <w:rsid w:val="002F7F30"/>
    <w:rsid w:val="0030054E"/>
    <w:rsid w:val="00300D51"/>
    <w:rsid w:val="00302210"/>
    <w:rsid w:val="00302574"/>
    <w:rsid w:val="00305E1D"/>
    <w:rsid w:val="00310D4B"/>
    <w:rsid w:val="003124B8"/>
    <w:rsid w:val="003134B9"/>
    <w:rsid w:val="0031374C"/>
    <w:rsid w:val="00313DEC"/>
    <w:rsid w:val="003144D1"/>
    <w:rsid w:val="00316310"/>
    <w:rsid w:val="00317E4F"/>
    <w:rsid w:val="003204E0"/>
    <w:rsid w:val="003227D8"/>
    <w:rsid w:val="00322F2C"/>
    <w:rsid w:val="003309C8"/>
    <w:rsid w:val="00330F5F"/>
    <w:rsid w:val="003314C4"/>
    <w:rsid w:val="00331F4C"/>
    <w:rsid w:val="0033352A"/>
    <w:rsid w:val="003335C3"/>
    <w:rsid w:val="00334180"/>
    <w:rsid w:val="00334B6B"/>
    <w:rsid w:val="003352DA"/>
    <w:rsid w:val="00341809"/>
    <w:rsid w:val="003453F3"/>
    <w:rsid w:val="00345679"/>
    <w:rsid w:val="00345BDA"/>
    <w:rsid w:val="00345EC0"/>
    <w:rsid w:val="00351ED9"/>
    <w:rsid w:val="00352178"/>
    <w:rsid w:val="00352E9A"/>
    <w:rsid w:val="003560E1"/>
    <w:rsid w:val="0035720F"/>
    <w:rsid w:val="00357671"/>
    <w:rsid w:val="00364903"/>
    <w:rsid w:val="00371EE8"/>
    <w:rsid w:val="00372681"/>
    <w:rsid w:val="00372D91"/>
    <w:rsid w:val="0037378C"/>
    <w:rsid w:val="0037437B"/>
    <w:rsid w:val="003768C7"/>
    <w:rsid w:val="00380B2A"/>
    <w:rsid w:val="0038142E"/>
    <w:rsid w:val="003819E5"/>
    <w:rsid w:val="00390D08"/>
    <w:rsid w:val="00391C1D"/>
    <w:rsid w:val="00394297"/>
    <w:rsid w:val="003963A8"/>
    <w:rsid w:val="003A01D4"/>
    <w:rsid w:val="003A09CF"/>
    <w:rsid w:val="003A0D1C"/>
    <w:rsid w:val="003A0F35"/>
    <w:rsid w:val="003A1BB8"/>
    <w:rsid w:val="003A2C03"/>
    <w:rsid w:val="003A3012"/>
    <w:rsid w:val="003A35E3"/>
    <w:rsid w:val="003A3EC7"/>
    <w:rsid w:val="003A415E"/>
    <w:rsid w:val="003A464E"/>
    <w:rsid w:val="003A57C1"/>
    <w:rsid w:val="003A7FB2"/>
    <w:rsid w:val="003B02D1"/>
    <w:rsid w:val="003B1DBB"/>
    <w:rsid w:val="003B3BDA"/>
    <w:rsid w:val="003B6A69"/>
    <w:rsid w:val="003B7817"/>
    <w:rsid w:val="003C0E03"/>
    <w:rsid w:val="003C5033"/>
    <w:rsid w:val="003C65D0"/>
    <w:rsid w:val="003C7C8B"/>
    <w:rsid w:val="003C7FE2"/>
    <w:rsid w:val="003D2177"/>
    <w:rsid w:val="003D2483"/>
    <w:rsid w:val="003D405E"/>
    <w:rsid w:val="003D440A"/>
    <w:rsid w:val="003D5A04"/>
    <w:rsid w:val="003D60FA"/>
    <w:rsid w:val="003E117E"/>
    <w:rsid w:val="003E1B5F"/>
    <w:rsid w:val="003E5284"/>
    <w:rsid w:val="003E6335"/>
    <w:rsid w:val="003E70BB"/>
    <w:rsid w:val="003F2612"/>
    <w:rsid w:val="003F4833"/>
    <w:rsid w:val="003F5A51"/>
    <w:rsid w:val="003F7731"/>
    <w:rsid w:val="004005CA"/>
    <w:rsid w:val="00406EA1"/>
    <w:rsid w:val="0040703C"/>
    <w:rsid w:val="0040719F"/>
    <w:rsid w:val="0041079F"/>
    <w:rsid w:val="00412069"/>
    <w:rsid w:val="00412280"/>
    <w:rsid w:val="00413A52"/>
    <w:rsid w:val="00414E73"/>
    <w:rsid w:val="004151B0"/>
    <w:rsid w:val="0041674E"/>
    <w:rsid w:val="004177E0"/>
    <w:rsid w:val="00420AB4"/>
    <w:rsid w:val="00421053"/>
    <w:rsid w:val="004216ED"/>
    <w:rsid w:val="00421753"/>
    <w:rsid w:val="004231DA"/>
    <w:rsid w:val="004258C3"/>
    <w:rsid w:val="00431B09"/>
    <w:rsid w:val="00433136"/>
    <w:rsid w:val="004350A0"/>
    <w:rsid w:val="00435264"/>
    <w:rsid w:val="00435A6F"/>
    <w:rsid w:val="00437749"/>
    <w:rsid w:val="004431FD"/>
    <w:rsid w:val="004455B7"/>
    <w:rsid w:val="00445B92"/>
    <w:rsid w:val="004462FD"/>
    <w:rsid w:val="0044650C"/>
    <w:rsid w:val="00451078"/>
    <w:rsid w:val="00451123"/>
    <w:rsid w:val="00452DFA"/>
    <w:rsid w:val="00454620"/>
    <w:rsid w:val="00454BCE"/>
    <w:rsid w:val="00455048"/>
    <w:rsid w:val="00455647"/>
    <w:rsid w:val="004562EA"/>
    <w:rsid w:val="0045775B"/>
    <w:rsid w:val="004603BD"/>
    <w:rsid w:val="00463C1A"/>
    <w:rsid w:val="0046558E"/>
    <w:rsid w:val="00465C5D"/>
    <w:rsid w:val="00467AA4"/>
    <w:rsid w:val="00467AE1"/>
    <w:rsid w:val="00470592"/>
    <w:rsid w:val="00470644"/>
    <w:rsid w:val="00471627"/>
    <w:rsid w:val="00474404"/>
    <w:rsid w:val="004748BE"/>
    <w:rsid w:val="00474EEA"/>
    <w:rsid w:val="00476A80"/>
    <w:rsid w:val="004774FA"/>
    <w:rsid w:val="004802C0"/>
    <w:rsid w:val="0048045D"/>
    <w:rsid w:val="004832A1"/>
    <w:rsid w:val="00483C38"/>
    <w:rsid w:val="00483F1A"/>
    <w:rsid w:val="00485367"/>
    <w:rsid w:val="004876CD"/>
    <w:rsid w:val="00492D27"/>
    <w:rsid w:val="00493096"/>
    <w:rsid w:val="00494735"/>
    <w:rsid w:val="00495EEB"/>
    <w:rsid w:val="00497A60"/>
    <w:rsid w:val="004A10E1"/>
    <w:rsid w:val="004A2929"/>
    <w:rsid w:val="004A309B"/>
    <w:rsid w:val="004A7F33"/>
    <w:rsid w:val="004B0AAE"/>
    <w:rsid w:val="004B285E"/>
    <w:rsid w:val="004B5EDD"/>
    <w:rsid w:val="004B6DF5"/>
    <w:rsid w:val="004C14D9"/>
    <w:rsid w:val="004C1EEC"/>
    <w:rsid w:val="004C41EB"/>
    <w:rsid w:val="004C4214"/>
    <w:rsid w:val="004C4A77"/>
    <w:rsid w:val="004C6AE2"/>
    <w:rsid w:val="004C6D68"/>
    <w:rsid w:val="004D11C6"/>
    <w:rsid w:val="004D1B9B"/>
    <w:rsid w:val="004D1CD1"/>
    <w:rsid w:val="004D2B53"/>
    <w:rsid w:val="004D301A"/>
    <w:rsid w:val="004D4CFC"/>
    <w:rsid w:val="004D65F4"/>
    <w:rsid w:val="004D6B22"/>
    <w:rsid w:val="004D6B62"/>
    <w:rsid w:val="004D7B33"/>
    <w:rsid w:val="004E12D1"/>
    <w:rsid w:val="004E2AA0"/>
    <w:rsid w:val="004E35F0"/>
    <w:rsid w:val="004E3949"/>
    <w:rsid w:val="004E6FC2"/>
    <w:rsid w:val="004E7F60"/>
    <w:rsid w:val="004F44FA"/>
    <w:rsid w:val="004F62D5"/>
    <w:rsid w:val="004F7D3A"/>
    <w:rsid w:val="004F7E9C"/>
    <w:rsid w:val="005006D7"/>
    <w:rsid w:val="00501A04"/>
    <w:rsid w:val="0050292F"/>
    <w:rsid w:val="005030B5"/>
    <w:rsid w:val="0051115E"/>
    <w:rsid w:val="0051251C"/>
    <w:rsid w:val="00512750"/>
    <w:rsid w:val="005172D2"/>
    <w:rsid w:val="00517660"/>
    <w:rsid w:val="00520445"/>
    <w:rsid w:val="00521731"/>
    <w:rsid w:val="00525E06"/>
    <w:rsid w:val="00526283"/>
    <w:rsid w:val="0053187D"/>
    <w:rsid w:val="00533423"/>
    <w:rsid w:val="00534DAF"/>
    <w:rsid w:val="005350E7"/>
    <w:rsid w:val="0053549C"/>
    <w:rsid w:val="00541574"/>
    <w:rsid w:val="00542428"/>
    <w:rsid w:val="00542727"/>
    <w:rsid w:val="00544B51"/>
    <w:rsid w:val="00545DEA"/>
    <w:rsid w:val="00552807"/>
    <w:rsid w:val="005540D3"/>
    <w:rsid w:val="005562FD"/>
    <w:rsid w:val="00556899"/>
    <w:rsid w:val="00556F95"/>
    <w:rsid w:val="00561C3A"/>
    <w:rsid w:val="0056283B"/>
    <w:rsid w:val="00562966"/>
    <w:rsid w:val="00562F5D"/>
    <w:rsid w:val="0056320B"/>
    <w:rsid w:val="00563253"/>
    <w:rsid w:val="00564678"/>
    <w:rsid w:val="00566C44"/>
    <w:rsid w:val="00566C59"/>
    <w:rsid w:val="00571CFF"/>
    <w:rsid w:val="00572661"/>
    <w:rsid w:val="005743AC"/>
    <w:rsid w:val="00574C8A"/>
    <w:rsid w:val="005752AA"/>
    <w:rsid w:val="00576DA9"/>
    <w:rsid w:val="00577161"/>
    <w:rsid w:val="00577372"/>
    <w:rsid w:val="005776AF"/>
    <w:rsid w:val="005779AE"/>
    <w:rsid w:val="005800A2"/>
    <w:rsid w:val="0058110E"/>
    <w:rsid w:val="00581329"/>
    <w:rsid w:val="0058526E"/>
    <w:rsid w:val="0059098D"/>
    <w:rsid w:val="00592928"/>
    <w:rsid w:val="0059313C"/>
    <w:rsid w:val="005A015B"/>
    <w:rsid w:val="005A0E21"/>
    <w:rsid w:val="005A1139"/>
    <w:rsid w:val="005A2395"/>
    <w:rsid w:val="005A3F5B"/>
    <w:rsid w:val="005A3FDF"/>
    <w:rsid w:val="005A44C6"/>
    <w:rsid w:val="005A5195"/>
    <w:rsid w:val="005A5BC9"/>
    <w:rsid w:val="005A7847"/>
    <w:rsid w:val="005A7AEA"/>
    <w:rsid w:val="005B19B1"/>
    <w:rsid w:val="005B4276"/>
    <w:rsid w:val="005B4BA7"/>
    <w:rsid w:val="005B5014"/>
    <w:rsid w:val="005B5FA0"/>
    <w:rsid w:val="005B6322"/>
    <w:rsid w:val="005B76AB"/>
    <w:rsid w:val="005B7AFF"/>
    <w:rsid w:val="005C5BB2"/>
    <w:rsid w:val="005C5C00"/>
    <w:rsid w:val="005C5EFB"/>
    <w:rsid w:val="005C6820"/>
    <w:rsid w:val="005D2942"/>
    <w:rsid w:val="005D39DC"/>
    <w:rsid w:val="005D3B61"/>
    <w:rsid w:val="005D7B74"/>
    <w:rsid w:val="005D7C6E"/>
    <w:rsid w:val="005E1371"/>
    <w:rsid w:val="005E217F"/>
    <w:rsid w:val="005E2A1C"/>
    <w:rsid w:val="005E76F9"/>
    <w:rsid w:val="005F02BB"/>
    <w:rsid w:val="005F0E21"/>
    <w:rsid w:val="005F194E"/>
    <w:rsid w:val="005F5433"/>
    <w:rsid w:val="005F5E2A"/>
    <w:rsid w:val="005F70A5"/>
    <w:rsid w:val="005F73B3"/>
    <w:rsid w:val="00600103"/>
    <w:rsid w:val="006012A5"/>
    <w:rsid w:val="006023E8"/>
    <w:rsid w:val="00602BAD"/>
    <w:rsid w:val="0060552C"/>
    <w:rsid w:val="006066D9"/>
    <w:rsid w:val="00607647"/>
    <w:rsid w:val="00611A15"/>
    <w:rsid w:val="00613AA1"/>
    <w:rsid w:val="00613F61"/>
    <w:rsid w:val="0061422A"/>
    <w:rsid w:val="00614C63"/>
    <w:rsid w:val="00615A16"/>
    <w:rsid w:val="006173BB"/>
    <w:rsid w:val="006222E4"/>
    <w:rsid w:val="0062631C"/>
    <w:rsid w:val="00626926"/>
    <w:rsid w:val="006322A6"/>
    <w:rsid w:val="0063312E"/>
    <w:rsid w:val="00637075"/>
    <w:rsid w:val="0063752F"/>
    <w:rsid w:val="00637FEE"/>
    <w:rsid w:val="0064109F"/>
    <w:rsid w:val="006412E3"/>
    <w:rsid w:val="006423DB"/>
    <w:rsid w:val="00642B68"/>
    <w:rsid w:val="0064308E"/>
    <w:rsid w:val="006436E8"/>
    <w:rsid w:val="00644211"/>
    <w:rsid w:val="00644837"/>
    <w:rsid w:val="006463A1"/>
    <w:rsid w:val="00647E6C"/>
    <w:rsid w:val="00647F84"/>
    <w:rsid w:val="0065094F"/>
    <w:rsid w:val="00651037"/>
    <w:rsid w:val="00653BC6"/>
    <w:rsid w:val="006565F2"/>
    <w:rsid w:val="006604F7"/>
    <w:rsid w:val="006605D9"/>
    <w:rsid w:val="006609BD"/>
    <w:rsid w:val="00660D92"/>
    <w:rsid w:val="00661537"/>
    <w:rsid w:val="00663469"/>
    <w:rsid w:val="00663802"/>
    <w:rsid w:val="006659DF"/>
    <w:rsid w:val="00665C39"/>
    <w:rsid w:val="00666E15"/>
    <w:rsid w:val="00667438"/>
    <w:rsid w:val="00667487"/>
    <w:rsid w:val="00667767"/>
    <w:rsid w:val="00670E00"/>
    <w:rsid w:val="00671D2F"/>
    <w:rsid w:val="0067627C"/>
    <w:rsid w:val="0068030F"/>
    <w:rsid w:val="00683195"/>
    <w:rsid w:val="00684744"/>
    <w:rsid w:val="006873DC"/>
    <w:rsid w:val="00690750"/>
    <w:rsid w:val="00691D25"/>
    <w:rsid w:val="00693094"/>
    <w:rsid w:val="00693DFC"/>
    <w:rsid w:val="00694FE3"/>
    <w:rsid w:val="0069599F"/>
    <w:rsid w:val="00696088"/>
    <w:rsid w:val="00696AB0"/>
    <w:rsid w:val="00696FE0"/>
    <w:rsid w:val="00697249"/>
    <w:rsid w:val="00697308"/>
    <w:rsid w:val="00697CBE"/>
    <w:rsid w:val="006A0072"/>
    <w:rsid w:val="006A02C2"/>
    <w:rsid w:val="006A2E5E"/>
    <w:rsid w:val="006A3453"/>
    <w:rsid w:val="006A3B40"/>
    <w:rsid w:val="006A4FC1"/>
    <w:rsid w:val="006B0060"/>
    <w:rsid w:val="006B10B6"/>
    <w:rsid w:val="006B3416"/>
    <w:rsid w:val="006B4496"/>
    <w:rsid w:val="006B595C"/>
    <w:rsid w:val="006B67EC"/>
    <w:rsid w:val="006C130D"/>
    <w:rsid w:val="006C1C5D"/>
    <w:rsid w:val="006C292D"/>
    <w:rsid w:val="006C2E18"/>
    <w:rsid w:val="006C301C"/>
    <w:rsid w:val="006C43D9"/>
    <w:rsid w:val="006C54B2"/>
    <w:rsid w:val="006C6441"/>
    <w:rsid w:val="006C6FC0"/>
    <w:rsid w:val="006D1CA6"/>
    <w:rsid w:val="006D2C1F"/>
    <w:rsid w:val="006D370F"/>
    <w:rsid w:val="006D3913"/>
    <w:rsid w:val="006D39F0"/>
    <w:rsid w:val="006D4A67"/>
    <w:rsid w:val="006D4C8A"/>
    <w:rsid w:val="006D6338"/>
    <w:rsid w:val="006E0884"/>
    <w:rsid w:val="006E1C9C"/>
    <w:rsid w:val="006E5385"/>
    <w:rsid w:val="006E54A5"/>
    <w:rsid w:val="006E5AB2"/>
    <w:rsid w:val="006E6C00"/>
    <w:rsid w:val="006F17B0"/>
    <w:rsid w:val="006F1F22"/>
    <w:rsid w:val="006F24AA"/>
    <w:rsid w:val="006F25DA"/>
    <w:rsid w:val="006F40B2"/>
    <w:rsid w:val="006F4808"/>
    <w:rsid w:val="006F5AA3"/>
    <w:rsid w:val="00701947"/>
    <w:rsid w:val="00705D53"/>
    <w:rsid w:val="007106DF"/>
    <w:rsid w:val="007132A7"/>
    <w:rsid w:val="007133F9"/>
    <w:rsid w:val="0071380A"/>
    <w:rsid w:val="00715BBA"/>
    <w:rsid w:val="00716D13"/>
    <w:rsid w:val="007211F6"/>
    <w:rsid w:val="007217A0"/>
    <w:rsid w:val="00721876"/>
    <w:rsid w:val="00725D3E"/>
    <w:rsid w:val="0072617A"/>
    <w:rsid w:val="00726483"/>
    <w:rsid w:val="0072702D"/>
    <w:rsid w:val="00730A2E"/>
    <w:rsid w:val="00730E22"/>
    <w:rsid w:val="007330B7"/>
    <w:rsid w:val="0073352C"/>
    <w:rsid w:val="0073368F"/>
    <w:rsid w:val="00733A5F"/>
    <w:rsid w:val="0073729A"/>
    <w:rsid w:val="00741511"/>
    <w:rsid w:val="007431C6"/>
    <w:rsid w:val="00745191"/>
    <w:rsid w:val="007458DB"/>
    <w:rsid w:val="00745B63"/>
    <w:rsid w:val="00747A05"/>
    <w:rsid w:val="00750921"/>
    <w:rsid w:val="007542A2"/>
    <w:rsid w:val="00756BC3"/>
    <w:rsid w:val="00757BCF"/>
    <w:rsid w:val="00764F6D"/>
    <w:rsid w:val="007661A0"/>
    <w:rsid w:val="0077035D"/>
    <w:rsid w:val="00773199"/>
    <w:rsid w:val="00773449"/>
    <w:rsid w:val="00773C03"/>
    <w:rsid w:val="00775EB5"/>
    <w:rsid w:val="0077622C"/>
    <w:rsid w:val="007762B4"/>
    <w:rsid w:val="0077678D"/>
    <w:rsid w:val="00777E9D"/>
    <w:rsid w:val="007802BE"/>
    <w:rsid w:val="0078136C"/>
    <w:rsid w:val="0078389C"/>
    <w:rsid w:val="00785931"/>
    <w:rsid w:val="00785D9F"/>
    <w:rsid w:val="00790AE6"/>
    <w:rsid w:val="00791AD8"/>
    <w:rsid w:val="00792C39"/>
    <w:rsid w:val="007954E2"/>
    <w:rsid w:val="00795F56"/>
    <w:rsid w:val="00796A09"/>
    <w:rsid w:val="00796FB4"/>
    <w:rsid w:val="007A0637"/>
    <w:rsid w:val="007A07BB"/>
    <w:rsid w:val="007A515A"/>
    <w:rsid w:val="007B1B04"/>
    <w:rsid w:val="007B2090"/>
    <w:rsid w:val="007B50A8"/>
    <w:rsid w:val="007B6F94"/>
    <w:rsid w:val="007B790C"/>
    <w:rsid w:val="007C150A"/>
    <w:rsid w:val="007C1B49"/>
    <w:rsid w:val="007C4FC4"/>
    <w:rsid w:val="007C560A"/>
    <w:rsid w:val="007C5E34"/>
    <w:rsid w:val="007C6782"/>
    <w:rsid w:val="007D41E3"/>
    <w:rsid w:val="007D582B"/>
    <w:rsid w:val="007E0862"/>
    <w:rsid w:val="007F1030"/>
    <w:rsid w:val="007F2C66"/>
    <w:rsid w:val="007F51F5"/>
    <w:rsid w:val="007F60F5"/>
    <w:rsid w:val="00800B31"/>
    <w:rsid w:val="00800FF1"/>
    <w:rsid w:val="00801495"/>
    <w:rsid w:val="00802B10"/>
    <w:rsid w:val="00803E38"/>
    <w:rsid w:val="00805496"/>
    <w:rsid w:val="00806A69"/>
    <w:rsid w:val="008071C0"/>
    <w:rsid w:val="00807FBE"/>
    <w:rsid w:val="00810457"/>
    <w:rsid w:val="00811641"/>
    <w:rsid w:val="008173EF"/>
    <w:rsid w:val="0081791F"/>
    <w:rsid w:val="0082070F"/>
    <w:rsid w:val="008222D8"/>
    <w:rsid w:val="00823431"/>
    <w:rsid w:val="00825350"/>
    <w:rsid w:val="00833561"/>
    <w:rsid w:val="008338B3"/>
    <w:rsid w:val="00833E07"/>
    <w:rsid w:val="00834DBA"/>
    <w:rsid w:val="00835277"/>
    <w:rsid w:val="00835F17"/>
    <w:rsid w:val="0084161E"/>
    <w:rsid w:val="00841A42"/>
    <w:rsid w:val="00842247"/>
    <w:rsid w:val="00842EAB"/>
    <w:rsid w:val="00843009"/>
    <w:rsid w:val="00843585"/>
    <w:rsid w:val="00843943"/>
    <w:rsid w:val="0084407D"/>
    <w:rsid w:val="00845C4A"/>
    <w:rsid w:val="00845DD0"/>
    <w:rsid w:val="00846E3F"/>
    <w:rsid w:val="0085057B"/>
    <w:rsid w:val="00851C8D"/>
    <w:rsid w:val="00852772"/>
    <w:rsid w:val="00853077"/>
    <w:rsid w:val="00855586"/>
    <w:rsid w:val="00857012"/>
    <w:rsid w:val="00857224"/>
    <w:rsid w:val="0085723E"/>
    <w:rsid w:val="008612C5"/>
    <w:rsid w:val="00863003"/>
    <w:rsid w:val="00863022"/>
    <w:rsid w:val="00865E72"/>
    <w:rsid w:val="00866880"/>
    <w:rsid w:val="00866FAF"/>
    <w:rsid w:val="00870813"/>
    <w:rsid w:val="0087498C"/>
    <w:rsid w:val="008751F0"/>
    <w:rsid w:val="0087770D"/>
    <w:rsid w:val="00881032"/>
    <w:rsid w:val="0088381B"/>
    <w:rsid w:val="008867C3"/>
    <w:rsid w:val="00890574"/>
    <w:rsid w:val="00890FE6"/>
    <w:rsid w:val="008947CD"/>
    <w:rsid w:val="00894803"/>
    <w:rsid w:val="008957A8"/>
    <w:rsid w:val="00896002"/>
    <w:rsid w:val="00897B48"/>
    <w:rsid w:val="008A0CDD"/>
    <w:rsid w:val="008A241B"/>
    <w:rsid w:val="008A2E36"/>
    <w:rsid w:val="008A46CB"/>
    <w:rsid w:val="008A7C4C"/>
    <w:rsid w:val="008B0A3C"/>
    <w:rsid w:val="008B1E69"/>
    <w:rsid w:val="008B657C"/>
    <w:rsid w:val="008B71DD"/>
    <w:rsid w:val="008B7682"/>
    <w:rsid w:val="008C01B0"/>
    <w:rsid w:val="008C4C98"/>
    <w:rsid w:val="008C7892"/>
    <w:rsid w:val="008D0BD1"/>
    <w:rsid w:val="008D1ADC"/>
    <w:rsid w:val="008D39C7"/>
    <w:rsid w:val="008D5ED5"/>
    <w:rsid w:val="008D62B0"/>
    <w:rsid w:val="008D6AA5"/>
    <w:rsid w:val="008D7A83"/>
    <w:rsid w:val="008E01B9"/>
    <w:rsid w:val="008E0F4D"/>
    <w:rsid w:val="008E1FAA"/>
    <w:rsid w:val="008E2E84"/>
    <w:rsid w:val="008E3449"/>
    <w:rsid w:val="008E3540"/>
    <w:rsid w:val="008E3B8C"/>
    <w:rsid w:val="008E3C09"/>
    <w:rsid w:val="008E5808"/>
    <w:rsid w:val="008E5B51"/>
    <w:rsid w:val="008E6D6F"/>
    <w:rsid w:val="008F38A0"/>
    <w:rsid w:val="008F3A65"/>
    <w:rsid w:val="008F575D"/>
    <w:rsid w:val="008F5A9E"/>
    <w:rsid w:val="008F6AE2"/>
    <w:rsid w:val="008F7854"/>
    <w:rsid w:val="008F7D16"/>
    <w:rsid w:val="00900540"/>
    <w:rsid w:val="00901390"/>
    <w:rsid w:val="0090173A"/>
    <w:rsid w:val="0090233A"/>
    <w:rsid w:val="009035CA"/>
    <w:rsid w:val="00905D77"/>
    <w:rsid w:val="009067B9"/>
    <w:rsid w:val="00906849"/>
    <w:rsid w:val="00911BF2"/>
    <w:rsid w:val="00911F76"/>
    <w:rsid w:val="00912C22"/>
    <w:rsid w:val="00912E89"/>
    <w:rsid w:val="00913726"/>
    <w:rsid w:val="009137F5"/>
    <w:rsid w:val="00914C9D"/>
    <w:rsid w:val="00914D7C"/>
    <w:rsid w:val="00915CAB"/>
    <w:rsid w:val="009160D0"/>
    <w:rsid w:val="009171FB"/>
    <w:rsid w:val="00917258"/>
    <w:rsid w:val="009174EC"/>
    <w:rsid w:val="009177DD"/>
    <w:rsid w:val="00921A34"/>
    <w:rsid w:val="00923162"/>
    <w:rsid w:val="00923306"/>
    <w:rsid w:val="009248C4"/>
    <w:rsid w:val="00927DA3"/>
    <w:rsid w:val="009326A3"/>
    <w:rsid w:val="00936ED5"/>
    <w:rsid w:val="009376A2"/>
    <w:rsid w:val="0094024E"/>
    <w:rsid w:val="00940475"/>
    <w:rsid w:val="00941A04"/>
    <w:rsid w:val="009430D6"/>
    <w:rsid w:val="00944947"/>
    <w:rsid w:val="00946185"/>
    <w:rsid w:val="00946377"/>
    <w:rsid w:val="00947F7A"/>
    <w:rsid w:val="00950496"/>
    <w:rsid w:val="00950D9C"/>
    <w:rsid w:val="00955D6C"/>
    <w:rsid w:val="00956EDA"/>
    <w:rsid w:val="00961303"/>
    <w:rsid w:val="00961DE6"/>
    <w:rsid w:val="009621B8"/>
    <w:rsid w:val="00962287"/>
    <w:rsid w:val="009624FD"/>
    <w:rsid w:val="00963241"/>
    <w:rsid w:val="00963E81"/>
    <w:rsid w:val="00965DE1"/>
    <w:rsid w:val="009660AA"/>
    <w:rsid w:val="00967C2E"/>
    <w:rsid w:val="00971812"/>
    <w:rsid w:val="00972CC9"/>
    <w:rsid w:val="00973CCE"/>
    <w:rsid w:val="0098074A"/>
    <w:rsid w:val="00980D08"/>
    <w:rsid w:val="009819D7"/>
    <w:rsid w:val="00982398"/>
    <w:rsid w:val="0098272E"/>
    <w:rsid w:val="00986336"/>
    <w:rsid w:val="009901A0"/>
    <w:rsid w:val="00991BAC"/>
    <w:rsid w:val="0099238D"/>
    <w:rsid w:val="00993F4F"/>
    <w:rsid w:val="00995CF5"/>
    <w:rsid w:val="009966B7"/>
    <w:rsid w:val="009969D0"/>
    <w:rsid w:val="00996ACE"/>
    <w:rsid w:val="00997240"/>
    <w:rsid w:val="009976EE"/>
    <w:rsid w:val="009A0AC4"/>
    <w:rsid w:val="009A2F1D"/>
    <w:rsid w:val="009A39E5"/>
    <w:rsid w:val="009A4A82"/>
    <w:rsid w:val="009A6E51"/>
    <w:rsid w:val="009B0CEB"/>
    <w:rsid w:val="009B4C3C"/>
    <w:rsid w:val="009B6BBD"/>
    <w:rsid w:val="009B710F"/>
    <w:rsid w:val="009C01F0"/>
    <w:rsid w:val="009C0D95"/>
    <w:rsid w:val="009C71E8"/>
    <w:rsid w:val="009C75DE"/>
    <w:rsid w:val="009D28F6"/>
    <w:rsid w:val="009D4186"/>
    <w:rsid w:val="009D4F24"/>
    <w:rsid w:val="009D538B"/>
    <w:rsid w:val="009D747E"/>
    <w:rsid w:val="009E03B0"/>
    <w:rsid w:val="009E109C"/>
    <w:rsid w:val="009E2055"/>
    <w:rsid w:val="009E21EA"/>
    <w:rsid w:val="009E34E5"/>
    <w:rsid w:val="009E3746"/>
    <w:rsid w:val="009E3C9D"/>
    <w:rsid w:val="009E5005"/>
    <w:rsid w:val="009E5BFF"/>
    <w:rsid w:val="009E6CDA"/>
    <w:rsid w:val="009F0C59"/>
    <w:rsid w:val="009F0E56"/>
    <w:rsid w:val="009F3FE3"/>
    <w:rsid w:val="009F47B7"/>
    <w:rsid w:val="009F498B"/>
    <w:rsid w:val="009F5331"/>
    <w:rsid w:val="009F57D7"/>
    <w:rsid w:val="00A005D8"/>
    <w:rsid w:val="00A01C8F"/>
    <w:rsid w:val="00A04A5E"/>
    <w:rsid w:val="00A04DF5"/>
    <w:rsid w:val="00A064DB"/>
    <w:rsid w:val="00A10922"/>
    <w:rsid w:val="00A15EC9"/>
    <w:rsid w:val="00A160C9"/>
    <w:rsid w:val="00A16983"/>
    <w:rsid w:val="00A2038D"/>
    <w:rsid w:val="00A20748"/>
    <w:rsid w:val="00A2079B"/>
    <w:rsid w:val="00A2126E"/>
    <w:rsid w:val="00A221D1"/>
    <w:rsid w:val="00A23798"/>
    <w:rsid w:val="00A2506E"/>
    <w:rsid w:val="00A2749E"/>
    <w:rsid w:val="00A27B19"/>
    <w:rsid w:val="00A27D6C"/>
    <w:rsid w:val="00A3156C"/>
    <w:rsid w:val="00A316BA"/>
    <w:rsid w:val="00A31EC3"/>
    <w:rsid w:val="00A32018"/>
    <w:rsid w:val="00A33FFB"/>
    <w:rsid w:val="00A34DDB"/>
    <w:rsid w:val="00A36E23"/>
    <w:rsid w:val="00A430DE"/>
    <w:rsid w:val="00A44410"/>
    <w:rsid w:val="00A45997"/>
    <w:rsid w:val="00A46329"/>
    <w:rsid w:val="00A46D72"/>
    <w:rsid w:val="00A51FC3"/>
    <w:rsid w:val="00A52D9F"/>
    <w:rsid w:val="00A56FD4"/>
    <w:rsid w:val="00A60230"/>
    <w:rsid w:val="00A60DE9"/>
    <w:rsid w:val="00A63261"/>
    <w:rsid w:val="00A63477"/>
    <w:rsid w:val="00A642E3"/>
    <w:rsid w:val="00A64FF0"/>
    <w:rsid w:val="00A65EF6"/>
    <w:rsid w:val="00A70A13"/>
    <w:rsid w:val="00A72551"/>
    <w:rsid w:val="00A73D6B"/>
    <w:rsid w:val="00A75135"/>
    <w:rsid w:val="00A75A44"/>
    <w:rsid w:val="00A763F9"/>
    <w:rsid w:val="00A77687"/>
    <w:rsid w:val="00A802EF"/>
    <w:rsid w:val="00A832A8"/>
    <w:rsid w:val="00A83F0E"/>
    <w:rsid w:val="00A85174"/>
    <w:rsid w:val="00A86737"/>
    <w:rsid w:val="00A86E6A"/>
    <w:rsid w:val="00A9170E"/>
    <w:rsid w:val="00A92AAF"/>
    <w:rsid w:val="00A9317D"/>
    <w:rsid w:val="00A93C26"/>
    <w:rsid w:val="00A95954"/>
    <w:rsid w:val="00AA2B3A"/>
    <w:rsid w:val="00AA2F92"/>
    <w:rsid w:val="00AA5D07"/>
    <w:rsid w:val="00AA64AE"/>
    <w:rsid w:val="00AA6AEC"/>
    <w:rsid w:val="00AA6E24"/>
    <w:rsid w:val="00AA6E9C"/>
    <w:rsid w:val="00AB0343"/>
    <w:rsid w:val="00AB4B0F"/>
    <w:rsid w:val="00AB5096"/>
    <w:rsid w:val="00AB66C0"/>
    <w:rsid w:val="00AB6B2D"/>
    <w:rsid w:val="00AB6DCC"/>
    <w:rsid w:val="00AB73D9"/>
    <w:rsid w:val="00AB76ED"/>
    <w:rsid w:val="00AB7B27"/>
    <w:rsid w:val="00AC02FA"/>
    <w:rsid w:val="00AC053B"/>
    <w:rsid w:val="00AC1517"/>
    <w:rsid w:val="00AC542F"/>
    <w:rsid w:val="00AC6CC1"/>
    <w:rsid w:val="00AC7B1E"/>
    <w:rsid w:val="00AC7D25"/>
    <w:rsid w:val="00AC7ECA"/>
    <w:rsid w:val="00AD09C0"/>
    <w:rsid w:val="00AD276D"/>
    <w:rsid w:val="00AD51D6"/>
    <w:rsid w:val="00AD5490"/>
    <w:rsid w:val="00AD5B3D"/>
    <w:rsid w:val="00AD6A41"/>
    <w:rsid w:val="00AD782E"/>
    <w:rsid w:val="00AE03F0"/>
    <w:rsid w:val="00AF0560"/>
    <w:rsid w:val="00AF0B9A"/>
    <w:rsid w:val="00AF2759"/>
    <w:rsid w:val="00AF301D"/>
    <w:rsid w:val="00AF39FD"/>
    <w:rsid w:val="00AF464C"/>
    <w:rsid w:val="00AF6104"/>
    <w:rsid w:val="00AF7C62"/>
    <w:rsid w:val="00B01600"/>
    <w:rsid w:val="00B02247"/>
    <w:rsid w:val="00B02300"/>
    <w:rsid w:val="00B02DC7"/>
    <w:rsid w:val="00B03DE5"/>
    <w:rsid w:val="00B04841"/>
    <w:rsid w:val="00B058AE"/>
    <w:rsid w:val="00B06B3A"/>
    <w:rsid w:val="00B06D99"/>
    <w:rsid w:val="00B07F45"/>
    <w:rsid w:val="00B10C42"/>
    <w:rsid w:val="00B10F41"/>
    <w:rsid w:val="00B11352"/>
    <w:rsid w:val="00B12072"/>
    <w:rsid w:val="00B131DF"/>
    <w:rsid w:val="00B13A93"/>
    <w:rsid w:val="00B15155"/>
    <w:rsid w:val="00B15563"/>
    <w:rsid w:val="00B22B21"/>
    <w:rsid w:val="00B23F06"/>
    <w:rsid w:val="00B25AB6"/>
    <w:rsid w:val="00B26DCF"/>
    <w:rsid w:val="00B310B8"/>
    <w:rsid w:val="00B330E3"/>
    <w:rsid w:val="00B3369D"/>
    <w:rsid w:val="00B339DF"/>
    <w:rsid w:val="00B34B81"/>
    <w:rsid w:val="00B3503F"/>
    <w:rsid w:val="00B354E5"/>
    <w:rsid w:val="00B35BF4"/>
    <w:rsid w:val="00B401E1"/>
    <w:rsid w:val="00B40D2E"/>
    <w:rsid w:val="00B42C91"/>
    <w:rsid w:val="00B43C77"/>
    <w:rsid w:val="00B44C5E"/>
    <w:rsid w:val="00B4646A"/>
    <w:rsid w:val="00B46E49"/>
    <w:rsid w:val="00B4758F"/>
    <w:rsid w:val="00B520B7"/>
    <w:rsid w:val="00B5360F"/>
    <w:rsid w:val="00B556BE"/>
    <w:rsid w:val="00B562C2"/>
    <w:rsid w:val="00B56915"/>
    <w:rsid w:val="00B614A2"/>
    <w:rsid w:val="00B616FF"/>
    <w:rsid w:val="00B617A7"/>
    <w:rsid w:val="00B61E1B"/>
    <w:rsid w:val="00B65724"/>
    <w:rsid w:val="00B66030"/>
    <w:rsid w:val="00B66425"/>
    <w:rsid w:val="00B6665E"/>
    <w:rsid w:val="00B66D10"/>
    <w:rsid w:val="00B70594"/>
    <w:rsid w:val="00B71112"/>
    <w:rsid w:val="00B750EF"/>
    <w:rsid w:val="00B76DA9"/>
    <w:rsid w:val="00B81EA3"/>
    <w:rsid w:val="00B82C8D"/>
    <w:rsid w:val="00B86253"/>
    <w:rsid w:val="00B86A5B"/>
    <w:rsid w:val="00B86DD8"/>
    <w:rsid w:val="00B87848"/>
    <w:rsid w:val="00B92B42"/>
    <w:rsid w:val="00B92DC4"/>
    <w:rsid w:val="00B931D8"/>
    <w:rsid w:val="00B9348D"/>
    <w:rsid w:val="00B93C90"/>
    <w:rsid w:val="00B94195"/>
    <w:rsid w:val="00B94CD7"/>
    <w:rsid w:val="00B94FB8"/>
    <w:rsid w:val="00B951A6"/>
    <w:rsid w:val="00B95CFD"/>
    <w:rsid w:val="00BA1E14"/>
    <w:rsid w:val="00BA2DAF"/>
    <w:rsid w:val="00BA52E5"/>
    <w:rsid w:val="00BA5E66"/>
    <w:rsid w:val="00BA65E3"/>
    <w:rsid w:val="00BA705C"/>
    <w:rsid w:val="00BB17DF"/>
    <w:rsid w:val="00BB2802"/>
    <w:rsid w:val="00BB332F"/>
    <w:rsid w:val="00BB3C67"/>
    <w:rsid w:val="00BB469B"/>
    <w:rsid w:val="00BB73D4"/>
    <w:rsid w:val="00BC0DFD"/>
    <w:rsid w:val="00BC2D18"/>
    <w:rsid w:val="00BC3212"/>
    <w:rsid w:val="00BC3583"/>
    <w:rsid w:val="00BC3F72"/>
    <w:rsid w:val="00BC5B28"/>
    <w:rsid w:val="00BC6E62"/>
    <w:rsid w:val="00BC73B9"/>
    <w:rsid w:val="00BD206B"/>
    <w:rsid w:val="00BD37E1"/>
    <w:rsid w:val="00BD37FD"/>
    <w:rsid w:val="00BD55BF"/>
    <w:rsid w:val="00BD593D"/>
    <w:rsid w:val="00BE4857"/>
    <w:rsid w:val="00BE67DF"/>
    <w:rsid w:val="00BF1336"/>
    <w:rsid w:val="00BF1E58"/>
    <w:rsid w:val="00BF475A"/>
    <w:rsid w:val="00BF492C"/>
    <w:rsid w:val="00BF6F06"/>
    <w:rsid w:val="00BF7D92"/>
    <w:rsid w:val="00C03BAE"/>
    <w:rsid w:val="00C076EC"/>
    <w:rsid w:val="00C07DD3"/>
    <w:rsid w:val="00C139D7"/>
    <w:rsid w:val="00C1412B"/>
    <w:rsid w:val="00C14DA1"/>
    <w:rsid w:val="00C160E3"/>
    <w:rsid w:val="00C165A1"/>
    <w:rsid w:val="00C16F1C"/>
    <w:rsid w:val="00C22078"/>
    <w:rsid w:val="00C24D6E"/>
    <w:rsid w:val="00C24E6B"/>
    <w:rsid w:val="00C26D1E"/>
    <w:rsid w:val="00C27F35"/>
    <w:rsid w:val="00C31C01"/>
    <w:rsid w:val="00C34244"/>
    <w:rsid w:val="00C34799"/>
    <w:rsid w:val="00C35733"/>
    <w:rsid w:val="00C35E98"/>
    <w:rsid w:val="00C3668A"/>
    <w:rsid w:val="00C37FD6"/>
    <w:rsid w:val="00C40AC7"/>
    <w:rsid w:val="00C421B3"/>
    <w:rsid w:val="00C4249F"/>
    <w:rsid w:val="00C43FF9"/>
    <w:rsid w:val="00C465C4"/>
    <w:rsid w:val="00C47325"/>
    <w:rsid w:val="00C479C3"/>
    <w:rsid w:val="00C503B1"/>
    <w:rsid w:val="00C513BD"/>
    <w:rsid w:val="00C522D1"/>
    <w:rsid w:val="00C54B4E"/>
    <w:rsid w:val="00C559CF"/>
    <w:rsid w:val="00C56D8C"/>
    <w:rsid w:val="00C62359"/>
    <w:rsid w:val="00C62611"/>
    <w:rsid w:val="00C62A84"/>
    <w:rsid w:val="00C65A86"/>
    <w:rsid w:val="00C65DBF"/>
    <w:rsid w:val="00C67A5C"/>
    <w:rsid w:val="00C727D7"/>
    <w:rsid w:val="00C7361C"/>
    <w:rsid w:val="00C73A6C"/>
    <w:rsid w:val="00C73A7A"/>
    <w:rsid w:val="00C77661"/>
    <w:rsid w:val="00C77C1A"/>
    <w:rsid w:val="00C86620"/>
    <w:rsid w:val="00C86B7A"/>
    <w:rsid w:val="00C86E16"/>
    <w:rsid w:val="00C90C4B"/>
    <w:rsid w:val="00C9102B"/>
    <w:rsid w:val="00C91494"/>
    <w:rsid w:val="00C92D55"/>
    <w:rsid w:val="00C9309C"/>
    <w:rsid w:val="00C93254"/>
    <w:rsid w:val="00C9361A"/>
    <w:rsid w:val="00C97619"/>
    <w:rsid w:val="00CA16C0"/>
    <w:rsid w:val="00CA2961"/>
    <w:rsid w:val="00CA2A15"/>
    <w:rsid w:val="00CA5CB8"/>
    <w:rsid w:val="00CA63F7"/>
    <w:rsid w:val="00CB0376"/>
    <w:rsid w:val="00CB1857"/>
    <w:rsid w:val="00CB20C2"/>
    <w:rsid w:val="00CB2454"/>
    <w:rsid w:val="00CB26C9"/>
    <w:rsid w:val="00CB42C0"/>
    <w:rsid w:val="00CB7D50"/>
    <w:rsid w:val="00CC0253"/>
    <w:rsid w:val="00CC251C"/>
    <w:rsid w:val="00CC2BB8"/>
    <w:rsid w:val="00CC45BE"/>
    <w:rsid w:val="00CC4AB7"/>
    <w:rsid w:val="00CC5C47"/>
    <w:rsid w:val="00CC6E77"/>
    <w:rsid w:val="00CC7006"/>
    <w:rsid w:val="00CC7B9A"/>
    <w:rsid w:val="00CC7EBF"/>
    <w:rsid w:val="00CD1521"/>
    <w:rsid w:val="00CD1528"/>
    <w:rsid w:val="00CD18B5"/>
    <w:rsid w:val="00CD30AF"/>
    <w:rsid w:val="00CD3DBE"/>
    <w:rsid w:val="00CD3E59"/>
    <w:rsid w:val="00CD4A2F"/>
    <w:rsid w:val="00CD5F69"/>
    <w:rsid w:val="00CD6559"/>
    <w:rsid w:val="00CD71BC"/>
    <w:rsid w:val="00CD720D"/>
    <w:rsid w:val="00CD7712"/>
    <w:rsid w:val="00CE0312"/>
    <w:rsid w:val="00CE0671"/>
    <w:rsid w:val="00CE219C"/>
    <w:rsid w:val="00CE3EB4"/>
    <w:rsid w:val="00CE4BFD"/>
    <w:rsid w:val="00CE639A"/>
    <w:rsid w:val="00CE7B5E"/>
    <w:rsid w:val="00CF011C"/>
    <w:rsid w:val="00CF0F16"/>
    <w:rsid w:val="00CF276F"/>
    <w:rsid w:val="00CF2AC6"/>
    <w:rsid w:val="00CF6358"/>
    <w:rsid w:val="00D01E46"/>
    <w:rsid w:val="00D02381"/>
    <w:rsid w:val="00D02853"/>
    <w:rsid w:val="00D14616"/>
    <w:rsid w:val="00D16E7A"/>
    <w:rsid w:val="00D1771C"/>
    <w:rsid w:val="00D208F3"/>
    <w:rsid w:val="00D21B08"/>
    <w:rsid w:val="00D21B31"/>
    <w:rsid w:val="00D23909"/>
    <w:rsid w:val="00D24AC5"/>
    <w:rsid w:val="00D2580B"/>
    <w:rsid w:val="00D27D6E"/>
    <w:rsid w:val="00D30AA9"/>
    <w:rsid w:val="00D30E29"/>
    <w:rsid w:val="00D31C64"/>
    <w:rsid w:val="00D31CF1"/>
    <w:rsid w:val="00D32EAB"/>
    <w:rsid w:val="00D32F3D"/>
    <w:rsid w:val="00D3498A"/>
    <w:rsid w:val="00D418FE"/>
    <w:rsid w:val="00D420BE"/>
    <w:rsid w:val="00D4429B"/>
    <w:rsid w:val="00D474DA"/>
    <w:rsid w:val="00D52853"/>
    <w:rsid w:val="00D543A9"/>
    <w:rsid w:val="00D605A5"/>
    <w:rsid w:val="00D607A7"/>
    <w:rsid w:val="00D607B0"/>
    <w:rsid w:val="00D6106B"/>
    <w:rsid w:val="00D61E39"/>
    <w:rsid w:val="00D66E15"/>
    <w:rsid w:val="00D70FD9"/>
    <w:rsid w:val="00D71524"/>
    <w:rsid w:val="00D721E3"/>
    <w:rsid w:val="00D73740"/>
    <w:rsid w:val="00D74438"/>
    <w:rsid w:val="00D82D24"/>
    <w:rsid w:val="00D84BB2"/>
    <w:rsid w:val="00D8525D"/>
    <w:rsid w:val="00D859C7"/>
    <w:rsid w:val="00D85C44"/>
    <w:rsid w:val="00D87DE1"/>
    <w:rsid w:val="00D9061B"/>
    <w:rsid w:val="00D91598"/>
    <w:rsid w:val="00D95948"/>
    <w:rsid w:val="00DA0264"/>
    <w:rsid w:val="00DA5B9E"/>
    <w:rsid w:val="00DA5CE1"/>
    <w:rsid w:val="00DA5E31"/>
    <w:rsid w:val="00DA7BD4"/>
    <w:rsid w:val="00DB1152"/>
    <w:rsid w:val="00DB134C"/>
    <w:rsid w:val="00DB45A9"/>
    <w:rsid w:val="00DB4B7C"/>
    <w:rsid w:val="00DB67E1"/>
    <w:rsid w:val="00DC1408"/>
    <w:rsid w:val="00DC1D3B"/>
    <w:rsid w:val="00DC3664"/>
    <w:rsid w:val="00DC7AEB"/>
    <w:rsid w:val="00DD0134"/>
    <w:rsid w:val="00DD142E"/>
    <w:rsid w:val="00DD24E6"/>
    <w:rsid w:val="00DD2A45"/>
    <w:rsid w:val="00DD2ACD"/>
    <w:rsid w:val="00DD4D66"/>
    <w:rsid w:val="00DD6C0E"/>
    <w:rsid w:val="00DE0116"/>
    <w:rsid w:val="00DE32D5"/>
    <w:rsid w:val="00DE33B1"/>
    <w:rsid w:val="00DE36FE"/>
    <w:rsid w:val="00DE3872"/>
    <w:rsid w:val="00DE44E5"/>
    <w:rsid w:val="00DE4E61"/>
    <w:rsid w:val="00DE6E2E"/>
    <w:rsid w:val="00DE75FE"/>
    <w:rsid w:val="00DF0B59"/>
    <w:rsid w:val="00DF2E8D"/>
    <w:rsid w:val="00DF3198"/>
    <w:rsid w:val="00DF3816"/>
    <w:rsid w:val="00DF52B4"/>
    <w:rsid w:val="00DF7F03"/>
    <w:rsid w:val="00E0082E"/>
    <w:rsid w:val="00E02468"/>
    <w:rsid w:val="00E0277E"/>
    <w:rsid w:val="00E040AC"/>
    <w:rsid w:val="00E055EF"/>
    <w:rsid w:val="00E05D76"/>
    <w:rsid w:val="00E06E58"/>
    <w:rsid w:val="00E076A8"/>
    <w:rsid w:val="00E07864"/>
    <w:rsid w:val="00E07E8F"/>
    <w:rsid w:val="00E101F5"/>
    <w:rsid w:val="00E16447"/>
    <w:rsid w:val="00E21268"/>
    <w:rsid w:val="00E223B4"/>
    <w:rsid w:val="00E23CD8"/>
    <w:rsid w:val="00E24CE8"/>
    <w:rsid w:val="00E259AB"/>
    <w:rsid w:val="00E25B83"/>
    <w:rsid w:val="00E270A4"/>
    <w:rsid w:val="00E2742F"/>
    <w:rsid w:val="00E27DA5"/>
    <w:rsid w:val="00E30260"/>
    <w:rsid w:val="00E3034B"/>
    <w:rsid w:val="00E31F3F"/>
    <w:rsid w:val="00E31F7F"/>
    <w:rsid w:val="00E32BD4"/>
    <w:rsid w:val="00E37D41"/>
    <w:rsid w:val="00E430AE"/>
    <w:rsid w:val="00E47B18"/>
    <w:rsid w:val="00E501D3"/>
    <w:rsid w:val="00E528DF"/>
    <w:rsid w:val="00E52A6C"/>
    <w:rsid w:val="00E55854"/>
    <w:rsid w:val="00E562F7"/>
    <w:rsid w:val="00E56D94"/>
    <w:rsid w:val="00E60180"/>
    <w:rsid w:val="00E6290C"/>
    <w:rsid w:val="00E63157"/>
    <w:rsid w:val="00E63ED9"/>
    <w:rsid w:val="00E675FD"/>
    <w:rsid w:val="00E70571"/>
    <w:rsid w:val="00E71A05"/>
    <w:rsid w:val="00E73499"/>
    <w:rsid w:val="00E7522D"/>
    <w:rsid w:val="00E75E33"/>
    <w:rsid w:val="00E77F4E"/>
    <w:rsid w:val="00E80714"/>
    <w:rsid w:val="00E81D29"/>
    <w:rsid w:val="00E82ECC"/>
    <w:rsid w:val="00E8362C"/>
    <w:rsid w:val="00E837ED"/>
    <w:rsid w:val="00E84F35"/>
    <w:rsid w:val="00E8546E"/>
    <w:rsid w:val="00E86119"/>
    <w:rsid w:val="00E86413"/>
    <w:rsid w:val="00E86E40"/>
    <w:rsid w:val="00E901BC"/>
    <w:rsid w:val="00E91C1B"/>
    <w:rsid w:val="00E96747"/>
    <w:rsid w:val="00E968BE"/>
    <w:rsid w:val="00EA3121"/>
    <w:rsid w:val="00EA449B"/>
    <w:rsid w:val="00EA5688"/>
    <w:rsid w:val="00EA5EC2"/>
    <w:rsid w:val="00EA610A"/>
    <w:rsid w:val="00EA78A7"/>
    <w:rsid w:val="00EA7EC3"/>
    <w:rsid w:val="00EB0466"/>
    <w:rsid w:val="00EB0A08"/>
    <w:rsid w:val="00EB16B7"/>
    <w:rsid w:val="00EB37BD"/>
    <w:rsid w:val="00EB3F68"/>
    <w:rsid w:val="00EB63CE"/>
    <w:rsid w:val="00EC0DDB"/>
    <w:rsid w:val="00EC1500"/>
    <w:rsid w:val="00EC2341"/>
    <w:rsid w:val="00EC2909"/>
    <w:rsid w:val="00EC665F"/>
    <w:rsid w:val="00EC77DF"/>
    <w:rsid w:val="00ED2482"/>
    <w:rsid w:val="00ED2BAA"/>
    <w:rsid w:val="00ED333B"/>
    <w:rsid w:val="00ED3F8A"/>
    <w:rsid w:val="00ED4599"/>
    <w:rsid w:val="00ED45E4"/>
    <w:rsid w:val="00ED69B8"/>
    <w:rsid w:val="00ED72AB"/>
    <w:rsid w:val="00EE092B"/>
    <w:rsid w:val="00EE3FE8"/>
    <w:rsid w:val="00EE43BC"/>
    <w:rsid w:val="00EE4A7A"/>
    <w:rsid w:val="00EE62F8"/>
    <w:rsid w:val="00EE7C7D"/>
    <w:rsid w:val="00EF1194"/>
    <w:rsid w:val="00EF1353"/>
    <w:rsid w:val="00EF2CE2"/>
    <w:rsid w:val="00EF326B"/>
    <w:rsid w:val="00EF4E7B"/>
    <w:rsid w:val="00EF4F87"/>
    <w:rsid w:val="00EF5A4D"/>
    <w:rsid w:val="00EF6ED6"/>
    <w:rsid w:val="00EF78C0"/>
    <w:rsid w:val="00F01ADD"/>
    <w:rsid w:val="00F020D2"/>
    <w:rsid w:val="00F03972"/>
    <w:rsid w:val="00F0449E"/>
    <w:rsid w:val="00F06147"/>
    <w:rsid w:val="00F07271"/>
    <w:rsid w:val="00F10AD9"/>
    <w:rsid w:val="00F121BB"/>
    <w:rsid w:val="00F12D1E"/>
    <w:rsid w:val="00F131BD"/>
    <w:rsid w:val="00F13BB4"/>
    <w:rsid w:val="00F15D52"/>
    <w:rsid w:val="00F16998"/>
    <w:rsid w:val="00F17AC5"/>
    <w:rsid w:val="00F17D7B"/>
    <w:rsid w:val="00F20E1E"/>
    <w:rsid w:val="00F22C8E"/>
    <w:rsid w:val="00F23690"/>
    <w:rsid w:val="00F239D8"/>
    <w:rsid w:val="00F23C40"/>
    <w:rsid w:val="00F24EF0"/>
    <w:rsid w:val="00F260F5"/>
    <w:rsid w:val="00F2680D"/>
    <w:rsid w:val="00F30FC5"/>
    <w:rsid w:val="00F317E8"/>
    <w:rsid w:val="00F32A12"/>
    <w:rsid w:val="00F332E8"/>
    <w:rsid w:val="00F33832"/>
    <w:rsid w:val="00F3391D"/>
    <w:rsid w:val="00F345A6"/>
    <w:rsid w:val="00F345ED"/>
    <w:rsid w:val="00F37528"/>
    <w:rsid w:val="00F40422"/>
    <w:rsid w:val="00F420F3"/>
    <w:rsid w:val="00F43942"/>
    <w:rsid w:val="00F44376"/>
    <w:rsid w:val="00F45122"/>
    <w:rsid w:val="00F45AE8"/>
    <w:rsid w:val="00F47172"/>
    <w:rsid w:val="00F4729E"/>
    <w:rsid w:val="00F5091F"/>
    <w:rsid w:val="00F5140C"/>
    <w:rsid w:val="00F5272C"/>
    <w:rsid w:val="00F52E04"/>
    <w:rsid w:val="00F544A1"/>
    <w:rsid w:val="00F55348"/>
    <w:rsid w:val="00F56BF7"/>
    <w:rsid w:val="00F61EC6"/>
    <w:rsid w:val="00F62D85"/>
    <w:rsid w:val="00F63729"/>
    <w:rsid w:val="00F63F29"/>
    <w:rsid w:val="00F65013"/>
    <w:rsid w:val="00F65BED"/>
    <w:rsid w:val="00F65E6A"/>
    <w:rsid w:val="00F67E59"/>
    <w:rsid w:val="00F7166A"/>
    <w:rsid w:val="00F73460"/>
    <w:rsid w:val="00F735AF"/>
    <w:rsid w:val="00F74B04"/>
    <w:rsid w:val="00F75931"/>
    <w:rsid w:val="00F76692"/>
    <w:rsid w:val="00F77035"/>
    <w:rsid w:val="00F77B94"/>
    <w:rsid w:val="00F80EA0"/>
    <w:rsid w:val="00F82198"/>
    <w:rsid w:val="00F830D5"/>
    <w:rsid w:val="00F84AEF"/>
    <w:rsid w:val="00F86682"/>
    <w:rsid w:val="00F87590"/>
    <w:rsid w:val="00F87A05"/>
    <w:rsid w:val="00F87D53"/>
    <w:rsid w:val="00F87DD1"/>
    <w:rsid w:val="00F906A0"/>
    <w:rsid w:val="00F92B27"/>
    <w:rsid w:val="00F95793"/>
    <w:rsid w:val="00F964E2"/>
    <w:rsid w:val="00F96948"/>
    <w:rsid w:val="00FA0D5E"/>
    <w:rsid w:val="00FA1310"/>
    <w:rsid w:val="00FA2127"/>
    <w:rsid w:val="00FA288A"/>
    <w:rsid w:val="00FA33A1"/>
    <w:rsid w:val="00FA491C"/>
    <w:rsid w:val="00FA4D11"/>
    <w:rsid w:val="00FA6251"/>
    <w:rsid w:val="00FA6295"/>
    <w:rsid w:val="00FA647C"/>
    <w:rsid w:val="00FA64C9"/>
    <w:rsid w:val="00FB05F6"/>
    <w:rsid w:val="00FB1205"/>
    <w:rsid w:val="00FB358A"/>
    <w:rsid w:val="00FB4188"/>
    <w:rsid w:val="00FB48CA"/>
    <w:rsid w:val="00FB4E14"/>
    <w:rsid w:val="00FB4F67"/>
    <w:rsid w:val="00FB535A"/>
    <w:rsid w:val="00FB67C8"/>
    <w:rsid w:val="00FB6A92"/>
    <w:rsid w:val="00FC20CC"/>
    <w:rsid w:val="00FC3809"/>
    <w:rsid w:val="00FC3943"/>
    <w:rsid w:val="00FC472C"/>
    <w:rsid w:val="00FC489E"/>
    <w:rsid w:val="00FC5CE0"/>
    <w:rsid w:val="00FC6A24"/>
    <w:rsid w:val="00FC74B2"/>
    <w:rsid w:val="00FD1AB8"/>
    <w:rsid w:val="00FD36D1"/>
    <w:rsid w:val="00FD3C8C"/>
    <w:rsid w:val="00FD41AC"/>
    <w:rsid w:val="00FD6AF1"/>
    <w:rsid w:val="00FE1414"/>
    <w:rsid w:val="00FE3055"/>
    <w:rsid w:val="00FE4313"/>
    <w:rsid w:val="00FE57D3"/>
    <w:rsid w:val="00FE5BB2"/>
    <w:rsid w:val="00FE6451"/>
    <w:rsid w:val="00FE6DC4"/>
    <w:rsid w:val="00FF17C0"/>
    <w:rsid w:val="00FF20DA"/>
    <w:rsid w:val="00FF33A2"/>
    <w:rsid w:val="00FF4161"/>
    <w:rsid w:val="00FF5C60"/>
    <w:rsid w:val="00FF78F9"/>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F9AB3C-586A-4C42-9D2A-2A791085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2F"/>
    <w:pPr>
      <w:spacing w:after="200" w:line="276" w:lineRule="auto"/>
    </w:pPr>
    <w:rPr>
      <w:rFonts w:cs="Calibri"/>
      <w:lang w:eastAsia="en-US"/>
    </w:rPr>
  </w:style>
  <w:style w:type="paragraph" w:styleId="Heading1">
    <w:name w:val="heading 1"/>
    <w:basedOn w:val="Normal"/>
    <w:link w:val="Heading1Char"/>
    <w:uiPriority w:val="9"/>
    <w:qFormat/>
    <w:rsid w:val="003F4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F4833"/>
    <w:rPr>
      <w:rFonts w:ascii="Times New Roman" w:hAnsi="Times New Roman" w:cs="Times New Roman"/>
      <w:b/>
      <w:bCs/>
      <w:kern w:val="36"/>
      <w:sz w:val="48"/>
      <w:szCs w:val="48"/>
      <w:lang w:eastAsia="it-IT"/>
    </w:rPr>
  </w:style>
  <w:style w:type="character" w:customStyle="1" w:styleId="st">
    <w:name w:val="st"/>
    <w:basedOn w:val="DefaultParagraphFont"/>
    <w:rsid w:val="00E270A4"/>
  </w:style>
  <w:style w:type="character" w:styleId="Emphasis">
    <w:name w:val="Emphasis"/>
    <w:basedOn w:val="DefaultParagraphFont"/>
    <w:uiPriority w:val="20"/>
    <w:qFormat/>
    <w:rsid w:val="00E270A4"/>
    <w:rPr>
      <w:i/>
      <w:iCs/>
    </w:rPr>
  </w:style>
  <w:style w:type="character" w:styleId="CommentReference">
    <w:name w:val="annotation reference"/>
    <w:basedOn w:val="DefaultParagraphFont"/>
    <w:uiPriority w:val="99"/>
    <w:rsid w:val="00F830D5"/>
    <w:rPr>
      <w:sz w:val="16"/>
      <w:szCs w:val="16"/>
    </w:rPr>
  </w:style>
  <w:style w:type="paragraph" w:styleId="CommentText">
    <w:name w:val="annotation text"/>
    <w:basedOn w:val="Normal"/>
    <w:link w:val="CommentTextChar"/>
    <w:uiPriority w:val="99"/>
    <w:rsid w:val="00F830D5"/>
    <w:pPr>
      <w:spacing w:line="240" w:lineRule="auto"/>
    </w:pPr>
    <w:rPr>
      <w:sz w:val="20"/>
      <w:szCs w:val="20"/>
    </w:rPr>
  </w:style>
  <w:style w:type="character" w:customStyle="1" w:styleId="CommentTextChar">
    <w:name w:val="Comment Text Char"/>
    <w:basedOn w:val="DefaultParagraphFont"/>
    <w:link w:val="CommentText"/>
    <w:uiPriority w:val="99"/>
    <w:locked/>
    <w:rsid w:val="00F830D5"/>
    <w:rPr>
      <w:sz w:val="20"/>
      <w:szCs w:val="20"/>
    </w:rPr>
  </w:style>
  <w:style w:type="paragraph" w:styleId="CommentSubject">
    <w:name w:val="annotation subject"/>
    <w:basedOn w:val="CommentText"/>
    <w:next w:val="CommentText"/>
    <w:link w:val="CommentSubjectChar"/>
    <w:uiPriority w:val="99"/>
    <w:semiHidden/>
    <w:rsid w:val="00F830D5"/>
    <w:rPr>
      <w:b/>
      <w:bCs/>
    </w:rPr>
  </w:style>
  <w:style w:type="character" w:customStyle="1" w:styleId="CommentSubjectChar">
    <w:name w:val="Comment Subject Char"/>
    <w:basedOn w:val="CommentTextChar"/>
    <w:link w:val="CommentSubject"/>
    <w:uiPriority w:val="99"/>
    <w:semiHidden/>
    <w:locked/>
    <w:rsid w:val="00F830D5"/>
    <w:rPr>
      <w:b/>
      <w:bCs/>
      <w:sz w:val="20"/>
      <w:szCs w:val="20"/>
    </w:rPr>
  </w:style>
  <w:style w:type="paragraph" w:styleId="BalloonText">
    <w:name w:val="Balloon Text"/>
    <w:basedOn w:val="Normal"/>
    <w:link w:val="BalloonTextChar"/>
    <w:uiPriority w:val="99"/>
    <w:semiHidden/>
    <w:rsid w:val="00F8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0D5"/>
    <w:rPr>
      <w:rFonts w:ascii="Tahoma" w:hAnsi="Tahoma" w:cs="Tahoma"/>
      <w:sz w:val="16"/>
      <w:szCs w:val="16"/>
    </w:rPr>
  </w:style>
  <w:style w:type="paragraph" w:customStyle="1" w:styleId="Pa1">
    <w:name w:val="Pa1"/>
    <w:basedOn w:val="Normal"/>
    <w:next w:val="Normal"/>
    <w:uiPriority w:val="99"/>
    <w:rsid w:val="006B67EC"/>
    <w:pPr>
      <w:autoSpaceDE w:val="0"/>
      <w:autoSpaceDN w:val="0"/>
      <w:adjustRightInd w:val="0"/>
      <w:spacing w:after="0" w:line="241" w:lineRule="atLeast"/>
    </w:pPr>
    <w:rPr>
      <w:rFonts w:ascii="TradeGothic" w:hAnsi="TradeGothic" w:cs="TradeGothic"/>
      <w:sz w:val="24"/>
      <w:szCs w:val="24"/>
    </w:rPr>
  </w:style>
  <w:style w:type="character" w:customStyle="1" w:styleId="A3">
    <w:name w:val="A3"/>
    <w:uiPriority w:val="99"/>
    <w:rsid w:val="006B67EC"/>
    <w:rPr>
      <w:b/>
      <w:bCs/>
      <w:color w:val="auto"/>
      <w:sz w:val="18"/>
      <w:szCs w:val="18"/>
    </w:rPr>
  </w:style>
  <w:style w:type="character" w:customStyle="1" w:styleId="A5">
    <w:name w:val="A5"/>
    <w:uiPriority w:val="99"/>
    <w:rsid w:val="002747F0"/>
    <w:rPr>
      <w:color w:val="auto"/>
      <w:sz w:val="19"/>
      <w:szCs w:val="19"/>
    </w:rPr>
  </w:style>
  <w:style w:type="paragraph" w:styleId="ListParagraph">
    <w:name w:val="List Paragraph"/>
    <w:basedOn w:val="Normal"/>
    <w:uiPriority w:val="34"/>
    <w:qFormat/>
    <w:rsid w:val="005A5BC9"/>
    <w:pPr>
      <w:ind w:left="720"/>
    </w:pPr>
  </w:style>
  <w:style w:type="character" w:styleId="Hyperlink">
    <w:name w:val="Hyperlink"/>
    <w:basedOn w:val="DefaultParagraphFont"/>
    <w:uiPriority w:val="99"/>
    <w:rsid w:val="006B4496"/>
    <w:rPr>
      <w:color w:val="0000FF"/>
      <w:u w:val="single"/>
    </w:rPr>
  </w:style>
  <w:style w:type="character" w:customStyle="1" w:styleId="apple-converted-space">
    <w:name w:val="apple-converted-space"/>
    <w:basedOn w:val="DefaultParagraphFont"/>
    <w:rsid w:val="004A10E1"/>
  </w:style>
  <w:style w:type="character" w:customStyle="1" w:styleId="highlight">
    <w:name w:val="highlight"/>
    <w:basedOn w:val="DefaultParagraphFont"/>
    <w:rsid w:val="000426C8"/>
  </w:style>
  <w:style w:type="character" w:customStyle="1" w:styleId="doi">
    <w:name w:val="doi"/>
    <w:basedOn w:val="DefaultParagraphFont"/>
    <w:rsid w:val="008222D8"/>
  </w:style>
  <w:style w:type="numbering" w:customStyle="1" w:styleId="Nessunelenco1">
    <w:name w:val="Nessun elenco1"/>
    <w:next w:val="NoList"/>
    <w:uiPriority w:val="99"/>
    <w:semiHidden/>
    <w:unhideWhenUsed/>
    <w:rsid w:val="004005CA"/>
  </w:style>
  <w:style w:type="character" w:customStyle="1" w:styleId="article-headermeta-info-label">
    <w:name w:val="article-header__meta-info-label"/>
    <w:basedOn w:val="DefaultParagraphFont"/>
    <w:rsid w:val="004005CA"/>
  </w:style>
  <w:style w:type="character" w:customStyle="1" w:styleId="article-headermeta-info-data">
    <w:name w:val="article-header__meta-info-data"/>
    <w:basedOn w:val="DefaultParagraphFont"/>
    <w:rsid w:val="004005CA"/>
  </w:style>
  <w:style w:type="character" w:styleId="Strong">
    <w:name w:val="Strong"/>
    <w:basedOn w:val="DefaultParagraphFont"/>
    <w:uiPriority w:val="22"/>
    <w:qFormat/>
    <w:locked/>
    <w:rsid w:val="004005CA"/>
    <w:rPr>
      <w:b/>
      <w:bCs/>
    </w:rPr>
  </w:style>
  <w:style w:type="character" w:customStyle="1" w:styleId="highlight2">
    <w:name w:val="highlight2"/>
    <w:basedOn w:val="DefaultParagraphFont"/>
    <w:rsid w:val="004005CA"/>
  </w:style>
  <w:style w:type="table" w:customStyle="1" w:styleId="Sfondochiaro1">
    <w:name w:val="Sfondo chiaro1"/>
    <w:basedOn w:val="TableNormal"/>
    <w:uiPriority w:val="60"/>
    <w:rsid w:val="008D5ED5"/>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2">
    <w:name w:val="Sfondo chiaro2"/>
    <w:basedOn w:val="TableNormal"/>
    <w:uiPriority w:val="60"/>
    <w:rsid w:val="008D5ED5"/>
    <w:rPr>
      <w:rFonts w:ascii="Arial" w:eastAsiaTheme="minorHAnsi" w:hAnsi="Arial" w:cs="Arial"/>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11">
    <w:name w:val="Sfondo chiaro11"/>
    <w:basedOn w:val="TableNormal"/>
    <w:uiPriority w:val="60"/>
    <w:rsid w:val="002651A1"/>
    <w:rPr>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0">
    <w:name w:val="Sfondo chiaro2"/>
    <w:basedOn w:val="TableNormal"/>
    <w:next w:val="Sfondochiaro3"/>
    <w:uiPriority w:val="60"/>
    <w:rsid w:val="002E041A"/>
    <w:rPr>
      <w:rFonts w:ascii="Arial" w:hAnsi="Arial" w:cs="Arial"/>
      <w:color w:val="000000"/>
      <w:sz w:val="24"/>
      <w:szCs w:val="24"/>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
    <w:name w:val="Sfondo chiaro3"/>
    <w:basedOn w:val="TableNormal"/>
    <w:uiPriority w:val="60"/>
    <w:rsid w:val="002E04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30">
    <w:name w:val="Sfondo chiaro3"/>
    <w:basedOn w:val="TableNormal"/>
    <w:next w:val="Sfondochiaro4"/>
    <w:uiPriority w:val="60"/>
    <w:rsid w:val="009D28F6"/>
    <w:rPr>
      <w:rFonts w:ascii="Arial" w:hAnsi="Arial" w:cs="Arial"/>
      <w:color w:val="000000"/>
      <w:sz w:val="24"/>
      <w:szCs w:val="24"/>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
    <w:name w:val="Sfondo chiaro4"/>
    <w:basedOn w:val="TableNormal"/>
    <w:uiPriority w:val="60"/>
    <w:rsid w:val="009D28F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F38C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F38CB"/>
    <w:rPr>
      <w:rFonts w:cs="Calibri"/>
      <w:sz w:val="18"/>
      <w:szCs w:val="18"/>
      <w:lang w:eastAsia="en-US"/>
    </w:rPr>
  </w:style>
  <w:style w:type="paragraph" w:styleId="Footer">
    <w:name w:val="footer"/>
    <w:basedOn w:val="Normal"/>
    <w:link w:val="FooterChar"/>
    <w:uiPriority w:val="99"/>
    <w:unhideWhenUsed/>
    <w:rsid w:val="002F38C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F38CB"/>
    <w:rPr>
      <w:rFonts w:cs="Calibri"/>
      <w:sz w:val="18"/>
      <w:szCs w:val="18"/>
      <w:lang w:eastAsia="en-US"/>
    </w:rPr>
  </w:style>
  <w:style w:type="character" w:styleId="FollowedHyperlink">
    <w:name w:val="FollowedHyperlink"/>
    <w:basedOn w:val="DefaultParagraphFont"/>
    <w:uiPriority w:val="99"/>
    <w:semiHidden/>
    <w:unhideWhenUsed/>
    <w:rsid w:val="00A22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0574">
      <w:bodyDiv w:val="1"/>
      <w:marLeft w:val="0"/>
      <w:marRight w:val="0"/>
      <w:marTop w:val="0"/>
      <w:marBottom w:val="0"/>
      <w:divBdr>
        <w:top w:val="none" w:sz="0" w:space="0" w:color="auto"/>
        <w:left w:val="none" w:sz="0" w:space="0" w:color="auto"/>
        <w:bottom w:val="none" w:sz="0" w:space="0" w:color="auto"/>
        <w:right w:val="none" w:sz="0" w:space="0" w:color="auto"/>
      </w:divBdr>
    </w:div>
    <w:div w:id="384766498">
      <w:bodyDiv w:val="1"/>
      <w:marLeft w:val="0"/>
      <w:marRight w:val="0"/>
      <w:marTop w:val="0"/>
      <w:marBottom w:val="0"/>
      <w:divBdr>
        <w:top w:val="none" w:sz="0" w:space="0" w:color="auto"/>
        <w:left w:val="none" w:sz="0" w:space="0" w:color="auto"/>
        <w:bottom w:val="none" w:sz="0" w:space="0" w:color="auto"/>
        <w:right w:val="none" w:sz="0" w:space="0" w:color="auto"/>
      </w:divBdr>
    </w:div>
    <w:div w:id="862863201">
      <w:bodyDiv w:val="1"/>
      <w:marLeft w:val="0"/>
      <w:marRight w:val="0"/>
      <w:marTop w:val="0"/>
      <w:marBottom w:val="0"/>
      <w:divBdr>
        <w:top w:val="none" w:sz="0" w:space="0" w:color="auto"/>
        <w:left w:val="none" w:sz="0" w:space="0" w:color="auto"/>
        <w:bottom w:val="none" w:sz="0" w:space="0" w:color="auto"/>
        <w:right w:val="none" w:sz="0" w:space="0" w:color="auto"/>
      </w:divBdr>
    </w:div>
    <w:div w:id="1014693932">
      <w:bodyDiv w:val="1"/>
      <w:marLeft w:val="0"/>
      <w:marRight w:val="0"/>
      <w:marTop w:val="0"/>
      <w:marBottom w:val="0"/>
      <w:divBdr>
        <w:top w:val="none" w:sz="0" w:space="0" w:color="auto"/>
        <w:left w:val="none" w:sz="0" w:space="0" w:color="auto"/>
        <w:bottom w:val="none" w:sz="0" w:space="0" w:color="auto"/>
        <w:right w:val="none" w:sz="0" w:space="0" w:color="auto"/>
      </w:divBdr>
    </w:div>
    <w:div w:id="1462531007">
      <w:bodyDiv w:val="1"/>
      <w:marLeft w:val="0"/>
      <w:marRight w:val="0"/>
      <w:marTop w:val="0"/>
      <w:marBottom w:val="0"/>
      <w:divBdr>
        <w:top w:val="none" w:sz="0" w:space="0" w:color="auto"/>
        <w:left w:val="none" w:sz="0" w:space="0" w:color="auto"/>
        <w:bottom w:val="none" w:sz="0" w:space="0" w:color="auto"/>
        <w:right w:val="none" w:sz="0" w:space="0" w:color="auto"/>
      </w:divBdr>
    </w:div>
    <w:div w:id="15036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Sanz-Bueno%20J%5BAuthor%5D&amp;cauthor=true&amp;cauthor_uid=2577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AFF7-995E-43DB-9C6C-782B9FC1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9653</Words>
  <Characters>55024</Characters>
  <Application>Microsoft Office Word</Application>
  <DocSecurity>0</DocSecurity>
  <Lines>458</Lines>
  <Paragraphs>129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Name of Journal: World Journal of Gastroenterology</vt:lpstr>
      <vt:lpstr>Name of Journal: World Journal of Gastroenterology</vt:lpstr>
    </vt:vector>
  </TitlesOfParts>
  <Company>Hewlett-Packard Company</Company>
  <LinksUpToDate>false</LinksUpToDate>
  <CharactersWithSpaces>64548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utente</dc:creator>
  <cp:lastModifiedBy>LS Ma</cp:lastModifiedBy>
  <cp:revision>2</cp:revision>
  <cp:lastPrinted>2016-05-19T08:12:00Z</cp:lastPrinted>
  <dcterms:created xsi:type="dcterms:W3CDTF">2016-06-15T02:02:00Z</dcterms:created>
  <dcterms:modified xsi:type="dcterms:W3CDTF">2016-06-15T02:02:00Z</dcterms:modified>
</cp:coreProperties>
</file>