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734E2A" w14:textId="77777777" w:rsidR="00C26F12" w:rsidRPr="00EE48E2" w:rsidRDefault="00C26F12" w:rsidP="00C26F12">
      <w:pPr>
        <w:spacing w:line="360" w:lineRule="auto"/>
        <w:rPr>
          <w:rFonts w:ascii="Book Antiqua" w:eastAsia="Times New Roman" w:hAnsi="Book Antiqua" w:cs="SimSun"/>
          <w:i/>
          <w:sz w:val="24"/>
        </w:rPr>
      </w:pPr>
      <w:bookmarkStart w:id="0" w:name="OLE_LINK2088"/>
      <w:bookmarkStart w:id="1" w:name="OLE_LINK2089"/>
      <w:bookmarkStart w:id="2" w:name="OLE_LINK3171"/>
      <w:bookmarkStart w:id="3" w:name="OLE_LINK2410"/>
      <w:bookmarkStart w:id="4" w:name="OLE_LINK2411"/>
      <w:bookmarkStart w:id="5" w:name="OLE_LINK3234"/>
      <w:bookmarkStart w:id="6" w:name="OLE_LINK40"/>
      <w:bookmarkStart w:id="7" w:name="OLE_LINK41"/>
      <w:bookmarkStart w:id="8" w:name="OLE_LINK2445"/>
      <w:bookmarkStart w:id="9" w:name="OLE_LINK437"/>
      <w:bookmarkStart w:id="10" w:name="OLE_LINK438"/>
      <w:bookmarkStart w:id="11" w:name="OLE_LINK1043"/>
      <w:bookmarkStart w:id="12" w:name="OLE_LINK1420"/>
      <w:bookmarkStart w:id="13" w:name="OLE_LINK1540"/>
      <w:bookmarkStart w:id="14" w:name="OLE_LINK1602"/>
      <w:bookmarkStart w:id="15" w:name="OLE_LINK2188"/>
      <w:bookmarkStart w:id="16" w:name="OLE_LINK2180"/>
      <w:bookmarkStart w:id="17" w:name="OLE_LINK2646"/>
      <w:bookmarkStart w:id="18" w:name="OLE_LINK2656"/>
      <w:bookmarkStart w:id="19" w:name="OLE_LINK45"/>
      <w:bookmarkStart w:id="20" w:name="OLE_LINK3003"/>
      <w:bookmarkStart w:id="21" w:name="OLE_LINK3029"/>
      <w:bookmarkStart w:id="22" w:name="OLE_LINK3072"/>
      <w:bookmarkStart w:id="23" w:name="OLE_LINK3222"/>
      <w:r w:rsidRPr="00EE48E2">
        <w:rPr>
          <w:rFonts w:ascii="Book Antiqua" w:eastAsia="Times New Roman" w:hAnsi="Book Antiqua" w:cs="SimSun"/>
          <w:b/>
          <w:sz w:val="24"/>
        </w:rPr>
        <w:t xml:space="preserve">Name of journal: </w:t>
      </w:r>
      <w:bookmarkStart w:id="24" w:name="OLE_LINK335"/>
      <w:bookmarkStart w:id="25" w:name="OLE_LINK1068"/>
      <w:bookmarkStart w:id="26" w:name="OLE_LINK696"/>
      <w:bookmarkStart w:id="27" w:name="OLE_LINK661"/>
      <w:bookmarkStart w:id="28" w:name="OLE_LINK645"/>
      <w:bookmarkStart w:id="29" w:name="OLE_LINK719"/>
      <w:bookmarkStart w:id="30" w:name="OLE_LINK718"/>
      <w:r w:rsidRPr="00EE48E2">
        <w:rPr>
          <w:rFonts w:ascii="Book Antiqua" w:eastAsia="Times New Roman" w:hAnsi="Book Antiqua" w:cs="SimSun"/>
          <w:i/>
          <w:sz w:val="24"/>
          <w:szCs w:val="21"/>
        </w:rPr>
        <w:t>World Journal of Gastroenterology</w:t>
      </w:r>
      <w:bookmarkEnd w:id="24"/>
      <w:bookmarkEnd w:id="25"/>
      <w:bookmarkEnd w:id="26"/>
      <w:bookmarkEnd w:id="27"/>
      <w:bookmarkEnd w:id="28"/>
      <w:bookmarkEnd w:id="29"/>
      <w:bookmarkEnd w:id="30"/>
    </w:p>
    <w:p w14:paraId="788A64EA" w14:textId="0AAD38DF" w:rsidR="00C26F12" w:rsidRPr="00EE48E2" w:rsidRDefault="00C26F12" w:rsidP="00C26F12">
      <w:pPr>
        <w:spacing w:line="360" w:lineRule="auto"/>
        <w:rPr>
          <w:rFonts w:ascii="Book Antiqua" w:eastAsia="Times New Roman" w:hAnsi="Book Antiqua" w:cs="SimSun"/>
          <w:b/>
          <w:i/>
          <w:sz w:val="24"/>
          <w:lang w:eastAsia="zh-CN"/>
        </w:rPr>
      </w:pPr>
      <w:bookmarkStart w:id="31" w:name="OLE_LINK2694"/>
      <w:bookmarkStart w:id="32" w:name="OLE_LINK21"/>
      <w:bookmarkStart w:id="33" w:name="OLE_LINK19"/>
      <w:r w:rsidRPr="00EE48E2">
        <w:rPr>
          <w:rFonts w:ascii="Book Antiqua" w:hAnsi="Book Antiqua" w:cs="Arial"/>
          <w:b/>
          <w:sz w:val="24"/>
          <w:lang w:val="en"/>
        </w:rPr>
        <w:t xml:space="preserve">ESPS Manuscript NO: </w:t>
      </w:r>
      <w:r w:rsidRPr="00EE48E2">
        <w:rPr>
          <w:rFonts w:ascii="Book Antiqua" w:hAnsi="Book Antiqua" w:cs="Arial" w:hint="eastAsia"/>
          <w:b/>
          <w:sz w:val="24"/>
          <w:lang w:val="en" w:eastAsia="zh-CN"/>
        </w:rPr>
        <w:t>26143</w:t>
      </w:r>
    </w:p>
    <w:p w14:paraId="704E6608" w14:textId="14F230B7" w:rsidR="00C26F12" w:rsidRPr="00EE48E2" w:rsidRDefault="00C26F12" w:rsidP="00C26F12">
      <w:pPr>
        <w:rPr>
          <w:rFonts w:ascii="Book Antiqua" w:eastAsia="SimSun" w:hAnsi="Book Antiqua" w:cs="Times New Roman"/>
          <w:b/>
          <w:sz w:val="24"/>
          <w:lang w:eastAsia="zh-CN"/>
        </w:rPr>
      </w:pPr>
      <w:bookmarkStart w:id="34" w:name="OLE_LINK2000"/>
      <w:bookmarkStart w:id="35" w:name="OLE_LINK2244"/>
      <w:bookmarkStart w:id="36" w:name="OLE_LINK2067"/>
      <w:bookmarkStart w:id="37" w:name="OLE_LINK2119"/>
      <w:bookmarkStart w:id="38" w:name="OLE_LINK2062"/>
      <w:bookmarkStart w:id="39" w:name="OLE_LINK2022"/>
      <w:bookmarkStart w:id="40" w:name="OLE_LINK1937"/>
      <w:bookmarkStart w:id="41" w:name="OLE_LINK1904"/>
      <w:bookmarkStart w:id="42" w:name="OLE_LINK1867"/>
      <w:bookmarkStart w:id="43" w:name="OLE_LINK1933"/>
      <w:bookmarkStart w:id="44" w:name="OLE_LINK1908"/>
      <w:bookmarkStart w:id="45" w:name="OLE_LINK1785"/>
      <w:bookmarkStart w:id="46" w:name="OLE_LINK1717"/>
      <w:bookmarkStart w:id="47" w:name="OLE_LINK1972"/>
      <w:bookmarkStart w:id="48" w:name="OLE_LINK1929"/>
      <w:bookmarkStart w:id="49" w:name="OLE_LINK1893"/>
      <w:bookmarkStart w:id="50" w:name="OLE_LINK1715"/>
      <w:bookmarkStart w:id="51" w:name="OLE_LINK1764"/>
      <w:bookmarkStart w:id="52" w:name="OLE_LINK1758"/>
      <w:bookmarkStart w:id="53" w:name="OLE_LINK1638"/>
      <w:bookmarkStart w:id="54" w:name="OLE_LINK1379"/>
      <w:bookmarkStart w:id="55" w:name="OLE_LINK1489"/>
      <w:bookmarkStart w:id="56" w:name="OLE_LINK1378"/>
      <w:bookmarkStart w:id="57" w:name="OLE_LINK1616"/>
      <w:bookmarkStart w:id="58" w:name="OLE_LINK1400"/>
      <w:bookmarkStart w:id="59" w:name="OLE_LINK1367"/>
      <w:bookmarkStart w:id="60" w:name="OLE_LINK1333"/>
      <w:bookmarkStart w:id="61" w:name="OLE_LINK1165"/>
      <w:bookmarkStart w:id="62" w:name="OLE_LINK1064"/>
      <w:bookmarkStart w:id="63" w:name="OLE_LINK1131"/>
      <w:bookmarkStart w:id="64" w:name="OLE_LINK1225"/>
      <w:bookmarkStart w:id="65" w:name="OLE_LINK1191"/>
      <w:bookmarkStart w:id="66" w:name="OLE_LINK950"/>
      <w:bookmarkStart w:id="67" w:name="OLE_LINK1154"/>
      <w:bookmarkStart w:id="68" w:name="OLE_LINK1029"/>
      <w:bookmarkStart w:id="69" w:name="OLE_LINK870"/>
      <w:bookmarkStart w:id="70" w:name="OLE_LINK1021"/>
      <w:bookmarkStart w:id="71" w:name="OLE_LINK897"/>
      <w:bookmarkStart w:id="72" w:name="OLE_LINK965"/>
      <w:bookmarkStart w:id="73" w:name="OLE_LINK863"/>
      <w:bookmarkStart w:id="74" w:name="OLE_LINK1072"/>
      <w:bookmarkStart w:id="75" w:name="OLE_LINK888"/>
      <w:bookmarkStart w:id="76" w:name="OLE_LINK887"/>
      <w:bookmarkStart w:id="77" w:name="OLE_LINK886"/>
      <w:bookmarkStart w:id="78" w:name="OLE_LINK4"/>
      <w:bookmarkStart w:id="79" w:name="OLE_LINK3"/>
      <w:bookmarkStart w:id="80" w:name="OLE_LINK5"/>
      <w:bookmarkStart w:id="81" w:name="OLE_LINK3045"/>
      <w:bookmarkEnd w:id="0"/>
      <w:bookmarkEnd w:id="1"/>
      <w:bookmarkEnd w:id="2"/>
      <w:bookmarkEnd w:id="31"/>
      <w:bookmarkEnd w:id="32"/>
      <w:bookmarkEnd w:id="33"/>
      <w:r w:rsidRPr="00EE48E2">
        <w:rPr>
          <w:rFonts w:ascii="Book Antiqua" w:hAnsi="Book Antiqua"/>
          <w:b/>
          <w:sz w:val="24"/>
        </w:rPr>
        <w:t>Manuscript Type</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EE48E2">
        <w:rPr>
          <w:rFonts w:ascii="Book Antiqua" w:hAnsi="Book Antiqua"/>
          <w:b/>
          <w:sz w:val="24"/>
        </w:rPr>
        <w:t>:</w:t>
      </w:r>
      <w:bookmarkEnd w:id="3"/>
      <w:bookmarkEnd w:id="4"/>
      <w:bookmarkEnd w:id="5"/>
      <w:r w:rsidRPr="00EE48E2">
        <w:rPr>
          <w:rFonts w:ascii="Book Antiqua" w:hAnsi="Book Antiqua"/>
          <w:b/>
          <w:sz w:val="24"/>
        </w:rPr>
        <w:t xml:space="preserve"> </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78"/>
      <w:bookmarkEnd w:id="79"/>
      <w:bookmarkEnd w:id="80"/>
      <w:bookmarkEnd w:id="81"/>
      <w:r w:rsidR="00CF2598" w:rsidRPr="00EE48E2">
        <w:rPr>
          <w:rFonts w:ascii="Book Antiqua" w:hAnsi="Book Antiqua"/>
          <w:b/>
          <w:sz w:val="24"/>
          <w:lang w:eastAsia="zh-CN"/>
        </w:rPr>
        <w:t>TOPIC HIGHLIGHT</w:t>
      </w:r>
    </w:p>
    <w:p w14:paraId="58640FF7" w14:textId="77777777" w:rsidR="00C26F12" w:rsidRPr="00EE48E2" w:rsidRDefault="00C26F12" w:rsidP="004D1833">
      <w:pPr>
        <w:adjustRightInd w:val="0"/>
        <w:snapToGrid w:val="0"/>
        <w:spacing w:after="0" w:line="360" w:lineRule="auto"/>
        <w:jc w:val="both"/>
        <w:rPr>
          <w:rFonts w:ascii="Book Antiqua" w:hAnsi="Book Antiqua"/>
          <w:b/>
          <w:sz w:val="24"/>
          <w:szCs w:val="24"/>
          <w:lang w:eastAsia="zh-CN"/>
        </w:rPr>
      </w:pPr>
    </w:p>
    <w:p w14:paraId="2DFE6558" w14:textId="77777777" w:rsidR="00C26F12" w:rsidRPr="00EE48E2" w:rsidRDefault="00C26F12" w:rsidP="004D1833">
      <w:pPr>
        <w:adjustRightInd w:val="0"/>
        <w:snapToGrid w:val="0"/>
        <w:spacing w:after="0" w:line="360" w:lineRule="auto"/>
        <w:jc w:val="both"/>
        <w:rPr>
          <w:rFonts w:ascii="Book Antiqua" w:hAnsi="Book Antiqua"/>
          <w:b/>
          <w:sz w:val="24"/>
          <w:szCs w:val="24"/>
          <w:lang w:val="en-GB" w:eastAsia="zh-CN"/>
        </w:rPr>
      </w:pPr>
      <w:r w:rsidRPr="00EE48E2">
        <w:rPr>
          <w:rFonts w:ascii="Book Antiqua" w:hAnsi="Book Antiqua"/>
          <w:b/>
          <w:sz w:val="24"/>
          <w:szCs w:val="24"/>
          <w:lang w:val="en-GB"/>
        </w:rPr>
        <w:t>2016 Colorectal Cancer: Global view</w:t>
      </w:r>
    </w:p>
    <w:p w14:paraId="15D2F094" w14:textId="77777777" w:rsidR="00C26F12" w:rsidRPr="00EE48E2" w:rsidRDefault="00C26F12" w:rsidP="004D1833">
      <w:pPr>
        <w:adjustRightInd w:val="0"/>
        <w:snapToGrid w:val="0"/>
        <w:spacing w:after="0" w:line="360" w:lineRule="auto"/>
        <w:jc w:val="both"/>
        <w:rPr>
          <w:rFonts w:ascii="Book Antiqua" w:hAnsi="Book Antiqua"/>
          <w:b/>
          <w:sz w:val="24"/>
          <w:szCs w:val="24"/>
          <w:lang w:val="en-GB" w:eastAsia="zh-CN"/>
        </w:rPr>
      </w:pPr>
    </w:p>
    <w:p w14:paraId="67FBCB98" w14:textId="35EE5C90" w:rsidR="00782492" w:rsidRPr="00EE48E2" w:rsidRDefault="00782492" w:rsidP="004D1833">
      <w:pPr>
        <w:adjustRightInd w:val="0"/>
        <w:snapToGrid w:val="0"/>
        <w:spacing w:after="0" w:line="360" w:lineRule="auto"/>
        <w:jc w:val="both"/>
        <w:rPr>
          <w:rFonts w:ascii="Book Antiqua" w:hAnsi="Book Antiqua"/>
          <w:b/>
          <w:sz w:val="24"/>
          <w:szCs w:val="24"/>
          <w:lang w:val="en-GB" w:eastAsia="zh-CN"/>
        </w:rPr>
      </w:pPr>
      <w:bookmarkStart w:id="82" w:name="OLE_LINK3268"/>
      <w:bookmarkStart w:id="83" w:name="OLE_LINK3269"/>
      <w:r w:rsidRPr="00EE48E2">
        <w:rPr>
          <w:rFonts w:ascii="Book Antiqua" w:hAnsi="Book Antiqua"/>
          <w:b/>
          <w:sz w:val="24"/>
          <w:szCs w:val="24"/>
          <w:lang w:val="en-GB"/>
        </w:rPr>
        <w:t>Mechanisms of resistance to anti-</w:t>
      </w:r>
      <w:r w:rsidR="008302B7" w:rsidRPr="00EE48E2">
        <w:rPr>
          <w:rFonts w:ascii="Book Antiqua" w:hAnsi="Book Antiqua"/>
          <w:b/>
          <w:sz w:val="24"/>
          <w:szCs w:val="24"/>
          <w:lang w:val="en-GB"/>
        </w:rPr>
        <w:t xml:space="preserve">epidermal growth factor receptor </w:t>
      </w:r>
      <w:r w:rsidRPr="00EE48E2">
        <w:rPr>
          <w:rFonts w:ascii="Book Antiqua" w:hAnsi="Book Antiqua"/>
          <w:b/>
          <w:sz w:val="24"/>
          <w:szCs w:val="24"/>
          <w:lang w:val="en-GB"/>
        </w:rPr>
        <w:t xml:space="preserve">inhibitors </w:t>
      </w:r>
      <w:r w:rsidR="00C26F12" w:rsidRPr="00EE48E2">
        <w:rPr>
          <w:rFonts w:ascii="Book Antiqua" w:hAnsi="Book Antiqua"/>
          <w:b/>
          <w:sz w:val="24"/>
          <w:szCs w:val="24"/>
          <w:lang w:val="en-GB"/>
        </w:rPr>
        <w:t>in metastatic colorectal cancer</w:t>
      </w:r>
    </w:p>
    <w:bookmarkEnd w:id="82"/>
    <w:bookmarkEnd w:id="83"/>
    <w:p w14:paraId="41BE64EE" w14:textId="77777777" w:rsidR="00782492" w:rsidRPr="00EE48E2" w:rsidRDefault="00782492" w:rsidP="004D1833">
      <w:pPr>
        <w:adjustRightInd w:val="0"/>
        <w:snapToGrid w:val="0"/>
        <w:spacing w:after="0" w:line="360" w:lineRule="auto"/>
        <w:jc w:val="both"/>
        <w:rPr>
          <w:rFonts w:ascii="Book Antiqua" w:hAnsi="Book Antiqua"/>
          <w:b/>
          <w:sz w:val="24"/>
          <w:szCs w:val="24"/>
          <w:lang w:val="en-GB"/>
        </w:rPr>
      </w:pPr>
    </w:p>
    <w:p w14:paraId="774AEE8B" w14:textId="322388D1" w:rsidR="00782492" w:rsidRPr="00EE48E2" w:rsidRDefault="00C26F12" w:rsidP="004D1833">
      <w:pPr>
        <w:adjustRightInd w:val="0"/>
        <w:snapToGrid w:val="0"/>
        <w:spacing w:after="0" w:line="360" w:lineRule="auto"/>
        <w:jc w:val="both"/>
        <w:rPr>
          <w:rFonts w:ascii="Book Antiqua" w:hAnsi="Book Antiqua"/>
          <w:sz w:val="24"/>
          <w:szCs w:val="24"/>
          <w:lang w:val="en-US" w:eastAsia="zh-CN"/>
        </w:rPr>
      </w:pPr>
      <w:r w:rsidRPr="00EE48E2">
        <w:rPr>
          <w:rFonts w:ascii="Book Antiqua" w:hAnsi="Book Antiqua"/>
          <w:sz w:val="24"/>
          <w:szCs w:val="24"/>
          <w:lang w:eastAsia="zh-CN"/>
        </w:rPr>
        <w:t>Sforza</w:t>
      </w:r>
      <w:r w:rsidRPr="00EE48E2">
        <w:rPr>
          <w:rFonts w:ascii="Book Antiqua" w:hAnsi="Book Antiqua"/>
          <w:sz w:val="24"/>
          <w:szCs w:val="24"/>
          <w:lang w:val="en-US" w:eastAsia="zh-CN"/>
        </w:rPr>
        <w:t xml:space="preserve"> </w:t>
      </w:r>
      <w:r w:rsidRPr="00EE48E2">
        <w:rPr>
          <w:rFonts w:ascii="Book Antiqua" w:hAnsi="Book Antiqua" w:hint="eastAsia"/>
          <w:sz w:val="24"/>
          <w:szCs w:val="24"/>
          <w:lang w:val="en-US" w:eastAsia="zh-CN"/>
        </w:rPr>
        <w:t xml:space="preserve">V </w:t>
      </w:r>
      <w:r w:rsidRPr="00EE48E2">
        <w:rPr>
          <w:rFonts w:ascii="Book Antiqua" w:hAnsi="Book Antiqua" w:hint="eastAsia"/>
          <w:i/>
          <w:sz w:val="24"/>
          <w:szCs w:val="24"/>
          <w:lang w:val="en-US" w:eastAsia="zh-CN"/>
        </w:rPr>
        <w:t>et al.</w:t>
      </w:r>
      <w:r w:rsidRPr="00EE48E2">
        <w:rPr>
          <w:rFonts w:ascii="Book Antiqua" w:hAnsi="Book Antiqua" w:hint="eastAsia"/>
          <w:sz w:val="24"/>
          <w:szCs w:val="24"/>
          <w:lang w:val="en-US" w:eastAsia="zh-CN"/>
        </w:rPr>
        <w:t xml:space="preserve"> </w:t>
      </w:r>
      <w:r w:rsidR="00782492" w:rsidRPr="00EE48E2">
        <w:rPr>
          <w:rFonts w:ascii="Book Antiqua" w:hAnsi="Book Antiqua"/>
          <w:sz w:val="24"/>
          <w:szCs w:val="24"/>
          <w:lang w:val="en-US" w:eastAsia="zh-CN"/>
        </w:rPr>
        <w:t>Res</w:t>
      </w:r>
      <w:r w:rsidRPr="00EE48E2">
        <w:rPr>
          <w:rFonts w:ascii="Book Antiqua" w:hAnsi="Book Antiqua"/>
          <w:sz w:val="24"/>
          <w:szCs w:val="24"/>
          <w:lang w:val="en-US" w:eastAsia="zh-CN"/>
        </w:rPr>
        <w:t>istance to anti-EGFR inhibitors</w:t>
      </w:r>
    </w:p>
    <w:p w14:paraId="10AE3113" w14:textId="77777777" w:rsidR="00782492" w:rsidRPr="00EE48E2" w:rsidRDefault="00782492" w:rsidP="004D1833">
      <w:pPr>
        <w:adjustRightInd w:val="0"/>
        <w:snapToGrid w:val="0"/>
        <w:spacing w:after="0" w:line="360" w:lineRule="auto"/>
        <w:jc w:val="both"/>
        <w:rPr>
          <w:rFonts w:ascii="Book Antiqua" w:hAnsi="Book Antiqua"/>
          <w:sz w:val="24"/>
          <w:szCs w:val="24"/>
          <w:lang w:val="en-US" w:eastAsia="zh-CN"/>
        </w:rPr>
      </w:pPr>
    </w:p>
    <w:p w14:paraId="0451C3AF" w14:textId="7412286F" w:rsidR="00782492" w:rsidRPr="00EE48E2" w:rsidRDefault="00782492" w:rsidP="004D1833">
      <w:pPr>
        <w:adjustRightInd w:val="0"/>
        <w:snapToGrid w:val="0"/>
        <w:spacing w:after="0" w:line="360" w:lineRule="auto"/>
        <w:jc w:val="both"/>
        <w:rPr>
          <w:rFonts w:ascii="Book Antiqua" w:hAnsi="Book Antiqua"/>
          <w:sz w:val="24"/>
          <w:szCs w:val="24"/>
          <w:lang w:eastAsia="zh-CN"/>
        </w:rPr>
      </w:pPr>
      <w:bookmarkStart w:id="84" w:name="OLE_LINK3267"/>
      <w:bookmarkStart w:id="85" w:name="OLE_LINK3270"/>
      <w:bookmarkStart w:id="86" w:name="OLE_LINK3271"/>
      <w:r w:rsidRPr="00EE48E2">
        <w:rPr>
          <w:rFonts w:ascii="Book Antiqua" w:hAnsi="Book Antiqua"/>
          <w:sz w:val="24"/>
          <w:szCs w:val="24"/>
          <w:lang w:eastAsia="zh-CN"/>
        </w:rPr>
        <w:t>Vincenzo Sforza</w:t>
      </w:r>
      <w:bookmarkEnd w:id="84"/>
      <w:r w:rsidRPr="00EE48E2">
        <w:rPr>
          <w:rFonts w:ascii="Book Antiqua" w:hAnsi="Book Antiqua"/>
          <w:sz w:val="24"/>
          <w:szCs w:val="24"/>
          <w:lang w:eastAsia="zh-CN"/>
        </w:rPr>
        <w:t xml:space="preserve">, Erika Martinelli, Fortunato Ciardiello, Valentina Gambardella, Stefania Napolitano, Giulia Martini, Carminia della Corte, Claudia Cardone, Marianna L Ferrara, Alfonso Reginelli, Giuseppina Liguori, </w:t>
      </w:r>
      <w:r w:rsidR="00E44444" w:rsidRPr="00EE48E2">
        <w:rPr>
          <w:rFonts w:ascii="Book Antiqua" w:hAnsi="Book Antiqua"/>
          <w:sz w:val="24"/>
          <w:szCs w:val="24"/>
          <w:lang w:eastAsia="zh-CN"/>
        </w:rPr>
        <w:t>Giulio Belli</w:t>
      </w:r>
      <w:r w:rsidR="00E44444" w:rsidRPr="00EE48E2">
        <w:rPr>
          <w:rFonts w:ascii="Book Antiqua" w:hAnsi="Book Antiqua" w:hint="eastAsia"/>
          <w:sz w:val="24"/>
          <w:szCs w:val="24"/>
          <w:lang w:eastAsia="zh-CN"/>
        </w:rPr>
        <w:t xml:space="preserve">, </w:t>
      </w:r>
      <w:r w:rsidR="00947AC6" w:rsidRPr="00EE48E2">
        <w:rPr>
          <w:rFonts w:ascii="Book Antiqua" w:hAnsi="Book Antiqua"/>
          <w:sz w:val="24"/>
          <w:szCs w:val="24"/>
          <w:lang w:eastAsia="zh-CN"/>
        </w:rPr>
        <w:t>Teresa Troiani</w:t>
      </w:r>
    </w:p>
    <w:bookmarkEnd w:id="85"/>
    <w:bookmarkEnd w:id="86"/>
    <w:p w14:paraId="4FCCCDA4" w14:textId="77777777" w:rsidR="00782492" w:rsidRPr="00EE48E2" w:rsidRDefault="00782492" w:rsidP="004D1833">
      <w:pPr>
        <w:adjustRightInd w:val="0"/>
        <w:snapToGrid w:val="0"/>
        <w:spacing w:after="0" w:line="360" w:lineRule="auto"/>
        <w:jc w:val="both"/>
        <w:rPr>
          <w:rFonts w:ascii="Book Antiqua" w:hAnsi="Book Antiqua"/>
          <w:sz w:val="24"/>
          <w:szCs w:val="24"/>
          <w:lang w:eastAsia="zh-CN"/>
        </w:rPr>
      </w:pPr>
    </w:p>
    <w:p w14:paraId="54400616" w14:textId="39F4D400" w:rsidR="00782492" w:rsidRPr="00EE48E2" w:rsidRDefault="00782492" w:rsidP="004D1833">
      <w:pPr>
        <w:adjustRightInd w:val="0"/>
        <w:snapToGrid w:val="0"/>
        <w:spacing w:after="0" w:line="360" w:lineRule="auto"/>
        <w:jc w:val="both"/>
        <w:rPr>
          <w:rFonts w:ascii="Book Antiqua" w:hAnsi="Book Antiqua"/>
          <w:sz w:val="24"/>
          <w:szCs w:val="24"/>
          <w:lang w:eastAsia="zh-CN"/>
        </w:rPr>
      </w:pPr>
      <w:r w:rsidRPr="00EE48E2">
        <w:rPr>
          <w:rFonts w:ascii="Book Antiqua" w:hAnsi="Book Antiqua"/>
          <w:b/>
          <w:sz w:val="24"/>
          <w:szCs w:val="24"/>
          <w:lang w:eastAsia="zh-CN"/>
        </w:rPr>
        <w:t>Vincenzo Sforza, Erika Martinelli, Fortunato Ciardiello, , Stefania Napolitano, Giulia Martini, Carminia della Corte, Claudia Cardone, Marianna L Ferrara</w:t>
      </w:r>
      <w:r w:rsidRPr="00EE48E2">
        <w:rPr>
          <w:rFonts w:ascii="Book Antiqua" w:hAnsi="Book Antiqua"/>
          <w:sz w:val="24"/>
          <w:szCs w:val="24"/>
          <w:lang w:eastAsia="zh-CN"/>
        </w:rPr>
        <w:t>, Department of Internal and Experimental Medicine “F. Magrassi e A. Lanzara”, institute of Medical Oncology,</w:t>
      </w:r>
      <w:r w:rsidR="00EE48E2" w:rsidRPr="00EE48E2">
        <w:rPr>
          <w:rFonts w:ascii="Book Antiqua" w:hAnsi="Book Antiqua"/>
          <w:sz w:val="24"/>
          <w:szCs w:val="24"/>
          <w:lang w:eastAsia="zh-CN"/>
        </w:rPr>
        <w:t xml:space="preserve"> </w:t>
      </w:r>
      <w:r w:rsidRPr="00EE48E2">
        <w:rPr>
          <w:rFonts w:ascii="Book Antiqua" w:hAnsi="Book Antiqua"/>
          <w:sz w:val="24"/>
          <w:szCs w:val="24"/>
          <w:lang w:eastAsia="zh-CN"/>
        </w:rPr>
        <w:t xml:space="preserve">Seconda Università degli Studi di Napoli, 80131 Naples, </w:t>
      </w:r>
      <w:r w:rsidR="00C26F12" w:rsidRPr="00EE48E2">
        <w:rPr>
          <w:rFonts w:ascii="Book Antiqua" w:hAnsi="Book Antiqua"/>
          <w:sz w:val="24"/>
          <w:szCs w:val="24"/>
          <w:lang w:eastAsia="zh-CN"/>
        </w:rPr>
        <w:t>Italy</w:t>
      </w:r>
    </w:p>
    <w:p w14:paraId="10FDEE61" w14:textId="77777777" w:rsidR="00C26F12" w:rsidRPr="00EE48E2" w:rsidRDefault="00C26F12" w:rsidP="004D1833">
      <w:pPr>
        <w:adjustRightInd w:val="0"/>
        <w:snapToGrid w:val="0"/>
        <w:spacing w:after="0" w:line="360" w:lineRule="auto"/>
        <w:jc w:val="both"/>
        <w:rPr>
          <w:rFonts w:ascii="Book Antiqua" w:hAnsi="Book Antiqua"/>
          <w:sz w:val="24"/>
          <w:szCs w:val="24"/>
          <w:lang w:eastAsia="zh-CN"/>
        </w:rPr>
      </w:pPr>
    </w:p>
    <w:p w14:paraId="373651E2" w14:textId="5801B5FF" w:rsidR="00782492" w:rsidRPr="00EE48E2" w:rsidRDefault="00782492" w:rsidP="004D1833">
      <w:pPr>
        <w:adjustRightInd w:val="0"/>
        <w:snapToGrid w:val="0"/>
        <w:spacing w:after="0" w:line="360" w:lineRule="auto"/>
        <w:jc w:val="both"/>
        <w:rPr>
          <w:rFonts w:ascii="Book Antiqua" w:hAnsi="Book Antiqua"/>
          <w:sz w:val="24"/>
          <w:szCs w:val="24"/>
          <w:lang w:val="en-GB" w:eastAsia="zh-CN"/>
        </w:rPr>
      </w:pPr>
      <w:r w:rsidRPr="00EE48E2">
        <w:rPr>
          <w:rFonts w:ascii="Book Antiqua" w:hAnsi="Book Antiqua"/>
          <w:b/>
          <w:sz w:val="24"/>
          <w:szCs w:val="24"/>
          <w:lang w:val="en-GB" w:eastAsia="zh-CN"/>
        </w:rPr>
        <w:t xml:space="preserve">Valentina Gambardella, </w:t>
      </w:r>
      <w:r w:rsidRPr="00EE48E2">
        <w:rPr>
          <w:rFonts w:ascii="Book Antiqua" w:hAnsi="Book Antiqua"/>
          <w:sz w:val="24"/>
          <w:szCs w:val="24"/>
          <w:lang w:val="en-GB" w:eastAsia="zh-CN"/>
        </w:rPr>
        <w:t>Department of Medical Oncology, Biomedical Research Institute INCLIVA, Universi</w:t>
      </w:r>
      <w:r w:rsidR="00C26F12" w:rsidRPr="00EE48E2">
        <w:rPr>
          <w:rFonts w:ascii="Book Antiqua" w:hAnsi="Book Antiqua"/>
          <w:sz w:val="24"/>
          <w:szCs w:val="24"/>
          <w:lang w:val="en-GB" w:eastAsia="zh-CN"/>
        </w:rPr>
        <w:t xml:space="preserve">ty of Valencia, </w:t>
      </w:r>
      <w:bookmarkStart w:id="87" w:name="OLE_LINK3251"/>
      <w:bookmarkStart w:id="88" w:name="OLE_LINK3252"/>
      <w:r w:rsidR="00947AC6" w:rsidRPr="00EE48E2">
        <w:rPr>
          <w:rFonts w:ascii="Book Antiqua" w:hAnsi="Book Antiqua"/>
          <w:sz w:val="24"/>
          <w:szCs w:val="24"/>
          <w:lang w:val="en-GB" w:eastAsia="zh-CN"/>
        </w:rPr>
        <w:t xml:space="preserve">46940 </w:t>
      </w:r>
      <w:r w:rsidR="00C26F12" w:rsidRPr="00EE48E2">
        <w:rPr>
          <w:rFonts w:ascii="Book Antiqua" w:hAnsi="Book Antiqua"/>
          <w:sz w:val="24"/>
          <w:szCs w:val="24"/>
          <w:lang w:val="en-GB" w:eastAsia="zh-CN"/>
        </w:rPr>
        <w:t>Valencia</w:t>
      </w:r>
      <w:bookmarkEnd w:id="87"/>
      <w:bookmarkEnd w:id="88"/>
      <w:r w:rsidR="00C26F12" w:rsidRPr="00EE48E2">
        <w:rPr>
          <w:rFonts w:ascii="Book Antiqua" w:hAnsi="Book Antiqua"/>
          <w:sz w:val="24"/>
          <w:szCs w:val="24"/>
          <w:lang w:val="en-GB" w:eastAsia="zh-CN"/>
        </w:rPr>
        <w:t>, Spain</w:t>
      </w:r>
    </w:p>
    <w:p w14:paraId="17F93F60" w14:textId="77777777" w:rsidR="00C26F12" w:rsidRPr="00EE48E2" w:rsidRDefault="00C26F12" w:rsidP="004D1833">
      <w:pPr>
        <w:adjustRightInd w:val="0"/>
        <w:snapToGrid w:val="0"/>
        <w:spacing w:after="0" w:line="360" w:lineRule="auto"/>
        <w:jc w:val="both"/>
        <w:rPr>
          <w:rFonts w:ascii="Book Antiqua" w:hAnsi="Book Antiqua"/>
          <w:sz w:val="24"/>
          <w:szCs w:val="24"/>
          <w:lang w:val="en-GB" w:eastAsia="zh-CN"/>
        </w:rPr>
      </w:pPr>
    </w:p>
    <w:p w14:paraId="39F0276A" w14:textId="437554D6" w:rsidR="00782492" w:rsidRPr="00EE48E2" w:rsidRDefault="00782492" w:rsidP="004D1833">
      <w:pPr>
        <w:adjustRightInd w:val="0"/>
        <w:snapToGrid w:val="0"/>
        <w:spacing w:after="0" w:line="360" w:lineRule="auto"/>
        <w:jc w:val="both"/>
        <w:rPr>
          <w:rFonts w:ascii="Book Antiqua" w:hAnsi="Book Antiqua"/>
          <w:sz w:val="24"/>
          <w:szCs w:val="24"/>
          <w:lang w:eastAsia="zh-CN"/>
        </w:rPr>
      </w:pPr>
      <w:r w:rsidRPr="00EE48E2">
        <w:rPr>
          <w:rFonts w:ascii="Book Antiqua" w:hAnsi="Book Antiqua"/>
          <w:b/>
          <w:sz w:val="24"/>
          <w:szCs w:val="24"/>
          <w:lang w:eastAsia="zh-CN"/>
        </w:rPr>
        <w:t xml:space="preserve">Alfonso Reginelli, </w:t>
      </w:r>
      <w:r w:rsidRPr="00EE48E2">
        <w:rPr>
          <w:rFonts w:ascii="Book Antiqua" w:hAnsi="Book Antiqua"/>
          <w:sz w:val="24"/>
          <w:szCs w:val="24"/>
          <w:lang w:eastAsia="zh-CN"/>
        </w:rPr>
        <w:t>Department of Internal and Experimental Medicine, Magrassi-Lanzara, Institute of Radiology, Seconda Univ</w:t>
      </w:r>
      <w:r w:rsidR="00C26F12" w:rsidRPr="00EE48E2">
        <w:rPr>
          <w:rFonts w:ascii="Book Antiqua" w:hAnsi="Book Antiqua"/>
          <w:sz w:val="24"/>
          <w:szCs w:val="24"/>
          <w:lang w:eastAsia="zh-CN"/>
        </w:rPr>
        <w:t xml:space="preserve">ersità di Napoli, </w:t>
      </w:r>
      <w:r w:rsidR="00947AC6" w:rsidRPr="00EE48E2">
        <w:rPr>
          <w:rFonts w:ascii="Book Antiqua" w:hAnsi="Book Antiqua"/>
          <w:sz w:val="24"/>
          <w:szCs w:val="24"/>
          <w:lang w:eastAsia="zh-CN"/>
        </w:rPr>
        <w:t xml:space="preserve">80131 </w:t>
      </w:r>
      <w:r w:rsidR="00C26F12" w:rsidRPr="00EE48E2">
        <w:rPr>
          <w:rFonts w:ascii="Book Antiqua" w:hAnsi="Book Antiqua"/>
          <w:sz w:val="24"/>
          <w:szCs w:val="24"/>
          <w:lang w:eastAsia="zh-CN"/>
        </w:rPr>
        <w:t>Naples, Italy</w:t>
      </w:r>
    </w:p>
    <w:p w14:paraId="30C92F35" w14:textId="77777777" w:rsidR="00C26F12" w:rsidRPr="00EE48E2" w:rsidRDefault="00C26F12" w:rsidP="004D1833">
      <w:pPr>
        <w:adjustRightInd w:val="0"/>
        <w:snapToGrid w:val="0"/>
        <w:spacing w:after="0" w:line="360" w:lineRule="auto"/>
        <w:jc w:val="both"/>
        <w:rPr>
          <w:rFonts w:ascii="Book Antiqua" w:hAnsi="Book Antiqua"/>
          <w:b/>
          <w:sz w:val="24"/>
          <w:szCs w:val="24"/>
          <w:lang w:eastAsia="zh-CN"/>
        </w:rPr>
      </w:pPr>
    </w:p>
    <w:p w14:paraId="4D24DEF4" w14:textId="4F4DC4AA" w:rsidR="00782492" w:rsidRPr="00EE48E2" w:rsidRDefault="00782492" w:rsidP="004D1833">
      <w:pPr>
        <w:adjustRightInd w:val="0"/>
        <w:snapToGrid w:val="0"/>
        <w:spacing w:after="0" w:line="360" w:lineRule="auto"/>
        <w:jc w:val="both"/>
        <w:rPr>
          <w:rFonts w:ascii="Book Antiqua" w:hAnsi="Book Antiqua"/>
          <w:b/>
          <w:sz w:val="24"/>
          <w:szCs w:val="24"/>
          <w:lang w:eastAsia="zh-CN"/>
        </w:rPr>
      </w:pPr>
      <w:r w:rsidRPr="00EE48E2">
        <w:rPr>
          <w:rFonts w:ascii="Book Antiqua" w:hAnsi="Book Antiqua"/>
          <w:b/>
          <w:sz w:val="24"/>
          <w:szCs w:val="24"/>
          <w:lang w:eastAsia="zh-CN"/>
        </w:rPr>
        <w:t xml:space="preserve">Giuseppina Liguori, </w:t>
      </w:r>
      <w:r w:rsidRPr="00EE48E2">
        <w:rPr>
          <w:rFonts w:ascii="Book Antiqua" w:hAnsi="Book Antiqua"/>
          <w:sz w:val="24"/>
          <w:szCs w:val="24"/>
          <w:lang w:eastAsia="zh-CN"/>
        </w:rPr>
        <w:t xml:space="preserve">Department of Pathology, Istituto Nazionale Tumori "Fond. Pascale" - IRCCS, </w:t>
      </w:r>
      <w:r w:rsidR="00947AC6" w:rsidRPr="00EE48E2">
        <w:rPr>
          <w:rFonts w:ascii="Book Antiqua" w:hAnsi="Book Antiqua"/>
          <w:sz w:val="24"/>
          <w:szCs w:val="24"/>
          <w:lang w:eastAsia="zh-CN"/>
        </w:rPr>
        <w:t>80142</w:t>
      </w:r>
      <w:r w:rsidR="00947AC6" w:rsidRPr="00EE48E2">
        <w:rPr>
          <w:rFonts w:ascii="Book Antiqua" w:hAnsi="Book Antiqua" w:hint="eastAsia"/>
          <w:sz w:val="24"/>
          <w:szCs w:val="24"/>
          <w:lang w:eastAsia="zh-CN"/>
        </w:rPr>
        <w:t xml:space="preserve"> </w:t>
      </w:r>
      <w:r w:rsidRPr="00EE48E2">
        <w:rPr>
          <w:rFonts w:ascii="Book Antiqua" w:hAnsi="Book Antiqua"/>
          <w:sz w:val="24"/>
          <w:szCs w:val="24"/>
          <w:lang w:eastAsia="zh-CN"/>
        </w:rPr>
        <w:t>Napoli, Italy</w:t>
      </w:r>
    </w:p>
    <w:p w14:paraId="6C976557" w14:textId="77777777" w:rsidR="00C26F12" w:rsidRPr="00EE48E2" w:rsidRDefault="00C26F12" w:rsidP="004D1833">
      <w:pPr>
        <w:adjustRightInd w:val="0"/>
        <w:snapToGrid w:val="0"/>
        <w:spacing w:after="0" w:line="360" w:lineRule="auto"/>
        <w:jc w:val="both"/>
        <w:rPr>
          <w:rFonts w:ascii="Book Antiqua" w:hAnsi="Book Antiqua"/>
          <w:b/>
          <w:sz w:val="24"/>
          <w:szCs w:val="24"/>
          <w:lang w:eastAsia="zh-CN"/>
        </w:rPr>
      </w:pPr>
    </w:p>
    <w:p w14:paraId="1A8A217E" w14:textId="13E815F4" w:rsidR="00782492" w:rsidRPr="00EE48E2" w:rsidRDefault="00782492" w:rsidP="004D1833">
      <w:pPr>
        <w:adjustRightInd w:val="0"/>
        <w:snapToGrid w:val="0"/>
        <w:spacing w:after="0" w:line="360" w:lineRule="auto"/>
        <w:jc w:val="both"/>
        <w:rPr>
          <w:rFonts w:ascii="Book Antiqua" w:hAnsi="Book Antiqua"/>
          <w:b/>
          <w:sz w:val="24"/>
          <w:szCs w:val="24"/>
          <w:lang w:eastAsia="zh-CN"/>
        </w:rPr>
      </w:pPr>
      <w:r w:rsidRPr="00EE48E2">
        <w:rPr>
          <w:rFonts w:ascii="Book Antiqua" w:hAnsi="Book Antiqua"/>
          <w:b/>
          <w:sz w:val="24"/>
          <w:szCs w:val="24"/>
          <w:lang w:eastAsia="zh-CN"/>
        </w:rPr>
        <w:t xml:space="preserve">Giulio Belli, </w:t>
      </w:r>
      <w:r w:rsidRPr="00EE48E2">
        <w:rPr>
          <w:rFonts w:ascii="Book Antiqua" w:hAnsi="Book Antiqua"/>
          <w:sz w:val="24"/>
          <w:szCs w:val="24"/>
          <w:lang w:eastAsia="zh-CN"/>
        </w:rPr>
        <w:t xml:space="preserve">Department of General and Hepato-Pancreato-Biliary Surgery, S. M. Loreto Nuovo </w:t>
      </w:r>
      <w:r w:rsidR="00C26F12" w:rsidRPr="00EE48E2">
        <w:rPr>
          <w:rFonts w:ascii="Book Antiqua" w:hAnsi="Book Antiqua"/>
          <w:sz w:val="24"/>
          <w:szCs w:val="24"/>
          <w:lang w:eastAsia="zh-CN"/>
        </w:rPr>
        <w:t xml:space="preserve">Hospital, </w:t>
      </w:r>
      <w:r w:rsidR="00947AC6" w:rsidRPr="00EE48E2">
        <w:rPr>
          <w:rFonts w:ascii="Book Antiqua" w:hAnsi="Book Antiqua" w:hint="eastAsia"/>
          <w:sz w:val="24"/>
          <w:szCs w:val="24"/>
          <w:lang w:eastAsia="zh-CN"/>
        </w:rPr>
        <w:t xml:space="preserve">80131 </w:t>
      </w:r>
      <w:r w:rsidR="00C26F12" w:rsidRPr="00EE48E2">
        <w:rPr>
          <w:rFonts w:ascii="Book Antiqua" w:hAnsi="Book Antiqua"/>
          <w:sz w:val="24"/>
          <w:szCs w:val="24"/>
          <w:lang w:eastAsia="zh-CN"/>
        </w:rPr>
        <w:t>Naples, Italy</w:t>
      </w:r>
    </w:p>
    <w:p w14:paraId="40339300" w14:textId="77777777" w:rsidR="00782492" w:rsidRPr="00EE48E2" w:rsidRDefault="00782492" w:rsidP="004D1833">
      <w:pPr>
        <w:adjustRightInd w:val="0"/>
        <w:snapToGrid w:val="0"/>
        <w:spacing w:after="0" w:line="360" w:lineRule="auto"/>
        <w:jc w:val="both"/>
        <w:rPr>
          <w:rFonts w:ascii="Book Antiqua" w:hAnsi="Book Antiqua"/>
          <w:sz w:val="24"/>
          <w:szCs w:val="24"/>
          <w:lang w:eastAsia="zh-CN"/>
        </w:rPr>
      </w:pPr>
    </w:p>
    <w:p w14:paraId="343AF6D2" w14:textId="77777777" w:rsidR="00782492" w:rsidRPr="00EE48E2" w:rsidRDefault="00782492" w:rsidP="004D1833">
      <w:pPr>
        <w:adjustRightInd w:val="0"/>
        <w:snapToGrid w:val="0"/>
        <w:spacing w:after="0" w:line="360" w:lineRule="auto"/>
        <w:jc w:val="both"/>
        <w:rPr>
          <w:rFonts w:ascii="Book Antiqua" w:hAnsi="Book Antiqua"/>
          <w:sz w:val="24"/>
          <w:szCs w:val="24"/>
          <w:lang w:eastAsia="zh-CN"/>
        </w:rPr>
      </w:pPr>
    </w:p>
    <w:p w14:paraId="7DCBC407" w14:textId="4B18E464" w:rsidR="00782492" w:rsidRPr="00EE48E2" w:rsidRDefault="00782492" w:rsidP="004D1833">
      <w:pPr>
        <w:adjustRightInd w:val="0"/>
        <w:snapToGrid w:val="0"/>
        <w:spacing w:after="0" w:line="360" w:lineRule="auto"/>
        <w:jc w:val="both"/>
        <w:rPr>
          <w:rFonts w:ascii="Book Antiqua" w:hAnsi="Book Antiqua"/>
          <w:b/>
          <w:sz w:val="24"/>
          <w:szCs w:val="24"/>
          <w:lang w:val="en-GB" w:eastAsia="zh-CN"/>
        </w:rPr>
      </w:pPr>
      <w:r w:rsidRPr="00EE48E2">
        <w:rPr>
          <w:rFonts w:ascii="Book Antiqua" w:hAnsi="Book Antiqua"/>
          <w:b/>
          <w:sz w:val="24"/>
          <w:szCs w:val="24"/>
          <w:lang w:val="en-GB" w:eastAsia="zh-CN"/>
        </w:rPr>
        <w:t>Author contribution</w:t>
      </w:r>
      <w:r w:rsidR="00947AC6" w:rsidRPr="00EE48E2">
        <w:rPr>
          <w:rFonts w:ascii="Book Antiqua" w:hAnsi="Book Antiqua" w:hint="eastAsia"/>
          <w:b/>
          <w:sz w:val="24"/>
          <w:szCs w:val="24"/>
          <w:lang w:val="en-GB" w:eastAsia="zh-CN"/>
        </w:rPr>
        <w:t>s</w:t>
      </w:r>
      <w:r w:rsidRPr="00EE48E2">
        <w:rPr>
          <w:rFonts w:ascii="Book Antiqua" w:hAnsi="Book Antiqua"/>
          <w:b/>
          <w:sz w:val="24"/>
          <w:szCs w:val="24"/>
          <w:lang w:val="en-GB" w:eastAsia="zh-CN"/>
        </w:rPr>
        <w:t>:</w:t>
      </w:r>
      <w:r w:rsidR="00EE48E2" w:rsidRPr="00EE48E2">
        <w:rPr>
          <w:rFonts w:ascii="Book Antiqua" w:hAnsi="Book Antiqua"/>
          <w:b/>
          <w:sz w:val="24"/>
          <w:szCs w:val="24"/>
          <w:lang w:val="en-GB" w:eastAsia="zh-CN"/>
        </w:rPr>
        <w:t xml:space="preserve"> </w:t>
      </w:r>
      <w:r w:rsidRPr="00EE48E2">
        <w:rPr>
          <w:rFonts w:ascii="Book Antiqua" w:hAnsi="Book Antiqua"/>
          <w:sz w:val="24"/>
          <w:szCs w:val="24"/>
          <w:lang w:val="en-GB" w:eastAsia="zh-CN"/>
        </w:rPr>
        <w:t>Sforza V performed research and wrote the paper; Martinelli E , Ciardiello F,</w:t>
      </w:r>
      <w:r w:rsidR="00EE48E2" w:rsidRPr="00EE48E2">
        <w:rPr>
          <w:rFonts w:ascii="Book Antiqua" w:hAnsi="Book Antiqua"/>
          <w:sz w:val="24"/>
          <w:szCs w:val="24"/>
          <w:lang w:val="en-GB" w:eastAsia="zh-CN"/>
        </w:rPr>
        <w:t xml:space="preserve"> </w:t>
      </w:r>
      <w:r w:rsidRPr="00EE48E2">
        <w:rPr>
          <w:rFonts w:ascii="Book Antiqua" w:hAnsi="Book Antiqua"/>
          <w:sz w:val="24"/>
          <w:szCs w:val="24"/>
          <w:lang w:val="en-GB" w:eastAsia="zh-CN"/>
        </w:rPr>
        <w:t xml:space="preserve">Gambardella V, Napolitano S, Martini G, </w:t>
      </w:r>
      <w:r w:rsidR="00E44444" w:rsidRPr="00EE48E2">
        <w:rPr>
          <w:rFonts w:ascii="Book Antiqua" w:hAnsi="Book Antiqua" w:hint="eastAsia"/>
          <w:sz w:val="24"/>
          <w:szCs w:val="24"/>
          <w:lang w:val="en-GB" w:eastAsia="zh-CN"/>
        </w:rPr>
        <w:t>d</w:t>
      </w:r>
      <w:r w:rsidRPr="00EE48E2">
        <w:rPr>
          <w:rFonts w:ascii="Book Antiqua" w:hAnsi="Book Antiqua"/>
          <w:sz w:val="24"/>
          <w:szCs w:val="24"/>
          <w:lang w:val="en-GB" w:eastAsia="zh-CN"/>
        </w:rPr>
        <w:t>ella Corte C, Cardone C, Ferrara ML, Reginelli A, Liguori G, Belli G and Troiani T contributed critical revision of the manuscript for important intellectual content.</w:t>
      </w:r>
    </w:p>
    <w:p w14:paraId="748EDEC9" w14:textId="77777777" w:rsidR="00782492" w:rsidRPr="00EE48E2" w:rsidRDefault="00782492" w:rsidP="004D1833">
      <w:pPr>
        <w:adjustRightInd w:val="0"/>
        <w:snapToGrid w:val="0"/>
        <w:spacing w:after="0" w:line="360" w:lineRule="auto"/>
        <w:jc w:val="both"/>
        <w:rPr>
          <w:rFonts w:ascii="Book Antiqua" w:hAnsi="Book Antiqua"/>
          <w:sz w:val="24"/>
          <w:szCs w:val="24"/>
          <w:lang w:val="en-GB" w:eastAsia="zh-CN"/>
        </w:rPr>
      </w:pPr>
    </w:p>
    <w:p w14:paraId="7E4CA5F8" w14:textId="7AD2A6A8" w:rsidR="00782492" w:rsidRPr="00EE48E2" w:rsidRDefault="00782492" w:rsidP="004D1833">
      <w:pPr>
        <w:adjustRightInd w:val="0"/>
        <w:snapToGrid w:val="0"/>
        <w:spacing w:after="0" w:line="360" w:lineRule="auto"/>
        <w:jc w:val="both"/>
        <w:rPr>
          <w:rFonts w:ascii="Book Antiqua" w:hAnsi="Book Antiqua" w:cs="TimesNewRomanPS-BoldItalicMT"/>
          <w:bCs/>
          <w:iCs/>
          <w:sz w:val="24"/>
          <w:szCs w:val="24"/>
          <w:lang w:val="en-GB" w:eastAsia="zh-CN"/>
        </w:rPr>
      </w:pPr>
      <w:bookmarkStart w:id="89" w:name="OLE_LINK102"/>
      <w:bookmarkStart w:id="90" w:name="OLE_LINK103"/>
      <w:bookmarkStart w:id="91" w:name="OLE_LINK177"/>
      <w:bookmarkStart w:id="92" w:name="OLE_LINK244"/>
      <w:bookmarkStart w:id="93" w:name="OLE_LINK83"/>
      <w:bookmarkStart w:id="94" w:name="OLE_LINK47"/>
      <w:bookmarkStart w:id="95" w:name="OLE_LINK55"/>
      <w:bookmarkStart w:id="96" w:name="OLE_LINK125"/>
      <w:bookmarkStart w:id="97" w:name="OLE_LINK156"/>
      <w:bookmarkStart w:id="98" w:name="OLE_LINK202"/>
      <w:bookmarkStart w:id="99" w:name="OLE_LINK203"/>
      <w:bookmarkStart w:id="100" w:name="OLE_LINK93"/>
      <w:bookmarkStart w:id="101" w:name="OLE_LINK27"/>
      <w:bookmarkStart w:id="102" w:name="OLE_LINK164"/>
      <w:bookmarkStart w:id="103" w:name="OLE_LINK185"/>
      <w:bookmarkStart w:id="104" w:name="OLE_LINK227"/>
      <w:bookmarkStart w:id="105" w:name="OLE_LINK264"/>
      <w:bookmarkStart w:id="106" w:name="OLE_LINK238"/>
      <w:bookmarkStart w:id="107" w:name="OLE_LINK322"/>
      <w:bookmarkStart w:id="108" w:name="OLE_LINK358"/>
      <w:bookmarkStart w:id="109" w:name="OLE_LINK359"/>
      <w:bookmarkStart w:id="110" w:name="OLE_LINK339"/>
      <w:bookmarkStart w:id="111" w:name="OLE_LINK364"/>
      <w:bookmarkStart w:id="112" w:name="OLE_LINK398"/>
      <w:bookmarkStart w:id="113" w:name="OLE_LINK296"/>
      <w:bookmarkStart w:id="114" w:name="OLE_LINK137"/>
      <w:bookmarkStart w:id="115" w:name="OLE_LINK409"/>
      <w:bookmarkStart w:id="116" w:name="OLE_LINK674"/>
      <w:bookmarkStart w:id="117" w:name="OLE_LINK411"/>
      <w:bookmarkStart w:id="118" w:name="OLE_LINK435"/>
      <w:bookmarkStart w:id="119" w:name="OLE_LINK492"/>
      <w:bookmarkStart w:id="120" w:name="OLE_LINK550"/>
      <w:bookmarkStart w:id="121" w:name="OLE_LINK524"/>
      <w:bookmarkStart w:id="122" w:name="OLE_LINK560"/>
      <w:bookmarkStart w:id="123" w:name="OLE_LINK536"/>
      <w:bookmarkStart w:id="124" w:name="OLE_LINK501"/>
      <w:bookmarkStart w:id="125" w:name="OLE_LINK665"/>
      <w:bookmarkStart w:id="126" w:name="OLE_LINK713"/>
      <w:bookmarkStart w:id="127" w:name="OLE_LINK570"/>
      <w:bookmarkStart w:id="128" w:name="OLE_LINK633"/>
      <w:bookmarkStart w:id="129" w:name="OLE_LINK749"/>
      <w:bookmarkStart w:id="130" w:name="OLE_LINK788"/>
      <w:bookmarkStart w:id="131" w:name="OLE_LINK594"/>
      <w:bookmarkStart w:id="132" w:name="OLE_LINK617"/>
      <w:bookmarkStart w:id="133" w:name="OLE_LINK806"/>
      <w:bookmarkStart w:id="134" w:name="OLE_LINK809"/>
      <w:bookmarkStart w:id="135" w:name="OLE_LINK697"/>
      <w:bookmarkStart w:id="136" w:name="OLE_LINK875"/>
      <w:bookmarkStart w:id="137" w:name="OLE_LINK746"/>
      <w:bookmarkStart w:id="138" w:name="OLE_LINK805"/>
      <w:bookmarkStart w:id="139" w:name="OLE_LINK824"/>
      <w:bookmarkStart w:id="140" w:name="OLE_LINK952"/>
      <w:bookmarkStart w:id="141" w:name="OLE_LINK884"/>
      <w:bookmarkStart w:id="142" w:name="OLE_LINK890"/>
      <w:bookmarkStart w:id="143" w:name="OLE_LINK966"/>
      <w:bookmarkStart w:id="144" w:name="OLE_LINK1017"/>
      <w:bookmarkStart w:id="145" w:name="OLE_LINK859"/>
      <w:bookmarkStart w:id="146" w:name="OLE_LINK867"/>
      <w:bookmarkStart w:id="147" w:name="OLE_LINK899"/>
      <w:bookmarkStart w:id="148" w:name="OLE_LINK935"/>
      <w:bookmarkStart w:id="149" w:name="OLE_LINK1039"/>
      <w:bookmarkStart w:id="150" w:name="OLE_LINK904"/>
      <w:bookmarkStart w:id="151" w:name="OLE_LINK1028"/>
      <w:bookmarkStart w:id="152" w:name="OLE_LINK1041"/>
      <w:bookmarkStart w:id="153" w:name="OLE_LINK1152"/>
      <w:bookmarkStart w:id="154" w:name="OLE_LINK910"/>
      <w:bookmarkStart w:id="155" w:name="OLE_LINK1124"/>
      <w:bookmarkStart w:id="156" w:name="OLE_LINK1127"/>
      <w:bookmarkStart w:id="157" w:name="OLE_LINK1156"/>
      <w:bookmarkStart w:id="158" w:name="OLE_LINK1222"/>
      <w:bookmarkStart w:id="159" w:name="OLE_LINK1223"/>
      <w:bookmarkStart w:id="160" w:name="OLE_LINK1053"/>
      <w:bookmarkStart w:id="161" w:name="OLE_LINK1240"/>
      <w:bookmarkStart w:id="162" w:name="OLE_LINK1160"/>
      <w:bookmarkStart w:id="163" w:name="OLE_LINK1164"/>
      <w:bookmarkStart w:id="164" w:name="OLE_LINK1215"/>
      <w:bookmarkStart w:id="165" w:name="OLE_LINK1216"/>
      <w:bookmarkStart w:id="166" w:name="OLE_LINK1171"/>
      <w:bookmarkStart w:id="167" w:name="OLE_LINK1230"/>
      <w:bookmarkStart w:id="168" w:name="OLE_LINK1323"/>
      <w:bookmarkStart w:id="169" w:name="OLE_LINK1359"/>
      <w:bookmarkStart w:id="170" w:name="OLE_LINK1364"/>
      <w:bookmarkStart w:id="171" w:name="OLE_LINK1396"/>
      <w:bookmarkStart w:id="172" w:name="OLE_LINK1563"/>
      <w:bookmarkStart w:id="173" w:name="OLE_LINK1564"/>
      <w:bookmarkStart w:id="174" w:name="OLE_LINK1615"/>
      <w:bookmarkStart w:id="175" w:name="OLE_LINK1652"/>
      <w:bookmarkStart w:id="176" w:name="OLE_LINK1376"/>
      <w:bookmarkStart w:id="177" w:name="OLE_LINK1342"/>
      <w:bookmarkStart w:id="178" w:name="OLE_LINK1419"/>
      <w:bookmarkStart w:id="179" w:name="OLE_LINK1404"/>
      <w:bookmarkStart w:id="180" w:name="OLE_LINK1427"/>
      <w:bookmarkStart w:id="181" w:name="OLE_LINK1484"/>
      <w:bookmarkStart w:id="182" w:name="OLE_LINK1575"/>
      <w:bookmarkStart w:id="183" w:name="OLE_LINK1352"/>
      <w:bookmarkStart w:id="184" w:name="OLE_LINK1423"/>
      <w:bookmarkStart w:id="185" w:name="OLE_LINK1424"/>
      <w:bookmarkStart w:id="186" w:name="OLE_LINK1497"/>
      <w:bookmarkStart w:id="187" w:name="OLE_LINK1372"/>
      <w:bookmarkStart w:id="188" w:name="OLE_LINK1467"/>
      <w:bookmarkStart w:id="189" w:name="OLE_LINK1601"/>
      <w:bookmarkStart w:id="190" w:name="OLE_LINK1675"/>
      <w:bookmarkStart w:id="191" w:name="OLE_LINK1735"/>
      <w:bookmarkStart w:id="192" w:name="OLE_LINK3350"/>
      <w:bookmarkStart w:id="193" w:name="OLE_LINK1553"/>
      <w:bookmarkStart w:id="194" w:name="OLE_LINK1607"/>
      <w:bookmarkStart w:id="195" w:name="OLE_LINK1658"/>
      <w:bookmarkStart w:id="196" w:name="OLE_LINK1590"/>
      <w:bookmarkStart w:id="197" w:name="OLE_LINK1592"/>
      <w:bookmarkStart w:id="198" w:name="OLE_LINK1620"/>
      <w:bookmarkStart w:id="199" w:name="OLE_LINK1678"/>
      <w:bookmarkStart w:id="200" w:name="OLE_LINK1690"/>
      <w:bookmarkStart w:id="201" w:name="OLE_LINK1725"/>
      <w:bookmarkStart w:id="202" w:name="OLE_LINK1771"/>
      <w:bookmarkStart w:id="203" w:name="OLE_LINK1852"/>
      <w:bookmarkStart w:id="204" w:name="OLE_LINK1794"/>
      <w:bookmarkStart w:id="205" w:name="OLE_LINK1779"/>
      <w:bookmarkStart w:id="206" w:name="OLE_LINK1946"/>
      <w:bookmarkStart w:id="207" w:name="OLE_LINK1947"/>
      <w:bookmarkStart w:id="208" w:name="OLE_LINK1788"/>
      <w:bookmarkStart w:id="209" w:name="OLE_LINK1930"/>
      <w:bookmarkStart w:id="210" w:name="OLE_LINK2049"/>
      <w:bookmarkStart w:id="211" w:name="OLE_LINK2079"/>
      <w:bookmarkStart w:id="212" w:name="OLE_LINK1863"/>
      <w:bookmarkStart w:id="213" w:name="OLE_LINK1976"/>
      <w:bookmarkStart w:id="214" w:name="OLE_LINK2021"/>
      <w:bookmarkStart w:id="215" w:name="OLE_LINK2058"/>
      <w:bookmarkStart w:id="216" w:name="OLE_LINK2084"/>
      <w:bookmarkStart w:id="217" w:name="OLE_LINK2030"/>
      <w:bookmarkStart w:id="218" w:name="OLE_LINK2120"/>
      <w:bookmarkStart w:id="219" w:name="OLE_LINK3399"/>
      <w:bookmarkStart w:id="220" w:name="OLE_LINK2097"/>
      <w:bookmarkStart w:id="221" w:name="OLE_LINK2172"/>
      <w:bookmarkStart w:id="222" w:name="OLE_LINK2173"/>
      <w:bookmarkStart w:id="223" w:name="OLE_LINK3339"/>
      <w:bookmarkStart w:id="224" w:name="OLE_LINK3348"/>
      <w:bookmarkStart w:id="225" w:name="OLE_LINK2184"/>
      <w:bookmarkStart w:id="226" w:name="OLE_LINK2140"/>
      <w:bookmarkStart w:id="227" w:name="OLE_LINK2324"/>
      <w:bookmarkStart w:id="228" w:name="OLE_LINK2348"/>
      <w:bookmarkStart w:id="229" w:name="OLE_LINK2238"/>
      <w:bookmarkStart w:id="230" w:name="OLE_LINK2365"/>
      <w:bookmarkStart w:id="231" w:name="OLE_LINK2409"/>
      <w:bookmarkStart w:id="232" w:name="OLE_LINK2335"/>
      <w:bookmarkStart w:id="233" w:name="OLE_LINK2436"/>
      <w:bookmarkStart w:id="234" w:name="OLE_LINK2463"/>
      <w:bookmarkStart w:id="235" w:name="OLE_LINK2519"/>
      <w:bookmarkStart w:id="236" w:name="OLE_LINK2481"/>
      <w:bookmarkStart w:id="237" w:name="OLE_LINK2491"/>
      <w:bookmarkStart w:id="238" w:name="OLE_LINK2507"/>
      <w:bookmarkStart w:id="239" w:name="OLE_LINK2508"/>
      <w:bookmarkStart w:id="240" w:name="OLE_LINK2560"/>
      <w:bookmarkStart w:id="241" w:name="OLE_LINK2604"/>
      <w:bookmarkStart w:id="242" w:name="OLE_LINK2645"/>
      <w:bookmarkStart w:id="243" w:name="OLE_LINK2549"/>
      <w:bookmarkStart w:id="244" w:name="OLE_LINK2542"/>
      <w:bookmarkStart w:id="245" w:name="OLE_LINK2585"/>
      <w:bookmarkStart w:id="246" w:name="OLE_LINK2588"/>
      <w:bookmarkStart w:id="247" w:name="OLE_LINK2633"/>
      <w:bookmarkStart w:id="248" w:name="OLE_LINK2667"/>
      <w:bookmarkStart w:id="249" w:name="OLE_LINK2575"/>
      <w:bookmarkStart w:id="250" w:name="OLE_LINK2635"/>
      <w:bookmarkStart w:id="251" w:name="OLE_LINK2652"/>
      <w:bookmarkStart w:id="252" w:name="OLE_LINK2715"/>
      <w:bookmarkStart w:id="253" w:name="OLE_LINK2753"/>
      <w:bookmarkStart w:id="254" w:name="OLE_LINK3404"/>
      <w:bookmarkStart w:id="255" w:name="OLE_LINK2706"/>
      <w:bookmarkStart w:id="256" w:name="OLE_LINK2788"/>
      <w:bookmarkStart w:id="257" w:name="OLE_LINK2797"/>
      <w:bookmarkStart w:id="258" w:name="OLE_LINK3457"/>
      <w:bookmarkStart w:id="259" w:name="OLE_LINK2884"/>
      <w:bookmarkStart w:id="260" w:name="OLE_LINK2892"/>
      <w:bookmarkStart w:id="261" w:name="OLE_LINK2930"/>
      <w:bookmarkStart w:id="262" w:name="OLE_LINK3488"/>
      <w:bookmarkStart w:id="263" w:name="OLE_LINK3494"/>
      <w:bookmarkStart w:id="264" w:name="OLE_LINK3000"/>
      <w:bookmarkStart w:id="265" w:name="OLE_LINK3104"/>
      <w:r w:rsidRPr="00EE48E2">
        <w:rPr>
          <w:rFonts w:ascii="Book Antiqua" w:hAnsi="Book Antiqua" w:cs="TimesNewRomanPS-BoldItalicMT"/>
          <w:b/>
          <w:bCs/>
          <w:iCs/>
          <w:sz w:val="24"/>
          <w:szCs w:val="24"/>
          <w:lang w:val="en-GB"/>
        </w:rPr>
        <w:t xml:space="preserve">Conflict-of-interest </w:t>
      </w:r>
      <w:bookmarkStart w:id="266" w:name="OLE_LINK2628"/>
      <w:bookmarkStart w:id="267" w:name="OLE_LINK3342"/>
      <w:r w:rsidRPr="00EE48E2">
        <w:rPr>
          <w:rFonts w:ascii="Book Antiqua" w:hAnsi="Book Antiqua" w:cs="TimesNewRomanPS-BoldItalicMT"/>
          <w:b/>
          <w:bCs/>
          <w:iCs/>
          <w:sz w:val="24"/>
          <w:szCs w:val="24"/>
          <w:lang w:val="en-GB"/>
        </w:rPr>
        <w:t>statement</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r w:rsidRPr="00EE48E2">
        <w:rPr>
          <w:rFonts w:ascii="Book Antiqua" w:hAnsi="Book Antiqua" w:cs="TimesNewRomanPS-BoldItalicMT"/>
          <w:b/>
          <w:bCs/>
          <w:iCs/>
          <w:sz w:val="24"/>
          <w:szCs w:val="24"/>
          <w:lang w:val="en-GB"/>
        </w:rPr>
        <w:t>:</w:t>
      </w:r>
      <w:r w:rsidR="00947AC6" w:rsidRPr="00EE48E2">
        <w:rPr>
          <w:rFonts w:ascii="Book Antiqua" w:hAnsi="Book Antiqua" w:cs="TimesNewRomanPS-BoldItalicMT" w:hint="eastAsia"/>
          <w:b/>
          <w:bCs/>
          <w:iCs/>
          <w:sz w:val="24"/>
          <w:szCs w:val="24"/>
          <w:lang w:val="en-GB" w:eastAsia="zh-CN"/>
        </w:rPr>
        <w:t xml:space="preserve"> </w:t>
      </w:r>
      <w:r w:rsidRPr="00EE48E2">
        <w:rPr>
          <w:rFonts w:ascii="Book Antiqua" w:hAnsi="Book Antiqua" w:cs="TimesNewRomanPS-BoldItalicMT"/>
          <w:bCs/>
          <w:iCs/>
          <w:sz w:val="24"/>
          <w:szCs w:val="24"/>
          <w:lang w:val="en-GB"/>
        </w:rPr>
        <w:t>No conflict of interest.</w:t>
      </w:r>
    </w:p>
    <w:p w14:paraId="27B0FCF1" w14:textId="77777777" w:rsidR="00947AC6" w:rsidRPr="00EE48E2" w:rsidRDefault="00947AC6" w:rsidP="004D1833">
      <w:pPr>
        <w:adjustRightInd w:val="0"/>
        <w:snapToGrid w:val="0"/>
        <w:spacing w:after="0" w:line="360" w:lineRule="auto"/>
        <w:jc w:val="both"/>
        <w:rPr>
          <w:rFonts w:ascii="Book Antiqua" w:hAnsi="Book Antiqua" w:cs="TimesNewRomanPS-BoldItalicMT"/>
          <w:bCs/>
          <w:iCs/>
          <w:sz w:val="24"/>
          <w:szCs w:val="24"/>
          <w:lang w:val="en-GB" w:eastAsia="zh-CN"/>
        </w:rPr>
      </w:pPr>
    </w:p>
    <w:p w14:paraId="035D449E" w14:textId="77777777" w:rsidR="00947AC6" w:rsidRPr="00EE48E2" w:rsidRDefault="00947AC6" w:rsidP="00947AC6">
      <w:pPr>
        <w:spacing w:after="0" w:line="360" w:lineRule="auto"/>
        <w:jc w:val="both"/>
        <w:rPr>
          <w:rFonts w:ascii="Book Antiqua" w:eastAsia="SimSun" w:hAnsi="Book Antiqua" w:cs="SimSun"/>
          <w:sz w:val="24"/>
          <w:szCs w:val="24"/>
          <w:lang w:val="en-US" w:eastAsia="zh-CN"/>
        </w:rPr>
      </w:pPr>
      <w:bookmarkStart w:id="268" w:name="OLE_LINK441"/>
      <w:bookmarkStart w:id="269" w:name="OLE_LINK442"/>
      <w:bookmarkStart w:id="270" w:name="OLE_LINK1032"/>
      <w:bookmarkStart w:id="271" w:name="OLE_LINK1232"/>
      <w:bookmarkStart w:id="272" w:name="OLE_LINK1460"/>
      <w:bookmarkStart w:id="273" w:name="OLE_LINK1568"/>
      <w:bookmarkStart w:id="274" w:name="OLE_LINK1708"/>
      <w:bookmarkStart w:id="275" w:name="OLE_LINK1435"/>
      <w:bookmarkStart w:id="276" w:name="OLE_LINK1478"/>
      <w:bookmarkStart w:id="277" w:name="OLE_LINK1428"/>
      <w:bookmarkStart w:id="278" w:name="OLE_LINK1355"/>
      <w:bookmarkStart w:id="279" w:name="OLE_LINK1425"/>
      <w:bookmarkStart w:id="280" w:name="OLE_LINK1504"/>
      <w:bookmarkStart w:id="281" w:name="OLE_LINK1544"/>
      <w:bookmarkStart w:id="282" w:name="OLE_LINK1680"/>
      <w:bookmarkStart w:id="283" w:name="OLE_LINK1710"/>
      <w:bookmarkStart w:id="284" w:name="OLE_LINK3317"/>
      <w:bookmarkStart w:id="285" w:name="OLE_LINK22"/>
      <w:bookmarkStart w:id="286" w:name="OLE_LINK1818"/>
      <w:bookmarkStart w:id="287" w:name="OLE_LINK1684"/>
      <w:bookmarkStart w:id="288" w:name="OLE_LINK1885"/>
      <w:bookmarkStart w:id="289" w:name="OLE_LINK1799"/>
      <w:bookmarkStart w:id="290" w:name="OLE_LINK1894"/>
      <w:bookmarkStart w:id="291" w:name="OLE_LINK732"/>
      <w:bookmarkStart w:id="292" w:name="OLE_LINK2053"/>
      <w:bookmarkStart w:id="293" w:name="OLE_LINK2096"/>
      <w:bookmarkStart w:id="294" w:name="OLE_LINK2174"/>
      <w:bookmarkStart w:id="295" w:name="OLE_LINK2108"/>
      <w:bookmarkStart w:id="296" w:name="OLE_LINK2183"/>
      <w:bookmarkStart w:id="297" w:name="OLE_LINK2328"/>
      <w:bookmarkStart w:id="298" w:name="OLE_LINK766"/>
      <w:bookmarkStart w:id="299" w:name="OLE_LINK2256"/>
      <w:bookmarkStart w:id="300" w:name="OLE_LINK38"/>
      <w:bookmarkStart w:id="301" w:name="OLE_LINK2368"/>
      <w:bookmarkStart w:id="302" w:name="OLE_LINK2351"/>
      <w:bookmarkStart w:id="303" w:name="OLE_LINK2446"/>
      <w:bookmarkStart w:id="304" w:name="OLE_LINK2509"/>
      <w:bookmarkStart w:id="305" w:name="OLE_LINK2651"/>
      <w:bookmarkStart w:id="306" w:name="OLE_LINK2842"/>
      <w:bookmarkStart w:id="307" w:name="OLE_LINK2909"/>
      <w:bookmarkStart w:id="308" w:name="OLE_LINK3004"/>
      <w:bookmarkStart w:id="309" w:name="OLE_LINK43"/>
      <w:bookmarkStart w:id="310" w:name="OLE_LINK3170"/>
      <w:bookmarkStart w:id="311" w:name="OLE_LINK3181"/>
      <w:bookmarkStart w:id="312" w:name="OLE_LINK3182"/>
      <w:r w:rsidRPr="00EE48E2">
        <w:rPr>
          <w:rFonts w:ascii="Book Antiqua" w:eastAsia="SimSun" w:hAnsi="Book Antiqua" w:cs="Times New Roman"/>
          <w:b/>
          <w:sz w:val="24"/>
          <w:szCs w:val="24"/>
          <w:lang w:val="en-US" w:eastAsia="zh-CN"/>
        </w:rPr>
        <w:t xml:space="preserve">Open-Access: </w:t>
      </w:r>
      <w:bookmarkStart w:id="313" w:name="OLE_LINK507"/>
      <w:bookmarkStart w:id="314" w:name="OLE_LINK506"/>
      <w:bookmarkStart w:id="315" w:name="OLE_LINK496"/>
      <w:bookmarkStart w:id="316" w:name="OLE_LINK479"/>
      <w:r w:rsidRPr="00EE48E2">
        <w:rPr>
          <w:rFonts w:ascii="Book Antiqua" w:eastAsia="SimSun" w:hAnsi="Book Antiqua" w:cs="Times New Roman"/>
          <w:kern w:val="2"/>
          <w:sz w:val="24"/>
          <w:szCs w:val="24"/>
          <w:lang w:val="en-US"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EE48E2">
          <w:rPr>
            <w:rFonts w:ascii="Book Antiqua" w:eastAsia="SimSun" w:hAnsi="Book Antiqua" w:cs="Times New Roman"/>
            <w:kern w:val="2"/>
            <w:sz w:val="24"/>
            <w:szCs w:val="24"/>
            <w:lang w:val="en-US" w:eastAsia="zh-CN"/>
          </w:rPr>
          <w:t>http://creativecommons.org/licenses/by-nc/4.0/</w:t>
        </w:r>
      </w:hyperlink>
      <w:bookmarkEnd w:id="313"/>
      <w:bookmarkEnd w:id="314"/>
      <w:bookmarkEnd w:id="315"/>
      <w:bookmarkEnd w:id="316"/>
    </w:p>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14:paraId="2C1E1CF8" w14:textId="77777777" w:rsidR="00947AC6" w:rsidRPr="00EE48E2" w:rsidRDefault="00947AC6" w:rsidP="00947AC6">
      <w:pPr>
        <w:widowControl w:val="0"/>
        <w:adjustRightInd w:val="0"/>
        <w:snapToGrid w:val="0"/>
        <w:spacing w:after="0" w:line="360" w:lineRule="auto"/>
        <w:jc w:val="both"/>
        <w:rPr>
          <w:rFonts w:ascii="Book Antiqua" w:eastAsia="SimSun" w:hAnsi="Book Antiqua" w:cs="Times New Roman"/>
          <w:b/>
          <w:kern w:val="2"/>
          <w:sz w:val="24"/>
          <w:szCs w:val="24"/>
          <w:lang w:val="en-US" w:eastAsia="zh-CN"/>
        </w:rPr>
      </w:pPr>
    </w:p>
    <w:p w14:paraId="1A4A1915" w14:textId="77777777" w:rsidR="00947AC6" w:rsidRPr="00EE48E2" w:rsidRDefault="00947AC6" w:rsidP="00947AC6">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bookmarkStart w:id="317" w:name="OLE_LINK3235"/>
      <w:bookmarkStart w:id="318" w:name="OLE_LINK3173"/>
      <w:bookmarkStart w:id="319" w:name="OLE_LINK3167"/>
      <w:bookmarkStart w:id="320" w:name="OLE_LINK3166"/>
      <w:r w:rsidRPr="00EE48E2">
        <w:rPr>
          <w:rFonts w:ascii="Book Antiqua" w:eastAsia="SimSun" w:hAnsi="Book Antiqua" w:cs="Times New Roman"/>
          <w:b/>
          <w:kern w:val="2"/>
          <w:sz w:val="24"/>
          <w:szCs w:val="24"/>
          <w:lang w:val="en-US" w:eastAsia="zh-CN"/>
        </w:rPr>
        <w:t xml:space="preserve">Manuscript source: </w:t>
      </w:r>
      <w:r w:rsidRPr="00EE48E2">
        <w:rPr>
          <w:rFonts w:ascii="Book Antiqua" w:eastAsia="SimSun" w:hAnsi="Book Antiqua" w:cs="Times New Roman"/>
          <w:kern w:val="2"/>
          <w:sz w:val="24"/>
          <w:szCs w:val="24"/>
          <w:lang w:val="en-US" w:eastAsia="zh-CN"/>
        </w:rPr>
        <w:t>Invited manuscript</w:t>
      </w:r>
      <w:bookmarkEnd w:id="311"/>
      <w:bookmarkEnd w:id="312"/>
      <w:bookmarkEnd w:id="317"/>
      <w:bookmarkEnd w:id="318"/>
      <w:bookmarkEnd w:id="319"/>
      <w:bookmarkEnd w:id="320"/>
    </w:p>
    <w:p w14:paraId="5D880E08" w14:textId="77777777" w:rsidR="00782492" w:rsidRPr="00EE48E2" w:rsidRDefault="00782492" w:rsidP="004D1833">
      <w:pPr>
        <w:adjustRightInd w:val="0"/>
        <w:snapToGrid w:val="0"/>
        <w:spacing w:after="0" w:line="360" w:lineRule="auto"/>
        <w:jc w:val="both"/>
        <w:rPr>
          <w:rFonts w:ascii="Book Antiqua" w:hAnsi="Book Antiqua"/>
          <w:b/>
          <w:sz w:val="24"/>
          <w:szCs w:val="24"/>
          <w:lang w:val="en-US" w:eastAsia="zh-CN"/>
        </w:rPr>
      </w:pPr>
    </w:p>
    <w:p w14:paraId="5CE3A0A3" w14:textId="0AC72ECB" w:rsidR="00782492" w:rsidRPr="00EE48E2" w:rsidRDefault="00782492" w:rsidP="004D1833">
      <w:pPr>
        <w:adjustRightInd w:val="0"/>
        <w:snapToGrid w:val="0"/>
        <w:spacing w:after="0" w:line="360" w:lineRule="auto"/>
        <w:jc w:val="both"/>
        <w:rPr>
          <w:rFonts w:ascii="Book Antiqua" w:hAnsi="Book Antiqua"/>
          <w:b/>
          <w:sz w:val="24"/>
          <w:szCs w:val="24"/>
          <w:lang w:val="en-US" w:eastAsia="zh-CN"/>
        </w:rPr>
      </w:pPr>
      <w:r w:rsidRPr="00EE48E2">
        <w:rPr>
          <w:rFonts w:ascii="Book Antiqua" w:hAnsi="Book Antiqua"/>
          <w:b/>
          <w:sz w:val="24"/>
          <w:szCs w:val="24"/>
          <w:lang w:val="es-ES_tradnl" w:eastAsia="zh-CN"/>
        </w:rPr>
        <w:t>Correspondence to:</w:t>
      </w:r>
      <w:r w:rsidR="00947AC6" w:rsidRPr="00EE48E2">
        <w:rPr>
          <w:rFonts w:ascii="Book Antiqua" w:hAnsi="Book Antiqua" w:hint="eastAsia"/>
          <w:b/>
          <w:sz w:val="24"/>
          <w:szCs w:val="24"/>
          <w:lang w:val="es-ES_tradnl" w:eastAsia="zh-CN"/>
        </w:rPr>
        <w:t xml:space="preserve"> </w:t>
      </w:r>
      <w:r w:rsidRPr="00EE48E2">
        <w:rPr>
          <w:rFonts w:ascii="Book Antiqua" w:hAnsi="Book Antiqua"/>
          <w:b/>
          <w:sz w:val="24"/>
          <w:szCs w:val="24"/>
          <w:lang w:eastAsia="zh-CN"/>
        </w:rPr>
        <w:t xml:space="preserve">Vincenzo Sforza, MD, </w:t>
      </w:r>
      <w:r w:rsidRPr="00EE48E2">
        <w:rPr>
          <w:rFonts w:ascii="Book Antiqua" w:hAnsi="Book Antiqua"/>
          <w:sz w:val="24"/>
          <w:szCs w:val="24"/>
          <w:lang w:eastAsia="zh-CN"/>
        </w:rPr>
        <w:t>Oncologia medica, Dipartimento di Medicina Clinica e Sperimentale “F. Magrassi e A. Lanzara”, Seconda Università degli Studi di Napoli,</w:t>
      </w:r>
      <w:r w:rsidR="00EE48E2" w:rsidRPr="00EE48E2">
        <w:rPr>
          <w:rFonts w:ascii="Book Antiqua" w:hAnsi="Book Antiqua"/>
          <w:sz w:val="24"/>
          <w:szCs w:val="24"/>
          <w:lang w:eastAsia="zh-CN"/>
        </w:rPr>
        <w:t xml:space="preserve"> </w:t>
      </w:r>
      <w:r w:rsidRPr="00EE48E2">
        <w:rPr>
          <w:rFonts w:ascii="Book Antiqua" w:hAnsi="Book Antiqua"/>
          <w:sz w:val="24"/>
          <w:szCs w:val="24"/>
          <w:lang w:eastAsia="zh-CN"/>
        </w:rPr>
        <w:t xml:space="preserve">via S. Pansini 5, 80131 Naples, Italy. </w:t>
      </w:r>
      <w:hyperlink r:id="rId9" w:tgtFrame="_blank" w:history="1">
        <w:r w:rsidRPr="00EE48E2">
          <w:rPr>
            <w:rStyle w:val="Hyperlink"/>
            <w:rFonts w:ascii="Book Antiqua" w:hAnsi="Book Antiqua"/>
            <w:color w:val="auto"/>
            <w:sz w:val="24"/>
            <w:szCs w:val="24"/>
            <w:u w:val="none"/>
            <w:lang w:val="en-GB" w:eastAsia="zh-CN"/>
          </w:rPr>
          <w:t>vincenzosforza83@gmail.com</w:t>
        </w:r>
      </w:hyperlink>
    </w:p>
    <w:p w14:paraId="239683FA" w14:textId="14F76C21" w:rsidR="00782492" w:rsidRPr="00EE48E2" w:rsidRDefault="00782492" w:rsidP="004D1833">
      <w:pPr>
        <w:adjustRightInd w:val="0"/>
        <w:snapToGrid w:val="0"/>
        <w:spacing w:after="0" w:line="360" w:lineRule="auto"/>
        <w:jc w:val="both"/>
        <w:rPr>
          <w:rFonts w:ascii="Book Antiqua" w:hAnsi="Book Antiqua"/>
          <w:sz w:val="24"/>
          <w:szCs w:val="24"/>
          <w:lang w:val="en-US" w:eastAsia="zh-CN"/>
        </w:rPr>
      </w:pPr>
      <w:r w:rsidRPr="00EE48E2">
        <w:rPr>
          <w:rFonts w:ascii="Book Antiqua" w:hAnsi="Book Antiqua"/>
          <w:b/>
          <w:sz w:val="24"/>
          <w:szCs w:val="24"/>
          <w:lang w:val="en-US" w:eastAsia="zh-CN"/>
        </w:rPr>
        <w:t>Telephone:</w:t>
      </w:r>
      <w:r w:rsidRPr="00EE48E2">
        <w:rPr>
          <w:rFonts w:ascii="Book Antiqua" w:hAnsi="Book Antiqua"/>
          <w:sz w:val="24"/>
          <w:szCs w:val="24"/>
          <w:lang w:val="en-US" w:eastAsia="zh-CN"/>
        </w:rPr>
        <w:t xml:space="preserve"> </w:t>
      </w:r>
      <w:r w:rsidR="00947AC6" w:rsidRPr="00EE48E2">
        <w:rPr>
          <w:rFonts w:ascii="Book Antiqua" w:hAnsi="Book Antiqua" w:hint="eastAsia"/>
          <w:sz w:val="24"/>
          <w:szCs w:val="24"/>
          <w:lang w:val="en-US" w:eastAsia="zh-CN"/>
        </w:rPr>
        <w:t>+</w:t>
      </w:r>
      <w:r w:rsidR="00947AC6" w:rsidRPr="00EE48E2">
        <w:rPr>
          <w:rFonts w:ascii="Book Antiqua" w:hAnsi="Book Antiqua"/>
          <w:sz w:val="24"/>
          <w:szCs w:val="24"/>
          <w:lang w:val="en-US" w:eastAsia="zh-CN"/>
        </w:rPr>
        <w:t>39-081-56667</w:t>
      </w:r>
      <w:r w:rsidRPr="00EE48E2">
        <w:rPr>
          <w:rFonts w:ascii="Book Antiqua" w:hAnsi="Book Antiqua"/>
          <w:sz w:val="24"/>
          <w:szCs w:val="24"/>
          <w:lang w:val="en-US" w:eastAsia="zh-CN"/>
        </w:rPr>
        <w:t>29</w:t>
      </w:r>
    </w:p>
    <w:p w14:paraId="6051E3D6" w14:textId="4D631A72" w:rsidR="00782492" w:rsidRPr="00EE48E2" w:rsidRDefault="00782492" w:rsidP="004D1833">
      <w:pPr>
        <w:adjustRightInd w:val="0"/>
        <w:snapToGrid w:val="0"/>
        <w:spacing w:after="0" w:line="360" w:lineRule="auto"/>
        <w:jc w:val="both"/>
        <w:rPr>
          <w:rFonts w:ascii="Book Antiqua" w:hAnsi="Book Antiqua"/>
          <w:sz w:val="24"/>
          <w:szCs w:val="24"/>
          <w:lang w:val="en-US" w:eastAsia="zh-CN"/>
        </w:rPr>
      </w:pPr>
      <w:r w:rsidRPr="00EE48E2">
        <w:rPr>
          <w:rFonts w:ascii="Book Antiqua" w:hAnsi="Book Antiqua"/>
          <w:b/>
          <w:sz w:val="24"/>
          <w:szCs w:val="24"/>
          <w:lang w:val="en-US" w:eastAsia="zh-CN"/>
        </w:rPr>
        <w:t>Fax:</w:t>
      </w:r>
      <w:r w:rsidRPr="00EE48E2">
        <w:rPr>
          <w:rFonts w:ascii="Book Antiqua" w:hAnsi="Book Antiqua"/>
          <w:sz w:val="24"/>
          <w:szCs w:val="24"/>
          <w:lang w:val="en-US" w:eastAsia="zh-CN"/>
        </w:rPr>
        <w:t xml:space="preserve"> </w:t>
      </w:r>
      <w:r w:rsidR="00947AC6" w:rsidRPr="00EE48E2">
        <w:rPr>
          <w:rFonts w:ascii="Book Antiqua" w:hAnsi="Book Antiqua" w:hint="eastAsia"/>
          <w:sz w:val="24"/>
          <w:szCs w:val="24"/>
          <w:lang w:val="en-US" w:eastAsia="zh-CN"/>
        </w:rPr>
        <w:t>+</w:t>
      </w:r>
      <w:r w:rsidR="00947AC6" w:rsidRPr="00EE48E2">
        <w:rPr>
          <w:rFonts w:ascii="Book Antiqua" w:hAnsi="Book Antiqua"/>
          <w:sz w:val="24"/>
          <w:szCs w:val="24"/>
          <w:lang w:val="en-US" w:eastAsia="zh-CN"/>
        </w:rPr>
        <w:t>39-081-56667</w:t>
      </w:r>
      <w:r w:rsidRPr="00EE48E2">
        <w:rPr>
          <w:rFonts w:ascii="Book Antiqua" w:hAnsi="Book Antiqua"/>
          <w:sz w:val="24"/>
          <w:szCs w:val="24"/>
          <w:lang w:val="en-US" w:eastAsia="zh-CN"/>
        </w:rPr>
        <w:t>45</w:t>
      </w:r>
    </w:p>
    <w:p w14:paraId="554EAF74" w14:textId="77777777" w:rsidR="00782492" w:rsidRPr="00EE48E2" w:rsidRDefault="00782492" w:rsidP="004D1833">
      <w:pPr>
        <w:adjustRightInd w:val="0"/>
        <w:snapToGrid w:val="0"/>
        <w:spacing w:after="0" w:line="360" w:lineRule="auto"/>
        <w:jc w:val="both"/>
        <w:rPr>
          <w:rFonts w:ascii="Book Antiqua" w:hAnsi="Book Antiqua"/>
          <w:b/>
          <w:sz w:val="24"/>
          <w:szCs w:val="24"/>
          <w:lang w:val="en-GB"/>
        </w:rPr>
      </w:pPr>
    </w:p>
    <w:p w14:paraId="236302F7" w14:textId="7BD0EBF1" w:rsidR="00695F2A" w:rsidRPr="00EE48E2" w:rsidRDefault="00695F2A" w:rsidP="00695F2A">
      <w:pPr>
        <w:widowControl w:val="0"/>
        <w:adjustRightInd w:val="0"/>
        <w:snapToGrid w:val="0"/>
        <w:spacing w:after="0" w:line="360" w:lineRule="auto"/>
        <w:jc w:val="both"/>
        <w:rPr>
          <w:rFonts w:ascii="Book Antiqua" w:eastAsia="SimSun" w:hAnsi="Book Antiqua" w:cs="Times New Roman"/>
          <w:b/>
          <w:bCs/>
          <w:kern w:val="2"/>
          <w:sz w:val="24"/>
          <w:szCs w:val="24"/>
          <w:lang w:val="en-US" w:eastAsia="zh-CN"/>
        </w:rPr>
      </w:pPr>
      <w:bookmarkStart w:id="321" w:name="OLE_LINK3243"/>
      <w:bookmarkStart w:id="322" w:name="OLE_LINK3168"/>
      <w:bookmarkStart w:id="323" w:name="OLE_LINK60"/>
      <w:bookmarkStart w:id="324" w:name="OLE_LINK59"/>
      <w:bookmarkStart w:id="325" w:name="OLE_LINK54"/>
      <w:bookmarkStart w:id="326" w:name="OLE_LINK2774"/>
      <w:bookmarkStart w:id="327" w:name="OLE_LINK2510"/>
      <w:bookmarkStart w:id="328" w:name="OLE_LINK2378"/>
      <w:bookmarkStart w:id="329" w:name="OLE_LINK2447"/>
      <w:bookmarkStart w:id="330" w:name="OLE_LINK2412"/>
      <w:bookmarkStart w:id="331" w:name="OLE_LINK42"/>
      <w:bookmarkStart w:id="332" w:name="OLE_LINK39"/>
      <w:bookmarkStart w:id="333" w:name="OLE_LINK767"/>
      <w:bookmarkStart w:id="334" w:name="OLE_LINK2100"/>
      <w:bookmarkStart w:id="335" w:name="OLE_LINK2054"/>
      <w:bookmarkStart w:id="336" w:name="OLE_LINK733"/>
      <w:bookmarkStart w:id="337" w:name="OLE_LINK29"/>
      <w:bookmarkStart w:id="338" w:name="OLE_LINK25"/>
      <w:bookmarkStart w:id="339" w:name="OLE_LINK1973"/>
      <w:bookmarkStart w:id="340" w:name="OLE_LINK1895"/>
      <w:bookmarkStart w:id="341" w:name="OLE_LINK1718"/>
      <w:bookmarkStart w:id="342" w:name="OLE_LINK1800"/>
      <w:bookmarkStart w:id="343" w:name="OLE_LINK1886"/>
      <w:bookmarkStart w:id="344" w:name="OLE_LINK1819"/>
      <w:bookmarkStart w:id="345" w:name="OLE_LINK1773"/>
      <w:bookmarkStart w:id="346" w:name="OLE_LINK1726"/>
      <w:bookmarkStart w:id="347" w:name="OLE_LINK1470"/>
      <w:bookmarkStart w:id="348" w:name="OLE_LINK1426"/>
      <w:bookmarkStart w:id="349" w:name="OLE_LINK1584"/>
      <w:bookmarkStart w:id="350" w:name="OLE_LINK1436"/>
      <w:bookmarkStart w:id="351" w:name="OLE_LINK1493"/>
      <w:bookmarkStart w:id="352" w:name="OLE_LINK1437"/>
      <w:bookmarkStart w:id="353" w:name="OLE_LINK1461"/>
      <w:bookmarkStart w:id="354" w:name="OLE_LINK1347"/>
      <w:bookmarkStart w:id="355" w:name="OLE_LINK1346"/>
      <w:r w:rsidRPr="00EE48E2">
        <w:rPr>
          <w:rFonts w:ascii="Book Antiqua" w:eastAsia="SimSun" w:hAnsi="Book Antiqua" w:cs="Times New Roman"/>
          <w:b/>
          <w:bCs/>
          <w:kern w:val="2"/>
          <w:sz w:val="24"/>
          <w:szCs w:val="24"/>
          <w:lang w:val="en-US" w:eastAsia="zh-CN"/>
        </w:rPr>
        <w:t xml:space="preserve">Received: </w:t>
      </w:r>
      <w:r w:rsidRPr="00EE48E2">
        <w:rPr>
          <w:rFonts w:ascii="Book Antiqua" w:eastAsia="SimSun" w:hAnsi="Book Antiqua" w:cs="Times New Roman"/>
          <w:bCs/>
          <w:kern w:val="2"/>
          <w:sz w:val="24"/>
          <w:szCs w:val="24"/>
          <w:lang w:val="en-US" w:eastAsia="zh-CN"/>
        </w:rPr>
        <w:t xml:space="preserve">March </w:t>
      </w:r>
      <w:r w:rsidRPr="00EE48E2">
        <w:rPr>
          <w:rFonts w:ascii="Book Antiqua" w:eastAsia="SimSun" w:hAnsi="Book Antiqua" w:cs="Times New Roman" w:hint="eastAsia"/>
          <w:bCs/>
          <w:kern w:val="2"/>
          <w:sz w:val="24"/>
          <w:szCs w:val="24"/>
          <w:lang w:val="en-US" w:eastAsia="zh-CN"/>
        </w:rPr>
        <w:t>29</w:t>
      </w:r>
      <w:r w:rsidRPr="00EE48E2">
        <w:rPr>
          <w:rFonts w:ascii="Book Antiqua" w:eastAsia="SimSun" w:hAnsi="Book Antiqua" w:cs="Times New Roman"/>
          <w:bCs/>
          <w:kern w:val="2"/>
          <w:sz w:val="24"/>
          <w:szCs w:val="24"/>
          <w:lang w:val="en-US" w:eastAsia="zh-CN"/>
        </w:rPr>
        <w:t>, 2016</w:t>
      </w:r>
    </w:p>
    <w:p w14:paraId="28758643" w14:textId="77AE58DE" w:rsidR="00695F2A" w:rsidRPr="00EE48E2" w:rsidRDefault="00695F2A" w:rsidP="00695F2A">
      <w:pPr>
        <w:widowControl w:val="0"/>
        <w:adjustRightInd w:val="0"/>
        <w:snapToGrid w:val="0"/>
        <w:spacing w:after="0" w:line="360" w:lineRule="auto"/>
        <w:jc w:val="both"/>
        <w:rPr>
          <w:rFonts w:ascii="Book Antiqua" w:eastAsia="SimSun" w:hAnsi="Book Antiqua" w:cs="Times New Roman"/>
          <w:bCs/>
          <w:kern w:val="2"/>
          <w:sz w:val="24"/>
          <w:szCs w:val="24"/>
          <w:lang w:val="en-US" w:eastAsia="zh-CN"/>
        </w:rPr>
      </w:pPr>
      <w:r w:rsidRPr="00EE48E2">
        <w:rPr>
          <w:rFonts w:ascii="Book Antiqua" w:eastAsia="SimSun" w:hAnsi="Book Antiqua" w:cs="Times New Roman"/>
          <w:b/>
          <w:bCs/>
          <w:kern w:val="2"/>
          <w:sz w:val="24"/>
          <w:szCs w:val="24"/>
          <w:lang w:val="en-US" w:eastAsia="zh-CN"/>
        </w:rPr>
        <w:t>Peer-review started:</w:t>
      </w:r>
      <w:r w:rsidRPr="00EE48E2">
        <w:rPr>
          <w:rFonts w:ascii="Book Antiqua" w:eastAsia="SimSun" w:hAnsi="Book Antiqua" w:cs="Times New Roman"/>
          <w:bCs/>
          <w:kern w:val="2"/>
          <w:sz w:val="24"/>
          <w:szCs w:val="24"/>
          <w:lang w:val="en-US" w:eastAsia="zh-CN"/>
        </w:rPr>
        <w:t xml:space="preserve"> </w:t>
      </w:r>
      <w:r w:rsidRPr="00EE48E2">
        <w:rPr>
          <w:rFonts w:ascii="Book Antiqua" w:eastAsia="SimSun" w:hAnsi="Book Antiqua" w:cs="Times New Roman" w:hint="eastAsia"/>
          <w:bCs/>
          <w:kern w:val="2"/>
          <w:sz w:val="24"/>
          <w:szCs w:val="24"/>
          <w:lang w:val="en-US" w:eastAsia="zh-CN"/>
        </w:rPr>
        <w:t>April</w:t>
      </w:r>
      <w:r w:rsidRPr="00EE48E2">
        <w:rPr>
          <w:rFonts w:ascii="Book Antiqua" w:eastAsia="SimSun" w:hAnsi="Book Antiqua" w:cs="Times New Roman"/>
          <w:bCs/>
          <w:kern w:val="2"/>
          <w:sz w:val="24"/>
          <w:szCs w:val="24"/>
          <w:lang w:val="en-US" w:eastAsia="zh-CN"/>
        </w:rPr>
        <w:t xml:space="preserve"> </w:t>
      </w:r>
      <w:r w:rsidRPr="00EE48E2">
        <w:rPr>
          <w:rFonts w:ascii="Book Antiqua" w:eastAsia="SimSun" w:hAnsi="Book Antiqua" w:cs="Times New Roman" w:hint="eastAsia"/>
          <w:bCs/>
          <w:kern w:val="2"/>
          <w:sz w:val="24"/>
          <w:szCs w:val="24"/>
          <w:lang w:val="en-US" w:eastAsia="zh-CN"/>
        </w:rPr>
        <w:t>4</w:t>
      </w:r>
      <w:r w:rsidRPr="00EE48E2">
        <w:rPr>
          <w:rFonts w:ascii="Book Antiqua" w:eastAsia="SimSun" w:hAnsi="Book Antiqua" w:cs="Times New Roman"/>
          <w:bCs/>
          <w:kern w:val="2"/>
          <w:sz w:val="24"/>
          <w:szCs w:val="24"/>
          <w:lang w:val="en-US" w:eastAsia="zh-CN"/>
        </w:rPr>
        <w:t>, 2016</w:t>
      </w:r>
    </w:p>
    <w:p w14:paraId="3FAC8B96" w14:textId="77777777" w:rsidR="00695F2A" w:rsidRPr="00EE48E2" w:rsidRDefault="00695F2A" w:rsidP="00695F2A">
      <w:pPr>
        <w:widowControl w:val="0"/>
        <w:adjustRightInd w:val="0"/>
        <w:snapToGrid w:val="0"/>
        <w:spacing w:after="0" w:line="360" w:lineRule="auto"/>
        <w:jc w:val="both"/>
        <w:rPr>
          <w:rFonts w:ascii="Book Antiqua" w:eastAsia="SimSun" w:hAnsi="Book Antiqua" w:cs="Times New Roman"/>
          <w:bCs/>
          <w:kern w:val="2"/>
          <w:sz w:val="24"/>
          <w:szCs w:val="24"/>
          <w:lang w:val="en-US" w:eastAsia="zh-CN"/>
        </w:rPr>
      </w:pPr>
      <w:bookmarkStart w:id="356" w:name="OLE_LINK24"/>
      <w:bookmarkStart w:id="357" w:name="OLE_LINK23"/>
      <w:r w:rsidRPr="00EE48E2">
        <w:rPr>
          <w:rFonts w:ascii="Book Antiqua" w:eastAsia="SimSun" w:hAnsi="Book Antiqua" w:cs="Times New Roman"/>
          <w:b/>
          <w:bCs/>
          <w:kern w:val="2"/>
          <w:sz w:val="24"/>
          <w:szCs w:val="24"/>
          <w:lang w:val="en-US" w:eastAsia="zh-CN"/>
        </w:rPr>
        <w:t>First decision:</w:t>
      </w:r>
      <w:r w:rsidRPr="00EE48E2">
        <w:rPr>
          <w:rFonts w:ascii="Book Antiqua" w:eastAsia="SimSun" w:hAnsi="Book Antiqua" w:cs="Times New Roman"/>
          <w:bCs/>
          <w:kern w:val="2"/>
          <w:sz w:val="24"/>
          <w:szCs w:val="24"/>
          <w:lang w:val="en-US" w:eastAsia="zh-CN"/>
        </w:rPr>
        <w:t xml:space="preserve"> May 12, 2016</w:t>
      </w:r>
    </w:p>
    <w:p w14:paraId="5973CBC3" w14:textId="4B457684" w:rsidR="00695F2A" w:rsidRPr="00EE48E2" w:rsidRDefault="00695F2A" w:rsidP="00695F2A">
      <w:pPr>
        <w:widowControl w:val="0"/>
        <w:adjustRightInd w:val="0"/>
        <w:snapToGrid w:val="0"/>
        <w:spacing w:after="0" w:line="360" w:lineRule="auto"/>
        <w:jc w:val="both"/>
        <w:rPr>
          <w:rFonts w:ascii="Book Antiqua" w:eastAsia="SimSun" w:hAnsi="Book Antiqua" w:cs="Times New Roman"/>
          <w:bCs/>
          <w:kern w:val="2"/>
          <w:sz w:val="24"/>
          <w:szCs w:val="24"/>
          <w:lang w:val="en-US" w:eastAsia="zh-CN"/>
        </w:rPr>
      </w:pPr>
      <w:r w:rsidRPr="00EE48E2">
        <w:rPr>
          <w:rFonts w:ascii="Book Antiqua" w:eastAsia="SimSun" w:hAnsi="Book Antiqua" w:cs="Times New Roman"/>
          <w:b/>
          <w:bCs/>
          <w:kern w:val="2"/>
          <w:sz w:val="24"/>
          <w:szCs w:val="24"/>
          <w:lang w:val="en-US" w:eastAsia="zh-CN"/>
        </w:rPr>
        <w:t>Revised:</w:t>
      </w:r>
      <w:r w:rsidRPr="00EE48E2">
        <w:rPr>
          <w:rFonts w:ascii="Book Antiqua" w:eastAsia="SimSun" w:hAnsi="Book Antiqua" w:cs="Times New Roman"/>
          <w:bCs/>
          <w:kern w:val="2"/>
          <w:sz w:val="24"/>
          <w:szCs w:val="24"/>
          <w:lang w:val="en-US" w:eastAsia="zh-CN"/>
        </w:rPr>
        <w:t xml:space="preserve"> </w:t>
      </w:r>
      <w:r w:rsidRPr="00EE48E2">
        <w:rPr>
          <w:rFonts w:ascii="Book Antiqua" w:eastAsia="SimSun" w:hAnsi="Book Antiqua" w:cs="Times New Roman" w:hint="eastAsia"/>
          <w:bCs/>
          <w:kern w:val="2"/>
          <w:sz w:val="24"/>
          <w:szCs w:val="24"/>
          <w:lang w:val="en-US" w:eastAsia="zh-CN"/>
        </w:rPr>
        <w:t>June</w:t>
      </w:r>
      <w:r w:rsidRPr="00EE48E2">
        <w:rPr>
          <w:rFonts w:ascii="Book Antiqua" w:eastAsia="SimSun" w:hAnsi="Book Antiqua" w:cs="Times New Roman"/>
          <w:bCs/>
          <w:kern w:val="2"/>
          <w:sz w:val="24"/>
          <w:szCs w:val="24"/>
          <w:lang w:val="en-US" w:eastAsia="zh-CN"/>
        </w:rPr>
        <w:t xml:space="preserve"> </w:t>
      </w:r>
      <w:r w:rsidRPr="00EE48E2">
        <w:rPr>
          <w:rFonts w:ascii="Book Antiqua" w:eastAsia="SimSun" w:hAnsi="Book Antiqua" w:cs="Times New Roman" w:hint="eastAsia"/>
          <w:bCs/>
          <w:kern w:val="2"/>
          <w:sz w:val="24"/>
          <w:szCs w:val="24"/>
          <w:lang w:val="en-US" w:eastAsia="zh-CN"/>
        </w:rPr>
        <w:t>11</w:t>
      </w:r>
      <w:r w:rsidRPr="00EE48E2">
        <w:rPr>
          <w:rFonts w:ascii="Book Antiqua" w:eastAsia="SimSun" w:hAnsi="Book Antiqua" w:cs="Times New Roman"/>
          <w:bCs/>
          <w:kern w:val="2"/>
          <w:sz w:val="24"/>
          <w:szCs w:val="24"/>
          <w:lang w:val="en-US" w:eastAsia="zh-CN"/>
        </w:rPr>
        <w:t>, 2016</w:t>
      </w:r>
    </w:p>
    <w:p w14:paraId="4A5CE29D" w14:textId="4D44CF58" w:rsidR="00695F2A" w:rsidRPr="00911855" w:rsidRDefault="00695F2A" w:rsidP="00911855">
      <w:pPr>
        <w:spacing w:line="360" w:lineRule="auto"/>
        <w:rPr>
          <w:rFonts w:ascii="Book Antiqua" w:hAnsi="Book Antiqua"/>
          <w:color w:val="000000"/>
          <w:sz w:val="24"/>
        </w:rPr>
      </w:pPr>
      <w:r w:rsidRPr="00EE48E2">
        <w:rPr>
          <w:rFonts w:ascii="Book Antiqua" w:eastAsia="SimSun" w:hAnsi="Book Antiqua" w:cs="Times New Roman"/>
          <w:b/>
          <w:bCs/>
          <w:kern w:val="2"/>
          <w:sz w:val="24"/>
          <w:szCs w:val="24"/>
          <w:lang w:val="en-US" w:eastAsia="zh-CN"/>
        </w:rPr>
        <w:t>Accepted:</w:t>
      </w:r>
      <w:r w:rsidR="00911855" w:rsidRPr="00911855">
        <w:rPr>
          <w:rFonts w:ascii="Book Antiqua" w:hAnsi="Book Antiqua"/>
          <w:color w:val="000000"/>
          <w:sz w:val="24"/>
        </w:rPr>
        <w:t xml:space="preserve"> </w:t>
      </w:r>
      <w:r w:rsidR="00911855">
        <w:rPr>
          <w:rFonts w:ascii="Book Antiqua" w:hAnsi="Book Antiqua"/>
          <w:color w:val="000000"/>
          <w:sz w:val="24"/>
        </w:rPr>
        <w:t>July 6, 2016</w:t>
      </w:r>
      <w:bookmarkStart w:id="358" w:name="_GoBack"/>
      <w:bookmarkEnd w:id="358"/>
      <w:r w:rsidR="00EE48E2" w:rsidRPr="00EE48E2">
        <w:rPr>
          <w:rFonts w:ascii="Book Antiqua" w:eastAsia="SimSun" w:hAnsi="Book Antiqua" w:cs="Times New Roman"/>
          <w:b/>
          <w:bCs/>
          <w:kern w:val="2"/>
          <w:sz w:val="24"/>
          <w:szCs w:val="24"/>
          <w:lang w:val="en-US" w:eastAsia="zh-CN"/>
        </w:rPr>
        <w:t xml:space="preserve"> </w:t>
      </w:r>
    </w:p>
    <w:p w14:paraId="686E74A7" w14:textId="77777777" w:rsidR="00695F2A" w:rsidRPr="00EE48E2" w:rsidRDefault="00695F2A" w:rsidP="00695F2A">
      <w:pPr>
        <w:widowControl w:val="0"/>
        <w:adjustRightInd w:val="0"/>
        <w:snapToGrid w:val="0"/>
        <w:spacing w:after="0" w:line="360" w:lineRule="auto"/>
        <w:jc w:val="both"/>
        <w:rPr>
          <w:rFonts w:ascii="Book Antiqua" w:eastAsia="SimSun" w:hAnsi="Book Antiqua" w:cs="Times New Roman"/>
          <w:b/>
          <w:bCs/>
          <w:kern w:val="2"/>
          <w:sz w:val="24"/>
          <w:szCs w:val="24"/>
          <w:lang w:val="en-US" w:eastAsia="zh-CN"/>
        </w:rPr>
      </w:pPr>
      <w:r w:rsidRPr="00EE48E2">
        <w:rPr>
          <w:rFonts w:ascii="Book Antiqua" w:eastAsia="SimSun" w:hAnsi="Book Antiqua" w:cs="Times New Roman"/>
          <w:b/>
          <w:bCs/>
          <w:kern w:val="2"/>
          <w:sz w:val="24"/>
          <w:szCs w:val="24"/>
          <w:lang w:val="en-US" w:eastAsia="zh-CN"/>
        </w:rPr>
        <w:t>Article in press:</w:t>
      </w:r>
    </w:p>
    <w:p w14:paraId="707E1FC7" w14:textId="77777777" w:rsidR="00695F2A" w:rsidRPr="00EE48E2" w:rsidRDefault="00695F2A" w:rsidP="00695F2A">
      <w:pPr>
        <w:widowControl w:val="0"/>
        <w:adjustRightInd w:val="0"/>
        <w:snapToGrid w:val="0"/>
        <w:spacing w:after="0" w:line="360" w:lineRule="auto"/>
        <w:jc w:val="both"/>
        <w:rPr>
          <w:rFonts w:ascii="Book Antiqua" w:eastAsia="SimSun" w:hAnsi="Book Antiqua" w:cs="Times New Roman"/>
          <w:b/>
          <w:bCs/>
          <w:kern w:val="2"/>
          <w:sz w:val="24"/>
          <w:szCs w:val="24"/>
          <w:lang w:val="en-US" w:eastAsia="zh-CN"/>
        </w:rPr>
      </w:pPr>
      <w:r w:rsidRPr="00EE48E2">
        <w:rPr>
          <w:rFonts w:ascii="Book Antiqua" w:eastAsia="SimSun" w:hAnsi="Book Antiqua" w:cs="Times New Roman"/>
          <w:b/>
          <w:bCs/>
          <w:kern w:val="2"/>
          <w:sz w:val="24"/>
          <w:szCs w:val="24"/>
          <w:lang w:val="en-US" w:eastAsia="zh-CN"/>
        </w:rPr>
        <w:t xml:space="preserve">Published online: </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14:paraId="50E1707B" w14:textId="77777777" w:rsidR="00293FE9" w:rsidRPr="00EE48E2" w:rsidRDefault="00293FE9" w:rsidP="004D1833">
      <w:pPr>
        <w:adjustRightInd w:val="0"/>
        <w:snapToGrid w:val="0"/>
        <w:spacing w:after="0" w:line="360" w:lineRule="auto"/>
        <w:jc w:val="both"/>
        <w:rPr>
          <w:rFonts w:ascii="Book Antiqua" w:hAnsi="Book Antiqua"/>
          <w:sz w:val="24"/>
          <w:szCs w:val="24"/>
        </w:rPr>
      </w:pPr>
    </w:p>
    <w:p w14:paraId="73A4F6DF" w14:textId="3BDDC609" w:rsidR="00363A1A" w:rsidRPr="00EE48E2" w:rsidRDefault="00695F2A" w:rsidP="004D1833">
      <w:pPr>
        <w:adjustRightInd w:val="0"/>
        <w:snapToGrid w:val="0"/>
        <w:spacing w:after="0" w:line="360" w:lineRule="auto"/>
        <w:jc w:val="both"/>
        <w:rPr>
          <w:rFonts w:ascii="Book Antiqua" w:hAnsi="Book Antiqua"/>
          <w:b/>
          <w:sz w:val="24"/>
          <w:szCs w:val="24"/>
          <w:lang w:val="en-GB" w:eastAsia="zh-CN"/>
        </w:rPr>
      </w:pPr>
      <w:r w:rsidRPr="00EE48E2">
        <w:rPr>
          <w:rFonts w:ascii="Book Antiqua" w:hAnsi="Book Antiqua"/>
          <w:b/>
          <w:sz w:val="24"/>
          <w:szCs w:val="24"/>
          <w:lang w:val="en-GB"/>
        </w:rPr>
        <w:t>Abstract</w:t>
      </w:r>
    </w:p>
    <w:p w14:paraId="1A9FC133" w14:textId="4A383F64" w:rsidR="00363A1A" w:rsidRPr="00EE48E2" w:rsidRDefault="00363A1A" w:rsidP="004D1833">
      <w:pPr>
        <w:adjustRightInd w:val="0"/>
        <w:snapToGrid w:val="0"/>
        <w:spacing w:after="0" w:line="360" w:lineRule="auto"/>
        <w:jc w:val="both"/>
        <w:rPr>
          <w:rFonts w:ascii="Book Antiqua" w:hAnsi="Book Antiqua"/>
          <w:sz w:val="24"/>
          <w:szCs w:val="24"/>
          <w:lang w:val="en-GB"/>
        </w:rPr>
      </w:pPr>
      <w:r w:rsidRPr="00EE48E2">
        <w:rPr>
          <w:rFonts w:ascii="Book Antiqua" w:hAnsi="Book Antiqua"/>
          <w:sz w:val="24"/>
          <w:szCs w:val="24"/>
          <w:lang w:val="en-GB"/>
        </w:rPr>
        <w:t>The prognosis of patients with</w:t>
      </w:r>
      <w:bookmarkStart w:id="359" w:name="OLE_LINK3259"/>
      <w:bookmarkStart w:id="360" w:name="OLE_LINK3260"/>
      <w:r w:rsidRPr="00EE48E2">
        <w:rPr>
          <w:rFonts w:ascii="Book Antiqua" w:hAnsi="Book Antiqua"/>
          <w:sz w:val="24"/>
          <w:szCs w:val="24"/>
          <w:lang w:val="en-GB"/>
        </w:rPr>
        <w:t xml:space="preserve"> metastatic colorectal cancer </w:t>
      </w:r>
      <w:bookmarkEnd w:id="359"/>
      <w:bookmarkEnd w:id="360"/>
      <w:r w:rsidRPr="00EE48E2">
        <w:rPr>
          <w:rFonts w:ascii="Book Antiqua" w:hAnsi="Book Antiqua"/>
          <w:sz w:val="24"/>
          <w:szCs w:val="24"/>
          <w:lang w:val="en-GB"/>
        </w:rPr>
        <w:t xml:space="preserve">(mCRC) remain poor </w:t>
      </w:r>
      <w:r w:rsidR="002D17B8" w:rsidRPr="00EE48E2">
        <w:rPr>
          <w:rFonts w:ascii="Book Antiqua" w:hAnsi="Book Antiqua"/>
          <w:sz w:val="24"/>
          <w:szCs w:val="24"/>
          <w:lang w:val="en-GB"/>
        </w:rPr>
        <w:t>despite</w:t>
      </w:r>
      <w:r w:rsidRPr="00EE48E2">
        <w:rPr>
          <w:rFonts w:ascii="Book Antiqua" w:hAnsi="Book Antiqua"/>
          <w:sz w:val="24"/>
          <w:szCs w:val="24"/>
          <w:lang w:val="en-GB"/>
        </w:rPr>
        <w:t xml:space="preserve"> the impressive improvement of treatments</w:t>
      </w:r>
      <w:r w:rsidR="00DB342E" w:rsidRPr="00EE48E2">
        <w:rPr>
          <w:rFonts w:ascii="Book Antiqua" w:hAnsi="Book Antiqua"/>
          <w:sz w:val="24"/>
          <w:szCs w:val="24"/>
          <w:lang w:val="en-GB"/>
        </w:rPr>
        <w:t xml:space="preserve"> observed</w:t>
      </w:r>
      <w:r w:rsidRPr="00EE48E2">
        <w:rPr>
          <w:rFonts w:ascii="Book Antiqua" w:hAnsi="Book Antiqua"/>
          <w:sz w:val="24"/>
          <w:szCs w:val="24"/>
          <w:lang w:val="en-GB"/>
        </w:rPr>
        <w:t xml:space="preserve"> over the last 20 years that led </w:t>
      </w:r>
      <w:r w:rsidR="002D17B8" w:rsidRPr="00EE48E2">
        <w:rPr>
          <w:rFonts w:ascii="Book Antiqua" w:hAnsi="Book Antiqua"/>
          <w:sz w:val="24"/>
          <w:szCs w:val="24"/>
          <w:lang w:val="en-GB"/>
        </w:rPr>
        <w:t xml:space="preserve">to </w:t>
      </w:r>
      <w:r w:rsidRPr="00EE48E2">
        <w:rPr>
          <w:rFonts w:ascii="Book Antiqua" w:hAnsi="Book Antiqua"/>
          <w:sz w:val="24"/>
          <w:szCs w:val="24"/>
          <w:lang w:val="en-GB"/>
        </w:rPr>
        <w:t xml:space="preserve">an increase in median overall survival from 6 </w:t>
      </w:r>
      <w:r w:rsidR="008302B7" w:rsidRPr="00EE48E2">
        <w:rPr>
          <w:rFonts w:ascii="Book Antiqua" w:hAnsi="Book Antiqua" w:hint="eastAsia"/>
          <w:sz w:val="24"/>
          <w:szCs w:val="24"/>
          <w:lang w:val="en-GB" w:eastAsia="zh-CN"/>
        </w:rPr>
        <w:t>mo</w:t>
      </w:r>
      <w:r w:rsidRPr="00EE48E2">
        <w:rPr>
          <w:rFonts w:ascii="Book Antiqua" w:hAnsi="Book Antiqua"/>
          <w:sz w:val="24"/>
          <w:szCs w:val="24"/>
          <w:lang w:val="en-GB"/>
        </w:rPr>
        <w:t>, with the only best supportive care, to</w:t>
      </w:r>
      <w:r w:rsidR="00DB342E" w:rsidRPr="00EE48E2">
        <w:rPr>
          <w:rFonts w:ascii="Book Antiqua" w:hAnsi="Book Antiqua"/>
          <w:sz w:val="24"/>
          <w:szCs w:val="24"/>
          <w:lang w:val="en-GB"/>
        </w:rPr>
        <w:t xml:space="preserve"> approximately 3</w:t>
      </w:r>
      <w:r w:rsidRPr="00EE48E2">
        <w:rPr>
          <w:rFonts w:ascii="Book Antiqua" w:hAnsi="Book Antiqua"/>
          <w:sz w:val="24"/>
          <w:szCs w:val="24"/>
          <w:lang w:val="en-GB"/>
        </w:rPr>
        <w:t xml:space="preserve">0 </w:t>
      </w:r>
      <w:r w:rsidR="008302B7" w:rsidRPr="00EE48E2">
        <w:rPr>
          <w:rFonts w:ascii="Book Antiqua" w:hAnsi="Book Antiqua" w:hint="eastAsia"/>
          <w:sz w:val="24"/>
          <w:szCs w:val="24"/>
          <w:lang w:val="en-GB" w:eastAsia="zh-CN"/>
        </w:rPr>
        <w:t>mo</w:t>
      </w:r>
      <w:r w:rsidRPr="00EE48E2">
        <w:rPr>
          <w:rFonts w:ascii="Book Antiqua" w:hAnsi="Book Antiqua"/>
          <w:sz w:val="24"/>
          <w:szCs w:val="24"/>
          <w:lang w:val="en-GB"/>
        </w:rPr>
        <w:t xml:space="preserve"> with the introduction of active chemotherapy drugs and targeted agents. The </w:t>
      </w:r>
      <w:bookmarkStart w:id="361" w:name="OLE_LINK3257"/>
      <w:bookmarkStart w:id="362" w:name="OLE_LINK3258"/>
      <w:r w:rsidRPr="00EE48E2">
        <w:rPr>
          <w:rFonts w:ascii="Book Antiqua" w:hAnsi="Book Antiqua"/>
          <w:sz w:val="24"/>
          <w:szCs w:val="24"/>
          <w:lang w:val="en-GB"/>
        </w:rPr>
        <w:t xml:space="preserve">monoclonal antibodies </w:t>
      </w:r>
      <w:bookmarkEnd w:id="361"/>
      <w:bookmarkEnd w:id="362"/>
      <w:r w:rsidRPr="00EE48E2">
        <w:rPr>
          <w:rFonts w:ascii="Book Antiqua" w:hAnsi="Book Antiqua"/>
          <w:sz w:val="24"/>
          <w:szCs w:val="24"/>
          <w:lang w:val="en-GB"/>
        </w:rPr>
        <w:t xml:space="preserve">(moAbs) cetuximab and panitumumab, directed against the </w:t>
      </w:r>
      <w:bookmarkStart w:id="363" w:name="OLE_LINK3253"/>
      <w:bookmarkStart w:id="364" w:name="OLE_LINK3254"/>
      <w:r w:rsidR="00695F2A" w:rsidRPr="00EE48E2">
        <w:rPr>
          <w:rFonts w:ascii="Book Antiqua" w:hAnsi="Book Antiqua"/>
          <w:sz w:val="24"/>
          <w:szCs w:val="24"/>
          <w:lang w:val="en-GB"/>
        </w:rPr>
        <w:t>epidermal growth factor receptor</w:t>
      </w:r>
      <w:bookmarkEnd w:id="363"/>
      <w:bookmarkEnd w:id="364"/>
      <w:r w:rsidRPr="00EE48E2">
        <w:rPr>
          <w:rFonts w:ascii="Book Antiqua" w:hAnsi="Book Antiqua"/>
          <w:sz w:val="24"/>
          <w:szCs w:val="24"/>
          <w:lang w:val="en-GB"/>
        </w:rPr>
        <w:t xml:space="preserve"> (EGFR), undoubtedly represent a major step forward in the treatment of mCRC, given the relevant efficacy in terms of progression-free survival, overall survival, </w:t>
      </w:r>
      <w:r w:rsidR="00171031" w:rsidRPr="00EE48E2">
        <w:rPr>
          <w:rFonts w:ascii="Book Antiqua" w:hAnsi="Book Antiqua"/>
          <w:sz w:val="24"/>
          <w:szCs w:val="24"/>
          <w:lang w:val="en-GB"/>
        </w:rPr>
        <w:t xml:space="preserve">response </w:t>
      </w:r>
      <w:r w:rsidRPr="00EE48E2">
        <w:rPr>
          <w:rFonts w:ascii="Book Antiqua" w:hAnsi="Book Antiqua"/>
          <w:sz w:val="24"/>
          <w:szCs w:val="24"/>
          <w:lang w:val="en-GB"/>
        </w:rPr>
        <w:t xml:space="preserve">rate, </w:t>
      </w:r>
      <w:r w:rsidR="006517F9" w:rsidRPr="00EE48E2">
        <w:rPr>
          <w:rFonts w:ascii="Book Antiqua" w:hAnsi="Book Antiqua"/>
          <w:sz w:val="24"/>
          <w:szCs w:val="24"/>
          <w:lang w:val="en-GB"/>
        </w:rPr>
        <w:t>and</w:t>
      </w:r>
      <w:r w:rsidRPr="00EE48E2">
        <w:rPr>
          <w:rFonts w:ascii="Book Antiqua" w:hAnsi="Book Antiqua"/>
          <w:sz w:val="24"/>
          <w:szCs w:val="24"/>
          <w:lang w:val="en-GB"/>
        </w:rPr>
        <w:t xml:space="preserve"> quality of life observed in several phase III clinical trials among different lines of treatment. However</w:t>
      </w:r>
      <w:r w:rsidR="00171031" w:rsidRPr="00EE48E2">
        <w:rPr>
          <w:rFonts w:ascii="Book Antiqua" w:hAnsi="Book Antiqua"/>
          <w:sz w:val="24"/>
          <w:szCs w:val="24"/>
          <w:lang w:val="en-GB"/>
        </w:rPr>
        <w:t>,</w:t>
      </w:r>
      <w:r w:rsidRPr="00EE48E2">
        <w:rPr>
          <w:rFonts w:ascii="Book Antiqua" w:hAnsi="Book Antiqua"/>
          <w:sz w:val="24"/>
          <w:szCs w:val="24"/>
          <w:lang w:val="en-GB"/>
        </w:rPr>
        <w:t xml:space="preserve"> the anti-EGFR moAbs </w:t>
      </w:r>
      <w:r w:rsidR="00171031" w:rsidRPr="00EE48E2">
        <w:rPr>
          <w:rFonts w:ascii="Book Antiqua" w:hAnsi="Book Antiqua"/>
          <w:sz w:val="24"/>
          <w:szCs w:val="24"/>
          <w:lang w:val="en-GB"/>
        </w:rPr>
        <w:t xml:space="preserve">were </w:t>
      </w:r>
      <w:r w:rsidRPr="00EE48E2">
        <w:rPr>
          <w:rFonts w:ascii="Book Antiqua" w:hAnsi="Book Antiqua"/>
          <w:sz w:val="24"/>
          <w:szCs w:val="24"/>
          <w:lang w:val="en-GB"/>
        </w:rPr>
        <w:t>show</w:t>
      </w:r>
      <w:r w:rsidR="00171031" w:rsidRPr="00EE48E2">
        <w:rPr>
          <w:rFonts w:ascii="Book Antiqua" w:hAnsi="Book Antiqua"/>
          <w:sz w:val="24"/>
          <w:szCs w:val="24"/>
          <w:lang w:val="en-GB"/>
        </w:rPr>
        <w:t>n only</w:t>
      </w:r>
      <w:r w:rsidRPr="00EE48E2">
        <w:rPr>
          <w:rFonts w:ascii="Book Antiqua" w:hAnsi="Book Antiqua"/>
          <w:sz w:val="24"/>
          <w:szCs w:val="24"/>
          <w:lang w:val="en-GB"/>
        </w:rPr>
        <w:t xml:space="preserve"> to be effective in a subset of patients. For instance, KRAS and NRAS mutations have been identified as biomarkers of resistance to these drugs, improving the selection of patients who might derive a benefit from these treatments. Nevertheless</w:t>
      </w:r>
      <w:r w:rsidR="00171031" w:rsidRPr="00EE48E2">
        <w:rPr>
          <w:rFonts w:ascii="Book Antiqua" w:hAnsi="Book Antiqua"/>
          <w:sz w:val="24"/>
          <w:szCs w:val="24"/>
          <w:lang w:val="en-GB"/>
        </w:rPr>
        <w:t>,</w:t>
      </w:r>
      <w:r w:rsidRPr="00EE48E2">
        <w:rPr>
          <w:rFonts w:ascii="Book Antiqua" w:hAnsi="Book Antiqua"/>
          <w:sz w:val="24"/>
          <w:szCs w:val="24"/>
          <w:lang w:val="en-GB"/>
        </w:rPr>
        <w:t xml:space="preserve"> </w:t>
      </w:r>
      <w:r w:rsidR="00171031" w:rsidRPr="00EE48E2">
        <w:rPr>
          <w:rFonts w:ascii="Book Antiqua" w:hAnsi="Book Antiqua"/>
          <w:sz w:val="24"/>
          <w:szCs w:val="24"/>
          <w:lang w:val="en-GB"/>
        </w:rPr>
        <w:t xml:space="preserve">several </w:t>
      </w:r>
      <w:r w:rsidRPr="00EE48E2">
        <w:rPr>
          <w:rFonts w:ascii="Book Antiqua" w:hAnsi="Book Antiqua"/>
          <w:sz w:val="24"/>
          <w:szCs w:val="24"/>
          <w:lang w:val="en-GB"/>
        </w:rPr>
        <w:t>other alterations might affect the response to these drugs</w:t>
      </w:r>
      <w:r w:rsidR="00171031" w:rsidRPr="00EE48E2">
        <w:rPr>
          <w:rFonts w:ascii="Book Antiqua" w:hAnsi="Book Antiqua"/>
          <w:sz w:val="24"/>
          <w:szCs w:val="24"/>
          <w:lang w:val="en-GB"/>
        </w:rPr>
        <w:t>,</w:t>
      </w:r>
      <w:r w:rsidRPr="00EE48E2">
        <w:rPr>
          <w:rFonts w:ascii="Book Antiqua" w:hAnsi="Book Antiqua"/>
          <w:sz w:val="24"/>
          <w:szCs w:val="24"/>
          <w:lang w:val="en-GB"/>
        </w:rPr>
        <w:t xml:space="preserve"> and unfortunately, even the responders eventually become resistant by developing secondary (or acquired) resistance in</w:t>
      </w:r>
      <w:r w:rsidR="00DB342E" w:rsidRPr="00EE48E2">
        <w:rPr>
          <w:rFonts w:ascii="Book Antiqua" w:hAnsi="Book Antiqua"/>
          <w:sz w:val="24"/>
          <w:szCs w:val="24"/>
          <w:lang w:val="en-GB"/>
        </w:rPr>
        <w:t xml:space="preserve"> approximately 1</w:t>
      </w:r>
      <w:r w:rsidRPr="00EE48E2">
        <w:rPr>
          <w:rFonts w:ascii="Book Antiqua" w:hAnsi="Book Antiqua"/>
          <w:sz w:val="24"/>
          <w:szCs w:val="24"/>
          <w:lang w:val="en-GB"/>
        </w:rPr>
        <w:t xml:space="preserve">3-18 </w:t>
      </w:r>
      <w:r w:rsidR="008302B7" w:rsidRPr="00EE48E2">
        <w:rPr>
          <w:rFonts w:ascii="Book Antiqua" w:hAnsi="Book Antiqua" w:hint="eastAsia"/>
          <w:sz w:val="24"/>
          <w:szCs w:val="24"/>
          <w:lang w:val="en-GB" w:eastAsia="zh-CN"/>
        </w:rPr>
        <w:t>mo</w:t>
      </w:r>
      <w:r w:rsidRPr="00EE48E2">
        <w:rPr>
          <w:rFonts w:ascii="Book Antiqua" w:hAnsi="Book Antiqua"/>
          <w:sz w:val="24"/>
          <w:szCs w:val="24"/>
          <w:lang w:val="en-GB"/>
        </w:rPr>
        <w:t>. Several studies highlighted that the landscape of responsible alterations of both primary and acquired resistance to anti-EGFR drugs biochemically converge into MEK-ERK and PIK3CA-AKT pathways. In this review</w:t>
      </w:r>
      <w:r w:rsidR="005F5618" w:rsidRPr="00EE48E2">
        <w:rPr>
          <w:rFonts w:ascii="Book Antiqua" w:hAnsi="Book Antiqua"/>
          <w:sz w:val="24"/>
          <w:szCs w:val="24"/>
          <w:lang w:val="en-GB"/>
        </w:rPr>
        <w:t>,</w:t>
      </w:r>
      <w:r w:rsidRPr="00EE48E2">
        <w:rPr>
          <w:rFonts w:ascii="Book Antiqua" w:hAnsi="Book Antiqua"/>
          <w:sz w:val="24"/>
          <w:szCs w:val="24"/>
          <w:lang w:val="en-GB"/>
        </w:rPr>
        <w:t xml:space="preserve"> we describe the currently known mechanisms of primary and acquired resistance to anti-EGFR moAbs together with the various strategies evaluated to prevent, overcame or revert them. </w:t>
      </w:r>
    </w:p>
    <w:p w14:paraId="3BEE9C21" w14:textId="77777777" w:rsidR="00363A1A" w:rsidRPr="00EE48E2" w:rsidRDefault="00363A1A" w:rsidP="004D1833">
      <w:pPr>
        <w:adjustRightInd w:val="0"/>
        <w:snapToGrid w:val="0"/>
        <w:spacing w:after="0" w:line="360" w:lineRule="auto"/>
        <w:jc w:val="both"/>
        <w:rPr>
          <w:rFonts w:ascii="Book Antiqua" w:hAnsi="Book Antiqua"/>
          <w:sz w:val="24"/>
          <w:szCs w:val="24"/>
          <w:lang w:val="en-GB" w:eastAsia="zh-CN"/>
        </w:rPr>
      </w:pPr>
    </w:p>
    <w:p w14:paraId="2F3E7DB7" w14:textId="3F2435A7" w:rsidR="00363A1A" w:rsidRPr="00EE48E2" w:rsidRDefault="00363A1A" w:rsidP="004D1833">
      <w:pPr>
        <w:adjustRightInd w:val="0"/>
        <w:snapToGrid w:val="0"/>
        <w:spacing w:after="0" w:line="360" w:lineRule="auto"/>
        <w:jc w:val="both"/>
        <w:rPr>
          <w:rFonts w:ascii="Book Antiqua" w:hAnsi="Book Antiqua"/>
          <w:b/>
          <w:sz w:val="24"/>
          <w:szCs w:val="24"/>
          <w:lang w:val="en-GB" w:eastAsia="zh-CN"/>
        </w:rPr>
      </w:pPr>
      <w:r w:rsidRPr="00EE48E2">
        <w:rPr>
          <w:rFonts w:ascii="Book Antiqua" w:hAnsi="Book Antiqua"/>
          <w:b/>
          <w:sz w:val="24"/>
          <w:szCs w:val="24"/>
          <w:lang w:val="en-GB"/>
        </w:rPr>
        <w:t>Key words:</w:t>
      </w:r>
      <w:r w:rsidR="008302B7" w:rsidRPr="00EE48E2">
        <w:rPr>
          <w:rFonts w:ascii="Book Antiqua" w:hAnsi="Book Antiqua" w:hint="eastAsia"/>
          <w:b/>
          <w:sz w:val="24"/>
          <w:szCs w:val="24"/>
          <w:lang w:val="en-GB" w:eastAsia="zh-CN"/>
        </w:rPr>
        <w:t xml:space="preserve"> </w:t>
      </w:r>
      <w:r w:rsidRPr="00EE48E2">
        <w:rPr>
          <w:rFonts w:ascii="Book Antiqua" w:hAnsi="Book Antiqua"/>
          <w:sz w:val="24"/>
          <w:szCs w:val="24"/>
          <w:lang w:val="en-GB"/>
        </w:rPr>
        <w:t>Metastatic colorectal cancer</w:t>
      </w:r>
      <w:r w:rsidR="008302B7" w:rsidRPr="00EE48E2">
        <w:rPr>
          <w:rFonts w:ascii="Book Antiqua" w:hAnsi="Book Antiqua" w:hint="eastAsia"/>
          <w:sz w:val="24"/>
          <w:szCs w:val="24"/>
          <w:lang w:val="en-GB" w:eastAsia="zh-CN"/>
        </w:rPr>
        <w:t>;</w:t>
      </w:r>
      <w:r w:rsidRPr="00EE48E2">
        <w:rPr>
          <w:rFonts w:ascii="Book Antiqua" w:hAnsi="Book Antiqua"/>
          <w:sz w:val="24"/>
          <w:szCs w:val="24"/>
          <w:lang w:val="en-GB"/>
        </w:rPr>
        <w:t xml:space="preserve"> Epidermal growth factor receptor</w:t>
      </w:r>
      <w:r w:rsidR="008302B7" w:rsidRPr="00EE48E2">
        <w:rPr>
          <w:rFonts w:ascii="Book Antiqua" w:hAnsi="Book Antiqua" w:hint="eastAsia"/>
          <w:sz w:val="24"/>
          <w:szCs w:val="24"/>
          <w:lang w:val="en-GB" w:eastAsia="zh-CN"/>
        </w:rPr>
        <w:t>;</w:t>
      </w:r>
      <w:r w:rsidRPr="00EE48E2">
        <w:rPr>
          <w:rFonts w:ascii="Book Antiqua" w:hAnsi="Book Antiqua"/>
          <w:sz w:val="24"/>
          <w:szCs w:val="24"/>
          <w:lang w:val="en-GB"/>
        </w:rPr>
        <w:t xml:space="preserve"> Monoclonal antibodies</w:t>
      </w:r>
      <w:r w:rsidR="008302B7" w:rsidRPr="00EE48E2">
        <w:rPr>
          <w:rFonts w:ascii="Book Antiqua" w:hAnsi="Book Antiqua" w:hint="eastAsia"/>
          <w:sz w:val="24"/>
          <w:szCs w:val="24"/>
          <w:lang w:val="en-GB" w:eastAsia="zh-CN"/>
        </w:rPr>
        <w:t>;</w:t>
      </w:r>
      <w:r w:rsidRPr="00EE48E2">
        <w:rPr>
          <w:rFonts w:ascii="Book Antiqua" w:hAnsi="Book Antiqua"/>
          <w:sz w:val="24"/>
          <w:szCs w:val="24"/>
          <w:lang w:val="en-GB"/>
        </w:rPr>
        <w:t xml:space="preserve"> Resistance</w:t>
      </w:r>
      <w:r w:rsidR="008302B7" w:rsidRPr="00EE48E2">
        <w:rPr>
          <w:rFonts w:ascii="Book Antiqua" w:hAnsi="Book Antiqua" w:hint="eastAsia"/>
          <w:sz w:val="24"/>
          <w:szCs w:val="24"/>
          <w:lang w:val="en-GB" w:eastAsia="zh-CN"/>
        </w:rPr>
        <w:t>;</w:t>
      </w:r>
      <w:r w:rsidRPr="00EE48E2">
        <w:rPr>
          <w:rFonts w:ascii="Book Antiqua" w:hAnsi="Book Antiqua"/>
          <w:sz w:val="24"/>
          <w:szCs w:val="24"/>
          <w:lang w:val="en-GB"/>
        </w:rPr>
        <w:t xml:space="preserve"> Mutation</w:t>
      </w:r>
      <w:r w:rsidR="008302B7" w:rsidRPr="00EE48E2">
        <w:rPr>
          <w:rFonts w:ascii="Book Antiqua" w:hAnsi="Book Antiqua" w:hint="eastAsia"/>
          <w:sz w:val="24"/>
          <w:szCs w:val="24"/>
          <w:lang w:val="en-GB" w:eastAsia="zh-CN"/>
        </w:rPr>
        <w:t>;</w:t>
      </w:r>
      <w:r w:rsidRPr="00EE48E2">
        <w:rPr>
          <w:rFonts w:ascii="Book Antiqua" w:hAnsi="Book Antiqua"/>
          <w:sz w:val="24"/>
          <w:szCs w:val="24"/>
          <w:lang w:val="en-GB"/>
        </w:rPr>
        <w:t xml:space="preserve"> </w:t>
      </w:r>
      <w:r w:rsidRPr="00EE48E2">
        <w:rPr>
          <w:rFonts w:ascii="Book Antiqua" w:hAnsi="Book Antiqua"/>
          <w:i/>
          <w:sz w:val="24"/>
          <w:szCs w:val="24"/>
          <w:lang w:val="en-GB"/>
        </w:rPr>
        <w:t>KRAS</w:t>
      </w:r>
      <w:r w:rsidR="008302B7" w:rsidRPr="00EE48E2">
        <w:rPr>
          <w:rFonts w:ascii="Book Antiqua" w:hAnsi="Book Antiqua" w:hint="eastAsia"/>
          <w:sz w:val="24"/>
          <w:szCs w:val="24"/>
          <w:lang w:val="en-GB" w:eastAsia="zh-CN"/>
        </w:rPr>
        <w:t>;</w:t>
      </w:r>
      <w:r w:rsidRPr="00EE48E2">
        <w:rPr>
          <w:rFonts w:ascii="Book Antiqua" w:hAnsi="Book Antiqua"/>
          <w:sz w:val="24"/>
          <w:szCs w:val="24"/>
          <w:lang w:val="en-GB"/>
        </w:rPr>
        <w:t xml:space="preserve"> </w:t>
      </w:r>
      <w:r w:rsidRPr="00EE48E2">
        <w:rPr>
          <w:rFonts w:ascii="Book Antiqua" w:hAnsi="Book Antiqua"/>
          <w:i/>
          <w:sz w:val="24"/>
          <w:szCs w:val="24"/>
          <w:lang w:val="en-GB"/>
        </w:rPr>
        <w:t>NRAS</w:t>
      </w:r>
      <w:r w:rsidR="008302B7" w:rsidRPr="00EE48E2">
        <w:rPr>
          <w:rFonts w:ascii="Book Antiqua" w:hAnsi="Book Antiqua" w:hint="eastAsia"/>
          <w:sz w:val="24"/>
          <w:szCs w:val="24"/>
          <w:lang w:val="en-GB" w:eastAsia="zh-CN"/>
        </w:rPr>
        <w:t>;</w:t>
      </w:r>
      <w:r w:rsidRPr="00EE48E2">
        <w:rPr>
          <w:rFonts w:ascii="Book Antiqua" w:hAnsi="Book Antiqua"/>
          <w:sz w:val="24"/>
          <w:szCs w:val="24"/>
          <w:lang w:val="en-GB"/>
        </w:rPr>
        <w:t xml:space="preserve"> </w:t>
      </w:r>
      <w:r w:rsidRPr="00EE48E2">
        <w:rPr>
          <w:rFonts w:ascii="Book Antiqua" w:hAnsi="Book Antiqua"/>
          <w:i/>
          <w:sz w:val="24"/>
          <w:szCs w:val="24"/>
          <w:lang w:val="en-GB"/>
        </w:rPr>
        <w:t>BRAF</w:t>
      </w:r>
      <w:r w:rsidR="008302B7" w:rsidRPr="00EE48E2">
        <w:rPr>
          <w:rFonts w:ascii="Book Antiqua" w:hAnsi="Book Antiqua" w:hint="eastAsia"/>
          <w:sz w:val="24"/>
          <w:szCs w:val="24"/>
          <w:lang w:val="en-GB" w:eastAsia="zh-CN"/>
        </w:rPr>
        <w:t>;</w:t>
      </w:r>
      <w:r w:rsidRPr="00EE48E2">
        <w:rPr>
          <w:rFonts w:ascii="Book Antiqua" w:hAnsi="Book Antiqua"/>
          <w:sz w:val="24"/>
          <w:szCs w:val="24"/>
          <w:lang w:val="en-GB"/>
        </w:rPr>
        <w:t xml:space="preserve"> </w:t>
      </w:r>
      <w:r w:rsidRPr="00EE48E2">
        <w:rPr>
          <w:rFonts w:ascii="Book Antiqua" w:hAnsi="Book Antiqua"/>
          <w:i/>
          <w:sz w:val="24"/>
          <w:szCs w:val="24"/>
          <w:lang w:val="en-GB"/>
        </w:rPr>
        <w:t>PIK3CA</w:t>
      </w:r>
      <w:r w:rsidR="008302B7" w:rsidRPr="00EE48E2">
        <w:rPr>
          <w:rFonts w:ascii="Book Antiqua" w:hAnsi="Book Antiqua" w:hint="eastAsia"/>
          <w:sz w:val="24"/>
          <w:szCs w:val="24"/>
          <w:lang w:val="en-GB" w:eastAsia="zh-CN"/>
        </w:rPr>
        <w:t>;</w:t>
      </w:r>
      <w:r w:rsidR="008302B7" w:rsidRPr="00EE48E2">
        <w:rPr>
          <w:rFonts w:ascii="Book Antiqua" w:hAnsi="Book Antiqua"/>
          <w:sz w:val="24"/>
          <w:szCs w:val="24"/>
          <w:lang w:val="en-GB"/>
        </w:rPr>
        <w:t xml:space="preserve"> </w:t>
      </w:r>
      <w:r w:rsidR="008302B7" w:rsidRPr="00EE48E2">
        <w:rPr>
          <w:rFonts w:ascii="Book Antiqua" w:hAnsi="Book Antiqua"/>
          <w:i/>
          <w:sz w:val="24"/>
          <w:szCs w:val="24"/>
          <w:lang w:val="en-GB"/>
        </w:rPr>
        <w:t>MET</w:t>
      </w:r>
    </w:p>
    <w:p w14:paraId="5E821BF5" w14:textId="77777777" w:rsidR="008302B7" w:rsidRPr="00EE48E2" w:rsidRDefault="008302B7" w:rsidP="008302B7">
      <w:pPr>
        <w:adjustRightInd w:val="0"/>
        <w:snapToGrid w:val="0"/>
        <w:spacing w:line="360" w:lineRule="auto"/>
      </w:pPr>
    </w:p>
    <w:p w14:paraId="40777B44" w14:textId="77777777" w:rsidR="008302B7" w:rsidRPr="00EE48E2" w:rsidRDefault="008302B7" w:rsidP="008302B7">
      <w:pPr>
        <w:adjustRightInd w:val="0"/>
        <w:snapToGrid w:val="0"/>
        <w:spacing w:line="360" w:lineRule="auto"/>
        <w:jc w:val="both"/>
        <w:rPr>
          <w:rFonts w:ascii="Book Antiqua" w:hAnsi="Book Antiqua"/>
          <w:sz w:val="24"/>
        </w:rPr>
      </w:pPr>
      <w:bookmarkStart w:id="365" w:name="OLE_LINK3236"/>
      <w:bookmarkStart w:id="366" w:name="OLE_LINK3212"/>
      <w:bookmarkStart w:id="367" w:name="OLE_LINK3172"/>
      <w:bookmarkStart w:id="368" w:name="OLE_LINK3036"/>
      <w:bookmarkStart w:id="369" w:name="OLE_LINK3130"/>
      <w:bookmarkStart w:id="370" w:name="OLE_LINK3497"/>
      <w:bookmarkStart w:id="371" w:name="OLE_LINK2950"/>
      <w:bookmarkStart w:id="372" w:name="OLE_LINK3527"/>
      <w:bookmarkStart w:id="373" w:name="OLE_LINK2933"/>
      <w:bookmarkStart w:id="374" w:name="OLE_LINK2910"/>
      <w:bookmarkStart w:id="375" w:name="OLE_LINK52"/>
      <w:bookmarkStart w:id="376" w:name="OLE_LINK2775"/>
      <w:bookmarkStart w:id="377" w:name="OLE_LINK2658"/>
      <w:bookmarkStart w:id="378" w:name="OLE_LINK2732"/>
      <w:bookmarkStart w:id="379" w:name="OLE_LINK2695"/>
      <w:bookmarkStart w:id="380" w:name="OLE_LINK2654"/>
      <w:bookmarkStart w:id="381" w:name="OLE_LINK2608"/>
      <w:bookmarkStart w:id="382" w:name="OLE_LINK2563"/>
      <w:bookmarkStart w:id="383" w:name="OLE_LINK2467"/>
      <w:bookmarkStart w:id="384" w:name="OLE_LINK2448"/>
      <w:bookmarkStart w:id="385" w:name="OLE_LINK2353"/>
      <w:bookmarkStart w:id="386" w:name="OLE_LINK2332"/>
      <w:bookmarkStart w:id="387" w:name="OLE_LINK768"/>
      <w:bookmarkStart w:id="388" w:name="OLE_LINK2186"/>
      <w:bookmarkStart w:id="389" w:name="OLE_LINK1975"/>
      <w:bookmarkStart w:id="390" w:name="OLE_LINK1887"/>
      <w:bookmarkStart w:id="391" w:name="OLE_LINK1797"/>
      <w:bookmarkStart w:id="392" w:name="OLE_LINK1727"/>
      <w:bookmarkStart w:id="393" w:name="OLE_LINK1694"/>
      <w:bookmarkStart w:id="394" w:name="OLE_LINK1546"/>
      <w:bookmarkStart w:id="395" w:name="OLE_LINK1469"/>
      <w:bookmarkStart w:id="396" w:name="OLE_LINK1356"/>
      <w:bookmarkStart w:id="397" w:name="OLE_LINK1581"/>
      <w:bookmarkStart w:id="398" w:name="OLE_LINK1429"/>
      <w:bookmarkStart w:id="399" w:name="OLE_LINK1375"/>
      <w:bookmarkStart w:id="400" w:name="OLE_LINK1438"/>
      <w:bookmarkStart w:id="401" w:name="OLE_LINK11"/>
      <w:bookmarkStart w:id="402" w:name="OLE_LINK1666"/>
      <w:bookmarkStart w:id="403" w:name="OLE_LINK1571"/>
      <w:bookmarkStart w:id="404" w:name="OLE_LINK1519"/>
      <w:bookmarkStart w:id="405" w:name="OLE_LINK1348"/>
      <w:bookmarkStart w:id="406" w:name="OLE_LINK1174"/>
      <w:bookmarkStart w:id="407" w:name="OLE_LINK1327"/>
      <w:bookmarkStart w:id="408" w:name="OLE_LINK1062"/>
      <w:bookmarkStart w:id="409" w:name="OLE_LINK1140"/>
      <w:bookmarkStart w:id="410" w:name="OLE_LINK1195"/>
      <w:bookmarkStart w:id="411" w:name="OLE_LINK1037"/>
      <w:bookmarkStart w:id="412" w:name="OLE_LINK2"/>
      <w:bookmarkStart w:id="413" w:name="OLE_LINK363"/>
      <w:r w:rsidRPr="00EE48E2">
        <w:rPr>
          <w:rFonts w:ascii="Book Antiqua" w:hAnsi="Book Antiqua"/>
          <w:b/>
          <w:sz w:val="24"/>
        </w:rPr>
        <w:t>© The Author(s) 2016.</w:t>
      </w:r>
      <w:r w:rsidRPr="00EE48E2">
        <w:rPr>
          <w:rFonts w:ascii="Book Antiqua" w:hAnsi="Book Antiqua"/>
          <w:sz w:val="24"/>
        </w:rPr>
        <w:t xml:space="preserve"> Published by Baishideng Publishing Group Inc. All rights reserved.</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14:paraId="70580FE2" w14:textId="77777777" w:rsidR="00363A1A" w:rsidRPr="00EE48E2" w:rsidRDefault="00363A1A" w:rsidP="004D1833">
      <w:pPr>
        <w:adjustRightInd w:val="0"/>
        <w:snapToGrid w:val="0"/>
        <w:spacing w:after="0" w:line="360" w:lineRule="auto"/>
        <w:jc w:val="both"/>
        <w:rPr>
          <w:rFonts w:ascii="Book Antiqua" w:hAnsi="Book Antiqua"/>
          <w:sz w:val="24"/>
          <w:szCs w:val="24"/>
          <w:lang w:val="en-GB"/>
        </w:rPr>
      </w:pPr>
    </w:p>
    <w:p w14:paraId="5484461F" w14:textId="04E50A1D" w:rsidR="00363A1A" w:rsidRPr="00EE48E2" w:rsidRDefault="00363A1A" w:rsidP="004D1833">
      <w:pPr>
        <w:adjustRightInd w:val="0"/>
        <w:snapToGrid w:val="0"/>
        <w:spacing w:after="0" w:line="360" w:lineRule="auto"/>
        <w:jc w:val="both"/>
        <w:rPr>
          <w:rFonts w:ascii="Book Antiqua" w:hAnsi="Book Antiqua"/>
          <w:b/>
          <w:sz w:val="24"/>
          <w:szCs w:val="24"/>
          <w:lang w:val="en-GB"/>
        </w:rPr>
      </w:pPr>
      <w:r w:rsidRPr="00EE48E2">
        <w:rPr>
          <w:rFonts w:ascii="Book Antiqua" w:hAnsi="Book Antiqua"/>
          <w:b/>
          <w:sz w:val="24"/>
          <w:szCs w:val="24"/>
          <w:lang w:val="en-GB"/>
        </w:rPr>
        <w:t>Core tip:</w:t>
      </w:r>
      <w:r w:rsidR="004B34CA" w:rsidRPr="00EE48E2">
        <w:rPr>
          <w:rFonts w:ascii="Book Antiqua" w:hAnsi="Book Antiqua" w:hint="eastAsia"/>
          <w:b/>
          <w:sz w:val="24"/>
          <w:szCs w:val="24"/>
          <w:lang w:val="en-GB" w:eastAsia="zh-CN"/>
        </w:rPr>
        <w:t xml:space="preserve"> </w:t>
      </w:r>
      <w:r w:rsidRPr="00EE48E2">
        <w:rPr>
          <w:rFonts w:ascii="Book Antiqua" w:hAnsi="Book Antiqua"/>
          <w:sz w:val="24"/>
          <w:szCs w:val="24"/>
          <w:lang w:val="en-GB"/>
        </w:rPr>
        <w:t>The treatment with anti-</w:t>
      </w:r>
      <w:r w:rsidR="004B34CA" w:rsidRPr="00EE48E2">
        <w:rPr>
          <w:rFonts w:ascii="Book Antiqua" w:hAnsi="Book Antiqua"/>
          <w:sz w:val="24"/>
          <w:szCs w:val="24"/>
          <w:lang w:val="en-GB"/>
        </w:rPr>
        <w:t>epidermal growth factor receptor (EGFR)</w:t>
      </w:r>
      <w:r w:rsidR="004B34CA" w:rsidRPr="00EE48E2">
        <w:rPr>
          <w:rFonts w:ascii="Book Antiqua" w:hAnsi="Book Antiqua" w:hint="eastAsia"/>
          <w:sz w:val="24"/>
          <w:szCs w:val="24"/>
          <w:lang w:val="en-GB" w:eastAsia="zh-CN"/>
        </w:rPr>
        <w:t xml:space="preserve"> </w:t>
      </w:r>
      <w:r w:rsidR="004B34CA" w:rsidRPr="00EE48E2">
        <w:rPr>
          <w:rFonts w:ascii="Book Antiqua" w:hAnsi="Book Antiqua"/>
          <w:sz w:val="24"/>
          <w:szCs w:val="24"/>
          <w:lang w:val="en-GB"/>
        </w:rPr>
        <w:t xml:space="preserve">monoclonal antibodies </w:t>
      </w:r>
      <w:r w:rsidRPr="00EE48E2">
        <w:rPr>
          <w:rFonts w:ascii="Book Antiqua" w:hAnsi="Book Antiqua"/>
          <w:sz w:val="24"/>
          <w:szCs w:val="24"/>
          <w:lang w:val="en-GB"/>
        </w:rPr>
        <w:t xml:space="preserve">cetuximab and panitumumab in mCRC is unfortunately burdened by the lack of clinical and molecular biomarkers that correlate with treatment response. Primary and </w:t>
      </w:r>
      <w:r w:rsidRPr="00EE48E2">
        <w:rPr>
          <w:rFonts w:ascii="Book Antiqua" w:hAnsi="Book Antiqua"/>
          <w:sz w:val="24"/>
          <w:szCs w:val="24"/>
          <w:lang w:val="en-GB"/>
        </w:rPr>
        <w:lastRenderedPageBreak/>
        <w:t xml:space="preserve">acquired resistance have been </w:t>
      </w:r>
      <w:r w:rsidR="00A44933" w:rsidRPr="00EE48E2">
        <w:rPr>
          <w:rFonts w:ascii="Book Antiqua" w:hAnsi="Book Antiqua"/>
          <w:sz w:val="24"/>
          <w:szCs w:val="24"/>
          <w:lang w:val="en-GB"/>
        </w:rPr>
        <w:t xml:space="preserve">shown </w:t>
      </w:r>
      <w:r w:rsidRPr="00EE48E2">
        <w:rPr>
          <w:rFonts w:ascii="Book Antiqua" w:hAnsi="Book Antiqua"/>
          <w:sz w:val="24"/>
          <w:szCs w:val="24"/>
          <w:lang w:val="en-GB"/>
        </w:rPr>
        <w:t>to be the major culprits of the</w:t>
      </w:r>
      <w:r w:rsidR="00A44933" w:rsidRPr="00EE48E2">
        <w:rPr>
          <w:rFonts w:ascii="Book Antiqua" w:hAnsi="Book Antiqua"/>
          <w:sz w:val="24"/>
          <w:szCs w:val="24"/>
          <w:lang w:val="en-GB"/>
        </w:rPr>
        <w:t xml:space="preserve"> failure of</w:t>
      </w:r>
      <w:r w:rsidRPr="00EE48E2">
        <w:rPr>
          <w:rFonts w:ascii="Book Antiqua" w:hAnsi="Book Antiqua"/>
          <w:sz w:val="24"/>
          <w:szCs w:val="24"/>
          <w:lang w:val="en-GB"/>
        </w:rPr>
        <w:t xml:space="preserve"> anti-EGFR treatments. However</w:t>
      </w:r>
      <w:r w:rsidR="00A44933" w:rsidRPr="00EE48E2">
        <w:rPr>
          <w:rFonts w:ascii="Book Antiqua" w:hAnsi="Book Antiqua"/>
          <w:sz w:val="24"/>
          <w:szCs w:val="24"/>
          <w:lang w:val="en-GB"/>
        </w:rPr>
        <w:t>,</w:t>
      </w:r>
      <w:r w:rsidRPr="00EE48E2">
        <w:rPr>
          <w:rFonts w:ascii="Book Antiqua" w:hAnsi="Book Antiqua"/>
          <w:sz w:val="24"/>
          <w:szCs w:val="24"/>
          <w:lang w:val="en-GB"/>
        </w:rPr>
        <w:t xml:space="preserve"> a deeper understanding of </w:t>
      </w:r>
      <w:r w:rsidR="00A44933" w:rsidRPr="00EE48E2">
        <w:rPr>
          <w:rFonts w:ascii="Book Antiqua" w:hAnsi="Book Antiqua"/>
          <w:sz w:val="24"/>
          <w:szCs w:val="24"/>
          <w:lang w:val="en-GB"/>
        </w:rPr>
        <w:t xml:space="preserve">the </w:t>
      </w:r>
      <w:r w:rsidRPr="00EE48E2">
        <w:rPr>
          <w:rFonts w:ascii="Book Antiqua" w:hAnsi="Book Antiqua"/>
          <w:sz w:val="24"/>
          <w:szCs w:val="24"/>
          <w:lang w:val="en-GB"/>
        </w:rPr>
        <w:t xml:space="preserve">molecular basis underlying both types of resistance has </w:t>
      </w:r>
      <w:r w:rsidR="006517F9" w:rsidRPr="00EE48E2">
        <w:rPr>
          <w:rFonts w:ascii="Book Antiqua" w:hAnsi="Book Antiqua"/>
          <w:sz w:val="24"/>
          <w:szCs w:val="24"/>
          <w:lang w:val="en-GB"/>
        </w:rPr>
        <w:t>led</w:t>
      </w:r>
      <w:r w:rsidR="00A44933" w:rsidRPr="00EE48E2">
        <w:rPr>
          <w:rFonts w:ascii="Book Antiqua" w:hAnsi="Book Antiqua"/>
          <w:sz w:val="24"/>
          <w:szCs w:val="24"/>
          <w:lang w:val="en-GB"/>
        </w:rPr>
        <w:t xml:space="preserve"> to the </w:t>
      </w:r>
      <w:r w:rsidRPr="00EE48E2">
        <w:rPr>
          <w:rFonts w:ascii="Book Antiqua" w:hAnsi="Book Antiqua"/>
          <w:sz w:val="24"/>
          <w:szCs w:val="24"/>
          <w:lang w:val="en-GB"/>
        </w:rPr>
        <w:t>propos</w:t>
      </w:r>
      <w:r w:rsidR="00A44933" w:rsidRPr="00EE48E2">
        <w:rPr>
          <w:rFonts w:ascii="Book Antiqua" w:hAnsi="Book Antiqua"/>
          <w:sz w:val="24"/>
          <w:szCs w:val="24"/>
          <w:lang w:val="en-GB"/>
        </w:rPr>
        <w:t>al of</w:t>
      </w:r>
      <w:r w:rsidRPr="00EE48E2">
        <w:rPr>
          <w:rFonts w:ascii="Book Antiqua" w:hAnsi="Book Antiqua"/>
          <w:sz w:val="24"/>
          <w:szCs w:val="24"/>
          <w:lang w:val="en-GB"/>
        </w:rPr>
        <w:t xml:space="preserve"> several approaches </w:t>
      </w:r>
      <w:r w:rsidR="00A44933" w:rsidRPr="00EE48E2">
        <w:rPr>
          <w:rFonts w:ascii="Book Antiqua" w:hAnsi="Book Antiqua"/>
          <w:sz w:val="24"/>
          <w:szCs w:val="24"/>
          <w:lang w:val="en-GB"/>
        </w:rPr>
        <w:t xml:space="preserve">designed </w:t>
      </w:r>
      <w:r w:rsidRPr="00EE48E2">
        <w:rPr>
          <w:rFonts w:ascii="Book Antiqua" w:hAnsi="Book Antiqua"/>
          <w:sz w:val="24"/>
          <w:szCs w:val="24"/>
          <w:lang w:val="en-GB"/>
        </w:rPr>
        <w:t>to prevent, overcome or revert the drug resistance. Nevertheless</w:t>
      </w:r>
      <w:r w:rsidR="00A44933" w:rsidRPr="00EE48E2">
        <w:rPr>
          <w:rFonts w:ascii="Book Antiqua" w:hAnsi="Book Antiqua"/>
          <w:sz w:val="24"/>
          <w:szCs w:val="24"/>
          <w:lang w:val="en-GB"/>
        </w:rPr>
        <w:t>,</w:t>
      </w:r>
      <w:r w:rsidRPr="00EE48E2">
        <w:rPr>
          <w:rFonts w:ascii="Book Antiqua" w:hAnsi="Book Antiqua"/>
          <w:sz w:val="24"/>
          <w:szCs w:val="24"/>
          <w:lang w:val="en-GB"/>
        </w:rPr>
        <w:t xml:space="preserve"> these approaches deserve further clinical investigation to allow us to use EGFR</w:t>
      </w:r>
      <w:r w:rsidR="00A44933" w:rsidRPr="00EE48E2">
        <w:rPr>
          <w:rFonts w:ascii="Book Antiqua" w:hAnsi="Book Antiqua"/>
          <w:sz w:val="24"/>
          <w:szCs w:val="24"/>
          <w:lang w:val="en-GB"/>
        </w:rPr>
        <w:t>-</w:t>
      </w:r>
      <w:r w:rsidRPr="00EE48E2">
        <w:rPr>
          <w:rFonts w:ascii="Book Antiqua" w:hAnsi="Book Antiqua"/>
          <w:sz w:val="24"/>
          <w:szCs w:val="24"/>
          <w:lang w:val="en-GB"/>
        </w:rPr>
        <w:t>targeted therapies more effectively in the correct population.</w:t>
      </w:r>
    </w:p>
    <w:p w14:paraId="7182ED66" w14:textId="77777777" w:rsidR="00363A1A" w:rsidRPr="00EE48E2" w:rsidRDefault="00363A1A" w:rsidP="004D1833">
      <w:pPr>
        <w:adjustRightInd w:val="0"/>
        <w:snapToGrid w:val="0"/>
        <w:spacing w:after="0" w:line="360" w:lineRule="auto"/>
        <w:jc w:val="both"/>
        <w:rPr>
          <w:rFonts w:ascii="Book Antiqua" w:hAnsi="Book Antiqua"/>
          <w:sz w:val="24"/>
          <w:szCs w:val="24"/>
          <w:lang w:val="en-GB"/>
        </w:rPr>
      </w:pPr>
    </w:p>
    <w:p w14:paraId="2C785114" w14:textId="1BD28C89" w:rsidR="00E44444" w:rsidRPr="00EE48E2" w:rsidRDefault="00E44444" w:rsidP="00E44444">
      <w:pPr>
        <w:adjustRightInd w:val="0"/>
        <w:snapToGrid w:val="0"/>
        <w:spacing w:line="360" w:lineRule="auto"/>
        <w:jc w:val="both"/>
        <w:rPr>
          <w:rFonts w:ascii="Book Antiqua" w:hAnsi="Book Antiqua"/>
          <w:sz w:val="24"/>
        </w:rPr>
      </w:pPr>
      <w:r w:rsidRPr="00EE48E2">
        <w:rPr>
          <w:rFonts w:ascii="Book Antiqua" w:hAnsi="Book Antiqua"/>
          <w:sz w:val="24"/>
          <w:szCs w:val="24"/>
        </w:rPr>
        <w:t>Sforza</w:t>
      </w:r>
      <w:r w:rsidRPr="00EE48E2">
        <w:rPr>
          <w:rFonts w:ascii="Book Antiqua" w:hAnsi="Book Antiqua" w:hint="eastAsia"/>
          <w:sz w:val="24"/>
          <w:szCs w:val="24"/>
          <w:lang w:eastAsia="zh-CN"/>
        </w:rPr>
        <w:t xml:space="preserve"> V</w:t>
      </w:r>
      <w:r w:rsidRPr="00EE48E2">
        <w:rPr>
          <w:rFonts w:ascii="Book Antiqua" w:hAnsi="Book Antiqua"/>
          <w:sz w:val="24"/>
          <w:szCs w:val="24"/>
        </w:rPr>
        <w:t>,</w:t>
      </w:r>
      <w:r w:rsidR="00EE48E2" w:rsidRPr="00EE48E2">
        <w:rPr>
          <w:rFonts w:ascii="Book Antiqua" w:hAnsi="Book Antiqua"/>
          <w:sz w:val="24"/>
          <w:szCs w:val="24"/>
        </w:rPr>
        <w:t xml:space="preserve"> </w:t>
      </w:r>
      <w:r w:rsidRPr="00EE48E2">
        <w:rPr>
          <w:rFonts w:ascii="Book Antiqua" w:hAnsi="Book Antiqua"/>
          <w:sz w:val="24"/>
          <w:szCs w:val="24"/>
        </w:rPr>
        <w:t>Martinelli</w:t>
      </w:r>
      <w:r w:rsidRPr="00EE48E2">
        <w:rPr>
          <w:rFonts w:ascii="Book Antiqua" w:hAnsi="Book Antiqua" w:hint="eastAsia"/>
          <w:sz w:val="24"/>
          <w:szCs w:val="24"/>
          <w:lang w:eastAsia="zh-CN"/>
        </w:rPr>
        <w:t xml:space="preserve"> E</w:t>
      </w:r>
      <w:r w:rsidRPr="00EE48E2">
        <w:rPr>
          <w:rFonts w:ascii="Book Antiqua" w:hAnsi="Book Antiqua"/>
          <w:sz w:val="24"/>
          <w:szCs w:val="24"/>
        </w:rPr>
        <w:t>, Ciardiello</w:t>
      </w:r>
      <w:r w:rsidRPr="00EE48E2">
        <w:rPr>
          <w:rFonts w:ascii="Book Antiqua" w:hAnsi="Book Antiqua" w:hint="eastAsia"/>
          <w:sz w:val="24"/>
          <w:szCs w:val="24"/>
          <w:lang w:eastAsia="zh-CN"/>
        </w:rPr>
        <w:t xml:space="preserve"> F</w:t>
      </w:r>
      <w:r w:rsidRPr="00EE48E2">
        <w:rPr>
          <w:rFonts w:ascii="Book Antiqua" w:hAnsi="Book Antiqua"/>
          <w:sz w:val="24"/>
          <w:szCs w:val="24"/>
        </w:rPr>
        <w:t>, Gambardella</w:t>
      </w:r>
      <w:r w:rsidRPr="00EE48E2">
        <w:rPr>
          <w:rFonts w:ascii="Book Antiqua" w:hAnsi="Book Antiqua" w:hint="eastAsia"/>
          <w:sz w:val="24"/>
          <w:szCs w:val="24"/>
          <w:lang w:eastAsia="zh-CN"/>
        </w:rPr>
        <w:t xml:space="preserve"> V</w:t>
      </w:r>
      <w:r w:rsidRPr="00EE48E2">
        <w:rPr>
          <w:rFonts w:ascii="Book Antiqua" w:hAnsi="Book Antiqua"/>
          <w:sz w:val="24"/>
          <w:szCs w:val="24"/>
        </w:rPr>
        <w:t>, Napolitano</w:t>
      </w:r>
      <w:r w:rsidRPr="00EE48E2">
        <w:rPr>
          <w:rFonts w:ascii="Book Antiqua" w:hAnsi="Book Antiqua" w:hint="eastAsia"/>
          <w:sz w:val="24"/>
          <w:szCs w:val="24"/>
          <w:lang w:eastAsia="zh-CN"/>
        </w:rPr>
        <w:t xml:space="preserve"> S</w:t>
      </w:r>
      <w:r w:rsidRPr="00EE48E2">
        <w:rPr>
          <w:rFonts w:ascii="Book Antiqua" w:hAnsi="Book Antiqua"/>
          <w:sz w:val="24"/>
          <w:szCs w:val="24"/>
        </w:rPr>
        <w:t>, Martini</w:t>
      </w:r>
      <w:r w:rsidRPr="00EE48E2">
        <w:rPr>
          <w:rFonts w:ascii="Book Antiqua" w:hAnsi="Book Antiqua" w:hint="eastAsia"/>
          <w:sz w:val="24"/>
          <w:szCs w:val="24"/>
          <w:lang w:eastAsia="zh-CN"/>
        </w:rPr>
        <w:t xml:space="preserve"> G</w:t>
      </w:r>
      <w:r w:rsidRPr="00EE48E2">
        <w:rPr>
          <w:rFonts w:ascii="Book Antiqua" w:hAnsi="Book Antiqua"/>
          <w:sz w:val="24"/>
          <w:szCs w:val="24"/>
        </w:rPr>
        <w:t>, della Corte</w:t>
      </w:r>
      <w:r w:rsidRPr="00EE48E2">
        <w:rPr>
          <w:rFonts w:ascii="Book Antiqua" w:hAnsi="Book Antiqua" w:hint="eastAsia"/>
          <w:sz w:val="24"/>
          <w:szCs w:val="24"/>
          <w:lang w:eastAsia="zh-CN"/>
        </w:rPr>
        <w:t xml:space="preserve"> C</w:t>
      </w:r>
      <w:r w:rsidRPr="00EE48E2">
        <w:rPr>
          <w:rFonts w:ascii="Book Antiqua" w:hAnsi="Book Antiqua"/>
          <w:sz w:val="24"/>
          <w:szCs w:val="24"/>
        </w:rPr>
        <w:t>, Cardone</w:t>
      </w:r>
      <w:r w:rsidRPr="00EE48E2">
        <w:rPr>
          <w:rFonts w:ascii="Book Antiqua" w:hAnsi="Book Antiqua" w:hint="eastAsia"/>
          <w:sz w:val="24"/>
          <w:szCs w:val="24"/>
          <w:lang w:eastAsia="zh-CN"/>
        </w:rPr>
        <w:t xml:space="preserve"> C</w:t>
      </w:r>
      <w:r w:rsidRPr="00EE48E2">
        <w:rPr>
          <w:rFonts w:ascii="Book Antiqua" w:hAnsi="Book Antiqua"/>
          <w:sz w:val="24"/>
          <w:szCs w:val="24"/>
        </w:rPr>
        <w:t>, Ferrara</w:t>
      </w:r>
      <w:r w:rsidRPr="00EE48E2">
        <w:rPr>
          <w:rFonts w:ascii="Book Antiqua" w:hAnsi="Book Antiqua" w:hint="eastAsia"/>
          <w:sz w:val="24"/>
          <w:szCs w:val="24"/>
          <w:lang w:eastAsia="zh-CN"/>
        </w:rPr>
        <w:t xml:space="preserve"> ML</w:t>
      </w:r>
      <w:r w:rsidRPr="00EE48E2">
        <w:rPr>
          <w:rFonts w:ascii="Book Antiqua" w:hAnsi="Book Antiqua"/>
          <w:sz w:val="24"/>
          <w:szCs w:val="24"/>
        </w:rPr>
        <w:t>, Reginelli</w:t>
      </w:r>
      <w:r w:rsidRPr="00EE48E2">
        <w:rPr>
          <w:rFonts w:ascii="Book Antiqua" w:hAnsi="Book Antiqua" w:hint="eastAsia"/>
          <w:sz w:val="24"/>
          <w:szCs w:val="24"/>
          <w:lang w:eastAsia="zh-CN"/>
        </w:rPr>
        <w:t xml:space="preserve"> A</w:t>
      </w:r>
      <w:r w:rsidRPr="00EE48E2">
        <w:rPr>
          <w:rFonts w:ascii="Book Antiqua" w:hAnsi="Book Antiqua"/>
          <w:sz w:val="24"/>
          <w:szCs w:val="24"/>
        </w:rPr>
        <w:t>, Liguori</w:t>
      </w:r>
      <w:r w:rsidRPr="00EE48E2">
        <w:rPr>
          <w:rFonts w:ascii="Book Antiqua" w:hAnsi="Book Antiqua" w:hint="eastAsia"/>
          <w:sz w:val="24"/>
          <w:szCs w:val="24"/>
          <w:lang w:eastAsia="zh-CN"/>
        </w:rPr>
        <w:t xml:space="preserve"> G</w:t>
      </w:r>
      <w:r w:rsidRPr="00EE48E2">
        <w:rPr>
          <w:rFonts w:ascii="Book Antiqua" w:hAnsi="Book Antiqua"/>
          <w:sz w:val="24"/>
          <w:szCs w:val="24"/>
        </w:rPr>
        <w:t xml:space="preserve">, Belli </w:t>
      </w:r>
      <w:r w:rsidRPr="00EE48E2">
        <w:rPr>
          <w:rFonts w:ascii="Book Antiqua" w:hAnsi="Book Antiqua" w:hint="eastAsia"/>
          <w:sz w:val="24"/>
          <w:szCs w:val="24"/>
          <w:lang w:eastAsia="zh-CN"/>
        </w:rPr>
        <w:t xml:space="preserve">G, </w:t>
      </w:r>
      <w:r w:rsidRPr="00EE48E2">
        <w:rPr>
          <w:rFonts w:ascii="Book Antiqua" w:hAnsi="Book Antiqua"/>
          <w:sz w:val="24"/>
          <w:szCs w:val="24"/>
        </w:rPr>
        <w:t>Troiani</w:t>
      </w:r>
      <w:r w:rsidRPr="00EE48E2">
        <w:rPr>
          <w:rFonts w:ascii="Book Antiqua" w:hAnsi="Book Antiqua" w:hint="eastAsia"/>
          <w:sz w:val="24"/>
          <w:szCs w:val="24"/>
          <w:lang w:eastAsia="zh-CN"/>
        </w:rPr>
        <w:t xml:space="preserve"> T. </w:t>
      </w:r>
      <w:r w:rsidRPr="00EE48E2">
        <w:rPr>
          <w:rFonts w:ascii="Book Antiqua" w:hAnsi="Book Antiqua"/>
          <w:sz w:val="24"/>
          <w:szCs w:val="24"/>
          <w:lang w:val="en-GB" w:eastAsia="zh-CN"/>
        </w:rPr>
        <w:t>Mechanisms of resistance to anti-epidermal growth factor receptor inhibitors in metastatic colorectal cancer</w:t>
      </w:r>
      <w:r w:rsidRPr="00EE48E2">
        <w:rPr>
          <w:rFonts w:ascii="Book Antiqua" w:hAnsi="Book Antiqua" w:hint="eastAsia"/>
          <w:sz w:val="24"/>
          <w:szCs w:val="24"/>
          <w:lang w:val="en-GB" w:eastAsia="zh-CN"/>
        </w:rPr>
        <w:t xml:space="preserve">. </w:t>
      </w:r>
      <w:bookmarkStart w:id="414" w:name="OLE_LINK3530"/>
      <w:bookmarkStart w:id="415" w:name="OLE_LINK2985"/>
      <w:bookmarkStart w:id="416" w:name="OLE_LINK3239"/>
      <w:bookmarkStart w:id="417" w:name="OLE_LINK110"/>
      <w:bookmarkStart w:id="418" w:name="OLE_LINK111"/>
      <w:bookmarkStart w:id="419" w:name="OLE_LINK140"/>
      <w:bookmarkStart w:id="420" w:name="OLE_LINK699"/>
      <w:bookmarkStart w:id="421" w:name="OLE_LINK658"/>
      <w:bookmarkStart w:id="422" w:name="OLE_LINK1236"/>
      <w:bookmarkStart w:id="423" w:name="OLE_LINK1369"/>
      <w:bookmarkStart w:id="424" w:name="OLE_LINK1802"/>
      <w:bookmarkStart w:id="425" w:name="OLE_LINK1719"/>
      <w:bookmarkStart w:id="426" w:name="OLE_LINK1796"/>
      <w:bookmarkStart w:id="427" w:name="OLE_LINK1869"/>
      <w:bookmarkStart w:id="428" w:name="OLE_LINK1875"/>
      <w:bookmarkStart w:id="429" w:name="OLE_LINK1917"/>
      <w:bookmarkStart w:id="430" w:name="OLE_LINK1942"/>
      <w:bookmarkStart w:id="431" w:name="OLE_LINK2176"/>
      <w:bookmarkStart w:id="432" w:name="OLE_LINK2074"/>
      <w:bookmarkStart w:id="433" w:name="OLE_LINK2158"/>
      <w:bookmarkStart w:id="434" w:name="OLE_LINK2206"/>
      <w:bookmarkStart w:id="435" w:name="OLE_LINK2028"/>
      <w:bookmarkStart w:id="436" w:name="OLE_LINK3314"/>
      <w:bookmarkStart w:id="437" w:name="OLE_LINK3369"/>
      <w:bookmarkStart w:id="438" w:name="OLE_LINK2039"/>
      <w:bookmarkStart w:id="439" w:name="OLE_LINK2178"/>
      <w:bookmarkStart w:id="440" w:name="OLE_LINK2212"/>
      <w:bookmarkStart w:id="441" w:name="OLE_LINK2245"/>
      <w:bookmarkStart w:id="442" w:name="OLE_LINK2285"/>
      <w:bookmarkStart w:id="443" w:name="OLE_LINK2329"/>
      <w:bookmarkStart w:id="444" w:name="OLE_LINK2309"/>
      <w:bookmarkStart w:id="445" w:name="OLE_LINK2287"/>
      <w:bookmarkStart w:id="446" w:name="OLE_LINK2413"/>
      <w:bookmarkStart w:id="447" w:name="OLE_LINK2349"/>
      <w:bookmarkStart w:id="448" w:name="OLE_LINK2756"/>
      <w:bookmarkStart w:id="449" w:name="OLE_LINK3179"/>
      <w:bookmarkStart w:id="450" w:name="OLE_LINK3178"/>
      <w:bookmarkStart w:id="451" w:name="OLE_LINK3169"/>
      <w:bookmarkStart w:id="452" w:name="OLE_LINK3055"/>
      <w:bookmarkStart w:id="453" w:name="OLE_LINK61"/>
      <w:bookmarkStart w:id="454" w:name="OLE_LINK3037"/>
      <w:bookmarkStart w:id="455" w:name="OLE_LINK58"/>
      <w:bookmarkStart w:id="456" w:name="OLE_LINK3500"/>
      <w:bookmarkStart w:id="457" w:name="OLE_LINK2951"/>
      <w:bookmarkStart w:id="458" w:name="OLE_LINK48"/>
      <w:r w:rsidRPr="00EE48E2">
        <w:rPr>
          <w:rFonts w:ascii="Book Antiqua" w:hAnsi="Book Antiqua"/>
          <w:i/>
          <w:sz w:val="24"/>
        </w:rPr>
        <w:t xml:space="preserve">World J Gastroenterol </w:t>
      </w:r>
      <w:r w:rsidRPr="00EE48E2">
        <w:rPr>
          <w:rFonts w:ascii="Book Antiqua" w:hAnsi="Book Antiqua"/>
          <w:sz w:val="24"/>
        </w:rPr>
        <w:t>2016; In press</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14:paraId="1137D698" w14:textId="6DB85D94" w:rsidR="00E44444" w:rsidRPr="00EE48E2" w:rsidRDefault="00E44444" w:rsidP="00E44444">
      <w:pPr>
        <w:adjustRightInd w:val="0"/>
        <w:snapToGrid w:val="0"/>
        <w:spacing w:after="0" w:line="360" w:lineRule="auto"/>
        <w:jc w:val="both"/>
        <w:rPr>
          <w:rFonts w:ascii="Book Antiqua" w:hAnsi="Book Antiqua"/>
          <w:sz w:val="24"/>
          <w:szCs w:val="24"/>
          <w:lang w:val="en-GB" w:eastAsia="zh-CN"/>
        </w:rPr>
      </w:pPr>
    </w:p>
    <w:p w14:paraId="4BD179AF" w14:textId="3DB6AD19" w:rsidR="00E44444" w:rsidRPr="00EE48E2" w:rsidRDefault="00E44444" w:rsidP="00E44444">
      <w:pPr>
        <w:adjustRightInd w:val="0"/>
        <w:snapToGrid w:val="0"/>
        <w:spacing w:after="0" w:line="360" w:lineRule="auto"/>
        <w:jc w:val="both"/>
        <w:rPr>
          <w:rFonts w:ascii="Book Antiqua" w:hAnsi="Book Antiqua"/>
          <w:sz w:val="24"/>
          <w:szCs w:val="24"/>
          <w:lang w:val="en-GB" w:eastAsia="zh-CN"/>
        </w:rPr>
      </w:pPr>
    </w:p>
    <w:p w14:paraId="46DA4F9A" w14:textId="77777777" w:rsidR="00363A1A" w:rsidRPr="00EE48E2" w:rsidRDefault="00363A1A" w:rsidP="004D1833">
      <w:pPr>
        <w:adjustRightInd w:val="0"/>
        <w:snapToGrid w:val="0"/>
        <w:spacing w:after="0" w:line="360" w:lineRule="auto"/>
        <w:jc w:val="both"/>
        <w:rPr>
          <w:rFonts w:ascii="Book Antiqua" w:hAnsi="Book Antiqua"/>
          <w:sz w:val="24"/>
          <w:szCs w:val="24"/>
        </w:rPr>
      </w:pPr>
    </w:p>
    <w:p w14:paraId="402C9000" w14:textId="77777777" w:rsidR="00363A1A" w:rsidRPr="00EE48E2" w:rsidRDefault="00363A1A" w:rsidP="004D1833">
      <w:pPr>
        <w:adjustRightInd w:val="0"/>
        <w:snapToGrid w:val="0"/>
        <w:spacing w:after="0" w:line="360" w:lineRule="auto"/>
        <w:jc w:val="both"/>
        <w:rPr>
          <w:rFonts w:ascii="Book Antiqua" w:hAnsi="Book Antiqua"/>
          <w:sz w:val="24"/>
          <w:szCs w:val="24"/>
          <w:lang w:val="en-GB"/>
        </w:rPr>
      </w:pPr>
    </w:p>
    <w:p w14:paraId="089D2DAA" w14:textId="77777777" w:rsidR="00363A1A" w:rsidRPr="00EE48E2" w:rsidRDefault="00363A1A" w:rsidP="004D1833">
      <w:pPr>
        <w:adjustRightInd w:val="0"/>
        <w:snapToGrid w:val="0"/>
        <w:spacing w:after="0" w:line="360" w:lineRule="auto"/>
        <w:jc w:val="both"/>
        <w:rPr>
          <w:rFonts w:ascii="Book Antiqua" w:hAnsi="Book Antiqua"/>
          <w:sz w:val="24"/>
          <w:szCs w:val="24"/>
          <w:lang w:val="en-GB"/>
        </w:rPr>
      </w:pPr>
    </w:p>
    <w:p w14:paraId="10ED882F" w14:textId="77777777" w:rsidR="00363A1A" w:rsidRPr="00EE48E2" w:rsidRDefault="00363A1A" w:rsidP="004D1833">
      <w:pPr>
        <w:adjustRightInd w:val="0"/>
        <w:snapToGrid w:val="0"/>
        <w:spacing w:after="0" w:line="360" w:lineRule="auto"/>
        <w:jc w:val="both"/>
        <w:rPr>
          <w:rFonts w:ascii="Book Antiqua" w:hAnsi="Book Antiqua"/>
          <w:sz w:val="24"/>
          <w:szCs w:val="24"/>
          <w:lang w:val="en-GB"/>
        </w:rPr>
      </w:pPr>
    </w:p>
    <w:p w14:paraId="675C24B3" w14:textId="77777777" w:rsidR="00B970C0" w:rsidRPr="00EE48E2" w:rsidRDefault="00B970C0">
      <w:pPr>
        <w:rPr>
          <w:rFonts w:ascii="Book Antiqua" w:hAnsi="Book Antiqua"/>
          <w:b/>
          <w:sz w:val="24"/>
          <w:szCs w:val="24"/>
          <w:lang w:val="en-GB"/>
        </w:rPr>
      </w:pPr>
      <w:r w:rsidRPr="00EE48E2">
        <w:rPr>
          <w:rFonts w:ascii="Book Antiqua" w:hAnsi="Book Antiqua"/>
          <w:b/>
          <w:sz w:val="24"/>
          <w:szCs w:val="24"/>
          <w:lang w:val="en-GB"/>
        </w:rPr>
        <w:br w:type="page"/>
      </w:r>
    </w:p>
    <w:p w14:paraId="038E3A1C" w14:textId="3ED75EC9" w:rsidR="00363A1A" w:rsidRPr="00EE48E2" w:rsidRDefault="00363A1A" w:rsidP="004D1833">
      <w:pPr>
        <w:adjustRightInd w:val="0"/>
        <w:snapToGrid w:val="0"/>
        <w:spacing w:after="0" w:line="360" w:lineRule="auto"/>
        <w:jc w:val="both"/>
        <w:rPr>
          <w:rFonts w:ascii="Book Antiqua" w:hAnsi="Book Antiqua"/>
          <w:b/>
          <w:sz w:val="24"/>
          <w:szCs w:val="24"/>
          <w:lang w:val="en-GB"/>
        </w:rPr>
      </w:pPr>
      <w:r w:rsidRPr="00EE48E2">
        <w:rPr>
          <w:rFonts w:ascii="Book Antiqua" w:hAnsi="Book Antiqua"/>
          <w:b/>
          <w:sz w:val="24"/>
          <w:szCs w:val="24"/>
          <w:lang w:val="en-GB"/>
        </w:rPr>
        <w:lastRenderedPageBreak/>
        <w:t>INTRODUCTION</w:t>
      </w:r>
    </w:p>
    <w:p w14:paraId="04E3E00C" w14:textId="03A990E5" w:rsidR="00363A1A" w:rsidRPr="00EE48E2" w:rsidRDefault="00363A1A" w:rsidP="004D1833">
      <w:pPr>
        <w:adjustRightInd w:val="0"/>
        <w:snapToGrid w:val="0"/>
        <w:spacing w:after="0" w:line="360" w:lineRule="auto"/>
        <w:jc w:val="both"/>
        <w:rPr>
          <w:rFonts w:ascii="Book Antiqua" w:hAnsi="Book Antiqua"/>
          <w:sz w:val="24"/>
          <w:szCs w:val="24"/>
          <w:lang w:val="en-GB"/>
        </w:rPr>
      </w:pPr>
      <w:r w:rsidRPr="00EE48E2">
        <w:rPr>
          <w:rFonts w:ascii="Book Antiqua" w:hAnsi="Book Antiqua"/>
          <w:sz w:val="24"/>
          <w:szCs w:val="24"/>
          <w:lang w:val="en-GB"/>
        </w:rPr>
        <w:t>Colorectal cancer (CRC) is considered the third most commonly diagnosed cancer in males and the second in females</w:t>
      </w:r>
      <w:r w:rsidR="009E35B8" w:rsidRPr="00EE48E2">
        <w:rPr>
          <w:rFonts w:ascii="Book Antiqua" w:hAnsi="Book Antiqua"/>
          <w:sz w:val="24"/>
          <w:szCs w:val="24"/>
          <w:lang w:val="en-GB"/>
        </w:rPr>
        <w:t xml:space="preserve"> worldwide,</w:t>
      </w:r>
      <w:r w:rsidRPr="00EE48E2">
        <w:rPr>
          <w:rFonts w:ascii="Book Antiqua" w:hAnsi="Book Antiqua"/>
          <w:sz w:val="24"/>
          <w:szCs w:val="24"/>
          <w:lang w:val="en-GB"/>
        </w:rPr>
        <w:t xml:space="preserve"> with </w:t>
      </w:r>
      <w:r w:rsidR="009E35B8" w:rsidRPr="00EE48E2">
        <w:rPr>
          <w:rFonts w:ascii="Book Antiqua" w:hAnsi="Book Antiqua"/>
          <w:sz w:val="24"/>
          <w:szCs w:val="24"/>
          <w:lang w:val="en-GB"/>
        </w:rPr>
        <w:t xml:space="preserve">an </w:t>
      </w:r>
      <w:r w:rsidRPr="00EE48E2">
        <w:rPr>
          <w:rFonts w:ascii="Book Antiqua" w:hAnsi="Book Antiqua"/>
          <w:sz w:val="24"/>
          <w:szCs w:val="24"/>
          <w:lang w:val="en-GB"/>
        </w:rPr>
        <w:t xml:space="preserve">estimated 1.4 million </w:t>
      </w:r>
      <w:r w:rsidR="009E35B8" w:rsidRPr="00EE48E2">
        <w:rPr>
          <w:rFonts w:ascii="Book Antiqua" w:hAnsi="Book Antiqua"/>
          <w:sz w:val="24"/>
          <w:szCs w:val="24"/>
          <w:lang w:val="en-GB"/>
        </w:rPr>
        <w:t xml:space="preserve">new </w:t>
      </w:r>
      <w:r w:rsidRPr="00EE48E2">
        <w:rPr>
          <w:rFonts w:ascii="Book Antiqua" w:hAnsi="Book Antiqua"/>
          <w:sz w:val="24"/>
          <w:szCs w:val="24"/>
          <w:lang w:val="en-GB"/>
        </w:rPr>
        <w:t>cases in 2012. In the same year</w:t>
      </w:r>
      <w:r w:rsidR="009E35B8" w:rsidRPr="00EE48E2">
        <w:rPr>
          <w:rFonts w:ascii="Book Antiqua" w:hAnsi="Book Antiqua"/>
          <w:sz w:val="24"/>
          <w:szCs w:val="24"/>
          <w:lang w:val="en-GB"/>
        </w:rPr>
        <w:t>,</w:t>
      </w:r>
      <w:r w:rsidR="00B970C0" w:rsidRPr="00EE48E2">
        <w:rPr>
          <w:rFonts w:ascii="Book Antiqua" w:hAnsi="Book Antiqua"/>
          <w:sz w:val="24"/>
          <w:szCs w:val="24"/>
          <w:lang w:val="en-GB"/>
        </w:rPr>
        <w:t xml:space="preserve"> CRC was responsible for 693</w:t>
      </w:r>
      <w:r w:rsidRPr="00EE48E2">
        <w:rPr>
          <w:rFonts w:ascii="Book Antiqua" w:hAnsi="Book Antiqua"/>
          <w:sz w:val="24"/>
          <w:szCs w:val="24"/>
          <w:lang w:val="en-GB"/>
        </w:rPr>
        <w:t xml:space="preserve">900 deaths, </w:t>
      </w:r>
      <w:r w:rsidR="009E35B8" w:rsidRPr="00EE48E2">
        <w:rPr>
          <w:rFonts w:ascii="Book Antiqua" w:hAnsi="Book Antiqua"/>
          <w:sz w:val="24"/>
          <w:szCs w:val="24"/>
          <w:lang w:val="en-GB"/>
        </w:rPr>
        <w:t xml:space="preserve">making it </w:t>
      </w:r>
      <w:r w:rsidRPr="00EE48E2">
        <w:rPr>
          <w:rFonts w:ascii="Book Antiqua" w:hAnsi="Book Antiqua"/>
          <w:sz w:val="24"/>
          <w:szCs w:val="24"/>
          <w:lang w:val="en-GB"/>
        </w:rPr>
        <w:t>the fourth leading cause of cancer</w:t>
      </w:r>
      <w:r w:rsidR="009E35B8" w:rsidRPr="00EE48E2">
        <w:rPr>
          <w:rFonts w:ascii="Book Antiqua" w:hAnsi="Book Antiqua"/>
          <w:sz w:val="24"/>
          <w:szCs w:val="24"/>
          <w:lang w:val="en-GB"/>
        </w:rPr>
        <w:t>-</w:t>
      </w:r>
      <w:r w:rsidRPr="00EE48E2">
        <w:rPr>
          <w:rFonts w:ascii="Book Antiqua" w:hAnsi="Book Antiqua"/>
          <w:sz w:val="24"/>
          <w:szCs w:val="24"/>
          <w:lang w:val="en-GB"/>
        </w:rPr>
        <w:t>related death in men and the third in women</w:t>
      </w:r>
      <w:r w:rsidRPr="00EE48E2">
        <w:rPr>
          <w:rFonts w:ascii="Book Antiqua" w:hAnsi="Book Antiqua"/>
          <w:sz w:val="24"/>
          <w:szCs w:val="24"/>
          <w:vertAlign w:val="superscript"/>
          <w:lang w:val="en-GB"/>
        </w:rPr>
        <w:t>[1]</w:t>
      </w:r>
      <w:r w:rsidRPr="00EE48E2">
        <w:rPr>
          <w:rFonts w:ascii="Book Antiqua" w:hAnsi="Book Antiqua"/>
          <w:sz w:val="24"/>
          <w:szCs w:val="24"/>
          <w:lang w:val="en-GB"/>
        </w:rPr>
        <w:t xml:space="preserve">. </w:t>
      </w:r>
      <w:r w:rsidR="00DE72B4" w:rsidRPr="00EE48E2">
        <w:rPr>
          <w:rFonts w:ascii="Book Antiqua" w:hAnsi="Book Antiqua"/>
          <w:sz w:val="24"/>
          <w:szCs w:val="24"/>
          <w:lang w:val="en-GB"/>
        </w:rPr>
        <w:t>Although</w:t>
      </w:r>
      <w:r w:rsidRPr="00EE48E2">
        <w:rPr>
          <w:rFonts w:ascii="Book Antiqua" w:hAnsi="Book Antiqua"/>
          <w:sz w:val="24"/>
          <w:szCs w:val="24"/>
          <w:lang w:val="en-GB"/>
        </w:rPr>
        <w:t xml:space="preserve"> the advances in screening and medical treatments have led a trend in reduction of both incidence and mortality, almost 20% of patients present metastases at </w:t>
      </w:r>
      <w:r w:rsidR="00DE72B4" w:rsidRPr="00EE48E2">
        <w:rPr>
          <w:rFonts w:ascii="Book Antiqua" w:hAnsi="Book Antiqua"/>
          <w:sz w:val="24"/>
          <w:szCs w:val="24"/>
          <w:lang w:val="en-GB"/>
        </w:rPr>
        <w:t xml:space="preserve">the </w:t>
      </w:r>
      <w:r w:rsidRPr="00EE48E2">
        <w:rPr>
          <w:rFonts w:ascii="Book Antiqua" w:hAnsi="Book Antiqua"/>
          <w:sz w:val="24"/>
          <w:szCs w:val="24"/>
          <w:lang w:val="en-GB"/>
        </w:rPr>
        <w:t>time of diagnosis</w:t>
      </w:r>
      <w:r w:rsidR="00DE72B4" w:rsidRPr="00EE48E2">
        <w:rPr>
          <w:rFonts w:ascii="Book Antiqua" w:hAnsi="Book Antiqua"/>
          <w:sz w:val="24"/>
          <w:szCs w:val="24"/>
          <w:lang w:val="en-GB"/>
        </w:rPr>
        <w:t>,</w:t>
      </w:r>
      <w:r w:rsidRPr="00EE48E2">
        <w:rPr>
          <w:rFonts w:ascii="Book Antiqua" w:hAnsi="Book Antiqua"/>
          <w:sz w:val="24"/>
          <w:szCs w:val="24"/>
          <w:lang w:val="en-GB"/>
        </w:rPr>
        <w:t xml:space="preserve"> and</w:t>
      </w:r>
      <w:r w:rsidR="00DB342E" w:rsidRPr="00EE48E2">
        <w:rPr>
          <w:rFonts w:ascii="Book Antiqua" w:hAnsi="Book Antiqua"/>
          <w:sz w:val="24"/>
          <w:szCs w:val="24"/>
          <w:lang w:val="en-GB"/>
        </w:rPr>
        <w:t xml:space="preserve"> approximately 3</w:t>
      </w:r>
      <w:r w:rsidRPr="00EE48E2">
        <w:rPr>
          <w:rFonts w:ascii="Book Antiqua" w:hAnsi="Book Antiqua"/>
          <w:sz w:val="24"/>
          <w:szCs w:val="24"/>
          <w:lang w:val="en-GB"/>
        </w:rPr>
        <w:t>5% of patients will subsequently develop a metastatic disease</w:t>
      </w:r>
      <w:r w:rsidRPr="00EE48E2">
        <w:rPr>
          <w:rFonts w:ascii="Book Antiqua" w:hAnsi="Book Antiqua"/>
          <w:sz w:val="24"/>
          <w:szCs w:val="24"/>
          <w:vertAlign w:val="superscript"/>
          <w:lang w:val="en-GB"/>
        </w:rPr>
        <w:t>[2]</w:t>
      </w:r>
      <w:r w:rsidRPr="00EE48E2">
        <w:rPr>
          <w:rFonts w:ascii="Book Antiqua" w:hAnsi="Book Antiqua"/>
          <w:sz w:val="24"/>
          <w:szCs w:val="24"/>
          <w:lang w:val="en-GB"/>
        </w:rPr>
        <w:t>. The prognosis of patients with metastatic colorectal cancer (mCRC) remain</w:t>
      </w:r>
      <w:r w:rsidR="00DE72B4" w:rsidRPr="00EE48E2">
        <w:rPr>
          <w:rFonts w:ascii="Book Antiqua" w:hAnsi="Book Antiqua"/>
          <w:sz w:val="24"/>
          <w:szCs w:val="24"/>
          <w:lang w:val="en-GB"/>
        </w:rPr>
        <w:t>s</w:t>
      </w:r>
      <w:r w:rsidRPr="00EE48E2">
        <w:rPr>
          <w:rFonts w:ascii="Book Antiqua" w:hAnsi="Book Antiqua"/>
          <w:sz w:val="24"/>
          <w:szCs w:val="24"/>
          <w:lang w:val="en-GB"/>
        </w:rPr>
        <w:t xml:space="preserve"> poor </w:t>
      </w:r>
      <w:r w:rsidR="008E3D0D" w:rsidRPr="00EE48E2">
        <w:rPr>
          <w:rFonts w:ascii="Book Antiqua" w:hAnsi="Book Antiqua"/>
          <w:sz w:val="24"/>
          <w:szCs w:val="24"/>
          <w:lang w:val="en-GB"/>
        </w:rPr>
        <w:t>despite</w:t>
      </w:r>
      <w:r w:rsidRPr="00EE48E2">
        <w:rPr>
          <w:rFonts w:ascii="Book Antiqua" w:hAnsi="Book Antiqua"/>
          <w:sz w:val="24"/>
          <w:szCs w:val="24"/>
          <w:lang w:val="en-GB"/>
        </w:rPr>
        <w:t xml:space="preserve"> the impressive improvement</w:t>
      </w:r>
      <w:r w:rsidR="00DB342E" w:rsidRPr="00EE48E2">
        <w:rPr>
          <w:rFonts w:ascii="Book Antiqua" w:hAnsi="Book Antiqua"/>
          <w:sz w:val="24"/>
          <w:szCs w:val="24"/>
          <w:lang w:val="en-GB"/>
        </w:rPr>
        <w:t xml:space="preserve"> observed</w:t>
      </w:r>
      <w:r w:rsidRPr="00EE48E2">
        <w:rPr>
          <w:rFonts w:ascii="Book Antiqua" w:hAnsi="Book Antiqua"/>
          <w:sz w:val="24"/>
          <w:szCs w:val="24"/>
          <w:lang w:val="en-GB"/>
        </w:rPr>
        <w:t xml:space="preserve"> over the last 20 years that led </w:t>
      </w:r>
      <w:r w:rsidR="00DE72B4" w:rsidRPr="00EE48E2">
        <w:rPr>
          <w:rFonts w:ascii="Book Antiqua" w:hAnsi="Book Antiqua"/>
          <w:sz w:val="24"/>
          <w:szCs w:val="24"/>
          <w:lang w:val="en-GB"/>
        </w:rPr>
        <w:t xml:space="preserve">to </w:t>
      </w:r>
      <w:r w:rsidRPr="00EE48E2">
        <w:rPr>
          <w:rFonts w:ascii="Book Antiqua" w:hAnsi="Book Antiqua"/>
          <w:sz w:val="24"/>
          <w:szCs w:val="24"/>
          <w:lang w:val="en-GB"/>
        </w:rPr>
        <w:t xml:space="preserve">an increase in median overall survival (OS) from 6 </w:t>
      </w:r>
      <w:r w:rsidR="00B970C0" w:rsidRPr="00EE48E2">
        <w:rPr>
          <w:rFonts w:ascii="Book Antiqua" w:hAnsi="Book Antiqua" w:hint="eastAsia"/>
          <w:sz w:val="24"/>
          <w:szCs w:val="24"/>
          <w:lang w:val="en-GB" w:eastAsia="zh-CN"/>
        </w:rPr>
        <w:t>mo</w:t>
      </w:r>
      <w:r w:rsidRPr="00EE48E2">
        <w:rPr>
          <w:rFonts w:ascii="Book Antiqua" w:hAnsi="Book Antiqua"/>
          <w:sz w:val="24"/>
          <w:szCs w:val="24"/>
          <w:lang w:val="en-GB"/>
        </w:rPr>
        <w:t>, with the only best supportive care, to</w:t>
      </w:r>
      <w:r w:rsidR="00DB342E" w:rsidRPr="00EE48E2">
        <w:rPr>
          <w:rFonts w:ascii="Book Antiqua" w:hAnsi="Book Antiqua"/>
          <w:sz w:val="24"/>
          <w:szCs w:val="24"/>
          <w:lang w:val="en-GB"/>
        </w:rPr>
        <w:t xml:space="preserve"> approximately 3</w:t>
      </w:r>
      <w:r w:rsidRPr="00EE48E2">
        <w:rPr>
          <w:rFonts w:ascii="Book Antiqua" w:hAnsi="Book Antiqua"/>
          <w:sz w:val="24"/>
          <w:szCs w:val="24"/>
          <w:lang w:val="en-GB"/>
        </w:rPr>
        <w:t xml:space="preserve">0 </w:t>
      </w:r>
      <w:r w:rsidR="00B970C0" w:rsidRPr="00EE48E2">
        <w:rPr>
          <w:rFonts w:ascii="Book Antiqua" w:hAnsi="Book Antiqua" w:hint="eastAsia"/>
          <w:sz w:val="24"/>
          <w:szCs w:val="24"/>
          <w:lang w:val="en-GB" w:eastAsia="zh-CN"/>
        </w:rPr>
        <w:t>mo</w:t>
      </w:r>
      <w:r w:rsidRPr="00EE48E2">
        <w:rPr>
          <w:rFonts w:ascii="Book Antiqua" w:hAnsi="Book Antiqua"/>
          <w:sz w:val="24"/>
          <w:szCs w:val="24"/>
          <w:lang w:val="en-GB"/>
        </w:rPr>
        <w:t xml:space="preserve"> with the introduction of active chemotherapy drugs</w:t>
      </w:r>
      <w:r w:rsidR="003628A5" w:rsidRPr="00EE48E2">
        <w:rPr>
          <w:rFonts w:ascii="Book Antiqua" w:hAnsi="Book Antiqua"/>
          <w:sz w:val="24"/>
          <w:szCs w:val="24"/>
          <w:lang w:val="en-GB"/>
        </w:rPr>
        <w:t>,</w:t>
      </w:r>
      <w:r w:rsidRPr="00EE48E2">
        <w:rPr>
          <w:rFonts w:ascii="Book Antiqua" w:hAnsi="Book Antiqua"/>
          <w:sz w:val="24"/>
          <w:szCs w:val="24"/>
          <w:lang w:val="en-GB"/>
        </w:rPr>
        <w:t xml:space="preserve"> such as fluropyrimidines, oxaliplatin, irinotecan, TAS-102</w:t>
      </w:r>
      <w:r w:rsidR="008E3D0D" w:rsidRPr="00EE48E2">
        <w:rPr>
          <w:rFonts w:ascii="Book Antiqua" w:hAnsi="Book Antiqua"/>
          <w:sz w:val="24"/>
          <w:szCs w:val="24"/>
          <w:lang w:val="en-GB"/>
        </w:rPr>
        <w:t>,</w:t>
      </w:r>
      <w:r w:rsidRPr="00EE48E2">
        <w:rPr>
          <w:rFonts w:ascii="Book Antiqua" w:hAnsi="Book Antiqua"/>
          <w:sz w:val="24"/>
          <w:szCs w:val="24"/>
          <w:lang w:val="en-GB"/>
        </w:rPr>
        <w:t xml:space="preserve"> and of targeted drugs, such as bevacizumab, cetuximab, panitumumab, aflibercept, and regorafenib</w:t>
      </w:r>
      <w:r w:rsidRPr="00EE48E2">
        <w:rPr>
          <w:rFonts w:ascii="Book Antiqua" w:hAnsi="Book Antiqua"/>
          <w:sz w:val="24"/>
          <w:szCs w:val="24"/>
          <w:vertAlign w:val="superscript"/>
          <w:lang w:val="en-GB"/>
        </w:rPr>
        <w:t>[3,4]</w:t>
      </w:r>
      <w:r w:rsidRPr="00EE48E2">
        <w:rPr>
          <w:rFonts w:ascii="Book Antiqua" w:hAnsi="Book Antiqua"/>
          <w:sz w:val="24"/>
          <w:szCs w:val="24"/>
          <w:lang w:val="en-GB"/>
        </w:rPr>
        <w:t xml:space="preserve">. However, despite these great advances, the efficacy of these treatments remains limited and substantially unpredictable. The reasons </w:t>
      </w:r>
      <w:r w:rsidR="008E3D0D" w:rsidRPr="00EE48E2">
        <w:rPr>
          <w:rFonts w:ascii="Book Antiqua" w:hAnsi="Book Antiqua"/>
          <w:sz w:val="24"/>
          <w:szCs w:val="24"/>
          <w:lang w:val="en-GB"/>
        </w:rPr>
        <w:t>for</w:t>
      </w:r>
      <w:r w:rsidRPr="00EE48E2">
        <w:rPr>
          <w:rFonts w:ascii="Book Antiqua" w:hAnsi="Book Antiqua"/>
          <w:sz w:val="24"/>
          <w:szCs w:val="24"/>
          <w:lang w:val="en-GB"/>
        </w:rPr>
        <w:t xml:space="preserve"> this restricted success are firstly the development of various mechanisms of resistance to treatments and secondly the lack of clinical and molecular biomarkers that correlate with treatment response. This </w:t>
      </w:r>
      <w:r w:rsidR="008E3D0D" w:rsidRPr="00EE48E2">
        <w:rPr>
          <w:rFonts w:ascii="Book Antiqua" w:hAnsi="Book Antiqua"/>
          <w:sz w:val="24"/>
          <w:szCs w:val="24"/>
          <w:lang w:val="en-GB"/>
        </w:rPr>
        <w:t xml:space="preserve">drug resistance </w:t>
      </w:r>
      <w:r w:rsidRPr="00EE48E2">
        <w:rPr>
          <w:rFonts w:ascii="Book Antiqua" w:hAnsi="Book Antiqua"/>
          <w:sz w:val="24"/>
          <w:szCs w:val="24"/>
          <w:lang w:val="en-GB"/>
        </w:rPr>
        <w:t xml:space="preserve">is particularly relevant for drugs that target the epidermal growth factor receptor (EGFR). </w:t>
      </w:r>
    </w:p>
    <w:p w14:paraId="3516E948" w14:textId="08CA3885" w:rsidR="00363A1A" w:rsidRPr="00EE48E2" w:rsidRDefault="00363A1A" w:rsidP="00B970C0">
      <w:pPr>
        <w:adjustRightInd w:val="0"/>
        <w:snapToGrid w:val="0"/>
        <w:spacing w:after="0" w:line="360" w:lineRule="auto"/>
        <w:ind w:firstLineChars="100" w:firstLine="240"/>
        <w:jc w:val="both"/>
        <w:rPr>
          <w:rFonts w:ascii="Book Antiqua" w:hAnsi="Book Antiqua"/>
          <w:sz w:val="24"/>
          <w:szCs w:val="24"/>
          <w:lang w:val="en-GB"/>
        </w:rPr>
      </w:pPr>
      <w:r w:rsidRPr="00EE48E2">
        <w:rPr>
          <w:rFonts w:ascii="Book Antiqua" w:hAnsi="Book Antiqua"/>
          <w:sz w:val="24"/>
          <w:szCs w:val="24"/>
          <w:lang w:val="en-GB"/>
        </w:rPr>
        <w:t>EGFR is a tyrosine kinases receptor (RTK)</w:t>
      </w:r>
      <w:r w:rsidR="008E7DF5" w:rsidRPr="00EE48E2">
        <w:rPr>
          <w:rFonts w:ascii="Book Antiqua" w:hAnsi="Book Antiqua"/>
          <w:sz w:val="24"/>
          <w:szCs w:val="24"/>
          <w:lang w:val="en-GB"/>
        </w:rPr>
        <w:t xml:space="preserve"> and</w:t>
      </w:r>
      <w:r w:rsidRPr="00EE48E2">
        <w:rPr>
          <w:rFonts w:ascii="Book Antiqua" w:hAnsi="Book Antiqua"/>
          <w:sz w:val="24"/>
          <w:szCs w:val="24"/>
          <w:lang w:val="en-GB"/>
        </w:rPr>
        <w:t xml:space="preserve"> </w:t>
      </w:r>
      <w:r w:rsidR="008E7DF5" w:rsidRPr="00EE48E2">
        <w:rPr>
          <w:rFonts w:ascii="Book Antiqua" w:hAnsi="Book Antiqua"/>
          <w:sz w:val="24"/>
          <w:szCs w:val="24"/>
          <w:lang w:val="en-GB"/>
        </w:rPr>
        <w:t xml:space="preserve">a </w:t>
      </w:r>
      <w:r w:rsidRPr="00EE48E2">
        <w:rPr>
          <w:rFonts w:ascii="Book Antiqua" w:hAnsi="Book Antiqua"/>
          <w:sz w:val="24"/>
          <w:szCs w:val="24"/>
          <w:lang w:val="en-GB"/>
        </w:rPr>
        <w:t>member of the ErbB family to which HER2/neu (ERBB2), HER3 (ErbB3), and HER4 (ErbB4)</w:t>
      </w:r>
      <w:r w:rsidR="008E7DF5" w:rsidRPr="00EE48E2">
        <w:rPr>
          <w:rFonts w:ascii="Book Antiqua" w:hAnsi="Book Antiqua"/>
          <w:sz w:val="24"/>
          <w:szCs w:val="24"/>
          <w:lang w:val="en-GB"/>
        </w:rPr>
        <w:t xml:space="preserve"> also belong</w:t>
      </w:r>
      <w:r w:rsidRPr="00EE48E2">
        <w:rPr>
          <w:rFonts w:ascii="Book Antiqua" w:hAnsi="Book Antiqua"/>
          <w:sz w:val="24"/>
          <w:szCs w:val="24"/>
          <w:lang w:val="en-GB"/>
        </w:rPr>
        <w:t>. EGFR is expressed in various cancers and in 60% to 80% of colorectal cancer</w:t>
      </w:r>
      <w:r w:rsidR="008E7DF5" w:rsidRPr="00EE48E2">
        <w:rPr>
          <w:rFonts w:ascii="Book Antiqua" w:hAnsi="Book Antiqua"/>
          <w:sz w:val="24"/>
          <w:szCs w:val="24"/>
          <w:lang w:val="en-GB"/>
        </w:rPr>
        <w:t>,</w:t>
      </w:r>
      <w:r w:rsidRPr="00EE48E2">
        <w:rPr>
          <w:rFonts w:ascii="Book Antiqua" w:hAnsi="Book Antiqua"/>
          <w:sz w:val="24"/>
          <w:szCs w:val="24"/>
          <w:lang w:val="en-GB"/>
        </w:rPr>
        <w:t xml:space="preserve"> where </w:t>
      </w:r>
      <w:r w:rsidR="008E7DF5" w:rsidRPr="00EE48E2">
        <w:rPr>
          <w:rFonts w:ascii="Book Antiqua" w:hAnsi="Book Antiqua"/>
          <w:sz w:val="24"/>
          <w:szCs w:val="24"/>
          <w:lang w:val="en-GB"/>
        </w:rPr>
        <w:t xml:space="preserve">it </w:t>
      </w:r>
      <w:r w:rsidRPr="00EE48E2">
        <w:rPr>
          <w:rFonts w:ascii="Book Antiqua" w:hAnsi="Book Antiqua"/>
          <w:sz w:val="24"/>
          <w:szCs w:val="24"/>
          <w:lang w:val="en-GB"/>
        </w:rPr>
        <w:t xml:space="preserve">plays a key role in </w:t>
      </w:r>
      <w:r w:rsidR="00866858" w:rsidRPr="00EE48E2">
        <w:rPr>
          <w:rFonts w:ascii="Book Antiqua" w:hAnsi="Book Antiqua"/>
          <w:sz w:val="24"/>
          <w:szCs w:val="24"/>
          <w:lang w:val="en-GB"/>
        </w:rPr>
        <w:t>tumour</w:t>
      </w:r>
      <w:r w:rsidR="008E7DF5" w:rsidRPr="00EE48E2">
        <w:rPr>
          <w:rFonts w:ascii="Book Antiqua" w:hAnsi="Book Antiqua"/>
          <w:sz w:val="24"/>
          <w:szCs w:val="24"/>
          <w:lang w:val="en-GB"/>
        </w:rPr>
        <w:t xml:space="preserve"> </w:t>
      </w:r>
      <w:r w:rsidRPr="00EE48E2">
        <w:rPr>
          <w:rFonts w:ascii="Book Antiqua" w:hAnsi="Book Antiqua"/>
          <w:sz w:val="24"/>
          <w:szCs w:val="24"/>
          <w:lang w:val="en-GB"/>
        </w:rPr>
        <w:t xml:space="preserve">development and progression. Various ligands (EGF, TGFα, amphiregulin, </w:t>
      </w:r>
      <w:r w:rsidR="008E7DF5" w:rsidRPr="00EE48E2">
        <w:rPr>
          <w:rFonts w:ascii="Book Antiqua" w:hAnsi="Book Antiqua"/>
          <w:sz w:val="24"/>
          <w:szCs w:val="24"/>
          <w:lang w:val="en-GB"/>
        </w:rPr>
        <w:t xml:space="preserve">and </w:t>
      </w:r>
      <w:r w:rsidRPr="00EE48E2">
        <w:rPr>
          <w:rFonts w:ascii="Book Antiqua" w:hAnsi="Book Antiqua"/>
          <w:sz w:val="24"/>
          <w:szCs w:val="24"/>
          <w:lang w:val="en-GB"/>
        </w:rPr>
        <w:t>epiregulin) bind specific extracellular domains of EGFR</w:t>
      </w:r>
      <w:r w:rsidR="008E7DF5" w:rsidRPr="00EE48E2">
        <w:rPr>
          <w:rFonts w:ascii="Book Antiqua" w:hAnsi="Book Antiqua"/>
          <w:sz w:val="24"/>
          <w:szCs w:val="24"/>
          <w:lang w:val="en-GB"/>
        </w:rPr>
        <w:t>,</w:t>
      </w:r>
      <w:r w:rsidRPr="00EE48E2">
        <w:rPr>
          <w:rFonts w:ascii="Book Antiqua" w:hAnsi="Book Antiqua"/>
          <w:sz w:val="24"/>
          <w:szCs w:val="24"/>
          <w:lang w:val="en-GB"/>
        </w:rPr>
        <w:t xml:space="preserve"> </w:t>
      </w:r>
      <w:r w:rsidR="008E7DF5" w:rsidRPr="00EE48E2">
        <w:rPr>
          <w:rFonts w:ascii="Book Antiqua" w:hAnsi="Book Antiqua"/>
          <w:sz w:val="24"/>
          <w:szCs w:val="24"/>
          <w:lang w:val="en-GB"/>
        </w:rPr>
        <w:t>inducing</w:t>
      </w:r>
      <w:r w:rsidRPr="00EE48E2">
        <w:rPr>
          <w:rFonts w:ascii="Book Antiqua" w:hAnsi="Book Antiqua"/>
          <w:sz w:val="24"/>
          <w:szCs w:val="24"/>
          <w:lang w:val="en-GB"/>
        </w:rPr>
        <w:t xml:space="preserve"> homo- and hetero-dimerization with other ErbB members and the</w:t>
      </w:r>
      <w:r w:rsidR="008E7DF5" w:rsidRPr="00EE48E2">
        <w:rPr>
          <w:rFonts w:ascii="Book Antiqua" w:hAnsi="Book Antiqua"/>
          <w:sz w:val="24"/>
          <w:szCs w:val="24"/>
          <w:lang w:val="en-GB"/>
        </w:rPr>
        <w:t xml:space="preserve"> subsequent</w:t>
      </w:r>
      <w:r w:rsidRPr="00EE48E2">
        <w:rPr>
          <w:rFonts w:ascii="Book Antiqua" w:hAnsi="Book Antiqua"/>
          <w:sz w:val="24"/>
          <w:szCs w:val="24"/>
          <w:lang w:val="en-GB"/>
        </w:rPr>
        <w:t xml:space="preserve"> activation of several pathways</w:t>
      </w:r>
      <w:r w:rsidR="008E7DF5" w:rsidRPr="00EE48E2">
        <w:rPr>
          <w:rFonts w:ascii="Book Antiqua" w:hAnsi="Book Antiqua"/>
          <w:sz w:val="24"/>
          <w:szCs w:val="24"/>
          <w:lang w:val="en-GB"/>
        </w:rPr>
        <w:t>,</w:t>
      </w:r>
      <w:r w:rsidRPr="00EE48E2">
        <w:rPr>
          <w:rFonts w:ascii="Book Antiqua" w:hAnsi="Book Antiqua"/>
          <w:sz w:val="24"/>
          <w:szCs w:val="24"/>
          <w:lang w:val="en-GB"/>
        </w:rPr>
        <w:t xml:space="preserve"> including RAS-RAF-MEK-ERK and PIK3CA-AKT cascades, the SRC family kinases, PLCγ-PKC, and STATs. These pathways are involved in several cellular processes including </w:t>
      </w:r>
      <w:r w:rsidR="00866858" w:rsidRPr="00EE48E2">
        <w:rPr>
          <w:rFonts w:ascii="Book Antiqua" w:hAnsi="Book Antiqua"/>
          <w:sz w:val="24"/>
          <w:szCs w:val="24"/>
          <w:lang w:val="en-GB"/>
        </w:rPr>
        <w:t>tumour</w:t>
      </w:r>
      <w:r w:rsidRPr="00EE48E2">
        <w:rPr>
          <w:rFonts w:ascii="Book Antiqua" w:hAnsi="Book Antiqua"/>
          <w:sz w:val="24"/>
          <w:szCs w:val="24"/>
          <w:lang w:val="en-GB"/>
        </w:rPr>
        <w:t xml:space="preserve"> growth, inhibition of apoptosis, angiogenesis, invasion, and metastasis</w:t>
      </w:r>
      <w:r w:rsidRPr="00EE48E2">
        <w:rPr>
          <w:rFonts w:ascii="Book Antiqua" w:hAnsi="Book Antiqua"/>
          <w:sz w:val="24"/>
          <w:szCs w:val="24"/>
          <w:vertAlign w:val="superscript"/>
          <w:lang w:val="en-GB"/>
        </w:rPr>
        <w:t>[5,6]</w:t>
      </w:r>
      <w:r w:rsidRPr="00EE48E2">
        <w:rPr>
          <w:rFonts w:ascii="Book Antiqua" w:hAnsi="Book Antiqua"/>
          <w:sz w:val="24"/>
          <w:szCs w:val="24"/>
          <w:lang w:val="en-GB"/>
        </w:rPr>
        <w:t xml:space="preserve"> (Figure 1).</w:t>
      </w:r>
    </w:p>
    <w:p w14:paraId="4B002D1D" w14:textId="133F8E10" w:rsidR="00363A1A" w:rsidRPr="00EE48E2" w:rsidRDefault="00EE48E2" w:rsidP="004D1833">
      <w:pPr>
        <w:adjustRightInd w:val="0"/>
        <w:snapToGrid w:val="0"/>
        <w:spacing w:after="0" w:line="360" w:lineRule="auto"/>
        <w:jc w:val="both"/>
        <w:rPr>
          <w:rFonts w:ascii="Book Antiqua" w:hAnsi="Book Antiqua"/>
          <w:sz w:val="24"/>
          <w:szCs w:val="24"/>
          <w:lang w:val="en-GB"/>
        </w:rPr>
      </w:pPr>
      <w:r w:rsidRPr="00EE48E2">
        <w:rPr>
          <w:rFonts w:ascii="Book Antiqua" w:hAnsi="Book Antiqua"/>
          <w:sz w:val="24"/>
          <w:szCs w:val="24"/>
          <w:lang w:val="en-GB"/>
        </w:rPr>
        <w:t xml:space="preserve">  </w:t>
      </w:r>
      <w:r w:rsidR="00EB1AD1">
        <w:rPr>
          <w:rFonts w:ascii="Book Antiqua" w:hAnsi="Book Antiqua" w:hint="eastAsia"/>
          <w:sz w:val="24"/>
          <w:szCs w:val="24"/>
          <w:lang w:val="en-GB" w:eastAsia="zh-CN"/>
        </w:rPr>
        <w:t xml:space="preserve"> </w:t>
      </w:r>
      <w:r w:rsidR="00363A1A" w:rsidRPr="00EE48E2">
        <w:rPr>
          <w:rFonts w:ascii="Book Antiqua" w:hAnsi="Book Antiqua"/>
          <w:sz w:val="24"/>
          <w:szCs w:val="24"/>
          <w:lang w:val="en-GB"/>
        </w:rPr>
        <w:t>For this reason, EGFR has been proposed as a target for anticancer therapies</w:t>
      </w:r>
      <w:r w:rsidR="00A43FD1" w:rsidRPr="00EE48E2">
        <w:rPr>
          <w:rFonts w:ascii="Book Antiqua" w:hAnsi="Book Antiqua"/>
          <w:sz w:val="24"/>
          <w:szCs w:val="24"/>
          <w:lang w:val="en-GB"/>
        </w:rPr>
        <w:t>,</w:t>
      </w:r>
      <w:r w:rsidR="00363A1A" w:rsidRPr="00EE48E2">
        <w:rPr>
          <w:rFonts w:ascii="Book Antiqua" w:hAnsi="Book Antiqua"/>
          <w:sz w:val="24"/>
          <w:szCs w:val="24"/>
          <w:lang w:val="en-GB"/>
        </w:rPr>
        <w:t xml:space="preserve"> and to date, two monoclonal antibodies (moAbs) against the EGFR, cetuximab and panitumumab, have been registered for the treatment of mCRC patients. Cetuximab, is </w:t>
      </w:r>
      <w:r w:rsidR="00A43FD1" w:rsidRPr="00EE48E2">
        <w:rPr>
          <w:rFonts w:ascii="Book Antiqua" w:hAnsi="Book Antiqua"/>
          <w:sz w:val="24"/>
          <w:szCs w:val="24"/>
          <w:lang w:val="en-GB"/>
        </w:rPr>
        <w:t xml:space="preserve">a </w:t>
      </w:r>
      <w:r w:rsidR="00363A1A" w:rsidRPr="00EE48E2">
        <w:rPr>
          <w:rFonts w:ascii="Book Antiqua" w:hAnsi="Book Antiqua"/>
          <w:sz w:val="24"/>
          <w:szCs w:val="24"/>
          <w:lang w:val="en-GB"/>
        </w:rPr>
        <w:t xml:space="preserve">human–mouse </w:t>
      </w:r>
      <w:r w:rsidR="00363A1A" w:rsidRPr="00EE48E2">
        <w:rPr>
          <w:rFonts w:ascii="Book Antiqua" w:hAnsi="Book Antiqua"/>
          <w:sz w:val="24"/>
          <w:szCs w:val="24"/>
          <w:lang w:val="en-GB"/>
        </w:rPr>
        <w:lastRenderedPageBreak/>
        <w:t>chimeric monoclonal antibody (IgG1 subtype)</w:t>
      </w:r>
      <w:r w:rsidR="00A43FD1" w:rsidRPr="00EE48E2">
        <w:rPr>
          <w:rFonts w:ascii="Book Antiqua" w:hAnsi="Book Antiqua"/>
          <w:sz w:val="24"/>
          <w:szCs w:val="24"/>
          <w:lang w:val="en-GB"/>
        </w:rPr>
        <w:t>,</w:t>
      </w:r>
      <w:r w:rsidR="00363A1A" w:rsidRPr="00EE48E2">
        <w:rPr>
          <w:rFonts w:ascii="Book Antiqua" w:hAnsi="Book Antiqua"/>
          <w:sz w:val="24"/>
          <w:szCs w:val="24"/>
          <w:lang w:val="en-GB"/>
        </w:rPr>
        <w:t xml:space="preserve"> whereas panitumumab is a fully human anti-EGFR monoclonal antibody (IgG2κ subtype). The</w:t>
      </w:r>
      <w:r w:rsidR="00A43FD1" w:rsidRPr="00EE48E2">
        <w:rPr>
          <w:rFonts w:ascii="Book Antiqua" w:hAnsi="Book Antiqua"/>
          <w:sz w:val="24"/>
          <w:szCs w:val="24"/>
          <w:lang w:val="en-GB"/>
        </w:rPr>
        <w:t>se antibodies</w:t>
      </w:r>
      <w:r w:rsidR="00363A1A" w:rsidRPr="00EE48E2">
        <w:rPr>
          <w:rFonts w:ascii="Book Antiqua" w:hAnsi="Book Antiqua"/>
          <w:sz w:val="24"/>
          <w:szCs w:val="24"/>
          <w:lang w:val="en-GB"/>
        </w:rPr>
        <w:t xml:space="preserve"> bind the extracellular domain of EGFR</w:t>
      </w:r>
      <w:r w:rsidR="00A43FD1" w:rsidRPr="00EE48E2">
        <w:rPr>
          <w:rFonts w:ascii="Book Antiqua" w:hAnsi="Book Antiqua"/>
          <w:sz w:val="24"/>
          <w:szCs w:val="24"/>
          <w:lang w:val="en-GB"/>
        </w:rPr>
        <w:t>,</w:t>
      </w:r>
      <w:r w:rsidR="00363A1A" w:rsidRPr="00EE48E2">
        <w:rPr>
          <w:rFonts w:ascii="Book Antiqua" w:hAnsi="Book Antiqua"/>
          <w:sz w:val="24"/>
          <w:szCs w:val="24"/>
          <w:lang w:val="en-GB"/>
        </w:rPr>
        <w:t xml:space="preserve"> blocking ligand-induced EGFR tyrosine kinase activation and causing EGFR cellular internalization and degradation</w:t>
      </w:r>
      <w:r w:rsidR="0027483A" w:rsidRPr="00EE48E2">
        <w:rPr>
          <w:rFonts w:ascii="Book Antiqua" w:hAnsi="Book Antiqua"/>
          <w:sz w:val="24"/>
          <w:szCs w:val="24"/>
          <w:vertAlign w:val="superscript"/>
          <w:lang w:val="en-GB"/>
        </w:rPr>
        <w:t>[7,</w:t>
      </w:r>
      <w:r w:rsidR="00363A1A" w:rsidRPr="00EE48E2">
        <w:rPr>
          <w:rFonts w:ascii="Book Antiqua" w:hAnsi="Book Antiqua"/>
          <w:sz w:val="24"/>
          <w:szCs w:val="24"/>
          <w:vertAlign w:val="superscript"/>
          <w:lang w:val="en-GB"/>
        </w:rPr>
        <w:t>8]</w:t>
      </w:r>
      <w:r w:rsidR="00363A1A" w:rsidRPr="00EE48E2">
        <w:rPr>
          <w:rFonts w:ascii="Book Antiqua" w:hAnsi="Book Antiqua"/>
          <w:sz w:val="24"/>
          <w:szCs w:val="24"/>
          <w:lang w:val="en-GB"/>
        </w:rPr>
        <w:t xml:space="preserve">. Furthermore, cetuximab activates antibody-dependent cellular cytotoxicity (ADCC). Cetuximab and panitumumab provided similar </w:t>
      </w:r>
      <w:r w:rsidR="00FE5E80" w:rsidRPr="00EE48E2">
        <w:rPr>
          <w:rFonts w:ascii="Book Antiqua" w:hAnsi="Book Antiqua"/>
          <w:sz w:val="24"/>
          <w:szCs w:val="24"/>
          <w:lang w:val="en-GB"/>
        </w:rPr>
        <w:t>overall survival (</w:t>
      </w:r>
      <w:r w:rsidR="00363A1A" w:rsidRPr="00EE48E2">
        <w:rPr>
          <w:rFonts w:ascii="Book Antiqua" w:hAnsi="Book Antiqua"/>
          <w:sz w:val="24"/>
          <w:szCs w:val="24"/>
          <w:lang w:val="en-GB"/>
        </w:rPr>
        <w:t>OS</w:t>
      </w:r>
      <w:r w:rsidR="00FE5E80" w:rsidRPr="00EE48E2">
        <w:rPr>
          <w:rFonts w:ascii="Book Antiqua" w:hAnsi="Book Antiqua"/>
          <w:sz w:val="24"/>
          <w:szCs w:val="24"/>
          <w:lang w:val="en-GB"/>
        </w:rPr>
        <w:t>)</w:t>
      </w:r>
      <w:r w:rsidR="00363A1A" w:rsidRPr="00EE48E2">
        <w:rPr>
          <w:rFonts w:ascii="Book Antiqua" w:hAnsi="Book Antiqua"/>
          <w:sz w:val="24"/>
          <w:szCs w:val="24"/>
          <w:lang w:val="en-GB"/>
        </w:rPr>
        <w:t xml:space="preserve"> benefit</w:t>
      </w:r>
      <w:r w:rsidR="00A43FD1" w:rsidRPr="00EE48E2">
        <w:rPr>
          <w:rFonts w:ascii="Book Antiqua" w:hAnsi="Book Antiqua"/>
          <w:sz w:val="24"/>
          <w:szCs w:val="24"/>
          <w:lang w:val="en-GB"/>
        </w:rPr>
        <w:t>s</w:t>
      </w:r>
      <w:r w:rsidR="00363A1A" w:rsidRPr="00EE48E2">
        <w:rPr>
          <w:rFonts w:ascii="Book Antiqua" w:hAnsi="Book Antiqua"/>
          <w:sz w:val="24"/>
          <w:szCs w:val="24"/>
          <w:lang w:val="en-GB"/>
        </w:rPr>
        <w:t xml:space="preserve"> in KRAS exon 2 wild-type (WT), chemotherapy-refractory mCRC in the ASPECCT trial</w:t>
      </w:r>
      <w:r w:rsidR="00363A1A" w:rsidRPr="00EE48E2">
        <w:rPr>
          <w:rFonts w:ascii="Book Antiqua" w:hAnsi="Book Antiqua"/>
          <w:sz w:val="24"/>
          <w:szCs w:val="24"/>
          <w:vertAlign w:val="superscript"/>
          <w:lang w:val="en-GB"/>
        </w:rPr>
        <w:t>[9]</w:t>
      </w:r>
      <w:r w:rsidR="00363A1A" w:rsidRPr="00EE48E2">
        <w:rPr>
          <w:rFonts w:ascii="Book Antiqua" w:hAnsi="Book Antiqua"/>
          <w:sz w:val="24"/>
          <w:szCs w:val="24"/>
          <w:lang w:val="en-GB"/>
        </w:rPr>
        <w:t>.</w:t>
      </w:r>
    </w:p>
    <w:p w14:paraId="60CF8471" w14:textId="0839B9EF" w:rsidR="00363A1A" w:rsidRPr="00EE48E2" w:rsidRDefault="00EE48E2" w:rsidP="004D1833">
      <w:pPr>
        <w:adjustRightInd w:val="0"/>
        <w:snapToGrid w:val="0"/>
        <w:spacing w:after="0" w:line="360" w:lineRule="auto"/>
        <w:jc w:val="both"/>
        <w:rPr>
          <w:rFonts w:ascii="Book Antiqua" w:hAnsi="Book Antiqua"/>
          <w:sz w:val="24"/>
          <w:szCs w:val="24"/>
          <w:lang w:val="en-GB"/>
        </w:rPr>
      </w:pPr>
      <w:r w:rsidRPr="00EE48E2">
        <w:rPr>
          <w:rFonts w:ascii="Book Antiqua" w:hAnsi="Book Antiqua"/>
          <w:sz w:val="24"/>
          <w:szCs w:val="24"/>
          <w:lang w:val="en-GB"/>
        </w:rPr>
        <w:t xml:space="preserve">  </w:t>
      </w:r>
      <w:r w:rsidR="00EB1AD1">
        <w:rPr>
          <w:rFonts w:ascii="Book Antiqua" w:hAnsi="Book Antiqua" w:hint="eastAsia"/>
          <w:sz w:val="24"/>
          <w:szCs w:val="24"/>
          <w:lang w:val="en-GB" w:eastAsia="zh-CN"/>
        </w:rPr>
        <w:t xml:space="preserve"> </w:t>
      </w:r>
      <w:r w:rsidR="00363A1A" w:rsidRPr="00EE48E2">
        <w:rPr>
          <w:rFonts w:ascii="Book Antiqua" w:hAnsi="Book Antiqua"/>
          <w:sz w:val="24"/>
          <w:szCs w:val="24"/>
          <w:lang w:val="en-GB"/>
        </w:rPr>
        <w:t>EGFR</w:t>
      </w:r>
      <w:r w:rsidR="00FE5E80" w:rsidRPr="00EE48E2">
        <w:rPr>
          <w:rFonts w:ascii="Book Antiqua" w:hAnsi="Book Antiqua"/>
          <w:sz w:val="24"/>
          <w:szCs w:val="24"/>
          <w:lang w:val="en-GB"/>
        </w:rPr>
        <w:t>-</w:t>
      </w:r>
      <w:r w:rsidR="00363A1A" w:rsidRPr="00EE48E2">
        <w:rPr>
          <w:rFonts w:ascii="Book Antiqua" w:hAnsi="Book Antiqua"/>
          <w:sz w:val="24"/>
          <w:szCs w:val="24"/>
          <w:lang w:val="en-GB"/>
        </w:rPr>
        <w:t>targeted therapies, both as single agents or in combination with chemotherapy, undoubtedly represent a major step forward in the treatment of mCRC, given the relevant efficacy in terms of progression-free survival (PFS), OS, response rate (RR), as well as quality of life, observed in several phase III clinical trials among different lines of treatment</w:t>
      </w:r>
      <w:r w:rsidR="00363A1A" w:rsidRPr="00EE48E2">
        <w:rPr>
          <w:rFonts w:ascii="Book Antiqua" w:hAnsi="Book Antiqua"/>
          <w:sz w:val="24"/>
          <w:szCs w:val="24"/>
          <w:vertAlign w:val="superscript"/>
          <w:lang w:val="en-GB"/>
        </w:rPr>
        <w:t>[3]</w:t>
      </w:r>
      <w:r w:rsidR="00363A1A" w:rsidRPr="00EE48E2">
        <w:rPr>
          <w:rFonts w:ascii="Book Antiqua" w:hAnsi="Book Antiqua"/>
          <w:sz w:val="24"/>
          <w:szCs w:val="24"/>
          <w:lang w:val="en-GB"/>
        </w:rPr>
        <w:t xml:space="preserve">. However, not all patients </w:t>
      </w:r>
      <w:r w:rsidR="00FE5E80" w:rsidRPr="00EE48E2">
        <w:rPr>
          <w:rFonts w:ascii="Book Antiqua" w:hAnsi="Book Antiqua"/>
          <w:sz w:val="24"/>
          <w:szCs w:val="24"/>
          <w:lang w:val="en-GB"/>
        </w:rPr>
        <w:t xml:space="preserve">will </w:t>
      </w:r>
      <w:r w:rsidR="00363A1A" w:rsidRPr="00EE48E2">
        <w:rPr>
          <w:rFonts w:ascii="Book Antiqua" w:hAnsi="Book Antiqua"/>
          <w:sz w:val="24"/>
          <w:szCs w:val="24"/>
          <w:lang w:val="en-GB"/>
        </w:rPr>
        <w:t>benefit from these treatments. Indeed, cetuximab and panitumumab when used as single agents in unselected patients with chemotherapy-refractory mCRC, achieved a RR of only 10%</w:t>
      </w:r>
      <w:r w:rsidR="0027483A" w:rsidRPr="00EE48E2">
        <w:rPr>
          <w:rFonts w:ascii="Book Antiqua" w:hAnsi="Book Antiqua"/>
          <w:sz w:val="24"/>
          <w:szCs w:val="24"/>
          <w:vertAlign w:val="superscript"/>
          <w:lang w:val="en-GB"/>
        </w:rPr>
        <w:t>[10,</w:t>
      </w:r>
      <w:r w:rsidR="00363A1A" w:rsidRPr="00EE48E2">
        <w:rPr>
          <w:rFonts w:ascii="Book Antiqua" w:hAnsi="Book Antiqua"/>
          <w:sz w:val="24"/>
          <w:szCs w:val="24"/>
          <w:vertAlign w:val="superscript"/>
          <w:lang w:val="en-GB"/>
        </w:rPr>
        <w:t>11]</w:t>
      </w:r>
      <w:r w:rsidR="00782492" w:rsidRPr="00EE48E2">
        <w:rPr>
          <w:rFonts w:ascii="Book Antiqua" w:hAnsi="Book Antiqua"/>
          <w:sz w:val="24"/>
          <w:szCs w:val="24"/>
          <w:lang w:val="en-GB"/>
        </w:rPr>
        <w:t>.</w:t>
      </w:r>
      <w:r w:rsidR="00363A1A" w:rsidRPr="00EE48E2">
        <w:rPr>
          <w:rFonts w:ascii="Book Antiqua" w:hAnsi="Book Antiqua"/>
          <w:sz w:val="24"/>
          <w:szCs w:val="24"/>
          <w:lang w:val="en-GB"/>
        </w:rPr>
        <w:t xml:space="preserve"> </w:t>
      </w:r>
      <w:r w:rsidR="00FE5E80" w:rsidRPr="00EE48E2">
        <w:rPr>
          <w:rFonts w:ascii="Book Antiqua" w:hAnsi="Book Antiqua"/>
          <w:sz w:val="24"/>
          <w:szCs w:val="24"/>
          <w:lang w:val="en-GB"/>
        </w:rPr>
        <w:t>This low RR</w:t>
      </w:r>
      <w:r w:rsidR="00363A1A" w:rsidRPr="00EE48E2">
        <w:rPr>
          <w:rFonts w:ascii="Book Antiqua" w:hAnsi="Book Antiqua"/>
          <w:sz w:val="24"/>
          <w:szCs w:val="24"/>
          <w:lang w:val="en-GB"/>
        </w:rPr>
        <w:t xml:space="preserve"> suggests that the majority of </w:t>
      </w:r>
      <w:r w:rsidR="00866858" w:rsidRPr="00EE48E2">
        <w:rPr>
          <w:rFonts w:ascii="Book Antiqua" w:hAnsi="Book Antiqua"/>
          <w:sz w:val="24"/>
          <w:szCs w:val="24"/>
          <w:lang w:val="en-GB"/>
        </w:rPr>
        <w:t>tumour</w:t>
      </w:r>
      <w:r w:rsidR="00363A1A" w:rsidRPr="00EE48E2">
        <w:rPr>
          <w:rFonts w:ascii="Book Antiqua" w:hAnsi="Book Antiqua"/>
          <w:sz w:val="24"/>
          <w:szCs w:val="24"/>
          <w:lang w:val="en-GB"/>
        </w:rPr>
        <w:t xml:space="preserve">s </w:t>
      </w:r>
      <w:r w:rsidR="00866858" w:rsidRPr="00EE48E2">
        <w:rPr>
          <w:rFonts w:ascii="Book Antiqua" w:hAnsi="Book Antiqua"/>
          <w:sz w:val="24"/>
          <w:szCs w:val="24"/>
          <w:lang w:val="en-GB"/>
        </w:rPr>
        <w:t>harbour</w:t>
      </w:r>
      <w:r w:rsidR="00363A1A" w:rsidRPr="00EE48E2">
        <w:rPr>
          <w:rFonts w:ascii="Book Antiqua" w:hAnsi="Book Antiqua"/>
          <w:sz w:val="24"/>
          <w:szCs w:val="24"/>
          <w:lang w:val="en-GB"/>
        </w:rPr>
        <w:t xml:space="preserve"> genetic alterations in proteins involved in EGFR pathway</w:t>
      </w:r>
      <w:r w:rsidR="00FE5E80" w:rsidRPr="00EE48E2">
        <w:rPr>
          <w:rFonts w:ascii="Book Antiqua" w:hAnsi="Book Antiqua"/>
          <w:sz w:val="24"/>
          <w:szCs w:val="24"/>
          <w:lang w:val="en-GB"/>
        </w:rPr>
        <w:t xml:space="preserve"> that</w:t>
      </w:r>
      <w:r w:rsidR="00363A1A" w:rsidRPr="00EE48E2">
        <w:rPr>
          <w:rFonts w:ascii="Book Antiqua" w:hAnsi="Book Antiqua"/>
          <w:sz w:val="24"/>
          <w:szCs w:val="24"/>
          <w:lang w:val="en-GB"/>
        </w:rPr>
        <w:t xml:space="preserve"> impair the response to the anti-EGFR moAbs (intrinsic or primary resistance). Moreover, even the subset of patients </w:t>
      </w:r>
      <w:r w:rsidR="00FE5E80" w:rsidRPr="00EE48E2">
        <w:rPr>
          <w:rFonts w:ascii="Book Antiqua" w:hAnsi="Book Antiqua"/>
          <w:sz w:val="24"/>
          <w:szCs w:val="24"/>
          <w:lang w:val="en-GB"/>
        </w:rPr>
        <w:t>who</w:t>
      </w:r>
      <w:r w:rsidR="00363A1A" w:rsidRPr="00EE48E2">
        <w:rPr>
          <w:rFonts w:ascii="Book Antiqua" w:hAnsi="Book Antiqua"/>
          <w:sz w:val="24"/>
          <w:szCs w:val="24"/>
          <w:lang w:val="en-GB"/>
        </w:rPr>
        <w:t xml:space="preserve"> initially respond to these treatments will ultimately become refractory in</w:t>
      </w:r>
      <w:r w:rsidR="00DB342E" w:rsidRPr="00EE48E2">
        <w:rPr>
          <w:rFonts w:ascii="Book Antiqua" w:hAnsi="Book Antiqua"/>
          <w:sz w:val="24"/>
          <w:szCs w:val="24"/>
          <w:lang w:val="en-GB"/>
        </w:rPr>
        <w:t xml:space="preserve"> approximately 3</w:t>
      </w:r>
      <w:r w:rsidR="00363A1A" w:rsidRPr="00EE48E2">
        <w:rPr>
          <w:rFonts w:ascii="Book Antiqua" w:hAnsi="Book Antiqua"/>
          <w:sz w:val="24"/>
          <w:szCs w:val="24"/>
          <w:lang w:val="en-GB"/>
        </w:rPr>
        <w:t xml:space="preserve">-18 </w:t>
      </w:r>
      <w:r w:rsidR="0027483A" w:rsidRPr="00EE48E2">
        <w:rPr>
          <w:rFonts w:ascii="Book Antiqua" w:hAnsi="Book Antiqua" w:hint="eastAsia"/>
          <w:sz w:val="24"/>
          <w:szCs w:val="24"/>
          <w:lang w:val="en-GB" w:eastAsia="zh-CN"/>
        </w:rPr>
        <w:t>mo</w:t>
      </w:r>
      <w:r w:rsidR="00363A1A" w:rsidRPr="00EE48E2">
        <w:rPr>
          <w:rFonts w:ascii="Book Antiqua" w:hAnsi="Book Antiqua"/>
          <w:sz w:val="24"/>
          <w:szCs w:val="24"/>
          <w:lang w:val="en-GB"/>
        </w:rPr>
        <w:t xml:space="preserve"> by developing secondary (or acquired) resistance to anti-EGFR drugs</w:t>
      </w:r>
      <w:r w:rsidR="00363A1A" w:rsidRPr="00EE48E2">
        <w:rPr>
          <w:rFonts w:ascii="Book Antiqua" w:hAnsi="Book Antiqua"/>
          <w:sz w:val="24"/>
          <w:szCs w:val="24"/>
          <w:vertAlign w:val="superscript"/>
          <w:lang w:val="en-GB"/>
        </w:rPr>
        <w:t>[12]</w:t>
      </w:r>
      <w:r w:rsidR="00782492" w:rsidRPr="00EE48E2">
        <w:rPr>
          <w:rFonts w:ascii="Book Antiqua" w:hAnsi="Book Antiqua"/>
          <w:sz w:val="24"/>
          <w:szCs w:val="24"/>
          <w:lang w:val="en-GB"/>
        </w:rPr>
        <w:t>.</w:t>
      </w:r>
      <w:r w:rsidR="00363A1A" w:rsidRPr="00EE48E2">
        <w:rPr>
          <w:rFonts w:ascii="Book Antiqua" w:hAnsi="Book Antiqua"/>
          <w:sz w:val="24"/>
          <w:szCs w:val="24"/>
          <w:lang w:val="en-GB"/>
        </w:rPr>
        <w:t xml:space="preserve"> These phenomenon might be explained if we consider that CRC</w:t>
      </w:r>
      <w:r w:rsidR="00FE5E80" w:rsidRPr="00EE48E2">
        <w:rPr>
          <w:rFonts w:ascii="Book Antiqua" w:hAnsi="Book Antiqua"/>
          <w:sz w:val="24"/>
          <w:szCs w:val="24"/>
          <w:lang w:val="en-GB"/>
        </w:rPr>
        <w:t>,</w:t>
      </w:r>
      <w:r w:rsidR="00363A1A" w:rsidRPr="00EE48E2">
        <w:rPr>
          <w:rFonts w:ascii="Book Antiqua" w:hAnsi="Book Antiqua"/>
          <w:sz w:val="24"/>
          <w:szCs w:val="24"/>
          <w:lang w:val="en-GB"/>
        </w:rPr>
        <w:t xml:space="preserve"> and in particular metastatic disease</w:t>
      </w:r>
      <w:r w:rsidR="00FE5E80" w:rsidRPr="00EE48E2">
        <w:rPr>
          <w:rFonts w:ascii="Book Antiqua" w:hAnsi="Book Antiqua"/>
          <w:sz w:val="24"/>
          <w:szCs w:val="24"/>
          <w:lang w:val="en-GB"/>
        </w:rPr>
        <w:t>,</w:t>
      </w:r>
      <w:r w:rsidR="00363A1A" w:rsidRPr="00EE48E2">
        <w:rPr>
          <w:rFonts w:ascii="Book Antiqua" w:hAnsi="Book Antiqua"/>
          <w:sz w:val="24"/>
          <w:szCs w:val="24"/>
          <w:lang w:val="en-GB"/>
        </w:rPr>
        <w:t xml:space="preserve"> is highly heterogeneous</w:t>
      </w:r>
      <w:r w:rsidR="00363A1A" w:rsidRPr="00EE48E2">
        <w:rPr>
          <w:rFonts w:ascii="Book Antiqua" w:hAnsi="Book Antiqua"/>
          <w:sz w:val="24"/>
          <w:szCs w:val="24"/>
          <w:vertAlign w:val="superscript"/>
          <w:lang w:val="en-GB"/>
        </w:rPr>
        <w:t>[13]</w:t>
      </w:r>
      <w:r w:rsidR="00782492" w:rsidRPr="00EE48E2">
        <w:rPr>
          <w:rFonts w:ascii="Book Antiqua" w:hAnsi="Book Antiqua"/>
          <w:sz w:val="24"/>
          <w:szCs w:val="24"/>
          <w:lang w:val="en-GB"/>
        </w:rPr>
        <w:t>.</w:t>
      </w:r>
      <w:r w:rsidR="00363A1A" w:rsidRPr="00EE48E2">
        <w:rPr>
          <w:rFonts w:ascii="Book Antiqua" w:hAnsi="Book Antiqua"/>
          <w:sz w:val="24"/>
          <w:szCs w:val="24"/>
          <w:lang w:val="en-GB"/>
        </w:rPr>
        <w:t xml:space="preserve"> This</w:t>
      </w:r>
      <w:r w:rsidR="00FE5E80" w:rsidRPr="00EE48E2">
        <w:rPr>
          <w:rFonts w:ascii="Book Antiqua" w:hAnsi="Book Antiqua"/>
          <w:sz w:val="24"/>
          <w:szCs w:val="24"/>
          <w:lang w:val="en-GB"/>
        </w:rPr>
        <w:t xml:space="preserve"> heterogeneity</w:t>
      </w:r>
      <w:r w:rsidR="00363A1A" w:rsidRPr="00EE48E2">
        <w:rPr>
          <w:rFonts w:ascii="Book Antiqua" w:hAnsi="Book Antiqua"/>
          <w:sz w:val="24"/>
          <w:szCs w:val="24"/>
          <w:lang w:val="en-GB"/>
        </w:rPr>
        <w:t xml:space="preserve"> implies that </w:t>
      </w:r>
      <w:r w:rsidR="00866858" w:rsidRPr="00EE48E2">
        <w:rPr>
          <w:rFonts w:ascii="Book Antiqua" w:hAnsi="Book Antiqua"/>
          <w:sz w:val="24"/>
          <w:szCs w:val="24"/>
          <w:lang w:val="en-GB"/>
        </w:rPr>
        <w:t>tumour</w:t>
      </w:r>
      <w:r w:rsidR="00363A1A" w:rsidRPr="00EE48E2">
        <w:rPr>
          <w:rFonts w:ascii="Book Antiqua" w:hAnsi="Book Antiqua"/>
          <w:sz w:val="24"/>
          <w:szCs w:val="24"/>
          <w:lang w:val="en-GB"/>
        </w:rPr>
        <w:t>s from the same organ might have a completely different molecular landscape (inter-</w:t>
      </w:r>
      <w:r w:rsidR="00866858" w:rsidRPr="00EE48E2">
        <w:rPr>
          <w:rFonts w:ascii="Book Antiqua" w:hAnsi="Book Antiqua"/>
          <w:sz w:val="24"/>
          <w:szCs w:val="24"/>
          <w:lang w:val="en-GB"/>
        </w:rPr>
        <w:t>tumour</w:t>
      </w:r>
      <w:r w:rsidR="00363A1A" w:rsidRPr="00EE48E2">
        <w:rPr>
          <w:rFonts w:ascii="Book Antiqua" w:hAnsi="Book Antiqua"/>
          <w:sz w:val="24"/>
          <w:szCs w:val="24"/>
          <w:lang w:val="en-GB"/>
        </w:rPr>
        <w:t xml:space="preserve"> heterogeneity) as well as different </w:t>
      </w:r>
      <w:r w:rsidR="00FE5E80" w:rsidRPr="00EE48E2">
        <w:rPr>
          <w:rFonts w:ascii="Book Antiqua" w:hAnsi="Book Antiqua"/>
          <w:sz w:val="24"/>
          <w:szCs w:val="24"/>
          <w:lang w:val="en-GB"/>
        </w:rPr>
        <w:t xml:space="preserve">sensitivity </w:t>
      </w:r>
      <w:r w:rsidR="00363A1A" w:rsidRPr="00EE48E2">
        <w:rPr>
          <w:rFonts w:ascii="Book Antiqua" w:hAnsi="Book Antiqua"/>
          <w:sz w:val="24"/>
          <w:szCs w:val="24"/>
          <w:lang w:val="en-GB"/>
        </w:rPr>
        <w:t>to targeted agents</w:t>
      </w:r>
      <w:r w:rsidR="00FE5E80" w:rsidRPr="00EE48E2">
        <w:rPr>
          <w:rFonts w:ascii="Book Antiqua" w:hAnsi="Book Antiqua"/>
          <w:sz w:val="24"/>
          <w:szCs w:val="24"/>
          <w:lang w:val="en-GB"/>
        </w:rPr>
        <w:t>,</w:t>
      </w:r>
      <w:r w:rsidR="00363A1A" w:rsidRPr="00EE48E2">
        <w:rPr>
          <w:rFonts w:ascii="Book Antiqua" w:hAnsi="Book Antiqua"/>
          <w:sz w:val="24"/>
          <w:szCs w:val="24"/>
          <w:lang w:val="en-GB"/>
        </w:rPr>
        <w:t xml:space="preserve"> depending on which pathway is driving their growth. Furthermore, even in the same lesion</w:t>
      </w:r>
      <w:r w:rsidR="00FE5E80" w:rsidRPr="00EE48E2">
        <w:rPr>
          <w:rFonts w:ascii="Book Antiqua" w:hAnsi="Book Antiqua"/>
          <w:sz w:val="24"/>
          <w:szCs w:val="24"/>
          <w:lang w:val="en-GB"/>
        </w:rPr>
        <w:t>,</w:t>
      </w:r>
      <w:r w:rsidR="00363A1A" w:rsidRPr="00EE48E2">
        <w:rPr>
          <w:rFonts w:ascii="Book Antiqua" w:hAnsi="Book Antiqua"/>
          <w:sz w:val="24"/>
          <w:szCs w:val="24"/>
          <w:lang w:val="en-GB"/>
        </w:rPr>
        <w:t xml:space="preserve"> we might find clones with different </w:t>
      </w:r>
      <w:r w:rsidR="00FE5E80" w:rsidRPr="00EE48E2">
        <w:rPr>
          <w:rFonts w:ascii="Book Antiqua" w:hAnsi="Book Antiqua"/>
          <w:sz w:val="24"/>
          <w:szCs w:val="24"/>
          <w:lang w:val="en-GB"/>
        </w:rPr>
        <w:t xml:space="preserve">sensitivity </w:t>
      </w:r>
      <w:r w:rsidR="00363A1A" w:rsidRPr="00EE48E2">
        <w:rPr>
          <w:rFonts w:ascii="Book Antiqua" w:hAnsi="Book Antiqua"/>
          <w:sz w:val="24"/>
          <w:szCs w:val="24"/>
          <w:lang w:val="en-GB"/>
        </w:rPr>
        <w:t>to drugs (intra-</w:t>
      </w:r>
      <w:r w:rsidR="00866858" w:rsidRPr="00EE48E2">
        <w:rPr>
          <w:rFonts w:ascii="Book Antiqua" w:hAnsi="Book Antiqua"/>
          <w:sz w:val="24"/>
          <w:szCs w:val="24"/>
          <w:lang w:val="en-GB"/>
        </w:rPr>
        <w:t>tumour</w:t>
      </w:r>
      <w:r w:rsidR="00363A1A" w:rsidRPr="00EE48E2">
        <w:rPr>
          <w:rFonts w:ascii="Book Antiqua" w:hAnsi="Book Antiqua"/>
          <w:sz w:val="24"/>
          <w:szCs w:val="24"/>
          <w:lang w:val="en-GB"/>
        </w:rPr>
        <w:t xml:space="preserve"> heterogeneity) depending on </w:t>
      </w:r>
      <w:r w:rsidR="00FE5E80" w:rsidRPr="00EE48E2">
        <w:rPr>
          <w:rFonts w:ascii="Book Antiqua" w:hAnsi="Book Antiqua"/>
          <w:sz w:val="24"/>
          <w:szCs w:val="24"/>
          <w:lang w:val="en-GB"/>
        </w:rPr>
        <w:t xml:space="preserve">the </w:t>
      </w:r>
      <w:r w:rsidR="00363A1A" w:rsidRPr="00EE48E2">
        <w:rPr>
          <w:rFonts w:ascii="Book Antiqua" w:hAnsi="Book Antiqua"/>
          <w:sz w:val="24"/>
          <w:szCs w:val="24"/>
          <w:lang w:val="en-GB"/>
        </w:rPr>
        <w:t xml:space="preserve">different molecular alterations </w:t>
      </w:r>
      <w:r w:rsidR="00866858" w:rsidRPr="00EE48E2">
        <w:rPr>
          <w:rFonts w:ascii="Book Antiqua" w:hAnsi="Book Antiqua"/>
          <w:sz w:val="24"/>
          <w:szCs w:val="24"/>
          <w:lang w:val="en-GB"/>
        </w:rPr>
        <w:t>harbour</w:t>
      </w:r>
      <w:r w:rsidR="00363A1A" w:rsidRPr="00EE48E2">
        <w:rPr>
          <w:rFonts w:ascii="Book Antiqua" w:hAnsi="Book Antiqua"/>
          <w:sz w:val="24"/>
          <w:szCs w:val="24"/>
          <w:lang w:val="en-GB"/>
        </w:rPr>
        <w:t>ed</w:t>
      </w:r>
      <w:r w:rsidR="00363A1A" w:rsidRPr="00EE48E2">
        <w:rPr>
          <w:rFonts w:ascii="Book Antiqua" w:hAnsi="Book Antiqua"/>
          <w:sz w:val="24"/>
          <w:szCs w:val="24"/>
          <w:vertAlign w:val="superscript"/>
          <w:lang w:val="en-GB"/>
        </w:rPr>
        <w:t>[14]</w:t>
      </w:r>
      <w:r w:rsidR="00782492" w:rsidRPr="00EE48E2">
        <w:rPr>
          <w:rFonts w:ascii="Book Antiqua" w:hAnsi="Book Antiqua"/>
          <w:sz w:val="24"/>
          <w:szCs w:val="24"/>
          <w:lang w:val="en-GB"/>
        </w:rPr>
        <w:t>.</w:t>
      </w:r>
      <w:r w:rsidR="00363A1A" w:rsidRPr="00EE48E2">
        <w:rPr>
          <w:rFonts w:ascii="Book Antiqua" w:hAnsi="Book Antiqua"/>
          <w:sz w:val="24"/>
          <w:szCs w:val="24"/>
          <w:lang w:val="en-GB"/>
        </w:rPr>
        <w:t xml:space="preserve"> Unfortunately, to date, the molecular characteristics that allow the response to anti-EGFR moAbs are not yet completely understood</w:t>
      </w:r>
      <w:r w:rsidR="00FE5E80" w:rsidRPr="00EE48E2">
        <w:rPr>
          <w:rFonts w:ascii="Book Antiqua" w:hAnsi="Book Antiqua"/>
          <w:sz w:val="24"/>
          <w:szCs w:val="24"/>
          <w:lang w:val="en-GB"/>
        </w:rPr>
        <w:t>,</w:t>
      </w:r>
      <w:r w:rsidR="00363A1A" w:rsidRPr="00EE48E2">
        <w:rPr>
          <w:rFonts w:ascii="Book Antiqua" w:hAnsi="Book Antiqua"/>
          <w:sz w:val="24"/>
          <w:szCs w:val="24"/>
          <w:lang w:val="en-GB"/>
        </w:rPr>
        <w:t xml:space="preserve"> and the lack of predictive biomarkers do not permit </w:t>
      </w:r>
      <w:r w:rsidR="00FE5E80" w:rsidRPr="00EE48E2">
        <w:rPr>
          <w:rFonts w:ascii="Book Antiqua" w:hAnsi="Book Antiqua"/>
          <w:sz w:val="24"/>
          <w:szCs w:val="24"/>
          <w:lang w:val="en-GB"/>
        </w:rPr>
        <w:t xml:space="preserve">the selection of </w:t>
      </w:r>
      <w:r w:rsidR="00363A1A" w:rsidRPr="00EE48E2">
        <w:rPr>
          <w:rFonts w:ascii="Book Antiqua" w:hAnsi="Book Antiqua"/>
          <w:sz w:val="24"/>
          <w:szCs w:val="24"/>
          <w:lang w:val="en-GB"/>
        </w:rPr>
        <w:t xml:space="preserve">patients who </w:t>
      </w:r>
      <w:r w:rsidR="00FE5E80" w:rsidRPr="00EE48E2">
        <w:rPr>
          <w:rFonts w:ascii="Book Antiqua" w:hAnsi="Book Antiqua"/>
          <w:sz w:val="24"/>
          <w:szCs w:val="24"/>
          <w:lang w:val="en-GB"/>
        </w:rPr>
        <w:t xml:space="preserve">will </w:t>
      </w:r>
      <w:r w:rsidR="00363A1A" w:rsidRPr="00EE48E2">
        <w:rPr>
          <w:rFonts w:ascii="Book Antiqua" w:hAnsi="Book Antiqua"/>
          <w:sz w:val="24"/>
          <w:szCs w:val="24"/>
          <w:lang w:val="en-GB"/>
        </w:rPr>
        <w:t xml:space="preserve">potentially respond to these drugs. For instance, differently from other cancers, mutations in the EGFR or in downstream effectors of its </w:t>
      </w:r>
      <w:r w:rsidR="00DB342E" w:rsidRPr="00EE48E2">
        <w:rPr>
          <w:rFonts w:ascii="Book Antiqua" w:hAnsi="Book Antiqua"/>
          <w:sz w:val="24"/>
          <w:szCs w:val="24"/>
          <w:lang w:val="en-GB"/>
        </w:rPr>
        <w:t xml:space="preserve">signalling </w:t>
      </w:r>
      <w:r w:rsidR="00363A1A" w:rsidRPr="00EE48E2">
        <w:rPr>
          <w:rFonts w:ascii="Book Antiqua" w:hAnsi="Book Antiqua"/>
          <w:sz w:val="24"/>
          <w:szCs w:val="24"/>
          <w:lang w:val="en-GB"/>
        </w:rPr>
        <w:t>cascades (</w:t>
      </w:r>
      <w:r w:rsidR="0027483A" w:rsidRPr="00EE48E2">
        <w:rPr>
          <w:rFonts w:ascii="Book Antiqua" w:hAnsi="Book Antiqua"/>
          <w:i/>
          <w:sz w:val="24"/>
          <w:szCs w:val="24"/>
          <w:lang w:val="en-GB"/>
        </w:rPr>
        <w:t>e.g.</w:t>
      </w:r>
      <w:r w:rsidR="00FE5E80" w:rsidRPr="00EE48E2">
        <w:rPr>
          <w:rFonts w:ascii="Book Antiqua" w:hAnsi="Book Antiqua"/>
          <w:sz w:val="24"/>
          <w:szCs w:val="24"/>
          <w:lang w:val="en-GB"/>
        </w:rPr>
        <w:t>,</w:t>
      </w:r>
      <w:r w:rsidR="00363A1A" w:rsidRPr="00EE48E2">
        <w:rPr>
          <w:rFonts w:ascii="Book Antiqua" w:hAnsi="Book Antiqua"/>
          <w:sz w:val="24"/>
          <w:szCs w:val="24"/>
          <w:lang w:val="en-GB"/>
        </w:rPr>
        <w:t xml:space="preserve"> KRAS, NRAS, BRAF, PIK3CA and PTEN loss)</w:t>
      </w:r>
      <w:r w:rsidR="00FE5E80" w:rsidRPr="00EE48E2">
        <w:rPr>
          <w:rFonts w:ascii="Book Antiqua" w:hAnsi="Book Antiqua"/>
          <w:sz w:val="24"/>
          <w:szCs w:val="24"/>
          <w:lang w:val="en-GB"/>
        </w:rPr>
        <w:t xml:space="preserve"> are not predictive of</w:t>
      </w:r>
      <w:r w:rsidR="00363A1A" w:rsidRPr="00EE48E2">
        <w:rPr>
          <w:rFonts w:ascii="Book Antiqua" w:hAnsi="Book Antiqua"/>
          <w:sz w:val="24"/>
          <w:szCs w:val="24"/>
          <w:lang w:val="en-GB"/>
        </w:rPr>
        <w:t xml:space="preserve"> </w:t>
      </w:r>
      <w:r w:rsidR="00FE5E80" w:rsidRPr="00EE48E2">
        <w:rPr>
          <w:rFonts w:ascii="Book Antiqua" w:hAnsi="Book Antiqua"/>
          <w:sz w:val="24"/>
          <w:szCs w:val="24"/>
          <w:lang w:val="en-GB"/>
        </w:rPr>
        <w:t xml:space="preserve">the efficacy of </w:t>
      </w:r>
      <w:r w:rsidR="00363A1A" w:rsidRPr="00EE48E2">
        <w:rPr>
          <w:rFonts w:ascii="Book Antiqua" w:hAnsi="Book Antiqua"/>
          <w:sz w:val="24"/>
          <w:szCs w:val="24"/>
          <w:lang w:val="en-GB"/>
        </w:rPr>
        <w:t>targeted agents</w:t>
      </w:r>
      <w:r w:rsidR="00363A1A" w:rsidRPr="00EE48E2">
        <w:rPr>
          <w:rFonts w:ascii="Book Antiqua" w:hAnsi="Book Antiqua"/>
          <w:sz w:val="24"/>
          <w:szCs w:val="24"/>
          <w:vertAlign w:val="superscript"/>
          <w:lang w:val="en-GB"/>
        </w:rPr>
        <w:t>[15,16]</w:t>
      </w:r>
      <w:r w:rsidR="00782492" w:rsidRPr="00EE48E2">
        <w:rPr>
          <w:rFonts w:ascii="Book Antiqua" w:hAnsi="Book Antiqua"/>
          <w:sz w:val="24"/>
          <w:szCs w:val="24"/>
          <w:lang w:val="en-GB"/>
        </w:rPr>
        <w:t>.</w:t>
      </w:r>
    </w:p>
    <w:p w14:paraId="1418CF8D" w14:textId="299EA931" w:rsidR="00363A1A" w:rsidRPr="00EE48E2" w:rsidRDefault="00EE48E2" w:rsidP="004D1833">
      <w:pPr>
        <w:adjustRightInd w:val="0"/>
        <w:snapToGrid w:val="0"/>
        <w:spacing w:after="0" w:line="360" w:lineRule="auto"/>
        <w:jc w:val="both"/>
        <w:rPr>
          <w:rFonts w:ascii="Book Antiqua" w:hAnsi="Book Antiqua"/>
          <w:sz w:val="24"/>
          <w:szCs w:val="24"/>
          <w:lang w:val="en-GB"/>
        </w:rPr>
      </w:pPr>
      <w:r w:rsidRPr="00EE48E2">
        <w:rPr>
          <w:rFonts w:ascii="Book Antiqua" w:hAnsi="Book Antiqua"/>
          <w:sz w:val="24"/>
          <w:szCs w:val="24"/>
          <w:lang w:val="en-GB"/>
        </w:rPr>
        <w:lastRenderedPageBreak/>
        <w:t xml:space="preserve">  </w:t>
      </w:r>
      <w:r w:rsidR="00EB1AD1">
        <w:rPr>
          <w:rFonts w:ascii="Book Antiqua" w:hAnsi="Book Antiqua" w:hint="eastAsia"/>
          <w:sz w:val="24"/>
          <w:szCs w:val="24"/>
          <w:lang w:val="en-GB" w:eastAsia="zh-CN"/>
        </w:rPr>
        <w:t xml:space="preserve"> </w:t>
      </w:r>
      <w:r w:rsidR="00363A1A" w:rsidRPr="00EE48E2">
        <w:rPr>
          <w:rFonts w:ascii="Book Antiqua" w:hAnsi="Book Antiqua"/>
          <w:sz w:val="24"/>
          <w:szCs w:val="24"/>
          <w:lang w:val="en-GB"/>
        </w:rPr>
        <w:t xml:space="preserve">In the era of targeted medicine, translational and clinical research efforts are being spent to better understand the complex molecular landscape of </w:t>
      </w:r>
      <w:r w:rsidR="00866858" w:rsidRPr="00EE48E2">
        <w:rPr>
          <w:rFonts w:ascii="Book Antiqua" w:hAnsi="Book Antiqua"/>
          <w:sz w:val="24"/>
          <w:szCs w:val="24"/>
          <w:lang w:val="en-GB"/>
        </w:rPr>
        <w:t>tumour</w:t>
      </w:r>
      <w:r w:rsidR="00363A1A" w:rsidRPr="00EE48E2">
        <w:rPr>
          <w:rFonts w:ascii="Book Antiqua" w:hAnsi="Book Antiqua"/>
          <w:sz w:val="24"/>
          <w:szCs w:val="24"/>
          <w:lang w:val="en-GB"/>
        </w:rPr>
        <w:t xml:space="preserve">s </w:t>
      </w:r>
      <w:r w:rsidR="00DB342E" w:rsidRPr="00EE48E2">
        <w:rPr>
          <w:rFonts w:ascii="Book Antiqua" w:hAnsi="Book Antiqua"/>
          <w:sz w:val="24"/>
          <w:szCs w:val="24"/>
          <w:lang w:val="en-GB"/>
        </w:rPr>
        <w:t>to</w:t>
      </w:r>
      <w:r w:rsidR="00363A1A" w:rsidRPr="00EE48E2">
        <w:rPr>
          <w:rFonts w:ascii="Book Antiqua" w:hAnsi="Book Antiqua"/>
          <w:sz w:val="24"/>
          <w:szCs w:val="24"/>
          <w:lang w:val="en-GB"/>
        </w:rPr>
        <w:t xml:space="preserve"> increasingly tailor the treatments to the molecular characteristics of the specific patient. The aim of this review is to </w:t>
      </w:r>
      <w:r w:rsidR="00EA13D0" w:rsidRPr="00EE48E2">
        <w:rPr>
          <w:rFonts w:ascii="Book Antiqua" w:hAnsi="Book Antiqua"/>
          <w:sz w:val="24"/>
          <w:szCs w:val="24"/>
          <w:lang w:val="en-GB"/>
        </w:rPr>
        <w:t>provide</w:t>
      </w:r>
      <w:r w:rsidR="00363A1A" w:rsidRPr="00EE48E2">
        <w:rPr>
          <w:rFonts w:ascii="Book Antiqua" w:hAnsi="Book Antiqua"/>
          <w:sz w:val="24"/>
          <w:szCs w:val="24"/>
          <w:lang w:val="en-GB"/>
        </w:rPr>
        <w:t xml:space="preserve"> an overview of </w:t>
      </w:r>
      <w:r w:rsidR="00EA13D0" w:rsidRPr="00EE48E2">
        <w:rPr>
          <w:rFonts w:ascii="Book Antiqua" w:hAnsi="Book Antiqua"/>
          <w:sz w:val="24"/>
          <w:szCs w:val="24"/>
          <w:lang w:val="en-GB"/>
        </w:rPr>
        <w:t xml:space="preserve">the </w:t>
      </w:r>
      <w:r w:rsidR="00363A1A" w:rsidRPr="00EE48E2">
        <w:rPr>
          <w:rFonts w:ascii="Book Antiqua" w:hAnsi="Book Antiqua"/>
          <w:sz w:val="24"/>
          <w:szCs w:val="24"/>
          <w:lang w:val="en-GB"/>
        </w:rPr>
        <w:t xml:space="preserve">molecular mechanisms that underlie both primary and acquired resistance to anti-EGFR drugs in metastatic colorectal cancer and </w:t>
      </w:r>
      <w:r w:rsidR="00EA13D0" w:rsidRPr="00EE48E2">
        <w:rPr>
          <w:rFonts w:ascii="Book Antiqua" w:hAnsi="Book Antiqua"/>
          <w:sz w:val="24"/>
          <w:szCs w:val="24"/>
          <w:lang w:val="en-GB"/>
        </w:rPr>
        <w:t>to discuss</w:t>
      </w:r>
      <w:r w:rsidR="00363A1A" w:rsidRPr="00EE48E2">
        <w:rPr>
          <w:rFonts w:ascii="Book Antiqua" w:hAnsi="Book Antiqua"/>
          <w:sz w:val="24"/>
          <w:szCs w:val="24"/>
          <w:lang w:val="en-GB"/>
        </w:rPr>
        <w:t xml:space="preserve"> possible future ways to </w:t>
      </w:r>
      <w:r w:rsidR="00406E31" w:rsidRPr="00EE48E2">
        <w:rPr>
          <w:rFonts w:ascii="Book Antiqua" w:hAnsi="Book Antiqua"/>
          <w:sz w:val="24"/>
          <w:szCs w:val="24"/>
          <w:lang w:val="en-GB"/>
        </w:rPr>
        <w:t>circumvent</w:t>
      </w:r>
      <w:r w:rsidR="00363A1A" w:rsidRPr="00EE48E2">
        <w:rPr>
          <w:rFonts w:ascii="Book Antiqua" w:hAnsi="Book Antiqua"/>
          <w:sz w:val="24"/>
          <w:szCs w:val="24"/>
          <w:lang w:val="en-GB"/>
        </w:rPr>
        <w:t xml:space="preserve"> them.</w:t>
      </w:r>
    </w:p>
    <w:p w14:paraId="49A227FE" w14:textId="77777777" w:rsidR="0027483A" w:rsidRPr="00EE48E2" w:rsidRDefault="0027483A" w:rsidP="004D1833">
      <w:pPr>
        <w:adjustRightInd w:val="0"/>
        <w:snapToGrid w:val="0"/>
        <w:spacing w:after="0" w:line="360" w:lineRule="auto"/>
        <w:jc w:val="both"/>
        <w:rPr>
          <w:rFonts w:ascii="Book Antiqua" w:hAnsi="Book Antiqua"/>
          <w:sz w:val="24"/>
          <w:szCs w:val="24"/>
          <w:lang w:val="en-GB" w:eastAsia="zh-CN"/>
        </w:rPr>
      </w:pPr>
    </w:p>
    <w:p w14:paraId="75CDC701" w14:textId="51C9D7E8" w:rsidR="00363A1A" w:rsidRPr="00EE48E2" w:rsidRDefault="00422FA4" w:rsidP="004D1833">
      <w:pPr>
        <w:adjustRightInd w:val="0"/>
        <w:snapToGrid w:val="0"/>
        <w:spacing w:after="0" w:line="360" w:lineRule="auto"/>
        <w:jc w:val="both"/>
        <w:rPr>
          <w:rFonts w:ascii="Book Antiqua" w:hAnsi="Book Antiqua"/>
          <w:b/>
          <w:sz w:val="24"/>
          <w:szCs w:val="24"/>
          <w:lang w:val="en-GB" w:eastAsia="zh-CN"/>
        </w:rPr>
      </w:pPr>
      <w:r w:rsidRPr="00EE48E2">
        <w:rPr>
          <w:rFonts w:ascii="Book Antiqua" w:hAnsi="Book Antiqua"/>
          <w:b/>
          <w:sz w:val="24"/>
          <w:szCs w:val="24"/>
          <w:lang w:val="en-GB"/>
        </w:rPr>
        <w:t>PRIMARY AND ACQUIRED RESISTANCE</w:t>
      </w:r>
    </w:p>
    <w:p w14:paraId="725876E2" w14:textId="5C77608E" w:rsidR="00363A1A" w:rsidRPr="00EE48E2" w:rsidRDefault="0027483A" w:rsidP="004D1833">
      <w:pPr>
        <w:adjustRightInd w:val="0"/>
        <w:snapToGrid w:val="0"/>
        <w:spacing w:after="0" w:line="360" w:lineRule="auto"/>
        <w:jc w:val="both"/>
        <w:rPr>
          <w:rFonts w:ascii="Book Antiqua" w:hAnsi="Book Antiqua"/>
          <w:b/>
          <w:i/>
          <w:sz w:val="24"/>
          <w:szCs w:val="24"/>
          <w:lang w:val="en-GB"/>
        </w:rPr>
      </w:pPr>
      <w:r w:rsidRPr="00EE48E2">
        <w:rPr>
          <w:rFonts w:ascii="Book Antiqua" w:hAnsi="Book Antiqua"/>
          <w:b/>
          <w:i/>
          <w:sz w:val="24"/>
          <w:szCs w:val="24"/>
          <w:lang w:val="en-GB"/>
        </w:rPr>
        <w:t xml:space="preserve">Two </w:t>
      </w:r>
      <w:r w:rsidR="00363A1A" w:rsidRPr="00EE48E2">
        <w:rPr>
          <w:rFonts w:ascii="Book Antiqua" w:hAnsi="Book Antiqua"/>
          <w:b/>
          <w:i/>
          <w:sz w:val="24"/>
          <w:szCs w:val="24"/>
          <w:lang w:val="en-GB"/>
        </w:rPr>
        <w:t>sides of the same coin</w:t>
      </w:r>
    </w:p>
    <w:p w14:paraId="0ED9E2C7" w14:textId="3D958619" w:rsidR="00363A1A" w:rsidRPr="00EE48E2" w:rsidRDefault="00363A1A" w:rsidP="004D1833">
      <w:pPr>
        <w:adjustRightInd w:val="0"/>
        <w:snapToGrid w:val="0"/>
        <w:spacing w:after="0" w:line="360" w:lineRule="auto"/>
        <w:jc w:val="both"/>
        <w:rPr>
          <w:rFonts w:ascii="Book Antiqua" w:hAnsi="Book Antiqua"/>
          <w:sz w:val="24"/>
          <w:szCs w:val="24"/>
          <w:lang w:val="en-GB"/>
        </w:rPr>
      </w:pPr>
      <w:r w:rsidRPr="00EE48E2">
        <w:rPr>
          <w:rFonts w:ascii="Book Antiqua" w:hAnsi="Book Antiqua"/>
          <w:sz w:val="24"/>
          <w:szCs w:val="24"/>
          <w:lang w:val="en-GB"/>
        </w:rPr>
        <w:t xml:space="preserve">The mechanisms of resistance to anti-EGFR moAbs can be </w:t>
      </w:r>
      <w:r w:rsidR="004D1690" w:rsidRPr="00EE48E2">
        <w:rPr>
          <w:rFonts w:ascii="Book Antiqua" w:hAnsi="Book Antiqua"/>
          <w:sz w:val="24"/>
          <w:szCs w:val="24"/>
          <w:lang w:val="en-GB"/>
        </w:rPr>
        <w:t>categorized as</w:t>
      </w:r>
      <w:r w:rsidRPr="00EE48E2">
        <w:rPr>
          <w:rFonts w:ascii="Book Antiqua" w:hAnsi="Book Antiqua"/>
          <w:sz w:val="24"/>
          <w:szCs w:val="24"/>
          <w:lang w:val="en-GB"/>
        </w:rPr>
        <w:t xml:space="preserve"> primary or acquired according </w:t>
      </w:r>
      <w:r w:rsidR="004D1690" w:rsidRPr="00EE48E2">
        <w:rPr>
          <w:rFonts w:ascii="Book Antiqua" w:hAnsi="Book Antiqua"/>
          <w:sz w:val="24"/>
          <w:szCs w:val="24"/>
          <w:lang w:val="en-GB"/>
        </w:rPr>
        <w:t xml:space="preserve">to </w:t>
      </w:r>
      <w:r w:rsidRPr="00EE48E2">
        <w:rPr>
          <w:rFonts w:ascii="Book Antiqua" w:hAnsi="Book Antiqua"/>
          <w:sz w:val="24"/>
          <w:szCs w:val="24"/>
          <w:lang w:val="en-GB"/>
        </w:rPr>
        <w:t xml:space="preserve">the time of onset in respect to the treatment with these drugs, </w:t>
      </w:r>
      <w:r w:rsidR="004D1690" w:rsidRPr="00EE48E2">
        <w:rPr>
          <w:rFonts w:ascii="Book Antiqua" w:hAnsi="Book Antiqua"/>
          <w:sz w:val="24"/>
          <w:szCs w:val="24"/>
          <w:lang w:val="en-GB"/>
        </w:rPr>
        <w:t xml:space="preserve">and </w:t>
      </w:r>
      <w:r w:rsidRPr="00EE48E2">
        <w:rPr>
          <w:rFonts w:ascii="Book Antiqua" w:hAnsi="Book Antiqua"/>
          <w:sz w:val="24"/>
          <w:szCs w:val="24"/>
          <w:lang w:val="en-GB"/>
        </w:rPr>
        <w:t xml:space="preserve">also, although without a </w:t>
      </w:r>
      <w:r w:rsidR="004D1690" w:rsidRPr="00EE48E2">
        <w:rPr>
          <w:rFonts w:ascii="Book Antiqua" w:hAnsi="Book Antiqua"/>
          <w:sz w:val="24"/>
          <w:szCs w:val="24"/>
          <w:lang w:val="en-GB"/>
        </w:rPr>
        <w:t>strict</w:t>
      </w:r>
      <w:r w:rsidRPr="00EE48E2">
        <w:rPr>
          <w:rFonts w:ascii="Book Antiqua" w:hAnsi="Book Antiqua"/>
          <w:sz w:val="24"/>
          <w:szCs w:val="24"/>
          <w:lang w:val="en-GB"/>
        </w:rPr>
        <w:t xml:space="preserve"> boundary, by the molecular alterations underlying them (Figure 2). Generally, the most frequent mechanisms of resistance </w:t>
      </w:r>
      <w:r w:rsidR="004D1690" w:rsidRPr="00EE48E2">
        <w:rPr>
          <w:rFonts w:ascii="Book Antiqua" w:hAnsi="Book Antiqua"/>
          <w:sz w:val="24"/>
          <w:szCs w:val="24"/>
          <w:lang w:val="en-GB"/>
        </w:rPr>
        <w:t xml:space="preserve">are a result of </w:t>
      </w:r>
      <w:r w:rsidRPr="00EE48E2">
        <w:rPr>
          <w:rFonts w:ascii="Book Antiqua" w:hAnsi="Book Antiqua"/>
          <w:sz w:val="24"/>
          <w:szCs w:val="24"/>
          <w:lang w:val="en-GB"/>
        </w:rPr>
        <w:t xml:space="preserve">genomic alterations </w:t>
      </w:r>
      <w:r w:rsidR="004D1690" w:rsidRPr="00EE48E2">
        <w:rPr>
          <w:rFonts w:ascii="Book Antiqua" w:hAnsi="Book Antiqua"/>
          <w:sz w:val="24"/>
          <w:szCs w:val="24"/>
          <w:lang w:val="en-GB"/>
        </w:rPr>
        <w:t>in</w:t>
      </w:r>
      <w:r w:rsidRPr="00EE48E2">
        <w:rPr>
          <w:rFonts w:ascii="Book Antiqua" w:hAnsi="Book Antiqua"/>
          <w:sz w:val="24"/>
          <w:szCs w:val="24"/>
          <w:lang w:val="en-GB"/>
        </w:rPr>
        <w:t xml:space="preserve"> downstream effectors (</w:t>
      </w:r>
      <w:r w:rsidR="0027483A" w:rsidRPr="00EE48E2">
        <w:rPr>
          <w:rFonts w:ascii="Book Antiqua" w:hAnsi="Book Antiqua"/>
          <w:i/>
          <w:sz w:val="24"/>
          <w:szCs w:val="24"/>
          <w:lang w:val="en-GB"/>
        </w:rPr>
        <w:t>e.g.</w:t>
      </w:r>
      <w:r w:rsidR="004D1690" w:rsidRPr="00EE48E2">
        <w:rPr>
          <w:rFonts w:ascii="Book Antiqua" w:hAnsi="Book Antiqua"/>
          <w:sz w:val="24"/>
          <w:szCs w:val="24"/>
          <w:lang w:val="en-GB"/>
        </w:rPr>
        <w:t>,</w:t>
      </w:r>
      <w:r w:rsidRPr="00EE48E2">
        <w:rPr>
          <w:rFonts w:ascii="Book Antiqua" w:hAnsi="Book Antiqua"/>
          <w:sz w:val="24"/>
          <w:szCs w:val="24"/>
          <w:lang w:val="en-GB"/>
        </w:rPr>
        <w:t xml:space="preserve"> KRAS, NRAS, BRAF, </w:t>
      </w:r>
      <w:r w:rsidR="004D1690" w:rsidRPr="00EE48E2">
        <w:rPr>
          <w:rFonts w:ascii="Book Antiqua" w:hAnsi="Book Antiqua"/>
          <w:sz w:val="24"/>
          <w:szCs w:val="24"/>
          <w:lang w:val="en-GB"/>
        </w:rPr>
        <w:t xml:space="preserve">and </w:t>
      </w:r>
      <w:r w:rsidRPr="00EE48E2">
        <w:rPr>
          <w:rFonts w:ascii="Book Antiqua" w:hAnsi="Book Antiqua"/>
          <w:sz w:val="24"/>
          <w:szCs w:val="24"/>
          <w:lang w:val="en-GB"/>
        </w:rPr>
        <w:t xml:space="preserve">PIK3CA) of the EGFR </w:t>
      </w:r>
      <w:r w:rsidR="00DB342E" w:rsidRPr="00EE48E2">
        <w:rPr>
          <w:rFonts w:ascii="Book Antiqua" w:hAnsi="Book Antiqua"/>
          <w:sz w:val="24"/>
          <w:szCs w:val="24"/>
          <w:lang w:val="en-GB"/>
        </w:rPr>
        <w:t xml:space="preserve">signalling </w:t>
      </w:r>
      <w:r w:rsidRPr="00EE48E2">
        <w:rPr>
          <w:rFonts w:ascii="Book Antiqua" w:hAnsi="Book Antiqua"/>
          <w:sz w:val="24"/>
          <w:szCs w:val="24"/>
          <w:lang w:val="en-GB"/>
        </w:rPr>
        <w:t>pathway</w:t>
      </w:r>
      <w:r w:rsidR="004D1690" w:rsidRPr="00EE48E2">
        <w:rPr>
          <w:rFonts w:ascii="Book Antiqua" w:hAnsi="Book Antiqua"/>
          <w:sz w:val="24"/>
          <w:szCs w:val="24"/>
          <w:lang w:val="en-GB"/>
        </w:rPr>
        <w:t>,</w:t>
      </w:r>
      <w:r w:rsidRPr="00EE48E2">
        <w:rPr>
          <w:rFonts w:ascii="Book Antiqua" w:hAnsi="Book Antiqua"/>
          <w:sz w:val="24"/>
          <w:szCs w:val="24"/>
          <w:lang w:val="en-GB"/>
        </w:rPr>
        <w:t xml:space="preserve"> while the activation of other RTKs</w:t>
      </w:r>
      <w:r w:rsidR="004D1690" w:rsidRPr="00EE48E2">
        <w:rPr>
          <w:rFonts w:ascii="Book Antiqua" w:hAnsi="Book Antiqua"/>
          <w:sz w:val="24"/>
          <w:szCs w:val="24"/>
          <w:lang w:val="en-GB"/>
        </w:rPr>
        <w:t>,</w:t>
      </w:r>
      <w:r w:rsidRPr="00EE48E2">
        <w:rPr>
          <w:rFonts w:ascii="Book Antiqua" w:hAnsi="Book Antiqua"/>
          <w:sz w:val="24"/>
          <w:szCs w:val="24"/>
          <w:lang w:val="en-GB"/>
        </w:rPr>
        <w:t xml:space="preserve"> such as MET or ERBB2 and their pathways</w:t>
      </w:r>
      <w:r w:rsidR="004D1690" w:rsidRPr="00EE48E2">
        <w:rPr>
          <w:rFonts w:ascii="Book Antiqua" w:hAnsi="Book Antiqua"/>
          <w:sz w:val="24"/>
          <w:szCs w:val="24"/>
          <w:lang w:val="en-GB"/>
        </w:rPr>
        <w:t>,</w:t>
      </w:r>
      <w:r w:rsidRPr="00EE48E2">
        <w:rPr>
          <w:rFonts w:ascii="Book Antiqua" w:hAnsi="Book Antiqua"/>
          <w:sz w:val="24"/>
          <w:szCs w:val="24"/>
          <w:lang w:val="en-GB"/>
        </w:rPr>
        <w:t xml:space="preserve"> are more rare</w:t>
      </w:r>
      <w:r w:rsidR="004D1690" w:rsidRPr="00EE48E2">
        <w:rPr>
          <w:rFonts w:ascii="Book Antiqua" w:hAnsi="Book Antiqua"/>
          <w:sz w:val="24"/>
          <w:szCs w:val="24"/>
          <w:lang w:val="en-GB"/>
        </w:rPr>
        <w:t xml:space="preserve"> mechanisms</w:t>
      </w:r>
      <w:r w:rsidRPr="00EE48E2">
        <w:rPr>
          <w:rFonts w:ascii="Book Antiqua" w:hAnsi="Book Antiqua"/>
          <w:sz w:val="24"/>
          <w:szCs w:val="24"/>
          <w:vertAlign w:val="superscript"/>
          <w:lang w:val="en-GB"/>
        </w:rPr>
        <w:t>[17-19]</w:t>
      </w:r>
      <w:r w:rsidR="00D6249B" w:rsidRPr="00EE48E2">
        <w:rPr>
          <w:rFonts w:ascii="Book Antiqua" w:hAnsi="Book Antiqua"/>
          <w:sz w:val="24"/>
          <w:szCs w:val="24"/>
          <w:lang w:val="en-GB"/>
        </w:rPr>
        <w:t>.</w:t>
      </w:r>
      <w:r w:rsidRPr="00EE48E2">
        <w:rPr>
          <w:rFonts w:ascii="Book Antiqua" w:hAnsi="Book Antiqua"/>
          <w:sz w:val="24"/>
          <w:szCs w:val="24"/>
          <w:lang w:val="en-GB"/>
        </w:rPr>
        <w:t xml:space="preserve"> In both cases, unless the EGFR continues to be pharmacologically blocked, an alternative signal transducer becomes activated, escaping the receptor</w:t>
      </w:r>
      <w:r w:rsidR="004D1690" w:rsidRPr="00EE48E2">
        <w:rPr>
          <w:rFonts w:ascii="Book Antiqua" w:hAnsi="Book Antiqua"/>
          <w:sz w:val="24"/>
          <w:szCs w:val="24"/>
          <w:lang w:val="en-GB"/>
        </w:rPr>
        <w:t xml:space="preserve"> inhibition</w:t>
      </w:r>
      <w:r w:rsidRPr="00EE48E2">
        <w:rPr>
          <w:rFonts w:ascii="Book Antiqua" w:hAnsi="Book Antiqua"/>
          <w:sz w:val="24"/>
          <w:szCs w:val="24"/>
          <w:lang w:val="en-GB"/>
        </w:rPr>
        <w:t>. Notably, these genetic alterations have been identified as both mechanisms of primary and acquired resistance</w:t>
      </w:r>
      <w:r w:rsidR="009D5541" w:rsidRPr="00EE48E2">
        <w:rPr>
          <w:rFonts w:ascii="Book Antiqua" w:hAnsi="Book Antiqua"/>
          <w:sz w:val="24"/>
          <w:szCs w:val="24"/>
          <w:lang w:val="en-GB"/>
        </w:rPr>
        <w:t>,</w:t>
      </w:r>
      <w:r w:rsidRPr="00EE48E2">
        <w:rPr>
          <w:rFonts w:ascii="Book Antiqua" w:hAnsi="Book Antiqua"/>
          <w:sz w:val="24"/>
          <w:szCs w:val="24"/>
          <w:lang w:val="en-GB"/>
        </w:rPr>
        <w:t xml:space="preserve"> and almost all of them biochemically converge on the activation of </w:t>
      </w:r>
      <w:r w:rsidR="009D5541" w:rsidRPr="00EE48E2">
        <w:rPr>
          <w:rFonts w:ascii="Book Antiqua" w:hAnsi="Book Antiqua"/>
          <w:sz w:val="24"/>
          <w:szCs w:val="24"/>
          <w:lang w:val="en-GB"/>
        </w:rPr>
        <w:t xml:space="preserve">the </w:t>
      </w:r>
      <w:r w:rsidRPr="00EE48E2">
        <w:rPr>
          <w:rFonts w:ascii="Book Antiqua" w:hAnsi="Book Antiqua"/>
          <w:sz w:val="24"/>
          <w:szCs w:val="24"/>
          <w:lang w:val="en-GB"/>
        </w:rPr>
        <w:t>MEK–ERK pathway</w:t>
      </w:r>
      <w:r w:rsidRPr="00EE48E2">
        <w:rPr>
          <w:rFonts w:ascii="Book Antiqua" w:hAnsi="Book Antiqua"/>
          <w:sz w:val="24"/>
          <w:szCs w:val="24"/>
          <w:vertAlign w:val="superscript"/>
          <w:lang w:val="en-GB"/>
        </w:rPr>
        <w:t>[12]</w:t>
      </w:r>
      <w:r w:rsidR="00D6249B" w:rsidRPr="00EE48E2">
        <w:rPr>
          <w:rFonts w:ascii="Book Antiqua" w:hAnsi="Book Antiqua"/>
          <w:sz w:val="24"/>
          <w:szCs w:val="24"/>
          <w:lang w:val="en-GB"/>
        </w:rPr>
        <w:t xml:space="preserve">. </w:t>
      </w:r>
      <w:r w:rsidRPr="00EE48E2">
        <w:rPr>
          <w:rFonts w:ascii="Book Antiqua" w:hAnsi="Book Antiqua"/>
          <w:sz w:val="24"/>
          <w:szCs w:val="24"/>
          <w:lang w:val="en-GB"/>
        </w:rPr>
        <w:t xml:space="preserve">The only exceptions are represented by rare mutations either in the extracellular domain (ECD) </w:t>
      </w:r>
      <w:r w:rsidR="009D5541" w:rsidRPr="00EE48E2">
        <w:rPr>
          <w:rFonts w:ascii="Book Antiqua" w:hAnsi="Book Antiqua"/>
          <w:sz w:val="24"/>
          <w:szCs w:val="24"/>
          <w:lang w:val="en-GB"/>
        </w:rPr>
        <w:t>or</w:t>
      </w:r>
      <w:r w:rsidRPr="00EE48E2">
        <w:rPr>
          <w:rFonts w:ascii="Book Antiqua" w:hAnsi="Book Antiqua"/>
          <w:sz w:val="24"/>
          <w:szCs w:val="24"/>
          <w:lang w:val="en-GB"/>
        </w:rPr>
        <w:t xml:space="preserve"> in the tyrosine kinase domain of EGFR that have only been described as acquired mechanisms of resistance in patients treated with anti-EGFR moAbs</w:t>
      </w:r>
      <w:r w:rsidRPr="00EE48E2">
        <w:rPr>
          <w:rFonts w:ascii="Book Antiqua" w:hAnsi="Book Antiqua"/>
          <w:sz w:val="24"/>
          <w:szCs w:val="24"/>
          <w:vertAlign w:val="superscript"/>
          <w:lang w:val="en-GB"/>
        </w:rPr>
        <w:t>[20-22]</w:t>
      </w:r>
      <w:r w:rsidRPr="00EE48E2">
        <w:rPr>
          <w:rFonts w:ascii="Book Antiqua" w:hAnsi="Book Antiqua"/>
          <w:sz w:val="24"/>
          <w:szCs w:val="24"/>
          <w:lang w:val="en-GB"/>
        </w:rPr>
        <w:t>. Furthermore</w:t>
      </w:r>
      <w:r w:rsidR="009D5541" w:rsidRPr="00EE48E2">
        <w:rPr>
          <w:rFonts w:ascii="Book Antiqua" w:hAnsi="Book Antiqua"/>
          <w:sz w:val="24"/>
          <w:szCs w:val="24"/>
          <w:lang w:val="en-GB"/>
        </w:rPr>
        <w:t>,</w:t>
      </w:r>
      <w:r w:rsidRPr="00EE48E2">
        <w:rPr>
          <w:rFonts w:ascii="Book Antiqua" w:hAnsi="Book Antiqua"/>
          <w:sz w:val="24"/>
          <w:szCs w:val="24"/>
          <w:lang w:val="en-GB"/>
        </w:rPr>
        <w:t xml:space="preserve"> different from primary resistance, acquired</w:t>
      </w:r>
      <w:r w:rsidR="009D5541" w:rsidRPr="00EE48E2">
        <w:rPr>
          <w:rFonts w:ascii="Book Antiqua" w:hAnsi="Book Antiqua"/>
          <w:sz w:val="24"/>
          <w:szCs w:val="24"/>
          <w:lang w:val="en-GB"/>
        </w:rPr>
        <w:t xml:space="preserve"> resistance</w:t>
      </w:r>
      <w:r w:rsidRPr="00EE48E2">
        <w:rPr>
          <w:rFonts w:ascii="Book Antiqua" w:hAnsi="Book Antiqua"/>
          <w:sz w:val="24"/>
          <w:szCs w:val="24"/>
          <w:lang w:val="en-GB"/>
        </w:rPr>
        <w:t xml:space="preserve"> </w:t>
      </w:r>
      <w:r w:rsidR="009D5541" w:rsidRPr="00EE48E2">
        <w:rPr>
          <w:rFonts w:ascii="Book Antiqua" w:hAnsi="Book Antiqua"/>
          <w:sz w:val="24"/>
          <w:szCs w:val="24"/>
          <w:lang w:val="en-GB"/>
        </w:rPr>
        <w:t>is</w:t>
      </w:r>
      <w:r w:rsidRPr="00EE48E2">
        <w:rPr>
          <w:rFonts w:ascii="Book Antiqua" w:hAnsi="Book Antiqua"/>
          <w:sz w:val="24"/>
          <w:szCs w:val="24"/>
          <w:lang w:val="en-GB"/>
        </w:rPr>
        <w:t xml:space="preserve"> generally sustained by several genetic alterations that concomitantly emerge at treatment failure</w:t>
      </w:r>
      <w:r w:rsidRPr="00EE48E2">
        <w:rPr>
          <w:rFonts w:ascii="Book Antiqua" w:hAnsi="Book Antiqua"/>
          <w:sz w:val="24"/>
          <w:szCs w:val="24"/>
          <w:vertAlign w:val="superscript"/>
          <w:lang w:val="en-GB"/>
        </w:rPr>
        <w:t>[22]</w:t>
      </w:r>
      <w:r w:rsidR="00D6249B" w:rsidRPr="00EE48E2">
        <w:rPr>
          <w:rFonts w:ascii="Book Antiqua" w:hAnsi="Book Antiqua"/>
          <w:sz w:val="24"/>
          <w:szCs w:val="24"/>
          <w:lang w:val="en-GB"/>
        </w:rPr>
        <w:t>.</w:t>
      </w:r>
      <w:r w:rsidRPr="00EE48E2">
        <w:rPr>
          <w:rFonts w:ascii="Book Antiqua" w:hAnsi="Book Antiqua"/>
          <w:sz w:val="24"/>
          <w:szCs w:val="24"/>
          <w:lang w:val="en-GB"/>
        </w:rPr>
        <w:t xml:space="preserve"> These aberrations may arise either as new genetic alterations, due to treatment</w:t>
      </w:r>
      <w:r w:rsidR="00E97D8C" w:rsidRPr="00EE48E2">
        <w:rPr>
          <w:rFonts w:ascii="Book Antiqua" w:hAnsi="Book Antiqua"/>
          <w:sz w:val="24"/>
          <w:szCs w:val="24"/>
          <w:lang w:val="en-GB"/>
        </w:rPr>
        <w:t>-</w:t>
      </w:r>
      <w:r w:rsidRPr="00EE48E2">
        <w:rPr>
          <w:rFonts w:ascii="Book Antiqua" w:hAnsi="Book Antiqua"/>
          <w:sz w:val="24"/>
          <w:szCs w:val="24"/>
          <w:lang w:val="en-GB"/>
        </w:rPr>
        <w:t xml:space="preserve">induced mutagenesis and </w:t>
      </w:r>
      <w:r w:rsidR="00866858" w:rsidRPr="00EE48E2">
        <w:rPr>
          <w:rFonts w:ascii="Book Antiqua" w:hAnsi="Book Antiqua"/>
          <w:sz w:val="24"/>
          <w:szCs w:val="24"/>
          <w:lang w:val="en-GB"/>
        </w:rPr>
        <w:t>tumour</w:t>
      </w:r>
      <w:r w:rsidRPr="00EE48E2">
        <w:rPr>
          <w:rFonts w:ascii="Book Antiqua" w:hAnsi="Book Antiqua"/>
          <w:sz w:val="24"/>
          <w:szCs w:val="24"/>
          <w:lang w:val="en-GB"/>
        </w:rPr>
        <w:t>-intrinsic genomic instability (</w:t>
      </w:r>
      <w:r w:rsidR="0027483A" w:rsidRPr="00EE48E2">
        <w:rPr>
          <w:rFonts w:ascii="Book Antiqua" w:hAnsi="Book Antiqua"/>
          <w:i/>
          <w:sz w:val="24"/>
          <w:szCs w:val="24"/>
          <w:lang w:val="en-GB"/>
        </w:rPr>
        <w:t>e.g.</w:t>
      </w:r>
      <w:r w:rsidR="00E97D8C" w:rsidRPr="00EE48E2">
        <w:rPr>
          <w:rFonts w:ascii="Book Antiqua" w:hAnsi="Book Antiqua"/>
          <w:sz w:val="24"/>
          <w:szCs w:val="24"/>
          <w:lang w:val="en-GB"/>
        </w:rPr>
        <w:t>,</w:t>
      </w:r>
      <w:r w:rsidRPr="00EE48E2">
        <w:rPr>
          <w:rFonts w:ascii="Book Antiqua" w:hAnsi="Book Antiqua"/>
          <w:sz w:val="24"/>
          <w:szCs w:val="24"/>
          <w:lang w:val="en-GB"/>
        </w:rPr>
        <w:t xml:space="preserve"> mutations in ECD or tyrosine kinase domain of EGFR), or </w:t>
      </w:r>
      <w:r w:rsidR="002E10E3" w:rsidRPr="00EE48E2">
        <w:rPr>
          <w:rFonts w:ascii="Book Antiqua" w:hAnsi="Book Antiqua"/>
          <w:sz w:val="24"/>
          <w:szCs w:val="24"/>
          <w:lang w:val="en-GB"/>
        </w:rPr>
        <w:t xml:space="preserve">through </w:t>
      </w:r>
      <w:r w:rsidRPr="00EE48E2">
        <w:rPr>
          <w:rFonts w:ascii="Book Antiqua" w:hAnsi="Book Antiqua"/>
          <w:sz w:val="24"/>
          <w:szCs w:val="24"/>
          <w:lang w:val="en-GB"/>
        </w:rPr>
        <w:t xml:space="preserve">the </w:t>
      </w:r>
      <w:r w:rsidR="002E10E3" w:rsidRPr="00EE48E2">
        <w:rPr>
          <w:rFonts w:ascii="Book Antiqua" w:hAnsi="Book Antiqua"/>
          <w:sz w:val="24"/>
          <w:szCs w:val="24"/>
          <w:lang w:val="en-GB"/>
        </w:rPr>
        <w:t xml:space="preserve">positive </w:t>
      </w:r>
      <w:r w:rsidRPr="00EE48E2">
        <w:rPr>
          <w:rFonts w:ascii="Book Antiqua" w:hAnsi="Book Antiqua"/>
          <w:sz w:val="24"/>
          <w:szCs w:val="24"/>
          <w:lang w:val="en-GB"/>
        </w:rPr>
        <w:t>selection</w:t>
      </w:r>
      <w:r w:rsidR="002E10E3" w:rsidRPr="00EE48E2">
        <w:rPr>
          <w:rFonts w:ascii="Book Antiqua" w:hAnsi="Book Antiqua"/>
          <w:sz w:val="24"/>
          <w:szCs w:val="24"/>
          <w:lang w:val="en-GB"/>
        </w:rPr>
        <w:t xml:space="preserve"> pressure of anti-EGFR therapies on a resistant subpopulation of cells already present in the original </w:t>
      </w:r>
      <w:r w:rsidR="00866858" w:rsidRPr="00EE48E2">
        <w:rPr>
          <w:rFonts w:ascii="Book Antiqua" w:hAnsi="Book Antiqua"/>
          <w:sz w:val="24"/>
          <w:szCs w:val="24"/>
          <w:lang w:val="en-GB"/>
        </w:rPr>
        <w:t>tumour</w:t>
      </w:r>
      <w:r w:rsidRPr="00EE48E2">
        <w:rPr>
          <w:rFonts w:ascii="Book Antiqua" w:hAnsi="Book Antiqua"/>
          <w:sz w:val="24"/>
          <w:szCs w:val="24"/>
          <w:vertAlign w:val="superscript"/>
          <w:lang w:val="en-GB"/>
        </w:rPr>
        <w:t>[13]</w:t>
      </w:r>
      <w:r w:rsidR="00D6249B" w:rsidRPr="00EE48E2">
        <w:rPr>
          <w:rFonts w:ascii="Book Antiqua" w:hAnsi="Book Antiqua"/>
          <w:sz w:val="24"/>
          <w:szCs w:val="24"/>
          <w:lang w:val="en-GB"/>
        </w:rPr>
        <w:t>.</w:t>
      </w:r>
      <w:r w:rsidRPr="00EE48E2">
        <w:rPr>
          <w:rFonts w:ascii="Book Antiqua" w:hAnsi="Book Antiqua"/>
          <w:sz w:val="24"/>
          <w:szCs w:val="24"/>
          <w:lang w:val="en-GB"/>
        </w:rPr>
        <w:t xml:space="preserve"> Because of the overlapping of resistance mechanisms, </w:t>
      </w:r>
      <w:r w:rsidR="002E10E3" w:rsidRPr="00EE48E2">
        <w:rPr>
          <w:rFonts w:ascii="Book Antiqua" w:hAnsi="Book Antiqua"/>
          <w:sz w:val="24"/>
          <w:szCs w:val="24"/>
          <w:lang w:val="en-GB"/>
        </w:rPr>
        <w:t xml:space="preserve">the </w:t>
      </w:r>
      <w:r w:rsidRPr="00EE48E2">
        <w:rPr>
          <w:rFonts w:ascii="Book Antiqua" w:hAnsi="Book Antiqua"/>
          <w:sz w:val="24"/>
          <w:szCs w:val="24"/>
          <w:lang w:val="en-GB"/>
        </w:rPr>
        <w:t xml:space="preserve">next chapters are focused on the description </w:t>
      </w:r>
      <w:r w:rsidR="002E10E3" w:rsidRPr="00EE48E2">
        <w:rPr>
          <w:rFonts w:ascii="Book Antiqua" w:hAnsi="Book Antiqua"/>
          <w:sz w:val="24"/>
          <w:szCs w:val="24"/>
          <w:lang w:val="en-GB"/>
        </w:rPr>
        <w:t xml:space="preserve">of </w:t>
      </w:r>
      <w:r w:rsidRPr="00EE48E2">
        <w:rPr>
          <w:rFonts w:ascii="Book Antiqua" w:hAnsi="Book Antiqua"/>
          <w:sz w:val="24"/>
          <w:szCs w:val="24"/>
          <w:lang w:val="en-GB"/>
        </w:rPr>
        <w:t>single molecular alteration</w:t>
      </w:r>
      <w:r w:rsidR="002E10E3" w:rsidRPr="00EE48E2">
        <w:rPr>
          <w:rFonts w:ascii="Book Antiqua" w:hAnsi="Book Antiqua"/>
          <w:sz w:val="24"/>
          <w:szCs w:val="24"/>
          <w:lang w:val="en-GB"/>
        </w:rPr>
        <w:t>s and</w:t>
      </w:r>
      <w:r w:rsidRPr="00EE48E2">
        <w:rPr>
          <w:rFonts w:ascii="Book Antiqua" w:hAnsi="Book Antiqua"/>
          <w:sz w:val="24"/>
          <w:szCs w:val="24"/>
          <w:lang w:val="en-GB"/>
        </w:rPr>
        <w:t xml:space="preserve"> </w:t>
      </w:r>
      <w:r w:rsidR="002E10E3" w:rsidRPr="00EE48E2">
        <w:rPr>
          <w:rFonts w:ascii="Book Antiqua" w:hAnsi="Book Antiqua"/>
          <w:sz w:val="24"/>
          <w:szCs w:val="24"/>
          <w:lang w:val="en-GB"/>
        </w:rPr>
        <w:t>whether the resulting mechanisms of resistance</w:t>
      </w:r>
      <w:r w:rsidRPr="00EE48E2">
        <w:rPr>
          <w:rFonts w:ascii="Book Antiqua" w:hAnsi="Book Antiqua"/>
          <w:sz w:val="24"/>
          <w:szCs w:val="24"/>
          <w:lang w:val="en-GB"/>
        </w:rPr>
        <w:t xml:space="preserve"> </w:t>
      </w:r>
      <w:r w:rsidR="002E10E3" w:rsidRPr="00EE48E2">
        <w:rPr>
          <w:rFonts w:ascii="Book Antiqua" w:hAnsi="Book Antiqua"/>
          <w:sz w:val="24"/>
          <w:szCs w:val="24"/>
          <w:lang w:val="en-GB"/>
        </w:rPr>
        <w:t xml:space="preserve">can be categorized as </w:t>
      </w:r>
      <w:r w:rsidRPr="00EE48E2">
        <w:rPr>
          <w:rFonts w:ascii="Book Antiqua" w:hAnsi="Book Antiqua"/>
          <w:sz w:val="24"/>
          <w:szCs w:val="24"/>
          <w:lang w:val="en-GB"/>
        </w:rPr>
        <w:t xml:space="preserve">primary, secondary or both. </w:t>
      </w:r>
    </w:p>
    <w:p w14:paraId="57DDAD7B" w14:textId="77777777" w:rsidR="00363A1A" w:rsidRPr="00EE48E2" w:rsidRDefault="00363A1A" w:rsidP="004D1833">
      <w:pPr>
        <w:adjustRightInd w:val="0"/>
        <w:snapToGrid w:val="0"/>
        <w:spacing w:after="0" w:line="360" w:lineRule="auto"/>
        <w:jc w:val="both"/>
        <w:rPr>
          <w:rFonts w:ascii="Book Antiqua" w:hAnsi="Book Antiqua"/>
          <w:sz w:val="24"/>
          <w:szCs w:val="24"/>
          <w:lang w:val="en-GB"/>
        </w:rPr>
      </w:pPr>
    </w:p>
    <w:p w14:paraId="6E552292" w14:textId="77777777" w:rsidR="00363A1A" w:rsidRPr="00EE48E2" w:rsidRDefault="00363A1A" w:rsidP="004D1833">
      <w:pPr>
        <w:adjustRightInd w:val="0"/>
        <w:snapToGrid w:val="0"/>
        <w:spacing w:after="0" w:line="360" w:lineRule="auto"/>
        <w:jc w:val="both"/>
        <w:rPr>
          <w:rFonts w:ascii="Book Antiqua" w:hAnsi="Book Antiqua"/>
          <w:sz w:val="24"/>
          <w:szCs w:val="24"/>
          <w:lang w:val="en-GB"/>
        </w:rPr>
      </w:pPr>
    </w:p>
    <w:p w14:paraId="470D0827" w14:textId="77777777" w:rsidR="00363A1A" w:rsidRPr="00EE48E2" w:rsidRDefault="00363A1A" w:rsidP="004D1833">
      <w:pPr>
        <w:adjustRightInd w:val="0"/>
        <w:snapToGrid w:val="0"/>
        <w:spacing w:after="0" w:line="360" w:lineRule="auto"/>
        <w:jc w:val="both"/>
        <w:rPr>
          <w:rFonts w:ascii="Book Antiqua" w:hAnsi="Book Antiqua"/>
          <w:b/>
          <w:i/>
          <w:sz w:val="24"/>
          <w:szCs w:val="24"/>
          <w:lang w:val="en-GB"/>
        </w:rPr>
      </w:pPr>
      <w:r w:rsidRPr="00EE48E2">
        <w:rPr>
          <w:rFonts w:ascii="Book Antiqua" w:hAnsi="Book Antiqua"/>
          <w:b/>
          <w:i/>
          <w:sz w:val="24"/>
          <w:szCs w:val="24"/>
          <w:lang w:val="en-GB"/>
        </w:rPr>
        <w:t>RAS</w:t>
      </w:r>
    </w:p>
    <w:p w14:paraId="14B80F4F" w14:textId="3D6D0C87" w:rsidR="00363A1A" w:rsidRPr="00EE48E2" w:rsidRDefault="00363A1A" w:rsidP="004D1833">
      <w:pPr>
        <w:adjustRightInd w:val="0"/>
        <w:snapToGrid w:val="0"/>
        <w:spacing w:after="0" w:line="360" w:lineRule="auto"/>
        <w:jc w:val="both"/>
        <w:rPr>
          <w:rFonts w:ascii="Book Antiqua" w:hAnsi="Book Antiqua"/>
          <w:sz w:val="24"/>
          <w:szCs w:val="24"/>
          <w:lang w:val="en-GB"/>
        </w:rPr>
      </w:pPr>
      <w:r w:rsidRPr="00EE48E2">
        <w:rPr>
          <w:rFonts w:ascii="Book Antiqua" w:hAnsi="Book Antiqua"/>
          <w:sz w:val="24"/>
          <w:szCs w:val="24"/>
          <w:lang w:val="en-GB"/>
        </w:rPr>
        <w:t xml:space="preserve">RAS is a family of three small GTPases (KRAS, NRAS, and HRAS) that work as downstream effectors within the mitogen-activated protein kinase (MAPK) </w:t>
      </w:r>
      <w:r w:rsidR="009E2BBC" w:rsidRPr="00EE48E2">
        <w:rPr>
          <w:rFonts w:ascii="Book Antiqua" w:hAnsi="Book Antiqua"/>
          <w:sz w:val="24"/>
          <w:szCs w:val="24"/>
          <w:lang w:val="en-GB"/>
        </w:rPr>
        <w:t xml:space="preserve">pathway, </w:t>
      </w:r>
      <w:r w:rsidRPr="00EE48E2">
        <w:rPr>
          <w:rFonts w:ascii="Book Antiqua" w:hAnsi="Book Antiqua"/>
          <w:sz w:val="24"/>
          <w:szCs w:val="24"/>
          <w:lang w:val="en-GB"/>
        </w:rPr>
        <w:t xml:space="preserve">coupling EGFR with intracellular </w:t>
      </w:r>
      <w:r w:rsidR="00DB342E" w:rsidRPr="00EE48E2">
        <w:rPr>
          <w:rFonts w:ascii="Book Antiqua" w:hAnsi="Book Antiqua"/>
          <w:sz w:val="24"/>
          <w:szCs w:val="24"/>
          <w:lang w:val="en-GB"/>
        </w:rPr>
        <w:t xml:space="preserve">signalling </w:t>
      </w:r>
      <w:r w:rsidRPr="00EE48E2">
        <w:rPr>
          <w:rFonts w:ascii="Book Antiqua" w:hAnsi="Book Antiqua"/>
          <w:sz w:val="24"/>
          <w:szCs w:val="24"/>
          <w:lang w:val="en-GB"/>
        </w:rPr>
        <w:t>cascades</w:t>
      </w:r>
      <w:r w:rsidRPr="00EE48E2">
        <w:rPr>
          <w:rFonts w:ascii="Book Antiqua" w:hAnsi="Book Antiqua"/>
          <w:sz w:val="24"/>
          <w:szCs w:val="24"/>
          <w:vertAlign w:val="superscript"/>
          <w:lang w:val="en-GB"/>
        </w:rPr>
        <w:t>[23]</w:t>
      </w:r>
      <w:r w:rsidR="00D6249B" w:rsidRPr="00EE48E2">
        <w:rPr>
          <w:rFonts w:ascii="Book Antiqua" w:hAnsi="Book Antiqua"/>
          <w:sz w:val="24"/>
          <w:szCs w:val="24"/>
          <w:lang w:val="en-GB"/>
        </w:rPr>
        <w:t xml:space="preserve">. </w:t>
      </w:r>
      <w:r w:rsidR="009E2BBC" w:rsidRPr="00EE48E2">
        <w:rPr>
          <w:rFonts w:ascii="Book Antiqua" w:hAnsi="Book Antiqua"/>
          <w:sz w:val="24"/>
          <w:szCs w:val="24"/>
          <w:lang w:val="en-GB"/>
        </w:rPr>
        <w:t xml:space="preserve">The </w:t>
      </w:r>
      <w:r w:rsidRPr="00EE48E2">
        <w:rPr>
          <w:rFonts w:ascii="Book Antiqua" w:hAnsi="Book Antiqua"/>
          <w:sz w:val="24"/>
          <w:szCs w:val="24"/>
          <w:lang w:val="en-GB"/>
        </w:rPr>
        <w:t>KRAS gene has been found mutated in approximately 40% of CRCs</w:t>
      </w:r>
      <w:r w:rsidR="009E2BBC" w:rsidRPr="00EE48E2">
        <w:rPr>
          <w:rFonts w:ascii="Book Antiqua" w:hAnsi="Book Antiqua"/>
          <w:sz w:val="24"/>
          <w:szCs w:val="24"/>
          <w:lang w:val="en-GB"/>
        </w:rPr>
        <w:t>,</w:t>
      </w:r>
      <w:r w:rsidRPr="00EE48E2">
        <w:rPr>
          <w:rFonts w:ascii="Book Antiqua" w:hAnsi="Book Antiqua"/>
          <w:sz w:val="24"/>
          <w:szCs w:val="24"/>
          <w:lang w:val="en-GB"/>
        </w:rPr>
        <w:t xml:space="preserve"> mostly in exon 2 codons 12 (70</w:t>
      </w:r>
      <w:r w:rsidR="004174B8" w:rsidRPr="00EE48E2">
        <w:rPr>
          <w:rFonts w:ascii="Book Antiqua" w:hAnsi="Book Antiqua" w:hint="eastAsia"/>
          <w:sz w:val="24"/>
          <w:szCs w:val="24"/>
          <w:lang w:val="en-GB" w:eastAsia="zh-CN"/>
        </w:rPr>
        <w:t>%</w:t>
      </w:r>
      <w:r w:rsidRPr="00EE48E2">
        <w:rPr>
          <w:rFonts w:ascii="Book Antiqua" w:hAnsi="Book Antiqua"/>
          <w:sz w:val="24"/>
          <w:szCs w:val="24"/>
          <w:lang w:val="en-GB"/>
        </w:rPr>
        <w:t>-80%) and 13 (15</w:t>
      </w:r>
      <w:r w:rsidR="004174B8" w:rsidRPr="00EE48E2">
        <w:rPr>
          <w:rFonts w:ascii="Book Antiqua" w:hAnsi="Book Antiqua" w:hint="eastAsia"/>
          <w:sz w:val="24"/>
          <w:szCs w:val="24"/>
          <w:lang w:val="en-GB" w:eastAsia="zh-CN"/>
        </w:rPr>
        <w:t>%</w:t>
      </w:r>
      <w:r w:rsidRPr="00EE48E2">
        <w:rPr>
          <w:rFonts w:ascii="Book Antiqua" w:hAnsi="Book Antiqua"/>
          <w:sz w:val="24"/>
          <w:szCs w:val="24"/>
          <w:lang w:val="en-GB"/>
        </w:rPr>
        <w:t xml:space="preserve">-20%), whereas only a small percentage has been found in codons 61 (5%) and 146 (5%). These point mutations impair the intrinsic ATPase activity of RAS and cause the accumulation of mutant proteins in the active conformation (GTP-bound). The latter leads </w:t>
      </w:r>
      <w:r w:rsidR="009E2BBC" w:rsidRPr="00EE48E2">
        <w:rPr>
          <w:rFonts w:ascii="Book Antiqua" w:hAnsi="Book Antiqua"/>
          <w:sz w:val="24"/>
          <w:szCs w:val="24"/>
          <w:lang w:val="en-GB"/>
        </w:rPr>
        <w:t>to</w:t>
      </w:r>
      <w:r w:rsidRPr="00EE48E2">
        <w:rPr>
          <w:rFonts w:ascii="Book Antiqua" w:hAnsi="Book Antiqua"/>
          <w:sz w:val="24"/>
          <w:szCs w:val="24"/>
          <w:lang w:val="en-GB"/>
        </w:rPr>
        <w:t xml:space="preserve"> constitutive MAPK pathway activation, regardless of the EGFR inhibition, that results in mitogenic and antiapoptotic </w:t>
      </w:r>
      <w:r w:rsidR="00DB342E" w:rsidRPr="00EE48E2">
        <w:rPr>
          <w:rFonts w:ascii="Book Antiqua" w:hAnsi="Book Antiqua"/>
          <w:sz w:val="24"/>
          <w:szCs w:val="24"/>
          <w:lang w:val="en-GB"/>
        </w:rPr>
        <w:t>signalling</w:t>
      </w:r>
      <w:r w:rsidRPr="00EE48E2">
        <w:rPr>
          <w:rFonts w:ascii="Book Antiqua" w:hAnsi="Book Antiqua"/>
          <w:sz w:val="24"/>
          <w:szCs w:val="24"/>
          <w:vertAlign w:val="superscript"/>
          <w:lang w:val="en-GB"/>
        </w:rPr>
        <w:t>[17]</w:t>
      </w:r>
      <w:r w:rsidR="00D6249B" w:rsidRPr="00EE48E2">
        <w:rPr>
          <w:rFonts w:ascii="Book Antiqua" w:hAnsi="Book Antiqua"/>
          <w:sz w:val="24"/>
          <w:szCs w:val="24"/>
          <w:lang w:val="en-GB"/>
        </w:rPr>
        <w:t xml:space="preserve">. </w:t>
      </w:r>
      <w:r w:rsidRPr="00EE48E2">
        <w:rPr>
          <w:rFonts w:ascii="Book Antiqua" w:hAnsi="Book Antiqua"/>
          <w:sz w:val="24"/>
          <w:szCs w:val="24"/>
          <w:lang w:val="en-GB"/>
        </w:rPr>
        <w:t xml:space="preserve">The mutational status of KRAS is highly concordant between the primary </w:t>
      </w:r>
      <w:r w:rsidR="00866858" w:rsidRPr="00EE48E2">
        <w:rPr>
          <w:rFonts w:ascii="Book Antiqua" w:hAnsi="Book Antiqua"/>
          <w:sz w:val="24"/>
          <w:szCs w:val="24"/>
          <w:lang w:val="en-GB"/>
        </w:rPr>
        <w:t>tumour</w:t>
      </w:r>
      <w:r w:rsidRPr="00EE48E2">
        <w:rPr>
          <w:rFonts w:ascii="Book Antiqua" w:hAnsi="Book Antiqua"/>
          <w:sz w:val="24"/>
          <w:szCs w:val="24"/>
          <w:lang w:val="en-GB"/>
        </w:rPr>
        <w:t xml:space="preserve"> and the metastasis, suggesting it</w:t>
      </w:r>
      <w:r w:rsidR="009E2BBC" w:rsidRPr="00EE48E2">
        <w:rPr>
          <w:rFonts w:ascii="Book Antiqua" w:hAnsi="Book Antiqua"/>
          <w:sz w:val="24"/>
          <w:szCs w:val="24"/>
          <w:lang w:val="en-GB"/>
        </w:rPr>
        <w:t xml:space="preserve"> has a</w:t>
      </w:r>
      <w:r w:rsidRPr="00EE48E2">
        <w:rPr>
          <w:rFonts w:ascii="Book Antiqua" w:hAnsi="Book Antiqua"/>
          <w:sz w:val="24"/>
          <w:szCs w:val="24"/>
          <w:lang w:val="en-GB"/>
        </w:rPr>
        <w:t xml:space="preserve"> role in the early processes of carcinogenesis</w:t>
      </w:r>
      <w:r w:rsidRPr="00EE48E2">
        <w:rPr>
          <w:rFonts w:ascii="Book Antiqua" w:hAnsi="Book Antiqua"/>
          <w:sz w:val="24"/>
          <w:szCs w:val="24"/>
          <w:vertAlign w:val="superscript"/>
          <w:lang w:val="en-GB"/>
        </w:rPr>
        <w:t>[24]</w:t>
      </w:r>
      <w:r w:rsidR="00D6249B" w:rsidRPr="00EE48E2">
        <w:rPr>
          <w:rFonts w:ascii="Book Antiqua" w:hAnsi="Book Antiqua"/>
          <w:sz w:val="24"/>
          <w:szCs w:val="24"/>
          <w:lang w:val="en-GB"/>
        </w:rPr>
        <w:t>.</w:t>
      </w:r>
    </w:p>
    <w:p w14:paraId="74301693" w14:textId="6AD56F09" w:rsidR="00363A1A" w:rsidRPr="00EE48E2" w:rsidRDefault="00EE48E2" w:rsidP="004D1833">
      <w:pPr>
        <w:adjustRightInd w:val="0"/>
        <w:snapToGrid w:val="0"/>
        <w:spacing w:after="0" w:line="360" w:lineRule="auto"/>
        <w:jc w:val="both"/>
        <w:rPr>
          <w:rFonts w:ascii="Book Antiqua" w:hAnsi="Book Antiqua"/>
          <w:sz w:val="24"/>
          <w:szCs w:val="24"/>
          <w:lang w:val="en-GB"/>
        </w:rPr>
      </w:pPr>
      <w:r w:rsidRPr="00EE48E2">
        <w:rPr>
          <w:rFonts w:ascii="Book Antiqua" w:hAnsi="Book Antiqua"/>
          <w:sz w:val="24"/>
          <w:szCs w:val="24"/>
          <w:lang w:val="en-GB"/>
        </w:rPr>
        <w:t xml:space="preserve"> </w:t>
      </w:r>
      <w:r w:rsidR="004174B8" w:rsidRPr="00EE48E2">
        <w:rPr>
          <w:rFonts w:ascii="Book Antiqua" w:hAnsi="Book Antiqua" w:hint="eastAsia"/>
          <w:sz w:val="24"/>
          <w:szCs w:val="24"/>
          <w:lang w:val="en-GB" w:eastAsia="zh-CN"/>
        </w:rPr>
        <w:t xml:space="preserve"> </w:t>
      </w:r>
      <w:r w:rsidR="00363A1A" w:rsidRPr="00EE48E2">
        <w:rPr>
          <w:rFonts w:ascii="Book Antiqua" w:hAnsi="Book Antiqua"/>
          <w:sz w:val="24"/>
          <w:szCs w:val="24"/>
          <w:lang w:val="en-GB"/>
        </w:rPr>
        <w:t>In the early clinical trials</w:t>
      </w:r>
      <w:r w:rsidR="00C45D40" w:rsidRPr="00EE48E2">
        <w:rPr>
          <w:rFonts w:ascii="Book Antiqua" w:hAnsi="Book Antiqua"/>
          <w:sz w:val="24"/>
          <w:szCs w:val="24"/>
          <w:lang w:val="en-GB"/>
        </w:rPr>
        <w:t xml:space="preserve"> in which</w:t>
      </w:r>
      <w:r w:rsidR="00363A1A" w:rsidRPr="00EE48E2">
        <w:rPr>
          <w:rFonts w:ascii="Book Antiqua" w:hAnsi="Book Antiqua"/>
          <w:sz w:val="24"/>
          <w:szCs w:val="24"/>
          <w:lang w:val="en-GB"/>
        </w:rPr>
        <w:t xml:space="preserve"> cetuximab and panitumumab</w:t>
      </w:r>
      <w:r w:rsidR="00C45D40" w:rsidRPr="00EE48E2">
        <w:rPr>
          <w:rFonts w:ascii="Book Antiqua" w:hAnsi="Book Antiqua"/>
          <w:sz w:val="24"/>
          <w:szCs w:val="24"/>
          <w:lang w:val="en-GB"/>
        </w:rPr>
        <w:t xml:space="preserve"> were </w:t>
      </w:r>
      <w:r w:rsidR="00363A1A" w:rsidRPr="00EE48E2">
        <w:rPr>
          <w:rFonts w:ascii="Book Antiqua" w:hAnsi="Book Antiqua"/>
          <w:sz w:val="24"/>
          <w:szCs w:val="24"/>
          <w:lang w:val="en-GB"/>
        </w:rPr>
        <w:t>used as</w:t>
      </w:r>
      <w:r w:rsidR="00C45D40" w:rsidRPr="00EE48E2">
        <w:rPr>
          <w:rFonts w:ascii="Book Antiqua" w:hAnsi="Book Antiqua"/>
          <w:sz w:val="24"/>
          <w:szCs w:val="24"/>
          <w:lang w:val="en-GB"/>
        </w:rPr>
        <w:t xml:space="preserve"> </w:t>
      </w:r>
      <w:r w:rsidR="00363A1A" w:rsidRPr="00EE48E2">
        <w:rPr>
          <w:rFonts w:ascii="Book Antiqua" w:hAnsi="Book Antiqua"/>
          <w:sz w:val="24"/>
          <w:szCs w:val="24"/>
          <w:lang w:val="en-GB"/>
        </w:rPr>
        <w:t>monotherap</w:t>
      </w:r>
      <w:r w:rsidR="001743FD" w:rsidRPr="00EE48E2">
        <w:rPr>
          <w:rFonts w:ascii="Book Antiqua" w:hAnsi="Book Antiqua"/>
          <w:sz w:val="24"/>
          <w:szCs w:val="24"/>
          <w:lang w:val="en-GB"/>
        </w:rPr>
        <w:t>ies</w:t>
      </w:r>
      <w:r w:rsidR="00363A1A" w:rsidRPr="00EE48E2">
        <w:rPr>
          <w:rFonts w:ascii="Book Antiqua" w:hAnsi="Book Antiqua"/>
          <w:sz w:val="24"/>
          <w:szCs w:val="24"/>
          <w:lang w:val="en-GB"/>
        </w:rPr>
        <w:t xml:space="preserve"> to treat patients with chemorefractory mCRC, an objective response rate (ORR) of only 10%</w:t>
      </w:r>
      <w:r w:rsidR="00C45D40" w:rsidRPr="00EE48E2">
        <w:rPr>
          <w:rFonts w:ascii="Book Antiqua" w:hAnsi="Book Antiqua"/>
          <w:sz w:val="24"/>
          <w:szCs w:val="24"/>
          <w:lang w:val="en-GB"/>
        </w:rPr>
        <w:t xml:space="preserve"> was achieved</w:t>
      </w:r>
      <w:r w:rsidR="004174B8" w:rsidRPr="00EE48E2">
        <w:rPr>
          <w:rFonts w:ascii="Book Antiqua" w:hAnsi="Book Antiqua"/>
          <w:sz w:val="24"/>
          <w:szCs w:val="24"/>
          <w:vertAlign w:val="superscript"/>
          <w:lang w:val="en-GB"/>
        </w:rPr>
        <w:t>[10,</w:t>
      </w:r>
      <w:r w:rsidR="00363A1A" w:rsidRPr="00EE48E2">
        <w:rPr>
          <w:rFonts w:ascii="Book Antiqua" w:hAnsi="Book Antiqua"/>
          <w:sz w:val="24"/>
          <w:szCs w:val="24"/>
          <w:vertAlign w:val="superscript"/>
          <w:lang w:val="en-GB"/>
        </w:rPr>
        <w:t>11]</w:t>
      </w:r>
      <w:r w:rsidR="00D6249B" w:rsidRPr="00EE48E2">
        <w:rPr>
          <w:rFonts w:ascii="Book Antiqua" w:hAnsi="Book Antiqua"/>
          <w:sz w:val="24"/>
          <w:szCs w:val="24"/>
          <w:lang w:val="en-GB"/>
        </w:rPr>
        <w:t xml:space="preserve">; </w:t>
      </w:r>
      <w:r w:rsidR="00363A1A" w:rsidRPr="00EE48E2">
        <w:rPr>
          <w:rFonts w:ascii="Book Antiqua" w:hAnsi="Book Antiqua"/>
          <w:sz w:val="24"/>
          <w:szCs w:val="24"/>
          <w:lang w:val="en-GB"/>
        </w:rPr>
        <w:t xml:space="preserve">these findings </w:t>
      </w:r>
      <w:r w:rsidR="00306667" w:rsidRPr="00EE48E2">
        <w:rPr>
          <w:rFonts w:ascii="Book Antiqua" w:hAnsi="Book Antiqua"/>
          <w:sz w:val="24"/>
          <w:szCs w:val="24"/>
          <w:lang w:val="en-GB"/>
        </w:rPr>
        <w:t xml:space="preserve">motivated </w:t>
      </w:r>
      <w:r w:rsidR="00363A1A" w:rsidRPr="00EE48E2">
        <w:rPr>
          <w:rFonts w:ascii="Book Antiqua" w:hAnsi="Book Antiqua"/>
          <w:sz w:val="24"/>
          <w:szCs w:val="24"/>
          <w:lang w:val="en-GB"/>
        </w:rPr>
        <w:t xml:space="preserve">researchers to </w:t>
      </w:r>
      <w:r w:rsidR="006517F9" w:rsidRPr="00EE48E2">
        <w:rPr>
          <w:rFonts w:ascii="Book Antiqua" w:hAnsi="Book Antiqua"/>
          <w:sz w:val="24"/>
          <w:szCs w:val="24"/>
          <w:lang w:val="en-GB"/>
        </w:rPr>
        <w:t>elucidate</w:t>
      </w:r>
      <w:r w:rsidR="00306667" w:rsidRPr="00EE48E2">
        <w:rPr>
          <w:rFonts w:ascii="Book Antiqua" w:hAnsi="Book Antiqua"/>
          <w:sz w:val="24"/>
          <w:szCs w:val="24"/>
          <w:lang w:val="en-GB"/>
        </w:rPr>
        <w:t xml:space="preserve"> the </w:t>
      </w:r>
      <w:r w:rsidR="00363A1A" w:rsidRPr="00EE48E2">
        <w:rPr>
          <w:rFonts w:ascii="Book Antiqua" w:hAnsi="Book Antiqua"/>
          <w:sz w:val="24"/>
          <w:szCs w:val="24"/>
          <w:lang w:val="en-GB"/>
        </w:rPr>
        <w:t xml:space="preserve">factors </w:t>
      </w:r>
      <w:r w:rsidR="00306667" w:rsidRPr="00EE48E2">
        <w:rPr>
          <w:rFonts w:ascii="Book Antiqua" w:hAnsi="Book Antiqua"/>
          <w:sz w:val="24"/>
          <w:szCs w:val="24"/>
          <w:lang w:val="en-GB"/>
        </w:rPr>
        <w:t xml:space="preserve">that were negatively impacting the efficacy of </w:t>
      </w:r>
      <w:r w:rsidR="00363A1A" w:rsidRPr="00EE48E2">
        <w:rPr>
          <w:rFonts w:ascii="Book Antiqua" w:hAnsi="Book Antiqua"/>
          <w:sz w:val="24"/>
          <w:szCs w:val="24"/>
          <w:lang w:val="en-GB"/>
        </w:rPr>
        <w:t xml:space="preserve">these drugs. In particular, retrospective analysis of KRAS mutational status from </w:t>
      </w:r>
      <w:r w:rsidR="00866858" w:rsidRPr="00EE48E2">
        <w:rPr>
          <w:rFonts w:ascii="Book Antiqua" w:hAnsi="Book Antiqua"/>
          <w:sz w:val="24"/>
          <w:szCs w:val="24"/>
          <w:lang w:val="en-GB"/>
        </w:rPr>
        <w:t>tumour</w:t>
      </w:r>
      <w:r w:rsidR="00363A1A" w:rsidRPr="00EE48E2">
        <w:rPr>
          <w:rFonts w:ascii="Book Antiqua" w:hAnsi="Book Antiqua"/>
          <w:sz w:val="24"/>
          <w:szCs w:val="24"/>
          <w:lang w:val="en-GB"/>
        </w:rPr>
        <w:t xml:space="preserve"> samples of several randomized trials were able to strongly support the hypothesis that the </w:t>
      </w:r>
      <w:r w:rsidR="00363A1A" w:rsidRPr="00EE48E2">
        <w:rPr>
          <w:rFonts w:ascii="Book Antiqua" w:hAnsi="Book Antiqua"/>
          <w:i/>
          <w:sz w:val="24"/>
          <w:szCs w:val="24"/>
          <w:lang w:val="en-GB"/>
        </w:rPr>
        <w:t>KRAS</w:t>
      </w:r>
      <w:r w:rsidR="00363A1A" w:rsidRPr="00EE48E2">
        <w:rPr>
          <w:rFonts w:ascii="Book Antiqua" w:hAnsi="Book Antiqua"/>
          <w:sz w:val="24"/>
          <w:szCs w:val="24"/>
          <w:lang w:val="en-GB"/>
        </w:rPr>
        <w:t xml:space="preserve"> mutations in codons 12 and 13 (exon 2) were associated with the lack of </w:t>
      </w:r>
      <w:r w:rsidR="00306667" w:rsidRPr="00EE48E2">
        <w:rPr>
          <w:rFonts w:ascii="Book Antiqua" w:hAnsi="Book Antiqua"/>
          <w:sz w:val="24"/>
          <w:szCs w:val="24"/>
          <w:lang w:val="en-GB"/>
        </w:rPr>
        <w:t xml:space="preserve">patient </w:t>
      </w:r>
      <w:r w:rsidR="00363A1A" w:rsidRPr="00EE48E2">
        <w:rPr>
          <w:rFonts w:ascii="Book Antiqua" w:hAnsi="Book Antiqua"/>
          <w:sz w:val="24"/>
          <w:szCs w:val="24"/>
          <w:lang w:val="en-GB"/>
        </w:rPr>
        <w:t>response to EGFR moAbs</w:t>
      </w:r>
      <w:r w:rsidR="00363A1A" w:rsidRPr="00EE48E2">
        <w:rPr>
          <w:rFonts w:ascii="Book Antiqua" w:hAnsi="Book Antiqua"/>
          <w:sz w:val="24"/>
          <w:szCs w:val="24"/>
          <w:vertAlign w:val="superscript"/>
          <w:lang w:val="en-GB"/>
        </w:rPr>
        <w:t>[</w:t>
      </w:r>
      <w:r w:rsidR="004174B8" w:rsidRPr="00EE48E2">
        <w:rPr>
          <w:rFonts w:ascii="Book Antiqua" w:hAnsi="Book Antiqua"/>
          <w:sz w:val="24"/>
          <w:szCs w:val="24"/>
          <w:vertAlign w:val="superscript"/>
          <w:lang w:val="en-GB"/>
        </w:rPr>
        <w:t>17,</w:t>
      </w:r>
      <w:r w:rsidR="00363A1A" w:rsidRPr="00EE48E2">
        <w:rPr>
          <w:rFonts w:ascii="Book Antiqua" w:hAnsi="Book Antiqua"/>
          <w:sz w:val="24"/>
          <w:szCs w:val="24"/>
          <w:vertAlign w:val="superscript"/>
          <w:lang w:val="en-GB"/>
        </w:rPr>
        <w:t>25-27]</w:t>
      </w:r>
      <w:r w:rsidR="00363A1A" w:rsidRPr="00EE48E2">
        <w:rPr>
          <w:rFonts w:ascii="Book Antiqua" w:hAnsi="Book Antiqua"/>
          <w:sz w:val="24"/>
          <w:szCs w:val="24"/>
          <w:lang w:val="en-GB"/>
        </w:rPr>
        <w:t>. All together</w:t>
      </w:r>
      <w:r w:rsidR="00306667" w:rsidRPr="00EE48E2">
        <w:rPr>
          <w:rFonts w:ascii="Book Antiqua" w:hAnsi="Book Antiqua"/>
          <w:sz w:val="24"/>
          <w:szCs w:val="24"/>
          <w:lang w:val="en-GB"/>
        </w:rPr>
        <w:t>,</w:t>
      </w:r>
      <w:r w:rsidR="00363A1A" w:rsidRPr="00EE48E2">
        <w:rPr>
          <w:rFonts w:ascii="Book Antiqua" w:hAnsi="Book Antiqua"/>
          <w:sz w:val="24"/>
          <w:szCs w:val="24"/>
          <w:lang w:val="en-GB"/>
        </w:rPr>
        <w:t xml:space="preserve"> </w:t>
      </w:r>
      <w:r w:rsidR="00306667" w:rsidRPr="00EE48E2">
        <w:rPr>
          <w:rFonts w:ascii="Book Antiqua" w:hAnsi="Book Antiqua"/>
          <w:sz w:val="24"/>
          <w:szCs w:val="24"/>
          <w:lang w:val="en-GB"/>
        </w:rPr>
        <w:t xml:space="preserve">the evidence </w:t>
      </w:r>
      <w:r w:rsidR="00363A1A" w:rsidRPr="00EE48E2">
        <w:rPr>
          <w:rFonts w:ascii="Book Antiqua" w:hAnsi="Book Antiqua"/>
          <w:sz w:val="24"/>
          <w:szCs w:val="24"/>
          <w:lang w:val="en-GB"/>
        </w:rPr>
        <w:t>led the American and European health authorities in 2009 to restrict the use of panitumumab and cetuximab only to the</w:t>
      </w:r>
      <w:r w:rsidR="00DB342E" w:rsidRPr="00EE48E2">
        <w:rPr>
          <w:rFonts w:ascii="Book Antiqua" w:hAnsi="Book Antiqua"/>
          <w:sz w:val="24"/>
          <w:szCs w:val="24"/>
          <w:lang w:val="en-GB"/>
        </w:rPr>
        <w:t xml:space="preserve"> approximately 6</w:t>
      </w:r>
      <w:r w:rsidR="00363A1A" w:rsidRPr="00EE48E2">
        <w:rPr>
          <w:rFonts w:ascii="Book Antiqua" w:hAnsi="Book Antiqua"/>
          <w:sz w:val="24"/>
          <w:szCs w:val="24"/>
          <w:lang w:val="en-GB"/>
        </w:rPr>
        <w:t xml:space="preserve">0% of patients with </w:t>
      </w:r>
      <w:r w:rsidR="00363A1A" w:rsidRPr="00EE48E2">
        <w:rPr>
          <w:rFonts w:ascii="Book Antiqua" w:hAnsi="Book Antiqua"/>
          <w:i/>
          <w:sz w:val="24"/>
          <w:szCs w:val="24"/>
          <w:lang w:val="en-GB"/>
        </w:rPr>
        <w:t>KRAS</w:t>
      </w:r>
      <w:r w:rsidR="00363A1A" w:rsidRPr="00EE48E2">
        <w:rPr>
          <w:rFonts w:ascii="Book Antiqua" w:hAnsi="Book Antiqua"/>
          <w:sz w:val="24"/>
          <w:szCs w:val="24"/>
          <w:lang w:val="en-GB"/>
        </w:rPr>
        <w:t xml:space="preserve"> exon 2 WT </w:t>
      </w:r>
      <w:r w:rsidR="00866858" w:rsidRPr="00EE48E2">
        <w:rPr>
          <w:rFonts w:ascii="Book Antiqua" w:hAnsi="Book Antiqua"/>
          <w:sz w:val="24"/>
          <w:szCs w:val="24"/>
          <w:lang w:val="en-GB"/>
        </w:rPr>
        <w:t>tumour</w:t>
      </w:r>
      <w:r w:rsidR="00363A1A" w:rsidRPr="00EE48E2">
        <w:rPr>
          <w:rFonts w:ascii="Book Antiqua" w:hAnsi="Book Antiqua"/>
          <w:sz w:val="24"/>
          <w:szCs w:val="24"/>
          <w:lang w:val="en-GB"/>
        </w:rPr>
        <w:t>s</w:t>
      </w:r>
      <w:r w:rsidR="00363A1A" w:rsidRPr="00EE48E2">
        <w:rPr>
          <w:rFonts w:ascii="Book Antiqua" w:hAnsi="Book Antiqua"/>
          <w:sz w:val="24"/>
          <w:szCs w:val="24"/>
          <w:vertAlign w:val="superscript"/>
          <w:lang w:val="en-GB"/>
        </w:rPr>
        <w:t>[</w:t>
      </w:r>
      <w:r w:rsidR="000854ED">
        <w:rPr>
          <w:rFonts w:ascii="Book Antiqua" w:hAnsi="Book Antiqua" w:hint="eastAsia"/>
          <w:sz w:val="24"/>
          <w:szCs w:val="24"/>
          <w:vertAlign w:val="superscript"/>
          <w:lang w:val="en-GB" w:eastAsia="zh-CN"/>
        </w:rPr>
        <w:t>26,</w:t>
      </w:r>
      <w:r w:rsidR="00363A1A" w:rsidRPr="00EE48E2">
        <w:rPr>
          <w:rFonts w:ascii="Book Antiqua" w:hAnsi="Book Antiqua"/>
          <w:sz w:val="24"/>
          <w:szCs w:val="24"/>
          <w:vertAlign w:val="superscript"/>
          <w:lang w:val="en-GB"/>
        </w:rPr>
        <w:t>28-3</w:t>
      </w:r>
      <w:r w:rsidR="000854ED">
        <w:rPr>
          <w:rFonts w:ascii="Book Antiqua" w:hAnsi="Book Antiqua" w:hint="eastAsia"/>
          <w:sz w:val="24"/>
          <w:szCs w:val="24"/>
          <w:vertAlign w:val="superscript"/>
          <w:lang w:val="en-GB" w:eastAsia="zh-CN"/>
        </w:rPr>
        <w:t>1</w:t>
      </w:r>
      <w:r w:rsidR="00363A1A" w:rsidRPr="00EE48E2">
        <w:rPr>
          <w:rFonts w:ascii="Book Antiqua" w:hAnsi="Book Antiqua"/>
          <w:sz w:val="24"/>
          <w:szCs w:val="24"/>
          <w:vertAlign w:val="superscript"/>
          <w:lang w:val="en-GB"/>
        </w:rPr>
        <w:t>]</w:t>
      </w:r>
      <w:r w:rsidR="00D6249B" w:rsidRPr="00EE48E2">
        <w:rPr>
          <w:rFonts w:ascii="Book Antiqua" w:hAnsi="Book Antiqua"/>
          <w:sz w:val="24"/>
          <w:szCs w:val="24"/>
          <w:lang w:val="en-GB"/>
        </w:rPr>
        <w:t>.</w:t>
      </w:r>
    </w:p>
    <w:p w14:paraId="73DEED2D" w14:textId="57A42BEF" w:rsidR="00363A1A" w:rsidRPr="00EE48E2" w:rsidRDefault="00EE48E2" w:rsidP="004D1833">
      <w:pPr>
        <w:adjustRightInd w:val="0"/>
        <w:snapToGrid w:val="0"/>
        <w:spacing w:after="0" w:line="360" w:lineRule="auto"/>
        <w:jc w:val="both"/>
        <w:rPr>
          <w:rFonts w:ascii="Book Antiqua" w:hAnsi="Book Antiqua"/>
          <w:sz w:val="24"/>
          <w:szCs w:val="24"/>
          <w:lang w:val="en-GB"/>
        </w:rPr>
      </w:pPr>
      <w:r w:rsidRPr="00EE48E2">
        <w:rPr>
          <w:rFonts w:ascii="Book Antiqua" w:hAnsi="Book Antiqua"/>
          <w:sz w:val="24"/>
          <w:szCs w:val="24"/>
          <w:lang w:val="en-GB"/>
        </w:rPr>
        <w:t xml:space="preserve">  </w:t>
      </w:r>
      <w:r w:rsidR="00363A1A" w:rsidRPr="00EE48E2">
        <w:rPr>
          <w:rFonts w:ascii="Book Antiqua" w:hAnsi="Book Antiqua"/>
          <w:sz w:val="24"/>
          <w:szCs w:val="24"/>
          <w:lang w:val="en-GB"/>
        </w:rPr>
        <w:t>Nevertheless,</w:t>
      </w:r>
      <w:r w:rsidR="00DB342E" w:rsidRPr="00EE48E2">
        <w:rPr>
          <w:rFonts w:ascii="Book Antiqua" w:hAnsi="Book Antiqua"/>
          <w:sz w:val="24"/>
          <w:szCs w:val="24"/>
          <w:lang w:val="en-GB"/>
        </w:rPr>
        <w:t xml:space="preserve"> because </w:t>
      </w:r>
      <w:r w:rsidR="00363A1A" w:rsidRPr="00EE48E2">
        <w:rPr>
          <w:rFonts w:ascii="Book Antiqua" w:hAnsi="Book Antiqua"/>
          <w:sz w:val="24"/>
          <w:szCs w:val="24"/>
          <w:lang w:val="en-GB"/>
        </w:rPr>
        <w:t xml:space="preserve">not all KRAS WT patients benefit from treatment with EGFR-directed therapy, researchers have tried to identify additional biomarkers of resistance that could explain this heterogeneity in clinical response. In particular, the retrospective analysis of </w:t>
      </w:r>
      <w:r w:rsidR="005417F3" w:rsidRPr="00EE48E2">
        <w:rPr>
          <w:rFonts w:ascii="Book Antiqua" w:hAnsi="Book Antiqua"/>
          <w:sz w:val="24"/>
          <w:szCs w:val="24"/>
          <w:lang w:val="en-GB"/>
        </w:rPr>
        <w:t xml:space="preserve">the </w:t>
      </w:r>
      <w:r w:rsidR="00363A1A" w:rsidRPr="00EE48E2">
        <w:rPr>
          <w:rFonts w:ascii="Book Antiqua" w:hAnsi="Book Antiqua"/>
          <w:sz w:val="24"/>
          <w:szCs w:val="24"/>
          <w:lang w:val="en-GB"/>
        </w:rPr>
        <w:t>PRIME trial assessed the efficacy and safety of panitumumab plus oxaliplatin, fluorouracil, and leucovorin (FOLFOX4)</w:t>
      </w:r>
      <w:r w:rsidR="00DB342E" w:rsidRPr="00EE48E2">
        <w:rPr>
          <w:rFonts w:ascii="Book Antiqua" w:hAnsi="Book Antiqua"/>
          <w:sz w:val="24"/>
          <w:szCs w:val="24"/>
          <w:lang w:val="en-GB"/>
        </w:rPr>
        <w:t xml:space="preserve"> compared </w:t>
      </w:r>
      <w:r w:rsidR="00363A1A" w:rsidRPr="00EE48E2">
        <w:rPr>
          <w:rFonts w:ascii="Book Antiqua" w:hAnsi="Book Antiqua"/>
          <w:sz w:val="24"/>
          <w:szCs w:val="24"/>
          <w:lang w:val="en-GB"/>
        </w:rPr>
        <w:t>with chemotherapy alone in first</w:t>
      </w:r>
      <w:r w:rsidR="005417F3" w:rsidRPr="00EE48E2">
        <w:rPr>
          <w:rFonts w:ascii="Book Antiqua" w:hAnsi="Book Antiqua"/>
          <w:sz w:val="24"/>
          <w:szCs w:val="24"/>
          <w:lang w:val="en-GB"/>
        </w:rPr>
        <w:t>-</w:t>
      </w:r>
      <w:r w:rsidR="00363A1A" w:rsidRPr="00EE48E2">
        <w:rPr>
          <w:rFonts w:ascii="Book Antiqua" w:hAnsi="Book Antiqua"/>
          <w:sz w:val="24"/>
          <w:szCs w:val="24"/>
          <w:lang w:val="en-GB"/>
        </w:rPr>
        <w:t>line mCRC patients, according to RAS (</w:t>
      </w:r>
      <w:r w:rsidR="00363A1A" w:rsidRPr="00EE48E2">
        <w:rPr>
          <w:rFonts w:ascii="Book Antiqua" w:hAnsi="Book Antiqua"/>
          <w:i/>
          <w:sz w:val="24"/>
          <w:szCs w:val="24"/>
          <w:lang w:val="en-GB"/>
        </w:rPr>
        <w:t>KRAS</w:t>
      </w:r>
      <w:r w:rsidR="00363A1A" w:rsidRPr="00EE48E2">
        <w:rPr>
          <w:rFonts w:ascii="Book Antiqua" w:hAnsi="Book Antiqua"/>
          <w:sz w:val="24"/>
          <w:szCs w:val="24"/>
          <w:lang w:val="en-GB"/>
        </w:rPr>
        <w:t xml:space="preserve"> or </w:t>
      </w:r>
      <w:r w:rsidR="00363A1A" w:rsidRPr="00EE48E2">
        <w:rPr>
          <w:rFonts w:ascii="Book Antiqua" w:hAnsi="Book Antiqua"/>
          <w:i/>
          <w:sz w:val="24"/>
          <w:szCs w:val="24"/>
          <w:lang w:val="en-GB"/>
        </w:rPr>
        <w:t>NRAS</w:t>
      </w:r>
      <w:r w:rsidR="00363A1A" w:rsidRPr="00EE48E2">
        <w:rPr>
          <w:rFonts w:ascii="Book Antiqua" w:hAnsi="Book Antiqua"/>
          <w:sz w:val="24"/>
          <w:szCs w:val="24"/>
          <w:lang w:val="en-GB"/>
        </w:rPr>
        <w:t xml:space="preserve">) mutation status. The results suggested that even mutations occurring in exon 3 (comprising codons 59 and 61), and exon 4 (which includes codons 117 and 146) of KRAS as well as mutations in exons 2, </w:t>
      </w:r>
      <w:r w:rsidR="00363A1A" w:rsidRPr="00EE48E2">
        <w:rPr>
          <w:rFonts w:ascii="Book Antiqua" w:hAnsi="Book Antiqua"/>
          <w:sz w:val="24"/>
          <w:szCs w:val="24"/>
          <w:lang w:val="en-GB"/>
        </w:rPr>
        <w:lastRenderedPageBreak/>
        <w:t>3 and 4 of NRAS (all together called “expanded RAS mutations”) can also be predictive of resistance to anti-EGFR treatments. These data were subsequently confirmed by the analyses of other phase II and III clinical studies</w:t>
      </w:r>
      <w:r w:rsidR="00363A1A" w:rsidRPr="00EE48E2">
        <w:rPr>
          <w:rFonts w:ascii="Book Antiqua" w:hAnsi="Book Antiqua"/>
          <w:sz w:val="24"/>
          <w:szCs w:val="24"/>
          <w:vertAlign w:val="superscript"/>
          <w:lang w:val="en-GB"/>
        </w:rPr>
        <w:t>[3</w:t>
      </w:r>
      <w:r w:rsidR="00490E4E">
        <w:rPr>
          <w:rFonts w:ascii="Book Antiqua" w:hAnsi="Book Antiqua" w:hint="eastAsia"/>
          <w:sz w:val="24"/>
          <w:szCs w:val="24"/>
          <w:vertAlign w:val="superscript"/>
          <w:lang w:val="en-GB" w:eastAsia="zh-CN"/>
        </w:rPr>
        <w:t>2</w:t>
      </w:r>
      <w:r w:rsidR="00363A1A" w:rsidRPr="00EE48E2">
        <w:rPr>
          <w:rFonts w:ascii="Book Antiqua" w:hAnsi="Book Antiqua"/>
          <w:sz w:val="24"/>
          <w:szCs w:val="24"/>
          <w:vertAlign w:val="superscript"/>
          <w:lang w:val="en-GB"/>
        </w:rPr>
        <w:t>-3</w:t>
      </w:r>
      <w:r w:rsidR="00490E4E">
        <w:rPr>
          <w:rFonts w:ascii="Book Antiqua" w:hAnsi="Book Antiqua" w:hint="eastAsia"/>
          <w:sz w:val="24"/>
          <w:szCs w:val="24"/>
          <w:vertAlign w:val="superscript"/>
          <w:lang w:val="en-GB" w:eastAsia="zh-CN"/>
        </w:rPr>
        <w:t>6</w:t>
      </w:r>
      <w:r w:rsidR="00363A1A" w:rsidRPr="00EE48E2">
        <w:rPr>
          <w:rFonts w:ascii="Book Antiqua" w:hAnsi="Book Antiqua"/>
          <w:sz w:val="24"/>
          <w:szCs w:val="24"/>
          <w:vertAlign w:val="superscript"/>
          <w:lang w:val="en-GB"/>
        </w:rPr>
        <w:t>]</w:t>
      </w:r>
      <w:r w:rsidR="00D6249B" w:rsidRPr="00EE48E2">
        <w:rPr>
          <w:rFonts w:ascii="Book Antiqua" w:hAnsi="Book Antiqua"/>
          <w:sz w:val="24"/>
          <w:szCs w:val="24"/>
          <w:lang w:val="en-GB"/>
        </w:rPr>
        <w:t>.</w:t>
      </w:r>
      <w:r w:rsidR="00363A1A" w:rsidRPr="00EE48E2">
        <w:rPr>
          <w:rFonts w:ascii="Book Antiqua" w:hAnsi="Book Antiqua"/>
          <w:sz w:val="24"/>
          <w:szCs w:val="24"/>
          <w:lang w:val="en-GB"/>
        </w:rPr>
        <w:t xml:space="preserve"> In these trials</w:t>
      </w:r>
      <w:r w:rsidR="002F11AF" w:rsidRPr="00EE48E2">
        <w:rPr>
          <w:rFonts w:ascii="Book Antiqua" w:hAnsi="Book Antiqua"/>
          <w:sz w:val="24"/>
          <w:szCs w:val="24"/>
          <w:lang w:val="en-GB"/>
        </w:rPr>
        <w:t>,</w:t>
      </w:r>
      <w:r w:rsidR="00363A1A" w:rsidRPr="00EE48E2">
        <w:rPr>
          <w:rFonts w:ascii="Book Antiqua" w:hAnsi="Book Antiqua"/>
          <w:sz w:val="24"/>
          <w:szCs w:val="24"/>
          <w:lang w:val="en-GB"/>
        </w:rPr>
        <w:t xml:space="preserve"> the prevalence of the expanded RAS mutations in patients defined </w:t>
      </w:r>
      <w:r w:rsidR="002F11AF" w:rsidRPr="00EE48E2">
        <w:rPr>
          <w:rFonts w:ascii="Book Antiqua" w:hAnsi="Book Antiqua"/>
          <w:sz w:val="24"/>
          <w:szCs w:val="24"/>
          <w:lang w:val="en-GB"/>
        </w:rPr>
        <w:t xml:space="preserve">as </w:t>
      </w:r>
      <w:r w:rsidR="00363A1A" w:rsidRPr="00EE48E2">
        <w:rPr>
          <w:rFonts w:ascii="Book Antiqua" w:hAnsi="Book Antiqua"/>
          <w:sz w:val="24"/>
          <w:szCs w:val="24"/>
          <w:lang w:val="en-GB"/>
        </w:rPr>
        <w:t>WT at exon 2 of KRAS ranged from 15% to 27%. Thus, considering all KRAS and NRAS mutations,</w:t>
      </w:r>
      <w:r w:rsidR="00DB342E" w:rsidRPr="00EE48E2">
        <w:rPr>
          <w:rFonts w:ascii="Book Antiqua" w:hAnsi="Book Antiqua"/>
          <w:sz w:val="24"/>
          <w:szCs w:val="24"/>
          <w:lang w:val="en-GB"/>
        </w:rPr>
        <w:t xml:space="preserve"> approximately 5</w:t>
      </w:r>
      <w:r w:rsidR="00363A1A" w:rsidRPr="00EE48E2">
        <w:rPr>
          <w:rFonts w:ascii="Book Antiqua" w:hAnsi="Book Antiqua"/>
          <w:sz w:val="24"/>
          <w:szCs w:val="24"/>
          <w:lang w:val="en-GB"/>
        </w:rPr>
        <w:t xml:space="preserve">3% of patients with mCRC are considered </w:t>
      </w:r>
      <w:r w:rsidR="002F11AF" w:rsidRPr="00EE48E2">
        <w:rPr>
          <w:rFonts w:ascii="Book Antiqua" w:hAnsi="Book Antiqua"/>
          <w:sz w:val="24"/>
          <w:szCs w:val="24"/>
          <w:lang w:val="en-GB"/>
        </w:rPr>
        <w:t xml:space="preserve">to have </w:t>
      </w:r>
      <w:r w:rsidR="00363A1A" w:rsidRPr="00EE48E2">
        <w:rPr>
          <w:rFonts w:ascii="Book Antiqua" w:hAnsi="Book Antiqua"/>
          <w:sz w:val="24"/>
          <w:szCs w:val="24"/>
          <w:lang w:val="en-GB"/>
        </w:rPr>
        <w:t>mutat</w:t>
      </w:r>
      <w:r w:rsidR="002F11AF" w:rsidRPr="00EE48E2">
        <w:rPr>
          <w:rFonts w:ascii="Book Antiqua" w:hAnsi="Book Antiqua"/>
          <w:sz w:val="24"/>
          <w:szCs w:val="24"/>
          <w:lang w:val="en-GB"/>
        </w:rPr>
        <w:t>ions</w:t>
      </w:r>
      <w:r w:rsidR="00363A1A" w:rsidRPr="00EE48E2">
        <w:rPr>
          <w:rFonts w:ascii="Book Antiqua" w:hAnsi="Book Antiqua"/>
          <w:sz w:val="24"/>
          <w:szCs w:val="24"/>
          <w:lang w:val="en-GB"/>
        </w:rPr>
        <w:t xml:space="preserve"> </w:t>
      </w:r>
      <w:r w:rsidR="00A221AE" w:rsidRPr="00EE48E2">
        <w:rPr>
          <w:rFonts w:ascii="Book Antiqua" w:hAnsi="Book Antiqua"/>
          <w:sz w:val="24"/>
          <w:szCs w:val="24"/>
          <w:lang w:val="en-GB"/>
        </w:rPr>
        <w:t>in</w:t>
      </w:r>
      <w:r w:rsidR="00363A1A" w:rsidRPr="00EE48E2">
        <w:rPr>
          <w:rFonts w:ascii="Book Antiqua" w:hAnsi="Book Antiqua"/>
          <w:sz w:val="24"/>
          <w:szCs w:val="24"/>
          <w:lang w:val="en-GB"/>
        </w:rPr>
        <w:t xml:space="preserve"> RAS and</w:t>
      </w:r>
      <w:r w:rsidR="00A221AE" w:rsidRPr="00EE48E2">
        <w:rPr>
          <w:rFonts w:ascii="Book Antiqua" w:hAnsi="Book Antiqua"/>
          <w:sz w:val="24"/>
          <w:szCs w:val="24"/>
          <w:lang w:val="en-GB"/>
        </w:rPr>
        <w:t>,</w:t>
      </w:r>
      <w:r w:rsidR="00363A1A" w:rsidRPr="00EE48E2">
        <w:rPr>
          <w:rFonts w:ascii="Book Antiqua" w:hAnsi="Book Antiqua"/>
          <w:sz w:val="24"/>
          <w:szCs w:val="24"/>
          <w:lang w:val="en-GB"/>
        </w:rPr>
        <w:t xml:space="preserve"> </w:t>
      </w:r>
      <w:r w:rsidR="00A221AE" w:rsidRPr="00EE48E2">
        <w:rPr>
          <w:rFonts w:ascii="Book Antiqua" w:hAnsi="Book Antiqua"/>
          <w:sz w:val="24"/>
          <w:szCs w:val="24"/>
          <w:lang w:val="en-GB"/>
        </w:rPr>
        <w:t>therefore,</w:t>
      </w:r>
      <w:r w:rsidR="00363A1A" w:rsidRPr="00EE48E2">
        <w:rPr>
          <w:rFonts w:ascii="Book Antiqua" w:hAnsi="Book Antiqua"/>
          <w:sz w:val="24"/>
          <w:szCs w:val="24"/>
          <w:lang w:val="en-GB"/>
        </w:rPr>
        <w:t xml:space="preserve"> </w:t>
      </w:r>
      <w:r w:rsidR="00A221AE" w:rsidRPr="00EE48E2">
        <w:rPr>
          <w:rFonts w:ascii="Book Antiqua" w:hAnsi="Book Antiqua"/>
          <w:sz w:val="24"/>
          <w:szCs w:val="24"/>
          <w:lang w:val="en-GB"/>
        </w:rPr>
        <w:t xml:space="preserve">to be </w:t>
      </w:r>
      <w:r w:rsidR="00363A1A" w:rsidRPr="00EE48E2">
        <w:rPr>
          <w:rFonts w:ascii="Book Antiqua" w:hAnsi="Book Antiqua"/>
          <w:sz w:val="24"/>
          <w:szCs w:val="24"/>
          <w:lang w:val="en-GB"/>
        </w:rPr>
        <w:t>refractory to EGFR blockade</w:t>
      </w:r>
      <w:r w:rsidR="00363A1A" w:rsidRPr="00EE48E2">
        <w:rPr>
          <w:rFonts w:ascii="Book Antiqua" w:hAnsi="Book Antiqua"/>
          <w:sz w:val="24"/>
          <w:szCs w:val="24"/>
          <w:vertAlign w:val="superscript"/>
          <w:lang w:val="en-GB"/>
        </w:rPr>
        <w:t>[3</w:t>
      </w:r>
      <w:r w:rsidR="00490E4E">
        <w:rPr>
          <w:rFonts w:ascii="Book Antiqua" w:hAnsi="Book Antiqua" w:hint="eastAsia"/>
          <w:sz w:val="24"/>
          <w:szCs w:val="24"/>
          <w:vertAlign w:val="superscript"/>
          <w:lang w:val="en-GB" w:eastAsia="zh-CN"/>
        </w:rPr>
        <w:t>2</w:t>
      </w:r>
      <w:r w:rsidR="00363A1A" w:rsidRPr="00EE48E2">
        <w:rPr>
          <w:rFonts w:ascii="Book Antiqua" w:hAnsi="Book Antiqua"/>
          <w:sz w:val="24"/>
          <w:szCs w:val="24"/>
          <w:vertAlign w:val="superscript"/>
          <w:lang w:val="en-GB"/>
        </w:rPr>
        <w:t>-3</w:t>
      </w:r>
      <w:r w:rsidR="00490E4E">
        <w:rPr>
          <w:rFonts w:ascii="Book Antiqua" w:hAnsi="Book Antiqua" w:hint="eastAsia"/>
          <w:sz w:val="24"/>
          <w:szCs w:val="24"/>
          <w:vertAlign w:val="superscript"/>
          <w:lang w:val="en-GB" w:eastAsia="zh-CN"/>
        </w:rPr>
        <w:t>6</w:t>
      </w:r>
      <w:r w:rsidR="00363A1A" w:rsidRPr="00EE48E2">
        <w:rPr>
          <w:rFonts w:ascii="Book Antiqua" w:hAnsi="Book Antiqua"/>
          <w:sz w:val="24"/>
          <w:szCs w:val="24"/>
          <w:vertAlign w:val="superscript"/>
          <w:lang w:val="en-GB"/>
        </w:rPr>
        <w:t>]</w:t>
      </w:r>
      <w:r w:rsidR="00363A1A" w:rsidRPr="00EE48E2">
        <w:rPr>
          <w:rFonts w:ascii="Book Antiqua" w:hAnsi="Book Antiqua"/>
          <w:sz w:val="24"/>
          <w:szCs w:val="24"/>
          <w:lang w:val="en-GB"/>
        </w:rPr>
        <w:t>. In line with these findings, our group published the results from the phase II CAPRI trial</w:t>
      </w:r>
      <w:r w:rsidR="00A221AE" w:rsidRPr="00EE48E2">
        <w:rPr>
          <w:rFonts w:ascii="Book Antiqua" w:hAnsi="Book Antiqua"/>
          <w:sz w:val="24"/>
          <w:szCs w:val="24"/>
          <w:lang w:val="en-GB"/>
        </w:rPr>
        <w:t>,</w:t>
      </w:r>
      <w:r w:rsidR="00363A1A" w:rsidRPr="00EE48E2">
        <w:rPr>
          <w:rFonts w:ascii="Book Antiqua" w:hAnsi="Book Antiqua"/>
          <w:sz w:val="24"/>
          <w:szCs w:val="24"/>
          <w:lang w:val="en-GB"/>
        </w:rPr>
        <w:t xml:space="preserve"> </w:t>
      </w:r>
      <w:r w:rsidR="00A221AE" w:rsidRPr="00EE48E2">
        <w:rPr>
          <w:rFonts w:ascii="Book Antiqua" w:hAnsi="Book Antiqua"/>
          <w:sz w:val="24"/>
          <w:szCs w:val="24"/>
          <w:lang w:val="en-GB"/>
        </w:rPr>
        <w:t>in which</w:t>
      </w:r>
      <w:r w:rsidR="00363A1A" w:rsidRPr="00EE48E2">
        <w:rPr>
          <w:rFonts w:ascii="Book Antiqua" w:hAnsi="Book Antiqua"/>
          <w:sz w:val="24"/>
          <w:szCs w:val="24"/>
          <w:lang w:val="en-GB"/>
        </w:rPr>
        <w:t xml:space="preserve"> patients with KRAS exon 2 wild-type mCRC were treated with FOLFIRI plus cetuximab in first</w:t>
      </w:r>
      <w:r w:rsidR="00A221AE" w:rsidRPr="00EE48E2">
        <w:rPr>
          <w:rFonts w:ascii="Book Antiqua" w:hAnsi="Book Antiqua"/>
          <w:sz w:val="24"/>
          <w:szCs w:val="24"/>
          <w:lang w:val="en-GB"/>
        </w:rPr>
        <w:t>-</w:t>
      </w:r>
      <w:r w:rsidR="00363A1A" w:rsidRPr="00EE48E2">
        <w:rPr>
          <w:rFonts w:ascii="Book Antiqua" w:hAnsi="Book Antiqua"/>
          <w:sz w:val="24"/>
          <w:szCs w:val="24"/>
          <w:lang w:val="en-GB"/>
        </w:rPr>
        <w:t>line</w:t>
      </w:r>
      <w:r w:rsidR="00A221AE" w:rsidRPr="00EE48E2">
        <w:rPr>
          <w:rFonts w:ascii="Book Antiqua" w:hAnsi="Book Antiqua"/>
          <w:sz w:val="24"/>
          <w:szCs w:val="24"/>
          <w:lang w:val="en-GB"/>
        </w:rPr>
        <w:t xml:space="preserve"> treatment</w:t>
      </w:r>
      <w:r w:rsidR="00363A1A" w:rsidRPr="00EE48E2">
        <w:rPr>
          <w:rFonts w:ascii="Book Antiqua" w:hAnsi="Book Antiqua"/>
          <w:sz w:val="24"/>
          <w:szCs w:val="24"/>
          <w:lang w:val="en-GB"/>
        </w:rPr>
        <w:t xml:space="preserve"> and were</w:t>
      </w:r>
      <w:r w:rsidR="00A221AE" w:rsidRPr="00EE48E2">
        <w:rPr>
          <w:rFonts w:ascii="Book Antiqua" w:hAnsi="Book Antiqua"/>
          <w:sz w:val="24"/>
          <w:szCs w:val="24"/>
          <w:lang w:val="en-GB"/>
        </w:rPr>
        <w:t xml:space="preserve"> then</w:t>
      </w:r>
      <w:r w:rsidR="00363A1A" w:rsidRPr="00EE48E2">
        <w:rPr>
          <w:rFonts w:ascii="Book Antiqua" w:hAnsi="Book Antiqua"/>
          <w:sz w:val="24"/>
          <w:szCs w:val="24"/>
          <w:lang w:val="en-GB"/>
        </w:rPr>
        <w:t xml:space="preserve"> randomized </w:t>
      </w:r>
      <w:r w:rsidR="00A221AE" w:rsidRPr="00EE48E2">
        <w:rPr>
          <w:rFonts w:ascii="Book Antiqua" w:hAnsi="Book Antiqua"/>
          <w:sz w:val="24"/>
          <w:szCs w:val="24"/>
          <w:lang w:val="en-GB"/>
        </w:rPr>
        <w:t xml:space="preserve">at progression </w:t>
      </w:r>
      <w:r w:rsidR="00363A1A" w:rsidRPr="00EE48E2">
        <w:rPr>
          <w:rFonts w:ascii="Book Antiqua" w:hAnsi="Book Antiqua"/>
          <w:sz w:val="24"/>
          <w:szCs w:val="24"/>
          <w:lang w:val="en-GB"/>
        </w:rPr>
        <w:t>to receive FOLFOX alone or FOLFOX plus cetuximab. Our results confirmed the lack of benefit of cetuximab among the subset of patients harbouring KRAS or NRAS mutations</w:t>
      </w:r>
      <w:r w:rsidR="00363A1A" w:rsidRPr="00EE48E2">
        <w:rPr>
          <w:rFonts w:ascii="Book Antiqua" w:hAnsi="Book Antiqua"/>
          <w:sz w:val="24"/>
          <w:szCs w:val="24"/>
          <w:vertAlign w:val="superscript"/>
          <w:lang w:val="en-GB"/>
        </w:rPr>
        <w:t>[3</w:t>
      </w:r>
      <w:r w:rsidR="00490E4E">
        <w:rPr>
          <w:rFonts w:ascii="Book Antiqua" w:hAnsi="Book Antiqua" w:hint="eastAsia"/>
          <w:sz w:val="24"/>
          <w:szCs w:val="24"/>
          <w:vertAlign w:val="superscript"/>
          <w:lang w:val="en-GB" w:eastAsia="zh-CN"/>
        </w:rPr>
        <w:t>7</w:t>
      </w:r>
      <w:r w:rsidR="00363A1A" w:rsidRPr="00EE48E2">
        <w:rPr>
          <w:rFonts w:ascii="Book Antiqua" w:hAnsi="Book Antiqua"/>
          <w:sz w:val="24"/>
          <w:szCs w:val="24"/>
          <w:vertAlign w:val="superscript"/>
          <w:lang w:val="en-GB"/>
        </w:rPr>
        <w:t>]</w:t>
      </w:r>
      <w:r w:rsidR="0019545D" w:rsidRPr="00EE48E2">
        <w:rPr>
          <w:rFonts w:ascii="Book Antiqua" w:hAnsi="Book Antiqua"/>
          <w:sz w:val="24"/>
          <w:szCs w:val="24"/>
          <w:lang w:val="en-GB"/>
        </w:rPr>
        <w:t>.</w:t>
      </w:r>
      <w:r w:rsidR="00363A1A" w:rsidRPr="00EE48E2">
        <w:rPr>
          <w:rFonts w:ascii="Book Antiqua" w:hAnsi="Book Antiqua"/>
          <w:sz w:val="24"/>
          <w:szCs w:val="24"/>
          <w:lang w:val="en-GB"/>
        </w:rPr>
        <w:t xml:space="preserve"> </w:t>
      </w:r>
      <w:r w:rsidR="006517F9" w:rsidRPr="00EE48E2">
        <w:rPr>
          <w:rFonts w:ascii="Book Antiqua" w:hAnsi="Book Antiqua"/>
          <w:sz w:val="24"/>
          <w:szCs w:val="24"/>
          <w:lang w:val="en-GB"/>
        </w:rPr>
        <w:t>Furthermore, in 2014, Sorich and colleagues published a meta-analysis of nine randomized controlled trials evaluating the role of EGFR antibodies in all lines of mCRC therapy</w:t>
      </w:r>
      <w:r w:rsidR="006517F9" w:rsidRPr="00EE48E2">
        <w:rPr>
          <w:rFonts w:ascii="Book Antiqua" w:hAnsi="Book Antiqua"/>
          <w:sz w:val="24"/>
          <w:szCs w:val="24"/>
          <w:vertAlign w:val="superscript"/>
          <w:lang w:val="en-GB"/>
        </w:rPr>
        <w:t>[16]</w:t>
      </w:r>
      <w:r w:rsidR="0019545D" w:rsidRPr="00EE48E2">
        <w:rPr>
          <w:rFonts w:ascii="Book Antiqua" w:hAnsi="Book Antiqua"/>
          <w:sz w:val="24"/>
          <w:szCs w:val="24"/>
          <w:lang w:val="en-GB"/>
        </w:rPr>
        <w:t>.</w:t>
      </w:r>
      <w:r w:rsidR="006517F9" w:rsidRPr="00EE48E2">
        <w:rPr>
          <w:rFonts w:ascii="Book Antiqua" w:hAnsi="Book Antiqua"/>
          <w:sz w:val="24"/>
          <w:szCs w:val="24"/>
          <w:lang w:val="en-GB"/>
        </w:rPr>
        <w:t xml:space="preserve"> </w:t>
      </w:r>
      <w:r w:rsidR="00363A1A" w:rsidRPr="00EE48E2">
        <w:rPr>
          <w:rFonts w:ascii="Book Antiqua" w:hAnsi="Book Antiqua"/>
          <w:sz w:val="24"/>
          <w:szCs w:val="24"/>
          <w:lang w:val="en-GB"/>
        </w:rPr>
        <w:t xml:space="preserve">The meta-analysis revealed that </w:t>
      </w:r>
      <w:r w:rsidR="00A221AE" w:rsidRPr="00EE48E2">
        <w:rPr>
          <w:rFonts w:ascii="Book Antiqua" w:hAnsi="Book Antiqua"/>
          <w:sz w:val="24"/>
          <w:szCs w:val="24"/>
          <w:lang w:val="en-GB"/>
        </w:rPr>
        <w:t xml:space="preserve">treatment with </w:t>
      </w:r>
      <w:r w:rsidR="00363A1A" w:rsidRPr="00EE48E2">
        <w:rPr>
          <w:rFonts w:ascii="Book Antiqua" w:hAnsi="Book Antiqua"/>
          <w:sz w:val="24"/>
          <w:szCs w:val="24"/>
          <w:lang w:val="en-GB"/>
        </w:rPr>
        <w:t>anti-EGFR antibodies</w:t>
      </w:r>
      <w:r w:rsidR="00A221AE" w:rsidRPr="00EE48E2">
        <w:rPr>
          <w:rFonts w:ascii="Book Antiqua" w:hAnsi="Book Antiqua"/>
          <w:sz w:val="24"/>
          <w:szCs w:val="24"/>
          <w:lang w:val="en-GB"/>
        </w:rPr>
        <w:t xml:space="preserve"> had superior</w:t>
      </w:r>
      <w:r w:rsidR="00363A1A" w:rsidRPr="00EE48E2">
        <w:rPr>
          <w:rFonts w:ascii="Book Antiqua" w:hAnsi="Book Antiqua"/>
          <w:sz w:val="24"/>
          <w:szCs w:val="24"/>
          <w:lang w:val="en-GB"/>
        </w:rPr>
        <w:t xml:space="preserve"> efficacy in terms of PFS and OS for all RAS WT </w:t>
      </w:r>
      <w:r w:rsidR="00866858" w:rsidRPr="00EE48E2">
        <w:rPr>
          <w:rFonts w:ascii="Book Antiqua" w:hAnsi="Book Antiqua"/>
          <w:sz w:val="24"/>
          <w:szCs w:val="24"/>
          <w:lang w:val="en-GB"/>
        </w:rPr>
        <w:t>tumour</w:t>
      </w:r>
      <w:r w:rsidR="00363A1A" w:rsidRPr="00EE48E2">
        <w:rPr>
          <w:rFonts w:ascii="Book Antiqua" w:hAnsi="Book Antiqua"/>
          <w:sz w:val="24"/>
          <w:szCs w:val="24"/>
          <w:lang w:val="en-GB"/>
        </w:rPr>
        <w:t xml:space="preserve">s compared with the expanded RAS mutant subgroup, and the efficacy was not significantly different between the expanded RAS mutant and KRAS exon 2 mutant subgroups. </w:t>
      </w:r>
      <w:r w:rsidR="00A221AE" w:rsidRPr="00EE48E2">
        <w:rPr>
          <w:rFonts w:ascii="Book Antiqua" w:hAnsi="Book Antiqua"/>
          <w:sz w:val="24"/>
          <w:szCs w:val="24"/>
          <w:lang w:val="en-GB"/>
        </w:rPr>
        <w:t xml:space="preserve">These </w:t>
      </w:r>
      <w:r w:rsidR="006517F9" w:rsidRPr="00EE48E2">
        <w:rPr>
          <w:rFonts w:ascii="Book Antiqua" w:hAnsi="Book Antiqua"/>
          <w:sz w:val="24"/>
          <w:szCs w:val="24"/>
          <w:lang w:val="en-GB"/>
        </w:rPr>
        <w:t>results</w:t>
      </w:r>
      <w:r w:rsidR="00A221AE" w:rsidRPr="00EE48E2">
        <w:rPr>
          <w:rFonts w:ascii="Book Antiqua" w:hAnsi="Book Antiqua"/>
          <w:sz w:val="24"/>
          <w:szCs w:val="24"/>
          <w:lang w:val="en-GB"/>
        </w:rPr>
        <w:t xml:space="preserve"> suggest </w:t>
      </w:r>
      <w:r w:rsidR="00363A1A" w:rsidRPr="00EE48E2">
        <w:rPr>
          <w:rFonts w:ascii="Book Antiqua" w:hAnsi="Book Antiqua"/>
          <w:sz w:val="24"/>
          <w:szCs w:val="24"/>
          <w:lang w:val="en-GB"/>
        </w:rPr>
        <w:t xml:space="preserve">that </w:t>
      </w:r>
      <w:r w:rsidR="00866858" w:rsidRPr="00EE48E2">
        <w:rPr>
          <w:rFonts w:ascii="Book Antiqua" w:hAnsi="Book Antiqua"/>
          <w:sz w:val="24"/>
          <w:szCs w:val="24"/>
          <w:lang w:val="en-GB"/>
        </w:rPr>
        <w:t>tumour</w:t>
      </w:r>
      <w:r w:rsidR="00363A1A" w:rsidRPr="00EE48E2">
        <w:rPr>
          <w:rFonts w:ascii="Book Antiqua" w:hAnsi="Book Antiqua"/>
          <w:sz w:val="24"/>
          <w:szCs w:val="24"/>
          <w:lang w:val="en-GB"/>
        </w:rPr>
        <w:t xml:space="preserve">s with one of the new RAS mutations are more appropriately grouped with the </w:t>
      </w:r>
      <w:r w:rsidR="00866858" w:rsidRPr="00EE48E2">
        <w:rPr>
          <w:rFonts w:ascii="Book Antiqua" w:hAnsi="Book Antiqua"/>
          <w:sz w:val="24"/>
          <w:szCs w:val="24"/>
          <w:lang w:val="en-GB"/>
        </w:rPr>
        <w:t>tumour</w:t>
      </w:r>
      <w:r w:rsidR="00363A1A" w:rsidRPr="00EE48E2">
        <w:rPr>
          <w:rFonts w:ascii="Book Antiqua" w:hAnsi="Book Antiqua"/>
          <w:sz w:val="24"/>
          <w:szCs w:val="24"/>
          <w:lang w:val="en-GB"/>
        </w:rPr>
        <w:t xml:space="preserve">s with a KRAS exon 2 mutation (forming the any RAS mutant group), rather than with </w:t>
      </w:r>
      <w:r w:rsidR="00866858" w:rsidRPr="00EE48E2">
        <w:rPr>
          <w:rFonts w:ascii="Book Antiqua" w:hAnsi="Book Antiqua"/>
          <w:sz w:val="24"/>
          <w:szCs w:val="24"/>
          <w:lang w:val="en-GB"/>
        </w:rPr>
        <w:t>tumour</w:t>
      </w:r>
      <w:r w:rsidR="00363A1A" w:rsidRPr="00EE48E2">
        <w:rPr>
          <w:rFonts w:ascii="Book Antiqua" w:hAnsi="Book Antiqua"/>
          <w:sz w:val="24"/>
          <w:szCs w:val="24"/>
          <w:lang w:val="en-GB"/>
        </w:rPr>
        <w:t>s that do not have any RAS mutations</w:t>
      </w:r>
      <w:r w:rsidR="00363A1A" w:rsidRPr="00EE48E2">
        <w:rPr>
          <w:rFonts w:ascii="Book Antiqua" w:hAnsi="Book Antiqua"/>
          <w:sz w:val="24"/>
          <w:szCs w:val="24"/>
          <w:vertAlign w:val="superscript"/>
          <w:lang w:val="en-GB"/>
        </w:rPr>
        <w:t>[16]</w:t>
      </w:r>
      <w:r w:rsidR="00363A1A" w:rsidRPr="00EE48E2">
        <w:rPr>
          <w:rFonts w:ascii="Book Antiqua" w:hAnsi="Book Antiqua"/>
          <w:sz w:val="24"/>
          <w:szCs w:val="24"/>
          <w:lang w:val="en-GB"/>
        </w:rPr>
        <w:t xml:space="preserve">. These </w:t>
      </w:r>
      <w:r w:rsidR="00A221AE" w:rsidRPr="00EE48E2">
        <w:rPr>
          <w:rFonts w:ascii="Book Antiqua" w:hAnsi="Book Antiqua"/>
          <w:sz w:val="24"/>
          <w:szCs w:val="24"/>
          <w:lang w:val="en-GB"/>
        </w:rPr>
        <w:t xml:space="preserve">results </w:t>
      </w:r>
      <w:r w:rsidR="00363A1A" w:rsidRPr="00EE48E2">
        <w:rPr>
          <w:rFonts w:ascii="Book Antiqua" w:hAnsi="Book Antiqua"/>
          <w:sz w:val="24"/>
          <w:szCs w:val="24"/>
          <w:lang w:val="en-GB"/>
        </w:rPr>
        <w:t xml:space="preserve">demonstrated the prominent role of RAS mutations as biomarkers of primary resistance to anti-EGFR therapies. </w:t>
      </w:r>
      <w:r w:rsidR="001009DB" w:rsidRPr="00EE48E2">
        <w:rPr>
          <w:rFonts w:ascii="Book Antiqua" w:hAnsi="Book Antiqua"/>
          <w:sz w:val="24"/>
          <w:szCs w:val="24"/>
          <w:lang w:val="en-GB"/>
        </w:rPr>
        <w:t>In response to the meta-analysis</w:t>
      </w:r>
      <w:r w:rsidR="00363A1A" w:rsidRPr="00EE48E2">
        <w:rPr>
          <w:rFonts w:ascii="Book Antiqua" w:hAnsi="Book Antiqua"/>
          <w:sz w:val="24"/>
          <w:szCs w:val="24"/>
          <w:lang w:val="en-GB"/>
        </w:rPr>
        <w:t>, the EMA and FDA have updated the prescribing indications for panitumumab and cetuximab, restricting their use to patients with RAS WT mCRC</w:t>
      </w:r>
      <w:r w:rsidR="00113604" w:rsidRPr="00EE48E2">
        <w:rPr>
          <w:rFonts w:ascii="Book Antiqua" w:hAnsi="Book Antiqua"/>
          <w:sz w:val="24"/>
          <w:szCs w:val="24"/>
          <w:vertAlign w:val="superscript"/>
          <w:lang w:val="en-GB"/>
        </w:rPr>
        <w:t>[3</w:t>
      </w:r>
      <w:r w:rsidR="00490E4E">
        <w:rPr>
          <w:rFonts w:ascii="Book Antiqua" w:hAnsi="Book Antiqua" w:hint="eastAsia"/>
          <w:sz w:val="24"/>
          <w:szCs w:val="24"/>
          <w:vertAlign w:val="superscript"/>
          <w:lang w:val="en-GB" w:eastAsia="zh-CN"/>
        </w:rPr>
        <w:t>8</w:t>
      </w:r>
      <w:r w:rsidR="00113604" w:rsidRPr="00EE48E2">
        <w:rPr>
          <w:rFonts w:ascii="Book Antiqua" w:hAnsi="Book Antiqua"/>
          <w:sz w:val="24"/>
          <w:szCs w:val="24"/>
          <w:vertAlign w:val="superscript"/>
          <w:lang w:val="en-GB"/>
        </w:rPr>
        <w:t>,</w:t>
      </w:r>
      <w:r w:rsidR="00490E4E">
        <w:rPr>
          <w:rFonts w:ascii="Book Antiqua" w:hAnsi="Book Antiqua" w:hint="eastAsia"/>
          <w:sz w:val="24"/>
          <w:szCs w:val="24"/>
          <w:vertAlign w:val="superscript"/>
          <w:lang w:val="en-GB" w:eastAsia="zh-CN"/>
        </w:rPr>
        <w:t>39</w:t>
      </w:r>
      <w:r w:rsidR="00363A1A" w:rsidRPr="00EE48E2">
        <w:rPr>
          <w:rFonts w:ascii="Book Antiqua" w:hAnsi="Book Antiqua"/>
          <w:sz w:val="24"/>
          <w:szCs w:val="24"/>
          <w:vertAlign w:val="superscript"/>
          <w:lang w:val="en-GB"/>
        </w:rPr>
        <w:t>]</w:t>
      </w:r>
      <w:r w:rsidR="00363A1A" w:rsidRPr="00EE48E2">
        <w:rPr>
          <w:rFonts w:ascii="Book Antiqua" w:hAnsi="Book Antiqua"/>
          <w:sz w:val="24"/>
          <w:szCs w:val="24"/>
          <w:lang w:val="en-GB"/>
        </w:rPr>
        <w:t>.</w:t>
      </w:r>
    </w:p>
    <w:p w14:paraId="4A3DC737" w14:textId="646F9613" w:rsidR="00363A1A" w:rsidRPr="00EE48E2" w:rsidRDefault="00EE48E2" w:rsidP="004D1833">
      <w:pPr>
        <w:adjustRightInd w:val="0"/>
        <w:snapToGrid w:val="0"/>
        <w:spacing w:after="0" w:line="360" w:lineRule="auto"/>
        <w:jc w:val="both"/>
        <w:rPr>
          <w:rFonts w:ascii="Book Antiqua" w:hAnsi="Book Antiqua"/>
          <w:sz w:val="24"/>
          <w:szCs w:val="24"/>
          <w:lang w:val="en-GB"/>
        </w:rPr>
      </w:pPr>
      <w:r w:rsidRPr="00EE48E2">
        <w:rPr>
          <w:rFonts w:ascii="Book Antiqua" w:hAnsi="Book Antiqua"/>
          <w:sz w:val="24"/>
          <w:szCs w:val="24"/>
          <w:lang w:val="en-GB"/>
        </w:rPr>
        <w:t xml:space="preserve">  </w:t>
      </w:r>
      <w:r w:rsidR="00363A1A" w:rsidRPr="00EE48E2">
        <w:rPr>
          <w:rFonts w:ascii="Book Antiqua" w:hAnsi="Book Antiqua"/>
          <w:sz w:val="24"/>
          <w:szCs w:val="24"/>
          <w:lang w:val="en-GB"/>
        </w:rPr>
        <w:t>As said before, genetic alterations in RAS are even the most common molecular mechanisms that drive secondary resistance to anti-EGFR therapy in 50</w:t>
      </w:r>
      <w:r w:rsidR="00422FA4" w:rsidRPr="00EE48E2">
        <w:rPr>
          <w:rFonts w:ascii="Book Antiqua" w:hAnsi="Book Antiqua" w:hint="eastAsia"/>
          <w:sz w:val="24"/>
          <w:szCs w:val="24"/>
          <w:lang w:val="en-GB" w:eastAsia="zh-CN"/>
        </w:rPr>
        <w:t>%</w:t>
      </w:r>
      <w:r w:rsidR="00363A1A" w:rsidRPr="00EE48E2">
        <w:rPr>
          <w:rFonts w:ascii="Book Antiqua" w:hAnsi="Book Antiqua"/>
          <w:sz w:val="24"/>
          <w:szCs w:val="24"/>
          <w:lang w:val="en-GB"/>
        </w:rPr>
        <w:t xml:space="preserve"> to 80% of patients. These mutations may be present in a small fraction of cells within the </w:t>
      </w:r>
      <w:r w:rsidR="00866858" w:rsidRPr="00EE48E2">
        <w:rPr>
          <w:rFonts w:ascii="Book Antiqua" w:hAnsi="Book Antiqua"/>
          <w:sz w:val="24"/>
          <w:szCs w:val="24"/>
          <w:lang w:val="en-GB"/>
        </w:rPr>
        <w:t>tumour</w:t>
      </w:r>
      <w:r w:rsidR="00363A1A" w:rsidRPr="00EE48E2">
        <w:rPr>
          <w:rFonts w:ascii="Book Antiqua" w:hAnsi="Book Antiqua"/>
          <w:sz w:val="24"/>
          <w:szCs w:val="24"/>
          <w:lang w:val="en-GB"/>
        </w:rPr>
        <w:t xml:space="preserve"> before treatment initiation and </w:t>
      </w:r>
      <w:r w:rsidR="00332D9C" w:rsidRPr="00EE48E2">
        <w:rPr>
          <w:rFonts w:ascii="Book Antiqua" w:hAnsi="Book Antiqua"/>
          <w:sz w:val="24"/>
          <w:szCs w:val="24"/>
          <w:lang w:val="en-GB"/>
        </w:rPr>
        <w:t xml:space="preserve">then may </w:t>
      </w:r>
      <w:r w:rsidR="00363A1A" w:rsidRPr="00EE48E2">
        <w:rPr>
          <w:rFonts w:ascii="Book Antiqua" w:hAnsi="Book Antiqua"/>
          <w:sz w:val="24"/>
          <w:szCs w:val="24"/>
          <w:lang w:val="en-GB"/>
        </w:rPr>
        <w:t xml:space="preserve">be selected by pressure </w:t>
      </w:r>
      <w:r w:rsidR="00332D9C" w:rsidRPr="00EE48E2">
        <w:rPr>
          <w:rFonts w:ascii="Book Antiqua" w:hAnsi="Book Antiqua"/>
          <w:sz w:val="24"/>
          <w:szCs w:val="24"/>
          <w:lang w:val="en-GB"/>
        </w:rPr>
        <w:t>from the</w:t>
      </w:r>
      <w:r w:rsidR="00363A1A" w:rsidRPr="00EE48E2">
        <w:rPr>
          <w:rFonts w:ascii="Book Antiqua" w:hAnsi="Book Antiqua"/>
          <w:sz w:val="24"/>
          <w:szCs w:val="24"/>
          <w:lang w:val="en-GB"/>
        </w:rPr>
        <w:t xml:space="preserve"> anti-EGFR treatments or </w:t>
      </w:r>
      <w:r w:rsidR="00332D9C" w:rsidRPr="00EE48E2">
        <w:rPr>
          <w:rFonts w:ascii="Book Antiqua" w:hAnsi="Book Antiqua"/>
          <w:sz w:val="24"/>
          <w:szCs w:val="24"/>
          <w:lang w:val="en-GB"/>
        </w:rPr>
        <w:t>arise</w:t>
      </w:r>
      <w:r w:rsidR="00363A1A" w:rsidRPr="00EE48E2">
        <w:rPr>
          <w:rFonts w:ascii="Book Antiqua" w:hAnsi="Book Antiqua"/>
          <w:sz w:val="24"/>
          <w:szCs w:val="24"/>
          <w:lang w:val="en-GB"/>
        </w:rPr>
        <w:t xml:space="preserve"> as a result of continued mutagenesis during the treatment</w:t>
      </w:r>
      <w:r w:rsidR="00422FA4" w:rsidRPr="00EE48E2">
        <w:rPr>
          <w:rFonts w:ascii="Book Antiqua" w:hAnsi="Book Antiqua"/>
          <w:sz w:val="24"/>
          <w:szCs w:val="24"/>
          <w:vertAlign w:val="superscript"/>
          <w:lang w:val="en-GB"/>
        </w:rPr>
        <w:t>[4</w:t>
      </w:r>
      <w:r w:rsidR="00AF249E">
        <w:rPr>
          <w:rFonts w:ascii="Book Antiqua" w:hAnsi="Book Antiqua" w:hint="eastAsia"/>
          <w:sz w:val="24"/>
          <w:szCs w:val="24"/>
          <w:vertAlign w:val="superscript"/>
          <w:lang w:val="en-GB" w:eastAsia="zh-CN"/>
        </w:rPr>
        <w:t>0</w:t>
      </w:r>
      <w:r w:rsidR="00422FA4" w:rsidRPr="00EE48E2">
        <w:rPr>
          <w:rFonts w:ascii="Book Antiqua" w:hAnsi="Book Antiqua"/>
          <w:sz w:val="24"/>
          <w:szCs w:val="24"/>
          <w:vertAlign w:val="superscript"/>
          <w:lang w:val="en-GB"/>
        </w:rPr>
        <w:t>,</w:t>
      </w:r>
      <w:r w:rsidR="00363A1A" w:rsidRPr="00EE48E2">
        <w:rPr>
          <w:rFonts w:ascii="Book Antiqua" w:hAnsi="Book Antiqua"/>
          <w:sz w:val="24"/>
          <w:szCs w:val="24"/>
          <w:vertAlign w:val="superscript"/>
          <w:lang w:val="en-GB"/>
        </w:rPr>
        <w:t>4</w:t>
      </w:r>
      <w:r w:rsidR="00AF249E">
        <w:rPr>
          <w:rFonts w:ascii="Book Antiqua" w:hAnsi="Book Antiqua" w:hint="eastAsia"/>
          <w:sz w:val="24"/>
          <w:szCs w:val="24"/>
          <w:vertAlign w:val="superscript"/>
          <w:lang w:val="en-GB" w:eastAsia="zh-CN"/>
        </w:rPr>
        <w:t>1</w:t>
      </w:r>
      <w:r w:rsidR="00363A1A" w:rsidRPr="00EE48E2">
        <w:rPr>
          <w:rFonts w:ascii="Book Antiqua" w:hAnsi="Book Antiqua"/>
          <w:sz w:val="24"/>
          <w:szCs w:val="24"/>
          <w:vertAlign w:val="superscript"/>
          <w:lang w:val="en-GB"/>
        </w:rPr>
        <w:t>]</w:t>
      </w:r>
      <w:r w:rsidR="00363A1A" w:rsidRPr="00EE48E2">
        <w:rPr>
          <w:rFonts w:ascii="Book Antiqua" w:hAnsi="Book Antiqua"/>
          <w:sz w:val="24"/>
          <w:szCs w:val="24"/>
          <w:lang w:val="en-GB"/>
        </w:rPr>
        <w:t xml:space="preserve">. Different from primary resistance, secondary </w:t>
      </w:r>
      <w:r w:rsidR="00332D9C" w:rsidRPr="00EE48E2">
        <w:rPr>
          <w:rFonts w:ascii="Book Antiqua" w:hAnsi="Book Antiqua"/>
          <w:sz w:val="24"/>
          <w:szCs w:val="24"/>
          <w:lang w:val="en-GB"/>
        </w:rPr>
        <w:t xml:space="preserve">resistance </w:t>
      </w:r>
      <w:r w:rsidR="00363A1A" w:rsidRPr="00EE48E2">
        <w:rPr>
          <w:rFonts w:ascii="Book Antiqua" w:hAnsi="Book Antiqua"/>
          <w:sz w:val="24"/>
          <w:szCs w:val="24"/>
          <w:lang w:val="en-GB"/>
        </w:rPr>
        <w:t>generally arise</w:t>
      </w:r>
      <w:r w:rsidR="00332D9C" w:rsidRPr="00EE48E2">
        <w:rPr>
          <w:rFonts w:ascii="Book Antiqua" w:hAnsi="Book Antiqua"/>
          <w:sz w:val="24"/>
          <w:szCs w:val="24"/>
          <w:lang w:val="en-GB"/>
        </w:rPr>
        <w:t>s</w:t>
      </w:r>
      <w:r w:rsidR="00363A1A" w:rsidRPr="00EE48E2">
        <w:rPr>
          <w:rFonts w:ascii="Book Antiqua" w:hAnsi="Book Antiqua"/>
          <w:sz w:val="24"/>
          <w:szCs w:val="24"/>
          <w:lang w:val="en-GB"/>
        </w:rPr>
        <w:t xml:space="preserve"> from more than one driver and </w:t>
      </w:r>
      <w:r w:rsidR="00332D9C" w:rsidRPr="00EE48E2">
        <w:rPr>
          <w:rFonts w:ascii="Book Antiqua" w:hAnsi="Book Antiqua"/>
          <w:sz w:val="24"/>
          <w:szCs w:val="24"/>
          <w:lang w:val="en-GB"/>
        </w:rPr>
        <w:t xml:space="preserve">arises </w:t>
      </w:r>
      <w:r w:rsidR="00363A1A" w:rsidRPr="00EE48E2">
        <w:rPr>
          <w:rFonts w:ascii="Book Antiqua" w:hAnsi="Book Antiqua"/>
          <w:sz w:val="24"/>
          <w:szCs w:val="24"/>
          <w:lang w:val="en-GB"/>
        </w:rPr>
        <w:t xml:space="preserve">at different frequencies. </w:t>
      </w:r>
      <w:r w:rsidR="00332D9C" w:rsidRPr="00EE48E2">
        <w:rPr>
          <w:rFonts w:ascii="Book Antiqua" w:hAnsi="Book Antiqua"/>
          <w:sz w:val="24"/>
          <w:szCs w:val="24"/>
          <w:lang w:val="en-GB"/>
        </w:rPr>
        <w:t>This pattern has</w:t>
      </w:r>
      <w:r w:rsidR="00363A1A" w:rsidRPr="00EE48E2">
        <w:rPr>
          <w:rFonts w:ascii="Book Antiqua" w:hAnsi="Book Antiqua"/>
          <w:sz w:val="24"/>
          <w:szCs w:val="24"/>
          <w:lang w:val="en-GB"/>
        </w:rPr>
        <w:t xml:space="preserve"> been observed in both cell lines made resistant to cetuximab or panitumumab as well as in samples obtained from </w:t>
      </w:r>
      <w:r w:rsidR="00363A1A" w:rsidRPr="00EE48E2">
        <w:rPr>
          <w:rFonts w:ascii="Book Antiqua" w:hAnsi="Book Antiqua"/>
          <w:sz w:val="24"/>
          <w:szCs w:val="24"/>
          <w:lang w:val="en-GB"/>
        </w:rPr>
        <w:lastRenderedPageBreak/>
        <w:t>patients</w:t>
      </w:r>
      <w:r w:rsidR="00AF249E">
        <w:rPr>
          <w:rFonts w:ascii="Book Antiqua" w:hAnsi="Book Antiqua"/>
          <w:sz w:val="24"/>
          <w:szCs w:val="24"/>
          <w:vertAlign w:val="superscript"/>
          <w:lang w:val="en-GB"/>
        </w:rPr>
        <w:t>[4</w:t>
      </w:r>
      <w:r w:rsidR="00AF249E">
        <w:rPr>
          <w:rFonts w:ascii="Book Antiqua" w:hAnsi="Book Antiqua" w:hint="eastAsia"/>
          <w:sz w:val="24"/>
          <w:szCs w:val="24"/>
          <w:vertAlign w:val="superscript"/>
          <w:lang w:val="en-GB" w:eastAsia="zh-CN"/>
        </w:rPr>
        <w:t>2</w:t>
      </w:r>
      <w:r w:rsidR="00AF249E">
        <w:rPr>
          <w:rFonts w:ascii="Book Antiqua" w:hAnsi="Book Antiqua"/>
          <w:sz w:val="24"/>
          <w:szCs w:val="24"/>
          <w:vertAlign w:val="superscript"/>
          <w:lang w:val="en-GB"/>
        </w:rPr>
        <w:t>,</w:t>
      </w:r>
      <w:r w:rsidR="00363A1A" w:rsidRPr="00EE48E2">
        <w:rPr>
          <w:rFonts w:ascii="Book Antiqua" w:hAnsi="Book Antiqua"/>
          <w:sz w:val="24"/>
          <w:szCs w:val="24"/>
          <w:vertAlign w:val="superscript"/>
          <w:lang w:val="en-GB"/>
        </w:rPr>
        <w:t>4</w:t>
      </w:r>
      <w:r w:rsidR="00AF249E">
        <w:rPr>
          <w:rFonts w:ascii="Book Antiqua" w:hAnsi="Book Antiqua" w:hint="eastAsia"/>
          <w:sz w:val="24"/>
          <w:szCs w:val="24"/>
          <w:vertAlign w:val="superscript"/>
          <w:lang w:val="en-GB" w:eastAsia="zh-CN"/>
        </w:rPr>
        <w:t>3</w:t>
      </w:r>
      <w:r w:rsidR="00363A1A" w:rsidRPr="00EE48E2">
        <w:rPr>
          <w:rFonts w:ascii="Book Antiqua" w:hAnsi="Book Antiqua"/>
          <w:sz w:val="24"/>
          <w:szCs w:val="24"/>
          <w:vertAlign w:val="superscript"/>
          <w:lang w:val="en-GB"/>
        </w:rPr>
        <w:t>]</w:t>
      </w:r>
      <w:r w:rsidR="00363A1A" w:rsidRPr="00EE48E2">
        <w:rPr>
          <w:rFonts w:ascii="Book Antiqua" w:hAnsi="Book Antiqua"/>
          <w:sz w:val="24"/>
          <w:szCs w:val="24"/>
          <w:lang w:val="en-GB"/>
        </w:rPr>
        <w:t xml:space="preserve">. </w:t>
      </w:r>
      <w:r w:rsidR="006517F9" w:rsidRPr="00EE48E2">
        <w:rPr>
          <w:rFonts w:ascii="Book Antiqua" w:hAnsi="Book Antiqua"/>
          <w:sz w:val="24"/>
          <w:szCs w:val="24"/>
          <w:lang w:val="en-GB"/>
        </w:rPr>
        <w:t>It is worth noting that the frequency of mutations at codon 61 of exon 3, in either KRAS or NRAS genes, is more prevalent in the acquired setting</w:t>
      </w:r>
      <w:r w:rsidR="00422FA4" w:rsidRPr="00EE48E2">
        <w:rPr>
          <w:rFonts w:ascii="Book Antiqua" w:hAnsi="Book Antiqua"/>
          <w:sz w:val="24"/>
          <w:szCs w:val="24"/>
          <w:vertAlign w:val="superscript"/>
          <w:lang w:val="en-GB"/>
        </w:rPr>
        <w:t>[22,</w:t>
      </w:r>
      <w:r w:rsidR="006517F9" w:rsidRPr="00EE48E2">
        <w:rPr>
          <w:rFonts w:ascii="Book Antiqua" w:hAnsi="Book Antiqua"/>
          <w:sz w:val="24"/>
          <w:szCs w:val="24"/>
          <w:vertAlign w:val="superscript"/>
          <w:lang w:val="en-GB"/>
        </w:rPr>
        <w:t>4</w:t>
      </w:r>
      <w:r w:rsidR="00AF249E">
        <w:rPr>
          <w:rFonts w:ascii="Book Antiqua" w:hAnsi="Book Antiqua" w:hint="eastAsia"/>
          <w:sz w:val="24"/>
          <w:szCs w:val="24"/>
          <w:vertAlign w:val="superscript"/>
          <w:lang w:val="en-GB" w:eastAsia="zh-CN"/>
        </w:rPr>
        <w:t>2</w:t>
      </w:r>
      <w:r w:rsidR="006517F9" w:rsidRPr="00EE48E2">
        <w:rPr>
          <w:rFonts w:ascii="Book Antiqua" w:hAnsi="Book Antiqua"/>
          <w:sz w:val="24"/>
          <w:szCs w:val="24"/>
          <w:vertAlign w:val="superscript"/>
          <w:lang w:val="en-GB"/>
        </w:rPr>
        <w:t>]</w:t>
      </w:r>
      <w:r w:rsidR="006517F9" w:rsidRPr="00EE48E2">
        <w:rPr>
          <w:rFonts w:ascii="Book Antiqua" w:hAnsi="Book Antiqua"/>
          <w:sz w:val="24"/>
          <w:szCs w:val="24"/>
          <w:lang w:val="en-GB"/>
        </w:rPr>
        <w:t xml:space="preserve">. </w:t>
      </w:r>
      <w:r w:rsidR="00363A1A" w:rsidRPr="00EE48E2">
        <w:rPr>
          <w:rFonts w:ascii="Book Antiqua" w:hAnsi="Book Antiqua"/>
          <w:sz w:val="24"/>
          <w:szCs w:val="24"/>
          <w:lang w:val="en-GB"/>
        </w:rPr>
        <w:t xml:space="preserve">However, </w:t>
      </w:r>
      <w:r w:rsidR="00332D9C" w:rsidRPr="00EE48E2">
        <w:rPr>
          <w:rFonts w:ascii="Book Antiqua" w:hAnsi="Book Antiqua"/>
          <w:sz w:val="24"/>
          <w:szCs w:val="24"/>
          <w:lang w:val="en-GB"/>
        </w:rPr>
        <w:t xml:space="preserve">the </w:t>
      </w:r>
      <w:r w:rsidR="00363A1A" w:rsidRPr="00EE48E2">
        <w:rPr>
          <w:rFonts w:ascii="Book Antiqua" w:hAnsi="Book Antiqua"/>
          <w:sz w:val="24"/>
          <w:szCs w:val="24"/>
          <w:lang w:val="en-GB"/>
        </w:rPr>
        <w:t xml:space="preserve">KRAS gene has been found not only mutated but also amplified, although in a very small percentage of patients (0.7%), </w:t>
      </w:r>
      <w:r w:rsidR="00332D9C" w:rsidRPr="00EE48E2">
        <w:rPr>
          <w:rFonts w:ascii="Book Antiqua" w:hAnsi="Book Antiqua"/>
          <w:sz w:val="24"/>
          <w:szCs w:val="24"/>
          <w:lang w:val="en-GB"/>
        </w:rPr>
        <w:t>and this amplification has been observed as</w:t>
      </w:r>
      <w:r w:rsidR="00363A1A" w:rsidRPr="00EE48E2">
        <w:rPr>
          <w:rFonts w:ascii="Book Antiqua" w:hAnsi="Book Antiqua"/>
          <w:sz w:val="24"/>
          <w:szCs w:val="24"/>
          <w:lang w:val="en-GB"/>
        </w:rPr>
        <w:t xml:space="preserve"> </w:t>
      </w:r>
      <w:r w:rsidR="007F01B8" w:rsidRPr="00EE48E2">
        <w:rPr>
          <w:rFonts w:ascii="Book Antiqua" w:hAnsi="Book Antiqua"/>
          <w:sz w:val="24"/>
          <w:szCs w:val="24"/>
          <w:lang w:val="en-GB"/>
        </w:rPr>
        <w:t xml:space="preserve">a </w:t>
      </w:r>
      <w:r w:rsidR="00363A1A" w:rsidRPr="00EE48E2">
        <w:rPr>
          <w:rFonts w:ascii="Book Antiqua" w:hAnsi="Book Antiqua"/>
          <w:sz w:val="24"/>
          <w:szCs w:val="24"/>
          <w:lang w:val="en-GB"/>
        </w:rPr>
        <w:t>mechanism</w:t>
      </w:r>
      <w:r w:rsidR="007F01B8" w:rsidRPr="00EE48E2">
        <w:rPr>
          <w:rFonts w:ascii="Book Antiqua" w:hAnsi="Book Antiqua"/>
          <w:sz w:val="24"/>
          <w:szCs w:val="24"/>
          <w:lang w:val="en-GB"/>
        </w:rPr>
        <w:t xml:space="preserve"> in</w:t>
      </w:r>
      <w:r w:rsidR="00332D9C" w:rsidRPr="00EE48E2">
        <w:rPr>
          <w:rFonts w:ascii="Book Antiqua" w:hAnsi="Book Antiqua"/>
          <w:sz w:val="24"/>
          <w:szCs w:val="24"/>
          <w:lang w:val="en-GB"/>
        </w:rPr>
        <w:t xml:space="preserve"> both</w:t>
      </w:r>
      <w:r w:rsidR="00363A1A" w:rsidRPr="00EE48E2">
        <w:rPr>
          <w:rFonts w:ascii="Book Antiqua" w:hAnsi="Book Antiqua"/>
          <w:sz w:val="24"/>
          <w:szCs w:val="24"/>
          <w:lang w:val="en-GB"/>
        </w:rPr>
        <w:t xml:space="preserve"> primary and acquired resistance</w:t>
      </w:r>
      <w:r w:rsidR="00363A1A" w:rsidRPr="00EE48E2">
        <w:rPr>
          <w:rFonts w:ascii="Book Antiqua" w:hAnsi="Book Antiqua"/>
          <w:sz w:val="24"/>
          <w:szCs w:val="24"/>
          <w:vertAlign w:val="superscript"/>
          <w:lang w:val="en-GB"/>
        </w:rPr>
        <w:t>[4</w:t>
      </w:r>
      <w:r w:rsidR="00AF249E">
        <w:rPr>
          <w:rFonts w:ascii="Book Antiqua" w:hAnsi="Book Antiqua" w:hint="eastAsia"/>
          <w:sz w:val="24"/>
          <w:szCs w:val="24"/>
          <w:vertAlign w:val="superscript"/>
          <w:lang w:val="en-GB" w:eastAsia="zh-CN"/>
        </w:rPr>
        <w:t>3</w:t>
      </w:r>
      <w:r w:rsidR="00363A1A" w:rsidRPr="00EE48E2">
        <w:rPr>
          <w:rFonts w:ascii="Book Antiqua" w:hAnsi="Book Antiqua"/>
          <w:sz w:val="24"/>
          <w:szCs w:val="24"/>
          <w:vertAlign w:val="superscript"/>
          <w:lang w:val="en-GB"/>
        </w:rPr>
        <w:t>]</w:t>
      </w:r>
      <w:r w:rsidR="0019545D" w:rsidRPr="00EE48E2">
        <w:rPr>
          <w:rFonts w:ascii="Book Antiqua" w:hAnsi="Book Antiqua"/>
          <w:sz w:val="24"/>
          <w:szCs w:val="24"/>
          <w:lang w:val="en-GB"/>
        </w:rPr>
        <w:t>.</w:t>
      </w:r>
    </w:p>
    <w:p w14:paraId="3F106A2A" w14:textId="19E5FE07" w:rsidR="00363A1A" w:rsidRPr="00EE48E2" w:rsidRDefault="00EE48E2" w:rsidP="004D1833">
      <w:pPr>
        <w:adjustRightInd w:val="0"/>
        <w:snapToGrid w:val="0"/>
        <w:spacing w:after="0" w:line="360" w:lineRule="auto"/>
        <w:jc w:val="both"/>
        <w:rPr>
          <w:rFonts w:ascii="Book Antiqua" w:hAnsi="Book Antiqua"/>
          <w:sz w:val="24"/>
          <w:szCs w:val="24"/>
          <w:lang w:val="en-GB"/>
        </w:rPr>
      </w:pPr>
      <w:r w:rsidRPr="00EE48E2">
        <w:rPr>
          <w:rFonts w:ascii="Book Antiqua" w:hAnsi="Book Antiqua"/>
          <w:sz w:val="24"/>
          <w:szCs w:val="24"/>
          <w:lang w:val="en-GB"/>
        </w:rPr>
        <w:t xml:space="preserve">  </w:t>
      </w:r>
      <w:r w:rsidR="00363A1A" w:rsidRPr="00EE48E2">
        <w:rPr>
          <w:rFonts w:ascii="Book Antiqua" w:hAnsi="Book Antiqua"/>
          <w:sz w:val="24"/>
          <w:szCs w:val="24"/>
          <w:lang w:val="en-GB"/>
        </w:rPr>
        <w:t xml:space="preserve">However, preclinical data and retrospective analysis from phase III trials highlighted that not all </w:t>
      </w:r>
      <w:r w:rsidR="00363A1A" w:rsidRPr="00EE48E2">
        <w:rPr>
          <w:rFonts w:ascii="Book Antiqua" w:hAnsi="Book Antiqua"/>
          <w:i/>
          <w:sz w:val="24"/>
          <w:szCs w:val="24"/>
          <w:lang w:val="en-GB"/>
        </w:rPr>
        <w:t xml:space="preserve">KRAS </w:t>
      </w:r>
      <w:r w:rsidR="00363A1A" w:rsidRPr="00EE48E2">
        <w:rPr>
          <w:rFonts w:ascii="Book Antiqua" w:hAnsi="Book Antiqua"/>
          <w:sz w:val="24"/>
          <w:szCs w:val="24"/>
          <w:lang w:val="en-GB"/>
        </w:rPr>
        <w:t xml:space="preserve">mutations have the same role </w:t>
      </w:r>
      <w:r w:rsidR="00103445" w:rsidRPr="00EE48E2">
        <w:rPr>
          <w:rFonts w:ascii="Book Antiqua" w:hAnsi="Book Antiqua"/>
          <w:sz w:val="24"/>
          <w:szCs w:val="24"/>
          <w:lang w:val="en-GB"/>
        </w:rPr>
        <w:t>in</w:t>
      </w:r>
      <w:r w:rsidR="00363A1A" w:rsidRPr="00EE48E2">
        <w:rPr>
          <w:rFonts w:ascii="Book Antiqua" w:hAnsi="Book Antiqua"/>
          <w:sz w:val="24"/>
          <w:szCs w:val="24"/>
          <w:lang w:val="en-GB"/>
        </w:rPr>
        <w:t xml:space="preserve"> mediating EGFR-resistance</w:t>
      </w:r>
      <w:r w:rsidR="00103445" w:rsidRPr="00EE48E2">
        <w:rPr>
          <w:rFonts w:ascii="Book Antiqua" w:hAnsi="Book Antiqua"/>
          <w:sz w:val="24"/>
          <w:szCs w:val="24"/>
          <w:lang w:val="en-GB"/>
        </w:rPr>
        <w:t>,</w:t>
      </w:r>
      <w:r w:rsidR="00363A1A" w:rsidRPr="00EE48E2">
        <w:rPr>
          <w:rFonts w:ascii="Book Antiqua" w:hAnsi="Book Antiqua"/>
          <w:sz w:val="24"/>
          <w:szCs w:val="24"/>
          <w:lang w:val="en-GB"/>
        </w:rPr>
        <w:t xml:space="preserve"> and some patients with </w:t>
      </w:r>
      <w:r w:rsidR="00363A1A" w:rsidRPr="00EE48E2">
        <w:rPr>
          <w:rFonts w:ascii="Book Antiqua" w:hAnsi="Book Antiqua"/>
          <w:i/>
          <w:sz w:val="24"/>
          <w:szCs w:val="24"/>
          <w:lang w:val="en-GB"/>
        </w:rPr>
        <w:t>KRAS</w:t>
      </w:r>
      <w:r w:rsidR="00363A1A" w:rsidRPr="00EE48E2">
        <w:rPr>
          <w:rFonts w:ascii="Book Antiqua" w:hAnsi="Book Antiqua"/>
          <w:sz w:val="24"/>
          <w:szCs w:val="24"/>
          <w:lang w:val="en-GB"/>
        </w:rPr>
        <w:t xml:space="preserve"> mutated </w:t>
      </w:r>
      <w:r w:rsidR="00866858" w:rsidRPr="00EE48E2">
        <w:rPr>
          <w:rFonts w:ascii="Book Antiqua" w:hAnsi="Book Antiqua"/>
          <w:sz w:val="24"/>
          <w:szCs w:val="24"/>
          <w:lang w:val="en-GB"/>
        </w:rPr>
        <w:t>tumour</w:t>
      </w:r>
      <w:r w:rsidR="00363A1A" w:rsidRPr="00EE48E2">
        <w:rPr>
          <w:rFonts w:ascii="Book Antiqua" w:hAnsi="Book Antiqua"/>
          <w:sz w:val="24"/>
          <w:szCs w:val="24"/>
          <w:lang w:val="en-GB"/>
        </w:rPr>
        <w:t xml:space="preserve">s occasionally respond to anti-EGFR treatments. In particular, patients harbouring </w:t>
      </w:r>
      <w:r w:rsidR="00103445" w:rsidRPr="00EE48E2">
        <w:rPr>
          <w:rFonts w:ascii="Book Antiqua" w:hAnsi="Book Antiqua"/>
          <w:sz w:val="24"/>
          <w:szCs w:val="24"/>
          <w:lang w:val="en-GB"/>
        </w:rPr>
        <w:t xml:space="preserve">the </w:t>
      </w:r>
      <w:r w:rsidR="00363A1A" w:rsidRPr="00EE48E2">
        <w:rPr>
          <w:rFonts w:ascii="Book Antiqua" w:hAnsi="Book Antiqua"/>
          <w:sz w:val="24"/>
          <w:szCs w:val="24"/>
          <w:lang w:val="en-GB"/>
        </w:rPr>
        <w:t xml:space="preserve">KRAS G13D mutation have been found to achieve a benefit from cetuximab in </w:t>
      </w:r>
      <w:r w:rsidR="00103445" w:rsidRPr="00EE48E2">
        <w:rPr>
          <w:rFonts w:ascii="Book Antiqua" w:hAnsi="Book Antiqua"/>
          <w:sz w:val="24"/>
          <w:szCs w:val="24"/>
          <w:lang w:val="en-GB"/>
        </w:rPr>
        <w:t xml:space="preserve">both </w:t>
      </w:r>
      <w:r w:rsidR="00363A1A" w:rsidRPr="00EE48E2">
        <w:rPr>
          <w:rFonts w:ascii="Book Antiqua" w:hAnsi="Book Antiqua"/>
          <w:sz w:val="24"/>
          <w:szCs w:val="24"/>
          <w:lang w:val="en-GB"/>
        </w:rPr>
        <w:t>first</w:t>
      </w:r>
      <w:r w:rsidR="00103445" w:rsidRPr="00EE48E2">
        <w:rPr>
          <w:rFonts w:ascii="Book Antiqua" w:hAnsi="Book Antiqua"/>
          <w:sz w:val="24"/>
          <w:szCs w:val="24"/>
          <w:lang w:val="en-GB"/>
        </w:rPr>
        <w:t>-line</w:t>
      </w:r>
      <w:r w:rsidR="00363A1A" w:rsidRPr="00EE48E2">
        <w:rPr>
          <w:rFonts w:ascii="Book Antiqua" w:hAnsi="Book Antiqua"/>
          <w:sz w:val="24"/>
          <w:szCs w:val="24"/>
          <w:lang w:val="en-GB"/>
        </w:rPr>
        <w:t xml:space="preserve"> and advanced lines of treatment</w:t>
      </w:r>
      <w:r w:rsidR="00422FA4" w:rsidRPr="00EE48E2">
        <w:rPr>
          <w:rFonts w:ascii="Book Antiqua" w:hAnsi="Book Antiqua"/>
          <w:sz w:val="24"/>
          <w:szCs w:val="24"/>
          <w:vertAlign w:val="superscript"/>
          <w:lang w:val="en-GB"/>
        </w:rPr>
        <w:t>[4</w:t>
      </w:r>
      <w:r w:rsidR="00AF249E">
        <w:rPr>
          <w:rFonts w:ascii="Book Antiqua" w:hAnsi="Book Antiqua" w:hint="eastAsia"/>
          <w:sz w:val="24"/>
          <w:szCs w:val="24"/>
          <w:vertAlign w:val="superscript"/>
          <w:lang w:val="en-GB" w:eastAsia="zh-CN"/>
        </w:rPr>
        <w:t>4</w:t>
      </w:r>
      <w:r w:rsidR="00422FA4" w:rsidRPr="00EE48E2">
        <w:rPr>
          <w:rFonts w:ascii="Book Antiqua" w:hAnsi="Book Antiqua"/>
          <w:sz w:val="24"/>
          <w:szCs w:val="24"/>
          <w:vertAlign w:val="superscript"/>
          <w:lang w:val="en-GB"/>
        </w:rPr>
        <w:t>,</w:t>
      </w:r>
      <w:r w:rsidR="00363A1A" w:rsidRPr="00EE48E2">
        <w:rPr>
          <w:rFonts w:ascii="Book Antiqua" w:hAnsi="Book Antiqua"/>
          <w:sz w:val="24"/>
          <w:szCs w:val="24"/>
          <w:vertAlign w:val="superscript"/>
          <w:lang w:val="en-GB"/>
        </w:rPr>
        <w:t>4</w:t>
      </w:r>
      <w:r w:rsidR="00AF249E">
        <w:rPr>
          <w:rFonts w:ascii="Book Antiqua" w:hAnsi="Book Antiqua" w:hint="eastAsia"/>
          <w:sz w:val="24"/>
          <w:szCs w:val="24"/>
          <w:vertAlign w:val="superscript"/>
          <w:lang w:val="en-GB" w:eastAsia="zh-CN"/>
        </w:rPr>
        <w:t>5</w:t>
      </w:r>
      <w:r w:rsidR="00363A1A" w:rsidRPr="00EE48E2">
        <w:rPr>
          <w:rFonts w:ascii="Book Antiqua" w:hAnsi="Book Antiqua"/>
          <w:sz w:val="24"/>
          <w:szCs w:val="24"/>
          <w:vertAlign w:val="superscript"/>
          <w:lang w:val="en-GB"/>
        </w:rPr>
        <w:t>]</w:t>
      </w:r>
      <w:r w:rsidR="0019545D" w:rsidRPr="00EE48E2">
        <w:rPr>
          <w:rFonts w:ascii="Book Antiqua" w:hAnsi="Book Antiqua"/>
          <w:sz w:val="24"/>
          <w:szCs w:val="24"/>
          <w:lang w:val="en-GB"/>
        </w:rPr>
        <w:t>.</w:t>
      </w:r>
      <w:r w:rsidR="00363A1A" w:rsidRPr="00EE48E2">
        <w:rPr>
          <w:rFonts w:ascii="Book Antiqua" w:hAnsi="Book Antiqua"/>
          <w:sz w:val="24"/>
          <w:szCs w:val="24"/>
          <w:lang w:val="en-GB"/>
        </w:rPr>
        <w:t xml:space="preserve"> A recently published meta-analysis of eight randomized controlled trials (RCTs) have assessed whether the efficacy of anti-EGFR mAbs for mCRC differs between </w:t>
      </w:r>
      <w:r w:rsidR="00866858" w:rsidRPr="00EE48E2">
        <w:rPr>
          <w:rFonts w:ascii="Book Antiqua" w:hAnsi="Book Antiqua"/>
          <w:sz w:val="24"/>
          <w:szCs w:val="24"/>
          <w:lang w:val="en-GB"/>
        </w:rPr>
        <w:t>tumour</w:t>
      </w:r>
      <w:r w:rsidR="00363A1A" w:rsidRPr="00EE48E2">
        <w:rPr>
          <w:rFonts w:ascii="Book Antiqua" w:hAnsi="Book Antiqua"/>
          <w:sz w:val="24"/>
          <w:szCs w:val="24"/>
          <w:lang w:val="en-GB"/>
        </w:rPr>
        <w:t xml:space="preserve">s harbouring </w:t>
      </w:r>
      <w:r w:rsidR="00103445" w:rsidRPr="00EE48E2">
        <w:rPr>
          <w:rFonts w:ascii="Book Antiqua" w:hAnsi="Book Antiqua"/>
          <w:sz w:val="24"/>
          <w:szCs w:val="24"/>
          <w:lang w:val="en-GB"/>
        </w:rPr>
        <w:t xml:space="preserve">the </w:t>
      </w:r>
      <w:r w:rsidR="00363A1A" w:rsidRPr="00EE48E2">
        <w:rPr>
          <w:rFonts w:ascii="Book Antiqua" w:hAnsi="Book Antiqua"/>
          <w:i/>
          <w:sz w:val="24"/>
          <w:szCs w:val="24"/>
          <w:lang w:val="en-GB"/>
        </w:rPr>
        <w:t>KRAS</w:t>
      </w:r>
      <w:r w:rsidR="00363A1A" w:rsidRPr="00EE48E2">
        <w:rPr>
          <w:rFonts w:ascii="Book Antiqua" w:hAnsi="Book Antiqua"/>
          <w:sz w:val="24"/>
          <w:szCs w:val="24"/>
          <w:lang w:val="en-GB"/>
        </w:rPr>
        <w:t xml:space="preserve"> G13D mutation and KRAS mutations other than</w:t>
      </w:r>
      <w:r w:rsidR="00103445" w:rsidRPr="00EE48E2">
        <w:rPr>
          <w:rFonts w:ascii="Book Antiqua" w:hAnsi="Book Antiqua"/>
          <w:sz w:val="24"/>
          <w:szCs w:val="24"/>
          <w:lang w:val="en-GB"/>
        </w:rPr>
        <w:t xml:space="preserve"> the </w:t>
      </w:r>
      <w:r w:rsidR="00103445" w:rsidRPr="00EE48E2">
        <w:rPr>
          <w:rFonts w:ascii="Book Antiqua" w:hAnsi="Book Antiqua"/>
          <w:i/>
          <w:sz w:val="24"/>
          <w:szCs w:val="24"/>
          <w:lang w:val="en-GB"/>
        </w:rPr>
        <w:t>KRAS</w:t>
      </w:r>
      <w:r w:rsidR="00363A1A" w:rsidRPr="00EE48E2">
        <w:rPr>
          <w:rFonts w:ascii="Book Antiqua" w:hAnsi="Book Antiqua"/>
          <w:sz w:val="24"/>
          <w:szCs w:val="24"/>
          <w:lang w:val="en-GB"/>
        </w:rPr>
        <w:t xml:space="preserve"> G13D</w:t>
      </w:r>
      <w:r w:rsidR="00103445" w:rsidRPr="00EE48E2">
        <w:rPr>
          <w:rFonts w:ascii="Book Antiqua" w:hAnsi="Book Antiqua"/>
          <w:sz w:val="24"/>
          <w:szCs w:val="24"/>
          <w:lang w:val="en-GB"/>
        </w:rPr>
        <w:t xml:space="preserve"> mutation</w:t>
      </w:r>
      <w:r w:rsidR="00363A1A" w:rsidRPr="00EE48E2">
        <w:rPr>
          <w:rFonts w:ascii="Book Antiqua" w:hAnsi="Book Antiqua"/>
          <w:sz w:val="24"/>
          <w:szCs w:val="24"/>
          <w:lang w:val="en-GB"/>
        </w:rPr>
        <w:t xml:space="preserve">. The authors did not </w:t>
      </w:r>
      <w:r w:rsidR="00103445" w:rsidRPr="00EE48E2">
        <w:rPr>
          <w:rFonts w:ascii="Book Antiqua" w:hAnsi="Book Antiqua"/>
          <w:sz w:val="24"/>
          <w:szCs w:val="24"/>
          <w:lang w:val="en-GB"/>
        </w:rPr>
        <w:t xml:space="preserve">find </w:t>
      </w:r>
      <w:r w:rsidR="00363A1A" w:rsidRPr="00EE48E2">
        <w:rPr>
          <w:rFonts w:ascii="Book Antiqua" w:hAnsi="Book Antiqua"/>
          <w:sz w:val="24"/>
          <w:szCs w:val="24"/>
          <w:lang w:val="en-GB"/>
        </w:rPr>
        <w:t xml:space="preserve">any significant difference in terms of PFS or in OS between </w:t>
      </w:r>
      <w:r w:rsidR="00363A1A" w:rsidRPr="00EE48E2">
        <w:rPr>
          <w:rFonts w:ascii="Book Antiqua" w:hAnsi="Book Antiqua"/>
          <w:i/>
          <w:sz w:val="24"/>
          <w:szCs w:val="24"/>
          <w:lang w:val="en-GB"/>
        </w:rPr>
        <w:t>KRAS</w:t>
      </w:r>
      <w:r w:rsidR="00363A1A" w:rsidRPr="00EE48E2">
        <w:rPr>
          <w:rFonts w:ascii="Book Antiqua" w:hAnsi="Book Antiqua"/>
          <w:sz w:val="24"/>
          <w:szCs w:val="24"/>
          <w:lang w:val="en-GB"/>
        </w:rPr>
        <w:t xml:space="preserve"> G13D and other </w:t>
      </w:r>
      <w:r w:rsidR="00363A1A" w:rsidRPr="00EE48E2">
        <w:rPr>
          <w:rFonts w:ascii="Book Antiqua" w:hAnsi="Book Antiqua"/>
          <w:i/>
          <w:sz w:val="24"/>
          <w:szCs w:val="24"/>
          <w:lang w:val="en-GB"/>
        </w:rPr>
        <w:t>KRAS</w:t>
      </w:r>
      <w:r w:rsidR="00363A1A" w:rsidRPr="00EE48E2">
        <w:rPr>
          <w:rFonts w:ascii="Book Antiqua" w:hAnsi="Book Antiqua"/>
          <w:sz w:val="24"/>
          <w:szCs w:val="24"/>
          <w:lang w:val="en-GB"/>
        </w:rPr>
        <w:t xml:space="preserve"> mutations</w:t>
      </w:r>
      <w:r w:rsidR="00363A1A" w:rsidRPr="00EE48E2">
        <w:rPr>
          <w:rFonts w:ascii="Book Antiqua" w:hAnsi="Book Antiqua"/>
          <w:sz w:val="24"/>
          <w:szCs w:val="24"/>
          <w:vertAlign w:val="superscript"/>
          <w:lang w:val="en-GB"/>
        </w:rPr>
        <w:t>[4</w:t>
      </w:r>
      <w:r w:rsidR="00AF249E">
        <w:rPr>
          <w:rFonts w:ascii="Book Antiqua" w:hAnsi="Book Antiqua" w:hint="eastAsia"/>
          <w:sz w:val="24"/>
          <w:szCs w:val="24"/>
          <w:vertAlign w:val="superscript"/>
          <w:lang w:val="en-GB" w:eastAsia="zh-CN"/>
        </w:rPr>
        <w:t>6</w:t>
      </w:r>
      <w:r w:rsidR="00363A1A" w:rsidRPr="00EE48E2">
        <w:rPr>
          <w:rFonts w:ascii="Book Antiqua" w:hAnsi="Book Antiqua"/>
          <w:sz w:val="24"/>
          <w:szCs w:val="24"/>
          <w:vertAlign w:val="superscript"/>
          <w:lang w:val="en-GB"/>
        </w:rPr>
        <w:t>]</w:t>
      </w:r>
      <w:r w:rsidR="0019545D" w:rsidRPr="00EE48E2">
        <w:rPr>
          <w:rFonts w:ascii="Book Antiqua" w:hAnsi="Book Antiqua"/>
          <w:sz w:val="24"/>
          <w:szCs w:val="24"/>
          <w:lang w:val="en-GB"/>
        </w:rPr>
        <w:t xml:space="preserve">. </w:t>
      </w:r>
      <w:r w:rsidR="00363A1A" w:rsidRPr="00EE48E2">
        <w:rPr>
          <w:rFonts w:ascii="Book Antiqua" w:hAnsi="Book Antiqua"/>
          <w:sz w:val="24"/>
          <w:szCs w:val="24"/>
          <w:lang w:val="en-GB"/>
        </w:rPr>
        <w:t xml:space="preserve">Schirripa </w:t>
      </w:r>
      <w:r w:rsidR="00422FA4" w:rsidRPr="00EE48E2">
        <w:rPr>
          <w:rFonts w:ascii="Book Antiqua" w:hAnsi="Book Antiqua" w:hint="eastAsia"/>
          <w:i/>
          <w:sz w:val="24"/>
          <w:szCs w:val="24"/>
          <w:lang w:val="en-GB" w:eastAsia="zh-CN"/>
        </w:rPr>
        <w:t>et al</w:t>
      </w:r>
      <w:r w:rsidR="00422FA4" w:rsidRPr="00EE48E2">
        <w:rPr>
          <w:rFonts w:ascii="Book Antiqua" w:hAnsi="Book Antiqua"/>
          <w:sz w:val="24"/>
          <w:szCs w:val="24"/>
          <w:vertAlign w:val="superscript"/>
          <w:lang w:val="en-GB" w:eastAsia="zh-CN"/>
        </w:rPr>
        <w:t>[4</w:t>
      </w:r>
      <w:r w:rsidR="00AF249E">
        <w:rPr>
          <w:rFonts w:ascii="Book Antiqua" w:hAnsi="Book Antiqua" w:hint="eastAsia"/>
          <w:sz w:val="24"/>
          <w:szCs w:val="24"/>
          <w:vertAlign w:val="superscript"/>
          <w:lang w:val="en-GB" w:eastAsia="zh-CN"/>
        </w:rPr>
        <w:t>7</w:t>
      </w:r>
      <w:r w:rsidR="00422FA4" w:rsidRPr="00EE48E2">
        <w:rPr>
          <w:rFonts w:ascii="Book Antiqua" w:hAnsi="Book Antiqua"/>
          <w:sz w:val="24"/>
          <w:szCs w:val="24"/>
          <w:vertAlign w:val="superscript"/>
          <w:lang w:val="en-GB" w:eastAsia="zh-CN"/>
        </w:rPr>
        <w:t>]</w:t>
      </w:r>
      <w:r w:rsidR="00422FA4" w:rsidRPr="00EE48E2">
        <w:rPr>
          <w:rFonts w:ascii="Book Antiqua" w:hAnsi="Book Antiqua" w:hint="eastAsia"/>
          <w:sz w:val="24"/>
          <w:szCs w:val="24"/>
          <w:lang w:val="en-GB" w:eastAsia="zh-CN"/>
        </w:rPr>
        <w:t xml:space="preserve"> </w:t>
      </w:r>
      <w:r w:rsidR="00363A1A" w:rsidRPr="00EE48E2">
        <w:rPr>
          <w:rFonts w:ascii="Book Antiqua" w:hAnsi="Book Antiqua"/>
          <w:sz w:val="24"/>
          <w:szCs w:val="24"/>
          <w:lang w:val="en-GB"/>
        </w:rPr>
        <w:t>conducted a phase II single-arm trial to provide prospective proof of the clinical benefit of cetuximab in KRAS G13D mutant mCRC patients. However, among 12 treated patients, no responses have been observed</w:t>
      </w:r>
      <w:r w:rsidR="0019545D" w:rsidRPr="00EE48E2">
        <w:rPr>
          <w:rFonts w:ascii="Book Antiqua" w:hAnsi="Book Antiqua"/>
          <w:sz w:val="24"/>
          <w:szCs w:val="24"/>
          <w:lang w:val="en-GB"/>
        </w:rPr>
        <w:t xml:space="preserve">. </w:t>
      </w:r>
      <w:r w:rsidR="00735366" w:rsidRPr="00EE48E2">
        <w:rPr>
          <w:rFonts w:ascii="Book Antiqua" w:hAnsi="Book Antiqua"/>
          <w:sz w:val="24"/>
          <w:szCs w:val="24"/>
          <w:lang w:val="en-GB"/>
        </w:rPr>
        <w:t xml:space="preserve">Along the </w:t>
      </w:r>
      <w:r w:rsidR="00363A1A" w:rsidRPr="00EE48E2">
        <w:rPr>
          <w:rFonts w:ascii="Book Antiqua" w:hAnsi="Book Antiqua"/>
          <w:sz w:val="24"/>
          <w:szCs w:val="24"/>
          <w:lang w:val="en-GB"/>
        </w:rPr>
        <w:t>same line</w:t>
      </w:r>
      <w:r w:rsidR="00735366" w:rsidRPr="00EE48E2">
        <w:rPr>
          <w:rFonts w:ascii="Book Antiqua" w:hAnsi="Book Antiqua"/>
          <w:sz w:val="24"/>
          <w:szCs w:val="24"/>
          <w:lang w:val="en-GB"/>
        </w:rPr>
        <w:t>s,</w:t>
      </w:r>
      <w:r w:rsidR="00363A1A" w:rsidRPr="00EE48E2">
        <w:rPr>
          <w:rFonts w:ascii="Book Antiqua" w:hAnsi="Book Antiqua"/>
          <w:sz w:val="24"/>
          <w:szCs w:val="24"/>
          <w:lang w:val="en-GB"/>
        </w:rPr>
        <w:t xml:space="preserve"> the Australasian Gastro-Intestinal Trials Group recently published the results of the phase II ICE CREAM study (Irinotecan Cetuximab Evaluation and Cetuximab Response Evaluation Among Patients with a G13D Mutation)</w:t>
      </w:r>
      <w:r w:rsidR="00735366" w:rsidRPr="00EE48E2">
        <w:rPr>
          <w:rFonts w:ascii="Book Antiqua" w:hAnsi="Book Antiqua"/>
          <w:sz w:val="24"/>
          <w:szCs w:val="24"/>
          <w:lang w:val="en-GB"/>
        </w:rPr>
        <w:t>,</w:t>
      </w:r>
      <w:r w:rsidR="00363A1A" w:rsidRPr="00EE48E2">
        <w:rPr>
          <w:rFonts w:ascii="Book Antiqua" w:hAnsi="Book Antiqua"/>
          <w:sz w:val="24"/>
          <w:szCs w:val="24"/>
          <w:lang w:val="en-GB"/>
        </w:rPr>
        <w:t xml:space="preserve"> </w:t>
      </w:r>
      <w:r w:rsidR="00735366" w:rsidRPr="00EE48E2">
        <w:rPr>
          <w:rFonts w:ascii="Book Antiqua" w:hAnsi="Book Antiqua"/>
          <w:sz w:val="24"/>
          <w:szCs w:val="24"/>
          <w:lang w:val="en-GB"/>
        </w:rPr>
        <w:t>in which</w:t>
      </w:r>
      <w:r w:rsidR="00363A1A" w:rsidRPr="00EE48E2">
        <w:rPr>
          <w:rFonts w:ascii="Book Antiqua" w:hAnsi="Book Antiqua"/>
          <w:sz w:val="24"/>
          <w:szCs w:val="24"/>
          <w:lang w:val="en-GB"/>
        </w:rPr>
        <w:t xml:space="preserve"> patients with G13D-mutated chemotherapy-refractory mCRC, who had progressed within 6 months of irinotecan therapy, were randomly assigned to receive cetuximab with or without irinotecan. Among the 51 p</w:t>
      </w:r>
      <w:r w:rsidR="00735366" w:rsidRPr="00EE48E2">
        <w:rPr>
          <w:rFonts w:ascii="Book Antiqua" w:hAnsi="Book Antiqua"/>
          <w:sz w:val="24"/>
          <w:szCs w:val="24"/>
          <w:lang w:val="en-GB"/>
        </w:rPr>
        <w:t>atien</w:t>
      </w:r>
      <w:r w:rsidR="00363A1A" w:rsidRPr="00EE48E2">
        <w:rPr>
          <w:rFonts w:ascii="Book Antiqua" w:hAnsi="Book Antiqua"/>
          <w:sz w:val="24"/>
          <w:szCs w:val="24"/>
          <w:lang w:val="en-GB"/>
        </w:rPr>
        <w:t xml:space="preserve">ts recruited, there was no statistically significant improvement in disease control at 6 </w:t>
      </w:r>
      <w:r w:rsidR="00422FA4" w:rsidRPr="00EE48E2">
        <w:rPr>
          <w:rFonts w:ascii="Book Antiqua" w:hAnsi="Book Antiqua" w:hint="eastAsia"/>
          <w:sz w:val="24"/>
          <w:szCs w:val="24"/>
          <w:lang w:val="en-GB" w:eastAsia="zh-CN"/>
        </w:rPr>
        <w:t>mo</w:t>
      </w:r>
      <w:r w:rsidR="00363A1A" w:rsidRPr="00EE48E2">
        <w:rPr>
          <w:rFonts w:ascii="Book Antiqua" w:hAnsi="Book Antiqua"/>
          <w:sz w:val="24"/>
          <w:szCs w:val="24"/>
          <w:lang w:val="en-GB"/>
        </w:rPr>
        <w:t xml:space="preserve"> with either cetuximab monotherapy or cetuximab plus irinotecan. Furthermore</w:t>
      </w:r>
      <w:r w:rsidR="00735366" w:rsidRPr="00EE48E2">
        <w:rPr>
          <w:rFonts w:ascii="Book Antiqua" w:hAnsi="Book Antiqua"/>
          <w:sz w:val="24"/>
          <w:szCs w:val="24"/>
          <w:lang w:val="en-GB"/>
        </w:rPr>
        <w:t>,</w:t>
      </w:r>
      <w:r w:rsidR="00363A1A" w:rsidRPr="00EE48E2">
        <w:rPr>
          <w:rFonts w:ascii="Book Antiqua" w:hAnsi="Book Antiqua"/>
          <w:sz w:val="24"/>
          <w:szCs w:val="24"/>
          <w:lang w:val="en-GB"/>
        </w:rPr>
        <w:t xml:space="preserve"> no responses were</w:t>
      </w:r>
      <w:r w:rsidR="00DB342E" w:rsidRPr="00EE48E2">
        <w:rPr>
          <w:rFonts w:ascii="Book Antiqua" w:hAnsi="Book Antiqua"/>
          <w:sz w:val="24"/>
          <w:szCs w:val="24"/>
          <w:lang w:val="en-GB"/>
        </w:rPr>
        <w:t xml:space="preserve"> observed</w:t>
      </w:r>
      <w:r w:rsidR="00363A1A" w:rsidRPr="00EE48E2">
        <w:rPr>
          <w:rFonts w:ascii="Book Antiqua" w:hAnsi="Book Antiqua"/>
          <w:sz w:val="24"/>
          <w:szCs w:val="24"/>
          <w:lang w:val="en-GB"/>
        </w:rPr>
        <w:t xml:space="preserve"> with single-agent cetuximab</w:t>
      </w:r>
      <w:r w:rsidR="00363A1A" w:rsidRPr="00EE48E2">
        <w:rPr>
          <w:rFonts w:ascii="Book Antiqua" w:hAnsi="Book Antiqua"/>
          <w:sz w:val="24"/>
          <w:szCs w:val="24"/>
          <w:vertAlign w:val="superscript"/>
          <w:lang w:val="en-GB"/>
        </w:rPr>
        <w:t>[4</w:t>
      </w:r>
      <w:r w:rsidR="00AF249E">
        <w:rPr>
          <w:rFonts w:ascii="Book Antiqua" w:hAnsi="Book Antiqua" w:hint="eastAsia"/>
          <w:sz w:val="24"/>
          <w:szCs w:val="24"/>
          <w:vertAlign w:val="superscript"/>
          <w:lang w:val="en-GB" w:eastAsia="zh-CN"/>
        </w:rPr>
        <w:t>8</w:t>
      </w:r>
      <w:r w:rsidR="00363A1A" w:rsidRPr="00EE48E2">
        <w:rPr>
          <w:rFonts w:ascii="Book Antiqua" w:hAnsi="Book Antiqua"/>
          <w:sz w:val="24"/>
          <w:szCs w:val="24"/>
          <w:vertAlign w:val="superscript"/>
          <w:lang w:val="en-GB"/>
        </w:rPr>
        <w:t>]</w:t>
      </w:r>
      <w:r w:rsidR="0019545D" w:rsidRPr="00EE48E2">
        <w:rPr>
          <w:rFonts w:ascii="Book Antiqua" w:hAnsi="Book Antiqua"/>
          <w:sz w:val="24"/>
          <w:szCs w:val="24"/>
          <w:lang w:val="en-GB"/>
        </w:rPr>
        <w:t>.</w:t>
      </w:r>
    </w:p>
    <w:p w14:paraId="73C59749" w14:textId="621F86F0" w:rsidR="00363A1A" w:rsidRPr="00EE48E2" w:rsidRDefault="00EE48E2" w:rsidP="004D1833">
      <w:pPr>
        <w:adjustRightInd w:val="0"/>
        <w:snapToGrid w:val="0"/>
        <w:spacing w:after="0" w:line="360" w:lineRule="auto"/>
        <w:jc w:val="both"/>
        <w:rPr>
          <w:rFonts w:ascii="Book Antiqua" w:hAnsi="Book Antiqua"/>
          <w:sz w:val="24"/>
          <w:szCs w:val="24"/>
          <w:lang w:val="en-GB"/>
        </w:rPr>
      </w:pPr>
      <w:r w:rsidRPr="00EE48E2">
        <w:rPr>
          <w:rFonts w:ascii="Book Antiqua" w:hAnsi="Book Antiqua"/>
          <w:sz w:val="24"/>
          <w:szCs w:val="24"/>
          <w:lang w:val="en-GB"/>
        </w:rPr>
        <w:t xml:space="preserve">  </w:t>
      </w:r>
      <w:r w:rsidR="00363A1A" w:rsidRPr="00EE48E2">
        <w:rPr>
          <w:rFonts w:ascii="Book Antiqua" w:hAnsi="Book Antiqua"/>
          <w:sz w:val="24"/>
          <w:szCs w:val="24"/>
          <w:lang w:val="en-GB"/>
        </w:rPr>
        <w:t>The intra-</w:t>
      </w:r>
      <w:r w:rsidR="00866858" w:rsidRPr="00EE48E2">
        <w:rPr>
          <w:rFonts w:ascii="Book Antiqua" w:hAnsi="Book Antiqua"/>
          <w:sz w:val="24"/>
          <w:szCs w:val="24"/>
          <w:lang w:val="en-GB"/>
        </w:rPr>
        <w:t>tumour</w:t>
      </w:r>
      <w:r w:rsidR="00363A1A" w:rsidRPr="00EE48E2">
        <w:rPr>
          <w:rFonts w:ascii="Book Antiqua" w:hAnsi="Book Antiqua"/>
          <w:sz w:val="24"/>
          <w:szCs w:val="24"/>
          <w:lang w:val="en-GB"/>
        </w:rPr>
        <w:t xml:space="preserve"> heterogeneity </w:t>
      </w:r>
      <w:r w:rsidR="00DB342E" w:rsidRPr="00EE48E2">
        <w:rPr>
          <w:rFonts w:ascii="Book Antiqua" w:hAnsi="Book Antiqua"/>
          <w:sz w:val="24"/>
          <w:szCs w:val="24"/>
          <w:lang w:val="en-GB"/>
        </w:rPr>
        <w:t>noted</w:t>
      </w:r>
      <w:r w:rsidR="00363A1A" w:rsidRPr="00EE48E2">
        <w:rPr>
          <w:rFonts w:ascii="Book Antiqua" w:hAnsi="Book Antiqua"/>
          <w:sz w:val="24"/>
          <w:szCs w:val="24"/>
          <w:lang w:val="en-GB"/>
        </w:rPr>
        <w:t xml:space="preserve"> that CRC is often formed of clones with different mutational profile</w:t>
      </w:r>
      <w:r w:rsidR="007C694A" w:rsidRPr="00EE48E2">
        <w:rPr>
          <w:rFonts w:ascii="Book Antiqua" w:hAnsi="Book Antiqua"/>
          <w:sz w:val="24"/>
          <w:szCs w:val="24"/>
          <w:lang w:val="en-GB"/>
        </w:rPr>
        <w:t>s</w:t>
      </w:r>
      <w:r w:rsidR="00363A1A" w:rsidRPr="00EE48E2">
        <w:rPr>
          <w:rFonts w:ascii="Book Antiqua" w:hAnsi="Book Antiqua"/>
          <w:sz w:val="24"/>
          <w:szCs w:val="24"/>
          <w:lang w:val="en-GB"/>
        </w:rPr>
        <w:t xml:space="preserve"> and that in many </w:t>
      </w:r>
      <w:r w:rsidR="00866858" w:rsidRPr="00EE48E2">
        <w:rPr>
          <w:rFonts w:ascii="Book Antiqua" w:hAnsi="Book Antiqua"/>
          <w:sz w:val="24"/>
          <w:szCs w:val="24"/>
          <w:lang w:val="en-GB"/>
        </w:rPr>
        <w:t>tumour</w:t>
      </w:r>
      <w:r w:rsidR="00363A1A" w:rsidRPr="00EE48E2">
        <w:rPr>
          <w:rFonts w:ascii="Book Antiqua" w:hAnsi="Book Antiqua"/>
          <w:sz w:val="24"/>
          <w:szCs w:val="24"/>
          <w:lang w:val="en-GB"/>
        </w:rPr>
        <w:t xml:space="preserve">s </w:t>
      </w:r>
      <w:r w:rsidR="0019545D" w:rsidRPr="00EE48E2">
        <w:rPr>
          <w:rFonts w:ascii="Book Antiqua" w:hAnsi="Book Antiqua"/>
          <w:sz w:val="24"/>
          <w:szCs w:val="24"/>
          <w:lang w:val="en-GB"/>
        </w:rPr>
        <w:t>only a fraction of neoplastic cells carries</w:t>
      </w:r>
      <w:r w:rsidR="00363A1A" w:rsidRPr="00EE48E2">
        <w:rPr>
          <w:rFonts w:ascii="Book Antiqua" w:hAnsi="Book Antiqua"/>
          <w:sz w:val="24"/>
          <w:szCs w:val="24"/>
          <w:lang w:val="en-GB"/>
        </w:rPr>
        <w:t xml:space="preserve"> the mutant allele. Given these considerations, Normanno </w:t>
      </w:r>
      <w:r w:rsidR="0011477B" w:rsidRPr="00EE48E2">
        <w:rPr>
          <w:rFonts w:ascii="Book Antiqua" w:hAnsi="Book Antiqua"/>
          <w:sz w:val="24"/>
          <w:szCs w:val="24"/>
          <w:lang w:val="en-GB"/>
        </w:rPr>
        <w:t xml:space="preserve">and colleagues </w:t>
      </w:r>
      <w:r w:rsidR="00363A1A" w:rsidRPr="00EE48E2">
        <w:rPr>
          <w:rFonts w:ascii="Book Antiqua" w:hAnsi="Book Antiqua"/>
          <w:sz w:val="24"/>
          <w:szCs w:val="24"/>
          <w:lang w:val="en-GB"/>
        </w:rPr>
        <w:t xml:space="preserve">have proposed a quantitative assessment of </w:t>
      </w:r>
      <w:r w:rsidR="00363A1A" w:rsidRPr="00EE48E2">
        <w:rPr>
          <w:rFonts w:ascii="Book Antiqua" w:hAnsi="Book Antiqua"/>
          <w:i/>
          <w:sz w:val="24"/>
          <w:szCs w:val="24"/>
          <w:lang w:val="en-GB"/>
        </w:rPr>
        <w:t>KRAS</w:t>
      </w:r>
      <w:r w:rsidR="00363A1A" w:rsidRPr="00EE48E2">
        <w:rPr>
          <w:rFonts w:ascii="Book Antiqua" w:hAnsi="Book Antiqua"/>
          <w:sz w:val="24"/>
          <w:szCs w:val="24"/>
          <w:lang w:val="en-GB"/>
        </w:rPr>
        <w:t xml:space="preserve"> mutation load as a tool to discriminate whether a low content of </w:t>
      </w:r>
      <w:r w:rsidR="00363A1A" w:rsidRPr="00EE48E2">
        <w:rPr>
          <w:rFonts w:ascii="Book Antiqua" w:hAnsi="Book Antiqua"/>
          <w:i/>
          <w:sz w:val="24"/>
          <w:szCs w:val="24"/>
          <w:lang w:val="en-GB"/>
        </w:rPr>
        <w:t>KRAS</w:t>
      </w:r>
      <w:r w:rsidR="00363A1A" w:rsidRPr="00EE48E2">
        <w:rPr>
          <w:rFonts w:ascii="Book Antiqua" w:hAnsi="Book Antiqua"/>
          <w:sz w:val="24"/>
          <w:szCs w:val="24"/>
          <w:lang w:val="en-GB"/>
        </w:rPr>
        <w:t xml:space="preserve"> mutant alleles in mCRC cells may affect the response anti-EGFR moAbs. Although they found that patients with low </w:t>
      </w:r>
      <w:r w:rsidR="00363A1A" w:rsidRPr="00EE48E2">
        <w:rPr>
          <w:rFonts w:ascii="Book Antiqua" w:hAnsi="Book Antiqua"/>
          <w:i/>
          <w:sz w:val="24"/>
          <w:szCs w:val="24"/>
          <w:lang w:val="en-GB"/>
        </w:rPr>
        <w:t>KRAS</w:t>
      </w:r>
      <w:r w:rsidR="00363A1A" w:rsidRPr="00EE48E2">
        <w:rPr>
          <w:rFonts w:ascii="Book Antiqua" w:hAnsi="Book Antiqua"/>
          <w:sz w:val="24"/>
          <w:szCs w:val="24"/>
          <w:lang w:val="en-GB"/>
        </w:rPr>
        <w:t xml:space="preserve"> mutation content responded to EGFR-based therapy, this benefit did not translate in a PFS advantage; indeed</w:t>
      </w:r>
      <w:r w:rsidR="007C694A" w:rsidRPr="00EE48E2">
        <w:rPr>
          <w:rFonts w:ascii="Book Antiqua" w:hAnsi="Book Antiqua"/>
          <w:sz w:val="24"/>
          <w:szCs w:val="24"/>
          <w:lang w:val="en-GB"/>
        </w:rPr>
        <w:t>,</w:t>
      </w:r>
      <w:r w:rsidR="00363A1A" w:rsidRPr="00EE48E2">
        <w:rPr>
          <w:rFonts w:ascii="Book Antiqua" w:hAnsi="Book Antiqua"/>
          <w:sz w:val="24"/>
          <w:szCs w:val="24"/>
          <w:lang w:val="en-GB"/>
        </w:rPr>
        <w:t xml:space="preserve"> PFS was similar to </w:t>
      </w:r>
      <w:r w:rsidR="00363A1A" w:rsidRPr="00EE48E2">
        <w:rPr>
          <w:rFonts w:ascii="Book Antiqua" w:hAnsi="Book Antiqua"/>
          <w:sz w:val="24"/>
          <w:szCs w:val="24"/>
          <w:lang w:val="en-GB"/>
        </w:rPr>
        <w:lastRenderedPageBreak/>
        <w:t xml:space="preserve">patients with high KRAS </w:t>
      </w:r>
      <w:r w:rsidR="00866858" w:rsidRPr="00EE48E2">
        <w:rPr>
          <w:rFonts w:ascii="Book Antiqua" w:hAnsi="Book Antiqua"/>
          <w:sz w:val="24"/>
          <w:szCs w:val="24"/>
          <w:lang w:val="en-GB"/>
        </w:rPr>
        <w:t>tumour</w:t>
      </w:r>
      <w:r w:rsidR="00363A1A" w:rsidRPr="00EE48E2">
        <w:rPr>
          <w:rFonts w:ascii="Book Antiqua" w:hAnsi="Book Antiqua"/>
          <w:sz w:val="24"/>
          <w:szCs w:val="24"/>
          <w:lang w:val="en-GB"/>
        </w:rPr>
        <w:t xml:space="preserve">s. The authors have suggested that it might be explained by either the </w:t>
      </w:r>
      <w:r w:rsidR="007C694A" w:rsidRPr="00EE48E2">
        <w:rPr>
          <w:rFonts w:ascii="Book Antiqua" w:hAnsi="Book Antiqua"/>
          <w:sz w:val="24"/>
          <w:szCs w:val="24"/>
          <w:lang w:val="en-GB"/>
        </w:rPr>
        <w:t>expansion</w:t>
      </w:r>
      <w:r w:rsidR="00363A1A" w:rsidRPr="00EE48E2">
        <w:rPr>
          <w:rFonts w:ascii="Book Antiqua" w:hAnsi="Book Antiqua"/>
          <w:sz w:val="24"/>
          <w:szCs w:val="24"/>
          <w:lang w:val="en-GB"/>
        </w:rPr>
        <w:t xml:space="preserve"> of </w:t>
      </w:r>
      <w:r w:rsidR="007C694A" w:rsidRPr="00EE48E2">
        <w:rPr>
          <w:rFonts w:ascii="Book Antiqua" w:hAnsi="Book Antiqua"/>
          <w:sz w:val="24"/>
          <w:szCs w:val="24"/>
          <w:lang w:val="en-GB"/>
        </w:rPr>
        <w:t>a</w:t>
      </w:r>
      <w:r w:rsidR="00363A1A" w:rsidRPr="00EE48E2">
        <w:rPr>
          <w:rFonts w:ascii="Book Antiqua" w:hAnsi="Book Antiqua"/>
          <w:sz w:val="24"/>
          <w:szCs w:val="24"/>
          <w:lang w:val="en-GB"/>
        </w:rPr>
        <w:t xml:space="preserve"> </w:t>
      </w:r>
      <w:r w:rsidR="007C694A" w:rsidRPr="00EE48E2">
        <w:rPr>
          <w:rFonts w:ascii="Book Antiqua" w:hAnsi="Book Antiqua"/>
          <w:sz w:val="24"/>
          <w:szCs w:val="24"/>
          <w:lang w:val="en-GB"/>
        </w:rPr>
        <w:t>small</w:t>
      </w:r>
      <w:r w:rsidR="00363A1A" w:rsidRPr="00EE48E2">
        <w:rPr>
          <w:rFonts w:ascii="Book Antiqua" w:hAnsi="Book Antiqua"/>
          <w:sz w:val="24"/>
          <w:szCs w:val="24"/>
          <w:lang w:val="en-GB"/>
        </w:rPr>
        <w:t xml:space="preserve"> fraction of cells carrying </w:t>
      </w:r>
      <w:r w:rsidR="007C694A" w:rsidRPr="00EE48E2">
        <w:rPr>
          <w:rFonts w:ascii="Book Antiqua" w:hAnsi="Book Antiqua"/>
          <w:sz w:val="24"/>
          <w:szCs w:val="24"/>
          <w:lang w:val="en-GB"/>
        </w:rPr>
        <w:t xml:space="preserve">a </w:t>
      </w:r>
      <w:r w:rsidR="00363A1A" w:rsidRPr="00EE48E2">
        <w:rPr>
          <w:rFonts w:ascii="Book Antiqua" w:hAnsi="Book Antiqua"/>
          <w:sz w:val="24"/>
          <w:szCs w:val="24"/>
          <w:lang w:val="en-GB"/>
        </w:rPr>
        <w:t xml:space="preserve">resistance mutation </w:t>
      </w:r>
      <w:r w:rsidR="007C694A" w:rsidRPr="00EE48E2">
        <w:rPr>
          <w:rFonts w:ascii="Book Antiqua" w:hAnsi="Book Antiqua"/>
          <w:sz w:val="24"/>
          <w:szCs w:val="24"/>
          <w:lang w:val="en-GB"/>
        </w:rPr>
        <w:t>or</w:t>
      </w:r>
      <w:r w:rsidR="00363A1A" w:rsidRPr="00EE48E2">
        <w:rPr>
          <w:rFonts w:ascii="Book Antiqua" w:hAnsi="Book Antiqua"/>
          <w:sz w:val="24"/>
          <w:szCs w:val="24"/>
          <w:lang w:val="en-GB"/>
        </w:rPr>
        <w:t xml:space="preserve"> by the coexistence, in several low </w:t>
      </w:r>
      <w:r w:rsidR="00363A1A" w:rsidRPr="00EE48E2">
        <w:rPr>
          <w:rFonts w:ascii="Book Antiqua" w:hAnsi="Book Antiqua"/>
          <w:i/>
          <w:sz w:val="24"/>
          <w:szCs w:val="24"/>
          <w:lang w:val="en-GB"/>
        </w:rPr>
        <w:t>KRAS</w:t>
      </w:r>
      <w:r w:rsidR="00363A1A" w:rsidRPr="00EE48E2">
        <w:rPr>
          <w:rFonts w:ascii="Book Antiqua" w:hAnsi="Book Antiqua"/>
          <w:sz w:val="24"/>
          <w:szCs w:val="24"/>
          <w:lang w:val="en-GB"/>
        </w:rPr>
        <w:t xml:space="preserve"> mutated </w:t>
      </w:r>
      <w:r w:rsidR="00866858" w:rsidRPr="00EE48E2">
        <w:rPr>
          <w:rFonts w:ascii="Book Antiqua" w:hAnsi="Book Antiqua"/>
          <w:sz w:val="24"/>
          <w:szCs w:val="24"/>
          <w:lang w:val="en-GB"/>
        </w:rPr>
        <w:t>tumour</w:t>
      </w:r>
      <w:r w:rsidR="00363A1A" w:rsidRPr="00EE48E2">
        <w:rPr>
          <w:rFonts w:ascii="Book Antiqua" w:hAnsi="Book Antiqua"/>
          <w:sz w:val="24"/>
          <w:szCs w:val="24"/>
          <w:lang w:val="en-GB"/>
        </w:rPr>
        <w:t xml:space="preserve">s, of other mutations such as </w:t>
      </w:r>
      <w:r w:rsidR="00363A1A" w:rsidRPr="00EE48E2">
        <w:rPr>
          <w:rFonts w:ascii="Book Antiqua" w:hAnsi="Book Antiqua"/>
          <w:i/>
          <w:sz w:val="24"/>
          <w:szCs w:val="24"/>
          <w:lang w:val="en-GB"/>
        </w:rPr>
        <w:t>BRAF</w:t>
      </w:r>
      <w:r w:rsidR="00363A1A" w:rsidRPr="00EE48E2">
        <w:rPr>
          <w:rFonts w:ascii="Book Antiqua" w:hAnsi="Book Antiqua"/>
          <w:sz w:val="24"/>
          <w:szCs w:val="24"/>
          <w:lang w:val="en-GB"/>
        </w:rPr>
        <w:t xml:space="preserve"> and </w:t>
      </w:r>
      <w:r w:rsidR="00363A1A" w:rsidRPr="00EE48E2">
        <w:rPr>
          <w:rFonts w:ascii="Book Antiqua" w:hAnsi="Book Antiqua"/>
          <w:i/>
          <w:sz w:val="24"/>
          <w:szCs w:val="24"/>
          <w:lang w:val="en-GB"/>
        </w:rPr>
        <w:t>PIK3CA</w:t>
      </w:r>
      <w:r w:rsidR="00363A1A" w:rsidRPr="00EE48E2">
        <w:rPr>
          <w:rFonts w:ascii="Book Antiqua" w:hAnsi="Book Antiqua"/>
          <w:sz w:val="24"/>
          <w:szCs w:val="24"/>
          <w:lang w:val="en-GB"/>
        </w:rPr>
        <w:t>. A quantitative assessment of mutational load might be useful to identify the priority target for therapeutic intervention</w:t>
      </w:r>
      <w:r w:rsidR="007C694A" w:rsidRPr="00EE48E2">
        <w:rPr>
          <w:rFonts w:ascii="Book Antiqua" w:hAnsi="Book Antiqua"/>
          <w:sz w:val="24"/>
          <w:szCs w:val="24"/>
          <w:lang w:val="en-GB"/>
        </w:rPr>
        <w:t>;</w:t>
      </w:r>
      <w:r w:rsidR="00363A1A" w:rsidRPr="00EE48E2">
        <w:rPr>
          <w:rFonts w:ascii="Book Antiqua" w:hAnsi="Book Antiqua"/>
          <w:sz w:val="24"/>
          <w:szCs w:val="24"/>
          <w:lang w:val="en-GB"/>
        </w:rPr>
        <w:t xml:space="preserve"> however</w:t>
      </w:r>
      <w:r w:rsidR="007C694A" w:rsidRPr="00EE48E2">
        <w:rPr>
          <w:rFonts w:ascii="Book Antiqua" w:hAnsi="Book Antiqua"/>
          <w:sz w:val="24"/>
          <w:szCs w:val="24"/>
          <w:lang w:val="en-GB"/>
        </w:rPr>
        <w:t>,</w:t>
      </w:r>
      <w:r w:rsidR="00363A1A" w:rsidRPr="00EE48E2">
        <w:rPr>
          <w:rFonts w:ascii="Book Antiqua" w:hAnsi="Book Antiqua"/>
          <w:sz w:val="24"/>
          <w:szCs w:val="24"/>
          <w:lang w:val="en-GB"/>
        </w:rPr>
        <w:t xml:space="preserve"> the complexity </w:t>
      </w:r>
      <w:r w:rsidR="007C694A" w:rsidRPr="00EE48E2">
        <w:rPr>
          <w:rFonts w:ascii="Book Antiqua" w:hAnsi="Book Antiqua"/>
          <w:sz w:val="24"/>
          <w:szCs w:val="24"/>
          <w:lang w:val="en-GB"/>
        </w:rPr>
        <w:t>of</w:t>
      </w:r>
      <w:r w:rsidR="00363A1A" w:rsidRPr="00EE48E2">
        <w:rPr>
          <w:rFonts w:ascii="Book Antiqua" w:hAnsi="Book Antiqua"/>
          <w:sz w:val="24"/>
          <w:szCs w:val="24"/>
          <w:lang w:val="en-GB"/>
        </w:rPr>
        <w:t xml:space="preserve"> </w:t>
      </w:r>
      <w:r w:rsidR="00866858" w:rsidRPr="00EE48E2">
        <w:rPr>
          <w:rFonts w:ascii="Book Antiqua" w:hAnsi="Book Antiqua"/>
          <w:sz w:val="24"/>
          <w:szCs w:val="24"/>
          <w:lang w:val="en-GB"/>
        </w:rPr>
        <w:t>tumour</w:t>
      </w:r>
      <w:r w:rsidR="00363A1A" w:rsidRPr="00EE48E2">
        <w:rPr>
          <w:rFonts w:ascii="Book Antiqua" w:hAnsi="Book Antiqua"/>
          <w:sz w:val="24"/>
          <w:szCs w:val="24"/>
          <w:lang w:val="en-GB"/>
        </w:rPr>
        <w:t xml:space="preserve"> mutational profile</w:t>
      </w:r>
      <w:r w:rsidR="007C694A" w:rsidRPr="00EE48E2">
        <w:rPr>
          <w:rFonts w:ascii="Book Antiqua" w:hAnsi="Book Antiqua"/>
          <w:sz w:val="24"/>
          <w:szCs w:val="24"/>
          <w:lang w:val="en-GB"/>
        </w:rPr>
        <w:t>s</w:t>
      </w:r>
      <w:r w:rsidR="00363A1A" w:rsidRPr="00EE48E2">
        <w:rPr>
          <w:rFonts w:ascii="Book Antiqua" w:hAnsi="Book Antiqua"/>
          <w:sz w:val="24"/>
          <w:szCs w:val="24"/>
          <w:lang w:val="en-GB"/>
        </w:rPr>
        <w:t xml:space="preserve"> suggests that for many </w:t>
      </w:r>
      <w:r w:rsidR="00866858" w:rsidRPr="00EE48E2">
        <w:rPr>
          <w:rFonts w:ascii="Book Antiqua" w:hAnsi="Book Antiqua"/>
          <w:sz w:val="24"/>
          <w:szCs w:val="24"/>
          <w:lang w:val="en-GB"/>
        </w:rPr>
        <w:t>tumour</w:t>
      </w:r>
      <w:r w:rsidR="00363A1A" w:rsidRPr="00EE48E2">
        <w:rPr>
          <w:rFonts w:ascii="Book Antiqua" w:hAnsi="Book Antiqua"/>
          <w:sz w:val="24"/>
          <w:szCs w:val="24"/>
          <w:lang w:val="en-GB"/>
        </w:rPr>
        <w:t>s combinations of target</w:t>
      </w:r>
      <w:r w:rsidR="007C694A" w:rsidRPr="00EE48E2">
        <w:rPr>
          <w:rFonts w:ascii="Book Antiqua" w:hAnsi="Book Antiqua"/>
          <w:sz w:val="24"/>
          <w:szCs w:val="24"/>
          <w:lang w:val="en-GB"/>
        </w:rPr>
        <w:t>-</w:t>
      </w:r>
      <w:r w:rsidR="00363A1A" w:rsidRPr="00EE48E2">
        <w:rPr>
          <w:rFonts w:ascii="Book Antiqua" w:hAnsi="Book Antiqua"/>
          <w:sz w:val="24"/>
          <w:szCs w:val="24"/>
          <w:lang w:val="en-GB"/>
        </w:rPr>
        <w:t xml:space="preserve">based agents will likely to be necessary to control </w:t>
      </w:r>
      <w:r w:rsidR="00866858" w:rsidRPr="00EE48E2">
        <w:rPr>
          <w:rFonts w:ascii="Book Antiqua" w:hAnsi="Book Antiqua"/>
          <w:sz w:val="24"/>
          <w:szCs w:val="24"/>
          <w:lang w:val="en-GB"/>
        </w:rPr>
        <w:t>tumour</w:t>
      </w:r>
      <w:r w:rsidR="00363A1A" w:rsidRPr="00EE48E2">
        <w:rPr>
          <w:rFonts w:ascii="Book Antiqua" w:hAnsi="Book Antiqua"/>
          <w:sz w:val="24"/>
          <w:szCs w:val="24"/>
          <w:lang w:val="en-GB"/>
        </w:rPr>
        <w:t xml:space="preserve"> growth</w:t>
      </w:r>
      <w:r w:rsidR="00363A1A" w:rsidRPr="00EE48E2">
        <w:rPr>
          <w:rFonts w:ascii="Book Antiqua" w:hAnsi="Book Antiqua"/>
          <w:sz w:val="24"/>
          <w:szCs w:val="24"/>
          <w:vertAlign w:val="superscript"/>
          <w:lang w:val="en-GB"/>
        </w:rPr>
        <w:t>[</w:t>
      </w:r>
      <w:r w:rsidR="00AF249E">
        <w:rPr>
          <w:rFonts w:ascii="Book Antiqua" w:hAnsi="Book Antiqua" w:hint="eastAsia"/>
          <w:sz w:val="24"/>
          <w:szCs w:val="24"/>
          <w:vertAlign w:val="superscript"/>
          <w:lang w:val="en-GB" w:eastAsia="zh-CN"/>
        </w:rPr>
        <w:t>49</w:t>
      </w:r>
      <w:r w:rsidR="00363A1A" w:rsidRPr="00EE48E2">
        <w:rPr>
          <w:rFonts w:ascii="Book Antiqua" w:hAnsi="Book Antiqua"/>
          <w:sz w:val="24"/>
          <w:szCs w:val="24"/>
          <w:vertAlign w:val="superscript"/>
          <w:lang w:val="en-GB"/>
        </w:rPr>
        <w:t>]</w:t>
      </w:r>
      <w:r w:rsidR="0019545D" w:rsidRPr="00EE48E2">
        <w:rPr>
          <w:rFonts w:ascii="Book Antiqua" w:hAnsi="Book Antiqua"/>
          <w:sz w:val="24"/>
          <w:szCs w:val="24"/>
          <w:lang w:val="en-GB"/>
        </w:rPr>
        <w:t>.</w:t>
      </w:r>
    </w:p>
    <w:p w14:paraId="7E49B70A" w14:textId="40088533" w:rsidR="00363A1A" w:rsidRPr="00EE48E2" w:rsidRDefault="00EE48E2" w:rsidP="004D1833">
      <w:pPr>
        <w:adjustRightInd w:val="0"/>
        <w:snapToGrid w:val="0"/>
        <w:spacing w:after="0" w:line="360" w:lineRule="auto"/>
        <w:jc w:val="both"/>
        <w:rPr>
          <w:rFonts w:ascii="Book Antiqua" w:hAnsi="Book Antiqua"/>
          <w:sz w:val="24"/>
          <w:szCs w:val="24"/>
          <w:lang w:val="en-GB"/>
        </w:rPr>
      </w:pPr>
      <w:r w:rsidRPr="00EE48E2">
        <w:rPr>
          <w:rFonts w:ascii="Book Antiqua" w:hAnsi="Book Antiqua"/>
          <w:sz w:val="24"/>
          <w:szCs w:val="24"/>
          <w:lang w:val="en-GB"/>
        </w:rPr>
        <w:t xml:space="preserve"> </w:t>
      </w:r>
      <w:r w:rsidR="00422FA4" w:rsidRPr="00EE48E2">
        <w:rPr>
          <w:rFonts w:ascii="Book Antiqua" w:hAnsi="Book Antiqua" w:hint="eastAsia"/>
          <w:sz w:val="24"/>
          <w:szCs w:val="24"/>
          <w:lang w:val="en-GB" w:eastAsia="zh-CN"/>
        </w:rPr>
        <w:t xml:space="preserve"> </w:t>
      </w:r>
      <w:r w:rsidR="00363A1A" w:rsidRPr="00EE48E2">
        <w:rPr>
          <w:rFonts w:ascii="Book Antiqua" w:hAnsi="Book Antiqua"/>
          <w:sz w:val="24"/>
          <w:szCs w:val="24"/>
          <w:lang w:val="en-GB"/>
        </w:rPr>
        <w:t>Considering the key role of RAS mutations as mechanisms of resistance to anti-EGFR moAbs</w:t>
      </w:r>
      <w:r w:rsidR="00CE6A32" w:rsidRPr="00EE48E2">
        <w:rPr>
          <w:rFonts w:ascii="Book Antiqua" w:hAnsi="Book Antiqua"/>
          <w:sz w:val="24"/>
          <w:szCs w:val="24"/>
          <w:lang w:val="en-GB"/>
        </w:rPr>
        <w:t>,</w:t>
      </w:r>
      <w:r w:rsidR="00363A1A" w:rsidRPr="00EE48E2">
        <w:rPr>
          <w:rFonts w:ascii="Book Antiqua" w:hAnsi="Book Antiqua"/>
          <w:sz w:val="24"/>
          <w:szCs w:val="24"/>
          <w:lang w:val="en-GB"/>
        </w:rPr>
        <w:t xml:space="preserve"> many approaches have been investigated to target </w:t>
      </w:r>
      <w:r w:rsidR="00CE6A32" w:rsidRPr="00EE48E2">
        <w:rPr>
          <w:rFonts w:ascii="Book Antiqua" w:hAnsi="Book Antiqua"/>
          <w:sz w:val="24"/>
          <w:szCs w:val="24"/>
          <w:lang w:val="en-GB"/>
        </w:rPr>
        <w:t>these mutations</w:t>
      </w:r>
      <w:r w:rsidR="00363A1A" w:rsidRPr="00EE48E2">
        <w:rPr>
          <w:rFonts w:ascii="Book Antiqua" w:hAnsi="Book Antiqua"/>
          <w:sz w:val="24"/>
          <w:szCs w:val="24"/>
          <w:lang w:val="en-GB"/>
        </w:rPr>
        <w:t>. One of the earlier approaches was the inhibition of RAS farnesylation that showed a potent anti</w:t>
      </w:r>
      <w:r w:rsidR="00866858" w:rsidRPr="00EE48E2">
        <w:rPr>
          <w:rFonts w:ascii="Book Antiqua" w:hAnsi="Book Antiqua"/>
          <w:sz w:val="24"/>
          <w:szCs w:val="24"/>
          <w:lang w:val="en-GB"/>
        </w:rPr>
        <w:t>tumour</w:t>
      </w:r>
      <w:r w:rsidR="00363A1A" w:rsidRPr="00EE48E2">
        <w:rPr>
          <w:rFonts w:ascii="Book Antiqua" w:hAnsi="Book Antiqua"/>
          <w:sz w:val="24"/>
          <w:szCs w:val="24"/>
          <w:lang w:val="en-GB"/>
        </w:rPr>
        <w:t xml:space="preserve"> activity in preclinical studies; however, this </w:t>
      </w:r>
      <w:r w:rsidR="00CE6A32" w:rsidRPr="00EE48E2">
        <w:rPr>
          <w:rFonts w:ascii="Book Antiqua" w:hAnsi="Book Antiqua"/>
          <w:sz w:val="24"/>
          <w:szCs w:val="24"/>
          <w:lang w:val="en-GB"/>
        </w:rPr>
        <w:t>result</w:t>
      </w:r>
      <w:r w:rsidR="00363A1A" w:rsidRPr="00EE48E2">
        <w:rPr>
          <w:rFonts w:ascii="Book Antiqua" w:hAnsi="Book Antiqua"/>
          <w:sz w:val="24"/>
          <w:szCs w:val="24"/>
          <w:lang w:val="en-GB"/>
        </w:rPr>
        <w:t xml:space="preserve"> was not confirmed in clinical experience</w:t>
      </w:r>
      <w:r w:rsidR="0019545D" w:rsidRPr="00EE48E2">
        <w:rPr>
          <w:rFonts w:ascii="Book Antiqua" w:hAnsi="Book Antiqua"/>
          <w:sz w:val="24"/>
          <w:szCs w:val="24"/>
          <w:lang w:val="en-GB"/>
        </w:rPr>
        <w:t>.</w:t>
      </w:r>
      <w:r w:rsidR="00363A1A" w:rsidRPr="00EE48E2">
        <w:rPr>
          <w:rFonts w:ascii="Book Antiqua" w:hAnsi="Book Antiqua"/>
          <w:sz w:val="24"/>
          <w:szCs w:val="24"/>
          <w:lang w:val="en-GB"/>
        </w:rPr>
        <w:t xml:space="preserve"> </w:t>
      </w:r>
      <w:r w:rsidR="00CE6A32" w:rsidRPr="00EE48E2">
        <w:rPr>
          <w:rFonts w:ascii="Book Antiqua" w:hAnsi="Book Antiqua"/>
          <w:sz w:val="24"/>
          <w:szCs w:val="24"/>
          <w:lang w:val="en-GB"/>
        </w:rPr>
        <w:t>S</w:t>
      </w:r>
      <w:r w:rsidR="00363A1A" w:rsidRPr="00EE48E2">
        <w:rPr>
          <w:rFonts w:ascii="Book Antiqua" w:hAnsi="Book Antiqua"/>
          <w:sz w:val="24"/>
          <w:szCs w:val="24"/>
          <w:lang w:val="en-GB"/>
        </w:rPr>
        <w:t xml:space="preserve">everal </w:t>
      </w:r>
      <w:r w:rsidR="00CE6A32" w:rsidRPr="00EE48E2">
        <w:rPr>
          <w:rFonts w:ascii="Book Antiqua" w:hAnsi="Book Antiqua"/>
          <w:sz w:val="24"/>
          <w:szCs w:val="24"/>
          <w:lang w:val="en-GB"/>
        </w:rPr>
        <w:t xml:space="preserve">other </w:t>
      </w:r>
      <w:r w:rsidR="00363A1A" w:rsidRPr="00EE48E2">
        <w:rPr>
          <w:rFonts w:ascii="Book Antiqua" w:hAnsi="Book Antiqua"/>
          <w:sz w:val="24"/>
          <w:szCs w:val="24"/>
          <w:lang w:val="en-GB"/>
        </w:rPr>
        <w:t>approaches have been used to target RAS: blocking downstream effectors</w:t>
      </w:r>
      <w:r w:rsidR="00DB342E" w:rsidRPr="00EE48E2">
        <w:rPr>
          <w:rFonts w:ascii="Book Antiqua" w:hAnsi="Book Antiqua"/>
          <w:sz w:val="24"/>
          <w:szCs w:val="24"/>
          <w:lang w:val="en-GB"/>
        </w:rPr>
        <w:t xml:space="preserve"> such as </w:t>
      </w:r>
      <w:r w:rsidR="00363A1A" w:rsidRPr="00EE48E2">
        <w:rPr>
          <w:rFonts w:ascii="Book Antiqua" w:hAnsi="Book Antiqua"/>
          <w:sz w:val="24"/>
          <w:szCs w:val="24"/>
          <w:lang w:val="en-GB"/>
        </w:rPr>
        <w:t xml:space="preserve">MEK and PIK3CA, identification of synthetic lethal (SL) interactions with mutant </w:t>
      </w:r>
      <w:r w:rsidR="00363A1A" w:rsidRPr="00EE48E2">
        <w:rPr>
          <w:rFonts w:ascii="Book Antiqua" w:hAnsi="Book Antiqua"/>
          <w:i/>
          <w:sz w:val="24"/>
          <w:szCs w:val="24"/>
          <w:lang w:val="en-GB"/>
        </w:rPr>
        <w:t>KRAS</w:t>
      </w:r>
      <w:r w:rsidR="00CE6A32" w:rsidRPr="00EE48E2">
        <w:rPr>
          <w:rFonts w:ascii="Book Antiqua" w:hAnsi="Book Antiqua"/>
          <w:sz w:val="24"/>
          <w:szCs w:val="24"/>
          <w:lang w:val="en-GB"/>
        </w:rPr>
        <w:t>,</w:t>
      </w:r>
      <w:r w:rsidR="00363A1A" w:rsidRPr="00EE48E2">
        <w:rPr>
          <w:rFonts w:ascii="Book Antiqua" w:hAnsi="Book Antiqua"/>
          <w:sz w:val="24"/>
          <w:szCs w:val="24"/>
          <w:lang w:val="en-GB"/>
        </w:rPr>
        <w:t xml:space="preserve"> or the use of small molecule inhibitors of KRAS</w:t>
      </w:r>
      <w:r w:rsidR="00422FA4" w:rsidRPr="00EE48E2">
        <w:rPr>
          <w:rFonts w:ascii="Book Antiqua" w:hAnsi="Book Antiqua"/>
          <w:sz w:val="24"/>
          <w:szCs w:val="24"/>
          <w:vertAlign w:val="superscript"/>
          <w:lang w:val="en-GB"/>
        </w:rPr>
        <w:t>[4</w:t>
      </w:r>
      <w:r w:rsidR="00AF249E">
        <w:rPr>
          <w:rFonts w:ascii="Book Antiqua" w:hAnsi="Book Antiqua" w:hint="eastAsia"/>
          <w:sz w:val="24"/>
          <w:szCs w:val="24"/>
          <w:vertAlign w:val="superscript"/>
          <w:lang w:val="en-GB" w:eastAsia="zh-CN"/>
        </w:rPr>
        <w:t>2</w:t>
      </w:r>
      <w:r w:rsidR="00422FA4" w:rsidRPr="00EE48E2">
        <w:rPr>
          <w:rFonts w:ascii="Book Antiqua" w:hAnsi="Book Antiqua"/>
          <w:sz w:val="24"/>
          <w:szCs w:val="24"/>
          <w:vertAlign w:val="superscript"/>
          <w:lang w:val="en-GB"/>
        </w:rPr>
        <w:t>,</w:t>
      </w:r>
      <w:r w:rsidR="00363A1A" w:rsidRPr="00EE48E2">
        <w:rPr>
          <w:rFonts w:ascii="Book Antiqua" w:hAnsi="Book Antiqua"/>
          <w:sz w:val="24"/>
          <w:szCs w:val="24"/>
          <w:vertAlign w:val="superscript"/>
          <w:lang w:val="en-GB"/>
        </w:rPr>
        <w:t>5</w:t>
      </w:r>
      <w:r w:rsidR="00AF249E">
        <w:rPr>
          <w:rFonts w:ascii="Book Antiqua" w:hAnsi="Book Antiqua" w:hint="eastAsia"/>
          <w:sz w:val="24"/>
          <w:szCs w:val="24"/>
          <w:vertAlign w:val="superscript"/>
          <w:lang w:val="en-GB" w:eastAsia="zh-CN"/>
        </w:rPr>
        <w:t>0</w:t>
      </w:r>
      <w:r w:rsidR="00363A1A" w:rsidRPr="00EE48E2">
        <w:rPr>
          <w:rFonts w:ascii="Book Antiqua" w:hAnsi="Book Antiqua"/>
          <w:sz w:val="24"/>
          <w:szCs w:val="24"/>
          <w:vertAlign w:val="superscript"/>
          <w:lang w:val="en-GB"/>
        </w:rPr>
        <w:t>-5</w:t>
      </w:r>
      <w:r w:rsidR="00AF249E">
        <w:rPr>
          <w:rFonts w:ascii="Book Antiqua" w:hAnsi="Book Antiqua" w:hint="eastAsia"/>
          <w:sz w:val="24"/>
          <w:szCs w:val="24"/>
          <w:vertAlign w:val="superscript"/>
          <w:lang w:val="en-GB" w:eastAsia="zh-CN"/>
        </w:rPr>
        <w:t>4</w:t>
      </w:r>
      <w:r w:rsidR="00363A1A" w:rsidRPr="00EE48E2">
        <w:rPr>
          <w:rFonts w:ascii="Book Antiqua" w:hAnsi="Book Antiqua"/>
          <w:sz w:val="24"/>
          <w:szCs w:val="24"/>
          <w:vertAlign w:val="superscript"/>
          <w:lang w:val="en-GB"/>
        </w:rPr>
        <w:t>]</w:t>
      </w:r>
      <w:r w:rsidR="0019545D" w:rsidRPr="00EE48E2">
        <w:rPr>
          <w:rFonts w:ascii="Book Antiqua" w:hAnsi="Book Antiqua"/>
          <w:sz w:val="24"/>
          <w:szCs w:val="24"/>
          <w:lang w:val="en-GB"/>
        </w:rPr>
        <w:t xml:space="preserve">. </w:t>
      </w:r>
      <w:r w:rsidR="00363A1A" w:rsidRPr="00EE48E2">
        <w:rPr>
          <w:rFonts w:ascii="Book Antiqua" w:hAnsi="Book Antiqua"/>
          <w:sz w:val="24"/>
          <w:szCs w:val="24"/>
          <w:lang w:val="en-GB"/>
        </w:rPr>
        <w:t>Recently, a combination therapy co-targeting MEK and CDK4/6 with trametinib and palbociclib</w:t>
      </w:r>
      <w:r w:rsidR="00CE6A32" w:rsidRPr="00EE48E2">
        <w:rPr>
          <w:rFonts w:ascii="Book Antiqua" w:hAnsi="Book Antiqua"/>
          <w:sz w:val="24"/>
          <w:szCs w:val="24"/>
          <w:lang w:val="en-GB"/>
        </w:rPr>
        <w:t>,</w:t>
      </w:r>
      <w:r w:rsidR="00363A1A" w:rsidRPr="00EE48E2">
        <w:rPr>
          <w:rFonts w:ascii="Book Antiqua" w:hAnsi="Book Antiqua"/>
          <w:sz w:val="24"/>
          <w:szCs w:val="24"/>
          <w:lang w:val="en-GB"/>
        </w:rPr>
        <w:t xml:space="preserve"> respectively, </w:t>
      </w:r>
      <w:r w:rsidR="00CE6A32" w:rsidRPr="00EE48E2">
        <w:rPr>
          <w:rFonts w:ascii="Book Antiqua" w:hAnsi="Book Antiqua"/>
          <w:sz w:val="24"/>
          <w:szCs w:val="24"/>
          <w:lang w:val="en-GB"/>
        </w:rPr>
        <w:t xml:space="preserve">was </w:t>
      </w:r>
      <w:r w:rsidR="00363A1A" w:rsidRPr="00EE48E2">
        <w:rPr>
          <w:rFonts w:ascii="Book Antiqua" w:hAnsi="Book Antiqua"/>
          <w:sz w:val="24"/>
          <w:szCs w:val="24"/>
          <w:lang w:val="en-GB"/>
        </w:rPr>
        <w:t xml:space="preserve">well tolerated and highly efficacious in </w:t>
      </w:r>
      <w:r w:rsidR="00363A1A" w:rsidRPr="00EE48E2">
        <w:rPr>
          <w:rFonts w:ascii="Book Antiqua" w:hAnsi="Book Antiqua"/>
          <w:i/>
          <w:sz w:val="24"/>
          <w:szCs w:val="24"/>
          <w:lang w:val="en-GB"/>
        </w:rPr>
        <w:t>KRAS</w:t>
      </w:r>
      <w:r w:rsidR="00363A1A" w:rsidRPr="00EE48E2">
        <w:rPr>
          <w:rFonts w:ascii="Book Antiqua" w:hAnsi="Book Antiqua"/>
          <w:sz w:val="24"/>
          <w:szCs w:val="24"/>
          <w:lang w:val="en-GB"/>
        </w:rPr>
        <w:t xml:space="preserve">-mutant colorectal cancer patient </w:t>
      </w:r>
      <w:r w:rsidR="00866858" w:rsidRPr="00EE48E2">
        <w:rPr>
          <w:rFonts w:ascii="Book Antiqua" w:hAnsi="Book Antiqua"/>
          <w:sz w:val="24"/>
          <w:szCs w:val="24"/>
          <w:lang w:val="en-GB"/>
        </w:rPr>
        <w:t>tumour</w:t>
      </w:r>
      <w:r w:rsidR="00CE6A32" w:rsidRPr="00EE48E2">
        <w:rPr>
          <w:rFonts w:ascii="Book Antiqua" w:hAnsi="Book Antiqua"/>
          <w:sz w:val="24"/>
          <w:szCs w:val="24"/>
          <w:lang w:val="en-GB"/>
        </w:rPr>
        <w:t>-</w:t>
      </w:r>
      <w:r w:rsidR="00363A1A" w:rsidRPr="00EE48E2">
        <w:rPr>
          <w:rFonts w:ascii="Book Antiqua" w:hAnsi="Book Antiqua"/>
          <w:sz w:val="24"/>
          <w:szCs w:val="24"/>
          <w:lang w:val="en-GB"/>
        </w:rPr>
        <w:t>derived PDX</w:t>
      </w:r>
      <w:r w:rsidR="00363A1A" w:rsidRPr="00EE48E2">
        <w:rPr>
          <w:rFonts w:ascii="Book Antiqua" w:hAnsi="Book Antiqua"/>
          <w:sz w:val="24"/>
          <w:szCs w:val="24"/>
          <w:vertAlign w:val="superscript"/>
          <w:lang w:val="en-GB"/>
        </w:rPr>
        <w:t>[5</w:t>
      </w:r>
      <w:r w:rsidR="00AF249E">
        <w:rPr>
          <w:rFonts w:ascii="Book Antiqua" w:hAnsi="Book Antiqua" w:hint="eastAsia"/>
          <w:sz w:val="24"/>
          <w:szCs w:val="24"/>
          <w:vertAlign w:val="superscript"/>
          <w:lang w:val="en-GB" w:eastAsia="zh-CN"/>
        </w:rPr>
        <w:t>5</w:t>
      </w:r>
      <w:r w:rsidR="000E58F5">
        <w:rPr>
          <w:rFonts w:ascii="Book Antiqua" w:hAnsi="Book Antiqua" w:hint="eastAsia"/>
          <w:sz w:val="24"/>
          <w:szCs w:val="24"/>
          <w:vertAlign w:val="superscript"/>
          <w:lang w:val="en-GB" w:eastAsia="zh-CN"/>
        </w:rPr>
        <w:t>,56</w:t>
      </w:r>
      <w:r w:rsidR="00363A1A" w:rsidRPr="00EE48E2">
        <w:rPr>
          <w:rFonts w:ascii="Book Antiqua" w:hAnsi="Book Antiqua"/>
          <w:sz w:val="24"/>
          <w:szCs w:val="24"/>
          <w:vertAlign w:val="superscript"/>
          <w:lang w:val="en-GB"/>
        </w:rPr>
        <w:t>]</w:t>
      </w:r>
      <w:r w:rsidR="0019545D" w:rsidRPr="00EE48E2">
        <w:rPr>
          <w:rFonts w:ascii="Book Antiqua" w:hAnsi="Book Antiqua"/>
          <w:sz w:val="24"/>
          <w:szCs w:val="24"/>
          <w:lang w:val="en-GB"/>
        </w:rPr>
        <w:t xml:space="preserve">. </w:t>
      </w:r>
      <w:r w:rsidR="00363A1A" w:rsidRPr="00EE48E2">
        <w:rPr>
          <w:rFonts w:ascii="Book Antiqua" w:hAnsi="Book Antiqua"/>
          <w:sz w:val="24"/>
          <w:szCs w:val="24"/>
          <w:lang w:val="en-GB"/>
        </w:rPr>
        <w:t>However</w:t>
      </w:r>
      <w:r w:rsidR="00CE6A32" w:rsidRPr="00EE48E2">
        <w:rPr>
          <w:rFonts w:ascii="Book Antiqua" w:hAnsi="Book Antiqua"/>
          <w:sz w:val="24"/>
          <w:szCs w:val="24"/>
          <w:lang w:val="en-GB"/>
        </w:rPr>
        <w:t>,</w:t>
      </w:r>
      <w:r w:rsidR="00363A1A" w:rsidRPr="00EE48E2">
        <w:rPr>
          <w:rFonts w:ascii="Book Antiqua" w:hAnsi="Book Antiqua"/>
          <w:sz w:val="24"/>
          <w:szCs w:val="24"/>
          <w:lang w:val="en-GB"/>
        </w:rPr>
        <w:t xml:space="preserve"> a clinical evaluation of these agents is currently lacking. A biological strategy with Reovirus Serotype 3 – Dearing Strain (Reolysin</w:t>
      </w:r>
      <w:r w:rsidR="00363A1A" w:rsidRPr="00EE48E2">
        <w:rPr>
          <w:rFonts w:ascii="Book Antiqua" w:hAnsi="Book Antiqua"/>
          <w:sz w:val="24"/>
          <w:szCs w:val="24"/>
          <w:vertAlign w:val="superscript"/>
          <w:lang w:val="en-GB"/>
        </w:rPr>
        <w:t>®</w:t>
      </w:r>
      <w:r w:rsidR="00363A1A" w:rsidRPr="00EE48E2">
        <w:rPr>
          <w:rFonts w:ascii="Book Antiqua" w:hAnsi="Book Antiqua"/>
          <w:sz w:val="24"/>
          <w:szCs w:val="24"/>
          <w:lang w:val="en-GB"/>
        </w:rPr>
        <w:t>), a naturally occurring ubiquitous, non</w:t>
      </w:r>
      <w:r w:rsidR="00CE6A32" w:rsidRPr="00EE48E2">
        <w:rPr>
          <w:rFonts w:ascii="Book Antiqua" w:hAnsi="Book Antiqua"/>
          <w:sz w:val="24"/>
          <w:szCs w:val="24"/>
          <w:lang w:val="en-GB"/>
        </w:rPr>
        <w:t>-</w:t>
      </w:r>
      <w:r w:rsidR="00363A1A" w:rsidRPr="00EE48E2">
        <w:rPr>
          <w:rFonts w:ascii="Book Antiqua" w:hAnsi="Book Antiqua"/>
          <w:sz w:val="24"/>
          <w:szCs w:val="24"/>
          <w:lang w:val="en-GB"/>
        </w:rPr>
        <w:t>enveloped human Reovirus, has been explored in KRAS</w:t>
      </w:r>
      <w:r w:rsidR="00CE6A32" w:rsidRPr="00EE48E2">
        <w:rPr>
          <w:rFonts w:ascii="Book Antiqua" w:hAnsi="Book Antiqua"/>
          <w:sz w:val="24"/>
          <w:szCs w:val="24"/>
          <w:lang w:val="en-GB"/>
        </w:rPr>
        <w:t>-</w:t>
      </w:r>
      <w:r w:rsidR="00363A1A" w:rsidRPr="00EE48E2">
        <w:rPr>
          <w:rFonts w:ascii="Book Antiqua" w:hAnsi="Book Antiqua"/>
          <w:sz w:val="24"/>
          <w:szCs w:val="24"/>
          <w:lang w:val="en-GB"/>
        </w:rPr>
        <w:t xml:space="preserve">mutated mCRC </w:t>
      </w:r>
      <w:r w:rsidR="00CE6A32" w:rsidRPr="00EE48E2">
        <w:rPr>
          <w:rFonts w:ascii="Book Antiqua" w:hAnsi="Book Antiqua"/>
          <w:sz w:val="24"/>
          <w:szCs w:val="24"/>
          <w:lang w:val="en-GB"/>
        </w:rPr>
        <w:t>because</w:t>
      </w:r>
      <w:r w:rsidR="00363A1A" w:rsidRPr="00EE48E2">
        <w:rPr>
          <w:rFonts w:ascii="Book Antiqua" w:hAnsi="Book Antiqua"/>
          <w:sz w:val="24"/>
          <w:szCs w:val="24"/>
          <w:lang w:val="en-GB"/>
        </w:rPr>
        <w:t xml:space="preserve"> reovirus has been shown to replicate selectively in RAS mutant cells</w:t>
      </w:r>
      <w:r w:rsidR="00CE6A32" w:rsidRPr="00EE48E2">
        <w:rPr>
          <w:rFonts w:ascii="Book Antiqua" w:hAnsi="Book Antiqua"/>
          <w:sz w:val="24"/>
          <w:szCs w:val="24"/>
          <w:lang w:val="en-GB"/>
        </w:rPr>
        <w:t>,</w:t>
      </w:r>
      <w:r w:rsidR="00363A1A" w:rsidRPr="00EE48E2">
        <w:rPr>
          <w:rFonts w:ascii="Book Antiqua" w:hAnsi="Book Antiqua"/>
          <w:sz w:val="24"/>
          <w:szCs w:val="24"/>
          <w:lang w:val="en-GB"/>
        </w:rPr>
        <w:t xml:space="preserve"> causing cell lysis. A multi</w:t>
      </w:r>
      <w:r w:rsidR="00DB342E" w:rsidRPr="00EE48E2">
        <w:rPr>
          <w:rFonts w:ascii="Book Antiqua" w:hAnsi="Book Antiqua"/>
          <w:sz w:val="24"/>
          <w:szCs w:val="24"/>
          <w:lang w:val="en-GB"/>
        </w:rPr>
        <w:t xml:space="preserve">centre </w:t>
      </w:r>
      <w:r w:rsidR="00363A1A" w:rsidRPr="00EE48E2">
        <w:rPr>
          <w:rFonts w:ascii="Book Antiqua" w:hAnsi="Book Antiqua"/>
          <w:sz w:val="24"/>
          <w:szCs w:val="24"/>
          <w:lang w:val="en-GB"/>
        </w:rPr>
        <w:t>phase I study of Reolysin</w:t>
      </w:r>
      <w:r w:rsidR="00363A1A" w:rsidRPr="00EE48E2">
        <w:rPr>
          <w:rFonts w:ascii="Book Antiqua" w:hAnsi="Book Antiqua"/>
          <w:sz w:val="24"/>
          <w:szCs w:val="24"/>
          <w:vertAlign w:val="superscript"/>
          <w:lang w:val="en-GB"/>
        </w:rPr>
        <w:t xml:space="preserve">® </w:t>
      </w:r>
      <w:r w:rsidR="00363A1A" w:rsidRPr="00EE48E2">
        <w:rPr>
          <w:rFonts w:ascii="Book Antiqua" w:hAnsi="Book Antiqua"/>
          <w:sz w:val="24"/>
          <w:szCs w:val="24"/>
          <w:lang w:val="en-GB"/>
        </w:rPr>
        <w:t>in combination with FOLFIRI and bevacizumab in naïve patients with KRAS</w:t>
      </w:r>
      <w:r w:rsidR="00CE6A32" w:rsidRPr="00EE48E2">
        <w:rPr>
          <w:rFonts w:ascii="Book Antiqua" w:hAnsi="Book Antiqua"/>
          <w:sz w:val="24"/>
          <w:szCs w:val="24"/>
          <w:lang w:val="en-GB"/>
        </w:rPr>
        <w:t>-</w:t>
      </w:r>
      <w:r w:rsidR="00363A1A" w:rsidRPr="00EE48E2">
        <w:rPr>
          <w:rFonts w:ascii="Book Antiqua" w:hAnsi="Book Antiqua"/>
          <w:sz w:val="24"/>
          <w:szCs w:val="24"/>
          <w:lang w:val="en-GB"/>
        </w:rPr>
        <w:t>mutated mCRC is ongoing</w:t>
      </w:r>
      <w:r w:rsidR="00363A1A" w:rsidRPr="00EE48E2">
        <w:rPr>
          <w:rFonts w:ascii="Book Antiqua" w:hAnsi="Book Antiqua"/>
          <w:sz w:val="24"/>
          <w:szCs w:val="24"/>
          <w:vertAlign w:val="superscript"/>
          <w:lang w:val="en-GB"/>
        </w:rPr>
        <w:t>[5</w:t>
      </w:r>
      <w:r w:rsidR="00AF249E">
        <w:rPr>
          <w:rFonts w:ascii="Book Antiqua" w:hAnsi="Book Antiqua" w:hint="eastAsia"/>
          <w:sz w:val="24"/>
          <w:szCs w:val="24"/>
          <w:vertAlign w:val="superscript"/>
          <w:lang w:val="en-GB" w:eastAsia="zh-CN"/>
        </w:rPr>
        <w:t>7</w:t>
      </w:r>
      <w:r w:rsidR="00363A1A" w:rsidRPr="00EE48E2">
        <w:rPr>
          <w:rFonts w:ascii="Book Antiqua" w:hAnsi="Book Antiqua"/>
          <w:sz w:val="24"/>
          <w:szCs w:val="24"/>
          <w:vertAlign w:val="superscript"/>
          <w:lang w:val="en-GB"/>
        </w:rPr>
        <w:t>]</w:t>
      </w:r>
      <w:r w:rsidR="0019545D" w:rsidRPr="00EE48E2">
        <w:rPr>
          <w:rFonts w:ascii="Book Antiqua" w:hAnsi="Book Antiqua"/>
          <w:sz w:val="24"/>
          <w:szCs w:val="24"/>
          <w:lang w:val="en-GB"/>
        </w:rPr>
        <w:t xml:space="preserve">. </w:t>
      </w:r>
      <w:r w:rsidR="00363A1A" w:rsidRPr="00EE48E2">
        <w:rPr>
          <w:rFonts w:ascii="Book Antiqua" w:hAnsi="Book Antiqua"/>
          <w:sz w:val="24"/>
          <w:szCs w:val="24"/>
          <w:lang w:val="en-GB"/>
        </w:rPr>
        <w:t>To date, RAS remains the most elusive gene to target</w:t>
      </w:r>
      <w:r w:rsidR="00CE6A32" w:rsidRPr="00EE48E2">
        <w:rPr>
          <w:rFonts w:ascii="Book Antiqua" w:hAnsi="Book Antiqua"/>
          <w:sz w:val="24"/>
          <w:szCs w:val="24"/>
          <w:lang w:val="en-GB"/>
        </w:rPr>
        <w:t>;</w:t>
      </w:r>
      <w:r w:rsidR="00363A1A" w:rsidRPr="00EE48E2">
        <w:rPr>
          <w:rFonts w:ascii="Book Antiqua" w:hAnsi="Book Antiqua"/>
          <w:sz w:val="24"/>
          <w:szCs w:val="24"/>
          <w:lang w:val="en-GB"/>
        </w:rPr>
        <w:t xml:space="preserve"> thus</w:t>
      </w:r>
      <w:r w:rsidR="00CE6A32" w:rsidRPr="00EE48E2">
        <w:rPr>
          <w:rFonts w:ascii="Book Antiqua" w:hAnsi="Book Antiqua"/>
          <w:sz w:val="24"/>
          <w:szCs w:val="24"/>
          <w:lang w:val="en-GB"/>
        </w:rPr>
        <w:t>,</w:t>
      </w:r>
      <w:r w:rsidR="00363A1A" w:rsidRPr="00EE48E2">
        <w:rPr>
          <w:rFonts w:ascii="Book Antiqua" w:hAnsi="Book Antiqua"/>
          <w:sz w:val="24"/>
          <w:szCs w:val="24"/>
          <w:lang w:val="en-GB"/>
        </w:rPr>
        <w:t xml:space="preserve"> </w:t>
      </w:r>
      <w:r w:rsidR="00CE6A32" w:rsidRPr="00EE48E2">
        <w:rPr>
          <w:rFonts w:ascii="Book Antiqua" w:hAnsi="Book Antiqua"/>
          <w:sz w:val="24"/>
          <w:szCs w:val="24"/>
          <w:lang w:val="en-GB"/>
        </w:rPr>
        <w:t xml:space="preserve">patients with </w:t>
      </w:r>
      <w:r w:rsidR="00363A1A" w:rsidRPr="00EE48E2">
        <w:rPr>
          <w:rFonts w:ascii="Book Antiqua" w:hAnsi="Book Antiqua"/>
          <w:sz w:val="24"/>
          <w:szCs w:val="24"/>
          <w:lang w:val="en-GB"/>
        </w:rPr>
        <w:t>RAS mut</w:t>
      </w:r>
      <w:r w:rsidR="00CE6A32" w:rsidRPr="00EE48E2">
        <w:rPr>
          <w:rFonts w:ascii="Book Antiqua" w:hAnsi="Book Antiqua"/>
          <w:sz w:val="24"/>
          <w:szCs w:val="24"/>
          <w:lang w:val="en-GB"/>
        </w:rPr>
        <w:t>ations</w:t>
      </w:r>
      <w:r w:rsidR="00363A1A" w:rsidRPr="00EE48E2">
        <w:rPr>
          <w:rFonts w:ascii="Book Antiqua" w:hAnsi="Book Antiqua"/>
          <w:sz w:val="24"/>
          <w:szCs w:val="24"/>
          <w:lang w:val="en-GB"/>
        </w:rPr>
        <w:t xml:space="preserve"> are currently treated with chemotherapy with or without antiangiogenic drugs</w:t>
      </w:r>
      <w:r w:rsidR="00363A1A" w:rsidRPr="00EE48E2">
        <w:rPr>
          <w:rFonts w:ascii="Book Antiqua" w:hAnsi="Book Antiqua"/>
          <w:sz w:val="24"/>
          <w:szCs w:val="24"/>
          <w:vertAlign w:val="superscript"/>
          <w:lang w:val="en-GB"/>
        </w:rPr>
        <w:t>[3]</w:t>
      </w:r>
      <w:r w:rsidR="0019545D" w:rsidRPr="00EE48E2">
        <w:rPr>
          <w:rFonts w:ascii="Book Antiqua" w:hAnsi="Book Antiqua"/>
          <w:sz w:val="24"/>
          <w:szCs w:val="24"/>
          <w:lang w:val="en-GB"/>
        </w:rPr>
        <w:t>.</w:t>
      </w:r>
    </w:p>
    <w:p w14:paraId="068C4266" w14:textId="77777777" w:rsidR="0019545D" w:rsidRPr="00EE48E2" w:rsidRDefault="0019545D" w:rsidP="004D1833">
      <w:pPr>
        <w:adjustRightInd w:val="0"/>
        <w:snapToGrid w:val="0"/>
        <w:spacing w:after="0" w:line="360" w:lineRule="auto"/>
        <w:jc w:val="both"/>
        <w:rPr>
          <w:rFonts w:ascii="Book Antiqua" w:hAnsi="Book Antiqua"/>
          <w:sz w:val="24"/>
          <w:szCs w:val="24"/>
          <w:lang w:val="en-GB" w:eastAsia="zh-CN"/>
        </w:rPr>
      </w:pPr>
    </w:p>
    <w:p w14:paraId="314CCC40" w14:textId="77777777" w:rsidR="00363A1A" w:rsidRPr="00EE48E2" w:rsidRDefault="00363A1A" w:rsidP="004D1833">
      <w:pPr>
        <w:adjustRightInd w:val="0"/>
        <w:snapToGrid w:val="0"/>
        <w:spacing w:after="0" w:line="360" w:lineRule="auto"/>
        <w:jc w:val="both"/>
        <w:rPr>
          <w:rFonts w:ascii="Book Antiqua" w:hAnsi="Book Antiqua"/>
          <w:b/>
          <w:i/>
          <w:sz w:val="24"/>
          <w:szCs w:val="24"/>
          <w:lang w:val="en-GB"/>
        </w:rPr>
      </w:pPr>
      <w:r w:rsidRPr="00EE48E2">
        <w:rPr>
          <w:rFonts w:ascii="Book Antiqua" w:hAnsi="Book Antiqua"/>
          <w:b/>
          <w:i/>
          <w:sz w:val="24"/>
          <w:szCs w:val="24"/>
          <w:lang w:val="en-GB"/>
        </w:rPr>
        <w:t>BRAF mutations</w:t>
      </w:r>
    </w:p>
    <w:p w14:paraId="635877DA" w14:textId="48F8ECB5" w:rsidR="00363A1A" w:rsidRPr="00EE48E2" w:rsidRDefault="00363A1A" w:rsidP="004D1833">
      <w:pPr>
        <w:adjustRightInd w:val="0"/>
        <w:snapToGrid w:val="0"/>
        <w:spacing w:after="0" w:line="360" w:lineRule="auto"/>
        <w:jc w:val="both"/>
        <w:rPr>
          <w:rFonts w:ascii="Book Antiqua" w:hAnsi="Book Antiqua"/>
          <w:sz w:val="24"/>
          <w:szCs w:val="24"/>
          <w:lang w:val="en-GB"/>
        </w:rPr>
      </w:pPr>
      <w:r w:rsidRPr="00EE48E2">
        <w:rPr>
          <w:rFonts w:ascii="Book Antiqua" w:hAnsi="Book Antiqua"/>
          <w:sz w:val="24"/>
          <w:szCs w:val="24"/>
          <w:lang w:val="en-GB"/>
        </w:rPr>
        <w:t xml:space="preserve">Mutation in other downstream effectors of </w:t>
      </w:r>
      <w:r w:rsidR="007F4C3D" w:rsidRPr="00EE48E2">
        <w:rPr>
          <w:rFonts w:ascii="Book Antiqua" w:hAnsi="Book Antiqua"/>
          <w:sz w:val="24"/>
          <w:szCs w:val="24"/>
          <w:lang w:val="en-GB"/>
        </w:rPr>
        <w:t xml:space="preserve">the </w:t>
      </w:r>
      <w:r w:rsidRPr="00EE48E2">
        <w:rPr>
          <w:rFonts w:ascii="Book Antiqua" w:hAnsi="Book Antiqua"/>
          <w:sz w:val="24"/>
          <w:szCs w:val="24"/>
          <w:lang w:val="en-GB"/>
        </w:rPr>
        <w:t xml:space="preserve">MAPK pathway beyond RAS may invalidate the effects of anti-EGFR moAbs, cetuximab and panitumumab. </w:t>
      </w:r>
      <w:r w:rsidR="007F4C3D" w:rsidRPr="00EE48E2">
        <w:rPr>
          <w:rFonts w:ascii="Book Antiqua" w:hAnsi="Book Antiqua"/>
          <w:sz w:val="24"/>
          <w:szCs w:val="24"/>
          <w:lang w:val="en-GB"/>
        </w:rPr>
        <w:t xml:space="preserve">One example is </w:t>
      </w:r>
      <w:r w:rsidRPr="00EE48E2">
        <w:rPr>
          <w:rFonts w:ascii="Book Antiqua" w:hAnsi="Book Antiqua"/>
          <w:sz w:val="24"/>
          <w:szCs w:val="24"/>
          <w:lang w:val="en-GB"/>
        </w:rPr>
        <w:t>BRAF, a serine/threonine protein kinase</w:t>
      </w:r>
      <w:r w:rsidR="007F4C3D" w:rsidRPr="00EE48E2">
        <w:rPr>
          <w:rFonts w:ascii="Book Antiqua" w:hAnsi="Book Antiqua"/>
          <w:sz w:val="24"/>
          <w:szCs w:val="24"/>
          <w:lang w:val="en-GB"/>
        </w:rPr>
        <w:t xml:space="preserve"> that is</w:t>
      </w:r>
      <w:r w:rsidRPr="00EE48E2">
        <w:rPr>
          <w:rFonts w:ascii="Book Antiqua" w:hAnsi="Book Antiqua"/>
          <w:sz w:val="24"/>
          <w:szCs w:val="24"/>
          <w:lang w:val="en-GB"/>
        </w:rPr>
        <w:t xml:space="preserve"> found mutated in</w:t>
      </w:r>
      <w:r w:rsidR="00DB342E" w:rsidRPr="00EE48E2">
        <w:rPr>
          <w:rFonts w:ascii="Book Antiqua" w:hAnsi="Book Antiqua"/>
          <w:sz w:val="24"/>
          <w:szCs w:val="24"/>
          <w:lang w:val="en-GB"/>
        </w:rPr>
        <w:t xml:space="preserve"> approximately 1</w:t>
      </w:r>
      <w:r w:rsidRPr="00EE48E2">
        <w:rPr>
          <w:rFonts w:ascii="Book Antiqua" w:hAnsi="Book Antiqua"/>
          <w:sz w:val="24"/>
          <w:szCs w:val="24"/>
          <w:lang w:val="en-GB"/>
        </w:rPr>
        <w:t>0</w:t>
      </w:r>
      <w:r w:rsidR="00422FA4" w:rsidRPr="00EE48E2">
        <w:rPr>
          <w:rFonts w:ascii="Book Antiqua" w:hAnsi="Book Antiqua" w:hint="eastAsia"/>
          <w:sz w:val="24"/>
          <w:szCs w:val="24"/>
          <w:lang w:val="en-GB" w:eastAsia="zh-CN"/>
        </w:rPr>
        <w:t>%</w:t>
      </w:r>
      <w:r w:rsidRPr="00EE48E2">
        <w:rPr>
          <w:rFonts w:ascii="Book Antiqua" w:hAnsi="Book Antiqua"/>
          <w:sz w:val="24"/>
          <w:szCs w:val="24"/>
          <w:lang w:val="en-GB"/>
        </w:rPr>
        <w:t>-15% of colorectal cancers</w:t>
      </w:r>
      <w:r w:rsidRPr="00EE48E2">
        <w:rPr>
          <w:rFonts w:ascii="Book Antiqua" w:hAnsi="Book Antiqua"/>
          <w:sz w:val="24"/>
          <w:szCs w:val="24"/>
          <w:vertAlign w:val="superscript"/>
          <w:lang w:val="en-GB"/>
        </w:rPr>
        <w:t>[5</w:t>
      </w:r>
      <w:r w:rsidR="00AF249E">
        <w:rPr>
          <w:rFonts w:ascii="Book Antiqua" w:hAnsi="Book Antiqua" w:hint="eastAsia"/>
          <w:sz w:val="24"/>
          <w:szCs w:val="24"/>
          <w:vertAlign w:val="superscript"/>
          <w:lang w:val="en-GB" w:eastAsia="zh-CN"/>
        </w:rPr>
        <w:t>8</w:t>
      </w:r>
      <w:r w:rsidRPr="00EE48E2">
        <w:rPr>
          <w:rFonts w:ascii="Book Antiqua" w:hAnsi="Book Antiqua"/>
          <w:sz w:val="24"/>
          <w:szCs w:val="24"/>
          <w:vertAlign w:val="superscript"/>
          <w:lang w:val="en-GB"/>
        </w:rPr>
        <w:t>]</w:t>
      </w:r>
      <w:r w:rsidR="00EB5D8F" w:rsidRPr="00EE48E2">
        <w:rPr>
          <w:rFonts w:ascii="Book Antiqua" w:hAnsi="Book Antiqua"/>
          <w:sz w:val="24"/>
          <w:szCs w:val="24"/>
          <w:lang w:val="en-GB"/>
        </w:rPr>
        <w:t>.</w:t>
      </w:r>
      <w:r w:rsidRPr="00EE48E2">
        <w:rPr>
          <w:rFonts w:ascii="Book Antiqua" w:hAnsi="Book Antiqua"/>
          <w:sz w:val="24"/>
          <w:szCs w:val="24"/>
          <w:lang w:val="en-GB"/>
        </w:rPr>
        <w:t xml:space="preserve"> The most common BRAF alteration is the point mutation V600E in the kinase domain, accounting for 80% of all BRAF mutations</w:t>
      </w:r>
      <w:r w:rsidRPr="00EE48E2">
        <w:rPr>
          <w:rFonts w:ascii="Book Antiqua" w:hAnsi="Book Antiqua"/>
          <w:sz w:val="24"/>
          <w:szCs w:val="24"/>
          <w:vertAlign w:val="superscript"/>
          <w:lang w:val="en-GB"/>
        </w:rPr>
        <w:t>[</w:t>
      </w:r>
      <w:r w:rsidR="00AF249E">
        <w:rPr>
          <w:rFonts w:ascii="Book Antiqua" w:hAnsi="Book Antiqua" w:hint="eastAsia"/>
          <w:sz w:val="24"/>
          <w:szCs w:val="24"/>
          <w:vertAlign w:val="superscript"/>
          <w:lang w:val="en-GB" w:eastAsia="zh-CN"/>
        </w:rPr>
        <w:t>59</w:t>
      </w:r>
      <w:r w:rsidRPr="00EE48E2">
        <w:rPr>
          <w:rFonts w:ascii="Book Antiqua" w:hAnsi="Book Antiqua"/>
          <w:sz w:val="24"/>
          <w:szCs w:val="24"/>
          <w:vertAlign w:val="superscript"/>
          <w:lang w:val="en-GB"/>
        </w:rPr>
        <w:t>]</w:t>
      </w:r>
      <w:r w:rsidR="00EB5D8F" w:rsidRPr="00EE48E2">
        <w:rPr>
          <w:rFonts w:ascii="Book Antiqua" w:hAnsi="Book Antiqua"/>
          <w:sz w:val="24"/>
          <w:szCs w:val="24"/>
          <w:lang w:val="en-GB"/>
        </w:rPr>
        <w:t>.</w:t>
      </w:r>
      <w:r w:rsidRPr="00EE48E2">
        <w:rPr>
          <w:rFonts w:ascii="Book Antiqua" w:hAnsi="Book Antiqua"/>
          <w:sz w:val="24"/>
          <w:szCs w:val="24"/>
          <w:lang w:val="en-GB"/>
        </w:rPr>
        <w:t xml:space="preserve"> </w:t>
      </w:r>
      <w:r w:rsidR="007F4C3D" w:rsidRPr="00EE48E2">
        <w:rPr>
          <w:rFonts w:ascii="Book Antiqua" w:hAnsi="Book Antiqua"/>
          <w:sz w:val="24"/>
          <w:szCs w:val="24"/>
          <w:lang w:val="en-GB"/>
        </w:rPr>
        <w:t xml:space="preserve">The </w:t>
      </w:r>
      <w:r w:rsidRPr="00EE48E2">
        <w:rPr>
          <w:rFonts w:ascii="Book Antiqua" w:hAnsi="Book Antiqua"/>
          <w:sz w:val="24"/>
          <w:szCs w:val="24"/>
          <w:lang w:val="en-GB"/>
        </w:rPr>
        <w:t xml:space="preserve">BRAF V600E </w:t>
      </w:r>
      <w:r w:rsidRPr="00EE48E2">
        <w:rPr>
          <w:rFonts w:ascii="Book Antiqua" w:hAnsi="Book Antiqua"/>
          <w:sz w:val="24"/>
          <w:szCs w:val="24"/>
          <w:lang w:val="en-GB"/>
        </w:rPr>
        <w:lastRenderedPageBreak/>
        <w:t xml:space="preserve">mutation is generally mutually exclusive with RAS mutations. However, recent data from </w:t>
      </w:r>
      <w:r w:rsidR="007F4C3D" w:rsidRPr="00EE48E2">
        <w:rPr>
          <w:rFonts w:ascii="Book Antiqua" w:hAnsi="Book Antiqua"/>
          <w:sz w:val="24"/>
          <w:szCs w:val="24"/>
          <w:lang w:val="en-GB"/>
        </w:rPr>
        <w:t xml:space="preserve">the </w:t>
      </w:r>
      <w:r w:rsidRPr="00EE48E2">
        <w:rPr>
          <w:rFonts w:ascii="Book Antiqua" w:hAnsi="Book Antiqua"/>
          <w:sz w:val="24"/>
          <w:szCs w:val="24"/>
          <w:lang w:val="en-GB"/>
        </w:rPr>
        <w:t xml:space="preserve">CAPRI trial demonstrated, in 12 out of 15 BRAF mutated </w:t>
      </w:r>
      <w:r w:rsidR="00866858" w:rsidRPr="00EE48E2">
        <w:rPr>
          <w:rFonts w:ascii="Book Antiqua" w:hAnsi="Book Antiqua"/>
          <w:sz w:val="24"/>
          <w:szCs w:val="24"/>
          <w:lang w:val="en-GB"/>
        </w:rPr>
        <w:t>tumour</w:t>
      </w:r>
      <w:r w:rsidRPr="00EE48E2">
        <w:rPr>
          <w:rFonts w:ascii="Book Antiqua" w:hAnsi="Book Antiqua"/>
          <w:sz w:val="24"/>
          <w:szCs w:val="24"/>
          <w:lang w:val="en-GB"/>
        </w:rPr>
        <w:t xml:space="preserve"> samples, the coexistence of </w:t>
      </w:r>
      <w:r w:rsidRPr="00EE48E2">
        <w:rPr>
          <w:rFonts w:ascii="Book Antiqua" w:hAnsi="Book Antiqua"/>
          <w:i/>
          <w:sz w:val="24"/>
          <w:szCs w:val="24"/>
          <w:lang w:val="en-GB"/>
        </w:rPr>
        <w:t>BRAF</w:t>
      </w:r>
      <w:r w:rsidRPr="00EE48E2">
        <w:rPr>
          <w:rFonts w:ascii="Book Antiqua" w:hAnsi="Book Antiqua"/>
          <w:sz w:val="24"/>
          <w:szCs w:val="24"/>
          <w:lang w:val="en-GB"/>
        </w:rPr>
        <w:t xml:space="preserve"> mutations with other mutations</w:t>
      </w:r>
      <w:r w:rsidR="007F4C3D" w:rsidRPr="00EE48E2">
        <w:rPr>
          <w:rFonts w:ascii="Book Antiqua" w:hAnsi="Book Antiqua"/>
          <w:sz w:val="24"/>
          <w:szCs w:val="24"/>
          <w:lang w:val="en-GB"/>
        </w:rPr>
        <w:t>,</w:t>
      </w:r>
      <w:r w:rsidRPr="00EE48E2">
        <w:rPr>
          <w:rFonts w:ascii="Book Antiqua" w:hAnsi="Book Antiqua"/>
          <w:sz w:val="24"/>
          <w:szCs w:val="24"/>
          <w:lang w:val="en-GB"/>
        </w:rPr>
        <w:t xml:space="preserve"> including </w:t>
      </w:r>
      <w:r w:rsidRPr="00EE48E2">
        <w:rPr>
          <w:rFonts w:ascii="Book Antiqua" w:hAnsi="Book Antiqua"/>
          <w:i/>
          <w:sz w:val="24"/>
          <w:szCs w:val="24"/>
          <w:lang w:val="en-GB"/>
        </w:rPr>
        <w:t xml:space="preserve">TP53, KRAS, </w:t>
      </w:r>
      <w:r w:rsidRPr="00EE48E2">
        <w:rPr>
          <w:rFonts w:ascii="Book Antiqua" w:hAnsi="Book Antiqua"/>
          <w:sz w:val="24"/>
          <w:szCs w:val="24"/>
          <w:lang w:val="en-GB"/>
        </w:rPr>
        <w:t>and</w:t>
      </w:r>
      <w:r w:rsidRPr="00EE48E2">
        <w:rPr>
          <w:rFonts w:ascii="Book Antiqua" w:hAnsi="Book Antiqua"/>
          <w:i/>
          <w:sz w:val="24"/>
          <w:szCs w:val="24"/>
          <w:lang w:val="en-GB"/>
        </w:rPr>
        <w:t xml:space="preserve"> PIK3CA</w:t>
      </w:r>
      <w:r w:rsidRPr="00EE48E2">
        <w:rPr>
          <w:rFonts w:ascii="Book Antiqua" w:hAnsi="Book Antiqua"/>
          <w:sz w:val="24"/>
          <w:szCs w:val="24"/>
          <w:lang w:val="en-GB"/>
        </w:rPr>
        <w:t xml:space="preserve"> exon 9 and exon 20</w:t>
      </w:r>
      <w:r w:rsidR="00422FA4" w:rsidRPr="00EE48E2">
        <w:rPr>
          <w:rFonts w:ascii="Book Antiqua" w:hAnsi="Book Antiqua"/>
          <w:sz w:val="24"/>
          <w:szCs w:val="24"/>
          <w:vertAlign w:val="superscript"/>
          <w:lang w:val="en-GB"/>
        </w:rPr>
        <w:t>[6</w:t>
      </w:r>
      <w:r w:rsidR="00AF249E">
        <w:rPr>
          <w:rFonts w:ascii="Book Antiqua" w:hAnsi="Book Antiqua" w:hint="eastAsia"/>
          <w:sz w:val="24"/>
          <w:szCs w:val="24"/>
          <w:vertAlign w:val="superscript"/>
          <w:lang w:val="en-GB" w:eastAsia="zh-CN"/>
        </w:rPr>
        <w:t>0</w:t>
      </w:r>
      <w:r w:rsidR="00422FA4" w:rsidRPr="00EE48E2">
        <w:rPr>
          <w:rFonts w:ascii="Book Antiqua" w:hAnsi="Book Antiqua"/>
          <w:sz w:val="24"/>
          <w:szCs w:val="24"/>
          <w:vertAlign w:val="superscript"/>
          <w:lang w:val="en-GB"/>
        </w:rPr>
        <w:t>,</w:t>
      </w:r>
      <w:r w:rsidRPr="00EE48E2">
        <w:rPr>
          <w:rFonts w:ascii="Book Antiqua" w:hAnsi="Book Antiqua"/>
          <w:sz w:val="24"/>
          <w:szCs w:val="24"/>
          <w:vertAlign w:val="superscript"/>
          <w:lang w:val="en-GB"/>
        </w:rPr>
        <w:t>3</w:t>
      </w:r>
      <w:r w:rsidR="00AF249E">
        <w:rPr>
          <w:rFonts w:ascii="Book Antiqua" w:hAnsi="Book Antiqua" w:hint="eastAsia"/>
          <w:sz w:val="24"/>
          <w:szCs w:val="24"/>
          <w:vertAlign w:val="superscript"/>
          <w:lang w:val="en-GB" w:eastAsia="zh-CN"/>
        </w:rPr>
        <w:t>7</w:t>
      </w:r>
      <w:r w:rsidRPr="00EE48E2">
        <w:rPr>
          <w:rFonts w:ascii="Book Antiqua" w:hAnsi="Book Antiqua"/>
          <w:sz w:val="24"/>
          <w:szCs w:val="24"/>
          <w:vertAlign w:val="superscript"/>
          <w:lang w:val="en-GB"/>
        </w:rPr>
        <w:t>]</w:t>
      </w:r>
      <w:r w:rsidRPr="00EE48E2">
        <w:rPr>
          <w:rFonts w:ascii="Book Antiqua" w:hAnsi="Book Antiqua"/>
          <w:sz w:val="24"/>
          <w:szCs w:val="24"/>
          <w:lang w:val="en-GB"/>
        </w:rPr>
        <w:t>.</w:t>
      </w:r>
    </w:p>
    <w:p w14:paraId="53FADA8F" w14:textId="21AECFA0" w:rsidR="00363A1A" w:rsidRPr="00EE48E2" w:rsidRDefault="00EE48E2" w:rsidP="004D1833">
      <w:pPr>
        <w:adjustRightInd w:val="0"/>
        <w:snapToGrid w:val="0"/>
        <w:spacing w:after="0" w:line="360" w:lineRule="auto"/>
        <w:jc w:val="both"/>
        <w:rPr>
          <w:rFonts w:ascii="Book Antiqua" w:hAnsi="Book Antiqua"/>
          <w:sz w:val="24"/>
          <w:szCs w:val="24"/>
          <w:lang w:val="en-GB"/>
        </w:rPr>
      </w:pPr>
      <w:r w:rsidRPr="00EE48E2">
        <w:rPr>
          <w:rFonts w:ascii="Book Antiqua" w:hAnsi="Book Antiqua"/>
          <w:sz w:val="24"/>
          <w:szCs w:val="24"/>
          <w:lang w:val="en-GB"/>
        </w:rPr>
        <w:t xml:space="preserve">  </w:t>
      </w:r>
      <w:r w:rsidR="007F4C3D" w:rsidRPr="00EE48E2">
        <w:rPr>
          <w:rFonts w:ascii="Book Antiqua" w:hAnsi="Book Antiqua"/>
          <w:sz w:val="24"/>
          <w:szCs w:val="24"/>
          <w:lang w:val="en-GB"/>
        </w:rPr>
        <w:t xml:space="preserve">The </w:t>
      </w:r>
      <w:r w:rsidR="00363A1A" w:rsidRPr="00EE48E2">
        <w:rPr>
          <w:rFonts w:ascii="Book Antiqua" w:hAnsi="Book Antiqua"/>
          <w:sz w:val="24"/>
          <w:szCs w:val="24"/>
          <w:lang w:val="en-GB"/>
        </w:rPr>
        <w:t xml:space="preserve">BRAF V600E mutation represents a biomarker of poor prognosis in </w:t>
      </w:r>
      <w:r w:rsidR="007F4C3D" w:rsidRPr="00EE48E2">
        <w:rPr>
          <w:rFonts w:ascii="Book Antiqua" w:hAnsi="Book Antiqua"/>
          <w:sz w:val="24"/>
          <w:szCs w:val="24"/>
          <w:lang w:val="en-GB"/>
        </w:rPr>
        <w:t xml:space="preserve">the </w:t>
      </w:r>
      <w:r w:rsidR="00363A1A" w:rsidRPr="00EE48E2">
        <w:rPr>
          <w:rFonts w:ascii="Book Antiqua" w:hAnsi="Book Antiqua"/>
          <w:sz w:val="24"/>
          <w:szCs w:val="24"/>
          <w:lang w:val="en-GB"/>
        </w:rPr>
        <w:t xml:space="preserve">CRC population. This finding emerged from analyses of a large cohort of patients enrolled in several clinical trials that have consistently demonstrated the association of </w:t>
      </w:r>
      <w:r w:rsidR="007F4C3D" w:rsidRPr="00EE48E2">
        <w:rPr>
          <w:rFonts w:ascii="Book Antiqua" w:hAnsi="Book Antiqua"/>
          <w:sz w:val="24"/>
          <w:szCs w:val="24"/>
          <w:lang w:val="en-GB"/>
        </w:rPr>
        <w:t xml:space="preserve">the </w:t>
      </w:r>
      <w:r w:rsidR="00363A1A" w:rsidRPr="00EE48E2">
        <w:rPr>
          <w:rFonts w:ascii="Book Antiqua" w:hAnsi="Book Antiqua"/>
          <w:sz w:val="24"/>
          <w:szCs w:val="24"/>
          <w:lang w:val="en-GB"/>
        </w:rPr>
        <w:t xml:space="preserve">BRAF V600E mutation </w:t>
      </w:r>
      <w:r w:rsidR="007F4C3D" w:rsidRPr="00EE48E2">
        <w:rPr>
          <w:rFonts w:ascii="Book Antiqua" w:hAnsi="Book Antiqua"/>
          <w:sz w:val="24"/>
          <w:szCs w:val="24"/>
          <w:lang w:val="en-GB"/>
        </w:rPr>
        <w:t>with</w:t>
      </w:r>
      <w:r w:rsidR="00363A1A" w:rsidRPr="00EE48E2">
        <w:rPr>
          <w:rFonts w:ascii="Book Antiqua" w:hAnsi="Book Antiqua"/>
          <w:sz w:val="24"/>
          <w:szCs w:val="24"/>
          <w:lang w:val="en-GB"/>
        </w:rPr>
        <w:t xml:space="preserve"> an increased colon cancer-specific mortality</w:t>
      </w:r>
      <w:r w:rsidR="00422FA4" w:rsidRPr="00EE48E2">
        <w:rPr>
          <w:rFonts w:ascii="Book Antiqua" w:hAnsi="Book Antiqua"/>
          <w:sz w:val="24"/>
          <w:szCs w:val="24"/>
          <w:vertAlign w:val="superscript"/>
          <w:lang w:val="en-GB"/>
        </w:rPr>
        <w:t>[6</w:t>
      </w:r>
      <w:r w:rsidR="00AF249E">
        <w:rPr>
          <w:rFonts w:ascii="Book Antiqua" w:hAnsi="Book Antiqua" w:hint="eastAsia"/>
          <w:sz w:val="24"/>
          <w:szCs w:val="24"/>
          <w:vertAlign w:val="superscript"/>
          <w:lang w:val="en-GB" w:eastAsia="zh-CN"/>
        </w:rPr>
        <w:t>1</w:t>
      </w:r>
      <w:r w:rsidR="00422FA4" w:rsidRPr="00EE48E2">
        <w:rPr>
          <w:rFonts w:ascii="Book Antiqua" w:hAnsi="Book Antiqua"/>
          <w:sz w:val="24"/>
          <w:szCs w:val="24"/>
          <w:vertAlign w:val="superscript"/>
          <w:lang w:val="en-GB"/>
        </w:rPr>
        <w:t>,</w:t>
      </w:r>
      <w:r w:rsidR="00363A1A" w:rsidRPr="00EE48E2">
        <w:rPr>
          <w:rFonts w:ascii="Book Antiqua" w:hAnsi="Book Antiqua"/>
          <w:sz w:val="24"/>
          <w:szCs w:val="24"/>
          <w:vertAlign w:val="superscript"/>
          <w:lang w:val="en-GB"/>
        </w:rPr>
        <w:t>6</w:t>
      </w:r>
      <w:r w:rsidR="00AF249E">
        <w:rPr>
          <w:rFonts w:ascii="Book Antiqua" w:hAnsi="Book Antiqua" w:hint="eastAsia"/>
          <w:sz w:val="24"/>
          <w:szCs w:val="24"/>
          <w:vertAlign w:val="superscript"/>
          <w:lang w:val="en-GB" w:eastAsia="zh-CN"/>
        </w:rPr>
        <w:t>2</w:t>
      </w:r>
      <w:r w:rsidR="00363A1A" w:rsidRPr="00EE48E2">
        <w:rPr>
          <w:rFonts w:ascii="Book Antiqua" w:hAnsi="Book Antiqua"/>
          <w:sz w:val="24"/>
          <w:szCs w:val="24"/>
          <w:vertAlign w:val="superscript"/>
          <w:lang w:val="en-GB"/>
        </w:rPr>
        <w:t>]</w:t>
      </w:r>
      <w:r w:rsidR="00363A1A" w:rsidRPr="00EE48E2">
        <w:rPr>
          <w:rFonts w:ascii="Book Antiqua" w:hAnsi="Book Antiqua"/>
          <w:sz w:val="24"/>
          <w:szCs w:val="24"/>
          <w:lang w:val="en-GB"/>
        </w:rPr>
        <w:t xml:space="preserve">. </w:t>
      </w:r>
    </w:p>
    <w:p w14:paraId="599F7D29" w14:textId="67BCE5D1" w:rsidR="00363A1A" w:rsidRPr="00EE48E2" w:rsidRDefault="00EE48E2" w:rsidP="004D1833">
      <w:pPr>
        <w:adjustRightInd w:val="0"/>
        <w:snapToGrid w:val="0"/>
        <w:spacing w:after="0" w:line="360" w:lineRule="auto"/>
        <w:jc w:val="both"/>
        <w:rPr>
          <w:rFonts w:ascii="Book Antiqua" w:hAnsi="Book Antiqua"/>
          <w:sz w:val="24"/>
          <w:szCs w:val="24"/>
          <w:lang w:val="en-GB"/>
        </w:rPr>
      </w:pPr>
      <w:r w:rsidRPr="00EE48E2">
        <w:rPr>
          <w:rFonts w:ascii="Book Antiqua" w:hAnsi="Book Antiqua"/>
          <w:sz w:val="24"/>
          <w:szCs w:val="24"/>
          <w:lang w:val="en-GB"/>
        </w:rPr>
        <w:t xml:space="preserve">  </w:t>
      </w:r>
      <w:r w:rsidR="00363A1A" w:rsidRPr="00EE48E2">
        <w:rPr>
          <w:rFonts w:ascii="Book Antiqua" w:hAnsi="Book Antiqua"/>
          <w:sz w:val="24"/>
          <w:szCs w:val="24"/>
          <w:lang w:val="en-GB"/>
        </w:rPr>
        <w:t xml:space="preserve">Although the prognostic role of BRAF mutation is well established, its role as a predictive biomarker to anti-EGFR treatments is not clearly understood because of both its low prevalence and the prominent negative prognostic role. Several studies have showed that patients harbouring </w:t>
      </w:r>
      <w:r w:rsidR="00664E32" w:rsidRPr="00EE48E2">
        <w:rPr>
          <w:rFonts w:ascii="Book Antiqua" w:hAnsi="Book Antiqua"/>
          <w:sz w:val="24"/>
          <w:szCs w:val="24"/>
          <w:lang w:val="en-GB"/>
        </w:rPr>
        <w:t xml:space="preserve">a </w:t>
      </w:r>
      <w:r w:rsidR="00363A1A" w:rsidRPr="00EE48E2">
        <w:rPr>
          <w:rFonts w:ascii="Book Antiqua" w:hAnsi="Book Antiqua"/>
          <w:sz w:val="24"/>
          <w:szCs w:val="24"/>
          <w:lang w:val="en-GB"/>
        </w:rPr>
        <w:t>BRAF mutation do not achieve any benefit from anti-EGFR treatments in second</w:t>
      </w:r>
      <w:r w:rsidR="00664E32" w:rsidRPr="00EE48E2">
        <w:rPr>
          <w:rFonts w:ascii="Book Antiqua" w:hAnsi="Book Antiqua"/>
          <w:sz w:val="24"/>
          <w:szCs w:val="24"/>
          <w:lang w:val="en-GB"/>
        </w:rPr>
        <w:t>-line</w:t>
      </w:r>
      <w:r w:rsidR="00363A1A" w:rsidRPr="00EE48E2">
        <w:rPr>
          <w:rFonts w:ascii="Book Antiqua" w:hAnsi="Book Antiqua"/>
          <w:sz w:val="24"/>
          <w:szCs w:val="24"/>
          <w:lang w:val="en-GB"/>
        </w:rPr>
        <w:t xml:space="preserve"> or </w:t>
      </w:r>
      <w:r w:rsidR="00664E32" w:rsidRPr="00EE48E2">
        <w:rPr>
          <w:rFonts w:ascii="Book Antiqua" w:hAnsi="Book Antiqua"/>
          <w:sz w:val="24"/>
          <w:szCs w:val="24"/>
          <w:lang w:val="en-GB"/>
        </w:rPr>
        <w:t xml:space="preserve">in </w:t>
      </w:r>
      <w:r w:rsidR="00363A1A" w:rsidRPr="00EE48E2">
        <w:rPr>
          <w:rFonts w:ascii="Book Antiqua" w:hAnsi="Book Antiqua"/>
          <w:sz w:val="24"/>
          <w:szCs w:val="24"/>
          <w:lang w:val="en-GB"/>
        </w:rPr>
        <w:t>later lines of therapy</w:t>
      </w:r>
      <w:r w:rsidR="00363A1A" w:rsidRPr="00EE48E2">
        <w:rPr>
          <w:rFonts w:ascii="Book Antiqua" w:hAnsi="Book Antiqua"/>
          <w:sz w:val="24"/>
          <w:szCs w:val="24"/>
          <w:vertAlign w:val="superscript"/>
          <w:lang w:val="en-GB"/>
        </w:rPr>
        <w:t>[6</w:t>
      </w:r>
      <w:r w:rsidR="00AF249E">
        <w:rPr>
          <w:rFonts w:ascii="Book Antiqua" w:hAnsi="Book Antiqua" w:hint="eastAsia"/>
          <w:sz w:val="24"/>
          <w:szCs w:val="24"/>
          <w:vertAlign w:val="superscript"/>
          <w:lang w:val="en-GB" w:eastAsia="zh-CN"/>
        </w:rPr>
        <w:t>2</w:t>
      </w:r>
      <w:r w:rsidR="00363A1A" w:rsidRPr="00EE48E2">
        <w:rPr>
          <w:rFonts w:ascii="Book Antiqua" w:hAnsi="Book Antiqua"/>
          <w:sz w:val="24"/>
          <w:szCs w:val="24"/>
          <w:vertAlign w:val="superscript"/>
          <w:lang w:val="en-GB"/>
        </w:rPr>
        <w:t>-6</w:t>
      </w:r>
      <w:r w:rsidR="00AF249E">
        <w:rPr>
          <w:rFonts w:ascii="Book Antiqua" w:hAnsi="Book Antiqua" w:hint="eastAsia"/>
          <w:sz w:val="24"/>
          <w:szCs w:val="24"/>
          <w:vertAlign w:val="superscript"/>
          <w:lang w:val="en-GB" w:eastAsia="zh-CN"/>
        </w:rPr>
        <w:t>4</w:t>
      </w:r>
      <w:r w:rsidR="00363A1A" w:rsidRPr="00EE48E2">
        <w:rPr>
          <w:rFonts w:ascii="Book Antiqua" w:hAnsi="Book Antiqua"/>
          <w:sz w:val="24"/>
          <w:szCs w:val="24"/>
          <w:vertAlign w:val="superscript"/>
          <w:lang w:val="en-GB"/>
        </w:rPr>
        <w:t>]</w:t>
      </w:r>
      <w:r w:rsidR="00EB5D8F" w:rsidRPr="00EE48E2">
        <w:rPr>
          <w:rFonts w:ascii="Book Antiqua" w:hAnsi="Book Antiqua"/>
          <w:sz w:val="24"/>
          <w:szCs w:val="24"/>
          <w:lang w:val="en-GB"/>
        </w:rPr>
        <w:t xml:space="preserve">. </w:t>
      </w:r>
      <w:r w:rsidR="00363A1A" w:rsidRPr="00EE48E2">
        <w:rPr>
          <w:rFonts w:ascii="Book Antiqua" w:hAnsi="Book Antiqua"/>
          <w:sz w:val="24"/>
          <w:szCs w:val="24"/>
          <w:lang w:val="en-GB"/>
        </w:rPr>
        <w:t xml:space="preserve">However, data from </w:t>
      </w:r>
      <w:r w:rsidR="00664E32" w:rsidRPr="00EE48E2">
        <w:rPr>
          <w:rFonts w:ascii="Book Antiqua" w:hAnsi="Book Antiqua"/>
          <w:sz w:val="24"/>
          <w:szCs w:val="24"/>
          <w:lang w:val="en-GB"/>
        </w:rPr>
        <w:t xml:space="preserve">the </w:t>
      </w:r>
      <w:r w:rsidR="00363A1A" w:rsidRPr="00EE48E2">
        <w:rPr>
          <w:rFonts w:ascii="Book Antiqua" w:hAnsi="Book Antiqua"/>
          <w:sz w:val="24"/>
          <w:szCs w:val="24"/>
          <w:lang w:val="en-GB"/>
        </w:rPr>
        <w:t>first-line setting are less clear. For instance</w:t>
      </w:r>
      <w:r w:rsidR="00664E32" w:rsidRPr="00EE48E2">
        <w:rPr>
          <w:rFonts w:ascii="Book Antiqua" w:hAnsi="Book Antiqua"/>
          <w:sz w:val="24"/>
          <w:szCs w:val="24"/>
          <w:lang w:val="en-GB"/>
        </w:rPr>
        <w:t>,</w:t>
      </w:r>
      <w:r w:rsidR="00363A1A" w:rsidRPr="00EE48E2">
        <w:rPr>
          <w:rFonts w:ascii="Book Antiqua" w:hAnsi="Book Antiqua"/>
          <w:sz w:val="24"/>
          <w:szCs w:val="24"/>
          <w:lang w:val="en-GB"/>
        </w:rPr>
        <w:t xml:space="preserve"> in both CRYSTAL and OPUS studies, the addition of cetuximab to FOLFIRI and FOLFOX</w:t>
      </w:r>
      <w:r w:rsidR="00664E32" w:rsidRPr="00EE48E2">
        <w:rPr>
          <w:rFonts w:ascii="Book Antiqua" w:hAnsi="Book Antiqua"/>
          <w:sz w:val="24"/>
          <w:szCs w:val="24"/>
          <w:lang w:val="en-GB"/>
        </w:rPr>
        <w:t>,</w:t>
      </w:r>
      <w:r w:rsidR="00363A1A" w:rsidRPr="00EE48E2">
        <w:rPr>
          <w:rFonts w:ascii="Book Antiqua" w:hAnsi="Book Antiqua"/>
          <w:sz w:val="24"/>
          <w:szCs w:val="24"/>
          <w:lang w:val="en-GB"/>
        </w:rPr>
        <w:t xml:space="preserve"> respectively, slightly improved PFS and OS compared to chemotherapy alone</w:t>
      </w:r>
      <w:r w:rsidR="00422FA4" w:rsidRPr="00EE48E2">
        <w:rPr>
          <w:rFonts w:ascii="Book Antiqua" w:hAnsi="Book Antiqua"/>
          <w:sz w:val="24"/>
          <w:szCs w:val="24"/>
          <w:vertAlign w:val="superscript"/>
          <w:lang w:val="en-GB"/>
        </w:rPr>
        <w:t>[</w:t>
      </w:r>
      <w:r w:rsidR="00AF249E">
        <w:rPr>
          <w:rFonts w:ascii="Book Antiqua" w:hAnsi="Book Antiqua" w:hint="eastAsia"/>
          <w:sz w:val="24"/>
          <w:szCs w:val="24"/>
          <w:vertAlign w:val="superscript"/>
          <w:lang w:val="en-GB" w:eastAsia="zh-CN"/>
        </w:rPr>
        <w:t>31</w:t>
      </w:r>
      <w:r w:rsidR="00422FA4" w:rsidRPr="00EE48E2">
        <w:rPr>
          <w:rFonts w:ascii="Book Antiqua" w:hAnsi="Book Antiqua"/>
          <w:sz w:val="24"/>
          <w:szCs w:val="24"/>
          <w:vertAlign w:val="superscript"/>
          <w:lang w:val="en-GB"/>
        </w:rPr>
        <w:t>,</w:t>
      </w:r>
      <w:r w:rsidR="00AF249E">
        <w:rPr>
          <w:rFonts w:ascii="Book Antiqua" w:hAnsi="Book Antiqua" w:hint="eastAsia"/>
          <w:sz w:val="24"/>
          <w:szCs w:val="24"/>
          <w:vertAlign w:val="superscript"/>
          <w:lang w:val="en-GB" w:eastAsia="zh-CN"/>
        </w:rPr>
        <w:t>65</w:t>
      </w:r>
      <w:r w:rsidR="00363A1A" w:rsidRPr="00EE48E2">
        <w:rPr>
          <w:rFonts w:ascii="Book Antiqua" w:hAnsi="Book Antiqua"/>
          <w:sz w:val="24"/>
          <w:szCs w:val="24"/>
          <w:vertAlign w:val="superscript"/>
          <w:lang w:val="en-GB"/>
        </w:rPr>
        <w:t>]</w:t>
      </w:r>
      <w:r w:rsidR="00363A1A" w:rsidRPr="00EE48E2">
        <w:rPr>
          <w:rFonts w:ascii="Book Antiqua" w:hAnsi="Book Antiqua"/>
          <w:sz w:val="24"/>
          <w:szCs w:val="24"/>
          <w:lang w:val="en-GB"/>
        </w:rPr>
        <w:t>. On the contrary, recent studies in patients receiving first-line anti-EGFR moAbs in combination with chemotherapy did not show a statistically significant correlation between BRAF V600E mutation and response</w:t>
      </w:r>
      <w:r w:rsidR="00422FA4" w:rsidRPr="00EE48E2">
        <w:rPr>
          <w:rFonts w:ascii="Book Antiqua" w:hAnsi="Book Antiqua"/>
          <w:sz w:val="24"/>
          <w:szCs w:val="24"/>
          <w:vertAlign w:val="superscript"/>
          <w:lang w:val="en-GB"/>
        </w:rPr>
        <w:t>[3</w:t>
      </w:r>
      <w:r w:rsidR="00AF249E">
        <w:rPr>
          <w:rFonts w:ascii="Book Antiqua" w:hAnsi="Book Antiqua" w:hint="eastAsia"/>
          <w:sz w:val="24"/>
          <w:szCs w:val="24"/>
          <w:vertAlign w:val="superscript"/>
          <w:lang w:val="en-GB" w:eastAsia="zh-CN"/>
        </w:rPr>
        <w:t>2</w:t>
      </w:r>
      <w:r w:rsidR="00422FA4" w:rsidRPr="00EE48E2">
        <w:rPr>
          <w:rFonts w:ascii="Book Antiqua" w:hAnsi="Book Antiqua"/>
          <w:sz w:val="24"/>
          <w:szCs w:val="24"/>
          <w:vertAlign w:val="superscript"/>
          <w:lang w:val="en-GB"/>
        </w:rPr>
        <w:t>,</w:t>
      </w:r>
      <w:r w:rsidR="00363A1A" w:rsidRPr="00EE48E2">
        <w:rPr>
          <w:rFonts w:ascii="Book Antiqua" w:hAnsi="Book Antiqua"/>
          <w:sz w:val="24"/>
          <w:szCs w:val="24"/>
          <w:vertAlign w:val="superscript"/>
          <w:lang w:val="en-GB"/>
        </w:rPr>
        <w:t>3</w:t>
      </w:r>
      <w:r w:rsidR="00AF249E">
        <w:rPr>
          <w:rFonts w:ascii="Book Antiqua" w:hAnsi="Book Antiqua" w:hint="eastAsia"/>
          <w:sz w:val="24"/>
          <w:szCs w:val="24"/>
          <w:vertAlign w:val="superscript"/>
          <w:lang w:val="en-GB" w:eastAsia="zh-CN"/>
        </w:rPr>
        <w:t>4</w:t>
      </w:r>
      <w:r w:rsidR="00363A1A" w:rsidRPr="00EE48E2">
        <w:rPr>
          <w:rFonts w:ascii="Book Antiqua" w:hAnsi="Book Antiqua"/>
          <w:sz w:val="24"/>
          <w:szCs w:val="24"/>
          <w:vertAlign w:val="superscript"/>
          <w:lang w:val="en-GB"/>
        </w:rPr>
        <w:t>]</w:t>
      </w:r>
      <w:r w:rsidR="00EB5D8F" w:rsidRPr="00EE48E2">
        <w:rPr>
          <w:rFonts w:ascii="Book Antiqua" w:hAnsi="Book Antiqua"/>
          <w:sz w:val="24"/>
          <w:szCs w:val="24"/>
          <w:lang w:val="en-GB"/>
        </w:rPr>
        <w:t>.</w:t>
      </w:r>
      <w:r w:rsidR="00363A1A" w:rsidRPr="00EE48E2">
        <w:rPr>
          <w:rFonts w:ascii="Book Antiqua" w:hAnsi="Book Antiqua"/>
          <w:sz w:val="24"/>
          <w:szCs w:val="24"/>
          <w:lang w:val="en-GB"/>
        </w:rPr>
        <w:t xml:space="preserve"> Also a recent meta-analysis of nine phase III trials revealed that the addition of an anti-EGFR moAbs to first-line doublet chemotherapy for patients with BRAF-mutant disease was not associated with improved OS, PFS or ORR</w:t>
      </w:r>
      <w:r w:rsidR="00363A1A" w:rsidRPr="00EE48E2">
        <w:rPr>
          <w:rFonts w:ascii="Book Antiqua" w:hAnsi="Book Antiqua"/>
          <w:sz w:val="24"/>
          <w:szCs w:val="24"/>
          <w:vertAlign w:val="superscript"/>
          <w:lang w:val="en-GB"/>
        </w:rPr>
        <w:t>[6</w:t>
      </w:r>
      <w:r w:rsidR="00AF249E">
        <w:rPr>
          <w:rFonts w:ascii="Book Antiqua" w:hAnsi="Book Antiqua" w:hint="eastAsia"/>
          <w:sz w:val="24"/>
          <w:szCs w:val="24"/>
          <w:vertAlign w:val="superscript"/>
          <w:lang w:val="en-GB" w:eastAsia="zh-CN"/>
        </w:rPr>
        <w:t>6</w:t>
      </w:r>
      <w:r w:rsidR="00363A1A" w:rsidRPr="00EE48E2">
        <w:rPr>
          <w:rFonts w:ascii="Book Antiqua" w:hAnsi="Book Antiqua"/>
          <w:sz w:val="24"/>
          <w:szCs w:val="24"/>
          <w:vertAlign w:val="superscript"/>
          <w:lang w:val="en-GB"/>
        </w:rPr>
        <w:t>]</w:t>
      </w:r>
      <w:r w:rsidR="00363A1A" w:rsidRPr="00EE48E2">
        <w:rPr>
          <w:rFonts w:ascii="Book Antiqua" w:hAnsi="Book Antiqua"/>
          <w:sz w:val="24"/>
          <w:szCs w:val="24"/>
          <w:lang w:val="en-GB"/>
        </w:rPr>
        <w:t xml:space="preserve">. In conclusion, the small percentage of </w:t>
      </w:r>
      <w:r w:rsidR="00363A1A" w:rsidRPr="00EE48E2">
        <w:rPr>
          <w:rFonts w:ascii="Book Antiqua" w:hAnsi="Book Antiqua"/>
          <w:i/>
          <w:sz w:val="24"/>
          <w:szCs w:val="24"/>
          <w:lang w:val="en-GB"/>
        </w:rPr>
        <w:t>BRAF</w:t>
      </w:r>
      <w:r w:rsidR="00363A1A" w:rsidRPr="00EE48E2">
        <w:rPr>
          <w:rFonts w:ascii="Book Antiqua" w:hAnsi="Book Antiqua"/>
          <w:sz w:val="24"/>
          <w:szCs w:val="24"/>
          <w:lang w:val="en-GB"/>
        </w:rPr>
        <w:t xml:space="preserve"> mutated patients, together with</w:t>
      </w:r>
      <w:r w:rsidR="00664E32" w:rsidRPr="00EE48E2">
        <w:rPr>
          <w:rFonts w:ascii="Book Antiqua" w:hAnsi="Book Antiqua"/>
          <w:sz w:val="24"/>
          <w:szCs w:val="24"/>
          <w:lang w:val="en-GB"/>
        </w:rPr>
        <w:t xml:space="preserve"> a</w:t>
      </w:r>
      <w:r w:rsidR="00363A1A" w:rsidRPr="00EE48E2">
        <w:rPr>
          <w:rFonts w:ascii="Book Antiqua" w:hAnsi="Book Antiqua"/>
          <w:sz w:val="24"/>
          <w:szCs w:val="24"/>
          <w:lang w:val="en-GB"/>
        </w:rPr>
        <w:t xml:space="preserve"> lack of prospective studies, do not allow </w:t>
      </w:r>
      <w:r w:rsidR="00664E32" w:rsidRPr="00EE48E2">
        <w:rPr>
          <w:rFonts w:ascii="Book Antiqua" w:hAnsi="Book Antiqua"/>
          <w:sz w:val="24"/>
          <w:szCs w:val="24"/>
          <w:lang w:val="en-GB"/>
        </w:rPr>
        <w:t xml:space="preserve">one </w:t>
      </w:r>
      <w:r w:rsidR="00363A1A" w:rsidRPr="00EE48E2">
        <w:rPr>
          <w:rFonts w:ascii="Book Antiqua" w:hAnsi="Book Antiqua"/>
          <w:sz w:val="24"/>
          <w:szCs w:val="24"/>
          <w:lang w:val="en-GB"/>
        </w:rPr>
        <w:t>to establish with certainty the predictive role of BRAF mutation for treatment with cetuximab and panitumumab.</w:t>
      </w:r>
    </w:p>
    <w:p w14:paraId="5691663C" w14:textId="518D4F70" w:rsidR="00363A1A" w:rsidRPr="00EE48E2" w:rsidRDefault="00EE48E2" w:rsidP="004D1833">
      <w:pPr>
        <w:adjustRightInd w:val="0"/>
        <w:snapToGrid w:val="0"/>
        <w:spacing w:after="0" w:line="360" w:lineRule="auto"/>
        <w:jc w:val="both"/>
        <w:rPr>
          <w:rFonts w:ascii="Book Antiqua" w:hAnsi="Book Antiqua"/>
          <w:sz w:val="24"/>
          <w:szCs w:val="24"/>
          <w:lang w:val="en-GB"/>
        </w:rPr>
      </w:pPr>
      <w:r w:rsidRPr="00EE48E2">
        <w:rPr>
          <w:rFonts w:ascii="Book Antiqua" w:hAnsi="Book Antiqua"/>
          <w:sz w:val="24"/>
          <w:szCs w:val="24"/>
          <w:lang w:val="en-GB"/>
        </w:rPr>
        <w:t xml:space="preserve">  </w:t>
      </w:r>
      <w:r w:rsidR="00363A1A" w:rsidRPr="00EE48E2">
        <w:rPr>
          <w:rFonts w:ascii="Book Antiqua" w:hAnsi="Book Antiqua"/>
          <w:sz w:val="24"/>
          <w:szCs w:val="24"/>
          <w:lang w:val="en-GB"/>
        </w:rPr>
        <w:t xml:space="preserve">BRAF mutation has been recognized, by circulating </w:t>
      </w:r>
      <w:r w:rsidR="00866858" w:rsidRPr="00EE48E2">
        <w:rPr>
          <w:rFonts w:ascii="Book Antiqua" w:hAnsi="Book Antiqua"/>
          <w:sz w:val="24"/>
          <w:szCs w:val="24"/>
          <w:lang w:val="en-GB"/>
        </w:rPr>
        <w:t>tumour</w:t>
      </w:r>
      <w:r w:rsidR="00363A1A" w:rsidRPr="00EE48E2">
        <w:rPr>
          <w:rFonts w:ascii="Book Antiqua" w:hAnsi="Book Antiqua"/>
          <w:sz w:val="24"/>
          <w:szCs w:val="24"/>
          <w:lang w:val="en-GB"/>
        </w:rPr>
        <w:t xml:space="preserve"> DNA (ctDNA) analysis, also as a mechanism of acquired resistance in patients who first responded to anti-EGFR therapy</w:t>
      </w:r>
      <w:r w:rsidR="00363A1A" w:rsidRPr="00EE48E2">
        <w:rPr>
          <w:rFonts w:ascii="Book Antiqua" w:hAnsi="Book Antiqua"/>
          <w:sz w:val="24"/>
          <w:szCs w:val="24"/>
          <w:vertAlign w:val="superscript"/>
          <w:lang w:val="en-GB"/>
        </w:rPr>
        <w:t>[22]</w:t>
      </w:r>
      <w:r w:rsidR="00363A1A" w:rsidRPr="00EE48E2">
        <w:rPr>
          <w:rFonts w:ascii="Book Antiqua" w:hAnsi="Book Antiqua"/>
          <w:sz w:val="24"/>
          <w:szCs w:val="24"/>
          <w:lang w:val="en-GB"/>
        </w:rPr>
        <w:t>.</w:t>
      </w:r>
    </w:p>
    <w:p w14:paraId="230BEB8F" w14:textId="080BC41D" w:rsidR="00363A1A" w:rsidRPr="00EE48E2" w:rsidRDefault="00363A1A" w:rsidP="00422FA4">
      <w:pPr>
        <w:adjustRightInd w:val="0"/>
        <w:snapToGrid w:val="0"/>
        <w:spacing w:after="0" w:line="360" w:lineRule="auto"/>
        <w:ind w:firstLineChars="100" w:firstLine="240"/>
        <w:jc w:val="both"/>
        <w:rPr>
          <w:rFonts w:ascii="Book Antiqua" w:hAnsi="Book Antiqua"/>
          <w:sz w:val="24"/>
          <w:szCs w:val="24"/>
          <w:lang w:val="en-GB"/>
        </w:rPr>
      </w:pPr>
      <w:r w:rsidRPr="00EE48E2">
        <w:rPr>
          <w:rFonts w:ascii="Book Antiqua" w:hAnsi="Book Antiqua"/>
          <w:sz w:val="24"/>
          <w:szCs w:val="24"/>
          <w:lang w:val="en-GB"/>
        </w:rPr>
        <w:t xml:space="preserve">In a phase II trial, the BRAF inhibitor vemurafenib has been tested in previously treated patients with </w:t>
      </w:r>
      <w:r w:rsidRPr="00EE48E2">
        <w:rPr>
          <w:rFonts w:ascii="Book Antiqua" w:hAnsi="Book Antiqua"/>
          <w:i/>
          <w:sz w:val="24"/>
          <w:szCs w:val="24"/>
          <w:lang w:val="en-GB"/>
        </w:rPr>
        <w:t>BRAF</w:t>
      </w:r>
      <w:r w:rsidR="00F73AA0" w:rsidRPr="00EE48E2">
        <w:rPr>
          <w:rFonts w:ascii="Book Antiqua" w:hAnsi="Book Antiqua"/>
          <w:sz w:val="24"/>
          <w:szCs w:val="24"/>
          <w:lang w:val="en-GB"/>
        </w:rPr>
        <w:t>-</w:t>
      </w:r>
      <w:r w:rsidRPr="00EE48E2">
        <w:rPr>
          <w:rFonts w:ascii="Book Antiqua" w:hAnsi="Book Antiqua"/>
          <w:sz w:val="24"/>
          <w:szCs w:val="24"/>
          <w:lang w:val="en-GB"/>
        </w:rPr>
        <w:t xml:space="preserve">mutated mCRC showing only a modest clinical activity (5% of RR) </w:t>
      </w:r>
      <w:r w:rsidR="00F73AA0" w:rsidRPr="00EE48E2">
        <w:rPr>
          <w:rFonts w:ascii="Book Antiqua" w:hAnsi="Book Antiqua"/>
          <w:sz w:val="24"/>
          <w:szCs w:val="24"/>
          <w:lang w:val="en-GB"/>
        </w:rPr>
        <w:t xml:space="preserve">with </w:t>
      </w:r>
      <w:r w:rsidRPr="00EE48E2">
        <w:rPr>
          <w:rFonts w:ascii="Book Antiqua" w:hAnsi="Book Antiqua"/>
          <w:sz w:val="24"/>
          <w:szCs w:val="24"/>
          <w:lang w:val="en-GB"/>
        </w:rPr>
        <w:t xml:space="preserve">respect to the impressive results (RR of 48 to 67%) obtained in </w:t>
      </w:r>
      <w:r w:rsidRPr="00EE48E2">
        <w:rPr>
          <w:rFonts w:ascii="Book Antiqua" w:hAnsi="Book Antiqua"/>
          <w:i/>
          <w:sz w:val="24"/>
          <w:szCs w:val="24"/>
          <w:lang w:val="en-GB"/>
        </w:rPr>
        <w:t>BRAF</w:t>
      </w:r>
      <w:r w:rsidR="00F73AA0" w:rsidRPr="00EE48E2">
        <w:rPr>
          <w:rFonts w:ascii="Book Antiqua" w:hAnsi="Book Antiqua"/>
          <w:sz w:val="24"/>
          <w:szCs w:val="24"/>
          <w:lang w:val="en-GB"/>
        </w:rPr>
        <w:t>-</w:t>
      </w:r>
      <w:r w:rsidRPr="00EE48E2">
        <w:rPr>
          <w:rFonts w:ascii="Book Antiqua" w:hAnsi="Book Antiqua"/>
          <w:sz w:val="24"/>
          <w:szCs w:val="24"/>
          <w:lang w:val="en-GB"/>
        </w:rPr>
        <w:t>mutated melanoma</w:t>
      </w:r>
      <w:r w:rsidRPr="00EE48E2">
        <w:rPr>
          <w:rFonts w:ascii="Book Antiqua" w:hAnsi="Book Antiqua"/>
          <w:sz w:val="24"/>
          <w:szCs w:val="24"/>
          <w:vertAlign w:val="superscript"/>
          <w:lang w:val="en-GB"/>
        </w:rPr>
        <w:t>[6</w:t>
      </w:r>
      <w:r w:rsidR="00AF249E">
        <w:rPr>
          <w:rFonts w:ascii="Book Antiqua" w:hAnsi="Book Antiqua" w:hint="eastAsia"/>
          <w:sz w:val="24"/>
          <w:szCs w:val="24"/>
          <w:vertAlign w:val="superscript"/>
          <w:lang w:val="en-GB" w:eastAsia="zh-CN"/>
        </w:rPr>
        <w:t>7</w:t>
      </w:r>
      <w:r w:rsidRPr="00EE48E2">
        <w:rPr>
          <w:rFonts w:ascii="Book Antiqua" w:hAnsi="Book Antiqua"/>
          <w:sz w:val="24"/>
          <w:szCs w:val="24"/>
          <w:vertAlign w:val="superscript"/>
          <w:lang w:val="en-GB"/>
        </w:rPr>
        <w:t>]</w:t>
      </w:r>
      <w:r w:rsidRPr="00EE48E2">
        <w:rPr>
          <w:rFonts w:ascii="Book Antiqua" w:hAnsi="Book Antiqua"/>
          <w:sz w:val="24"/>
          <w:szCs w:val="24"/>
          <w:lang w:val="en-GB"/>
        </w:rPr>
        <w:t>. In cell line models</w:t>
      </w:r>
      <w:r w:rsidR="00F73AA0" w:rsidRPr="00EE48E2">
        <w:rPr>
          <w:rFonts w:ascii="Book Antiqua" w:hAnsi="Book Antiqua"/>
          <w:sz w:val="24"/>
          <w:szCs w:val="24"/>
          <w:lang w:val="en-GB"/>
        </w:rPr>
        <w:t>,</w:t>
      </w:r>
      <w:r w:rsidRPr="00EE48E2">
        <w:rPr>
          <w:rFonts w:ascii="Book Antiqua" w:hAnsi="Book Antiqua"/>
          <w:sz w:val="24"/>
          <w:szCs w:val="24"/>
          <w:lang w:val="en-GB"/>
        </w:rPr>
        <w:t xml:space="preserve"> </w:t>
      </w:r>
      <w:r w:rsidR="00F73AA0" w:rsidRPr="00EE48E2">
        <w:rPr>
          <w:rFonts w:ascii="Book Antiqua" w:hAnsi="Book Antiqua"/>
          <w:sz w:val="24"/>
          <w:szCs w:val="24"/>
          <w:lang w:val="en-GB"/>
        </w:rPr>
        <w:t xml:space="preserve">it </w:t>
      </w:r>
      <w:r w:rsidRPr="00EE48E2">
        <w:rPr>
          <w:rFonts w:ascii="Book Antiqua" w:hAnsi="Book Antiqua"/>
          <w:sz w:val="24"/>
          <w:szCs w:val="24"/>
          <w:lang w:val="en-GB"/>
        </w:rPr>
        <w:t xml:space="preserve">has been found that resistance to </w:t>
      </w:r>
      <w:r w:rsidR="00F73AA0" w:rsidRPr="00EE48E2">
        <w:rPr>
          <w:rFonts w:ascii="Book Antiqua" w:hAnsi="Book Antiqua"/>
          <w:sz w:val="24"/>
          <w:szCs w:val="24"/>
          <w:lang w:val="en-GB"/>
        </w:rPr>
        <w:t xml:space="preserve">the </w:t>
      </w:r>
      <w:r w:rsidRPr="00EE48E2">
        <w:rPr>
          <w:rFonts w:ascii="Book Antiqua" w:hAnsi="Book Antiqua"/>
          <w:sz w:val="24"/>
          <w:szCs w:val="24"/>
          <w:lang w:val="en-GB"/>
        </w:rPr>
        <w:t>BRAF</w:t>
      </w:r>
      <w:r w:rsidR="00F73AA0" w:rsidRPr="00EE48E2">
        <w:rPr>
          <w:rFonts w:ascii="Book Antiqua" w:hAnsi="Book Antiqua"/>
          <w:sz w:val="24"/>
          <w:szCs w:val="24"/>
          <w:lang w:val="en-GB"/>
        </w:rPr>
        <w:t>-</w:t>
      </w:r>
      <w:r w:rsidRPr="00EE48E2">
        <w:rPr>
          <w:rFonts w:ascii="Book Antiqua" w:hAnsi="Book Antiqua"/>
          <w:sz w:val="24"/>
          <w:szCs w:val="24"/>
          <w:lang w:val="en-GB"/>
        </w:rPr>
        <w:t xml:space="preserve">targeted approach seems to be caused by either persistent activation of the EGFR </w:t>
      </w:r>
      <w:r w:rsidR="00DB342E" w:rsidRPr="00EE48E2">
        <w:rPr>
          <w:rFonts w:ascii="Book Antiqua" w:hAnsi="Book Antiqua"/>
          <w:sz w:val="24"/>
          <w:szCs w:val="24"/>
          <w:lang w:val="en-GB"/>
        </w:rPr>
        <w:t xml:space="preserve">signalling </w:t>
      </w:r>
      <w:r w:rsidRPr="00EE48E2">
        <w:rPr>
          <w:rFonts w:ascii="Book Antiqua" w:hAnsi="Book Antiqua"/>
          <w:sz w:val="24"/>
          <w:szCs w:val="24"/>
          <w:lang w:val="en-GB"/>
        </w:rPr>
        <w:lastRenderedPageBreak/>
        <w:t xml:space="preserve">pathway </w:t>
      </w:r>
      <w:r w:rsidR="00F73AA0" w:rsidRPr="00EE48E2">
        <w:rPr>
          <w:rFonts w:ascii="Book Antiqua" w:hAnsi="Book Antiqua"/>
          <w:sz w:val="24"/>
          <w:szCs w:val="24"/>
          <w:lang w:val="en-GB"/>
        </w:rPr>
        <w:t>or</w:t>
      </w:r>
      <w:r w:rsidRPr="00EE48E2">
        <w:rPr>
          <w:rFonts w:ascii="Book Antiqua" w:hAnsi="Book Antiqua"/>
          <w:sz w:val="24"/>
          <w:szCs w:val="24"/>
          <w:lang w:val="en-GB"/>
        </w:rPr>
        <w:t xml:space="preserve"> the activation of other pathways such as PIK3CA/AKT</w:t>
      </w:r>
      <w:r w:rsidR="00422FA4" w:rsidRPr="00EE48E2">
        <w:rPr>
          <w:rFonts w:ascii="Book Antiqua" w:hAnsi="Book Antiqua"/>
          <w:sz w:val="24"/>
          <w:szCs w:val="24"/>
          <w:vertAlign w:val="superscript"/>
          <w:lang w:val="en-GB"/>
        </w:rPr>
        <w:t>[6</w:t>
      </w:r>
      <w:r w:rsidR="00AF249E">
        <w:rPr>
          <w:rFonts w:ascii="Book Antiqua" w:hAnsi="Book Antiqua" w:hint="eastAsia"/>
          <w:sz w:val="24"/>
          <w:szCs w:val="24"/>
          <w:vertAlign w:val="superscript"/>
          <w:lang w:val="en-GB" w:eastAsia="zh-CN"/>
        </w:rPr>
        <w:t>8</w:t>
      </w:r>
      <w:r w:rsidR="00422FA4" w:rsidRPr="00EE48E2">
        <w:rPr>
          <w:rFonts w:ascii="Book Antiqua" w:hAnsi="Book Antiqua"/>
          <w:sz w:val="24"/>
          <w:szCs w:val="24"/>
          <w:vertAlign w:val="superscript"/>
          <w:lang w:val="en-GB"/>
        </w:rPr>
        <w:t>,</w:t>
      </w:r>
      <w:r w:rsidR="00AF249E">
        <w:rPr>
          <w:rFonts w:ascii="Book Antiqua" w:hAnsi="Book Antiqua" w:hint="eastAsia"/>
          <w:sz w:val="24"/>
          <w:szCs w:val="24"/>
          <w:vertAlign w:val="superscript"/>
          <w:lang w:val="en-GB" w:eastAsia="zh-CN"/>
        </w:rPr>
        <w:t>69</w:t>
      </w:r>
      <w:r w:rsidRPr="00EE48E2">
        <w:rPr>
          <w:rFonts w:ascii="Book Antiqua" w:hAnsi="Book Antiqua"/>
          <w:sz w:val="24"/>
          <w:szCs w:val="24"/>
          <w:vertAlign w:val="superscript"/>
          <w:lang w:val="en-GB"/>
        </w:rPr>
        <w:t>]</w:t>
      </w:r>
      <w:r w:rsidRPr="00EE48E2">
        <w:rPr>
          <w:rFonts w:ascii="Book Antiqua" w:hAnsi="Book Antiqua"/>
          <w:sz w:val="24"/>
          <w:szCs w:val="24"/>
          <w:lang w:val="en-GB"/>
        </w:rPr>
        <w:t xml:space="preserve">. These findings showed that </w:t>
      </w:r>
      <w:r w:rsidR="004D35DD" w:rsidRPr="00EE48E2">
        <w:rPr>
          <w:rFonts w:ascii="Book Antiqua" w:hAnsi="Book Antiqua"/>
          <w:sz w:val="24"/>
          <w:szCs w:val="24"/>
          <w:lang w:val="en-GB"/>
        </w:rPr>
        <w:t xml:space="preserve">the </w:t>
      </w:r>
      <w:r w:rsidRPr="00EE48E2">
        <w:rPr>
          <w:rFonts w:ascii="Book Antiqua" w:hAnsi="Book Antiqua"/>
          <w:sz w:val="24"/>
          <w:szCs w:val="24"/>
          <w:lang w:val="en-GB"/>
        </w:rPr>
        <w:t xml:space="preserve">biology of BRAF activation is more heterogeneous in CRC than in other </w:t>
      </w:r>
      <w:r w:rsidR="00866858" w:rsidRPr="00EE48E2">
        <w:rPr>
          <w:rFonts w:ascii="Book Antiqua" w:hAnsi="Book Antiqua"/>
          <w:sz w:val="24"/>
          <w:szCs w:val="24"/>
          <w:lang w:val="en-GB"/>
        </w:rPr>
        <w:t>tumour</w:t>
      </w:r>
      <w:r w:rsidRPr="00EE48E2">
        <w:rPr>
          <w:rFonts w:ascii="Book Antiqua" w:hAnsi="Book Antiqua"/>
          <w:sz w:val="24"/>
          <w:szCs w:val="24"/>
          <w:lang w:val="en-GB"/>
        </w:rPr>
        <w:t xml:space="preserve">s and suggested a potential role </w:t>
      </w:r>
      <w:r w:rsidR="004D35DD" w:rsidRPr="00EE48E2">
        <w:rPr>
          <w:rFonts w:ascii="Book Antiqua" w:hAnsi="Book Antiqua"/>
          <w:sz w:val="24"/>
          <w:szCs w:val="24"/>
          <w:lang w:val="en-GB"/>
        </w:rPr>
        <w:t>for</w:t>
      </w:r>
      <w:r w:rsidRPr="00EE48E2">
        <w:rPr>
          <w:rFonts w:ascii="Book Antiqua" w:hAnsi="Book Antiqua"/>
          <w:sz w:val="24"/>
          <w:szCs w:val="24"/>
          <w:lang w:val="en-GB"/>
        </w:rPr>
        <w:t xml:space="preserve"> a combination approach. Indeed</w:t>
      </w:r>
      <w:r w:rsidR="004D35DD" w:rsidRPr="00EE48E2">
        <w:rPr>
          <w:rFonts w:ascii="Book Antiqua" w:hAnsi="Book Antiqua"/>
          <w:sz w:val="24"/>
          <w:szCs w:val="24"/>
          <w:lang w:val="en-GB"/>
        </w:rPr>
        <w:t>,</w:t>
      </w:r>
      <w:r w:rsidRPr="00EE48E2">
        <w:rPr>
          <w:rFonts w:ascii="Book Antiqua" w:hAnsi="Book Antiqua"/>
          <w:sz w:val="24"/>
          <w:szCs w:val="24"/>
          <w:lang w:val="en-GB"/>
        </w:rPr>
        <w:t xml:space="preserve"> the combination of dabrafenib and trametinib (BRAF/MEK inhibitor therapy) </w:t>
      </w:r>
      <w:r w:rsidR="004D35DD" w:rsidRPr="00EE48E2">
        <w:rPr>
          <w:rFonts w:ascii="Book Antiqua" w:hAnsi="Book Antiqua"/>
          <w:sz w:val="24"/>
          <w:szCs w:val="24"/>
          <w:lang w:val="en-GB"/>
        </w:rPr>
        <w:t xml:space="preserve">obtained better results than </w:t>
      </w:r>
      <w:r w:rsidRPr="00EE48E2">
        <w:rPr>
          <w:rFonts w:ascii="Book Antiqua" w:hAnsi="Book Antiqua"/>
          <w:sz w:val="24"/>
          <w:szCs w:val="24"/>
          <w:lang w:val="en-GB"/>
        </w:rPr>
        <w:t>vemurafenib monotherapy in 43 patients with BRAF V600-mutant mCRC</w:t>
      </w:r>
      <w:r w:rsidRPr="00EE48E2">
        <w:rPr>
          <w:rFonts w:ascii="Book Antiqua" w:hAnsi="Book Antiqua"/>
          <w:sz w:val="24"/>
          <w:szCs w:val="24"/>
          <w:vertAlign w:val="superscript"/>
          <w:lang w:val="en-GB"/>
        </w:rPr>
        <w:t>[7</w:t>
      </w:r>
      <w:r w:rsidR="00AF249E">
        <w:rPr>
          <w:rFonts w:ascii="Book Antiqua" w:hAnsi="Book Antiqua" w:hint="eastAsia"/>
          <w:sz w:val="24"/>
          <w:szCs w:val="24"/>
          <w:vertAlign w:val="superscript"/>
          <w:lang w:val="en-GB" w:eastAsia="zh-CN"/>
        </w:rPr>
        <w:t>0</w:t>
      </w:r>
      <w:r w:rsidRPr="00EE48E2">
        <w:rPr>
          <w:rFonts w:ascii="Book Antiqua" w:hAnsi="Book Antiqua"/>
          <w:sz w:val="24"/>
          <w:szCs w:val="24"/>
          <w:vertAlign w:val="superscript"/>
          <w:lang w:val="en-GB"/>
        </w:rPr>
        <w:t>]</w:t>
      </w:r>
      <w:r w:rsidRPr="00EE48E2">
        <w:rPr>
          <w:rFonts w:ascii="Book Antiqua" w:hAnsi="Book Antiqua"/>
          <w:sz w:val="24"/>
          <w:szCs w:val="24"/>
          <w:lang w:val="en-GB"/>
        </w:rPr>
        <w:t xml:space="preserve">. Furthermore, </w:t>
      </w:r>
      <w:r w:rsidR="004D35DD" w:rsidRPr="00EE48E2">
        <w:rPr>
          <w:rFonts w:ascii="Book Antiqua" w:hAnsi="Book Antiqua"/>
          <w:sz w:val="24"/>
          <w:szCs w:val="24"/>
          <w:lang w:val="en-GB"/>
        </w:rPr>
        <w:t xml:space="preserve">the first trials testing </w:t>
      </w:r>
      <w:r w:rsidRPr="00EE48E2">
        <w:rPr>
          <w:rFonts w:ascii="Book Antiqua" w:hAnsi="Book Antiqua"/>
          <w:sz w:val="24"/>
          <w:szCs w:val="24"/>
          <w:lang w:val="en-GB"/>
        </w:rPr>
        <w:t xml:space="preserve">the double blockade with </w:t>
      </w:r>
      <w:r w:rsidR="003628A5" w:rsidRPr="00EE48E2">
        <w:rPr>
          <w:rFonts w:ascii="Book Antiqua" w:hAnsi="Book Antiqua"/>
          <w:sz w:val="24"/>
          <w:szCs w:val="24"/>
          <w:lang w:val="en-GB"/>
        </w:rPr>
        <w:t xml:space="preserve">the </w:t>
      </w:r>
      <w:r w:rsidRPr="00EE48E2">
        <w:rPr>
          <w:rFonts w:ascii="Book Antiqua" w:hAnsi="Book Antiqua"/>
          <w:sz w:val="24"/>
          <w:szCs w:val="24"/>
          <w:lang w:val="en-GB"/>
        </w:rPr>
        <w:t>BRAF inhibitor vemurafenib and either the EGFR inhibitor panitumumab or a PI3KCA/mTOR inhibitor demonstrated modest activity</w:t>
      </w:r>
      <w:r w:rsidRPr="00EE48E2">
        <w:rPr>
          <w:rFonts w:ascii="Book Antiqua" w:hAnsi="Book Antiqua"/>
          <w:sz w:val="24"/>
          <w:szCs w:val="24"/>
          <w:vertAlign w:val="superscript"/>
          <w:lang w:val="en-GB"/>
        </w:rPr>
        <w:t>[7</w:t>
      </w:r>
      <w:r w:rsidR="00AF249E">
        <w:rPr>
          <w:rFonts w:ascii="Book Antiqua" w:hAnsi="Book Antiqua" w:hint="eastAsia"/>
          <w:sz w:val="24"/>
          <w:szCs w:val="24"/>
          <w:vertAlign w:val="superscript"/>
          <w:lang w:val="en-GB" w:eastAsia="zh-CN"/>
        </w:rPr>
        <w:t>1</w:t>
      </w:r>
      <w:r w:rsidRPr="00EE48E2">
        <w:rPr>
          <w:rFonts w:ascii="Book Antiqua" w:hAnsi="Book Antiqua"/>
          <w:sz w:val="24"/>
          <w:szCs w:val="24"/>
          <w:vertAlign w:val="superscript"/>
          <w:lang w:val="en-GB"/>
        </w:rPr>
        <w:t>,7</w:t>
      </w:r>
      <w:r w:rsidR="00AF249E">
        <w:rPr>
          <w:rFonts w:ascii="Book Antiqua" w:hAnsi="Book Antiqua" w:hint="eastAsia"/>
          <w:sz w:val="24"/>
          <w:szCs w:val="24"/>
          <w:vertAlign w:val="superscript"/>
          <w:lang w:val="en-GB" w:eastAsia="zh-CN"/>
        </w:rPr>
        <w:t>2</w:t>
      </w:r>
      <w:r w:rsidRPr="00EE48E2">
        <w:rPr>
          <w:rFonts w:ascii="Book Antiqua" w:hAnsi="Book Antiqua"/>
          <w:sz w:val="24"/>
          <w:szCs w:val="24"/>
          <w:vertAlign w:val="superscript"/>
          <w:lang w:val="en-GB"/>
        </w:rPr>
        <w:t>]</w:t>
      </w:r>
      <w:r w:rsidRPr="00EE48E2">
        <w:rPr>
          <w:rFonts w:ascii="Book Antiqua" w:hAnsi="Book Antiqua"/>
          <w:sz w:val="24"/>
          <w:szCs w:val="24"/>
          <w:lang w:val="en-GB"/>
        </w:rPr>
        <w:t xml:space="preserve">. To date, several clinical trials are assessing the </w:t>
      </w:r>
      <w:r w:rsidR="00734B63" w:rsidRPr="00EE48E2">
        <w:rPr>
          <w:rFonts w:ascii="Book Antiqua" w:hAnsi="Book Antiqua"/>
          <w:sz w:val="24"/>
          <w:szCs w:val="24"/>
          <w:lang w:val="en-GB"/>
        </w:rPr>
        <w:t>effects</w:t>
      </w:r>
      <w:r w:rsidRPr="00EE48E2">
        <w:rPr>
          <w:rFonts w:ascii="Book Antiqua" w:hAnsi="Book Antiqua"/>
          <w:sz w:val="24"/>
          <w:szCs w:val="24"/>
          <w:lang w:val="en-GB"/>
        </w:rPr>
        <w:t xml:space="preserve"> of BRAF inhibitors</w:t>
      </w:r>
      <w:r w:rsidR="00734B63" w:rsidRPr="00EE48E2">
        <w:rPr>
          <w:rFonts w:ascii="Book Antiqua" w:hAnsi="Book Antiqua"/>
          <w:sz w:val="24"/>
          <w:szCs w:val="24"/>
          <w:lang w:val="en-GB"/>
        </w:rPr>
        <w:t xml:space="preserve"> in combination</w:t>
      </w:r>
      <w:r w:rsidRPr="00EE48E2">
        <w:rPr>
          <w:rFonts w:ascii="Book Antiqua" w:hAnsi="Book Antiqua"/>
          <w:sz w:val="24"/>
          <w:szCs w:val="24"/>
          <w:lang w:val="en-GB"/>
        </w:rPr>
        <w:t xml:space="preserve"> with MEK, EGFR and PI3K inhibitors</w:t>
      </w:r>
      <w:r w:rsidRPr="00EE48E2">
        <w:rPr>
          <w:rFonts w:ascii="Book Antiqua" w:hAnsi="Book Antiqua"/>
          <w:sz w:val="24"/>
          <w:szCs w:val="24"/>
          <w:vertAlign w:val="superscript"/>
          <w:lang w:val="en-GB"/>
        </w:rPr>
        <w:t>[7</w:t>
      </w:r>
      <w:r w:rsidR="00AF249E">
        <w:rPr>
          <w:rFonts w:ascii="Book Antiqua" w:hAnsi="Book Antiqua" w:hint="eastAsia"/>
          <w:sz w:val="24"/>
          <w:szCs w:val="24"/>
          <w:vertAlign w:val="superscript"/>
          <w:lang w:val="en-GB" w:eastAsia="zh-CN"/>
        </w:rPr>
        <w:t>3</w:t>
      </w:r>
      <w:r w:rsidRPr="00EE48E2">
        <w:rPr>
          <w:rFonts w:ascii="Book Antiqua" w:hAnsi="Book Antiqua"/>
          <w:sz w:val="24"/>
          <w:szCs w:val="24"/>
          <w:vertAlign w:val="superscript"/>
          <w:lang w:val="en-GB"/>
        </w:rPr>
        <w:t>]</w:t>
      </w:r>
      <w:r w:rsidRPr="00EE48E2">
        <w:rPr>
          <w:rFonts w:ascii="Book Antiqua" w:hAnsi="Book Antiqua"/>
          <w:sz w:val="24"/>
          <w:szCs w:val="24"/>
          <w:lang w:val="en-GB"/>
        </w:rPr>
        <w:t xml:space="preserve">. </w:t>
      </w:r>
    </w:p>
    <w:p w14:paraId="1B5885AC" w14:textId="336DB67B" w:rsidR="00363A1A" w:rsidRPr="00EE48E2" w:rsidRDefault="00EE48E2" w:rsidP="004D1833">
      <w:pPr>
        <w:adjustRightInd w:val="0"/>
        <w:snapToGrid w:val="0"/>
        <w:spacing w:after="0" w:line="360" w:lineRule="auto"/>
        <w:jc w:val="both"/>
        <w:rPr>
          <w:rFonts w:ascii="Book Antiqua" w:hAnsi="Book Antiqua"/>
          <w:sz w:val="24"/>
          <w:szCs w:val="24"/>
          <w:lang w:val="en-GB"/>
        </w:rPr>
      </w:pPr>
      <w:r w:rsidRPr="00EE48E2">
        <w:rPr>
          <w:rFonts w:ascii="Book Antiqua" w:hAnsi="Book Antiqua"/>
          <w:sz w:val="24"/>
          <w:szCs w:val="24"/>
          <w:lang w:val="en-GB"/>
        </w:rPr>
        <w:t xml:space="preserve">  </w:t>
      </w:r>
      <w:r w:rsidR="00363A1A" w:rsidRPr="00EE48E2">
        <w:rPr>
          <w:rFonts w:ascii="Book Antiqua" w:hAnsi="Book Antiqua"/>
          <w:sz w:val="24"/>
          <w:szCs w:val="24"/>
          <w:lang w:val="en-GB"/>
        </w:rPr>
        <w:t xml:space="preserve">The use of ERK inhibitors </w:t>
      </w:r>
      <w:r w:rsidR="00DB342E" w:rsidRPr="00EE48E2">
        <w:rPr>
          <w:rFonts w:ascii="Book Antiqua" w:hAnsi="Book Antiqua"/>
          <w:sz w:val="24"/>
          <w:szCs w:val="24"/>
          <w:lang w:val="en-GB"/>
        </w:rPr>
        <w:t>to</w:t>
      </w:r>
      <w:r w:rsidR="00363A1A" w:rsidRPr="00EE48E2">
        <w:rPr>
          <w:rFonts w:ascii="Book Antiqua" w:hAnsi="Book Antiqua"/>
          <w:sz w:val="24"/>
          <w:szCs w:val="24"/>
          <w:lang w:val="en-GB"/>
        </w:rPr>
        <w:t xml:space="preserve"> suppress MAPK activity is another potential strategy </w:t>
      </w:r>
      <w:r w:rsidR="006517F9" w:rsidRPr="00EE48E2">
        <w:rPr>
          <w:rFonts w:ascii="Book Antiqua" w:hAnsi="Book Antiqua"/>
          <w:sz w:val="24"/>
          <w:szCs w:val="24"/>
          <w:lang w:val="en-GB"/>
        </w:rPr>
        <w:t>because</w:t>
      </w:r>
      <w:r w:rsidR="00B532A0" w:rsidRPr="00EE48E2">
        <w:rPr>
          <w:rFonts w:ascii="Book Antiqua" w:hAnsi="Book Antiqua"/>
          <w:sz w:val="24"/>
          <w:szCs w:val="24"/>
          <w:lang w:val="en-GB"/>
        </w:rPr>
        <w:t xml:space="preserve"> it</w:t>
      </w:r>
      <w:r w:rsidR="00363A1A" w:rsidRPr="00EE48E2">
        <w:rPr>
          <w:rFonts w:ascii="Book Antiqua" w:hAnsi="Book Antiqua"/>
          <w:sz w:val="24"/>
          <w:szCs w:val="24"/>
          <w:lang w:val="en-GB"/>
        </w:rPr>
        <w:t xml:space="preserve"> has been observed that MAPK is usually upregulated in patients resistant to RAF inhibitors</w:t>
      </w:r>
      <w:r w:rsidR="00363A1A" w:rsidRPr="00EE48E2">
        <w:rPr>
          <w:rFonts w:ascii="Book Antiqua" w:hAnsi="Book Antiqua"/>
          <w:sz w:val="24"/>
          <w:szCs w:val="24"/>
          <w:vertAlign w:val="superscript"/>
          <w:lang w:val="en-GB"/>
        </w:rPr>
        <w:t>[7</w:t>
      </w:r>
      <w:r w:rsidR="00AF249E">
        <w:rPr>
          <w:rFonts w:ascii="Book Antiqua" w:hAnsi="Book Antiqua" w:hint="eastAsia"/>
          <w:sz w:val="24"/>
          <w:szCs w:val="24"/>
          <w:vertAlign w:val="superscript"/>
          <w:lang w:val="en-GB" w:eastAsia="zh-CN"/>
        </w:rPr>
        <w:t>4</w:t>
      </w:r>
      <w:r w:rsidR="00363A1A" w:rsidRPr="00EE48E2">
        <w:rPr>
          <w:rFonts w:ascii="Book Antiqua" w:hAnsi="Book Antiqua"/>
          <w:sz w:val="24"/>
          <w:szCs w:val="24"/>
          <w:vertAlign w:val="superscript"/>
          <w:lang w:val="en-GB"/>
        </w:rPr>
        <w:t>]</w:t>
      </w:r>
      <w:r w:rsidR="00363A1A" w:rsidRPr="00EE48E2">
        <w:rPr>
          <w:rFonts w:ascii="Book Antiqua" w:hAnsi="Book Antiqua"/>
          <w:sz w:val="24"/>
          <w:szCs w:val="24"/>
          <w:lang w:val="en-GB"/>
        </w:rPr>
        <w:t xml:space="preserve">. </w:t>
      </w:r>
    </w:p>
    <w:p w14:paraId="2E0CDE38" w14:textId="42FDE7E1" w:rsidR="00363A1A" w:rsidRPr="00EE48E2" w:rsidRDefault="00363A1A" w:rsidP="00422FA4">
      <w:pPr>
        <w:adjustRightInd w:val="0"/>
        <w:snapToGrid w:val="0"/>
        <w:spacing w:after="0" w:line="360" w:lineRule="auto"/>
        <w:ind w:firstLineChars="100" w:firstLine="240"/>
        <w:jc w:val="both"/>
        <w:rPr>
          <w:rFonts w:ascii="Book Antiqua" w:hAnsi="Book Antiqua"/>
          <w:sz w:val="24"/>
          <w:szCs w:val="24"/>
          <w:lang w:val="en-GB"/>
        </w:rPr>
      </w:pPr>
      <w:r w:rsidRPr="00EE48E2">
        <w:rPr>
          <w:rFonts w:ascii="Book Antiqua" w:hAnsi="Book Antiqua"/>
          <w:sz w:val="24"/>
          <w:szCs w:val="24"/>
          <w:lang w:val="en-GB"/>
        </w:rPr>
        <w:t xml:space="preserve">It is worth noting that </w:t>
      </w:r>
      <w:r w:rsidR="00B532A0" w:rsidRPr="00EE48E2">
        <w:rPr>
          <w:rFonts w:ascii="Book Antiqua" w:hAnsi="Book Antiqua"/>
          <w:sz w:val="24"/>
          <w:szCs w:val="24"/>
          <w:lang w:val="en-GB"/>
        </w:rPr>
        <w:t xml:space="preserve">the </w:t>
      </w:r>
      <w:r w:rsidRPr="00EE48E2">
        <w:rPr>
          <w:rFonts w:ascii="Book Antiqua" w:hAnsi="Book Antiqua"/>
          <w:sz w:val="24"/>
          <w:szCs w:val="24"/>
          <w:lang w:val="en-GB"/>
        </w:rPr>
        <w:t xml:space="preserve">TRIBE study, comparing FOLFOXIRI plus bevacizumab </w:t>
      </w:r>
      <w:r w:rsidR="00DA1BA0" w:rsidRPr="00EE48E2">
        <w:rPr>
          <w:rFonts w:ascii="Book Antiqua" w:hAnsi="Book Antiqua"/>
          <w:i/>
          <w:sz w:val="24"/>
          <w:szCs w:val="24"/>
          <w:lang w:val="en-GB"/>
        </w:rPr>
        <w:t>vs</w:t>
      </w:r>
      <w:r w:rsidRPr="00EE48E2">
        <w:rPr>
          <w:rFonts w:ascii="Book Antiqua" w:hAnsi="Book Antiqua"/>
          <w:sz w:val="24"/>
          <w:szCs w:val="24"/>
          <w:lang w:val="en-GB"/>
        </w:rPr>
        <w:t xml:space="preserve"> FOLFOXIRI in first</w:t>
      </w:r>
      <w:r w:rsidR="00B532A0" w:rsidRPr="00EE48E2">
        <w:rPr>
          <w:rFonts w:ascii="Book Antiqua" w:hAnsi="Book Antiqua"/>
          <w:sz w:val="24"/>
          <w:szCs w:val="24"/>
          <w:lang w:val="en-GB"/>
        </w:rPr>
        <w:t>-</w:t>
      </w:r>
      <w:r w:rsidRPr="00EE48E2">
        <w:rPr>
          <w:rFonts w:ascii="Book Antiqua" w:hAnsi="Book Antiqua"/>
          <w:sz w:val="24"/>
          <w:szCs w:val="24"/>
          <w:lang w:val="en-GB"/>
        </w:rPr>
        <w:t>line mCRC patients, showed a relevant hazard ratio for progression of 0.55 in favour of the combination with bevacizumab (interaction test</w:t>
      </w:r>
      <w:r w:rsidRPr="00EE48E2">
        <w:rPr>
          <w:rFonts w:ascii="Book Antiqua" w:hAnsi="Book Antiqua"/>
          <w:i/>
          <w:sz w:val="24"/>
          <w:szCs w:val="24"/>
          <w:lang w:val="en-GB"/>
        </w:rPr>
        <w:t xml:space="preserve"> P</w:t>
      </w:r>
      <w:r w:rsidRPr="00EE48E2">
        <w:rPr>
          <w:rFonts w:ascii="Book Antiqua" w:hAnsi="Book Antiqua"/>
          <w:sz w:val="24"/>
          <w:szCs w:val="24"/>
          <w:lang w:val="en-GB"/>
        </w:rPr>
        <w:t xml:space="preserve"> = 0.320), in the subgroup of 28 patients with tumours harbouring BRAF mutations</w:t>
      </w:r>
      <w:r w:rsidRPr="00EE48E2">
        <w:rPr>
          <w:rFonts w:ascii="Book Antiqua" w:hAnsi="Book Antiqua"/>
          <w:sz w:val="24"/>
          <w:szCs w:val="24"/>
          <w:vertAlign w:val="superscript"/>
          <w:lang w:val="en-GB"/>
        </w:rPr>
        <w:t>[7</w:t>
      </w:r>
      <w:r w:rsidR="00AF249E">
        <w:rPr>
          <w:rFonts w:ascii="Book Antiqua" w:hAnsi="Book Antiqua" w:hint="eastAsia"/>
          <w:sz w:val="24"/>
          <w:szCs w:val="24"/>
          <w:vertAlign w:val="superscript"/>
          <w:lang w:val="en-GB" w:eastAsia="zh-CN"/>
        </w:rPr>
        <w:t>5</w:t>
      </w:r>
      <w:r w:rsidRPr="00EE48E2">
        <w:rPr>
          <w:rFonts w:ascii="Book Antiqua" w:hAnsi="Book Antiqua"/>
          <w:sz w:val="24"/>
          <w:szCs w:val="24"/>
          <w:vertAlign w:val="superscript"/>
          <w:lang w:val="en-GB"/>
        </w:rPr>
        <w:t>]</w:t>
      </w:r>
      <w:r w:rsidRPr="00EE48E2">
        <w:rPr>
          <w:rFonts w:ascii="Book Antiqua" w:hAnsi="Book Antiqua"/>
          <w:sz w:val="24"/>
          <w:szCs w:val="24"/>
          <w:lang w:val="en-GB"/>
        </w:rPr>
        <w:t>.</w:t>
      </w:r>
    </w:p>
    <w:p w14:paraId="3EB5CFCD" w14:textId="77777777" w:rsidR="00363A1A" w:rsidRPr="00EE48E2" w:rsidRDefault="00363A1A" w:rsidP="004D1833">
      <w:pPr>
        <w:adjustRightInd w:val="0"/>
        <w:snapToGrid w:val="0"/>
        <w:spacing w:after="0" w:line="360" w:lineRule="auto"/>
        <w:jc w:val="both"/>
        <w:rPr>
          <w:rFonts w:ascii="Book Antiqua" w:hAnsi="Book Antiqua"/>
          <w:sz w:val="24"/>
          <w:szCs w:val="24"/>
          <w:lang w:val="en-GB"/>
        </w:rPr>
      </w:pPr>
    </w:p>
    <w:p w14:paraId="5B5BE684" w14:textId="77777777" w:rsidR="00363A1A" w:rsidRPr="00EE48E2" w:rsidRDefault="00363A1A" w:rsidP="004D1833">
      <w:pPr>
        <w:adjustRightInd w:val="0"/>
        <w:snapToGrid w:val="0"/>
        <w:spacing w:after="0" w:line="360" w:lineRule="auto"/>
        <w:jc w:val="both"/>
        <w:rPr>
          <w:rFonts w:ascii="Book Antiqua" w:hAnsi="Book Antiqua"/>
          <w:b/>
          <w:i/>
          <w:sz w:val="24"/>
          <w:szCs w:val="24"/>
          <w:lang w:val="en-GB"/>
        </w:rPr>
      </w:pPr>
      <w:r w:rsidRPr="00EE48E2">
        <w:rPr>
          <w:rFonts w:ascii="Book Antiqua" w:hAnsi="Book Antiqua"/>
          <w:b/>
          <w:i/>
          <w:sz w:val="24"/>
          <w:szCs w:val="24"/>
          <w:lang w:val="en-GB"/>
        </w:rPr>
        <w:t>PIK3CA mutations and loss of PTEN</w:t>
      </w:r>
    </w:p>
    <w:p w14:paraId="7C1DADB3" w14:textId="4B98D43B" w:rsidR="00363A1A" w:rsidRPr="00EE48E2" w:rsidRDefault="00E864D4" w:rsidP="004D1833">
      <w:pPr>
        <w:adjustRightInd w:val="0"/>
        <w:snapToGrid w:val="0"/>
        <w:spacing w:after="0" w:line="360" w:lineRule="auto"/>
        <w:jc w:val="both"/>
        <w:rPr>
          <w:rFonts w:ascii="Book Antiqua" w:hAnsi="Book Antiqua"/>
          <w:sz w:val="24"/>
          <w:szCs w:val="24"/>
          <w:lang w:val="en-GB"/>
        </w:rPr>
      </w:pPr>
      <w:r w:rsidRPr="00EE48E2">
        <w:rPr>
          <w:rFonts w:ascii="Book Antiqua" w:hAnsi="Book Antiqua"/>
          <w:sz w:val="24"/>
          <w:szCs w:val="24"/>
          <w:lang w:val="en-GB"/>
        </w:rPr>
        <w:t xml:space="preserve">The </w:t>
      </w:r>
      <w:r w:rsidR="00363A1A" w:rsidRPr="00EE48E2">
        <w:rPr>
          <w:rFonts w:ascii="Book Antiqua" w:hAnsi="Book Antiqua"/>
          <w:sz w:val="24"/>
          <w:szCs w:val="24"/>
          <w:lang w:val="en-GB"/>
        </w:rPr>
        <w:t xml:space="preserve">PIK3CA/AKT/mTOR </w:t>
      </w:r>
      <w:r w:rsidR="00DB342E" w:rsidRPr="00EE48E2">
        <w:rPr>
          <w:rFonts w:ascii="Book Antiqua" w:hAnsi="Book Antiqua"/>
          <w:sz w:val="24"/>
          <w:szCs w:val="24"/>
          <w:lang w:val="en-GB"/>
        </w:rPr>
        <w:t xml:space="preserve">signalling </w:t>
      </w:r>
      <w:r w:rsidR="00363A1A" w:rsidRPr="00EE48E2">
        <w:rPr>
          <w:rFonts w:ascii="Book Antiqua" w:hAnsi="Book Antiqua"/>
          <w:sz w:val="24"/>
          <w:szCs w:val="24"/>
          <w:lang w:val="en-GB"/>
        </w:rPr>
        <w:t>pathway is associated with several RTKs</w:t>
      </w:r>
      <w:r w:rsidRPr="00EE48E2">
        <w:rPr>
          <w:rFonts w:ascii="Book Antiqua" w:hAnsi="Book Antiqua"/>
          <w:sz w:val="24"/>
          <w:szCs w:val="24"/>
          <w:lang w:val="en-GB"/>
        </w:rPr>
        <w:t>,</w:t>
      </w:r>
      <w:r w:rsidR="00363A1A" w:rsidRPr="00EE48E2">
        <w:rPr>
          <w:rFonts w:ascii="Book Antiqua" w:hAnsi="Book Antiqua"/>
          <w:sz w:val="24"/>
          <w:szCs w:val="24"/>
          <w:lang w:val="en-GB"/>
        </w:rPr>
        <w:t xml:space="preserve"> including EGFR</w:t>
      </w:r>
      <w:r w:rsidR="00363A1A" w:rsidRPr="00EE48E2">
        <w:rPr>
          <w:rFonts w:ascii="Book Antiqua" w:hAnsi="Book Antiqua"/>
          <w:sz w:val="24"/>
          <w:szCs w:val="24"/>
          <w:vertAlign w:val="superscript"/>
          <w:lang w:val="en-GB"/>
        </w:rPr>
        <w:t>[</w:t>
      </w:r>
      <w:r w:rsidR="00AF249E">
        <w:rPr>
          <w:rFonts w:ascii="Book Antiqua" w:hAnsi="Book Antiqua" w:hint="eastAsia"/>
          <w:sz w:val="24"/>
          <w:szCs w:val="24"/>
          <w:vertAlign w:val="superscript"/>
          <w:lang w:val="en-GB" w:eastAsia="zh-CN"/>
        </w:rPr>
        <w:t>76</w:t>
      </w:r>
      <w:r w:rsidR="00363A1A" w:rsidRPr="00EE48E2">
        <w:rPr>
          <w:rFonts w:ascii="Book Antiqua" w:hAnsi="Book Antiqua"/>
          <w:sz w:val="24"/>
          <w:szCs w:val="24"/>
          <w:vertAlign w:val="superscript"/>
          <w:lang w:val="en-GB"/>
        </w:rPr>
        <w:t>]</w:t>
      </w:r>
      <w:r w:rsidR="00363A1A" w:rsidRPr="00EE48E2">
        <w:rPr>
          <w:rFonts w:ascii="Book Antiqua" w:hAnsi="Book Antiqua"/>
          <w:sz w:val="24"/>
          <w:szCs w:val="24"/>
          <w:lang w:val="en-GB"/>
        </w:rPr>
        <w:t xml:space="preserve">. Alterations in genes that encode for these proteins play an important role in the development of malignant </w:t>
      </w:r>
      <w:r w:rsidR="00866858" w:rsidRPr="00EE48E2">
        <w:rPr>
          <w:rFonts w:ascii="Book Antiqua" w:hAnsi="Book Antiqua"/>
          <w:sz w:val="24"/>
          <w:szCs w:val="24"/>
          <w:lang w:val="en-GB"/>
        </w:rPr>
        <w:t>tumour</w:t>
      </w:r>
      <w:r w:rsidR="00363A1A" w:rsidRPr="00EE48E2">
        <w:rPr>
          <w:rFonts w:ascii="Book Antiqua" w:hAnsi="Book Antiqua"/>
          <w:sz w:val="24"/>
          <w:szCs w:val="24"/>
          <w:lang w:val="en-GB"/>
        </w:rPr>
        <w:t>s and could impair the response to EGFR-targeted moAbs. In particular</w:t>
      </w:r>
      <w:r w:rsidRPr="00EE48E2">
        <w:rPr>
          <w:rFonts w:ascii="Book Antiqua" w:hAnsi="Book Antiqua"/>
          <w:sz w:val="24"/>
          <w:szCs w:val="24"/>
          <w:lang w:val="en-GB"/>
        </w:rPr>
        <w:t>,</w:t>
      </w:r>
      <w:r w:rsidR="00363A1A" w:rsidRPr="00EE48E2">
        <w:rPr>
          <w:rFonts w:ascii="Book Antiqua" w:hAnsi="Book Antiqua"/>
          <w:sz w:val="24"/>
          <w:szCs w:val="24"/>
          <w:lang w:val="en-GB"/>
        </w:rPr>
        <w:t xml:space="preserve"> activating mutations of PIK3CA, mostly occurring in exons 9 and 20, have been found in 10</w:t>
      </w:r>
      <w:r w:rsidR="00422FA4" w:rsidRPr="00EE48E2">
        <w:rPr>
          <w:rFonts w:ascii="Book Antiqua" w:hAnsi="Book Antiqua" w:hint="eastAsia"/>
          <w:sz w:val="24"/>
          <w:szCs w:val="24"/>
          <w:lang w:val="en-GB" w:eastAsia="zh-CN"/>
        </w:rPr>
        <w:t>%</w:t>
      </w:r>
      <w:r w:rsidR="00363A1A" w:rsidRPr="00EE48E2">
        <w:rPr>
          <w:rFonts w:ascii="Book Antiqua" w:hAnsi="Book Antiqua"/>
          <w:sz w:val="24"/>
          <w:szCs w:val="24"/>
          <w:lang w:val="en-GB"/>
        </w:rPr>
        <w:t>–20% of CRCs</w:t>
      </w:r>
      <w:r w:rsidRPr="00EE48E2">
        <w:rPr>
          <w:rFonts w:ascii="Book Antiqua" w:hAnsi="Book Antiqua"/>
          <w:sz w:val="24"/>
          <w:szCs w:val="24"/>
          <w:lang w:val="en-GB"/>
        </w:rPr>
        <w:t>,</w:t>
      </w:r>
      <w:r w:rsidR="00363A1A" w:rsidRPr="00EE48E2">
        <w:rPr>
          <w:rFonts w:ascii="Book Antiqua" w:hAnsi="Book Antiqua"/>
          <w:sz w:val="24"/>
          <w:szCs w:val="24"/>
          <w:lang w:val="en-GB"/>
        </w:rPr>
        <w:t xml:space="preserve"> and in preclinical models, </w:t>
      </w:r>
      <w:r w:rsidRPr="00EE48E2">
        <w:rPr>
          <w:rFonts w:ascii="Book Antiqua" w:hAnsi="Book Antiqua"/>
          <w:sz w:val="24"/>
          <w:szCs w:val="24"/>
          <w:lang w:val="en-GB"/>
        </w:rPr>
        <w:t xml:space="preserve">they </w:t>
      </w:r>
      <w:r w:rsidR="00363A1A" w:rsidRPr="00EE48E2">
        <w:rPr>
          <w:rFonts w:ascii="Book Antiqua" w:hAnsi="Book Antiqua"/>
          <w:sz w:val="24"/>
          <w:szCs w:val="24"/>
          <w:lang w:val="en-GB"/>
        </w:rPr>
        <w:t xml:space="preserve">were found to be predictive of </w:t>
      </w:r>
      <w:r w:rsidRPr="00EE48E2">
        <w:rPr>
          <w:rFonts w:ascii="Book Antiqua" w:hAnsi="Book Antiqua"/>
          <w:sz w:val="24"/>
          <w:szCs w:val="24"/>
          <w:lang w:val="en-GB"/>
        </w:rPr>
        <w:t xml:space="preserve">a </w:t>
      </w:r>
      <w:r w:rsidR="00363A1A" w:rsidRPr="00EE48E2">
        <w:rPr>
          <w:rFonts w:ascii="Book Antiqua" w:hAnsi="Book Antiqua"/>
          <w:sz w:val="24"/>
          <w:szCs w:val="24"/>
          <w:lang w:val="en-GB"/>
        </w:rPr>
        <w:t xml:space="preserve">lack of benefit </w:t>
      </w:r>
      <w:r w:rsidRPr="00EE48E2">
        <w:rPr>
          <w:rFonts w:ascii="Book Antiqua" w:hAnsi="Book Antiqua"/>
          <w:sz w:val="24"/>
          <w:szCs w:val="24"/>
          <w:lang w:val="en-GB"/>
        </w:rPr>
        <w:t>from</w:t>
      </w:r>
      <w:r w:rsidR="00363A1A" w:rsidRPr="00EE48E2">
        <w:rPr>
          <w:rFonts w:ascii="Book Antiqua" w:hAnsi="Book Antiqua"/>
          <w:sz w:val="24"/>
          <w:szCs w:val="24"/>
          <w:lang w:val="en-GB"/>
        </w:rPr>
        <w:t xml:space="preserve"> cetuximab treatment</w:t>
      </w:r>
      <w:r w:rsidR="00363A1A" w:rsidRPr="00EE48E2">
        <w:rPr>
          <w:rFonts w:ascii="Book Antiqua" w:hAnsi="Book Antiqua"/>
          <w:sz w:val="24"/>
          <w:szCs w:val="24"/>
          <w:vertAlign w:val="superscript"/>
          <w:lang w:val="en-GB"/>
        </w:rPr>
        <w:t>[7</w:t>
      </w:r>
      <w:r w:rsidR="00AF249E">
        <w:rPr>
          <w:rFonts w:ascii="Book Antiqua" w:hAnsi="Book Antiqua" w:hint="eastAsia"/>
          <w:sz w:val="24"/>
          <w:szCs w:val="24"/>
          <w:vertAlign w:val="superscript"/>
          <w:lang w:val="en-GB" w:eastAsia="zh-CN"/>
        </w:rPr>
        <w:t>7</w:t>
      </w:r>
      <w:r w:rsidR="00363A1A" w:rsidRPr="00EE48E2">
        <w:rPr>
          <w:rFonts w:ascii="Book Antiqua" w:hAnsi="Book Antiqua"/>
          <w:sz w:val="24"/>
          <w:szCs w:val="24"/>
          <w:vertAlign w:val="superscript"/>
          <w:lang w:val="en-GB"/>
        </w:rPr>
        <w:t>-</w:t>
      </w:r>
      <w:r w:rsidR="00AF249E">
        <w:rPr>
          <w:rFonts w:ascii="Book Antiqua" w:hAnsi="Book Antiqua" w:hint="eastAsia"/>
          <w:sz w:val="24"/>
          <w:szCs w:val="24"/>
          <w:vertAlign w:val="superscript"/>
          <w:lang w:val="en-GB" w:eastAsia="zh-CN"/>
        </w:rPr>
        <w:t>79</w:t>
      </w:r>
      <w:r w:rsidR="00363A1A" w:rsidRPr="00EE48E2">
        <w:rPr>
          <w:rFonts w:ascii="Book Antiqua" w:hAnsi="Book Antiqua"/>
          <w:sz w:val="24"/>
          <w:szCs w:val="24"/>
          <w:vertAlign w:val="superscript"/>
          <w:lang w:val="en-GB"/>
        </w:rPr>
        <w:t>]</w:t>
      </w:r>
      <w:r w:rsidR="00363A1A" w:rsidRPr="00EE48E2">
        <w:rPr>
          <w:rFonts w:ascii="Book Antiqua" w:hAnsi="Book Antiqua"/>
          <w:sz w:val="24"/>
          <w:szCs w:val="24"/>
          <w:lang w:val="en-GB"/>
        </w:rPr>
        <w:t>. In a retrospective analysis of 110 mCRC patients treated with anti-EGFR moAbs</w:t>
      </w:r>
      <w:r w:rsidRPr="00EE48E2">
        <w:rPr>
          <w:rFonts w:ascii="Book Antiqua" w:hAnsi="Book Antiqua"/>
          <w:sz w:val="24"/>
          <w:szCs w:val="24"/>
          <w:lang w:val="en-GB"/>
        </w:rPr>
        <w:t>,</w:t>
      </w:r>
      <w:r w:rsidR="00363A1A" w:rsidRPr="00EE48E2">
        <w:rPr>
          <w:rFonts w:ascii="Book Antiqua" w:hAnsi="Book Antiqua"/>
          <w:sz w:val="24"/>
          <w:szCs w:val="24"/>
          <w:lang w:val="en-GB"/>
        </w:rPr>
        <w:t xml:space="preserve"> a statistically significant association between PIK3CA mutations and primary resistance to treatment with cetuximab or panitumumab </w:t>
      </w:r>
      <w:r w:rsidRPr="00EE48E2">
        <w:rPr>
          <w:rFonts w:ascii="Book Antiqua" w:hAnsi="Book Antiqua"/>
          <w:sz w:val="24"/>
          <w:szCs w:val="24"/>
          <w:lang w:val="en-GB"/>
        </w:rPr>
        <w:t xml:space="preserve">was reported </w:t>
      </w:r>
      <w:r w:rsidR="00363A1A" w:rsidRPr="00EE48E2">
        <w:rPr>
          <w:rFonts w:ascii="Book Antiqua" w:hAnsi="Book Antiqua"/>
          <w:sz w:val="24"/>
          <w:szCs w:val="24"/>
          <w:lang w:val="en-GB"/>
        </w:rPr>
        <w:t xml:space="preserve">in the population of </w:t>
      </w:r>
      <w:r w:rsidRPr="00EE48E2">
        <w:rPr>
          <w:rFonts w:ascii="Book Antiqua" w:hAnsi="Book Antiqua"/>
          <w:sz w:val="24"/>
          <w:szCs w:val="24"/>
          <w:lang w:val="en-GB"/>
        </w:rPr>
        <w:t xml:space="preserve">patients with </w:t>
      </w:r>
      <w:r w:rsidR="00363A1A" w:rsidRPr="00EE48E2">
        <w:rPr>
          <w:rFonts w:ascii="Book Antiqua" w:hAnsi="Book Antiqua"/>
          <w:sz w:val="24"/>
          <w:szCs w:val="24"/>
          <w:lang w:val="en-GB"/>
        </w:rPr>
        <w:t xml:space="preserve">KRAS WT </w:t>
      </w:r>
      <w:r w:rsidR="00866858" w:rsidRPr="00EE48E2">
        <w:rPr>
          <w:rFonts w:ascii="Book Antiqua" w:hAnsi="Book Antiqua"/>
          <w:sz w:val="24"/>
          <w:szCs w:val="24"/>
          <w:lang w:val="en-GB"/>
        </w:rPr>
        <w:t>tumour</w:t>
      </w:r>
      <w:r w:rsidR="00363A1A" w:rsidRPr="00EE48E2">
        <w:rPr>
          <w:rFonts w:ascii="Book Antiqua" w:hAnsi="Book Antiqua"/>
          <w:sz w:val="24"/>
          <w:szCs w:val="24"/>
          <w:lang w:val="en-GB"/>
        </w:rPr>
        <w:t>s</w:t>
      </w:r>
      <w:r w:rsidR="00363A1A" w:rsidRPr="00EE48E2">
        <w:rPr>
          <w:rFonts w:ascii="Book Antiqua" w:hAnsi="Book Antiqua"/>
          <w:sz w:val="24"/>
          <w:szCs w:val="24"/>
          <w:vertAlign w:val="superscript"/>
          <w:lang w:val="en-GB"/>
        </w:rPr>
        <w:t>[8</w:t>
      </w:r>
      <w:r w:rsidR="00AF249E">
        <w:rPr>
          <w:rFonts w:ascii="Book Antiqua" w:hAnsi="Book Antiqua" w:hint="eastAsia"/>
          <w:sz w:val="24"/>
          <w:szCs w:val="24"/>
          <w:vertAlign w:val="superscript"/>
          <w:lang w:val="en-GB" w:eastAsia="zh-CN"/>
        </w:rPr>
        <w:t>0</w:t>
      </w:r>
      <w:r w:rsidR="00363A1A" w:rsidRPr="00EE48E2">
        <w:rPr>
          <w:rFonts w:ascii="Book Antiqua" w:hAnsi="Book Antiqua"/>
          <w:sz w:val="24"/>
          <w:szCs w:val="24"/>
          <w:vertAlign w:val="superscript"/>
          <w:lang w:val="en-GB"/>
        </w:rPr>
        <w:t>]</w:t>
      </w:r>
      <w:r w:rsidR="00A07480" w:rsidRPr="00EE48E2">
        <w:rPr>
          <w:rFonts w:ascii="Book Antiqua" w:hAnsi="Book Antiqua"/>
          <w:sz w:val="24"/>
          <w:szCs w:val="24"/>
          <w:lang w:val="en-GB"/>
        </w:rPr>
        <w:t xml:space="preserve">. </w:t>
      </w:r>
      <w:r w:rsidR="00363A1A" w:rsidRPr="00EE48E2">
        <w:rPr>
          <w:rFonts w:ascii="Book Antiqua" w:hAnsi="Book Antiqua"/>
          <w:sz w:val="24"/>
          <w:szCs w:val="24"/>
          <w:lang w:val="en-GB"/>
        </w:rPr>
        <w:t>A la</w:t>
      </w:r>
      <w:r w:rsidR="00422FA4" w:rsidRPr="00EE48E2">
        <w:rPr>
          <w:rFonts w:ascii="Book Antiqua" w:hAnsi="Book Antiqua"/>
          <w:sz w:val="24"/>
          <w:szCs w:val="24"/>
          <w:lang w:val="en-GB"/>
        </w:rPr>
        <w:t>rge retrospective analysis of 1</w:t>
      </w:r>
      <w:r w:rsidR="00363A1A" w:rsidRPr="00EE48E2">
        <w:rPr>
          <w:rFonts w:ascii="Book Antiqua" w:hAnsi="Book Antiqua"/>
          <w:sz w:val="24"/>
          <w:szCs w:val="24"/>
          <w:lang w:val="en-GB"/>
        </w:rPr>
        <w:t xml:space="preserve">022 </w:t>
      </w:r>
      <w:r w:rsidR="00866858" w:rsidRPr="00EE48E2">
        <w:rPr>
          <w:rFonts w:ascii="Book Antiqua" w:hAnsi="Book Antiqua"/>
          <w:sz w:val="24"/>
          <w:szCs w:val="24"/>
          <w:lang w:val="en-GB"/>
        </w:rPr>
        <w:t>tumour</w:t>
      </w:r>
      <w:r w:rsidR="00363A1A" w:rsidRPr="00EE48E2">
        <w:rPr>
          <w:rFonts w:ascii="Book Antiqua" w:hAnsi="Book Antiqua"/>
          <w:sz w:val="24"/>
          <w:szCs w:val="24"/>
          <w:lang w:val="en-GB"/>
        </w:rPr>
        <w:t xml:space="preserve"> samples of patients treated with cetuximab described two important findings: </w:t>
      </w:r>
      <w:r w:rsidR="00422FA4" w:rsidRPr="00EE48E2">
        <w:rPr>
          <w:rFonts w:ascii="Book Antiqua" w:hAnsi="Book Antiqua" w:hint="eastAsia"/>
          <w:sz w:val="24"/>
          <w:szCs w:val="24"/>
          <w:lang w:val="en-GB" w:eastAsia="zh-CN"/>
        </w:rPr>
        <w:t>(1)</w:t>
      </w:r>
      <w:r w:rsidR="00363A1A" w:rsidRPr="00EE48E2">
        <w:rPr>
          <w:rFonts w:ascii="Book Antiqua" w:hAnsi="Book Antiqua"/>
          <w:sz w:val="24"/>
          <w:szCs w:val="24"/>
          <w:lang w:val="en-GB"/>
        </w:rPr>
        <w:t xml:space="preserve"> only PIK3CA exon 20 mutations was predictive of </w:t>
      </w:r>
      <w:r w:rsidR="004637E3" w:rsidRPr="00EE48E2">
        <w:rPr>
          <w:rFonts w:ascii="Book Antiqua" w:hAnsi="Book Antiqua"/>
          <w:sz w:val="24"/>
          <w:szCs w:val="24"/>
          <w:lang w:val="en-GB"/>
        </w:rPr>
        <w:t xml:space="preserve">a </w:t>
      </w:r>
      <w:r w:rsidR="00363A1A" w:rsidRPr="00EE48E2">
        <w:rPr>
          <w:rFonts w:ascii="Book Antiqua" w:hAnsi="Book Antiqua"/>
          <w:sz w:val="24"/>
          <w:szCs w:val="24"/>
          <w:lang w:val="en-GB"/>
        </w:rPr>
        <w:t xml:space="preserve">lack </w:t>
      </w:r>
      <w:r w:rsidR="004637E3" w:rsidRPr="00EE48E2">
        <w:rPr>
          <w:rFonts w:ascii="Book Antiqua" w:hAnsi="Book Antiqua"/>
          <w:sz w:val="24"/>
          <w:szCs w:val="24"/>
          <w:lang w:val="en-GB"/>
        </w:rPr>
        <w:t xml:space="preserve">of </w:t>
      </w:r>
      <w:r w:rsidR="00363A1A" w:rsidRPr="00EE48E2">
        <w:rPr>
          <w:rFonts w:ascii="Book Antiqua" w:hAnsi="Book Antiqua"/>
          <w:sz w:val="24"/>
          <w:szCs w:val="24"/>
          <w:lang w:val="en-GB"/>
        </w:rPr>
        <w:t>response to cetuximab in the KRAS WT subpopulation</w:t>
      </w:r>
      <w:r w:rsidR="004637E3" w:rsidRPr="00EE48E2">
        <w:rPr>
          <w:rFonts w:ascii="Book Antiqua" w:hAnsi="Book Antiqua"/>
          <w:sz w:val="24"/>
          <w:szCs w:val="24"/>
          <w:lang w:val="en-GB"/>
        </w:rPr>
        <w:t>;</w:t>
      </w:r>
      <w:r w:rsidR="00363A1A" w:rsidRPr="00EE48E2">
        <w:rPr>
          <w:rFonts w:ascii="Book Antiqua" w:hAnsi="Book Antiqua"/>
          <w:sz w:val="24"/>
          <w:szCs w:val="24"/>
          <w:lang w:val="en-GB"/>
        </w:rPr>
        <w:t xml:space="preserve"> </w:t>
      </w:r>
      <w:r w:rsidR="00422FA4" w:rsidRPr="00EE48E2">
        <w:rPr>
          <w:rFonts w:ascii="Book Antiqua" w:hAnsi="Book Antiqua" w:hint="eastAsia"/>
          <w:sz w:val="24"/>
          <w:szCs w:val="24"/>
          <w:lang w:val="en-GB" w:eastAsia="zh-CN"/>
        </w:rPr>
        <w:t>and (2)</w:t>
      </w:r>
      <w:r w:rsidR="00363A1A" w:rsidRPr="00EE48E2">
        <w:rPr>
          <w:rFonts w:ascii="Book Antiqua" w:hAnsi="Book Antiqua"/>
          <w:sz w:val="24"/>
          <w:szCs w:val="24"/>
          <w:lang w:val="en-GB"/>
        </w:rPr>
        <w:t xml:space="preserve"> PIK3CA exon 9 mutations and KRAS mutations were associated, suggesting </w:t>
      </w:r>
      <w:r w:rsidR="004637E3" w:rsidRPr="00EE48E2">
        <w:rPr>
          <w:rFonts w:ascii="Book Antiqua" w:hAnsi="Book Antiqua"/>
          <w:sz w:val="24"/>
          <w:szCs w:val="24"/>
          <w:lang w:val="en-GB"/>
        </w:rPr>
        <w:t>a</w:t>
      </w:r>
      <w:r w:rsidR="00363A1A" w:rsidRPr="00EE48E2">
        <w:rPr>
          <w:rFonts w:ascii="Book Antiqua" w:hAnsi="Book Antiqua"/>
          <w:sz w:val="24"/>
          <w:szCs w:val="24"/>
          <w:lang w:val="en-GB"/>
        </w:rPr>
        <w:t xml:space="preserve"> secondary role </w:t>
      </w:r>
      <w:r w:rsidR="004637E3" w:rsidRPr="00EE48E2">
        <w:rPr>
          <w:rFonts w:ascii="Book Antiqua" w:hAnsi="Book Antiqua"/>
          <w:sz w:val="24"/>
          <w:szCs w:val="24"/>
          <w:lang w:val="en-GB"/>
        </w:rPr>
        <w:t xml:space="preserve">of PIK3CA exon 9 mutations </w:t>
      </w:r>
      <w:r w:rsidR="00363A1A" w:rsidRPr="00EE48E2">
        <w:rPr>
          <w:rFonts w:ascii="Book Antiqua" w:hAnsi="Book Antiqua"/>
          <w:sz w:val="24"/>
          <w:szCs w:val="24"/>
          <w:lang w:val="en-GB"/>
        </w:rPr>
        <w:t>on cetuximab efficacy</w:t>
      </w:r>
      <w:r w:rsidR="00363A1A" w:rsidRPr="00EE48E2">
        <w:rPr>
          <w:rFonts w:ascii="Book Antiqua" w:hAnsi="Book Antiqua"/>
          <w:sz w:val="24"/>
          <w:szCs w:val="24"/>
          <w:vertAlign w:val="superscript"/>
          <w:lang w:val="en-GB"/>
        </w:rPr>
        <w:t>[17]</w:t>
      </w:r>
      <w:r w:rsidR="00363A1A" w:rsidRPr="00EE48E2">
        <w:rPr>
          <w:rFonts w:ascii="Book Antiqua" w:hAnsi="Book Antiqua"/>
          <w:sz w:val="24"/>
          <w:szCs w:val="24"/>
          <w:lang w:val="en-GB"/>
        </w:rPr>
        <w:t>. Thereafter</w:t>
      </w:r>
      <w:r w:rsidR="004637E3" w:rsidRPr="00EE48E2">
        <w:rPr>
          <w:rFonts w:ascii="Book Antiqua" w:hAnsi="Book Antiqua"/>
          <w:sz w:val="24"/>
          <w:szCs w:val="24"/>
          <w:lang w:val="en-GB"/>
        </w:rPr>
        <w:t>,</w:t>
      </w:r>
      <w:r w:rsidR="00363A1A" w:rsidRPr="00EE48E2">
        <w:rPr>
          <w:rFonts w:ascii="Book Antiqua" w:hAnsi="Book Antiqua"/>
          <w:sz w:val="24"/>
          <w:szCs w:val="24"/>
          <w:lang w:val="en-GB"/>
        </w:rPr>
        <w:t xml:space="preserve"> two meta-analys</w:t>
      </w:r>
      <w:r w:rsidR="004637E3" w:rsidRPr="00EE48E2">
        <w:rPr>
          <w:rFonts w:ascii="Book Antiqua" w:hAnsi="Book Antiqua"/>
          <w:sz w:val="24"/>
          <w:szCs w:val="24"/>
          <w:lang w:val="en-GB"/>
        </w:rPr>
        <w:t>es</w:t>
      </w:r>
      <w:r w:rsidR="00363A1A" w:rsidRPr="00EE48E2">
        <w:rPr>
          <w:rFonts w:ascii="Book Antiqua" w:hAnsi="Book Antiqua"/>
          <w:sz w:val="24"/>
          <w:szCs w:val="24"/>
          <w:lang w:val="en-GB"/>
        </w:rPr>
        <w:t xml:space="preserve"> also described a </w:t>
      </w:r>
      <w:r w:rsidR="00363A1A" w:rsidRPr="00EE48E2">
        <w:rPr>
          <w:rFonts w:ascii="Book Antiqua" w:hAnsi="Book Antiqua"/>
          <w:sz w:val="24"/>
          <w:szCs w:val="24"/>
          <w:lang w:val="en-GB"/>
        </w:rPr>
        <w:lastRenderedPageBreak/>
        <w:t>negative predictive role of only PIK3CA mutations in exon 20 in terms of objective RR, PFS, and OS in WT KRAS mCRC patients treated with anti-EGFR therapies</w:t>
      </w:r>
      <w:r w:rsidR="00363A1A" w:rsidRPr="00EE48E2">
        <w:rPr>
          <w:rFonts w:ascii="Book Antiqua" w:hAnsi="Book Antiqua"/>
          <w:sz w:val="24"/>
          <w:szCs w:val="24"/>
          <w:vertAlign w:val="superscript"/>
          <w:lang w:val="en-GB"/>
        </w:rPr>
        <w:t>[8</w:t>
      </w:r>
      <w:r w:rsidR="00AF249E">
        <w:rPr>
          <w:rFonts w:ascii="Book Antiqua" w:hAnsi="Book Antiqua" w:hint="eastAsia"/>
          <w:sz w:val="24"/>
          <w:szCs w:val="24"/>
          <w:vertAlign w:val="superscript"/>
          <w:lang w:val="en-GB" w:eastAsia="zh-CN"/>
        </w:rPr>
        <w:t>1</w:t>
      </w:r>
      <w:r w:rsidR="007A7426" w:rsidRPr="00EE48E2">
        <w:rPr>
          <w:rFonts w:ascii="Book Antiqua" w:hAnsi="Book Antiqua" w:hint="eastAsia"/>
          <w:sz w:val="24"/>
          <w:szCs w:val="24"/>
          <w:vertAlign w:val="superscript"/>
          <w:lang w:val="en-GB" w:eastAsia="zh-CN"/>
        </w:rPr>
        <w:t>,</w:t>
      </w:r>
      <w:r w:rsidR="00363A1A" w:rsidRPr="00EE48E2">
        <w:rPr>
          <w:rFonts w:ascii="Book Antiqua" w:hAnsi="Book Antiqua"/>
          <w:sz w:val="24"/>
          <w:szCs w:val="24"/>
          <w:vertAlign w:val="superscript"/>
          <w:lang w:val="en-GB"/>
        </w:rPr>
        <w:t>8</w:t>
      </w:r>
      <w:r w:rsidR="00AF249E">
        <w:rPr>
          <w:rFonts w:ascii="Book Antiqua" w:hAnsi="Book Antiqua" w:hint="eastAsia"/>
          <w:sz w:val="24"/>
          <w:szCs w:val="24"/>
          <w:vertAlign w:val="superscript"/>
          <w:lang w:val="en-GB" w:eastAsia="zh-CN"/>
        </w:rPr>
        <w:t>2</w:t>
      </w:r>
      <w:r w:rsidR="00363A1A" w:rsidRPr="00EE48E2">
        <w:rPr>
          <w:rFonts w:ascii="Book Antiqua" w:hAnsi="Book Antiqua"/>
          <w:sz w:val="24"/>
          <w:szCs w:val="24"/>
          <w:vertAlign w:val="superscript"/>
          <w:lang w:val="en-GB"/>
        </w:rPr>
        <w:t>]</w:t>
      </w:r>
      <w:r w:rsidR="00363A1A" w:rsidRPr="00EE48E2">
        <w:rPr>
          <w:rFonts w:ascii="Book Antiqua" w:hAnsi="Book Antiqua"/>
          <w:sz w:val="24"/>
          <w:szCs w:val="24"/>
          <w:lang w:val="en-GB"/>
        </w:rPr>
        <w:t>. Nevertheless</w:t>
      </w:r>
      <w:r w:rsidR="004637E3" w:rsidRPr="00EE48E2">
        <w:rPr>
          <w:rFonts w:ascii="Book Antiqua" w:hAnsi="Book Antiqua"/>
          <w:sz w:val="24"/>
          <w:szCs w:val="24"/>
          <w:lang w:val="en-GB"/>
        </w:rPr>
        <w:t>,</w:t>
      </w:r>
      <w:r w:rsidR="00363A1A" w:rsidRPr="00EE48E2">
        <w:rPr>
          <w:rFonts w:ascii="Book Antiqua" w:hAnsi="Book Antiqua"/>
          <w:sz w:val="24"/>
          <w:szCs w:val="24"/>
          <w:lang w:val="en-GB"/>
        </w:rPr>
        <w:t xml:space="preserve"> is difficult to evaluate the precise role of </w:t>
      </w:r>
      <w:r w:rsidR="00363A1A" w:rsidRPr="00EE48E2">
        <w:rPr>
          <w:rFonts w:ascii="Book Antiqua" w:hAnsi="Book Antiqua"/>
          <w:i/>
          <w:sz w:val="24"/>
          <w:szCs w:val="24"/>
          <w:lang w:val="en-GB"/>
        </w:rPr>
        <w:t>PIK3CA</w:t>
      </w:r>
      <w:r w:rsidR="00363A1A" w:rsidRPr="00EE48E2">
        <w:rPr>
          <w:rFonts w:ascii="Book Antiqua" w:hAnsi="Book Antiqua"/>
          <w:sz w:val="24"/>
          <w:szCs w:val="24"/>
          <w:lang w:val="en-GB"/>
        </w:rPr>
        <w:t xml:space="preserve"> mutations </w:t>
      </w:r>
      <w:r w:rsidR="004637E3" w:rsidRPr="00EE48E2">
        <w:rPr>
          <w:rFonts w:ascii="Book Antiqua" w:hAnsi="Book Antiqua"/>
          <w:sz w:val="24"/>
          <w:szCs w:val="24"/>
          <w:lang w:val="en-GB"/>
        </w:rPr>
        <w:t xml:space="preserve">with </w:t>
      </w:r>
      <w:r w:rsidR="00363A1A" w:rsidRPr="00EE48E2">
        <w:rPr>
          <w:rFonts w:ascii="Book Antiqua" w:hAnsi="Book Antiqua"/>
          <w:sz w:val="24"/>
          <w:szCs w:val="24"/>
          <w:lang w:val="en-GB"/>
        </w:rPr>
        <w:t xml:space="preserve">respect to anti-EGFR resistance </w:t>
      </w:r>
      <w:r w:rsidR="004637E3" w:rsidRPr="00EE48E2">
        <w:rPr>
          <w:rFonts w:ascii="Book Antiqua" w:hAnsi="Book Antiqua"/>
          <w:sz w:val="24"/>
          <w:szCs w:val="24"/>
          <w:lang w:val="en-GB"/>
        </w:rPr>
        <w:t>because</w:t>
      </w:r>
      <w:r w:rsidR="00363A1A" w:rsidRPr="00EE48E2">
        <w:rPr>
          <w:rFonts w:ascii="Book Antiqua" w:hAnsi="Book Antiqua"/>
          <w:sz w:val="24"/>
          <w:szCs w:val="24"/>
          <w:lang w:val="en-GB"/>
        </w:rPr>
        <w:t xml:space="preserve"> they are mostly found concurrently with </w:t>
      </w:r>
      <w:r w:rsidR="00363A1A" w:rsidRPr="00EE48E2">
        <w:rPr>
          <w:rFonts w:ascii="Book Antiqua" w:hAnsi="Book Antiqua"/>
          <w:i/>
          <w:sz w:val="24"/>
          <w:szCs w:val="24"/>
          <w:lang w:val="en-GB"/>
        </w:rPr>
        <w:t>KRAS</w:t>
      </w:r>
      <w:r w:rsidR="00363A1A" w:rsidRPr="00EE48E2">
        <w:rPr>
          <w:rFonts w:ascii="Book Antiqua" w:hAnsi="Book Antiqua"/>
          <w:sz w:val="24"/>
          <w:szCs w:val="24"/>
          <w:lang w:val="en-GB"/>
        </w:rPr>
        <w:t xml:space="preserve"> or </w:t>
      </w:r>
      <w:r w:rsidR="00363A1A" w:rsidRPr="00EE48E2">
        <w:rPr>
          <w:rFonts w:ascii="Book Antiqua" w:hAnsi="Book Antiqua"/>
          <w:i/>
          <w:sz w:val="24"/>
          <w:szCs w:val="24"/>
          <w:lang w:val="en-GB"/>
        </w:rPr>
        <w:t>BRAF</w:t>
      </w:r>
      <w:r w:rsidR="00363A1A" w:rsidRPr="00EE48E2">
        <w:rPr>
          <w:rFonts w:ascii="Book Antiqua" w:hAnsi="Book Antiqua"/>
          <w:sz w:val="24"/>
          <w:szCs w:val="24"/>
          <w:lang w:val="en-GB"/>
        </w:rPr>
        <w:t xml:space="preserve"> mutations and </w:t>
      </w:r>
      <w:r w:rsidR="004637E3" w:rsidRPr="00EE48E2">
        <w:rPr>
          <w:rFonts w:ascii="Book Antiqua" w:hAnsi="Book Antiqua"/>
          <w:sz w:val="24"/>
          <w:szCs w:val="24"/>
          <w:lang w:val="en-GB"/>
        </w:rPr>
        <w:t xml:space="preserve">because of </w:t>
      </w:r>
      <w:r w:rsidR="00363A1A" w:rsidRPr="00EE48E2">
        <w:rPr>
          <w:rFonts w:ascii="Book Antiqua" w:hAnsi="Book Antiqua"/>
          <w:sz w:val="24"/>
          <w:szCs w:val="24"/>
          <w:lang w:val="en-GB"/>
        </w:rPr>
        <w:t xml:space="preserve">their low incidence, especially the exon 20 mutations. </w:t>
      </w:r>
      <w:r w:rsidR="00363A1A" w:rsidRPr="00EE48E2">
        <w:rPr>
          <w:rFonts w:ascii="Book Antiqua" w:hAnsi="Book Antiqua"/>
          <w:i/>
          <w:sz w:val="24"/>
          <w:szCs w:val="24"/>
          <w:lang w:val="en-GB"/>
        </w:rPr>
        <w:t>PIK3CA</w:t>
      </w:r>
      <w:r w:rsidR="00363A1A" w:rsidRPr="00EE48E2">
        <w:rPr>
          <w:rFonts w:ascii="Book Antiqua" w:hAnsi="Book Antiqua"/>
          <w:sz w:val="24"/>
          <w:szCs w:val="24"/>
          <w:lang w:val="en-GB"/>
        </w:rPr>
        <w:t xml:space="preserve"> mutations have also been </w:t>
      </w:r>
      <w:r w:rsidR="004637E3" w:rsidRPr="00EE48E2">
        <w:rPr>
          <w:rFonts w:ascii="Book Antiqua" w:hAnsi="Book Antiqua"/>
          <w:sz w:val="24"/>
          <w:szCs w:val="24"/>
          <w:lang w:val="en-GB"/>
        </w:rPr>
        <w:t xml:space="preserve">identified as </w:t>
      </w:r>
      <w:r w:rsidR="00363A1A" w:rsidRPr="00EE48E2">
        <w:rPr>
          <w:rFonts w:ascii="Book Antiqua" w:hAnsi="Book Antiqua"/>
          <w:sz w:val="24"/>
          <w:szCs w:val="24"/>
          <w:lang w:val="en-GB"/>
        </w:rPr>
        <w:t xml:space="preserve">mechanisms of secondary resistance in samples from patients who experienced relapse </w:t>
      </w:r>
      <w:r w:rsidR="003A6EAA" w:rsidRPr="00EE48E2">
        <w:rPr>
          <w:rFonts w:ascii="Book Antiqua" w:hAnsi="Book Antiqua"/>
          <w:sz w:val="24"/>
          <w:szCs w:val="24"/>
          <w:lang w:val="en-GB"/>
        </w:rPr>
        <w:t>after treatment with</w:t>
      </w:r>
      <w:r w:rsidR="00363A1A" w:rsidRPr="00EE48E2">
        <w:rPr>
          <w:rFonts w:ascii="Book Antiqua" w:hAnsi="Book Antiqua"/>
          <w:sz w:val="24"/>
          <w:szCs w:val="24"/>
          <w:lang w:val="en-GB"/>
        </w:rPr>
        <w:t xml:space="preserve"> EGFR-targeted moAbs</w:t>
      </w:r>
      <w:r w:rsidR="00363A1A" w:rsidRPr="00EE48E2">
        <w:rPr>
          <w:rFonts w:ascii="Book Antiqua" w:hAnsi="Book Antiqua"/>
          <w:sz w:val="24"/>
          <w:szCs w:val="24"/>
          <w:vertAlign w:val="superscript"/>
          <w:lang w:val="en-GB"/>
        </w:rPr>
        <w:t>[21]</w:t>
      </w:r>
      <w:r w:rsidR="00363A1A" w:rsidRPr="00EE48E2">
        <w:rPr>
          <w:rFonts w:ascii="Book Antiqua" w:hAnsi="Book Antiqua"/>
          <w:sz w:val="24"/>
          <w:szCs w:val="24"/>
          <w:lang w:val="en-GB"/>
        </w:rPr>
        <w:t>.</w:t>
      </w:r>
      <w:r w:rsidR="00EE48E2" w:rsidRPr="00EE48E2">
        <w:rPr>
          <w:rFonts w:ascii="Book Antiqua" w:hAnsi="Book Antiqua"/>
          <w:sz w:val="24"/>
          <w:szCs w:val="24"/>
          <w:lang w:val="en-GB"/>
        </w:rPr>
        <w:t xml:space="preserve"> </w:t>
      </w:r>
      <w:r w:rsidR="00363A1A" w:rsidRPr="00EE48E2">
        <w:rPr>
          <w:rFonts w:ascii="Book Antiqua" w:hAnsi="Book Antiqua"/>
          <w:sz w:val="24"/>
          <w:szCs w:val="24"/>
          <w:lang w:val="en-GB"/>
        </w:rPr>
        <w:t xml:space="preserve"> </w:t>
      </w:r>
    </w:p>
    <w:p w14:paraId="199DA20B" w14:textId="5CD56DD1" w:rsidR="00363A1A" w:rsidRPr="00EE48E2" w:rsidRDefault="00EE48E2" w:rsidP="004D1833">
      <w:pPr>
        <w:adjustRightInd w:val="0"/>
        <w:snapToGrid w:val="0"/>
        <w:spacing w:after="0" w:line="360" w:lineRule="auto"/>
        <w:jc w:val="both"/>
        <w:rPr>
          <w:rFonts w:ascii="Book Antiqua" w:hAnsi="Book Antiqua"/>
          <w:sz w:val="24"/>
          <w:szCs w:val="24"/>
          <w:lang w:val="en-GB"/>
        </w:rPr>
      </w:pPr>
      <w:r w:rsidRPr="00EE48E2">
        <w:rPr>
          <w:rFonts w:ascii="Book Antiqua" w:hAnsi="Book Antiqua"/>
          <w:sz w:val="24"/>
          <w:szCs w:val="24"/>
          <w:lang w:val="en-GB"/>
        </w:rPr>
        <w:t xml:space="preserve">  </w:t>
      </w:r>
      <w:r w:rsidR="00363A1A" w:rsidRPr="00EE48E2">
        <w:rPr>
          <w:rFonts w:ascii="Book Antiqua" w:hAnsi="Book Antiqua"/>
          <w:sz w:val="24"/>
          <w:szCs w:val="24"/>
          <w:lang w:val="en-GB"/>
        </w:rPr>
        <w:t>Several data have also suggested a role of PIK3CA mutations as a prognostic biomarker. Indeed</w:t>
      </w:r>
      <w:r w:rsidR="00246274" w:rsidRPr="00EE48E2">
        <w:rPr>
          <w:rFonts w:ascii="Book Antiqua" w:hAnsi="Book Antiqua"/>
          <w:sz w:val="24"/>
          <w:szCs w:val="24"/>
          <w:lang w:val="en-GB"/>
        </w:rPr>
        <w:t>,</w:t>
      </w:r>
      <w:r w:rsidR="00363A1A" w:rsidRPr="00EE48E2">
        <w:rPr>
          <w:rFonts w:ascii="Book Antiqua" w:hAnsi="Book Antiqua"/>
          <w:sz w:val="24"/>
          <w:szCs w:val="24"/>
          <w:lang w:val="en-GB"/>
        </w:rPr>
        <w:t xml:space="preserve"> an increased colon cancer-specific mortality has been found in patients with PIK3CA-mutated </w:t>
      </w:r>
      <w:r w:rsidR="00866858" w:rsidRPr="00EE48E2">
        <w:rPr>
          <w:rFonts w:ascii="Book Antiqua" w:hAnsi="Book Antiqua"/>
          <w:sz w:val="24"/>
          <w:szCs w:val="24"/>
          <w:lang w:val="en-GB"/>
        </w:rPr>
        <w:t>tumour</w:t>
      </w:r>
      <w:r w:rsidR="00363A1A" w:rsidRPr="00EE48E2">
        <w:rPr>
          <w:rFonts w:ascii="Book Antiqua" w:hAnsi="Book Antiqua"/>
          <w:sz w:val="24"/>
          <w:szCs w:val="24"/>
          <w:lang w:val="en-GB"/>
        </w:rPr>
        <w:t>s,</w:t>
      </w:r>
      <w:r w:rsidR="00DB342E" w:rsidRPr="00EE48E2">
        <w:rPr>
          <w:rFonts w:ascii="Book Antiqua" w:hAnsi="Book Antiqua"/>
          <w:sz w:val="24"/>
          <w:szCs w:val="24"/>
          <w:lang w:val="en-GB"/>
        </w:rPr>
        <w:t xml:space="preserve"> compared </w:t>
      </w:r>
      <w:r w:rsidR="00363A1A" w:rsidRPr="00EE48E2">
        <w:rPr>
          <w:rFonts w:ascii="Book Antiqua" w:hAnsi="Book Antiqua"/>
          <w:sz w:val="24"/>
          <w:szCs w:val="24"/>
          <w:lang w:val="en-GB"/>
        </w:rPr>
        <w:t>with wild-type ones. However</w:t>
      </w:r>
      <w:r w:rsidR="00246274" w:rsidRPr="00EE48E2">
        <w:rPr>
          <w:rFonts w:ascii="Book Antiqua" w:hAnsi="Book Antiqua"/>
          <w:sz w:val="24"/>
          <w:szCs w:val="24"/>
          <w:lang w:val="en-GB"/>
        </w:rPr>
        <w:t>,</w:t>
      </w:r>
      <w:r w:rsidR="00363A1A" w:rsidRPr="00EE48E2">
        <w:rPr>
          <w:rFonts w:ascii="Book Antiqua" w:hAnsi="Book Antiqua"/>
          <w:sz w:val="24"/>
          <w:szCs w:val="24"/>
          <w:lang w:val="en-GB"/>
        </w:rPr>
        <w:t xml:space="preserve"> only the coexistence of PIK3CA exon 9 and 20 mutations has been reported to be associated with </w:t>
      </w:r>
      <w:r w:rsidR="00246274" w:rsidRPr="00EE48E2">
        <w:rPr>
          <w:rFonts w:ascii="Book Antiqua" w:hAnsi="Book Antiqua"/>
          <w:sz w:val="24"/>
          <w:szCs w:val="24"/>
          <w:lang w:val="en-GB"/>
        </w:rPr>
        <w:t>a</w:t>
      </w:r>
      <w:r w:rsidR="00363A1A" w:rsidRPr="00EE48E2">
        <w:rPr>
          <w:rFonts w:ascii="Book Antiqua" w:hAnsi="Book Antiqua"/>
          <w:sz w:val="24"/>
          <w:szCs w:val="24"/>
          <w:lang w:val="en-GB"/>
        </w:rPr>
        <w:t xml:space="preserve"> worse prognosis</w:t>
      </w:r>
      <w:r w:rsidR="00246274" w:rsidRPr="00EE48E2">
        <w:rPr>
          <w:rFonts w:ascii="Book Antiqua" w:hAnsi="Book Antiqua"/>
          <w:sz w:val="24"/>
          <w:szCs w:val="24"/>
          <w:lang w:val="en-GB"/>
        </w:rPr>
        <w:t xml:space="preserve"> than wild-type </w:t>
      </w:r>
      <w:r w:rsidR="00866858" w:rsidRPr="00EE48E2">
        <w:rPr>
          <w:rFonts w:ascii="Book Antiqua" w:hAnsi="Book Antiqua"/>
          <w:sz w:val="24"/>
          <w:szCs w:val="24"/>
          <w:lang w:val="en-GB"/>
        </w:rPr>
        <w:t>tumour</w:t>
      </w:r>
      <w:r w:rsidR="00246274" w:rsidRPr="00EE48E2">
        <w:rPr>
          <w:rFonts w:ascii="Book Antiqua" w:hAnsi="Book Antiqua"/>
          <w:sz w:val="24"/>
          <w:szCs w:val="24"/>
          <w:lang w:val="en-GB"/>
        </w:rPr>
        <w:t>s</w:t>
      </w:r>
      <w:r w:rsidR="00363A1A" w:rsidRPr="00EE48E2">
        <w:rPr>
          <w:rFonts w:ascii="Book Antiqua" w:hAnsi="Book Antiqua"/>
          <w:sz w:val="24"/>
          <w:szCs w:val="24"/>
          <w:vertAlign w:val="superscript"/>
          <w:lang w:val="en-GB"/>
        </w:rPr>
        <w:t>[8</w:t>
      </w:r>
      <w:r w:rsidR="00AF249E">
        <w:rPr>
          <w:rFonts w:ascii="Book Antiqua" w:hAnsi="Book Antiqua" w:hint="eastAsia"/>
          <w:sz w:val="24"/>
          <w:szCs w:val="24"/>
          <w:vertAlign w:val="superscript"/>
          <w:lang w:val="en-GB" w:eastAsia="zh-CN"/>
        </w:rPr>
        <w:t>3</w:t>
      </w:r>
      <w:r w:rsidR="00363A1A" w:rsidRPr="00EE48E2">
        <w:rPr>
          <w:rFonts w:ascii="Book Antiqua" w:hAnsi="Book Antiqua"/>
          <w:sz w:val="24"/>
          <w:szCs w:val="24"/>
          <w:vertAlign w:val="superscript"/>
          <w:lang w:val="en-GB"/>
        </w:rPr>
        <w:t>]</w:t>
      </w:r>
      <w:r w:rsidR="00A07480" w:rsidRPr="00EE48E2">
        <w:rPr>
          <w:rFonts w:ascii="Book Antiqua" w:hAnsi="Book Antiqua"/>
          <w:sz w:val="24"/>
          <w:szCs w:val="24"/>
          <w:lang w:val="en-GB"/>
        </w:rPr>
        <w:t xml:space="preserve">. </w:t>
      </w:r>
      <w:r w:rsidR="00363A1A" w:rsidRPr="00EE48E2">
        <w:rPr>
          <w:rFonts w:ascii="Book Antiqua" w:hAnsi="Book Antiqua"/>
          <w:sz w:val="24"/>
          <w:szCs w:val="24"/>
          <w:lang w:val="en-GB"/>
        </w:rPr>
        <w:t>Furthermore</w:t>
      </w:r>
      <w:r w:rsidR="00246274" w:rsidRPr="00EE48E2">
        <w:rPr>
          <w:rFonts w:ascii="Book Antiqua" w:hAnsi="Book Antiqua"/>
          <w:sz w:val="24"/>
          <w:szCs w:val="24"/>
          <w:lang w:val="en-GB"/>
        </w:rPr>
        <w:t>,</w:t>
      </w:r>
      <w:r w:rsidR="00363A1A" w:rsidRPr="00EE48E2">
        <w:rPr>
          <w:rFonts w:ascii="Book Antiqua" w:hAnsi="Book Antiqua"/>
          <w:sz w:val="24"/>
          <w:szCs w:val="24"/>
          <w:lang w:val="en-GB"/>
        </w:rPr>
        <w:t xml:space="preserve"> PIK3CA mutations seem to predict a worse prognosis only </w:t>
      </w:r>
      <w:r w:rsidR="00246274" w:rsidRPr="00EE48E2">
        <w:rPr>
          <w:rFonts w:ascii="Book Antiqua" w:hAnsi="Book Antiqua"/>
          <w:sz w:val="24"/>
          <w:szCs w:val="24"/>
          <w:lang w:val="en-GB"/>
        </w:rPr>
        <w:t xml:space="preserve">in </w:t>
      </w:r>
      <w:r w:rsidR="00363A1A" w:rsidRPr="00EE48E2">
        <w:rPr>
          <w:rFonts w:ascii="Book Antiqua" w:hAnsi="Book Antiqua"/>
          <w:sz w:val="24"/>
          <w:szCs w:val="24"/>
          <w:lang w:val="en-GB"/>
        </w:rPr>
        <w:t xml:space="preserve">KRAS wild-type patients compared with </w:t>
      </w:r>
      <w:r w:rsidR="00363A1A" w:rsidRPr="00EE48E2">
        <w:rPr>
          <w:rFonts w:ascii="Book Antiqua" w:hAnsi="Book Antiqua"/>
          <w:i/>
          <w:sz w:val="24"/>
          <w:szCs w:val="24"/>
          <w:lang w:val="en-GB"/>
        </w:rPr>
        <w:t>KRAS</w:t>
      </w:r>
      <w:r w:rsidR="00363A1A" w:rsidRPr="00EE48E2">
        <w:rPr>
          <w:rFonts w:ascii="Book Antiqua" w:hAnsi="Book Antiqua"/>
          <w:sz w:val="24"/>
          <w:szCs w:val="24"/>
          <w:lang w:val="en-GB"/>
        </w:rPr>
        <w:t>-mutated</w:t>
      </w:r>
      <w:r w:rsidR="00363A1A" w:rsidRPr="00EE48E2">
        <w:rPr>
          <w:rFonts w:ascii="Book Antiqua" w:hAnsi="Book Antiqua"/>
          <w:sz w:val="24"/>
          <w:szCs w:val="24"/>
          <w:vertAlign w:val="superscript"/>
          <w:lang w:val="en-GB"/>
        </w:rPr>
        <w:t>[8</w:t>
      </w:r>
      <w:r w:rsidR="00AF249E">
        <w:rPr>
          <w:rFonts w:ascii="Book Antiqua" w:hAnsi="Book Antiqua" w:hint="eastAsia"/>
          <w:sz w:val="24"/>
          <w:szCs w:val="24"/>
          <w:vertAlign w:val="superscript"/>
          <w:lang w:val="en-GB" w:eastAsia="zh-CN"/>
        </w:rPr>
        <w:t>4</w:t>
      </w:r>
      <w:r w:rsidR="00363A1A" w:rsidRPr="00EE48E2">
        <w:rPr>
          <w:rFonts w:ascii="Book Antiqua" w:hAnsi="Book Antiqua"/>
          <w:sz w:val="24"/>
          <w:szCs w:val="24"/>
          <w:vertAlign w:val="superscript"/>
          <w:lang w:val="en-GB"/>
        </w:rPr>
        <w:t>]</w:t>
      </w:r>
      <w:r w:rsidR="00A07480" w:rsidRPr="00EE48E2">
        <w:rPr>
          <w:rFonts w:ascii="Book Antiqua" w:hAnsi="Book Antiqua"/>
          <w:sz w:val="24"/>
          <w:szCs w:val="24"/>
          <w:lang w:val="en-GB"/>
        </w:rPr>
        <w:t>.</w:t>
      </w:r>
      <w:r w:rsidRPr="00EE48E2">
        <w:rPr>
          <w:rFonts w:ascii="Book Antiqua" w:hAnsi="Book Antiqua"/>
          <w:sz w:val="24"/>
          <w:szCs w:val="24"/>
          <w:lang w:val="en-GB"/>
        </w:rPr>
        <w:t xml:space="preserve"> </w:t>
      </w:r>
    </w:p>
    <w:p w14:paraId="4F5E36C5" w14:textId="30CB0A22" w:rsidR="00363A1A" w:rsidRPr="00EE48E2" w:rsidRDefault="00EE48E2" w:rsidP="004D1833">
      <w:pPr>
        <w:adjustRightInd w:val="0"/>
        <w:snapToGrid w:val="0"/>
        <w:spacing w:after="0" w:line="360" w:lineRule="auto"/>
        <w:jc w:val="both"/>
        <w:rPr>
          <w:rFonts w:ascii="Book Antiqua" w:hAnsi="Book Antiqua"/>
          <w:sz w:val="24"/>
          <w:szCs w:val="24"/>
          <w:lang w:val="en-GB"/>
        </w:rPr>
      </w:pPr>
      <w:r w:rsidRPr="00EE48E2">
        <w:rPr>
          <w:rFonts w:ascii="Book Antiqua" w:hAnsi="Book Antiqua"/>
          <w:sz w:val="24"/>
          <w:szCs w:val="24"/>
          <w:lang w:val="en-GB"/>
        </w:rPr>
        <w:t xml:space="preserve">  </w:t>
      </w:r>
      <w:r w:rsidR="00363A1A" w:rsidRPr="00EE48E2">
        <w:rPr>
          <w:rFonts w:ascii="Book Antiqua" w:hAnsi="Book Antiqua"/>
          <w:sz w:val="24"/>
          <w:szCs w:val="24"/>
          <w:lang w:val="en-GB"/>
        </w:rPr>
        <w:t xml:space="preserve">PIK3CA </w:t>
      </w:r>
      <w:r w:rsidR="00DB342E" w:rsidRPr="00EE48E2">
        <w:rPr>
          <w:rFonts w:ascii="Book Antiqua" w:hAnsi="Book Antiqua"/>
          <w:sz w:val="24"/>
          <w:szCs w:val="24"/>
          <w:lang w:val="en-GB"/>
        </w:rPr>
        <w:t xml:space="preserve">signalling </w:t>
      </w:r>
      <w:r w:rsidR="00363A1A" w:rsidRPr="00EE48E2">
        <w:rPr>
          <w:rFonts w:ascii="Book Antiqua" w:hAnsi="Book Antiqua"/>
          <w:sz w:val="24"/>
          <w:szCs w:val="24"/>
          <w:lang w:val="en-GB"/>
        </w:rPr>
        <w:t>pathway may also be pathologically activated by the loss of PTEN, found in 30% of CRCs</w:t>
      </w:r>
      <w:r w:rsidR="00363A1A" w:rsidRPr="00EE48E2">
        <w:rPr>
          <w:rFonts w:ascii="Book Antiqua" w:hAnsi="Book Antiqua"/>
          <w:sz w:val="24"/>
          <w:szCs w:val="24"/>
          <w:vertAlign w:val="superscript"/>
          <w:lang w:val="en-GB"/>
        </w:rPr>
        <w:t>[8</w:t>
      </w:r>
      <w:r w:rsidR="00AF249E">
        <w:rPr>
          <w:rFonts w:ascii="Book Antiqua" w:hAnsi="Book Antiqua" w:hint="eastAsia"/>
          <w:sz w:val="24"/>
          <w:szCs w:val="24"/>
          <w:vertAlign w:val="superscript"/>
          <w:lang w:val="en-GB" w:eastAsia="zh-CN"/>
        </w:rPr>
        <w:t>5</w:t>
      </w:r>
      <w:r w:rsidR="00363A1A" w:rsidRPr="00EE48E2">
        <w:rPr>
          <w:rFonts w:ascii="Book Antiqua" w:hAnsi="Book Antiqua"/>
          <w:sz w:val="24"/>
          <w:szCs w:val="24"/>
          <w:vertAlign w:val="superscript"/>
          <w:lang w:val="en-GB"/>
        </w:rPr>
        <w:t>]</w:t>
      </w:r>
      <w:r w:rsidR="00A07480" w:rsidRPr="00EE48E2">
        <w:rPr>
          <w:rFonts w:ascii="Book Antiqua" w:hAnsi="Book Antiqua"/>
          <w:sz w:val="24"/>
          <w:szCs w:val="24"/>
          <w:lang w:val="en-GB"/>
        </w:rPr>
        <w:t xml:space="preserve">. </w:t>
      </w:r>
      <w:r w:rsidR="00363A1A" w:rsidRPr="00EE48E2">
        <w:rPr>
          <w:rFonts w:ascii="Book Antiqua" w:hAnsi="Book Antiqua"/>
          <w:sz w:val="24"/>
          <w:szCs w:val="24"/>
          <w:lang w:val="en-GB"/>
        </w:rPr>
        <w:t xml:space="preserve">Firstly, Frattini and colleagues found in a cohort of patients treated with cetuximab and irinotecan </w:t>
      </w:r>
      <w:r w:rsidR="00305427" w:rsidRPr="00EE48E2">
        <w:rPr>
          <w:rFonts w:ascii="Book Antiqua" w:hAnsi="Book Antiqua"/>
          <w:sz w:val="24"/>
          <w:szCs w:val="24"/>
          <w:lang w:val="en-GB"/>
        </w:rPr>
        <w:t xml:space="preserve">that </w:t>
      </w:r>
      <w:r w:rsidR="00363A1A" w:rsidRPr="00EE48E2">
        <w:rPr>
          <w:rFonts w:ascii="Book Antiqua" w:hAnsi="Book Antiqua"/>
          <w:sz w:val="24"/>
          <w:szCs w:val="24"/>
          <w:lang w:val="en-GB"/>
        </w:rPr>
        <w:t xml:space="preserve">of 11 patients with lower PTEN expression in </w:t>
      </w:r>
      <w:r w:rsidR="00866858" w:rsidRPr="00EE48E2">
        <w:rPr>
          <w:rFonts w:ascii="Book Antiqua" w:hAnsi="Book Antiqua"/>
          <w:sz w:val="24"/>
          <w:szCs w:val="24"/>
          <w:lang w:val="en-GB"/>
        </w:rPr>
        <w:t>tumour</w:t>
      </w:r>
      <w:r w:rsidR="00363A1A" w:rsidRPr="00EE48E2">
        <w:rPr>
          <w:rFonts w:ascii="Book Antiqua" w:hAnsi="Book Antiqua"/>
          <w:sz w:val="24"/>
          <w:szCs w:val="24"/>
          <w:lang w:val="en-GB"/>
        </w:rPr>
        <w:t xml:space="preserve"> samples at immunohistochemistry (IHC), </w:t>
      </w:r>
      <w:r w:rsidR="00305427" w:rsidRPr="00EE48E2">
        <w:rPr>
          <w:rFonts w:ascii="Book Antiqua" w:hAnsi="Book Antiqua"/>
          <w:sz w:val="24"/>
          <w:szCs w:val="24"/>
          <w:lang w:val="en-GB"/>
        </w:rPr>
        <w:t xml:space="preserve">none of the patients </w:t>
      </w:r>
      <w:r w:rsidR="00363A1A" w:rsidRPr="00EE48E2">
        <w:rPr>
          <w:rFonts w:ascii="Book Antiqua" w:hAnsi="Book Antiqua"/>
          <w:sz w:val="24"/>
          <w:szCs w:val="24"/>
          <w:lang w:val="en-GB"/>
        </w:rPr>
        <w:t>responded to treatment</w:t>
      </w:r>
      <w:r w:rsidR="00305427" w:rsidRPr="00EE48E2">
        <w:rPr>
          <w:rFonts w:ascii="Book Antiqua" w:hAnsi="Book Antiqua"/>
          <w:sz w:val="24"/>
          <w:szCs w:val="24"/>
          <w:lang w:val="en-GB"/>
        </w:rPr>
        <w:t xml:space="preserve"> when</w:t>
      </w:r>
      <w:r w:rsidR="00363A1A" w:rsidRPr="00EE48E2">
        <w:rPr>
          <w:rFonts w:ascii="Book Antiqua" w:hAnsi="Book Antiqua"/>
          <w:sz w:val="24"/>
          <w:szCs w:val="24"/>
          <w:lang w:val="en-GB"/>
        </w:rPr>
        <w:t xml:space="preserve"> compared with patients with normal PTEN expression </w:t>
      </w:r>
      <w:r w:rsidR="00305427" w:rsidRPr="00EE48E2">
        <w:rPr>
          <w:rFonts w:ascii="Book Antiqua" w:hAnsi="Book Antiqua"/>
          <w:sz w:val="24"/>
          <w:szCs w:val="24"/>
          <w:lang w:val="en-GB"/>
        </w:rPr>
        <w:t>who</w:t>
      </w:r>
      <w:r w:rsidR="00363A1A" w:rsidRPr="00EE48E2">
        <w:rPr>
          <w:rFonts w:ascii="Book Antiqua" w:hAnsi="Book Antiqua"/>
          <w:sz w:val="24"/>
          <w:szCs w:val="24"/>
          <w:lang w:val="en-GB"/>
        </w:rPr>
        <w:t xml:space="preserve"> achieved a partial response</w:t>
      </w:r>
      <w:r w:rsidR="00363A1A" w:rsidRPr="00EE48E2">
        <w:rPr>
          <w:rFonts w:ascii="Book Antiqua" w:hAnsi="Book Antiqua"/>
          <w:sz w:val="24"/>
          <w:szCs w:val="24"/>
          <w:vertAlign w:val="superscript"/>
          <w:lang w:val="en-GB"/>
        </w:rPr>
        <w:t>[8</w:t>
      </w:r>
      <w:r w:rsidR="00AF249E">
        <w:rPr>
          <w:rFonts w:ascii="Book Antiqua" w:hAnsi="Book Antiqua" w:hint="eastAsia"/>
          <w:sz w:val="24"/>
          <w:szCs w:val="24"/>
          <w:vertAlign w:val="superscript"/>
          <w:lang w:val="en-GB" w:eastAsia="zh-CN"/>
        </w:rPr>
        <w:t>6</w:t>
      </w:r>
      <w:r w:rsidR="00363A1A" w:rsidRPr="00EE48E2">
        <w:rPr>
          <w:rFonts w:ascii="Book Antiqua" w:hAnsi="Book Antiqua"/>
          <w:sz w:val="24"/>
          <w:szCs w:val="24"/>
          <w:vertAlign w:val="superscript"/>
          <w:lang w:val="en-GB"/>
        </w:rPr>
        <w:t>]</w:t>
      </w:r>
      <w:r w:rsidR="00A07480" w:rsidRPr="00EE48E2">
        <w:rPr>
          <w:rFonts w:ascii="Book Antiqua" w:hAnsi="Book Antiqua"/>
          <w:sz w:val="24"/>
          <w:szCs w:val="24"/>
          <w:lang w:val="en-GB"/>
        </w:rPr>
        <w:t xml:space="preserve">. </w:t>
      </w:r>
      <w:r w:rsidR="00363A1A" w:rsidRPr="00EE48E2">
        <w:rPr>
          <w:rFonts w:ascii="Book Antiqua" w:hAnsi="Book Antiqua"/>
          <w:sz w:val="24"/>
          <w:szCs w:val="24"/>
          <w:lang w:val="en-GB"/>
        </w:rPr>
        <w:t xml:space="preserve">PTEN loss was also associated with shorter OS in patients with KRAS WT </w:t>
      </w:r>
      <w:r w:rsidR="00866858" w:rsidRPr="00EE48E2">
        <w:rPr>
          <w:rFonts w:ascii="Book Antiqua" w:hAnsi="Book Antiqua"/>
          <w:sz w:val="24"/>
          <w:szCs w:val="24"/>
          <w:lang w:val="en-GB"/>
        </w:rPr>
        <w:t>tumour</w:t>
      </w:r>
      <w:r w:rsidR="00363A1A" w:rsidRPr="00EE48E2">
        <w:rPr>
          <w:rFonts w:ascii="Book Antiqua" w:hAnsi="Book Antiqua"/>
          <w:sz w:val="24"/>
          <w:szCs w:val="24"/>
          <w:lang w:val="en-GB"/>
        </w:rPr>
        <w:t xml:space="preserve">s treated with </w:t>
      </w:r>
      <w:r w:rsidR="00305427" w:rsidRPr="00EE48E2">
        <w:rPr>
          <w:rFonts w:ascii="Book Antiqua" w:hAnsi="Book Antiqua"/>
          <w:sz w:val="24"/>
          <w:szCs w:val="24"/>
          <w:lang w:val="en-GB"/>
        </w:rPr>
        <w:t xml:space="preserve">a </w:t>
      </w:r>
      <w:r w:rsidR="00363A1A" w:rsidRPr="00EE48E2">
        <w:rPr>
          <w:rFonts w:ascii="Book Antiqua" w:hAnsi="Book Antiqua"/>
          <w:sz w:val="24"/>
          <w:szCs w:val="24"/>
          <w:lang w:val="en-GB"/>
        </w:rPr>
        <w:t>cetuximab-based regimen</w:t>
      </w:r>
      <w:r w:rsidR="00363A1A" w:rsidRPr="00EE48E2">
        <w:rPr>
          <w:rFonts w:ascii="Book Antiqua" w:hAnsi="Book Antiqua"/>
          <w:sz w:val="24"/>
          <w:szCs w:val="24"/>
          <w:vertAlign w:val="superscript"/>
          <w:lang w:val="en-GB"/>
        </w:rPr>
        <w:t>[64]</w:t>
      </w:r>
      <w:r w:rsidR="00A07480" w:rsidRPr="00EE48E2">
        <w:rPr>
          <w:rFonts w:ascii="Book Antiqua" w:hAnsi="Book Antiqua"/>
          <w:sz w:val="24"/>
          <w:szCs w:val="24"/>
          <w:lang w:val="en-GB"/>
        </w:rPr>
        <w:t>.</w:t>
      </w:r>
      <w:r w:rsidRPr="00EE48E2">
        <w:rPr>
          <w:rFonts w:ascii="Book Antiqua" w:hAnsi="Book Antiqua"/>
          <w:sz w:val="24"/>
          <w:szCs w:val="24"/>
          <w:lang w:val="en-GB"/>
        </w:rPr>
        <w:t xml:space="preserve"> </w:t>
      </w:r>
      <w:r w:rsidR="00305427" w:rsidRPr="00EE48E2">
        <w:rPr>
          <w:rFonts w:ascii="Book Antiqua" w:hAnsi="Book Antiqua"/>
          <w:sz w:val="24"/>
          <w:szCs w:val="24"/>
          <w:lang w:val="en-GB"/>
        </w:rPr>
        <w:t xml:space="preserve">In a retrospective analysis of a cohort of patients treated with cetuximab plus irinotecan, </w:t>
      </w:r>
      <w:r w:rsidR="00363A1A" w:rsidRPr="00EE48E2">
        <w:rPr>
          <w:rFonts w:ascii="Book Antiqua" w:hAnsi="Book Antiqua"/>
          <w:sz w:val="24"/>
          <w:szCs w:val="24"/>
          <w:lang w:val="en-GB"/>
        </w:rPr>
        <w:t xml:space="preserve">Loupakis </w:t>
      </w:r>
      <w:r w:rsidR="00BE75FA" w:rsidRPr="00EE48E2">
        <w:rPr>
          <w:rFonts w:ascii="Book Antiqua" w:hAnsi="Book Antiqua" w:hint="eastAsia"/>
          <w:i/>
          <w:sz w:val="24"/>
          <w:szCs w:val="24"/>
          <w:lang w:val="en-GB" w:eastAsia="zh-CN"/>
        </w:rPr>
        <w:t>et al</w:t>
      </w:r>
      <w:r w:rsidR="00BE75FA" w:rsidRPr="00EE48E2">
        <w:rPr>
          <w:rFonts w:ascii="Book Antiqua" w:hAnsi="Book Antiqua"/>
          <w:sz w:val="24"/>
          <w:szCs w:val="24"/>
          <w:vertAlign w:val="superscript"/>
          <w:lang w:val="en-GB"/>
        </w:rPr>
        <w:t>[8</w:t>
      </w:r>
      <w:r w:rsidR="00AF249E">
        <w:rPr>
          <w:rFonts w:ascii="Book Antiqua" w:hAnsi="Book Antiqua" w:hint="eastAsia"/>
          <w:sz w:val="24"/>
          <w:szCs w:val="24"/>
          <w:vertAlign w:val="superscript"/>
          <w:lang w:val="en-GB" w:eastAsia="zh-CN"/>
        </w:rPr>
        <w:t>7</w:t>
      </w:r>
      <w:r w:rsidR="00BE75FA" w:rsidRPr="00EE48E2">
        <w:rPr>
          <w:rFonts w:ascii="Book Antiqua" w:hAnsi="Book Antiqua"/>
          <w:sz w:val="24"/>
          <w:szCs w:val="24"/>
          <w:vertAlign w:val="superscript"/>
          <w:lang w:val="en-GB"/>
        </w:rPr>
        <w:t>]</w:t>
      </w:r>
      <w:r w:rsidR="00363A1A" w:rsidRPr="00EE48E2">
        <w:rPr>
          <w:rFonts w:ascii="Book Antiqua" w:hAnsi="Book Antiqua"/>
          <w:i/>
          <w:sz w:val="24"/>
          <w:szCs w:val="24"/>
          <w:lang w:val="en-GB"/>
        </w:rPr>
        <w:t xml:space="preserve"> </w:t>
      </w:r>
      <w:r w:rsidR="00363A1A" w:rsidRPr="00EE48E2">
        <w:rPr>
          <w:rFonts w:ascii="Book Antiqua" w:hAnsi="Book Antiqua"/>
          <w:sz w:val="24"/>
          <w:szCs w:val="24"/>
          <w:lang w:val="en-GB"/>
        </w:rPr>
        <w:t xml:space="preserve">showed </w:t>
      </w:r>
      <w:r w:rsidR="00305427" w:rsidRPr="00EE48E2">
        <w:rPr>
          <w:rFonts w:ascii="Book Antiqua" w:hAnsi="Book Antiqua"/>
          <w:sz w:val="24"/>
          <w:szCs w:val="24"/>
          <w:lang w:val="en-GB"/>
        </w:rPr>
        <w:t xml:space="preserve">that </w:t>
      </w:r>
      <w:r w:rsidR="00363A1A" w:rsidRPr="00EE48E2">
        <w:rPr>
          <w:rFonts w:ascii="Book Antiqua" w:hAnsi="Book Antiqua"/>
          <w:sz w:val="24"/>
          <w:szCs w:val="24"/>
          <w:lang w:val="en-GB"/>
        </w:rPr>
        <w:t xml:space="preserve">PTEN IHC results were not completely concordant between primary </w:t>
      </w:r>
      <w:r w:rsidR="00866858" w:rsidRPr="00EE48E2">
        <w:rPr>
          <w:rFonts w:ascii="Book Antiqua" w:hAnsi="Book Antiqua"/>
          <w:sz w:val="24"/>
          <w:szCs w:val="24"/>
          <w:lang w:val="en-GB"/>
        </w:rPr>
        <w:t>tumour</w:t>
      </w:r>
      <w:r w:rsidR="00363A1A" w:rsidRPr="00EE48E2">
        <w:rPr>
          <w:rFonts w:ascii="Book Antiqua" w:hAnsi="Book Antiqua"/>
          <w:sz w:val="24"/>
          <w:szCs w:val="24"/>
          <w:lang w:val="en-GB"/>
        </w:rPr>
        <w:t xml:space="preserve">s and metastases and that the </w:t>
      </w:r>
      <w:r w:rsidR="00305427" w:rsidRPr="00EE48E2">
        <w:rPr>
          <w:rFonts w:ascii="Book Antiqua" w:hAnsi="Book Antiqua"/>
          <w:sz w:val="24"/>
          <w:szCs w:val="24"/>
          <w:lang w:val="en-GB"/>
        </w:rPr>
        <w:t xml:space="preserve">PTEN status of </w:t>
      </w:r>
      <w:r w:rsidR="00363A1A" w:rsidRPr="00EE48E2">
        <w:rPr>
          <w:rFonts w:ascii="Book Antiqua" w:hAnsi="Book Antiqua"/>
          <w:sz w:val="24"/>
          <w:szCs w:val="24"/>
          <w:lang w:val="en-GB"/>
        </w:rPr>
        <w:t xml:space="preserve">primary </w:t>
      </w:r>
      <w:r w:rsidR="00866858" w:rsidRPr="00EE48E2">
        <w:rPr>
          <w:rFonts w:ascii="Book Antiqua" w:hAnsi="Book Antiqua"/>
          <w:sz w:val="24"/>
          <w:szCs w:val="24"/>
          <w:lang w:val="en-GB"/>
        </w:rPr>
        <w:t>tumour</w:t>
      </w:r>
      <w:r w:rsidR="00363A1A" w:rsidRPr="00EE48E2">
        <w:rPr>
          <w:rFonts w:ascii="Book Antiqua" w:hAnsi="Book Antiqua"/>
          <w:sz w:val="24"/>
          <w:szCs w:val="24"/>
          <w:lang w:val="en-GB"/>
        </w:rPr>
        <w:t>s was not significantly predictive of cetuximab activity. Conversely</w:t>
      </w:r>
      <w:r w:rsidR="006D3828" w:rsidRPr="00EE48E2">
        <w:rPr>
          <w:rFonts w:ascii="Book Antiqua" w:hAnsi="Book Antiqua"/>
          <w:sz w:val="24"/>
          <w:szCs w:val="24"/>
          <w:lang w:val="en-GB"/>
        </w:rPr>
        <w:t>,</w:t>
      </w:r>
      <w:r w:rsidR="00363A1A" w:rsidRPr="00EE48E2">
        <w:rPr>
          <w:rFonts w:ascii="Book Antiqua" w:hAnsi="Book Antiqua"/>
          <w:sz w:val="24"/>
          <w:szCs w:val="24"/>
          <w:lang w:val="en-GB"/>
        </w:rPr>
        <w:t xml:space="preserve"> when PTEN IHC was performed on metastases, 36% of the patients with PTEN-positive samples responded to therapy compared with patients who </w:t>
      </w:r>
      <w:r w:rsidR="00866858" w:rsidRPr="00EE48E2">
        <w:rPr>
          <w:rFonts w:ascii="Book Antiqua" w:hAnsi="Book Antiqua"/>
          <w:sz w:val="24"/>
          <w:szCs w:val="24"/>
          <w:lang w:val="en-GB"/>
        </w:rPr>
        <w:t>harbour</w:t>
      </w:r>
      <w:r w:rsidR="00363A1A" w:rsidRPr="00EE48E2">
        <w:rPr>
          <w:rFonts w:ascii="Book Antiqua" w:hAnsi="Book Antiqua"/>
          <w:sz w:val="24"/>
          <w:szCs w:val="24"/>
          <w:lang w:val="en-GB"/>
        </w:rPr>
        <w:t xml:space="preserve">ed a PTEN-negative status. They also showed that patients who </w:t>
      </w:r>
      <w:r w:rsidR="00866858" w:rsidRPr="00EE48E2">
        <w:rPr>
          <w:rFonts w:ascii="Book Antiqua" w:hAnsi="Book Antiqua"/>
          <w:sz w:val="24"/>
          <w:szCs w:val="24"/>
          <w:lang w:val="en-GB"/>
        </w:rPr>
        <w:t>harbour</w:t>
      </w:r>
      <w:r w:rsidR="00363A1A" w:rsidRPr="00EE48E2">
        <w:rPr>
          <w:rFonts w:ascii="Book Antiqua" w:hAnsi="Book Antiqua"/>
          <w:sz w:val="24"/>
          <w:szCs w:val="24"/>
          <w:lang w:val="en-GB"/>
        </w:rPr>
        <w:t xml:space="preserve">ed both </w:t>
      </w:r>
      <w:r w:rsidR="006D3828" w:rsidRPr="00EE48E2">
        <w:rPr>
          <w:rFonts w:ascii="Book Antiqua" w:hAnsi="Book Antiqua"/>
          <w:sz w:val="24"/>
          <w:szCs w:val="24"/>
          <w:lang w:val="en-GB"/>
        </w:rPr>
        <w:t xml:space="preserve">a </w:t>
      </w:r>
      <w:r w:rsidR="00363A1A" w:rsidRPr="00EE48E2">
        <w:rPr>
          <w:rFonts w:ascii="Book Antiqua" w:hAnsi="Book Antiqua"/>
          <w:sz w:val="24"/>
          <w:szCs w:val="24"/>
          <w:lang w:val="en-GB"/>
        </w:rPr>
        <w:t xml:space="preserve">KRAS WT </w:t>
      </w:r>
      <w:r w:rsidR="00866858" w:rsidRPr="00EE48E2">
        <w:rPr>
          <w:rFonts w:ascii="Book Antiqua" w:hAnsi="Book Antiqua"/>
          <w:sz w:val="24"/>
          <w:szCs w:val="24"/>
          <w:lang w:val="en-GB"/>
        </w:rPr>
        <w:t>tumour</w:t>
      </w:r>
      <w:r w:rsidR="00363A1A" w:rsidRPr="00EE48E2">
        <w:rPr>
          <w:rFonts w:ascii="Book Antiqua" w:hAnsi="Book Antiqua"/>
          <w:sz w:val="24"/>
          <w:szCs w:val="24"/>
          <w:lang w:val="en-GB"/>
        </w:rPr>
        <w:t xml:space="preserve"> and PTEN</w:t>
      </w:r>
      <w:r w:rsidR="006D3828" w:rsidRPr="00EE48E2">
        <w:rPr>
          <w:rFonts w:ascii="Book Antiqua" w:hAnsi="Book Antiqua"/>
          <w:sz w:val="24"/>
          <w:szCs w:val="24"/>
          <w:lang w:val="en-GB"/>
        </w:rPr>
        <w:t>-</w:t>
      </w:r>
      <w:r w:rsidR="00363A1A" w:rsidRPr="00EE48E2">
        <w:rPr>
          <w:rFonts w:ascii="Book Antiqua" w:hAnsi="Book Antiqua"/>
          <w:sz w:val="24"/>
          <w:szCs w:val="24"/>
          <w:lang w:val="en-GB"/>
        </w:rPr>
        <w:t>positive metastasis were much more likely to benefit from treatment in terms of RR, PFS, and OS</w:t>
      </w:r>
      <w:r w:rsidR="00A07480" w:rsidRPr="00EE48E2">
        <w:rPr>
          <w:rFonts w:ascii="Book Antiqua" w:hAnsi="Book Antiqua"/>
          <w:sz w:val="24"/>
          <w:szCs w:val="24"/>
          <w:lang w:val="en-GB"/>
        </w:rPr>
        <w:t xml:space="preserve">. </w:t>
      </w:r>
      <w:r w:rsidR="00363A1A" w:rsidRPr="00EE48E2">
        <w:rPr>
          <w:rFonts w:ascii="Book Antiqua" w:hAnsi="Book Antiqua"/>
          <w:sz w:val="24"/>
          <w:szCs w:val="24"/>
          <w:lang w:val="en-GB"/>
        </w:rPr>
        <w:t>However, in the NCIC CTG/AGITG CO.17 trial, where 572 patients with pretreated mCRC were randomly assigned to receive cetuximab or best supportive care (BSC), no statistical significance was found with respect of the los</w:t>
      </w:r>
      <w:r w:rsidR="006D3828" w:rsidRPr="00EE48E2">
        <w:rPr>
          <w:rFonts w:ascii="Book Antiqua" w:hAnsi="Book Antiqua"/>
          <w:sz w:val="24"/>
          <w:szCs w:val="24"/>
          <w:lang w:val="en-GB"/>
        </w:rPr>
        <w:t>s</w:t>
      </w:r>
      <w:r w:rsidR="00363A1A" w:rsidRPr="00EE48E2">
        <w:rPr>
          <w:rFonts w:ascii="Book Antiqua" w:hAnsi="Book Antiqua"/>
          <w:sz w:val="24"/>
          <w:szCs w:val="24"/>
          <w:lang w:val="en-GB"/>
        </w:rPr>
        <w:t xml:space="preserve"> of PTEN and the clinical outcome of patient</w:t>
      </w:r>
      <w:r w:rsidR="006D3828" w:rsidRPr="00EE48E2">
        <w:rPr>
          <w:rFonts w:ascii="Book Antiqua" w:hAnsi="Book Antiqua"/>
          <w:sz w:val="24"/>
          <w:szCs w:val="24"/>
          <w:lang w:val="en-GB"/>
        </w:rPr>
        <w:t>s</w:t>
      </w:r>
      <w:r w:rsidR="00363A1A" w:rsidRPr="00EE48E2">
        <w:rPr>
          <w:rFonts w:ascii="Book Antiqua" w:hAnsi="Book Antiqua"/>
          <w:sz w:val="24"/>
          <w:szCs w:val="24"/>
          <w:lang w:val="en-GB"/>
        </w:rPr>
        <w:t xml:space="preserve"> treated with cetuximab</w:t>
      </w:r>
      <w:r w:rsidR="00363A1A" w:rsidRPr="00EE48E2">
        <w:rPr>
          <w:rFonts w:ascii="Book Antiqua" w:hAnsi="Book Antiqua"/>
          <w:sz w:val="24"/>
          <w:szCs w:val="24"/>
          <w:vertAlign w:val="superscript"/>
          <w:lang w:val="en-GB"/>
        </w:rPr>
        <w:t>[8</w:t>
      </w:r>
      <w:r w:rsidR="00AF249E">
        <w:rPr>
          <w:rFonts w:ascii="Book Antiqua" w:hAnsi="Book Antiqua" w:hint="eastAsia"/>
          <w:sz w:val="24"/>
          <w:szCs w:val="24"/>
          <w:vertAlign w:val="superscript"/>
          <w:lang w:val="en-GB" w:eastAsia="zh-CN"/>
        </w:rPr>
        <w:t>8</w:t>
      </w:r>
      <w:r w:rsidR="00363A1A" w:rsidRPr="00EE48E2">
        <w:rPr>
          <w:rFonts w:ascii="Book Antiqua" w:hAnsi="Book Antiqua"/>
          <w:sz w:val="24"/>
          <w:szCs w:val="24"/>
          <w:vertAlign w:val="superscript"/>
          <w:lang w:val="en-GB"/>
        </w:rPr>
        <w:t>]</w:t>
      </w:r>
      <w:r w:rsidR="00A07480" w:rsidRPr="00EE48E2">
        <w:rPr>
          <w:rFonts w:ascii="Book Antiqua" w:hAnsi="Book Antiqua"/>
          <w:sz w:val="24"/>
          <w:szCs w:val="24"/>
          <w:lang w:val="en-GB"/>
        </w:rPr>
        <w:t>.</w:t>
      </w:r>
    </w:p>
    <w:p w14:paraId="6C67F4F0" w14:textId="20B71B52" w:rsidR="00363A1A" w:rsidRPr="00EE48E2" w:rsidRDefault="00363A1A" w:rsidP="00BE75FA">
      <w:pPr>
        <w:adjustRightInd w:val="0"/>
        <w:snapToGrid w:val="0"/>
        <w:spacing w:after="0" w:line="360" w:lineRule="auto"/>
        <w:ind w:firstLineChars="100" w:firstLine="240"/>
        <w:jc w:val="both"/>
        <w:rPr>
          <w:rFonts w:ascii="Book Antiqua" w:hAnsi="Book Antiqua"/>
          <w:sz w:val="24"/>
          <w:szCs w:val="24"/>
          <w:lang w:val="en-GB"/>
        </w:rPr>
      </w:pPr>
      <w:r w:rsidRPr="00EE48E2">
        <w:rPr>
          <w:rFonts w:ascii="Book Antiqua" w:hAnsi="Book Antiqua"/>
          <w:sz w:val="24"/>
          <w:szCs w:val="24"/>
          <w:lang w:val="en-GB"/>
        </w:rPr>
        <w:lastRenderedPageBreak/>
        <w:t xml:space="preserve">PTEN loss has been </w:t>
      </w:r>
      <w:r w:rsidR="006139C0" w:rsidRPr="00EE48E2">
        <w:rPr>
          <w:rFonts w:ascii="Book Antiqua" w:hAnsi="Book Antiqua"/>
          <w:sz w:val="24"/>
          <w:szCs w:val="24"/>
          <w:lang w:val="en-GB"/>
        </w:rPr>
        <w:t>identified</w:t>
      </w:r>
      <w:r w:rsidRPr="00EE48E2">
        <w:rPr>
          <w:rFonts w:ascii="Book Antiqua" w:hAnsi="Book Antiqua"/>
          <w:sz w:val="24"/>
          <w:szCs w:val="24"/>
          <w:lang w:val="en-GB"/>
        </w:rPr>
        <w:t xml:space="preserve"> only </w:t>
      </w:r>
      <w:r w:rsidR="006139C0" w:rsidRPr="00EE48E2">
        <w:rPr>
          <w:rFonts w:ascii="Book Antiqua" w:hAnsi="Book Antiqua"/>
          <w:sz w:val="24"/>
          <w:szCs w:val="24"/>
          <w:lang w:val="en-GB"/>
        </w:rPr>
        <w:t xml:space="preserve">as a </w:t>
      </w:r>
      <w:r w:rsidRPr="00EE48E2">
        <w:rPr>
          <w:rFonts w:ascii="Book Antiqua" w:hAnsi="Book Antiqua"/>
          <w:sz w:val="24"/>
          <w:szCs w:val="24"/>
          <w:lang w:val="en-GB"/>
        </w:rPr>
        <w:t xml:space="preserve">primary mechanism of resistance to cetuximab and panitumumab. However, to date, PIK3CA mutations and PTEN expression have not been validated </w:t>
      </w:r>
      <w:r w:rsidR="006517F9" w:rsidRPr="00EE48E2">
        <w:rPr>
          <w:rFonts w:ascii="Book Antiqua" w:hAnsi="Book Antiqua"/>
          <w:sz w:val="24"/>
          <w:szCs w:val="24"/>
          <w:lang w:val="en-GB"/>
        </w:rPr>
        <w:t>as predictive markers</w:t>
      </w:r>
      <w:r w:rsidRPr="00EE48E2">
        <w:rPr>
          <w:rFonts w:ascii="Book Antiqua" w:hAnsi="Book Antiqua"/>
          <w:sz w:val="24"/>
          <w:szCs w:val="24"/>
          <w:lang w:val="en-GB"/>
        </w:rPr>
        <w:t xml:space="preserve"> for EGFR moAbs therapy in mCRC for several key reasons. Firstly</w:t>
      </w:r>
      <w:r w:rsidR="006139C0" w:rsidRPr="00EE48E2">
        <w:rPr>
          <w:rFonts w:ascii="Book Antiqua" w:hAnsi="Book Antiqua"/>
          <w:sz w:val="24"/>
          <w:szCs w:val="24"/>
          <w:lang w:val="en-GB"/>
        </w:rPr>
        <w:t>,</w:t>
      </w:r>
      <w:r w:rsidRPr="00EE48E2">
        <w:rPr>
          <w:rFonts w:ascii="Book Antiqua" w:hAnsi="Book Antiqua"/>
          <w:sz w:val="24"/>
          <w:szCs w:val="24"/>
          <w:lang w:val="en-GB"/>
        </w:rPr>
        <w:t xml:space="preserve"> PIK3CA and PTEN alterations mostly co-occur with RAS and/or BRAF mutations</w:t>
      </w:r>
      <w:r w:rsidR="006139C0" w:rsidRPr="00EE48E2">
        <w:rPr>
          <w:rFonts w:ascii="Book Antiqua" w:hAnsi="Book Antiqua"/>
          <w:sz w:val="24"/>
          <w:szCs w:val="24"/>
          <w:lang w:val="en-GB"/>
        </w:rPr>
        <w:t>;</w:t>
      </w:r>
      <w:r w:rsidRPr="00EE48E2">
        <w:rPr>
          <w:rFonts w:ascii="Book Antiqua" w:hAnsi="Book Antiqua"/>
          <w:sz w:val="24"/>
          <w:szCs w:val="24"/>
          <w:lang w:val="en-GB"/>
        </w:rPr>
        <w:t xml:space="preserve"> secondly</w:t>
      </w:r>
      <w:r w:rsidR="006139C0" w:rsidRPr="00EE48E2">
        <w:rPr>
          <w:rFonts w:ascii="Book Antiqua" w:hAnsi="Book Antiqua"/>
          <w:sz w:val="24"/>
          <w:szCs w:val="24"/>
          <w:lang w:val="en-GB"/>
        </w:rPr>
        <w:t>,</w:t>
      </w:r>
      <w:r w:rsidRPr="00EE48E2">
        <w:rPr>
          <w:rFonts w:ascii="Book Antiqua" w:hAnsi="Book Antiqua"/>
          <w:sz w:val="24"/>
          <w:szCs w:val="24"/>
          <w:lang w:val="en-GB"/>
        </w:rPr>
        <w:t xml:space="preserve"> the expression of PTEN protein by IHC is burdened by conflicting interpretation</w:t>
      </w:r>
      <w:r w:rsidR="006139C0" w:rsidRPr="00EE48E2">
        <w:rPr>
          <w:rFonts w:ascii="Book Antiqua" w:hAnsi="Book Antiqua"/>
          <w:sz w:val="24"/>
          <w:szCs w:val="24"/>
          <w:lang w:val="en-GB"/>
        </w:rPr>
        <w:t>s;</w:t>
      </w:r>
      <w:r w:rsidRPr="00EE48E2">
        <w:rPr>
          <w:rFonts w:ascii="Book Antiqua" w:hAnsi="Book Antiqua"/>
          <w:sz w:val="24"/>
          <w:szCs w:val="24"/>
          <w:lang w:val="en-GB"/>
        </w:rPr>
        <w:t xml:space="preserve"> and lastly</w:t>
      </w:r>
      <w:r w:rsidR="006139C0" w:rsidRPr="00EE48E2">
        <w:rPr>
          <w:rFonts w:ascii="Book Antiqua" w:hAnsi="Book Antiqua"/>
          <w:sz w:val="24"/>
          <w:szCs w:val="24"/>
          <w:lang w:val="en-GB"/>
        </w:rPr>
        <w:t>,</w:t>
      </w:r>
      <w:r w:rsidRPr="00EE48E2">
        <w:rPr>
          <w:rFonts w:ascii="Book Antiqua" w:hAnsi="Book Antiqua"/>
          <w:sz w:val="24"/>
          <w:szCs w:val="24"/>
          <w:lang w:val="en-GB"/>
        </w:rPr>
        <w:t xml:space="preserve"> only PTEN expression in metastases, but not in primary </w:t>
      </w:r>
      <w:r w:rsidR="00866858" w:rsidRPr="00EE48E2">
        <w:rPr>
          <w:rFonts w:ascii="Book Antiqua" w:hAnsi="Book Antiqua"/>
          <w:sz w:val="24"/>
          <w:szCs w:val="24"/>
          <w:lang w:val="en-GB"/>
        </w:rPr>
        <w:t>tumour</w:t>
      </w:r>
      <w:r w:rsidRPr="00EE48E2">
        <w:rPr>
          <w:rFonts w:ascii="Book Antiqua" w:hAnsi="Book Antiqua"/>
          <w:sz w:val="24"/>
          <w:szCs w:val="24"/>
          <w:lang w:val="en-GB"/>
        </w:rPr>
        <w:t>s, has been associated with outcome</w:t>
      </w:r>
      <w:r w:rsidRPr="00EE48E2">
        <w:rPr>
          <w:rFonts w:ascii="Book Antiqua" w:hAnsi="Book Antiqua"/>
          <w:sz w:val="24"/>
          <w:szCs w:val="24"/>
          <w:vertAlign w:val="superscript"/>
          <w:lang w:val="en-GB"/>
        </w:rPr>
        <w:t>[</w:t>
      </w:r>
      <w:r w:rsidR="00AF249E">
        <w:rPr>
          <w:rFonts w:ascii="Book Antiqua" w:hAnsi="Book Antiqua" w:hint="eastAsia"/>
          <w:sz w:val="24"/>
          <w:szCs w:val="24"/>
          <w:vertAlign w:val="superscript"/>
          <w:lang w:val="en-GB" w:eastAsia="zh-CN"/>
        </w:rPr>
        <w:t>89</w:t>
      </w:r>
      <w:r w:rsidRPr="00EE48E2">
        <w:rPr>
          <w:rFonts w:ascii="Book Antiqua" w:hAnsi="Book Antiqua"/>
          <w:sz w:val="24"/>
          <w:szCs w:val="24"/>
          <w:vertAlign w:val="superscript"/>
          <w:lang w:val="en-GB"/>
        </w:rPr>
        <w:t>]</w:t>
      </w:r>
      <w:r w:rsidR="00A07480" w:rsidRPr="00EE48E2">
        <w:rPr>
          <w:rFonts w:ascii="Book Antiqua" w:hAnsi="Book Antiqua"/>
          <w:sz w:val="24"/>
          <w:szCs w:val="24"/>
          <w:lang w:val="en-GB"/>
        </w:rPr>
        <w:t>.</w:t>
      </w:r>
    </w:p>
    <w:p w14:paraId="6B2C7F11" w14:textId="2F4930B0" w:rsidR="00363A1A" w:rsidRPr="00EE48E2" w:rsidRDefault="006517F9" w:rsidP="001B49EF">
      <w:pPr>
        <w:adjustRightInd w:val="0"/>
        <w:snapToGrid w:val="0"/>
        <w:spacing w:after="0" w:line="360" w:lineRule="auto"/>
        <w:ind w:firstLineChars="100" w:firstLine="240"/>
        <w:jc w:val="both"/>
        <w:rPr>
          <w:rFonts w:ascii="Book Antiqua" w:hAnsi="Book Antiqua"/>
          <w:sz w:val="24"/>
          <w:szCs w:val="24"/>
          <w:lang w:val="en-GB"/>
        </w:rPr>
      </w:pPr>
      <w:r w:rsidRPr="00EE48E2">
        <w:rPr>
          <w:rFonts w:ascii="Book Antiqua" w:hAnsi="Book Antiqua"/>
          <w:sz w:val="24"/>
          <w:szCs w:val="24"/>
          <w:lang w:val="en-GB"/>
        </w:rPr>
        <w:t xml:space="preserve">Targeted treatments against PIK3CA or its downstream effectors such as mTOR or AKT in patients harbouring </w:t>
      </w:r>
      <w:r w:rsidRPr="00EE48E2">
        <w:rPr>
          <w:rFonts w:ascii="Book Antiqua" w:hAnsi="Book Antiqua"/>
          <w:i/>
          <w:sz w:val="24"/>
          <w:szCs w:val="24"/>
          <w:lang w:val="en-GB"/>
        </w:rPr>
        <w:t>PIK3CA</w:t>
      </w:r>
      <w:r w:rsidRPr="00EE48E2">
        <w:rPr>
          <w:rFonts w:ascii="Book Antiqua" w:hAnsi="Book Antiqua"/>
          <w:sz w:val="24"/>
          <w:szCs w:val="24"/>
          <w:lang w:val="en-GB"/>
        </w:rPr>
        <w:t xml:space="preserve"> mutations or </w:t>
      </w:r>
      <w:r w:rsidRPr="00EE48E2">
        <w:rPr>
          <w:rFonts w:ascii="Book Antiqua" w:hAnsi="Book Antiqua"/>
          <w:i/>
          <w:sz w:val="24"/>
          <w:szCs w:val="24"/>
          <w:lang w:val="en-GB"/>
        </w:rPr>
        <w:t>PTEN</w:t>
      </w:r>
      <w:r w:rsidRPr="00EE48E2">
        <w:rPr>
          <w:rFonts w:ascii="Book Antiqua" w:hAnsi="Book Antiqua"/>
          <w:sz w:val="24"/>
          <w:szCs w:val="24"/>
          <w:lang w:val="en-GB"/>
        </w:rPr>
        <w:t xml:space="preserve"> loss, although interesting, did not show a meaningful clinical activity</w:t>
      </w:r>
      <w:r w:rsidR="001B49EF" w:rsidRPr="00EE48E2">
        <w:rPr>
          <w:rFonts w:ascii="Book Antiqua" w:hAnsi="Book Antiqua"/>
          <w:sz w:val="24"/>
          <w:szCs w:val="24"/>
          <w:vertAlign w:val="superscript"/>
          <w:lang w:val="en-GB"/>
        </w:rPr>
        <w:t>[9</w:t>
      </w:r>
      <w:r w:rsidR="00AF249E">
        <w:rPr>
          <w:rFonts w:ascii="Book Antiqua" w:hAnsi="Book Antiqua" w:hint="eastAsia"/>
          <w:sz w:val="24"/>
          <w:szCs w:val="24"/>
          <w:vertAlign w:val="superscript"/>
          <w:lang w:val="en-GB" w:eastAsia="zh-CN"/>
        </w:rPr>
        <w:t>0</w:t>
      </w:r>
      <w:r w:rsidR="001B49EF" w:rsidRPr="00EE48E2">
        <w:rPr>
          <w:rFonts w:ascii="Book Antiqua" w:hAnsi="Book Antiqua"/>
          <w:sz w:val="24"/>
          <w:szCs w:val="24"/>
          <w:vertAlign w:val="superscript"/>
          <w:lang w:val="en-GB"/>
        </w:rPr>
        <w:t>,</w:t>
      </w:r>
      <w:r w:rsidRPr="00EE48E2">
        <w:rPr>
          <w:rFonts w:ascii="Book Antiqua" w:hAnsi="Book Antiqua"/>
          <w:sz w:val="24"/>
          <w:szCs w:val="24"/>
          <w:vertAlign w:val="superscript"/>
          <w:lang w:val="en-GB"/>
        </w:rPr>
        <w:t>9</w:t>
      </w:r>
      <w:r w:rsidR="00AF249E">
        <w:rPr>
          <w:rFonts w:ascii="Book Antiqua" w:hAnsi="Book Antiqua" w:hint="eastAsia"/>
          <w:sz w:val="24"/>
          <w:szCs w:val="24"/>
          <w:vertAlign w:val="superscript"/>
          <w:lang w:val="en-GB" w:eastAsia="zh-CN"/>
        </w:rPr>
        <w:t>1</w:t>
      </w:r>
      <w:r w:rsidRPr="00EE48E2">
        <w:rPr>
          <w:rFonts w:ascii="Book Antiqua" w:hAnsi="Book Antiqua"/>
          <w:sz w:val="24"/>
          <w:szCs w:val="24"/>
          <w:vertAlign w:val="superscript"/>
          <w:lang w:val="en-GB"/>
        </w:rPr>
        <w:t>]</w:t>
      </w:r>
      <w:r w:rsidR="00A07480" w:rsidRPr="00EE48E2">
        <w:rPr>
          <w:rFonts w:ascii="Book Antiqua" w:hAnsi="Book Antiqua"/>
          <w:sz w:val="24"/>
          <w:szCs w:val="24"/>
          <w:lang w:val="en-GB"/>
        </w:rPr>
        <w:t xml:space="preserve">. </w:t>
      </w:r>
      <w:r w:rsidR="00363A1A" w:rsidRPr="00EE48E2">
        <w:rPr>
          <w:rFonts w:ascii="Book Antiqua" w:hAnsi="Book Antiqua"/>
          <w:sz w:val="24"/>
          <w:szCs w:val="24"/>
          <w:lang w:val="en-GB"/>
        </w:rPr>
        <w:t>A greater therapeutic effect has been</w:t>
      </w:r>
      <w:r w:rsidR="00DB342E" w:rsidRPr="00EE48E2">
        <w:rPr>
          <w:rFonts w:ascii="Book Antiqua" w:hAnsi="Book Antiqua"/>
          <w:sz w:val="24"/>
          <w:szCs w:val="24"/>
          <w:lang w:val="en-GB"/>
        </w:rPr>
        <w:t xml:space="preserve"> observed</w:t>
      </w:r>
      <w:r w:rsidR="00363A1A" w:rsidRPr="00EE48E2">
        <w:rPr>
          <w:rFonts w:ascii="Book Antiqua" w:hAnsi="Book Antiqua"/>
          <w:sz w:val="24"/>
          <w:szCs w:val="24"/>
          <w:lang w:val="en-GB"/>
        </w:rPr>
        <w:t xml:space="preserve"> when these drugs have been combined with RTK inhibitors in preclinical models</w:t>
      </w:r>
      <w:r w:rsidR="006139C0" w:rsidRPr="00EE48E2">
        <w:rPr>
          <w:rFonts w:ascii="Book Antiqua" w:hAnsi="Book Antiqua"/>
          <w:sz w:val="24"/>
          <w:szCs w:val="24"/>
          <w:lang w:val="en-GB"/>
        </w:rPr>
        <w:t>; however,</w:t>
      </w:r>
      <w:r w:rsidR="00363A1A" w:rsidRPr="00EE48E2">
        <w:rPr>
          <w:rFonts w:ascii="Book Antiqua" w:hAnsi="Book Antiqua"/>
          <w:sz w:val="24"/>
          <w:szCs w:val="24"/>
          <w:lang w:val="en-GB"/>
        </w:rPr>
        <w:t xml:space="preserve"> this benefit has not been confirmed in phase I trials</w:t>
      </w:r>
      <w:r w:rsidR="00363A1A" w:rsidRPr="00EE48E2">
        <w:rPr>
          <w:rFonts w:ascii="Book Antiqua" w:hAnsi="Book Antiqua"/>
          <w:sz w:val="24"/>
          <w:szCs w:val="24"/>
          <w:vertAlign w:val="superscript"/>
          <w:lang w:val="en-GB"/>
        </w:rPr>
        <w:t>[9</w:t>
      </w:r>
      <w:r w:rsidR="00AF249E">
        <w:rPr>
          <w:rFonts w:ascii="Book Antiqua" w:hAnsi="Book Antiqua" w:hint="eastAsia"/>
          <w:sz w:val="24"/>
          <w:szCs w:val="24"/>
          <w:vertAlign w:val="superscript"/>
          <w:lang w:val="en-GB" w:eastAsia="zh-CN"/>
        </w:rPr>
        <w:t>2</w:t>
      </w:r>
      <w:r w:rsidR="00363A1A" w:rsidRPr="00EE48E2">
        <w:rPr>
          <w:rFonts w:ascii="Book Antiqua" w:hAnsi="Book Antiqua"/>
          <w:sz w:val="24"/>
          <w:szCs w:val="24"/>
          <w:vertAlign w:val="superscript"/>
          <w:lang w:val="en-GB"/>
        </w:rPr>
        <w:t>]</w:t>
      </w:r>
      <w:r w:rsidR="00A07480" w:rsidRPr="00EE48E2">
        <w:rPr>
          <w:rFonts w:ascii="Book Antiqua" w:hAnsi="Book Antiqua"/>
          <w:sz w:val="24"/>
          <w:szCs w:val="24"/>
          <w:lang w:val="en-GB"/>
        </w:rPr>
        <w:t xml:space="preserve">. </w:t>
      </w:r>
      <w:r w:rsidR="00363A1A" w:rsidRPr="00EE48E2">
        <w:rPr>
          <w:rFonts w:ascii="Book Antiqua" w:hAnsi="Book Antiqua"/>
          <w:sz w:val="24"/>
          <w:szCs w:val="24"/>
          <w:lang w:val="en-GB"/>
        </w:rPr>
        <w:t>Clinical trials evaluating the combination of the mTOR inhibitor everolimus with panitumumab and irinotecan in first</w:t>
      </w:r>
      <w:r w:rsidR="006139C0" w:rsidRPr="00EE48E2">
        <w:rPr>
          <w:rFonts w:ascii="Book Antiqua" w:hAnsi="Book Antiqua"/>
          <w:sz w:val="24"/>
          <w:szCs w:val="24"/>
          <w:lang w:val="en-GB"/>
        </w:rPr>
        <w:t>-</w:t>
      </w:r>
      <w:r w:rsidR="00363A1A" w:rsidRPr="00EE48E2">
        <w:rPr>
          <w:rFonts w:ascii="Book Antiqua" w:hAnsi="Book Antiqua"/>
          <w:sz w:val="24"/>
          <w:szCs w:val="24"/>
          <w:lang w:val="en-GB"/>
        </w:rPr>
        <w:t>line mCRC patients are ongoing</w:t>
      </w:r>
      <w:r w:rsidR="00363A1A" w:rsidRPr="00EE48E2">
        <w:rPr>
          <w:rFonts w:ascii="Book Antiqua" w:hAnsi="Book Antiqua"/>
          <w:sz w:val="24"/>
          <w:szCs w:val="24"/>
          <w:vertAlign w:val="superscript"/>
          <w:lang w:val="en-GB"/>
        </w:rPr>
        <w:t>[9</w:t>
      </w:r>
      <w:r w:rsidR="00AF249E">
        <w:rPr>
          <w:rFonts w:ascii="Book Antiqua" w:hAnsi="Book Antiqua" w:hint="eastAsia"/>
          <w:sz w:val="24"/>
          <w:szCs w:val="24"/>
          <w:vertAlign w:val="superscript"/>
          <w:lang w:val="en-GB" w:eastAsia="zh-CN"/>
        </w:rPr>
        <w:t>3</w:t>
      </w:r>
      <w:r w:rsidR="00363A1A" w:rsidRPr="00EE48E2">
        <w:rPr>
          <w:rFonts w:ascii="Book Antiqua" w:hAnsi="Book Antiqua"/>
          <w:sz w:val="24"/>
          <w:szCs w:val="24"/>
          <w:vertAlign w:val="superscript"/>
          <w:lang w:val="en-GB"/>
        </w:rPr>
        <w:t>]</w:t>
      </w:r>
      <w:r w:rsidR="00A07480" w:rsidRPr="00EE48E2">
        <w:rPr>
          <w:rFonts w:ascii="Book Antiqua" w:hAnsi="Book Antiqua"/>
          <w:sz w:val="24"/>
          <w:szCs w:val="24"/>
          <w:lang w:val="en-GB"/>
        </w:rPr>
        <w:t xml:space="preserve">. </w:t>
      </w:r>
      <w:r w:rsidR="00363A1A" w:rsidRPr="00EE48E2">
        <w:rPr>
          <w:rFonts w:ascii="Book Antiqua" w:hAnsi="Book Antiqua"/>
          <w:sz w:val="24"/>
          <w:szCs w:val="24"/>
          <w:lang w:val="en-GB"/>
        </w:rPr>
        <w:t xml:space="preserve">The combination of </w:t>
      </w:r>
      <w:r w:rsidR="006139C0" w:rsidRPr="00EE48E2">
        <w:rPr>
          <w:rFonts w:ascii="Book Antiqua" w:hAnsi="Book Antiqua"/>
          <w:sz w:val="24"/>
          <w:szCs w:val="24"/>
          <w:lang w:val="en-GB"/>
        </w:rPr>
        <w:t xml:space="preserve">a </w:t>
      </w:r>
      <w:r w:rsidR="00363A1A" w:rsidRPr="00EE48E2">
        <w:rPr>
          <w:rFonts w:ascii="Book Antiqua" w:hAnsi="Book Antiqua"/>
          <w:sz w:val="24"/>
          <w:szCs w:val="24"/>
          <w:lang w:val="en-GB"/>
        </w:rPr>
        <w:t xml:space="preserve">PIK3CA inhibitor and </w:t>
      </w:r>
      <w:r w:rsidR="006139C0" w:rsidRPr="00EE48E2">
        <w:rPr>
          <w:rFonts w:ascii="Book Antiqua" w:hAnsi="Book Antiqua"/>
          <w:sz w:val="24"/>
          <w:szCs w:val="24"/>
          <w:lang w:val="en-GB"/>
        </w:rPr>
        <w:t xml:space="preserve">a </w:t>
      </w:r>
      <w:r w:rsidR="00363A1A" w:rsidRPr="00EE48E2">
        <w:rPr>
          <w:rFonts w:ascii="Book Antiqua" w:hAnsi="Book Antiqua"/>
          <w:sz w:val="24"/>
          <w:szCs w:val="24"/>
          <w:lang w:val="en-GB"/>
        </w:rPr>
        <w:t xml:space="preserve">MEK inhibitor in preclinical models </w:t>
      </w:r>
      <w:r w:rsidR="006139C0" w:rsidRPr="00EE48E2">
        <w:rPr>
          <w:rFonts w:ascii="Book Antiqua" w:hAnsi="Book Antiqua"/>
          <w:sz w:val="24"/>
          <w:szCs w:val="24"/>
          <w:lang w:val="en-GB"/>
        </w:rPr>
        <w:t xml:space="preserve">was more </w:t>
      </w:r>
      <w:r w:rsidR="00363A1A" w:rsidRPr="00EE48E2">
        <w:rPr>
          <w:rFonts w:ascii="Book Antiqua" w:hAnsi="Book Antiqua"/>
          <w:sz w:val="24"/>
          <w:szCs w:val="24"/>
          <w:lang w:val="en-GB"/>
        </w:rPr>
        <w:t>effective than MEK and PI3K/mTOR inhibition</w:t>
      </w:r>
      <w:r w:rsidR="006139C0" w:rsidRPr="00EE48E2">
        <w:rPr>
          <w:rFonts w:ascii="Book Antiqua" w:hAnsi="Book Antiqua"/>
          <w:sz w:val="24"/>
          <w:szCs w:val="24"/>
          <w:lang w:val="en-GB"/>
        </w:rPr>
        <w:t>,</w:t>
      </w:r>
      <w:r w:rsidR="00363A1A" w:rsidRPr="00EE48E2">
        <w:rPr>
          <w:rFonts w:ascii="Book Antiqua" w:hAnsi="Book Antiqua"/>
          <w:sz w:val="24"/>
          <w:szCs w:val="24"/>
          <w:lang w:val="en-GB"/>
        </w:rPr>
        <w:t xml:space="preserve"> and several clinical trials are exploiting this combination</w:t>
      </w:r>
      <w:r w:rsidR="00363A1A" w:rsidRPr="00EE48E2">
        <w:rPr>
          <w:rFonts w:ascii="Book Antiqua" w:hAnsi="Book Antiqua"/>
          <w:sz w:val="24"/>
          <w:szCs w:val="24"/>
          <w:vertAlign w:val="superscript"/>
          <w:lang w:val="en-GB"/>
        </w:rPr>
        <w:t>[9</w:t>
      </w:r>
      <w:r w:rsidR="00AF249E">
        <w:rPr>
          <w:rFonts w:ascii="Book Antiqua" w:hAnsi="Book Antiqua" w:hint="eastAsia"/>
          <w:sz w:val="24"/>
          <w:szCs w:val="24"/>
          <w:vertAlign w:val="superscript"/>
          <w:lang w:val="en-GB" w:eastAsia="zh-CN"/>
        </w:rPr>
        <w:t>4</w:t>
      </w:r>
      <w:r w:rsidR="00363A1A" w:rsidRPr="00EE48E2">
        <w:rPr>
          <w:rFonts w:ascii="Book Antiqua" w:hAnsi="Book Antiqua"/>
          <w:sz w:val="24"/>
          <w:szCs w:val="24"/>
          <w:vertAlign w:val="superscript"/>
          <w:lang w:val="en-GB"/>
        </w:rPr>
        <w:t>-9</w:t>
      </w:r>
      <w:r w:rsidR="00AF249E">
        <w:rPr>
          <w:rFonts w:ascii="Book Antiqua" w:hAnsi="Book Antiqua" w:hint="eastAsia"/>
          <w:sz w:val="24"/>
          <w:szCs w:val="24"/>
          <w:vertAlign w:val="superscript"/>
          <w:lang w:val="en-GB" w:eastAsia="zh-CN"/>
        </w:rPr>
        <w:t>6</w:t>
      </w:r>
      <w:r w:rsidR="00363A1A" w:rsidRPr="00EE48E2">
        <w:rPr>
          <w:rFonts w:ascii="Book Antiqua" w:hAnsi="Book Antiqua"/>
          <w:sz w:val="24"/>
          <w:szCs w:val="24"/>
          <w:vertAlign w:val="superscript"/>
          <w:lang w:val="en-GB"/>
        </w:rPr>
        <w:t>]</w:t>
      </w:r>
      <w:r w:rsidR="00A07480" w:rsidRPr="00EE48E2">
        <w:rPr>
          <w:rFonts w:ascii="Book Antiqua" w:hAnsi="Book Antiqua"/>
          <w:sz w:val="24"/>
          <w:szCs w:val="24"/>
          <w:lang w:val="en-GB"/>
        </w:rPr>
        <w:t xml:space="preserve">. </w:t>
      </w:r>
      <w:r w:rsidR="00363A1A" w:rsidRPr="00EE48E2">
        <w:rPr>
          <w:rFonts w:ascii="Book Antiqua" w:hAnsi="Book Antiqua"/>
          <w:sz w:val="24"/>
          <w:szCs w:val="24"/>
          <w:lang w:val="en-GB"/>
        </w:rPr>
        <w:t>Furthermore</w:t>
      </w:r>
      <w:r w:rsidR="006139C0" w:rsidRPr="00EE48E2">
        <w:rPr>
          <w:rFonts w:ascii="Book Antiqua" w:hAnsi="Book Antiqua"/>
          <w:sz w:val="24"/>
          <w:szCs w:val="24"/>
          <w:lang w:val="en-GB"/>
        </w:rPr>
        <w:t>,</w:t>
      </w:r>
      <w:r w:rsidR="00363A1A" w:rsidRPr="00EE48E2">
        <w:rPr>
          <w:rFonts w:ascii="Book Antiqua" w:hAnsi="Book Antiqua"/>
          <w:sz w:val="24"/>
          <w:szCs w:val="24"/>
          <w:lang w:val="en-GB"/>
        </w:rPr>
        <w:t xml:space="preserve"> low-dose aspirin seems to improve survival in patients with PIK3CA-mutant </w:t>
      </w:r>
      <w:r w:rsidR="00866858" w:rsidRPr="00EE48E2">
        <w:rPr>
          <w:rFonts w:ascii="Book Antiqua" w:hAnsi="Book Antiqua"/>
          <w:sz w:val="24"/>
          <w:szCs w:val="24"/>
          <w:lang w:val="en-GB"/>
        </w:rPr>
        <w:t>tumour</w:t>
      </w:r>
      <w:r w:rsidR="00363A1A" w:rsidRPr="00EE48E2">
        <w:rPr>
          <w:rFonts w:ascii="Book Antiqua" w:hAnsi="Book Antiqua"/>
          <w:sz w:val="24"/>
          <w:szCs w:val="24"/>
          <w:lang w:val="en-GB"/>
        </w:rPr>
        <w:t>s by aspirin</w:t>
      </w:r>
      <w:r w:rsidR="006139C0" w:rsidRPr="00EE48E2">
        <w:rPr>
          <w:rFonts w:ascii="Book Antiqua" w:hAnsi="Book Antiqua"/>
          <w:sz w:val="24"/>
          <w:szCs w:val="24"/>
          <w:lang w:val="en-GB"/>
        </w:rPr>
        <w:t>-</w:t>
      </w:r>
      <w:r w:rsidR="00363A1A" w:rsidRPr="00EE48E2">
        <w:rPr>
          <w:rFonts w:ascii="Book Antiqua" w:hAnsi="Book Antiqua"/>
          <w:sz w:val="24"/>
          <w:szCs w:val="24"/>
          <w:lang w:val="en-GB"/>
        </w:rPr>
        <w:t xml:space="preserve">mediated COX2 inhibition, </w:t>
      </w:r>
      <w:r w:rsidR="007D3C70" w:rsidRPr="00EE48E2">
        <w:rPr>
          <w:rFonts w:ascii="Book Antiqua" w:hAnsi="Book Antiqua"/>
          <w:sz w:val="24"/>
          <w:szCs w:val="24"/>
          <w:lang w:val="en-GB"/>
        </w:rPr>
        <w:t xml:space="preserve">but </w:t>
      </w:r>
      <w:r w:rsidR="00363A1A" w:rsidRPr="00EE48E2">
        <w:rPr>
          <w:rFonts w:ascii="Book Antiqua" w:hAnsi="Book Antiqua"/>
          <w:sz w:val="24"/>
          <w:szCs w:val="24"/>
          <w:lang w:val="en-GB"/>
        </w:rPr>
        <w:t>this observation requires further prospective evaluation</w:t>
      </w:r>
      <w:r w:rsidR="00363A1A" w:rsidRPr="00EE48E2">
        <w:rPr>
          <w:rFonts w:ascii="Book Antiqua" w:hAnsi="Book Antiqua"/>
          <w:sz w:val="24"/>
          <w:szCs w:val="24"/>
          <w:vertAlign w:val="superscript"/>
          <w:lang w:val="en-GB"/>
        </w:rPr>
        <w:t>[9</w:t>
      </w:r>
      <w:r w:rsidR="00AF249E">
        <w:rPr>
          <w:rFonts w:ascii="Book Antiqua" w:hAnsi="Book Antiqua" w:hint="eastAsia"/>
          <w:sz w:val="24"/>
          <w:szCs w:val="24"/>
          <w:vertAlign w:val="superscript"/>
          <w:lang w:val="en-GB" w:eastAsia="zh-CN"/>
        </w:rPr>
        <w:t>7</w:t>
      </w:r>
      <w:r w:rsidR="00363A1A" w:rsidRPr="00EE48E2">
        <w:rPr>
          <w:rFonts w:ascii="Book Antiqua" w:hAnsi="Book Antiqua"/>
          <w:sz w:val="24"/>
          <w:szCs w:val="24"/>
          <w:vertAlign w:val="superscript"/>
          <w:lang w:val="en-GB"/>
        </w:rPr>
        <w:t>]</w:t>
      </w:r>
      <w:r w:rsidR="00A07480" w:rsidRPr="00EE48E2">
        <w:rPr>
          <w:rFonts w:ascii="Book Antiqua" w:hAnsi="Book Antiqua"/>
          <w:sz w:val="24"/>
          <w:szCs w:val="24"/>
          <w:lang w:val="en-GB"/>
        </w:rPr>
        <w:t>.</w:t>
      </w:r>
    </w:p>
    <w:p w14:paraId="5EC6D4E6" w14:textId="77777777" w:rsidR="00363A1A" w:rsidRPr="00EE48E2" w:rsidRDefault="00363A1A" w:rsidP="004D1833">
      <w:pPr>
        <w:adjustRightInd w:val="0"/>
        <w:snapToGrid w:val="0"/>
        <w:spacing w:after="0" w:line="360" w:lineRule="auto"/>
        <w:jc w:val="both"/>
        <w:rPr>
          <w:rFonts w:ascii="Book Antiqua" w:hAnsi="Book Antiqua"/>
          <w:sz w:val="24"/>
          <w:szCs w:val="24"/>
          <w:lang w:val="en-GB" w:eastAsia="zh-CN"/>
        </w:rPr>
      </w:pPr>
    </w:p>
    <w:p w14:paraId="0CE276D1" w14:textId="77777777" w:rsidR="00363A1A" w:rsidRPr="00EE48E2" w:rsidRDefault="00363A1A" w:rsidP="004D1833">
      <w:pPr>
        <w:adjustRightInd w:val="0"/>
        <w:snapToGrid w:val="0"/>
        <w:spacing w:after="0" w:line="360" w:lineRule="auto"/>
        <w:jc w:val="both"/>
        <w:rPr>
          <w:rFonts w:ascii="Book Antiqua" w:hAnsi="Book Antiqua"/>
          <w:b/>
          <w:i/>
          <w:sz w:val="24"/>
          <w:szCs w:val="24"/>
          <w:lang w:val="en-GB"/>
        </w:rPr>
      </w:pPr>
      <w:r w:rsidRPr="00EE48E2">
        <w:rPr>
          <w:rFonts w:ascii="Book Antiqua" w:hAnsi="Book Antiqua"/>
          <w:b/>
          <w:i/>
          <w:sz w:val="24"/>
          <w:szCs w:val="24"/>
          <w:lang w:val="en-GB"/>
        </w:rPr>
        <w:t>HER2/HER3</w:t>
      </w:r>
    </w:p>
    <w:p w14:paraId="5A9CA569" w14:textId="4006F429" w:rsidR="00363A1A" w:rsidRPr="00EE48E2" w:rsidRDefault="00363A1A" w:rsidP="004D1833">
      <w:pPr>
        <w:adjustRightInd w:val="0"/>
        <w:snapToGrid w:val="0"/>
        <w:spacing w:after="0" w:line="360" w:lineRule="auto"/>
        <w:jc w:val="both"/>
        <w:rPr>
          <w:rFonts w:ascii="Book Antiqua" w:hAnsi="Book Antiqua"/>
          <w:sz w:val="24"/>
          <w:szCs w:val="24"/>
          <w:lang w:val="en-GB"/>
        </w:rPr>
      </w:pPr>
      <w:r w:rsidRPr="00EE48E2">
        <w:rPr>
          <w:rFonts w:ascii="Book Antiqua" w:hAnsi="Book Antiqua"/>
          <w:sz w:val="24"/>
          <w:szCs w:val="24"/>
          <w:lang w:val="en-GB"/>
        </w:rPr>
        <w:t>HER2 is a member of the ErbB family and</w:t>
      </w:r>
      <w:r w:rsidR="00753420" w:rsidRPr="00EE48E2">
        <w:rPr>
          <w:rFonts w:ascii="Book Antiqua" w:hAnsi="Book Antiqua"/>
          <w:sz w:val="24"/>
          <w:szCs w:val="24"/>
          <w:lang w:val="en-GB"/>
        </w:rPr>
        <w:t xml:space="preserve"> is</w:t>
      </w:r>
      <w:r w:rsidRPr="00EE48E2">
        <w:rPr>
          <w:rFonts w:ascii="Book Antiqua" w:hAnsi="Book Antiqua"/>
          <w:sz w:val="24"/>
          <w:szCs w:val="24"/>
          <w:lang w:val="en-GB"/>
        </w:rPr>
        <w:t xml:space="preserve"> a recognized target in breast cancer</w:t>
      </w:r>
      <w:r w:rsidRPr="00EE48E2">
        <w:rPr>
          <w:rFonts w:ascii="Book Antiqua" w:hAnsi="Book Antiqua"/>
          <w:sz w:val="24"/>
          <w:szCs w:val="24"/>
          <w:vertAlign w:val="superscript"/>
          <w:lang w:val="en-GB"/>
        </w:rPr>
        <w:t>[6]</w:t>
      </w:r>
      <w:r w:rsidR="00A07480" w:rsidRPr="00EE48E2">
        <w:rPr>
          <w:rFonts w:ascii="Book Antiqua" w:hAnsi="Book Antiqua"/>
          <w:sz w:val="24"/>
          <w:szCs w:val="24"/>
          <w:lang w:val="en-GB"/>
        </w:rPr>
        <w:t xml:space="preserve">. </w:t>
      </w:r>
      <w:r w:rsidRPr="00EE48E2">
        <w:rPr>
          <w:rFonts w:ascii="Book Antiqua" w:hAnsi="Book Antiqua"/>
          <w:sz w:val="24"/>
          <w:szCs w:val="24"/>
          <w:lang w:val="en-GB"/>
        </w:rPr>
        <w:t>This receptor does not have any known ligand</w:t>
      </w:r>
      <w:r w:rsidR="00753420" w:rsidRPr="00EE48E2">
        <w:rPr>
          <w:rFonts w:ascii="Book Antiqua" w:hAnsi="Book Antiqua"/>
          <w:sz w:val="24"/>
          <w:szCs w:val="24"/>
          <w:lang w:val="en-GB"/>
        </w:rPr>
        <w:t>,</w:t>
      </w:r>
      <w:r w:rsidRPr="00EE48E2">
        <w:rPr>
          <w:rFonts w:ascii="Book Antiqua" w:hAnsi="Book Antiqua"/>
          <w:sz w:val="24"/>
          <w:szCs w:val="24"/>
          <w:lang w:val="en-GB"/>
        </w:rPr>
        <w:t xml:space="preserve"> and its activation is provided by the hetero-dimerization with other ligand-bound receptors of the same family. The preferred partner is HER3</w:t>
      </w:r>
      <w:r w:rsidR="00753420" w:rsidRPr="00EE48E2">
        <w:rPr>
          <w:rFonts w:ascii="Book Antiqua" w:hAnsi="Book Antiqua"/>
          <w:sz w:val="24"/>
          <w:szCs w:val="24"/>
          <w:lang w:val="en-GB"/>
        </w:rPr>
        <w:t>,</w:t>
      </w:r>
      <w:r w:rsidRPr="00EE48E2">
        <w:rPr>
          <w:rFonts w:ascii="Book Antiqua" w:hAnsi="Book Antiqua"/>
          <w:sz w:val="24"/>
          <w:szCs w:val="24"/>
          <w:lang w:val="en-GB"/>
        </w:rPr>
        <w:t xml:space="preserve"> and the heterodimer HER2-HER3 represents a powerful activator of intracellular </w:t>
      </w:r>
      <w:r w:rsidR="00DB342E" w:rsidRPr="00EE48E2">
        <w:rPr>
          <w:rFonts w:ascii="Book Antiqua" w:hAnsi="Book Antiqua"/>
          <w:sz w:val="24"/>
          <w:szCs w:val="24"/>
          <w:lang w:val="en-GB"/>
        </w:rPr>
        <w:t>signalling</w:t>
      </w:r>
      <w:r w:rsidRPr="00EE48E2">
        <w:rPr>
          <w:rFonts w:ascii="Book Antiqua" w:hAnsi="Book Antiqua"/>
          <w:sz w:val="24"/>
          <w:szCs w:val="24"/>
          <w:vertAlign w:val="superscript"/>
          <w:lang w:val="en-GB"/>
        </w:rPr>
        <w:t>[9</w:t>
      </w:r>
      <w:r w:rsidR="00AF249E">
        <w:rPr>
          <w:rFonts w:ascii="Book Antiqua" w:hAnsi="Book Antiqua" w:hint="eastAsia"/>
          <w:sz w:val="24"/>
          <w:szCs w:val="24"/>
          <w:vertAlign w:val="superscript"/>
          <w:lang w:val="en-GB" w:eastAsia="zh-CN"/>
        </w:rPr>
        <w:t>8</w:t>
      </w:r>
      <w:r w:rsidRPr="00EE48E2">
        <w:rPr>
          <w:rFonts w:ascii="Book Antiqua" w:hAnsi="Book Antiqua"/>
          <w:sz w:val="24"/>
          <w:szCs w:val="24"/>
          <w:vertAlign w:val="superscript"/>
          <w:lang w:val="en-GB"/>
        </w:rPr>
        <w:t>]</w:t>
      </w:r>
      <w:r w:rsidR="00A07480" w:rsidRPr="00EE48E2">
        <w:rPr>
          <w:rFonts w:ascii="Book Antiqua" w:hAnsi="Book Antiqua"/>
          <w:sz w:val="24"/>
          <w:szCs w:val="24"/>
          <w:lang w:val="en-GB"/>
        </w:rPr>
        <w:t>.</w:t>
      </w:r>
      <w:r w:rsidRPr="00EE48E2">
        <w:rPr>
          <w:rFonts w:ascii="Book Antiqua" w:hAnsi="Book Antiqua"/>
          <w:sz w:val="24"/>
          <w:szCs w:val="24"/>
          <w:lang w:val="en-GB"/>
        </w:rPr>
        <w:t xml:space="preserve"> HER2 amplification allows the activation of MEK–ERK cascade regardless of the </w:t>
      </w:r>
      <w:r w:rsidR="00DB342E" w:rsidRPr="00EE48E2">
        <w:rPr>
          <w:rFonts w:ascii="Book Antiqua" w:hAnsi="Book Antiqua"/>
          <w:sz w:val="24"/>
          <w:szCs w:val="24"/>
          <w:lang w:val="en-GB"/>
        </w:rPr>
        <w:t xml:space="preserve">signalling </w:t>
      </w:r>
      <w:r w:rsidRPr="00EE48E2">
        <w:rPr>
          <w:rFonts w:ascii="Book Antiqua" w:hAnsi="Book Antiqua"/>
          <w:sz w:val="24"/>
          <w:szCs w:val="24"/>
          <w:lang w:val="en-GB"/>
        </w:rPr>
        <w:t>of EGFR.</w:t>
      </w:r>
    </w:p>
    <w:p w14:paraId="46828902" w14:textId="309D7554" w:rsidR="00363A1A" w:rsidRPr="00EE48E2" w:rsidRDefault="00EE48E2" w:rsidP="004D1833">
      <w:pPr>
        <w:adjustRightInd w:val="0"/>
        <w:snapToGrid w:val="0"/>
        <w:spacing w:after="0" w:line="360" w:lineRule="auto"/>
        <w:jc w:val="both"/>
        <w:rPr>
          <w:rFonts w:ascii="Book Antiqua" w:hAnsi="Book Antiqua"/>
          <w:sz w:val="24"/>
          <w:szCs w:val="24"/>
          <w:lang w:val="en-GB"/>
        </w:rPr>
      </w:pPr>
      <w:r w:rsidRPr="00EE48E2">
        <w:rPr>
          <w:rFonts w:ascii="Book Antiqua" w:hAnsi="Book Antiqua"/>
          <w:sz w:val="24"/>
          <w:szCs w:val="24"/>
          <w:lang w:val="en-GB"/>
        </w:rPr>
        <w:t xml:space="preserve">  </w:t>
      </w:r>
      <w:r w:rsidR="00363A1A" w:rsidRPr="00EE48E2">
        <w:rPr>
          <w:rFonts w:ascii="Book Antiqua" w:hAnsi="Book Antiqua"/>
          <w:sz w:val="24"/>
          <w:szCs w:val="24"/>
          <w:lang w:val="en-GB"/>
        </w:rPr>
        <w:t>In two different studies</w:t>
      </w:r>
      <w:r w:rsidR="009F2F33" w:rsidRPr="00EE48E2">
        <w:rPr>
          <w:rFonts w:ascii="Book Antiqua" w:hAnsi="Book Antiqua"/>
          <w:sz w:val="24"/>
          <w:szCs w:val="24"/>
          <w:lang w:val="en-GB"/>
        </w:rPr>
        <w:t>,</w:t>
      </w:r>
      <w:r w:rsidR="00363A1A" w:rsidRPr="00EE48E2">
        <w:rPr>
          <w:rFonts w:ascii="Book Antiqua" w:hAnsi="Book Antiqua"/>
          <w:sz w:val="24"/>
          <w:szCs w:val="24"/>
          <w:lang w:val="en-GB"/>
        </w:rPr>
        <w:t xml:space="preserve"> HER2 amplification has been highlighted as a predictor of lack of response to anti-EGFR antibodies</w:t>
      </w:r>
      <w:r w:rsidR="001B49EF" w:rsidRPr="00EE48E2">
        <w:rPr>
          <w:rFonts w:ascii="Book Antiqua" w:hAnsi="Book Antiqua"/>
          <w:sz w:val="24"/>
          <w:szCs w:val="24"/>
          <w:vertAlign w:val="superscript"/>
          <w:lang w:val="en-GB"/>
        </w:rPr>
        <w:t>[</w:t>
      </w:r>
      <w:r w:rsidR="00AF249E">
        <w:rPr>
          <w:rFonts w:ascii="Book Antiqua" w:hAnsi="Book Antiqua" w:hint="eastAsia"/>
          <w:sz w:val="24"/>
          <w:szCs w:val="24"/>
          <w:vertAlign w:val="superscript"/>
          <w:lang w:val="en-GB" w:eastAsia="zh-CN"/>
        </w:rPr>
        <w:t>99</w:t>
      </w:r>
      <w:r w:rsidR="001B49EF" w:rsidRPr="00EE48E2">
        <w:rPr>
          <w:rFonts w:ascii="Book Antiqua" w:hAnsi="Book Antiqua"/>
          <w:sz w:val="24"/>
          <w:szCs w:val="24"/>
          <w:vertAlign w:val="superscript"/>
          <w:lang w:val="en-GB"/>
        </w:rPr>
        <w:t>,</w:t>
      </w:r>
      <w:r w:rsidR="00363A1A" w:rsidRPr="00EE48E2">
        <w:rPr>
          <w:rFonts w:ascii="Book Antiqua" w:hAnsi="Book Antiqua"/>
          <w:sz w:val="24"/>
          <w:szCs w:val="24"/>
          <w:vertAlign w:val="superscript"/>
          <w:lang w:val="en-GB"/>
        </w:rPr>
        <w:t>10</w:t>
      </w:r>
      <w:r w:rsidR="00AF249E">
        <w:rPr>
          <w:rFonts w:ascii="Book Antiqua" w:hAnsi="Book Antiqua" w:hint="eastAsia"/>
          <w:sz w:val="24"/>
          <w:szCs w:val="24"/>
          <w:vertAlign w:val="superscript"/>
          <w:lang w:val="en-GB" w:eastAsia="zh-CN"/>
        </w:rPr>
        <w:t>0</w:t>
      </w:r>
      <w:r w:rsidR="00363A1A" w:rsidRPr="00EE48E2">
        <w:rPr>
          <w:rFonts w:ascii="Book Antiqua" w:hAnsi="Book Antiqua"/>
          <w:sz w:val="24"/>
          <w:szCs w:val="24"/>
          <w:vertAlign w:val="superscript"/>
          <w:lang w:val="en-GB"/>
        </w:rPr>
        <w:t>]</w:t>
      </w:r>
      <w:r w:rsidR="00A07480" w:rsidRPr="00EE48E2">
        <w:rPr>
          <w:rFonts w:ascii="Book Antiqua" w:hAnsi="Book Antiqua"/>
          <w:sz w:val="24"/>
          <w:szCs w:val="24"/>
          <w:lang w:val="en-GB"/>
        </w:rPr>
        <w:t xml:space="preserve">. </w:t>
      </w:r>
      <w:r w:rsidR="009F2F33" w:rsidRPr="00EE48E2">
        <w:rPr>
          <w:rFonts w:ascii="Book Antiqua" w:hAnsi="Book Antiqua"/>
          <w:sz w:val="24"/>
          <w:szCs w:val="24"/>
          <w:lang w:val="en-GB"/>
        </w:rPr>
        <w:t xml:space="preserve">In 2011, </w:t>
      </w:r>
      <w:r w:rsidR="00363A1A" w:rsidRPr="00EE48E2">
        <w:rPr>
          <w:rFonts w:ascii="Book Antiqua" w:hAnsi="Book Antiqua"/>
          <w:sz w:val="24"/>
          <w:szCs w:val="24"/>
          <w:lang w:val="en-GB"/>
        </w:rPr>
        <w:t xml:space="preserve">Bertotti and colleagues recognized HER2 amplification as a potential mechanism of primary resistance to cetuximab within a quadruple WT population (KRAS, NRAS, BRAF, and PIK3CA wild type) of immune-compromised mice (xenopatients) transplanted with fragments of CRC samples from </w:t>
      </w:r>
      <w:r w:rsidR="00363A1A" w:rsidRPr="00EE48E2">
        <w:rPr>
          <w:rFonts w:ascii="Book Antiqua" w:hAnsi="Book Antiqua"/>
          <w:sz w:val="24"/>
          <w:szCs w:val="24"/>
          <w:lang w:val="en-GB"/>
        </w:rPr>
        <w:lastRenderedPageBreak/>
        <w:t>patients. Firstly</w:t>
      </w:r>
      <w:r w:rsidR="009F2F33" w:rsidRPr="00EE48E2">
        <w:rPr>
          <w:rFonts w:ascii="Book Antiqua" w:hAnsi="Book Antiqua"/>
          <w:sz w:val="24"/>
          <w:szCs w:val="24"/>
          <w:lang w:val="en-GB"/>
        </w:rPr>
        <w:t>,</w:t>
      </w:r>
      <w:r w:rsidR="00363A1A" w:rsidRPr="00EE48E2">
        <w:rPr>
          <w:rFonts w:ascii="Book Antiqua" w:hAnsi="Book Antiqua"/>
          <w:sz w:val="24"/>
          <w:szCs w:val="24"/>
          <w:lang w:val="en-GB"/>
        </w:rPr>
        <w:t xml:space="preserve"> the authors observed that HER2 was amplified only in a small percentage (2%–3%) of genetically unselected CRC patients. However</w:t>
      </w:r>
      <w:r w:rsidR="009F2F33" w:rsidRPr="00EE48E2">
        <w:rPr>
          <w:rFonts w:ascii="Book Antiqua" w:hAnsi="Book Antiqua"/>
          <w:sz w:val="24"/>
          <w:szCs w:val="24"/>
          <w:lang w:val="en-GB"/>
        </w:rPr>
        <w:t>,</w:t>
      </w:r>
      <w:r w:rsidR="00363A1A" w:rsidRPr="00EE48E2">
        <w:rPr>
          <w:rFonts w:ascii="Book Antiqua" w:hAnsi="Book Antiqua"/>
          <w:sz w:val="24"/>
          <w:szCs w:val="24"/>
          <w:lang w:val="en-GB"/>
        </w:rPr>
        <w:t xml:space="preserve"> a greater frequency of HER2 amplification was observed in KRAS WT patients resistant to cetuximab (13.6%) and in up to 36% of xenopatients in the subset of quadruple wild-type</w:t>
      </w:r>
      <w:r w:rsidR="009F2F33" w:rsidRPr="00EE48E2">
        <w:rPr>
          <w:rFonts w:ascii="Book Antiqua" w:hAnsi="Book Antiqua"/>
          <w:sz w:val="24"/>
          <w:szCs w:val="24"/>
          <w:lang w:val="en-GB"/>
        </w:rPr>
        <w:t>,</w:t>
      </w:r>
      <w:r w:rsidR="00363A1A" w:rsidRPr="00EE48E2">
        <w:rPr>
          <w:rFonts w:ascii="Book Antiqua" w:hAnsi="Book Antiqua"/>
          <w:sz w:val="24"/>
          <w:szCs w:val="24"/>
          <w:lang w:val="en-GB"/>
        </w:rPr>
        <w:t xml:space="preserve"> in which treatment with cetuximab was ineffective. The authors also envisioned a possible role of HER2 as a positive predictor of response to HER2-targeting agents in CRC. Hence</w:t>
      </w:r>
      <w:r w:rsidR="009F2F33" w:rsidRPr="00EE48E2">
        <w:rPr>
          <w:rFonts w:ascii="Book Antiqua" w:hAnsi="Book Antiqua"/>
          <w:sz w:val="24"/>
          <w:szCs w:val="24"/>
          <w:lang w:val="en-GB"/>
        </w:rPr>
        <w:t>,</w:t>
      </w:r>
      <w:r w:rsidR="00363A1A" w:rsidRPr="00EE48E2">
        <w:rPr>
          <w:rFonts w:ascii="Book Antiqua" w:hAnsi="Book Antiqua"/>
          <w:sz w:val="24"/>
          <w:szCs w:val="24"/>
          <w:lang w:val="en-GB"/>
        </w:rPr>
        <w:t xml:space="preserve"> they performed a multiarm xenotrial demonstrating that the association of a dual EGFR/HER2 small molecule inhibitor (lapatinib) and cetuximab or pertuzumab, a monoclonal antibody directed against EGFR/HER2 heterodimer, </w:t>
      </w:r>
      <w:r w:rsidR="009F2F33" w:rsidRPr="00EE48E2">
        <w:rPr>
          <w:rFonts w:ascii="Book Antiqua" w:hAnsi="Book Antiqua"/>
          <w:sz w:val="24"/>
          <w:szCs w:val="24"/>
          <w:lang w:val="en-GB"/>
        </w:rPr>
        <w:t>was</w:t>
      </w:r>
      <w:r w:rsidR="00363A1A" w:rsidRPr="00EE48E2">
        <w:rPr>
          <w:rFonts w:ascii="Book Antiqua" w:hAnsi="Book Antiqua"/>
          <w:sz w:val="24"/>
          <w:szCs w:val="24"/>
          <w:lang w:val="en-GB"/>
        </w:rPr>
        <w:t xml:space="preserve"> active in the subset of cetuximab-resistant, quadruple-negative, HER2-amplified metastatic CRC xenopatients and </w:t>
      </w:r>
      <w:r w:rsidR="009F2F33" w:rsidRPr="00EE48E2">
        <w:rPr>
          <w:rFonts w:ascii="Book Antiqua" w:hAnsi="Book Antiqua"/>
          <w:sz w:val="24"/>
          <w:szCs w:val="24"/>
          <w:lang w:val="en-GB"/>
        </w:rPr>
        <w:t xml:space="preserve">was a </w:t>
      </w:r>
      <w:r w:rsidR="00363A1A" w:rsidRPr="00EE48E2">
        <w:rPr>
          <w:rFonts w:ascii="Book Antiqua" w:hAnsi="Book Antiqua"/>
          <w:sz w:val="24"/>
          <w:szCs w:val="24"/>
          <w:lang w:val="en-GB"/>
        </w:rPr>
        <w:t>feasible</w:t>
      </w:r>
      <w:r w:rsidR="009F2F33" w:rsidRPr="00EE48E2">
        <w:rPr>
          <w:rFonts w:ascii="Book Antiqua" w:hAnsi="Book Antiqua"/>
          <w:sz w:val="24"/>
          <w:szCs w:val="24"/>
          <w:lang w:val="en-GB"/>
        </w:rPr>
        <w:t xml:space="preserve"> combination</w:t>
      </w:r>
      <w:r w:rsidR="00363A1A" w:rsidRPr="00EE48E2">
        <w:rPr>
          <w:rFonts w:ascii="Book Antiqua" w:hAnsi="Book Antiqua"/>
          <w:sz w:val="24"/>
          <w:szCs w:val="24"/>
          <w:lang w:val="en-GB"/>
        </w:rPr>
        <w:t xml:space="preserve"> for clinical trials</w:t>
      </w:r>
      <w:r w:rsidR="00363A1A" w:rsidRPr="000854ED">
        <w:rPr>
          <w:rFonts w:ascii="Book Antiqua" w:hAnsi="Book Antiqua"/>
          <w:sz w:val="24"/>
          <w:szCs w:val="24"/>
          <w:vertAlign w:val="superscript"/>
          <w:lang w:val="en-GB"/>
        </w:rPr>
        <w:t>[</w:t>
      </w:r>
      <w:r w:rsidR="000854ED">
        <w:rPr>
          <w:rFonts w:ascii="Book Antiqua" w:hAnsi="Book Antiqua" w:hint="eastAsia"/>
          <w:sz w:val="24"/>
          <w:szCs w:val="24"/>
          <w:vertAlign w:val="superscript"/>
          <w:lang w:val="en-GB" w:eastAsia="zh-CN"/>
        </w:rPr>
        <w:t>19</w:t>
      </w:r>
      <w:r w:rsidR="00363A1A" w:rsidRPr="000854ED">
        <w:rPr>
          <w:rFonts w:ascii="Book Antiqua" w:hAnsi="Book Antiqua"/>
          <w:sz w:val="24"/>
          <w:szCs w:val="24"/>
          <w:vertAlign w:val="superscript"/>
          <w:lang w:val="en-GB"/>
        </w:rPr>
        <w:t>]</w:t>
      </w:r>
      <w:r w:rsidR="00363A1A" w:rsidRPr="00EE48E2">
        <w:rPr>
          <w:rFonts w:ascii="Book Antiqua" w:hAnsi="Book Antiqua"/>
          <w:sz w:val="24"/>
          <w:szCs w:val="24"/>
          <w:lang w:val="en-GB"/>
        </w:rPr>
        <w:t>. Based on th</w:t>
      </w:r>
      <w:r w:rsidR="009F2F33" w:rsidRPr="00EE48E2">
        <w:rPr>
          <w:rFonts w:ascii="Book Antiqua" w:hAnsi="Book Antiqua"/>
          <w:sz w:val="24"/>
          <w:szCs w:val="24"/>
          <w:lang w:val="en-GB"/>
        </w:rPr>
        <w:t>ese</w:t>
      </w:r>
      <w:r w:rsidR="00363A1A" w:rsidRPr="00EE48E2">
        <w:rPr>
          <w:rFonts w:ascii="Book Antiqua" w:hAnsi="Book Antiqua"/>
          <w:sz w:val="24"/>
          <w:szCs w:val="24"/>
          <w:lang w:val="en-GB"/>
        </w:rPr>
        <w:t xml:space="preserve"> findings, Siena and </w:t>
      </w:r>
      <w:r w:rsidR="006517F9" w:rsidRPr="00EE48E2">
        <w:rPr>
          <w:rFonts w:ascii="Book Antiqua" w:hAnsi="Book Antiqua"/>
          <w:sz w:val="24"/>
          <w:szCs w:val="24"/>
          <w:lang w:val="en-GB"/>
        </w:rPr>
        <w:t>colleagues</w:t>
      </w:r>
      <w:r w:rsidR="00363A1A" w:rsidRPr="00EE48E2">
        <w:rPr>
          <w:rFonts w:ascii="Book Antiqua" w:hAnsi="Book Antiqua"/>
          <w:sz w:val="24"/>
          <w:szCs w:val="24"/>
          <w:lang w:val="en-GB"/>
        </w:rPr>
        <w:t xml:space="preserve"> designed the HERACLES trial, a multi</w:t>
      </w:r>
      <w:r w:rsidR="00DB342E" w:rsidRPr="00EE48E2">
        <w:rPr>
          <w:rFonts w:ascii="Book Antiqua" w:hAnsi="Book Antiqua"/>
          <w:sz w:val="24"/>
          <w:szCs w:val="24"/>
          <w:lang w:val="en-GB"/>
        </w:rPr>
        <w:t xml:space="preserve">centre </w:t>
      </w:r>
      <w:r w:rsidR="00363A1A" w:rsidRPr="00EE48E2">
        <w:rPr>
          <w:rFonts w:ascii="Book Antiqua" w:hAnsi="Book Antiqua"/>
          <w:sz w:val="24"/>
          <w:szCs w:val="24"/>
          <w:lang w:val="en-GB"/>
        </w:rPr>
        <w:t>open-label phase II trial, assessing the response rate of trastuzumab combined with either lapatinib (cohort A) or pertuzumab (cohort B), in K-RAS exon 2 (codons 12 and 13) WT and HER2 amplified mCRC patients</w:t>
      </w:r>
      <w:r w:rsidR="009F2F33" w:rsidRPr="00EE48E2">
        <w:rPr>
          <w:rFonts w:ascii="Book Antiqua" w:hAnsi="Book Antiqua"/>
          <w:sz w:val="24"/>
          <w:szCs w:val="24"/>
          <w:lang w:val="en-GB"/>
        </w:rPr>
        <w:t xml:space="preserve"> who were</w:t>
      </w:r>
      <w:r w:rsidR="00363A1A" w:rsidRPr="00EE48E2">
        <w:rPr>
          <w:rFonts w:ascii="Book Antiqua" w:hAnsi="Book Antiqua"/>
          <w:sz w:val="24"/>
          <w:szCs w:val="24"/>
          <w:lang w:val="en-GB"/>
        </w:rPr>
        <w:t xml:space="preserve"> resistant to standard therapies</w:t>
      </w:r>
      <w:r w:rsidR="009F2F33" w:rsidRPr="00EE48E2">
        <w:rPr>
          <w:rFonts w:ascii="Book Antiqua" w:hAnsi="Book Antiqua"/>
          <w:sz w:val="24"/>
          <w:szCs w:val="24"/>
          <w:lang w:val="en-GB"/>
        </w:rPr>
        <w:t>,</w:t>
      </w:r>
      <w:r w:rsidR="00363A1A" w:rsidRPr="00EE48E2">
        <w:rPr>
          <w:rFonts w:ascii="Book Antiqua" w:hAnsi="Book Antiqua"/>
          <w:sz w:val="24"/>
          <w:szCs w:val="24"/>
          <w:lang w:val="en-GB"/>
        </w:rPr>
        <w:t xml:space="preserve"> including anti-EGFRs. To date</w:t>
      </w:r>
      <w:r w:rsidR="009F2F33" w:rsidRPr="00EE48E2">
        <w:rPr>
          <w:rFonts w:ascii="Book Antiqua" w:hAnsi="Book Antiqua"/>
          <w:sz w:val="24"/>
          <w:szCs w:val="24"/>
          <w:lang w:val="en-GB"/>
        </w:rPr>
        <w:t>,</w:t>
      </w:r>
      <w:r w:rsidR="00363A1A" w:rsidRPr="00EE48E2">
        <w:rPr>
          <w:rFonts w:ascii="Book Antiqua" w:hAnsi="Book Antiqua"/>
          <w:sz w:val="24"/>
          <w:szCs w:val="24"/>
          <w:lang w:val="en-GB"/>
        </w:rPr>
        <w:t xml:space="preserve"> the results from cohort A have been recently publishe</w:t>
      </w:r>
      <w:r w:rsidR="00DB342E" w:rsidRPr="00EE48E2">
        <w:rPr>
          <w:rFonts w:ascii="Book Antiqua" w:hAnsi="Book Antiqua"/>
          <w:sz w:val="24"/>
          <w:szCs w:val="24"/>
          <w:lang w:val="en-GB"/>
        </w:rPr>
        <w:t xml:space="preserve">d. </w:t>
      </w:r>
      <w:r w:rsidR="006517F9" w:rsidRPr="00EE48E2">
        <w:rPr>
          <w:rFonts w:ascii="Book Antiqua" w:hAnsi="Book Antiqua"/>
          <w:sz w:val="24"/>
          <w:szCs w:val="24"/>
          <w:lang w:val="en-GB"/>
        </w:rPr>
        <w:t xml:space="preserve">The authors reported a frequency of 5% (48 </w:t>
      </w:r>
      <w:r w:rsidR="001B49EF" w:rsidRPr="00EE48E2">
        <w:rPr>
          <w:rFonts w:ascii="Book Antiqua" w:hAnsi="Book Antiqua" w:hint="eastAsia"/>
          <w:sz w:val="24"/>
          <w:szCs w:val="24"/>
          <w:lang w:val="en-GB" w:eastAsia="zh-CN"/>
        </w:rPr>
        <w:t>patients</w:t>
      </w:r>
      <w:r w:rsidR="006517F9" w:rsidRPr="00EE48E2">
        <w:rPr>
          <w:rFonts w:ascii="Book Antiqua" w:hAnsi="Book Antiqua"/>
          <w:sz w:val="24"/>
          <w:szCs w:val="24"/>
          <w:lang w:val="en-GB"/>
        </w:rPr>
        <w:t xml:space="preserve">) of HER2-positive tumours among 914 patients screened for the trial. </w:t>
      </w:r>
      <w:r w:rsidR="00363A1A" w:rsidRPr="00EE48E2">
        <w:rPr>
          <w:rFonts w:ascii="Book Antiqua" w:hAnsi="Book Antiqua"/>
          <w:sz w:val="24"/>
          <w:szCs w:val="24"/>
          <w:lang w:val="en-GB"/>
        </w:rPr>
        <w:t xml:space="preserve">Of the 27 patients enrolled, eight (30%, </w:t>
      </w:r>
      <w:r w:rsidR="001B49EF" w:rsidRPr="00EE48E2">
        <w:rPr>
          <w:rFonts w:ascii="Book Antiqua" w:hAnsi="Book Antiqua"/>
          <w:sz w:val="24"/>
          <w:szCs w:val="24"/>
          <w:lang w:val="en-GB"/>
        </w:rPr>
        <w:t>95%CI:</w:t>
      </w:r>
      <w:r w:rsidR="00363A1A" w:rsidRPr="00EE48E2">
        <w:rPr>
          <w:rFonts w:ascii="Book Antiqua" w:hAnsi="Book Antiqua"/>
          <w:sz w:val="24"/>
          <w:szCs w:val="24"/>
          <w:lang w:val="en-GB"/>
        </w:rPr>
        <w:t xml:space="preserve"> 14–50) achieved an overall objective response</w:t>
      </w:r>
      <w:r w:rsidR="009F2F33" w:rsidRPr="00EE48E2">
        <w:rPr>
          <w:rFonts w:ascii="Book Antiqua" w:hAnsi="Book Antiqua"/>
          <w:sz w:val="24"/>
          <w:szCs w:val="24"/>
          <w:lang w:val="en-GB"/>
        </w:rPr>
        <w:t>,</w:t>
      </w:r>
      <w:r w:rsidR="00363A1A" w:rsidRPr="00EE48E2">
        <w:rPr>
          <w:rFonts w:ascii="Book Antiqua" w:hAnsi="Book Antiqua"/>
          <w:sz w:val="24"/>
          <w:szCs w:val="24"/>
          <w:lang w:val="en-GB"/>
        </w:rPr>
        <w:t xml:space="preserve"> and the median duration of the responses </w:t>
      </w:r>
      <w:r w:rsidR="009F2F33" w:rsidRPr="00EE48E2">
        <w:rPr>
          <w:rFonts w:ascii="Book Antiqua" w:hAnsi="Book Antiqua"/>
          <w:sz w:val="24"/>
          <w:szCs w:val="24"/>
          <w:lang w:val="en-GB"/>
        </w:rPr>
        <w:t xml:space="preserve">was </w:t>
      </w:r>
      <w:r w:rsidR="00363A1A" w:rsidRPr="00EE48E2">
        <w:rPr>
          <w:rFonts w:ascii="Book Antiqua" w:hAnsi="Book Antiqua"/>
          <w:sz w:val="24"/>
          <w:szCs w:val="24"/>
          <w:lang w:val="en-GB"/>
        </w:rPr>
        <w:t xml:space="preserve">38 weeks. Median progression-free survival was 21 </w:t>
      </w:r>
      <w:r w:rsidR="001B49EF" w:rsidRPr="00EE48E2">
        <w:rPr>
          <w:rFonts w:ascii="Book Antiqua" w:hAnsi="Book Antiqua" w:hint="eastAsia"/>
          <w:sz w:val="24"/>
          <w:szCs w:val="24"/>
          <w:lang w:val="en-GB" w:eastAsia="zh-CN"/>
        </w:rPr>
        <w:t>wk</w:t>
      </w:r>
      <w:r w:rsidR="00363A1A" w:rsidRPr="00EE48E2">
        <w:rPr>
          <w:rFonts w:ascii="Book Antiqua" w:hAnsi="Book Antiqua"/>
          <w:sz w:val="24"/>
          <w:szCs w:val="24"/>
          <w:lang w:val="en-GB"/>
        </w:rPr>
        <w:t xml:space="preserve"> (</w:t>
      </w:r>
      <w:r w:rsidR="001B49EF" w:rsidRPr="00EE48E2">
        <w:rPr>
          <w:rFonts w:ascii="Book Antiqua" w:hAnsi="Book Antiqua"/>
          <w:sz w:val="24"/>
          <w:szCs w:val="24"/>
          <w:lang w:val="en-GB"/>
        </w:rPr>
        <w:t>95%CI:</w:t>
      </w:r>
      <w:r w:rsidR="00363A1A" w:rsidRPr="00EE48E2">
        <w:rPr>
          <w:rFonts w:ascii="Book Antiqua" w:hAnsi="Book Antiqua"/>
          <w:sz w:val="24"/>
          <w:szCs w:val="24"/>
          <w:lang w:val="en-GB"/>
        </w:rPr>
        <w:t xml:space="preserve"> 16–32)</w:t>
      </w:r>
      <w:r w:rsidR="009F2F33" w:rsidRPr="00EE48E2">
        <w:rPr>
          <w:rFonts w:ascii="Book Antiqua" w:hAnsi="Book Antiqua"/>
          <w:sz w:val="24"/>
          <w:szCs w:val="24"/>
          <w:lang w:val="en-GB"/>
        </w:rPr>
        <w:t>,</w:t>
      </w:r>
      <w:r w:rsidR="00363A1A" w:rsidRPr="00EE48E2">
        <w:rPr>
          <w:rFonts w:ascii="Book Antiqua" w:hAnsi="Book Antiqua"/>
          <w:sz w:val="24"/>
          <w:szCs w:val="24"/>
          <w:lang w:val="en-GB"/>
        </w:rPr>
        <w:t xml:space="preserve"> while median overall survival calculated post hoc was 46 </w:t>
      </w:r>
      <w:r w:rsidR="001B49EF" w:rsidRPr="00EE48E2">
        <w:rPr>
          <w:rFonts w:ascii="Book Antiqua" w:hAnsi="Book Antiqua" w:hint="eastAsia"/>
          <w:sz w:val="24"/>
          <w:szCs w:val="24"/>
          <w:lang w:val="en-GB" w:eastAsia="zh-CN"/>
        </w:rPr>
        <w:t>wk</w:t>
      </w:r>
      <w:r w:rsidR="00363A1A" w:rsidRPr="00EE48E2">
        <w:rPr>
          <w:rFonts w:ascii="Book Antiqua" w:hAnsi="Book Antiqua"/>
          <w:sz w:val="24"/>
          <w:szCs w:val="24"/>
          <w:lang w:val="en-GB"/>
        </w:rPr>
        <w:t xml:space="preserve"> (</w:t>
      </w:r>
      <w:r w:rsidR="001B49EF" w:rsidRPr="00EE48E2">
        <w:rPr>
          <w:rFonts w:ascii="Book Antiqua" w:hAnsi="Book Antiqua"/>
          <w:sz w:val="24"/>
          <w:szCs w:val="24"/>
          <w:lang w:val="en-GB"/>
        </w:rPr>
        <w:t>95%CI:</w:t>
      </w:r>
      <w:r w:rsidR="00363A1A" w:rsidRPr="00EE48E2">
        <w:rPr>
          <w:rFonts w:ascii="Book Antiqua" w:hAnsi="Book Antiqua"/>
          <w:sz w:val="24"/>
          <w:szCs w:val="24"/>
          <w:lang w:val="en-GB"/>
        </w:rPr>
        <w:t xml:space="preserve"> 33–68). The authors reported that responses were significantly more common in tumours with high HER2 gene copy number. </w:t>
      </w:r>
      <w:r w:rsidR="00DB342E" w:rsidRPr="00EE48E2">
        <w:rPr>
          <w:rFonts w:ascii="Book Antiqua" w:hAnsi="Book Antiqua"/>
          <w:sz w:val="24"/>
          <w:szCs w:val="24"/>
          <w:lang w:val="en-GB"/>
        </w:rPr>
        <w:t>Additionally,</w:t>
      </w:r>
      <w:r w:rsidR="00363A1A" w:rsidRPr="00EE48E2">
        <w:rPr>
          <w:rFonts w:ascii="Book Antiqua" w:hAnsi="Book Antiqua"/>
          <w:sz w:val="24"/>
          <w:szCs w:val="24"/>
          <w:lang w:val="en-GB"/>
        </w:rPr>
        <w:t xml:space="preserve"> the PFS was longer in this population. Finally</w:t>
      </w:r>
      <w:r w:rsidR="009F2F33" w:rsidRPr="00EE48E2">
        <w:rPr>
          <w:rFonts w:ascii="Book Antiqua" w:hAnsi="Book Antiqua"/>
          <w:sz w:val="24"/>
          <w:szCs w:val="24"/>
          <w:lang w:val="en-GB"/>
        </w:rPr>
        <w:t>,</w:t>
      </w:r>
      <w:r w:rsidR="00363A1A" w:rsidRPr="00EE48E2">
        <w:rPr>
          <w:rFonts w:ascii="Book Antiqua" w:hAnsi="Book Antiqua"/>
          <w:sz w:val="24"/>
          <w:szCs w:val="24"/>
          <w:lang w:val="en-GB"/>
        </w:rPr>
        <w:t xml:space="preserve"> the combination was well tolerated, with most toxic effects being grade 1 or 2. To date</w:t>
      </w:r>
      <w:r w:rsidR="009F2F33" w:rsidRPr="00EE48E2">
        <w:rPr>
          <w:rFonts w:ascii="Book Antiqua" w:hAnsi="Book Antiqua"/>
          <w:sz w:val="24"/>
          <w:szCs w:val="24"/>
          <w:lang w:val="en-GB"/>
        </w:rPr>
        <w:t>,</w:t>
      </w:r>
      <w:r w:rsidR="00363A1A" w:rsidRPr="00EE48E2">
        <w:rPr>
          <w:rFonts w:ascii="Book Antiqua" w:hAnsi="Book Antiqua"/>
          <w:sz w:val="24"/>
          <w:szCs w:val="24"/>
          <w:lang w:val="en-GB"/>
        </w:rPr>
        <w:t xml:space="preserve"> HER2 is the first druggable target in mCRC that has </w:t>
      </w:r>
      <w:r w:rsidR="009F2F33" w:rsidRPr="00EE48E2">
        <w:rPr>
          <w:rFonts w:ascii="Book Antiqua" w:hAnsi="Book Antiqua"/>
          <w:sz w:val="24"/>
          <w:szCs w:val="24"/>
          <w:lang w:val="en-GB"/>
        </w:rPr>
        <w:t xml:space="preserve">been </w:t>
      </w:r>
      <w:r w:rsidR="00363A1A" w:rsidRPr="00EE48E2">
        <w:rPr>
          <w:rFonts w:ascii="Book Antiqua" w:hAnsi="Book Antiqua"/>
          <w:sz w:val="24"/>
          <w:szCs w:val="24"/>
          <w:lang w:val="en-GB"/>
        </w:rPr>
        <w:t>show</w:t>
      </w:r>
      <w:r w:rsidR="009F2F33" w:rsidRPr="00EE48E2">
        <w:rPr>
          <w:rFonts w:ascii="Book Antiqua" w:hAnsi="Book Antiqua"/>
          <w:sz w:val="24"/>
          <w:szCs w:val="24"/>
          <w:lang w:val="en-GB"/>
        </w:rPr>
        <w:t>n</w:t>
      </w:r>
      <w:r w:rsidR="00363A1A" w:rsidRPr="00EE48E2">
        <w:rPr>
          <w:rFonts w:ascii="Book Antiqua" w:hAnsi="Book Antiqua"/>
          <w:sz w:val="24"/>
          <w:szCs w:val="24"/>
          <w:lang w:val="en-GB"/>
        </w:rPr>
        <w:t xml:space="preserve"> to be a good predictor of response to targeted treatments</w:t>
      </w:r>
      <w:r w:rsidR="00363A1A" w:rsidRPr="00EE48E2">
        <w:rPr>
          <w:rFonts w:ascii="Book Antiqua" w:hAnsi="Book Antiqua"/>
          <w:sz w:val="24"/>
          <w:szCs w:val="24"/>
          <w:vertAlign w:val="superscript"/>
          <w:lang w:val="en-GB"/>
        </w:rPr>
        <w:t>[</w:t>
      </w:r>
      <w:r w:rsidR="00AF249E">
        <w:rPr>
          <w:rFonts w:ascii="Book Antiqua" w:hAnsi="Book Antiqua" w:hint="eastAsia"/>
          <w:sz w:val="24"/>
          <w:szCs w:val="24"/>
          <w:vertAlign w:val="superscript"/>
          <w:lang w:val="en-GB" w:eastAsia="zh-CN"/>
        </w:rPr>
        <w:t>99</w:t>
      </w:r>
      <w:r w:rsidR="00363A1A" w:rsidRPr="00EE48E2">
        <w:rPr>
          <w:rFonts w:ascii="Book Antiqua" w:hAnsi="Book Antiqua"/>
          <w:sz w:val="24"/>
          <w:szCs w:val="24"/>
          <w:vertAlign w:val="superscript"/>
          <w:lang w:val="en-GB"/>
        </w:rPr>
        <w:t>]</w:t>
      </w:r>
      <w:r w:rsidR="00A07480" w:rsidRPr="00EE48E2">
        <w:rPr>
          <w:rFonts w:ascii="Book Antiqua" w:hAnsi="Book Antiqua"/>
          <w:sz w:val="24"/>
          <w:szCs w:val="24"/>
          <w:lang w:val="en-GB"/>
        </w:rPr>
        <w:t>.</w:t>
      </w:r>
    </w:p>
    <w:p w14:paraId="18CEDFBB" w14:textId="3ECC1A38" w:rsidR="00363A1A" w:rsidRPr="00EE48E2" w:rsidRDefault="00EE48E2" w:rsidP="004D1833">
      <w:pPr>
        <w:adjustRightInd w:val="0"/>
        <w:snapToGrid w:val="0"/>
        <w:spacing w:after="0" w:line="360" w:lineRule="auto"/>
        <w:jc w:val="both"/>
        <w:rPr>
          <w:rFonts w:ascii="Book Antiqua" w:hAnsi="Book Antiqua"/>
          <w:sz w:val="24"/>
          <w:szCs w:val="24"/>
          <w:lang w:val="en-GB"/>
        </w:rPr>
      </w:pPr>
      <w:r w:rsidRPr="00EE48E2">
        <w:rPr>
          <w:rFonts w:ascii="Book Antiqua" w:hAnsi="Book Antiqua"/>
          <w:sz w:val="24"/>
          <w:szCs w:val="24"/>
          <w:lang w:val="en-GB"/>
        </w:rPr>
        <w:t xml:space="preserve"> </w:t>
      </w:r>
      <w:r w:rsidR="001B49EF" w:rsidRPr="00EE48E2">
        <w:rPr>
          <w:rFonts w:ascii="Book Antiqua" w:hAnsi="Book Antiqua" w:hint="eastAsia"/>
          <w:sz w:val="24"/>
          <w:szCs w:val="24"/>
          <w:lang w:val="en-GB" w:eastAsia="zh-CN"/>
        </w:rPr>
        <w:t xml:space="preserve"> </w:t>
      </w:r>
      <w:r w:rsidR="00363A1A" w:rsidRPr="00EE48E2">
        <w:rPr>
          <w:rFonts w:ascii="Book Antiqua" w:hAnsi="Book Antiqua"/>
          <w:sz w:val="24"/>
          <w:szCs w:val="24"/>
          <w:lang w:val="en-GB"/>
        </w:rPr>
        <w:t xml:space="preserve">Data published by Yonesaka and colleagues demonstrated the role of HER2 </w:t>
      </w:r>
      <w:r w:rsidR="00DB342E" w:rsidRPr="00EE48E2">
        <w:rPr>
          <w:rFonts w:ascii="Book Antiqua" w:hAnsi="Book Antiqua"/>
          <w:sz w:val="24"/>
          <w:szCs w:val="24"/>
          <w:lang w:val="en-GB"/>
        </w:rPr>
        <w:t xml:space="preserve">signalling </w:t>
      </w:r>
      <w:r w:rsidR="00363A1A" w:rsidRPr="00EE48E2">
        <w:rPr>
          <w:rFonts w:ascii="Book Antiqua" w:hAnsi="Book Antiqua"/>
          <w:sz w:val="24"/>
          <w:szCs w:val="24"/>
          <w:lang w:val="en-GB"/>
        </w:rPr>
        <w:t>in the context of acquired resistance to anti-EGFR moAbs. Moreover</w:t>
      </w:r>
      <w:r w:rsidR="00D7282E" w:rsidRPr="00EE48E2">
        <w:rPr>
          <w:rFonts w:ascii="Book Antiqua" w:hAnsi="Book Antiqua"/>
          <w:sz w:val="24"/>
          <w:szCs w:val="24"/>
          <w:lang w:val="en-GB"/>
        </w:rPr>
        <w:t>,</w:t>
      </w:r>
      <w:r w:rsidR="00363A1A" w:rsidRPr="00EE48E2">
        <w:rPr>
          <w:rFonts w:ascii="Book Antiqua" w:hAnsi="Book Antiqua"/>
          <w:sz w:val="24"/>
          <w:szCs w:val="24"/>
          <w:lang w:val="en-GB"/>
        </w:rPr>
        <w:t xml:space="preserve"> they reported that hyper-activation of HER2 </w:t>
      </w:r>
      <w:r w:rsidR="00DB342E" w:rsidRPr="00EE48E2">
        <w:rPr>
          <w:rFonts w:ascii="Book Antiqua" w:hAnsi="Book Antiqua"/>
          <w:sz w:val="24"/>
          <w:szCs w:val="24"/>
          <w:lang w:val="en-GB"/>
        </w:rPr>
        <w:t xml:space="preserve">signalling </w:t>
      </w:r>
      <w:r w:rsidR="00363A1A" w:rsidRPr="00EE48E2">
        <w:rPr>
          <w:rFonts w:ascii="Book Antiqua" w:hAnsi="Book Antiqua"/>
          <w:sz w:val="24"/>
          <w:szCs w:val="24"/>
          <w:lang w:val="en-GB"/>
        </w:rPr>
        <w:t>was not only led by HER2 amplification</w:t>
      </w:r>
      <w:r w:rsidR="00DB342E" w:rsidRPr="00EE48E2">
        <w:rPr>
          <w:rFonts w:ascii="Book Antiqua" w:hAnsi="Book Antiqua"/>
          <w:sz w:val="24"/>
          <w:szCs w:val="24"/>
          <w:lang w:val="en-GB"/>
        </w:rPr>
        <w:t xml:space="preserve"> but also</w:t>
      </w:r>
      <w:r w:rsidR="00363A1A" w:rsidRPr="00EE48E2">
        <w:rPr>
          <w:rFonts w:ascii="Book Antiqua" w:hAnsi="Book Antiqua"/>
          <w:sz w:val="24"/>
          <w:szCs w:val="24"/>
          <w:lang w:val="en-GB"/>
        </w:rPr>
        <w:t xml:space="preserve"> through the overproduction of heregulin, an HER3 ligand. Using resistant clones from cetuximab-sensitive cell lines, as well as plasma and tissue samples from cetuximab-treated mCRC patients, the authors found that patients with acquired resistance to cetuximab had an increased percentage of HER2 amplification in post-treatment samples </w:t>
      </w:r>
      <w:r w:rsidR="00363A1A" w:rsidRPr="00EE48E2">
        <w:rPr>
          <w:rFonts w:ascii="Book Antiqua" w:hAnsi="Book Antiqua"/>
          <w:sz w:val="24"/>
          <w:szCs w:val="24"/>
          <w:lang w:val="en-GB"/>
        </w:rPr>
        <w:lastRenderedPageBreak/>
        <w:t xml:space="preserve">(71%) compared to the proportion present in pretreatment </w:t>
      </w:r>
      <w:r w:rsidR="00866858" w:rsidRPr="00EE48E2">
        <w:rPr>
          <w:rFonts w:ascii="Book Antiqua" w:hAnsi="Book Antiqua"/>
          <w:sz w:val="24"/>
          <w:szCs w:val="24"/>
          <w:lang w:val="en-GB"/>
        </w:rPr>
        <w:t>tumour</w:t>
      </w:r>
      <w:r w:rsidR="00363A1A" w:rsidRPr="00EE48E2">
        <w:rPr>
          <w:rFonts w:ascii="Book Antiqua" w:hAnsi="Book Antiqua"/>
          <w:sz w:val="24"/>
          <w:szCs w:val="24"/>
          <w:lang w:val="en-GB"/>
        </w:rPr>
        <w:t xml:space="preserve"> cells (14%). In the same way</w:t>
      </w:r>
      <w:r w:rsidR="00D7282E" w:rsidRPr="00EE48E2">
        <w:rPr>
          <w:rFonts w:ascii="Book Antiqua" w:hAnsi="Book Antiqua"/>
          <w:sz w:val="24"/>
          <w:szCs w:val="24"/>
          <w:lang w:val="en-GB"/>
        </w:rPr>
        <w:t>,</w:t>
      </w:r>
      <w:r w:rsidR="00363A1A" w:rsidRPr="00EE48E2">
        <w:rPr>
          <w:rFonts w:ascii="Book Antiqua" w:hAnsi="Book Antiqua"/>
          <w:sz w:val="24"/>
          <w:szCs w:val="24"/>
          <w:lang w:val="en-GB"/>
        </w:rPr>
        <w:t xml:space="preserve"> heregulin levels in plasma and </w:t>
      </w:r>
      <w:r w:rsidR="00866858" w:rsidRPr="00EE48E2">
        <w:rPr>
          <w:rFonts w:ascii="Book Antiqua" w:hAnsi="Book Antiqua"/>
          <w:sz w:val="24"/>
          <w:szCs w:val="24"/>
          <w:lang w:val="en-GB"/>
        </w:rPr>
        <w:t>tumour</w:t>
      </w:r>
      <w:r w:rsidR="00363A1A" w:rsidRPr="00EE48E2">
        <w:rPr>
          <w:rFonts w:ascii="Book Antiqua" w:hAnsi="Book Antiqua"/>
          <w:sz w:val="24"/>
          <w:szCs w:val="24"/>
          <w:lang w:val="en-GB"/>
        </w:rPr>
        <w:t xml:space="preserve"> samples were significantly higher in patients </w:t>
      </w:r>
      <w:r w:rsidR="00D7282E" w:rsidRPr="00EE48E2">
        <w:rPr>
          <w:rFonts w:ascii="Book Antiqua" w:hAnsi="Book Antiqua"/>
          <w:sz w:val="24"/>
          <w:szCs w:val="24"/>
          <w:lang w:val="en-GB"/>
        </w:rPr>
        <w:t>who</w:t>
      </w:r>
      <w:r w:rsidR="00363A1A" w:rsidRPr="00EE48E2">
        <w:rPr>
          <w:rFonts w:ascii="Book Antiqua" w:hAnsi="Book Antiqua"/>
          <w:sz w:val="24"/>
          <w:szCs w:val="24"/>
          <w:lang w:val="en-GB"/>
        </w:rPr>
        <w:t xml:space="preserve"> experienced a disease progression on anti-EGFR therapy. This indicates that enhanced HER2 </w:t>
      </w:r>
      <w:r w:rsidR="00DB342E" w:rsidRPr="00EE48E2">
        <w:rPr>
          <w:rFonts w:ascii="Book Antiqua" w:hAnsi="Book Antiqua"/>
          <w:sz w:val="24"/>
          <w:szCs w:val="24"/>
          <w:lang w:val="en-GB"/>
        </w:rPr>
        <w:t xml:space="preserve">signalling </w:t>
      </w:r>
      <w:r w:rsidR="00363A1A" w:rsidRPr="00EE48E2">
        <w:rPr>
          <w:rFonts w:ascii="Book Antiqua" w:hAnsi="Book Antiqua"/>
          <w:sz w:val="24"/>
          <w:szCs w:val="24"/>
          <w:lang w:val="en-GB"/>
        </w:rPr>
        <w:t xml:space="preserve">confers not only primary but also acquired resistance to anti-EGFR moAbs by leading to persistent activation of ERK </w:t>
      </w:r>
      <w:r w:rsidR="00DB342E" w:rsidRPr="00EE48E2">
        <w:rPr>
          <w:rFonts w:ascii="Book Antiqua" w:hAnsi="Book Antiqua"/>
          <w:sz w:val="24"/>
          <w:szCs w:val="24"/>
          <w:lang w:val="en-GB"/>
        </w:rPr>
        <w:t>signalling</w:t>
      </w:r>
      <w:r w:rsidR="00363A1A" w:rsidRPr="00EE48E2">
        <w:rPr>
          <w:rFonts w:ascii="Book Antiqua" w:hAnsi="Book Antiqua"/>
          <w:sz w:val="24"/>
          <w:szCs w:val="24"/>
          <w:vertAlign w:val="superscript"/>
          <w:lang w:val="en-GB"/>
        </w:rPr>
        <w:t>[</w:t>
      </w:r>
      <w:r w:rsidR="00AF249E">
        <w:rPr>
          <w:rFonts w:ascii="Book Antiqua" w:hAnsi="Book Antiqua" w:hint="eastAsia"/>
          <w:sz w:val="24"/>
          <w:szCs w:val="24"/>
          <w:vertAlign w:val="superscript"/>
          <w:lang w:val="en-GB" w:eastAsia="zh-CN"/>
        </w:rPr>
        <w:t>99</w:t>
      </w:r>
      <w:r w:rsidR="00363A1A" w:rsidRPr="00EE48E2">
        <w:rPr>
          <w:rFonts w:ascii="Book Antiqua" w:hAnsi="Book Antiqua"/>
          <w:sz w:val="24"/>
          <w:szCs w:val="24"/>
          <w:vertAlign w:val="superscript"/>
          <w:lang w:val="en-GB"/>
        </w:rPr>
        <w:t>]</w:t>
      </w:r>
      <w:r w:rsidR="00A07480" w:rsidRPr="00EE48E2">
        <w:rPr>
          <w:rFonts w:ascii="Book Antiqua" w:hAnsi="Book Antiqua"/>
          <w:sz w:val="24"/>
          <w:szCs w:val="24"/>
          <w:lang w:val="en-GB"/>
        </w:rPr>
        <w:t>.</w:t>
      </w:r>
    </w:p>
    <w:p w14:paraId="5369BFC8" w14:textId="1B93BFE9" w:rsidR="00363A1A" w:rsidRPr="00EE48E2" w:rsidRDefault="00EE48E2" w:rsidP="004D1833">
      <w:pPr>
        <w:adjustRightInd w:val="0"/>
        <w:snapToGrid w:val="0"/>
        <w:spacing w:after="0" w:line="360" w:lineRule="auto"/>
        <w:jc w:val="both"/>
        <w:rPr>
          <w:rFonts w:ascii="Book Antiqua" w:hAnsi="Book Antiqua"/>
          <w:sz w:val="24"/>
          <w:szCs w:val="24"/>
          <w:lang w:val="en-GB"/>
        </w:rPr>
      </w:pPr>
      <w:r w:rsidRPr="00EE48E2">
        <w:rPr>
          <w:rFonts w:ascii="Book Antiqua" w:hAnsi="Book Antiqua"/>
          <w:sz w:val="24"/>
          <w:szCs w:val="24"/>
          <w:lang w:val="en-GB"/>
        </w:rPr>
        <w:t xml:space="preserve">  </w:t>
      </w:r>
      <w:r w:rsidR="00363A1A" w:rsidRPr="00EE48E2">
        <w:rPr>
          <w:rFonts w:ascii="Book Antiqua" w:hAnsi="Book Antiqua"/>
          <w:sz w:val="24"/>
          <w:szCs w:val="24"/>
          <w:lang w:val="en-GB"/>
        </w:rPr>
        <w:t>A</w:t>
      </w:r>
      <w:r w:rsidR="00D7282E" w:rsidRPr="00EE48E2">
        <w:rPr>
          <w:rFonts w:ascii="Book Antiqua" w:hAnsi="Book Antiqua"/>
          <w:sz w:val="24"/>
          <w:szCs w:val="24"/>
          <w:lang w:val="en-GB"/>
        </w:rPr>
        <w:t>dditionally,</w:t>
      </w:r>
      <w:r w:rsidR="00363A1A" w:rsidRPr="00EE48E2">
        <w:rPr>
          <w:rFonts w:ascii="Book Antiqua" w:hAnsi="Book Antiqua"/>
          <w:sz w:val="24"/>
          <w:szCs w:val="24"/>
          <w:lang w:val="en-GB"/>
        </w:rPr>
        <w:t xml:space="preserve"> HER3 has been described to have a role as a potential biomarker of resistance to anti-EGFR treatments. In a cohort of metastatic CRC patients treated in second- or third-line </w:t>
      </w:r>
      <w:r w:rsidR="00D7282E" w:rsidRPr="00EE48E2">
        <w:rPr>
          <w:rFonts w:ascii="Book Antiqua" w:hAnsi="Book Antiqua"/>
          <w:sz w:val="24"/>
          <w:szCs w:val="24"/>
          <w:lang w:val="en-GB"/>
        </w:rPr>
        <w:t xml:space="preserve">therapy </w:t>
      </w:r>
      <w:r w:rsidR="00363A1A" w:rsidRPr="00EE48E2">
        <w:rPr>
          <w:rFonts w:ascii="Book Antiqua" w:hAnsi="Book Antiqua"/>
          <w:sz w:val="24"/>
          <w:szCs w:val="24"/>
          <w:lang w:val="en-GB"/>
        </w:rPr>
        <w:t>with irinotecan and cetuximab, HER3 overexpression was associated with shorter PFS and OS</w:t>
      </w:r>
      <w:r w:rsidR="00363A1A" w:rsidRPr="00EE48E2">
        <w:rPr>
          <w:rFonts w:ascii="Book Antiqua" w:hAnsi="Book Antiqua"/>
          <w:sz w:val="24"/>
          <w:szCs w:val="24"/>
          <w:vertAlign w:val="superscript"/>
          <w:lang w:val="en-GB"/>
        </w:rPr>
        <w:t>[10</w:t>
      </w:r>
      <w:r w:rsidR="00AF249E">
        <w:rPr>
          <w:rFonts w:ascii="Book Antiqua" w:hAnsi="Book Antiqua" w:hint="eastAsia"/>
          <w:sz w:val="24"/>
          <w:szCs w:val="24"/>
          <w:vertAlign w:val="superscript"/>
          <w:lang w:val="en-GB" w:eastAsia="zh-CN"/>
        </w:rPr>
        <w:t>1</w:t>
      </w:r>
      <w:r w:rsidR="00363A1A" w:rsidRPr="00EE48E2">
        <w:rPr>
          <w:rFonts w:ascii="Book Antiqua" w:hAnsi="Book Antiqua"/>
          <w:sz w:val="24"/>
          <w:szCs w:val="24"/>
          <w:vertAlign w:val="superscript"/>
          <w:lang w:val="en-GB"/>
        </w:rPr>
        <w:t>]</w:t>
      </w:r>
      <w:r w:rsidR="00A07480" w:rsidRPr="00EE48E2">
        <w:rPr>
          <w:rFonts w:ascii="Book Antiqua" w:hAnsi="Book Antiqua"/>
          <w:sz w:val="24"/>
          <w:szCs w:val="24"/>
          <w:lang w:val="en-GB"/>
        </w:rPr>
        <w:t>.</w:t>
      </w:r>
      <w:r w:rsidR="00363A1A" w:rsidRPr="00EE48E2">
        <w:rPr>
          <w:rFonts w:ascii="Book Antiqua" w:hAnsi="Book Antiqua"/>
          <w:sz w:val="24"/>
          <w:szCs w:val="24"/>
          <w:lang w:val="en-GB"/>
        </w:rPr>
        <w:t xml:space="preserve"> Moreover</w:t>
      </w:r>
      <w:r w:rsidR="00D7282E" w:rsidRPr="00EE48E2">
        <w:rPr>
          <w:rFonts w:ascii="Book Antiqua" w:hAnsi="Book Antiqua"/>
          <w:sz w:val="24"/>
          <w:szCs w:val="24"/>
          <w:lang w:val="en-GB"/>
        </w:rPr>
        <w:t>,</w:t>
      </w:r>
      <w:r w:rsidR="00363A1A" w:rsidRPr="00EE48E2">
        <w:rPr>
          <w:rFonts w:ascii="Book Antiqua" w:hAnsi="Book Antiqua"/>
          <w:sz w:val="24"/>
          <w:szCs w:val="24"/>
          <w:lang w:val="en-GB"/>
        </w:rPr>
        <w:t xml:space="preserve"> HER3 has been found mutated in</w:t>
      </w:r>
      <w:r w:rsidR="00DB342E" w:rsidRPr="00EE48E2">
        <w:rPr>
          <w:rFonts w:ascii="Book Antiqua" w:hAnsi="Book Antiqua"/>
          <w:sz w:val="24"/>
          <w:szCs w:val="24"/>
          <w:lang w:val="en-GB"/>
        </w:rPr>
        <w:t xml:space="preserve"> approximately 1</w:t>
      </w:r>
      <w:r w:rsidR="00363A1A" w:rsidRPr="00EE48E2">
        <w:rPr>
          <w:rFonts w:ascii="Book Antiqua" w:hAnsi="Book Antiqua"/>
          <w:sz w:val="24"/>
          <w:szCs w:val="24"/>
          <w:lang w:val="en-GB"/>
        </w:rPr>
        <w:t>1% of CRC patients, and these mutations, even if HER2 is not amplified, may limit the responsiveness to EGFR inhibitors</w:t>
      </w:r>
      <w:r w:rsidR="00363A1A" w:rsidRPr="00EE48E2">
        <w:rPr>
          <w:rFonts w:ascii="Book Antiqua" w:hAnsi="Book Antiqua"/>
          <w:sz w:val="24"/>
          <w:szCs w:val="24"/>
          <w:vertAlign w:val="superscript"/>
          <w:lang w:val="en-GB"/>
        </w:rPr>
        <w:t>[10</w:t>
      </w:r>
      <w:r w:rsidR="00AF249E">
        <w:rPr>
          <w:rFonts w:ascii="Book Antiqua" w:hAnsi="Book Antiqua" w:hint="eastAsia"/>
          <w:sz w:val="24"/>
          <w:szCs w:val="24"/>
          <w:vertAlign w:val="superscript"/>
          <w:lang w:val="en-GB" w:eastAsia="zh-CN"/>
        </w:rPr>
        <w:t>2</w:t>
      </w:r>
      <w:r w:rsidR="00363A1A" w:rsidRPr="00EE48E2">
        <w:rPr>
          <w:rFonts w:ascii="Book Antiqua" w:hAnsi="Book Antiqua"/>
          <w:sz w:val="24"/>
          <w:szCs w:val="24"/>
          <w:vertAlign w:val="superscript"/>
          <w:lang w:val="en-GB"/>
        </w:rPr>
        <w:t>]</w:t>
      </w:r>
      <w:r w:rsidR="00A07480" w:rsidRPr="00EE48E2">
        <w:rPr>
          <w:rFonts w:ascii="Book Antiqua" w:hAnsi="Book Antiqua"/>
          <w:sz w:val="24"/>
          <w:szCs w:val="24"/>
          <w:lang w:val="en-GB"/>
        </w:rPr>
        <w:t>.</w:t>
      </w:r>
    </w:p>
    <w:p w14:paraId="1AEF3400" w14:textId="47078063" w:rsidR="00363A1A" w:rsidRPr="00EE48E2" w:rsidRDefault="00EE48E2" w:rsidP="004D1833">
      <w:pPr>
        <w:adjustRightInd w:val="0"/>
        <w:snapToGrid w:val="0"/>
        <w:spacing w:after="0" w:line="360" w:lineRule="auto"/>
        <w:jc w:val="both"/>
        <w:rPr>
          <w:rFonts w:ascii="Book Antiqua" w:hAnsi="Book Antiqua"/>
          <w:sz w:val="24"/>
          <w:szCs w:val="24"/>
          <w:lang w:val="en-GB"/>
        </w:rPr>
      </w:pPr>
      <w:r w:rsidRPr="00EE48E2">
        <w:rPr>
          <w:rFonts w:ascii="Book Antiqua" w:hAnsi="Book Antiqua"/>
          <w:sz w:val="24"/>
          <w:szCs w:val="24"/>
          <w:lang w:val="en-GB"/>
        </w:rPr>
        <w:t xml:space="preserve">  </w:t>
      </w:r>
      <w:r w:rsidR="00363A1A" w:rsidRPr="00EE48E2">
        <w:rPr>
          <w:rFonts w:ascii="Book Antiqua" w:hAnsi="Book Antiqua"/>
          <w:sz w:val="24"/>
          <w:szCs w:val="24"/>
          <w:lang w:val="en-GB"/>
        </w:rPr>
        <w:t>MEHD7945A is a humanized IgG1 mAb with dual anti HER3/EGFR activity. In multiple xenograft models</w:t>
      </w:r>
      <w:r w:rsidR="00D7282E" w:rsidRPr="00EE48E2">
        <w:rPr>
          <w:rFonts w:ascii="Book Antiqua" w:hAnsi="Book Antiqua"/>
          <w:sz w:val="24"/>
          <w:szCs w:val="24"/>
          <w:lang w:val="en-GB"/>
        </w:rPr>
        <w:t>,</w:t>
      </w:r>
      <w:r w:rsidR="00363A1A" w:rsidRPr="00EE48E2">
        <w:rPr>
          <w:rFonts w:ascii="Book Antiqua" w:hAnsi="Book Antiqua"/>
          <w:sz w:val="24"/>
          <w:szCs w:val="24"/>
          <w:lang w:val="en-GB"/>
        </w:rPr>
        <w:t xml:space="preserve"> </w:t>
      </w:r>
      <w:r w:rsidR="00D7282E" w:rsidRPr="00EE48E2">
        <w:rPr>
          <w:rFonts w:ascii="Book Antiqua" w:hAnsi="Book Antiqua"/>
          <w:sz w:val="24"/>
          <w:szCs w:val="24"/>
          <w:lang w:val="en-GB"/>
        </w:rPr>
        <w:t xml:space="preserve">MEHD7945A was </w:t>
      </w:r>
      <w:r w:rsidR="00363A1A" w:rsidRPr="00EE48E2">
        <w:rPr>
          <w:rFonts w:ascii="Book Antiqua" w:hAnsi="Book Antiqua"/>
          <w:sz w:val="24"/>
          <w:szCs w:val="24"/>
          <w:lang w:val="en-GB"/>
        </w:rPr>
        <w:t xml:space="preserve">demonstrated to be significantly superior </w:t>
      </w:r>
      <w:r w:rsidR="00D7282E" w:rsidRPr="00EE48E2">
        <w:rPr>
          <w:rFonts w:ascii="Book Antiqua" w:hAnsi="Book Antiqua"/>
          <w:sz w:val="24"/>
          <w:szCs w:val="24"/>
          <w:lang w:val="en-GB"/>
        </w:rPr>
        <w:t xml:space="preserve">with </w:t>
      </w:r>
      <w:r w:rsidR="00363A1A" w:rsidRPr="00EE48E2">
        <w:rPr>
          <w:rFonts w:ascii="Book Antiqua" w:hAnsi="Book Antiqua"/>
          <w:sz w:val="24"/>
          <w:szCs w:val="24"/>
          <w:lang w:val="en-GB"/>
        </w:rPr>
        <w:t>respect</w:t>
      </w:r>
      <w:r w:rsidR="00D7282E" w:rsidRPr="00EE48E2">
        <w:rPr>
          <w:rFonts w:ascii="Book Antiqua" w:hAnsi="Book Antiqua"/>
          <w:sz w:val="24"/>
          <w:szCs w:val="24"/>
          <w:lang w:val="en-GB"/>
        </w:rPr>
        <w:t xml:space="preserve"> to</w:t>
      </w:r>
      <w:r w:rsidR="00363A1A" w:rsidRPr="00EE48E2">
        <w:rPr>
          <w:rFonts w:ascii="Book Antiqua" w:hAnsi="Book Antiqua"/>
          <w:sz w:val="24"/>
          <w:szCs w:val="24"/>
          <w:lang w:val="en-GB"/>
        </w:rPr>
        <w:t xml:space="preserve"> the monospecific EGFR targeting agents</w:t>
      </w:r>
      <w:r w:rsidR="00363A1A" w:rsidRPr="00EE48E2">
        <w:rPr>
          <w:rFonts w:ascii="Book Antiqua" w:hAnsi="Book Antiqua"/>
          <w:sz w:val="24"/>
          <w:szCs w:val="24"/>
          <w:vertAlign w:val="superscript"/>
          <w:lang w:val="en-GB"/>
        </w:rPr>
        <w:t>[10</w:t>
      </w:r>
      <w:r w:rsidR="00AF249E">
        <w:rPr>
          <w:rFonts w:ascii="Book Antiqua" w:hAnsi="Book Antiqua" w:hint="eastAsia"/>
          <w:sz w:val="24"/>
          <w:szCs w:val="24"/>
          <w:vertAlign w:val="superscript"/>
          <w:lang w:val="en-GB" w:eastAsia="zh-CN"/>
        </w:rPr>
        <w:t>3</w:t>
      </w:r>
      <w:r w:rsidR="00363A1A" w:rsidRPr="00EE48E2">
        <w:rPr>
          <w:rFonts w:ascii="Book Antiqua" w:hAnsi="Book Antiqua"/>
          <w:sz w:val="24"/>
          <w:szCs w:val="24"/>
          <w:vertAlign w:val="superscript"/>
          <w:lang w:val="en-GB"/>
        </w:rPr>
        <w:t>]</w:t>
      </w:r>
      <w:r w:rsidR="00A07480" w:rsidRPr="00EE48E2">
        <w:rPr>
          <w:rFonts w:ascii="Book Antiqua" w:hAnsi="Book Antiqua"/>
          <w:sz w:val="24"/>
          <w:szCs w:val="24"/>
          <w:lang w:val="en-GB"/>
        </w:rPr>
        <w:t xml:space="preserve">. </w:t>
      </w:r>
      <w:r w:rsidR="00363A1A" w:rsidRPr="00EE48E2">
        <w:rPr>
          <w:rFonts w:ascii="Book Antiqua" w:hAnsi="Book Antiqua"/>
          <w:sz w:val="24"/>
          <w:szCs w:val="24"/>
          <w:lang w:val="en-GB"/>
        </w:rPr>
        <w:t>In a phase I study, promising results have been achieved among patients with pretreated mCRC</w:t>
      </w:r>
      <w:r w:rsidR="0053127E" w:rsidRPr="00EE48E2">
        <w:rPr>
          <w:rFonts w:ascii="Book Antiqua" w:hAnsi="Book Antiqua"/>
          <w:sz w:val="24"/>
          <w:szCs w:val="24"/>
          <w:lang w:val="en-GB"/>
        </w:rPr>
        <w:t>;</w:t>
      </w:r>
      <w:r w:rsidR="00363A1A" w:rsidRPr="00EE48E2">
        <w:rPr>
          <w:rFonts w:ascii="Book Antiqua" w:hAnsi="Book Antiqua"/>
          <w:sz w:val="24"/>
          <w:szCs w:val="24"/>
          <w:lang w:val="en-GB"/>
        </w:rPr>
        <w:t xml:space="preserve"> however</w:t>
      </w:r>
      <w:r w:rsidR="0053127E" w:rsidRPr="00EE48E2">
        <w:rPr>
          <w:rFonts w:ascii="Book Antiqua" w:hAnsi="Book Antiqua"/>
          <w:sz w:val="24"/>
          <w:szCs w:val="24"/>
          <w:lang w:val="en-GB"/>
        </w:rPr>
        <w:t>,</w:t>
      </w:r>
      <w:r w:rsidR="00363A1A" w:rsidRPr="00EE48E2">
        <w:rPr>
          <w:rFonts w:ascii="Book Antiqua" w:hAnsi="Book Antiqua"/>
          <w:sz w:val="24"/>
          <w:szCs w:val="24"/>
          <w:lang w:val="en-GB"/>
        </w:rPr>
        <w:t xml:space="preserve"> no benefit for MEHD7945A + FOLFIRI </w:t>
      </w:r>
      <w:r w:rsidR="00DA1BA0" w:rsidRPr="00EE48E2">
        <w:rPr>
          <w:rFonts w:ascii="Book Antiqua" w:hAnsi="Book Antiqua"/>
          <w:i/>
          <w:sz w:val="24"/>
          <w:szCs w:val="24"/>
          <w:lang w:val="en-GB"/>
        </w:rPr>
        <w:t>vs</w:t>
      </w:r>
      <w:r w:rsidR="00363A1A" w:rsidRPr="00EE48E2">
        <w:rPr>
          <w:rFonts w:ascii="Book Antiqua" w:hAnsi="Book Antiqua"/>
          <w:sz w:val="24"/>
          <w:szCs w:val="24"/>
          <w:lang w:val="en-GB"/>
        </w:rPr>
        <w:t xml:space="preserve"> cetuximab + FOLFIRI has been observed in a phase II randomized trial in KRAS WT mCRC patients refractory to oxaliplatin</w:t>
      </w:r>
      <w:r w:rsidR="00363A1A" w:rsidRPr="00EE48E2">
        <w:rPr>
          <w:rFonts w:ascii="Book Antiqua" w:hAnsi="Book Antiqua"/>
          <w:sz w:val="24"/>
          <w:szCs w:val="24"/>
          <w:vertAlign w:val="superscript"/>
          <w:lang w:val="en-GB"/>
        </w:rPr>
        <w:t>[10</w:t>
      </w:r>
      <w:r w:rsidR="00AF249E">
        <w:rPr>
          <w:rFonts w:ascii="Book Antiqua" w:hAnsi="Book Antiqua" w:hint="eastAsia"/>
          <w:sz w:val="24"/>
          <w:szCs w:val="24"/>
          <w:vertAlign w:val="superscript"/>
          <w:lang w:val="en-GB" w:eastAsia="zh-CN"/>
        </w:rPr>
        <w:t>4</w:t>
      </w:r>
      <w:r w:rsidR="00AF249E">
        <w:rPr>
          <w:rFonts w:ascii="Book Antiqua" w:hAnsi="Book Antiqua"/>
          <w:sz w:val="24"/>
          <w:szCs w:val="24"/>
          <w:vertAlign w:val="superscript"/>
          <w:lang w:val="en-GB"/>
        </w:rPr>
        <w:t>,</w:t>
      </w:r>
      <w:r w:rsidR="00363A1A" w:rsidRPr="00EE48E2">
        <w:rPr>
          <w:rFonts w:ascii="Book Antiqua" w:hAnsi="Book Antiqua"/>
          <w:sz w:val="24"/>
          <w:szCs w:val="24"/>
          <w:vertAlign w:val="superscript"/>
          <w:lang w:val="en-GB"/>
        </w:rPr>
        <w:t>10</w:t>
      </w:r>
      <w:r w:rsidR="00AF249E">
        <w:rPr>
          <w:rFonts w:ascii="Book Antiqua" w:hAnsi="Book Antiqua" w:hint="eastAsia"/>
          <w:sz w:val="24"/>
          <w:szCs w:val="24"/>
          <w:vertAlign w:val="superscript"/>
          <w:lang w:val="en-GB" w:eastAsia="zh-CN"/>
        </w:rPr>
        <w:t>5</w:t>
      </w:r>
      <w:r w:rsidR="00363A1A" w:rsidRPr="00EE48E2">
        <w:rPr>
          <w:rFonts w:ascii="Book Antiqua" w:hAnsi="Book Antiqua"/>
          <w:sz w:val="24"/>
          <w:szCs w:val="24"/>
          <w:vertAlign w:val="superscript"/>
          <w:lang w:val="en-GB"/>
        </w:rPr>
        <w:t>]</w:t>
      </w:r>
      <w:r w:rsidR="00A07480" w:rsidRPr="00EE48E2">
        <w:rPr>
          <w:rFonts w:ascii="Book Antiqua" w:hAnsi="Book Antiqua"/>
          <w:sz w:val="24"/>
          <w:szCs w:val="24"/>
          <w:lang w:val="en-GB"/>
        </w:rPr>
        <w:t>.</w:t>
      </w:r>
    </w:p>
    <w:p w14:paraId="12ED5B2F" w14:textId="77777777" w:rsidR="001B49EF" w:rsidRPr="00EE48E2" w:rsidRDefault="001B49EF" w:rsidP="004D1833">
      <w:pPr>
        <w:adjustRightInd w:val="0"/>
        <w:snapToGrid w:val="0"/>
        <w:spacing w:after="0" w:line="360" w:lineRule="auto"/>
        <w:jc w:val="both"/>
        <w:rPr>
          <w:rFonts w:ascii="Book Antiqua" w:hAnsi="Book Antiqua"/>
          <w:sz w:val="24"/>
          <w:szCs w:val="24"/>
          <w:lang w:val="en-GB" w:eastAsia="zh-CN"/>
        </w:rPr>
      </w:pPr>
    </w:p>
    <w:p w14:paraId="2EF44101" w14:textId="77777777" w:rsidR="00363A1A" w:rsidRPr="00EE48E2" w:rsidRDefault="00363A1A" w:rsidP="004D1833">
      <w:pPr>
        <w:adjustRightInd w:val="0"/>
        <w:snapToGrid w:val="0"/>
        <w:spacing w:after="0" w:line="360" w:lineRule="auto"/>
        <w:jc w:val="both"/>
        <w:rPr>
          <w:rFonts w:ascii="Book Antiqua" w:hAnsi="Book Antiqua"/>
          <w:b/>
          <w:i/>
          <w:sz w:val="24"/>
          <w:szCs w:val="24"/>
          <w:lang w:val="en-GB"/>
        </w:rPr>
      </w:pPr>
      <w:r w:rsidRPr="00EE48E2">
        <w:rPr>
          <w:rFonts w:ascii="Book Antiqua" w:hAnsi="Book Antiqua"/>
          <w:b/>
          <w:i/>
          <w:sz w:val="24"/>
          <w:szCs w:val="24"/>
          <w:lang w:val="en-GB"/>
        </w:rPr>
        <w:t>EGFR mutations</w:t>
      </w:r>
    </w:p>
    <w:p w14:paraId="0A026E90" w14:textId="41B4D4BA" w:rsidR="00363A1A" w:rsidRPr="00EE48E2" w:rsidRDefault="00363A1A" w:rsidP="004D1833">
      <w:pPr>
        <w:adjustRightInd w:val="0"/>
        <w:snapToGrid w:val="0"/>
        <w:spacing w:after="0" w:line="360" w:lineRule="auto"/>
        <w:jc w:val="both"/>
        <w:rPr>
          <w:rFonts w:ascii="Book Antiqua" w:hAnsi="Book Antiqua"/>
          <w:sz w:val="24"/>
          <w:szCs w:val="24"/>
          <w:lang w:val="en-GB"/>
        </w:rPr>
      </w:pPr>
      <w:r w:rsidRPr="00EE48E2">
        <w:rPr>
          <w:rFonts w:ascii="Book Antiqua" w:hAnsi="Book Antiqua"/>
          <w:i/>
          <w:sz w:val="24"/>
          <w:szCs w:val="24"/>
          <w:lang w:val="en-GB"/>
        </w:rPr>
        <w:t>EGFR</w:t>
      </w:r>
      <w:r w:rsidRPr="00EE48E2">
        <w:rPr>
          <w:rFonts w:ascii="Book Antiqua" w:hAnsi="Book Antiqua"/>
          <w:sz w:val="24"/>
          <w:szCs w:val="24"/>
          <w:lang w:val="en-GB"/>
        </w:rPr>
        <w:t xml:space="preserve"> mutations in colorectal cancer represent a mechanism of resistance described only in the acquired setting and might occur in </w:t>
      </w:r>
      <w:r w:rsidR="00DB342E" w:rsidRPr="00EE48E2">
        <w:rPr>
          <w:rFonts w:ascii="Book Antiqua" w:hAnsi="Book Antiqua"/>
          <w:sz w:val="24"/>
          <w:szCs w:val="24"/>
          <w:lang w:val="en-GB"/>
        </w:rPr>
        <w:t>approximately 2</w:t>
      </w:r>
      <w:r w:rsidRPr="00EE48E2">
        <w:rPr>
          <w:rFonts w:ascii="Book Antiqua" w:hAnsi="Book Antiqua"/>
          <w:sz w:val="24"/>
          <w:szCs w:val="24"/>
          <w:lang w:val="en-GB"/>
        </w:rPr>
        <w:t>0% of patients treated with cetuximab and</w:t>
      </w:r>
      <w:r w:rsidR="00504D37" w:rsidRPr="00EE48E2">
        <w:rPr>
          <w:rFonts w:ascii="Book Antiqua" w:hAnsi="Book Antiqua"/>
          <w:sz w:val="24"/>
          <w:szCs w:val="24"/>
          <w:lang w:val="en-GB"/>
        </w:rPr>
        <w:t xml:space="preserve"> in</w:t>
      </w:r>
      <w:r w:rsidRPr="00EE48E2">
        <w:rPr>
          <w:rFonts w:ascii="Book Antiqua" w:hAnsi="Book Antiqua"/>
          <w:sz w:val="24"/>
          <w:szCs w:val="24"/>
          <w:lang w:val="en-GB"/>
        </w:rPr>
        <w:t xml:space="preserve"> only 1% of patients treated with panitumumab</w:t>
      </w:r>
      <w:r w:rsidRPr="00EE48E2">
        <w:rPr>
          <w:rFonts w:ascii="Book Antiqua" w:hAnsi="Book Antiqua"/>
          <w:sz w:val="24"/>
          <w:szCs w:val="24"/>
          <w:vertAlign w:val="superscript"/>
          <w:lang w:val="en-GB"/>
        </w:rPr>
        <w:t>[10</w:t>
      </w:r>
      <w:r w:rsidR="00AF249E">
        <w:rPr>
          <w:rFonts w:ascii="Book Antiqua" w:hAnsi="Book Antiqua" w:hint="eastAsia"/>
          <w:sz w:val="24"/>
          <w:szCs w:val="24"/>
          <w:vertAlign w:val="superscript"/>
          <w:lang w:val="en-GB" w:eastAsia="zh-CN"/>
        </w:rPr>
        <w:t>6</w:t>
      </w:r>
      <w:r w:rsidRPr="00EE48E2">
        <w:rPr>
          <w:rFonts w:ascii="Book Antiqua" w:hAnsi="Book Antiqua"/>
          <w:sz w:val="24"/>
          <w:szCs w:val="24"/>
          <w:vertAlign w:val="superscript"/>
          <w:lang w:val="en-GB"/>
        </w:rPr>
        <w:t>]</w:t>
      </w:r>
      <w:r w:rsidR="00A07480" w:rsidRPr="00EE48E2">
        <w:rPr>
          <w:rFonts w:ascii="Book Antiqua" w:hAnsi="Book Antiqua"/>
          <w:sz w:val="24"/>
          <w:szCs w:val="24"/>
          <w:lang w:val="en-GB"/>
        </w:rPr>
        <w:t>.</w:t>
      </w:r>
      <w:r w:rsidRPr="00EE48E2">
        <w:rPr>
          <w:rFonts w:ascii="Book Antiqua" w:hAnsi="Book Antiqua"/>
          <w:sz w:val="24"/>
          <w:szCs w:val="24"/>
          <w:lang w:val="en-GB"/>
        </w:rPr>
        <w:t xml:space="preserve"> In particular</w:t>
      </w:r>
      <w:r w:rsidR="00504D37" w:rsidRPr="00EE48E2">
        <w:rPr>
          <w:rFonts w:ascii="Book Antiqua" w:hAnsi="Book Antiqua"/>
          <w:sz w:val="24"/>
          <w:szCs w:val="24"/>
          <w:lang w:val="en-GB"/>
        </w:rPr>
        <w:t>,</w:t>
      </w:r>
      <w:r w:rsidRPr="00EE48E2">
        <w:rPr>
          <w:rFonts w:ascii="Book Antiqua" w:hAnsi="Book Antiqua"/>
          <w:sz w:val="24"/>
          <w:szCs w:val="24"/>
          <w:lang w:val="en-GB"/>
        </w:rPr>
        <w:t xml:space="preserve"> Montagut and colleagues discovered a point mutation in the extracellular domain of EGFR (S492R) in </w:t>
      </w:r>
      <w:r w:rsidR="00504D37" w:rsidRPr="00EE48E2">
        <w:rPr>
          <w:rFonts w:ascii="Book Antiqua" w:hAnsi="Book Antiqua"/>
          <w:sz w:val="24"/>
          <w:szCs w:val="24"/>
          <w:lang w:val="en-GB"/>
        </w:rPr>
        <w:t xml:space="preserve">a </w:t>
      </w:r>
      <w:r w:rsidRPr="00EE48E2">
        <w:rPr>
          <w:rFonts w:ascii="Book Antiqua" w:hAnsi="Book Antiqua"/>
          <w:sz w:val="24"/>
          <w:szCs w:val="24"/>
          <w:lang w:val="en-GB"/>
        </w:rPr>
        <w:t xml:space="preserve">CRC cell line made resistant to cetuximab and also confirmed </w:t>
      </w:r>
      <w:r w:rsidR="00504D37" w:rsidRPr="00EE48E2">
        <w:rPr>
          <w:rFonts w:ascii="Book Antiqua" w:hAnsi="Book Antiqua"/>
          <w:sz w:val="24"/>
          <w:szCs w:val="24"/>
          <w:lang w:val="en-GB"/>
        </w:rPr>
        <w:t>these</w:t>
      </w:r>
      <w:r w:rsidRPr="00EE48E2">
        <w:rPr>
          <w:rFonts w:ascii="Book Antiqua" w:hAnsi="Book Antiqua"/>
          <w:sz w:val="24"/>
          <w:szCs w:val="24"/>
          <w:lang w:val="en-GB"/>
        </w:rPr>
        <w:t xml:space="preserve"> data in a small percentage of patients </w:t>
      </w:r>
      <w:r w:rsidR="00504D37" w:rsidRPr="00EE48E2">
        <w:rPr>
          <w:rFonts w:ascii="Book Antiqua" w:hAnsi="Book Antiqua"/>
          <w:sz w:val="24"/>
          <w:szCs w:val="24"/>
          <w:lang w:val="en-GB"/>
        </w:rPr>
        <w:t xml:space="preserve">who </w:t>
      </w:r>
      <w:r w:rsidRPr="00EE48E2">
        <w:rPr>
          <w:rFonts w:ascii="Book Antiqua" w:hAnsi="Book Antiqua"/>
          <w:sz w:val="24"/>
          <w:szCs w:val="24"/>
          <w:lang w:val="en-GB"/>
        </w:rPr>
        <w:t xml:space="preserve">relapsed after cetuximab treatment. This mutation does not allow the binding of cetuximab to the receptor, but </w:t>
      </w:r>
      <w:r w:rsidR="00504D37" w:rsidRPr="00EE48E2">
        <w:rPr>
          <w:rFonts w:ascii="Book Antiqua" w:hAnsi="Book Antiqua"/>
          <w:sz w:val="24"/>
          <w:szCs w:val="24"/>
          <w:lang w:val="en-GB"/>
        </w:rPr>
        <w:t xml:space="preserve">it </w:t>
      </w:r>
      <w:r w:rsidRPr="00EE48E2">
        <w:rPr>
          <w:rFonts w:ascii="Book Antiqua" w:hAnsi="Book Antiqua"/>
          <w:sz w:val="24"/>
          <w:szCs w:val="24"/>
          <w:lang w:val="en-GB"/>
        </w:rPr>
        <w:t>still allow</w:t>
      </w:r>
      <w:r w:rsidR="00504D37" w:rsidRPr="00EE48E2">
        <w:rPr>
          <w:rFonts w:ascii="Book Antiqua" w:hAnsi="Book Antiqua"/>
          <w:sz w:val="24"/>
          <w:szCs w:val="24"/>
          <w:lang w:val="en-GB"/>
        </w:rPr>
        <w:t>s</w:t>
      </w:r>
      <w:r w:rsidRPr="00EE48E2">
        <w:rPr>
          <w:rFonts w:ascii="Book Antiqua" w:hAnsi="Book Antiqua"/>
          <w:sz w:val="24"/>
          <w:szCs w:val="24"/>
          <w:lang w:val="en-GB"/>
        </w:rPr>
        <w:t xml:space="preserve"> the bind</w:t>
      </w:r>
      <w:r w:rsidR="00504D37" w:rsidRPr="00EE48E2">
        <w:rPr>
          <w:rFonts w:ascii="Book Antiqua" w:hAnsi="Book Antiqua"/>
          <w:sz w:val="24"/>
          <w:szCs w:val="24"/>
          <w:lang w:val="en-GB"/>
        </w:rPr>
        <w:t>ing</w:t>
      </w:r>
      <w:r w:rsidRPr="00EE48E2">
        <w:rPr>
          <w:rFonts w:ascii="Book Antiqua" w:hAnsi="Book Antiqua"/>
          <w:sz w:val="24"/>
          <w:szCs w:val="24"/>
          <w:lang w:val="en-GB"/>
        </w:rPr>
        <w:t xml:space="preserve"> of panitumumab; indeed</w:t>
      </w:r>
      <w:r w:rsidR="00504D37" w:rsidRPr="00EE48E2">
        <w:rPr>
          <w:rFonts w:ascii="Book Antiqua" w:hAnsi="Book Antiqua"/>
          <w:sz w:val="24"/>
          <w:szCs w:val="24"/>
          <w:lang w:val="en-GB"/>
        </w:rPr>
        <w:t>,</w:t>
      </w:r>
      <w:r w:rsidRPr="00EE48E2">
        <w:rPr>
          <w:rFonts w:ascii="Book Antiqua" w:hAnsi="Book Antiqua"/>
          <w:sz w:val="24"/>
          <w:szCs w:val="24"/>
          <w:lang w:val="en-GB"/>
        </w:rPr>
        <w:t xml:space="preserve"> the authors reported the experience of a patient</w:t>
      </w:r>
      <w:r w:rsidR="00504D37" w:rsidRPr="00EE48E2">
        <w:rPr>
          <w:rFonts w:ascii="Book Antiqua" w:hAnsi="Book Antiqua"/>
          <w:sz w:val="24"/>
          <w:szCs w:val="24"/>
          <w:lang w:val="en-GB"/>
        </w:rPr>
        <w:t xml:space="preserve"> with</w:t>
      </w:r>
      <w:r w:rsidRPr="00EE48E2">
        <w:rPr>
          <w:rFonts w:ascii="Book Antiqua" w:hAnsi="Book Antiqua"/>
          <w:sz w:val="24"/>
          <w:szCs w:val="24"/>
          <w:lang w:val="en-GB"/>
        </w:rPr>
        <w:t xml:space="preserve"> this mutation</w:t>
      </w:r>
      <w:r w:rsidR="00504D37" w:rsidRPr="00EE48E2">
        <w:rPr>
          <w:rFonts w:ascii="Book Antiqua" w:hAnsi="Book Antiqua"/>
          <w:sz w:val="24"/>
          <w:szCs w:val="24"/>
          <w:lang w:val="en-GB"/>
        </w:rPr>
        <w:t xml:space="preserve"> who</w:t>
      </w:r>
      <w:r w:rsidRPr="00EE48E2">
        <w:rPr>
          <w:rFonts w:ascii="Book Antiqua" w:hAnsi="Book Antiqua"/>
          <w:sz w:val="24"/>
          <w:szCs w:val="24"/>
          <w:lang w:val="en-GB"/>
        </w:rPr>
        <w:t xml:space="preserve"> was treated with panitumumab and </w:t>
      </w:r>
      <w:r w:rsidR="00504D37" w:rsidRPr="00EE48E2">
        <w:rPr>
          <w:rFonts w:ascii="Book Antiqua" w:hAnsi="Book Antiqua"/>
          <w:sz w:val="24"/>
          <w:szCs w:val="24"/>
          <w:lang w:val="en-GB"/>
        </w:rPr>
        <w:t xml:space="preserve">who </w:t>
      </w:r>
      <w:r w:rsidRPr="00EE48E2">
        <w:rPr>
          <w:rFonts w:ascii="Book Antiqua" w:hAnsi="Book Antiqua"/>
          <w:sz w:val="24"/>
          <w:szCs w:val="24"/>
          <w:lang w:val="en-GB"/>
        </w:rPr>
        <w:t xml:space="preserve">achieved a response from </w:t>
      </w:r>
      <w:r w:rsidR="00A07480" w:rsidRPr="00EE48E2">
        <w:rPr>
          <w:rFonts w:ascii="Book Antiqua" w:hAnsi="Book Antiqua"/>
          <w:sz w:val="24"/>
          <w:szCs w:val="24"/>
          <w:lang w:val="en-GB"/>
        </w:rPr>
        <w:t>treatment</w:t>
      </w:r>
      <w:r w:rsidR="00A07480" w:rsidRPr="00EE48E2">
        <w:rPr>
          <w:rFonts w:ascii="Book Antiqua" w:hAnsi="Book Antiqua"/>
          <w:sz w:val="24"/>
          <w:szCs w:val="24"/>
          <w:vertAlign w:val="superscript"/>
          <w:lang w:val="en-GB"/>
        </w:rPr>
        <w:t>[</w:t>
      </w:r>
      <w:r w:rsidRPr="00EE48E2">
        <w:rPr>
          <w:rFonts w:ascii="Book Antiqua" w:hAnsi="Book Antiqua"/>
          <w:sz w:val="24"/>
          <w:szCs w:val="24"/>
          <w:vertAlign w:val="superscript"/>
          <w:lang w:val="en-GB"/>
        </w:rPr>
        <w:t>20]</w:t>
      </w:r>
      <w:r w:rsidR="00A07480" w:rsidRPr="00EE48E2">
        <w:rPr>
          <w:rFonts w:ascii="Book Antiqua" w:hAnsi="Book Antiqua"/>
          <w:sz w:val="24"/>
          <w:szCs w:val="24"/>
          <w:lang w:val="en-GB"/>
        </w:rPr>
        <w:t xml:space="preserve">. </w:t>
      </w:r>
      <w:r w:rsidRPr="00EE48E2">
        <w:rPr>
          <w:rFonts w:ascii="Book Antiqua" w:hAnsi="Book Antiqua"/>
          <w:sz w:val="24"/>
          <w:szCs w:val="24"/>
          <w:lang w:val="en-GB"/>
        </w:rPr>
        <w:t xml:space="preserve">Recently, Arena and colleagues discovered several </w:t>
      </w:r>
      <w:r w:rsidR="00504D37" w:rsidRPr="00EE48E2">
        <w:rPr>
          <w:rFonts w:ascii="Book Antiqua" w:hAnsi="Book Antiqua"/>
          <w:sz w:val="24"/>
          <w:szCs w:val="24"/>
          <w:lang w:val="en-GB"/>
        </w:rPr>
        <w:t xml:space="preserve">other </w:t>
      </w:r>
      <w:r w:rsidRPr="00EE48E2">
        <w:rPr>
          <w:rFonts w:ascii="Book Antiqua" w:hAnsi="Book Antiqua"/>
          <w:sz w:val="24"/>
          <w:szCs w:val="24"/>
          <w:lang w:val="en-GB"/>
        </w:rPr>
        <w:t xml:space="preserve">mutations in the EGFR ECD. </w:t>
      </w:r>
      <w:r w:rsidR="006517F9" w:rsidRPr="00EE48E2">
        <w:rPr>
          <w:rFonts w:ascii="Book Antiqua" w:hAnsi="Book Antiqua"/>
          <w:sz w:val="24"/>
          <w:szCs w:val="24"/>
          <w:lang w:val="en-GB"/>
        </w:rPr>
        <w:t xml:space="preserve">They analysed tumour samples (pre- and post-treatment with cetuximab) obtained from 37 mCRC patients with acquired resistance to cetuximab and found two novel mutations, R451C and K467T, in two patients. </w:t>
      </w:r>
      <w:r w:rsidRPr="00EE48E2">
        <w:rPr>
          <w:rFonts w:ascii="Book Antiqua" w:hAnsi="Book Antiqua"/>
          <w:sz w:val="24"/>
          <w:szCs w:val="24"/>
          <w:lang w:val="en-GB"/>
        </w:rPr>
        <w:t xml:space="preserve">The authors also discovered </w:t>
      </w:r>
      <w:r w:rsidR="00504D37" w:rsidRPr="00EE48E2">
        <w:rPr>
          <w:rFonts w:ascii="Book Antiqua" w:hAnsi="Book Antiqua"/>
          <w:sz w:val="24"/>
          <w:szCs w:val="24"/>
          <w:lang w:val="en-GB"/>
        </w:rPr>
        <w:t xml:space="preserve">several other novel EGFR </w:t>
      </w:r>
      <w:r w:rsidR="00504D37" w:rsidRPr="00EE48E2">
        <w:rPr>
          <w:rFonts w:ascii="Book Antiqua" w:hAnsi="Book Antiqua"/>
          <w:sz w:val="24"/>
          <w:szCs w:val="24"/>
          <w:lang w:val="en-GB"/>
        </w:rPr>
        <w:lastRenderedPageBreak/>
        <w:t xml:space="preserve">variants (S464L, G465R and I491M) </w:t>
      </w:r>
      <w:r w:rsidRPr="00EE48E2">
        <w:rPr>
          <w:rFonts w:ascii="Book Antiqua" w:hAnsi="Book Antiqua"/>
          <w:sz w:val="24"/>
          <w:szCs w:val="24"/>
          <w:lang w:val="en-GB"/>
        </w:rPr>
        <w:t>in colorectal cancer cell lines made resistant to cetuximab. These mutations are located in the cetuximab-binding region</w:t>
      </w:r>
      <w:r w:rsidR="00504D37" w:rsidRPr="00EE48E2">
        <w:rPr>
          <w:rFonts w:ascii="Book Antiqua" w:hAnsi="Book Antiqua"/>
          <w:sz w:val="24"/>
          <w:szCs w:val="24"/>
          <w:lang w:val="en-GB"/>
        </w:rPr>
        <w:t>,</w:t>
      </w:r>
      <w:r w:rsidRPr="00EE48E2">
        <w:rPr>
          <w:rFonts w:ascii="Book Antiqua" w:hAnsi="Book Antiqua"/>
          <w:sz w:val="24"/>
          <w:szCs w:val="24"/>
          <w:lang w:val="en-GB"/>
        </w:rPr>
        <w:t xml:space="preserve"> with the exception of the R451C mutation. Functionally, all of these mutations prevent binding of cetuximab</w:t>
      </w:r>
      <w:r w:rsidR="00504D37" w:rsidRPr="00EE48E2">
        <w:rPr>
          <w:rFonts w:ascii="Book Antiqua" w:hAnsi="Book Antiqua"/>
          <w:sz w:val="24"/>
          <w:szCs w:val="24"/>
          <w:lang w:val="en-GB"/>
        </w:rPr>
        <w:t>,</w:t>
      </w:r>
      <w:r w:rsidRPr="00EE48E2">
        <w:rPr>
          <w:rFonts w:ascii="Book Antiqua" w:hAnsi="Book Antiqua"/>
          <w:sz w:val="24"/>
          <w:szCs w:val="24"/>
          <w:lang w:val="en-GB"/>
        </w:rPr>
        <w:t xml:space="preserve"> and only R451C and K467T mutations are permissive for interaction with panitumumab</w:t>
      </w:r>
      <w:r w:rsidRPr="00EE48E2">
        <w:rPr>
          <w:rFonts w:ascii="Book Antiqua" w:hAnsi="Book Antiqua"/>
          <w:sz w:val="24"/>
          <w:szCs w:val="24"/>
          <w:vertAlign w:val="superscript"/>
          <w:lang w:val="en-GB"/>
        </w:rPr>
        <w:t>[21]</w:t>
      </w:r>
      <w:r w:rsidR="00A07480" w:rsidRPr="00EE48E2">
        <w:rPr>
          <w:rFonts w:ascii="Book Antiqua" w:hAnsi="Book Antiqua"/>
          <w:sz w:val="24"/>
          <w:szCs w:val="24"/>
          <w:lang w:val="en-GB"/>
        </w:rPr>
        <w:t>.</w:t>
      </w:r>
    </w:p>
    <w:p w14:paraId="1A583F70" w14:textId="3C233DC4" w:rsidR="00363A1A" w:rsidRPr="00EE48E2" w:rsidRDefault="00EE48E2" w:rsidP="004D1833">
      <w:pPr>
        <w:adjustRightInd w:val="0"/>
        <w:snapToGrid w:val="0"/>
        <w:spacing w:after="0" w:line="360" w:lineRule="auto"/>
        <w:jc w:val="both"/>
        <w:rPr>
          <w:rFonts w:ascii="Book Antiqua" w:hAnsi="Book Antiqua"/>
          <w:sz w:val="24"/>
          <w:szCs w:val="24"/>
          <w:lang w:val="en-GB"/>
        </w:rPr>
      </w:pPr>
      <w:r w:rsidRPr="00EE48E2">
        <w:rPr>
          <w:rFonts w:ascii="Book Antiqua" w:hAnsi="Book Antiqua"/>
          <w:sz w:val="24"/>
          <w:szCs w:val="24"/>
          <w:lang w:val="en-GB"/>
        </w:rPr>
        <w:t xml:space="preserve">  </w:t>
      </w:r>
      <w:r w:rsidR="00363A1A" w:rsidRPr="00EE48E2">
        <w:rPr>
          <w:rFonts w:ascii="Book Antiqua" w:hAnsi="Book Antiqua"/>
          <w:sz w:val="24"/>
          <w:szCs w:val="24"/>
          <w:lang w:val="en-GB"/>
        </w:rPr>
        <w:t xml:space="preserve">Furthermore, Bettegowda and </w:t>
      </w:r>
      <w:r w:rsidR="006517F9" w:rsidRPr="00EE48E2">
        <w:rPr>
          <w:rFonts w:ascii="Book Antiqua" w:hAnsi="Book Antiqua"/>
          <w:sz w:val="24"/>
          <w:szCs w:val="24"/>
          <w:lang w:val="en-GB"/>
        </w:rPr>
        <w:t>colleagues</w:t>
      </w:r>
      <w:r w:rsidR="00363A1A" w:rsidRPr="00EE48E2">
        <w:rPr>
          <w:rFonts w:ascii="Book Antiqua" w:hAnsi="Book Antiqua"/>
          <w:sz w:val="24"/>
          <w:szCs w:val="24"/>
          <w:lang w:val="en-GB"/>
        </w:rPr>
        <w:t xml:space="preserve"> </w:t>
      </w:r>
      <w:r w:rsidR="00A825BA" w:rsidRPr="00EE48E2">
        <w:rPr>
          <w:rFonts w:ascii="Book Antiqua" w:hAnsi="Book Antiqua"/>
          <w:sz w:val="24"/>
          <w:szCs w:val="24"/>
          <w:lang w:val="en-GB"/>
        </w:rPr>
        <w:t xml:space="preserve">also </w:t>
      </w:r>
      <w:r w:rsidR="00363A1A" w:rsidRPr="00EE48E2">
        <w:rPr>
          <w:rFonts w:ascii="Book Antiqua" w:hAnsi="Book Antiqua"/>
          <w:sz w:val="24"/>
          <w:szCs w:val="24"/>
          <w:lang w:val="en-GB"/>
        </w:rPr>
        <w:t>described mutations in the EGFR kinase domain at codons 714 and 794</w:t>
      </w:r>
      <w:r w:rsidR="00A825BA" w:rsidRPr="00EE48E2">
        <w:rPr>
          <w:rFonts w:ascii="Book Antiqua" w:hAnsi="Book Antiqua"/>
          <w:sz w:val="24"/>
          <w:szCs w:val="24"/>
          <w:lang w:val="en-GB"/>
        </w:rPr>
        <w:t xml:space="preserve"> that were </w:t>
      </w:r>
      <w:r w:rsidR="00363A1A" w:rsidRPr="00EE48E2">
        <w:rPr>
          <w:rFonts w:ascii="Book Antiqua" w:hAnsi="Book Antiqua"/>
          <w:sz w:val="24"/>
          <w:szCs w:val="24"/>
          <w:lang w:val="en-GB"/>
        </w:rPr>
        <w:t xml:space="preserve">identified as circulating mutations by cell-free DNA analysis </w:t>
      </w:r>
      <w:r w:rsidR="00A825BA" w:rsidRPr="00EE48E2">
        <w:rPr>
          <w:rFonts w:ascii="Book Antiqua" w:hAnsi="Book Antiqua"/>
          <w:sz w:val="24"/>
          <w:szCs w:val="24"/>
          <w:lang w:val="en-GB"/>
        </w:rPr>
        <w:t xml:space="preserve">only </w:t>
      </w:r>
      <w:r w:rsidR="00363A1A" w:rsidRPr="00EE48E2">
        <w:rPr>
          <w:rFonts w:ascii="Book Antiqua" w:hAnsi="Book Antiqua"/>
          <w:sz w:val="24"/>
          <w:szCs w:val="24"/>
          <w:lang w:val="en-GB"/>
        </w:rPr>
        <w:t xml:space="preserve">in the setting of acquired </w:t>
      </w:r>
      <w:r w:rsidR="00A07480" w:rsidRPr="00EE48E2">
        <w:rPr>
          <w:rFonts w:ascii="Book Antiqua" w:hAnsi="Book Antiqua"/>
          <w:sz w:val="24"/>
          <w:szCs w:val="24"/>
          <w:lang w:val="en-GB"/>
        </w:rPr>
        <w:t>resistance</w:t>
      </w:r>
      <w:r w:rsidR="00A07480" w:rsidRPr="00EE48E2">
        <w:rPr>
          <w:rFonts w:ascii="Book Antiqua" w:hAnsi="Book Antiqua"/>
          <w:sz w:val="24"/>
          <w:szCs w:val="24"/>
          <w:vertAlign w:val="superscript"/>
          <w:lang w:val="en-GB"/>
        </w:rPr>
        <w:t>[</w:t>
      </w:r>
      <w:r w:rsidR="00363A1A" w:rsidRPr="00EE48E2">
        <w:rPr>
          <w:rFonts w:ascii="Book Antiqua" w:hAnsi="Book Antiqua"/>
          <w:sz w:val="24"/>
          <w:szCs w:val="24"/>
          <w:vertAlign w:val="superscript"/>
          <w:lang w:val="en-GB"/>
        </w:rPr>
        <w:t>22]</w:t>
      </w:r>
      <w:r w:rsidR="00A07480" w:rsidRPr="00EE48E2">
        <w:rPr>
          <w:rFonts w:ascii="Book Antiqua" w:hAnsi="Book Antiqua"/>
          <w:sz w:val="24"/>
          <w:szCs w:val="24"/>
          <w:lang w:val="en-GB"/>
        </w:rPr>
        <w:t>.</w:t>
      </w:r>
    </w:p>
    <w:p w14:paraId="46867D36" w14:textId="79D49117" w:rsidR="00363A1A" w:rsidRPr="00EE48E2" w:rsidRDefault="00EE48E2" w:rsidP="004D1833">
      <w:pPr>
        <w:adjustRightInd w:val="0"/>
        <w:snapToGrid w:val="0"/>
        <w:spacing w:after="0" w:line="360" w:lineRule="auto"/>
        <w:jc w:val="both"/>
        <w:rPr>
          <w:rFonts w:ascii="Book Antiqua" w:hAnsi="Book Antiqua"/>
          <w:sz w:val="24"/>
          <w:szCs w:val="24"/>
          <w:lang w:val="en-GB"/>
        </w:rPr>
      </w:pPr>
      <w:r w:rsidRPr="00EE48E2">
        <w:rPr>
          <w:rFonts w:ascii="Book Antiqua" w:hAnsi="Book Antiqua"/>
          <w:sz w:val="24"/>
          <w:szCs w:val="24"/>
          <w:lang w:val="en-GB"/>
        </w:rPr>
        <w:t xml:space="preserve"> </w:t>
      </w:r>
      <w:r w:rsidR="001B49EF" w:rsidRPr="00EE48E2">
        <w:rPr>
          <w:rFonts w:ascii="Book Antiqua" w:hAnsi="Book Antiqua" w:hint="eastAsia"/>
          <w:sz w:val="24"/>
          <w:szCs w:val="24"/>
          <w:lang w:val="en-GB" w:eastAsia="zh-CN"/>
        </w:rPr>
        <w:t xml:space="preserve"> </w:t>
      </w:r>
      <w:r w:rsidR="00193166" w:rsidRPr="00EE48E2">
        <w:rPr>
          <w:rFonts w:ascii="Book Antiqua" w:hAnsi="Book Antiqua"/>
          <w:sz w:val="24"/>
          <w:szCs w:val="24"/>
          <w:lang w:val="en-GB"/>
        </w:rPr>
        <w:t>One possible strategy t</w:t>
      </w:r>
      <w:r w:rsidR="00363A1A" w:rsidRPr="00EE48E2">
        <w:rPr>
          <w:rFonts w:ascii="Book Antiqua" w:hAnsi="Book Antiqua"/>
          <w:sz w:val="24"/>
          <w:szCs w:val="24"/>
          <w:lang w:val="en-GB"/>
        </w:rPr>
        <w:t>o overcome the resistance to anti-EGFR moAbs mediated by mutations in ECD of EGFR</w:t>
      </w:r>
      <w:r w:rsidR="00193166" w:rsidRPr="00EE48E2">
        <w:rPr>
          <w:rFonts w:ascii="Book Antiqua" w:hAnsi="Book Antiqua"/>
          <w:sz w:val="24"/>
          <w:szCs w:val="24"/>
          <w:lang w:val="en-GB"/>
        </w:rPr>
        <w:t xml:space="preserve"> </w:t>
      </w:r>
      <w:r w:rsidR="006517F9" w:rsidRPr="00EE48E2">
        <w:rPr>
          <w:rFonts w:ascii="Book Antiqua" w:hAnsi="Book Antiqua"/>
          <w:sz w:val="24"/>
          <w:szCs w:val="24"/>
          <w:lang w:val="en-GB"/>
        </w:rPr>
        <w:t>would</w:t>
      </w:r>
      <w:r w:rsidR="00193166" w:rsidRPr="00EE48E2">
        <w:rPr>
          <w:rFonts w:ascii="Book Antiqua" w:hAnsi="Book Antiqua"/>
          <w:sz w:val="24"/>
          <w:szCs w:val="24"/>
          <w:lang w:val="en-GB"/>
        </w:rPr>
        <w:t xml:space="preserve"> be</w:t>
      </w:r>
      <w:r w:rsidR="00363A1A" w:rsidRPr="00EE48E2">
        <w:rPr>
          <w:rFonts w:ascii="Book Antiqua" w:hAnsi="Book Antiqua"/>
          <w:sz w:val="24"/>
          <w:szCs w:val="24"/>
          <w:lang w:val="en-GB"/>
        </w:rPr>
        <w:t xml:space="preserve"> to create moAbs that bind to different epitopes located in this region. For instance, Sym004 is a mixture of two different mAbs directed against non-overlapping epitopes of domain III of the EGFR. The antibodies bind simultaneously to the extracellular domain of EGFR, inducing internalization and degradation of the receptor. In preclinical studies</w:t>
      </w:r>
      <w:r w:rsidR="00193166" w:rsidRPr="00EE48E2">
        <w:rPr>
          <w:rFonts w:ascii="Book Antiqua" w:hAnsi="Book Antiqua"/>
          <w:sz w:val="24"/>
          <w:szCs w:val="24"/>
          <w:lang w:val="en-GB"/>
        </w:rPr>
        <w:t>,</w:t>
      </w:r>
      <w:r w:rsidR="00363A1A" w:rsidRPr="00EE48E2">
        <w:rPr>
          <w:rFonts w:ascii="Book Antiqua" w:hAnsi="Book Antiqua"/>
          <w:sz w:val="24"/>
          <w:szCs w:val="24"/>
          <w:lang w:val="en-GB"/>
        </w:rPr>
        <w:t xml:space="preserve"> Sym004 demonstrated a stronger </w:t>
      </w:r>
      <w:r w:rsidR="00866858" w:rsidRPr="00EE48E2">
        <w:rPr>
          <w:rFonts w:ascii="Book Antiqua" w:hAnsi="Book Antiqua"/>
          <w:sz w:val="24"/>
          <w:szCs w:val="24"/>
          <w:lang w:val="en-GB"/>
        </w:rPr>
        <w:t>tumour</w:t>
      </w:r>
      <w:r w:rsidR="00363A1A" w:rsidRPr="00EE48E2">
        <w:rPr>
          <w:rFonts w:ascii="Book Antiqua" w:hAnsi="Book Antiqua"/>
          <w:sz w:val="24"/>
          <w:szCs w:val="24"/>
          <w:lang w:val="en-GB"/>
        </w:rPr>
        <w:t xml:space="preserve"> suppression</w:t>
      </w:r>
      <w:r w:rsidR="00DB342E" w:rsidRPr="00EE48E2">
        <w:rPr>
          <w:rFonts w:ascii="Book Antiqua" w:hAnsi="Book Antiqua"/>
          <w:sz w:val="24"/>
          <w:szCs w:val="24"/>
          <w:lang w:val="en-GB"/>
        </w:rPr>
        <w:t xml:space="preserve"> compared </w:t>
      </w:r>
      <w:r w:rsidR="00363A1A" w:rsidRPr="00EE48E2">
        <w:rPr>
          <w:rFonts w:ascii="Book Antiqua" w:hAnsi="Book Antiqua"/>
          <w:sz w:val="24"/>
          <w:szCs w:val="24"/>
          <w:lang w:val="en-GB"/>
        </w:rPr>
        <w:t>to cetuximab and panitumumab</w:t>
      </w:r>
      <w:r w:rsidR="00363A1A" w:rsidRPr="00EE48E2">
        <w:rPr>
          <w:rFonts w:ascii="Book Antiqua" w:hAnsi="Book Antiqua"/>
          <w:sz w:val="24"/>
          <w:szCs w:val="24"/>
          <w:vertAlign w:val="superscript"/>
          <w:lang w:val="en-GB"/>
        </w:rPr>
        <w:t>[22]</w:t>
      </w:r>
      <w:r w:rsidR="00A07480" w:rsidRPr="00EE48E2">
        <w:rPr>
          <w:rFonts w:ascii="Book Antiqua" w:hAnsi="Book Antiqua"/>
          <w:sz w:val="24"/>
          <w:szCs w:val="24"/>
          <w:lang w:val="en-GB"/>
        </w:rPr>
        <w:t>.</w:t>
      </w:r>
    </w:p>
    <w:p w14:paraId="307E4C12" w14:textId="21EABB23" w:rsidR="00363A1A" w:rsidRPr="00EE48E2" w:rsidRDefault="00EE48E2" w:rsidP="004D1833">
      <w:pPr>
        <w:adjustRightInd w:val="0"/>
        <w:snapToGrid w:val="0"/>
        <w:spacing w:after="0" w:line="360" w:lineRule="auto"/>
        <w:jc w:val="both"/>
        <w:rPr>
          <w:rFonts w:ascii="Book Antiqua" w:hAnsi="Book Antiqua"/>
          <w:sz w:val="24"/>
          <w:szCs w:val="24"/>
          <w:lang w:val="en-GB"/>
        </w:rPr>
      </w:pPr>
      <w:r w:rsidRPr="00EE48E2">
        <w:rPr>
          <w:rFonts w:ascii="Book Antiqua" w:hAnsi="Book Antiqua"/>
          <w:sz w:val="24"/>
          <w:szCs w:val="24"/>
          <w:lang w:val="en-GB"/>
        </w:rPr>
        <w:t xml:space="preserve"> </w:t>
      </w:r>
      <w:r w:rsidR="001B49EF" w:rsidRPr="00EE48E2">
        <w:rPr>
          <w:rFonts w:ascii="Book Antiqua" w:hAnsi="Book Antiqua" w:hint="eastAsia"/>
          <w:sz w:val="24"/>
          <w:szCs w:val="24"/>
          <w:lang w:val="en-GB" w:eastAsia="zh-CN"/>
        </w:rPr>
        <w:t xml:space="preserve"> </w:t>
      </w:r>
      <w:r w:rsidR="00363A1A" w:rsidRPr="00EE48E2">
        <w:rPr>
          <w:rFonts w:ascii="Book Antiqua" w:hAnsi="Book Antiqua"/>
          <w:sz w:val="24"/>
          <w:szCs w:val="24"/>
          <w:lang w:val="en-GB"/>
        </w:rPr>
        <w:t xml:space="preserve">Dienstmann and </w:t>
      </w:r>
      <w:r w:rsidR="006517F9" w:rsidRPr="00EE48E2">
        <w:rPr>
          <w:rFonts w:ascii="Book Antiqua" w:hAnsi="Book Antiqua"/>
          <w:sz w:val="24"/>
          <w:szCs w:val="24"/>
          <w:lang w:val="en-GB"/>
        </w:rPr>
        <w:t>colleagues</w:t>
      </w:r>
      <w:r w:rsidR="00363A1A" w:rsidRPr="00EE48E2">
        <w:rPr>
          <w:rFonts w:ascii="Book Antiqua" w:hAnsi="Book Antiqua"/>
          <w:sz w:val="24"/>
          <w:szCs w:val="24"/>
          <w:lang w:val="en-GB"/>
        </w:rPr>
        <w:t xml:space="preserve"> reported the results from the phase I trial </w:t>
      </w:r>
      <w:r w:rsidR="00E15E24" w:rsidRPr="00EE48E2">
        <w:rPr>
          <w:rFonts w:ascii="Book Antiqua" w:hAnsi="Book Antiqua"/>
          <w:sz w:val="24"/>
          <w:szCs w:val="24"/>
          <w:lang w:val="en-GB"/>
        </w:rPr>
        <w:t>in which</w:t>
      </w:r>
      <w:r w:rsidR="00363A1A" w:rsidRPr="00EE48E2">
        <w:rPr>
          <w:rFonts w:ascii="Book Antiqua" w:hAnsi="Book Antiqua"/>
          <w:sz w:val="24"/>
          <w:szCs w:val="24"/>
          <w:lang w:val="en-GB"/>
        </w:rPr>
        <w:t xml:space="preserve"> 42 patients with metastatic colorectal cancer and acquired resistance to anti-EGFR inhibitors were enrolled to receive different doses (9 or 12 mg/kg weekly) of Sym004. All patients had a documented response to previous anti-EGFR mAb treatment followed by disease progression. </w:t>
      </w:r>
      <w:r w:rsidR="00E15E24" w:rsidRPr="00EE48E2">
        <w:rPr>
          <w:rFonts w:ascii="Book Antiqua" w:hAnsi="Book Antiqua"/>
          <w:sz w:val="24"/>
          <w:szCs w:val="24"/>
          <w:lang w:val="en-GB"/>
        </w:rPr>
        <w:t xml:space="preserve">Of the 39 patients evaluable for response, </w:t>
      </w:r>
      <w:r w:rsidR="00363A1A" w:rsidRPr="00EE48E2">
        <w:rPr>
          <w:rFonts w:ascii="Book Antiqua" w:hAnsi="Book Antiqua"/>
          <w:sz w:val="24"/>
          <w:szCs w:val="24"/>
          <w:lang w:val="en-GB"/>
        </w:rPr>
        <w:t xml:space="preserve">17 (44%) had </w:t>
      </w:r>
      <w:r w:rsidR="00E15E24" w:rsidRPr="00EE48E2">
        <w:rPr>
          <w:rFonts w:ascii="Book Antiqua" w:hAnsi="Book Antiqua"/>
          <w:sz w:val="24"/>
          <w:szCs w:val="24"/>
          <w:lang w:val="en-GB"/>
        </w:rPr>
        <w:t xml:space="preserve">a </w:t>
      </w:r>
      <w:r w:rsidR="00363A1A" w:rsidRPr="00EE48E2">
        <w:rPr>
          <w:rFonts w:ascii="Book Antiqua" w:hAnsi="Book Antiqua"/>
          <w:sz w:val="24"/>
          <w:szCs w:val="24"/>
          <w:lang w:val="en-GB"/>
        </w:rPr>
        <w:t xml:space="preserve">different degree of </w:t>
      </w:r>
      <w:r w:rsidR="00866858" w:rsidRPr="00EE48E2">
        <w:rPr>
          <w:rFonts w:ascii="Book Antiqua" w:hAnsi="Book Antiqua"/>
          <w:sz w:val="24"/>
          <w:szCs w:val="24"/>
          <w:lang w:val="en-GB"/>
        </w:rPr>
        <w:t>tumour</w:t>
      </w:r>
      <w:r w:rsidR="00363A1A" w:rsidRPr="00EE48E2">
        <w:rPr>
          <w:rFonts w:ascii="Book Antiqua" w:hAnsi="Book Antiqua"/>
          <w:sz w:val="24"/>
          <w:szCs w:val="24"/>
          <w:lang w:val="en-GB"/>
        </w:rPr>
        <w:t xml:space="preserve"> shrinkage</w:t>
      </w:r>
      <w:r w:rsidR="00E15E24" w:rsidRPr="00EE48E2">
        <w:rPr>
          <w:rFonts w:ascii="Book Antiqua" w:hAnsi="Book Antiqua"/>
          <w:sz w:val="24"/>
          <w:szCs w:val="24"/>
          <w:lang w:val="en-GB"/>
        </w:rPr>
        <w:t>,</w:t>
      </w:r>
      <w:r w:rsidR="00363A1A" w:rsidRPr="00EE48E2">
        <w:rPr>
          <w:rFonts w:ascii="Book Antiqua" w:hAnsi="Book Antiqua"/>
          <w:sz w:val="24"/>
          <w:szCs w:val="24"/>
          <w:lang w:val="en-GB"/>
        </w:rPr>
        <w:t xml:space="preserve"> with an overall disease control rate (partial response and stable disease) of 67%; median progression-free surv</w:t>
      </w:r>
      <w:r w:rsidR="001B49EF" w:rsidRPr="00EE48E2">
        <w:rPr>
          <w:rFonts w:ascii="Book Antiqua" w:hAnsi="Book Antiqua"/>
          <w:sz w:val="24"/>
          <w:szCs w:val="24"/>
          <w:lang w:val="en-GB"/>
        </w:rPr>
        <w:t xml:space="preserve">ival (PFS) was 3.3 </w:t>
      </w:r>
      <w:r w:rsidR="001B49EF" w:rsidRPr="00EE48E2">
        <w:rPr>
          <w:rFonts w:ascii="Book Antiqua" w:hAnsi="Book Antiqua" w:hint="eastAsia"/>
          <w:sz w:val="24"/>
          <w:szCs w:val="24"/>
          <w:lang w:val="en-GB" w:eastAsia="zh-CN"/>
        </w:rPr>
        <w:t>mo</w:t>
      </w:r>
      <w:r w:rsidR="001B49EF" w:rsidRPr="00EE48E2">
        <w:rPr>
          <w:rFonts w:ascii="Book Antiqua" w:hAnsi="Book Antiqua"/>
          <w:sz w:val="24"/>
          <w:szCs w:val="24"/>
          <w:lang w:val="en-GB"/>
        </w:rPr>
        <w:t xml:space="preserve"> (95%</w:t>
      </w:r>
      <w:r w:rsidR="00363A1A" w:rsidRPr="00EE48E2">
        <w:rPr>
          <w:rFonts w:ascii="Book Antiqua" w:hAnsi="Book Antiqua"/>
          <w:sz w:val="24"/>
          <w:szCs w:val="24"/>
          <w:lang w:val="en-GB"/>
        </w:rPr>
        <w:t>CI</w:t>
      </w:r>
      <w:r w:rsidR="001B49EF" w:rsidRPr="00EE48E2">
        <w:rPr>
          <w:rFonts w:ascii="Book Antiqua" w:hAnsi="Book Antiqua" w:hint="eastAsia"/>
          <w:sz w:val="24"/>
          <w:szCs w:val="24"/>
          <w:lang w:val="en-GB" w:eastAsia="zh-CN"/>
        </w:rPr>
        <w:t>:</w:t>
      </w:r>
      <w:r w:rsidR="00363A1A" w:rsidRPr="00EE48E2">
        <w:rPr>
          <w:rFonts w:ascii="Book Antiqua" w:hAnsi="Book Antiqua"/>
          <w:sz w:val="24"/>
          <w:szCs w:val="24"/>
          <w:lang w:val="en-GB"/>
        </w:rPr>
        <w:t xml:space="preserve"> 2.6–4.9). Regarding toxicities</w:t>
      </w:r>
      <w:r w:rsidR="00E15E24" w:rsidRPr="00EE48E2">
        <w:rPr>
          <w:rFonts w:ascii="Book Antiqua" w:hAnsi="Book Antiqua"/>
          <w:sz w:val="24"/>
          <w:szCs w:val="24"/>
          <w:lang w:val="en-GB"/>
        </w:rPr>
        <w:t>,</w:t>
      </w:r>
      <w:r w:rsidR="00363A1A" w:rsidRPr="00EE48E2">
        <w:rPr>
          <w:rFonts w:ascii="Book Antiqua" w:hAnsi="Book Antiqua"/>
          <w:sz w:val="24"/>
          <w:szCs w:val="24"/>
          <w:lang w:val="en-GB"/>
        </w:rPr>
        <w:t xml:space="preserve"> </w:t>
      </w:r>
      <w:r w:rsidR="00E15E24" w:rsidRPr="00EE48E2">
        <w:rPr>
          <w:rFonts w:ascii="Book Antiqua" w:hAnsi="Book Antiqua"/>
          <w:sz w:val="24"/>
          <w:szCs w:val="24"/>
          <w:lang w:val="en-GB"/>
        </w:rPr>
        <w:t xml:space="preserve">the </w:t>
      </w:r>
      <w:r w:rsidR="00363A1A" w:rsidRPr="00EE48E2">
        <w:rPr>
          <w:rFonts w:ascii="Book Antiqua" w:hAnsi="Book Antiqua"/>
          <w:sz w:val="24"/>
          <w:szCs w:val="24"/>
          <w:lang w:val="en-GB"/>
        </w:rPr>
        <w:t>most common drug-related adverse events of any grade were skin rash, dry skin, hypomagnesemia and pruritus</w:t>
      </w:r>
      <w:r w:rsidR="00363A1A" w:rsidRPr="00EE48E2">
        <w:rPr>
          <w:rFonts w:ascii="Book Antiqua" w:hAnsi="Book Antiqua"/>
          <w:sz w:val="24"/>
          <w:szCs w:val="24"/>
          <w:vertAlign w:val="superscript"/>
          <w:lang w:val="en-GB"/>
        </w:rPr>
        <w:t>[</w:t>
      </w:r>
      <w:r w:rsidR="000E58F5">
        <w:rPr>
          <w:rFonts w:ascii="Book Antiqua" w:hAnsi="Book Antiqua" w:hint="eastAsia"/>
          <w:sz w:val="24"/>
          <w:szCs w:val="24"/>
          <w:vertAlign w:val="superscript"/>
          <w:lang w:val="en-GB" w:eastAsia="zh-CN"/>
        </w:rPr>
        <w:t>107,</w:t>
      </w:r>
      <w:r w:rsidR="00363A1A" w:rsidRPr="00EE48E2">
        <w:rPr>
          <w:rFonts w:ascii="Book Antiqua" w:hAnsi="Book Antiqua"/>
          <w:sz w:val="24"/>
          <w:szCs w:val="24"/>
          <w:vertAlign w:val="superscript"/>
          <w:lang w:val="en-GB"/>
        </w:rPr>
        <w:t>1</w:t>
      </w:r>
      <w:r w:rsidR="00AF249E">
        <w:rPr>
          <w:rFonts w:ascii="Book Antiqua" w:hAnsi="Book Antiqua" w:hint="eastAsia"/>
          <w:sz w:val="24"/>
          <w:szCs w:val="24"/>
          <w:vertAlign w:val="superscript"/>
          <w:lang w:val="en-GB" w:eastAsia="zh-CN"/>
        </w:rPr>
        <w:t>08</w:t>
      </w:r>
      <w:r w:rsidR="00363A1A" w:rsidRPr="00EE48E2">
        <w:rPr>
          <w:rFonts w:ascii="Book Antiqua" w:hAnsi="Book Antiqua"/>
          <w:sz w:val="24"/>
          <w:szCs w:val="24"/>
          <w:vertAlign w:val="superscript"/>
          <w:lang w:val="en-GB"/>
        </w:rPr>
        <w:t>]</w:t>
      </w:r>
      <w:r w:rsidR="00A07480" w:rsidRPr="00EE48E2">
        <w:rPr>
          <w:rFonts w:ascii="Book Antiqua" w:hAnsi="Book Antiqua"/>
          <w:sz w:val="24"/>
          <w:szCs w:val="24"/>
          <w:lang w:val="en-GB"/>
        </w:rPr>
        <w:t>.</w:t>
      </w:r>
      <w:r w:rsidR="00363A1A" w:rsidRPr="00EE48E2">
        <w:rPr>
          <w:rFonts w:ascii="Book Antiqua" w:hAnsi="Book Antiqua"/>
          <w:sz w:val="24"/>
          <w:szCs w:val="24"/>
          <w:lang w:val="en-GB"/>
        </w:rPr>
        <w:t xml:space="preserve"> Currently, Sym004 is under investigation in a phase II clinical trial as </w:t>
      </w:r>
      <w:r w:rsidR="00E15E24" w:rsidRPr="00EE48E2">
        <w:rPr>
          <w:rFonts w:ascii="Book Antiqua" w:hAnsi="Book Antiqua"/>
          <w:sz w:val="24"/>
          <w:szCs w:val="24"/>
          <w:lang w:val="en-GB"/>
        </w:rPr>
        <w:t xml:space="preserve">a </w:t>
      </w:r>
      <w:r w:rsidR="00363A1A" w:rsidRPr="00EE48E2">
        <w:rPr>
          <w:rFonts w:ascii="Book Antiqua" w:hAnsi="Book Antiqua"/>
          <w:sz w:val="24"/>
          <w:szCs w:val="24"/>
          <w:lang w:val="en-GB"/>
        </w:rPr>
        <w:t xml:space="preserve">monotherapy in selected patients with KRAS WT CRC progressing to previous cetuximab or panitumumab-based therapy within 6 </w:t>
      </w:r>
      <w:r w:rsidR="00AF249E">
        <w:rPr>
          <w:rFonts w:ascii="Book Antiqua" w:hAnsi="Book Antiqua" w:hint="eastAsia"/>
          <w:sz w:val="24"/>
          <w:szCs w:val="24"/>
          <w:lang w:val="en-GB" w:eastAsia="zh-CN"/>
        </w:rPr>
        <w:t>mo</w:t>
      </w:r>
      <w:r w:rsidR="00363A1A" w:rsidRPr="00EE48E2">
        <w:rPr>
          <w:rFonts w:ascii="Book Antiqua" w:hAnsi="Book Antiqua"/>
          <w:sz w:val="24"/>
          <w:szCs w:val="24"/>
          <w:lang w:val="en-GB"/>
        </w:rPr>
        <w:t xml:space="preserve"> from trial enrolment.</w:t>
      </w:r>
    </w:p>
    <w:p w14:paraId="78392501" w14:textId="66796D0C" w:rsidR="00363A1A" w:rsidRPr="00EE48E2" w:rsidRDefault="00EE48E2" w:rsidP="004D1833">
      <w:pPr>
        <w:adjustRightInd w:val="0"/>
        <w:snapToGrid w:val="0"/>
        <w:spacing w:after="0" w:line="360" w:lineRule="auto"/>
        <w:jc w:val="both"/>
        <w:rPr>
          <w:rFonts w:ascii="Book Antiqua" w:hAnsi="Book Antiqua"/>
          <w:sz w:val="24"/>
          <w:szCs w:val="24"/>
          <w:lang w:val="en-GB"/>
        </w:rPr>
      </w:pPr>
      <w:r w:rsidRPr="00EE48E2">
        <w:rPr>
          <w:rFonts w:ascii="Book Antiqua" w:hAnsi="Book Antiqua"/>
          <w:sz w:val="24"/>
          <w:szCs w:val="24"/>
          <w:lang w:val="en-GB"/>
        </w:rPr>
        <w:t xml:space="preserve"> </w:t>
      </w:r>
      <w:r w:rsidRPr="00EE48E2">
        <w:rPr>
          <w:rFonts w:ascii="Book Antiqua" w:hAnsi="Book Antiqua" w:hint="eastAsia"/>
          <w:sz w:val="24"/>
          <w:szCs w:val="24"/>
          <w:lang w:val="en-GB" w:eastAsia="zh-CN"/>
        </w:rPr>
        <w:t xml:space="preserve"> </w:t>
      </w:r>
      <w:r w:rsidR="00363A1A" w:rsidRPr="00EE48E2">
        <w:rPr>
          <w:rFonts w:ascii="Book Antiqua" w:hAnsi="Book Antiqua"/>
          <w:sz w:val="24"/>
          <w:szCs w:val="24"/>
          <w:lang w:val="en-GB"/>
        </w:rPr>
        <w:t>Another drug</w:t>
      </w:r>
      <w:r w:rsidR="00E15E24" w:rsidRPr="00EE48E2">
        <w:rPr>
          <w:rFonts w:ascii="Book Antiqua" w:hAnsi="Book Antiqua"/>
          <w:sz w:val="24"/>
          <w:szCs w:val="24"/>
          <w:lang w:val="en-GB"/>
        </w:rPr>
        <w:t>,</w:t>
      </w:r>
      <w:r w:rsidR="00363A1A" w:rsidRPr="00EE48E2">
        <w:rPr>
          <w:rFonts w:ascii="Book Antiqua" w:hAnsi="Book Antiqua"/>
          <w:sz w:val="24"/>
          <w:szCs w:val="24"/>
          <w:lang w:val="en-GB"/>
        </w:rPr>
        <w:t xml:space="preserve"> MM-151</w:t>
      </w:r>
      <w:r w:rsidR="00E15E24" w:rsidRPr="00EE48E2">
        <w:rPr>
          <w:rFonts w:ascii="Book Antiqua" w:hAnsi="Book Antiqua"/>
          <w:sz w:val="24"/>
          <w:szCs w:val="24"/>
          <w:lang w:val="en-GB"/>
        </w:rPr>
        <w:t>,</w:t>
      </w:r>
      <w:r w:rsidR="00363A1A" w:rsidRPr="00EE48E2">
        <w:rPr>
          <w:rFonts w:ascii="Book Antiqua" w:hAnsi="Book Antiqua"/>
          <w:sz w:val="24"/>
          <w:szCs w:val="24"/>
          <w:lang w:val="en-GB"/>
        </w:rPr>
        <w:t xml:space="preserve"> is a third-generation EGFR inhibitor consisting of a mixture</w:t>
      </w:r>
      <w:r w:rsidR="00E15E24" w:rsidRPr="00EE48E2">
        <w:rPr>
          <w:rFonts w:ascii="Book Antiqua" w:hAnsi="Book Antiqua"/>
          <w:sz w:val="24"/>
          <w:szCs w:val="24"/>
          <w:lang w:val="en-GB"/>
        </w:rPr>
        <w:t xml:space="preserve"> of</w:t>
      </w:r>
      <w:r w:rsidR="00363A1A" w:rsidRPr="00EE48E2">
        <w:rPr>
          <w:rFonts w:ascii="Book Antiqua" w:hAnsi="Book Antiqua"/>
          <w:sz w:val="24"/>
          <w:szCs w:val="24"/>
          <w:lang w:val="en-GB"/>
        </w:rPr>
        <w:t xml:space="preserve"> three fully human IgG1 antibodies that bind distinct, non-overlapping epitopes on EGFR. In preclinical models</w:t>
      </w:r>
      <w:r w:rsidR="00E15E24" w:rsidRPr="00EE48E2">
        <w:rPr>
          <w:rFonts w:ascii="Book Antiqua" w:hAnsi="Book Antiqua"/>
          <w:sz w:val="24"/>
          <w:szCs w:val="24"/>
          <w:lang w:val="en-GB"/>
        </w:rPr>
        <w:t>,</w:t>
      </w:r>
      <w:r w:rsidR="00363A1A" w:rsidRPr="00EE48E2">
        <w:rPr>
          <w:rFonts w:ascii="Book Antiqua" w:hAnsi="Book Antiqua"/>
          <w:sz w:val="24"/>
          <w:szCs w:val="24"/>
          <w:lang w:val="en-GB"/>
        </w:rPr>
        <w:t xml:space="preserve"> MM-151 showed an enhanced anticancer effect by improving the EGFR pathway inhibition, as well as inducing a more profound downregulation of the receptor and stimulating the innate immune responses</w:t>
      </w:r>
      <w:r w:rsidR="00363A1A" w:rsidRPr="00EE48E2">
        <w:rPr>
          <w:rFonts w:ascii="Book Antiqua" w:hAnsi="Book Antiqua"/>
          <w:sz w:val="24"/>
          <w:szCs w:val="24"/>
          <w:vertAlign w:val="superscript"/>
          <w:lang w:val="en-GB"/>
        </w:rPr>
        <w:t>[</w:t>
      </w:r>
      <w:r w:rsidR="00AF249E">
        <w:rPr>
          <w:rFonts w:ascii="Book Antiqua" w:hAnsi="Book Antiqua" w:hint="eastAsia"/>
          <w:sz w:val="24"/>
          <w:szCs w:val="24"/>
          <w:vertAlign w:val="superscript"/>
          <w:lang w:val="en-GB" w:eastAsia="zh-CN"/>
        </w:rPr>
        <w:t>109</w:t>
      </w:r>
      <w:r w:rsidR="00363A1A" w:rsidRPr="00EE48E2">
        <w:rPr>
          <w:rFonts w:ascii="Book Antiqua" w:hAnsi="Book Antiqua"/>
          <w:sz w:val="24"/>
          <w:szCs w:val="24"/>
          <w:vertAlign w:val="superscript"/>
          <w:lang w:val="en-GB"/>
        </w:rPr>
        <w:t>]</w:t>
      </w:r>
      <w:r w:rsidR="00A07480" w:rsidRPr="00EE48E2">
        <w:rPr>
          <w:rFonts w:ascii="Book Antiqua" w:hAnsi="Book Antiqua"/>
          <w:sz w:val="24"/>
          <w:szCs w:val="24"/>
          <w:lang w:val="en-GB"/>
        </w:rPr>
        <w:t xml:space="preserve">. </w:t>
      </w:r>
      <w:r w:rsidR="00363A1A" w:rsidRPr="00EE48E2">
        <w:rPr>
          <w:rFonts w:ascii="Book Antiqua" w:hAnsi="Book Antiqua"/>
          <w:sz w:val="24"/>
          <w:szCs w:val="24"/>
          <w:lang w:val="en-GB"/>
        </w:rPr>
        <w:t xml:space="preserve">The results of the phase I trial </w:t>
      </w:r>
      <w:r w:rsidR="00363A1A" w:rsidRPr="00EE48E2">
        <w:rPr>
          <w:rFonts w:ascii="Book Antiqua" w:hAnsi="Book Antiqua"/>
          <w:sz w:val="24"/>
          <w:szCs w:val="24"/>
          <w:lang w:val="en-GB"/>
        </w:rPr>
        <w:lastRenderedPageBreak/>
        <w:t xml:space="preserve">with MM-151 alone </w:t>
      </w:r>
      <w:r w:rsidR="00DA1BA0" w:rsidRPr="00EE48E2">
        <w:rPr>
          <w:rFonts w:ascii="Book Antiqua" w:hAnsi="Book Antiqua"/>
          <w:i/>
          <w:sz w:val="24"/>
          <w:szCs w:val="24"/>
          <w:lang w:val="en-GB"/>
        </w:rPr>
        <w:t>vs</w:t>
      </w:r>
      <w:r w:rsidR="00363A1A" w:rsidRPr="00EE48E2">
        <w:rPr>
          <w:rFonts w:ascii="Book Antiqua" w:hAnsi="Book Antiqua"/>
          <w:sz w:val="24"/>
          <w:szCs w:val="24"/>
          <w:lang w:val="en-GB"/>
        </w:rPr>
        <w:t xml:space="preserve"> combination with irinotecan demonstrated the safety of the drug</w:t>
      </w:r>
      <w:r w:rsidR="00E15E24" w:rsidRPr="00EE48E2">
        <w:rPr>
          <w:rFonts w:ascii="Book Antiqua" w:hAnsi="Book Antiqua"/>
          <w:sz w:val="24"/>
          <w:szCs w:val="24"/>
          <w:lang w:val="en-GB"/>
        </w:rPr>
        <w:t>,</w:t>
      </w:r>
      <w:r w:rsidR="00363A1A" w:rsidRPr="00EE48E2">
        <w:rPr>
          <w:rFonts w:ascii="Book Antiqua" w:hAnsi="Book Antiqua"/>
          <w:sz w:val="24"/>
          <w:szCs w:val="24"/>
          <w:lang w:val="en-GB"/>
        </w:rPr>
        <w:t xml:space="preserve"> and in particular</w:t>
      </w:r>
      <w:r w:rsidR="00E15E24" w:rsidRPr="00EE48E2">
        <w:rPr>
          <w:rFonts w:ascii="Book Antiqua" w:hAnsi="Book Antiqua"/>
          <w:sz w:val="24"/>
          <w:szCs w:val="24"/>
          <w:lang w:val="en-GB"/>
        </w:rPr>
        <w:t>,</w:t>
      </w:r>
      <w:r w:rsidR="00363A1A" w:rsidRPr="00EE48E2">
        <w:rPr>
          <w:rFonts w:ascii="Book Antiqua" w:hAnsi="Book Antiqua"/>
          <w:sz w:val="24"/>
          <w:szCs w:val="24"/>
          <w:lang w:val="en-GB"/>
        </w:rPr>
        <w:t xml:space="preserve"> </w:t>
      </w:r>
      <w:r w:rsidR="00E15E24" w:rsidRPr="00EE48E2">
        <w:rPr>
          <w:rFonts w:ascii="Book Antiqua" w:hAnsi="Book Antiqua"/>
          <w:sz w:val="24"/>
          <w:szCs w:val="24"/>
          <w:lang w:val="en-GB"/>
        </w:rPr>
        <w:t xml:space="preserve">demonstrated </w:t>
      </w:r>
      <w:r w:rsidR="00363A1A" w:rsidRPr="00EE48E2">
        <w:rPr>
          <w:rFonts w:ascii="Book Antiqua" w:hAnsi="Book Antiqua"/>
          <w:sz w:val="24"/>
          <w:szCs w:val="24"/>
          <w:lang w:val="en-GB"/>
        </w:rPr>
        <w:t>an unusual</w:t>
      </w:r>
      <w:r w:rsidR="00E15E24" w:rsidRPr="00EE48E2">
        <w:rPr>
          <w:rFonts w:ascii="Book Antiqua" w:hAnsi="Book Antiqua"/>
          <w:sz w:val="24"/>
          <w:szCs w:val="24"/>
          <w:lang w:val="en-GB"/>
        </w:rPr>
        <w:t>ly</w:t>
      </w:r>
      <w:r w:rsidR="00363A1A" w:rsidRPr="00EE48E2">
        <w:rPr>
          <w:rFonts w:ascii="Book Antiqua" w:hAnsi="Book Antiqua"/>
          <w:sz w:val="24"/>
          <w:szCs w:val="24"/>
          <w:lang w:val="en-GB"/>
        </w:rPr>
        <w:t xml:space="preserve"> long-lasting disease control </w:t>
      </w:r>
      <w:r w:rsidR="00E15E24" w:rsidRPr="00EE48E2">
        <w:rPr>
          <w:rFonts w:ascii="Book Antiqua" w:hAnsi="Book Antiqua"/>
          <w:sz w:val="24"/>
          <w:szCs w:val="24"/>
          <w:lang w:val="en-GB"/>
        </w:rPr>
        <w:t>in the combination arm</w:t>
      </w:r>
      <w:r w:rsidR="00363A1A" w:rsidRPr="00EE48E2">
        <w:rPr>
          <w:rFonts w:ascii="Book Antiqua" w:hAnsi="Book Antiqua"/>
          <w:sz w:val="24"/>
          <w:szCs w:val="24"/>
          <w:lang w:val="en-GB"/>
        </w:rPr>
        <w:t>.</w:t>
      </w:r>
    </w:p>
    <w:p w14:paraId="5EDDDB2C" w14:textId="77777777" w:rsidR="00363A1A" w:rsidRPr="00EE48E2" w:rsidRDefault="00363A1A" w:rsidP="004D1833">
      <w:pPr>
        <w:adjustRightInd w:val="0"/>
        <w:snapToGrid w:val="0"/>
        <w:spacing w:after="0" w:line="360" w:lineRule="auto"/>
        <w:jc w:val="both"/>
        <w:rPr>
          <w:rFonts w:ascii="Book Antiqua" w:hAnsi="Book Antiqua"/>
          <w:b/>
          <w:i/>
          <w:sz w:val="24"/>
          <w:szCs w:val="24"/>
          <w:lang w:val="en-GB"/>
        </w:rPr>
      </w:pPr>
      <w:r w:rsidRPr="00EE48E2">
        <w:rPr>
          <w:rFonts w:ascii="Book Antiqua" w:hAnsi="Book Antiqua"/>
          <w:b/>
          <w:i/>
          <w:sz w:val="24"/>
          <w:szCs w:val="24"/>
          <w:lang w:val="en-GB"/>
        </w:rPr>
        <w:t>MET</w:t>
      </w:r>
    </w:p>
    <w:p w14:paraId="0496DA24" w14:textId="0C63FBFA" w:rsidR="00363A1A" w:rsidRPr="00EE48E2" w:rsidRDefault="00363A1A" w:rsidP="004D1833">
      <w:pPr>
        <w:adjustRightInd w:val="0"/>
        <w:snapToGrid w:val="0"/>
        <w:spacing w:after="0" w:line="360" w:lineRule="auto"/>
        <w:jc w:val="both"/>
        <w:rPr>
          <w:rFonts w:ascii="Book Antiqua" w:hAnsi="Book Antiqua"/>
          <w:sz w:val="24"/>
          <w:szCs w:val="24"/>
          <w:lang w:val="en-GB"/>
        </w:rPr>
      </w:pPr>
      <w:r w:rsidRPr="00EE48E2">
        <w:rPr>
          <w:rFonts w:ascii="Book Antiqua" w:hAnsi="Book Antiqua"/>
          <w:sz w:val="24"/>
          <w:szCs w:val="24"/>
          <w:lang w:val="en-GB"/>
        </w:rPr>
        <w:t>MET is a tyrosine kinase receptor involved in several cell process</w:t>
      </w:r>
      <w:r w:rsidR="00437CF2" w:rsidRPr="00EE48E2">
        <w:rPr>
          <w:rFonts w:ascii="Book Antiqua" w:hAnsi="Book Antiqua"/>
          <w:sz w:val="24"/>
          <w:szCs w:val="24"/>
          <w:lang w:val="en-GB"/>
        </w:rPr>
        <w:t>es,</w:t>
      </w:r>
      <w:r w:rsidRPr="00EE48E2">
        <w:rPr>
          <w:rFonts w:ascii="Book Antiqua" w:hAnsi="Book Antiqua"/>
          <w:sz w:val="24"/>
          <w:szCs w:val="24"/>
          <w:lang w:val="en-GB"/>
        </w:rPr>
        <w:t xml:space="preserve"> such as proliferation, apoptosis, invasion and angiogenesis. It </w:t>
      </w:r>
      <w:r w:rsidR="00437CF2" w:rsidRPr="00EE48E2">
        <w:rPr>
          <w:rFonts w:ascii="Book Antiqua" w:hAnsi="Book Antiqua"/>
          <w:sz w:val="24"/>
          <w:szCs w:val="24"/>
          <w:lang w:val="en-GB"/>
        </w:rPr>
        <w:t xml:space="preserve">is </w:t>
      </w:r>
      <w:r w:rsidRPr="00EE48E2">
        <w:rPr>
          <w:rFonts w:ascii="Book Antiqua" w:hAnsi="Book Antiqua"/>
          <w:sz w:val="24"/>
          <w:szCs w:val="24"/>
          <w:lang w:val="en-GB"/>
        </w:rPr>
        <w:t xml:space="preserve">activated by its ligand, the hepatocyte growth factor (HGF). Several mechanisms may lead </w:t>
      </w:r>
      <w:r w:rsidR="00437CF2" w:rsidRPr="00EE48E2">
        <w:rPr>
          <w:rFonts w:ascii="Book Antiqua" w:hAnsi="Book Antiqua"/>
          <w:sz w:val="24"/>
          <w:szCs w:val="24"/>
          <w:lang w:val="en-GB"/>
        </w:rPr>
        <w:t xml:space="preserve">to </w:t>
      </w:r>
      <w:r w:rsidRPr="00EE48E2">
        <w:rPr>
          <w:rFonts w:ascii="Book Antiqua" w:hAnsi="Book Antiqua"/>
          <w:sz w:val="24"/>
          <w:szCs w:val="24"/>
          <w:lang w:val="en-GB"/>
        </w:rPr>
        <w:t>an abnormal activation of MET, including MET amplification and/or increased expression of HGF</w:t>
      </w:r>
      <w:r w:rsidRPr="00EE48E2">
        <w:rPr>
          <w:rFonts w:ascii="Book Antiqua" w:hAnsi="Book Antiqua"/>
          <w:sz w:val="24"/>
          <w:szCs w:val="24"/>
          <w:vertAlign w:val="superscript"/>
          <w:lang w:val="en-GB"/>
        </w:rPr>
        <w:t>[11</w:t>
      </w:r>
      <w:r w:rsidR="00AF249E">
        <w:rPr>
          <w:rFonts w:ascii="Book Antiqua" w:hAnsi="Book Antiqua" w:hint="eastAsia"/>
          <w:sz w:val="24"/>
          <w:szCs w:val="24"/>
          <w:vertAlign w:val="superscript"/>
          <w:lang w:val="en-GB" w:eastAsia="zh-CN"/>
        </w:rPr>
        <w:t>0</w:t>
      </w:r>
      <w:r w:rsidRPr="00EE48E2">
        <w:rPr>
          <w:rFonts w:ascii="Book Antiqua" w:hAnsi="Book Antiqua"/>
          <w:sz w:val="24"/>
          <w:szCs w:val="24"/>
          <w:vertAlign w:val="superscript"/>
          <w:lang w:val="en-GB"/>
        </w:rPr>
        <w:t>]</w:t>
      </w:r>
      <w:r w:rsidR="00A07480" w:rsidRPr="00EE48E2">
        <w:rPr>
          <w:rFonts w:ascii="Book Antiqua" w:hAnsi="Book Antiqua"/>
          <w:sz w:val="24"/>
          <w:szCs w:val="24"/>
          <w:lang w:val="en-GB"/>
        </w:rPr>
        <w:t>.</w:t>
      </w:r>
    </w:p>
    <w:p w14:paraId="2A3B49BC" w14:textId="66B3FC18" w:rsidR="00363A1A" w:rsidRPr="00EE48E2" w:rsidRDefault="00EE48E2" w:rsidP="001B49EF">
      <w:pPr>
        <w:adjustRightInd w:val="0"/>
        <w:snapToGrid w:val="0"/>
        <w:spacing w:after="0" w:line="360" w:lineRule="auto"/>
        <w:ind w:firstLineChars="50" w:firstLine="120"/>
        <w:jc w:val="both"/>
        <w:rPr>
          <w:rFonts w:ascii="Book Antiqua" w:hAnsi="Book Antiqua"/>
          <w:sz w:val="24"/>
          <w:szCs w:val="24"/>
          <w:lang w:val="en-GB"/>
        </w:rPr>
      </w:pPr>
      <w:r w:rsidRPr="00EE48E2">
        <w:rPr>
          <w:rFonts w:ascii="Book Antiqua" w:hAnsi="Book Antiqua"/>
          <w:sz w:val="24"/>
          <w:szCs w:val="24"/>
          <w:lang w:val="en-GB"/>
        </w:rPr>
        <w:t xml:space="preserve"> </w:t>
      </w:r>
      <w:r w:rsidR="00363A1A" w:rsidRPr="00EE48E2">
        <w:rPr>
          <w:rFonts w:ascii="Book Antiqua" w:hAnsi="Book Antiqua"/>
          <w:sz w:val="24"/>
          <w:szCs w:val="24"/>
          <w:lang w:val="en-GB"/>
        </w:rPr>
        <w:t>In mCRC cancer</w:t>
      </w:r>
      <w:r w:rsidR="00B6174C" w:rsidRPr="00EE48E2">
        <w:rPr>
          <w:rFonts w:ascii="Book Antiqua" w:hAnsi="Book Antiqua"/>
          <w:sz w:val="24"/>
          <w:szCs w:val="24"/>
          <w:lang w:val="en-GB"/>
        </w:rPr>
        <w:t>,</w:t>
      </w:r>
      <w:r w:rsidR="00363A1A" w:rsidRPr="00EE48E2">
        <w:rPr>
          <w:rFonts w:ascii="Book Antiqua" w:hAnsi="Book Antiqua"/>
          <w:sz w:val="24"/>
          <w:szCs w:val="24"/>
          <w:lang w:val="en-GB"/>
        </w:rPr>
        <w:t xml:space="preserve"> MET has been found amplified in</w:t>
      </w:r>
      <w:r w:rsidR="00DB342E" w:rsidRPr="00EE48E2">
        <w:rPr>
          <w:rFonts w:ascii="Book Antiqua" w:hAnsi="Book Antiqua"/>
          <w:sz w:val="24"/>
          <w:szCs w:val="24"/>
          <w:lang w:val="en-GB"/>
        </w:rPr>
        <w:t xml:space="preserve"> approximately 2</w:t>
      </w:r>
      <w:r w:rsidR="00363A1A" w:rsidRPr="00EE48E2">
        <w:rPr>
          <w:rFonts w:ascii="Book Antiqua" w:hAnsi="Book Antiqua"/>
          <w:sz w:val="24"/>
          <w:szCs w:val="24"/>
          <w:lang w:val="en-GB"/>
        </w:rPr>
        <w:t>% of samples, where it has bee</w:t>
      </w:r>
      <w:r w:rsidR="00DB342E" w:rsidRPr="00EE48E2">
        <w:rPr>
          <w:rFonts w:ascii="Book Antiqua" w:hAnsi="Book Antiqua"/>
          <w:sz w:val="24"/>
          <w:szCs w:val="24"/>
          <w:lang w:val="en-GB"/>
        </w:rPr>
        <w:t>n a</w:t>
      </w:r>
      <w:r w:rsidR="00363A1A" w:rsidRPr="00EE48E2">
        <w:rPr>
          <w:rFonts w:ascii="Book Antiqua" w:hAnsi="Book Antiqua"/>
          <w:sz w:val="24"/>
          <w:szCs w:val="24"/>
          <w:lang w:val="en-GB"/>
        </w:rPr>
        <w:t xml:space="preserve">ssociated with </w:t>
      </w:r>
      <w:r w:rsidR="00B6174C" w:rsidRPr="00EE48E2">
        <w:rPr>
          <w:rFonts w:ascii="Book Antiqua" w:hAnsi="Book Antiqua"/>
          <w:sz w:val="24"/>
          <w:szCs w:val="24"/>
          <w:lang w:val="en-GB"/>
        </w:rPr>
        <w:t xml:space="preserve">the </w:t>
      </w:r>
      <w:r w:rsidR="00363A1A" w:rsidRPr="00EE48E2">
        <w:rPr>
          <w:rFonts w:ascii="Book Antiqua" w:hAnsi="Book Antiqua"/>
          <w:sz w:val="24"/>
          <w:szCs w:val="24"/>
          <w:lang w:val="en-GB"/>
        </w:rPr>
        <w:t>development of distant metastases</w:t>
      </w:r>
      <w:r w:rsidR="00B6174C" w:rsidRPr="00EE48E2">
        <w:rPr>
          <w:rFonts w:ascii="Book Antiqua" w:hAnsi="Book Antiqua"/>
          <w:sz w:val="24"/>
          <w:szCs w:val="24"/>
          <w:lang w:val="en-GB"/>
        </w:rPr>
        <w:t>,</w:t>
      </w:r>
      <w:r w:rsidR="00363A1A" w:rsidRPr="00EE48E2">
        <w:rPr>
          <w:rFonts w:ascii="Book Antiqua" w:hAnsi="Book Antiqua"/>
          <w:sz w:val="24"/>
          <w:szCs w:val="24"/>
          <w:lang w:val="en-GB"/>
        </w:rPr>
        <w:t xml:space="preserve"> and it has been significantly correlated with poor outcomes</w:t>
      </w:r>
      <w:r w:rsidR="00363A1A" w:rsidRPr="00EE48E2">
        <w:rPr>
          <w:rFonts w:ascii="Book Antiqua" w:hAnsi="Book Antiqua"/>
          <w:sz w:val="24"/>
          <w:szCs w:val="24"/>
          <w:vertAlign w:val="superscript"/>
          <w:lang w:val="en-GB"/>
        </w:rPr>
        <w:t>[11</w:t>
      </w:r>
      <w:r w:rsidR="00AF249E">
        <w:rPr>
          <w:rFonts w:ascii="Book Antiqua" w:hAnsi="Book Antiqua" w:hint="eastAsia"/>
          <w:sz w:val="24"/>
          <w:szCs w:val="24"/>
          <w:vertAlign w:val="superscript"/>
          <w:lang w:val="en-GB" w:eastAsia="zh-CN"/>
        </w:rPr>
        <w:t>1</w:t>
      </w:r>
      <w:r w:rsidR="00AF249E">
        <w:rPr>
          <w:rFonts w:ascii="Book Antiqua" w:hAnsi="Book Antiqua"/>
          <w:sz w:val="24"/>
          <w:szCs w:val="24"/>
          <w:vertAlign w:val="superscript"/>
          <w:lang w:val="en-GB"/>
        </w:rPr>
        <w:t>,</w:t>
      </w:r>
      <w:r w:rsidR="00363A1A" w:rsidRPr="00EE48E2">
        <w:rPr>
          <w:rFonts w:ascii="Book Antiqua" w:hAnsi="Book Antiqua"/>
          <w:sz w:val="24"/>
          <w:szCs w:val="24"/>
          <w:vertAlign w:val="superscript"/>
          <w:lang w:val="en-GB"/>
        </w:rPr>
        <w:t>11</w:t>
      </w:r>
      <w:r w:rsidR="00AF249E">
        <w:rPr>
          <w:rFonts w:ascii="Book Antiqua" w:hAnsi="Book Antiqua" w:hint="eastAsia"/>
          <w:sz w:val="24"/>
          <w:szCs w:val="24"/>
          <w:vertAlign w:val="superscript"/>
          <w:lang w:val="en-GB" w:eastAsia="zh-CN"/>
        </w:rPr>
        <w:t>2</w:t>
      </w:r>
      <w:r w:rsidR="00363A1A" w:rsidRPr="00EE48E2">
        <w:rPr>
          <w:rFonts w:ascii="Book Antiqua" w:hAnsi="Book Antiqua"/>
          <w:sz w:val="24"/>
          <w:szCs w:val="24"/>
          <w:vertAlign w:val="superscript"/>
          <w:lang w:val="en-GB"/>
        </w:rPr>
        <w:t>]</w:t>
      </w:r>
      <w:r w:rsidR="00A07480" w:rsidRPr="00EE48E2">
        <w:rPr>
          <w:rFonts w:ascii="Book Antiqua" w:hAnsi="Book Antiqua"/>
          <w:sz w:val="24"/>
          <w:szCs w:val="24"/>
          <w:lang w:val="en-GB"/>
        </w:rPr>
        <w:t xml:space="preserve">. </w:t>
      </w:r>
      <w:r w:rsidR="00363A1A" w:rsidRPr="00EE48E2">
        <w:rPr>
          <w:rFonts w:ascii="Book Antiqua" w:hAnsi="Book Antiqua"/>
          <w:sz w:val="24"/>
          <w:szCs w:val="24"/>
          <w:lang w:val="en-GB"/>
        </w:rPr>
        <w:t>Furthermore</w:t>
      </w:r>
      <w:r w:rsidR="00B6174C" w:rsidRPr="00EE48E2">
        <w:rPr>
          <w:rFonts w:ascii="Book Antiqua" w:hAnsi="Book Antiqua"/>
          <w:sz w:val="24"/>
          <w:szCs w:val="24"/>
          <w:lang w:val="en-GB"/>
        </w:rPr>
        <w:t>,</w:t>
      </w:r>
      <w:r w:rsidR="00363A1A" w:rsidRPr="00EE48E2">
        <w:rPr>
          <w:rFonts w:ascii="Book Antiqua" w:hAnsi="Book Antiqua"/>
          <w:sz w:val="24"/>
          <w:szCs w:val="24"/>
          <w:lang w:val="en-GB"/>
        </w:rPr>
        <w:t xml:space="preserve"> Bardelli and colleagues highlighted the role of MET amplification as a mechanism of both primary and acquired resistance to anti-EGFR moAbs in WT KRAS mCRC patients. </w:t>
      </w:r>
      <w:r w:rsidR="006517F9" w:rsidRPr="00EE48E2">
        <w:rPr>
          <w:rFonts w:ascii="Book Antiqua" w:hAnsi="Book Antiqua"/>
          <w:sz w:val="24"/>
          <w:szCs w:val="24"/>
          <w:lang w:val="en-GB"/>
        </w:rPr>
        <w:t>They also showed an increased rate of amplification (12.5%) in a cetuximab-resistant xenopatients WT for RAS, BRAF, PIK3CA, and HER2</w:t>
      </w:r>
      <w:r w:rsidR="006517F9" w:rsidRPr="00EE48E2">
        <w:rPr>
          <w:rFonts w:ascii="Book Antiqua" w:hAnsi="Book Antiqua"/>
          <w:sz w:val="24"/>
          <w:szCs w:val="24"/>
          <w:vertAlign w:val="superscript"/>
          <w:lang w:val="en-GB"/>
        </w:rPr>
        <w:t>[</w:t>
      </w:r>
      <w:r w:rsidR="000854ED">
        <w:rPr>
          <w:rFonts w:ascii="Book Antiqua" w:hAnsi="Book Antiqua" w:hint="eastAsia"/>
          <w:sz w:val="24"/>
          <w:szCs w:val="24"/>
          <w:vertAlign w:val="superscript"/>
          <w:lang w:val="en-GB" w:eastAsia="zh-CN"/>
        </w:rPr>
        <w:t>18</w:t>
      </w:r>
      <w:r w:rsidR="006517F9" w:rsidRPr="00EE48E2">
        <w:rPr>
          <w:rFonts w:ascii="Book Antiqua" w:hAnsi="Book Antiqua"/>
          <w:sz w:val="24"/>
          <w:szCs w:val="24"/>
          <w:vertAlign w:val="superscript"/>
          <w:lang w:val="en-GB"/>
        </w:rPr>
        <w:t>]</w:t>
      </w:r>
      <w:r w:rsidR="00A07480" w:rsidRPr="00EE48E2">
        <w:rPr>
          <w:rFonts w:ascii="Book Antiqua" w:hAnsi="Book Antiqua"/>
          <w:sz w:val="24"/>
          <w:szCs w:val="24"/>
          <w:lang w:val="en-GB"/>
        </w:rPr>
        <w:t xml:space="preserve">. </w:t>
      </w:r>
      <w:r w:rsidR="00363A1A" w:rsidRPr="00EE48E2">
        <w:rPr>
          <w:rFonts w:ascii="Book Antiqua" w:hAnsi="Book Antiqua"/>
          <w:sz w:val="24"/>
          <w:szCs w:val="24"/>
          <w:lang w:val="en-GB"/>
        </w:rPr>
        <w:t>However</w:t>
      </w:r>
      <w:r w:rsidR="00B6174C" w:rsidRPr="00EE48E2">
        <w:rPr>
          <w:rFonts w:ascii="Book Antiqua" w:hAnsi="Book Antiqua"/>
          <w:sz w:val="24"/>
          <w:szCs w:val="24"/>
          <w:lang w:val="en-GB"/>
        </w:rPr>
        <w:t>,</w:t>
      </w:r>
      <w:r w:rsidR="00363A1A" w:rsidRPr="00EE48E2">
        <w:rPr>
          <w:rFonts w:ascii="Book Antiqua" w:hAnsi="Book Antiqua"/>
          <w:sz w:val="24"/>
          <w:szCs w:val="24"/>
          <w:lang w:val="en-GB"/>
        </w:rPr>
        <w:t xml:space="preserve"> only focal, high-grade amplification of the MET locus is associated with lack of response instead of modest gene copy number gains or polysomy of chromosome 7</w:t>
      </w:r>
      <w:r w:rsidR="00363A1A" w:rsidRPr="00EE48E2">
        <w:rPr>
          <w:rFonts w:ascii="Book Antiqua" w:hAnsi="Book Antiqua"/>
          <w:sz w:val="24"/>
          <w:szCs w:val="24"/>
          <w:vertAlign w:val="superscript"/>
          <w:lang w:val="en-GB"/>
        </w:rPr>
        <w:t>[11</w:t>
      </w:r>
      <w:r w:rsidR="00AF249E">
        <w:rPr>
          <w:rFonts w:ascii="Book Antiqua" w:hAnsi="Book Antiqua" w:hint="eastAsia"/>
          <w:sz w:val="24"/>
          <w:szCs w:val="24"/>
          <w:vertAlign w:val="superscript"/>
          <w:lang w:val="en-GB" w:eastAsia="zh-CN"/>
        </w:rPr>
        <w:t>3</w:t>
      </w:r>
      <w:r w:rsidR="00363A1A" w:rsidRPr="00EE48E2">
        <w:rPr>
          <w:rFonts w:ascii="Book Antiqua" w:hAnsi="Book Antiqua"/>
          <w:sz w:val="24"/>
          <w:szCs w:val="24"/>
          <w:vertAlign w:val="superscript"/>
          <w:lang w:val="en-GB"/>
        </w:rPr>
        <w:t>]</w:t>
      </w:r>
      <w:r w:rsidR="00A07480" w:rsidRPr="00EE48E2">
        <w:rPr>
          <w:rFonts w:ascii="Book Antiqua" w:hAnsi="Book Antiqua"/>
          <w:sz w:val="24"/>
          <w:szCs w:val="24"/>
          <w:lang w:val="en-GB"/>
        </w:rPr>
        <w:t>.</w:t>
      </w:r>
    </w:p>
    <w:p w14:paraId="3F886B0E" w14:textId="6C754250" w:rsidR="00363A1A" w:rsidRPr="00EE48E2" w:rsidRDefault="00EE48E2" w:rsidP="004D1833">
      <w:pPr>
        <w:adjustRightInd w:val="0"/>
        <w:snapToGrid w:val="0"/>
        <w:spacing w:after="0" w:line="360" w:lineRule="auto"/>
        <w:jc w:val="both"/>
        <w:rPr>
          <w:rFonts w:ascii="Book Antiqua" w:hAnsi="Book Antiqua"/>
          <w:sz w:val="24"/>
          <w:szCs w:val="24"/>
          <w:lang w:val="en-GB"/>
        </w:rPr>
      </w:pPr>
      <w:r w:rsidRPr="00EE48E2">
        <w:rPr>
          <w:rFonts w:ascii="Book Antiqua" w:hAnsi="Book Antiqua"/>
          <w:sz w:val="24"/>
          <w:szCs w:val="24"/>
          <w:lang w:val="en-GB"/>
        </w:rPr>
        <w:t xml:space="preserve">  </w:t>
      </w:r>
      <w:r w:rsidR="00363A1A" w:rsidRPr="00EE48E2">
        <w:rPr>
          <w:rFonts w:ascii="Book Antiqua" w:hAnsi="Book Antiqua"/>
          <w:sz w:val="24"/>
          <w:szCs w:val="24"/>
          <w:lang w:val="en-GB"/>
        </w:rPr>
        <w:t>In preclinical models</w:t>
      </w:r>
      <w:r w:rsidR="00B6174C" w:rsidRPr="00EE48E2">
        <w:rPr>
          <w:rFonts w:ascii="Book Antiqua" w:hAnsi="Book Antiqua"/>
          <w:sz w:val="24"/>
          <w:szCs w:val="24"/>
          <w:lang w:val="en-GB"/>
        </w:rPr>
        <w:t>,</w:t>
      </w:r>
      <w:r w:rsidR="00363A1A" w:rsidRPr="00EE48E2">
        <w:rPr>
          <w:rFonts w:ascii="Book Antiqua" w:hAnsi="Book Antiqua"/>
          <w:sz w:val="24"/>
          <w:szCs w:val="24"/>
          <w:lang w:val="en-GB"/>
        </w:rPr>
        <w:t xml:space="preserve"> Troiani and </w:t>
      </w:r>
      <w:r w:rsidR="006517F9" w:rsidRPr="00EE48E2">
        <w:rPr>
          <w:rFonts w:ascii="Book Antiqua" w:hAnsi="Book Antiqua"/>
          <w:sz w:val="24"/>
          <w:szCs w:val="24"/>
          <w:lang w:val="en-GB"/>
        </w:rPr>
        <w:t>colleagues</w:t>
      </w:r>
      <w:r w:rsidR="00363A1A" w:rsidRPr="00EE48E2">
        <w:rPr>
          <w:rFonts w:ascii="Book Antiqua" w:hAnsi="Book Antiqua"/>
          <w:sz w:val="24"/>
          <w:szCs w:val="24"/>
          <w:lang w:val="en-GB"/>
        </w:rPr>
        <w:t xml:space="preserve"> found that overexpression of TGF-alpha might contribute to cetuximab resistance in colorectal cancer cells through the induction of </w:t>
      </w:r>
      <w:r w:rsidR="00B6174C" w:rsidRPr="00EE48E2">
        <w:rPr>
          <w:rFonts w:ascii="Book Antiqua" w:hAnsi="Book Antiqua"/>
          <w:sz w:val="24"/>
          <w:szCs w:val="24"/>
          <w:lang w:val="en-GB"/>
        </w:rPr>
        <w:t xml:space="preserve">a </w:t>
      </w:r>
      <w:r w:rsidR="00363A1A" w:rsidRPr="00EE48E2">
        <w:rPr>
          <w:rFonts w:ascii="Book Antiqua" w:hAnsi="Book Antiqua"/>
          <w:sz w:val="24"/>
          <w:szCs w:val="24"/>
          <w:lang w:val="en-GB"/>
        </w:rPr>
        <w:t>EGFR–MET interaction; the treatment of these cells with a selective MET inhibitor restores cetuximab sensitivity</w:t>
      </w:r>
      <w:r w:rsidR="00B6174C" w:rsidRPr="00EE48E2">
        <w:rPr>
          <w:rFonts w:ascii="Book Antiqua" w:hAnsi="Book Antiqua"/>
          <w:sz w:val="24"/>
          <w:szCs w:val="24"/>
          <w:lang w:val="en-GB"/>
        </w:rPr>
        <w:t>,</w:t>
      </w:r>
      <w:r w:rsidR="00363A1A" w:rsidRPr="00EE48E2">
        <w:rPr>
          <w:rFonts w:ascii="Book Antiqua" w:hAnsi="Book Antiqua"/>
          <w:sz w:val="24"/>
          <w:szCs w:val="24"/>
          <w:lang w:val="en-GB"/>
        </w:rPr>
        <w:t xml:space="preserve"> suggesting that the combined inhibition of both EGFR and MET pathways could represent a rational therapeutic strategy for preventing and/or overcoming cetuximab resistance in patients with mCRC</w:t>
      </w:r>
      <w:r w:rsidR="00363A1A" w:rsidRPr="00EE48E2">
        <w:rPr>
          <w:rFonts w:ascii="Book Antiqua" w:hAnsi="Book Antiqua"/>
          <w:sz w:val="24"/>
          <w:szCs w:val="24"/>
          <w:vertAlign w:val="superscript"/>
          <w:lang w:val="en-GB"/>
        </w:rPr>
        <w:t>[11</w:t>
      </w:r>
      <w:r w:rsidR="00AF249E">
        <w:rPr>
          <w:rFonts w:ascii="Book Antiqua" w:hAnsi="Book Antiqua" w:hint="eastAsia"/>
          <w:sz w:val="24"/>
          <w:szCs w:val="24"/>
          <w:vertAlign w:val="superscript"/>
          <w:lang w:val="en-GB" w:eastAsia="zh-CN"/>
        </w:rPr>
        <w:t>4</w:t>
      </w:r>
      <w:r w:rsidR="00363A1A" w:rsidRPr="00EE48E2">
        <w:rPr>
          <w:rFonts w:ascii="Book Antiqua" w:hAnsi="Book Antiqua"/>
          <w:sz w:val="24"/>
          <w:szCs w:val="24"/>
          <w:vertAlign w:val="superscript"/>
          <w:lang w:val="en-GB"/>
        </w:rPr>
        <w:t>]</w:t>
      </w:r>
      <w:r w:rsidR="00EA1761" w:rsidRPr="00EE48E2">
        <w:rPr>
          <w:rFonts w:ascii="Book Antiqua" w:hAnsi="Book Antiqua"/>
          <w:sz w:val="24"/>
          <w:szCs w:val="24"/>
          <w:lang w:val="en-GB"/>
        </w:rPr>
        <w:t>.</w:t>
      </w:r>
    </w:p>
    <w:p w14:paraId="71EAFB40" w14:textId="1149FCDA" w:rsidR="00F53FDF" w:rsidRPr="00EE48E2" w:rsidRDefault="00EE48E2" w:rsidP="004D1833">
      <w:pPr>
        <w:adjustRightInd w:val="0"/>
        <w:snapToGrid w:val="0"/>
        <w:spacing w:after="0" w:line="360" w:lineRule="auto"/>
        <w:jc w:val="both"/>
        <w:rPr>
          <w:rFonts w:ascii="Book Antiqua" w:hAnsi="Book Antiqua"/>
          <w:sz w:val="24"/>
          <w:szCs w:val="24"/>
          <w:lang w:val="en-GB" w:eastAsia="zh-CN"/>
        </w:rPr>
      </w:pPr>
      <w:r w:rsidRPr="00EE48E2">
        <w:rPr>
          <w:rFonts w:ascii="Book Antiqua" w:hAnsi="Book Antiqua"/>
          <w:sz w:val="24"/>
          <w:szCs w:val="24"/>
          <w:lang w:val="en-GB"/>
        </w:rPr>
        <w:t xml:space="preserve"> </w:t>
      </w:r>
      <w:r w:rsidR="00363A1A" w:rsidRPr="00EE48E2">
        <w:rPr>
          <w:rFonts w:ascii="Book Antiqua" w:hAnsi="Book Antiqua"/>
          <w:sz w:val="24"/>
          <w:szCs w:val="24"/>
          <w:lang w:val="en-GB"/>
        </w:rPr>
        <w:t xml:space="preserve"> In a randomized phase II clinical trial of chemo-refractory, KRAS WT, anti-EGFR–naive mCRC</w:t>
      </w:r>
      <w:r w:rsidR="00B801F0" w:rsidRPr="00EE48E2">
        <w:rPr>
          <w:rFonts w:ascii="Book Antiqua" w:hAnsi="Book Antiqua"/>
          <w:sz w:val="24"/>
          <w:szCs w:val="24"/>
          <w:lang w:val="en-GB"/>
        </w:rPr>
        <w:t>,</w:t>
      </w:r>
      <w:r w:rsidR="00363A1A" w:rsidRPr="00EE48E2">
        <w:rPr>
          <w:rFonts w:ascii="Book Antiqua" w:hAnsi="Book Antiqua"/>
          <w:sz w:val="24"/>
          <w:szCs w:val="24"/>
          <w:lang w:val="en-GB"/>
        </w:rPr>
        <w:t xml:space="preserve"> the combination of an anti-HGF moAb and panitumumab led to higher RR and a trend for a better outcome in the population with MET-overexpressed</w:t>
      </w:r>
      <w:r w:rsidR="00363A1A" w:rsidRPr="00EE48E2">
        <w:rPr>
          <w:rFonts w:ascii="Book Antiqua" w:hAnsi="Book Antiqua"/>
          <w:sz w:val="24"/>
          <w:szCs w:val="24"/>
          <w:vertAlign w:val="superscript"/>
          <w:lang w:val="en-GB"/>
        </w:rPr>
        <w:t>[11</w:t>
      </w:r>
      <w:r w:rsidR="00AF249E">
        <w:rPr>
          <w:rFonts w:ascii="Book Antiqua" w:hAnsi="Book Antiqua" w:hint="eastAsia"/>
          <w:sz w:val="24"/>
          <w:szCs w:val="24"/>
          <w:vertAlign w:val="superscript"/>
          <w:lang w:val="en-GB" w:eastAsia="zh-CN"/>
        </w:rPr>
        <w:t>5</w:t>
      </w:r>
      <w:r w:rsidR="00363A1A" w:rsidRPr="00EE48E2">
        <w:rPr>
          <w:rFonts w:ascii="Book Antiqua" w:hAnsi="Book Antiqua"/>
          <w:sz w:val="24"/>
          <w:szCs w:val="24"/>
          <w:vertAlign w:val="superscript"/>
          <w:lang w:val="en-GB"/>
        </w:rPr>
        <w:t>]</w:t>
      </w:r>
      <w:r w:rsidR="00EA1761" w:rsidRPr="00EE48E2">
        <w:rPr>
          <w:rFonts w:ascii="Book Antiqua" w:hAnsi="Book Antiqua"/>
          <w:sz w:val="24"/>
          <w:szCs w:val="24"/>
          <w:lang w:val="en-GB"/>
        </w:rPr>
        <w:t>.</w:t>
      </w:r>
      <w:r w:rsidR="00363A1A" w:rsidRPr="00EE48E2">
        <w:rPr>
          <w:rFonts w:ascii="Book Antiqua" w:hAnsi="Book Antiqua"/>
          <w:sz w:val="24"/>
          <w:szCs w:val="24"/>
          <w:lang w:val="en-GB"/>
        </w:rPr>
        <w:t xml:space="preserve"> A phase I trial assessing the role of cabozantinib, a small molecule inhibitor of the tyrosine kinases c-Met and VEGFR2, plus panitumumab in chemo-refractory, KRAS WT patients is currently ongoing</w:t>
      </w:r>
      <w:r w:rsidR="00363A1A" w:rsidRPr="00EE48E2">
        <w:rPr>
          <w:rFonts w:ascii="Book Antiqua" w:hAnsi="Book Antiqua"/>
          <w:sz w:val="24"/>
          <w:szCs w:val="24"/>
          <w:vertAlign w:val="superscript"/>
          <w:lang w:val="en-GB"/>
        </w:rPr>
        <w:t>[11</w:t>
      </w:r>
      <w:r w:rsidR="00AF249E">
        <w:rPr>
          <w:rFonts w:ascii="Book Antiqua" w:hAnsi="Book Antiqua" w:hint="eastAsia"/>
          <w:sz w:val="24"/>
          <w:szCs w:val="24"/>
          <w:vertAlign w:val="superscript"/>
          <w:lang w:val="en-GB" w:eastAsia="zh-CN"/>
        </w:rPr>
        <w:t>6</w:t>
      </w:r>
      <w:r w:rsidR="00363A1A" w:rsidRPr="00EE48E2">
        <w:rPr>
          <w:rFonts w:ascii="Book Antiqua" w:hAnsi="Book Antiqua"/>
          <w:sz w:val="24"/>
          <w:szCs w:val="24"/>
          <w:vertAlign w:val="superscript"/>
          <w:lang w:val="en-GB"/>
        </w:rPr>
        <w:t>]</w:t>
      </w:r>
      <w:r w:rsidR="00EA1761" w:rsidRPr="00EE48E2">
        <w:rPr>
          <w:rFonts w:ascii="Book Antiqua" w:hAnsi="Book Antiqua"/>
          <w:sz w:val="24"/>
          <w:szCs w:val="24"/>
          <w:lang w:val="en-GB"/>
        </w:rPr>
        <w:t>.</w:t>
      </w:r>
    </w:p>
    <w:p w14:paraId="5576F0A2" w14:textId="77777777" w:rsidR="00363A1A" w:rsidRPr="00EE48E2" w:rsidRDefault="00363A1A" w:rsidP="004D1833">
      <w:pPr>
        <w:adjustRightInd w:val="0"/>
        <w:snapToGrid w:val="0"/>
        <w:spacing w:after="0" w:line="360" w:lineRule="auto"/>
        <w:jc w:val="both"/>
        <w:rPr>
          <w:rFonts w:ascii="Book Antiqua" w:hAnsi="Book Antiqua"/>
          <w:sz w:val="24"/>
          <w:szCs w:val="24"/>
          <w:lang w:val="en-GB"/>
        </w:rPr>
      </w:pPr>
    </w:p>
    <w:p w14:paraId="4EFA5E54" w14:textId="459D036C" w:rsidR="00363A1A" w:rsidRPr="00EE48E2" w:rsidRDefault="00E04397" w:rsidP="004D1833">
      <w:pPr>
        <w:adjustRightInd w:val="0"/>
        <w:snapToGrid w:val="0"/>
        <w:spacing w:after="0" w:line="360" w:lineRule="auto"/>
        <w:jc w:val="both"/>
        <w:rPr>
          <w:rFonts w:ascii="Book Antiqua" w:hAnsi="Book Antiqua"/>
          <w:b/>
          <w:sz w:val="24"/>
          <w:szCs w:val="24"/>
          <w:lang w:val="en-GB"/>
        </w:rPr>
      </w:pPr>
      <w:r w:rsidRPr="00EE48E2">
        <w:rPr>
          <w:rFonts w:ascii="Book Antiqua" w:hAnsi="Book Antiqua"/>
          <w:b/>
          <w:sz w:val="24"/>
          <w:szCs w:val="24"/>
          <w:lang w:val="en-GB"/>
        </w:rPr>
        <w:t>FUTURE DIRECTIONS</w:t>
      </w:r>
    </w:p>
    <w:p w14:paraId="350EDCF3" w14:textId="72AF2589" w:rsidR="00363A1A" w:rsidRPr="00EE48E2" w:rsidRDefault="00363A1A" w:rsidP="004D1833">
      <w:pPr>
        <w:adjustRightInd w:val="0"/>
        <w:snapToGrid w:val="0"/>
        <w:spacing w:after="0" w:line="360" w:lineRule="auto"/>
        <w:jc w:val="both"/>
        <w:rPr>
          <w:rFonts w:ascii="Book Antiqua" w:hAnsi="Book Antiqua"/>
          <w:sz w:val="24"/>
          <w:szCs w:val="24"/>
          <w:lang w:val="en-GB" w:eastAsia="zh-CN"/>
        </w:rPr>
      </w:pPr>
      <w:r w:rsidRPr="00EE48E2">
        <w:rPr>
          <w:rFonts w:ascii="Book Antiqua" w:hAnsi="Book Antiqua"/>
          <w:sz w:val="24"/>
          <w:szCs w:val="24"/>
          <w:lang w:val="en-GB"/>
        </w:rPr>
        <w:lastRenderedPageBreak/>
        <w:t xml:space="preserve">Treatment with anti-EGFR moAbs cetuximab and panitumumab might be limited by the presence of primary resistance or the emergence of multiple acquired mechanisms to escape from the EGFR blockade. </w:t>
      </w:r>
      <w:r w:rsidR="00DB342E" w:rsidRPr="00EE48E2">
        <w:rPr>
          <w:rFonts w:ascii="Book Antiqua" w:hAnsi="Book Antiqua"/>
          <w:sz w:val="24"/>
          <w:szCs w:val="24"/>
          <w:lang w:val="en-GB"/>
        </w:rPr>
        <w:t>To</w:t>
      </w:r>
      <w:r w:rsidRPr="00EE48E2">
        <w:rPr>
          <w:rFonts w:ascii="Book Antiqua" w:hAnsi="Book Antiqua"/>
          <w:sz w:val="24"/>
          <w:szCs w:val="24"/>
          <w:lang w:val="en-GB"/>
        </w:rPr>
        <w:t xml:space="preserve"> </w:t>
      </w:r>
      <w:r w:rsidR="009F372E" w:rsidRPr="00EE48E2">
        <w:rPr>
          <w:rFonts w:ascii="Book Antiqua" w:hAnsi="Book Antiqua"/>
          <w:sz w:val="24"/>
          <w:szCs w:val="24"/>
          <w:lang w:val="en-GB"/>
        </w:rPr>
        <w:t xml:space="preserve">overcome </w:t>
      </w:r>
      <w:r w:rsidRPr="00EE48E2">
        <w:rPr>
          <w:rFonts w:ascii="Book Antiqua" w:hAnsi="Book Antiqua"/>
          <w:sz w:val="24"/>
          <w:szCs w:val="24"/>
          <w:lang w:val="en-GB"/>
        </w:rPr>
        <w:t>these phenomen</w:t>
      </w:r>
      <w:r w:rsidR="009F372E" w:rsidRPr="00EE48E2">
        <w:rPr>
          <w:rFonts w:ascii="Book Antiqua" w:hAnsi="Book Antiqua"/>
          <w:sz w:val="24"/>
          <w:szCs w:val="24"/>
          <w:lang w:val="en-GB"/>
        </w:rPr>
        <w:t>a</w:t>
      </w:r>
      <w:r w:rsidRPr="00EE48E2">
        <w:rPr>
          <w:rFonts w:ascii="Book Antiqua" w:hAnsi="Book Antiqua"/>
          <w:sz w:val="24"/>
          <w:szCs w:val="24"/>
          <w:lang w:val="en-GB"/>
        </w:rPr>
        <w:t>, several approaches have been proposed</w:t>
      </w:r>
      <w:r w:rsidR="009F372E" w:rsidRPr="00EE48E2">
        <w:rPr>
          <w:rFonts w:ascii="Book Antiqua" w:hAnsi="Book Antiqua"/>
          <w:sz w:val="24"/>
          <w:szCs w:val="24"/>
          <w:lang w:val="en-GB"/>
        </w:rPr>
        <w:t>,</w:t>
      </w:r>
      <w:r w:rsidRPr="00EE48E2">
        <w:rPr>
          <w:rFonts w:ascii="Book Antiqua" w:hAnsi="Book Antiqua"/>
          <w:sz w:val="24"/>
          <w:szCs w:val="24"/>
          <w:lang w:val="en-GB"/>
        </w:rPr>
        <w:t xml:space="preserve"> and some of them have been anticipated</w:t>
      </w:r>
      <w:r w:rsidR="00E04397" w:rsidRPr="00EE48E2">
        <w:rPr>
          <w:rFonts w:ascii="Book Antiqua" w:hAnsi="Book Antiqua"/>
          <w:sz w:val="24"/>
          <w:szCs w:val="24"/>
          <w:lang w:val="en-GB"/>
        </w:rPr>
        <w:t xml:space="preserve"> above</w:t>
      </w:r>
      <w:r w:rsidR="00E04397" w:rsidRPr="00EE48E2">
        <w:rPr>
          <w:rFonts w:ascii="Book Antiqua" w:hAnsi="Book Antiqua" w:hint="eastAsia"/>
          <w:sz w:val="24"/>
          <w:szCs w:val="24"/>
          <w:lang w:val="en-GB" w:eastAsia="zh-CN"/>
        </w:rPr>
        <w:t xml:space="preserve"> </w:t>
      </w:r>
      <w:r w:rsidRPr="00EE48E2">
        <w:rPr>
          <w:rFonts w:ascii="Book Antiqua" w:hAnsi="Book Antiqua"/>
          <w:sz w:val="24"/>
          <w:szCs w:val="24"/>
          <w:lang w:val="en-GB"/>
        </w:rPr>
        <w:t>(Table 1)</w:t>
      </w:r>
      <w:r w:rsidR="00E04397" w:rsidRPr="00EE48E2">
        <w:rPr>
          <w:rFonts w:ascii="Book Antiqua" w:hAnsi="Book Antiqua" w:hint="eastAsia"/>
          <w:sz w:val="24"/>
          <w:szCs w:val="24"/>
          <w:lang w:val="en-GB" w:eastAsia="zh-CN"/>
        </w:rPr>
        <w:t>.</w:t>
      </w:r>
    </w:p>
    <w:p w14:paraId="163F1C0A" w14:textId="2D7FEF6E" w:rsidR="00363A1A" w:rsidRPr="00EE48E2" w:rsidRDefault="00EE48E2" w:rsidP="004D1833">
      <w:pPr>
        <w:adjustRightInd w:val="0"/>
        <w:snapToGrid w:val="0"/>
        <w:spacing w:after="0" w:line="360" w:lineRule="auto"/>
        <w:jc w:val="both"/>
        <w:rPr>
          <w:rFonts w:ascii="Book Antiqua" w:hAnsi="Book Antiqua"/>
          <w:sz w:val="24"/>
          <w:szCs w:val="24"/>
          <w:lang w:val="en-GB"/>
        </w:rPr>
      </w:pPr>
      <w:r w:rsidRPr="00EE48E2">
        <w:rPr>
          <w:rFonts w:ascii="Book Antiqua" w:hAnsi="Book Antiqua"/>
          <w:sz w:val="24"/>
          <w:szCs w:val="24"/>
          <w:lang w:val="en-GB"/>
        </w:rPr>
        <w:t xml:space="preserve">  </w:t>
      </w:r>
      <w:r w:rsidR="009F372E" w:rsidRPr="00EE48E2">
        <w:rPr>
          <w:rFonts w:ascii="Book Antiqua" w:hAnsi="Book Antiqua"/>
          <w:sz w:val="24"/>
          <w:szCs w:val="24"/>
          <w:lang w:val="en-GB"/>
        </w:rPr>
        <w:t xml:space="preserve">To </w:t>
      </w:r>
      <w:r w:rsidR="00363A1A" w:rsidRPr="00EE48E2">
        <w:rPr>
          <w:rFonts w:ascii="Book Antiqua" w:hAnsi="Book Antiqua"/>
          <w:sz w:val="24"/>
          <w:szCs w:val="24"/>
          <w:lang w:val="en-GB"/>
        </w:rPr>
        <w:t>increase the efficacy of anti-EGFR mAbs, combinations of these drugs and vascular endothelial growth factor receptor (VEGFR) inhibitors were evaluated. However</w:t>
      </w:r>
      <w:r w:rsidR="009F372E" w:rsidRPr="00EE48E2">
        <w:rPr>
          <w:rFonts w:ascii="Book Antiqua" w:hAnsi="Book Antiqua"/>
          <w:sz w:val="24"/>
          <w:szCs w:val="24"/>
          <w:lang w:val="en-GB"/>
        </w:rPr>
        <w:t>,</w:t>
      </w:r>
      <w:r w:rsidR="00363A1A" w:rsidRPr="00EE48E2">
        <w:rPr>
          <w:rFonts w:ascii="Book Antiqua" w:hAnsi="Book Antiqua"/>
          <w:sz w:val="24"/>
          <w:szCs w:val="24"/>
          <w:lang w:val="en-GB"/>
        </w:rPr>
        <w:t xml:space="preserve"> the addition of cetuximab or panitumumab to bevacizumab and oxaliplatin-based chemotherapy in first-line KRAS WT mCRC patients, did not improve the outcomes</w:t>
      </w:r>
      <w:r w:rsidR="00E04397" w:rsidRPr="00EE48E2">
        <w:rPr>
          <w:rFonts w:ascii="Book Antiqua" w:hAnsi="Book Antiqua"/>
          <w:sz w:val="24"/>
          <w:szCs w:val="24"/>
          <w:vertAlign w:val="superscript"/>
          <w:lang w:val="en-GB"/>
        </w:rPr>
        <w:t>[</w:t>
      </w:r>
      <w:r w:rsidR="00AF249E">
        <w:rPr>
          <w:rFonts w:ascii="Book Antiqua" w:hAnsi="Book Antiqua" w:hint="eastAsia"/>
          <w:sz w:val="24"/>
          <w:szCs w:val="24"/>
          <w:vertAlign w:val="superscript"/>
          <w:lang w:val="en-GB" w:eastAsia="zh-CN"/>
        </w:rPr>
        <w:t>117</w:t>
      </w:r>
      <w:r w:rsidR="00E04397" w:rsidRPr="00EE48E2">
        <w:rPr>
          <w:rFonts w:ascii="Book Antiqua" w:hAnsi="Book Antiqua"/>
          <w:sz w:val="24"/>
          <w:szCs w:val="24"/>
          <w:vertAlign w:val="superscript"/>
          <w:lang w:val="en-GB"/>
        </w:rPr>
        <w:t>,</w:t>
      </w:r>
      <w:r w:rsidR="00AF249E">
        <w:rPr>
          <w:rFonts w:ascii="Book Antiqua" w:hAnsi="Book Antiqua" w:hint="eastAsia"/>
          <w:sz w:val="24"/>
          <w:szCs w:val="24"/>
          <w:vertAlign w:val="superscript"/>
          <w:lang w:val="en-GB" w:eastAsia="zh-CN"/>
        </w:rPr>
        <w:t>118</w:t>
      </w:r>
      <w:r w:rsidR="00363A1A" w:rsidRPr="00EE48E2">
        <w:rPr>
          <w:rFonts w:ascii="Book Antiqua" w:hAnsi="Book Antiqua"/>
          <w:sz w:val="24"/>
          <w:szCs w:val="24"/>
          <w:vertAlign w:val="superscript"/>
          <w:lang w:val="en-GB"/>
        </w:rPr>
        <w:t>]</w:t>
      </w:r>
      <w:r w:rsidR="00DA3355" w:rsidRPr="00EE48E2">
        <w:rPr>
          <w:rFonts w:ascii="Book Antiqua" w:hAnsi="Book Antiqua"/>
          <w:sz w:val="24"/>
          <w:szCs w:val="24"/>
          <w:lang w:val="en-GB"/>
        </w:rPr>
        <w:t>.</w:t>
      </w:r>
    </w:p>
    <w:p w14:paraId="0E23633C" w14:textId="2633B822" w:rsidR="00363A1A" w:rsidRPr="00EE48E2" w:rsidRDefault="00363A1A" w:rsidP="004D1833">
      <w:pPr>
        <w:adjustRightInd w:val="0"/>
        <w:snapToGrid w:val="0"/>
        <w:spacing w:after="0" w:line="360" w:lineRule="auto"/>
        <w:jc w:val="both"/>
        <w:rPr>
          <w:rFonts w:ascii="Book Antiqua" w:hAnsi="Book Antiqua"/>
          <w:sz w:val="24"/>
          <w:szCs w:val="24"/>
          <w:lang w:val="en-GB"/>
        </w:rPr>
      </w:pPr>
      <w:r w:rsidRPr="00EE48E2">
        <w:rPr>
          <w:rFonts w:ascii="Book Antiqua" w:hAnsi="Book Antiqua"/>
          <w:sz w:val="24"/>
          <w:szCs w:val="24"/>
          <w:lang w:val="en-GB"/>
        </w:rPr>
        <w:t xml:space="preserve">Furthermore, although </w:t>
      </w:r>
      <w:r w:rsidR="009F372E" w:rsidRPr="00EE48E2">
        <w:rPr>
          <w:rFonts w:ascii="Book Antiqua" w:hAnsi="Book Antiqua"/>
          <w:sz w:val="24"/>
          <w:szCs w:val="24"/>
          <w:lang w:val="en-GB"/>
        </w:rPr>
        <w:t xml:space="preserve">there were </w:t>
      </w:r>
      <w:r w:rsidRPr="00EE48E2">
        <w:rPr>
          <w:rFonts w:ascii="Book Antiqua" w:hAnsi="Book Antiqua"/>
          <w:sz w:val="24"/>
          <w:szCs w:val="24"/>
          <w:lang w:val="en-GB"/>
        </w:rPr>
        <w:t>positive effects on both PFS and RR, the combination of cetuximab plus brivanib (a VEGFR multikinase inhibitor) increased toxicity and did not improve OS in patients with chemotherapy-refractory, KRAS WT mCRC</w:t>
      </w:r>
      <w:r w:rsidRPr="00EE48E2">
        <w:rPr>
          <w:rFonts w:ascii="Book Antiqua" w:hAnsi="Book Antiqua"/>
          <w:sz w:val="24"/>
          <w:szCs w:val="24"/>
          <w:vertAlign w:val="superscript"/>
          <w:lang w:val="en-GB"/>
        </w:rPr>
        <w:t>[</w:t>
      </w:r>
      <w:r w:rsidR="00AF249E">
        <w:rPr>
          <w:rFonts w:ascii="Book Antiqua" w:hAnsi="Book Antiqua" w:hint="eastAsia"/>
          <w:sz w:val="24"/>
          <w:szCs w:val="24"/>
          <w:vertAlign w:val="superscript"/>
          <w:lang w:val="en-GB" w:eastAsia="zh-CN"/>
        </w:rPr>
        <w:t>119</w:t>
      </w:r>
      <w:r w:rsidRPr="00EE48E2">
        <w:rPr>
          <w:rFonts w:ascii="Book Antiqua" w:hAnsi="Book Antiqua"/>
          <w:sz w:val="24"/>
          <w:szCs w:val="24"/>
          <w:vertAlign w:val="superscript"/>
          <w:lang w:val="en-GB"/>
        </w:rPr>
        <w:t>]</w:t>
      </w:r>
      <w:r w:rsidR="00DA3355" w:rsidRPr="00EE48E2">
        <w:rPr>
          <w:rFonts w:ascii="Book Antiqua" w:hAnsi="Book Antiqua"/>
          <w:sz w:val="24"/>
          <w:szCs w:val="24"/>
          <w:lang w:val="en-GB"/>
        </w:rPr>
        <w:t>.</w:t>
      </w:r>
    </w:p>
    <w:p w14:paraId="7EA29FBA" w14:textId="71ED9F77" w:rsidR="00363A1A" w:rsidRPr="00EE48E2" w:rsidRDefault="00EE48E2" w:rsidP="004D1833">
      <w:pPr>
        <w:adjustRightInd w:val="0"/>
        <w:snapToGrid w:val="0"/>
        <w:spacing w:after="0" w:line="360" w:lineRule="auto"/>
        <w:jc w:val="both"/>
        <w:rPr>
          <w:rFonts w:ascii="Book Antiqua" w:hAnsi="Book Antiqua"/>
          <w:sz w:val="24"/>
          <w:szCs w:val="24"/>
          <w:lang w:val="en-GB"/>
        </w:rPr>
      </w:pPr>
      <w:r w:rsidRPr="00EE48E2">
        <w:rPr>
          <w:rFonts w:ascii="Book Antiqua" w:hAnsi="Book Antiqua"/>
          <w:sz w:val="24"/>
          <w:szCs w:val="24"/>
          <w:lang w:val="en-GB"/>
        </w:rPr>
        <w:t xml:space="preserve">  </w:t>
      </w:r>
      <w:r w:rsidR="00363A1A" w:rsidRPr="00EE48E2">
        <w:rPr>
          <w:rFonts w:ascii="Book Antiqua" w:hAnsi="Book Antiqua"/>
          <w:sz w:val="24"/>
          <w:szCs w:val="24"/>
          <w:lang w:val="en-GB"/>
        </w:rPr>
        <w:t>One of the most promising approach</w:t>
      </w:r>
      <w:r w:rsidR="00290571" w:rsidRPr="00EE48E2">
        <w:rPr>
          <w:rFonts w:ascii="Book Antiqua" w:hAnsi="Book Antiqua"/>
          <w:sz w:val="24"/>
          <w:szCs w:val="24"/>
          <w:lang w:val="en-GB"/>
        </w:rPr>
        <w:t>es</w:t>
      </w:r>
      <w:r w:rsidR="00363A1A" w:rsidRPr="00EE48E2">
        <w:rPr>
          <w:rFonts w:ascii="Book Antiqua" w:hAnsi="Book Antiqua"/>
          <w:sz w:val="24"/>
          <w:szCs w:val="24"/>
          <w:lang w:val="en-GB"/>
        </w:rPr>
        <w:t xml:space="preserve"> to circumvent or reverse resistance to anti-EGFR moAbs is</w:t>
      </w:r>
      <w:r w:rsidR="00290571" w:rsidRPr="00EE48E2">
        <w:rPr>
          <w:rFonts w:ascii="Book Antiqua" w:hAnsi="Book Antiqua"/>
          <w:sz w:val="24"/>
          <w:szCs w:val="24"/>
          <w:lang w:val="en-GB"/>
        </w:rPr>
        <w:t xml:space="preserve"> to</w:t>
      </w:r>
      <w:r w:rsidR="00363A1A" w:rsidRPr="00EE48E2">
        <w:rPr>
          <w:rFonts w:ascii="Book Antiqua" w:hAnsi="Book Antiqua"/>
          <w:sz w:val="24"/>
          <w:szCs w:val="24"/>
          <w:lang w:val="en-GB"/>
        </w:rPr>
        <w:t xml:space="preserve"> target more than one downstream effector of the EGFR pathway. As reported above, their use as single agents did not prove clinical efficacy because of the activation of alternative pathways as </w:t>
      </w:r>
      <w:r w:rsidR="00290571" w:rsidRPr="00EE48E2">
        <w:rPr>
          <w:rFonts w:ascii="Book Antiqua" w:hAnsi="Book Antiqua"/>
          <w:sz w:val="24"/>
          <w:szCs w:val="24"/>
          <w:lang w:val="en-GB"/>
        </w:rPr>
        <w:t xml:space="preserve">a </w:t>
      </w:r>
      <w:r w:rsidR="00363A1A" w:rsidRPr="00EE48E2">
        <w:rPr>
          <w:rFonts w:ascii="Book Antiqua" w:hAnsi="Book Antiqua"/>
          <w:sz w:val="24"/>
          <w:szCs w:val="24"/>
          <w:lang w:val="en-GB"/>
        </w:rPr>
        <w:t xml:space="preserve">mechanism to escape the blockade. </w:t>
      </w:r>
      <w:r w:rsidR="00290571" w:rsidRPr="00EE48E2">
        <w:rPr>
          <w:rFonts w:ascii="Book Antiqua" w:hAnsi="Book Antiqua"/>
          <w:sz w:val="24"/>
          <w:szCs w:val="24"/>
          <w:lang w:val="en-GB"/>
        </w:rPr>
        <w:t>Because</w:t>
      </w:r>
      <w:r w:rsidR="00363A1A" w:rsidRPr="00EE48E2">
        <w:rPr>
          <w:rFonts w:ascii="Book Antiqua" w:hAnsi="Book Antiqua"/>
          <w:sz w:val="24"/>
          <w:szCs w:val="24"/>
          <w:lang w:val="en-GB"/>
        </w:rPr>
        <w:t xml:space="preserve"> the alterations that confer resistance to the anti-EGFR moAbs biochemically converge to activate the MEK-ERK and AKT pathways, selective inhibitors of MEK kinases seemed an attractive target. In preclinical models</w:t>
      </w:r>
      <w:r w:rsidR="00290571" w:rsidRPr="00EE48E2">
        <w:rPr>
          <w:rFonts w:ascii="Book Antiqua" w:hAnsi="Book Antiqua"/>
          <w:sz w:val="24"/>
          <w:szCs w:val="24"/>
          <w:lang w:val="en-GB"/>
        </w:rPr>
        <w:t>,</w:t>
      </w:r>
      <w:r w:rsidR="00363A1A" w:rsidRPr="00EE48E2">
        <w:rPr>
          <w:rFonts w:ascii="Book Antiqua" w:hAnsi="Book Antiqua"/>
          <w:sz w:val="24"/>
          <w:szCs w:val="24"/>
          <w:lang w:val="en-GB"/>
        </w:rPr>
        <w:t xml:space="preserve"> MEK inhibitors suppressed KRAS mutated cells resistant to cetuximab</w:t>
      </w:r>
      <w:r w:rsidR="00363A1A" w:rsidRPr="00EE48E2">
        <w:rPr>
          <w:rFonts w:ascii="Book Antiqua" w:hAnsi="Book Antiqua"/>
          <w:sz w:val="24"/>
          <w:szCs w:val="24"/>
          <w:vertAlign w:val="superscript"/>
          <w:lang w:val="en-GB"/>
        </w:rPr>
        <w:t>[12</w:t>
      </w:r>
      <w:r w:rsidR="00AF249E">
        <w:rPr>
          <w:rFonts w:ascii="Book Antiqua" w:hAnsi="Book Antiqua" w:hint="eastAsia"/>
          <w:sz w:val="24"/>
          <w:szCs w:val="24"/>
          <w:vertAlign w:val="superscript"/>
          <w:lang w:val="en-GB" w:eastAsia="zh-CN"/>
        </w:rPr>
        <w:t>0</w:t>
      </w:r>
      <w:r w:rsidR="00363A1A" w:rsidRPr="00EE48E2">
        <w:rPr>
          <w:rFonts w:ascii="Book Antiqua" w:hAnsi="Book Antiqua"/>
          <w:sz w:val="24"/>
          <w:szCs w:val="24"/>
          <w:vertAlign w:val="superscript"/>
          <w:lang w:val="en-GB"/>
        </w:rPr>
        <w:t>]</w:t>
      </w:r>
      <w:r w:rsidR="00DA3355" w:rsidRPr="00EE48E2">
        <w:rPr>
          <w:rFonts w:ascii="Book Antiqua" w:hAnsi="Book Antiqua"/>
          <w:sz w:val="24"/>
          <w:szCs w:val="24"/>
          <w:lang w:val="en-GB"/>
        </w:rPr>
        <w:t xml:space="preserve">. </w:t>
      </w:r>
      <w:r w:rsidR="00363A1A" w:rsidRPr="00EE48E2">
        <w:rPr>
          <w:rFonts w:ascii="Book Antiqua" w:hAnsi="Book Antiqua"/>
          <w:sz w:val="24"/>
          <w:szCs w:val="24"/>
          <w:lang w:val="en-GB"/>
        </w:rPr>
        <w:t xml:space="preserve">Several </w:t>
      </w:r>
      <w:r w:rsidR="00290571" w:rsidRPr="00EE48E2">
        <w:rPr>
          <w:rFonts w:ascii="Book Antiqua" w:hAnsi="Book Antiqua"/>
          <w:sz w:val="24"/>
          <w:szCs w:val="24"/>
          <w:lang w:val="en-GB"/>
        </w:rPr>
        <w:t>studies</w:t>
      </w:r>
      <w:r w:rsidR="00363A1A" w:rsidRPr="00EE48E2">
        <w:rPr>
          <w:rFonts w:ascii="Book Antiqua" w:hAnsi="Book Antiqua"/>
          <w:sz w:val="24"/>
          <w:szCs w:val="24"/>
          <w:lang w:val="en-GB"/>
        </w:rPr>
        <w:t xml:space="preserve"> showed that </w:t>
      </w:r>
      <w:r w:rsidR="00290571" w:rsidRPr="00EE48E2">
        <w:rPr>
          <w:rFonts w:ascii="Book Antiqua" w:hAnsi="Book Antiqua"/>
          <w:sz w:val="24"/>
          <w:szCs w:val="24"/>
          <w:lang w:val="en-GB"/>
        </w:rPr>
        <w:t xml:space="preserve">activation of the </w:t>
      </w:r>
      <w:r w:rsidR="00363A1A" w:rsidRPr="00EE48E2">
        <w:rPr>
          <w:rFonts w:ascii="Book Antiqua" w:hAnsi="Book Antiqua"/>
          <w:sz w:val="24"/>
          <w:szCs w:val="24"/>
          <w:lang w:val="en-GB"/>
        </w:rPr>
        <w:t xml:space="preserve">PIK3CA pathway is a major mechanism of resistance that impairs the efficacy of MEK inhibitors in KRAS mutated cancers. Hence, dual inhibition with MEK and PIK3CA inhibitors resulted in a strong inhibition of </w:t>
      </w:r>
      <w:r w:rsidR="00866858" w:rsidRPr="00EE48E2">
        <w:rPr>
          <w:rFonts w:ascii="Book Antiqua" w:hAnsi="Book Antiqua"/>
          <w:sz w:val="24"/>
          <w:szCs w:val="24"/>
          <w:lang w:val="en-GB"/>
        </w:rPr>
        <w:t>tumour</w:t>
      </w:r>
      <w:r w:rsidR="00363A1A" w:rsidRPr="00EE48E2">
        <w:rPr>
          <w:rFonts w:ascii="Book Antiqua" w:hAnsi="Book Antiqua"/>
          <w:sz w:val="24"/>
          <w:szCs w:val="24"/>
          <w:lang w:val="en-GB"/>
        </w:rPr>
        <w:t xml:space="preserve"> cell growth</w:t>
      </w:r>
      <w:r w:rsidR="00AF249E">
        <w:rPr>
          <w:rFonts w:ascii="Book Antiqua" w:hAnsi="Book Antiqua"/>
          <w:sz w:val="24"/>
          <w:szCs w:val="24"/>
          <w:vertAlign w:val="superscript"/>
          <w:lang w:val="en-GB"/>
        </w:rPr>
        <w:t>[</w:t>
      </w:r>
      <w:r w:rsidR="00AF249E">
        <w:rPr>
          <w:rFonts w:ascii="Book Antiqua" w:hAnsi="Book Antiqua" w:hint="eastAsia"/>
          <w:sz w:val="24"/>
          <w:szCs w:val="24"/>
          <w:vertAlign w:val="superscript"/>
          <w:lang w:val="en-GB" w:eastAsia="zh-CN"/>
        </w:rPr>
        <w:t>121</w:t>
      </w:r>
      <w:r w:rsidR="00AF249E">
        <w:rPr>
          <w:rFonts w:ascii="Book Antiqua" w:hAnsi="Book Antiqua"/>
          <w:sz w:val="24"/>
          <w:szCs w:val="24"/>
          <w:vertAlign w:val="superscript"/>
          <w:lang w:val="en-GB"/>
        </w:rPr>
        <w:t>,</w:t>
      </w:r>
      <w:r w:rsidR="00AF249E">
        <w:rPr>
          <w:rFonts w:ascii="Book Antiqua" w:hAnsi="Book Antiqua" w:hint="eastAsia"/>
          <w:sz w:val="24"/>
          <w:szCs w:val="24"/>
          <w:vertAlign w:val="superscript"/>
          <w:lang w:val="en-GB" w:eastAsia="zh-CN"/>
        </w:rPr>
        <w:t>122</w:t>
      </w:r>
      <w:r w:rsidR="00363A1A" w:rsidRPr="00EE48E2">
        <w:rPr>
          <w:rFonts w:ascii="Book Antiqua" w:hAnsi="Book Antiqua"/>
          <w:sz w:val="24"/>
          <w:szCs w:val="24"/>
          <w:vertAlign w:val="superscript"/>
          <w:lang w:val="en-GB"/>
        </w:rPr>
        <w:t>]</w:t>
      </w:r>
      <w:r w:rsidR="00DA3355" w:rsidRPr="00EE48E2">
        <w:rPr>
          <w:rFonts w:ascii="Book Antiqua" w:hAnsi="Book Antiqua"/>
          <w:sz w:val="24"/>
          <w:szCs w:val="24"/>
          <w:lang w:val="en-GB"/>
        </w:rPr>
        <w:t>.</w:t>
      </w:r>
      <w:r w:rsidR="00363A1A" w:rsidRPr="00EE48E2">
        <w:rPr>
          <w:rFonts w:ascii="Book Antiqua" w:hAnsi="Book Antiqua"/>
          <w:sz w:val="24"/>
          <w:szCs w:val="24"/>
          <w:lang w:val="en-GB"/>
        </w:rPr>
        <w:t xml:space="preserve"> Troiani and </w:t>
      </w:r>
      <w:r w:rsidR="00290571" w:rsidRPr="00EE48E2">
        <w:rPr>
          <w:rFonts w:ascii="Book Antiqua" w:hAnsi="Book Antiqua"/>
          <w:sz w:val="24"/>
          <w:szCs w:val="24"/>
          <w:lang w:val="en-GB"/>
        </w:rPr>
        <w:t>colleagues</w:t>
      </w:r>
      <w:r w:rsidR="00363A1A" w:rsidRPr="00EE48E2">
        <w:rPr>
          <w:rFonts w:ascii="Book Antiqua" w:hAnsi="Book Antiqua"/>
          <w:sz w:val="24"/>
          <w:szCs w:val="24"/>
          <w:lang w:val="en-GB"/>
        </w:rPr>
        <w:t xml:space="preserve"> demonstrated that combined inhibition of both EGFR and MEK had a synergistic antiproliferative and apoptotic effect in cells and xenografts with either primary or acquired resistance to cetuximab, representing a rational therapeutic strategy for preventing and/or overcoming cetuximab resistance in patients with mCRC</w:t>
      </w:r>
      <w:r w:rsidR="00363A1A" w:rsidRPr="00EE48E2">
        <w:rPr>
          <w:rFonts w:ascii="Book Antiqua" w:hAnsi="Book Antiqua"/>
          <w:sz w:val="24"/>
          <w:szCs w:val="24"/>
          <w:vertAlign w:val="superscript"/>
          <w:lang w:val="en-GB"/>
        </w:rPr>
        <w:t>[</w:t>
      </w:r>
      <w:r w:rsidR="00AF249E">
        <w:rPr>
          <w:rFonts w:ascii="Book Antiqua" w:hAnsi="Book Antiqua" w:hint="eastAsia"/>
          <w:sz w:val="24"/>
          <w:szCs w:val="24"/>
          <w:vertAlign w:val="superscript"/>
          <w:lang w:val="en-GB" w:eastAsia="zh-CN"/>
        </w:rPr>
        <w:t>123</w:t>
      </w:r>
      <w:r w:rsidR="00363A1A" w:rsidRPr="00EE48E2">
        <w:rPr>
          <w:rFonts w:ascii="Book Antiqua" w:hAnsi="Book Antiqua"/>
          <w:sz w:val="24"/>
          <w:szCs w:val="24"/>
          <w:vertAlign w:val="superscript"/>
          <w:lang w:val="en-GB"/>
        </w:rPr>
        <w:t>]</w:t>
      </w:r>
      <w:r w:rsidR="00DA3355" w:rsidRPr="00EE48E2">
        <w:rPr>
          <w:rFonts w:ascii="Book Antiqua" w:hAnsi="Book Antiqua"/>
          <w:sz w:val="24"/>
          <w:szCs w:val="24"/>
          <w:lang w:val="en-GB"/>
        </w:rPr>
        <w:t>.</w:t>
      </w:r>
      <w:r w:rsidR="00363A1A" w:rsidRPr="00EE48E2">
        <w:rPr>
          <w:rFonts w:ascii="Book Antiqua" w:hAnsi="Book Antiqua"/>
          <w:sz w:val="24"/>
          <w:szCs w:val="24"/>
          <w:lang w:val="en-GB"/>
        </w:rPr>
        <w:t xml:space="preserve"> The same group also suggested that combining classical EGFR inhibitors with multitarget agents may circumvent primary and acquired resistance to EGFR inhibitors. For example, the combination of cetuximab and regorafenib, an oral multi-kinase inhibitor, could be an active combination </w:t>
      </w:r>
      <w:r w:rsidR="006517F9" w:rsidRPr="00EE48E2">
        <w:rPr>
          <w:rFonts w:ascii="Book Antiqua" w:hAnsi="Book Antiqua"/>
          <w:sz w:val="24"/>
          <w:szCs w:val="24"/>
          <w:lang w:val="en-GB"/>
        </w:rPr>
        <w:t xml:space="preserve">and </w:t>
      </w:r>
      <w:r w:rsidR="00363A1A" w:rsidRPr="00EE48E2">
        <w:rPr>
          <w:rFonts w:ascii="Book Antiqua" w:hAnsi="Book Antiqua"/>
          <w:sz w:val="24"/>
          <w:szCs w:val="24"/>
          <w:lang w:val="en-GB"/>
        </w:rPr>
        <w:t>deserve</w:t>
      </w:r>
      <w:r w:rsidR="006517F9" w:rsidRPr="00EE48E2">
        <w:rPr>
          <w:rFonts w:ascii="Book Antiqua" w:hAnsi="Book Antiqua"/>
          <w:sz w:val="24"/>
          <w:szCs w:val="24"/>
          <w:lang w:val="en-GB"/>
        </w:rPr>
        <w:t>s</w:t>
      </w:r>
      <w:r w:rsidR="00363A1A" w:rsidRPr="00EE48E2">
        <w:rPr>
          <w:rFonts w:ascii="Book Antiqua" w:hAnsi="Book Antiqua"/>
          <w:sz w:val="24"/>
          <w:szCs w:val="24"/>
          <w:lang w:val="en-GB"/>
        </w:rPr>
        <w:t xml:space="preserve"> further testing in </w:t>
      </w:r>
      <w:r w:rsidR="006517F9" w:rsidRPr="00EE48E2">
        <w:rPr>
          <w:rFonts w:ascii="Book Antiqua" w:hAnsi="Book Antiqua"/>
          <w:sz w:val="24"/>
          <w:szCs w:val="24"/>
          <w:lang w:val="en-GB"/>
        </w:rPr>
        <w:t xml:space="preserve">a </w:t>
      </w:r>
      <w:r w:rsidR="00363A1A" w:rsidRPr="00EE48E2">
        <w:rPr>
          <w:rFonts w:ascii="Book Antiqua" w:hAnsi="Book Antiqua"/>
          <w:sz w:val="24"/>
          <w:szCs w:val="24"/>
          <w:lang w:val="en-GB"/>
        </w:rPr>
        <w:t>clinical setting</w:t>
      </w:r>
      <w:r w:rsidR="00363A1A" w:rsidRPr="00EE48E2">
        <w:rPr>
          <w:rFonts w:ascii="Book Antiqua" w:hAnsi="Book Antiqua"/>
          <w:sz w:val="24"/>
          <w:szCs w:val="24"/>
          <w:vertAlign w:val="superscript"/>
          <w:lang w:val="en-GB"/>
        </w:rPr>
        <w:t>[</w:t>
      </w:r>
      <w:r w:rsidR="00AF249E">
        <w:rPr>
          <w:rFonts w:ascii="Book Antiqua" w:hAnsi="Book Antiqua" w:hint="eastAsia"/>
          <w:sz w:val="24"/>
          <w:szCs w:val="24"/>
          <w:vertAlign w:val="superscript"/>
          <w:lang w:val="en-GB" w:eastAsia="zh-CN"/>
        </w:rPr>
        <w:t>124</w:t>
      </w:r>
      <w:r w:rsidR="00363A1A" w:rsidRPr="00EE48E2">
        <w:rPr>
          <w:rFonts w:ascii="Book Antiqua" w:hAnsi="Book Antiqua"/>
          <w:sz w:val="24"/>
          <w:szCs w:val="24"/>
          <w:vertAlign w:val="superscript"/>
          <w:lang w:val="en-GB"/>
        </w:rPr>
        <w:t>]</w:t>
      </w:r>
      <w:r w:rsidR="00DA3355" w:rsidRPr="00EE48E2">
        <w:rPr>
          <w:rFonts w:ascii="Book Antiqua" w:hAnsi="Book Antiqua"/>
          <w:sz w:val="24"/>
          <w:szCs w:val="24"/>
          <w:lang w:val="en-GB"/>
        </w:rPr>
        <w:t>.</w:t>
      </w:r>
    </w:p>
    <w:p w14:paraId="3FD6A5D8" w14:textId="4519FDBD" w:rsidR="00363A1A" w:rsidRPr="00EE48E2" w:rsidRDefault="00EE48E2" w:rsidP="004D1833">
      <w:pPr>
        <w:adjustRightInd w:val="0"/>
        <w:snapToGrid w:val="0"/>
        <w:spacing w:after="0" w:line="360" w:lineRule="auto"/>
        <w:jc w:val="both"/>
        <w:rPr>
          <w:rFonts w:ascii="Book Antiqua" w:hAnsi="Book Antiqua"/>
          <w:sz w:val="24"/>
          <w:szCs w:val="24"/>
          <w:lang w:val="en-GB"/>
        </w:rPr>
      </w:pPr>
      <w:r w:rsidRPr="00EE48E2">
        <w:rPr>
          <w:rFonts w:ascii="Book Antiqua" w:hAnsi="Book Antiqua"/>
          <w:sz w:val="24"/>
          <w:szCs w:val="24"/>
          <w:lang w:val="en-GB"/>
        </w:rPr>
        <w:t xml:space="preserve"> </w:t>
      </w:r>
      <w:r w:rsidR="000E58F5">
        <w:rPr>
          <w:rFonts w:ascii="Book Antiqua" w:hAnsi="Book Antiqua" w:hint="eastAsia"/>
          <w:sz w:val="24"/>
          <w:szCs w:val="24"/>
          <w:lang w:val="en-GB" w:eastAsia="zh-CN"/>
        </w:rPr>
        <w:t xml:space="preserve"> </w:t>
      </w:r>
      <w:r w:rsidRPr="00EE48E2">
        <w:rPr>
          <w:rFonts w:ascii="Book Antiqua" w:hAnsi="Book Antiqua"/>
          <w:sz w:val="24"/>
          <w:szCs w:val="24"/>
          <w:lang w:val="en-GB"/>
        </w:rPr>
        <w:t xml:space="preserve"> </w:t>
      </w:r>
      <w:r w:rsidR="00B15DB2" w:rsidRPr="00EE48E2">
        <w:rPr>
          <w:rFonts w:ascii="Book Antiqua" w:hAnsi="Book Antiqua"/>
          <w:sz w:val="24"/>
          <w:szCs w:val="24"/>
          <w:lang w:val="en-GB"/>
        </w:rPr>
        <w:t>R</w:t>
      </w:r>
      <w:r w:rsidR="00363A1A" w:rsidRPr="00EE48E2">
        <w:rPr>
          <w:rFonts w:ascii="Book Antiqua" w:hAnsi="Book Antiqua"/>
          <w:sz w:val="24"/>
          <w:szCs w:val="24"/>
          <w:lang w:val="en-GB"/>
        </w:rPr>
        <w:t>echalleng</w:t>
      </w:r>
      <w:r w:rsidR="00B15DB2" w:rsidRPr="00EE48E2">
        <w:rPr>
          <w:rFonts w:ascii="Book Antiqua" w:hAnsi="Book Antiqua"/>
          <w:sz w:val="24"/>
          <w:szCs w:val="24"/>
          <w:lang w:val="en-GB"/>
        </w:rPr>
        <w:t>ing patients</w:t>
      </w:r>
      <w:r w:rsidR="00363A1A" w:rsidRPr="00EE48E2">
        <w:rPr>
          <w:rFonts w:ascii="Book Antiqua" w:hAnsi="Book Antiqua"/>
          <w:sz w:val="24"/>
          <w:szCs w:val="24"/>
          <w:lang w:val="en-GB"/>
        </w:rPr>
        <w:t xml:space="preserve"> with an alternative anti-EGFR moAb after failure with a drug of the same family has been tested. However, panitumumab has </w:t>
      </w:r>
      <w:r w:rsidR="00B15DB2" w:rsidRPr="00EE48E2">
        <w:rPr>
          <w:rFonts w:ascii="Book Antiqua" w:hAnsi="Book Antiqua"/>
          <w:sz w:val="24"/>
          <w:szCs w:val="24"/>
          <w:lang w:val="en-GB"/>
        </w:rPr>
        <w:t xml:space="preserve">been </w:t>
      </w:r>
      <w:r w:rsidR="00363A1A" w:rsidRPr="00EE48E2">
        <w:rPr>
          <w:rFonts w:ascii="Book Antiqua" w:hAnsi="Book Antiqua"/>
          <w:sz w:val="24"/>
          <w:szCs w:val="24"/>
          <w:lang w:val="en-GB"/>
        </w:rPr>
        <w:t xml:space="preserve">demonstrated to </w:t>
      </w:r>
      <w:r w:rsidR="00363A1A" w:rsidRPr="00EE48E2">
        <w:rPr>
          <w:rFonts w:ascii="Book Antiqua" w:hAnsi="Book Antiqua"/>
          <w:sz w:val="24"/>
          <w:szCs w:val="24"/>
          <w:lang w:val="en-GB"/>
        </w:rPr>
        <w:lastRenderedPageBreak/>
        <w:t>provide minimal benefit in patients with KRAS WT mCRC who have experienced progression to cetuximab as prior therapy</w:t>
      </w:r>
      <w:r w:rsidR="00E04397" w:rsidRPr="00EE48E2">
        <w:rPr>
          <w:rFonts w:ascii="Book Antiqua" w:hAnsi="Book Antiqua"/>
          <w:sz w:val="24"/>
          <w:szCs w:val="24"/>
          <w:vertAlign w:val="superscript"/>
          <w:lang w:val="en-GB"/>
        </w:rPr>
        <w:t>[12</w:t>
      </w:r>
      <w:r w:rsidR="00AF249E">
        <w:rPr>
          <w:rFonts w:ascii="Book Antiqua" w:hAnsi="Book Antiqua" w:hint="eastAsia"/>
          <w:sz w:val="24"/>
          <w:szCs w:val="24"/>
          <w:vertAlign w:val="superscript"/>
          <w:lang w:val="en-GB" w:eastAsia="zh-CN"/>
        </w:rPr>
        <w:t>5</w:t>
      </w:r>
      <w:r w:rsidR="00E04397" w:rsidRPr="00EE48E2">
        <w:rPr>
          <w:rFonts w:ascii="Book Antiqua" w:hAnsi="Book Antiqua"/>
          <w:sz w:val="24"/>
          <w:szCs w:val="24"/>
          <w:vertAlign w:val="superscript"/>
          <w:lang w:val="en-GB"/>
        </w:rPr>
        <w:t>,</w:t>
      </w:r>
      <w:r w:rsidR="00363A1A" w:rsidRPr="00EE48E2">
        <w:rPr>
          <w:rFonts w:ascii="Book Antiqua" w:hAnsi="Book Antiqua"/>
          <w:sz w:val="24"/>
          <w:szCs w:val="24"/>
          <w:vertAlign w:val="superscript"/>
          <w:lang w:val="en-GB"/>
        </w:rPr>
        <w:t>12</w:t>
      </w:r>
      <w:r w:rsidR="00AF249E">
        <w:rPr>
          <w:rFonts w:ascii="Book Antiqua" w:hAnsi="Book Antiqua" w:hint="eastAsia"/>
          <w:sz w:val="24"/>
          <w:szCs w:val="24"/>
          <w:vertAlign w:val="superscript"/>
          <w:lang w:val="en-GB" w:eastAsia="zh-CN"/>
        </w:rPr>
        <w:t>6</w:t>
      </w:r>
      <w:r w:rsidR="00363A1A" w:rsidRPr="00EE48E2">
        <w:rPr>
          <w:rFonts w:ascii="Book Antiqua" w:hAnsi="Book Antiqua"/>
          <w:sz w:val="24"/>
          <w:szCs w:val="24"/>
          <w:vertAlign w:val="superscript"/>
          <w:lang w:val="en-GB"/>
        </w:rPr>
        <w:t>]</w:t>
      </w:r>
      <w:r w:rsidR="00DA3355" w:rsidRPr="00EE48E2">
        <w:rPr>
          <w:rFonts w:ascii="Book Antiqua" w:hAnsi="Book Antiqua"/>
          <w:sz w:val="24"/>
          <w:szCs w:val="24"/>
          <w:lang w:val="en-GB"/>
        </w:rPr>
        <w:t xml:space="preserve">. </w:t>
      </w:r>
      <w:r w:rsidR="00363A1A" w:rsidRPr="00EE48E2">
        <w:rPr>
          <w:rFonts w:ascii="Book Antiqua" w:hAnsi="Book Antiqua"/>
          <w:sz w:val="24"/>
          <w:szCs w:val="24"/>
          <w:lang w:val="en-GB"/>
        </w:rPr>
        <w:t xml:space="preserve">The hypotheses that </w:t>
      </w:r>
      <w:r w:rsidR="006517F9" w:rsidRPr="00EE48E2">
        <w:rPr>
          <w:rFonts w:ascii="Book Antiqua" w:hAnsi="Book Antiqua"/>
          <w:sz w:val="24"/>
          <w:szCs w:val="24"/>
          <w:lang w:val="en-GB"/>
        </w:rPr>
        <w:t>pre-existing</w:t>
      </w:r>
      <w:r w:rsidR="00363A1A" w:rsidRPr="00EE48E2">
        <w:rPr>
          <w:rFonts w:ascii="Book Antiqua" w:hAnsi="Book Antiqua"/>
          <w:sz w:val="24"/>
          <w:szCs w:val="24"/>
          <w:lang w:val="en-GB"/>
        </w:rPr>
        <w:t xml:space="preserve"> sensitive subclones may emerge after treatment breaks with anti-EGFR moAb has led the design of several clinical trials prospectively evaluating the rechallenge with anti-EGFR moAbs in the third-line setting after a response </w:t>
      </w:r>
      <w:r w:rsidR="00B15DB2" w:rsidRPr="00EE48E2">
        <w:rPr>
          <w:rFonts w:ascii="Book Antiqua" w:hAnsi="Book Antiqua"/>
          <w:sz w:val="24"/>
          <w:szCs w:val="24"/>
          <w:lang w:val="en-GB"/>
        </w:rPr>
        <w:t>to</w:t>
      </w:r>
      <w:r w:rsidR="00363A1A" w:rsidRPr="00EE48E2">
        <w:rPr>
          <w:rFonts w:ascii="Book Antiqua" w:hAnsi="Book Antiqua"/>
          <w:sz w:val="24"/>
          <w:szCs w:val="24"/>
          <w:lang w:val="en-GB"/>
        </w:rPr>
        <w:t xml:space="preserve"> the first-line</w:t>
      </w:r>
      <w:r w:rsidR="00B15DB2" w:rsidRPr="00EE48E2">
        <w:rPr>
          <w:rFonts w:ascii="Book Antiqua" w:hAnsi="Book Antiqua"/>
          <w:sz w:val="24"/>
          <w:szCs w:val="24"/>
          <w:lang w:val="en-GB"/>
        </w:rPr>
        <w:t xml:space="preserve"> therapy</w:t>
      </w:r>
      <w:r w:rsidR="00363A1A" w:rsidRPr="00EE48E2">
        <w:rPr>
          <w:rFonts w:ascii="Book Antiqua" w:hAnsi="Book Antiqua"/>
          <w:sz w:val="24"/>
          <w:szCs w:val="24"/>
          <w:lang w:val="en-GB"/>
        </w:rPr>
        <w:t xml:space="preserve">. Only patients </w:t>
      </w:r>
      <w:r w:rsidR="00B15DB2" w:rsidRPr="00EE48E2">
        <w:rPr>
          <w:rFonts w:ascii="Book Antiqua" w:hAnsi="Book Antiqua"/>
          <w:sz w:val="24"/>
          <w:szCs w:val="24"/>
          <w:lang w:val="en-GB"/>
        </w:rPr>
        <w:t xml:space="preserve">who are </w:t>
      </w:r>
      <w:r w:rsidR="00363A1A" w:rsidRPr="00EE48E2">
        <w:rPr>
          <w:rFonts w:ascii="Book Antiqua" w:hAnsi="Book Antiqua"/>
          <w:sz w:val="24"/>
          <w:szCs w:val="24"/>
          <w:lang w:val="en-GB"/>
        </w:rPr>
        <w:t>quadruple WT are being enrolled</w:t>
      </w:r>
      <w:r w:rsidR="00363A1A" w:rsidRPr="00EE48E2">
        <w:rPr>
          <w:rFonts w:ascii="Book Antiqua" w:hAnsi="Book Antiqua"/>
          <w:sz w:val="24"/>
          <w:szCs w:val="24"/>
          <w:vertAlign w:val="superscript"/>
          <w:lang w:val="en-GB"/>
        </w:rPr>
        <w:t>[</w:t>
      </w:r>
      <w:r w:rsidR="00AF249E">
        <w:rPr>
          <w:rFonts w:ascii="Book Antiqua" w:hAnsi="Book Antiqua" w:hint="eastAsia"/>
          <w:sz w:val="24"/>
          <w:szCs w:val="24"/>
          <w:vertAlign w:val="superscript"/>
          <w:lang w:val="en-GB" w:eastAsia="zh-CN"/>
        </w:rPr>
        <w:t>127</w:t>
      </w:r>
      <w:r w:rsidR="00363A1A" w:rsidRPr="00EE48E2">
        <w:rPr>
          <w:rFonts w:ascii="Book Antiqua" w:hAnsi="Book Antiqua"/>
          <w:sz w:val="24"/>
          <w:szCs w:val="24"/>
          <w:vertAlign w:val="superscript"/>
          <w:lang w:val="en-GB"/>
        </w:rPr>
        <w:t>]</w:t>
      </w:r>
      <w:r w:rsidR="00DA3355" w:rsidRPr="00EE48E2">
        <w:rPr>
          <w:rFonts w:ascii="Book Antiqua" w:hAnsi="Book Antiqua"/>
          <w:sz w:val="24"/>
          <w:szCs w:val="24"/>
          <w:lang w:val="en-GB"/>
        </w:rPr>
        <w:t>.</w:t>
      </w:r>
    </w:p>
    <w:p w14:paraId="28A5324D" w14:textId="79AB90AB" w:rsidR="00363A1A" w:rsidRPr="00EE48E2" w:rsidRDefault="00EE48E2" w:rsidP="004D1833">
      <w:pPr>
        <w:adjustRightInd w:val="0"/>
        <w:snapToGrid w:val="0"/>
        <w:spacing w:after="0" w:line="360" w:lineRule="auto"/>
        <w:jc w:val="both"/>
        <w:rPr>
          <w:rFonts w:ascii="Book Antiqua" w:hAnsi="Book Antiqua"/>
          <w:sz w:val="24"/>
          <w:szCs w:val="24"/>
          <w:lang w:val="en-GB"/>
        </w:rPr>
      </w:pPr>
      <w:r w:rsidRPr="00EE48E2">
        <w:rPr>
          <w:rFonts w:ascii="Book Antiqua" w:hAnsi="Book Antiqua"/>
          <w:sz w:val="24"/>
          <w:szCs w:val="24"/>
          <w:lang w:val="en-GB"/>
        </w:rPr>
        <w:t xml:space="preserve">  </w:t>
      </w:r>
      <w:r w:rsidR="003628A5" w:rsidRPr="00EE48E2">
        <w:rPr>
          <w:rFonts w:ascii="Book Antiqua" w:hAnsi="Book Antiqua"/>
          <w:sz w:val="24"/>
          <w:szCs w:val="24"/>
          <w:lang w:val="en-GB"/>
        </w:rPr>
        <w:t xml:space="preserve">Interestingly, Ciardiello and colleagues recently presented the results from the second line of the CAPRI study and demonstrated that quadruple WT mCRC patients showed a significantly prolonged PFS as well as OS and RR from continuing cetuximab with a different chemotherapeutic agent beyond cancer progression after first-line chemotherapy plus the same anti-EGFR. </w:t>
      </w:r>
      <w:r w:rsidR="00363A1A" w:rsidRPr="00EE48E2">
        <w:rPr>
          <w:rFonts w:ascii="Book Antiqua" w:hAnsi="Book Antiqua"/>
          <w:sz w:val="24"/>
          <w:szCs w:val="24"/>
          <w:lang w:val="en-GB"/>
        </w:rPr>
        <w:t>These finding</w:t>
      </w:r>
      <w:r w:rsidR="00AB14E9" w:rsidRPr="00EE48E2">
        <w:rPr>
          <w:rFonts w:ascii="Book Antiqua" w:hAnsi="Book Antiqua"/>
          <w:sz w:val="24"/>
          <w:szCs w:val="24"/>
          <w:lang w:val="en-GB"/>
        </w:rPr>
        <w:t>s</w:t>
      </w:r>
      <w:r w:rsidR="00363A1A" w:rsidRPr="00EE48E2">
        <w:rPr>
          <w:rFonts w:ascii="Book Antiqua" w:hAnsi="Book Antiqua"/>
          <w:sz w:val="24"/>
          <w:szCs w:val="24"/>
          <w:lang w:val="en-GB"/>
        </w:rPr>
        <w:t xml:space="preserve"> highlighted that molecul</w:t>
      </w:r>
      <w:r w:rsidR="00DB342E" w:rsidRPr="00EE48E2">
        <w:rPr>
          <w:rFonts w:ascii="Book Antiqua" w:hAnsi="Book Antiqua"/>
          <w:sz w:val="24"/>
          <w:szCs w:val="24"/>
          <w:lang w:val="en-GB"/>
        </w:rPr>
        <w:t xml:space="preserve">arly </w:t>
      </w:r>
      <w:r w:rsidR="00363A1A" w:rsidRPr="00EE48E2">
        <w:rPr>
          <w:rFonts w:ascii="Book Antiqua" w:hAnsi="Book Antiqua"/>
          <w:sz w:val="24"/>
          <w:szCs w:val="24"/>
          <w:lang w:val="en-GB"/>
        </w:rPr>
        <w:t>selected mCRC patients have tumours that are highly dependent on EGFR signalling for their growth</w:t>
      </w:r>
      <w:r w:rsidR="00AB14E9" w:rsidRPr="00EE48E2">
        <w:rPr>
          <w:rFonts w:ascii="Book Antiqua" w:hAnsi="Book Antiqua"/>
          <w:sz w:val="24"/>
          <w:szCs w:val="24"/>
          <w:lang w:val="en-GB"/>
        </w:rPr>
        <w:t>, despite</w:t>
      </w:r>
      <w:r w:rsidR="00363A1A" w:rsidRPr="00EE48E2">
        <w:rPr>
          <w:rFonts w:ascii="Book Antiqua" w:hAnsi="Book Antiqua"/>
          <w:sz w:val="24"/>
          <w:szCs w:val="24"/>
          <w:lang w:val="en-GB"/>
        </w:rPr>
        <w:t xml:space="preserve"> the progression to the anti-EGFR drug</w:t>
      </w:r>
      <w:r w:rsidR="00363A1A" w:rsidRPr="00EE48E2">
        <w:rPr>
          <w:rFonts w:ascii="Book Antiqua" w:hAnsi="Book Antiqua"/>
          <w:sz w:val="24"/>
          <w:szCs w:val="24"/>
          <w:vertAlign w:val="superscript"/>
          <w:lang w:val="en-GB"/>
        </w:rPr>
        <w:t>[</w:t>
      </w:r>
      <w:r w:rsidR="00AF249E">
        <w:rPr>
          <w:rFonts w:ascii="Book Antiqua" w:hAnsi="Book Antiqua" w:hint="eastAsia"/>
          <w:sz w:val="24"/>
          <w:szCs w:val="24"/>
          <w:vertAlign w:val="superscript"/>
          <w:lang w:val="en-GB" w:eastAsia="zh-CN"/>
        </w:rPr>
        <w:t>128</w:t>
      </w:r>
      <w:r w:rsidR="00363A1A" w:rsidRPr="00EE48E2">
        <w:rPr>
          <w:rFonts w:ascii="Book Antiqua" w:hAnsi="Book Antiqua"/>
          <w:sz w:val="24"/>
          <w:szCs w:val="24"/>
          <w:vertAlign w:val="superscript"/>
          <w:lang w:val="en-GB"/>
        </w:rPr>
        <w:t>]</w:t>
      </w:r>
      <w:r w:rsidR="00DA3355" w:rsidRPr="00EE48E2">
        <w:rPr>
          <w:rFonts w:ascii="Book Antiqua" w:hAnsi="Book Antiqua"/>
          <w:sz w:val="24"/>
          <w:szCs w:val="24"/>
          <w:lang w:val="en-GB"/>
        </w:rPr>
        <w:t xml:space="preserve">. </w:t>
      </w:r>
      <w:r w:rsidR="00363A1A" w:rsidRPr="00EE48E2">
        <w:rPr>
          <w:rFonts w:ascii="Book Antiqua" w:hAnsi="Book Antiqua"/>
          <w:sz w:val="24"/>
          <w:szCs w:val="24"/>
          <w:lang w:val="en-GB"/>
        </w:rPr>
        <w:t>Th</w:t>
      </w:r>
      <w:r w:rsidR="00AB14E9" w:rsidRPr="00EE48E2">
        <w:rPr>
          <w:rFonts w:ascii="Book Antiqua" w:hAnsi="Book Antiqua"/>
          <w:sz w:val="24"/>
          <w:szCs w:val="24"/>
          <w:lang w:val="en-GB"/>
        </w:rPr>
        <w:t>ese</w:t>
      </w:r>
      <w:r w:rsidR="00363A1A" w:rsidRPr="00EE48E2">
        <w:rPr>
          <w:rFonts w:ascii="Book Antiqua" w:hAnsi="Book Antiqua"/>
          <w:sz w:val="24"/>
          <w:szCs w:val="24"/>
          <w:lang w:val="en-GB"/>
        </w:rPr>
        <w:t xml:space="preserve"> data </w:t>
      </w:r>
      <w:r w:rsidR="00AB14E9" w:rsidRPr="00EE48E2">
        <w:rPr>
          <w:rFonts w:ascii="Book Antiqua" w:hAnsi="Book Antiqua"/>
          <w:sz w:val="24"/>
          <w:szCs w:val="24"/>
          <w:lang w:val="en-GB"/>
        </w:rPr>
        <w:t>are</w:t>
      </w:r>
      <w:r w:rsidR="00363A1A" w:rsidRPr="00EE48E2">
        <w:rPr>
          <w:rFonts w:ascii="Book Antiqua" w:hAnsi="Book Antiqua"/>
          <w:sz w:val="24"/>
          <w:szCs w:val="24"/>
          <w:lang w:val="en-GB"/>
        </w:rPr>
        <w:t xml:space="preserve"> interesting and deserve further investigations.</w:t>
      </w:r>
    </w:p>
    <w:p w14:paraId="64877DDA" w14:textId="11281534" w:rsidR="00363A1A" w:rsidRPr="00EE48E2" w:rsidRDefault="00EE48E2" w:rsidP="004D1833">
      <w:pPr>
        <w:adjustRightInd w:val="0"/>
        <w:snapToGrid w:val="0"/>
        <w:spacing w:after="0" w:line="360" w:lineRule="auto"/>
        <w:jc w:val="both"/>
        <w:rPr>
          <w:rFonts w:ascii="Book Antiqua" w:hAnsi="Book Antiqua"/>
          <w:sz w:val="24"/>
          <w:szCs w:val="24"/>
          <w:lang w:val="en-GB"/>
        </w:rPr>
      </w:pPr>
      <w:r w:rsidRPr="00EE48E2">
        <w:rPr>
          <w:rFonts w:ascii="Book Antiqua" w:hAnsi="Book Antiqua"/>
          <w:sz w:val="24"/>
          <w:szCs w:val="24"/>
          <w:lang w:val="en-GB"/>
        </w:rPr>
        <w:t xml:space="preserve">  </w:t>
      </w:r>
      <w:r w:rsidR="00363A1A" w:rsidRPr="00EE48E2">
        <w:rPr>
          <w:rFonts w:ascii="Book Antiqua" w:hAnsi="Book Antiqua"/>
          <w:sz w:val="24"/>
          <w:szCs w:val="24"/>
          <w:lang w:val="en-GB"/>
        </w:rPr>
        <w:t>Furthermore, as described above, new anti-EGFR such as Sym004 and MM-151 seem to be active but deserve further investigations</w:t>
      </w:r>
      <w:r w:rsidR="00E04397" w:rsidRPr="00EE48E2">
        <w:rPr>
          <w:rFonts w:ascii="Book Antiqua" w:hAnsi="Book Antiqua"/>
          <w:sz w:val="24"/>
          <w:szCs w:val="24"/>
          <w:vertAlign w:val="superscript"/>
          <w:lang w:val="en-GB"/>
        </w:rPr>
        <w:t>[</w:t>
      </w:r>
      <w:r w:rsidR="00AF249E">
        <w:rPr>
          <w:rFonts w:ascii="Book Antiqua" w:hAnsi="Book Antiqua" w:hint="eastAsia"/>
          <w:sz w:val="24"/>
          <w:szCs w:val="24"/>
          <w:vertAlign w:val="superscript"/>
          <w:lang w:val="en-GB" w:eastAsia="zh-CN"/>
        </w:rPr>
        <w:t>108</w:t>
      </w:r>
      <w:r w:rsidR="00E04397" w:rsidRPr="00EE48E2">
        <w:rPr>
          <w:rFonts w:ascii="Book Antiqua" w:hAnsi="Book Antiqua"/>
          <w:sz w:val="24"/>
          <w:szCs w:val="24"/>
          <w:vertAlign w:val="superscript"/>
          <w:lang w:val="en-GB"/>
        </w:rPr>
        <w:t>,</w:t>
      </w:r>
      <w:r w:rsidR="00AF249E">
        <w:rPr>
          <w:rFonts w:ascii="Book Antiqua" w:hAnsi="Book Antiqua" w:hint="eastAsia"/>
          <w:sz w:val="24"/>
          <w:szCs w:val="24"/>
          <w:vertAlign w:val="superscript"/>
          <w:lang w:val="en-GB" w:eastAsia="zh-CN"/>
        </w:rPr>
        <w:t>109</w:t>
      </w:r>
      <w:r w:rsidR="00363A1A" w:rsidRPr="00EE48E2">
        <w:rPr>
          <w:rFonts w:ascii="Book Antiqua" w:hAnsi="Book Antiqua"/>
          <w:sz w:val="24"/>
          <w:szCs w:val="24"/>
          <w:vertAlign w:val="superscript"/>
          <w:lang w:val="en-GB"/>
        </w:rPr>
        <w:t>]</w:t>
      </w:r>
      <w:r w:rsidR="00DA3355" w:rsidRPr="00EE48E2">
        <w:rPr>
          <w:rFonts w:ascii="Book Antiqua" w:hAnsi="Book Antiqua"/>
          <w:sz w:val="24"/>
          <w:szCs w:val="24"/>
          <w:lang w:val="en-GB"/>
        </w:rPr>
        <w:t xml:space="preserve">. </w:t>
      </w:r>
      <w:r w:rsidR="00363A1A" w:rsidRPr="00EE48E2">
        <w:rPr>
          <w:rFonts w:ascii="Book Antiqua" w:hAnsi="Book Antiqua"/>
          <w:sz w:val="24"/>
          <w:szCs w:val="24"/>
          <w:lang w:val="en-GB"/>
        </w:rPr>
        <w:t xml:space="preserve">Another new drug that has been proposed is GA201 (also known as RG7160, imgatuzumab), a humanized anti-EGFR IgG1 moAb </w:t>
      </w:r>
      <w:r w:rsidR="00E15294" w:rsidRPr="00EE48E2">
        <w:rPr>
          <w:rFonts w:ascii="Book Antiqua" w:hAnsi="Book Antiqua"/>
          <w:sz w:val="24"/>
          <w:szCs w:val="24"/>
          <w:lang w:val="en-GB"/>
        </w:rPr>
        <w:t>that</w:t>
      </w:r>
      <w:r w:rsidR="00363A1A" w:rsidRPr="00EE48E2">
        <w:rPr>
          <w:rFonts w:ascii="Book Antiqua" w:hAnsi="Book Antiqua"/>
          <w:sz w:val="24"/>
          <w:szCs w:val="24"/>
          <w:lang w:val="en-GB"/>
        </w:rPr>
        <w:t xml:space="preserve"> has showed an increased binding affinity for all FcgRIIIa variants expressed on immune effector cells, such as natural killer cells, leading to a significant improvement in terms of antibody-dependent cell mediated cytotoxicity-based cell killing. Encouraging results have been emerged from the phase I trial</w:t>
      </w:r>
      <w:r w:rsidR="00E15294" w:rsidRPr="00EE48E2">
        <w:rPr>
          <w:rFonts w:ascii="Book Antiqua" w:hAnsi="Book Antiqua"/>
          <w:sz w:val="24"/>
          <w:szCs w:val="24"/>
          <w:lang w:val="en-GB"/>
        </w:rPr>
        <w:t>;</w:t>
      </w:r>
      <w:r w:rsidR="00363A1A" w:rsidRPr="00EE48E2">
        <w:rPr>
          <w:rFonts w:ascii="Book Antiqua" w:hAnsi="Book Antiqua"/>
          <w:sz w:val="24"/>
          <w:szCs w:val="24"/>
          <w:lang w:val="en-GB"/>
        </w:rPr>
        <w:t xml:space="preserve"> however</w:t>
      </w:r>
      <w:r w:rsidR="00E15294" w:rsidRPr="00EE48E2">
        <w:rPr>
          <w:rFonts w:ascii="Book Antiqua" w:hAnsi="Book Antiqua"/>
          <w:sz w:val="24"/>
          <w:szCs w:val="24"/>
          <w:lang w:val="en-GB"/>
        </w:rPr>
        <w:t>,</w:t>
      </w:r>
      <w:r w:rsidR="00363A1A" w:rsidRPr="00EE48E2">
        <w:rPr>
          <w:rFonts w:ascii="Book Antiqua" w:hAnsi="Book Antiqua"/>
          <w:sz w:val="24"/>
          <w:szCs w:val="24"/>
          <w:lang w:val="en-GB"/>
        </w:rPr>
        <w:t xml:space="preserve"> a randomized phase II trial assessing the role of GA201 in combination with FOLFIRI </w:t>
      </w:r>
      <w:r w:rsidR="00DA1BA0" w:rsidRPr="00EE48E2">
        <w:rPr>
          <w:rFonts w:ascii="Book Antiqua" w:hAnsi="Book Antiqua"/>
          <w:i/>
          <w:sz w:val="24"/>
          <w:szCs w:val="24"/>
          <w:lang w:val="en-GB"/>
        </w:rPr>
        <w:t>vs</w:t>
      </w:r>
      <w:r w:rsidR="00363A1A" w:rsidRPr="00EE48E2">
        <w:rPr>
          <w:rFonts w:ascii="Book Antiqua" w:hAnsi="Book Antiqua"/>
          <w:sz w:val="24"/>
          <w:szCs w:val="24"/>
          <w:lang w:val="en-GB"/>
        </w:rPr>
        <w:t xml:space="preserve"> cetuximab plus FOLFIRI in second</w:t>
      </w:r>
      <w:r w:rsidR="00E15294" w:rsidRPr="00EE48E2">
        <w:rPr>
          <w:rFonts w:ascii="Book Antiqua" w:hAnsi="Book Antiqua"/>
          <w:sz w:val="24"/>
          <w:szCs w:val="24"/>
          <w:lang w:val="en-GB"/>
        </w:rPr>
        <w:t>-</w:t>
      </w:r>
      <w:r w:rsidR="00363A1A" w:rsidRPr="00EE48E2">
        <w:rPr>
          <w:rFonts w:ascii="Book Antiqua" w:hAnsi="Book Antiqua"/>
          <w:sz w:val="24"/>
          <w:szCs w:val="24"/>
          <w:lang w:val="en-GB"/>
        </w:rPr>
        <w:t>line mCRC patients showed no PFS benefit for the experimental arm in both KRAS WT and KRAS mutant patients</w:t>
      </w:r>
      <w:r w:rsidR="00363A1A" w:rsidRPr="00EE48E2">
        <w:rPr>
          <w:rFonts w:ascii="Book Antiqua" w:hAnsi="Book Antiqua"/>
          <w:sz w:val="24"/>
          <w:szCs w:val="24"/>
          <w:vertAlign w:val="superscript"/>
          <w:lang w:val="en-GB"/>
        </w:rPr>
        <w:t>[</w:t>
      </w:r>
      <w:r w:rsidR="000E58F5">
        <w:rPr>
          <w:rFonts w:ascii="Book Antiqua" w:hAnsi="Book Antiqua" w:hint="eastAsia"/>
          <w:sz w:val="24"/>
          <w:szCs w:val="24"/>
          <w:vertAlign w:val="superscript"/>
          <w:lang w:val="en-GB" w:eastAsia="zh-CN"/>
        </w:rPr>
        <w:t>129,</w:t>
      </w:r>
      <w:r w:rsidR="00C90741">
        <w:rPr>
          <w:rFonts w:ascii="Book Antiqua" w:hAnsi="Book Antiqua" w:hint="eastAsia"/>
          <w:sz w:val="24"/>
          <w:szCs w:val="24"/>
          <w:vertAlign w:val="superscript"/>
          <w:lang w:val="en-GB" w:eastAsia="zh-CN"/>
        </w:rPr>
        <w:t>130</w:t>
      </w:r>
      <w:r w:rsidR="00363A1A" w:rsidRPr="00EE48E2">
        <w:rPr>
          <w:rFonts w:ascii="Book Antiqua" w:hAnsi="Book Antiqua"/>
          <w:sz w:val="24"/>
          <w:szCs w:val="24"/>
          <w:vertAlign w:val="superscript"/>
          <w:lang w:val="en-GB"/>
        </w:rPr>
        <w:t>]</w:t>
      </w:r>
      <w:r w:rsidR="00DA3355" w:rsidRPr="00EE48E2">
        <w:rPr>
          <w:rFonts w:ascii="Book Antiqua" w:hAnsi="Book Antiqua"/>
          <w:sz w:val="24"/>
          <w:szCs w:val="24"/>
          <w:lang w:val="en-GB"/>
        </w:rPr>
        <w:t>.</w:t>
      </w:r>
    </w:p>
    <w:p w14:paraId="3CF3F1C8" w14:textId="746ABE6C" w:rsidR="00363A1A" w:rsidRPr="00EE48E2" w:rsidRDefault="00EE48E2" w:rsidP="004D1833">
      <w:pPr>
        <w:adjustRightInd w:val="0"/>
        <w:snapToGrid w:val="0"/>
        <w:spacing w:after="0" w:line="360" w:lineRule="auto"/>
        <w:jc w:val="both"/>
        <w:rPr>
          <w:rFonts w:ascii="Book Antiqua" w:hAnsi="Book Antiqua"/>
          <w:sz w:val="24"/>
          <w:szCs w:val="24"/>
          <w:lang w:val="en-GB"/>
        </w:rPr>
      </w:pPr>
      <w:r w:rsidRPr="00EE48E2">
        <w:rPr>
          <w:rFonts w:ascii="Book Antiqua" w:hAnsi="Book Antiqua"/>
          <w:sz w:val="24"/>
          <w:szCs w:val="24"/>
          <w:lang w:val="en-GB"/>
        </w:rPr>
        <w:t xml:space="preserve">  </w:t>
      </w:r>
      <w:r w:rsidR="00363A1A" w:rsidRPr="00EE48E2">
        <w:rPr>
          <w:rFonts w:ascii="Book Antiqua" w:hAnsi="Book Antiqua"/>
          <w:sz w:val="24"/>
          <w:szCs w:val="24"/>
          <w:lang w:val="en-GB"/>
        </w:rPr>
        <w:t xml:space="preserve">A promising approach is represented by the immune check point blockade with the antibodies against CTLA-4 (ipilimumab) or PD-1 (pembrolizumab, nivolumab) designed to interrupt the immune evasion strategies adopted by cancer cells. Mismatch-repair status has been found to be a useful biomarker in predicting </w:t>
      </w:r>
      <w:r w:rsidR="00E15294" w:rsidRPr="00EE48E2">
        <w:rPr>
          <w:rFonts w:ascii="Book Antiqua" w:hAnsi="Book Antiqua"/>
          <w:sz w:val="24"/>
          <w:szCs w:val="24"/>
          <w:lang w:val="en-GB"/>
        </w:rPr>
        <w:t xml:space="preserve">the </w:t>
      </w:r>
      <w:r w:rsidR="00363A1A" w:rsidRPr="00EE48E2">
        <w:rPr>
          <w:rFonts w:ascii="Book Antiqua" w:hAnsi="Book Antiqua"/>
          <w:sz w:val="24"/>
          <w:szCs w:val="24"/>
          <w:lang w:val="en-GB"/>
        </w:rPr>
        <w:t xml:space="preserve">clinical benefit of immune checkpoint blockade with pembrolizumab. Indeed, </w:t>
      </w:r>
      <w:r w:rsidR="00E15294" w:rsidRPr="00EE48E2">
        <w:rPr>
          <w:rFonts w:ascii="Book Antiqua" w:hAnsi="Book Antiqua"/>
          <w:sz w:val="24"/>
          <w:szCs w:val="24"/>
          <w:lang w:val="en-GB"/>
        </w:rPr>
        <w:t xml:space="preserve">a </w:t>
      </w:r>
      <w:r w:rsidR="00363A1A" w:rsidRPr="00EE48E2">
        <w:rPr>
          <w:rFonts w:ascii="Book Antiqua" w:hAnsi="Book Antiqua"/>
          <w:sz w:val="24"/>
          <w:szCs w:val="24"/>
          <w:lang w:val="en-GB"/>
        </w:rPr>
        <w:t xml:space="preserve">higher response has been achieved by patients with Microsatellite Instability High (MSI-High) </w:t>
      </w:r>
      <w:r w:rsidR="00866858" w:rsidRPr="00EE48E2">
        <w:rPr>
          <w:rFonts w:ascii="Book Antiqua" w:hAnsi="Book Antiqua"/>
          <w:sz w:val="24"/>
          <w:szCs w:val="24"/>
          <w:lang w:val="en-GB"/>
        </w:rPr>
        <w:t>tumour</w:t>
      </w:r>
      <w:r w:rsidR="00363A1A" w:rsidRPr="00EE48E2">
        <w:rPr>
          <w:rFonts w:ascii="Book Antiqua" w:hAnsi="Book Antiqua"/>
          <w:sz w:val="24"/>
          <w:szCs w:val="24"/>
          <w:lang w:val="en-GB"/>
        </w:rPr>
        <w:t>s</w:t>
      </w:r>
      <w:r w:rsidR="00363A1A" w:rsidRPr="00EE48E2">
        <w:rPr>
          <w:rFonts w:ascii="Book Antiqua" w:hAnsi="Book Antiqua"/>
          <w:sz w:val="24"/>
          <w:szCs w:val="24"/>
          <w:vertAlign w:val="superscript"/>
          <w:lang w:val="en-GB"/>
        </w:rPr>
        <w:t>[13</w:t>
      </w:r>
      <w:r w:rsidR="00C90741">
        <w:rPr>
          <w:rFonts w:ascii="Book Antiqua" w:hAnsi="Book Antiqua" w:hint="eastAsia"/>
          <w:sz w:val="24"/>
          <w:szCs w:val="24"/>
          <w:vertAlign w:val="superscript"/>
          <w:lang w:val="en-GB" w:eastAsia="zh-CN"/>
        </w:rPr>
        <w:t>1</w:t>
      </w:r>
      <w:r w:rsidR="00363A1A" w:rsidRPr="00EE48E2">
        <w:rPr>
          <w:rFonts w:ascii="Book Antiqua" w:hAnsi="Book Antiqua"/>
          <w:sz w:val="24"/>
          <w:szCs w:val="24"/>
          <w:vertAlign w:val="superscript"/>
          <w:lang w:val="en-GB"/>
        </w:rPr>
        <w:t>]</w:t>
      </w:r>
      <w:r w:rsidR="00DA3355" w:rsidRPr="00EE48E2">
        <w:rPr>
          <w:rFonts w:ascii="Book Antiqua" w:hAnsi="Book Antiqua"/>
          <w:sz w:val="24"/>
          <w:szCs w:val="24"/>
          <w:lang w:val="en-GB"/>
        </w:rPr>
        <w:t>.</w:t>
      </w:r>
      <w:r w:rsidR="00363A1A" w:rsidRPr="00EE48E2">
        <w:rPr>
          <w:rFonts w:ascii="Book Antiqua" w:hAnsi="Book Antiqua"/>
          <w:sz w:val="24"/>
          <w:szCs w:val="24"/>
          <w:lang w:val="en-GB"/>
        </w:rPr>
        <w:t xml:space="preserve"> </w:t>
      </w:r>
      <w:r w:rsidR="003628A5" w:rsidRPr="00EE48E2">
        <w:rPr>
          <w:rFonts w:ascii="Book Antiqua" w:hAnsi="Book Antiqua"/>
          <w:sz w:val="24"/>
          <w:szCs w:val="24"/>
          <w:lang w:val="en-GB"/>
        </w:rPr>
        <w:t>Several trials mainly targeting the PD-1/PDL-1 immune checkpoint pathway are ongoing</w:t>
      </w:r>
      <w:r w:rsidR="003628A5" w:rsidRPr="00EE48E2">
        <w:rPr>
          <w:rFonts w:ascii="Book Antiqua" w:hAnsi="Book Antiqua"/>
          <w:sz w:val="24"/>
          <w:szCs w:val="24"/>
          <w:vertAlign w:val="superscript"/>
          <w:lang w:val="en-GB"/>
        </w:rPr>
        <w:t>[13</w:t>
      </w:r>
      <w:r w:rsidR="00C90741">
        <w:rPr>
          <w:rFonts w:ascii="Book Antiqua" w:hAnsi="Book Antiqua" w:hint="eastAsia"/>
          <w:sz w:val="24"/>
          <w:szCs w:val="24"/>
          <w:vertAlign w:val="superscript"/>
          <w:lang w:val="en-GB" w:eastAsia="zh-CN"/>
        </w:rPr>
        <w:t>2</w:t>
      </w:r>
      <w:r w:rsidR="003628A5" w:rsidRPr="00EE48E2">
        <w:rPr>
          <w:rFonts w:ascii="Book Antiqua" w:hAnsi="Book Antiqua"/>
          <w:sz w:val="24"/>
          <w:szCs w:val="24"/>
          <w:vertAlign w:val="superscript"/>
          <w:lang w:val="en-GB"/>
        </w:rPr>
        <w:t>].</w:t>
      </w:r>
      <w:r w:rsidR="00DA3355" w:rsidRPr="00EE48E2">
        <w:rPr>
          <w:rFonts w:ascii="Book Antiqua" w:hAnsi="Book Antiqua"/>
          <w:sz w:val="24"/>
          <w:szCs w:val="24"/>
          <w:lang w:val="en-GB"/>
        </w:rPr>
        <w:t xml:space="preserve">. </w:t>
      </w:r>
      <w:r w:rsidR="00363A1A" w:rsidRPr="00EE48E2">
        <w:rPr>
          <w:rFonts w:ascii="Book Antiqua" w:hAnsi="Book Antiqua"/>
          <w:sz w:val="24"/>
          <w:szCs w:val="24"/>
          <w:lang w:val="en-GB"/>
        </w:rPr>
        <w:t>Furthermore</w:t>
      </w:r>
      <w:r w:rsidR="00E15294" w:rsidRPr="00EE48E2">
        <w:rPr>
          <w:rFonts w:ascii="Book Antiqua" w:hAnsi="Book Antiqua"/>
          <w:sz w:val="24"/>
          <w:szCs w:val="24"/>
          <w:lang w:val="en-GB"/>
        </w:rPr>
        <w:t>,</w:t>
      </w:r>
      <w:r w:rsidR="00363A1A" w:rsidRPr="00EE48E2">
        <w:rPr>
          <w:rFonts w:ascii="Book Antiqua" w:hAnsi="Book Antiqua"/>
          <w:sz w:val="24"/>
          <w:szCs w:val="24"/>
          <w:lang w:val="en-GB"/>
        </w:rPr>
        <w:t xml:space="preserve"> preclinical and clinical evidence </w:t>
      </w:r>
      <w:r w:rsidR="00E15294" w:rsidRPr="00EE48E2">
        <w:rPr>
          <w:rFonts w:ascii="Book Antiqua" w:hAnsi="Book Antiqua"/>
          <w:sz w:val="24"/>
          <w:szCs w:val="24"/>
          <w:lang w:val="en-GB"/>
        </w:rPr>
        <w:t>has</w:t>
      </w:r>
      <w:r w:rsidR="00363A1A" w:rsidRPr="00EE48E2">
        <w:rPr>
          <w:rFonts w:ascii="Book Antiqua" w:hAnsi="Book Antiqua"/>
          <w:sz w:val="24"/>
          <w:szCs w:val="24"/>
          <w:lang w:val="en-GB"/>
        </w:rPr>
        <w:t xml:space="preserve"> suggested that the immune system </w:t>
      </w:r>
      <w:r w:rsidR="00363A1A" w:rsidRPr="00EE48E2">
        <w:rPr>
          <w:rFonts w:ascii="Book Antiqua" w:hAnsi="Book Antiqua"/>
          <w:sz w:val="24"/>
          <w:szCs w:val="24"/>
          <w:lang w:val="en-GB"/>
        </w:rPr>
        <w:lastRenderedPageBreak/>
        <w:t xml:space="preserve">contributes substantially to the therapeutic effects of mAbs </w:t>
      </w:r>
      <w:r w:rsidR="00363A1A" w:rsidRPr="00EE48E2">
        <w:rPr>
          <w:rFonts w:ascii="Book Antiqua" w:hAnsi="Book Antiqua"/>
          <w:i/>
          <w:sz w:val="24"/>
          <w:szCs w:val="24"/>
          <w:lang w:val="en-GB"/>
        </w:rPr>
        <w:t>in vivo</w:t>
      </w:r>
      <w:r w:rsidR="00363A1A" w:rsidRPr="00EE48E2">
        <w:rPr>
          <w:rFonts w:ascii="Book Antiqua" w:hAnsi="Book Antiqua"/>
          <w:sz w:val="24"/>
          <w:szCs w:val="24"/>
          <w:vertAlign w:val="superscript"/>
          <w:lang w:val="en-GB"/>
        </w:rPr>
        <w:t>[13</w:t>
      </w:r>
      <w:r w:rsidR="00C90741">
        <w:rPr>
          <w:rFonts w:ascii="Book Antiqua" w:hAnsi="Book Antiqua" w:hint="eastAsia"/>
          <w:sz w:val="24"/>
          <w:szCs w:val="24"/>
          <w:vertAlign w:val="superscript"/>
          <w:lang w:val="en-GB" w:eastAsia="zh-CN"/>
        </w:rPr>
        <w:t>3</w:t>
      </w:r>
      <w:r w:rsidR="00363A1A" w:rsidRPr="00EE48E2">
        <w:rPr>
          <w:rFonts w:ascii="Book Antiqua" w:hAnsi="Book Antiqua"/>
          <w:sz w:val="24"/>
          <w:szCs w:val="24"/>
          <w:vertAlign w:val="superscript"/>
          <w:lang w:val="en-GB"/>
        </w:rPr>
        <w:t>]</w:t>
      </w:r>
      <w:r w:rsidR="00DA3355" w:rsidRPr="00EE48E2">
        <w:rPr>
          <w:rFonts w:ascii="Book Antiqua" w:hAnsi="Book Antiqua"/>
          <w:sz w:val="24"/>
          <w:szCs w:val="24"/>
          <w:lang w:val="en-GB"/>
        </w:rPr>
        <w:t>.</w:t>
      </w:r>
      <w:r w:rsidR="00363A1A" w:rsidRPr="00EE48E2">
        <w:rPr>
          <w:rFonts w:ascii="Book Antiqua" w:hAnsi="Book Antiqua"/>
          <w:sz w:val="24"/>
          <w:szCs w:val="24"/>
          <w:lang w:val="en-GB"/>
        </w:rPr>
        <w:t xml:space="preserve"> The combination of immune modulators or checkpoint inhibitors with cetuximab is under evaluation as a first-line therapy of KRAS wild-type mCRC</w:t>
      </w:r>
      <w:r w:rsidR="00363A1A" w:rsidRPr="00EE48E2">
        <w:rPr>
          <w:rFonts w:ascii="Book Antiqua" w:hAnsi="Book Antiqua"/>
          <w:sz w:val="24"/>
          <w:szCs w:val="24"/>
          <w:vertAlign w:val="superscript"/>
          <w:lang w:val="en-GB"/>
        </w:rPr>
        <w:t>[13</w:t>
      </w:r>
      <w:r w:rsidR="00C90741">
        <w:rPr>
          <w:rFonts w:ascii="Book Antiqua" w:hAnsi="Book Antiqua" w:hint="eastAsia"/>
          <w:sz w:val="24"/>
          <w:szCs w:val="24"/>
          <w:vertAlign w:val="superscript"/>
          <w:lang w:val="en-GB" w:eastAsia="zh-CN"/>
        </w:rPr>
        <w:t>4</w:t>
      </w:r>
      <w:r w:rsidR="00363A1A" w:rsidRPr="00EE48E2">
        <w:rPr>
          <w:rFonts w:ascii="Book Antiqua" w:hAnsi="Book Antiqua"/>
          <w:sz w:val="24"/>
          <w:szCs w:val="24"/>
          <w:vertAlign w:val="superscript"/>
          <w:lang w:val="en-GB"/>
        </w:rPr>
        <w:t>]</w:t>
      </w:r>
      <w:r w:rsidR="00DA3355" w:rsidRPr="00EE48E2">
        <w:rPr>
          <w:rFonts w:ascii="Book Antiqua" w:hAnsi="Book Antiqua"/>
          <w:sz w:val="24"/>
          <w:szCs w:val="24"/>
          <w:lang w:val="en-GB"/>
        </w:rPr>
        <w:t>.</w:t>
      </w:r>
    </w:p>
    <w:p w14:paraId="758F5A79" w14:textId="6C5A2234" w:rsidR="00363A1A" w:rsidRPr="00EE48E2" w:rsidRDefault="00EE48E2" w:rsidP="004D1833">
      <w:pPr>
        <w:adjustRightInd w:val="0"/>
        <w:snapToGrid w:val="0"/>
        <w:spacing w:after="0" w:line="360" w:lineRule="auto"/>
        <w:jc w:val="both"/>
        <w:rPr>
          <w:rFonts w:ascii="Book Antiqua" w:hAnsi="Book Antiqua"/>
          <w:sz w:val="24"/>
          <w:szCs w:val="24"/>
          <w:lang w:val="en-GB"/>
        </w:rPr>
      </w:pPr>
      <w:r w:rsidRPr="00EE48E2">
        <w:rPr>
          <w:rFonts w:ascii="Book Antiqua" w:hAnsi="Book Antiqua"/>
          <w:sz w:val="24"/>
          <w:szCs w:val="24"/>
          <w:lang w:val="en-GB"/>
        </w:rPr>
        <w:t xml:space="preserve">  </w:t>
      </w:r>
      <w:r w:rsidR="00363A1A" w:rsidRPr="00EE48E2">
        <w:rPr>
          <w:rFonts w:ascii="Book Antiqua" w:hAnsi="Book Antiqua"/>
          <w:sz w:val="24"/>
          <w:szCs w:val="24"/>
          <w:lang w:val="en-GB"/>
        </w:rPr>
        <w:t xml:space="preserve">Early detection of resistance cell clones to anti-EGFR moAbs is another possible approach. However, the classical </w:t>
      </w:r>
      <w:r w:rsidR="00866858" w:rsidRPr="00EE48E2">
        <w:rPr>
          <w:rFonts w:ascii="Book Antiqua" w:hAnsi="Book Antiqua"/>
          <w:sz w:val="24"/>
          <w:szCs w:val="24"/>
          <w:lang w:val="en-GB"/>
        </w:rPr>
        <w:t>tumour</w:t>
      </w:r>
      <w:r w:rsidR="00363A1A" w:rsidRPr="00EE48E2">
        <w:rPr>
          <w:rFonts w:ascii="Book Antiqua" w:hAnsi="Book Antiqua"/>
          <w:sz w:val="24"/>
          <w:szCs w:val="24"/>
          <w:lang w:val="en-GB"/>
        </w:rPr>
        <w:t xml:space="preserve"> biopsy might</w:t>
      </w:r>
      <w:r w:rsidR="00E15294" w:rsidRPr="00EE48E2">
        <w:rPr>
          <w:rFonts w:ascii="Book Antiqua" w:hAnsi="Book Antiqua"/>
          <w:sz w:val="24"/>
          <w:szCs w:val="24"/>
          <w:lang w:val="en-GB"/>
        </w:rPr>
        <w:t xml:space="preserve"> </w:t>
      </w:r>
      <w:r w:rsidR="00363A1A" w:rsidRPr="00EE48E2">
        <w:rPr>
          <w:rFonts w:ascii="Book Antiqua" w:hAnsi="Book Antiqua"/>
          <w:sz w:val="24"/>
          <w:szCs w:val="24"/>
          <w:lang w:val="en-GB"/>
        </w:rPr>
        <w:t>not</w:t>
      </w:r>
      <w:r w:rsidR="00E15294" w:rsidRPr="00EE48E2">
        <w:rPr>
          <w:rFonts w:ascii="Book Antiqua" w:hAnsi="Book Antiqua"/>
          <w:sz w:val="24"/>
          <w:szCs w:val="24"/>
          <w:lang w:val="en-GB"/>
        </w:rPr>
        <w:t xml:space="preserve"> be</w:t>
      </w:r>
      <w:r w:rsidR="00363A1A" w:rsidRPr="00EE48E2">
        <w:rPr>
          <w:rFonts w:ascii="Book Antiqua" w:hAnsi="Book Antiqua"/>
          <w:sz w:val="24"/>
          <w:szCs w:val="24"/>
          <w:lang w:val="en-GB"/>
        </w:rPr>
        <w:t xml:space="preserve"> representative of </w:t>
      </w:r>
      <w:r w:rsidR="00866858" w:rsidRPr="00EE48E2">
        <w:rPr>
          <w:rFonts w:ascii="Book Antiqua" w:hAnsi="Book Antiqua"/>
          <w:sz w:val="24"/>
          <w:szCs w:val="24"/>
          <w:lang w:val="en-GB"/>
        </w:rPr>
        <w:t>tumour</w:t>
      </w:r>
      <w:r w:rsidR="00363A1A" w:rsidRPr="00EE48E2">
        <w:rPr>
          <w:rFonts w:ascii="Book Antiqua" w:hAnsi="Book Antiqua"/>
          <w:sz w:val="24"/>
          <w:szCs w:val="24"/>
          <w:lang w:val="en-GB"/>
        </w:rPr>
        <w:t xml:space="preserve"> heterogeneity and </w:t>
      </w:r>
      <w:r w:rsidR="00E15294" w:rsidRPr="00EE48E2">
        <w:rPr>
          <w:rFonts w:ascii="Book Antiqua" w:hAnsi="Book Antiqua"/>
          <w:sz w:val="24"/>
          <w:szCs w:val="24"/>
          <w:lang w:val="en-GB"/>
        </w:rPr>
        <w:t xml:space="preserve">is </w:t>
      </w:r>
      <w:r w:rsidR="00363A1A" w:rsidRPr="00EE48E2">
        <w:rPr>
          <w:rFonts w:ascii="Book Antiqua" w:hAnsi="Book Antiqua"/>
          <w:sz w:val="24"/>
          <w:szCs w:val="24"/>
          <w:lang w:val="en-GB"/>
        </w:rPr>
        <w:t xml:space="preserve">also an invasive procedure </w:t>
      </w:r>
      <w:r w:rsidR="00E15294" w:rsidRPr="00EE48E2">
        <w:rPr>
          <w:rFonts w:ascii="Book Antiqua" w:hAnsi="Book Antiqua"/>
          <w:sz w:val="24"/>
          <w:szCs w:val="24"/>
          <w:lang w:val="en-GB"/>
        </w:rPr>
        <w:t xml:space="preserve">that is </w:t>
      </w:r>
      <w:r w:rsidR="00363A1A" w:rsidRPr="00EE48E2">
        <w:rPr>
          <w:rFonts w:ascii="Book Antiqua" w:hAnsi="Book Antiqua"/>
          <w:sz w:val="24"/>
          <w:szCs w:val="24"/>
          <w:lang w:val="en-GB"/>
        </w:rPr>
        <w:t xml:space="preserve">often not feasible due to the inaccessibility of metastatic lesions or </w:t>
      </w:r>
      <w:r w:rsidR="00E15294" w:rsidRPr="00EE48E2">
        <w:rPr>
          <w:rFonts w:ascii="Book Antiqua" w:hAnsi="Book Antiqua"/>
          <w:sz w:val="24"/>
          <w:szCs w:val="24"/>
          <w:lang w:val="en-GB"/>
        </w:rPr>
        <w:t xml:space="preserve">due to </w:t>
      </w:r>
      <w:r w:rsidR="00363A1A" w:rsidRPr="00EE48E2">
        <w:rPr>
          <w:rFonts w:ascii="Book Antiqua" w:hAnsi="Book Antiqua"/>
          <w:sz w:val="24"/>
          <w:szCs w:val="24"/>
          <w:lang w:val="en-GB"/>
        </w:rPr>
        <w:t>the refus</w:t>
      </w:r>
      <w:r w:rsidR="00E15294" w:rsidRPr="00EE48E2">
        <w:rPr>
          <w:rFonts w:ascii="Book Antiqua" w:hAnsi="Book Antiqua"/>
          <w:sz w:val="24"/>
          <w:szCs w:val="24"/>
          <w:lang w:val="en-GB"/>
        </w:rPr>
        <w:t>al</w:t>
      </w:r>
      <w:r w:rsidR="00363A1A" w:rsidRPr="00EE48E2">
        <w:rPr>
          <w:rFonts w:ascii="Book Antiqua" w:hAnsi="Book Antiqua"/>
          <w:sz w:val="24"/>
          <w:szCs w:val="24"/>
          <w:lang w:val="en-GB"/>
        </w:rPr>
        <w:t xml:space="preserve"> of patients to be re-biopsied. </w:t>
      </w:r>
      <w:r w:rsidR="003628A5" w:rsidRPr="00EE48E2">
        <w:rPr>
          <w:rFonts w:ascii="Book Antiqua" w:hAnsi="Book Antiqua"/>
          <w:sz w:val="24"/>
          <w:szCs w:val="24"/>
          <w:lang w:val="en-GB"/>
        </w:rPr>
        <w:t>However, liquid biopsies,</w:t>
      </w:r>
      <w:r w:rsidR="003628A5" w:rsidRPr="00C90741">
        <w:rPr>
          <w:rFonts w:ascii="Book Antiqua" w:hAnsi="Book Antiqua"/>
          <w:i/>
          <w:sz w:val="24"/>
          <w:szCs w:val="24"/>
          <w:lang w:val="en-GB"/>
        </w:rPr>
        <w:t xml:space="preserve"> i.e.</w:t>
      </w:r>
      <w:r w:rsidR="003628A5" w:rsidRPr="00EE48E2">
        <w:rPr>
          <w:rFonts w:ascii="Book Antiqua" w:hAnsi="Book Antiqua"/>
          <w:sz w:val="24"/>
          <w:szCs w:val="24"/>
          <w:lang w:val="en-GB"/>
        </w:rPr>
        <w:t xml:space="preserve">, analysing ctDNA in blood samples, have been demonstrated to be useful tools for monitoring the emergence of drug resistance during the course of treatment. </w:t>
      </w:r>
      <w:r w:rsidR="00363A1A" w:rsidRPr="00EE48E2">
        <w:rPr>
          <w:rFonts w:ascii="Book Antiqua" w:hAnsi="Book Antiqua"/>
          <w:sz w:val="24"/>
          <w:szCs w:val="24"/>
          <w:lang w:val="en-GB"/>
        </w:rPr>
        <w:t>Indeed</w:t>
      </w:r>
      <w:r w:rsidR="00E15294" w:rsidRPr="00EE48E2">
        <w:rPr>
          <w:rFonts w:ascii="Book Antiqua" w:hAnsi="Book Antiqua"/>
          <w:sz w:val="24"/>
          <w:szCs w:val="24"/>
          <w:lang w:val="en-GB"/>
        </w:rPr>
        <w:t>,</w:t>
      </w:r>
      <w:r w:rsidR="00363A1A" w:rsidRPr="00EE48E2">
        <w:rPr>
          <w:rFonts w:ascii="Book Antiqua" w:hAnsi="Book Antiqua"/>
          <w:sz w:val="24"/>
          <w:szCs w:val="24"/>
          <w:lang w:val="en-GB"/>
        </w:rPr>
        <w:t xml:space="preserve"> different groups have demonstrated that analysis of ctDNA in plasma samples allowed detection of mutations predictive of EGFR moAbs resistance,</w:t>
      </w:r>
      <w:r w:rsidR="00DB342E" w:rsidRPr="00EE48E2">
        <w:rPr>
          <w:rFonts w:ascii="Book Antiqua" w:hAnsi="Book Antiqua"/>
          <w:sz w:val="24"/>
          <w:szCs w:val="24"/>
          <w:lang w:val="en-GB"/>
        </w:rPr>
        <w:t xml:space="preserve"> approximately 1</w:t>
      </w:r>
      <w:r w:rsidR="00363A1A" w:rsidRPr="00EE48E2">
        <w:rPr>
          <w:rFonts w:ascii="Book Antiqua" w:hAnsi="Book Antiqua"/>
          <w:sz w:val="24"/>
          <w:szCs w:val="24"/>
          <w:lang w:val="en-GB"/>
        </w:rPr>
        <w:t>0 months before progression was assessed by radiological methods</w:t>
      </w:r>
      <w:r w:rsidR="00C90741">
        <w:rPr>
          <w:rFonts w:ascii="Book Antiqua" w:hAnsi="Book Antiqua"/>
          <w:sz w:val="24"/>
          <w:szCs w:val="24"/>
          <w:vertAlign w:val="superscript"/>
          <w:lang w:val="en-GB"/>
        </w:rPr>
        <w:t>[22,4</w:t>
      </w:r>
      <w:r w:rsidR="00C90741">
        <w:rPr>
          <w:rFonts w:ascii="Book Antiqua" w:hAnsi="Book Antiqua" w:hint="eastAsia"/>
          <w:sz w:val="24"/>
          <w:szCs w:val="24"/>
          <w:vertAlign w:val="superscript"/>
          <w:lang w:val="en-GB" w:eastAsia="zh-CN"/>
        </w:rPr>
        <w:t>1</w:t>
      </w:r>
      <w:r w:rsidR="00C90741">
        <w:rPr>
          <w:rFonts w:ascii="Book Antiqua" w:hAnsi="Book Antiqua"/>
          <w:sz w:val="24"/>
          <w:szCs w:val="24"/>
          <w:vertAlign w:val="superscript"/>
          <w:lang w:val="en-GB"/>
        </w:rPr>
        <w:t>,</w:t>
      </w:r>
      <w:r w:rsidR="00363A1A" w:rsidRPr="00EE48E2">
        <w:rPr>
          <w:rFonts w:ascii="Book Antiqua" w:hAnsi="Book Antiqua"/>
          <w:sz w:val="24"/>
          <w:szCs w:val="24"/>
          <w:vertAlign w:val="superscript"/>
          <w:lang w:val="en-GB"/>
        </w:rPr>
        <w:t>13</w:t>
      </w:r>
      <w:r w:rsidR="00C90741">
        <w:rPr>
          <w:rFonts w:ascii="Book Antiqua" w:hAnsi="Book Antiqua" w:hint="eastAsia"/>
          <w:sz w:val="24"/>
          <w:szCs w:val="24"/>
          <w:vertAlign w:val="superscript"/>
          <w:lang w:val="en-GB" w:eastAsia="zh-CN"/>
        </w:rPr>
        <w:t>5</w:t>
      </w:r>
      <w:r w:rsidR="00363A1A" w:rsidRPr="00EE48E2">
        <w:rPr>
          <w:rFonts w:ascii="Book Antiqua" w:hAnsi="Book Antiqua"/>
          <w:sz w:val="24"/>
          <w:szCs w:val="24"/>
          <w:vertAlign w:val="superscript"/>
          <w:lang w:val="en-GB"/>
        </w:rPr>
        <w:t>]</w:t>
      </w:r>
      <w:r w:rsidR="00DA3355" w:rsidRPr="00EE48E2">
        <w:rPr>
          <w:rFonts w:ascii="Book Antiqua" w:hAnsi="Book Antiqua"/>
          <w:sz w:val="24"/>
          <w:szCs w:val="24"/>
          <w:lang w:val="en-GB"/>
        </w:rPr>
        <w:t>.</w:t>
      </w:r>
      <w:r w:rsidR="00363A1A" w:rsidRPr="00EE48E2">
        <w:rPr>
          <w:rFonts w:ascii="Book Antiqua" w:hAnsi="Book Antiqua"/>
          <w:sz w:val="24"/>
          <w:szCs w:val="24"/>
          <w:lang w:val="en-GB"/>
        </w:rPr>
        <w:t xml:space="preserve"> Nevertheless</w:t>
      </w:r>
      <w:r w:rsidR="00E15294" w:rsidRPr="00EE48E2">
        <w:rPr>
          <w:rFonts w:ascii="Book Antiqua" w:hAnsi="Book Antiqua"/>
          <w:sz w:val="24"/>
          <w:szCs w:val="24"/>
          <w:lang w:val="en-GB"/>
        </w:rPr>
        <w:t>,</w:t>
      </w:r>
      <w:r w:rsidR="00363A1A" w:rsidRPr="00EE48E2">
        <w:rPr>
          <w:rFonts w:ascii="Book Antiqua" w:hAnsi="Book Antiqua"/>
          <w:sz w:val="24"/>
          <w:szCs w:val="24"/>
          <w:lang w:val="en-GB"/>
        </w:rPr>
        <w:t xml:space="preserve"> larger and prospective trials are needed before this technique can enter in clinical routine.</w:t>
      </w:r>
    </w:p>
    <w:p w14:paraId="178EC57A" w14:textId="77777777" w:rsidR="00363A1A" w:rsidRPr="00EE48E2" w:rsidRDefault="00363A1A" w:rsidP="004D1833">
      <w:pPr>
        <w:adjustRightInd w:val="0"/>
        <w:snapToGrid w:val="0"/>
        <w:spacing w:after="0" w:line="360" w:lineRule="auto"/>
        <w:jc w:val="both"/>
        <w:rPr>
          <w:rFonts w:ascii="Book Antiqua" w:hAnsi="Book Antiqua"/>
          <w:sz w:val="24"/>
          <w:szCs w:val="24"/>
          <w:lang w:val="en-GB"/>
        </w:rPr>
      </w:pPr>
    </w:p>
    <w:p w14:paraId="459AF88A" w14:textId="76E965BD" w:rsidR="00363A1A" w:rsidRPr="00EE48E2" w:rsidRDefault="00E04397" w:rsidP="004D1833">
      <w:pPr>
        <w:adjustRightInd w:val="0"/>
        <w:snapToGrid w:val="0"/>
        <w:spacing w:after="0" w:line="360" w:lineRule="auto"/>
        <w:jc w:val="both"/>
        <w:rPr>
          <w:rFonts w:ascii="Book Antiqua" w:hAnsi="Book Antiqua"/>
          <w:b/>
          <w:sz w:val="24"/>
          <w:szCs w:val="24"/>
          <w:lang w:val="en-GB"/>
        </w:rPr>
      </w:pPr>
      <w:r w:rsidRPr="00EE48E2">
        <w:rPr>
          <w:rFonts w:ascii="Book Antiqua" w:hAnsi="Book Antiqua"/>
          <w:b/>
          <w:sz w:val="24"/>
          <w:szCs w:val="24"/>
          <w:lang w:val="en-GB"/>
        </w:rPr>
        <w:t>CONCLUSION</w:t>
      </w:r>
    </w:p>
    <w:p w14:paraId="0800E734" w14:textId="7DB7A713" w:rsidR="00802D0C" w:rsidRPr="00EE48E2" w:rsidRDefault="00363A1A" w:rsidP="004D1833">
      <w:pPr>
        <w:adjustRightInd w:val="0"/>
        <w:snapToGrid w:val="0"/>
        <w:spacing w:after="0" w:line="360" w:lineRule="auto"/>
        <w:jc w:val="both"/>
        <w:rPr>
          <w:rFonts w:ascii="Book Antiqua" w:hAnsi="Book Antiqua"/>
          <w:sz w:val="24"/>
          <w:szCs w:val="24"/>
          <w:lang w:val="en-GB"/>
        </w:rPr>
      </w:pPr>
      <w:r w:rsidRPr="00EE48E2">
        <w:rPr>
          <w:rFonts w:ascii="Book Antiqua" w:hAnsi="Book Antiqua"/>
          <w:sz w:val="24"/>
          <w:szCs w:val="24"/>
          <w:lang w:val="en-GB"/>
        </w:rPr>
        <w:t>Colorectal cancer is still a leading cause of cancer</w:t>
      </w:r>
      <w:r w:rsidR="00DD7E5C" w:rsidRPr="00EE48E2">
        <w:rPr>
          <w:rFonts w:ascii="Book Antiqua" w:hAnsi="Book Antiqua"/>
          <w:sz w:val="24"/>
          <w:szCs w:val="24"/>
          <w:lang w:val="en-GB"/>
        </w:rPr>
        <w:t>-</w:t>
      </w:r>
      <w:r w:rsidRPr="00EE48E2">
        <w:rPr>
          <w:rFonts w:ascii="Book Antiqua" w:hAnsi="Book Antiqua"/>
          <w:sz w:val="24"/>
          <w:szCs w:val="24"/>
          <w:lang w:val="en-GB"/>
        </w:rPr>
        <w:t xml:space="preserve">related mortality in the developed world. In recent years, remarkable advances in </w:t>
      </w:r>
      <w:r w:rsidR="00DD7E5C" w:rsidRPr="00EE48E2">
        <w:rPr>
          <w:rFonts w:ascii="Book Antiqua" w:hAnsi="Book Antiqua"/>
          <w:sz w:val="24"/>
          <w:szCs w:val="24"/>
          <w:lang w:val="en-GB"/>
        </w:rPr>
        <w:t xml:space="preserve">the </w:t>
      </w:r>
      <w:r w:rsidRPr="00EE48E2">
        <w:rPr>
          <w:rFonts w:ascii="Book Antiqua" w:hAnsi="Book Antiqua"/>
          <w:sz w:val="24"/>
          <w:szCs w:val="24"/>
          <w:lang w:val="en-GB"/>
        </w:rPr>
        <w:t>genetic and biological understanding of cancer have led</w:t>
      </w:r>
      <w:r w:rsidR="00DD7E5C" w:rsidRPr="00EE48E2">
        <w:rPr>
          <w:rFonts w:ascii="Book Antiqua" w:hAnsi="Book Antiqua"/>
          <w:sz w:val="24"/>
          <w:szCs w:val="24"/>
          <w:lang w:val="en-GB"/>
        </w:rPr>
        <w:t xml:space="preserve"> to</w:t>
      </w:r>
      <w:r w:rsidRPr="00EE48E2">
        <w:rPr>
          <w:rFonts w:ascii="Book Antiqua" w:hAnsi="Book Antiqua"/>
          <w:sz w:val="24"/>
          <w:szCs w:val="24"/>
          <w:lang w:val="en-GB"/>
        </w:rPr>
        <w:t xml:space="preserve"> the development of different targeted cancer therapies</w:t>
      </w:r>
      <w:r w:rsidR="00DD7E5C" w:rsidRPr="00EE48E2">
        <w:rPr>
          <w:rFonts w:ascii="Book Antiqua" w:hAnsi="Book Antiqua"/>
          <w:sz w:val="24"/>
          <w:szCs w:val="24"/>
          <w:lang w:val="en-GB"/>
        </w:rPr>
        <w:t>,</w:t>
      </w:r>
      <w:r w:rsidRPr="00EE48E2">
        <w:rPr>
          <w:rFonts w:ascii="Book Antiqua" w:hAnsi="Book Antiqua"/>
          <w:sz w:val="24"/>
          <w:szCs w:val="24"/>
          <w:lang w:val="en-GB"/>
        </w:rPr>
        <w:t xml:space="preserve"> such as the anti-EGFR moAbs cetuximab and panitumumab. However, the overall progress achieved with these drugs has been modest </w:t>
      </w:r>
      <w:r w:rsidR="00DD7E5C" w:rsidRPr="00EE48E2">
        <w:rPr>
          <w:rFonts w:ascii="Book Antiqua" w:hAnsi="Book Antiqua"/>
          <w:sz w:val="24"/>
          <w:szCs w:val="24"/>
          <w:lang w:val="en-GB"/>
        </w:rPr>
        <w:t>because</w:t>
      </w:r>
      <w:r w:rsidRPr="00EE48E2">
        <w:rPr>
          <w:rFonts w:ascii="Book Antiqua" w:hAnsi="Book Antiqua"/>
          <w:sz w:val="24"/>
          <w:szCs w:val="24"/>
          <w:lang w:val="en-GB"/>
        </w:rPr>
        <w:t xml:space="preserve"> they have </w:t>
      </w:r>
      <w:r w:rsidR="00DD7E5C" w:rsidRPr="00EE48E2">
        <w:rPr>
          <w:rFonts w:ascii="Book Antiqua" w:hAnsi="Book Antiqua"/>
          <w:sz w:val="24"/>
          <w:szCs w:val="24"/>
          <w:lang w:val="en-GB"/>
        </w:rPr>
        <w:t xml:space="preserve">been shown </w:t>
      </w:r>
      <w:r w:rsidRPr="00EE48E2">
        <w:rPr>
          <w:rFonts w:ascii="Book Antiqua" w:hAnsi="Book Antiqua"/>
          <w:sz w:val="24"/>
          <w:szCs w:val="24"/>
          <w:lang w:val="en-GB"/>
        </w:rPr>
        <w:t xml:space="preserve">to be effective only in a subset of patients. Primary and acquired resistance have been </w:t>
      </w:r>
      <w:r w:rsidR="00DD7E5C" w:rsidRPr="00EE48E2">
        <w:rPr>
          <w:rFonts w:ascii="Book Antiqua" w:hAnsi="Book Antiqua"/>
          <w:sz w:val="24"/>
          <w:szCs w:val="24"/>
          <w:lang w:val="en-GB"/>
        </w:rPr>
        <w:t xml:space="preserve">shown </w:t>
      </w:r>
      <w:r w:rsidRPr="00EE48E2">
        <w:rPr>
          <w:rFonts w:ascii="Book Antiqua" w:hAnsi="Book Antiqua"/>
          <w:sz w:val="24"/>
          <w:szCs w:val="24"/>
          <w:lang w:val="en-GB"/>
        </w:rPr>
        <w:t>to be the major culprits of the</w:t>
      </w:r>
      <w:r w:rsidR="00DD7E5C" w:rsidRPr="00EE48E2">
        <w:rPr>
          <w:rFonts w:ascii="Book Antiqua" w:hAnsi="Book Antiqua"/>
          <w:sz w:val="24"/>
          <w:szCs w:val="24"/>
          <w:lang w:val="en-GB"/>
        </w:rPr>
        <w:t xml:space="preserve"> failure of</w:t>
      </w:r>
      <w:r w:rsidRPr="00EE48E2">
        <w:rPr>
          <w:rFonts w:ascii="Book Antiqua" w:hAnsi="Book Antiqua"/>
          <w:sz w:val="24"/>
          <w:szCs w:val="24"/>
          <w:lang w:val="en-GB"/>
        </w:rPr>
        <w:t xml:space="preserve"> anti-EGFR treatments. However</w:t>
      </w:r>
      <w:r w:rsidR="00DD7E5C" w:rsidRPr="00EE48E2">
        <w:rPr>
          <w:rFonts w:ascii="Book Antiqua" w:hAnsi="Book Antiqua"/>
          <w:sz w:val="24"/>
          <w:szCs w:val="24"/>
          <w:lang w:val="en-GB"/>
        </w:rPr>
        <w:t>,</w:t>
      </w:r>
      <w:r w:rsidRPr="00EE48E2">
        <w:rPr>
          <w:rFonts w:ascii="Book Antiqua" w:hAnsi="Book Antiqua"/>
          <w:sz w:val="24"/>
          <w:szCs w:val="24"/>
          <w:lang w:val="en-GB"/>
        </w:rPr>
        <w:t xml:space="preserve"> a deeper understanding of </w:t>
      </w:r>
      <w:r w:rsidR="00DD7E5C" w:rsidRPr="00EE48E2">
        <w:rPr>
          <w:rFonts w:ascii="Book Antiqua" w:hAnsi="Book Antiqua"/>
          <w:sz w:val="24"/>
          <w:szCs w:val="24"/>
          <w:lang w:val="en-GB"/>
        </w:rPr>
        <w:t xml:space="preserve">the </w:t>
      </w:r>
      <w:r w:rsidRPr="00EE48E2">
        <w:rPr>
          <w:rFonts w:ascii="Book Antiqua" w:hAnsi="Book Antiqua"/>
          <w:sz w:val="24"/>
          <w:szCs w:val="24"/>
          <w:lang w:val="en-GB"/>
        </w:rPr>
        <w:t xml:space="preserve">molecular basis underlying both types of resistance has contributed to </w:t>
      </w:r>
      <w:r w:rsidR="00DD7E5C" w:rsidRPr="00EE48E2">
        <w:rPr>
          <w:rFonts w:ascii="Book Antiqua" w:hAnsi="Book Antiqua"/>
          <w:sz w:val="24"/>
          <w:szCs w:val="24"/>
          <w:lang w:val="en-GB"/>
        </w:rPr>
        <w:t xml:space="preserve">the </w:t>
      </w:r>
      <w:r w:rsidRPr="00EE48E2">
        <w:rPr>
          <w:rFonts w:ascii="Book Antiqua" w:hAnsi="Book Antiqua"/>
          <w:sz w:val="24"/>
          <w:szCs w:val="24"/>
          <w:lang w:val="en-GB"/>
        </w:rPr>
        <w:t>propos</w:t>
      </w:r>
      <w:r w:rsidR="00DD7E5C" w:rsidRPr="00EE48E2">
        <w:rPr>
          <w:rFonts w:ascii="Book Antiqua" w:hAnsi="Book Antiqua"/>
          <w:sz w:val="24"/>
          <w:szCs w:val="24"/>
          <w:lang w:val="en-GB"/>
        </w:rPr>
        <w:t>al of</w:t>
      </w:r>
      <w:r w:rsidRPr="00EE48E2">
        <w:rPr>
          <w:rFonts w:ascii="Book Antiqua" w:hAnsi="Book Antiqua"/>
          <w:sz w:val="24"/>
          <w:szCs w:val="24"/>
          <w:lang w:val="en-GB"/>
        </w:rPr>
        <w:t xml:space="preserve"> several approaches to prevent, overcome or </w:t>
      </w:r>
      <w:r w:rsidR="00DB342E" w:rsidRPr="00EE48E2">
        <w:rPr>
          <w:rFonts w:ascii="Book Antiqua" w:hAnsi="Book Antiqua"/>
          <w:sz w:val="24"/>
          <w:szCs w:val="24"/>
          <w:lang w:val="en-GB"/>
        </w:rPr>
        <w:t xml:space="preserve">reverse </w:t>
      </w:r>
      <w:r w:rsidRPr="00EE48E2">
        <w:rPr>
          <w:rFonts w:ascii="Book Antiqua" w:hAnsi="Book Antiqua"/>
          <w:sz w:val="24"/>
          <w:szCs w:val="24"/>
          <w:lang w:val="en-GB"/>
        </w:rPr>
        <w:t>drug resistance. Nevertheless</w:t>
      </w:r>
      <w:r w:rsidR="00DD7E5C" w:rsidRPr="00EE48E2">
        <w:rPr>
          <w:rFonts w:ascii="Book Antiqua" w:hAnsi="Book Antiqua"/>
          <w:sz w:val="24"/>
          <w:szCs w:val="24"/>
          <w:lang w:val="en-GB"/>
        </w:rPr>
        <w:t>,</w:t>
      </w:r>
      <w:r w:rsidRPr="00EE48E2">
        <w:rPr>
          <w:rFonts w:ascii="Book Antiqua" w:hAnsi="Book Antiqua"/>
          <w:sz w:val="24"/>
          <w:szCs w:val="24"/>
          <w:lang w:val="en-GB"/>
        </w:rPr>
        <w:t xml:space="preserve"> these approaches deserve further clinical investigation </w:t>
      </w:r>
      <w:r w:rsidR="00DB342E" w:rsidRPr="00EE48E2">
        <w:rPr>
          <w:rFonts w:ascii="Book Antiqua" w:hAnsi="Book Antiqua"/>
          <w:sz w:val="24"/>
          <w:szCs w:val="24"/>
          <w:lang w:val="en-GB"/>
        </w:rPr>
        <w:t>to</w:t>
      </w:r>
      <w:r w:rsidRPr="00EE48E2">
        <w:rPr>
          <w:rFonts w:ascii="Book Antiqua" w:hAnsi="Book Antiqua"/>
          <w:sz w:val="24"/>
          <w:szCs w:val="24"/>
          <w:lang w:val="en-GB"/>
        </w:rPr>
        <w:t xml:space="preserve"> allow us to use the EGFR</w:t>
      </w:r>
      <w:r w:rsidR="00DD7E5C" w:rsidRPr="00EE48E2">
        <w:rPr>
          <w:rFonts w:ascii="Book Antiqua" w:hAnsi="Book Antiqua"/>
          <w:sz w:val="24"/>
          <w:szCs w:val="24"/>
          <w:lang w:val="en-GB"/>
        </w:rPr>
        <w:t>-</w:t>
      </w:r>
      <w:r w:rsidRPr="00EE48E2">
        <w:rPr>
          <w:rFonts w:ascii="Book Antiqua" w:hAnsi="Book Antiqua"/>
          <w:sz w:val="24"/>
          <w:szCs w:val="24"/>
          <w:lang w:val="en-GB"/>
        </w:rPr>
        <w:t>targeted therapies more effectively in the correct population.</w:t>
      </w:r>
    </w:p>
    <w:p w14:paraId="23C20F03" w14:textId="77777777" w:rsidR="00E5676E" w:rsidRPr="00EE48E2" w:rsidRDefault="00E5676E" w:rsidP="004D1833">
      <w:pPr>
        <w:adjustRightInd w:val="0"/>
        <w:snapToGrid w:val="0"/>
        <w:spacing w:after="0" w:line="360" w:lineRule="auto"/>
        <w:jc w:val="both"/>
        <w:rPr>
          <w:rFonts w:ascii="Book Antiqua" w:hAnsi="Book Antiqua"/>
          <w:sz w:val="24"/>
          <w:szCs w:val="24"/>
          <w:lang w:val="en-GB"/>
        </w:rPr>
      </w:pPr>
    </w:p>
    <w:p w14:paraId="0B71334C" w14:textId="77777777" w:rsidR="00E5676E" w:rsidRPr="00EE48E2" w:rsidRDefault="00E5676E" w:rsidP="004D1833">
      <w:pPr>
        <w:adjustRightInd w:val="0"/>
        <w:snapToGrid w:val="0"/>
        <w:spacing w:after="0" w:line="360" w:lineRule="auto"/>
        <w:jc w:val="both"/>
        <w:rPr>
          <w:rFonts w:ascii="Book Antiqua" w:hAnsi="Book Antiqua"/>
          <w:sz w:val="24"/>
          <w:szCs w:val="24"/>
          <w:lang w:val="en-GB"/>
        </w:rPr>
      </w:pPr>
    </w:p>
    <w:p w14:paraId="15AB2D32" w14:textId="77777777" w:rsidR="00E5676E" w:rsidRPr="00EE48E2" w:rsidRDefault="00E5676E" w:rsidP="004D1833">
      <w:pPr>
        <w:adjustRightInd w:val="0"/>
        <w:snapToGrid w:val="0"/>
        <w:spacing w:after="0" w:line="360" w:lineRule="auto"/>
        <w:jc w:val="both"/>
        <w:rPr>
          <w:rFonts w:ascii="Book Antiqua" w:hAnsi="Book Antiqua"/>
          <w:sz w:val="24"/>
          <w:szCs w:val="24"/>
          <w:lang w:val="en-GB"/>
        </w:rPr>
      </w:pPr>
    </w:p>
    <w:p w14:paraId="5A8DB7FE" w14:textId="77777777" w:rsidR="00AA0C6C" w:rsidRPr="00EE48E2" w:rsidRDefault="00AA0C6C">
      <w:pPr>
        <w:rPr>
          <w:rFonts w:ascii="Book Antiqua" w:hAnsi="Book Antiqua"/>
          <w:b/>
          <w:sz w:val="24"/>
          <w:szCs w:val="24"/>
          <w:lang w:val="en-US"/>
        </w:rPr>
      </w:pPr>
      <w:r w:rsidRPr="00EE48E2">
        <w:rPr>
          <w:rFonts w:ascii="Book Antiqua" w:hAnsi="Book Antiqua"/>
          <w:b/>
          <w:sz w:val="24"/>
          <w:szCs w:val="24"/>
          <w:lang w:val="en-US"/>
        </w:rPr>
        <w:br w:type="page"/>
      </w:r>
    </w:p>
    <w:p w14:paraId="1E826EE9" w14:textId="3B4B8081" w:rsidR="00E5676E" w:rsidRPr="00EE48E2" w:rsidRDefault="00E04397" w:rsidP="004D1833">
      <w:pPr>
        <w:adjustRightInd w:val="0"/>
        <w:snapToGrid w:val="0"/>
        <w:spacing w:after="0" w:line="360" w:lineRule="auto"/>
        <w:jc w:val="both"/>
        <w:rPr>
          <w:rFonts w:ascii="Book Antiqua" w:hAnsi="Book Antiqua"/>
          <w:b/>
          <w:sz w:val="24"/>
          <w:szCs w:val="24"/>
          <w:lang w:val="en-US" w:eastAsia="zh-CN"/>
        </w:rPr>
      </w:pPr>
      <w:r w:rsidRPr="00EE48E2">
        <w:rPr>
          <w:rFonts w:ascii="Book Antiqua" w:hAnsi="Book Antiqua"/>
          <w:b/>
          <w:sz w:val="24"/>
          <w:szCs w:val="24"/>
          <w:lang w:val="en-US"/>
        </w:rPr>
        <w:lastRenderedPageBreak/>
        <w:t>REFERENCES</w:t>
      </w:r>
    </w:p>
    <w:p w14:paraId="7FB7A794"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bookmarkStart w:id="459" w:name="OLE_LINK6"/>
      <w:r w:rsidRPr="0047156E">
        <w:rPr>
          <w:rFonts w:ascii="Book Antiqua" w:eastAsia="SimSun" w:hAnsi="Book Antiqua" w:cs="SimSun"/>
          <w:sz w:val="24"/>
          <w:szCs w:val="24"/>
          <w:lang w:val="en-US" w:eastAsia="zh-CN"/>
        </w:rPr>
        <w:t xml:space="preserve">1 </w:t>
      </w:r>
      <w:r w:rsidRPr="0047156E">
        <w:rPr>
          <w:rFonts w:ascii="Book Antiqua" w:eastAsia="SimSun" w:hAnsi="Book Antiqua" w:cs="SimSun"/>
          <w:b/>
          <w:bCs/>
          <w:sz w:val="24"/>
          <w:szCs w:val="24"/>
          <w:lang w:val="en-US" w:eastAsia="zh-CN"/>
        </w:rPr>
        <w:t>Torre LA</w:t>
      </w:r>
      <w:r w:rsidRPr="0047156E">
        <w:rPr>
          <w:rFonts w:ascii="Book Antiqua" w:eastAsia="SimSun" w:hAnsi="Book Antiqua" w:cs="SimSun"/>
          <w:sz w:val="24"/>
          <w:szCs w:val="24"/>
          <w:lang w:val="en-US" w:eastAsia="zh-CN"/>
        </w:rPr>
        <w:t xml:space="preserve">, Bray F, Siegel RL, Ferlay J, Lortet-Tieulent J, Jemal A. Global cancer statistics, 2012. </w:t>
      </w:r>
      <w:r w:rsidRPr="0047156E">
        <w:rPr>
          <w:rFonts w:ascii="Book Antiqua" w:eastAsia="SimSun" w:hAnsi="Book Antiqua" w:cs="SimSun"/>
          <w:i/>
          <w:iCs/>
          <w:sz w:val="24"/>
          <w:szCs w:val="24"/>
          <w:lang w:val="en-US" w:eastAsia="zh-CN"/>
        </w:rPr>
        <w:t>CA Cancer J Clin</w:t>
      </w:r>
      <w:r w:rsidRPr="0047156E">
        <w:rPr>
          <w:rFonts w:ascii="Book Antiqua" w:eastAsia="SimSun" w:hAnsi="Book Antiqua" w:cs="SimSun"/>
          <w:sz w:val="24"/>
          <w:szCs w:val="24"/>
          <w:lang w:val="en-US" w:eastAsia="zh-CN"/>
        </w:rPr>
        <w:t xml:space="preserve"> 2015; </w:t>
      </w:r>
      <w:r w:rsidRPr="0047156E">
        <w:rPr>
          <w:rFonts w:ascii="Book Antiqua" w:eastAsia="SimSun" w:hAnsi="Book Antiqua" w:cs="SimSun"/>
          <w:b/>
          <w:bCs/>
          <w:sz w:val="24"/>
          <w:szCs w:val="24"/>
          <w:lang w:val="en-US" w:eastAsia="zh-CN"/>
        </w:rPr>
        <w:t>65</w:t>
      </w:r>
      <w:r w:rsidRPr="0047156E">
        <w:rPr>
          <w:rFonts w:ascii="Book Antiqua" w:eastAsia="SimSun" w:hAnsi="Book Antiqua" w:cs="SimSun"/>
          <w:sz w:val="24"/>
          <w:szCs w:val="24"/>
          <w:lang w:val="en-US" w:eastAsia="zh-CN"/>
        </w:rPr>
        <w:t>: 87-108 [PMID: 25651787 DOI: 10.3322/caac.21262]</w:t>
      </w:r>
    </w:p>
    <w:p w14:paraId="43A4E435"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 xml:space="preserve">2 </w:t>
      </w:r>
      <w:r w:rsidRPr="0047156E">
        <w:rPr>
          <w:rFonts w:ascii="Book Antiqua" w:eastAsia="SimSun" w:hAnsi="Book Antiqua" w:cs="SimSun"/>
          <w:b/>
          <w:bCs/>
          <w:sz w:val="24"/>
          <w:szCs w:val="24"/>
          <w:lang w:val="en-US" w:eastAsia="zh-CN"/>
        </w:rPr>
        <w:t>Schmoll HJ</w:t>
      </w:r>
      <w:r w:rsidRPr="0047156E">
        <w:rPr>
          <w:rFonts w:ascii="Book Antiqua" w:eastAsia="SimSun" w:hAnsi="Book Antiqua" w:cs="SimSun"/>
          <w:sz w:val="24"/>
          <w:szCs w:val="24"/>
          <w:lang w:val="en-US" w:eastAsia="zh-CN"/>
        </w:rPr>
        <w:t xml:space="preserve">, Van Cutsem E, Stein A, Valentini V, Glimelius B, Haustermans K, Nordlinger B, van de Velde CJ, Balmana J, Regula J, Nagtegaal ID, Beets-Tan RG, Arnold D, Ciardiello F, Hoff P, Kerr D, Köhne CH, Labianca R, Price T, Scheithauer W, Sobrero A, Tabernero J, Aderka D, Barroso S, Bodoky G, Douillard JY, El Ghazaly H, Gallardo J, Garin A, Glynne-Jones R, Jordan K, Meshcheryakov A, Papamichail D, Pfeiffer P, Souglakos I, Turhal S, Cervantes A. ESMO Consensus Guidelines for management of patients with colon and rectal cancer. a personalized approach to clinical decision making. </w:t>
      </w:r>
      <w:r w:rsidRPr="0047156E">
        <w:rPr>
          <w:rFonts w:ascii="Book Antiqua" w:eastAsia="SimSun" w:hAnsi="Book Antiqua" w:cs="SimSun"/>
          <w:i/>
          <w:iCs/>
          <w:sz w:val="24"/>
          <w:szCs w:val="24"/>
          <w:lang w:val="en-US" w:eastAsia="zh-CN"/>
        </w:rPr>
        <w:t>Ann Oncol</w:t>
      </w:r>
      <w:r w:rsidRPr="0047156E">
        <w:rPr>
          <w:rFonts w:ascii="Book Antiqua" w:eastAsia="SimSun" w:hAnsi="Book Antiqua" w:cs="SimSun"/>
          <w:sz w:val="24"/>
          <w:szCs w:val="24"/>
          <w:lang w:val="en-US" w:eastAsia="zh-CN"/>
        </w:rPr>
        <w:t xml:space="preserve"> 2012; </w:t>
      </w:r>
      <w:r w:rsidRPr="0047156E">
        <w:rPr>
          <w:rFonts w:ascii="Book Antiqua" w:eastAsia="SimSun" w:hAnsi="Book Antiqua" w:cs="SimSun"/>
          <w:b/>
          <w:bCs/>
          <w:sz w:val="24"/>
          <w:szCs w:val="24"/>
          <w:lang w:val="en-US" w:eastAsia="zh-CN"/>
        </w:rPr>
        <w:t>23</w:t>
      </w:r>
      <w:r w:rsidRPr="0047156E">
        <w:rPr>
          <w:rFonts w:ascii="Book Antiqua" w:eastAsia="SimSun" w:hAnsi="Book Antiqua" w:cs="SimSun"/>
          <w:sz w:val="24"/>
          <w:szCs w:val="24"/>
          <w:lang w:val="en-US" w:eastAsia="zh-CN"/>
        </w:rPr>
        <w:t>: 2479-2516 [PMID: 23012255 DOI: 10.1093/annonc/mds236]</w:t>
      </w:r>
    </w:p>
    <w:p w14:paraId="27D3A072"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 xml:space="preserve">3 </w:t>
      </w:r>
      <w:r w:rsidRPr="0047156E">
        <w:rPr>
          <w:rFonts w:ascii="Book Antiqua" w:eastAsia="SimSun" w:hAnsi="Book Antiqua" w:cs="SimSun"/>
          <w:b/>
          <w:bCs/>
          <w:sz w:val="24"/>
          <w:szCs w:val="24"/>
          <w:lang w:val="en-US" w:eastAsia="zh-CN"/>
        </w:rPr>
        <w:t>Van Cutsem E</w:t>
      </w:r>
      <w:r w:rsidRPr="0047156E">
        <w:rPr>
          <w:rFonts w:ascii="Book Antiqua" w:eastAsia="SimSun" w:hAnsi="Book Antiqua" w:cs="SimSun"/>
          <w:sz w:val="24"/>
          <w:szCs w:val="24"/>
          <w:lang w:val="en-US" w:eastAsia="zh-CN"/>
        </w:rPr>
        <w:t xml:space="preserve">, Cervantes A, Nordlinger B, Arnold D. Metastatic colorectal cancer: ESMO Clinical Practice Guidelines for diagnosis, treatment and follow-up. </w:t>
      </w:r>
      <w:r w:rsidRPr="0047156E">
        <w:rPr>
          <w:rFonts w:ascii="Book Antiqua" w:eastAsia="SimSun" w:hAnsi="Book Antiqua" w:cs="SimSun"/>
          <w:i/>
          <w:iCs/>
          <w:sz w:val="24"/>
          <w:szCs w:val="24"/>
          <w:lang w:val="en-US" w:eastAsia="zh-CN"/>
        </w:rPr>
        <w:t>Ann Oncol</w:t>
      </w:r>
      <w:r w:rsidRPr="0047156E">
        <w:rPr>
          <w:rFonts w:ascii="Book Antiqua" w:eastAsia="SimSun" w:hAnsi="Book Antiqua" w:cs="SimSun"/>
          <w:sz w:val="24"/>
          <w:szCs w:val="24"/>
          <w:lang w:val="en-US" w:eastAsia="zh-CN"/>
        </w:rPr>
        <w:t xml:space="preserve"> 2014; </w:t>
      </w:r>
      <w:r w:rsidRPr="0047156E">
        <w:rPr>
          <w:rFonts w:ascii="Book Antiqua" w:eastAsia="SimSun" w:hAnsi="Book Antiqua" w:cs="SimSun"/>
          <w:b/>
          <w:bCs/>
          <w:sz w:val="24"/>
          <w:szCs w:val="24"/>
          <w:lang w:val="en-US" w:eastAsia="zh-CN"/>
        </w:rPr>
        <w:t>25 Suppl 3</w:t>
      </w:r>
      <w:r w:rsidRPr="0047156E">
        <w:rPr>
          <w:rFonts w:ascii="Book Antiqua" w:eastAsia="SimSun" w:hAnsi="Book Antiqua" w:cs="SimSun"/>
          <w:sz w:val="24"/>
          <w:szCs w:val="24"/>
          <w:lang w:val="en-US" w:eastAsia="zh-CN"/>
        </w:rPr>
        <w:t>: iii1-iii9 [PMID: 25190710 DOI: 10.1093/annonc/mdu260]</w:t>
      </w:r>
    </w:p>
    <w:p w14:paraId="7CBEEB0F"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 xml:space="preserve">4 </w:t>
      </w:r>
      <w:r w:rsidRPr="0047156E">
        <w:rPr>
          <w:rFonts w:ascii="Book Antiqua" w:eastAsia="SimSun" w:hAnsi="Book Antiqua" w:cs="SimSun"/>
          <w:b/>
          <w:bCs/>
          <w:sz w:val="24"/>
          <w:szCs w:val="24"/>
          <w:lang w:val="en-US" w:eastAsia="zh-CN"/>
        </w:rPr>
        <w:t>Mayer RJ</w:t>
      </w:r>
      <w:r w:rsidRPr="0047156E">
        <w:rPr>
          <w:rFonts w:ascii="Book Antiqua" w:eastAsia="SimSun" w:hAnsi="Book Antiqua" w:cs="SimSun"/>
          <w:sz w:val="24"/>
          <w:szCs w:val="24"/>
          <w:lang w:val="en-US" w:eastAsia="zh-CN"/>
        </w:rPr>
        <w:t xml:space="preserve">, Van Cutsem E, Falcone A, Yoshino T, Garcia-Carbonero R, Mizunuma N, Yamazaki K, Shimada Y, Tabernero J, Komatsu Y, Sobrero A, Boucher E, Peeters M, Tran B, Lenz HJ, Zaniboni A, Hochster H, Cleary JM, Prenen H, Benedetti F, Mizuguchi H, Makris L, Ito M, Ohtsu A. Randomized trial of TAS-102 for refractory metastatic colorectal cancer. </w:t>
      </w:r>
      <w:r w:rsidRPr="0047156E">
        <w:rPr>
          <w:rFonts w:ascii="Book Antiqua" w:eastAsia="SimSun" w:hAnsi="Book Antiqua" w:cs="SimSun"/>
          <w:i/>
          <w:iCs/>
          <w:sz w:val="24"/>
          <w:szCs w:val="24"/>
          <w:lang w:val="en-US" w:eastAsia="zh-CN"/>
        </w:rPr>
        <w:t>N Engl J Med</w:t>
      </w:r>
      <w:r w:rsidRPr="0047156E">
        <w:rPr>
          <w:rFonts w:ascii="Book Antiqua" w:eastAsia="SimSun" w:hAnsi="Book Antiqua" w:cs="SimSun"/>
          <w:sz w:val="24"/>
          <w:szCs w:val="24"/>
          <w:lang w:val="en-US" w:eastAsia="zh-CN"/>
        </w:rPr>
        <w:t xml:space="preserve"> 2015; </w:t>
      </w:r>
      <w:r w:rsidRPr="0047156E">
        <w:rPr>
          <w:rFonts w:ascii="Book Antiqua" w:eastAsia="SimSun" w:hAnsi="Book Antiqua" w:cs="SimSun"/>
          <w:b/>
          <w:bCs/>
          <w:sz w:val="24"/>
          <w:szCs w:val="24"/>
          <w:lang w:val="en-US" w:eastAsia="zh-CN"/>
        </w:rPr>
        <w:t>372</w:t>
      </w:r>
      <w:r w:rsidRPr="0047156E">
        <w:rPr>
          <w:rFonts w:ascii="Book Antiqua" w:eastAsia="SimSun" w:hAnsi="Book Antiqua" w:cs="SimSun"/>
          <w:sz w:val="24"/>
          <w:szCs w:val="24"/>
          <w:lang w:val="en-US" w:eastAsia="zh-CN"/>
        </w:rPr>
        <w:t>: 1909-1919 [PMID: 25970050 DOI: 10.1056/NEJMoa1414325]</w:t>
      </w:r>
    </w:p>
    <w:p w14:paraId="434CA0C0"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 xml:space="preserve">5 </w:t>
      </w:r>
      <w:r w:rsidRPr="0047156E">
        <w:rPr>
          <w:rFonts w:ascii="Book Antiqua" w:eastAsia="SimSun" w:hAnsi="Book Antiqua" w:cs="SimSun"/>
          <w:b/>
          <w:bCs/>
          <w:sz w:val="24"/>
          <w:szCs w:val="24"/>
          <w:lang w:val="en-US" w:eastAsia="zh-CN"/>
        </w:rPr>
        <w:t>Yarden Y</w:t>
      </w:r>
      <w:r w:rsidRPr="0047156E">
        <w:rPr>
          <w:rFonts w:ascii="Book Antiqua" w:eastAsia="SimSun" w:hAnsi="Book Antiqua" w:cs="SimSun"/>
          <w:sz w:val="24"/>
          <w:szCs w:val="24"/>
          <w:lang w:val="en-US" w:eastAsia="zh-CN"/>
        </w:rPr>
        <w:t xml:space="preserve">, Sliwkowski MX. Untangling the ErbB signalling network. </w:t>
      </w:r>
      <w:r w:rsidRPr="0047156E">
        <w:rPr>
          <w:rFonts w:ascii="Book Antiqua" w:eastAsia="SimSun" w:hAnsi="Book Antiqua" w:cs="SimSun"/>
          <w:i/>
          <w:iCs/>
          <w:sz w:val="24"/>
          <w:szCs w:val="24"/>
          <w:lang w:val="en-US" w:eastAsia="zh-CN"/>
        </w:rPr>
        <w:t>Nat Rev Mol Cell Biol</w:t>
      </w:r>
      <w:r w:rsidRPr="0047156E">
        <w:rPr>
          <w:rFonts w:ascii="Book Antiqua" w:eastAsia="SimSun" w:hAnsi="Book Antiqua" w:cs="SimSun"/>
          <w:sz w:val="24"/>
          <w:szCs w:val="24"/>
          <w:lang w:val="en-US" w:eastAsia="zh-CN"/>
        </w:rPr>
        <w:t xml:space="preserve"> 2001; </w:t>
      </w:r>
      <w:r w:rsidRPr="0047156E">
        <w:rPr>
          <w:rFonts w:ascii="Book Antiqua" w:eastAsia="SimSun" w:hAnsi="Book Antiqua" w:cs="SimSun"/>
          <w:b/>
          <w:bCs/>
          <w:sz w:val="24"/>
          <w:szCs w:val="24"/>
          <w:lang w:val="en-US" w:eastAsia="zh-CN"/>
        </w:rPr>
        <w:t>2</w:t>
      </w:r>
      <w:r w:rsidRPr="0047156E">
        <w:rPr>
          <w:rFonts w:ascii="Book Antiqua" w:eastAsia="SimSun" w:hAnsi="Book Antiqua" w:cs="SimSun"/>
          <w:sz w:val="24"/>
          <w:szCs w:val="24"/>
          <w:lang w:val="en-US" w:eastAsia="zh-CN"/>
        </w:rPr>
        <w:t>: 127-137 [PMID: 11252954 DOI: 10.1038/35052073]</w:t>
      </w:r>
    </w:p>
    <w:p w14:paraId="6DBFBACB"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 xml:space="preserve">6 </w:t>
      </w:r>
      <w:r w:rsidRPr="0047156E">
        <w:rPr>
          <w:rFonts w:ascii="Book Antiqua" w:eastAsia="SimSun" w:hAnsi="Book Antiqua" w:cs="SimSun"/>
          <w:b/>
          <w:bCs/>
          <w:sz w:val="24"/>
          <w:szCs w:val="24"/>
          <w:lang w:val="en-US" w:eastAsia="zh-CN"/>
        </w:rPr>
        <w:t>Hynes NE</w:t>
      </w:r>
      <w:r w:rsidRPr="0047156E">
        <w:rPr>
          <w:rFonts w:ascii="Book Antiqua" w:eastAsia="SimSun" w:hAnsi="Book Antiqua" w:cs="SimSun"/>
          <w:sz w:val="24"/>
          <w:szCs w:val="24"/>
          <w:lang w:val="en-US" w:eastAsia="zh-CN"/>
        </w:rPr>
        <w:t xml:space="preserve">, Lane HA. ERBB receptors and cancer: the complexity of targeted inhibitors. </w:t>
      </w:r>
      <w:r w:rsidRPr="0047156E">
        <w:rPr>
          <w:rFonts w:ascii="Book Antiqua" w:eastAsia="SimSun" w:hAnsi="Book Antiqua" w:cs="SimSun"/>
          <w:i/>
          <w:iCs/>
          <w:sz w:val="24"/>
          <w:szCs w:val="24"/>
          <w:lang w:val="en-US" w:eastAsia="zh-CN"/>
        </w:rPr>
        <w:t>Nat Rev Cancer</w:t>
      </w:r>
      <w:r w:rsidRPr="0047156E">
        <w:rPr>
          <w:rFonts w:ascii="Book Antiqua" w:eastAsia="SimSun" w:hAnsi="Book Antiqua" w:cs="SimSun"/>
          <w:sz w:val="24"/>
          <w:szCs w:val="24"/>
          <w:lang w:val="en-US" w:eastAsia="zh-CN"/>
        </w:rPr>
        <w:t xml:space="preserve"> 2005; </w:t>
      </w:r>
      <w:r w:rsidRPr="0047156E">
        <w:rPr>
          <w:rFonts w:ascii="Book Antiqua" w:eastAsia="SimSun" w:hAnsi="Book Antiqua" w:cs="SimSun"/>
          <w:b/>
          <w:bCs/>
          <w:sz w:val="24"/>
          <w:szCs w:val="24"/>
          <w:lang w:val="en-US" w:eastAsia="zh-CN"/>
        </w:rPr>
        <w:t>5</w:t>
      </w:r>
      <w:r w:rsidRPr="0047156E">
        <w:rPr>
          <w:rFonts w:ascii="Book Antiqua" w:eastAsia="SimSun" w:hAnsi="Book Antiqua" w:cs="SimSun"/>
          <w:sz w:val="24"/>
          <w:szCs w:val="24"/>
          <w:lang w:val="en-US" w:eastAsia="zh-CN"/>
        </w:rPr>
        <w:t>: 341-354 [PMID: 15864276 DOI: 10.1038/nrc1609]</w:t>
      </w:r>
    </w:p>
    <w:p w14:paraId="6F6DDDCD"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 xml:space="preserve">7 </w:t>
      </w:r>
      <w:r w:rsidRPr="0047156E">
        <w:rPr>
          <w:rFonts w:ascii="Book Antiqua" w:eastAsia="SimSun" w:hAnsi="Book Antiqua" w:cs="SimSun"/>
          <w:b/>
          <w:bCs/>
          <w:sz w:val="24"/>
          <w:szCs w:val="24"/>
          <w:lang w:val="en-US" w:eastAsia="zh-CN"/>
        </w:rPr>
        <w:t>Ciardiello F</w:t>
      </w:r>
      <w:r w:rsidRPr="0047156E">
        <w:rPr>
          <w:rFonts w:ascii="Book Antiqua" w:eastAsia="SimSun" w:hAnsi="Book Antiqua" w:cs="SimSun"/>
          <w:sz w:val="24"/>
          <w:szCs w:val="24"/>
          <w:lang w:val="en-US" w:eastAsia="zh-CN"/>
        </w:rPr>
        <w:t xml:space="preserve">, Tortora G. EGFR antagonists in cancer treatment. </w:t>
      </w:r>
      <w:r w:rsidRPr="0047156E">
        <w:rPr>
          <w:rFonts w:ascii="Book Antiqua" w:eastAsia="SimSun" w:hAnsi="Book Antiqua" w:cs="SimSun"/>
          <w:i/>
          <w:iCs/>
          <w:sz w:val="24"/>
          <w:szCs w:val="24"/>
          <w:lang w:val="en-US" w:eastAsia="zh-CN"/>
        </w:rPr>
        <w:t>N Engl J Med</w:t>
      </w:r>
      <w:r w:rsidRPr="0047156E">
        <w:rPr>
          <w:rFonts w:ascii="Book Antiqua" w:eastAsia="SimSun" w:hAnsi="Book Antiqua" w:cs="SimSun"/>
          <w:sz w:val="24"/>
          <w:szCs w:val="24"/>
          <w:lang w:val="en-US" w:eastAsia="zh-CN"/>
        </w:rPr>
        <w:t xml:space="preserve"> 2008; </w:t>
      </w:r>
      <w:r w:rsidRPr="0047156E">
        <w:rPr>
          <w:rFonts w:ascii="Book Antiqua" w:eastAsia="SimSun" w:hAnsi="Book Antiqua" w:cs="SimSun"/>
          <w:b/>
          <w:bCs/>
          <w:sz w:val="24"/>
          <w:szCs w:val="24"/>
          <w:lang w:val="en-US" w:eastAsia="zh-CN"/>
        </w:rPr>
        <w:t>358</w:t>
      </w:r>
      <w:r w:rsidRPr="0047156E">
        <w:rPr>
          <w:rFonts w:ascii="Book Antiqua" w:eastAsia="SimSun" w:hAnsi="Book Antiqua" w:cs="SimSun"/>
          <w:sz w:val="24"/>
          <w:szCs w:val="24"/>
          <w:lang w:val="en-US" w:eastAsia="zh-CN"/>
        </w:rPr>
        <w:t>: 1160-1174 [PMID: 18337605 DOI: 10.1056/NEJMra0707704]</w:t>
      </w:r>
    </w:p>
    <w:p w14:paraId="64E2FC6E"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 xml:space="preserve">8 </w:t>
      </w:r>
      <w:r w:rsidRPr="0047156E">
        <w:rPr>
          <w:rFonts w:ascii="Book Antiqua" w:eastAsia="SimSun" w:hAnsi="Book Antiqua" w:cs="SimSun"/>
          <w:b/>
          <w:bCs/>
          <w:sz w:val="24"/>
          <w:szCs w:val="24"/>
          <w:lang w:val="en-US" w:eastAsia="zh-CN"/>
        </w:rPr>
        <w:t>Martinelli E</w:t>
      </w:r>
      <w:r w:rsidRPr="0047156E">
        <w:rPr>
          <w:rFonts w:ascii="Book Antiqua" w:eastAsia="SimSun" w:hAnsi="Book Antiqua" w:cs="SimSun"/>
          <w:sz w:val="24"/>
          <w:szCs w:val="24"/>
          <w:lang w:val="en-US" w:eastAsia="zh-CN"/>
        </w:rPr>
        <w:t xml:space="preserve">, De Palma R, Orditura M, De Vita F, Ciardiello F. Anti-epidermal growth factor receptor monoclonal antibodies in cancer therapy. </w:t>
      </w:r>
      <w:r w:rsidRPr="0047156E">
        <w:rPr>
          <w:rFonts w:ascii="Book Antiqua" w:eastAsia="SimSun" w:hAnsi="Book Antiqua" w:cs="SimSun"/>
          <w:i/>
          <w:iCs/>
          <w:sz w:val="24"/>
          <w:szCs w:val="24"/>
          <w:lang w:val="en-US" w:eastAsia="zh-CN"/>
        </w:rPr>
        <w:t>Clin Exp Immunol</w:t>
      </w:r>
      <w:r w:rsidRPr="0047156E">
        <w:rPr>
          <w:rFonts w:ascii="Book Antiqua" w:eastAsia="SimSun" w:hAnsi="Book Antiqua" w:cs="SimSun"/>
          <w:sz w:val="24"/>
          <w:szCs w:val="24"/>
          <w:lang w:val="en-US" w:eastAsia="zh-CN"/>
        </w:rPr>
        <w:t xml:space="preserve"> 2009; </w:t>
      </w:r>
      <w:r w:rsidRPr="0047156E">
        <w:rPr>
          <w:rFonts w:ascii="Book Antiqua" w:eastAsia="SimSun" w:hAnsi="Book Antiqua" w:cs="SimSun"/>
          <w:b/>
          <w:bCs/>
          <w:sz w:val="24"/>
          <w:szCs w:val="24"/>
          <w:lang w:val="en-US" w:eastAsia="zh-CN"/>
        </w:rPr>
        <w:t>158</w:t>
      </w:r>
      <w:r w:rsidRPr="0047156E">
        <w:rPr>
          <w:rFonts w:ascii="Book Antiqua" w:eastAsia="SimSun" w:hAnsi="Book Antiqua" w:cs="SimSun"/>
          <w:sz w:val="24"/>
          <w:szCs w:val="24"/>
          <w:lang w:val="en-US" w:eastAsia="zh-CN"/>
        </w:rPr>
        <w:t>: 1-9 [PMID: 19737224 DOI: 10.1111/j.1365-2249.2009.03992.x]</w:t>
      </w:r>
    </w:p>
    <w:p w14:paraId="72FAE4A5"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 xml:space="preserve">9 </w:t>
      </w:r>
      <w:r w:rsidRPr="0047156E">
        <w:rPr>
          <w:rFonts w:ascii="Book Antiqua" w:eastAsia="SimSun" w:hAnsi="Book Antiqua" w:cs="SimSun"/>
          <w:b/>
          <w:bCs/>
          <w:sz w:val="24"/>
          <w:szCs w:val="24"/>
          <w:lang w:val="en-US" w:eastAsia="zh-CN"/>
        </w:rPr>
        <w:t>Price TJ</w:t>
      </w:r>
      <w:r w:rsidRPr="0047156E">
        <w:rPr>
          <w:rFonts w:ascii="Book Antiqua" w:eastAsia="SimSun" w:hAnsi="Book Antiqua" w:cs="SimSun"/>
          <w:sz w:val="24"/>
          <w:szCs w:val="24"/>
          <w:lang w:val="en-US" w:eastAsia="zh-CN"/>
        </w:rPr>
        <w:t xml:space="preserve">, Peeters M, Kim TW, Li J, Cascinu S, Ruff P, Suresh AS, Thomas A, Tjulandin S, Zhang K, Murugappan S, Sidhu R. Panitumumab versus cetuximab in patients with chemotherapy-refractory wild-type KRAS exon 2 metastatic colorectal cancer (ASPECCT): </w:t>
      </w:r>
      <w:r w:rsidRPr="0047156E">
        <w:rPr>
          <w:rFonts w:ascii="Book Antiqua" w:eastAsia="SimSun" w:hAnsi="Book Antiqua" w:cs="SimSun"/>
          <w:sz w:val="24"/>
          <w:szCs w:val="24"/>
          <w:lang w:val="en-US" w:eastAsia="zh-CN"/>
        </w:rPr>
        <w:lastRenderedPageBreak/>
        <w:t xml:space="preserve">a randomised, multicentre, open-label, non-inferiority phase 3 study. </w:t>
      </w:r>
      <w:r w:rsidRPr="0047156E">
        <w:rPr>
          <w:rFonts w:ascii="Book Antiqua" w:eastAsia="SimSun" w:hAnsi="Book Antiqua" w:cs="SimSun"/>
          <w:i/>
          <w:iCs/>
          <w:sz w:val="24"/>
          <w:szCs w:val="24"/>
          <w:lang w:val="en-US" w:eastAsia="zh-CN"/>
        </w:rPr>
        <w:t>Lancet Oncol</w:t>
      </w:r>
      <w:r w:rsidRPr="0047156E">
        <w:rPr>
          <w:rFonts w:ascii="Book Antiqua" w:eastAsia="SimSun" w:hAnsi="Book Antiqua" w:cs="SimSun"/>
          <w:sz w:val="24"/>
          <w:szCs w:val="24"/>
          <w:lang w:val="en-US" w:eastAsia="zh-CN"/>
        </w:rPr>
        <w:t xml:space="preserve"> 2014; </w:t>
      </w:r>
      <w:r w:rsidRPr="0047156E">
        <w:rPr>
          <w:rFonts w:ascii="Book Antiqua" w:eastAsia="SimSun" w:hAnsi="Book Antiqua" w:cs="SimSun"/>
          <w:b/>
          <w:bCs/>
          <w:sz w:val="24"/>
          <w:szCs w:val="24"/>
          <w:lang w:val="en-US" w:eastAsia="zh-CN"/>
        </w:rPr>
        <w:t>15</w:t>
      </w:r>
      <w:r w:rsidRPr="0047156E">
        <w:rPr>
          <w:rFonts w:ascii="Book Antiqua" w:eastAsia="SimSun" w:hAnsi="Book Antiqua" w:cs="SimSun"/>
          <w:sz w:val="24"/>
          <w:szCs w:val="24"/>
          <w:lang w:val="en-US" w:eastAsia="zh-CN"/>
        </w:rPr>
        <w:t>: 569-579 [PMID: 24739896 DOI: 10.1016/S1470-2045(14)70118-4]</w:t>
      </w:r>
    </w:p>
    <w:p w14:paraId="1E22823C"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 xml:space="preserve">10 </w:t>
      </w:r>
      <w:r w:rsidRPr="0047156E">
        <w:rPr>
          <w:rFonts w:ascii="Book Antiqua" w:eastAsia="SimSun" w:hAnsi="Book Antiqua" w:cs="SimSun"/>
          <w:b/>
          <w:bCs/>
          <w:sz w:val="24"/>
          <w:szCs w:val="24"/>
          <w:lang w:val="en-US" w:eastAsia="zh-CN"/>
        </w:rPr>
        <w:t>Cunningham D</w:t>
      </w:r>
      <w:r w:rsidRPr="0047156E">
        <w:rPr>
          <w:rFonts w:ascii="Book Antiqua" w:eastAsia="SimSun" w:hAnsi="Book Antiqua" w:cs="SimSun"/>
          <w:sz w:val="24"/>
          <w:szCs w:val="24"/>
          <w:lang w:val="en-US" w:eastAsia="zh-CN"/>
        </w:rPr>
        <w:t xml:space="preserve">, Humblet Y, Siena S, Khayat D, Bleiberg H, Santoro A, Bets D, Mueser M, Harstrick A, Verslype C, Chau I, Van Cutsem E. Cetuximab monotherapy and cetuximab plus irinotecan in irinotecan-refractory metastatic colorectal cancer. </w:t>
      </w:r>
      <w:r w:rsidRPr="0047156E">
        <w:rPr>
          <w:rFonts w:ascii="Book Antiqua" w:eastAsia="SimSun" w:hAnsi="Book Antiqua" w:cs="SimSun"/>
          <w:i/>
          <w:iCs/>
          <w:sz w:val="24"/>
          <w:szCs w:val="24"/>
          <w:lang w:val="en-US" w:eastAsia="zh-CN"/>
        </w:rPr>
        <w:t>N Engl J Med</w:t>
      </w:r>
      <w:r w:rsidRPr="0047156E">
        <w:rPr>
          <w:rFonts w:ascii="Book Antiqua" w:eastAsia="SimSun" w:hAnsi="Book Antiqua" w:cs="SimSun"/>
          <w:sz w:val="24"/>
          <w:szCs w:val="24"/>
          <w:lang w:val="en-US" w:eastAsia="zh-CN"/>
        </w:rPr>
        <w:t xml:space="preserve"> 2004; </w:t>
      </w:r>
      <w:r w:rsidRPr="0047156E">
        <w:rPr>
          <w:rFonts w:ascii="Book Antiqua" w:eastAsia="SimSun" w:hAnsi="Book Antiqua" w:cs="SimSun"/>
          <w:b/>
          <w:bCs/>
          <w:sz w:val="24"/>
          <w:szCs w:val="24"/>
          <w:lang w:val="en-US" w:eastAsia="zh-CN"/>
        </w:rPr>
        <w:t>351</w:t>
      </w:r>
      <w:r w:rsidRPr="0047156E">
        <w:rPr>
          <w:rFonts w:ascii="Book Antiqua" w:eastAsia="SimSun" w:hAnsi="Book Antiqua" w:cs="SimSun"/>
          <w:sz w:val="24"/>
          <w:szCs w:val="24"/>
          <w:lang w:val="en-US" w:eastAsia="zh-CN"/>
        </w:rPr>
        <w:t>: 337-345 [PMID: 15269313 DOI: 10.1056/NEJMoa033025]</w:t>
      </w:r>
    </w:p>
    <w:p w14:paraId="2CEAE7AD"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 xml:space="preserve">11 </w:t>
      </w:r>
      <w:r w:rsidRPr="0047156E">
        <w:rPr>
          <w:rFonts w:ascii="Book Antiqua" w:eastAsia="SimSun" w:hAnsi="Book Antiqua" w:cs="SimSun"/>
          <w:b/>
          <w:bCs/>
          <w:sz w:val="24"/>
          <w:szCs w:val="24"/>
          <w:lang w:val="en-US" w:eastAsia="zh-CN"/>
        </w:rPr>
        <w:t>Van Cutsem E</w:t>
      </w:r>
      <w:r w:rsidRPr="0047156E">
        <w:rPr>
          <w:rFonts w:ascii="Book Antiqua" w:eastAsia="SimSun" w:hAnsi="Book Antiqua" w:cs="SimSun"/>
          <w:sz w:val="24"/>
          <w:szCs w:val="24"/>
          <w:lang w:val="en-US" w:eastAsia="zh-CN"/>
        </w:rPr>
        <w:t xml:space="preserve">, Peeters M, Siena S, Humblet Y, Hendlisz A, Neyns B, Canon JL, Van Laethem JL, Maurel J, Richardson G, Wolf M, Amado RG. Open-label phase III trial of panitumumab plus best supportive care compared with best supportive care alone in patients with chemotherapy-refractory metastatic colorectal cancer. </w:t>
      </w:r>
      <w:r w:rsidRPr="0047156E">
        <w:rPr>
          <w:rFonts w:ascii="Book Antiqua" w:eastAsia="SimSun" w:hAnsi="Book Antiqua" w:cs="SimSun"/>
          <w:i/>
          <w:iCs/>
          <w:sz w:val="24"/>
          <w:szCs w:val="24"/>
          <w:lang w:val="en-US" w:eastAsia="zh-CN"/>
        </w:rPr>
        <w:t>J Clin Oncol</w:t>
      </w:r>
      <w:r w:rsidRPr="0047156E">
        <w:rPr>
          <w:rFonts w:ascii="Book Antiqua" w:eastAsia="SimSun" w:hAnsi="Book Antiqua" w:cs="SimSun"/>
          <w:sz w:val="24"/>
          <w:szCs w:val="24"/>
          <w:lang w:val="en-US" w:eastAsia="zh-CN"/>
        </w:rPr>
        <w:t xml:space="preserve"> 2007; </w:t>
      </w:r>
      <w:r w:rsidRPr="0047156E">
        <w:rPr>
          <w:rFonts w:ascii="Book Antiqua" w:eastAsia="SimSun" w:hAnsi="Book Antiqua" w:cs="SimSun"/>
          <w:b/>
          <w:bCs/>
          <w:sz w:val="24"/>
          <w:szCs w:val="24"/>
          <w:lang w:val="en-US" w:eastAsia="zh-CN"/>
        </w:rPr>
        <w:t>25</w:t>
      </w:r>
      <w:r w:rsidRPr="0047156E">
        <w:rPr>
          <w:rFonts w:ascii="Book Antiqua" w:eastAsia="SimSun" w:hAnsi="Book Antiqua" w:cs="SimSun"/>
          <w:sz w:val="24"/>
          <w:szCs w:val="24"/>
          <w:lang w:val="en-US" w:eastAsia="zh-CN"/>
        </w:rPr>
        <w:t>: 1658-1664 [PMID: 17470858 DOI: 10.1200/JCO.2006.08.1620]</w:t>
      </w:r>
    </w:p>
    <w:p w14:paraId="4AC6B44F"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 xml:space="preserve">12 </w:t>
      </w:r>
      <w:r w:rsidRPr="0047156E">
        <w:rPr>
          <w:rFonts w:ascii="Book Antiqua" w:eastAsia="SimSun" w:hAnsi="Book Antiqua" w:cs="SimSun"/>
          <w:b/>
          <w:bCs/>
          <w:sz w:val="24"/>
          <w:szCs w:val="24"/>
          <w:lang w:val="en-US" w:eastAsia="zh-CN"/>
        </w:rPr>
        <w:t>Misale S</w:t>
      </w:r>
      <w:r w:rsidRPr="0047156E">
        <w:rPr>
          <w:rFonts w:ascii="Book Antiqua" w:eastAsia="SimSun" w:hAnsi="Book Antiqua" w:cs="SimSun"/>
          <w:sz w:val="24"/>
          <w:szCs w:val="24"/>
          <w:lang w:val="en-US" w:eastAsia="zh-CN"/>
        </w:rPr>
        <w:t xml:space="preserve">, Di Nicolantonio F, Sartore-Bianchi A, Siena S, Bardelli A. Resistance to anti-EGFR therapy in colorectal cancer: from heterogeneity to convergent evolution. </w:t>
      </w:r>
      <w:r w:rsidRPr="0047156E">
        <w:rPr>
          <w:rFonts w:ascii="Book Antiqua" w:eastAsia="SimSun" w:hAnsi="Book Antiqua" w:cs="SimSun"/>
          <w:i/>
          <w:iCs/>
          <w:sz w:val="24"/>
          <w:szCs w:val="24"/>
          <w:lang w:val="en-US" w:eastAsia="zh-CN"/>
        </w:rPr>
        <w:t>Cancer Discov</w:t>
      </w:r>
      <w:r w:rsidRPr="0047156E">
        <w:rPr>
          <w:rFonts w:ascii="Book Antiqua" w:eastAsia="SimSun" w:hAnsi="Book Antiqua" w:cs="SimSun"/>
          <w:sz w:val="24"/>
          <w:szCs w:val="24"/>
          <w:lang w:val="en-US" w:eastAsia="zh-CN"/>
        </w:rPr>
        <w:t xml:space="preserve"> 2014; </w:t>
      </w:r>
      <w:r w:rsidRPr="0047156E">
        <w:rPr>
          <w:rFonts w:ascii="Book Antiqua" w:eastAsia="SimSun" w:hAnsi="Book Antiqua" w:cs="SimSun"/>
          <w:b/>
          <w:bCs/>
          <w:sz w:val="24"/>
          <w:szCs w:val="24"/>
          <w:lang w:val="en-US" w:eastAsia="zh-CN"/>
        </w:rPr>
        <w:t>4</w:t>
      </w:r>
      <w:r w:rsidRPr="0047156E">
        <w:rPr>
          <w:rFonts w:ascii="Book Antiqua" w:eastAsia="SimSun" w:hAnsi="Book Antiqua" w:cs="SimSun"/>
          <w:sz w:val="24"/>
          <w:szCs w:val="24"/>
          <w:lang w:val="en-US" w:eastAsia="zh-CN"/>
        </w:rPr>
        <w:t>: 1269-1280 [PMID: 25293556 DOI: 10.1158/2159-8290.CD-14-0462]</w:t>
      </w:r>
    </w:p>
    <w:p w14:paraId="44001A15"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 xml:space="preserve">13 </w:t>
      </w:r>
      <w:r w:rsidRPr="0047156E">
        <w:rPr>
          <w:rFonts w:ascii="Book Antiqua" w:eastAsia="SimSun" w:hAnsi="Book Antiqua" w:cs="SimSun"/>
          <w:b/>
          <w:bCs/>
          <w:sz w:val="24"/>
          <w:szCs w:val="24"/>
          <w:lang w:val="en-US" w:eastAsia="zh-CN"/>
        </w:rPr>
        <w:t>Burrell RA</w:t>
      </w:r>
      <w:r w:rsidRPr="0047156E">
        <w:rPr>
          <w:rFonts w:ascii="Book Antiqua" w:eastAsia="SimSun" w:hAnsi="Book Antiqua" w:cs="SimSun"/>
          <w:sz w:val="24"/>
          <w:szCs w:val="24"/>
          <w:lang w:val="en-US" w:eastAsia="zh-CN"/>
        </w:rPr>
        <w:t xml:space="preserve">, Swanton C. Tumour heterogeneity and the evolution of polyclonal drug resistance. </w:t>
      </w:r>
      <w:r w:rsidRPr="0047156E">
        <w:rPr>
          <w:rFonts w:ascii="Book Antiqua" w:eastAsia="SimSun" w:hAnsi="Book Antiqua" w:cs="SimSun"/>
          <w:i/>
          <w:iCs/>
          <w:sz w:val="24"/>
          <w:szCs w:val="24"/>
          <w:lang w:val="en-US" w:eastAsia="zh-CN"/>
        </w:rPr>
        <w:t>Mol Oncol</w:t>
      </w:r>
      <w:r w:rsidRPr="0047156E">
        <w:rPr>
          <w:rFonts w:ascii="Book Antiqua" w:eastAsia="SimSun" w:hAnsi="Book Antiqua" w:cs="SimSun"/>
          <w:sz w:val="24"/>
          <w:szCs w:val="24"/>
          <w:lang w:val="en-US" w:eastAsia="zh-CN"/>
        </w:rPr>
        <w:t xml:space="preserve"> 2014; </w:t>
      </w:r>
      <w:r w:rsidRPr="0047156E">
        <w:rPr>
          <w:rFonts w:ascii="Book Antiqua" w:eastAsia="SimSun" w:hAnsi="Book Antiqua" w:cs="SimSun"/>
          <w:b/>
          <w:bCs/>
          <w:sz w:val="24"/>
          <w:szCs w:val="24"/>
          <w:lang w:val="en-US" w:eastAsia="zh-CN"/>
        </w:rPr>
        <w:t>8</w:t>
      </w:r>
      <w:r w:rsidRPr="0047156E">
        <w:rPr>
          <w:rFonts w:ascii="Book Antiqua" w:eastAsia="SimSun" w:hAnsi="Book Antiqua" w:cs="SimSun"/>
          <w:sz w:val="24"/>
          <w:szCs w:val="24"/>
          <w:lang w:val="en-US" w:eastAsia="zh-CN"/>
        </w:rPr>
        <w:t>: 1095-1111 [PMID: 25087573 DOI: 10.1016/j.molonc.2014.06.005]</w:t>
      </w:r>
    </w:p>
    <w:p w14:paraId="52F57A3C"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 xml:space="preserve">14 </w:t>
      </w:r>
      <w:r w:rsidRPr="0047156E">
        <w:rPr>
          <w:rFonts w:ascii="Book Antiqua" w:eastAsia="SimSun" w:hAnsi="Book Antiqua" w:cs="SimSun"/>
          <w:b/>
          <w:bCs/>
          <w:sz w:val="24"/>
          <w:szCs w:val="24"/>
          <w:lang w:val="en-US" w:eastAsia="zh-CN"/>
        </w:rPr>
        <w:t>Burrell RA</w:t>
      </w:r>
      <w:r w:rsidRPr="0047156E">
        <w:rPr>
          <w:rFonts w:ascii="Book Antiqua" w:eastAsia="SimSun" w:hAnsi="Book Antiqua" w:cs="SimSun"/>
          <w:sz w:val="24"/>
          <w:szCs w:val="24"/>
          <w:lang w:val="en-US" w:eastAsia="zh-CN"/>
        </w:rPr>
        <w:t xml:space="preserve">, McGranahan N, Bartek J, Swanton C. The causes and consequences of genetic heterogeneity in cancer evolution. </w:t>
      </w:r>
      <w:r w:rsidRPr="0047156E">
        <w:rPr>
          <w:rFonts w:ascii="Book Antiqua" w:eastAsia="SimSun" w:hAnsi="Book Antiqua" w:cs="SimSun"/>
          <w:i/>
          <w:iCs/>
          <w:sz w:val="24"/>
          <w:szCs w:val="24"/>
          <w:lang w:val="en-US" w:eastAsia="zh-CN"/>
        </w:rPr>
        <w:t>Nature</w:t>
      </w:r>
      <w:r w:rsidRPr="0047156E">
        <w:rPr>
          <w:rFonts w:ascii="Book Antiqua" w:eastAsia="SimSun" w:hAnsi="Book Antiqua" w:cs="SimSun"/>
          <w:sz w:val="24"/>
          <w:szCs w:val="24"/>
          <w:lang w:val="en-US" w:eastAsia="zh-CN"/>
        </w:rPr>
        <w:t xml:space="preserve"> 2013; </w:t>
      </w:r>
      <w:r w:rsidRPr="0047156E">
        <w:rPr>
          <w:rFonts w:ascii="Book Antiqua" w:eastAsia="SimSun" w:hAnsi="Book Antiqua" w:cs="SimSun"/>
          <w:b/>
          <w:bCs/>
          <w:sz w:val="24"/>
          <w:szCs w:val="24"/>
          <w:lang w:val="en-US" w:eastAsia="zh-CN"/>
        </w:rPr>
        <w:t>501</w:t>
      </w:r>
      <w:r w:rsidRPr="0047156E">
        <w:rPr>
          <w:rFonts w:ascii="Book Antiqua" w:eastAsia="SimSun" w:hAnsi="Book Antiqua" w:cs="SimSun"/>
          <w:sz w:val="24"/>
          <w:szCs w:val="24"/>
          <w:lang w:val="en-US" w:eastAsia="zh-CN"/>
        </w:rPr>
        <w:t>: 338-345 [PMID: 24048066 DOI: 10.1038/nature12625]</w:t>
      </w:r>
    </w:p>
    <w:p w14:paraId="2E5F2B23"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 xml:space="preserve">15 </w:t>
      </w:r>
      <w:r w:rsidRPr="0047156E">
        <w:rPr>
          <w:rFonts w:ascii="Book Antiqua" w:eastAsia="SimSun" w:hAnsi="Book Antiqua" w:cs="SimSun"/>
          <w:b/>
          <w:bCs/>
          <w:sz w:val="24"/>
          <w:szCs w:val="24"/>
          <w:lang w:val="en-US" w:eastAsia="zh-CN"/>
        </w:rPr>
        <w:t>Chung KY</w:t>
      </w:r>
      <w:r w:rsidRPr="0047156E">
        <w:rPr>
          <w:rFonts w:ascii="Book Antiqua" w:eastAsia="SimSun" w:hAnsi="Book Antiqua" w:cs="SimSun"/>
          <w:sz w:val="24"/>
          <w:szCs w:val="24"/>
          <w:lang w:val="en-US" w:eastAsia="zh-CN"/>
        </w:rPr>
        <w:t xml:space="preserve">, Shia J, Kemeny NE, Shah M, Schwartz GK, Tse A, Hamilton A, Pan D, Schrag D, Schwartz L, Klimstra DS, Fridman D, Kelsen DP, Saltz LB. Cetuximab shows activity in colorectal cancer patients with tumors that do not express the epidermal growth factor receptor by immunohistochemistry. </w:t>
      </w:r>
      <w:r w:rsidRPr="0047156E">
        <w:rPr>
          <w:rFonts w:ascii="Book Antiqua" w:eastAsia="SimSun" w:hAnsi="Book Antiqua" w:cs="SimSun"/>
          <w:i/>
          <w:iCs/>
          <w:sz w:val="24"/>
          <w:szCs w:val="24"/>
          <w:lang w:val="en-US" w:eastAsia="zh-CN"/>
        </w:rPr>
        <w:t>J Clin Oncol</w:t>
      </w:r>
      <w:r w:rsidRPr="0047156E">
        <w:rPr>
          <w:rFonts w:ascii="Book Antiqua" w:eastAsia="SimSun" w:hAnsi="Book Antiqua" w:cs="SimSun"/>
          <w:sz w:val="24"/>
          <w:szCs w:val="24"/>
          <w:lang w:val="en-US" w:eastAsia="zh-CN"/>
        </w:rPr>
        <w:t xml:space="preserve"> 2005; </w:t>
      </w:r>
      <w:r w:rsidRPr="0047156E">
        <w:rPr>
          <w:rFonts w:ascii="Book Antiqua" w:eastAsia="SimSun" w:hAnsi="Book Antiqua" w:cs="SimSun"/>
          <w:b/>
          <w:bCs/>
          <w:sz w:val="24"/>
          <w:szCs w:val="24"/>
          <w:lang w:val="en-US" w:eastAsia="zh-CN"/>
        </w:rPr>
        <w:t>23</w:t>
      </w:r>
      <w:r w:rsidRPr="0047156E">
        <w:rPr>
          <w:rFonts w:ascii="Book Antiqua" w:eastAsia="SimSun" w:hAnsi="Book Antiqua" w:cs="SimSun"/>
          <w:sz w:val="24"/>
          <w:szCs w:val="24"/>
          <w:lang w:val="en-US" w:eastAsia="zh-CN"/>
        </w:rPr>
        <w:t>: 1803-1810 [PMID: 15677699 DOI: 10.1200/JCO.2005.08.037]</w:t>
      </w:r>
    </w:p>
    <w:p w14:paraId="1406A14E"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 xml:space="preserve">16 </w:t>
      </w:r>
      <w:r w:rsidRPr="0047156E">
        <w:rPr>
          <w:rFonts w:ascii="Book Antiqua" w:eastAsia="SimSun" w:hAnsi="Book Antiqua" w:cs="SimSun"/>
          <w:b/>
          <w:bCs/>
          <w:sz w:val="24"/>
          <w:szCs w:val="24"/>
          <w:lang w:val="en-US" w:eastAsia="zh-CN"/>
        </w:rPr>
        <w:t>Sorich MJ</w:t>
      </w:r>
      <w:r w:rsidRPr="0047156E">
        <w:rPr>
          <w:rFonts w:ascii="Book Antiqua" w:eastAsia="SimSun" w:hAnsi="Book Antiqua" w:cs="SimSun"/>
          <w:sz w:val="24"/>
          <w:szCs w:val="24"/>
          <w:lang w:val="en-US" w:eastAsia="zh-CN"/>
        </w:rPr>
        <w:t xml:space="preserve">, Wiese MD, Rowland A, Kichenadasse G, McKinnon RA, Karapetis CS. Extended RAS mutations and anti-EGFR monoclonal antibody survival benefit in metastatic colorectal cancer: a meta-analysis of randomized, controlled trials. </w:t>
      </w:r>
      <w:r w:rsidRPr="0047156E">
        <w:rPr>
          <w:rFonts w:ascii="Book Antiqua" w:eastAsia="SimSun" w:hAnsi="Book Antiqua" w:cs="SimSun"/>
          <w:i/>
          <w:iCs/>
          <w:sz w:val="24"/>
          <w:szCs w:val="24"/>
          <w:lang w:val="en-US" w:eastAsia="zh-CN"/>
        </w:rPr>
        <w:t>Ann Oncol</w:t>
      </w:r>
      <w:r w:rsidRPr="0047156E">
        <w:rPr>
          <w:rFonts w:ascii="Book Antiqua" w:eastAsia="SimSun" w:hAnsi="Book Antiqua" w:cs="SimSun"/>
          <w:sz w:val="24"/>
          <w:szCs w:val="24"/>
          <w:lang w:val="en-US" w:eastAsia="zh-CN"/>
        </w:rPr>
        <w:t xml:space="preserve"> 2015; </w:t>
      </w:r>
      <w:r w:rsidRPr="0047156E">
        <w:rPr>
          <w:rFonts w:ascii="Book Antiqua" w:eastAsia="SimSun" w:hAnsi="Book Antiqua" w:cs="SimSun"/>
          <w:b/>
          <w:bCs/>
          <w:sz w:val="24"/>
          <w:szCs w:val="24"/>
          <w:lang w:val="en-US" w:eastAsia="zh-CN"/>
        </w:rPr>
        <w:t>26</w:t>
      </w:r>
      <w:r w:rsidRPr="0047156E">
        <w:rPr>
          <w:rFonts w:ascii="Book Antiqua" w:eastAsia="SimSun" w:hAnsi="Book Antiqua" w:cs="SimSun"/>
          <w:sz w:val="24"/>
          <w:szCs w:val="24"/>
          <w:lang w:val="en-US" w:eastAsia="zh-CN"/>
        </w:rPr>
        <w:t>: 13-21 [PMID: 25115304 DOI: 10.1093/annonc/mdu378]</w:t>
      </w:r>
    </w:p>
    <w:p w14:paraId="5D66DAAB"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 xml:space="preserve">17 </w:t>
      </w:r>
      <w:r w:rsidRPr="0047156E">
        <w:rPr>
          <w:rFonts w:ascii="Book Antiqua" w:eastAsia="SimSun" w:hAnsi="Book Antiqua" w:cs="SimSun"/>
          <w:b/>
          <w:bCs/>
          <w:sz w:val="24"/>
          <w:szCs w:val="24"/>
          <w:lang w:val="en-US" w:eastAsia="zh-CN"/>
        </w:rPr>
        <w:t>De Roock W</w:t>
      </w:r>
      <w:r w:rsidRPr="0047156E">
        <w:rPr>
          <w:rFonts w:ascii="Book Antiqua" w:eastAsia="SimSun" w:hAnsi="Book Antiqua" w:cs="SimSun"/>
          <w:sz w:val="24"/>
          <w:szCs w:val="24"/>
          <w:lang w:val="en-US" w:eastAsia="zh-CN"/>
        </w:rPr>
        <w:t xml:space="preserve">, Claes B, Bernasconi D, De Schutter J, Biesmans B, Fountzilas G, Kalogeras KT, Kotoula V, Papamichael D, Laurent-Puig P, Penault-Llorca F, Rougier P, Vincenzi B, Santini D, Tonini G, Cappuzzo F, Frattini M, Molinari F, Saletti P, De Dosso S, Martini M, </w:t>
      </w:r>
      <w:r w:rsidRPr="0047156E">
        <w:rPr>
          <w:rFonts w:ascii="Book Antiqua" w:eastAsia="SimSun" w:hAnsi="Book Antiqua" w:cs="SimSun"/>
          <w:sz w:val="24"/>
          <w:szCs w:val="24"/>
          <w:lang w:val="en-US" w:eastAsia="zh-CN"/>
        </w:rPr>
        <w:lastRenderedPageBreak/>
        <w:t xml:space="preserve">Bardelli A, Siena S, Sartore-Bianchi A, Tabernero J, Macarulla T, Di Fiore F, Gangloff AO, Ciardiello F, Pfeiffer P, Qvortrup C, Hansen TP, Van Cutsem E, Piessevaux H, Lambrechts D, Delorenzi M, Tejpar S. Effects of KRAS, BRAF, NRAS, and PIK3CA mutations on the efficacy of cetuximab plus chemotherapy in chemotherapy-refractory metastatic colorectal cancer: a retrospective consortium analysis. </w:t>
      </w:r>
      <w:r w:rsidRPr="0047156E">
        <w:rPr>
          <w:rFonts w:ascii="Book Antiqua" w:eastAsia="SimSun" w:hAnsi="Book Antiqua" w:cs="SimSun"/>
          <w:i/>
          <w:iCs/>
          <w:sz w:val="24"/>
          <w:szCs w:val="24"/>
          <w:lang w:val="en-US" w:eastAsia="zh-CN"/>
        </w:rPr>
        <w:t>Lancet Oncol</w:t>
      </w:r>
      <w:r w:rsidRPr="0047156E">
        <w:rPr>
          <w:rFonts w:ascii="Book Antiqua" w:eastAsia="SimSun" w:hAnsi="Book Antiqua" w:cs="SimSun"/>
          <w:sz w:val="24"/>
          <w:szCs w:val="24"/>
          <w:lang w:val="en-US" w:eastAsia="zh-CN"/>
        </w:rPr>
        <w:t xml:space="preserve"> 2010; </w:t>
      </w:r>
      <w:r w:rsidRPr="0047156E">
        <w:rPr>
          <w:rFonts w:ascii="Book Antiqua" w:eastAsia="SimSun" w:hAnsi="Book Antiqua" w:cs="SimSun"/>
          <w:b/>
          <w:bCs/>
          <w:sz w:val="24"/>
          <w:szCs w:val="24"/>
          <w:lang w:val="en-US" w:eastAsia="zh-CN"/>
        </w:rPr>
        <w:t>11</w:t>
      </w:r>
      <w:r w:rsidRPr="0047156E">
        <w:rPr>
          <w:rFonts w:ascii="Book Antiqua" w:eastAsia="SimSun" w:hAnsi="Book Antiqua" w:cs="SimSun"/>
          <w:sz w:val="24"/>
          <w:szCs w:val="24"/>
          <w:lang w:val="en-US" w:eastAsia="zh-CN"/>
        </w:rPr>
        <w:t>: 753-762 [PMID: 20619739 DOI: 10.1016/S1470-2045(10)70130-3]</w:t>
      </w:r>
    </w:p>
    <w:p w14:paraId="4DDFA7D7"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 xml:space="preserve">18 </w:t>
      </w:r>
      <w:r w:rsidRPr="0047156E">
        <w:rPr>
          <w:rFonts w:ascii="Book Antiqua" w:eastAsia="SimSun" w:hAnsi="Book Antiqua" w:cs="SimSun"/>
          <w:b/>
          <w:bCs/>
          <w:sz w:val="24"/>
          <w:szCs w:val="24"/>
          <w:lang w:val="en-US" w:eastAsia="zh-CN"/>
        </w:rPr>
        <w:t>Bardelli A</w:t>
      </w:r>
      <w:r w:rsidRPr="0047156E">
        <w:rPr>
          <w:rFonts w:ascii="Book Antiqua" w:eastAsia="SimSun" w:hAnsi="Book Antiqua" w:cs="SimSun"/>
          <w:sz w:val="24"/>
          <w:szCs w:val="24"/>
          <w:lang w:val="en-US" w:eastAsia="zh-CN"/>
        </w:rPr>
        <w:t xml:space="preserve">, Corso S, Bertotti A, Hobor S, Valtorta E, Siravegna G, Sartore-Bianchi A, Scala E, Cassingena A, Zecchin D, Apicella M, Migliardi G, Galimi F, Lauricella C, Zanon C, Perera T, Veronese S, Corti G, Amatu A, Gambacorta M, Diaz LA, Sausen M, Velculescu VE, Comoglio P, Trusolino L, Di Nicolantonio F, Giordano S, Siena S. Amplification of the MET receptor drives resistance to anti-EGFR therapies in colorectal cancer. </w:t>
      </w:r>
      <w:r w:rsidRPr="0047156E">
        <w:rPr>
          <w:rFonts w:ascii="Book Antiqua" w:eastAsia="SimSun" w:hAnsi="Book Antiqua" w:cs="SimSun"/>
          <w:i/>
          <w:iCs/>
          <w:sz w:val="24"/>
          <w:szCs w:val="24"/>
          <w:lang w:val="en-US" w:eastAsia="zh-CN"/>
        </w:rPr>
        <w:t>Cancer Discov</w:t>
      </w:r>
      <w:r w:rsidRPr="0047156E">
        <w:rPr>
          <w:rFonts w:ascii="Book Antiqua" w:eastAsia="SimSun" w:hAnsi="Book Antiqua" w:cs="SimSun"/>
          <w:sz w:val="24"/>
          <w:szCs w:val="24"/>
          <w:lang w:val="en-US" w:eastAsia="zh-CN"/>
        </w:rPr>
        <w:t xml:space="preserve"> 2013; </w:t>
      </w:r>
      <w:r w:rsidRPr="0047156E">
        <w:rPr>
          <w:rFonts w:ascii="Book Antiqua" w:eastAsia="SimSun" w:hAnsi="Book Antiqua" w:cs="SimSun"/>
          <w:b/>
          <w:bCs/>
          <w:sz w:val="24"/>
          <w:szCs w:val="24"/>
          <w:lang w:val="en-US" w:eastAsia="zh-CN"/>
        </w:rPr>
        <w:t>3</w:t>
      </w:r>
      <w:r w:rsidRPr="0047156E">
        <w:rPr>
          <w:rFonts w:ascii="Book Antiqua" w:eastAsia="SimSun" w:hAnsi="Book Antiqua" w:cs="SimSun"/>
          <w:sz w:val="24"/>
          <w:szCs w:val="24"/>
          <w:lang w:val="en-US" w:eastAsia="zh-CN"/>
        </w:rPr>
        <w:t>: 658-673 [PMID: 23729478 DOI: 10.1158/2159-8290.CD-12-0558]</w:t>
      </w:r>
    </w:p>
    <w:p w14:paraId="1836B528"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 xml:space="preserve">19 </w:t>
      </w:r>
      <w:r w:rsidRPr="0047156E">
        <w:rPr>
          <w:rFonts w:ascii="Book Antiqua" w:eastAsia="SimSun" w:hAnsi="Book Antiqua" w:cs="SimSun"/>
          <w:b/>
          <w:bCs/>
          <w:sz w:val="24"/>
          <w:szCs w:val="24"/>
          <w:lang w:val="en-US" w:eastAsia="zh-CN"/>
        </w:rPr>
        <w:t>Bertotti A</w:t>
      </w:r>
      <w:r w:rsidRPr="0047156E">
        <w:rPr>
          <w:rFonts w:ascii="Book Antiqua" w:eastAsia="SimSun" w:hAnsi="Book Antiqua" w:cs="SimSun"/>
          <w:sz w:val="24"/>
          <w:szCs w:val="24"/>
          <w:lang w:val="en-US" w:eastAsia="zh-CN"/>
        </w:rPr>
        <w:t xml:space="preserve">, Migliardi G, Galimi F, Sassi F, Torti D, Isella C, Corà D, Di Nicolantonio F, Buscarino M, Petti C, Ribero D, Russolillo N, Muratore A, Massucco P, Pisacane A, Molinaro L, Valtorta E, Sartore-Bianchi A, Risio M, Capussotti L, Gambacorta M, Siena S, Medico E, Sapino A, Marsoni S, Comoglio PM, Bardelli A, Trusolino L. A molecularly annotated platform of patient-derived xenografts ("xenopatients") identifies HER2 as an effective therapeutic target in cetuximab-resistant colorectal cancer. </w:t>
      </w:r>
      <w:r w:rsidRPr="0047156E">
        <w:rPr>
          <w:rFonts w:ascii="Book Antiqua" w:eastAsia="SimSun" w:hAnsi="Book Antiqua" w:cs="SimSun"/>
          <w:i/>
          <w:iCs/>
          <w:sz w:val="24"/>
          <w:szCs w:val="24"/>
          <w:lang w:val="en-US" w:eastAsia="zh-CN"/>
        </w:rPr>
        <w:t>Cancer Discov</w:t>
      </w:r>
      <w:r w:rsidRPr="0047156E">
        <w:rPr>
          <w:rFonts w:ascii="Book Antiqua" w:eastAsia="SimSun" w:hAnsi="Book Antiqua" w:cs="SimSun"/>
          <w:sz w:val="24"/>
          <w:szCs w:val="24"/>
          <w:lang w:val="en-US" w:eastAsia="zh-CN"/>
        </w:rPr>
        <w:t xml:space="preserve"> 2011; </w:t>
      </w:r>
      <w:r w:rsidRPr="0047156E">
        <w:rPr>
          <w:rFonts w:ascii="Book Antiqua" w:eastAsia="SimSun" w:hAnsi="Book Antiqua" w:cs="SimSun"/>
          <w:b/>
          <w:bCs/>
          <w:sz w:val="24"/>
          <w:szCs w:val="24"/>
          <w:lang w:val="en-US" w:eastAsia="zh-CN"/>
        </w:rPr>
        <w:t>1</w:t>
      </w:r>
      <w:r w:rsidRPr="0047156E">
        <w:rPr>
          <w:rFonts w:ascii="Book Antiqua" w:eastAsia="SimSun" w:hAnsi="Book Antiqua" w:cs="SimSun"/>
          <w:sz w:val="24"/>
          <w:szCs w:val="24"/>
          <w:lang w:val="en-US" w:eastAsia="zh-CN"/>
        </w:rPr>
        <w:t>: 508-523 [PMID: 22586653 DOI: 10.1158/2159-8290.CD-11-0109]</w:t>
      </w:r>
    </w:p>
    <w:p w14:paraId="05D06F0A"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 xml:space="preserve">20 </w:t>
      </w:r>
      <w:r w:rsidRPr="0047156E">
        <w:rPr>
          <w:rFonts w:ascii="Book Antiqua" w:eastAsia="SimSun" w:hAnsi="Book Antiqua" w:cs="SimSun"/>
          <w:b/>
          <w:bCs/>
          <w:sz w:val="24"/>
          <w:szCs w:val="24"/>
          <w:lang w:val="en-US" w:eastAsia="zh-CN"/>
        </w:rPr>
        <w:t>Montagut C</w:t>
      </w:r>
      <w:r w:rsidRPr="0047156E">
        <w:rPr>
          <w:rFonts w:ascii="Book Antiqua" w:eastAsia="SimSun" w:hAnsi="Book Antiqua" w:cs="SimSun"/>
          <w:sz w:val="24"/>
          <w:szCs w:val="24"/>
          <w:lang w:val="en-US" w:eastAsia="zh-CN"/>
        </w:rPr>
        <w:t xml:space="preserve">, Dalmases A, Bellosillo B, Crespo M, Pairet S, Iglesias M, Salido M, Gallen M, Marsters S, Tsai SP, Minoche A, Seshagiri S, Serrano S, Himmelbauer H, Bellmunt J, Rovira A, Settleman J, Bosch F, Albanell J. Identification of a mutation in the extracellular domain of the Epidermal Growth Factor Receptor conferring cetuximab resistance in colorectal cancer. </w:t>
      </w:r>
      <w:r w:rsidRPr="0047156E">
        <w:rPr>
          <w:rFonts w:ascii="Book Antiqua" w:eastAsia="SimSun" w:hAnsi="Book Antiqua" w:cs="SimSun"/>
          <w:i/>
          <w:iCs/>
          <w:sz w:val="24"/>
          <w:szCs w:val="24"/>
          <w:lang w:val="en-US" w:eastAsia="zh-CN"/>
        </w:rPr>
        <w:t>Nat Med</w:t>
      </w:r>
      <w:r w:rsidRPr="0047156E">
        <w:rPr>
          <w:rFonts w:ascii="Book Antiqua" w:eastAsia="SimSun" w:hAnsi="Book Antiqua" w:cs="SimSun"/>
          <w:sz w:val="24"/>
          <w:szCs w:val="24"/>
          <w:lang w:val="en-US" w:eastAsia="zh-CN"/>
        </w:rPr>
        <w:t xml:space="preserve"> 2012; </w:t>
      </w:r>
      <w:r w:rsidRPr="0047156E">
        <w:rPr>
          <w:rFonts w:ascii="Book Antiqua" w:eastAsia="SimSun" w:hAnsi="Book Antiqua" w:cs="SimSun"/>
          <w:b/>
          <w:bCs/>
          <w:sz w:val="24"/>
          <w:szCs w:val="24"/>
          <w:lang w:val="en-US" w:eastAsia="zh-CN"/>
        </w:rPr>
        <w:t>18</w:t>
      </w:r>
      <w:r w:rsidRPr="0047156E">
        <w:rPr>
          <w:rFonts w:ascii="Book Antiqua" w:eastAsia="SimSun" w:hAnsi="Book Antiqua" w:cs="SimSun"/>
          <w:sz w:val="24"/>
          <w:szCs w:val="24"/>
          <w:lang w:val="en-US" w:eastAsia="zh-CN"/>
        </w:rPr>
        <w:t>: 221-223 [PMID: 22270724 DOI: 10.1038/nm.2609]</w:t>
      </w:r>
    </w:p>
    <w:p w14:paraId="28408C41"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 xml:space="preserve">21 </w:t>
      </w:r>
      <w:r w:rsidRPr="0047156E">
        <w:rPr>
          <w:rFonts w:ascii="Book Antiqua" w:eastAsia="SimSun" w:hAnsi="Book Antiqua" w:cs="SimSun"/>
          <w:b/>
          <w:bCs/>
          <w:sz w:val="24"/>
          <w:szCs w:val="24"/>
          <w:lang w:val="en-US" w:eastAsia="zh-CN"/>
        </w:rPr>
        <w:t>Arena S</w:t>
      </w:r>
      <w:r w:rsidRPr="0047156E">
        <w:rPr>
          <w:rFonts w:ascii="Book Antiqua" w:eastAsia="SimSun" w:hAnsi="Book Antiqua" w:cs="SimSun"/>
          <w:sz w:val="24"/>
          <w:szCs w:val="24"/>
          <w:lang w:val="en-US" w:eastAsia="zh-CN"/>
        </w:rPr>
        <w:t xml:space="preserve">, Bellosillo B, Siravegna G, Martínez A, Cañadas I, Lazzari L, Ferruz N, Russo M, Misale S, González I, Iglesias M, Gavilan E, Corti G, Hobor S, Crisafulli G, Salido M, Sánchez J, Dalmases A, Bellmunt J, De Fabritiis G, Rovira A, Di Nicolantonio F, Albanell J, Bardelli A, Montagut C. Emergence of Multiple EGFR Extracellular Mutations during Cetuximab Treatment in Colorectal Cancer. </w:t>
      </w:r>
      <w:r w:rsidRPr="0047156E">
        <w:rPr>
          <w:rFonts w:ascii="Book Antiqua" w:eastAsia="SimSun" w:hAnsi="Book Antiqua" w:cs="SimSun"/>
          <w:i/>
          <w:iCs/>
          <w:sz w:val="24"/>
          <w:szCs w:val="24"/>
          <w:lang w:val="en-US" w:eastAsia="zh-CN"/>
        </w:rPr>
        <w:t>Clin Cancer Res</w:t>
      </w:r>
      <w:r w:rsidRPr="0047156E">
        <w:rPr>
          <w:rFonts w:ascii="Book Antiqua" w:eastAsia="SimSun" w:hAnsi="Book Antiqua" w:cs="SimSun"/>
          <w:sz w:val="24"/>
          <w:szCs w:val="24"/>
          <w:lang w:val="en-US" w:eastAsia="zh-CN"/>
        </w:rPr>
        <w:t xml:space="preserve"> 2015; </w:t>
      </w:r>
      <w:r w:rsidRPr="0047156E">
        <w:rPr>
          <w:rFonts w:ascii="Book Antiqua" w:eastAsia="SimSun" w:hAnsi="Book Antiqua" w:cs="SimSun"/>
          <w:b/>
          <w:bCs/>
          <w:sz w:val="24"/>
          <w:szCs w:val="24"/>
          <w:lang w:val="en-US" w:eastAsia="zh-CN"/>
        </w:rPr>
        <w:t>21</w:t>
      </w:r>
      <w:r w:rsidRPr="0047156E">
        <w:rPr>
          <w:rFonts w:ascii="Book Antiqua" w:eastAsia="SimSun" w:hAnsi="Book Antiqua" w:cs="SimSun"/>
          <w:sz w:val="24"/>
          <w:szCs w:val="24"/>
          <w:lang w:val="en-US" w:eastAsia="zh-CN"/>
        </w:rPr>
        <w:t>: 2157-2166 [PMID: 25623215]</w:t>
      </w:r>
    </w:p>
    <w:p w14:paraId="4F51673D"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 xml:space="preserve">22 </w:t>
      </w:r>
      <w:r w:rsidRPr="0047156E">
        <w:rPr>
          <w:rFonts w:ascii="Book Antiqua" w:eastAsia="SimSun" w:hAnsi="Book Antiqua" w:cs="SimSun"/>
          <w:b/>
          <w:bCs/>
          <w:sz w:val="24"/>
          <w:szCs w:val="24"/>
          <w:lang w:val="en-US" w:eastAsia="zh-CN"/>
        </w:rPr>
        <w:t>Bettegowda C</w:t>
      </w:r>
      <w:r w:rsidRPr="0047156E">
        <w:rPr>
          <w:rFonts w:ascii="Book Antiqua" w:eastAsia="SimSun" w:hAnsi="Book Antiqua" w:cs="SimSun"/>
          <w:sz w:val="24"/>
          <w:szCs w:val="24"/>
          <w:lang w:val="en-US" w:eastAsia="zh-CN"/>
        </w:rPr>
        <w:t xml:space="preserve">, Sausen M, Leary RJ, Kinde I, Wang Y, Agrawal N, Bartlett BR, Wang H, Luber B, Alani RM, Antonarakis ES, Azad NS, Bardelli A, Brem H, Cameron JL, Lee CC, </w:t>
      </w:r>
      <w:r w:rsidRPr="0047156E">
        <w:rPr>
          <w:rFonts w:ascii="Book Antiqua" w:eastAsia="SimSun" w:hAnsi="Book Antiqua" w:cs="SimSun"/>
          <w:sz w:val="24"/>
          <w:szCs w:val="24"/>
          <w:lang w:val="en-US" w:eastAsia="zh-CN"/>
        </w:rPr>
        <w:lastRenderedPageBreak/>
        <w:t xml:space="preserve">Fecher LA, Gallia GL, Gibbs P, Le D, Giuntoli RL, Goggins M, Hogarty MD, Holdhoff M, Hong SM, Jiao Y, Juhl HH, Kim JJ, Siravegna G, Laheru DA, Lauricella C, Lim M, Lipson EJ, Marie SK, Netto GJ, Oliner KS, Olivi A, Olsson L, Riggins GJ, Sartore-Bianchi A, Schmidt K, Shih lM, Oba-Shinjo SM, Siena S, Theodorescu D, Tie J, Harkins TT, Veronese S, Wang TL, Weingart JD, Wolfgang CL, Wood LD, Xing D, Hruban RH, Wu J, Allen PJ, Schmidt CM, Choti MA, Velculescu VE, Kinzler KW, Vogelstein B, Papadopoulos N, Diaz LA. Detection of circulating tumor DNA in early- and late-stage human malignancies. </w:t>
      </w:r>
      <w:r w:rsidRPr="0047156E">
        <w:rPr>
          <w:rFonts w:ascii="Book Antiqua" w:eastAsia="SimSun" w:hAnsi="Book Antiqua" w:cs="SimSun"/>
          <w:i/>
          <w:iCs/>
          <w:sz w:val="24"/>
          <w:szCs w:val="24"/>
          <w:lang w:val="en-US" w:eastAsia="zh-CN"/>
        </w:rPr>
        <w:t>Sci Transl Med</w:t>
      </w:r>
      <w:r w:rsidRPr="0047156E">
        <w:rPr>
          <w:rFonts w:ascii="Book Antiqua" w:eastAsia="SimSun" w:hAnsi="Book Antiqua" w:cs="SimSun"/>
          <w:sz w:val="24"/>
          <w:szCs w:val="24"/>
          <w:lang w:val="en-US" w:eastAsia="zh-CN"/>
        </w:rPr>
        <w:t xml:space="preserve"> 2014; </w:t>
      </w:r>
      <w:r w:rsidRPr="0047156E">
        <w:rPr>
          <w:rFonts w:ascii="Book Antiqua" w:eastAsia="SimSun" w:hAnsi="Book Antiqua" w:cs="SimSun"/>
          <w:b/>
          <w:bCs/>
          <w:sz w:val="24"/>
          <w:szCs w:val="24"/>
          <w:lang w:val="en-US" w:eastAsia="zh-CN"/>
        </w:rPr>
        <w:t>6</w:t>
      </w:r>
      <w:r w:rsidRPr="0047156E">
        <w:rPr>
          <w:rFonts w:ascii="Book Antiqua" w:eastAsia="SimSun" w:hAnsi="Book Antiqua" w:cs="SimSun"/>
          <w:sz w:val="24"/>
          <w:szCs w:val="24"/>
          <w:lang w:val="en-US" w:eastAsia="zh-CN"/>
        </w:rPr>
        <w:t>: 224ra24 [PMID: 24553385 DOI: 10.1126/scitranslmed.3007094]</w:t>
      </w:r>
    </w:p>
    <w:p w14:paraId="00F26FE6"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 xml:space="preserve">23 </w:t>
      </w:r>
      <w:r w:rsidRPr="0047156E">
        <w:rPr>
          <w:rFonts w:ascii="Book Antiqua" w:eastAsia="SimSun" w:hAnsi="Book Antiqua" w:cs="SimSun"/>
          <w:b/>
          <w:bCs/>
          <w:sz w:val="24"/>
          <w:szCs w:val="24"/>
          <w:lang w:val="en-US" w:eastAsia="zh-CN"/>
        </w:rPr>
        <w:t>Bos JL</w:t>
      </w:r>
      <w:r w:rsidRPr="0047156E">
        <w:rPr>
          <w:rFonts w:ascii="Book Antiqua" w:eastAsia="SimSun" w:hAnsi="Book Antiqua" w:cs="SimSun"/>
          <w:sz w:val="24"/>
          <w:szCs w:val="24"/>
          <w:lang w:val="en-US" w:eastAsia="zh-CN"/>
        </w:rPr>
        <w:t xml:space="preserve">. ras oncogenes in human cancer: a review. </w:t>
      </w:r>
      <w:r w:rsidRPr="0047156E">
        <w:rPr>
          <w:rFonts w:ascii="Book Antiqua" w:eastAsia="SimSun" w:hAnsi="Book Antiqua" w:cs="SimSun"/>
          <w:i/>
          <w:iCs/>
          <w:sz w:val="24"/>
          <w:szCs w:val="24"/>
          <w:lang w:val="en-US" w:eastAsia="zh-CN"/>
        </w:rPr>
        <w:t>Cancer Res</w:t>
      </w:r>
      <w:r w:rsidRPr="0047156E">
        <w:rPr>
          <w:rFonts w:ascii="Book Antiqua" w:eastAsia="SimSun" w:hAnsi="Book Antiqua" w:cs="SimSun"/>
          <w:sz w:val="24"/>
          <w:szCs w:val="24"/>
          <w:lang w:val="en-US" w:eastAsia="zh-CN"/>
        </w:rPr>
        <w:t xml:space="preserve"> 1989; </w:t>
      </w:r>
      <w:r w:rsidRPr="0047156E">
        <w:rPr>
          <w:rFonts w:ascii="Book Antiqua" w:eastAsia="SimSun" w:hAnsi="Book Antiqua" w:cs="SimSun"/>
          <w:b/>
          <w:bCs/>
          <w:sz w:val="24"/>
          <w:szCs w:val="24"/>
          <w:lang w:val="en-US" w:eastAsia="zh-CN"/>
        </w:rPr>
        <w:t>49</w:t>
      </w:r>
      <w:r w:rsidRPr="0047156E">
        <w:rPr>
          <w:rFonts w:ascii="Book Antiqua" w:eastAsia="SimSun" w:hAnsi="Book Antiqua" w:cs="SimSun"/>
          <w:sz w:val="24"/>
          <w:szCs w:val="24"/>
          <w:lang w:val="en-US" w:eastAsia="zh-CN"/>
        </w:rPr>
        <w:t>: 4682-4689 [PMID: 2547513]</w:t>
      </w:r>
    </w:p>
    <w:p w14:paraId="6FBB6AC5"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 xml:space="preserve">24 </w:t>
      </w:r>
      <w:r w:rsidRPr="0047156E">
        <w:rPr>
          <w:rFonts w:ascii="Book Antiqua" w:eastAsia="SimSun" w:hAnsi="Book Antiqua" w:cs="SimSun"/>
          <w:b/>
          <w:bCs/>
          <w:sz w:val="24"/>
          <w:szCs w:val="24"/>
          <w:lang w:val="en-US" w:eastAsia="zh-CN"/>
        </w:rPr>
        <w:t>Santini D</w:t>
      </w:r>
      <w:r w:rsidRPr="0047156E">
        <w:rPr>
          <w:rFonts w:ascii="Book Antiqua" w:eastAsia="SimSun" w:hAnsi="Book Antiqua" w:cs="SimSun"/>
          <w:sz w:val="24"/>
          <w:szCs w:val="24"/>
          <w:lang w:val="en-US" w:eastAsia="zh-CN"/>
        </w:rPr>
        <w:t xml:space="preserve">, Loupakis F, Vincenzi B, Floriani I, Stasi I, Canestrari E, Rulli E, Maltese PE, Andreoni F, Masi G, Graziano F, Baldi GG, Salvatore L, Russo A, Perrone G, Tommasino MR, Magnani M, Falcone A, Tonini G, Ruzzo A. High concordance of KRAS status between primary colorectal tumors and related metastatic sites: implications for clinical practice. </w:t>
      </w:r>
      <w:r w:rsidRPr="0047156E">
        <w:rPr>
          <w:rFonts w:ascii="Book Antiqua" w:eastAsia="SimSun" w:hAnsi="Book Antiqua" w:cs="SimSun"/>
          <w:i/>
          <w:iCs/>
          <w:sz w:val="24"/>
          <w:szCs w:val="24"/>
          <w:lang w:val="en-US" w:eastAsia="zh-CN"/>
        </w:rPr>
        <w:t>Oncologist</w:t>
      </w:r>
      <w:r w:rsidRPr="0047156E">
        <w:rPr>
          <w:rFonts w:ascii="Book Antiqua" w:eastAsia="SimSun" w:hAnsi="Book Antiqua" w:cs="SimSun"/>
          <w:sz w:val="24"/>
          <w:szCs w:val="24"/>
          <w:lang w:val="en-US" w:eastAsia="zh-CN"/>
        </w:rPr>
        <w:t xml:space="preserve"> 2008; </w:t>
      </w:r>
      <w:r w:rsidRPr="0047156E">
        <w:rPr>
          <w:rFonts w:ascii="Book Antiqua" w:eastAsia="SimSun" w:hAnsi="Book Antiqua" w:cs="SimSun"/>
          <w:b/>
          <w:bCs/>
          <w:sz w:val="24"/>
          <w:szCs w:val="24"/>
          <w:lang w:val="en-US" w:eastAsia="zh-CN"/>
        </w:rPr>
        <w:t>13</w:t>
      </w:r>
      <w:r w:rsidRPr="0047156E">
        <w:rPr>
          <w:rFonts w:ascii="Book Antiqua" w:eastAsia="SimSun" w:hAnsi="Book Antiqua" w:cs="SimSun"/>
          <w:sz w:val="24"/>
          <w:szCs w:val="24"/>
          <w:lang w:val="en-US" w:eastAsia="zh-CN"/>
        </w:rPr>
        <w:t>: 1270-1275 [PMID: 19056857 DOI: 10.1634/theoncologist.2008-0181]</w:t>
      </w:r>
    </w:p>
    <w:p w14:paraId="03FC0BD2"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 xml:space="preserve">25 </w:t>
      </w:r>
      <w:r w:rsidRPr="0047156E">
        <w:rPr>
          <w:rFonts w:ascii="Book Antiqua" w:eastAsia="SimSun" w:hAnsi="Book Antiqua" w:cs="SimSun"/>
          <w:b/>
          <w:bCs/>
          <w:sz w:val="24"/>
          <w:szCs w:val="24"/>
          <w:lang w:val="en-US" w:eastAsia="zh-CN"/>
        </w:rPr>
        <w:t>Lièvre A</w:t>
      </w:r>
      <w:r w:rsidRPr="0047156E">
        <w:rPr>
          <w:rFonts w:ascii="Book Antiqua" w:eastAsia="SimSun" w:hAnsi="Book Antiqua" w:cs="SimSun"/>
          <w:sz w:val="24"/>
          <w:szCs w:val="24"/>
          <w:lang w:val="en-US" w:eastAsia="zh-CN"/>
        </w:rPr>
        <w:t xml:space="preserve">, Bachet JB, Le Corre D, Boige V, Landi B, Emile JF, Côté JF, Tomasic G, Penna C, Ducreux M, Rougier P, Penault-Llorca F, Laurent-Puig P. KRAS mutation status is predictive of response to cetuximab therapy in colorectal cancer. </w:t>
      </w:r>
      <w:r w:rsidRPr="0047156E">
        <w:rPr>
          <w:rFonts w:ascii="Book Antiqua" w:eastAsia="SimSun" w:hAnsi="Book Antiqua" w:cs="SimSun"/>
          <w:i/>
          <w:iCs/>
          <w:sz w:val="24"/>
          <w:szCs w:val="24"/>
          <w:lang w:val="en-US" w:eastAsia="zh-CN"/>
        </w:rPr>
        <w:t>Cancer Res</w:t>
      </w:r>
      <w:r w:rsidRPr="0047156E">
        <w:rPr>
          <w:rFonts w:ascii="Book Antiqua" w:eastAsia="SimSun" w:hAnsi="Book Antiqua" w:cs="SimSun"/>
          <w:sz w:val="24"/>
          <w:szCs w:val="24"/>
          <w:lang w:val="en-US" w:eastAsia="zh-CN"/>
        </w:rPr>
        <w:t xml:space="preserve"> 2006; </w:t>
      </w:r>
      <w:r w:rsidRPr="0047156E">
        <w:rPr>
          <w:rFonts w:ascii="Book Antiqua" w:eastAsia="SimSun" w:hAnsi="Book Antiqua" w:cs="SimSun"/>
          <w:b/>
          <w:bCs/>
          <w:sz w:val="24"/>
          <w:szCs w:val="24"/>
          <w:lang w:val="en-US" w:eastAsia="zh-CN"/>
        </w:rPr>
        <w:t>66</w:t>
      </w:r>
      <w:r w:rsidRPr="0047156E">
        <w:rPr>
          <w:rFonts w:ascii="Book Antiqua" w:eastAsia="SimSun" w:hAnsi="Book Antiqua" w:cs="SimSun"/>
          <w:sz w:val="24"/>
          <w:szCs w:val="24"/>
          <w:lang w:val="en-US" w:eastAsia="zh-CN"/>
        </w:rPr>
        <w:t>: 3992-3995 [PMID: 16618717 DOI: 10.1158/0008-5472.CAN-06-0191]</w:t>
      </w:r>
    </w:p>
    <w:p w14:paraId="775E26B7"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 xml:space="preserve">26 </w:t>
      </w:r>
      <w:r w:rsidRPr="0047156E">
        <w:rPr>
          <w:rFonts w:ascii="Book Antiqua" w:eastAsia="SimSun" w:hAnsi="Book Antiqua" w:cs="SimSun"/>
          <w:b/>
          <w:bCs/>
          <w:sz w:val="24"/>
          <w:szCs w:val="24"/>
          <w:lang w:val="en-US" w:eastAsia="zh-CN"/>
        </w:rPr>
        <w:t>Karapetis CS</w:t>
      </w:r>
      <w:r w:rsidRPr="0047156E">
        <w:rPr>
          <w:rFonts w:ascii="Book Antiqua" w:eastAsia="SimSun" w:hAnsi="Book Antiqua" w:cs="SimSun"/>
          <w:sz w:val="24"/>
          <w:szCs w:val="24"/>
          <w:lang w:val="en-US" w:eastAsia="zh-CN"/>
        </w:rPr>
        <w:t xml:space="preserve">, Khambata-Ford S, Jonker DJ, O'Callaghan CJ, Tu D, Tebbutt NC, Simes RJ, Chalchal H, Shapiro JD, Robitaille S, Price TJ, Shepherd L, Au HJ, Langer C, Moore MJ, Zalcberg JR. K-ras mutations and benefit from cetuximab in advanced colorectal cancer. </w:t>
      </w:r>
      <w:r w:rsidRPr="0047156E">
        <w:rPr>
          <w:rFonts w:ascii="Book Antiqua" w:eastAsia="SimSun" w:hAnsi="Book Antiqua" w:cs="SimSun"/>
          <w:i/>
          <w:iCs/>
          <w:sz w:val="24"/>
          <w:szCs w:val="24"/>
          <w:lang w:val="en-US" w:eastAsia="zh-CN"/>
        </w:rPr>
        <w:t>N Engl J Med</w:t>
      </w:r>
      <w:r w:rsidRPr="0047156E">
        <w:rPr>
          <w:rFonts w:ascii="Book Antiqua" w:eastAsia="SimSun" w:hAnsi="Book Antiqua" w:cs="SimSun"/>
          <w:sz w:val="24"/>
          <w:szCs w:val="24"/>
          <w:lang w:val="en-US" w:eastAsia="zh-CN"/>
        </w:rPr>
        <w:t xml:space="preserve"> 2008; </w:t>
      </w:r>
      <w:r w:rsidRPr="0047156E">
        <w:rPr>
          <w:rFonts w:ascii="Book Antiqua" w:eastAsia="SimSun" w:hAnsi="Book Antiqua" w:cs="SimSun"/>
          <w:b/>
          <w:bCs/>
          <w:sz w:val="24"/>
          <w:szCs w:val="24"/>
          <w:lang w:val="en-US" w:eastAsia="zh-CN"/>
        </w:rPr>
        <w:t>359</w:t>
      </w:r>
      <w:r w:rsidRPr="0047156E">
        <w:rPr>
          <w:rFonts w:ascii="Book Antiqua" w:eastAsia="SimSun" w:hAnsi="Book Antiqua" w:cs="SimSun"/>
          <w:sz w:val="24"/>
          <w:szCs w:val="24"/>
          <w:lang w:val="en-US" w:eastAsia="zh-CN"/>
        </w:rPr>
        <w:t>: 1757-1765 [PMID: 18946061 DOI: 10.1056/NEJMoa0804385]</w:t>
      </w:r>
    </w:p>
    <w:p w14:paraId="720039DB"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 xml:space="preserve">27 </w:t>
      </w:r>
      <w:r w:rsidRPr="0047156E">
        <w:rPr>
          <w:rFonts w:ascii="Book Antiqua" w:eastAsia="SimSun" w:hAnsi="Book Antiqua" w:cs="SimSun"/>
          <w:b/>
          <w:bCs/>
          <w:sz w:val="24"/>
          <w:szCs w:val="24"/>
          <w:lang w:val="en-US" w:eastAsia="zh-CN"/>
        </w:rPr>
        <w:t>Amado RG</w:t>
      </w:r>
      <w:r w:rsidRPr="0047156E">
        <w:rPr>
          <w:rFonts w:ascii="Book Antiqua" w:eastAsia="SimSun" w:hAnsi="Book Antiqua" w:cs="SimSun"/>
          <w:sz w:val="24"/>
          <w:szCs w:val="24"/>
          <w:lang w:val="en-US" w:eastAsia="zh-CN"/>
        </w:rPr>
        <w:t xml:space="preserve">, Wolf M, Peeters M, Van Cutsem E, Siena S, Freeman DJ, Juan T, Sikorski R, Suggs S, Radinsky R, Patterson SD, Chang DD. Wild-type KRAS is required for panitumumab efficacy in patients with metastatic colorectal cancer. </w:t>
      </w:r>
      <w:r w:rsidRPr="0047156E">
        <w:rPr>
          <w:rFonts w:ascii="Book Antiqua" w:eastAsia="SimSun" w:hAnsi="Book Antiqua" w:cs="SimSun"/>
          <w:i/>
          <w:iCs/>
          <w:sz w:val="24"/>
          <w:szCs w:val="24"/>
          <w:lang w:val="en-US" w:eastAsia="zh-CN"/>
        </w:rPr>
        <w:t>J Clin Oncol</w:t>
      </w:r>
      <w:r w:rsidRPr="0047156E">
        <w:rPr>
          <w:rFonts w:ascii="Book Antiqua" w:eastAsia="SimSun" w:hAnsi="Book Antiqua" w:cs="SimSun"/>
          <w:sz w:val="24"/>
          <w:szCs w:val="24"/>
          <w:lang w:val="en-US" w:eastAsia="zh-CN"/>
        </w:rPr>
        <w:t xml:space="preserve"> 2008; </w:t>
      </w:r>
      <w:r w:rsidRPr="0047156E">
        <w:rPr>
          <w:rFonts w:ascii="Book Antiqua" w:eastAsia="SimSun" w:hAnsi="Book Antiqua" w:cs="SimSun"/>
          <w:b/>
          <w:bCs/>
          <w:sz w:val="24"/>
          <w:szCs w:val="24"/>
          <w:lang w:val="en-US" w:eastAsia="zh-CN"/>
        </w:rPr>
        <w:t>26</w:t>
      </w:r>
      <w:r w:rsidRPr="0047156E">
        <w:rPr>
          <w:rFonts w:ascii="Book Antiqua" w:eastAsia="SimSun" w:hAnsi="Book Antiqua" w:cs="SimSun"/>
          <w:sz w:val="24"/>
          <w:szCs w:val="24"/>
          <w:lang w:val="en-US" w:eastAsia="zh-CN"/>
        </w:rPr>
        <w:t>: 1626-1634 [PMID: 18316791 DOI: 10.1200/JCO.2007.14.7116]</w:t>
      </w:r>
    </w:p>
    <w:p w14:paraId="0DB87EAC"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 xml:space="preserve">28 </w:t>
      </w:r>
      <w:r w:rsidRPr="0047156E">
        <w:rPr>
          <w:rFonts w:ascii="Book Antiqua" w:eastAsia="SimSun" w:hAnsi="Book Antiqua" w:cs="SimSun"/>
          <w:b/>
          <w:sz w:val="24"/>
          <w:szCs w:val="24"/>
          <w:lang w:val="en-US" w:eastAsia="zh-CN"/>
        </w:rPr>
        <w:t>European Medicines Agency</w:t>
      </w:r>
      <w:r w:rsidRPr="0047156E">
        <w:rPr>
          <w:rFonts w:ascii="Book Antiqua" w:eastAsia="SimSun" w:hAnsi="Book Antiqua" w:cs="SimSun" w:hint="eastAsia"/>
          <w:sz w:val="24"/>
          <w:szCs w:val="24"/>
          <w:lang w:val="en-US" w:eastAsia="zh-CN"/>
        </w:rPr>
        <w:t>.</w:t>
      </w:r>
      <w:r w:rsidRPr="0047156E">
        <w:rPr>
          <w:rFonts w:ascii="Book Antiqua" w:eastAsia="SimSun" w:hAnsi="Book Antiqua" w:cs="SimSun"/>
          <w:sz w:val="24"/>
          <w:szCs w:val="24"/>
          <w:lang w:val="en-US" w:eastAsia="zh-CN"/>
        </w:rPr>
        <w:t xml:space="preserve"> Committee for Medicinal Products for Human Use. May 2008 Plenary Meeting Monthly Report. Available from</w:t>
      </w:r>
      <w:r w:rsidRPr="0047156E">
        <w:rPr>
          <w:rFonts w:ascii="Book Antiqua" w:eastAsia="SimSun" w:hAnsi="Book Antiqua" w:cs="SimSun" w:hint="eastAsia"/>
          <w:sz w:val="24"/>
          <w:szCs w:val="24"/>
          <w:lang w:val="en-US" w:eastAsia="zh-CN"/>
        </w:rPr>
        <w:t>:</w:t>
      </w:r>
      <w:r w:rsidRPr="0047156E">
        <w:rPr>
          <w:rFonts w:ascii="Book Antiqua" w:eastAsia="SimSun" w:hAnsi="Book Antiqua" w:cs="SimSun"/>
          <w:sz w:val="24"/>
          <w:szCs w:val="24"/>
          <w:lang w:val="en-US" w:eastAsia="zh-CN"/>
        </w:rPr>
        <w:t xml:space="preserve"> URL: http: //www.emea.europa.eu/pdfs/human/press/pr/27923508en.pd</w:t>
      </w:r>
    </w:p>
    <w:p w14:paraId="79E0468D" w14:textId="77777777" w:rsidR="0047156E" w:rsidRPr="0047156E" w:rsidRDefault="0047156E" w:rsidP="0047156E">
      <w:pPr>
        <w:widowControl w:val="0"/>
        <w:shd w:val="clear" w:color="auto" w:fill="FFFFFF"/>
        <w:adjustRightInd w:val="0"/>
        <w:snapToGrid w:val="0"/>
        <w:spacing w:after="0" w:line="360" w:lineRule="auto"/>
        <w:jc w:val="both"/>
        <w:rPr>
          <w:rFonts w:ascii="Book Antiqua" w:eastAsia="SimSun" w:hAnsi="Book Antiqua" w:cs="Times New Roman"/>
          <w:kern w:val="2"/>
          <w:sz w:val="24"/>
          <w:szCs w:val="24"/>
          <w:lang w:val="en-US" w:eastAsia="zh-CN"/>
        </w:rPr>
      </w:pPr>
      <w:r w:rsidRPr="0047156E">
        <w:rPr>
          <w:rFonts w:ascii="Book Antiqua" w:eastAsia="SimSun" w:hAnsi="Book Antiqua" w:cs="SimSun" w:hint="eastAsia"/>
          <w:sz w:val="24"/>
          <w:szCs w:val="24"/>
          <w:lang w:val="en-US" w:eastAsia="zh-CN"/>
        </w:rPr>
        <w:t xml:space="preserve">29 </w:t>
      </w:r>
      <w:r w:rsidRPr="0047156E">
        <w:rPr>
          <w:rFonts w:ascii="Book Antiqua" w:eastAsia="SimSun" w:hAnsi="Book Antiqua" w:cs="Times New Roman"/>
          <w:b/>
          <w:kern w:val="2"/>
          <w:sz w:val="24"/>
          <w:szCs w:val="24"/>
          <w:lang w:val="en-US" w:eastAsia="zh-CN"/>
        </w:rPr>
        <w:t> Douillard JY</w:t>
      </w:r>
      <w:r w:rsidRPr="0047156E">
        <w:rPr>
          <w:rFonts w:ascii="Book Antiqua" w:eastAsia="SimSun" w:hAnsi="Book Antiqua" w:cs="Times New Roman"/>
          <w:kern w:val="2"/>
          <w:sz w:val="24"/>
          <w:szCs w:val="24"/>
          <w:lang w:val="en-US" w:eastAsia="zh-CN"/>
        </w:rPr>
        <w:t xml:space="preserve">, Siena S, Cassidy J, Tabernero J, Burkes R, Barugel M, Humblet Y, Bodoky </w:t>
      </w:r>
      <w:r w:rsidRPr="0047156E">
        <w:rPr>
          <w:rFonts w:ascii="Book Antiqua" w:eastAsia="SimSun" w:hAnsi="Book Antiqua" w:cs="Times New Roman"/>
          <w:kern w:val="2"/>
          <w:sz w:val="24"/>
          <w:szCs w:val="24"/>
          <w:lang w:val="en-US" w:eastAsia="zh-CN"/>
        </w:rPr>
        <w:lastRenderedPageBreak/>
        <w:t xml:space="preserve">G, Cunningham D, Jassem J, Rivera F, Kocákova I, Ruff P,Błasińska-Morawiec M, Šmakal M, Canon JL, Rother M, Oliner KS, Wolf M, Gansert J. Randomized, phase III trial of panitumumab with infusional fluorouracil, leucovorin, and oxaliplatin (FOLFOX4) </w:t>
      </w:r>
      <w:r w:rsidRPr="0047156E">
        <w:rPr>
          <w:rFonts w:ascii="Book Antiqua" w:eastAsia="SimSun" w:hAnsi="Book Antiqua" w:cs="Times New Roman"/>
          <w:i/>
          <w:kern w:val="2"/>
          <w:sz w:val="24"/>
          <w:szCs w:val="24"/>
          <w:lang w:val="en-US" w:eastAsia="zh-CN"/>
        </w:rPr>
        <w:t>vs</w:t>
      </w:r>
      <w:r w:rsidRPr="0047156E">
        <w:rPr>
          <w:rFonts w:ascii="Book Antiqua" w:eastAsia="SimSun" w:hAnsi="Book Antiqua" w:cs="Times New Roman"/>
          <w:kern w:val="2"/>
          <w:sz w:val="24"/>
          <w:szCs w:val="24"/>
          <w:lang w:val="en-US" w:eastAsia="zh-CN"/>
        </w:rPr>
        <w:t xml:space="preserve"> FOLFOX4 alone as first-line treatment in patients with previously untreated metastatic colorectal cancer: the PRIME study. </w:t>
      </w:r>
      <w:r w:rsidRPr="0047156E">
        <w:rPr>
          <w:rFonts w:ascii="Book Antiqua" w:eastAsia="SimSun" w:hAnsi="Book Antiqua" w:cs="Times New Roman"/>
          <w:i/>
          <w:kern w:val="2"/>
          <w:sz w:val="24"/>
          <w:szCs w:val="24"/>
          <w:lang w:val="en-US" w:eastAsia="zh-CN"/>
        </w:rPr>
        <w:t>J Clin Oncol</w:t>
      </w:r>
      <w:r w:rsidRPr="0047156E">
        <w:rPr>
          <w:rFonts w:ascii="Book Antiqua" w:eastAsia="SimSun" w:hAnsi="Book Antiqua" w:cs="Times New Roman"/>
          <w:kern w:val="2"/>
          <w:sz w:val="24"/>
          <w:szCs w:val="24"/>
          <w:lang w:val="en-US" w:eastAsia="zh-CN"/>
        </w:rPr>
        <w:t xml:space="preserve"> 2010; </w:t>
      </w:r>
      <w:r w:rsidRPr="0047156E">
        <w:rPr>
          <w:rFonts w:ascii="Book Antiqua" w:eastAsia="SimSun" w:hAnsi="Book Antiqua" w:cs="Times New Roman"/>
          <w:b/>
          <w:kern w:val="2"/>
          <w:sz w:val="24"/>
          <w:szCs w:val="24"/>
          <w:lang w:val="en-US" w:eastAsia="zh-CN"/>
        </w:rPr>
        <w:t>28</w:t>
      </w:r>
      <w:r w:rsidRPr="0047156E">
        <w:rPr>
          <w:rFonts w:ascii="Book Antiqua" w:eastAsia="SimSun" w:hAnsi="Book Antiqua" w:cs="Times New Roman"/>
          <w:kern w:val="2"/>
          <w:sz w:val="24"/>
          <w:szCs w:val="24"/>
          <w:lang w:val="en-US" w:eastAsia="zh-CN"/>
        </w:rPr>
        <w:t>: 4697–</w:t>
      </w:r>
      <w:r w:rsidRPr="0047156E">
        <w:rPr>
          <w:rFonts w:ascii="Book Antiqua" w:eastAsia="SimSun" w:hAnsi="Book Antiqua" w:cs="Times New Roman" w:hint="eastAsia"/>
          <w:kern w:val="2"/>
          <w:sz w:val="24"/>
          <w:szCs w:val="24"/>
          <w:lang w:val="en-US" w:eastAsia="zh-CN"/>
        </w:rPr>
        <w:t>4</w:t>
      </w:r>
      <w:r w:rsidRPr="0047156E">
        <w:rPr>
          <w:rFonts w:ascii="Book Antiqua" w:eastAsia="SimSun" w:hAnsi="Book Antiqua" w:cs="Times New Roman"/>
          <w:kern w:val="2"/>
          <w:sz w:val="24"/>
          <w:szCs w:val="24"/>
          <w:lang w:val="en-US" w:eastAsia="zh-CN"/>
        </w:rPr>
        <w:t>705 [PMID: 20921465 DOI: 10.1200/JCO.2009.27.4860]</w:t>
      </w:r>
    </w:p>
    <w:p w14:paraId="2BFF86A9"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 xml:space="preserve">30 </w:t>
      </w:r>
      <w:r w:rsidRPr="0047156E">
        <w:rPr>
          <w:rFonts w:ascii="Book Antiqua" w:eastAsia="SimSun" w:hAnsi="Book Antiqua" w:cs="SimSun"/>
          <w:b/>
          <w:bCs/>
          <w:sz w:val="24"/>
          <w:szCs w:val="24"/>
          <w:lang w:val="en-US" w:eastAsia="zh-CN"/>
        </w:rPr>
        <w:t>Peeters M</w:t>
      </w:r>
      <w:r w:rsidRPr="0047156E">
        <w:rPr>
          <w:rFonts w:ascii="Book Antiqua" w:eastAsia="SimSun" w:hAnsi="Book Antiqua" w:cs="SimSun"/>
          <w:sz w:val="24"/>
          <w:szCs w:val="24"/>
          <w:lang w:val="en-US" w:eastAsia="zh-CN"/>
        </w:rPr>
        <w:t xml:space="preserve">, Price TJ, Cervantes A, Sobrero AF, Ducreux M, Hotko Y, André T, Chan E, Lordick F, Punt CJ, Strickland AH, Wilson G, Ciuleanu TE, Roman L, Van Cutsem E, Tzekova V, Collins S, Oliner KS, Rong A, Gansert J. Randomized phase III study of panitumumab with fluorouracil, leucovorin, and irinotecan (FOLFIRI) compared with FOLFIRI alone as second-line treatment in patients with metastatic colorectal cancer. </w:t>
      </w:r>
      <w:r w:rsidRPr="0047156E">
        <w:rPr>
          <w:rFonts w:ascii="Book Antiqua" w:eastAsia="SimSun" w:hAnsi="Book Antiqua" w:cs="SimSun"/>
          <w:i/>
          <w:iCs/>
          <w:sz w:val="24"/>
          <w:szCs w:val="24"/>
          <w:lang w:val="en-US" w:eastAsia="zh-CN"/>
        </w:rPr>
        <w:t>J Clin Oncol</w:t>
      </w:r>
      <w:r w:rsidRPr="0047156E">
        <w:rPr>
          <w:rFonts w:ascii="Book Antiqua" w:eastAsia="SimSun" w:hAnsi="Book Antiqua" w:cs="SimSun"/>
          <w:sz w:val="24"/>
          <w:szCs w:val="24"/>
          <w:lang w:val="en-US" w:eastAsia="zh-CN"/>
        </w:rPr>
        <w:t xml:space="preserve"> 2010; </w:t>
      </w:r>
      <w:r w:rsidRPr="0047156E">
        <w:rPr>
          <w:rFonts w:ascii="Book Antiqua" w:eastAsia="SimSun" w:hAnsi="Book Antiqua" w:cs="SimSun"/>
          <w:b/>
          <w:bCs/>
          <w:sz w:val="24"/>
          <w:szCs w:val="24"/>
          <w:lang w:val="en-US" w:eastAsia="zh-CN"/>
        </w:rPr>
        <w:t>28</w:t>
      </w:r>
      <w:r w:rsidRPr="0047156E">
        <w:rPr>
          <w:rFonts w:ascii="Book Antiqua" w:eastAsia="SimSun" w:hAnsi="Book Antiqua" w:cs="SimSun"/>
          <w:sz w:val="24"/>
          <w:szCs w:val="24"/>
          <w:lang w:val="en-US" w:eastAsia="zh-CN"/>
        </w:rPr>
        <w:t>: 4706-4713 [PMID: 20921462 DOI: 10.1200/JCO.2009.27.6055]</w:t>
      </w:r>
    </w:p>
    <w:p w14:paraId="04DDC968"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3</w:t>
      </w:r>
      <w:r w:rsidRPr="0047156E">
        <w:rPr>
          <w:rFonts w:ascii="Book Antiqua" w:eastAsia="SimSun" w:hAnsi="Book Antiqua" w:cs="SimSun" w:hint="eastAsia"/>
          <w:sz w:val="24"/>
          <w:szCs w:val="24"/>
          <w:lang w:val="en-US" w:eastAsia="zh-CN"/>
        </w:rPr>
        <w:t>1</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Van Cutsem E</w:t>
      </w:r>
      <w:r w:rsidRPr="0047156E">
        <w:rPr>
          <w:rFonts w:ascii="Book Antiqua" w:eastAsia="SimSun" w:hAnsi="Book Antiqua" w:cs="SimSun"/>
          <w:sz w:val="24"/>
          <w:szCs w:val="24"/>
          <w:lang w:val="en-US" w:eastAsia="zh-CN"/>
        </w:rPr>
        <w:t xml:space="preserve">, Köhne CH, Láng I, Folprecht G, Nowacki MP, Cascinu S, Shchepotin I, Maurel J, Cunningham D, Tejpar S, Schlichting M, Zubel A, Celik I, Rougier P, Ciardiello F. Cetuximab plus irinotecan, fluorouracil, and leucovorin as first-line treatment for metastatic colorectal cancer: updated analysis of overall survival according to tumor KRAS and BRAF mutation status. </w:t>
      </w:r>
      <w:r w:rsidRPr="0047156E">
        <w:rPr>
          <w:rFonts w:ascii="Book Antiqua" w:eastAsia="SimSun" w:hAnsi="Book Antiqua" w:cs="SimSun"/>
          <w:i/>
          <w:iCs/>
          <w:sz w:val="24"/>
          <w:szCs w:val="24"/>
          <w:lang w:val="en-US" w:eastAsia="zh-CN"/>
        </w:rPr>
        <w:t>J Clin Oncol</w:t>
      </w:r>
      <w:r w:rsidRPr="0047156E">
        <w:rPr>
          <w:rFonts w:ascii="Book Antiqua" w:eastAsia="SimSun" w:hAnsi="Book Antiqua" w:cs="SimSun"/>
          <w:sz w:val="24"/>
          <w:szCs w:val="24"/>
          <w:lang w:val="en-US" w:eastAsia="zh-CN"/>
        </w:rPr>
        <w:t xml:space="preserve"> 2011; </w:t>
      </w:r>
      <w:r w:rsidRPr="0047156E">
        <w:rPr>
          <w:rFonts w:ascii="Book Antiqua" w:eastAsia="SimSun" w:hAnsi="Book Antiqua" w:cs="SimSun"/>
          <w:b/>
          <w:bCs/>
          <w:sz w:val="24"/>
          <w:szCs w:val="24"/>
          <w:lang w:val="en-US" w:eastAsia="zh-CN"/>
        </w:rPr>
        <w:t>29</w:t>
      </w:r>
      <w:r w:rsidRPr="0047156E">
        <w:rPr>
          <w:rFonts w:ascii="Book Antiqua" w:eastAsia="SimSun" w:hAnsi="Book Antiqua" w:cs="SimSun"/>
          <w:sz w:val="24"/>
          <w:szCs w:val="24"/>
          <w:lang w:val="en-US" w:eastAsia="zh-CN"/>
        </w:rPr>
        <w:t>: 2011-2019 [PMID: 21502544 DOI: 10.1200/JCO.2010.33.5091]</w:t>
      </w:r>
    </w:p>
    <w:p w14:paraId="4B843D3F"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3</w:t>
      </w:r>
      <w:r w:rsidRPr="0047156E">
        <w:rPr>
          <w:rFonts w:ascii="Book Antiqua" w:eastAsia="SimSun" w:hAnsi="Book Antiqua" w:cs="SimSun" w:hint="eastAsia"/>
          <w:sz w:val="24"/>
          <w:szCs w:val="24"/>
          <w:lang w:val="en-US" w:eastAsia="zh-CN"/>
        </w:rPr>
        <w:t>2</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Douillard JY</w:t>
      </w:r>
      <w:r w:rsidRPr="0047156E">
        <w:rPr>
          <w:rFonts w:ascii="Book Antiqua" w:eastAsia="SimSun" w:hAnsi="Book Antiqua" w:cs="SimSun"/>
          <w:sz w:val="24"/>
          <w:szCs w:val="24"/>
          <w:lang w:val="en-US" w:eastAsia="zh-CN"/>
        </w:rPr>
        <w:t>, Oliner KS, Siena S, Tabernero J, Burkes R, Barugel M, Humblet Y, Bodoky G, Cunningham D, Jassem J, Rivera F, Kocákova I, Ruff P, B</w:t>
      </w:r>
      <w:r w:rsidRPr="0047156E">
        <w:rPr>
          <w:rFonts w:ascii="Book Antiqua" w:eastAsia="MS Mincho" w:hAnsi="Book Antiqua" w:cs="MS Mincho"/>
          <w:sz w:val="24"/>
          <w:szCs w:val="24"/>
          <w:lang w:val="en-US" w:eastAsia="zh-CN"/>
        </w:rPr>
        <w:t>ł</w:t>
      </w:r>
      <w:r w:rsidRPr="0047156E">
        <w:rPr>
          <w:rFonts w:ascii="Book Antiqua" w:eastAsia="SimSun" w:hAnsi="Book Antiqua" w:cs="SimSun"/>
          <w:sz w:val="24"/>
          <w:szCs w:val="24"/>
          <w:lang w:val="en-US" w:eastAsia="zh-CN"/>
        </w:rPr>
        <w:t xml:space="preserve">asińska-Morawiec M, Šmakal M, Canon JL, Rother M, Williams R, Rong A, Wiezorek J, Sidhu R, Patterson SD. Panitumumab-FOLFOX4 treatment and RAS mutations in colorectal cancer. </w:t>
      </w:r>
      <w:r w:rsidRPr="0047156E">
        <w:rPr>
          <w:rFonts w:ascii="Book Antiqua" w:eastAsia="SimSun" w:hAnsi="Book Antiqua" w:cs="SimSun"/>
          <w:i/>
          <w:iCs/>
          <w:sz w:val="24"/>
          <w:szCs w:val="24"/>
          <w:lang w:val="en-US" w:eastAsia="zh-CN"/>
        </w:rPr>
        <w:t>N Engl J Med</w:t>
      </w:r>
      <w:r w:rsidRPr="0047156E">
        <w:rPr>
          <w:rFonts w:ascii="Book Antiqua" w:eastAsia="SimSun" w:hAnsi="Book Antiqua" w:cs="SimSun"/>
          <w:sz w:val="24"/>
          <w:szCs w:val="24"/>
          <w:lang w:val="en-US" w:eastAsia="zh-CN"/>
        </w:rPr>
        <w:t xml:space="preserve"> 2013; </w:t>
      </w:r>
      <w:r w:rsidRPr="0047156E">
        <w:rPr>
          <w:rFonts w:ascii="Book Antiqua" w:eastAsia="SimSun" w:hAnsi="Book Antiqua" w:cs="SimSun"/>
          <w:b/>
          <w:bCs/>
          <w:sz w:val="24"/>
          <w:szCs w:val="24"/>
          <w:lang w:val="en-US" w:eastAsia="zh-CN"/>
        </w:rPr>
        <w:t>369</w:t>
      </w:r>
      <w:r w:rsidRPr="0047156E">
        <w:rPr>
          <w:rFonts w:ascii="Book Antiqua" w:eastAsia="SimSun" w:hAnsi="Book Antiqua" w:cs="SimSun"/>
          <w:sz w:val="24"/>
          <w:szCs w:val="24"/>
          <w:lang w:val="en-US" w:eastAsia="zh-CN"/>
        </w:rPr>
        <w:t>: 1023-1034 [PMID: 24024839 DOI: 10.1056/NEJMoa1305275]</w:t>
      </w:r>
    </w:p>
    <w:p w14:paraId="2B2E8902"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3</w:t>
      </w:r>
      <w:r w:rsidRPr="0047156E">
        <w:rPr>
          <w:rFonts w:ascii="Book Antiqua" w:eastAsia="SimSun" w:hAnsi="Book Antiqua" w:cs="SimSun" w:hint="eastAsia"/>
          <w:sz w:val="24"/>
          <w:szCs w:val="24"/>
          <w:lang w:val="en-US" w:eastAsia="zh-CN"/>
        </w:rPr>
        <w:t>3</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Schwartzberg LS</w:t>
      </w:r>
      <w:r w:rsidRPr="0047156E">
        <w:rPr>
          <w:rFonts w:ascii="Book Antiqua" w:eastAsia="SimSun" w:hAnsi="Book Antiqua" w:cs="SimSun"/>
          <w:sz w:val="24"/>
          <w:szCs w:val="24"/>
          <w:lang w:val="en-US" w:eastAsia="zh-CN"/>
        </w:rPr>
        <w:t xml:space="preserve">, Rivera F, Karthaus M, Fasola G, Canon JL, Hecht JR, Yu H, Oliner KS, Go WY. PEAK: a randomized, multicenter phase II study of panitumumab plus modified fluorouracil, leucovorin, and oxaliplatin (mFOLFOX6) or bevacizumab plus mFOLFOX6 in patients with previously untreated, unresectable, wild-type KRAS exon 2 metastatic colorectal cancer. </w:t>
      </w:r>
      <w:r w:rsidRPr="0047156E">
        <w:rPr>
          <w:rFonts w:ascii="Book Antiqua" w:eastAsia="SimSun" w:hAnsi="Book Antiqua" w:cs="SimSun"/>
          <w:i/>
          <w:iCs/>
          <w:sz w:val="24"/>
          <w:szCs w:val="24"/>
          <w:lang w:val="en-US" w:eastAsia="zh-CN"/>
        </w:rPr>
        <w:t>J Clin Oncol</w:t>
      </w:r>
      <w:r w:rsidRPr="0047156E">
        <w:rPr>
          <w:rFonts w:ascii="Book Antiqua" w:eastAsia="SimSun" w:hAnsi="Book Antiqua" w:cs="SimSun"/>
          <w:sz w:val="24"/>
          <w:szCs w:val="24"/>
          <w:lang w:val="en-US" w:eastAsia="zh-CN"/>
        </w:rPr>
        <w:t xml:space="preserve"> 2014; </w:t>
      </w:r>
      <w:r w:rsidRPr="0047156E">
        <w:rPr>
          <w:rFonts w:ascii="Book Antiqua" w:eastAsia="SimSun" w:hAnsi="Book Antiqua" w:cs="SimSun"/>
          <w:b/>
          <w:bCs/>
          <w:sz w:val="24"/>
          <w:szCs w:val="24"/>
          <w:lang w:val="en-US" w:eastAsia="zh-CN"/>
        </w:rPr>
        <w:t>32</w:t>
      </w:r>
      <w:r w:rsidRPr="0047156E">
        <w:rPr>
          <w:rFonts w:ascii="Book Antiqua" w:eastAsia="SimSun" w:hAnsi="Book Antiqua" w:cs="SimSun"/>
          <w:sz w:val="24"/>
          <w:szCs w:val="24"/>
          <w:lang w:val="en-US" w:eastAsia="zh-CN"/>
        </w:rPr>
        <w:t>: 2240-2247 [PMID: 24687833 DOI: 10.1200/JCO.2013.53.2473]</w:t>
      </w:r>
    </w:p>
    <w:p w14:paraId="334AD384"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3</w:t>
      </w:r>
      <w:r w:rsidRPr="0047156E">
        <w:rPr>
          <w:rFonts w:ascii="Book Antiqua" w:eastAsia="SimSun" w:hAnsi="Book Antiqua" w:cs="SimSun" w:hint="eastAsia"/>
          <w:sz w:val="24"/>
          <w:szCs w:val="24"/>
          <w:lang w:val="en-US" w:eastAsia="zh-CN"/>
        </w:rPr>
        <w:t>4</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Heinemann V</w:t>
      </w:r>
      <w:r w:rsidRPr="0047156E">
        <w:rPr>
          <w:rFonts w:ascii="Book Antiqua" w:eastAsia="SimSun" w:hAnsi="Book Antiqua" w:cs="SimSun"/>
          <w:sz w:val="24"/>
          <w:szCs w:val="24"/>
          <w:lang w:val="en-US" w:eastAsia="zh-CN"/>
        </w:rPr>
        <w:t xml:space="preserve">, von Weikersthal LF, Decker T, Kiani A, Vehling-Kaiser U, Al-Batran SE, Heintges T, Lerchenmüller C, Kahl C, Seipelt G, Kullmann F, Stauch M, Scheithauer W, Hielscher J, Scholz M, Müller S, Link H, Niederle N, Rost A, Höffkes HG, Moehler M, </w:t>
      </w:r>
      <w:r w:rsidRPr="0047156E">
        <w:rPr>
          <w:rFonts w:ascii="Book Antiqua" w:eastAsia="SimSun" w:hAnsi="Book Antiqua" w:cs="SimSun"/>
          <w:sz w:val="24"/>
          <w:szCs w:val="24"/>
          <w:lang w:val="en-US" w:eastAsia="zh-CN"/>
        </w:rPr>
        <w:lastRenderedPageBreak/>
        <w:t xml:space="preserve">Lindig RU, Modest DP, Rossius L, Kirchner T, Jung A, Stintzing S. FOLFIRI plus cetuximab versus FOLFIRI plus bevacizumab as first-line treatment for patients with metastatic colorectal cancer (FIRE-3): a randomised, open-label, phase 3 trial. </w:t>
      </w:r>
      <w:r w:rsidRPr="0047156E">
        <w:rPr>
          <w:rFonts w:ascii="Book Antiqua" w:eastAsia="SimSun" w:hAnsi="Book Antiqua" w:cs="SimSun"/>
          <w:i/>
          <w:iCs/>
          <w:sz w:val="24"/>
          <w:szCs w:val="24"/>
          <w:lang w:val="en-US" w:eastAsia="zh-CN"/>
        </w:rPr>
        <w:t>Lancet Oncol</w:t>
      </w:r>
      <w:r w:rsidRPr="0047156E">
        <w:rPr>
          <w:rFonts w:ascii="Book Antiqua" w:eastAsia="SimSun" w:hAnsi="Book Antiqua" w:cs="SimSun"/>
          <w:sz w:val="24"/>
          <w:szCs w:val="24"/>
          <w:lang w:val="en-US" w:eastAsia="zh-CN"/>
        </w:rPr>
        <w:t xml:space="preserve"> 2014; </w:t>
      </w:r>
      <w:r w:rsidRPr="0047156E">
        <w:rPr>
          <w:rFonts w:ascii="Book Antiqua" w:eastAsia="SimSun" w:hAnsi="Book Antiqua" w:cs="SimSun"/>
          <w:b/>
          <w:bCs/>
          <w:sz w:val="24"/>
          <w:szCs w:val="24"/>
          <w:lang w:val="en-US" w:eastAsia="zh-CN"/>
        </w:rPr>
        <w:t>15</w:t>
      </w:r>
      <w:r w:rsidRPr="0047156E">
        <w:rPr>
          <w:rFonts w:ascii="Book Antiqua" w:eastAsia="SimSun" w:hAnsi="Book Antiqua" w:cs="SimSun"/>
          <w:sz w:val="24"/>
          <w:szCs w:val="24"/>
          <w:lang w:val="en-US" w:eastAsia="zh-CN"/>
        </w:rPr>
        <w:t>: 1065-1075 [PMID: 25088940 DOI: 10.1016/S1470-2045(14)70330-4]</w:t>
      </w:r>
    </w:p>
    <w:p w14:paraId="58A134DC"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3</w:t>
      </w:r>
      <w:r w:rsidRPr="0047156E">
        <w:rPr>
          <w:rFonts w:ascii="Book Antiqua" w:eastAsia="SimSun" w:hAnsi="Book Antiqua" w:cs="SimSun" w:hint="eastAsia"/>
          <w:sz w:val="24"/>
          <w:szCs w:val="24"/>
          <w:lang w:val="en-US" w:eastAsia="zh-CN"/>
        </w:rPr>
        <w:t>5</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Van Cutsem E</w:t>
      </w:r>
      <w:r w:rsidRPr="0047156E">
        <w:rPr>
          <w:rFonts w:ascii="Book Antiqua" w:eastAsia="SimSun" w:hAnsi="Book Antiqua" w:cs="SimSun"/>
          <w:sz w:val="24"/>
          <w:szCs w:val="24"/>
          <w:lang w:val="en-US" w:eastAsia="zh-CN"/>
        </w:rPr>
        <w:t xml:space="preserve">, Lenz HJ, Köhne CH, Heinemann V, Tejpar S, Melezínek I, Beier F, Stroh C, Rougier P, van Krieken JH, Ciardiello F. Fluorouracil, leucovorin, and irinotecan plus cetuximab treatment and RAS mutations in colorectal cancer. </w:t>
      </w:r>
      <w:r w:rsidRPr="0047156E">
        <w:rPr>
          <w:rFonts w:ascii="Book Antiqua" w:eastAsia="SimSun" w:hAnsi="Book Antiqua" w:cs="SimSun"/>
          <w:i/>
          <w:iCs/>
          <w:sz w:val="24"/>
          <w:szCs w:val="24"/>
          <w:lang w:val="en-US" w:eastAsia="zh-CN"/>
        </w:rPr>
        <w:t>J Clin Oncol</w:t>
      </w:r>
      <w:r w:rsidRPr="0047156E">
        <w:rPr>
          <w:rFonts w:ascii="Book Antiqua" w:eastAsia="SimSun" w:hAnsi="Book Antiqua" w:cs="SimSun"/>
          <w:sz w:val="24"/>
          <w:szCs w:val="24"/>
          <w:lang w:val="en-US" w:eastAsia="zh-CN"/>
        </w:rPr>
        <w:t xml:space="preserve"> 2015; </w:t>
      </w:r>
      <w:r w:rsidRPr="0047156E">
        <w:rPr>
          <w:rFonts w:ascii="Book Antiqua" w:eastAsia="SimSun" w:hAnsi="Book Antiqua" w:cs="SimSun"/>
          <w:b/>
          <w:bCs/>
          <w:sz w:val="24"/>
          <w:szCs w:val="24"/>
          <w:lang w:val="en-US" w:eastAsia="zh-CN"/>
        </w:rPr>
        <w:t>33</w:t>
      </w:r>
      <w:r w:rsidRPr="0047156E">
        <w:rPr>
          <w:rFonts w:ascii="Book Antiqua" w:eastAsia="SimSun" w:hAnsi="Book Antiqua" w:cs="SimSun"/>
          <w:sz w:val="24"/>
          <w:szCs w:val="24"/>
          <w:lang w:val="en-US" w:eastAsia="zh-CN"/>
        </w:rPr>
        <w:t>: 692-700 [PMID: 25605843 DOI: 10.1200/JCO.2014.59.4812]</w:t>
      </w:r>
    </w:p>
    <w:p w14:paraId="3B75C7D2"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3</w:t>
      </w:r>
      <w:r w:rsidRPr="0047156E">
        <w:rPr>
          <w:rFonts w:ascii="Book Antiqua" w:eastAsia="SimSun" w:hAnsi="Book Antiqua" w:cs="SimSun" w:hint="eastAsia"/>
          <w:sz w:val="24"/>
          <w:szCs w:val="24"/>
          <w:lang w:val="en-US" w:eastAsia="zh-CN"/>
        </w:rPr>
        <w:t>6</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Bokemeyer C</w:t>
      </w:r>
      <w:r w:rsidRPr="0047156E">
        <w:rPr>
          <w:rFonts w:ascii="Book Antiqua" w:eastAsia="SimSun" w:hAnsi="Book Antiqua" w:cs="SimSun"/>
          <w:sz w:val="24"/>
          <w:szCs w:val="24"/>
          <w:lang w:val="en-US" w:eastAsia="zh-CN"/>
        </w:rPr>
        <w:t xml:space="preserve">, Köhne CH, Ciardiello F, Lenz HJ, Heinemann V, Klinkhardt U, Beier F, Duecker K, van Krieken JH, Tejpar S. FOLFOX4 plus cetuximab treatment and RAS mutations in colorectal cancer. </w:t>
      </w:r>
      <w:r w:rsidRPr="0047156E">
        <w:rPr>
          <w:rFonts w:ascii="Book Antiqua" w:eastAsia="SimSun" w:hAnsi="Book Antiqua" w:cs="SimSun"/>
          <w:i/>
          <w:iCs/>
          <w:sz w:val="24"/>
          <w:szCs w:val="24"/>
          <w:lang w:val="en-US" w:eastAsia="zh-CN"/>
        </w:rPr>
        <w:t>Eur J Cancer</w:t>
      </w:r>
      <w:r w:rsidRPr="0047156E">
        <w:rPr>
          <w:rFonts w:ascii="Book Antiqua" w:eastAsia="SimSun" w:hAnsi="Book Antiqua" w:cs="SimSun"/>
          <w:sz w:val="24"/>
          <w:szCs w:val="24"/>
          <w:lang w:val="en-US" w:eastAsia="zh-CN"/>
        </w:rPr>
        <w:t xml:space="preserve"> 2015; </w:t>
      </w:r>
      <w:r w:rsidRPr="0047156E">
        <w:rPr>
          <w:rFonts w:ascii="Book Antiqua" w:eastAsia="SimSun" w:hAnsi="Book Antiqua" w:cs="SimSun"/>
          <w:b/>
          <w:bCs/>
          <w:sz w:val="24"/>
          <w:szCs w:val="24"/>
          <w:lang w:val="en-US" w:eastAsia="zh-CN"/>
        </w:rPr>
        <w:t>51</w:t>
      </w:r>
      <w:r w:rsidRPr="0047156E">
        <w:rPr>
          <w:rFonts w:ascii="Book Antiqua" w:eastAsia="SimSun" w:hAnsi="Book Antiqua" w:cs="SimSun"/>
          <w:sz w:val="24"/>
          <w:szCs w:val="24"/>
          <w:lang w:val="en-US" w:eastAsia="zh-CN"/>
        </w:rPr>
        <w:t>: 1243-1252 [PMID: 25937522 DOI: 10.1016/j.ejca.2015.04.007]</w:t>
      </w:r>
    </w:p>
    <w:p w14:paraId="307F8C58"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3</w:t>
      </w:r>
      <w:r w:rsidRPr="0047156E">
        <w:rPr>
          <w:rFonts w:ascii="Book Antiqua" w:eastAsia="SimSun" w:hAnsi="Book Antiqua" w:cs="SimSun" w:hint="eastAsia"/>
          <w:sz w:val="24"/>
          <w:szCs w:val="24"/>
          <w:lang w:val="en-US" w:eastAsia="zh-CN"/>
        </w:rPr>
        <w:t>7</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Ciardiello F</w:t>
      </w:r>
      <w:r w:rsidRPr="0047156E">
        <w:rPr>
          <w:rFonts w:ascii="Book Antiqua" w:eastAsia="SimSun" w:hAnsi="Book Antiqua" w:cs="SimSun"/>
          <w:sz w:val="24"/>
          <w:szCs w:val="24"/>
          <w:lang w:val="en-US" w:eastAsia="zh-CN"/>
        </w:rPr>
        <w:t xml:space="preserve">, Normanno N, Maiello E, Martinelli E, Troiani T, Pisconti S, Giuliani F, Barone C, Cartenì G, Rachiglio AM, Montesarchio V, Tonini G, Rizzi D, Cinieri S, Bordonaro R, Febbraro A, De Vita F, Orditura M, Fenizia F, Lambiase M, Rinaldi A, Tatangelo F, Botti G, Colucci G. Clinical activity of FOLFIRI plus cetuximab according to extended gene mutation status by next-generation sequencing: findings from the CAPRI-GOIM trial. </w:t>
      </w:r>
      <w:r w:rsidRPr="0047156E">
        <w:rPr>
          <w:rFonts w:ascii="Book Antiqua" w:eastAsia="SimSun" w:hAnsi="Book Antiqua" w:cs="SimSun"/>
          <w:i/>
          <w:iCs/>
          <w:sz w:val="24"/>
          <w:szCs w:val="24"/>
          <w:lang w:val="en-US" w:eastAsia="zh-CN"/>
        </w:rPr>
        <w:t>Ann Oncol</w:t>
      </w:r>
      <w:r w:rsidRPr="0047156E">
        <w:rPr>
          <w:rFonts w:ascii="Book Antiqua" w:eastAsia="SimSun" w:hAnsi="Book Antiqua" w:cs="SimSun"/>
          <w:sz w:val="24"/>
          <w:szCs w:val="24"/>
          <w:lang w:val="en-US" w:eastAsia="zh-CN"/>
        </w:rPr>
        <w:t xml:space="preserve"> 2014; </w:t>
      </w:r>
      <w:r w:rsidRPr="0047156E">
        <w:rPr>
          <w:rFonts w:ascii="Book Antiqua" w:eastAsia="SimSun" w:hAnsi="Book Antiqua" w:cs="SimSun"/>
          <w:b/>
          <w:bCs/>
          <w:sz w:val="24"/>
          <w:szCs w:val="24"/>
          <w:lang w:val="en-US" w:eastAsia="zh-CN"/>
        </w:rPr>
        <w:t>25</w:t>
      </w:r>
      <w:r w:rsidRPr="0047156E">
        <w:rPr>
          <w:rFonts w:ascii="Book Antiqua" w:eastAsia="SimSun" w:hAnsi="Book Antiqua" w:cs="SimSun"/>
          <w:sz w:val="24"/>
          <w:szCs w:val="24"/>
          <w:lang w:val="en-US" w:eastAsia="zh-CN"/>
        </w:rPr>
        <w:t>: 1756-1761 [PMID: 24942275 DOI: 10.1093/annonc/mdu230]</w:t>
      </w:r>
    </w:p>
    <w:p w14:paraId="2837E9A2"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3</w:t>
      </w:r>
      <w:r w:rsidRPr="0047156E">
        <w:rPr>
          <w:rFonts w:ascii="Book Antiqua" w:eastAsia="SimSun" w:hAnsi="Book Antiqua" w:cs="SimSun" w:hint="eastAsia"/>
          <w:sz w:val="24"/>
          <w:szCs w:val="24"/>
          <w:lang w:val="en-US" w:eastAsia="zh-CN"/>
        </w:rPr>
        <w:t>8</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sz w:val="24"/>
          <w:szCs w:val="24"/>
          <w:lang w:val="en-US" w:eastAsia="zh-CN"/>
        </w:rPr>
        <w:t>European Medicines Agency</w:t>
      </w:r>
      <w:r w:rsidRPr="0047156E">
        <w:rPr>
          <w:rFonts w:ascii="Book Antiqua" w:eastAsia="SimSun" w:hAnsi="Book Antiqua" w:cs="SimSun" w:hint="eastAsia"/>
          <w:sz w:val="24"/>
          <w:szCs w:val="24"/>
          <w:lang w:val="en-US" w:eastAsia="zh-CN"/>
        </w:rPr>
        <w:t>.</w:t>
      </w:r>
      <w:r w:rsidRPr="0047156E">
        <w:rPr>
          <w:rFonts w:ascii="Book Antiqua" w:eastAsia="SimSun" w:hAnsi="Book Antiqua" w:cs="SimSun"/>
          <w:sz w:val="24"/>
          <w:szCs w:val="24"/>
          <w:lang w:val="en-US" w:eastAsia="zh-CN"/>
        </w:rPr>
        <w:t xml:space="preserve"> Committee for Medicinal Products for Human Use. Available from</w:t>
      </w:r>
      <w:r w:rsidRPr="0047156E">
        <w:rPr>
          <w:rFonts w:ascii="Book Antiqua" w:eastAsia="SimSun" w:hAnsi="Book Antiqua" w:cs="SimSun" w:hint="eastAsia"/>
          <w:sz w:val="24"/>
          <w:szCs w:val="24"/>
          <w:lang w:val="en-US" w:eastAsia="zh-CN"/>
        </w:rPr>
        <w:t>:</w:t>
      </w:r>
      <w:r w:rsidRPr="0047156E">
        <w:rPr>
          <w:rFonts w:ascii="Book Antiqua" w:eastAsia="SimSun" w:hAnsi="Book Antiqua" w:cs="SimSun"/>
          <w:sz w:val="24"/>
          <w:szCs w:val="24"/>
          <w:lang w:val="en-US" w:eastAsia="zh-CN"/>
        </w:rPr>
        <w:t xml:space="preserve"> URL</w:t>
      </w:r>
      <w:r w:rsidRPr="0047156E">
        <w:rPr>
          <w:rFonts w:ascii="Book Antiqua" w:eastAsia="SimSun" w:hAnsi="Book Antiqua" w:cs="SimSun" w:hint="eastAsia"/>
          <w:sz w:val="24"/>
          <w:szCs w:val="24"/>
          <w:lang w:val="en-US" w:eastAsia="zh-CN"/>
        </w:rPr>
        <w:t>:</w:t>
      </w:r>
      <w:r w:rsidRPr="0047156E">
        <w:rPr>
          <w:rFonts w:ascii="Book Antiqua" w:eastAsia="SimSun" w:hAnsi="Book Antiqua" w:cs="SimSun"/>
          <w:sz w:val="24"/>
          <w:szCs w:val="24"/>
          <w:lang w:val="en-US" w:eastAsia="zh-CN"/>
        </w:rPr>
        <w:t xml:space="preserve"> http: //www.ema.europa.eu/docs/en_GB/document_library/EPAR_-_Assessment_Report_-_Variation/human/000558/WC500160158.pdf</w:t>
      </w:r>
    </w:p>
    <w:p w14:paraId="040AA148"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hint="eastAsia"/>
          <w:sz w:val="24"/>
          <w:szCs w:val="24"/>
          <w:lang w:val="en-US" w:eastAsia="zh-CN"/>
        </w:rPr>
        <w:t>39</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sz w:val="24"/>
          <w:szCs w:val="24"/>
          <w:lang w:val="en-US" w:eastAsia="zh-CN"/>
        </w:rPr>
        <w:t>European Medicines Agency</w:t>
      </w:r>
      <w:r w:rsidRPr="0047156E">
        <w:rPr>
          <w:rFonts w:ascii="Book Antiqua" w:eastAsia="SimSun" w:hAnsi="Book Antiqua" w:cs="SimSun" w:hint="eastAsia"/>
          <w:sz w:val="24"/>
          <w:szCs w:val="24"/>
          <w:lang w:val="en-US" w:eastAsia="zh-CN"/>
        </w:rPr>
        <w:t>.</w:t>
      </w:r>
      <w:r w:rsidRPr="0047156E">
        <w:rPr>
          <w:rFonts w:ascii="Book Antiqua" w:eastAsia="SimSun" w:hAnsi="Book Antiqua" w:cs="SimSun"/>
          <w:sz w:val="24"/>
          <w:szCs w:val="24"/>
          <w:lang w:val="en-US" w:eastAsia="zh-CN"/>
        </w:rPr>
        <w:t xml:space="preserve"> Committee for Medicinal Products for Human Use. Available from</w:t>
      </w:r>
      <w:r w:rsidRPr="0047156E">
        <w:rPr>
          <w:rFonts w:ascii="Book Antiqua" w:eastAsia="SimSun" w:hAnsi="Book Antiqua" w:cs="SimSun" w:hint="eastAsia"/>
          <w:sz w:val="24"/>
          <w:szCs w:val="24"/>
          <w:lang w:val="en-US" w:eastAsia="zh-CN"/>
        </w:rPr>
        <w:t>:</w:t>
      </w:r>
      <w:r w:rsidRPr="0047156E">
        <w:rPr>
          <w:rFonts w:ascii="Book Antiqua" w:eastAsia="SimSun" w:hAnsi="Book Antiqua" w:cs="SimSun"/>
          <w:sz w:val="24"/>
          <w:szCs w:val="24"/>
          <w:lang w:val="en-US" w:eastAsia="zh-CN"/>
        </w:rPr>
        <w:t xml:space="preserve"> URL http: //www.ema.europa.eu/docs/en_GB/document_library/EPAR_-_Assessment_Report_-_Variation/human/000741/WC500148667.pdf</w:t>
      </w:r>
    </w:p>
    <w:p w14:paraId="26D9E7D4"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4</w:t>
      </w:r>
      <w:r w:rsidRPr="0047156E">
        <w:rPr>
          <w:rFonts w:ascii="Book Antiqua" w:eastAsia="SimSun" w:hAnsi="Book Antiqua" w:cs="SimSun" w:hint="eastAsia"/>
          <w:sz w:val="24"/>
          <w:szCs w:val="24"/>
          <w:lang w:val="en-US" w:eastAsia="zh-CN"/>
        </w:rPr>
        <w:t>0</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Diaz LA</w:t>
      </w:r>
      <w:r w:rsidRPr="0047156E">
        <w:rPr>
          <w:rFonts w:ascii="Book Antiqua" w:eastAsia="SimSun" w:hAnsi="Book Antiqua" w:cs="SimSun"/>
          <w:sz w:val="24"/>
          <w:szCs w:val="24"/>
          <w:lang w:val="en-US" w:eastAsia="zh-CN"/>
        </w:rPr>
        <w:t xml:space="preserve">, Williams RT, Wu J, Kinde I, Hecht JR, Berlin J, Allen B, Bozic I, Reiter JG, Nowak MA, Kinzler KW, Oliner KS, Vogelstein B. The molecular evolution of acquired resistance to targeted EGFR blockade in colorectal cancers. </w:t>
      </w:r>
      <w:r w:rsidRPr="0047156E">
        <w:rPr>
          <w:rFonts w:ascii="Book Antiqua" w:eastAsia="SimSun" w:hAnsi="Book Antiqua" w:cs="SimSun"/>
          <w:i/>
          <w:iCs/>
          <w:sz w:val="24"/>
          <w:szCs w:val="24"/>
          <w:lang w:val="en-US" w:eastAsia="zh-CN"/>
        </w:rPr>
        <w:t>Nature</w:t>
      </w:r>
      <w:r w:rsidRPr="0047156E">
        <w:rPr>
          <w:rFonts w:ascii="Book Antiqua" w:eastAsia="SimSun" w:hAnsi="Book Antiqua" w:cs="SimSun"/>
          <w:sz w:val="24"/>
          <w:szCs w:val="24"/>
          <w:lang w:val="en-US" w:eastAsia="zh-CN"/>
        </w:rPr>
        <w:t xml:space="preserve"> 2012; </w:t>
      </w:r>
      <w:r w:rsidRPr="0047156E">
        <w:rPr>
          <w:rFonts w:ascii="Book Antiqua" w:eastAsia="SimSun" w:hAnsi="Book Antiqua" w:cs="SimSun"/>
          <w:b/>
          <w:bCs/>
          <w:sz w:val="24"/>
          <w:szCs w:val="24"/>
          <w:lang w:val="en-US" w:eastAsia="zh-CN"/>
        </w:rPr>
        <w:t>486</w:t>
      </w:r>
      <w:r w:rsidRPr="0047156E">
        <w:rPr>
          <w:rFonts w:ascii="Book Antiqua" w:eastAsia="SimSun" w:hAnsi="Book Antiqua" w:cs="SimSun"/>
          <w:sz w:val="24"/>
          <w:szCs w:val="24"/>
          <w:lang w:val="en-US" w:eastAsia="zh-CN"/>
        </w:rPr>
        <w:t>: 537-540 [PMID: 22722843 DOI: 10.1038/nature11219]</w:t>
      </w:r>
    </w:p>
    <w:p w14:paraId="109F6AFD"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lastRenderedPageBreak/>
        <w:t>4</w:t>
      </w:r>
      <w:r w:rsidRPr="0047156E">
        <w:rPr>
          <w:rFonts w:ascii="Book Antiqua" w:eastAsia="SimSun" w:hAnsi="Book Antiqua" w:cs="SimSun" w:hint="eastAsia"/>
          <w:sz w:val="24"/>
          <w:szCs w:val="24"/>
          <w:lang w:val="en-US" w:eastAsia="zh-CN"/>
        </w:rPr>
        <w:t>1</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Misale S</w:t>
      </w:r>
      <w:r w:rsidRPr="0047156E">
        <w:rPr>
          <w:rFonts w:ascii="Book Antiqua" w:eastAsia="SimSun" w:hAnsi="Book Antiqua" w:cs="SimSun"/>
          <w:sz w:val="24"/>
          <w:szCs w:val="24"/>
          <w:lang w:val="en-US" w:eastAsia="zh-CN"/>
        </w:rPr>
        <w:t xml:space="preserve">, Yaeger R, Hobor S, Scala E, Janakiraman M, Liska D, Valtorta E, Schiavo R, Buscarino M, Siravegna G, Bencardino K, Cercek A, Chen CT, Veronese S, Zanon C, Sartore-Bianchi A, Gambacorta M, Gallicchio M, Vakiani E, Boscaro V, Medico E, Weiser M, Siena S, Di Nicolantonio F, Solit D, Bardelli A. Emergence of KRAS mutations and acquired resistance to anti-EGFR therapy in colorectal cancer. </w:t>
      </w:r>
      <w:r w:rsidRPr="0047156E">
        <w:rPr>
          <w:rFonts w:ascii="Book Antiqua" w:eastAsia="SimSun" w:hAnsi="Book Antiqua" w:cs="SimSun"/>
          <w:i/>
          <w:iCs/>
          <w:sz w:val="24"/>
          <w:szCs w:val="24"/>
          <w:lang w:val="en-US" w:eastAsia="zh-CN"/>
        </w:rPr>
        <w:t>Nature</w:t>
      </w:r>
      <w:r w:rsidRPr="0047156E">
        <w:rPr>
          <w:rFonts w:ascii="Book Antiqua" w:eastAsia="SimSun" w:hAnsi="Book Antiqua" w:cs="SimSun"/>
          <w:sz w:val="24"/>
          <w:szCs w:val="24"/>
          <w:lang w:val="en-US" w:eastAsia="zh-CN"/>
        </w:rPr>
        <w:t xml:space="preserve"> 2012; </w:t>
      </w:r>
      <w:r w:rsidRPr="0047156E">
        <w:rPr>
          <w:rFonts w:ascii="Book Antiqua" w:eastAsia="SimSun" w:hAnsi="Book Antiqua" w:cs="SimSun"/>
          <w:b/>
          <w:bCs/>
          <w:sz w:val="24"/>
          <w:szCs w:val="24"/>
          <w:lang w:val="en-US" w:eastAsia="zh-CN"/>
        </w:rPr>
        <w:t>486</w:t>
      </w:r>
      <w:r w:rsidRPr="0047156E">
        <w:rPr>
          <w:rFonts w:ascii="Book Antiqua" w:eastAsia="SimSun" w:hAnsi="Book Antiqua" w:cs="SimSun"/>
          <w:sz w:val="24"/>
          <w:szCs w:val="24"/>
          <w:lang w:val="en-US" w:eastAsia="zh-CN"/>
        </w:rPr>
        <w:t>: 532-536 [PMID: 22722830 DOI: 10.1038/nature11156]</w:t>
      </w:r>
    </w:p>
    <w:p w14:paraId="4ED81D83"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4</w:t>
      </w:r>
      <w:r w:rsidRPr="0047156E">
        <w:rPr>
          <w:rFonts w:ascii="Book Antiqua" w:eastAsia="SimSun" w:hAnsi="Book Antiqua" w:cs="SimSun" w:hint="eastAsia"/>
          <w:sz w:val="24"/>
          <w:szCs w:val="24"/>
          <w:lang w:val="en-US" w:eastAsia="zh-CN"/>
        </w:rPr>
        <w:t>2</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Misale S</w:t>
      </w:r>
      <w:r w:rsidRPr="0047156E">
        <w:rPr>
          <w:rFonts w:ascii="Book Antiqua" w:eastAsia="SimSun" w:hAnsi="Book Antiqua" w:cs="SimSun"/>
          <w:sz w:val="24"/>
          <w:szCs w:val="24"/>
          <w:lang w:val="en-US" w:eastAsia="zh-CN"/>
        </w:rPr>
        <w:t xml:space="preserve">, Arena S, Lamba S, Siravegna G, Lallo A, Hobor S, Russo M, Buscarino M, Lazzari L, Sartore-Bianchi A, Bencardino K, Amatu A, Lauricella C, Valtorta E, Siena S, Di Nicolantonio F, Bardelli A. Blockade of EGFR and MEK intercepts heterogeneous mechanisms of acquired resistance to anti-EGFR therapies in colorectal cancer. </w:t>
      </w:r>
      <w:r w:rsidRPr="0047156E">
        <w:rPr>
          <w:rFonts w:ascii="Book Antiqua" w:eastAsia="SimSun" w:hAnsi="Book Antiqua" w:cs="SimSun"/>
          <w:i/>
          <w:iCs/>
          <w:sz w:val="24"/>
          <w:szCs w:val="24"/>
          <w:lang w:val="en-US" w:eastAsia="zh-CN"/>
        </w:rPr>
        <w:t>Sci Transl Med</w:t>
      </w:r>
      <w:r w:rsidRPr="0047156E">
        <w:rPr>
          <w:rFonts w:ascii="Book Antiqua" w:eastAsia="SimSun" w:hAnsi="Book Antiqua" w:cs="SimSun"/>
          <w:sz w:val="24"/>
          <w:szCs w:val="24"/>
          <w:lang w:val="en-US" w:eastAsia="zh-CN"/>
        </w:rPr>
        <w:t xml:space="preserve"> 2014; </w:t>
      </w:r>
      <w:r w:rsidRPr="0047156E">
        <w:rPr>
          <w:rFonts w:ascii="Book Antiqua" w:eastAsia="SimSun" w:hAnsi="Book Antiqua" w:cs="SimSun"/>
          <w:b/>
          <w:bCs/>
          <w:sz w:val="24"/>
          <w:szCs w:val="24"/>
          <w:lang w:val="en-US" w:eastAsia="zh-CN"/>
        </w:rPr>
        <w:t>6</w:t>
      </w:r>
      <w:r w:rsidRPr="0047156E">
        <w:rPr>
          <w:rFonts w:ascii="Book Antiqua" w:eastAsia="SimSun" w:hAnsi="Book Antiqua" w:cs="SimSun"/>
          <w:sz w:val="24"/>
          <w:szCs w:val="24"/>
          <w:lang w:val="en-US" w:eastAsia="zh-CN"/>
        </w:rPr>
        <w:t>: 224ra26 [PMID: 24553387 DOI: 0.1126/scitranslmed.3007947]</w:t>
      </w:r>
    </w:p>
    <w:p w14:paraId="53F10DDE"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4</w:t>
      </w:r>
      <w:r w:rsidRPr="0047156E">
        <w:rPr>
          <w:rFonts w:ascii="Book Antiqua" w:eastAsia="SimSun" w:hAnsi="Book Antiqua" w:cs="SimSun" w:hint="eastAsia"/>
          <w:sz w:val="24"/>
          <w:szCs w:val="24"/>
          <w:lang w:val="en-US" w:eastAsia="zh-CN"/>
        </w:rPr>
        <w:t>3</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Valtorta E</w:t>
      </w:r>
      <w:r w:rsidRPr="0047156E">
        <w:rPr>
          <w:rFonts w:ascii="Book Antiqua" w:eastAsia="SimSun" w:hAnsi="Book Antiqua" w:cs="SimSun"/>
          <w:sz w:val="24"/>
          <w:szCs w:val="24"/>
          <w:lang w:val="en-US" w:eastAsia="zh-CN"/>
        </w:rPr>
        <w:t xml:space="preserve">, Misale S, Sartore-Bianchi A, Nagtegaal ID, Paraf F, Lauricella C, Dimartino V, Hobor S, Jacobs B, Ercolani C, Lamba S, Scala E, Veronese S, Laurent-Puig P, Siena S, Tejpar S, Mottolese M, Punt CJ, Gambacorta M, Bardelli A, Di Nicolantonio F. KRAS gene amplification in colorectal cancer and impact on response to EGFR-targeted therapy. </w:t>
      </w:r>
      <w:r w:rsidRPr="0047156E">
        <w:rPr>
          <w:rFonts w:ascii="Book Antiqua" w:eastAsia="SimSun" w:hAnsi="Book Antiqua" w:cs="SimSun"/>
          <w:i/>
          <w:iCs/>
          <w:sz w:val="24"/>
          <w:szCs w:val="24"/>
          <w:lang w:val="en-US" w:eastAsia="zh-CN"/>
        </w:rPr>
        <w:t>Int J Cancer</w:t>
      </w:r>
      <w:r w:rsidRPr="0047156E">
        <w:rPr>
          <w:rFonts w:ascii="Book Antiqua" w:eastAsia="SimSun" w:hAnsi="Book Antiqua" w:cs="SimSun"/>
          <w:sz w:val="24"/>
          <w:szCs w:val="24"/>
          <w:lang w:val="en-US" w:eastAsia="zh-CN"/>
        </w:rPr>
        <w:t xml:space="preserve"> 2013; </w:t>
      </w:r>
      <w:r w:rsidRPr="0047156E">
        <w:rPr>
          <w:rFonts w:ascii="Book Antiqua" w:eastAsia="SimSun" w:hAnsi="Book Antiqua" w:cs="SimSun"/>
          <w:b/>
          <w:bCs/>
          <w:sz w:val="24"/>
          <w:szCs w:val="24"/>
          <w:lang w:val="en-US" w:eastAsia="zh-CN"/>
        </w:rPr>
        <w:t>133</w:t>
      </w:r>
      <w:r w:rsidRPr="0047156E">
        <w:rPr>
          <w:rFonts w:ascii="Book Antiqua" w:eastAsia="SimSun" w:hAnsi="Book Antiqua" w:cs="SimSun"/>
          <w:sz w:val="24"/>
          <w:szCs w:val="24"/>
          <w:lang w:val="en-US" w:eastAsia="zh-CN"/>
        </w:rPr>
        <w:t>: 1259-1265 [PMID: 23404247 DOI: 10.1002/ijc.28106]</w:t>
      </w:r>
    </w:p>
    <w:p w14:paraId="61ADF156"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4</w:t>
      </w:r>
      <w:r w:rsidRPr="0047156E">
        <w:rPr>
          <w:rFonts w:ascii="Book Antiqua" w:eastAsia="SimSun" w:hAnsi="Book Antiqua" w:cs="SimSun" w:hint="eastAsia"/>
          <w:sz w:val="24"/>
          <w:szCs w:val="24"/>
          <w:lang w:val="en-US" w:eastAsia="zh-CN"/>
        </w:rPr>
        <w:t>4</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De Roock W</w:t>
      </w:r>
      <w:r w:rsidRPr="0047156E">
        <w:rPr>
          <w:rFonts w:ascii="Book Antiqua" w:eastAsia="SimSun" w:hAnsi="Book Antiqua" w:cs="SimSun"/>
          <w:sz w:val="24"/>
          <w:szCs w:val="24"/>
          <w:lang w:val="en-US" w:eastAsia="zh-CN"/>
        </w:rPr>
        <w:t xml:space="preserve">, Jonker DJ, Di Nicolantonio F, Sartore-Bianchi A, Tu D, Siena S, Lamba S, Arena S, Frattini M, Piessevaux H, Van Cutsem E, O'Callaghan CJ, Khambata-Ford S, Zalcberg JR, Simes J, Karapetis CS, Bardelli A, Tejpar S. Association of KRAS p.G13D mutation with outcome in patients with chemotherapy-refractory metastatic colorectal cancer treated with cetuximab. </w:t>
      </w:r>
      <w:r w:rsidRPr="0047156E">
        <w:rPr>
          <w:rFonts w:ascii="Book Antiqua" w:eastAsia="SimSun" w:hAnsi="Book Antiqua" w:cs="SimSun"/>
          <w:i/>
          <w:iCs/>
          <w:sz w:val="24"/>
          <w:szCs w:val="24"/>
          <w:lang w:val="en-US" w:eastAsia="zh-CN"/>
        </w:rPr>
        <w:t>JAMA</w:t>
      </w:r>
      <w:r w:rsidRPr="0047156E">
        <w:rPr>
          <w:rFonts w:ascii="Book Antiqua" w:eastAsia="SimSun" w:hAnsi="Book Antiqua" w:cs="SimSun"/>
          <w:sz w:val="24"/>
          <w:szCs w:val="24"/>
          <w:lang w:val="en-US" w:eastAsia="zh-CN"/>
        </w:rPr>
        <w:t xml:space="preserve"> 2010; </w:t>
      </w:r>
      <w:r w:rsidRPr="0047156E">
        <w:rPr>
          <w:rFonts w:ascii="Book Antiqua" w:eastAsia="SimSun" w:hAnsi="Book Antiqua" w:cs="SimSun"/>
          <w:b/>
          <w:bCs/>
          <w:sz w:val="24"/>
          <w:szCs w:val="24"/>
          <w:lang w:val="en-US" w:eastAsia="zh-CN"/>
        </w:rPr>
        <w:t>304</w:t>
      </w:r>
      <w:r w:rsidRPr="0047156E">
        <w:rPr>
          <w:rFonts w:ascii="Book Antiqua" w:eastAsia="SimSun" w:hAnsi="Book Antiqua" w:cs="SimSun"/>
          <w:sz w:val="24"/>
          <w:szCs w:val="24"/>
          <w:lang w:val="en-US" w:eastAsia="zh-CN"/>
        </w:rPr>
        <w:t>: 1812-1820 [PMID: 20978259 DOI: 10.1001/jama.2010.1535]</w:t>
      </w:r>
    </w:p>
    <w:p w14:paraId="69105B76"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4</w:t>
      </w:r>
      <w:r w:rsidRPr="0047156E">
        <w:rPr>
          <w:rFonts w:ascii="Book Antiqua" w:eastAsia="SimSun" w:hAnsi="Book Antiqua" w:cs="SimSun" w:hint="eastAsia"/>
          <w:sz w:val="24"/>
          <w:szCs w:val="24"/>
          <w:lang w:val="en-US" w:eastAsia="zh-CN"/>
        </w:rPr>
        <w:t>5</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Tejpar S</w:t>
      </w:r>
      <w:r w:rsidRPr="0047156E">
        <w:rPr>
          <w:rFonts w:ascii="Book Antiqua" w:eastAsia="SimSun" w:hAnsi="Book Antiqua" w:cs="SimSun"/>
          <w:sz w:val="24"/>
          <w:szCs w:val="24"/>
          <w:lang w:val="en-US" w:eastAsia="zh-CN"/>
        </w:rPr>
        <w:t xml:space="preserve">, Celik I, Schlichting M, Sartorius U, Bokemeyer C, Van Cutsem E. Association of KRAS G13D tumor mutations with outcome in patients with metastatic colorectal cancer treated with first-line chemotherapy with or without cetuximab. </w:t>
      </w:r>
      <w:r w:rsidRPr="0047156E">
        <w:rPr>
          <w:rFonts w:ascii="Book Antiqua" w:eastAsia="SimSun" w:hAnsi="Book Antiqua" w:cs="SimSun"/>
          <w:i/>
          <w:iCs/>
          <w:sz w:val="24"/>
          <w:szCs w:val="24"/>
          <w:lang w:val="en-US" w:eastAsia="zh-CN"/>
        </w:rPr>
        <w:t>J Clin Oncol</w:t>
      </w:r>
      <w:r w:rsidRPr="0047156E">
        <w:rPr>
          <w:rFonts w:ascii="Book Antiqua" w:eastAsia="SimSun" w:hAnsi="Book Antiqua" w:cs="SimSun"/>
          <w:sz w:val="24"/>
          <w:szCs w:val="24"/>
          <w:lang w:val="en-US" w:eastAsia="zh-CN"/>
        </w:rPr>
        <w:t xml:space="preserve"> 2012; </w:t>
      </w:r>
      <w:r w:rsidRPr="0047156E">
        <w:rPr>
          <w:rFonts w:ascii="Book Antiqua" w:eastAsia="SimSun" w:hAnsi="Book Antiqua" w:cs="SimSun"/>
          <w:b/>
          <w:bCs/>
          <w:sz w:val="24"/>
          <w:szCs w:val="24"/>
          <w:lang w:val="en-US" w:eastAsia="zh-CN"/>
        </w:rPr>
        <w:t>30</w:t>
      </w:r>
      <w:r w:rsidRPr="0047156E">
        <w:rPr>
          <w:rFonts w:ascii="Book Antiqua" w:eastAsia="SimSun" w:hAnsi="Book Antiqua" w:cs="SimSun"/>
          <w:sz w:val="24"/>
          <w:szCs w:val="24"/>
          <w:lang w:val="en-US" w:eastAsia="zh-CN"/>
        </w:rPr>
        <w:t>: 3570-3577 [PMID: 22734028 DOI: 10.1200/JCO.2012.42.2592]</w:t>
      </w:r>
    </w:p>
    <w:p w14:paraId="3391BB4C"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4</w:t>
      </w:r>
      <w:r w:rsidRPr="0047156E">
        <w:rPr>
          <w:rFonts w:ascii="Book Antiqua" w:eastAsia="SimSun" w:hAnsi="Book Antiqua" w:cs="SimSun" w:hint="eastAsia"/>
          <w:sz w:val="24"/>
          <w:szCs w:val="24"/>
          <w:lang w:val="en-US" w:eastAsia="zh-CN"/>
        </w:rPr>
        <w:t>6</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Rowland A</w:t>
      </w:r>
      <w:r w:rsidRPr="0047156E">
        <w:rPr>
          <w:rFonts w:ascii="Book Antiqua" w:eastAsia="SimSun" w:hAnsi="Book Antiqua" w:cs="SimSun"/>
          <w:sz w:val="24"/>
          <w:szCs w:val="24"/>
          <w:lang w:val="en-US" w:eastAsia="zh-CN"/>
        </w:rPr>
        <w:t xml:space="preserve">, Dias MM, Wiese MD, Kichenadasse G, McKinnon RA, Karapetis CS, Sorich MJ. Meta-analysis comparing the efficacy of anti-EGFR monoclonal antibody therapy between KRAS G13D and other KRAS mutant metastatic colorectal cancer tumours. </w:t>
      </w:r>
      <w:r w:rsidRPr="0047156E">
        <w:rPr>
          <w:rFonts w:ascii="Book Antiqua" w:eastAsia="SimSun" w:hAnsi="Book Antiqua" w:cs="SimSun"/>
          <w:i/>
          <w:iCs/>
          <w:sz w:val="24"/>
          <w:szCs w:val="24"/>
          <w:lang w:val="en-US" w:eastAsia="zh-CN"/>
        </w:rPr>
        <w:t>Eur J Cancer</w:t>
      </w:r>
      <w:r w:rsidRPr="0047156E">
        <w:rPr>
          <w:rFonts w:ascii="Book Antiqua" w:eastAsia="SimSun" w:hAnsi="Book Antiqua" w:cs="SimSun"/>
          <w:sz w:val="24"/>
          <w:szCs w:val="24"/>
          <w:lang w:val="en-US" w:eastAsia="zh-CN"/>
        </w:rPr>
        <w:t xml:space="preserve"> 2016; </w:t>
      </w:r>
      <w:r w:rsidRPr="0047156E">
        <w:rPr>
          <w:rFonts w:ascii="Book Antiqua" w:eastAsia="SimSun" w:hAnsi="Book Antiqua" w:cs="SimSun"/>
          <w:b/>
          <w:bCs/>
          <w:sz w:val="24"/>
          <w:szCs w:val="24"/>
          <w:lang w:val="en-US" w:eastAsia="zh-CN"/>
        </w:rPr>
        <w:t>55</w:t>
      </w:r>
      <w:r w:rsidRPr="0047156E">
        <w:rPr>
          <w:rFonts w:ascii="Book Antiqua" w:eastAsia="SimSun" w:hAnsi="Book Antiqua" w:cs="SimSun"/>
          <w:sz w:val="24"/>
          <w:szCs w:val="24"/>
          <w:lang w:val="en-US" w:eastAsia="zh-CN"/>
        </w:rPr>
        <w:t>: 122-130 [PMID: 26812186 DOI: 10.1016/j.ejca.2015.11.025]</w:t>
      </w:r>
    </w:p>
    <w:p w14:paraId="78CB2EFE"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lastRenderedPageBreak/>
        <w:t>4</w:t>
      </w:r>
      <w:r w:rsidRPr="0047156E">
        <w:rPr>
          <w:rFonts w:ascii="Book Antiqua" w:eastAsia="SimSun" w:hAnsi="Book Antiqua" w:cs="SimSun" w:hint="eastAsia"/>
          <w:sz w:val="24"/>
          <w:szCs w:val="24"/>
          <w:lang w:val="en-US" w:eastAsia="zh-CN"/>
        </w:rPr>
        <w:t>7</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Schirripa M</w:t>
      </w:r>
      <w:r w:rsidRPr="0047156E">
        <w:rPr>
          <w:rFonts w:ascii="Book Antiqua" w:eastAsia="SimSun" w:hAnsi="Book Antiqua" w:cs="SimSun"/>
          <w:sz w:val="24"/>
          <w:szCs w:val="24"/>
          <w:lang w:val="en-US" w:eastAsia="zh-CN"/>
        </w:rPr>
        <w:t xml:space="preserve">, Loupakis F, Lonardi S, Cremolini C, Bergamo F, Zagonel V, Falcone A. Phase II study of single-agent cetuximab in KRAS G13D mutant metastatic colorectal cancer. </w:t>
      </w:r>
      <w:r w:rsidRPr="0047156E">
        <w:rPr>
          <w:rFonts w:ascii="Book Antiqua" w:eastAsia="SimSun" w:hAnsi="Book Antiqua" w:cs="SimSun"/>
          <w:i/>
          <w:iCs/>
          <w:sz w:val="24"/>
          <w:szCs w:val="24"/>
          <w:lang w:val="en-US" w:eastAsia="zh-CN"/>
        </w:rPr>
        <w:t>Ann Oncol</w:t>
      </w:r>
      <w:r w:rsidRPr="0047156E">
        <w:rPr>
          <w:rFonts w:ascii="Book Antiqua" w:eastAsia="SimSun" w:hAnsi="Book Antiqua" w:cs="SimSun"/>
          <w:sz w:val="24"/>
          <w:szCs w:val="24"/>
          <w:lang w:val="en-US" w:eastAsia="zh-CN"/>
        </w:rPr>
        <w:t xml:space="preserve"> 2015; </w:t>
      </w:r>
      <w:r w:rsidRPr="0047156E">
        <w:rPr>
          <w:rFonts w:ascii="Book Antiqua" w:eastAsia="SimSun" w:hAnsi="Book Antiqua" w:cs="SimSun"/>
          <w:b/>
          <w:bCs/>
          <w:sz w:val="24"/>
          <w:szCs w:val="24"/>
          <w:lang w:val="en-US" w:eastAsia="zh-CN"/>
        </w:rPr>
        <w:t>26</w:t>
      </w:r>
      <w:r w:rsidRPr="0047156E">
        <w:rPr>
          <w:rFonts w:ascii="Book Antiqua" w:eastAsia="SimSun" w:hAnsi="Book Antiqua" w:cs="SimSun"/>
          <w:sz w:val="24"/>
          <w:szCs w:val="24"/>
          <w:lang w:val="en-US" w:eastAsia="zh-CN"/>
        </w:rPr>
        <w:t>: 2503 [PMID: 26371285 DOI: 10.1093/annonc/mdv385]</w:t>
      </w:r>
    </w:p>
    <w:p w14:paraId="25D6C50E"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4</w:t>
      </w:r>
      <w:r w:rsidRPr="0047156E">
        <w:rPr>
          <w:rFonts w:ascii="Book Antiqua" w:eastAsia="SimSun" w:hAnsi="Book Antiqua" w:cs="SimSun" w:hint="eastAsia"/>
          <w:sz w:val="24"/>
          <w:szCs w:val="24"/>
          <w:lang w:val="en-US" w:eastAsia="zh-CN"/>
        </w:rPr>
        <w:t>8</w:t>
      </w:r>
      <w:r w:rsidRPr="0047156E">
        <w:rPr>
          <w:rFonts w:ascii="Book Antiqua" w:eastAsia="SimSun" w:hAnsi="Book Antiqua" w:cs="SimSun"/>
          <w:sz w:val="24"/>
          <w:szCs w:val="24"/>
          <w:lang w:val="en-US" w:eastAsia="zh-CN"/>
        </w:rPr>
        <w:t xml:space="preserve"> </w:t>
      </w:r>
      <w:r w:rsidRPr="0047156E">
        <w:rPr>
          <w:rFonts w:ascii="Book Antiqua" w:eastAsia="SimSun" w:hAnsi="Book Antiqua" w:cs="Times New Roman"/>
          <w:b/>
          <w:bCs/>
          <w:kern w:val="2"/>
          <w:sz w:val="24"/>
          <w:szCs w:val="24"/>
          <w:lang w:val="en-US" w:eastAsia="zh-CN"/>
        </w:rPr>
        <w:t>Segelov E</w:t>
      </w:r>
      <w:r w:rsidRPr="0047156E">
        <w:rPr>
          <w:rFonts w:ascii="Book Antiqua" w:eastAsia="SimSun" w:hAnsi="Book Antiqua" w:cs="Times New Roman"/>
          <w:bCs/>
          <w:kern w:val="2"/>
          <w:sz w:val="24"/>
          <w:szCs w:val="24"/>
          <w:lang w:val="en-US" w:eastAsia="zh-CN"/>
        </w:rPr>
        <w:t>, Thavaneswaran S, Waring PM, Desai J, Robledo KP, Gebski VJ, Elez E, Nott LM, Karapetis CS, Lunke S, Chantrill LA, Pavlakis N, Khasraw M, Underhill C, Ciardiello F, Jefford M, Wasan H, Haydon A, Price TJ, van Hazel G, Wilson K, Simes J, Shapiro JD</w:t>
      </w:r>
      <w:r w:rsidRPr="0047156E">
        <w:rPr>
          <w:rFonts w:ascii="Book Antiqua" w:eastAsia="SimSun" w:hAnsi="Book Antiqua" w:cs="SimSun"/>
          <w:sz w:val="24"/>
          <w:szCs w:val="24"/>
          <w:lang w:val="en-US" w:eastAsia="zh-CN"/>
        </w:rPr>
        <w:t xml:space="preserve">. Response to Cetuximab With or Without Irinotecan in Patients With Refractory Metastatic Colorectal Cancer Harboring the KRAS G13D Mutation: Australasian Gastro-Intestinal Trials Group ICECREAM Study. </w:t>
      </w:r>
      <w:r w:rsidRPr="0047156E">
        <w:rPr>
          <w:rFonts w:ascii="Book Antiqua" w:eastAsia="SimSun" w:hAnsi="Book Antiqua" w:cs="SimSun"/>
          <w:i/>
          <w:iCs/>
          <w:sz w:val="24"/>
          <w:szCs w:val="24"/>
          <w:lang w:val="en-US" w:eastAsia="zh-CN"/>
        </w:rPr>
        <w:t>J Clin Oncol</w:t>
      </w:r>
      <w:r w:rsidRPr="0047156E">
        <w:rPr>
          <w:rFonts w:ascii="Book Antiqua" w:eastAsia="SimSun" w:hAnsi="Book Antiqua" w:cs="SimSun"/>
          <w:sz w:val="24"/>
          <w:szCs w:val="24"/>
          <w:lang w:val="en-US" w:eastAsia="zh-CN"/>
        </w:rPr>
        <w:t xml:space="preserve"> 2016; : [PMID: 27114605 DOI: 10.1200/JCO.2015.65.6843]</w:t>
      </w:r>
    </w:p>
    <w:p w14:paraId="3B526A73"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hint="eastAsia"/>
          <w:sz w:val="24"/>
          <w:szCs w:val="24"/>
          <w:lang w:val="en-US" w:eastAsia="zh-CN"/>
        </w:rPr>
        <w:t>49</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Normanno N</w:t>
      </w:r>
      <w:r w:rsidRPr="0047156E">
        <w:rPr>
          <w:rFonts w:ascii="Book Antiqua" w:eastAsia="SimSun" w:hAnsi="Book Antiqua" w:cs="SimSun"/>
          <w:sz w:val="24"/>
          <w:szCs w:val="24"/>
          <w:lang w:val="en-US" w:eastAsia="zh-CN"/>
        </w:rPr>
        <w:t xml:space="preserve">, Rachiglio AM, Lambiase M, Martinelli E, Fenizia F, Esposito C, Roma C, Troiani T, Rizzi D, Tatangelo F, Botti G, Maiello E, Colucci G, Ciardiello F. Heterogeneity of KRAS, NRAS, BRAF and PIK3CA mutations in metastatic colorectal cancer and potential effects on therapy in the CAPRI GOIM trial. </w:t>
      </w:r>
      <w:r w:rsidRPr="0047156E">
        <w:rPr>
          <w:rFonts w:ascii="Book Antiqua" w:eastAsia="SimSun" w:hAnsi="Book Antiqua" w:cs="SimSun"/>
          <w:i/>
          <w:iCs/>
          <w:sz w:val="24"/>
          <w:szCs w:val="24"/>
          <w:lang w:val="en-US" w:eastAsia="zh-CN"/>
        </w:rPr>
        <w:t>Ann Oncol</w:t>
      </w:r>
      <w:r w:rsidRPr="0047156E">
        <w:rPr>
          <w:rFonts w:ascii="Book Antiqua" w:eastAsia="SimSun" w:hAnsi="Book Antiqua" w:cs="SimSun"/>
          <w:sz w:val="24"/>
          <w:szCs w:val="24"/>
          <w:lang w:val="en-US" w:eastAsia="zh-CN"/>
        </w:rPr>
        <w:t xml:space="preserve"> 2015; </w:t>
      </w:r>
      <w:r w:rsidRPr="0047156E">
        <w:rPr>
          <w:rFonts w:ascii="Book Antiqua" w:eastAsia="SimSun" w:hAnsi="Book Antiqua" w:cs="SimSun"/>
          <w:b/>
          <w:bCs/>
          <w:sz w:val="24"/>
          <w:szCs w:val="24"/>
          <w:lang w:val="en-US" w:eastAsia="zh-CN"/>
        </w:rPr>
        <w:t>26</w:t>
      </w:r>
      <w:r w:rsidRPr="0047156E">
        <w:rPr>
          <w:rFonts w:ascii="Book Antiqua" w:eastAsia="SimSun" w:hAnsi="Book Antiqua" w:cs="SimSun"/>
          <w:sz w:val="24"/>
          <w:szCs w:val="24"/>
          <w:lang w:val="en-US" w:eastAsia="zh-CN"/>
        </w:rPr>
        <w:t>: 1710-1714 [PMID: 25851630 DOI: 10.1093/annonc/mdv176]</w:t>
      </w:r>
    </w:p>
    <w:p w14:paraId="63CA98BD"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5</w:t>
      </w:r>
      <w:r w:rsidRPr="0047156E">
        <w:rPr>
          <w:rFonts w:ascii="Book Antiqua" w:eastAsia="SimSun" w:hAnsi="Book Antiqua" w:cs="SimSun" w:hint="eastAsia"/>
          <w:sz w:val="24"/>
          <w:szCs w:val="24"/>
          <w:lang w:val="en-US" w:eastAsia="zh-CN"/>
        </w:rPr>
        <w:t>0</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Kohl NE</w:t>
      </w:r>
      <w:r w:rsidRPr="0047156E">
        <w:rPr>
          <w:rFonts w:ascii="Book Antiqua" w:eastAsia="SimSun" w:hAnsi="Book Antiqua" w:cs="SimSun"/>
          <w:sz w:val="24"/>
          <w:szCs w:val="24"/>
          <w:lang w:val="en-US" w:eastAsia="zh-CN"/>
        </w:rPr>
        <w:t xml:space="preserve">, Omer CA, Conner MW, Anthony NJ, Davide JP, deSolms SJ, Giuliani EA, Gomez RP, Graham SL, Hamilton K. Inhibition of farnesyltransferase induces regression of mammary and salivary carcinomas in ras transgenic mice. </w:t>
      </w:r>
      <w:r w:rsidRPr="0047156E">
        <w:rPr>
          <w:rFonts w:ascii="Book Antiqua" w:eastAsia="SimSun" w:hAnsi="Book Antiqua" w:cs="SimSun"/>
          <w:i/>
          <w:iCs/>
          <w:sz w:val="24"/>
          <w:szCs w:val="24"/>
          <w:lang w:val="en-US" w:eastAsia="zh-CN"/>
        </w:rPr>
        <w:t>Nat Med</w:t>
      </w:r>
      <w:r w:rsidRPr="0047156E">
        <w:rPr>
          <w:rFonts w:ascii="Book Antiqua" w:eastAsia="SimSun" w:hAnsi="Book Antiqua" w:cs="SimSun"/>
          <w:sz w:val="24"/>
          <w:szCs w:val="24"/>
          <w:lang w:val="en-US" w:eastAsia="zh-CN"/>
        </w:rPr>
        <w:t xml:space="preserve"> 1995; </w:t>
      </w:r>
      <w:r w:rsidRPr="0047156E">
        <w:rPr>
          <w:rFonts w:ascii="Book Antiqua" w:eastAsia="SimSun" w:hAnsi="Book Antiqua" w:cs="SimSun"/>
          <w:b/>
          <w:bCs/>
          <w:sz w:val="24"/>
          <w:szCs w:val="24"/>
          <w:lang w:val="en-US" w:eastAsia="zh-CN"/>
        </w:rPr>
        <w:t>1</w:t>
      </w:r>
      <w:r w:rsidRPr="0047156E">
        <w:rPr>
          <w:rFonts w:ascii="Book Antiqua" w:eastAsia="SimSun" w:hAnsi="Book Antiqua" w:cs="SimSun"/>
          <w:sz w:val="24"/>
          <w:szCs w:val="24"/>
          <w:lang w:val="en-US" w:eastAsia="zh-CN"/>
        </w:rPr>
        <w:t>: 792-797 [PMID: 7585182 DOI: 10.1038/nm0895-792]</w:t>
      </w:r>
    </w:p>
    <w:p w14:paraId="6E527821"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5</w:t>
      </w:r>
      <w:r w:rsidRPr="0047156E">
        <w:rPr>
          <w:rFonts w:ascii="Book Antiqua" w:eastAsia="SimSun" w:hAnsi="Book Antiqua" w:cs="SimSun" w:hint="eastAsia"/>
          <w:sz w:val="24"/>
          <w:szCs w:val="24"/>
          <w:lang w:val="en-US" w:eastAsia="zh-CN"/>
        </w:rPr>
        <w:t>1</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Macdonald JS</w:t>
      </w:r>
      <w:r w:rsidRPr="0047156E">
        <w:rPr>
          <w:rFonts w:ascii="Book Antiqua" w:eastAsia="SimSun" w:hAnsi="Book Antiqua" w:cs="SimSun"/>
          <w:sz w:val="24"/>
          <w:szCs w:val="24"/>
          <w:lang w:val="en-US" w:eastAsia="zh-CN"/>
        </w:rPr>
        <w:t xml:space="preserve">, McCoy S, Whitehead RP, Iqbal S, Wade JL, Giguere JK, Abbruzzese JL. A phase II study of farnesyl transferase inhibitor R115777 in pancreatic cancer: a Southwest oncology group (SWOG 9924) study. </w:t>
      </w:r>
      <w:r w:rsidRPr="0047156E">
        <w:rPr>
          <w:rFonts w:ascii="Book Antiqua" w:eastAsia="SimSun" w:hAnsi="Book Antiqua" w:cs="SimSun"/>
          <w:i/>
          <w:iCs/>
          <w:sz w:val="24"/>
          <w:szCs w:val="24"/>
          <w:lang w:val="en-US" w:eastAsia="zh-CN"/>
        </w:rPr>
        <w:t>Invest New Drugs</w:t>
      </w:r>
      <w:r w:rsidRPr="0047156E">
        <w:rPr>
          <w:rFonts w:ascii="Book Antiqua" w:eastAsia="SimSun" w:hAnsi="Book Antiqua" w:cs="SimSun"/>
          <w:sz w:val="24"/>
          <w:szCs w:val="24"/>
          <w:lang w:val="en-US" w:eastAsia="zh-CN"/>
        </w:rPr>
        <w:t xml:space="preserve"> 2005; </w:t>
      </w:r>
      <w:r w:rsidRPr="0047156E">
        <w:rPr>
          <w:rFonts w:ascii="Book Antiqua" w:eastAsia="SimSun" w:hAnsi="Book Antiqua" w:cs="SimSun"/>
          <w:b/>
          <w:bCs/>
          <w:sz w:val="24"/>
          <w:szCs w:val="24"/>
          <w:lang w:val="en-US" w:eastAsia="zh-CN"/>
        </w:rPr>
        <w:t>23</w:t>
      </w:r>
      <w:r w:rsidRPr="0047156E">
        <w:rPr>
          <w:rFonts w:ascii="Book Antiqua" w:eastAsia="SimSun" w:hAnsi="Book Antiqua" w:cs="SimSun"/>
          <w:sz w:val="24"/>
          <w:szCs w:val="24"/>
          <w:lang w:val="en-US" w:eastAsia="zh-CN"/>
        </w:rPr>
        <w:t>: 485-487 [PMID: 16133800 DOI: 10.1007/s10637-005-2908-y]</w:t>
      </w:r>
    </w:p>
    <w:p w14:paraId="6CD77249"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5</w:t>
      </w:r>
      <w:r w:rsidRPr="0047156E">
        <w:rPr>
          <w:rFonts w:ascii="Book Antiqua" w:eastAsia="SimSun" w:hAnsi="Book Antiqua" w:cs="SimSun" w:hint="eastAsia"/>
          <w:sz w:val="24"/>
          <w:szCs w:val="24"/>
          <w:lang w:val="en-US" w:eastAsia="zh-CN"/>
        </w:rPr>
        <w:t>2</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Migliardi G</w:t>
      </w:r>
      <w:r w:rsidRPr="0047156E">
        <w:rPr>
          <w:rFonts w:ascii="Book Antiqua" w:eastAsia="SimSun" w:hAnsi="Book Antiqua" w:cs="SimSun"/>
          <w:sz w:val="24"/>
          <w:szCs w:val="24"/>
          <w:lang w:val="en-US" w:eastAsia="zh-CN"/>
        </w:rPr>
        <w:t xml:space="preserve">, Sassi F, Torti D, Galimi F, Zanella ER, Buscarino M, Ribero D, Muratore A, Massucco P, Pisacane A, Risio M, Capussotti L, Marsoni S, Di Nicolantonio F, Bardelli A, Comoglio PM, Trusolino L, Bertotti A. Inhibition of MEK and PI3K/mTOR suppresses tumor growth but does not cause tumor regression in patient-derived xenografts of RAS-mutant colorectal carcinomas. </w:t>
      </w:r>
      <w:r w:rsidRPr="0047156E">
        <w:rPr>
          <w:rFonts w:ascii="Book Antiqua" w:eastAsia="SimSun" w:hAnsi="Book Antiqua" w:cs="SimSun"/>
          <w:i/>
          <w:iCs/>
          <w:sz w:val="24"/>
          <w:szCs w:val="24"/>
          <w:lang w:val="en-US" w:eastAsia="zh-CN"/>
        </w:rPr>
        <w:t>Clin Cancer Res</w:t>
      </w:r>
      <w:r w:rsidRPr="0047156E">
        <w:rPr>
          <w:rFonts w:ascii="Book Antiqua" w:eastAsia="SimSun" w:hAnsi="Book Antiqua" w:cs="SimSun"/>
          <w:sz w:val="24"/>
          <w:szCs w:val="24"/>
          <w:lang w:val="en-US" w:eastAsia="zh-CN"/>
        </w:rPr>
        <w:t xml:space="preserve"> 2012; </w:t>
      </w:r>
      <w:r w:rsidRPr="0047156E">
        <w:rPr>
          <w:rFonts w:ascii="Book Antiqua" w:eastAsia="SimSun" w:hAnsi="Book Antiqua" w:cs="SimSun"/>
          <w:b/>
          <w:bCs/>
          <w:sz w:val="24"/>
          <w:szCs w:val="24"/>
          <w:lang w:val="en-US" w:eastAsia="zh-CN"/>
        </w:rPr>
        <w:t>18</w:t>
      </w:r>
      <w:r w:rsidRPr="0047156E">
        <w:rPr>
          <w:rFonts w:ascii="Book Antiqua" w:eastAsia="SimSun" w:hAnsi="Book Antiqua" w:cs="SimSun"/>
          <w:sz w:val="24"/>
          <w:szCs w:val="24"/>
          <w:lang w:val="en-US" w:eastAsia="zh-CN"/>
        </w:rPr>
        <w:t>: 2515-2525 [PMID: 22392911]</w:t>
      </w:r>
    </w:p>
    <w:p w14:paraId="204854BB"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5</w:t>
      </w:r>
      <w:r w:rsidRPr="0047156E">
        <w:rPr>
          <w:rFonts w:ascii="Book Antiqua" w:eastAsia="SimSun" w:hAnsi="Book Antiqua" w:cs="SimSun" w:hint="eastAsia"/>
          <w:sz w:val="24"/>
          <w:szCs w:val="24"/>
          <w:lang w:val="en-US" w:eastAsia="zh-CN"/>
        </w:rPr>
        <w:t>3</w:t>
      </w:r>
      <w:r w:rsidRPr="0047156E">
        <w:rPr>
          <w:rFonts w:ascii="Book Antiqua" w:eastAsia="SimSun" w:hAnsi="Book Antiqua" w:cs="SimSun"/>
          <w:sz w:val="24"/>
          <w:szCs w:val="24"/>
          <w:lang w:val="en-US" w:eastAsia="zh-CN"/>
        </w:rPr>
        <w:t xml:space="preserve"> </w:t>
      </w:r>
      <w:r w:rsidRPr="0047156E">
        <w:rPr>
          <w:rFonts w:ascii="Book Antiqua" w:eastAsia="SimSun" w:hAnsi="Book Antiqua" w:cs="Times New Roman"/>
          <w:b/>
          <w:bCs/>
          <w:kern w:val="2"/>
          <w:sz w:val="24"/>
          <w:szCs w:val="24"/>
          <w:lang w:val="en-US" w:eastAsia="zh-CN"/>
        </w:rPr>
        <w:t>Costa-Cabral S</w:t>
      </w:r>
      <w:r w:rsidRPr="0047156E">
        <w:rPr>
          <w:rFonts w:ascii="Book Antiqua" w:eastAsia="SimSun" w:hAnsi="Book Antiqua" w:cs="Times New Roman"/>
          <w:bCs/>
          <w:kern w:val="2"/>
          <w:sz w:val="24"/>
          <w:szCs w:val="24"/>
          <w:lang w:val="en-US" w:eastAsia="zh-CN"/>
        </w:rPr>
        <w:t>, Brough R, Konde A, Aarts M, Campbell J, Marinari E, Riffell J, Bardelli A, Torrance C, Lord CJ, Ashworth A</w:t>
      </w:r>
      <w:r w:rsidRPr="0047156E">
        <w:rPr>
          <w:rFonts w:ascii="Book Antiqua" w:eastAsia="SimSun" w:hAnsi="Book Antiqua" w:cs="SimSun"/>
          <w:sz w:val="24"/>
          <w:szCs w:val="24"/>
          <w:lang w:val="en-US" w:eastAsia="zh-CN"/>
        </w:rPr>
        <w:t xml:space="preserve">. Correction: CDK1 Is a Synthetic Lethal Target for KRAS Mutant Tumours. </w:t>
      </w:r>
      <w:r w:rsidRPr="0047156E">
        <w:rPr>
          <w:rFonts w:ascii="Book Antiqua" w:eastAsia="SimSun" w:hAnsi="Book Antiqua" w:cs="SimSun"/>
          <w:i/>
          <w:iCs/>
          <w:sz w:val="24"/>
          <w:szCs w:val="24"/>
          <w:lang w:val="en-US" w:eastAsia="zh-CN"/>
        </w:rPr>
        <w:t>PLoS One</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hint="eastAsia"/>
          <w:sz w:val="24"/>
          <w:szCs w:val="24"/>
          <w:lang w:val="en-US" w:eastAsia="zh-CN"/>
        </w:rPr>
        <w:t>2016</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11</w:t>
      </w:r>
      <w:r w:rsidRPr="0047156E">
        <w:rPr>
          <w:rFonts w:ascii="Book Antiqua" w:eastAsia="SimSun" w:hAnsi="Book Antiqua" w:cs="SimSun"/>
          <w:sz w:val="24"/>
          <w:szCs w:val="24"/>
          <w:lang w:val="en-US" w:eastAsia="zh-CN"/>
        </w:rPr>
        <w:t>: e0154007 [PMID: 27088596 DOI: 10.1371/journal.pone.0154007]</w:t>
      </w:r>
    </w:p>
    <w:p w14:paraId="11E7474E"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lastRenderedPageBreak/>
        <w:t>5</w:t>
      </w:r>
      <w:r w:rsidRPr="0047156E">
        <w:rPr>
          <w:rFonts w:ascii="Book Antiqua" w:eastAsia="SimSun" w:hAnsi="Book Antiqua" w:cs="SimSun" w:hint="eastAsia"/>
          <w:sz w:val="24"/>
          <w:szCs w:val="24"/>
          <w:lang w:val="en-US" w:eastAsia="zh-CN"/>
        </w:rPr>
        <w:t>4</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Ostrem JM</w:t>
      </w:r>
      <w:r w:rsidRPr="0047156E">
        <w:rPr>
          <w:rFonts w:ascii="Book Antiqua" w:eastAsia="SimSun" w:hAnsi="Book Antiqua" w:cs="SimSun"/>
          <w:sz w:val="24"/>
          <w:szCs w:val="24"/>
          <w:lang w:val="en-US" w:eastAsia="zh-CN"/>
        </w:rPr>
        <w:t xml:space="preserve">, Peters U, Sos ML, Wells JA, Shokat KM. K-Ras(G12C) inhibitors allosterically control GTP affinity and effector interactions. </w:t>
      </w:r>
      <w:r w:rsidRPr="0047156E">
        <w:rPr>
          <w:rFonts w:ascii="Book Antiqua" w:eastAsia="SimSun" w:hAnsi="Book Antiqua" w:cs="SimSun"/>
          <w:i/>
          <w:iCs/>
          <w:sz w:val="24"/>
          <w:szCs w:val="24"/>
          <w:lang w:val="en-US" w:eastAsia="zh-CN"/>
        </w:rPr>
        <w:t>Nature</w:t>
      </w:r>
      <w:r w:rsidRPr="0047156E">
        <w:rPr>
          <w:rFonts w:ascii="Book Antiqua" w:eastAsia="SimSun" w:hAnsi="Book Antiqua" w:cs="SimSun"/>
          <w:sz w:val="24"/>
          <w:szCs w:val="24"/>
          <w:lang w:val="en-US" w:eastAsia="zh-CN"/>
        </w:rPr>
        <w:t xml:space="preserve"> 2013; </w:t>
      </w:r>
      <w:r w:rsidRPr="0047156E">
        <w:rPr>
          <w:rFonts w:ascii="Book Antiqua" w:eastAsia="SimSun" w:hAnsi="Book Antiqua" w:cs="SimSun"/>
          <w:b/>
          <w:bCs/>
          <w:sz w:val="24"/>
          <w:szCs w:val="24"/>
          <w:lang w:val="en-US" w:eastAsia="zh-CN"/>
        </w:rPr>
        <w:t>503</w:t>
      </w:r>
      <w:r w:rsidRPr="0047156E">
        <w:rPr>
          <w:rFonts w:ascii="Book Antiqua" w:eastAsia="SimSun" w:hAnsi="Book Antiqua" w:cs="SimSun"/>
          <w:sz w:val="24"/>
          <w:szCs w:val="24"/>
          <w:lang w:val="en-US" w:eastAsia="zh-CN"/>
        </w:rPr>
        <w:t>: 548-551 [PMID: 24256730 DOI: 10.1038/nature12796]</w:t>
      </w:r>
    </w:p>
    <w:p w14:paraId="70A725BE"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5</w:t>
      </w:r>
      <w:r w:rsidRPr="0047156E">
        <w:rPr>
          <w:rFonts w:ascii="Book Antiqua" w:eastAsia="SimSun" w:hAnsi="Book Antiqua" w:cs="SimSun" w:hint="eastAsia"/>
          <w:sz w:val="24"/>
          <w:szCs w:val="24"/>
          <w:lang w:val="en-US" w:eastAsia="zh-CN"/>
        </w:rPr>
        <w:t>5</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Ziemke EK</w:t>
      </w:r>
      <w:r w:rsidRPr="0047156E">
        <w:rPr>
          <w:rFonts w:ascii="Book Antiqua" w:eastAsia="SimSun" w:hAnsi="Book Antiqua" w:cs="SimSun"/>
          <w:sz w:val="24"/>
          <w:szCs w:val="24"/>
          <w:lang w:val="en-US" w:eastAsia="zh-CN"/>
        </w:rPr>
        <w:t xml:space="preserve">, Dosch JS, Maust JD, Shettigar A, Sen A, Welling TH, Hardiman KM, Sebolt-Leopold JS. Sensitivity of KRAS-Mutant Colorectal Cancers to Combination Therapy That Cotargets MEK and CDK4/6. </w:t>
      </w:r>
      <w:r w:rsidRPr="0047156E">
        <w:rPr>
          <w:rFonts w:ascii="Book Antiqua" w:eastAsia="SimSun" w:hAnsi="Book Antiqua" w:cs="SimSun"/>
          <w:i/>
          <w:iCs/>
          <w:sz w:val="24"/>
          <w:szCs w:val="24"/>
          <w:lang w:val="en-US" w:eastAsia="zh-CN"/>
        </w:rPr>
        <w:t>Clin Cancer Res</w:t>
      </w:r>
      <w:r w:rsidRPr="0047156E">
        <w:rPr>
          <w:rFonts w:ascii="Book Antiqua" w:eastAsia="SimSun" w:hAnsi="Book Antiqua" w:cs="SimSun"/>
          <w:sz w:val="24"/>
          <w:szCs w:val="24"/>
          <w:lang w:val="en-US" w:eastAsia="zh-CN"/>
        </w:rPr>
        <w:t xml:space="preserve"> 2016; </w:t>
      </w:r>
      <w:r w:rsidRPr="0047156E">
        <w:rPr>
          <w:rFonts w:ascii="Book Antiqua" w:eastAsia="SimSun" w:hAnsi="Book Antiqua" w:cs="SimSun"/>
          <w:b/>
          <w:bCs/>
          <w:sz w:val="24"/>
          <w:szCs w:val="24"/>
          <w:lang w:val="en-US" w:eastAsia="zh-CN"/>
        </w:rPr>
        <w:t>22</w:t>
      </w:r>
      <w:r w:rsidRPr="0047156E">
        <w:rPr>
          <w:rFonts w:ascii="Book Antiqua" w:eastAsia="SimSun" w:hAnsi="Book Antiqua" w:cs="SimSun"/>
          <w:sz w:val="24"/>
          <w:szCs w:val="24"/>
          <w:lang w:val="en-US" w:eastAsia="zh-CN"/>
        </w:rPr>
        <w:t>: 405-414 [PMID: 26369631]</w:t>
      </w:r>
    </w:p>
    <w:p w14:paraId="575FE2E2"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5</w:t>
      </w:r>
      <w:r w:rsidRPr="0047156E">
        <w:rPr>
          <w:rFonts w:ascii="Book Antiqua" w:eastAsia="SimSun" w:hAnsi="Book Antiqua" w:cs="SimSun" w:hint="eastAsia"/>
          <w:sz w:val="24"/>
          <w:szCs w:val="24"/>
          <w:lang w:val="en-US" w:eastAsia="zh-CN"/>
        </w:rPr>
        <w:t>6</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Ciombor KK</w:t>
      </w:r>
      <w:r w:rsidRPr="0047156E">
        <w:rPr>
          <w:rFonts w:ascii="Book Antiqua" w:eastAsia="SimSun" w:hAnsi="Book Antiqua" w:cs="SimSun"/>
          <w:sz w:val="24"/>
          <w:szCs w:val="24"/>
          <w:lang w:val="en-US" w:eastAsia="zh-CN"/>
        </w:rPr>
        <w:t xml:space="preserve">, Wu C, Goldberg RM. Recent therapeutic advances in the treatment of colorectal cancer. </w:t>
      </w:r>
      <w:r w:rsidRPr="0047156E">
        <w:rPr>
          <w:rFonts w:ascii="Book Antiqua" w:eastAsia="SimSun" w:hAnsi="Book Antiqua" w:cs="SimSun"/>
          <w:i/>
          <w:iCs/>
          <w:sz w:val="24"/>
          <w:szCs w:val="24"/>
          <w:lang w:val="en-US" w:eastAsia="zh-CN"/>
        </w:rPr>
        <w:t>Annu Rev Med</w:t>
      </w:r>
      <w:r w:rsidRPr="0047156E">
        <w:rPr>
          <w:rFonts w:ascii="Book Antiqua" w:eastAsia="SimSun" w:hAnsi="Book Antiqua" w:cs="SimSun"/>
          <w:sz w:val="24"/>
          <w:szCs w:val="24"/>
          <w:lang w:val="en-US" w:eastAsia="zh-CN"/>
        </w:rPr>
        <w:t xml:space="preserve"> 2015; </w:t>
      </w:r>
      <w:r w:rsidRPr="0047156E">
        <w:rPr>
          <w:rFonts w:ascii="Book Antiqua" w:eastAsia="SimSun" w:hAnsi="Book Antiqua" w:cs="SimSun"/>
          <w:b/>
          <w:bCs/>
          <w:sz w:val="24"/>
          <w:szCs w:val="24"/>
          <w:lang w:val="en-US" w:eastAsia="zh-CN"/>
        </w:rPr>
        <w:t>66</w:t>
      </w:r>
      <w:r w:rsidRPr="0047156E">
        <w:rPr>
          <w:rFonts w:ascii="Book Antiqua" w:eastAsia="SimSun" w:hAnsi="Book Antiqua" w:cs="SimSun"/>
          <w:sz w:val="24"/>
          <w:szCs w:val="24"/>
          <w:lang w:val="en-US" w:eastAsia="zh-CN"/>
        </w:rPr>
        <w:t>: 83-95 [PMID: 25341011 DOI: 10.1146/annurev-med-051513-102539]</w:t>
      </w:r>
    </w:p>
    <w:p w14:paraId="148FD17E"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5</w:t>
      </w:r>
      <w:r w:rsidRPr="0047156E">
        <w:rPr>
          <w:rFonts w:ascii="Book Antiqua" w:eastAsia="SimSun" w:hAnsi="Book Antiqua" w:cs="SimSun" w:hint="eastAsia"/>
          <w:sz w:val="24"/>
          <w:szCs w:val="24"/>
          <w:lang w:val="en-US" w:eastAsia="zh-CN"/>
        </w:rPr>
        <w:t>7</w:t>
      </w:r>
      <w:r w:rsidRPr="0047156E">
        <w:rPr>
          <w:rFonts w:ascii="Book Antiqua" w:eastAsia="SimSun" w:hAnsi="Book Antiqua" w:cs="SimSun"/>
          <w:sz w:val="24"/>
          <w:szCs w:val="24"/>
          <w:lang w:val="en-US" w:eastAsia="zh-CN"/>
        </w:rPr>
        <w:t xml:space="preserve"> ClinicalTrials.gov Identifier: NCT01274624</w:t>
      </w:r>
    </w:p>
    <w:p w14:paraId="6C649CFF"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5</w:t>
      </w:r>
      <w:r w:rsidRPr="0047156E">
        <w:rPr>
          <w:rFonts w:ascii="Book Antiqua" w:eastAsia="SimSun" w:hAnsi="Book Antiqua" w:cs="SimSun" w:hint="eastAsia"/>
          <w:sz w:val="24"/>
          <w:szCs w:val="24"/>
          <w:lang w:val="en-US" w:eastAsia="zh-CN"/>
        </w:rPr>
        <w:t>8</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Sridhar SS</w:t>
      </w:r>
      <w:r w:rsidRPr="0047156E">
        <w:rPr>
          <w:rFonts w:ascii="Book Antiqua" w:eastAsia="SimSun" w:hAnsi="Book Antiqua" w:cs="SimSun"/>
          <w:sz w:val="24"/>
          <w:szCs w:val="24"/>
          <w:lang w:val="en-US" w:eastAsia="zh-CN"/>
        </w:rPr>
        <w:t xml:space="preserve">, Hedley D, Siu LL. Raf kinase as a target for anticancer therapeutics. </w:t>
      </w:r>
      <w:r w:rsidRPr="0047156E">
        <w:rPr>
          <w:rFonts w:ascii="Book Antiqua" w:eastAsia="SimSun" w:hAnsi="Book Antiqua" w:cs="SimSun"/>
          <w:i/>
          <w:iCs/>
          <w:sz w:val="24"/>
          <w:szCs w:val="24"/>
          <w:lang w:val="en-US" w:eastAsia="zh-CN"/>
        </w:rPr>
        <w:t>Mol Cancer Ther</w:t>
      </w:r>
      <w:r w:rsidRPr="0047156E">
        <w:rPr>
          <w:rFonts w:ascii="Book Antiqua" w:eastAsia="SimSun" w:hAnsi="Book Antiqua" w:cs="SimSun"/>
          <w:sz w:val="24"/>
          <w:szCs w:val="24"/>
          <w:lang w:val="en-US" w:eastAsia="zh-CN"/>
        </w:rPr>
        <w:t xml:space="preserve"> 2005; </w:t>
      </w:r>
      <w:r w:rsidRPr="0047156E">
        <w:rPr>
          <w:rFonts w:ascii="Book Antiqua" w:eastAsia="SimSun" w:hAnsi="Book Antiqua" w:cs="SimSun"/>
          <w:b/>
          <w:bCs/>
          <w:sz w:val="24"/>
          <w:szCs w:val="24"/>
          <w:lang w:val="en-US" w:eastAsia="zh-CN"/>
        </w:rPr>
        <w:t>4</w:t>
      </w:r>
      <w:r w:rsidRPr="0047156E">
        <w:rPr>
          <w:rFonts w:ascii="Book Antiqua" w:eastAsia="SimSun" w:hAnsi="Book Antiqua" w:cs="SimSun"/>
          <w:sz w:val="24"/>
          <w:szCs w:val="24"/>
          <w:lang w:val="en-US" w:eastAsia="zh-CN"/>
        </w:rPr>
        <w:t>: 677-685 [PMID: 15827342 DOI: 10.1158/1535-7163.MCT-04-0297]</w:t>
      </w:r>
    </w:p>
    <w:p w14:paraId="6AE7D4C0" w14:textId="77777777" w:rsidR="0047156E" w:rsidRPr="0047156E" w:rsidRDefault="0047156E" w:rsidP="0047156E">
      <w:pPr>
        <w:autoSpaceDE w:val="0"/>
        <w:autoSpaceDN w:val="0"/>
        <w:adjustRightInd w:val="0"/>
        <w:snapToGrid w:val="0"/>
        <w:spacing w:after="0" w:line="360" w:lineRule="auto"/>
        <w:jc w:val="both"/>
        <w:rPr>
          <w:rFonts w:ascii="Book Antiqua" w:eastAsia="SimSun" w:hAnsi="Book Antiqua" w:cs="Times New Roman"/>
          <w:bCs/>
          <w:kern w:val="2"/>
          <w:sz w:val="24"/>
          <w:szCs w:val="24"/>
          <w:lang w:val="en-US" w:eastAsia="zh-CN"/>
        </w:rPr>
      </w:pPr>
      <w:r w:rsidRPr="0047156E">
        <w:rPr>
          <w:rFonts w:ascii="Book Antiqua" w:eastAsia="SimSun" w:hAnsi="Book Antiqua" w:cs="SimSun" w:hint="eastAsia"/>
          <w:sz w:val="24"/>
          <w:szCs w:val="24"/>
          <w:lang w:val="en-US" w:eastAsia="zh-CN"/>
        </w:rPr>
        <w:t xml:space="preserve">59 </w:t>
      </w:r>
      <w:r w:rsidRPr="0047156E">
        <w:rPr>
          <w:rFonts w:ascii="Book Antiqua" w:eastAsia="SimSun" w:hAnsi="Book Antiqua" w:cs="Times New Roman"/>
          <w:b/>
          <w:bCs/>
          <w:kern w:val="2"/>
          <w:sz w:val="24"/>
          <w:szCs w:val="24"/>
          <w:lang w:val="en-US" w:eastAsia="zh-CN"/>
        </w:rPr>
        <w:t>Davies H</w:t>
      </w:r>
      <w:r w:rsidRPr="0047156E">
        <w:rPr>
          <w:rFonts w:ascii="Book Antiqua" w:eastAsia="SimSun" w:hAnsi="Book Antiqua" w:cs="Times New Roman"/>
          <w:bCs/>
          <w:kern w:val="2"/>
          <w:sz w:val="24"/>
          <w:szCs w:val="24"/>
          <w:lang w:val="en-US" w:eastAsia="zh-CN"/>
        </w:rPr>
        <w:t xml:space="preserve">, Bignell GR, Cox C, Stephens P, Edkins S, Clegg S, Teague J, Woffendin H, Garnett MJ, Bottomley W, Davis N, Dicks E, Ewing R, Floyd Y, Gray K, Hall S, Hawes R, Hughes J, Kosmidou V, Menzies A, Mould C, Parker A, Stevens C, Watt S, Hooper S, Wilson R, Jayatilake H, Gusterson BA, Cooper C, Shipley J, Hargrave D, Pritchard-Jones K, Maitland N, Chenevix-Trench G, Riggins GJ, Bigner DD, Palmieri G, Cossu A, Flanagan A, Nicholson A, Ho JW, Leung SY, Yuen ST, Weber BL, Seigler HF, Darrow TL, Paterson H, Marais R, Marshall CJ, Wooster R, Stratton MR, Futreal PA. Mutations of the BRAF gene in human cancer. </w:t>
      </w:r>
      <w:r w:rsidRPr="0047156E">
        <w:rPr>
          <w:rFonts w:ascii="Book Antiqua" w:eastAsia="SimSun" w:hAnsi="Book Antiqua" w:cs="Times New Roman"/>
          <w:bCs/>
          <w:i/>
          <w:kern w:val="2"/>
          <w:sz w:val="24"/>
          <w:szCs w:val="24"/>
          <w:lang w:val="en-US" w:eastAsia="zh-CN"/>
        </w:rPr>
        <w:t>Nature</w:t>
      </w:r>
      <w:r w:rsidRPr="0047156E">
        <w:rPr>
          <w:rFonts w:ascii="Book Antiqua" w:eastAsia="SimSun" w:hAnsi="Book Antiqua" w:cs="Times New Roman"/>
          <w:bCs/>
          <w:kern w:val="2"/>
          <w:sz w:val="24"/>
          <w:szCs w:val="24"/>
          <w:lang w:val="en-US" w:eastAsia="zh-CN"/>
        </w:rPr>
        <w:t xml:space="preserve"> 2002; </w:t>
      </w:r>
      <w:r w:rsidRPr="0047156E">
        <w:rPr>
          <w:rFonts w:ascii="Book Antiqua" w:eastAsia="SimSun" w:hAnsi="Book Antiqua" w:cs="Times New Roman"/>
          <w:b/>
          <w:bCs/>
          <w:kern w:val="2"/>
          <w:sz w:val="24"/>
          <w:szCs w:val="24"/>
          <w:lang w:val="en-US" w:eastAsia="zh-CN"/>
        </w:rPr>
        <w:t>417</w:t>
      </w:r>
      <w:r w:rsidRPr="0047156E">
        <w:rPr>
          <w:rFonts w:ascii="Book Antiqua" w:eastAsia="SimSun" w:hAnsi="Book Antiqua" w:cs="Times New Roman"/>
          <w:bCs/>
          <w:kern w:val="2"/>
          <w:sz w:val="24"/>
          <w:szCs w:val="24"/>
          <w:lang w:val="en-US" w:eastAsia="zh-CN"/>
        </w:rPr>
        <w:t>: 949-954 [PMID: 12068308 DOI: 10.1038/nature00766]</w:t>
      </w:r>
    </w:p>
    <w:p w14:paraId="5AD9BC2A"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s-ES_tradnl" w:eastAsia="zh-CN"/>
        </w:rPr>
        <w:t>6</w:t>
      </w:r>
      <w:r w:rsidRPr="0047156E">
        <w:rPr>
          <w:rFonts w:ascii="Book Antiqua" w:eastAsia="SimSun" w:hAnsi="Book Antiqua" w:cs="SimSun" w:hint="eastAsia"/>
          <w:sz w:val="24"/>
          <w:szCs w:val="24"/>
          <w:lang w:val="es-ES_tradnl" w:eastAsia="zh-CN"/>
        </w:rPr>
        <w:t>0</w:t>
      </w:r>
      <w:r w:rsidRPr="0047156E">
        <w:rPr>
          <w:rFonts w:ascii="Book Antiqua" w:eastAsia="SimSun" w:hAnsi="Book Antiqua" w:cs="SimSun"/>
          <w:sz w:val="24"/>
          <w:szCs w:val="24"/>
          <w:lang w:val="es-ES_tradnl" w:eastAsia="zh-CN"/>
        </w:rPr>
        <w:t xml:space="preserve"> </w:t>
      </w:r>
      <w:r w:rsidRPr="0047156E">
        <w:rPr>
          <w:rFonts w:ascii="Book Antiqua" w:eastAsia="SimSun" w:hAnsi="Book Antiqua" w:cs="SimSun"/>
          <w:b/>
          <w:bCs/>
          <w:sz w:val="24"/>
          <w:szCs w:val="24"/>
          <w:lang w:val="es-ES_tradnl" w:eastAsia="zh-CN"/>
        </w:rPr>
        <w:t>Rajagopalan H</w:t>
      </w:r>
      <w:r w:rsidRPr="0047156E">
        <w:rPr>
          <w:rFonts w:ascii="Book Antiqua" w:eastAsia="SimSun" w:hAnsi="Book Antiqua" w:cs="SimSun"/>
          <w:sz w:val="24"/>
          <w:szCs w:val="24"/>
          <w:lang w:val="es-ES_tradnl" w:eastAsia="zh-CN"/>
        </w:rPr>
        <w:t xml:space="preserve">, Bardelli A, Lengauer C, Kinzler KW, Vogelstein B, Velculescu VE. </w:t>
      </w:r>
      <w:r w:rsidRPr="0047156E">
        <w:rPr>
          <w:rFonts w:ascii="Book Antiqua" w:eastAsia="SimSun" w:hAnsi="Book Antiqua" w:cs="SimSun"/>
          <w:sz w:val="24"/>
          <w:szCs w:val="24"/>
          <w:lang w:val="en-US" w:eastAsia="zh-CN"/>
        </w:rPr>
        <w:t xml:space="preserve">Tumorigenesis: RAF/RAS oncogenes and mismatch-repair status. </w:t>
      </w:r>
      <w:r w:rsidRPr="0047156E">
        <w:rPr>
          <w:rFonts w:ascii="Book Antiqua" w:eastAsia="SimSun" w:hAnsi="Book Antiqua" w:cs="SimSun"/>
          <w:i/>
          <w:iCs/>
          <w:sz w:val="24"/>
          <w:szCs w:val="24"/>
          <w:lang w:val="en-US" w:eastAsia="zh-CN"/>
        </w:rPr>
        <w:t>Nature</w:t>
      </w:r>
      <w:r w:rsidRPr="0047156E">
        <w:rPr>
          <w:rFonts w:ascii="Book Antiqua" w:eastAsia="SimSun" w:hAnsi="Book Antiqua" w:cs="SimSun"/>
          <w:sz w:val="24"/>
          <w:szCs w:val="24"/>
          <w:lang w:val="en-US" w:eastAsia="zh-CN"/>
        </w:rPr>
        <w:t xml:space="preserve"> 2002; </w:t>
      </w:r>
      <w:r w:rsidRPr="0047156E">
        <w:rPr>
          <w:rFonts w:ascii="Book Antiqua" w:eastAsia="SimSun" w:hAnsi="Book Antiqua" w:cs="SimSun"/>
          <w:b/>
          <w:bCs/>
          <w:sz w:val="24"/>
          <w:szCs w:val="24"/>
          <w:lang w:val="en-US" w:eastAsia="zh-CN"/>
        </w:rPr>
        <w:t>418</w:t>
      </w:r>
      <w:r w:rsidRPr="0047156E">
        <w:rPr>
          <w:rFonts w:ascii="Book Antiqua" w:eastAsia="SimSun" w:hAnsi="Book Antiqua" w:cs="SimSun"/>
          <w:sz w:val="24"/>
          <w:szCs w:val="24"/>
          <w:lang w:val="en-US" w:eastAsia="zh-CN"/>
        </w:rPr>
        <w:t>: 934 [PMID: 12198537 DOI: 10.1038/418934a]</w:t>
      </w:r>
    </w:p>
    <w:p w14:paraId="6E147F2E"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6</w:t>
      </w:r>
      <w:r w:rsidRPr="0047156E">
        <w:rPr>
          <w:rFonts w:ascii="Book Antiqua" w:eastAsia="SimSun" w:hAnsi="Book Antiqua" w:cs="SimSun" w:hint="eastAsia"/>
          <w:sz w:val="24"/>
          <w:szCs w:val="24"/>
          <w:lang w:val="en-US" w:eastAsia="zh-CN"/>
        </w:rPr>
        <w:t>1</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Bokemeyer C</w:t>
      </w:r>
      <w:r w:rsidRPr="0047156E">
        <w:rPr>
          <w:rFonts w:ascii="Book Antiqua" w:eastAsia="SimSun" w:hAnsi="Book Antiqua" w:cs="SimSun"/>
          <w:sz w:val="24"/>
          <w:szCs w:val="24"/>
          <w:lang w:val="en-US" w:eastAsia="zh-CN"/>
        </w:rPr>
        <w:t xml:space="preserve">, Van Cutsem E, Rougier P, Ciardiello F, Heeger S, Schlichting M, Celik I, Köhne CH. Addition of cetuximab to chemotherapy as first-line treatment for KRAS wild-type metastatic colorectal cancer: pooled analysis of the CRYSTAL and OPUS randomised clinical trials. </w:t>
      </w:r>
      <w:r w:rsidRPr="0047156E">
        <w:rPr>
          <w:rFonts w:ascii="Book Antiqua" w:eastAsia="SimSun" w:hAnsi="Book Antiqua" w:cs="SimSun"/>
          <w:i/>
          <w:iCs/>
          <w:sz w:val="24"/>
          <w:szCs w:val="24"/>
          <w:lang w:val="en-US" w:eastAsia="zh-CN"/>
        </w:rPr>
        <w:t>Eur J Cancer</w:t>
      </w:r>
      <w:r w:rsidRPr="0047156E">
        <w:rPr>
          <w:rFonts w:ascii="Book Antiqua" w:eastAsia="SimSun" w:hAnsi="Book Antiqua" w:cs="SimSun"/>
          <w:sz w:val="24"/>
          <w:szCs w:val="24"/>
          <w:lang w:val="en-US" w:eastAsia="zh-CN"/>
        </w:rPr>
        <w:t xml:space="preserve"> 2012; </w:t>
      </w:r>
      <w:r w:rsidRPr="0047156E">
        <w:rPr>
          <w:rFonts w:ascii="Book Antiqua" w:eastAsia="SimSun" w:hAnsi="Book Antiqua" w:cs="SimSun"/>
          <w:b/>
          <w:bCs/>
          <w:sz w:val="24"/>
          <w:szCs w:val="24"/>
          <w:lang w:val="en-US" w:eastAsia="zh-CN"/>
        </w:rPr>
        <w:t>48</w:t>
      </w:r>
      <w:r w:rsidRPr="0047156E">
        <w:rPr>
          <w:rFonts w:ascii="Book Antiqua" w:eastAsia="SimSun" w:hAnsi="Book Antiqua" w:cs="SimSun"/>
          <w:sz w:val="24"/>
          <w:szCs w:val="24"/>
          <w:lang w:val="en-US" w:eastAsia="zh-CN"/>
        </w:rPr>
        <w:t>: 1466-1475 [PMID: 22446022 DOI: 10.1016/j.ejca.2012.02.057]</w:t>
      </w:r>
    </w:p>
    <w:p w14:paraId="23600571"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6</w:t>
      </w:r>
      <w:r w:rsidRPr="0047156E">
        <w:rPr>
          <w:rFonts w:ascii="Book Antiqua" w:eastAsia="SimSun" w:hAnsi="Book Antiqua" w:cs="SimSun" w:hint="eastAsia"/>
          <w:sz w:val="24"/>
          <w:szCs w:val="24"/>
          <w:lang w:val="en-US" w:eastAsia="zh-CN"/>
        </w:rPr>
        <w:t>2</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Di Nicolantonio F</w:t>
      </w:r>
      <w:r w:rsidRPr="0047156E">
        <w:rPr>
          <w:rFonts w:ascii="Book Antiqua" w:eastAsia="SimSun" w:hAnsi="Book Antiqua" w:cs="SimSun"/>
          <w:sz w:val="24"/>
          <w:szCs w:val="24"/>
          <w:lang w:val="en-US" w:eastAsia="zh-CN"/>
        </w:rPr>
        <w:t xml:space="preserve">, Martini M, Molinari F, Sartore-Bianchi A, Arena S, Saletti P, De Dosso S, Mazzucchelli L, Frattini M, Siena S, Bardelli A. Wild-type BRAF is required for </w:t>
      </w:r>
      <w:r w:rsidRPr="0047156E">
        <w:rPr>
          <w:rFonts w:ascii="Book Antiqua" w:eastAsia="SimSun" w:hAnsi="Book Antiqua" w:cs="SimSun"/>
          <w:sz w:val="24"/>
          <w:szCs w:val="24"/>
          <w:lang w:val="en-US" w:eastAsia="zh-CN"/>
        </w:rPr>
        <w:lastRenderedPageBreak/>
        <w:t xml:space="preserve">response to panitumumab or cetuximab in metastatic colorectal cancer. </w:t>
      </w:r>
      <w:r w:rsidRPr="0047156E">
        <w:rPr>
          <w:rFonts w:ascii="Book Antiqua" w:eastAsia="SimSun" w:hAnsi="Book Antiqua" w:cs="SimSun"/>
          <w:i/>
          <w:iCs/>
          <w:sz w:val="24"/>
          <w:szCs w:val="24"/>
          <w:lang w:val="en-US" w:eastAsia="zh-CN"/>
        </w:rPr>
        <w:t>J Clin Oncol</w:t>
      </w:r>
      <w:r w:rsidRPr="0047156E">
        <w:rPr>
          <w:rFonts w:ascii="Book Antiqua" w:eastAsia="SimSun" w:hAnsi="Book Antiqua" w:cs="SimSun"/>
          <w:sz w:val="24"/>
          <w:szCs w:val="24"/>
          <w:lang w:val="en-US" w:eastAsia="zh-CN"/>
        </w:rPr>
        <w:t xml:space="preserve"> 2008; </w:t>
      </w:r>
      <w:r w:rsidRPr="0047156E">
        <w:rPr>
          <w:rFonts w:ascii="Book Antiqua" w:eastAsia="SimSun" w:hAnsi="Book Antiqua" w:cs="SimSun"/>
          <w:b/>
          <w:bCs/>
          <w:sz w:val="24"/>
          <w:szCs w:val="24"/>
          <w:lang w:val="en-US" w:eastAsia="zh-CN"/>
        </w:rPr>
        <w:t>26</w:t>
      </w:r>
      <w:r w:rsidRPr="0047156E">
        <w:rPr>
          <w:rFonts w:ascii="Book Antiqua" w:eastAsia="SimSun" w:hAnsi="Book Antiqua" w:cs="SimSun"/>
          <w:sz w:val="24"/>
          <w:szCs w:val="24"/>
          <w:lang w:val="en-US" w:eastAsia="zh-CN"/>
        </w:rPr>
        <w:t>: 5705-5712 [PMID: 19001320 DOI: 10.1200/JCO.2008.18.0786]</w:t>
      </w:r>
    </w:p>
    <w:p w14:paraId="35BD91F3"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6</w:t>
      </w:r>
      <w:r w:rsidRPr="0047156E">
        <w:rPr>
          <w:rFonts w:ascii="Book Antiqua" w:eastAsia="SimSun" w:hAnsi="Book Antiqua" w:cs="SimSun" w:hint="eastAsia"/>
          <w:sz w:val="24"/>
          <w:szCs w:val="24"/>
          <w:lang w:val="en-US" w:eastAsia="zh-CN"/>
        </w:rPr>
        <w:t>3</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Laurent-Puig P</w:t>
      </w:r>
      <w:r w:rsidRPr="0047156E">
        <w:rPr>
          <w:rFonts w:ascii="Book Antiqua" w:eastAsia="SimSun" w:hAnsi="Book Antiqua" w:cs="SimSun"/>
          <w:sz w:val="24"/>
          <w:szCs w:val="24"/>
          <w:lang w:val="en-US" w:eastAsia="zh-CN"/>
        </w:rPr>
        <w:t xml:space="preserve">, Cayre A, Manceau G, Buc E, Bachet JB, Lecomte T, Rougier P, Lievre A, Landi B, Boige V, Ducreux M, Ychou M, Bibeau F, Bouché O, Reid J, Stone S, Penault-Llorca F. Analysis of PTEN, BRAF, and EGFR status in determining benefit from cetuximab therapy in wild-type KRAS metastatic colon cancer. </w:t>
      </w:r>
      <w:r w:rsidRPr="0047156E">
        <w:rPr>
          <w:rFonts w:ascii="Book Antiqua" w:eastAsia="SimSun" w:hAnsi="Book Antiqua" w:cs="SimSun"/>
          <w:i/>
          <w:iCs/>
          <w:sz w:val="24"/>
          <w:szCs w:val="24"/>
          <w:lang w:val="en-US" w:eastAsia="zh-CN"/>
        </w:rPr>
        <w:t>J Clin Oncol</w:t>
      </w:r>
      <w:r w:rsidRPr="0047156E">
        <w:rPr>
          <w:rFonts w:ascii="Book Antiqua" w:eastAsia="SimSun" w:hAnsi="Book Antiqua" w:cs="SimSun"/>
          <w:sz w:val="24"/>
          <w:szCs w:val="24"/>
          <w:lang w:val="en-US" w:eastAsia="zh-CN"/>
        </w:rPr>
        <w:t xml:space="preserve"> 2009; </w:t>
      </w:r>
      <w:r w:rsidRPr="0047156E">
        <w:rPr>
          <w:rFonts w:ascii="Book Antiqua" w:eastAsia="SimSun" w:hAnsi="Book Antiqua" w:cs="SimSun"/>
          <w:b/>
          <w:bCs/>
          <w:sz w:val="24"/>
          <w:szCs w:val="24"/>
          <w:lang w:val="en-US" w:eastAsia="zh-CN"/>
        </w:rPr>
        <w:t>27</w:t>
      </w:r>
      <w:r w:rsidRPr="0047156E">
        <w:rPr>
          <w:rFonts w:ascii="Book Antiqua" w:eastAsia="SimSun" w:hAnsi="Book Antiqua" w:cs="SimSun"/>
          <w:sz w:val="24"/>
          <w:szCs w:val="24"/>
          <w:lang w:val="en-US" w:eastAsia="zh-CN"/>
        </w:rPr>
        <w:t>: 5924-5930 [PMID: 19884556 DOI: 10.1200/JCO.2008.21.6796]</w:t>
      </w:r>
    </w:p>
    <w:p w14:paraId="4494DF35"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6</w:t>
      </w:r>
      <w:r w:rsidRPr="0047156E">
        <w:rPr>
          <w:rFonts w:ascii="Book Antiqua" w:eastAsia="SimSun" w:hAnsi="Book Antiqua" w:cs="SimSun" w:hint="eastAsia"/>
          <w:sz w:val="24"/>
          <w:szCs w:val="24"/>
          <w:lang w:val="en-US" w:eastAsia="zh-CN"/>
        </w:rPr>
        <w:t>4</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Seymour MT</w:t>
      </w:r>
      <w:r w:rsidRPr="0047156E">
        <w:rPr>
          <w:rFonts w:ascii="Book Antiqua" w:eastAsia="SimSun" w:hAnsi="Book Antiqua" w:cs="SimSun"/>
          <w:sz w:val="24"/>
          <w:szCs w:val="24"/>
          <w:lang w:val="en-US" w:eastAsia="zh-CN"/>
        </w:rPr>
        <w:t xml:space="preserve">, Brown SR, Middleton G, Maughan T, Richman S, Gwyther S, Lowe C, Seligmann JF, Wadsley J, Maisey N, Chau I, Hill M, Dawson L, Falk S, O'Callaghan A, Benstead K, Chambers P, Oliver A, Marshall H, Napp V, Quirke P. Panitumumab and irinotecan versus irinotecan alone for patients with KRAS wild-type, fluorouracil-resistant advanced colorectal cancer (PICCOLO): a prospectively stratified randomised trial. </w:t>
      </w:r>
      <w:r w:rsidRPr="0047156E">
        <w:rPr>
          <w:rFonts w:ascii="Book Antiqua" w:eastAsia="SimSun" w:hAnsi="Book Antiqua" w:cs="SimSun"/>
          <w:i/>
          <w:iCs/>
          <w:sz w:val="24"/>
          <w:szCs w:val="24"/>
          <w:lang w:val="en-US" w:eastAsia="zh-CN"/>
        </w:rPr>
        <w:t>Lancet Oncol</w:t>
      </w:r>
      <w:r w:rsidRPr="0047156E">
        <w:rPr>
          <w:rFonts w:ascii="Book Antiqua" w:eastAsia="SimSun" w:hAnsi="Book Antiqua" w:cs="SimSun"/>
          <w:sz w:val="24"/>
          <w:szCs w:val="24"/>
          <w:lang w:val="en-US" w:eastAsia="zh-CN"/>
        </w:rPr>
        <w:t xml:space="preserve"> 2013; </w:t>
      </w:r>
      <w:r w:rsidRPr="0047156E">
        <w:rPr>
          <w:rFonts w:ascii="Book Antiqua" w:eastAsia="SimSun" w:hAnsi="Book Antiqua" w:cs="SimSun"/>
          <w:b/>
          <w:bCs/>
          <w:sz w:val="24"/>
          <w:szCs w:val="24"/>
          <w:lang w:val="en-US" w:eastAsia="zh-CN"/>
        </w:rPr>
        <w:t>14</w:t>
      </w:r>
      <w:r w:rsidRPr="0047156E">
        <w:rPr>
          <w:rFonts w:ascii="Book Antiqua" w:eastAsia="SimSun" w:hAnsi="Book Antiqua" w:cs="SimSun"/>
          <w:sz w:val="24"/>
          <w:szCs w:val="24"/>
          <w:lang w:val="en-US" w:eastAsia="zh-CN"/>
        </w:rPr>
        <w:t>: 749-759 [PMID: 23725851 DOI: 10.1016/S1470-2045(13)70163-3]</w:t>
      </w:r>
    </w:p>
    <w:p w14:paraId="1E43DC7B"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6</w:t>
      </w:r>
      <w:r w:rsidRPr="0047156E">
        <w:rPr>
          <w:rFonts w:ascii="Book Antiqua" w:eastAsia="SimSun" w:hAnsi="Book Antiqua" w:cs="SimSun" w:hint="eastAsia"/>
          <w:sz w:val="24"/>
          <w:szCs w:val="24"/>
          <w:lang w:val="en-US" w:eastAsia="zh-CN"/>
        </w:rPr>
        <w:t>5</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Bokemeyer C</w:t>
      </w:r>
      <w:r w:rsidRPr="0047156E">
        <w:rPr>
          <w:rFonts w:ascii="Book Antiqua" w:eastAsia="SimSun" w:hAnsi="Book Antiqua" w:cs="SimSun"/>
          <w:sz w:val="24"/>
          <w:szCs w:val="24"/>
          <w:lang w:val="en-US" w:eastAsia="zh-CN"/>
        </w:rPr>
        <w:t xml:space="preserve">, Bondarenko I, Hartmann JT, de Braud F, Schuch G, Zubel A, Celik I, Schlichting M, Koralewski P. Efficacy according to biomarker status of cetuximab plus FOLFOX-4 as first-line treatment for metastatic colorectal cancer: the OPUS study. </w:t>
      </w:r>
      <w:r w:rsidRPr="0047156E">
        <w:rPr>
          <w:rFonts w:ascii="Book Antiqua" w:eastAsia="SimSun" w:hAnsi="Book Antiqua" w:cs="SimSun"/>
          <w:i/>
          <w:iCs/>
          <w:sz w:val="24"/>
          <w:szCs w:val="24"/>
          <w:lang w:val="en-US" w:eastAsia="zh-CN"/>
        </w:rPr>
        <w:t>Ann Oncol</w:t>
      </w:r>
      <w:r w:rsidRPr="0047156E">
        <w:rPr>
          <w:rFonts w:ascii="Book Antiqua" w:eastAsia="SimSun" w:hAnsi="Book Antiqua" w:cs="SimSun"/>
          <w:sz w:val="24"/>
          <w:szCs w:val="24"/>
          <w:lang w:val="en-US" w:eastAsia="zh-CN"/>
        </w:rPr>
        <w:t xml:space="preserve"> 2011; </w:t>
      </w:r>
      <w:r w:rsidRPr="0047156E">
        <w:rPr>
          <w:rFonts w:ascii="Book Antiqua" w:eastAsia="SimSun" w:hAnsi="Book Antiqua" w:cs="SimSun"/>
          <w:b/>
          <w:bCs/>
          <w:sz w:val="24"/>
          <w:szCs w:val="24"/>
          <w:lang w:val="en-US" w:eastAsia="zh-CN"/>
        </w:rPr>
        <w:t>22</w:t>
      </w:r>
      <w:r w:rsidRPr="0047156E">
        <w:rPr>
          <w:rFonts w:ascii="Book Antiqua" w:eastAsia="SimSun" w:hAnsi="Book Antiqua" w:cs="SimSun"/>
          <w:sz w:val="24"/>
          <w:szCs w:val="24"/>
          <w:lang w:val="en-US" w:eastAsia="zh-CN"/>
        </w:rPr>
        <w:t>: 1535-1546 [PMID: 21228335 DOI: 10.1093/annonc/mdq632]</w:t>
      </w:r>
    </w:p>
    <w:p w14:paraId="2C6E2790"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6</w:t>
      </w:r>
      <w:r w:rsidRPr="0047156E">
        <w:rPr>
          <w:rFonts w:ascii="Book Antiqua" w:eastAsia="SimSun" w:hAnsi="Book Antiqua" w:cs="SimSun" w:hint="eastAsia"/>
          <w:sz w:val="24"/>
          <w:szCs w:val="24"/>
          <w:lang w:val="en-US" w:eastAsia="zh-CN"/>
        </w:rPr>
        <w:t>6</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Pietrantonio F</w:t>
      </w:r>
      <w:r w:rsidRPr="0047156E">
        <w:rPr>
          <w:rFonts w:ascii="Book Antiqua" w:eastAsia="SimSun" w:hAnsi="Book Antiqua" w:cs="SimSun"/>
          <w:sz w:val="24"/>
          <w:szCs w:val="24"/>
          <w:lang w:val="en-US" w:eastAsia="zh-CN"/>
        </w:rPr>
        <w:t xml:space="preserve">, Petrelli F, Coinu A, Di Bartolomeo M, Borgonovo K, Maggi C, Cabiddu M, Iacovelli R, Bossi I, Lonati V, Ghilardi M, de Braud F, Barni S. Predictive role of BRAF mutations in patients with advanced colorectal cancer receiving cetuximab and panitumumab: a meta-analysis. </w:t>
      </w:r>
      <w:r w:rsidRPr="0047156E">
        <w:rPr>
          <w:rFonts w:ascii="Book Antiqua" w:eastAsia="SimSun" w:hAnsi="Book Antiqua" w:cs="SimSun"/>
          <w:i/>
          <w:iCs/>
          <w:sz w:val="24"/>
          <w:szCs w:val="24"/>
          <w:lang w:val="en-US" w:eastAsia="zh-CN"/>
        </w:rPr>
        <w:t>Eur J Cancer</w:t>
      </w:r>
      <w:r w:rsidRPr="0047156E">
        <w:rPr>
          <w:rFonts w:ascii="Book Antiqua" w:eastAsia="SimSun" w:hAnsi="Book Antiqua" w:cs="SimSun"/>
          <w:sz w:val="24"/>
          <w:szCs w:val="24"/>
          <w:lang w:val="en-US" w:eastAsia="zh-CN"/>
        </w:rPr>
        <w:t xml:space="preserve"> 2015; </w:t>
      </w:r>
      <w:r w:rsidRPr="0047156E">
        <w:rPr>
          <w:rFonts w:ascii="Book Antiqua" w:eastAsia="SimSun" w:hAnsi="Book Antiqua" w:cs="SimSun"/>
          <w:b/>
          <w:bCs/>
          <w:sz w:val="24"/>
          <w:szCs w:val="24"/>
          <w:lang w:val="en-US" w:eastAsia="zh-CN"/>
        </w:rPr>
        <w:t>51</w:t>
      </w:r>
      <w:r w:rsidRPr="0047156E">
        <w:rPr>
          <w:rFonts w:ascii="Book Antiqua" w:eastAsia="SimSun" w:hAnsi="Book Antiqua" w:cs="SimSun"/>
          <w:sz w:val="24"/>
          <w:szCs w:val="24"/>
          <w:lang w:val="en-US" w:eastAsia="zh-CN"/>
        </w:rPr>
        <w:t>: 587-594 [PMID: 25673558 DOI: 10.1016/j.ejca.2015.01.054]</w:t>
      </w:r>
    </w:p>
    <w:p w14:paraId="18F080BA"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6</w:t>
      </w:r>
      <w:r w:rsidRPr="0047156E">
        <w:rPr>
          <w:rFonts w:ascii="Book Antiqua" w:eastAsia="SimSun" w:hAnsi="Book Antiqua" w:cs="SimSun" w:hint="eastAsia"/>
          <w:sz w:val="24"/>
          <w:szCs w:val="24"/>
          <w:lang w:val="en-US" w:eastAsia="zh-CN"/>
        </w:rPr>
        <w:t>7</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Kopetz S</w:t>
      </w:r>
      <w:r w:rsidRPr="0047156E">
        <w:rPr>
          <w:rFonts w:ascii="Book Antiqua" w:eastAsia="SimSun" w:hAnsi="Book Antiqua" w:cs="SimSun"/>
          <w:sz w:val="24"/>
          <w:szCs w:val="24"/>
          <w:lang w:val="en-US" w:eastAsia="zh-CN"/>
        </w:rPr>
        <w:t xml:space="preserve">, Desai J, Chan E, Hecht JR, O'Dwyer PJ, Maru D, Morris V, Janku F, Dasari A, Chung W, Issa JP, Gibbs P, James B, Powis G, Nolop KB, Bhattacharya S, Saltz L. Phase II Pilot Study of Vemurafenib in Patients With Metastatic BRAF-Mutated Colorectal Cancer. </w:t>
      </w:r>
      <w:r w:rsidRPr="0047156E">
        <w:rPr>
          <w:rFonts w:ascii="Book Antiqua" w:eastAsia="SimSun" w:hAnsi="Book Antiqua" w:cs="SimSun"/>
          <w:i/>
          <w:iCs/>
          <w:sz w:val="24"/>
          <w:szCs w:val="24"/>
          <w:lang w:val="en-US" w:eastAsia="zh-CN"/>
        </w:rPr>
        <w:t>J Clin Oncol</w:t>
      </w:r>
      <w:r w:rsidRPr="0047156E">
        <w:rPr>
          <w:rFonts w:ascii="Book Antiqua" w:eastAsia="SimSun" w:hAnsi="Book Antiqua" w:cs="SimSun"/>
          <w:sz w:val="24"/>
          <w:szCs w:val="24"/>
          <w:lang w:val="en-US" w:eastAsia="zh-CN"/>
        </w:rPr>
        <w:t xml:space="preserve"> 2015; </w:t>
      </w:r>
      <w:r w:rsidRPr="0047156E">
        <w:rPr>
          <w:rFonts w:ascii="Book Antiqua" w:eastAsia="SimSun" w:hAnsi="Book Antiqua" w:cs="SimSun"/>
          <w:b/>
          <w:bCs/>
          <w:sz w:val="24"/>
          <w:szCs w:val="24"/>
          <w:lang w:val="en-US" w:eastAsia="zh-CN"/>
        </w:rPr>
        <w:t>33</w:t>
      </w:r>
      <w:r w:rsidRPr="0047156E">
        <w:rPr>
          <w:rFonts w:ascii="Book Antiqua" w:eastAsia="SimSun" w:hAnsi="Book Antiqua" w:cs="SimSun"/>
          <w:sz w:val="24"/>
          <w:szCs w:val="24"/>
          <w:lang w:val="en-US" w:eastAsia="zh-CN"/>
        </w:rPr>
        <w:t>: 4032-4038 [PMID: 26460303 DOI: 10.1200/JCO.2015.63.2497]</w:t>
      </w:r>
    </w:p>
    <w:p w14:paraId="5D872900"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6</w:t>
      </w:r>
      <w:r w:rsidRPr="0047156E">
        <w:rPr>
          <w:rFonts w:ascii="Book Antiqua" w:eastAsia="SimSun" w:hAnsi="Book Antiqua" w:cs="SimSun" w:hint="eastAsia"/>
          <w:sz w:val="24"/>
          <w:szCs w:val="24"/>
          <w:lang w:val="en-US" w:eastAsia="zh-CN"/>
        </w:rPr>
        <w:t>8</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Prahallad A</w:t>
      </w:r>
      <w:r w:rsidRPr="0047156E">
        <w:rPr>
          <w:rFonts w:ascii="Book Antiqua" w:eastAsia="SimSun" w:hAnsi="Book Antiqua" w:cs="SimSun"/>
          <w:sz w:val="24"/>
          <w:szCs w:val="24"/>
          <w:lang w:val="en-US" w:eastAsia="zh-CN"/>
        </w:rPr>
        <w:t xml:space="preserve">, Sun C, Huang S, Di Nicolantonio F, Salazar R, Zecchin D, Beijersbergen RL, Bardelli A, Bernards R. Unresponsiveness of colon cancer to BRAF(V600E) inhibition through feedback activation of EGFR. </w:t>
      </w:r>
      <w:r w:rsidRPr="0047156E">
        <w:rPr>
          <w:rFonts w:ascii="Book Antiqua" w:eastAsia="SimSun" w:hAnsi="Book Antiqua" w:cs="SimSun"/>
          <w:i/>
          <w:iCs/>
          <w:sz w:val="24"/>
          <w:szCs w:val="24"/>
          <w:lang w:val="en-US" w:eastAsia="zh-CN"/>
        </w:rPr>
        <w:t>Nature</w:t>
      </w:r>
      <w:r w:rsidRPr="0047156E">
        <w:rPr>
          <w:rFonts w:ascii="Book Antiqua" w:eastAsia="SimSun" w:hAnsi="Book Antiqua" w:cs="SimSun"/>
          <w:sz w:val="24"/>
          <w:szCs w:val="24"/>
          <w:lang w:val="en-US" w:eastAsia="zh-CN"/>
        </w:rPr>
        <w:t xml:space="preserve"> 2012; </w:t>
      </w:r>
      <w:r w:rsidRPr="0047156E">
        <w:rPr>
          <w:rFonts w:ascii="Book Antiqua" w:eastAsia="SimSun" w:hAnsi="Book Antiqua" w:cs="SimSun"/>
          <w:b/>
          <w:bCs/>
          <w:sz w:val="24"/>
          <w:szCs w:val="24"/>
          <w:lang w:val="en-US" w:eastAsia="zh-CN"/>
        </w:rPr>
        <w:t>483</w:t>
      </w:r>
      <w:r w:rsidRPr="0047156E">
        <w:rPr>
          <w:rFonts w:ascii="Book Antiqua" w:eastAsia="SimSun" w:hAnsi="Book Antiqua" w:cs="SimSun"/>
          <w:sz w:val="24"/>
          <w:szCs w:val="24"/>
          <w:lang w:val="en-US" w:eastAsia="zh-CN"/>
        </w:rPr>
        <w:t>: 100-103 [PMID: 22281684 DOI: 10.1038/nature10868]</w:t>
      </w:r>
    </w:p>
    <w:p w14:paraId="253CBF24"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hint="eastAsia"/>
          <w:sz w:val="24"/>
          <w:szCs w:val="24"/>
          <w:lang w:val="en-US" w:eastAsia="zh-CN"/>
        </w:rPr>
        <w:t>69</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Mao M</w:t>
      </w:r>
      <w:r w:rsidRPr="0047156E">
        <w:rPr>
          <w:rFonts w:ascii="Book Antiqua" w:eastAsia="SimSun" w:hAnsi="Book Antiqua" w:cs="SimSun"/>
          <w:sz w:val="24"/>
          <w:szCs w:val="24"/>
          <w:lang w:val="en-US" w:eastAsia="zh-CN"/>
        </w:rPr>
        <w:t xml:space="preserve">, Tian F, Mariadason JM, Tsao CC, Lemos R, Dayyani F, Gopal YN, Jiang ZQ, Wistuba II, Tang XM, Bornman WG, Bollag G, Mills GB, Powis G, Desai J, Gallick GE, </w:t>
      </w:r>
      <w:r w:rsidRPr="0047156E">
        <w:rPr>
          <w:rFonts w:ascii="Book Antiqua" w:eastAsia="SimSun" w:hAnsi="Book Antiqua" w:cs="SimSun"/>
          <w:sz w:val="24"/>
          <w:szCs w:val="24"/>
          <w:lang w:val="en-US" w:eastAsia="zh-CN"/>
        </w:rPr>
        <w:lastRenderedPageBreak/>
        <w:t xml:space="preserve">Davies MA, Kopetz S. Resistance to BRAF inhibition in BRAF-mutant colon cancer can be overcome with PI3K inhibition or demethylating agents. </w:t>
      </w:r>
      <w:r w:rsidRPr="0047156E">
        <w:rPr>
          <w:rFonts w:ascii="Book Antiqua" w:eastAsia="SimSun" w:hAnsi="Book Antiqua" w:cs="SimSun"/>
          <w:i/>
          <w:iCs/>
          <w:sz w:val="24"/>
          <w:szCs w:val="24"/>
          <w:lang w:val="en-US" w:eastAsia="zh-CN"/>
        </w:rPr>
        <w:t>Clin Cancer Res</w:t>
      </w:r>
      <w:r w:rsidRPr="0047156E">
        <w:rPr>
          <w:rFonts w:ascii="Book Antiqua" w:eastAsia="SimSun" w:hAnsi="Book Antiqua" w:cs="SimSun"/>
          <w:sz w:val="24"/>
          <w:szCs w:val="24"/>
          <w:lang w:val="en-US" w:eastAsia="zh-CN"/>
        </w:rPr>
        <w:t xml:space="preserve"> 2013; </w:t>
      </w:r>
      <w:r w:rsidRPr="0047156E">
        <w:rPr>
          <w:rFonts w:ascii="Book Antiqua" w:eastAsia="SimSun" w:hAnsi="Book Antiqua" w:cs="SimSun"/>
          <w:b/>
          <w:bCs/>
          <w:sz w:val="24"/>
          <w:szCs w:val="24"/>
          <w:lang w:val="en-US" w:eastAsia="zh-CN"/>
        </w:rPr>
        <w:t>19</w:t>
      </w:r>
      <w:r w:rsidRPr="0047156E">
        <w:rPr>
          <w:rFonts w:ascii="Book Antiqua" w:eastAsia="SimSun" w:hAnsi="Book Antiqua" w:cs="SimSun"/>
          <w:sz w:val="24"/>
          <w:szCs w:val="24"/>
          <w:lang w:val="en-US" w:eastAsia="zh-CN"/>
        </w:rPr>
        <w:t>: 657-667 [PMID: 23251002 DOI: 10.1158/1078-0432.CCR-11-1446]</w:t>
      </w:r>
    </w:p>
    <w:p w14:paraId="267D8F43"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7</w:t>
      </w:r>
      <w:r w:rsidRPr="0047156E">
        <w:rPr>
          <w:rFonts w:ascii="Book Antiqua" w:eastAsia="SimSun" w:hAnsi="Book Antiqua" w:cs="SimSun" w:hint="eastAsia"/>
          <w:sz w:val="24"/>
          <w:szCs w:val="24"/>
          <w:lang w:val="en-US" w:eastAsia="zh-CN"/>
        </w:rPr>
        <w:t>0</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Corcoran RB</w:t>
      </w:r>
      <w:r w:rsidRPr="0047156E">
        <w:rPr>
          <w:rFonts w:ascii="Book Antiqua" w:eastAsia="SimSun" w:hAnsi="Book Antiqua" w:cs="SimSun"/>
          <w:sz w:val="24"/>
          <w:szCs w:val="24"/>
          <w:lang w:val="en-US" w:eastAsia="zh-CN"/>
        </w:rPr>
        <w:t xml:space="preserve">, Atreya CE, Falchook GS, Kwak EL, Ryan DP, Bendell JC, Hamid O, Messersmith WA, Daud A, Kurzrock R, Pierobon M, Sun P, Cunningham E, Little S, Orford K, Motwani M, Bai Y, Patel K, Venook AP, Kopetz S. Combined BRAF and MEK Inhibition With Dabrafenib and Trametinib in BRAF V600-Mutant Colorectal Cancer. </w:t>
      </w:r>
      <w:r w:rsidRPr="0047156E">
        <w:rPr>
          <w:rFonts w:ascii="Book Antiqua" w:eastAsia="SimSun" w:hAnsi="Book Antiqua" w:cs="SimSun"/>
          <w:i/>
          <w:iCs/>
          <w:sz w:val="24"/>
          <w:szCs w:val="24"/>
          <w:lang w:val="en-US" w:eastAsia="zh-CN"/>
        </w:rPr>
        <w:t>J Clin Oncol</w:t>
      </w:r>
      <w:r w:rsidRPr="0047156E">
        <w:rPr>
          <w:rFonts w:ascii="Book Antiqua" w:eastAsia="SimSun" w:hAnsi="Book Antiqua" w:cs="SimSun"/>
          <w:sz w:val="24"/>
          <w:szCs w:val="24"/>
          <w:lang w:val="en-US" w:eastAsia="zh-CN"/>
        </w:rPr>
        <w:t xml:space="preserve"> 2015; </w:t>
      </w:r>
      <w:r w:rsidRPr="0047156E">
        <w:rPr>
          <w:rFonts w:ascii="Book Antiqua" w:eastAsia="SimSun" w:hAnsi="Book Antiqua" w:cs="SimSun"/>
          <w:b/>
          <w:bCs/>
          <w:sz w:val="24"/>
          <w:szCs w:val="24"/>
          <w:lang w:val="en-US" w:eastAsia="zh-CN"/>
        </w:rPr>
        <w:t>33</w:t>
      </w:r>
      <w:r w:rsidRPr="0047156E">
        <w:rPr>
          <w:rFonts w:ascii="Book Antiqua" w:eastAsia="SimSun" w:hAnsi="Book Antiqua" w:cs="SimSun"/>
          <w:sz w:val="24"/>
          <w:szCs w:val="24"/>
          <w:lang w:val="en-US" w:eastAsia="zh-CN"/>
        </w:rPr>
        <w:t>: 4023-4031 [PMID: 26392102 DOI: 10.1200/JCO.2015.63.2471]</w:t>
      </w:r>
    </w:p>
    <w:p w14:paraId="39EDC63F"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7</w:t>
      </w:r>
      <w:r w:rsidRPr="0047156E">
        <w:rPr>
          <w:rFonts w:ascii="Book Antiqua" w:eastAsia="SimSun" w:hAnsi="Book Antiqua" w:cs="SimSun" w:hint="eastAsia"/>
          <w:sz w:val="24"/>
          <w:szCs w:val="24"/>
          <w:lang w:val="en-US" w:eastAsia="zh-CN"/>
        </w:rPr>
        <w:t>1</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Yaeger R</w:t>
      </w:r>
      <w:r w:rsidRPr="0047156E">
        <w:rPr>
          <w:rFonts w:ascii="Book Antiqua" w:eastAsia="SimSun" w:hAnsi="Book Antiqua" w:cs="SimSun"/>
          <w:sz w:val="24"/>
          <w:szCs w:val="24"/>
          <w:lang w:val="en-US" w:eastAsia="zh-CN"/>
        </w:rPr>
        <w:t xml:space="preserve">, Cercek A, O'Reilly EM, Reidy DL, Kemeny N, Wolinsky T, Capanu M, Gollub MJ, Rosen N, Berger MF, Lacouture ME, Vakiani E, Saltz LB. Pilot trial of combined BRAF and EGFR inhibition in BRAF-mutant metastatic colorectal cancer patients. </w:t>
      </w:r>
      <w:r w:rsidRPr="0047156E">
        <w:rPr>
          <w:rFonts w:ascii="Book Antiqua" w:eastAsia="SimSun" w:hAnsi="Book Antiqua" w:cs="SimSun"/>
          <w:i/>
          <w:iCs/>
          <w:sz w:val="24"/>
          <w:szCs w:val="24"/>
          <w:lang w:val="en-US" w:eastAsia="zh-CN"/>
        </w:rPr>
        <w:t>Clin Cancer Res</w:t>
      </w:r>
      <w:r w:rsidRPr="0047156E">
        <w:rPr>
          <w:rFonts w:ascii="Book Antiqua" w:eastAsia="SimSun" w:hAnsi="Book Antiqua" w:cs="SimSun"/>
          <w:sz w:val="24"/>
          <w:szCs w:val="24"/>
          <w:lang w:val="en-US" w:eastAsia="zh-CN"/>
        </w:rPr>
        <w:t xml:space="preserve"> 2015; </w:t>
      </w:r>
      <w:r w:rsidRPr="0047156E">
        <w:rPr>
          <w:rFonts w:ascii="Book Antiqua" w:eastAsia="SimSun" w:hAnsi="Book Antiqua" w:cs="SimSun"/>
          <w:b/>
          <w:bCs/>
          <w:sz w:val="24"/>
          <w:szCs w:val="24"/>
          <w:lang w:val="en-US" w:eastAsia="zh-CN"/>
        </w:rPr>
        <w:t>21</w:t>
      </w:r>
      <w:r w:rsidRPr="0047156E">
        <w:rPr>
          <w:rFonts w:ascii="Book Antiqua" w:eastAsia="SimSun" w:hAnsi="Book Antiqua" w:cs="SimSun"/>
          <w:sz w:val="24"/>
          <w:szCs w:val="24"/>
          <w:lang w:val="en-US" w:eastAsia="zh-CN"/>
        </w:rPr>
        <w:t>: 1313-1320 [PMID: 25589621 DOI: 10.1158/1078-0432.CCR-14-2779]</w:t>
      </w:r>
    </w:p>
    <w:p w14:paraId="71DB2E9C"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7</w:t>
      </w:r>
      <w:r w:rsidRPr="0047156E">
        <w:rPr>
          <w:rFonts w:ascii="Book Antiqua" w:eastAsia="SimSun" w:hAnsi="Book Antiqua" w:cs="SimSun" w:hint="eastAsia"/>
          <w:sz w:val="24"/>
          <w:szCs w:val="24"/>
          <w:lang w:val="en-US" w:eastAsia="zh-CN"/>
        </w:rPr>
        <w:t>2</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Kelway B</w:t>
      </w:r>
      <w:r w:rsidRPr="0047156E">
        <w:rPr>
          <w:rFonts w:ascii="Book Antiqua" w:eastAsia="SimSun" w:hAnsi="Book Antiqua" w:cs="SimSun"/>
          <w:sz w:val="24"/>
          <w:szCs w:val="24"/>
          <w:lang w:val="en-US" w:eastAsia="zh-CN"/>
        </w:rPr>
        <w:t xml:space="preserve">, Simpson KH, Smith RJ, Halsall PJ. Effects of atropine and glycopyrrolate on cognitive function following anaesthesia and electroconvulsive therapy (ECT). </w:t>
      </w:r>
      <w:r w:rsidRPr="0047156E">
        <w:rPr>
          <w:rFonts w:ascii="Book Antiqua" w:eastAsia="SimSun" w:hAnsi="Book Antiqua" w:cs="SimSun"/>
          <w:i/>
          <w:iCs/>
          <w:sz w:val="24"/>
          <w:szCs w:val="24"/>
          <w:lang w:val="en-US" w:eastAsia="zh-CN"/>
        </w:rPr>
        <w:t>Int Clin Psychopharmacol</w:t>
      </w:r>
      <w:r w:rsidRPr="0047156E">
        <w:rPr>
          <w:rFonts w:ascii="Book Antiqua" w:eastAsia="SimSun" w:hAnsi="Book Antiqua" w:cs="SimSun"/>
          <w:sz w:val="24"/>
          <w:szCs w:val="24"/>
          <w:lang w:val="en-US" w:eastAsia="zh-CN"/>
        </w:rPr>
        <w:t xml:space="preserve"> 1986; </w:t>
      </w:r>
      <w:r w:rsidRPr="0047156E">
        <w:rPr>
          <w:rFonts w:ascii="Book Antiqua" w:eastAsia="SimSun" w:hAnsi="Book Antiqua" w:cs="SimSun"/>
          <w:b/>
          <w:bCs/>
          <w:sz w:val="24"/>
          <w:szCs w:val="24"/>
          <w:lang w:val="en-US" w:eastAsia="zh-CN"/>
        </w:rPr>
        <w:t>1</w:t>
      </w:r>
      <w:r w:rsidRPr="0047156E">
        <w:rPr>
          <w:rFonts w:ascii="Book Antiqua" w:eastAsia="SimSun" w:hAnsi="Book Antiqua" w:cs="SimSun"/>
          <w:sz w:val="24"/>
          <w:szCs w:val="24"/>
          <w:lang w:val="en-US" w:eastAsia="zh-CN"/>
        </w:rPr>
        <w:t>: 296-302 [PMID: 3549875 DOI: 10.1158/1078-0432]</w:t>
      </w:r>
    </w:p>
    <w:p w14:paraId="0097FAB5"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7</w:t>
      </w:r>
      <w:r w:rsidRPr="0047156E">
        <w:rPr>
          <w:rFonts w:ascii="Book Antiqua" w:eastAsia="SimSun" w:hAnsi="Book Antiqua" w:cs="SimSun" w:hint="eastAsia"/>
          <w:sz w:val="24"/>
          <w:szCs w:val="24"/>
          <w:lang w:val="en-US" w:eastAsia="zh-CN"/>
        </w:rPr>
        <w:t>3</w:t>
      </w:r>
      <w:r w:rsidRPr="0047156E">
        <w:rPr>
          <w:rFonts w:ascii="Book Antiqua" w:eastAsia="SimSun" w:hAnsi="Book Antiqua" w:cs="SimSun"/>
          <w:sz w:val="24"/>
          <w:szCs w:val="24"/>
          <w:lang w:val="en-US" w:eastAsia="zh-CN"/>
        </w:rPr>
        <w:t xml:space="preserve"> ClinicalTrials.gov Identifier: NCT01750918; NCT01719380</w:t>
      </w:r>
    </w:p>
    <w:p w14:paraId="617991BF"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7</w:t>
      </w:r>
      <w:r w:rsidRPr="0047156E">
        <w:rPr>
          <w:rFonts w:ascii="Book Antiqua" w:eastAsia="SimSun" w:hAnsi="Book Antiqua" w:cs="SimSun" w:hint="eastAsia"/>
          <w:sz w:val="24"/>
          <w:szCs w:val="24"/>
          <w:lang w:val="en-US" w:eastAsia="zh-CN"/>
        </w:rPr>
        <w:t>4</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Ahronian LG</w:t>
      </w:r>
      <w:r w:rsidRPr="0047156E">
        <w:rPr>
          <w:rFonts w:ascii="Book Antiqua" w:eastAsia="SimSun" w:hAnsi="Book Antiqua" w:cs="SimSun"/>
          <w:sz w:val="24"/>
          <w:szCs w:val="24"/>
          <w:lang w:val="en-US" w:eastAsia="zh-CN"/>
        </w:rPr>
        <w:t xml:space="preserve">, Sennott EM, Van Allen EM, Wagle N, Kwak EL, Faris JE, Godfrey JT, Nishimura K, Lynch KD, Mermel CH, Lockerman EL, Kalsy A, Gurski JM, Bahl S, Anderka K, Green LM, Lennon NJ, Huynh TG, Mino-Kenudson M, Getz G, Dias-Santagata D, Iafrate AJ, Engelman JA, Garraway LA, Corcoran RB. Clinical Acquired Resistance to RAF Inhibitor Combinations in BRAF-Mutant Colorectal Cancer through MAPK Pathway Alterations. </w:t>
      </w:r>
      <w:r w:rsidRPr="0047156E">
        <w:rPr>
          <w:rFonts w:ascii="Book Antiqua" w:eastAsia="SimSun" w:hAnsi="Book Antiqua" w:cs="SimSun"/>
          <w:i/>
          <w:iCs/>
          <w:sz w:val="24"/>
          <w:szCs w:val="24"/>
          <w:lang w:val="en-US" w:eastAsia="zh-CN"/>
        </w:rPr>
        <w:t>Cancer Discov</w:t>
      </w:r>
      <w:r w:rsidRPr="0047156E">
        <w:rPr>
          <w:rFonts w:ascii="Book Antiqua" w:eastAsia="SimSun" w:hAnsi="Book Antiqua" w:cs="SimSun"/>
          <w:sz w:val="24"/>
          <w:szCs w:val="24"/>
          <w:lang w:val="en-US" w:eastAsia="zh-CN"/>
        </w:rPr>
        <w:t xml:space="preserve"> 2015; </w:t>
      </w:r>
      <w:r w:rsidRPr="0047156E">
        <w:rPr>
          <w:rFonts w:ascii="Book Antiqua" w:eastAsia="SimSun" w:hAnsi="Book Antiqua" w:cs="SimSun"/>
          <w:b/>
          <w:bCs/>
          <w:sz w:val="24"/>
          <w:szCs w:val="24"/>
          <w:lang w:val="en-US" w:eastAsia="zh-CN"/>
        </w:rPr>
        <w:t>5</w:t>
      </w:r>
      <w:r w:rsidRPr="0047156E">
        <w:rPr>
          <w:rFonts w:ascii="Book Antiqua" w:eastAsia="SimSun" w:hAnsi="Book Antiqua" w:cs="SimSun"/>
          <w:sz w:val="24"/>
          <w:szCs w:val="24"/>
          <w:lang w:val="en-US" w:eastAsia="zh-CN"/>
        </w:rPr>
        <w:t>: 358-367 [PMID: 25673644 DOI: 10.1158/2159-8290.CD-14-1518]</w:t>
      </w:r>
    </w:p>
    <w:p w14:paraId="0FD93BBC"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7</w:t>
      </w:r>
      <w:r w:rsidRPr="0047156E">
        <w:rPr>
          <w:rFonts w:ascii="Book Antiqua" w:eastAsia="SimSun" w:hAnsi="Book Antiqua" w:cs="SimSun" w:hint="eastAsia"/>
          <w:sz w:val="24"/>
          <w:szCs w:val="24"/>
          <w:lang w:val="en-US" w:eastAsia="zh-CN"/>
        </w:rPr>
        <w:t>5</w:t>
      </w:r>
      <w:r w:rsidRPr="0047156E">
        <w:rPr>
          <w:rFonts w:ascii="Book Antiqua" w:eastAsia="SimSun" w:hAnsi="Book Antiqua" w:cs="SimSun"/>
          <w:sz w:val="24"/>
          <w:szCs w:val="24"/>
          <w:lang w:val="en-US" w:eastAsia="zh-CN"/>
        </w:rPr>
        <w:t xml:space="preserve"> </w:t>
      </w:r>
      <w:r w:rsidRPr="0047156E">
        <w:rPr>
          <w:rFonts w:ascii="Book Antiqua" w:eastAsia="SimSun" w:hAnsi="Book Antiqua" w:cs="Times New Roman"/>
          <w:b/>
          <w:bCs/>
          <w:kern w:val="2"/>
          <w:sz w:val="24"/>
          <w:szCs w:val="24"/>
          <w:lang w:val="en-US" w:eastAsia="zh-CN"/>
        </w:rPr>
        <w:t>Cremolini C</w:t>
      </w:r>
      <w:r w:rsidRPr="0047156E">
        <w:rPr>
          <w:rFonts w:ascii="Book Antiqua" w:eastAsia="SimSun" w:hAnsi="Book Antiqua" w:cs="Times New Roman" w:hint="eastAsia"/>
          <w:bCs/>
          <w:kern w:val="2"/>
          <w:sz w:val="24"/>
          <w:szCs w:val="24"/>
          <w:lang w:val="en-US" w:eastAsia="zh-CN"/>
        </w:rPr>
        <w:t>,</w:t>
      </w:r>
      <w:r w:rsidRPr="0047156E">
        <w:rPr>
          <w:rFonts w:ascii="Book Antiqua" w:eastAsia="SimSun" w:hAnsi="Book Antiqua" w:cs="Times New Roman"/>
          <w:bCs/>
          <w:kern w:val="2"/>
          <w:sz w:val="24"/>
          <w:szCs w:val="24"/>
          <w:lang w:val="en-US" w:eastAsia="zh-CN"/>
        </w:rPr>
        <w:t xml:space="preserve"> Loupakis F, Lonardi S, Tomasello G, Ronzoni M, Zaniboni A, Tonini G, Valsuani C, Chiara S, Boni C, Marcucci L, Negri F.V, Barone C, Vitello S, D’Amico M, Granetto C, Antoniotti C, Salvatore L, Fontanini G, Tomcikova D, Boni L, Falcone A</w:t>
      </w:r>
      <w:r w:rsidRPr="0047156E">
        <w:rPr>
          <w:rFonts w:ascii="Book Antiqua" w:eastAsia="SimSun" w:hAnsi="Book Antiqua" w:cs="Times New Roman" w:hint="eastAsia"/>
          <w:bCs/>
          <w:kern w:val="2"/>
          <w:sz w:val="24"/>
          <w:szCs w:val="24"/>
          <w:lang w:val="en-US" w:eastAsia="zh-CN"/>
        </w:rPr>
        <w:t xml:space="preserve">. </w:t>
      </w:r>
      <w:r w:rsidRPr="0047156E">
        <w:rPr>
          <w:rFonts w:ascii="Book Antiqua" w:eastAsia="SimSun" w:hAnsi="Book Antiqua" w:cs="SimSun"/>
          <w:sz w:val="24"/>
          <w:szCs w:val="24"/>
          <w:lang w:val="en-US" w:eastAsia="zh-CN"/>
        </w:rPr>
        <w:t>Subgroup analyses in RAS mutant, BRAF mutant and “all-wt” metastatic colorectal cancer patients treated with FOLFOXIRI plus bevacizumab (bev) or FOLFIRI plus bev in the TRIBE study. This article appears in: ESMO 16th World Congress on Gastrointestinal Cancer, 25–28 June 2014, Barcelona, Spain Ann Oncol 2014; 25: ii107–ii108 [DOI: 10.1093/annonc/mdu193.7]</w:t>
      </w:r>
    </w:p>
    <w:p w14:paraId="1BD55718"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lastRenderedPageBreak/>
        <w:t>7</w:t>
      </w:r>
      <w:r w:rsidRPr="0047156E">
        <w:rPr>
          <w:rFonts w:ascii="Book Antiqua" w:eastAsia="SimSun" w:hAnsi="Book Antiqua" w:cs="SimSun" w:hint="eastAsia"/>
          <w:sz w:val="24"/>
          <w:szCs w:val="24"/>
          <w:lang w:val="en-US" w:eastAsia="zh-CN"/>
        </w:rPr>
        <w:t>6</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De Roock W</w:t>
      </w:r>
      <w:r w:rsidRPr="0047156E">
        <w:rPr>
          <w:rFonts w:ascii="Book Antiqua" w:eastAsia="SimSun" w:hAnsi="Book Antiqua" w:cs="SimSun"/>
          <w:sz w:val="24"/>
          <w:szCs w:val="24"/>
          <w:lang w:val="en-US" w:eastAsia="zh-CN"/>
        </w:rPr>
        <w:t xml:space="preserve">, De Vriendt V, Normanno N, Ciardiello F, Tejpar S. KRAS, BRAF, PIK3CA, and PTEN mutations: implications for targeted therapies in metastatic colorectal cancer. </w:t>
      </w:r>
      <w:r w:rsidRPr="0047156E">
        <w:rPr>
          <w:rFonts w:ascii="Book Antiqua" w:eastAsia="SimSun" w:hAnsi="Book Antiqua" w:cs="SimSun"/>
          <w:i/>
          <w:iCs/>
          <w:sz w:val="24"/>
          <w:szCs w:val="24"/>
          <w:lang w:val="en-US" w:eastAsia="zh-CN"/>
        </w:rPr>
        <w:t>Lancet Oncol</w:t>
      </w:r>
      <w:r w:rsidRPr="0047156E">
        <w:rPr>
          <w:rFonts w:ascii="Book Antiqua" w:eastAsia="SimSun" w:hAnsi="Book Antiqua" w:cs="SimSun"/>
          <w:sz w:val="24"/>
          <w:szCs w:val="24"/>
          <w:lang w:val="en-US" w:eastAsia="zh-CN"/>
        </w:rPr>
        <w:t xml:space="preserve"> 2011; </w:t>
      </w:r>
      <w:r w:rsidRPr="0047156E">
        <w:rPr>
          <w:rFonts w:ascii="Book Antiqua" w:eastAsia="SimSun" w:hAnsi="Book Antiqua" w:cs="SimSun"/>
          <w:b/>
          <w:bCs/>
          <w:sz w:val="24"/>
          <w:szCs w:val="24"/>
          <w:lang w:val="en-US" w:eastAsia="zh-CN"/>
        </w:rPr>
        <w:t>12</w:t>
      </w:r>
      <w:r w:rsidRPr="0047156E">
        <w:rPr>
          <w:rFonts w:ascii="Book Antiqua" w:eastAsia="SimSun" w:hAnsi="Book Antiqua" w:cs="SimSun"/>
          <w:sz w:val="24"/>
          <w:szCs w:val="24"/>
          <w:lang w:val="en-US" w:eastAsia="zh-CN"/>
        </w:rPr>
        <w:t>: 594-603 [PMID: 21163703 DOI: 10.1016/S1470-2045(10)70209-6]</w:t>
      </w:r>
    </w:p>
    <w:p w14:paraId="627AE53F"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7</w:t>
      </w:r>
      <w:r w:rsidRPr="0047156E">
        <w:rPr>
          <w:rFonts w:ascii="Book Antiqua" w:eastAsia="SimSun" w:hAnsi="Book Antiqua" w:cs="SimSun" w:hint="eastAsia"/>
          <w:sz w:val="24"/>
          <w:szCs w:val="24"/>
          <w:lang w:val="en-US" w:eastAsia="zh-CN"/>
        </w:rPr>
        <w:t>7</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Huang CH</w:t>
      </w:r>
      <w:r w:rsidRPr="0047156E">
        <w:rPr>
          <w:rFonts w:ascii="Book Antiqua" w:eastAsia="SimSun" w:hAnsi="Book Antiqua" w:cs="SimSun"/>
          <w:sz w:val="24"/>
          <w:szCs w:val="24"/>
          <w:lang w:val="en-US" w:eastAsia="zh-CN"/>
        </w:rPr>
        <w:t xml:space="preserve">, Mandelker D, Schmidt-Kittler O, Samuels Y, Velculescu VE, Kinzler KW, Vogelstein B, Gabelli SB, Amzel LM. The structure of a human p110alpha/p85alpha complex elucidates the effects of oncogenic PI3Kalpha mutations. </w:t>
      </w:r>
      <w:r w:rsidRPr="0047156E">
        <w:rPr>
          <w:rFonts w:ascii="Book Antiqua" w:eastAsia="SimSun" w:hAnsi="Book Antiqua" w:cs="SimSun"/>
          <w:i/>
          <w:iCs/>
          <w:sz w:val="24"/>
          <w:szCs w:val="24"/>
          <w:lang w:val="en-US" w:eastAsia="zh-CN"/>
        </w:rPr>
        <w:t>Science</w:t>
      </w:r>
      <w:r w:rsidRPr="0047156E">
        <w:rPr>
          <w:rFonts w:ascii="Book Antiqua" w:eastAsia="SimSun" w:hAnsi="Book Antiqua" w:cs="SimSun"/>
          <w:sz w:val="24"/>
          <w:szCs w:val="24"/>
          <w:lang w:val="en-US" w:eastAsia="zh-CN"/>
        </w:rPr>
        <w:t xml:space="preserve"> 2007; </w:t>
      </w:r>
      <w:r w:rsidRPr="0047156E">
        <w:rPr>
          <w:rFonts w:ascii="Book Antiqua" w:eastAsia="SimSun" w:hAnsi="Book Antiqua" w:cs="SimSun"/>
          <w:b/>
          <w:bCs/>
          <w:sz w:val="24"/>
          <w:szCs w:val="24"/>
          <w:lang w:val="en-US" w:eastAsia="zh-CN"/>
        </w:rPr>
        <w:t>318</w:t>
      </w:r>
      <w:r w:rsidRPr="0047156E">
        <w:rPr>
          <w:rFonts w:ascii="Book Antiqua" w:eastAsia="SimSun" w:hAnsi="Book Antiqua" w:cs="SimSun"/>
          <w:sz w:val="24"/>
          <w:szCs w:val="24"/>
          <w:lang w:val="en-US" w:eastAsia="zh-CN"/>
        </w:rPr>
        <w:t>: 1744-1748 [PMID: 18079394 DOI: 10.1126/science.1150799]</w:t>
      </w:r>
    </w:p>
    <w:p w14:paraId="1FB97E33"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7</w:t>
      </w:r>
      <w:r w:rsidRPr="0047156E">
        <w:rPr>
          <w:rFonts w:ascii="Book Antiqua" w:eastAsia="SimSun" w:hAnsi="Book Antiqua" w:cs="SimSun" w:hint="eastAsia"/>
          <w:sz w:val="24"/>
          <w:szCs w:val="24"/>
          <w:lang w:val="en-US" w:eastAsia="zh-CN"/>
        </w:rPr>
        <w:t>8</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Karakas B</w:t>
      </w:r>
      <w:r w:rsidRPr="0047156E">
        <w:rPr>
          <w:rFonts w:ascii="Book Antiqua" w:eastAsia="SimSun" w:hAnsi="Book Antiqua" w:cs="SimSun"/>
          <w:sz w:val="24"/>
          <w:szCs w:val="24"/>
          <w:lang w:val="en-US" w:eastAsia="zh-CN"/>
        </w:rPr>
        <w:t xml:space="preserve">, Bachman KE, Park BH. Mutation of the PIK3CA oncogene in human cancers. </w:t>
      </w:r>
      <w:r w:rsidRPr="0047156E">
        <w:rPr>
          <w:rFonts w:ascii="Book Antiqua" w:eastAsia="SimSun" w:hAnsi="Book Antiqua" w:cs="SimSun"/>
          <w:i/>
          <w:iCs/>
          <w:sz w:val="24"/>
          <w:szCs w:val="24"/>
          <w:lang w:val="en-US" w:eastAsia="zh-CN"/>
        </w:rPr>
        <w:t>Br J Cancer</w:t>
      </w:r>
      <w:r w:rsidRPr="0047156E">
        <w:rPr>
          <w:rFonts w:ascii="Book Antiqua" w:eastAsia="SimSun" w:hAnsi="Book Antiqua" w:cs="SimSun"/>
          <w:sz w:val="24"/>
          <w:szCs w:val="24"/>
          <w:lang w:val="en-US" w:eastAsia="zh-CN"/>
        </w:rPr>
        <w:t xml:space="preserve"> 2006; </w:t>
      </w:r>
      <w:r w:rsidRPr="0047156E">
        <w:rPr>
          <w:rFonts w:ascii="Book Antiqua" w:eastAsia="SimSun" w:hAnsi="Book Antiqua" w:cs="SimSun"/>
          <w:b/>
          <w:bCs/>
          <w:sz w:val="24"/>
          <w:szCs w:val="24"/>
          <w:lang w:val="en-US" w:eastAsia="zh-CN"/>
        </w:rPr>
        <w:t>94</w:t>
      </w:r>
      <w:r w:rsidRPr="0047156E">
        <w:rPr>
          <w:rFonts w:ascii="Book Antiqua" w:eastAsia="SimSun" w:hAnsi="Book Antiqua" w:cs="SimSun"/>
          <w:sz w:val="24"/>
          <w:szCs w:val="24"/>
          <w:lang w:val="en-US" w:eastAsia="zh-CN"/>
        </w:rPr>
        <w:t>: 455-459 [PMID: 16449998 DOI: doi: 10.1038/sj.bjc.6602970]</w:t>
      </w:r>
    </w:p>
    <w:p w14:paraId="2A2B3BFA"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hint="eastAsia"/>
          <w:sz w:val="24"/>
          <w:szCs w:val="24"/>
          <w:lang w:val="en-US" w:eastAsia="zh-CN"/>
        </w:rPr>
        <w:t>79</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Jhawer M</w:t>
      </w:r>
      <w:r w:rsidRPr="0047156E">
        <w:rPr>
          <w:rFonts w:ascii="Book Antiqua" w:eastAsia="SimSun" w:hAnsi="Book Antiqua" w:cs="SimSun"/>
          <w:sz w:val="24"/>
          <w:szCs w:val="24"/>
          <w:lang w:val="en-US" w:eastAsia="zh-CN"/>
        </w:rPr>
        <w:t xml:space="preserve">, Goel S, Wilson AJ, Montagna C, Ling YH, Byun DS, Nasser S, Arango D, Shin J, Klampfer L, Augenlicht LH, Perez-Soler R, Mariadason JM. PIK3CA mutation/PTEN expression status predicts response of colon cancer cells to the epidermal growth factor receptor inhibitor cetuximab. </w:t>
      </w:r>
      <w:r w:rsidRPr="0047156E">
        <w:rPr>
          <w:rFonts w:ascii="Book Antiqua" w:eastAsia="SimSun" w:hAnsi="Book Antiqua" w:cs="SimSun"/>
          <w:i/>
          <w:iCs/>
          <w:sz w:val="24"/>
          <w:szCs w:val="24"/>
          <w:lang w:val="en-US" w:eastAsia="zh-CN"/>
        </w:rPr>
        <w:t>Cancer Res</w:t>
      </w:r>
      <w:r w:rsidRPr="0047156E">
        <w:rPr>
          <w:rFonts w:ascii="Book Antiqua" w:eastAsia="SimSun" w:hAnsi="Book Antiqua" w:cs="SimSun"/>
          <w:sz w:val="24"/>
          <w:szCs w:val="24"/>
          <w:lang w:val="en-US" w:eastAsia="zh-CN"/>
        </w:rPr>
        <w:t xml:space="preserve"> 2008; </w:t>
      </w:r>
      <w:r w:rsidRPr="0047156E">
        <w:rPr>
          <w:rFonts w:ascii="Book Antiqua" w:eastAsia="SimSun" w:hAnsi="Book Antiqua" w:cs="SimSun"/>
          <w:b/>
          <w:bCs/>
          <w:sz w:val="24"/>
          <w:szCs w:val="24"/>
          <w:lang w:val="en-US" w:eastAsia="zh-CN"/>
        </w:rPr>
        <w:t>68</w:t>
      </w:r>
      <w:r w:rsidRPr="0047156E">
        <w:rPr>
          <w:rFonts w:ascii="Book Antiqua" w:eastAsia="SimSun" w:hAnsi="Book Antiqua" w:cs="SimSun"/>
          <w:sz w:val="24"/>
          <w:szCs w:val="24"/>
          <w:lang w:val="en-US" w:eastAsia="zh-CN"/>
        </w:rPr>
        <w:t>: 1953-1961 [PMID: 18339877 DOI: 10.1158/0008-5472.CAN-07-5659]</w:t>
      </w:r>
    </w:p>
    <w:p w14:paraId="57A8AA4E"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8</w:t>
      </w:r>
      <w:r w:rsidRPr="0047156E">
        <w:rPr>
          <w:rFonts w:ascii="Book Antiqua" w:eastAsia="SimSun" w:hAnsi="Book Antiqua" w:cs="SimSun" w:hint="eastAsia"/>
          <w:sz w:val="24"/>
          <w:szCs w:val="24"/>
          <w:lang w:val="en-US" w:eastAsia="zh-CN"/>
        </w:rPr>
        <w:t>0</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Sartore-Bianchi A</w:t>
      </w:r>
      <w:r w:rsidRPr="0047156E">
        <w:rPr>
          <w:rFonts w:ascii="Book Antiqua" w:eastAsia="SimSun" w:hAnsi="Book Antiqua" w:cs="SimSun"/>
          <w:sz w:val="24"/>
          <w:szCs w:val="24"/>
          <w:lang w:val="en-US" w:eastAsia="zh-CN"/>
        </w:rPr>
        <w:t xml:space="preserve">, Martini M, Molinari F, Veronese S, Nichelatti M, Artale S, Di Nicolantonio F, Saletti P, De Dosso S, Mazzucchelli L, Frattini M, Siena S, Bardelli A. PIK3CA mutations in colorectal cancer are associated with clinical resistance to EGFR-targeted monoclonal antibodies. </w:t>
      </w:r>
      <w:r w:rsidRPr="0047156E">
        <w:rPr>
          <w:rFonts w:ascii="Book Antiqua" w:eastAsia="SimSun" w:hAnsi="Book Antiqua" w:cs="SimSun"/>
          <w:i/>
          <w:iCs/>
          <w:sz w:val="24"/>
          <w:szCs w:val="24"/>
          <w:lang w:val="en-US" w:eastAsia="zh-CN"/>
        </w:rPr>
        <w:t>Cancer Res</w:t>
      </w:r>
      <w:r w:rsidRPr="0047156E">
        <w:rPr>
          <w:rFonts w:ascii="Book Antiqua" w:eastAsia="SimSun" w:hAnsi="Book Antiqua" w:cs="SimSun"/>
          <w:sz w:val="24"/>
          <w:szCs w:val="24"/>
          <w:lang w:val="en-US" w:eastAsia="zh-CN"/>
        </w:rPr>
        <w:t xml:space="preserve"> 2009; </w:t>
      </w:r>
      <w:r w:rsidRPr="0047156E">
        <w:rPr>
          <w:rFonts w:ascii="Book Antiqua" w:eastAsia="SimSun" w:hAnsi="Book Antiqua" w:cs="SimSun"/>
          <w:b/>
          <w:bCs/>
          <w:sz w:val="24"/>
          <w:szCs w:val="24"/>
          <w:lang w:val="en-US" w:eastAsia="zh-CN"/>
        </w:rPr>
        <w:t>69</w:t>
      </w:r>
      <w:r w:rsidRPr="0047156E">
        <w:rPr>
          <w:rFonts w:ascii="Book Antiqua" w:eastAsia="SimSun" w:hAnsi="Book Antiqua" w:cs="SimSun"/>
          <w:sz w:val="24"/>
          <w:szCs w:val="24"/>
          <w:lang w:val="en-US" w:eastAsia="zh-CN"/>
        </w:rPr>
        <w:t>: 1851-1857 [PMID: 19223544 DOI: 10.1158/0008-5472.CAN-08-2466]</w:t>
      </w:r>
    </w:p>
    <w:p w14:paraId="7C9A4CEC"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8</w:t>
      </w:r>
      <w:r w:rsidRPr="0047156E">
        <w:rPr>
          <w:rFonts w:ascii="Book Antiqua" w:eastAsia="SimSun" w:hAnsi="Book Antiqua" w:cs="SimSun" w:hint="eastAsia"/>
          <w:sz w:val="24"/>
          <w:szCs w:val="24"/>
          <w:lang w:val="en-US" w:eastAsia="zh-CN"/>
        </w:rPr>
        <w:t>1</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Mao C</w:t>
      </w:r>
      <w:r w:rsidRPr="0047156E">
        <w:rPr>
          <w:rFonts w:ascii="Book Antiqua" w:eastAsia="SimSun" w:hAnsi="Book Antiqua" w:cs="SimSun"/>
          <w:sz w:val="24"/>
          <w:szCs w:val="24"/>
          <w:lang w:val="en-US" w:eastAsia="zh-CN"/>
        </w:rPr>
        <w:t xml:space="preserve">, Yang ZY, Hu XF, Chen Q, Tang JL. PIK3CA exon 20 mutations as a potential biomarker for resistance to anti-EGFR monoclonal antibodies in KRAS wild-type metastatic colorectal cancer: a systematic review and meta-analysis. </w:t>
      </w:r>
      <w:r w:rsidRPr="0047156E">
        <w:rPr>
          <w:rFonts w:ascii="Book Antiqua" w:eastAsia="SimSun" w:hAnsi="Book Antiqua" w:cs="SimSun"/>
          <w:i/>
          <w:iCs/>
          <w:sz w:val="24"/>
          <w:szCs w:val="24"/>
          <w:lang w:val="en-US" w:eastAsia="zh-CN"/>
        </w:rPr>
        <w:t>Ann Oncol</w:t>
      </w:r>
      <w:r w:rsidRPr="0047156E">
        <w:rPr>
          <w:rFonts w:ascii="Book Antiqua" w:eastAsia="SimSun" w:hAnsi="Book Antiqua" w:cs="SimSun"/>
          <w:sz w:val="24"/>
          <w:szCs w:val="24"/>
          <w:lang w:val="en-US" w:eastAsia="zh-CN"/>
        </w:rPr>
        <w:t xml:space="preserve"> 2012; </w:t>
      </w:r>
      <w:r w:rsidRPr="0047156E">
        <w:rPr>
          <w:rFonts w:ascii="Book Antiqua" w:eastAsia="SimSun" w:hAnsi="Book Antiqua" w:cs="SimSun"/>
          <w:b/>
          <w:bCs/>
          <w:sz w:val="24"/>
          <w:szCs w:val="24"/>
          <w:lang w:val="en-US" w:eastAsia="zh-CN"/>
        </w:rPr>
        <w:t>23</w:t>
      </w:r>
      <w:r w:rsidRPr="0047156E">
        <w:rPr>
          <w:rFonts w:ascii="Book Antiqua" w:eastAsia="SimSun" w:hAnsi="Book Antiqua" w:cs="SimSun"/>
          <w:sz w:val="24"/>
          <w:szCs w:val="24"/>
          <w:lang w:val="en-US" w:eastAsia="zh-CN"/>
        </w:rPr>
        <w:t>: 1518-1525 [PMID: 22039088 DOI: 152510.1093/annonc/mdr464]</w:t>
      </w:r>
    </w:p>
    <w:p w14:paraId="4685EABA"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8</w:t>
      </w:r>
      <w:r w:rsidRPr="0047156E">
        <w:rPr>
          <w:rFonts w:ascii="Book Antiqua" w:eastAsia="SimSun" w:hAnsi="Book Antiqua" w:cs="SimSun" w:hint="eastAsia"/>
          <w:sz w:val="24"/>
          <w:szCs w:val="24"/>
          <w:lang w:val="en-US" w:eastAsia="zh-CN"/>
        </w:rPr>
        <w:t>2</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Huang L</w:t>
      </w:r>
      <w:r w:rsidRPr="0047156E">
        <w:rPr>
          <w:rFonts w:ascii="Book Antiqua" w:eastAsia="SimSun" w:hAnsi="Book Antiqua" w:cs="SimSun"/>
          <w:sz w:val="24"/>
          <w:szCs w:val="24"/>
          <w:lang w:val="en-US" w:eastAsia="zh-CN"/>
        </w:rPr>
        <w:t xml:space="preserve">, Liu Z, Deng D, Tan A, Liao M, Mo Z, Yang X. Anti-epidermal growth factor receptor monoclonal antibody-based therapy for metastatic colorectal cancer: a meta-analysis of the effect of PIK3CA mutations in KRAS wild-type patients. </w:t>
      </w:r>
      <w:r w:rsidRPr="0047156E">
        <w:rPr>
          <w:rFonts w:ascii="Book Antiqua" w:eastAsia="SimSun" w:hAnsi="Book Antiqua" w:cs="SimSun"/>
          <w:i/>
          <w:iCs/>
          <w:sz w:val="24"/>
          <w:szCs w:val="24"/>
          <w:lang w:val="en-US" w:eastAsia="zh-CN"/>
        </w:rPr>
        <w:t>Arch Med Sci</w:t>
      </w:r>
      <w:r w:rsidRPr="0047156E">
        <w:rPr>
          <w:rFonts w:ascii="Book Antiqua" w:eastAsia="SimSun" w:hAnsi="Book Antiqua" w:cs="SimSun"/>
          <w:sz w:val="24"/>
          <w:szCs w:val="24"/>
          <w:lang w:val="en-US" w:eastAsia="zh-CN"/>
        </w:rPr>
        <w:t xml:space="preserve"> 2014; </w:t>
      </w:r>
      <w:r w:rsidRPr="0047156E">
        <w:rPr>
          <w:rFonts w:ascii="Book Antiqua" w:eastAsia="SimSun" w:hAnsi="Book Antiqua" w:cs="SimSun"/>
          <w:b/>
          <w:bCs/>
          <w:sz w:val="24"/>
          <w:szCs w:val="24"/>
          <w:lang w:val="en-US" w:eastAsia="zh-CN"/>
        </w:rPr>
        <w:t>10</w:t>
      </w:r>
      <w:r w:rsidRPr="0047156E">
        <w:rPr>
          <w:rFonts w:ascii="Book Antiqua" w:eastAsia="SimSun" w:hAnsi="Book Antiqua" w:cs="SimSun"/>
          <w:sz w:val="24"/>
          <w:szCs w:val="24"/>
          <w:lang w:val="en-US" w:eastAsia="zh-CN"/>
        </w:rPr>
        <w:t>: 1-9 [PMID: 24701207 DOI: 10.5114/aoms.2014.40728]</w:t>
      </w:r>
    </w:p>
    <w:p w14:paraId="1A8AB81D"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8</w:t>
      </w:r>
      <w:r w:rsidRPr="0047156E">
        <w:rPr>
          <w:rFonts w:ascii="Book Antiqua" w:eastAsia="SimSun" w:hAnsi="Book Antiqua" w:cs="SimSun" w:hint="eastAsia"/>
          <w:sz w:val="24"/>
          <w:szCs w:val="24"/>
          <w:lang w:val="en-US" w:eastAsia="zh-CN"/>
        </w:rPr>
        <w:t>3</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Liao X</w:t>
      </w:r>
      <w:r w:rsidRPr="0047156E">
        <w:rPr>
          <w:rFonts w:ascii="Book Antiqua" w:eastAsia="SimSun" w:hAnsi="Book Antiqua" w:cs="SimSun"/>
          <w:sz w:val="24"/>
          <w:szCs w:val="24"/>
          <w:lang w:val="en-US" w:eastAsia="zh-CN"/>
        </w:rPr>
        <w:t xml:space="preserve">, Morikawa T, Lochhead P, Imamura Y, Kuchiba A, Yamauchi M, Nosho K, Qian ZR, Nishihara R, Meyerhardt JA, Fuchs CS, Ogino S. Prognostic role of PIK3CA mutation in colorectal cancer: cohort study and literature review. </w:t>
      </w:r>
      <w:r w:rsidRPr="0047156E">
        <w:rPr>
          <w:rFonts w:ascii="Book Antiqua" w:eastAsia="SimSun" w:hAnsi="Book Antiqua" w:cs="SimSun"/>
          <w:i/>
          <w:iCs/>
          <w:sz w:val="24"/>
          <w:szCs w:val="24"/>
          <w:lang w:val="en-US" w:eastAsia="zh-CN"/>
        </w:rPr>
        <w:t>Clin Cancer Res</w:t>
      </w:r>
      <w:r w:rsidRPr="0047156E">
        <w:rPr>
          <w:rFonts w:ascii="Book Antiqua" w:eastAsia="SimSun" w:hAnsi="Book Antiqua" w:cs="SimSun"/>
          <w:sz w:val="24"/>
          <w:szCs w:val="24"/>
          <w:lang w:val="en-US" w:eastAsia="zh-CN"/>
        </w:rPr>
        <w:t xml:space="preserve"> 2012; </w:t>
      </w:r>
      <w:r w:rsidRPr="0047156E">
        <w:rPr>
          <w:rFonts w:ascii="Book Antiqua" w:eastAsia="SimSun" w:hAnsi="Book Antiqua" w:cs="SimSun"/>
          <w:b/>
          <w:bCs/>
          <w:sz w:val="24"/>
          <w:szCs w:val="24"/>
          <w:lang w:val="en-US" w:eastAsia="zh-CN"/>
        </w:rPr>
        <w:t>18</w:t>
      </w:r>
      <w:r w:rsidRPr="0047156E">
        <w:rPr>
          <w:rFonts w:ascii="Book Antiqua" w:eastAsia="SimSun" w:hAnsi="Book Antiqua" w:cs="SimSun"/>
          <w:sz w:val="24"/>
          <w:szCs w:val="24"/>
          <w:lang w:val="en-US" w:eastAsia="zh-CN"/>
        </w:rPr>
        <w:t>: 2257-2268 [PMID: 22357840 DOI: 10.1158/1078-0432.CCR-11-2410]</w:t>
      </w:r>
    </w:p>
    <w:p w14:paraId="56C60281"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lastRenderedPageBreak/>
        <w:t>8</w:t>
      </w:r>
      <w:r w:rsidRPr="0047156E">
        <w:rPr>
          <w:rFonts w:ascii="Book Antiqua" w:eastAsia="SimSun" w:hAnsi="Book Antiqua" w:cs="SimSun" w:hint="eastAsia"/>
          <w:sz w:val="24"/>
          <w:szCs w:val="24"/>
          <w:lang w:val="en-US" w:eastAsia="zh-CN"/>
        </w:rPr>
        <w:t>4</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Ogino S</w:t>
      </w:r>
      <w:r w:rsidRPr="0047156E">
        <w:rPr>
          <w:rFonts w:ascii="Book Antiqua" w:eastAsia="SimSun" w:hAnsi="Book Antiqua" w:cs="SimSun"/>
          <w:sz w:val="24"/>
          <w:szCs w:val="24"/>
          <w:lang w:val="en-US" w:eastAsia="zh-CN"/>
        </w:rPr>
        <w:t xml:space="preserve">, Nosho K, Kirkner GJ, Shima K, Irahara N, Kure S, Chan AT, Engelman JA, Kraft P, Cantley LC, Giovannucci EL, Fuchs CS. PIK3CA mutation is associated with poor prognosis among patients with curatively resected colon cancer. </w:t>
      </w:r>
      <w:r w:rsidRPr="0047156E">
        <w:rPr>
          <w:rFonts w:ascii="Book Antiqua" w:eastAsia="SimSun" w:hAnsi="Book Antiqua" w:cs="SimSun"/>
          <w:i/>
          <w:iCs/>
          <w:sz w:val="24"/>
          <w:szCs w:val="24"/>
          <w:lang w:val="en-US" w:eastAsia="zh-CN"/>
        </w:rPr>
        <w:t>J Clin Oncol</w:t>
      </w:r>
      <w:r w:rsidRPr="0047156E">
        <w:rPr>
          <w:rFonts w:ascii="Book Antiqua" w:eastAsia="SimSun" w:hAnsi="Book Antiqua" w:cs="SimSun"/>
          <w:sz w:val="24"/>
          <w:szCs w:val="24"/>
          <w:lang w:val="en-US" w:eastAsia="zh-CN"/>
        </w:rPr>
        <w:t xml:space="preserve"> 2009; </w:t>
      </w:r>
      <w:r w:rsidRPr="0047156E">
        <w:rPr>
          <w:rFonts w:ascii="Book Antiqua" w:eastAsia="SimSun" w:hAnsi="Book Antiqua" w:cs="SimSun"/>
          <w:b/>
          <w:bCs/>
          <w:sz w:val="24"/>
          <w:szCs w:val="24"/>
          <w:lang w:val="en-US" w:eastAsia="zh-CN"/>
        </w:rPr>
        <w:t>27</w:t>
      </w:r>
      <w:r w:rsidRPr="0047156E">
        <w:rPr>
          <w:rFonts w:ascii="Book Antiqua" w:eastAsia="SimSun" w:hAnsi="Book Antiqua" w:cs="SimSun"/>
          <w:sz w:val="24"/>
          <w:szCs w:val="24"/>
          <w:lang w:val="en-US" w:eastAsia="zh-CN"/>
        </w:rPr>
        <w:t>: 1477-1484 [PMID: 19237633 DOI: 10.1200/JCO.2008.18.6544]</w:t>
      </w:r>
    </w:p>
    <w:p w14:paraId="055B0421"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8</w:t>
      </w:r>
      <w:r w:rsidRPr="0047156E">
        <w:rPr>
          <w:rFonts w:ascii="Book Antiqua" w:eastAsia="SimSun" w:hAnsi="Book Antiqua" w:cs="SimSun" w:hint="eastAsia"/>
          <w:sz w:val="24"/>
          <w:szCs w:val="24"/>
          <w:lang w:val="en-US" w:eastAsia="zh-CN"/>
        </w:rPr>
        <w:t>5</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Sansal I</w:t>
      </w:r>
      <w:r w:rsidRPr="0047156E">
        <w:rPr>
          <w:rFonts w:ascii="Book Antiqua" w:eastAsia="SimSun" w:hAnsi="Book Antiqua" w:cs="SimSun"/>
          <w:sz w:val="24"/>
          <w:szCs w:val="24"/>
          <w:lang w:val="en-US" w:eastAsia="zh-CN"/>
        </w:rPr>
        <w:t xml:space="preserve">, Sellers WR. The biology and clinical relevance of the PTEN tumor suppressor pathway. </w:t>
      </w:r>
      <w:r w:rsidRPr="0047156E">
        <w:rPr>
          <w:rFonts w:ascii="Book Antiqua" w:eastAsia="SimSun" w:hAnsi="Book Antiqua" w:cs="SimSun"/>
          <w:i/>
          <w:iCs/>
          <w:sz w:val="24"/>
          <w:szCs w:val="24"/>
          <w:lang w:val="en-US" w:eastAsia="zh-CN"/>
        </w:rPr>
        <w:t>J Clin Oncol</w:t>
      </w:r>
      <w:r w:rsidRPr="0047156E">
        <w:rPr>
          <w:rFonts w:ascii="Book Antiqua" w:eastAsia="SimSun" w:hAnsi="Book Antiqua" w:cs="SimSun"/>
          <w:sz w:val="24"/>
          <w:szCs w:val="24"/>
          <w:lang w:val="en-US" w:eastAsia="zh-CN"/>
        </w:rPr>
        <w:t xml:space="preserve"> 2004; </w:t>
      </w:r>
      <w:r w:rsidRPr="0047156E">
        <w:rPr>
          <w:rFonts w:ascii="Book Antiqua" w:eastAsia="SimSun" w:hAnsi="Book Antiqua" w:cs="SimSun"/>
          <w:b/>
          <w:bCs/>
          <w:sz w:val="24"/>
          <w:szCs w:val="24"/>
          <w:lang w:val="en-US" w:eastAsia="zh-CN"/>
        </w:rPr>
        <w:t>22</w:t>
      </w:r>
      <w:r w:rsidRPr="0047156E">
        <w:rPr>
          <w:rFonts w:ascii="Book Antiqua" w:eastAsia="SimSun" w:hAnsi="Book Antiqua" w:cs="SimSun"/>
          <w:sz w:val="24"/>
          <w:szCs w:val="24"/>
          <w:lang w:val="en-US" w:eastAsia="zh-CN"/>
        </w:rPr>
        <w:t>: 2954-2963 [PMID: 15254063 DOI: 10.1200/JCO.2004.02.141]</w:t>
      </w:r>
    </w:p>
    <w:p w14:paraId="0FBA23BC"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8</w:t>
      </w:r>
      <w:r w:rsidRPr="0047156E">
        <w:rPr>
          <w:rFonts w:ascii="Book Antiqua" w:eastAsia="SimSun" w:hAnsi="Book Antiqua" w:cs="SimSun" w:hint="eastAsia"/>
          <w:sz w:val="24"/>
          <w:szCs w:val="24"/>
          <w:lang w:val="en-US" w:eastAsia="zh-CN"/>
        </w:rPr>
        <w:t>6</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Frattini M</w:t>
      </w:r>
      <w:r w:rsidRPr="0047156E">
        <w:rPr>
          <w:rFonts w:ascii="Book Antiqua" w:eastAsia="SimSun" w:hAnsi="Book Antiqua" w:cs="SimSun"/>
          <w:sz w:val="24"/>
          <w:szCs w:val="24"/>
          <w:lang w:val="en-US" w:eastAsia="zh-CN"/>
        </w:rPr>
        <w:t xml:space="preserve">, Saletti P, Romagnani E, Martin V, Molinari F, Ghisletta M, Camponovo A, Etienne LL, Cavalli F, Mazzucchelli L. PTEN loss of expression predicts cetuximab efficacy in metastatic colorectal cancer patients. </w:t>
      </w:r>
      <w:r w:rsidRPr="0047156E">
        <w:rPr>
          <w:rFonts w:ascii="Book Antiqua" w:eastAsia="SimSun" w:hAnsi="Book Antiqua" w:cs="SimSun"/>
          <w:i/>
          <w:iCs/>
          <w:sz w:val="24"/>
          <w:szCs w:val="24"/>
          <w:lang w:val="en-US" w:eastAsia="zh-CN"/>
        </w:rPr>
        <w:t>Br J Cancer</w:t>
      </w:r>
      <w:r w:rsidRPr="0047156E">
        <w:rPr>
          <w:rFonts w:ascii="Book Antiqua" w:eastAsia="SimSun" w:hAnsi="Book Antiqua" w:cs="SimSun"/>
          <w:sz w:val="24"/>
          <w:szCs w:val="24"/>
          <w:lang w:val="en-US" w:eastAsia="zh-CN"/>
        </w:rPr>
        <w:t xml:space="preserve"> 2007; </w:t>
      </w:r>
      <w:r w:rsidRPr="0047156E">
        <w:rPr>
          <w:rFonts w:ascii="Book Antiqua" w:eastAsia="SimSun" w:hAnsi="Book Antiqua" w:cs="SimSun"/>
          <w:b/>
          <w:bCs/>
          <w:sz w:val="24"/>
          <w:szCs w:val="24"/>
          <w:lang w:val="en-US" w:eastAsia="zh-CN"/>
        </w:rPr>
        <w:t>97</w:t>
      </w:r>
      <w:r w:rsidRPr="0047156E">
        <w:rPr>
          <w:rFonts w:ascii="Book Antiqua" w:eastAsia="SimSun" w:hAnsi="Book Antiqua" w:cs="SimSun"/>
          <w:sz w:val="24"/>
          <w:szCs w:val="24"/>
          <w:lang w:val="en-US" w:eastAsia="zh-CN"/>
        </w:rPr>
        <w:t>: 1139-1145 [PMID: 17940504 DOI: 10.1038/sj.bjc.6604009]</w:t>
      </w:r>
    </w:p>
    <w:p w14:paraId="72F98A2F"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8</w:t>
      </w:r>
      <w:r w:rsidRPr="0047156E">
        <w:rPr>
          <w:rFonts w:ascii="Book Antiqua" w:eastAsia="SimSun" w:hAnsi="Book Antiqua" w:cs="SimSun" w:hint="eastAsia"/>
          <w:sz w:val="24"/>
          <w:szCs w:val="24"/>
          <w:lang w:val="en-US" w:eastAsia="zh-CN"/>
        </w:rPr>
        <w:t>7</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Loupakis F</w:t>
      </w:r>
      <w:r w:rsidRPr="0047156E">
        <w:rPr>
          <w:rFonts w:ascii="Book Antiqua" w:eastAsia="SimSun" w:hAnsi="Book Antiqua" w:cs="SimSun"/>
          <w:sz w:val="24"/>
          <w:szCs w:val="24"/>
          <w:lang w:val="en-US" w:eastAsia="zh-CN"/>
        </w:rPr>
        <w:t xml:space="preserve">, Pollina L, Stasi I, Ruzzo A, Scartozzi M, Santini D, Masi G, Graziano F, Cremolini C, Rulli E, Canestrari E, Funel N, Schiavon G, Petrini I, Magnani M, Tonini G, Campani D, Floriani I, Cascinu S, Falcone A. PTEN expression and KRAS mutations on primary tumors and metastases in the prediction of benefit from cetuximab plus irinotecan for patients with metastatic colorectal cancer. </w:t>
      </w:r>
      <w:r w:rsidRPr="0047156E">
        <w:rPr>
          <w:rFonts w:ascii="Book Antiqua" w:eastAsia="SimSun" w:hAnsi="Book Antiqua" w:cs="SimSun"/>
          <w:i/>
          <w:iCs/>
          <w:sz w:val="24"/>
          <w:szCs w:val="24"/>
          <w:lang w:val="en-US" w:eastAsia="zh-CN"/>
        </w:rPr>
        <w:t>J Clin Oncol</w:t>
      </w:r>
      <w:r w:rsidRPr="0047156E">
        <w:rPr>
          <w:rFonts w:ascii="Book Antiqua" w:eastAsia="SimSun" w:hAnsi="Book Antiqua" w:cs="SimSun"/>
          <w:sz w:val="24"/>
          <w:szCs w:val="24"/>
          <w:lang w:val="en-US" w:eastAsia="zh-CN"/>
        </w:rPr>
        <w:t xml:space="preserve"> 2009; </w:t>
      </w:r>
      <w:r w:rsidRPr="0047156E">
        <w:rPr>
          <w:rFonts w:ascii="Book Antiqua" w:eastAsia="SimSun" w:hAnsi="Book Antiqua" w:cs="SimSun"/>
          <w:b/>
          <w:bCs/>
          <w:sz w:val="24"/>
          <w:szCs w:val="24"/>
          <w:lang w:val="en-US" w:eastAsia="zh-CN"/>
        </w:rPr>
        <w:t>27</w:t>
      </w:r>
      <w:r w:rsidRPr="0047156E">
        <w:rPr>
          <w:rFonts w:ascii="Book Antiqua" w:eastAsia="SimSun" w:hAnsi="Book Antiqua" w:cs="SimSun"/>
          <w:sz w:val="24"/>
          <w:szCs w:val="24"/>
          <w:lang w:val="en-US" w:eastAsia="zh-CN"/>
        </w:rPr>
        <w:t>: 2622-2629 [PMID: 19398573 DOI: 10.1200/JCO.2008.20.2796]</w:t>
      </w:r>
    </w:p>
    <w:p w14:paraId="6A371153"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8</w:t>
      </w:r>
      <w:r w:rsidRPr="0047156E">
        <w:rPr>
          <w:rFonts w:ascii="Book Antiqua" w:eastAsia="SimSun" w:hAnsi="Book Antiqua" w:cs="SimSun" w:hint="eastAsia"/>
          <w:sz w:val="24"/>
          <w:szCs w:val="24"/>
          <w:lang w:val="en-US" w:eastAsia="zh-CN"/>
        </w:rPr>
        <w:t>8</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Karapetis CS</w:t>
      </w:r>
      <w:r w:rsidRPr="0047156E">
        <w:rPr>
          <w:rFonts w:ascii="Book Antiqua" w:eastAsia="SimSun" w:hAnsi="Book Antiqua" w:cs="SimSun"/>
          <w:sz w:val="24"/>
          <w:szCs w:val="24"/>
          <w:lang w:val="en-US" w:eastAsia="zh-CN"/>
        </w:rPr>
        <w:t xml:space="preserve">, Jonker D, Daneshmand M, Hanson JE, O'Callaghan CJ, Marginean C, Zalcberg JR, Simes J, Moore MJ, Tebbutt NC, Price TJ, Shapiro JD, Pavlakis N, Gibbs P, Van Hazel GA, Lee U, Haq R, Virk S, Tu D, Lorimer IA. PIK3CA, BRAF, and PTEN status and benefit from cetuximab in the treatment of advanced colorectal cancer--results from NCIC CTG/AGITG CO.17. </w:t>
      </w:r>
      <w:r w:rsidRPr="0047156E">
        <w:rPr>
          <w:rFonts w:ascii="Book Antiqua" w:eastAsia="SimSun" w:hAnsi="Book Antiqua" w:cs="SimSun"/>
          <w:i/>
          <w:iCs/>
          <w:sz w:val="24"/>
          <w:szCs w:val="24"/>
          <w:lang w:val="en-US" w:eastAsia="zh-CN"/>
        </w:rPr>
        <w:t>Clin Cancer Res</w:t>
      </w:r>
      <w:r w:rsidRPr="0047156E">
        <w:rPr>
          <w:rFonts w:ascii="Book Antiqua" w:eastAsia="SimSun" w:hAnsi="Book Antiqua" w:cs="SimSun"/>
          <w:sz w:val="24"/>
          <w:szCs w:val="24"/>
          <w:lang w:val="en-US" w:eastAsia="zh-CN"/>
        </w:rPr>
        <w:t xml:space="preserve"> 2014; </w:t>
      </w:r>
      <w:r w:rsidRPr="0047156E">
        <w:rPr>
          <w:rFonts w:ascii="Book Antiqua" w:eastAsia="SimSun" w:hAnsi="Book Antiqua" w:cs="SimSun"/>
          <w:b/>
          <w:bCs/>
          <w:sz w:val="24"/>
          <w:szCs w:val="24"/>
          <w:lang w:val="en-US" w:eastAsia="zh-CN"/>
        </w:rPr>
        <w:t>20</w:t>
      </w:r>
      <w:r w:rsidRPr="0047156E">
        <w:rPr>
          <w:rFonts w:ascii="Book Antiqua" w:eastAsia="SimSun" w:hAnsi="Book Antiqua" w:cs="SimSun"/>
          <w:sz w:val="24"/>
          <w:szCs w:val="24"/>
          <w:lang w:val="en-US" w:eastAsia="zh-CN"/>
        </w:rPr>
        <w:t>: 744-753 [PMID: 24218517 DOI: 10.1158/1078-0432.CCR-13-0606]</w:t>
      </w:r>
    </w:p>
    <w:p w14:paraId="5DA09EB4"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hint="eastAsia"/>
          <w:sz w:val="24"/>
          <w:szCs w:val="24"/>
          <w:lang w:val="en-US" w:eastAsia="zh-CN"/>
        </w:rPr>
        <w:t>89</w:t>
      </w:r>
      <w:r w:rsidRPr="0047156E">
        <w:rPr>
          <w:rFonts w:ascii="Book Antiqua" w:eastAsia="SimSun" w:hAnsi="Book Antiqua" w:cs="SimSun"/>
          <w:sz w:val="24"/>
          <w:szCs w:val="24"/>
          <w:lang w:val="en-US" w:eastAsia="zh-CN"/>
        </w:rPr>
        <w:t xml:space="preserve"> </w:t>
      </w:r>
      <w:hyperlink r:id="rId10" w:anchor="group-1" w:history="1">
        <w:r w:rsidRPr="0047156E">
          <w:rPr>
            <w:rFonts w:ascii="Book Antiqua" w:eastAsia="SimSun" w:hAnsi="Book Antiqua" w:cs="Times New Roman"/>
            <w:b/>
            <w:kern w:val="2"/>
            <w:sz w:val="24"/>
            <w:szCs w:val="24"/>
            <w:lang w:val="en-US" w:eastAsia="zh-CN"/>
          </w:rPr>
          <w:t>The Cancer Genome Atlas Network</w:t>
        </w:r>
      </w:hyperlink>
      <w:r w:rsidRPr="0047156E">
        <w:rPr>
          <w:rFonts w:ascii="Book Antiqua" w:eastAsia="SimSun" w:hAnsi="Book Antiqua" w:cs="SimSun"/>
          <w:sz w:val="24"/>
          <w:szCs w:val="24"/>
          <w:lang w:val="en-US" w:eastAsia="zh-CN"/>
        </w:rPr>
        <w:t xml:space="preserve">. Comprehensive molecular characterization of human colon and rectal cancer. </w:t>
      </w:r>
      <w:r w:rsidRPr="0047156E">
        <w:rPr>
          <w:rFonts w:ascii="Book Antiqua" w:eastAsia="SimSun" w:hAnsi="Book Antiqua" w:cs="SimSun"/>
          <w:i/>
          <w:iCs/>
          <w:sz w:val="24"/>
          <w:szCs w:val="24"/>
          <w:lang w:val="en-US" w:eastAsia="zh-CN"/>
        </w:rPr>
        <w:t>Nature</w:t>
      </w:r>
      <w:r w:rsidRPr="0047156E">
        <w:rPr>
          <w:rFonts w:ascii="Book Antiqua" w:eastAsia="SimSun" w:hAnsi="Book Antiqua" w:cs="SimSun"/>
          <w:sz w:val="24"/>
          <w:szCs w:val="24"/>
          <w:lang w:val="en-US" w:eastAsia="zh-CN"/>
        </w:rPr>
        <w:t xml:space="preserve"> 2012; </w:t>
      </w:r>
      <w:r w:rsidRPr="0047156E">
        <w:rPr>
          <w:rFonts w:ascii="Book Antiqua" w:eastAsia="SimSun" w:hAnsi="Book Antiqua" w:cs="SimSun"/>
          <w:b/>
          <w:bCs/>
          <w:sz w:val="24"/>
          <w:szCs w:val="24"/>
          <w:lang w:val="en-US" w:eastAsia="zh-CN"/>
        </w:rPr>
        <w:t>487</w:t>
      </w:r>
      <w:r w:rsidRPr="0047156E">
        <w:rPr>
          <w:rFonts w:ascii="Book Antiqua" w:eastAsia="SimSun" w:hAnsi="Book Antiqua" w:cs="SimSun"/>
          <w:sz w:val="24"/>
          <w:szCs w:val="24"/>
          <w:lang w:val="en-US" w:eastAsia="zh-CN"/>
        </w:rPr>
        <w:t>: 330-337 [PMID: 22810696 DOI: 10.1038/nature11252]</w:t>
      </w:r>
    </w:p>
    <w:p w14:paraId="75F53B66"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9</w:t>
      </w:r>
      <w:r w:rsidRPr="0047156E">
        <w:rPr>
          <w:rFonts w:ascii="Book Antiqua" w:eastAsia="SimSun" w:hAnsi="Book Antiqua" w:cs="SimSun" w:hint="eastAsia"/>
          <w:sz w:val="24"/>
          <w:szCs w:val="24"/>
          <w:lang w:val="en-US" w:eastAsia="zh-CN"/>
        </w:rPr>
        <w:t>0</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Di Nicolantonio F</w:t>
      </w:r>
      <w:r w:rsidRPr="0047156E">
        <w:rPr>
          <w:rFonts w:ascii="Book Antiqua" w:eastAsia="SimSun" w:hAnsi="Book Antiqua" w:cs="SimSun"/>
          <w:sz w:val="24"/>
          <w:szCs w:val="24"/>
          <w:lang w:val="en-US" w:eastAsia="zh-CN"/>
        </w:rPr>
        <w:t xml:space="preserve">, Arena S, Tabernero J, Grosso S, Molinari F, Macarulla T, Russo M, Cancelliere C, Zecchin D, Mazzucchelli L, Sasazuki T, Shirasawa S, Geuna M, Frattini M, Baselga J, Gallicchio M, Biffo S, Bardelli A. Deregulation of the PI3K and KRAS signaling pathways in human cancer cells determines their response to everolimus. </w:t>
      </w:r>
      <w:r w:rsidRPr="0047156E">
        <w:rPr>
          <w:rFonts w:ascii="Book Antiqua" w:eastAsia="SimSun" w:hAnsi="Book Antiqua" w:cs="SimSun"/>
          <w:i/>
          <w:iCs/>
          <w:sz w:val="24"/>
          <w:szCs w:val="24"/>
          <w:lang w:val="en-US" w:eastAsia="zh-CN"/>
        </w:rPr>
        <w:t>J Clin Invest</w:t>
      </w:r>
      <w:r w:rsidRPr="0047156E">
        <w:rPr>
          <w:rFonts w:ascii="Book Antiqua" w:eastAsia="SimSun" w:hAnsi="Book Antiqua" w:cs="SimSun"/>
          <w:sz w:val="24"/>
          <w:szCs w:val="24"/>
          <w:lang w:val="en-US" w:eastAsia="zh-CN"/>
        </w:rPr>
        <w:t xml:space="preserve"> 2010; </w:t>
      </w:r>
      <w:r w:rsidRPr="0047156E">
        <w:rPr>
          <w:rFonts w:ascii="Book Antiqua" w:eastAsia="SimSun" w:hAnsi="Book Antiqua" w:cs="SimSun"/>
          <w:b/>
          <w:bCs/>
          <w:sz w:val="24"/>
          <w:szCs w:val="24"/>
          <w:lang w:val="en-US" w:eastAsia="zh-CN"/>
        </w:rPr>
        <w:t>120</w:t>
      </w:r>
      <w:r w:rsidRPr="0047156E">
        <w:rPr>
          <w:rFonts w:ascii="Book Antiqua" w:eastAsia="SimSun" w:hAnsi="Book Antiqua" w:cs="SimSun"/>
          <w:sz w:val="24"/>
          <w:szCs w:val="24"/>
          <w:lang w:val="en-US" w:eastAsia="zh-CN"/>
        </w:rPr>
        <w:t>: 2858-2866 [PMID: 20664172 DOI: 10.1172/JCI37539]</w:t>
      </w:r>
    </w:p>
    <w:p w14:paraId="5BF4BA5B"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9</w:t>
      </w:r>
      <w:r w:rsidRPr="0047156E">
        <w:rPr>
          <w:rFonts w:ascii="Book Antiqua" w:eastAsia="SimSun" w:hAnsi="Book Antiqua" w:cs="SimSun" w:hint="eastAsia"/>
          <w:sz w:val="24"/>
          <w:szCs w:val="24"/>
          <w:lang w:val="en-US" w:eastAsia="zh-CN"/>
        </w:rPr>
        <w:t>1</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Fruman DA</w:t>
      </w:r>
      <w:r w:rsidRPr="0047156E">
        <w:rPr>
          <w:rFonts w:ascii="Book Antiqua" w:eastAsia="SimSun" w:hAnsi="Book Antiqua" w:cs="SimSun"/>
          <w:sz w:val="24"/>
          <w:szCs w:val="24"/>
          <w:lang w:val="en-US" w:eastAsia="zh-CN"/>
        </w:rPr>
        <w:t xml:space="preserve">, Rommel C. PI3K and cancer: lessons, challenges and opportunities. </w:t>
      </w:r>
      <w:r w:rsidRPr="0047156E">
        <w:rPr>
          <w:rFonts w:ascii="Book Antiqua" w:eastAsia="SimSun" w:hAnsi="Book Antiqua" w:cs="SimSun"/>
          <w:i/>
          <w:iCs/>
          <w:sz w:val="24"/>
          <w:szCs w:val="24"/>
          <w:lang w:val="en-US" w:eastAsia="zh-CN"/>
        </w:rPr>
        <w:t>Nat Rev Drug Discov</w:t>
      </w:r>
      <w:r w:rsidRPr="0047156E">
        <w:rPr>
          <w:rFonts w:ascii="Book Antiqua" w:eastAsia="SimSun" w:hAnsi="Book Antiqua" w:cs="SimSun"/>
          <w:sz w:val="24"/>
          <w:szCs w:val="24"/>
          <w:lang w:val="en-US" w:eastAsia="zh-CN"/>
        </w:rPr>
        <w:t xml:space="preserve"> 2014; </w:t>
      </w:r>
      <w:r w:rsidRPr="0047156E">
        <w:rPr>
          <w:rFonts w:ascii="Book Antiqua" w:eastAsia="SimSun" w:hAnsi="Book Antiqua" w:cs="SimSun"/>
          <w:b/>
          <w:bCs/>
          <w:sz w:val="24"/>
          <w:szCs w:val="24"/>
          <w:lang w:val="en-US" w:eastAsia="zh-CN"/>
        </w:rPr>
        <w:t>13</w:t>
      </w:r>
      <w:r w:rsidRPr="0047156E">
        <w:rPr>
          <w:rFonts w:ascii="Book Antiqua" w:eastAsia="SimSun" w:hAnsi="Book Antiqua" w:cs="SimSun"/>
          <w:sz w:val="24"/>
          <w:szCs w:val="24"/>
          <w:lang w:val="en-US" w:eastAsia="zh-CN"/>
        </w:rPr>
        <w:t>: 140-156 [PMID: 24481312 DOI: 10.1038/nrd4204]</w:t>
      </w:r>
    </w:p>
    <w:p w14:paraId="569E0A1A"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lastRenderedPageBreak/>
        <w:t>9</w:t>
      </w:r>
      <w:r w:rsidRPr="0047156E">
        <w:rPr>
          <w:rFonts w:ascii="Book Antiqua" w:eastAsia="SimSun" w:hAnsi="Book Antiqua" w:cs="SimSun" w:hint="eastAsia"/>
          <w:sz w:val="24"/>
          <w:szCs w:val="24"/>
          <w:lang w:val="en-US" w:eastAsia="zh-CN"/>
        </w:rPr>
        <w:t>2</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Bendell JC</w:t>
      </w:r>
      <w:r w:rsidRPr="0047156E">
        <w:rPr>
          <w:rFonts w:ascii="Book Antiqua" w:eastAsia="SimSun" w:hAnsi="Book Antiqua" w:cs="SimSun"/>
          <w:sz w:val="24"/>
          <w:szCs w:val="24"/>
          <w:lang w:val="en-US" w:eastAsia="zh-CN"/>
        </w:rPr>
        <w:t xml:space="preserve">, Jones SF, Hart L, Spigel DR, Lane CM, Earwood C, Infante JR, Barton J, Burris HA. A phase Ib study of linsitinib (OSI-906), a dual inhibitor of IGF-1R and IR tyrosine kinase, in combination with everolimus as treatment for patients with refractory metastatic colorectal cancer. </w:t>
      </w:r>
      <w:r w:rsidRPr="0047156E">
        <w:rPr>
          <w:rFonts w:ascii="Book Antiqua" w:eastAsia="SimSun" w:hAnsi="Book Antiqua" w:cs="SimSun"/>
          <w:i/>
          <w:iCs/>
          <w:sz w:val="24"/>
          <w:szCs w:val="24"/>
          <w:lang w:val="en-US" w:eastAsia="zh-CN"/>
        </w:rPr>
        <w:t>Invest New Drugs</w:t>
      </w:r>
      <w:r w:rsidRPr="0047156E">
        <w:rPr>
          <w:rFonts w:ascii="Book Antiqua" w:eastAsia="SimSun" w:hAnsi="Book Antiqua" w:cs="SimSun"/>
          <w:sz w:val="24"/>
          <w:szCs w:val="24"/>
          <w:lang w:val="en-US" w:eastAsia="zh-CN"/>
        </w:rPr>
        <w:t xml:space="preserve"> 2015; </w:t>
      </w:r>
      <w:r w:rsidRPr="0047156E">
        <w:rPr>
          <w:rFonts w:ascii="Book Antiqua" w:eastAsia="SimSun" w:hAnsi="Book Antiqua" w:cs="SimSun"/>
          <w:b/>
          <w:bCs/>
          <w:sz w:val="24"/>
          <w:szCs w:val="24"/>
          <w:lang w:val="en-US" w:eastAsia="zh-CN"/>
        </w:rPr>
        <w:t>33</w:t>
      </w:r>
      <w:r w:rsidRPr="0047156E">
        <w:rPr>
          <w:rFonts w:ascii="Book Antiqua" w:eastAsia="SimSun" w:hAnsi="Book Antiqua" w:cs="SimSun"/>
          <w:sz w:val="24"/>
          <w:szCs w:val="24"/>
          <w:lang w:val="en-US" w:eastAsia="zh-CN"/>
        </w:rPr>
        <w:t>: 187-193 [PMID: 25335932 DOI: 10.1007/s10637-014-0177-3]</w:t>
      </w:r>
    </w:p>
    <w:p w14:paraId="07F66782"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9</w:t>
      </w:r>
      <w:r w:rsidRPr="0047156E">
        <w:rPr>
          <w:rFonts w:ascii="Book Antiqua" w:eastAsia="SimSun" w:hAnsi="Book Antiqua" w:cs="SimSun" w:hint="eastAsia"/>
          <w:sz w:val="24"/>
          <w:szCs w:val="24"/>
          <w:lang w:val="en-US" w:eastAsia="zh-CN"/>
        </w:rPr>
        <w:t>3</w:t>
      </w:r>
      <w:r w:rsidRPr="0047156E">
        <w:rPr>
          <w:rFonts w:ascii="Book Antiqua" w:eastAsia="SimSun" w:hAnsi="Book Antiqua" w:cs="SimSun"/>
          <w:sz w:val="24"/>
          <w:szCs w:val="24"/>
          <w:lang w:val="en-US" w:eastAsia="zh-CN"/>
        </w:rPr>
        <w:t xml:space="preserve"> ClinicalTrials.gov Identifier: NCT01139138</w:t>
      </w:r>
    </w:p>
    <w:p w14:paraId="12ED9476"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9</w:t>
      </w:r>
      <w:r w:rsidRPr="0047156E">
        <w:rPr>
          <w:rFonts w:ascii="Book Antiqua" w:eastAsia="SimSun" w:hAnsi="Book Antiqua" w:cs="SimSun" w:hint="eastAsia"/>
          <w:sz w:val="24"/>
          <w:szCs w:val="24"/>
          <w:lang w:val="en-US" w:eastAsia="zh-CN"/>
        </w:rPr>
        <w:t>4</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Zhang YJ</w:t>
      </w:r>
      <w:r w:rsidRPr="0047156E">
        <w:rPr>
          <w:rFonts w:ascii="Book Antiqua" w:eastAsia="SimSun" w:hAnsi="Book Antiqua" w:cs="SimSun"/>
          <w:sz w:val="24"/>
          <w:szCs w:val="24"/>
          <w:lang w:val="en-US" w:eastAsia="zh-CN"/>
        </w:rPr>
        <w:t xml:space="preserve">, Tian XQ, Sun DF, Zhao SL, Xiong H, Fang JY. Combined inhibition of MEK and mTOR signaling inhibits initiation and progression of colorectal cancer. </w:t>
      </w:r>
      <w:r w:rsidRPr="0047156E">
        <w:rPr>
          <w:rFonts w:ascii="Book Antiqua" w:eastAsia="SimSun" w:hAnsi="Book Antiqua" w:cs="SimSun"/>
          <w:i/>
          <w:iCs/>
          <w:sz w:val="24"/>
          <w:szCs w:val="24"/>
          <w:lang w:val="en-US" w:eastAsia="zh-CN"/>
        </w:rPr>
        <w:t>Cancer Invest</w:t>
      </w:r>
      <w:r w:rsidRPr="0047156E">
        <w:rPr>
          <w:rFonts w:ascii="Book Antiqua" w:eastAsia="SimSun" w:hAnsi="Book Antiqua" w:cs="SimSun"/>
          <w:sz w:val="24"/>
          <w:szCs w:val="24"/>
          <w:lang w:val="en-US" w:eastAsia="zh-CN"/>
        </w:rPr>
        <w:t xml:space="preserve"> 2009; </w:t>
      </w:r>
      <w:r w:rsidRPr="0047156E">
        <w:rPr>
          <w:rFonts w:ascii="Book Antiqua" w:eastAsia="SimSun" w:hAnsi="Book Antiqua" w:cs="SimSun"/>
          <w:b/>
          <w:bCs/>
          <w:sz w:val="24"/>
          <w:szCs w:val="24"/>
          <w:lang w:val="en-US" w:eastAsia="zh-CN"/>
        </w:rPr>
        <w:t>27</w:t>
      </w:r>
      <w:r w:rsidRPr="0047156E">
        <w:rPr>
          <w:rFonts w:ascii="Book Antiqua" w:eastAsia="SimSun" w:hAnsi="Book Antiqua" w:cs="SimSun"/>
          <w:sz w:val="24"/>
          <w:szCs w:val="24"/>
          <w:lang w:val="en-US" w:eastAsia="zh-CN"/>
        </w:rPr>
        <w:t>: 273-285 [PMID: 19194827 DOI: 10.1080/07357900802314893]</w:t>
      </w:r>
    </w:p>
    <w:p w14:paraId="3F65291E"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9</w:t>
      </w:r>
      <w:r w:rsidRPr="0047156E">
        <w:rPr>
          <w:rFonts w:ascii="Book Antiqua" w:eastAsia="SimSun" w:hAnsi="Book Antiqua" w:cs="SimSun" w:hint="eastAsia"/>
          <w:sz w:val="24"/>
          <w:szCs w:val="24"/>
          <w:lang w:val="en-US" w:eastAsia="zh-CN"/>
        </w:rPr>
        <w:t>5</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Temraz S</w:t>
      </w:r>
      <w:r w:rsidRPr="0047156E">
        <w:rPr>
          <w:rFonts w:ascii="Book Antiqua" w:eastAsia="SimSun" w:hAnsi="Book Antiqua" w:cs="SimSun"/>
          <w:sz w:val="24"/>
          <w:szCs w:val="24"/>
          <w:lang w:val="en-US" w:eastAsia="zh-CN"/>
        </w:rPr>
        <w:t xml:space="preserve">, Mukherji D, Shamseddine A. Dual Inhibition of MEK and PI3K Pathway in KRAS and BRAF Mutated Colorectal Cancers. </w:t>
      </w:r>
      <w:r w:rsidRPr="0047156E">
        <w:rPr>
          <w:rFonts w:ascii="Book Antiqua" w:eastAsia="SimSun" w:hAnsi="Book Antiqua" w:cs="SimSun"/>
          <w:i/>
          <w:iCs/>
          <w:sz w:val="24"/>
          <w:szCs w:val="24"/>
          <w:lang w:val="en-US" w:eastAsia="zh-CN"/>
        </w:rPr>
        <w:t>Int J Mol Sci</w:t>
      </w:r>
      <w:r w:rsidRPr="0047156E">
        <w:rPr>
          <w:rFonts w:ascii="Book Antiqua" w:eastAsia="SimSun" w:hAnsi="Book Antiqua" w:cs="SimSun"/>
          <w:sz w:val="24"/>
          <w:szCs w:val="24"/>
          <w:lang w:val="en-US" w:eastAsia="zh-CN"/>
        </w:rPr>
        <w:t xml:space="preserve"> 2015; </w:t>
      </w:r>
      <w:r w:rsidRPr="0047156E">
        <w:rPr>
          <w:rFonts w:ascii="Book Antiqua" w:eastAsia="SimSun" w:hAnsi="Book Antiqua" w:cs="SimSun"/>
          <w:b/>
          <w:bCs/>
          <w:sz w:val="24"/>
          <w:szCs w:val="24"/>
          <w:lang w:val="en-US" w:eastAsia="zh-CN"/>
        </w:rPr>
        <w:t>16</w:t>
      </w:r>
      <w:r w:rsidRPr="0047156E">
        <w:rPr>
          <w:rFonts w:ascii="Book Antiqua" w:eastAsia="SimSun" w:hAnsi="Book Antiqua" w:cs="SimSun"/>
          <w:sz w:val="24"/>
          <w:szCs w:val="24"/>
          <w:lang w:val="en-US" w:eastAsia="zh-CN"/>
        </w:rPr>
        <w:t>: 22976-22988 [PMID: 26404261 DOI: 10.3390/ijms160922976]</w:t>
      </w:r>
    </w:p>
    <w:p w14:paraId="26E72ADB"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9</w:t>
      </w:r>
      <w:r w:rsidRPr="0047156E">
        <w:rPr>
          <w:rFonts w:ascii="Book Antiqua" w:eastAsia="SimSun" w:hAnsi="Book Antiqua" w:cs="SimSun" w:hint="eastAsia"/>
          <w:sz w:val="24"/>
          <w:szCs w:val="24"/>
          <w:lang w:val="en-US" w:eastAsia="zh-CN"/>
        </w:rPr>
        <w:t>6</w:t>
      </w:r>
      <w:r w:rsidRPr="0047156E">
        <w:rPr>
          <w:rFonts w:ascii="Book Antiqua" w:eastAsia="SimSun" w:hAnsi="Book Antiqua" w:cs="SimSun"/>
          <w:sz w:val="24"/>
          <w:szCs w:val="24"/>
          <w:lang w:val="en-US" w:eastAsia="zh-CN"/>
        </w:rPr>
        <w:t xml:space="preserve"> ClinicalTrials.gov Identifier: NCT01363232; NCT01449058</w:t>
      </w:r>
    </w:p>
    <w:p w14:paraId="0D63EDED"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9</w:t>
      </w:r>
      <w:r w:rsidRPr="0047156E">
        <w:rPr>
          <w:rFonts w:ascii="Book Antiqua" w:eastAsia="SimSun" w:hAnsi="Book Antiqua" w:cs="SimSun" w:hint="eastAsia"/>
          <w:sz w:val="24"/>
          <w:szCs w:val="24"/>
          <w:lang w:val="en-US" w:eastAsia="zh-CN"/>
        </w:rPr>
        <w:t>7</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Liao X</w:t>
      </w:r>
      <w:r w:rsidRPr="0047156E">
        <w:rPr>
          <w:rFonts w:ascii="Book Antiqua" w:eastAsia="SimSun" w:hAnsi="Book Antiqua" w:cs="SimSun"/>
          <w:sz w:val="24"/>
          <w:szCs w:val="24"/>
          <w:lang w:val="en-US" w:eastAsia="zh-CN"/>
        </w:rPr>
        <w:t xml:space="preserve">, Lochhead P, Nishihara R, Morikawa T, Kuchiba A, Yamauchi M, Imamura Y, Qian ZR, Baba Y, Shima K, Sun R, Nosho K, Meyerhardt JA, Giovannucci E, Fuchs CS, Chan AT, Ogino S. Aspirin use, tumor PIK3CA mutation, and colorectal-cancer survival. </w:t>
      </w:r>
      <w:r w:rsidRPr="0047156E">
        <w:rPr>
          <w:rFonts w:ascii="Book Antiqua" w:eastAsia="SimSun" w:hAnsi="Book Antiqua" w:cs="SimSun"/>
          <w:i/>
          <w:iCs/>
          <w:sz w:val="24"/>
          <w:szCs w:val="24"/>
          <w:lang w:val="en-US" w:eastAsia="zh-CN"/>
        </w:rPr>
        <w:t>N Engl J Med</w:t>
      </w:r>
      <w:r w:rsidRPr="0047156E">
        <w:rPr>
          <w:rFonts w:ascii="Book Antiqua" w:eastAsia="SimSun" w:hAnsi="Book Antiqua" w:cs="SimSun"/>
          <w:sz w:val="24"/>
          <w:szCs w:val="24"/>
          <w:lang w:val="en-US" w:eastAsia="zh-CN"/>
        </w:rPr>
        <w:t xml:space="preserve"> 2012; </w:t>
      </w:r>
      <w:r w:rsidRPr="0047156E">
        <w:rPr>
          <w:rFonts w:ascii="Book Antiqua" w:eastAsia="SimSun" w:hAnsi="Book Antiqua" w:cs="SimSun"/>
          <w:b/>
          <w:bCs/>
          <w:sz w:val="24"/>
          <w:szCs w:val="24"/>
          <w:lang w:val="en-US" w:eastAsia="zh-CN"/>
        </w:rPr>
        <w:t>367</w:t>
      </w:r>
      <w:r w:rsidRPr="0047156E">
        <w:rPr>
          <w:rFonts w:ascii="Book Antiqua" w:eastAsia="SimSun" w:hAnsi="Book Antiqua" w:cs="SimSun"/>
          <w:sz w:val="24"/>
          <w:szCs w:val="24"/>
          <w:lang w:val="en-US" w:eastAsia="zh-CN"/>
        </w:rPr>
        <w:t>: 1596-1606 [PMID: 23094721 DOI: 10.1056/NEJMoa1207756]</w:t>
      </w:r>
    </w:p>
    <w:p w14:paraId="4DAB52D2"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9</w:t>
      </w:r>
      <w:r w:rsidRPr="0047156E">
        <w:rPr>
          <w:rFonts w:ascii="Book Antiqua" w:eastAsia="SimSun" w:hAnsi="Book Antiqua" w:cs="SimSun" w:hint="eastAsia"/>
          <w:sz w:val="24"/>
          <w:szCs w:val="24"/>
          <w:lang w:val="en-US" w:eastAsia="zh-CN"/>
        </w:rPr>
        <w:t>8</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Holbro T</w:t>
      </w:r>
      <w:r w:rsidRPr="0047156E">
        <w:rPr>
          <w:rFonts w:ascii="Book Antiqua" w:eastAsia="SimSun" w:hAnsi="Book Antiqua" w:cs="SimSun"/>
          <w:sz w:val="24"/>
          <w:szCs w:val="24"/>
          <w:lang w:val="en-US" w:eastAsia="zh-CN"/>
        </w:rPr>
        <w:t xml:space="preserve">, Beerli RR, Maurer F, Koziczak M, Barbas CF, Hynes NE. The ErbB2/ErbB3 heterodimer functions as an oncogenic unit: ErbB2 requires ErbB3 to drive breast tumor cell proliferation. </w:t>
      </w:r>
      <w:r w:rsidRPr="0047156E">
        <w:rPr>
          <w:rFonts w:ascii="Book Antiqua" w:eastAsia="SimSun" w:hAnsi="Book Antiqua" w:cs="SimSun"/>
          <w:i/>
          <w:iCs/>
          <w:sz w:val="24"/>
          <w:szCs w:val="24"/>
          <w:lang w:val="en-US" w:eastAsia="zh-CN"/>
        </w:rPr>
        <w:t>Proc Natl Acad Sci U S A</w:t>
      </w:r>
      <w:r w:rsidRPr="0047156E">
        <w:rPr>
          <w:rFonts w:ascii="Book Antiqua" w:eastAsia="SimSun" w:hAnsi="Book Antiqua" w:cs="SimSun"/>
          <w:sz w:val="24"/>
          <w:szCs w:val="24"/>
          <w:lang w:val="en-US" w:eastAsia="zh-CN"/>
        </w:rPr>
        <w:t xml:space="preserve"> 2003; </w:t>
      </w:r>
      <w:r w:rsidRPr="0047156E">
        <w:rPr>
          <w:rFonts w:ascii="Book Antiqua" w:eastAsia="SimSun" w:hAnsi="Book Antiqua" w:cs="SimSun"/>
          <w:b/>
          <w:bCs/>
          <w:sz w:val="24"/>
          <w:szCs w:val="24"/>
          <w:lang w:val="en-US" w:eastAsia="zh-CN"/>
        </w:rPr>
        <w:t>100</w:t>
      </w:r>
      <w:r w:rsidRPr="0047156E">
        <w:rPr>
          <w:rFonts w:ascii="Book Antiqua" w:eastAsia="SimSun" w:hAnsi="Book Antiqua" w:cs="SimSun"/>
          <w:sz w:val="24"/>
          <w:szCs w:val="24"/>
          <w:lang w:val="en-US" w:eastAsia="zh-CN"/>
        </w:rPr>
        <w:t>: 8933-8938 [PMID: 12853564 DOI: 10.1073/pnas.1537685100]</w:t>
      </w:r>
    </w:p>
    <w:p w14:paraId="40952532"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hint="eastAsia"/>
          <w:sz w:val="24"/>
          <w:szCs w:val="24"/>
          <w:lang w:val="en-US" w:eastAsia="zh-CN"/>
        </w:rPr>
        <w:t>99</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Yonesaka K</w:t>
      </w:r>
      <w:r w:rsidRPr="0047156E">
        <w:rPr>
          <w:rFonts w:ascii="Book Antiqua" w:eastAsia="SimSun" w:hAnsi="Book Antiqua" w:cs="SimSun"/>
          <w:sz w:val="24"/>
          <w:szCs w:val="24"/>
          <w:lang w:val="en-US" w:eastAsia="zh-CN"/>
        </w:rPr>
        <w:t xml:space="preserve">, Zejnullahu K, Okamoto I, Satoh T, Cappuzzo F, Souglakos J, Ercan D, Rogers A, Roncalli M, Takeda M, Fujisaka Y, Philips J, Shimizu T, Maenishi O, Cho Y, Sun J, Destro A, Taira K, Takeda K, Okabe T, Swanson J, Itoh H, Takada M, Lifshits E, Okuno K, Engelman JA, Shivdasani RA, Nishio K, Fukuoka M, Varella-Garcia M, Nakagawa K, Jänne PA. Activation of ERBB2 signaling causes resistance to the EGFR-directed therapeutic antibody cetuximab. </w:t>
      </w:r>
      <w:r w:rsidRPr="0047156E">
        <w:rPr>
          <w:rFonts w:ascii="Book Antiqua" w:eastAsia="SimSun" w:hAnsi="Book Antiqua" w:cs="SimSun"/>
          <w:i/>
          <w:iCs/>
          <w:sz w:val="24"/>
          <w:szCs w:val="24"/>
          <w:lang w:val="en-US" w:eastAsia="zh-CN"/>
        </w:rPr>
        <w:t>Sci Transl Med</w:t>
      </w:r>
      <w:r w:rsidRPr="0047156E">
        <w:rPr>
          <w:rFonts w:ascii="Book Antiqua" w:eastAsia="SimSun" w:hAnsi="Book Antiqua" w:cs="SimSun"/>
          <w:sz w:val="24"/>
          <w:szCs w:val="24"/>
          <w:lang w:val="en-US" w:eastAsia="zh-CN"/>
        </w:rPr>
        <w:t xml:space="preserve"> 2011; </w:t>
      </w:r>
      <w:r w:rsidRPr="0047156E">
        <w:rPr>
          <w:rFonts w:ascii="Book Antiqua" w:eastAsia="SimSun" w:hAnsi="Book Antiqua" w:cs="SimSun"/>
          <w:b/>
          <w:bCs/>
          <w:sz w:val="24"/>
          <w:szCs w:val="24"/>
          <w:lang w:val="en-US" w:eastAsia="zh-CN"/>
        </w:rPr>
        <w:t>3</w:t>
      </w:r>
      <w:r w:rsidRPr="0047156E">
        <w:rPr>
          <w:rFonts w:ascii="Book Antiqua" w:eastAsia="SimSun" w:hAnsi="Book Antiqua" w:cs="SimSun"/>
          <w:sz w:val="24"/>
          <w:szCs w:val="24"/>
          <w:lang w:val="en-US" w:eastAsia="zh-CN"/>
        </w:rPr>
        <w:t>: 99ra86 [PMID: 21900593 DOI: 10.1126/scitranslmed.3002442]</w:t>
      </w:r>
    </w:p>
    <w:p w14:paraId="34C0C003"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10</w:t>
      </w:r>
      <w:r w:rsidRPr="0047156E">
        <w:rPr>
          <w:rFonts w:ascii="Book Antiqua" w:eastAsia="SimSun" w:hAnsi="Book Antiqua" w:cs="SimSun" w:hint="eastAsia"/>
          <w:sz w:val="24"/>
          <w:szCs w:val="24"/>
          <w:lang w:val="en-US" w:eastAsia="zh-CN"/>
        </w:rPr>
        <w:t>0</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Sartore-Bianchi A</w:t>
      </w:r>
      <w:r w:rsidRPr="0047156E">
        <w:rPr>
          <w:rFonts w:ascii="Book Antiqua" w:eastAsia="SimSun" w:hAnsi="Book Antiqua" w:cs="SimSun"/>
          <w:sz w:val="24"/>
          <w:szCs w:val="24"/>
          <w:lang w:val="en-US" w:eastAsia="zh-CN"/>
        </w:rPr>
        <w:t xml:space="preserve">, Trusolino L, Martino C, Bencardino K, Lonardi S, Bergamo F, Zagonel V, Leone F, Depetris I, Martinelli E, Troiani T, Ciardiello F, Racca P, Bertotti A, Siravegna G, Torri V, Amatu A, Ghezzi S, Marrapese G, Palmeri L, Valtorta E, Cassingena A, Lauricella C, Vanzulli A, Regge D, Veronese S, Comoglio PM, Bardelli A, Marsoni S, </w:t>
      </w:r>
      <w:r w:rsidRPr="0047156E">
        <w:rPr>
          <w:rFonts w:ascii="Book Antiqua" w:eastAsia="SimSun" w:hAnsi="Book Antiqua" w:cs="SimSun"/>
          <w:sz w:val="24"/>
          <w:szCs w:val="24"/>
          <w:lang w:val="en-US" w:eastAsia="zh-CN"/>
        </w:rPr>
        <w:lastRenderedPageBreak/>
        <w:t xml:space="preserve">Siena S. Dual-targeted therapy with trastuzumab and lapatinib in treatment-refractory, KRAS codon 12/13 wild-type, HER2-positive metastatic colorectal cancer (HERACLES): a proof-of-concept, multicentre, open-label, phase 2 trial. </w:t>
      </w:r>
      <w:r w:rsidRPr="0047156E">
        <w:rPr>
          <w:rFonts w:ascii="Book Antiqua" w:eastAsia="SimSun" w:hAnsi="Book Antiqua" w:cs="SimSun"/>
          <w:i/>
          <w:iCs/>
          <w:sz w:val="24"/>
          <w:szCs w:val="24"/>
          <w:lang w:val="en-US" w:eastAsia="zh-CN"/>
        </w:rPr>
        <w:t>Lancet Oncol</w:t>
      </w:r>
      <w:r w:rsidRPr="0047156E">
        <w:rPr>
          <w:rFonts w:ascii="Book Antiqua" w:eastAsia="SimSun" w:hAnsi="Book Antiqua" w:cs="SimSun"/>
          <w:sz w:val="24"/>
          <w:szCs w:val="24"/>
          <w:lang w:val="en-US" w:eastAsia="zh-CN"/>
        </w:rPr>
        <w:t xml:space="preserve"> 2016; </w:t>
      </w:r>
      <w:r w:rsidRPr="0047156E">
        <w:rPr>
          <w:rFonts w:ascii="Book Antiqua" w:eastAsia="SimSun" w:hAnsi="Book Antiqua" w:cs="SimSun"/>
          <w:b/>
          <w:bCs/>
          <w:sz w:val="24"/>
          <w:szCs w:val="24"/>
          <w:lang w:val="en-US" w:eastAsia="zh-CN"/>
        </w:rPr>
        <w:t>17</w:t>
      </w:r>
      <w:r w:rsidRPr="0047156E">
        <w:rPr>
          <w:rFonts w:ascii="Book Antiqua" w:eastAsia="SimSun" w:hAnsi="Book Antiqua" w:cs="SimSun"/>
          <w:sz w:val="24"/>
          <w:szCs w:val="24"/>
          <w:lang w:val="en-US" w:eastAsia="zh-CN"/>
        </w:rPr>
        <w:t>: 738-746 [PMID: 27108243 DOI: 10.1016/S1470-2045(16)00150-9.]</w:t>
      </w:r>
    </w:p>
    <w:p w14:paraId="61930C8D"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10</w:t>
      </w:r>
      <w:r w:rsidRPr="0047156E">
        <w:rPr>
          <w:rFonts w:ascii="Book Antiqua" w:eastAsia="SimSun" w:hAnsi="Book Antiqua" w:cs="SimSun" w:hint="eastAsia"/>
          <w:sz w:val="24"/>
          <w:szCs w:val="24"/>
          <w:lang w:val="en-US" w:eastAsia="zh-CN"/>
        </w:rPr>
        <w:t>1</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Scartozzi M</w:t>
      </w:r>
      <w:r w:rsidRPr="0047156E">
        <w:rPr>
          <w:rFonts w:ascii="Book Antiqua" w:eastAsia="SimSun" w:hAnsi="Book Antiqua" w:cs="SimSun"/>
          <w:sz w:val="24"/>
          <w:szCs w:val="24"/>
          <w:lang w:val="en-US" w:eastAsia="zh-CN"/>
        </w:rPr>
        <w:t xml:space="preserve">, Mandolesi A, Giampieri R, Bittoni A, Pierantoni C, Zaniboni A, Galizia E, Giustini L, Silva RR, Bisonni R, Berardi R, Biscotti T, Biagetti S, Bearzi I, Cascinu S. The role of HER-3 expression in the prediction of clinical outcome for advanced colorectal cancer patients receiving irinotecan and cetuximab. </w:t>
      </w:r>
      <w:r w:rsidRPr="0047156E">
        <w:rPr>
          <w:rFonts w:ascii="Book Antiqua" w:eastAsia="SimSun" w:hAnsi="Book Antiqua" w:cs="SimSun"/>
          <w:i/>
          <w:iCs/>
          <w:sz w:val="24"/>
          <w:szCs w:val="24"/>
          <w:lang w:val="en-US" w:eastAsia="zh-CN"/>
        </w:rPr>
        <w:t>Oncologist</w:t>
      </w:r>
      <w:r w:rsidRPr="0047156E">
        <w:rPr>
          <w:rFonts w:ascii="Book Antiqua" w:eastAsia="SimSun" w:hAnsi="Book Antiqua" w:cs="SimSun"/>
          <w:sz w:val="24"/>
          <w:szCs w:val="24"/>
          <w:lang w:val="en-US" w:eastAsia="zh-CN"/>
        </w:rPr>
        <w:t xml:space="preserve"> 2011; </w:t>
      </w:r>
      <w:r w:rsidRPr="0047156E">
        <w:rPr>
          <w:rFonts w:ascii="Book Antiqua" w:eastAsia="SimSun" w:hAnsi="Book Antiqua" w:cs="SimSun"/>
          <w:b/>
          <w:bCs/>
          <w:sz w:val="24"/>
          <w:szCs w:val="24"/>
          <w:lang w:val="en-US" w:eastAsia="zh-CN"/>
        </w:rPr>
        <w:t>16</w:t>
      </w:r>
      <w:r w:rsidRPr="0047156E">
        <w:rPr>
          <w:rFonts w:ascii="Book Antiqua" w:eastAsia="SimSun" w:hAnsi="Book Antiqua" w:cs="SimSun"/>
          <w:sz w:val="24"/>
          <w:szCs w:val="24"/>
          <w:lang w:val="en-US" w:eastAsia="zh-CN"/>
        </w:rPr>
        <w:t>: 53-60 [PMID: 21212430 DOI: 10.1634/theoncologist.2010-0119]</w:t>
      </w:r>
    </w:p>
    <w:p w14:paraId="615578C7"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10</w:t>
      </w:r>
      <w:r w:rsidRPr="0047156E">
        <w:rPr>
          <w:rFonts w:ascii="Book Antiqua" w:eastAsia="SimSun" w:hAnsi="Book Antiqua" w:cs="SimSun" w:hint="eastAsia"/>
          <w:sz w:val="24"/>
          <w:szCs w:val="24"/>
          <w:lang w:val="en-US" w:eastAsia="zh-CN"/>
        </w:rPr>
        <w:t>2</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Jaiswal BS</w:t>
      </w:r>
      <w:r w:rsidRPr="0047156E">
        <w:rPr>
          <w:rFonts w:ascii="Book Antiqua" w:eastAsia="SimSun" w:hAnsi="Book Antiqua" w:cs="SimSun"/>
          <w:sz w:val="24"/>
          <w:szCs w:val="24"/>
          <w:lang w:val="en-US" w:eastAsia="zh-CN"/>
        </w:rPr>
        <w:t xml:space="preserve">, Kljavin NM, Stawiski EW, Chan E, Parikh C, Durinck S, Chaudhuri S, Pujara K, Guillory J, Edgar KA, Janakiraman V, Scholz RP, Bowman KK, Lorenzo M, Li H, Wu J, Yuan W, Peters BA, Kan Z, Stinson J, Mak M, Modrusan Z, Eigenbrot C, Firestein R, Stern HM, Rajalingam K, Schaefer G, Merchant MA, Sliwkowski MX, de Sauvage FJ, Seshagiri S. Oncogenic ERBB3 mutations in human cancers. </w:t>
      </w:r>
      <w:r w:rsidRPr="0047156E">
        <w:rPr>
          <w:rFonts w:ascii="Book Antiqua" w:eastAsia="SimSun" w:hAnsi="Book Antiqua" w:cs="SimSun"/>
          <w:i/>
          <w:iCs/>
          <w:sz w:val="24"/>
          <w:szCs w:val="24"/>
          <w:lang w:val="en-US" w:eastAsia="zh-CN"/>
        </w:rPr>
        <w:t>Cancer Cell</w:t>
      </w:r>
      <w:r w:rsidRPr="0047156E">
        <w:rPr>
          <w:rFonts w:ascii="Book Antiqua" w:eastAsia="SimSun" w:hAnsi="Book Antiqua" w:cs="SimSun"/>
          <w:sz w:val="24"/>
          <w:szCs w:val="24"/>
          <w:lang w:val="en-US" w:eastAsia="zh-CN"/>
        </w:rPr>
        <w:t xml:space="preserve"> 2013; </w:t>
      </w:r>
      <w:r w:rsidRPr="0047156E">
        <w:rPr>
          <w:rFonts w:ascii="Book Antiqua" w:eastAsia="SimSun" w:hAnsi="Book Antiqua" w:cs="SimSun"/>
          <w:b/>
          <w:bCs/>
          <w:sz w:val="24"/>
          <w:szCs w:val="24"/>
          <w:lang w:val="en-US" w:eastAsia="zh-CN"/>
        </w:rPr>
        <w:t>23</w:t>
      </w:r>
      <w:r w:rsidRPr="0047156E">
        <w:rPr>
          <w:rFonts w:ascii="Book Antiqua" w:eastAsia="SimSun" w:hAnsi="Book Antiqua" w:cs="SimSun"/>
          <w:sz w:val="24"/>
          <w:szCs w:val="24"/>
          <w:lang w:val="en-US" w:eastAsia="zh-CN"/>
        </w:rPr>
        <w:t>: 603-617 [PMID: 23680147 DOI: 10.1016/j.ccr.2013.04.012]</w:t>
      </w:r>
    </w:p>
    <w:p w14:paraId="2707584A"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10</w:t>
      </w:r>
      <w:r w:rsidRPr="0047156E">
        <w:rPr>
          <w:rFonts w:ascii="Book Antiqua" w:eastAsia="SimSun" w:hAnsi="Book Antiqua" w:cs="SimSun" w:hint="eastAsia"/>
          <w:sz w:val="24"/>
          <w:szCs w:val="24"/>
          <w:lang w:val="en-US" w:eastAsia="zh-CN"/>
        </w:rPr>
        <w:t>3</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Schaefer G</w:t>
      </w:r>
      <w:r w:rsidRPr="0047156E">
        <w:rPr>
          <w:rFonts w:ascii="Book Antiqua" w:eastAsia="SimSun" w:hAnsi="Book Antiqua" w:cs="SimSun"/>
          <w:sz w:val="24"/>
          <w:szCs w:val="24"/>
          <w:lang w:val="en-US" w:eastAsia="zh-CN"/>
        </w:rPr>
        <w:t xml:space="preserve">, Haber L, Crocker LM, Shia S, Shao L, Dowbenko D, Totpal K, Wong A, Lee CV, Stawicki S, Clark R, Fields C, Lewis Phillips GD, Prell RA, Danilenko DM, Franke Y, Stephan JP, Hwang J, Wu Y, Bostrom J, Sliwkowski MX, Fuh G, Eigenbrot C. A two-in-one antibody against HER3 and EGFR has superior inhibitory activity compared with monospecific antibodies. </w:t>
      </w:r>
      <w:r w:rsidRPr="0047156E">
        <w:rPr>
          <w:rFonts w:ascii="Book Antiqua" w:eastAsia="SimSun" w:hAnsi="Book Antiqua" w:cs="SimSun"/>
          <w:i/>
          <w:iCs/>
          <w:sz w:val="24"/>
          <w:szCs w:val="24"/>
          <w:lang w:val="en-US" w:eastAsia="zh-CN"/>
        </w:rPr>
        <w:t>Cancer Cell</w:t>
      </w:r>
      <w:r w:rsidRPr="0047156E">
        <w:rPr>
          <w:rFonts w:ascii="Book Antiqua" w:eastAsia="SimSun" w:hAnsi="Book Antiqua" w:cs="SimSun"/>
          <w:sz w:val="24"/>
          <w:szCs w:val="24"/>
          <w:lang w:val="en-US" w:eastAsia="zh-CN"/>
        </w:rPr>
        <w:t xml:space="preserve"> 2011; </w:t>
      </w:r>
      <w:r w:rsidRPr="0047156E">
        <w:rPr>
          <w:rFonts w:ascii="Book Antiqua" w:eastAsia="SimSun" w:hAnsi="Book Antiqua" w:cs="SimSun"/>
          <w:b/>
          <w:bCs/>
          <w:sz w:val="24"/>
          <w:szCs w:val="24"/>
          <w:lang w:val="en-US" w:eastAsia="zh-CN"/>
        </w:rPr>
        <w:t>20</w:t>
      </w:r>
      <w:r w:rsidRPr="0047156E">
        <w:rPr>
          <w:rFonts w:ascii="Book Antiqua" w:eastAsia="SimSun" w:hAnsi="Book Antiqua" w:cs="SimSun"/>
          <w:sz w:val="24"/>
          <w:szCs w:val="24"/>
          <w:lang w:val="en-US" w:eastAsia="zh-CN"/>
        </w:rPr>
        <w:t>: 472-486 [PMID: 22014573 DOI: 10.1016/j.ccr.2011.09.003]</w:t>
      </w:r>
    </w:p>
    <w:p w14:paraId="5FD2DB3C"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10</w:t>
      </w:r>
      <w:r w:rsidRPr="0047156E">
        <w:rPr>
          <w:rFonts w:ascii="Book Antiqua" w:eastAsia="SimSun" w:hAnsi="Book Antiqua" w:cs="SimSun" w:hint="eastAsia"/>
          <w:sz w:val="24"/>
          <w:szCs w:val="24"/>
          <w:lang w:val="en-US" w:eastAsia="zh-CN"/>
        </w:rPr>
        <w:t>4</w:t>
      </w:r>
      <w:r w:rsidRPr="0047156E">
        <w:rPr>
          <w:rFonts w:ascii="Book Antiqua" w:eastAsia="SimSun" w:hAnsi="Book Antiqua" w:cs="SimSun" w:hint="eastAsia"/>
          <w:b/>
          <w:sz w:val="24"/>
          <w:szCs w:val="24"/>
          <w:lang w:val="en-US" w:eastAsia="zh-CN"/>
        </w:rPr>
        <w:t xml:space="preserve"> </w:t>
      </w:r>
      <w:r w:rsidRPr="0047156E">
        <w:rPr>
          <w:rFonts w:ascii="Book Antiqua" w:eastAsia="SimSun" w:hAnsi="Book Antiqua" w:cs="SimSun"/>
          <w:b/>
          <w:sz w:val="24"/>
          <w:szCs w:val="24"/>
          <w:lang w:val="en-US" w:eastAsia="zh-CN"/>
        </w:rPr>
        <w:t>Cervantes-Ruiperez A</w:t>
      </w:r>
      <w:r w:rsidRPr="0047156E">
        <w:rPr>
          <w:rFonts w:ascii="Book Antiqua" w:eastAsia="SimSun" w:hAnsi="Book Antiqua" w:cs="SimSun"/>
          <w:sz w:val="24"/>
          <w:szCs w:val="24"/>
          <w:lang w:val="en-US" w:eastAsia="zh-CN"/>
        </w:rPr>
        <w:t xml:space="preserve">, Juric D, Hidalgo M, Messersmith WA, Blumenschein GR, Baselga J, Perez DR, Dienstmann R, Calles A, Jimeno A, Sanabria S, Littman C, Amler LC, Pirzkall A, Tabernero J. A phase I study of MEHD7945A (MEHD), a first-in-class HER3/EGFR dual-action antibody, in patients (pts) with refractory/recurrent epithelial tumors: expansion cohorts. </w:t>
      </w:r>
      <w:r w:rsidRPr="0047156E">
        <w:rPr>
          <w:rFonts w:ascii="Book Antiqua" w:eastAsia="SimSun" w:hAnsi="Book Antiqua" w:cs="SimSun"/>
          <w:i/>
          <w:sz w:val="24"/>
          <w:szCs w:val="24"/>
          <w:lang w:val="en-US" w:eastAsia="zh-CN"/>
        </w:rPr>
        <w:t xml:space="preserve">J Clin Oncol </w:t>
      </w:r>
      <w:r w:rsidRPr="0047156E">
        <w:rPr>
          <w:rFonts w:ascii="Book Antiqua" w:eastAsia="SimSun" w:hAnsi="Book Antiqua" w:cs="SimSun"/>
          <w:sz w:val="24"/>
          <w:szCs w:val="24"/>
          <w:lang w:val="en-US" w:eastAsia="zh-CN"/>
        </w:rPr>
        <w:t>2012</w:t>
      </w:r>
      <w:r w:rsidRPr="0047156E">
        <w:rPr>
          <w:rFonts w:ascii="Book Antiqua" w:eastAsia="SimSun" w:hAnsi="Book Antiqua" w:cs="SimSun" w:hint="eastAsia"/>
          <w:sz w:val="24"/>
          <w:szCs w:val="24"/>
          <w:lang w:val="en-US" w:eastAsia="zh-CN"/>
        </w:rPr>
        <w:t>;</w:t>
      </w:r>
      <w:r w:rsidRPr="0047156E">
        <w:rPr>
          <w:rFonts w:ascii="Book Antiqua" w:eastAsia="SimSun" w:hAnsi="Book Antiqua" w:cs="SimSun"/>
          <w:b/>
          <w:i/>
          <w:sz w:val="24"/>
          <w:szCs w:val="24"/>
          <w:lang w:val="en-US" w:eastAsia="zh-CN"/>
        </w:rPr>
        <w:t xml:space="preserve"> </w:t>
      </w:r>
      <w:r w:rsidRPr="0047156E">
        <w:rPr>
          <w:rFonts w:ascii="Book Antiqua" w:eastAsia="SimSun" w:hAnsi="Book Antiqua" w:cs="SimSun"/>
          <w:b/>
          <w:sz w:val="24"/>
          <w:szCs w:val="24"/>
          <w:lang w:val="en-US" w:eastAsia="zh-CN"/>
        </w:rPr>
        <w:t>Suppl</w:t>
      </w:r>
      <w:r w:rsidRPr="0047156E">
        <w:rPr>
          <w:rFonts w:ascii="Book Antiqua" w:eastAsia="SimSun" w:hAnsi="Book Antiqua" w:cs="SimSun"/>
          <w:b/>
          <w:i/>
          <w:sz w:val="24"/>
          <w:szCs w:val="24"/>
          <w:lang w:val="en-US" w:eastAsia="zh-CN"/>
        </w:rPr>
        <w:t xml:space="preserve"> </w:t>
      </w:r>
      <w:r w:rsidRPr="0047156E">
        <w:rPr>
          <w:rFonts w:ascii="Book Antiqua" w:eastAsia="SimSun" w:hAnsi="Book Antiqua" w:cs="SimSun"/>
          <w:b/>
          <w:sz w:val="24"/>
          <w:szCs w:val="24"/>
          <w:lang w:val="en-US" w:eastAsia="zh-CN"/>
        </w:rPr>
        <w:t>30</w:t>
      </w:r>
      <w:r w:rsidRPr="0047156E">
        <w:rPr>
          <w:rFonts w:ascii="Book Antiqua" w:eastAsia="SimSun" w:hAnsi="Book Antiqua" w:cs="SimSun"/>
          <w:sz w:val="24"/>
          <w:szCs w:val="24"/>
          <w:lang w:val="en-US" w:eastAsia="zh-CN"/>
        </w:rPr>
        <w:t>: abstr</w:t>
      </w:r>
      <w:r w:rsidRPr="0047156E">
        <w:rPr>
          <w:rFonts w:ascii="Book Antiqua" w:eastAsia="SimSun" w:hAnsi="Book Antiqua" w:cs="SimSun" w:hint="eastAsia"/>
          <w:sz w:val="24"/>
          <w:szCs w:val="24"/>
          <w:lang w:val="en-US" w:eastAsia="zh-CN"/>
        </w:rPr>
        <w:t xml:space="preserve">act </w:t>
      </w:r>
      <w:r w:rsidRPr="0047156E">
        <w:rPr>
          <w:rFonts w:ascii="Book Antiqua" w:eastAsia="SimSun" w:hAnsi="Book Antiqua" w:cs="SimSun"/>
          <w:sz w:val="24"/>
          <w:szCs w:val="24"/>
          <w:lang w:val="en-US" w:eastAsia="zh-CN"/>
        </w:rPr>
        <w:t>2568</w:t>
      </w:r>
    </w:p>
    <w:p w14:paraId="37316A29"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10</w:t>
      </w:r>
      <w:r w:rsidRPr="0047156E">
        <w:rPr>
          <w:rFonts w:ascii="Book Antiqua" w:eastAsia="SimSun" w:hAnsi="Book Antiqua" w:cs="SimSun" w:hint="eastAsia"/>
          <w:sz w:val="24"/>
          <w:szCs w:val="24"/>
          <w:lang w:val="en-US" w:eastAsia="zh-CN"/>
        </w:rPr>
        <w:t>5</w:t>
      </w:r>
      <w:r w:rsidRPr="0047156E">
        <w:rPr>
          <w:rFonts w:ascii="Book Antiqua" w:eastAsia="SimSun" w:hAnsi="Book Antiqua" w:cs="SimSun"/>
          <w:sz w:val="24"/>
          <w:szCs w:val="24"/>
          <w:lang w:val="en-US" w:eastAsia="zh-CN"/>
        </w:rPr>
        <w:t xml:space="preserve"> Presented at AACR Annual Meeting, April 18-21, 2015, Philadelphia, PA. Available from</w:t>
      </w:r>
      <w:r w:rsidRPr="0047156E">
        <w:rPr>
          <w:rFonts w:ascii="Book Antiqua" w:eastAsia="SimSun" w:hAnsi="Book Antiqua" w:cs="SimSun" w:hint="eastAsia"/>
          <w:sz w:val="24"/>
          <w:szCs w:val="24"/>
          <w:lang w:val="en-US" w:eastAsia="zh-CN"/>
        </w:rPr>
        <w:t>:</w:t>
      </w:r>
      <w:r w:rsidRPr="0047156E">
        <w:rPr>
          <w:rFonts w:ascii="Book Antiqua" w:eastAsia="SimSun" w:hAnsi="Book Antiqua" w:cs="SimSun"/>
          <w:sz w:val="24"/>
          <w:szCs w:val="24"/>
          <w:lang w:val="en-US" w:eastAsia="zh-CN"/>
        </w:rPr>
        <w:t xml:space="preserve"> URL</w:t>
      </w:r>
      <w:r w:rsidRPr="0047156E">
        <w:rPr>
          <w:rFonts w:ascii="Book Antiqua" w:eastAsia="SimSun" w:hAnsi="Book Antiqua" w:cs="SimSun" w:hint="eastAsia"/>
          <w:sz w:val="24"/>
          <w:szCs w:val="24"/>
          <w:lang w:val="en-US" w:eastAsia="zh-CN"/>
        </w:rPr>
        <w:t>:</w:t>
      </w:r>
      <w:r w:rsidRPr="0047156E">
        <w:rPr>
          <w:rFonts w:ascii="Book Antiqua" w:eastAsia="SimSun" w:hAnsi="Book Antiqua" w:cs="SimSun"/>
          <w:sz w:val="24"/>
          <w:szCs w:val="24"/>
          <w:lang w:val="en-US" w:eastAsia="zh-CN"/>
        </w:rPr>
        <w:t xml:space="preserve"> http: //qfuse.com/client_downloads/AACR2015_DARECK_poster_15Apr15.pdf.</w:t>
      </w:r>
    </w:p>
    <w:p w14:paraId="7DC266CE"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10</w:t>
      </w:r>
      <w:r w:rsidRPr="0047156E">
        <w:rPr>
          <w:rFonts w:ascii="Book Antiqua" w:eastAsia="SimSun" w:hAnsi="Book Antiqua" w:cs="SimSun" w:hint="eastAsia"/>
          <w:sz w:val="24"/>
          <w:szCs w:val="24"/>
          <w:lang w:val="en-US" w:eastAsia="zh-CN"/>
        </w:rPr>
        <w:t>6</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sz w:val="24"/>
          <w:szCs w:val="24"/>
          <w:lang w:val="en-US" w:eastAsia="zh-CN"/>
        </w:rPr>
        <w:t>Price TJ</w:t>
      </w:r>
      <w:r w:rsidRPr="0047156E">
        <w:rPr>
          <w:rFonts w:ascii="Book Antiqua" w:eastAsia="SimSun" w:hAnsi="Book Antiqua" w:cs="SimSun"/>
          <w:sz w:val="24"/>
          <w:szCs w:val="24"/>
          <w:lang w:val="en-US" w:eastAsia="zh-CN"/>
        </w:rPr>
        <w:t>, Newhall J, Peeters M</w:t>
      </w:r>
      <w:r w:rsidRPr="0047156E">
        <w:rPr>
          <w:rFonts w:ascii="Book Antiqua" w:eastAsia="SimSun" w:hAnsi="Book Antiqua" w:cs="SimSun" w:hint="eastAsia"/>
          <w:sz w:val="24"/>
          <w:szCs w:val="24"/>
          <w:lang w:val="en-US" w:eastAsia="zh-CN"/>
        </w:rPr>
        <w:t>.</w:t>
      </w:r>
      <w:r w:rsidRPr="0047156E">
        <w:rPr>
          <w:rFonts w:ascii="Book Antiqua" w:eastAsia="SimSun" w:hAnsi="Book Antiqua" w:cs="SimSun"/>
          <w:sz w:val="24"/>
          <w:szCs w:val="24"/>
          <w:lang w:val="en-US" w:eastAsia="zh-CN"/>
        </w:rPr>
        <w:t xml:space="preserve"> Prevalence and outcomes of patients (pts) with EGFR S492R ectodomain mutations in ASPECCT: Panitumumab (pmab) vs. cetuximab (cmab) in </w:t>
      </w:r>
      <w:r w:rsidRPr="0047156E">
        <w:rPr>
          <w:rFonts w:ascii="Book Antiqua" w:eastAsia="SimSun" w:hAnsi="Book Antiqua" w:cs="SimSun"/>
          <w:sz w:val="24"/>
          <w:szCs w:val="24"/>
          <w:lang w:val="en-US" w:eastAsia="zh-CN"/>
        </w:rPr>
        <w:lastRenderedPageBreak/>
        <w:t xml:space="preserve">pts with chemorefractory wild-type KRAS exon 2 metastatic colorectal cancer (mCRC). </w:t>
      </w:r>
      <w:r w:rsidRPr="0047156E">
        <w:rPr>
          <w:rFonts w:ascii="Book Antiqua" w:eastAsia="SimSun" w:hAnsi="Book Antiqua" w:cs="SimSun"/>
          <w:i/>
          <w:sz w:val="24"/>
          <w:szCs w:val="24"/>
          <w:lang w:val="en-US" w:eastAsia="zh-CN"/>
        </w:rPr>
        <w:t>J Clin Oncol</w:t>
      </w:r>
      <w:r w:rsidRPr="0047156E">
        <w:rPr>
          <w:rFonts w:ascii="Book Antiqua" w:eastAsia="SimSun" w:hAnsi="Book Antiqua" w:cs="SimSun"/>
          <w:sz w:val="24"/>
          <w:szCs w:val="24"/>
          <w:lang w:val="en-US" w:eastAsia="zh-CN"/>
        </w:rPr>
        <w:t xml:space="preserve"> 2015; </w:t>
      </w:r>
      <w:r w:rsidRPr="0047156E">
        <w:rPr>
          <w:rFonts w:ascii="Book Antiqua" w:eastAsia="SimSun" w:hAnsi="Book Antiqua" w:cs="SimSun"/>
          <w:b/>
          <w:sz w:val="24"/>
          <w:szCs w:val="24"/>
          <w:lang w:val="en-US" w:eastAsia="zh-CN"/>
        </w:rPr>
        <w:t xml:space="preserve">33 </w:t>
      </w:r>
      <w:r w:rsidRPr="0047156E">
        <w:rPr>
          <w:rFonts w:ascii="Book Antiqua" w:eastAsia="SimSun" w:hAnsi="Book Antiqua" w:cs="SimSun" w:hint="eastAsia"/>
          <w:b/>
          <w:sz w:val="24"/>
          <w:szCs w:val="24"/>
          <w:lang w:val="en-US" w:eastAsia="zh-CN"/>
        </w:rPr>
        <w:t>S</w:t>
      </w:r>
      <w:r w:rsidRPr="0047156E">
        <w:rPr>
          <w:rFonts w:ascii="Book Antiqua" w:eastAsia="SimSun" w:hAnsi="Book Antiqua" w:cs="SimSun"/>
          <w:b/>
          <w:sz w:val="24"/>
          <w:szCs w:val="24"/>
          <w:lang w:val="en-US" w:eastAsia="zh-CN"/>
        </w:rPr>
        <w:t>uppl 3</w:t>
      </w:r>
      <w:r w:rsidRPr="0047156E">
        <w:rPr>
          <w:rFonts w:ascii="Book Antiqua" w:eastAsia="SimSun" w:hAnsi="Book Antiqua" w:cs="SimSun"/>
          <w:sz w:val="24"/>
          <w:szCs w:val="24"/>
          <w:lang w:val="en-US" w:eastAsia="zh-CN"/>
        </w:rPr>
        <w:t>; abstr</w:t>
      </w:r>
      <w:r w:rsidRPr="0047156E">
        <w:rPr>
          <w:rFonts w:ascii="Book Antiqua" w:eastAsia="SimSun" w:hAnsi="Book Antiqua" w:cs="SimSun" w:hint="eastAsia"/>
          <w:sz w:val="24"/>
          <w:szCs w:val="24"/>
          <w:lang w:val="en-US" w:eastAsia="zh-CN"/>
        </w:rPr>
        <w:t>act</w:t>
      </w:r>
      <w:r w:rsidRPr="0047156E">
        <w:rPr>
          <w:rFonts w:ascii="Book Antiqua" w:eastAsia="SimSun" w:hAnsi="Book Antiqua" w:cs="SimSun"/>
          <w:sz w:val="24"/>
          <w:szCs w:val="24"/>
          <w:lang w:val="en-US" w:eastAsia="zh-CN"/>
        </w:rPr>
        <w:t xml:space="preserve"> 740</w:t>
      </w:r>
    </w:p>
    <w:p w14:paraId="25EEEAB8"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10</w:t>
      </w:r>
      <w:r w:rsidRPr="0047156E">
        <w:rPr>
          <w:rFonts w:ascii="Book Antiqua" w:eastAsia="SimSun" w:hAnsi="Book Antiqua" w:cs="SimSun" w:hint="eastAsia"/>
          <w:sz w:val="24"/>
          <w:szCs w:val="24"/>
          <w:lang w:val="en-US" w:eastAsia="zh-CN"/>
        </w:rPr>
        <w:t>7</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Pedersen MW</w:t>
      </w:r>
      <w:r w:rsidRPr="0047156E">
        <w:rPr>
          <w:rFonts w:ascii="Book Antiqua" w:eastAsia="SimSun" w:hAnsi="Book Antiqua" w:cs="SimSun"/>
          <w:sz w:val="24"/>
          <w:szCs w:val="24"/>
          <w:lang w:val="en-US" w:eastAsia="zh-CN"/>
        </w:rPr>
        <w:t xml:space="preserve">, Jacobsen HJ, Koefoed K, Hey A, Pyke C, Haurum JS, Kragh M. Sym004: a novel synergistic anti-epidermal growth factor receptor antibody mixture with superior anticancer efficacy. </w:t>
      </w:r>
      <w:r w:rsidRPr="0047156E">
        <w:rPr>
          <w:rFonts w:ascii="Book Antiqua" w:eastAsia="SimSun" w:hAnsi="Book Antiqua" w:cs="SimSun"/>
          <w:i/>
          <w:iCs/>
          <w:sz w:val="24"/>
          <w:szCs w:val="24"/>
          <w:lang w:val="en-US" w:eastAsia="zh-CN"/>
        </w:rPr>
        <w:t>Cancer Res</w:t>
      </w:r>
      <w:r w:rsidRPr="0047156E">
        <w:rPr>
          <w:rFonts w:ascii="Book Antiqua" w:eastAsia="SimSun" w:hAnsi="Book Antiqua" w:cs="SimSun"/>
          <w:sz w:val="24"/>
          <w:szCs w:val="24"/>
          <w:lang w:val="en-US" w:eastAsia="zh-CN"/>
        </w:rPr>
        <w:t xml:space="preserve"> 2010; </w:t>
      </w:r>
      <w:r w:rsidRPr="0047156E">
        <w:rPr>
          <w:rFonts w:ascii="Book Antiqua" w:eastAsia="SimSun" w:hAnsi="Book Antiqua" w:cs="SimSun"/>
          <w:b/>
          <w:bCs/>
          <w:sz w:val="24"/>
          <w:szCs w:val="24"/>
          <w:lang w:val="en-US" w:eastAsia="zh-CN"/>
        </w:rPr>
        <w:t>70</w:t>
      </w:r>
      <w:r w:rsidRPr="0047156E">
        <w:rPr>
          <w:rFonts w:ascii="Book Antiqua" w:eastAsia="SimSun" w:hAnsi="Book Antiqua" w:cs="SimSun"/>
          <w:sz w:val="24"/>
          <w:szCs w:val="24"/>
          <w:lang w:val="en-US" w:eastAsia="zh-CN"/>
        </w:rPr>
        <w:t>: 588-597 [PMID: 20068188 DOI: 10.1158/0008-5472.CAN-09-1417]</w:t>
      </w:r>
    </w:p>
    <w:p w14:paraId="59AF4E50"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hint="eastAsia"/>
          <w:sz w:val="24"/>
          <w:szCs w:val="24"/>
          <w:lang w:val="en-US" w:eastAsia="zh-CN"/>
        </w:rPr>
        <w:t>108</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Dienstmann R</w:t>
      </w:r>
      <w:r w:rsidRPr="0047156E">
        <w:rPr>
          <w:rFonts w:ascii="Book Antiqua" w:eastAsia="SimSun" w:hAnsi="Book Antiqua" w:cs="SimSun"/>
          <w:sz w:val="24"/>
          <w:szCs w:val="24"/>
          <w:lang w:val="en-US" w:eastAsia="zh-CN"/>
        </w:rPr>
        <w:t xml:space="preserve">, Patnaik A, Garcia-Carbonero R, Cervantes A, Benavent M, Roselló S, Tops BB, van der Post RS, Argilés G, Skartved NJ, Hansen UH, Hald R, Pedersen MW, Kragh M, Horak ID, Braun S, Van Cutsem E, Tolcher AW, Tabernero J. Safety and Activity of the First-in-Class Sym004 Anti-EGFR Antibody Mixture in Patients with Refractory Colorectal Cancer. </w:t>
      </w:r>
      <w:r w:rsidRPr="0047156E">
        <w:rPr>
          <w:rFonts w:ascii="Book Antiqua" w:eastAsia="SimSun" w:hAnsi="Book Antiqua" w:cs="SimSun"/>
          <w:i/>
          <w:iCs/>
          <w:sz w:val="24"/>
          <w:szCs w:val="24"/>
          <w:lang w:val="en-US" w:eastAsia="zh-CN"/>
        </w:rPr>
        <w:t>Cancer Discov</w:t>
      </w:r>
      <w:r w:rsidRPr="0047156E">
        <w:rPr>
          <w:rFonts w:ascii="Book Antiqua" w:eastAsia="SimSun" w:hAnsi="Book Antiqua" w:cs="SimSun"/>
          <w:sz w:val="24"/>
          <w:szCs w:val="24"/>
          <w:lang w:val="en-US" w:eastAsia="zh-CN"/>
        </w:rPr>
        <w:t xml:space="preserve"> 2015; </w:t>
      </w:r>
      <w:r w:rsidRPr="0047156E">
        <w:rPr>
          <w:rFonts w:ascii="Book Antiqua" w:eastAsia="SimSun" w:hAnsi="Book Antiqua" w:cs="SimSun"/>
          <w:b/>
          <w:bCs/>
          <w:sz w:val="24"/>
          <w:szCs w:val="24"/>
          <w:lang w:val="en-US" w:eastAsia="zh-CN"/>
        </w:rPr>
        <w:t>5</w:t>
      </w:r>
      <w:r w:rsidRPr="0047156E">
        <w:rPr>
          <w:rFonts w:ascii="Book Antiqua" w:eastAsia="SimSun" w:hAnsi="Book Antiqua" w:cs="SimSun"/>
          <w:sz w:val="24"/>
          <w:szCs w:val="24"/>
          <w:lang w:val="en-US" w:eastAsia="zh-CN"/>
        </w:rPr>
        <w:t>: 598-609 [PMID: 25962717 DOI: 10.1158/2159-8290.CD-14-1432]</w:t>
      </w:r>
    </w:p>
    <w:p w14:paraId="355C391E"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hint="eastAsia"/>
          <w:sz w:val="24"/>
          <w:szCs w:val="24"/>
          <w:lang w:val="en-US" w:eastAsia="zh-CN"/>
        </w:rPr>
        <w:t>109</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Kearns JD</w:t>
      </w:r>
      <w:r w:rsidRPr="0047156E">
        <w:rPr>
          <w:rFonts w:ascii="Book Antiqua" w:eastAsia="SimSun" w:hAnsi="Book Antiqua" w:cs="SimSun"/>
          <w:sz w:val="24"/>
          <w:szCs w:val="24"/>
          <w:lang w:val="en-US" w:eastAsia="zh-CN"/>
        </w:rPr>
        <w:t xml:space="preserve">, Bukhalid R, Sevecka M, Tan G, Gerami-Moayed N, Werner SL, Kohli N, Burenkova O, Sloss CM, King AM, Fitzgerald JB, Nielsen UB, Wolf BB. Enhanced Targeting of the EGFR Network with MM-151, an Oligoclonal Anti-EGFR Antibody Therapeutic. </w:t>
      </w:r>
      <w:r w:rsidRPr="0047156E">
        <w:rPr>
          <w:rFonts w:ascii="Book Antiqua" w:eastAsia="SimSun" w:hAnsi="Book Antiqua" w:cs="SimSun"/>
          <w:i/>
          <w:iCs/>
          <w:sz w:val="24"/>
          <w:szCs w:val="24"/>
          <w:lang w:val="en-US" w:eastAsia="zh-CN"/>
        </w:rPr>
        <w:t>Mol Cancer Ther</w:t>
      </w:r>
      <w:r w:rsidRPr="0047156E">
        <w:rPr>
          <w:rFonts w:ascii="Book Antiqua" w:eastAsia="SimSun" w:hAnsi="Book Antiqua" w:cs="SimSun"/>
          <w:sz w:val="24"/>
          <w:szCs w:val="24"/>
          <w:lang w:val="en-US" w:eastAsia="zh-CN"/>
        </w:rPr>
        <w:t xml:space="preserve"> 2015; </w:t>
      </w:r>
      <w:r w:rsidRPr="0047156E">
        <w:rPr>
          <w:rFonts w:ascii="Book Antiqua" w:eastAsia="SimSun" w:hAnsi="Book Antiqua" w:cs="SimSun"/>
          <w:b/>
          <w:bCs/>
          <w:sz w:val="24"/>
          <w:szCs w:val="24"/>
          <w:lang w:val="en-US" w:eastAsia="zh-CN"/>
        </w:rPr>
        <w:t>14</w:t>
      </w:r>
      <w:r w:rsidRPr="0047156E">
        <w:rPr>
          <w:rFonts w:ascii="Book Antiqua" w:eastAsia="SimSun" w:hAnsi="Book Antiqua" w:cs="SimSun"/>
          <w:sz w:val="24"/>
          <w:szCs w:val="24"/>
          <w:lang w:val="en-US" w:eastAsia="zh-CN"/>
        </w:rPr>
        <w:t>: 1625-1636 [PMID: 25911688 DOI: 10.1158/1535-7163.MCT-14-0772]</w:t>
      </w:r>
    </w:p>
    <w:p w14:paraId="2E07F683"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11</w:t>
      </w:r>
      <w:r w:rsidRPr="0047156E">
        <w:rPr>
          <w:rFonts w:ascii="Book Antiqua" w:eastAsia="SimSun" w:hAnsi="Book Antiqua" w:cs="SimSun" w:hint="eastAsia"/>
          <w:sz w:val="24"/>
          <w:szCs w:val="24"/>
          <w:lang w:val="en-US" w:eastAsia="zh-CN"/>
        </w:rPr>
        <w:t>0</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Comoglio PM</w:t>
      </w:r>
      <w:r w:rsidRPr="0047156E">
        <w:rPr>
          <w:rFonts w:ascii="Book Antiqua" w:eastAsia="SimSun" w:hAnsi="Book Antiqua" w:cs="SimSun"/>
          <w:sz w:val="24"/>
          <w:szCs w:val="24"/>
          <w:lang w:val="en-US" w:eastAsia="zh-CN"/>
        </w:rPr>
        <w:t xml:space="preserve">, Giordano S, Trusolino L. Drug development of MET inhibitors: targeting oncogene addiction and expedience. </w:t>
      </w:r>
      <w:r w:rsidRPr="0047156E">
        <w:rPr>
          <w:rFonts w:ascii="Book Antiqua" w:eastAsia="SimSun" w:hAnsi="Book Antiqua" w:cs="SimSun"/>
          <w:i/>
          <w:iCs/>
          <w:sz w:val="24"/>
          <w:szCs w:val="24"/>
          <w:lang w:val="en-US" w:eastAsia="zh-CN"/>
        </w:rPr>
        <w:t>Nat Rev Drug Discov</w:t>
      </w:r>
      <w:r w:rsidRPr="0047156E">
        <w:rPr>
          <w:rFonts w:ascii="Book Antiqua" w:eastAsia="SimSun" w:hAnsi="Book Antiqua" w:cs="SimSun"/>
          <w:sz w:val="24"/>
          <w:szCs w:val="24"/>
          <w:lang w:val="en-US" w:eastAsia="zh-CN"/>
        </w:rPr>
        <w:t xml:space="preserve"> 2008; </w:t>
      </w:r>
      <w:r w:rsidRPr="0047156E">
        <w:rPr>
          <w:rFonts w:ascii="Book Antiqua" w:eastAsia="SimSun" w:hAnsi="Book Antiqua" w:cs="SimSun"/>
          <w:b/>
          <w:bCs/>
          <w:sz w:val="24"/>
          <w:szCs w:val="24"/>
          <w:lang w:val="en-US" w:eastAsia="zh-CN"/>
        </w:rPr>
        <w:t>7</w:t>
      </w:r>
      <w:r w:rsidRPr="0047156E">
        <w:rPr>
          <w:rFonts w:ascii="Book Antiqua" w:eastAsia="SimSun" w:hAnsi="Book Antiqua" w:cs="SimSun"/>
          <w:sz w:val="24"/>
          <w:szCs w:val="24"/>
          <w:lang w:val="en-US" w:eastAsia="zh-CN"/>
        </w:rPr>
        <w:t>: 504-516 [PMID: 18511928 DOI: 10.1038/nrd2530]</w:t>
      </w:r>
    </w:p>
    <w:p w14:paraId="0288C56D"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11</w:t>
      </w:r>
      <w:r w:rsidRPr="0047156E">
        <w:rPr>
          <w:rFonts w:ascii="Book Antiqua" w:eastAsia="SimSun" w:hAnsi="Book Antiqua" w:cs="SimSun" w:hint="eastAsia"/>
          <w:sz w:val="24"/>
          <w:szCs w:val="24"/>
          <w:lang w:val="en-US" w:eastAsia="zh-CN"/>
        </w:rPr>
        <w:t>1</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Di Renzo MF</w:t>
      </w:r>
      <w:r w:rsidRPr="0047156E">
        <w:rPr>
          <w:rFonts w:ascii="Book Antiqua" w:eastAsia="SimSun" w:hAnsi="Book Antiqua" w:cs="SimSun"/>
          <w:sz w:val="24"/>
          <w:szCs w:val="24"/>
          <w:lang w:val="en-US" w:eastAsia="zh-CN"/>
        </w:rPr>
        <w:t xml:space="preserve">, Olivero M, Giacomini A, Porte H, Chastre E, Mirossay L, Nordlinger B, Bretti S, Bottardi S, Giordano S. Overexpression and amplification of the met/HGF receptor gene during the progression of colorectal cancer. </w:t>
      </w:r>
      <w:r w:rsidRPr="0047156E">
        <w:rPr>
          <w:rFonts w:ascii="Book Antiqua" w:eastAsia="SimSun" w:hAnsi="Book Antiqua" w:cs="SimSun"/>
          <w:i/>
          <w:iCs/>
          <w:sz w:val="24"/>
          <w:szCs w:val="24"/>
          <w:lang w:val="en-US" w:eastAsia="zh-CN"/>
        </w:rPr>
        <w:t>Clin Cancer Res</w:t>
      </w:r>
      <w:r w:rsidRPr="0047156E">
        <w:rPr>
          <w:rFonts w:ascii="Book Antiqua" w:eastAsia="SimSun" w:hAnsi="Book Antiqua" w:cs="SimSun"/>
          <w:sz w:val="24"/>
          <w:szCs w:val="24"/>
          <w:lang w:val="en-US" w:eastAsia="zh-CN"/>
        </w:rPr>
        <w:t xml:space="preserve"> 1995; </w:t>
      </w:r>
      <w:r w:rsidRPr="0047156E">
        <w:rPr>
          <w:rFonts w:ascii="Book Antiqua" w:eastAsia="SimSun" w:hAnsi="Book Antiqua" w:cs="SimSun"/>
          <w:b/>
          <w:bCs/>
          <w:sz w:val="24"/>
          <w:szCs w:val="24"/>
          <w:lang w:val="en-US" w:eastAsia="zh-CN"/>
        </w:rPr>
        <w:t>1</w:t>
      </w:r>
      <w:r w:rsidRPr="0047156E">
        <w:rPr>
          <w:rFonts w:ascii="Book Antiqua" w:eastAsia="SimSun" w:hAnsi="Book Antiqua" w:cs="SimSun"/>
          <w:sz w:val="24"/>
          <w:szCs w:val="24"/>
          <w:lang w:val="en-US" w:eastAsia="zh-CN"/>
        </w:rPr>
        <w:t>: 147-154 [PMID: 9815967]</w:t>
      </w:r>
    </w:p>
    <w:p w14:paraId="540AA529"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11</w:t>
      </w:r>
      <w:r w:rsidRPr="0047156E">
        <w:rPr>
          <w:rFonts w:ascii="Book Antiqua" w:eastAsia="SimSun" w:hAnsi="Book Antiqua" w:cs="SimSun" w:hint="eastAsia"/>
          <w:sz w:val="24"/>
          <w:szCs w:val="24"/>
          <w:lang w:val="en-US" w:eastAsia="zh-CN"/>
        </w:rPr>
        <w:t>2</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Liu Y</w:t>
      </w:r>
      <w:r w:rsidRPr="0047156E">
        <w:rPr>
          <w:rFonts w:ascii="Book Antiqua" w:eastAsia="SimSun" w:hAnsi="Book Antiqua" w:cs="SimSun"/>
          <w:sz w:val="24"/>
          <w:szCs w:val="24"/>
          <w:lang w:val="en-US" w:eastAsia="zh-CN"/>
        </w:rPr>
        <w:t xml:space="preserve">, Yu XF, Zou J, Luo ZH. Prognostic value of c-Met in colorectal cancer: a meta-analysis. </w:t>
      </w:r>
      <w:r w:rsidRPr="0047156E">
        <w:rPr>
          <w:rFonts w:ascii="Book Antiqua" w:eastAsia="SimSun" w:hAnsi="Book Antiqua" w:cs="SimSun"/>
          <w:i/>
          <w:iCs/>
          <w:sz w:val="24"/>
          <w:szCs w:val="24"/>
          <w:lang w:val="en-US" w:eastAsia="zh-CN"/>
        </w:rPr>
        <w:t>World J Gastroenterol</w:t>
      </w:r>
      <w:r w:rsidRPr="0047156E">
        <w:rPr>
          <w:rFonts w:ascii="Book Antiqua" w:eastAsia="SimSun" w:hAnsi="Book Antiqua" w:cs="SimSun"/>
          <w:sz w:val="24"/>
          <w:szCs w:val="24"/>
          <w:lang w:val="en-US" w:eastAsia="zh-CN"/>
        </w:rPr>
        <w:t xml:space="preserve"> 2015; </w:t>
      </w:r>
      <w:r w:rsidRPr="0047156E">
        <w:rPr>
          <w:rFonts w:ascii="Book Antiqua" w:eastAsia="SimSun" w:hAnsi="Book Antiqua" w:cs="SimSun"/>
          <w:b/>
          <w:bCs/>
          <w:sz w:val="24"/>
          <w:szCs w:val="24"/>
          <w:lang w:val="en-US" w:eastAsia="zh-CN"/>
        </w:rPr>
        <w:t>21</w:t>
      </w:r>
      <w:r w:rsidRPr="0047156E">
        <w:rPr>
          <w:rFonts w:ascii="Book Antiqua" w:eastAsia="SimSun" w:hAnsi="Book Antiqua" w:cs="SimSun"/>
          <w:sz w:val="24"/>
          <w:szCs w:val="24"/>
          <w:lang w:val="en-US" w:eastAsia="zh-CN"/>
        </w:rPr>
        <w:t>: 3706-3710 [PMID: 25834339 DOI: 10.3748/wjg.v21.i12.3706]</w:t>
      </w:r>
    </w:p>
    <w:p w14:paraId="376F0970"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11</w:t>
      </w:r>
      <w:r w:rsidRPr="0047156E">
        <w:rPr>
          <w:rFonts w:ascii="Book Antiqua" w:eastAsia="SimSun" w:hAnsi="Book Antiqua" w:cs="SimSun" w:hint="eastAsia"/>
          <w:sz w:val="24"/>
          <w:szCs w:val="24"/>
          <w:lang w:val="en-US" w:eastAsia="zh-CN"/>
        </w:rPr>
        <w:t>3</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Cappuzzo F</w:t>
      </w:r>
      <w:r w:rsidRPr="0047156E">
        <w:rPr>
          <w:rFonts w:ascii="Book Antiqua" w:eastAsia="SimSun" w:hAnsi="Book Antiqua" w:cs="SimSun"/>
          <w:sz w:val="24"/>
          <w:szCs w:val="24"/>
          <w:lang w:val="en-US" w:eastAsia="zh-CN"/>
        </w:rPr>
        <w:t xml:space="preserve">, Varella-Garcia M, Finocchiaro G, Skokan M, Gajapathy S, Carnaghi C, Rimassa L, Rossi E, Ligorio C, Di Tommaso L, Holmes AJ, Toschi L, Tallini G, Destro A, Roncalli M, Santoro A, Jänne PA. Primary resistance to cetuximab therapy in EGFR FISH-positive colorectal cancer patients. </w:t>
      </w:r>
      <w:r w:rsidRPr="0047156E">
        <w:rPr>
          <w:rFonts w:ascii="Book Antiqua" w:eastAsia="SimSun" w:hAnsi="Book Antiqua" w:cs="SimSun"/>
          <w:i/>
          <w:iCs/>
          <w:sz w:val="24"/>
          <w:szCs w:val="24"/>
          <w:lang w:val="en-US" w:eastAsia="zh-CN"/>
        </w:rPr>
        <w:t>Br J Cancer</w:t>
      </w:r>
      <w:r w:rsidRPr="0047156E">
        <w:rPr>
          <w:rFonts w:ascii="Book Antiqua" w:eastAsia="SimSun" w:hAnsi="Book Antiqua" w:cs="SimSun"/>
          <w:sz w:val="24"/>
          <w:szCs w:val="24"/>
          <w:lang w:val="en-US" w:eastAsia="zh-CN"/>
        </w:rPr>
        <w:t xml:space="preserve"> 2008; </w:t>
      </w:r>
      <w:r w:rsidRPr="0047156E">
        <w:rPr>
          <w:rFonts w:ascii="Book Antiqua" w:eastAsia="SimSun" w:hAnsi="Book Antiqua" w:cs="SimSun"/>
          <w:b/>
          <w:bCs/>
          <w:sz w:val="24"/>
          <w:szCs w:val="24"/>
          <w:lang w:val="en-US" w:eastAsia="zh-CN"/>
        </w:rPr>
        <w:t>99</w:t>
      </w:r>
      <w:r w:rsidRPr="0047156E">
        <w:rPr>
          <w:rFonts w:ascii="Book Antiqua" w:eastAsia="SimSun" w:hAnsi="Book Antiqua" w:cs="SimSun"/>
          <w:sz w:val="24"/>
          <w:szCs w:val="24"/>
          <w:lang w:val="en-US" w:eastAsia="zh-CN"/>
        </w:rPr>
        <w:t>: 83-89 [PMID: 18577988 DOI: 10.1038/sj.bjc.6604439]</w:t>
      </w:r>
    </w:p>
    <w:p w14:paraId="39C9DB9D"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lastRenderedPageBreak/>
        <w:t>11</w:t>
      </w:r>
      <w:r w:rsidRPr="0047156E">
        <w:rPr>
          <w:rFonts w:ascii="Book Antiqua" w:eastAsia="SimSun" w:hAnsi="Book Antiqua" w:cs="SimSun" w:hint="eastAsia"/>
          <w:sz w:val="24"/>
          <w:szCs w:val="24"/>
          <w:lang w:val="en-US" w:eastAsia="zh-CN"/>
        </w:rPr>
        <w:t>4</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Troiani T</w:t>
      </w:r>
      <w:r w:rsidRPr="0047156E">
        <w:rPr>
          <w:rFonts w:ascii="Book Antiqua" w:eastAsia="SimSun" w:hAnsi="Book Antiqua" w:cs="SimSun"/>
          <w:sz w:val="24"/>
          <w:szCs w:val="24"/>
          <w:lang w:val="en-US" w:eastAsia="zh-CN"/>
        </w:rPr>
        <w:t xml:space="preserve">, Martinelli E, Napolitano S, Vitagliano D, Ciuffreda LP, Costantino S, Morgillo F, Capasso A, Sforza V, Nappi A, De Palma R, D'Aiuto E, Berrino L, Bianco R, Ciardiello F. Increased TGF-α as a mechanism of acquired resistance to the anti-EGFR inhibitor cetuximab through EGFR-MET interaction and activation of MET signaling in colon cancer cells. </w:t>
      </w:r>
      <w:r w:rsidRPr="0047156E">
        <w:rPr>
          <w:rFonts w:ascii="Book Antiqua" w:eastAsia="SimSun" w:hAnsi="Book Antiqua" w:cs="SimSun"/>
          <w:i/>
          <w:iCs/>
          <w:sz w:val="24"/>
          <w:szCs w:val="24"/>
          <w:lang w:val="en-US" w:eastAsia="zh-CN"/>
        </w:rPr>
        <w:t>Clin Cancer Res</w:t>
      </w:r>
      <w:r w:rsidRPr="0047156E">
        <w:rPr>
          <w:rFonts w:ascii="Book Antiqua" w:eastAsia="SimSun" w:hAnsi="Book Antiqua" w:cs="SimSun"/>
          <w:sz w:val="24"/>
          <w:szCs w:val="24"/>
          <w:lang w:val="en-US" w:eastAsia="zh-CN"/>
        </w:rPr>
        <w:t xml:space="preserve"> 2013; </w:t>
      </w:r>
      <w:r w:rsidRPr="0047156E">
        <w:rPr>
          <w:rFonts w:ascii="Book Antiqua" w:eastAsia="SimSun" w:hAnsi="Book Antiqua" w:cs="SimSun"/>
          <w:b/>
          <w:bCs/>
          <w:sz w:val="24"/>
          <w:szCs w:val="24"/>
          <w:lang w:val="en-US" w:eastAsia="zh-CN"/>
        </w:rPr>
        <w:t>19</w:t>
      </w:r>
      <w:r w:rsidRPr="0047156E">
        <w:rPr>
          <w:rFonts w:ascii="Book Antiqua" w:eastAsia="SimSun" w:hAnsi="Book Antiqua" w:cs="SimSun"/>
          <w:sz w:val="24"/>
          <w:szCs w:val="24"/>
          <w:lang w:val="en-US" w:eastAsia="zh-CN"/>
        </w:rPr>
        <w:t>: 6751-6765 [PMID: 24122793 DOI: 10.1158/1078-0432.CCR-13-0423]</w:t>
      </w:r>
    </w:p>
    <w:p w14:paraId="0FFAEC48"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11</w:t>
      </w:r>
      <w:r w:rsidRPr="0047156E">
        <w:rPr>
          <w:rFonts w:ascii="Book Antiqua" w:eastAsia="SimSun" w:hAnsi="Book Antiqua" w:cs="SimSun" w:hint="eastAsia"/>
          <w:sz w:val="24"/>
          <w:szCs w:val="24"/>
          <w:lang w:val="en-US" w:eastAsia="zh-CN"/>
        </w:rPr>
        <w:t>5</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Van Cutsem E</w:t>
      </w:r>
      <w:r w:rsidRPr="0047156E">
        <w:rPr>
          <w:rFonts w:ascii="Book Antiqua" w:eastAsia="SimSun" w:hAnsi="Book Antiqua" w:cs="SimSun"/>
          <w:sz w:val="24"/>
          <w:szCs w:val="24"/>
          <w:lang w:val="en-US" w:eastAsia="zh-CN"/>
        </w:rPr>
        <w:t xml:space="preserve">, Eng C, Nowara E, Swieboda-Sadlej A, Tebbutt NC, Mitchell E, Davidenko I, Stephenson J, Elez E, Prenen H, Deng H, Tang R, McCaffery I, Oliner KS, Chen L, Gansert J, Loh E, Smethurst D, Tabernero J. Randomized phase Ib/II trial of rilotumumab or ganitumab with panitumumab versus panitumumab alone in patients with wild-type KRAS metastatic colorectal cancer. </w:t>
      </w:r>
      <w:r w:rsidRPr="0047156E">
        <w:rPr>
          <w:rFonts w:ascii="Book Antiqua" w:eastAsia="SimSun" w:hAnsi="Book Antiqua" w:cs="SimSun"/>
          <w:i/>
          <w:iCs/>
          <w:sz w:val="24"/>
          <w:szCs w:val="24"/>
          <w:lang w:val="en-US" w:eastAsia="zh-CN"/>
        </w:rPr>
        <w:t>Clin Cancer Res</w:t>
      </w:r>
      <w:r w:rsidRPr="0047156E">
        <w:rPr>
          <w:rFonts w:ascii="Book Antiqua" w:eastAsia="SimSun" w:hAnsi="Book Antiqua" w:cs="SimSun"/>
          <w:sz w:val="24"/>
          <w:szCs w:val="24"/>
          <w:lang w:val="en-US" w:eastAsia="zh-CN"/>
        </w:rPr>
        <w:t xml:space="preserve"> 2014; </w:t>
      </w:r>
      <w:r w:rsidRPr="0047156E">
        <w:rPr>
          <w:rFonts w:ascii="Book Antiqua" w:eastAsia="SimSun" w:hAnsi="Book Antiqua" w:cs="SimSun"/>
          <w:b/>
          <w:bCs/>
          <w:sz w:val="24"/>
          <w:szCs w:val="24"/>
          <w:lang w:val="en-US" w:eastAsia="zh-CN"/>
        </w:rPr>
        <w:t>20</w:t>
      </w:r>
      <w:r w:rsidRPr="0047156E">
        <w:rPr>
          <w:rFonts w:ascii="Book Antiqua" w:eastAsia="SimSun" w:hAnsi="Book Antiqua" w:cs="SimSun"/>
          <w:sz w:val="24"/>
          <w:szCs w:val="24"/>
          <w:lang w:val="en-US" w:eastAsia="zh-CN"/>
        </w:rPr>
        <w:t>: 4240-4250 [PMID: 24919569 DOI: 10.1158/1078-0432.CCR-13-2752]</w:t>
      </w:r>
    </w:p>
    <w:p w14:paraId="28473C42"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11</w:t>
      </w:r>
      <w:r w:rsidRPr="0047156E">
        <w:rPr>
          <w:rFonts w:ascii="Book Antiqua" w:eastAsia="SimSun" w:hAnsi="Book Antiqua" w:cs="SimSun" w:hint="eastAsia"/>
          <w:sz w:val="24"/>
          <w:szCs w:val="24"/>
          <w:lang w:val="en-US" w:eastAsia="zh-CN"/>
        </w:rPr>
        <w:t>6</w:t>
      </w:r>
      <w:r w:rsidRPr="0047156E">
        <w:rPr>
          <w:rFonts w:ascii="Book Antiqua" w:eastAsia="SimSun" w:hAnsi="Book Antiqua" w:cs="SimSun"/>
          <w:sz w:val="24"/>
          <w:szCs w:val="24"/>
          <w:lang w:val="en-US" w:eastAsia="zh-CN"/>
        </w:rPr>
        <w:t xml:space="preserve"> ClinicalTrials.gov Identifier: NCT02008383</w:t>
      </w:r>
    </w:p>
    <w:p w14:paraId="4FDF68FF"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1</w:t>
      </w:r>
      <w:r w:rsidRPr="0047156E">
        <w:rPr>
          <w:rFonts w:ascii="Book Antiqua" w:eastAsia="SimSun" w:hAnsi="Book Antiqua" w:cs="SimSun" w:hint="eastAsia"/>
          <w:sz w:val="24"/>
          <w:szCs w:val="24"/>
          <w:lang w:val="en-US" w:eastAsia="zh-CN"/>
        </w:rPr>
        <w:t>17</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Tol J</w:t>
      </w:r>
      <w:r w:rsidRPr="0047156E">
        <w:rPr>
          <w:rFonts w:ascii="Book Antiqua" w:eastAsia="SimSun" w:hAnsi="Book Antiqua" w:cs="SimSun"/>
          <w:sz w:val="24"/>
          <w:szCs w:val="24"/>
          <w:lang w:val="en-US" w:eastAsia="zh-CN"/>
        </w:rPr>
        <w:t xml:space="preserve">, Koopman M, Cats A, Rodenburg CJ, Creemers GJ, Schrama JG, Erdkamp FL, Vos AH, van Groeningen CJ, Sinnige HA, Richel DJ, Voest EE, Dijkstra JR, Vink-Börger ME, Antonini NF, Mol L, van Krieken JH, Dalesio O, Punt CJ. Chemotherapy, bevacizumab, and cetuximab in metastatic colorectal cancer. </w:t>
      </w:r>
      <w:r w:rsidRPr="0047156E">
        <w:rPr>
          <w:rFonts w:ascii="Book Antiqua" w:eastAsia="SimSun" w:hAnsi="Book Antiqua" w:cs="SimSun"/>
          <w:i/>
          <w:iCs/>
          <w:sz w:val="24"/>
          <w:szCs w:val="24"/>
          <w:lang w:val="en-US" w:eastAsia="zh-CN"/>
        </w:rPr>
        <w:t>N Engl J Med</w:t>
      </w:r>
      <w:r w:rsidRPr="0047156E">
        <w:rPr>
          <w:rFonts w:ascii="Book Antiqua" w:eastAsia="SimSun" w:hAnsi="Book Antiqua" w:cs="SimSun"/>
          <w:sz w:val="24"/>
          <w:szCs w:val="24"/>
          <w:lang w:val="en-US" w:eastAsia="zh-CN"/>
        </w:rPr>
        <w:t xml:space="preserve"> 2009; </w:t>
      </w:r>
      <w:r w:rsidRPr="0047156E">
        <w:rPr>
          <w:rFonts w:ascii="Book Antiqua" w:eastAsia="SimSun" w:hAnsi="Book Antiqua" w:cs="SimSun"/>
          <w:b/>
          <w:bCs/>
          <w:sz w:val="24"/>
          <w:szCs w:val="24"/>
          <w:lang w:val="en-US" w:eastAsia="zh-CN"/>
        </w:rPr>
        <w:t>360</w:t>
      </w:r>
      <w:r w:rsidRPr="0047156E">
        <w:rPr>
          <w:rFonts w:ascii="Book Antiqua" w:eastAsia="SimSun" w:hAnsi="Book Antiqua" w:cs="SimSun"/>
          <w:sz w:val="24"/>
          <w:szCs w:val="24"/>
          <w:lang w:val="en-US" w:eastAsia="zh-CN"/>
        </w:rPr>
        <w:t>: 563-572 [PMID: 19196673 DOI: 10.1056/NEJMoa0808268]</w:t>
      </w:r>
    </w:p>
    <w:p w14:paraId="48CBE13E"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hint="eastAsia"/>
          <w:sz w:val="24"/>
          <w:szCs w:val="24"/>
          <w:lang w:val="en-US" w:eastAsia="zh-CN"/>
        </w:rPr>
        <w:t>118</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Hecht JR</w:t>
      </w:r>
      <w:r w:rsidRPr="0047156E">
        <w:rPr>
          <w:rFonts w:ascii="Book Antiqua" w:eastAsia="SimSun" w:hAnsi="Book Antiqua" w:cs="SimSun"/>
          <w:sz w:val="24"/>
          <w:szCs w:val="24"/>
          <w:lang w:val="en-US" w:eastAsia="zh-CN"/>
        </w:rPr>
        <w:t xml:space="preserve">, Mitchell E, Chidiac T, Scroggin C, Hagenstad C, Spigel D, Marshall J, Cohn A, McCollum D, Stella P, Deeter R, Shahin S, Amado RG. A randomized phase IIIB trial of chemotherapy, bevacizumab, and panitumumab compared with chemotherapy and bevacizumab alone for metastatic colorectal cancer. </w:t>
      </w:r>
      <w:r w:rsidRPr="0047156E">
        <w:rPr>
          <w:rFonts w:ascii="Book Antiqua" w:eastAsia="SimSun" w:hAnsi="Book Antiqua" w:cs="SimSun"/>
          <w:i/>
          <w:iCs/>
          <w:sz w:val="24"/>
          <w:szCs w:val="24"/>
          <w:lang w:val="en-US" w:eastAsia="zh-CN"/>
        </w:rPr>
        <w:t>J Clin Oncol</w:t>
      </w:r>
      <w:r w:rsidRPr="0047156E">
        <w:rPr>
          <w:rFonts w:ascii="Book Antiqua" w:eastAsia="SimSun" w:hAnsi="Book Antiqua" w:cs="SimSun"/>
          <w:sz w:val="24"/>
          <w:szCs w:val="24"/>
          <w:lang w:val="en-US" w:eastAsia="zh-CN"/>
        </w:rPr>
        <w:t xml:space="preserve"> 2009; </w:t>
      </w:r>
      <w:r w:rsidRPr="0047156E">
        <w:rPr>
          <w:rFonts w:ascii="Book Antiqua" w:eastAsia="SimSun" w:hAnsi="Book Antiqua" w:cs="SimSun"/>
          <w:b/>
          <w:bCs/>
          <w:sz w:val="24"/>
          <w:szCs w:val="24"/>
          <w:lang w:val="en-US" w:eastAsia="zh-CN"/>
        </w:rPr>
        <w:t>27</w:t>
      </w:r>
      <w:r w:rsidRPr="0047156E">
        <w:rPr>
          <w:rFonts w:ascii="Book Antiqua" w:eastAsia="SimSun" w:hAnsi="Book Antiqua" w:cs="SimSun"/>
          <w:sz w:val="24"/>
          <w:szCs w:val="24"/>
          <w:lang w:val="en-US" w:eastAsia="zh-CN"/>
        </w:rPr>
        <w:t>: 672-680 [PMID: 19114685 DOI: 10.1200/JCO.2008.19.8135]</w:t>
      </w:r>
    </w:p>
    <w:p w14:paraId="508CE2DC"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hint="eastAsia"/>
          <w:sz w:val="24"/>
          <w:szCs w:val="24"/>
          <w:lang w:val="en-US" w:eastAsia="zh-CN"/>
        </w:rPr>
        <w:t>119</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Siu LL</w:t>
      </w:r>
      <w:r w:rsidRPr="0047156E">
        <w:rPr>
          <w:rFonts w:ascii="Book Antiqua" w:eastAsia="SimSun" w:hAnsi="Book Antiqua" w:cs="SimSun"/>
          <w:sz w:val="24"/>
          <w:szCs w:val="24"/>
          <w:lang w:val="en-US" w:eastAsia="zh-CN"/>
        </w:rPr>
        <w:t xml:space="preserve">, Shapiro JD, Jonker DJ, Karapetis CS, Zalcberg JR, Simes J, Couture F, Moore MJ, Price TJ, Siddiqui J, Nott LM, Charpentier D, Liauw W, Sawyer MB, Jefford M, Magoski NM, Haydon A, Walters I, Ringash J, Tu D, O'Callaghan CJ. Phase III randomized, placebo-controlled study of cetuximab plus brivanib alaninate versus cetuximab plus placebo in patients with metastatic, chemotherapy-refractory, wild-type K-RAS colorectal carcinoma: the NCIC Clinical Trials Group and AGITG CO.20 Trial. </w:t>
      </w:r>
      <w:r w:rsidRPr="0047156E">
        <w:rPr>
          <w:rFonts w:ascii="Book Antiqua" w:eastAsia="SimSun" w:hAnsi="Book Antiqua" w:cs="SimSun"/>
          <w:i/>
          <w:iCs/>
          <w:sz w:val="24"/>
          <w:szCs w:val="24"/>
          <w:lang w:val="en-US" w:eastAsia="zh-CN"/>
        </w:rPr>
        <w:t>J Clin Oncol</w:t>
      </w:r>
      <w:r w:rsidRPr="0047156E">
        <w:rPr>
          <w:rFonts w:ascii="Book Antiqua" w:eastAsia="SimSun" w:hAnsi="Book Antiqua" w:cs="SimSun"/>
          <w:sz w:val="24"/>
          <w:szCs w:val="24"/>
          <w:lang w:val="en-US" w:eastAsia="zh-CN"/>
        </w:rPr>
        <w:t xml:space="preserve"> 2013; </w:t>
      </w:r>
      <w:r w:rsidRPr="0047156E">
        <w:rPr>
          <w:rFonts w:ascii="Book Antiqua" w:eastAsia="SimSun" w:hAnsi="Book Antiqua" w:cs="SimSun"/>
          <w:b/>
          <w:bCs/>
          <w:sz w:val="24"/>
          <w:szCs w:val="24"/>
          <w:lang w:val="en-US" w:eastAsia="zh-CN"/>
        </w:rPr>
        <w:t>31</w:t>
      </w:r>
      <w:r w:rsidRPr="0047156E">
        <w:rPr>
          <w:rFonts w:ascii="Book Antiqua" w:eastAsia="SimSun" w:hAnsi="Book Antiqua" w:cs="SimSun"/>
          <w:sz w:val="24"/>
          <w:szCs w:val="24"/>
          <w:lang w:val="en-US" w:eastAsia="zh-CN"/>
        </w:rPr>
        <w:t>: 2477-2484 [PMID: 23690424 DOI: 10.1200/JCO.2012.46.0543]</w:t>
      </w:r>
    </w:p>
    <w:p w14:paraId="47E7FBDF"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12</w:t>
      </w:r>
      <w:r w:rsidRPr="0047156E">
        <w:rPr>
          <w:rFonts w:ascii="Book Antiqua" w:eastAsia="SimSun" w:hAnsi="Book Antiqua" w:cs="SimSun" w:hint="eastAsia"/>
          <w:sz w:val="24"/>
          <w:szCs w:val="24"/>
          <w:lang w:val="en-US" w:eastAsia="zh-CN"/>
        </w:rPr>
        <w:t>0</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Yoon J</w:t>
      </w:r>
      <w:r w:rsidRPr="0047156E">
        <w:rPr>
          <w:rFonts w:ascii="Book Antiqua" w:eastAsia="SimSun" w:hAnsi="Book Antiqua" w:cs="SimSun"/>
          <w:sz w:val="24"/>
          <w:szCs w:val="24"/>
          <w:lang w:val="en-US" w:eastAsia="zh-CN"/>
        </w:rPr>
        <w:t xml:space="preserve">, Koo KH, Choi KY. MEK1/2 inhibitors AS703026 and AZD6244 may be potential therapies for KRAS mutated colorectal cancer that is resistant to EGFR </w:t>
      </w:r>
      <w:r w:rsidRPr="0047156E">
        <w:rPr>
          <w:rFonts w:ascii="Book Antiqua" w:eastAsia="SimSun" w:hAnsi="Book Antiqua" w:cs="SimSun"/>
          <w:sz w:val="24"/>
          <w:szCs w:val="24"/>
          <w:lang w:val="en-US" w:eastAsia="zh-CN"/>
        </w:rPr>
        <w:lastRenderedPageBreak/>
        <w:t xml:space="preserve">monoclonal antibody therapy. </w:t>
      </w:r>
      <w:r w:rsidRPr="0047156E">
        <w:rPr>
          <w:rFonts w:ascii="Book Antiqua" w:eastAsia="SimSun" w:hAnsi="Book Antiqua" w:cs="SimSun"/>
          <w:i/>
          <w:iCs/>
          <w:sz w:val="24"/>
          <w:szCs w:val="24"/>
          <w:lang w:val="en-US" w:eastAsia="zh-CN"/>
        </w:rPr>
        <w:t>Cancer Res</w:t>
      </w:r>
      <w:r w:rsidRPr="0047156E">
        <w:rPr>
          <w:rFonts w:ascii="Book Antiqua" w:eastAsia="SimSun" w:hAnsi="Book Antiqua" w:cs="SimSun"/>
          <w:sz w:val="24"/>
          <w:szCs w:val="24"/>
          <w:lang w:val="en-US" w:eastAsia="zh-CN"/>
        </w:rPr>
        <w:t xml:space="preserve"> 2011; </w:t>
      </w:r>
      <w:r w:rsidRPr="0047156E">
        <w:rPr>
          <w:rFonts w:ascii="Book Antiqua" w:eastAsia="SimSun" w:hAnsi="Book Antiqua" w:cs="SimSun"/>
          <w:b/>
          <w:bCs/>
          <w:sz w:val="24"/>
          <w:szCs w:val="24"/>
          <w:lang w:val="en-US" w:eastAsia="zh-CN"/>
        </w:rPr>
        <w:t>71</w:t>
      </w:r>
      <w:r w:rsidRPr="0047156E">
        <w:rPr>
          <w:rFonts w:ascii="Book Antiqua" w:eastAsia="SimSun" w:hAnsi="Book Antiqua" w:cs="SimSun"/>
          <w:sz w:val="24"/>
          <w:szCs w:val="24"/>
          <w:lang w:val="en-US" w:eastAsia="zh-CN"/>
        </w:rPr>
        <w:t>: 445-453 [PMID: 21118963 DOI: 10.1158/0008-5472.CAN-10-3058]</w:t>
      </w:r>
    </w:p>
    <w:p w14:paraId="29B66DB5"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12</w:t>
      </w:r>
      <w:r w:rsidRPr="0047156E">
        <w:rPr>
          <w:rFonts w:ascii="Book Antiqua" w:eastAsia="SimSun" w:hAnsi="Book Antiqua" w:cs="SimSun" w:hint="eastAsia"/>
          <w:sz w:val="24"/>
          <w:szCs w:val="24"/>
          <w:lang w:val="en-US" w:eastAsia="zh-CN"/>
        </w:rPr>
        <w:t>1</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Mirzoeva OK</w:t>
      </w:r>
      <w:r w:rsidRPr="0047156E">
        <w:rPr>
          <w:rFonts w:ascii="Book Antiqua" w:eastAsia="SimSun" w:hAnsi="Book Antiqua" w:cs="SimSun"/>
          <w:sz w:val="24"/>
          <w:szCs w:val="24"/>
          <w:lang w:val="en-US" w:eastAsia="zh-CN"/>
        </w:rPr>
        <w:t xml:space="preserve">, Das D, Heiser LM, Bhattacharya S, Siwak D, Gendelman R, Bayani N, Wang NJ, Neve RM, Guan Y, Hu Z, Knight Z, Feiler HS, Gascard P, Parvin B, Spellman PT, Shokat KM, Wyrobek AJ, Bissell MJ, McCormick F, Kuo WL, Mills GB, Gray JW, Korn WM. Basal subtype and MAPK/ERK kinase (MEK)-phosphoinositide 3-kinase feedback signaling determine susceptibility of breast cancer cells to MEK inhibition. </w:t>
      </w:r>
      <w:r w:rsidRPr="0047156E">
        <w:rPr>
          <w:rFonts w:ascii="Book Antiqua" w:eastAsia="SimSun" w:hAnsi="Book Antiqua" w:cs="SimSun"/>
          <w:i/>
          <w:iCs/>
          <w:sz w:val="24"/>
          <w:szCs w:val="24"/>
          <w:lang w:val="en-US" w:eastAsia="zh-CN"/>
        </w:rPr>
        <w:t>Cancer Res</w:t>
      </w:r>
      <w:r w:rsidRPr="0047156E">
        <w:rPr>
          <w:rFonts w:ascii="Book Antiqua" w:eastAsia="SimSun" w:hAnsi="Book Antiqua" w:cs="SimSun"/>
          <w:sz w:val="24"/>
          <w:szCs w:val="24"/>
          <w:lang w:val="en-US" w:eastAsia="zh-CN"/>
        </w:rPr>
        <w:t xml:space="preserve"> 2009; </w:t>
      </w:r>
      <w:r w:rsidRPr="0047156E">
        <w:rPr>
          <w:rFonts w:ascii="Book Antiqua" w:eastAsia="SimSun" w:hAnsi="Book Antiqua" w:cs="SimSun"/>
          <w:b/>
          <w:bCs/>
          <w:sz w:val="24"/>
          <w:szCs w:val="24"/>
          <w:lang w:val="en-US" w:eastAsia="zh-CN"/>
        </w:rPr>
        <w:t>69</w:t>
      </w:r>
      <w:r w:rsidRPr="0047156E">
        <w:rPr>
          <w:rFonts w:ascii="Book Antiqua" w:eastAsia="SimSun" w:hAnsi="Book Antiqua" w:cs="SimSun"/>
          <w:sz w:val="24"/>
          <w:szCs w:val="24"/>
          <w:lang w:val="en-US" w:eastAsia="zh-CN"/>
        </w:rPr>
        <w:t>: 565-572 [PMID: 19147570 DOI: 10.1158/0008-5472.CAN-08-3389]</w:t>
      </w:r>
    </w:p>
    <w:p w14:paraId="569B8E79"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12</w:t>
      </w:r>
      <w:r w:rsidRPr="0047156E">
        <w:rPr>
          <w:rFonts w:ascii="Book Antiqua" w:eastAsia="SimSun" w:hAnsi="Book Antiqua" w:cs="SimSun" w:hint="eastAsia"/>
          <w:sz w:val="24"/>
          <w:szCs w:val="24"/>
          <w:lang w:val="en-US" w:eastAsia="zh-CN"/>
        </w:rPr>
        <w:t>2</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Wee S</w:t>
      </w:r>
      <w:r w:rsidRPr="0047156E">
        <w:rPr>
          <w:rFonts w:ascii="Book Antiqua" w:eastAsia="SimSun" w:hAnsi="Book Antiqua" w:cs="SimSun"/>
          <w:sz w:val="24"/>
          <w:szCs w:val="24"/>
          <w:lang w:val="en-US" w:eastAsia="zh-CN"/>
        </w:rPr>
        <w:t xml:space="preserve">, Jagani Z, Xiang KX, Loo A, Dorsch M, Yao YM, Sellers WR, Lengauer C, Stegmeier F. PI3K pathway activation mediates resistance to MEK inhibitors in KRAS mutant cancers. </w:t>
      </w:r>
      <w:r w:rsidRPr="0047156E">
        <w:rPr>
          <w:rFonts w:ascii="Book Antiqua" w:eastAsia="SimSun" w:hAnsi="Book Antiqua" w:cs="SimSun"/>
          <w:i/>
          <w:iCs/>
          <w:sz w:val="24"/>
          <w:szCs w:val="24"/>
          <w:lang w:val="en-US" w:eastAsia="zh-CN"/>
        </w:rPr>
        <w:t>Cancer Res</w:t>
      </w:r>
      <w:r w:rsidRPr="0047156E">
        <w:rPr>
          <w:rFonts w:ascii="Book Antiqua" w:eastAsia="SimSun" w:hAnsi="Book Antiqua" w:cs="SimSun"/>
          <w:sz w:val="24"/>
          <w:szCs w:val="24"/>
          <w:lang w:val="en-US" w:eastAsia="zh-CN"/>
        </w:rPr>
        <w:t xml:space="preserve"> 2009; </w:t>
      </w:r>
      <w:r w:rsidRPr="0047156E">
        <w:rPr>
          <w:rFonts w:ascii="Book Antiqua" w:eastAsia="SimSun" w:hAnsi="Book Antiqua" w:cs="SimSun"/>
          <w:b/>
          <w:bCs/>
          <w:sz w:val="24"/>
          <w:szCs w:val="24"/>
          <w:lang w:val="en-US" w:eastAsia="zh-CN"/>
        </w:rPr>
        <w:t>69</w:t>
      </w:r>
      <w:r w:rsidRPr="0047156E">
        <w:rPr>
          <w:rFonts w:ascii="Book Antiqua" w:eastAsia="SimSun" w:hAnsi="Book Antiqua" w:cs="SimSun"/>
          <w:sz w:val="24"/>
          <w:szCs w:val="24"/>
          <w:lang w:val="en-US" w:eastAsia="zh-CN"/>
        </w:rPr>
        <w:t>: 4286-4293 [PMID: 19401449 DOI: 10.1158/0008-5472.CAN-08-4765]</w:t>
      </w:r>
    </w:p>
    <w:p w14:paraId="28B58A01"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12</w:t>
      </w:r>
      <w:r w:rsidRPr="0047156E">
        <w:rPr>
          <w:rFonts w:ascii="Book Antiqua" w:eastAsia="SimSun" w:hAnsi="Book Antiqua" w:cs="SimSun" w:hint="eastAsia"/>
          <w:sz w:val="24"/>
          <w:szCs w:val="24"/>
          <w:lang w:val="en-US" w:eastAsia="zh-CN"/>
        </w:rPr>
        <w:t>3</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Troiani T</w:t>
      </w:r>
      <w:r w:rsidRPr="0047156E">
        <w:rPr>
          <w:rFonts w:ascii="Book Antiqua" w:eastAsia="SimSun" w:hAnsi="Book Antiqua" w:cs="SimSun"/>
          <w:sz w:val="24"/>
          <w:szCs w:val="24"/>
          <w:lang w:val="en-US" w:eastAsia="zh-CN"/>
        </w:rPr>
        <w:t xml:space="preserve">, Napolitano S, Vitagliano D, Morgillo F, Capasso A, Sforza V, Nappi A, Ciardiello D, Ciardiello F, Martinelli E. Primary and acquired resistance of colorectal cancer cells to anti-EGFR antibodies converge on MEK/ERK pathway activation and can be overcome by combined MEK/EGFR inhibition. </w:t>
      </w:r>
      <w:r w:rsidRPr="0047156E">
        <w:rPr>
          <w:rFonts w:ascii="Book Antiqua" w:eastAsia="SimSun" w:hAnsi="Book Antiqua" w:cs="SimSun"/>
          <w:i/>
          <w:iCs/>
          <w:sz w:val="24"/>
          <w:szCs w:val="24"/>
          <w:lang w:val="en-US" w:eastAsia="zh-CN"/>
        </w:rPr>
        <w:t>Clin Cancer Res</w:t>
      </w:r>
      <w:r w:rsidRPr="0047156E">
        <w:rPr>
          <w:rFonts w:ascii="Book Antiqua" w:eastAsia="SimSun" w:hAnsi="Book Antiqua" w:cs="SimSun"/>
          <w:sz w:val="24"/>
          <w:szCs w:val="24"/>
          <w:lang w:val="en-US" w:eastAsia="zh-CN"/>
        </w:rPr>
        <w:t xml:space="preserve"> 2014; </w:t>
      </w:r>
      <w:r w:rsidRPr="0047156E">
        <w:rPr>
          <w:rFonts w:ascii="Book Antiqua" w:eastAsia="SimSun" w:hAnsi="Book Antiqua" w:cs="SimSun"/>
          <w:b/>
          <w:bCs/>
          <w:sz w:val="24"/>
          <w:szCs w:val="24"/>
          <w:lang w:val="en-US" w:eastAsia="zh-CN"/>
        </w:rPr>
        <w:t>20</w:t>
      </w:r>
      <w:r w:rsidRPr="0047156E">
        <w:rPr>
          <w:rFonts w:ascii="Book Antiqua" w:eastAsia="SimSun" w:hAnsi="Book Antiqua" w:cs="SimSun"/>
          <w:sz w:val="24"/>
          <w:szCs w:val="24"/>
          <w:lang w:val="en-US" w:eastAsia="zh-CN"/>
        </w:rPr>
        <w:t>: 3775-3786 [PMID: 24812410 DOI: 10.1158/1078-0432.CCR-13-2181]</w:t>
      </w:r>
    </w:p>
    <w:p w14:paraId="577C1E3B"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12</w:t>
      </w:r>
      <w:r w:rsidRPr="0047156E">
        <w:rPr>
          <w:rFonts w:ascii="Book Antiqua" w:eastAsia="SimSun" w:hAnsi="Book Antiqua" w:cs="SimSun" w:hint="eastAsia"/>
          <w:sz w:val="24"/>
          <w:szCs w:val="24"/>
          <w:lang w:val="en-US" w:eastAsia="zh-CN"/>
        </w:rPr>
        <w:t>4</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Napolitano S</w:t>
      </w:r>
      <w:r w:rsidRPr="0047156E">
        <w:rPr>
          <w:rFonts w:ascii="Book Antiqua" w:eastAsia="SimSun" w:hAnsi="Book Antiqua" w:cs="SimSun"/>
          <w:sz w:val="24"/>
          <w:szCs w:val="24"/>
          <w:lang w:val="en-US" w:eastAsia="zh-CN"/>
        </w:rPr>
        <w:t xml:space="preserve">, Martini G, Rinaldi B, Martinelli E, Donniacuo M, Berrino L, Vitagliano D, Morgillo F, Barra G, De Palma R, Merolla F, Ciardiello F, Troiani T. Primary and Acquired Resistance of Colorectal Cancer to Anti-EGFR Monoclonal Antibody Can Be Overcome by Combined Treatment of Regorafenib with Cetuximab. </w:t>
      </w:r>
      <w:r w:rsidRPr="0047156E">
        <w:rPr>
          <w:rFonts w:ascii="Book Antiqua" w:eastAsia="SimSun" w:hAnsi="Book Antiqua" w:cs="SimSun"/>
          <w:i/>
          <w:iCs/>
          <w:sz w:val="24"/>
          <w:szCs w:val="24"/>
          <w:lang w:val="en-US" w:eastAsia="zh-CN"/>
        </w:rPr>
        <w:t>Clin Cancer Res</w:t>
      </w:r>
      <w:r w:rsidRPr="0047156E">
        <w:rPr>
          <w:rFonts w:ascii="Book Antiqua" w:eastAsia="SimSun" w:hAnsi="Book Antiqua" w:cs="SimSun"/>
          <w:sz w:val="24"/>
          <w:szCs w:val="24"/>
          <w:lang w:val="en-US" w:eastAsia="zh-CN"/>
        </w:rPr>
        <w:t xml:space="preserve"> 2015; </w:t>
      </w:r>
      <w:r w:rsidRPr="0047156E">
        <w:rPr>
          <w:rFonts w:ascii="Book Antiqua" w:eastAsia="SimSun" w:hAnsi="Book Antiqua" w:cs="SimSun"/>
          <w:b/>
          <w:bCs/>
          <w:sz w:val="24"/>
          <w:szCs w:val="24"/>
          <w:lang w:val="en-US" w:eastAsia="zh-CN"/>
        </w:rPr>
        <w:t>21</w:t>
      </w:r>
      <w:r w:rsidRPr="0047156E">
        <w:rPr>
          <w:rFonts w:ascii="Book Antiqua" w:eastAsia="SimSun" w:hAnsi="Book Antiqua" w:cs="SimSun"/>
          <w:sz w:val="24"/>
          <w:szCs w:val="24"/>
          <w:lang w:val="en-US" w:eastAsia="zh-CN"/>
        </w:rPr>
        <w:t>: 2975-2983 [PMID: 25838391 DOI: 10.1158/1078-0432.CCR-15-0020]</w:t>
      </w:r>
    </w:p>
    <w:p w14:paraId="4FA09D6B"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12</w:t>
      </w:r>
      <w:r w:rsidRPr="0047156E">
        <w:rPr>
          <w:rFonts w:ascii="Book Antiqua" w:eastAsia="SimSun" w:hAnsi="Book Antiqua" w:cs="SimSun" w:hint="eastAsia"/>
          <w:sz w:val="24"/>
          <w:szCs w:val="24"/>
          <w:lang w:val="en-US" w:eastAsia="zh-CN"/>
        </w:rPr>
        <w:t>5</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Wadlow RC</w:t>
      </w:r>
      <w:r w:rsidRPr="0047156E">
        <w:rPr>
          <w:rFonts w:ascii="Book Antiqua" w:eastAsia="SimSun" w:hAnsi="Book Antiqua" w:cs="SimSun"/>
          <w:sz w:val="24"/>
          <w:szCs w:val="24"/>
          <w:lang w:val="en-US" w:eastAsia="zh-CN"/>
        </w:rPr>
        <w:t xml:space="preserve">, Hezel AF, Abrams TA, Blaszkowsky LS, Fuchs CS, Kulke MH, Kwak EL, Meyerhardt JA, Ryan DP, Szymonifka J, Wolpin BM, Zhu AX, Clark JW. Panitumumab in patients with KRAS wild-type colorectal cancer after progression on cetuximab. </w:t>
      </w:r>
      <w:r w:rsidRPr="0047156E">
        <w:rPr>
          <w:rFonts w:ascii="Book Antiqua" w:eastAsia="SimSun" w:hAnsi="Book Antiqua" w:cs="SimSun"/>
          <w:i/>
          <w:iCs/>
          <w:sz w:val="24"/>
          <w:szCs w:val="24"/>
          <w:lang w:val="en-US" w:eastAsia="zh-CN"/>
        </w:rPr>
        <w:t>Oncologist</w:t>
      </w:r>
      <w:r w:rsidRPr="0047156E">
        <w:rPr>
          <w:rFonts w:ascii="Book Antiqua" w:eastAsia="SimSun" w:hAnsi="Book Antiqua" w:cs="SimSun"/>
          <w:sz w:val="24"/>
          <w:szCs w:val="24"/>
          <w:lang w:val="en-US" w:eastAsia="zh-CN"/>
        </w:rPr>
        <w:t xml:space="preserve"> 2012; </w:t>
      </w:r>
      <w:r w:rsidRPr="0047156E">
        <w:rPr>
          <w:rFonts w:ascii="Book Antiqua" w:eastAsia="SimSun" w:hAnsi="Book Antiqua" w:cs="SimSun"/>
          <w:b/>
          <w:bCs/>
          <w:sz w:val="24"/>
          <w:szCs w:val="24"/>
          <w:lang w:val="en-US" w:eastAsia="zh-CN"/>
        </w:rPr>
        <w:t>17</w:t>
      </w:r>
      <w:r w:rsidRPr="0047156E">
        <w:rPr>
          <w:rFonts w:ascii="Book Antiqua" w:eastAsia="SimSun" w:hAnsi="Book Antiqua" w:cs="SimSun"/>
          <w:sz w:val="24"/>
          <w:szCs w:val="24"/>
          <w:lang w:val="en-US" w:eastAsia="zh-CN"/>
        </w:rPr>
        <w:t>: 14 [PMID: 22210091 DOI: 10.1634/theoncologist.2011-0452]</w:t>
      </w:r>
    </w:p>
    <w:p w14:paraId="5FC3DF7F"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12</w:t>
      </w:r>
      <w:r w:rsidRPr="0047156E">
        <w:rPr>
          <w:rFonts w:ascii="Book Antiqua" w:eastAsia="SimSun" w:hAnsi="Book Antiqua" w:cs="SimSun" w:hint="eastAsia"/>
          <w:sz w:val="24"/>
          <w:szCs w:val="24"/>
          <w:lang w:val="en-US" w:eastAsia="zh-CN"/>
        </w:rPr>
        <w:t>6</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Saif MW</w:t>
      </w:r>
      <w:r w:rsidRPr="0047156E">
        <w:rPr>
          <w:rFonts w:ascii="Book Antiqua" w:eastAsia="SimSun" w:hAnsi="Book Antiqua" w:cs="SimSun"/>
          <w:sz w:val="24"/>
          <w:szCs w:val="24"/>
          <w:lang w:val="en-US" w:eastAsia="zh-CN"/>
        </w:rPr>
        <w:t xml:space="preserve">, Kaley K, Chu E, Copur MS. Safety and efficacy of panitumumab therapy after progression with cetuximab: experience at two institutions. </w:t>
      </w:r>
      <w:r w:rsidRPr="0047156E">
        <w:rPr>
          <w:rFonts w:ascii="Book Antiqua" w:eastAsia="SimSun" w:hAnsi="Book Antiqua" w:cs="SimSun"/>
          <w:i/>
          <w:iCs/>
          <w:sz w:val="24"/>
          <w:szCs w:val="24"/>
          <w:lang w:val="en-US" w:eastAsia="zh-CN"/>
        </w:rPr>
        <w:t>Clin Colorectal Cancer</w:t>
      </w:r>
      <w:r w:rsidRPr="0047156E">
        <w:rPr>
          <w:rFonts w:ascii="Book Antiqua" w:eastAsia="SimSun" w:hAnsi="Book Antiqua" w:cs="SimSun"/>
          <w:sz w:val="24"/>
          <w:szCs w:val="24"/>
          <w:lang w:val="en-US" w:eastAsia="zh-CN"/>
        </w:rPr>
        <w:t xml:space="preserve"> 2010; </w:t>
      </w:r>
      <w:r w:rsidRPr="0047156E">
        <w:rPr>
          <w:rFonts w:ascii="Book Antiqua" w:eastAsia="SimSun" w:hAnsi="Book Antiqua" w:cs="SimSun"/>
          <w:b/>
          <w:bCs/>
          <w:sz w:val="24"/>
          <w:szCs w:val="24"/>
          <w:lang w:val="en-US" w:eastAsia="zh-CN"/>
        </w:rPr>
        <w:t>9</w:t>
      </w:r>
      <w:r w:rsidRPr="0047156E">
        <w:rPr>
          <w:rFonts w:ascii="Book Antiqua" w:eastAsia="SimSun" w:hAnsi="Book Antiqua" w:cs="SimSun"/>
          <w:sz w:val="24"/>
          <w:szCs w:val="24"/>
          <w:lang w:val="en-US" w:eastAsia="zh-CN"/>
        </w:rPr>
        <w:t>: 315-318 [PMID: 21208847 DOI: 10.3816/CCC.2010.n.046]</w:t>
      </w:r>
    </w:p>
    <w:p w14:paraId="7861EBDE"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hint="eastAsia"/>
          <w:sz w:val="24"/>
          <w:szCs w:val="24"/>
          <w:lang w:val="en-US" w:eastAsia="zh-CN"/>
        </w:rPr>
        <w:t>127</w:t>
      </w:r>
      <w:r w:rsidRPr="0047156E">
        <w:rPr>
          <w:rFonts w:ascii="Book Antiqua" w:eastAsia="SimSun" w:hAnsi="Book Antiqua" w:cs="SimSun"/>
          <w:sz w:val="24"/>
          <w:szCs w:val="24"/>
          <w:lang w:val="en-US" w:eastAsia="zh-CN"/>
        </w:rPr>
        <w:t xml:space="preserve"> ClinicalTrials.gov Identifier: NCT02296203; NCT02316496</w:t>
      </w:r>
    </w:p>
    <w:p w14:paraId="5FA29098"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1</w:t>
      </w:r>
      <w:r w:rsidRPr="0047156E">
        <w:rPr>
          <w:rFonts w:ascii="Book Antiqua" w:eastAsia="SimSun" w:hAnsi="Book Antiqua" w:cs="SimSun" w:hint="eastAsia"/>
          <w:sz w:val="24"/>
          <w:szCs w:val="24"/>
          <w:lang w:val="en-US" w:eastAsia="zh-CN"/>
        </w:rPr>
        <w:t>28</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Ciardiello F</w:t>
      </w:r>
      <w:r w:rsidRPr="0047156E">
        <w:rPr>
          <w:rFonts w:ascii="Book Antiqua" w:eastAsia="SimSun" w:hAnsi="Book Antiqua" w:cs="SimSun"/>
          <w:sz w:val="24"/>
          <w:szCs w:val="24"/>
          <w:lang w:val="en-US" w:eastAsia="zh-CN"/>
        </w:rPr>
        <w:t xml:space="preserve">, Normanno N, Martinelli E, Troiani T, Pisconti S, Cardone C, Nappi A, Bordonaro AR, Rachiglio M, Lambiase M, Latiano TP, Modoni G, Cordio S, Giuliani F, </w:t>
      </w:r>
      <w:r w:rsidRPr="0047156E">
        <w:rPr>
          <w:rFonts w:ascii="Book Antiqua" w:eastAsia="SimSun" w:hAnsi="Book Antiqua" w:cs="SimSun"/>
          <w:sz w:val="24"/>
          <w:szCs w:val="24"/>
          <w:lang w:val="en-US" w:eastAsia="zh-CN"/>
        </w:rPr>
        <w:lastRenderedPageBreak/>
        <w:t xml:space="preserve">Biglietto M, Montesarchio V, Barone C, Tonini G, Cinieri S, Febbraro A, Rizzi D, De Vita F, Orditura M, Colucci G, Maiello E. Cetuximab continuation after first progression in metastatic colorectal cancer (CAPRI-GOIM): a randomized phase II trial of FOLFOX plus cetuximab versus FOLFOX. </w:t>
      </w:r>
      <w:r w:rsidRPr="0047156E">
        <w:rPr>
          <w:rFonts w:ascii="Book Antiqua" w:eastAsia="SimSun" w:hAnsi="Book Antiqua" w:cs="SimSun"/>
          <w:i/>
          <w:iCs/>
          <w:sz w:val="24"/>
          <w:szCs w:val="24"/>
          <w:lang w:val="en-US" w:eastAsia="zh-CN"/>
        </w:rPr>
        <w:t>Ann Oncol</w:t>
      </w:r>
      <w:r w:rsidRPr="0047156E">
        <w:rPr>
          <w:rFonts w:ascii="Book Antiqua" w:eastAsia="SimSun" w:hAnsi="Book Antiqua" w:cs="SimSun"/>
          <w:sz w:val="24"/>
          <w:szCs w:val="24"/>
          <w:lang w:val="en-US" w:eastAsia="zh-CN"/>
        </w:rPr>
        <w:t xml:space="preserve"> 2016; </w:t>
      </w:r>
      <w:r w:rsidRPr="0047156E">
        <w:rPr>
          <w:rFonts w:ascii="Book Antiqua" w:eastAsia="SimSun" w:hAnsi="Book Antiqua" w:cs="SimSun"/>
          <w:b/>
          <w:bCs/>
          <w:sz w:val="24"/>
          <w:szCs w:val="24"/>
          <w:lang w:val="en-US" w:eastAsia="zh-CN"/>
        </w:rPr>
        <w:t>27</w:t>
      </w:r>
      <w:r w:rsidRPr="0047156E">
        <w:rPr>
          <w:rFonts w:ascii="Book Antiqua" w:eastAsia="SimSun" w:hAnsi="Book Antiqua" w:cs="SimSun"/>
          <w:sz w:val="24"/>
          <w:szCs w:val="24"/>
          <w:lang w:val="en-US" w:eastAsia="zh-CN"/>
        </w:rPr>
        <w:t>: 1055-1061 [PMID: 27002107 DOI: 10.1093/annonc/mdw136]</w:t>
      </w:r>
    </w:p>
    <w:p w14:paraId="7A91F51A"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hint="eastAsia"/>
          <w:sz w:val="24"/>
          <w:szCs w:val="24"/>
          <w:lang w:val="en-US" w:eastAsia="zh-CN"/>
        </w:rPr>
        <w:t>129</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Paz-Ares LG</w:t>
      </w:r>
      <w:r w:rsidRPr="0047156E">
        <w:rPr>
          <w:rFonts w:ascii="Book Antiqua" w:eastAsia="SimSun" w:hAnsi="Book Antiqua" w:cs="SimSun"/>
          <w:sz w:val="24"/>
          <w:szCs w:val="24"/>
          <w:lang w:val="en-US" w:eastAsia="zh-CN"/>
        </w:rPr>
        <w:t xml:space="preserve">, Gomez-Roca C, Delord JP, Cervantes A, Markman B, Corral J, Soria JC, Bergé Y, Roda D, Russell-Yarde F, Hollingsworth S, Baselga J, Umana P, Manenti L, Tabernero J. Phase I pharmacokinetic and pharmacodynamic dose-escalation study of RG7160 (GA201), the first glycoengineered monoclonal antibody against the epidermal growth factor receptor, in patients with advanced solid tumors. </w:t>
      </w:r>
      <w:r w:rsidRPr="0047156E">
        <w:rPr>
          <w:rFonts w:ascii="Book Antiqua" w:eastAsia="SimSun" w:hAnsi="Book Antiqua" w:cs="SimSun"/>
          <w:i/>
          <w:iCs/>
          <w:sz w:val="24"/>
          <w:szCs w:val="24"/>
          <w:lang w:val="en-US" w:eastAsia="zh-CN"/>
        </w:rPr>
        <w:t>J Clin Oncol</w:t>
      </w:r>
      <w:r w:rsidRPr="0047156E">
        <w:rPr>
          <w:rFonts w:ascii="Book Antiqua" w:eastAsia="SimSun" w:hAnsi="Book Antiqua" w:cs="SimSun"/>
          <w:sz w:val="24"/>
          <w:szCs w:val="24"/>
          <w:lang w:val="en-US" w:eastAsia="zh-CN"/>
        </w:rPr>
        <w:t xml:space="preserve"> 2011; </w:t>
      </w:r>
      <w:r w:rsidRPr="0047156E">
        <w:rPr>
          <w:rFonts w:ascii="Book Antiqua" w:eastAsia="SimSun" w:hAnsi="Book Antiqua" w:cs="SimSun"/>
          <w:b/>
          <w:bCs/>
          <w:sz w:val="24"/>
          <w:szCs w:val="24"/>
          <w:lang w:val="en-US" w:eastAsia="zh-CN"/>
        </w:rPr>
        <w:t>29</w:t>
      </w:r>
      <w:r w:rsidRPr="0047156E">
        <w:rPr>
          <w:rFonts w:ascii="Book Antiqua" w:eastAsia="SimSun" w:hAnsi="Book Antiqua" w:cs="SimSun"/>
          <w:sz w:val="24"/>
          <w:szCs w:val="24"/>
          <w:lang w:val="en-US" w:eastAsia="zh-CN"/>
        </w:rPr>
        <w:t>: 3783-3790 [PMID: 21900113 DOI: 10.1200/JCO.2011.34.8888]</w:t>
      </w:r>
    </w:p>
    <w:p w14:paraId="4C74D723"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13</w:t>
      </w:r>
      <w:r w:rsidRPr="0047156E">
        <w:rPr>
          <w:rFonts w:ascii="Book Antiqua" w:eastAsia="SimSun" w:hAnsi="Book Antiqua" w:cs="SimSun" w:hint="eastAsia"/>
          <w:sz w:val="24"/>
          <w:szCs w:val="24"/>
          <w:lang w:val="en-US" w:eastAsia="zh-CN"/>
        </w:rPr>
        <w:t>0</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sz w:val="24"/>
          <w:szCs w:val="24"/>
          <w:lang w:val="en-US" w:eastAsia="zh-CN"/>
        </w:rPr>
        <w:t>Bridgewater JA</w:t>
      </w:r>
      <w:r w:rsidRPr="0047156E">
        <w:rPr>
          <w:rFonts w:ascii="Book Antiqua" w:eastAsia="SimSun" w:hAnsi="Book Antiqua" w:cs="SimSun"/>
          <w:sz w:val="24"/>
          <w:szCs w:val="24"/>
          <w:lang w:val="en-US" w:eastAsia="zh-CN"/>
        </w:rPr>
        <w:t xml:space="preserve">, Cervantes A, Markman B, et al. GAIN-(C): Efficacy and safety analysis of imgatuzumab (GA201), a novel dual-acting monoclonal antibody (mAb) designed to enhance antibody-dependent cellular cytotoxicity (ADCC), in combination with FOLFIRI compared to cetuximab plus FOLFIRI in second-line KRAS exon 2 wild type (e2WT) or with FOLFIRI alone in mutated (e2MT) metastatic colorectal cancer (mCRC). </w:t>
      </w:r>
      <w:r w:rsidRPr="0047156E">
        <w:rPr>
          <w:rFonts w:ascii="Book Antiqua" w:eastAsia="SimSun" w:hAnsi="Book Antiqua" w:cs="SimSun"/>
          <w:i/>
          <w:sz w:val="24"/>
          <w:szCs w:val="24"/>
          <w:lang w:val="en-US" w:eastAsia="zh-CN"/>
        </w:rPr>
        <w:t xml:space="preserve">J Clin Oncol </w:t>
      </w:r>
      <w:r w:rsidRPr="0047156E">
        <w:rPr>
          <w:rFonts w:ascii="Book Antiqua" w:eastAsia="SimSun" w:hAnsi="Book Antiqua" w:cs="SimSun"/>
          <w:sz w:val="24"/>
          <w:szCs w:val="24"/>
          <w:lang w:val="en-US" w:eastAsia="zh-CN"/>
        </w:rPr>
        <w:t xml:space="preserve">2015; </w:t>
      </w:r>
      <w:r w:rsidRPr="0047156E">
        <w:rPr>
          <w:rFonts w:ascii="Book Antiqua" w:eastAsia="SimSun" w:hAnsi="Book Antiqua" w:cs="SimSun"/>
          <w:b/>
          <w:sz w:val="24"/>
          <w:szCs w:val="24"/>
          <w:lang w:val="en-US" w:eastAsia="zh-CN"/>
        </w:rPr>
        <w:t xml:space="preserve">33 </w:t>
      </w:r>
      <w:r w:rsidRPr="0047156E">
        <w:rPr>
          <w:rFonts w:ascii="Book Antiqua" w:eastAsia="SimSun" w:hAnsi="Book Antiqua" w:cs="SimSun" w:hint="eastAsia"/>
          <w:b/>
          <w:sz w:val="24"/>
          <w:szCs w:val="24"/>
          <w:lang w:val="en-US" w:eastAsia="zh-CN"/>
        </w:rPr>
        <w:t>S</w:t>
      </w:r>
      <w:r w:rsidRPr="0047156E">
        <w:rPr>
          <w:rFonts w:ascii="Book Antiqua" w:eastAsia="SimSun" w:hAnsi="Book Antiqua" w:cs="SimSun"/>
          <w:b/>
          <w:sz w:val="24"/>
          <w:szCs w:val="24"/>
          <w:lang w:val="en-US" w:eastAsia="zh-CN"/>
        </w:rPr>
        <w:t>uppl</w:t>
      </w:r>
      <w:r w:rsidRPr="0047156E">
        <w:rPr>
          <w:rFonts w:ascii="Book Antiqua" w:eastAsia="SimSun" w:hAnsi="Book Antiqua" w:cs="SimSun"/>
          <w:sz w:val="24"/>
          <w:szCs w:val="24"/>
          <w:lang w:val="en-US" w:eastAsia="zh-CN"/>
        </w:rPr>
        <w:t>; abstr 669</w:t>
      </w:r>
    </w:p>
    <w:p w14:paraId="396E3ABF"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13</w:t>
      </w:r>
      <w:r w:rsidRPr="0047156E">
        <w:rPr>
          <w:rFonts w:ascii="Book Antiqua" w:eastAsia="SimSun" w:hAnsi="Book Antiqua" w:cs="SimSun" w:hint="eastAsia"/>
          <w:sz w:val="24"/>
          <w:szCs w:val="24"/>
          <w:lang w:val="en-US" w:eastAsia="zh-CN"/>
        </w:rPr>
        <w:t>1</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Le DT</w:t>
      </w:r>
      <w:r w:rsidRPr="0047156E">
        <w:rPr>
          <w:rFonts w:ascii="Book Antiqua" w:eastAsia="SimSun" w:hAnsi="Book Antiqua" w:cs="SimSun"/>
          <w:sz w:val="24"/>
          <w:szCs w:val="24"/>
          <w:lang w:val="en-US" w:eastAsia="zh-CN"/>
        </w:rPr>
        <w:t xml:space="preserve">, Uram JN, Wang H, Bartlett BR, Kemberling H, Eyring AD, Skora AD, Luber BS, Azad NS, Laheru D, Biedrzycki B, Donehower RC, Zaheer A, Fisher GA, Crocenzi TS, Lee JJ, Duffy SM, Goldberg RM, de la Chapelle A, Koshiji M, Bhaijee F, Huebner T, Hruban RH, Wood LD, Cuka N, Pardoll DM, Papadopoulos N, Kinzler KW, Zhou S, Cornish TC, Taube JM, Anders RA, Eshleman JR, Vogelstein B, Diaz LA. PD-1 Blockade in Tumors with Mismatch-Repair Deficiency. </w:t>
      </w:r>
      <w:r w:rsidRPr="0047156E">
        <w:rPr>
          <w:rFonts w:ascii="Book Antiqua" w:eastAsia="SimSun" w:hAnsi="Book Antiqua" w:cs="SimSun"/>
          <w:i/>
          <w:iCs/>
          <w:sz w:val="24"/>
          <w:szCs w:val="24"/>
          <w:lang w:val="en-US" w:eastAsia="zh-CN"/>
        </w:rPr>
        <w:t>N Engl J Med</w:t>
      </w:r>
      <w:r w:rsidRPr="0047156E">
        <w:rPr>
          <w:rFonts w:ascii="Book Antiqua" w:eastAsia="SimSun" w:hAnsi="Book Antiqua" w:cs="SimSun"/>
          <w:sz w:val="24"/>
          <w:szCs w:val="24"/>
          <w:lang w:val="en-US" w:eastAsia="zh-CN"/>
        </w:rPr>
        <w:t xml:space="preserve"> 2015; </w:t>
      </w:r>
      <w:r w:rsidRPr="0047156E">
        <w:rPr>
          <w:rFonts w:ascii="Book Antiqua" w:eastAsia="SimSun" w:hAnsi="Book Antiqua" w:cs="SimSun"/>
          <w:b/>
          <w:bCs/>
          <w:sz w:val="24"/>
          <w:szCs w:val="24"/>
          <w:lang w:val="en-US" w:eastAsia="zh-CN"/>
        </w:rPr>
        <w:t>372</w:t>
      </w:r>
      <w:r w:rsidRPr="0047156E">
        <w:rPr>
          <w:rFonts w:ascii="Book Antiqua" w:eastAsia="SimSun" w:hAnsi="Book Antiqua" w:cs="SimSun"/>
          <w:sz w:val="24"/>
          <w:szCs w:val="24"/>
          <w:lang w:val="en-US" w:eastAsia="zh-CN"/>
        </w:rPr>
        <w:t>: 2509-2520 [PMID: 26028255 DOI: 10.1056/NEJMoa1500596]</w:t>
      </w:r>
    </w:p>
    <w:p w14:paraId="54D093D7"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13</w:t>
      </w:r>
      <w:r w:rsidRPr="0047156E">
        <w:rPr>
          <w:rFonts w:ascii="Book Antiqua" w:eastAsia="SimSun" w:hAnsi="Book Antiqua" w:cs="SimSun" w:hint="eastAsia"/>
          <w:sz w:val="24"/>
          <w:szCs w:val="24"/>
          <w:lang w:val="en-US" w:eastAsia="zh-CN"/>
        </w:rPr>
        <w:t>2</w:t>
      </w:r>
      <w:r w:rsidRPr="0047156E">
        <w:rPr>
          <w:rFonts w:ascii="Book Antiqua" w:eastAsia="SimSun" w:hAnsi="Book Antiqua" w:cs="SimSun"/>
          <w:sz w:val="24"/>
          <w:szCs w:val="24"/>
          <w:lang w:val="en-US" w:eastAsia="zh-CN"/>
        </w:rPr>
        <w:t xml:space="preserve"> ClinicalTrials.gov Identifier: NCT02298946; NCT01375842; NCT02335918; NCT01633970; NCT01772004; NCT02227667</w:t>
      </w:r>
    </w:p>
    <w:p w14:paraId="60C492DE"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13</w:t>
      </w:r>
      <w:r w:rsidRPr="0047156E">
        <w:rPr>
          <w:rFonts w:ascii="Book Antiqua" w:eastAsia="SimSun" w:hAnsi="Book Antiqua" w:cs="SimSun" w:hint="eastAsia"/>
          <w:sz w:val="24"/>
          <w:szCs w:val="24"/>
          <w:lang w:val="en-US" w:eastAsia="zh-CN"/>
        </w:rPr>
        <w:t>3</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Perez EA</w:t>
      </w:r>
      <w:r w:rsidRPr="0047156E">
        <w:rPr>
          <w:rFonts w:ascii="Book Antiqua" w:eastAsia="SimSun" w:hAnsi="Book Antiqua" w:cs="SimSun"/>
          <w:sz w:val="24"/>
          <w:szCs w:val="24"/>
          <w:lang w:val="en-US" w:eastAsia="zh-CN"/>
        </w:rPr>
        <w:t xml:space="preserve">, Thompson EA, Ballman KV, Anderson SK, Asmann YW, Kalari KR, Eckel-Passow JE, Dueck AC, Tenner KS, Jen J, Fan JB, Geiger XJ, McCullough AE, Chen B, Jenkins RB, Sledge GW, Winer EP, Gralow JR, Reinholz MM. Genomic analysis reveals that immune function genes are strongly linked to clinical outcome in the North Central Cancer Treatment Group n9831 Adjuvant Trastuzumab Trial. </w:t>
      </w:r>
      <w:r w:rsidRPr="0047156E">
        <w:rPr>
          <w:rFonts w:ascii="Book Antiqua" w:eastAsia="SimSun" w:hAnsi="Book Antiqua" w:cs="SimSun"/>
          <w:i/>
          <w:iCs/>
          <w:sz w:val="24"/>
          <w:szCs w:val="24"/>
          <w:lang w:val="en-US" w:eastAsia="zh-CN"/>
        </w:rPr>
        <w:t>J Clin Oncol</w:t>
      </w:r>
      <w:r w:rsidRPr="0047156E">
        <w:rPr>
          <w:rFonts w:ascii="Book Antiqua" w:eastAsia="SimSun" w:hAnsi="Book Antiqua" w:cs="SimSun"/>
          <w:sz w:val="24"/>
          <w:szCs w:val="24"/>
          <w:lang w:val="en-US" w:eastAsia="zh-CN"/>
        </w:rPr>
        <w:t xml:space="preserve"> 2015; </w:t>
      </w:r>
      <w:r w:rsidRPr="0047156E">
        <w:rPr>
          <w:rFonts w:ascii="Book Antiqua" w:eastAsia="SimSun" w:hAnsi="Book Antiqua" w:cs="SimSun"/>
          <w:b/>
          <w:bCs/>
          <w:sz w:val="24"/>
          <w:szCs w:val="24"/>
          <w:lang w:val="en-US" w:eastAsia="zh-CN"/>
        </w:rPr>
        <w:t>33</w:t>
      </w:r>
      <w:r w:rsidRPr="0047156E">
        <w:rPr>
          <w:rFonts w:ascii="Book Antiqua" w:eastAsia="SimSun" w:hAnsi="Book Antiqua" w:cs="SimSun"/>
          <w:sz w:val="24"/>
          <w:szCs w:val="24"/>
          <w:lang w:val="en-US" w:eastAsia="zh-CN"/>
        </w:rPr>
        <w:t>: 701-708 [PMID: 25605861 DOI: 10.1200/]</w:t>
      </w:r>
    </w:p>
    <w:p w14:paraId="704340D6"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lastRenderedPageBreak/>
        <w:t>13</w:t>
      </w:r>
      <w:r w:rsidRPr="0047156E">
        <w:rPr>
          <w:rFonts w:ascii="Book Antiqua" w:eastAsia="SimSun" w:hAnsi="Book Antiqua" w:cs="SimSun" w:hint="eastAsia"/>
          <w:sz w:val="24"/>
          <w:szCs w:val="24"/>
          <w:lang w:val="en-US" w:eastAsia="zh-CN"/>
        </w:rPr>
        <w:t>4</w:t>
      </w:r>
      <w:r w:rsidRPr="0047156E">
        <w:rPr>
          <w:rFonts w:ascii="Book Antiqua" w:eastAsia="SimSun" w:hAnsi="Book Antiqua" w:cs="SimSun"/>
          <w:sz w:val="24"/>
          <w:szCs w:val="24"/>
          <w:lang w:val="en-US" w:eastAsia="zh-CN"/>
        </w:rPr>
        <w:t xml:space="preserve"> ClinicalTrials.gov Identifier: NCT01309126; NCT02318901</w:t>
      </w:r>
    </w:p>
    <w:p w14:paraId="5F1B4B0D" w14:textId="77777777" w:rsidR="0047156E" w:rsidRPr="0047156E" w:rsidRDefault="0047156E" w:rsidP="0047156E">
      <w:pPr>
        <w:spacing w:after="0" w:line="360" w:lineRule="auto"/>
        <w:jc w:val="both"/>
        <w:rPr>
          <w:rFonts w:ascii="Book Antiqua" w:eastAsia="SimSun" w:hAnsi="Book Antiqua" w:cs="SimSun"/>
          <w:sz w:val="24"/>
          <w:szCs w:val="24"/>
          <w:lang w:val="en-US" w:eastAsia="zh-CN"/>
        </w:rPr>
      </w:pPr>
      <w:r w:rsidRPr="0047156E">
        <w:rPr>
          <w:rFonts w:ascii="Book Antiqua" w:eastAsia="SimSun" w:hAnsi="Book Antiqua" w:cs="SimSun"/>
          <w:sz w:val="24"/>
          <w:szCs w:val="24"/>
          <w:lang w:val="en-US" w:eastAsia="zh-CN"/>
        </w:rPr>
        <w:t>13</w:t>
      </w:r>
      <w:r w:rsidRPr="0047156E">
        <w:rPr>
          <w:rFonts w:ascii="Book Antiqua" w:eastAsia="SimSun" w:hAnsi="Book Antiqua" w:cs="SimSun" w:hint="eastAsia"/>
          <w:sz w:val="24"/>
          <w:szCs w:val="24"/>
          <w:lang w:val="en-US" w:eastAsia="zh-CN"/>
        </w:rPr>
        <w:t>5</w:t>
      </w:r>
      <w:r w:rsidRPr="0047156E">
        <w:rPr>
          <w:rFonts w:ascii="Book Antiqua" w:eastAsia="SimSun" w:hAnsi="Book Antiqua" w:cs="SimSun"/>
          <w:sz w:val="24"/>
          <w:szCs w:val="24"/>
          <w:lang w:val="en-US" w:eastAsia="zh-CN"/>
        </w:rPr>
        <w:t xml:space="preserve"> </w:t>
      </w:r>
      <w:r w:rsidRPr="0047156E">
        <w:rPr>
          <w:rFonts w:ascii="Book Antiqua" w:eastAsia="SimSun" w:hAnsi="Book Antiqua" w:cs="SimSun"/>
          <w:b/>
          <w:bCs/>
          <w:sz w:val="24"/>
          <w:szCs w:val="24"/>
          <w:lang w:val="en-US" w:eastAsia="zh-CN"/>
        </w:rPr>
        <w:t>Murtaza M</w:t>
      </w:r>
      <w:r w:rsidRPr="0047156E">
        <w:rPr>
          <w:rFonts w:ascii="Book Antiqua" w:eastAsia="SimSun" w:hAnsi="Book Antiqua" w:cs="SimSun"/>
          <w:sz w:val="24"/>
          <w:szCs w:val="24"/>
          <w:lang w:val="en-US" w:eastAsia="zh-CN"/>
        </w:rPr>
        <w:t xml:space="preserve">, Dawson SJ, Tsui DW, Gale D, Forshew T, Piskorz AM, Parkinson C, Chin SF, Kingsbury Z, Wong AS, Marass F, Humphray S, Hadfield J, Bentley D, Chin TM, Brenton JD, Caldas C, Rosenfeld N. Non-invasive analysis of acquired resistance to cancer therapy by sequencing of plasma DNA. </w:t>
      </w:r>
      <w:r w:rsidRPr="0047156E">
        <w:rPr>
          <w:rFonts w:ascii="Book Antiqua" w:eastAsia="SimSun" w:hAnsi="Book Antiqua" w:cs="SimSun"/>
          <w:i/>
          <w:iCs/>
          <w:sz w:val="24"/>
          <w:szCs w:val="24"/>
          <w:lang w:val="en-US" w:eastAsia="zh-CN"/>
        </w:rPr>
        <w:t>Nature</w:t>
      </w:r>
      <w:r w:rsidRPr="0047156E">
        <w:rPr>
          <w:rFonts w:ascii="Book Antiqua" w:eastAsia="SimSun" w:hAnsi="Book Antiqua" w:cs="SimSun"/>
          <w:sz w:val="24"/>
          <w:szCs w:val="24"/>
          <w:lang w:val="en-US" w:eastAsia="zh-CN"/>
        </w:rPr>
        <w:t xml:space="preserve"> 2013; </w:t>
      </w:r>
      <w:r w:rsidRPr="0047156E">
        <w:rPr>
          <w:rFonts w:ascii="Book Antiqua" w:eastAsia="SimSun" w:hAnsi="Book Antiqua" w:cs="SimSun"/>
          <w:b/>
          <w:bCs/>
          <w:sz w:val="24"/>
          <w:szCs w:val="24"/>
          <w:lang w:val="en-US" w:eastAsia="zh-CN"/>
        </w:rPr>
        <w:t>497</w:t>
      </w:r>
      <w:r w:rsidRPr="0047156E">
        <w:rPr>
          <w:rFonts w:ascii="Book Antiqua" w:eastAsia="SimSun" w:hAnsi="Book Antiqua" w:cs="SimSun"/>
          <w:sz w:val="24"/>
          <w:szCs w:val="24"/>
          <w:lang w:val="en-US" w:eastAsia="zh-CN"/>
        </w:rPr>
        <w:t>: 108-112 [PMID: 23563269 DOI: 10.1038/nature12065]</w:t>
      </w:r>
    </w:p>
    <w:p w14:paraId="08DA4A77" w14:textId="0C728A8C" w:rsidR="00DA1BA0" w:rsidRPr="00EE48E2" w:rsidRDefault="00DA1BA0" w:rsidP="00DA1BA0">
      <w:pPr>
        <w:wordWrap w:val="0"/>
        <w:spacing w:line="360" w:lineRule="auto"/>
        <w:ind w:left="361" w:hangingChars="150" w:hanging="361"/>
        <w:jc w:val="right"/>
        <w:rPr>
          <w:rFonts w:ascii="Book Antiqua" w:hAnsi="Book Antiqua"/>
          <w:sz w:val="24"/>
        </w:rPr>
      </w:pPr>
      <w:bookmarkStart w:id="460" w:name="OLE_LINK51"/>
      <w:bookmarkStart w:id="461" w:name="OLE_LINK75"/>
      <w:bookmarkStart w:id="462" w:name="OLE_LINK120"/>
      <w:bookmarkStart w:id="463" w:name="OLE_LINK148"/>
      <w:bookmarkStart w:id="464" w:name="OLE_LINK72"/>
      <w:bookmarkStart w:id="465" w:name="OLE_LINK112"/>
      <w:bookmarkStart w:id="466" w:name="OLE_LINK320"/>
      <w:bookmarkStart w:id="467" w:name="OLE_LINK387"/>
      <w:bookmarkStart w:id="468" w:name="OLE_LINK183"/>
      <w:bookmarkStart w:id="469" w:name="OLE_LINK254"/>
      <w:bookmarkStart w:id="470" w:name="OLE_LINK149"/>
      <w:bookmarkStart w:id="471" w:name="OLE_LINK225"/>
      <w:bookmarkStart w:id="472" w:name="OLE_LINK207"/>
      <w:bookmarkStart w:id="473" w:name="OLE_LINK226"/>
      <w:bookmarkStart w:id="474" w:name="OLE_LINK212"/>
      <w:bookmarkStart w:id="475" w:name="OLE_LINK250"/>
      <w:bookmarkStart w:id="476" w:name="OLE_LINK281"/>
      <w:bookmarkStart w:id="477" w:name="OLE_LINK240"/>
      <w:bookmarkStart w:id="478" w:name="OLE_LINK282"/>
      <w:bookmarkStart w:id="479" w:name="OLE_LINK313"/>
      <w:bookmarkStart w:id="480" w:name="OLE_LINK304"/>
      <w:bookmarkStart w:id="481" w:name="OLE_LINK321"/>
      <w:bookmarkStart w:id="482" w:name="OLE_LINK385"/>
      <w:bookmarkStart w:id="483" w:name="OLE_LINK400"/>
      <w:bookmarkStart w:id="484" w:name="OLE_LINK346"/>
      <w:bookmarkStart w:id="485" w:name="OLE_LINK371"/>
      <w:bookmarkStart w:id="486" w:name="OLE_LINK334"/>
      <w:bookmarkStart w:id="487" w:name="OLE_LINK1830"/>
      <w:bookmarkStart w:id="488" w:name="OLE_LINK457"/>
      <w:bookmarkStart w:id="489" w:name="OLE_LINK288"/>
      <w:bookmarkStart w:id="490" w:name="OLE_LINK384"/>
      <w:bookmarkStart w:id="491" w:name="OLE_LINK379"/>
      <w:bookmarkStart w:id="492" w:name="OLE_LINK303"/>
      <w:bookmarkStart w:id="493" w:name="OLE_LINK450"/>
      <w:bookmarkStart w:id="494" w:name="OLE_LINK489"/>
      <w:bookmarkStart w:id="495" w:name="OLE_LINK535"/>
      <w:bookmarkStart w:id="496" w:name="OLE_LINK648"/>
      <w:bookmarkStart w:id="497" w:name="OLE_LINK686"/>
      <w:bookmarkStart w:id="498" w:name="OLE_LINK430"/>
      <w:bookmarkStart w:id="499" w:name="OLE_LINK471"/>
      <w:bookmarkStart w:id="500" w:name="OLE_LINK462"/>
      <w:bookmarkStart w:id="501" w:name="OLE_LINK519"/>
      <w:bookmarkStart w:id="502" w:name="OLE_LINK575"/>
      <w:bookmarkStart w:id="503" w:name="OLE_LINK491"/>
      <w:bookmarkStart w:id="504" w:name="OLE_LINK532"/>
      <w:bookmarkStart w:id="505" w:name="OLE_LINK572"/>
      <w:bookmarkStart w:id="506" w:name="OLE_LINK574"/>
      <w:bookmarkStart w:id="507" w:name="OLE_LINK480"/>
      <w:bookmarkStart w:id="508" w:name="OLE_LINK567"/>
      <w:bookmarkStart w:id="509" w:name="OLE_LINK2700"/>
      <w:bookmarkStart w:id="510" w:name="OLE_LINK581"/>
      <w:bookmarkStart w:id="511" w:name="OLE_LINK639"/>
      <w:bookmarkStart w:id="512" w:name="OLE_LINK688"/>
      <w:bookmarkStart w:id="513" w:name="OLE_LINK722"/>
      <w:bookmarkStart w:id="514" w:name="OLE_LINK542"/>
      <w:bookmarkStart w:id="515" w:name="OLE_LINK589"/>
      <w:bookmarkStart w:id="516" w:name="OLE_LINK582"/>
      <w:bookmarkStart w:id="517" w:name="OLE_LINK640"/>
      <w:bookmarkStart w:id="518" w:name="OLE_LINK714"/>
      <w:bookmarkStart w:id="519" w:name="OLE_LINK593"/>
      <w:bookmarkStart w:id="520" w:name="OLE_LINK716"/>
      <w:bookmarkStart w:id="521" w:name="OLE_LINK770"/>
      <w:bookmarkStart w:id="522" w:name="OLE_LINK801"/>
      <w:bookmarkStart w:id="523" w:name="OLE_LINK660"/>
      <w:bookmarkStart w:id="524" w:name="OLE_LINK739"/>
      <w:bookmarkStart w:id="525" w:name="OLE_LINK781"/>
      <w:bookmarkStart w:id="526" w:name="OLE_LINK833"/>
      <w:bookmarkStart w:id="527" w:name="OLE_LINK642"/>
      <w:bookmarkStart w:id="528" w:name="OLE_LINK700"/>
      <w:bookmarkStart w:id="529" w:name="OLE_LINK792"/>
      <w:bookmarkStart w:id="530" w:name="OLE_LINK2882"/>
      <w:bookmarkStart w:id="531" w:name="OLE_LINK836"/>
      <w:bookmarkStart w:id="532" w:name="OLE_LINK889"/>
      <w:bookmarkStart w:id="533" w:name="OLE_LINK782"/>
      <w:bookmarkStart w:id="534" w:name="OLE_LINK826"/>
      <w:bookmarkStart w:id="535" w:name="OLE_LINK865"/>
      <w:bookmarkStart w:id="536" w:name="OLE_LINK2898"/>
      <w:bookmarkStart w:id="537" w:name="OLE_LINK856"/>
      <w:bookmarkStart w:id="538" w:name="OLE_LINK908"/>
      <w:bookmarkStart w:id="539" w:name="OLE_LINK980"/>
      <w:bookmarkStart w:id="540" w:name="OLE_LINK1018"/>
      <w:bookmarkStart w:id="541" w:name="OLE_LINK1049"/>
      <w:bookmarkStart w:id="542" w:name="OLE_LINK1076"/>
      <w:bookmarkStart w:id="543" w:name="OLE_LINK1106"/>
      <w:bookmarkStart w:id="544" w:name="OLE_LINK891"/>
      <w:bookmarkStart w:id="545" w:name="OLE_LINK943"/>
      <w:bookmarkStart w:id="546" w:name="OLE_LINK981"/>
      <w:bookmarkStart w:id="547" w:name="OLE_LINK1030"/>
      <w:bookmarkStart w:id="548" w:name="OLE_LINK847"/>
      <w:bookmarkStart w:id="549" w:name="OLE_LINK909"/>
      <w:bookmarkStart w:id="550" w:name="OLE_LINK898"/>
      <w:bookmarkStart w:id="551" w:name="OLE_LINK906"/>
      <w:bookmarkStart w:id="552" w:name="OLE_LINK992"/>
      <w:bookmarkStart w:id="553" w:name="OLE_LINK993"/>
      <w:bookmarkStart w:id="554" w:name="OLE_LINK1052"/>
      <w:bookmarkStart w:id="555" w:name="OLE_LINK946"/>
      <w:bookmarkStart w:id="556" w:name="OLE_LINK911"/>
      <w:bookmarkStart w:id="557" w:name="OLE_LINK930"/>
      <w:bookmarkStart w:id="558" w:name="OLE_LINK1059"/>
      <w:bookmarkStart w:id="559" w:name="OLE_LINK1137"/>
      <w:bookmarkStart w:id="560" w:name="OLE_LINK1167"/>
      <w:bookmarkStart w:id="561" w:name="OLE_LINK1200"/>
      <w:bookmarkStart w:id="562" w:name="OLE_LINK1241"/>
      <w:bookmarkStart w:id="563" w:name="OLE_LINK1288"/>
      <w:bookmarkStart w:id="564" w:name="OLE_LINK1056"/>
      <w:bookmarkStart w:id="565" w:name="OLE_LINK1158"/>
      <w:bookmarkStart w:id="566" w:name="OLE_LINK1175"/>
      <w:bookmarkStart w:id="567" w:name="OLE_LINK1074"/>
      <w:bookmarkStart w:id="568" w:name="OLE_LINK1169"/>
      <w:bookmarkStart w:id="569" w:name="OLE_LINK1060"/>
      <w:bookmarkStart w:id="570" w:name="OLE_LINK1185"/>
      <w:bookmarkStart w:id="571" w:name="OLE_LINK1172"/>
      <w:bookmarkStart w:id="572" w:name="OLE_LINK1176"/>
      <w:bookmarkStart w:id="573" w:name="OLE_LINK1373"/>
      <w:bookmarkStart w:id="574" w:name="OLE_LINK1410"/>
      <w:bookmarkStart w:id="575" w:name="OLE_LINK1448"/>
      <w:bookmarkStart w:id="576" w:name="OLE_LINK1492"/>
      <w:bookmarkStart w:id="577" w:name="OLE_LINK1530"/>
      <w:bookmarkStart w:id="578" w:name="OLE_LINK1585"/>
      <w:bookmarkStart w:id="579" w:name="OLE_LINK1622"/>
      <w:bookmarkStart w:id="580" w:name="OLE_LINK1661"/>
      <w:bookmarkStart w:id="581" w:name="OLE_LINK1691"/>
      <w:bookmarkStart w:id="582" w:name="OLE_LINK1349"/>
      <w:bookmarkStart w:id="583" w:name="OLE_LINK1343"/>
      <w:bookmarkStart w:id="584" w:name="OLE_LINK1462"/>
      <w:bookmarkStart w:id="585" w:name="OLE_LINK1531"/>
      <w:bookmarkStart w:id="586" w:name="OLE_LINK1344"/>
      <w:bookmarkStart w:id="587" w:name="OLE_LINK1384"/>
      <w:bookmarkStart w:id="588" w:name="OLE_LINK1457"/>
      <w:bookmarkStart w:id="589" w:name="OLE_LINK1500"/>
      <w:bookmarkStart w:id="590" w:name="OLE_LINK1591"/>
      <w:bookmarkStart w:id="591" w:name="OLE_LINK1370"/>
      <w:bookmarkStart w:id="592" w:name="OLE_LINK1443"/>
      <w:bookmarkStart w:id="593" w:name="OLE_LINK1472"/>
      <w:bookmarkStart w:id="594" w:name="OLE_LINK1503"/>
      <w:bookmarkStart w:id="595" w:name="OLE_LINK1390"/>
      <w:bookmarkStart w:id="596" w:name="OLE_LINK1490"/>
      <w:bookmarkStart w:id="597" w:name="OLE_LINK1576"/>
      <w:bookmarkStart w:id="598" w:name="OLE_LINK1618"/>
      <w:bookmarkStart w:id="599" w:name="OLE_LINK1650"/>
      <w:bookmarkStart w:id="600" w:name="OLE_LINK1721"/>
      <w:bookmarkStart w:id="601" w:name="OLE_LINK1565"/>
      <w:bookmarkStart w:id="602" w:name="OLE_LINK1619"/>
      <w:bookmarkStart w:id="603" w:name="OLE_LINK1671"/>
      <w:bookmarkStart w:id="604" w:name="OLE_LINK1716"/>
      <w:bookmarkStart w:id="605" w:name="OLE_LINK1761"/>
      <w:bookmarkStart w:id="606" w:name="OLE_LINK1586"/>
      <w:bookmarkStart w:id="607" w:name="OLE_LINK1593"/>
      <w:bookmarkStart w:id="608" w:name="OLE_LINK1630"/>
      <w:bookmarkStart w:id="609" w:name="OLE_LINK1699"/>
      <w:bookmarkStart w:id="610" w:name="OLE_LINK1736"/>
      <w:bookmarkStart w:id="611" w:name="OLE_LINK1792"/>
      <w:bookmarkStart w:id="612" w:name="OLE_LINK1825"/>
      <w:bookmarkStart w:id="613" w:name="OLE_LINK1865"/>
      <w:bookmarkStart w:id="614" w:name="OLE_LINK1692"/>
      <w:bookmarkStart w:id="615" w:name="OLE_LINK1808"/>
      <w:bookmarkStart w:id="616" w:name="OLE_LINK1862"/>
      <w:bookmarkStart w:id="617" w:name="OLE_LINK1859"/>
      <w:bookmarkStart w:id="618" w:name="OLE_LINK1901"/>
      <w:bookmarkStart w:id="619" w:name="OLE_LINK1939"/>
      <w:bookmarkStart w:id="620" w:name="OLE_LINK1977"/>
      <w:bookmarkStart w:id="621" w:name="OLE_LINK1841"/>
      <w:bookmarkStart w:id="622" w:name="OLE_LINK1879"/>
      <w:bookmarkStart w:id="623" w:name="OLE_LINK1916"/>
      <w:bookmarkStart w:id="624" w:name="OLE_LINK1960"/>
      <w:bookmarkStart w:id="625" w:name="OLE_LINK1834"/>
      <w:bookmarkStart w:id="626" w:name="OLE_LINK2027"/>
      <w:bookmarkStart w:id="627" w:name="OLE_LINK2056"/>
      <w:bookmarkStart w:id="628" w:name="OLE_LINK1870"/>
      <w:bookmarkStart w:id="629" w:name="OLE_LINK1883"/>
      <w:bookmarkStart w:id="630" w:name="OLE_LINK1890"/>
      <w:bookmarkStart w:id="631" w:name="OLE_LINK1922"/>
      <w:bookmarkStart w:id="632" w:name="OLE_LINK1943"/>
      <w:bookmarkStart w:id="633" w:name="OLE_LINK1970"/>
      <w:bookmarkStart w:id="634" w:name="OLE_LINK1983"/>
      <w:bookmarkStart w:id="635" w:name="OLE_LINK2031"/>
      <w:bookmarkStart w:id="636" w:name="OLE_LINK2066"/>
      <w:bookmarkStart w:id="637" w:name="OLE_LINK2094"/>
      <w:bookmarkStart w:id="638" w:name="OLE_LINK2136"/>
      <w:bookmarkStart w:id="639" w:name="OLE_LINK2192"/>
      <w:bookmarkStart w:id="640" w:name="OLE_LINK1984"/>
      <w:bookmarkStart w:id="641" w:name="OLE_LINK2040"/>
      <w:bookmarkStart w:id="642" w:name="OLE_LINK2087"/>
      <w:bookmarkStart w:id="643" w:name="OLE_LINK2131"/>
      <w:bookmarkStart w:id="644" w:name="OLE_LINK2167"/>
      <w:bookmarkStart w:id="645" w:name="OLE_LINK2211"/>
      <w:bookmarkStart w:id="646" w:name="OLE_LINK2265"/>
      <w:bookmarkStart w:id="647" w:name="OLE_LINK2274"/>
      <w:bookmarkStart w:id="648" w:name="OLE_LINK2071"/>
      <w:bookmarkStart w:id="649" w:name="OLE_LINK3320"/>
      <w:bookmarkStart w:id="650" w:name="OLE_LINK3374"/>
      <w:bookmarkStart w:id="651" w:name="OLE_LINK3410"/>
      <w:bookmarkStart w:id="652" w:name="OLE_LINK1997"/>
      <w:bookmarkStart w:id="653" w:name="OLE_LINK2043"/>
      <w:bookmarkStart w:id="654" w:name="OLE_LINK2041"/>
      <w:bookmarkStart w:id="655" w:name="OLE_LINK2133"/>
      <w:bookmarkStart w:id="656" w:name="OLE_LINK2181"/>
      <w:bookmarkStart w:id="657" w:name="OLE_LINK2101"/>
      <w:bookmarkStart w:id="658" w:name="OLE_LINK2128"/>
      <w:bookmarkStart w:id="659" w:name="OLE_LINK3357"/>
      <w:bookmarkStart w:id="660" w:name="OLE_LINK2139"/>
      <w:bookmarkStart w:id="661" w:name="OLE_LINK2219"/>
      <w:bookmarkStart w:id="662" w:name="OLE_LINK2248"/>
      <w:bookmarkStart w:id="663" w:name="OLE_LINK2281"/>
      <w:bookmarkStart w:id="664" w:name="OLE_LINK2294"/>
      <w:bookmarkStart w:id="665" w:name="OLE_LINK2395"/>
      <w:bookmarkStart w:id="666" w:name="OLE_LINK2148"/>
      <w:bookmarkStart w:id="667" w:name="OLE_LINK2236"/>
      <w:bookmarkStart w:id="668" w:name="OLE_LINK2354"/>
      <w:bookmarkStart w:id="669" w:name="OLE_LINK2273"/>
      <w:bookmarkStart w:id="670" w:name="OLE_LINK2314"/>
      <w:bookmarkStart w:id="671" w:name="OLE_LINK2240"/>
      <w:bookmarkStart w:id="672" w:name="OLE_LINK2290"/>
      <w:bookmarkStart w:id="673" w:name="OLE_LINK2330"/>
      <w:bookmarkStart w:id="674" w:name="OLE_LINK2402"/>
      <w:bookmarkStart w:id="675" w:name="OLE_LINK2432"/>
      <w:bookmarkStart w:id="676" w:name="OLE_LINK2336"/>
      <w:bookmarkStart w:id="677" w:name="OLE_LINK2369"/>
      <w:bookmarkStart w:id="678" w:name="OLE_LINK2427"/>
      <w:bookmarkStart w:id="679" w:name="OLE_LINK2370"/>
      <w:bookmarkStart w:id="680" w:name="OLE_LINK2474"/>
      <w:bookmarkStart w:id="681" w:name="OLE_LINK2382"/>
      <w:bookmarkStart w:id="682" w:name="OLE_LINK2476"/>
      <w:bookmarkStart w:id="683" w:name="OLE_LINK2532"/>
      <w:bookmarkStart w:id="684" w:name="OLE_LINK2471"/>
      <w:bookmarkStart w:id="685" w:name="OLE_LINK2483"/>
      <w:bookmarkStart w:id="686" w:name="OLE_LINK2511"/>
      <w:bookmarkStart w:id="687" w:name="OLE_LINK2583"/>
      <w:bookmarkStart w:id="688" w:name="OLE_LINK2615"/>
      <w:bookmarkStart w:id="689" w:name="OLE_LINK2554"/>
      <w:bookmarkStart w:id="690" w:name="OLE_LINK2528"/>
      <w:bookmarkStart w:id="691" w:name="OLE_LINK2555"/>
      <w:bookmarkStart w:id="692" w:name="OLE_LINK2537"/>
      <w:bookmarkStart w:id="693" w:name="OLE_LINK2550"/>
      <w:bookmarkStart w:id="694" w:name="OLE_LINK2594"/>
      <w:bookmarkStart w:id="695" w:name="OLE_LINK2589"/>
      <w:bookmarkStart w:id="696" w:name="OLE_LINK2648"/>
      <w:bookmarkStart w:id="697" w:name="OLE_LINK2669"/>
      <w:bookmarkStart w:id="698" w:name="OLE_LINK2567"/>
      <w:bookmarkStart w:id="699" w:name="OLE_LINK2593"/>
      <w:bookmarkStart w:id="700" w:name="OLE_LINK2629"/>
      <w:bookmarkStart w:id="701" w:name="OLE_LINK2678"/>
      <w:bookmarkStart w:id="702" w:name="OLE_LINK2703"/>
      <w:bookmarkStart w:id="703" w:name="OLE_LINK2739"/>
      <w:bookmarkStart w:id="704" w:name="OLE_LINK2757"/>
      <w:bookmarkStart w:id="705" w:name="OLE_LINK3464"/>
      <w:bookmarkStart w:id="706" w:name="OLE_LINK3508"/>
      <w:bookmarkStart w:id="707" w:name="OLE_LINK2779"/>
      <w:bookmarkStart w:id="708" w:name="OLE_LINK2724"/>
      <w:bookmarkStart w:id="709" w:name="OLE_LINK2733"/>
      <w:bookmarkStart w:id="710" w:name="OLE_LINK2744"/>
      <w:bookmarkStart w:id="711" w:name="OLE_LINK2777"/>
      <w:bookmarkStart w:id="712" w:name="OLE_LINK2858"/>
      <w:bookmarkStart w:id="713" w:name="OLE_LINK2834"/>
      <w:bookmarkStart w:id="714" w:name="OLE_LINK2864"/>
      <w:bookmarkStart w:id="715" w:name="OLE_LINK3467"/>
      <w:bookmarkStart w:id="716" w:name="OLE_LINK2846"/>
      <w:bookmarkStart w:id="717" w:name="OLE_LINK2893"/>
      <w:bookmarkStart w:id="718" w:name="OLE_LINK2837"/>
      <w:bookmarkStart w:id="719" w:name="OLE_LINK2853"/>
      <w:bookmarkStart w:id="720" w:name="OLE_LINK2889"/>
      <w:bookmarkStart w:id="721" w:name="OLE_LINK2915"/>
      <w:bookmarkStart w:id="722" w:name="OLE_LINK2938"/>
      <w:bookmarkStart w:id="723" w:name="OLE_LINK2920"/>
      <w:bookmarkStart w:id="724" w:name="OLE_LINK2954"/>
      <w:bookmarkStart w:id="725" w:name="OLE_LINK2986"/>
      <w:bookmarkStart w:id="726" w:name="OLE_LINK3031"/>
      <w:bookmarkStart w:id="727" w:name="OLE_LINK3506"/>
      <w:bookmarkStart w:id="728" w:name="OLE_LINK2953"/>
      <w:bookmarkStart w:id="729" w:name="OLE_LINK2972"/>
      <w:bookmarkStart w:id="730" w:name="OLE_LINK3020"/>
      <w:bookmarkStart w:id="731" w:name="OLE_LINK3067"/>
      <w:bookmarkStart w:id="732" w:name="OLE_LINK3108"/>
      <w:bookmarkStart w:id="733" w:name="OLE_LINK3135"/>
      <w:bookmarkStart w:id="734" w:name="OLE_LINK3015"/>
      <w:bookmarkStart w:id="735" w:name="OLE_LINK3032"/>
      <w:bookmarkStart w:id="736" w:name="OLE_LINK3039"/>
      <w:bookmarkStart w:id="737" w:name="OLE_LINK3059"/>
      <w:bookmarkStart w:id="738" w:name="OLE_LINK3065"/>
      <w:bookmarkStart w:id="739" w:name="OLE_LINK3071"/>
      <w:bookmarkStart w:id="740" w:name="OLE_LINK3089"/>
      <w:bookmarkStart w:id="741" w:name="OLE_LINK3114"/>
      <w:bookmarkStart w:id="742" w:name="OLE_LINK3142"/>
      <w:bookmarkStart w:id="743" w:name="OLE_LINK3118"/>
      <w:bookmarkStart w:id="744" w:name="OLE_LINK3160"/>
      <w:bookmarkStart w:id="745" w:name="OLE_LINK3192"/>
      <w:bookmarkStart w:id="746" w:name="OLE_LINK3186"/>
      <w:bookmarkStart w:id="747" w:name="OLE_LINK3184"/>
      <w:bookmarkStart w:id="748" w:name="OLE_LINK3218"/>
      <w:bookmarkStart w:id="749" w:name="OLE_LINK3219"/>
      <w:bookmarkStart w:id="750" w:name="OLE_LINK3248"/>
      <w:bookmarkStart w:id="751" w:name="OLE_LINK3380"/>
      <w:bookmarkStart w:id="752" w:name="OLE_LINK3187"/>
      <w:bookmarkStart w:id="753" w:name="OLE_LINK3245"/>
      <w:bookmarkStart w:id="754" w:name="OLE_LINK3263"/>
      <w:bookmarkStart w:id="755" w:name="OLE_LINK3264"/>
      <w:bookmarkEnd w:id="459"/>
      <w:r w:rsidRPr="00EE48E2">
        <w:rPr>
          <w:rFonts w:ascii="Book Antiqua" w:hAnsi="Book Antiqua"/>
          <w:b/>
          <w:bCs/>
          <w:sz w:val="24"/>
        </w:rPr>
        <w:t xml:space="preserve">P-Reviewer: </w:t>
      </w:r>
      <w:r w:rsidRPr="00EE48E2">
        <w:rPr>
          <w:rFonts w:ascii="Book Antiqua" w:hAnsi="Book Antiqua"/>
          <w:bCs/>
          <w:sz w:val="24"/>
        </w:rPr>
        <w:t>Hu FL</w:t>
      </w:r>
      <w:r w:rsidRPr="00EE48E2">
        <w:rPr>
          <w:rFonts w:ascii="Book Antiqua" w:hAnsi="Book Antiqua" w:hint="eastAsia"/>
          <w:bCs/>
          <w:sz w:val="24"/>
          <w:lang w:eastAsia="zh-CN"/>
        </w:rPr>
        <w:t xml:space="preserve">, </w:t>
      </w:r>
      <w:r w:rsidRPr="00EE48E2">
        <w:rPr>
          <w:rFonts w:ascii="Book Antiqua" w:hAnsi="Book Antiqua"/>
          <w:bCs/>
          <w:sz w:val="24"/>
        </w:rPr>
        <w:t>Sinagra E</w:t>
      </w:r>
      <w:r w:rsidRPr="00EE48E2">
        <w:rPr>
          <w:rFonts w:ascii="Book Antiqua" w:hAnsi="Book Antiqua" w:hint="eastAsia"/>
          <w:bCs/>
          <w:sz w:val="24"/>
          <w:lang w:eastAsia="zh-CN"/>
        </w:rPr>
        <w:t xml:space="preserve">, </w:t>
      </w:r>
      <w:r w:rsidRPr="00EE48E2">
        <w:rPr>
          <w:rFonts w:ascii="Book Antiqua" w:hAnsi="Book Antiqua"/>
          <w:bCs/>
          <w:sz w:val="24"/>
        </w:rPr>
        <w:t>Valladares-Ayerbes</w:t>
      </w:r>
      <w:r w:rsidRPr="00EE48E2">
        <w:rPr>
          <w:rFonts w:ascii="Book Antiqua" w:hAnsi="Book Antiqua" w:hint="eastAsia"/>
          <w:bCs/>
          <w:sz w:val="24"/>
          <w:lang w:eastAsia="zh-CN"/>
        </w:rPr>
        <w:t xml:space="preserve"> </w:t>
      </w:r>
      <w:r w:rsidRPr="00EE48E2">
        <w:rPr>
          <w:rFonts w:ascii="Book Antiqua" w:hAnsi="Book Antiqua"/>
          <w:bCs/>
          <w:sz w:val="24"/>
        </w:rPr>
        <w:t xml:space="preserve">M </w:t>
      </w:r>
      <w:r w:rsidRPr="00EE48E2">
        <w:rPr>
          <w:rFonts w:ascii="Book Antiqua" w:hAnsi="Book Antiqua"/>
          <w:b/>
          <w:bCs/>
          <w:sz w:val="24"/>
        </w:rPr>
        <w:t>S-Editor:</w:t>
      </w:r>
      <w:r w:rsidRPr="00EE48E2">
        <w:rPr>
          <w:rFonts w:ascii="Book Antiqua" w:hAnsi="Book Antiqua"/>
          <w:sz w:val="24"/>
        </w:rPr>
        <w:t xml:space="preserve"> </w:t>
      </w:r>
      <w:r w:rsidRPr="00EE48E2">
        <w:rPr>
          <w:rFonts w:ascii="Book Antiqua" w:hAnsi="Book Antiqua" w:hint="eastAsia"/>
          <w:sz w:val="24"/>
        </w:rPr>
        <w:t>Yu J</w:t>
      </w:r>
      <w:r w:rsidRPr="00EE48E2">
        <w:rPr>
          <w:rFonts w:ascii="Book Antiqua" w:hAnsi="Book Antiqua"/>
          <w:sz w:val="24"/>
        </w:rPr>
        <w:t xml:space="preserve"> </w:t>
      </w:r>
      <w:r w:rsidRPr="00EE48E2">
        <w:rPr>
          <w:rFonts w:ascii="Book Antiqua" w:hAnsi="Book Antiqua"/>
          <w:b/>
          <w:bCs/>
          <w:sz w:val="24"/>
        </w:rPr>
        <w:t>L-Editor:</w:t>
      </w:r>
      <w:r w:rsidR="00EE48E2" w:rsidRPr="00EE48E2">
        <w:rPr>
          <w:rFonts w:ascii="Book Antiqua" w:hAnsi="Book Antiqua"/>
          <w:sz w:val="24"/>
        </w:rPr>
        <w:t xml:space="preserve"> </w:t>
      </w:r>
      <w:r w:rsidRPr="00EE48E2">
        <w:rPr>
          <w:rFonts w:ascii="Book Antiqua" w:hAnsi="Book Antiqua"/>
          <w:b/>
          <w:bCs/>
          <w:sz w:val="24"/>
        </w:rPr>
        <w:t>E-Editor:</w:t>
      </w:r>
    </w:p>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p w14:paraId="7B509175" w14:textId="37CC245D" w:rsidR="00145EE3" w:rsidRPr="00EE48E2" w:rsidRDefault="00145EE3" w:rsidP="004D1833">
      <w:pPr>
        <w:adjustRightInd w:val="0"/>
        <w:snapToGrid w:val="0"/>
        <w:spacing w:after="0" w:line="360" w:lineRule="auto"/>
        <w:jc w:val="both"/>
        <w:rPr>
          <w:rFonts w:ascii="Book Antiqua" w:hAnsi="Book Antiqua"/>
          <w:sz w:val="24"/>
          <w:szCs w:val="24"/>
        </w:rPr>
      </w:pPr>
    </w:p>
    <w:bookmarkEnd w:id="754"/>
    <w:bookmarkEnd w:id="755"/>
    <w:p w14:paraId="2D9BC32D" w14:textId="77777777" w:rsidR="00145EE3" w:rsidRPr="000854ED" w:rsidRDefault="00145EE3" w:rsidP="004D1833">
      <w:pPr>
        <w:adjustRightInd w:val="0"/>
        <w:snapToGrid w:val="0"/>
        <w:spacing w:after="0" w:line="360" w:lineRule="auto"/>
        <w:jc w:val="both"/>
        <w:rPr>
          <w:rFonts w:ascii="Book Antiqua" w:hAnsi="Book Antiqua"/>
          <w:sz w:val="24"/>
          <w:szCs w:val="24"/>
          <w:lang w:val="en-US"/>
        </w:rPr>
      </w:pPr>
      <w:r w:rsidRPr="000854ED">
        <w:rPr>
          <w:rFonts w:ascii="Book Antiqua" w:hAnsi="Book Antiqua"/>
          <w:sz w:val="24"/>
          <w:szCs w:val="24"/>
          <w:lang w:val="en-US"/>
        </w:rPr>
        <w:br w:type="page"/>
      </w:r>
    </w:p>
    <w:p w14:paraId="17E78260" w14:textId="77777777" w:rsidR="00145EE3" w:rsidRPr="00EE48E2" w:rsidRDefault="00145EE3" w:rsidP="004D1833">
      <w:pPr>
        <w:adjustRightInd w:val="0"/>
        <w:snapToGrid w:val="0"/>
        <w:spacing w:after="0" w:line="360" w:lineRule="auto"/>
        <w:jc w:val="both"/>
        <w:rPr>
          <w:rFonts w:ascii="Book Antiqua" w:hAnsi="Book Antiqua"/>
          <w:b/>
          <w:sz w:val="24"/>
          <w:szCs w:val="24"/>
          <w:lang w:val="es-ES"/>
        </w:rPr>
      </w:pPr>
      <w:r w:rsidRPr="00EE48E2">
        <w:rPr>
          <w:rFonts w:ascii="Book Antiqua" w:hAnsi="Book Antiqua"/>
          <w:b/>
          <w:sz w:val="24"/>
          <w:szCs w:val="24"/>
          <w:lang w:val="es-ES"/>
        </w:rPr>
        <w:object w:dxaOrig="7199" w:dyaOrig="5407" w14:anchorId="3E0BCB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11" o:title=""/>
          </v:shape>
          <o:OLEObject Type="Embed" ProgID="PowerPoint.Slide.12" ShapeID="_x0000_i1025" DrawAspect="Content" ObjectID="_1529300793" r:id="rId12"/>
        </w:object>
      </w:r>
    </w:p>
    <w:p w14:paraId="48F12730" w14:textId="6BEEC6D2" w:rsidR="00145EE3" w:rsidRPr="00EE48E2" w:rsidRDefault="00A577A9" w:rsidP="004D1833">
      <w:pPr>
        <w:adjustRightInd w:val="0"/>
        <w:snapToGrid w:val="0"/>
        <w:spacing w:after="0" w:line="360" w:lineRule="auto"/>
        <w:jc w:val="both"/>
        <w:rPr>
          <w:rFonts w:ascii="Book Antiqua" w:hAnsi="Book Antiqua"/>
          <w:sz w:val="24"/>
          <w:szCs w:val="24"/>
          <w:lang w:val="en-US"/>
        </w:rPr>
      </w:pPr>
      <w:r w:rsidRPr="00EE48E2">
        <w:rPr>
          <w:rFonts w:ascii="Book Antiqua" w:hAnsi="Book Antiqua"/>
          <w:b/>
          <w:sz w:val="24"/>
          <w:szCs w:val="24"/>
          <w:lang w:val="en-US"/>
        </w:rPr>
        <w:t>Figure 1</w:t>
      </w:r>
      <w:r w:rsidR="00145EE3" w:rsidRPr="00EE48E2">
        <w:rPr>
          <w:rFonts w:ascii="Book Antiqua" w:hAnsi="Book Antiqua"/>
          <w:b/>
          <w:sz w:val="24"/>
          <w:szCs w:val="24"/>
          <w:lang w:val="en-US"/>
        </w:rPr>
        <w:t xml:space="preserve"> Epidermal growth factor receptor and its downstream signaling pathway.</w:t>
      </w:r>
      <w:r w:rsidR="00145EE3" w:rsidRPr="00EE48E2">
        <w:rPr>
          <w:rFonts w:ascii="Book Antiqua" w:hAnsi="Book Antiqua"/>
          <w:sz w:val="24"/>
          <w:szCs w:val="24"/>
          <w:lang w:val="en-US"/>
        </w:rPr>
        <w:t xml:space="preserve"> Binding of ligands such as epidermal growth factor (EGF) to E</w:t>
      </w:r>
      <w:r w:rsidRPr="00EE48E2">
        <w:rPr>
          <w:rFonts w:ascii="Book Antiqua" w:hAnsi="Book Antiqua"/>
          <w:sz w:val="24"/>
          <w:szCs w:val="24"/>
          <w:lang w:val="en-US"/>
        </w:rPr>
        <w:t>pidermal growth factor receptor</w:t>
      </w:r>
      <w:r w:rsidR="00145EE3" w:rsidRPr="00EE48E2">
        <w:rPr>
          <w:rFonts w:ascii="Book Antiqua" w:hAnsi="Book Antiqua"/>
          <w:sz w:val="24"/>
          <w:szCs w:val="24"/>
          <w:lang w:val="en-US"/>
        </w:rPr>
        <w:t xml:space="preserve"> (EGFR) activates downstream Ras/ERK and PI3K/Akt pathways and regulates various physiological processes.</w:t>
      </w:r>
      <w:r w:rsidR="00EE48E2" w:rsidRPr="00EE48E2">
        <w:rPr>
          <w:rFonts w:ascii="Book Antiqua" w:hAnsi="Book Antiqua"/>
          <w:sz w:val="24"/>
          <w:szCs w:val="24"/>
          <w:lang w:val="en-US"/>
        </w:rPr>
        <w:t xml:space="preserve"> </w:t>
      </w:r>
      <w:r w:rsidR="00145EE3" w:rsidRPr="00EE48E2">
        <w:rPr>
          <w:rFonts w:ascii="Book Antiqua" w:hAnsi="Book Antiqua"/>
          <w:sz w:val="24"/>
          <w:szCs w:val="24"/>
          <w:lang w:val="en-US"/>
        </w:rPr>
        <w:t>The anti-EGFR monoclonal antibodies (mAbs) cetuximab and panitumumab block the activation of these pathways.</w:t>
      </w:r>
    </w:p>
    <w:p w14:paraId="1B4B4046" w14:textId="03F1002E" w:rsidR="00145EE3" w:rsidRPr="00EE48E2" w:rsidRDefault="00145EE3" w:rsidP="004D1833">
      <w:pPr>
        <w:adjustRightInd w:val="0"/>
        <w:snapToGrid w:val="0"/>
        <w:spacing w:after="0" w:line="360" w:lineRule="auto"/>
        <w:jc w:val="both"/>
        <w:rPr>
          <w:rFonts w:ascii="Book Antiqua" w:hAnsi="Book Antiqua"/>
          <w:sz w:val="24"/>
          <w:szCs w:val="24"/>
          <w:lang w:val="en-GB"/>
        </w:rPr>
      </w:pPr>
    </w:p>
    <w:p w14:paraId="4FA0963D" w14:textId="77777777" w:rsidR="00145EE3" w:rsidRPr="00EE48E2" w:rsidRDefault="00145EE3" w:rsidP="004D1833">
      <w:pPr>
        <w:adjustRightInd w:val="0"/>
        <w:snapToGrid w:val="0"/>
        <w:spacing w:after="0" w:line="360" w:lineRule="auto"/>
        <w:jc w:val="both"/>
        <w:rPr>
          <w:rFonts w:ascii="Book Antiqua" w:hAnsi="Book Antiqua"/>
          <w:sz w:val="24"/>
          <w:szCs w:val="24"/>
          <w:lang w:val="en-GB"/>
        </w:rPr>
      </w:pPr>
      <w:r w:rsidRPr="00EE48E2">
        <w:rPr>
          <w:rFonts w:ascii="Book Antiqua" w:hAnsi="Book Antiqua"/>
          <w:sz w:val="24"/>
          <w:szCs w:val="24"/>
          <w:lang w:val="en-GB"/>
        </w:rPr>
        <w:br w:type="page"/>
      </w:r>
    </w:p>
    <w:p w14:paraId="549FEFFC" w14:textId="77777777" w:rsidR="00145EE3" w:rsidRPr="00EE48E2" w:rsidRDefault="00145EE3" w:rsidP="004D1833">
      <w:pPr>
        <w:adjustRightInd w:val="0"/>
        <w:snapToGrid w:val="0"/>
        <w:spacing w:after="0" w:line="360" w:lineRule="auto"/>
        <w:jc w:val="both"/>
        <w:rPr>
          <w:rFonts w:ascii="Book Antiqua" w:hAnsi="Book Antiqua"/>
          <w:sz w:val="24"/>
          <w:szCs w:val="24"/>
          <w:lang w:val="es-ES"/>
        </w:rPr>
      </w:pPr>
      <w:r w:rsidRPr="00EE48E2">
        <w:rPr>
          <w:rFonts w:ascii="Book Antiqua" w:hAnsi="Book Antiqua"/>
          <w:sz w:val="24"/>
          <w:szCs w:val="24"/>
          <w:lang w:val="es-ES"/>
        </w:rPr>
        <w:object w:dxaOrig="7200" w:dyaOrig="5407" w14:anchorId="00FC3FAD">
          <v:shape id="_x0000_i1026" type="#_x0000_t75" style="width:5in;height:270pt" o:ole="">
            <v:imagedata r:id="rId13" o:title=""/>
          </v:shape>
          <o:OLEObject Type="Embed" ProgID="PowerPoint.Slide.12" ShapeID="_x0000_i1026" DrawAspect="Content" ObjectID="_1529300794" r:id="rId14"/>
        </w:object>
      </w:r>
    </w:p>
    <w:p w14:paraId="412394AD" w14:textId="7AA23313" w:rsidR="00145EE3" w:rsidRPr="00EE48E2" w:rsidRDefault="00145EE3" w:rsidP="00A577A9">
      <w:pPr>
        <w:adjustRightInd w:val="0"/>
        <w:snapToGrid w:val="0"/>
        <w:spacing w:after="0" w:line="360" w:lineRule="auto"/>
        <w:jc w:val="both"/>
        <w:rPr>
          <w:rFonts w:ascii="Book Antiqua" w:hAnsi="Book Antiqua"/>
          <w:sz w:val="24"/>
          <w:szCs w:val="24"/>
          <w:lang w:val="en-US" w:eastAsia="zh-CN"/>
        </w:rPr>
      </w:pPr>
      <w:r w:rsidRPr="00EE48E2">
        <w:rPr>
          <w:rFonts w:ascii="Book Antiqua" w:hAnsi="Book Antiqua"/>
          <w:b/>
          <w:sz w:val="24"/>
          <w:szCs w:val="24"/>
          <w:lang w:val="en-US"/>
        </w:rPr>
        <w:t xml:space="preserve">Figure 2 Mechanisms of resistance to anti-EGFR </w:t>
      </w:r>
      <w:r w:rsidR="00A577A9" w:rsidRPr="00EE48E2">
        <w:rPr>
          <w:rFonts w:ascii="Book Antiqua" w:hAnsi="Book Antiqua"/>
          <w:b/>
          <w:sz w:val="24"/>
          <w:szCs w:val="24"/>
          <w:lang w:val="en-GB"/>
        </w:rPr>
        <w:t xml:space="preserve">monoclonal antibodies </w:t>
      </w:r>
      <w:r w:rsidRPr="00EE48E2">
        <w:rPr>
          <w:rFonts w:ascii="Book Antiqua" w:hAnsi="Book Antiqua"/>
          <w:b/>
          <w:sz w:val="24"/>
          <w:szCs w:val="24"/>
          <w:lang w:val="en-US"/>
        </w:rPr>
        <w:t xml:space="preserve">in </w:t>
      </w:r>
      <w:r w:rsidR="00A577A9" w:rsidRPr="00EE48E2">
        <w:rPr>
          <w:rFonts w:ascii="Book Antiqua" w:hAnsi="Book Antiqua"/>
          <w:b/>
          <w:sz w:val="24"/>
          <w:szCs w:val="24"/>
          <w:lang w:val="en-US"/>
        </w:rPr>
        <w:t>metastatic colorectal cancer</w:t>
      </w:r>
      <w:r w:rsidRPr="00EE48E2">
        <w:rPr>
          <w:rFonts w:ascii="Book Antiqua" w:hAnsi="Book Antiqua"/>
          <w:b/>
          <w:sz w:val="24"/>
          <w:szCs w:val="24"/>
          <w:lang w:val="en-US"/>
        </w:rPr>
        <w:t>.</w:t>
      </w:r>
      <w:r w:rsidR="00EE48E2" w:rsidRPr="00EE48E2">
        <w:rPr>
          <w:rFonts w:ascii="Book Antiqua" w:hAnsi="Book Antiqua"/>
          <w:b/>
          <w:sz w:val="24"/>
          <w:szCs w:val="24"/>
          <w:lang w:val="en-US"/>
        </w:rPr>
        <w:t xml:space="preserve"> </w:t>
      </w:r>
      <w:r w:rsidR="00A577A9" w:rsidRPr="00EE48E2">
        <w:rPr>
          <w:rFonts w:ascii="Book Antiqua" w:hAnsi="Book Antiqua" w:hint="eastAsia"/>
          <w:sz w:val="24"/>
          <w:szCs w:val="24"/>
          <w:lang w:val="en-US" w:eastAsia="zh-CN"/>
        </w:rPr>
        <w:t xml:space="preserve">A: </w:t>
      </w:r>
      <w:r w:rsidRPr="00EE48E2">
        <w:rPr>
          <w:rFonts w:ascii="Book Antiqua" w:hAnsi="Book Antiqua"/>
          <w:sz w:val="24"/>
          <w:szCs w:val="24"/>
          <w:lang w:val="en-US"/>
        </w:rPr>
        <w:t>Activating mutations of EGFR effectors, such as RAS, BRAF and PI3KCA, or PTEN loss of function, cause persistent activation of downstream signaling regardless of EGFR inhibition</w:t>
      </w:r>
      <w:r w:rsidR="00A577A9" w:rsidRPr="00EE48E2">
        <w:rPr>
          <w:rFonts w:ascii="Book Antiqua" w:hAnsi="Book Antiqua" w:hint="eastAsia"/>
          <w:sz w:val="24"/>
          <w:szCs w:val="24"/>
          <w:lang w:val="en-US" w:eastAsia="zh-CN"/>
        </w:rPr>
        <w:t>; B:</w:t>
      </w:r>
      <w:r w:rsidR="00EE48E2" w:rsidRPr="00EE48E2">
        <w:rPr>
          <w:rFonts w:ascii="Book Antiqua" w:hAnsi="Book Antiqua" w:hint="eastAsia"/>
          <w:sz w:val="24"/>
          <w:szCs w:val="24"/>
          <w:lang w:val="en-US" w:eastAsia="zh-CN"/>
        </w:rPr>
        <w:t xml:space="preserve"> </w:t>
      </w:r>
      <w:r w:rsidRPr="00EE48E2">
        <w:rPr>
          <w:rFonts w:ascii="Book Antiqua" w:hAnsi="Book Antiqua"/>
          <w:sz w:val="24"/>
          <w:szCs w:val="24"/>
          <w:lang w:val="en-US"/>
        </w:rPr>
        <w:t>Mutations in extracellular domain of EGFR inhibit cetuximab binding, but not panitumumab, mediating acquired resistance. Mutations in kinase domain of EGFR led pathways activation in the context of acquired resistance</w:t>
      </w:r>
      <w:r w:rsidR="00A577A9" w:rsidRPr="00EE48E2">
        <w:rPr>
          <w:rFonts w:ascii="Book Antiqua" w:hAnsi="Book Antiqua" w:hint="eastAsia"/>
          <w:sz w:val="24"/>
          <w:szCs w:val="24"/>
          <w:lang w:val="en-US" w:eastAsia="zh-CN"/>
        </w:rPr>
        <w:t xml:space="preserve">; C: </w:t>
      </w:r>
      <w:r w:rsidRPr="00EE48E2">
        <w:rPr>
          <w:rFonts w:ascii="Book Antiqua" w:hAnsi="Book Antiqua"/>
          <w:sz w:val="24"/>
          <w:szCs w:val="24"/>
          <w:lang w:val="en-US"/>
        </w:rPr>
        <w:t>Amplification/activation of alternative receptors such as HER2 or MET, can bypass the EGFR blockade and mediate pathways activation.</w:t>
      </w:r>
      <w:r w:rsidR="00B0119A" w:rsidRPr="00EE48E2">
        <w:rPr>
          <w:rFonts w:ascii="Book Antiqua" w:hAnsi="Book Antiqua" w:hint="eastAsia"/>
          <w:sz w:val="24"/>
          <w:szCs w:val="24"/>
          <w:lang w:val="en-US" w:eastAsia="zh-CN"/>
        </w:rPr>
        <w:t xml:space="preserve"> </w:t>
      </w:r>
      <w:r w:rsidR="00B0119A" w:rsidRPr="00EE48E2">
        <w:rPr>
          <w:rFonts w:ascii="Book Antiqua" w:hAnsi="Book Antiqua"/>
          <w:sz w:val="24"/>
          <w:szCs w:val="24"/>
          <w:lang w:val="en-GB" w:eastAsia="zh-CN"/>
        </w:rPr>
        <w:t>EGFR</w:t>
      </w:r>
      <w:r w:rsidR="00B0119A" w:rsidRPr="00EE48E2">
        <w:rPr>
          <w:rFonts w:ascii="Book Antiqua" w:hAnsi="Book Antiqua" w:hint="eastAsia"/>
          <w:sz w:val="24"/>
          <w:szCs w:val="24"/>
          <w:lang w:val="en-GB" w:eastAsia="zh-CN"/>
        </w:rPr>
        <w:t>:</w:t>
      </w:r>
      <w:r w:rsidR="00B0119A" w:rsidRPr="00EE48E2">
        <w:rPr>
          <w:rFonts w:ascii="Book Antiqua" w:hAnsi="Book Antiqua"/>
          <w:sz w:val="24"/>
          <w:szCs w:val="24"/>
          <w:lang w:val="en-GB" w:eastAsia="zh-CN"/>
        </w:rPr>
        <w:t xml:space="preserve"> Epidermal growth factor receptor</w:t>
      </w:r>
      <w:r w:rsidR="00B0119A" w:rsidRPr="00EE48E2">
        <w:rPr>
          <w:rFonts w:ascii="Book Antiqua" w:hAnsi="Book Antiqua" w:hint="eastAsia"/>
          <w:sz w:val="24"/>
          <w:szCs w:val="24"/>
          <w:lang w:val="en-GB" w:eastAsia="zh-CN"/>
        </w:rPr>
        <w:t>.</w:t>
      </w:r>
    </w:p>
    <w:p w14:paraId="754E75EB" w14:textId="435445DD" w:rsidR="00E4071E" w:rsidRPr="00EE48E2" w:rsidRDefault="00E4071E" w:rsidP="004D1833">
      <w:pPr>
        <w:adjustRightInd w:val="0"/>
        <w:snapToGrid w:val="0"/>
        <w:spacing w:after="0" w:line="360" w:lineRule="auto"/>
        <w:jc w:val="both"/>
        <w:rPr>
          <w:rFonts w:ascii="Book Antiqua" w:hAnsi="Book Antiqua"/>
          <w:sz w:val="24"/>
          <w:szCs w:val="24"/>
          <w:lang w:val="en-GB"/>
        </w:rPr>
      </w:pPr>
    </w:p>
    <w:p w14:paraId="13091950" w14:textId="3522001A" w:rsidR="00E4071E" w:rsidRPr="00EE48E2" w:rsidRDefault="00E4071E" w:rsidP="004D1833">
      <w:pPr>
        <w:adjustRightInd w:val="0"/>
        <w:snapToGrid w:val="0"/>
        <w:spacing w:after="0" w:line="360" w:lineRule="auto"/>
        <w:jc w:val="both"/>
        <w:rPr>
          <w:rFonts w:ascii="Book Antiqua" w:hAnsi="Book Antiqua"/>
          <w:b/>
          <w:bCs/>
          <w:sz w:val="24"/>
          <w:szCs w:val="24"/>
          <w:lang w:val="en-GB" w:eastAsia="zh-CN"/>
        </w:rPr>
      </w:pPr>
      <w:r w:rsidRPr="00EE48E2">
        <w:rPr>
          <w:rFonts w:ascii="Book Antiqua" w:hAnsi="Book Antiqua"/>
          <w:sz w:val="24"/>
          <w:szCs w:val="24"/>
          <w:lang w:val="en-GB"/>
        </w:rPr>
        <w:br w:type="page"/>
      </w:r>
      <w:r w:rsidR="00153518" w:rsidRPr="00EE48E2">
        <w:rPr>
          <w:rFonts w:ascii="Book Antiqua" w:hAnsi="Book Antiqua"/>
          <w:b/>
          <w:sz w:val="24"/>
          <w:szCs w:val="24"/>
          <w:lang w:val="en-US"/>
        </w:rPr>
        <w:lastRenderedPageBreak/>
        <w:t>Table 1</w:t>
      </w:r>
      <w:r w:rsidR="00153518" w:rsidRPr="00EE48E2">
        <w:rPr>
          <w:rFonts w:ascii="Book Antiqua" w:hAnsi="Book Antiqua"/>
          <w:sz w:val="24"/>
          <w:szCs w:val="24"/>
          <w:lang w:val="en-US"/>
        </w:rPr>
        <w:t xml:space="preserve"> </w:t>
      </w:r>
      <w:r w:rsidR="00153518" w:rsidRPr="00EE48E2">
        <w:rPr>
          <w:rFonts w:ascii="Book Antiqua" w:hAnsi="Book Antiqua"/>
          <w:b/>
          <w:bCs/>
          <w:sz w:val="24"/>
          <w:szCs w:val="24"/>
          <w:lang w:val="en-US"/>
        </w:rPr>
        <w:t xml:space="preserve">On-going clinical trials </w:t>
      </w:r>
      <w:r w:rsidR="00153518" w:rsidRPr="00EE48E2">
        <w:rPr>
          <w:rFonts w:ascii="Book Antiqua" w:hAnsi="Book Antiqua"/>
          <w:b/>
          <w:bCs/>
          <w:sz w:val="24"/>
          <w:szCs w:val="24"/>
          <w:lang w:val="en-GB"/>
        </w:rPr>
        <w:t>to overcome resistance to anti-EGFR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1559"/>
        <w:gridCol w:w="3261"/>
        <w:gridCol w:w="1842"/>
        <w:gridCol w:w="851"/>
      </w:tblGrid>
      <w:tr w:rsidR="00EE48E2" w:rsidRPr="00EE48E2" w14:paraId="24470919" w14:textId="77777777" w:rsidTr="00153518">
        <w:tc>
          <w:tcPr>
            <w:tcW w:w="1384" w:type="dxa"/>
            <w:tcBorders>
              <w:top w:val="single" w:sz="4" w:space="0" w:color="auto"/>
              <w:bottom w:val="single" w:sz="4" w:space="0" w:color="auto"/>
            </w:tcBorders>
          </w:tcPr>
          <w:p w14:paraId="2CFDD312" w14:textId="77777777" w:rsidR="00E4071E" w:rsidRPr="00EE48E2" w:rsidRDefault="00E4071E" w:rsidP="004D1833">
            <w:pPr>
              <w:tabs>
                <w:tab w:val="left" w:pos="3270"/>
              </w:tabs>
              <w:adjustRightInd w:val="0"/>
              <w:snapToGrid w:val="0"/>
              <w:spacing w:line="360" w:lineRule="auto"/>
              <w:jc w:val="both"/>
              <w:rPr>
                <w:rFonts w:ascii="Book Antiqua" w:hAnsi="Book Antiqua"/>
                <w:b/>
                <w:sz w:val="24"/>
                <w:szCs w:val="24"/>
              </w:rPr>
            </w:pPr>
            <w:r w:rsidRPr="00EE48E2">
              <w:rPr>
                <w:rFonts w:ascii="Book Antiqua" w:hAnsi="Book Antiqua"/>
                <w:b/>
                <w:sz w:val="24"/>
                <w:szCs w:val="24"/>
              </w:rPr>
              <w:t>Target</w:t>
            </w:r>
          </w:p>
          <w:p w14:paraId="20971795" w14:textId="77777777" w:rsidR="00E4071E" w:rsidRPr="00EE48E2" w:rsidRDefault="00E4071E" w:rsidP="004D1833">
            <w:pPr>
              <w:tabs>
                <w:tab w:val="left" w:pos="3270"/>
              </w:tabs>
              <w:adjustRightInd w:val="0"/>
              <w:snapToGrid w:val="0"/>
              <w:spacing w:line="360" w:lineRule="auto"/>
              <w:jc w:val="both"/>
              <w:rPr>
                <w:rFonts w:ascii="Book Antiqua" w:hAnsi="Book Antiqua"/>
                <w:b/>
                <w:sz w:val="24"/>
                <w:szCs w:val="24"/>
              </w:rPr>
            </w:pPr>
          </w:p>
        </w:tc>
        <w:tc>
          <w:tcPr>
            <w:tcW w:w="1559" w:type="dxa"/>
            <w:tcBorders>
              <w:top w:val="single" w:sz="4" w:space="0" w:color="auto"/>
              <w:bottom w:val="single" w:sz="4" w:space="0" w:color="auto"/>
            </w:tcBorders>
          </w:tcPr>
          <w:p w14:paraId="5F7071E3" w14:textId="77777777" w:rsidR="00E4071E" w:rsidRPr="00EE48E2" w:rsidRDefault="00E4071E" w:rsidP="00153518">
            <w:pPr>
              <w:tabs>
                <w:tab w:val="left" w:pos="3270"/>
              </w:tabs>
              <w:adjustRightInd w:val="0"/>
              <w:snapToGrid w:val="0"/>
              <w:spacing w:line="360" w:lineRule="auto"/>
              <w:jc w:val="center"/>
              <w:rPr>
                <w:rFonts w:ascii="Book Antiqua" w:hAnsi="Book Antiqua"/>
                <w:b/>
                <w:sz w:val="24"/>
                <w:szCs w:val="24"/>
              </w:rPr>
            </w:pPr>
            <w:r w:rsidRPr="00EE48E2">
              <w:rPr>
                <w:rFonts w:ascii="Book Antiqua" w:hAnsi="Book Antiqua"/>
                <w:b/>
                <w:sz w:val="24"/>
                <w:szCs w:val="24"/>
              </w:rPr>
              <w:t>Drug</w:t>
            </w:r>
          </w:p>
        </w:tc>
        <w:tc>
          <w:tcPr>
            <w:tcW w:w="3261" w:type="dxa"/>
            <w:tcBorders>
              <w:top w:val="single" w:sz="4" w:space="0" w:color="auto"/>
              <w:bottom w:val="single" w:sz="4" w:space="0" w:color="auto"/>
            </w:tcBorders>
          </w:tcPr>
          <w:p w14:paraId="77CE0B98" w14:textId="77777777" w:rsidR="00E4071E" w:rsidRPr="00EE48E2" w:rsidRDefault="00E4071E" w:rsidP="00153518">
            <w:pPr>
              <w:tabs>
                <w:tab w:val="left" w:pos="3270"/>
              </w:tabs>
              <w:adjustRightInd w:val="0"/>
              <w:snapToGrid w:val="0"/>
              <w:spacing w:line="360" w:lineRule="auto"/>
              <w:jc w:val="center"/>
              <w:rPr>
                <w:rFonts w:ascii="Book Antiqua" w:hAnsi="Book Antiqua"/>
                <w:b/>
                <w:sz w:val="24"/>
                <w:szCs w:val="24"/>
              </w:rPr>
            </w:pPr>
            <w:r w:rsidRPr="00EE48E2">
              <w:rPr>
                <w:rFonts w:ascii="Book Antiqua" w:hAnsi="Book Antiqua"/>
                <w:b/>
                <w:sz w:val="24"/>
                <w:szCs w:val="24"/>
              </w:rPr>
              <w:t>Study</w:t>
            </w:r>
          </w:p>
        </w:tc>
        <w:tc>
          <w:tcPr>
            <w:tcW w:w="1842" w:type="dxa"/>
            <w:tcBorders>
              <w:top w:val="single" w:sz="4" w:space="0" w:color="auto"/>
              <w:bottom w:val="single" w:sz="4" w:space="0" w:color="auto"/>
            </w:tcBorders>
          </w:tcPr>
          <w:p w14:paraId="369FC945" w14:textId="77777777" w:rsidR="00E4071E" w:rsidRPr="00EE48E2" w:rsidRDefault="00E4071E" w:rsidP="00153518">
            <w:pPr>
              <w:tabs>
                <w:tab w:val="left" w:pos="3270"/>
              </w:tabs>
              <w:adjustRightInd w:val="0"/>
              <w:snapToGrid w:val="0"/>
              <w:spacing w:line="360" w:lineRule="auto"/>
              <w:jc w:val="center"/>
              <w:rPr>
                <w:rFonts w:ascii="Book Antiqua" w:hAnsi="Book Antiqua"/>
                <w:b/>
                <w:sz w:val="24"/>
                <w:szCs w:val="24"/>
              </w:rPr>
            </w:pPr>
            <w:r w:rsidRPr="00EE48E2">
              <w:rPr>
                <w:rFonts w:ascii="Book Antiqua" w:hAnsi="Book Antiqua"/>
                <w:b/>
                <w:sz w:val="24"/>
                <w:szCs w:val="24"/>
              </w:rPr>
              <w:t>ClinicalTrials.gov</w:t>
            </w:r>
          </w:p>
          <w:p w14:paraId="2AF92A12" w14:textId="77777777" w:rsidR="00E4071E" w:rsidRPr="00EE48E2" w:rsidRDefault="00E4071E" w:rsidP="00153518">
            <w:pPr>
              <w:tabs>
                <w:tab w:val="left" w:pos="3270"/>
              </w:tabs>
              <w:adjustRightInd w:val="0"/>
              <w:snapToGrid w:val="0"/>
              <w:spacing w:line="360" w:lineRule="auto"/>
              <w:jc w:val="center"/>
              <w:rPr>
                <w:rFonts w:ascii="Book Antiqua" w:hAnsi="Book Antiqua"/>
                <w:b/>
                <w:sz w:val="24"/>
                <w:szCs w:val="24"/>
              </w:rPr>
            </w:pPr>
            <w:r w:rsidRPr="00EE48E2">
              <w:rPr>
                <w:rFonts w:ascii="Book Antiqua" w:hAnsi="Book Antiqua"/>
                <w:b/>
                <w:sz w:val="24"/>
                <w:szCs w:val="24"/>
              </w:rPr>
              <w:t>Identifier</w:t>
            </w:r>
          </w:p>
          <w:p w14:paraId="33CFAB63" w14:textId="77777777" w:rsidR="00E4071E" w:rsidRPr="00EE48E2" w:rsidRDefault="00E4071E" w:rsidP="00153518">
            <w:pPr>
              <w:tabs>
                <w:tab w:val="left" w:pos="3270"/>
              </w:tabs>
              <w:adjustRightInd w:val="0"/>
              <w:snapToGrid w:val="0"/>
              <w:spacing w:line="360" w:lineRule="auto"/>
              <w:jc w:val="center"/>
              <w:rPr>
                <w:rFonts w:ascii="Book Antiqua" w:hAnsi="Book Antiqua"/>
                <w:b/>
                <w:sz w:val="24"/>
                <w:szCs w:val="24"/>
              </w:rPr>
            </w:pPr>
          </w:p>
        </w:tc>
        <w:tc>
          <w:tcPr>
            <w:tcW w:w="851" w:type="dxa"/>
            <w:tcBorders>
              <w:top w:val="single" w:sz="4" w:space="0" w:color="auto"/>
              <w:bottom w:val="single" w:sz="4" w:space="0" w:color="auto"/>
            </w:tcBorders>
          </w:tcPr>
          <w:p w14:paraId="40EECD4E" w14:textId="77777777" w:rsidR="00E4071E" w:rsidRPr="00EE48E2" w:rsidRDefault="00E4071E" w:rsidP="00153518">
            <w:pPr>
              <w:tabs>
                <w:tab w:val="left" w:pos="3270"/>
              </w:tabs>
              <w:adjustRightInd w:val="0"/>
              <w:snapToGrid w:val="0"/>
              <w:spacing w:line="360" w:lineRule="auto"/>
              <w:jc w:val="center"/>
              <w:rPr>
                <w:rFonts w:ascii="Book Antiqua" w:hAnsi="Book Antiqua"/>
                <w:b/>
                <w:sz w:val="24"/>
                <w:szCs w:val="24"/>
              </w:rPr>
            </w:pPr>
            <w:r w:rsidRPr="00EE48E2">
              <w:rPr>
                <w:rFonts w:ascii="Book Antiqua" w:hAnsi="Book Antiqua"/>
                <w:b/>
                <w:sz w:val="24"/>
                <w:szCs w:val="24"/>
              </w:rPr>
              <w:t>Phase</w:t>
            </w:r>
          </w:p>
        </w:tc>
      </w:tr>
      <w:tr w:rsidR="00EE48E2" w:rsidRPr="00EE48E2" w14:paraId="4C57C6C7" w14:textId="77777777" w:rsidTr="00153518">
        <w:tc>
          <w:tcPr>
            <w:tcW w:w="1384" w:type="dxa"/>
            <w:tcBorders>
              <w:top w:val="single" w:sz="4" w:space="0" w:color="auto"/>
            </w:tcBorders>
          </w:tcPr>
          <w:p w14:paraId="5434BCCD" w14:textId="77777777" w:rsidR="00E4071E" w:rsidRPr="00EE48E2" w:rsidRDefault="00E4071E" w:rsidP="004D1833">
            <w:pPr>
              <w:tabs>
                <w:tab w:val="left" w:pos="3270"/>
              </w:tabs>
              <w:adjustRightInd w:val="0"/>
              <w:snapToGrid w:val="0"/>
              <w:spacing w:line="360" w:lineRule="auto"/>
              <w:jc w:val="both"/>
              <w:rPr>
                <w:rFonts w:ascii="Book Antiqua" w:hAnsi="Book Antiqua"/>
                <w:sz w:val="24"/>
                <w:szCs w:val="24"/>
              </w:rPr>
            </w:pPr>
            <w:r w:rsidRPr="00EE48E2">
              <w:rPr>
                <w:rFonts w:ascii="Book Antiqua" w:hAnsi="Book Antiqua"/>
                <w:sz w:val="24"/>
                <w:szCs w:val="24"/>
              </w:rPr>
              <w:t>EGFR</w:t>
            </w:r>
          </w:p>
        </w:tc>
        <w:tc>
          <w:tcPr>
            <w:tcW w:w="1559" w:type="dxa"/>
            <w:tcBorders>
              <w:top w:val="single" w:sz="4" w:space="0" w:color="auto"/>
            </w:tcBorders>
          </w:tcPr>
          <w:p w14:paraId="063BF192"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afatinib</w:t>
            </w:r>
          </w:p>
          <w:p w14:paraId="44AF337F"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cetuximab</w:t>
            </w:r>
          </w:p>
          <w:p w14:paraId="10577797"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p>
        </w:tc>
        <w:tc>
          <w:tcPr>
            <w:tcW w:w="3261" w:type="dxa"/>
            <w:tcBorders>
              <w:top w:val="single" w:sz="4" w:space="0" w:color="auto"/>
            </w:tcBorders>
          </w:tcPr>
          <w:p w14:paraId="06939747" w14:textId="7A753D64" w:rsidR="00E4071E" w:rsidRPr="00EE48E2" w:rsidRDefault="00E4071E" w:rsidP="00153518">
            <w:pPr>
              <w:tabs>
                <w:tab w:val="left" w:pos="3270"/>
              </w:tabs>
              <w:adjustRightInd w:val="0"/>
              <w:snapToGrid w:val="0"/>
              <w:spacing w:line="360" w:lineRule="auto"/>
              <w:jc w:val="center"/>
              <w:rPr>
                <w:rFonts w:ascii="Book Antiqua" w:hAnsi="Book Antiqua"/>
                <w:sz w:val="24"/>
                <w:szCs w:val="24"/>
                <w:lang w:val="en-US"/>
              </w:rPr>
            </w:pPr>
            <w:r w:rsidRPr="00EE48E2">
              <w:rPr>
                <w:rFonts w:ascii="Book Antiqua" w:hAnsi="Book Antiqua"/>
                <w:sz w:val="24"/>
                <w:szCs w:val="24"/>
                <w:lang w:val="en-US"/>
              </w:rPr>
              <w:t xml:space="preserve">afatinib and cetuximab combo </w:t>
            </w:r>
            <w:r w:rsidR="00DA1BA0" w:rsidRPr="00EE48E2">
              <w:rPr>
                <w:rFonts w:ascii="Book Antiqua" w:hAnsi="Book Antiqua"/>
                <w:i/>
                <w:sz w:val="24"/>
                <w:szCs w:val="24"/>
                <w:lang w:val="en-US"/>
              </w:rPr>
              <w:t>vs</w:t>
            </w:r>
            <w:r w:rsidRPr="00EE48E2">
              <w:rPr>
                <w:rFonts w:ascii="Book Antiqua" w:hAnsi="Book Antiqua"/>
                <w:sz w:val="24"/>
                <w:szCs w:val="24"/>
                <w:lang w:val="en-US"/>
              </w:rPr>
              <w:t xml:space="preserve"> cetuximab alone in treatment of patients with refractory </w:t>
            </w:r>
            <w:r w:rsidRPr="00EE48E2">
              <w:rPr>
                <w:rFonts w:ascii="Book Antiqua" w:hAnsi="Book Antiqua"/>
                <w:i/>
                <w:sz w:val="24"/>
                <w:szCs w:val="24"/>
                <w:lang w:val="en-US"/>
              </w:rPr>
              <w:t>KRAS</w:t>
            </w:r>
            <w:r w:rsidRPr="00EE48E2">
              <w:rPr>
                <w:rFonts w:ascii="Book Antiqua" w:hAnsi="Book Antiqua"/>
                <w:sz w:val="24"/>
                <w:szCs w:val="24"/>
                <w:lang w:val="en-US"/>
              </w:rPr>
              <w:t xml:space="preserve"> WT mCRC.</w:t>
            </w:r>
          </w:p>
          <w:p w14:paraId="671F33D7"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lang w:val="en-US"/>
              </w:rPr>
            </w:pPr>
          </w:p>
        </w:tc>
        <w:tc>
          <w:tcPr>
            <w:tcW w:w="1842" w:type="dxa"/>
            <w:tcBorders>
              <w:top w:val="single" w:sz="4" w:space="0" w:color="auto"/>
            </w:tcBorders>
          </w:tcPr>
          <w:p w14:paraId="3314B006"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NCT01919879</w:t>
            </w:r>
          </w:p>
          <w:p w14:paraId="3BB1A5C1"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p>
        </w:tc>
        <w:tc>
          <w:tcPr>
            <w:tcW w:w="851" w:type="dxa"/>
            <w:tcBorders>
              <w:top w:val="single" w:sz="4" w:space="0" w:color="auto"/>
            </w:tcBorders>
          </w:tcPr>
          <w:p w14:paraId="2930B335" w14:textId="6CE51011"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Phase II</w:t>
            </w:r>
          </w:p>
        </w:tc>
      </w:tr>
      <w:tr w:rsidR="00EE48E2" w:rsidRPr="00EE48E2" w14:paraId="54BDB1DB" w14:textId="77777777" w:rsidTr="00153518">
        <w:tc>
          <w:tcPr>
            <w:tcW w:w="1384" w:type="dxa"/>
          </w:tcPr>
          <w:p w14:paraId="5E71A7EB" w14:textId="77777777" w:rsidR="00E4071E" w:rsidRPr="00EE48E2" w:rsidRDefault="00E4071E" w:rsidP="004D1833">
            <w:pPr>
              <w:tabs>
                <w:tab w:val="left" w:pos="3270"/>
              </w:tabs>
              <w:adjustRightInd w:val="0"/>
              <w:snapToGrid w:val="0"/>
              <w:spacing w:line="360" w:lineRule="auto"/>
              <w:jc w:val="both"/>
              <w:rPr>
                <w:rFonts w:ascii="Book Antiqua" w:hAnsi="Book Antiqua"/>
                <w:sz w:val="24"/>
                <w:szCs w:val="24"/>
              </w:rPr>
            </w:pPr>
            <w:r w:rsidRPr="00EE48E2">
              <w:rPr>
                <w:rFonts w:ascii="Book Antiqua" w:hAnsi="Book Antiqua"/>
                <w:sz w:val="24"/>
                <w:szCs w:val="24"/>
              </w:rPr>
              <w:t>EGFR</w:t>
            </w:r>
          </w:p>
        </w:tc>
        <w:tc>
          <w:tcPr>
            <w:tcW w:w="1559" w:type="dxa"/>
          </w:tcPr>
          <w:p w14:paraId="4943C43A"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Sym004</w:t>
            </w:r>
          </w:p>
        </w:tc>
        <w:tc>
          <w:tcPr>
            <w:tcW w:w="3261" w:type="dxa"/>
          </w:tcPr>
          <w:p w14:paraId="47CBC773" w14:textId="510098A4" w:rsidR="00E4071E" w:rsidRPr="00EE48E2" w:rsidRDefault="00E4071E" w:rsidP="00153518">
            <w:pPr>
              <w:tabs>
                <w:tab w:val="left" w:pos="3270"/>
              </w:tabs>
              <w:adjustRightInd w:val="0"/>
              <w:snapToGrid w:val="0"/>
              <w:spacing w:line="360" w:lineRule="auto"/>
              <w:jc w:val="center"/>
              <w:rPr>
                <w:rFonts w:ascii="Book Antiqua" w:hAnsi="Book Antiqua"/>
                <w:sz w:val="24"/>
                <w:szCs w:val="24"/>
                <w:lang w:val="en-US"/>
              </w:rPr>
            </w:pPr>
            <w:r w:rsidRPr="00EE48E2">
              <w:rPr>
                <w:rFonts w:ascii="Book Antiqua" w:hAnsi="Book Antiqua"/>
                <w:sz w:val="24"/>
                <w:szCs w:val="24"/>
                <w:lang w:val="en-US"/>
              </w:rPr>
              <w:t xml:space="preserve">Sym004 </w:t>
            </w:r>
            <w:r w:rsidR="00DA1BA0" w:rsidRPr="00EE48E2">
              <w:rPr>
                <w:rFonts w:ascii="Book Antiqua" w:hAnsi="Book Antiqua"/>
                <w:i/>
                <w:sz w:val="24"/>
                <w:szCs w:val="24"/>
                <w:lang w:val="en-US"/>
              </w:rPr>
              <w:t>vs</w:t>
            </w:r>
            <w:r w:rsidRPr="00EE48E2">
              <w:rPr>
                <w:rFonts w:ascii="Book Antiqua" w:hAnsi="Book Antiqua"/>
                <w:sz w:val="24"/>
                <w:szCs w:val="24"/>
                <w:lang w:val="en-US"/>
              </w:rPr>
              <w:t xml:space="preserve"> investigator`s choice (best supportive care, capecitabine, 5-</w:t>
            </w:r>
            <w:r w:rsidR="00153518" w:rsidRPr="00EE48E2">
              <w:rPr>
                <w:rFonts w:ascii="Book Antiqua" w:hAnsi="Book Antiqua"/>
                <w:sz w:val="24"/>
                <w:szCs w:val="24"/>
                <w:lang w:val="en-US"/>
              </w:rPr>
              <w:t>FU</w:t>
            </w:r>
            <w:r w:rsidRPr="00EE48E2">
              <w:rPr>
                <w:rFonts w:ascii="Book Antiqua" w:hAnsi="Book Antiqua"/>
                <w:sz w:val="24"/>
                <w:szCs w:val="24"/>
                <w:lang w:val="en-US"/>
              </w:rPr>
              <w:t>) in subjects with mCRC and acquired resistance to anti-EGFR moAbs.</w:t>
            </w:r>
          </w:p>
          <w:p w14:paraId="6FAF7392"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lang w:val="en-US"/>
              </w:rPr>
            </w:pPr>
          </w:p>
        </w:tc>
        <w:tc>
          <w:tcPr>
            <w:tcW w:w="1842" w:type="dxa"/>
          </w:tcPr>
          <w:p w14:paraId="38F19E5A"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NCT02083653</w:t>
            </w:r>
          </w:p>
        </w:tc>
        <w:tc>
          <w:tcPr>
            <w:tcW w:w="851" w:type="dxa"/>
          </w:tcPr>
          <w:p w14:paraId="2854B558"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Phase II</w:t>
            </w:r>
          </w:p>
        </w:tc>
      </w:tr>
      <w:tr w:rsidR="00EE48E2" w:rsidRPr="00EE48E2" w14:paraId="3EA60DEE" w14:textId="77777777" w:rsidTr="00153518">
        <w:tc>
          <w:tcPr>
            <w:tcW w:w="1384" w:type="dxa"/>
          </w:tcPr>
          <w:p w14:paraId="0C5D03F1" w14:textId="77777777" w:rsidR="00E4071E" w:rsidRPr="00EE48E2" w:rsidRDefault="00E4071E" w:rsidP="004D1833">
            <w:pPr>
              <w:tabs>
                <w:tab w:val="left" w:pos="3270"/>
              </w:tabs>
              <w:adjustRightInd w:val="0"/>
              <w:snapToGrid w:val="0"/>
              <w:spacing w:line="360" w:lineRule="auto"/>
              <w:jc w:val="both"/>
              <w:rPr>
                <w:rFonts w:ascii="Book Antiqua" w:hAnsi="Book Antiqua"/>
                <w:sz w:val="24"/>
                <w:szCs w:val="24"/>
              </w:rPr>
            </w:pPr>
            <w:r w:rsidRPr="00EE48E2">
              <w:rPr>
                <w:rFonts w:ascii="Book Antiqua" w:hAnsi="Book Antiqua"/>
                <w:sz w:val="24"/>
                <w:szCs w:val="24"/>
              </w:rPr>
              <w:t>EGFR, HER2, HER4</w:t>
            </w:r>
          </w:p>
        </w:tc>
        <w:tc>
          <w:tcPr>
            <w:tcW w:w="1559" w:type="dxa"/>
          </w:tcPr>
          <w:p w14:paraId="676CDECF"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neratinib</w:t>
            </w:r>
          </w:p>
          <w:p w14:paraId="56AC961F"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cetuximab</w:t>
            </w:r>
          </w:p>
        </w:tc>
        <w:tc>
          <w:tcPr>
            <w:tcW w:w="3261" w:type="dxa"/>
          </w:tcPr>
          <w:p w14:paraId="360804D2"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lang w:val="en-US"/>
              </w:rPr>
            </w:pPr>
            <w:r w:rsidRPr="00EE48E2">
              <w:rPr>
                <w:rFonts w:ascii="Book Antiqua" w:hAnsi="Book Antiqua"/>
                <w:sz w:val="24"/>
                <w:szCs w:val="24"/>
                <w:lang w:val="en-US"/>
              </w:rPr>
              <w:t xml:space="preserve">neratinib and cetuximab in </w:t>
            </w:r>
            <w:r w:rsidRPr="00EE48E2">
              <w:rPr>
                <w:rFonts w:ascii="Book Antiqua" w:hAnsi="Book Antiqua"/>
                <w:i/>
                <w:sz w:val="24"/>
                <w:szCs w:val="24"/>
                <w:lang w:val="en-US"/>
              </w:rPr>
              <w:t>KRAS/NRAS/BRAF/PIK3CA</w:t>
            </w:r>
            <w:r w:rsidRPr="00EE48E2">
              <w:rPr>
                <w:rFonts w:ascii="Book Antiqua" w:hAnsi="Book Antiqua"/>
                <w:sz w:val="24"/>
                <w:szCs w:val="24"/>
                <w:lang w:val="en-US"/>
              </w:rPr>
              <w:t xml:space="preserve"> WT mCRC patients resistant to cetuximab.</w:t>
            </w:r>
          </w:p>
          <w:p w14:paraId="6CADB2CB"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lang w:val="en-US"/>
              </w:rPr>
            </w:pPr>
          </w:p>
        </w:tc>
        <w:tc>
          <w:tcPr>
            <w:tcW w:w="1842" w:type="dxa"/>
          </w:tcPr>
          <w:p w14:paraId="5EB11306"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NCT01960023</w:t>
            </w:r>
          </w:p>
        </w:tc>
        <w:tc>
          <w:tcPr>
            <w:tcW w:w="851" w:type="dxa"/>
          </w:tcPr>
          <w:p w14:paraId="4A33C1FE" w14:textId="2AA64D05"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Phase I/II</w:t>
            </w:r>
          </w:p>
        </w:tc>
      </w:tr>
      <w:tr w:rsidR="00EE48E2" w:rsidRPr="00EE48E2" w14:paraId="3189B519" w14:textId="77777777" w:rsidTr="00153518">
        <w:tc>
          <w:tcPr>
            <w:tcW w:w="1384" w:type="dxa"/>
          </w:tcPr>
          <w:p w14:paraId="03714971" w14:textId="77777777" w:rsidR="00E4071E" w:rsidRPr="00EE48E2" w:rsidRDefault="00E4071E" w:rsidP="004D1833">
            <w:pPr>
              <w:tabs>
                <w:tab w:val="left" w:pos="3270"/>
              </w:tabs>
              <w:adjustRightInd w:val="0"/>
              <w:snapToGrid w:val="0"/>
              <w:spacing w:line="360" w:lineRule="auto"/>
              <w:jc w:val="both"/>
              <w:rPr>
                <w:rFonts w:ascii="Book Antiqua" w:hAnsi="Book Antiqua"/>
                <w:sz w:val="24"/>
                <w:szCs w:val="24"/>
              </w:rPr>
            </w:pPr>
            <w:r w:rsidRPr="00EE48E2">
              <w:rPr>
                <w:rFonts w:ascii="Book Antiqua" w:hAnsi="Book Antiqua"/>
                <w:sz w:val="24"/>
                <w:szCs w:val="24"/>
              </w:rPr>
              <w:t>EGFR</w:t>
            </w:r>
          </w:p>
        </w:tc>
        <w:tc>
          <w:tcPr>
            <w:tcW w:w="1559" w:type="dxa"/>
          </w:tcPr>
          <w:p w14:paraId="2C1B2FB2"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cetuximab</w:t>
            </w:r>
          </w:p>
          <w:p w14:paraId="2A01899F"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irinotecan</w:t>
            </w:r>
          </w:p>
        </w:tc>
        <w:tc>
          <w:tcPr>
            <w:tcW w:w="3261" w:type="dxa"/>
          </w:tcPr>
          <w:p w14:paraId="180956F4"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lang w:val="en-US"/>
              </w:rPr>
            </w:pPr>
            <w:r w:rsidRPr="00EE48E2">
              <w:rPr>
                <w:rFonts w:ascii="Book Antiqua" w:hAnsi="Book Antiqua"/>
                <w:sz w:val="24"/>
                <w:szCs w:val="24"/>
                <w:lang w:val="en-US"/>
              </w:rPr>
              <w:t xml:space="preserve">cetuximab plus irinotecan as rechallenge 3rd-line treatment of </w:t>
            </w:r>
            <w:r w:rsidRPr="00EE48E2">
              <w:rPr>
                <w:rFonts w:ascii="Book Antiqua" w:hAnsi="Book Antiqua"/>
                <w:i/>
                <w:sz w:val="24"/>
                <w:szCs w:val="24"/>
                <w:lang w:val="en-US"/>
              </w:rPr>
              <w:t>KRAS, NRAS</w:t>
            </w:r>
            <w:r w:rsidRPr="00EE48E2">
              <w:rPr>
                <w:rFonts w:ascii="Book Antiqua" w:hAnsi="Book Antiqua"/>
                <w:sz w:val="24"/>
                <w:szCs w:val="24"/>
                <w:lang w:val="en-US"/>
              </w:rPr>
              <w:t xml:space="preserve"> and </w:t>
            </w:r>
            <w:r w:rsidRPr="00EE48E2">
              <w:rPr>
                <w:rFonts w:ascii="Book Antiqua" w:hAnsi="Book Antiqua"/>
                <w:i/>
                <w:sz w:val="24"/>
                <w:szCs w:val="24"/>
                <w:lang w:val="en-US"/>
              </w:rPr>
              <w:t xml:space="preserve">BRAF </w:t>
            </w:r>
            <w:r w:rsidRPr="00EE48E2">
              <w:rPr>
                <w:rFonts w:ascii="Book Antiqua" w:hAnsi="Book Antiqua"/>
                <w:sz w:val="24"/>
                <w:szCs w:val="24"/>
                <w:lang w:val="en-US"/>
              </w:rPr>
              <w:t>WT</w:t>
            </w:r>
            <w:r w:rsidRPr="00EE48E2">
              <w:rPr>
                <w:rFonts w:ascii="Book Antiqua" w:hAnsi="Book Antiqua"/>
                <w:i/>
                <w:sz w:val="24"/>
                <w:szCs w:val="24"/>
                <w:lang w:val="en-US"/>
              </w:rPr>
              <w:t xml:space="preserve"> </w:t>
            </w:r>
            <w:r w:rsidRPr="00EE48E2">
              <w:rPr>
                <w:rFonts w:ascii="Book Antiqua" w:hAnsi="Book Antiqua"/>
                <w:sz w:val="24"/>
                <w:szCs w:val="24"/>
                <w:lang w:val="en-US"/>
              </w:rPr>
              <w:t>irinotecan-pretreated mCRC patients progressing after an initial response to a 1st-line cetuximab-containing therapy and a standard 2nd-line.</w:t>
            </w:r>
          </w:p>
          <w:p w14:paraId="39599F57"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lang w:val="en-US"/>
              </w:rPr>
            </w:pPr>
          </w:p>
        </w:tc>
        <w:tc>
          <w:tcPr>
            <w:tcW w:w="1842" w:type="dxa"/>
          </w:tcPr>
          <w:p w14:paraId="3E429822"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lastRenderedPageBreak/>
              <w:t>NCT02296203</w:t>
            </w:r>
          </w:p>
          <w:p w14:paraId="1BD32DCA"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p>
        </w:tc>
        <w:tc>
          <w:tcPr>
            <w:tcW w:w="851" w:type="dxa"/>
          </w:tcPr>
          <w:p w14:paraId="0F906545"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Phase II</w:t>
            </w:r>
          </w:p>
        </w:tc>
      </w:tr>
      <w:tr w:rsidR="00EE48E2" w:rsidRPr="00EE48E2" w14:paraId="1B40C6B2" w14:textId="77777777" w:rsidTr="00153518">
        <w:tc>
          <w:tcPr>
            <w:tcW w:w="1384" w:type="dxa"/>
          </w:tcPr>
          <w:p w14:paraId="0AF5604B" w14:textId="77777777" w:rsidR="00E4071E" w:rsidRPr="00EE48E2" w:rsidRDefault="00E4071E" w:rsidP="004D1833">
            <w:pPr>
              <w:tabs>
                <w:tab w:val="left" w:pos="3270"/>
              </w:tabs>
              <w:adjustRightInd w:val="0"/>
              <w:snapToGrid w:val="0"/>
              <w:spacing w:line="360" w:lineRule="auto"/>
              <w:jc w:val="both"/>
              <w:rPr>
                <w:rFonts w:ascii="Book Antiqua" w:hAnsi="Book Antiqua"/>
                <w:sz w:val="24"/>
                <w:szCs w:val="24"/>
              </w:rPr>
            </w:pPr>
            <w:r w:rsidRPr="00EE48E2">
              <w:rPr>
                <w:rFonts w:ascii="Book Antiqua" w:hAnsi="Book Antiqua"/>
                <w:sz w:val="24"/>
                <w:szCs w:val="24"/>
              </w:rPr>
              <w:t>EGFR</w:t>
            </w:r>
          </w:p>
        </w:tc>
        <w:tc>
          <w:tcPr>
            <w:tcW w:w="1559" w:type="dxa"/>
          </w:tcPr>
          <w:p w14:paraId="027BD96B"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panitumumab</w:t>
            </w:r>
          </w:p>
          <w:p w14:paraId="64508BE0"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FOLFIRI</w:t>
            </w:r>
          </w:p>
        </w:tc>
        <w:tc>
          <w:tcPr>
            <w:tcW w:w="3261" w:type="dxa"/>
          </w:tcPr>
          <w:p w14:paraId="0112FE73"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lang w:val="en-US"/>
              </w:rPr>
            </w:pPr>
            <w:r w:rsidRPr="00EE48E2">
              <w:rPr>
                <w:rFonts w:ascii="Book Antiqua" w:hAnsi="Book Antiqua"/>
                <w:sz w:val="24"/>
                <w:szCs w:val="24"/>
                <w:lang w:val="en-US"/>
              </w:rPr>
              <w:t xml:space="preserve">FOLFIRI plus panitumumab in extended </w:t>
            </w:r>
            <w:r w:rsidRPr="00EE48E2">
              <w:rPr>
                <w:rFonts w:ascii="Book Antiqua" w:hAnsi="Book Antiqua"/>
                <w:i/>
                <w:sz w:val="24"/>
                <w:szCs w:val="24"/>
                <w:lang w:val="en-US"/>
              </w:rPr>
              <w:t xml:space="preserve">RAS </w:t>
            </w:r>
            <w:r w:rsidRPr="00EE48E2">
              <w:rPr>
                <w:rFonts w:ascii="Book Antiqua" w:hAnsi="Book Antiqua"/>
                <w:sz w:val="24"/>
                <w:szCs w:val="24"/>
                <w:lang w:val="en-US"/>
              </w:rPr>
              <w:t xml:space="preserve">WT and </w:t>
            </w:r>
            <w:r w:rsidRPr="00EE48E2">
              <w:rPr>
                <w:rFonts w:ascii="Book Antiqua" w:hAnsi="Book Antiqua"/>
                <w:i/>
                <w:sz w:val="24"/>
                <w:szCs w:val="24"/>
                <w:lang w:val="en-US"/>
              </w:rPr>
              <w:t xml:space="preserve">BRAF </w:t>
            </w:r>
            <w:r w:rsidRPr="00EE48E2">
              <w:rPr>
                <w:rFonts w:ascii="Book Antiqua" w:hAnsi="Book Antiqua"/>
                <w:sz w:val="24"/>
                <w:szCs w:val="24"/>
                <w:lang w:val="en-US"/>
              </w:rPr>
              <w:t>WT mCRC with acquired </w:t>
            </w:r>
            <w:r w:rsidRPr="00EE48E2">
              <w:rPr>
                <w:rFonts w:ascii="Book Antiqua" w:hAnsi="Book Antiqua"/>
                <w:bCs/>
                <w:sz w:val="24"/>
                <w:szCs w:val="24"/>
                <w:lang w:val="en-US"/>
              </w:rPr>
              <w:t>resistance</w:t>
            </w:r>
            <w:r w:rsidRPr="00EE48E2">
              <w:rPr>
                <w:rFonts w:ascii="Book Antiqua" w:hAnsi="Book Antiqua"/>
                <w:sz w:val="24"/>
                <w:szCs w:val="24"/>
                <w:lang w:val="en-US"/>
              </w:rPr>
              <w:t> to prior cetuximab (or Panitumumab) plus irinotecan-based therapy and who failed at least one subsequent non-anti-</w:t>
            </w:r>
            <w:r w:rsidRPr="00EE48E2">
              <w:rPr>
                <w:rFonts w:ascii="Book Antiqua" w:hAnsi="Book Antiqua"/>
                <w:bCs/>
                <w:sz w:val="24"/>
                <w:szCs w:val="24"/>
                <w:lang w:val="en-US"/>
              </w:rPr>
              <w:t>EGFR</w:t>
            </w:r>
            <w:r w:rsidRPr="00EE48E2">
              <w:rPr>
                <w:rFonts w:ascii="Book Antiqua" w:hAnsi="Book Antiqua"/>
                <w:sz w:val="24"/>
                <w:szCs w:val="24"/>
                <w:lang w:val="en-US"/>
              </w:rPr>
              <w:t> containing regimen.</w:t>
            </w:r>
          </w:p>
          <w:p w14:paraId="50B845BD"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lang w:val="en-US"/>
              </w:rPr>
            </w:pPr>
          </w:p>
        </w:tc>
        <w:tc>
          <w:tcPr>
            <w:tcW w:w="1842" w:type="dxa"/>
          </w:tcPr>
          <w:p w14:paraId="485833D6"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NCT02508077</w:t>
            </w:r>
          </w:p>
        </w:tc>
        <w:tc>
          <w:tcPr>
            <w:tcW w:w="851" w:type="dxa"/>
          </w:tcPr>
          <w:p w14:paraId="7AC96551"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Phase II</w:t>
            </w:r>
          </w:p>
        </w:tc>
      </w:tr>
      <w:tr w:rsidR="00EE48E2" w:rsidRPr="00EE48E2" w14:paraId="7A5B14A8" w14:textId="77777777" w:rsidTr="00153518">
        <w:tc>
          <w:tcPr>
            <w:tcW w:w="1384" w:type="dxa"/>
          </w:tcPr>
          <w:p w14:paraId="1F134E4B" w14:textId="77777777" w:rsidR="00E4071E" w:rsidRPr="00EE48E2" w:rsidRDefault="00E4071E" w:rsidP="004D1833">
            <w:pPr>
              <w:tabs>
                <w:tab w:val="left" w:pos="3270"/>
              </w:tabs>
              <w:adjustRightInd w:val="0"/>
              <w:snapToGrid w:val="0"/>
              <w:spacing w:line="360" w:lineRule="auto"/>
              <w:jc w:val="both"/>
              <w:rPr>
                <w:rFonts w:ascii="Book Antiqua" w:hAnsi="Book Antiqua"/>
                <w:sz w:val="24"/>
                <w:szCs w:val="24"/>
              </w:rPr>
            </w:pPr>
            <w:r w:rsidRPr="00EE48E2">
              <w:rPr>
                <w:rFonts w:ascii="Book Antiqua" w:hAnsi="Book Antiqua"/>
                <w:sz w:val="24"/>
                <w:szCs w:val="24"/>
              </w:rPr>
              <w:t xml:space="preserve">ERBB2 </w:t>
            </w:r>
          </w:p>
        </w:tc>
        <w:tc>
          <w:tcPr>
            <w:tcW w:w="1559" w:type="dxa"/>
          </w:tcPr>
          <w:p w14:paraId="42AF4C7E" w14:textId="48E5816C"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pertuzumab</w:t>
            </w:r>
          </w:p>
          <w:p w14:paraId="5A164EEB"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trastuzumab</w:t>
            </w:r>
          </w:p>
          <w:p w14:paraId="24DE82B6"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p>
        </w:tc>
        <w:tc>
          <w:tcPr>
            <w:tcW w:w="3261" w:type="dxa"/>
          </w:tcPr>
          <w:p w14:paraId="074944D5"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lang w:val="en-US"/>
              </w:rPr>
            </w:pPr>
            <w:r w:rsidRPr="00EE48E2">
              <w:rPr>
                <w:rFonts w:ascii="Book Antiqua" w:hAnsi="Book Antiqua"/>
                <w:sz w:val="24"/>
                <w:szCs w:val="24"/>
                <w:lang w:val="en-US"/>
              </w:rPr>
              <w:t xml:space="preserve">pertuzumab and lapatinib in </w:t>
            </w:r>
            <w:r w:rsidRPr="00EE48E2">
              <w:rPr>
                <w:rFonts w:ascii="Book Antiqua" w:hAnsi="Book Antiqua"/>
                <w:i/>
                <w:sz w:val="24"/>
                <w:szCs w:val="24"/>
                <w:lang w:val="en-US"/>
              </w:rPr>
              <w:t>KRAS</w:t>
            </w:r>
            <w:r w:rsidRPr="00EE48E2">
              <w:rPr>
                <w:rFonts w:ascii="Book Antiqua" w:hAnsi="Book Antiqua"/>
                <w:sz w:val="24"/>
                <w:szCs w:val="24"/>
                <w:lang w:val="en-US"/>
              </w:rPr>
              <w:t xml:space="preserve"> exon 2 WT and HER2-positive mCRC refractory to standard of care (including cetuximab or panitumumab).</w:t>
            </w:r>
          </w:p>
          <w:p w14:paraId="20E24226"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lang w:val="en-US"/>
              </w:rPr>
            </w:pPr>
          </w:p>
        </w:tc>
        <w:tc>
          <w:tcPr>
            <w:tcW w:w="1842" w:type="dxa"/>
          </w:tcPr>
          <w:p w14:paraId="23106A12"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w:t>
            </w:r>
          </w:p>
        </w:tc>
        <w:tc>
          <w:tcPr>
            <w:tcW w:w="851" w:type="dxa"/>
          </w:tcPr>
          <w:p w14:paraId="47C20C34"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Phase II</w:t>
            </w:r>
          </w:p>
        </w:tc>
      </w:tr>
      <w:tr w:rsidR="00EE48E2" w:rsidRPr="00EE48E2" w14:paraId="63E0408C" w14:textId="77777777" w:rsidTr="00153518">
        <w:tc>
          <w:tcPr>
            <w:tcW w:w="1384" w:type="dxa"/>
          </w:tcPr>
          <w:p w14:paraId="13347535" w14:textId="77777777" w:rsidR="00E4071E" w:rsidRPr="00EE48E2" w:rsidRDefault="00E4071E" w:rsidP="004D1833">
            <w:pPr>
              <w:tabs>
                <w:tab w:val="left" w:pos="3270"/>
              </w:tabs>
              <w:adjustRightInd w:val="0"/>
              <w:snapToGrid w:val="0"/>
              <w:spacing w:line="360" w:lineRule="auto"/>
              <w:jc w:val="both"/>
              <w:rPr>
                <w:rFonts w:ascii="Book Antiqua" w:hAnsi="Book Antiqua"/>
                <w:sz w:val="24"/>
                <w:szCs w:val="24"/>
              </w:rPr>
            </w:pPr>
            <w:r w:rsidRPr="00EE48E2">
              <w:rPr>
                <w:rFonts w:ascii="Book Antiqua" w:hAnsi="Book Antiqua"/>
                <w:sz w:val="24"/>
                <w:szCs w:val="24"/>
              </w:rPr>
              <w:t>MET</w:t>
            </w:r>
          </w:p>
        </w:tc>
        <w:tc>
          <w:tcPr>
            <w:tcW w:w="1559" w:type="dxa"/>
          </w:tcPr>
          <w:p w14:paraId="5E81359D"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cetuximab INC280</w:t>
            </w:r>
          </w:p>
        </w:tc>
        <w:tc>
          <w:tcPr>
            <w:tcW w:w="3261" w:type="dxa"/>
          </w:tcPr>
          <w:p w14:paraId="1DF2AD31"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lang w:val="en-US"/>
              </w:rPr>
            </w:pPr>
            <w:r w:rsidRPr="00EE48E2">
              <w:rPr>
                <w:rFonts w:ascii="Book Antiqua" w:hAnsi="Book Antiqua"/>
                <w:sz w:val="24"/>
                <w:szCs w:val="24"/>
                <w:lang w:val="en-US"/>
              </w:rPr>
              <w:t>INC280 in combination with cetuximab in c-MET positive mCRC and HNSCC Patients who have progressed after anti-EGFR moAbs therapy.</w:t>
            </w:r>
          </w:p>
          <w:p w14:paraId="01EAEC86"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lang w:val="en-US"/>
              </w:rPr>
            </w:pPr>
          </w:p>
        </w:tc>
        <w:tc>
          <w:tcPr>
            <w:tcW w:w="1842" w:type="dxa"/>
          </w:tcPr>
          <w:p w14:paraId="2C807B3E"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NCT02205398</w:t>
            </w:r>
          </w:p>
        </w:tc>
        <w:tc>
          <w:tcPr>
            <w:tcW w:w="851" w:type="dxa"/>
          </w:tcPr>
          <w:p w14:paraId="5804B398"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Phase</w:t>
            </w:r>
          </w:p>
          <w:p w14:paraId="476AB64B"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Ib</w:t>
            </w:r>
          </w:p>
        </w:tc>
      </w:tr>
      <w:tr w:rsidR="00EE48E2" w:rsidRPr="00EE48E2" w14:paraId="1907CE12" w14:textId="77777777" w:rsidTr="00153518">
        <w:tc>
          <w:tcPr>
            <w:tcW w:w="1384" w:type="dxa"/>
          </w:tcPr>
          <w:p w14:paraId="2D192AE1" w14:textId="77777777" w:rsidR="00E4071E" w:rsidRPr="00EE48E2" w:rsidRDefault="00E4071E" w:rsidP="004D1833">
            <w:pPr>
              <w:tabs>
                <w:tab w:val="left" w:pos="3270"/>
              </w:tabs>
              <w:adjustRightInd w:val="0"/>
              <w:snapToGrid w:val="0"/>
              <w:spacing w:line="360" w:lineRule="auto"/>
              <w:jc w:val="both"/>
              <w:rPr>
                <w:rFonts w:ascii="Book Antiqua" w:hAnsi="Book Antiqua"/>
                <w:sz w:val="24"/>
                <w:szCs w:val="24"/>
              </w:rPr>
            </w:pPr>
            <w:r w:rsidRPr="00EE48E2">
              <w:rPr>
                <w:rFonts w:ascii="Book Antiqua" w:hAnsi="Book Antiqua"/>
                <w:sz w:val="24"/>
                <w:szCs w:val="24"/>
              </w:rPr>
              <w:t>MET</w:t>
            </w:r>
          </w:p>
        </w:tc>
        <w:tc>
          <w:tcPr>
            <w:tcW w:w="1559" w:type="dxa"/>
          </w:tcPr>
          <w:p w14:paraId="398EC26B"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cabozantinib</w:t>
            </w:r>
          </w:p>
          <w:p w14:paraId="34C5640E"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panitumumab</w:t>
            </w:r>
          </w:p>
          <w:p w14:paraId="139C371E"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p>
        </w:tc>
        <w:tc>
          <w:tcPr>
            <w:tcW w:w="3261" w:type="dxa"/>
          </w:tcPr>
          <w:p w14:paraId="6AFB3F0E" w14:textId="27A2E673" w:rsidR="00E4071E" w:rsidRPr="00EE48E2" w:rsidRDefault="00E4071E" w:rsidP="00153518">
            <w:pPr>
              <w:tabs>
                <w:tab w:val="left" w:pos="3270"/>
              </w:tabs>
              <w:adjustRightInd w:val="0"/>
              <w:snapToGrid w:val="0"/>
              <w:spacing w:line="360" w:lineRule="auto"/>
              <w:jc w:val="center"/>
              <w:rPr>
                <w:rFonts w:ascii="Book Antiqua" w:hAnsi="Book Antiqua"/>
                <w:sz w:val="24"/>
                <w:szCs w:val="24"/>
                <w:lang w:val="en-US"/>
              </w:rPr>
            </w:pPr>
            <w:r w:rsidRPr="00EE48E2">
              <w:rPr>
                <w:rFonts w:ascii="Book Antiqua" w:hAnsi="Book Antiqua"/>
                <w:sz w:val="24"/>
                <w:szCs w:val="24"/>
                <w:lang w:val="en-US"/>
              </w:rPr>
              <w:t xml:space="preserve">cabozantinib with panitumumab in subjects with </w:t>
            </w:r>
            <w:r w:rsidRPr="00EE48E2">
              <w:rPr>
                <w:rFonts w:ascii="Book Antiqua" w:hAnsi="Book Antiqua"/>
                <w:i/>
                <w:sz w:val="24"/>
                <w:szCs w:val="24"/>
                <w:lang w:val="en-US"/>
              </w:rPr>
              <w:t>KRAS</w:t>
            </w:r>
            <w:r w:rsidRPr="00EE48E2">
              <w:rPr>
                <w:rFonts w:ascii="Book Antiqua" w:hAnsi="Book Antiqua"/>
                <w:sz w:val="24"/>
                <w:szCs w:val="24"/>
                <w:lang w:val="en-US"/>
              </w:rPr>
              <w:t xml:space="preserve"> WT refractory mCRC</w:t>
            </w:r>
          </w:p>
        </w:tc>
        <w:tc>
          <w:tcPr>
            <w:tcW w:w="1842" w:type="dxa"/>
          </w:tcPr>
          <w:p w14:paraId="43AEEF07"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lang w:val="en-US"/>
              </w:rPr>
            </w:pPr>
          </w:p>
        </w:tc>
        <w:tc>
          <w:tcPr>
            <w:tcW w:w="851" w:type="dxa"/>
          </w:tcPr>
          <w:p w14:paraId="2914AB99"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Phase II</w:t>
            </w:r>
          </w:p>
        </w:tc>
      </w:tr>
      <w:tr w:rsidR="00EE48E2" w:rsidRPr="00EE48E2" w14:paraId="46F61AFF" w14:textId="77777777" w:rsidTr="00153518">
        <w:tc>
          <w:tcPr>
            <w:tcW w:w="1384" w:type="dxa"/>
          </w:tcPr>
          <w:p w14:paraId="5B7958F0" w14:textId="77777777" w:rsidR="00E4071E" w:rsidRPr="00EE48E2" w:rsidRDefault="00E4071E" w:rsidP="004D1833">
            <w:pPr>
              <w:tabs>
                <w:tab w:val="left" w:pos="3270"/>
              </w:tabs>
              <w:adjustRightInd w:val="0"/>
              <w:snapToGrid w:val="0"/>
              <w:spacing w:line="360" w:lineRule="auto"/>
              <w:jc w:val="both"/>
              <w:rPr>
                <w:rFonts w:ascii="Book Antiqua" w:hAnsi="Book Antiqua"/>
                <w:sz w:val="24"/>
                <w:szCs w:val="24"/>
              </w:rPr>
            </w:pPr>
            <w:r w:rsidRPr="00EE48E2">
              <w:rPr>
                <w:rFonts w:ascii="Book Antiqua" w:hAnsi="Book Antiqua"/>
                <w:sz w:val="24"/>
                <w:szCs w:val="24"/>
              </w:rPr>
              <w:t>BRAF/EG</w:t>
            </w:r>
            <w:r w:rsidRPr="00EE48E2">
              <w:rPr>
                <w:rFonts w:ascii="Book Antiqua" w:hAnsi="Book Antiqua"/>
                <w:sz w:val="24"/>
                <w:szCs w:val="24"/>
              </w:rPr>
              <w:lastRenderedPageBreak/>
              <w:t>FR</w:t>
            </w:r>
          </w:p>
        </w:tc>
        <w:tc>
          <w:tcPr>
            <w:tcW w:w="1559" w:type="dxa"/>
          </w:tcPr>
          <w:p w14:paraId="5955C534"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lastRenderedPageBreak/>
              <w:t>vemurafeni</w:t>
            </w:r>
            <w:r w:rsidRPr="00EE48E2">
              <w:rPr>
                <w:rFonts w:ascii="Book Antiqua" w:hAnsi="Book Antiqua"/>
                <w:sz w:val="24"/>
                <w:szCs w:val="24"/>
              </w:rPr>
              <w:lastRenderedPageBreak/>
              <w:t>b</w:t>
            </w:r>
          </w:p>
          <w:p w14:paraId="4A7B49CF"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cetuximab</w:t>
            </w:r>
          </w:p>
          <w:p w14:paraId="76CB75F1"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irinotecan</w:t>
            </w:r>
          </w:p>
        </w:tc>
        <w:tc>
          <w:tcPr>
            <w:tcW w:w="3261" w:type="dxa"/>
          </w:tcPr>
          <w:p w14:paraId="7678A665"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lang w:val="en-US"/>
              </w:rPr>
            </w:pPr>
            <w:r w:rsidRPr="00EE48E2">
              <w:rPr>
                <w:rFonts w:ascii="Book Antiqua" w:hAnsi="Book Antiqua"/>
                <w:sz w:val="24"/>
                <w:szCs w:val="24"/>
                <w:lang w:val="en-US"/>
              </w:rPr>
              <w:lastRenderedPageBreak/>
              <w:t xml:space="preserve">irinotecan </w:t>
            </w:r>
            <w:r w:rsidRPr="00EE48E2">
              <w:rPr>
                <w:rFonts w:ascii="Book Antiqua" w:hAnsi="Book Antiqua"/>
                <w:sz w:val="24"/>
                <w:szCs w:val="24"/>
                <w:lang w:val="en-US"/>
              </w:rPr>
              <w:lastRenderedPageBreak/>
              <w:t>and </w:t>
            </w:r>
            <w:r w:rsidRPr="00EE48E2">
              <w:rPr>
                <w:rFonts w:ascii="Book Antiqua" w:hAnsi="Book Antiqua"/>
                <w:bCs/>
                <w:sz w:val="24"/>
                <w:szCs w:val="24"/>
                <w:lang w:val="en-US"/>
              </w:rPr>
              <w:t>cetuximab</w:t>
            </w:r>
            <w:r w:rsidRPr="00EE48E2">
              <w:rPr>
                <w:rFonts w:ascii="Book Antiqua" w:hAnsi="Book Antiqua"/>
                <w:sz w:val="24"/>
                <w:szCs w:val="24"/>
                <w:lang w:val="en-US"/>
              </w:rPr>
              <w:t> with or without </w:t>
            </w:r>
            <w:r w:rsidRPr="00EE48E2">
              <w:rPr>
                <w:rFonts w:ascii="Book Antiqua" w:hAnsi="Book Antiqua"/>
                <w:bCs/>
                <w:sz w:val="24"/>
                <w:szCs w:val="24"/>
                <w:lang w:val="en-US"/>
              </w:rPr>
              <w:t>vemurafenib</w:t>
            </w:r>
            <w:r w:rsidRPr="00EE48E2">
              <w:rPr>
                <w:rFonts w:ascii="Book Antiqua" w:hAnsi="Book Antiqua"/>
                <w:sz w:val="24"/>
                <w:szCs w:val="24"/>
                <w:lang w:val="en-US"/>
              </w:rPr>
              <w:t xml:space="preserve"> in </w:t>
            </w:r>
            <w:r w:rsidRPr="00EE48E2">
              <w:rPr>
                <w:rFonts w:ascii="Book Antiqua" w:hAnsi="Book Antiqua"/>
                <w:i/>
                <w:sz w:val="24"/>
                <w:szCs w:val="24"/>
                <w:lang w:val="en-US"/>
              </w:rPr>
              <w:t>BRAF</w:t>
            </w:r>
            <w:r w:rsidRPr="00EE48E2">
              <w:rPr>
                <w:rFonts w:ascii="Book Antiqua" w:hAnsi="Book Antiqua"/>
                <w:sz w:val="24"/>
                <w:szCs w:val="24"/>
                <w:lang w:val="en-US"/>
              </w:rPr>
              <w:t xml:space="preserve"> mutant mCRC patients</w:t>
            </w:r>
          </w:p>
          <w:p w14:paraId="0D9456AC"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lang w:val="en-US"/>
              </w:rPr>
            </w:pPr>
          </w:p>
        </w:tc>
        <w:tc>
          <w:tcPr>
            <w:tcW w:w="1842" w:type="dxa"/>
          </w:tcPr>
          <w:p w14:paraId="0ECDC035"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lastRenderedPageBreak/>
              <w:t>NCT02164916</w:t>
            </w:r>
          </w:p>
        </w:tc>
        <w:tc>
          <w:tcPr>
            <w:tcW w:w="851" w:type="dxa"/>
          </w:tcPr>
          <w:p w14:paraId="06535BD1"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 xml:space="preserve">Phase </w:t>
            </w:r>
            <w:r w:rsidRPr="00EE48E2">
              <w:rPr>
                <w:rFonts w:ascii="Book Antiqua" w:hAnsi="Book Antiqua"/>
                <w:sz w:val="24"/>
                <w:szCs w:val="24"/>
              </w:rPr>
              <w:lastRenderedPageBreak/>
              <w:t>II</w:t>
            </w:r>
          </w:p>
        </w:tc>
      </w:tr>
      <w:tr w:rsidR="00EE48E2" w:rsidRPr="00EE48E2" w14:paraId="609EBCCE" w14:textId="77777777" w:rsidTr="00153518">
        <w:tc>
          <w:tcPr>
            <w:tcW w:w="1384" w:type="dxa"/>
          </w:tcPr>
          <w:p w14:paraId="6A7679B5" w14:textId="77777777" w:rsidR="00E4071E" w:rsidRPr="00EE48E2" w:rsidRDefault="00E4071E" w:rsidP="004D1833">
            <w:pPr>
              <w:tabs>
                <w:tab w:val="left" w:pos="3270"/>
              </w:tabs>
              <w:adjustRightInd w:val="0"/>
              <w:snapToGrid w:val="0"/>
              <w:spacing w:line="360" w:lineRule="auto"/>
              <w:jc w:val="both"/>
              <w:rPr>
                <w:rFonts w:ascii="Book Antiqua" w:hAnsi="Book Antiqua"/>
                <w:sz w:val="24"/>
                <w:szCs w:val="24"/>
              </w:rPr>
            </w:pPr>
            <w:r w:rsidRPr="00EE48E2">
              <w:rPr>
                <w:rFonts w:ascii="Book Antiqua" w:hAnsi="Book Antiqua"/>
                <w:sz w:val="24"/>
                <w:szCs w:val="24"/>
              </w:rPr>
              <w:lastRenderedPageBreak/>
              <w:t>BRAF/PI3K/EGFR</w:t>
            </w:r>
          </w:p>
        </w:tc>
        <w:tc>
          <w:tcPr>
            <w:tcW w:w="1559" w:type="dxa"/>
          </w:tcPr>
          <w:p w14:paraId="5E28031F" w14:textId="2F6F97EE"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LGX818 BYL719</w:t>
            </w:r>
          </w:p>
          <w:p w14:paraId="400CAB75"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cetuximab</w:t>
            </w:r>
          </w:p>
        </w:tc>
        <w:tc>
          <w:tcPr>
            <w:tcW w:w="3261" w:type="dxa"/>
          </w:tcPr>
          <w:p w14:paraId="411A7042"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lang w:val="en-US"/>
              </w:rPr>
            </w:pPr>
            <w:r w:rsidRPr="00EE48E2">
              <w:rPr>
                <w:rFonts w:ascii="Book Antiqua" w:hAnsi="Book Antiqua"/>
                <w:sz w:val="24"/>
                <w:szCs w:val="24"/>
                <w:lang w:val="en-US"/>
              </w:rPr>
              <w:t>LGX818 and cetuximab or LGX818, BYL719, and cetuximab in</w:t>
            </w:r>
          </w:p>
          <w:p w14:paraId="2E517C21"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i/>
                <w:sz w:val="24"/>
                <w:szCs w:val="24"/>
              </w:rPr>
              <w:t>BRAF</w:t>
            </w:r>
            <w:r w:rsidRPr="00EE48E2">
              <w:rPr>
                <w:rFonts w:ascii="Book Antiqua" w:hAnsi="Book Antiqua"/>
                <w:sz w:val="24"/>
                <w:szCs w:val="24"/>
              </w:rPr>
              <w:t xml:space="preserve"> mutant mCRC patients</w:t>
            </w:r>
          </w:p>
          <w:p w14:paraId="0713C3E6"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p>
        </w:tc>
        <w:tc>
          <w:tcPr>
            <w:tcW w:w="1842" w:type="dxa"/>
          </w:tcPr>
          <w:p w14:paraId="1C4F1417"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NCT01719380</w:t>
            </w:r>
          </w:p>
        </w:tc>
        <w:tc>
          <w:tcPr>
            <w:tcW w:w="851" w:type="dxa"/>
          </w:tcPr>
          <w:p w14:paraId="20C27F6A" w14:textId="67244A3E"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Phase I/II</w:t>
            </w:r>
          </w:p>
        </w:tc>
      </w:tr>
      <w:tr w:rsidR="00EE48E2" w:rsidRPr="00EE48E2" w14:paraId="0D5E6B2E" w14:textId="77777777" w:rsidTr="00153518">
        <w:tc>
          <w:tcPr>
            <w:tcW w:w="1384" w:type="dxa"/>
          </w:tcPr>
          <w:p w14:paraId="44BE06A0" w14:textId="77777777" w:rsidR="00E4071E" w:rsidRPr="00EE48E2" w:rsidRDefault="00E4071E" w:rsidP="004D1833">
            <w:pPr>
              <w:tabs>
                <w:tab w:val="left" w:pos="3270"/>
              </w:tabs>
              <w:adjustRightInd w:val="0"/>
              <w:snapToGrid w:val="0"/>
              <w:spacing w:line="360" w:lineRule="auto"/>
              <w:jc w:val="both"/>
              <w:rPr>
                <w:rFonts w:ascii="Book Antiqua" w:hAnsi="Book Antiqua"/>
                <w:sz w:val="24"/>
                <w:szCs w:val="24"/>
              </w:rPr>
            </w:pPr>
            <w:r w:rsidRPr="00EE48E2">
              <w:rPr>
                <w:rFonts w:ascii="Book Antiqua" w:hAnsi="Book Antiqua"/>
                <w:sz w:val="24"/>
                <w:szCs w:val="24"/>
              </w:rPr>
              <w:t>BRAF/MEK/EGFR</w:t>
            </w:r>
          </w:p>
        </w:tc>
        <w:tc>
          <w:tcPr>
            <w:tcW w:w="1559" w:type="dxa"/>
          </w:tcPr>
          <w:p w14:paraId="4910EF28"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trametinib</w:t>
            </w:r>
          </w:p>
          <w:p w14:paraId="29B3B2DD"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dabrafenib</w:t>
            </w:r>
          </w:p>
          <w:p w14:paraId="6DE1A040"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panitumumab</w:t>
            </w:r>
          </w:p>
        </w:tc>
        <w:tc>
          <w:tcPr>
            <w:tcW w:w="3261" w:type="dxa"/>
          </w:tcPr>
          <w:p w14:paraId="03CD9A89"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lang w:val="en-US"/>
              </w:rPr>
            </w:pPr>
            <w:r w:rsidRPr="00EE48E2">
              <w:rPr>
                <w:rFonts w:ascii="Book Antiqua" w:hAnsi="Book Antiqua"/>
                <w:sz w:val="24"/>
                <w:szCs w:val="24"/>
                <w:lang w:val="en-US"/>
              </w:rPr>
              <w:t>trametinib and dabrafenib administered in combination with panitumumab in </w:t>
            </w:r>
            <w:r w:rsidRPr="00EE48E2">
              <w:rPr>
                <w:rFonts w:ascii="Book Antiqua" w:hAnsi="Book Antiqua"/>
                <w:bCs/>
                <w:i/>
                <w:sz w:val="24"/>
                <w:szCs w:val="24"/>
                <w:lang w:val="en-US"/>
              </w:rPr>
              <w:t>BRAF</w:t>
            </w:r>
            <w:r w:rsidRPr="00EE48E2">
              <w:rPr>
                <w:rFonts w:ascii="Book Antiqua" w:hAnsi="Book Antiqua"/>
                <w:b/>
                <w:bCs/>
                <w:i/>
                <w:sz w:val="24"/>
                <w:szCs w:val="24"/>
                <w:lang w:val="en-US"/>
              </w:rPr>
              <w:t>-</w:t>
            </w:r>
            <w:r w:rsidRPr="00EE48E2">
              <w:rPr>
                <w:rFonts w:ascii="Book Antiqua" w:hAnsi="Book Antiqua"/>
                <w:i/>
                <w:sz w:val="24"/>
                <w:szCs w:val="24"/>
                <w:lang w:val="en-US"/>
              </w:rPr>
              <w:t xml:space="preserve"> V600E</w:t>
            </w:r>
            <w:r w:rsidRPr="00EE48E2">
              <w:rPr>
                <w:rFonts w:ascii="Book Antiqua" w:hAnsi="Book Antiqua"/>
                <w:sz w:val="24"/>
                <w:szCs w:val="24"/>
                <w:lang w:val="en-US"/>
              </w:rPr>
              <w:t xml:space="preserve"> positive mCRC patients with secondary resistance to prior anti-EGFR therapy.</w:t>
            </w:r>
          </w:p>
          <w:p w14:paraId="01AE20D0"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lang w:val="en-US"/>
              </w:rPr>
            </w:pPr>
          </w:p>
        </w:tc>
        <w:tc>
          <w:tcPr>
            <w:tcW w:w="1842" w:type="dxa"/>
          </w:tcPr>
          <w:p w14:paraId="102D7108"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NCT01750918</w:t>
            </w:r>
          </w:p>
        </w:tc>
        <w:tc>
          <w:tcPr>
            <w:tcW w:w="851" w:type="dxa"/>
          </w:tcPr>
          <w:p w14:paraId="3A55EC7E" w14:textId="764122FB"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Phase I/II</w:t>
            </w:r>
          </w:p>
        </w:tc>
      </w:tr>
      <w:tr w:rsidR="00EE48E2" w:rsidRPr="00EE48E2" w14:paraId="55511D92" w14:textId="77777777" w:rsidTr="00153518">
        <w:tc>
          <w:tcPr>
            <w:tcW w:w="1384" w:type="dxa"/>
          </w:tcPr>
          <w:p w14:paraId="7A42692C" w14:textId="77777777" w:rsidR="00E4071E" w:rsidRPr="00EE48E2" w:rsidRDefault="00E4071E" w:rsidP="004D1833">
            <w:pPr>
              <w:tabs>
                <w:tab w:val="left" w:pos="3270"/>
              </w:tabs>
              <w:adjustRightInd w:val="0"/>
              <w:snapToGrid w:val="0"/>
              <w:spacing w:line="360" w:lineRule="auto"/>
              <w:jc w:val="both"/>
              <w:rPr>
                <w:rFonts w:ascii="Book Antiqua" w:hAnsi="Book Antiqua"/>
                <w:sz w:val="24"/>
                <w:szCs w:val="24"/>
              </w:rPr>
            </w:pPr>
            <w:r w:rsidRPr="00EE48E2">
              <w:rPr>
                <w:rFonts w:ascii="Book Antiqua" w:hAnsi="Book Antiqua"/>
                <w:sz w:val="24"/>
                <w:szCs w:val="24"/>
              </w:rPr>
              <w:t>PI3K-mTOR</w:t>
            </w:r>
          </w:p>
        </w:tc>
        <w:tc>
          <w:tcPr>
            <w:tcW w:w="1559" w:type="dxa"/>
          </w:tcPr>
          <w:p w14:paraId="60C9B64B"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panitumumab</w:t>
            </w:r>
          </w:p>
          <w:p w14:paraId="35633815"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everolimus</w:t>
            </w:r>
          </w:p>
          <w:p w14:paraId="3A6B597E"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irinotecan</w:t>
            </w:r>
          </w:p>
        </w:tc>
        <w:tc>
          <w:tcPr>
            <w:tcW w:w="3261" w:type="dxa"/>
          </w:tcPr>
          <w:p w14:paraId="435504C6" w14:textId="5CC5431D" w:rsidR="00E4071E" w:rsidRPr="00EE48E2" w:rsidRDefault="00E4071E" w:rsidP="00153518">
            <w:pPr>
              <w:tabs>
                <w:tab w:val="left" w:pos="3270"/>
              </w:tabs>
              <w:adjustRightInd w:val="0"/>
              <w:snapToGrid w:val="0"/>
              <w:spacing w:line="360" w:lineRule="auto"/>
              <w:jc w:val="center"/>
              <w:rPr>
                <w:rFonts w:ascii="Book Antiqua" w:hAnsi="Book Antiqua"/>
                <w:sz w:val="24"/>
                <w:szCs w:val="24"/>
                <w:lang w:val="en-US"/>
              </w:rPr>
            </w:pPr>
            <w:r w:rsidRPr="00EE48E2">
              <w:rPr>
                <w:rFonts w:ascii="Book Antiqua" w:hAnsi="Book Antiqua"/>
                <w:sz w:val="24"/>
                <w:szCs w:val="24"/>
                <w:lang w:val="en-US"/>
              </w:rPr>
              <w:t xml:space="preserve">second line therapy with panitumumab, irinotecan and everolimus in </w:t>
            </w:r>
            <w:r w:rsidRPr="00EE48E2">
              <w:rPr>
                <w:rFonts w:ascii="Book Antiqua" w:hAnsi="Book Antiqua"/>
                <w:i/>
                <w:sz w:val="24"/>
                <w:szCs w:val="24"/>
                <w:lang w:val="en-US"/>
              </w:rPr>
              <w:t>KRAS WT</w:t>
            </w:r>
            <w:r w:rsidR="00EE48E2" w:rsidRPr="00EE48E2">
              <w:rPr>
                <w:rFonts w:ascii="Book Antiqua" w:hAnsi="Book Antiqua"/>
                <w:i/>
                <w:sz w:val="24"/>
                <w:szCs w:val="24"/>
                <w:lang w:val="en-US"/>
              </w:rPr>
              <w:t xml:space="preserve"> </w:t>
            </w:r>
            <w:r w:rsidRPr="00EE48E2">
              <w:rPr>
                <w:rFonts w:ascii="Book Antiqua" w:hAnsi="Book Antiqua"/>
                <w:sz w:val="24"/>
                <w:szCs w:val="24"/>
                <w:lang w:val="en-US"/>
              </w:rPr>
              <w:t>mCRC patients.</w:t>
            </w:r>
          </w:p>
        </w:tc>
        <w:tc>
          <w:tcPr>
            <w:tcW w:w="1842" w:type="dxa"/>
          </w:tcPr>
          <w:p w14:paraId="2FA4FD24"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NCT01139138</w:t>
            </w:r>
          </w:p>
        </w:tc>
        <w:tc>
          <w:tcPr>
            <w:tcW w:w="851" w:type="dxa"/>
          </w:tcPr>
          <w:p w14:paraId="6790266B" w14:textId="3BE7FE0E"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Phase</w:t>
            </w:r>
          </w:p>
          <w:p w14:paraId="201EB6A2"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Ib/II</w:t>
            </w:r>
          </w:p>
        </w:tc>
      </w:tr>
      <w:tr w:rsidR="00EE48E2" w:rsidRPr="00EE48E2" w14:paraId="4D2CC71A" w14:textId="77777777" w:rsidTr="00153518">
        <w:tc>
          <w:tcPr>
            <w:tcW w:w="1384" w:type="dxa"/>
          </w:tcPr>
          <w:p w14:paraId="23E85723" w14:textId="77777777" w:rsidR="00E4071E" w:rsidRPr="00EE48E2" w:rsidRDefault="00E4071E" w:rsidP="004D1833">
            <w:pPr>
              <w:tabs>
                <w:tab w:val="left" w:pos="3270"/>
              </w:tabs>
              <w:adjustRightInd w:val="0"/>
              <w:snapToGrid w:val="0"/>
              <w:spacing w:line="360" w:lineRule="auto"/>
              <w:jc w:val="both"/>
              <w:rPr>
                <w:rFonts w:ascii="Book Antiqua" w:hAnsi="Book Antiqua"/>
                <w:sz w:val="24"/>
                <w:szCs w:val="24"/>
              </w:rPr>
            </w:pPr>
            <w:r w:rsidRPr="00EE48E2">
              <w:rPr>
                <w:rFonts w:ascii="Book Antiqua" w:hAnsi="Book Antiqua"/>
                <w:sz w:val="24"/>
                <w:szCs w:val="24"/>
              </w:rPr>
              <w:t>PI3K/MEK</w:t>
            </w:r>
          </w:p>
        </w:tc>
        <w:tc>
          <w:tcPr>
            <w:tcW w:w="1559" w:type="dxa"/>
          </w:tcPr>
          <w:p w14:paraId="23639F2D"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BKM120</w:t>
            </w:r>
          </w:p>
          <w:p w14:paraId="3FDE436F"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MEK162</w:t>
            </w:r>
          </w:p>
        </w:tc>
        <w:tc>
          <w:tcPr>
            <w:tcW w:w="3261" w:type="dxa"/>
          </w:tcPr>
          <w:p w14:paraId="4CCDDB1B"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lang w:val="en-US"/>
              </w:rPr>
            </w:pPr>
            <w:r w:rsidRPr="00EE48E2">
              <w:rPr>
                <w:rFonts w:ascii="Book Antiqua" w:hAnsi="Book Antiqua"/>
                <w:sz w:val="24"/>
                <w:szCs w:val="24"/>
                <w:lang w:val="en-US"/>
              </w:rPr>
              <w:t>BKM120 plus MEK162 in adult patients with selected advanced solid tumors</w:t>
            </w:r>
          </w:p>
        </w:tc>
        <w:tc>
          <w:tcPr>
            <w:tcW w:w="1842" w:type="dxa"/>
          </w:tcPr>
          <w:p w14:paraId="105B7639"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NCT01363232</w:t>
            </w:r>
          </w:p>
        </w:tc>
        <w:tc>
          <w:tcPr>
            <w:tcW w:w="851" w:type="dxa"/>
          </w:tcPr>
          <w:p w14:paraId="1FD33343"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Phase</w:t>
            </w:r>
          </w:p>
          <w:p w14:paraId="046260EB" w14:textId="77777777" w:rsidR="00E4071E" w:rsidRPr="00EE48E2" w:rsidRDefault="00E4071E" w:rsidP="00153518">
            <w:pPr>
              <w:tabs>
                <w:tab w:val="left" w:pos="3270"/>
              </w:tabs>
              <w:adjustRightInd w:val="0"/>
              <w:snapToGrid w:val="0"/>
              <w:spacing w:line="360" w:lineRule="auto"/>
              <w:jc w:val="center"/>
              <w:rPr>
                <w:rFonts w:ascii="Book Antiqua" w:hAnsi="Book Antiqua"/>
                <w:b/>
                <w:sz w:val="24"/>
                <w:szCs w:val="24"/>
              </w:rPr>
            </w:pPr>
            <w:r w:rsidRPr="00EE48E2">
              <w:rPr>
                <w:rFonts w:ascii="Book Antiqua" w:hAnsi="Book Antiqua"/>
                <w:sz w:val="24"/>
                <w:szCs w:val="24"/>
              </w:rPr>
              <w:t>Ib</w:t>
            </w:r>
          </w:p>
        </w:tc>
      </w:tr>
      <w:tr w:rsidR="00EE48E2" w:rsidRPr="00EE48E2" w14:paraId="1F9348DD" w14:textId="77777777" w:rsidTr="00153518">
        <w:tc>
          <w:tcPr>
            <w:tcW w:w="1384" w:type="dxa"/>
            <w:tcBorders>
              <w:bottom w:val="single" w:sz="4" w:space="0" w:color="auto"/>
            </w:tcBorders>
          </w:tcPr>
          <w:p w14:paraId="49DEFEF8" w14:textId="758C091F" w:rsidR="00E4071E" w:rsidRPr="00EE48E2" w:rsidRDefault="00E4071E" w:rsidP="004D1833">
            <w:pPr>
              <w:tabs>
                <w:tab w:val="left" w:pos="3270"/>
              </w:tabs>
              <w:adjustRightInd w:val="0"/>
              <w:snapToGrid w:val="0"/>
              <w:spacing w:line="360" w:lineRule="auto"/>
              <w:jc w:val="both"/>
              <w:rPr>
                <w:rFonts w:ascii="Book Antiqua" w:hAnsi="Book Antiqua"/>
                <w:sz w:val="24"/>
                <w:szCs w:val="24"/>
              </w:rPr>
            </w:pPr>
            <w:r w:rsidRPr="00EE48E2">
              <w:rPr>
                <w:rFonts w:ascii="Book Antiqua" w:hAnsi="Book Antiqua"/>
                <w:sz w:val="24"/>
                <w:szCs w:val="24"/>
              </w:rPr>
              <w:t>Immune</w:t>
            </w:r>
            <w:r w:rsidR="00EE48E2" w:rsidRPr="00EE48E2">
              <w:rPr>
                <w:rFonts w:ascii="Book Antiqua" w:hAnsi="Book Antiqua"/>
                <w:sz w:val="24"/>
                <w:szCs w:val="24"/>
              </w:rPr>
              <w:t xml:space="preserve"> </w:t>
            </w:r>
            <w:r w:rsidRPr="00EE48E2">
              <w:rPr>
                <w:rFonts w:ascii="Book Antiqua" w:hAnsi="Book Antiqua"/>
                <w:sz w:val="24"/>
                <w:szCs w:val="24"/>
              </w:rPr>
              <w:t>Evasion</w:t>
            </w:r>
          </w:p>
        </w:tc>
        <w:tc>
          <w:tcPr>
            <w:tcW w:w="1559" w:type="dxa"/>
            <w:tcBorders>
              <w:bottom w:val="single" w:sz="4" w:space="0" w:color="auto"/>
            </w:tcBorders>
          </w:tcPr>
          <w:p w14:paraId="0AE857B9"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pembrolizumab</w:t>
            </w:r>
          </w:p>
          <w:p w14:paraId="0E7A0FB4"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cetuximab</w:t>
            </w:r>
          </w:p>
          <w:p w14:paraId="7BB92868"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p>
        </w:tc>
        <w:tc>
          <w:tcPr>
            <w:tcW w:w="3261" w:type="dxa"/>
            <w:tcBorders>
              <w:bottom w:val="single" w:sz="4" w:space="0" w:color="auto"/>
            </w:tcBorders>
          </w:tcPr>
          <w:p w14:paraId="09500A95"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lang w:val="en-US"/>
              </w:rPr>
            </w:pPr>
            <w:r w:rsidRPr="00EE48E2">
              <w:rPr>
                <w:rFonts w:ascii="Book Antiqua" w:hAnsi="Book Antiqua"/>
                <w:sz w:val="24"/>
                <w:szCs w:val="24"/>
                <w:lang w:val="en-US"/>
              </w:rPr>
              <w:t xml:space="preserve">pembrolizumab plus cetuximab for </w:t>
            </w:r>
            <w:r w:rsidRPr="00EE48E2">
              <w:rPr>
                <w:rFonts w:ascii="Book Antiqua" w:hAnsi="Book Antiqua"/>
                <w:i/>
                <w:sz w:val="24"/>
                <w:szCs w:val="24"/>
                <w:lang w:val="en-US"/>
              </w:rPr>
              <w:t>KRAS-NRAS-BRAF</w:t>
            </w:r>
            <w:r w:rsidRPr="00EE48E2">
              <w:rPr>
                <w:rFonts w:ascii="Book Antiqua" w:hAnsi="Book Antiqua"/>
                <w:sz w:val="24"/>
                <w:szCs w:val="24"/>
                <w:lang w:val="en-US"/>
              </w:rPr>
              <w:t xml:space="preserve"> WT mCRC patients.</w:t>
            </w:r>
          </w:p>
          <w:p w14:paraId="5EB29FB6"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lang w:val="en-US"/>
              </w:rPr>
            </w:pPr>
          </w:p>
        </w:tc>
        <w:tc>
          <w:tcPr>
            <w:tcW w:w="1842" w:type="dxa"/>
            <w:tcBorders>
              <w:bottom w:val="single" w:sz="4" w:space="0" w:color="auto"/>
            </w:tcBorders>
          </w:tcPr>
          <w:p w14:paraId="05A6020E" w14:textId="77777777"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NCT02318901</w:t>
            </w:r>
          </w:p>
        </w:tc>
        <w:tc>
          <w:tcPr>
            <w:tcW w:w="851" w:type="dxa"/>
            <w:tcBorders>
              <w:bottom w:val="single" w:sz="4" w:space="0" w:color="auto"/>
            </w:tcBorders>
          </w:tcPr>
          <w:p w14:paraId="4CA98D01" w14:textId="4E0A3720" w:rsidR="00E4071E" w:rsidRPr="00EE48E2" w:rsidRDefault="00E4071E" w:rsidP="00153518">
            <w:pPr>
              <w:tabs>
                <w:tab w:val="left" w:pos="3270"/>
              </w:tabs>
              <w:adjustRightInd w:val="0"/>
              <w:snapToGrid w:val="0"/>
              <w:spacing w:line="360" w:lineRule="auto"/>
              <w:jc w:val="center"/>
              <w:rPr>
                <w:rFonts w:ascii="Book Antiqua" w:hAnsi="Book Antiqua"/>
                <w:sz w:val="24"/>
                <w:szCs w:val="24"/>
              </w:rPr>
            </w:pPr>
            <w:r w:rsidRPr="00EE48E2">
              <w:rPr>
                <w:rFonts w:ascii="Book Antiqua" w:hAnsi="Book Antiqua"/>
                <w:sz w:val="24"/>
                <w:szCs w:val="24"/>
              </w:rPr>
              <w:t>Phase I/II</w:t>
            </w:r>
          </w:p>
        </w:tc>
      </w:tr>
    </w:tbl>
    <w:p w14:paraId="2B4528D4" w14:textId="6FDAB439" w:rsidR="00E4071E" w:rsidRPr="00EE48E2" w:rsidRDefault="00E4071E" w:rsidP="004D1833">
      <w:pPr>
        <w:tabs>
          <w:tab w:val="left" w:pos="3270"/>
        </w:tabs>
        <w:adjustRightInd w:val="0"/>
        <w:snapToGrid w:val="0"/>
        <w:spacing w:after="0" w:line="360" w:lineRule="auto"/>
        <w:jc w:val="both"/>
        <w:rPr>
          <w:rFonts w:ascii="Book Antiqua" w:hAnsi="Book Antiqua"/>
          <w:sz w:val="24"/>
          <w:szCs w:val="24"/>
          <w:lang w:val="en-GB" w:eastAsia="zh-CN"/>
        </w:rPr>
      </w:pPr>
      <w:bookmarkStart w:id="756" w:name="OLE_LINK3261"/>
      <w:bookmarkStart w:id="757" w:name="OLE_LINK3262"/>
      <w:r w:rsidRPr="00EE48E2">
        <w:rPr>
          <w:rFonts w:ascii="Book Antiqua" w:hAnsi="Book Antiqua"/>
          <w:sz w:val="24"/>
          <w:szCs w:val="24"/>
          <w:lang w:val="en-GB"/>
        </w:rPr>
        <w:lastRenderedPageBreak/>
        <w:t>EGFR</w:t>
      </w:r>
      <w:r w:rsidR="00153518" w:rsidRPr="00EE48E2">
        <w:rPr>
          <w:rFonts w:ascii="Book Antiqua" w:hAnsi="Book Antiqua" w:hint="eastAsia"/>
          <w:sz w:val="24"/>
          <w:szCs w:val="24"/>
          <w:lang w:val="en-GB" w:eastAsia="zh-CN"/>
        </w:rPr>
        <w:t>:</w:t>
      </w:r>
      <w:r w:rsidRPr="00EE48E2">
        <w:rPr>
          <w:rFonts w:ascii="Book Antiqua" w:hAnsi="Book Antiqua"/>
          <w:sz w:val="24"/>
          <w:szCs w:val="24"/>
          <w:lang w:val="en-GB"/>
        </w:rPr>
        <w:t xml:space="preserve"> </w:t>
      </w:r>
      <w:r w:rsidR="003636D0" w:rsidRPr="00EE48E2">
        <w:rPr>
          <w:rFonts w:ascii="Book Antiqua" w:hAnsi="Book Antiqua"/>
          <w:sz w:val="24"/>
          <w:szCs w:val="24"/>
          <w:lang w:val="en-GB"/>
        </w:rPr>
        <w:t xml:space="preserve">Epidermal </w:t>
      </w:r>
      <w:r w:rsidRPr="00EE48E2">
        <w:rPr>
          <w:rFonts w:ascii="Book Antiqua" w:hAnsi="Book Antiqua"/>
          <w:sz w:val="24"/>
          <w:szCs w:val="24"/>
          <w:lang w:val="en-GB"/>
        </w:rPr>
        <w:t>growth factor receptor</w:t>
      </w:r>
      <w:bookmarkEnd w:id="756"/>
      <w:bookmarkEnd w:id="757"/>
      <w:r w:rsidRPr="00EE48E2">
        <w:rPr>
          <w:rFonts w:ascii="Book Antiqua" w:hAnsi="Book Antiqua"/>
          <w:sz w:val="24"/>
          <w:szCs w:val="24"/>
          <w:lang w:val="en-GB"/>
        </w:rPr>
        <w:t xml:space="preserve">; </w:t>
      </w:r>
      <w:r w:rsidR="003636D0" w:rsidRPr="00EE48E2">
        <w:rPr>
          <w:rFonts w:ascii="Book Antiqua" w:hAnsi="Book Antiqua" w:hint="eastAsia"/>
          <w:sz w:val="24"/>
          <w:szCs w:val="24"/>
          <w:lang w:val="en-GB" w:eastAsia="zh-CN"/>
        </w:rPr>
        <w:t>m</w:t>
      </w:r>
      <w:r w:rsidR="00B0119A" w:rsidRPr="00EE48E2">
        <w:rPr>
          <w:rFonts w:ascii="Book Antiqua" w:hAnsi="Book Antiqua" w:hint="eastAsia"/>
          <w:sz w:val="24"/>
          <w:szCs w:val="24"/>
          <w:lang w:val="en-GB" w:eastAsia="zh-CN"/>
        </w:rPr>
        <w:t>CRC:</w:t>
      </w:r>
      <w:r w:rsidRPr="00EE48E2">
        <w:rPr>
          <w:rFonts w:ascii="Book Antiqua" w:hAnsi="Book Antiqua"/>
          <w:sz w:val="24"/>
          <w:szCs w:val="24"/>
          <w:lang w:val="en-GB"/>
        </w:rPr>
        <w:t xml:space="preserve"> </w:t>
      </w:r>
      <w:r w:rsidR="003636D0" w:rsidRPr="00EE48E2">
        <w:rPr>
          <w:rFonts w:ascii="Book Antiqua" w:hAnsi="Book Antiqua"/>
          <w:sz w:val="24"/>
          <w:szCs w:val="24"/>
          <w:lang w:val="en-GB"/>
        </w:rPr>
        <w:t xml:space="preserve">Metastatic </w:t>
      </w:r>
      <w:r w:rsidRPr="00EE48E2">
        <w:rPr>
          <w:rFonts w:ascii="Book Antiqua" w:hAnsi="Book Antiqua"/>
          <w:sz w:val="24"/>
          <w:szCs w:val="24"/>
          <w:lang w:val="en-GB"/>
        </w:rPr>
        <w:t>colorectal cancer; WT</w:t>
      </w:r>
      <w:r w:rsidR="00153518" w:rsidRPr="00EE48E2">
        <w:rPr>
          <w:rFonts w:ascii="Book Antiqua" w:hAnsi="Book Antiqua" w:hint="eastAsia"/>
          <w:sz w:val="24"/>
          <w:szCs w:val="24"/>
          <w:lang w:val="en-GB" w:eastAsia="zh-CN"/>
        </w:rPr>
        <w:t xml:space="preserve">: </w:t>
      </w:r>
      <w:r w:rsidR="00B0119A" w:rsidRPr="00EE48E2">
        <w:rPr>
          <w:rFonts w:ascii="Book Antiqua" w:hAnsi="Book Antiqua"/>
          <w:sz w:val="24"/>
          <w:szCs w:val="24"/>
          <w:lang w:val="en-GB"/>
        </w:rPr>
        <w:t xml:space="preserve">Wild </w:t>
      </w:r>
      <w:r w:rsidRPr="00EE48E2">
        <w:rPr>
          <w:rFonts w:ascii="Book Antiqua" w:hAnsi="Book Antiqua"/>
          <w:sz w:val="24"/>
          <w:szCs w:val="24"/>
          <w:lang w:val="en-GB"/>
        </w:rPr>
        <w:t>type; mAb</w:t>
      </w:r>
      <w:r w:rsidR="00153518" w:rsidRPr="00EE48E2">
        <w:rPr>
          <w:rFonts w:ascii="Book Antiqua" w:hAnsi="Book Antiqua" w:hint="eastAsia"/>
          <w:sz w:val="24"/>
          <w:szCs w:val="24"/>
          <w:lang w:val="en-GB" w:eastAsia="zh-CN"/>
        </w:rPr>
        <w:t>:</w:t>
      </w:r>
      <w:r w:rsidRPr="00EE48E2">
        <w:rPr>
          <w:rFonts w:ascii="Book Antiqua" w:hAnsi="Book Antiqua"/>
          <w:sz w:val="24"/>
          <w:szCs w:val="24"/>
          <w:lang w:val="en-GB"/>
        </w:rPr>
        <w:t xml:space="preserve"> monoclonal antibody; FOLFIRI</w:t>
      </w:r>
      <w:r w:rsidR="00153518" w:rsidRPr="00EE48E2">
        <w:rPr>
          <w:rFonts w:ascii="Book Antiqua" w:hAnsi="Book Antiqua" w:hint="eastAsia"/>
          <w:sz w:val="24"/>
          <w:szCs w:val="24"/>
          <w:lang w:val="en-GB" w:eastAsia="zh-CN"/>
        </w:rPr>
        <w:t>:</w:t>
      </w:r>
      <w:r w:rsidRPr="00EE48E2">
        <w:rPr>
          <w:rFonts w:ascii="Book Antiqua" w:hAnsi="Book Antiqua"/>
          <w:sz w:val="24"/>
          <w:szCs w:val="24"/>
          <w:lang w:val="en-GB"/>
        </w:rPr>
        <w:t xml:space="preserve"> </w:t>
      </w:r>
      <w:r w:rsidR="00B0119A" w:rsidRPr="00EE48E2">
        <w:rPr>
          <w:rFonts w:ascii="Book Antiqua" w:hAnsi="Book Antiqua"/>
          <w:sz w:val="24"/>
          <w:szCs w:val="24"/>
          <w:lang w:val="en-GB"/>
        </w:rPr>
        <w:t>Fluorouracil</w:t>
      </w:r>
      <w:r w:rsidRPr="00EE48E2">
        <w:rPr>
          <w:rFonts w:ascii="Book Antiqua" w:hAnsi="Book Antiqua"/>
          <w:sz w:val="24"/>
          <w:szCs w:val="24"/>
          <w:lang w:val="en-GB"/>
        </w:rPr>
        <w:t>, leucovorin, and irinotecan; PI3K</w:t>
      </w:r>
      <w:r w:rsidR="00153518" w:rsidRPr="00EE48E2">
        <w:rPr>
          <w:rFonts w:ascii="Book Antiqua" w:hAnsi="Book Antiqua" w:hint="eastAsia"/>
          <w:sz w:val="24"/>
          <w:szCs w:val="24"/>
          <w:lang w:val="en-GB" w:eastAsia="zh-CN"/>
        </w:rPr>
        <w:t>:</w:t>
      </w:r>
      <w:r w:rsidRPr="00EE48E2">
        <w:rPr>
          <w:rFonts w:ascii="Book Antiqua" w:hAnsi="Book Antiqua"/>
          <w:sz w:val="24"/>
          <w:szCs w:val="24"/>
          <w:lang w:val="en-GB"/>
        </w:rPr>
        <w:t xml:space="preserve"> </w:t>
      </w:r>
      <w:r w:rsidR="00B0119A" w:rsidRPr="00EE48E2">
        <w:rPr>
          <w:rFonts w:ascii="Book Antiqua" w:hAnsi="Book Antiqua"/>
          <w:sz w:val="24"/>
          <w:szCs w:val="24"/>
          <w:lang w:val="en-GB"/>
        </w:rPr>
        <w:t xml:space="preserve">Phosphoinositide </w:t>
      </w:r>
      <w:r w:rsidRPr="00EE48E2">
        <w:rPr>
          <w:rFonts w:ascii="Book Antiqua" w:hAnsi="Book Antiqua"/>
          <w:sz w:val="24"/>
          <w:szCs w:val="24"/>
          <w:lang w:val="en-GB"/>
        </w:rPr>
        <w:t>kinase-3; mTOR</w:t>
      </w:r>
      <w:r w:rsidR="00B0119A" w:rsidRPr="00EE48E2">
        <w:rPr>
          <w:rFonts w:ascii="Book Antiqua" w:hAnsi="Book Antiqua" w:hint="eastAsia"/>
          <w:sz w:val="24"/>
          <w:szCs w:val="24"/>
          <w:lang w:val="en-GB" w:eastAsia="zh-CN"/>
        </w:rPr>
        <w:t>:</w:t>
      </w:r>
      <w:r w:rsidR="00EE48E2" w:rsidRPr="00EE48E2">
        <w:rPr>
          <w:rFonts w:ascii="Book Antiqua" w:hAnsi="Book Antiqua" w:hint="eastAsia"/>
          <w:sz w:val="24"/>
          <w:szCs w:val="24"/>
          <w:lang w:val="en-GB" w:eastAsia="zh-CN"/>
        </w:rPr>
        <w:t xml:space="preserve"> </w:t>
      </w:r>
      <w:r w:rsidR="00B0119A" w:rsidRPr="00EE48E2">
        <w:rPr>
          <w:rFonts w:ascii="Book Antiqua" w:hAnsi="Book Antiqua"/>
          <w:sz w:val="24"/>
          <w:szCs w:val="24"/>
          <w:lang w:val="en-GB"/>
        </w:rPr>
        <w:t>Mammalian</w:t>
      </w:r>
      <w:r w:rsidR="00B0119A" w:rsidRPr="00EE48E2">
        <w:rPr>
          <w:rFonts w:ascii="Book Antiqua" w:hAnsi="Book Antiqua" w:hint="eastAsia"/>
          <w:sz w:val="24"/>
          <w:szCs w:val="24"/>
          <w:lang w:val="en-GB" w:eastAsia="zh-CN"/>
        </w:rPr>
        <w:t>.</w:t>
      </w:r>
    </w:p>
    <w:p w14:paraId="173C0E6E" w14:textId="77777777" w:rsidR="00E4071E" w:rsidRPr="00EE48E2" w:rsidRDefault="00E4071E" w:rsidP="004D1833">
      <w:pPr>
        <w:tabs>
          <w:tab w:val="left" w:pos="3270"/>
        </w:tabs>
        <w:adjustRightInd w:val="0"/>
        <w:snapToGrid w:val="0"/>
        <w:spacing w:after="0" w:line="360" w:lineRule="auto"/>
        <w:jc w:val="both"/>
        <w:rPr>
          <w:rFonts w:ascii="Book Antiqua" w:hAnsi="Book Antiqua"/>
          <w:sz w:val="24"/>
          <w:szCs w:val="24"/>
          <w:lang w:val="en-GB"/>
        </w:rPr>
      </w:pPr>
    </w:p>
    <w:p w14:paraId="565E3254" w14:textId="77777777" w:rsidR="00E4071E" w:rsidRPr="00EE48E2" w:rsidRDefault="00E4071E" w:rsidP="004D1833">
      <w:pPr>
        <w:adjustRightInd w:val="0"/>
        <w:snapToGrid w:val="0"/>
        <w:spacing w:after="0" w:line="360" w:lineRule="auto"/>
        <w:jc w:val="both"/>
        <w:rPr>
          <w:rFonts w:ascii="Book Antiqua" w:hAnsi="Book Antiqua"/>
          <w:sz w:val="24"/>
          <w:szCs w:val="24"/>
          <w:lang w:val="en-GB"/>
        </w:rPr>
      </w:pPr>
    </w:p>
    <w:sectPr w:rsidR="00E4071E" w:rsidRPr="00EE48E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B68507" w14:textId="77777777" w:rsidR="00B77CD5" w:rsidRDefault="00B77CD5" w:rsidP="00951758">
      <w:pPr>
        <w:spacing w:after="0" w:line="240" w:lineRule="auto"/>
      </w:pPr>
      <w:r>
        <w:separator/>
      </w:r>
    </w:p>
  </w:endnote>
  <w:endnote w:type="continuationSeparator" w:id="0">
    <w:p w14:paraId="46F5EC71" w14:textId="77777777" w:rsidR="00B77CD5" w:rsidRDefault="00B77CD5" w:rsidP="009517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PS">
    <w:altName w:val="Times New Roman"/>
    <w:panose1 w:val="00000000000000000000"/>
    <w:charset w:val="00"/>
    <w:family w:val="roman"/>
    <w:notTrueType/>
    <w:pitch w:val="default"/>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ITC Franklin Gothic Std Book">
    <w:altName w:val="MingLiU"/>
    <w:panose1 w:val="00000000000000000000"/>
    <w:charset w:val="88"/>
    <w:family w:val="swiss"/>
    <w:notTrueType/>
    <w:pitch w:val="default"/>
    <w:sig w:usb0="00000000" w:usb1="08080000" w:usb2="00000010" w:usb3="00000000" w:csb0="001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24735D" w14:textId="77777777" w:rsidR="00B77CD5" w:rsidRDefault="00B77CD5" w:rsidP="00951758">
      <w:pPr>
        <w:spacing w:after="0" w:line="240" w:lineRule="auto"/>
      </w:pPr>
      <w:r>
        <w:separator/>
      </w:r>
    </w:p>
  </w:footnote>
  <w:footnote w:type="continuationSeparator" w:id="0">
    <w:p w14:paraId="7CEAF66F" w14:textId="77777777" w:rsidR="00B77CD5" w:rsidRDefault="00B77CD5" w:rsidP="009517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358F4"/>
    <w:multiLevelType w:val="multilevel"/>
    <w:tmpl w:val="C9403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6852A2"/>
    <w:multiLevelType w:val="hybridMultilevel"/>
    <w:tmpl w:val="F202E3D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3C83EB3"/>
    <w:multiLevelType w:val="multilevel"/>
    <w:tmpl w:val="57BE7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926CD1"/>
    <w:multiLevelType w:val="hybridMultilevel"/>
    <w:tmpl w:val="9616796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C0A16DE"/>
    <w:multiLevelType w:val="hybridMultilevel"/>
    <w:tmpl w:val="B70CEC2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CA82E52"/>
    <w:multiLevelType w:val="hybridMultilevel"/>
    <w:tmpl w:val="E5EABDF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D581E02"/>
    <w:multiLevelType w:val="hybridMultilevel"/>
    <w:tmpl w:val="DD9C5A8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E3529AF"/>
    <w:multiLevelType w:val="hybridMultilevel"/>
    <w:tmpl w:val="E2628EFE"/>
    <w:lvl w:ilvl="0" w:tplc="E5DA6040">
      <w:start w:val="1"/>
      <w:numFmt w:val="decimal"/>
      <w:lvlText w:val="%1."/>
      <w:lvlJc w:val="left"/>
      <w:pPr>
        <w:ind w:left="720" w:hanging="360"/>
      </w:pPr>
      <w:rPr>
        <w:b w:val="0"/>
        <w:lang w:val="en-U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FD0437D"/>
    <w:multiLevelType w:val="hybridMultilevel"/>
    <w:tmpl w:val="74241FF2"/>
    <w:lvl w:ilvl="0" w:tplc="E5DA6040">
      <w:start w:val="1"/>
      <w:numFmt w:val="decimal"/>
      <w:lvlText w:val="%1."/>
      <w:lvlJc w:val="left"/>
      <w:pPr>
        <w:ind w:left="720" w:hanging="360"/>
      </w:pPr>
      <w:rPr>
        <w:b w:val="0"/>
        <w:lang w:val="en-U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FE73CA1"/>
    <w:multiLevelType w:val="hybridMultilevel"/>
    <w:tmpl w:val="74241FF2"/>
    <w:lvl w:ilvl="0" w:tplc="E5DA6040">
      <w:start w:val="1"/>
      <w:numFmt w:val="decimal"/>
      <w:lvlText w:val="%1."/>
      <w:lvlJc w:val="left"/>
      <w:pPr>
        <w:ind w:left="720" w:hanging="360"/>
      </w:pPr>
      <w:rPr>
        <w:b w:val="0"/>
        <w:lang w:val="en-U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14E0994"/>
    <w:multiLevelType w:val="hybridMultilevel"/>
    <w:tmpl w:val="66D80AD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4E24DE8"/>
    <w:multiLevelType w:val="multilevel"/>
    <w:tmpl w:val="27D0A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77930F9"/>
    <w:multiLevelType w:val="multilevel"/>
    <w:tmpl w:val="0D221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976DE1"/>
    <w:multiLevelType w:val="hybridMultilevel"/>
    <w:tmpl w:val="4E2A198E"/>
    <w:lvl w:ilvl="0" w:tplc="E5DA6040">
      <w:start w:val="1"/>
      <w:numFmt w:val="decimal"/>
      <w:lvlText w:val="%1."/>
      <w:lvlJc w:val="left"/>
      <w:pPr>
        <w:ind w:left="1428" w:hanging="360"/>
      </w:pPr>
      <w:rPr>
        <w:b w:val="0"/>
        <w:lang w:val="en-US"/>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4" w15:restartNumberingAfterBreak="0">
    <w:nsid w:val="1C5E66F1"/>
    <w:multiLevelType w:val="hybridMultilevel"/>
    <w:tmpl w:val="058E76D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89B778F"/>
    <w:multiLevelType w:val="hybridMultilevel"/>
    <w:tmpl w:val="35929DA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BD42908"/>
    <w:multiLevelType w:val="hybridMultilevel"/>
    <w:tmpl w:val="51D84DF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BF3331A"/>
    <w:multiLevelType w:val="hybridMultilevel"/>
    <w:tmpl w:val="32009890"/>
    <w:lvl w:ilvl="0" w:tplc="E5DA6040">
      <w:start w:val="1"/>
      <w:numFmt w:val="decimal"/>
      <w:lvlText w:val="%1."/>
      <w:lvlJc w:val="left"/>
      <w:pPr>
        <w:ind w:left="1440" w:hanging="360"/>
      </w:pPr>
      <w:rPr>
        <w:b w:val="0"/>
        <w:lang w:val="en-US"/>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8" w15:restartNumberingAfterBreak="0">
    <w:nsid w:val="2F4C3A82"/>
    <w:multiLevelType w:val="hybridMultilevel"/>
    <w:tmpl w:val="A31E3A70"/>
    <w:lvl w:ilvl="0" w:tplc="0C0A000F">
      <w:start w:val="1"/>
      <w:numFmt w:val="decimal"/>
      <w:lvlText w:val="%1."/>
      <w:lvlJc w:val="left"/>
      <w:pPr>
        <w:ind w:left="1507" w:hanging="360"/>
      </w:pPr>
    </w:lvl>
    <w:lvl w:ilvl="1" w:tplc="0C0A0019" w:tentative="1">
      <w:start w:val="1"/>
      <w:numFmt w:val="lowerLetter"/>
      <w:lvlText w:val="%2."/>
      <w:lvlJc w:val="left"/>
      <w:pPr>
        <w:ind w:left="2227" w:hanging="360"/>
      </w:pPr>
    </w:lvl>
    <w:lvl w:ilvl="2" w:tplc="0C0A001B" w:tentative="1">
      <w:start w:val="1"/>
      <w:numFmt w:val="lowerRoman"/>
      <w:lvlText w:val="%3."/>
      <w:lvlJc w:val="right"/>
      <w:pPr>
        <w:ind w:left="2947" w:hanging="180"/>
      </w:pPr>
    </w:lvl>
    <w:lvl w:ilvl="3" w:tplc="0C0A000F" w:tentative="1">
      <w:start w:val="1"/>
      <w:numFmt w:val="decimal"/>
      <w:lvlText w:val="%4."/>
      <w:lvlJc w:val="left"/>
      <w:pPr>
        <w:ind w:left="3667" w:hanging="360"/>
      </w:pPr>
    </w:lvl>
    <w:lvl w:ilvl="4" w:tplc="0C0A0019" w:tentative="1">
      <w:start w:val="1"/>
      <w:numFmt w:val="lowerLetter"/>
      <w:lvlText w:val="%5."/>
      <w:lvlJc w:val="left"/>
      <w:pPr>
        <w:ind w:left="4387" w:hanging="360"/>
      </w:pPr>
    </w:lvl>
    <w:lvl w:ilvl="5" w:tplc="0C0A001B" w:tentative="1">
      <w:start w:val="1"/>
      <w:numFmt w:val="lowerRoman"/>
      <w:lvlText w:val="%6."/>
      <w:lvlJc w:val="right"/>
      <w:pPr>
        <w:ind w:left="5107" w:hanging="180"/>
      </w:pPr>
    </w:lvl>
    <w:lvl w:ilvl="6" w:tplc="0C0A000F" w:tentative="1">
      <w:start w:val="1"/>
      <w:numFmt w:val="decimal"/>
      <w:lvlText w:val="%7."/>
      <w:lvlJc w:val="left"/>
      <w:pPr>
        <w:ind w:left="5827" w:hanging="360"/>
      </w:pPr>
    </w:lvl>
    <w:lvl w:ilvl="7" w:tplc="0C0A0019" w:tentative="1">
      <w:start w:val="1"/>
      <w:numFmt w:val="lowerLetter"/>
      <w:lvlText w:val="%8."/>
      <w:lvlJc w:val="left"/>
      <w:pPr>
        <w:ind w:left="6547" w:hanging="360"/>
      </w:pPr>
    </w:lvl>
    <w:lvl w:ilvl="8" w:tplc="0C0A001B" w:tentative="1">
      <w:start w:val="1"/>
      <w:numFmt w:val="lowerRoman"/>
      <w:lvlText w:val="%9."/>
      <w:lvlJc w:val="right"/>
      <w:pPr>
        <w:ind w:left="7267" w:hanging="180"/>
      </w:pPr>
    </w:lvl>
  </w:abstractNum>
  <w:abstractNum w:abstractNumId="19" w15:restartNumberingAfterBreak="0">
    <w:nsid w:val="30EF76AE"/>
    <w:multiLevelType w:val="hybridMultilevel"/>
    <w:tmpl w:val="7E32B5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21A3D39"/>
    <w:multiLevelType w:val="hybridMultilevel"/>
    <w:tmpl w:val="7ABCF350"/>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8782561"/>
    <w:multiLevelType w:val="multilevel"/>
    <w:tmpl w:val="73D67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5F75AD"/>
    <w:multiLevelType w:val="hybridMultilevel"/>
    <w:tmpl w:val="74241FF2"/>
    <w:lvl w:ilvl="0" w:tplc="E5DA6040">
      <w:start w:val="1"/>
      <w:numFmt w:val="decimal"/>
      <w:lvlText w:val="%1."/>
      <w:lvlJc w:val="left"/>
      <w:pPr>
        <w:ind w:left="720" w:hanging="360"/>
      </w:pPr>
      <w:rPr>
        <w:b w:val="0"/>
        <w:lang w:val="en-U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E6A2E95"/>
    <w:multiLevelType w:val="multilevel"/>
    <w:tmpl w:val="810C1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0BE0CD0"/>
    <w:multiLevelType w:val="hybridMultilevel"/>
    <w:tmpl w:val="C1347F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20D2195"/>
    <w:multiLevelType w:val="hybridMultilevel"/>
    <w:tmpl w:val="E6A26F7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6EC1471"/>
    <w:multiLevelType w:val="hybridMultilevel"/>
    <w:tmpl w:val="6A92E304"/>
    <w:lvl w:ilvl="0" w:tplc="CD722838">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BAE0E33"/>
    <w:multiLevelType w:val="hybridMultilevel"/>
    <w:tmpl w:val="4404D0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E3E63B5"/>
    <w:multiLevelType w:val="hybridMultilevel"/>
    <w:tmpl w:val="74241FF2"/>
    <w:lvl w:ilvl="0" w:tplc="E5DA6040">
      <w:start w:val="1"/>
      <w:numFmt w:val="decimal"/>
      <w:lvlText w:val="%1."/>
      <w:lvlJc w:val="left"/>
      <w:pPr>
        <w:ind w:left="720" w:hanging="360"/>
      </w:pPr>
      <w:rPr>
        <w:b w:val="0"/>
        <w:lang w:val="en-U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4ECF2154"/>
    <w:multiLevelType w:val="hybridMultilevel"/>
    <w:tmpl w:val="0032D3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10A4394"/>
    <w:multiLevelType w:val="hybridMultilevel"/>
    <w:tmpl w:val="F202E3D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42B37BA"/>
    <w:multiLevelType w:val="multilevel"/>
    <w:tmpl w:val="48E4C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E8B421E"/>
    <w:multiLevelType w:val="hybridMultilevel"/>
    <w:tmpl w:val="74241FF2"/>
    <w:lvl w:ilvl="0" w:tplc="E5DA6040">
      <w:start w:val="1"/>
      <w:numFmt w:val="decimal"/>
      <w:lvlText w:val="%1."/>
      <w:lvlJc w:val="left"/>
      <w:pPr>
        <w:ind w:left="720" w:hanging="360"/>
      </w:pPr>
      <w:rPr>
        <w:b w:val="0"/>
        <w:lang w:val="en-U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05328D3"/>
    <w:multiLevelType w:val="multilevel"/>
    <w:tmpl w:val="D45C5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EB6DFC"/>
    <w:multiLevelType w:val="hybridMultilevel"/>
    <w:tmpl w:val="35929DA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50665C3"/>
    <w:multiLevelType w:val="hybridMultilevel"/>
    <w:tmpl w:val="D6309EDA"/>
    <w:lvl w:ilvl="0" w:tplc="AE94F2D6">
      <w:start w:val="1"/>
      <w:numFmt w:val="decimal"/>
      <w:lvlText w:val="%1."/>
      <w:lvlJc w:val="left"/>
      <w:pPr>
        <w:ind w:left="720" w:hanging="360"/>
      </w:pPr>
      <w:rPr>
        <w:lang w:val="en-U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6A4601B"/>
    <w:multiLevelType w:val="hybridMultilevel"/>
    <w:tmpl w:val="F202E3D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EB7387D"/>
    <w:multiLevelType w:val="multilevel"/>
    <w:tmpl w:val="C024B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066B21"/>
    <w:multiLevelType w:val="hybridMultilevel"/>
    <w:tmpl w:val="C1347F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06F124D"/>
    <w:multiLevelType w:val="multilevel"/>
    <w:tmpl w:val="A7CCE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852CFE"/>
    <w:multiLevelType w:val="hybridMultilevel"/>
    <w:tmpl w:val="7ABCF350"/>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73B535E0"/>
    <w:multiLevelType w:val="hybridMultilevel"/>
    <w:tmpl w:val="74241FF2"/>
    <w:lvl w:ilvl="0" w:tplc="E5DA6040">
      <w:start w:val="1"/>
      <w:numFmt w:val="decimal"/>
      <w:lvlText w:val="%1."/>
      <w:lvlJc w:val="left"/>
      <w:pPr>
        <w:ind w:left="720" w:hanging="360"/>
      </w:pPr>
      <w:rPr>
        <w:b w:val="0"/>
        <w:lang w:val="en-U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78DF4259"/>
    <w:multiLevelType w:val="hybridMultilevel"/>
    <w:tmpl w:val="B6D806F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B0F4A32"/>
    <w:multiLevelType w:val="hybridMultilevel"/>
    <w:tmpl w:val="51D84DF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7B7B000D"/>
    <w:multiLevelType w:val="hybridMultilevel"/>
    <w:tmpl w:val="D5CED5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7E357992"/>
    <w:multiLevelType w:val="hybridMultilevel"/>
    <w:tmpl w:val="74241FF2"/>
    <w:lvl w:ilvl="0" w:tplc="E5DA6040">
      <w:start w:val="1"/>
      <w:numFmt w:val="decimal"/>
      <w:lvlText w:val="%1."/>
      <w:lvlJc w:val="left"/>
      <w:pPr>
        <w:ind w:left="720" w:hanging="360"/>
      </w:pPr>
      <w:rPr>
        <w:b w:val="0"/>
        <w:lang w:val="en-U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4"/>
  </w:num>
  <w:num w:numId="2">
    <w:abstractNumId w:val="34"/>
  </w:num>
  <w:num w:numId="3">
    <w:abstractNumId w:val="15"/>
  </w:num>
  <w:num w:numId="4">
    <w:abstractNumId w:val="27"/>
  </w:num>
  <w:num w:numId="5">
    <w:abstractNumId w:val="20"/>
  </w:num>
  <w:num w:numId="6">
    <w:abstractNumId w:val="1"/>
  </w:num>
  <w:num w:numId="7">
    <w:abstractNumId w:val="40"/>
  </w:num>
  <w:num w:numId="8">
    <w:abstractNumId w:val="39"/>
  </w:num>
  <w:num w:numId="9">
    <w:abstractNumId w:val="33"/>
  </w:num>
  <w:num w:numId="10">
    <w:abstractNumId w:val="2"/>
  </w:num>
  <w:num w:numId="11">
    <w:abstractNumId w:val="0"/>
  </w:num>
  <w:num w:numId="12">
    <w:abstractNumId w:val="11"/>
  </w:num>
  <w:num w:numId="13">
    <w:abstractNumId w:val="23"/>
  </w:num>
  <w:num w:numId="14">
    <w:abstractNumId w:val="31"/>
  </w:num>
  <w:num w:numId="15">
    <w:abstractNumId w:val="12"/>
  </w:num>
  <w:num w:numId="16">
    <w:abstractNumId w:val="37"/>
  </w:num>
  <w:num w:numId="17">
    <w:abstractNumId w:val="26"/>
  </w:num>
  <w:num w:numId="18">
    <w:abstractNumId w:val="30"/>
  </w:num>
  <w:num w:numId="19">
    <w:abstractNumId w:val="25"/>
  </w:num>
  <w:num w:numId="20">
    <w:abstractNumId w:val="16"/>
  </w:num>
  <w:num w:numId="21">
    <w:abstractNumId w:val="43"/>
  </w:num>
  <w:num w:numId="22">
    <w:abstractNumId w:val="6"/>
  </w:num>
  <w:num w:numId="23">
    <w:abstractNumId w:val="19"/>
  </w:num>
  <w:num w:numId="24">
    <w:abstractNumId w:val="4"/>
  </w:num>
  <w:num w:numId="25">
    <w:abstractNumId w:val="5"/>
  </w:num>
  <w:num w:numId="26">
    <w:abstractNumId w:val="42"/>
  </w:num>
  <w:num w:numId="27">
    <w:abstractNumId w:val="29"/>
  </w:num>
  <w:num w:numId="28">
    <w:abstractNumId w:val="38"/>
  </w:num>
  <w:num w:numId="29">
    <w:abstractNumId w:val="24"/>
  </w:num>
  <w:num w:numId="30">
    <w:abstractNumId w:val="10"/>
  </w:num>
  <w:num w:numId="31">
    <w:abstractNumId w:val="35"/>
  </w:num>
  <w:num w:numId="32">
    <w:abstractNumId w:val="28"/>
  </w:num>
  <w:num w:numId="33">
    <w:abstractNumId w:val="32"/>
  </w:num>
  <w:num w:numId="34">
    <w:abstractNumId w:val="9"/>
  </w:num>
  <w:num w:numId="35">
    <w:abstractNumId w:val="41"/>
  </w:num>
  <w:num w:numId="36">
    <w:abstractNumId w:val="45"/>
  </w:num>
  <w:num w:numId="37">
    <w:abstractNumId w:val="8"/>
  </w:num>
  <w:num w:numId="38">
    <w:abstractNumId w:val="21"/>
  </w:num>
  <w:num w:numId="39">
    <w:abstractNumId w:val="22"/>
  </w:num>
  <w:num w:numId="40">
    <w:abstractNumId w:val="7"/>
  </w:num>
  <w:num w:numId="41">
    <w:abstractNumId w:val="17"/>
  </w:num>
  <w:num w:numId="42">
    <w:abstractNumId w:val="13"/>
  </w:num>
  <w:num w:numId="43">
    <w:abstractNumId w:val="18"/>
  </w:num>
  <w:num w:numId="44">
    <w:abstractNumId w:val="14"/>
  </w:num>
  <w:num w:numId="45">
    <w:abstractNumId w:val="36"/>
  </w:num>
  <w:num w:numId="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A1A"/>
    <w:rsid w:val="00054037"/>
    <w:rsid w:val="000854ED"/>
    <w:rsid w:val="0009049C"/>
    <w:rsid w:val="000C7D9F"/>
    <w:rsid w:val="000D6E2B"/>
    <w:rsid w:val="000E561D"/>
    <w:rsid w:val="000E58F5"/>
    <w:rsid w:val="001000C5"/>
    <w:rsid w:val="001009DB"/>
    <w:rsid w:val="00103445"/>
    <w:rsid w:val="00113604"/>
    <w:rsid w:val="0011477B"/>
    <w:rsid w:val="00145EE3"/>
    <w:rsid w:val="00153518"/>
    <w:rsid w:val="00171031"/>
    <w:rsid w:val="001743FD"/>
    <w:rsid w:val="00181C09"/>
    <w:rsid w:val="001837E9"/>
    <w:rsid w:val="00193166"/>
    <w:rsid w:val="0019545D"/>
    <w:rsid w:val="001B49EF"/>
    <w:rsid w:val="00246274"/>
    <w:rsid w:val="0027483A"/>
    <w:rsid w:val="00290571"/>
    <w:rsid w:val="00293FE9"/>
    <w:rsid w:val="002B009B"/>
    <w:rsid w:val="002D17B8"/>
    <w:rsid w:val="002E10E3"/>
    <w:rsid w:val="002F11AF"/>
    <w:rsid w:val="00305427"/>
    <w:rsid w:val="00306667"/>
    <w:rsid w:val="003314F0"/>
    <w:rsid w:val="00332D9C"/>
    <w:rsid w:val="003468C7"/>
    <w:rsid w:val="003628A5"/>
    <w:rsid w:val="003636D0"/>
    <w:rsid w:val="00363A1A"/>
    <w:rsid w:val="00390D8E"/>
    <w:rsid w:val="003A6EAA"/>
    <w:rsid w:val="00406E31"/>
    <w:rsid w:val="00416823"/>
    <w:rsid w:val="004174B8"/>
    <w:rsid w:val="00422FA4"/>
    <w:rsid w:val="00437CF2"/>
    <w:rsid w:val="004637E3"/>
    <w:rsid w:val="0047156E"/>
    <w:rsid w:val="00490E4E"/>
    <w:rsid w:val="004B34CA"/>
    <w:rsid w:val="004D1690"/>
    <w:rsid w:val="004D1833"/>
    <w:rsid w:val="004D35DD"/>
    <w:rsid w:val="004D47FD"/>
    <w:rsid w:val="00504D37"/>
    <w:rsid w:val="0053127E"/>
    <w:rsid w:val="005417F3"/>
    <w:rsid w:val="005F3AB3"/>
    <w:rsid w:val="005F5618"/>
    <w:rsid w:val="005F6AA2"/>
    <w:rsid w:val="006139C0"/>
    <w:rsid w:val="006517F9"/>
    <w:rsid w:val="00664E32"/>
    <w:rsid w:val="00665D18"/>
    <w:rsid w:val="00695F2A"/>
    <w:rsid w:val="006D3828"/>
    <w:rsid w:val="00734B63"/>
    <w:rsid w:val="00735366"/>
    <w:rsid w:val="00746187"/>
    <w:rsid w:val="00753420"/>
    <w:rsid w:val="00782492"/>
    <w:rsid w:val="007A7426"/>
    <w:rsid w:val="007C694A"/>
    <w:rsid w:val="007D3C70"/>
    <w:rsid w:val="007F01B8"/>
    <w:rsid w:val="007F4C3D"/>
    <w:rsid w:val="00802D0C"/>
    <w:rsid w:val="008302B7"/>
    <w:rsid w:val="00866858"/>
    <w:rsid w:val="00881C0D"/>
    <w:rsid w:val="008E3D0D"/>
    <w:rsid w:val="008E7DF5"/>
    <w:rsid w:val="00911855"/>
    <w:rsid w:val="00947AC6"/>
    <w:rsid w:val="00951758"/>
    <w:rsid w:val="00961DC1"/>
    <w:rsid w:val="00987D1B"/>
    <w:rsid w:val="009B2D70"/>
    <w:rsid w:val="009D5541"/>
    <w:rsid w:val="009E2BBC"/>
    <w:rsid w:val="009E35B8"/>
    <w:rsid w:val="009E6470"/>
    <w:rsid w:val="009F2F33"/>
    <w:rsid w:val="009F372E"/>
    <w:rsid w:val="00A07480"/>
    <w:rsid w:val="00A221AE"/>
    <w:rsid w:val="00A43FD1"/>
    <w:rsid w:val="00A44933"/>
    <w:rsid w:val="00A577A9"/>
    <w:rsid w:val="00A73E4F"/>
    <w:rsid w:val="00A825BA"/>
    <w:rsid w:val="00A97F0A"/>
    <w:rsid w:val="00AA0C6C"/>
    <w:rsid w:val="00AB14E9"/>
    <w:rsid w:val="00AF249E"/>
    <w:rsid w:val="00B0119A"/>
    <w:rsid w:val="00B15DB2"/>
    <w:rsid w:val="00B532A0"/>
    <w:rsid w:val="00B6174C"/>
    <w:rsid w:val="00B77CD5"/>
    <w:rsid w:val="00B801F0"/>
    <w:rsid w:val="00B970C0"/>
    <w:rsid w:val="00BE75FA"/>
    <w:rsid w:val="00C055B2"/>
    <w:rsid w:val="00C26F12"/>
    <w:rsid w:val="00C45D40"/>
    <w:rsid w:val="00C52116"/>
    <w:rsid w:val="00C90741"/>
    <w:rsid w:val="00CC05E5"/>
    <w:rsid w:val="00CE6A32"/>
    <w:rsid w:val="00CF2598"/>
    <w:rsid w:val="00CF462B"/>
    <w:rsid w:val="00D356D5"/>
    <w:rsid w:val="00D57574"/>
    <w:rsid w:val="00D6249B"/>
    <w:rsid w:val="00D7282E"/>
    <w:rsid w:val="00DA1BA0"/>
    <w:rsid w:val="00DA3355"/>
    <w:rsid w:val="00DB342E"/>
    <w:rsid w:val="00DD7E5C"/>
    <w:rsid w:val="00DE72B4"/>
    <w:rsid w:val="00E04397"/>
    <w:rsid w:val="00E15294"/>
    <w:rsid w:val="00E15E24"/>
    <w:rsid w:val="00E4071E"/>
    <w:rsid w:val="00E44444"/>
    <w:rsid w:val="00E5676E"/>
    <w:rsid w:val="00E864D4"/>
    <w:rsid w:val="00E97D8C"/>
    <w:rsid w:val="00EA13D0"/>
    <w:rsid w:val="00EA1761"/>
    <w:rsid w:val="00EB1AD1"/>
    <w:rsid w:val="00EB5D8F"/>
    <w:rsid w:val="00EE3F4F"/>
    <w:rsid w:val="00EE4189"/>
    <w:rsid w:val="00EE48E2"/>
    <w:rsid w:val="00F05B99"/>
    <w:rsid w:val="00F3074A"/>
    <w:rsid w:val="00F53FDF"/>
    <w:rsid w:val="00F70DA5"/>
    <w:rsid w:val="00F73AA0"/>
    <w:rsid w:val="00F82D6F"/>
    <w:rsid w:val="00FD5678"/>
    <w:rsid w:val="00FE5E8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E2F53D"/>
  <w15:docId w15:val="{30464821-F194-4868-B6C5-6580A32CC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5676E"/>
    <w:pPr>
      <w:spacing w:before="100" w:beforeAutospacing="1" w:after="100" w:afterAutospacing="1" w:line="240" w:lineRule="auto"/>
      <w:outlineLvl w:val="0"/>
    </w:pPr>
    <w:rPr>
      <w:rFonts w:ascii="Times New Roman" w:eastAsiaTheme="majorEastAsia" w:hAnsi="Times New Roman" w:cstheme="majorBidi"/>
      <w:b/>
      <w:bCs/>
      <w:kern w:val="36"/>
      <w:sz w:val="48"/>
      <w:szCs w:val="48"/>
      <w:lang w:val="es-ES" w:eastAsia="es-ES"/>
    </w:rPr>
  </w:style>
  <w:style w:type="paragraph" w:styleId="Heading2">
    <w:name w:val="heading 2"/>
    <w:basedOn w:val="Normal"/>
    <w:next w:val="Normal"/>
    <w:link w:val="Heading2Char"/>
    <w:uiPriority w:val="9"/>
    <w:semiHidden/>
    <w:unhideWhenUsed/>
    <w:qFormat/>
    <w:rsid w:val="00E5676E"/>
    <w:pPr>
      <w:keepNext/>
      <w:widowControl w:val="0"/>
      <w:spacing w:before="240" w:after="60" w:line="240" w:lineRule="auto"/>
      <w:outlineLvl w:val="1"/>
    </w:pPr>
    <w:rPr>
      <w:rFonts w:asciiTheme="majorHAnsi" w:eastAsiaTheme="majorEastAsia" w:hAnsiTheme="majorHAnsi" w:cstheme="majorBidi"/>
      <w:b/>
      <w:bCs/>
      <w:i/>
      <w:iCs/>
      <w:sz w:val="28"/>
      <w:szCs w:val="28"/>
      <w:lang w:eastAsia="ko-KR"/>
    </w:rPr>
  </w:style>
  <w:style w:type="paragraph" w:styleId="Heading3">
    <w:name w:val="heading 3"/>
    <w:basedOn w:val="Normal"/>
    <w:next w:val="Normal"/>
    <w:link w:val="Heading3Char"/>
    <w:uiPriority w:val="9"/>
    <w:semiHidden/>
    <w:unhideWhenUsed/>
    <w:qFormat/>
    <w:rsid w:val="00E5676E"/>
    <w:pPr>
      <w:keepNext/>
      <w:widowControl w:val="0"/>
      <w:spacing w:before="240" w:after="60" w:line="240" w:lineRule="auto"/>
      <w:outlineLvl w:val="2"/>
    </w:pPr>
    <w:rPr>
      <w:rFonts w:asciiTheme="majorHAnsi" w:eastAsiaTheme="majorEastAsia" w:hAnsiTheme="majorHAnsi" w:cstheme="majorBidi"/>
      <w:b/>
      <w:bCs/>
      <w:sz w:val="26"/>
      <w:szCs w:val="26"/>
      <w:lang w:eastAsia="ko-KR"/>
    </w:rPr>
  </w:style>
  <w:style w:type="paragraph" w:styleId="Heading4">
    <w:name w:val="heading 4"/>
    <w:basedOn w:val="Normal"/>
    <w:next w:val="Normal"/>
    <w:link w:val="Heading4Char"/>
    <w:uiPriority w:val="9"/>
    <w:unhideWhenUsed/>
    <w:qFormat/>
    <w:rsid w:val="00E5676E"/>
    <w:pPr>
      <w:keepNext/>
      <w:widowControl w:val="0"/>
      <w:spacing w:before="240" w:after="60" w:line="240" w:lineRule="auto"/>
      <w:outlineLvl w:val="3"/>
    </w:pPr>
    <w:rPr>
      <w:b/>
      <w:bCs/>
      <w:sz w:val="28"/>
      <w:szCs w:val="28"/>
      <w:lang w:eastAsia="ko-KR"/>
    </w:rPr>
  </w:style>
  <w:style w:type="paragraph" w:styleId="Heading5">
    <w:name w:val="heading 5"/>
    <w:basedOn w:val="Normal"/>
    <w:next w:val="Normal"/>
    <w:link w:val="Heading5Char"/>
    <w:uiPriority w:val="9"/>
    <w:semiHidden/>
    <w:unhideWhenUsed/>
    <w:qFormat/>
    <w:rsid w:val="00E5676E"/>
    <w:pPr>
      <w:widowControl w:val="0"/>
      <w:spacing w:before="240" w:after="60" w:line="240" w:lineRule="auto"/>
      <w:outlineLvl w:val="4"/>
    </w:pPr>
    <w:rPr>
      <w:b/>
      <w:bCs/>
      <w:i/>
      <w:iCs/>
      <w:sz w:val="26"/>
      <w:szCs w:val="26"/>
      <w:lang w:eastAsia="ko-KR"/>
    </w:rPr>
  </w:style>
  <w:style w:type="paragraph" w:styleId="Heading6">
    <w:name w:val="heading 6"/>
    <w:basedOn w:val="Normal"/>
    <w:next w:val="Normal"/>
    <w:link w:val="Heading6Char"/>
    <w:uiPriority w:val="9"/>
    <w:semiHidden/>
    <w:unhideWhenUsed/>
    <w:qFormat/>
    <w:rsid w:val="00E5676E"/>
    <w:pPr>
      <w:widowControl w:val="0"/>
      <w:spacing w:before="240" w:after="60" w:line="240" w:lineRule="auto"/>
      <w:outlineLvl w:val="5"/>
    </w:pPr>
    <w:rPr>
      <w:b/>
      <w:bCs/>
      <w:lang w:eastAsia="ko-KR"/>
    </w:rPr>
  </w:style>
  <w:style w:type="paragraph" w:styleId="Heading7">
    <w:name w:val="heading 7"/>
    <w:basedOn w:val="Normal"/>
    <w:next w:val="Normal"/>
    <w:link w:val="Heading7Char"/>
    <w:uiPriority w:val="9"/>
    <w:semiHidden/>
    <w:unhideWhenUsed/>
    <w:qFormat/>
    <w:rsid w:val="00E5676E"/>
    <w:pPr>
      <w:widowControl w:val="0"/>
      <w:spacing w:before="240" w:after="60" w:line="240" w:lineRule="auto"/>
      <w:outlineLvl w:val="6"/>
    </w:pPr>
    <w:rPr>
      <w:sz w:val="24"/>
      <w:szCs w:val="24"/>
      <w:lang w:eastAsia="ko-KR"/>
    </w:rPr>
  </w:style>
  <w:style w:type="paragraph" w:styleId="Heading8">
    <w:name w:val="heading 8"/>
    <w:basedOn w:val="Normal"/>
    <w:next w:val="Normal"/>
    <w:link w:val="Heading8Char"/>
    <w:uiPriority w:val="9"/>
    <w:semiHidden/>
    <w:unhideWhenUsed/>
    <w:qFormat/>
    <w:rsid w:val="00E5676E"/>
    <w:pPr>
      <w:widowControl w:val="0"/>
      <w:spacing w:before="240" w:after="60" w:line="240" w:lineRule="auto"/>
      <w:outlineLvl w:val="7"/>
    </w:pPr>
    <w:rPr>
      <w:i/>
      <w:iCs/>
      <w:sz w:val="24"/>
      <w:szCs w:val="24"/>
      <w:lang w:eastAsia="ko-KR"/>
    </w:rPr>
  </w:style>
  <w:style w:type="paragraph" w:styleId="Heading9">
    <w:name w:val="heading 9"/>
    <w:basedOn w:val="Normal"/>
    <w:next w:val="Normal"/>
    <w:link w:val="Heading9Char"/>
    <w:uiPriority w:val="9"/>
    <w:semiHidden/>
    <w:unhideWhenUsed/>
    <w:qFormat/>
    <w:rsid w:val="00E5676E"/>
    <w:pPr>
      <w:widowControl w:val="0"/>
      <w:spacing w:before="240" w:after="60" w:line="240" w:lineRule="auto"/>
      <w:outlineLvl w:val="8"/>
    </w:pPr>
    <w:rPr>
      <w:rFonts w:asciiTheme="majorHAnsi" w:eastAsiaTheme="majorEastAsia" w:hAnsiTheme="majorHAnsi" w:cstheme="majorBidi"/>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D35DD"/>
    <w:rPr>
      <w:sz w:val="16"/>
      <w:szCs w:val="16"/>
    </w:rPr>
  </w:style>
  <w:style w:type="paragraph" w:styleId="CommentText">
    <w:name w:val="annotation text"/>
    <w:basedOn w:val="Normal"/>
    <w:link w:val="CommentTextChar"/>
    <w:uiPriority w:val="99"/>
    <w:unhideWhenUsed/>
    <w:rsid w:val="004D35DD"/>
    <w:pPr>
      <w:spacing w:line="240" w:lineRule="auto"/>
    </w:pPr>
    <w:rPr>
      <w:sz w:val="20"/>
      <w:szCs w:val="20"/>
    </w:rPr>
  </w:style>
  <w:style w:type="character" w:customStyle="1" w:styleId="CommentTextChar">
    <w:name w:val="Comment Text Char"/>
    <w:basedOn w:val="DefaultParagraphFont"/>
    <w:link w:val="CommentText"/>
    <w:uiPriority w:val="99"/>
    <w:rsid w:val="004D35DD"/>
    <w:rPr>
      <w:sz w:val="20"/>
      <w:szCs w:val="20"/>
    </w:rPr>
  </w:style>
  <w:style w:type="paragraph" w:styleId="CommentSubject">
    <w:name w:val="annotation subject"/>
    <w:basedOn w:val="CommentText"/>
    <w:next w:val="CommentText"/>
    <w:link w:val="CommentSubjectChar"/>
    <w:uiPriority w:val="99"/>
    <w:semiHidden/>
    <w:unhideWhenUsed/>
    <w:rsid w:val="004D35DD"/>
    <w:rPr>
      <w:b/>
      <w:bCs/>
    </w:rPr>
  </w:style>
  <w:style w:type="character" w:customStyle="1" w:styleId="CommentSubjectChar">
    <w:name w:val="Comment Subject Char"/>
    <w:basedOn w:val="CommentTextChar"/>
    <w:link w:val="CommentSubject"/>
    <w:uiPriority w:val="99"/>
    <w:semiHidden/>
    <w:rsid w:val="004D35DD"/>
    <w:rPr>
      <w:b/>
      <w:bCs/>
      <w:sz w:val="20"/>
      <w:szCs w:val="20"/>
    </w:rPr>
  </w:style>
  <w:style w:type="paragraph" w:styleId="BalloonText">
    <w:name w:val="Balloon Text"/>
    <w:basedOn w:val="Normal"/>
    <w:link w:val="BalloonTextChar"/>
    <w:uiPriority w:val="99"/>
    <w:semiHidden/>
    <w:unhideWhenUsed/>
    <w:rsid w:val="004D35DD"/>
    <w:pPr>
      <w:spacing w:after="0" w:line="240" w:lineRule="auto"/>
    </w:pPr>
    <w:rPr>
      <w:rFonts w:ascii="Tahoma" w:hAnsi="Tahoma" w:cs="Tahoma"/>
      <w:sz w:val="16"/>
      <w:szCs w:val="18"/>
      <w:lang w:val="en-US"/>
    </w:rPr>
  </w:style>
  <w:style w:type="character" w:customStyle="1" w:styleId="BalloonTextChar">
    <w:name w:val="Balloon Text Char"/>
    <w:basedOn w:val="DefaultParagraphFont"/>
    <w:link w:val="BalloonText"/>
    <w:uiPriority w:val="99"/>
    <w:semiHidden/>
    <w:rsid w:val="004D35DD"/>
    <w:rPr>
      <w:rFonts w:ascii="Tahoma" w:hAnsi="Tahoma" w:cs="Tahoma"/>
      <w:sz w:val="16"/>
      <w:szCs w:val="18"/>
      <w:lang w:val="en-US"/>
    </w:rPr>
  </w:style>
  <w:style w:type="paragraph" w:styleId="Revision">
    <w:name w:val="Revision"/>
    <w:hidden/>
    <w:uiPriority w:val="99"/>
    <w:semiHidden/>
    <w:rsid w:val="00390D8E"/>
    <w:pPr>
      <w:spacing w:after="0" w:line="240" w:lineRule="auto"/>
    </w:pPr>
  </w:style>
  <w:style w:type="character" w:styleId="Hyperlink">
    <w:name w:val="Hyperlink"/>
    <w:basedOn w:val="DefaultParagraphFont"/>
    <w:unhideWhenUsed/>
    <w:rsid w:val="00782492"/>
    <w:rPr>
      <w:color w:val="0000FF"/>
      <w:u w:val="single"/>
    </w:rPr>
  </w:style>
  <w:style w:type="character" w:customStyle="1" w:styleId="Heading1Char">
    <w:name w:val="Heading 1 Char"/>
    <w:basedOn w:val="DefaultParagraphFont"/>
    <w:link w:val="Heading1"/>
    <w:uiPriority w:val="9"/>
    <w:rsid w:val="00E5676E"/>
    <w:rPr>
      <w:rFonts w:ascii="Times New Roman" w:eastAsiaTheme="majorEastAsia" w:hAnsi="Times New Roman" w:cstheme="majorBidi"/>
      <w:b/>
      <w:bCs/>
      <w:kern w:val="36"/>
      <w:sz w:val="48"/>
      <w:szCs w:val="48"/>
      <w:lang w:val="es-ES" w:eastAsia="es-ES"/>
    </w:rPr>
  </w:style>
  <w:style w:type="character" w:customStyle="1" w:styleId="Heading2Char">
    <w:name w:val="Heading 2 Char"/>
    <w:basedOn w:val="DefaultParagraphFont"/>
    <w:link w:val="Heading2"/>
    <w:uiPriority w:val="9"/>
    <w:semiHidden/>
    <w:rsid w:val="00E5676E"/>
    <w:rPr>
      <w:rFonts w:asciiTheme="majorHAnsi" w:eastAsiaTheme="majorEastAsia" w:hAnsiTheme="majorHAnsi" w:cstheme="majorBidi"/>
      <w:b/>
      <w:bCs/>
      <w:i/>
      <w:iCs/>
      <w:sz w:val="28"/>
      <w:szCs w:val="28"/>
      <w:lang w:eastAsia="ko-KR"/>
    </w:rPr>
  </w:style>
  <w:style w:type="character" w:customStyle="1" w:styleId="Heading3Char">
    <w:name w:val="Heading 3 Char"/>
    <w:basedOn w:val="DefaultParagraphFont"/>
    <w:link w:val="Heading3"/>
    <w:uiPriority w:val="9"/>
    <w:semiHidden/>
    <w:rsid w:val="00E5676E"/>
    <w:rPr>
      <w:rFonts w:asciiTheme="majorHAnsi" w:eastAsiaTheme="majorEastAsia" w:hAnsiTheme="majorHAnsi" w:cstheme="majorBidi"/>
      <w:b/>
      <w:bCs/>
      <w:sz w:val="26"/>
      <w:szCs w:val="26"/>
      <w:lang w:eastAsia="ko-KR"/>
    </w:rPr>
  </w:style>
  <w:style w:type="character" w:customStyle="1" w:styleId="Heading4Char">
    <w:name w:val="Heading 4 Char"/>
    <w:basedOn w:val="DefaultParagraphFont"/>
    <w:link w:val="Heading4"/>
    <w:uiPriority w:val="9"/>
    <w:rsid w:val="00E5676E"/>
    <w:rPr>
      <w:rFonts w:eastAsiaTheme="minorEastAsia"/>
      <w:b/>
      <w:bCs/>
      <w:sz w:val="28"/>
      <w:szCs w:val="28"/>
      <w:lang w:eastAsia="ko-KR"/>
    </w:rPr>
  </w:style>
  <w:style w:type="character" w:customStyle="1" w:styleId="Heading5Char">
    <w:name w:val="Heading 5 Char"/>
    <w:basedOn w:val="DefaultParagraphFont"/>
    <w:link w:val="Heading5"/>
    <w:uiPriority w:val="9"/>
    <w:semiHidden/>
    <w:rsid w:val="00E5676E"/>
    <w:rPr>
      <w:rFonts w:eastAsiaTheme="minorEastAsia"/>
      <w:b/>
      <w:bCs/>
      <w:i/>
      <w:iCs/>
      <w:sz w:val="26"/>
      <w:szCs w:val="26"/>
      <w:lang w:eastAsia="ko-KR"/>
    </w:rPr>
  </w:style>
  <w:style w:type="character" w:customStyle="1" w:styleId="Heading6Char">
    <w:name w:val="Heading 6 Char"/>
    <w:basedOn w:val="DefaultParagraphFont"/>
    <w:link w:val="Heading6"/>
    <w:uiPriority w:val="9"/>
    <w:semiHidden/>
    <w:rsid w:val="00E5676E"/>
    <w:rPr>
      <w:rFonts w:eastAsiaTheme="minorEastAsia"/>
      <w:b/>
      <w:bCs/>
      <w:lang w:eastAsia="ko-KR"/>
    </w:rPr>
  </w:style>
  <w:style w:type="character" w:customStyle="1" w:styleId="Heading7Char">
    <w:name w:val="Heading 7 Char"/>
    <w:basedOn w:val="DefaultParagraphFont"/>
    <w:link w:val="Heading7"/>
    <w:uiPriority w:val="9"/>
    <w:semiHidden/>
    <w:rsid w:val="00E5676E"/>
    <w:rPr>
      <w:rFonts w:eastAsiaTheme="minorEastAsia"/>
      <w:sz w:val="24"/>
      <w:szCs w:val="24"/>
      <w:lang w:eastAsia="ko-KR"/>
    </w:rPr>
  </w:style>
  <w:style w:type="character" w:customStyle="1" w:styleId="Heading8Char">
    <w:name w:val="Heading 8 Char"/>
    <w:basedOn w:val="DefaultParagraphFont"/>
    <w:link w:val="Heading8"/>
    <w:uiPriority w:val="9"/>
    <w:semiHidden/>
    <w:rsid w:val="00E5676E"/>
    <w:rPr>
      <w:rFonts w:eastAsiaTheme="minorEastAsia"/>
      <w:i/>
      <w:iCs/>
      <w:sz w:val="24"/>
      <w:szCs w:val="24"/>
      <w:lang w:eastAsia="ko-KR"/>
    </w:rPr>
  </w:style>
  <w:style w:type="character" w:customStyle="1" w:styleId="Heading9Char">
    <w:name w:val="Heading 9 Char"/>
    <w:basedOn w:val="DefaultParagraphFont"/>
    <w:link w:val="Heading9"/>
    <w:uiPriority w:val="9"/>
    <w:semiHidden/>
    <w:rsid w:val="00E5676E"/>
    <w:rPr>
      <w:rFonts w:asciiTheme="majorHAnsi" w:eastAsiaTheme="majorEastAsia" w:hAnsiTheme="majorHAnsi" w:cstheme="majorBidi"/>
      <w:lang w:eastAsia="ko-KR"/>
    </w:rPr>
  </w:style>
  <w:style w:type="paragraph" w:styleId="Caption">
    <w:name w:val="caption"/>
    <w:basedOn w:val="Normal"/>
    <w:next w:val="Normal"/>
    <w:uiPriority w:val="35"/>
    <w:semiHidden/>
    <w:unhideWhenUsed/>
    <w:qFormat/>
    <w:rsid w:val="00E5676E"/>
    <w:pPr>
      <w:widowControl w:val="0"/>
      <w:spacing w:after="0" w:line="240" w:lineRule="auto"/>
    </w:pPr>
    <w:rPr>
      <w:rFonts w:ascii="Times New Roman" w:hAnsi="Times New Roman" w:cs="Times New Roman"/>
      <w:b/>
      <w:bCs/>
      <w:sz w:val="20"/>
      <w:szCs w:val="20"/>
      <w:lang w:eastAsia="ko-KR"/>
    </w:rPr>
  </w:style>
  <w:style w:type="paragraph" w:styleId="Title">
    <w:name w:val="Title"/>
    <w:basedOn w:val="Normal"/>
    <w:next w:val="Normal"/>
    <w:link w:val="TitleChar"/>
    <w:uiPriority w:val="10"/>
    <w:qFormat/>
    <w:rsid w:val="00E5676E"/>
    <w:pPr>
      <w:widowControl w:val="0"/>
      <w:spacing w:before="240" w:after="60" w:line="240" w:lineRule="auto"/>
      <w:jc w:val="center"/>
      <w:outlineLvl w:val="0"/>
    </w:pPr>
    <w:rPr>
      <w:rFonts w:asciiTheme="majorHAnsi" w:eastAsiaTheme="majorEastAsia" w:hAnsiTheme="majorHAnsi" w:cstheme="majorBidi"/>
      <w:b/>
      <w:bCs/>
      <w:kern w:val="28"/>
      <w:sz w:val="32"/>
      <w:szCs w:val="32"/>
      <w:lang w:eastAsia="ko-KR"/>
    </w:rPr>
  </w:style>
  <w:style w:type="character" w:customStyle="1" w:styleId="TitleChar">
    <w:name w:val="Title Char"/>
    <w:basedOn w:val="DefaultParagraphFont"/>
    <w:link w:val="Title"/>
    <w:uiPriority w:val="10"/>
    <w:rsid w:val="00E5676E"/>
    <w:rPr>
      <w:rFonts w:asciiTheme="majorHAnsi" w:eastAsiaTheme="majorEastAsia" w:hAnsiTheme="majorHAnsi" w:cstheme="majorBidi"/>
      <w:b/>
      <w:bCs/>
      <w:kern w:val="28"/>
      <w:sz w:val="32"/>
      <w:szCs w:val="32"/>
      <w:lang w:eastAsia="ko-KR"/>
    </w:rPr>
  </w:style>
  <w:style w:type="paragraph" w:styleId="Subtitle">
    <w:name w:val="Subtitle"/>
    <w:basedOn w:val="Normal"/>
    <w:next w:val="Normal"/>
    <w:link w:val="SubtitleChar"/>
    <w:uiPriority w:val="11"/>
    <w:qFormat/>
    <w:rsid w:val="00E5676E"/>
    <w:pPr>
      <w:widowControl w:val="0"/>
      <w:spacing w:after="60" w:line="240" w:lineRule="auto"/>
      <w:jc w:val="center"/>
      <w:outlineLvl w:val="1"/>
    </w:pPr>
    <w:rPr>
      <w:rFonts w:asciiTheme="majorHAnsi" w:eastAsiaTheme="majorEastAsia" w:hAnsiTheme="majorHAnsi" w:cstheme="majorBidi"/>
      <w:sz w:val="24"/>
      <w:szCs w:val="24"/>
      <w:lang w:eastAsia="ko-KR"/>
    </w:rPr>
  </w:style>
  <w:style w:type="character" w:customStyle="1" w:styleId="SubtitleChar">
    <w:name w:val="Subtitle Char"/>
    <w:basedOn w:val="DefaultParagraphFont"/>
    <w:link w:val="Subtitle"/>
    <w:uiPriority w:val="11"/>
    <w:rsid w:val="00E5676E"/>
    <w:rPr>
      <w:rFonts w:asciiTheme="majorHAnsi" w:eastAsiaTheme="majorEastAsia" w:hAnsiTheme="majorHAnsi" w:cstheme="majorBidi"/>
      <w:sz w:val="24"/>
      <w:szCs w:val="24"/>
      <w:lang w:eastAsia="ko-KR"/>
    </w:rPr>
  </w:style>
  <w:style w:type="character" w:styleId="Strong">
    <w:name w:val="Strong"/>
    <w:basedOn w:val="DefaultParagraphFont"/>
    <w:uiPriority w:val="22"/>
    <w:qFormat/>
    <w:rsid w:val="00E5676E"/>
    <w:rPr>
      <w:b/>
      <w:bCs/>
    </w:rPr>
  </w:style>
  <w:style w:type="character" w:styleId="Emphasis">
    <w:name w:val="Emphasis"/>
    <w:uiPriority w:val="20"/>
    <w:qFormat/>
    <w:rsid w:val="00E5676E"/>
    <w:rPr>
      <w:i/>
      <w:iCs/>
    </w:rPr>
  </w:style>
  <w:style w:type="paragraph" w:styleId="NoSpacing">
    <w:name w:val="No Spacing"/>
    <w:basedOn w:val="Normal"/>
    <w:link w:val="NoSpacingChar"/>
    <w:uiPriority w:val="1"/>
    <w:qFormat/>
    <w:rsid w:val="00E5676E"/>
    <w:pPr>
      <w:widowControl w:val="0"/>
      <w:spacing w:after="0" w:line="240" w:lineRule="auto"/>
    </w:pPr>
    <w:rPr>
      <w:rFonts w:ascii="Times New Roman" w:hAnsi="Times New Roman" w:cs="Times New Roman"/>
      <w:sz w:val="20"/>
      <w:szCs w:val="20"/>
      <w:lang w:eastAsia="ko-KR"/>
    </w:rPr>
  </w:style>
  <w:style w:type="character" w:customStyle="1" w:styleId="NoSpacingChar">
    <w:name w:val="No Spacing Char"/>
    <w:basedOn w:val="DefaultParagraphFont"/>
    <w:link w:val="NoSpacing"/>
    <w:uiPriority w:val="1"/>
    <w:rsid w:val="00E5676E"/>
    <w:rPr>
      <w:rFonts w:ascii="Times New Roman" w:eastAsiaTheme="minorEastAsia" w:hAnsi="Times New Roman" w:cs="Times New Roman"/>
      <w:sz w:val="20"/>
      <w:szCs w:val="20"/>
      <w:lang w:eastAsia="ko-KR"/>
    </w:rPr>
  </w:style>
  <w:style w:type="paragraph" w:styleId="ListParagraph">
    <w:name w:val="List Paragraph"/>
    <w:basedOn w:val="Normal"/>
    <w:uiPriority w:val="34"/>
    <w:qFormat/>
    <w:rsid w:val="00E5676E"/>
    <w:pPr>
      <w:widowControl w:val="0"/>
      <w:spacing w:after="0" w:line="240" w:lineRule="auto"/>
      <w:ind w:left="708"/>
    </w:pPr>
    <w:rPr>
      <w:rFonts w:ascii="Times New Roman" w:hAnsi="Times New Roman" w:cs="Times New Roman"/>
      <w:sz w:val="20"/>
      <w:szCs w:val="20"/>
      <w:lang w:eastAsia="ko-KR"/>
    </w:rPr>
  </w:style>
  <w:style w:type="paragraph" w:styleId="Quote">
    <w:name w:val="Quote"/>
    <w:basedOn w:val="Normal"/>
    <w:next w:val="Normal"/>
    <w:link w:val="QuoteChar"/>
    <w:uiPriority w:val="29"/>
    <w:qFormat/>
    <w:rsid w:val="00E5676E"/>
    <w:pPr>
      <w:widowControl w:val="0"/>
      <w:spacing w:after="0" w:line="240" w:lineRule="auto"/>
    </w:pPr>
    <w:rPr>
      <w:rFonts w:ascii="Times New Roman" w:eastAsiaTheme="majorEastAsia" w:hAnsi="Times New Roman" w:cstheme="majorBidi"/>
      <w:i/>
      <w:iCs/>
      <w:color w:val="000000" w:themeColor="text1"/>
      <w:sz w:val="20"/>
      <w:szCs w:val="20"/>
      <w:lang w:eastAsia="ko-KR"/>
    </w:rPr>
  </w:style>
  <w:style w:type="character" w:customStyle="1" w:styleId="QuoteChar">
    <w:name w:val="Quote Char"/>
    <w:basedOn w:val="DefaultParagraphFont"/>
    <w:link w:val="Quote"/>
    <w:uiPriority w:val="29"/>
    <w:rsid w:val="00E5676E"/>
    <w:rPr>
      <w:rFonts w:ascii="Times New Roman" w:eastAsiaTheme="majorEastAsia" w:hAnsi="Times New Roman" w:cstheme="majorBidi"/>
      <w:i/>
      <w:iCs/>
      <w:color w:val="000000" w:themeColor="text1"/>
      <w:sz w:val="20"/>
      <w:szCs w:val="20"/>
      <w:lang w:eastAsia="ko-KR"/>
    </w:rPr>
  </w:style>
  <w:style w:type="paragraph" w:styleId="IntenseQuote">
    <w:name w:val="Intense Quote"/>
    <w:basedOn w:val="Normal"/>
    <w:next w:val="Normal"/>
    <w:link w:val="IntenseQuoteChar"/>
    <w:uiPriority w:val="30"/>
    <w:qFormat/>
    <w:rsid w:val="00E5676E"/>
    <w:pPr>
      <w:widowControl w:val="0"/>
      <w:pBdr>
        <w:bottom w:val="single" w:sz="4" w:space="4" w:color="5B9BD5" w:themeColor="accent1"/>
      </w:pBdr>
      <w:spacing w:before="200" w:after="280" w:line="240" w:lineRule="auto"/>
      <w:ind w:left="936" w:right="936"/>
    </w:pPr>
    <w:rPr>
      <w:rFonts w:ascii="Times New Roman" w:eastAsiaTheme="majorEastAsia" w:hAnsi="Times New Roman" w:cstheme="majorBidi"/>
      <w:b/>
      <w:bCs/>
      <w:i/>
      <w:iCs/>
      <w:color w:val="5B9BD5" w:themeColor="accent1"/>
      <w:sz w:val="20"/>
      <w:szCs w:val="20"/>
      <w:lang w:eastAsia="ko-KR"/>
    </w:rPr>
  </w:style>
  <w:style w:type="character" w:customStyle="1" w:styleId="IntenseQuoteChar">
    <w:name w:val="Intense Quote Char"/>
    <w:basedOn w:val="DefaultParagraphFont"/>
    <w:link w:val="IntenseQuote"/>
    <w:uiPriority w:val="30"/>
    <w:rsid w:val="00E5676E"/>
    <w:rPr>
      <w:rFonts w:ascii="Times New Roman" w:eastAsiaTheme="majorEastAsia" w:hAnsi="Times New Roman" w:cstheme="majorBidi"/>
      <w:b/>
      <w:bCs/>
      <w:i/>
      <w:iCs/>
      <w:color w:val="5B9BD5" w:themeColor="accent1"/>
      <w:sz w:val="20"/>
      <w:szCs w:val="20"/>
      <w:lang w:eastAsia="ko-KR"/>
    </w:rPr>
  </w:style>
  <w:style w:type="character" w:styleId="SubtleEmphasis">
    <w:name w:val="Subtle Emphasis"/>
    <w:uiPriority w:val="19"/>
    <w:qFormat/>
    <w:rsid w:val="00E5676E"/>
    <w:rPr>
      <w:i/>
      <w:iCs/>
      <w:color w:val="808080" w:themeColor="text1" w:themeTint="7F"/>
    </w:rPr>
  </w:style>
  <w:style w:type="character" w:styleId="IntenseEmphasis">
    <w:name w:val="Intense Emphasis"/>
    <w:uiPriority w:val="21"/>
    <w:qFormat/>
    <w:rsid w:val="00E5676E"/>
    <w:rPr>
      <w:b/>
      <w:bCs/>
      <w:i/>
      <w:iCs/>
      <w:color w:val="5B9BD5" w:themeColor="accent1"/>
    </w:rPr>
  </w:style>
  <w:style w:type="character" w:styleId="SubtleReference">
    <w:name w:val="Subtle Reference"/>
    <w:uiPriority w:val="31"/>
    <w:qFormat/>
    <w:rsid w:val="00E5676E"/>
    <w:rPr>
      <w:smallCaps/>
      <w:color w:val="ED7D31" w:themeColor="accent2"/>
      <w:u w:val="single"/>
    </w:rPr>
  </w:style>
  <w:style w:type="character" w:styleId="IntenseReference">
    <w:name w:val="Intense Reference"/>
    <w:basedOn w:val="DefaultParagraphFont"/>
    <w:uiPriority w:val="32"/>
    <w:qFormat/>
    <w:rsid w:val="00E5676E"/>
    <w:rPr>
      <w:b/>
      <w:bCs/>
      <w:smallCaps/>
      <w:color w:val="ED7D31" w:themeColor="accent2"/>
      <w:spacing w:val="5"/>
      <w:u w:val="single"/>
    </w:rPr>
  </w:style>
  <w:style w:type="character" w:styleId="BookTitle">
    <w:name w:val="Book Title"/>
    <w:basedOn w:val="DefaultParagraphFont"/>
    <w:uiPriority w:val="33"/>
    <w:qFormat/>
    <w:rsid w:val="00E5676E"/>
    <w:rPr>
      <w:b/>
      <w:bCs/>
      <w:smallCaps/>
      <w:spacing w:val="5"/>
    </w:rPr>
  </w:style>
  <w:style w:type="paragraph" w:styleId="TOCHeading">
    <w:name w:val="TOC Heading"/>
    <w:basedOn w:val="Heading1"/>
    <w:next w:val="Normal"/>
    <w:uiPriority w:val="39"/>
    <w:semiHidden/>
    <w:unhideWhenUsed/>
    <w:qFormat/>
    <w:rsid w:val="00E5676E"/>
    <w:pPr>
      <w:keepNext/>
      <w:widowControl w:val="0"/>
      <w:spacing w:before="240" w:beforeAutospacing="0" w:after="60" w:afterAutospacing="0"/>
      <w:outlineLvl w:val="9"/>
    </w:pPr>
    <w:rPr>
      <w:rFonts w:asciiTheme="majorHAnsi" w:hAnsiTheme="majorHAnsi"/>
      <w:kern w:val="32"/>
      <w:sz w:val="32"/>
      <w:szCs w:val="32"/>
      <w:lang w:val="it-IT" w:eastAsia="ko-KR"/>
    </w:rPr>
  </w:style>
  <w:style w:type="paragraph" w:styleId="HTMLPreformatted">
    <w:name w:val="HTML Preformatted"/>
    <w:basedOn w:val="Normal"/>
    <w:link w:val="HTMLPreformattedChar"/>
    <w:uiPriority w:val="99"/>
    <w:semiHidden/>
    <w:unhideWhenUsed/>
    <w:rsid w:val="00E56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s-ES" w:eastAsia="es-ES"/>
    </w:rPr>
  </w:style>
  <w:style w:type="character" w:customStyle="1" w:styleId="HTMLPreformattedChar">
    <w:name w:val="HTML Preformatted Char"/>
    <w:basedOn w:val="DefaultParagraphFont"/>
    <w:link w:val="HTMLPreformatted"/>
    <w:uiPriority w:val="99"/>
    <w:semiHidden/>
    <w:rsid w:val="00E5676E"/>
    <w:rPr>
      <w:rFonts w:ascii="Courier New" w:eastAsiaTheme="minorEastAsia" w:hAnsi="Courier New" w:cs="Courier New"/>
      <w:sz w:val="20"/>
      <w:szCs w:val="20"/>
      <w:lang w:val="es-ES" w:eastAsia="es-ES"/>
    </w:rPr>
  </w:style>
  <w:style w:type="character" w:customStyle="1" w:styleId="apple-converted-space">
    <w:name w:val="apple-converted-space"/>
    <w:basedOn w:val="DefaultParagraphFont"/>
    <w:rsid w:val="00E5676E"/>
  </w:style>
  <w:style w:type="paragraph" w:customStyle="1" w:styleId="Pa14">
    <w:name w:val="Pa14"/>
    <w:basedOn w:val="Normal"/>
    <w:next w:val="Normal"/>
    <w:uiPriority w:val="99"/>
    <w:rsid w:val="00E5676E"/>
    <w:pPr>
      <w:autoSpaceDE w:val="0"/>
      <w:autoSpaceDN w:val="0"/>
      <w:adjustRightInd w:val="0"/>
      <w:spacing w:after="0" w:line="201" w:lineRule="atLeast"/>
    </w:pPr>
    <w:rPr>
      <w:rFonts w:ascii="Times New Roman PS" w:hAnsi="Times New Roman PS" w:cs="Times New Roman"/>
      <w:sz w:val="24"/>
      <w:szCs w:val="24"/>
      <w:lang w:val="es-ES" w:eastAsia="es-ES"/>
    </w:rPr>
  </w:style>
  <w:style w:type="character" w:customStyle="1" w:styleId="A9">
    <w:name w:val="A9"/>
    <w:uiPriority w:val="99"/>
    <w:rsid w:val="00E5676E"/>
    <w:rPr>
      <w:rFonts w:cs="Times New Roman PS"/>
      <w:color w:val="000000"/>
      <w:sz w:val="11"/>
      <w:szCs w:val="11"/>
    </w:rPr>
  </w:style>
  <w:style w:type="paragraph" w:customStyle="1" w:styleId="Pa2">
    <w:name w:val="Pa2"/>
    <w:basedOn w:val="Normal"/>
    <w:next w:val="Normal"/>
    <w:uiPriority w:val="99"/>
    <w:rsid w:val="00E5676E"/>
    <w:pPr>
      <w:autoSpaceDE w:val="0"/>
      <w:autoSpaceDN w:val="0"/>
      <w:adjustRightInd w:val="0"/>
      <w:spacing w:after="0" w:line="187" w:lineRule="atLeast"/>
    </w:pPr>
    <w:rPr>
      <w:rFonts w:ascii="Minion Pro" w:hAnsi="Minion Pro" w:cs="Times New Roman"/>
      <w:sz w:val="24"/>
      <w:szCs w:val="24"/>
      <w:lang w:val="es-ES" w:eastAsia="es-ES"/>
    </w:rPr>
  </w:style>
  <w:style w:type="character" w:customStyle="1" w:styleId="A5">
    <w:name w:val="A5"/>
    <w:uiPriority w:val="99"/>
    <w:rsid w:val="00E5676E"/>
    <w:rPr>
      <w:rFonts w:cs="Minion Pro"/>
      <w:color w:val="000000"/>
      <w:sz w:val="11"/>
      <w:szCs w:val="11"/>
    </w:rPr>
  </w:style>
  <w:style w:type="character" w:customStyle="1" w:styleId="cit-auth">
    <w:name w:val="cit-auth"/>
    <w:basedOn w:val="DefaultParagraphFont"/>
    <w:rsid w:val="00E5676E"/>
  </w:style>
  <w:style w:type="character" w:customStyle="1" w:styleId="cit-sep">
    <w:name w:val="cit-sep"/>
    <w:basedOn w:val="DefaultParagraphFont"/>
    <w:rsid w:val="00E5676E"/>
  </w:style>
  <w:style w:type="character" w:customStyle="1" w:styleId="cit-title">
    <w:name w:val="cit-title"/>
    <w:basedOn w:val="DefaultParagraphFont"/>
    <w:rsid w:val="00E5676E"/>
  </w:style>
  <w:style w:type="character" w:styleId="HTMLCite">
    <w:name w:val="HTML Cite"/>
    <w:basedOn w:val="DefaultParagraphFont"/>
    <w:uiPriority w:val="99"/>
    <w:semiHidden/>
    <w:unhideWhenUsed/>
    <w:rsid w:val="00E5676E"/>
    <w:rPr>
      <w:i/>
      <w:iCs/>
    </w:rPr>
  </w:style>
  <w:style w:type="character" w:customStyle="1" w:styleId="cit-print-date">
    <w:name w:val="cit-print-date"/>
    <w:basedOn w:val="DefaultParagraphFont"/>
    <w:rsid w:val="00E5676E"/>
  </w:style>
  <w:style w:type="character" w:customStyle="1" w:styleId="cit-vol">
    <w:name w:val="cit-vol"/>
    <w:basedOn w:val="DefaultParagraphFont"/>
    <w:rsid w:val="00E5676E"/>
  </w:style>
  <w:style w:type="character" w:customStyle="1" w:styleId="cit-issue">
    <w:name w:val="cit-issue"/>
    <w:basedOn w:val="DefaultParagraphFont"/>
    <w:rsid w:val="00E5676E"/>
  </w:style>
  <w:style w:type="character" w:customStyle="1" w:styleId="cit-first-page">
    <w:name w:val="cit-first-page"/>
    <w:basedOn w:val="DefaultParagraphFont"/>
    <w:rsid w:val="00E5676E"/>
  </w:style>
  <w:style w:type="character" w:customStyle="1" w:styleId="cit-last-page">
    <w:name w:val="cit-last-page"/>
    <w:basedOn w:val="DefaultParagraphFont"/>
    <w:rsid w:val="00E5676E"/>
  </w:style>
  <w:style w:type="character" w:customStyle="1" w:styleId="cit-ahead-of-print-date">
    <w:name w:val="cit-ahead-of-print-date"/>
    <w:basedOn w:val="DefaultParagraphFont"/>
    <w:rsid w:val="00E5676E"/>
  </w:style>
  <w:style w:type="character" w:customStyle="1" w:styleId="cit-doi">
    <w:name w:val="cit-doi"/>
    <w:basedOn w:val="DefaultParagraphFont"/>
    <w:rsid w:val="00E5676E"/>
  </w:style>
  <w:style w:type="paragraph" w:customStyle="1" w:styleId="Pa20">
    <w:name w:val="Pa20"/>
    <w:basedOn w:val="Normal"/>
    <w:next w:val="Normal"/>
    <w:uiPriority w:val="99"/>
    <w:rsid w:val="00E5676E"/>
    <w:pPr>
      <w:autoSpaceDE w:val="0"/>
      <w:autoSpaceDN w:val="0"/>
      <w:adjustRightInd w:val="0"/>
      <w:spacing w:after="0" w:line="140" w:lineRule="atLeast"/>
    </w:pPr>
    <w:rPr>
      <w:rFonts w:ascii="ITC Franklin Gothic Std Book" w:hAnsi="ITC Franklin Gothic Std Book" w:cs="Times New Roman"/>
      <w:sz w:val="24"/>
      <w:szCs w:val="24"/>
      <w:lang w:val="es-ES" w:eastAsia="es-ES"/>
    </w:rPr>
  </w:style>
  <w:style w:type="character" w:customStyle="1" w:styleId="cit-name-surname">
    <w:name w:val="cit-name-surname"/>
    <w:basedOn w:val="DefaultParagraphFont"/>
    <w:rsid w:val="00E5676E"/>
  </w:style>
  <w:style w:type="character" w:customStyle="1" w:styleId="cit-name-given-names">
    <w:name w:val="cit-name-given-names"/>
    <w:basedOn w:val="DefaultParagraphFont"/>
    <w:rsid w:val="00E5676E"/>
  </w:style>
  <w:style w:type="character" w:customStyle="1" w:styleId="cit-etal">
    <w:name w:val="cit-etal"/>
    <w:basedOn w:val="DefaultParagraphFont"/>
    <w:rsid w:val="00E5676E"/>
  </w:style>
  <w:style w:type="character" w:customStyle="1" w:styleId="cit-article-title">
    <w:name w:val="cit-article-title"/>
    <w:basedOn w:val="DefaultParagraphFont"/>
    <w:rsid w:val="00E5676E"/>
  </w:style>
  <w:style w:type="character" w:customStyle="1" w:styleId="cit-comment">
    <w:name w:val="cit-comment"/>
    <w:basedOn w:val="DefaultParagraphFont"/>
    <w:rsid w:val="00E5676E"/>
  </w:style>
  <w:style w:type="character" w:customStyle="1" w:styleId="ref-journal">
    <w:name w:val="ref-journal"/>
    <w:basedOn w:val="DefaultParagraphFont"/>
    <w:rsid w:val="00E5676E"/>
  </w:style>
  <w:style w:type="character" w:customStyle="1" w:styleId="ref-vol">
    <w:name w:val="ref-vol"/>
    <w:basedOn w:val="DefaultParagraphFont"/>
    <w:rsid w:val="00E5676E"/>
  </w:style>
  <w:style w:type="character" w:customStyle="1" w:styleId="highlight">
    <w:name w:val="highlight"/>
    <w:basedOn w:val="DefaultParagraphFont"/>
    <w:rsid w:val="00E5676E"/>
  </w:style>
  <w:style w:type="character" w:customStyle="1" w:styleId="search-term-highlight">
    <w:name w:val="search-term-highlight"/>
    <w:basedOn w:val="DefaultParagraphFont"/>
    <w:rsid w:val="00E5676E"/>
  </w:style>
  <w:style w:type="character" w:customStyle="1" w:styleId="cit-pub-date">
    <w:name w:val="cit-pub-date"/>
    <w:basedOn w:val="DefaultParagraphFont"/>
    <w:rsid w:val="00E5676E"/>
  </w:style>
  <w:style w:type="character" w:customStyle="1" w:styleId="cit-fpage">
    <w:name w:val="cit-fpage"/>
    <w:basedOn w:val="DefaultParagraphFont"/>
    <w:rsid w:val="00E5676E"/>
  </w:style>
  <w:style w:type="character" w:customStyle="1" w:styleId="cit-lpage">
    <w:name w:val="cit-lpage"/>
    <w:basedOn w:val="DefaultParagraphFont"/>
    <w:rsid w:val="00E5676E"/>
  </w:style>
  <w:style w:type="character" w:styleId="PlaceholderText">
    <w:name w:val="Placeholder Text"/>
    <w:basedOn w:val="DefaultParagraphFont"/>
    <w:uiPriority w:val="99"/>
    <w:semiHidden/>
    <w:rsid w:val="00E5676E"/>
    <w:rPr>
      <w:color w:val="808080"/>
    </w:rPr>
  </w:style>
  <w:style w:type="character" w:customStyle="1" w:styleId="element-citation">
    <w:name w:val="element-citation"/>
    <w:basedOn w:val="DefaultParagraphFont"/>
    <w:rsid w:val="00E5676E"/>
  </w:style>
  <w:style w:type="character" w:customStyle="1" w:styleId="nowrap">
    <w:name w:val="nowrap"/>
    <w:basedOn w:val="DefaultParagraphFont"/>
    <w:rsid w:val="00E5676E"/>
  </w:style>
  <w:style w:type="paragraph" w:styleId="Header">
    <w:name w:val="header"/>
    <w:basedOn w:val="Normal"/>
    <w:link w:val="HeaderChar"/>
    <w:uiPriority w:val="99"/>
    <w:unhideWhenUsed/>
    <w:rsid w:val="00E5676E"/>
    <w:pPr>
      <w:widowControl w:val="0"/>
      <w:tabs>
        <w:tab w:val="center" w:pos="4819"/>
        <w:tab w:val="right" w:pos="9638"/>
      </w:tabs>
      <w:spacing w:after="0" w:line="240" w:lineRule="auto"/>
    </w:pPr>
    <w:rPr>
      <w:rFonts w:ascii="Times New Roman" w:hAnsi="Times New Roman" w:cs="Times New Roman"/>
      <w:sz w:val="20"/>
      <w:szCs w:val="20"/>
      <w:lang w:eastAsia="ko-KR"/>
    </w:rPr>
  </w:style>
  <w:style w:type="character" w:customStyle="1" w:styleId="HeaderChar">
    <w:name w:val="Header Char"/>
    <w:basedOn w:val="DefaultParagraphFont"/>
    <w:link w:val="Header"/>
    <w:uiPriority w:val="99"/>
    <w:rsid w:val="00E5676E"/>
    <w:rPr>
      <w:rFonts w:ascii="Times New Roman" w:eastAsiaTheme="minorEastAsia" w:hAnsi="Times New Roman" w:cs="Times New Roman"/>
      <w:sz w:val="20"/>
      <w:szCs w:val="20"/>
      <w:lang w:eastAsia="ko-KR"/>
    </w:rPr>
  </w:style>
  <w:style w:type="paragraph" w:styleId="Footer">
    <w:name w:val="footer"/>
    <w:basedOn w:val="Normal"/>
    <w:link w:val="FooterChar"/>
    <w:uiPriority w:val="99"/>
    <w:unhideWhenUsed/>
    <w:rsid w:val="00E5676E"/>
    <w:pPr>
      <w:widowControl w:val="0"/>
      <w:tabs>
        <w:tab w:val="center" w:pos="4819"/>
        <w:tab w:val="right" w:pos="9638"/>
      </w:tabs>
      <w:spacing w:after="0" w:line="240" w:lineRule="auto"/>
    </w:pPr>
    <w:rPr>
      <w:rFonts w:ascii="Times New Roman" w:hAnsi="Times New Roman" w:cs="Times New Roman"/>
      <w:sz w:val="20"/>
      <w:szCs w:val="20"/>
      <w:lang w:eastAsia="ko-KR"/>
    </w:rPr>
  </w:style>
  <w:style w:type="character" w:customStyle="1" w:styleId="FooterChar">
    <w:name w:val="Footer Char"/>
    <w:basedOn w:val="DefaultParagraphFont"/>
    <w:link w:val="Footer"/>
    <w:uiPriority w:val="99"/>
    <w:rsid w:val="00E5676E"/>
    <w:rPr>
      <w:rFonts w:ascii="Times New Roman" w:eastAsiaTheme="minorEastAsia" w:hAnsi="Times New Roman" w:cs="Times New Roman"/>
      <w:sz w:val="20"/>
      <w:szCs w:val="20"/>
      <w:lang w:eastAsia="ko-KR"/>
    </w:rPr>
  </w:style>
  <w:style w:type="character" w:customStyle="1" w:styleId="Char1">
    <w:name w:val="批注文字 Char1"/>
    <w:uiPriority w:val="99"/>
    <w:rsid w:val="00E5676E"/>
    <w:rPr>
      <w:kern w:val="2"/>
      <w:sz w:val="21"/>
      <w:szCs w:val="24"/>
    </w:rPr>
  </w:style>
  <w:style w:type="paragraph" w:customStyle="1" w:styleId="desc">
    <w:name w:val="desc"/>
    <w:basedOn w:val="Normal"/>
    <w:rsid w:val="00E5676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details">
    <w:name w:val="details"/>
    <w:basedOn w:val="Normal"/>
    <w:rsid w:val="00E5676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jrnl">
    <w:name w:val="jrnl"/>
    <w:basedOn w:val="DefaultParagraphFont"/>
    <w:rsid w:val="00E5676E"/>
  </w:style>
  <w:style w:type="table" w:styleId="TableGrid">
    <w:name w:val="Table Grid"/>
    <w:basedOn w:val="TableNormal"/>
    <w:uiPriority w:val="59"/>
    <w:rsid w:val="00E5676E"/>
    <w:pPr>
      <w:spacing w:after="0" w:line="240" w:lineRule="auto"/>
    </w:pPr>
    <w:rPr>
      <w:rFonts w:ascii="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675273">
      <w:bodyDiv w:val="1"/>
      <w:marLeft w:val="0"/>
      <w:marRight w:val="0"/>
      <w:marTop w:val="0"/>
      <w:marBottom w:val="0"/>
      <w:divBdr>
        <w:top w:val="none" w:sz="0" w:space="0" w:color="auto"/>
        <w:left w:val="none" w:sz="0" w:space="0" w:color="auto"/>
        <w:bottom w:val="none" w:sz="0" w:space="0" w:color="auto"/>
        <w:right w:val="none" w:sz="0" w:space="0" w:color="auto"/>
      </w:divBdr>
    </w:div>
    <w:div w:id="437335297">
      <w:bodyDiv w:val="1"/>
      <w:marLeft w:val="0"/>
      <w:marRight w:val="0"/>
      <w:marTop w:val="0"/>
      <w:marBottom w:val="0"/>
      <w:divBdr>
        <w:top w:val="none" w:sz="0" w:space="0" w:color="auto"/>
        <w:left w:val="none" w:sz="0" w:space="0" w:color="auto"/>
        <w:bottom w:val="none" w:sz="0" w:space="0" w:color="auto"/>
        <w:right w:val="none" w:sz="0" w:space="0" w:color="auto"/>
      </w:divBdr>
    </w:div>
    <w:div w:id="856118787">
      <w:bodyDiv w:val="1"/>
      <w:marLeft w:val="0"/>
      <w:marRight w:val="0"/>
      <w:marTop w:val="0"/>
      <w:marBottom w:val="0"/>
      <w:divBdr>
        <w:top w:val="none" w:sz="0" w:space="0" w:color="auto"/>
        <w:left w:val="none" w:sz="0" w:space="0" w:color="auto"/>
        <w:bottom w:val="none" w:sz="0" w:space="0" w:color="auto"/>
        <w:right w:val="none" w:sz="0" w:space="0" w:color="auto"/>
      </w:divBdr>
    </w:div>
    <w:div w:id="1594391404">
      <w:bodyDiv w:val="1"/>
      <w:marLeft w:val="0"/>
      <w:marRight w:val="0"/>
      <w:marTop w:val="0"/>
      <w:marBottom w:val="0"/>
      <w:divBdr>
        <w:top w:val="none" w:sz="0" w:space="0" w:color="auto"/>
        <w:left w:val="none" w:sz="0" w:space="0" w:color="auto"/>
        <w:bottom w:val="none" w:sz="0" w:space="0" w:color="auto"/>
        <w:right w:val="none" w:sz="0" w:space="0" w:color="auto"/>
      </w:divBdr>
    </w:div>
    <w:div w:id="1943150416">
      <w:bodyDiv w:val="1"/>
      <w:marLeft w:val="0"/>
      <w:marRight w:val="0"/>
      <w:marTop w:val="0"/>
      <w:marBottom w:val="0"/>
      <w:divBdr>
        <w:top w:val="none" w:sz="0" w:space="0" w:color="auto"/>
        <w:left w:val="none" w:sz="0" w:space="0" w:color="auto"/>
        <w:bottom w:val="none" w:sz="0" w:space="0" w:color="auto"/>
        <w:right w:val="none" w:sz="0" w:space="0" w:color="auto"/>
      </w:divBdr>
    </w:div>
    <w:div w:id="1971668312">
      <w:bodyDiv w:val="1"/>
      <w:marLeft w:val="0"/>
      <w:marRight w:val="0"/>
      <w:marTop w:val="0"/>
      <w:marBottom w:val="0"/>
      <w:divBdr>
        <w:top w:val="none" w:sz="0" w:space="0" w:color="auto"/>
        <w:left w:val="none" w:sz="0" w:space="0" w:color="auto"/>
        <w:bottom w:val="none" w:sz="0" w:space="0" w:color="auto"/>
        <w:right w:val="none" w:sz="0" w:space="0" w:color="auto"/>
      </w:divBdr>
    </w:div>
    <w:div w:id="1975981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PowerPoint_Slide1.sldx"/><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nature.com/nature/journal/v487/n7407/full/nature11252.html" TargetMode="External"/><Relationship Id="rId4" Type="http://schemas.openxmlformats.org/officeDocument/2006/relationships/settings" Target="settings.xml"/><Relationship Id="rId9" Type="http://schemas.openxmlformats.org/officeDocument/2006/relationships/hyperlink" Target="mailto:vincenzosforza83@gmail.com" TargetMode="External"/><Relationship Id="rId14" Type="http://schemas.openxmlformats.org/officeDocument/2006/relationships/package" Target="embeddings/Microsoft_PowerPoint_Slide2.sldx"/></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6B2C75-F12A-4AF2-A7B3-900C60BD4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15154</Words>
  <Characters>86382</Characters>
  <Application>Microsoft Office Word</Application>
  <DocSecurity>0</DocSecurity>
  <Lines>719</Lines>
  <Paragraphs>202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The University of North Carolina at Chapel Hill</Company>
  <LinksUpToDate>false</LinksUpToDate>
  <CharactersWithSpaces>101334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LS Ma</cp:lastModifiedBy>
  <cp:revision>2</cp:revision>
  <dcterms:created xsi:type="dcterms:W3CDTF">2016-07-06T01:00:00Z</dcterms:created>
  <dcterms:modified xsi:type="dcterms:W3CDTF">2016-07-06T01:00:00Z</dcterms:modified>
</cp:coreProperties>
</file>